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60F94">
      <w:pPr>
        <w:pStyle w:val="2"/>
        <w:spacing w:line="282" w:lineRule="auto"/>
      </w:pPr>
    </w:p>
    <w:p w14:paraId="65A3A548">
      <w:pPr>
        <w:pStyle w:val="2"/>
        <w:spacing w:line="283" w:lineRule="auto"/>
      </w:pPr>
    </w:p>
    <w:p w14:paraId="4D033996">
      <w:pPr>
        <w:pStyle w:val="2"/>
        <w:spacing w:line="283" w:lineRule="auto"/>
      </w:pPr>
    </w:p>
    <w:p w14:paraId="45B307AE">
      <w:pPr>
        <w:pStyle w:val="2"/>
        <w:spacing w:line="283" w:lineRule="auto"/>
      </w:pPr>
    </w:p>
    <w:p w14:paraId="4B838046">
      <w:pPr>
        <w:pStyle w:val="2"/>
        <w:spacing w:line="283" w:lineRule="auto"/>
      </w:pPr>
    </w:p>
    <w:p w14:paraId="3BB85672">
      <w:pPr>
        <w:spacing w:before="227" w:line="218" w:lineRule="auto"/>
        <w:ind w:left="193"/>
        <w:outlineLvl w:val="0"/>
        <w:rPr>
          <w:rFonts w:ascii="宋体" w:hAnsi="宋体" w:eastAsia="宋体" w:cs="宋体"/>
          <w:sz w:val="70"/>
          <w:szCs w:val="70"/>
        </w:rPr>
      </w:pPr>
      <w:r>
        <w:rPr>
          <w:rFonts w:ascii="宋体" w:hAnsi="宋体" w:eastAsia="宋体" w:cs="宋体"/>
          <w:spacing w:val="1"/>
          <w:sz w:val="70"/>
          <w:szCs w:val="70"/>
        </w:rPr>
        <w:t>建设项目</w:t>
      </w:r>
      <w:r>
        <w:rPr>
          <w:rFonts w:ascii="宋体" w:hAnsi="宋体" w:eastAsia="宋体" w:cs="宋体"/>
          <w:color w:val="102080"/>
          <w:spacing w:val="1"/>
          <w:sz w:val="70"/>
          <w:szCs w:val="70"/>
        </w:rPr>
        <w:t>环境影响报告表</w:t>
      </w:r>
    </w:p>
    <w:p w14:paraId="20104055">
      <w:pPr>
        <w:spacing w:before="109" w:line="219" w:lineRule="auto"/>
        <w:ind w:left="2683"/>
        <w:rPr>
          <w:rFonts w:ascii="宋体" w:hAnsi="宋体" w:eastAsia="宋体" w:cs="宋体"/>
          <w:sz w:val="44"/>
          <w:szCs w:val="44"/>
        </w:rPr>
      </w:pPr>
      <w:r>
        <w:rPr>
          <w:rFonts w:ascii="宋体" w:hAnsi="宋体" w:eastAsia="宋体" w:cs="宋体"/>
          <w:spacing w:val="38"/>
          <w:sz w:val="44"/>
          <w:szCs w:val="44"/>
        </w:rPr>
        <w:t>(生态影响类)</w:t>
      </w:r>
    </w:p>
    <w:p w14:paraId="0B291751">
      <w:pPr>
        <w:pStyle w:val="2"/>
        <w:spacing w:line="241" w:lineRule="auto"/>
      </w:pPr>
    </w:p>
    <w:p w14:paraId="70D73098">
      <w:pPr>
        <w:spacing w:before="111" w:line="219" w:lineRule="auto"/>
        <w:ind w:left="3343"/>
        <w:rPr>
          <w:rFonts w:ascii="宋体" w:hAnsi="宋体" w:eastAsia="宋体" w:cs="宋体"/>
          <w:sz w:val="34"/>
          <w:szCs w:val="34"/>
        </w:rPr>
      </w:pPr>
      <w:r>
        <w:rPr>
          <w:rFonts w:ascii="宋体" w:hAnsi="宋体" w:eastAsia="宋体" w:cs="宋体"/>
          <w:spacing w:val="7"/>
          <w:sz w:val="34"/>
          <w:szCs w:val="34"/>
        </w:rPr>
        <w:t>(报批</w:t>
      </w:r>
      <w:r>
        <w:rPr>
          <w:rFonts w:ascii="宋体" w:hAnsi="宋体" w:eastAsia="宋体" w:cs="宋体"/>
          <w:color w:val="202050"/>
          <w:spacing w:val="7"/>
          <w:sz w:val="34"/>
          <w:szCs w:val="34"/>
        </w:rPr>
        <w:t>稿</w:t>
      </w:r>
      <w:r>
        <w:rPr>
          <w:rFonts w:ascii="宋体" w:hAnsi="宋体" w:eastAsia="宋体" w:cs="宋体"/>
          <w:color w:val="202050"/>
          <w:spacing w:val="-47"/>
          <w:sz w:val="34"/>
          <w:szCs w:val="34"/>
        </w:rPr>
        <w:t xml:space="preserve"> </w:t>
      </w:r>
      <w:r>
        <w:rPr>
          <w:rFonts w:ascii="宋体" w:hAnsi="宋体" w:eastAsia="宋体" w:cs="宋体"/>
          <w:color w:val="202050"/>
          <w:spacing w:val="7"/>
          <w:sz w:val="34"/>
          <w:szCs w:val="34"/>
        </w:rPr>
        <w:t>)</w:t>
      </w:r>
    </w:p>
    <w:p w14:paraId="543235D0">
      <w:pPr>
        <w:pStyle w:val="2"/>
        <w:spacing w:line="248" w:lineRule="auto"/>
      </w:pPr>
    </w:p>
    <w:p w14:paraId="2B8CE7E7">
      <w:pPr>
        <w:pStyle w:val="2"/>
        <w:spacing w:line="248" w:lineRule="auto"/>
      </w:pPr>
    </w:p>
    <w:p w14:paraId="5CBBE686">
      <w:pPr>
        <w:pStyle w:val="2"/>
        <w:spacing w:line="248" w:lineRule="auto"/>
      </w:pPr>
    </w:p>
    <w:p w14:paraId="264EAE79">
      <w:pPr>
        <w:pStyle w:val="2"/>
        <w:spacing w:line="248" w:lineRule="auto"/>
      </w:pPr>
    </w:p>
    <w:p w14:paraId="50FD527C">
      <w:pPr>
        <w:pStyle w:val="2"/>
        <w:spacing w:line="248" w:lineRule="auto"/>
      </w:pPr>
    </w:p>
    <w:p w14:paraId="7D4909F9">
      <w:pPr>
        <w:pStyle w:val="2"/>
        <w:spacing w:line="248" w:lineRule="auto"/>
      </w:pPr>
    </w:p>
    <w:p w14:paraId="329955B6">
      <w:pPr>
        <w:pStyle w:val="2"/>
        <w:spacing w:line="248" w:lineRule="auto"/>
      </w:pPr>
    </w:p>
    <w:p w14:paraId="4044487D">
      <w:pPr>
        <w:pStyle w:val="2"/>
        <w:spacing w:line="249" w:lineRule="auto"/>
      </w:pPr>
    </w:p>
    <w:p w14:paraId="0C1FDA03">
      <w:pPr>
        <w:pStyle w:val="2"/>
        <w:spacing w:line="249" w:lineRule="auto"/>
      </w:pPr>
    </w:p>
    <w:p w14:paraId="782A0697">
      <w:pPr>
        <w:pStyle w:val="2"/>
        <w:spacing w:line="249" w:lineRule="auto"/>
      </w:pPr>
    </w:p>
    <w:p w14:paraId="354B6DA9">
      <w:pPr>
        <w:pStyle w:val="2"/>
        <w:spacing w:line="249" w:lineRule="auto"/>
      </w:pPr>
    </w:p>
    <w:p w14:paraId="298BCB50">
      <w:pPr>
        <w:spacing w:before="127" w:line="219" w:lineRule="auto"/>
        <w:ind w:left="933"/>
        <w:rPr>
          <w:rFonts w:ascii="宋体" w:hAnsi="宋体" w:eastAsia="宋体" w:cs="宋体"/>
          <w:sz w:val="39"/>
          <w:szCs w:val="39"/>
        </w:rPr>
      </w:pPr>
      <w:r>
        <w:drawing>
          <wp:anchor distT="0" distB="0" distL="0" distR="0" simplePos="0" relativeHeight="251661312" behindDoc="0" locked="0" layoutInCell="1" allowOverlap="1">
            <wp:simplePos x="0" y="0"/>
            <wp:positionH relativeFrom="column">
              <wp:posOffset>1646555</wp:posOffset>
            </wp:positionH>
            <wp:positionV relativeFrom="paragraph">
              <wp:posOffset>-137795</wp:posOffset>
            </wp:positionV>
            <wp:extent cx="1511300" cy="15557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46"/>
                    <a:stretch>
                      <a:fillRect/>
                    </a:stretch>
                  </pic:blipFill>
                  <pic:spPr>
                    <a:xfrm>
                      <a:off x="0" y="0"/>
                      <a:ext cx="1511284" cy="1555743"/>
                    </a:xfrm>
                    <a:prstGeom prst="rect">
                      <a:avLst/>
                    </a:prstGeom>
                  </pic:spPr>
                </pic:pic>
              </a:graphicData>
            </a:graphic>
          </wp:anchor>
        </w:drawing>
      </w:r>
      <w:r>
        <w:rPr>
          <w:rFonts w:ascii="宋体" w:hAnsi="宋体" w:eastAsia="宋体" w:cs="宋体"/>
          <w:spacing w:val="23"/>
          <w:sz w:val="39"/>
          <w:szCs w:val="39"/>
        </w:rPr>
        <w:t>项目名称：</w:t>
      </w:r>
      <w:r>
        <w:rPr>
          <w:rFonts w:ascii="宋体" w:hAnsi="宋体" w:eastAsia="宋体" w:cs="宋体"/>
          <w:spacing w:val="23"/>
          <w:sz w:val="39"/>
          <w:szCs w:val="39"/>
          <w:u w:val="single" w:color="auto"/>
        </w:rPr>
        <w:t xml:space="preserve">栗树园村光伏发电项目    </w:t>
      </w:r>
    </w:p>
    <w:p w14:paraId="54B16A9D">
      <w:pPr>
        <w:spacing w:before="297" w:line="219" w:lineRule="auto"/>
        <w:ind w:left="903"/>
        <w:rPr>
          <w:rFonts w:ascii="宋体" w:hAnsi="宋体" w:eastAsia="宋体" w:cs="宋体"/>
          <w:sz w:val="39"/>
          <w:szCs w:val="39"/>
        </w:rPr>
      </w:pPr>
      <w:r>
        <w:rPr>
          <w:rFonts w:ascii="宋体" w:hAnsi="宋体" w:eastAsia="宋体" w:cs="宋体"/>
          <w:spacing w:val="-19"/>
          <w:sz w:val="39"/>
          <w:szCs w:val="39"/>
        </w:rPr>
        <w:t>建设单位(盖章):</w:t>
      </w:r>
      <w:r>
        <w:rPr>
          <w:rFonts w:ascii="宋体" w:hAnsi="宋体" w:eastAsia="宋体" w:cs="宋体"/>
          <w:spacing w:val="-19"/>
          <w:sz w:val="39"/>
          <w:szCs w:val="39"/>
          <w:u w:val="single" w:color="auto"/>
        </w:rPr>
        <w:t>粤润陆良新能源有限公司</w:t>
      </w:r>
    </w:p>
    <w:p w14:paraId="568B2BA8">
      <w:pPr>
        <w:spacing w:before="219" w:line="224" w:lineRule="auto"/>
        <w:ind w:left="903"/>
        <w:rPr>
          <w:rFonts w:ascii="宋体" w:hAnsi="宋体" w:eastAsia="宋体" w:cs="宋体"/>
          <w:sz w:val="39"/>
          <w:szCs w:val="39"/>
        </w:rPr>
      </w:pPr>
      <w:r>
        <w:rPr>
          <w:rFonts w:ascii="宋体" w:hAnsi="宋体" w:eastAsia="宋体" w:cs="宋体"/>
          <w:spacing w:val="-16"/>
          <w:position w:val="2"/>
          <w:sz w:val="39"/>
          <w:szCs w:val="39"/>
        </w:rPr>
        <w:t>编制日期：</w:t>
      </w:r>
      <w:r>
        <w:rPr>
          <w:rFonts w:ascii="宋体" w:hAnsi="宋体" w:eastAsia="宋体" w:cs="宋体"/>
          <w:spacing w:val="-16"/>
          <w:position w:val="-1"/>
          <w:sz w:val="39"/>
          <w:szCs w:val="39"/>
          <w:u w:val="single" w:color="auto"/>
        </w:rPr>
        <w:t xml:space="preserve">  二 零 二 五 年 一 月     </w:t>
      </w:r>
      <w:r>
        <w:rPr>
          <w:rFonts w:ascii="宋体" w:hAnsi="宋体" w:eastAsia="宋体" w:cs="宋体"/>
          <w:spacing w:val="-17"/>
          <w:position w:val="-1"/>
          <w:sz w:val="39"/>
          <w:szCs w:val="39"/>
          <w:u w:val="single" w:color="auto"/>
        </w:rPr>
        <w:t xml:space="preserve">   </w:t>
      </w:r>
    </w:p>
    <w:p w14:paraId="26C8DEF1">
      <w:pPr>
        <w:pStyle w:val="2"/>
        <w:spacing w:line="255" w:lineRule="auto"/>
      </w:pPr>
    </w:p>
    <w:p w14:paraId="0FA6DF8A">
      <w:pPr>
        <w:pStyle w:val="2"/>
        <w:spacing w:line="256" w:lineRule="auto"/>
      </w:pPr>
    </w:p>
    <w:p w14:paraId="24563C72">
      <w:pPr>
        <w:pStyle w:val="2"/>
        <w:spacing w:line="256" w:lineRule="auto"/>
      </w:pPr>
    </w:p>
    <w:p w14:paraId="3EFD856A">
      <w:pPr>
        <w:pStyle w:val="2"/>
        <w:spacing w:line="256" w:lineRule="auto"/>
      </w:pPr>
      <w:r>
        <w:drawing>
          <wp:anchor distT="0" distB="0" distL="0" distR="0" simplePos="0" relativeHeight="251660288" behindDoc="0" locked="0" layoutInCell="1" allowOverlap="1">
            <wp:simplePos x="0" y="0"/>
            <wp:positionH relativeFrom="column">
              <wp:posOffset>5850255</wp:posOffset>
            </wp:positionH>
            <wp:positionV relativeFrom="paragraph">
              <wp:posOffset>139065</wp:posOffset>
            </wp:positionV>
            <wp:extent cx="311150" cy="11366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47"/>
                    <a:stretch>
                      <a:fillRect/>
                    </a:stretch>
                  </pic:blipFill>
                  <pic:spPr>
                    <a:xfrm>
                      <a:off x="0" y="0"/>
                      <a:ext cx="311211" cy="1136634"/>
                    </a:xfrm>
                    <a:prstGeom prst="rect">
                      <a:avLst/>
                    </a:prstGeom>
                  </pic:spPr>
                </pic:pic>
              </a:graphicData>
            </a:graphic>
          </wp:anchor>
        </w:drawing>
      </w:r>
    </w:p>
    <w:p w14:paraId="7B9ADDEB">
      <w:pPr>
        <w:pStyle w:val="2"/>
        <w:spacing w:line="256" w:lineRule="auto"/>
      </w:pPr>
      <w:r>
        <mc:AlternateContent>
          <mc:Choice Requires="wps">
            <w:drawing>
              <wp:anchor distT="0" distB="0" distL="0" distR="0" simplePos="0" relativeHeight="251659264" behindDoc="0" locked="0" layoutInCell="1" allowOverlap="1">
                <wp:simplePos x="0" y="0"/>
                <wp:positionH relativeFrom="column">
                  <wp:posOffset>5531485</wp:posOffset>
                </wp:positionH>
                <wp:positionV relativeFrom="paragraph">
                  <wp:posOffset>356235</wp:posOffset>
                </wp:positionV>
                <wp:extent cx="944245" cy="479425"/>
                <wp:effectExtent l="0" t="0" r="0" b="0"/>
                <wp:wrapNone/>
                <wp:docPr id="6" name="TextBox 6"/>
                <wp:cNvGraphicFramePr/>
                <a:graphic xmlns:a="http://schemas.openxmlformats.org/drawingml/2006/main">
                  <a:graphicData uri="http://schemas.microsoft.com/office/word/2010/wordprocessingShape">
                    <wps:wsp>
                      <wps:cNvSpPr txBox="1"/>
                      <wps:spPr>
                        <a:xfrm rot="16200000">
                          <a:off x="5531958" y="356758"/>
                          <a:ext cx="944244" cy="47942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24F3F0A">
                            <w:pPr>
                              <w:spacing w:before="123" w:line="221" w:lineRule="auto"/>
                              <w:jc w:val="right"/>
                              <w:rPr>
                                <w:rFonts w:ascii="宋体" w:hAnsi="宋体" w:eastAsia="宋体" w:cs="宋体"/>
                                <w:sz w:val="51"/>
                                <w:szCs w:val="51"/>
                              </w:rPr>
                            </w:pPr>
                            <w:r>
                              <w:rPr>
                                <w:rFonts w:ascii="宋体" w:hAnsi="宋体" w:eastAsia="宋体" w:cs="宋体"/>
                                <w:spacing w:val="-9"/>
                                <w:sz w:val="51"/>
                                <w:szCs w:val="51"/>
                              </w:rPr>
                              <w:t>4</w:t>
                            </w:r>
                            <w:r>
                              <w:rPr>
                                <w:rFonts w:ascii="宋体" w:hAnsi="宋体" w:eastAsia="宋体" w:cs="宋体"/>
                                <w:spacing w:val="104"/>
                                <w:sz w:val="51"/>
                                <w:szCs w:val="51"/>
                              </w:rPr>
                              <w:t xml:space="preserve">  </w:t>
                            </w:r>
                            <w:r>
                              <w:rPr>
                                <w:rFonts w:ascii="宋体" w:hAnsi="宋体" w:eastAsia="宋体" w:cs="宋体"/>
                                <w:spacing w:val="-9"/>
                                <w:sz w:val="51"/>
                                <w:szCs w:val="51"/>
                              </w:rPr>
                              <w:t>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 o:spid="_x0000_s1026" o:spt="202" type="#_x0000_t202" style="position:absolute;left:0pt;margin-left:435.55pt;margin-top:28.05pt;height:37.75pt;width:74.35pt;rotation:-5898240f;z-index:251659264;mso-width-relative:page;mso-height-relative:page;" filled="f" stroked="f" coordsize="21600,21600" o:gfxdata="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zDJ3uNkAAAALAQAADwAA&#10;AAAAAAABACAAAAAiAAAAZHJzL2Rvd25yZXYueG1sUEsBAhQAFAAAAAgAh07iQBvTwQFOAgAAoAQA&#10;AA4AAAAAAAAAAQAgAAAAKAEAAGRycy9lMm9Eb2MueG1sUEsFBgAAAAAGAAYAWQEAAOgFAAAAAA==&#10;">
                <v:fill on="f" focussize="0,0"/>
                <v:stroke on="f" weight="0pt" miterlimit="0" joinstyle="miter"/>
                <v:imagedata o:title=""/>
                <o:lock v:ext="edit" aspectratio="f"/>
                <v:textbox inset="0mm,0mm,0mm,0mm">
                  <w:txbxContent>
                    <w:p w14:paraId="624F3F0A">
                      <w:pPr>
                        <w:spacing w:before="123" w:line="221" w:lineRule="auto"/>
                        <w:jc w:val="right"/>
                        <w:rPr>
                          <w:rFonts w:ascii="宋体" w:hAnsi="宋体" w:eastAsia="宋体" w:cs="宋体"/>
                          <w:sz w:val="51"/>
                          <w:szCs w:val="51"/>
                        </w:rPr>
                      </w:pPr>
                      <w:r>
                        <w:rPr>
                          <w:rFonts w:ascii="宋体" w:hAnsi="宋体" w:eastAsia="宋体" w:cs="宋体"/>
                          <w:spacing w:val="-9"/>
                          <w:sz w:val="51"/>
                          <w:szCs w:val="51"/>
                        </w:rPr>
                        <w:t>4</w:t>
                      </w:r>
                      <w:r>
                        <w:rPr>
                          <w:rFonts w:ascii="宋体" w:hAnsi="宋体" w:eastAsia="宋体" w:cs="宋体"/>
                          <w:spacing w:val="104"/>
                          <w:sz w:val="51"/>
                          <w:szCs w:val="51"/>
                        </w:rPr>
                        <w:t xml:space="preserve">  </w:t>
                      </w:r>
                      <w:r>
                        <w:rPr>
                          <w:rFonts w:ascii="宋体" w:hAnsi="宋体" w:eastAsia="宋体" w:cs="宋体"/>
                          <w:spacing w:val="-9"/>
                          <w:sz w:val="51"/>
                          <w:szCs w:val="51"/>
                        </w:rPr>
                        <w:t>环</w:t>
                      </w:r>
                    </w:p>
                  </w:txbxContent>
                </v:textbox>
              </v:shape>
            </w:pict>
          </mc:Fallback>
        </mc:AlternateContent>
      </w:r>
    </w:p>
    <w:p w14:paraId="181E1EC1">
      <w:pPr>
        <w:pStyle w:val="2"/>
        <w:spacing w:line="256" w:lineRule="auto"/>
      </w:pPr>
    </w:p>
    <w:p w14:paraId="7BF0AE05">
      <w:pPr>
        <w:spacing w:before="37" w:line="188" w:lineRule="auto"/>
        <w:ind w:left="8903"/>
        <w:rPr>
          <w:rFonts w:ascii="Times New Roman" w:hAnsi="Times New Roman" w:eastAsia="Times New Roman" w:cs="Times New Roman"/>
          <w:sz w:val="13"/>
          <w:szCs w:val="13"/>
        </w:rPr>
      </w:pPr>
      <w:r>
        <w:rPr>
          <w:rFonts w:ascii="Times New Roman" w:hAnsi="Times New Roman" w:eastAsia="Times New Roman" w:cs="Times New Roman"/>
          <w:sz w:val="13"/>
          <w:szCs w:val="13"/>
        </w:rPr>
        <w:t>1</w:t>
      </w:r>
    </w:p>
    <w:p w14:paraId="66DC5C5C">
      <w:pPr>
        <w:pStyle w:val="2"/>
        <w:spacing w:line="318" w:lineRule="auto"/>
      </w:pPr>
    </w:p>
    <w:p w14:paraId="76A516C3">
      <w:pPr>
        <w:pStyle w:val="2"/>
        <w:spacing w:line="319" w:lineRule="auto"/>
      </w:pPr>
    </w:p>
    <w:p w14:paraId="512DB5F5">
      <w:pPr>
        <w:spacing w:before="128" w:line="219" w:lineRule="auto"/>
        <w:ind w:left="1733"/>
        <w:rPr>
          <w:rFonts w:ascii="宋体" w:hAnsi="宋体" w:eastAsia="宋体" w:cs="宋体"/>
          <w:sz w:val="39"/>
          <w:szCs w:val="39"/>
        </w:rPr>
      </w:pPr>
      <w:r>
        <w:rPr>
          <w:rFonts w:ascii="宋体" w:hAnsi="宋体" w:eastAsia="宋体" w:cs="宋体"/>
          <w:spacing w:val="-24"/>
          <w:sz w:val="39"/>
          <w:szCs w:val="39"/>
        </w:rPr>
        <w:t>中华人民共和国生态环境部制</w:t>
      </w:r>
    </w:p>
    <w:p w14:paraId="295B07C0">
      <w:pPr>
        <w:pStyle w:val="2"/>
        <w:spacing w:line="253" w:lineRule="auto"/>
      </w:pPr>
    </w:p>
    <w:p w14:paraId="23EBFCDC">
      <w:pPr>
        <w:pStyle w:val="2"/>
        <w:spacing w:line="253" w:lineRule="auto"/>
      </w:pPr>
    </w:p>
    <w:p w14:paraId="588F4CAE">
      <w:pPr>
        <w:pStyle w:val="2"/>
        <w:spacing w:line="253" w:lineRule="auto"/>
      </w:pPr>
    </w:p>
    <w:p w14:paraId="7FEE10CF">
      <w:pPr>
        <w:pStyle w:val="2"/>
        <w:spacing w:line="253" w:lineRule="auto"/>
      </w:pPr>
    </w:p>
    <w:p w14:paraId="7FABD84D">
      <w:pPr>
        <w:pStyle w:val="2"/>
        <w:spacing w:line="253" w:lineRule="auto"/>
      </w:pPr>
    </w:p>
    <w:p w14:paraId="23D3BF9D">
      <w:pPr>
        <w:pStyle w:val="2"/>
        <w:spacing w:line="253" w:lineRule="auto"/>
      </w:pPr>
    </w:p>
    <w:p w14:paraId="362A8BC1">
      <w:pPr>
        <w:pStyle w:val="2"/>
        <w:spacing w:line="254" w:lineRule="auto"/>
      </w:pPr>
    </w:p>
    <w:p w14:paraId="51498E56">
      <w:pPr>
        <w:pStyle w:val="2"/>
        <w:spacing w:line="254" w:lineRule="auto"/>
      </w:pPr>
    </w:p>
    <w:p w14:paraId="7A54DD09">
      <w:pPr>
        <w:pStyle w:val="2"/>
        <w:spacing w:line="254" w:lineRule="auto"/>
      </w:pPr>
    </w:p>
    <w:p w14:paraId="5277BF70">
      <w:pPr>
        <w:pStyle w:val="2"/>
        <w:spacing w:line="254" w:lineRule="auto"/>
      </w:pPr>
    </w:p>
    <w:p w14:paraId="1BF24C82">
      <w:pPr>
        <w:pStyle w:val="2"/>
        <w:spacing w:line="254" w:lineRule="auto"/>
      </w:pPr>
    </w:p>
    <w:p w14:paraId="4A8F01BE">
      <w:pPr>
        <w:pStyle w:val="2"/>
        <w:spacing w:line="254" w:lineRule="auto"/>
      </w:pPr>
    </w:p>
    <w:p w14:paraId="35B996D4">
      <w:pPr>
        <w:spacing w:line="560" w:lineRule="exact"/>
        <w:ind w:firstLine="8533"/>
      </w:pPr>
      <w:r>
        <w:rPr>
          <w:position w:val="-11"/>
        </w:rPr>
        <w:drawing>
          <wp:inline distT="0" distB="0" distL="0" distR="0">
            <wp:extent cx="908050" cy="3556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48"/>
                    <a:stretch>
                      <a:fillRect/>
                    </a:stretch>
                  </pic:blipFill>
                  <pic:spPr>
                    <a:xfrm>
                      <a:off x="0" y="0"/>
                      <a:ext cx="908071" cy="355659"/>
                    </a:xfrm>
                    <a:prstGeom prst="rect">
                      <a:avLst/>
                    </a:prstGeom>
                  </pic:spPr>
                </pic:pic>
              </a:graphicData>
            </a:graphic>
          </wp:inline>
        </w:drawing>
      </w:r>
    </w:p>
    <w:p w14:paraId="20C018FE">
      <w:pPr>
        <w:spacing w:line="560" w:lineRule="exact"/>
        <w:sectPr>
          <w:footerReference r:id="rId5" w:type="default"/>
          <w:pgSz w:w="11910" w:h="16850"/>
          <w:pgMar w:top="1432" w:right="159" w:bottom="1" w:left="1786" w:header="0" w:footer="0" w:gutter="0"/>
          <w:cols w:space="720" w:num="1"/>
        </w:sectPr>
      </w:pPr>
    </w:p>
    <w:p w14:paraId="540F5597">
      <w:pPr>
        <w:spacing w:before="44" w:line="219" w:lineRule="auto"/>
        <w:rPr>
          <w:rFonts w:ascii="宋体" w:hAnsi="宋体" w:eastAsia="宋体" w:cs="宋体"/>
          <w:sz w:val="22"/>
          <w:szCs w:val="22"/>
        </w:rPr>
      </w:pPr>
      <w:r>
        <w:rPr>
          <w:rFonts w:ascii="宋体" w:hAnsi="宋体" w:eastAsia="宋体" w:cs="宋体"/>
          <w:spacing w:val="-13"/>
          <w:sz w:val="22"/>
          <w:szCs w:val="22"/>
        </w:rPr>
        <w:t>打印编号：1729579775000</w:t>
      </w:r>
    </w:p>
    <w:p w14:paraId="296F2673">
      <w:pPr>
        <w:spacing w:before="122" w:line="219" w:lineRule="auto"/>
        <w:ind w:left="2245"/>
        <w:rPr>
          <w:rFonts w:ascii="宋体" w:hAnsi="宋体" w:eastAsia="宋体" w:cs="宋体"/>
          <w:sz w:val="48"/>
          <w:szCs w:val="48"/>
        </w:rPr>
      </w:pPr>
      <w:r>
        <w:rPr>
          <w:rFonts w:ascii="宋体" w:hAnsi="宋体" w:eastAsia="宋体" w:cs="宋体"/>
          <w:b/>
          <w:bCs/>
          <w:color w:val="1020B0"/>
          <w:spacing w:val="-39"/>
          <w:w w:val="93"/>
          <w:sz w:val="48"/>
          <w:szCs w:val="48"/>
        </w:rPr>
        <w:t>编制单位和编制人员情况表</w:t>
      </w:r>
    </w:p>
    <w:p w14:paraId="75A60E36">
      <w:pPr>
        <w:spacing w:line="212" w:lineRule="exact"/>
      </w:pPr>
    </w:p>
    <w:tbl>
      <w:tblPr>
        <w:tblStyle w:val="5"/>
        <w:tblW w:w="9249"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3"/>
        <w:gridCol w:w="1508"/>
        <w:gridCol w:w="1142"/>
        <w:gridCol w:w="706"/>
        <w:gridCol w:w="2587"/>
        <w:gridCol w:w="1643"/>
      </w:tblGrid>
      <w:tr w14:paraId="4549B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3171" w:type="dxa"/>
            <w:gridSpan w:val="2"/>
            <w:vAlign w:val="top"/>
          </w:tcPr>
          <w:p w14:paraId="157C87B6">
            <w:pPr>
              <w:pStyle w:val="6"/>
              <w:spacing w:before="184" w:line="219" w:lineRule="auto"/>
              <w:ind w:left="14"/>
            </w:pPr>
            <w:r>
              <w:rPr>
                <w:spacing w:val="3"/>
              </w:rPr>
              <w:t>项目编号</w:t>
            </w:r>
          </w:p>
        </w:tc>
        <w:tc>
          <w:tcPr>
            <w:tcW w:w="6078" w:type="dxa"/>
            <w:gridSpan w:val="4"/>
            <w:vAlign w:val="top"/>
          </w:tcPr>
          <w:p w14:paraId="52DB866E">
            <w:pPr>
              <w:pStyle w:val="6"/>
              <w:spacing w:before="205"/>
              <w:ind w:left="13"/>
            </w:pPr>
            <w:r>
              <w:rPr>
                <w:spacing w:val="-2"/>
              </w:rPr>
              <w:t>26wo44</w:t>
            </w:r>
          </w:p>
        </w:tc>
      </w:tr>
      <w:tr w14:paraId="41604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71" w:type="dxa"/>
            <w:gridSpan w:val="2"/>
            <w:vAlign w:val="top"/>
          </w:tcPr>
          <w:p w14:paraId="35108FC8">
            <w:pPr>
              <w:pStyle w:val="6"/>
              <w:spacing w:before="179" w:line="220" w:lineRule="auto"/>
              <w:ind w:left="14"/>
            </w:pPr>
            <w:r>
              <w:rPr>
                <w:spacing w:val="1"/>
              </w:rPr>
              <w:t>建设项目名称</w:t>
            </w:r>
          </w:p>
        </w:tc>
        <w:tc>
          <w:tcPr>
            <w:tcW w:w="6078" w:type="dxa"/>
            <w:gridSpan w:val="4"/>
            <w:vAlign w:val="top"/>
          </w:tcPr>
          <w:p w14:paraId="2102DFBB">
            <w:pPr>
              <w:pStyle w:val="6"/>
              <w:spacing w:before="177" w:line="219" w:lineRule="auto"/>
              <w:ind w:left="13"/>
            </w:pPr>
            <w:r>
              <w:rPr>
                <w:spacing w:val="4"/>
              </w:rPr>
              <w:t>栗树园村光伏发电项目</w:t>
            </w:r>
          </w:p>
        </w:tc>
      </w:tr>
      <w:tr w14:paraId="749A7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71" w:type="dxa"/>
            <w:gridSpan w:val="2"/>
            <w:vAlign w:val="top"/>
          </w:tcPr>
          <w:p w14:paraId="1098D298">
            <w:pPr>
              <w:pStyle w:val="6"/>
              <w:spacing w:before="180" w:line="219" w:lineRule="auto"/>
              <w:ind w:left="14"/>
            </w:pPr>
            <w:r>
              <w:rPr>
                <w:spacing w:val="3"/>
              </w:rPr>
              <w:t>建设项目类别</w:t>
            </w:r>
          </w:p>
        </w:tc>
        <w:tc>
          <w:tcPr>
            <w:tcW w:w="6078" w:type="dxa"/>
            <w:gridSpan w:val="4"/>
            <w:vAlign w:val="top"/>
          </w:tcPr>
          <w:p w14:paraId="25EA2D26">
            <w:pPr>
              <w:pStyle w:val="6"/>
              <w:spacing w:before="180" w:line="219" w:lineRule="auto"/>
              <w:ind w:left="13"/>
            </w:pPr>
            <w:r>
              <w:t>41--090陆上风力发电；太阳能发电；其他电力生产</w:t>
            </w:r>
          </w:p>
        </w:tc>
      </w:tr>
      <w:tr w14:paraId="5D86D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171" w:type="dxa"/>
            <w:gridSpan w:val="2"/>
            <w:vAlign w:val="top"/>
          </w:tcPr>
          <w:p w14:paraId="5DF661C0">
            <w:pPr>
              <w:pStyle w:val="6"/>
              <w:spacing w:before="169" w:line="218" w:lineRule="auto"/>
              <w:ind w:left="14"/>
            </w:pPr>
            <w:r>
              <w:rPr>
                <w:spacing w:val="1"/>
              </w:rPr>
              <w:t>环境影响评价文件类型</w:t>
            </w:r>
          </w:p>
        </w:tc>
        <w:tc>
          <w:tcPr>
            <w:tcW w:w="6078" w:type="dxa"/>
            <w:gridSpan w:val="4"/>
            <w:vAlign w:val="top"/>
          </w:tcPr>
          <w:p w14:paraId="26E87D6C">
            <w:pPr>
              <w:pStyle w:val="6"/>
              <w:spacing w:before="169" w:line="218" w:lineRule="auto"/>
              <w:ind w:left="13"/>
            </w:pPr>
            <w:r>
              <w:drawing>
                <wp:anchor distT="0" distB="0" distL="0" distR="0" simplePos="0" relativeHeight="251662336" behindDoc="0" locked="0" layoutInCell="1" allowOverlap="1">
                  <wp:simplePos x="0" y="0"/>
                  <wp:positionH relativeFrom="column">
                    <wp:posOffset>-123825</wp:posOffset>
                  </wp:positionH>
                  <wp:positionV relativeFrom="paragraph">
                    <wp:posOffset>184785</wp:posOffset>
                  </wp:positionV>
                  <wp:extent cx="1422400" cy="14922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49"/>
                          <a:stretch>
                            <a:fillRect/>
                          </a:stretch>
                        </pic:blipFill>
                        <pic:spPr>
                          <a:xfrm>
                            <a:off x="0" y="0"/>
                            <a:ext cx="1422345" cy="1492186"/>
                          </a:xfrm>
                          <a:prstGeom prst="rect">
                            <a:avLst/>
                          </a:prstGeom>
                        </pic:spPr>
                      </pic:pic>
                    </a:graphicData>
                  </a:graphic>
                </wp:anchor>
              </w:drawing>
            </w:r>
            <w:r>
              <w:rPr>
                <w:spacing w:val="-2"/>
              </w:rPr>
              <w:t>报告表</w:t>
            </w:r>
          </w:p>
        </w:tc>
      </w:tr>
      <w:tr w14:paraId="0A65A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9249" w:type="dxa"/>
            <w:gridSpan w:val="6"/>
            <w:vAlign w:val="top"/>
          </w:tcPr>
          <w:p w14:paraId="5C1D7264">
            <w:pPr>
              <w:pStyle w:val="6"/>
              <w:spacing w:before="178" w:line="220" w:lineRule="auto"/>
              <w:ind w:left="78"/>
            </w:pPr>
            <w:r>
              <w:rPr>
                <w:b/>
                <w:bCs/>
                <w:spacing w:val="-5"/>
              </w:rPr>
              <w:t>一、建设单位情况</w:t>
            </w:r>
          </w:p>
        </w:tc>
      </w:tr>
      <w:tr w14:paraId="52062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171" w:type="dxa"/>
            <w:gridSpan w:val="2"/>
            <w:vAlign w:val="top"/>
          </w:tcPr>
          <w:p w14:paraId="424EAA5E">
            <w:pPr>
              <w:pStyle w:val="6"/>
              <w:spacing w:before="170" w:line="219" w:lineRule="auto"/>
              <w:ind w:left="14"/>
            </w:pPr>
            <w:r>
              <w:rPr>
                <w:spacing w:val="6"/>
              </w:rPr>
              <w:t>单位名称(盖章)</w:t>
            </w:r>
          </w:p>
        </w:tc>
        <w:tc>
          <w:tcPr>
            <w:tcW w:w="6078" w:type="dxa"/>
            <w:gridSpan w:val="4"/>
            <w:vAlign w:val="top"/>
          </w:tcPr>
          <w:p w14:paraId="79DDA71B">
            <w:pPr>
              <w:pStyle w:val="6"/>
              <w:spacing w:before="172" w:line="220" w:lineRule="auto"/>
              <w:ind w:left="13"/>
            </w:pPr>
            <w:r>
              <w:rPr>
                <w:spacing w:val="2"/>
              </w:rPr>
              <w:t>粤润陆良新能源有限公司</w:t>
            </w:r>
          </w:p>
        </w:tc>
      </w:tr>
      <w:tr w14:paraId="174DA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3171" w:type="dxa"/>
            <w:gridSpan w:val="2"/>
            <w:vAlign w:val="top"/>
          </w:tcPr>
          <w:p w14:paraId="4D27A1C8">
            <w:pPr>
              <w:pStyle w:val="6"/>
              <w:spacing w:before="180" w:line="219" w:lineRule="auto"/>
              <w:ind w:left="14"/>
            </w:pPr>
            <w:r>
              <w:rPr>
                <w:spacing w:val="1"/>
              </w:rPr>
              <w:t>统一社会信用代码</w:t>
            </w:r>
          </w:p>
        </w:tc>
        <w:tc>
          <w:tcPr>
            <w:tcW w:w="6078" w:type="dxa"/>
            <w:gridSpan w:val="4"/>
            <w:vAlign w:val="top"/>
          </w:tcPr>
          <w:p w14:paraId="014BF19D">
            <w:pPr>
              <w:pStyle w:val="6"/>
              <w:spacing w:before="158" w:line="221" w:lineRule="auto"/>
              <w:ind w:left="13"/>
              <w:rPr>
                <w:sz w:val="28"/>
                <w:szCs w:val="28"/>
              </w:rPr>
            </w:pPr>
            <w:r>
              <w:drawing>
                <wp:anchor distT="0" distB="0" distL="0" distR="0" simplePos="0" relativeHeight="251663360" behindDoc="0" locked="0" layoutInCell="1" allowOverlap="1">
                  <wp:simplePos x="0" y="0"/>
                  <wp:positionH relativeFrom="column">
                    <wp:posOffset>1538605</wp:posOffset>
                  </wp:positionH>
                  <wp:positionV relativeFrom="paragraph">
                    <wp:posOffset>186055</wp:posOffset>
                  </wp:positionV>
                  <wp:extent cx="730250" cy="7747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50"/>
                          <a:stretch>
                            <a:fillRect/>
                          </a:stretch>
                        </pic:blipFill>
                        <pic:spPr>
                          <a:xfrm>
                            <a:off x="0" y="0"/>
                            <a:ext cx="730268" cy="774661"/>
                          </a:xfrm>
                          <a:prstGeom prst="rect">
                            <a:avLst/>
                          </a:prstGeom>
                        </pic:spPr>
                      </pic:pic>
                    </a:graphicData>
                  </a:graphic>
                </wp:anchor>
              </w:drawing>
            </w:r>
            <w:r>
              <w:rPr>
                <w:color w:val="000020"/>
                <w:spacing w:val="1"/>
                <w:sz w:val="28"/>
                <w:szCs w:val="28"/>
              </w:rPr>
              <w:t>91巧30322</w:t>
            </w:r>
            <w:r>
              <w:rPr>
                <w:color w:val="000020"/>
                <w:sz w:val="28"/>
                <w:szCs w:val="28"/>
              </w:rPr>
              <w:t>MADBAXLAOP</w:t>
            </w:r>
          </w:p>
        </w:tc>
      </w:tr>
      <w:tr w14:paraId="6F607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3171" w:type="dxa"/>
            <w:gridSpan w:val="2"/>
            <w:vAlign w:val="top"/>
          </w:tcPr>
          <w:p w14:paraId="7CE145FC">
            <w:pPr>
              <w:pStyle w:val="6"/>
              <w:spacing w:before="180" w:line="219" w:lineRule="auto"/>
              <w:ind w:left="14"/>
            </w:pPr>
            <w:r>
              <w:rPr>
                <w:spacing w:val="5"/>
              </w:rPr>
              <w:t>法定代表人(签章)</w:t>
            </w:r>
          </w:p>
        </w:tc>
        <w:tc>
          <w:tcPr>
            <w:tcW w:w="6078" w:type="dxa"/>
            <w:gridSpan w:val="4"/>
            <w:vAlign w:val="top"/>
          </w:tcPr>
          <w:p w14:paraId="0E287DCA">
            <w:pPr>
              <w:pStyle w:val="6"/>
              <w:spacing w:before="182" w:line="220" w:lineRule="auto"/>
              <w:ind w:left="13"/>
            </w:pPr>
            <w:r>
              <w:rPr>
                <w:spacing w:val="3"/>
              </w:rPr>
              <w:t>贺西南</w:t>
            </w:r>
          </w:p>
        </w:tc>
      </w:tr>
      <w:tr w14:paraId="6A82F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71" w:type="dxa"/>
            <w:gridSpan w:val="2"/>
            <w:vAlign w:val="top"/>
          </w:tcPr>
          <w:p w14:paraId="4CC8DDEA">
            <w:pPr>
              <w:pStyle w:val="6"/>
              <w:spacing w:before="182" w:line="219" w:lineRule="auto"/>
              <w:ind w:left="14"/>
            </w:pPr>
            <w:r>
              <w:rPr>
                <w:spacing w:val="5"/>
              </w:rPr>
              <w:t>主要负责人(签字)</w:t>
            </w:r>
          </w:p>
        </w:tc>
        <w:tc>
          <w:tcPr>
            <w:tcW w:w="1142" w:type="dxa"/>
            <w:tcBorders>
              <w:right w:val="nil"/>
            </w:tcBorders>
            <w:vAlign w:val="top"/>
          </w:tcPr>
          <w:p w14:paraId="14CED42C">
            <w:pPr>
              <w:pStyle w:val="6"/>
              <w:spacing w:before="200" w:line="219" w:lineRule="auto"/>
              <w:ind w:left="13"/>
            </w:pPr>
            <w:r>
              <w:rPr>
                <w:spacing w:val="5"/>
              </w:rPr>
              <w:t>梁流章</w:t>
            </w:r>
          </w:p>
        </w:tc>
        <w:tc>
          <w:tcPr>
            <w:tcW w:w="4936" w:type="dxa"/>
            <w:gridSpan w:val="3"/>
            <w:tcBorders>
              <w:left w:val="nil"/>
            </w:tcBorders>
            <w:vAlign w:val="top"/>
          </w:tcPr>
          <w:p w14:paraId="42884A11">
            <w:pPr>
              <w:pStyle w:val="6"/>
              <w:spacing w:before="37" w:line="178" w:lineRule="auto"/>
              <w:ind w:left="1396"/>
              <w:rPr>
                <w:sz w:val="17"/>
                <w:szCs w:val="17"/>
              </w:rPr>
            </w:pPr>
            <w:r>
              <w:rPr>
                <w:color w:val="702040"/>
                <w:spacing w:val="-1"/>
                <w:sz w:val="17"/>
                <w:szCs w:val="17"/>
              </w:rPr>
              <w:t>530300803733</w:t>
            </w:r>
            <w:r>
              <w:rPr>
                <w:color w:val="A02050"/>
                <w:spacing w:val="-1"/>
                <w:sz w:val="17"/>
                <w:szCs w:val="17"/>
              </w:rPr>
              <w:t>9</w:t>
            </w:r>
          </w:p>
          <w:p w14:paraId="56DCE983">
            <w:pPr>
              <w:pStyle w:val="6"/>
              <w:spacing w:line="217" w:lineRule="auto"/>
              <w:ind w:left="446"/>
              <w:rPr>
                <w:sz w:val="19"/>
                <w:szCs w:val="19"/>
              </w:rPr>
            </w:pPr>
            <w:r>
              <w:rPr>
                <w:spacing w:val="12"/>
                <w:sz w:val="19"/>
                <w:szCs w:val="19"/>
              </w:rPr>
              <w:t>流章</w:t>
            </w:r>
          </w:p>
        </w:tc>
      </w:tr>
      <w:tr w14:paraId="794D2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3171" w:type="dxa"/>
            <w:gridSpan w:val="2"/>
            <w:vAlign w:val="top"/>
          </w:tcPr>
          <w:p w14:paraId="54D79457">
            <w:pPr>
              <w:pStyle w:val="6"/>
              <w:spacing w:before="183" w:line="219" w:lineRule="auto"/>
              <w:ind w:left="14"/>
            </w:pPr>
            <w:r>
              <w:rPr>
                <w:spacing w:val="3"/>
              </w:rPr>
              <w:t>直接负责的主管人员(签字)</w:t>
            </w:r>
          </w:p>
        </w:tc>
        <w:tc>
          <w:tcPr>
            <w:tcW w:w="1142" w:type="dxa"/>
            <w:tcBorders>
              <w:right w:val="nil"/>
            </w:tcBorders>
            <w:vAlign w:val="top"/>
          </w:tcPr>
          <w:p w14:paraId="31541CFB">
            <w:pPr>
              <w:pStyle w:val="6"/>
              <w:spacing w:before="181" w:line="219" w:lineRule="auto"/>
              <w:ind w:left="13"/>
            </w:pPr>
            <w:r>
              <w:rPr>
                <w:spacing w:val="5"/>
              </w:rPr>
              <w:t>梁流章</w:t>
            </w:r>
          </w:p>
        </w:tc>
        <w:tc>
          <w:tcPr>
            <w:tcW w:w="4936" w:type="dxa"/>
            <w:gridSpan w:val="3"/>
            <w:tcBorders>
              <w:left w:val="nil"/>
            </w:tcBorders>
            <w:vAlign w:val="top"/>
          </w:tcPr>
          <w:p w14:paraId="000F8D73">
            <w:pPr>
              <w:spacing w:before="63" w:line="507" w:lineRule="exact"/>
              <w:ind w:firstLine="66"/>
            </w:pPr>
            <w:r>
              <w:rPr>
                <w:position w:val="-10"/>
              </w:rPr>
              <w:drawing>
                <wp:inline distT="0" distB="0" distL="0" distR="0">
                  <wp:extent cx="857250" cy="32131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51"/>
                          <a:stretch>
                            <a:fillRect/>
                          </a:stretch>
                        </pic:blipFill>
                        <pic:spPr>
                          <a:xfrm>
                            <a:off x="0" y="0"/>
                            <a:ext cx="857808" cy="321907"/>
                          </a:xfrm>
                          <a:prstGeom prst="rect">
                            <a:avLst/>
                          </a:prstGeom>
                        </pic:spPr>
                      </pic:pic>
                    </a:graphicData>
                  </a:graphic>
                </wp:inline>
              </w:drawing>
            </w:r>
          </w:p>
        </w:tc>
      </w:tr>
      <w:tr w14:paraId="4DE5E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9249" w:type="dxa"/>
            <w:gridSpan w:val="6"/>
            <w:vAlign w:val="top"/>
          </w:tcPr>
          <w:p w14:paraId="3A071524">
            <w:pPr>
              <w:pStyle w:val="6"/>
              <w:spacing w:before="180" w:line="219" w:lineRule="auto"/>
              <w:ind w:left="78"/>
            </w:pPr>
            <w:r>
              <w:rPr>
                <w:b/>
                <w:bCs/>
                <w:spacing w:val="-4"/>
              </w:rPr>
              <w:t>二、编制单位情况</w:t>
            </w:r>
          </w:p>
        </w:tc>
      </w:tr>
      <w:tr w14:paraId="09ECB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3171" w:type="dxa"/>
            <w:gridSpan w:val="2"/>
            <w:vAlign w:val="top"/>
          </w:tcPr>
          <w:p w14:paraId="1E6BAD65">
            <w:pPr>
              <w:pStyle w:val="6"/>
              <w:spacing w:before="182" w:line="219" w:lineRule="auto"/>
              <w:ind w:left="14"/>
            </w:pPr>
            <w:r>
              <w:rPr>
                <w:spacing w:val="6"/>
              </w:rPr>
              <w:t>单位名称(盖章)</w:t>
            </w:r>
          </w:p>
        </w:tc>
        <w:tc>
          <w:tcPr>
            <w:tcW w:w="6078" w:type="dxa"/>
            <w:gridSpan w:val="4"/>
            <w:vAlign w:val="top"/>
          </w:tcPr>
          <w:p w14:paraId="5BFF20D7">
            <w:pPr>
              <w:pStyle w:val="6"/>
              <w:spacing w:before="182" w:line="219" w:lineRule="auto"/>
              <w:ind w:left="13"/>
            </w:pPr>
            <w:r>
              <w:drawing>
                <wp:anchor distT="0" distB="0" distL="0" distR="0" simplePos="0" relativeHeight="251664384" behindDoc="0" locked="0" layoutInCell="1" allowOverlap="1">
                  <wp:simplePos x="0" y="0"/>
                  <wp:positionH relativeFrom="column">
                    <wp:posOffset>370205</wp:posOffset>
                  </wp:positionH>
                  <wp:positionV relativeFrom="paragraph">
                    <wp:posOffset>-365125</wp:posOffset>
                  </wp:positionV>
                  <wp:extent cx="1466850" cy="155575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52"/>
                          <a:stretch>
                            <a:fillRect/>
                          </a:stretch>
                        </pic:blipFill>
                        <pic:spPr>
                          <a:xfrm>
                            <a:off x="0" y="0"/>
                            <a:ext cx="1466814" cy="1555850"/>
                          </a:xfrm>
                          <a:prstGeom prst="rect">
                            <a:avLst/>
                          </a:prstGeom>
                        </pic:spPr>
                      </pic:pic>
                    </a:graphicData>
                  </a:graphic>
                </wp:anchor>
              </w:drawing>
            </w:r>
            <w:r>
              <w:rPr>
                <w:spacing w:val="2"/>
              </w:rPr>
              <w:t>云南江楚环保科技有限公司</w:t>
            </w:r>
          </w:p>
        </w:tc>
      </w:tr>
      <w:tr w14:paraId="305DB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3171" w:type="dxa"/>
            <w:gridSpan w:val="2"/>
            <w:vAlign w:val="top"/>
          </w:tcPr>
          <w:p w14:paraId="3E03E96C">
            <w:pPr>
              <w:pStyle w:val="6"/>
              <w:spacing w:before="182" w:line="219" w:lineRule="auto"/>
              <w:ind w:left="14"/>
            </w:pPr>
            <w:r>
              <w:rPr>
                <w:spacing w:val="1"/>
              </w:rPr>
              <w:t>统一社会信用代码</w:t>
            </w:r>
          </w:p>
        </w:tc>
        <w:tc>
          <w:tcPr>
            <w:tcW w:w="6078" w:type="dxa"/>
            <w:gridSpan w:val="4"/>
            <w:vAlign w:val="top"/>
          </w:tcPr>
          <w:p w14:paraId="59728C96">
            <w:pPr>
              <w:pStyle w:val="6"/>
              <w:spacing w:before="238" w:line="185" w:lineRule="auto"/>
              <w:ind w:left="13"/>
            </w:pPr>
            <w:r>
              <w:rPr>
                <w:spacing w:val="-1"/>
              </w:rPr>
              <w:t>9153011VA6PAN55D6</w:t>
            </w:r>
          </w:p>
        </w:tc>
      </w:tr>
      <w:tr w14:paraId="62A58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249" w:type="dxa"/>
            <w:gridSpan w:val="6"/>
            <w:vAlign w:val="top"/>
          </w:tcPr>
          <w:p w14:paraId="19797044">
            <w:pPr>
              <w:pStyle w:val="6"/>
              <w:spacing w:before="171" w:line="224" w:lineRule="auto"/>
              <w:ind w:left="78"/>
            </w:pPr>
            <w:r>
              <w:rPr>
                <w:b/>
                <w:bCs/>
                <w:spacing w:val="-1"/>
              </w:rPr>
              <w:t>三、编制人员情况</w:t>
            </w:r>
            <w:r>
              <w:rPr>
                <w:spacing w:val="-1"/>
              </w:rPr>
              <w:t xml:space="preserve">             </w:t>
            </w:r>
            <w:r>
              <w:rPr>
                <w:spacing w:val="-2"/>
              </w:rPr>
              <w:t xml:space="preserve">       ```markdown</w:t>
            </w:r>
            <w:r>
              <w:rPr>
                <w:position w:val="-3"/>
              </w:rPr>
              <w:drawing>
                <wp:inline distT="0" distB="0" distL="0" distR="0">
                  <wp:extent cx="138430" cy="14097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53"/>
                          <a:stretch>
                            <a:fillRect/>
                          </a:stretch>
                        </pic:blipFill>
                        <pic:spPr>
                          <a:xfrm>
                            <a:off x="0" y="0"/>
                            <a:ext cx="138442" cy="141516"/>
                          </a:xfrm>
                          <a:prstGeom prst="rect">
                            <a:avLst/>
                          </a:prstGeom>
                        </pic:spPr>
                      </pic:pic>
                    </a:graphicData>
                  </a:graphic>
                </wp:inline>
              </w:drawing>
            </w:r>
            <w:r>
              <w:rPr>
                <w:spacing w:val="-90"/>
              </w:rPr>
              <w:t xml:space="preserve"> </w:t>
            </w:r>
            <w:r>
              <w:rPr>
                <w:spacing w:val="-2"/>
              </w:rPr>
              <w:t>```</w:t>
            </w:r>
          </w:p>
        </w:tc>
      </w:tr>
      <w:tr w14:paraId="27D7A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9249" w:type="dxa"/>
            <w:gridSpan w:val="6"/>
            <w:vAlign w:val="top"/>
          </w:tcPr>
          <w:p w14:paraId="12C36A64">
            <w:pPr>
              <w:pStyle w:val="6"/>
              <w:spacing w:before="185" w:line="219" w:lineRule="auto"/>
              <w:ind w:left="74"/>
            </w:pPr>
            <w:r>
              <w:rPr>
                <w:spacing w:val="1"/>
              </w:rPr>
              <w:t>1.编制主持人</w:t>
            </w:r>
          </w:p>
        </w:tc>
      </w:tr>
      <w:tr w14:paraId="47B00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663" w:type="dxa"/>
            <w:vAlign w:val="top"/>
          </w:tcPr>
          <w:p w14:paraId="4F13DC1A">
            <w:pPr>
              <w:pStyle w:val="6"/>
              <w:spacing w:before="186" w:line="219" w:lineRule="auto"/>
              <w:ind w:left="604"/>
            </w:pPr>
            <w:r>
              <w:rPr>
                <w:spacing w:val="14"/>
              </w:rPr>
              <w:t>姓名</w:t>
            </w:r>
          </w:p>
        </w:tc>
        <w:tc>
          <w:tcPr>
            <w:tcW w:w="3356" w:type="dxa"/>
            <w:gridSpan w:val="3"/>
            <w:vAlign w:val="top"/>
          </w:tcPr>
          <w:p w14:paraId="6B74D3B8">
            <w:pPr>
              <w:pStyle w:val="6"/>
              <w:spacing w:before="184" w:line="219" w:lineRule="auto"/>
              <w:ind w:left="681"/>
            </w:pPr>
            <w:r>
              <w:rPr>
                <w:spacing w:val="1"/>
              </w:rPr>
              <w:t>职业资格证书管理号</w:t>
            </w:r>
          </w:p>
        </w:tc>
        <w:tc>
          <w:tcPr>
            <w:tcW w:w="2587" w:type="dxa"/>
            <w:vAlign w:val="top"/>
          </w:tcPr>
          <w:p w14:paraId="3CC79E48">
            <w:pPr>
              <w:pStyle w:val="6"/>
              <w:spacing w:before="186" w:line="219" w:lineRule="auto"/>
              <w:ind w:left="845"/>
            </w:pPr>
            <w:r>
              <w:rPr>
                <w:spacing w:val="3"/>
              </w:rPr>
              <w:t>信用编号</w:t>
            </w:r>
          </w:p>
        </w:tc>
        <w:tc>
          <w:tcPr>
            <w:tcW w:w="1643" w:type="dxa"/>
            <w:vAlign w:val="top"/>
          </w:tcPr>
          <w:p w14:paraId="575B7E3D">
            <w:pPr>
              <w:pStyle w:val="6"/>
              <w:spacing w:before="186" w:line="219" w:lineRule="auto"/>
              <w:ind w:left="598"/>
            </w:pPr>
            <w:r>
              <w:rPr>
                <w:spacing w:val="-3"/>
              </w:rPr>
              <w:t>签字</w:t>
            </w:r>
          </w:p>
        </w:tc>
      </w:tr>
      <w:tr w14:paraId="03421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663" w:type="dxa"/>
            <w:vAlign w:val="top"/>
          </w:tcPr>
          <w:p w14:paraId="5B195B0D">
            <w:pPr>
              <w:pStyle w:val="6"/>
              <w:spacing w:before="189" w:line="221" w:lineRule="auto"/>
              <w:ind w:left="604"/>
            </w:pPr>
            <w:r>
              <w:rPr>
                <w:spacing w:val="7"/>
              </w:rPr>
              <w:t>张莹</w:t>
            </w:r>
          </w:p>
        </w:tc>
        <w:tc>
          <w:tcPr>
            <w:tcW w:w="3356" w:type="dxa"/>
            <w:gridSpan w:val="3"/>
            <w:vAlign w:val="top"/>
          </w:tcPr>
          <w:p w14:paraId="0C2B5BBE">
            <w:pPr>
              <w:pStyle w:val="6"/>
              <w:spacing w:before="207"/>
              <w:ind w:left="131"/>
            </w:pPr>
            <w:r>
              <w:rPr>
                <w:spacing w:val="-1"/>
              </w:rPr>
              <w:t>2014035530352013533611000007</w:t>
            </w:r>
          </w:p>
        </w:tc>
        <w:tc>
          <w:tcPr>
            <w:tcW w:w="2587" w:type="dxa"/>
            <w:vAlign w:val="top"/>
          </w:tcPr>
          <w:p w14:paraId="2CD90507">
            <w:pPr>
              <w:pStyle w:val="6"/>
              <w:spacing w:before="241" w:line="184" w:lineRule="auto"/>
              <w:ind w:left="845"/>
            </w:pPr>
            <w:r>
              <w:rPr>
                <w:spacing w:val="-1"/>
              </w:rPr>
              <w:t>BH028451</w:t>
            </w:r>
          </w:p>
        </w:tc>
        <w:tc>
          <w:tcPr>
            <w:tcW w:w="1643" w:type="dxa"/>
            <w:vAlign w:val="top"/>
          </w:tcPr>
          <w:p w14:paraId="0B319AA2">
            <w:pPr>
              <w:spacing w:before="65" w:line="472" w:lineRule="exact"/>
              <w:ind w:firstLine="183"/>
            </w:pPr>
            <w:r>
              <w:rPr>
                <w:position w:val="-9"/>
              </w:rPr>
              <w:drawing>
                <wp:inline distT="0" distB="0" distL="0" distR="0">
                  <wp:extent cx="450215" cy="29972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54"/>
                          <a:stretch>
                            <a:fillRect/>
                          </a:stretch>
                        </pic:blipFill>
                        <pic:spPr>
                          <a:xfrm>
                            <a:off x="0" y="0"/>
                            <a:ext cx="450747" cy="299967"/>
                          </a:xfrm>
                          <a:prstGeom prst="rect">
                            <a:avLst/>
                          </a:prstGeom>
                        </pic:spPr>
                      </pic:pic>
                    </a:graphicData>
                  </a:graphic>
                </wp:inline>
              </w:drawing>
            </w:r>
          </w:p>
        </w:tc>
      </w:tr>
      <w:tr w14:paraId="5FB82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249" w:type="dxa"/>
            <w:gridSpan w:val="6"/>
            <w:vAlign w:val="top"/>
          </w:tcPr>
          <w:p w14:paraId="053589F6">
            <w:pPr>
              <w:pStyle w:val="6"/>
              <w:spacing w:before="187" w:line="219" w:lineRule="auto"/>
              <w:ind w:left="74"/>
            </w:pPr>
            <w:r>
              <w:rPr>
                <w:spacing w:val="3"/>
              </w:rPr>
              <w:t>2.主要编制人员</w:t>
            </w:r>
          </w:p>
        </w:tc>
      </w:tr>
      <w:tr w14:paraId="5F1DF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663" w:type="dxa"/>
            <w:vAlign w:val="top"/>
          </w:tcPr>
          <w:p w14:paraId="158A945E">
            <w:pPr>
              <w:pStyle w:val="6"/>
              <w:spacing w:before="187" w:line="219" w:lineRule="auto"/>
              <w:ind w:left="604"/>
            </w:pPr>
            <w:r>
              <w:rPr>
                <w:spacing w:val="14"/>
              </w:rPr>
              <w:t>姓名</w:t>
            </w:r>
          </w:p>
        </w:tc>
        <w:tc>
          <w:tcPr>
            <w:tcW w:w="3356" w:type="dxa"/>
            <w:gridSpan w:val="3"/>
            <w:vAlign w:val="top"/>
          </w:tcPr>
          <w:p w14:paraId="35FB1BFB">
            <w:pPr>
              <w:pStyle w:val="6"/>
              <w:spacing w:before="187" w:line="219" w:lineRule="auto"/>
              <w:ind w:left="1011"/>
            </w:pPr>
            <w:r>
              <w:rPr>
                <w:spacing w:val="1"/>
              </w:rPr>
              <w:t>主要编写内容</w:t>
            </w:r>
          </w:p>
        </w:tc>
        <w:tc>
          <w:tcPr>
            <w:tcW w:w="2587" w:type="dxa"/>
            <w:vAlign w:val="top"/>
          </w:tcPr>
          <w:p w14:paraId="4647664E">
            <w:pPr>
              <w:pStyle w:val="6"/>
              <w:spacing w:before="187" w:line="219" w:lineRule="auto"/>
              <w:ind w:left="845"/>
            </w:pPr>
            <w:r>
              <w:rPr>
                <w:spacing w:val="3"/>
              </w:rPr>
              <w:t>信用编号</w:t>
            </w:r>
          </w:p>
        </w:tc>
        <w:tc>
          <w:tcPr>
            <w:tcW w:w="1643" w:type="dxa"/>
            <w:vAlign w:val="top"/>
          </w:tcPr>
          <w:p w14:paraId="76CDB5A2">
            <w:pPr>
              <w:pStyle w:val="6"/>
              <w:spacing w:before="187" w:line="219" w:lineRule="auto"/>
              <w:ind w:left="598"/>
            </w:pPr>
            <w:r>
              <w:rPr>
                <w:spacing w:val="-3"/>
              </w:rPr>
              <w:t>签字</w:t>
            </w:r>
          </w:p>
        </w:tc>
      </w:tr>
      <w:tr w14:paraId="011A3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663" w:type="dxa"/>
            <w:vAlign w:val="top"/>
          </w:tcPr>
          <w:p w14:paraId="790ED4E8">
            <w:pPr>
              <w:pStyle w:val="6"/>
              <w:spacing w:before="248" w:line="219" w:lineRule="auto"/>
              <w:ind w:left="494"/>
            </w:pPr>
            <w:r>
              <w:rPr>
                <w:spacing w:val="-3"/>
              </w:rPr>
              <w:t>李仕林</w:t>
            </w:r>
          </w:p>
        </w:tc>
        <w:tc>
          <w:tcPr>
            <w:tcW w:w="3356" w:type="dxa"/>
            <w:gridSpan w:val="3"/>
            <w:vAlign w:val="top"/>
          </w:tcPr>
          <w:p w14:paraId="161A4E10">
            <w:pPr>
              <w:pStyle w:val="6"/>
              <w:spacing w:before="36" w:line="194" w:lineRule="auto"/>
              <w:jc w:val="right"/>
            </w:pPr>
            <w:r>
              <w:rPr>
                <w:spacing w:val="1"/>
              </w:rPr>
              <w:t>1、建设项目基本情况；2、建设内</w:t>
            </w:r>
          </w:p>
          <w:p w14:paraId="7F50A7DB">
            <w:pPr>
              <w:pStyle w:val="6"/>
              <w:spacing w:line="183" w:lineRule="auto"/>
              <w:jc w:val="right"/>
            </w:pPr>
            <w:r>
              <w:rPr>
                <w:spacing w:val="-6"/>
              </w:rPr>
              <w:t>容；3、生态环境现状、保护目标及</w:t>
            </w:r>
          </w:p>
          <w:p w14:paraId="295212E8">
            <w:pPr>
              <w:pStyle w:val="6"/>
              <w:spacing w:line="161" w:lineRule="auto"/>
              <w:ind w:left="1151"/>
            </w:pPr>
            <w:r>
              <w:rPr>
                <w:spacing w:val="22"/>
              </w:rPr>
              <w:t>评价标准；</w:t>
            </w:r>
          </w:p>
        </w:tc>
        <w:tc>
          <w:tcPr>
            <w:tcW w:w="2587" w:type="dxa"/>
            <w:vAlign w:val="top"/>
          </w:tcPr>
          <w:p w14:paraId="4010F495">
            <w:pPr>
              <w:pStyle w:val="6"/>
              <w:spacing w:before="303" w:line="184" w:lineRule="auto"/>
              <w:ind w:left="845"/>
            </w:pPr>
            <w:r>
              <w:rPr>
                <w:spacing w:val="-1"/>
              </w:rPr>
              <w:t>BH010563</w:t>
            </w:r>
          </w:p>
        </w:tc>
        <w:tc>
          <w:tcPr>
            <w:tcW w:w="1643" w:type="dxa"/>
            <w:vAlign w:val="top"/>
          </w:tcPr>
          <w:p w14:paraId="4E9738B2">
            <w:pPr>
              <w:spacing w:before="106" w:line="453" w:lineRule="exact"/>
              <w:ind w:firstLine="192"/>
            </w:pPr>
            <w:r>
              <w:rPr>
                <w:position w:val="-9"/>
              </w:rPr>
              <w:drawing>
                <wp:inline distT="0" distB="0" distL="0" distR="0">
                  <wp:extent cx="712470" cy="28765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55"/>
                          <a:stretch>
                            <a:fillRect/>
                          </a:stretch>
                        </pic:blipFill>
                        <pic:spPr>
                          <a:xfrm>
                            <a:off x="0" y="0"/>
                            <a:ext cx="712918" cy="287669"/>
                          </a:xfrm>
                          <a:prstGeom prst="rect">
                            <a:avLst/>
                          </a:prstGeom>
                        </pic:spPr>
                      </pic:pic>
                    </a:graphicData>
                  </a:graphic>
                </wp:inline>
              </w:drawing>
            </w:r>
          </w:p>
        </w:tc>
      </w:tr>
      <w:tr w14:paraId="3BF51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1663" w:type="dxa"/>
            <w:vAlign w:val="top"/>
          </w:tcPr>
          <w:p w14:paraId="46B8DE2C">
            <w:pPr>
              <w:spacing w:line="288" w:lineRule="auto"/>
              <w:rPr>
                <w:rFonts w:ascii="Arial"/>
                <w:sz w:val="21"/>
              </w:rPr>
            </w:pPr>
          </w:p>
          <w:p w14:paraId="4A3FFA5C">
            <w:pPr>
              <w:pStyle w:val="6"/>
              <w:spacing w:before="72" w:line="221" w:lineRule="auto"/>
              <w:ind w:left="604"/>
            </w:pPr>
            <w:r>
              <w:rPr>
                <w:spacing w:val="7"/>
              </w:rPr>
              <w:t>张莹</w:t>
            </w:r>
          </w:p>
        </w:tc>
        <w:tc>
          <w:tcPr>
            <w:tcW w:w="3356" w:type="dxa"/>
            <w:gridSpan w:val="3"/>
            <w:vAlign w:val="top"/>
          </w:tcPr>
          <w:p w14:paraId="37A4A77C">
            <w:pPr>
              <w:pStyle w:val="6"/>
              <w:spacing w:before="59" w:line="193" w:lineRule="auto"/>
              <w:ind w:left="21"/>
            </w:pPr>
            <w:r>
              <w:rPr>
                <w:spacing w:val="-1"/>
              </w:rPr>
              <w:t>4、生态环境影响分析；5、主要生</w:t>
            </w:r>
          </w:p>
          <w:p w14:paraId="2F23F807">
            <w:pPr>
              <w:pStyle w:val="6"/>
              <w:spacing w:line="192" w:lineRule="auto"/>
              <w:jc w:val="right"/>
              <w:rPr>
                <w:sz w:val="21"/>
                <w:szCs w:val="21"/>
              </w:rPr>
            </w:pPr>
            <w:r>
              <w:rPr>
                <w:spacing w:val="4"/>
                <w:sz w:val="21"/>
                <w:szCs w:val="21"/>
              </w:rPr>
              <w:t>态环境保护措施；6、生态环境保护</w:t>
            </w:r>
          </w:p>
          <w:p w14:paraId="2EF24253">
            <w:pPr>
              <w:pStyle w:val="6"/>
              <w:spacing w:line="183" w:lineRule="auto"/>
              <w:jc w:val="right"/>
              <w:rPr>
                <w:sz w:val="21"/>
                <w:szCs w:val="21"/>
              </w:rPr>
            </w:pPr>
            <w:r>
              <w:rPr>
                <w:spacing w:val="3"/>
                <w:sz w:val="21"/>
                <w:szCs w:val="21"/>
              </w:rPr>
              <w:t>措施监督检查清单；7、结论。电磁</w:t>
            </w:r>
          </w:p>
          <w:p w14:paraId="4B61F18F">
            <w:pPr>
              <w:pStyle w:val="6"/>
              <w:spacing w:line="165" w:lineRule="auto"/>
              <w:ind w:left="841"/>
              <w:rPr>
                <w:sz w:val="21"/>
                <w:szCs w:val="21"/>
              </w:rPr>
            </w:pPr>
            <w:r>
              <w:rPr>
                <w:spacing w:val="-1"/>
                <w:sz w:val="21"/>
                <w:szCs w:val="21"/>
              </w:rPr>
              <w:t>环境影响专项评价</w:t>
            </w:r>
          </w:p>
        </w:tc>
        <w:tc>
          <w:tcPr>
            <w:tcW w:w="2587" w:type="dxa"/>
            <w:vAlign w:val="top"/>
          </w:tcPr>
          <w:p w14:paraId="41FAF977">
            <w:pPr>
              <w:spacing w:line="341" w:lineRule="auto"/>
              <w:rPr>
                <w:rFonts w:ascii="Arial"/>
                <w:sz w:val="21"/>
              </w:rPr>
            </w:pPr>
          </w:p>
          <w:p w14:paraId="19178EA6">
            <w:pPr>
              <w:pStyle w:val="6"/>
              <w:spacing w:before="71" w:line="184" w:lineRule="auto"/>
              <w:ind w:left="845"/>
            </w:pPr>
            <w:r>
              <w:rPr>
                <w:spacing w:val="-1"/>
              </w:rPr>
              <w:t>BH028451</w:t>
            </w:r>
          </w:p>
        </w:tc>
        <w:tc>
          <w:tcPr>
            <w:tcW w:w="1643" w:type="dxa"/>
            <w:vAlign w:val="top"/>
          </w:tcPr>
          <w:p w14:paraId="3D48613B">
            <w:pPr>
              <w:pStyle w:val="6"/>
              <w:spacing w:before="256" w:line="226" w:lineRule="auto"/>
              <w:ind w:left="548"/>
              <w:rPr>
                <w:sz w:val="21"/>
                <w:szCs w:val="21"/>
              </w:rPr>
            </w:pPr>
            <w:r>
              <w:rPr>
                <w:spacing w:val="-1"/>
                <w:sz w:val="21"/>
                <w:szCs w:val="21"/>
              </w:rPr>
              <w:t>3张去</w:t>
            </w:r>
          </w:p>
        </w:tc>
      </w:tr>
    </w:tbl>
    <w:p w14:paraId="13C9C363">
      <w:pPr>
        <w:pStyle w:val="2"/>
      </w:pPr>
    </w:p>
    <w:p w14:paraId="2B4BD11E">
      <w:pPr>
        <w:sectPr>
          <w:footerReference r:id="rId6" w:type="default"/>
          <w:pgSz w:w="11910" w:h="16850"/>
          <w:pgMar w:top="494" w:right="159" w:bottom="740" w:left="1180" w:header="0" w:footer="200" w:gutter="0"/>
          <w:cols w:space="720" w:num="1"/>
        </w:sectPr>
      </w:pPr>
    </w:p>
    <w:p w14:paraId="51729210">
      <w:pPr>
        <w:spacing w:before="56" w:line="220" w:lineRule="auto"/>
        <w:ind w:left="3688"/>
        <w:rPr>
          <w:rFonts w:ascii="宋体" w:hAnsi="宋体" w:eastAsia="宋体" w:cs="宋体"/>
          <w:sz w:val="28"/>
          <w:szCs w:val="28"/>
        </w:rPr>
      </w:pPr>
      <w:r>
        <w:rPr>
          <w:rFonts w:ascii="宋体" w:hAnsi="宋体" w:eastAsia="宋体" w:cs="宋体"/>
          <w:b/>
          <w:bCs/>
          <w:spacing w:val="-6"/>
          <w:sz w:val="28"/>
          <w:szCs w:val="28"/>
        </w:rPr>
        <w:t>现场照片</w:t>
      </w:r>
    </w:p>
    <w:p w14:paraId="3ECE9EDA">
      <w:pPr>
        <w:spacing w:line="152" w:lineRule="exact"/>
      </w:pPr>
    </w:p>
    <w:tbl>
      <w:tblPr>
        <w:tblStyle w:val="5"/>
        <w:tblW w:w="85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39"/>
      </w:tblGrid>
      <w:tr w14:paraId="41318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8" w:hRule="atLeast"/>
        </w:trPr>
        <w:tc>
          <w:tcPr>
            <w:tcW w:w="8539" w:type="dxa"/>
            <w:vAlign w:val="top"/>
          </w:tcPr>
          <w:p w14:paraId="3956CF1F">
            <w:pPr>
              <w:spacing w:line="247" w:lineRule="auto"/>
              <w:rPr>
                <w:rFonts w:ascii="Arial"/>
                <w:sz w:val="21"/>
              </w:rPr>
            </w:pPr>
          </w:p>
          <w:p w14:paraId="3F6A6B73">
            <w:pPr>
              <w:spacing w:line="247" w:lineRule="auto"/>
              <w:rPr>
                <w:rFonts w:ascii="Arial"/>
                <w:sz w:val="21"/>
              </w:rPr>
            </w:pPr>
          </w:p>
          <w:p w14:paraId="6B99287D">
            <w:pPr>
              <w:spacing w:line="247" w:lineRule="auto"/>
              <w:rPr>
                <w:rFonts w:ascii="Arial"/>
                <w:sz w:val="21"/>
              </w:rPr>
            </w:pPr>
          </w:p>
          <w:p w14:paraId="53A3970A">
            <w:pPr>
              <w:spacing w:line="247" w:lineRule="auto"/>
              <w:rPr>
                <w:rFonts w:ascii="Arial"/>
                <w:sz w:val="21"/>
              </w:rPr>
            </w:pPr>
          </w:p>
          <w:p w14:paraId="3ECEBADC">
            <w:pPr>
              <w:spacing w:line="247" w:lineRule="auto"/>
              <w:rPr>
                <w:rFonts w:ascii="Arial"/>
                <w:sz w:val="21"/>
              </w:rPr>
            </w:pPr>
          </w:p>
          <w:p w14:paraId="01548FBB">
            <w:pPr>
              <w:spacing w:line="247" w:lineRule="auto"/>
              <w:rPr>
                <w:rFonts w:ascii="Arial"/>
                <w:sz w:val="21"/>
              </w:rPr>
            </w:pPr>
          </w:p>
          <w:p w14:paraId="78CCB9AF">
            <w:pPr>
              <w:spacing w:line="247" w:lineRule="auto"/>
              <w:rPr>
                <w:rFonts w:ascii="Arial"/>
                <w:sz w:val="21"/>
              </w:rPr>
            </w:pPr>
          </w:p>
          <w:p w14:paraId="3BFB4B4A">
            <w:pPr>
              <w:spacing w:line="248" w:lineRule="auto"/>
              <w:rPr>
                <w:rFonts w:ascii="Arial"/>
                <w:sz w:val="21"/>
              </w:rPr>
            </w:pPr>
          </w:p>
          <w:p w14:paraId="47D37709">
            <w:pPr>
              <w:spacing w:line="248" w:lineRule="auto"/>
              <w:rPr>
                <w:rFonts w:ascii="Arial"/>
                <w:sz w:val="21"/>
              </w:rPr>
            </w:pPr>
          </w:p>
          <w:p w14:paraId="65054842">
            <w:pPr>
              <w:spacing w:line="248" w:lineRule="auto"/>
              <w:rPr>
                <w:rFonts w:ascii="Arial"/>
                <w:sz w:val="21"/>
              </w:rPr>
            </w:pPr>
          </w:p>
          <w:p w14:paraId="7CEA41F2">
            <w:pPr>
              <w:spacing w:line="248" w:lineRule="auto"/>
              <w:rPr>
                <w:rFonts w:ascii="Arial"/>
                <w:sz w:val="21"/>
              </w:rPr>
            </w:pPr>
          </w:p>
          <w:p w14:paraId="50B0A1AA">
            <w:pPr>
              <w:spacing w:line="248" w:lineRule="auto"/>
              <w:rPr>
                <w:rFonts w:ascii="Arial"/>
                <w:sz w:val="21"/>
              </w:rPr>
            </w:pPr>
          </w:p>
          <w:p w14:paraId="72389FE9">
            <w:pPr>
              <w:spacing w:line="248" w:lineRule="auto"/>
              <w:rPr>
                <w:rFonts w:ascii="Arial"/>
                <w:sz w:val="21"/>
              </w:rPr>
            </w:pPr>
          </w:p>
          <w:p w14:paraId="3406023B">
            <w:pPr>
              <w:spacing w:line="248" w:lineRule="auto"/>
              <w:rPr>
                <w:rFonts w:ascii="Arial"/>
                <w:sz w:val="21"/>
              </w:rPr>
            </w:pPr>
          </w:p>
          <w:p w14:paraId="31534C31">
            <w:pPr>
              <w:spacing w:line="248" w:lineRule="auto"/>
              <w:rPr>
                <w:rFonts w:ascii="Arial"/>
                <w:sz w:val="21"/>
              </w:rPr>
            </w:pPr>
          </w:p>
          <w:p w14:paraId="1D263240">
            <w:pPr>
              <w:spacing w:line="248" w:lineRule="auto"/>
              <w:rPr>
                <w:rFonts w:ascii="Arial"/>
                <w:sz w:val="21"/>
              </w:rPr>
            </w:pPr>
          </w:p>
          <w:p w14:paraId="7D629F58">
            <w:pPr>
              <w:spacing w:line="248" w:lineRule="auto"/>
              <w:rPr>
                <w:rFonts w:ascii="Arial"/>
                <w:sz w:val="21"/>
              </w:rPr>
            </w:pPr>
          </w:p>
          <w:p w14:paraId="23624719">
            <w:pPr>
              <w:pStyle w:val="6"/>
              <w:spacing w:before="87" w:line="239" w:lineRule="auto"/>
              <w:ind w:left="6464"/>
              <w:rPr>
                <w:sz w:val="27"/>
                <w:szCs w:val="27"/>
              </w:rPr>
            </w:pPr>
            <w:r>
              <w:drawing>
                <wp:anchor distT="0" distB="0" distL="0" distR="0" simplePos="0" relativeHeight="251665408" behindDoc="1" locked="0" layoutInCell="1" allowOverlap="1">
                  <wp:simplePos x="0" y="0"/>
                  <wp:positionH relativeFrom="column">
                    <wp:posOffset>15875</wp:posOffset>
                  </wp:positionH>
                  <wp:positionV relativeFrom="paragraph">
                    <wp:posOffset>-2673350</wp:posOffset>
                  </wp:positionV>
                  <wp:extent cx="5365750" cy="574675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56"/>
                          <a:stretch>
                            <a:fillRect/>
                          </a:stretch>
                        </pic:blipFill>
                        <pic:spPr>
                          <a:xfrm>
                            <a:off x="0" y="0"/>
                            <a:ext cx="5365690" cy="5746747"/>
                          </a:xfrm>
                          <a:prstGeom prst="rect">
                            <a:avLst/>
                          </a:prstGeom>
                        </pic:spPr>
                      </pic:pic>
                    </a:graphicData>
                  </a:graphic>
                </wp:anchor>
              </w:drawing>
            </w:r>
            <w:r>
              <w:rPr>
                <w:spacing w:val="-2"/>
                <w:sz w:val="27"/>
                <w:szCs w:val="27"/>
              </w:rPr>
              <w:t>2024.8.24</w:t>
            </w:r>
          </w:p>
          <w:p w14:paraId="01D37430">
            <w:pPr>
              <w:spacing w:line="244" w:lineRule="auto"/>
              <w:rPr>
                <w:rFonts w:ascii="Arial"/>
                <w:sz w:val="21"/>
              </w:rPr>
            </w:pPr>
          </w:p>
          <w:p w14:paraId="19500443">
            <w:pPr>
              <w:spacing w:line="244" w:lineRule="auto"/>
              <w:rPr>
                <w:rFonts w:ascii="Arial"/>
                <w:sz w:val="21"/>
              </w:rPr>
            </w:pPr>
          </w:p>
          <w:p w14:paraId="38E999EF">
            <w:pPr>
              <w:spacing w:line="244" w:lineRule="auto"/>
              <w:rPr>
                <w:rFonts w:ascii="Arial"/>
                <w:sz w:val="21"/>
              </w:rPr>
            </w:pPr>
          </w:p>
          <w:p w14:paraId="4911EEFE">
            <w:pPr>
              <w:spacing w:line="244" w:lineRule="auto"/>
              <w:rPr>
                <w:rFonts w:ascii="Arial"/>
                <w:sz w:val="21"/>
              </w:rPr>
            </w:pPr>
          </w:p>
          <w:p w14:paraId="5B3E2D67">
            <w:pPr>
              <w:spacing w:line="244" w:lineRule="auto"/>
              <w:rPr>
                <w:rFonts w:ascii="Arial"/>
                <w:sz w:val="21"/>
              </w:rPr>
            </w:pPr>
          </w:p>
          <w:p w14:paraId="76CE9293">
            <w:pPr>
              <w:spacing w:line="244" w:lineRule="auto"/>
              <w:rPr>
                <w:rFonts w:ascii="Arial"/>
                <w:sz w:val="21"/>
              </w:rPr>
            </w:pPr>
          </w:p>
          <w:p w14:paraId="73E951DC">
            <w:pPr>
              <w:spacing w:line="244" w:lineRule="auto"/>
              <w:rPr>
                <w:rFonts w:ascii="Arial"/>
                <w:sz w:val="21"/>
              </w:rPr>
            </w:pPr>
          </w:p>
          <w:p w14:paraId="7C206C48">
            <w:pPr>
              <w:spacing w:line="244" w:lineRule="auto"/>
              <w:rPr>
                <w:rFonts w:ascii="Arial"/>
                <w:sz w:val="21"/>
              </w:rPr>
            </w:pPr>
          </w:p>
          <w:p w14:paraId="1BAB9562">
            <w:pPr>
              <w:spacing w:line="244" w:lineRule="auto"/>
              <w:rPr>
                <w:rFonts w:ascii="Arial"/>
                <w:sz w:val="21"/>
              </w:rPr>
            </w:pPr>
          </w:p>
          <w:p w14:paraId="4EE62D20">
            <w:pPr>
              <w:spacing w:line="244" w:lineRule="auto"/>
              <w:rPr>
                <w:rFonts w:ascii="Arial"/>
                <w:sz w:val="21"/>
              </w:rPr>
            </w:pPr>
          </w:p>
          <w:p w14:paraId="066FD2C3">
            <w:pPr>
              <w:spacing w:line="244" w:lineRule="auto"/>
              <w:rPr>
                <w:rFonts w:ascii="Arial"/>
                <w:sz w:val="21"/>
              </w:rPr>
            </w:pPr>
          </w:p>
          <w:p w14:paraId="5F5E30F8">
            <w:pPr>
              <w:spacing w:line="244" w:lineRule="auto"/>
              <w:rPr>
                <w:rFonts w:ascii="Arial"/>
                <w:sz w:val="21"/>
              </w:rPr>
            </w:pPr>
          </w:p>
          <w:p w14:paraId="4F3F2787">
            <w:pPr>
              <w:spacing w:line="245" w:lineRule="auto"/>
              <w:rPr>
                <w:rFonts w:ascii="Arial"/>
                <w:sz w:val="21"/>
              </w:rPr>
            </w:pPr>
          </w:p>
          <w:p w14:paraId="1C2BCAEA">
            <w:pPr>
              <w:spacing w:line="245" w:lineRule="auto"/>
              <w:rPr>
                <w:rFonts w:ascii="Arial"/>
                <w:sz w:val="21"/>
              </w:rPr>
            </w:pPr>
          </w:p>
          <w:p w14:paraId="3CD33257">
            <w:pPr>
              <w:spacing w:line="245" w:lineRule="auto"/>
              <w:rPr>
                <w:rFonts w:ascii="Arial"/>
                <w:sz w:val="21"/>
              </w:rPr>
            </w:pPr>
          </w:p>
          <w:p w14:paraId="043F0AFE">
            <w:pPr>
              <w:spacing w:line="245" w:lineRule="auto"/>
              <w:rPr>
                <w:rFonts w:ascii="Arial"/>
                <w:sz w:val="21"/>
              </w:rPr>
            </w:pPr>
          </w:p>
          <w:p w14:paraId="1C267107">
            <w:pPr>
              <w:pStyle w:val="6"/>
              <w:spacing w:before="88" w:line="239" w:lineRule="auto"/>
              <w:ind w:left="6464"/>
              <w:rPr>
                <w:sz w:val="27"/>
                <w:szCs w:val="27"/>
              </w:rPr>
            </w:pPr>
            <w:r>
              <w:rPr>
                <w:spacing w:val="-2"/>
                <w:sz w:val="27"/>
                <w:szCs w:val="27"/>
              </w:rPr>
              <w:t>2024.8.24</w:t>
            </w:r>
          </w:p>
          <w:p w14:paraId="773869D9">
            <w:pPr>
              <w:pStyle w:val="6"/>
              <w:spacing w:before="31" w:line="194" w:lineRule="auto"/>
              <w:ind w:left="2084"/>
              <w:rPr>
                <w:sz w:val="27"/>
                <w:szCs w:val="27"/>
              </w:rPr>
            </w:pPr>
            <w:r>
              <w:rPr>
                <w:spacing w:val="1"/>
                <w:sz w:val="27"/>
                <w:szCs w:val="27"/>
              </w:rPr>
              <w:t>拟建110</w:t>
            </w:r>
            <w:r>
              <w:rPr>
                <w:sz w:val="27"/>
                <w:szCs w:val="27"/>
              </w:rPr>
              <w:t>kV</w:t>
            </w:r>
            <w:r>
              <w:rPr>
                <w:spacing w:val="1"/>
                <w:sz w:val="27"/>
                <w:szCs w:val="27"/>
              </w:rPr>
              <w:t>升压站场址现状调查航拍</w:t>
            </w:r>
          </w:p>
        </w:tc>
      </w:tr>
      <w:tr w14:paraId="30F30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1" w:hRule="atLeast"/>
        </w:trPr>
        <w:tc>
          <w:tcPr>
            <w:tcW w:w="8539" w:type="dxa"/>
            <w:vAlign w:val="top"/>
          </w:tcPr>
          <w:p w14:paraId="716E9238">
            <w:pPr>
              <w:spacing w:before="17" w:line="4629" w:lineRule="exact"/>
              <w:ind w:firstLine="45"/>
            </w:pPr>
            <w:r>
              <w:rPr>
                <w:position w:val="-92"/>
              </w:rPr>
              <w:drawing>
                <wp:inline distT="0" distB="0" distL="0" distR="0">
                  <wp:extent cx="5358765" cy="293941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57"/>
                          <a:stretch>
                            <a:fillRect/>
                          </a:stretch>
                        </pic:blipFill>
                        <pic:spPr>
                          <a:xfrm>
                            <a:off x="0" y="0"/>
                            <a:ext cx="5359337" cy="2940007"/>
                          </a:xfrm>
                          <a:prstGeom prst="rect">
                            <a:avLst/>
                          </a:prstGeom>
                        </pic:spPr>
                      </pic:pic>
                    </a:graphicData>
                  </a:graphic>
                </wp:inline>
              </w:drawing>
            </w:r>
          </w:p>
        </w:tc>
      </w:tr>
    </w:tbl>
    <w:p w14:paraId="1DEA0F02">
      <w:pPr>
        <w:pStyle w:val="2"/>
      </w:pPr>
    </w:p>
    <w:p w14:paraId="0D47305E">
      <w:pPr>
        <w:sectPr>
          <w:footerReference r:id="rId7" w:type="default"/>
          <w:pgSz w:w="11910" w:h="16830"/>
          <w:pgMar w:top="992" w:right="1685" w:bottom="400" w:left="1675" w:header="0" w:footer="0" w:gutter="0"/>
          <w:cols w:space="720" w:num="1"/>
        </w:sectPr>
      </w:pPr>
    </w:p>
    <w:p w14:paraId="076D19C6">
      <w:pPr>
        <w:spacing w:line="16817" w:lineRule="exact"/>
      </w:pPr>
      <w:r>
        <w:rPr>
          <w:position w:val="-336"/>
        </w:rPr>
        <w:drawing>
          <wp:inline distT="0" distB="0" distL="0" distR="0">
            <wp:extent cx="7562850" cy="1067879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58"/>
                    <a:stretch>
                      <a:fillRect/>
                    </a:stretch>
                  </pic:blipFill>
                  <pic:spPr>
                    <a:xfrm>
                      <a:off x="0" y="0"/>
                      <a:ext cx="7562850" cy="10678948"/>
                    </a:xfrm>
                    <a:prstGeom prst="rect">
                      <a:avLst/>
                    </a:prstGeom>
                  </pic:spPr>
                </pic:pic>
              </a:graphicData>
            </a:graphic>
          </wp:inline>
        </w:drawing>
      </w:r>
    </w:p>
    <w:p w14:paraId="595CDE2F">
      <w:pPr>
        <w:spacing w:line="16817" w:lineRule="exact"/>
        <w:sectPr>
          <w:headerReference r:id="rId8" w:type="default"/>
          <w:pgSz w:w="11910" w:h="16830"/>
          <w:pgMar w:top="1" w:right="0" w:bottom="1" w:left="0" w:header="0" w:footer="0" w:gutter="0"/>
          <w:cols w:space="720" w:num="1"/>
        </w:sectPr>
      </w:pPr>
    </w:p>
    <w:p w14:paraId="633CD9A5">
      <w:pPr>
        <w:spacing w:before="66"/>
      </w:pPr>
    </w:p>
    <w:p w14:paraId="4678DBAA">
      <w:pPr>
        <w:spacing w:before="66"/>
      </w:pPr>
    </w:p>
    <w:tbl>
      <w:tblPr>
        <w:tblStyle w:val="5"/>
        <w:tblW w:w="8549"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549"/>
      </w:tblGrid>
      <w:tr w14:paraId="7492346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549" w:hRule="atLeast"/>
        </w:trPr>
        <w:tc>
          <w:tcPr>
            <w:tcW w:w="8549" w:type="dxa"/>
            <w:vAlign w:val="top"/>
          </w:tcPr>
          <w:p w14:paraId="053DD26A">
            <w:pPr>
              <w:spacing w:line="249" w:lineRule="auto"/>
              <w:rPr>
                <w:rFonts w:ascii="Arial"/>
                <w:sz w:val="21"/>
              </w:rPr>
            </w:pPr>
          </w:p>
          <w:p w14:paraId="1F7A3626">
            <w:pPr>
              <w:spacing w:line="249" w:lineRule="auto"/>
              <w:rPr>
                <w:rFonts w:ascii="Arial"/>
                <w:sz w:val="21"/>
              </w:rPr>
            </w:pPr>
          </w:p>
          <w:p w14:paraId="646D53E1">
            <w:pPr>
              <w:spacing w:line="249" w:lineRule="auto"/>
              <w:rPr>
                <w:rFonts w:ascii="Arial"/>
                <w:sz w:val="21"/>
              </w:rPr>
            </w:pPr>
          </w:p>
          <w:p w14:paraId="313742F5">
            <w:pPr>
              <w:spacing w:line="249" w:lineRule="auto"/>
              <w:rPr>
                <w:rFonts w:ascii="Arial"/>
                <w:sz w:val="21"/>
              </w:rPr>
            </w:pPr>
          </w:p>
          <w:p w14:paraId="29AFE792">
            <w:pPr>
              <w:spacing w:line="249" w:lineRule="auto"/>
              <w:rPr>
                <w:rFonts w:ascii="Arial"/>
                <w:sz w:val="21"/>
              </w:rPr>
            </w:pPr>
          </w:p>
          <w:p w14:paraId="707B69D9">
            <w:pPr>
              <w:spacing w:line="249" w:lineRule="auto"/>
              <w:rPr>
                <w:rFonts w:ascii="Arial"/>
                <w:sz w:val="21"/>
              </w:rPr>
            </w:pPr>
          </w:p>
          <w:p w14:paraId="3A60FC83">
            <w:pPr>
              <w:spacing w:line="249" w:lineRule="auto"/>
              <w:rPr>
                <w:rFonts w:ascii="Arial"/>
                <w:sz w:val="21"/>
              </w:rPr>
            </w:pPr>
          </w:p>
          <w:p w14:paraId="5F1B2B87">
            <w:pPr>
              <w:spacing w:line="249" w:lineRule="auto"/>
              <w:rPr>
                <w:rFonts w:ascii="Arial"/>
                <w:sz w:val="21"/>
              </w:rPr>
            </w:pPr>
          </w:p>
          <w:p w14:paraId="31652535">
            <w:pPr>
              <w:spacing w:line="249" w:lineRule="auto"/>
              <w:rPr>
                <w:rFonts w:ascii="Arial"/>
                <w:sz w:val="21"/>
              </w:rPr>
            </w:pPr>
          </w:p>
          <w:p w14:paraId="7167599A">
            <w:pPr>
              <w:spacing w:line="249" w:lineRule="auto"/>
              <w:rPr>
                <w:rFonts w:ascii="Arial"/>
                <w:sz w:val="21"/>
              </w:rPr>
            </w:pPr>
          </w:p>
          <w:p w14:paraId="3B06CFAB">
            <w:pPr>
              <w:spacing w:line="249" w:lineRule="auto"/>
              <w:rPr>
                <w:rFonts w:ascii="Arial"/>
                <w:sz w:val="21"/>
              </w:rPr>
            </w:pPr>
          </w:p>
          <w:p w14:paraId="3DCE7CDC">
            <w:pPr>
              <w:spacing w:line="249" w:lineRule="auto"/>
              <w:rPr>
                <w:rFonts w:ascii="Arial"/>
                <w:sz w:val="21"/>
              </w:rPr>
            </w:pPr>
          </w:p>
          <w:p w14:paraId="2D8D2418">
            <w:pPr>
              <w:spacing w:line="250" w:lineRule="auto"/>
              <w:rPr>
                <w:rFonts w:ascii="Arial"/>
                <w:sz w:val="21"/>
              </w:rPr>
            </w:pPr>
          </w:p>
          <w:p w14:paraId="31AF575F">
            <w:pPr>
              <w:spacing w:line="250" w:lineRule="auto"/>
              <w:rPr>
                <w:rFonts w:ascii="Arial"/>
                <w:sz w:val="21"/>
              </w:rPr>
            </w:pPr>
          </w:p>
          <w:p w14:paraId="50558A76">
            <w:pPr>
              <w:spacing w:line="250" w:lineRule="auto"/>
              <w:rPr>
                <w:rFonts w:ascii="Arial"/>
                <w:sz w:val="21"/>
              </w:rPr>
            </w:pPr>
          </w:p>
          <w:p w14:paraId="1F6D4645">
            <w:pPr>
              <w:spacing w:line="250" w:lineRule="auto"/>
              <w:rPr>
                <w:rFonts w:ascii="Arial"/>
                <w:sz w:val="21"/>
              </w:rPr>
            </w:pPr>
          </w:p>
          <w:p w14:paraId="5316771A">
            <w:pPr>
              <w:spacing w:line="250" w:lineRule="auto"/>
              <w:rPr>
                <w:rFonts w:ascii="Arial"/>
                <w:sz w:val="21"/>
              </w:rPr>
            </w:pPr>
          </w:p>
          <w:p w14:paraId="07B1CC26">
            <w:pPr>
              <w:pStyle w:val="6"/>
              <w:spacing w:before="88" w:line="239" w:lineRule="auto"/>
              <w:ind w:left="6854"/>
              <w:rPr>
                <w:sz w:val="27"/>
                <w:szCs w:val="27"/>
              </w:rPr>
            </w:pPr>
            <w:r>
              <w:drawing>
                <wp:anchor distT="0" distB="0" distL="0" distR="0" simplePos="0" relativeHeight="251666432" behindDoc="1" locked="0" layoutInCell="1" allowOverlap="1">
                  <wp:simplePos x="0" y="0"/>
                  <wp:positionH relativeFrom="column">
                    <wp:posOffset>15875</wp:posOffset>
                  </wp:positionH>
                  <wp:positionV relativeFrom="paragraph">
                    <wp:posOffset>-2698115</wp:posOffset>
                  </wp:positionV>
                  <wp:extent cx="5378450" cy="903605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59"/>
                          <a:stretch>
                            <a:fillRect/>
                          </a:stretch>
                        </pic:blipFill>
                        <pic:spPr>
                          <a:xfrm>
                            <a:off x="0" y="0"/>
                            <a:ext cx="5378395" cy="9036114"/>
                          </a:xfrm>
                          <a:prstGeom prst="rect">
                            <a:avLst/>
                          </a:prstGeom>
                        </pic:spPr>
                      </pic:pic>
                    </a:graphicData>
                  </a:graphic>
                </wp:anchor>
              </w:drawing>
            </w:r>
            <w:r>
              <w:rPr>
                <w:spacing w:val="-2"/>
                <w:sz w:val="27"/>
                <w:szCs w:val="27"/>
              </w:rPr>
              <w:t>2024.824</w:t>
            </w:r>
          </w:p>
          <w:p w14:paraId="242150DD">
            <w:pPr>
              <w:pStyle w:val="6"/>
              <w:spacing w:before="82" w:line="219" w:lineRule="auto"/>
              <w:ind w:left="2394"/>
              <w:rPr>
                <w:sz w:val="27"/>
                <w:szCs w:val="27"/>
              </w:rPr>
            </w:pPr>
            <w:r>
              <w:rPr>
                <w:spacing w:val="1"/>
                <w:sz w:val="27"/>
                <w:szCs w:val="27"/>
              </w:rPr>
              <w:t>拟建光伏方阵场址现状调查航拍</w:t>
            </w:r>
          </w:p>
          <w:p w14:paraId="63D29AFE">
            <w:pPr>
              <w:spacing w:line="244" w:lineRule="auto"/>
              <w:rPr>
                <w:rFonts w:ascii="Arial"/>
                <w:sz w:val="21"/>
              </w:rPr>
            </w:pPr>
          </w:p>
          <w:p w14:paraId="113C7EA6">
            <w:pPr>
              <w:spacing w:line="244" w:lineRule="auto"/>
              <w:rPr>
                <w:rFonts w:ascii="Arial"/>
                <w:sz w:val="21"/>
              </w:rPr>
            </w:pPr>
          </w:p>
          <w:p w14:paraId="2A0F7802">
            <w:pPr>
              <w:spacing w:line="244" w:lineRule="auto"/>
              <w:rPr>
                <w:rFonts w:ascii="Arial"/>
                <w:sz w:val="21"/>
              </w:rPr>
            </w:pPr>
          </w:p>
          <w:p w14:paraId="4B3E263F">
            <w:pPr>
              <w:spacing w:line="244" w:lineRule="auto"/>
              <w:rPr>
                <w:rFonts w:ascii="Arial"/>
                <w:sz w:val="21"/>
              </w:rPr>
            </w:pPr>
          </w:p>
          <w:p w14:paraId="403EE2F8">
            <w:pPr>
              <w:spacing w:line="244" w:lineRule="auto"/>
              <w:rPr>
                <w:rFonts w:ascii="Arial"/>
                <w:sz w:val="21"/>
              </w:rPr>
            </w:pPr>
          </w:p>
          <w:p w14:paraId="339E630D">
            <w:pPr>
              <w:spacing w:line="244" w:lineRule="auto"/>
              <w:rPr>
                <w:rFonts w:ascii="Arial"/>
                <w:sz w:val="21"/>
              </w:rPr>
            </w:pPr>
          </w:p>
          <w:p w14:paraId="197238F5">
            <w:pPr>
              <w:spacing w:line="244" w:lineRule="auto"/>
              <w:rPr>
                <w:rFonts w:ascii="Arial"/>
                <w:sz w:val="21"/>
              </w:rPr>
            </w:pPr>
          </w:p>
          <w:p w14:paraId="1AA7F7FB">
            <w:pPr>
              <w:spacing w:line="244" w:lineRule="auto"/>
              <w:rPr>
                <w:rFonts w:ascii="Arial"/>
                <w:sz w:val="21"/>
              </w:rPr>
            </w:pPr>
          </w:p>
          <w:p w14:paraId="024ED112">
            <w:pPr>
              <w:spacing w:line="244" w:lineRule="auto"/>
              <w:rPr>
                <w:rFonts w:ascii="Arial"/>
                <w:sz w:val="21"/>
              </w:rPr>
            </w:pPr>
          </w:p>
          <w:p w14:paraId="382C2B67">
            <w:pPr>
              <w:spacing w:line="244" w:lineRule="auto"/>
              <w:rPr>
                <w:rFonts w:ascii="Arial"/>
                <w:sz w:val="21"/>
              </w:rPr>
            </w:pPr>
          </w:p>
          <w:p w14:paraId="29E22151">
            <w:pPr>
              <w:spacing w:line="244" w:lineRule="auto"/>
              <w:rPr>
                <w:rFonts w:ascii="Arial"/>
                <w:sz w:val="21"/>
              </w:rPr>
            </w:pPr>
          </w:p>
          <w:p w14:paraId="17247490">
            <w:pPr>
              <w:spacing w:line="244" w:lineRule="auto"/>
              <w:rPr>
                <w:rFonts w:ascii="Arial"/>
                <w:sz w:val="21"/>
              </w:rPr>
            </w:pPr>
          </w:p>
          <w:p w14:paraId="1DB981B0">
            <w:pPr>
              <w:spacing w:line="244" w:lineRule="auto"/>
              <w:rPr>
                <w:rFonts w:ascii="Arial"/>
                <w:sz w:val="21"/>
              </w:rPr>
            </w:pPr>
          </w:p>
          <w:p w14:paraId="3D63F99D">
            <w:pPr>
              <w:spacing w:line="244" w:lineRule="auto"/>
              <w:rPr>
                <w:rFonts w:ascii="Arial"/>
                <w:sz w:val="21"/>
              </w:rPr>
            </w:pPr>
          </w:p>
          <w:p w14:paraId="761D6590">
            <w:pPr>
              <w:spacing w:line="245" w:lineRule="auto"/>
              <w:rPr>
                <w:rFonts w:ascii="Arial"/>
                <w:sz w:val="21"/>
              </w:rPr>
            </w:pPr>
          </w:p>
          <w:p w14:paraId="2C828A8D">
            <w:pPr>
              <w:spacing w:line="245" w:lineRule="auto"/>
              <w:rPr>
                <w:rFonts w:ascii="Arial"/>
                <w:sz w:val="21"/>
              </w:rPr>
            </w:pPr>
          </w:p>
          <w:p w14:paraId="2DD9ABD3">
            <w:pPr>
              <w:pStyle w:val="6"/>
              <w:spacing w:before="87" w:line="239" w:lineRule="auto"/>
              <w:ind w:left="6854"/>
              <w:rPr>
                <w:sz w:val="27"/>
                <w:szCs w:val="27"/>
              </w:rPr>
            </w:pPr>
            <w:r>
              <w:rPr>
                <w:spacing w:val="-2"/>
                <w:sz w:val="27"/>
                <w:szCs w:val="27"/>
              </w:rPr>
              <w:t>2024.824</w:t>
            </w:r>
          </w:p>
          <w:p w14:paraId="0D5EADB4">
            <w:pPr>
              <w:spacing w:line="245" w:lineRule="auto"/>
              <w:rPr>
                <w:rFonts w:ascii="Arial"/>
                <w:sz w:val="21"/>
              </w:rPr>
            </w:pPr>
          </w:p>
          <w:p w14:paraId="1C8964CC">
            <w:pPr>
              <w:spacing w:line="245" w:lineRule="auto"/>
              <w:rPr>
                <w:rFonts w:ascii="Arial"/>
                <w:sz w:val="21"/>
              </w:rPr>
            </w:pPr>
          </w:p>
          <w:p w14:paraId="0D91BF0F">
            <w:pPr>
              <w:spacing w:line="245" w:lineRule="auto"/>
              <w:rPr>
                <w:rFonts w:ascii="Arial"/>
                <w:sz w:val="21"/>
              </w:rPr>
            </w:pPr>
          </w:p>
          <w:p w14:paraId="23B35D32">
            <w:pPr>
              <w:spacing w:line="245" w:lineRule="auto"/>
              <w:rPr>
                <w:rFonts w:ascii="Arial"/>
                <w:sz w:val="21"/>
              </w:rPr>
            </w:pPr>
          </w:p>
          <w:p w14:paraId="463D2FE3">
            <w:pPr>
              <w:spacing w:line="245" w:lineRule="auto"/>
              <w:rPr>
                <w:rFonts w:ascii="Arial"/>
                <w:sz w:val="21"/>
              </w:rPr>
            </w:pPr>
          </w:p>
          <w:p w14:paraId="0A7F8C2F">
            <w:pPr>
              <w:spacing w:line="245" w:lineRule="auto"/>
              <w:rPr>
                <w:rFonts w:ascii="Arial"/>
                <w:sz w:val="21"/>
              </w:rPr>
            </w:pPr>
          </w:p>
          <w:p w14:paraId="313E869C">
            <w:pPr>
              <w:spacing w:line="245" w:lineRule="auto"/>
              <w:rPr>
                <w:rFonts w:ascii="Arial"/>
                <w:sz w:val="21"/>
              </w:rPr>
            </w:pPr>
          </w:p>
          <w:p w14:paraId="04346397">
            <w:pPr>
              <w:spacing w:line="245" w:lineRule="auto"/>
              <w:rPr>
                <w:rFonts w:ascii="Arial"/>
                <w:sz w:val="21"/>
              </w:rPr>
            </w:pPr>
          </w:p>
          <w:p w14:paraId="2E8BD26C">
            <w:pPr>
              <w:spacing w:line="246" w:lineRule="auto"/>
              <w:rPr>
                <w:rFonts w:ascii="Arial"/>
                <w:sz w:val="21"/>
              </w:rPr>
            </w:pPr>
          </w:p>
          <w:p w14:paraId="1123B48E">
            <w:pPr>
              <w:spacing w:line="246" w:lineRule="auto"/>
              <w:rPr>
                <w:rFonts w:ascii="Arial"/>
                <w:sz w:val="21"/>
              </w:rPr>
            </w:pPr>
          </w:p>
          <w:p w14:paraId="0B3DAB73">
            <w:pPr>
              <w:spacing w:line="246" w:lineRule="auto"/>
              <w:rPr>
                <w:rFonts w:ascii="Arial"/>
                <w:sz w:val="21"/>
              </w:rPr>
            </w:pPr>
          </w:p>
          <w:p w14:paraId="5AE8C12D">
            <w:pPr>
              <w:spacing w:line="246" w:lineRule="auto"/>
              <w:rPr>
                <w:rFonts w:ascii="Arial"/>
                <w:sz w:val="21"/>
              </w:rPr>
            </w:pPr>
          </w:p>
          <w:p w14:paraId="0D263084">
            <w:pPr>
              <w:spacing w:line="246" w:lineRule="auto"/>
              <w:rPr>
                <w:rFonts w:ascii="Arial"/>
                <w:sz w:val="21"/>
              </w:rPr>
            </w:pPr>
          </w:p>
          <w:p w14:paraId="5D1B927F">
            <w:pPr>
              <w:spacing w:line="246" w:lineRule="auto"/>
              <w:rPr>
                <w:rFonts w:ascii="Arial"/>
                <w:sz w:val="21"/>
              </w:rPr>
            </w:pPr>
          </w:p>
          <w:p w14:paraId="481FD79A">
            <w:pPr>
              <w:spacing w:line="246" w:lineRule="auto"/>
              <w:rPr>
                <w:rFonts w:ascii="Arial"/>
                <w:sz w:val="21"/>
              </w:rPr>
            </w:pPr>
          </w:p>
          <w:p w14:paraId="49762F9E">
            <w:pPr>
              <w:spacing w:line="246" w:lineRule="auto"/>
              <w:rPr>
                <w:rFonts w:ascii="Arial"/>
                <w:sz w:val="21"/>
              </w:rPr>
            </w:pPr>
          </w:p>
          <w:p w14:paraId="46493B01">
            <w:pPr>
              <w:spacing w:line="246" w:lineRule="auto"/>
              <w:rPr>
                <w:rFonts w:ascii="Arial"/>
                <w:sz w:val="21"/>
              </w:rPr>
            </w:pPr>
          </w:p>
          <w:p w14:paraId="07F7134E">
            <w:pPr>
              <w:spacing w:line="246" w:lineRule="auto"/>
              <w:rPr>
                <w:rFonts w:ascii="Arial"/>
                <w:sz w:val="21"/>
              </w:rPr>
            </w:pPr>
          </w:p>
          <w:p w14:paraId="60C87881">
            <w:pPr>
              <w:spacing w:line="246" w:lineRule="auto"/>
              <w:rPr>
                <w:rFonts w:ascii="Arial"/>
                <w:sz w:val="21"/>
              </w:rPr>
            </w:pPr>
          </w:p>
          <w:p w14:paraId="2840B1E5">
            <w:pPr>
              <w:pStyle w:val="6"/>
              <w:spacing w:before="88" w:line="194" w:lineRule="auto"/>
              <w:ind w:left="3325"/>
              <w:rPr>
                <w:sz w:val="27"/>
                <w:szCs w:val="27"/>
              </w:rPr>
            </w:pPr>
            <w:r>
              <w:rPr>
                <w:spacing w:val="1"/>
                <w:sz w:val="27"/>
                <w:szCs w:val="27"/>
              </w:rPr>
              <w:t>项目区草地现状</w:t>
            </w:r>
          </w:p>
        </w:tc>
      </w:tr>
    </w:tbl>
    <w:p w14:paraId="78A11D3F">
      <w:pPr>
        <w:pStyle w:val="2"/>
      </w:pPr>
    </w:p>
    <w:p w14:paraId="2C02B1C6">
      <w:pPr>
        <w:sectPr>
          <w:pgSz w:w="11910" w:h="16830"/>
          <w:pgMar w:top="400" w:right="1685" w:bottom="400" w:left="1665" w:header="0" w:footer="0" w:gutter="0"/>
          <w:cols w:space="720" w:num="1"/>
        </w:sectPr>
      </w:pPr>
    </w:p>
    <w:p w14:paraId="0FC534D3">
      <w:pPr>
        <w:spacing w:before="61"/>
      </w:pPr>
    </w:p>
    <w:p w14:paraId="69C4150F">
      <w:pPr>
        <w:spacing w:before="61"/>
      </w:pPr>
    </w:p>
    <w:tbl>
      <w:tblPr>
        <w:tblStyle w:val="5"/>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19"/>
      </w:tblGrid>
      <w:tr w14:paraId="3122D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2" w:hRule="atLeast"/>
        </w:trPr>
        <w:tc>
          <w:tcPr>
            <w:tcW w:w="8519" w:type="dxa"/>
            <w:shd w:val="clear" w:color="auto" w:fill="5F6F55"/>
            <w:vAlign w:val="top"/>
          </w:tcPr>
          <w:p w14:paraId="6EC3A48B">
            <w:pPr>
              <w:pStyle w:val="6"/>
              <w:spacing w:before="24" w:line="4620" w:lineRule="exact"/>
              <w:ind w:firstLine="35"/>
            </w:pPr>
            <w:r>
              <w:rPr>
                <w:position w:val="-92"/>
              </w:rPr>
              <w:pict>
                <v:group id="_x0000_s1026" o:spid="_x0000_s1026" o:spt="203" style="height:231.05pt;width:422pt;" coordsize="8440,4621">
                  <o:lock v:ext="edit"/>
                  <v:shape id="_x0000_s1027" o:spid="_x0000_s1027" o:spt="75" type="#_x0000_t75" style="position:absolute;left:0;top:0;height:4621;width:8440;" filled="f" stroked="f" coordsize="21600,21600">
                    <v:path/>
                    <v:fill on="f" focussize="0,0"/>
                    <v:stroke on="f"/>
                    <v:imagedata r:id="rId260" o:title=""/>
                    <o:lock v:ext="edit" aspectratio="t"/>
                  </v:shape>
                  <v:shape id="_x0000_s1028" o:spid="_x0000_s1028" o:spt="202" type="#_x0000_t202" style="position:absolute;left:-20;top:-20;height:4661;width:8480;" filled="f" stroked="f" coordsize="21600,21600">
                    <v:path/>
                    <v:fill on="f" focussize="0,0"/>
                    <v:stroke on="f"/>
                    <v:imagedata o:title=""/>
                    <o:lock v:ext="edit" aspectratio="f"/>
                    <v:textbox inset="0mm,0mm,0mm,0mm">
                      <w:txbxContent>
                        <w:p w14:paraId="2526A619">
                          <w:pPr>
                            <w:spacing w:line="249" w:lineRule="auto"/>
                            <w:rPr>
                              <w:rFonts w:ascii="Arial"/>
                              <w:sz w:val="21"/>
                            </w:rPr>
                          </w:pPr>
                        </w:p>
                        <w:p w14:paraId="277CA10F">
                          <w:pPr>
                            <w:spacing w:line="249" w:lineRule="auto"/>
                            <w:rPr>
                              <w:rFonts w:ascii="Arial"/>
                              <w:sz w:val="21"/>
                            </w:rPr>
                          </w:pPr>
                        </w:p>
                        <w:p w14:paraId="3C786F72">
                          <w:pPr>
                            <w:spacing w:line="249" w:lineRule="auto"/>
                            <w:rPr>
                              <w:rFonts w:ascii="Arial"/>
                              <w:sz w:val="21"/>
                            </w:rPr>
                          </w:pPr>
                        </w:p>
                        <w:p w14:paraId="581BB30A">
                          <w:pPr>
                            <w:spacing w:line="249" w:lineRule="auto"/>
                            <w:rPr>
                              <w:rFonts w:ascii="Arial"/>
                              <w:sz w:val="21"/>
                            </w:rPr>
                          </w:pPr>
                        </w:p>
                        <w:p w14:paraId="31D4F88A">
                          <w:pPr>
                            <w:spacing w:line="249" w:lineRule="auto"/>
                            <w:rPr>
                              <w:rFonts w:ascii="Arial"/>
                              <w:sz w:val="21"/>
                            </w:rPr>
                          </w:pPr>
                        </w:p>
                        <w:p w14:paraId="4BF1D8AE">
                          <w:pPr>
                            <w:spacing w:line="249" w:lineRule="auto"/>
                            <w:rPr>
                              <w:rFonts w:ascii="Arial"/>
                              <w:sz w:val="21"/>
                            </w:rPr>
                          </w:pPr>
                        </w:p>
                        <w:p w14:paraId="7B82C88F">
                          <w:pPr>
                            <w:spacing w:line="249" w:lineRule="auto"/>
                            <w:rPr>
                              <w:rFonts w:ascii="Arial"/>
                              <w:sz w:val="21"/>
                            </w:rPr>
                          </w:pPr>
                        </w:p>
                        <w:p w14:paraId="60CC5C0B">
                          <w:pPr>
                            <w:spacing w:line="249" w:lineRule="auto"/>
                            <w:rPr>
                              <w:rFonts w:ascii="Arial"/>
                              <w:sz w:val="21"/>
                            </w:rPr>
                          </w:pPr>
                        </w:p>
                        <w:p w14:paraId="18239C34">
                          <w:pPr>
                            <w:spacing w:line="249" w:lineRule="auto"/>
                            <w:rPr>
                              <w:rFonts w:ascii="Arial"/>
                              <w:sz w:val="21"/>
                            </w:rPr>
                          </w:pPr>
                        </w:p>
                        <w:p w14:paraId="05619779">
                          <w:pPr>
                            <w:spacing w:line="249" w:lineRule="auto"/>
                            <w:rPr>
                              <w:rFonts w:ascii="Arial"/>
                              <w:sz w:val="21"/>
                            </w:rPr>
                          </w:pPr>
                        </w:p>
                        <w:p w14:paraId="3BD54DCE">
                          <w:pPr>
                            <w:spacing w:line="249" w:lineRule="auto"/>
                            <w:rPr>
                              <w:rFonts w:ascii="Arial"/>
                              <w:sz w:val="21"/>
                            </w:rPr>
                          </w:pPr>
                        </w:p>
                        <w:p w14:paraId="711F8061">
                          <w:pPr>
                            <w:spacing w:line="249" w:lineRule="auto"/>
                            <w:rPr>
                              <w:rFonts w:ascii="Arial"/>
                              <w:sz w:val="21"/>
                            </w:rPr>
                          </w:pPr>
                        </w:p>
                        <w:p w14:paraId="73501FEE">
                          <w:pPr>
                            <w:spacing w:line="249" w:lineRule="auto"/>
                            <w:rPr>
                              <w:rFonts w:ascii="Arial"/>
                              <w:sz w:val="21"/>
                            </w:rPr>
                          </w:pPr>
                        </w:p>
                        <w:p w14:paraId="487CD443">
                          <w:pPr>
                            <w:spacing w:line="249" w:lineRule="auto"/>
                            <w:rPr>
                              <w:rFonts w:ascii="Arial"/>
                              <w:sz w:val="21"/>
                            </w:rPr>
                          </w:pPr>
                        </w:p>
                        <w:p w14:paraId="2C6A113B">
                          <w:pPr>
                            <w:spacing w:line="249" w:lineRule="auto"/>
                            <w:rPr>
                              <w:rFonts w:ascii="Arial"/>
                              <w:sz w:val="21"/>
                            </w:rPr>
                          </w:pPr>
                        </w:p>
                        <w:p w14:paraId="426A204C">
                          <w:pPr>
                            <w:spacing w:line="250" w:lineRule="auto"/>
                            <w:rPr>
                              <w:rFonts w:ascii="Arial"/>
                              <w:sz w:val="21"/>
                            </w:rPr>
                          </w:pPr>
                        </w:p>
                        <w:p w14:paraId="15AE7F63">
                          <w:pPr>
                            <w:spacing w:line="250" w:lineRule="auto"/>
                            <w:rPr>
                              <w:rFonts w:ascii="Arial"/>
                              <w:sz w:val="21"/>
                            </w:rPr>
                          </w:pPr>
                        </w:p>
                        <w:p w14:paraId="35100D52">
                          <w:pPr>
                            <w:spacing w:before="85" w:line="239" w:lineRule="auto"/>
                            <w:ind w:left="6959"/>
                            <w:rPr>
                              <w:rFonts w:ascii="宋体" w:hAnsi="宋体" w:eastAsia="宋体" w:cs="宋体"/>
                              <w:sz w:val="26"/>
                              <w:szCs w:val="26"/>
                            </w:rPr>
                          </w:pPr>
                          <w:r>
                            <w:rPr>
                              <w:rFonts w:ascii="宋体" w:hAnsi="宋体" w:eastAsia="宋体" w:cs="宋体"/>
                              <w:color w:val="F0B000"/>
                              <w:spacing w:val="-2"/>
                              <w:sz w:val="26"/>
                              <w:szCs w:val="26"/>
                            </w:rPr>
                            <w:t>20248.</w:t>
                          </w:r>
                          <w:r>
                            <w:rPr>
                              <w:rFonts w:ascii="宋体" w:hAnsi="宋体" w:eastAsia="宋体" w:cs="宋体"/>
                              <w:color w:val="F0A000"/>
                              <w:spacing w:val="-2"/>
                              <w:sz w:val="26"/>
                              <w:szCs w:val="26"/>
                            </w:rPr>
                            <w:t>24</w:t>
                          </w:r>
                        </w:p>
                      </w:txbxContent>
                    </v:textbox>
                  </v:shape>
                  <w10:wrap type="none"/>
                  <w10:anchorlock/>
                </v:group>
              </w:pict>
            </w:r>
          </w:p>
        </w:tc>
      </w:tr>
      <w:tr w14:paraId="24E8A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6" w:hRule="atLeast"/>
        </w:trPr>
        <w:tc>
          <w:tcPr>
            <w:tcW w:w="8519" w:type="dxa"/>
            <w:shd w:val="clear" w:color="auto" w:fill="49503B"/>
            <w:vAlign w:val="top"/>
          </w:tcPr>
          <w:p w14:paraId="7A5D9EA3">
            <w:pPr>
              <w:pStyle w:val="6"/>
              <w:spacing w:before="63" w:line="4320" w:lineRule="exact"/>
              <w:ind w:firstLine="55"/>
            </w:pPr>
            <w:r>
              <w:rPr>
                <w:position w:val="-86"/>
              </w:rPr>
              <w:pict>
                <v:group id="_x0000_s1029" o:spid="_x0000_s1029" o:spt="203" style="height:216pt;width:418pt;" coordsize="8360,4320">
                  <o:lock v:ext="edit"/>
                  <v:shape id="_x0000_s1030" o:spid="_x0000_s1030" o:spt="75" type="#_x0000_t75" style="position:absolute;left:0;top:0;height:4320;width:8360;" filled="f" stroked="f" coordsize="21600,21600">
                    <v:path/>
                    <v:fill on="f" focussize="0,0"/>
                    <v:stroke on="f"/>
                    <v:imagedata r:id="rId261" o:title=""/>
                    <o:lock v:ext="edit" aspectratio="t"/>
                  </v:shape>
                  <v:shape id="_x0000_s1031" o:spid="_x0000_s1031" o:spt="202" type="#_x0000_t202" style="position:absolute;left:-20;top:-20;height:4360;width:8400;" filled="f" stroked="f" coordsize="21600,21600">
                    <v:path/>
                    <v:fill on="f" focussize="0,0"/>
                    <v:stroke on="f"/>
                    <v:imagedata o:title=""/>
                    <o:lock v:ext="edit" aspectratio="f"/>
                    <v:textbox inset="0mm,0mm,0mm,0mm">
                      <w:txbxContent>
                        <w:p w14:paraId="75CCEFD3">
                          <w:pPr>
                            <w:spacing w:line="246" w:lineRule="auto"/>
                            <w:rPr>
                              <w:rFonts w:ascii="Arial"/>
                              <w:sz w:val="21"/>
                            </w:rPr>
                          </w:pPr>
                        </w:p>
                        <w:p w14:paraId="4FBF3032">
                          <w:pPr>
                            <w:spacing w:line="246" w:lineRule="auto"/>
                            <w:rPr>
                              <w:rFonts w:ascii="Arial"/>
                              <w:sz w:val="21"/>
                            </w:rPr>
                          </w:pPr>
                        </w:p>
                        <w:p w14:paraId="6D0B2367">
                          <w:pPr>
                            <w:spacing w:line="246" w:lineRule="auto"/>
                            <w:rPr>
                              <w:rFonts w:ascii="Arial"/>
                              <w:sz w:val="21"/>
                            </w:rPr>
                          </w:pPr>
                        </w:p>
                        <w:p w14:paraId="0D8C022D">
                          <w:pPr>
                            <w:spacing w:line="246" w:lineRule="auto"/>
                            <w:rPr>
                              <w:rFonts w:ascii="Arial"/>
                              <w:sz w:val="21"/>
                            </w:rPr>
                          </w:pPr>
                        </w:p>
                        <w:p w14:paraId="3CD511A9">
                          <w:pPr>
                            <w:spacing w:line="246" w:lineRule="auto"/>
                            <w:rPr>
                              <w:rFonts w:ascii="Arial"/>
                              <w:sz w:val="21"/>
                            </w:rPr>
                          </w:pPr>
                        </w:p>
                        <w:p w14:paraId="7AE1DD3B">
                          <w:pPr>
                            <w:spacing w:line="247" w:lineRule="auto"/>
                            <w:rPr>
                              <w:rFonts w:ascii="Arial"/>
                              <w:sz w:val="21"/>
                            </w:rPr>
                          </w:pPr>
                        </w:p>
                        <w:p w14:paraId="162C5ED5">
                          <w:pPr>
                            <w:spacing w:line="247" w:lineRule="auto"/>
                            <w:rPr>
                              <w:rFonts w:ascii="Arial"/>
                              <w:sz w:val="21"/>
                            </w:rPr>
                          </w:pPr>
                        </w:p>
                        <w:p w14:paraId="100DF4F2">
                          <w:pPr>
                            <w:spacing w:line="247" w:lineRule="auto"/>
                            <w:rPr>
                              <w:rFonts w:ascii="Arial"/>
                              <w:sz w:val="21"/>
                            </w:rPr>
                          </w:pPr>
                        </w:p>
                        <w:p w14:paraId="188C5072">
                          <w:pPr>
                            <w:spacing w:line="247" w:lineRule="auto"/>
                            <w:rPr>
                              <w:rFonts w:ascii="Arial"/>
                              <w:sz w:val="21"/>
                            </w:rPr>
                          </w:pPr>
                        </w:p>
                        <w:p w14:paraId="7E28C62F">
                          <w:pPr>
                            <w:spacing w:line="247" w:lineRule="auto"/>
                            <w:rPr>
                              <w:rFonts w:ascii="Arial"/>
                              <w:sz w:val="21"/>
                            </w:rPr>
                          </w:pPr>
                        </w:p>
                        <w:p w14:paraId="1D95F687">
                          <w:pPr>
                            <w:spacing w:line="247" w:lineRule="auto"/>
                            <w:rPr>
                              <w:rFonts w:ascii="Arial"/>
                              <w:sz w:val="21"/>
                            </w:rPr>
                          </w:pPr>
                        </w:p>
                        <w:p w14:paraId="61661FD2">
                          <w:pPr>
                            <w:spacing w:line="247" w:lineRule="auto"/>
                            <w:rPr>
                              <w:rFonts w:ascii="Arial"/>
                              <w:sz w:val="21"/>
                            </w:rPr>
                          </w:pPr>
                        </w:p>
                        <w:p w14:paraId="7D95C0EB">
                          <w:pPr>
                            <w:spacing w:line="247" w:lineRule="auto"/>
                            <w:rPr>
                              <w:rFonts w:ascii="Arial"/>
                              <w:sz w:val="21"/>
                            </w:rPr>
                          </w:pPr>
                        </w:p>
                        <w:p w14:paraId="76B8584E">
                          <w:pPr>
                            <w:spacing w:line="247" w:lineRule="auto"/>
                            <w:rPr>
                              <w:rFonts w:ascii="Arial"/>
                              <w:sz w:val="21"/>
                            </w:rPr>
                          </w:pPr>
                        </w:p>
                        <w:p w14:paraId="5DFA0F26">
                          <w:pPr>
                            <w:spacing w:line="247" w:lineRule="auto"/>
                            <w:rPr>
                              <w:rFonts w:ascii="Arial"/>
                              <w:sz w:val="21"/>
                            </w:rPr>
                          </w:pPr>
                        </w:p>
                        <w:p w14:paraId="3E6CAE63">
                          <w:pPr>
                            <w:spacing w:line="247" w:lineRule="auto"/>
                            <w:rPr>
                              <w:rFonts w:ascii="Arial"/>
                              <w:sz w:val="21"/>
                            </w:rPr>
                          </w:pPr>
                        </w:p>
                        <w:p w14:paraId="11591893">
                          <w:pPr>
                            <w:spacing w:before="85" w:line="239" w:lineRule="auto"/>
                            <w:ind w:left="6809"/>
                            <w:rPr>
                              <w:rFonts w:ascii="宋体" w:hAnsi="宋体" w:eastAsia="宋体" w:cs="宋体"/>
                              <w:sz w:val="26"/>
                              <w:szCs w:val="26"/>
                            </w:rPr>
                          </w:pPr>
                          <w:r>
                            <w:rPr>
                              <w:rFonts w:ascii="宋体" w:hAnsi="宋体" w:eastAsia="宋体" w:cs="宋体"/>
                              <w:color w:val="F0C000"/>
                              <w:spacing w:val="-2"/>
                              <w:sz w:val="26"/>
                              <w:szCs w:val="26"/>
                            </w:rPr>
                            <w:t>2024.8.</w:t>
                          </w:r>
                          <w:r>
                            <w:rPr>
                              <w:rFonts w:ascii="宋体" w:hAnsi="宋体" w:eastAsia="宋体" w:cs="宋体"/>
                              <w:color w:val="F0B000"/>
                              <w:spacing w:val="-2"/>
                              <w:sz w:val="26"/>
                              <w:szCs w:val="26"/>
                            </w:rPr>
                            <w:t>24</w:t>
                          </w:r>
                        </w:p>
                      </w:txbxContent>
                    </v:textbox>
                  </v:shape>
                  <w10:wrap type="none"/>
                  <w10:anchorlock/>
                </v:group>
              </w:pict>
            </w:r>
          </w:p>
          <w:p w14:paraId="3D1DCC9B">
            <w:pPr>
              <w:pStyle w:val="6"/>
              <w:spacing w:before="85" w:line="204" w:lineRule="auto"/>
              <w:ind w:left="2778"/>
              <w:rPr>
                <w:sz w:val="26"/>
                <w:szCs w:val="26"/>
              </w:rPr>
            </w:pPr>
            <w:r>
              <w:rPr>
                <w:b/>
                <w:bCs/>
                <w:spacing w:val="-4"/>
                <w:sz w:val="26"/>
                <w:szCs w:val="26"/>
              </w:rPr>
              <w:t>项目区周边现状村道现状</w:t>
            </w:r>
          </w:p>
        </w:tc>
      </w:tr>
      <w:tr w14:paraId="008CC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2" w:hRule="atLeast"/>
        </w:trPr>
        <w:tc>
          <w:tcPr>
            <w:tcW w:w="8519" w:type="dxa"/>
            <w:shd w:val="clear" w:color="auto" w:fill="505A3D"/>
            <w:vAlign w:val="top"/>
          </w:tcPr>
          <w:p w14:paraId="759FD4FD">
            <w:pPr>
              <w:pStyle w:val="6"/>
              <w:spacing w:before="17" w:line="4390" w:lineRule="exact"/>
              <w:ind w:firstLine="25"/>
            </w:pPr>
            <w:r>
              <w:rPr>
                <w:position w:val="-87"/>
              </w:rPr>
              <w:pict>
                <v:group id="_x0000_s1032" o:spid="_x0000_s1032" o:spt="203" style="height:219.55pt;width:422.5pt;" coordsize="8450,4391">
                  <o:lock v:ext="edit"/>
                  <v:shape id="_x0000_s1033" o:spid="_x0000_s1033" o:spt="75" type="#_x0000_t75" style="position:absolute;left:0;top:0;height:4391;width:8450;" filled="f" stroked="f" coordsize="21600,21600">
                    <v:path/>
                    <v:fill on="f" focussize="0,0"/>
                    <v:stroke on="f"/>
                    <v:imagedata r:id="rId262" o:title=""/>
                    <o:lock v:ext="edit" aspectratio="t"/>
                  </v:shape>
                  <v:shape id="_x0000_s1034" o:spid="_x0000_s1034" o:spt="202" type="#_x0000_t202" style="position:absolute;left:-20;top:-20;height:4431;width:8490;" filled="f" stroked="f" coordsize="21600,21600">
                    <v:path/>
                    <v:fill on="f" focussize="0,0"/>
                    <v:stroke on="f"/>
                    <v:imagedata o:title=""/>
                    <o:lock v:ext="edit" aspectratio="f"/>
                    <v:textbox inset="0mm,0mm,0mm,0mm">
                      <w:txbxContent>
                        <w:p w14:paraId="3BBBF62A">
                          <w:pPr>
                            <w:spacing w:line="244" w:lineRule="auto"/>
                            <w:rPr>
                              <w:rFonts w:ascii="Arial"/>
                              <w:sz w:val="21"/>
                            </w:rPr>
                          </w:pPr>
                        </w:p>
                        <w:p w14:paraId="3278DBE2">
                          <w:pPr>
                            <w:spacing w:line="244" w:lineRule="auto"/>
                            <w:rPr>
                              <w:rFonts w:ascii="Arial"/>
                              <w:sz w:val="21"/>
                            </w:rPr>
                          </w:pPr>
                        </w:p>
                        <w:p w14:paraId="54E8C87E">
                          <w:pPr>
                            <w:spacing w:line="244" w:lineRule="auto"/>
                            <w:rPr>
                              <w:rFonts w:ascii="Arial"/>
                              <w:sz w:val="21"/>
                            </w:rPr>
                          </w:pPr>
                        </w:p>
                        <w:p w14:paraId="4B4389AD">
                          <w:pPr>
                            <w:spacing w:line="245" w:lineRule="auto"/>
                            <w:rPr>
                              <w:rFonts w:ascii="Arial"/>
                              <w:sz w:val="21"/>
                            </w:rPr>
                          </w:pPr>
                        </w:p>
                        <w:p w14:paraId="7DB3D794">
                          <w:pPr>
                            <w:spacing w:line="245" w:lineRule="auto"/>
                            <w:rPr>
                              <w:rFonts w:ascii="Arial"/>
                              <w:sz w:val="21"/>
                            </w:rPr>
                          </w:pPr>
                        </w:p>
                        <w:p w14:paraId="7ADD5C83">
                          <w:pPr>
                            <w:spacing w:line="245" w:lineRule="auto"/>
                            <w:rPr>
                              <w:rFonts w:ascii="Arial"/>
                              <w:sz w:val="21"/>
                            </w:rPr>
                          </w:pPr>
                        </w:p>
                        <w:p w14:paraId="5CE89D6E">
                          <w:pPr>
                            <w:spacing w:line="245" w:lineRule="auto"/>
                            <w:rPr>
                              <w:rFonts w:ascii="Arial"/>
                              <w:sz w:val="21"/>
                            </w:rPr>
                          </w:pPr>
                        </w:p>
                        <w:p w14:paraId="7872516F">
                          <w:pPr>
                            <w:spacing w:line="245" w:lineRule="auto"/>
                            <w:rPr>
                              <w:rFonts w:ascii="Arial"/>
                              <w:sz w:val="21"/>
                            </w:rPr>
                          </w:pPr>
                        </w:p>
                        <w:p w14:paraId="10C838C1">
                          <w:pPr>
                            <w:spacing w:line="245" w:lineRule="auto"/>
                            <w:rPr>
                              <w:rFonts w:ascii="Arial"/>
                              <w:sz w:val="21"/>
                            </w:rPr>
                          </w:pPr>
                        </w:p>
                        <w:p w14:paraId="54446A73">
                          <w:pPr>
                            <w:spacing w:line="245" w:lineRule="auto"/>
                            <w:rPr>
                              <w:rFonts w:ascii="Arial"/>
                              <w:sz w:val="21"/>
                            </w:rPr>
                          </w:pPr>
                        </w:p>
                        <w:p w14:paraId="1310B013">
                          <w:pPr>
                            <w:spacing w:line="245" w:lineRule="auto"/>
                            <w:rPr>
                              <w:rFonts w:ascii="Arial"/>
                              <w:sz w:val="21"/>
                            </w:rPr>
                          </w:pPr>
                        </w:p>
                        <w:p w14:paraId="0C8D1194">
                          <w:pPr>
                            <w:spacing w:line="245" w:lineRule="auto"/>
                            <w:rPr>
                              <w:rFonts w:ascii="Arial"/>
                              <w:sz w:val="21"/>
                            </w:rPr>
                          </w:pPr>
                        </w:p>
                        <w:p w14:paraId="11745738">
                          <w:pPr>
                            <w:spacing w:line="245" w:lineRule="auto"/>
                            <w:rPr>
                              <w:rFonts w:ascii="Arial"/>
                              <w:sz w:val="21"/>
                            </w:rPr>
                          </w:pPr>
                        </w:p>
                        <w:p w14:paraId="6101839F">
                          <w:pPr>
                            <w:spacing w:line="245" w:lineRule="auto"/>
                            <w:rPr>
                              <w:rFonts w:ascii="Arial"/>
                              <w:sz w:val="21"/>
                            </w:rPr>
                          </w:pPr>
                        </w:p>
                        <w:p w14:paraId="458FF0C4">
                          <w:pPr>
                            <w:spacing w:line="245" w:lineRule="auto"/>
                            <w:rPr>
                              <w:rFonts w:ascii="Arial"/>
                              <w:sz w:val="21"/>
                            </w:rPr>
                          </w:pPr>
                        </w:p>
                        <w:p w14:paraId="6DFCE66A">
                          <w:pPr>
                            <w:spacing w:line="245" w:lineRule="auto"/>
                            <w:rPr>
                              <w:rFonts w:ascii="Arial"/>
                              <w:sz w:val="21"/>
                            </w:rPr>
                          </w:pPr>
                        </w:p>
                        <w:p w14:paraId="05BB4628">
                          <w:pPr>
                            <w:spacing w:before="85" w:line="239" w:lineRule="auto"/>
                            <w:ind w:left="6839"/>
                            <w:rPr>
                              <w:rFonts w:ascii="宋体" w:hAnsi="宋体" w:eastAsia="宋体" w:cs="宋体"/>
                              <w:sz w:val="26"/>
                              <w:szCs w:val="26"/>
                            </w:rPr>
                          </w:pPr>
                          <w:r>
                            <w:rPr>
                              <w:rFonts w:ascii="宋体" w:hAnsi="宋体" w:eastAsia="宋体" w:cs="宋体"/>
                              <w:color w:val="F0A000"/>
                              <w:spacing w:val="-2"/>
                              <w:sz w:val="26"/>
                              <w:szCs w:val="26"/>
                            </w:rPr>
                            <w:t>2024.8.</w:t>
                          </w:r>
                          <w:r>
                            <w:rPr>
                              <w:rFonts w:ascii="宋体" w:hAnsi="宋体" w:eastAsia="宋体" w:cs="宋体"/>
                              <w:color w:val="F09000"/>
                              <w:spacing w:val="-2"/>
                              <w:sz w:val="26"/>
                              <w:szCs w:val="26"/>
                            </w:rPr>
                            <w:t>24</w:t>
                          </w:r>
                        </w:p>
                      </w:txbxContent>
                    </v:textbox>
                  </v:shape>
                  <w10:wrap type="none"/>
                  <w10:anchorlock/>
                </v:group>
              </w:pict>
            </w:r>
          </w:p>
          <w:p w14:paraId="68C3E318">
            <w:pPr>
              <w:pStyle w:val="6"/>
              <w:spacing w:before="86" w:line="205" w:lineRule="auto"/>
              <w:ind w:left="2678"/>
              <w:rPr>
                <w:sz w:val="26"/>
                <w:szCs w:val="26"/>
              </w:rPr>
            </w:pPr>
            <w:r>
              <w:rPr>
                <w:b/>
                <w:bCs/>
                <w:spacing w:val="-4"/>
                <w:sz w:val="26"/>
                <w:szCs w:val="26"/>
              </w:rPr>
              <w:t>项目区周边G324公路现状</w:t>
            </w:r>
          </w:p>
        </w:tc>
      </w:tr>
    </w:tbl>
    <w:p w14:paraId="2B559C4D">
      <w:pPr>
        <w:pStyle w:val="2"/>
      </w:pPr>
    </w:p>
    <w:p w14:paraId="34D5DC21">
      <w:pPr>
        <w:sectPr>
          <w:pgSz w:w="11910" w:h="16830"/>
          <w:pgMar w:top="400" w:right="1705" w:bottom="400" w:left="1675" w:header="0" w:footer="0" w:gutter="0"/>
          <w:cols w:space="720" w:num="1"/>
        </w:sectPr>
      </w:pPr>
    </w:p>
    <w:p w14:paraId="0A0F63C8">
      <w:pPr>
        <w:spacing w:before="71"/>
      </w:pPr>
    </w:p>
    <w:p w14:paraId="7C40B93E">
      <w:pPr>
        <w:spacing w:before="71"/>
      </w:pPr>
    </w:p>
    <w:tbl>
      <w:tblPr>
        <w:tblStyle w:val="5"/>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89"/>
        <w:gridCol w:w="4020"/>
      </w:tblGrid>
      <w:tr w14:paraId="46C1F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3" w:hRule="atLeast"/>
        </w:trPr>
        <w:tc>
          <w:tcPr>
            <w:tcW w:w="4489" w:type="dxa"/>
            <w:vAlign w:val="top"/>
          </w:tcPr>
          <w:p w14:paraId="18B185F0">
            <w:pPr>
              <w:pStyle w:val="6"/>
              <w:spacing w:before="105" w:line="2880" w:lineRule="exact"/>
              <w:ind w:firstLine="35"/>
            </w:pPr>
            <w:r>
              <w:rPr>
                <w:position w:val="-57"/>
              </w:rPr>
              <w:pict>
                <v:group id="_x0000_s1035" o:spid="_x0000_s1035" o:spt="203" style="height:144pt;width:174.5pt;" coordsize="3490,2880">
                  <o:lock v:ext="edit"/>
                  <v:shape id="_x0000_s1036" o:spid="_x0000_s1036" o:spt="75" type="#_x0000_t75" style="position:absolute;left:0;top:0;height:2880;width:3490;" filled="f" stroked="f" coordsize="21600,21600">
                    <v:path/>
                    <v:fill on="f" focussize="0,0"/>
                    <v:stroke on="f"/>
                    <v:imagedata r:id="rId263" o:title=""/>
                    <o:lock v:ext="edit" aspectratio="t"/>
                  </v:shape>
                  <v:shape id="_x0000_s1037" o:spid="_x0000_s1037" o:spt="202" type="#_x0000_t202" style="position:absolute;left:-20;top:-20;height:2920;width:3530;" filled="f" stroked="f" coordsize="21600,21600">
                    <v:path/>
                    <v:fill on="f" focussize="0,0"/>
                    <v:stroke on="f"/>
                    <v:imagedata o:title=""/>
                    <o:lock v:ext="edit" aspectratio="f"/>
                    <v:textbox inset="0mm,0mm,0mm,0mm">
                      <w:txbxContent>
                        <w:p w14:paraId="2944ED69">
                          <w:pPr>
                            <w:spacing w:line="244" w:lineRule="auto"/>
                            <w:rPr>
                              <w:rFonts w:ascii="Arial"/>
                              <w:sz w:val="21"/>
                            </w:rPr>
                          </w:pPr>
                        </w:p>
                        <w:p w14:paraId="1791A2BA">
                          <w:pPr>
                            <w:spacing w:line="244" w:lineRule="auto"/>
                            <w:rPr>
                              <w:rFonts w:ascii="Arial"/>
                              <w:sz w:val="21"/>
                            </w:rPr>
                          </w:pPr>
                        </w:p>
                        <w:p w14:paraId="1AA5FE4A">
                          <w:pPr>
                            <w:spacing w:line="244" w:lineRule="auto"/>
                            <w:rPr>
                              <w:rFonts w:ascii="Arial"/>
                              <w:sz w:val="21"/>
                            </w:rPr>
                          </w:pPr>
                        </w:p>
                        <w:p w14:paraId="116E0D48">
                          <w:pPr>
                            <w:spacing w:line="244" w:lineRule="auto"/>
                            <w:rPr>
                              <w:rFonts w:ascii="Arial"/>
                              <w:sz w:val="21"/>
                            </w:rPr>
                          </w:pPr>
                        </w:p>
                        <w:p w14:paraId="3725FE0C">
                          <w:pPr>
                            <w:spacing w:line="245" w:lineRule="auto"/>
                            <w:rPr>
                              <w:rFonts w:ascii="Arial"/>
                              <w:sz w:val="21"/>
                            </w:rPr>
                          </w:pPr>
                        </w:p>
                        <w:p w14:paraId="1C0FE4BF">
                          <w:pPr>
                            <w:spacing w:line="245" w:lineRule="auto"/>
                            <w:rPr>
                              <w:rFonts w:ascii="Arial"/>
                              <w:sz w:val="21"/>
                            </w:rPr>
                          </w:pPr>
                        </w:p>
                        <w:p w14:paraId="57A43A06">
                          <w:pPr>
                            <w:spacing w:line="245" w:lineRule="auto"/>
                            <w:rPr>
                              <w:rFonts w:ascii="Arial"/>
                              <w:sz w:val="21"/>
                            </w:rPr>
                          </w:pPr>
                        </w:p>
                        <w:p w14:paraId="3A10B933">
                          <w:pPr>
                            <w:spacing w:line="245" w:lineRule="auto"/>
                            <w:rPr>
                              <w:rFonts w:ascii="Arial"/>
                              <w:sz w:val="21"/>
                            </w:rPr>
                          </w:pPr>
                        </w:p>
                        <w:p w14:paraId="1D73E5F6">
                          <w:pPr>
                            <w:spacing w:line="245" w:lineRule="auto"/>
                            <w:rPr>
                              <w:rFonts w:ascii="Arial"/>
                              <w:sz w:val="21"/>
                            </w:rPr>
                          </w:pPr>
                        </w:p>
                        <w:p w14:paraId="088C1D40">
                          <w:pPr>
                            <w:spacing w:line="245" w:lineRule="auto"/>
                            <w:rPr>
                              <w:rFonts w:ascii="Arial"/>
                              <w:sz w:val="21"/>
                            </w:rPr>
                          </w:pPr>
                        </w:p>
                        <w:p w14:paraId="027C94B2">
                          <w:pPr>
                            <w:spacing w:before="85" w:line="239" w:lineRule="auto"/>
                            <w:ind w:left="2309"/>
                            <w:rPr>
                              <w:rFonts w:ascii="宋体" w:hAnsi="宋体" w:eastAsia="宋体" w:cs="宋体"/>
                              <w:sz w:val="26"/>
                              <w:szCs w:val="26"/>
                            </w:rPr>
                          </w:pPr>
                          <w:r>
                            <w:rPr>
                              <w:rFonts w:ascii="宋体" w:hAnsi="宋体" w:eastAsia="宋体" w:cs="宋体"/>
                              <w:color w:val="F0C000"/>
                              <w:spacing w:val="-2"/>
                              <w:sz w:val="26"/>
                              <w:szCs w:val="26"/>
                            </w:rPr>
                            <w:t>2024.</w:t>
                          </w:r>
                          <w:r>
                            <w:rPr>
                              <w:rFonts w:ascii="宋体" w:hAnsi="宋体" w:eastAsia="宋体" w:cs="宋体"/>
                              <w:color w:val="F0A000"/>
                              <w:spacing w:val="-2"/>
                              <w:sz w:val="26"/>
                              <w:szCs w:val="26"/>
                            </w:rPr>
                            <w:t>8.24</w:t>
                          </w:r>
                        </w:p>
                      </w:txbxContent>
                    </v:textbox>
                  </v:shape>
                  <w10:wrap type="none"/>
                  <w10:anchorlock/>
                </v:group>
              </w:pict>
            </w:r>
          </w:p>
        </w:tc>
        <w:tc>
          <w:tcPr>
            <w:tcW w:w="4020" w:type="dxa"/>
            <w:vAlign w:val="top"/>
          </w:tcPr>
          <w:p w14:paraId="04078928">
            <w:pPr>
              <w:spacing w:before="94" w:line="2881" w:lineRule="exact"/>
              <w:ind w:firstLine="75"/>
            </w:pPr>
            <w:r>
              <w:rPr>
                <w:position w:val="-57"/>
              </w:rPr>
              <w:drawing>
                <wp:inline distT="0" distB="0" distL="0" distR="0">
                  <wp:extent cx="2432050" cy="182880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64"/>
                          <a:stretch>
                            <a:fillRect/>
                          </a:stretch>
                        </pic:blipFill>
                        <pic:spPr>
                          <a:xfrm>
                            <a:off x="0" y="0"/>
                            <a:ext cx="2432061" cy="1828875"/>
                          </a:xfrm>
                          <a:prstGeom prst="rect">
                            <a:avLst/>
                          </a:prstGeom>
                        </pic:spPr>
                      </pic:pic>
                    </a:graphicData>
                  </a:graphic>
                </wp:inline>
              </w:drawing>
            </w:r>
          </w:p>
        </w:tc>
      </w:tr>
      <w:tr w14:paraId="1E4A8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489" w:type="dxa"/>
            <w:vAlign w:val="top"/>
          </w:tcPr>
          <w:p w14:paraId="6B30E4D8">
            <w:pPr>
              <w:pStyle w:val="6"/>
              <w:spacing w:before="72" w:line="219" w:lineRule="auto"/>
              <w:ind w:left="104"/>
              <w:rPr>
                <w:sz w:val="26"/>
                <w:szCs w:val="26"/>
              </w:rPr>
            </w:pPr>
            <w:r>
              <w:rPr>
                <w:spacing w:val="2"/>
                <w:sz w:val="26"/>
                <w:szCs w:val="26"/>
              </w:rPr>
              <w:t>编制主持人现场踏勘照</w:t>
            </w:r>
          </w:p>
        </w:tc>
        <w:tc>
          <w:tcPr>
            <w:tcW w:w="4020" w:type="dxa"/>
            <w:vAlign w:val="top"/>
          </w:tcPr>
          <w:p w14:paraId="00CA8902">
            <w:pPr>
              <w:pStyle w:val="6"/>
              <w:spacing w:before="70" w:line="218" w:lineRule="auto"/>
              <w:ind w:left="116"/>
              <w:rPr>
                <w:sz w:val="26"/>
                <w:szCs w:val="26"/>
              </w:rPr>
            </w:pPr>
            <w:r>
              <w:rPr>
                <w:spacing w:val="1"/>
                <w:sz w:val="26"/>
                <w:szCs w:val="26"/>
              </w:rPr>
              <w:t>评价范围内植被情况</w:t>
            </w:r>
          </w:p>
        </w:tc>
      </w:tr>
      <w:tr w14:paraId="35395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8" w:hRule="atLeast"/>
        </w:trPr>
        <w:tc>
          <w:tcPr>
            <w:tcW w:w="4489" w:type="dxa"/>
            <w:vAlign w:val="top"/>
          </w:tcPr>
          <w:p w14:paraId="60DE520F">
            <w:pPr>
              <w:spacing w:line="261" w:lineRule="auto"/>
              <w:rPr>
                <w:rFonts w:ascii="Arial"/>
                <w:sz w:val="21"/>
              </w:rPr>
            </w:pPr>
          </w:p>
          <w:p w14:paraId="156C8F93">
            <w:pPr>
              <w:spacing w:line="261" w:lineRule="auto"/>
              <w:rPr>
                <w:rFonts w:ascii="Arial"/>
                <w:sz w:val="21"/>
              </w:rPr>
            </w:pPr>
          </w:p>
          <w:p w14:paraId="3E7C804F">
            <w:pPr>
              <w:spacing w:line="261" w:lineRule="auto"/>
              <w:rPr>
                <w:rFonts w:ascii="Arial"/>
                <w:sz w:val="21"/>
              </w:rPr>
            </w:pPr>
          </w:p>
          <w:p w14:paraId="4C9FC143">
            <w:pPr>
              <w:spacing w:line="262" w:lineRule="auto"/>
              <w:rPr>
                <w:rFonts w:ascii="Arial"/>
                <w:sz w:val="21"/>
              </w:rPr>
            </w:pPr>
          </w:p>
          <w:p w14:paraId="7285AB84">
            <w:pPr>
              <w:spacing w:line="262" w:lineRule="auto"/>
              <w:rPr>
                <w:rFonts w:ascii="Arial"/>
                <w:sz w:val="21"/>
              </w:rPr>
            </w:pPr>
          </w:p>
          <w:p w14:paraId="7DAAF973">
            <w:pPr>
              <w:spacing w:line="262" w:lineRule="auto"/>
              <w:rPr>
                <w:rFonts w:ascii="Arial"/>
                <w:sz w:val="21"/>
              </w:rPr>
            </w:pPr>
          </w:p>
          <w:p w14:paraId="0F14B8C8">
            <w:pPr>
              <w:spacing w:line="262" w:lineRule="auto"/>
              <w:rPr>
                <w:rFonts w:ascii="Arial"/>
                <w:sz w:val="21"/>
              </w:rPr>
            </w:pPr>
          </w:p>
          <w:p w14:paraId="3178623E">
            <w:pPr>
              <w:spacing w:line="262" w:lineRule="auto"/>
              <w:rPr>
                <w:rFonts w:ascii="Arial"/>
                <w:sz w:val="21"/>
              </w:rPr>
            </w:pPr>
          </w:p>
          <w:p w14:paraId="45D2B92E">
            <w:pPr>
              <w:spacing w:line="262" w:lineRule="auto"/>
              <w:rPr>
                <w:rFonts w:ascii="Arial"/>
                <w:sz w:val="21"/>
              </w:rPr>
            </w:pPr>
          </w:p>
          <w:p w14:paraId="433BA4F9">
            <w:pPr>
              <w:spacing w:line="262" w:lineRule="auto"/>
              <w:rPr>
                <w:rFonts w:ascii="Arial"/>
                <w:sz w:val="21"/>
              </w:rPr>
            </w:pPr>
          </w:p>
          <w:p w14:paraId="573FE96F">
            <w:pPr>
              <w:pStyle w:val="6"/>
              <w:spacing w:before="85" w:line="239" w:lineRule="auto"/>
              <w:ind w:left="2864"/>
              <w:rPr>
                <w:sz w:val="26"/>
                <w:szCs w:val="26"/>
              </w:rPr>
            </w:pPr>
            <w:r>
              <w:drawing>
                <wp:anchor distT="0" distB="0" distL="0" distR="0" simplePos="0" relativeHeight="251667456" behindDoc="1" locked="0" layoutInCell="1" allowOverlap="1">
                  <wp:simplePos x="0" y="0"/>
                  <wp:positionH relativeFrom="column">
                    <wp:posOffset>28575</wp:posOffset>
                  </wp:positionH>
                  <wp:positionV relativeFrom="paragraph">
                    <wp:posOffset>-1632585</wp:posOffset>
                  </wp:positionV>
                  <wp:extent cx="2724150" cy="186055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65"/>
                          <a:stretch>
                            <a:fillRect/>
                          </a:stretch>
                        </pic:blipFill>
                        <pic:spPr>
                          <a:xfrm>
                            <a:off x="0" y="0"/>
                            <a:ext cx="2724138" cy="1860508"/>
                          </a:xfrm>
                          <a:prstGeom prst="rect">
                            <a:avLst/>
                          </a:prstGeom>
                        </pic:spPr>
                      </pic:pic>
                    </a:graphicData>
                  </a:graphic>
                </wp:anchor>
              </w:drawing>
            </w:r>
            <w:r>
              <w:rPr>
                <w:color w:val="F0C000"/>
                <w:spacing w:val="-2"/>
                <w:sz w:val="26"/>
                <w:szCs w:val="26"/>
              </w:rPr>
              <w:t>2024.8.24</w:t>
            </w:r>
          </w:p>
        </w:tc>
        <w:tc>
          <w:tcPr>
            <w:tcW w:w="4020" w:type="dxa"/>
            <w:vAlign w:val="top"/>
          </w:tcPr>
          <w:p w14:paraId="72AB4A22">
            <w:pPr>
              <w:spacing w:before="91" w:line="2891" w:lineRule="exact"/>
              <w:ind w:firstLine="85"/>
            </w:pPr>
            <w:r>
              <w:rPr>
                <w:position w:val="-57"/>
              </w:rPr>
              <w:drawing>
                <wp:inline distT="0" distB="0" distL="0" distR="0">
                  <wp:extent cx="2425700" cy="183515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66"/>
                          <a:stretch>
                            <a:fillRect/>
                          </a:stretch>
                        </pic:blipFill>
                        <pic:spPr>
                          <a:xfrm>
                            <a:off x="0" y="0"/>
                            <a:ext cx="2425708" cy="1835181"/>
                          </a:xfrm>
                          <a:prstGeom prst="rect">
                            <a:avLst/>
                          </a:prstGeom>
                        </pic:spPr>
                      </pic:pic>
                    </a:graphicData>
                  </a:graphic>
                </wp:inline>
              </w:drawing>
            </w:r>
          </w:p>
        </w:tc>
      </w:tr>
      <w:tr w14:paraId="476AC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489" w:type="dxa"/>
            <w:vAlign w:val="top"/>
          </w:tcPr>
          <w:p w14:paraId="19E088C2">
            <w:pPr>
              <w:pStyle w:val="6"/>
              <w:spacing w:before="72" w:line="218" w:lineRule="auto"/>
              <w:ind w:left="104"/>
              <w:rPr>
                <w:sz w:val="26"/>
                <w:szCs w:val="26"/>
              </w:rPr>
            </w:pPr>
            <w:r>
              <w:rPr>
                <w:spacing w:val="1"/>
                <w:sz w:val="26"/>
                <w:szCs w:val="26"/>
              </w:rPr>
              <w:t>评价范围内植被情况</w:t>
            </w:r>
          </w:p>
        </w:tc>
        <w:tc>
          <w:tcPr>
            <w:tcW w:w="4020" w:type="dxa"/>
            <w:vAlign w:val="top"/>
          </w:tcPr>
          <w:p w14:paraId="223DF516">
            <w:pPr>
              <w:pStyle w:val="6"/>
              <w:spacing w:before="72" w:line="218" w:lineRule="auto"/>
              <w:ind w:left="116"/>
              <w:rPr>
                <w:sz w:val="26"/>
                <w:szCs w:val="26"/>
              </w:rPr>
            </w:pPr>
            <w:r>
              <w:rPr>
                <w:spacing w:val="1"/>
                <w:sz w:val="26"/>
                <w:szCs w:val="26"/>
              </w:rPr>
              <w:t>评价范围内植被情况</w:t>
            </w:r>
          </w:p>
        </w:tc>
      </w:tr>
      <w:tr w14:paraId="7F514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7" w:hRule="atLeast"/>
        </w:trPr>
        <w:tc>
          <w:tcPr>
            <w:tcW w:w="4489" w:type="dxa"/>
            <w:vAlign w:val="top"/>
          </w:tcPr>
          <w:p w14:paraId="7E6518D2">
            <w:pPr>
              <w:rPr>
                <w:rFonts w:ascii="Arial"/>
                <w:sz w:val="21"/>
              </w:rPr>
            </w:pPr>
          </w:p>
          <w:p w14:paraId="5818767B">
            <w:pPr>
              <w:rPr>
                <w:rFonts w:ascii="Arial"/>
                <w:sz w:val="21"/>
              </w:rPr>
            </w:pPr>
          </w:p>
          <w:p w14:paraId="4D1244D3">
            <w:pPr>
              <w:rPr>
                <w:rFonts w:ascii="Arial"/>
                <w:sz w:val="21"/>
              </w:rPr>
            </w:pPr>
          </w:p>
          <w:p w14:paraId="435F43F0">
            <w:pPr>
              <w:rPr>
                <w:rFonts w:ascii="Arial"/>
                <w:sz w:val="21"/>
              </w:rPr>
            </w:pPr>
          </w:p>
          <w:p w14:paraId="082A3958">
            <w:pPr>
              <w:spacing w:line="241" w:lineRule="auto"/>
              <w:rPr>
                <w:rFonts w:ascii="Arial"/>
                <w:sz w:val="21"/>
              </w:rPr>
            </w:pPr>
          </w:p>
          <w:p w14:paraId="32EC7A5F">
            <w:pPr>
              <w:spacing w:line="241" w:lineRule="auto"/>
              <w:rPr>
                <w:rFonts w:ascii="Arial"/>
                <w:sz w:val="21"/>
              </w:rPr>
            </w:pPr>
          </w:p>
          <w:p w14:paraId="0556F66D">
            <w:pPr>
              <w:spacing w:line="241" w:lineRule="auto"/>
              <w:rPr>
                <w:rFonts w:ascii="Arial"/>
                <w:sz w:val="21"/>
              </w:rPr>
            </w:pPr>
          </w:p>
          <w:p w14:paraId="5D5DC470">
            <w:pPr>
              <w:spacing w:line="241" w:lineRule="auto"/>
              <w:rPr>
                <w:rFonts w:ascii="Arial"/>
                <w:sz w:val="21"/>
              </w:rPr>
            </w:pPr>
          </w:p>
          <w:p w14:paraId="5D449555">
            <w:pPr>
              <w:spacing w:line="241" w:lineRule="auto"/>
              <w:rPr>
                <w:rFonts w:ascii="Arial"/>
                <w:sz w:val="21"/>
              </w:rPr>
            </w:pPr>
          </w:p>
          <w:p w14:paraId="4AB27132">
            <w:pPr>
              <w:spacing w:line="241" w:lineRule="auto"/>
              <w:rPr>
                <w:rFonts w:ascii="Arial"/>
                <w:sz w:val="21"/>
              </w:rPr>
            </w:pPr>
          </w:p>
          <w:p w14:paraId="54A1A02E">
            <w:pPr>
              <w:spacing w:line="241" w:lineRule="auto"/>
              <w:rPr>
                <w:rFonts w:ascii="Arial"/>
                <w:sz w:val="21"/>
              </w:rPr>
            </w:pPr>
          </w:p>
          <w:p w14:paraId="41DFF19D">
            <w:pPr>
              <w:spacing w:line="241" w:lineRule="auto"/>
              <w:rPr>
                <w:rFonts w:ascii="Arial"/>
                <w:sz w:val="21"/>
              </w:rPr>
            </w:pPr>
          </w:p>
          <w:p w14:paraId="38EA3521">
            <w:pPr>
              <w:pStyle w:val="6"/>
              <w:spacing w:before="84" w:line="239" w:lineRule="auto"/>
              <w:ind w:left="2985"/>
              <w:rPr>
                <w:sz w:val="26"/>
                <w:szCs w:val="26"/>
              </w:rPr>
            </w:pPr>
            <w:r>
              <w:drawing>
                <wp:anchor distT="0" distB="0" distL="0" distR="0" simplePos="0" relativeHeight="251668480" behindDoc="1" locked="0" layoutInCell="1" allowOverlap="1">
                  <wp:simplePos x="0" y="0"/>
                  <wp:positionH relativeFrom="column">
                    <wp:posOffset>28575</wp:posOffset>
                  </wp:positionH>
                  <wp:positionV relativeFrom="paragraph">
                    <wp:posOffset>-1817370</wp:posOffset>
                  </wp:positionV>
                  <wp:extent cx="2749550" cy="207645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67"/>
                          <a:stretch>
                            <a:fillRect/>
                          </a:stretch>
                        </pic:blipFill>
                        <pic:spPr>
                          <a:xfrm>
                            <a:off x="0" y="0"/>
                            <a:ext cx="2749550" cy="2076386"/>
                          </a:xfrm>
                          <a:prstGeom prst="rect">
                            <a:avLst/>
                          </a:prstGeom>
                        </pic:spPr>
                      </pic:pic>
                    </a:graphicData>
                  </a:graphic>
                </wp:anchor>
              </w:drawing>
            </w:r>
            <w:r>
              <w:rPr>
                <w:color w:val="F0B000"/>
                <w:spacing w:val="-2"/>
                <w:sz w:val="26"/>
                <w:szCs w:val="26"/>
              </w:rPr>
              <w:t>2024.8.24</w:t>
            </w:r>
          </w:p>
        </w:tc>
        <w:tc>
          <w:tcPr>
            <w:tcW w:w="4020" w:type="dxa"/>
            <w:vAlign w:val="top"/>
          </w:tcPr>
          <w:p w14:paraId="20BE3520">
            <w:pPr>
              <w:spacing w:line="411" w:lineRule="auto"/>
              <w:rPr>
                <w:rFonts w:ascii="Arial"/>
                <w:sz w:val="21"/>
              </w:rPr>
            </w:pPr>
          </w:p>
          <w:p w14:paraId="32DF835E">
            <w:pPr>
              <w:pStyle w:val="6"/>
              <w:spacing w:line="2616" w:lineRule="exact"/>
              <w:ind w:firstLine="95"/>
            </w:pPr>
            <w:r>
              <w:rPr>
                <w:position w:val="-52"/>
              </w:rPr>
              <w:pict>
                <v:group id="_x0000_s1038" o:spid="_x0000_s1038" o:spt="203" style="height:130.85pt;width:191.55pt;" coordsize="3831,2617">
                  <o:lock v:ext="edit"/>
                  <v:shape id="_x0000_s1039" o:spid="_x0000_s1039" o:spt="75" type="#_x0000_t75" style="position:absolute;left:0;top:0;height:2601;width:3831;" filled="f" stroked="f" coordsize="21600,21600">
                    <v:path/>
                    <v:fill on="f" focussize="0,0"/>
                    <v:stroke on="f"/>
                    <v:imagedata r:id="rId268" o:title=""/>
                    <o:lock v:ext="edit" aspectratio="t"/>
                  </v:shape>
                  <v:shape id="_x0000_s1040" o:spid="_x0000_s1040" o:spt="202" type="#_x0000_t202" style="position:absolute;left:-20;top:-20;height:2657;width:3871;" filled="f" stroked="f" coordsize="21600,21600">
                    <v:path/>
                    <v:fill on="f" focussize="0,0"/>
                    <v:stroke on="f"/>
                    <v:imagedata o:title=""/>
                    <o:lock v:ext="edit" aspectratio="f"/>
                    <v:textbox inset="0mm,0mm,0mm,0mm">
                      <w:txbxContent>
                        <w:p w14:paraId="5BD89E26">
                          <w:pPr>
                            <w:spacing w:line="253" w:lineRule="auto"/>
                            <w:rPr>
                              <w:rFonts w:ascii="Arial"/>
                              <w:sz w:val="21"/>
                            </w:rPr>
                          </w:pPr>
                        </w:p>
                        <w:p w14:paraId="1B6DDB20">
                          <w:pPr>
                            <w:spacing w:line="253" w:lineRule="auto"/>
                            <w:rPr>
                              <w:rFonts w:ascii="Arial"/>
                              <w:sz w:val="21"/>
                            </w:rPr>
                          </w:pPr>
                        </w:p>
                        <w:p w14:paraId="71390038">
                          <w:pPr>
                            <w:spacing w:line="253" w:lineRule="auto"/>
                            <w:rPr>
                              <w:rFonts w:ascii="Arial"/>
                              <w:sz w:val="21"/>
                            </w:rPr>
                          </w:pPr>
                        </w:p>
                        <w:p w14:paraId="1262F0F4">
                          <w:pPr>
                            <w:spacing w:line="253" w:lineRule="auto"/>
                            <w:rPr>
                              <w:rFonts w:ascii="Arial"/>
                              <w:sz w:val="21"/>
                            </w:rPr>
                          </w:pPr>
                        </w:p>
                        <w:p w14:paraId="6B4FEBC4">
                          <w:pPr>
                            <w:spacing w:line="253" w:lineRule="auto"/>
                            <w:rPr>
                              <w:rFonts w:ascii="Arial"/>
                              <w:sz w:val="21"/>
                            </w:rPr>
                          </w:pPr>
                        </w:p>
                        <w:p w14:paraId="4699C8B3">
                          <w:pPr>
                            <w:spacing w:line="253" w:lineRule="auto"/>
                            <w:rPr>
                              <w:rFonts w:ascii="Arial"/>
                              <w:sz w:val="21"/>
                            </w:rPr>
                          </w:pPr>
                        </w:p>
                        <w:p w14:paraId="5DD45989">
                          <w:pPr>
                            <w:spacing w:line="253" w:lineRule="auto"/>
                            <w:rPr>
                              <w:rFonts w:ascii="Arial"/>
                              <w:sz w:val="21"/>
                            </w:rPr>
                          </w:pPr>
                        </w:p>
                        <w:p w14:paraId="5251F706">
                          <w:pPr>
                            <w:spacing w:line="253" w:lineRule="auto"/>
                            <w:rPr>
                              <w:rFonts w:ascii="Arial"/>
                              <w:sz w:val="21"/>
                            </w:rPr>
                          </w:pPr>
                        </w:p>
                        <w:p w14:paraId="35019EDE">
                          <w:pPr>
                            <w:spacing w:line="253" w:lineRule="auto"/>
                            <w:rPr>
                              <w:rFonts w:ascii="Arial"/>
                              <w:sz w:val="21"/>
                            </w:rPr>
                          </w:pPr>
                        </w:p>
                        <w:p w14:paraId="3048EAB0">
                          <w:pPr>
                            <w:spacing w:before="85" w:line="239" w:lineRule="auto"/>
                            <w:ind w:left="2449"/>
                            <w:rPr>
                              <w:rFonts w:ascii="宋体" w:hAnsi="宋体" w:eastAsia="宋体" w:cs="宋体"/>
                              <w:sz w:val="26"/>
                              <w:szCs w:val="26"/>
                            </w:rPr>
                          </w:pPr>
                          <w:r>
                            <w:rPr>
                              <w:rFonts w:ascii="宋体" w:hAnsi="宋体" w:eastAsia="宋体" w:cs="宋体"/>
                              <w:color w:val="FFC000"/>
                              <w:spacing w:val="-2"/>
                              <w:sz w:val="26"/>
                              <w:szCs w:val="26"/>
                            </w:rPr>
                            <w:t>2024.8.</w:t>
                          </w:r>
                          <w:r>
                            <w:rPr>
                              <w:rFonts w:ascii="宋体" w:hAnsi="宋体" w:eastAsia="宋体" w:cs="宋体"/>
                              <w:color w:val="F0D000"/>
                              <w:spacing w:val="-2"/>
                              <w:sz w:val="26"/>
                              <w:szCs w:val="26"/>
                            </w:rPr>
                            <w:t>2</w:t>
                          </w:r>
                          <w:r>
                            <w:rPr>
                              <w:rFonts w:ascii="宋体" w:hAnsi="宋体" w:eastAsia="宋体" w:cs="宋体"/>
                              <w:color w:val="F0B000"/>
                              <w:spacing w:val="-2"/>
                              <w:sz w:val="26"/>
                              <w:szCs w:val="26"/>
                            </w:rPr>
                            <w:t>4</w:t>
                          </w:r>
                        </w:p>
                      </w:txbxContent>
                    </v:textbox>
                  </v:shape>
                  <w10:wrap type="none"/>
                  <w10:anchorlock/>
                </v:group>
              </w:pict>
            </w:r>
          </w:p>
        </w:tc>
      </w:tr>
      <w:tr w14:paraId="791E4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489" w:type="dxa"/>
            <w:vAlign w:val="top"/>
          </w:tcPr>
          <w:p w14:paraId="61AB9077">
            <w:pPr>
              <w:pStyle w:val="6"/>
              <w:spacing w:before="76" w:line="219" w:lineRule="auto"/>
              <w:ind w:left="104"/>
              <w:rPr>
                <w:sz w:val="26"/>
                <w:szCs w:val="26"/>
              </w:rPr>
            </w:pPr>
            <w:r>
              <w:rPr>
                <w:spacing w:val="1"/>
                <w:sz w:val="26"/>
                <w:szCs w:val="26"/>
              </w:rPr>
              <w:t>光伏场地植被</w:t>
            </w:r>
          </w:p>
        </w:tc>
        <w:tc>
          <w:tcPr>
            <w:tcW w:w="4020" w:type="dxa"/>
            <w:vAlign w:val="top"/>
          </w:tcPr>
          <w:p w14:paraId="649081B4">
            <w:pPr>
              <w:pStyle w:val="6"/>
              <w:spacing w:before="76" w:line="219" w:lineRule="auto"/>
              <w:ind w:left="116"/>
              <w:rPr>
                <w:sz w:val="26"/>
                <w:szCs w:val="26"/>
              </w:rPr>
            </w:pPr>
            <w:r>
              <w:rPr>
                <w:spacing w:val="1"/>
                <w:sz w:val="26"/>
                <w:szCs w:val="26"/>
              </w:rPr>
              <w:t>光伏场地植被</w:t>
            </w:r>
          </w:p>
        </w:tc>
      </w:tr>
      <w:tr w14:paraId="4DBD6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8" w:hRule="atLeast"/>
        </w:trPr>
        <w:tc>
          <w:tcPr>
            <w:tcW w:w="4489" w:type="dxa"/>
            <w:vAlign w:val="top"/>
          </w:tcPr>
          <w:p w14:paraId="4B390621">
            <w:pPr>
              <w:pStyle w:val="6"/>
              <w:spacing w:before="88" w:line="2906" w:lineRule="exact"/>
              <w:ind w:firstLine="55"/>
            </w:pPr>
            <w:r>
              <w:rPr>
                <w:position w:val="-58"/>
              </w:rPr>
              <w:pict>
                <v:group id="_x0000_s1041" o:spid="_x0000_s1041" o:spt="203" style="height:145.35pt;width:190.05pt;" coordsize="3801,2907">
                  <o:lock v:ext="edit"/>
                  <v:shape id="_x0000_s1042" o:spid="_x0000_s1042" o:spt="75" type="#_x0000_t75" style="position:absolute;left:0;top:0;height:2900;width:3801;" filled="f" stroked="f" coordsize="21600,21600">
                    <v:path/>
                    <v:fill on="f" focussize="0,0"/>
                    <v:stroke on="f"/>
                    <v:imagedata r:id="rId269" o:title=""/>
                    <o:lock v:ext="edit" aspectratio="t"/>
                  </v:shape>
                  <v:shape id="_x0000_s1043" o:spid="_x0000_s1043" o:spt="202" type="#_x0000_t202" style="position:absolute;left:-20;top:-20;height:2947;width:3841;" filled="f" stroked="f" coordsize="21600,21600">
                    <v:path/>
                    <v:fill on="f" focussize="0,0"/>
                    <v:stroke on="f"/>
                    <v:imagedata o:title=""/>
                    <o:lock v:ext="edit" aspectratio="f"/>
                    <v:textbox inset="0mm,0mm,0mm,0mm">
                      <w:txbxContent>
                        <w:p w14:paraId="4B2C0075">
                          <w:pPr>
                            <w:spacing w:line="256" w:lineRule="auto"/>
                            <w:rPr>
                              <w:rFonts w:ascii="Arial"/>
                              <w:sz w:val="21"/>
                            </w:rPr>
                          </w:pPr>
                        </w:p>
                        <w:p w14:paraId="66F3FBF4">
                          <w:pPr>
                            <w:spacing w:line="256" w:lineRule="auto"/>
                            <w:rPr>
                              <w:rFonts w:ascii="Arial"/>
                              <w:sz w:val="21"/>
                            </w:rPr>
                          </w:pPr>
                        </w:p>
                        <w:p w14:paraId="66A3BD12">
                          <w:pPr>
                            <w:spacing w:line="256" w:lineRule="auto"/>
                            <w:rPr>
                              <w:rFonts w:ascii="Arial"/>
                              <w:sz w:val="21"/>
                            </w:rPr>
                          </w:pPr>
                        </w:p>
                        <w:p w14:paraId="254D0DEA">
                          <w:pPr>
                            <w:spacing w:line="256" w:lineRule="auto"/>
                            <w:rPr>
                              <w:rFonts w:ascii="Arial"/>
                              <w:sz w:val="21"/>
                            </w:rPr>
                          </w:pPr>
                        </w:p>
                        <w:p w14:paraId="03FFACA0">
                          <w:pPr>
                            <w:spacing w:line="257" w:lineRule="auto"/>
                            <w:rPr>
                              <w:rFonts w:ascii="Arial"/>
                              <w:sz w:val="21"/>
                            </w:rPr>
                          </w:pPr>
                        </w:p>
                        <w:p w14:paraId="7B2A00B7">
                          <w:pPr>
                            <w:spacing w:line="257" w:lineRule="auto"/>
                            <w:rPr>
                              <w:rFonts w:ascii="Arial"/>
                              <w:sz w:val="21"/>
                            </w:rPr>
                          </w:pPr>
                        </w:p>
                        <w:p w14:paraId="0EFA5997">
                          <w:pPr>
                            <w:spacing w:line="257" w:lineRule="auto"/>
                            <w:rPr>
                              <w:rFonts w:ascii="Arial"/>
                              <w:sz w:val="21"/>
                            </w:rPr>
                          </w:pPr>
                        </w:p>
                        <w:p w14:paraId="3535ABC6">
                          <w:pPr>
                            <w:spacing w:line="257" w:lineRule="auto"/>
                            <w:rPr>
                              <w:rFonts w:ascii="Arial"/>
                              <w:sz w:val="21"/>
                            </w:rPr>
                          </w:pPr>
                        </w:p>
                        <w:p w14:paraId="17A7B907">
                          <w:pPr>
                            <w:spacing w:line="257" w:lineRule="auto"/>
                            <w:rPr>
                              <w:rFonts w:ascii="Arial"/>
                              <w:sz w:val="21"/>
                            </w:rPr>
                          </w:pPr>
                        </w:p>
                        <w:p w14:paraId="5392873E">
                          <w:pPr>
                            <w:spacing w:line="257" w:lineRule="auto"/>
                            <w:rPr>
                              <w:rFonts w:ascii="Arial"/>
                              <w:sz w:val="21"/>
                            </w:rPr>
                          </w:pPr>
                        </w:p>
                        <w:p w14:paraId="769484D7">
                          <w:pPr>
                            <w:spacing w:before="84" w:line="239" w:lineRule="auto"/>
                            <w:ind w:left="2470"/>
                            <w:rPr>
                              <w:rFonts w:ascii="宋体" w:hAnsi="宋体" w:eastAsia="宋体" w:cs="宋体"/>
                              <w:sz w:val="26"/>
                              <w:szCs w:val="26"/>
                            </w:rPr>
                          </w:pPr>
                          <w:r>
                            <w:rPr>
                              <w:rFonts w:ascii="宋体" w:hAnsi="宋体" w:eastAsia="宋体" w:cs="宋体"/>
                              <w:color w:val="F0A000"/>
                              <w:spacing w:val="-2"/>
                              <w:sz w:val="26"/>
                              <w:szCs w:val="26"/>
                            </w:rPr>
                            <w:t>2024.8.24</w:t>
                          </w:r>
                        </w:p>
                      </w:txbxContent>
                    </v:textbox>
                  </v:shape>
                  <w10:wrap type="none"/>
                  <w10:anchorlock/>
                </v:group>
              </w:pict>
            </w:r>
          </w:p>
        </w:tc>
        <w:tc>
          <w:tcPr>
            <w:tcW w:w="4020" w:type="dxa"/>
            <w:vAlign w:val="top"/>
          </w:tcPr>
          <w:p w14:paraId="3B6AF217">
            <w:pPr>
              <w:spacing w:before="118" w:line="2859" w:lineRule="exact"/>
              <w:ind w:firstLine="85"/>
            </w:pPr>
            <w:r>
              <w:rPr>
                <w:position w:val="-57"/>
              </w:rPr>
              <w:drawing>
                <wp:inline distT="0" distB="0" distL="0" distR="0">
                  <wp:extent cx="2425700" cy="181546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70"/>
                          <a:stretch>
                            <a:fillRect/>
                          </a:stretch>
                        </pic:blipFill>
                        <pic:spPr>
                          <a:xfrm>
                            <a:off x="0" y="0"/>
                            <a:ext cx="2425708" cy="1816050"/>
                          </a:xfrm>
                          <a:prstGeom prst="rect">
                            <a:avLst/>
                          </a:prstGeom>
                        </pic:spPr>
                      </pic:pic>
                    </a:graphicData>
                  </a:graphic>
                </wp:inline>
              </w:drawing>
            </w:r>
          </w:p>
        </w:tc>
      </w:tr>
      <w:tr w14:paraId="4F3D8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4489" w:type="dxa"/>
            <w:vAlign w:val="top"/>
          </w:tcPr>
          <w:p w14:paraId="6C8923E1">
            <w:pPr>
              <w:pStyle w:val="6"/>
              <w:spacing w:before="69" w:line="216" w:lineRule="auto"/>
              <w:ind w:left="104"/>
              <w:rPr>
                <w:sz w:val="26"/>
                <w:szCs w:val="26"/>
              </w:rPr>
            </w:pPr>
            <w:r>
              <w:rPr>
                <w:spacing w:val="1"/>
                <w:sz w:val="26"/>
                <w:szCs w:val="26"/>
              </w:rPr>
              <w:t>光伏场地植被</w:t>
            </w:r>
          </w:p>
        </w:tc>
        <w:tc>
          <w:tcPr>
            <w:tcW w:w="4020" w:type="dxa"/>
            <w:vAlign w:val="top"/>
          </w:tcPr>
          <w:p w14:paraId="0EA636C3">
            <w:pPr>
              <w:pStyle w:val="6"/>
              <w:spacing w:before="69" w:line="216" w:lineRule="auto"/>
              <w:ind w:left="116"/>
              <w:rPr>
                <w:sz w:val="26"/>
                <w:szCs w:val="26"/>
              </w:rPr>
            </w:pPr>
            <w:r>
              <w:rPr>
                <w:spacing w:val="1"/>
                <w:sz w:val="26"/>
                <w:szCs w:val="26"/>
              </w:rPr>
              <w:t>光伏场地植被</w:t>
            </w:r>
          </w:p>
        </w:tc>
      </w:tr>
    </w:tbl>
    <w:p w14:paraId="2A134922">
      <w:pPr>
        <w:pStyle w:val="2"/>
      </w:pPr>
    </w:p>
    <w:p w14:paraId="53524459">
      <w:pPr>
        <w:sectPr>
          <w:pgSz w:w="11910" w:h="16830"/>
          <w:pgMar w:top="400" w:right="1715" w:bottom="400" w:left="1675" w:header="0" w:footer="0" w:gutter="0"/>
          <w:cols w:space="720" w:num="1"/>
        </w:sectPr>
      </w:pPr>
    </w:p>
    <w:p w14:paraId="081C3BAB">
      <w:pPr>
        <w:spacing w:before="66"/>
      </w:pPr>
    </w:p>
    <w:p w14:paraId="514C8EA8">
      <w:pPr>
        <w:spacing w:before="66"/>
      </w:pPr>
    </w:p>
    <w:tbl>
      <w:tblPr>
        <w:tblStyle w:val="5"/>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19"/>
        <w:gridCol w:w="4010"/>
      </w:tblGrid>
      <w:tr w14:paraId="6ECD1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2" w:hRule="atLeast"/>
        </w:trPr>
        <w:tc>
          <w:tcPr>
            <w:tcW w:w="4519" w:type="dxa"/>
            <w:vAlign w:val="top"/>
          </w:tcPr>
          <w:p w14:paraId="23210555">
            <w:pPr>
              <w:spacing w:line="246" w:lineRule="auto"/>
              <w:rPr>
                <w:rFonts w:ascii="Arial"/>
                <w:sz w:val="21"/>
              </w:rPr>
            </w:pPr>
          </w:p>
          <w:p w14:paraId="221BA21A">
            <w:pPr>
              <w:spacing w:line="246" w:lineRule="auto"/>
              <w:rPr>
                <w:rFonts w:ascii="Arial"/>
                <w:sz w:val="21"/>
              </w:rPr>
            </w:pPr>
          </w:p>
          <w:p w14:paraId="35D9C2B5">
            <w:pPr>
              <w:spacing w:line="246" w:lineRule="auto"/>
              <w:rPr>
                <w:rFonts w:ascii="Arial"/>
                <w:sz w:val="21"/>
              </w:rPr>
            </w:pPr>
          </w:p>
          <w:p w14:paraId="41D9B467">
            <w:pPr>
              <w:spacing w:line="246" w:lineRule="auto"/>
              <w:rPr>
                <w:rFonts w:ascii="Arial"/>
                <w:sz w:val="21"/>
              </w:rPr>
            </w:pPr>
          </w:p>
          <w:p w14:paraId="3183D1A6">
            <w:pPr>
              <w:spacing w:line="247" w:lineRule="auto"/>
              <w:rPr>
                <w:rFonts w:ascii="Arial"/>
                <w:sz w:val="21"/>
              </w:rPr>
            </w:pPr>
          </w:p>
          <w:p w14:paraId="120FAE7D">
            <w:pPr>
              <w:spacing w:line="247" w:lineRule="auto"/>
              <w:rPr>
                <w:rFonts w:ascii="Arial"/>
                <w:sz w:val="21"/>
              </w:rPr>
            </w:pPr>
          </w:p>
          <w:p w14:paraId="2FE61D0F">
            <w:pPr>
              <w:spacing w:line="247" w:lineRule="auto"/>
              <w:rPr>
                <w:rFonts w:ascii="Arial"/>
                <w:sz w:val="21"/>
              </w:rPr>
            </w:pPr>
          </w:p>
          <w:p w14:paraId="4E620E96">
            <w:pPr>
              <w:spacing w:line="247" w:lineRule="auto"/>
              <w:rPr>
                <w:rFonts w:ascii="Arial"/>
                <w:sz w:val="21"/>
              </w:rPr>
            </w:pPr>
          </w:p>
          <w:p w14:paraId="056795A7">
            <w:pPr>
              <w:spacing w:line="247" w:lineRule="auto"/>
              <w:rPr>
                <w:rFonts w:ascii="Arial"/>
                <w:sz w:val="21"/>
              </w:rPr>
            </w:pPr>
          </w:p>
          <w:p w14:paraId="5435F0E9">
            <w:pPr>
              <w:spacing w:line="247" w:lineRule="auto"/>
              <w:rPr>
                <w:rFonts w:ascii="Arial"/>
                <w:sz w:val="21"/>
              </w:rPr>
            </w:pPr>
          </w:p>
          <w:p w14:paraId="01950854">
            <w:pPr>
              <w:spacing w:line="247" w:lineRule="auto"/>
              <w:rPr>
                <w:rFonts w:ascii="Arial"/>
                <w:sz w:val="21"/>
              </w:rPr>
            </w:pPr>
          </w:p>
          <w:p w14:paraId="39CD3F8F">
            <w:pPr>
              <w:spacing w:line="247" w:lineRule="auto"/>
              <w:rPr>
                <w:rFonts w:ascii="Arial"/>
                <w:sz w:val="21"/>
              </w:rPr>
            </w:pPr>
          </w:p>
          <w:p w14:paraId="379A6288">
            <w:pPr>
              <w:pStyle w:val="6"/>
              <w:spacing w:before="81" w:line="239" w:lineRule="auto"/>
              <w:ind w:left="2995"/>
              <w:rPr>
                <w:sz w:val="25"/>
                <w:szCs w:val="25"/>
              </w:rPr>
            </w:pPr>
            <w:r>
              <w:drawing>
                <wp:anchor distT="0" distB="0" distL="0" distR="0" simplePos="0" relativeHeight="251670528" behindDoc="1" locked="0" layoutInCell="1" allowOverlap="1">
                  <wp:simplePos x="0" y="0"/>
                  <wp:positionH relativeFrom="column">
                    <wp:posOffset>28575</wp:posOffset>
                  </wp:positionH>
                  <wp:positionV relativeFrom="paragraph">
                    <wp:posOffset>-1843405</wp:posOffset>
                  </wp:positionV>
                  <wp:extent cx="2755900" cy="207010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271"/>
                          <a:stretch>
                            <a:fillRect/>
                          </a:stretch>
                        </pic:blipFill>
                        <pic:spPr>
                          <a:xfrm>
                            <a:off x="0" y="0"/>
                            <a:ext cx="2755902" cy="2070081"/>
                          </a:xfrm>
                          <a:prstGeom prst="rect">
                            <a:avLst/>
                          </a:prstGeom>
                        </pic:spPr>
                      </pic:pic>
                    </a:graphicData>
                  </a:graphic>
                </wp:anchor>
              </w:drawing>
            </w:r>
            <w:r>
              <w:rPr>
                <w:color w:val="F0A000"/>
                <w:spacing w:val="-2"/>
                <w:sz w:val="25"/>
                <w:szCs w:val="25"/>
              </w:rPr>
              <w:t>2024.8.</w:t>
            </w:r>
            <w:r>
              <w:rPr>
                <w:color w:val="E09000"/>
                <w:spacing w:val="-2"/>
                <w:sz w:val="25"/>
                <w:szCs w:val="25"/>
              </w:rPr>
              <w:t>24</w:t>
            </w:r>
          </w:p>
        </w:tc>
        <w:tc>
          <w:tcPr>
            <w:tcW w:w="4010" w:type="dxa"/>
            <w:vAlign w:val="top"/>
          </w:tcPr>
          <w:p w14:paraId="1CA81E9B">
            <w:pPr>
              <w:spacing w:line="251" w:lineRule="auto"/>
              <w:rPr>
                <w:rFonts w:ascii="Arial"/>
                <w:sz w:val="21"/>
              </w:rPr>
            </w:pPr>
          </w:p>
          <w:p w14:paraId="0184D9D7">
            <w:pPr>
              <w:spacing w:line="252" w:lineRule="auto"/>
              <w:rPr>
                <w:rFonts w:ascii="Arial"/>
                <w:sz w:val="21"/>
              </w:rPr>
            </w:pPr>
          </w:p>
          <w:p w14:paraId="656B0FD3">
            <w:pPr>
              <w:spacing w:line="252" w:lineRule="auto"/>
              <w:rPr>
                <w:rFonts w:ascii="Arial"/>
                <w:sz w:val="21"/>
              </w:rPr>
            </w:pPr>
          </w:p>
          <w:p w14:paraId="1E156928">
            <w:pPr>
              <w:spacing w:line="252" w:lineRule="auto"/>
              <w:rPr>
                <w:rFonts w:ascii="Arial"/>
                <w:sz w:val="21"/>
              </w:rPr>
            </w:pPr>
          </w:p>
          <w:p w14:paraId="468CAAB2">
            <w:pPr>
              <w:spacing w:line="252" w:lineRule="auto"/>
              <w:rPr>
                <w:rFonts w:ascii="Arial"/>
                <w:sz w:val="21"/>
              </w:rPr>
            </w:pPr>
          </w:p>
          <w:p w14:paraId="2CED9304">
            <w:pPr>
              <w:spacing w:line="252" w:lineRule="auto"/>
              <w:rPr>
                <w:rFonts w:ascii="Arial"/>
                <w:sz w:val="21"/>
              </w:rPr>
            </w:pPr>
          </w:p>
          <w:p w14:paraId="0D913E45">
            <w:pPr>
              <w:spacing w:line="252" w:lineRule="auto"/>
              <w:rPr>
                <w:rFonts w:ascii="Arial"/>
                <w:sz w:val="21"/>
              </w:rPr>
            </w:pPr>
          </w:p>
          <w:p w14:paraId="1A835F25">
            <w:pPr>
              <w:spacing w:line="252" w:lineRule="auto"/>
              <w:rPr>
                <w:rFonts w:ascii="Arial"/>
                <w:sz w:val="21"/>
              </w:rPr>
            </w:pPr>
          </w:p>
          <w:p w14:paraId="0AFB65C7">
            <w:pPr>
              <w:spacing w:line="252" w:lineRule="auto"/>
              <w:rPr>
                <w:rFonts w:ascii="Arial"/>
                <w:sz w:val="21"/>
              </w:rPr>
            </w:pPr>
          </w:p>
          <w:p w14:paraId="4094F78C">
            <w:pPr>
              <w:spacing w:line="252" w:lineRule="auto"/>
              <w:rPr>
                <w:rFonts w:ascii="Arial"/>
                <w:sz w:val="21"/>
              </w:rPr>
            </w:pPr>
          </w:p>
          <w:p w14:paraId="3514FD71">
            <w:pPr>
              <w:spacing w:line="252" w:lineRule="auto"/>
              <w:rPr>
                <w:rFonts w:ascii="Arial"/>
                <w:sz w:val="21"/>
              </w:rPr>
            </w:pPr>
          </w:p>
          <w:p w14:paraId="7EE499F0">
            <w:pPr>
              <w:pStyle w:val="6"/>
              <w:spacing w:before="81" w:line="239" w:lineRule="auto"/>
              <w:ind w:left="2475"/>
              <w:rPr>
                <w:sz w:val="25"/>
                <w:szCs w:val="25"/>
              </w:rPr>
            </w:pPr>
            <w:r>
              <w:drawing>
                <wp:anchor distT="0" distB="0" distL="0" distR="0" simplePos="0" relativeHeight="251669504" behindDoc="1" locked="0" layoutInCell="1" allowOverlap="1">
                  <wp:simplePos x="0" y="0"/>
                  <wp:positionH relativeFrom="column">
                    <wp:posOffset>41275</wp:posOffset>
                  </wp:positionH>
                  <wp:positionV relativeFrom="paragraph">
                    <wp:posOffset>-1589405</wp:posOffset>
                  </wp:positionV>
                  <wp:extent cx="2419350" cy="182245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272"/>
                          <a:stretch>
                            <a:fillRect/>
                          </a:stretch>
                        </pic:blipFill>
                        <pic:spPr>
                          <a:xfrm>
                            <a:off x="0" y="0"/>
                            <a:ext cx="2419355" cy="1822462"/>
                          </a:xfrm>
                          <a:prstGeom prst="rect">
                            <a:avLst/>
                          </a:prstGeom>
                        </pic:spPr>
                      </pic:pic>
                    </a:graphicData>
                  </a:graphic>
                </wp:anchor>
              </w:drawing>
            </w:r>
            <w:r>
              <w:rPr>
                <w:color w:val="F0A000"/>
                <w:spacing w:val="-2"/>
                <w:sz w:val="25"/>
                <w:szCs w:val="25"/>
              </w:rPr>
              <w:t>2024:8.24</w:t>
            </w:r>
          </w:p>
        </w:tc>
      </w:tr>
      <w:tr w14:paraId="48C03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519" w:type="dxa"/>
            <w:vAlign w:val="top"/>
          </w:tcPr>
          <w:p w14:paraId="4CAFFF06">
            <w:pPr>
              <w:pStyle w:val="6"/>
              <w:spacing w:before="73" w:line="219" w:lineRule="auto"/>
              <w:ind w:left="114"/>
              <w:rPr>
                <w:sz w:val="25"/>
                <w:szCs w:val="25"/>
              </w:rPr>
            </w:pPr>
            <w:r>
              <w:rPr>
                <w:spacing w:val="6"/>
                <w:sz w:val="25"/>
                <w:szCs w:val="25"/>
              </w:rPr>
              <w:t>栗树园散户</w:t>
            </w:r>
          </w:p>
        </w:tc>
        <w:tc>
          <w:tcPr>
            <w:tcW w:w="4010" w:type="dxa"/>
            <w:vAlign w:val="top"/>
          </w:tcPr>
          <w:p w14:paraId="2DF803E5">
            <w:pPr>
              <w:pStyle w:val="6"/>
              <w:spacing w:before="73" w:line="219" w:lineRule="auto"/>
              <w:ind w:left="96"/>
              <w:rPr>
                <w:sz w:val="25"/>
                <w:szCs w:val="25"/>
              </w:rPr>
            </w:pPr>
            <w:r>
              <w:rPr>
                <w:spacing w:val="6"/>
                <w:sz w:val="25"/>
                <w:szCs w:val="25"/>
              </w:rPr>
              <w:t>栗树园散户</w:t>
            </w:r>
          </w:p>
        </w:tc>
      </w:tr>
      <w:tr w14:paraId="6787F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7" w:hRule="atLeast"/>
        </w:trPr>
        <w:tc>
          <w:tcPr>
            <w:tcW w:w="4519" w:type="dxa"/>
            <w:vAlign w:val="top"/>
          </w:tcPr>
          <w:p w14:paraId="563C7DC0">
            <w:pPr>
              <w:spacing w:before="93" w:line="3239" w:lineRule="exact"/>
              <w:ind w:firstLine="65"/>
            </w:pPr>
            <w:r>
              <w:rPr>
                <w:position w:val="-64"/>
              </w:rPr>
              <w:drawing>
                <wp:inline distT="0" distB="0" distL="0" distR="0">
                  <wp:extent cx="2742565" cy="205676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273"/>
                          <a:stretch>
                            <a:fillRect/>
                          </a:stretch>
                        </pic:blipFill>
                        <pic:spPr>
                          <a:xfrm>
                            <a:off x="0" y="0"/>
                            <a:ext cx="2743197" cy="2057363"/>
                          </a:xfrm>
                          <a:prstGeom prst="rect">
                            <a:avLst/>
                          </a:prstGeom>
                        </pic:spPr>
                      </pic:pic>
                    </a:graphicData>
                  </a:graphic>
                </wp:inline>
              </w:drawing>
            </w:r>
          </w:p>
        </w:tc>
        <w:tc>
          <w:tcPr>
            <w:tcW w:w="4010" w:type="dxa"/>
            <w:vAlign w:val="top"/>
          </w:tcPr>
          <w:p w14:paraId="1262608F">
            <w:pPr>
              <w:spacing w:line="271" w:lineRule="auto"/>
              <w:rPr>
                <w:rFonts w:ascii="Arial"/>
                <w:sz w:val="21"/>
              </w:rPr>
            </w:pPr>
          </w:p>
          <w:p w14:paraId="17599212">
            <w:pPr>
              <w:spacing w:line="2870" w:lineRule="exact"/>
              <w:ind w:firstLine="55"/>
            </w:pPr>
            <w:r>
              <w:rPr>
                <w:position w:val="-57"/>
              </w:rPr>
              <w:drawing>
                <wp:inline distT="0" distB="0" distL="0" distR="0">
                  <wp:extent cx="2425700" cy="182245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74"/>
                          <a:stretch>
                            <a:fillRect/>
                          </a:stretch>
                        </pic:blipFill>
                        <pic:spPr>
                          <a:xfrm>
                            <a:off x="0" y="0"/>
                            <a:ext cx="2425708" cy="1822462"/>
                          </a:xfrm>
                          <a:prstGeom prst="rect">
                            <a:avLst/>
                          </a:prstGeom>
                        </pic:spPr>
                      </pic:pic>
                    </a:graphicData>
                  </a:graphic>
                </wp:inline>
              </w:drawing>
            </w:r>
          </w:p>
        </w:tc>
      </w:tr>
      <w:tr w14:paraId="1B6BA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519" w:type="dxa"/>
            <w:vAlign w:val="top"/>
          </w:tcPr>
          <w:p w14:paraId="7E91A9A8">
            <w:pPr>
              <w:pStyle w:val="6"/>
              <w:spacing w:before="76" w:line="216" w:lineRule="auto"/>
              <w:ind w:left="114"/>
              <w:rPr>
                <w:sz w:val="25"/>
                <w:szCs w:val="25"/>
              </w:rPr>
            </w:pPr>
            <w:r>
              <w:rPr>
                <w:spacing w:val="2"/>
                <w:sz w:val="25"/>
                <w:szCs w:val="25"/>
              </w:rPr>
              <w:t>发峨哨小学</w:t>
            </w:r>
          </w:p>
        </w:tc>
        <w:tc>
          <w:tcPr>
            <w:tcW w:w="4010" w:type="dxa"/>
            <w:vAlign w:val="top"/>
          </w:tcPr>
          <w:p w14:paraId="7C6B6AE2">
            <w:pPr>
              <w:pStyle w:val="6"/>
              <w:spacing w:before="71" w:line="219" w:lineRule="auto"/>
              <w:ind w:left="99"/>
              <w:rPr>
                <w:sz w:val="25"/>
                <w:szCs w:val="25"/>
              </w:rPr>
            </w:pPr>
            <w:r>
              <w:rPr>
                <w:b/>
                <w:bCs/>
                <w:spacing w:val="-5"/>
                <w:sz w:val="25"/>
                <w:szCs w:val="25"/>
              </w:rPr>
              <w:t>光伏场地植被</w:t>
            </w:r>
          </w:p>
        </w:tc>
      </w:tr>
      <w:tr w14:paraId="09294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7" w:hRule="atLeast"/>
        </w:trPr>
        <w:tc>
          <w:tcPr>
            <w:tcW w:w="4519" w:type="dxa"/>
            <w:vAlign w:val="top"/>
          </w:tcPr>
          <w:p w14:paraId="70247B45">
            <w:pPr>
              <w:spacing w:line="246" w:lineRule="auto"/>
              <w:rPr>
                <w:rFonts w:ascii="Arial"/>
                <w:sz w:val="21"/>
              </w:rPr>
            </w:pPr>
          </w:p>
          <w:p w14:paraId="095DCA3B">
            <w:pPr>
              <w:spacing w:line="246" w:lineRule="auto"/>
              <w:rPr>
                <w:rFonts w:ascii="Arial"/>
                <w:sz w:val="21"/>
              </w:rPr>
            </w:pPr>
          </w:p>
          <w:p w14:paraId="3FC7FEFC">
            <w:pPr>
              <w:spacing w:line="247" w:lineRule="auto"/>
              <w:rPr>
                <w:rFonts w:ascii="Arial"/>
                <w:sz w:val="21"/>
              </w:rPr>
            </w:pPr>
          </w:p>
          <w:p w14:paraId="5C607E05">
            <w:pPr>
              <w:spacing w:line="247" w:lineRule="auto"/>
              <w:rPr>
                <w:rFonts w:ascii="Arial"/>
                <w:sz w:val="21"/>
              </w:rPr>
            </w:pPr>
          </w:p>
          <w:p w14:paraId="5473027F">
            <w:pPr>
              <w:spacing w:line="247" w:lineRule="auto"/>
              <w:rPr>
                <w:rFonts w:ascii="Arial"/>
                <w:sz w:val="21"/>
              </w:rPr>
            </w:pPr>
          </w:p>
          <w:p w14:paraId="5E058212">
            <w:pPr>
              <w:spacing w:line="247" w:lineRule="auto"/>
              <w:rPr>
                <w:rFonts w:ascii="Arial"/>
                <w:sz w:val="21"/>
              </w:rPr>
            </w:pPr>
          </w:p>
          <w:p w14:paraId="16D5FE76">
            <w:pPr>
              <w:spacing w:line="247" w:lineRule="auto"/>
              <w:rPr>
                <w:rFonts w:ascii="Arial"/>
                <w:sz w:val="21"/>
              </w:rPr>
            </w:pPr>
          </w:p>
          <w:p w14:paraId="5B27AD00">
            <w:pPr>
              <w:spacing w:line="247" w:lineRule="auto"/>
              <w:rPr>
                <w:rFonts w:ascii="Arial"/>
                <w:sz w:val="21"/>
              </w:rPr>
            </w:pPr>
          </w:p>
          <w:p w14:paraId="2000506B">
            <w:pPr>
              <w:spacing w:line="247" w:lineRule="auto"/>
              <w:rPr>
                <w:rFonts w:ascii="Arial"/>
                <w:sz w:val="21"/>
              </w:rPr>
            </w:pPr>
          </w:p>
          <w:p w14:paraId="57D007D9">
            <w:pPr>
              <w:spacing w:line="247" w:lineRule="auto"/>
              <w:rPr>
                <w:rFonts w:ascii="Arial"/>
                <w:sz w:val="21"/>
              </w:rPr>
            </w:pPr>
          </w:p>
          <w:p w14:paraId="210F0676">
            <w:pPr>
              <w:spacing w:line="247" w:lineRule="auto"/>
              <w:rPr>
                <w:rFonts w:ascii="Arial"/>
                <w:sz w:val="21"/>
              </w:rPr>
            </w:pPr>
          </w:p>
          <w:p w14:paraId="3B81D727">
            <w:pPr>
              <w:spacing w:line="247" w:lineRule="auto"/>
              <w:rPr>
                <w:rFonts w:ascii="Arial"/>
                <w:sz w:val="21"/>
              </w:rPr>
            </w:pPr>
          </w:p>
          <w:p w14:paraId="2947BD84">
            <w:pPr>
              <w:pStyle w:val="6"/>
              <w:spacing w:before="81" w:line="239" w:lineRule="auto"/>
              <w:ind w:left="2985"/>
              <w:rPr>
                <w:sz w:val="25"/>
                <w:szCs w:val="25"/>
              </w:rPr>
            </w:pPr>
            <w:r>
              <w:drawing>
                <wp:anchor distT="0" distB="0" distL="0" distR="0" simplePos="0" relativeHeight="251671552" behindDoc="1" locked="0" layoutInCell="1" allowOverlap="1">
                  <wp:simplePos x="0" y="0"/>
                  <wp:positionH relativeFrom="column">
                    <wp:posOffset>28575</wp:posOffset>
                  </wp:positionH>
                  <wp:positionV relativeFrom="paragraph">
                    <wp:posOffset>-1830705</wp:posOffset>
                  </wp:positionV>
                  <wp:extent cx="2749550" cy="207010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275"/>
                          <a:stretch>
                            <a:fillRect/>
                          </a:stretch>
                        </pic:blipFill>
                        <pic:spPr>
                          <a:xfrm>
                            <a:off x="0" y="0"/>
                            <a:ext cx="2749549" cy="2070188"/>
                          </a:xfrm>
                          <a:prstGeom prst="rect">
                            <a:avLst/>
                          </a:prstGeom>
                        </pic:spPr>
                      </pic:pic>
                    </a:graphicData>
                  </a:graphic>
                </wp:anchor>
              </w:drawing>
            </w:r>
            <w:r>
              <w:rPr>
                <w:color w:val="F0B000"/>
                <w:spacing w:val="-2"/>
                <w:sz w:val="25"/>
                <w:szCs w:val="25"/>
              </w:rPr>
              <w:t>2024.8.</w:t>
            </w:r>
            <w:r>
              <w:rPr>
                <w:color w:val="FFA000"/>
                <w:spacing w:val="-2"/>
                <w:sz w:val="25"/>
                <w:szCs w:val="25"/>
              </w:rPr>
              <w:t>24</w:t>
            </w:r>
          </w:p>
        </w:tc>
        <w:tc>
          <w:tcPr>
            <w:tcW w:w="4010" w:type="dxa"/>
            <w:vAlign w:val="top"/>
          </w:tcPr>
          <w:p w14:paraId="034F003E">
            <w:pPr>
              <w:rPr>
                <w:rFonts w:ascii="Arial"/>
                <w:sz w:val="21"/>
              </w:rPr>
            </w:pPr>
          </w:p>
        </w:tc>
      </w:tr>
      <w:tr w14:paraId="5DB0D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4519" w:type="dxa"/>
            <w:vAlign w:val="top"/>
          </w:tcPr>
          <w:p w14:paraId="70A61482">
            <w:pPr>
              <w:pStyle w:val="6"/>
              <w:spacing w:before="78" w:line="219" w:lineRule="auto"/>
              <w:ind w:left="114"/>
              <w:rPr>
                <w:sz w:val="25"/>
                <w:szCs w:val="25"/>
              </w:rPr>
            </w:pPr>
            <w:r>
              <w:rPr>
                <w:spacing w:val="1"/>
                <w:sz w:val="25"/>
                <w:szCs w:val="25"/>
              </w:rPr>
              <w:t>光伏场地植被</w:t>
            </w:r>
          </w:p>
        </w:tc>
        <w:tc>
          <w:tcPr>
            <w:tcW w:w="4010" w:type="dxa"/>
            <w:vAlign w:val="top"/>
          </w:tcPr>
          <w:p w14:paraId="2D2B7803">
            <w:pPr>
              <w:rPr>
                <w:rFonts w:ascii="Arial"/>
                <w:sz w:val="21"/>
              </w:rPr>
            </w:pPr>
          </w:p>
        </w:tc>
      </w:tr>
    </w:tbl>
    <w:p w14:paraId="0D06D7BA">
      <w:pPr>
        <w:pStyle w:val="2"/>
      </w:pPr>
    </w:p>
    <w:p w14:paraId="17A58886">
      <w:pPr>
        <w:sectPr>
          <w:pgSz w:w="11910" w:h="16830"/>
          <w:pgMar w:top="400" w:right="1705" w:bottom="400" w:left="1665" w:header="0" w:footer="0" w:gutter="0"/>
          <w:cols w:space="720" w:num="1"/>
        </w:sectPr>
      </w:pPr>
    </w:p>
    <w:p w14:paraId="6C1DBFC4">
      <w:pPr>
        <w:pStyle w:val="2"/>
        <w:spacing w:line="274" w:lineRule="auto"/>
      </w:pPr>
    </w:p>
    <w:p w14:paraId="769E16FF">
      <w:pPr>
        <w:pStyle w:val="2"/>
        <w:spacing w:line="274" w:lineRule="auto"/>
      </w:pPr>
    </w:p>
    <w:p w14:paraId="3C510BD9">
      <w:pPr>
        <w:pStyle w:val="2"/>
        <w:spacing w:line="274" w:lineRule="auto"/>
      </w:pPr>
    </w:p>
    <w:p w14:paraId="6102EC66">
      <w:pPr>
        <w:pStyle w:val="2"/>
        <w:spacing w:line="274" w:lineRule="auto"/>
      </w:pPr>
    </w:p>
    <w:p w14:paraId="41F57AA0">
      <w:pPr>
        <w:pStyle w:val="2"/>
        <w:spacing w:line="274" w:lineRule="auto"/>
      </w:pPr>
    </w:p>
    <w:p w14:paraId="78B785FC">
      <w:pPr>
        <w:pStyle w:val="2"/>
        <w:spacing w:line="274" w:lineRule="auto"/>
      </w:pPr>
    </w:p>
    <w:sdt>
      <w:sdtPr>
        <w:rPr>
          <w:rFonts w:ascii="宋体" w:hAnsi="宋体" w:eastAsia="宋体" w:cs="宋体"/>
          <w:sz w:val="28"/>
          <w:szCs w:val="28"/>
        </w:rPr>
        <w:id w:val="147462307"/>
        <w:docPartObj>
          <w:docPartGallery w:val="Table of Contents"/>
          <w:docPartUnique/>
        </w:docPartObj>
      </w:sdtPr>
      <w:sdtEndPr>
        <w:rPr>
          <w:rFonts w:ascii="Arial" w:hAnsi="Arial" w:eastAsia="Arial" w:cs="Arial"/>
          <w:sz w:val="23"/>
          <w:szCs w:val="23"/>
        </w:rPr>
      </w:sdtEndPr>
      <w:sdtContent>
        <w:p w14:paraId="4346C8A4">
          <w:pPr>
            <w:spacing w:before="91" w:line="221" w:lineRule="auto"/>
            <w:ind w:left="4319"/>
            <w:rPr>
              <w:rFonts w:ascii="宋体" w:hAnsi="宋体" w:eastAsia="宋体" w:cs="宋体"/>
              <w:sz w:val="28"/>
              <w:szCs w:val="28"/>
            </w:rPr>
          </w:pPr>
          <w:r>
            <w:rPr>
              <w:rFonts w:ascii="宋体" w:hAnsi="宋体" w:eastAsia="宋体" w:cs="宋体"/>
              <w:spacing w:val="-33"/>
              <w:sz w:val="28"/>
              <w:szCs w:val="28"/>
            </w:rPr>
            <w:t>目</w:t>
          </w:r>
          <w:r>
            <w:rPr>
              <w:rFonts w:ascii="宋体" w:hAnsi="宋体" w:eastAsia="宋体" w:cs="宋体"/>
              <w:spacing w:val="2"/>
              <w:sz w:val="28"/>
              <w:szCs w:val="28"/>
            </w:rPr>
            <w:t xml:space="preserve">  </w:t>
          </w:r>
          <w:r>
            <w:rPr>
              <w:rFonts w:ascii="宋体" w:hAnsi="宋体" w:eastAsia="宋体" w:cs="宋体"/>
              <w:spacing w:val="-33"/>
              <w:sz w:val="28"/>
              <w:szCs w:val="28"/>
            </w:rPr>
            <w:t>录</w:t>
          </w:r>
        </w:p>
        <w:p w14:paraId="78756878">
          <w:pPr>
            <w:pStyle w:val="2"/>
            <w:tabs>
              <w:tab w:val="right" w:leader="dot" w:pos="8832"/>
            </w:tabs>
            <w:spacing w:before="207" w:line="219" w:lineRule="auto"/>
            <w:rPr>
              <w:sz w:val="23"/>
              <w:szCs w:val="23"/>
            </w:rPr>
          </w:pPr>
          <w:r>
            <w:fldChar w:fldCharType="begin"/>
          </w:r>
          <w:r>
            <w:instrText xml:space="preserve"> HYPERLINK \l "bookmark1" </w:instrText>
          </w:r>
          <w:r>
            <w:fldChar w:fldCharType="separate"/>
          </w:r>
          <w:r>
            <w:rPr>
              <w:rFonts w:ascii="宋体" w:hAnsi="宋体" w:eastAsia="宋体" w:cs="宋体"/>
              <w:spacing w:val="11"/>
              <w:sz w:val="23"/>
              <w:szCs w:val="23"/>
            </w:rPr>
            <w:t>一、建设项目基本情况</w:t>
          </w:r>
          <w:r>
            <w:rPr>
              <w:rFonts w:ascii="宋体" w:hAnsi="宋体" w:eastAsia="宋体" w:cs="宋体"/>
              <w:spacing w:val="-96"/>
              <w:sz w:val="23"/>
              <w:szCs w:val="23"/>
            </w:rPr>
            <w:t xml:space="preserve"> </w:t>
          </w:r>
          <w:r>
            <w:rPr>
              <w:rFonts w:ascii="宋体" w:hAnsi="宋体" w:eastAsia="宋体" w:cs="宋体"/>
              <w:sz w:val="23"/>
              <w:szCs w:val="23"/>
            </w:rPr>
            <w:tab/>
          </w:r>
          <w:r>
            <w:rPr>
              <w:rFonts w:ascii="宋体" w:hAnsi="宋体" w:eastAsia="宋体" w:cs="宋体"/>
              <w:spacing w:val="2"/>
              <w:sz w:val="23"/>
              <w:szCs w:val="23"/>
            </w:rPr>
            <w:t xml:space="preserve"> </w:t>
          </w:r>
          <w:r>
            <w:rPr>
              <w:sz w:val="23"/>
              <w:szCs w:val="23"/>
            </w:rPr>
            <w:t>1</w:t>
          </w:r>
          <w:r>
            <w:rPr>
              <w:sz w:val="23"/>
              <w:szCs w:val="23"/>
            </w:rPr>
            <w:fldChar w:fldCharType="end"/>
          </w:r>
        </w:p>
        <w:p w14:paraId="4B1C4E83">
          <w:pPr>
            <w:pStyle w:val="2"/>
            <w:tabs>
              <w:tab w:val="right" w:leader="dot" w:pos="8849"/>
            </w:tabs>
            <w:spacing w:before="188" w:line="219" w:lineRule="auto"/>
            <w:rPr>
              <w:sz w:val="23"/>
              <w:szCs w:val="23"/>
            </w:rPr>
          </w:pPr>
          <w:r>
            <w:fldChar w:fldCharType="begin"/>
          </w:r>
          <w:r>
            <w:instrText xml:space="preserve"> HYPERLINK \l "bookmark2" </w:instrText>
          </w:r>
          <w:r>
            <w:fldChar w:fldCharType="separate"/>
          </w:r>
          <w:r>
            <w:rPr>
              <w:rFonts w:ascii="宋体" w:hAnsi="宋体" w:eastAsia="宋体" w:cs="宋体"/>
              <w:spacing w:val="10"/>
              <w:sz w:val="23"/>
              <w:szCs w:val="23"/>
            </w:rPr>
            <w:t>二、建设内容</w:t>
          </w:r>
          <w:r>
            <w:rPr>
              <w:rFonts w:ascii="宋体" w:hAnsi="宋体" w:eastAsia="宋体" w:cs="宋体"/>
              <w:spacing w:val="-96"/>
              <w:sz w:val="23"/>
              <w:szCs w:val="23"/>
            </w:rPr>
            <w:t xml:space="preserve"> </w:t>
          </w:r>
          <w:r>
            <w:rPr>
              <w:rFonts w:ascii="宋体" w:hAnsi="宋体" w:eastAsia="宋体" w:cs="宋体"/>
              <w:sz w:val="23"/>
              <w:szCs w:val="23"/>
            </w:rPr>
            <w:tab/>
          </w:r>
          <w:r>
            <w:rPr>
              <w:rFonts w:ascii="宋体" w:hAnsi="宋体" w:eastAsia="宋体" w:cs="宋体"/>
              <w:spacing w:val="-47"/>
              <w:sz w:val="23"/>
              <w:szCs w:val="23"/>
            </w:rPr>
            <w:t xml:space="preserve"> </w:t>
          </w:r>
          <w:r>
            <w:rPr>
              <w:spacing w:val="-13"/>
              <w:w w:val="94"/>
              <w:sz w:val="23"/>
              <w:szCs w:val="23"/>
            </w:rPr>
            <w:t>4</w:t>
          </w:r>
          <w:r>
            <w:rPr>
              <w:spacing w:val="-11"/>
              <w:w w:val="94"/>
              <w:sz w:val="23"/>
              <w:szCs w:val="23"/>
            </w:rPr>
            <w:t>7</w:t>
          </w:r>
          <w:r>
            <w:rPr>
              <w:spacing w:val="-11"/>
              <w:w w:val="94"/>
              <w:sz w:val="23"/>
              <w:szCs w:val="23"/>
            </w:rPr>
            <w:fldChar w:fldCharType="end"/>
          </w:r>
        </w:p>
        <w:p w14:paraId="31A58D83">
          <w:pPr>
            <w:pStyle w:val="2"/>
            <w:tabs>
              <w:tab w:val="right" w:leader="dot" w:pos="8865"/>
            </w:tabs>
            <w:spacing w:before="163" w:line="314" w:lineRule="exact"/>
            <w:rPr>
              <w:sz w:val="23"/>
              <w:szCs w:val="23"/>
            </w:rPr>
          </w:pPr>
          <w:r>
            <w:fldChar w:fldCharType="begin"/>
          </w:r>
          <w:r>
            <w:instrText xml:space="preserve"> HYPERLINK \l "bookmark3" </w:instrText>
          </w:r>
          <w:r>
            <w:fldChar w:fldCharType="separate"/>
          </w:r>
          <w:r>
            <w:rPr>
              <w:rFonts w:ascii="宋体" w:hAnsi="宋体" w:eastAsia="宋体" w:cs="宋体"/>
              <w:spacing w:val="10"/>
              <w:position w:val="1"/>
              <w:sz w:val="23"/>
              <w:szCs w:val="23"/>
            </w:rPr>
            <w:t>三、生态环境现状、保护目标及评价标准</w:t>
          </w:r>
          <w:r>
            <w:rPr>
              <w:rFonts w:ascii="宋体" w:hAnsi="宋体" w:eastAsia="宋体" w:cs="宋体"/>
              <w:spacing w:val="-96"/>
              <w:position w:val="1"/>
              <w:sz w:val="23"/>
              <w:szCs w:val="23"/>
            </w:rPr>
            <w:t xml:space="preserve"> </w:t>
          </w:r>
          <w:r>
            <w:rPr>
              <w:rFonts w:ascii="宋体" w:hAnsi="宋体" w:eastAsia="宋体" w:cs="宋体"/>
              <w:position w:val="1"/>
              <w:sz w:val="23"/>
              <w:szCs w:val="23"/>
            </w:rPr>
            <w:tab/>
          </w:r>
          <w:r>
            <w:rPr>
              <w:spacing w:val="-4"/>
              <w:position w:val="1"/>
              <w:sz w:val="23"/>
              <w:szCs w:val="23"/>
            </w:rPr>
            <w:t>76</w:t>
          </w:r>
          <w:r>
            <w:rPr>
              <w:spacing w:val="-4"/>
              <w:position w:val="1"/>
              <w:sz w:val="23"/>
              <w:szCs w:val="23"/>
            </w:rPr>
            <w:fldChar w:fldCharType="end"/>
          </w:r>
        </w:p>
        <w:p w14:paraId="4C58EE40">
          <w:pPr>
            <w:pStyle w:val="2"/>
            <w:tabs>
              <w:tab w:val="right" w:leader="dot" w:pos="8720"/>
            </w:tabs>
            <w:spacing w:before="180" w:line="220" w:lineRule="auto"/>
            <w:rPr>
              <w:sz w:val="23"/>
              <w:szCs w:val="23"/>
            </w:rPr>
          </w:pPr>
          <w:r>
            <w:fldChar w:fldCharType="begin"/>
          </w:r>
          <w:r>
            <w:instrText xml:space="preserve"> HYPERLINK \l "bookmark4" </w:instrText>
          </w:r>
          <w:r>
            <w:fldChar w:fldCharType="separate"/>
          </w:r>
          <w:r>
            <w:rPr>
              <w:rFonts w:ascii="宋体" w:hAnsi="宋体" w:eastAsia="宋体" w:cs="宋体"/>
              <w:spacing w:val="2"/>
              <w:sz w:val="23"/>
              <w:szCs w:val="23"/>
            </w:rPr>
            <w:t>四、生态环境影响分析</w:t>
          </w:r>
          <w:r>
            <w:rPr>
              <w:rFonts w:ascii="宋体" w:hAnsi="宋体" w:eastAsia="宋体" w:cs="宋体"/>
              <w:spacing w:val="-95"/>
              <w:sz w:val="23"/>
              <w:szCs w:val="23"/>
            </w:rPr>
            <w:t xml:space="preserve"> </w:t>
          </w:r>
          <w:r>
            <w:rPr>
              <w:rFonts w:ascii="宋体" w:hAnsi="宋体" w:eastAsia="宋体" w:cs="宋体"/>
              <w:sz w:val="23"/>
              <w:szCs w:val="23"/>
            </w:rPr>
            <w:tab/>
          </w:r>
          <w:r>
            <w:rPr>
              <w:spacing w:val="-6"/>
              <w:sz w:val="23"/>
              <w:szCs w:val="23"/>
            </w:rPr>
            <w:t>12</w:t>
          </w:r>
          <w:r>
            <w:rPr>
              <w:spacing w:val="-6"/>
              <w:sz w:val="23"/>
              <w:szCs w:val="23"/>
            </w:rPr>
            <w:fldChar w:fldCharType="end"/>
          </w:r>
        </w:p>
        <w:p w14:paraId="026CE0A6">
          <w:pPr>
            <w:pStyle w:val="2"/>
            <w:tabs>
              <w:tab w:val="right" w:leader="dot" w:pos="8827"/>
            </w:tabs>
            <w:spacing w:before="154" w:line="314" w:lineRule="exact"/>
            <w:rPr>
              <w:sz w:val="23"/>
              <w:szCs w:val="23"/>
            </w:rPr>
          </w:pPr>
          <w:r>
            <w:fldChar w:fldCharType="begin"/>
          </w:r>
          <w:r>
            <w:instrText xml:space="preserve"> HYPERLINK \l "bookmark5" </w:instrText>
          </w:r>
          <w:r>
            <w:fldChar w:fldCharType="separate"/>
          </w:r>
          <w:r>
            <w:rPr>
              <w:rFonts w:ascii="宋体" w:hAnsi="宋体" w:eastAsia="宋体" w:cs="宋体"/>
              <w:spacing w:val="9"/>
              <w:position w:val="1"/>
              <w:sz w:val="23"/>
              <w:szCs w:val="23"/>
            </w:rPr>
            <w:t>五、主要生态环境保护措施</w:t>
          </w:r>
          <w:r>
            <w:rPr>
              <w:rFonts w:ascii="宋体" w:hAnsi="宋体" w:eastAsia="宋体" w:cs="宋体"/>
              <w:spacing w:val="-94"/>
              <w:position w:val="1"/>
              <w:sz w:val="23"/>
              <w:szCs w:val="23"/>
            </w:rPr>
            <w:t xml:space="preserve"> </w:t>
          </w:r>
          <w:r>
            <w:rPr>
              <w:rFonts w:ascii="宋体" w:hAnsi="宋体" w:eastAsia="宋体" w:cs="宋体"/>
              <w:position w:val="1"/>
              <w:sz w:val="23"/>
              <w:szCs w:val="23"/>
            </w:rPr>
            <w:tab/>
          </w:r>
          <w:r>
            <w:rPr>
              <w:rFonts w:ascii="宋体" w:hAnsi="宋体" w:eastAsia="宋体" w:cs="宋体"/>
              <w:spacing w:val="-28"/>
              <w:position w:val="1"/>
              <w:sz w:val="23"/>
              <w:szCs w:val="23"/>
            </w:rPr>
            <w:t xml:space="preserve"> </w:t>
          </w:r>
          <w:r>
            <w:rPr>
              <w:spacing w:val="-6"/>
              <w:position w:val="1"/>
              <w:sz w:val="23"/>
              <w:szCs w:val="23"/>
            </w:rPr>
            <w:t>176</w:t>
          </w:r>
          <w:r>
            <w:rPr>
              <w:spacing w:val="-6"/>
              <w:position w:val="1"/>
              <w:sz w:val="23"/>
              <w:szCs w:val="23"/>
            </w:rPr>
            <w:fldChar w:fldCharType="end"/>
          </w:r>
        </w:p>
        <w:p w14:paraId="20B7CFAD">
          <w:pPr>
            <w:pStyle w:val="2"/>
            <w:tabs>
              <w:tab w:val="right" w:leader="dot" w:pos="8827"/>
            </w:tabs>
            <w:spacing w:before="165" w:line="314" w:lineRule="exact"/>
            <w:rPr>
              <w:sz w:val="23"/>
              <w:szCs w:val="23"/>
            </w:rPr>
          </w:pPr>
          <w:r>
            <w:fldChar w:fldCharType="begin"/>
          </w:r>
          <w:r>
            <w:instrText xml:space="preserve"> HYPERLINK \l "bookmark6" </w:instrText>
          </w:r>
          <w:r>
            <w:fldChar w:fldCharType="separate"/>
          </w:r>
          <w:r>
            <w:rPr>
              <w:rFonts w:ascii="宋体" w:hAnsi="宋体" w:eastAsia="宋体" w:cs="宋体"/>
              <w:spacing w:val="9"/>
              <w:position w:val="1"/>
              <w:sz w:val="23"/>
              <w:szCs w:val="23"/>
            </w:rPr>
            <w:t>六、生态环境保护措施监督检查清单</w:t>
          </w:r>
          <w:r>
            <w:rPr>
              <w:rFonts w:ascii="宋体" w:hAnsi="宋体" w:eastAsia="宋体" w:cs="宋体"/>
              <w:spacing w:val="-80"/>
              <w:position w:val="1"/>
              <w:sz w:val="23"/>
              <w:szCs w:val="23"/>
            </w:rPr>
            <w:t xml:space="preserve"> </w:t>
          </w:r>
          <w:r>
            <w:rPr>
              <w:rFonts w:ascii="宋体" w:hAnsi="宋体" w:eastAsia="宋体" w:cs="宋体"/>
              <w:position w:val="1"/>
              <w:sz w:val="23"/>
              <w:szCs w:val="23"/>
            </w:rPr>
            <w:tab/>
          </w:r>
          <w:r>
            <w:rPr>
              <w:spacing w:val="3"/>
              <w:position w:val="1"/>
              <w:sz w:val="23"/>
              <w:szCs w:val="23"/>
            </w:rPr>
            <w:t>194</w:t>
          </w:r>
          <w:r>
            <w:rPr>
              <w:spacing w:val="3"/>
              <w:position w:val="1"/>
              <w:sz w:val="23"/>
              <w:szCs w:val="23"/>
            </w:rPr>
            <w:fldChar w:fldCharType="end"/>
          </w:r>
        </w:p>
        <w:p w14:paraId="4B7C07C9">
          <w:pPr>
            <w:pStyle w:val="2"/>
            <w:tabs>
              <w:tab w:val="right" w:leader="dot" w:pos="8837"/>
            </w:tabs>
            <w:spacing w:before="148" w:line="314" w:lineRule="exact"/>
            <w:rPr>
              <w:sz w:val="23"/>
              <w:szCs w:val="23"/>
            </w:rPr>
          </w:pPr>
          <w:r>
            <w:fldChar w:fldCharType="begin"/>
          </w:r>
          <w:r>
            <w:instrText xml:space="preserve"> HYPERLINK \l "bookmark7" </w:instrText>
          </w:r>
          <w:r>
            <w:fldChar w:fldCharType="separate"/>
          </w:r>
          <w:r>
            <w:rPr>
              <w:rFonts w:ascii="宋体" w:hAnsi="宋体" w:eastAsia="宋体" w:cs="宋体"/>
              <w:spacing w:val="-10"/>
              <w:position w:val="1"/>
              <w:sz w:val="23"/>
              <w:szCs w:val="23"/>
            </w:rPr>
            <w:t>七、结论</w:t>
          </w:r>
          <w:r>
            <w:rPr>
              <w:rFonts w:ascii="宋体" w:hAnsi="宋体" w:eastAsia="宋体" w:cs="宋体"/>
              <w:spacing w:val="-96"/>
              <w:position w:val="1"/>
              <w:sz w:val="23"/>
              <w:szCs w:val="23"/>
            </w:rPr>
            <w:t xml:space="preserve"> </w:t>
          </w:r>
          <w:r>
            <w:rPr>
              <w:rFonts w:ascii="宋体" w:hAnsi="宋体" w:eastAsia="宋体" w:cs="宋体"/>
              <w:position w:val="1"/>
              <w:sz w:val="23"/>
              <w:szCs w:val="23"/>
            </w:rPr>
            <w:tab/>
          </w:r>
          <w:r>
            <w:rPr>
              <w:spacing w:val="-2"/>
              <w:position w:val="1"/>
              <w:sz w:val="23"/>
              <w:szCs w:val="23"/>
            </w:rPr>
            <w:t>198</w:t>
          </w:r>
          <w:r>
            <w:rPr>
              <w:spacing w:val="-2"/>
              <w:position w:val="1"/>
              <w:sz w:val="23"/>
              <w:szCs w:val="23"/>
            </w:rPr>
            <w:fldChar w:fldCharType="end"/>
          </w:r>
        </w:p>
      </w:sdtContent>
    </w:sdt>
    <w:p w14:paraId="56C04B12">
      <w:pPr>
        <w:pStyle w:val="2"/>
        <w:spacing w:line="247" w:lineRule="auto"/>
      </w:pPr>
    </w:p>
    <w:p w14:paraId="75492702">
      <w:pPr>
        <w:pStyle w:val="2"/>
        <w:spacing w:line="247" w:lineRule="auto"/>
      </w:pPr>
    </w:p>
    <w:p w14:paraId="1A25CA60">
      <w:pPr>
        <w:spacing w:before="84" w:line="218" w:lineRule="auto"/>
        <w:ind w:left="483"/>
        <w:rPr>
          <w:rFonts w:ascii="宋体" w:hAnsi="宋体" w:eastAsia="宋体" w:cs="宋体"/>
          <w:sz w:val="26"/>
          <w:szCs w:val="26"/>
        </w:rPr>
      </w:pPr>
      <w:r>
        <w:rPr>
          <w:rFonts w:ascii="宋体" w:hAnsi="宋体" w:eastAsia="宋体" w:cs="宋体"/>
          <w:b/>
          <w:bCs/>
          <w:spacing w:val="-25"/>
          <w:sz w:val="26"/>
          <w:szCs w:val="26"/>
        </w:rPr>
        <w:t>专项评价报告：</w:t>
      </w:r>
    </w:p>
    <w:p w14:paraId="5B2F2630">
      <w:pPr>
        <w:spacing w:before="186" w:line="218" w:lineRule="auto"/>
        <w:ind w:left="480"/>
        <w:rPr>
          <w:rFonts w:ascii="宋体" w:hAnsi="宋体" w:eastAsia="宋体" w:cs="宋体"/>
          <w:sz w:val="24"/>
          <w:szCs w:val="24"/>
        </w:rPr>
      </w:pPr>
      <w:r>
        <w:rPr>
          <w:rFonts w:ascii="宋体" w:hAnsi="宋体" w:eastAsia="宋体" w:cs="宋体"/>
          <w:spacing w:val="5"/>
          <w:sz w:val="24"/>
          <w:szCs w:val="24"/>
        </w:rPr>
        <w:t>专项1栗树园村光伏发电项目电磁环境影响专项评价。</w:t>
      </w:r>
    </w:p>
    <w:p w14:paraId="4707888E">
      <w:pPr>
        <w:spacing w:before="155" w:line="223" w:lineRule="auto"/>
        <w:ind w:left="483"/>
        <w:rPr>
          <w:rFonts w:ascii="仿宋" w:hAnsi="仿宋" w:eastAsia="仿宋" w:cs="仿宋"/>
          <w:sz w:val="26"/>
          <w:szCs w:val="26"/>
        </w:rPr>
      </w:pPr>
      <w:r>
        <w:rPr>
          <w:rFonts w:ascii="仿宋" w:hAnsi="仿宋" w:eastAsia="仿宋" w:cs="仿宋"/>
          <w:b/>
          <w:bCs/>
          <w:spacing w:val="-27"/>
          <w:sz w:val="26"/>
          <w:szCs w:val="26"/>
        </w:rPr>
        <w:t>附图：</w:t>
      </w:r>
    </w:p>
    <w:p w14:paraId="5B322051">
      <w:pPr>
        <w:spacing w:before="158" w:line="219" w:lineRule="auto"/>
        <w:ind w:left="490"/>
        <w:rPr>
          <w:rFonts w:ascii="宋体" w:hAnsi="宋体" w:eastAsia="宋体" w:cs="宋体"/>
          <w:sz w:val="24"/>
          <w:szCs w:val="24"/>
        </w:rPr>
      </w:pPr>
      <w:r>
        <w:rPr>
          <w:rFonts w:ascii="宋体" w:hAnsi="宋体" w:eastAsia="宋体" w:cs="宋体"/>
          <w:spacing w:val="9"/>
          <w:sz w:val="24"/>
          <w:szCs w:val="24"/>
        </w:rPr>
        <w:t>附图1项目区地理位置图；</w:t>
      </w:r>
    </w:p>
    <w:p w14:paraId="1B60F2F0">
      <w:pPr>
        <w:spacing w:before="186" w:line="219" w:lineRule="auto"/>
        <w:ind w:left="480"/>
        <w:rPr>
          <w:rFonts w:ascii="宋体" w:hAnsi="宋体" w:eastAsia="宋体" w:cs="宋体"/>
          <w:sz w:val="24"/>
          <w:szCs w:val="24"/>
        </w:rPr>
      </w:pPr>
      <w:r>
        <w:rPr>
          <w:rFonts w:ascii="宋体" w:hAnsi="宋体" w:eastAsia="宋体" w:cs="宋体"/>
          <w:spacing w:val="-2"/>
          <w:sz w:val="24"/>
          <w:szCs w:val="24"/>
        </w:rPr>
        <w:t>附图2</w:t>
      </w:r>
      <w:r>
        <w:rPr>
          <w:rFonts w:ascii="宋体" w:hAnsi="宋体" w:eastAsia="宋体" w:cs="宋体"/>
          <w:spacing w:val="31"/>
          <w:sz w:val="24"/>
          <w:szCs w:val="24"/>
        </w:rPr>
        <w:t xml:space="preserve"> </w:t>
      </w:r>
      <w:r>
        <w:rPr>
          <w:rFonts w:ascii="宋体" w:hAnsi="宋体" w:eastAsia="宋体" w:cs="宋体"/>
          <w:spacing w:val="-2"/>
          <w:sz w:val="24"/>
          <w:szCs w:val="24"/>
        </w:rPr>
        <w:t>周边关系示意图；</w:t>
      </w:r>
    </w:p>
    <w:p w14:paraId="28F0BC6E">
      <w:pPr>
        <w:spacing w:before="195" w:line="219" w:lineRule="auto"/>
        <w:ind w:left="490"/>
        <w:rPr>
          <w:rFonts w:ascii="宋体" w:hAnsi="宋体" w:eastAsia="宋体" w:cs="宋体"/>
          <w:sz w:val="24"/>
          <w:szCs w:val="24"/>
        </w:rPr>
      </w:pPr>
      <w:r>
        <w:rPr>
          <w:rFonts w:ascii="宋体" w:hAnsi="宋体" w:eastAsia="宋体" w:cs="宋体"/>
          <w:spacing w:val="11"/>
          <w:sz w:val="24"/>
          <w:szCs w:val="24"/>
        </w:rPr>
        <w:t>附图3项目区水系图；</w:t>
      </w:r>
    </w:p>
    <w:p w14:paraId="58F7068A">
      <w:pPr>
        <w:spacing w:before="185" w:line="219" w:lineRule="auto"/>
        <w:ind w:left="490"/>
        <w:rPr>
          <w:rFonts w:ascii="宋体" w:hAnsi="宋体" w:eastAsia="宋体" w:cs="宋体"/>
          <w:sz w:val="24"/>
          <w:szCs w:val="24"/>
        </w:rPr>
      </w:pPr>
      <w:r>
        <w:rPr>
          <w:rFonts w:ascii="宋体" w:hAnsi="宋体" w:eastAsia="宋体" w:cs="宋体"/>
          <w:sz w:val="24"/>
          <w:szCs w:val="24"/>
        </w:rPr>
        <w:t>附图4 总平面布置图及施工总平面布置图.</w:t>
      </w:r>
      <w:r>
        <w:rPr>
          <w:rFonts w:ascii="宋体" w:hAnsi="宋体" w:eastAsia="宋体" w:cs="宋体"/>
          <w:spacing w:val="-63"/>
          <w:sz w:val="24"/>
          <w:szCs w:val="24"/>
        </w:rPr>
        <w:t xml:space="preserve"> </w:t>
      </w:r>
      <w:r>
        <w:rPr>
          <w:rFonts w:ascii="宋体" w:hAnsi="宋体" w:eastAsia="宋体" w:cs="宋体"/>
          <w:sz w:val="24"/>
          <w:szCs w:val="24"/>
        </w:rPr>
        <w:t>;</w:t>
      </w:r>
    </w:p>
    <w:p w14:paraId="0E7F12B3">
      <w:pPr>
        <w:spacing w:before="165" w:line="219" w:lineRule="auto"/>
        <w:ind w:left="490"/>
        <w:rPr>
          <w:rFonts w:ascii="宋体" w:hAnsi="宋体" w:eastAsia="宋体" w:cs="宋体"/>
          <w:sz w:val="24"/>
          <w:szCs w:val="24"/>
        </w:rPr>
      </w:pPr>
      <w:r>
        <w:rPr>
          <w:rFonts w:ascii="宋体" w:hAnsi="宋体" w:eastAsia="宋体" w:cs="宋体"/>
          <w:spacing w:val="6"/>
          <w:sz w:val="24"/>
          <w:szCs w:val="24"/>
        </w:rPr>
        <w:t>附图5升压站平面布置图和环保设置布置图；</w:t>
      </w:r>
    </w:p>
    <w:p w14:paraId="4F0B69AA">
      <w:pPr>
        <w:spacing w:before="186" w:line="219" w:lineRule="auto"/>
        <w:ind w:left="480"/>
        <w:rPr>
          <w:rFonts w:ascii="宋体" w:hAnsi="宋体" w:eastAsia="宋体" w:cs="宋体"/>
          <w:sz w:val="24"/>
          <w:szCs w:val="24"/>
        </w:rPr>
      </w:pPr>
      <w:r>
        <w:rPr>
          <w:rFonts w:ascii="宋体" w:hAnsi="宋体" w:eastAsia="宋体" w:cs="宋体"/>
          <w:spacing w:val="11"/>
          <w:sz w:val="24"/>
          <w:szCs w:val="24"/>
        </w:rPr>
        <w:t>附图6现状监测布点图；</w:t>
      </w:r>
    </w:p>
    <w:p w14:paraId="31FBF79C">
      <w:pPr>
        <w:spacing w:before="195" w:line="219" w:lineRule="auto"/>
        <w:ind w:left="490"/>
        <w:rPr>
          <w:rFonts w:ascii="宋体" w:hAnsi="宋体" w:eastAsia="宋体" w:cs="宋体"/>
          <w:sz w:val="24"/>
          <w:szCs w:val="24"/>
        </w:rPr>
      </w:pPr>
      <w:r>
        <w:rPr>
          <w:rFonts w:ascii="宋体" w:hAnsi="宋体" w:eastAsia="宋体" w:cs="宋体"/>
          <w:spacing w:val="7"/>
          <w:sz w:val="24"/>
          <w:szCs w:val="24"/>
        </w:rPr>
        <w:t>附图7典型生态环境保护措施图；</w:t>
      </w:r>
    </w:p>
    <w:p w14:paraId="639F1F55">
      <w:pPr>
        <w:spacing w:before="175" w:line="218" w:lineRule="auto"/>
        <w:ind w:left="480"/>
        <w:rPr>
          <w:rFonts w:ascii="宋体" w:hAnsi="宋体" w:eastAsia="宋体" w:cs="宋体"/>
          <w:sz w:val="24"/>
          <w:szCs w:val="24"/>
        </w:rPr>
      </w:pPr>
      <w:r>
        <w:rPr>
          <w:rFonts w:ascii="宋体" w:hAnsi="宋体" w:eastAsia="宋体" w:cs="宋体"/>
          <w:spacing w:val="11"/>
          <w:sz w:val="24"/>
          <w:szCs w:val="24"/>
        </w:rPr>
        <w:t>附图8评价工作示意图；</w:t>
      </w:r>
    </w:p>
    <w:p w14:paraId="43F220EE">
      <w:pPr>
        <w:spacing w:before="177" w:line="219" w:lineRule="auto"/>
        <w:ind w:left="480"/>
        <w:rPr>
          <w:rFonts w:ascii="宋体" w:hAnsi="宋体" w:eastAsia="宋体" w:cs="宋体"/>
          <w:sz w:val="24"/>
          <w:szCs w:val="24"/>
        </w:rPr>
      </w:pPr>
      <w:r>
        <w:rPr>
          <w:rFonts w:ascii="宋体" w:hAnsi="宋体" w:eastAsia="宋体" w:cs="宋体"/>
          <w:spacing w:val="8"/>
          <w:sz w:val="24"/>
          <w:szCs w:val="24"/>
        </w:rPr>
        <w:t>附图9生态保护目标分布示意图；</w:t>
      </w:r>
    </w:p>
    <w:p w14:paraId="1DA9599D">
      <w:pPr>
        <w:spacing w:before="185" w:line="219" w:lineRule="auto"/>
        <w:ind w:left="490"/>
        <w:rPr>
          <w:rFonts w:ascii="宋体" w:hAnsi="宋体" w:eastAsia="宋体" w:cs="宋体"/>
          <w:sz w:val="24"/>
          <w:szCs w:val="24"/>
        </w:rPr>
      </w:pPr>
      <w:r>
        <w:rPr>
          <w:rFonts w:ascii="宋体" w:hAnsi="宋体" w:eastAsia="宋体" w:cs="宋体"/>
          <w:sz w:val="24"/>
          <w:szCs w:val="24"/>
        </w:rPr>
        <w:t>附图10 适宜生境分布图；</w:t>
      </w:r>
    </w:p>
    <w:p w14:paraId="418F16A2">
      <w:pPr>
        <w:spacing w:before="176" w:line="219" w:lineRule="auto"/>
        <w:ind w:left="480"/>
        <w:rPr>
          <w:rFonts w:ascii="宋体" w:hAnsi="宋体" w:eastAsia="宋体" w:cs="宋体"/>
          <w:sz w:val="24"/>
          <w:szCs w:val="24"/>
        </w:rPr>
      </w:pPr>
      <w:r>
        <w:rPr>
          <w:rFonts w:ascii="宋体" w:hAnsi="宋体" w:eastAsia="宋体" w:cs="宋体"/>
          <w:spacing w:val="9"/>
          <w:sz w:val="24"/>
          <w:szCs w:val="24"/>
        </w:rPr>
        <w:t>附图11土地利用现状图；</w:t>
      </w:r>
    </w:p>
    <w:p w14:paraId="2317957F">
      <w:pPr>
        <w:spacing w:before="185" w:line="219" w:lineRule="auto"/>
        <w:ind w:left="490"/>
        <w:rPr>
          <w:rFonts w:ascii="宋体" w:hAnsi="宋体" w:eastAsia="宋体" w:cs="宋体"/>
          <w:sz w:val="24"/>
          <w:szCs w:val="24"/>
        </w:rPr>
      </w:pPr>
      <w:r>
        <w:rPr>
          <w:rFonts w:ascii="宋体" w:hAnsi="宋体" w:eastAsia="宋体" w:cs="宋体"/>
          <w:spacing w:val="-3"/>
          <w:sz w:val="24"/>
          <w:szCs w:val="24"/>
        </w:rPr>
        <w:t>附图12</w:t>
      </w:r>
      <w:r>
        <w:rPr>
          <w:rFonts w:ascii="宋体" w:hAnsi="宋体" w:eastAsia="宋体" w:cs="宋体"/>
          <w:spacing w:val="33"/>
          <w:sz w:val="24"/>
          <w:szCs w:val="24"/>
        </w:rPr>
        <w:t xml:space="preserve"> </w:t>
      </w:r>
      <w:r>
        <w:rPr>
          <w:rFonts w:ascii="宋体" w:hAnsi="宋体" w:eastAsia="宋体" w:cs="宋体"/>
          <w:spacing w:val="-3"/>
          <w:sz w:val="24"/>
          <w:szCs w:val="24"/>
        </w:rPr>
        <w:t>植被类型图；</w:t>
      </w:r>
    </w:p>
    <w:p w14:paraId="7A68402F">
      <w:pPr>
        <w:spacing w:before="195" w:line="219" w:lineRule="auto"/>
        <w:ind w:left="490"/>
        <w:rPr>
          <w:rFonts w:ascii="宋体" w:hAnsi="宋体" w:eastAsia="宋体" w:cs="宋体"/>
          <w:sz w:val="24"/>
          <w:szCs w:val="24"/>
        </w:rPr>
      </w:pPr>
      <w:r>
        <w:rPr>
          <w:rFonts w:ascii="宋体" w:hAnsi="宋体" w:eastAsia="宋体" w:cs="宋体"/>
          <w:spacing w:val="12"/>
          <w:sz w:val="24"/>
          <w:szCs w:val="24"/>
        </w:rPr>
        <w:t>附图13</w:t>
      </w:r>
      <w:r>
        <w:rPr>
          <w:rFonts w:ascii="宋体" w:hAnsi="宋体" w:eastAsia="宋体" w:cs="宋体"/>
          <w:spacing w:val="59"/>
          <w:sz w:val="24"/>
          <w:szCs w:val="24"/>
        </w:rPr>
        <w:t xml:space="preserve"> </w:t>
      </w:r>
      <w:r>
        <w:rPr>
          <w:rFonts w:ascii="宋体" w:hAnsi="宋体" w:eastAsia="宋体" w:cs="宋体"/>
          <w:spacing w:val="12"/>
          <w:sz w:val="24"/>
          <w:szCs w:val="24"/>
        </w:rPr>
        <w:t>植被覆盖度图</w:t>
      </w:r>
    </w:p>
    <w:p w14:paraId="3C79BE47">
      <w:pPr>
        <w:spacing w:before="163" w:line="219" w:lineRule="auto"/>
        <w:ind w:left="483"/>
        <w:rPr>
          <w:rFonts w:ascii="宋体" w:hAnsi="宋体" w:eastAsia="宋体" w:cs="宋体"/>
          <w:sz w:val="26"/>
          <w:szCs w:val="26"/>
        </w:rPr>
      </w:pPr>
      <w:r>
        <w:rPr>
          <w:rFonts w:ascii="宋体" w:hAnsi="宋体" w:eastAsia="宋体" w:cs="宋体"/>
          <w:b/>
          <w:bCs/>
          <w:spacing w:val="-23"/>
          <w:sz w:val="26"/>
          <w:szCs w:val="26"/>
        </w:rPr>
        <w:t>附件：</w:t>
      </w:r>
    </w:p>
    <w:p w14:paraId="29721213">
      <w:pPr>
        <w:spacing w:before="164" w:line="219" w:lineRule="auto"/>
        <w:ind w:left="490"/>
        <w:rPr>
          <w:rFonts w:ascii="宋体" w:hAnsi="宋体" w:eastAsia="宋体" w:cs="宋体"/>
          <w:sz w:val="24"/>
          <w:szCs w:val="24"/>
        </w:rPr>
      </w:pPr>
      <w:r>
        <w:rPr>
          <w:rFonts w:ascii="宋体" w:hAnsi="宋体" w:eastAsia="宋体" w:cs="宋体"/>
          <w:spacing w:val="17"/>
          <w:sz w:val="24"/>
          <w:szCs w:val="24"/>
        </w:rPr>
        <w:t>附件1委托书；</w:t>
      </w:r>
    </w:p>
    <w:p w14:paraId="2A04B9BC">
      <w:pPr>
        <w:spacing w:before="195" w:line="219" w:lineRule="auto"/>
        <w:ind w:left="490"/>
        <w:rPr>
          <w:rFonts w:ascii="宋体" w:hAnsi="宋体" w:eastAsia="宋体" w:cs="宋体"/>
          <w:sz w:val="24"/>
          <w:szCs w:val="24"/>
        </w:rPr>
      </w:pPr>
      <w:r>
        <w:rPr>
          <w:rFonts w:ascii="宋体" w:hAnsi="宋体" w:eastAsia="宋体" w:cs="宋体"/>
          <w:spacing w:val="8"/>
          <w:sz w:val="24"/>
          <w:szCs w:val="24"/>
        </w:rPr>
        <w:t>附件2栗树园村光伏发电项目备案证；</w:t>
      </w:r>
    </w:p>
    <w:p w14:paraId="6C7A16B5">
      <w:pPr>
        <w:spacing w:line="219" w:lineRule="auto"/>
        <w:rPr>
          <w:rFonts w:ascii="宋体" w:hAnsi="宋体" w:eastAsia="宋体" w:cs="宋体"/>
          <w:sz w:val="24"/>
          <w:szCs w:val="24"/>
        </w:rPr>
        <w:sectPr>
          <w:pgSz w:w="11910" w:h="16830"/>
          <w:pgMar w:top="400" w:right="1534" w:bottom="400" w:left="1509" w:header="0" w:footer="0" w:gutter="0"/>
          <w:cols w:space="720" w:num="1"/>
        </w:sectPr>
      </w:pPr>
    </w:p>
    <w:p w14:paraId="77D4572F">
      <w:pPr>
        <w:pStyle w:val="2"/>
        <w:spacing w:line="248" w:lineRule="auto"/>
      </w:pPr>
    </w:p>
    <w:p w14:paraId="05CB55BC">
      <w:pPr>
        <w:pStyle w:val="2"/>
        <w:spacing w:line="248" w:lineRule="auto"/>
      </w:pPr>
    </w:p>
    <w:p w14:paraId="145B6F92">
      <w:pPr>
        <w:pStyle w:val="2"/>
        <w:spacing w:line="248" w:lineRule="auto"/>
      </w:pPr>
    </w:p>
    <w:p w14:paraId="2593B5F6">
      <w:pPr>
        <w:pStyle w:val="2"/>
        <w:spacing w:line="249" w:lineRule="auto"/>
      </w:pPr>
    </w:p>
    <w:p w14:paraId="3F89ABED">
      <w:pPr>
        <w:pStyle w:val="2"/>
        <w:spacing w:line="249" w:lineRule="auto"/>
      </w:pPr>
    </w:p>
    <w:p w14:paraId="61682D2D">
      <w:pPr>
        <w:spacing w:before="78" w:line="219" w:lineRule="auto"/>
        <w:ind w:left="480"/>
        <w:rPr>
          <w:rFonts w:ascii="宋体" w:hAnsi="宋体" w:eastAsia="宋体" w:cs="宋体"/>
          <w:sz w:val="24"/>
          <w:szCs w:val="24"/>
        </w:rPr>
      </w:pPr>
      <w:r>
        <w:rPr>
          <w:rFonts w:ascii="宋体" w:hAnsi="宋体" w:eastAsia="宋体" w:cs="宋体"/>
          <w:spacing w:val="1"/>
          <w:sz w:val="24"/>
          <w:szCs w:val="24"/>
        </w:rPr>
        <w:t>附件3 陆良县自然资源局关于栗树园村光</w:t>
      </w:r>
      <w:r>
        <w:rPr>
          <w:rFonts w:ascii="宋体" w:hAnsi="宋体" w:eastAsia="宋体" w:cs="宋体"/>
          <w:sz w:val="24"/>
          <w:szCs w:val="24"/>
        </w:rPr>
        <w:t>伏发电项目的选址意见；</w:t>
      </w:r>
    </w:p>
    <w:p w14:paraId="0B87472F">
      <w:pPr>
        <w:spacing w:before="175" w:line="219" w:lineRule="auto"/>
        <w:ind w:left="480"/>
        <w:rPr>
          <w:rFonts w:ascii="宋体" w:hAnsi="宋体" w:eastAsia="宋体" w:cs="宋体"/>
          <w:sz w:val="24"/>
          <w:szCs w:val="24"/>
        </w:rPr>
      </w:pPr>
      <w:r>
        <w:rPr>
          <w:rFonts w:ascii="宋体" w:hAnsi="宋体" w:eastAsia="宋体" w:cs="宋体"/>
          <w:sz w:val="24"/>
          <w:szCs w:val="24"/>
        </w:rPr>
        <w:t>附件4 陆良县林业和草原局关于栗树村光伏发电项目用地选址意见；</w:t>
      </w:r>
    </w:p>
    <w:p w14:paraId="0E23D910">
      <w:pPr>
        <w:spacing w:before="175" w:line="219" w:lineRule="auto"/>
        <w:ind w:left="480"/>
        <w:rPr>
          <w:rFonts w:ascii="宋体" w:hAnsi="宋体" w:eastAsia="宋体" w:cs="宋体"/>
          <w:sz w:val="24"/>
          <w:szCs w:val="24"/>
        </w:rPr>
      </w:pPr>
      <w:r>
        <w:rPr>
          <w:rFonts w:ascii="宋体" w:hAnsi="宋体" w:eastAsia="宋体" w:cs="宋体"/>
          <w:spacing w:val="3"/>
          <w:sz w:val="24"/>
          <w:szCs w:val="24"/>
        </w:rPr>
        <w:t>附件5关于对曲靖市陆良县栗树村光伏发电项目内有关文物遗迹保护的意见；</w:t>
      </w:r>
    </w:p>
    <w:p w14:paraId="2BAA631B">
      <w:pPr>
        <w:spacing w:before="177" w:line="356" w:lineRule="auto"/>
        <w:ind w:right="9" w:firstLine="480"/>
        <w:rPr>
          <w:rFonts w:ascii="宋体" w:hAnsi="宋体" w:eastAsia="宋体" w:cs="宋体"/>
          <w:sz w:val="24"/>
          <w:szCs w:val="24"/>
        </w:rPr>
      </w:pPr>
      <w:r>
        <w:rPr>
          <w:rFonts w:ascii="宋体" w:hAnsi="宋体" w:eastAsia="宋体" w:cs="宋体"/>
          <w:spacing w:val="13"/>
          <w:sz w:val="24"/>
          <w:szCs w:val="24"/>
        </w:rPr>
        <w:t>附件6陆良县自然资源局关于栗树园村光伏发电项目35</w:t>
      </w:r>
      <w:r>
        <w:rPr>
          <w:rFonts w:ascii="Times New Roman" w:hAnsi="Times New Roman" w:eastAsia="Times New Roman" w:cs="Times New Roman"/>
          <w:sz w:val="24"/>
          <w:szCs w:val="24"/>
        </w:rPr>
        <w:t>kV</w:t>
      </w:r>
      <w:r>
        <w:rPr>
          <w:rFonts w:ascii="Times New Roman" w:hAnsi="Times New Roman" w:eastAsia="Times New Roman" w:cs="Times New Roman"/>
          <w:spacing w:val="6"/>
          <w:sz w:val="24"/>
          <w:szCs w:val="24"/>
        </w:rPr>
        <w:t xml:space="preserve"> </w:t>
      </w:r>
      <w:r>
        <w:rPr>
          <w:rFonts w:ascii="宋体" w:hAnsi="宋体" w:eastAsia="宋体" w:cs="宋体"/>
          <w:spacing w:val="13"/>
          <w:sz w:val="24"/>
          <w:szCs w:val="24"/>
        </w:rPr>
        <w:t>集电线路塔基拟选</w:t>
      </w:r>
      <w:r>
        <w:rPr>
          <w:rFonts w:ascii="宋体" w:hAnsi="宋体" w:eastAsia="宋体" w:cs="宋体"/>
          <w:sz w:val="24"/>
          <w:szCs w:val="24"/>
        </w:rPr>
        <w:t xml:space="preserve"> </w:t>
      </w:r>
      <w:r>
        <w:rPr>
          <w:rFonts w:ascii="宋体" w:hAnsi="宋体" w:eastAsia="宋体" w:cs="宋体"/>
          <w:spacing w:val="-4"/>
          <w:sz w:val="24"/>
          <w:szCs w:val="24"/>
        </w:rPr>
        <w:t>址用地范围与“三区三线”的情况说明；</w:t>
      </w:r>
    </w:p>
    <w:p w14:paraId="651592EB">
      <w:pPr>
        <w:spacing w:before="14" w:line="356" w:lineRule="auto"/>
        <w:ind w:firstLine="480"/>
        <w:rPr>
          <w:rFonts w:ascii="宋体" w:hAnsi="宋体" w:eastAsia="宋体" w:cs="宋体"/>
          <w:sz w:val="24"/>
          <w:szCs w:val="24"/>
        </w:rPr>
      </w:pPr>
      <w:r>
        <w:rPr>
          <w:rFonts w:ascii="宋体" w:hAnsi="宋体" w:eastAsia="宋体" w:cs="宋体"/>
          <w:spacing w:val="2"/>
          <w:sz w:val="24"/>
          <w:szCs w:val="24"/>
        </w:rPr>
        <w:t>附件7</w:t>
      </w:r>
      <w:r>
        <w:rPr>
          <w:rFonts w:ascii="宋体" w:hAnsi="宋体" w:eastAsia="宋体" w:cs="宋体"/>
          <w:spacing w:val="129"/>
          <w:sz w:val="24"/>
          <w:szCs w:val="24"/>
        </w:rPr>
        <w:t xml:space="preserve"> </w:t>
      </w:r>
      <w:r>
        <w:rPr>
          <w:rFonts w:ascii="宋体" w:hAnsi="宋体" w:eastAsia="宋体" w:cs="宋体"/>
          <w:spacing w:val="2"/>
          <w:sz w:val="24"/>
          <w:szCs w:val="24"/>
        </w:rPr>
        <w:t>曲靖市生态环境局陆良分局关于曲靖市陆良县栗树园村光伏发电项目的</w:t>
      </w:r>
      <w:r>
        <w:rPr>
          <w:rFonts w:ascii="宋体" w:hAnsi="宋体" w:eastAsia="宋体" w:cs="宋体"/>
          <w:sz w:val="24"/>
          <w:szCs w:val="24"/>
        </w:rPr>
        <w:t xml:space="preserve"> </w:t>
      </w:r>
      <w:r>
        <w:rPr>
          <w:rFonts w:ascii="宋体" w:hAnsi="宋体" w:eastAsia="宋体" w:cs="宋体"/>
          <w:spacing w:val="-11"/>
          <w:sz w:val="24"/>
          <w:szCs w:val="24"/>
        </w:rPr>
        <w:t>选址意见；</w:t>
      </w:r>
    </w:p>
    <w:p w14:paraId="23EC1699">
      <w:pPr>
        <w:spacing w:before="12" w:line="219" w:lineRule="auto"/>
        <w:ind w:left="480"/>
        <w:rPr>
          <w:rFonts w:ascii="宋体" w:hAnsi="宋体" w:eastAsia="宋体" w:cs="宋体"/>
          <w:sz w:val="24"/>
          <w:szCs w:val="24"/>
        </w:rPr>
      </w:pPr>
      <w:r>
        <w:rPr>
          <w:rFonts w:ascii="宋体" w:hAnsi="宋体" w:eastAsia="宋体" w:cs="宋体"/>
          <w:spacing w:val="8"/>
          <w:sz w:val="24"/>
          <w:szCs w:val="24"/>
        </w:rPr>
        <w:t>附件8陆良县水务局意见；</w:t>
      </w:r>
    </w:p>
    <w:p w14:paraId="6CFFD487">
      <w:pPr>
        <w:spacing w:before="177" w:line="357" w:lineRule="auto"/>
        <w:ind w:right="9" w:firstLine="480"/>
        <w:rPr>
          <w:rFonts w:ascii="宋体" w:hAnsi="宋体" w:eastAsia="宋体" w:cs="宋体"/>
          <w:sz w:val="24"/>
          <w:szCs w:val="24"/>
        </w:rPr>
      </w:pPr>
      <w:r>
        <w:rPr>
          <w:rFonts w:ascii="宋体" w:hAnsi="宋体" w:eastAsia="宋体" w:cs="宋体"/>
          <w:spacing w:val="11"/>
          <w:sz w:val="24"/>
          <w:szCs w:val="24"/>
        </w:rPr>
        <w:t>附件9陆良县人民政府关于栗树园村光伏发电项目35</w:t>
      </w:r>
      <w:r>
        <w:rPr>
          <w:rFonts w:ascii="Times New Roman" w:hAnsi="Times New Roman" w:eastAsia="Times New Roman" w:cs="Times New Roman"/>
          <w:sz w:val="24"/>
          <w:szCs w:val="24"/>
        </w:rPr>
        <w:t>kV</w:t>
      </w:r>
      <w:r>
        <w:rPr>
          <w:rFonts w:ascii="Times New Roman" w:hAnsi="Times New Roman" w:eastAsia="Times New Roman" w:cs="Times New Roman"/>
          <w:spacing w:val="72"/>
          <w:sz w:val="24"/>
          <w:szCs w:val="24"/>
        </w:rPr>
        <w:t xml:space="preserve"> </w:t>
      </w:r>
      <w:r>
        <w:rPr>
          <w:rFonts w:ascii="宋体" w:hAnsi="宋体" w:eastAsia="宋体" w:cs="宋体"/>
          <w:spacing w:val="11"/>
          <w:sz w:val="24"/>
          <w:szCs w:val="24"/>
        </w:rPr>
        <w:t>架空线路占用集中式</w:t>
      </w:r>
      <w:r>
        <w:rPr>
          <w:rFonts w:ascii="宋体" w:hAnsi="宋体" w:eastAsia="宋体" w:cs="宋体"/>
          <w:sz w:val="24"/>
          <w:szCs w:val="24"/>
        </w:rPr>
        <w:t xml:space="preserve"> </w:t>
      </w:r>
      <w:r>
        <w:rPr>
          <w:rFonts w:ascii="宋体" w:hAnsi="宋体" w:eastAsia="宋体" w:cs="宋体"/>
          <w:spacing w:val="-5"/>
          <w:sz w:val="24"/>
          <w:szCs w:val="24"/>
        </w:rPr>
        <w:t>饮用水水源地准保护区的批复；</w:t>
      </w:r>
    </w:p>
    <w:p w14:paraId="682E071D">
      <w:pPr>
        <w:spacing w:before="1" w:line="217" w:lineRule="auto"/>
        <w:ind w:left="480"/>
        <w:rPr>
          <w:rFonts w:ascii="宋体" w:hAnsi="宋体" w:eastAsia="宋体" w:cs="宋体"/>
          <w:sz w:val="24"/>
          <w:szCs w:val="24"/>
        </w:rPr>
      </w:pPr>
      <w:r>
        <w:rPr>
          <w:rFonts w:ascii="宋体" w:hAnsi="宋体" w:eastAsia="宋体" w:cs="宋体"/>
          <w:spacing w:val="9"/>
          <w:sz w:val="24"/>
          <w:szCs w:val="24"/>
        </w:rPr>
        <w:t>附件10类比监测报告；</w:t>
      </w:r>
    </w:p>
    <w:p w14:paraId="315AE910">
      <w:pPr>
        <w:spacing w:before="187" w:line="219" w:lineRule="auto"/>
        <w:ind w:left="480"/>
        <w:rPr>
          <w:rFonts w:ascii="宋体" w:hAnsi="宋体" w:eastAsia="宋体" w:cs="宋体"/>
          <w:sz w:val="24"/>
          <w:szCs w:val="24"/>
        </w:rPr>
      </w:pPr>
      <w:r>
        <w:rPr>
          <w:rFonts w:ascii="宋体" w:hAnsi="宋体" w:eastAsia="宋体" w:cs="宋体"/>
          <w:spacing w:val="1"/>
          <w:sz w:val="24"/>
          <w:szCs w:val="24"/>
        </w:rPr>
        <w:t>附件11</w:t>
      </w:r>
      <w:r>
        <w:rPr>
          <w:rFonts w:ascii="宋体" w:hAnsi="宋体" w:eastAsia="宋体" w:cs="宋体"/>
          <w:spacing w:val="-27"/>
          <w:sz w:val="24"/>
          <w:szCs w:val="24"/>
        </w:rPr>
        <w:t xml:space="preserve"> </w:t>
      </w:r>
      <w:r>
        <w:rPr>
          <w:rFonts w:ascii="宋体" w:hAnsi="宋体" w:eastAsia="宋体" w:cs="宋体"/>
          <w:spacing w:val="1"/>
          <w:sz w:val="24"/>
          <w:szCs w:val="24"/>
        </w:rPr>
        <w:t>项目咨询合同；</w:t>
      </w:r>
    </w:p>
    <w:p w14:paraId="307415DA">
      <w:pPr>
        <w:spacing w:before="185" w:line="218" w:lineRule="auto"/>
        <w:ind w:left="480"/>
        <w:rPr>
          <w:rFonts w:ascii="宋体" w:hAnsi="宋体" w:eastAsia="宋体" w:cs="宋体"/>
          <w:sz w:val="24"/>
          <w:szCs w:val="24"/>
        </w:rPr>
      </w:pPr>
      <w:r>
        <w:rPr>
          <w:rFonts w:ascii="宋体" w:hAnsi="宋体" w:eastAsia="宋体" w:cs="宋体"/>
          <w:sz w:val="24"/>
          <w:szCs w:val="24"/>
        </w:rPr>
        <w:t>附件12 本次环评监测报告；</w:t>
      </w:r>
    </w:p>
    <w:p w14:paraId="18D31BD3">
      <w:pPr>
        <w:spacing w:before="187" w:line="219" w:lineRule="auto"/>
        <w:ind w:left="480"/>
        <w:rPr>
          <w:rFonts w:ascii="宋体" w:hAnsi="宋体" w:eastAsia="宋体" w:cs="宋体"/>
          <w:sz w:val="24"/>
          <w:szCs w:val="24"/>
        </w:rPr>
      </w:pPr>
      <w:r>
        <w:rPr>
          <w:rFonts w:ascii="宋体" w:hAnsi="宋体" w:eastAsia="宋体" w:cs="宋体"/>
          <w:spacing w:val="15"/>
          <w:sz w:val="24"/>
          <w:szCs w:val="24"/>
        </w:rPr>
        <w:t>附件13三级审核。</w:t>
      </w:r>
    </w:p>
    <w:p w14:paraId="3086A89E">
      <w:pPr>
        <w:spacing w:before="174" w:line="362" w:lineRule="auto"/>
        <w:ind w:right="9" w:firstLine="480"/>
        <w:rPr>
          <w:rFonts w:ascii="宋体" w:hAnsi="宋体" w:eastAsia="宋体" w:cs="宋体"/>
          <w:sz w:val="24"/>
          <w:szCs w:val="24"/>
        </w:rPr>
      </w:pPr>
      <w:r>
        <w:rPr>
          <w:rFonts w:ascii="宋体" w:hAnsi="宋体" w:eastAsia="宋体" w:cs="宋体"/>
          <w:spacing w:val="8"/>
          <w:sz w:val="24"/>
          <w:szCs w:val="24"/>
        </w:rPr>
        <w:t>附件14 云南省发展和改革委员会云南省能源局关于印发云南省2023年第一批</w:t>
      </w:r>
      <w:r>
        <w:rPr>
          <w:rFonts w:ascii="宋体" w:hAnsi="宋体" w:eastAsia="宋体" w:cs="宋体"/>
          <w:spacing w:val="12"/>
          <w:sz w:val="24"/>
          <w:szCs w:val="24"/>
        </w:rPr>
        <w:t xml:space="preserve"> </w:t>
      </w:r>
      <w:r>
        <w:rPr>
          <w:rFonts w:ascii="宋体" w:hAnsi="宋体" w:eastAsia="宋体" w:cs="宋体"/>
          <w:spacing w:val="-1"/>
          <w:sz w:val="24"/>
          <w:szCs w:val="24"/>
        </w:rPr>
        <w:t>新能源建设方案的通知</w:t>
      </w:r>
    </w:p>
    <w:p w14:paraId="5601211A">
      <w:pPr>
        <w:spacing w:before="1" w:line="218" w:lineRule="auto"/>
        <w:ind w:left="480"/>
        <w:rPr>
          <w:rFonts w:ascii="宋体" w:hAnsi="宋体" w:eastAsia="宋体" w:cs="宋体"/>
          <w:sz w:val="24"/>
          <w:szCs w:val="24"/>
        </w:rPr>
      </w:pPr>
      <w:r>
        <w:rPr>
          <w:rFonts w:ascii="宋体" w:hAnsi="宋体" w:eastAsia="宋体" w:cs="宋体"/>
          <w:spacing w:val="4"/>
          <w:sz w:val="24"/>
          <w:szCs w:val="24"/>
        </w:rPr>
        <w:t>附件15</w:t>
      </w:r>
      <w:r>
        <w:rPr>
          <w:rFonts w:ascii="宋体" w:hAnsi="宋体" w:eastAsia="宋体" w:cs="宋体"/>
          <w:spacing w:val="106"/>
          <w:sz w:val="24"/>
          <w:szCs w:val="24"/>
        </w:rPr>
        <w:t xml:space="preserve"> </w:t>
      </w:r>
      <w:r>
        <w:rPr>
          <w:rFonts w:ascii="宋体" w:hAnsi="宋体" w:eastAsia="宋体" w:cs="宋体"/>
          <w:spacing w:val="4"/>
          <w:sz w:val="24"/>
          <w:szCs w:val="24"/>
        </w:rPr>
        <w:t>栗树园光伏电站工作进度表</w:t>
      </w:r>
    </w:p>
    <w:p w14:paraId="6F814A21">
      <w:pPr>
        <w:spacing w:before="176" w:line="219" w:lineRule="auto"/>
        <w:ind w:left="480"/>
        <w:rPr>
          <w:rFonts w:ascii="宋体" w:hAnsi="宋体" w:eastAsia="宋体" w:cs="宋体"/>
          <w:sz w:val="24"/>
          <w:szCs w:val="24"/>
        </w:rPr>
      </w:pPr>
      <w:r>
        <w:rPr>
          <w:rFonts w:ascii="宋体" w:hAnsi="宋体" w:eastAsia="宋体" w:cs="宋体"/>
          <w:spacing w:val="7"/>
          <w:sz w:val="24"/>
          <w:szCs w:val="24"/>
        </w:rPr>
        <w:t>附件16</w:t>
      </w:r>
      <w:r>
        <w:rPr>
          <w:rFonts w:ascii="宋体" w:hAnsi="宋体" w:eastAsia="宋体" w:cs="宋体"/>
          <w:spacing w:val="97"/>
          <w:sz w:val="24"/>
          <w:szCs w:val="24"/>
        </w:rPr>
        <w:t xml:space="preserve"> </w:t>
      </w:r>
      <w:r>
        <w:rPr>
          <w:rFonts w:ascii="宋体" w:hAnsi="宋体" w:eastAsia="宋体" w:cs="宋体"/>
          <w:spacing w:val="7"/>
          <w:sz w:val="24"/>
          <w:szCs w:val="24"/>
        </w:rPr>
        <w:t>修改对照表</w:t>
      </w:r>
    </w:p>
    <w:p w14:paraId="27B9E2CF">
      <w:pPr>
        <w:spacing w:before="175" w:line="219" w:lineRule="auto"/>
        <w:ind w:left="480"/>
        <w:rPr>
          <w:rFonts w:ascii="宋体" w:hAnsi="宋体" w:eastAsia="宋体" w:cs="宋体"/>
          <w:sz w:val="24"/>
          <w:szCs w:val="24"/>
        </w:rPr>
      </w:pPr>
      <w:r>
        <w:rPr>
          <w:rFonts w:ascii="宋体" w:hAnsi="宋体" w:eastAsia="宋体" w:cs="宋体"/>
          <w:spacing w:val="5"/>
          <w:sz w:val="24"/>
          <w:szCs w:val="24"/>
        </w:rPr>
        <w:t>附件17</w:t>
      </w:r>
      <w:r>
        <w:rPr>
          <w:rFonts w:ascii="宋体" w:hAnsi="宋体" w:eastAsia="宋体" w:cs="宋体"/>
          <w:spacing w:val="100"/>
          <w:sz w:val="24"/>
          <w:szCs w:val="24"/>
        </w:rPr>
        <w:t xml:space="preserve"> </w:t>
      </w:r>
      <w:r>
        <w:rPr>
          <w:rFonts w:ascii="宋体" w:hAnsi="宋体" w:eastAsia="宋体" w:cs="宋体"/>
          <w:spacing w:val="5"/>
          <w:sz w:val="24"/>
          <w:szCs w:val="24"/>
        </w:rPr>
        <w:t>评审意见和签到表</w:t>
      </w:r>
    </w:p>
    <w:p w14:paraId="735B794C">
      <w:pPr>
        <w:spacing w:before="175" w:line="219" w:lineRule="auto"/>
        <w:ind w:left="480"/>
        <w:rPr>
          <w:rFonts w:ascii="宋体" w:hAnsi="宋体" w:eastAsia="宋体" w:cs="宋体"/>
          <w:sz w:val="24"/>
          <w:szCs w:val="24"/>
        </w:rPr>
      </w:pPr>
      <w:r>
        <w:rPr>
          <w:rFonts w:ascii="宋体" w:hAnsi="宋体" w:eastAsia="宋体" w:cs="宋体"/>
          <w:spacing w:val="7"/>
          <w:sz w:val="24"/>
          <w:szCs w:val="24"/>
        </w:rPr>
        <w:t>附件18</w:t>
      </w:r>
      <w:r>
        <w:rPr>
          <w:rFonts w:ascii="宋体" w:hAnsi="宋体" w:eastAsia="宋体" w:cs="宋体"/>
          <w:spacing w:val="102"/>
          <w:sz w:val="24"/>
          <w:szCs w:val="24"/>
        </w:rPr>
        <w:t xml:space="preserve"> </w:t>
      </w:r>
      <w:r>
        <w:rPr>
          <w:rFonts w:ascii="宋体" w:hAnsi="宋体" w:eastAsia="宋体" w:cs="宋体"/>
          <w:spacing w:val="7"/>
          <w:sz w:val="24"/>
          <w:szCs w:val="24"/>
        </w:rPr>
        <w:t>补充监测</w:t>
      </w:r>
    </w:p>
    <w:p w14:paraId="0562D230">
      <w:pPr>
        <w:spacing w:line="219" w:lineRule="auto"/>
        <w:rPr>
          <w:rFonts w:ascii="宋体" w:hAnsi="宋体" w:eastAsia="宋体" w:cs="宋体"/>
          <w:sz w:val="24"/>
          <w:szCs w:val="24"/>
        </w:rPr>
        <w:sectPr>
          <w:pgSz w:w="11910" w:h="16830"/>
          <w:pgMar w:top="400" w:right="1551" w:bottom="400" w:left="1519" w:header="0" w:footer="0" w:gutter="0"/>
          <w:cols w:space="720" w:num="1"/>
        </w:sectPr>
      </w:pPr>
    </w:p>
    <w:p w14:paraId="11B6B61B">
      <w:pPr>
        <w:pStyle w:val="2"/>
        <w:spacing w:line="250" w:lineRule="auto"/>
      </w:pPr>
    </w:p>
    <w:p w14:paraId="5FD6AFC7">
      <w:pPr>
        <w:pStyle w:val="2"/>
        <w:spacing w:line="250" w:lineRule="auto"/>
      </w:pPr>
    </w:p>
    <w:p w14:paraId="1004E1BB">
      <w:pPr>
        <w:pStyle w:val="2"/>
        <w:spacing w:line="250" w:lineRule="auto"/>
      </w:pPr>
    </w:p>
    <w:p w14:paraId="73BB07FC">
      <w:pPr>
        <w:pStyle w:val="2"/>
        <w:spacing w:line="250" w:lineRule="auto"/>
      </w:pPr>
    </w:p>
    <w:p w14:paraId="7DB63F51">
      <w:pPr>
        <w:pStyle w:val="2"/>
        <w:spacing w:line="250" w:lineRule="auto"/>
      </w:pPr>
    </w:p>
    <w:p w14:paraId="194C2ED6">
      <w:pPr>
        <w:pStyle w:val="2"/>
        <w:spacing w:line="250" w:lineRule="auto"/>
      </w:pPr>
    </w:p>
    <w:p w14:paraId="1EF2659F">
      <w:pPr>
        <w:spacing w:before="101" w:line="219" w:lineRule="auto"/>
        <w:ind w:left="3005"/>
        <w:outlineLvl w:val="0"/>
        <w:rPr>
          <w:rFonts w:ascii="宋体" w:hAnsi="宋体" w:eastAsia="宋体" w:cs="宋体"/>
          <w:sz w:val="31"/>
          <w:szCs w:val="31"/>
        </w:rPr>
      </w:pPr>
      <w:bookmarkStart w:id="0" w:name="bookmark1"/>
      <w:bookmarkEnd w:id="0"/>
      <w:r>
        <w:rPr>
          <w:rFonts w:ascii="宋体" w:hAnsi="宋体" w:eastAsia="宋体" w:cs="宋体"/>
          <w:spacing w:val="-7"/>
          <w:sz w:val="31"/>
          <w:szCs w:val="31"/>
        </w:rPr>
        <w:t>一、建设项目基本情况</w:t>
      </w:r>
    </w:p>
    <w:p w14:paraId="2AF858F3">
      <w:pPr>
        <w:spacing w:before="35"/>
      </w:pPr>
    </w:p>
    <w:tbl>
      <w:tblPr>
        <w:tblStyle w:val="5"/>
        <w:tblW w:w="89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959"/>
        <w:gridCol w:w="2078"/>
        <w:gridCol w:w="1278"/>
        <w:gridCol w:w="949"/>
        <w:gridCol w:w="1688"/>
        <w:gridCol w:w="824"/>
      </w:tblGrid>
      <w:tr w14:paraId="44FDA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1214" w:type="dxa"/>
            <w:vAlign w:val="top"/>
          </w:tcPr>
          <w:p w14:paraId="04A13941">
            <w:pPr>
              <w:pStyle w:val="6"/>
              <w:spacing w:before="65" w:line="223" w:lineRule="auto"/>
              <w:ind w:left="353" w:right="83" w:hanging="239"/>
              <w:rPr>
                <w:sz w:val="24"/>
                <w:szCs w:val="24"/>
              </w:rPr>
            </w:pPr>
            <w:r>
              <w:rPr>
                <w:spacing w:val="11"/>
                <w:sz w:val="24"/>
                <w:szCs w:val="24"/>
              </w:rPr>
              <w:t>建设项目</w:t>
            </w:r>
            <w:r>
              <w:rPr>
                <w:sz w:val="24"/>
                <w:szCs w:val="24"/>
              </w:rPr>
              <w:t xml:space="preserve"> </w:t>
            </w:r>
            <w:r>
              <w:rPr>
                <w:spacing w:val="6"/>
                <w:sz w:val="24"/>
                <w:szCs w:val="24"/>
              </w:rPr>
              <w:t>名称</w:t>
            </w:r>
          </w:p>
        </w:tc>
        <w:tc>
          <w:tcPr>
            <w:tcW w:w="7776" w:type="dxa"/>
            <w:gridSpan w:val="6"/>
            <w:vAlign w:val="top"/>
          </w:tcPr>
          <w:p w14:paraId="68D0A1DD">
            <w:pPr>
              <w:pStyle w:val="6"/>
              <w:spacing w:before="213" w:line="219" w:lineRule="auto"/>
              <w:ind w:left="2680"/>
              <w:rPr>
                <w:sz w:val="24"/>
                <w:szCs w:val="24"/>
              </w:rPr>
            </w:pPr>
            <w:r>
              <w:rPr>
                <w:spacing w:val="4"/>
                <w:sz w:val="24"/>
                <w:szCs w:val="24"/>
              </w:rPr>
              <w:t>栗树园村光伏发电项目</w:t>
            </w:r>
          </w:p>
        </w:tc>
      </w:tr>
      <w:tr w14:paraId="3104D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14" w:type="dxa"/>
            <w:vAlign w:val="top"/>
          </w:tcPr>
          <w:p w14:paraId="0B0166B6">
            <w:pPr>
              <w:pStyle w:val="6"/>
              <w:spacing w:before="89" w:line="219" w:lineRule="auto"/>
              <w:ind w:left="114"/>
              <w:rPr>
                <w:sz w:val="24"/>
                <w:szCs w:val="24"/>
              </w:rPr>
            </w:pPr>
            <w:r>
              <w:rPr>
                <w:spacing w:val="3"/>
                <w:sz w:val="24"/>
                <w:szCs w:val="24"/>
              </w:rPr>
              <w:t>项目代码</w:t>
            </w:r>
          </w:p>
        </w:tc>
        <w:tc>
          <w:tcPr>
            <w:tcW w:w="7776" w:type="dxa"/>
            <w:gridSpan w:val="6"/>
            <w:vAlign w:val="top"/>
          </w:tcPr>
          <w:p w14:paraId="328CBE5A">
            <w:pPr>
              <w:pStyle w:val="6"/>
              <w:spacing w:before="113" w:line="228" w:lineRule="auto"/>
              <w:ind w:left="2440"/>
              <w:rPr>
                <w:sz w:val="24"/>
                <w:szCs w:val="24"/>
              </w:rPr>
            </w:pPr>
            <w:r>
              <w:rPr>
                <w:spacing w:val="-1"/>
                <w:sz w:val="24"/>
                <w:szCs w:val="24"/>
              </w:rPr>
              <w:t>2408-530322-04-01-222381</w:t>
            </w:r>
          </w:p>
        </w:tc>
      </w:tr>
      <w:tr w14:paraId="009BE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14" w:type="dxa"/>
            <w:vAlign w:val="top"/>
          </w:tcPr>
          <w:p w14:paraId="5D3421A7">
            <w:pPr>
              <w:pStyle w:val="6"/>
              <w:spacing w:before="41" w:line="222" w:lineRule="auto"/>
              <w:ind w:left="234" w:right="119" w:hanging="120"/>
              <w:rPr>
                <w:sz w:val="24"/>
                <w:szCs w:val="24"/>
              </w:rPr>
            </w:pPr>
            <w:r>
              <w:rPr>
                <w:spacing w:val="2"/>
                <w:sz w:val="24"/>
                <w:szCs w:val="24"/>
              </w:rPr>
              <w:t>建设单位</w:t>
            </w:r>
            <w:r>
              <w:rPr>
                <w:sz w:val="24"/>
                <w:szCs w:val="24"/>
              </w:rPr>
              <w:t xml:space="preserve"> </w:t>
            </w:r>
            <w:r>
              <w:rPr>
                <w:spacing w:val="3"/>
                <w:sz w:val="24"/>
                <w:szCs w:val="24"/>
              </w:rPr>
              <w:t>联系人</w:t>
            </w:r>
          </w:p>
        </w:tc>
        <w:tc>
          <w:tcPr>
            <w:tcW w:w="3037" w:type="dxa"/>
            <w:gridSpan w:val="2"/>
            <w:vAlign w:val="top"/>
          </w:tcPr>
          <w:p w14:paraId="54B7486D">
            <w:pPr>
              <w:pStyle w:val="6"/>
              <w:spacing w:before="198" w:line="219" w:lineRule="auto"/>
              <w:ind w:left="1150"/>
              <w:rPr>
                <w:sz w:val="24"/>
                <w:szCs w:val="24"/>
              </w:rPr>
            </w:pPr>
            <w:r>
              <w:rPr>
                <w:spacing w:val="5"/>
                <w:sz w:val="24"/>
                <w:szCs w:val="24"/>
              </w:rPr>
              <w:t>梁建章</w:t>
            </w:r>
          </w:p>
        </w:tc>
        <w:tc>
          <w:tcPr>
            <w:tcW w:w="2227" w:type="dxa"/>
            <w:gridSpan w:val="2"/>
            <w:vAlign w:val="top"/>
          </w:tcPr>
          <w:p w14:paraId="673B1AB6">
            <w:pPr>
              <w:pStyle w:val="6"/>
              <w:spacing w:before="201" w:line="221" w:lineRule="auto"/>
              <w:ind w:left="624"/>
              <w:rPr>
                <w:sz w:val="24"/>
                <w:szCs w:val="24"/>
              </w:rPr>
            </w:pPr>
            <w:r>
              <w:rPr>
                <w:spacing w:val="-2"/>
                <w:sz w:val="24"/>
                <w:szCs w:val="24"/>
              </w:rPr>
              <w:t>联系方式</w:t>
            </w:r>
          </w:p>
        </w:tc>
        <w:tc>
          <w:tcPr>
            <w:tcW w:w="2512" w:type="dxa"/>
            <w:gridSpan w:val="2"/>
            <w:vAlign w:val="top"/>
          </w:tcPr>
          <w:p w14:paraId="62E7C4BF">
            <w:pPr>
              <w:spacing w:before="149" w:line="360" w:lineRule="exact"/>
              <w:ind w:firstLine="557"/>
            </w:pPr>
            <w:r>
              <w:rPr>
                <w:position w:val="-7"/>
              </w:rPr>
              <w:drawing>
                <wp:inline distT="0" distB="0" distL="0" distR="0">
                  <wp:extent cx="882650" cy="22796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76"/>
                          <a:stretch>
                            <a:fillRect/>
                          </a:stretch>
                        </pic:blipFill>
                        <pic:spPr>
                          <a:xfrm>
                            <a:off x="0" y="0"/>
                            <a:ext cx="882660" cy="228596"/>
                          </a:xfrm>
                          <a:prstGeom prst="rect">
                            <a:avLst/>
                          </a:prstGeom>
                        </pic:spPr>
                      </pic:pic>
                    </a:graphicData>
                  </a:graphic>
                </wp:inline>
              </w:drawing>
            </w:r>
          </w:p>
        </w:tc>
      </w:tr>
      <w:tr w14:paraId="644A9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1214" w:type="dxa"/>
            <w:vAlign w:val="top"/>
          </w:tcPr>
          <w:p w14:paraId="6986297E">
            <w:pPr>
              <w:pStyle w:val="6"/>
              <w:spacing w:before="202" w:line="221" w:lineRule="auto"/>
              <w:ind w:left="114"/>
              <w:rPr>
                <w:sz w:val="24"/>
                <w:szCs w:val="24"/>
              </w:rPr>
            </w:pPr>
            <w:r>
              <w:rPr>
                <w:spacing w:val="5"/>
                <w:sz w:val="24"/>
                <w:szCs w:val="24"/>
              </w:rPr>
              <w:t>建设地点</w:t>
            </w:r>
          </w:p>
        </w:tc>
        <w:tc>
          <w:tcPr>
            <w:tcW w:w="7776" w:type="dxa"/>
            <w:gridSpan w:val="6"/>
            <w:vAlign w:val="top"/>
          </w:tcPr>
          <w:p w14:paraId="5E26F3A6">
            <w:pPr>
              <w:pStyle w:val="6"/>
              <w:spacing w:before="60" w:line="219" w:lineRule="auto"/>
              <w:ind w:left="60" w:right="31" w:hanging="20"/>
              <w:rPr>
                <w:sz w:val="24"/>
                <w:szCs w:val="24"/>
              </w:rPr>
            </w:pPr>
            <w:r>
              <w:rPr>
                <w:sz w:val="24"/>
                <w:szCs w:val="24"/>
              </w:rPr>
              <w:t>曲靖市陆良县大莫古镇阿油铺村民委员会、大地村民委员会、大莫古村民</w:t>
            </w:r>
            <w:r>
              <w:rPr>
                <w:spacing w:val="12"/>
                <w:sz w:val="24"/>
                <w:szCs w:val="24"/>
              </w:rPr>
              <w:t xml:space="preserve"> </w:t>
            </w:r>
            <w:r>
              <w:rPr>
                <w:spacing w:val="-1"/>
                <w:sz w:val="24"/>
                <w:szCs w:val="24"/>
              </w:rPr>
              <w:t>委员会、发峨哨村民委员会、甘和村民委员会、新村村民委员会</w:t>
            </w:r>
          </w:p>
        </w:tc>
      </w:tr>
      <w:tr w14:paraId="15445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14" w:type="dxa"/>
            <w:vAlign w:val="top"/>
          </w:tcPr>
          <w:p w14:paraId="1CBF4F26">
            <w:pPr>
              <w:pStyle w:val="6"/>
              <w:spacing w:before="201" w:line="220" w:lineRule="auto"/>
              <w:ind w:left="114"/>
              <w:rPr>
                <w:sz w:val="24"/>
                <w:szCs w:val="24"/>
              </w:rPr>
            </w:pPr>
            <w:r>
              <w:rPr>
                <w:spacing w:val="-2"/>
                <w:sz w:val="24"/>
                <w:szCs w:val="24"/>
              </w:rPr>
              <w:t>地理坐标</w:t>
            </w:r>
          </w:p>
        </w:tc>
        <w:tc>
          <w:tcPr>
            <w:tcW w:w="7776" w:type="dxa"/>
            <w:gridSpan w:val="6"/>
            <w:vAlign w:val="top"/>
          </w:tcPr>
          <w:p w14:paraId="49B5FEAF">
            <w:pPr>
              <w:pStyle w:val="6"/>
              <w:spacing w:before="36" w:line="224" w:lineRule="auto"/>
              <w:ind w:left="39" w:hanging="29"/>
              <w:rPr>
                <w:sz w:val="24"/>
                <w:szCs w:val="24"/>
              </w:rPr>
            </w:pPr>
            <w:r>
              <w:rPr>
                <w:spacing w:val="-14"/>
                <w:sz w:val="24"/>
                <w:szCs w:val="24"/>
              </w:rPr>
              <w:t>场址地理坐标介于东经103°29'39"～103°37'1</w:t>
            </w:r>
            <w:r>
              <w:rPr>
                <w:spacing w:val="-15"/>
                <w:sz w:val="24"/>
                <w:szCs w:val="24"/>
              </w:rPr>
              <w:t>3",北纬24°58'46"～24°52'01"</w:t>
            </w:r>
            <w:r>
              <w:rPr>
                <w:sz w:val="24"/>
                <w:szCs w:val="24"/>
              </w:rPr>
              <w:t xml:space="preserve"> </w:t>
            </w:r>
            <w:r>
              <w:rPr>
                <w:spacing w:val="32"/>
                <w:sz w:val="24"/>
                <w:szCs w:val="24"/>
              </w:rPr>
              <w:t>之间，升压站(103度29分43</w:t>
            </w:r>
            <w:r>
              <w:rPr>
                <w:spacing w:val="-49"/>
                <w:sz w:val="24"/>
                <w:szCs w:val="24"/>
              </w:rPr>
              <w:t xml:space="preserve"> </w:t>
            </w:r>
            <w:r>
              <w:rPr>
                <w:spacing w:val="32"/>
                <w:sz w:val="24"/>
                <w:szCs w:val="24"/>
              </w:rPr>
              <w:t>.</w:t>
            </w:r>
            <w:r>
              <w:rPr>
                <w:spacing w:val="-70"/>
                <w:sz w:val="24"/>
                <w:szCs w:val="24"/>
              </w:rPr>
              <w:t xml:space="preserve"> </w:t>
            </w:r>
            <w:r>
              <w:rPr>
                <w:spacing w:val="32"/>
                <w:sz w:val="24"/>
                <w:szCs w:val="24"/>
              </w:rPr>
              <w:t>61712秒，24度55分0</w:t>
            </w:r>
            <w:r>
              <w:rPr>
                <w:spacing w:val="-64"/>
                <w:sz w:val="24"/>
                <w:szCs w:val="24"/>
              </w:rPr>
              <w:t xml:space="preserve"> </w:t>
            </w:r>
            <w:r>
              <w:rPr>
                <w:spacing w:val="32"/>
                <w:sz w:val="24"/>
                <w:szCs w:val="24"/>
              </w:rPr>
              <w:t>.</w:t>
            </w:r>
            <w:r>
              <w:rPr>
                <w:spacing w:val="-67"/>
                <w:sz w:val="24"/>
                <w:szCs w:val="24"/>
              </w:rPr>
              <w:t xml:space="preserve"> </w:t>
            </w:r>
            <w:r>
              <w:rPr>
                <w:spacing w:val="32"/>
                <w:sz w:val="24"/>
                <w:szCs w:val="24"/>
              </w:rPr>
              <w:t>34767秒)</w:t>
            </w:r>
          </w:p>
        </w:tc>
      </w:tr>
      <w:tr w14:paraId="5F0B0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7" w:hRule="atLeast"/>
        </w:trPr>
        <w:tc>
          <w:tcPr>
            <w:tcW w:w="1214" w:type="dxa"/>
            <w:vAlign w:val="top"/>
          </w:tcPr>
          <w:p w14:paraId="4022FDBE">
            <w:pPr>
              <w:spacing w:line="243" w:lineRule="auto"/>
              <w:rPr>
                <w:rFonts w:ascii="Arial"/>
                <w:sz w:val="21"/>
              </w:rPr>
            </w:pPr>
          </w:p>
          <w:p w14:paraId="2AB1F920">
            <w:pPr>
              <w:spacing w:line="243" w:lineRule="auto"/>
              <w:rPr>
                <w:rFonts w:ascii="Arial"/>
                <w:sz w:val="21"/>
              </w:rPr>
            </w:pPr>
          </w:p>
          <w:p w14:paraId="0B602373">
            <w:pPr>
              <w:spacing w:line="243" w:lineRule="auto"/>
              <w:rPr>
                <w:rFonts w:ascii="Arial"/>
                <w:sz w:val="21"/>
              </w:rPr>
            </w:pPr>
          </w:p>
          <w:p w14:paraId="3C8040D9">
            <w:pPr>
              <w:spacing w:line="243" w:lineRule="auto"/>
              <w:rPr>
                <w:rFonts w:ascii="Arial"/>
                <w:sz w:val="21"/>
              </w:rPr>
            </w:pPr>
          </w:p>
          <w:p w14:paraId="333C35B9">
            <w:pPr>
              <w:spacing w:line="244" w:lineRule="auto"/>
              <w:rPr>
                <w:rFonts w:ascii="Arial"/>
                <w:sz w:val="21"/>
              </w:rPr>
            </w:pPr>
          </w:p>
          <w:p w14:paraId="4187C19B">
            <w:pPr>
              <w:pStyle w:val="6"/>
              <w:spacing w:before="78"/>
              <w:ind w:left="114" w:right="83"/>
              <w:rPr>
                <w:sz w:val="24"/>
                <w:szCs w:val="24"/>
              </w:rPr>
            </w:pPr>
            <w:r>
              <w:rPr>
                <w:spacing w:val="11"/>
                <w:sz w:val="24"/>
                <w:szCs w:val="24"/>
              </w:rPr>
              <w:t>建设项目</w:t>
            </w:r>
            <w:r>
              <w:rPr>
                <w:sz w:val="24"/>
                <w:szCs w:val="24"/>
              </w:rPr>
              <w:t xml:space="preserve"> </w:t>
            </w:r>
            <w:r>
              <w:rPr>
                <w:spacing w:val="4"/>
                <w:sz w:val="24"/>
                <w:szCs w:val="24"/>
              </w:rPr>
              <w:t>行业类别</w:t>
            </w:r>
          </w:p>
        </w:tc>
        <w:tc>
          <w:tcPr>
            <w:tcW w:w="3037" w:type="dxa"/>
            <w:gridSpan w:val="2"/>
            <w:vAlign w:val="top"/>
          </w:tcPr>
          <w:p w14:paraId="77C5EFD3">
            <w:pPr>
              <w:pStyle w:val="6"/>
              <w:spacing w:before="51" w:line="219" w:lineRule="auto"/>
              <w:ind w:left="70"/>
              <w:rPr>
                <w:sz w:val="24"/>
                <w:szCs w:val="24"/>
              </w:rPr>
            </w:pPr>
            <w:r>
              <w:rPr>
                <w:spacing w:val="-1"/>
                <w:sz w:val="24"/>
                <w:szCs w:val="24"/>
              </w:rPr>
              <w:t>四十一、电力、热力生产和</w:t>
            </w:r>
          </w:p>
          <w:p w14:paraId="5A8C4045">
            <w:pPr>
              <w:pStyle w:val="6"/>
              <w:spacing w:before="13" w:line="219" w:lineRule="auto"/>
              <w:ind w:left="370"/>
              <w:rPr>
                <w:sz w:val="24"/>
                <w:szCs w:val="24"/>
              </w:rPr>
            </w:pPr>
            <w:r>
              <w:rPr>
                <w:spacing w:val="-9"/>
                <w:sz w:val="24"/>
                <w:szCs w:val="24"/>
              </w:rPr>
              <w:t>供应业—90太阳能发电</w:t>
            </w:r>
          </w:p>
          <w:p w14:paraId="55853B33">
            <w:pPr>
              <w:pStyle w:val="6"/>
              <w:spacing w:before="35" w:line="219" w:lineRule="auto"/>
              <w:ind w:left="130"/>
              <w:rPr>
                <w:sz w:val="24"/>
                <w:szCs w:val="24"/>
              </w:rPr>
            </w:pPr>
            <w:r>
              <w:rPr>
                <w:spacing w:val="-1"/>
                <w:sz w:val="24"/>
                <w:szCs w:val="24"/>
              </w:rPr>
              <w:t>4416(不含居民家用光伏发</w:t>
            </w:r>
          </w:p>
          <w:p w14:paraId="5C651D1D">
            <w:pPr>
              <w:pStyle w:val="6"/>
              <w:spacing w:before="15" w:line="219" w:lineRule="auto"/>
              <w:ind w:left="250"/>
              <w:rPr>
                <w:sz w:val="24"/>
                <w:szCs w:val="24"/>
              </w:rPr>
            </w:pPr>
            <w:r>
              <w:rPr>
                <w:spacing w:val="1"/>
                <w:sz w:val="24"/>
                <w:szCs w:val="24"/>
              </w:rPr>
              <w:t>电)一地面集中光伏电站</w:t>
            </w:r>
          </w:p>
          <w:p w14:paraId="70332096">
            <w:pPr>
              <w:pStyle w:val="6"/>
              <w:spacing w:before="43" w:line="216" w:lineRule="auto"/>
              <w:ind w:left="250"/>
              <w:rPr>
                <w:sz w:val="24"/>
                <w:szCs w:val="24"/>
              </w:rPr>
            </w:pPr>
            <w:r>
              <w:rPr>
                <w:spacing w:val="5"/>
                <w:sz w:val="24"/>
                <w:szCs w:val="24"/>
              </w:rPr>
              <w:t>(总容量大于6000千瓦),</w:t>
            </w:r>
          </w:p>
          <w:p w14:paraId="1069CA9D">
            <w:pPr>
              <w:pStyle w:val="6"/>
              <w:spacing w:before="43" w:line="219" w:lineRule="auto"/>
              <w:ind w:left="191"/>
              <w:rPr>
                <w:sz w:val="24"/>
                <w:szCs w:val="24"/>
              </w:rPr>
            </w:pPr>
            <w:r>
              <w:rPr>
                <w:spacing w:val="1"/>
                <w:sz w:val="24"/>
                <w:szCs w:val="24"/>
              </w:rPr>
              <w:t>且接入电压等级不小于10</w:t>
            </w:r>
          </w:p>
          <w:p w14:paraId="03524AE0">
            <w:pPr>
              <w:pStyle w:val="6"/>
              <w:spacing w:before="14" w:line="219" w:lineRule="auto"/>
              <w:ind w:left="1030"/>
              <w:rPr>
                <w:sz w:val="24"/>
                <w:szCs w:val="24"/>
              </w:rPr>
            </w:pPr>
            <w:r>
              <w:rPr>
                <w:spacing w:val="10"/>
                <w:sz w:val="24"/>
                <w:szCs w:val="24"/>
              </w:rPr>
              <w:t>千伏)”;</w:t>
            </w:r>
          </w:p>
          <w:p w14:paraId="179DBA80">
            <w:pPr>
              <w:pStyle w:val="6"/>
              <w:spacing w:before="37" w:line="219" w:lineRule="auto"/>
              <w:ind w:left="191"/>
              <w:rPr>
                <w:sz w:val="24"/>
                <w:szCs w:val="24"/>
              </w:rPr>
            </w:pPr>
            <w:r>
              <w:rPr>
                <w:spacing w:val="-8"/>
                <w:sz w:val="24"/>
                <w:szCs w:val="24"/>
              </w:rPr>
              <w:t>五十五、核与辐射—161输</w:t>
            </w:r>
          </w:p>
          <w:p w14:paraId="0C5C2E0F">
            <w:pPr>
              <w:pStyle w:val="6"/>
              <w:spacing w:before="23" w:line="219" w:lineRule="auto"/>
              <w:ind w:left="191"/>
              <w:rPr>
                <w:sz w:val="24"/>
                <w:szCs w:val="24"/>
              </w:rPr>
            </w:pPr>
            <w:r>
              <w:rPr>
                <w:sz w:val="24"/>
                <w:szCs w:val="24"/>
              </w:rPr>
              <w:t>变电工程一其他(100千伏</w:t>
            </w:r>
          </w:p>
          <w:p w14:paraId="4FCA3854">
            <w:pPr>
              <w:pStyle w:val="6"/>
              <w:spacing w:before="17" w:line="204" w:lineRule="auto"/>
              <w:ind w:left="910"/>
              <w:rPr>
                <w:sz w:val="24"/>
                <w:szCs w:val="24"/>
              </w:rPr>
            </w:pPr>
            <w:r>
              <w:rPr>
                <w:spacing w:val="-1"/>
                <w:sz w:val="24"/>
                <w:szCs w:val="24"/>
              </w:rPr>
              <w:t>以下除外)。</w:t>
            </w:r>
          </w:p>
        </w:tc>
        <w:tc>
          <w:tcPr>
            <w:tcW w:w="2227" w:type="dxa"/>
            <w:gridSpan w:val="2"/>
            <w:vAlign w:val="top"/>
          </w:tcPr>
          <w:p w14:paraId="02E7C589">
            <w:pPr>
              <w:spacing w:line="243" w:lineRule="auto"/>
              <w:rPr>
                <w:rFonts w:ascii="Arial"/>
                <w:sz w:val="21"/>
              </w:rPr>
            </w:pPr>
          </w:p>
          <w:p w14:paraId="10C64F5B">
            <w:pPr>
              <w:spacing w:line="243" w:lineRule="auto"/>
              <w:rPr>
                <w:rFonts w:ascii="Arial"/>
                <w:sz w:val="21"/>
              </w:rPr>
            </w:pPr>
          </w:p>
          <w:p w14:paraId="4DBD222B">
            <w:pPr>
              <w:spacing w:line="243" w:lineRule="auto"/>
              <w:rPr>
                <w:rFonts w:ascii="Arial"/>
                <w:sz w:val="21"/>
              </w:rPr>
            </w:pPr>
          </w:p>
          <w:p w14:paraId="2F219066">
            <w:pPr>
              <w:spacing w:line="244" w:lineRule="auto"/>
              <w:rPr>
                <w:rFonts w:ascii="Arial"/>
                <w:sz w:val="21"/>
              </w:rPr>
            </w:pPr>
          </w:p>
          <w:p w14:paraId="267259C3">
            <w:pPr>
              <w:spacing w:line="244" w:lineRule="auto"/>
              <w:rPr>
                <w:rFonts w:ascii="Arial"/>
                <w:sz w:val="21"/>
              </w:rPr>
            </w:pPr>
          </w:p>
          <w:p w14:paraId="1A415E2F">
            <w:pPr>
              <w:pStyle w:val="6"/>
              <w:spacing w:before="78" w:line="220" w:lineRule="auto"/>
              <w:ind w:left="263"/>
              <w:rPr>
                <w:sz w:val="24"/>
                <w:szCs w:val="24"/>
              </w:rPr>
            </w:pPr>
            <w:r>
              <w:rPr>
                <w:spacing w:val="1"/>
                <w:sz w:val="24"/>
                <w:szCs w:val="24"/>
              </w:rPr>
              <w:t>用地(用海)面积</w:t>
            </w:r>
          </w:p>
          <w:p w14:paraId="6AA4CAAB">
            <w:pPr>
              <w:pStyle w:val="6"/>
              <w:spacing w:before="33" w:line="220" w:lineRule="auto"/>
              <w:ind w:left="263"/>
              <w:rPr>
                <w:sz w:val="24"/>
                <w:szCs w:val="24"/>
              </w:rPr>
            </w:pPr>
            <w:r>
              <w:rPr>
                <w:spacing w:val="19"/>
                <w:sz w:val="24"/>
                <w:szCs w:val="24"/>
              </w:rPr>
              <w:t>(m²)/长度(</w:t>
            </w:r>
            <w:r>
              <w:rPr>
                <w:sz w:val="24"/>
                <w:szCs w:val="24"/>
              </w:rPr>
              <w:t>km</w:t>
            </w:r>
            <w:r>
              <w:rPr>
                <w:spacing w:val="19"/>
                <w:sz w:val="24"/>
                <w:szCs w:val="24"/>
              </w:rPr>
              <w:t>)</w:t>
            </w:r>
          </w:p>
        </w:tc>
        <w:tc>
          <w:tcPr>
            <w:tcW w:w="2512" w:type="dxa"/>
            <w:gridSpan w:val="2"/>
            <w:vAlign w:val="top"/>
          </w:tcPr>
          <w:p w14:paraId="43191E17">
            <w:pPr>
              <w:spacing w:line="277" w:lineRule="auto"/>
              <w:rPr>
                <w:rFonts w:ascii="Arial"/>
                <w:sz w:val="21"/>
              </w:rPr>
            </w:pPr>
          </w:p>
          <w:p w14:paraId="146DAAFD">
            <w:pPr>
              <w:spacing w:line="277" w:lineRule="auto"/>
              <w:rPr>
                <w:rFonts w:ascii="Arial"/>
                <w:sz w:val="21"/>
              </w:rPr>
            </w:pPr>
          </w:p>
          <w:p w14:paraId="08AA602B">
            <w:pPr>
              <w:spacing w:line="278" w:lineRule="auto"/>
              <w:rPr>
                <w:rFonts w:ascii="Arial"/>
                <w:sz w:val="21"/>
              </w:rPr>
            </w:pPr>
          </w:p>
          <w:p w14:paraId="62C63F88">
            <w:pPr>
              <w:spacing w:line="278" w:lineRule="auto"/>
              <w:rPr>
                <w:rFonts w:ascii="Arial"/>
                <w:sz w:val="21"/>
              </w:rPr>
            </w:pPr>
          </w:p>
          <w:p w14:paraId="371B5B55">
            <w:pPr>
              <w:spacing w:line="278" w:lineRule="auto"/>
              <w:rPr>
                <w:rFonts w:ascii="Arial"/>
                <w:sz w:val="21"/>
              </w:rPr>
            </w:pPr>
          </w:p>
          <w:p w14:paraId="013682FC">
            <w:pPr>
              <w:pStyle w:val="6"/>
              <w:spacing w:before="78"/>
              <w:ind w:left="826"/>
              <w:rPr>
                <w:sz w:val="24"/>
                <w:szCs w:val="24"/>
              </w:rPr>
            </w:pPr>
            <w:r>
              <w:rPr>
                <w:spacing w:val="-4"/>
                <w:sz w:val="24"/>
                <w:szCs w:val="24"/>
              </w:rPr>
              <w:t>1100000</w:t>
            </w:r>
          </w:p>
        </w:tc>
      </w:tr>
      <w:tr w14:paraId="761EF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1214" w:type="dxa"/>
            <w:vAlign w:val="top"/>
          </w:tcPr>
          <w:p w14:paraId="1E6461BF">
            <w:pPr>
              <w:spacing w:line="247" w:lineRule="auto"/>
              <w:rPr>
                <w:rFonts w:ascii="Arial"/>
                <w:sz w:val="21"/>
              </w:rPr>
            </w:pPr>
          </w:p>
          <w:p w14:paraId="48C9EB46">
            <w:pPr>
              <w:spacing w:line="248" w:lineRule="auto"/>
              <w:rPr>
                <w:rFonts w:ascii="Arial"/>
                <w:sz w:val="21"/>
              </w:rPr>
            </w:pPr>
          </w:p>
          <w:p w14:paraId="67C7F8D0">
            <w:pPr>
              <w:spacing w:line="248" w:lineRule="auto"/>
              <w:rPr>
                <w:rFonts w:ascii="Arial"/>
                <w:sz w:val="21"/>
              </w:rPr>
            </w:pPr>
          </w:p>
          <w:p w14:paraId="23DFDEE6">
            <w:pPr>
              <w:pStyle w:val="6"/>
              <w:spacing w:before="78" w:line="220" w:lineRule="auto"/>
              <w:ind w:left="114"/>
              <w:rPr>
                <w:sz w:val="24"/>
                <w:szCs w:val="24"/>
              </w:rPr>
            </w:pPr>
            <w:r>
              <w:rPr>
                <w:spacing w:val="6"/>
                <w:sz w:val="24"/>
                <w:szCs w:val="24"/>
              </w:rPr>
              <w:t>建设性质</w:t>
            </w:r>
          </w:p>
        </w:tc>
        <w:tc>
          <w:tcPr>
            <w:tcW w:w="3037" w:type="dxa"/>
            <w:gridSpan w:val="2"/>
            <w:vAlign w:val="top"/>
          </w:tcPr>
          <w:p w14:paraId="173EF58C">
            <w:pPr>
              <w:spacing w:line="286" w:lineRule="auto"/>
              <w:rPr>
                <w:rFonts w:ascii="Arial"/>
                <w:sz w:val="21"/>
              </w:rPr>
            </w:pPr>
          </w:p>
          <w:p w14:paraId="652325C8">
            <w:pPr>
              <w:pStyle w:val="6"/>
              <w:spacing w:before="78" w:line="238" w:lineRule="auto"/>
              <w:ind w:left="50" w:right="1485" w:firstLine="10"/>
              <w:rPr>
                <w:sz w:val="24"/>
                <w:szCs w:val="24"/>
              </w:rPr>
            </w:pPr>
            <w:r>
              <w:rPr>
                <w:rFonts w:ascii="MS Gothic" w:hAnsi="MS Gothic" w:eastAsia="MS Gothic" w:cs="MS Gothic"/>
                <w:spacing w:val="5"/>
                <w:sz w:val="24"/>
                <w:szCs w:val="24"/>
              </w:rPr>
              <w:t>☑</w:t>
            </w:r>
            <w:r>
              <w:rPr>
                <w:spacing w:val="5"/>
                <w:sz w:val="24"/>
                <w:szCs w:val="24"/>
              </w:rPr>
              <w:t>新建(迁建)</w:t>
            </w:r>
            <w:r>
              <w:rPr>
                <w:spacing w:val="4"/>
                <w:sz w:val="24"/>
                <w:szCs w:val="24"/>
              </w:rPr>
              <w:t xml:space="preserve"> </w:t>
            </w:r>
            <w:r>
              <w:rPr>
                <w:spacing w:val="3"/>
                <w:sz w:val="24"/>
                <w:szCs w:val="24"/>
              </w:rPr>
              <w:t>□改建</w:t>
            </w:r>
          </w:p>
          <w:p w14:paraId="7C8599D3">
            <w:pPr>
              <w:pStyle w:val="6"/>
              <w:spacing w:line="220" w:lineRule="auto"/>
              <w:ind w:left="50"/>
              <w:rPr>
                <w:sz w:val="24"/>
                <w:szCs w:val="24"/>
              </w:rPr>
            </w:pPr>
            <w:r>
              <w:rPr>
                <w:spacing w:val="3"/>
                <w:sz w:val="24"/>
                <w:szCs w:val="24"/>
              </w:rPr>
              <w:t>□扩建</w:t>
            </w:r>
          </w:p>
          <w:p w14:paraId="6B02CD46">
            <w:pPr>
              <w:pStyle w:val="6"/>
              <w:spacing w:before="23" w:line="219" w:lineRule="auto"/>
              <w:ind w:left="40"/>
              <w:rPr>
                <w:sz w:val="24"/>
                <w:szCs w:val="24"/>
              </w:rPr>
            </w:pPr>
            <w:r>
              <w:rPr>
                <w:spacing w:val="1"/>
                <w:sz w:val="24"/>
                <w:szCs w:val="24"/>
              </w:rPr>
              <w:t>□技术改造</w:t>
            </w:r>
          </w:p>
        </w:tc>
        <w:tc>
          <w:tcPr>
            <w:tcW w:w="2227" w:type="dxa"/>
            <w:gridSpan w:val="2"/>
            <w:vAlign w:val="top"/>
          </w:tcPr>
          <w:p w14:paraId="5EAA6DEE">
            <w:pPr>
              <w:spacing w:line="296" w:lineRule="auto"/>
              <w:rPr>
                <w:rFonts w:ascii="Arial"/>
                <w:sz w:val="21"/>
              </w:rPr>
            </w:pPr>
          </w:p>
          <w:p w14:paraId="01227C55">
            <w:pPr>
              <w:spacing w:line="297" w:lineRule="auto"/>
              <w:rPr>
                <w:rFonts w:ascii="Arial"/>
                <w:sz w:val="21"/>
              </w:rPr>
            </w:pPr>
          </w:p>
          <w:p w14:paraId="6586B0BA">
            <w:pPr>
              <w:pStyle w:val="6"/>
              <w:spacing w:before="78"/>
              <w:ind w:left="624" w:right="587"/>
              <w:rPr>
                <w:sz w:val="24"/>
                <w:szCs w:val="24"/>
              </w:rPr>
            </w:pPr>
            <w:r>
              <w:rPr>
                <w:spacing w:val="11"/>
                <w:sz w:val="24"/>
                <w:szCs w:val="24"/>
              </w:rPr>
              <w:t>建设项目</w:t>
            </w:r>
            <w:r>
              <w:rPr>
                <w:sz w:val="24"/>
                <w:szCs w:val="24"/>
              </w:rPr>
              <w:t xml:space="preserve"> </w:t>
            </w:r>
            <w:r>
              <w:rPr>
                <w:spacing w:val="2"/>
                <w:sz w:val="24"/>
                <w:szCs w:val="24"/>
              </w:rPr>
              <w:t>申报情形</w:t>
            </w:r>
          </w:p>
        </w:tc>
        <w:tc>
          <w:tcPr>
            <w:tcW w:w="2512" w:type="dxa"/>
            <w:gridSpan w:val="2"/>
            <w:vAlign w:val="top"/>
          </w:tcPr>
          <w:p w14:paraId="138B5BC3">
            <w:pPr>
              <w:pStyle w:val="6"/>
              <w:spacing w:before="55" w:line="219" w:lineRule="auto"/>
              <w:ind w:left="77"/>
              <w:rPr>
                <w:sz w:val="24"/>
                <w:szCs w:val="24"/>
              </w:rPr>
            </w:pPr>
            <w:r>
              <w:rPr>
                <w:rFonts w:ascii="MS Gothic" w:hAnsi="MS Gothic" w:eastAsia="MS Gothic" w:cs="MS Gothic"/>
                <w:spacing w:val="4"/>
                <w:sz w:val="24"/>
                <w:szCs w:val="24"/>
              </w:rPr>
              <w:t>☑</w:t>
            </w:r>
            <w:r>
              <w:rPr>
                <w:spacing w:val="4"/>
                <w:sz w:val="24"/>
                <w:szCs w:val="24"/>
              </w:rPr>
              <w:t>首次申报项目</w:t>
            </w:r>
          </w:p>
          <w:p w14:paraId="1B279832">
            <w:pPr>
              <w:pStyle w:val="6"/>
              <w:spacing w:before="23" w:line="234" w:lineRule="auto"/>
              <w:ind w:left="67" w:right="43" w:hanging="20"/>
              <w:rPr>
                <w:sz w:val="24"/>
                <w:szCs w:val="24"/>
              </w:rPr>
            </w:pPr>
            <w:r>
              <w:rPr>
                <w:spacing w:val="1"/>
                <w:sz w:val="24"/>
                <w:szCs w:val="24"/>
              </w:rPr>
              <w:t>□不予批准后再次申报</w:t>
            </w:r>
            <w:r>
              <w:rPr>
                <w:sz w:val="24"/>
                <w:szCs w:val="24"/>
              </w:rPr>
              <w:t xml:space="preserve"> </w:t>
            </w:r>
            <w:r>
              <w:rPr>
                <w:spacing w:val="-7"/>
                <w:sz w:val="24"/>
                <w:szCs w:val="24"/>
              </w:rPr>
              <w:t>项 目</w:t>
            </w:r>
          </w:p>
          <w:p w14:paraId="74D39407">
            <w:pPr>
              <w:pStyle w:val="6"/>
              <w:spacing w:before="13" w:line="219" w:lineRule="auto"/>
              <w:ind w:left="47"/>
              <w:rPr>
                <w:sz w:val="24"/>
                <w:szCs w:val="24"/>
              </w:rPr>
            </w:pPr>
            <w:r>
              <w:rPr>
                <w:spacing w:val="4"/>
                <w:sz w:val="24"/>
                <w:szCs w:val="24"/>
              </w:rPr>
              <w:t>□超五年重新审核项目</w:t>
            </w:r>
          </w:p>
          <w:p w14:paraId="7B54CAB8">
            <w:pPr>
              <w:pStyle w:val="6"/>
              <w:spacing w:before="23" w:line="221" w:lineRule="auto"/>
              <w:ind w:left="96" w:right="40" w:hanging="49"/>
              <w:rPr>
                <w:sz w:val="24"/>
                <w:szCs w:val="24"/>
              </w:rPr>
            </w:pPr>
            <w:r>
              <w:rPr>
                <w:spacing w:val="1"/>
                <w:sz w:val="24"/>
                <w:szCs w:val="24"/>
              </w:rPr>
              <w:t>□重大变动重新报批项</w:t>
            </w:r>
            <w:r>
              <w:rPr>
                <w:spacing w:val="3"/>
                <w:sz w:val="24"/>
                <w:szCs w:val="24"/>
              </w:rPr>
              <w:t xml:space="preserve"> </w:t>
            </w:r>
            <w:r>
              <w:rPr>
                <w:sz w:val="24"/>
                <w:szCs w:val="24"/>
              </w:rPr>
              <w:t>目</w:t>
            </w:r>
          </w:p>
        </w:tc>
      </w:tr>
      <w:tr w14:paraId="64A30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1214" w:type="dxa"/>
            <w:vAlign w:val="top"/>
          </w:tcPr>
          <w:p w14:paraId="0B17F78A">
            <w:pPr>
              <w:pStyle w:val="6"/>
              <w:tabs>
                <w:tab w:val="left" w:pos="233"/>
              </w:tabs>
              <w:spacing w:before="68" w:line="227" w:lineRule="auto"/>
              <w:ind w:left="114" w:right="117"/>
              <w:jc w:val="both"/>
              <w:rPr>
                <w:sz w:val="24"/>
                <w:szCs w:val="24"/>
              </w:rPr>
            </w:pPr>
            <w:r>
              <w:rPr>
                <w:spacing w:val="2"/>
                <w:sz w:val="24"/>
                <w:szCs w:val="24"/>
              </w:rPr>
              <w:t>项目审批</w:t>
            </w:r>
            <w:r>
              <w:rPr>
                <w:sz w:val="24"/>
                <w:szCs w:val="24"/>
              </w:rPr>
              <w:t xml:space="preserve"> </w:t>
            </w:r>
            <w:r>
              <w:rPr>
                <w:spacing w:val="2"/>
                <w:sz w:val="24"/>
                <w:szCs w:val="24"/>
              </w:rPr>
              <w:t>(核准/备</w:t>
            </w:r>
            <w:r>
              <w:rPr>
                <w:sz w:val="24"/>
                <w:szCs w:val="24"/>
              </w:rPr>
              <w:t xml:space="preserve"> </w:t>
            </w:r>
            <w:r>
              <w:rPr>
                <w:spacing w:val="21"/>
                <w:sz w:val="24"/>
                <w:szCs w:val="24"/>
              </w:rPr>
              <w:t>案)部门</w:t>
            </w:r>
            <w:r>
              <w:rPr>
                <w:spacing w:val="2"/>
                <w:sz w:val="24"/>
                <w:szCs w:val="24"/>
              </w:rPr>
              <w:t xml:space="preserve"> </w:t>
            </w:r>
            <w:r>
              <w:rPr>
                <w:sz w:val="24"/>
                <w:szCs w:val="24"/>
              </w:rPr>
              <w:tab/>
            </w:r>
            <w:r>
              <w:rPr>
                <w:spacing w:val="13"/>
                <w:sz w:val="24"/>
                <w:szCs w:val="24"/>
              </w:rPr>
              <w:t>(选填)</w:t>
            </w:r>
          </w:p>
        </w:tc>
        <w:tc>
          <w:tcPr>
            <w:tcW w:w="3037" w:type="dxa"/>
            <w:gridSpan w:val="2"/>
            <w:vAlign w:val="top"/>
          </w:tcPr>
          <w:p w14:paraId="7476E2FF">
            <w:pPr>
              <w:pStyle w:val="6"/>
              <w:spacing w:before="288" w:line="247" w:lineRule="auto"/>
              <w:ind w:left="1150" w:right="776" w:hanging="360"/>
              <w:rPr>
                <w:sz w:val="24"/>
                <w:szCs w:val="24"/>
              </w:rPr>
            </w:pPr>
            <w:r>
              <w:rPr>
                <w:spacing w:val="3"/>
                <w:sz w:val="24"/>
                <w:szCs w:val="24"/>
              </w:rPr>
              <w:t>陆良县发展和</w:t>
            </w:r>
            <w:r>
              <w:rPr>
                <w:sz w:val="24"/>
                <w:szCs w:val="24"/>
              </w:rPr>
              <w:t xml:space="preserve"> </w:t>
            </w:r>
            <w:r>
              <w:rPr>
                <w:spacing w:val="7"/>
                <w:sz w:val="24"/>
                <w:szCs w:val="24"/>
              </w:rPr>
              <w:t>改革局</w:t>
            </w:r>
          </w:p>
        </w:tc>
        <w:tc>
          <w:tcPr>
            <w:tcW w:w="2227" w:type="dxa"/>
            <w:gridSpan w:val="2"/>
            <w:vAlign w:val="top"/>
          </w:tcPr>
          <w:p w14:paraId="69CF3A92">
            <w:pPr>
              <w:spacing w:line="297" w:lineRule="auto"/>
              <w:rPr>
                <w:rFonts w:ascii="Arial"/>
                <w:sz w:val="21"/>
              </w:rPr>
            </w:pPr>
          </w:p>
          <w:p w14:paraId="051E9864">
            <w:pPr>
              <w:pStyle w:val="6"/>
              <w:spacing w:before="78" w:line="241" w:lineRule="auto"/>
              <w:ind w:left="323" w:right="141" w:hanging="180"/>
              <w:rPr>
                <w:sz w:val="24"/>
                <w:szCs w:val="24"/>
              </w:rPr>
            </w:pPr>
            <w:r>
              <w:rPr>
                <w:spacing w:val="1"/>
                <w:sz w:val="24"/>
                <w:szCs w:val="24"/>
              </w:rPr>
              <w:t xml:space="preserve">项目审批(核准/备 </w:t>
            </w:r>
            <w:r>
              <w:rPr>
                <w:spacing w:val="6"/>
                <w:sz w:val="24"/>
                <w:szCs w:val="24"/>
              </w:rPr>
              <w:t>案)文号(选填)</w:t>
            </w:r>
          </w:p>
        </w:tc>
        <w:tc>
          <w:tcPr>
            <w:tcW w:w="2512" w:type="dxa"/>
            <w:gridSpan w:val="2"/>
            <w:vAlign w:val="top"/>
          </w:tcPr>
          <w:p w14:paraId="546D35B1">
            <w:pPr>
              <w:spacing w:line="370" w:lineRule="auto"/>
              <w:rPr>
                <w:rFonts w:ascii="Arial"/>
                <w:sz w:val="21"/>
              </w:rPr>
            </w:pPr>
          </w:p>
          <w:p w14:paraId="0817F488">
            <w:pPr>
              <w:pStyle w:val="6"/>
              <w:spacing w:before="78" w:line="223" w:lineRule="auto"/>
              <w:jc w:val="right"/>
              <w:rPr>
                <w:sz w:val="24"/>
                <w:szCs w:val="24"/>
              </w:rPr>
            </w:pPr>
            <w:r>
              <w:rPr>
                <w:spacing w:val="-2"/>
                <w:sz w:val="24"/>
                <w:szCs w:val="24"/>
              </w:rPr>
              <w:t>2408-530322-04-01-222</w:t>
            </w:r>
          </w:p>
          <w:p w14:paraId="259A3CCF">
            <w:pPr>
              <w:pStyle w:val="6"/>
              <w:spacing w:line="239" w:lineRule="auto"/>
              <w:ind w:left="1066"/>
              <w:rPr>
                <w:sz w:val="24"/>
                <w:szCs w:val="24"/>
              </w:rPr>
            </w:pPr>
            <w:r>
              <w:rPr>
                <w:spacing w:val="-4"/>
                <w:sz w:val="24"/>
                <w:szCs w:val="24"/>
              </w:rPr>
              <w:t>381</w:t>
            </w:r>
          </w:p>
        </w:tc>
      </w:tr>
      <w:tr w14:paraId="7C056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1214" w:type="dxa"/>
            <w:vAlign w:val="top"/>
          </w:tcPr>
          <w:p w14:paraId="021778A7">
            <w:pPr>
              <w:pStyle w:val="6"/>
              <w:spacing w:before="68" w:line="220" w:lineRule="auto"/>
              <w:ind w:left="55"/>
              <w:rPr>
                <w:sz w:val="24"/>
                <w:szCs w:val="24"/>
              </w:rPr>
            </w:pPr>
            <w:r>
              <w:rPr>
                <w:spacing w:val="2"/>
                <w:sz w:val="24"/>
                <w:szCs w:val="24"/>
              </w:rPr>
              <w:t>总投资(万</w:t>
            </w:r>
          </w:p>
          <w:p w14:paraId="7C5FB0F5">
            <w:pPr>
              <w:pStyle w:val="6"/>
              <w:spacing w:before="14" w:line="201" w:lineRule="auto"/>
              <w:ind w:left="414"/>
              <w:rPr>
                <w:sz w:val="24"/>
                <w:szCs w:val="24"/>
              </w:rPr>
            </w:pPr>
            <w:r>
              <w:rPr>
                <w:spacing w:val="-6"/>
                <w:sz w:val="24"/>
                <w:szCs w:val="24"/>
              </w:rPr>
              <w:t>元</w:t>
            </w:r>
            <w:r>
              <w:rPr>
                <w:spacing w:val="-46"/>
                <w:sz w:val="24"/>
                <w:szCs w:val="24"/>
              </w:rPr>
              <w:t xml:space="preserve"> </w:t>
            </w:r>
            <w:r>
              <w:rPr>
                <w:spacing w:val="-6"/>
                <w:sz w:val="24"/>
                <w:szCs w:val="24"/>
              </w:rPr>
              <w:t>)</w:t>
            </w:r>
          </w:p>
        </w:tc>
        <w:tc>
          <w:tcPr>
            <w:tcW w:w="3037" w:type="dxa"/>
            <w:gridSpan w:val="2"/>
            <w:vAlign w:val="top"/>
          </w:tcPr>
          <w:p w14:paraId="34E24E33">
            <w:pPr>
              <w:pStyle w:val="6"/>
              <w:spacing w:before="231"/>
              <w:ind w:left="1210"/>
              <w:rPr>
                <w:sz w:val="24"/>
                <w:szCs w:val="24"/>
              </w:rPr>
            </w:pPr>
            <w:r>
              <w:rPr>
                <w:spacing w:val="-2"/>
                <w:sz w:val="24"/>
                <w:szCs w:val="24"/>
              </w:rPr>
              <w:t>20000</w:t>
            </w:r>
          </w:p>
        </w:tc>
        <w:tc>
          <w:tcPr>
            <w:tcW w:w="2227" w:type="dxa"/>
            <w:gridSpan w:val="2"/>
            <w:vAlign w:val="top"/>
          </w:tcPr>
          <w:p w14:paraId="30B687F0">
            <w:pPr>
              <w:pStyle w:val="6"/>
              <w:spacing w:before="208" w:line="220" w:lineRule="auto"/>
              <w:ind w:left="263"/>
              <w:rPr>
                <w:sz w:val="24"/>
                <w:szCs w:val="24"/>
              </w:rPr>
            </w:pPr>
            <w:r>
              <w:rPr>
                <w:spacing w:val="6"/>
                <w:sz w:val="24"/>
                <w:szCs w:val="24"/>
              </w:rPr>
              <w:t>环保投资(万元)</w:t>
            </w:r>
          </w:p>
        </w:tc>
        <w:tc>
          <w:tcPr>
            <w:tcW w:w="2512" w:type="dxa"/>
            <w:gridSpan w:val="2"/>
            <w:vAlign w:val="top"/>
          </w:tcPr>
          <w:p w14:paraId="28A9A029">
            <w:pPr>
              <w:pStyle w:val="6"/>
              <w:spacing w:before="231" w:line="239" w:lineRule="auto"/>
              <w:ind w:left="887"/>
              <w:rPr>
                <w:sz w:val="24"/>
                <w:szCs w:val="24"/>
              </w:rPr>
            </w:pPr>
            <w:r>
              <w:rPr>
                <w:spacing w:val="-2"/>
                <w:sz w:val="24"/>
                <w:szCs w:val="24"/>
              </w:rPr>
              <w:t>371.65</w:t>
            </w:r>
          </w:p>
        </w:tc>
      </w:tr>
      <w:tr w14:paraId="685CC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14" w:type="dxa"/>
            <w:vAlign w:val="top"/>
          </w:tcPr>
          <w:p w14:paraId="1122F7D1">
            <w:pPr>
              <w:pStyle w:val="6"/>
              <w:spacing w:before="57" w:line="216" w:lineRule="auto"/>
              <w:ind w:left="64" w:right="26" w:firstLine="50"/>
              <w:rPr>
                <w:sz w:val="24"/>
                <w:szCs w:val="24"/>
              </w:rPr>
            </w:pPr>
            <w:r>
              <w:rPr>
                <w:spacing w:val="4"/>
                <w:sz w:val="24"/>
                <w:szCs w:val="24"/>
              </w:rPr>
              <w:t>环保投资</w:t>
            </w:r>
            <w:r>
              <w:rPr>
                <w:sz w:val="24"/>
                <w:szCs w:val="24"/>
              </w:rPr>
              <w:t xml:space="preserve"> </w:t>
            </w:r>
            <w:r>
              <w:rPr>
                <w:spacing w:val="-21"/>
                <w:w w:val="94"/>
                <w:sz w:val="24"/>
                <w:szCs w:val="24"/>
              </w:rPr>
              <w:t>占</w:t>
            </w:r>
            <w:r>
              <w:rPr>
                <w:spacing w:val="1"/>
                <w:sz w:val="24"/>
                <w:szCs w:val="24"/>
              </w:rPr>
              <w:t xml:space="preserve"> </w:t>
            </w:r>
            <w:r>
              <w:rPr>
                <w:spacing w:val="-21"/>
                <w:w w:val="94"/>
                <w:sz w:val="24"/>
                <w:szCs w:val="24"/>
              </w:rPr>
              <w:t>比</w:t>
            </w:r>
            <w:r>
              <w:rPr>
                <w:spacing w:val="12"/>
                <w:sz w:val="24"/>
                <w:szCs w:val="24"/>
              </w:rPr>
              <w:t xml:space="preserve"> </w:t>
            </w:r>
            <w:r>
              <w:rPr>
                <w:spacing w:val="-21"/>
                <w:w w:val="94"/>
                <w:sz w:val="24"/>
                <w:szCs w:val="24"/>
              </w:rPr>
              <w:t>(</w:t>
            </w:r>
            <w:r>
              <w:rPr>
                <w:spacing w:val="-37"/>
                <w:sz w:val="24"/>
                <w:szCs w:val="24"/>
              </w:rPr>
              <w:t xml:space="preserve"> </w:t>
            </w:r>
            <w:r>
              <w:rPr>
                <w:spacing w:val="-21"/>
                <w:w w:val="94"/>
                <w:sz w:val="24"/>
                <w:szCs w:val="24"/>
              </w:rPr>
              <w:t>%</w:t>
            </w:r>
            <w:r>
              <w:rPr>
                <w:spacing w:val="-29"/>
                <w:sz w:val="24"/>
                <w:szCs w:val="24"/>
              </w:rPr>
              <w:t xml:space="preserve"> </w:t>
            </w:r>
            <w:r>
              <w:rPr>
                <w:spacing w:val="-21"/>
                <w:w w:val="94"/>
                <w:sz w:val="24"/>
                <w:szCs w:val="24"/>
              </w:rPr>
              <w:t>)</w:t>
            </w:r>
          </w:p>
        </w:tc>
        <w:tc>
          <w:tcPr>
            <w:tcW w:w="3037" w:type="dxa"/>
            <w:gridSpan w:val="2"/>
            <w:vAlign w:val="top"/>
          </w:tcPr>
          <w:p w14:paraId="3110B786">
            <w:pPr>
              <w:pStyle w:val="6"/>
              <w:spacing w:before="231" w:line="239" w:lineRule="auto"/>
              <w:ind w:left="1271"/>
              <w:rPr>
                <w:sz w:val="24"/>
                <w:szCs w:val="24"/>
              </w:rPr>
            </w:pPr>
            <w:r>
              <w:rPr>
                <w:spacing w:val="-6"/>
                <w:sz w:val="24"/>
                <w:szCs w:val="24"/>
              </w:rPr>
              <w:t>1.86</w:t>
            </w:r>
          </w:p>
        </w:tc>
        <w:tc>
          <w:tcPr>
            <w:tcW w:w="2227" w:type="dxa"/>
            <w:gridSpan w:val="2"/>
            <w:vAlign w:val="top"/>
          </w:tcPr>
          <w:p w14:paraId="4B61E493">
            <w:pPr>
              <w:pStyle w:val="6"/>
              <w:spacing w:before="208" w:line="220" w:lineRule="auto"/>
              <w:ind w:left="863"/>
              <w:rPr>
                <w:sz w:val="24"/>
                <w:szCs w:val="24"/>
              </w:rPr>
            </w:pPr>
            <w:r>
              <w:rPr>
                <w:spacing w:val="7"/>
                <w:sz w:val="24"/>
                <w:szCs w:val="24"/>
              </w:rPr>
              <w:t>工期</w:t>
            </w:r>
          </w:p>
        </w:tc>
        <w:tc>
          <w:tcPr>
            <w:tcW w:w="2512" w:type="dxa"/>
            <w:gridSpan w:val="2"/>
            <w:vAlign w:val="top"/>
          </w:tcPr>
          <w:p w14:paraId="4AA2CF6E">
            <w:pPr>
              <w:pStyle w:val="6"/>
              <w:spacing w:before="208" w:line="219" w:lineRule="auto"/>
              <w:ind w:left="887"/>
              <w:rPr>
                <w:sz w:val="24"/>
                <w:szCs w:val="24"/>
              </w:rPr>
            </w:pPr>
            <w:r>
              <w:rPr>
                <w:spacing w:val="12"/>
                <w:sz w:val="24"/>
                <w:szCs w:val="24"/>
              </w:rPr>
              <w:t>12个月</w:t>
            </w:r>
          </w:p>
        </w:tc>
      </w:tr>
      <w:tr w14:paraId="76F9C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214" w:type="dxa"/>
            <w:vAlign w:val="top"/>
          </w:tcPr>
          <w:p w14:paraId="5BDAF0C8">
            <w:pPr>
              <w:pStyle w:val="6"/>
              <w:spacing w:before="69" w:line="220" w:lineRule="auto"/>
              <w:ind w:left="114"/>
              <w:rPr>
                <w:sz w:val="24"/>
                <w:szCs w:val="24"/>
              </w:rPr>
            </w:pPr>
            <w:r>
              <w:rPr>
                <w:spacing w:val="3"/>
                <w:sz w:val="24"/>
                <w:szCs w:val="24"/>
              </w:rPr>
              <w:t>是否开工</w:t>
            </w:r>
          </w:p>
          <w:p w14:paraId="379E34A7">
            <w:pPr>
              <w:pStyle w:val="6"/>
              <w:spacing w:before="4" w:line="200" w:lineRule="auto"/>
              <w:ind w:left="354"/>
              <w:rPr>
                <w:sz w:val="24"/>
                <w:szCs w:val="24"/>
              </w:rPr>
            </w:pPr>
            <w:r>
              <w:rPr>
                <w:spacing w:val="5"/>
                <w:sz w:val="24"/>
                <w:szCs w:val="24"/>
              </w:rPr>
              <w:t>建设</w:t>
            </w:r>
          </w:p>
        </w:tc>
        <w:tc>
          <w:tcPr>
            <w:tcW w:w="7776" w:type="dxa"/>
            <w:gridSpan w:val="6"/>
            <w:vAlign w:val="top"/>
          </w:tcPr>
          <w:p w14:paraId="348522D9">
            <w:pPr>
              <w:pStyle w:val="6"/>
              <w:spacing w:before="89" w:line="204" w:lineRule="auto"/>
              <w:ind w:left="171" w:right="6875" w:firstLine="10"/>
              <w:rPr>
                <w:sz w:val="24"/>
                <w:szCs w:val="24"/>
              </w:rPr>
            </w:pPr>
            <w:r>
              <w:rPr>
                <w:rFonts w:ascii="MS Gothic" w:hAnsi="MS Gothic" w:eastAsia="MS Gothic" w:cs="MS Gothic"/>
                <w:spacing w:val="-10"/>
                <w:sz w:val="24"/>
                <w:szCs w:val="24"/>
              </w:rPr>
              <w:t>☑</w:t>
            </w:r>
            <w:r>
              <w:rPr>
                <w:spacing w:val="-10"/>
                <w:sz w:val="24"/>
                <w:szCs w:val="24"/>
              </w:rPr>
              <w:t>否</w:t>
            </w:r>
            <w:r>
              <w:rPr>
                <w:sz w:val="24"/>
                <w:szCs w:val="24"/>
              </w:rPr>
              <w:t xml:space="preserve">   </w:t>
            </w:r>
            <w:r>
              <w:rPr>
                <w:spacing w:val="-1"/>
                <w:sz w:val="24"/>
                <w:szCs w:val="24"/>
              </w:rPr>
              <w:t>□是：</w:t>
            </w:r>
          </w:p>
        </w:tc>
      </w:tr>
      <w:tr w14:paraId="163D1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214" w:type="dxa"/>
            <w:vMerge w:val="restart"/>
            <w:tcBorders>
              <w:bottom w:val="nil"/>
            </w:tcBorders>
            <w:vAlign w:val="top"/>
          </w:tcPr>
          <w:p w14:paraId="32DB600B">
            <w:pPr>
              <w:pStyle w:val="6"/>
              <w:spacing w:before="306" w:line="218" w:lineRule="auto"/>
              <w:ind w:left="114"/>
              <w:rPr>
                <w:sz w:val="24"/>
                <w:szCs w:val="24"/>
              </w:rPr>
            </w:pPr>
            <w:r>
              <w:rPr>
                <w:spacing w:val="2"/>
                <w:sz w:val="24"/>
                <w:szCs w:val="24"/>
              </w:rPr>
              <w:t>专项评价</w:t>
            </w:r>
          </w:p>
          <w:p w14:paraId="2A700B54">
            <w:pPr>
              <w:pStyle w:val="6"/>
              <w:spacing w:before="29" w:line="220" w:lineRule="auto"/>
              <w:ind w:left="114"/>
              <w:rPr>
                <w:sz w:val="24"/>
                <w:szCs w:val="24"/>
              </w:rPr>
            </w:pPr>
            <w:r>
              <w:rPr>
                <w:spacing w:val="2"/>
                <w:sz w:val="24"/>
                <w:szCs w:val="24"/>
              </w:rPr>
              <w:t>设置情况</w:t>
            </w:r>
          </w:p>
        </w:tc>
        <w:tc>
          <w:tcPr>
            <w:tcW w:w="7776" w:type="dxa"/>
            <w:gridSpan w:val="6"/>
            <w:vAlign w:val="top"/>
          </w:tcPr>
          <w:p w14:paraId="3B98BAED">
            <w:pPr>
              <w:pStyle w:val="6"/>
              <w:spacing w:before="66" w:line="218" w:lineRule="auto"/>
              <w:ind w:left="471"/>
              <w:rPr>
                <w:sz w:val="24"/>
                <w:szCs w:val="24"/>
              </w:rPr>
            </w:pPr>
            <w:r>
              <w:rPr>
                <w:sz w:val="24"/>
                <w:szCs w:val="24"/>
              </w:rPr>
              <w:t>经对照，本项目设置电磁辐射专题评价，对照情况见下</w:t>
            </w:r>
            <w:r>
              <w:rPr>
                <w:spacing w:val="-1"/>
                <w:sz w:val="24"/>
                <w:szCs w:val="24"/>
              </w:rPr>
              <w:t>表。</w:t>
            </w:r>
          </w:p>
          <w:p w14:paraId="4A544C92">
            <w:pPr>
              <w:pStyle w:val="6"/>
              <w:spacing w:before="196" w:line="202" w:lineRule="auto"/>
              <w:ind w:left="2324"/>
              <w:rPr>
                <w:sz w:val="24"/>
                <w:szCs w:val="24"/>
              </w:rPr>
            </w:pPr>
            <w:r>
              <w:rPr>
                <w:b/>
                <w:bCs/>
                <w:spacing w:val="-2"/>
                <w:sz w:val="24"/>
                <w:szCs w:val="24"/>
              </w:rPr>
              <w:t>表1-1</w:t>
            </w:r>
            <w:r>
              <w:rPr>
                <w:spacing w:val="51"/>
                <w:sz w:val="24"/>
                <w:szCs w:val="24"/>
              </w:rPr>
              <w:t xml:space="preserve">  </w:t>
            </w:r>
            <w:r>
              <w:rPr>
                <w:b/>
                <w:bCs/>
                <w:spacing w:val="-2"/>
                <w:sz w:val="24"/>
                <w:szCs w:val="24"/>
              </w:rPr>
              <w:t>专项设置对照判别表</w:t>
            </w:r>
          </w:p>
        </w:tc>
      </w:tr>
      <w:tr w14:paraId="28F45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214" w:type="dxa"/>
            <w:vMerge w:val="continue"/>
            <w:tcBorders>
              <w:top w:val="nil"/>
            </w:tcBorders>
            <w:vAlign w:val="top"/>
          </w:tcPr>
          <w:p w14:paraId="50813BC2">
            <w:pPr>
              <w:rPr>
                <w:rFonts w:ascii="Arial"/>
                <w:sz w:val="21"/>
              </w:rPr>
            </w:pPr>
          </w:p>
        </w:tc>
        <w:tc>
          <w:tcPr>
            <w:tcW w:w="959" w:type="dxa"/>
            <w:vAlign w:val="top"/>
          </w:tcPr>
          <w:p w14:paraId="7ED57858">
            <w:pPr>
              <w:pStyle w:val="6"/>
              <w:spacing w:before="47" w:line="198" w:lineRule="auto"/>
              <w:jc w:val="right"/>
              <w:rPr>
                <w:sz w:val="24"/>
                <w:szCs w:val="24"/>
              </w:rPr>
            </w:pPr>
            <w:r>
              <w:rPr>
                <w:spacing w:val="-21"/>
                <w:sz w:val="24"/>
                <w:szCs w:val="24"/>
              </w:rPr>
              <w:t>专</w:t>
            </w:r>
            <w:r>
              <w:rPr>
                <w:spacing w:val="-20"/>
                <w:sz w:val="24"/>
                <w:szCs w:val="24"/>
              </w:rPr>
              <w:t>项评</w:t>
            </w:r>
            <w:r>
              <w:rPr>
                <w:spacing w:val="-11"/>
                <w:sz w:val="24"/>
                <w:szCs w:val="24"/>
              </w:rPr>
              <w:t>价</w:t>
            </w:r>
          </w:p>
        </w:tc>
        <w:tc>
          <w:tcPr>
            <w:tcW w:w="3356" w:type="dxa"/>
            <w:gridSpan w:val="2"/>
            <w:vAlign w:val="top"/>
          </w:tcPr>
          <w:p w14:paraId="733D0BD0">
            <w:pPr>
              <w:pStyle w:val="6"/>
              <w:spacing w:before="50" w:line="196" w:lineRule="auto"/>
              <w:ind w:left="1051"/>
              <w:rPr>
                <w:sz w:val="24"/>
                <w:szCs w:val="24"/>
              </w:rPr>
            </w:pPr>
            <w:r>
              <w:rPr>
                <w:spacing w:val="3"/>
                <w:sz w:val="24"/>
                <w:szCs w:val="24"/>
              </w:rPr>
              <w:t>涉及项目类别</w:t>
            </w:r>
          </w:p>
        </w:tc>
        <w:tc>
          <w:tcPr>
            <w:tcW w:w="2637" w:type="dxa"/>
            <w:gridSpan w:val="2"/>
            <w:vAlign w:val="top"/>
          </w:tcPr>
          <w:p w14:paraId="4435AC19">
            <w:pPr>
              <w:pStyle w:val="6"/>
              <w:spacing w:before="47" w:line="198" w:lineRule="auto"/>
              <w:ind w:left="365"/>
              <w:rPr>
                <w:sz w:val="24"/>
                <w:szCs w:val="24"/>
              </w:rPr>
            </w:pPr>
            <w:r>
              <w:rPr>
                <w:spacing w:val="1"/>
                <w:sz w:val="24"/>
                <w:szCs w:val="24"/>
              </w:rPr>
              <w:t>本项目专项评价判定</w:t>
            </w:r>
          </w:p>
        </w:tc>
        <w:tc>
          <w:tcPr>
            <w:tcW w:w="824" w:type="dxa"/>
            <w:vAlign w:val="top"/>
          </w:tcPr>
          <w:p w14:paraId="098329EA">
            <w:pPr>
              <w:pStyle w:val="6"/>
              <w:spacing w:before="50" w:line="196" w:lineRule="auto"/>
              <w:jc w:val="right"/>
              <w:rPr>
                <w:sz w:val="24"/>
                <w:szCs w:val="24"/>
              </w:rPr>
            </w:pPr>
            <w:r>
              <w:rPr>
                <w:spacing w:val="-2"/>
                <w:sz w:val="24"/>
                <w:szCs w:val="24"/>
              </w:rPr>
              <w:t>设置情</w:t>
            </w:r>
          </w:p>
        </w:tc>
      </w:tr>
    </w:tbl>
    <w:p w14:paraId="2048441E">
      <w:pPr>
        <w:pStyle w:val="2"/>
      </w:pPr>
    </w:p>
    <w:p w14:paraId="337E6926">
      <w:pPr>
        <w:sectPr>
          <w:footerReference r:id="rId9" w:type="default"/>
          <w:pgSz w:w="11910" w:h="16830"/>
          <w:pgMar w:top="400" w:right="1494" w:bottom="1209" w:left="1415" w:header="0" w:footer="1091" w:gutter="0"/>
          <w:cols w:space="720" w:num="1"/>
        </w:sectPr>
      </w:pPr>
    </w:p>
    <w:p w14:paraId="3EBAC627">
      <w:pPr>
        <w:spacing w:before="18"/>
      </w:pPr>
    </w:p>
    <w:p w14:paraId="05B9EEDA">
      <w:pPr>
        <w:spacing w:before="18"/>
      </w:pPr>
    </w:p>
    <w:p w14:paraId="54B7A54D">
      <w:pPr>
        <w:spacing w:before="17"/>
      </w:pPr>
    </w:p>
    <w:p w14:paraId="2C427F31">
      <w:pPr>
        <w:spacing w:before="17"/>
      </w:pPr>
    </w:p>
    <w:p w14:paraId="5697A775">
      <w:pPr>
        <w:spacing w:before="17"/>
      </w:pPr>
    </w:p>
    <w:tbl>
      <w:tblPr>
        <w:tblStyle w:val="5"/>
        <w:tblW w:w="90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4"/>
        <w:gridCol w:w="929"/>
        <w:gridCol w:w="3376"/>
        <w:gridCol w:w="2607"/>
        <w:gridCol w:w="824"/>
      </w:tblGrid>
      <w:tr w14:paraId="6146A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264" w:type="dxa"/>
            <w:vMerge w:val="restart"/>
            <w:tcBorders>
              <w:bottom w:val="nil"/>
            </w:tcBorders>
            <w:vAlign w:val="top"/>
          </w:tcPr>
          <w:p w14:paraId="66E644C4">
            <w:pPr>
              <w:rPr>
                <w:rFonts w:ascii="Arial"/>
                <w:sz w:val="21"/>
              </w:rPr>
            </w:pPr>
          </w:p>
        </w:tc>
        <w:tc>
          <w:tcPr>
            <w:tcW w:w="929" w:type="dxa"/>
            <w:vAlign w:val="top"/>
          </w:tcPr>
          <w:p w14:paraId="4A8D5DFF">
            <w:pPr>
              <w:pStyle w:val="6"/>
              <w:spacing w:before="63" w:line="219" w:lineRule="auto"/>
              <w:ind w:left="240"/>
              <w:rPr>
                <w:sz w:val="21"/>
                <w:szCs w:val="21"/>
              </w:rPr>
            </w:pPr>
            <w:bookmarkStart w:id="1" w:name="bookmark8"/>
            <w:bookmarkEnd w:id="1"/>
            <w:r>
              <w:rPr>
                <w:spacing w:val="8"/>
                <w:sz w:val="21"/>
                <w:szCs w:val="21"/>
              </w:rPr>
              <w:t>类别</w:t>
            </w:r>
          </w:p>
        </w:tc>
        <w:tc>
          <w:tcPr>
            <w:tcW w:w="3376" w:type="dxa"/>
            <w:vAlign w:val="top"/>
          </w:tcPr>
          <w:p w14:paraId="476E7337">
            <w:pPr>
              <w:rPr>
                <w:rFonts w:ascii="Arial"/>
                <w:sz w:val="21"/>
              </w:rPr>
            </w:pPr>
          </w:p>
        </w:tc>
        <w:tc>
          <w:tcPr>
            <w:tcW w:w="2607" w:type="dxa"/>
            <w:vAlign w:val="top"/>
          </w:tcPr>
          <w:p w14:paraId="62D76753">
            <w:pPr>
              <w:rPr>
                <w:rFonts w:ascii="Arial"/>
                <w:sz w:val="21"/>
              </w:rPr>
            </w:pPr>
          </w:p>
        </w:tc>
        <w:tc>
          <w:tcPr>
            <w:tcW w:w="824" w:type="dxa"/>
            <w:vAlign w:val="top"/>
          </w:tcPr>
          <w:p w14:paraId="5E09463B">
            <w:pPr>
              <w:pStyle w:val="6"/>
              <w:spacing w:before="64" w:line="220" w:lineRule="auto"/>
              <w:ind w:left="298"/>
              <w:rPr>
                <w:sz w:val="21"/>
                <w:szCs w:val="21"/>
              </w:rPr>
            </w:pPr>
            <w:r>
              <w:rPr>
                <w:sz w:val="21"/>
                <w:szCs w:val="21"/>
              </w:rPr>
              <w:t>况</w:t>
            </w:r>
          </w:p>
        </w:tc>
      </w:tr>
      <w:tr w14:paraId="1D681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1264" w:type="dxa"/>
            <w:vMerge w:val="continue"/>
            <w:tcBorders>
              <w:top w:val="nil"/>
              <w:bottom w:val="nil"/>
            </w:tcBorders>
            <w:vAlign w:val="top"/>
          </w:tcPr>
          <w:p w14:paraId="5FB6896E">
            <w:pPr>
              <w:rPr>
                <w:rFonts w:ascii="Arial"/>
                <w:sz w:val="21"/>
              </w:rPr>
            </w:pPr>
          </w:p>
        </w:tc>
        <w:tc>
          <w:tcPr>
            <w:tcW w:w="929" w:type="dxa"/>
            <w:vAlign w:val="top"/>
          </w:tcPr>
          <w:p w14:paraId="181252DE">
            <w:pPr>
              <w:spacing w:line="304" w:lineRule="auto"/>
              <w:rPr>
                <w:rFonts w:ascii="Arial"/>
                <w:sz w:val="21"/>
              </w:rPr>
            </w:pPr>
          </w:p>
          <w:p w14:paraId="40739FBC">
            <w:pPr>
              <w:spacing w:line="305" w:lineRule="auto"/>
              <w:rPr>
                <w:rFonts w:ascii="Arial"/>
                <w:sz w:val="21"/>
              </w:rPr>
            </w:pPr>
          </w:p>
          <w:p w14:paraId="28758179">
            <w:pPr>
              <w:spacing w:line="305" w:lineRule="auto"/>
              <w:rPr>
                <w:rFonts w:ascii="Arial"/>
                <w:sz w:val="21"/>
              </w:rPr>
            </w:pPr>
          </w:p>
          <w:p w14:paraId="11C5046D">
            <w:pPr>
              <w:pStyle w:val="6"/>
              <w:spacing w:before="69" w:line="219" w:lineRule="auto"/>
              <w:ind w:left="141"/>
              <w:rPr>
                <w:sz w:val="21"/>
                <w:szCs w:val="21"/>
              </w:rPr>
            </w:pPr>
            <w:r>
              <w:rPr>
                <w:spacing w:val="-2"/>
                <w:sz w:val="21"/>
                <w:szCs w:val="21"/>
              </w:rPr>
              <w:t>地表水</w:t>
            </w:r>
          </w:p>
        </w:tc>
        <w:tc>
          <w:tcPr>
            <w:tcW w:w="3376" w:type="dxa"/>
            <w:vAlign w:val="top"/>
          </w:tcPr>
          <w:p w14:paraId="009108F5">
            <w:pPr>
              <w:pStyle w:val="6"/>
              <w:spacing w:before="59" w:line="234" w:lineRule="auto"/>
              <w:ind w:left="12"/>
              <w:rPr>
                <w:sz w:val="21"/>
                <w:szCs w:val="21"/>
              </w:rPr>
            </w:pPr>
            <w:r>
              <w:rPr>
                <w:spacing w:val="-7"/>
                <w:sz w:val="21"/>
                <w:szCs w:val="21"/>
              </w:rPr>
              <w:t>水力发电：引水式发电、涉及调峰发</w:t>
            </w:r>
            <w:r>
              <w:rPr>
                <w:spacing w:val="1"/>
                <w:sz w:val="21"/>
                <w:szCs w:val="21"/>
              </w:rPr>
              <w:t xml:space="preserve">  </w:t>
            </w:r>
            <w:r>
              <w:rPr>
                <w:spacing w:val="-13"/>
                <w:sz w:val="21"/>
                <w:szCs w:val="21"/>
              </w:rPr>
              <w:t>电的项目；人工湖、人工湿地：全部；</w:t>
            </w:r>
            <w:r>
              <w:rPr>
                <w:spacing w:val="3"/>
                <w:sz w:val="21"/>
                <w:szCs w:val="21"/>
              </w:rPr>
              <w:t xml:space="preserve"> </w:t>
            </w:r>
            <w:r>
              <w:rPr>
                <w:spacing w:val="11"/>
                <w:sz w:val="21"/>
                <w:szCs w:val="21"/>
              </w:rPr>
              <w:t>水库：全部；</w:t>
            </w:r>
          </w:p>
          <w:p w14:paraId="1E71F4BD">
            <w:pPr>
              <w:pStyle w:val="6"/>
              <w:spacing w:line="246" w:lineRule="auto"/>
              <w:ind w:left="12" w:right="94"/>
              <w:rPr>
                <w:sz w:val="21"/>
                <w:szCs w:val="21"/>
              </w:rPr>
            </w:pPr>
            <w:r>
              <w:rPr>
                <w:sz w:val="21"/>
                <w:szCs w:val="21"/>
              </w:rPr>
              <w:t>引水工程：全部(配套的管线工程等</w:t>
            </w:r>
            <w:r>
              <w:rPr>
                <w:spacing w:val="3"/>
                <w:sz w:val="21"/>
                <w:szCs w:val="21"/>
              </w:rPr>
              <w:t xml:space="preserve"> </w:t>
            </w:r>
            <w:r>
              <w:rPr>
                <w:spacing w:val="11"/>
                <w:sz w:val="21"/>
                <w:szCs w:val="21"/>
              </w:rPr>
              <w:t>除外);</w:t>
            </w:r>
          </w:p>
          <w:p w14:paraId="6F4F74BA">
            <w:pPr>
              <w:pStyle w:val="6"/>
              <w:spacing w:line="219" w:lineRule="auto"/>
              <w:ind w:left="12"/>
              <w:rPr>
                <w:sz w:val="21"/>
                <w:szCs w:val="21"/>
              </w:rPr>
            </w:pPr>
            <w:r>
              <w:rPr>
                <w:spacing w:val="7"/>
                <w:sz w:val="21"/>
                <w:szCs w:val="21"/>
              </w:rPr>
              <w:t>防洪除涝工程：包含水库的项目；</w:t>
            </w:r>
          </w:p>
          <w:p w14:paraId="070A7A5A">
            <w:pPr>
              <w:pStyle w:val="6"/>
              <w:spacing w:before="11" w:line="215" w:lineRule="auto"/>
              <w:ind w:left="12" w:right="1"/>
              <w:rPr>
                <w:sz w:val="21"/>
                <w:szCs w:val="21"/>
              </w:rPr>
            </w:pPr>
            <w:r>
              <w:rPr>
                <w:spacing w:val="-1"/>
                <w:sz w:val="21"/>
                <w:szCs w:val="21"/>
              </w:rPr>
              <w:t>河湖整治：涉及清淤且底泥存在重金</w:t>
            </w:r>
            <w:r>
              <w:rPr>
                <w:spacing w:val="7"/>
                <w:sz w:val="21"/>
                <w:szCs w:val="21"/>
              </w:rPr>
              <w:t xml:space="preserve"> </w:t>
            </w:r>
            <w:r>
              <w:rPr>
                <w:spacing w:val="6"/>
                <w:sz w:val="21"/>
                <w:szCs w:val="21"/>
              </w:rPr>
              <w:t>属污染的项目</w:t>
            </w:r>
          </w:p>
        </w:tc>
        <w:tc>
          <w:tcPr>
            <w:tcW w:w="2607" w:type="dxa"/>
            <w:vAlign w:val="top"/>
          </w:tcPr>
          <w:p w14:paraId="42D11DCB">
            <w:pPr>
              <w:spacing w:line="327" w:lineRule="auto"/>
              <w:rPr>
                <w:rFonts w:ascii="Arial"/>
                <w:sz w:val="21"/>
              </w:rPr>
            </w:pPr>
          </w:p>
          <w:p w14:paraId="79DBAE3B">
            <w:pPr>
              <w:spacing w:line="327" w:lineRule="auto"/>
              <w:rPr>
                <w:rFonts w:ascii="Arial"/>
                <w:sz w:val="21"/>
              </w:rPr>
            </w:pPr>
          </w:p>
          <w:p w14:paraId="387A4193">
            <w:pPr>
              <w:pStyle w:val="6"/>
              <w:spacing w:before="69" w:line="219" w:lineRule="auto"/>
              <w:ind w:left="35"/>
              <w:rPr>
                <w:sz w:val="21"/>
                <w:szCs w:val="21"/>
              </w:rPr>
            </w:pPr>
            <w:r>
              <w:rPr>
                <w:sz w:val="21"/>
                <w:szCs w:val="21"/>
              </w:rPr>
              <w:t>本项目为光伏建设项目，不</w:t>
            </w:r>
          </w:p>
          <w:p w14:paraId="1EE21E05">
            <w:pPr>
              <w:pStyle w:val="6"/>
              <w:spacing w:before="22" w:line="219" w:lineRule="auto"/>
              <w:jc w:val="right"/>
              <w:rPr>
                <w:sz w:val="21"/>
                <w:szCs w:val="21"/>
              </w:rPr>
            </w:pPr>
            <w:r>
              <w:rPr>
                <w:spacing w:val="3"/>
                <w:sz w:val="21"/>
                <w:szCs w:val="21"/>
              </w:rPr>
              <w:t>属于需做地表水专项的项目</w:t>
            </w:r>
          </w:p>
          <w:p w14:paraId="41C0D331">
            <w:pPr>
              <w:pStyle w:val="6"/>
              <w:spacing w:before="20" w:line="219" w:lineRule="auto"/>
              <w:ind w:left="1085"/>
              <w:rPr>
                <w:sz w:val="21"/>
                <w:szCs w:val="21"/>
              </w:rPr>
            </w:pPr>
            <w:r>
              <w:rPr>
                <w:spacing w:val="8"/>
                <w:sz w:val="21"/>
                <w:szCs w:val="21"/>
              </w:rPr>
              <w:t>类别</w:t>
            </w:r>
          </w:p>
        </w:tc>
        <w:tc>
          <w:tcPr>
            <w:tcW w:w="824" w:type="dxa"/>
            <w:vAlign w:val="top"/>
          </w:tcPr>
          <w:p w14:paraId="30A0CDAB">
            <w:pPr>
              <w:spacing w:line="305" w:lineRule="auto"/>
              <w:rPr>
                <w:rFonts w:ascii="Arial"/>
                <w:sz w:val="21"/>
              </w:rPr>
            </w:pPr>
          </w:p>
          <w:p w14:paraId="628F0377">
            <w:pPr>
              <w:spacing w:line="305" w:lineRule="auto"/>
              <w:rPr>
                <w:rFonts w:ascii="Arial"/>
                <w:sz w:val="21"/>
              </w:rPr>
            </w:pPr>
          </w:p>
          <w:p w14:paraId="096BD3D8">
            <w:pPr>
              <w:spacing w:line="305" w:lineRule="auto"/>
              <w:rPr>
                <w:rFonts w:ascii="Arial"/>
                <w:sz w:val="21"/>
              </w:rPr>
            </w:pPr>
          </w:p>
          <w:p w14:paraId="567EC172">
            <w:pPr>
              <w:pStyle w:val="6"/>
              <w:spacing w:before="69" w:line="221" w:lineRule="auto"/>
              <w:ind w:left="88"/>
              <w:rPr>
                <w:sz w:val="21"/>
                <w:szCs w:val="21"/>
              </w:rPr>
            </w:pPr>
            <w:r>
              <w:rPr>
                <w:spacing w:val="-3"/>
                <w:sz w:val="21"/>
                <w:szCs w:val="21"/>
              </w:rPr>
              <w:t>不设置</w:t>
            </w:r>
          </w:p>
        </w:tc>
      </w:tr>
      <w:tr w14:paraId="5996A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1264" w:type="dxa"/>
            <w:vMerge w:val="continue"/>
            <w:tcBorders>
              <w:top w:val="nil"/>
              <w:bottom w:val="nil"/>
            </w:tcBorders>
            <w:vAlign w:val="top"/>
          </w:tcPr>
          <w:p w14:paraId="41DAE06E">
            <w:pPr>
              <w:rPr>
                <w:rFonts w:ascii="Arial"/>
                <w:sz w:val="21"/>
              </w:rPr>
            </w:pPr>
          </w:p>
        </w:tc>
        <w:tc>
          <w:tcPr>
            <w:tcW w:w="929" w:type="dxa"/>
            <w:vAlign w:val="top"/>
          </w:tcPr>
          <w:p w14:paraId="77D5FE15">
            <w:pPr>
              <w:spacing w:line="380" w:lineRule="auto"/>
              <w:rPr>
                <w:rFonts w:ascii="Arial"/>
                <w:sz w:val="21"/>
              </w:rPr>
            </w:pPr>
          </w:p>
          <w:p w14:paraId="006973D5">
            <w:pPr>
              <w:pStyle w:val="6"/>
              <w:spacing w:before="68" w:line="219" w:lineRule="auto"/>
              <w:ind w:left="141"/>
              <w:rPr>
                <w:sz w:val="21"/>
                <w:szCs w:val="21"/>
              </w:rPr>
            </w:pPr>
            <w:r>
              <w:rPr>
                <w:spacing w:val="-2"/>
                <w:sz w:val="21"/>
                <w:szCs w:val="21"/>
              </w:rPr>
              <w:t>地下水</w:t>
            </w:r>
          </w:p>
        </w:tc>
        <w:tc>
          <w:tcPr>
            <w:tcW w:w="3376" w:type="dxa"/>
            <w:vAlign w:val="top"/>
          </w:tcPr>
          <w:p w14:paraId="756EB699">
            <w:pPr>
              <w:pStyle w:val="6"/>
              <w:spacing w:before="59" w:line="219" w:lineRule="auto"/>
              <w:ind w:left="12"/>
              <w:rPr>
                <w:sz w:val="21"/>
                <w:szCs w:val="21"/>
              </w:rPr>
            </w:pPr>
            <w:r>
              <w:rPr>
                <w:spacing w:val="7"/>
                <w:sz w:val="21"/>
                <w:szCs w:val="21"/>
              </w:rPr>
              <w:t>陆地石油和天然气开采：全部；</w:t>
            </w:r>
          </w:p>
          <w:p w14:paraId="090838F4">
            <w:pPr>
              <w:pStyle w:val="6"/>
              <w:spacing w:before="20" w:line="219" w:lineRule="auto"/>
              <w:ind w:left="12"/>
              <w:rPr>
                <w:sz w:val="21"/>
                <w:szCs w:val="21"/>
              </w:rPr>
            </w:pPr>
            <w:r>
              <w:rPr>
                <w:spacing w:val="7"/>
                <w:sz w:val="21"/>
                <w:szCs w:val="21"/>
              </w:rPr>
              <w:t>地下水(含矿泉水)开采：全部；</w:t>
            </w:r>
          </w:p>
          <w:p w14:paraId="1C72583A">
            <w:pPr>
              <w:pStyle w:val="6"/>
              <w:spacing w:before="10" w:line="224" w:lineRule="auto"/>
              <w:ind w:left="12"/>
              <w:rPr>
                <w:sz w:val="21"/>
                <w:szCs w:val="21"/>
              </w:rPr>
            </w:pPr>
            <w:r>
              <w:rPr>
                <w:spacing w:val="-1"/>
                <w:sz w:val="21"/>
                <w:szCs w:val="21"/>
              </w:rPr>
              <w:t>水利、水电、交通等：含穿越可溶岩</w:t>
            </w:r>
            <w:r>
              <w:rPr>
                <w:spacing w:val="8"/>
                <w:sz w:val="21"/>
                <w:szCs w:val="21"/>
              </w:rPr>
              <w:t xml:space="preserve"> </w:t>
            </w:r>
            <w:r>
              <w:rPr>
                <w:spacing w:val="4"/>
                <w:sz w:val="21"/>
                <w:szCs w:val="21"/>
              </w:rPr>
              <w:t>地层隧道的项目</w:t>
            </w:r>
          </w:p>
        </w:tc>
        <w:tc>
          <w:tcPr>
            <w:tcW w:w="2607" w:type="dxa"/>
            <w:vAlign w:val="top"/>
          </w:tcPr>
          <w:p w14:paraId="45A12CD3">
            <w:pPr>
              <w:pStyle w:val="6"/>
              <w:spacing w:before="199" w:line="219" w:lineRule="auto"/>
              <w:ind w:left="35"/>
              <w:rPr>
                <w:sz w:val="21"/>
                <w:szCs w:val="21"/>
              </w:rPr>
            </w:pPr>
            <w:r>
              <w:rPr>
                <w:sz w:val="21"/>
                <w:szCs w:val="21"/>
              </w:rPr>
              <w:t>本项目为光伏建设项目，不</w:t>
            </w:r>
          </w:p>
          <w:p w14:paraId="6F69EE0C">
            <w:pPr>
              <w:pStyle w:val="6"/>
              <w:spacing w:before="2" w:line="219" w:lineRule="auto"/>
              <w:jc w:val="right"/>
              <w:rPr>
                <w:sz w:val="21"/>
                <w:szCs w:val="21"/>
              </w:rPr>
            </w:pPr>
            <w:r>
              <w:rPr>
                <w:spacing w:val="3"/>
                <w:sz w:val="21"/>
                <w:szCs w:val="21"/>
              </w:rPr>
              <w:t>属于需做地下水专项的项目</w:t>
            </w:r>
          </w:p>
          <w:p w14:paraId="32DBC75A">
            <w:pPr>
              <w:pStyle w:val="6"/>
              <w:spacing w:before="21" w:line="219" w:lineRule="auto"/>
              <w:ind w:left="1085"/>
              <w:rPr>
                <w:sz w:val="21"/>
                <w:szCs w:val="21"/>
              </w:rPr>
            </w:pPr>
            <w:r>
              <w:rPr>
                <w:spacing w:val="8"/>
                <w:sz w:val="21"/>
                <w:szCs w:val="21"/>
              </w:rPr>
              <w:t>类别</w:t>
            </w:r>
          </w:p>
        </w:tc>
        <w:tc>
          <w:tcPr>
            <w:tcW w:w="824" w:type="dxa"/>
            <w:vAlign w:val="top"/>
          </w:tcPr>
          <w:p w14:paraId="30EB9C34">
            <w:pPr>
              <w:spacing w:line="381" w:lineRule="auto"/>
              <w:rPr>
                <w:rFonts w:ascii="Arial"/>
                <w:sz w:val="21"/>
              </w:rPr>
            </w:pPr>
          </w:p>
          <w:p w14:paraId="3EC38FB6">
            <w:pPr>
              <w:pStyle w:val="6"/>
              <w:spacing w:before="68" w:line="221" w:lineRule="auto"/>
              <w:ind w:left="88"/>
              <w:rPr>
                <w:sz w:val="21"/>
                <w:szCs w:val="21"/>
              </w:rPr>
            </w:pPr>
            <w:r>
              <w:rPr>
                <w:spacing w:val="-3"/>
                <w:sz w:val="21"/>
                <w:szCs w:val="21"/>
              </w:rPr>
              <w:t>不设置</w:t>
            </w:r>
          </w:p>
        </w:tc>
      </w:tr>
      <w:tr w14:paraId="0CED7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7" w:hRule="atLeast"/>
        </w:trPr>
        <w:tc>
          <w:tcPr>
            <w:tcW w:w="1264" w:type="dxa"/>
            <w:vMerge w:val="continue"/>
            <w:tcBorders>
              <w:top w:val="nil"/>
              <w:bottom w:val="nil"/>
            </w:tcBorders>
            <w:vAlign w:val="top"/>
          </w:tcPr>
          <w:p w14:paraId="5F90A5A0">
            <w:pPr>
              <w:rPr>
                <w:rFonts w:ascii="Arial"/>
                <w:sz w:val="21"/>
              </w:rPr>
            </w:pPr>
          </w:p>
        </w:tc>
        <w:tc>
          <w:tcPr>
            <w:tcW w:w="929" w:type="dxa"/>
            <w:vAlign w:val="top"/>
          </w:tcPr>
          <w:p w14:paraId="19CDCE97">
            <w:pPr>
              <w:spacing w:line="278" w:lineRule="auto"/>
              <w:rPr>
                <w:rFonts w:ascii="Arial"/>
                <w:sz w:val="21"/>
              </w:rPr>
            </w:pPr>
          </w:p>
          <w:p w14:paraId="10616256">
            <w:pPr>
              <w:spacing w:line="278" w:lineRule="auto"/>
              <w:rPr>
                <w:rFonts w:ascii="Arial"/>
                <w:sz w:val="21"/>
              </w:rPr>
            </w:pPr>
          </w:p>
          <w:p w14:paraId="4168B8EE">
            <w:pPr>
              <w:spacing w:line="278" w:lineRule="auto"/>
              <w:rPr>
                <w:rFonts w:ascii="Arial"/>
                <w:sz w:val="21"/>
              </w:rPr>
            </w:pPr>
          </w:p>
          <w:p w14:paraId="3F03236E">
            <w:pPr>
              <w:spacing w:line="278" w:lineRule="auto"/>
              <w:rPr>
                <w:rFonts w:ascii="Arial"/>
                <w:sz w:val="21"/>
              </w:rPr>
            </w:pPr>
          </w:p>
          <w:p w14:paraId="28C52BD3">
            <w:pPr>
              <w:spacing w:line="278" w:lineRule="auto"/>
              <w:rPr>
                <w:rFonts w:ascii="Arial"/>
                <w:sz w:val="21"/>
              </w:rPr>
            </w:pPr>
          </w:p>
          <w:p w14:paraId="17F822D0">
            <w:pPr>
              <w:pStyle w:val="6"/>
              <w:spacing w:before="69" w:line="224" w:lineRule="auto"/>
              <w:ind w:left="240"/>
              <w:rPr>
                <w:sz w:val="21"/>
                <w:szCs w:val="21"/>
              </w:rPr>
            </w:pPr>
            <w:r>
              <w:rPr>
                <w:spacing w:val="5"/>
                <w:sz w:val="21"/>
                <w:szCs w:val="21"/>
              </w:rPr>
              <w:t>生态</w:t>
            </w:r>
          </w:p>
        </w:tc>
        <w:tc>
          <w:tcPr>
            <w:tcW w:w="3376" w:type="dxa"/>
            <w:vAlign w:val="top"/>
          </w:tcPr>
          <w:p w14:paraId="0D461A01">
            <w:pPr>
              <w:spacing w:line="246" w:lineRule="auto"/>
              <w:rPr>
                <w:rFonts w:ascii="Arial"/>
                <w:sz w:val="21"/>
              </w:rPr>
            </w:pPr>
          </w:p>
          <w:p w14:paraId="2ED2E4FF">
            <w:pPr>
              <w:spacing w:line="247" w:lineRule="auto"/>
              <w:rPr>
                <w:rFonts w:ascii="Arial"/>
                <w:sz w:val="21"/>
              </w:rPr>
            </w:pPr>
          </w:p>
          <w:p w14:paraId="32D4F3EE">
            <w:pPr>
              <w:spacing w:line="247" w:lineRule="auto"/>
              <w:rPr>
                <w:rFonts w:ascii="Arial"/>
                <w:sz w:val="21"/>
              </w:rPr>
            </w:pPr>
          </w:p>
          <w:p w14:paraId="7337C9F0">
            <w:pPr>
              <w:spacing w:line="247" w:lineRule="auto"/>
              <w:rPr>
                <w:rFonts w:ascii="Arial"/>
                <w:sz w:val="21"/>
              </w:rPr>
            </w:pPr>
          </w:p>
          <w:p w14:paraId="42DDF6C4">
            <w:pPr>
              <w:pStyle w:val="6"/>
              <w:spacing w:before="68" w:line="225" w:lineRule="auto"/>
              <w:ind w:left="12"/>
              <w:rPr>
                <w:sz w:val="21"/>
                <w:szCs w:val="21"/>
              </w:rPr>
            </w:pPr>
            <w:r>
              <w:rPr>
                <w:spacing w:val="-3"/>
                <w:sz w:val="21"/>
                <w:szCs w:val="21"/>
              </w:rPr>
              <w:t>涉及环境敏感区(不包括饮用水水源</w:t>
            </w:r>
            <w:r>
              <w:rPr>
                <w:spacing w:val="6"/>
                <w:sz w:val="21"/>
                <w:szCs w:val="21"/>
              </w:rPr>
              <w:t xml:space="preserve">  </w:t>
            </w:r>
            <w:r>
              <w:rPr>
                <w:spacing w:val="-3"/>
                <w:sz w:val="21"/>
                <w:szCs w:val="21"/>
              </w:rPr>
              <w:t>保护区，以居住、医疗卫生、文化教</w:t>
            </w:r>
            <w:r>
              <w:rPr>
                <w:spacing w:val="14"/>
                <w:sz w:val="21"/>
                <w:szCs w:val="21"/>
              </w:rPr>
              <w:t xml:space="preserve"> </w:t>
            </w:r>
            <w:r>
              <w:rPr>
                <w:spacing w:val="-1"/>
                <w:sz w:val="21"/>
                <w:szCs w:val="21"/>
              </w:rPr>
              <w:t>育、科研、行政办公为主要功能的区</w:t>
            </w:r>
          </w:p>
          <w:p w14:paraId="02277548">
            <w:pPr>
              <w:pStyle w:val="6"/>
              <w:spacing w:before="32" w:line="220" w:lineRule="auto"/>
              <w:ind w:left="211"/>
              <w:rPr>
                <w:sz w:val="21"/>
                <w:szCs w:val="21"/>
              </w:rPr>
            </w:pPr>
            <w:r>
              <w:rPr>
                <w:spacing w:val="2"/>
                <w:sz w:val="21"/>
                <w:szCs w:val="21"/>
              </w:rPr>
              <w:t>域，以及文物保护单位)的项目</w:t>
            </w:r>
          </w:p>
        </w:tc>
        <w:tc>
          <w:tcPr>
            <w:tcW w:w="2607" w:type="dxa"/>
            <w:vAlign w:val="top"/>
          </w:tcPr>
          <w:p w14:paraId="39E92AD5">
            <w:pPr>
              <w:pStyle w:val="6"/>
              <w:spacing w:before="39" w:line="218" w:lineRule="auto"/>
              <w:jc w:val="right"/>
              <w:rPr>
                <w:sz w:val="21"/>
                <w:szCs w:val="21"/>
              </w:rPr>
            </w:pPr>
            <w:r>
              <w:rPr>
                <w:spacing w:val="-12"/>
                <w:sz w:val="21"/>
                <w:szCs w:val="21"/>
              </w:rPr>
              <w:t>《</w:t>
            </w:r>
            <w:r>
              <w:rPr>
                <w:spacing w:val="-11"/>
                <w:sz w:val="21"/>
                <w:szCs w:val="21"/>
              </w:rPr>
              <w:t>建设项目环境影响评价分</w:t>
            </w:r>
            <w:r>
              <w:rPr>
                <w:spacing w:val="-10"/>
                <w:sz w:val="21"/>
                <w:szCs w:val="21"/>
              </w:rPr>
              <w:t>类</w:t>
            </w:r>
          </w:p>
          <w:p w14:paraId="583A9EDF">
            <w:pPr>
              <w:pStyle w:val="6"/>
              <w:spacing w:before="3" w:line="219" w:lineRule="auto"/>
              <w:jc w:val="right"/>
              <w:rPr>
                <w:sz w:val="21"/>
                <w:szCs w:val="21"/>
              </w:rPr>
            </w:pPr>
            <w:r>
              <w:rPr>
                <w:spacing w:val="-13"/>
                <w:sz w:val="21"/>
                <w:szCs w:val="21"/>
              </w:rPr>
              <w:t>管理名录</w:t>
            </w:r>
            <w:r>
              <w:rPr>
                <w:spacing w:val="-12"/>
                <w:sz w:val="21"/>
                <w:szCs w:val="21"/>
              </w:rPr>
              <w:t>》中针对该类项目</w:t>
            </w:r>
            <w:r>
              <w:rPr>
                <w:spacing w:val="-8"/>
                <w:sz w:val="21"/>
                <w:szCs w:val="21"/>
              </w:rPr>
              <w:t>所</w:t>
            </w:r>
          </w:p>
          <w:p w14:paraId="6E3E23F9">
            <w:pPr>
              <w:pStyle w:val="6"/>
              <w:spacing w:before="10" w:line="219" w:lineRule="auto"/>
              <w:ind w:left="35"/>
              <w:rPr>
                <w:sz w:val="21"/>
                <w:szCs w:val="21"/>
              </w:rPr>
            </w:pPr>
            <w:r>
              <w:rPr>
                <w:sz w:val="21"/>
                <w:szCs w:val="21"/>
              </w:rPr>
              <w:t>列的敏感区为：(一)国家公</w:t>
            </w:r>
          </w:p>
          <w:p w14:paraId="39D0BA0E">
            <w:pPr>
              <w:pStyle w:val="6"/>
              <w:spacing w:before="11" w:line="219" w:lineRule="auto"/>
              <w:jc w:val="right"/>
              <w:rPr>
                <w:sz w:val="21"/>
                <w:szCs w:val="21"/>
              </w:rPr>
            </w:pPr>
            <w:r>
              <w:rPr>
                <w:spacing w:val="-26"/>
                <w:sz w:val="21"/>
                <w:szCs w:val="21"/>
              </w:rPr>
              <w:t>园、自然保护区、风景名胜区、</w:t>
            </w:r>
          </w:p>
          <w:p w14:paraId="6ECB0EA6">
            <w:pPr>
              <w:pStyle w:val="6"/>
              <w:spacing w:before="1" w:line="219" w:lineRule="auto"/>
              <w:jc w:val="right"/>
              <w:rPr>
                <w:sz w:val="21"/>
                <w:szCs w:val="21"/>
              </w:rPr>
            </w:pPr>
            <w:r>
              <w:rPr>
                <w:spacing w:val="-13"/>
                <w:sz w:val="21"/>
                <w:szCs w:val="21"/>
              </w:rPr>
              <w:t>世</w:t>
            </w:r>
            <w:r>
              <w:rPr>
                <w:spacing w:val="-12"/>
                <w:sz w:val="21"/>
                <w:szCs w:val="21"/>
              </w:rPr>
              <w:t>界文化和自然遗产地、海</w:t>
            </w:r>
            <w:r>
              <w:rPr>
                <w:spacing w:val="-11"/>
                <w:sz w:val="21"/>
                <w:szCs w:val="21"/>
              </w:rPr>
              <w:t>洋</w:t>
            </w:r>
          </w:p>
          <w:p w14:paraId="4C70B38B">
            <w:pPr>
              <w:pStyle w:val="6"/>
              <w:spacing w:before="20" w:line="212" w:lineRule="auto"/>
              <w:jc w:val="right"/>
              <w:rPr>
                <w:sz w:val="21"/>
                <w:szCs w:val="21"/>
              </w:rPr>
            </w:pPr>
            <w:r>
              <w:rPr>
                <w:spacing w:val="-12"/>
                <w:sz w:val="21"/>
                <w:szCs w:val="21"/>
              </w:rPr>
              <w:t>特别保护区、饮用水水源保护</w:t>
            </w:r>
          </w:p>
          <w:p w14:paraId="00AD71F5">
            <w:pPr>
              <w:pStyle w:val="6"/>
              <w:spacing w:line="220" w:lineRule="auto"/>
              <w:jc w:val="right"/>
              <w:rPr>
                <w:sz w:val="21"/>
                <w:szCs w:val="21"/>
              </w:rPr>
            </w:pPr>
            <w:r>
              <w:rPr>
                <w:spacing w:val="-11"/>
                <w:sz w:val="21"/>
                <w:szCs w:val="21"/>
              </w:rPr>
              <w:t>区；(三)以居住、医疗卫生、</w:t>
            </w:r>
          </w:p>
          <w:p w14:paraId="63595735">
            <w:pPr>
              <w:pStyle w:val="6"/>
              <w:spacing w:before="28" w:line="219" w:lineRule="auto"/>
              <w:jc w:val="right"/>
              <w:rPr>
                <w:sz w:val="21"/>
                <w:szCs w:val="21"/>
              </w:rPr>
            </w:pPr>
            <w:r>
              <w:rPr>
                <w:spacing w:val="-13"/>
                <w:sz w:val="21"/>
                <w:szCs w:val="21"/>
              </w:rPr>
              <w:t>文</w:t>
            </w:r>
            <w:r>
              <w:rPr>
                <w:spacing w:val="-12"/>
                <w:sz w:val="21"/>
                <w:szCs w:val="21"/>
              </w:rPr>
              <w:t>化教育、科研、行政办公</w:t>
            </w:r>
            <w:r>
              <w:rPr>
                <w:spacing w:val="-11"/>
                <w:sz w:val="21"/>
                <w:szCs w:val="21"/>
              </w:rPr>
              <w:t>为</w:t>
            </w:r>
          </w:p>
          <w:p w14:paraId="6D17AD3D">
            <w:pPr>
              <w:pStyle w:val="6"/>
              <w:spacing w:before="13" w:line="220" w:lineRule="auto"/>
              <w:jc w:val="right"/>
              <w:rPr>
                <w:sz w:val="21"/>
                <w:szCs w:val="21"/>
              </w:rPr>
            </w:pPr>
            <w:r>
              <w:rPr>
                <w:spacing w:val="-13"/>
                <w:sz w:val="21"/>
                <w:szCs w:val="21"/>
              </w:rPr>
              <w:t>主要功能</w:t>
            </w:r>
            <w:r>
              <w:rPr>
                <w:spacing w:val="-12"/>
                <w:sz w:val="21"/>
                <w:szCs w:val="21"/>
              </w:rPr>
              <w:t>的区域，以及文物</w:t>
            </w:r>
            <w:r>
              <w:rPr>
                <w:spacing w:val="-8"/>
                <w:sz w:val="21"/>
                <w:szCs w:val="21"/>
              </w:rPr>
              <w:t>保</w:t>
            </w:r>
          </w:p>
          <w:p w14:paraId="0A140B37">
            <w:pPr>
              <w:pStyle w:val="6"/>
              <w:spacing w:before="9" w:line="219" w:lineRule="auto"/>
              <w:jc w:val="right"/>
              <w:rPr>
                <w:sz w:val="21"/>
                <w:szCs w:val="21"/>
              </w:rPr>
            </w:pPr>
            <w:r>
              <w:rPr>
                <w:spacing w:val="-12"/>
                <w:sz w:val="21"/>
                <w:szCs w:val="21"/>
              </w:rPr>
              <w:t>护单位。根据相关部门的查询</w:t>
            </w:r>
          </w:p>
          <w:p w14:paraId="2B14A6D0">
            <w:pPr>
              <w:pStyle w:val="6"/>
              <w:spacing w:before="1" w:line="219" w:lineRule="auto"/>
              <w:jc w:val="right"/>
              <w:rPr>
                <w:sz w:val="21"/>
                <w:szCs w:val="21"/>
              </w:rPr>
            </w:pPr>
            <w:r>
              <w:rPr>
                <w:spacing w:val="-13"/>
                <w:sz w:val="21"/>
                <w:szCs w:val="21"/>
              </w:rPr>
              <w:t>结果，</w:t>
            </w:r>
            <w:r>
              <w:rPr>
                <w:spacing w:val="-12"/>
                <w:sz w:val="21"/>
                <w:szCs w:val="21"/>
              </w:rPr>
              <w:t>项目不涉及上述生态</w:t>
            </w:r>
            <w:r>
              <w:rPr>
                <w:spacing w:val="-9"/>
                <w:sz w:val="21"/>
                <w:szCs w:val="21"/>
              </w:rPr>
              <w:t>敏</w:t>
            </w:r>
          </w:p>
          <w:p w14:paraId="0C31C125">
            <w:pPr>
              <w:pStyle w:val="6"/>
              <w:spacing w:before="5" w:line="203" w:lineRule="auto"/>
              <w:ind w:left="1035"/>
              <w:rPr>
                <w:sz w:val="21"/>
                <w:szCs w:val="21"/>
              </w:rPr>
            </w:pPr>
            <w:r>
              <w:rPr>
                <w:spacing w:val="-2"/>
                <w:sz w:val="21"/>
                <w:szCs w:val="21"/>
              </w:rPr>
              <w:t>感区。</w:t>
            </w:r>
          </w:p>
        </w:tc>
        <w:tc>
          <w:tcPr>
            <w:tcW w:w="824" w:type="dxa"/>
            <w:vAlign w:val="top"/>
          </w:tcPr>
          <w:p w14:paraId="07173051">
            <w:pPr>
              <w:spacing w:line="277" w:lineRule="auto"/>
              <w:rPr>
                <w:rFonts w:ascii="Arial"/>
                <w:sz w:val="21"/>
              </w:rPr>
            </w:pPr>
          </w:p>
          <w:p w14:paraId="4D2CA172">
            <w:pPr>
              <w:spacing w:line="277" w:lineRule="auto"/>
              <w:rPr>
                <w:rFonts w:ascii="Arial"/>
                <w:sz w:val="21"/>
              </w:rPr>
            </w:pPr>
          </w:p>
          <w:p w14:paraId="19BEA882">
            <w:pPr>
              <w:spacing w:line="277" w:lineRule="auto"/>
              <w:rPr>
                <w:rFonts w:ascii="Arial"/>
                <w:sz w:val="21"/>
              </w:rPr>
            </w:pPr>
          </w:p>
          <w:p w14:paraId="56840466">
            <w:pPr>
              <w:spacing w:line="277" w:lineRule="auto"/>
              <w:rPr>
                <w:rFonts w:ascii="Arial"/>
                <w:sz w:val="21"/>
              </w:rPr>
            </w:pPr>
          </w:p>
          <w:p w14:paraId="7FE11A4F">
            <w:pPr>
              <w:spacing w:line="277" w:lineRule="auto"/>
              <w:rPr>
                <w:rFonts w:ascii="Arial"/>
                <w:sz w:val="21"/>
              </w:rPr>
            </w:pPr>
          </w:p>
          <w:p w14:paraId="185B6AD8">
            <w:pPr>
              <w:pStyle w:val="6"/>
              <w:spacing w:before="69" w:line="221" w:lineRule="auto"/>
              <w:ind w:left="88"/>
              <w:rPr>
                <w:sz w:val="21"/>
                <w:szCs w:val="21"/>
              </w:rPr>
            </w:pPr>
            <w:r>
              <w:rPr>
                <w:spacing w:val="-3"/>
                <w:sz w:val="21"/>
                <w:szCs w:val="21"/>
              </w:rPr>
              <w:t>不设置</w:t>
            </w:r>
          </w:p>
        </w:tc>
      </w:tr>
      <w:tr w14:paraId="5EA29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1264" w:type="dxa"/>
            <w:vMerge w:val="continue"/>
            <w:tcBorders>
              <w:top w:val="nil"/>
              <w:bottom w:val="nil"/>
            </w:tcBorders>
            <w:vAlign w:val="top"/>
          </w:tcPr>
          <w:p w14:paraId="07D51E50">
            <w:pPr>
              <w:rPr>
                <w:rFonts w:ascii="Arial"/>
                <w:sz w:val="21"/>
              </w:rPr>
            </w:pPr>
          </w:p>
        </w:tc>
        <w:tc>
          <w:tcPr>
            <w:tcW w:w="929" w:type="dxa"/>
            <w:vAlign w:val="top"/>
          </w:tcPr>
          <w:p w14:paraId="27A9CEA8">
            <w:pPr>
              <w:spacing w:line="374" w:lineRule="auto"/>
              <w:rPr>
                <w:rFonts w:ascii="Arial"/>
                <w:sz w:val="21"/>
              </w:rPr>
            </w:pPr>
          </w:p>
          <w:p w14:paraId="34C5B4FA">
            <w:pPr>
              <w:pStyle w:val="6"/>
              <w:spacing w:before="68" w:line="220" w:lineRule="auto"/>
              <w:ind w:left="240"/>
              <w:rPr>
                <w:sz w:val="21"/>
                <w:szCs w:val="21"/>
              </w:rPr>
            </w:pPr>
            <w:r>
              <w:rPr>
                <w:spacing w:val="6"/>
                <w:sz w:val="21"/>
                <w:szCs w:val="21"/>
              </w:rPr>
              <w:t>大气</w:t>
            </w:r>
          </w:p>
        </w:tc>
        <w:tc>
          <w:tcPr>
            <w:tcW w:w="3376" w:type="dxa"/>
            <w:vAlign w:val="top"/>
          </w:tcPr>
          <w:p w14:paraId="2D072F1D">
            <w:pPr>
              <w:pStyle w:val="6"/>
              <w:spacing w:before="34" w:line="219" w:lineRule="auto"/>
              <w:ind w:left="12"/>
              <w:rPr>
                <w:sz w:val="21"/>
                <w:szCs w:val="21"/>
              </w:rPr>
            </w:pPr>
            <w:r>
              <w:rPr>
                <w:spacing w:val="8"/>
                <w:sz w:val="21"/>
                <w:szCs w:val="21"/>
              </w:rPr>
              <w:t>油气、液体化工码头：全部；</w:t>
            </w:r>
          </w:p>
          <w:p w14:paraId="7F4091BC">
            <w:pPr>
              <w:pStyle w:val="6"/>
              <w:spacing w:before="20" w:line="227" w:lineRule="auto"/>
              <w:ind w:left="12" w:right="3"/>
              <w:rPr>
                <w:sz w:val="21"/>
                <w:szCs w:val="21"/>
              </w:rPr>
            </w:pPr>
            <w:r>
              <w:rPr>
                <w:spacing w:val="1"/>
                <w:sz w:val="21"/>
                <w:szCs w:val="21"/>
              </w:rPr>
              <w:t xml:space="preserve">干散货(含煤炭、矿石)、件杂、多  </w:t>
            </w:r>
            <w:r>
              <w:rPr>
                <w:spacing w:val="-1"/>
                <w:sz w:val="21"/>
                <w:szCs w:val="21"/>
              </w:rPr>
              <w:t>用途、通用码头：涉及粉尘、挥发性</w:t>
            </w:r>
            <w:r>
              <w:rPr>
                <w:spacing w:val="5"/>
                <w:sz w:val="21"/>
                <w:szCs w:val="21"/>
              </w:rPr>
              <w:t xml:space="preserve"> </w:t>
            </w:r>
            <w:r>
              <w:rPr>
                <w:spacing w:val="4"/>
                <w:sz w:val="21"/>
                <w:szCs w:val="21"/>
              </w:rPr>
              <w:t>有机物排放的项目</w:t>
            </w:r>
          </w:p>
        </w:tc>
        <w:tc>
          <w:tcPr>
            <w:tcW w:w="2607" w:type="dxa"/>
            <w:vAlign w:val="top"/>
          </w:tcPr>
          <w:p w14:paraId="7DD0C248">
            <w:pPr>
              <w:pStyle w:val="6"/>
              <w:spacing w:before="173" w:line="219" w:lineRule="auto"/>
              <w:ind w:left="35"/>
              <w:rPr>
                <w:sz w:val="21"/>
                <w:szCs w:val="21"/>
              </w:rPr>
            </w:pPr>
            <w:r>
              <w:rPr>
                <w:sz w:val="21"/>
                <w:szCs w:val="21"/>
              </w:rPr>
              <w:t>本项目为光伏建设项目，不</w:t>
            </w:r>
          </w:p>
          <w:p w14:paraId="39DB270F">
            <w:pPr>
              <w:pStyle w:val="6"/>
              <w:spacing w:before="12" w:line="219" w:lineRule="auto"/>
              <w:ind w:left="35"/>
              <w:rPr>
                <w:sz w:val="21"/>
                <w:szCs w:val="21"/>
              </w:rPr>
            </w:pPr>
            <w:r>
              <w:rPr>
                <w:spacing w:val="-1"/>
                <w:sz w:val="21"/>
                <w:szCs w:val="21"/>
              </w:rPr>
              <w:t>属于需做大气专项的项目类</w:t>
            </w:r>
          </w:p>
          <w:p w14:paraId="2902AA63">
            <w:pPr>
              <w:pStyle w:val="6"/>
              <w:spacing w:before="11" w:line="220" w:lineRule="auto"/>
              <w:ind w:left="1196"/>
              <w:rPr>
                <w:sz w:val="21"/>
                <w:szCs w:val="21"/>
              </w:rPr>
            </w:pPr>
            <w:r>
              <w:rPr>
                <w:sz w:val="21"/>
                <w:szCs w:val="21"/>
              </w:rPr>
              <w:t>别</w:t>
            </w:r>
          </w:p>
        </w:tc>
        <w:tc>
          <w:tcPr>
            <w:tcW w:w="824" w:type="dxa"/>
            <w:vAlign w:val="top"/>
          </w:tcPr>
          <w:p w14:paraId="2B74E737">
            <w:pPr>
              <w:spacing w:line="375" w:lineRule="auto"/>
              <w:rPr>
                <w:rFonts w:ascii="Arial"/>
                <w:sz w:val="21"/>
              </w:rPr>
            </w:pPr>
          </w:p>
          <w:p w14:paraId="434F1036">
            <w:pPr>
              <w:pStyle w:val="6"/>
              <w:spacing w:before="68" w:line="221" w:lineRule="auto"/>
              <w:ind w:left="88"/>
              <w:rPr>
                <w:sz w:val="21"/>
                <w:szCs w:val="21"/>
              </w:rPr>
            </w:pPr>
            <w:r>
              <w:rPr>
                <w:spacing w:val="-3"/>
                <w:sz w:val="21"/>
                <w:szCs w:val="21"/>
              </w:rPr>
              <w:t>不设置</w:t>
            </w:r>
          </w:p>
        </w:tc>
      </w:tr>
      <w:tr w14:paraId="77962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1264" w:type="dxa"/>
            <w:vMerge w:val="continue"/>
            <w:tcBorders>
              <w:top w:val="nil"/>
              <w:bottom w:val="nil"/>
            </w:tcBorders>
            <w:vAlign w:val="top"/>
          </w:tcPr>
          <w:p w14:paraId="26773422">
            <w:pPr>
              <w:rPr>
                <w:rFonts w:ascii="Arial"/>
                <w:sz w:val="21"/>
              </w:rPr>
            </w:pPr>
          </w:p>
        </w:tc>
        <w:tc>
          <w:tcPr>
            <w:tcW w:w="929" w:type="dxa"/>
            <w:vAlign w:val="top"/>
          </w:tcPr>
          <w:p w14:paraId="1E182633">
            <w:pPr>
              <w:spacing w:line="327" w:lineRule="auto"/>
              <w:rPr>
                <w:rFonts w:ascii="Arial"/>
                <w:sz w:val="21"/>
              </w:rPr>
            </w:pPr>
          </w:p>
          <w:p w14:paraId="77F411F1">
            <w:pPr>
              <w:spacing w:line="327" w:lineRule="auto"/>
              <w:rPr>
                <w:rFonts w:ascii="Arial"/>
                <w:sz w:val="21"/>
              </w:rPr>
            </w:pPr>
          </w:p>
          <w:p w14:paraId="2C1184FD">
            <w:pPr>
              <w:pStyle w:val="6"/>
              <w:spacing w:before="68" w:line="220" w:lineRule="auto"/>
              <w:ind w:left="240"/>
              <w:rPr>
                <w:sz w:val="21"/>
                <w:szCs w:val="21"/>
              </w:rPr>
            </w:pPr>
            <w:r>
              <w:rPr>
                <w:spacing w:val="6"/>
                <w:sz w:val="21"/>
                <w:szCs w:val="21"/>
              </w:rPr>
              <w:t>噪声</w:t>
            </w:r>
          </w:p>
        </w:tc>
        <w:tc>
          <w:tcPr>
            <w:tcW w:w="3376" w:type="dxa"/>
            <w:vAlign w:val="top"/>
          </w:tcPr>
          <w:p w14:paraId="39899F4B">
            <w:pPr>
              <w:pStyle w:val="6"/>
              <w:spacing w:before="44" w:line="239" w:lineRule="auto"/>
              <w:ind w:left="12"/>
              <w:rPr>
                <w:sz w:val="21"/>
                <w:szCs w:val="21"/>
              </w:rPr>
            </w:pPr>
            <w:r>
              <w:rPr>
                <w:spacing w:val="-1"/>
                <w:sz w:val="21"/>
                <w:szCs w:val="21"/>
              </w:rPr>
              <w:t>公路、铁路、机场等交通运输业涉及</w:t>
            </w:r>
            <w:r>
              <w:rPr>
                <w:spacing w:val="8"/>
                <w:sz w:val="21"/>
                <w:szCs w:val="21"/>
              </w:rPr>
              <w:t xml:space="preserve"> </w:t>
            </w:r>
            <w:r>
              <w:rPr>
                <w:spacing w:val="-2"/>
                <w:sz w:val="21"/>
                <w:szCs w:val="21"/>
              </w:rPr>
              <w:t>环境敏感区(以居住、医疗卫生、文</w:t>
            </w:r>
            <w:r>
              <w:rPr>
                <w:spacing w:val="3"/>
                <w:sz w:val="21"/>
                <w:szCs w:val="21"/>
              </w:rPr>
              <w:t xml:space="preserve">  </w:t>
            </w:r>
            <w:r>
              <w:rPr>
                <w:spacing w:val="-2"/>
                <w:sz w:val="21"/>
                <w:szCs w:val="21"/>
              </w:rPr>
              <w:t>化教育、科研、行政办公为主要功能</w:t>
            </w:r>
            <w:r>
              <w:rPr>
                <w:spacing w:val="4"/>
                <w:sz w:val="21"/>
                <w:szCs w:val="21"/>
              </w:rPr>
              <w:t xml:space="preserve"> </w:t>
            </w:r>
            <w:r>
              <w:rPr>
                <w:spacing w:val="11"/>
                <w:sz w:val="21"/>
                <w:szCs w:val="21"/>
              </w:rPr>
              <w:t>的区域)的项目；</w:t>
            </w:r>
          </w:p>
          <w:p w14:paraId="3FC243D9">
            <w:pPr>
              <w:pStyle w:val="6"/>
              <w:spacing w:before="12" w:line="213" w:lineRule="auto"/>
              <w:ind w:left="12" w:right="107"/>
              <w:rPr>
                <w:sz w:val="21"/>
                <w:szCs w:val="21"/>
              </w:rPr>
            </w:pPr>
            <w:r>
              <w:rPr>
                <w:spacing w:val="-1"/>
                <w:sz w:val="21"/>
                <w:szCs w:val="21"/>
              </w:rPr>
              <w:t>城市道路(不含维护，不含支路、人</w:t>
            </w:r>
            <w:r>
              <w:rPr>
                <w:spacing w:val="6"/>
                <w:sz w:val="21"/>
                <w:szCs w:val="21"/>
              </w:rPr>
              <w:t xml:space="preserve"> </w:t>
            </w:r>
            <w:r>
              <w:rPr>
                <w:sz w:val="21"/>
                <w:szCs w:val="21"/>
              </w:rPr>
              <w:t>行天桥、人行地道):全部</w:t>
            </w:r>
          </w:p>
        </w:tc>
        <w:tc>
          <w:tcPr>
            <w:tcW w:w="2607" w:type="dxa"/>
            <w:vAlign w:val="top"/>
          </w:tcPr>
          <w:p w14:paraId="64CE6C6F">
            <w:pPr>
              <w:spacing w:line="373" w:lineRule="auto"/>
              <w:rPr>
                <w:rFonts w:ascii="Arial"/>
                <w:sz w:val="21"/>
              </w:rPr>
            </w:pPr>
          </w:p>
          <w:p w14:paraId="11751769">
            <w:pPr>
              <w:pStyle w:val="6"/>
              <w:spacing w:before="68" w:line="219" w:lineRule="auto"/>
              <w:ind w:left="35"/>
              <w:rPr>
                <w:sz w:val="21"/>
                <w:szCs w:val="21"/>
              </w:rPr>
            </w:pPr>
            <w:r>
              <w:rPr>
                <w:sz w:val="21"/>
                <w:szCs w:val="21"/>
              </w:rPr>
              <w:t>本项目为光伏建设项目，不</w:t>
            </w:r>
          </w:p>
          <w:p w14:paraId="436E07DA">
            <w:pPr>
              <w:pStyle w:val="6"/>
              <w:spacing w:before="32" w:line="219" w:lineRule="auto"/>
              <w:ind w:left="35"/>
              <w:rPr>
                <w:sz w:val="21"/>
                <w:szCs w:val="21"/>
              </w:rPr>
            </w:pPr>
            <w:r>
              <w:rPr>
                <w:spacing w:val="-1"/>
                <w:sz w:val="21"/>
                <w:szCs w:val="21"/>
              </w:rPr>
              <w:t>属于需做噪声专项的项目类</w:t>
            </w:r>
          </w:p>
          <w:p w14:paraId="1984794B">
            <w:pPr>
              <w:pStyle w:val="6"/>
              <w:spacing w:before="21" w:line="220" w:lineRule="auto"/>
              <w:ind w:left="1196"/>
              <w:rPr>
                <w:sz w:val="21"/>
                <w:szCs w:val="21"/>
              </w:rPr>
            </w:pPr>
            <w:r>
              <w:rPr>
                <w:sz w:val="21"/>
                <w:szCs w:val="21"/>
              </w:rPr>
              <w:t>别</w:t>
            </w:r>
          </w:p>
        </w:tc>
        <w:tc>
          <w:tcPr>
            <w:tcW w:w="824" w:type="dxa"/>
            <w:vAlign w:val="top"/>
          </w:tcPr>
          <w:p w14:paraId="0D3244FC">
            <w:pPr>
              <w:spacing w:line="327" w:lineRule="auto"/>
              <w:rPr>
                <w:rFonts w:ascii="Arial"/>
                <w:sz w:val="21"/>
              </w:rPr>
            </w:pPr>
          </w:p>
          <w:p w14:paraId="6178EF95">
            <w:pPr>
              <w:spacing w:line="327" w:lineRule="auto"/>
              <w:rPr>
                <w:rFonts w:ascii="Arial"/>
                <w:sz w:val="21"/>
              </w:rPr>
            </w:pPr>
          </w:p>
          <w:p w14:paraId="32A13CF4">
            <w:pPr>
              <w:pStyle w:val="6"/>
              <w:spacing w:before="68" w:line="221" w:lineRule="auto"/>
              <w:ind w:left="88"/>
              <w:rPr>
                <w:sz w:val="21"/>
                <w:szCs w:val="21"/>
              </w:rPr>
            </w:pPr>
            <w:r>
              <w:rPr>
                <w:spacing w:val="-3"/>
                <w:sz w:val="21"/>
                <w:szCs w:val="21"/>
              </w:rPr>
              <w:t>不设置</w:t>
            </w:r>
          </w:p>
        </w:tc>
      </w:tr>
      <w:tr w14:paraId="79AE6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9" w:hRule="atLeast"/>
        </w:trPr>
        <w:tc>
          <w:tcPr>
            <w:tcW w:w="1264" w:type="dxa"/>
            <w:vMerge w:val="continue"/>
            <w:tcBorders>
              <w:top w:val="nil"/>
              <w:bottom w:val="nil"/>
            </w:tcBorders>
            <w:vAlign w:val="top"/>
          </w:tcPr>
          <w:p w14:paraId="07162C5F">
            <w:pPr>
              <w:rPr>
                <w:rFonts w:ascii="Arial"/>
                <w:sz w:val="21"/>
              </w:rPr>
            </w:pPr>
          </w:p>
        </w:tc>
        <w:tc>
          <w:tcPr>
            <w:tcW w:w="929" w:type="dxa"/>
            <w:vAlign w:val="top"/>
          </w:tcPr>
          <w:p w14:paraId="07CCDE94">
            <w:pPr>
              <w:spacing w:line="322" w:lineRule="auto"/>
              <w:rPr>
                <w:rFonts w:ascii="Arial"/>
                <w:sz w:val="21"/>
              </w:rPr>
            </w:pPr>
          </w:p>
          <w:p w14:paraId="44C8A7FE">
            <w:pPr>
              <w:spacing w:line="323" w:lineRule="auto"/>
              <w:rPr>
                <w:rFonts w:ascii="Arial"/>
                <w:sz w:val="21"/>
              </w:rPr>
            </w:pPr>
          </w:p>
          <w:p w14:paraId="4B45F3B5">
            <w:pPr>
              <w:pStyle w:val="6"/>
              <w:spacing w:before="68" w:line="220" w:lineRule="auto"/>
              <w:ind w:left="30"/>
              <w:rPr>
                <w:sz w:val="21"/>
                <w:szCs w:val="21"/>
              </w:rPr>
            </w:pPr>
            <w:r>
              <w:rPr>
                <w:spacing w:val="-2"/>
                <w:sz w:val="21"/>
                <w:szCs w:val="21"/>
              </w:rPr>
              <w:t>环境风险</w:t>
            </w:r>
          </w:p>
        </w:tc>
        <w:tc>
          <w:tcPr>
            <w:tcW w:w="3376" w:type="dxa"/>
            <w:vAlign w:val="top"/>
          </w:tcPr>
          <w:p w14:paraId="3165968C">
            <w:pPr>
              <w:pStyle w:val="6"/>
              <w:spacing w:before="55" w:line="219" w:lineRule="auto"/>
              <w:ind w:left="12"/>
              <w:rPr>
                <w:sz w:val="21"/>
                <w:szCs w:val="21"/>
              </w:rPr>
            </w:pPr>
            <w:r>
              <w:rPr>
                <w:spacing w:val="8"/>
                <w:sz w:val="21"/>
                <w:szCs w:val="21"/>
              </w:rPr>
              <w:t>石油和天然气开采：全部；</w:t>
            </w:r>
          </w:p>
          <w:p w14:paraId="0986B848">
            <w:pPr>
              <w:pStyle w:val="6"/>
              <w:spacing w:before="2" w:line="219" w:lineRule="auto"/>
              <w:ind w:left="12"/>
              <w:rPr>
                <w:sz w:val="21"/>
                <w:szCs w:val="21"/>
              </w:rPr>
            </w:pPr>
            <w:r>
              <w:rPr>
                <w:spacing w:val="8"/>
                <w:sz w:val="21"/>
                <w:szCs w:val="21"/>
              </w:rPr>
              <w:t>油气、液体化工码头：全部；</w:t>
            </w:r>
          </w:p>
          <w:p w14:paraId="243C8084">
            <w:pPr>
              <w:pStyle w:val="6"/>
              <w:spacing w:before="39" w:line="225" w:lineRule="auto"/>
              <w:ind w:left="12" w:right="85"/>
              <w:rPr>
                <w:sz w:val="21"/>
                <w:szCs w:val="21"/>
              </w:rPr>
            </w:pPr>
            <w:r>
              <w:rPr>
                <w:spacing w:val="-1"/>
                <w:sz w:val="21"/>
                <w:szCs w:val="21"/>
              </w:rPr>
              <w:t>原油、成品油、天然气管线(不含城</w:t>
            </w:r>
            <w:r>
              <w:rPr>
                <w:spacing w:val="1"/>
                <w:sz w:val="21"/>
                <w:szCs w:val="21"/>
              </w:rPr>
              <w:t xml:space="preserve"> </w:t>
            </w:r>
            <w:r>
              <w:rPr>
                <w:spacing w:val="4"/>
                <w:sz w:val="21"/>
                <w:szCs w:val="21"/>
              </w:rPr>
              <w:t>镇天然气管线、企业厂区内管线),</w:t>
            </w:r>
            <w:r>
              <w:rPr>
                <w:sz w:val="21"/>
                <w:szCs w:val="21"/>
              </w:rPr>
              <w:t xml:space="preserve"> 危险化学品输送管线(不含企业厂区</w:t>
            </w:r>
            <w:r>
              <w:rPr>
                <w:spacing w:val="11"/>
                <w:sz w:val="21"/>
                <w:szCs w:val="21"/>
              </w:rPr>
              <w:t xml:space="preserve"> </w:t>
            </w:r>
            <w:r>
              <w:rPr>
                <w:spacing w:val="1"/>
                <w:sz w:val="21"/>
                <w:szCs w:val="21"/>
              </w:rPr>
              <w:t>内管线):全部</w:t>
            </w:r>
          </w:p>
        </w:tc>
        <w:tc>
          <w:tcPr>
            <w:tcW w:w="2607" w:type="dxa"/>
            <w:vAlign w:val="top"/>
          </w:tcPr>
          <w:p w14:paraId="445CFD3F">
            <w:pPr>
              <w:spacing w:line="374" w:lineRule="auto"/>
              <w:rPr>
                <w:rFonts w:ascii="Arial"/>
                <w:sz w:val="21"/>
              </w:rPr>
            </w:pPr>
          </w:p>
          <w:p w14:paraId="2C566590">
            <w:pPr>
              <w:pStyle w:val="6"/>
              <w:spacing w:before="68" w:line="219" w:lineRule="auto"/>
              <w:ind w:left="35"/>
              <w:rPr>
                <w:sz w:val="21"/>
                <w:szCs w:val="21"/>
              </w:rPr>
            </w:pPr>
            <w:r>
              <w:rPr>
                <w:sz w:val="21"/>
                <w:szCs w:val="21"/>
              </w:rPr>
              <w:t>本项目为光伏建设项目，不</w:t>
            </w:r>
          </w:p>
          <w:p w14:paraId="3775DCA8">
            <w:pPr>
              <w:pStyle w:val="6"/>
              <w:spacing w:before="32" w:line="219" w:lineRule="auto"/>
              <w:ind w:left="35"/>
              <w:rPr>
                <w:sz w:val="21"/>
                <w:szCs w:val="21"/>
              </w:rPr>
            </w:pPr>
            <w:r>
              <w:rPr>
                <w:spacing w:val="1"/>
                <w:sz w:val="21"/>
                <w:szCs w:val="21"/>
              </w:rPr>
              <w:t>属于需做环境风险专项的项</w:t>
            </w:r>
          </w:p>
          <w:p w14:paraId="24BC6F68">
            <w:pPr>
              <w:pStyle w:val="6"/>
              <w:spacing w:before="20" w:line="219" w:lineRule="auto"/>
              <w:ind w:left="986"/>
              <w:rPr>
                <w:sz w:val="21"/>
                <w:szCs w:val="21"/>
              </w:rPr>
            </w:pPr>
            <w:r>
              <w:rPr>
                <w:spacing w:val="5"/>
                <w:sz w:val="21"/>
                <w:szCs w:val="21"/>
              </w:rPr>
              <w:t>目类别</w:t>
            </w:r>
          </w:p>
        </w:tc>
        <w:tc>
          <w:tcPr>
            <w:tcW w:w="824" w:type="dxa"/>
            <w:vAlign w:val="top"/>
          </w:tcPr>
          <w:p w14:paraId="54E0C04C">
            <w:pPr>
              <w:spacing w:line="322" w:lineRule="auto"/>
              <w:rPr>
                <w:rFonts w:ascii="Arial"/>
                <w:sz w:val="21"/>
              </w:rPr>
            </w:pPr>
          </w:p>
          <w:p w14:paraId="6C75AD7A">
            <w:pPr>
              <w:spacing w:line="323" w:lineRule="auto"/>
              <w:rPr>
                <w:rFonts w:ascii="Arial"/>
                <w:sz w:val="21"/>
              </w:rPr>
            </w:pPr>
          </w:p>
          <w:p w14:paraId="717B9DDD">
            <w:pPr>
              <w:pStyle w:val="6"/>
              <w:spacing w:before="68" w:line="221" w:lineRule="auto"/>
              <w:ind w:left="88"/>
              <w:rPr>
                <w:sz w:val="21"/>
                <w:szCs w:val="21"/>
              </w:rPr>
            </w:pPr>
            <w:r>
              <w:rPr>
                <w:spacing w:val="-3"/>
                <w:sz w:val="21"/>
                <w:szCs w:val="21"/>
              </w:rPr>
              <w:t>不设置</w:t>
            </w:r>
          </w:p>
        </w:tc>
      </w:tr>
      <w:tr w14:paraId="650C4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1264" w:type="dxa"/>
            <w:vMerge w:val="continue"/>
            <w:tcBorders>
              <w:top w:val="nil"/>
              <w:bottom w:val="nil"/>
            </w:tcBorders>
            <w:vAlign w:val="top"/>
          </w:tcPr>
          <w:p w14:paraId="2AACBE2C">
            <w:pPr>
              <w:rPr>
                <w:rFonts w:ascii="Arial"/>
                <w:sz w:val="21"/>
              </w:rPr>
            </w:pPr>
          </w:p>
        </w:tc>
        <w:tc>
          <w:tcPr>
            <w:tcW w:w="929" w:type="dxa"/>
            <w:vAlign w:val="top"/>
          </w:tcPr>
          <w:p w14:paraId="755A4CA7">
            <w:pPr>
              <w:spacing w:line="258" w:lineRule="auto"/>
              <w:rPr>
                <w:rFonts w:ascii="Arial"/>
                <w:sz w:val="21"/>
              </w:rPr>
            </w:pPr>
          </w:p>
          <w:p w14:paraId="10B45433">
            <w:pPr>
              <w:spacing w:line="258" w:lineRule="auto"/>
              <w:rPr>
                <w:rFonts w:ascii="Arial"/>
                <w:sz w:val="21"/>
              </w:rPr>
            </w:pPr>
          </w:p>
          <w:p w14:paraId="07FBC984">
            <w:pPr>
              <w:pStyle w:val="6"/>
              <w:spacing w:before="69" w:line="220" w:lineRule="auto"/>
              <w:ind w:left="30"/>
              <w:rPr>
                <w:sz w:val="21"/>
                <w:szCs w:val="21"/>
              </w:rPr>
            </w:pPr>
            <w:r>
              <w:rPr>
                <w:spacing w:val="2"/>
                <w:sz w:val="21"/>
                <w:szCs w:val="21"/>
              </w:rPr>
              <w:t>电磁环境</w:t>
            </w:r>
          </w:p>
        </w:tc>
        <w:tc>
          <w:tcPr>
            <w:tcW w:w="6807" w:type="dxa"/>
            <w:gridSpan w:val="3"/>
            <w:vAlign w:val="top"/>
          </w:tcPr>
          <w:p w14:paraId="6F78C08A">
            <w:pPr>
              <w:pStyle w:val="6"/>
              <w:spacing w:before="35" w:line="218" w:lineRule="auto"/>
              <w:ind w:left="81"/>
              <w:rPr>
                <w:sz w:val="21"/>
                <w:szCs w:val="21"/>
              </w:rPr>
            </w:pPr>
            <w:r>
              <w:rPr>
                <w:sz w:val="21"/>
                <w:szCs w:val="21"/>
              </w:rPr>
              <w:t>根据《环境影响评价技术导则输变电》(HJ24-2020)及《电磁环境控制限</w:t>
            </w:r>
          </w:p>
          <w:p w14:paraId="41481558">
            <w:pPr>
              <w:pStyle w:val="6"/>
              <w:spacing w:before="20" w:line="216" w:lineRule="auto"/>
              <w:ind w:left="191"/>
              <w:rPr>
                <w:sz w:val="21"/>
                <w:szCs w:val="21"/>
              </w:rPr>
            </w:pPr>
            <w:r>
              <w:rPr>
                <w:sz w:val="21"/>
                <w:szCs w:val="21"/>
              </w:rPr>
              <w:t>值》(GB8702-2014),100KV及以下输变电电磁辐</w:t>
            </w:r>
            <w:r>
              <w:rPr>
                <w:spacing w:val="-1"/>
                <w:sz w:val="21"/>
                <w:szCs w:val="21"/>
              </w:rPr>
              <w:t>射属于豁免范围，故本</w:t>
            </w:r>
          </w:p>
          <w:p w14:paraId="5B7A8FB6">
            <w:pPr>
              <w:pStyle w:val="6"/>
              <w:spacing w:before="35" w:line="219" w:lineRule="auto"/>
              <w:ind w:left="32"/>
              <w:rPr>
                <w:sz w:val="21"/>
                <w:szCs w:val="21"/>
              </w:rPr>
            </w:pPr>
            <w:r>
              <w:rPr>
                <w:sz w:val="21"/>
                <w:szCs w:val="21"/>
              </w:rPr>
              <w:t>项目35kV集电线路及光伏区属于豁免范围内。本项目拟建升压站电压等级</w:t>
            </w:r>
          </w:p>
          <w:p w14:paraId="22AA766B">
            <w:pPr>
              <w:pStyle w:val="6"/>
              <w:spacing w:before="49" w:line="202" w:lineRule="auto"/>
              <w:ind w:left="292"/>
              <w:rPr>
                <w:sz w:val="21"/>
                <w:szCs w:val="21"/>
              </w:rPr>
            </w:pPr>
            <w:r>
              <w:rPr>
                <w:sz w:val="21"/>
                <w:szCs w:val="21"/>
              </w:rPr>
              <w:t>为110kV,根据《环境影响评价技术导则输变电》(HJ24-2020)的相关</w:t>
            </w:r>
          </w:p>
          <w:p w14:paraId="26D540B1">
            <w:pPr>
              <w:pStyle w:val="6"/>
              <w:spacing w:line="215" w:lineRule="auto"/>
              <w:ind w:left="242"/>
              <w:rPr>
                <w:sz w:val="21"/>
                <w:szCs w:val="21"/>
              </w:rPr>
            </w:pPr>
            <w:r>
              <w:rPr>
                <w:spacing w:val="1"/>
                <w:sz w:val="21"/>
                <w:szCs w:val="21"/>
              </w:rPr>
              <w:t>要求，需对升压站开展“电磁环境影响专项评价”,具体详见专</w:t>
            </w:r>
            <w:r>
              <w:rPr>
                <w:sz w:val="21"/>
                <w:szCs w:val="21"/>
              </w:rPr>
              <w:t>题一。</w:t>
            </w:r>
          </w:p>
        </w:tc>
      </w:tr>
      <w:tr w14:paraId="4786C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264" w:type="dxa"/>
            <w:vMerge w:val="continue"/>
            <w:tcBorders>
              <w:top w:val="nil"/>
            </w:tcBorders>
            <w:vAlign w:val="top"/>
          </w:tcPr>
          <w:p w14:paraId="40BADE69">
            <w:pPr>
              <w:rPr>
                <w:rFonts w:ascii="Arial"/>
                <w:sz w:val="21"/>
              </w:rPr>
            </w:pPr>
          </w:p>
        </w:tc>
        <w:tc>
          <w:tcPr>
            <w:tcW w:w="7736" w:type="dxa"/>
            <w:gridSpan w:val="4"/>
            <w:vAlign w:val="top"/>
          </w:tcPr>
          <w:p w14:paraId="59441E0C">
            <w:pPr>
              <w:pStyle w:val="6"/>
              <w:spacing w:before="48" w:line="219" w:lineRule="auto"/>
              <w:jc w:val="right"/>
              <w:rPr>
                <w:sz w:val="21"/>
                <w:szCs w:val="21"/>
              </w:rPr>
            </w:pPr>
            <w:r>
              <w:rPr>
                <w:spacing w:val="45"/>
                <w:sz w:val="21"/>
                <w:szCs w:val="21"/>
              </w:rPr>
              <w:t>注：“涉及环境敏感区”是指建设项目位于、穿(跨)越(无害化通</w:t>
            </w:r>
          </w:p>
        </w:tc>
      </w:tr>
    </w:tbl>
    <w:p w14:paraId="222E1393">
      <w:pPr>
        <w:pStyle w:val="2"/>
      </w:pPr>
    </w:p>
    <w:p w14:paraId="34E61D0A">
      <w:pPr>
        <w:sectPr>
          <w:footerReference r:id="rId10" w:type="default"/>
          <w:pgSz w:w="11910" w:h="16830"/>
          <w:pgMar w:top="400" w:right="1484" w:bottom="1243" w:left="1415" w:header="0" w:footer="1081" w:gutter="0"/>
          <w:cols w:space="720" w:num="1"/>
        </w:sectPr>
      </w:pPr>
    </w:p>
    <w:p w14:paraId="3F294F46">
      <w:pPr>
        <w:spacing w:before="18"/>
      </w:pPr>
    </w:p>
    <w:p w14:paraId="0ADDFA7F">
      <w:pPr>
        <w:spacing w:before="18"/>
      </w:pPr>
    </w:p>
    <w:p w14:paraId="6133F3B9">
      <w:pPr>
        <w:spacing w:before="17"/>
      </w:pPr>
    </w:p>
    <w:p w14:paraId="61BE43F1">
      <w:pPr>
        <w:spacing w:before="17"/>
      </w:pPr>
    </w:p>
    <w:p w14:paraId="45505E62">
      <w:pPr>
        <w:spacing w:before="17"/>
      </w:pPr>
    </w:p>
    <w:tbl>
      <w:tblPr>
        <w:tblStyle w:val="5"/>
        <w:tblW w:w="897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3"/>
        <w:gridCol w:w="709"/>
        <w:gridCol w:w="3136"/>
        <w:gridCol w:w="3087"/>
        <w:gridCol w:w="812"/>
      </w:tblGrid>
      <w:tr w14:paraId="27DDD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1233" w:type="dxa"/>
            <w:vAlign w:val="top"/>
          </w:tcPr>
          <w:p w14:paraId="3D519F98">
            <w:pPr>
              <w:rPr>
                <w:rFonts w:ascii="Arial"/>
                <w:sz w:val="21"/>
              </w:rPr>
            </w:pPr>
          </w:p>
        </w:tc>
        <w:tc>
          <w:tcPr>
            <w:tcW w:w="7744" w:type="dxa"/>
            <w:gridSpan w:val="4"/>
            <w:vAlign w:val="top"/>
          </w:tcPr>
          <w:p w14:paraId="5E0632CD">
            <w:pPr>
              <w:pStyle w:val="6"/>
              <w:spacing w:before="34" w:line="346" w:lineRule="auto"/>
              <w:ind w:left="11"/>
              <w:rPr>
                <w:sz w:val="24"/>
                <w:szCs w:val="24"/>
              </w:rPr>
            </w:pPr>
            <w:r>
              <w:rPr>
                <w:spacing w:val="-2"/>
                <w:sz w:val="24"/>
                <w:szCs w:val="24"/>
              </w:rPr>
              <w:t>过的除外)环境敏感区，或环境影响范围涵盖环境敏感区。环境敏感区是</w:t>
            </w:r>
            <w:r>
              <w:rPr>
                <w:spacing w:val="4"/>
                <w:sz w:val="24"/>
                <w:szCs w:val="24"/>
              </w:rPr>
              <w:t xml:space="preserve">  </w:t>
            </w:r>
            <w:r>
              <w:rPr>
                <w:spacing w:val="-6"/>
                <w:sz w:val="24"/>
                <w:szCs w:val="24"/>
              </w:rPr>
              <w:t>指《建设项目环境影响评价分类管理名录》中针对该类项目所列的敏感区。</w:t>
            </w:r>
          </w:p>
        </w:tc>
      </w:tr>
      <w:tr w14:paraId="1FB8E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8" w:hRule="atLeast"/>
        </w:trPr>
        <w:tc>
          <w:tcPr>
            <w:tcW w:w="1233" w:type="dxa"/>
            <w:vAlign w:val="top"/>
          </w:tcPr>
          <w:p w14:paraId="1B24F216">
            <w:pPr>
              <w:spacing w:line="244" w:lineRule="auto"/>
              <w:rPr>
                <w:rFonts w:ascii="Arial"/>
                <w:sz w:val="21"/>
              </w:rPr>
            </w:pPr>
          </w:p>
          <w:p w14:paraId="2B71D596">
            <w:pPr>
              <w:spacing w:line="244" w:lineRule="auto"/>
              <w:rPr>
                <w:rFonts w:ascii="Arial"/>
                <w:sz w:val="21"/>
              </w:rPr>
            </w:pPr>
          </w:p>
          <w:p w14:paraId="004EB832">
            <w:pPr>
              <w:spacing w:line="244" w:lineRule="auto"/>
              <w:rPr>
                <w:rFonts w:ascii="Arial"/>
                <w:sz w:val="21"/>
              </w:rPr>
            </w:pPr>
          </w:p>
          <w:p w14:paraId="39C6F848">
            <w:pPr>
              <w:spacing w:line="245" w:lineRule="auto"/>
              <w:rPr>
                <w:rFonts w:ascii="Arial"/>
                <w:sz w:val="21"/>
              </w:rPr>
            </w:pPr>
          </w:p>
          <w:p w14:paraId="2FE9DCB4">
            <w:pPr>
              <w:pStyle w:val="6"/>
              <w:spacing w:before="78" w:line="220" w:lineRule="auto"/>
              <w:ind w:left="124"/>
              <w:rPr>
                <w:sz w:val="24"/>
                <w:szCs w:val="24"/>
              </w:rPr>
            </w:pPr>
            <w:r>
              <w:rPr>
                <w:spacing w:val="2"/>
                <w:sz w:val="24"/>
                <w:szCs w:val="24"/>
              </w:rPr>
              <w:t>规划情况</w:t>
            </w:r>
          </w:p>
        </w:tc>
        <w:tc>
          <w:tcPr>
            <w:tcW w:w="7744" w:type="dxa"/>
            <w:gridSpan w:val="4"/>
            <w:vAlign w:val="top"/>
          </w:tcPr>
          <w:p w14:paraId="1C8E3C4E">
            <w:pPr>
              <w:pStyle w:val="6"/>
              <w:spacing w:before="39" w:line="291" w:lineRule="auto"/>
              <w:ind w:left="11" w:right="386"/>
              <w:rPr>
                <w:sz w:val="24"/>
                <w:szCs w:val="24"/>
              </w:rPr>
            </w:pPr>
            <w:r>
              <w:rPr>
                <w:sz w:val="24"/>
                <w:szCs w:val="24"/>
              </w:rPr>
              <w:t>1、《云南省发展和改革委员会云南省能源局关于印发云南省2023年第</w:t>
            </w:r>
            <w:r>
              <w:rPr>
                <w:spacing w:val="14"/>
                <w:sz w:val="24"/>
                <w:szCs w:val="24"/>
              </w:rPr>
              <w:t xml:space="preserve"> </w:t>
            </w:r>
            <w:r>
              <w:rPr>
                <w:sz w:val="24"/>
                <w:szCs w:val="24"/>
              </w:rPr>
              <w:t>一批新能源建设方案的通知》(云能源水电【2023】170号</w:t>
            </w:r>
            <w:r>
              <w:rPr>
                <w:spacing w:val="-1"/>
                <w:sz w:val="24"/>
                <w:szCs w:val="24"/>
              </w:rPr>
              <w:t>)。</w:t>
            </w:r>
          </w:p>
          <w:p w14:paraId="1AE79E93">
            <w:pPr>
              <w:pStyle w:val="6"/>
              <w:spacing w:before="175" w:line="316" w:lineRule="auto"/>
              <w:ind w:left="11" w:right="253"/>
              <w:rPr>
                <w:sz w:val="24"/>
                <w:szCs w:val="24"/>
              </w:rPr>
            </w:pPr>
            <w:r>
              <w:rPr>
                <w:spacing w:val="1"/>
                <w:sz w:val="24"/>
                <w:szCs w:val="24"/>
              </w:rPr>
              <w:t>2、曲靖市新能源开发建设三年行动计划(2022-202</w:t>
            </w:r>
            <w:r>
              <w:rPr>
                <w:sz w:val="24"/>
                <w:szCs w:val="24"/>
              </w:rPr>
              <w:t>4年)规划名称：《曲 靖市新能源开发建设三年行动计划(2022-2024年)的通知》;审批文</w:t>
            </w:r>
            <w:r>
              <w:rPr>
                <w:spacing w:val="-1"/>
                <w:sz w:val="24"/>
                <w:szCs w:val="24"/>
              </w:rPr>
              <w:t>号：</w:t>
            </w:r>
            <w:r>
              <w:rPr>
                <w:sz w:val="24"/>
                <w:szCs w:val="24"/>
              </w:rPr>
              <w:t xml:space="preserve"> 2022年4月20日，曲靖市人民政府发布。</w:t>
            </w:r>
          </w:p>
        </w:tc>
      </w:tr>
      <w:tr w14:paraId="5C1FC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9" w:hRule="atLeast"/>
        </w:trPr>
        <w:tc>
          <w:tcPr>
            <w:tcW w:w="1233" w:type="dxa"/>
            <w:vAlign w:val="top"/>
          </w:tcPr>
          <w:p w14:paraId="7316D093">
            <w:pPr>
              <w:spacing w:line="432" w:lineRule="auto"/>
              <w:rPr>
                <w:rFonts w:ascii="Arial"/>
                <w:sz w:val="21"/>
              </w:rPr>
            </w:pPr>
          </w:p>
          <w:p w14:paraId="4F855830">
            <w:pPr>
              <w:pStyle w:val="6"/>
              <w:spacing w:before="78" w:line="220" w:lineRule="auto"/>
              <w:ind w:left="124"/>
              <w:rPr>
                <w:sz w:val="24"/>
                <w:szCs w:val="24"/>
              </w:rPr>
            </w:pPr>
            <w:r>
              <w:rPr>
                <w:spacing w:val="2"/>
                <w:sz w:val="24"/>
                <w:szCs w:val="24"/>
              </w:rPr>
              <w:t>规划环境</w:t>
            </w:r>
          </w:p>
          <w:p w14:paraId="46B13158">
            <w:pPr>
              <w:pStyle w:val="6"/>
              <w:spacing w:before="21" w:line="218" w:lineRule="auto"/>
              <w:ind w:left="124"/>
              <w:rPr>
                <w:sz w:val="24"/>
                <w:szCs w:val="24"/>
              </w:rPr>
            </w:pPr>
            <w:r>
              <w:rPr>
                <w:spacing w:val="-2"/>
                <w:sz w:val="24"/>
                <w:szCs w:val="24"/>
              </w:rPr>
              <w:t>影响评价</w:t>
            </w:r>
          </w:p>
          <w:p w14:paraId="4682BEB8">
            <w:pPr>
              <w:pStyle w:val="6"/>
              <w:spacing w:before="39" w:line="220" w:lineRule="auto"/>
              <w:ind w:left="364"/>
              <w:rPr>
                <w:sz w:val="24"/>
                <w:szCs w:val="24"/>
              </w:rPr>
            </w:pPr>
            <w:r>
              <w:rPr>
                <w:spacing w:val="5"/>
                <w:sz w:val="24"/>
                <w:szCs w:val="24"/>
              </w:rPr>
              <w:t>情况</w:t>
            </w:r>
          </w:p>
        </w:tc>
        <w:tc>
          <w:tcPr>
            <w:tcW w:w="7744" w:type="dxa"/>
            <w:gridSpan w:val="4"/>
            <w:vAlign w:val="top"/>
          </w:tcPr>
          <w:p w14:paraId="1D7A5D91">
            <w:pPr>
              <w:pStyle w:val="6"/>
              <w:spacing w:before="49" w:line="348" w:lineRule="auto"/>
              <w:ind w:left="11" w:firstLine="429"/>
              <w:jc w:val="both"/>
              <w:rPr>
                <w:sz w:val="24"/>
                <w:szCs w:val="24"/>
              </w:rPr>
            </w:pPr>
            <w:r>
              <w:rPr>
                <w:sz w:val="24"/>
                <w:szCs w:val="24"/>
              </w:rPr>
              <w:t>《云南省绿色能源发展“十四五”规划》环境</w:t>
            </w:r>
            <w:r>
              <w:rPr>
                <w:spacing w:val="-1"/>
                <w:sz w:val="24"/>
                <w:szCs w:val="24"/>
              </w:rPr>
              <w:t>影响篇章(第六章)审查</w:t>
            </w:r>
            <w:r>
              <w:rPr>
                <w:sz w:val="24"/>
                <w:szCs w:val="24"/>
              </w:rPr>
              <w:t xml:space="preserve">  机关：云南省人民政府办公厅审批文件及文号：《云南省人民政府办公厅 </w:t>
            </w:r>
            <w:r>
              <w:rPr>
                <w:spacing w:val="1"/>
                <w:sz w:val="24"/>
                <w:szCs w:val="24"/>
              </w:rPr>
              <w:t>关于印发云南省绿色能源发展“十四五”规划的通知》(云政办发〔2022)</w:t>
            </w:r>
            <w:r>
              <w:rPr>
                <w:spacing w:val="6"/>
                <w:sz w:val="24"/>
                <w:szCs w:val="24"/>
              </w:rPr>
              <w:t xml:space="preserve"> </w:t>
            </w:r>
            <w:r>
              <w:rPr>
                <w:spacing w:val="17"/>
                <w:sz w:val="24"/>
                <w:szCs w:val="24"/>
              </w:rPr>
              <w:t>99号)</w:t>
            </w:r>
          </w:p>
        </w:tc>
      </w:tr>
      <w:tr w14:paraId="5381F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6" w:hRule="atLeast"/>
        </w:trPr>
        <w:tc>
          <w:tcPr>
            <w:tcW w:w="1233" w:type="dxa"/>
            <w:vMerge w:val="restart"/>
            <w:tcBorders>
              <w:bottom w:val="nil"/>
            </w:tcBorders>
            <w:vAlign w:val="top"/>
          </w:tcPr>
          <w:p w14:paraId="0E56FD7E">
            <w:pPr>
              <w:spacing w:line="257" w:lineRule="auto"/>
              <w:rPr>
                <w:rFonts w:ascii="Arial"/>
                <w:sz w:val="21"/>
              </w:rPr>
            </w:pPr>
          </w:p>
          <w:p w14:paraId="76577F2D">
            <w:pPr>
              <w:spacing w:line="257" w:lineRule="auto"/>
              <w:rPr>
                <w:rFonts w:ascii="Arial"/>
                <w:sz w:val="21"/>
              </w:rPr>
            </w:pPr>
          </w:p>
          <w:p w14:paraId="4C3404E1">
            <w:pPr>
              <w:spacing w:line="257" w:lineRule="auto"/>
              <w:rPr>
                <w:rFonts w:ascii="Arial"/>
                <w:sz w:val="21"/>
              </w:rPr>
            </w:pPr>
          </w:p>
          <w:p w14:paraId="43091636">
            <w:pPr>
              <w:spacing w:line="257" w:lineRule="auto"/>
              <w:rPr>
                <w:rFonts w:ascii="Arial"/>
                <w:sz w:val="21"/>
              </w:rPr>
            </w:pPr>
          </w:p>
          <w:p w14:paraId="0906A242">
            <w:pPr>
              <w:spacing w:line="257" w:lineRule="auto"/>
              <w:rPr>
                <w:rFonts w:ascii="Arial"/>
                <w:sz w:val="21"/>
              </w:rPr>
            </w:pPr>
          </w:p>
          <w:p w14:paraId="4325EFC5">
            <w:pPr>
              <w:spacing w:line="257" w:lineRule="auto"/>
              <w:rPr>
                <w:rFonts w:ascii="Arial"/>
                <w:sz w:val="21"/>
              </w:rPr>
            </w:pPr>
          </w:p>
          <w:p w14:paraId="3CA6656A">
            <w:pPr>
              <w:spacing w:line="258" w:lineRule="auto"/>
              <w:rPr>
                <w:rFonts w:ascii="Arial"/>
                <w:sz w:val="21"/>
              </w:rPr>
            </w:pPr>
          </w:p>
          <w:p w14:paraId="298B1A28">
            <w:pPr>
              <w:spacing w:line="258" w:lineRule="auto"/>
              <w:rPr>
                <w:rFonts w:ascii="Arial"/>
                <w:sz w:val="21"/>
              </w:rPr>
            </w:pPr>
          </w:p>
          <w:p w14:paraId="1A0E6E63">
            <w:pPr>
              <w:spacing w:line="258" w:lineRule="auto"/>
              <w:rPr>
                <w:rFonts w:ascii="Arial"/>
                <w:sz w:val="21"/>
              </w:rPr>
            </w:pPr>
          </w:p>
          <w:p w14:paraId="0C243107">
            <w:pPr>
              <w:spacing w:line="258" w:lineRule="auto"/>
              <w:rPr>
                <w:rFonts w:ascii="Arial"/>
                <w:sz w:val="21"/>
              </w:rPr>
            </w:pPr>
          </w:p>
          <w:p w14:paraId="30F7B187">
            <w:pPr>
              <w:spacing w:line="258" w:lineRule="auto"/>
              <w:rPr>
                <w:rFonts w:ascii="Arial"/>
                <w:sz w:val="21"/>
              </w:rPr>
            </w:pPr>
          </w:p>
          <w:p w14:paraId="2DB54240">
            <w:pPr>
              <w:spacing w:line="258" w:lineRule="auto"/>
              <w:rPr>
                <w:rFonts w:ascii="Arial"/>
                <w:sz w:val="21"/>
              </w:rPr>
            </w:pPr>
          </w:p>
          <w:p w14:paraId="36DE298B">
            <w:pPr>
              <w:spacing w:line="258" w:lineRule="auto"/>
              <w:rPr>
                <w:rFonts w:ascii="Arial"/>
                <w:sz w:val="21"/>
              </w:rPr>
            </w:pPr>
          </w:p>
          <w:p w14:paraId="15A6E2D1">
            <w:pPr>
              <w:pStyle w:val="6"/>
              <w:spacing w:before="78" w:line="221" w:lineRule="auto"/>
              <w:ind w:left="124"/>
              <w:rPr>
                <w:sz w:val="24"/>
                <w:szCs w:val="24"/>
              </w:rPr>
            </w:pPr>
            <w:r>
              <w:rPr>
                <w:spacing w:val="2"/>
                <w:sz w:val="24"/>
                <w:szCs w:val="24"/>
              </w:rPr>
              <w:t>规划及规</w:t>
            </w:r>
          </w:p>
          <w:p w14:paraId="329B4035">
            <w:pPr>
              <w:pStyle w:val="6"/>
              <w:spacing w:before="20" w:line="220" w:lineRule="auto"/>
              <w:ind w:left="124"/>
              <w:rPr>
                <w:sz w:val="24"/>
                <w:szCs w:val="24"/>
              </w:rPr>
            </w:pPr>
            <w:r>
              <w:rPr>
                <w:spacing w:val="-2"/>
                <w:sz w:val="24"/>
                <w:szCs w:val="24"/>
              </w:rPr>
              <w:t>划环境影</w:t>
            </w:r>
          </w:p>
          <w:p w14:paraId="65D9ECD3">
            <w:pPr>
              <w:pStyle w:val="6"/>
              <w:spacing w:before="21" w:line="218" w:lineRule="auto"/>
              <w:ind w:left="124"/>
              <w:rPr>
                <w:sz w:val="24"/>
                <w:szCs w:val="24"/>
              </w:rPr>
            </w:pPr>
            <w:r>
              <w:rPr>
                <w:spacing w:val="2"/>
                <w:sz w:val="24"/>
                <w:szCs w:val="24"/>
              </w:rPr>
              <w:t>响评价符</w:t>
            </w:r>
          </w:p>
          <w:p w14:paraId="2E7CD140">
            <w:pPr>
              <w:pStyle w:val="6"/>
              <w:spacing w:before="29" w:line="220" w:lineRule="auto"/>
              <w:ind w:left="124"/>
              <w:rPr>
                <w:sz w:val="24"/>
                <w:szCs w:val="24"/>
              </w:rPr>
            </w:pPr>
            <w:r>
              <w:rPr>
                <w:spacing w:val="2"/>
                <w:sz w:val="24"/>
                <w:szCs w:val="24"/>
              </w:rPr>
              <w:t>合性分析</w:t>
            </w:r>
          </w:p>
        </w:tc>
        <w:tc>
          <w:tcPr>
            <w:tcW w:w="7744" w:type="dxa"/>
            <w:gridSpan w:val="4"/>
            <w:vAlign w:val="top"/>
          </w:tcPr>
          <w:p w14:paraId="4663525D">
            <w:pPr>
              <w:pStyle w:val="6"/>
              <w:spacing w:before="69" w:line="355" w:lineRule="auto"/>
              <w:ind w:left="15" w:right="389"/>
              <w:rPr>
                <w:sz w:val="24"/>
                <w:szCs w:val="24"/>
              </w:rPr>
            </w:pPr>
            <w:r>
              <w:rPr>
                <w:b/>
                <w:bCs/>
                <w:spacing w:val="-2"/>
                <w:sz w:val="24"/>
                <w:szCs w:val="24"/>
              </w:rPr>
              <w:t>1与《云南省发展和改革委员会云南省能源局关于印</w:t>
            </w:r>
            <w:r>
              <w:rPr>
                <w:b/>
                <w:bCs/>
                <w:spacing w:val="-3"/>
                <w:sz w:val="24"/>
                <w:szCs w:val="24"/>
              </w:rPr>
              <w:t>发云南省2023年第</w:t>
            </w:r>
            <w:r>
              <w:rPr>
                <w:sz w:val="24"/>
                <w:szCs w:val="24"/>
              </w:rPr>
              <w:t xml:space="preserve"> </w:t>
            </w:r>
            <w:r>
              <w:rPr>
                <w:b/>
                <w:bCs/>
                <w:spacing w:val="-4"/>
                <w:sz w:val="24"/>
                <w:szCs w:val="24"/>
              </w:rPr>
              <w:t>一批新能源建设方案的通知》符合性分析</w:t>
            </w:r>
          </w:p>
          <w:p w14:paraId="1DAA8CD1">
            <w:pPr>
              <w:pStyle w:val="6"/>
              <w:spacing w:line="353" w:lineRule="auto"/>
              <w:ind w:left="11" w:right="269" w:firstLine="430"/>
              <w:rPr>
                <w:sz w:val="24"/>
                <w:szCs w:val="24"/>
              </w:rPr>
            </w:pPr>
            <w:r>
              <w:rPr>
                <w:sz w:val="24"/>
                <w:szCs w:val="24"/>
              </w:rPr>
              <w:t>2023年6月20日，云南省发展和改革委员会及云南省能源局联合发</w:t>
            </w:r>
            <w:r>
              <w:rPr>
                <w:spacing w:val="4"/>
                <w:sz w:val="24"/>
                <w:szCs w:val="24"/>
              </w:rPr>
              <w:t xml:space="preserve">  </w:t>
            </w:r>
            <w:r>
              <w:rPr>
                <w:sz w:val="24"/>
                <w:szCs w:val="24"/>
              </w:rPr>
              <w:t>布《云南省发展和改革委员会云南省能源局关于印发云南省2023年第一</w:t>
            </w:r>
            <w:r>
              <w:rPr>
                <w:spacing w:val="12"/>
                <w:sz w:val="24"/>
                <w:szCs w:val="24"/>
              </w:rPr>
              <w:t xml:space="preserve"> </w:t>
            </w:r>
            <w:r>
              <w:rPr>
                <w:sz w:val="24"/>
                <w:szCs w:val="24"/>
              </w:rPr>
              <w:t>批新能源建设方案的通知》(云能源水电【2023】170号),本项目为云</w:t>
            </w:r>
          </w:p>
          <w:p w14:paraId="75CAAC34">
            <w:pPr>
              <w:pStyle w:val="6"/>
              <w:spacing w:before="21" w:line="345" w:lineRule="auto"/>
              <w:ind w:left="11" w:right="270"/>
              <w:rPr>
                <w:sz w:val="24"/>
                <w:szCs w:val="24"/>
              </w:rPr>
            </w:pPr>
            <w:r>
              <w:rPr>
                <w:sz w:val="24"/>
                <w:szCs w:val="24"/>
              </w:rPr>
              <w:t>南省2023年第一批新能源项目建设清单中“(一)曲靖市”中第36个“栗</w:t>
            </w:r>
            <w:r>
              <w:rPr>
                <w:spacing w:val="10"/>
                <w:sz w:val="24"/>
                <w:szCs w:val="24"/>
              </w:rPr>
              <w:t xml:space="preserve"> </w:t>
            </w:r>
            <w:r>
              <w:rPr>
                <w:sz w:val="24"/>
                <w:szCs w:val="24"/>
              </w:rPr>
              <w:t>树园村光伏发电项目”;并且本项目设计交流装机容量50MW,满足建设</w:t>
            </w:r>
          </w:p>
          <w:p w14:paraId="4F04B889">
            <w:pPr>
              <w:pStyle w:val="6"/>
              <w:spacing w:before="35" w:line="220" w:lineRule="auto"/>
              <w:ind w:left="11"/>
              <w:rPr>
                <w:sz w:val="24"/>
                <w:szCs w:val="24"/>
              </w:rPr>
            </w:pPr>
            <w:r>
              <w:rPr>
                <w:sz w:val="24"/>
                <w:szCs w:val="24"/>
              </w:rPr>
              <w:t>清单中建设容量要求的5万千瓦。</w:t>
            </w:r>
          </w:p>
          <w:p w14:paraId="6C87DD8D">
            <w:pPr>
              <w:pStyle w:val="6"/>
              <w:spacing w:before="164" w:line="364" w:lineRule="auto"/>
              <w:ind w:left="11" w:right="178" w:firstLine="449"/>
              <w:rPr>
                <w:sz w:val="24"/>
                <w:szCs w:val="24"/>
              </w:rPr>
            </w:pPr>
            <w:r>
              <w:rPr>
                <w:sz w:val="24"/>
                <w:szCs w:val="24"/>
              </w:rPr>
              <w:t>项目与“关于印发云南省2023年第一批新能源建设方案的通知”(云</w:t>
            </w:r>
            <w:r>
              <w:rPr>
                <w:spacing w:val="13"/>
                <w:sz w:val="24"/>
                <w:szCs w:val="24"/>
              </w:rPr>
              <w:t xml:space="preserve"> </w:t>
            </w:r>
            <w:r>
              <w:rPr>
                <w:sz w:val="24"/>
                <w:szCs w:val="24"/>
              </w:rPr>
              <w:t>能源水电【2023】170号)的中相关开发原则符合性分析见下</w:t>
            </w:r>
            <w:r>
              <w:rPr>
                <w:spacing w:val="-1"/>
                <w:sz w:val="24"/>
                <w:szCs w:val="24"/>
              </w:rPr>
              <w:t>表：</w:t>
            </w:r>
          </w:p>
          <w:p w14:paraId="5EE0463C">
            <w:pPr>
              <w:pStyle w:val="6"/>
              <w:spacing w:line="212" w:lineRule="auto"/>
              <w:ind w:left="845"/>
              <w:rPr>
                <w:sz w:val="24"/>
                <w:szCs w:val="24"/>
              </w:rPr>
            </w:pPr>
            <w:r>
              <w:rPr>
                <w:b/>
                <w:bCs/>
                <w:spacing w:val="-3"/>
                <w:sz w:val="24"/>
                <w:szCs w:val="24"/>
              </w:rPr>
              <w:t>表1-2项目与云能源水电【2023】170号文符合性分析</w:t>
            </w:r>
          </w:p>
        </w:tc>
      </w:tr>
      <w:tr w14:paraId="49EB0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233" w:type="dxa"/>
            <w:vMerge w:val="continue"/>
            <w:tcBorders>
              <w:top w:val="nil"/>
              <w:bottom w:val="nil"/>
            </w:tcBorders>
            <w:vAlign w:val="top"/>
          </w:tcPr>
          <w:p w14:paraId="7D44BF41">
            <w:pPr>
              <w:rPr>
                <w:rFonts w:ascii="Arial"/>
                <w:sz w:val="21"/>
              </w:rPr>
            </w:pPr>
          </w:p>
        </w:tc>
        <w:tc>
          <w:tcPr>
            <w:tcW w:w="709" w:type="dxa"/>
            <w:vAlign w:val="top"/>
          </w:tcPr>
          <w:p w14:paraId="56C716CB">
            <w:pPr>
              <w:pStyle w:val="6"/>
              <w:spacing w:before="159" w:line="221" w:lineRule="auto"/>
              <w:ind w:left="101"/>
              <w:rPr>
                <w:sz w:val="24"/>
                <w:szCs w:val="24"/>
              </w:rPr>
            </w:pPr>
            <w:r>
              <w:rPr>
                <w:spacing w:val="7"/>
                <w:sz w:val="24"/>
                <w:szCs w:val="24"/>
              </w:rPr>
              <w:t>序号</w:t>
            </w:r>
          </w:p>
        </w:tc>
        <w:tc>
          <w:tcPr>
            <w:tcW w:w="3136" w:type="dxa"/>
            <w:vAlign w:val="top"/>
          </w:tcPr>
          <w:p w14:paraId="1D46735C">
            <w:pPr>
              <w:pStyle w:val="6"/>
              <w:spacing w:before="158" w:line="220" w:lineRule="auto"/>
              <w:ind w:left="842"/>
              <w:rPr>
                <w:sz w:val="24"/>
                <w:szCs w:val="24"/>
              </w:rPr>
            </w:pPr>
            <w:r>
              <w:rPr>
                <w:spacing w:val="3"/>
                <w:sz w:val="24"/>
                <w:szCs w:val="24"/>
              </w:rPr>
              <w:t>项目开发原则</w:t>
            </w:r>
          </w:p>
        </w:tc>
        <w:tc>
          <w:tcPr>
            <w:tcW w:w="3087" w:type="dxa"/>
            <w:vAlign w:val="top"/>
          </w:tcPr>
          <w:p w14:paraId="6963FF53">
            <w:pPr>
              <w:pStyle w:val="6"/>
              <w:spacing w:before="156" w:line="219" w:lineRule="auto"/>
              <w:ind w:left="937"/>
              <w:rPr>
                <w:sz w:val="24"/>
                <w:szCs w:val="24"/>
              </w:rPr>
            </w:pPr>
            <w:r>
              <w:rPr>
                <w:spacing w:val="2"/>
                <w:sz w:val="24"/>
                <w:szCs w:val="24"/>
              </w:rPr>
              <w:t>本工程情况</w:t>
            </w:r>
          </w:p>
        </w:tc>
        <w:tc>
          <w:tcPr>
            <w:tcW w:w="812" w:type="dxa"/>
            <w:vAlign w:val="top"/>
          </w:tcPr>
          <w:p w14:paraId="53C0AE02">
            <w:pPr>
              <w:pStyle w:val="6"/>
              <w:spacing w:before="28" w:line="193" w:lineRule="auto"/>
              <w:ind w:left="139" w:right="52" w:hanging="120"/>
              <w:rPr>
                <w:sz w:val="24"/>
                <w:szCs w:val="24"/>
              </w:rPr>
            </w:pPr>
            <w:r>
              <w:rPr>
                <w:spacing w:val="3"/>
                <w:sz w:val="24"/>
                <w:szCs w:val="24"/>
              </w:rPr>
              <w:t>符合性</w:t>
            </w:r>
            <w:r>
              <w:rPr>
                <w:sz w:val="24"/>
                <w:szCs w:val="24"/>
              </w:rPr>
              <w:t xml:space="preserve"> </w:t>
            </w:r>
            <w:r>
              <w:rPr>
                <w:spacing w:val="5"/>
                <w:sz w:val="24"/>
                <w:szCs w:val="24"/>
              </w:rPr>
              <w:t>分析</w:t>
            </w:r>
          </w:p>
        </w:tc>
      </w:tr>
      <w:tr w14:paraId="42ACA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3" w:hRule="atLeast"/>
        </w:trPr>
        <w:tc>
          <w:tcPr>
            <w:tcW w:w="1233" w:type="dxa"/>
            <w:vMerge w:val="continue"/>
            <w:tcBorders>
              <w:top w:val="nil"/>
            </w:tcBorders>
            <w:vAlign w:val="top"/>
          </w:tcPr>
          <w:p w14:paraId="184C0173">
            <w:pPr>
              <w:rPr>
                <w:rFonts w:ascii="Arial"/>
                <w:sz w:val="21"/>
              </w:rPr>
            </w:pPr>
          </w:p>
        </w:tc>
        <w:tc>
          <w:tcPr>
            <w:tcW w:w="709" w:type="dxa"/>
            <w:vAlign w:val="top"/>
          </w:tcPr>
          <w:p w14:paraId="6D2A99B9">
            <w:pPr>
              <w:spacing w:line="264" w:lineRule="auto"/>
              <w:rPr>
                <w:rFonts w:ascii="Arial"/>
                <w:sz w:val="21"/>
              </w:rPr>
            </w:pPr>
          </w:p>
          <w:p w14:paraId="5598A0EE">
            <w:pPr>
              <w:spacing w:line="264" w:lineRule="auto"/>
              <w:rPr>
                <w:rFonts w:ascii="Arial"/>
                <w:sz w:val="21"/>
              </w:rPr>
            </w:pPr>
          </w:p>
          <w:p w14:paraId="546387C3">
            <w:pPr>
              <w:spacing w:line="264" w:lineRule="auto"/>
              <w:rPr>
                <w:rFonts w:ascii="Arial"/>
                <w:sz w:val="21"/>
              </w:rPr>
            </w:pPr>
          </w:p>
          <w:p w14:paraId="6E8BADD2">
            <w:pPr>
              <w:spacing w:line="265" w:lineRule="auto"/>
              <w:rPr>
                <w:rFonts w:ascii="Arial"/>
                <w:sz w:val="21"/>
              </w:rPr>
            </w:pPr>
          </w:p>
          <w:p w14:paraId="71C9EC26">
            <w:pPr>
              <w:pStyle w:val="6"/>
              <w:spacing w:before="78" w:line="241" w:lineRule="auto"/>
              <w:ind w:left="281"/>
              <w:rPr>
                <w:sz w:val="24"/>
                <w:szCs w:val="24"/>
              </w:rPr>
            </w:pPr>
            <w:r>
              <w:rPr>
                <w:sz w:val="24"/>
                <w:szCs w:val="24"/>
              </w:rPr>
              <w:t>1</w:t>
            </w:r>
          </w:p>
        </w:tc>
        <w:tc>
          <w:tcPr>
            <w:tcW w:w="3136" w:type="dxa"/>
            <w:vAlign w:val="top"/>
          </w:tcPr>
          <w:p w14:paraId="4957F377">
            <w:pPr>
              <w:pStyle w:val="6"/>
              <w:spacing w:before="307" w:line="219" w:lineRule="auto"/>
              <w:jc w:val="right"/>
              <w:rPr>
                <w:sz w:val="24"/>
                <w:szCs w:val="24"/>
              </w:rPr>
            </w:pPr>
            <w:r>
              <w:rPr>
                <w:spacing w:val="-28"/>
                <w:w w:val="97"/>
                <w:sz w:val="24"/>
                <w:szCs w:val="24"/>
              </w:rPr>
              <w:t>项</w:t>
            </w:r>
            <w:r>
              <w:rPr>
                <w:spacing w:val="-27"/>
                <w:w w:val="97"/>
                <w:sz w:val="24"/>
                <w:szCs w:val="24"/>
              </w:rPr>
              <w:t>目业主深入开展前期工作，严</w:t>
            </w:r>
            <w:r>
              <w:rPr>
                <w:spacing w:val="-11"/>
                <w:w w:val="97"/>
                <w:sz w:val="24"/>
                <w:szCs w:val="24"/>
              </w:rPr>
              <w:t>格</w:t>
            </w:r>
          </w:p>
          <w:p w14:paraId="0B412777">
            <w:pPr>
              <w:pStyle w:val="6"/>
              <w:spacing w:before="4" w:line="208" w:lineRule="auto"/>
              <w:jc w:val="right"/>
              <w:rPr>
                <w:sz w:val="24"/>
                <w:szCs w:val="24"/>
              </w:rPr>
            </w:pPr>
            <w:r>
              <w:rPr>
                <w:spacing w:val="-24"/>
                <w:sz w:val="24"/>
                <w:szCs w:val="24"/>
              </w:rPr>
              <w:t>按照上报核查时所提供</w:t>
            </w:r>
            <w:r>
              <w:rPr>
                <w:spacing w:val="-23"/>
                <w:sz w:val="24"/>
                <w:szCs w:val="24"/>
              </w:rPr>
              <w:t>的项目</w:t>
            </w:r>
            <w:r>
              <w:rPr>
                <w:spacing w:val="-13"/>
                <w:sz w:val="24"/>
                <w:szCs w:val="24"/>
              </w:rPr>
              <w:t>矢</w:t>
            </w:r>
          </w:p>
          <w:p w14:paraId="1335CAB6">
            <w:pPr>
              <w:pStyle w:val="6"/>
              <w:spacing w:line="207" w:lineRule="auto"/>
              <w:jc w:val="right"/>
              <w:rPr>
                <w:sz w:val="24"/>
                <w:szCs w:val="24"/>
              </w:rPr>
            </w:pPr>
            <w:r>
              <w:rPr>
                <w:spacing w:val="-31"/>
                <w:w w:val="98"/>
                <w:sz w:val="24"/>
                <w:szCs w:val="24"/>
              </w:rPr>
              <w:t>量</w:t>
            </w:r>
            <w:r>
              <w:rPr>
                <w:spacing w:val="-30"/>
                <w:w w:val="98"/>
                <w:sz w:val="24"/>
                <w:szCs w:val="24"/>
              </w:rPr>
              <w:t>文件范围，认真开展项目选址</w:t>
            </w:r>
            <w:r>
              <w:rPr>
                <w:spacing w:val="-14"/>
                <w:w w:val="98"/>
                <w:sz w:val="24"/>
                <w:szCs w:val="24"/>
              </w:rPr>
              <w:t>工</w:t>
            </w:r>
          </w:p>
          <w:p w14:paraId="6D185AD4">
            <w:pPr>
              <w:pStyle w:val="6"/>
              <w:spacing w:line="207" w:lineRule="auto"/>
              <w:jc w:val="right"/>
              <w:rPr>
                <w:sz w:val="24"/>
                <w:szCs w:val="24"/>
              </w:rPr>
            </w:pPr>
            <w:r>
              <w:rPr>
                <w:spacing w:val="-33"/>
                <w:w w:val="99"/>
                <w:sz w:val="24"/>
                <w:szCs w:val="24"/>
              </w:rPr>
              <w:t>作，不得擅自扩</w:t>
            </w:r>
            <w:r>
              <w:rPr>
                <w:spacing w:val="-32"/>
                <w:w w:val="99"/>
                <w:sz w:val="24"/>
                <w:szCs w:val="24"/>
              </w:rPr>
              <w:t>大用地范围，用</w:t>
            </w:r>
            <w:r>
              <w:rPr>
                <w:spacing w:val="-10"/>
                <w:w w:val="99"/>
                <w:sz w:val="24"/>
                <w:szCs w:val="24"/>
              </w:rPr>
              <w:t>地</w:t>
            </w:r>
          </w:p>
          <w:p w14:paraId="07E0566F">
            <w:pPr>
              <w:pStyle w:val="6"/>
              <w:spacing w:before="1" w:line="215" w:lineRule="auto"/>
              <w:jc w:val="right"/>
              <w:rPr>
                <w:sz w:val="24"/>
                <w:szCs w:val="24"/>
              </w:rPr>
            </w:pPr>
            <w:r>
              <w:rPr>
                <w:spacing w:val="-24"/>
                <w:w w:val="96"/>
                <w:sz w:val="24"/>
                <w:szCs w:val="24"/>
              </w:rPr>
              <w:t>选址要避让基本农田、生</w:t>
            </w:r>
            <w:r>
              <w:rPr>
                <w:spacing w:val="-23"/>
                <w:w w:val="96"/>
                <w:sz w:val="24"/>
                <w:szCs w:val="24"/>
              </w:rPr>
              <w:t>态保护</w:t>
            </w:r>
            <w:r>
              <w:rPr>
                <w:spacing w:val="-12"/>
                <w:w w:val="96"/>
                <w:sz w:val="24"/>
                <w:szCs w:val="24"/>
              </w:rPr>
              <w:t>红</w:t>
            </w:r>
          </w:p>
          <w:p w14:paraId="099BA155">
            <w:pPr>
              <w:pStyle w:val="6"/>
              <w:spacing w:before="1" w:line="192" w:lineRule="auto"/>
              <w:jc w:val="right"/>
              <w:rPr>
                <w:sz w:val="24"/>
                <w:szCs w:val="24"/>
              </w:rPr>
            </w:pPr>
            <w:r>
              <w:rPr>
                <w:spacing w:val="-25"/>
                <w:w w:val="96"/>
                <w:sz w:val="24"/>
                <w:szCs w:val="24"/>
              </w:rPr>
              <w:t>线等敏感因素，及时办理征地或</w:t>
            </w:r>
            <w:r>
              <w:rPr>
                <w:spacing w:val="-10"/>
                <w:w w:val="96"/>
                <w:sz w:val="24"/>
                <w:szCs w:val="24"/>
              </w:rPr>
              <w:t>租</w:t>
            </w:r>
          </w:p>
          <w:p w14:paraId="0123092B">
            <w:pPr>
              <w:pStyle w:val="6"/>
              <w:spacing w:line="219" w:lineRule="auto"/>
              <w:ind w:left="783"/>
              <w:rPr>
                <w:sz w:val="24"/>
                <w:szCs w:val="24"/>
              </w:rPr>
            </w:pPr>
            <w:r>
              <w:rPr>
                <w:spacing w:val="-1"/>
                <w:sz w:val="24"/>
                <w:szCs w:val="24"/>
              </w:rPr>
              <w:t>赁等用地手续。</w:t>
            </w:r>
          </w:p>
        </w:tc>
        <w:tc>
          <w:tcPr>
            <w:tcW w:w="3087" w:type="dxa"/>
            <w:vAlign w:val="top"/>
          </w:tcPr>
          <w:p w14:paraId="1DA304F8">
            <w:pPr>
              <w:pStyle w:val="6"/>
              <w:spacing w:before="32" w:line="206" w:lineRule="auto"/>
              <w:ind w:left="77" w:firstLine="9"/>
              <w:jc w:val="both"/>
              <w:rPr>
                <w:sz w:val="24"/>
                <w:szCs w:val="24"/>
              </w:rPr>
            </w:pPr>
            <w:r>
              <w:rPr>
                <w:spacing w:val="-28"/>
                <w:sz w:val="24"/>
                <w:szCs w:val="24"/>
              </w:rPr>
              <w:t>项目最终用地场地范围与上报陆</w:t>
            </w:r>
            <w:r>
              <w:rPr>
                <w:spacing w:val="6"/>
                <w:sz w:val="24"/>
                <w:szCs w:val="24"/>
              </w:rPr>
              <w:t xml:space="preserve"> </w:t>
            </w:r>
            <w:r>
              <w:rPr>
                <w:spacing w:val="-27"/>
                <w:sz w:val="24"/>
                <w:szCs w:val="24"/>
              </w:rPr>
              <w:t>良县各局核查时所提供的项目矢</w:t>
            </w:r>
            <w:r>
              <w:rPr>
                <w:spacing w:val="2"/>
                <w:sz w:val="24"/>
                <w:szCs w:val="24"/>
              </w:rPr>
              <w:t xml:space="preserve"> </w:t>
            </w:r>
            <w:r>
              <w:rPr>
                <w:spacing w:val="-26"/>
                <w:sz w:val="24"/>
                <w:szCs w:val="24"/>
              </w:rPr>
              <w:t>量文件范围一致，未擅自扩大用</w:t>
            </w:r>
            <w:r>
              <w:rPr>
                <w:spacing w:val="2"/>
                <w:sz w:val="24"/>
                <w:szCs w:val="24"/>
              </w:rPr>
              <w:t xml:space="preserve"> </w:t>
            </w:r>
            <w:r>
              <w:rPr>
                <w:spacing w:val="-27"/>
                <w:sz w:val="24"/>
                <w:szCs w:val="24"/>
              </w:rPr>
              <w:t>地范围。且根据陆良县各局核查</w:t>
            </w:r>
            <w:r>
              <w:rPr>
                <w:spacing w:val="1"/>
                <w:sz w:val="24"/>
                <w:szCs w:val="24"/>
              </w:rPr>
              <w:t xml:space="preserve"> </w:t>
            </w:r>
            <w:r>
              <w:rPr>
                <w:spacing w:val="-27"/>
                <w:sz w:val="24"/>
                <w:szCs w:val="24"/>
              </w:rPr>
              <w:t>结果，项目用地范围不涉及自然</w:t>
            </w:r>
            <w:r>
              <w:rPr>
                <w:spacing w:val="1"/>
                <w:sz w:val="24"/>
                <w:szCs w:val="24"/>
              </w:rPr>
              <w:t xml:space="preserve"> </w:t>
            </w:r>
            <w:r>
              <w:rPr>
                <w:spacing w:val="-27"/>
                <w:sz w:val="24"/>
                <w:szCs w:val="24"/>
              </w:rPr>
              <w:t>保护区、风景名胜区、饮用水源</w:t>
            </w:r>
            <w:r>
              <w:rPr>
                <w:sz w:val="24"/>
                <w:szCs w:val="24"/>
              </w:rPr>
              <w:t xml:space="preserve"> </w:t>
            </w:r>
            <w:r>
              <w:rPr>
                <w:spacing w:val="-27"/>
                <w:sz w:val="24"/>
                <w:szCs w:val="24"/>
              </w:rPr>
              <w:t>保护区、基本农田、生态保护红</w:t>
            </w:r>
            <w:r>
              <w:rPr>
                <w:spacing w:val="1"/>
                <w:sz w:val="24"/>
                <w:szCs w:val="24"/>
              </w:rPr>
              <w:t xml:space="preserve"> </w:t>
            </w:r>
            <w:r>
              <w:rPr>
                <w:spacing w:val="-27"/>
                <w:sz w:val="24"/>
                <w:szCs w:val="24"/>
              </w:rPr>
              <w:t>线等敏感因素。而本项目用地属</w:t>
            </w:r>
            <w:r>
              <w:rPr>
                <w:spacing w:val="9"/>
                <w:sz w:val="24"/>
                <w:szCs w:val="24"/>
              </w:rPr>
              <w:t xml:space="preserve"> </w:t>
            </w:r>
            <w:r>
              <w:rPr>
                <w:spacing w:val="-27"/>
                <w:sz w:val="24"/>
                <w:szCs w:val="24"/>
              </w:rPr>
              <w:t>于租赁用地，且项目已取得了陆</w:t>
            </w:r>
          </w:p>
        </w:tc>
        <w:tc>
          <w:tcPr>
            <w:tcW w:w="812" w:type="dxa"/>
            <w:vAlign w:val="top"/>
          </w:tcPr>
          <w:p w14:paraId="022812D9">
            <w:pPr>
              <w:spacing w:line="258" w:lineRule="auto"/>
              <w:rPr>
                <w:rFonts w:ascii="Arial"/>
                <w:sz w:val="21"/>
              </w:rPr>
            </w:pPr>
          </w:p>
          <w:p w14:paraId="463B3F49">
            <w:pPr>
              <w:spacing w:line="258" w:lineRule="auto"/>
              <w:rPr>
                <w:rFonts w:ascii="Arial"/>
                <w:sz w:val="21"/>
              </w:rPr>
            </w:pPr>
          </w:p>
          <w:p w14:paraId="756E7845">
            <w:pPr>
              <w:spacing w:line="258" w:lineRule="auto"/>
              <w:rPr>
                <w:rFonts w:ascii="Arial"/>
                <w:sz w:val="21"/>
              </w:rPr>
            </w:pPr>
          </w:p>
          <w:p w14:paraId="1E47633B">
            <w:pPr>
              <w:spacing w:line="259" w:lineRule="auto"/>
              <w:rPr>
                <w:rFonts w:ascii="Arial"/>
                <w:sz w:val="21"/>
              </w:rPr>
            </w:pPr>
          </w:p>
          <w:p w14:paraId="31350AA3">
            <w:pPr>
              <w:pStyle w:val="6"/>
              <w:spacing w:before="78" w:line="219" w:lineRule="auto"/>
              <w:ind w:left="139"/>
              <w:rPr>
                <w:sz w:val="24"/>
                <w:szCs w:val="24"/>
              </w:rPr>
            </w:pPr>
            <w:r>
              <w:rPr>
                <w:spacing w:val="5"/>
                <w:sz w:val="24"/>
                <w:szCs w:val="24"/>
              </w:rPr>
              <w:t>符合</w:t>
            </w:r>
          </w:p>
        </w:tc>
      </w:tr>
    </w:tbl>
    <w:p w14:paraId="1B24145F">
      <w:pPr>
        <w:pStyle w:val="2"/>
      </w:pPr>
    </w:p>
    <w:p w14:paraId="7B02DB1D">
      <w:pPr>
        <w:sectPr>
          <w:footerReference r:id="rId11" w:type="default"/>
          <w:pgSz w:w="11910" w:h="16830"/>
          <w:pgMar w:top="400" w:right="1507" w:bottom="1224" w:left="1415" w:header="0" w:footer="1089" w:gutter="0"/>
          <w:cols w:space="720" w:num="1"/>
        </w:sectPr>
      </w:pPr>
    </w:p>
    <w:p w14:paraId="6889AE89">
      <w:pPr>
        <w:spacing w:before="18"/>
      </w:pPr>
    </w:p>
    <w:p w14:paraId="478A75A0">
      <w:pPr>
        <w:spacing w:before="18"/>
      </w:pPr>
    </w:p>
    <w:p w14:paraId="79DFEC76">
      <w:pPr>
        <w:spacing w:before="17"/>
      </w:pPr>
    </w:p>
    <w:p w14:paraId="5D97407E">
      <w:pPr>
        <w:spacing w:before="17"/>
      </w:pPr>
    </w:p>
    <w:p w14:paraId="339400BB">
      <w:pPr>
        <w:spacing w:before="17"/>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4"/>
        <w:gridCol w:w="2647"/>
        <w:gridCol w:w="1249"/>
        <w:gridCol w:w="3076"/>
        <w:gridCol w:w="130"/>
        <w:gridCol w:w="644"/>
      </w:tblGrid>
      <w:tr w14:paraId="4D38F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24" w:type="dxa"/>
            <w:vMerge w:val="restart"/>
            <w:tcBorders>
              <w:bottom w:val="nil"/>
            </w:tcBorders>
            <w:vAlign w:val="top"/>
          </w:tcPr>
          <w:p w14:paraId="6557C2E6">
            <w:pPr>
              <w:rPr>
                <w:rFonts w:ascii="Arial"/>
                <w:sz w:val="21"/>
              </w:rPr>
            </w:pPr>
          </w:p>
        </w:tc>
        <w:tc>
          <w:tcPr>
            <w:tcW w:w="3896" w:type="dxa"/>
            <w:gridSpan w:val="2"/>
            <w:vAlign w:val="top"/>
          </w:tcPr>
          <w:p w14:paraId="0B6F372B">
            <w:pPr>
              <w:rPr>
                <w:rFonts w:ascii="Arial"/>
                <w:sz w:val="21"/>
              </w:rPr>
            </w:pPr>
          </w:p>
        </w:tc>
        <w:tc>
          <w:tcPr>
            <w:tcW w:w="3076" w:type="dxa"/>
            <w:vAlign w:val="top"/>
          </w:tcPr>
          <w:p w14:paraId="12C708C2">
            <w:pPr>
              <w:pStyle w:val="6"/>
              <w:spacing w:before="44" w:line="192" w:lineRule="auto"/>
              <w:ind w:left="33" w:hanging="19"/>
              <w:rPr>
                <w:sz w:val="24"/>
                <w:szCs w:val="24"/>
              </w:rPr>
            </w:pPr>
            <w:r>
              <w:rPr>
                <w:spacing w:val="-28"/>
                <w:sz w:val="24"/>
                <w:szCs w:val="24"/>
              </w:rPr>
              <w:t>良县自然资源局及林草等主管部</w:t>
            </w:r>
            <w:r>
              <w:rPr>
                <w:spacing w:val="6"/>
                <w:sz w:val="24"/>
                <w:szCs w:val="24"/>
              </w:rPr>
              <w:t xml:space="preserve"> </w:t>
            </w:r>
            <w:r>
              <w:rPr>
                <w:spacing w:val="-7"/>
                <w:sz w:val="24"/>
                <w:szCs w:val="24"/>
              </w:rPr>
              <w:t>门选址意见，同意项目选址。</w:t>
            </w:r>
          </w:p>
        </w:tc>
        <w:tc>
          <w:tcPr>
            <w:tcW w:w="774" w:type="dxa"/>
            <w:gridSpan w:val="2"/>
            <w:vAlign w:val="top"/>
          </w:tcPr>
          <w:p w14:paraId="1B922DA7">
            <w:pPr>
              <w:rPr>
                <w:rFonts w:ascii="Arial"/>
                <w:sz w:val="21"/>
              </w:rPr>
            </w:pPr>
          </w:p>
        </w:tc>
      </w:tr>
      <w:tr w14:paraId="55DE4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61" w:hRule="atLeast"/>
        </w:trPr>
        <w:tc>
          <w:tcPr>
            <w:tcW w:w="1224" w:type="dxa"/>
            <w:vMerge w:val="continue"/>
            <w:tcBorders>
              <w:top w:val="nil"/>
              <w:bottom w:val="nil"/>
            </w:tcBorders>
            <w:vAlign w:val="top"/>
          </w:tcPr>
          <w:p w14:paraId="6ADA62A8">
            <w:pPr>
              <w:rPr>
                <w:rFonts w:ascii="Arial"/>
                <w:sz w:val="21"/>
              </w:rPr>
            </w:pPr>
          </w:p>
        </w:tc>
        <w:tc>
          <w:tcPr>
            <w:tcW w:w="7746" w:type="dxa"/>
            <w:gridSpan w:val="5"/>
            <w:vAlign w:val="top"/>
          </w:tcPr>
          <w:p w14:paraId="64F51D43">
            <w:pPr>
              <w:pStyle w:val="6"/>
              <w:spacing w:before="39" w:line="355" w:lineRule="auto"/>
              <w:ind w:left="50" w:right="213" w:firstLine="489"/>
              <w:rPr>
                <w:sz w:val="24"/>
                <w:szCs w:val="24"/>
              </w:rPr>
            </w:pPr>
            <w:r>
              <w:rPr>
                <w:spacing w:val="1"/>
                <w:sz w:val="24"/>
                <w:szCs w:val="24"/>
              </w:rPr>
              <w:t>综上所述，工程建设符合《云南省发展和改革</w:t>
            </w:r>
            <w:r>
              <w:rPr>
                <w:sz w:val="24"/>
                <w:szCs w:val="24"/>
              </w:rPr>
              <w:t>委员会云南省能源局 关于印发云南省2023年第一批新能源建设方案的通知》(云能源水电</w:t>
            </w:r>
          </w:p>
          <w:p w14:paraId="1E172EF4">
            <w:pPr>
              <w:pStyle w:val="6"/>
              <w:spacing w:before="1" w:line="220" w:lineRule="auto"/>
              <w:ind w:left="11"/>
              <w:rPr>
                <w:sz w:val="24"/>
                <w:szCs w:val="24"/>
              </w:rPr>
            </w:pPr>
            <w:r>
              <w:rPr>
                <w:spacing w:val="10"/>
                <w:sz w:val="24"/>
                <w:szCs w:val="24"/>
              </w:rPr>
              <w:t>【2023】170号)。</w:t>
            </w:r>
          </w:p>
          <w:p w14:paraId="42F2966D">
            <w:pPr>
              <w:pStyle w:val="6"/>
              <w:spacing w:before="186" w:line="350" w:lineRule="auto"/>
              <w:ind w:left="14" w:right="273" w:firstLine="20"/>
              <w:rPr>
                <w:sz w:val="24"/>
                <w:szCs w:val="24"/>
              </w:rPr>
            </w:pPr>
            <w:r>
              <w:rPr>
                <w:b/>
                <w:bCs/>
                <w:spacing w:val="-3"/>
                <w:sz w:val="24"/>
                <w:szCs w:val="24"/>
              </w:rPr>
              <w:t>2与《曲靖市新能源开发建设三年行动计划(2022-2024年)的通知》的符</w:t>
            </w:r>
            <w:r>
              <w:rPr>
                <w:spacing w:val="4"/>
                <w:sz w:val="24"/>
                <w:szCs w:val="24"/>
              </w:rPr>
              <w:t xml:space="preserve"> </w:t>
            </w:r>
            <w:r>
              <w:rPr>
                <w:b/>
                <w:bCs/>
                <w:spacing w:val="-5"/>
                <w:sz w:val="24"/>
                <w:szCs w:val="24"/>
              </w:rPr>
              <w:t>合性分析</w:t>
            </w:r>
          </w:p>
          <w:p w14:paraId="7B5CE11D">
            <w:pPr>
              <w:pStyle w:val="6"/>
              <w:spacing w:before="20" w:line="362" w:lineRule="auto"/>
              <w:ind w:left="30" w:right="124" w:firstLine="489"/>
              <w:rPr>
                <w:sz w:val="24"/>
                <w:szCs w:val="24"/>
              </w:rPr>
            </w:pPr>
            <w:r>
              <w:rPr>
                <w:sz w:val="24"/>
                <w:szCs w:val="24"/>
              </w:rPr>
              <w:t>2022年4月20日，曲靖市人民政府发布了关于《曲靖市新能源开发建</w:t>
            </w:r>
            <w:r>
              <w:rPr>
                <w:spacing w:val="9"/>
                <w:sz w:val="24"/>
                <w:szCs w:val="24"/>
              </w:rPr>
              <w:t xml:space="preserve"> </w:t>
            </w:r>
            <w:r>
              <w:rPr>
                <w:spacing w:val="1"/>
                <w:sz w:val="24"/>
                <w:szCs w:val="24"/>
              </w:rPr>
              <w:t>设三年行动计划(2022-2024年)</w:t>
            </w:r>
            <w:r>
              <w:rPr>
                <w:sz w:val="24"/>
                <w:szCs w:val="24"/>
              </w:rPr>
              <w:t>的通知》。《通知》指出，全面提速未来 3年新能源开发建设，扎实推动省级统筹“多能互补大型基地项目”、市</w:t>
            </w:r>
            <w:r>
              <w:rPr>
                <w:spacing w:val="13"/>
                <w:sz w:val="24"/>
                <w:szCs w:val="24"/>
              </w:rPr>
              <w:t xml:space="preserve"> </w:t>
            </w:r>
            <w:r>
              <w:rPr>
                <w:spacing w:val="1"/>
                <w:sz w:val="24"/>
                <w:szCs w:val="24"/>
              </w:rPr>
              <w:t>级统筹“绿色先进制造业配套项目”“新能</w:t>
            </w:r>
            <w:r>
              <w:rPr>
                <w:sz w:val="24"/>
                <w:szCs w:val="24"/>
              </w:rPr>
              <w:t xml:space="preserve">源多元化开发利用项目”,力 </w:t>
            </w:r>
            <w:r>
              <w:rPr>
                <w:spacing w:val="-3"/>
                <w:sz w:val="24"/>
                <w:szCs w:val="24"/>
              </w:rPr>
              <w:t>争2022—2024年每年新开工建设500万千瓦新能源项目；到2024年，新增</w:t>
            </w:r>
          </w:p>
          <w:p w14:paraId="692B1B87">
            <w:pPr>
              <w:pStyle w:val="6"/>
              <w:spacing w:before="7" w:line="358" w:lineRule="auto"/>
              <w:ind w:left="10" w:firstLine="19"/>
              <w:rPr>
                <w:sz w:val="24"/>
                <w:szCs w:val="24"/>
              </w:rPr>
            </w:pPr>
            <w:r>
              <w:rPr>
                <w:spacing w:val="-3"/>
                <w:sz w:val="24"/>
                <w:szCs w:val="24"/>
              </w:rPr>
              <w:t>投产新能源装机1500万千瓦以上，增加年发电量200亿千瓦时以上，可再</w:t>
            </w:r>
            <w:r>
              <w:rPr>
                <w:spacing w:val="1"/>
                <w:sz w:val="24"/>
                <w:szCs w:val="24"/>
              </w:rPr>
              <w:t xml:space="preserve">   </w:t>
            </w:r>
            <w:r>
              <w:rPr>
                <w:spacing w:val="-3"/>
                <w:sz w:val="24"/>
                <w:szCs w:val="24"/>
              </w:rPr>
              <w:t>生能源装机总量达到全市总装机容量的70%以上；力争“十四五”期间开</w:t>
            </w:r>
            <w:r>
              <w:rPr>
                <w:spacing w:val="5"/>
                <w:sz w:val="24"/>
                <w:szCs w:val="24"/>
              </w:rPr>
              <w:t xml:space="preserve">   </w:t>
            </w:r>
            <w:r>
              <w:rPr>
                <w:spacing w:val="-3"/>
                <w:sz w:val="24"/>
                <w:szCs w:val="24"/>
              </w:rPr>
              <w:t>发建设2200万千瓦新能源，形成主要以清洁低碳能源满足经济社会发展新</w:t>
            </w:r>
            <w:r>
              <w:rPr>
                <w:spacing w:val="9"/>
                <w:sz w:val="24"/>
                <w:szCs w:val="24"/>
              </w:rPr>
              <w:t xml:space="preserve">  </w:t>
            </w:r>
            <w:r>
              <w:rPr>
                <w:spacing w:val="-3"/>
                <w:sz w:val="24"/>
                <w:szCs w:val="24"/>
              </w:rPr>
              <w:t>增用能需求的能源生产消费格局。优先开发多能互补大</w:t>
            </w:r>
            <w:r>
              <w:rPr>
                <w:spacing w:val="-4"/>
                <w:sz w:val="24"/>
                <w:szCs w:val="24"/>
              </w:rPr>
              <w:t>型基地。优先开发</w:t>
            </w:r>
            <w:r>
              <w:rPr>
                <w:sz w:val="24"/>
                <w:szCs w:val="24"/>
              </w:rPr>
              <w:t xml:space="preserve">  </w:t>
            </w:r>
            <w:r>
              <w:rPr>
                <w:spacing w:val="-6"/>
                <w:sz w:val="24"/>
                <w:szCs w:val="24"/>
              </w:rPr>
              <w:t>金沙江下游“风光水储”基地、曲靖“风光火储”基地，《通知》还强调，</w:t>
            </w:r>
            <w:r>
              <w:rPr>
                <w:spacing w:val="2"/>
                <w:sz w:val="24"/>
                <w:szCs w:val="24"/>
              </w:rPr>
              <w:t xml:space="preserve"> </w:t>
            </w:r>
            <w:r>
              <w:rPr>
                <w:spacing w:val="-2"/>
                <w:sz w:val="24"/>
                <w:szCs w:val="24"/>
              </w:rPr>
              <w:t>严格时限加快项目并网投产。各县(市、区</w:t>
            </w:r>
            <w:r>
              <w:rPr>
                <w:spacing w:val="-3"/>
                <w:sz w:val="24"/>
                <w:szCs w:val="24"/>
              </w:rPr>
              <w:t>)人民政府、市直有关部门要</w:t>
            </w:r>
          </w:p>
          <w:p w14:paraId="1244C928">
            <w:pPr>
              <w:pStyle w:val="6"/>
              <w:spacing w:before="1" w:line="356" w:lineRule="auto"/>
              <w:ind w:left="10" w:right="32"/>
              <w:rPr>
                <w:sz w:val="24"/>
                <w:szCs w:val="24"/>
              </w:rPr>
            </w:pPr>
            <w:r>
              <w:rPr>
                <w:sz w:val="24"/>
                <w:szCs w:val="24"/>
              </w:rPr>
              <w:t>加强服务指导，尽早完成项目行政审批，督促项目业主尽快开工建设，按</w:t>
            </w:r>
            <w:r>
              <w:rPr>
                <w:spacing w:val="11"/>
                <w:sz w:val="24"/>
                <w:szCs w:val="24"/>
              </w:rPr>
              <w:t xml:space="preserve"> </w:t>
            </w:r>
            <w:r>
              <w:rPr>
                <w:spacing w:val="-1"/>
                <w:sz w:val="24"/>
                <w:szCs w:val="24"/>
              </w:rPr>
              <w:t>期并网投产。</w:t>
            </w:r>
          </w:p>
          <w:p w14:paraId="1431119B">
            <w:pPr>
              <w:pStyle w:val="6"/>
              <w:spacing w:before="2" w:line="363" w:lineRule="auto"/>
              <w:ind w:left="10" w:right="173" w:firstLine="479"/>
              <w:jc w:val="both"/>
              <w:rPr>
                <w:sz w:val="24"/>
                <w:szCs w:val="24"/>
              </w:rPr>
            </w:pPr>
            <w:r>
              <w:rPr>
                <w:sz w:val="24"/>
                <w:szCs w:val="24"/>
              </w:rPr>
              <w:t>据查询《计划》中“建设项目库”,本项目不</w:t>
            </w:r>
            <w:r>
              <w:rPr>
                <w:spacing w:val="-1"/>
                <w:sz w:val="24"/>
                <w:szCs w:val="24"/>
              </w:rPr>
              <w:t>在项目库中，但项目建</w:t>
            </w:r>
            <w:r>
              <w:rPr>
                <w:sz w:val="24"/>
                <w:szCs w:val="24"/>
              </w:rPr>
              <w:t xml:space="preserve"> </w:t>
            </w:r>
            <w:r>
              <w:rPr>
                <w:spacing w:val="1"/>
                <w:sz w:val="24"/>
                <w:szCs w:val="24"/>
              </w:rPr>
              <w:t>设能促进主要以清洁低碳能源满足经济社会发展新增用能需求的能源生</w:t>
            </w:r>
            <w:r>
              <w:rPr>
                <w:sz w:val="24"/>
                <w:szCs w:val="24"/>
              </w:rPr>
              <w:t xml:space="preserve"> 产消费格局的构建，项目建设与《曲靖市新能源开发建设三年行动计划</w:t>
            </w:r>
            <w:r>
              <w:rPr>
                <w:spacing w:val="16"/>
                <w:sz w:val="24"/>
                <w:szCs w:val="24"/>
              </w:rPr>
              <w:t xml:space="preserve"> </w:t>
            </w:r>
            <w:r>
              <w:rPr>
                <w:spacing w:val="4"/>
                <w:sz w:val="24"/>
                <w:szCs w:val="24"/>
              </w:rPr>
              <w:t>(2022-2024年)的通知》的相关要求不冲突。</w:t>
            </w:r>
          </w:p>
          <w:p w14:paraId="7392D3B7">
            <w:pPr>
              <w:pStyle w:val="6"/>
              <w:spacing w:before="1" w:line="218" w:lineRule="auto"/>
              <w:ind w:left="14"/>
              <w:rPr>
                <w:sz w:val="24"/>
                <w:szCs w:val="24"/>
              </w:rPr>
            </w:pPr>
            <w:r>
              <w:rPr>
                <w:b/>
                <w:bCs/>
                <w:spacing w:val="-3"/>
                <w:sz w:val="24"/>
                <w:szCs w:val="24"/>
              </w:rPr>
              <w:t>3与《云南省绿色能源发展“十四五”规划》环境影响篇章符合性分析</w:t>
            </w:r>
          </w:p>
          <w:p w14:paraId="3655009D">
            <w:pPr>
              <w:pStyle w:val="6"/>
              <w:spacing w:before="178" w:line="356" w:lineRule="auto"/>
              <w:ind w:left="10" w:firstLine="473"/>
              <w:rPr>
                <w:sz w:val="24"/>
                <w:szCs w:val="24"/>
              </w:rPr>
            </w:pPr>
            <w:r>
              <w:rPr>
                <w:spacing w:val="-3"/>
                <w:sz w:val="24"/>
                <w:szCs w:val="24"/>
              </w:rPr>
              <w:t>云南省人民政府办公厅于2023年1月4日下发了《云南省人民政府办公</w:t>
            </w:r>
            <w:r>
              <w:rPr>
                <w:spacing w:val="6"/>
                <w:sz w:val="24"/>
                <w:szCs w:val="24"/>
              </w:rPr>
              <w:t xml:space="preserve">  </w:t>
            </w:r>
            <w:r>
              <w:rPr>
                <w:spacing w:val="-3"/>
                <w:sz w:val="24"/>
                <w:szCs w:val="24"/>
              </w:rPr>
              <w:t>厅关于印发云南省绿色能源发展“十四五”规划的通知》,项目与该规划</w:t>
            </w:r>
            <w:r>
              <w:rPr>
                <w:spacing w:val="2"/>
                <w:sz w:val="24"/>
                <w:szCs w:val="24"/>
              </w:rPr>
              <w:t xml:space="preserve">   </w:t>
            </w:r>
            <w:r>
              <w:rPr>
                <w:spacing w:val="-6"/>
                <w:sz w:val="24"/>
                <w:szCs w:val="24"/>
              </w:rPr>
              <w:t>中第六章“环境影响分析与国土空间规划衔接性评价”符合性分析见下表：</w:t>
            </w:r>
          </w:p>
          <w:p w14:paraId="72BFFF30">
            <w:pPr>
              <w:pStyle w:val="6"/>
              <w:spacing w:before="2" w:line="202" w:lineRule="auto"/>
              <w:ind w:left="314"/>
              <w:rPr>
                <w:sz w:val="24"/>
                <w:szCs w:val="24"/>
              </w:rPr>
            </w:pPr>
            <w:r>
              <w:rPr>
                <w:b/>
                <w:bCs/>
                <w:spacing w:val="-3"/>
                <w:sz w:val="24"/>
                <w:szCs w:val="24"/>
              </w:rPr>
              <w:t>表1-3项目与《云南省绿色能源发展“十四五”规划》的符合性</w:t>
            </w:r>
          </w:p>
        </w:tc>
      </w:tr>
      <w:tr w14:paraId="5177D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224" w:type="dxa"/>
            <w:vMerge w:val="continue"/>
            <w:tcBorders>
              <w:top w:val="nil"/>
            </w:tcBorders>
            <w:vAlign w:val="top"/>
          </w:tcPr>
          <w:p w14:paraId="7771AC97">
            <w:pPr>
              <w:rPr>
                <w:rFonts w:ascii="Arial"/>
                <w:sz w:val="21"/>
              </w:rPr>
            </w:pPr>
          </w:p>
        </w:tc>
        <w:tc>
          <w:tcPr>
            <w:tcW w:w="2647" w:type="dxa"/>
            <w:vAlign w:val="top"/>
          </w:tcPr>
          <w:p w14:paraId="758D5A19">
            <w:pPr>
              <w:pStyle w:val="6"/>
              <w:spacing w:before="61" w:line="203" w:lineRule="auto"/>
              <w:ind w:left="890"/>
              <w:rPr>
                <w:sz w:val="24"/>
                <w:szCs w:val="24"/>
              </w:rPr>
            </w:pPr>
            <w:r>
              <w:rPr>
                <w:spacing w:val="2"/>
                <w:sz w:val="24"/>
                <w:szCs w:val="24"/>
              </w:rPr>
              <w:t>规划要求</w:t>
            </w:r>
          </w:p>
        </w:tc>
        <w:tc>
          <w:tcPr>
            <w:tcW w:w="4455" w:type="dxa"/>
            <w:gridSpan w:val="3"/>
            <w:vAlign w:val="top"/>
          </w:tcPr>
          <w:p w14:paraId="6CA71C36">
            <w:pPr>
              <w:pStyle w:val="6"/>
              <w:spacing w:before="61" w:line="203" w:lineRule="auto"/>
              <w:ind w:left="1814"/>
              <w:rPr>
                <w:sz w:val="24"/>
                <w:szCs w:val="24"/>
              </w:rPr>
            </w:pPr>
            <w:r>
              <w:rPr>
                <w:spacing w:val="2"/>
                <w:sz w:val="24"/>
                <w:szCs w:val="24"/>
              </w:rPr>
              <w:t>项目情况</w:t>
            </w:r>
          </w:p>
        </w:tc>
        <w:tc>
          <w:tcPr>
            <w:tcW w:w="644" w:type="dxa"/>
            <w:vAlign w:val="top"/>
          </w:tcPr>
          <w:p w14:paraId="2A352BEE">
            <w:pPr>
              <w:pStyle w:val="6"/>
              <w:spacing w:before="59" w:line="204" w:lineRule="auto"/>
              <w:ind w:left="69"/>
              <w:rPr>
                <w:sz w:val="24"/>
                <w:szCs w:val="24"/>
              </w:rPr>
            </w:pPr>
            <w:r>
              <w:rPr>
                <w:spacing w:val="-3"/>
                <w:sz w:val="24"/>
                <w:szCs w:val="24"/>
              </w:rPr>
              <w:t>相符</w:t>
            </w:r>
          </w:p>
        </w:tc>
      </w:tr>
    </w:tbl>
    <w:p w14:paraId="72F804FA">
      <w:pPr>
        <w:pStyle w:val="2"/>
      </w:pPr>
    </w:p>
    <w:p w14:paraId="4E452582">
      <w:pPr>
        <w:sectPr>
          <w:footerReference r:id="rId12" w:type="default"/>
          <w:pgSz w:w="11910" w:h="16830"/>
          <w:pgMar w:top="400" w:right="1514" w:bottom="1229" w:left="1415" w:header="0" w:footer="1088" w:gutter="0"/>
          <w:cols w:space="720" w:num="1"/>
        </w:sectPr>
      </w:pPr>
    </w:p>
    <w:p w14:paraId="00A25BF2">
      <w:pPr>
        <w:spacing w:before="18"/>
      </w:pPr>
    </w:p>
    <w:p w14:paraId="27FE98E8">
      <w:pPr>
        <w:spacing w:before="18"/>
      </w:pPr>
    </w:p>
    <w:p w14:paraId="27527162">
      <w:pPr>
        <w:spacing w:before="17"/>
      </w:pPr>
    </w:p>
    <w:p w14:paraId="7C70B97A">
      <w:pPr>
        <w:spacing w:before="17"/>
      </w:pPr>
    </w:p>
    <w:p w14:paraId="691167D7">
      <w:pPr>
        <w:spacing w:before="17"/>
      </w:pPr>
    </w:p>
    <w:tbl>
      <w:tblPr>
        <w:tblStyle w:val="5"/>
        <w:tblW w:w="89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3"/>
        <w:gridCol w:w="2637"/>
        <w:gridCol w:w="4465"/>
        <w:gridCol w:w="574"/>
      </w:tblGrid>
      <w:tr w14:paraId="25361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33" w:type="dxa"/>
            <w:vMerge w:val="restart"/>
            <w:tcBorders>
              <w:bottom w:val="nil"/>
            </w:tcBorders>
            <w:vAlign w:val="top"/>
          </w:tcPr>
          <w:p w14:paraId="2592FACC">
            <w:pPr>
              <w:rPr>
                <w:rFonts w:ascii="Arial"/>
                <w:sz w:val="21"/>
              </w:rPr>
            </w:pPr>
          </w:p>
        </w:tc>
        <w:tc>
          <w:tcPr>
            <w:tcW w:w="2637" w:type="dxa"/>
            <w:vAlign w:val="top"/>
          </w:tcPr>
          <w:p w14:paraId="6946EFD4">
            <w:pPr>
              <w:rPr>
                <w:rFonts w:ascii="Arial"/>
                <w:sz w:val="21"/>
              </w:rPr>
            </w:pPr>
          </w:p>
        </w:tc>
        <w:tc>
          <w:tcPr>
            <w:tcW w:w="4465" w:type="dxa"/>
            <w:vAlign w:val="top"/>
          </w:tcPr>
          <w:p w14:paraId="60D2C820">
            <w:pPr>
              <w:rPr>
                <w:rFonts w:ascii="Arial"/>
                <w:sz w:val="21"/>
              </w:rPr>
            </w:pPr>
          </w:p>
        </w:tc>
        <w:tc>
          <w:tcPr>
            <w:tcW w:w="574" w:type="dxa"/>
            <w:vAlign w:val="top"/>
          </w:tcPr>
          <w:p w14:paraId="1981DB74">
            <w:pPr>
              <w:pStyle w:val="6"/>
              <w:spacing w:before="85" w:line="221" w:lineRule="auto"/>
              <w:ind w:left="169"/>
            </w:pPr>
            <w:r>
              <w:t>性</w:t>
            </w:r>
          </w:p>
        </w:tc>
      </w:tr>
      <w:tr w14:paraId="0103A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1233" w:type="dxa"/>
            <w:vMerge w:val="continue"/>
            <w:tcBorders>
              <w:top w:val="nil"/>
              <w:bottom w:val="nil"/>
            </w:tcBorders>
            <w:vAlign w:val="top"/>
          </w:tcPr>
          <w:p w14:paraId="5C3518E4">
            <w:pPr>
              <w:rPr>
                <w:rFonts w:ascii="Arial"/>
                <w:sz w:val="21"/>
              </w:rPr>
            </w:pPr>
          </w:p>
        </w:tc>
        <w:tc>
          <w:tcPr>
            <w:tcW w:w="2637" w:type="dxa"/>
            <w:vAlign w:val="top"/>
          </w:tcPr>
          <w:p w14:paraId="0FE75020">
            <w:pPr>
              <w:pStyle w:val="6"/>
              <w:spacing w:before="37" w:line="219" w:lineRule="auto"/>
              <w:jc w:val="right"/>
            </w:pPr>
            <w:r>
              <w:rPr>
                <w:spacing w:val="-3"/>
              </w:rPr>
              <w:t>合理规划项目布局，避让自</w:t>
            </w:r>
          </w:p>
          <w:p w14:paraId="73A49C91">
            <w:pPr>
              <w:pStyle w:val="6"/>
              <w:spacing w:before="10" w:line="219" w:lineRule="auto"/>
              <w:jc w:val="right"/>
            </w:pPr>
            <w:r>
              <w:rPr>
                <w:spacing w:val="-3"/>
              </w:rPr>
              <w:t>然保护区、风景名胜区等各</w:t>
            </w:r>
          </w:p>
          <w:p w14:paraId="446FDAF4">
            <w:pPr>
              <w:pStyle w:val="6"/>
              <w:spacing w:before="18" w:line="218" w:lineRule="auto"/>
              <w:jc w:val="right"/>
            </w:pPr>
            <w:r>
              <w:rPr>
                <w:spacing w:val="-3"/>
              </w:rPr>
              <w:t>类自然保护地和集中居民区</w:t>
            </w:r>
          </w:p>
          <w:p w14:paraId="2A12FBE7">
            <w:pPr>
              <w:pStyle w:val="6"/>
              <w:spacing w:line="218" w:lineRule="auto"/>
              <w:jc w:val="right"/>
            </w:pPr>
            <w:r>
              <w:rPr>
                <w:spacing w:val="-3"/>
              </w:rPr>
              <w:t>等环境敏感区，采取工程和</w:t>
            </w:r>
          </w:p>
          <w:p w14:paraId="58D855F6">
            <w:pPr>
              <w:pStyle w:val="6"/>
              <w:spacing w:before="9" w:line="219" w:lineRule="auto"/>
              <w:jc w:val="right"/>
            </w:pPr>
            <w:r>
              <w:rPr>
                <w:spacing w:val="-3"/>
              </w:rPr>
              <w:t>生态保护措施，减少树木采</w:t>
            </w:r>
          </w:p>
          <w:p w14:paraId="5F95FF4A">
            <w:pPr>
              <w:pStyle w:val="6"/>
              <w:spacing w:before="10" w:line="219" w:lineRule="auto"/>
              <w:jc w:val="right"/>
            </w:pPr>
            <w:r>
              <w:rPr>
                <w:spacing w:val="-3"/>
              </w:rPr>
              <w:t>伐，及时进行生态修复，降</w:t>
            </w:r>
          </w:p>
          <w:p w14:paraId="6A7C85D9">
            <w:pPr>
              <w:pStyle w:val="6"/>
              <w:spacing w:line="191" w:lineRule="auto"/>
              <w:ind w:left="702"/>
            </w:pPr>
            <w:r>
              <w:rPr>
                <w:spacing w:val="-1"/>
              </w:rPr>
              <w:t>低生态影响。</w:t>
            </w:r>
          </w:p>
        </w:tc>
        <w:tc>
          <w:tcPr>
            <w:tcW w:w="4465" w:type="dxa"/>
            <w:vAlign w:val="top"/>
          </w:tcPr>
          <w:p w14:paraId="56E54ECE">
            <w:pPr>
              <w:pStyle w:val="6"/>
              <w:spacing w:before="39" w:line="219" w:lineRule="auto"/>
              <w:jc w:val="right"/>
            </w:pPr>
            <w:r>
              <w:rPr>
                <w:spacing w:val="-9"/>
              </w:rPr>
              <w:t>根据陆良县各局查询意见、项目选址踏勘及陆良</w:t>
            </w:r>
          </w:p>
          <w:p w14:paraId="4E0358C4">
            <w:pPr>
              <w:pStyle w:val="6"/>
              <w:spacing w:before="8" w:line="219" w:lineRule="auto"/>
              <w:jc w:val="right"/>
            </w:pPr>
            <w:r>
              <w:rPr>
                <w:spacing w:val="-9"/>
              </w:rPr>
              <w:t>县相关敏感区资料核对，项目占地类型草地和人</w:t>
            </w:r>
          </w:p>
          <w:p w14:paraId="05C16DE6">
            <w:pPr>
              <w:pStyle w:val="6"/>
              <w:spacing w:before="18" w:line="218" w:lineRule="auto"/>
              <w:jc w:val="right"/>
            </w:pPr>
            <w:r>
              <w:rPr>
                <w:spacing w:val="-11"/>
              </w:rPr>
              <w:t>工</w:t>
            </w:r>
            <w:r>
              <w:rPr>
                <w:spacing w:val="-10"/>
              </w:rPr>
              <w:t>乔木林地、灌木林、交通运输用地、工矿用</w:t>
            </w:r>
            <w:r>
              <w:rPr>
                <w:spacing w:val="-9"/>
              </w:rPr>
              <w:t>地</w:t>
            </w:r>
          </w:p>
          <w:p w14:paraId="292DEB07">
            <w:pPr>
              <w:pStyle w:val="6"/>
              <w:spacing w:line="218" w:lineRule="auto"/>
              <w:jc w:val="right"/>
            </w:pPr>
            <w:r>
              <w:rPr>
                <w:spacing w:val="-9"/>
              </w:rPr>
              <w:t>等，项目未占用基本农田和生态红线，该项目选</w:t>
            </w:r>
          </w:p>
          <w:p w14:paraId="020825AD">
            <w:pPr>
              <w:pStyle w:val="6"/>
              <w:spacing w:before="10" w:line="219" w:lineRule="auto"/>
              <w:jc w:val="right"/>
            </w:pPr>
            <w:r>
              <w:rPr>
                <w:spacing w:val="-10"/>
              </w:rPr>
              <w:t>址不涉及国家公园、自然保护区、森林公园、风</w:t>
            </w:r>
          </w:p>
          <w:p w14:paraId="22E38A98">
            <w:pPr>
              <w:pStyle w:val="6"/>
              <w:spacing w:before="9" w:line="218" w:lineRule="auto"/>
              <w:jc w:val="right"/>
            </w:pPr>
            <w:r>
              <w:rPr>
                <w:spacing w:val="-20"/>
              </w:rPr>
              <w:t>景名胜区、草原公园等各类自然保护地、天然林、</w:t>
            </w:r>
          </w:p>
          <w:p w14:paraId="475EC3A1">
            <w:pPr>
              <w:pStyle w:val="6"/>
              <w:spacing w:line="192" w:lineRule="auto"/>
              <w:ind w:left="1845"/>
            </w:pPr>
            <w:r>
              <w:rPr>
                <w:spacing w:val="-1"/>
              </w:rPr>
              <w:t>公益林。</w:t>
            </w:r>
          </w:p>
        </w:tc>
        <w:tc>
          <w:tcPr>
            <w:tcW w:w="574" w:type="dxa"/>
            <w:vAlign w:val="top"/>
          </w:tcPr>
          <w:p w14:paraId="3636453E">
            <w:pPr>
              <w:spacing w:line="254" w:lineRule="auto"/>
              <w:rPr>
                <w:rFonts w:ascii="Arial"/>
                <w:sz w:val="21"/>
              </w:rPr>
            </w:pPr>
          </w:p>
          <w:p w14:paraId="38F3D2E6">
            <w:pPr>
              <w:spacing w:line="254" w:lineRule="auto"/>
              <w:rPr>
                <w:rFonts w:ascii="Arial"/>
                <w:sz w:val="21"/>
              </w:rPr>
            </w:pPr>
          </w:p>
          <w:p w14:paraId="274323ED">
            <w:pPr>
              <w:spacing w:line="254" w:lineRule="auto"/>
              <w:rPr>
                <w:rFonts w:ascii="Arial"/>
                <w:sz w:val="21"/>
              </w:rPr>
            </w:pPr>
          </w:p>
          <w:p w14:paraId="1A296E7D">
            <w:pPr>
              <w:pStyle w:val="6"/>
              <w:spacing w:before="72" w:line="219" w:lineRule="auto"/>
              <w:ind w:left="60"/>
            </w:pPr>
            <w:r>
              <w:rPr>
                <w:spacing w:val="-3"/>
              </w:rPr>
              <w:t>符合</w:t>
            </w:r>
          </w:p>
        </w:tc>
      </w:tr>
      <w:tr w14:paraId="426F2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8" w:hRule="atLeast"/>
        </w:trPr>
        <w:tc>
          <w:tcPr>
            <w:tcW w:w="1233" w:type="dxa"/>
            <w:vMerge w:val="continue"/>
            <w:tcBorders>
              <w:top w:val="nil"/>
              <w:bottom w:val="nil"/>
            </w:tcBorders>
            <w:vAlign w:val="top"/>
          </w:tcPr>
          <w:p w14:paraId="423C281B">
            <w:pPr>
              <w:rPr>
                <w:rFonts w:ascii="Arial"/>
                <w:sz w:val="21"/>
              </w:rPr>
            </w:pPr>
          </w:p>
        </w:tc>
        <w:tc>
          <w:tcPr>
            <w:tcW w:w="2637" w:type="dxa"/>
            <w:vAlign w:val="top"/>
          </w:tcPr>
          <w:p w14:paraId="354370FD">
            <w:pPr>
              <w:spacing w:line="387" w:lineRule="auto"/>
              <w:rPr>
                <w:rFonts w:ascii="Arial"/>
                <w:sz w:val="21"/>
              </w:rPr>
            </w:pPr>
          </w:p>
          <w:p w14:paraId="7833C3EE">
            <w:pPr>
              <w:pStyle w:val="6"/>
              <w:spacing w:before="71" w:line="219" w:lineRule="auto"/>
              <w:jc w:val="right"/>
            </w:pPr>
            <w:r>
              <w:rPr>
                <w:spacing w:val="-3"/>
              </w:rPr>
              <w:t>做好项目建设涉及的自然生</w:t>
            </w:r>
          </w:p>
          <w:p w14:paraId="35923AA4">
            <w:pPr>
              <w:pStyle w:val="6"/>
              <w:spacing w:before="9" w:line="220" w:lineRule="auto"/>
              <w:jc w:val="right"/>
            </w:pPr>
            <w:r>
              <w:rPr>
                <w:spacing w:val="-3"/>
              </w:rPr>
              <w:t>态环境保护工作，注意避让</w:t>
            </w:r>
          </w:p>
          <w:p w14:paraId="26915A39">
            <w:pPr>
              <w:pStyle w:val="6"/>
              <w:spacing w:before="15" w:line="219" w:lineRule="auto"/>
              <w:jc w:val="right"/>
            </w:pPr>
            <w:r>
              <w:rPr>
                <w:spacing w:val="-5"/>
              </w:rPr>
              <w:t>生态环境敏感区和脆弱区。</w:t>
            </w:r>
          </w:p>
          <w:p w14:paraId="033BCF18">
            <w:pPr>
              <w:pStyle w:val="6"/>
              <w:spacing w:before="20" w:line="219" w:lineRule="auto"/>
              <w:jc w:val="right"/>
            </w:pPr>
            <w:r>
              <w:rPr>
                <w:spacing w:val="-3"/>
              </w:rPr>
              <w:t>加强施工准备、筹建和施工</w:t>
            </w:r>
          </w:p>
          <w:p w14:paraId="78936F2B">
            <w:pPr>
              <w:pStyle w:val="6"/>
              <w:spacing w:before="9" w:line="219" w:lineRule="auto"/>
              <w:jc w:val="right"/>
            </w:pPr>
            <w:r>
              <w:rPr>
                <w:spacing w:val="-3"/>
              </w:rPr>
              <w:t>过程中的环境保护。提高电</w:t>
            </w:r>
          </w:p>
          <w:p w14:paraId="094A26F2">
            <w:pPr>
              <w:pStyle w:val="6"/>
              <w:spacing w:before="9" w:line="219" w:lineRule="auto"/>
              <w:jc w:val="right"/>
            </w:pPr>
            <w:r>
              <w:rPr>
                <w:spacing w:val="-3"/>
              </w:rPr>
              <w:t>网运行安全稳定水，降低电</w:t>
            </w:r>
          </w:p>
          <w:p w14:paraId="3E1B1308">
            <w:pPr>
              <w:pStyle w:val="6"/>
              <w:spacing w:before="10" w:line="220" w:lineRule="auto"/>
              <w:ind w:left="702"/>
            </w:pPr>
            <w:r>
              <w:rPr>
                <w:spacing w:val="-1"/>
              </w:rPr>
              <w:t>磁环境影响。</w:t>
            </w:r>
          </w:p>
        </w:tc>
        <w:tc>
          <w:tcPr>
            <w:tcW w:w="4465" w:type="dxa"/>
            <w:vAlign w:val="top"/>
          </w:tcPr>
          <w:p w14:paraId="5DC5BEC7">
            <w:pPr>
              <w:pStyle w:val="6"/>
              <w:spacing w:before="51" w:line="219" w:lineRule="auto"/>
              <w:jc w:val="right"/>
            </w:pPr>
            <w:r>
              <w:rPr>
                <w:spacing w:val="-9"/>
              </w:rPr>
              <w:t>根据陆良县各局查询意见、项目选址踏勘、生态</w:t>
            </w:r>
          </w:p>
          <w:p w14:paraId="0CD87795">
            <w:pPr>
              <w:pStyle w:val="6"/>
              <w:spacing w:before="8" w:line="219" w:lineRule="auto"/>
              <w:jc w:val="right"/>
            </w:pPr>
            <w:r>
              <w:rPr>
                <w:spacing w:val="-10"/>
              </w:rPr>
              <w:t>调查及陆良县相关敏感区资料核对，项目选址区</w:t>
            </w:r>
          </w:p>
          <w:p w14:paraId="003AB71D">
            <w:pPr>
              <w:pStyle w:val="6"/>
              <w:spacing w:before="8" w:line="219" w:lineRule="auto"/>
              <w:jc w:val="right"/>
            </w:pPr>
            <w:r>
              <w:rPr>
                <w:spacing w:val="-9"/>
              </w:rPr>
              <w:t>域不涉及自然保护区、国家公园、风景名胜区、</w:t>
            </w:r>
          </w:p>
          <w:p w14:paraId="74E24814">
            <w:pPr>
              <w:pStyle w:val="6"/>
              <w:spacing w:before="29" w:line="219" w:lineRule="auto"/>
              <w:jc w:val="right"/>
            </w:pPr>
            <w:r>
              <w:rPr>
                <w:spacing w:val="-10"/>
              </w:rPr>
              <w:t>文物古迹、湿地保护区、集中式饮用水水源地、</w:t>
            </w:r>
          </w:p>
          <w:p w14:paraId="2293406C">
            <w:pPr>
              <w:pStyle w:val="6"/>
              <w:spacing w:before="9" w:line="219" w:lineRule="auto"/>
              <w:jc w:val="right"/>
            </w:pPr>
            <w:r>
              <w:rPr>
                <w:spacing w:val="-9"/>
              </w:rPr>
              <w:t>生物多样性保护区域、特殊生态环境及特有物种</w:t>
            </w:r>
          </w:p>
          <w:p w14:paraId="03AAFEB8">
            <w:pPr>
              <w:pStyle w:val="6"/>
              <w:spacing w:before="19" w:line="218" w:lineRule="auto"/>
              <w:jc w:val="right"/>
            </w:pPr>
            <w:r>
              <w:rPr>
                <w:spacing w:val="-10"/>
              </w:rPr>
              <w:t>保护区域、鸟类迁徙重要通道及其栖息地、民俗</w:t>
            </w:r>
          </w:p>
          <w:p w14:paraId="32551D30">
            <w:pPr>
              <w:pStyle w:val="6"/>
              <w:spacing w:line="219" w:lineRule="auto"/>
              <w:jc w:val="right"/>
            </w:pPr>
            <w:r>
              <w:rPr>
                <w:spacing w:val="1"/>
              </w:rPr>
              <w:t>保护区等生态保护红线和生态敏感区域。项目</w:t>
            </w:r>
          </w:p>
          <w:p w14:paraId="330F3266">
            <w:pPr>
              <w:pStyle w:val="6"/>
              <w:spacing w:before="9" w:line="219" w:lineRule="auto"/>
              <w:ind w:left="245"/>
            </w:pPr>
            <w:r>
              <w:t>35kV集电线路12个塔基，架空线路长度为</w:t>
            </w:r>
          </w:p>
          <w:p w14:paraId="63A44EFF">
            <w:pPr>
              <w:pStyle w:val="6"/>
              <w:spacing w:before="9" w:line="219" w:lineRule="auto"/>
              <w:jc w:val="right"/>
            </w:pPr>
            <w:r>
              <w:rPr>
                <w:spacing w:val="-3"/>
              </w:rPr>
              <w:t>3105m穿越大莫古集镇饮用水水源准保护区</w:t>
            </w:r>
            <w:r>
              <w:rPr>
                <w:spacing w:val="-4"/>
              </w:rPr>
              <w:t>，已</w:t>
            </w:r>
          </w:p>
          <w:p w14:paraId="1680D599">
            <w:pPr>
              <w:pStyle w:val="6"/>
              <w:spacing w:before="28" w:line="191" w:lineRule="auto"/>
              <w:ind w:left="745"/>
            </w:pPr>
            <w:r>
              <w:rPr>
                <w:spacing w:val="-1"/>
              </w:rPr>
              <w:t>经取得陆良县人民政府的同意。</w:t>
            </w:r>
          </w:p>
        </w:tc>
        <w:tc>
          <w:tcPr>
            <w:tcW w:w="574" w:type="dxa"/>
            <w:vAlign w:val="top"/>
          </w:tcPr>
          <w:p w14:paraId="378DCFFC">
            <w:pPr>
              <w:spacing w:line="298" w:lineRule="auto"/>
              <w:rPr>
                <w:rFonts w:ascii="Arial"/>
                <w:sz w:val="21"/>
              </w:rPr>
            </w:pPr>
          </w:p>
          <w:p w14:paraId="042F01DB">
            <w:pPr>
              <w:spacing w:line="298" w:lineRule="auto"/>
              <w:rPr>
                <w:rFonts w:ascii="Arial"/>
                <w:sz w:val="21"/>
              </w:rPr>
            </w:pPr>
          </w:p>
          <w:p w14:paraId="706677EF">
            <w:pPr>
              <w:spacing w:line="298" w:lineRule="auto"/>
              <w:rPr>
                <w:rFonts w:ascii="Arial"/>
                <w:sz w:val="21"/>
              </w:rPr>
            </w:pPr>
          </w:p>
          <w:p w14:paraId="6BF2634E">
            <w:pPr>
              <w:spacing w:line="298" w:lineRule="auto"/>
              <w:rPr>
                <w:rFonts w:ascii="Arial"/>
                <w:sz w:val="21"/>
              </w:rPr>
            </w:pPr>
          </w:p>
          <w:p w14:paraId="09B1B5E9">
            <w:pPr>
              <w:pStyle w:val="6"/>
              <w:spacing w:before="71" w:line="219" w:lineRule="auto"/>
              <w:ind w:left="60"/>
            </w:pPr>
            <w:r>
              <w:rPr>
                <w:spacing w:val="-3"/>
              </w:rPr>
              <w:t>符合</w:t>
            </w:r>
          </w:p>
        </w:tc>
      </w:tr>
      <w:tr w14:paraId="5D162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233" w:type="dxa"/>
            <w:vMerge w:val="continue"/>
            <w:tcBorders>
              <w:top w:val="nil"/>
              <w:bottom w:val="nil"/>
            </w:tcBorders>
            <w:vAlign w:val="top"/>
          </w:tcPr>
          <w:p w14:paraId="58D0E205">
            <w:pPr>
              <w:rPr>
                <w:rFonts w:ascii="Arial"/>
                <w:sz w:val="21"/>
              </w:rPr>
            </w:pPr>
          </w:p>
        </w:tc>
        <w:tc>
          <w:tcPr>
            <w:tcW w:w="2637" w:type="dxa"/>
            <w:vAlign w:val="top"/>
          </w:tcPr>
          <w:p w14:paraId="7F18C3EA">
            <w:pPr>
              <w:pStyle w:val="6"/>
              <w:spacing w:before="31" w:line="209" w:lineRule="auto"/>
              <w:ind w:left="11"/>
              <w:jc w:val="both"/>
            </w:pPr>
            <w:r>
              <w:rPr>
                <w:spacing w:val="-6"/>
              </w:rPr>
              <w:t>严格落实国土空间规划管控</w:t>
            </w:r>
            <w:r>
              <w:rPr>
                <w:spacing w:val="7"/>
              </w:rPr>
              <w:t xml:space="preserve"> </w:t>
            </w:r>
            <w:r>
              <w:rPr>
                <w:spacing w:val="-6"/>
              </w:rPr>
              <w:t>要求，尽量避让生态保护红</w:t>
            </w:r>
            <w:r>
              <w:rPr>
                <w:spacing w:val="7"/>
              </w:rPr>
              <w:t xml:space="preserve"> </w:t>
            </w:r>
            <w:r>
              <w:rPr>
                <w:spacing w:val="-3"/>
              </w:rPr>
              <w:t>线、耕地和永久基本农田。</w:t>
            </w:r>
          </w:p>
        </w:tc>
        <w:tc>
          <w:tcPr>
            <w:tcW w:w="4465" w:type="dxa"/>
            <w:vAlign w:val="top"/>
          </w:tcPr>
          <w:p w14:paraId="05AC7588">
            <w:pPr>
              <w:pStyle w:val="6"/>
              <w:spacing w:before="32" w:line="218" w:lineRule="auto"/>
              <w:jc w:val="right"/>
            </w:pPr>
            <w:r>
              <w:rPr>
                <w:spacing w:val="-9"/>
              </w:rPr>
              <w:t>根据陆良县自然资源局查询结果，本项目用地范</w:t>
            </w:r>
          </w:p>
          <w:p w14:paraId="24FB1DDB">
            <w:pPr>
              <w:pStyle w:val="6"/>
              <w:spacing w:line="218" w:lineRule="auto"/>
              <w:jc w:val="right"/>
            </w:pPr>
            <w:r>
              <w:rPr>
                <w:spacing w:val="-9"/>
              </w:rPr>
              <w:t>围不涉及占用基本农田及生态保护红线，项目尽</w:t>
            </w:r>
          </w:p>
          <w:p w14:paraId="443BBEB2">
            <w:pPr>
              <w:pStyle w:val="6"/>
              <w:spacing w:line="190" w:lineRule="auto"/>
              <w:ind w:left="1624"/>
            </w:pPr>
            <w:r>
              <w:t>量避让耕地。</w:t>
            </w:r>
          </w:p>
        </w:tc>
        <w:tc>
          <w:tcPr>
            <w:tcW w:w="574" w:type="dxa"/>
            <w:vAlign w:val="top"/>
          </w:tcPr>
          <w:p w14:paraId="731AD79E">
            <w:pPr>
              <w:pStyle w:val="6"/>
              <w:spacing w:before="293" w:line="219" w:lineRule="auto"/>
              <w:ind w:left="60"/>
            </w:pPr>
            <w:r>
              <w:rPr>
                <w:spacing w:val="-3"/>
              </w:rPr>
              <w:t>符合</w:t>
            </w:r>
          </w:p>
        </w:tc>
      </w:tr>
      <w:tr w14:paraId="62A7E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233" w:type="dxa"/>
            <w:vMerge w:val="continue"/>
            <w:tcBorders>
              <w:top w:val="nil"/>
            </w:tcBorders>
            <w:vAlign w:val="top"/>
          </w:tcPr>
          <w:p w14:paraId="3091899C">
            <w:pPr>
              <w:rPr>
                <w:rFonts w:ascii="Arial"/>
                <w:sz w:val="21"/>
              </w:rPr>
            </w:pPr>
          </w:p>
        </w:tc>
        <w:tc>
          <w:tcPr>
            <w:tcW w:w="7676" w:type="dxa"/>
            <w:gridSpan w:val="3"/>
            <w:vAlign w:val="top"/>
          </w:tcPr>
          <w:p w14:paraId="37D9CDDB">
            <w:pPr>
              <w:pStyle w:val="6"/>
              <w:spacing w:before="52" w:line="376" w:lineRule="auto"/>
              <w:ind w:left="11" w:right="594" w:firstLine="449"/>
            </w:pPr>
            <w:r>
              <w:t>综上，项目建设符合与《云南省绿色能源发展“十四五”规划》环境</w:t>
            </w:r>
            <w:r>
              <w:rPr>
                <w:spacing w:val="8"/>
              </w:rPr>
              <w:t xml:space="preserve"> </w:t>
            </w:r>
            <w:r>
              <w:t>影响篇章相关要求。</w:t>
            </w:r>
          </w:p>
        </w:tc>
      </w:tr>
      <w:tr w14:paraId="2006B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0" w:hRule="atLeast"/>
        </w:trPr>
        <w:tc>
          <w:tcPr>
            <w:tcW w:w="1233" w:type="dxa"/>
            <w:vAlign w:val="top"/>
          </w:tcPr>
          <w:p w14:paraId="50E8531F">
            <w:pPr>
              <w:spacing w:line="243" w:lineRule="auto"/>
              <w:rPr>
                <w:rFonts w:ascii="Arial"/>
                <w:sz w:val="21"/>
              </w:rPr>
            </w:pPr>
          </w:p>
          <w:p w14:paraId="039BAB6B">
            <w:pPr>
              <w:spacing w:line="243" w:lineRule="auto"/>
              <w:rPr>
                <w:rFonts w:ascii="Arial"/>
                <w:sz w:val="21"/>
              </w:rPr>
            </w:pPr>
          </w:p>
          <w:p w14:paraId="1E0AA8E1">
            <w:pPr>
              <w:spacing w:line="243" w:lineRule="auto"/>
              <w:rPr>
                <w:rFonts w:ascii="Arial"/>
                <w:sz w:val="21"/>
              </w:rPr>
            </w:pPr>
          </w:p>
          <w:p w14:paraId="18E08EAC">
            <w:pPr>
              <w:spacing w:line="243" w:lineRule="auto"/>
              <w:rPr>
                <w:rFonts w:ascii="Arial"/>
                <w:sz w:val="21"/>
              </w:rPr>
            </w:pPr>
          </w:p>
          <w:p w14:paraId="0699053D">
            <w:pPr>
              <w:spacing w:line="243" w:lineRule="auto"/>
              <w:rPr>
                <w:rFonts w:ascii="Arial"/>
                <w:sz w:val="21"/>
              </w:rPr>
            </w:pPr>
          </w:p>
          <w:p w14:paraId="5B2940C0">
            <w:pPr>
              <w:spacing w:line="243" w:lineRule="auto"/>
              <w:rPr>
                <w:rFonts w:ascii="Arial"/>
                <w:sz w:val="21"/>
              </w:rPr>
            </w:pPr>
          </w:p>
          <w:p w14:paraId="1D9AF6B7">
            <w:pPr>
              <w:spacing w:line="243" w:lineRule="auto"/>
              <w:rPr>
                <w:rFonts w:ascii="Arial"/>
                <w:sz w:val="21"/>
              </w:rPr>
            </w:pPr>
          </w:p>
          <w:p w14:paraId="561253CE">
            <w:pPr>
              <w:spacing w:line="243" w:lineRule="auto"/>
              <w:rPr>
                <w:rFonts w:ascii="Arial"/>
                <w:sz w:val="21"/>
              </w:rPr>
            </w:pPr>
          </w:p>
          <w:p w14:paraId="44A46490">
            <w:pPr>
              <w:spacing w:line="243" w:lineRule="auto"/>
              <w:rPr>
                <w:rFonts w:ascii="Arial"/>
                <w:sz w:val="21"/>
              </w:rPr>
            </w:pPr>
          </w:p>
          <w:p w14:paraId="1F837AAD">
            <w:pPr>
              <w:spacing w:line="243" w:lineRule="auto"/>
              <w:rPr>
                <w:rFonts w:ascii="Arial"/>
                <w:sz w:val="21"/>
              </w:rPr>
            </w:pPr>
          </w:p>
          <w:p w14:paraId="326B8423">
            <w:pPr>
              <w:spacing w:line="243" w:lineRule="auto"/>
              <w:rPr>
                <w:rFonts w:ascii="Arial"/>
                <w:sz w:val="21"/>
              </w:rPr>
            </w:pPr>
          </w:p>
          <w:p w14:paraId="151091CD">
            <w:pPr>
              <w:spacing w:line="243" w:lineRule="auto"/>
              <w:rPr>
                <w:rFonts w:ascii="Arial"/>
                <w:sz w:val="21"/>
              </w:rPr>
            </w:pPr>
          </w:p>
          <w:p w14:paraId="2FD229FA">
            <w:pPr>
              <w:pStyle w:val="6"/>
              <w:spacing w:before="71" w:line="263" w:lineRule="auto"/>
              <w:ind w:left="274" w:right="187" w:hanging="110"/>
            </w:pPr>
            <w:r>
              <w:rPr>
                <w:spacing w:val="-3"/>
              </w:rPr>
              <w:t>其他符合</w:t>
            </w:r>
            <w:r>
              <w:rPr>
                <w:spacing w:val="1"/>
              </w:rPr>
              <w:t xml:space="preserve"> </w:t>
            </w:r>
            <w:r>
              <w:rPr>
                <w:spacing w:val="3"/>
              </w:rPr>
              <w:t>性分析</w:t>
            </w:r>
          </w:p>
        </w:tc>
        <w:tc>
          <w:tcPr>
            <w:tcW w:w="7676" w:type="dxa"/>
            <w:gridSpan w:val="3"/>
            <w:vAlign w:val="top"/>
          </w:tcPr>
          <w:p w14:paraId="03389CEA">
            <w:pPr>
              <w:pStyle w:val="6"/>
              <w:spacing w:before="42" w:line="219" w:lineRule="auto"/>
              <w:ind w:left="65"/>
            </w:pPr>
            <w:r>
              <w:rPr>
                <w:b/>
                <w:bCs/>
                <w:spacing w:val="-2"/>
              </w:rPr>
              <w:t>1产业政策相符性分析</w:t>
            </w:r>
          </w:p>
          <w:p w14:paraId="5F5C214A">
            <w:pPr>
              <w:pStyle w:val="6"/>
              <w:spacing w:before="220" w:line="219" w:lineRule="auto"/>
              <w:ind w:left="442"/>
            </w:pPr>
            <w:r>
              <w:t>光伏发电是利用半导体界面的光生伏特效应而将光能直接转变为电</w:t>
            </w:r>
          </w:p>
          <w:p w14:paraId="3DA1ED86">
            <w:pPr>
              <w:pStyle w:val="6"/>
              <w:spacing w:before="208" w:line="219" w:lineRule="auto"/>
              <w:ind w:left="21"/>
            </w:pPr>
            <w:r>
              <w:t>能的一种技术。光伏发电属于《中华人民共和国可再生能源法修正案》</w:t>
            </w:r>
          </w:p>
          <w:p w14:paraId="6D1E01F2">
            <w:pPr>
              <w:pStyle w:val="6"/>
              <w:spacing w:before="190" w:line="394" w:lineRule="auto"/>
              <w:ind w:left="21" w:right="587" w:firstLine="60"/>
            </w:pPr>
            <w:r>
              <w:t>(2010年4月1日正式实施)中所称的可再生能源中的一种。栗树园村光伏</w:t>
            </w:r>
            <w:r>
              <w:rPr>
                <w:spacing w:val="5"/>
              </w:rPr>
              <w:t xml:space="preserve">  </w:t>
            </w:r>
            <w:r>
              <w:t>发电项目的建设可充分利用当地的太阳能资源，对缓解当地电力供需矛盾</w:t>
            </w:r>
            <w:r>
              <w:rPr>
                <w:spacing w:val="15"/>
              </w:rPr>
              <w:t xml:space="preserve"> </w:t>
            </w:r>
            <w:r>
              <w:t>起到一定作用，符合云南省及我国能源可持续发展战略的要求。</w:t>
            </w:r>
          </w:p>
          <w:p w14:paraId="3E9E51A2">
            <w:pPr>
              <w:pStyle w:val="6"/>
              <w:spacing w:before="6" w:line="389" w:lineRule="auto"/>
              <w:ind w:left="11" w:right="603" w:firstLine="410"/>
            </w:pPr>
            <w:r>
              <w:t>本工程为太阳能光伏发电项目，根据《产业结构</w:t>
            </w:r>
            <w:r>
              <w:rPr>
                <w:spacing w:val="-1"/>
              </w:rPr>
              <w:t>调整指导目录(2024</w:t>
            </w:r>
            <w:r>
              <w:t xml:space="preserve">  年本)》,本项目属于《目录》中鼓励类中的“五、新能源中“太阳能热发 电集热系统、高效率低成本太阳能光伏发电技术研发与产业化、系统集成</w:t>
            </w:r>
            <w:r>
              <w:rPr>
                <w:spacing w:val="9"/>
              </w:rPr>
              <w:t xml:space="preserve"> </w:t>
            </w:r>
            <w:r>
              <w:t>技术开发应用及发电互补技术与应用：氢能、风</w:t>
            </w:r>
            <w:r>
              <w:rPr>
                <w:spacing w:val="-1"/>
              </w:rPr>
              <w:t>电与光伏发电互补系统技</w:t>
            </w:r>
            <w:r>
              <w:t xml:space="preserve"> 术开发与应用”。另外，项目于2024年8月19</w:t>
            </w:r>
            <w:r>
              <w:rPr>
                <w:spacing w:val="-1"/>
              </w:rPr>
              <w:t>日取得了陆良县发展和改革</w:t>
            </w:r>
            <w:r>
              <w:t xml:space="preserve">  局投资项目备案证(项目代码：2408-530322-04-01-222381)。</w:t>
            </w:r>
          </w:p>
          <w:p w14:paraId="550E8486">
            <w:pPr>
              <w:pStyle w:val="6"/>
              <w:spacing w:before="1" w:line="216" w:lineRule="auto"/>
              <w:ind w:left="442"/>
            </w:pPr>
            <w:r>
              <w:t>根据《市场准入负面清单(2022年版)》,对禁止准入事项，市场主</w:t>
            </w:r>
          </w:p>
          <w:p w14:paraId="413D253B">
            <w:pPr>
              <w:pStyle w:val="6"/>
              <w:spacing w:before="204" w:line="219" w:lineRule="auto"/>
              <w:ind w:left="11"/>
            </w:pPr>
            <w:r>
              <w:t>体不得进入，行政机关不予审批、核准，不得办理</w:t>
            </w:r>
            <w:r>
              <w:rPr>
                <w:spacing w:val="-1"/>
              </w:rPr>
              <w:t>有关手续；对许可准入</w:t>
            </w:r>
          </w:p>
        </w:tc>
      </w:tr>
    </w:tbl>
    <w:p w14:paraId="3149BD3D">
      <w:pPr>
        <w:pStyle w:val="2"/>
      </w:pPr>
    </w:p>
    <w:p w14:paraId="578053E4">
      <w:pPr>
        <w:sectPr>
          <w:footerReference r:id="rId13" w:type="default"/>
          <w:pgSz w:w="11910" w:h="16830"/>
          <w:pgMar w:top="400" w:right="1574" w:bottom="1222" w:left="1415" w:header="0" w:footer="1089" w:gutter="0"/>
          <w:cols w:space="720" w:num="1"/>
        </w:sectPr>
      </w:pPr>
    </w:p>
    <w:p w14:paraId="054176C9">
      <w:pPr>
        <w:spacing w:before="18"/>
      </w:pPr>
    </w:p>
    <w:p w14:paraId="7BB0EBC4">
      <w:pPr>
        <w:spacing w:before="18"/>
      </w:pPr>
    </w:p>
    <w:p w14:paraId="504194BF">
      <w:pPr>
        <w:spacing w:before="17"/>
      </w:pPr>
    </w:p>
    <w:p w14:paraId="7DE1FCC5">
      <w:pPr>
        <w:spacing w:before="17"/>
      </w:pPr>
    </w:p>
    <w:p w14:paraId="1508D11A">
      <w:pPr>
        <w:spacing w:before="17"/>
      </w:pPr>
    </w:p>
    <w:tbl>
      <w:tblPr>
        <w:tblStyle w:val="5"/>
        <w:tblW w:w="9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7826"/>
      </w:tblGrid>
      <w:tr w14:paraId="0C377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00" w:hRule="atLeast"/>
        </w:trPr>
        <w:tc>
          <w:tcPr>
            <w:tcW w:w="1213" w:type="dxa"/>
            <w:vAlign w:val="top"/>
          </w:tcPr>
          <w:p w14:paraId="08F79B54">
            <w:pPr>
              <w:rPr>
                <w:rFonts w:ascii="Arial"/>
                <w:sz w:val="21"/>
              </w:rPr>
            </w:pPr>
          </w:p>
        </w:tc>
        <w:tc>
          <w:tcPr>
            <w:tcW w:w="7826" w:type="dxa"/>
            <w:vAlign w:val="top"/>
          </w:tcPr>
          <w:p w14:paraId="5E6CFE9D">
            <w:pPr>
              <w:pStyle w:val="6"/>
              <w:spacing w:before="33" w:line="359" w:lineRule="auto"/>
              <w:ind w:left="61" w:right="29" w:firstLine="30"/>
              <w:jc w:val="both"/>
              <w:rPr>
                <w:sz w:val="24"/>
                <w:szCs w:val="24"/>
              </w:rPr>
            </w:pPr>
            <w:r>
              <w:rPr>
                <w:sz w:val="24"/>
                <w:szCs w:val="24"/>
              </w:rPr>
              <w:t>事项，包括有关资格的要求和程序、技术标准和许可要求等，或由市场主</w:t>
            </w:r>
            <w:r>
              <w:rPr>
                <w:spacing w:val="11"/>
                <w:sz w:val="24"/>
                <w:szCs w:val="24"/>
              </w:rPr>
              <w:t xml:space="preserve"> </w:t>
            </w:r>
            <w:r>
              <w:rPr>
                <w:sz w:val="24"/>
                <w:szCs w:val="24"/>
              </w:rPr>
              <w:t>体提出申请，行政机关依法依规作出是否予以准</w:t>
            </w:r>
            <w:r>
              <w:rPr>
                <w:spacing w:val="-1"/>
                <w:sz w:val="24"/>
                <w:szCs w:val="24"/>
              </w:rPr>
              <w:t>入的决定，或由市场主体</w:t>
            </w:r>
            <w:r>
              <w:rPr>
                <w:sz w:val="24"/>
                <w:szCs w:val="24"/>
              </w:rPr>
              <w:t xml:space="preserve"> </w:t>
            </w:r>
            <w:r>
              <w:rPr>
                <w:spacing w:val="1"/>
                <w:sz w:val="24"/>
                <w:szCs w:val="24"/>
              </w:rPr>
              <w:t>依照政府规定的准入条件和准入方式合规进入；对市场准入负面清单以外</w:t>
            </w:r>
            <w:r>
              <w:rPr>
                <w:spacing w:val="11"/>
                <w:sz w:val="24"/>
                <w:szCs w:val="24"/>
              </w:rPr>
              <w:t xml:space="preserve"> </w:t>
            </w:r>
            <w:r>
              <w:rPr>
                <w:spacing w:val="1"/>
                <w:sz w:val="24"/>
                <w:szCs w:val="24"/>
              </w:rPr>
              <w:t>的行业、领域、业务等，各类市场主体皆可依法平等进入。项目不属于清</w:t>
            </w:r>
            <w:r>
              <w:rPr>
                <w:sz w:val="24"/>
                <w:szCs w:val="24"/>
              </w:rPr>
              <w:t xml:space="preserve"> </w:t>
            </w:r>
            <w:r>
              <w:rPr>
                <w:spacing w:val="1"/>
                <w:sz w:val="24"/>
                <w:szCs w:val="24"/>
              </w:rPr>
              <w:t xml:space="preserve">单中的禁止准入类、许可准入类项目，属于可依法平等进入项目，与《市 </w:t>
            </w:r>
            <w:r>
              <w:rPr>
                <w:sz w:val="24"/>
                <w:szCs w:val="24"/>
              </w:rPr>
              <w:t>场准入负面清单(2022年版)》相符。</w:t>
            </w:r>
          </w:p>
          <w:p w14:paraId="702BAA93">
            <w:pPr>
              <w:pStyle w:val="6"/>
              <w:spacing w:line="218" w:lineRule="auto"/>
              <w:ind w:left="561"/>
              <w:rPr>
                <w:sz w:val="24"/>
                <w:szCs w:val="24"/>
              </w:rPr>
            </w:pPr>
            <w:r>
              <w:rPr>
                <w:sz w:val="24"/>
                <w:szCs w:val="24"/>
              </w:rPr>
              <w:t>综上所述，本项目符合国家及地方产业政策。</w:t>
            </w:r>
          </w:p>
          <w:p w14:paraId="0C018EC2">
            <w:pPr>
              <w:pStyle w:val="6"/>
              <w:spacing w:before="193" w:line="342" w:lineRule="auto"/>
              <w:ind w:left="55" w:right="202" w:firstLine="10"/>
              <w:rPr>
                <w:sz w:val="24"/>
                <w:szCs w:val="24"/>
              </w:rPr>
            </w:pPr>
            <w:r>
              <w:rPr>
                <w:b/>
                <w:bCs/>
                <w:spacing w:val="-3"/>
                <w:sz w:val="24"/>
                <w:szCs w:val="24"/>
              </w:rPr>
              <w:t>2项目与《云南省能源局关于推进太阳能光伏开发利用的指导意见》符合</w:t>
            </w:r>
            <w:r>
              <w:rPr>
                <w:spacing w:val="2"/>
                <w:sz w:val="24"/>
                <w:szCs w:val="24"/>
              </w:rPr>
              <w:t xml:space="preserve"> </w:t>
            </w:r>
            <w:r>
              <w:rPr>
                <w:b/>
                <w:bCs/>
                <w:spacing w:val="-6"/>
                <w:sz w:val="24"/>
                <w:szCs w:val="24"/>
              </w:rPr>
              <w:t>性分析</w:t>
            </w:r>
          </w:p>
          <w:p w14:paraId="33B9EE33">
            <w:pPr>
              <w:pStyle w:val="6"/>
              <w:spacing w:before="43" w:line="219" w:lineRule="auto"/>
              <w:ind w:left="541"/>
              <w:rPr>
                <w:sz w:val="24"/>
                <w:szCs w:val="24"/>
              </w:rPr>
            </w:pPr>
            <w:r>
              <w:rPr>
                <w:sz w:val="24"/>
                <w:szCs w:val="24"/>
              </w:rPr>
              <w:t>2016年2月25日，云南省能源局以“云能源水电(2016)15号”发布</w:t>
            </w:r>
          </w:p>
          <w:p w14:paraId="60F4DFD1">
            <w:pPr>
              <w:pStyle w:val="6"/>
              <w:spacing w:before="185" w:line="360" w:lineRule="auto"/>
              <w:ind w:left="82" w:right="131" w:firstLine="29"/>
              <w:rPr>
                <w:sz w:val="24"/>
                <w:szCs w:val="24"/>
              </w:rPr>
            </w:pPr>
            <w:r>
              <w:rPr>
                <w:sz w:val="24"/>
                <w:szCs w:val="24"/>
              </w:rPr>
              <w:t>了《云南省能源局关于推进太阳能光伏开发利用的指导意见》(以下简称</w:t>
            </w:r>
            <w:r>
              <w:rPr>
                <w:spacing w:val="11"/>
                <w:sz w:val="24"/>
                <w:szCs w:val="24"/>
              </w:rPr>
              <w:t xml:space="preserve"> </w:t>
            </w:r>
            <w:r>
              <w:rPr>
                <w:sz w:val="24"/>
                <w:szCs w:val="24"/>
              </w:rPr>
              <w:t>《意见》),《意见》指出，未来云南将不再发展纯地面电站，而是将光</w:t>
            </w:r>
          </w:p>
          <w:p w14:paraId="4034B105">
            <w:pPr>
              <w:pStyle w:val="6"/>
              <w:spacing w:before="3" w:line="219" w:lineRule="auto"/>
              <w:ind w:left="91"/>
              <w:rPr>
                <w:sz w:val="24"/>
                <w:szCs w:val="24"/>
              </w:rPr>
            </w:pPr>
            <w:r>
              <w:rPr>
                <w:sz w:val="24"/>
                <w:szCs w:val="24"/>
              </w:rPr>
              <w:t>伏产业发展重点转向光伏农(林、牧、渔)业、光伏提水、光伏制冷(脱</w:t>
            </w:r>
          </w:p>
          <w:p w14:paraId="1810337C">
            <w:pPr>
              <w:pStyle w:val="6"/>
              <w:spacing w:before="174" w:line="216" w:lineRule="auto"/>
              <w:ind w:left="91"/>
              <w:rPr>
                <w:sz w:val="24"/>
                <w:szCs w:val="24"/>
              </w:rPr>
            </w:pPr>
            <w:r>
              <w:rPr>
                <w:sz w:val="24"/>
                <w:szCs w:val="24"/>
              </w:rPr>
              <w:t>水、保鲜),光伏制热(烘干、食品加工)、户用光伏扶贫以及城市、工</w:t>
            </w:r>
          </w:p>
          <w:p w14:paraId="16716C0D">
            <w:pPr>
              <w:pStyle w:val="6"/>
              <w:spacing w:before="194" w:line="357" w:lineRule="auto"/>
              <w:ind w:left="71" w:right="21" w:firstLine="20"/>
              <w:rPr>
                <w:sz w:val="24"/>
                <w:szCs w:val="24"/>
              </w:rPr>
            </w:pPr>
            <w:r>
              <w:rPr>
                <w:sz w:val="24"/>
                <w:szCs w:val="24"/>
              </w:rPr>
              <w:t>业园区的屋顶分布式领域，推进光伏多元化利用。</w:t>
            </w:r>
            <w:r>
              <w:rPr>
                <w:spacing w:val="-1"/>
                <w:sz w:val="24"/>
                <w:szCs w:val="24"/>
              </w:rPr>
              <w:t>环境敏感区域不得建设</w:t>
            </w:r>
            <w:r>
              <w:rPr>
                <w:sz w:val="24"/>
                <w:szCs w:val="24"/>
              </w:rPr>
              <w:t xml:space="preserve"> </w:t>
            </w:r>
            <w:r>
              <w:rPr>
                <w:spacing w:val="4"/>
                <w:sz w:val="24"/>
                <w:szCs w:val="24"/>
              </w:rPr>
              <w:t>光伏电站(敏感区指：生物多样性富集区域、特殊生态环境及特有物种、</w:t>
            </w:r>
            <w:r>
              <w:rPr>
                <w:spacing w:val="11"/>
                <w:sz w:val="24"/>
                <w:szCs w:val="24"/>
              </w:rPr>
              <w:t xml:space="preserve"> </w:t>
            </w:r>
            <w:r>
              <w:rPr>
                <w:spacing w:val="1"/>
                <w:sz w:val="24"/>
                <w:szCs w:val="24"/>
              </w:rPr>
              <w:t>鸟类通道、自然保护区、湿地、风景名胜区、风俗保护区，以及其他自然</w:t>
            </w:r>
            <w:r>
              <w:rPr>
                <w:spacing w:val="9"/>
                <w:sz w:val="24"/>
                <w:szCs w:val="24"/>
              </w:rPr>
              <w:t xml:space="preserve"> </w:t>
            </w:r>
            <w:r>
              <w:rPr>
                <w:sz w:val="24"/>
                <w:szCs w:val="24"/>
              </w:rPr>
              <w:t>生态经济社会发展敏感区等)。在光伏扶贫</w:t>
            </w:r>
            <w:r>
              <w:rPr>
                <w:spacing w:val="-1"/>
                <w:sz w:val="24"/>
                <w:szCs w:val="24"/>
              </w:rPr>
              <w:t>方面，《意见》还鼓励项目业</w:t>
            </w:r>
            <w:r>
              <w:rPr>
                <w:sz w:val="24"/>
                <w:szCs w:val="24"/>
              </w:rPr>
              <w:t xml:space="preserve">  </w:t>
            </w:r>
            <w:r>
              <w:rPr>
                <w:spacing w:val="1"/>
                <w:sz w:val="24"/>
                <w:szCs w:val="24"/>
              </w:rPr>
              <w:t>主前两年拿出不低于总收益的5%,后两年拿出不</w:t>
            </w:r>
            <w:r>
              <w:rPr>
                <w:sz w:val="24"/>
                <w:szCs w:val="24"/>
              </w:rPr>
              <w:t>低于总收益的10%用于协</w:t>
            </w:r>
          </w:p>
          <w:p w14:paraId="2F8CAAAD">
            <w:pPr>
              <w:pStyle w:val="6"/>
              <w:spacing w:before="9" w:line="220" w:lineRule="auto"/>
              <w:ind w:left="71"/>
              <w:rPr>
                <w:sz w:val="24"/>
                <w:szCs w:val="24"/>
              </w:rPr>
            </w:pPr>
            <w:r>
              <w:rPr>
                <w:sz w:val="24"/>
                <w:szCs w:val="24"/>
              </w:rPr>
              <w:t>助当地贫困人口脱贫致富。</w:t>
            </w:r>
          </w:p>
          <w:p w14:paraId="23E7CA6E">
            <w:pPr>
              <w:pStyle w:val="6"/>
              <w:spacing w:before="179" w:line="362" w:lineRule="auto"/>
              <w:ind w:left="61" w:right="22" w:firstLine="519"/>
              <w:jc w:val="both"/>
              <w:rPr>
                <w:sz w:val="24"/>
                <w:szCs w:val="24"/>
              </w:rPr>
            </w:pPr>
            <w:r>
              <w:rPr>
                <w:sz w:val="24"/>
                <w:szCs w:val="24"/>
              </w:rPr>
              <w:t>本项目位于曲靖市陆良县，为光照资源较好的区域，项目建设内容包</w:t>
            </w:r>
            <w:r>
              <w:rPr>
                <w:spacing w:val="10"/>
                <w:sz w:val="24"/>
                <w:szCs w:val="24"/>
              </w:rPr>
              <w:t xml:space="preserve"> </w:t>
            </w:r>
            <w:r>
              <w:rPr>
                <w:sz w:val="24"/>
                <w:szCs w:val="24"/>
              </w:rPr>
              <w:t>括太阳能光伏发电系统以及相应的配套并网设施，并在场区内种植草</w:t>
            </w:r>
            <w:r>
              <w:rPr>
                <w:spacing w:val="-1"/>
                <w:sz w:val="24"/>
                <w:szCs w:val="24"/>
              </w:rPr>
              <w:t>地，</w:t>
            </w:r>
            <w:r>
              <w:rPr>
                <w:sz w:val="24"/>
                <w:szCs w:val="24"/>
              </w:rPr>
              <w:t xml:space="preserve"> </w:t>
            </w:r>
            <w:r>
              <w:rPr>
                <w:spacing w:val="1"/>
                <w:sz w:val="24"/>
                <w:szCs w:val="24"/>
              </w:rPr>
              <w:t>实现草光复合利用模式，非纯地面光伏电站；满足在适宜地区建设光伏电</w:t>
            </w:r>
            <w:r>
              <w:rPr>
                <w:spacing w:val="11"/>
                <w:sz w:val="24"/>
                <w:szCs w:val="24"/>
              </w:rPr>
              <w:t xml:space="preserve"> </w:t>
            </w:r>
            <w:r>
              <w:rPr>
                <w:sz w:val="24"/>
                <w:szCs w:val="24"/>
              </w:rPr>
              <w:t>站，积极推动太阳能光伏多元化开发利用的总体要求。</w:t>
            </w:r>
          </w:p>
          <w:p w14:paraId="7242F8CE">
            <w:pPr>
              <w:pStyle w:val="6"/>
              <w:spacing w:before="1" w:line="351" w:lineRule="auto"/>
              <w:ind w:left="61" w:firstLine="492"/>
              <w:rPr>
                <w:sz w:val="24"/>
                <w:szCs w:val="24"/>
              </w:rPr>
            </w:pPr>
            <w:r>
              <w:rPr>
                <w:spacing w:val="-3"/>
                <w:sz w:val="24"/>
                <w:szCs w:val="24"/>
              </w:rPr>
              <w:t>根据陆良县各局(自然资源局、林业和草原局、曲靖市生态</w:t>
            </w:r>
            <w:r>
              <w:rPr>
                <w:spacing w:val="-4"/>
                <w:sz w:val="24"/>
                <w:szCs w:val="24"/>
              </w:rPr>
              <w:t>环境局陆</w:t>
            </w:r>
            <w:r>
              <w:rPr>
                <w:sz w:val="24"/>
                <w:szCs w:val="24"/>
              </w:rPr>
              <w:t xml:space="preserve">   </w:t>
            </w:r>
            <w:r>
              <w:rPr>
                <w:spacing w:val="-2"/>
                <w:sz w:val="24"/>
                <w:szCs w:val="24"/>
              </w:rPr>
              <w:t>良分局、水务局、文旅局、武装部)的核查文件、项目选址踏勘及陆良县</w:t>
            </w:r>
            <w:r>
              <w:rPr>
                <w:sz w:val="24"/>
                <w:szCs w:val="24"/>
              </w:rPr>
              <w:t xml:space="preserve">   </w:t>
            </w:r>
            <w:r>
              <w:rPr>
                <w:spacing w:val="-5"/>
                <w:sz w:val="24"/>
                <w:szCs w:val="24"/>
              </w:rPr>
              <w:t>相关敏感区资料核对，本项目不涉及国家公园、自然保护区、风景名胜</w:t>
            </w:r>
            <w:r>
              <w:rPr>
                <w:spacing w:val="-6"/>
                <w:sz w:val="24"/>
                <w:szCs w:val="24"/>
              </w:rPr>
              <w:t>区、</w:t>
            </w:r>
            <w:r>
              <w:rPr>
                <w:sz w:val="24"/>
                <w:szCs w:val="24"/>
              </w:rPr>
              <w:t xml:space="preserve"> </w:t>
            </w:r>
            <w:r>
              <w:rPr>
                <w:spacing w:val="-3"/>
                <w:sz w:val="24"/>
                <w:szCs w:val="24"/>
              </w:rPr>
              <w:t>世界文化和自然遗产地、生态保护红线、城镇开发边界、基本农</w:t>
            </w:r>
            <w:r>
              <w:rPr>
                <w:spacing w:val="-4"/>
                <w:sz w:val="24"/>
                <w:szCs w:val="24"/>
              </w:rPr>
              <w:t>田、军事</w:t>
            </w:r>
          </w:p>
        </w:tc>
      </w:tr>
    </w:tbl>
    <w:p w14:paraId="1DBCD7CD">
      <w:pPr>
        <w:pStyle w:val="2"/>
      </w:pPr>
    </w:p>
    <w:p w14:paraId="11A91249">
      <w:pPr>
        <w:sectPr>
          <w:footerReference r:id="rId14" w:type="default"/>
          <w:pgSz w:w="11910" w:h="16830"/>
          <w:pgMar w:top="400" w:right="1445" w:bottom="1245" w:left="1415" w:header="0" w:footer="1083" w:gutter="0"/>
          <w:cols w:space="720" w:num="1"/>
        </w:sectPr>
      </w:pPr>
    </w:p>
    <w:p w14:paraId="0715BEF3">
      <w:pPr>
        <w:spacing w:before="18"/>
      </w:pPr>
    </w:p>
    <w:p w14:paraId="22075B3A">
      <w:pPr>
        <w:spacing w:before="18"/>
      </w:pPr>
    </w:p>
    <w:p w14:paraId="307F80E3">
      <w:pPr>
        <w:spacing w:before="17"/>
      </w:pPr>
    </w:p>
    <w:p w14:paraId="3F3818ED">
      <w:pPr>
        <w:spacing w:before="17"/>
      </w:pPr>
    </w:p>
    <w:p w14:paraId="0C24C3B5">
      <w:pPr>
        <w:spacing w:before="17"/>
      </w:pPr>
    </w:p>
    <w:tbl>
      <w:tblPr>
        <w:tblStyle w:val="5"/>
        <w:tblW w:w="90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4"/>
        <w:gridCol w:w="589"/>
        <w:gridCol w:w="3426"/>
        <w:gridCol w:w="3196"/>
        <w:gridCol w:w="574"/>
      </w:tblGrid>
      <w:tr w14:paraId="61E43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18" w:hRule="atLeast"/>
        </w:trPr>
        <w:tc>
          <w:tcPr>
            <w:tcW w:w="1224" w:type="dxa"/>
            <w:vMerge w:val="restart"/>
            <w:tcBorders>
              <w:bottom w:val="nil"/>
            </w:tcBorders>
            <w:vAlign w:val="top"/>
          </w:tcPr>
          <w:p w14:paraId="63F7C1E8">
            <w:pPr>
              <w:rPr>
                <w:rFonts w:ascii="Arial"/>
                <w:sz w:val="21"/>
              </w:rPr>
            </w:pPr>
          </w:p>
        </w:tc>
        <w:tc>
          <w:tcPr>
            <w:tcW w:w="7785" w:type="dxa"/>
            <w:gridSpan w:val="4"/>
            <w:vAlign w:val="top"/>
          </w:tcPr>
          <w:p w14:paraId="6F458254">
            <w:pPr>
              <w:pStyle w:val="6"/>
              <w:tabs>
                <w:tab w:val="left" w:pos="181"/>
              </w:tabs>
              <w:spacing w:before="32" w:line="392" w:lineRule="auto"/>
              <w:ind w:left="60" w:right="654"/>
            </w:pPr>
            <w:r>
              <w:t>设施、地面文物和其他遗存。项目占地类型为草地和人工乔木林地、灌木</w:t>
            </w:r>
            <w:r>
              <w:rPr>
                <w:spacing w:val="9"/>
              </w:rPr>
              <w:t xml:space="preserve"> </w:t>
            </w:r>
            <w:r>
              <w:t>林、交通运输用地、工矿用地等，占地区域生态环境不敏感，且光伏板区</w:t>
            </w:r>
            <w:r>
              <w:rPr>
                <w:spacing w:val="18"/>
              </w:rPr>
              <w:t xml:space="preserve"> </w:t>
            </w:r>
            <w:r>
              <w:tab/>
            </w:r>
            <w:r>
              <w:t>(除箱变外)、集电线路(除塔基)、施工生产生活区占地均为临时占地，</w:t>
            </w:r>
          </w:p>
          <w:p w14:paraId="0631721D">
            <w:pPr>
              <w:pStyle w:val="6"/>
              <w:spacing w:before="1" w:line="394" w:lineRule="auto"/>
              <w:ind w:left="40" w:right="678" w:hanging="10"/>
            </w:pPr>
            <w:r>
              <w:rPr>
                <w:spacing w:val="1"/>
              </w:rPr>
              <w:t>环评要求项目建设不得改变原有占地类型，因此项目建</w:t>
            </w:r>
            <w:r>
              <w:t>设对占地范围及周 边区域生态环境影响较小。项目35kV集电线路12个塔</w:t>
            </w:r>
            <w:r>
              <w:rPr>
                <w:spacing w:val="-1"/>
              </w:rPr>
              <w:t>基，架空线路长度为</w:t>
            </w:r>
            <w:r>
              <w:t xml:space="preserve"> 3105m穿越大莫古集镇饮用水水源准保护区，已经取得陆良县人民政府的</w:t>
            </w:r>
            <w:r>
              <w:rPr>
                <w:spacing w:val="8"/>
              </w:rPr>
              <w:t xml:space="preserve">  </w:t>
            </w:r>
            <w:r>
              <w:rPr>
                <w:spacing w:val="1"/>
              </w:rPr>
              <w:t>同意，光伏板占地不涉及饮用水水源保护区。</w:t>
            </w:r>
          </w:p>
          <w:p w14:paraId="51014C16">
            <w:pPr>
              <w:pStyle w:val="6"/>
              <w:spacing w:before="3" w:line="387" w:lineRule="auto"/>
              <w:ind w:left="50" w:right="626" w:firstLine="479"/>
              <w:jc w:val="both"/>
            </w:pPr>
            <w:r>
              <w:t>综上所述，本项目与《云南省能源局关于推进太阳能光伏开发利用的</w:t>
            </w:r>
            <w:r>
              <w:rPr>
                <w:spacing w:val="16"/>
              </w:rPr>
              <w:t xml:space="preserve"> </w:t>
            </w:r>
            <w:r>
              <w:t>指导意见》提出的光伏电站环境保护方面的建设要求不冲突。建设单位须</w:t>
            </w:r>
            <w:r>
              <w:rPr>
                <w:spacing w:val="10"/>
              </w:rPr>
              <w:t xml:space="preserve"> </w:t>
            </w:r>
            <w:r>
              <w:t>按照《意见》认真落实其他要求。</w:t>
            </w:r>
          </w:p>
          <w:p w14:paraId="3B537122">
            <w:pPr>
              <w:pStyle w:val="6"/>
              <w:spacing w:before="1" w:line="395" w:lineRule="auto"/>
              <w:ind w:left="64" w:right="813" w:hanging="20"/>
            </w:pPr>
            <w:r>
              <w:rPr>
                <w:b/>
                <w:bCs/>
                <w:spacing w:val="-3"/>
              </w:rPr>
              <w:t>3与《云南省林业和草原局云南省能源局关于进一步规范光伏复合项目使</w:t>
            </w:r>
            <w:r>
              <w:rPr>
                <w:spacing w:val="8"/>
              </w:rPr>
              <w:t xml:space="preserve"> </w:t>
            </w:r>
            <w:r>
              <w:rPr>
                <w:b/>
                <w:bCs/>
                <w:spacing w:val="-3"/>
              </w:rPr>
              <w:t>用林草地有关事项的通知》符合性分析</w:t>
            </w:r>
          </w:p>
          <w:p w14:paraId="16B0EF85">
            <w:pPr>
              <w:pStyle w:val="6"/>
              <w:spacing w:line="218" w:lineRule="auto"/>
              <w:ind w:left="550"/>
            </w:pPr>
            <w:r>
              <w:t>为深入贯彻落实省委、省政府绿色能源产业发展的决策部署，加快云</w:t>
            </w:r>
          </w:p>
          <w:p w14:paraId="505B0632">
            <w:pPr>
              <w:pStyle w:val="6"/>
              <w:spacing w:before="201" w:line="219" w:lineRule="auto"/>
              <w:ind w:left="30"/>
            </w:pPr>
            <w:r>
              <w:rPr>
                <w:spacing w:val="6"/>
              </w:rPr>
              <w:t>南绿色能源产业结构优化升级和高质量发展，突出“生态优先、绿色发展”</w:t>
            </w:r>
          </w:p>
          <w:p w14:paraId="1FD1D323">
            <w:pPr>
              <w:pStyle w:val="6"/>
              <w:spacing w:before="207" w:line="391" w:lineRule="auto"/>
              <w:ind w:left="50" w:right="654"/>
            </w:pPr>
            <w:r>
              <w:t>的生态文明建设理念，引导和规范光伏发电项目节约集约使用林地和健康</w:t>
            </w:r>
            <w:r>
              <w:rPr>
                <w:spacing w:val="9"/>
              </w:rPr>
              <w:t xml:space="preserve"> </w:t>
            </w:r>
            <w:r>
              <w:rPr>
                <w:spacing w:val="1"/>
              </w:rPr>
              <w:t>发展，2021年10月29日，云南省林业和草原局、云南省</w:t>
            </w:r>
            <w:r>
              <w:t>能源局联合发布了 《关于进一步规范光伏复合项目使用林草地有关事项的通知》(云林规</w:t>
            </w:r>
          </w:p>
          <w:p w14:paraId="360DC207">
            <w:pPr>
              <w:pStyle w:val="6"/>
              <w:spacing w:before="1" w:line="216" w:lineRule="auto"/>
              <w:ind w:left="41"/>
            </w:pPr>
            <w:r>
              <w:rPr>
                <w:spacing w:val="4"/>
              </w:rPr>
              <w:t>【2021】5号),与该通知的符合性分析如下：</w:t>
            </w:r>
          </w:p>
          <w:p w14:paraId="7A620D4E">
            <w:pPr>
              <w:pStyle w:val="6"/>
              <w:spacing w:before="194" w:line="226" w:lineRule="auto"/>
              <w:ind w:left="824"/>
            </w:pPr>
            <w:r>
              <w:rPr>
                <w:b/>
                <w:bCs/>
                <w:spacing w:val="-2"/>
                <w:position w:val="1"/>
              </w:rPr>
              <w:t>表1</w:t>
            </w:r>
            <w:r>
              <w:rPr>
                <w:spacing w:val="-54"/>
                <w:position w:val="1"/>
              </w:rPr>
              <w:t xml:space="preserve"> </w:t>
            </w:r>
            <w:r>
              <w:rPr>
                <w:b/>
                <w:bCs/>
                <w:spacing w:val="-2"/>
                <w:position w:val="1"/>
              </w:rPr>
              <w:t>-</w:t>
            </w:r>
            <w:r>
              <w:rPr>
                <w:spacing w:val="-56"/>
                <w:position w:val="1"/>
              </w:rPr>
              <w:t xml:space="preserve"> </w:t>
            </w:r>
            <w:r>
              <w:rPr>
                <w:b/>
                <w:bCs/>
                <w:spacing w:val="-2"/>
                <w:position w:val="1"/>
              </w:rPr>
              <w:t>4</w:t>
            </w:r>
            <w:r>
              <w:rPr>
                <w:spacing w:val="13"/>
                <w:position w:val="1"/>
              </w:rPr>
              <w:t xml:space="preserve">     </w:t>
            </w:r>
            <w:r>
              <w:rPr>
                <w:b/>
                <w:bCs/>
                <w:spacing w:val="-2"/>
              </w:rPr>
              <w:t>项目与“云林规〔2021〕5号”的符合性分析</w:t>
            </w:r>
          </w:p>
        </w:tc>
      </w:tr>
      <w:tr w14:paraId="0AA14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224" w:type="dxa"/>
            <w:vMerge w:val="continue"/>
            <w:tcBorders>
              <w:top w:val="nil"/>
              <w:bottom w:val="nil"/>
            </w:tcBorders>
            <w:vAlign w:val="top"/>
          </w:tcPr>
          <w:p w14:paraId="5F491CC6">
            <w:pPr>
              <w:rPr>
                <w:rFonts w:ascii="Arial"/>
                <w:sz w:val="21"/>
              </w:rPr>
            </w:pPr>
          </w:p>
        </w:tc>
        <w:tc>
          <w:tcPr>
            <w:tcW w:w="589" w:type="dxa"/>
            <w:vAlign w:val="top"/>
          </w:tcPr>
          <w:p w14:paraId="2BBB172F">
            <w:pPr>
              <w:pStyle w:val="6"/>
              <w:spacing w:before="166" w:line="219" w:lineRule="auto"/>
              <w:ind w:left="60"/>
            </w:pPr>
            <w:r>
              <w:rPr>
                <w:spacing w:val="8"/>
              </w:rPr>
              <w:t>类别</w:t>
            </w:r>
          </w:p>
        </w:tc>
        <w:tc>
          <w:tcPr>
            <w:tcW w:w="3426" w:type="dxa"/>
            <w:vAlign w:val="top"/>
          </w:tcPr>
          <w:p w14:paraId="6C6DDCC4">
            <w:pPr>
              <w:pStyle w:val="6"/>
              <w:spacing w:before="166" w:line="219" w:lineRule="auto"/>
              <w:ind w:left="551"/>
            </w:pPr>
            <w:r>
              <w:t>云林规〔2021〕5号要求</w:t>
            </w:r>
          </w:p>
        </w:tc>
        <w:tc>
          <w:tcPr>
            <w:tcW w:w="3196" w:type="dxa"/>
            <w:vAlign w:val="top"/>
          </w:tcPr>
          <w:p w14:paraId="073285A4">
            <w:pPr>
              <w:pStyle w:val="6"/>
              <w:spacing w:before="166" w:line="220" w:lineRule="auto"/>
              <w:ind w:left="1155"/>
            </w:pPr>
            <w:r>
              <w:rPr>
                <w:spacing w:val="2"/>
              </w:rPr>
              <w:t>项目情况</w:t>
            </w:r>
          </w:p>
        </w:tc>
        <w:tc>
          <w:tcPr>
            <w:tcW w:w="574" w:type="dxa"/>
            <w:vAlign w:val="top"/>
          </w:tcPr>
          <w:p w14:paraId="45299C82">
            <w:pPr>
              <w:pStyle w:val="6"/>
              <w:spacing w:before="36" w:line="207" w:lineRule="auto"/>
              <w:ind w:left="169" w:right="72" w:hanging="110"/>
            </w:pPr>
            <w:r>
              <w:rPr>
                <w:spacing w:val="-5"/>
              </w:rPr>
              <w:t>相符</w:t>
            </w:r>
            <w:r>
              <w:t xml:space="preserve"> 性</w:t>
            </w:r>
          </w:p>
        </w:tc>
      </w:tr>
      <w:tr w14:paraId="53F03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1224" w:type="dxa"/>
            <w:vMerge w:val="continue"/>
            <w:tcBorders>
              <w:top w:val="nil"/>
              <w:bottom w:val="nil"/>
            </w:tcBorders>
            <w:vAlign w:val="top"/>
          </w:tcPr>
          <w:p w14:paraId="4D78B692">
            <w:pPr>
              <w:rPr>
                <w:rFonts w:ascii="Arial"/>
                <w:sz w:val="21"/>
              </w:rPr>
            </w:pPr>
          </w:p>
        </w:tc>
        <w:tc>
          <w:tcPr>
            <w:tcW w:w="589" w:type="dxa"/>
            <w:vMerge w:val="restart"/>
            <w:tcBorders>
              <w:bottom w:val="nil"/>
            </w:tcBorders>
            <w:vAlign w:val="top"/>
          </w:tcPr>
          <w:p w14:paraId="55E97657">
            <w:pPr>
              <w:spacing w:line="270" w:lineRule="auto"/>
              <w:rPr>
                <w:rFonts w:ascii="Arial"/>
                <w:sz w:val="21"/>
              </w:rPr>
            </w:pPr>
          </w:p>
          <w:p w14:paraId="6DD9C532">
            <w:pPr>
              <w:spacing w:line="270" w:lineRule="auto"/>
              <w:rPr>
                <w:rFonts w:ascii="Arial"/>
                <w:sz w:val="21"/>
              </w:rPr>
            </w:pPr>
          </w:p>
          <w:p w14:paraId="42698AF6">
            <w:pPr>
              <w:spacing w:line="270" w:lineRule="auto"/>
              <w:rPr>
                <w:rFonts w:ascii="Arial"/>
                <w:sz w:val="21"/>
              </w:rPr>
            </w:pPr>
          </w:p>
          <w:p w14:paraId="2783B90E">
            <w:pPr>
              <w:spacing w:line="270" w:lineRule="auto"/>
              <w:rPr>
                <w:rFonts w:ascii="Arial"/>
                <w:sz w:val="21"/>
              </w:rPr>
            </w:pPr>
          </w:p>
          <w:p w14:paraId="3C265F93">
            <w:pPr>
              <w:spacing w:line="270" w:lineRule="auto"/>
              <w:rPr>
                <w:rFonts w:ascii="Arial"/>
                <w:sz w:val="21"/>
              </w:rPr>
            </w:pPr>
          </w:p>
          <w:p w14:paraId="2A8859EC">
            <w:pPr>
              <w:spacing w:line="270" w:lineRule="auto"/>
              <w:rPr>
                <w:rFonts w:ascii="Arial"/>
                <w:sz w:val="21"/>
              </w:rPr>
            </w:pPr>
          </w:p>
          <w:p w14:paraId="1BEA135C">
            <w:pPr>
              <w:pStyle w:val="6"/>
              <w:spacing w:before="71" w:line="223" w:lineRule="auto"/>
              <w:ind w:left="60"/>
            </w:pPr>
            <w:r>
              <w:rPr>
                <w:spacing w:val="-2"/>
              </w:rPr>
              <w:t>选址</w:t>
            </w:r>
          </w:p>
          <w:p w14:paraId="0399067F">
            <w:pPr>
              <w:pStyle w:val="6"/>
              <w:spacing w:line="220" w:lineRule="auto"/>
              <w:ind w:left="60"/>
            </w:pPr>
            <w:r>
              <w:rPr>
                <w:spacing w:val="-3"/>
              </w:rPr>
              <w:t>要求</w:t>
            </w:r>
          </w:p>
        </w:tc>
        <w:tc>
          <w:tcPr>
            <w:tcW w:w="3426" w:type="dxa"/>
            <w:vAlign w:val="top"/>
          </w:tcPr>
          <w:p w14:paraId="6377BCC4">
            <w:pPr>
              <w:pStyle w:val="6"/>
              <w:spacing w:before="54" w:line="219" w:lineRule="auto"/>
              <w:jc w:val="right"/>
            </w:pPr>
            <w:r>
              <w:rPr>
                <w:spacing w:val="-8"/>
              </w:rPr>
              <w:t>光伏复合项目禁止在国家公园、自然</w:t>
            </w:r>
          </w:p>
          <w:p w14:paraId="4C3F5D1B">
            <w:pPr>
              <w:pStyle w:val="6"/>
              <w:spacing w:before="30" w:line="219" w:lineRule="auto"/>
              <w:jc w:val="right"/>
            </w:pPr>
            <w:r>
              <w:rPr>
                <w:spacing w:val="-8"/>
              </w:rPr>
              <w:t>保护区、森林公园、风景名胜区、草</w:t>
            </w:r>
          </w:p>
          <w:p w14:paraId="77DAB311">
            <w:pPr>
              <w:pStyle w:val="6"/>
              <w:spacing w:before="8" w:line="210" w:lineRule="auto"/>
              <w:jc w:val="right"/>
            </w:pPr>
            <w:r>
              <w:rPr>
                <w:spacing w:val="-8"/>
              </w:rPr>
              <w:t>原公园等各类自然保护地，世界自然</w:t>
            </w:r>
          </w:p>
          <w:p w14:paraId="2D9A7E6C">
            <w:pPr>
              <w:pStyle w:val="6"/>
              <w:spacing w:line="219" w:lineRule="auto"/>
              <w:jc w:val="right"/>
            </w:pPr>
            <w:r>
              <w:rPr>
                <w:spacing w:val="-8"/>
              </w:rPr>
              <w:t>遗产地，野生动物重要栖息地，珍稀</w:t>
            </w:r>
          </w:p>
          <w:p w14:paraId="3FF08D30">
            <w:pPr>
              <w:pStyle w:val="6"/>
              <w:spacing w:before="9" w:line="219" w:lineRule="auto"/>
              <w:ind w:left="51"/>
            </w:pPr>
            <w:r>
              <w:rPr>
                <w:spacing w:val="-1"/>
              </w:rPr>
              <w:t>濒危和极小种群野生植物重要原生</w:t>
            </w:r>
          </w:p>
          <w:p w14:paraId="347DAECE">
            <w:pPr>
              <w:pStyle w:val="6"/>
              <w:spacing w:before="7" w:line="219" w:lineRule="auto"/>
              <w:jc w:val="right"/>
            </w:pPr>
            <w:r>
              <w:rPr>
                <w:spacing w:val="-8"/>
              </w:rPr>
              <w:t>境，天然林保护重点区域、基本草原</w:t>
            </w:r>
          </w:p>
          <w:p w14:paraId="1E1A101E">
            <w:pPr>
              <w:pStyle w:val="6"/>
              <w:spacing w:line="195" w:lineRule="auto"/>
              <w:ind w:left="441"/>
            </w:pPr>
            <w:r>
              <w:rPr>
                <w:spacing w:val="-1"/>
              </w:rPr>
              <w:t>以及生态保护红线内建设。</w:t>
            </w:r>
          </w:p>
        </w:tc>
        <w:tc>
          <w:tcPr>
            <w:tcW w:w="3196" w:type="dxa"/>
            <w:vAlign w:val="top"/>
          </w:tcPr>
          <w:p w14:paraId="6705F8A6">
            <w:pPr>
              <w:pStyle w:val="6"/>
              <w:spacing w:before="76" w:line="219" w:lineRule="auto"/>
              <w:jc w:val="right"/>
            </w:pPr>
            <w:r>
              <w:rPr>
                <w:spacing w:val="-9"/>
              </w:rPr>
              <w:t>根据陆良县各局核查意见、现场踏</w:t>
            </w:r>
          </w:p>
          <w:p w14:paraId="6D225A7E">
            <w:pPr>
              <w:pStyle w:val="6"/>
              <w:spacing w:before="8" w:line="219" w:lineRule="auto"/>
              <w:jc w:val="right"/>
            </w:pPr>
            <w:r>
              <w:rPr>
                <w:spacing w:val="-9"/>
              </w:rPr>
              <w:t>勘及陆良县相关敏感区资料核对，</w:t>
            </w:r>
          </w:p>
          <w:p w14:paraId="743BDEC3">
            <w:pPr>
              <w:pStyle w:val="6"/>
              <w:spacing w:before="8" w:line="210" w:lineRule="auto"/>
              <w:jc w:val="right"/>
            </w:pPr>
            <w:r>
              <w:rPr>
                <w:spacing w:val="-9"/>
              </w:rPr>
              <w:t>项目不涉及生态保护红线，基本农</w:t>
            </w:r>
          </w:p>
          <w:p w14:paraId="2EA8F298">
            <w:pPr>
              <w:pStyle w:val="6"/>
              <w:spacing w:line="219" w:lineRule="auto"/>
              <w:jc w:val="right"/>
            </w:pPr>
            <w:r>
              <w:rPr>
                <w:spacing w:val="-9"/>
              </w:rPr>
              <w:t>田、国家公园、自然保护区、风景</w:t>
            </w:r>
          </w:p>
          <w:p w14:paraId="195EF047">
            <w:pPr>
              <w:pStyle w:val="6"/>
              <w:spacing w:before="9" w:line="219" w:lineRule="auto"/>
              <w:jc w:val="right"/>
            </w:pPr>
            <w:r>
              <w:rPr>
                <w:spacing w:val="-9"/>
              </w:rPr>
              <w:t>名胜区等各类自然保护地，不涉及</w:t>
            </w:r>
          </w:p>
          <w:p w14:paraId="369458F8">
            <w:pPr>
              <w:pStyle w:val="6"/>
              <w:spacing w:before="8" w:line="219" w:lineRule="auto"/>
              <w:jc w:val="right"/>
            </w:pPr>
            <w:r>
              <w:rPr>
                <w:spacing w:val="-9"/>
              </w:rPr>
              <w:t>世界自然遗产地、天然林等重点区</w:t>
            </w:r>
          </w:p>
          <w:p w14:paraId="22AB7050">
            <w:pPr>
              <w:pStyle w:val="6"/>
              <w:spacing w:before="10" w:line="186" w:lineRule="auto"/>
              <w:ind w:left="1425"/>
            </w:pPr>
            <w:r>
              <w:t>域。</w:t>
            </w:r>
          </w:p>
        </w:tc>
        <w:tc>
          <w:tcPr>
            <w:tcW w:w="574" w:type="dxa"/>
            <w:vAlign w:val="top"/>
          </w:tcPr>
          <w:p w14:paraId="51987E45">
            <w:pPr>
              <w:spacing w:line="259" w:lineRule="auto"/>
              <w:rPr>
                <w:rFonts w:ascii="Arial"/>
                <w:sz w:val="21"/>
              </w:rPr>
            </w:pPr>
          </w:p>
          <w:p w14:paraId="4F291E33">
            <w:pPr>
              <w:spacing w:line="260" w:lineRule="auto"/>
              <w:rPr>
                <w:rFonts w:ascii="Arial"/>
                <w:sz w:val="21"/>
              </w:rPr>
            </w:pPr>
          </w:p>
          <w:p w14:paraId="6521082E">
            <w:pPr>
              <w:spacing w:line="260" w:lineRule="auto"/>
              <w:rPr>
                <w:rFonts w:ascii="Arial"/>
                <w:sz w:val="21"/>
              </w:rPr>
            </w:pPr>
          </w:p>
          <w:p w14:paraId="167BCE2B">
            <w:pPr>
              <w:pStyle w:val="6"/>
              <w:spacing w:before="72" w:line="219" w:lineRule="auto"/>
              <w:ind w:left="59"/>
            </w:pPr>
            <w:r>
              <w:rPr>
                <w:spacing w:val="-3"/>
              </w:rPr>
              <w:t>符合</w:t>
            </w:r>
          </w:p>
        </w:tc>
      </w:tr>
      <w:tr w14:paraId="49604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3" w:hRule="atLeast"/>
        </w:trPr>
        <w:tc>
          <w:tcPr>
            <w:tcW w:w="1224" w:type="dxa"/>
            <w:vMerge w:val="continue"/>
            <w:tcBorders>
              <w:top w:val="nil"/>
            </w:tcBorders>
            <w:vAlign w:val="top"/>
          </w:tcPr>
          <w:p w14:paraId="1D03C1B8">
            <w:pPr>
              <w:rPr>
                <w:rFonts w:ascii="Arial"/>
                <w:sz w:val="21"/>
              </w:rPr>
            </w:pPr>
          </w:p>
        </w:tc>
        <w:tc>
          <w:tcPr>
            <w:tcW w:w="589" w:type="dxa"/>
            <w:vMerge w:val="continue"/>
            <w:tcBorders>
              <w:top w:val="nil"/>
            </w:tcBorders>
            <w:vAlign w:val="top"/>
          </w:tcPr>
          <w:p w14:paraId="33D06B35">
            <w:pPr>
              <w:rPr>
                <w:rFonts w:ascii="Arial"/>
                <w:sz w:val="21"/>
              </w:rPr>
            </w:pPr>
          </w:p>
        </w:tc>
        <w:tc>
          <w:tcPr>
            <w:tcW w:w="3426" w:type="dxa"/>
            <w:vAlign w:val="top"/>
          </w:tcPr>
          <w:p w14:paraId="50895EAA">
            <w:pPr>
              <w:pStyle w:val="6"/>
              <w:spacing w:before="56" w:line="225" w:lineRule="auto"/>
              <w:ind w:left="11" w:firstLine="97"/>
            </w:pPr>
            <w:r>
              <w:rPr>
                <w:spacing w:val="-6"/>
              </w:rPr>
              <w:t>光伏复合项目的生产区(包括升压</w:t>
            </w:r>
            <w:r>
              <w:t xml:space="preserve">   </w:t>
            </w:r>
            <w:r>
              <w:rPr>
                <w:spacing w:val="-20"/>
              </w:rPr>
              <w:t>站、配电室、控制室、新建进场道路、</w:t>
            </w:r>
            <w:r>
              <w:rPr>
                <w:spacing w:val="3"/>
              </w:rPr>
              <w:t xml:space="preserve"> </w:t>
            </w:r>
            <w:r>
              <w:rPr>
                <w:spacing w:val="-5"/>
              </w:rPr>
              <w:t>新建场内检修道路、集电线路塔基</w:t>
            </w:r>
            <w:r>
              <w:rPr>
                <w:spacing w:val="2"/>
              </w:rPr>
              <w:t xml:space="preserve">  </w:t>
            </w:r>
            <w:r>
              <w:rPr>
                <w:spacing w:val="-4"/>
              </w:rPr>
              <w:t>等)、生活区(包括办公、住宿、食</w:t>
            </w:r>
            <w:r>
              <w:rPr>
                <w:spacing w:val="6"/>
              </w:rPr>
              <w:t xml:space="preserve">  </w:t>
            </w:r>
            <w:r>
              <w:t>堂、活动场所、仓库等附属设施),</w:t>
            </w:r>
            <w:r>
              <w:rPr>
                <w:spacing w:val="2"/>
              </w:rPr>
              <w:t xml:space="preserve">  </w:t>
            </w:r>
            <w:r>
              <w:rPr>
                <w:spacing w:val="-14"/>
              </w:rPr>
              <w:t>禁止使用天然乔木林地；施工期临时</w:t>
            </w:r>
            <w:r>
              <w:rPr>
                <w:spacing w:val="6"/>
              </w:rPr>
              <w:t xml:space="preserve">  </w:t>
            </w:r>
            <w:r>
              <w:rPr>
                <w:spacing w:val="-13"/>
              </w:rPr>
              <w:t>设置的弃渣场、取土场、砂石场、堆</w:t>
            </w:r>
          </w:p>
        </w:tc>
        <w:tc>
          <w:tcPr>
            <w:tcW w:w="3196" w:type="dxa"/>
            <w:vAlign w:val="top"/>
          </w:tcPr>
          <w:p w14:paraId="423BD2BF">
            <w:pPr>
              <w:pStyle w:val="6"/>
              <w:spacing w:before="56" w:line="225" w:lineRule="auto"/>
              <w:ind w:left="15" w:firstLine="38"/>
              <w:jc w:val="both"/>
            </w:pPr>
            <w:r>
              <w:t>1、本项目生产区(包括升压站、</w:t>
            </w:r>
            <w:r>
              <w:rPr>
                <w:spacing w:val="5"/>
              </w:rPr>
              <w:t xml:space="preserve"> </w:t>
            </w:r>
            <w:r>
              <w:rPr>
                <w:spacing w:val="-9"/>
              </w:rPr>
              <w:t>配电室、控制室、新建进场道路、</w:t>
            </w:r>
            <w:r>
              <w:rPr>
                <w:spacing w:val="4"/>
              </w:rPr>
              <w:t xml:space="preserve"> </w:t>
            </w:r>
            <w:r>
              <w:rPr>
                <w:spacing w:val="-16"/>
              </w:rPr>
              <w:t>新建场内检修道路、集电线路塔基</w:t>
            </w:r>
            <w:r>
              <w:rPr>
                <w:spacing w:val="5"/>
              </w:rPr>
              <w:t xml:space="preserve">  </w:t>
            </w:r>
            <w:r>
              <w:rPr>
                <w:spacing w:val="-8"/>
              </w:rPr>
              <w:t>等)不涉及占用天然乔木林地。施</w:t>
            </w:r>
            <w:r>
              <w:rPr>
                <w:spacing w:val="1"/>
              </w:rPr>
              <w:t xml:space="preserve">  </w:t>
            </w:r>
            <w:r>
              <w:rPr>
                <w:spacing w:val="-6"/>
              </w:rPr>
              <w:t>工营地占地类型为草地。2、项目</w:t>
            </w:r>
            <w:r>
              <w:rPr>
                <w:spacing w:val="3"/>
              </w:rPr>
              <w:t xml:space="preserve"> </w:t>
            </w:r>
            <w:r>
              <w:rPr>
                <w:spacing w:val="-9"/>
              </w:rPr>
              <w:t>不设置弃渣场、取土场、砂石场、</w:t>
            </w:r>
            <w:r>
              <w:rPr>
                <w:spacing w:val="4"/>
              </w:rPr>
              <w:t xml:space="preserve"> </w:t>
            </w:r>
            <w:r>
              <w:rPr>
                <w:spacing w:val="-15"/>
              </w:rPr>
              <w:t>拌合站，临时表土堆场设置在光伏</w:t>
            </w:r>
          </w:p>
        </w:tc>
        <w:tc>
          <w:tcPr>
            <w:tcW w:w="574" w:type="dxa"/>
            <w:vAlign w:val="top"/>
          </w:tcPr>
          <w:p w14:paraId="0CDE33C1">
            <w:pPr>
              <w:spacing w:line="263" w:lineRule="auto"/>
              <w:rPr>
                <w:rFonts w:ascii="Arial"/>
                <w:sz w:val="21"/>
              </w:rPr>
            </w:pPr>
          </w:p>
          <w:p w14:paraId="18084EFA">
            <w:pPr>
              <w:spacing w:line="264" w:lineRule="auto"/>
              <w:rPr>
                <w:rFonts w:ascii="Arial"/>
                <w:sz w:val="21"/>
              </w:rPr>
            </w:pPr>
          </w:p>
          <w:p w14:paraId="18FC3110">
            <w:pPr>
              <w:spacing w:line="264" w:lineRule="auto"/>
              <w:rPr>
                <w:rFonts w:ascii="Arial"/>
                <w:sz w:val="21"/>
              </w:rPr>
            </w:pPr>
          </w:p>
          <w:p w14:paraId="048AF20B">
            <w:pPr>
              <w:pStyle w:val="6"/>
              <w:spacing w:before="72" w:line="219" w:lineRule="auto"/>
              <w:ind w:left="59"/>
            </w:pPr>
            <w:r>
              <w:rPr>
                <w:spacing w:val="-3"/>
              </w:rPr>
              <w:t>符合</w:t>
            </w:r>
          </w:p>
        </w:tc>
      </w:tr>
    </w:tbl>
    <w:p w14:paraId="2D2EFB55">
      <w:pPr>
        <w:pStyle w:val="2"/>
      </w:pPr>
    </w:p>
    <w:p w14:paraId="119EDA3F">
      <w:pPr>
        <w:sectPr>
          <w:footerReference r:id="rId15" w:type="default"/>
          <w:pgSz w:w="11910" w:h="16830"/>
          <w:pgMar w:top="400" w:right="1475" w:bottom="1227" w:left="1415" w:header="0" w:footer="1088" w:gutter="0"/>
          <w:cols w:space="720" w:num="1"/>
        </w:sectPr>
      </w:pPr>
    </w:p>
    <w:p w14:paraId="05CA3E19">
      <w:pPr>
        <w:spacing w:before="18"/>
      </w:pPr>
    </w:p>
    <w:p w14:paraId="1638F218">
      <w:pPr>
        <w:spacing w:before="18"/>
      </w:pPr>
    </w:p>
    <w:p w14:paraId="3E32E9DC">
      <w:pPr>
        <w:spacing w:before="17"/>
      </w:pPr>
    </w:p>
    <w:p w14:paraId="693B06A9">
      <w:pPr>
        <w:spacing w:before="17"/>
      </w:pPr>
    </w:p>
    <w:p w14:paraId="0345BDEA">
      <w:pPr>
        <w:spacing w:before="17"/>
      </w:pPr>
    </w:p>
    <w:tbl>
      <w:tblPr>
        <w:tblStyle w:val="5"/>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4"/>
        <w:gridCol w:w="589"/>
        <w:gridCol w:w="3426"/>
        <w:gridCol w:w="3196"/>
        <w:gridCol w:w="574"/>
      </w:tblGrid>
      <w:tr w14:paraId="589CE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3" w:hRule="atLeast"/>
        </w:trPr>
        <w:tc>
          <w:tcPr>
            <w:tcW w:w="1234" w:type="dxa"/>
            <w:vMerge w:val="restart"/>
            <w:tcBorders>
              <w:bottom w:val="nil"/>
            </w:tcBorders>
            <w:vAlign w:val="top"/>
          </w:tcPr>
          <w:p w14:paraId="0AF38916">
            <w:pPr>
              <w:rPr>
                <w:rFonts w:ascii="Arial"/>
                <w:sz w:val="21"/>
              </w:rPr>
            </w:pPr>
          </w:p>
        </w:tc>
        <w:tc>
          <w:tcPr>
            <w:tcW w:w="589" w:type="dxa"/>
            <w:vAlign w:val="top"/>
          </w:tcPr>
          <w:p w14:paraId="573EF8AE">
            <w:pPr>
              <w:rPr>
                <w:rFonts w:ascii="Arial"/>
                <w:sz w:val="21"/>
              </w:rPr>
            </w:pPr>
          </w:p>
        </w:tc>
        <w:tc>
          <w:tcPr>
            <w:tcW w:w="3426" w:type="dxa"/>
            <w:vAlign w:val="top"/>
          </w:tcPr>
          <w:p w14:paraId="649FB64C">
            <w:pPr>
              <w:pStyle w:val="6"/>
              <w:spacing w:before="43" w:line="219" w:lineRule="auto"/>
              <w:ind w:left="21"/>
              <w:rPr>
                <w:sz w:val="21"/>
                <w:szCs w:val="21"/>
              </w:rPr>
            </w:pPr>
            <w:r>
              <w:rPr>
                <w:spacing w:val="-1"/>
                <w:sz w:val="21"/>
                <w:szCs w:val="21"/>
              </w:rPr>
              <w:t>料场、拌合站、工棚、临时施工道路</w:t>
            </w:r>
          </w:p>
          <w:p w14:paraId="4803F14A">
            <w:pPr>
              <w:pStyle w:val="6"/>
              <w:spacing w:before="21" w:line="219" w:lineRule="auto"/>
              <w:ind w:left="21"/>
              <w:rPr>
                <w:sz w:val="21"/>
                <w:szCs w:val="21"/>
              </w:rPr>
            </w:pPr>
            <w:r>
              <w:rPr>
                <w:spacing w:val="-1"/>
                <w:sz w:val="21"/>
                <w:szCs w:val="21"/>
              </w:rPr>
              <w:t>等，禁止使用乔木林地；电池组件阵</w:t>
            </w:r>
          </w:p>
          <w:p w14:paraId="637AB12F">
            <w:pPr>
              <w:pStyle w:val="6"/>
              <w:spacing w:before="40" w:line="219" w:lineRule="auto"/>
              <w:ind w:left="21"/>
              <w:rPr>
                <w:sz w:val="21"/>
                <w:szCs w:val="21"/>
              </w:rPr>
            </w:pPr>
            <w:r>
              <w:rPr>
                <w:sz w:val="21"/>
                <w:szCs w:val="21"/>
              </w:rPr>
              <w:t>列禁止使用有林地、疏林地、未成林</w:t>
            </w:r>
          </w:p>
          <w:p w14:paraId="722FB5D5">
            <w:pPr>
              <w:pStyle w:val="6"/>
              <w:spacing w:before="19" w:line="219" w:lineRule="auto"/>
              <w:ind w:left="21"/>
              <w:rPr>
                <w:sz w:val="21"/>
                <w:szCs w:val="21"/>
              </w:rPr>
            </w:pPr>
            <w:r>
              <w:rPr>
                <w:spacing w:val="-1"/>
                <w:sz w:val="21"/>
                <w:szCs w:val="21"/>
              </w:rPr>
              <w:t>造林地、采伐迹地、火烧迹地，以及</w:t>
            </w:r>
          </w:p>
          <w:p w14:paraId="6CD4D2B0">
            <w:pPr>
              <w:pStyle w:val="6"/>
              <w:spacing w:before="22" w:line="219" w:lineRule="auto"/>
              <w:ind w:left="72"/>
              <w:rPr>
                <w:sz w:val="21"/>
                <w:szCs w:val="21"/>
              </w:rPr>
            </w:pPr>
            <w:r>
              <w:rPr>
                <w:sz w:val="21"/>
                <w:szCs w:val="21"/>
              </w:rPr>
              <w:t>年降雨量400毫米以下区域覆盖度高</w:t>
            </w:r>
          </w:p>
          <w:p w14:paraId="5763ED25">
            <w:pPr>
              <w:pStyle w:val="6"/>
              <w:spacing w:before="21" w:line="219" w:lineRule="auto"/>
              <w:ind w:left="132"/>
              <w:rPr>
                <w:sz w:val="21"/>
                <w:szCs w:val="21"/>
              </w:rPr>
            </w:pPr>
            <w:r>
              <w:rPr>
                <w:sz w:val="21"/>
                <w:szCs w:val="21"/>
              </w:rPr>
              <w:t>于30%的灌木林地和年降雨量400毫</w:t>
            </w:r>
          </w:p>
          <w:p w14:paraId="1C5F1065">
            <w:pPr>
              <w:pStyle w:val="6"/>
              <w:spacing w:before="21" w:line="219" w:lineRule="auto"/>
              <w:ind w:left="181"/>
              <w:rPr>
                <w:sz w:val="21"/>
                <w:szCs w:val="21"/>
              </w:rPr>
            </w:pPr>
            <w:r>
              <w:rPr>
                <w:spacing w:val="-1"/>
                <w:sz w:val="21"/>
                <w:szCs w:val="21"/>
              </w:rPr>
              <w:t>米以上区域覆盖度高于50%的灌木</w:t>
            </w:r>
          </w:p>
          <w:p w14:paraId="1E49A125">
            <w:pPr>
              <w:pStyle w:val="6"/>
              <w:spacing w:before="20" w:line="219" w:lineRule="auto"/>
              <w:ind w:left="1442"/>
              <w:rPr>
                <w:sz w:val="21"/>
                <w:szCs w:val="21"/>
              </w:rPr>
            </w:pPr>
            <w:r>
              <w:rPr>
                <w:spacing w:val="-2"/>
                <w:sz w:val="21"/>
                <w:szCs w:val="21"/>
              </w:rPr>
              <w:t>林地。</w:t>
            </w:r>
          </w:p>
        </w:tc>
        <w:tc>
          <w:tcPr>
            <w:tcW w:w="3196" w:type="dxa"/>
            <w:vAlign w:val="top"/>
          </w:tcPr>
          <w:p w14:paraId="07A29458">
            <w:pPr>
              <w:pStyle w:val="6"/>
              <w:spacing w:before="40" w:line="242" w:lineRule="auto"/>
              <w:ind w:left="15" w:right="27"/>
              <w:jc w:val="both"/>
              <w:rPr>
                <w:sz w:val="21"/>
                <w:szCs w:val="21"/>
              </w:rPr>
            </w:pPr>
            <w:r>
              <w:rPr>
                <w:spacing w:val="-1"/>
                <w:sz w:val="21"/>
                <w:szCs w:val="21"/>
              </w:rPr>
              <w:t>场地内，光伏场地占地和临时施工</w:t>
            </w:r>
            <w:r>
              <w:rPr>
                <w:spacing w:val="6"/>
                <w:sz w:val="21"/>
                <w:szCs w:val="21"/>
              </w:rPr>
              <w:t xml:space="preserve"> </w:t>
            </w:r>
            <w:r>
              <w:rPr>
                <w:spacing w:val="4"/>
                <w:sz w:val="21"/>
                <w:szCs w:val="21"/>
              </w:rPr>
              <w:t>道路等不涉及乔木林地。3、电池</w:t>
            </w:r>
            <w:r>
              <w:rPr>
                <w:spacing w:val="3"/>
                <w:sz w:val="21"/>
                <w:szCs w:val="21"/>
              </w:rPr>
              <w:t xml:space="preserve"> </w:t>
            </w:r>
            <w:r>
              <w:rPr>
                <w:spacing w:val="-1"/>
                <w:sz w:val="21"/>
                <w:szCs w:val="21"/>
              </w:rPr>
              <w:t>组件阵列不涉及使用有林地、疏林</w:t>
            </w:r>
            <w:r>
              <w:rPr>
                <w:spacing w:val="3"/>
                <w:sz w:val="21"/>
                <w:szCs w:val="21"/>
              </w:rPr>
              <w:t xml:space="preserve"> </w:t>
            </w:r>
            <w:r>
              <w:rPr>
                <w:spacing w:val="-1"/>
                <w:sz w:val="21"/>
                <w:szCs w:val="21"/>
              </w:rPr>
              <w:t>地、未成林造林地、采伐迹地、火</w:t>
            </w:r>
            <w:r>
              <w:rPr>
                <w:spacing w:val="5"/>
                <w:sz w:val="21"/>
                <w:szCs w:val="21"/>
              </w:rPr>
              <w:t xml:space="preserve"> </w:t>
            </w:r>
            <w:r>
              <w:rPr>
                <w:spacing w:val="-1"/>
                <w:sz w:val="21"/>
                <w:szCs w:val="21"/>
              </w:rPr>
              <w:t>烧迹地。项目没有使用覆盖度高于</w:t>
            </w:r>
            <w:r>
              <w:rPr>
                <w:spacing w:val="6"/>
                <w:sz w:val="21"/>
                <w:szCs w:val="21"/>
              </w:rPr>
              <w:t xml:space="preserve"> </w:t>
            </w:r>
            <w:r>
              <w:rPr>
                <w:sz w:val="21"/>
                <w:szCs w:val="21"/>
              </w:rPr>
              <w:t>50%的灌木林地。</w:t>
            </w:r>
          </w:p>
        </w:tc>
        <w:tc>
          <w:tcPr>
            <w:tcW w:w="574" w:type="dxa"/>
            <w:vAlign w:val="top"/>
          </w:tcPr>
          <w:p w14:paraId="02EB638D">
            <w:pPr>
              <w:rPr>
                <w:rFonts w:ascii="Arial"/>
                <w:sz w:val="21"/>
              </w:rPr>
            </w:pPr>
          </w:p>
        </w:tc>
      </w:tr>
      <w:tr w14:paraId="1BEAD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6" w:hRule="atLeast"/>
        </w:trPr>
        <w:tc>
          <w:tcPr>
            <w:tcW w:w="1234" w:type="dxa"/>
            <w:vMerge w:val="continue"/>
            <w:tcBorders>
              <w:top w:val="nil"/>
              <w:bottom w:val="nil"/>
            </w:tcBorders>
            <w:vAlign w:val="top"/>
          </w:tcPr>
          <w:p w14:paraId="79FCA56D">
            <w:pPr>
              <w:rPr>
                <w:rFonts w:ascii="Arial"/>
                <w:sz w:val="21"/>
              </w:rPr>
            </w:pPr>
          </w:p>
        </w:tc>
        <w:tc>
          <w:tcPr>
            <w:tcW w:w="589" w:type="dxa"/>
            <w:vAlign w:val="top"/>
          </w:tcPr>
          <w:p w14:paraId="0B05E820">
            <w:pPr>
              <w:spacing w:line="266" w:lineRule="auto"/>
              <w:rPr>
                <w:rFonts w:ascii="Arial"/>
                <w:sz w:val="21"/>
              </w:rPr>
            </w:pPr>
          </w:p>
          <w:p w14:paraId="5CE6C146">
            <w:pPr>
              <w:spacing w:line="266" w:lineRule="auto"/>
              <w:rPr>
                <w:rFonts w:ascii="Arial"/>
                <w:sz w:val="21"/>
              </w:rPr>
            </w:pPr>
          </w:p>
          <w:p w14:paraId="1B27AA6B">
            <w:pPr>
              <w:spacing w:line="266" w:lineRule="auto"/>
              <w:rPr>
                <w:rFonts w:ascii="Arial"/>
                <w:sz w:val="21"/>
              </w:rPr>
            </w:pPr>
          </w:p>
          <w:p w14:paraId="5B874215">
            <w:pPr>
              <w:spacing w:line="266" w:lineRule="auto"/>
              <w:rPr>
                <w:rFonts w:ascii="Arial"/>
                <w:sz w:val="21"/>
              </w:rPr>
            </w:pPr>
          </w:p>
          <w:p w14:paraId="61C52282">
            <w:pPr>
              <w:spacing w:line="266" w:lineRule="auto"/>
              <w:rPr>
                <w:rFonts w:ascii="Arial"/>
                <w:sz w:val="21"/>
              </w:rPr>
            </w:pPr>
          </w:p>
          <w:p w14:paraId="7D178EF7">
            <w:pPr>
              <w:spacing w:line="266" w:lineRule="auto"/>
              <w:rPr>
                <w:rFonts w:ascii="Arial"/>
                <w:sz w:val="21"/>
              </w:rPr>
            </w:pPr>
          </w:p>
          <w:p w14:paraId="4A9FFCE4">
            <w:pPr>
              <w:spacing w:line="267" w:lineRule="auto"/>
              <w:rPr>
                <w:rFonts w:ascii="Arial"/>
                <w:sz w:val="21"/>
              </w:rPr>
            </w:pPr>
          </w:p>
          <w:p w14:paraId="30971865">
            <w:pPr>
              <w:spacing w:line="267" w:lineRule="auto"/>
              <w:rPr>
                <w:rFonts w:ascii="Arial"/>
                <w:sz w:val="21"/>
              </w:rPr>
            </w:pPr>
          </w:p>
          <w:p w14:paraId="66414D59">
            <w:pPr>
              <w:pStyle w:val="6"/>
              <w:spacing w:before="68" w:line="221" w:lineRule="auto"/>
              <w:ind w:left="70"/>
              <w:rPr>
                <w:sz w:val="21"/>
                <w:szCs w:val="21"/>
              </w:rPr>
            </w:pPr>
            <w:r>
              <w:rPr>
                <w:spacing w:val="-3"/>
                <w:sz w:val="21"/>
                <w:szCs w:val="21"/>
              </w:rPr>
              <w:t>用地</w:t>
            </w:r>
          </w:p>
          <w:p w14:paraId="14483498">
            <w:pPr>
              <w:pStyle w:val="6"/>
              <w:spacing w:before="18" w:line="221" w:lineRule="auto"/>
              <w:ind w:left="70"/>
              <w:rPr>
                <w:sz w:val="21"/>
                <w:szCs w:val="21"/>
              </w:rPr>
            </w:pPr>
            <w:r>
              <w:rPr>
                <w:spacing w:val="-3"/>
                <w:sz w:val="21"/>
                <w:szCs w:val="21"/>
              </w:rPr>
              <w:t>要求</w:t>
            </w:r>
          </w:p>
        </w:tc>
        <w:tc>
          <w:tcPr>
            <w:tcW w:w="3426" w:type="dxa"/>
            <w:vAlign w:val="top"/>
          </w:tcPr>
          <w:p w14:paraId="325FA357">
            <w:pPr>
              <w:pStyle w:val="6"/>
              <w:spacing w:before="170" w:line="219" w:lineRule="auto"/>
              <w:ind w:left="132"/>
              <w:rPr>
                <w:sz w:val="21"/>
                <w:szCs w:val="21"/>
              </w:rPr>
            </w:pPr>
            <w:r>
              <w:rPr>
                <w:sz w:val="21"/>
                <w:szCs w:val="21"/>
              </w:rPr>
              <w:t>电池组件阵列区在设计方面应当尽</w:t>
            </w:r>
          </w:p>
          <w:p w14:paraId="297C1B51">
            <w:pPr>
              <w:pStyle w:val="6"/>
              <w:spacing w:before="9" w:line="219" w:lineRule="auto"/>
              <w:ind w:left="21"/>
              <w:rPr>
                <w:sz w:val="21"/>
                <w:szCs w:val="21"/>
              </w:rPr>
            </w:pPr>
            <w:r>
              <w:rPr>
                <w:sz w:val="21"/>
                <w:szCs w:val="21"/>
              </w:rPr>
              <w:t>可能节约集约使用林地，光伏板最低</w:t>
            </w:r>
          </w:p>
          <w:p w14:paraId="3C5445AA">
            <w:pPr>
              <w:pStyle w:val="6"/>
              <w:spacing w:before="39" w:line="216" w:lineRule="auto"/>
              <w:ind w:left="72"/>
              <w:rPr>
                <w:sz w:val="21"/>
                <w:szCs w:val="21"/>
              </w:rPr>
            </w:pPr>
            <w:r>
              <w:rPr>
                <w:sz w:val="21"/>
                <w:szCs w:val="21"/>
              </w:rPr>
              <w:t>沿与地面距离不得低于2.5m,电池组</w:t>
            </w:r>
          </w:p>
          <w:p w14:paraId="7E3B1787">
            <w:pPr>
              <w:pStyle w:val="6"/>
              <w:spacing w:before="5" w:line="219" w:lineRule="auto"/>
              <w:ind w:left="21"/>
              <w:rPr>
                <w:sz w:val="21"/>
                <w:szCs w:val="21"/>
              </w:rPr>
            </w:pPr>
            <w:r>
              <w:rPr>
                <w:spacing w:val="-1"/>
                <w:sz w:val="21"/>
                <w:szCs w:val="21"/>
              </w:rPr>
              <w:t>件阵列各排、列的布置间距应当符合</w:t>
            </w:r>
          </w:p>
          <w:p w14:paraId="6575733C">
            <w:pPr>
              <w:pStyle w:val="6"/>
              <w:spacing w:before="41" w:line="219" w:lineRule="auto"/>
              <w:ind w:left="446"/>
              <w:rPr>
                <w:sz w:val="21"/>
                <w:szCs w:val="21"/>
              </w:rPr>
            </w:pPr>
            <w:r>
              <w:rPr>
                <w:spacing w:val="-2"/>
                <w:sz w:val="21"/>
                <w:szCs w:val="21"/>
              </w:rPr>
              <w:t>《光伏电站设计规范》(GB</w:t>
            </w:r>
          </w:p>
          <w:p w14:paraId="1821C533">
            <w:pPr>
              <w:pStyle w:val="6"/>
              <w:spacing w:before="21" w:line="219" w:lineRule="auto"/>
              <w:ind w:left="72"/>
              <w:rPr>
                <w:sz w:val="21"/>
                <w:szCs w:val="21"/>
              </w:rPr>
            </w:pPr>
            <w:r>
              <w:rPr>
                <w:sz w:val="21"/>
                <w:szCs w:val="21"/>
              </w:rPr>
              <w:t>50797-2012)或《光伏发电站设计规</w:t>
            </w:r>
          </w:p>
          <w:p w14:paraId="02233475">
            <w:pPr>
              <w:pStyle w:val="6"/>
              <w:spacing w:before="12" w:line="220" w:lineRule="auto"/>
              <w:ind w:left="21"/>
              <w:rPr>
                <w:sz w:val="21"/>
                <w:szCs w:val="21"/>
              </w:rPr>
            </w:pPr>
            <w:r>
              <w:rPr>
                <w:spacing w:val="6"/>
                <w:sz w:val="21"/>
                <w:szCs w:val="21"/>
              </w:rPr>
              <w:t>范》(</w:t>
            </w:r>
            <w:r>
              <w:rPr>
                <w:sz w:val="21"/>
                <w:szCs w:val="21"/>
              </w:rPr>
              <w:t>GB</w:t>
            </w:r>
            <w:r>
              <w:rPr>
                <w:spacing w:val="6"/>
                <w:sz w:val="21"/>
                <w:szCs w:val="21"/>
              </w:rPr>
              <w:t>50797-20</w:t>
            </w:r>
            <w:r>
              <w:rPr>
                <w:sz w:val="21"/>
                <w:szCs w:val="21"/>
              </w:rPr>
              <w:t>XX</w:t>
            </w:r>
            <w:r>
              <w:rPr>
                <w:spacing w:val="6"/>
                <w:sz w:val="21"/>
                <w:szCs w:val="21"/>
              </w:rPr>
              <w:t>)相关规定；</w:t>
            </w:r>
          </w:p>
          <w:p w14:paraId="21C8DA30">
            <w:pPr>
              <w:pStyle w:val="6"/>
              <w:spacing w:before="18" w:line="219" w:lineRule="auto"/>
              <w:ind w:left="21"/>
              <w:rPr>
                <w:sz w:val="21"/>
                <w:szCs w:val="21"/>
              </w:rPr>
            </w:pPr>
            <w:r>
              <w:rPr>
                <w:spacing w:val="-1"/>
                <w:sz w:val="21"/>
                <w:szCs w:val="21"/>
              </w:rPr>
              <w:t>场内检修道路设计应当符合《光伏发</w:t>
            </w:r>
          </w:p>
          <w:p w14:paraId="14AC9DDC">
            <w:pPr>
              <w:pStyle w:val="6"/>
              <w:spacing w:before="24" w:line="221" w:lineRule="auto"/>
              <w:ind w:left="132"/>
              <w:rPr>
                <w:sz w:val="21"/>
                <w:szCs w:val="21"/>
              </w:rPr>
            </w:pPr>
            <w:r>
              <w:rPr>
                <w:sz w:val="21"/>
                <w:szCs w:val="21"/>
              </w:rPr>
              <w:t>电站设计规范》(GB50797-2012)以</w:t>
            </w:r>
          </w:p>
          <w:p w14:paraId="0F0A9103">
            <w:pPr>
              <w:pStyle w:val="6"/>
              <w:spacing w:before="46" w:line="219" w:lineRule="auto"/>
              <w:ind w:left="132"/>
              <w:rPr>
                <w:sz w:val="21"/>
                <w:szCs w:val="21"/>
              </w:rPr>
            </w:pPr>
            <w:r>
              <w:rPr>
                <w:spacing w:val="-1"/>
                <w:sz w:val="21"/>
                <w:szCs w:val="21"/>
              </w:rPr>
              <w:t>及《光伏发电工程施工组织设计规</w:t>
            </w:r>
          </w:p>
          <w:p w14:paraId="1CAB9954">
            <w:pPr>
              <w:pStyle w:val="6"/>
              <w:spacing w:before="23" w:line="220" w:lineRule="auto"/>
              <w:jc w:val="right"/>
              <w:rPr>
                <w:sz w:val="21"/>
                <w:szCs w:val="21"/>
              </w:rPr>
            </w:pPr>
            <w:r>
              <w:rPr>
                <w:spacing w:val="-1"/>
                <w:sz w:val="21"/>
                <w:szCs w:val="21"/>
              </w:rPr>
              <w:t>范》(GB/T50795-2012)的相关要求。</w:t>
            </w:r>
          </w:p>
          <w:p w14:paraId="21AB8B31">
            <w:pPr>
              <w:pStyle w:val="6"/>
              <w:spacing w:before="8" w:line="219" w:lineRule="auto"/>
              <w:ind w:left="132"/>
              <w:rPr>
                <w:sz w:val="21"/>
                <w:szCs w:val="21"/>
              </w:rPr>
            </w:pPr>
            <w:r>
              <w:rPr>
                <w:spacing w:val="-1"/>
                <w:sz w:val="21"/>
                <w:szCs w:val="21"/>
              </w:rPr>
              <w:t>光伏复合项目电池组件阵列用地涉</w:t>
            </w:r>
          </w:p>
          <w:p w14:paraId="07897FCD">
            <w:pPr>
              <w:pStyle w:val="6"/>
              <w:spacing w:before="22" w:line="219" w:lineRule="auto"/>
              <w:ind w:left="21"/>
              <w:rPr>
                <w:sz w:val="21"/>
                <w:szCs w:val="21"/>
              </w:rPr>
            </w:pPr>
            <w:r>
              <w:rPr>
                <w:spacing w:val="-1"/>
                <w:sz w:val="21"/>
                <w:szCs w:val="21"/>
              </w:rPr>
              <w:t>及林地以外农用地的，建设标准应严</w:t>
            </w:r>
          </w:p>
          <w:p w14:paraId="2BA0071A">
            <w:pPr>
              <w:pStyle w:val="6"/>
              <w:spacing w:before="41" w:line="219" w:lineRule="auto"/>
              <w:ind w:left="132"/>
              <w:rPr>
                <w:sz w:val="21"/>
                <w:szCs w:val="21"/>
              </w:rPr>
            </w:pPr>
            <w:r>
              <w:rPr>
                <w:spacing w:val="1"/>
                <w:sz w:val="21"/>
                <w:szCs w:val="21"/>
              </w:rPr>
              <w:t>格按照《云南省自然资源厅云南省</w:t>
            </w:r>
          </w:p>
          <w:p w14:paraId="1F1E0E81">
            <w:pPr>
              <w:pStyle w:val="6"/>
              <w:spacing w:before="18" w:line="235" w:lineRule="auto"/>
              <w:ind w:left="31" w:right="71" w:firstLine="100"/>
              <w:jc w:val="both"/>
              <w:rPr>
                <w:sz w:val="21"/>
                <w:szCs w:val="21"/>
              </w:rPr>
            </w:pPr>
            <w:r>
              <w:rPr>
                <w:spacing w:val="1"/>
                <w:sz w:val="21"/>
                <w:szCs w:val="21"/>
              </w:rPr>
              <w:t xml:space="preserve">能源局关于进一步支持光伏扶贫和 </w:t>
            </w:r>
            <w:r>
              <w:rPr>
                <w:spacing w:val="3"/>
                <w:sz w:val="21"/>
                <w:szCs w:val="21"/>
              </w:rPr>
              <w:t>规范光伏发电产业用地的通知》(云</w:t>
            </w:r>
            <w:r>
              <w:rPr>
                <w:spacing w:val="8"/>
                <w:sz w:val="21"/>
                <w:szCs w:val="21"/>
              </w:rPr>
              <w:t xml:space="preserve"> </w:t>
            </w:r>
            <w:r>
              <w:rPr>
                <w:spacing w:val="-1"/>
                <w:sz w:val="21"/>
                <w:szCs w:val="21"/>
              </w:rPr>
              <w:t>自然资〔2019〕196号)要求执行。</w:t>
            </w:r>
          </w:p>
        </w:tc>
        <w:tc>
          <w:tcPr>
            <w:tcW w:w="3196" w:type="dxa"/>
            <w:vAlign w:val="top"/>
          </w:tcPr>
          <w:p w14:paraId="12548049">
            <w:pPr>
              <w:pStyle w:val="6"/>
              <w:spacing w:before="19" w:line="236" w:lineRule="auto"/>
              <w:ind w:left="15" w:right="109" w:firstLine="110"/>
              <w:rPr>
                <w:sz w:val="21"/>
                <w:szCs w:val="21"/>
              </w:rPr>
            </w:pPr>
            <w:r>
              <w:rPr>
                <w:sz w:val="21"/>
                <w:szCs w:val="21"/>
              </w:rPr>
              <w:t>项目光伏板最低沿与地面距离为</w:t>
            </w:r>
            <w:r>
              <w:rPr>
                <w:spacing w:val="9"/>
                <w:sz w:val="21"/>
                <w:szCs w:val="21"/>
              </w:rPr>
              <w:t xml:space="preserve"> </w:t>
            </w:r>
            <w:r>
              <w:rPr>
                <w:spacing w:val="-1"/>
                <w:sz w:val="21"/>
                <w:szCs w:val="21"/>
              </w:rPr>
              <w:t>2.5m,桩基列间距为4m、行间距</w:t>
            </w:r>
          </w:p>
          <w:p w14:paraId="66F765D0">
            <w:pPr>
              <w:pStyle w:val="6"/>
              <w:spacing w:before="1" w:line="216" w:lineRule="auto"/>
              <w:ind w:left="35"/>
              <w:rPr>
                <w:sz w:val="21"/>
                <w:szCs w:val="21"/>
              </w:rPr>
            </w:pPr>
            <w:r>
              <w:rPr>
                <w:spacing w:val="-1"/>
                <w:sz w:val="21"/>
                <w:szCs w:val="21"/>
              </w:rPr>
              <w:t>为大于6.5m,满足《光伏电站设</w:t>
            </w:r>
          </w:p>
          <w:p w14:paraId="43C7B00E">
            <w:pPr>
              <w:pStyle w:val="6"/>
              <w:spacing w:before="28" w:line="221" w:lineRule="auto"/>
              <w:ind w:left="35"/>
              <w:rPr>
                <w:sz w:val="21"/>
                <w:szCs w:val="21"/>
              </w:rPr>
            </w:pPr>
            <w:r>
              <w:rPr>
                <w:spacing w:val="-1"/>
                <w:sz w:val="21"/>
                <w:szCs w:val="21"/>
              </w:rPr>
              <w:t>计规范》(GB 50797-2012)的要</w:t>
            </w:r>
          </w:p>
          <w:p w14:paraId="74A12F64">
            <w:pPr>
              <w:pStyle w:val="6"/>
              <w:spacing w:before="38" w:line="237" w:lineRule="auto"/>
              <w:ind w:left="15" w:right="10"/>
              <w:rPr>
                <w:sz w:val="21"/>
                <w:szCs w:val="21"/>
              </w:rPr>
            </w:pPr>
            <w:r>
              <w:rPr>
                <w:spacing w:val="-1"/>
                <w:sz w:val="21"/>
                <w:szCs w:val="21"/>
              </w:rPr>
              <w:t>求；场内检修道路已按照《光伏发</w:t>
            </w:r>
            <w:r>
              <w:rPr>
                <w:spacing w:val="4"/>
                <w:sz w:val="21"/>
                <w:szCs w:val="21"/>
              </w:rPr>
              <w:t xml:space="preserve"> </w:t>
            </w:r>
            <w:r>
              <w:rPr>
                <w:spacing w:val="5"/>
                <w:sz w:val="21"/>
                <w:szCs w:val="21"/>
              </w:rPr>
              <w:t>电站设计规范》(</w:t>
            </w:r>
            <w:r>
              <w:rPr>
                <w:sz w:val="21"/>
                <w:szCs w:val="21"/>
              </w:rPr>
              <w:t>GB</w:t>
            </w:r>
            <w:r>
              <w:rPr>
                <w:spacing w:val="5"/>
                <w:sz w:val="21"/>
                <w:szCs w:val="21"/>
              </w:rPr>
              <w:t xml:space="preserve"> 50797-2012)</w:t>
            </w:r>
            <w:r>
              <w:rPr>
                <w:sz w:val="21"/>
                <w:szCs w:val="21"/>
              </w:rPr>
              <w:t xml:space="preserve"> 以及《光伏发电工程施工组织设计</w:t>
            </w:r>
            <w:r>
              <w:rPr>
                <w:spacing w:val="8"/>
                <w:sz w:val="21"/>
                <w:szCs w:val="21"/>
              </w:rPr>
              <w:t xml:space="preserve"> </w:t>
            </w:r>
            <w:r>
              <w:rPr>
                <w:spacing w:val="1"/>
                <w:sz w:val="21"/>
                <w:szCs w:val="21"/>
              </w:rPr>
              <w:t>规范》(</w:t>
            </w:r>
            <w:r>
              <w:rPr>
                <w:sz w:val="21"/>
                <w:szCs w:val="21"/>
              </w:rPr>
              <w:t>GB</w:t>
            </w:r>
            <w:r>
              <w:rPr>
                <w:spacing w:val="1"/>
                <w:sz w:val="21"/>
                <w:szCs w:val="21"/>
              </w:rPr>
              <w:t>/T 50795-2012)的相</w:t>
            </w:r>
          </w:p>
          <w:p w14:paraId="128365B8">
            <w:pPr>
              <w:pStyle w:val="6"/>
              <w:spacing w:line="218" w:lineRule="auto"/>
              <w:ind w:left="15"/>
              <w:rPr>
                <w:sz w:val="21"/>
                <w:szCs w:val="21"/>
              </w:rPr>
            </w:pPr>
            <w:r>
              <w:rPr>
                <w:sz w:val="21"/>
                <w:szCs w:val="21"/>
              </w:rPr>
              <w:t>关要求进行设计。项目光伏复合项</w:t>
            </w:r>
          </w:p>
          <w:p w14:paraId="4F338C09">
            <w:pPr>
              <w:pStyle w:val="6"/>
              <w:spacing w:before="31" w:line="242" w:lineRule="auto"/>
              <w:ind w:left="15" w:right="9" w:firstLine="110"/>
              <w:rPr>
                <w:sz w:val="21"/>
                <w:szCs w:val="21"/>
              </w:rPr>
            </w:pPr>
            <w:r>
              <w:rPr>
                <w:spacing w:val="1"/>
                <w:sz w:val="21"/>
                <w:szCs w:val="21"/>
              </w:rPr>
              <w:t xml:space="preserve">目电池组件阵列用地已严格按照  </w:t>
            </w:r>
            <w:r>
              <w:rPr>
                <w:sz w:val="21"/>
                <w:szCs w:val="21"/>
              </w:rPr>
              <w:t>云南省能源局《云南省自然资源厅</w:t>
            </w:r>
          </w:p>
          <w:p w14:paraId="645A06B1">
            <w:pPr>
              <w:pStyle w:val="6"/>
              <w:spacing w:line="219" w:lineRule="auto"/>
              <w:ind w:left="125"/>
              <w:rPr>
                <w:sz w:val="21"/>
                <w:szCs w:val="21"/>
              </w:rPr>
            </w:pPr>
            <w:r>
              <w:rPr>
                <w:sz w:val="21"/>
                <w:szCs w:val="21"/>
              </w:rPr>
              <w:t>云南省能源局关于进一步支持光</w:t>
            </w:r>
          </w:p>
          <w:p w14:paraId="790EDC1B">
            <w:pPr>
              <w:pStyle w:val="6"/>
              <w:spacing w:before="20" w:line="219" w:lineRule="auto"/>
              <w:ind w:left="125"/>
              <w:rPr>
                <w:sz w:val="21"/>
                <w:szCs w:val="21"/>
              </w:rPr>
            </w:pPr>
            <w:r>
              <w:rPr>
                <w:spacing w:val="-1"/>
                <w:sz w:val="21"/>
                <w:szCs w:val="21"/>
              </w:rPr>
              <w:t>伏扶贫和规范光伏发电产业用地</w:t>
            </w:r>
          </w:p>
          <w:p w14:paraId="4FA57394">
            <w:pPr>
              <w:pStyle w:val="6"/>
              <w:spacing w:before="41" w:line="228" w:lineRule="auto"/>
              <w:ind w:left="15" w:firstLine="106"/>
              <w:rPr>
                <w:sz w:val="21"/>
                <w:szCs w:val="21"/>
              </w:rPr>
            </w:pPr>
            <w:r>
              <w:rPr>
                <w:spacing w:val="-5"/>
                <w:sz w:val="21"/>
                <w:szCs w:val="21"/>
              </w:rPr>
              <w:t>的通知》(云自然资〔2019〕196</w:t>
            </w:r>
            <w:r>
              <w:rPr>
                <w:spacing w:val="1"/>
                <w:sz w:val="21"/>
                <w:szCs w:val="21"/>
              </w:rPr>
              <w:t xml:space="preserve">   </w:t>
            </w:r>
            <w:r>
              <w:rPr>
                <w:spacing w:val="-3"/>
                <w:sz w:val="21"/>
                <w:szCs w:val="21"/>
              </w:rPr>
              <w:t>号)要求执行。光伏组件区除桩基</w:t>
            </w:r>
            <w:r>
              <w:rPr>
                <w:spacing w:val="4"/>
                <w:sz w:val="21"/>
                <w:szCs w:val="21"/>
              </w:rPr>
              <w:t xml:space="preserve">  </w:t>
            </w:r>
            <w:r>
              <w:rPr>
                <w:spacing w:val="-12"/>
                <w:sz w:val="21"/>
                <w:szCs w:val="21"/>
              </w:rPr>
              <w:t>用地外，不硬化地面、破坏耕作层，</w:t>
            </w:r>
            <w:r>
              <w:rPr>
                <w:spacing w:val="1"/>
                <w:sz w:val="21"/>
                <w:szCs w:val="21"/>
              </w:rPr>
              <w:t xml:space="preserve"> </w:t>
            </w:r>
            <w:r>
              <w:rPr>
                <w:spacing w:val="-7"/>
                <w:sz w:val="21"/>
                <w:szCs w:val="21"/>
              </w:rPr>
              <w:t>不抛荒、撂荒，在光伏组件下方将</w:t>
            </w:r>
            <w:r>
              <w:rPr>
                <w:spacing w:val="6"/>
                <w:sz w:val="21"/>
                <w:szCs w:val="21"/>
              </w:rPr>
              <w:t xml:space="preserve">  </w:t>
            </w:r>
            <w:r>
              <w:rPr>
                <w:spacing w:val="-6"/>
                <w:sz w:val="21"/>
                <w:szCs w:val="21"/>
              </w:rPr>
              <w:t>种植草地。</w:t>
            </w:r>
          </w:p>
        </w:tc>
        <w:tc>
          <w:tcPr>
            <w:tcW w:w="574" w:type="dxa"/>
            <w:vAlign w:val="top"/>
          </w:tcPr>
          <w:p w14:paraId="266DB8CE">
            <w:pPr>
              <w:spacing w:line="252" w:lineRule="auto"/>
              <w:rPr>
                <w:rFonts w:ascii="Arial"/>
                <w:sz w:val="21"/>
              </w:rPr>
            </w:pPr>
          </w:p>
          <w:p w14:paraId="38F507B0">
            <w:pPr>
              <w:spacing w:line="252" w:lineRule="auto"/>
              <w:rPr>
                <w:rFonts w:ascii="Arial"/>
                <w:sz w:val="21"/>
              </w:rPr>
            </w:pPr>
          </w:p>
          <w:p w14:paraId="30E99C5C">
            <w:pPr>
              <w:spacing w:line="252" w:lineRule="auto"/>
              <w:rPr>
                <w:rFonts w:ascii="Arial"/>
                <w:sz w:val="21"/>
              </w:rPr>
            </w:pPr>
          </w:p>
          <w:p w14:paraId="16CDA4C8">
            <w:pPr>
              <w:spacing w:line="252" w:lineRule="auto"/>
              <w:rPr>
                <w:rFonts w:ascii="Arial"/>
                <w:sz w:val="21"/>
              </w:rPr>
            </w:pPr>
          </w:p>
          <w:p w14:paraId="4DA08113">
            <w:pPr>
              <w:spacing w:line="252" w:lineRule="auto"/>
              <w:rPr>
                <w:rFonts w:ascii="Arial"/>
                <w:sz w:val="21"/>
              </w:rPr>
            </w:pPr>
          </w:p>
          <w:p w14:paraId="3FD57B92">
            <w:pPr>
              <w:spacing w:line="252" w:lineRule="auto"/>
              <w:rPr>
                <w:rFonts w:ascii="Arial"/>
                <w:sz w:val="21"/>
              </w:rPr>
            </w:pPr>
          </w:p>
          <w:p w14:paraId="6F0ED9F8">
            <w:pPr>
              <w:spacing w:line="252" w:lineRule="auto"/>
              <w:rPr>
                <w:rFonts w:ascii="Arial"/>
                <w:sz w:val="21"/>
              </w:rPr>
            </w:pPr>
          </w:p>
          <w:p w14:paraId="00884404">
            <w:pPr>
              <w:spacing w:line="252" w:lineRule="auto"/>
              <w:rPr>
                <w:rFonts w:ascii="Arial"/>
                <w:sz w:val="21"/>
              </w:rPr>
            </w:pPr>
          </w:p>
          <w:p w14:paraId="042B4245">
            <w:pPr>
              <w:spacing w:line="252" w:lineRule="auto"/>
              <w:rPr>
                <w:rFonts w:ascii="Arial"/>
                <w:sz w:val="21"/>
              </w:rPr>
            </w:pPr>
          </w:p>
          <w:p w14:paraId="48CD8725">
            <w:pPr>
              <w:pStyle w:val="6"/>
              <w:spacing w:before="68" w:line="219" w:lineRule="auto"/>
              <w:ind w:left="69"/>
              <w:rPr>
                <w:sz w:val="21"/>
                <w:szCs w:val="21"/>
              </w:rPr>
            </w:pPr>
            <w:r>
              <w:rPr>
                <w:spacing w:val="-3"/>
                <w:sz w:val="21"/>
                <w:szCs w:val="21"/>
              </w:rPr>
              <w:t>符合</w:t>
            </w:r>
          </w:p>
        </w:tc>
      </w:tr>
      <w:tr w14:paraId="5D5F4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1234" w:type="dxa"/>
            <w:vMerge w:val="continue"/>
            <w:tcBorders>
              <w:top w:val="nil"/>
              <w:bottom w:val="nil"/>
            </w:tcBorders>
            <w:vAlign w:val="top"/>
          </w:tcPr>
          <w:p w14:paraId="1959D7DB">
            <w:pPr>
              <w:rPr>
                <w:rFonts w:ascii="Arial"/>
                <w:sz w:val="21"/>
              </w:rPr>
            </w:pPr>
          </w:p>
        </w:tc>
        <w:tc>
          <w:tcPr>
            <w:tcW w:w="589" w:type="dxa"/>
            <w:vMerge w:val="restart"/>
            <w:tcBorders>
              <w:bottom w:val="nil"/>
            </w:tcBorders>
            <w:vAlign w:val="top"/>
          </w:tcPr>
          <w:p w14:paraId="4FDB5E38">
            <w:pPr>
              <w:spacing w:line="253" w:lineRule="auto"/>
              <w:rPr>
                <w:rFonts w:ascii="Arial"/>
                <w:sz w:val="21"/>
              </w:rPr>
            </w:pPr>
          </w:p>
          <w:p w14:paraId="544FD783">
            <w:pPr>
              <w:spacing w:line="253" w:lineRule="auto"/>
              <w:rPr>
                <w:rFonts w:ascii="Arial"/>
                <w:sz w:val="21"/>
              </w:rPr>
            </w:pPr>
          </w:p>
          <w:p w14:paraId="41F34DA9">
            <w:pPr>
              <w:spacing w:line="253" w:lineRule="auto"/>
              <w:rPr>
                <w:rFonts w:ascii="Arial"/>
                <w:sz w:val="21"/>
              </w:rPr>
            </w:pPr>
          </w:p>
          <w:p w14:paraId="140DBD91">
            <w:pPr>
              <w:spacing w:line="253" w:lineRule="auto"/>
              <w:rPr>
                <w:rFonts w:ascii="Arial"/>
                <w:sz w:val="21"/>
              </w:rPr>
            </w:pPr>
          </w:p>
          <w:p w14:paraId="556AC490">
            <w:pPr>
              <w:spacing w:line="253" w:lineRule="auto"/>
              <w:rPr>
                <w:rFonts w:ascii="Arial"/>
                <w:sz w:val="21"/>
              </w:rPr>
            </w:pPr>
          </w:p>
          <w:p w14:paraId="64580BE6">
            <w:pPr>
              <w:spacing w:line="253" w:lineRule="auto"/>
              <w:rPr>
                <w:rFonts w:ascii="Arial"/>
                <w:sz w:val="21"/>
              </w:rPr>
            </w:pPr>
          </w:p>
          <w:p w14:paraId="0F89815D">
            <w:pPr>
              <w:spacing w:line="254" w:lineRule="auto"/>
              <w:rPr>
                <w:rFonts w:ascii="Arial"/>
                <w:sz w:val="21"/>
              </w:rPr>
            </w:pPr>
          </w:p>
          <w:p w14:paraId="55DF4D97">
            <w:pPr>
              <w:spacing w:line="254" w:lineRule="auto"/>
              <w:rPr>
                <w:rFonts w:ascii="Arial"/>
                <w:sz w:val="21"/>
              </w:rPr>
            </w:pPr>
          </w:p>
          <w:p w14:paraId="766609EC">
            <w:pPr>
              <w:spacing w:line="254" w:lineRule="auto"/>
              <w:rPr>
                <w:rFonts w:ascii="Arial"/>
                <w:sz w:val="21"/>
              </w:rPr>
            </w:pPr>
          </w:p>
          <w:p w14:paraId="17996131">
            <w:pPr>
              <w:spacing w:line="254" w:lineRule="auto"/>
              <w:rPr>
                <w:rFonts w:ascii="Arial"/>
                <w:sz w:val="21"/>
              </w:rPr>
            </w:pPr>
          </w:p>
          <w:p w14:paraId="7A70B788">
            <w:pPr>
              <w:spacing w:line="254" w:lineRule="auto"/>
              <w:rPr>
                <w:rFonts w:ascii="Arial"/>
                <w:sz w:val="21"/>
              </w:rPr>
            </w:pPr>
          </w:p>
          <w:p w14:paraId="49FD6E7A">
            <w:pPr>
              <w:pStyle w:val="6"/>
              <w:spacing w:before="68" w:line="241" w:lineRule="auto"/>
              <w:ind w:left="70" w:right="72"/>
              <w:rPr>
                <w:sz w:val="21"/>
                <w:szCs w:val="21"/>
              </w:rPr>
            </w:pPr>
            <w:r>
              <w:rPr>
                <w:spacing w:val="-5"/>
                <w:sz w:val="21"/>
                <w:szCs w:val="21"/>
              </w:rPr>
              <w:t>植被</w:t>
            </w:r>
            <w:r>
              <w:rPr>
                <w:sz w:val="21"/>
                <w:szCs w:val="21"/>
              </w:rPr>
              <w:t xml:space="preserve"> </w:t>
            </w:r>
            <w:r>
              <w:rPr>
                <w:spacing w:val="7"/>
                <w:sz w:val="21"/>
                <w:szCs w:val="21"/>
              </w:rPr>
              <w:t>保护</w:t>
            </w:r>
          </w:p>
        </w:tc>
        <w:tc>
          <w:tcPr>
            <w:tcW w:w="3426" w:type="dxa"/>
            <w:vAlign w:val="top"/>
          </w:tcPr>
          <w:p w14:paraId="368FB925">
            <w:pPr>
              <w:pStyle w:val="6"/>
              <w:spacing w:before="53" w:line="219" w:lineRule="auto"/>
              <w:ind w:left="132"/>
              <w:rPr>
                <w:sz w:val="21"/>
                <w:szCs w:val="21"/>
              </w:rPr>
            </w:pPr>
            <w:r>
              <w:rPr>
                <w:spacing w:val="1"/>
                <w:sz w:val="21"/>
                <w:szCs w:val="21"/>
              </w:rPr>
              <w:t>光伏复合项目在满足正常运营的同</w:t>
            </w:r>
          </w:p>
          <w:p w14:paraId="138FFCB0">
            <w:pPr>
              <w:pStyle w:val="6"/>
              <w:spacing w:before="12" w:line="219" w:lineRule="auto"/>
              <w:ind w:left="21"/>
              <w:rPr>
                <w:sz w:val="21"/>
                <w:szCs w:val="21"/>
              </w:rPr>
            </w:pPr>
            <w:r>
              <w:rPr>
                <w:sz w:val="21"/>
                <w:szCs w:val="21"/>
              </w:rPr>
              <w:t>时，须保证电池组件阵列下方不得改</w:t>
            </w:r>
          </w:p>
          <w:p w14:paraId="3192EDF3">
            <w:pPr>
              <w:pStyle w:val="6"/>
              <w:spacing w:before="20" w:line="219" w:lineRule="auto"/>
              <w:ind w:left="21"/>
              <w:rPr>
                <w:sz w:val="21"/>
                <w:szCs w:val="21"/>
              </w:rPr>
            </w:pPr>
            <w:r>
              <w:rPr>
                <w:spacing w:val="-1"/>
                <w:sz w:val="21"/>
                <w:szCs w:val="21"/>
              </w:rPr>
              <w:t>变林草地用途，不得裸露地表、硬化</w:t>
            </w:r>
          </w:p>
          <w:p w14:paraId="10A4C3DD">
            <w:pPr>
              <w:pStyle w:val="6"/>
              <w:spacing w:before="20" w:line="197" w:lineRule="auto"/>
              <w:ind w:left="1021"/>
              <w:rPr>
                <w:sz w:val="21"/>
                <w:szCs w:val="21"/>
              </w:rPr>
            </w:pPr>
            <w:r>
              <w:rPr>
                <w:spacing w:val="-1"/>
                <w:sz w:val="21"/>
                <w:szCs w:val="21"/>
              </w:rPr>
              <w:t>或作其他用途。</w:t>
            </w:r>
          </w:p>
        </w:tc>
        <w:tc>
          <w:tcPr>
            <w:tcW w:w="3196" w:type="dxa"/>
            <w:vAlign w:val="top"/>
          </w:tcPr>
          <w:p w14:paraId="52557DD6">
            <w:pPr>
              <w:pStyle w:val="6"/>
              <w:spacing w:before="43" w:line="219" w:lineRule="auto"/>
              <w:ind w:left="125"/>
              <w:rPr>
                <w:sz w:val="21"/>
                <w:szCs w:val="21"/>
              </w:rPr>
            </w:pPr>
            <w:r>
              <w:rPr>
                <w:spacing w:val="-1"/>
                <w:sz w:val="21"/>
                <w:szCs w:val="21"/>
              </w:rPr>
              <w:t>项目运营过程中将在光伏板下保</w:t>
            </w:r>
          </w:p>
          <w:p w14:paraId="65879B1E">
            <w:pPr>
              <w:pStyle w:val="6"/>
              <w:spacing w:before="22" w:line="219" w:lineRule="auto"/>
              <w:ind w:left="15"/>
              <w:rPr>
                <w:sz w:val="21"/>
                <w:szCs w:val="21"/>
              </w:rPr>
            </w:pPr>
            <w:r>
              <w:rPr>
                <w:spacing w:val="-1"/>
                <w:sz w:val="21"/>
                <w:szCs w:val="21"/>
              </w:rPr>
              <w:t>护原有的少量灌草丛及草地，建成</w:t>
            </w:r>
          </w:p>
          <w:p w14:paraId="4317D3E7">
            <w:pPr>
              <w:pStyle w:val="6"/>
              <w:spacing w:before="20" w:line="219" w:lineRule="auto"/>
              <w:ind w:left="125"/>
              <w:rPr>
                <w:sz w:val="21"/>
                <w:szCs w:val="21"/>
              </w:rPr>
            </w:pPr>
            <w:r>
              <w:rPr>
                <w:spacing w:val="-1"/>
                <w:sz w:val="21"/>
                <w:szCs w:val="21"/>
              </w:rPr>
              <w:t>后实施草光互补，保证地表不裸</w:t>
            </w:r>
          </w:p>
          <w:p w14:paraId="7862920F">
            <w:pPr>
              <w:pStyle w:val="6"/>
              <w:spacing w:before="20" w:line="197" w:lineRule="auto"/>
              <w:ind w:left="176"/>
              <w:rPr>
                <w:sz w:val="21"/>
                <w:szCs w:val="21"/>
              </w:rPr>
            </w:pPr>
            <w:r>
              <w:rPr>
                <w:spacing w:val="-1"/>
                <w:sz w:val="21"/>
                <w:szCs w:val="21"/>
              </w:rPr>
              <w:t>露、地面不硬化或作其他用途。</w:t>
            </w:r>
          </w:p>
        </w:tc>
        <w:tc>
          <w:tcPr>
            <w:tcW w:w="574" w:type="dxa"/>
            <w:vAlign w:val="top"/>
          </w:tcPr>
          <w:p w14:paraId="4CD1F3E0">
            <w:pPr>
              <w:spacing w:line="374" w:lineRule="auto"/>
              <w:rPr>
                <w:rFonts w:ascii="Arial"/>
                <w:sz w:val="21"/>
              </w:rPr>
            </w:pPr>
          </w:p>
          <w:p w14:paraId="690E4FE2">
            <w:pPr>
              <w:pStyle w:val="6"/>
              <w:spacing w:before="68" w:line="219" w:lineRule="auto"/>
              <w:ind w:left="69"/>
              <w:rPr>
                <w:sz w:val="21"/>
                <w:szCs w:val="21"/>
              </w:rPr>
            </w:pPr>
            <w:r>
              <w:rPr>
                <w:spacing w:val="-3"/>
                <w:sz w:val="21"/>
                <w:szCs w:val="21"/>
              </w:rPr>
              <w:t>符合</w:t>
            </w:r>
          </w:p>
        </w:tc>
      </w:tr>
      <w:tr w14:paraId="31A70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7" w:hRule="atLeast"/>
        </w:trPr>
        <w:tc>
          <w:tcPr>
            <w:tcW w:w="1234" w:type="dxa"/>
            <w:vMerge w:val="continue"/>
            <w:tcBorders>
              <w:top w:val="nil"/>
              <w:bottom w:val="nil"/>
            </w:tcBorders>
            <w:vAlign w:val="top"/>
          </w:tcPr>
          <w:p w14:paraId="727E93FF">
            <w:pPr>
              <w:rPr>
                <w:rFonts w:ascii="Arial"/>
                <w:sz w:val="21"/>
              </w:rPr>
            </w:pPr>
          </w:p>
        </w:tc>
        <w:tc>
          <w:tcPr>
            <w:tcW w:w="589" w:type="dxa"/>
            <w:vMerge w:val="continue"/>
            <w:tcBorders>
              <w:top w:val="nil"/>
              <w:bottom w:val="nil"/>
            </w:tcBorders>
            <w:vAlign w:val="top"/>
          </w:tcPr>
          <w:p w14:paraId="102A4D5F">
            <w:pPr>
              <w:rPr>
                <w:rFonts w:ascii="Arial"/>
                <w:sz w:val="21"/>
              </w:rPr>
            </w:pPr>
          </w:p>
        </w:tc>
        <w:tc>
          <w:tcPr>
            <w:tcW w:w="3426" w:type="dxa"/>
            <w:vAlign w:val="top"/>
          </w:tcPr>
          <w:p w14:paraId="5D678FE8">
            <w:pPr>
              <w:pStyle w:val="6"/>
              <w:spacing w:before="154" w:line="219" w:lineRule="auto"/>
              <w:ind w:left="132"/>
              <w:rPr>
                <w:sz w:val="21"/>
                <w:szCs w:val="21"/>
              </w:rPr>
            </w:pPr>
            <w:r>
              <w:rPr>
                <w:sz w:val="21"/>
                <w:szCs w:val="21"/>
              </w:rPr>
              <w:t>光伏复合项目施工期要切实做好项</w:t>
            </w:r>
          </w:p>
          <w:p w14:paraId="2F4ABA60">
            <w:pPr>
              <w:pStyle w:val="6"/>
              <w:spacing w:before="22" w:line="219" w:lineRule="auto"/>
              <w:ind w:left="21"/>
              <w:rPr>
                <w:sz w:val="21"/>
                <w:szCs w:val="21"/>
              </w:rPr>
            </w:pPr>
            <w:r>
              <w:rPr>
                <w:spacing w:val="1"/>
                <w:sz w:val="21"/>
                <w:szCs w:val="21"/>
              </w:rPr>
              <w:t>目区原生植被的保护，最大程度减少</w:t>
            </w:r>
          </w:p>
          <w:p w14:paraId="53176CAB">
            <w:pPr>
              <w:pStyle w:val="6"/>
              <w:spacing w:before="20" w:line="219" w:lineRule="auto"/>
              <w:ind w:left="21"/>
              <w:rPr>
                <w:sz w:val="21"/>
                <w:szCs w:val="21"/>
              </w:rPr>
            </w:pPr>
            <w:r>
              <w:rPr>
                <w:spacing w:val="-1"/>
                <w:sz w:val="21"/>
                <w:szCs w:val="21"/>
              </w:rPr>
              <w:t>对植被的破坏。施工车辆、设备、人</w:t>
            </w:r>
          </w:p>
          <w:p w14:paraId="196AF2D1">
            <w:pPr>
              <w:pStyle w:val="6"/>
              <w:spacing w:before="21" w:line="219" w:lineRule="auto"/>
              <w:ind w:left="132"/>
              <w:rPr>
                <w:sz w:val="21"/>
                <w:szCs w:val="21"/>
              </w:rPr>
            </w:pPr>
            <w:r>
              <w:rPr>
                <w:spacing w:val="1"/>
                <w:sz w:val="21"/>
                <w:szCs w:val="21"/>
              </w:rPr>
              <w:t>员进场后应尽量不破坏原有土层和</w:t>
            </w:r>
          </w:p>
          <w:p w14:paraId="0CB12C9B">
            <w:pPr>
              <w:pStyle w:val="6"/>
              <w:spacing w:before="10" w:line="219" w:lineRule="auto"/>
              <w:ind w:left="21"/>
              <w:rPr>
                <w:sz w:val="21"/>
                <w:szCs w:val="21"/>
              </w:rPr>
            </w:pPr>
            <w:r>
              <w:rPr>
                <w:sz w:val="21"/>
                <w:szCs w:val="21"/>
              </w:rPr>
              <w:t>地表植物，地埋电缆槽、临时弃渣场</w:t>
            </w:r>
          </w:p>
          <w:p w14:paraId="1FF788D9">
            <w:pPr>
              <w:pStyle w:val="6"/>
              <w:spacing w:before="21" w:line="219" w:lineRule="auto"/>
              <w:ind w:left="21"/>
              <w:rPr>
                <w:sz w:val="21"/>
                <w:szCs w:val="21"/>
              </w:rPr>
            </w:pPr>
            <w:r>
              <w:rPr>
                <w:spacing w:val="-1"/>
                <w:sz w:val="21"/>
                <w:szCs w:val="21"/>
              </w:rPr>
              <w:t>等确需对地表进行开挖的，施工单位</w:t>
            </w:r>
          </w:p>
          <w:p w14:paraId="74C25FDF">
            <w:pPr>
              <w:pStyle w:val="6"/>
              <w:spacing w:before="41" w:line="219" w:lineRule="auto"/>
              <w:ind w:left="21"/>
              <w:rPr>
                <w:sz w:val="21"/>
                <w:szCs w:val="21"/>
              </w:rPr>
            </w:pPr>
            <w:r>
              <w:rPr>
                <w:spacing w:val="-1"/>
                <w:sz w:val="21"/>
                <w:szCs w:val="21"/>
              </w:rPr>
              <w:t>应当严格按照设计范围进行施工，施</w:t>
            </w:r>
          </w:p>
          <w:p w14:paraId="316D7EC0">
            <w:pPr>
              <w:pStyle w:val="6"/>
              <w:spacing w:before="20" w:line="219" w:lineRule="auto"/>
              <w:ind w:left="21"/>
              <w:rPr>
                <w:sz w:val="21"/>
                <w:szCs w:val="21"/>
              </w:rPr>
            </w:pPr>
            <w:r>
              <w:rPr>
                <w:sz w:val="21"/>
                <w:szCs w:val="21"/>
              </w:rPr>
              <w:t>工结束后立即开展植被恢复工作，县</w:t>
            </w:r>
          </w:p>
          <w:p w14:paraId="0ACD693C">
            <w:pPr>
              <w:pStyle w:val="6"/>
              <w:spacing w:before="21" w:line="219" w:lineRule="auto"/>
              <w:ind w:left="132"/>
              <w:rPr>
                <w:sz w:val="21"/>
                <w:szCs w:val="21"/>
              </w:rPr>
            </w:pPr>
            <w:r>
              <w:rPr>
                <w:sz w:val="21"/>
                <w:szCs w:val="21"/>
              </w:rPr>
              <w:t>级林草主管部门对恢复情况进行检</w:t>
            </w:r>
          </w:p>
          <w:p w14:paraId="6E8D042A">
            <w:pPr>
              <w:pStyle w:val="6"/>
              <w:spacing w:before="31" w:line="219" w:lineRule="auto"/>
              <w:ind w:left="21"/>
              <w:rPr>
                <w:sz w:val="21"/>
                <w:szCs w:val="21"/>
              </w:rPr>
            </w:pPr>
            <w:r>
              <w:rPr>
                <w:spacing w:val="-1"/>
                <w:sz w:val="21"/>
                <w:szCs w:val="21"/>
              </w:rPr>
              <w:t>查验收。电池组件阵列区内林地上涉</w:t>
            </w:r>
          </w:p>
          <w:p w14:paraId="14FEE525">
            <w:pPr>
              <w:pStyle w:val="6"/>
              <w:spacing w:before="21" w:line="219" w:lineRule="auto"/>
              <w:ind w:left="21"/>
              <w:rPr>
                <w:sz w:val="21"/>
                <w:szCs w:val="21"/>
              </w:rPr>
            </w:pPr>
            <w:r>
              <w:rPr>
                <w:spacing w:val="-1"/>
                <w:sz w:val="21"/>
                <w:szCs w:val="21"/>
              </w:rPr>
              <w:t>及散生木的，应当优化设计、尽量避</w:t>
            </w:r>
          </w:p>
          <w:p w14:paraId="52D8C917">
            <w:pPr>
              <w:pStyle w:val="6"/>
              <w:spacing w:before="20" w:line="219" w:lineRule="auto"/>
              <w:ind w:left="21"/>
              <w:rPr>
                <w:sz w:val="21"/>
                <w:szCs w:val="21"/>
              </w:rPr>
            </w:pPr>
            <w:r>
              <w:rPr>
                <w:spacing w:val="1"/>
                <w:sz w:val="21"/>
                <w:szCs w:val="21"/>
              </w:rPr>
              <w:t>让，在满足光伏电站正常建设运营的</w:t>
            </w:r>
          </w:p>
          <w:p w14:paraId="286CFC23">
            <w:pPr>
              <w:pStyle w:val="6"/>
              <w:spacing w:before="20" w:line="219" w:lineRule="auto"/>
              <w:jc w:val="right"/>
              <w:rPr>
                <w:sz w:val="21"/>
                <w:szCs w:val="21"/>
              </w:rPr>
            </w:pPr>
            <w:r>
              <w:rPr>
                <w:spacing w:val="-2"/>
                <w:sz w:val="21"/>
                <w:szCs w:val="21"/>
              </w:rPr>
              <w:t>同时，尽可能减少对散生木的采伐。</w:t>
            </w:r>
          </w:p>
          <w:p w14:paraId="1BD69685">
            <w:pPr>
              <w:pStyle w:val="6"/>
              <w:spacing w:before="23" w:line="219" w:lineRule="auto"/>
              <w:ind w:left="392"/>
              <w:rPr>
                <w:sz w:val="21"/>
                <w:szCs w:val="21"/>
              </w:rPr>
            </w:pPr>
            <w:r>
              <w:rPr>
                <w:spacing w:val="-1"/>
                <w:sz w:val="21"/>
                <w:szCs w:val="21"/>
              </w:rPr>
              <w:t>涉及古树名木的，一律避让。</w:t>
            </w:r>
          </w:p>
        </w:tc>
        <w:tc>
          <w:tcPr>
            <w:tcW w:w="3196" w:type="dxa"/>
            <w:vAlign w:val="top"/>
          </w:tcPr>
          <w:p w14:paraId="79B3EF4E">
            <w:pPr>
              <w:spacing w:line="247" w:lineRule="auto"/>
              <w:rPr>
                <w:rFonts w:ascii="Arial"/>
                <w:sz w:val="21"/>
              </w:rPr>
            </w:pPr>
          </w:p>
          <w:p w14:paraId="2D06B1A1">
            <w:pPr>
              <w:spacing w:line="248" w:lineRule="auto"/>
              <w:rPr>
                <w:rFonts w:ascii="Arial"/>
                <w:sz w:val="21"/>
              </w:rPr>
            </w:pPr>
          </w:p>
          <w:p w14:paraId="180628F9">
            <w:pPr>
              <w:pStyle w:val="6"/>
              <w:spacing w:before="68" w:line="220" w:lineRule="auto"/>
              <w:ind w:left="125"/>
              <w:rPr>
                <w:sz w:val="21"/>
                <w:szCs w:val="21"/>
              </w:rPr>
            </w:pPr>
            <w:r>
              <w:rPr>
                <w:sz w:val="21"/>
                <w:szCs w:val="21"/>
              </w:rPr>
              <w:t>项目目前处于施工前前期工作开</w:t>
            </w:r>
          </w:p>
          <w:p w14:paraId="2B948EEE">
            <w:pPr>
              <w:pStyle w:val="6"/>
              <w:spacing w:before="19" w:line="219" w:lineRule="auto"/>
              <w:ind w:left="15"/>
              <w:rPr>
                <w:sz w:val="21"/>
                <w:szCs w:val="21"/>
              </w:rPr>
            </w:pPr>
            <w:r>
              <w:rPr>
                <w:spacing w:val="-1"/>
                <w:sz w:val="21"/>
                <w:szCs w:val="21"/>
              </w:rPr>
              <w:t>展阶段，已委托林勘单位进行林地</w:t>
            </w:r>
          </w:p>
          <w:p w14:paraId="56427E52">
            <w:pPr>
              <w:pStyle w:val="6"/>
              <w:spacing w:before="21" w:line="219" w:lineRule="auto"/>
              <w:ind w:left="15"/>
              <w:rPr>
                <w:sz w:val="21"/>
                <w:szCs w:val="21"/>
              </w:rPr>
            </w:pPr>
            <w:r>
              <w:rPr>
                <w:spacing w:val="-1"/>
                <w:sz w:val="21"/>
                <w:szCs w:val="21"/>
              </w:rPr>
              <w:t>调查，规划施工监理按照保护要求</w:t>
            </w:r>
          </w:p>
          <w:p w14:paraId="6B19CD12">
            <w:pPr>
              <w:pStyle w:val="6"/>
              <w:spacing w:before="30" w:line="219" w:lineRule="auto"/>
              <w:ind w:left="15"/>
              <w:rPr>
                <w:sz w:val="21"/>
                <w:szCs w:val="21"/>
              </w:rPr>
            </w:pPr>
            <w:r>
              <w:rPr>
                <w:spacing w:val="-1"/>
                <w:sz w:val="21"/>
                <w:szCs w:val="21"/>
              </w:rPr>
              <w:t>对施工单位进行培训，开挖时严格</w:t>
            </w:r>
          </w:p>
          <w:p w14:paraId="4D805F6B">
            <w:pPr>
              <w:pStyle w:val="6"/>
              <w:spacing w:before="20" w:line="219" w:lineRule="auto"/>
              <w:ind w:left="15"/>
              <w:rPr>
                <w:sz w:val="21"/>
                <w:szCs w:val="21"/>
              </w:rPr>
            </w:pPr>
            <w:r>
              <w:rPr>
                <w:spacing w:val="-1"/>
                <w:sz w:val="21"/>
                <w:szCs w:val="21"/>
              </w:rPr>
              <w:t>控制在施工红线内，不越界。设计</w:t>
            </w:r>
          </w:p>
          <w:p w14:paraId="3498D303">
            <w:pPr>
              <w:pStyle w:val="6"/>
              <w:spacing w:before="19" w:line="219" w:lineRule="auto"/>
              <w:ind w:left="15"/>
              <w:rPr>
                <w:sz w:val="21"/>
                <w:szCs w:val="21"/>
              </w:rPr>
            </w:pPr>
            <w:r>
              <w:rPr>
                <w:sz w:val="21"/>
                <w:szCs w:val="21"/>
              </w:rPr>
              <w:t>时对光伏板布设进行优化，项目已</w:t>
            </w:r>
          </w:p>
          <w:p w14:paraId="6A9446BB">
            <w:pPr>
              <w:pStyle w:val="6"/>
              <w:spacing w:before="21" w:line="219" w:lineRule="auto"/>
              <w:ind w:left="125"/>
              <w:rPr>
                <w:sz w:val="21"/>
                <w:szCs w:val="21"/>
              </w:rPr>
            </w:pPr>
            <w:r>
              <w:rPr>
                <w:spacing w:val="-1"/>
                <w:sz w:val="21"/>
                <w:szCs w:val="21"/>
              </w:rPr>
              <w:t>避让长势较好的自然植被及基本</w:t>
            </w:r>
          </w:p>
          <w:p w14:paraId="05FE31FE">
            <w:pPr>
              <w:pStyle w:val="6"/>
              <w:spacing w:before="12" w:line="219" w:lineRule="auto"/>
              <w:ind w:left="15"/>
              <w:rPr>
                <w:sz w:val="21"/>
                <w:szCs w:val="21"/>
              </w:rPr>
            </w:pPr>
            <w:r>
              <w:rPr>
                <w:spacing w:val="-1"/>
                <w:sz w:val="21"/>
                <w:szCs w:val="21"/>
              </w:rPr>
              <w:t>农田，已对古树名木全部避让。计</w:t>
            </w:r>
          </w:p>
          <w:p w14:paraId="70D82FA4">
            <w:pPr>
              <w:pStyle w:val="6"/>
              <w:spacing w:before="21" w:line="219" w:lineRule="auto"/>
              <w:ind w:left="125"/>
              <w:rPr>
                <w:sz w:val="21"/>
                <w:szCs w:val="21"/>
              </w:rPr>
            </w:pPr>
            <w:r>
              <w:rPr>
                <w:spacing w:val="-1"/>
                <w:sz w:val="21"/>
                <w:szCs w:val="21"/>
              </w:rPr>
              <w:t>划施工结束后立即开展植被恢复</w:t>
            </w:r>
          </w:p>
          <w:p w14:paraId="70F150D5">
            <w:pPr>
              <w:pStyle w:val="6"/>
              <w:spacing w:before="41" w:line="219" w:lineRule="auto"/>
              <w:ind w:left="15"/>
              <w:rPr>
                <w:sz w:val="21"/>
                <w:szCs w:val="21"/>
              </w:rPr>
            </w:pPr>
            <w:r>
              <w:rPr>
                <w:sz w:val="21"/>
                <w:szCs w:val="21"/>
              </w:rPr>
              <w:t>工作，由县级林草主管部门对恢复</w:t>
            </w:r>
          </w:p>
          <w:p w14:paraId="4B4A50FC">
            <w:pPr>
              <w:pStyle w:val="6"/>
              <w:spacing w:before="11" w:line="219" w:lineRule="auto"/>
              <w:ind w:left="695"/>
              <w:rPr>
                <w:sz w:val="21"/>
                <w:szCs w:val="21"/>
              </w:rPr>
            </w:pPr>
            <w:r>
              <w:rPr>
                <w:sz w:val="21"/>
                <w:szCs w:val="21"/>
              </w:rPr>
              <w:t>情况进行检查验收。</w:t>
            </w:r>
          </w:p>
        </w:tc>
        <w:tc>
          <w:tcPr>
            <w:tcW w:w="574" w:type="dxa"/>
            <w:vAlign w:val="top"/>
          </w:tcPr>
          <w:p w14:paraId="66F416FB">
            <w:pPr>
              <w:spacing w:line="260" w:lineRule="auto"/>
              <w:rPr>
                <w:rFonts w:ascii="Arial"/>
                <w:sz w:val="21"/>
              </w:rPr>
            </w:pPr>
          </w:p>
          <w:p w14:paraId="183346F5">
            <w:pPr>
              <w:spacing w:line="261" w:lineRule="auto"/>
              <w:rPr>
                <w:rFonts w:ascii="Arial"/>
                <w:sz w:val="21"/>
              </w:rPr>
            </w:pPr>
          </w:p>
          <w:p w14:paraId="18B0F20D">
            <w:pPr>
              <w:spacing w:line="261" w:lineRule="auto"/>
              <w:rPr>
                <w:rFonts w:ascii="Arial"/>
                <w:sz w:val="21"/>
              </w:rPr>
            </w:pPr>
          </w:p>
          <w:p w14:paraId="2CA020E1">
            <w:pPr>
              <w:spacing w:line="261" w:lineRule="auto"/>
              <w:rPr>
                <w:rFonts w:ascii="Arial"/>
                <w:sz w:val="21"/>
              </w:rPr>
            </w:pPr>
          </w:p>
          <w:p w14:paraId="3C330794">
            <w:pPr>
              <w:spacing w:line="261" w:lineRule="auto"/>
              <w:rPr>
                <w:rFonts w:ascii="Arial"/>
                <w:sz w:val="21"/>
              </w:rPr>
            </w:pPr>
          </w:p>
          <w:p w14:paraId="390AB3FC">
            <w:pPr>
              <w:spacing w:line="261" w:lineRule="auto"/>
              <w:rPr>
                <w:rFonts w:ascii="Arial"/>
                <w:sz w:val="21"/>
              </w:rPr>
            </w:pPr>
          </w:p>
          <w:p w14:paraId="5C64D22D">
            <w:pPr>
              <w:spacing w:line="261" w:lineRule="auto"/>
              <w:rPr>
                <w:rFonts w:ascii="Arial"/>
                <w:sz w:val="21"/>
              </w:rPr>
            </w:pPr>
          </w:p>
          <w:p w14:paraId="15C14EE3">
            <w:pPr>
              <w:pStyle w:val="6"/>
              <w:spacing w:before="68" w:line="219" w:lineRule="auto"/>
              <w:ind w:left="69"/>
              <w:rPr>
                <w:sz w:val="21"/>
                <w:szCs w:val="21"/>
              </w:rPr>
            </w:pPr>
            <w:r>
              <w:rPr>
                <w:spacing w:val="-3"/>
                <w:sz w:val="21"/>
                <w:szCs w:val="21"/>
              </w:rPr>
              <w:t>符合</w:t>
            </w:r>
          </w:p>
        </w:tc>
      </w:tr>
      <w:tr w14:paraId="5C25C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1234" w:type="dxa"/>
            <w:vMerge w:val="continue"/>
            <w:tcBorders>
              <w:top w:val="nil"/>
            </w:tcBorders>
            <w:vAlign w:val="top"/>
          </w:tcPr>
          <w:p w14:paraId="1CDFB331">
            <w:pPr>
              <w:rPr>
                <w:rFonts w:ascii="Arial"/>
                <w:sz w:val="21"/>
              </w:rPr>
            </w:pPr>
          </w:p>
        </w:tc>
        <w:tc>
          <w:tcPr>
            <w:tcW w:w="589" w:type="dxa"/>
            <w:vMerge w:val="continue"/>
            <w:tcBorders>
              <w:top w:val="nil"/>
            </w:tcBorders>
            <w:vAlign w:val="top"/>
          </w:tcPr>
          <w:p w14:paraId="3C11D935">
            <w:pPr>
              <w:rPr>
                <w:rFonts w:ascii="Arial"/>
                <w:sz w:val="21"/>
              </w:rPr>
            </w:pPr>
          </w:p>
        </w:tc>
        <w:tc>
          <w:tcPr>
            <w:tcW w:w="3426" w:type="dxa"/>
            <w:vAlign w:val="top"/>
          </w:tcPr>
          <w:p w14:paraId="6DFE40F1">
            <w:pPr>
              <w:pStyle w:val="6"/>
              <w:spacing w:before="47" w:line="219" w:lineRule="auto"/>
              <w:ind w:left="132"/>
              <w:rPr>
                <w:sz w:val="21"/>
                <w:szCs w:val="21"/>
              </w:rPr>
            </w:pPr>
            <w:r>
              <w:rPr>
                <w:spacing w:val="-1"/>
                <w:sz w:val="21"/>
                <w:szCs w:val="21"/>
              </w:rPr>
              <w:t>光伏复合项目运营期要采取多种综</w:t>
            </w:r>
          </w:p>
          <w:p w14:paraId="5C49068F">
            <w:pPr>
              <w:pStyle w:val="6"/>
              <w:spacing w:before="22" w:line="219" w:lineRule="auto"/>
              <w:ind w:left="21"/>
              <w:rPr>
                <w:sz w:val="21"/>
                <w:szCs w:val="21"/>
              </w:rPr>
            </w:pPr>
            <w:r>
              <w:rPr>
                <w:spacing w:val="-1"/>
                <w:sz w:val="21"/>
                <w:szCs w:val="21"/>
              </w:rPr>
              <w:t>合措施，确保项目区原生植被正常生</w:t>
            </w:r>
          </w:p>
          <w:p w14:paraId="517FB9A4">
            <w:pPr>
              <w:pStyle w:val="6"/>
              <w:spacing w:before="21" w:line="220" w:lineRule="auto"/>
              <w:jc w:val="right"/>
              <w:rPr>
                <w:sz w:val="21"/>
                <w:szCs w:val="21"/>
              </w:rPr>
            </w:pPr>
            <w:r>
              <w:rPr>
                <w:spacing w:val="2"/>
                <w:sz w:val="21"/>
                <w:szCs w:val="21"/>
              </w:rPr>
              <w:t>长。施工前项目业主单位应当对项目</w:t>
            </w:r>
          </w:p>
          <w:p w14:paraId="65D2D761">
            <w:pPr>
              <w:pStyle w:val="6"/>
              <w:spacing w:before="18" w:line="216" w:lineRule="auto"/>
              <w:ind w:left="132"/>
              <w:rPr>
                <w:sz w:val="21"/>
                <w:szCs w:val="21"/>
              </w:rPr>
            </w:pPr>
            <w:r>
              <w:rPr>
                <w:sz w:val="21"/>
                <w:szCs w:val="21"/>
              </w:rPr>
              <w:t>区植被情况以图文或影像方式进行</w:t>
            </w:r>
          </w:p>
        </w:tc>
        <w:tc>
          <w:tcPr>
            <w:tcW w:w="3196" w:type="dxa"/>
            <w:vAlign w:val="top"/>
          </w:tcPr>
          <w:p w14:paraId="467E9F03">
            <w:pPr>
              <w:pStyle w:val="6"/>
              <w:spacing w:before="49" w:line="220" w:lineRule="auto"/>
              <w:ind w:left="125"/>
              <w:rPr>
                <w:sz w:val="21"/>
                <w:szCs w:val="21"/>
              </w:rPr>
            </w:pPr>
            <w:r>
              <w:rPr>
                <w:spacing w:val="-1"/>
                <w:sz w:val="21"/>
                <w:szCs w:val="21"/>
              </w:rPr>
              <w:t>现阶段为项目施工前前期工作开</w:t>
            </w:r>
          </w:p>
          <w:p w14:paraId="4050F8D8">
            <w:pPr>
              <w:pStyle w:val="6"/>
              <w:spacing w:before="19" w:line="220" w:lineRule="auto"/>
              <w:ind w:left="15"/>
              <w:rPr>
                <w:sz w:val="21"/>
                <w:szCs w:val="21"/>
              </w:rPr>
            </w:pPr>
            <w:r>
              <w:rPr>
                <w:sz w:val="21"/>
                <w:szCs w:val="21"/>
              </w:rPr>
              <w:t>展阶段，施工前项目业主单位对项</w:t>
            </w:r>
          </w:p>
          <w:p w14:paraId="5ED1E3F2">
            <w:pPr>
              <w:pStyle w:val="6"/>
              <w:spacing w:before="19" w:line="219" w:lineRule="auto"/>
              <w:ind w:left="125"/>
              <w:rPr>
                <w:sz w:val="21"/>
                <w:szCs w:val="21"/>
              </w:rPr>
            </w:pPr>
            <w:r>
              <w:rPr>
                <w:sz w:val="21"/>
                <w:szCs w:val="21"/>
              </w:rPr>
              <w:t>目区植被情况以图文或影像方式</w:t>
            </w:r>
          </w:p>
          <w:p w14:paraId="797A3E5A">
            <w:pPr>
              <w:pStyle w:val="6"/>
              <w:spacing w:before="20" w:line="216" w:lineRule="auto"/>
              <w:jc w:val="right"/>
              <w:rPr>
                <w:sz w:val="21"/>
                <w:szCs w:val="21"/>
              </w:rPr>
            </w:pPr>
            <w:r>
              <w:rPr>
                <w:spacing w:val="-2"/>
                <w:sz w:val="21"/>
                <w:szCs w:val="21"/>
              </w:rPr>
              <w:t>进行记录，申报办理许可手续时，</w:t>
            </w:r>
          </w:p>
        </w:tc>
        <w:tc>
          <w:tcPr>
            <w:tcW w:w="574" w:type="dxa"/>
            <w:vAlign w:val="top"/>
          </w:tcPr>
          <w:p w14:paraId="46709CEC">
            <w:pPr>
              <w:spacing w:line="388" w:lineRule="auto"/>
              <w:rPr>
                <w:rFonts w:ascii="Arial"/>
                <w:sz w:val="21"/>
              </w:rPr>
            </w:pPr>
          </w:p>
          <w:p w14:paraId="3AAE1D9B">
            <w:pPr>
              <w:pStyle w:val="6"/>
              <w:spacing w:before="68" w:line="219" w:lineRule="auto"/>
              <w:ind w:left="69"/>
              <w:rPr>
                <w:sz w:val="21"/>
                <w:szCs w:val="21"/>
              </w:rPr>
            </w:pPr>
            <w:r>
              <w:rPr>
                <w:spacing w:val="-3"/>
                <w:sz w:val="21"/>
                <w:szCs w:val="21"/>
              </w:rPr>
              <w:t>符合</w:t>
            </w:r>
          </w:p>
        </w:tc>
      </w:tr>
    </w:tbl>
    <w:p w14:paraId="3D97D1CD">
      <w:pPr>
        <w:pStyle w:val="2"/>
      </w:pPr>
    </w:p>
    <w:p w14:paraId="78A5450F">
      <w:pPr>
        <w:sectPr>
          <w:footerReference r:id="rId16" w:type="default"/>
          <w:pgSz w:w="11910" w:h="16830"/>
          <w:pgMar w:top="400" w:right="1465" w:bottom="1277" w:left="1415" w:header="0" w:footer="1073" w:gutter="0"/>
          <w:cols w:space="720" w:num="1"/>
        </w:sectPr>
      </w:pPr>
    </w:p>
    <w:p w14:paraId="64D62863">
      <w:pPr>
        <w:spacing w:before="18"/>
      </w:pPr>
    </w:p>
    <w:p w14:paraId="7BFC7E08">
      <w:pPr>
        <w:spacing w:before="18"/>
      </w:pPr>
    </w:p>
    <w:p w14:paraId="1A7CC6D7">
      <w:pPr>
        <w:spacing w:before="17"/>
      </w:pPr>
    </w:p>
    <w:p w14:paraId="150DF639">
      <w:pPr>
        <w:spacing w:before="17"/>
      </w:pPr>
    </w:p>
    <w:p w14:paraId="3845434A">
      <w:pPr>
        <w:spacing w:before="17"/>
      </w:pPr>
    </w:p>
    <w:tbl>
      <w:tblPr>
        <w:tblStyle w:val="5"/>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4"/>
        <w:gridCol w:w="609"/>
        <w:gridCol w:w="3396"/>
        <w:gridCol w:w="3206"/>
        <w:gridCol w:w="574"/>
      </w:tblGrid>
      <w:tr w14:paraId="2B835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0" w:hRule="atLeast"/>
        </w:trPr>
        <w:tc>
          <w:tcPr>
            <w:tcW w:w="1234" w:type="dxa"/>
            <w:vMerge w:val="restart"/>
            <w:tcBorders>
              <w:bottom w:val="nil"/>
            </w:tcBorders>
            <w:vAlign w:val="top"/>
          </w:tcPr>
          <w:p w14:paraId="096C6B1E">
            <w:pPr>
              <w:rPr>
                <w:rFonts w:ascii="Arial"/>
                <w:sz w:val="21"/>
              </w:rPr>
            </w:pPr>
          </w:p>
        </w:tc>
        <w:tc>
          <w:tcPr>
            <w:tcW w:w="609" w:type="dxa"/>
            <w:vAlign w:val="top"/>
          </w:tcPr>
          <w:p w14:paraId="4B7D4C7D">
            <w:pPr>
              <w:rPr>
                <w:rFonts w:ascii="Arial"/>
                <w:sz w:val="21"/>
              </w:rPr>
            </w:pPr>
          </w:p>
        </w:tc>
        <w:tc>
          <w:tcPr>
            <w:tcW w:w="3396" w:type="dxa"/>
            <w:vAlign w:val="top"/>
          </w:tcPr>
          <w:p w14:paraId="46D5D454">
            <w:pPr>
              <w:pStyle w:val="6"/>
              <w:spacing w:before="44" w:line="219" w:lineRule="auto"/>
              <w:jc w:val="right"/>
            </w:pPr>
            <w:r>
              <w:rPr>
                <w:spacing w:val="-10"/>
              </w:rPr>
              <w:t>记录，申报办理许可手续时，将记录</w:t>
            </w:r>
          </w:p>
          <w:p w14:paraId="707CA733">
            <w:pPr>
              <w:pStyle w:val="6"/>
              <w:spacing w:before="7" w:line="219" w:lineRule="auto"/>
              <w:jc w:val="right"/>
            </w:pPr>
            <w:r>
              <w:rPr>
                <w:spacing w:val="-11"/>
              </w:rPr>
              <w:t>材</w:t>
            </w:r>
            <w:r>
              <w:rPr>
                <w:spacing w:val="-10"/>
              </w:rPr>
              <w:t>料提交县级林草主管部门存档。</w:t>
            </w:r>
            <w:r>
              <w:rPr>
                <w:spacing w:val="-9"/>
              </w:rPr>
              <w:t>运</w:t>
            </w:r>
          </w:p>
          <w:p w14:paraId="686547C9">
            <w:pPr>
              <w:pStyle w:val="6"/>
              <w:spacing w:before="30" w:line="219" w:lineRule="auto"/>
              <w:ind w:left="41"/>
            </w:pPr>
            <w:r>
              <w:t>营期电池组件阵列下方原有植被盖</w:t>
            </w:r>
          </w:p>
          <w:p w14:paraId="0E289F6B">
            <w:pPr>
              <w:pStyle w:val="6"/>
              <w:spacing w:before="9" w:line="219" w:lineRule="auto"/>
              <w:jc w:val="right"/>
            </w:pPr>
            <w:r>
              <w:rPr>
                <w:spacing w:val="-3"/>
              </w:rPr>
              <w:t>度达到30%以上，且具备自然恢复条</w:t>
            </w:r>
          </w:p>
          <w:p w14:paraId="00F15D8B">
            <w:pPr>
              <w:pStyle w:val="6"/>
              <w:spacing w:before="7" w:line="219" w:lineRule="auto"/>
              <w:jc w:val="right"/>
            </w:pPr>
            <w:r>
              <w:rPr>
                <w:spacing w:val="-10"/>
              </w:rPr>
              <w:t>件的，以自然恢复植被为主，不采取</w:t>
            </w:r>
          </w:p>
          <w:p w14:paraId="0801ADBB">
            <w:pPr>
              <w:pStyle w:val="6"/>
              <w:spacing w:before="8" w:line="219" w:lineRule="auto"/>
              <w:jc w:val="right"/>
            </w:pPr>
            <w:r>
              <w:rPr>
                <w:spacing w:val="-11"/>
              </w:rPr>
              <w:t>开</w:t>
            </w:r>
            <w:r>
              <w:rPr>
                <w:spacing w:val="-10"/>
              </w:rPr>
              <w:t>挖补种、更替树种、除草等人工</w:t>
            </w:r>
            <w:r>
              <w:rPr>
                <w:spacing w:val="-9"/>
              </w:rPr>
              <w:t>干</w:t>
            </w:r>
          </w:p>
          <w:p w14:paraId="37658ADE">
            <w:pPr>
              <w:pStyle w:val="6"/>
              <w:spacing w:before="11" w:line="219" w:lineRule="auto"/>
              <w:jc w:val="right"/>
            </w:pPr>
            <w:r>
              <w:rPr>
                <w:spacing w:val="-3"/>
              </w:rPr>
              <w:t>预措施；原有植被盖度达到20%以上</w:t>
            </w:r>
          </w:p>
          <w:p w14:paraId="16A978BB">
            <w:pPr>
              <w:pStyle w:val="6"/>
              <w:spacing w:before="29" w:line="219" w:lineRule="auto"/>
              <w:jc w:val="right"/>
            </w:pPr>
            <w:r>
              <w:rPr>
                <w:spacing w:val="-4"/>
              </w:rPr>
              <w:t>30%以下，且具备自然恢复条件的，</w:t>
            </w:r>
          </w:p>
          <w:p w14:paraId="2EF0AF47">
            <w:pPr>
              <w:pStyle w:val="6"/>
              <w:spacing w:before="8" w:line="218" w:lineRule="auto"/>
              <w:jc w:val="right"/>
            </w:pPr>
            <w:r>
              <w:rPr>
                <w:spacing w:val="-10"/>
              </w:rPr>
              <w:t>采取补植补种修复植被；原有植被盖</w:t>
            </w:r>
          </w:p>
          <w:p w14:paraId="3B8F1DC4">
            <w:pPr>
              <w:pStyle w:val="6"/>
              <w:spacing w:before="1" w:line="218" w:lineRule="auto"/>
              <w:jc w:val="right"/>
            </w:pPr>
            <w:r>
              <w:rPr>
                <w:spacing w:val="-3"/>
              </w:rPr>
              <w:t>度低于20%的，采取人工种草等措施</w:t>
            </w:r>
          </w:p>
          <w:p w14:paraId="36AA0EA2">
            <w:pPr>
              <w:pStyle w:val="6"/>
              <w:spacing w:before="30" w:line="219" w:lineRule="auto"/>
              <w:jc w:val="right"/>
            </w:pPr>
            <w:r>
              <w:rPr>
                <w:spacing w:val="-10"/>
              </w:rPr>
              <w:t>改良植被及土壤条件，防止水土流失</w:t>
            </w:r>
          </w:p>
          <w:p w14:paraId="3C28C685">
            <w:pPr>
              <w:pStyle w:val="6"/>
              <w:spacing w:before="9" w:line="219" w:lineRule="auto"/>
              <w:jc w:val="right"/>
            </w:pPr>
            <w:r>
              <w:rPr>
                <w:spacing w:val="-10"/>
              </w:rPr>
              <w:t>和土壤侵蚀。项目区内未设计建设的</w:t>
            </w:r>
          </w:p>
          <w:p w14:paraId="3B53CE92">
            <w:pPr>
              <w:pStyle w:val="6"/>
              <w:spacing w:before="9" w:line="219" w:lineRule="auto"/>
              <w:jc w:val="right"/>
            </w:pPr>
            <w:r>
              <w:rPr>
                <w:spacing w:val="-10"/>
              </w:rPr>
              <w:t>空地区域，不得破坏原有植被和损毁</w:t>
            </w:r>
          </w:p>
          <w:p w14:paraId="6B9BCAAA">
            <w:pPr>
              <w:pStyle w:val="6"/>
              <w:spacing w:before="8" w:line="219" w:lineRule="auto"/>
              <w:jc w:val="right"/>
            </w:pPr>
            <w:r>
              <w:rPr>
                <w:spacing w:val="-10"/>
              </w:rPr>
              <w:t>地表，项目业主单位可在不影响光伏</w:t>
            </w:r>
          </w:p>
          <w:p w14:paraId="139C2D22">
            <w:pPr>
              <w:pStyle w:val="6"/>
              <w:spacing w:before="9" w:line="219" w:lineRule="auto"/>
              <w:jc w:val="right"/>
            </w:pPr>
            <w:r>
              <w:rPr>
                <w:spacing w:val="-10"/>
              </w:rPr>
              <w:t>复合项目运营安全的前提下，科学制</w:t>
            </w:r>
          </w:p>
          <w:p w14:paraId="4E3EC2FC">
            <w:pPr>
              <w:pStyle w:val="6"/>
              <w:spacing w:before="10" w:line="219" w:lineRule="auto"/>
              <w:ind w:left="41"/>
            </w:pPr>
            <w:r>
              <w:t>定绿化方案，适度补植补种乡土树</w:t>
            </w:r>
          </w:p>
          <w:p w14:paraId="174A0DE7">
            <w:pPr>
              <w:pStyle w:val="6"/>
              <w:spacing w:before="29" w:line="219" w:lineRule="auto"/>
              <w:jc w:val="right"/>
            </w:pPr>
            <w:r>
              <w:rPr>
                <w:spacing w:val="-22"/>
              </w:rPr>
              <w:t>种、草种。项目业主在申报使用林地、</w:t>
            </w:r>
          </w:p>
          <w:p w14:paraId="54AC8C6F">
            <w:pPr>
              <w:pStyle w:val="6"/>
              <w:spacing w:before="10" w:line="219" w:lineRule="auto"/>
              <w:jc w:val="right"/>
            </w:pPr>
            <w:r>
              <w:rPr>
                <w:spacing w:val="-10"/>
              </w:rPr>
              <w:t>草原行政许可时，应当同步提交编制</w:t>
            </w:r>
          </w:p>
          <w:p w14:paraId="7DD1E3A6">
            <w:pPr>
              <w:pStyle w:val="6"/>
              <w:spacing w:before="7" w:line="219" w:lineRule="auto"/>
              <w:jc w:val="right"/>
            </w:pPr>
            <w:r>
              <w:rPr>
                <w:spacing w:val="-2"/>
              </w:rPr>
              <w:t>《光伏复合项目使用林草地植被保</w:t>
            </w:r>
          </w:p>
          <w:p w14:paraId="6874E1C4">
            <w:pPr>
              <w:pStyle w:val="6"/>
              <w:spacing w:before="9" w:line="219" w:lineRule="auto"/>
              <w:jc w:val="right"/>
            </w:pPr>
            <w:r>
              <w:rPr>
                <w:spacing w:val="-10"/>
              </w:rPr>
              <w:t>护方案》的承诺书，并在项目取得使</w:t>
            </w:r>
          </w:p>
          <w:p w14:paraId="05E85D5D">
            <w:pPr>
              <w:pStyle w:val="6"/>
              <w:spacing w:before="1" w:line="219" w:lineRule="auto"/>
              <w:jc w:val="right"/>
            </w:pPr>
            <w:r>
              <w:rPr>
                <w:spacing w:val="-3"/>
              </w:rPr>
              <w:t>用林地许可批复后1个月内，向县林</w:t>
            </w:r>
          </w:p>
          <w:p w14:paraId="5B11C206">
            <w:pPr>
              <w:pStyle w:val="6"/>
              <w:spacing w:before="7" w:line="219" w:lineRule="auto"/>
              <w:jc w:val="right"/>
            </w:pPr>
            <w:r>
              <w:rPr>
                <w:spacing w:val="-10"/>
              </w:rPr>
              <w:t>草局提交按规定编制的《光伏复合项</w:t>
            </w:r>
          </w:p>
          <w:p w14:paraId="6D481977">
            <w:pPr>
              <w:pStyle w:val="6"/>
              <w:spacing w:before="31" w:line="181" w:lineRule="auto"/>
              <w:ind w:left="201"/>
            </w:pPr>
            <w:r>
              <w:rPr>
                <w:spacing w:val="-1"/>
              </w:rPr>
              <w:t>目使用林草地植被保护方案》。</w:t>
            </w:r>
          </w:p>
        </w:tc>
        <w:tc>
          <w:tcPr>
            <w:tcW w:w="3206" w:type="dxa"/>
            <w:vAlign w:val="top"/>
          </w:tcPr>
          <w:p w14:paraId="5EFD2B18">
            <w:pPr>
              <w:pStyle w:val="6"/>
              <w:spacing w:before="30" w:line="228" w:lineRule="auto"/>
              <w:ind w:left="15" w:firstLine="38"/>
              <w:jc w:val="both"/>
            </w:pPr>
            <w:r>
              <w:rPr>
                <w:spacing w:val="-9"/>
              </w:rPr>
              <w:t>将记录材料提交县级林草主管部</w:t>
            </w:r>
            <w:r>
              <w:rPr>
                <w:spacing w:val="3"/>
              </w:rPr>
              <w:t xml:space="preserve">  </w:t>
            </w:r>
            <w:r>
              <w:rPr>
                <w:spacing w:val="-16"/>
              </w:rPr>
              <w:t>门存档。运营期电池组件阵列下方</w:t>
            </w:r>
            <w:r>
              <w:rPr>
                <w:spacing w:val="5"/>
              </w:rPr>
              <w:t xml:space="preserve">  </w:t>
            </w:r>
            <w:r>
              <w:rPr>
                <w:spacing w:val="-7"/>
              </w:rPr>
              <w:t>原有植被盖度达到30%以上，且具</w:t>
            </w:r>
            <w:r>
              <w:rPr>
                <w:spacing w:val="3"/>
              </w:rPr>
              <w:t xml:space="preserve">  </w:t>
            </w:r>
            <w:r>
              <w:rPr>
                <w:spacing w:val="-16"/>
              </w:rPr>
              <w:t>备自然恢复条件的，以自然恢复植</w:t>
            </w:r>
            <w:r>
              <w:rPr>
                <w:spacing w:val="6"/>
              </w:rPr>
              <w:t xml:space="preserve">  </w:t>
            </w:r>
            <w:r>
              <w:rPr>
                <w:spacing w:val="-16"/>
              </w:rPr>
              <w:t>被为主，不采取开挖补种、更替树</w:t>
            </w:r>
            <w:r>
              <w:rPr>
                <w:spacing w:val="5"/>
              </w:rPr>
              <w:t xml:space="preserve">  </w:t>
            </w:r>
            <w:r>
              <w:rPr>
                <w:spacing w:val="-16"/>
              </w:rPr>
              <w:t>种、除草等人工干预措施；原有植</w:t>
            </w:r>
            <w:r>
              <w:rPr>
                <w:spacing w:val="6"/>
              </w:rPr>
              <w:t xml:space="preserve">  </w:t>
            </w:r>
            <w:r>
              <w:rPr>
                <w:spacing w:val="-5"/>
              </w:rPr>
              <w:t>被盖度达到20%以上30%以下，且</w:t>
            </w:r>
            <w:r>
              <w:rPr>
                <w:spacing w:val="1"/>
              </w:rPr>
              <w:t xml:space="preserve">  </w:t>
            </w:r>
            <w:r>
              <w:rPr>
                <w:spacing w:val="-15"/>
              </w:rPr>
              <w:t>具备自然恢复条件的，采取补植补</w:t>
            </w:r>
            <w:r>
              <w:rPr>
                <w:spacing w:val="1"/>
              </w:rPr>
              <w:t xml:space="preserve">  </w:t>
            </w:r>
            <w:r>
              <w:rPr>
                <w:spacing w:val="-5"/>
              </w:rPr>
              <w:t>种修复植被；原有植被盖度低于</w:t>
            </w:r>
            <w:r>
              <w:rPr>
                <w:spacing w:val="4"/>
              </w:rPr>
              <w:t xml:space="preserve">  </w:t>
            </w:r>
            <w:r>
              <w:rPr>
                <w:spacing w:val="-7"/>
              </w:rPr>
              <w:t>20%的，采取人工种草等措施改良</w:t>
            </w:r>
            <w:r>
              <w:rPr>
                <w:spacing w:val="11"/>
              </w:rPr>
              <w:t xml:space="preserve"> </w:t>
            </w:r>
            <w:r>
              <w:rPr>
                <w:spacing w:val="-15"/>
              </w:rPr>
              <w:t>植被及土壤条件，防止水土流失和</w:t>
            </w:r>
            <w:r>
              <w:rPr>
                <w:spacing w:val="2"/>
              </w:rPr>
              <w:t xml:space="preserve">  </w:t>
            </w:r>
            <w:r>
              <w:rPr>
                <w:spacing w:val="-15"/>
              </w:rPr>
              <w:t>土壤侵蚀。项目区内未设计建设的</w:t>
            </w:r>
            <w:r>
              <w:rPr>
                <w:spacing w:val="2"/>
              </w:rPr>
              <w:t xml:space="preserve">  </w:t>
            </w:r>
            <w:r>
              <w:rPr>
                <w:spacing w:val="-16"/>
              </w:rPr>
              <w:t>空地区域，不破坏原有植被和损毁</w:t>
            </w:r>
            <w:r>
              <w:rPr>
                <w:spacing w:val="6"/>
              </w:rPr>
              <w:t xml:space="preserve">  </w:t>
            </w:r>
            <w:r>
              <w:rPr>
                <w:spacing w:val="-16"/>
              </w:rPr>
              <w:t>地表，业主单位将在不影响光伏复</w:t>
            </w:r>
            <w:r>
              <w:rPr>
                <w:spacing w:val="6"/>
              </w:rPr>
              <w:t xml:space="preserve">  </w:t>
            </w:r>
            <w:r>
              <w:rPr>
                <w:spacing w:val="-15"/>
              </w:rPr>
              <w:t>合项目运营安全的前提下，科学制</w:t>
            </w:r>
            <w:r>
              <w:rPr>
                <w:spacing w:val="3"/>
              </w:rPr>
              <w:t xml:space="preserve">  </w:t>
            </w:r>
            <w:r>
              <w:rPr>
                <w:spacing w:val="-16"/>
              </w:rPr>
              <w:t>定绿化方案，适度补植补种乡土树</w:t>
            </w:r>
            <w:r>
              <w:rPr>
                <w:spacing w:val="5"/>
              </w:rPr>
              <w:t xml:space="preserve">  </w:t>
            </w:r>
            <w:r>
              <w:rPr>
                <w:spacing w:val="-15"/>
              </w:rPr>
              <w:t>种、草种。业主在申报使用林地行</w:t>
            </w:r>
            <w:r>
              <w:t xml:space="preserve">  </w:t>
            </w:r>
            <w:r>
              <w:rPr>
                <w:spacing w:val="-15"/>
              </w:rPr>
              <w:t>政许可时，将同步提交编制《光伏</w:t>
            </w:r>
            <w:r>
              <w:t xml:space="preserve">  </w:t>
            </w:r>
            <w:r>
              <w:rPr>
                <w:spacing w:val="-5"/>
              </w:rPr>
              <w:t>复合项目使用林草地植被保护方</w:t>
            </w:r>
            <w:r>
              <w:rPr>
                <w:spacing w:val="1"/>
              </w:rPr>
              <w:t xml:space="preserve">  </w:t>
            </w:r>
            <w:r>
              <w:rPr>
                <w:spacing w:val="-15"/>
              </w:rPr>
              <w:t>案》的承诺书，并在项目取得使用</w:t>
            </w:r>
            <w:r>
              <w:rPr>
                <w:spacing w:val="6"/>
              </w:rPr>
              <w:t xml:space="preserve">  </w:t>
            </w:r>
            <w:r>
              <w:rPr>
                <w:spacing w:val="-9"/>
              </w:rPr>
              <w:t>林地许可批复后1个月内，向县林</w:t>
            </w:r>
            <w:r>
              <w:rPr>
                <w:spacing w:val="4"/>
              </w:rPr>
              <w:t xml:space="preserve">  </w:t>
            </w:r>
            <w:r>
              <w:rPr>
                <w:spacing w:val="-16"/>
              </w:rPr>
              <w:t>草局提交按规定编制的《光伏复合</w:t>
            </w:r>
            <w:r>
              <w:rPr>
                <w:spacing w:val="6"/>
              </w:rPr>
              <w:t xml:space="preserve">  </w:t>
            </w:r>
            <w:r>
              <w:rPr>
                <w:spacing w:val="-8"/>
              </w:rPr>
              <w:t>项目使用林草地植被保护方案》。</w:t>
            </w:r>
          </w:p>
        </w:tc>
        <w:tc>
          <w:tcPr>
            <w:tcW w:w="574" w:type="dxa"/>
            <w:vAlign w:val="top"/>
          </w:tcPr>
          <w:p w14:paraId="1B9B4112">
            <w:pPr>
              <w:rPr>
                <w:rFonts w:ascii="Arial"/>
                <w:sz w:val="21"/>
              </w:rPr>
            </w:pPr>
          </w:p>
        </w:tc>
      </w:tr>
      <w:tr w14:paraId="53782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0" w:hRule="atLeast"/>
        </w:trPr>
        <w:tc>
          <w:tcPr>
            <w:tcW w:w="1234" w:type="dxa"/>
            <w:vMerge w:val="continue"/>
            <w:tcBorders>
              <w:top w:val="nil"/>
            </w:tcBorders>
            <w:vAlign w:val="top"/>
          </w:tcPr>
          <w:p w14:paraId="2B1B0E74">
            <w:pPr>
              <w:rPr>
                <w:rFonts w:ascii="Arial"/>
                <w:sz w:val="21"/>
              </w:rPr>
            </w:pPr>
          </w:p>
        </w:tc>
        <w:tc>
          <w:tcPr>
            <w:tcW w:w="7785" w:type="dxa"/>
            <w:gridSpan w:val="4"/>
            <w:vAlign w:val="top"/>
          </w:tcPr>
          <w:p w14:paraId="5DF66D56">
            <w:pPr>
              <w:pStyle w:val="6"/>
              <w:spacing w:before="33" w:line="390" w:lineRule="auto"/>
              <w:ind w:left="50" w:right="652" w:firstLine="479"/>
            </w:pPr>
            <w:r>
              <w:t>根据陆良县林业和草原局出具的《陆良县林业</w:t>
            </w:r>
            <w:r>
              <w:rPr>
                <w:spacing w:val="-1"/>
              </w:rPr>
              <w:t>和草原局关于栗树园村</w:t>
            </w:r>
            <w:r>
              <w:t xml:space="preserve"> 光伏发电项目用地选址意见》:“按照《自然资源部办公厅国家林业和草</w:t>
            </w:r>
          </w:p>
          <w:p w14:paraId="39425190">
            <w:pPr>
              <w:pStyle w:val="6"/>
              <w:spacing w:line="218" w:lineRule="auto"/>
              <w:ind w:left="50"/>
            </w:pPr>
            <w:r>
              <w:t>原局办公室国家能源局综合司关于支持光伏发电产业发展规范用地管理</w:t>
            </w:r>
          </w:p>
          <w:p w14:paraId="041D9780">
            <w:pPr>
              <w:pStyle w:val="6"/>
              <w:spacing w:before="210" w:line="387" w:lineRule="auto"/>
              <w:ind w:left="50" w:right="473"/>
            </w:pPr>
            <w:r>
              <w:t>有关工作的通知》(自然资办发〔2023〕12号)规定</w:t>
            </w:r>
            <w:r>
              <w:rPr>
                <w:spacing w:val="-1"/>
              </w:rPr>
              <w:t>未涉及不能使用的林地地</w:t>
            </w:r>
            <w:r>
              <w:t xml:space="preserve"> 类情况。拟选址建设项目区不涉及占用陆良县各级、各类自然保护地，不</w:t>
            </w:r>
          </w:p>
          <w:p w14:paraId="5A8311C7">
            <w:pPr>
              <w:pStyle w:val="6"/>
              <w:spacing w:before="17" w:line="219" w:lineRule="auto"/>
              <w:ind w:left="40"/>
            </w:pPr>
            <w:r>
              <w:rPr>
                <w:spacing w:val="18"/>
              </w:rPr>
              <w:t>涉及占用I级保护林地。”</w:t>
            </w:r>
          </w:p>
          <w:p w14:paraId="4A2E1D58">
            <w:pPr>
              <w:pStyle w:val="6"/>
              <w:spacing w:before="198" w:line="391" w:lineRule="auto"/>
              <w:ind w:left="30" w:right="630" w:firstLine="499"/>
            </w:pPr>
            <w:r>
              <w:t>根据项目生态现状调查结果、林勘单位现场踏勘及林勘报告确认，项</w:t>
            </w:r>
            <w:r>
              <w:rPr>
                <w:spacing w:val="12"/>
              </w:rPr>
              <w:t xml:space="preserve"> </w:t>
            </w:r>
            <w:r>
              <w:rPr>
                <w:spacing w:val="2"/>
              </w:rPr>
              <w:t>目在设计过程中已避开天然保护工程区和天然林地、公</w:t>
            </w:r>
            <w:r>
              <w:rPr>
                <w:spacing w:val="1"/>
              </w:rPr>
              <w:t>益林，光伏电池组</w:t>
            </w:r>
            <w:r>
              <w:t xml:space="preserve"> 件阵列已避让有林地、疏林地、未成林造林地、采伐迹地、火烧迹地，以</w:t>
            </w:r>
            <w:r>
              <w:rPr>
                <w:spacing w:val="18"/>
              </w:rPr>
              <w:t xml:space="preserve"> </w:t>
            </w:r>
            <w:r>
              <w:rPr>
                <w:spacing w:val="1"/>
              </w:rPr>
              <w:t>及年降雨量400毫米以下区域覆盖高度高于30%和年降雨量400毫米以上区</w:t>
            </w:r>
            <w:r>
              <w:t xml:space="preserve">  域(陆良县年降雨量855.1mm)覆盖度高于50%的灌木林地。</w:t>
            </w:r>
          </w:p>
          <w:p w14:paraId="47248D11">
            <w:pPr>
              <w:pStyle w:val="6"/>
              <w:spacing w:before="1" w:line="394" w:lineRule="auto"/>
              <w:ind w:left="40" w:right="694" w:firstLine="489"/>
            </w:pPr>
            <w:r>
              <w:t>项目所涉及使用的林地符合国家和云南省关于光伏电站建设使用林</w:t>
            </w:r>
            <w:r>
              <w:rPr>
                <w:spacing w:val="3"/>
              </w:rPr>
              <w:t xml:space="preserve">  </w:t>
            </w:r>
            <w:r>
              <w:t>地规定要求。项目涉及的乔木林地为用材林和经济林，不涉及天然林</w:t>
            </w:r>
            <w:r>
              <w:rPr>
                <w:spacing w:val="-1"/>
              </w:rPr>
              <w:t>地。</w:t>
            </w:r>
          </w:p>
          <w:p w14:paraId="1AEEAFF2">
            <w:pPr>
              <w:pStyle w:val="6"/>
              <w:spacing w:before="1" w:line="380" w:lineRule="auto"/>
              <w:ind w:left="60" w:right="625" w:firstLine="489"/>
            </w:pPr>
            <w:r>
              <w:t>本项目施工过程中将严格按照《云南省林业</w:t>
            </w:r>
            <w:r>
              <w:rPr>
                <w:spacing w:val="-1"/>
              </w:rPr>
              <w:t>和草原局云南省能源局关</w:t>
            </w:r>
            <w:r>
              <w:t xml:space="preserve"> </w:t>
            </w:r>
            <w:r>
              <w:rPr>
                <w:spacing w:val="1"/>
              </w:rPr>
              <w:t>于进一步规范光伏复合项目使用林草地有关事项的通知》(云林规〔2021)</w:t>
            </w:r>
          </w:p>
        </w:tc>
      </w:tr>
    </w:tbl>
    <w:p w14:paraId="156B5B0F">
      <w:pPr>
        <w:pStyle w:val="2"/>
      </w:pPr>
    </w:p>
    <w:p w14:paraId="35D74AC7">
      <w:pPr>
        <w:sectPr>
          <w:footerReference r:id="rId17" w:type="default"/>
          <w:pgSz w:w="11910" w:h="16830"/>
          <w:pgMar w:top="400" w:right="1465" w:bottom="1224" w:left="1415" w:header="0" w:footer="1089" w:gutter="0"/>
          <w:cols w:space="720" w:num="1"/>
        </w:sectPr>
      </w:pPr>
    </w:p>
    <w:p w14:paraId="70289493">
      <w:pPr>
        <w:spacing w:before="18"/>
      </w:pPr>
    </w:p>
    <w:p w14:paraId="5C030A6B">
      <w:pPr>
        <w:spacing w:before="18"/>
      </w:pPr>
    </w:p>
    <w:p w14:paraId="6AE2BDB8">
      <w:pPr>
        <w:spacing w:before="17"/>
      </w:pPr>
    </w:p>
    <w:p w14:paraId="1BEA7513">
      <w:pPr>
        <w:spacing w:before="17"/>
      </w:pPr>
    </w:p>
    <w:p w14:paraId="41319100">
      <w:pPr>
        <w:spacing w:before="17"/>
      </w:pPr>
    </w:p>
    <w:tbl>
      <w:tblPr>
        <w:tblStyle w:val="5"/>
        <w:tblW w:w="904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7830"/>
      </w:tblGrid>
      <w:tr w14:paraId="6D42B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00" w:hRule="atLeast"/>
        </w:trPr>
        <w:tc>
          <w:tcPr>
            <w:tcW w:w="1213" w:type="dxa"/>
            <w:vAlign w:val="top"/>
          </w:tcPr>
          <w:p w14:paraId="6CBB82AB">
            <w:pPr>
              <w:rPr>
                <w:rFonts w:ascii="Arial"/>
                <w:sz w:val="21"/>
              </w:rPr>
            </w:pPr>
          </w:p>
        </w:tc>
        <w:tc>
          <w:tcPr>
            <w:tcW w:w="7830" w:type="dxa"/>
            <w:vAlign w:val="top"/>
          </w:tcPr>
          <w:p w14:paraId="30C74340">
            <w:pPr>
              <w:pStyle w:val="6"/>
              <w:spacing w:before="34" w:line="219" w:lineRule="auto"/>
              <w:ind w:left="61"/>
              <w:rPr>
                <w:sz w:val="24"/>
                <w:szCs w:val="24"/>
              </w:rPr>
            </w:pPr>
            <w:r>
              <w:rPr>
                <w:spacing w:val="1"/>
                <w:sz w:val="24"/>
                <w:szCs w:val="24"/>
              </w:rPr>
              <w:t>5号)要求进行作业。施工期做好项目区原</w:t>
            </w:r>
            <w:r>
              <w:rPr>
                <w:sz w:val="24"/>
                <w:szCs w:val="24"/>
              </w:rPr>
              <w:t>生植被的保护，最大程度减少</w:t>
            </w:r>
          </w:p>
          <w:p w14:paraId="104D744B">
            <w:pPr>
              <w:pStyle w:val="6"/>
              <w:spacing w:before="182" w:line="358" w:lineRule="auto"/>
              <w:ind w:left="71" w:right="20"/>
              <w:rPr>
                <w:sz w:val="24"/>
                <w:szCs w:val="24"/>
              </w:rPr>
            </w:pPr>
            <w:r>
              <w:rPr>
                <w:sz w:val="24"/>
                <w:szCs w:val="24"/>
              </w:rPr>
              <w:t>对植被的破坏。施工车辆、设备、人员进场后应尽</w:t>
            </w:r>
            <w:r>
              <w:rPr>
                <w:spacing w:val="-1"/>
                <w:sz w:val="24"/>
                <w:szCs w:val="24"/>
              </w:rPr>
              <w:t>量不破坏原有土层和地</w:t>
            </w:r>
            <w:r>
              <w:rPr>
                <w:sz w:val="24"/>
                <w:szCs w:val="24"/>
              </w:rPr>
              <w:t xml:space="preserve"> 表植物，地埋电缆槽等确需对地表进行开挖的，施工单位应当严格按照设</w:t>
            </w:r>
            <w:r>
              <w:rPr>
                <w:spacing w:val="10"/>
                <w:sz w:val="24"/>
                <w:szCs w:val="24"/>
              </w:rPr>
              <w:t xml:space="preserve"> </w:t>
            </w:r>
            <w:r>
              <w:rPr>
                <w:spacing w:val="1"/>
                <w:sz w:val="24"/>
                <w:szCs w:val="24"/>
              </w:rPr>
              <w:t>计范围进行施工，施工结束后立即开展植被恢复工作，县级林草主管部门</w:t>
            </w:r>
            <w:r>
              <w:rPr>
                <w:spacing w:val="14"/>
                <w:sz w:val="24"/>
                <w:szCs w:val="24"/>
              </w:rPr>
              <w:t xml:space="preserve"> </w:t>
            </w:r>
            <w:r>
              <w:rPr>
                <w:spacing w:val="-1"/>
                <w:sz w:val="24"/>
                <w:szCs w:val="24"/>
              </w:rPr>
              <w:t>对恢复情况进行检查验收。</w:t>
            </w:r>
          </w:p>
          <w:p w14:paraId="3C19DF99">
            <w:pPr>
              <w:pStyle w:val="6"/>
              <w:spacing w:line="363" w:lineRule="auto"/>
              <w:ind w:left="61" w:firstLine="499"/>
              <w:rPr>
                <w:sz w:val="24"/>
                <w:szCs w:val="24"/>
              </w:rPr>
            </w:pPr>
            <w:r>
              <w:rPr>
                <w:spacing w:val="-2"/>
                <w:sz w:val="24"/>
                <w:szCs w:val="24"/>
              </w:rPr>
              <w:t>此外，本项目为草/光互补光伏项目，采用“板上发电、板下种草”的</w:t>
            </w:r>
            <w:r>
              <w:rPr>
                <w:sz w:val="24"/>
                <w:szCs w:val="24"/>
              </w:rPr>
              <w:t xml:space="preserve"> </w:t>
            </w:r>
            <w:r>
              <w:rPr>
                <w:spacing w:val="-1"/>
                <w:sz w:val="24"/>
                <w:szCs w:val="24"/>
              </w:rPr>
              <w:t>草地+光伏的复合利用模式，非纯地面光伏电站。</w:t>
            </w:r>
          </w:p>
          <w:p w14:paraId="6AA2730D">
            <w:pPr>
              <w:pStyle w:val="6"/>
              <w:spacing w:before="5" w:line="219" w:lineRule="auto"/>
              <w:ind w:left="561"/>
              <w:rPr>
                <w:sz w:val="24"/>
                <w:szCs w:val="24"/>
              </w:rPr>
            </w:pPr>
            <w:r>
              <w:rPr>
                <w:sz w:val="24"/>
                <w:szCs w:val="24"/>
              </w:rPr>
              <w:t>根据林业部门意见，截止到2024年8月，陆良县暂未划定基本草</w:t>
            </w:r>
            <w:r>
              <w:rPr>
                <w:spacing w:val="-1"/>
                <w:sz w:val="24"/>
                <w:szCs w:val="24"/>
              </w:rPr>
              <w:t>原，</w:t>
            </w:r>
          </w:p>
          <w:p w14:paraId="51D48693">
            <w:pPr>
              <w:pStyle w:val="6"/>
              <w:spacing w:before="178" w:line="361" w:lineRule="auto"/>
              <w:ind w:left="81" w:right="2" w:hanging="10"/>
              <w:rPr>
                <w:sz w:val="24"/>
                <w:szCs w:val="24"/>
              </w:rPr>
            </w:pPr>
            <w:r>
              <w:rPr>
                <w:sz w:val="24"/>
                <w:szCs w:val="24"/>
              </w:rPr>
              <w:t>项目实施过程中如涉及连片面积超过100亩草地的地块，需有县人民政府</w:t>
            </w:r>
            <w:r>
              <w:rPr>
                <w:spacing w:val="4"/>
                <w:sz w:val="24"/>
                <w:szCs w:val="24"/>
              </w:rPr>
              <w:t xml:space="preserve">  </w:t>
            </w:r>
            <w:r>
              <w:rPr>
                <w:spacing w:val="2"/>
                <w:sz w:val="24"/>
                <w:szCs w:val="24"/>
              </w:rPr>
              <w:t>出具同意使用的意见，方可使用。根据现场调查和</w:t>
            </w:r>
            <w:r>
              <w:rPr>
                <w:spacing w:val="1"/>
                <w:sz w:val="24"/>
                <w:szCs w:val="24"/>
              </w:rPr>
              <w:t>林业勘查报告，本项目</w:t>
            </w:r>
            <w:r>
              <w:rPr>
                <w:sz w:val="24"/>
                <w:szCs w:val="24"/>
              </w:rPr>
              <w:t xml:space="preserve"> 使用的林地，不涉及连片面积超过100亩草</w:t>
            </w:r>
            <w:r>
              <w:rPr>
                <w:spacing w:val="-1"/>
                <w:sz w:val="24"/>
                <w:szCs w:val="24"/>
              </w:rPr>
              <w:t>地。</w:t>
            </w:r>
          </w:p>
          <w:p w14:paraId="7F325A9A">
            <w:pPr>
              <w:pStyle w:val="6"/>
              <w:spacing w:before="1" w:line="358" w:lineRule="auto"/>
              <w:ind w:left="71" w:right="28" w:firstLine="509"/>
              <w:rPr>
                <w:sz w:val="24"/>
                <w:szCs w:val="24"/>
              </w:rPr>
            </w:pPr>
            <w:r>
              <w:rPr>
                <w:sz w:val="24"/>
                <w:szCs w:val="24"/>
              </w:rPr>
              <w:t>因此，本项目的建设符合《云南省林业和草原局云南省能源局关于进</w:t>
            </w:r>
            <w:r>
              <w:rPr>
                <w:spacing w:val="8"/>
                <w:sz w:val="24"/>
                <w:szCs w:val="24"/>
              </w:rPr>
              <w:t xml:space="preserve"> </w:t>
            </w:r>
            <w:r>
              <w:rPr>
                <w:sz w:val="24"/>
                <w:szCs w:val="24"/>
              </w:rPr>
              <w:t>一步规范光伏复合项目使用林草地有关事项的通知》(云林规【2021】5</w:t>
            </w:r>
          </w:p>
          <w:p w14:paraId="2592FE68">
            <w:pPr>
              <w:pStyle w:val="6"/>
              <w:spacing w:line="220" w:lineRule="auto"/>
              <w:ind w:left="81"/>
              <w:rPr>
                <w:sz w:val="24"/>
                <w:szCs w:val="24"/>
              </w:rPr>
            </w:pPr>
            <w:r>
              <w:rPr>
                <w:sz w:val="24"/>
                <w:szCs w:val="24"/>
              </w:rPr>
              <w:t>号)中的相关要求。</w:t>
            </w:r>
          </w:p>
          <w:p w14:paraId="0A867281">
            <w:pPr>
              <w:pStyle w:val="6"/>
              <w:spacing w:before="180" w:line="356" w:lineRule="auto"/>
              <w:ind w:left="75" w:right="182" w:hanging="10"/>
              <w:rPr>
                <w:sz w:val="24"/>
                <w:szCs w:val="24"/>
              </w:rPr>
            </w:pPr>
            <w:r>
              <w:rPr>
                <w:b/>
                <w:bCs/>
                <w:spacing w:val="-2"/>
                <w:sz w:val="24"/>
                <w:szCs w:val="24"/>
              </w:rPr>
              <w:t>4与《国家能源局关于支持光伏扶贫和规范光伏发电产业用</w:t>
            </w:r>
            <w:r>
              <w:rPr>
                <w:b/>
                <w:bCs/>
                <w:spacing w:val="-3"/>
                <w:sz w:val="24"/>
                <w:szCs w:val="24"/>
              </w:rPr>
              <w:t>地的意见》的</w:t>
            </w:r>
            <w:r>
              <w:rPr>
                <w:sz w:val="24"/>
                <w:szCs w:val="24"/>
              </w:rPr>
              <w:t xml:space="preserve"> </w:t>
            </w:r>
            <w:r>
              <w:rPr>
                <w:b/>
                <w:bCs/>
                <w:spacing w:val="-5"/>
                <w:sz w:val="24"/>
                <w:szCs w:val="24"/>
              </w:rPr>
              <w:t>符合性分析</w:t>
            </w:r>
          </w:p>
          <w:p w14:paraId="0742CECA">
            <w:pPr>
              <w:pStyle w:val="6"/>
              <w:spacing w:before="6" w:line="358" w:lineRule="auto"/>
              <w:ind w:left="101" w:right="282" w:firstLine="459"/>
              <w:rPr>
                <w:sz w:val="24"/>
                <w:szCs w:val="24"/>
              </w:rPr>
            </w:pPr>
            <w:r>
              <w:rPr>
                <w:sz w:val="24"/>
                <w:szCs w:val="24"/>
              </w:rPr>
              <w:t>根据《国家能源局关于支持光伏扶贫和规范光伏发电产业用地的意</w:t>
            </w:r>
            <w:r>
              <w:rPr>
                <w:spacing w:val="14"/>
                <w:sz w:val="24"/>
                <w:szCs w:val="24"/>
              </w:rPr>
              <w:t xml:space="preserve"> </w:t>
            </w:r>
            <w:r>
              <w:rPr>
                <w:sz w:val="24"/>
                <w:szCs w:val="24"/>
              </w:rPr>
              <w:t>见》(国土资规(2017)8号)要求，“各地应当依据国家光伏产业发展</w:t>
            </w:r>
          </w:p>
          <w:p w14:paraId="42C63822">
            <w:pPr>
              <w:pStyle w:val="6"/>
              <w:spacing w:before="1" w:line="362" w:lineRule="auto"/>
              <w:ind w:left="61" w:right="27"/>
              <w:jc w:val="both"/>
              <w:rPr>
                <w:sz w:val="24"/>
                <w:szCs w:val="24"/>
              </w:rPr>
            </w:pPr>
            <w:r>
              <w:rPr>
                <w:sz w:val="24"/>
                <w:szCs w:val="24"/>
              </w:rPr>
              <w:t>规划和本地区实际，加快编制本地区光伏发电规划，合理布局光伏发电建</w:t>
            </w:r>
            <w:r>
              <w:rPr>
                <w:spacing w:val="9"/>
                <w:sz w:val="24"/>
                <w:szCs w:val="24"/>
              </w:rPr>
              <w:t xml:space="preserve"> </w:t>
            </w:r>
            <w:r>
              <w:rPr>
                <w:spacing w:val="1"/>
                <w:sz w:val="24"/>
                <w:szCs w:val="24"/>
              </w:rPr>
              <w:t>设项目。光伏发电规划应符合土地利用总体规划等相关规划，可以利用未</w:t>
            </w:r>
            <w:r>
              <w:rPr>
                <w:spacing w:val="9"/>
                <w:sz w:val="24"/>
                <w:szCs w:val="24"/>
              </w:rPr>
              <w:t xml:space="preserve"> </w:t>
            </w:r>
            <w:r>
              <w:rPr>
                <w:sz w:val="24"/>
                <w:szCs w:val="24"/>
              </w:rPr>
              <w:t>利用地的，不得占用农用地；可以利用劣地的，不得占用好地。禁止以任</w:t>
            </w:r>
            <w:r>
              <w:rPr>
                <w:spacing w:val="9"/>
                <w:sz w:val="24"/>
                <w:szCs w:val="24"/>
              </w:rPr>
              <w:t xml:space="preserve"> </w:t>
            </w:r>
            <w:r>
              <w:rPr>
                <w:spacing w:val="1"/>
                <w:sz w:val="24"/>
                <w:szCs w:val="24"/>
              </w:rPr>
              <w:t>何方式占用永久基本农田，严禁在国家相关法律法规和规划明确禁止的区</w:t>
            </w:r>
            <w:r>
              <w:rPr>
                <w:spacing w:val="17"/>
                <w:sz w:val="24"/>
                <w:szCs w:val="24"/>
              </w:rPr>
              <w:t xml:space="preserve"> </w:t>
            </w:r>
            <w:r>
              <w:rPr>
                <w:sz w:val="24"/>
                <w:szCs w:val="24"/>
              </w:rPr>
              <w:t>域发展光伏发电项目”。</w:t>
            </w:r>
          </w:p>
          <w:p w14:paraId="762F4507">
            <w:pPr>
              <w:pStyle w:val="6"/>
              <w:spacing w:before="6" w:line="354" w:lineRule="auto"/>
              <w:ind w:left="81" w:firstLine="459"/>
              <w:rPr>
                <w:sz w:val="24"/>
                <w:szCs w:val="24"/>
              </w:rPr>
            </w:pPr>
            <w:r>
              <w:rPr>
                <w:spacing w:val="2"/>
                <w:sz w:val="24"/>
                <w:szCs w:val="24"/>
              </w:rPr>
              <w:t>“对使用永久基本农田以外的农用地开展光伏复合项目建设的，省级</w:t>
            </w:r>
            <w:r>
              <w:rPr>
                <w:spacing w:val="17"/>
                <w:sz w:val="24"/>
                <w:szCs w:val="24"/>
              </w:rPr>
              <w:t xml:space="preserve"> </w:t>
            </w:r>
            <w:r>
              <w:rPr>
                <w:sz w:val="24"/>
                <w:szCs w:val="24"/>
              </w:rPr>
              <w:t>能源、国土资源主管部门商同级有关部门，在保障农用地可持续利用的前</w:t>
            </w:r>
            <w:r>
              <w:rPr>
                <w:spacing w:val="4"/>
                <w:sz w:val="24"/>
                <w:szCs w:val="24"/>
              </w:rPr>
              <w:t xml:space="preserve"> 提下，研究提出本地区光伏复合项目建设要求(含光伏方阵</w:t>
            </w:r>
            <w:r>
              <w:rPr>
                <w:spacing w:val="3"/>
                <w:sz w:val="24"/>
                <w:szCs w:val="24"/>
              </w:rPr>
              <w:t>架设高度)、</w:t>
            </w:r>
          </w:p>
          <w:p w14:paraId="367E913C">
            <w:pPr>
              <w:pStyle w:val="6"/>
              <w:spacing w:line="348" w:lineRule="auto"/>
              <w:ind w:left="91" w:right="35"/>
              <w:rPr>
                <w:sz w:val="24"/>
                <w:szCs w:val="24"/>
              </w:rPr>
            </w:pPr>
            <w:r>
              <w:rPr>
                <w:sz w:val="24"/>
                <w:szCs w:val="24"/>
              </w:rPr>
              <w:t>认定标准，并明确监管措施，避免对农业生产造成影响。其中对于使用永</w:t>
            </w:r>
            <w:r>
              <w:rPr>
                <w:spacing w:val="11"/>
                <w:sz w:val="24"/>
                <w:szCs w:val="24"/>
              </w:rPr>
              <w:t xml:space="preserve"> </w:t>
            </w:r>
            <w:r>
              <w:rPr>
                <w:sz w:val="24"/>
                <w:szCs w:val="24"/>
              </w:rPr>
              <w:t>久基本农田以外的耕地布设光伏方阵的情形，应当从严提出要求，除桩基</w:t>
            </w:r>
          </w:p>
        </w:tc>
      </w:tr>
    </w:tbl>
    <w:p w14:paraId="6619550E">
      <w:pPr>
        <w:pStyle w:val="2"/>
      </w:pPr>
    </w:p>
    <w:p w14:paraId="7ED74779">
      <w:pPr>
        <w:sectPr>
          <w:footerReference r:id="rId18" w:type="default"/>
          <w:pgSz w:w="11910" w:h="16830"/>
          <w:pgMar w:top="400" w:right="1441" w:bottom="1245" w:left="1415" w:header="0" w:footer="1083" w:gutter="0"/>
          <w:cols w:space="720" w:num="1"/>
        </w:sectPr>
      </w:pPr>
    </w:p>
    <w:p w14:paraId="2FC52850">
      <w:pPr>
        <w:spacing w:before="18"/>
      </w:pPr>
    </w:p>
    <w:p w14:paraId="1E6599C0">
      <w:pPr>
        <w:spacing w:before="18"/>
      </w:pPr>
    </w:p>
    <w:p w14:paraId="5391092A">
      <w:pPr>
        <w:spacing w:before="17"/>
      </w:pPr>
    </w:p>
    <w:p w14:paraId="3828F308">
      <w:pPr>
        <w:spacing w:before="17"/>
      </w:pPr>
    </w:p>
    <w:p w14:paraId="4DD9C33C">
      <w:pPr>
        <w:spacing w:before="17"/>
      </w:pPr>
    </w:p>
    <w:tbl>
      <w:tblPr>
        <w:tblStyle w:val="5"/>
        <w:tblW w:w="904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3"/>
        <w:gridCol w:w="7825"/>
      </w:tblGrid>
      <w:tr w14:paraId="39EDC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8" w:hRule="atLeast"/>
        </w:trPr>
        <w:tc>
          <w:tcPr>
            <w:tcW w:w="1223" w:type="dxa"/>
            <w:vMerge w:val="restart"/>
            <w:tcBorders>
              <w:bottom w:val="nil"/>
            </w:tcBorders>
            <w:vAlign w:val="top"/>
          </w:tcPr>
          <w:p w14:paraId="3E5A4AA3">
            <w:pPr>
              <w:rPr>
                <w:rFonts w:ascii="Arial"/>
                <w:sz w:val="21"/>
              </w:rPr>
            </w:pPr>
          </w:p>
        </w:tc>
        <w:tc>
          <w:tcPr>
            <w:tcW w:w="7825" w:type="dxa"/>
            <w:tcBorders>
              <w:bottom w:val="nil"/>
            </w:tcBorders>
            <w:vAlign w:val="top"/>
          </w:tcPr>
          <w:p w14:paraId="475E3850">
            <w:pPr>
              <w:pStyle w:val="6"/>
              <w:spacing w:before="32" w:line="375" w:lineRule="auto"/>
              <w:ind w:left="41" w:right="297" w:firstLine="20"/>
              <w:jc w:val="both"/>
              <w:rPr>
                <w:sz w:val="23"/>
                <w:szCs w:val="23"/>
              </w:rPr>
            </w:pPr>
            <w:r>
              <w:rPr>
                <w:sz w:val="23"/>
                <w:szCs w:val="23"/>
              </w:rPr>
              <w:t>用地外，严禁硬化地面、破坏耕作层，严禁抛荒、撂荒”。“对于符合本</w:t>
            </w:r>
            <w:r>
              <w:rPr>
                <w:spacing w:val="9"/>
                <w:sz w:val="23"/>
                <w:szCs w:val="23"/>
              </w:rPr>
              <w:t xml:space="preserve"> </w:t>
            </w:r>
            <w:r>
              <w:rPr>
                <w:spacing w:val="3"/>
                <w:sz w:val="23"/>
                <w:szCs w:val="23"/>
              </w:rPr>
              <w:t>地区光伏复合项目建设要求和认定标准的项目，变电站及运行管理中心、</w:t>
            </w:r>
            <w:r>
              <w:rPr>
                <w:spacing w:val="18"/>
                <w:sz w:val="23"/>
                <w:szCs w:val="23"/>
              </w:rPr>
              <w:t xml:space="preserve"> </w:t>
            </w:r>
            <w:r>
              <w:rPr>
                <w:spacing w:val="2"/>
                <w:sz w:val="23"/>
                <w:szCs w:val="23"/>
              </w:rPr>
              <w:t>集电线路杆塔基础用地按建设用地管理，依法办</w:t>
            </w:r>
            <w:r>
              <w:rPr>
                <w:spacing w:val="1"/>
                <w:sz w:val="23"/>
                <w:szCs w:val="23"/>
              </w:rPr>
              <w:t>理建设用地审批手续；场</w:t>
            </w:r>
            <w:r>
              <w:rPr>
                <w:sz w:val="23"/>
                <w:szCs w:val="23"/>
              </w:rPr>
              <w:t xml:space="preserve"> </w:t>
            </w:r>
            <w:r>
              <w:rPr>
                <w:spacing w:val="2"/>
                <w:sz w:val="23"/>
                <w:szCs w:val="23"/>
              </w:rPr>
              <w:t>内道路用地可按农村道路用地管理；利用农用地布设的光伏</w:t>
            </w:r>
            <w:r>
              <w:rPr>
                <w:spacing w:val="1"/>
                <w:sz w:val="23"/>
                <w:szCs w:val="23"/>
              </w:rPr>
              <w:t>方阵可不改变</w:t>
            </w:r>
            <w:r>
              <w:rPr>
                <w:sz w:val="23"/>
                <w:szCs w:val="23"/>
              </w:rPr>
              <w:t xml:space="preserve"> </w:t>
            </w:r>
            <w:r>
              <w:rPr>
                <w:spacing w:val="1"/>
                <w:sz w:val="23"/>
                <w:szCs w:val="23"/>
              </w:rPr>
              <w:t>原用地性质；采用直埋电缆方式敷设的集电线路用地，实行与项目光伏方</w:t>
            </w:r>
            <w:r>
              <w:rPr>
                <w:spacing w:val="6"/>
                <w:sz w:val="23"/>
                <w:szCs w:val="23"/>
              </w:rPr>
              <w:t xml:space="preserve"> </w:t>
            </w:r>
            <w:r>
              <w:rPr>
                <w:sz w:val="23"/>
                <w:szCs w:val="23"/>
              </w:rPr>
              <w:t>阵用地同样的管理方式”。</w:t>
            </w:r>
          </w:p>
          <w:p w14:paraId="51A40DBE">
            <w:pPr>
              <w:pStyle w:val="6"/>
              <w:spacing w:before="4" w:line="376" w:lineRule="auto"/>
              <w:ind w:left="51" w:right="335" w:firstLine="503"/>
              <w:jc w:val="both"/>
              <w:rPr>
                <w:sz w:val="23"/>
                <w:szCs w:val="23"/>
              </w:rPr>
            </w:pPr>
            <w:r>
              <w:rPr>
                <w:b/>
                <w:bCs/>
                <w:sz w:val="23"/>
                <w:szCs w:val="23"/>
              </w:rPr>
              <w:t>符合性分析：</w:t>
            </w:r>
            <w:r>
              <w:rPr>
                <w:sz w:val="23"/>
                <w:szCs w:val="23"/>
              </w:rPr>
              <w:t>项目选址已经取得陆良县自然资源局意见，项目光伏用</w:t>
            </w:r>
            <w:r>
              <w:rPr>
                <w:spacing w:val="9"/>
                <w:sz w:val="23"/>
                <w:szCs w:val="23"/>
              </w:rPr>
              <w:t xml:space="preserve"> </w:t>
            </w:r>
            <w:r>
              <w:rPr>
                <w:sz w:val="23"/>
                <w:szCs w:val="23"/>
              </w:rPr>
              <w:t>地未占用基本农田和生态保护红线和耕地，35kV集</w:t>
            </w:r>
            <w:r>
              <w:rPr>
                <w:spacing w:val="-1"/>
                <w:sz w:val="23"/>
                <w:szCs w:val="23"/>
              </w:rPr>
              <w:t>电线路塔基未占用基本</w:t>
            </w:r>
            <w:r>
              <w:rPr>
                <w:sz w:val="23"/>
                <w:szCs w:val="23"/>
              </w:rPr>
              <w:t xml:space="preserve"> </w:t>
            </w:r>
            <w:r>
              <w:rPr>
                <w:spacing w:val="1"/>
                <w:sz w:val="23"/>
                <w:szCs w:val="23"/>
              </w:rPr>
              <w:t>农田和生态保护红线，未穿越生态保护红线。项目占地类型为草地和人工</w:t>
            </w:r>
            <w:r>
              <w:rPr>
                <w:sz w:val="23"/>
                <w:szCs w:val="23"/>
              </w:rPr>
              <w:t xml:space="preserve"> </w:t>
            </w:r>
            <w:r>
              <w:rPr>
                <w:spacing w:val="-1"/>
                <w:sz w:val="23"/>
                <w:szCs w:val="23"/>
              </w:rPr>
              <w:t>乔木林地、灌木林、交通运输用地、工矿用地等。</w:t>
            </w:r>
          </w:p>
          <w:p w14:paraId="6CEFD0C0">
            <w:pPr>
              <w:pStyle w:val="6"/>
              <w:spacing w:line="377" w:lineRule="auto"/>
              <w:ind w:left="81" w:right="18" w:firstLine="469"/>
              <w:rPr>
                <w:sz w:val="23"/>
                <w:szCs w:val="23"/>
              </w:rPr>
            </w:pPr>
            <w:r>
              <w:rPr>
                <w:spacing w:val="4"/>
                <w:sz w:val="23"/>
                <w:szCs w:val="23"/>
              </w:rPr>
              <w:t>项目在进行工程布置过程中均已对生态保护红</w:t>
            </w:r>
            <w:r>
              <w:rPr>
                <w:spacing w:val="3"/>
                <w:sz w:val="23"/>
                <w:szCs w:val="23"/>
              </w:rPr>
              <w:t>线、基本农田、公益林、</w:t>
            </w:r>
            <w:r>
              <w:rPr>
                <w:sz w:val="23"/>
                <w:szCs w:val="23"/>
              </w:rPr>
              <w:t xml:space="preserve"> 天然乔木林等敏感因素进行了避让，项目三区三线查询矢量已包含项目光</w:t>
            </w:r>
          </w:p>
          <w:p w14:paraId="16838608">
            <w:pPr>
              <w:pStyle w:val="6"/>
              <w:spacing w:before="1" w:line="373" w:lineRule="auto"/>
              <w:ind w:left="51" w:right="364" w:firstLine="20"/>
              <w:rPr>
                <w:sz w:val="23"/>
                <w:szCs w:val="23"/>
              </w:rPr>
            </w:pPr>
            <w:r>
              <w:rPr>
                <w:sz w:val="23"/>
                <w:szCs w:val="23"/>
              </w:rPr>
              <w:t>伏场区、升压站、架空集电线路塔基等永久占地及临时占地，根据其查询</w:t>
            </w:r>
            <w:r>
              <w:rPr>
                <w:spacing w:val="17"/>
                <w:sz w:val="23"/>
                <w:szCs w:val="23"/>
              </w:rPr>
              <w:t xml:space="preserve"> </w:t>
            </w:r>
            <w:r>
              <w:rPr>
                <w:sz w:val="23"/>
                <w:szCs w:val="23"/>
              </w:rPr>
              <w:t>结果，项目工程实际占地不涉及生态红线及基本农田，项目实际占地(含</w:t>
            </w:r>
            <w:r>
              <w:rPr>
                <w:spacing w:val="2"/>
                <w:sz w:val="23"/>
                <w:szCs w:val="23"/>
              </w:rPr>
              <w:t xml:space="preserve">  </w:t>
            </w:r>
            <w:r>
              <w:rPr>
                <w:sz w:val="23"/>
                <w:szCs w:val="23"/>
              </w:rPr>
              <w:t>永久工程(包含支架基础、箱变区、升压站、场内道路区)和临时工程(集</w:t>
            </w:r>
            <w:r>
              <w:rPr>
                <w:spacing w:val="9"/>
                <w:sz w:val="23"/>
                <w:szCs w:val="23"/>
              </w:rPr>
              <w:t xml:space="preserve">  </w:t>
            </w:r>
            <w:r>
              <w:rPr>
                <w:spacing w:val="1"/>
                <w:sz w:val="23"/>
                <w:szCs w:val="23"/>
              </w:rPr>
              <w:t>电线路区、施工临时场地及其他临时用地))均不涉及自然保护区、风景</w:t>
            </w:r>
          </w:p>
          <w:p w14:paraId="6C84A326">
            <w:pPr>
              <w:pStyle w:val="6"/>
              <w:spacing w:line="218" w:lineRule="auto"/>
              <w:ind w:left="71"/>
              <w:rPr>
                <w:sz w:val="23"/>
                <w:szCs w:val="23"/>
              </w:rPr>
            </w:pPr>
            <w:r>
              <w:rPr>
                <w:sz w:val="23"/>
                <w:szCs w:val="23"/>
              </w:rPr>
              <w:t>名胜区、生态保护红线、基本农田、公益林、天然乔木林等</w:t>
            </w:r>
            <w:r>
              <w:rPr>
                <w:spacing w:val="-1"/>
                <w:sz w:val="23"/>
                <w:szCs w:val="23"/>
              </w:rPr>
              <w:t>生态敏感区。</w:t>
            </w:r>
          </w:p>
        </w:tc>
      </w:tr>
      <w:tr w14:paraId="050F0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1" w:hRule="atLeast"/>
        </w:trPr>
        <w:tc>
          <w:tcPr>
            <w:tcW w:w="1223" w:type="dxa"/>
            <w:vMerge w:val="continue"/>
            <w:tcBorders>
              <w:top w:val="nil"/>
            </w:tcBorders>
            <w:vAlign w:val="top"/>
          </w:tcPr>
          <w:p w14:paraId="08455EF6">
            <w:pPr>
              <w:rPr>
                <w:rFonts w:ascii="Arial"/>
                <w:sz w:val="21"/>
              </w:rPr>
            </w:pPr>
          </w:p>
        </w:tc>
        <w:tc>
          <w:tcPr>
            <w:tcW w:w="7825" w:type="dxa"/>
            <w:tcBorders>
              <w:top w:val="nil"/>
            </w:tcBorders>
            <w:vAlign w:val="top"/>
          </w:tcPr>
          <w:p w14:paraId="279E6CBF">
            <w:pPr>
              <w:pStyle w:val="6"/>
              <w:spacing w:before="117" w:line="5100" w:lineRule="exact"/>
              <w:ind w:firstLine="111"/>
            </w:pPr>
            <w:r>
              <w:rPr>
                <w:position w:val="-101"/>
              </w:rPr>
              <w:pict>
                <v:group id="_x0000_s1044" o:spid="_x0000_s1044" o:spt="203" style="height:255pt;width:385.7pt;" coordsize="7714,5100">
                  <o:lock v:ext="edit"/>
                  <v:shape id="_x0000_s1045" o:spid="_x0000_s1045" o:spt="75" type="#_x0000_t75" style="position:absolute;left:0;top:0;height:5100;width:7540;" filled="f" stroked="f" coordsize="21600,21600">
                    <v:path/>
                    <v:fill on="f" focussize="0,0"/>
                    <v:stroke on="f"/>
                    <v:imagedata r:id="rId277" o:title=""/>
                    <o:lock v:ext="edit" aspectratio="t"/>
                  </v:shape>
                  <v:shape id="_x0000_s1046" o:spid="_x0000_s1046" o:spt="202" type="#_x0000_t202" style="position:absolute;left:-20;top:-20;height:5140;width:7754;" filled="f" stroked="f" coordsize="21600,21600">
                    <v:path/>
                    <v:fill on="f" focussize="0,0"/>
                    <v:stroke on="f"/>
                    <v:imagedata o:title=""/>
                    <o:lock v:ext="edit" aspectratio="f"/>
                    <v:textbox inset="0mm,0mm,0mm,0mm">
                      <w:txbxContent>
                        <w:p w14:paraId="4A257299">
                          <w:pPr>
                            <w:spacing w:before="39" w:line="191" w:lineRule="auto"/>
                            <w:ind w:left="60"/>
                            <w:rPr>
                              <w:rFonts w:ascii="宋体" w:hAnsi="宋体" w:eastAsia="宋体" w:cs="宋体"/>
                              <w:sz w:val="23"/>
                              <w:szCs w:val="23"/>
                            </w:rPr>
                          </w:pPr>
                          <w:r>
                            <w:rPr>
                              <w:rFonts w:ascii="宋体" w:hAnsi="宋体" w:eastAsia="宋体" w:cs="宋体"/>
                              <w:spacing w:val="-1"/>
                              <w:sz w:val="23"/>
                              <w:szCs w:val="23"/>
                            </w:rPr>
                            <w:t>普乐村保委员会</w:t>
                          </w:r>
                        </w:p>
                        <w:p w14:paraId="3541D51A">
                          <w:pPr>
                            <w:spacing w:line="218" w:lineRule="auto"/>
                            <w:jc w:val="right"/>
                            <w:rPr>
                              <w:rFonts w:ascii="宋体" w:hAnsi="宋体" w:eastAsia="宋体" w:cs="宋体"/>
                              <w:sz w:val="19"/>
                              <w:szCs w:val="19"/>
                            </w:rPr>
                          </w:pPr>
                          <w:r>
                            <w:rPr>
                              <w:rFonts w:ascii="宋体" w:hAnsi="宋体" w:eastAsia="宋体" w:cs="宋体"/>
                              <w:spacing w:val="-16"/>
                              <w:w w:val="91"/>
                              <w:sz w:val="19"/>
                              <w:szCs w:val="19"/>
                            </w:rPr>
                            <w:t>麻舍所村民委</w:t>
                          </w:r>
                          <w:r>
                            <w:rPr>
                              <w:rFonts w:ascii="宋体" w:hAnsi="宋体" w:eastAsia="宋体" w:cs="宋体"/>
                              <w:spacing w:val="-15"/>
                              <w:w w:val="91"/>
                              <w:sz w:val="19"/>
                              <w:szCs w:val="19"/>
                            </w:rPr>
                            <w:t>员</w:t>
                          </w:r>
                          <w:r>
                            <w:rPr>
                              <w:rFonts w:ascii="宋体" w:hAnsi="宋体" w:eastAsia="宋体" w:cs="宋体"/>
                              <w:color w:val="000040"/>
                              <w:spacing w:val="-9"/>
                              <w:w w:val="91"/>
                              <w:sz w:val="19"/>
                              <w:szCs w:val="19"/>
                            </w:rPr>
                            <w:t>会</w:t>
                          </w:r>
                        </w:p>
                        <w:p w14:paraId="3C4E5BDB">
                          <w:pPr>
                            <w:spacing w:line="299" w:lineRule="auto"/>
                            <w:rPr>
                              <w:rFonts w:ascii="Arial"/>
                              <w:sz w:val="21"/>
                            </w:rPr>
                          </w:pPr>
                        </w:p>
                        <w:p w14:paraId="5194E772">
                          <w:pPr>
                            <w:spacing w:before="75" w:line="219" w:lineRule="auto"/>
                            <w:ind w:left="4630"/>
                            <w:rPr>
                              <w:rFonts w:ascii="宋体" w:hAnsi="宋体" w:eastAsia="宋体" w:cs="宋体"/>
                              <w:sz w:val="23"/>
                              <w:szCs w:val="23"/>
                            </w:rPr>
                          </w:pPr>
                          <w:r>
                            <w:rPr>
                              <w:rFonts w:ascii="宋体" w:hAnsi="宋体" w:eastAsia="宋体" w:cs="宋体"/>
                              <w:sz w:val="23"/>
                              <w:szCs w:val="23"/>
                            </w:rPr>
                            <w:t>阿油铺社区居民委员会</w:t>
                          </w:r>
                        </w:p>
                        <w:p w14:paraId="317D065F">
                          <w:pPr>
                            <w:spacing w:line="350" w:lineRule="auto"/>
                            <w:rPr>
                              <w:rFonts w:ascii="Arial"/>
                              <w:sz w:val="21"/>
                            </w:rPr>
                          </w:pPr>
                        </w:p>
                        <w:p w14:paraId="3BA1AD35">
                          <w:pPr>
                            <w:spacing w:before="74" w:line="219" w:lineRule="auto"/>
                            <w:ind w:left="789"/>
                            <w:rPr>
                              <w:rFonts w:ascii="宋体" w:hAnsi="宋体" w:eastAsia="宋体" w:cs="宋体"/>
                              <w:sz w:val="23"/>
                              <w:szCs w:val="23"/>
                            </w:rPr>
                          </w:pPr>
                          <w:r>
                            <w:rPr>
                              <w:rFonts w:ascii="宋体" w:hAnsi="宋体" w:eastAsia="宋体" w:cs="宋体"/>
                              <w:spacing w:val="1"/>
                              <w:sz w:val="23"/>
                              <w:szCs w:val="23"/>
                            </w:rPr>
                            <w:t>发峨哨村民委员会</w:t>
                          </w:r>
                        </w:p>
                        <w:p w14:paraId="04837F60">
                          <w:pPr>
                            <w:spacing w:line="350" w:lineRule="auto"/>
                            <w:rPr>
                              <w:rFonts w:ascii="Arial"/>
                              <w:sz w:val="21"/>
                            </w:rPr>
                          </w:pPr>
                        </w:p>
                        <w:p w14:paraId="157CF9C3">
                          <w:pPr>
                            <w:spacing w:before="75" w:line="219" w:lineRule="auto"/>
                            <w:ind w:left="3529"/>
                            <w:rPr>
                              <w:rFonts w:ascii="宋体" w:hAnsi="宋体" w:eastAsia="宋体" w:cs="宋体"/>
                              <w:sz w:val="23"/>
                              <w:szCs w:val="23"/>
                            </w:rPr>
                          </w:pPr>
                          <w:r>
                            <w:rPr>
                              <w:rFonts w:ascii="宋体" w:hAnsi="宋体" w:eastAsia="宋体" w:cs="宋体"/>
                              <w:sz w:val="23"/>
                              <w:szCs w:val="23"/>
                            </w:rPr>
                            <w:t>大莫古社区居民委员会</w:t>
                          </w:r>
                        </w:p>
                        <w:p w14:paraId="01F1C305">
                          <w:pPr>
                            <w:spacing w:line="419" w:lineRule="auto"/>
                            <w:rPr>
                              <w:rFonts w:ascii="Arial"/>
                              <w:sz w:val="21"/>
                            </w:rPr>
                          </w:pPr>
                        </w:p>
                        <w:p w14:paraId="1BFC4C51">
                          <w:pPr>
                            <w:spacing w:before="75" w:line="219" w:lineRule="auto"/>
                            <w:ind w:left="6000"/>
                            <w:rPr>
                              <w:rFonts w:ascii="宋体" w:hAnsi="宋体" w:eastAsia="宋体" w:cs="宋体"/>
                              <w:sz w:val="23"/>
                              <w:szCs w:val="23"/>
                            </w:rPr>
                          </w:pPr>
                          <w:r>
                            <w:rPr>
                              <w:rFonts w:ascii="宋体" w:hAnsi="宋体" w:eastAsia="宋体" w:cs="宋体"/>
                              <w:spacing w:val="1"/>
                              <w:sz w:val="23"/>
                              <w:szCs w:val="23"/>
                            </w:rPr>
                            <w:t>甘和村</w:t>
                          </w:r>
                          <w:r>
                            <w:rPr>
                              <w:rFonts w:ascii="宋体" w:hAnsi="宋体" w:eastAsia="宋体" w:cs="宋体"/>
                              <w:color w:val="002040"/>
                              <w:spacing w:val="1"/>
                              <w:sz w:val="23"/>
                              <w:szCs w:val="23"/>
                            </w:rPr>
                            <w:t>民委员会</w:t>
                          </w:r>
                        </w:p>
                        <w:p w14:paraId="0BBA705A">
                          <w:pPr>
                            <w:spacing w:before="117" w:line="192" w:lineRule="auto"/>
                            <w:ind w:left="2599"/>
                            <w:rPr>
                              <w:rFonts w:ascii="宋体" w:hAnsi="宋体" w:eastAsia="宋体" w:cs="宋体"/>
                              <w:sz w:val="23"/>
                              <w:szCs w:val="23"/>
                            </w:rPr>
                          </w:pPr>
                          <w:r>
                            <w:rPr>
                              <w:rFonts w:ascii="宋体" w:hAnsi="宋体" w:eastAsia="宋体" w:cs="宋体"/>
                              <w:color w:val="001030"/>
                              <w:spacing w:val="1"/>
                              <w:sz w:val="23"/>
                              <w:szCs w:val="23"/>
                            </w:rPr>
                            <w:t>大地村民委员会</w:t>
                          </w:r>
                        </w:p>
                        <w:p w14:paraId="730CAA9B">
                          <w:pPr>
                            <w:spacing w:before="1" w:line="263" w:lineRule="auto"/>
                            <w:ind w:left="6790" w:right="31" w:firstLine="109"/>
                            <w:rPr>
                              <w:rFonts w:ascii="宋体" w:hAnsi="宋体" w:eastAsia="宋体" w:cs="宋体"/>
                              <w:sz w:val="20"/>
                              <w:szCs w:val="20"/>
                            </w:rPr>
                          </w:pPr>
                          <w:r>
                            <w:rPr>
                              <w:rFonts w:ascii="宋体" w:hAnsi="宋体" w:eastAsia="宋体" w:cs="宋体"/>
                              <w:spacing w:val="-15"/>
                              <w:w w:val="94"/>
                              <w:sz w:val="19"/>
                              <w:szCs w:val="19"/>
                            </w:rPr>
                            <w:t>大石桥</w:t>
                          </w:r>
                          <w:r>
                            <w:rPr>
                              <w:rFonts w:ascii="宋体" w:hAnsi="宋体" w:eastAsia="宋体" w:cs="宋体"/>
                              <w:color w:val="204050"/>
                              <w:spacing w:val="-15"/>
                              <w:w w:val="94"/>
                              <w:sz w:val="19"/>
                              <w:szCs w:val="19"/>
                            </w:rPr>
                            <w:t>水库</w:t>
                          </w:r>
                          <w:r>
                            <w:rPr>
                              <w:rFonts w:ascii="宋体" w:hAnsi="宋体" w:eastAsia="宋体" w:cs="宋体"/>
                              <w:color w:val="204050"/>
                              <w:spacing w:val="2"/>
                              <w:sz w:val="19"/>
                              <w:szCs w:val="19"/>
                            </w:rPr>
                            <w:t xml:space="preserve"> </w:t>
                          </w:r>
                          <w:r>
                            <w:rPr>
                              <w:rFonts w:ascii="宋体" w:hAnsi="宋体" w:eastAsia="宋体" w:cs="宋体"/>
                              <w:color w:val="F01040"/>
                              <w:spacing w:val="-14"/>
                              <w:w w:val="92"/>
                              <w:sz w:val="20"/>
                              <w:szCs w:val="20"/>
                            </w:rPr>
                            <w:t>a</w:t>
                          </w:r>
                          <w:r>
                            <w:rPr>
                              <w:rFonts w:ascii="宋体" w:hAnsi="宋体" w:eastAsia="宋体" w:cs="宋体"/>
                              <w:spacing w:val="-14"/>
                              <w:w w:val="92"/>
                              <w:sz w:val="20"/>
                              <w:szCs w:val="20"/>
                            </w:rPr>
                            <w:t>大石桥水库</w:t>
                          </w:r>
                        </w:p>
                        <w:p w14:paraId="5595103C">
                          <w:pPr>
                            <w:spacing w:before="104" w:line="219" w:lineRule="auto"/>
                            <w:ind w:left="3000"/>
                            <w:rPr>
                              <w:rFonts w:ascii="宋体" w:hAnsi="宋体" w:eastAsia="宋体" w:cs="宋体"/>
                              <w:sz w:val="23"/>
                              <w:szCs w:val="23"/>
                            </w:rPr>
                          </w:pPr>
                          <w:r>
                            <w:rPr>
                              <w:rFonts w:ascii="宋体" w:hAnsi="宋体" w:eastAsia="宋体" w:cs="宋体"/>
                              <w:spacing w:val="-1"/>
                              <w:sz w:val="23"/>
                              <w:szCs w:val="23"/>
                            </w:rPr>
                            <w:t>新村社区居民委员会</w:t>
                          </w:r>
                        </w:p>
                      </w:txbxContent>
                    </v:textbox>
                  </v:shape>
                  <w10:wrap type="none"/>
                  <w10:anchorlock/>
                </v:group>
              </w:pict>
            </w:r>
          </w:p>
        </w:tc>
      </w:tr>
    </w:tbl>
    <w:p w14:paraId="323FED50">
      <w:pPr>
        <w:pStyle w:val="2"/>
      </w:pPr>
    </w:p>
    <w:p w14:paraId="17C6581B">
      <w:pPr>
        <w:sectPr>
          <w:footerReference r:id="rId19" w:type="default"/>
          <w:pgSz w:w="11910" w:h="16830"/>
          <w:pgMar w:top="400" w:right="1436" w:bottom="1243" w:left="1415" w:header="0" w:footer="1081" w:gutter="0"/>
          <w:cols w:space="720" w:num="1"/>
        </w:sectPr>
      </w:pPr>
    </w:p>
    <w:p w14:paraId="24BAE24E">
      <w:pPr>
        <w:spacing w:before="18"/>
      </w:pPr>
    </w:p>
    <w:p w14:paraId="1C3C4A02">
      <w:pPr>
        <w:spacing w:before="18"/>
      </w:pPr>
    </w:p>
    <w:p w14:paraId="7E8495C9">
      <w:pPr>
        <w:spacing w:before="17"/>
      </w:pPr>
    </w:p>
    <w:p w14:paraId="206D1C42">
      <w:pPr>
        <w:spacing w:before="17"/>
      </w:pPr>
    </w:p>
    <w:p w14:paraId="79DAE8D9">
      <w:pPr>
        <w:spacing w:before="17"/>
      </w:pPr>
    </w:p>
    <w:tbl>
      <w:tblPr>
        <w:tblStyle w:val="5"/>
        <w:tblW w:w="894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3"/>
        <w:gridCol w:w="270"/>
        <w:gridCol w:w="7443"/>
      </w:tblGrid>
      <w:tr w14:paraId="32E4B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4" w:hRule="atLeast"/>
        </w:trPr>
        <w:tc>
          <w:tcPr>
            <w:tcW w:w="1233" w:type="dxa"/>
            <w:vMerge w:val="restart"/>
            <w:tcBorders>
              <w:bottom w:val="nil"/>
            </w:tcBorders>
            <w:vAlign w:val="top"/>
          </w:tcPr>
          <w:p w14:paraId="267A7626">
            <w:pPr>
              <w:rPr>
                <w:rFonts w:ascii="Arial"/>
                <w:sz w:val="21"/>
              </w:rPr>
            </w:pPr>
          </w:p>
        </w:tc>
        <w:tc>
          <w:tcPr>
            <w:tcW w:w="7713" w:type="dxa"/>
            <w:gridSpan w:val="2"/>
            <w:vAlign w:val="top"/>
          </w:tcPr>
          <w:p w14:paraId="67C75E4B">
            <w:pPr>
              <w:pStyle w:val="6"/>
              <w:spacing w:before="29" w:line="219" w:lineRule="auto"/>
              <w:ind w:left="485"/>
              <w:rPr>
                <w:sz w:val="24"/>
                <w:szCs w:val="24"/>
              </w:rPr>
            </w:pPr>
            <w:r>
              <w:rPr>
                <w:b/>
                <w:bCs/>
                <w:spacing w:val="-2"/>
                <w:sz w:val="24"/>
                <w:szCs w:val="24"/>
              </w:rPr>
              <w:t>图1-1本项目与陆良县永久基本农田、生态保护红线位置</w:t>
            </w:r>
            <w:r>
              <w:rPr>
                <w:b/>
                <w:bCs/>
                <w:spacing w:val="-3"/>
                <w:sz w:val="24"/>
                <w:szCs w:val="24"/>
              </w:rPr>
              <w:t>关系图</w:t>
            </w:r>
          </w:p>
          <w:p w14:paraId="5EA07944">
            <w:pPr>
              <w:pStyle w:val="6"/>
              <w:spacing w:before="45" w:line="219" w:lineRule="auto"/>
              <w:ind w:left="2955"/>
              <w:rPr>
                <w:sz w:val="24"/>
                <w:szCs w:val="24"/>
              </w:rPr>
            </w:pPr>
            <w:r>
              <w:rPr>
                <w:b/>
                <w:bCs/>
                <w:spacing w:val="2"/>
                <w:sz w:val="24"/>
                <w:szCs w:val="24"/>
              </w:rPr>
              <w:t>(光伏区和升压站)</w:t>
            </w:r>
          </w:p>
        </w:tc>
      </w:tr>
      <w:tr w14:paraId="2827E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6" w:hRule="atLeast"/>
        </w:trPr>
        <w:tc>
          <w:tcPr>
            <w:tcW w:w="1233" w:type="dxa"/>
            <w:vMerge w:val="continue"/>
            <w:tcBorders>
              <w:top w:val="nil"/>
              <w:bottom w:val="nil"/>
            </w:tcBorders>
            <w:vAlign w:val="top"/>
          </w:tcPr>
          <w:p w14:paraId="5F40BEFB">
            <w:pPr>
              <w:rPr>
                <w:rFonts w:ascii="Arial"/>
                <w:sz w:val="21"/>
              </w:rPr>
            </w:pPr>
          </w:p>
        </w:tc>
        <w:tc>
          <w:tcPr>
            <w:tcW w:w="270" w:type="dxa"/>
            <w:vAlign w:val="top"/>
          </w:tcPr>
          <w:p w14:paraId="43183F10">
            <w:pPr>
              <w:rPr>
                <w:rFonts w:ascii="Arial"/>
                <w:sz w:val="21"/>
              </w:rPr>
            </w:pPr>
          </w:p>
        </w:tc>
        <w:tc>
          <w:tcPr>
            <w:tcW w:w="7443" w:type="dxa"/>
            <w:vAlign w:val="top"/>
          </w:tcPr>
          <w:p w14:paraId="0753C11E">
            <w:pPr>
              <w:spacing w:before="31" w:line="5080" w:lineRule="exact"/>
              <w:ind w:firstLine="91"/>
            </w:pPr>
            <w:r>
              <w:rPr>
                <w:position w:val="-101"/>
              </w:rPr>
              <w:drawing>
                <wp:inline distT="0" distB="0" distL="0" distR="0">
                  <wp:extent cx="4615815" cy="322516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278"/>
                          <a:stretch>
                            <a:fillRect/>
                          </a:stretch>
                        </pic:blipFill>
                        <pic:spPr>
                          <a:xfrm>
                            <a:off x="0" y="0"/>
                            <a:ext cx="4616439" cy="3225779"/>
                          </a:xfrm>
                          <a:prstGeom prst="rect">
                            <a:avLst/>
                          </a:prstGeom>
                        </pic:spPr>
                      </pic:pic>
                    </a:graphicData>
                  </a:graphic>
                </wp:inline>
              </w:drawing>
            </w:r>
          </w:p>
        </w:tc>
      </w:tr>
      <w:tr w14:paraId="523A9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0" w:hRule="atLeast"/>
        </w:trPr>
        <w:tc>
          <w:tcPr>
            <w:tcW w:w="1233" w:type="dxa"/>
            <w:vMerge w:val="continue"/>
            <w:tcBorders>
              <w:top w:val="nil"/>
            </w:tcBorders>
            <w:vAlign w:val="top"/>
          </w:tcPr>
          <w:p w14:paraId="48D474F3">
            <w:pPr>
              <w:rPr>
                <w:rFonts w:ascii="Arial"/>
                <w:sz w:val="21"/>
              </w:rPr>
            </w:pPr>
          </w:p>
        </w:tc>
        <w:tc>
          <w:tcPr>
            <w:tcW w:w="7713" w:type="dxa"/>
            <w:gridSpan w:val="2"/>
            <w:vAlign w:val="top"/>
          </w:tcPr>
          <w:p w14:paraId="03F0E936">
            <w:pPr>
              <w:pStyle w:val="6"/>
              <w:spacing w:before="111" w:line="243" w:lineRule="auto"/>
              <w:ind w:left="3794" w:right="331" w:hanging="3759"/>
              <w:rPr>
                <w:sz w:val="24"/>
                <w:szCs w:val="24"/>
              </w:rPr>
            </w:pPr>
            <w:r>
              <w:rPr>
                <w:b/>
                <w:bCs/>
                <w:spacing w:val="-2"/>
                <w:sz w:val="24"/>
                <w:szCs w:val="24"/>
              </w:rPr>
              <w:t>图1-2本项目(含集电线路)与陆良县生态保护红线及基本农田位</w:t>
            </w:r>
            <w:r>
              <w:rPr>
                <w:b/>
                <w:bCs/>
                <w:spacing w:val="-3"/>
                <w:sz w:val="24"/>
                <w:szCs w:val="24"/>
              </w:rPr>
              <w:t>置关系</w:t>
            </w:r>
            <w:r>
              <w:rPr>
                <w:sz w:val="24"/>
                <w:szCs w:val="24"/>
              </w:rPr>
              <w:t xml:space="preserve"> </w:t>
            </w:r>
            <w:r>
              <w:rPr>
                <w:b/>
                <w:bCs/>
                <w:spacing w:val="-3"/>
                <w:sz w:val="24"/>
                <w:szCs w:val="24"/>
              </w:rPr>
              <w:t>图</w:t>
            </w:r>
          </w:p>
          <w:p w14:paraId="0EE8C697">
            <w:pPr>
              <w:pStyle w:val="6"/>
              <w:spacing w:line="358" w:lineRule="auto"/>
              <w:ind w:left="31" w:firstLine="499"/>
              <w:rPr>
                <w:sz w:val="24"/>
                <w:szCs w:val="24"/>
              </w:rPr>
            </w:pPr>
            <w:r>
              <w:rPr>
                <w:spacing w:val="-5"/>
                <w:sz w:val="24"/>
                <w:szCs w:val="24"/>
              </w:rPr>
              <w:t>项目实施草/光互补，在光伏板区域下方发展草地种植，项目光伏组件</w:t>
            </w:r>
            <w:r>
              <w:rPr>
                <w:spacing w:val="4"/>
                <w:sz w:val="24"/>
                <w:szCs w:val="24"/>
              </w:rPr>
              <w:t xml:space="preserve"> </w:t>
            </w:r>
            <w:r>
              <w:rPr>
                <w:sz w:val="24"/>
                <w:szCs w:val="24"/>
              </w:rPr>
              <w:t>最低沿高于地面2.5m,桩基间列间距为4.0m、行间距大于6.5m;项目用地</w:t>
            </w:r>
          </w:p>
          <w:p w14:paraId="0A080D26">
            <w:pPr>
              <w:pStyle w:val="6"/>
              <w:spacing w:before="7" w:line="358" w:lineRule="auto"/>
              <w:ind w:left="11" w:firstLine="49"/>
              <w:rPr>
                <w:sz w:val="24"/>
                <w:szCs w:val="24"/>
              </w:rPr>
            </w:pPr>
            <w:r>
              <w:rPr>
                <w:spacing w:val="-1"/>
                <w:sz w:val="24"/>
                <w:szCs w:val="24"/>
              </w:rPr>
              <w:t>属于租用土地性质。本项目除桩基用地外，严禁硬化地</w:t>
            </w:r>
            <w:r>
              <w:rPr>
                <w:spacing w:val="-2"/>
                <w:sz w:val="24"/>
                <w:szCs w:val="24"/>
              </w:rPr>
              <w:t>面、破坏耕作层，</w:t>
            </w:r>
            <w:r>
              <w:rPr>
                <w:sz w:val="24"/>
                <w:szCs w:val="24"/>
              </w:rPr>
              <w:t xml:space="preserve"> </w:t>
            </w:r>
            <w:r>
              <w:rPr>
                <w:spacing w:val="-1"/>
                <w:sz w:val="24"/>
                <w:szCs w:val="24"/>
              </w:rPr>
              <w:t>严禁抛荒、捲荒。采用架空集电线线路方式，实行与项目光伏方阵用地同</w:t>
            </w:r>
            <w:r>
              <w:rPr>
                <w:spacing w:val="13"/>
                <w:sz w:val="24"/>
                <w:szCs w:val="24"/>
              </w:rPr>
              <w:t xml:space="preserve"> </w:t>
            </w:r>
            <w:r>
              <w:rPr>
                <w:spacing w:val="-2"/>
                <w:sz w:val="24"/>
                <w:szCs w:val="24"/>
              </w:rPr>
              <w:t>样的管理方式，不改变原有的用地性质，进场道路及场内道路按农村道路</w:t>
            </w:r>
            <w:r>
              <w:rPr>
                <w:spacing w:val="15"/>
                <w:sz w:val="24"/>
                <w:szCs w:val="24"/>
              </w:rPr>
              <w:t xml:space="preserve"> </w:t>
            </w:r>
            <w:r>
              <w:rPr>
                <w:spacing w:val="-1"/>
                <w:sz w:val="24"/>
                <w:szCs w:val="24"/>
              </w:rPr>
              <w:t>用地管理。升压站、集电线路杆塔基础等其他设施用地按建设用地管理。</w:t>
            </w:r>
            <w:r>
              <w:rPr>
                <w:spacing w:val="2"/>
                <w:sz w:val="24"/>
                <w:szCs w:val="24"/>
              </w:rPr>
              <w:t xml:space="preserve"> </w:t>
            </w:r>
            <w:r>
              <w:rPr>
                <w:spacing w:val="-1"/>
                <w:sz w:val="24"/>
                <w:szCs w:val="24"/>
              </w:rPr>
              <w:t>满足《云南省能源局关于进一步支持光伏扶贫和规范光伏发电产业用地的</w:t>
            </w:r>
            <w:r>
              <w:rPr>
                <w:spacing w:val="10"/>
                <w:sz w:val="24"/>
                <w:szCs w:val="24"/>
              </w:rPr>
              <w:t xml:space="preserve"> </w:t>
            </w:r>
            <w:r>
              <w:rPr>
                <w:spacing w:val="-1"/>
                <w:sz w:val="24"/>
                <w:szCs w:val="24"/>
              </w:rPr>
              <w:t>通知》(云自然资【2019】196号)的要求。</w:t>
            </w:r>
          </w:p>
          <w:p w14:paraId="68749443">
            <w:pPr>
              <w:pStyle w:val="6"/>
              <w:spacing w:before="1" w:line="356" w:lineRule="auto"/>
              <w:ind w:left="31" w:firstLine="479"/>
              <w:rPr>
                <w:sz w:val="24"/>
                <w:szCs w:val="24"/>
              </w:rPr>
            </w:pPr>
            <w:r>
              <w:rPr>
                <w:sz w:val="24"/>
                <w:szCs w:val="24"/>
              </w:rPr>
              <w:t>因此，项目建设用地符合《国家能源局关于支</w:t>
            </w:r>
            <w:r>
              <w:rPr>
                <w:spacing w:val="-1"/>
                <w:sz w:val="24"/>
                <w:szCs w:val="24"/>
              </w:rPr>
              <w:t>持光伏扶贫和规范光伏</w:t>
            </w:r>
            <w:r>
              <w:rPr>
                <w:sz w:val="24"/>
                <w:szCs w:val="24"/>
              </w:rPr>
              <w:t xml:space="preserve"> </w:t>
            </w:r>
            <w:r>
              <w:rPr>
                <w:spacing w:val="-1"/>
                <w:sz w:val="24"/>
                <w:szCs w:val="24"/>
              </w:rPr>
              <w:t>发电产业用地的意见》的要求。</w:t>
            </w:r>
          </w:p>
          <w:p w14:paraId="14B35CAC">
            <w:pPr>
              <w:pStyle w:val="6"/>
              <w:spacing w:before="10" w:line="355" w:lineRule="auto"/>
              <w:ind w:left="25" w:right="115" w:hanging="10"/>
              <w:rPr>
                <w:sz w:val="24"/>
                <w:szCs w:val="24"/>
              </w:rPr>
            </w:pPr>
            <w:r>
              <w:rPr>
                <w:b/>
                <w:bCs/>
                <w:spacing w:val="-2"/>
                <w:sz w:val="24"/>
                <w:szCs w:val="24"/>
              </w:rPr>
              <w:t>5与《云南省能源局关于进一步支持光伏扶贫和规范光伏发</w:t>
            </w:r>
            <w:r>
              <w:rPr>
                <w:b/>
                <w:bCs/>
                <w:spacing w:val="-3"/>
                <w:sz w:val="24"/>
                <w:szCs w:val="24"/>
              </w:rPr>
              <w:t>电产业用地的</w:t>
            </w:r>
            <w:r>
              <w:rPr>
                <w:sz w:val="24"/>
                <w:szCs w:val="24"/>
              </w:rPr>
              <w:t xml:space="preserve"> </w:t>
            </w:r>
            <w:r>
              <w:rPr>
                <w:b/>
                <w:bCs/>
                <w:spacing w:val="-4"/>
                <w:sz w:val="24"/>
                <w:szCs w:val="24"/>
              </w:rPr>
              <w:t>通知》的符合性</w:t>
            </w:r>
          </w:p>
          <w:p w14:paraId="0473B839">
            <w:pPr>
              <w:pStyle w:val="6"/>
              <w:spacing w:before="1" w:line="344" w:lineRule="auto"/>
              <w:ind w:left="11" w:right="2" w:firstLine="459"/>
              <w:rPr>
                <w:sz w:val="24"/>
                <w:szCs w:val="24"/>
              </w:rPr>
            </w:pPr>
            <w:r>
              <w:rPr>
                <w:spacing w:val="1"/>
                <w:sz w:val="24"/>
                <w:szCs w:val="24"/>
              </w:rPr>
              <w:t>根据《云南省能源局关于进一步支持光伏扶贫和规范光伏发电</w:t>
            </w:r>
            <w:r>
              <w:rPr>
                <w:sz w:val="24"/>
                <w:szCs w:val="24"/>
              </w:rPr>
              <w:t>产业用 地的通知》(云自然资【2019】196号),“对国土资</w:t>
            </w:r>
            <w:r>
              <w:rPr>
                <w:spacing w:val="-1"/>
                <w:sz w:val="24"/>
                <w:szCs w:val="24"/>
              </w:rPr>
              <w:t>规〔2017〕8号文件</w:t>
            </w:r>
          </w:p>
        </w:tc>
      </w:tr>
    </w:tbl>
    <w:p w14:paraId="63B6CA21">
      <w:pPr>
        <w:pStyle w:val="2"/>
      </w:pPr>
    </w:p>
    <w:p w14:paraId="644601B1">
      <w:pPr>
        <w:sectPr>
          <w:footerReference r:id="rId20" w:type="default"/>
          <w:pgSz w:w="11910" w:h="16830"/>
          <w:pgMar w:top="400" w:right="1538" w:bottom="1243" w:left="1415" w:header="0" w:footer="1081" w:gutter="0"/>
          <w:cols w:space="720" w:num="1"/>
        </w:sectPr>
      </w:pPr>
    </w:p>
    <w:p w14:paraId="052F5688">
      <w:pPr>
        <w:spacing w:before="18"/>
      </w:pPr>
    </w:p>
    <w:p w14:paraId="03BAEF9A">
      <w:pPr>
        <w:spacing w:before="18"/>
      </w:pPr>
    </w:p>
    <w:p w14:paraId="0F46E947">
      <w:pPr>
        <w:spacing w:before="17"/>
      </w:pPr>
    </w:p>
    <w:p w14:paraId="440DEFE5">
      <w:pPr>
        <w:spacing w:before="17"/>
      </w:pPr>
    </w:p>
    <w:p w14:paraId="328E2236">
      <w:pPr>
        <w:spacing w:before="17"/>
      </w:pPr>
    </w:p>
    <w:tbl>
      <w:tblPr>
        <w:tblStyle w:val="5"/>
        <w:tblW w:w="9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7826"/>
      </w:tblGrid>
      <w:tr w14:paraId="39048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00" w:hRule="atLeast"/>
        </w:trPr>
        <w:tc>
          <w:tcPr>
            <w:tcW w:w="1213" w:type="dxa"/>
            <w:vAlign w:val="top"/>
          </w:tcPr>
          <w:p w14:paraId="75ECD310">
            <w:pPr>
              <w:rPr>
                <w:rFonts w:ascii="Arial"/>
                <w:sz w:val="21"/>
              </w:rPr>
            </w:pPr>
          </w:p>
        </w:tc>
        <w:tc>
          <w:tcPr>
            <w:tcW w:w="7826" w:type="dxa"/>
            <w:vAlign w:val="top"/>
          </w:tcPr>
          <w:p w14:paraId="39AD8EAE">
            <w:pPr>
              <w:pStyle w:val="6"/>
              <w:spacing w:before="33" w:line="219" w:lineRule="auto"/>
              <w:ind w:left="61"/>
              <w:rPr>
                <w:sz w:val="24"/>
                <w:szCs w:val="24"/>
              </w:rPr>
            </w:pPr>
            <w:r>
              <w:rPr>
                <w:sz w:val="24"/>
                <w:szCs w:val="24"/>
              </w:rPr>
              <w:t>确定利用农用地复合建设的光伏发电项目(以下简称光伏复合项目)以外</w:t>
            </w:r>
          </w:p>
          <w:p w14:paraId="287E8FD7">
            <w:pPr>
              <w:pStyle w:val="6"/>
              <w:spacing w:before="185" w:line="219" w:lineRule="auto"/>
              <w:ind w:left="61"/>
              <w:rPr>
                <w:sz w:val="24"/>
                <w:szCs w:val="24"/>
              </w:rPr>
            </w:pPr>
            <w:r>
              <w:rPr>
                <w:sz w:val="24"/>
                <w:szCs w:val="24"/>
              </w:rPr>
              <w:t>的其他光伏发电项目用地，应严格执行国土资规〔2015〕5号文件规</w:t>
            </w:r>
            <w:r>
              <w:rPr>
                <w:spacing w:val="-1"/>
                <w:sz w:val="24"/>
                <w:szCs w:val="24"/>
              </w:rPr>
              <w:t>定，</w:t>
            </w:r>
          </w:p>
          <w:p w14:paraId="6E4A3482">
            <w:pPr>
              <w:pStyle w:val="6"/>
              <w:spacing w:before="185" w:line="360" w:lineRule="auto"/>
              <w:ind w:left="61" w:right="33" w:firstLine="30"/>
              <w:rPr>
                <w:sz w:val="24"/>
                <w:szCs w:val="24"/>
              </w:rPr>
            </w:pPr>
            <w:r>
              <w:rPr>
                <w:sz w:val="24"/>
                <w:szCs w:val="24"/>
              </w:rPr>
              <w:t>使用未利用地的，对不占压土地、不改变地表形态的光伏方阵用地部分可</w:t>
            </w:r>
            <w:r>
              <w:rPr>
                <w:spacing w:val="9"/>
                <w:sz w:val="24"/>
                <w:szCs w:val="24"/>
              </w:rPr>
              <w:t xml:space="preserve"> </w:t>
            </w:r>
            <w:r>
              <w:rPr>
                <w:sz w:val="24"/>
                <w:szCs w:val="24"/>
              </w:rPr>
              <w:t>按原地类认定，不改变土地用途，用地允许以租赁等方式取得，双方签订</w:t>
            </w:r>
            <w:r>
              <w:rPr>
                <w:spacing w:val="11"/>
                <w:sz w:val="24"/>
                <w:szCs w:val="24"/>
              </w:rPr>
              <w:t xml:space="preserve"> </w:t>
            </w:r>
            <w:r>
              <w:rPr>
                <w:sz w:val="24"/>
                <w:szCs w:val="24"/>
              </w:rPr>
              <w:t>好补偿协议，报当地县(市、区)自然资源主管部门备案；其他用地部分，</w:t>
            </w:r>
            <w:r>
              <w:rPr>
                <w:spacing w:val="8"/>
                <w:sz w:val="24"/>
                <w:szCs w:val="24"/>
              </w:rPr>
              <w:t xml:space="preserve"> </w:t>
            </w:r>
            <w:r>
              <w:rPr>
                <w:sz w:val="24"/>
                <w:szCs w:val="24"/>
              </w:rPr>
              <w:t xml:space="preserve">应依法办理建设用地审批手续；对建设占用农用地的，所有用地部分均应 </w:t>
            </w:r>
            <w:r>
              <w:rPr>
                <w:spacing w:val="1"/>
                <w:sz w:val="24"/>
                <w:szCs w:val="24"/>
              </w:rPr>
              <w:t>按建设用地管理。</w:t>
            </w:r>
          </w:p>
          <w:p w14:paraId="4E910CA1">
            <w:pPr>
              <w:pStyle w:val="6"/>
              <w:spacing w:before="7" w:line="359" w:lineRule="auto"/>
              <w:ind w:left="61" w:right="42" w:firstLine="499"/>
              <w:rPr>
                <w:sz w:val="24"/>
                <w:szCs w:val="24"/>
              </w:rPr>
            </w:pPr>
            <w:r>
              <w:rPr>
                <w:sz w:val="24"/>
                <w:szCs w:val="24"/>
              </w:rPr>
              <w:t>光伏复合项目指架设在一般耕地或其他农用地上的光伏方阵用地，满</w:t>
            </w:r>
            <w:r>
              <w:rPr>
                <w:spacing w:val="10"/>
                <w:sz w:val="24"/>
                <w:szCs w:val="24"/>
              </w:rPr>
              <w:t xml:space="preserve"> </w:t>
            </w:r>
            <w:r>
              <w:rPr>
                <w:spacing w:val="1"/>
                <w:sz w:val="24"/>
                <w:szCs w:val="24"/>
              </w:rPr>
              <w:t>足光伏组件最低沿高于地面2.5m、高于最高水位0.6m,桩基间列间</w:t>
            </w:r>
            <w:r>
              <w:rPr>
                <w:sz w:val="24"/>
                <w:szCs w:val="24"/>
              </w:rPr>
              <w:t>距大于  4m、行间距大于6.5m的架设要求，不破坏农业生产</w:t>
            </w:r>
            <w:r>
              <w:rPr>
                <w:spacing w:val="-1"/>
                <w:sz w:val="24"/>
                <w:szCs w:val="24"/>
              </w:rPr>
              <w:t>条件的可不改变原用地</w:t>
            </w:r>
            <w:r>
              <w:rPr>
                <w:sz w:val="24"/>
                <w:szCs w:val="24"/>
              </w:rPr>
              <w:t xml:space="preserve"> 性质，除桩基用地外，严禁硬化地面、破坏耕作层，严禁抛荒、撂荒。采</w:t>
            </w:r>
            <w:r>
              <w:rPr>
                <w:spacing w:val="9"/>
                <w:sz w:val="24"/>
                <w:szCs w:val="24"/>
              </w:rPr>
              <w:t xml:space="preserve"> </w:t>
            </w:r>
            <w:r>
              <w:rPr>
                <w:sz w:val="24"/>
                <w:szCs w:val="24"/>
              </w:rPr>
              <w:t>用直埋电缆方式敷设的集电线路用地，实行与项目光伏方阵用地同样的管</w:t>
            </w:r>
            <w:r>
              <w:rPr>
                <w:spacing w:val="12"/>
                <w:sz w:val="24"/>
                <w:szCs w:val="24"/>
              </w:rPr>
              <w:t xml:space="preserve"> </w:t>
            </w:r>
            <w:r>
              <w:rPr>
                <w:sz w:val="24"/>
                <w:szCs w:val="24"/>
              </w:rPr>
              <w:t>理方式，场内道路可按农村道路用地管理。变电站、运行管理中心、集电</w:t>
            </w:r>
            <w:r>
              <w:rPr>
                <w:spacing w:val="13"/>
                <w:sz w:val="24"/>
                <w:szCs w:val="24"/>
              </w:rPr>
              <w:t xml:space="preserve"> </w:t>
            </w:r>
            <w:r>
              <w:rPr>
                <w:spacing w:val="1"/>
                <w:sz w:val="24"/>
                <w:szCs w:val="24"/>
              </w:rPr>
              <w:t>线路杆塔基础等其他设施用地按建设用地管</w:t>
            </w:r>
            <w:r>
              <w:rPr>
                <w:sz w:val="24"/>
                <w:szCs w:val="24"/>
              </w:rPr>
              <w:t xml:space="preserve">理”。新建、改建和扩建地面 </w:t>
            </w:r>
            <w:r>
              <w:rPr>
                <w:spacing w:val="1"/>
                <w:sz w:val="24"/>
                <w:szCs w:val="24"/>
              </w:rPr>
              <w:t>光伏发电项目，按建设用地和未利用地管理的，应严格执行国土资规</w:t>
            </w:r>
          </w:p>
          <w:p w14:paraId="74AF9503">
            <w:pPr>
              <w:pStyle w:val="6"/>
              <w:spacing w:line="219" w:lineRule="auto"/>
              <w:ind w:left="82"/>
              <w:rPr>
                <w:sz w:val="24"/>
                <w:szCs w:val="24"/>
              </w:rPr>
            </w:pPr>
            <w:r>
              <w:rPr>
                <w:spacing w:val="5"/>
                <w:sz w:val="24"/>
                <w:szCs w:val="24"/>
              </w:rPr>
              <w:t>〔2015〕11号文件要求，合理利用土地。</w:t>
            </w:r>
          </w:p>
          <w:p w14:paraId="6C96D96B">
            <w:pPr>
              <w:pStyle w:val="6"/>
              <w:spacing w:before="170" w:line="362" w:lineRule="auto"/>
              <w:ind w:left="71" w:right="32" w:firstLine="489"/>
              <w:jc w:val="both"/>
              <w:rPr>
                <w:sz w:val="24"/>
                <w:szCs w:val="24"/>
              </w:rPr>
            </w:pPr>
            <w:r>
              <w:rPr>
                <w:sz w:val="24"/>
                <w:szCs w:val="24"/>
              </w:rPr>
              <w:t>光伏发电项目用地中按农用地、未利用地管理的，除桩基用地外，场</w:t>
            </w:r>
            <w:r>
              <w:rPr>
                <w:spacing w:val="13"/>
                <w:sz w:val="24"/>
                <w:szCs w:val="24"/>
              </w:rPr>
              <w:t xml:space="preserve"> </w:t>
            </w:r>
            <w:r>
              <w:rPr>
                <w:spacing w:val="1"/>
                <w:sz w:val="24"/>
                <w:szCs w:val="24"/>
              </w:rPr>
              <w:t>内道路等功能分区用地不得硬化地面、破坏耕作层，否则，应</w:t>
            </w:r>
            <w:r>
              <w:rPr>
                <w:sz w:val="24"/>
                <w:szCs w:val="24"/>
              </w:rPr>
              <w:t xml:space="preserve">当依法办理 </w:t>
            </w:r>
            <w:r>
              <w:rPr>
                <w:spacing w:val="1"/>
                <w:sz w:val="24"/>
                <w:szCs w:val="24"/>
              </w:rPr>
              <w:t>建设用地审批手续，未办理审批手续的，按违法用地依法查处。对于</w:t>
            </w:r>
            <w:r>
              <w:rPr>
                <w:sz w:val="24"/>
                <w:szCs w:val="24"/>
              </w:rPr>
              <w:t>布设 后未能并网发电的光伏方阵，由项目所在地能源主管部门清理。光伏方阵</w:t>
            </w:r>
            <w:r>
              <w:rPr>
                <w:spacing w:val="9"/>
                <w:sz w:val="24"/>
                <w:szCs w:val="24"/>
              </w:rPr>
              <w:t xml:space="preserve"> </w:t>
            </w:r>
            <w:r>
              <w:rPr>
                <w:sz w:val="24"/>
                <w:szCs w:val="24"/>
              </w:rPr>
              <w:t>用地按农用地、未利用地管理的项目退出时，未按规定恢复原状的，由项</w:t>
            </w:r>
            <w:r>
              <w:rPr>
                <w:spacing w:val="13"/>
                <w:sz w:val="24"/>
                <w:szCs w:val="24"/>
              </w:rPr>
              <w:t xml:space="preserve"> </w:t>
            </w:r>
            <w:r>
              <w:rPr>
                <w:spacing w:val="2"/>
                <w:sz w:val="24"/>
                <w:szCs w:val="24"/>
              </w:rPr>
              <w:t>目所在地能源主管部门责令整改到位”。</w:t>
            </w:r>
          </w:p>
          <w:p w14:paraId="3376E7F0">
            <w:pPr>
              <w:pStyle w:val="6"/>
              <w:spacing w:before="3" w:line="353" w:lineRule="auto"/>
              <w:ind w:left="71" w:firstLine="492"/>
              <w:jc w:val="both"/>
              <w:rPr>
                <w:sz w:val="24"/>
                <w:szCs w:val="24"/>
              </w:rPr>
            </w:pPr>
            <w:r>
              <w:rPr>
                <w:spacing w:val="-10"/>
                <w:sz w:val="24"/>
                <w:szCs w:val="24"/>
              </w:rPr>
              <w:t>本项为光伏复合项目，实行草/光互补，项目光伏场区不占用基本农田、</w:t>
            </w:r>
            <w:r>
              <w:rPr>
                <w:spacing w:val="10"/>
                <w:sz w:val="24"/>
                <w:szCs w:val="24"/>
              </w:rPr>
              <w:t xml:space="preserve"> </w:t>
            </w:r>
            <w:r>
              <w:rPr>
                <w:spacing w:val="-3"/>
                <w:sz w:val="24"/>
                <w:szCs w:val="24"/>
              </w:rPr>
              <w:t>耕地，建设单位拟于项目光伏板区域下方发展草地种植，提高了对原有土</w:t>
            </w:r>
            <w:r>
              <w:rPr>
                <w:spacing w:val="6"/>
                <w:sz w:val="24"/>
                <w:szCs w:val="24"/>
              </w:rPr>
              <w:t xml:space="preserve">  </w:t>
            </w:r>
            <w:r>
              <w:rPr>
                <w:spacing w:val="-3"/>
                <w:sz w:val="24"/>
                <w:szCs w:val="24"/>
              </w:rPr>
              <w:t>地资源的开发和利用，将草地种植同光伏发电二者进行立</w:t>
            </w:r>
            <w:r>
              <w:rPr>
                <w:spacing w:val="-4"/>
                <w:sz w:val="24"/>
                <w:szCs w:val="24"/>
              </w:rPr>
              <w:t>体结合、科学布</w:t>
            </w:r>
            <w:r>
              <w:rPr>
                <w:sz w:val="24"/>
                <w:szCs w:val="24"/>
              </w:rPr>
              <w:t xml:space="preserve">  </w:t>
            </w:r>
            <w:r>
              <w:rPr>
                <w:spacing w:val="-2"/>
                <w:sz w:val="24"/>
                <w:szCs w:val="24"/>
              </w:rPr>
              <w:t>置，做到上层光伏发电，下层可以从事草地</w:t>
            </w:r>
            <w:r>
              <w:rPr>
                <w:spacing w:val="-3"/>
                <w:sz w:val="24"/>
                <w:szCs w:val="24"/>
              </w:rPr>
              <w:t>种植的目的，极大提高土地利</w:t>
            </w:r>
            <w:r>
              <w:rPr>
                <w:sz w:val="24"/>
                <w:szCs w:val="24"/>
              </w:rPr>
              <w:t xml:space="preserve">  </w:t>
            </w:r>
            <w:r>
              <w:rPr>
                <w:spacing w:val="1"/>
                <w:sz w:val="24"/>
                <w:szCs w:val="24"/>
              </w:rPr>
              <w:t>用率，建设单位做到了土地的合理利用，项目用地符合国</w:t>
            </w:r>
            <w:r>
              <w:rPr>
                <w:sz w:val="24"/>
                <w:szCs w:val="24"/>
              </w:rPr>
              <w:t xml:space="preserve">土资规〔2015〕 </w:t>
            </w:r>
            <w:r>
              <w:rPr>
                <w:spacing w:val="-2"/>
                <w:sz w:val="24"/>
                <w:szCs w:val="24"/>
              </w:rPr>
              <w:t>11号文件要求；本工程太阳电池方阵支架</w:t>
            </w:r>
            <w:r>
              <w:rPr>
                <w:spacing w:val="-3"/>
                <w:sz w:val="24"/>
                <w:szCs w:val="24"/>
              </w:rPr>
              <w:t>采用单支柱斜顶支架方案，光伏</w:t>
            </w:r>
          </w:p>
        </w:tc>
      </w:tr>
    </w:tbl>
    <w:p w14:paraId="79FBBF9D">
      <w:pPr>
        <w:pStyle w:val="2"/>
      </w:pPr>
    </w:p>
    <w:p w14:paraId="25388FCD">
      <w:pPr>
        <w:sectPr>
          <w:footerReference r:id="rId21" w:type="default"/>
          <w:pgSz w:w="11910" w:h="16830"/>
          <w:pgMar w:top="400" w:right="1445" w:bottom="1245" w:left="1415" w:header="0" w:footer="1083" w:gutter="0"/>
          <w:cols w:space="720" w:num="1"/>
        </w:sectPr>
      </w:pPr>
    </w:p>
    <w:p w14:paraId="34CF94F5">
      <w:pPr>
        <w:spacing w:before="18"/>
      </w:pPr>
    </w:p>
    <w:p w14:paraId="12DCE044">
      <w:pPr>
        <w:spacing w:before="18"/>
      </w:pPr>
    </w:p>
    <w:p w14:paraId="3EB31EA6">
      <w:pPr>
        <w:spacing w:before="17"/>
      </w:pPr>
    </w:p>
    <w:p w14:paraId="430C847E">
      <w:pPr>
        <w:spacing w:before="17"/>
      </w:pPr>
    </w:p>
    <w:p w14:paraId="5F739ADA">
      <w:pPr>
        <w:spacing w:before="17"/>
      </w:pPr>
    </w:p>
    <w:tbl>
      <w:tblPr>
        <w:tblStyle w:val="5"/>
        <w:tblW w:w="89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4"/>
        <w:gridCol w:w="4485"/>
        <w:gridCol w:w="2437"/>
        <w:gridCol w:w="804"/>
      </w:tblGrid>
      <w:tr w14:paraId="02A48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0" w:hRule="atLeast"/>
        </w:trPr>
        <w:tc>
          <w:tcPr>
            <w:tcW w:w="1234" w:type="dxa"/>
            <w:vMerge w:val="restart"/>
            <w:tcBorders>
              <w:bottom w:val="nil"/>
            </w:tcBorders>
            <w:vAlign w:val="top"/>
          </w:tcPr>
          <w:p w14:paraId="0DBB7D25">
            <w:pPr>
              <w:rPr>
                <w:rFonts w:ascii="Arial"/>
                <w:sz w:val="21"/>
              </w:rPr>
            </w:pPr>
          </w:p>
        </w:tc>
        <w:tc>
          <w:tcPr>
            <w:tcW w:w="7726" w:type="dxa"/>
            <w:gridSpan w:val="3"/>
            <w:vAlign w:val="top"/>
          </w:tcPr>
          <w:p w14:paraId="6C2D30CE">
            <w:pPr>
              <w:pStyle w:val="6"/>
              <w:spacing w:before="32" w:line="392" w:lineRule="auto"/>
              <w:ind w:left="10" w:right="635"/>
            </w:pPr>
            <w:r>
              <w:t>组件最低沿高于地面2.5m,桩基间列间距为4m、行间距为6.5m的架设。项</w:t>
            </w:r>
            <w:r>
              <w:rPr>
                <w:spacing w:val="6"/>
              </w:rPr>
              <w:t xml:space="preserve">  </w:t>
            </w:r>
            <w:r>
              <w:t>目光伏区仅桩基用地进行硬化；光伏区场内道路路面为泥结碎石路面，不</w:t>
            </w:r>
            <w:r>
              <w:rPr>
                <w:spacing w:val="11"/>
              </w:rPr>
              <w:t xml:space="preserve"> </w:t>
            </w:r>
            <w:r>
              <w:rPr>
                <w:spacing w:val="1"/>
              </w:rPr>
              <w:t>对道路路面进行硬化；本项目集电线路采用地埋式</w:t>
            </w:r>
            <w:r>
              <w:t>敷设+架空线路，其中  方阵内部采用埋地电缆，方阵之间采用架空线路</w:t>
            </w:r>
            <w:r>
              <w:rPr>
                <w:spacing w:val="-1"/>
              </w:rPr>
              <w:t>。在项目服务期满后，将</w:t>
            </w:r>
            <w:r>
              <w:t xml:space="preserve"> </w:t>
            </w:r>
            <w:r>
              <w:rPr>
                <w:spacing w:val="1"/>
              </w:rPr>
              <w:t>对光伏阵列设备进行拆除，项目用地进行覆土复垦。本项目的建</w:t>
            </w:r>
            <w:r>
              <w:t xml:space="preserve">设取得了 </w:t>
            </w:r>
            <w:r>
              <w:rPr>
                <w:spacing w:val="1"/>
              </w:rPr>
              <w:t>当地自然资源主管部门备案文件。</w:t>
            </w:r>
          </w:p>
          <w:p w14:paraId="2151BB54">
            <w:pPr>
              <w:pStyle w:val="6"/>
              <w:spacing w:before="7" w:line="219" w:lineRule="auto"/>
              <w:ind w:left="480"/>
            </w:pPr>
            <w:r>
              <w:t>此外，本项目建设完成后发电将并入周边电网。</w:t>
            </w:r>
          </w:p>
          <w:p w14:paraId="26996D1B">
            <w:pPr>
              <w:pStyle w:val="6"/>
              <w:spacing w:before="209" w:line="391" w:lineRule="auto"/>
              <w:ind w:left="10" w:right="633" w:firstLine="460"/>
            </w:pPr>
            <w:r>
              <w:t>综上所述，本项目符合《云南省自然资源厅云南省能源局关于进一步</w:t>
            </w:r>
            <w:r>
              <w:rPr>
                <w:spacing w:val="10"/>
              </w:rPr>
              <w:t xml:space="preserve"> </w:t>
            </w:r>
            <w:r>
              <w:t>支持光伏扶贫和规范光伏发电产业用地的通知》(云自然资〔2019〕196</w:t>
            </w:r>
          </w:p>
          <w:p w14:paraId="7E19E3CC">
            <w:pPr>
              <w:pStyle w:val="6"/>
              <w:spacing w:line="220" w:lineRule="auto"/>
              <w:ind w:left="10"/>
            </w:pPr>
            <w:r>
              <w:t>号)的相关要求。</w:t>
            </w:r>
          </w:p>
          <w:p w14:paraId="5A763203">
            <w:pPr>
              <w:pStyle w:val="6"/>
              <w:spacing w:before="214" w:line="219" w:lineRule="auto"/>
              <w:ind w:left="14"/>
            </w:pPr>
            <w:r>
              <w:rPr>
                <w:b/>
                <w:bCs/>
                <w:spacing w:val="-3"/>
              </w:rPr>
              <w:t>6与《云南省产业用地政策实施工作指引(2022年版)》符合性分析</w:t>
            </w:r>
          </w:p>
          <w:p w14:paraId="452FD2A0">
            <w:pPr>
              <w:pStyle w:val="6"/>
              <w:spacing w:before="199" w:line="219" w:lineRule="auto"/>
              <w:ind w:left="34"/>
            </w:pPr>
            <w:r>
              <w:rPr>
                <w:b/>
                <w:bCs/>
                <w:spacing w:val="-3"/>
              </w:rPr>
              <w:t>表1-5与云南省产业用地政策实施工作指引(2022年版)的符合性分析</w:t>
            </w:r>
          </w:p>
        </w:tc>
      </w:tr>
      <w:tr w14:paraId="6B4ED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234" w:type="dxa"/>
            <w:vMerge w:val="continue"/>
            <w:tcBorders>
              <w:top w:val="nil"/>
              <w:bottom w:val="nil"/>
            </w:tcBorders>
            <w:vAlign w:val="top"/>
          </w:tcPr>
          <w:p w14:paraId="36EDC0A2">
            <w:pPr>
              <w:rPr>
                <w:rFonts w:ascii="Arial"/>
                <w:sz w:val="21"/>
              </w:rPr>
            </w:pPr>
          </w:p>
        </w:tc>
        <w:tc>
          <w:tcPr>
            <w:tcW w:w="4485" w:type="dxa"/>
            <w:vAlign w:val="top"/>
          </w:tcPr>
          <w:p w14:paraId="775D2CBF">
            <w:pPr>
              <w:pStyle w:val="6"/>
              <w:spacing w:before="42" w:line="208" w:lineRule="auto"/>
              <w:ind w:left="2014"/>
            </w:pPr>
            <w:r>
              <w:rPr>
                <w:b/>
                <w:bCs/>
                <w:spacing w:val="-5"/>
              </w:rPr>
              <w:t>要求</w:t>
            </w:r>
          </w:p>
        </w:tc>
        <w:tc>
          <w:tcPr>
            <w:tcW w:w="2437" w:type="dxa"/>
            <w:vAlign w:val="top"/>
          </w:tcPr>
          <w:p w14:paraId="49BF7183">
            <w:pPr>
              <w:pStyle w:val="6"/>
              <w:spacing w:before="40" w:line="209" w:lineRule="auto"/>
              <w:ind w:left="779"/>
            </w:pPr>
            <w:r>
              <w:rPr>
                <w:b/>
                <w:bCs/>
                <w:spacing w:val="-5"/>
              </w:rPr>
              <w:t>项目情况</w:t>
            </w:r>
          </w:p>
        </w:tc>
        <w:tc>
          <w:tcPr>
            <w:tcW w:w="804" w:type="dxa"/>
            <w:vAlign w:val="top"/>
          </w:tcPr>
          <w:p w14:paraId="4C06D93B">
            <w:pPr>
              <w:pStyle w:val="6"/>
              <w:spacing w:before="40" w:line="209" w:lineRule="auto"/>
              <w:ind w:left="72"/>
            </w:pPr>
            <w:r>
              <w:rPr>
                <w:b/>
                <w:bCs/>
                <w:spacing w:val="-5"/>
              </w:rPr>
              <w:t>符合性</w:t>
            </w:r>
          </w:p>
        </w:tc>
      </w:tr>
      <w:tr w14:paraId="3E070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6" w:hRule="atLeast"/>
        </w:trPr>
        <w:tc>
          <w:tcPr>
            <w:tcW w:w="1234" w:type="dxa"/>
            <w:vMerge w:val="continue"/>
            <w:tcBorders>
              <w:top w:val="nil"/>
              <w:bottom w:val="nil"/>
            </w:tcBorders>
            <w:vAlign w:val="top"/>
          </w:tcPr>
          <w:p w14:paraId="3F133341">
            <w:pPr>
              <w:rPr>
                <w:rFonts w:ascii="Arial"/>
                <w:sz w:val="21"/>
              </w:rPr>
            </w:pPr>
          </w:p>
        </w:tc>
        <w:tc>
          <w:tcPr>
            <w:tcW w:w="4485" w:type="dxa"/>
            <w:vAlign w:val="top"/>
          </w:tcPr>
          <w:p w14:paraId="2DBE8EA6">
            <w:pPr>
              <w:pStyle w:val="6"/>
              <w:spacing w:before="32" w:line="219" w:lineRule="auto"/>
              <w:jc w:val="right"/>
            </w:pPr>
            <w:r>
              <w:rPr>
                <w:spacing w:val="-8"/>
              </w:rPr>
              <w:t>保障光伏项目土地要素供给。强化国土空间规划</w:t>
            </w:r>
          </w:p>
          <w:p w14:paraId="62842DC3">
            <w:pPr>
              <w:pStyle w:val="6"/>
              <w:spacing w:before="8" w:line="219" w:lineRule="auto"/>
              <w:jc w:val="right"/>
            </w:pPr>
            <w:r>
              <w:rPr>
                <w:spacing w:val="-9"/>
              </w:rPr>
              <w:t>的引导管控作用，科学合理布局光伏项目。对列</w:t>
            </w:r>
          </w:p>
          <w:p w14:paraId="4B08A06D">
            <w:pPr>
              <w:pStyle w:val="6"/>
              <w:spacing w:before="29" w:line="219" w:lineRule="auto"/>
              <w:ind w:left="30"/>
            </w:pPr>
            <w:r>
              <w:t>入省级重大项目清单的光伏项目配置使用国家</w:t>
            </w:r>
          </w:p>
          <w:p w14:paraId="632B2848">
            <w:pPr>
              <w:pStyle w:val="6"/>
              <w:spacing w:before="9" w:line="219" w:lineRule="auto"/>
              <w:jc w:val="right"/>
            </w:pPr>
            <w:r>
              <w:rPr>
                <w:spacing w:val="-10"/>
              </w:rPr>
              <w:t>新增建设用地计划指标，应保尽保。严格落实耕</w:t>
            </w:r>
          </w:p>
          <w:p w14:paraId="71335B28">
            <w:pPr>
              <w:pStyle w:val="6"/>
              <w:spacing w:before="9" w:line="218" w:lineRule="auto"/>
              <w:jc w:val="right"/>
            </w:pPr>
            <w:r>
              <w:rPr>
                <w:spacing w:val="-9"/>
              </w:rPr>
              <w:t>地保护和节约集约用地的规定和要求，强化前期</w:t>
            </w:r>
          </w:p>
          <w:p w14:paraId="082956E1">
            <w:pPr>
              <w:pStyle w:val="6"/>
              <w:spacing w:before="1" w:line="218" w:lineRule="auto"/>
              <w:jc w:val="right"/>
            </w:pPr>
            <w:r>
              <w:rPr>
                <w:spacing w:val="-8"/>
              </w:rPr>
              <w:t>选址踏勘论证，光伏复合项目用地不得占用永久</w:t>
            </w:r>
          </w:p>
          <w:p w14:paraId="63F0C6F9">
            <w:pPr>
              <w:pStyle w:val="6"/>
              <w:spacing w:before="19" w:line="219" w:lineRule="auto"/>
              <w:jc w:val="right"/>
            </w:pPr>
            <w:r>
              <w:rPr>
                <w:spacing w:val="-9"/>
              </w:rPr>
              <w:t>基本农田，尽量避让长期稳定利用耕地，特别是</w:t>
            </w:r>
          </w:p>
          <w:p w14:paraId="4703A8C4">
            <w:pPr>
              <w:pStyle w:val="6"/>
              <w:spacing w:before="19" w:line="219" w:lineRule="auto"/>
              <w:jc w:val="right"/>
            </w:pPr>
            <w:r>
              <w:rPr>
                <w:spacing w:val="-8"/>
              </w:rPr>
              <w:t>坝区集中连片优质耕地。开辟快速报批通道，预</w:t>
            </w:r>
          </w:p>
          <w:p w14:paraId="09CC1C20">
            <w:pPr>
              <w:pStyle w:val="6"/>
              <w:spacing w:before="10" w:line="219" w:lineRule="auto"/>
              <w:jc w:val="right"/>
            </w:pPr>
            <w:r>
              <w:rPr>
                <w:spacing w:val="-10"/>
              </w:rPr>
              <w:t>先研判、及时组卷，扎实高效做好用地报批各个</w:t>
            </w:r>
          </w:p>
          <w:p w14:paraId="06D7BBA7">
            <w:pPr>
              <w:pStyle w:val="6"/>
              <w:spacing w:before="8" w:line="219" w:lineRule="auto"/>
              <w:jc w:val="right"/>
            </w:pPr>
            <w:r>
              <w:rPr>
                <w:spacing w:val="-18"/>
              </w:rPr>
              <w:t>环节工作。鼓励利用采矿沉陷区、尾矿库以及“四</w:t>
            </w:r>
          </w:p>
          <w:p w14:paraId="704D16DF">
            <w:pPr>
              <w:pStyle w:val="6"/>
              <w:spacing w:before="9" w:line="219" w:lineRule="auto"/>
              <w:jc w:val="right"/>
            </w:pPr>
            <w:r>
              <w:rPr>
                <w:spacing w:val="-13"/>
              </w:rPr>
              <w:t>荒地”</w:t>
            </w:r>
            <w:r>
              <w:rPr>
                <w:spacing w:val="-12"/>
              </w:rPr>
              <w:t>等未利用地建设光伏项目。光伏项目用</w:t>
            </w:r>
            <w:r>
              <w:rPr>
                <w:spacing w:val="-9"/>
              </w:rPr>
              <w:t>地</w:t>
            </w:r>
          </w:p>
          <w:p w14:paraId="06747BF5">
            <w:pPr>
              <w:pStyle w:val="6"/>
              <w:spacing w:before="30" w:line="209" w:lineRule="auto"/>
              <w:jc w:val="right"/>
            </w:pPr>
            <w:r>
              <w:rPr>
                <w:spacing w:val="-8"/>
              </w:rPr>
              <w:t>按建设用地管理且符合《划拨用地目录》的，可</w:t>
            </w:r>
          </w:p>
          <w:p w14:paraId="4F4098C5">
            <w:pPr>
              <w:pStyle w:val="6"/>
              <w:spacing w:before="1" w:line="218" w:lineRule="auto"/>
              <w:jc w:val="right"/>
            </w:pPr>
            <w:r>
              <w:rPr>
                <w:spacing w:val="-19"/>
              </w:rPr>
              <w:t>采取划拨方式供地；鼓励以长期租赁、先租后让、</w:t>
            </w:r>
          </w:p>
          <w:p w14:paraId="66C73EF8">
            <w:pPr>
              <w:pStyle w:val="6"/>
              <w:spacing w:before="9" w:line="219" w:lineRule="auto"/>
              <w:jc w:val="right"/>
            </w:pPr>
            <w:r>
              <w:rPr>
                <w:spacing w:val="-8"/>
              </w:rPr>
              <w:t>租让结合、出让等有偿方式供应土地；需以招标</w:t>
            </w:r>
          </w:p>
          <w:p w14:paraId="63736724">
            <w:pPr>
              <w:pStyle w:val="6"/>
              <w:spacing w:before="9" w:line="219" w:lineRule="auto"/>
              <w:jc w:val="right"/>
            </w:pPr>
            <w:r>
              <w:rPr>
                <w:spacing w:val="-8"/>
              </w:rPr>
              <w:t>拍卖挂牌方式供应的，在公平、公正、不排除多</w:t>
            </w:r>
          </w:p>
          <w:p w14:paraId="509D5C74">
            <w:pPr>
              <w:pStyle w:val="6"/>
              <w:spacing w:before="21" w:line="219" w:lineRule="auto"/>
              <w:jc w:val="right"/>
            </w:pPr>
            <w:r>
              <w:rPr>
                <w:spacing w:val="-10"/>
              </w:rPr>
              <w:t>个市场主体竞争的前提下，可将投资和行业主管</w:t>
            </w:r>
          </w:p>
          <w:p w14:paraId="158CE984">
            <w:pPr>
              <w:pStyle w:val="6"/>
              <w:spacing w:before="28" w:line="201" w:lineRule="auto"/>
              <w:jc w:val="right"/>
            </w:pPr>
            <w:r>
              <w:rPr>
                <w:spacing w:val="-10"/>
              </w:rPr>
              <w:t>部门提出的生产技术、设计标准、效率要求等作</w:t>
            </w:r>
          </w:p>
          <w:p w14:paraId="754768E2">
            <w:pPr>
              <w:pStyle w:val="6"/>
              <w:spacing w:line="195" w:lineRule="auto"/>
              <w:ind w:left="1190"/>
            </w:pPr>
            <w:r>
              <w:rPr>
                <w:spacing w:val="-1"/>
              </w:rPr>
              <w:t>为土地供应前置条件。</w:t>
            </w:r>
          </w:p>
        </w:tc>
        <w:tc>
          <w:tcPr>
            <w:tcW w:w="2437" w:type="dxa"/>
            <w:vAlign w:val="top"/>
          </w:tcPr>
          <w:p w14:paraId="19D05ADE">
            <w:pPr>
              <w:spacing w:line="262" w:lineRule="auto"/>
              <w:rPr>
                <w:rFonts w:ascii="Arial"/>
                <w:sz w:val="21"/>
              </w:rPr>
            </w:pPr>
          </w:p>
          <w:p w14:paraId="072930DC">
            <w:pPr>
              <w:spacing w:line="262" w:lineRule="auto"/>
              <w:rPr>
                <w:rFonts w:ascii="Arial"/>
                <w:sz w:val="21"/>
              </w:rPr>
            </w:pPr>
          </w:p>
          <w:p w14:paraId="14D691AF">
            <w:pPr>
              <w:spacing w:line="262" w:lineRule="auto"/>
              <w:rPr>
                <w:rFonts w:ascii="Arial"/>
                <w:sz w:val="21"/>
              </w:rPr>
            </w:pPr>
          </w:p>
          <w:p w14:paraId="5044F985">
            <w:pPr>
              <w:pStyle w:val="6"/>
              <w:spacing w:before="72" w:line="218" w:lineRule="auto"/>
              <w:jc w:val="right"/>
            </w:pPr>
            <w:r>
              <w:rPr>
                <w:spacing w:val="-1"/>
              </w:rPr>
              <w:t>本项目属于《云南省发展</w:t>
            </w:r>
          </w:p>
          <w:p w14:paraId="24107191">
            <w:pPr>
              <w:pStyle w:val="6"/>
              <w:spacing w:line="218" w:lineRule="auto"/>
              <w:ind w:left="115"/>
            </w:pPr>
            <w:r>
              <w:rPr>
                <w:spacing w:val="1"/>
              </w:rPr>
              <w:t>和改革委员会云南省能</w:t>
            </w:r>
          </w:p>
          <w:p w14:paraId="3E0B0274">
            <w:pPr>
              <w:pStyle w:val="6"/>
              <w:spacing w:before="10" w:line="219" w:lineRule="auto"/>
              <w:jc w:val="right"/>
            </w:pPr>
            <w:r>
              <w:rPr>
                <w:spacing w:val="-1"/>
              </w:rPr>
              <w:t>源局关于印发云南省2023</w:t>
            </w:r>
          </w:p>
          <w:p w14:paraId="7154B211">
            <w:pPr>
              <w:pStyle w:val="6"/>
              <w:spacing w:before="8" w:line="219" w:lineRule="auto"/>
              <w:jc w:val="right"/>
            </w:pPr>
            <w:r>
              <w:rPr>
                <w:spacing w:val="-1"/>
              </w:rPr>
              <w:t>年第一批新能源建设方案</w:t>
            </w:r>
          </w:p>
          <w:p w14:paraId="1CE5B220">
            <w:pPr>
              <w:pStyle w:val="6"/>
              <w:spacing w:before="28" w:line="219" w:lineRule="auto"/>
              <w:jc w:val="right"/>
            </w:pPr>
            <w:r>
              <w:rPr>
                <w:spacing w:val="-1"/>
              </w:rPr>
              <w:t>的通知》中光伏发电项目</w:t>
            </w:r>
          </w:p>
          <w:p w14:paraId="0B0CBECA">
            <w:pPr>
              <w:pStyle w:val="6"/>
              <w:spacing w:before="10" w:line="219" w:lineRule="auto"/>
              <w:jc w:val="right"/>
            </w:pPr>
            <w:r>
              <w:rPr>
                <w:spacing w:val="-1"/>
              </w:rPr>
              <w:t>之一，属于列入省级重大</w:t>
            </w:r>
          </w:p>
          <w:p w14:paraId="2BE9A126">
            <w:pPr>
              <w:pStyle w:val="6"/>
              <w:spacing w:before="8" w:line="219" w:lineRule="auto"/>
              <w:jc w:val="right"/>
            </w:pPr>
            <w:r>
              <w:rPr>
                <w:spacing w:val="-1"/>
              </w:rPr>
              <w:t>项目清单的光伏项目；根</w:t>
            </w:r>
          </w:p>
          <w:p w14:paraId="6D5AC3E1">
            <w:pPr>
              <w:pStyle w:val="6"/>
              <w:spacing w:before="9" w:line="219" w:lineRule="auto"/>
              <w:jc w:val="right"/>
            </w:pPr>
            <w:r>
              <w:rPr>
                <w:spacing w:val="-1"/>
              </w:rPr>
              <w:t>据陆良县自然资源局对本</w:t>
            </w:r>
          </w:p>
          <w:p w14:paraId="1516DA46">
            <w:pPr>
              <w:pStyle w:val="6"/>
              <w:spacing w:before="9" w:line="219" w:lineRule="auto"/>
              <w:jc w:val="right"/>
            </w:pPr>
            <w:r>
              <w:rPr>
                <w:spacing w:val="-1"/>
              </w:rPr>
              <w:t>项目的核查意见，本项目</w:t>
            </w:r>
          </w:p>
          <w:p w14:paraId="3EEC5BE1">
            <w:pPr>
              <w:pStyle w:val="6"/>
              <w:spacing w:before="9" w:line="219" w:lineRule="auto"/>
              <w:jc w:val="right"/>
            </w:pPr>
            <w:r>
              <w:rPr>
                <w:spacing w:val="-1"/>
              </w:rPr>
              <w:t>未占用永久基本农田和生</w:t>
            </w:r>
          </w:p>
          <w:p w14:paraId="30D56756">
            <w:pPr>
              <w:pStyle w:val="6"/>
              <w:spacing w:before="11" w:line="220" w:lineRule="auto"/>
              <w:jc w:val="right"/>
            </w:pPr>
            <w:r>
              <w:rPr>
                <w:spacing w:val="-1"/>
              </w:rPr>
              <w:t>态保护红线。项目用地属</w:t>
            </w:r>
          </w:p>
          <w:p w14:paraId="39EA990D">
            <w:pPr>
              <w:pStyle w:val="6"/>
              <w:spacing w:before="18" w:line="220" w:lineRule="auto"/>
              <w:ind w:left="385"/>
            </w:pPr>
            <w:r>
              <w:rPr>
                <w:spacing w:val="-1"/>
              </w:rPr>
              <w:t>于租用土地性质。</w:t>
            </w:r>
          </w:p>
        </w:tc>
        <w:tc>
          <w:tcPr>
            <w:tcW w:w="804" w:type="dxa"/>
            <w:vAlign w:val="top"/>
          </w:tcPr>
          <w:p w14:paraId="69CF2AA9">
            <w:pPr>
              <w:spacing w:line="250" w:lineRule="auto"/>
              <w:rPr>
                <w:rFonts w:ascii="Arial"/>
                <w:sz w:val="21"/>
              </w:rPr>
            </w:pPr>
          </w:p>
          <w:p w14:paraId="5B49861A">
            <w:pPr>
              <w:spacing w:line="251" w:lineRule="auto"/>
              <w:rPr>
                <w:rFonts w:ascii="Arial"/>
                <w:sz w:val="21"/>
              </w:rPr>
            </w:pPr>
          </w:p>
          <w:p w14:paraId="7BA81DD4">
            <w:pPr>
              <w:spacing w:line="251" w:lineRule="auto"/>
              <w:rPr>
                <w:rFonts w:ascii="Arial"/>
                <w:sz w:val="21"/>
              </w:rPr>
            </w:pPr>
          </w:p>
          <w:p w14:paraId="473DFAAF">
            <w:pPr>
              <w:spacing w:line="251" w:lineRule="auto"/>
              <w:rPr>
                <w:rFonts w:ascii="Arial"/>
                <w:sz w:val="21"/>
              </w:rPr>
            </w:pPr>
          </w:p>
          <w:p w14:paraId="275FE33D">
            <w:pPr>
              <w:spacing w:line="251" w:lineRule="auto"/>
              <w:rPr>
                <w:rFonts w:ascii="Arial"/>
                <w:sz w:val="21"/>
              </w:rPr>
            </w:pPr>
          </w:p>
          <w:p w14:paraId="4EA3BEDB">
            <w:pPr>
              <w:spacing w:line="251" w:lineRule="auto"/>
              <w:rPr>
                <w:rFonts w:ascii="Arial"/>
                <w:sz w:val="21"/>
              </w:rPr>
            </w:pPr>
          </w:p>
          <w:p w14:paraId="51D94C7B">
            <w:pPr>
              <w:spacing w:line="251" w:lineRule="auto"/>
              <w:rPr>
                <w:rFonts w:ascii="Arial"/>
                <w:sz w:val="21"/>
              </w:rPr>
            </w:pPr>
          </w:p>
          <w:p w14:paraId="33F1A4FD">
            <w:pPr>
              <w:spacing w:line="251" w:lineRule="auto"/>
              <w:rPr>
                <w:rFonts w:ascii="Arial"/>
                <w:sz w:val="21"/>
              </w:rPr>
            </w:pPr>
          </w:p>
          <w:p w14:paraId="742427DD">
            <w:pPr>
              <w:spacing w:line="251" w:lineRule="auto"/>
              <w:rPr>
                <w:rFonts w:ascii="Arial"/>
                <w:sz w:val="21"/>
              </w:rPr>
            </w:pPr>
          </w:p>
          <w:p w14:paraId="6AEB1282">
            <w:pPr>
              <w:pStyle w:val="6"/>
              <w:spacing w:before="72" w:line="219" w:lineRule="auto"/>
              <w:ind w:left="178"/>
            </w:pPr>
            <w:r>
              <w:rPr>
                <w:spacing w:val="-3"/>
              </w:rPr>
              <w:t>符合</w:t>
            </w:r>
          </w:p>
        </w:tc>
      </w:tr>
      <w:tr w14:paraId="3141A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3" w:hRule="atLeast"/>
        </w:trPr>
        <w:tc>
          <w:tcPr>
            <w:tcW w:w="1234" w:type="dxa"/>
            <w:vMerge w:val="continue"/>
            <w:tcBorders>
              <w:top w:val="nil"/>
            </w:tcBorders>
            <w:vAlign w:val="top"/>
          </w:tcPr>
          <w:p w14:paraId="45886C5E">
            <w:pPr>
              <w:rPr>
                <w:rFonts w:ascii="Arial"/>
                <w:sz w:val="21"/>
              </w:rPr>
            </w:pPr>
          </w:p>
        </w:tc>
        <w:tc>
          <w:tcPr>
            <w:tcW w:w="4485" w:type="dxa"/>
            <w:vAlign w:val="top"/>
          </w:tcPr>
          <w:p w14:paraId="0BC147E9">
            <w:pPr>
              <w:pStyle w:val="6"/>
              <w:spacing w:before="60" w:line="224" w:lineRule="auto"/>
              <w:ind w:left="10" w:firstLine="39"/>
              <w:jc w:val="both"/>
            </w:pPr>
            <w:r>
              <w:rPr>
                <w:spacing w:val="-14"/>
              </w:rPr>
              <w:t>加强光伏发电项目用地管理。光伏发电项目</w:t>
            </w:r>
            <w:r>
              <w:rPr>
                <w:spacing w:val="-15"/>
              </w:rPr>
              <w:t>用地</w:t>
            </w:r>
            <w:r>
              <w:t xml:space="preserve">  </w:t>
            </w:r>
            <w:r>
              <w:rPr>
                <w:spacing w:val="-3"/>
              </w:rPr>
              <w:t>包括光伏方阵用地、变电站及运行管理中心用</w:t>
            </w:r>
            <w:r>
              <w:rPr>
                <w:spacing w:val="1"/>
              </w:rPr>
              <w:t xml:space="preserve">  </w:t>
            </w:r>
            <w:r>
              <w:rPr>
                <w:spacing w:val="-13"/>
              </w:rPr>
              <w:t>地、集电线路用地和场内道路用地。对符合条件</w:t>
            </w:r>
            <w:r>
              <w:rPr>
                <w:spacing w:val="8"/>
              </w:rPr>
              <w:t xml:space="preserve">  </w:t>
            </w:r>
            <w:r>
              <w:rPr>
                <w:spacing w:val="-7"/>
              </w:rPr>
              <w:t>的利用农用地复合建设的光伏发电项目(以下简</w:t>
            </w:r>
            <w:r>
              <w:rPr>
                <w:spacing w:val="15"/>
              </w:rPr>
              <w:t xml:space="preserve"> </w:t>
            </w:r>
            <w:r>
              <w:t>称光伏复合项目)以外的其他光伏发电项目用</w:t>
            </w:r>
            <w:r>
              <w:rPr>
                <w:spacing w:val="1"/>
              </w:rPr>
              <w:t xml:space="preserve">  </w:t>
            </w:r>
            <w:r>
              <w:rPr>
                <w:spacing w:val="-11"/>
              </w:rPr>
              <w:t>地，应严格执行国土资规〔2015〕5号文件</w:t>
            </w:r>
            <w:r>
              <w:rPr>
                <w:spacing w:val="-12"/>
              </w:rPr>
              <w:t>规定，</w:t>
            </w:r>
            <w:r>
              <w:t xml:space="preserve"> </w:t>
            </w:r>
            <w:r>
              <w:rPr>
                <w:spacing w:val="-13"/>
              </w:rPr>
              <w:t>使用未利用地的，对不占压土地、不改变地表形</w:t>
            </w:r>
            <w:r>
              <w:rPr>
                <w:spacing w:val="9"/>
              </w:rPr>
              <w:t xml:space="preserve">  </w:t>
            </w:r>
            <w:r>
              <w:rPr>
                <w:spacing w:val="-13"/>
              </w:rPr>
              <w:t>态的光伏方阵用地部分可按原地类认定，不改变</w:t>
            </w:r>
            <w:r>
              <w:rPr>
                <w:spacing w:val="8"/>
              </w:rPr>
              <w:t xml:space="preserve">  </w:t>
            </w:r>
            <w:r>
              <w:rPr>
                <w:spacing w:val="-12"/>
              </w:rPr>
              <w:t>土地用途，用地允许以租赁等方式取得，双方签</w:t>
            </w:r>
          </w:p>
        </w:tc>
        <w:tc>
          <w:tcPr>
            <w:tcW w:w="2437" w:type="dxa"/>
            <w:vAlign w:val="top"/>
          </w:tcPr>
          <w:p w14:paraId="64864B29">
            <w:pPr>
              <w:pStyle w:val="6"/>
              <w:spacing w:before="48" w:line="219" w:lineRule="auto"/>
              <w:jc w:val="right"/>
            </w:pPr>
            <w:r>
              <w:rPr>
                <w:spacing w:val="-10"/>
              </w:rPr>
              <w:t>项目实施草/光互补，在光</w:t>
            </w:r>
          </w:p>
          <w:p w14:paraId="4E78047F">
            <w:pPr>
              <w:pStyle w:val="6"/>
              <w:spacing w:before="7" w:line="219" w:lineRule="auto"/>
              <w:jc w:val="right"/>
            </w:pPr>
            <w:r>
              <w:rPr>
                <w:spacing w:val="-1"/>
              </w:rPr>
              <w:t>伏板区域下方发展林业种</w:t>
            </w:r>
          </w:p>
          <w:p w14:paraId="112232F9">
            <w:pPr>
              <w:pStyle w:val="6"/>
              <w:spacing w:before="8" w:line="219" w:lineRule="auto"/>
              <w:jc w:val="right"/>
            </w:pPr>
            <w:r>
              <w:rPr>
                <w:spacing w:val="-1"/>
              </w:rPr>
              <w:t>植，本工程太阳电池方阵</w:t>
            </w:r>
          </w:p>
          <w:p w14:paraId="5E69B56C">
            <w:pPr>
              <w:pStyle w:val="6"/>
              <w:spacing w:before="38" w:line="219" w:lineRule="auto"/>
              <w:jc w:val="right"/>
            </w:pPr>
            <w:r>
              <w:rPr>
                <w:spacing w:val="-1"/>
              </w:rPr>
              <w:t>支架采用单支柱斜顶支架</w:t>
            </w:r>
          </w:p>
          <w:p w14:paraId="2CA2951A">
            <w:pPr>
              <w:pStyle w:val="6"/>
              <w:spacing w:before="9" w:line="219" w:lineRule="auto"/>
              <w:jc w:val="right"/>
            </w:pPr>
            <w:r>
              <w:rPr>
                <w:spacing w:val="-1"/>
              </w:rPr>
              <w:t>方案，光伏组件最低沿高</w:t>
            </w:r>
          </w:p>
          <w:p w14:paraId="3A867B23">
            <w:pPr>
              <w:pStyle w:val="6"/>
              <w:spacing w:before="8" w:line="216" w:lineRule="auto"/>
              <w:ind w:left="55"/>
            </w:pPr>
            <w:r>
              <w:rPr>
                <w:spacing w:val="1"/>
              </w:rPr>
              <w:t>于地面2.5m,桩基间列间</w:t>
            </w:r>
          </w:p>
          <w:p w14:paraId="7D75977A">
            <w:pPr>
              <w:pStyle w:val="6"/>
              <w:spacing w:before="16" w:line="218" w:lineRule="auto"/>
              <w:ind w:left="225"/>
            </w:pPr>
            <w:r>
              <w:rPr>
                <w:spacing w:val="1"/>
              </w:rPr>
              <w:t>距为4m、行间距大于</w:t>
            </w:r>
          </w:p>
          <w:p w14:paraId="242B3C61">
            <w:pPr>
              <w:pStyle w:val="6"/>
              <w:spacing w:line="220" w:lineRule="auto"/>
              <w:ind w:left="55"/>
            </w:pPr>
            <w:r>
              <w:rPr>
                <w:spacing w:val="2"/>
              </w:rPr>
              <w:t>6.5m;项目用地属于租用</w:t>
            </w:r>
          </w:p>
          <w:p w14:paraId="3D6A15F2">
            <w:pPr>
              <w:pStyle w:val="6"/>
              <w:spacing w:before="6" w:line="198" w:lineRule="auto"/>
              <w:jc w:val="right"/>
            </w:pPr>
            <w:r>
              <w:rPr>
                <w:spacing w:val="-1"/>
              </w:rPr>
              <w:t>土地性质。本项目除桩基</w:t>
            </w:r>
          </w:p>
        </w:tc>
        <w:tc>
          <w:tcPr>
            <w:tcW w:w="804" w:type="dxa"/>
            <w:vAlign w:val="top"/>
          </w:tcPr>
          <w:p w14:paraId="31D0C3B6">
            <w:pPr>
              <w:spacing w:line="265" w:lineRule="auto"/>
              <w:rPr>
                <w:rFonts w:ascii="Arial"/>
                <w:sz w:val="21"/>
              </w:rPr>
            </w:pPr>
          </w:p>
          <w:p w14:paraId="25438622">
            <w:pPr>
              <w:spacing w:line="265" w:lineRule="auto"/>
              <w:rPr>
                <w:rFonts w:ascii="Arial"/>
                <w:sz w:val="21"/>
              </w:rPr>
            </w:pPr>
          </w:p>
          <w:p w14:paraId="081E60F9">
            <w:pPr>
              <w:spacing w:line="265" w:lineRule="auto"/>
              <w:rPr>
                <w:rFonts w:ascii="Arial"/>
                <w:sz w:val="21"/>
              </w:rPr>
            </w:pPr>
          </w:p>
          <w:p w14:paraId="7D1D5CE3">
            <w:pPr>
              <w:spacing w:line="265" w:lineRule="auto"/>
              <w:rPr>
                <w:rFonts w:ascii="Arial"/>
                <w:sz w:val="21"/>
              </w:rPr>
            </w:pPr>
          </w:p>
          <w:p w14:paraId="149799F4">
            <w:pPr>
              <w:pStyle w:val="6"/>
              <w:spacing w:before="71" w:line="219" w:lineRule="auto"/>
              <w:ind w:left="178"/>
            </w:pPr>
            <w:r>
              <w:rPr>
                <w:spacing w:val="-3"/>
              </w:rPr>
              <w:t>符合</w:t>
            </w:r>
          </w:p>
        </w:tc>
      </w:tr>
    </w:tbl>
    <w:p w14:paraId="3AEF51CF">
      <w:pPr>
        <w:pStyle w:val="2"/>
      </w:pPr>
    </w:p>
    <w:p w14:paraId="70047D58">
      <w:pPr>
        <w:sectPr>
          <w:footerReference r:id="rId22" w:type="default"/>
          <w:pgSz w:w="11910" w:h="16830"/>
          <w:pgMar w:top="400" w:right="1544" w:bottom="1243" w:left="1395" w:header="0" w:footer="1081" w:gutter="0"/>
          <w:cols w:space="720" w:num="1"/>
        </w:sectPr>
      </w:pPr>
    </w:p>
    <w:p w14:paraId="75BD3448">
      <w:pPr>
        <w:spacing w:before="18"/>
      </w:pPr>
    </w:p>
    <w:p w14:paraId="3A043840">
      <w:pPr>
        <w:spacing w:before="18"/>
      </w:pPr>
    </w:p>
    <w:p w14:paraId="6B4AAD76">
      <w:pPr>
        <w:spacing w:before="17"/>
      </w:pPr>
    </w:p>
    <w:p w14:paraId="5FCD2692">
      <w:pPr>
        <w:spacing w:before="17"/>
      </w:pPr>
    </w:p>
    <w:p w14:paraId="5DCB3590">
      <w:pPr>
        <w:spacing w:before="17"/>
      </w:pPr>
    </w:p>
    <w:tbl>
      <w:tblPr>
        <w:tblStyle w:val="5"/>
        <w:tblW w:w="90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3"/>
        <w:gridCol w:w="360"/>
        <w:gridCol w:w="3676"/>
        <w:gridCol w:w="450"/>
        <w:gridCol w:w="2447"/>
        <w:gridCol w:w="260"/>
        <w:gridCol w:w="574"/>
      </w:tblGrid>
      <w:tr w14:paraId="0EE25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1" w:hRule="atLeast"/>
        </w:trPr>
        <w:tc>
          <w:tcPr>
            <w:tcW w:w="1233" w:type="dxa"/>
            <w:vMerge w:val="restart"/>
            <w:tcBorders>
              <w:bottom w:val="nil"/>
            </w:tcBorders>
            <w:vAlign w:val="top"/>
          </w:tcPr>
          <w:p w14:paraId="272E66A0">
            <w:pPr>
              <w:rPr>
                <w:rFonts w:ascii="Arial"/>
                <w:sz w:val="21"/>
              </w:rPr>
            </w:pPr>
          </w:p>
        </w:tc>
        <w:tc>
          <w:tcPr>
            <w:tcW w:w="4486" w:type="dxa"/>
            <w:gridSpan w:val="3"/>
            <w:vAlign w:val="top"/>
          </w:tcPr>
          <w:p w14:paraId="3C3D90D7">
            <w:pPr>
              <w:pStyle w:val="6"/>
              <w:spacing w:before="53" w:line="218" w:lineRule="auto"/>
              <w:ind w:left="31"/>
            </w:pPr>
            <w:r>
              <w:t>订好补偿协议，报当地县(市、区)自然资源主</w:t>
            </w:r>
          </w:p>
          <w:p w14:paraId="7B0422C4">
            <w:pPr>
              <w:pStyle w:val="6"/>
              <w:spacing w:line="218" w:lineRule="auto"/>
              <w:jc w:val="right"/>
            </w:pPr>
            <w:r>
              <w:rPr>
                <w:spacing w:val="-12"/>
              </w:rPr>
              <w:t>管部门备案；其他用地部分，应依法办理建设用</w:t>
            </w:r>
          </w:p>
          <w:p w14:paraId="670C9F86">
            <w:pPr>
              <w:pStyle w:val="6"/>
              <w:spacing w:before="10" w:line="219" w:lineRule="auto"/>
              <w:jc w:val="right"/>
            </w:pPr>
            <w:r>
              <w:rPr>
                <w:spacing w:val="-11"/>
              </w:rPr>
              <w:t>地审批手续；对建设占用农用地的，所有用地部</w:t>
            </w:r>
          </w:p>
          <w:p w14:paraId="6F932002">
            <w:pPr>
              <w:pStyle w:val="6"/>
              <w:spacing w:before="29" w:line="219" w:lineRule="auto"/>
              <w:ind w:left="1081"/>
            </w:pPr>
            <w:r>
              <w:t>分均应按建设用地管理。</w:t>
            </w:r>
          </w:p>
          <w:p w14:paraId="403A4055">
            <w:pPr>
              <w:pStyle w:val="6"/>
              <w:spacing w:before="7" w:line="219" w:lineRule="auto"/>
              <w:jc w:val="right"/>
            </w:pPr>
            <w:r>
              <w:rPr>
                <w:spacing w:val="-5"/>
              </w:rPr>
              <w:t>对符合我省光伏复合项目建设要求和认定标准</w:t>
            </w:r>
          </w:p>
          <w:p w14:paraId="29CD2C33">
            <w:pPr>
              <w:pStyle w:val="6"/>
              <w:spacing w:before="9" w:line="218" w:lineRule="auto"/>
              <w:ind w:left="142"/>
            </w:pPr>
            <w:r>
              <w:t>的项目，架设在25度以上耕地(水田除外)或</w:t>
            </w:r>
          </w:p>
          <w:p w14:paraId="35D0012D">
            <w:pPr>
              <w:pStyle w:val="6"/>
              <w:spacing w:before="1" w:line="218" w:lineRule="auto"/>
              <w:jc w:val="right"/>
            </w:pPr>
            <w:r>
              <w:rPr>
                <w:spacing w:val="-11"/>
              </w:rPr>
              <w:t>其他农用地上的光伏方阵用地，满足光伏组件最</w:t>
            </w:r>
          </w:p>
          <w:p w14:paraId="29BB7FD0">
            <w:pPr>
              <w:pStyle w:val="6"/>
              <w:spacing w:before="11" w:line="219" w:lineRule="auto"/>
              <w:ind w:left="31"/>
            </w:pPr>
            <w:r>
              <w:rPr>
                <w:spacing w:val="-1"/>
              </w:rPr>
              <w:t>低沿高于地面2.5米、高于最高水位0.6米，桩</w:t>
            </w:r>
          </w:p>
          <w:p w14:paraId="3EBC6E43">
            <w:pPr>
              <w:pStyle w:val="6"/>
              <w:spacing w:before="39" w:line="219" w:lineRule="auto"/>
              <w:ind w:left="31"/>
            </w:pPr>
            <w:r>
              <w:rPr>
                <w:spacing w:val="-1"/>
              </w:rPr>
              <w:t>基间列间距大于4米，行间距大于6.5米的架设</w:t>
            </w:r>
          </w:p>
          <w:p w14:paraId="5EBE2F28">
            <w:pPr>
              <w:pStyle w:val="6"/>
              <w:spacing w:before="7" w:line="219" w:lineRule="auto"/>
              <w:jc w:val="right"/>
            </w:pPr>
            <w:r>
              <w:rPr>
                <w:spacing w:val="-11"/>
              </w:rPr>
              <w:t>要求，在不破坏耕地耕作层及农用地生产条件和</w:t>
            </w:r>
          </w:p>
          <w:p w14:paraId="2B5D2E21">
            <w:pPr>
              <w:pStyle w:val="6"/>
              <w:spacing w:before="10" w:line="218" w:lineRule="auto"/>
              <w:jc w:val="right"/>
            </w:pPr>
            <w:r>
              <w:rPr>
                <w:spacing w:val="-11"/>
              </w:rPr>
              <w:t>不</w:t>
            </w:r>
            <w:r>
              <w:rPr>
                <w:spacing w:val="-10"/>
              </w:rPr>
              <w:t>改变原用地性质的条件下，允许以租赁等方</w:t>
            </w:r>
            <w:r>
              <w:rPr>
                <w:spacing w:val="-9"/>
              </w:rPr>
              <w:t>式</w:t>
            </w:r>
          </w:p>
          <w:p w14:paraId="2F949CBA">
            <w:pPr>
              <w:pStyle w:val="6"/>
              <w:spacing w:before="1" w:line="218" w:lineRule="auto"/>
              <w:jc w:val="right"/>
            </w:pPr>
            <w:r>
              <w:rPr>
                <w:spacing w:val="-11"/>
              </w:rPr>
              <w:t>使用；除桩基用地外，严禁硬化地面、破坏耕作</w:t>
            </w:r>
          </w:p>
          <w:p w14:paraId="1C697362">
            <w:pPr>
              <w:pStyle w:val="6"/>
              <w:spacing w:before="29" w:line="219" w:lineRule="auto"/>
              <w:jc w:val="right"/>
            </w:pPr>
            <w:r>
              <w:rPr>
                <w:spacing w:val="-10"/>
              </w:rPr>
              <w:t>层，严禁抛荒、捲荒。采用直埋电缆方式敷设的</w:t>
            </w:r>
          </w:p>
          <w:p w14:paraId="77814DD1">
            <w:pPr>
              <w:pStyle w:val="6"/>
              <w:spacing w:before="9" w:line="219" w:lineRule="auto"/>
              <w:jc w:val="right"/>
            </w:pPr>
            <w:r>
              <w:rPr>
                <w:spacing w:val="-10"/>
              </w:rPr>
              <w:t>集电线路用地，实行与项目光伏方阵用地同样的</w:t>
            </w:r>
          </w:p>
          <w:p w14:paraId="519F7DFD">
            <w:pPr>
              <w:pStyle w:val="6"/>
              <w:spacing w:before="9" w:line="219" w:lineRule="auto"/>
              <w:ind w:left="31"/>
            </w:pPr>
            <w:r>
              <w:t>管理方式。场内道路用地可按农村道路用地管</w:t>
            </w:r>
          </w:p>
          <w:p w14:paraId="626B43EF">
            <w:pPr>
              <w:pStyle w:val="6"/>
              <w:spacing w:before="10" w:line="218" w:lineRule="auto"/>
              <w:jc w:val="right"/>
            </w:pPr>
            <w:r>
              <w:rPr>
                <w:spacing w:val="-10"/>
              </w:rPr>
              <w:t>理。变电站、运行管理中心、集电线路杆塔基础</w:t>
            </w:r>
          </w:p>
          <w:p w14:paraId="2C7BBB51">
            <w:pPr>
              <w:pStyle w:val="6"/>
              <w:spacing w:before="1" w:line="190" w:lineRule="auto"/>
              <w:ind w:left="641"/>
            </w:pPr>
            <w:r>
              <w:t>等其他设施用地按建设用地管理。</w:t>
            </w:r>
          </w:p>
        </w:tc>
        <w:tc>
          <w:tcPr>
            <w:tcW w:w="2447" w:type="dxa"/>
            <w:vAlign w:val="top"/>
          </w:tcPr>
          <w:p w14:paraId="5746CC62">
            <w:pPr>
              <w:pStyle w:val="6"/>
              <w:spacing w:before="34" w:line="219" w:lineRule="auto"/>
              <w:jc w:val="right"/>
            </w:pPr>
            <w:r>
              <w:t>用地外，严禁硬化地面、</w:t>
            </w:r>
          </w:p>
          <w:p w14:paraId="1B0ED935">
            <w:pPr>
              <w:pStyle w:val="6"/>
              <w:spacing w:before="27" w:line="219" w:lineRule="auto"/>
              <w:jc w:val="right"/>
            </w:pPr>
            <w:r>
              <w:t>破坏耕作层，严禁抛荒、</w:t>
            </w:r>
          </w:p>
          <w:p w14:paraId="33752509">
            <w:pPr>
              <w:pStyle w:val="6"/>
              <w:spacing w:line="219" w:lineRule="auto"/>
              <w:ind w:left="6"/>
            </w:pPr>
            <w:r>
              <w:rPr>
                <w:spacing w:val="-1"/>
              </w:rPr>
              <w:t>捲荒。进展道路及场内道</w:t>
            </w:r>
          </w:p>
          <w:p w14:paraId="4131A8CD">
            <w:pPr>
              <w:pStyle w:val="6"/>
              <w:spacing w:before="7" w:line="219" w:lineRule="auto"/>
              <w:jc w:val="right"/>
            </w:pPr>
            <w:r>
              <w:rPr>
                <w:spacing w:val="-5"/>
              </w:rPr>
              <w:t>路按农村道路用地管理。</w:t>
            </w:r>
          </w:p>
          <w:p w14:paraId="7EE9656A">
            <w:pPr>
              <w:pStyle w:val="6"/>
              <w:spacing w:before="30" w:line="219" w:lineRule="auto"/>
              <w:ind w:left="6"/>
            </w:pPr>
            <w:r>
              <w:rPr>
                <w:spacing w:val="-1"/>
              </w:rPr>
              <w:t>升压站、集电线路杆塔基</w:t>
            </w:r>
          </w:p>
          <w:p w14:paraId="2A64CF7B">
            <w:pPr>
              <w:pStyle w:val="6"/>
              <w:spacing w:before="9" w:line="218" w:lineRule="auto"/>
              <w:ind w:left="6"/>
            </w:pPr>
            <w:r>
              <w:rPr>
                <w:spacing w:val="-1"/>
              </w:rPr>
              <w:t>础等其他设施用地按建设</w:t>
            </w:r>
          </w:p>
          <w:p w14:paraId="5FE7F348">
            <w:pPr>
              <w:pStyle w:val="6"/>
              <w:spacing w:line="219" w:lineRule="auto"/>
              <w:ind w:left="725"/>
            </w:pPr>
            <w:r>
              <w:rPr>
                <w:spacing w:val="-1"/>
              </w:rPr>
              <w:t>用地管理。</w:t>
            </w:r>
          </w:p>
        </w:tc>
        <w:tc>
          <w:tcPr>
            <w:tcW w:w="834" w:type="dxa"/>
            <w:gridSpan w:val="2"/>
            <w:vAlign w:val="top"/>
          </w:tcPr>
          <w:p w14:paraId="1353FD96">
            <w:pPr>
              <w:rPr>
                <w:rFonts w:ascii="Arial"/>
                <w:sz w:val="21"/>
              </w:rPr>
            </w:pPr>
          </w:p>
        </w:tc>
      </w:tr>
      <w:tr w14:paraId="0E10B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233" w:type="dxa"/>
            <w:vMerge w:val="continue"/>
            <w:tcBorders>
              <w:top w:val="nil"/>
              <w:bottom w:val="nil"/>
            </w:tcBorders>
            <w:vAlign w:val="top"/>
          </w:tcPr>
          <w:p w14:paraId="3EA0DE61">
            <w:pPr>
              <w:rPr>
                <w:rFonts w:ascii="Arial"/>
                <w:sz w:val="21"/>
              </w:rPr>
            </w:pPr>
          </w:p>
        </w:tc>
        <w:tc>
          <w:tcPr>
            <w:tcW w:w="4486" w:type="dxa"/>
            <w:gridSpan w:val="3"/>
            <w:vAlign w:val="top"/>
          </w:tcPr>
          <w:p w14:paraId="3EC00B05">
            <w:pPr>
              <w:pStyle w:val="6"/>
              <w:spacing w:before="44" w:line="219" w:lineRule="auto"/>
              <w:ind w:left="11"/>
              <w:jc w:val="both"/>
            </w:pPr>
            <w:r>
              <w:rPr>
                <w:spacing w:val="-11"/>
              </w:rPr>
              <w:t>严格光伏发电项目用地利用监管。光伏发电项目</w:t>
            </w:r>
            <w:r>
              <w:t xml:space="preserve"> </w:t>
            </w:r>
            <w:r>
              <w:rPr>
                <w:spacing w:val="-13"/>
              </w:rPr>
              <w:t>用地中按农用地、未利用地管理的，除桩基用地</w:t>
            </w:r>
            <w:r>
              <w:rPr>
                <w:spacing w:val="5"/>
              </w:rPr>
              <w:t xml:space="preserve">  </w:t>
            </w:r>
            <w:r>
              <w:rPr>
                <w:spacing w:val="-13"/>
              </w:rPr>
              <w:t>外，场内道路等功能分区用地不得硬化地面、破</w:t>
            </w:r>
            <w:r>
              <w:rPr>
                <w:spacing w:val="5"/>
              </w:rPr>
              <w:t xml:space="preserve">  </w:t>
            </w:r>
            <w:r>
              <w:rPr>
                <w:spacing w:val="-13"/>
              </w:rPr>
              <w:t>坏耕作层，否则，应当依法办理建设用地审批手</w:t>
            </w:r>
            <w:r>
              <w:rPr>
                <w:spacing w:val="5"/>
              </w:rPr>
              <w:t xml:space="preserve">  </w:t>
            </w:r>
            <w:r>
              <w:rPr>
                <w:spacing w:val="-8"/>
              </w:rPr>
              <w:t>续，未办理审批手续的，按违法用地依法查处。</w:t>
            </w:r>
          </w:p>
        </w:tc>
        <w:tc>
          <w:tcPr>
            <w:tcW w:w="2447" w:type="dxa"/>
            <w:vAlign w:val="top"/>
          </w:tcPr>
          <w:p w14:paraId="58BCFC48">
            <w:pPr>
              <w:pStyle w:val="6"/>
              <w:spacing w:before="43" w:line="217" w:lineRule="auto"/>
              <w:ind w:left="6"/>
            </w:pPr>
            <w:r>
              <w:t>项目用地属于租用土地性</w:t>
            </w:r>
          </w:p>
          <w:p w14:paraId="5D083559">
            <w:pPr>
              <w:pStyle w:val="6"/>
              <w:spacing w:line="218" w:lineRule="auto"/>
              <w:jc w:val="right"/>
            </w:pPr>
            <w:r>
              <w:rPr>
                <w:spacing w:val="-19"/>
              </w:rPr>
              <w:t>质。本项目除桩基用地外，</w:t>
            </w:r>
          </w:p>
          <w:p w14:paraId="11A8F384">
            <w:pPr>
              <w:pStyle w:val="6"/>
              <w:spacing w:before="20" w:line="219" w:lineRule="auto"/>
              <w:ind w:left="6"/>
            </w:pPr>
            <w:r>
              <w:rPr>
                <w:spacing w:val="-1"/>
              </w:rPr>
              <w:t>场内道路等功能分区用地</w:t>
            </w:r>
          </w:p>
          <w:p w14:paraId="1653C947">
            <w:pPr>
              <w:pStyle w:val="6"/>
              <w:spacing w:before="28" w:line="193" w:lineRule="auto"/>
              <w:ind w:left="6"/>
            </w:pPr>
            <w:r>
              <w:t>未进行硬化地面、破坏耕</w:t>
            </w:r>
          </w:p>
          <w:p w14:paraId="7720459C">
            <w:pPr>
              <w:pStyle w:val="6"/>
              <w:spacing w:before="1" w:line="206" w:lineRule="auto"/>
              <w:ind w:left="945"/>
            </w:pPr>
            <w:r>
              <w:t>作层。</w:t>
            </w:r>
          </w:p>
        </w:tc>
        <w:tc>
          <w:tcPr>
            <w:tcW w:w="834" w:type="dxa"/>
            <w:gridSpan w:val="2"/>
            <w:vAlign w:val="top"/>
          </w:tcPr>
          <w:p w14:paraId="3CC4D8F3">
            <w:pPr>
              <w:spacing w:line="249" w:lineRule="auto"/>
              <w:rPr>
                <w:rFonts w:ascii="Arial"/>
                <w:sz w:val="21"/>
              </w:rPr>
            </w:pPr>
          </w:p>
          <w:p w14:paraId="5D1D14A6">
            <w:pPr>
              <w:spacing w:line="249" w:lineRule="auto"/>
              <w:rPr>
                <w:rFonts w:ascii="Arial"/>
                <w:sz w:val="21"/>
              </w:rPr>
            </w:pPr>
          </w:p>
          <w:p w14:paraId="5ED2FD7D">
            <w:pPr>
              <w:pStyle w:val="6"/>
              <w:spacing w:before="72" w:line="219" w:lineRule="auto"/>
              <w:ind w:left="198"/>
            </w:pPr>
            <w:r>
              <w:rPr>
                <w:spacing w:val="-3"/>
              </w:rPr>
              <w:t>符合</w:t>
            </w:r>
          </w:p>
        </w:tc>
      </w:tr>
      <w:tr w14:paraId="0712E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5" w:hRule="atLeast"/>
        </w:trPr>
        <w:tc>
          <w:tcPr>
            <w:tcW w:w="1233" w:type="dxa"/>
            <w:vMerge w:val="continue"/>
            <w:tcBorders>
              <w:top w:val="nil"/>
              <w:bottom w:val="nil"/>
            </w:tcBorders>
            <w:vAlign w:val="top"/>
          </w:tcPr>
          <w:p w14:paraId="4AD863ED">
            <w:pPr>
              <w:rPr>
                <w:rFonts w:ascii="Arial"/>
                <w:sz w:val="21"/>
              </w:rPr>
            </w:pPr>
          </w:p>
        </w:tc>
        <w:tc>
          <w:tcPr>
            <w:tcW w:w="7767" w:type="dxa"/>
            <w:gridSpan w:val="6"/>
            <w:vAlign w:val="top"/>
          </w:tcPr>
          <w:p w14:paraId="232D8494">
            <w:pPr>
              <w:pStyle w:val="6"/>
              <w:spacing w:before="63" w:line="388" w:lineRule="auto"/>
              <w:ind w:left="11" w:right="711" w:firstLine="529"/>
            </w:pPr>
            <w:r>
              <w:t>综上所述，项目建设符合《云南省产业用地政策实施工作指引(2022</w:t>
            </w:r>
            <w:r>
              <w:rPr>
                <w:spacing w:val="12"/>
              </w:rPr>
              <w:t xml:space="preserve"> </w:t>
            </w:r>
            <w:r>
              <w:t>年版)》的相关要求。</w:t>
            </w:r>
          </w:p>
          <w:p w14:paraId="4CBA2094">
            <w:pPr>
              <w:pStyle w:val="6"/>
              <w:spacing w:line="390" w:lineRule="auto"/>
              <w:ind w:left="45" w:right="761"/>
              <w:jc w:val="both"/>
            </w:pPr>
            <w:r>
              <w:rPr>
                <w:b/>
                <w:bCs/>
                <w:spacing w:val="-3"/>
              </w:rPr>
              <w:t>7项目与自然资源部办公厅、国家林业和草原局办公室、国家能源局综合</w:t>
            </w:r>
            <w:r>
              <w:rPr>
                <w:spacing w:val="7"/>
              </w:rPr>
              <w:t xml:space="preserve"> </w:t>
            </w:r>
            <w:r>
              <w:rPr>
                <w:b/>
                <w:bCs/>
                <w:spacing w:val="-2"/>
              </w:rPr>
              <w:t>司《关于支持光伏发电产业发展规范用地管理有关工作的通知》(自然资</w:t>
            </w:r>
            <w:r>
              <w:rPr>
                <w:spacing w:val="9"/>
              </w:rPr>
              <w:t xml:space="preserve"> </w:t>
            </w:r>
            <w:r>
              <w:rPr>
                <w:b/>
                <w:bCs/>
                <w:spacing w:val="-4"/>
              </w:rPr>
              <w:t>发[2023]12号)符合性分析</w:t>
            </w:r>
          </w:p>
          <w:p w14:paraId="577DC461">
            <w:pPr>
              <w:pStyle w:val="6"/>
              <w:spacing w:line="394" w:lineRule="auto"/>
              <w:ind w:left="31" w:right="734" w:firstLine="489"/>
            </w:pPr>
            <w:r>
              <w:t>2023年3月20日，为贯彻落实《国务院关于印发扎实稳住经济一揽子</w:t>
            </w:r>
            <w:r>
              <w:rPr>
                <w:spacing w:val="9"/>
              </w:rPr>
              <w:t xml:space="preserve"> </w:t>
            </w:r>
            <w:r>
              <w:t>政策措施的通知》(国发[2022]12号)要求，进一步支持绿色能源发展，</w:t>
            </w:r>
          </w:p>
          <w:p w14:paraId="1A9ABA4A">
            <w:pPr>
              <w:pStyle w:val="6"/>
              <w:spacing w:before="2" w:line="391" w:lineRule="auto"/>
              <w:ind w:left="21" w:right="652" w:firstLine="10"/>
            </w:pPr>
            <w:r>
              <w:t>加快大型广度基地建设，规范项目用地管理，由自然资源部办公厅、国家</w:t>
            </w:r>
            <w:r>
              <w:rPr>
                <w:spacing w:val="12"/>
              </w:rPr>
              <w:t xml:space="preserve"> </w:t>
            </w:r>
            <w:r>
              <w:rPr>
                <w:spacing w:val="1"/>
              </w:rPr>
              <w:t>林业和草原局办公室、国家能源局综合司联合发布了《关于支持光伏发电</w:t>
            </w:r>
            <w:r>
              <w:rPr>
                <w:spacing w:val="9"/>
              </w:rPr>
              <w:t xml:space="preserve"> </w:t>
            </w:r>
            <w:r>
              <w:rPr>
                <w:spacing w:val="-1"/>
              </w:rPr>
              <w:t>产业发展规范用地管理有关工作的通知》。</w:t>
            </w:r>
          </w:p>
          <w:p w14:paraId="581AEB16">
            <w:pPr>
              <w:pStyle w:val="6"/>
              <w:spacing w:before="1" w:line="388" w:lineRule="auto"/>
              <w:ind w:left="162" w:right="644" w:firstLine="349"/>
            </w:pPr>
            <w:r>
              <w:t>项目与《关于支持光伏发电产业发展规范用地管理有关工作的通知》 (自然资发[2023]12号)的相符性分析详见表1-5。</w:t>
            </w:r>
          </w:p>
          <w:p w14:paraId="3917CCA7">
            <w:pPr>
              <w:pStyle w:val="6"/>
              <w:spacing w:before="2" w:line="245" w:lineRule="auto"/>
              <w:ind w:left="1634" w:right="588" w:hanging="1599"/>
            </w:pPr>
            <w:r>
              <w:rPr>
                <w:b/>
                <w:bCs/>
                <w:spacing w:val="-3"/>
              </w:rPr>
              <w:t>表1-6项目与《关于支持光伏发电产业发展规范用地管理有关工作的通知》</w:t>
            </w:r>
            <w:r>
              <w:rPr>
                <w:spacing w:val="6"/>
              </w:rPr>
              <w:t xml:space="preserve"> </w:t>
            </w:r>
            <w:r>
              <w:rPr>
                <w:b/>
                <w:bCs/>
                <w:spacing w:val="-2"/>
              </w:rPr>
              <w:t>(自然资发[2023]12号)的相符性</w:t>
            </w:r>
            <w:r>
              <w:rPr>
                <w:b/>
                <w:bCs/>
                <w:spacing w:val="-3"/>
              </w:rPr>
              <w:t>分析对照表</w:t>
            </w:r>
          </w:p>
        </w:tc>
      </w:tr>
      <w:tr w14:paraId="06146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233" w:type="dxa"/>
            <w:vMerge w:val="continue"/>
            <w:tcBorders>
              <w:top w:val="nil"/>
            </w:tcBorders>
            <w:vAlign w:val="top"/>
          </w:tcPr>
          <w:p w14:paraId="51F8CBF9">
            <w:pPr>
              <w:rPr>
                <w:rFonts w:ascii="Arial"/>
                <w:sz w:val="21"/>
              </w:rPr>
            </w:pPr>
          </w:p>
        </w:tc>
        <w:tc>
          <w:tcPr>
            <w:tcW w:w="360" w:type="dxa"/>
            <w:textDirection w:val="tbRlV"/>
            <w:vAlign w:val="top"/>
          </w:tcPr>
          <w:p w14:paraId="5F0DA28A">
            <w:pPr>
              <w:pStyle w:val="6"/>
              <w:spacing w:before="81" w:line="199" w:lineRule="auto"/>
              <w:ind w:left="118"/>
            </w:pPr>
            <w:r>
              <w:t>序</w:t>
            </w:r>
            <w:r>
              <w:rPr>
                <w:spacing w:val="27"/>
              </w:rPr>
              <w:t xml:space="preserve"> </w:t>
            </w:r>
            <w:r>
              <w:t>号</w:t>
            </w:r>
          </w:p>
        </w:tc>
        <w:tc>
          <w:tcPr>
            <w:tcW w:w="3676" w:type="dxa"/>
            <w:vAlign w:val="top"/>
          </w:tcPr>
          <w:p w14:paraId="0B00C43C">
            <w:pPr>
              <w:pStyle w:val="6"/>
              <w:spacing w:before="309" w:line="219" w:lineRule="auto"/>
              <w:ind w:left="1621"/>
            </w:pPr>
            <w:r>
              <w:rPr>
                <w:spacing w:val="5"/>
              </w:rPr>
              <w:t>内容</w:t>
            </w:r>
          </w:p>
        </w:tc>
        <w:tc>
          <w:tcPr>
            <w:tcW w:w="3157" w:type="dxa"/>
            <w:gridSpan w:val="3"/>
            <w:vAlign w:val="top"/>
          </w:tcPr>
          <w:p w14:paraId="063F64E2">
            <w:pPr>
              <w:pStyle w:val="6"/>
              <w:spacing w:before="309" w:line="220" w:lineRule="auto"/>
              <w:ind w:left="1155"/>
            </w:pPr>
            <w:r>
              <w:rPr>
                <w:spacing w:val="2"/>
              </w:rPr>
              <w:t>项目情况</w:t>
            </w:r>
          </w:p>
        </w:tc>
        <w:tc>
          <w:tcPr>
            <w:tcW w:w="574" w:type="dxa"/>
            <w:vAlign w:val="top"/>
          </w:tcPr>
          <w:p w14:paraId="46EA94B9">
            <w:pPr>
              <w:pStyle w:val="6"/>
              <w:spacing w:before="38" w:line="211" w:lineRule="auto"/>
              <w:ind w:left="58"/>
            </w:pPr>
            <w:r>
              <w:rPr>
                <w:spacing w:val="-3"/>
              </w:rPr>
              <w:t>符合</w:t>
            </w:r>
          </w:p>
          <w:p w14:paraId="7A321943">
            <w:pPr>
              <w:pStyle w:val="6"/>
              <w:spacing w:line="220" w:lineRule="auto"/>
              <w:ind w:left="168" w:right="55" w:hanging="110"/>
            </w:pPr>
            <w:r>
              <w:rPr>
                <w:spacing w:val="4"/>
              </w:rPr>
              <w:t>性分</w:t>
            </w:r>
            <w:r>
              <w:t xml:space="preserve"> 析</w:t>
            </w:r>
          </w:p>
        </w:tc>
      </w:tr>
    </w:tbl>
    <w:p w14:paraId="75E18A6D">
      <w:pPr>
        <w:pStyle w:val="2"/>
      </w:pPr>
    </w:p>
    <w:p w14:paraId="3689E431">
      <w:pPr>
        <w:sectPr>
          <w:footerReference r:id="rId23" w:type="default"/>
          <w:pgSz w:w="11910" w:h="16830"/>
          <w:pgMar w:top="400" w:right="1484" w:bottom="1245" w:left="1415" w:header="0" w:footer="1083" w:gutter="0"/>
          <w:cols w:space="720" w:num="1"/>
        </w:sectPr>
      </w:pPr>
    </w:p>
    <w:p w14:paraId="374AFB66">
      <w:pPr>
        <w:spacing w:before="18"/>
      </w:pPr>
    </w:p>
    <w:p w14:paraId="1B97C537">
      <w:pPr>
        <w:spacing w:before="18"/>
      </w:pPr>
    </w:p>
    <w:p w14:paraId="50EB5A51">
      <w:pPr>
        <w:spacing w:before="17"/>
      </w:pPr>
    </w:p>
    <w:p w14:paraId="41D6F860">
      <w:pPr>
        <w:spacing w:before="17"/>
      </w:pPr>
    </w:p>
    <w:p w14:paraId="349DABB7">
      <w:pPr>
        <w:spacing w:before="17"/>
      </w:pPr>
    </w:p>
    <w:tbl>
      <w:tblPr>
        <w:tblStyle w:val="5"/>
        <w:tblW w:w="89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350"/>
        <w:gridCol w:w="3666"/>
        <w:gridCol w:w="3176"/>
        <w:gridCol w:w="554"/>
      </w:tblGrid>
      <w:tr w14:paraId="5C8FE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1244" w:type="dxa"/>
            <w:vMerge w:val="restart"/>
            <w:tcBorders>
              <w:bottom w:val="nil"/>
            </w:tcBorders>
            <w:vAlign w:val="top"/>
          </w:tcPr>
          <w:p w14:paraId="058301C2">
            <w:pPr>
              <w:rPr>
                <w:rFonts w:ascii="Arial"/>
                <w:sz w:val="21"/>
              </w:rPr>
            </w:pPr>
          </w:p>
        </w:tc>
        <w:tc>
          <w:tcPr>
            <w:tcW w:w="350" w:type="dxa"/>
            <w:vAlign w:val="top"/>
          </w:tcPr>
          <w:p w14:paraId="0F4775E7">
            <w:pPr>
              <w:spacing w:line="271" w:lineRule="auto"/>
              <w:rPr>
                <w:rFonts w:ascii="Arial"/>
                <w:sz w:val="21"/>
              </w:rPr>
            </w:pPr>
          </w:p>
          <w:p w14:paraId="7DFA6840">
            <w:pPr>
              <w:spacing w:line="271" w:lineRule="auto"/>
              <w:rPr>
                <w:rFonts w:ascii="Arial"/>
                <w:sz w:val="21"/>
              </w:rPr>
            </w:pPr>
          </w:p>
          <w:p w14:paraId="775632B6">
            <w:pPr>
              <w:pStyle w:val="6"/>
              <w:spacing w:before="69" w:line="241" w:lineRule="auto"/>
              <w:ind w:left="111"/>
              <w:rPr>
                <w:sz w:val="21"/>
                <w:szCs w:val="21"/>
              </w:rPr>
            </w:pPr>
            <w:r>
              <w:rPr>
                <w:sz w:val="21"/>
                <w:szCs w:val="21"/>
              </w:rPr>
              <w:t>1</w:t>
            </w:r>
          </w:p>
        </w:tc>
        <w:tc>
          <w:tcPr>
            <w:tcW w:w="3666" w:type="dxa"/>
            <w:vAlign w:val="top"/>
          </w:tcPr>
          <w:p w14:paraId="5DA44DE8">
            <w:pPr>
              <w:pStyle w:val="6"/>
              <w:spacing w:before="42" w:line="219" w:lineRule="auto"/>
              <w:jc w:val="right"/>
              <w:rPr>
                <w:sz w:val="21"/>
                <w:szCs w:val="21"/>
              </w:rPr>
            </w:pPr>
            <w:r>
              <w:rPr>
                <w:spacing w:val="-1"/>
                <w:sz w:val="21"/>
                <w:szCs w:val="21"/>
              </w:rPr>
              <w:t>光伏方阵用地允许以租赁等方式取得，</w:t>
            </w:r>
          </w:p>
          <w:p w14:paraId="2D00472A">
            <w:pPr>
              <w:pStyle w:val="6"/>
              <w:spacing w:before="30" w:line="219" w:lineRule="auto"/>
              <w:ind w:left="140"/>
              <w:rPr>
                <w:sz w:val="21"/>
                <w:szCs w:val="21"/>
              </w:rPr>
            </w:pPr>
            <w:r>
              <w:rPr>
                <w:sz w:val="21"/>
                <w:szCs w:val="21"/>
              </w:rPr>
              <w:t>用地单位与农村集体经济组织或国有</w:t>
            </w:r>
          </w:p>
          <w:p w14:paraId="7E5BB271">
            <w:pPr>
              <w:pStyle w:val="6"/>
              <w:spacing w:before="40" w:line="219" w:lineRule="auto"/>
              <w:ind w:left="41"/>
              <w:rPr>
                <w:sz w:val="21"/>
                <w:szCs w:val="21"/>
              </w:rPr>
            </w:pPr>
            <w:r>
              <w:rPr>
                <w:spacing w:val="-1"/>
                <w:sz w:val="21"/>
                <w:szCs w:val="21"/>
              </w:rPr>
              <w:t>土地权利主体、当地乡镇政府签订用地</w:t>
            </w:r>
          </w:p>
          <w:p w14:paraId="73BBA23D">
            <w:pPr>
              <w:pStyle w:val="6"/>
              <w:spacing w:before="22" w:line="219" w:lineRule="auto"/>
              <w:ind w:left="41"/>
              <w:rPr>
                <w:sz w:val="21"/>
                <w:szCs w:val="21"/>
              </w:rPr>
            </w:pPr>
            <w:r>
              <w:rPr>
                <w:sz w:val="21"/>
                <w:szCs w:val="21"/>
              </w:rPr>
              <w:t>与补偿协议，报当地县级自然资源和林</w:t>
            </w:r>
          </w:p>
          <w:p w14:paraId="1E8D1AAF">
            <w:pPr>
              <w:pStyle w:val="6"/>
              <w:spacing w:before="10" w:line="203" w:lineRule="auto"/>
              <w:ind w:left="1030"/>
              <w:rPr>
                <w:sz w:val="21"/>
                <w:szCs w:val="21"/>
              </w:rPr>
            </w:pPr>
            <w:r>
              <w:rPr>
                <w:sz w:val="21"/>
                <w:szCs w:val="21"/>
              </w:rPr>
              <w:t>草主管部门备案。</w:t>
            </w:r>
          </w:p>
        </w:tc>
        <w:tc>
          <w:tcPr>
            <w:tcW w:w="3176" w:type="dxa"/>
            <w:vAlign w:val="top"/>
          </w:tcPr>
          <w:p w14:paraId="0A2C22BB">
            <w:pPr>
              <w:pStyle w:val="6"/>
              <w:spacing w:before="182" w:line="219" w:lineRule="auto"/>
              <w:jc w:val="right"/>
              <w:rPr>
                <w:sz w:val="21"/>
                <w:szCs w:val="21"/>
              </w:rPr>
            </w:pPr>
            <w:r>
              <w:rPr>
                <w:sz w:val="21"/>
                <w:szCs w:val="21"/>
              </w:rPr>
              <w:t>本项目用地属于租赁用地，且项目</w:t>
            </w:r>
          </w:p>
          <w:p w14:paraId="65FEDAC8">
            <w:pPr>
              <w:pStyle w:val="6"/>
              <w:spacing w:before="22" w:line="219" w:lineRule="auto"/>
              <w:ind w:left="114"/>
              <w:rPr>
                <w:sz w:val="21"/>
                <w:szCs w:val="21"/>
              </w:rPr>
            </w:pPr>
            <w:r>
              <w:rPr>
                <w:sz w:val="21"/>
                <w:szCs w:val="21"/>
              </w:rPr>
              <w:t>已取得了陆良县自然资源局及林</w:t>
            </w:r>
          </w:p>
          <w:p w14:paraId="312E05ED">
            <w:pPr>
              <w:pStyle w:val="6"/>
              <w:spacing w:before="20" w:line="219" w:lineRule="auto"/>
              <w:jc w:val="right"/>
              <w:rPr>
                <w:sz w:val="21"/>
                <w:szCs w:val="21"/>
              </w:rPr>
            </w:pPr>
            <w:r>
              <w:rPr>
                <w:sz w:val="21"/>
                <w:szCs w:val="21"/>
              </w:rPr>
              <w:t>草等主管部门选址意见，同意项目</w:t>
            </w:r>
          </w:p>
          <w:p w14:paraId="6B7D7EDB">
            <w:pPr>
              <w:pStyle w:val="6"/>
              <w:spacing w:before="46" w:line="224" w:lineRule="auto"/>
              <w:ind w:left="1314"/>
              <w:rPr>
                <w:sz w:val="21"/>
                <w:szCs w:val="21"/>
              </w:rPr>
            </w:pPr>
            <w:r>
              <w:rPr>
                <w:spacing w:val="1"/>
                <w:sz w:val="21"/>
                <w:szCs w:val="21"/>
              </w:rPr>
              <w:t>选址。</w:t>
            </w:r>
          </w:p>
        </w:tc>
        <w:tc>
          <w:tcPr>
            <w:tcW w:w="554" w:type="dxa"/>
            <w:vAlign w:val="top"/>
          </w:tcPr>
          <w:p w14:paraId="4BB0E49B">
            <w:pPr>
              <w:spacing w:line="261" w:lineRule="auto"/>
              <w:rPr>
                <w:rFonts w:ascii="Arial"/>
                <w:sz w:val="21"/>
              </w:rPr>
            </w:pPr>
          </w:p>
          <w:p w14:paraId="7F66C0A2">
            <w:pPr>
              <w:spacing w:line="261" w:lineRule="auto"/>
              <w:rPr>
                <w:rFonts w:ascii="Arial"/>
                <w:sz w:val="21"/>
              </w:rPr>
            </w:pPr>
          </w:p>
          <w:p w14:paraId="07A9B2E2">
            <w:pPr>
              <w:pStyle w:val="6"/>
              <w:spacing w:before="68" w:line="219" w:lineRule="auto"/>
              <w:ind w:left="58"/>
              <w:rPr>
                <w:sz w:val="21"/>
                <w:szCs w:val="21"/>
              </w:rPr>
            </w:pPr>
            <w:r>
              <w:rPr>
                <w:spacing w:val="-3"/>
                <w:sz w:val="21"/>
                <w:szCs w:val="21"/>
              </w:rPr>
              <w:t>符合</w:t>
            </w:r>
          </w:p>
        </w:tc>
      </w:tr>
      <w:tr w14:paraId="60B27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1244" w:type="dxa"/>
            <w:vMerge w:val="continue"/>
            <w:tcBorders>
              <w:top w:val="nil"/>
              <w:bottom w:val="nil"/>
            </w:tcBorders>
            <w:vAlign w:val="top"/>
          </w:tcPr>
          <w:p w14:paraId="28072510">
            <w:pPr>
              <w:rPr>
                <w:rFonts w:ascii="Arial"/>
                <w:sz w:val="21"/>
              </w:rPr>
            </w:pPr>
          </w:p>
        </w:tc>
        <w:tc>
          <w:tcPr>
            <w:tcW w:w="350" w:type="dxa"/>
            <w:vAlign w:val="top"/>
          </w:tcPr>
          <w:p w14:paraId="33E7A118">
            <w:pPr>
              <w:spacing w:line="334" w:lineRule="auto"/>
              <w:rPr>
                <w:rFonts w:ascii="Arial"/>
                <w:sz w:val="21"/>
              </w:rPr>
            </w:pPr>
          </w:p>
          <w:p w14:paraId="19EDC4CD">
            <w:pPr>
              <w:spacing w:line="334" w:lineRule="auto"/>
              <w:rPr>
                <w:rFonts w:ascii="Arial"/>
                <w:sz w:val="21"/>
              </w:rPr>
            </w:pPr>
          </w:p>
          <w:p w14:paraId="12868E28">
            <w:pPr>
              <w:pStyle w:val="6"/>
              <w:spacing w:before="68" w:line="241" w:lineRule="auto"/>
              <w:ind w:left="111"/>
              <w:rPr>
                <w:sz w:val="21"/>
                <w:szCs w:val="21"/>
              </w:rPr>
            </w:pPr>
            <w:r>
              <w:rPr>
                <w:sz w:val="21"/>
                <w:szCs w:val="21"/>
              </w:rPr>
              <w:t>2</w:t>
            </w:r>
          </w:p>
        </w:tc>
        <w:tc>
          <w:tcPr>
            <w:tcW w:w="3666" w:type="dxa"/>
            <w:vAlign w:val="top"/>
          </w:tcPr>
          <w:p w14:paraId="3E192905">
            <w:pPr>
              <w:spacing w:line="258" w:lineRule="auto"/>
              <w:rPr>
                <w:rFonts w:ascii="Arial"/>
                <w:sz w:val="21"/>
              </w:rPr>
            </w:pPr>
          </w:p>
          <w:p w14:paraId="2AAE3664">
            <w:pPr>
              <w:pStyle w:val="6"/>
              <w:spacing w:before="68" w:line="219" w:lineRule="auto"/>
              <w:ind w:left="41"/>
              <w:rPr>
                <w:sz w:val="21"/>
                <w:szCs w:val="21"/>
              </w:rPr>
            </w:pPr>
            <w:r>
              <w:rPr>
                <w:spacing w:val="-1"/>
                <w:sz w:val="21"/>
                <w:szCs w:val="21"/>
              </w:rPr>
              <w:t>光伏方阵用地不得占用耕地，占用其他</w:t>
            </w:r>
          </w:p>
          <w:p w14:paraId="12A1A188">
            <w:pPr>
              <w:pStyle w:val="6"/>
              <w:spacing w:before="22" w:line="219" w:lineRule="auto"/>
              <w:ind w:left="41"/>
              <w:rPr>
                <w:sz w:val="21"/>
                <w:szCs w:val="21"/>
              </w:rPr>
            </w:pPr>
            <w:r>
              <w:rPr>
                <w:spacing w:val="1"/>
                <w:sz w:val="21"/>
                <w:szCs w:val="21"/>
              </w:rPr>
              <w:t>农用地的，应根据实际合理控制，节约</w:t>
            </w:r>
          </w:p>
          <w:p w14:paraId="47559BA8">
            <w:pPr>
              <w:pStyle w:val="6"/>
              <w:spacing w:line="219" w:lineRule="auto"/>
              <w:ind w:left="41"/>
              <w:rPr>
                <w:sz w:val="21"/>
                <w:szCs w:val="21"/>
              </w:rPr>
            </w:pPr>
            <w:r>
              <w:rPr>
                <w:sz w:val="21"/>
                <w:szCs w:val="21"/>
              </w:rPr>
              <w:t>集约用地，尽量避免对生态和农业生产</w:t>
            </w:r>
          </w:p>
          <w:p w14:paraId="5897CEBB">
            <w:pPr>
              <w:pStyle w:val="6"/>
              <w:spacing w:before="22" w:line="221" w:lineRule="auto"/>
              <w:ind w:left="1350"/>
              <w:rPr>
                <w:sz w:val="21"/>
                <w:szCs w:val="21"/>
              </w:rPr>
            </w:pPr>
            <w:r>
              <w:rPr>
                <w:spacing w:val="-1"/>
                <w:sz w:val="21"/>
                <w:szCs w:val="21"/>
              </w:rPr>
              <w:t>造成影响。</w:t>
            </w:r>
          </w:p>
        </w:tc>
        <w:tc>
          <w:tcPr>
            <w:tcW w:w="3176" w:type="dxa"/>
            <w:vAlign w:val="top"/>
          </w:tcPr>
          <w:p w14:paraId="1543D61F">
            <w:pPr>
              <w:pStyle w:val="6"/>
              <w:spacing w:before="39" w:line="219" w:lineRule="auto"/>
              <w:jc w:val="right"/>
              <w:rPr>
                <w:sz w:val="21"/>
                <w:szCs w:val="21"/>
              </w:rPr>
            </w:pPr>
            <w:r>
              <w:rPr>
                <w:spacing w:val="-3"/>
                <w:sz w:val="21"/>
                <w:szCs w:val="21"/>
              </w:rPr>
              <w:t>根据陆良县自然资源局选址意见，</w:t>
            </w:r>
          </w:p>
          <w:p w14:paraId="3F9AFFA9">
            <w:pPr>
              <w:pStyle w:val="6"/>
              <w:spacing w:before="39" w:line="219" w:lineRule="auto"/>
              <w:jc w:val="right"/>
              <w:rPr>
                <w:sz w:val="21"/>
                <w:szCs w:val="21"/>
              </w:rPr>
            </w:pPr>
            <w:r>
              <w:rPr>
                <w:sz w:val="21"/>
                <w:szCs w:val="21"/>
              </w:rPr>
              <w:t>本项目光伏方阵不占用基本农田、</w:t>
            </w:r>
          </w:p>
          <w:p w14:paraId="6B549EC7">
            <w:pPr>
              <w:pStyle w:val="6"/>
              <w:spacing w:before="20" w:line="219" w:lineRule="auto"/>
              <w:ind w:left="4"/>
              <w:rPr>
                <w:sz w:val="21"/>
                <w:szCs w:val="21"/>
              </w:rPr>
            </w:pPr>
            <w:r>
              <w:rPr>
                <w:spacing w:val="-1"/>
                <w:sz w:val="21"/>
                <w:szCs w:val="21"/>
              </w:rPr>
              <w:t>耕地，且本项目为草光互补光伏发</w:t>
            </w:r>
          </w:p>
          <w:p w14:paraId="6D5DAB0C">
            <w:pPr>
              <w:pStyle w:val="6"/>
              <w:spacing w:line="219" w:lineRule="auto"/>
              <w:ind w:left="4"/>
              <w:rPr>
                <w:sz w:val="21"/>
                <w:szCs w:val="21"/>
              </w:rPr>
            </w:pPr>
            <w:r>
              <w:rPr>
                <w:sz w:val="21"/>
                <w:szCs w:val="21"/>
              </w:rPr>
              <w:t>电项目，光伏阵列区内将太阳能发</w:t>
            </w:r>
          </w:p>
          <w:p w14:paraId="7BDE509E">
            <w:pPr>
              <w:pStyle w:val="6"/>
              <w:spacing w:before="21" w:line="219" w:lineRule="auto"/>
              <w:jc w:val="right"/>
              <w:rPr>
                <w:sz w:val="21"/>
                <w:szCs w:val="21"/>
              </w:rPr>
            </w:pPr>
            <w:r>
              <w:rPr>
                <w:sz w:val="21"/>
                <w:szCs w:val="21"/>
              </w:rPr>
              <w:t>电、草地种植有效结合，不会对农</w:t>
            </w:r>
          </w:p>
          <w:p w14:paraId="25F1118E">
            <w:pPr>
              <w:pStyle w:val="6"/>
              <w:spacing w:before="22" w:line="211" w:lineRule="auto"/>
              <w:ind w:left="475"/>
              <w:rPr>
                <w:sz w:val="21"/>
                <w:szCs w:val="21"/>
              </w:rPr>
            </w:pPr>
            <w:r>
              <w:rPr>
                <w:sz w:val="21"/>
                <w:szCs w:val="21"/>
              </w:rPr>
              <w:t>业生产和生态造成影响。</w:t>
            </w:r>
          </w:p>
        </w:tc>
        <w:tc>
          <w:tcPr>
            <w:tcW w:w="554" w:type="dxa"/>
            <w:vAlign w:val="top"/>
          </w:tcPr>
          <w:p w14:paraId="1896AF53">
            <w:pPr>
              <w:spacing w:line="323" w:lineRule="auto"/>
              <w:rPr>
                <w:rFonts w:ascii="Arial"/>
                <w:sz w:val="21"/>
              </w:rPr>
            </w:pPr>
          </w:p>
          <w:p w14:paraId="07554F02">
            <w:pPr>
              <w:spacing w:line="324" w:lineRule="auto"/>
              <w:rPr>
                <w:rFonts w:ascii="Arial"/>
                <w:sz w:val="21"/>
              </w:rPr>
            </w:pPr>
          </w:p>
          <w:p w14:paraId="6B018320">
            <w:pPr>
              <w:pStyle w:val="6"/>
              <w:spacing w:before="68" w:line="219" w:lineRule="auto"/>
              <w:ind w:left="58"/>
              <w:rPr>
                <w:sz w:val="21"/>
                <w:szCs w:val="21"/>
              </w:rPr>
            </w:pPr>
            <w:r>
              <w:rPr>
                <w:spacing w:val="-3"/>
                <w:sz w:val="21"/>
                <w:szCs w:val="21"/>
              </w:rPr>
              <w:t>符合</w:t>
            </w:r>
          </w:p>
        </w:tc>
      </w:tr>
      <w:tr w14:paraId="30484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7" w:hRule="atLeast"/>
        </w:trPr>
        <w:tc>
          <w:tcPr>
            <w:tcW w:w="1244" w:type="dxa"/>
            <w:vMerge w:val="continue"/>
            <w:tcBorders>
              <w:top w:val="nil"/>
              <w:bottom w:val="nil"/>
            </w:tcBorders>
            <w:vAlign w:val="top"/>
          </w:tcPr>
          <w:p w14:paraId="3EEE0CD3">
            <w:pPr>
              <w:rPr>
                <w:rFonts w:ascii="Arial"/>
                <w:sz w:val="21"/>
              </w:rPr>
            </w:pPr>
          </w:p>
        </w:tc>
        <w:tc>
          <w:tcPr>
            <w:tcW w:w="350" w:type="dxa"/>
            <w:vAlign w:val="top"/>
          </w:tcPr>
          <w:p w14:paraId="4D775607">
            <w:pPr>
              <w:spacing w:line="268" w:lineRule="auto"/>
              <w:rPr>
                <w:rFonts w:ascii="Arial"/>
                <w:sz w:val="21"/>
              </w:rPr>
            </w:pPr>
          </w:p>
          <w:p w14:paraId="2B14AA01">
            <w:pPr>
              <w:spacing w:line="268" w:lineRule="auto"/>
              <w:rPr>
                <w:rFonts w:ascii="Arial"/>
                <w:sz w:val="21"/>
              </w:rPr>
            </w:pPr>
          </w:p>
          <w:p w14:paraId="26294457">
            <w:pPr>
              <w:spacing w:line="268" w:lineRule="auto"/>
              <w:rPr>
                <w:rFonts w:ascii="Arial"/>
                <w:sz w:val="21"/>
              </w:rPr>
            </w:pPr>
          </w:p>
          <w:p w14:paraId="48D04CCE">
            <w:pPr>
              <w:spacing w:line="269" w:lineRule="auto"/>
              <w:rPr>
                <w:rFonts w:ascii="Arial"/>
                <w:sz w:val="21"/>
              </w:rPr>
            </w:pPr>
          </w:p>
          <w:p w14:paraId="78837A1E">
            <w:pPr>
              <w:spacing w:line="269" w:lineRule="auto"/>
              <w:rPr>
                <w:rFonts w:ascii="Arial"/>
                <w:sz w:val="21"/>
              </w:rPr>
            </w:pPr>
          </w:p>
          <w:p w14:paraId="43F97C43">
            <w:pPr>
              <w:spacing w:line="269" w:lineRule="auto"/>
              <w:rPr>
                <w:rFonts w:ascii="Arial"/>
                <w:sz w:val="21"/>
              </w:rPr>
            </w:pPr>
          </w:p>
          <w:p w14:paraId="66427C15">
            <w:pPr>
              <w:spacing w:line="269" w:lineRule="auto"/>
              <w:rPr>
                <w:rFonts w:ascii="Arial"/>
                <w:sz w:val="21"/>
              </w:rPr>
            </w:pPr>
          </w:p>
          <w:p w14:paraId="36761ABE">
            <w:pPr>
              <w:spacing w:line="269" w:lineRule="auto"/>
              <w:rPr>
                <w:rFonts w:ascii="Arial"/>
                <w:sz w:val="21"/>
              </w:rPr>
            </w:pPr>
          </w:p>
          <w:p w14:paraId="59C493C8">
            <w:pPr>
              <w:pStyle w:val="6"/>
              <w:spacing w:before="68"/>
              <w:ind w:left="111"/>
              <w:rPr>
                <w:sz w:val="21"/>
                <w:szCs w:val="21"/>
              </w:rPr>
            </w:pPr>
            <w:r>
              <w:rPr>
                <w:sz w:val="21"/>
                <w:szCs w:val="21"/>
              </w:rPr>
              <w:t>3</w:t>
            </w:r>
          </w:p>
        </w:tc>
        <w:tc>
          <w:tcPr>
            <w:tcW w:w="3666" w:type="dxa"/>
            <w:vAlign w:val="top"/>
          </w:tcPr>
          <w:p w14:paraId="79E36FBA">
            <w:pPr>
              <w:pStyle w:val="6"/>
              <w:spacing w:before="309" w:line="219" w:lineRule="auto"/>
              <w:ind w:left="41"/>
              <w:rPr>
                <w:sz w:val="21"/>
                <w:szCs w:val="21"/>
              </w:rPr>
            </w:pPr>
            <w:r>
              <w:rPr>
                <w:spacing w:val="1"/>
                <w:sz w:val="21"/>
                <w:szCs w:val="21"/>
              </w:rPr>
              <w:t>光伏方阵用地涉及使用林地的，须采用</w:t>
            </w:r>
          </w:p>
          <w:p w14:paraId="63B2D70B">
            <w:pPr>
              <w:pStyle w:val="6"/>
              <w:spacing w:before="42" w:line="219" w:lineRule="auto"/>
              <w:ind w:left="91"/>
              <w:rPr>
                <w:sz w:val="21"/>
                <w:szCs w:val="21"/>
              </w:rPr>
            </w:pPr>
            <w:r>
              <w:rPr>
                <w:spacing w:val="-1"/>
                <w:sz w:val="21"/>
                <w:szCs w:val="21"/>
              </w:rPr>
              <w:t>林光互补模式，可使用年降水量400毫</w:t>
            </w:r>
          </w:p>
          <w:p w14:paraId="78576894">
            <w:pPr>
              <w:pStyle w:val="6"/>
              <w:spacing w:before="20" w:line="219" w:lineRule="auto"/>
              <w:ind w:left="41"/>
              <w:rPr>
                <w:sz w:val="21"/>
                <w:szCs w:val="21"/>
              </w:rPr>
            </w:pPr>
            <w:r>
              <w:rPr>
                <w:spacing w:val="-1"/>
                <w:sz w:val="21"/>
                <w:szCs w:val="21"/>
              </w:rPr>
              <w:t>米以下区域的灌木林地以及其他区域覆</w:t>
            </w:r>
          </w:p>
          <w:p w14:paraId="0586D958">
            <w:pPr>
              <w:pStyle w:val="6"/>
              <w:spacing w:before="9" w:line="219" w:lineRule="auto"/>
              <w:ind w:left="91"/>
              <w:rPr>
                <w:sz w:val="21"/>
                <w:szCs w:val="21"/>
              </w:rPr>
            </w:pPr>
            <w:r>
              <w:rPr>
                <w:spacing w:val="-1"/>
                <w:sz w:val="21"/>
                <w:szCs w:val="21"/>
              </w:rPr>
              <w:t>盖度低于50%的灌木林地，不得采伐林</w:t>
            </w:r>
          </w:p>
          <w:p w14:paraId="118C5E3C">
            <w:pPr>
              <w:pStyle w:val="6"/>
              <w:spacing w:before="32" w:line="219" w:lineRule="auto"/>
              <w:ind w:left="41"/>
              <w:rPr>
                <w:sz w:val="21"/>
                <w:szCs w:val="21"/>
              </w:rPr>
            </w:pPr>
            <w:r>
              <w:rPr>
                <w:spacing w:val="-1"/>
                <w:sz w:val="21"/>
                <w:szCs w:val="21"/>
              </w:rPr>
              <w:t>木、割灌及破坏原有植被，不得将乔木</w:t>
            </w:r>
          </w:p>
          <w:p w14:paraId="279D02E9">
            <w:pPr>
              <w:pStyle w:val="6"/>
              <w:spacing w:before="9" w:line="219" w:lineRule="auto"/>
              <w:ind w:left="41"/>
              <w:rPr>
                <w:sz w:val="21"/>
                <w:szCs w:val="21"/>
              </w:rPr>
            </w:pPr>
            <w:r>
              <w:rPr>
                <w:sz w:val="21"/>
                <w:szCs w:val="21"/>
              </w:rPr>
              <w:t>林地、竹林地等采伐改造为灌木林地后</w:t>
            </w:r>
          </w:p>
          <w:p w14:paraId="4953A647">
            <w:pPr>
              <w:pStyle w:val="6"/>
              <w:spacing w:before="41" w:line="219" w:lineRule="auto"/>
              <w:ind w:left="41"/>
              <w:rPr>
                <w:sz w:val="21"/>
                <w:szCs w:val="21"/>
              </w:rPr>
            </w:pPr>
            <w:r>
              <w:rPr>
                <w:sz w:val="21"/>
                <w:szCs w:val="21"/>
              </w:rPr>
              <w:t>架设光伏板；光伏支架最低点应高于灌</w:t>
            </w:r>
          </w:p>
          <w:p w14:paraId="4285311E">
            <w:pPr>
              <w:pStyle w:val="6"/>
              <w:spacing w:before="21" w:line="219" w:lineRule="auto"/>
              <w:ind w:left="91"/>
              <w:rPr>
                <w:sz w:val="21"/>
                <w:szCs w:val="21"/>
              </w:rPr>
            </w:pPr>
            <w:r>
              <w:rPr>
                <w:sz w:val="21"/>
                <w:szCs w:val="21"/>
              </w:rPr>
              <w:t>木高度1米以上，每列光伏板南北方向</w:t>
            </w:r>
          </w:p>
          <w:p w14:paraId="3209B7FE">
            <w:pPr>
              <w:pStyle w:val="6"/>
              <w:spacing w:before="23" w:line="220" w:lineRule="auto"/>
              <w:ind w:left="41"/>
              <w:rPr>
                <w:sz w:val="21"/>
                <w:szCs w:val="21"/>
              </w:rPr>
            </w:pPr>
            <w:r>
              <w:rPr>
                <w:spacing w:val="-1"/>
                <w:sz w:val="21"/>
                <w:szCs w:val="21"/>
              </w:rPr>
              <w:t>应合理设置净间距，具体由各地结合实</w:t>
            </w:r>
          </w:p>
          <w:p w14:paraId="06011783">
            <w:pPr>
              <w:pStyle w:val="6"/>
              <w:spacing w:before="18" w:line="219" w:lineRule="auto"/>
              <w:ind w:left="41"/>
              <w:rPr>
                <w:sz w:val="21"/>
                <w:szCs w:val="21"/>
              </w:rPr>
            </w:pPr>
            <w:r>
              <w:rPr>
                <w:sz w:val="21"/>
                <w:szCs w:val="21"/>
              </w:rPr>
              <w:t>地确定，并采取有效水土保持措施，确</w:t>
            </w:r>
          </w:p>
          <w:p w14:paraId="60931983">
            <w:pPr>
              <w:pStyle w:val="6"/>
              <w:spacing w:before="12" w:line="219" w:lineRule="auto"/>
              <w:ind w:left="41"/>
              <w:rPr>
                <w:sz w:val="21"/>
                <w:szCs w:val="21"/>
              </w:rPr>
            </w:pPr>
            <w:r>
              <w:rPr>
                <w:spacing w:val="-1"/>
                <w:sz w:val="21"/>
                <w:szCs w:val="21"/>
              </w:rPr>
              <w:t>保灌木覆盖度等生长状态不低于林光互</w:t>
            </w:r>
          </w:p>
          <w:p w14:paraId="1202D46B">
            <w:pPr>
              <w:pStyle w:val="6"/>
              <w:spacing w:before="39" w:line="219" w:lineRule="auto"/>
              <w:ind w:left="41"/>
              <w:rPr>
                <w:sz w:val="21"/>
                <w:szCs w:val="21"/>
              </w:rPr>
            </w:pPr>
            <w:r>
              <w:rPr>
                <w:spacing w:val="-1"/>
                <w:sz w:val="21"/>
                <w:szCs w:val="21"/>
              </w:rPr>
              <w:t>补前水平。光伏方阵按规定使用灌木林</w:t>
            </w:r>
          </w:p>
          <w:p w14:paraId="3097B4F1">
            <w:pPr>
              <w:pStyle w:val="6"/>
              <w:spacing w:before="23" w:line="219" w:lineRule="auto"/>
              <w:ind w:left="41"/>
              <w:rPr>
                <w:sz w:val="21"/>
                <w:szCs w:val="21"/>
              </w:rPr>
            </w:pPr>
            <w:r>
              <w:rPr>
                <w:spacing w:val="-1"/>
                <w:sz w:val="21"/>
                <w:szCs w:val="21"/>
              </w:rPr>
              <w:t>地的，施工期间应办理临时使用林地手</w:t>
            </w:r>
          </w:p>
          <w:p w14:paraId="5A97F359">
            <w:pPr>
              <w:pStyle w:val="6"/>
              <w:spacing w:before="11" w:line="220" w:lineRule="auto"/>
              <w:ind w:left="41"/>
              <w:rPr>
                <w:sz w:val="21"/>
                <w:szCs w:val="21"/>
              </w:rPr>
            </w:pPr>
            <w:r>
              <w:rPr>
                <w:spacing w:val="-1"/>
                <w:sz w:val="21"/>
                <w:szCs w:val="21"/>
              </w:rPr>
              <w:t>续，运营期间相关方签订协议，项目服</w:t>
            </w:r>
          </w:p>
          <w:p w14:paraId="6053F630">
            <w:pPr>
              <w:pStyle w:val="6"/>
              <w:spacing w:before="19" w:line="219" w:lineRule="auto"/>
              <w:ind w:left="510"/>
              <w:rPr>
                <w:sz w:val="21"/>
                <w:szCs w:val="21"/>
              </w:rPr>
            </w:pPr>
            <w:r>
              <w:rPr>
                <w:spacing w:val="-1"/>
                <w:sz w:val="21"/>
                <w:szCs w:val="21"/>
              </w:rPr>
              <w:t>务期满后应当恢复林地原状。</w:t>
            </w:r>
          </w:p>
        </w:tc>
        <w:tc>
          <w:tcPr>
            <w:tcW w:w="3176" w:type="dxa"/>
            <w:vAlign w:val="top"/>
          </w:tcPr>
          <w:p w14:paraId="4586B614">
            <w:pPr>
              <w:spacing w:line="264" w:lineRule="auto"/>
              <w:rPr>
                <w:rFonts w:ascii="Arial"/>
                <w:sz w:val="21"/>
              </w:rPr>
            </w:pPr>
          </w:p>
          <w:p w14:paraId="0FB049A2">
            <w:pPr>
              <w:spacing w:line="265" w:lineRule="auto"/>
              <w:rPr>
                <w:rFonts w:ascii="Arial"/>
                <w:sz w:val="21"/>
              </w:rPr>
            </w:pPr>
          </w:p>
          <w:p w14:paraId="046F4AC3">
            <w:pPr>
              <w:pStyle w:val="6"/>
              <w:spacing w:before="68" w:line="219" w:lineRule="auto"/>
              <w:ind w:left="114"/>
              <w:rPr>
                <w:sz w:val="21"/>
                <w:szCs w:val="21"/>
              </w:rPr>
            </w:pPr>
            <w:r>
              <w:rPr>
                <w:sz w:val="21"/>
                <w:szCs w:val="21"/>
              </w:rPr>
              <w:t>项目选址已经对禁止使用的乔木</w:t>
            </w:r>
          </w:p>
          <w:p w14:paraId="4780961A">
            <w:pPr>
              <w:pStyle w:val="6"/>
              <w:spacing w:before="20" w:line="219" w:lineRule="auto"/>
              <w:ind w:left="54"/>
              <w:rPr>
                <w:sz w:val="21"/>
                <w:szCs w:val="21"/>
              </w:rPr>
            </w:pPr>
            <w:r>
              <w:rPr>
                <w:spacing w:val="1"/>
                <w:sz w:val="21"/>
                <w:szCs w:val="21"/>
              </w:rPr>
              <w:t>林地、竹林地、覆盖度高于50%的</w:t>
            </w:r>
          </w:p>
          <w:p w14:paraId="5E5F7072">
            <w:pPr>
              <w:pStyle w:val="6"/>
              <w:spacing w:before="20" w:line="219" w:lineRule="auto"/>
              <w:ind w:left="114"/>
              <w:rPr>
                <w:sz w:val="21"/>
                <w:szCs w:val="21"/>
              </w:rPr>
            </w:pPr>
            <w:r>
              <w:rPr>
                <w:spacing w:val="1"/>
                <w:sz w:val="21"/>
                <w:szCs w:val="21"/>
              </w:rPr>
              <w:t>灌木林地禁止建设和限制建设区</w:t>
            </w:r>
          </w:p>
          <w:p w14:paraId="010FB7F0">
            <w:pPr>
              <w:pStyle w:val="6"/>
              <w:spacing w:before="11" w:line="219" w:lineRule="auto"/>
              <w:ind w:left="4"/>
              <w:rPr>
                <w:sz w:val="21"/>
                <w:szCs w:val="21"/>
              </w:rPr>
            </w:pPr>
            <w:r>
              <w:rPr>
                <w:spacing w:val="-1"/>
                <w:sz w:val="21"/>
                <w:szCs w:val="21"/>
              </w:rPr>
              <w:t>域进行避让。项目建设过程中严禁</w:t>
            </w:r>
          </w:p>
          <w:p w14:paraId="519EC64E">
            <w:pPr>
              <w:pStyle w:val="6"/>
              <w:spacing w:before="41" w:line="219" w:lineRule="auto"/>
              <w:jc w:val="right"/>
              <w:rPr>
                <w:sz w:val="21"/>
                <w:szCs w:val="21"/>
              </w:rPr>
            </w:pPr>
            <w:r>
              <w:rPr>
                <w:spacing w:val="-3"/>
                <w:sz w:val="21"/>
                <w:szCs w:val="21"/>
              </w:rPr>
              <w:t>超范围占地，禁止破坏乔木林地，</w:t>
            </w:r>
          </w:p>
          <w:p w14:paraId="780880BE">
            <w:pPr>
              <w:pStyle w:val="6"/>
              <w:spacing w:before="19" w:line="219" w:lineRule="auto"/>
              <w:ind w:left="114"/>
              <w:rPr>
                <w:sz w:val="21"/>
                <w:szCs w:val="21"/>
              </w:rPr>
            </w:pPr>
            <w:r>
              <w:rPr>
                <w:sz w:val="21"/>
                <w:szCs w:val="21"/>
              </w:rPr>
              <w:t>严格按照光伏支架最低点高于灌</w:t>
            </w:r>
          </w:p>
          <w:p w14:paraId="218BD961">
            <w:pPr>
              <w:pStyle w:val="6"/>
              <w:spacing w:before="11" w:line="219" w:lineRule="auto"/>
              <w:ind w:left="54"/>
              <w:rPr>
                <w:sz w:val="21"/>
                <w:szCs w:val="21"/>
              </w:rPr>
            </w:pPr>
            <w:r>
              <w:rPr>
                <w:sz w:val="21"/>
                <w:szCs w:val="21"/>
              </w:rPr>
              <w:t>木1米以上建设，并采取了有效水</w:t>
            </w:r>
          </w:p>
          <w:p w14:paraId="679F2D59">
            <w:pPr>
              <w:pStyle w:val="6"/>
              <w:spacing w:before="32" w:line="219" w:lineRule="auto"/>
              <w:ind w:left="4"/>
              <w:rPr>
                <w:sz w:val="21"/>
                <w:szCs w:val="21"/>
              </w:rPr>
            </w:pPr>
            <w:r>
              <w:rPr>
                <w:spacing w:val="-1"/>
                <w:sz w:val="21"/>
                <w:szCs w:val="21"/>
              </w:rPr>
              <w:t>土保持措施，项目服务期满后，对</w:t>
            </w:r>
          </w:p>
          <w:p w14:paraId="268612DE">
            <w:pPr>
              <w:pStyle w:val="6"/>
              <w:spacing w:before="10" w:line="219" w:lineRule="auto"/>
              <w:jc w:val="right"/>
              <w:rPr>
                <w:sz w:val="21"/>
                <w:szCs w:val="21"/>
              </w:rPr>
            </w:pPr>
            <w:r>
              <w:rPr>
                <w:sz w:val="21"/>
                <w:szCs w:val="21"/>
              </w:rPr>
              <w:t>工程区域进行林地恢复。本项目使</w:t>
            </w:r>
          </w:p>
          <w:p w14:paraId="1BA77322">
            <w:pPr>
              <w:pStyle w:val="6"/>
              <w:spacing w:before="41" w:line="219" w:lineRule="auto"/>
              <w:jc w:val="right"/>
              <w:rPr>
                <w:sz w:val="21"/>
                <w:szCs w:val="21"/>
              </w:rPr>
            </w:pPr>
            <w:r>
              <w:rPr>
                <w:spacing w:val="-3"/>
                <w:sz w:val="21"/>
                <w:szCs w:val="21"/>
              </w:rPr>
              <w:t>用林地均为人工用材林和经济林，</w:t>
            </w:r>
          </w:p>
          <w:p w14:paraId="6B2A9500">
            <w:pPr>
              <w:pStyle w:val="6"/>
              <w:spacing w:before="20" w:line="219" w:lineRule="auto"/>
              <w:jc w:val="right"/>
              <w:rPr>
                <w:sz w:val="21"/>
                <w:szCs w:val="21"/>
              </w:rPr>
            </w:pPr>
            <w:r>
              <w:rPr>
                <w:sz w:val="21"/>
                <w:szCs w:val="21"/>
              </w:rPr>
              <w:t>经林业主管部门审核同意后，依照</w:t>
            </w:r>
          </w:p>
          <w:p w14:paraId="50BA1615">
            <w:pPr>
              <w:pStyle w:val="6"/>
              <w:spacing w:before="13" w:line="219" w:lineRule="auto"/>
              <w:jc w:val="right"/>
              <w:rPr>
                <w:sz w:val="21"/>
                <w:szCs w:val="21"/>
              </w:rPr>
            </w:pPr>
            <w:r>
              <w:rPr>
                <w:sz w:val="21"/>
                <w:szCs w:val="21"/>
              </w:rPr>
              <w:t>有关土地管理的法律、行政法规办</w:t>
            </w:r>
          </w:p>
          <w:p w14:paraId="4BBB6A66">
            <w:pPr>
              <w:pStyle w:val="6"/>
              <w:spacing w:before="21" w:line="220" w:lineRule="auto"/>
              <w:ind w:left="584"/>
              <w:rPr>
                <w:sz w:val="21"/>
                <w:szCs w:val="21"/>
              </w:rPr>
            </w:pPr>
            <w:r>
              <w:rPr>
                <w:spacing w:val="-1"/>
                <w:sz w:val="21"/>
                <w:szCs w:val="21"/>
              </w:rPr>
              <w:t>理建设用地审批手续。</w:t>
            </w:r>
          </w:p>
        </w:tc>
        <w:tc>
          <w:tcPr>
            <w:tcW w:w="554" w:type="dxa"/>
            <w:vAlign w:val="top"/>
          </w:tcPr>
          <w:p w14:paraId="2990618A">
            <w:pPr>
              <w:spacing w:line="266" w:lineRule="auto"/>
              <w:rPr>
                <w:rFonts w:ascii="Arial"/>
                <w:sz w:val="21"/>
              </w:rPr>
            </w:pPr>
          </w:p>
          <w:p w14:paraId="132DF054">
            <w:pPr>
              <w:spacing w:line="266" w:lineRule="auto"/>
              <w:rPr>
                <w:rFonts w:ascii="Arial"/>
                <w:sz w:val="21"/>
              </w:rPr>
            </w:pPr>
          </w:p>
          <w:p w14:paraId="380B8F3E">
            <w:pPr>
              <w:spacing w:line="266" w:lineRule="auto"/>
              <w:rPr>
                <w:rFonts w:ascii="Arial"/>
                <w:sz w:val="21"/>
              </w:rPr>
            </w:pPr>
          </w:p>
          <w:p w14:paraId="33A1009E">
            <w:pPr>
              <w:spacing w:line="266" w:lineRule="auto"/>
              <w:rPr>
                <w:rFonts w:ascii="Arial"/>
                <w:sz w:val="21"/>
              </w:rPr>
            </w:pPr>
          </w:p>
          <w:p w14:paraId="7C7A1DCA">
            <w:pPr>
              <w:spacing w:line="266" w:lineRule="auto"/>
              <w:rPr>
                <w:rFonts w:ascii="Arial"/>
                <w:sz w:val="21"/>
              </w:rPr>
            </w:pPr>
          </w:p>
          <w:p w14:paraId="53A62931">
            <w:pPr>
              <w:spacing w:line="266" w:lineRule="auto"/>
              <w:rPr>
                <w:rFonts w:ascii="Arial"/>
                <w:sz w:val="21"/>
              </w:rPr>
            </w:pPr>
          </w:p>
          <w:p w14:paraId="74CF90AA">
            <w:pPr>
              <w:spacing w:line="266" w:lineRule="auto"/>
              <w:rPr>
                <w:rFonts w:ascii="Arial"/>
                <w:sz w:val="21"/>
              </w:rPr>
            </w:pPr>
          </w:p>
          <w:p w14:paraId="79E5A13C">
            <w:pPr>
              <w:spacing w:line="267" w:lineRule="auto"/>
              <w:rPr>
                <w:rFonts w:ascii="Arial"/>
                <w:sz w:val="21"/>
              </w:rPr>
            </w:pPr>
          </w:p>
          <w:p w14:paraId="6DCE45F4">
            <w:pPr>
              <w:pStyle w:val="6"/>
              <w:spacing w:before="68" w:line="219" w:lineRule="auto"/>
              <w:ind w:left="58"/>
              <w:rPr>
                <w:sz w:val="21"/>
                <w:szCs w:val="21"/>
              </w:rPr>
            </w:pPr>
            <w:r>
              <w:rPr>
                <w:spacing w:val="-3"/>
                <w:sz w:val="21"/>
                <w:szCs w:val="21"/>
              </w:rPr>
              <w:t>符合</w:t>
            </w:r>
          </w:p>
        </w:tc>
      </w:tr>
      <w:tr w14:paraId="24EA9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8" w:hRule="atLeast"/>
        </w:trPr>
        <w:tc>
          <w:tcPr>
            <w:tcW w:w="1244" w:type="dxa"/>
            <w:vMerge w:val="continue"/>
            <w:tcBorders>
              <w:top w:val="nil"/>
              <w:bottom w:val="nil"/>
            </w:tcBorders>
            <w:vAlign w:val="top"/>
          </w:tcPr>
          <w:p w14:paraId="23807E6F">
            <w:pPr>
              <w:rPr>
                <w:rFonts w:ascii="Arial"/>
                <w:sz w:val="21"/>
              </w:rPr>
            </w:pPr>
          </w:p>
        </w:tc>
        <w:tc>
          <w:tcPr>
            <w:tcW w:w="350" w:type="dxa"/>
            <w:vAlign w:val="top"/>
          </w:tcPr>
          <w:p w14:paraId="701D6995">
            <w:pPr>
              <w:spacing w:line="272" w:lineRule="auto"/>
              <w:rPr>
                <w:rFonts w:ascii="Arial"/>
                <w:sz w:val="21"/>
              </w:rPr>
            </w:pPr>
          </w:p>
          <w:p w14:paraId="0A124115">
            <w:pPr>
              <w:spacing w:line="272" w:lineRule="auto"/>
              <w:rPr>
                <w:rFonts w:ascii="Arial"/>
                <w:sz w:val="21"/>
              </w:rPr>
            </w:pPr>
          </w:p>
          <w:p w14:paraId="02C43F8E">
            <w:pPr>
              <w:spacing w:line="272" w:lineRule="auto"/>
              <w:rPr>
                <w:rFonts w:ascii="Arial"/>
                <w:sz w:val="21"/>
              </w:rPr>
            </w:pPr>
          </w:p>
          <w:p w14:paraId="1D7E0300">
            <w:pPr>
              <w:spacing w:line="273" w:lineRule="auto"/>
              <w:rPr>
                <w:rFonts w:ascii="Arial"/>
                <w:sz w:val="21"/>
              </w:rPr>
            </w:pPr>
          </w:p>
          <w:p w14:paraId="0F6A1275">
            <w:pPr>
              <w:pStyle w:val="6"/>
              <w:spacing w:before="68" w:line="241" w:lineRule="auto"/>
              <w:ind w:left="111"/>
              <w:rPr>
                <w:sz w:val="21"/>
                <w:szCs w:val="21"/>
              </w:rPr>
            </w:pPr>
            <w:r>
              <w:rPr>
                <w:sz w:val="21"/>
                <w:szCs w:val="21"/>
              </w:rPr>
              <w:t>4</w:t>
            </w:r>
          </w:p>
        </w:tc>
        <w:tc>
          <w:tcPr>
            <w:tcW w:w="3666" w:type="dxa"/>
            <w:vAlign w:val="top"/>
          </w:tcPr>
          <w:p w14:paraId="4D5157A1">
            <w:pPr>
              <w:pStyle w:val="6"/>
              <w:spacing w:before="52" w:line="219" w:lineRule="auto"/>
              <w:ind w:left="41"/>
              <w:rPr>
                <w:sz w:val="21"/>
                <w:szCs w:val="21"/>
              </w:rPr>
            </w:pPr>
            <w:r>
              <w:rPr>
                <w:spacing w:val="1"/>
                <w:sz w:val="21"/>
                <w:szCs w:val="21"/>
              </w:rPr>
              <w:t>光伏方阵用地涉及占用基本草原外草原</w:t>
            </w:r>
          </w:p>
          <w:p w14:paraId="21608E34">
            <w:pPr>
              <w:pStyle w:val="6"/>
              <w:spacing w:before="40" w:line="218" w:lineRule="auto"/>
              <w:ind w:left="41"/>
              <w:rPr>
                <w:sz w:val="21"/>
                <w:szCs w:val="21"/>
              </w:rPr>
            </w:pPr>
            <w:r>
              <w:rPr>
                <w:sz w:val="21"/>
                <w:szCs w:val="21"/>
              </w:rPr>
              <w:t>的，地方林草主管部门应科学评估本地</w:t>
            </w:r>
          </w:p>
          <w:p w14:paraId="412D0DBF">
            <w:pPr>
              <w:pStyle w:val="6"/>
              <w:spacing w:before="23" w:line="219" w:lineRule="auto"/>
              <w:ind w:right="4"/>
              <w:jc w:val="right"/>
              <w:rPr>
                <w:sz w:val="21"/>
                <w:szCs w:val="21"/>
              </w:rPr>
            </w:pPr>
            <w:r>
              <w:rPr>
                <w:spacing w:val="2"/>
                <w:sz w:val="21"/>
                <w:szCs w:val="21"/>
              </w:rPr>
              <w:t>区草原资源与生态状况，合理确定项目</w:t>
            </w:r>
          </w:p>
          <w:p w14:paraId="03BA0FED">
            <w:pPr>
              <w:pStyle w:val="6"/>
              <w:spacing w:before="20" w:line="219" w:lineRule="auto"/>
              <w:ind w:left="41"/>
              <w:rPr>
                <w:sz w:val="21"/>
                <w:szCs w:val="21"/>
              </w:rPr>
            </w:pPr>
            <w:r>
              <w:rPr>
                <w:sz w:val="21"/>
                <w:szCs w:val="21"/>
              </w:rPr>
              <w:t>的适建区域、建设模式与建设要求。鼓</w:t>
            </w:r>
          </w:p>
          <w:p w14:paraId="043672EF">
            <w:pPr>
              <w:pStyle w:val="6"/>
              <w:spacing w:before="30" w:line="219" w:lineRule="auto"/>
              <w:jc w:val="right"/>
              <w:rPr>
                <w:sz w:val="21"/>
                <w:szCs w:val="21"/>
              </w:rPr>
            </w:pPr>
            <w:r>
              <w:rPr>
                <w:spacing w:val="-11"/>
                <w:sz w:val="21"/>
                <w:szCs w:val="21"/>
              </w:rPr>
              <w:t>励</w:t>
            </w:r>
            <w:r>
              <w:rPr>
                <w:spacing w:val="-10"/>
                <w:sz w:val="21"/>
                <w:szCs w:val="21"/>
              </w:rPr>
              <w:t>采用“草光互补”模式。光伏方阵用</w:t>
            </w:r>
            <w:r>
              <w:rPr>
                <w:spacing w:val="-9"/>
                <w:sz w:val="21"/>
                <w:szCs w:val="21"/>
              </w:rPr>
              <w:t>地</w:t>
            </w:r>
          </w:p>
          <w:p w14:paraId="64E0D1AB">
            <w:pPr>
              <w:pStyle w:val="6"/>
              <w:spacing w:before="2" w:line="219" w:lineRule="auto"/>
              <w:ind w:left="41"/>
              <w:rPr>
                <w:sz w:val="21"/>
                <w:szCs w:val="21"/>
              </w:rPr>
            </w:pPr>
            <w:r>
              <w:rPr>
                <w:sz w:val="21"/>
                <w:szCs w:val="21"/>
              </w:rPr>
              <w:t>不得改变地表形态，以第三次全国国土</w:t>
            </w:r>
          </w:p>
          <w:p w14:paraId="65F2A7E8">
            <w:pPr>
              <w:pStyle w:val="6"/>
              <w:spacing w:before="51" w:line="219" w:lineRule="auto"/>
              <w:ind w:left="41"/>
              <w:rPr>
                <w:sz w:val="21"/>
                <w:szCs w:val="21"/>
              </w:rPr>
            </w:pPr>
            <w:r>
              <w:rPr>
                <w:spacing w:val="-1"/>
                <w:sz w:val="21"/>
                <w:szCs w:val="21"/>
              </w:rPr>
              <w:t>调查及后续开展的年度国土变更调查成</w:t>
            </w:r>
          </w:p>
          <w:p w14:paraId="0375C632">
            <w:pPr>
              <w:pStyle w:val="6"/>
              <w:spacing w:before="19" w:line="219" w:lineRule="auto"/>
              <w:ind w:left="41"/>
              <w:rPr>
                <w:sz w:val="21"/>
                <w:szCs w:val="21"/>
              </w:rPr>
            </w:pPr>
            <w:r>
              <w:rPr>
                <w:spacing w:val="1"/>
                <w:sz w:val="21"/>
                <w:szCs w:val="21"/>
              </w:rPr>
              <w:t>果为底版，依法依规进行管理。实行用</w:t>
            </w:r>
          </w:p>
          <w:p w14:paraId="07C030CF">
            <w:pPr>
              <w:pStyle w:val="6"/>
              <w:spacing w:before="22" w:line="189" w:lineRule="auto"/>
              <w:ind w:left="190"/>
              <w:rPr>
                <w:sz w:val="21"/>
                <w:szCs w:val="21"/>
              </w:rPr>
            </w:pPr>
            <w:r>
              <w:rPr>
                <w:sz w:val="21"/>
                <w:szCs w:val="21"/>
              </w:rPr>
              <w:t>地备案，不需按非农建设用地审批。</w:t>
            </w:r>
          </w:p>
        </w:tc>
        <w:tc>
          <w:tcPr>
            <w:tcW w:w="3176" w:type="dxa"/>
            <w:vAlign w:val="top"/>
          </w:tcPr>
          <w:p w14:paraId="65911576">
            <w:pPr>
              <w:spacing w:line="272" w:lineRule="auto"/>
              <w:rPr>
                <w:rFonts w:ascii="Arial"/>
                <w:sz w:val="21"/>
              </w:rPr>
            </w:pPr>
          </w:p>
          <w:p w14:paraId="0EDE2852">
            <w:pPr>
              <w:pStyle w:val="6"/>
              <w:spacing w:before="68" w:line="219" w:lineRule="auto"/>
              <w:ind w:left="4"/>
              <w:rPr>
                <w:sz w:val="21"/>
                <w:szCs w:val="21"/>
              </w:rPr>
            </w:pPr>
            <w:r>
              <w:rPr>
                <w:spacing w:val="-1"/>
                <w:sz w:val="21"/>
                <w:szCs w:val="21"/>
              </w:rPr>
              <w:t>本项目不占用基本草原，项目取得</w:t>
            </w:r>
          </w:p>
          <w:p w14:paraId="3C90771C">
            <w:pPr>
              <w:pStyle w:val="6"/>
              <w:spacing w:before="22" w:line="219" w:lineRule="auto"/>
              <w:ind w:left="114"/>
              <w:rPr>
                <w:sz w:val="21"/>
                <w:szCs w:val="21"/>
              </w:rPr>
            </w:pPr>
            <w:r>
              <w:rPr>
                <w:sz w:val="21"/>
                <w:szCs w:val="21"/>
              </w:rPr>
              <w:t>了地方林草主管部门的相关选址</w:t>
            </w:r>
          </w:p>
          <w:p w14:paraId="01164988">
            <w:pPr>
              <w:pStyle w:val="6"/>
              <w:spacing w:before="19" w:line="219" w:lineRule="auto"/>
              <w:ind w:left="4"/>
              <w:rPr>
                <w:sz w:val="21"/>
                <w:szCs w:val="21"/>
              </w:rPr>
            </w:pPr>
            <w:r>
              <w:rPr>
                <w:sz w:val="21"/>
                <w:szCs w:val="21"/>
              </w:rPr>
              <w:t>意见，本项目光伏方阵区仅对桩基</w:t>
            </w:r>
          </w:p>
          <w:p w14:paraId="066EA962">
            <w:pPr>
              <w:pStyle w:val="6"/>
              <w:spacing w:before="30" w:line="219" w:lineRule="auto"/>
              <w:ind w:left="4"/>
              <w:rPr>
                <w:sz w:val="21"/>
                <w:szCs w:val="21"/>
              </w:rPr>
            </w:pPr>
            <w:r>
              <w:rPr>
                <w:spacing w:val="-1"/>
                <w:sz w:val="21"/>
                <w:szCs w:val="21"/>
              </w:rPr>
              <w:t>用地进行硬化，不会改变方阵用地</w:t>
            </w:r>
          </w:p>
          <w:p w14:paraId="4761D7C4">
            <w:pPr>
              <w:pStyle w:val="6"/>
              <w:spacing w:before="12" w:line="219" w:lineRule="auto"/>
              <w:ind w:left="4"/>
              <w:rPr>
                <w:sz w:val="21"/>
                <w:szCs w:val="21"/>
              </w:rPr>
            </w:pPr>
            <w:r>
              <w:rPr>
                <w:sz w:val="21"/>
                <w:szCs w:val="21"/>
              </w:rPr>
              <w:t>的地表形态，同时在项目服务期满</w:t>
            </w:r>
          </w:p>
          <w:p w14:paraId="5BC71E1D">
            <w:pPr>
              <w:pStyle w:val="6"/>
              <w:spacing w:before="40" w:line="219" w:lineRule="auto"/>
              <w:jc w:val="right"/>
              <w:rPr>
                <w:sz w:val="21"/>
                <w:szCs w:val="21"/>
              </w:rPr>
            </w:pPr>
            <w:r>
              <w:rPr>
                <w:spacing w:val="-3"/>
                <w:sz w:val="21"/>
                <w:szCs w:val="21"/>
              </w:rPr>
              <w:t>后，将对光伏阵列设备进行拆除，</w:t>
            </w:r>
          </w:p>
          <w:p w14:paraId="6FDE008F">
            <w:pPr>
              <w:pStyle w:val="6"/>
              <w:spacing w:before="2" w:line="219" w:lineRule="auto"/>
              <w:ind w:left="894"/>
              <w:rPr>
                <w:sz w:val="21"/>
                <w:szCs w:val="21"/>
              </w:rPr>
            </w:pPr>
            <w:r>
              <w:rPr>
                <w:sz w:val="21"/>
                <w:szCs w:val="21"/>
              </w:rPr>
              <w:t>恢复用地原状。</w:t>
            </w:r>
          </w:p>
        </w:tc>
        <w:tc>
          <w:tcPr>
            <w:tcW w:w="554" w:type="dxa"/>
            <w:vAlign w:val="top"/>
          </w:tcPr>
          <w:p w14:paraId="596E8375">
            <w:pPr>
              <w:spacing w:line="267" w:lineRule="auto"/>
              <w:rPr>
                <w:rFonts w:ascii="Arial"/>
                <w:sz w:val="21"/>
              </w:rPr>
            </w:pPr>
          </w:p>
          <w:p w14:paraId="2535672E">
            <w:pPr>
              <w:spacing w:line="267" w:lineRule="auto"/>
              <w:rPr>
                <w:rFonts w:ascii="Arial"/>
                <w:sz w:val="21"/>
              </w:rPr>
            </w:pPr>
          </w:p>
          <w:p w14:paraId="24126BBD">
            <w:pPr>
              <w:spacing w:line="267" w:lineRule="auto"/>
              <w:rPr>
                <w:rFonts w:ascii="Arial"/>
                <w:sz w:val="21"/>
              </w:rPr>
            </w:pPr>
          </w:p>
          <w:p w14:paraId="72DEEBD0">
            <w:pPr>
              <w:spacing w:line="267" w:lineRule="auto"/>
              <w:rPr>
                <w:rFonts w:ascii="Arial"/>
                <w:sz w:val="21"/>
              </w:rPr>
            </w:pPr>
          </w:p>
          <w:p w14:paraId="1CD265EB">
            <w:pPr>
              <w:pStyle w:val="6"/>
              <w:spacing w:before="69" w:line="219" w:lineRule="auto"/>
              <w:ind w:left="58"/>
              <w:rPr>
                <w:sz w:val="21"/>
                <w:szCs w:val="21"/>
              </w:rPr>
            </w:pPr>
            <w:r>
              <w:rPr>
                <w:spacing w:val="-3"/>
                <w:sz w:val="21"/>
                <w:szCs w:val="21"/>
              </w:rPr>
              <w:t>符合</w:t>
            </w:r>
          </w:p>
        </w:tc>
      </w:tr>
      <w:tr w14:paraId="0E44A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trPr>
        <w:tc>
          <w:tcPr>
            <w:tcW w:w="1244" w:type="dxa"/>
            <w:vMerge w:val="continue"/>
            <w:tcBorders>
              <w:top w:val="nil"/>
              <w:bottom w:val="nil"/>
            </w:tcBorders>
            <w:vAlign w:val="top"/>
          </w:tcPr>
          <w:p w14:paraId="4B8E280C">
            <w:pPr>
              <w:rPr>
                <w:rFonts w:ascii="Arial"/>
                <w:sz w:val="21"/>
              </w:rPr>
            </w:pPr>
          </w:p>
        </w:tc>
        <w:tc>
          <w:tcPr>
            <w:tcW w:w="350" w:type="dxa"/>
            <w:vAlign w:val="top"/>
          </w:tcPr>
          <w:p w14:paraId="66EA9AD1">
            <w:pPr>
              <w:spacing w:line="310" w:lineRule="auto"/>
              <w:rPr>
                <w:rFonts w:ascii="Arial"/>
                <w:sz w:val="21"/>
              </w:rPr>
            </w:pPr>
          </w:p>
          <w:p w14:paraId="5F87A9C7">
            <w:pPr>
              <w:spacing w:line="311" w:lineRule="auto"/>
              <w:rPr>
                <w:rFonts w:ascii="Arial"/>
                <w:sz w:val="21"/>
              </w:rPr>
            </w:pPr>
          </w:p>
          <w:p w14:paraId="7C86C1A1">
            <w:pPr>
              <w:spacing w:line="311" w:lineRule="auto"/>
              <w:rPr>
                <w:rFonts w:ascii="Arial"/>
                <w:sz w:val="21"/>
              </w:rPr>
            </w:pPr>
          </w:p>
          <w:p w14:paraId="0BD0D7BC">
            <w:pPr>
              <w:pStyle w:val="6"/>
              <w:spacing w:before="68"/>
              <w:ind w:left="111"/>
              <w:rPr>
                <w:sz w:val="21"/>
                <w:szCs w:val="21"/>
              </w:rPr>
            </w:pPr>
            <w:r>
              <w:rPr>
                <w:sz w:val="21"/>
                <w:szCs w:val="21"/>
              </w:rPr>
              <w:t>5</w:t>
            </w:r>
          </w:p>
        </w:tc>
        <w:tc>
          <w:tcPr>
            <w:tcW w:w="3666" w:type="dxa"/>
            <w:vAlign w:val="top"/>
          </w:tcPr>
          <w:p w14:paraId="079939AE">
            <w:pPr>
              <w:pStyle w:val="6"/>
              <w:spacing w:before="56" w:line="236" w:lineRule="auto"/>
              <w:ind w:left="41"/>
              <w:jc w:val="both"/>
              <w:rPr>
                <w:sz w:val="21"/>
                <w:szCs w:val="21"/>
              </w:rPr>
            </w:pPr>
            <w:r>
              <w:rPr>
                <w:spacing w:val="1"/>
                <w:sz w:val="21"/>
                <w:szCs w:val="21"/>
              </w:rPr>
              <w:t>光伏发电项目配套设施用地，按建设用</w:t>
            </w:r>
            <w:r>
              <w:rPr>
                <w:spacing w:val="7"/>
                <w:sz w:val="21"/>
                <w:szCs w:val="21"/>
              </w:rPr>
              <w:t xml:space="preserve"> </w:t>
            </w:r>
            <w:r>
              <w:rPr>
                <w:spacing w:val="1"/>
                <w:sz w:val="21"/>
                <w:szCs w:val="21"/>
              </w:rPr>
              <w:t>地进行管理，依法依规办理建设用地审</w:t>
            </w:r>
            <w:r>
              <w:rPr>
                <w:sz w:val="21"/>
                <w:szCs w:val="21"/>
              </w:rPr>
              <w:t xml:space="preserve"> </w:t>
            </w:r>
            <w:r>
              <w:rPr>
                <w:spacing w:val="-1"/>
                <w:sz w:val="21"/>
                <w:szCs w:val="21"/>
              </w:rPr>
              <w:t>批手续。其中，涉及占用耕地的，按规</w:t>
            </w:r>
            <w:r>
              <w:rPr>
                <w:spacing w:val="8"/>
                <w:sz w:val="21"/>
                <w:szCs w:val="21"/>
              </w:rPr>
              <w:t xml:space="preserve"> </w:t>
            </w:r>
            <w:r>
              <w:rPr>
                <w:spacing w:val="2"/>
                <w:sz w:val="21"/>
                <w:szCs w:val="21"/>
              </w:rPr>
              <w:t>定落实占补平衡。符合光伏用地标准，</w:t>
            </w:r>
            <w:r>
              <w:rPr>
                <w:spacing w:val="9"/>
                <w:sz w:val="21"/>
                <w:szCs w:val="21"/>
              </w:rPr>
              <w:t xml:space="preserve"> </w:t>
            </w:r>
            <w:r>
              <w:rPr>
                <w:spacing w:val="-1"/>
                <w:sz w:val="21"/>
                <w:szCs w:val="21"/>
              </w:rPr>
              <w:t>位于方阵内部和四周，直接配套光伏方</w:t>
            </w:r>
            <w:r>
              <w:rPr>
                <w:spacing w:val="7"/>
                <w:sz w:val="21"/>
                <w:szCs w:val="21"/>
              </w:rPr>
              <w:t xml:space="preserve"> </w:t>
            </w:r>
            <w:r>
              <w:rPr>
                <w:sz w:val="21"/>
                <w:szCs w:val="21"/>
              </w:rPr>
              <w:t>阵的道路，可按农村道路用地管理，涉</w:t>
            </w:r>
            <w:r>
              <w:rPr>
                <w:spacing w:val="8"/>
                <w:sz w:val="21"/>
                <w:szCs w:val="21"/>
              </w:rPr>
              <w:t xml:space="preserve"> </w:t>
            </w:r>
            <w:r>
              <w:rPr>
                <w:spacing w:val="2"/>
                <w:sz w:val="21"/>
                <w:szCs w:val="21"/>
              </w:rPr>
              <w:t>及占用耕地的，按规定落实进出平衡。</w:t>
            </w:r>
          </w:p>
          <w:p w14:paraId="312E6994">
            <w:pPr>
              <w:pStyle w:val="6"/>
              <w:spacing w:line="195" w:lineRule="auto"/>
              <w:ind w:left="611"/>
              <w:rPr>
                <w:sz w:val="21"/>
                <w:szCs w:val="21"/>
              </w:rPr>
            </w:pPr>
            <w:r>
              <w:rPr>
                <w:sz w:val="21"/>
                <w:szCs w:val="21"/>
              </w:rPr>
              <w:t>其他道路按建设用地管理。</w:t>
            </w:r>
          </w:p>
        </w:tc>
        <w:tc>
          <w:tcPr>
            <w:tcW w:w="3176" w:type="dxa"/>
            <w:vAlign w:val="top"/>
          </w:tcPr>
          <w:p w14:paraId="79B964BC">
            <w:pPr>
              <w:spacing w:line="255" w:lineRule="auto"/>
              <w:rPr>
                <w:rFonts w:ascii="Arial"/>
                <w:sz w:val="21"/>
              </w:rPr>
            </w:pPr>
          </w:p>
          <w:p w14:paraId="2280BD45">
            <w:pPr>
              <w:pStyle w:val="6"/>
              <w:spacing w:before="69" w:line="219" w:lineRule="auto"/>
              <w:ind w:left="114"/>
              <w:rPr>
                <w:sz w:val="21"/>
                <w:szCs w:val="21"/>
              </w:rPr>
            </w:pPr>
            <w:r>
              <w:rPr>
                <w:sz w:val="21"/>
                <w:szCs w:val="21"/>
              </w:rPr>
              <w:t>项目配套设施用地严格按照建设</w:t>
            </w:r>
          </w:p>
          <w:p w14:paraId="4C4F4D2A">
            <w:pPr>
              <w:pStyle w:val="6"/>
              <w:spacing w:before="19" w:line="219" w:lineRule="auto"/>
              <w:ind w:left="4"/>
              <w:rPr>
                <w:sz w:val="21"/>
                <w:szCs w:val="21"/>
              </w:rPr>
            </w:pPr>
            <w:r>
              <w:rPr>
                <w:spacing w:val="-1"/>
                <w:sz w:val="21"/>
                <w:szCs w:val="21"/>
              </w:rPr>
              <w:t>用地进行管理，依法依规办理建设</w:t>
            </w:r>
          </w:p>
          <w:p w14:paraId="4C3C6268">
            <w:pPr>
              <w:pStyle w:val="6"/>
              <w:spacing w:before="21" w:line="219" w:lineRule="auto"/>
              <w:jc w:val="right"/>
              <w:rPr>
                <w:sz w:val="21"/>
                <w:szCs w:val="21"/>
              </w:rPr>
            </w:pPr>
            <w:r>
              <w:rPr>
                <w:sz w:val="21"/>
                <w:szCs w:val="21"/>
              </w:rPr>
              <w:t>用地审批手续，项目光伏方阵未占</w:t>
            </w:r>
          </w:p>
          <w:p w14:paraId="6754497D">
            <w:pPr>
              <w:pStyle w:val="6"/>
              <w:spacing w:before="10" w:line="219" w:lineRule="auto"/>
              <w:ind w:left="4"/>
              <w:rPr>
                <w:sz w:val="21"/>
                <w:szCs w:val="21"/>
              </w:rPr>
            </w:pPr>
            <w:r>
              <w:rPr>
                <w:spacing w:val="-1"/>
                <w:sz w:val="21"/>
                <w:szCs w:val="21"/>
              </w:rPr>
              <w:t>用基本农田、耕地，光伏方阵区配</w:t>
            </w:r>
          </w:p>
          <w:p w14:paraId="4D0E22F8">
            <w:pPr>
              <w:pStyle w:val="6"/>
              <w:spacing w:before="21" w:line="219" w:lineRule="auto"/>
              <w:jc w:val="right"/>
              <w:rPr>
                <w:sz w:val="21"/>
                <w:szCs w:val="21"/>
              </w:rPr>
            </w:pPr>
            <w:r>
              <w:rPr>
                <w:sz w:val="21"/>
                <w:szCs w:val="21"/>
              </w:rPr>
              <w:t>套道路符光伏用地标准，并严格按</w:t>
            </w:r>
          </w:p>
          <w:p w14:paraId="30D15C6A">
            <w:pPr>
              <w:pStyle w:val="6"/>
              <w:spacing w:before="20" w:line="219" w:lineRule="auto"/>
              <w:ind w:left="374"/>
              <w:rPr>
                <w:sz w:val="21"/>
                <w:szCs w:val="21"/>
              </w:rPr>
            </w:pPr>
            <w:r>
              <w:rPr>
                <w:spacing w:val="-1"/>
                <w:sz w:val="21"/>
                <w:szCs w:val="21"/>
              </w:rPr>
              <w:t>照农村道路用地进行管理。</w:t>
            </w:r>
          </w:p>
        </w:tc>
        <w:tc>
          <w:tcPr>
            <w:tcW w:w="554" w:type="dxa"/>
            <w:vAlign w:val="top"/>
          </w:tcPr>
          <w:p w14:paraId="4EB1941A">
            <w:pPr>
              <w:spacing w:line="303" w:lineRule="auto"/>
              <w:rPr>
                <w:rFonts w:ascii="Arial"/>
                <w:sz w:val="21"/>
              </w:rPr>
            </w:pPr>
          </w:p>
          <w:p w14:paraId="4ECB16DB">
            <w:pPr>
              <w:spacing w:line="304" w:lineRule="auto"/>
              <w:rPr>
                <w:rFonts w:ascii="Arial"/>
                <w:sz w:val="21"/>
              </w:rPr>
            </w:pPr>
          </w:p>
          <w:p w14:paraId="0704811D">
            <w:pPr>
              <w:spacing w:line="304" w:lineRule="auto"/>
              <w:rPr>
                <w:rFonts w:ascii="Arial"/>
                <w:sz w:val="21"/>
              </w:rPr>
            </w:pPr>
          </w:p>
          <w:p w14:paraId="07FBF24F">
            <w:pPr>
              <w:pStyle w:val="6"/>
              <w:spacing w:before="69" w:line="219" w:lineRule="auto"/>
              <w:ind w:left="58"/>
              <w:rPr>
                <w:sz w:val="21"/>
                <w:szCs w:val="21"/>
              </w:rPr>
            </w:pPr>
            <w:r>
              <w:rPr>
                <w:spacing w:val="-3"/>
                <w:sz w:val="21"/>
                <w:szCs w:val="21"/>
              </w:rPr>
              <w:t>符合</w:t>
            </w:r>
          </w:p>
        </w:tc>
      </w:tr>
      <w:tr w14:paraId="5CEBF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244" w:type="dxa"/>
            <w:vMerge w:val="continue"/>
            <w:tcBorders>
              <w:top w:val="nil"/>
            </w:tcBorders>
            <w:vAlign w:val="top"/>
          </w:tcPr>
          <w:p w14:paraId="3DA72576">
            <w:pPr>
              <w:rPr>
                <w:rFonts w:ascii="Arial"/>
                <w:sz w:val="21"/>
              </w:rPr>
            </w:pPr>
          </w:p>
        </w:tc>
        <w:tc>
          <w:tcPr>
            <w:tcW w:w="7746" w:type="dxa"/>
            <w:gridSpan w:val="4"/>
            <w:vAlign w:val="top"/>
          </w:tcPr>
          <w:p w14:paraId="4491A875">
            <w:pPr>
              <w:pStyle w:val="6"/>
              <w:spacing w:before="47" w:line="394" w:lineRule="auto"/>
              <w:ind w:left="40" w:right="935" w:firstLine="469"/>
              <w:rPr>
                <w:sz w:val="21"/>
                <w:szCs w:val="21"/>
              </w:rPr>
            </w:pPr>
            <w:r>
              <w:rPr>
                <w:spacing w:val="-1"/>
                <w:sz w:val="21"/>
                <w:szCs w:val="21"/>
              </w:rPr>
              <w:t>从上表可以看出，本项目符合《关于支持光伏发电产业发展规范用地</w:t>
            </w:r>
            <w:r>
              <w:rPr>
                <w:spacing w:val="18"/>
                <w:sz w:val="21"/>
                <w:szCs w:val="21"/>
              </w:rPr>
              <w:t xml:space="preserve"> </w:t>
            </w:r>
            <w:r>
              <w:rPr>
                <w:sz w:val="21"/>
                <w:szCs w:val="21"/>
              </w:rPr>
              <w:t>管理有关工作的通知》(自然资发[2023]12号)的相关要求。</w:t>
            </w:r>
          </w:p>
        </w:tc>
      </w:tr>
    </w:tbl>
    <w:p w14:paraId="521579B8">
      <w:pPr>
        <w:pStyle w:val="2"/>
      </w:pPr>
    </w:p>
    <w:p w14:paraId="4AE98E21">
      <w:pPr>
        <w:sectPr>
          <w:footerReference r:id="rId24" w:type="default"/>
          <w:pgSz w:w="11910" w:h="16830"/>
          <w:pgMar w:top="400" w:right="1494" w:bottom="1245" w:left="1415" w:header="0" w:footer="1083" w:gutter="0"/>
          <w:cols w:space="720" w:num="1"/>
        </w:sectPr>
      </w:pPr>
    </w:p>
    <w:p w14:paraId="574E382D">
      <w:pPr>
        <w:spacing w:before="18"/>
      </w:pPr>
    </w:p>
    <w:p w14:paraId="247F52A0">
      <w:pPr>
        <w:spacing w:before="18"/>
      </w:pPr>
    </w:p>
    <w:p w14:paraId="05724027">
      <w:pPr>
        <w:spacing w:before="17"/>
      </w:pPr>
    </w:p>
    <w:p w14:paraId="60FA2038">
      <w:pPr>
        <w:spacing w:before="17"/>
      </w:pPr>
    </w:p>
    <w:p w14:paraId="42A738E3">
      <w:pPr>
        <w:spacing w:before="17"/>
      </w:pPr>
    </w:p>
    <w:tbl>
      <w:tblPr>
        <w:tblStyle w:val="5"/>
        <w:tblW w:w="888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3"/>
        <w:gridCol w:w="1308"/>
        <w:gridCol w:w="4695"/>
        <w:gridCol w:w="1658"/>
      </w:tblGrid>
      <w:tr w14:paraId="3A828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2" w:hRule="atLeast"/>
        </w:trPr>
        <w:tc>
          <w:tcPr>
            <w:tcW w:w="1223" w:type="dxa"/>
            <w:vMerge w:val="restart"/>
            <w:tcBorders>
              <w:bottom w:val="nil"/>
            </w:tcBorders>
            <w:vAlign w:val="top"/>
          </w:tcPr>
          <w:p w14:paraId="1761938B">
            <w:pPr>
              <w:rPr>
                <w:rFonts w:ascii="Arial"/>
                <w:sz w:val="21"/>
              </w:rPr>
            </w:pPr>
          </w:p>
        </w:tc>
        <w:tc>
          <w:tcPr>
            <w:tcW w:w="7661" w:type="dxa"/>
            <w:gridSpan w:val="3"/>
            <w:vAlign w:val="top"/>
          </w:tcPr>
          <w:p w14:paraId="7A8F5E12">
            <w:pPr>
              <w:pStyle w:val="6"/>
              <w:spacing w:before="19" w:line="219" w:lineRule="auto"/>
              <w:ind w:left="15"/>
            </w:pPr>
            <w:r>
              <w:rPr>
                <w:b/>
                <w:bCs/>
                <w:spacing w:val="-3"/>
              </w:rPr>
              <w:t>8与《曲靖市生态环境分区管控动态更新方案(2023年)》符合性分析</w:t>
            </w:r>
          </w:p>
          <w:p w14:paraId="418832B5">
            <w:pPr>
              <w:pStyle w:val="6"/>
              <w:spacing w:before="222" w:line="219" w:lineRule="auto"/>
              <w:ind w:left="402"/>
            </w:pPr>
            <w:r>
              <w:t>根据曲靖市生态环境局关于印发《曲靖市生态</w:t>
            </w:r>
            <w:r>
              <w:rPr>
                <w:spacing w:val="-1"/>
              </w:rPr>
              <w:t>环境分区管控动态更新</w:t>
            </w:r>
          </w:p>
          <w:p w14:paraId="459AE83D">
            <w:pPr>
              <w:pStyle w:val="6"/>
              <w:spacing w:before="210" w:line="386" w:lineRule="auto"/>
              <w:ind w:left="11"/>
            </w:pPr>
            <w:r>
              <w:rPr>
                <w:spacing w:val="30"/>
              </w:rPr>
              <w:t>方案(2023年)》的通知(曲环通〔2024〕36号):全市共划定91个环境</w:t>
            </w:r>
            <w:r>
              <w:rPr>
                <w:spacing w:val="8"/>
              </w:rPr>
              <w:t xml:space="preserve"> </w:t>
            </w:r>
            <w:r>
              <w:t>管控单元。其中，优先保护单元27个，重点管控单元55个，一般管控</w:t>
            </w:r>
            <w:r>
              <w:rPr>
                <w:spacing w:val="-1"/>
              </w:rPr>
              <w:t>单元</w:t>
            </w:r>
          </w:p>
          <w:p w14:paraId="3A3C081C">
            <w:pPr>
              <w:pStyle w:val="6"/>
              <w:spacing w:line="219" w:lineRule="auto"/>
              <w:ind w:left="11"/>
            </w:pPr>
            <w:r>
              <w:t>9个。</w:t>
            </w:r>
          </w:p>
          <w:p w14:paraId="1D4CFCFB">
            <w:pPr>
              <w:pStyle w:val="6"/>
              <w:spacing w:before="208" w:line="397" w:lineRule="auto"/>
              <w:ind w:left="31" w:right="596" w:firstLine="410"/>
            </w:pPr>
            <w:r>
              <w:t>根据曲靖市自然资源局查询的资料，本项目涉及的管控单元情况，详</w:t>
            </w:r>
            <w:r>
              <w:rPr>
                <w:spacing w:val="11"/>
              </w:rPr>
              <w:t xml:space="preserve"> </w:t>
            </w:r>
            <w:r>
              <w:rPr>
                <w:spacing w:val="-1"/>
              </w:rPr>
              <w:t>见下表。</w:t>
            </w:r>
          </w:p>
          <w:p w14:paraId="308AF72C">
            <w:pPr>
              <w:pStyle w:val="6"/>
              <w:spacing w:line="218" w:lineRule="auto"/>
              <w:ind w:left="2465"/>
            </w:pPr>
            <w:r>
              <w:rPr>
                <w:b/>
                <w:bCs/>
                <w:spacing w:val="-3"/>
              </w:rPr>
              <w:t>表1-7本项目涉及管控单元情况</w:t>
            </w:r>
          </w:p>
        </w:tc>
      </w:tr>
      <w:tr w14:paraId="6DF94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24C3EA2F">
            <w:pPr>
              <w:rPr>
                <w:rFonts w:ascii="Arial"/>
                <w:sz w:val="21"/>
              </w:rPr>
            </w:pPr>
          </w:p>
        </w:tc>
        <w:tc>
          <w:tcPr>
            <w:tcW w:w="1308" w:type="dxa"/>
            <w:vAlign w:val="top"/>
          </w:tcPr>
          <w:p w14:paraId="464E3B90">
            <w:pPr>
              <w:pStyle w:val="6"/>
              <w:spacing w:before="31" w:line="200" w:lineRule="auto"/>
              <w:ind w:left="101"/>
            </w:pPr>
            <w:r>
              <w:rPr>
                <w:spacing w:val="3"/>
              </w:rPr>
              <w:t>占地类型</w:t>
            </w:r>
          </w:p>
        </w:tc>
        <w:tc>
          <w:tcPr>
            <w:tcW w:w="4695" w:type="dxa"/>
            <w:vAlign w:val="top"/>
          </w:tcPr>
          <w:p w14:paraId="4B2A3F1F">
            <w:pPr>
              <w:pStyle w:val="6"/>
              <w:spacing w:before="31" w:line="200" w:lineRule="auto"/>
              <w:ind w:left="93"/>
            </w:pPr>
            <w:r>
              <w:rPr>
                <w:spacing w:val="1"/>
              </w:rPr>
              <w:t>管控单元名称</w:t>
            </w:r>
          </w:p>
        </w:tc>
        <w:tc>
          <w:tcPr>
            <w:tcW w:w="1658" w:type="dxa"/>
            <w:vAlign w:val="top"/>
          </w:tcPr>
          <w:p w14:paraId="0F65B208">
            <w:pPr>
              <w:pStyle w:val="6"/>
              <w:spacing w:before="32" w:line="199" w:lineRule="auto"/>
              <w:ind w:left="99"/>
            </w:pPr>
            <w:r>
              <w:rPr>
                <w:spacing w:val="-6"/>
              </w:rPr>
              <w:t>面</w:t>
            </w:r>
            <w:r>
              <w:rPr>
                <w:spacing w:val="-44"/>
              </w:rPr>
              <w:t xml:space="preserve"> </w:t>
            </w:r>
            <w:r>
              <w:rPr>
                <w:spacing w:val="-6"/>
              </w:rPr>
              <w:t>积</w:t>
            </w:r>
            <w:r>
              <w:rPr>
                <w:spacing w:val="-51"/>
              </w:rPr>
              <w:t xml:space="preserve"> </w:t>
            </w:r>
            <w:r>
              <w:rPr>
                <w:spacing w:val="-6"/>
              </w:rPr>
              <w:t>m</w:t>
            </w:r>
            <w:r>
              <w:rPr>
                <w:spacing w:val="-52"/>
              </w:rPr>
              <w:t xml:space="preserve"> </w:t>
            </w:r>
            <w:r>
              <w:rPr>
                <w:spacing w:val="-6"/>
              </w:rPr>
              <w:t>²</w:t>
            </w:r>
          </w:p>
        </w:tc>
      </w:tr>
      <w:tr w14:paraId="404E5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23" w:type="dxa"/>
            <w:vMerge w:val="continue"/>
            <w:tcBorders>
              <w:top w:val="nil"/>
              <w:bottom w:val="nil"/>
            </w:tcBorders>
            <w:vAlign w:val="top"/>
          </w:tcPr>
          <w:p w14:paraId="06EFA47B">
            <w:pPr>
              <w:rPr>
                <w:rFonts w:ascii="Arial"/>
                <w:sz w:val="21"/>
              </w:rPr>
            </w:pPr>
          </w:p>
        </w:tc>
        <w:tc>
          <w:tcPr>
            <w:tcW w:w="1308" w:type="dxa"/>
            <w:vMerge w:val="restart"/>
            <w:tcBorders>
              <w:bottom w:val="nil"/>
            </w:tcBorders>
            <w:vAlign w:val="top"/>
          </w:tcPr>
          <w:p w14:paraId="6CEA48E9">
            <w:pPr>
              <w:pStyle w:val="6"/>
              <w:spacing w:before="43" w:line="221" w:lineRule="auto"/>
              <w:ind w:left="101"/>
            </w:pPr>
            <w:r>
              <w:rPr>
                <w:spacing w:val="-2"/>
              </w:rPr>
              <w:t>永久占地</w:t>
            </w:r>
          </w:p>
        </w:tc>
        <w:tc>
          <w:tcPr>
            <w:tcW w:w="4695" w:type="dxa"/>
            <w:vAlign w:val="top"/>
          </w:tcPr>
          <w:p w14:paraId="61F2C3C7">
            <w:pPr>
              <w:pStyle w:val="6"/>
              <w:spacing w:before="30" w:line="209" w:lineRule="auto"/>
              <w:ind w:left="93"/>
            </w:pPr>
            <w:r>
              <w:rPr>
                <w:spacing w:val="-2"/>
              </w:rPr>
              <w:t>水环境管控单元：大莫古集镇水厂饮用水水源地</w:t>
            </w:r>
            <w:r>
              <w:rPr>
                <w:spacing w:val="12"/>
              </w:rPr>
              <w:t xml:space="preserve"> </w:t>
            </w:r>
            <w:r>
              <w:rPr>
                <w:spacing w:val="-3"/>
              </w:rPr>
              <w:t>控制单元</w:t>
            </w:r>
          </w:p>
        </w:tc>
        <w:tc>
          <w:tcPr>
            <w:tcW w:w="1658" w:type="dxa"/>
            <w:vAlign w:val="top"/>
          </w:tcPr>
          <w:p w14:paraId="42125CD1">
            <w:pPr>
              <w:pStyle w:val="6"/>
              <w:spacing w:before="63" w:line="239" w:lineRule="auto"/>
              <w:ind w:left="99"/>
            </w:pPr>
            <w:r>
              <w:rPr>
                <w:spacing w:val="-2"/>
              </w:rPr>
              <w:t>459.47</w:t>
            </w:r>
          </w:p>
        </w:tc>
      </w:tr>
      <w:tr w14:paraId="6D4AE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23" w:type="dxa"/>
            <w:vMerge w:val="continue"/>
            <w:tcBorders>
              <w:top w:val="nil"/>
              <w:bottom w:val="nil"/>
            </w:tcBorders>
            <w:vAlign w:val="top"/>
          </w:tcPr>
          <w:p w14:paraId="43603F57">
            <w:pPr>
              <w:rPr>
                <w:rFonts w:ascii="Arial"/>
                <w:sz w:val="21"/>
              </w:rPr>
            </w:pPr>
          </w:p>
        </w:tc>
        <w:tc>
          <w:tcPr>
            <w:tcW w:w="1308" w:type="dxa"/>
            <w:vMerge w:val="continue"/>
            <w:tcBorders>
              <w:top w:val="nil"/>
            </w:tcBorders>
            <w:vAlign w:val="top"/>
          </w:tcPr>
          <w:p w14:paraId="7FAE3041">
            <w:pPr>
              <w:rPr>
                <w:rFonts w:ascii="Arial"/>
                <w:sz w:val="21"/>
              </w:rPr>
            </w:pPr>
          </w:p>
        </w:tc>
        <w:tc>
          <w:tcPr>
            <w:tcW w:w="4695" w:type="dxa"/>
            <w:vAlign w:val="top"/>
          </w:tcPr>
          <w:p w14:paraId="5C87ABDA">
            <w:pPr>
              <w:pStyle w:val="6"/>
              <w:spacing w:before="33" w:line="208" w:lineRule="auto"/>
              <w:ind w:left="93"/>
            </w:pPr>
            <w:r>
              <w:rPr>
                <w:spacing w:val="-7"/>
              </w:rPr>
              <w:t>水环境管控单元：南盘江沾益-宜良开发利用区陆</w:t>
            </w:r>
            <w:r>
              <w:rPr>
                <w:spacing w:val="14"/>
              </w:rPr>
              <w:t xml:space="preserve"> </w:t>
            </w:r>
            <w:r>
              <w:rPr>
                <w:spacing w:val="1"/>
              </w:rPr>
              <w:t>良县控制单元</w:t>
            </w:r>
          </w:p>
        </w:tc>
        <w:tc>
          <w:tcPr>
            <w:tcW w:w="1658" w:type="dxa"/>
            <w:vAlign w:val="top"/>
          </w:tcPr>
          <w:p w14:paraId="444EEC95">
            <w:pPr>
              <w:pStyle w:val="6"/>
              <w:spacing w:before="74" w:line="239" w:lineRule="auto"/>
              <w:ind w:left="99"/>
            </w:pPr>
            <w:r>
              <w:rPr>
                <w:spacing w:val="-2"/>
              </w:rPr>
              <w:t>8040.13</w:t>
            </w:r>
          </w:p>
        </w:tc>
      </w:tr>
      <w:tr w14:paraId="02889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2692E310">
            <w:pPr>
              <w:rPr>
                <w:rFonts w:ascii="Arial"/>
                <w:sz w:val="21"/>
              </w:rPr>
            </w:pPr>
          </w:p>
        </w:tc>
        <w:tc>
          <w:tcPr>
            <w:tcW w:w="1308" w:type="dxa"/>
            <w:vAlign w:val="top"/>
          </w:tcPr>
          <w:p w14:paraId="52FFBD20">
            <w:pPr>
              <w:pStyle w:val="6"/>
              <w:spacing w:before="35" w:line="197" w:lineRule="auto"/>
              <w:ind w:left="101"/>
            </w:pPr>
            <w:r>
              <w:rPr>
                <w:spacing w:val="-3"/>
              </w:rPr>
              <w:t>合计</w:t>
            </w:r>
          </w:p>
        </w:tc>
        <w:tc>
          <w:tcPr>
            <w:tcW w:w="4695" w:type="dxa"/>
            <w:vAlign w:val="top"/>
          </w:tcPr>
          <w:p w14:paraId="47D6B7B3">
            <w:pPr>
              <w:rPr>
                <w:rFonts w:ascii="Arial"/>
                <w:sz w:val="21"/>
              </w:rPr>
            </w:pPr>
          </w:p>
        </w:tc>
        <w:tc>
          <w:tcPr>
            <w:tcW w:w="1658" w:type="dxa"/>
            <w:vAlign w:val="top"/>
          </w:tcPr>
          <w:p w14:paraId="6EFAB7D9">
            <w:pPr>
              <w:pStyle w:val="6"/>
              <w:spacing w:before="55" w:line="180" w:lineRule="auto"/>
              <w:ind w:left="99"/>
            </w:pPr>
            <w:r>
              <w:rPr>
                <w:spacing w:val="-2"/>
              </w:rPr>
              <w:t>8499.6</w:t>
            </w:r>
          </w:p>
        </w:tc>
      </w:tr>
      <w:tr w14:paraId="29B8F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3A2E920A">
            <w:pPr>
              <w:rPr>
                <w:rFonts w:ascii="Arial"/>
                <w:sz w:val="21"/>
              </w:rPr>
            </w:pPr>
          </w:p>
        </w:tc>
        <w:tc>
          <w:tcPr>
            <w:tcW w:w="1308" w:type="dxa"/>
            <w:vMerge w:val="restart"/>
            <w:tcBorders>
              <w:bottom w:val="nil"/>
            </w:tcBorders>
            <w:vAlign w:val="top"/>
          </w:tcPr>
          <w:p w14:paraId="220716D6">
            <w:pPr>
              <w:pStyle w:val="6"/>
              <w:spacing w:before="35" w:line="221" w:lineRule="auto"/>
              <w:ind w:left="101"/>
            </w:pPr>
            <w:r>
              <w:rPr>
                <w:spacing w:val="-2"/>
              </w:rPr>
              <w:t>永久占地</w:t>
            </w:r>
          </w:p>
        </w:tc>
        <w:tc>
          <w:tcPr>
            <w:tcW w:w="4695" w:type="dxa"/>
            <w:vAlign w:val="top"/>
          </w:tcPr>
          <w:p w14:paraId="5FEEB636">
            <w:pPr>
              <w:pStyle w:val="6"/>
              <w:spacing w:before="34" w:line="198" w:lineRule="auto"/>
              <w:ind w:left="93"/>
            </w:pPr>
            <w:r>
              <w:rPr>
                <w:spacing w:val="1"/>
              </w:rPr>
              <w:t>生态空间：大莫古集镇水厂</w:t>
            </w:r>
          </w:p>
        </w:tc>
        <w:tc>
          <w:tcPr>
            <w:tcW w:w="1658" w:type="dxa"/>
            <w:vAlign w:val="top"/>
          </w:tcPr>
          <w:p w14:paraId="7E6A456A">
            <w:pPr>
              <w:pStyle w:val="6"/>
              <w:spacing w:before="55" w:line="180" w:lineRule="auto"/>
              <w:ind w:left="99"/>
            </w:pPr>
            <w:r>
              <w:rPr>
                <w:spacing w:val="-2"/>
              </w:rPr>
              <w:t>459.47</w:t>
            </w:r>
          </w:p>
        </w:tc>
      </w:tr>
      <w:tr w14:paraId="3618C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223" w:type="dxa"/>
            <w:vMerge w:val="continue"/>
            <w:tcBorders>
              <w:top w:val="nil"/>
              <w:bottom w:val="nil"/>
            </w:tcBorders>
            <w:vAlign w:val="top"/>
          </w:tcPr>
          <w:p w14:paraId="72643807">
            <w:pPr>
              <w:rPr>
                <w:rFonts w:ascii="Arial"/>
                <w:sz w:val="21"/>
              </w:rPr>
            </w:pPr>
          </w:p>
        </w:tc>
        <w:tc>
          <w:tcPr>
            <w:tcW w:w="1308" w:type="dxa"/>
            <w:vMerge w:val="continue"/>
            <w:tcBorders>
              <w:top w:val="nil"/>
              <w:bottom w:val="nil"/>
            </w:tcBorders>
            <w:vAlign w:val="top"/>
          </w:tcPr>
          <w:p w14:paraId="72A95DBC">
            <w:pPr>
              <w:rPr>
                <w:rFonts w:ascii="Arial"/>
                <w:sz w:val="21"/>
              </w:rPr>
            </w:pPr>
          </w:p>
        </w:tc>
        <w:tc>
          <w:tcPr>
            <w:tcW w:w="4695" w:type="dxa"/>
            <w:vAlign w:val="top"/>
          </w:tcPr>
          <w:p w14:paraId="6D4AF387">
            <w:pPr>
              <w:pStyle w:val="6"/>
              <w:spacing w:before="24" w:line="181" w:lineRule="auto"/>
              <w:ind w:left="93"/>
            </w:pPr>
            <w:r>
              <w:rPr>
                <w:spacing w:val="-1"/>
              </w:rPr>
              <w:t>生态空间：陆良县一般管控单元</w:t>
            </w:r>
          </w:p>
        </w:tc>
        <w:tc>
          <w:tcPr>
            <w:tcW w:w="1658" w:type="dxa"/>
            <w:vAlign w:val="top"/>
          </w:tcPr>
          <w:p w14:paraId="60147049">
            <w:pPr>
              <w:pStyle w:val="6"/>
              <w:spacing w:before="45" w:line="163" w:lineRule="auto"/>
              <w:ind w:left="99"/>
            </w:pPr>
            <w:r>
              <w:rPr>
                <w:spacing w:val="-2"/>
              </w:rPr>
              <w:t>8001.84</w:t>
            </w:r>
          </w:p>
        </w:tc>
      </w:tr>
      <w:tr w14:paraId="73906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1DBB7243">
            <w:pPr>
              <w:rPr>
                <w:rFonts w:ascii="Arial"/>
                <w:sz w:val="21"/>
              </w:rPr>
            </w:pPr>
          </w:p>
        </w:tc>
        <w:tc>
          <w:tcPr>
            <w:tcW w:w="1308" w:type="dxa"/>
            <w:vMerge w:val="continue"/>
            <w:tcBorders>
              <w:top w:val="nil"/>
            </w:tcBorders>
            <w:vAlign w:val="top"/>
          </w:tcPr>
          <w:p w14:paraId="01A9A1C0">
            <w:pPr>
              <w:rPr>
                <w:rFonts w:ascii="Arial"/>
                <w:sz w:val="21"/>
              </w:rPr>
            </w:pPr>
          </w:p>
        </w:tc>
        <w:tc>
          <w:tcPr>
            <w:tcW w:w="4695" w:type="dxa"/>
            <w:vAlign w:val="top"/>
          </w:tcPr>
          <w:p w14:paraId="0E7DFA89">
            <w:pPr>
              <w:pStyle w:val="6"/>
              <w:spacing w:before="34" w:line="198" w:lineRule="auto"/>
              <w:ind w:left="93"/>
            </w:pPr>
            <w:r>
              <w:rPr>
                <w:spacing w:val="-2"/>
              </w:rPr>
              <w:t>生态空间：天然林</w:t>
            </w:r>
          </w:p>
        </w:tc>
        <w:tc>
          <w:tcPr>
            <w:tcW w:w="1658" w:type="dxa"/>
            <w:vAlign w:val="top"/>
          </w:tcPr>
          <w:p w14:paraId="73918751">
            <w:pPr>
              <w:pStyle w:val="6"/>
              <w:spacing w:before="55" w:line="180" w:lineRule="auto"/>
              <w:ind w:left="99"/>
            </w:pPr>
            <w:r>
              <w:rPr>
                <w:spacing w:val="-3"/>
              </w:rPr>
              <w:t>38.29</w:t>
            </w:r>
          </w:p>
        </w:tc>
      </w:tr>
      <w:tr w14:paraId="21DDE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5D9BB93C">
            <w:pPr>
              <w:rPr>
                <w:rFonts w:ascii="Arial"/>
                <w:sz w:val="21"/>
              </w:rPr>
            </w:pPr>
          </w:p>
        </w:tc>
        <w:tc>
          <w:tcPr>
            <w:tcW w:w="1308" w:type="dxa"/>
            <w:vAlign w:val="top"/>
          </w:tcPr>
          <w:p w14:paraId="4E2D3A42">
            <w:pPr>
              <w:pStyle w:val="6"/>
              <w:spacing w:before="35" w:line="197" w:lineRule="auto"/>
              <w:ind w:left="101"/>
            </w:pPr>
            <w:r>
              <w:rPr>
                <w:spacing w:val="-3"/>
              </w:rPr>
              <w:t>合计</w:t>
            </w:r>
          </w:p>
        </w:tc>
        <w:tc>
          <w:tcPr>
            <w:tcW w:w="4695" w:type="dxa"/>
            <w:vAlign w:val="top"/>
          </w:tcPr>
          <w:p w14:paraId="60599F78">
            <w:pPr>
              <w:rPr>
                <w:rFonts w:ascii="Arial"/>
                <w:sz w:val="21"/>
              </w:rPr>
            </w:pPr>
          </w:p>
        </w:tc>
        <w:tc>
          <w:tcPr>
            <w:tcW w:w="1658" w:type="dxa"/>
            <w:vAlign w:val="top"/>
          </w:tcPr>
          <w:p w14:paraId="2E8F2826">
            <w:pPr>
              <w:pStyle w:val="6"/>
              <w:spacing w:before="55" w:line="180" w:lineRule="auto"/>
              <w:ind w:left="99"/>
            </w:pPr>
            <w:r>
              <w:rPr>
                <w:spacing w:val="-2"/>
              </w:rPr>
              <w:t>8499.6</w:t>
            </w:r>
          </w:p>
        </w:tc>
      </w:tr>
      <w:tr w14:paraId="60B67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223" w:type="dxa"/>
            <w:vMerge w:val="continue"/>
            <w:tcBorders>
              <w:top w:val="nil"/>
              <w:bottom w:val="nil"/>
            </w:tcBorders>
            <w:vAlign w:val="top"/>
          </w:tcPr>
          <w:p w14:paraId="2E4FA39F">
            <w:pPr>
              <w:rPr>
                <w:rFonts w:ascii="Arial"/>
                <w:sz w:val="21"/>
              </w:rPr>
            </w:pPr>
          </w:p>
        </w:tc>
        <w:tc>
          <w:tcPr>
            <w:tcW w:w="1308" w:type="dxa"/>
            <w:vMerge w:val="restart"/>
            <w:tcBorders>
              <w:bottom w:val="nil"/>
            </w:tcBorders>
            <w:vAlign w:val="top"/>
          </w:tcPr>
          <w:p w14:paraId="3940A6BF">
            <w:pPr>
              <w:pStyle w:val="6"/>
              <w:spacing w:before="35" w:line="221" w:lineRule="auto"/>
              <w:ind w:left="101"/>
            </w:pPr>
            <w:r>
              <w:rPr>
                <w:spacing w:val="-2"/>
              </w:rPr>
              <w:t>永久占地</w:t>
            </w:r>
          </w:p>
        </w:tc>
        <w:tc>
          <w:tcPr>
            <w:tcW w:w="4695" w:type="dxa"/>
            <w:vAlign w:val="top"/>
          </w:tcPr>
          <w:p w14:paraId="6CABFF0E">
            <w:pPr>
              <w:pStyle w:val="6"/>
              <w:spacing w:before="44" w:line="219" w:lineRule="auto"/>
              <w:ind w:left="93"/>
            </w:pPr>
            <w:r>
              <w:rPr>
                <w:spacing w:val="-1"/>
              </w:rPr>
              <w:t>环境管控：陆良县一般管控单元</w:t>
            </w:r>
          </w:p>
        </w:tc>
        <w:tc>
          <w:tcPr>
            <w:tcW w:w="1658" w:type="dxa"/>
            <w:vAlign w:val="top"/>
          </w:tcPr>
          <w:p w14:paraId="30DE6B37">
            <w:pPr>
              <w:pStyle w:val="6"/>
              <w:spacing w:before="65" w:line="239" w:lineRule="auto"/>
              <w:ind w:left="99"/>
            </w:pPr>
            <w:r>
              <w:rPr>
                <w:spacing w:val="-2"/>
              </w:rPr>
              <w:t>8001.84</w:t>
            </w:r>
          </w:p>
        </w:tc>
      </w:tr>
      <w:tr w14:paraId="36334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26A4E077">
            <w:pPr>
              <w:rPr>
                <w:rFonts w:ascii="Arial"/>
                <w:sz w:val="21"/>
              </w:rPr>
            </w:pPr>
          </w:p>
        </w:tc>
        <w:tc>
          <w:tcPr>
            <w:tcW w:w="1308" w:type="dxa"/>
            <w:vMerge w:val="continue"/>
            <w:tcBorders>
              <w:top w:val="nil"/>
              <w:bottom w:val="nil"/>
            </w:tcBorders>
            <w:vAlign w:val="top"/>
          </w:tcPr>
          <w:p w14:paraId="0619FB20">
            <w:pPr>
              <w:rPr>
                <w:rFonts w:ascii="Arial"/>
                <w:sz w:val="21"/>
              </w:rPr>
            </w:pPr>
          </w:p>
        </w:tc>
        <w:tc>
          <w:tcPr>
            <w:tcW w:w="4695" w:type="dxa"/>
            <w:vAlign w:val="top"/>
          </w:tcPr>
          <w:p w14:paraId="3BEB8772">
            <w:pPr>
              <w:pStyle w:val="6"/>
              <w:spacing w:before="35" w:line="197" w:lineRule="auto"/>
              <w:ind w:left="93"/>
            </w:pPr>
            <w:r>
              <w:rPr>
                <w:spacing w:val="-1"/>
              </w:rPr>
              <w:t>环境管控：陆良县一般生态空间优先保护单元</w:t>
            </w:r>
          </w:p>
        </w:tc>
        <w:tc>
          <w:tcPr>
            <w:tcW w:w="1658" w:type="dxa"/>
            <w:vAlign w:val="top"/>
          </w:tcPr>
          <w:p w14:paraId="0E4C370B">
            <w:pPr>
              <w:pStyle w:val="6"/>
              <w:spacing w:before="56" w:line="179" w:lineRule="auto"/>
              <w:ind w:left="99"/>
            </w:pPr>
            <w:r>
              <w:rPr>
                <w:spacing w:val="-3"/>
              </w:rPr>
              <w:t>38.29</w:t>
            </w:r>
          </w:p>
        </w:tc>
      </w:tr>
      <w:tr w14:paraId="6B882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4A158824">
            <w:pPr>
              <w:rPr>
                <w:rFonts w:ascii="Arial"/>
                <w:sz w:val="21"/>
              </w:rPr>
            </w:pPr>
          </w:p>
        </w:tc>
        <w:tc>
          <w:tcPr>
            <w:tcW w:w="1308" w:type="dxa"/>
            <w:vMerge w:val="continue"/>
            <w:tcBorders>
              <w:top w:val="nil"/>
            </w:tcBorders>
            <w:vAlign w:val="top"/>
          </w:tcPr>
          <w:p w14:paraId="34139CD3">
            <w:pPr>
              <w:rPr>
                <w:rFonts w:ascii="Arial"/>
                <w:sz w:val="21"/>
              </w:rPr>
            </w:pPr>
          </w:p>
        </w:tc>
        <w:tc>
          <w:tcPr>
            <w:tcW w:w="4695" w:type="dxa"/>
            <w:vAlign w:val="top"/>
          </w:tcPr>
          <w:p w14:paraId="676B8BD1">
            <w:pPr>
              <w:pStyle w:val="6"/>
              <w:spacing w:before="35" w:line="197" w:lineRule="auto"/>
              <w:ind w:left="93"/>
            </w:pPr>
            <w:r>
              <w:rPr>
                <w:spacing w:val="-1"/>
              </w:rPr>
              <w:t>环境管控：陆良县饮用水水源地优先保护单元</w:t>
            </w:r>
          </w:p>
        </w:tc>
        <w:tc>
          <w:tcPr>
            <w:tcW w:w="1658" w:type="dxa"/>
            <w:vAlign w:val="top"/>
          </w:tcPr>
          <w:p w14:paraId="3EA91762">
            <w:pPr>
              <w:pStyle w:val="6"/>
              <w:spacing w:before="56" w:line="179" w:lineRule="auto"/>
              <w:ind w:left="99"/>
            </w:pPr>
            <w:r>
              <w:rPr>
                <w:spacing w:val="-2"/>
              </w:rPr>
              <w:t>459.47</w:t>
            </w:r>
          </w:p>
        </w:tc>
      </w:tr>
      <w:tr w14:paraId="5AB16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223" w:type="dxa"/>
            <w:vMerge w:val="continue"/>
            <w:tcBorders>
              <w:top w:val="nil"/>
              <w:bottom w:val="nil"/>
            </w:tcBorders>
            <w:vAlign w:val="top"/>
          </w:tcPr>
          <w:p w14:paraId="01CCB301">
            <w:pPr>
              <w:rPr>
                <w:rFonts w:ascii="Arial"/>
                <w:sz w:val="21"/>
              </w:rPr>
            </w:pPr>
          </w:p>
        </w:tc>
        <w:tc>
          <w:tcPr>
            <w:tcW w:w="1308" w:type="dxa"/>
            <w:vAlign w:val="top"/>
          </w:tcPr>
          <w:p w14:paraId="7746DCD2">
            <w:pPr>
              <w:pStyle w:val="6"/>
              <w:spacing w:before="37" w:line="187" w:lineRule="auto"/>
              <w:ind w:left="101"/>
            </w:pPr>
            <w:r>
              <w:rPr>
                <w:spacing w:val="-3"/>
              </w:rPr>
              <w:t>合计</w:t>
            </w:r>
          </w:p>
        </w:tc>
        <w:tc>
          <w:tcPr>
            <w:tcW w:w="4695" w:type="dxa"/>
            <w:vAlign w:val="top"/>
          </w:tcPr>
          <w:p w14:paraId="23CCDD50">
            <w:pPr>
              <w:rPr>
                <w:rFonts w:ascii="Arial"/>
                <w:sz w:val="21"/>
              </w:rPr>
            </w:pPr>
          </w:p>
        </w:tc>
        <w:tc>
          <w:tcPr>
            <w:tcW w:w="1658" w:type="dxa"/>
            <w:vAlign w:val="top"/>
          </w:tcPr>
          <w:p w14:paraId="18431B03">
            <w:pPr>
              <w:pStyle w:val="6"/>
              <w:spacing w:before="57" w:line="170" w:lineRule="auto"/>
              <w:ind w:left="99"/>
            </w:pPr>
            <w:r>
              <w:rPr>
                <w:spacing w:val="-2"/>
              </w:rPr>
              <w:t>8499.6</w:t>
            </w:r>
          </w:p>
        </w:tc>
      </w:tr>
      <w:tr w14:paraId="71579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23" w:type="dxa"/>
            <w:vMerge w:val="continue"/>
            <w:tcBorders>
              <w:top w:val="nil"/>
              <w:bottom w:val="nil"/>
            </w:tcBorders>
            <w:vAlign w:val="top"/>
          </w:tcPr>
          <w:p w14:paraId="6BD942C4">
            <w:pPr>
              <w:rPr>
                <w:rFonts w:ascii="Arial"/>
                <w:sz w:val="21"/>
              </w:rPr>
            </w:pPr>
          </w:p>
        </w:tc>
        <w:tc>
          <w:tcPr>
            <w:tcW w:w="1308" w:type="dxa"/>
            <w:vMerge w:val="restart"/>
            <w:tcBorders>
              <w:bottom w:val="nil"/>
            </w:tcBorders>
            <w:vAlign w:val="top"/>
          </w:tcPr>
          <w:p w14:paraId="36B735FE">
            <w:pPr>
              <w:pStyle w:val="6"/>
              <w:spacing w:before="35" w:line="219" w:lineRule="auto"/>
              <w:ind w:left="101"/>
            </w:pPr>
            <w:r>
              <w:rPr>
                <w:spacing w:val="2"/>
              </w:rPr>
              <w:t>临时占地</w:t>
            </w:r>
          </w:p>
        </w:tc>
        <w:tc>
          <w:tcPr>
            <w:tcW w:w="4695" w:type="dxa"/>
            <w:vAlign w:val="top"/>
          </w:tcPr>
          <w:p w14:paraId="1FA1470C">
            <w:pPr>
              <w:pStyle w:val="6"/>
              <w:spacing w:before="35" w:line="207" w:lineRule="auto"/>
              <w:ind w:left="93"/>
            </w:pPr>
            <w:r>
              <w:rPr>
                <w:spacing w:val="-2"/>
              </w:rPr>
              <w:t>水环境管控单元：巴江石林源头水保护区陆良县</w:t>
            </w:r>
            <w:r>
              <w:rPr>
                <w:spacing w:val="12"/>
              </w:rPr>
              <w:t xml:space="preserve"> </w:t>
            </w:r>
            <w:r>
              <w:rPr>
                <w:spacing w:val="-3"/>
              </w:rPr>
              <w:t>控制单元</w:t>
            </w:r>
          </w:p>
        </w:tc>
        <w:tc>
          <w:tcPr>
            <w:tcW w:w="1658" w:type="dxa"/>
            <w:vAlign w:val="top"/>
          </w:tcPr>
          <w:p w14:paraId="53CA39AE">
            <w:pPr>
              <w:pStyle w:val="6"/>
              <w:spacing w:before="56" w:line="239" w:lineRule="auto"/>
              <w:ind w:left="99"/>
            </w:pPr>
            <w:r>
              <w:rPr>
                <w:spacing w:val="-4"/>
              </w:rPr>
              <w:t>16095.2</w:t>
            </w:r>
          </w:p>
        </w:tc>
      </w:tr>
      <w:tr w14:paraId="01D38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223" w:type="dxa"/>
            <w:vMerge w:val="continue"/>
            <w:tcBorders>
              <w:top w:val="nil"/>
              <w:bottom w:val="nil"/>
            </w:tcBorders>
            <w:vAlign w:val="top"/>
          </w:tcPr>
          <w:p w14:paraId="36C7C884">
            <w:pPr>
              <w:rPr>
                <w:rFonts w:ascii="Arial"/>
                <w:sz w:val="21"/>
              </w:rPr>
            </w:pPr>
          </w:p>
        </w:tc>
        <w:tc>
          <w:tcPr>
            <w:tcW w:w="1308" w:type="dxa"/>
            <w:vMerge w:val="continue"/>
            <w:tcBorders>
              <w:top w:val="nil"/>
              <w:bottom w:val="nil"/>
            </w:tcBorders>
            <w:vAlign w:val="top"/>
          </w:tcPr>
          <w:p w14:paraId="7909FCFF">
            <w:pPr>
              <w:rPr>
                <w:rFonts w:ascii="Arial"/>
                <w:sz w:val="21"/>
              </w:rPr>
            </w:pPr>
          </w:p>
        </w:tc>
        <w:tc>
          <w:tcPr>
            <w:tcW w:w="4695" w:type="dxa"/>
            <w:vAlign w:val="top"/>
          </w:tcPr>
          <w:p w14:paraId="38F3DB17">
            <w:pPr>
              <w:pStyle w:val="6"/>
              <w:spacing w:before="34" w:line="212" w:lineRule="auto"/>
              <w:ind w:left="93"/>
            </w:pPr>
            <w:r>
              <w:rPr>
                <w:spacing w:val="-2"/>
              </w:rPr>
              <w:t>水环境管控单元：大莫古集镇水厂饮用水水源地</w:t>
            </w:r>
            <w:r>
              <w:rPr>
                <w:spacing w:val="12"/>
              </w:rPr>
              <w:t xml:space="preserve"> </w:t>
            </w:r>
            <w:r>
              <w:rPr>
                <w:spacing w:val="-3"/>
              </w:rPr>
              <w:t>控制单元</w:t>
            </w:r>
          </w:p>
        </w:tc>
        <w:tc>
          <w:tcPr>
            <w:tcW w:w="1658" w:type="dxa"/>
            <w:vAlign w:val="top"/>
          </w:tcPr>
          <w:p w14:paraId="557A29F6">
            <w:pPr>
              <w:pStyle w:val="6"/>
              <w:spacing w:before="67" w:line="239" w:lineRule="auto"/>
              <w:ind w:left="99"/>
            </w:pPr>
            <w:r>
              <w:rPr>
                <w:spacing w:val="-2"/>
              </w:rPr>
              <w:t>971.59</w:t>
            </w:r>
          </w:p>
        </w:tc>
      </w:tr>
      <w:tr w14:paraId="469E8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23" w:type="dxa"/>
            <w:vMerge w:val="continue"/>
            <w:tcBorders>
              <w:top w:val="nil"/>
              <w:bottom w:val="nil"/>
            </w:tcBorders>
            <w:vAlign w:val="top"/>
          </w:tcPr>
          <w:p w14:paraId="19A313CE">
            <w:pPr>
              <w:rPr>
                <w:rFonts w:ascii="Arial"/>
                <w:sz w:val="21"/>
              </w:rPr>
            </w:pPr>
          </w:p>
        </w:tc>
        <w:tc>
          <w:tcPr>
            <w:tcW w:w="1308" w:type="dxa"/>
            <w:vMerge w:val="continue"/>
            <w:tcBorders>
              <w:top w:val="nil"/>
            </w:tcBorders>
            <w:vAlign w:val="top"/>
          </w:tcPr>
          <w:p w14:paraId="04733B30">
            <w:pPr>
              <w:rPr>
                <w:rFonts w:ascii="Arial"/>
                <w:sz w:val="21"/>
              </w:rPr>
            </w:pPr>
          </w:p>
        </w:tc>
        <w:tc>
          <w:tcPr>
            <w:tcW w:w="4695" w:type="dxa"/>
            <w:vAlign w:val="top"/>
          </w:tcPr>
          <w:p w14:paraId="6D820020">
            <w:pPr>
              <w:pStyle w:val="6"/>
              <w:spacing w:before="35" w:line="207" w:lineRule="auto"/>
              <w:ind w:left="93"/>
            </w:pPr>
            <w:r>
              <w:rPr>
                <w:spacing w:val="-7"/>
              </w:rPr>
              <w:t>水环境管控单元：南盘江沾益-宜良开发利用区陆</w:t>
            </w:r>
            <w:r>
              <w:rPr>
                <w:spacing w:val="14"/>
              </w:rPr>
              <w:t xml:space="preserve"> </w:t>
            </w:r>
            <w:r>
              <w:rPr>
                <w:spacing w:val="1"/>
              </w:rPr>
              <w:t>良县控制单元</w:t>
            </w:r>
          </w:p>
        </w:tc>
        <w:tc>
          <w:tcPr>
            <w:tcW w:w="1658" w:type="dxa"/>
            <w:vAlign w:val="top"/>
          </w:tcPr>
          <w:p w14:paraId="19330AFE">
            <w:pPr>
              <w:pStyle w:val="6"/>
              <w:spacing w:before="67" w:line="239" w:lineRule="auto"/>
              <w:ind w:left="99"/>
            </w:pPr>
            <w:r>
              <w:rPr>
                <w:spacing w:val="-3"/>
              </w:rPr>
              <w:t>1131256.32</w:t>
            </w:r>
          </w:p>
        </w:tc>
      </w:tr>
      <w:tr w14:paraId="52953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223" w:type="dxa"/>
            <w:vMerge w:val="continue"/>
            <w:tcBorders>
              <w:top w:val="nil"/>
              <w:bottom w:val="nil"/>
            </w:tcBorders>
            <w:vAlign w:val="top"/>
          </w:tcPr>
          <w:p w14:paraId="1434279A">
            <w:pPr>
              <w:rPr>
                <w:rFonts w:ascii="Arial"/>
                <w:sz w:val="21"/>
              </w:rPr>
            </w:pPr>
          </w:p>
        </w:tc>
        <w:tc>
          <w:tcPr>
            <w:tcW w:w="1308" w:type="dxa"/>
            <w:vAlign w:val="top"/>
          </w:tcPr>
          <w:p w14:paraId="49C6E2A3">
            <w:pPr>
              <w:pStyle w:val="6"/>
              <w:spacing w:before="38" w:line="185" w:lineRule="auto"/>
              <w:ind w:left="101"/>
            </w:pPr>
            <w:r>
              <w:rPr>
                <w:spacing w:val="-3"/>
              </w:rPr>
              <w:t>合计</w:t>
            </w:r>
          </w:p>
        </w:tc>
        <w:tc>
          <w:tcPr>
            <w:tcW w:w="4695" w:type="dxa"/>
            <w:vAlign w:val="top"/>
          </w:tcPr>
          <w:p w14:paraId="497F778A">
            <w:pPr>
              <w:rPr>
                <w:rFonts w:ascii="Arial"/>
                <w:sz w:val="21"/>
              </w:rPr>
            </w:pPr>
          </w:p>
        </w:tc>
        <w:tc>
          <w:tcPr>
            <w:tcW w:w="1658" w:type="dxa"/>
            <w:vAlign w:val="top"/>
          </w:tcPr>
          <w:p w14:paraId="5B21BD27">
            <w:pPr>
              <w:pStyle w:val="6"/>
              <w:spacing w:before="58" w:line="168" w:lineRule="auto"/>
              <w:ind w:left="99"/>
            </w:pPr>
            <w:r>
              <w:rPr>
                <w:spacing w:val="-3"/>
              </w:rPr>
              <w:t>1148232.11</w:t>
            </w:r>
          </w:p>
        </w:tc>
      </w:tr>
      <w:tr w14:paraId="40060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223" w:type="dxa"/>
            <w:vMerge w:val="continue"/>
            <w:tcBorders>
              <w:top w:val="nil"/>
              <w:bottom w:val="nil"/>
            </w:tcBorders>
            <w:vAlign w:val="top"/>
          </w:tcPr>
          <w:p w14:paraId="5C715BA7">
            <w:pPr>
              <w:rPr>
                <w:rFonts w:ascii="Arial"/>
                <w:sz w:val="21"/>
              </w:rPr>
            </w:pPr>
          </w:p>
        </w:tc>
        <w:tc>
          <w:tcPr>
            <w:tcW w:w="1308" w:type="dxa"/>
            <w:vMerge w:val="restart"/>
            <w:tcBorders>
              <w:bottom w:val="nil"/>
            </w:tcBorders>
            <w:vAlign w:val="top"/>
          </w:tcPr>
          <w:p w14:paraId="58C10F04">
            <w:pPr>
              <w:pStyle w:val="6"/>
              <w:spacing w:before="38" w:line="219" w:lineRule="auto"/>
              <w:ind w:left="101"/>
            </w:pPr>
            <w:r>
              <w:rPr>
                <w:spacing w:val="2"/>
              </w:rPr>
              <w:t>临时占地</w:t>
            </w:r>
          </w:p>
        </w:tc>
        <w:tc>
          <w:tcPr>
            <w:tcW w:w="4695" w:type="dxa"/>
            <w:vAlign w:val="top"/>
          </w:tcPr>
          <w:p w14:paraId="4DF8B9BB">
            <w:pPr>
              <w:pStyle w:val="6"/>
              <w:spacing w:before="27" w:line="187" w:lineRule="auto"/>
              <w:ind w:left="93"/>
            </w:pPr>
            <w:r>
              <w:rPr>
                <w:spacing w:val="-1"/>
              </w:rPr>
              <w:t>环境管控：陆良县一般管控单元</w:t>
            </w:r>
          </w:p>
        </w:tc>
        <w:tc>
          <w:tcPr>
            <w:tcW w:w="1658" w:type="dxa"/>
            <w:vAlign w:val="top"/>
          </w:tcPr>
          <w:p w14:paraId="25E11DAD">
            <w:pPr>
              <w:pStyle w:val="6"/>
              <w:spacing w:before="49" w:line="168" w:lineRule="auto"/>
              <w:ind w:left="99"/>
            </w:pPr>
            <w:r>
              <w:rPr>
                <w:spacing w:val="-3"/>
              </w:rPr>
              <w:t>1147351.52</w:t>
            </w:r>
          </w:p>
        </w:tc>
      </w:tr>
      <w:tr w14:paraId="4DE80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4E7E57D5">
            <w:pPr>
              <w:rPr>
                <w:rFonts w:ascii="Arial"/>
                <w:sz w:val="21"/>
              </w:rPr>
            </w:pPr>
          </w:p>
        </w:tc>
        <w:tc>
          <w:tcPr>
            <w:tcW w:w="1308" w:type="dxa"/>
            <w:vMerge w:val="continue"/>
            <w:tcBorders>
              <w:top w:val="nil"/>
              <w:bottom w:val="nil"/>
            </w:tcBorders>
            <w:vAlign w:val="top"/>
          </w:tcPr>
          <w:p w14:paraId="05088EC0">
            <w:pPr>
              <w:rPr>
                <w:rFonts w:ascii="Arial"/>
                <w:sz w:val="21"/>
              </w:rPr>
            </w:pPr>
          </w:p>
        </w:tc>
        <w:tc>
          <w:tcPr>
            <w:tcW w:w="4695" w:type="dxa"/>
            <w:vAlign w:val="top"/>
          </w:tcPr>
          <w:p w14:paraId="63B6F039">
            <w:pPr>
              <w:pStyle w:val="6"/>
              <w:spacing w:before="37" w:line="195" w:lineRule="auto"/>
              <w:ind w:left="93"/>
            </w:pPr>
            <w:r>
              <w:rPr>
                <w:spacing w:val="-1"/>
              </w:rPr>
              <w:t>环境管控：陆良县一般生态空间优先保护单元</w:t>
            </w:r>
          </w:p>
        </w:tc>
        <w:tc>
          <w:tcPr>
            <w:tcW w:w="1658" w:type="dxa"/>
            <w:vAlign w:val="top"/>
          </w:tcPr>
          <w:p w14:paraId="43BF76C8">
            <w:pPr>
              <w:pStyle w:val="6"/>
              <w:spacing w:before="60" w:line="176" w:lineRule="auto"/>
              <w:ind w:left="99"/>
            </w:pPr>
            <w:r>
              <w:rPr>
                <w:spacing w:val="-2"/>
              </w:rPr>
              <w:t>0.00045</w:t>
            </w:r>
          </w:p>
        </w:tc>
      </w:tr>
      <w:tr w14:paraId="374EA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223" w:type="dxa"/>
            <w:vMerge w:val="continue"/>
            <w:tcBorders>
              <w:top w:val="nil"/>
              <w:bottom w:val="nil"/>
            </w:tcBorders>
            <w:vAlign w:val="top"/>
          </w:tcPr>
          <w:p w14:paraId="720B4540">
            <w:pPr>
              <w:rPr>
                <w:rFonts w:ascii="Arial"/>
                <w:sz w:val="21"/>
              </w:rPr>
            </w:pPr>
          </w:p>
        </w:tc>
        <w:tc>
          <w:tcPr>
            <w:tcW w:w="1308" w:type="dxa"/>
            <w:vMerge w:val="continue"/>
            <w:tcBorders>
              <w:top w:val="nil"/>
            </w:tcBorders>
            <w:vAlign w:val="top"/>
          </w:tcPr>
          <w:p w14:paraId="14FDE27F">
            <w:pPr>
              <w:rPr>
                <w:rFonts w:ascii="Arial"/>
                <w:sz w:val="21"/>
              </w:rPr>
            </w:pPr>
          </w:p>
        </w:tc>
        <w:tc>
          <w:tcPr>
            <w:tcW w:w="4695" w:type="dxa"/>
            <w:vAlign w:val="top"/>
          </w:tcPr>
          <w:p w14:paraId="05393192">
            <w:pPr>
              <w:pStyle w:val="6"/>
              <w:spacing w:before="38" w:line="186" w:lineRule="auto"/>
              <w:ind w:left="93"/>
            </w:pPr>
            <w:r>
              <w:rPr>
                <w:spacing w:val="-1"/>
              </w:rPr>
              <w:t>环境管控：陆良县饮用水水源地优先保护单元</w:t>
            </w:r>
          </w:p>
        </w:tc>
        <w:tc>
          <w:tcPr>
            <w:tcW w:w="1658" w:type="dxa"/>
            <w:vAlign w:val="top"/>
          </w:tcPr>
          <w:p w14:paraId="0A7E6F18">
            <w:pPr>
              <w:pStyle w:val="6"/>
              <w:spacing w:before="59" w:line="168" w:lineRule="auto"/>
              <w:ind w:left="99"/>
            </w:pPr>
            <w:r>
              <w:rPr>
                <w:spacing w:val="-2"/>
              </w:rPr>
              <w:t>971.59</w:t>
            </w:r>
          </w:p>
        </w:tc>
      </w:tr>
      <w:tr w14:paraId="0B93A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4D2F4D6E">
            <w:pPr>
              <w:rPr>
                <w:rFonts w:ascii="Arial"/>
                <w:sz w:val="21"/>
              </w:rPr>
            </w:pPr>
          </w:p>
        </w:tc>
        <w:tc>
          <w:tcPr>
            <w:tcW w:w="1308" w:type="dxa"/>
            <w:vAlign w:val="top"/>
          </w:tcPr>
          <w:p w14:paraId="5ABC1995">
            <w:pPr>
              <w:pStyle w:val="6"/>
              <w:spacing w:before="40" w:line="193" w:lineRule="auto"/>
              <w:ind w:left="101"/>
            </w:pPr>
            <w:r>
              <w:rPr>
                <w:spacing w:val="-3"/>
              </w:rPr>
              <w:t>合计</w:t>
            </w:r>
          </w:p>
        </w:tc>
        <w:tc>
          <w:tcPr>
            <w:tcW w:w="4695" w:type="dxa"/>
            <w:vAlign w:val="top"/>
          </w:tcPr>
          <w:p w14:paraId="671BDFA7">
            <w:pPr>
              <w:rPr>
                <w:rFonts w:ascii="Arial"/>
                <w:sz w:val="21"/>
              </w:rPr>
            </w:pPr>
          </w:p>
        </w:tc>
        <w:tc>
          <w:tcPr>
            <w:tcW w:w="1658" w:type="dxa"/>
            <w:vAlign w:val="top"/>
          </w:tcPr>
          <w:p w14:paraId="54B6725D">
            <w:pPr>
              <w:pStyle w:val="6"/>
              <w:spacing w:before="60" w:line="176" w:lineRule="auto"/>
              <w:ind w:left="99"/>
            </w:pPr>
            <w:r>
              <w:rPr>
                <w:spacing w:val="-3"/>
              </w:rPr>
              <w:t>1148232.11</w:t>
            </w:r>
          </w:p>
        </w:tc>
      </w:tr>
      <w:tr w14:paraId="2C0F0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0F43A164">
            <w:pPr>
              <w:rPr>
                <w:rFonts w:ascii="Arial"/>
                <w:sz w:val="21"/>
              </w:rPr>
            </w:pPr>
          </w:p>
        </w:tc>
        <w:tc>
          <w:tcPr>
            <w:tcW w:w="1308" w:type="dxa"/>
            <w:vMerge w:val="restart"/>
            <w:tcBorders>
              <w:bottom w:val="nil"/>
            </w:tcBorders>
            <w:vAlign w:val="top"/>
          </w:tcPr>
          <w:p w14:paraId="27025423">
            <w:pPr>
              <w:pStyle w:val="6"/>
              <w:spacing w:before="38" w:line="219" w:lineRule="auto"/>
              <w:ind w:left="101"/>
            </w:pPr>
            <w:r>
              <w:rPr>
                <w:spacing w:val="2"/>
              </w:rPr>
              <w:t>临时占地</w:t>
            </w:r>
          </w:p>
        </w:tc>
        <w:tc>
          <w:tcPr>
            <w:tcW w:w="4695" w:type="dxa"/>
            <w:vAlign w:val="top"/>
          </w:tcPr>
          <w:p w14:paraId="23937094">
            <w:pPr>
              <w:pStyle w:val="6"/>
              <w:spacing w:before="37" w:line="195" w:lineRule="auto"/>
              <w:ind w:left="93"/>
            </w:pPr>
            <w:r>
              <w:rPr>
                <w:spacing w:val="1"/>
              </w:rPr>
              <w:t>生态空间：大莫古集镇水厂</w:t>
            </w:r>
          </w:p>
        </w:tc>
        <w:tc>
          <w:tcPr>
            <w:tcW w:w="1658" w:type="dxa"/>
            <w:vAlign w:val="top"/>
          </w:tcPr>
          <w:p w14:paraId="4C8BCDAC">
            <w:pPr>
              <w:pStyle w:val="6"/>
              <w:spacing w:before="60" w:line="176" w:lineRule="auto"/>
              <w:ind w:left="99"/>
            </w:pPr>
            <w:r>
              <w:rPr>
                <w:spacing w:val="-2"/>
              </w:rPr>
              <w:t>971.59</w:t>
            </w:r>
          </w:p>
        </w:tc>
      </w:tr>
      <w:tr w14:paraId="0E67D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223" w:type="dxa"/>
            <w:vMerge w:val="continue"/>
            <w:tcBorders>
              <w:top w:val="nil"/>
              <w:bottom w:val="nil"/>
            </w:tcBorders>
            <w:vAlign w:val="top"/>
          </w:tcPr>
          <w:p w14:paraId="2604009A">
            <w:pPr>
              <w:rPr>
                <w:rFonts w:ascii="Arial"/>
                <w:sz w:val="21"/>
              </w:rPr>
            </w:pPr>
          </w:p>
        </w:tc>
        <w:tc>
          <w:tcPr>
            <w:tcW w:w="1308" w:type="dxa"/>
            <w:vMerge w:val="continue"/>
            <w:tcBorders>
              <w:top w:val="nil"/>
              <w:bottom w:val="nil"/>
            </w:tcBorders>
            <w:vAlign w:val="top"/>
          </w:tcPr>
          <w:p w14:paraId="41328353">
            <w:pPr>
              <w:rPr>
                <w:rFonts w:ascii="Arial"/>
                <w:sz w:val="21"/>
              </w:rPr>
            </w:pPr>
          </w:p>
        </w:tc>
        <w:tc>
          <w:tcPr>
            <w:tcW w:w="4695" w:type="dxa"/>
            <w:vAlign w:val="top"/>
          </w:tcPr>
          <w:p w14:paraId="40052DC8">
            <w:pPr>
              <w:pStyle w:val="6"/>
              <w:spacing w:before="28" w:line="177" w:lineRule="auto"/>
              <w:ind w:left="93"/>
            </w:pPr>
            <w:r>
              <w:rPr>
                <w:spacing w:val="1"/>
              </w:rPr>
              <w:t>生态空间：陆良县一般管控区</w:t>
            </w:r>
          </w:p>
        </w:tc>
        <w:tc>
          <w:tcPr>
            <w:tcW w:w="1658" w:type="dxa"/>
            <w:vAlign w:val="top"/>
          </w:tcPr>
          <w:p w14:paraId="0B799323">
            <w:pPr>
              <w:pStyle w:val="6"/>
              <w:spacing w:before="49" w:line="159" w:lineRule="auto"/>
              <w:ind w:left="99"/>
            </w:pPr>
            <w:r>
              <w:rPr>
                <w:spacing w:val="-3"/>
              </w:rPr>
              <w:t>1147351.52</w:t>
            </w:r>
          </w:p>
        </w:tc>
      </w:tr>
      <w:tr w14:paraId="2A9A2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70179C14">
            <w:pPr>
              <w:rPr>
                <w:rFonts w:ascii="Arial"/>
                <w:sz w:val="21"/>
              </w:rPr>
            </w:pPr>
          </w:p>
        </w:tc>
        <w:tc>
          <w:tcPr>
            <w:tcW w:w="1308" w:type="dxa"/>
            <w:vMerge w:val="continue"/>
            <w:tcBorders>
              <w:top w:val="nil"/>
            </w:tcBorders>
            <w:vAlign w:val="top"/>
          </w:tcPr>
          <w:p w14:paraId="172A63CE">
            <w:pPr>
              <w:rPr>
                <w:rFonts w:ascii="Arial"/>
                <w:sz w:val="21"/>
              </w:rPr>
            </w:pPr>
          </w:p>
        </w:tc>
        <w:tc>
          <w:tcPr>
            <w:tcW w:w="4695" w:type="dxa"/>
            <w:vAlign w:val="top"/>
          </w:tcPr>
          <w:p w14:paraId="4A492136">
            <w:pPr>
              <w:pStyle w:val="6"/>
              <w:spacing w:before="38" w:line="194" w:lineRule="auto"/>
              <w:ind w:left="93"/>
            </w:pPr>
            <w:r>
              <w:rPr>
                <w:spacing w:val="-2"/>
              </w:rPr>
              <w:t>生态空间：天然林</w:t>
            </w:r>
          </w:p>
        </w:tc>
        <w:tc>
          <w:tcPr>
            <w:tcW w:w="1658" w:type="dxa"/>
            <w:vAlign w:val="top"/>
          </w:tcPr>
          <w:p w14:paraId="7802034B">
            <w:pPr>
              <w:pStyle w:val="6"/>
              <w:spacing w:before="61" w:line="175" w:lineRule="auto"/>
              <w:ind w:left="99"/>
            </w:pPr>
            <w:r>
              <w:rPr>
                <w:spacing w:val="-2"/>
              </w:rPr>
              <w:t>0.00045</w:t>
            </w:r>
          </w:p>
        </w:tc>
      </w:tr>
      <w:tr w14:paraId="3890A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vMerge w:val="continue"/>
            <w:tcBorders>
              <w:top w:val="nil"/>
              <w:bottom w:val="nil"/>
            </w:tcBorders>
            <w:vAlign w:val="top"/>
          </w:tcPr>
          <w:p w14:paraId="4C83BED2">
            <w:pPr>
              <w:rPr>
                <w:rFonts w:ascii="Arial"/>
                <w:sz w:val="21"/>
              </w:rPr>
            </w:pPr>
          </w:p>
        </w:tc>
        <w:tc>
          <w:tcPr>
            <w:tcW w:w="1308" w:type="dxa"/>
            <w:vAlign w:val="top"/>
          </w:tcPr>
          <w:p w14:paraId="4F355F51">
            <w:pPr>
              <w:pStyle w:val="6"/>
              <w:spacing w:before="40" w:line="193" w:lineRule="auto"/>
              <w:ind w:left="101"/>
            </w:pPr>
            <w:r>
              <w:rPr>
                <w:spacing w:val="-3"/>
              </w:rPr>
              <w:t>合计</w:t>
            </w:r>
          </w:p>
        </w:tc>
        <w:tc>
          <w:tcPr>
            <w:tcW w:w="4695" w:type="dxa"/>
            <w:vAlign w:val="top"/>
          </w:tcPr>
          <w:p w14:paraId="7346BB18">
            <w:pPr>
              <w:rPr>
                <w:rFonts w:ascii="Arial"/>
                <w:sz w:val="21"/>
              </w:rPr>
            </w:pPr>
          </w:p>
        </w:tc>
        <w:tc>
          <w:tcPr>
            <w:tcW w:w="1658" w:type="dxa"/>
            <w:vAlign w:val="top"/>
          </w:tcPr>
          <w:p w14:paraId="11BDDB3B">
            <w:pPr>
              <w:pStyle w:val="6"/>
              <w:spacing w:before="61" w:line="175" w:lineRule="auto"/>
              <w:ind w:left="99"/>
            </w:pPr>
            <w:r>
              <w:rPr>
                <w:spacing w:val="-3"/>
              </w:rPr>
              <w:t>1148232.11</w:t>
            </w:r>
          </w:p>
        </w:tc>
      </w:tr>
      <w:tr w14:paraId="7A473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trPr>
        <w:tc>
          <w:tcPr>
            <w:tcW w:w="1223" w:type="dxa"/>
            <w:vMerge w:val="continue"/>
            <w:tcBorders>
              <w:top w:val="nil"/>
            </w:tcBorders>
            <w:vAlign w:val="top"/>
          </w:tcPr>
          <w:p w14:paraId="44C5E9A8">
            <w:pPr>
              <w:rPr>
                <w:rFonts w:ascii="Arial"/>
                <w:sz w:val="21"/>
              </w:rPr>
            </w:pPr>
          </w:p>
        </w:tc>
        <w:tc>
          <w:tcPr>
            <w:tcW w:w="7661" w:type="dxa"/>
            <w:gridSpan w:val="3"/>
            <w:vAlign w:val="top"/>
          </w:tcPr>
          <w:p w14:paraId="5A33E560">
            <w:pPr>
              <w:pStyle w:val="6"/>
              <w:spacing w:before="188" w:line="363" w:lineRule="auto"/>
              <w:ind w:left="11" w:right="596" w:firstLine="430"/>
            </w:pPr>
            <w:r>
              <w:t>根据分区管控单元的查询，本项目临时占地生态管控单元的查询涉及</w:t>
            </w:r>
            <w:r>
              <w:rPr>
                <w:spacing w:val="11"/>
              </w:rPr>
              <w:t xml:space="preserve"> </w:t>
            </w:r>
            <w:r>
              <w:t>占用天然林(陆良县一般生态空间优先保护单元),但是查询的占用面积</w:t>
            </w:r>
          </w:p>
        </w:tc>
      </w:tr>
    </w:tbl>
    <w:p w14:paraId="0DAEE978">
      <w:pPr>
        <w:pStyle w:val="2"/>
      </w:pPr>
    </w:p>
    <w:p w14:paraId="5A9EA0B5">
      <w:pPr>
        <w:sectPr>
          <w:footerReference r:id="rId25" w:type="default"/>
          <w:pgSz w:w="11910" w:h="16830"/>
          <w:pgMar w:top="400" w:right="1620" w:bottom="1245" w:left="1395" w:header="0" w:footer="1083" w:gutter="0"/>
          <w:cols w:space="720" w:num="1"/>
        </w:sectPr>
      </w:pPr>
    </w:p>
    <w:p w14:paraId="66CCD65A">
      <w:pPr>
        <w:spacing w:before="18"/>
      </w:pPr>
    </w:p>
    <w:p w14:paraId="188D86A2">
      <w:pPr>
        <w:spacing w:before="18"/>
      </w:pPr>
    </w:p>
    <w:p w14:paraId="23B35F7B">
      <w:pPr>
        <w:spacing w:before="17"/>
      </w:pPr>
    </w:p>
    <w:p w14:paraId="04F18CE4">
      <w:pPr>
        <w:spacing w:before="17"/>
      </w:pPr>
    </w:p>
    <w:p w14:paraId="4E4DFEDA">
      <w:pPr>
        <w:spacing w:before="17"/>
      </w:pPr>
    </w:p>
    <w:tbl>
      <w:tblPr>
        <w:tblStyle w:val="5"/>
        <w:tblW w:w="89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529"/>
        <w:gridCol w:w="380"/>
        <w:gridCol w:w="3995"/>
        <w:gridCol w:w="2208"/>
        <w:gridCol w:w="594"/>
      </w:tblGrid>
      <w:tr w14:paraId="0CE4F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0" w:hRule="atLeast"/>
        </w:trPr>
        <w:tc>
          <w:tcPr>
            <w:tcW w:w="1254" w:type="dxa"/>
            <w:vMerge w:val="restart"/>
            <w:tcBorders>
              <w:bottom w:val="nil"/>
            </w:tcBorders>
            <w:vAlign w:val="top"/>
          </w:tcPr>
          <w:p w14:paraId="1CF57B0D">
            <w:pPr>
              <w:rPr>
                <w:rFonts w:ascii="Arial"/>
                <w:sz w:val="21"/>
              </w:rPr>
            </w:pPr>
          </w:p>
        </w:tc>
        <w:tc>
          <w:tcPr>
            <w:tcW w:w="7706" w:type="dxa"/>
            <w:gridSpan w:val="5"/>
            <w:vAlign w:val="top"/>
          </w:tcPr>
          <w:p w14:paraId="458B8FA6">
            <w:pPr>
              <w:pStyle w:val="6"/>
              <w:spacing w:before="19" w:line="394" w:lineRule="auto"/>
              <w:ind w:left="10" w:right="645" w:firstLine="20"/>
              <w:jc w:val="both"/>
            </w:pPr>
            <w:r>
              <w:rPr>
                <w:spacing w:val="3"/>
              </w:rPr>
              <w:t>只有0.00045m²,属于矢量数据边界线的碰到，根据云南庚优林业工程设</w:t>
            </w:r>
            <w:r>
              <w:rPr>
                <w:spacing w:val="11"/>
              </w:rPr>
              <w:t xml:space="preserve"> </w:t>
            </w:r>
            <w:r>
              <w:t>计有限公司编制的《栗树园村光伏发电项目使用林地可行性报告》,明确</w:t>
            </w:r>
            <w:r>
              <w:rPr>
                <w:spacing w:val="7"/>
              </w:rPr>
              <w:t xml:space="preserve">  </w:t>
            </w:r>
            <w:r>
              <w:t>项目的永久占地和临时占地不涉及天然林，故本项目不涉及占用天然林。 项目分区管控单元查询到永久占地涉及占用天然林塔基为ATe4,实际根据</w:t>
            </w:r>
            <w:r>
              <w:rPr>
                <w:spacing w:val="5"/>
              </w:rPr>
              <w:t xml:space="preserve">  </w:t>
            </w:r>
            <w:r>
              <w:t>陆良县林草局查询结果，项目塔基ATe4不涉及占用天然林。</w:t>
            </w:r>
          </w:p>
          <w:p w14:paraId="768124D6">
            <w:pPr>
              <w:pStyle w:val="6"/>
              <w:spacing w:before="125" w:line="219" w:lineRule="auto"/>
              <w:ind w:left="470"/>
            </w:pPr>
            <w:r>
              <w:t>根据陆良县林业和草原局出具的《陆良县林业</w:t>
            </w:r>
            <w:r>
              <w:rPr>
                <w:spacing w:val="-1"/>
              </w:rPr>
              <w:t>和草原局关于栗树园村</w:t>
            </w:r>
          </w:p>
          <w:p w14:paraId="10CE62E4">
            <w:pPr>
              <w:pStyle w:val="6"/>
              <w:spacing w:before="198" w:line="219" w:lineRule="auto"/>
              <w:ind w:left="10"/>
            </w:pPr>
            <w:r>
              <w:t>光伏发电项目用地选址意见》:“按照《自然资源部办公厅国家林业和草</w:t>
            </w:r>
          </w:p>
          <w:p w14:paraId="1CE9C66A">
            <w:pPr>
              <w:pStyle w:val="6"/>
              <w:spacing w:before="199" w:line="219" w:lineRule="auto"/>
              <w:ind w:left="20"/>
            </w:pPr>
            <w:r>
              <w:t>原局办公室国家能源局综合司关于支持光伏发电产业发展规范用地管理</w:t>
            </w:r>
          </w:p>
          <w:p w14:paraId="6F6E14FF">
            <w:pPr>
              <w:pStyle w:val="6"/>
              <w:spacing w:before="229" w:line="379" w:lineRule="auto"/>
              <w:ind w:left="10" w:right="434"/>
            </w:pPr>
            <w:r>
              <w:t>有关工作的通知》(自然资办发〔2023〕12号)规定</w:t>
            </w:r>
            <w:r>
              <w:rPr>
                <w:spacing w:val="-1"/>
              </w:rPr>
              <w:t>未涉及不能使用的林地地</w:t>
            </w:r>
            <w:r>
              <w:t xml:space="preserve"> 类情况。拟选址建设项目区不涉及占用陆良县各级、各类自然保护地，不</w:t>
            </w:r>
          </w:p>
          <w:p w14:paraId="483B6009">
            <w:pPr>
              <w:pStyle w:val="6"/>
              <w:spacing w:before="5" w:line="415" w:lineRule="auto"/>
              <w:ind w:left="10" w:right="730"/>
            </w:pPr>
            <w:r>
              <w:rPr>
                <w:spacing w:val="1"/>
              </w:rPr>
              <w:t>涉及占用I级保护林地。”本次评价以林勘单位实地</w:t>
            </w:r>
            <w:r>
              <w:t>调查和林业主管部门 意见为准，项目永久占地和临时占地不涉及天然林。</w:t>
            </w:r>
          </w:p>
          <w:p w14:paraId="4C0D000D">
            <w:pPr>
              <w:pStyle w:val="6"/>
              <w:spacing w:before="79" w:line="219" w:lineRule="auto"/>
              <w:ind w:left="1274"/>
            </w:pPr>
            <w:r>
              <w:rPr>
                <w:b/>
                <w:bCs/>
                <w:spacing w:val="-3"/>
              </w:rPr>
              <w:t>表1-8本项目与曲靖市环境管控单元符合性分析</w:t>
            </w:r>
          </w:p>
        </w:tc>
      </w:tr>
      <w:tr w14:paraId="1C5F9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254" w:type="dxa"/>
            <w:vMerge w:val="continue"/>
            <w:tcBorders>
              <w:top w:val="nil"/>
              <w:bottom w:val="nil"/>
            </w:tcBorders>
            <w:vAlign w:val="top"/>
          </w:tcPr>
          <w:p w14:paraId="584F3246">
            <w:pPr>
              <w:rPr>
                <w:rFonts w:ascii="Arial"/>
                <w:sz w:val="21"/>
              </w:rPr>
            </w:pPr>
          </w:p>
        </w:tc>
        <w:tc>
          <w:tcPr>
            <w:tcW w:w="529" w:type="dxa"/>
            <w:textDirection w:val="tbRlV"/>
            <w:vAlign w:val="top"/>
          </w:tcPr>
          <w:p w14:paraId="094B0C62">
            <w:pPr>
              <w:pStyle w:val="6"/>
              <w:spacing w:before="171" w:line="195" w:lineRule="auto"/>
              <w:ind w:left="42"/>
            </w:pPr>
            <w:r>
              <w:t>项目</w:t>
            </w:r>
          </w:p>
        </w:tc>
        <w:tc>
          <w:tcPr>
            <w:tcW w:w="4375" w:type="dxa"/>
            <w:gridSpan w:val="2"/>
            <w:vAlign w:val="top"/>
          </w:tcPr>
          <w:p w14:paraId="28BA92C0">
            <w:pPr>
              <w:pStyle w:val="6"/>
              <w:spacing w:before="175" w:line="221" w:lineRule="auto"/>
              <w:ind w:left="1232"/>
            </w:pPr>
            <w:r>
              <w:rPr>
                <w:spacing w:val="1"/>
              </w:rPr>
              <w:t>曲环通〔2024〕36号</w:t>
            </w:r>
          </w:p>
        </w:tc>
        <w:tc>
          <w:tcPr>
            <w:tcW w:w="2208" w:type="dxa"/>
            <w:vAlign w:val="top"/>
          </w:tcPr>
          <w:p w14:paraId="3AC2D397">
            <w:pPr>
              <w:pStyle w:val="6"/>
              <w:spacing w:before="174" w:line="220" w:lineRule="auto"/>
              <w:ind w:left="676"/>
            </w:pPr>
            <w:r>
              <w:rPr>
                <w:spacing w:val="2"/>
              </w:rPr>
              <w:t>项目情况</w:t>
            </w:r>
          </w:p>
        </w:tc>
        <w:tc>
          <w:tcPr>
            <w:tcW w:w="594" w:type="dxa"/>
            <w:vAlign w:val="top"/>
          </w:tcPr>
          <w:p w14:paraId="27B15AF5">
            <w:pPr>
              <w:pStyle w:val="6"/>
              <w:spacing w:before="13" w:line="221" w:lineRule="auto"/>
              <w:ind w:left="178" w:right="83" w:hanging="109"/>
            </w:pPr>
            <w:r>
              <w:rPr>
                <w:spacing w:val="-5"/>
              </w:rPr>
              <w:t>相符</w:t>
            </w:r>
            <w:r>
              <w:t xml:space="preserve"> 性</w:t>
            </w:r>
          </w:p>
        </w:tc>
      </w:tr>
      <w:tr w14:paraId="2E36A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0" w:hRule="atLeast"/>
        </w:trPr>
        <w:tc>
          <w:tcPr>
            <w:tcW w:w="1254" w:type="dxa"/>
            <w:vMerge w:val="continue"/>
            <w:tcBorders>
              <w:top w:val="nil"/>
            </w:tcBorders>
            <w:vAlign w:val="top"/>
          </w:tcPr>
          <w:p w14:paraId="364C7FCF">
            <w:pPr>
              <w:rPr>
                <w:rFonts w:ascii="Arial"/>
                <w:sz w:val="21"/>
              </w:rPr>
            </w:pPr>
          </w:p>
        </w:tc>
        <w:tc>
          <w:tcPr>
            <w:tcW w:w="529" w:type="dxa"/>
            <w:textDirection w:val="tbRlV"/>
            <w:vAlign w:val="top"/>
          </w:tcPr>
          <w:p w14:paraId="3BA8F236">
            <w:pPr>
              <w:pStyle w:val="6"/>
              <w:spacing w:before="147" w:line="200" w:lineRule="auto"/>
              <w:ind w:left="1504"/>
            </w:pPr>
            <w:r>
              <w:rPr>
                <w:spacing w:val="50"/>
              </w:rPr>
              <w:t>曲靖市生态环境管控总体要求</w:t>
            </w:r>
          </w:p>
        </w:tc>
        <w:tc>
          <w:tcPr>
            <w:tcW w:w="380" w:type="dxa"/>
            <w:textDirection w:val="tbRlV"/>
            <w:vAlign w:val="top"/>
          </w:tcPr>
          <w:p w14:paraId="36B73164">
            <w:pPr>
              <w:pStyle w:val="6"/>
              <w:spacing w:before="79" w:line="198" w:lineRule="auto"/>
              <w:ind w:left="2452"/>
            </w:pPr>
            <w:r>
              <w:rPr>
                <w:spacing w:val="49"/>
              </w:rPr>
              <w:t>空间布局约束</w:t>
            </w:r>
          </w:p>
        </w:tc>
        <w:tc>
          <w:tcPr>
            <w:tcW w:w="3995" w:type="dxa"/>
            <w:vAlign w:val="top"/>
          </w:tcPr>
          <w:p w14:paraId="535CBA74">
            <w:pPr>
              <w:pStyle w:val="6"/>
              <w:spacing w:before="29" w:line="228" w:lineRule="auto"/>
              <w:ind w:left="12" w:firstLine="48"/>
            </w:pPr>
            <w:r>
              <w:rPr>
                <w:spacing w:val="-18"/>
              </w:rPr>
              <w:t>1.严格执行《长江经济带发展负面清单指南</w:t>
            </w:r>
            <w:r>
              <w:rPr>
                <w:spacing w:val="3"/>
              </w:rPr>
              <w:t xml:space="preserve">  </w:t>
            </w:r>
            <w:r>
              <w:t>(试行，2022年版)》《云南省长江经济</w:t>
            </w:r>
            <w:r>
              <w:rPr>
                <w:spacing w:val="6"/>
              </w:rPr>
              <w:t xml:space="preserve">   </w:t>
            </w:r>
            <w:r>
              <w:rPr>
                <w:spacing w:val="-5"/>
              </w:rPr>
              <w:t>带发展负面清单指南实施细则(试行)》等</w:t>
            </w:r>
            <w:r>
              <w:t xml:space="preserve">  </w:t>
            </w:r>
            <w:r>
              <w:rPr>
                <w:spacing w:val="-16"/>
              </w:rPr>
              <w:t>产业准入有关要求。2.严格实施化解过剩产</w:t>
            </w:r>
            <w:r>
              <w:rPr>
                <w:spacing w:val="8"/>
              </w:rPr>
              <w:t xml:space="preserve">  </w:t>
            </w:r>
            <w:r>
              <w:rPr>
                <w:spacing w:val="-16"/>
              </w:rPr>
              <w:t>能和淘汰落后产能，制定产能过剩行业淘汰</w:t>
            </w:r>
            <w:r>
              <w:t xml:space="preserve">  </w:t>
            </w:r>
            <w:r>
              <w:rPr>
                <w:spacing w:val="-15"/>
              </w:rPr>
              <w:t>计划，确保国家、省下达的淘汰落后产能目</w:t>
            </w:r>
            <w:r>
              <w:rPr>
                <w:spacing w:val="8"/>
              </w:rPr>
              <w:t xml:space="preserve"> </w:t>
            </w:r>
            <w:r>
              <w:rPr>
                <w:spacing w:val="-16"/>
              </w:rPr>
              <w:t>标任务全面完成。3.将资源承载能力、生态</w:t>
            </w:r>
            <w:r>
              <w:rPr>
                <w:spacing w:val="7"/>
              </w:rPr>
              <w:t xml:space="preserve">  </w:t>
            </w:r>
            <w:r>
              <w:rPr>
                <w:spacing w:val="-11"/>
              </w:rPr>
              <w:t>环境容量作为承接产业转移的基础和前提，</w:t>
            </w:r>
            <w:r>
              <w:t xml:space="preserve"> </w:t>
            </w:r>
            <w:r>
              <w:rPr>
                <w:spacing w:val="-17"/>
              </w:rPr>
              <w:t>合理确定承接产业转移重点，禁止引进环境</w:t>
            </w:r>
            <w:r>
              <w:rPr>
                <w:spacing w:val="8"/>
              </w:rPr>
              <w:t xml:space="preserve">  </w:t>
            </w:r>
            <w:r>
              <w:rPr>
                <w:spacing w:val="-22"/>
              </w:rPr>
              <w:t>污染大、资源消耗高、技术落后的生产能力。</w:t>
            </w:r>
            <w:r>
              <w:rPr>
                <w:spacing w:val="11"/>
              </w:rPr>
              <w:t xml:space="preserve"> </w:t>
            </w:r>
            <w:r>
              <w:rPr>
                <w:spacing w:val="-6"/>
              </w:rPr>
              <w:t>4.支持现有各类产业园区有供热需求的实</w:t>
            </w:r>
            <w:r>
              <w:t xml:space="preserve">  </w:t>
            </w:r>
            <w:r>
              <w:rPr>
                <w:spacing w:val="-16"/>
              </w:rPr>
              <w:t>施热电联产或者集中供热改造，具备条件的</w:t>
            </w:r>
            <w:r>
              <w:rPr>
                <w:spacing w:val="2"/>
              </w:rPr>
              <w:t xml:space="preserve">  </w:t>
            </w:r>
            <w:r>
              <w:rPr>
                <w:spacing w:val="-16"/>
              </w:rPr>
              <w:t>工业园区实现集中供热。5.严格控制在生态</w:t>
            </w:r>
            <w:r>
              <w:rPr>
                <w:spacing w:val="7"/>
              </w:rPr>
              <w:t xml:space="preserve">  </w:t>
            </w:r>
            <w:r>
              <w:rPr>
                <w:spacing w:val="-16"/>
              </w:rPr>
              <w:t>脆弱或环境敏感地区建设《环境保护综合名</w:t>
            </w:r>
            <w:r>
              <w:rPr>
                <w:spacing w:val="15"/>
              </w:rPr>
              <w:t xml:space="preserve"> </w:t>
            </w:r>
            <w:r>
              <w:rPr>
                <w:spacing w:val="-11"/>
              </w:rPr>
              <w:t>录》中“高污染、高环境风险”行业项目。</w:t>
            </w:r>
          </w:p>
          <w:p w14:paraId="0FCF6E56">
            <w:pPr>
              <w:pStyle w:val="6"/>
              <w:spacing w:before="12" w:line="224" w:lineRule="auto"/>
              <w:ind w:left="11" w:firstLine="19"/>
            </w:pPr>
            <w:r>
              <w:rPr>
                <w:spacing w:val="-22"/>
              </w:rPr>
              <w:t>6.禁止在合规园区外新建、扩建钢铁、石化、</w:t>
            </w:r>
            <w:r>
              <w:rPr>
                <w:spacing w:val="14"/>
              </w:rPr>
              <w:t xml:space="preserve"> </w:t>
            </w:r>
            <w:r>
              <w:rPr>
                <w:spacing w:val="-16"/>
              </w:rPr>
              <w:t>化工、焦化、建材、有色行业中的高污染项</w:t>
            </w:r>
            <w:r>
              <w:t xml:space="preserve">  </w:t>
            </w:r>
            <w:r>
              <w:rPr>
                <w:spacing w:val="-16"/>
              </w:rPr>
              <w:t>目。7.集中式饮用水水源地严格执行《中华</w:t>
            </w:r>
            <w:r>
              <w:rPr>
                <w:spacing w:val="6"/>
              </w:rPr>
              <w:t xml:space="preserve">  </w:t>
            </w:r>
            <w:r>
              <w:rPr>
                <w:spacing w:val="-17"/>
              </w:rPr>
              <w:t>人民共和国水污染防治法》《地下水管理条</w:t>
            </w:r>
            <w:r>
              <w:rPr>
                <w:spacing w:val="8"/>
              </w:rPr>
              <w:t xml:space="preserve">  </w:t>
            </w:r>
            <w:r>
              <w:rPr>
                <w:spacing w:val="-22"/>
              </w:rPr>
              <w:t>例》《饮用水水源保护区污染防治管理规定》</w:t>
            </w:r>
            <w:r>
              <w:rPr>
                <w:spacing w:val="12"/>
              </w:rPr>
              <w:t xml:space="preserve"> </w:t>
            </w:r>
            <w:r>
              <w:t xml:space="preserve">《曲靖市集中式饮用水水源地保护条例》 </w:t>
            </w:r>
            <w:r>
              <w:rPr>
                <w:spacing w:val="-11"/>
              </w:rPr>
              <w:t>《云南省曲靖独木水库保护条例》,水源地</w:t>
            </w:r>
            <w:r>
              <w:rPr>
                <w:spacing w:val="1"/>
              </w:rPr>
              <w:t xml:space="preserve">  </w:t>
            </w:r>
            <w:r>
              <w:rPr>
                <w:spacing w:val="-6"/>
              </w:rPr>
              <w:t>内城镇开发边界范围已开发区域强化环境</w:t>
            </w:r>
            <w:r>
              <w:rPr>
                <w:spacing w:val="6"/>
              </w:rPr>
              <w:t xml:space="preserve">  </w:t>
            </w:r>
            <w:r>
              <w:rPr>
                <w:spacing w:val="-13"/>
              </w:rPr>
              <w:t>基础设施建设与运行维护。8.各县(市、区)</w:t>
            </w:r>
          </w:p>
        </w:tc>
        <w:tc>
          <w:tcPr>
            <w:tcW w:w="2208" w:type="dxa"/>
            <w:vAlign w:val="top"/>
          </w:tcPr>
          <w:p w14:paraId="4CEA80B1">
            <w:pPr>
              <w:pStyle w:val="6"/>
              <w:spacing w:before="20" w:line="229" w:lineRule="auto"/>
              <w:ind w:left="26" w:firstLine="9"/>
            </w:pPr>
            <w:r>
              <w:rPr>
                <w:spacing w:val="-17"/>
              </w:rPr>
              <w:t>1、根据分析，本项目符</w:t>
            </w:r>
            <w:r>
              <w:rPr>
                <w:spacing w:val="5"/>
              </w:rPr>
              <w:t xml:space="preserve"> </w:t>
            </w:r>
            <w:r>
              <w:rPr>
                <w:spacing w:val="-3"/>
              </w:rPr>
              <w:t>合《长江经济带发展负</w:t>
            </w:r>
            <w:r>
              <w:t xml:space="preserve"> </w:t>
            </w:r>
            <w:r>
              <w:rPr>
                <w:spacing w:val="-13"/>
              </w:rPr>
              <w:t>面清单指南(试行，2022</w:t>
            </w:r>
            <w:r>
              <w:rPr>
                <w:spacing w:val="1"/>
              </w:rPr>
              <w:t xml:space="preserve"> </w:t>
            </w:r>
            <w:r>
              <w:rPr>
                <w:spacing w:val="-3"/>
              </w:rPr>
              <w:t>年版)》、《云南省长</w:t>
            </w:r>
            <w:r>
              <w:t xml:space="preserve">  </w:t>
            </w:r>
            <w:r>
              <w:rPr>
                <w:spacing w:val="-3"/>
              </w:rPr>
              <w:t>江经济带发展负面清</w:t>
            </w:r>
          </w:p>
          <w:p w14:paraId="512416DC">
            <w:pPr>
              <w:pStyle w:val="6"/>
              <w:spacing w:before="19" w:line="217" w:lineRule="auto"/>
              <w:ind w:left="56"/>
            </w:pPr>
            <w:r>
              <w:rPr>
                <w:spacing w:val="-2"/>
              </w:rPr>
              <w:t>单指南实施细则(试</w:t>
            </w:r>
          </w:p>
          <w:p w14:paraId="2D081BD3">
            <w:pPr>
              <w:pStyle w:val="6"/>
              <w:spacing w:line="219" w:lineRule="auto"/>
              <w:ind w:left="46"/>
            </w:pPr>
            <w:r>
              <w:rPr>
                <w:spacing w:val="1"/>
              </w:rPr>
              <w:t>行)》(云发改基础</w:t>
            </w:r>
          </w:p>
          <w:p w14:paraId="2FEC4C76">
            <w:pPr>
              <w:pStyle w:val="6"/>
              <w:spacing w:before="10" w:line="227" w:lineRule="auto"/>
              <w:ind w:left="26" w:right="61" w:firstLine="19"/>
            </w:pPr>
            <w:r>
              <w:rPr>
                <w:spacing w:val="8"/>
              </w:rPr>
              <w:t>〔2019〕924号)的相</w:t>
            </w:r>
            <w:r>
              <w:rPr>
                <w:spacing w:val="5"/>
              </w:rPr>
              <w:t xml:space="preserve"> </w:t>
            </w:r>
            <w:r>
              <w:rPr>
                <w:spacing w:val="25"/>
              </w:rPr>
              <w:t>关要求</w:t>
            </w:r>
            <w:r>
              <w:rPr>
                <w:spacing w:val="-50"/>
              </w:rPr>
              <w:t xml:space="preserve"> </w:t>
            </w:r>
            <w:r>
              <w:rPr>
                <w:spacing w:val="25"/>
              </w:rPr>
              <w:t>；</w:t>
            </w:r>
          </w:p>
          <w:p w14:paraId="775CB6E6">
            <w:pPr>
              <w:pStyle w:val="6"/>
              <w:spacing w:before="15" w:line="222" w:lineRule="auto"/>
              <w:ind w:left="36"/>
            </w:pPr>
            <w:r>
              <w:rPr>
                <w:spacing w:val="-15"/>
              </w:rPr>
              <w:t>2、本项目为光伏发电项</w:t>
            </w:r>
            <w:r>
              <w:rPr>
                <w:spacing w:val="8"/>
              </w:rPr>
              <w:t xml:space="preserve"> </w:t>
            </w:r>
            <w:r>
              <w:rPr>
                <w:spacing w:val="-4"/>
              </w:rPr>
              <w:t>目，不涉及过剩产能和</w:t>
            </w:r>
            <w:r>
              <w:t xml:space="preserve"> </w:t>
            </w:r>
            <w:r>
              <w:rPr>
                <w:spacing w:val="13"/>
              </w:rPr>
              <w:t>淘汰落后产能；</w:t>
            </w:r>
          </w:p>
          <w:p w14:paraId="16858F0F">
            <w:pPr>
              <w:pStyle w:val="6"/>
              <w:spacing w:before="8" w:line="227" w:lineRule="auto"/>
              <w:ind w:left="26" w:firstLine="9"/>
            </w:pPr>
            <w:r>
              <w:rPr>
                <w:spacing w:val="-15"/>
              </w:rPr>
              <w:t>3、项目不属于环境污染</w:t>
            </w:r>
            <w:r>
              <w:rPr>
                <w:spacing w:val="5"/>
              </w:rPr>
              <w:t xml:space="preserve"> </w:t>
            </w:r>
            <w:r>
              <w:rPr>
                <w:spacing w:val="-3"/>
              </w:rPr>
              <w:t>大、资源消耗高、技术</w:t>
            </w:r>
            <w:r>
              <w:t xml:space="preserve"> </w:t>
            </w:r>
            <w:r>
              <w:rPr>
                <w:spacing w:val="15"/>
              </w:rPr>
              <w:t>落后的生产项目；</w:t>
            </w:r>
          </w:p>
          <w:p w14:paraId="06978F05">
            <w:pPr>
              <w:pStyle w:val="6"/>
              <w:spacing w:before="10" w:line="220" w:lineRule="auto"/>
              <w:ind w:left="26"/>
            </w:pPr>
            <w:r>
              <w:rPr>
                <w:spacing w:val="13"/>
              </w:rPr>
              <w:t>4、项目不涉及；</w:t>
            </w:r>
          </w:p>
          <w:p w14:paraId="41339450">
            <w:pPr>
              <w:pStyle w:val="6"/>
              <w:spacing w:before="6" w:line="230" w:lineRule="auto"/>
              <w:ind w:left="55" w:hanging="19"/>
            </w:pPr>
            <w:r>
              <w:rPr>
                <w:spacing w:val="-22"/>
              </w:rPr>
              <w:t>5、本项目为光伏发电项</w:t>
            </w:r>
            <w:r>
              <w:t xml:space="preserve">  </w:t>
            </w:r>
            <w:r>
              <w:rPr>
                <w:spacing w:val="-6"/>
              </w:rPr>
              <w:t>目，不属于“高污染、</w:t>
            </w:r>
            <w:r>
              <w:t xml:space="preserve"> </w:t>
            </w:r>
            <w:r>
              <w:rPr>
                <w:spacing w:val="-26"/>
              </w:rPr>
              <w:t>高环境风险”行业项目；</w:t>
            </w:r>
          </w:p>
          <w:p w14:paraId="132EF8D0">
            <w:pPr>
              <w:pStyle w:val="6"/>
              <w:spacing w:before="10" w:line="219" w:lineRule="auto"/>
              <w:ind w:left="45" w:hanging="9"/>
            </w:pPr>
            <w:r>
              <w:rPr>
                <w:spacing w:val="-22"/>
              </w:rPr>
              <w:t>6、本项目为光伏发电项</w:t>
            </w:r>
            <w:r>
              <w:t xml:space="preserve">  </w:t>
            </w:r>
            <w:r>
              <w:rPr>
                <w:spacing w:val="-16"/>
              </w:rPr>
              <w:t>目，不属于在合规园区</w:t>
            </w:r>
            <w:r>
              <w:rPr>
                <w:spacing w:val="2"/>
              </w:rPr>
              <w:t xml:space="preserve">  </w:t>
            </w:r>
            <w:r>
              <w:rPr>
                <w:spacing w:val="-15"/>
              </w:rPr>
              <w:t>外新建、扩建钢铁、石</w:t>
            </w:r>
            <w:r>
              <w:rPr>
                <w:spacing w:val="3"/>
              </w:rPr>
              <w:t xml:space="preserve">  </w:t>
            </w:r>
            <w:r>
              <w:rPr>
                <w:spacing w:val="-25"/>
              </w:rPr>
              <w:t>化、化工、焦化、建材、</w:t>
            </w:r>
            <w:r>
              <w:rPr>
                <w:spacing w:val="5"/>
              </w:rPr>
              <w:t xml:space="preserve"> </w:t>
            </w:r>
            <w:r>
              <w:rPr>
                <w:spacing w:val="-13"/>
              </w:rPr>
              <w:t>有色行业中的高污染项</w:t>
            </w:r>
          </w:p>
        </w:tc>
        <w:tc>
          <w:tcPr>
            <w:tcW w:w="594" w:type="dxa"/>
            <w:vAlign w:val="top"/>
          </w:tcPr>
          <w:p w14:paraId="05C3FB1F">
            <w:pPr>
              <w:spacing w:line="256" w:lineRule="auto"/>
              <w:rPr>
                <w:rFonts w:ascii="Arial"/>
                <w:sz w:val="21"/>
              </w:rPr>
            </w:pPr>
          </w:p>
          <w:p w14:paraId="0086ED99">
            <w:pPr>
              <w:spacing w:line="256" w:lineRule="auto"/>
              <w:rPr>
                <w:rFonts w:ascii="Arial"/>
                <w:sz w:val="21"/>
              </w:rPr>
            </w:pPr>
          </w:p>
          <w:p w14:paraId="740548E8">
            <w:pPr>
              <w:spacing w:line="256" w:lineRule="auto"/>
              <w:rPr>
                <w:rFonts w:ascii="Arial"/>
                <w:sz w:val="21"/>
              </w:rPr>
            </w:pPr>
          </w:p>
          <w:p w14:paraId="3193FB7E">
            <w:pPr>
              <w:spacing w:line="256" w:lineRule="auto"/>
              <w:rPr>
                <w:rFonts w:ascii="Arial"/>
                <w:sz w:val="21"/>
              </w:rPr>
            </w:pPr>
          </w:p>
          <w:p w14:paraId="39A51875">
            <w:pPr>
              <w:spacing w:line="256" w:lineRule="auto"/>
              <w:rPr>
                <w:rFonts w:ascii="Arial"/>
                <w:sz w:val="21"/>
              </w:rPr>
            </w:pPr>
          </w:p>
          <w:p w14:paraId="6464D224">
            <w:pPr>
              <w:spacing w:line="256" w:lineRule="auto"/>
              <w:rPr>
                <w:rFonts w:ascii="Arial"/>
                <w:sz w:val="21"/>
              </w:rPr>
            </w:pPr>
          </w:p>
          <w:p w14:paraId="70F6E979">
            <w:pPr>
              <w:spacing w:line="256" w:lineRule="auto"/>
              <w:rPr>
                <w:rFonts w:ascii="Arial"/>
                <w:sz w:val="21"/>
              </w:rPr>
            </w:pPr>
          </w:p>
          <w:p w14:paraId="19FF009D">
            <w:pPr>
              <w:spacing w:line="256" w:lineRule="auto"/>
              <w:rPr>
                <w:rFonts w:ascii="Arial"/>
                <w:sz w:val="21"/>
              </w:rPr>
            </w:pPr>
          </w:p>
          <w:p w14:paraId="60F4A650">
            <w:pPr>
              <w:spacing w:line="256" w:lineRule="auto"/>
              <w:rPr>
                <w:rFonts w:ascii="Arial"/>
                <w:sz w:val="21"/>
              </w:rPr>
            </w:pPr>
          </w:p>
          <w:p w14:paraId="4776BB55">
            <w:pPr>
              <w:spacing w:line="256" w:lineRule="auto"/>
              <w:rPr>
                <w:rFonts w:ascii="Arial"/>
                <w:sz w:val="21"/>
              </w:rPr>
            </w:pPr>
          </w:p>
          <w:p w14:paraId="419D3B06">
            <w:pPr>
              <w:spacing w:line="256" w:lineRule="auto"/>
              <w:rPr>
                <w:rFonts w:ascii="Arial"/>
                <w:sz w:val="21"/>
              </w:rPr>
            </w:pPr>
          </w:p>
          <w:p w14:paraId="06205DCD">
            <w:pPr>
              <w:spacing w:line="257" w:lineRule="auto"/>
              <w:rPr>
                <w:rFonts w:ascii="Arial"/>
                <w:sz w:val="21"/>
              </w:rPr>
            </w:pPr>
          </w:p>
          <w:p w14:paraId="0CA601F2">
            <w:pPr>
              <w:pStyle w:val="6"/>
              <w:spacing w:before="72" w:line="219" w:lineRule="auto"/>
              <w:ind w:left="69"/>
            </w:pPr>
            <w:r>
              <w:rPr>
                <w:spacing w:val="-3"/>
              </w:rPr>
              <w:t>符合</w:t>
            </w:r>
          </w:p>
        </w:tc>
      </w:tr>
    </w:tbl>
    <w:p w14:paraId="2E17848A">
      <w:pPr>
        <w:pStyle w:val="2"/>
      </w:pPr>
    </w:p>
    <w:p w14:paraId="29F07BB8">
      <w:pPr>
        <w:sectPr>
          <w:footerReference r:id="rId26" w:type="default"/>
          <w:pgSz w:w="11910" w:h="16830"/>
          <w:pgMar w:top="400" w:right="1524" w:bottom="1245" w:left="1415" w:header="0" w:footer="1083" w:gutter="0"/>
          <w:cols w:space="720" w:num="1"/>
        </w:sectPr>
      </w:pPr>
    </w:p>
    <w:p w14:paraId="1DF665DA">
      <w:pPr>
        <w:spacing w:before="18"/>
      </w:pPr>
    </w:p>
    <w:p w14:paraId="109E45C9">
      <w:pPr>
        <w:spacing w:before="18"/>
      </w:pPr>
    </w:p>
    <w:p w14:paraId="2348EF57">
      <w:pPr>
        <w:spacing w:before="17"/>
      </w:pPr>
    </w:p>
    <w:p w14:paraId="16AAAEC4">
      <w:pPr>
        <w:spacing w:before="17"/>
      </w:pPr>
    </w:p>
    <w:p w14:paraId="73A4CEA5">
      <w:pPr>
        <w:spacing w:before="17"/>
      </w:pPr>
    </w:p>
    <w:tbl>
      <w:tblPr>
        <w:tblStyle w:val="5"/>
        <w:tblW w:w="90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3"/>
        <w:gridCol w:w="549"/>
        <w:gridCol w:w="380"/>
        <w:gridCol w:w="4005"/>
        <w:gridCol w:w="2208"/>
        <w:gridCol w:w="614"/>
      </w:tblGrid>
      <w:tr w14:paraId="34421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1" w:hRule="atLeast"/>
        </w:trPr>
        <w:tc>
          <w:tcPr>
            <w:tcW w:w="1253" w:type="dxa"/>
            <w:vMerge w:val="restart"/>
            <w:tcBorders>
              <w:bottom w:val="nil"/>
            </w:tcBorders>
            <w:vAlign w:val="top"/>
          </w:tcPr>
          <w:p w14:paraId="1AF79502">
            <w:pPr>
              <w:rPr>
                <w:rFonts w:ascii="Arial"/>
                <w:sz w:val="21"/>
              </w:rPr>
            </w:pPr>
          </w:p>
        </w:tc>
        <w:tc>
          <w:tcPr>
            <w:tcW w:w="549" w:type="dxa"/>
            <w:vMerge w:val="restart"/>
            <w:tcBorders>
              <w:bottom w:val="nil"/>
            </w:tcBorders>
            <w:vAlign w:val="top"/>
          </w:tcPr>
          <w:p w14:paraId="2E50C72A">
            <w:pPr>
              <w:rPr>
                <w:rFonts w:ascii="Arial"/>
                <w:sz w:val="21"/>
              </w:rPr>
            </w:pPr>
          </w:p>
        </w:tc>
        <w:tc>
          <w:tcPr>
            <w:tcW w:w="380" w:type="dxa"/>
            <w:vAlign w:val="top"/>
          </w:tcPr>
          <w:p w14:paraId="59C5B676">
            <w:pPr>
              <w:rPr>
                <w:rFonts w:ascii="Arial"/>
                <w:sz w:val="21"/>
              </w:rPr>
            </w:pPr>
          </w:p>
        </w:tc>
        <w:tc>
          <w:tcPr>
            <w:tcW w:w="4005" w:type="dxa"/>
            <w:vAlign w:val="top"/>
          </w:tcPr>
          <w:p w14:paraId="2BECABC4">
            <w:pPr>
              <w:pStyle w:val="6"/>
              <w:spacing w:before="48"/>
              <w:ind w:left="13"/>
              <w:jc w:val="both"/>
              <w:rPr>
                <w:sz w:val="21"/>
                <w:szCs w:val="21"/>
              </w:rPr>
            </w:pPr>
            <w:r>
              <w:rPr>
                <w:spacing w:val="-2"/>
                <w:sz w:val="21"/>
                <w:szCs w:val="21"/>
              </w:rPr>
              <w:t>产业园区重点管控单元、曲靖经济开发区重</w:t>
            </w:r>
            <w:r>
              <w:rPr>
                <w:spacing w:val="2"/>
                <w:sz w:val="21"/>
                <w:szCs w:val="21"/>
              </w:rPr>
              <w:t xml:space="preserve"> </w:t>
            </w:r>
            <w:r>
              <w:rPr>
                <w:spacing w:val="-1"/>
                <w:sz w:val="21"/>
                <w:szCs w:val="21"/>
              </w:rPr>
              <w:t>点管控单元、曲靖高新技术产业开发区重点</w:t>
            </w:r>
            <w:r>
              <w:rPr>
                <w:spacing w:val="9"/>
                <w:sz w:val="21"/>
                <w:szCs w:val="21"/>
              </w:rPr>
              <w:t xml:space="preserve"> </w:t>
            </w:r>
            <w:r>
              <w:rPr>
                <w:spacing w:val="-1"/>
                <w:sz w:val="21"/>
                <w:szCs w:val="21"/>
              </w:rPr>
              <w:t>管控单元、宣威市经济技术开发区重点管控</w:t>
            </w:r>
            <w:r>
              <w:rPr>
                <w:sz w:val="21"/>
                <w:szCs w:val="21"/>
              </w:rPr>
              <w:t xml:space="preserve"> </w:t>
            </w:r>
            <w:r>
              <w:rPr>
                <w:spacing w:val="-2"/>
                <w:sz w:val="21"/>
                <w:szCs w:val="21"/>
              </w:rPr>
              <w:t>单元空间布局约束、污染物排放管控、环境</w:t>
            </w:r>
            <w:r>
              <w:rPr>
                <w:sz w:val="21"/>
                <w:szCs w:val="21"/>
              </w:rPr>
              <w:t xml:space="preserve"> </w:t>
            </w:r>
            <w:r>
              <w:rPr>
                <w:spacing w:val="-2"/>
                <w:sz w:val="21"/>
                <w:szCs w:val="21"/>
              </w:rPr>
              <w:t>风险防控、资源利用效率四个维度严格执行</w:t>
            </w:r>
            <w:r>
              <w:rPr>
                <w:spacing w:val="1"/>
                <w:sz w:val="21"/>
                <w:szCs w:val="21"/>
              </w:rPr>
              <w:t xml:space="preserve"> </w:t>
            </w:r>
            <w:r>
              <w:rPr>
                <w:spacing w:val="-1"/>
                <w:sz w:val="21"/>
                <w:szCs w:val="21"/>
              </w:rPr>
              <w:t>现行有效的园区规划、规划环评及其审查意</w:t>
            </w:r>
            <w:r>
              <w:rPr>
                <w:spacing w:val="5"/>
                <w:sz w:val="21"/>
                <w:szCs w:val="21"/>
              </w:rPr>
              <w:t xml:space="preserve"> </w:t>
            </w:r>
            <w:r>
              <w:rPr>
                <w:spacing w:val="1"/>
                <w:sz w:val="21"/>
                <w:szCs w:val="21"/>
              </w:rPr>
              <w:t>见。</w:t>
            </w:r>
          </w:p>
        </w:tc>
        <w:tc>
          <w:tcPr>
            <w:tcW w:w="2208" w:type="dxa"/>
            <w:vAlign w:val="top"/>
          </w:tcPr>
          <w:p w14:paraId="20F18145">
            <w:pPr>
              <w:pStyle w:val="6"/>
              <w:spacing w:before="16" w:line="221" w:lineRule="auto"/>
              <w:ind w:left="17"/>
              <w:rPr>
                <w:sz w:val="21"/>
                <w:szCs w:val="21"/>
              </w:rPr>
            </w:pPr>
            <w:r>
              <w:rPr>
                <w:spacing w:val="-25"/>
                <w:sz w:val="21"/>
                <w:szCs w:val="21"/>
              </w:rPr>
              <w:t>目</w:t>
            </w:r>
            <w:r>
              <w:rPr>
                <w:spacing w:val="98"/>
                <w:sz w:val="21"/>
                <w:szCs w:val="21"/>
              </w:rPr>
              <w:t xml:space="preserve"> </w:t>
            </w:r>
            <w:r>
              <w:rPr>
                <w:spacing w:val="-25"/>
                <w:sz w:val="21"/>
                <w:szCs w:val="21"/>
              </w:rPr>
              <w:t>；</w:t>
            </w:r>
          </w:p>
          <w:p w14:paraId="358337FE">
            <w:pPr>
              <w:pStyle w:val="6"/>
              <w:spacing w:before="55" w:line="236" w:lineRule="auto"/>
              <w:ind w:left="46" w:hanging="29"/>
              <w:rPr>
                <w:sz w:val="21"/>
                <w:szCs w:val="21"/>
              </w:rPr>
            </w:pPr>
            <w:r>
              <w:rPr>
                <w:spacing w:val="-3"/>
                <w:sz w:val="21"/>
                <w:szCs w:val="21"/>
              </w:rPr>
              <w:t>7、根据《曲靖市生态环</w:t>
            </w:r>
            <w:r>
              <w:rPr>
                <w:spacing w:val="7"/>
                <w:sz w:val="21"/>
                <w:szCs w:val="21"/>
              </w:rPr>
              <w:t xml:space="preserve"> </w:t>
            </w:r>
            <w:r>
              <w:rPr>
                <w:spacing w:val="-2"/>
                <w:sz w:val="21"/>
                <w:szCs w:val="21"/>
              </w:rPr>
              <w:t>境局陆良分局关于曲靖</w:t>
            </w:r>
            <w:r>
              <w:rPr>
                <w:spacing w:val="8"/>
                <w:sz w:val="21"/>
                <w:szCs w:val="21"/>
              </w:rPr>
              <w:t xml:space="preserve"> </w:t>
            </w:r>
            <w:r>
              <w:rPr>
                <w:sz w:val="21"/>
                <w:szCs w:val="21"/>
              </w:rPr>
              <w:t>市陆良县栗树园村光伏</w:t>
            </w:r>
            <w:r>
              <w:rPr>
                <w:spacing w:val="8"/>
                <w:sz w:val="21"/>
                <w:szCs w:val="21"/>
              </w:rPr>
              <w:t xml:space="preserve"> </w:t>
            </w:r>
            <w:r>
              <w:rPr>
                <w:spacing w:val="4"/>
                <w:sz w:val="21"/>
                <w:szCs w:val="21"/>
              </w:rPr>
              <w:t>发电项目选址意见》,</w:t>
            </w:r>
            <w:r>
              <w:rPr>
                <w:spacing w:val="3"/>
                <w:sz w:val="21"/>
                <w:szCs w:val="21"/>
              </w:rPr>
              <w:t xml:space="preserve">  </w:t>
            </w:r>
            <w:r>
              <w:rPr>
                <w:sz w:val="21"/>
                <w:szCs w:val="21"/>
              </w:rPr>
              <w:t>项目光伏区选址未与陆</w:t>
            </w:r>
            <w:r>
              <w:rPr>
                <w:spacing w:val="8"/>
                <w:sz w:val="21"/>
                <w:szCs w:val="21"/>
              </w:rPr>
              <w:t xml:space="preserve"> </w:t>
            </w:r>
            <w:r>
              <w:rPr>
                <w:spacing w:val="1"/>
                <w:sz w:val="21"/>
                <w:szCs w:val="21"/>
              </w:rPr>
              <w:t>良县饮用水水源保护区</w:t>
            </w:r>
            <w:r>
              <w:rPr>
                <w:spacing w:val="5"/>
                <w:sz w:val="21"/>
                <w:szCs w:val="21"/>
              </w:rPr>
              <w:t xml:space="preserve"> </w:t>
            </w:r>
            <w:r>
              <w:rPr>
                <w:spacing w:val="-1"/>
                <w:sz w:val="21"/>
                <w:szCs w:val="21"/>
              </w:rPr>
              <w:t>相重叠。项目35kV集</w:t>
            </w:r>
          </w:p>
          <w:p w14:paraId="0CEE0794">
            <w:pPr>
              <w:pStyle w:val="6"/>
              <w:spacing w:before="22" w:line="235" w:lineRule="auto"/>
              <w:ind w:left="17" w:right="38" w:firstLine="30"/>
              <w:rPr>
                <w:sz w:val="21"/>
                <w:szCs w:val="21"/>
              </w:rPr>
            </w:pPr>
            <w:r>
              <w:rPr>
                <w:spacing w:val="1"/>
                <w:sz w:val="21"/>
                <w:szCs w:val="21"/>
              </w:rPr>
              <w:t>电线路12个塔基，架空</w:t>
            </w:r>
            <w:r>
              <w:rPr>
                <w:sz w:val="21"/>
                <w:szCs w:val="21"/>
              </w:rPr>
              <w:t xml:space="preserve"> 线路长度为3105m穿越</w:t>
            </w:r>
            <w:r>
              <w:rPr>
                <w:spacing w:val="4"/>
                <w:sz w:val="21"/>
                <w:szCs w:val="21"/>
              </w:rPr>
              <w:t xml:space="preserve">  </w:t>
            </w:r>
            <w:r>
              <w:rPr>
                <w:spacing w:val="-2"/>
                <w:sz w:val="21"/>
                <w:szCs w:val="21"/>
              </w:rPr>
              <w:t>大莫古集镇饮用水水源</w:t>
            </w:r>
            <w:r>
              <w:rPr>
                <w:spacing w:val="8"/>
                <w:sz w:val="21"/>
                <w:szCs w:val="21"/>
              </w:rPr>
              <w:t xml:space="preserve"> </w:t>
            </w:r>
            <w:r>
              <w:rPr>
                <w:spacing w:val="2"/>
                <w:sz w:val="21"/>
                <w:szCs w:val="21"/>
              </w:rPr>
              <w:t>准保护区，已经取得陆</w:t>
            </w:r>
            <w:r>
              <w:rPr>
                <w:sz w:val="21"/>
                <w:szCs w:val="21"/>
              </w:rPr>
              <w:t xml:space="preserve"> </w:t>
            </w:r>
            <w:r>
              <w:rPr>
                <w:spacing w:val="3"/>
                <w:sz w:val="21"/>
                <w:szCs w:val="21"/>
              </w:rPr>
              <w:t>良县人民政府的同意。</w:t>
            </w:r>
          </w:p>
          <w:p w14:paraId="3354789B">
            <w:pPr>
              <w:pStyle w:val="6"/>
              <w:spacing w:before="32" w:line="237" w:lineRule="auto"/>
              <w:ind w:left="27" w:firstLine="19"/>
              <w:rPr>
                <w:sz w:val="21"/>
                <w:szCs w:val="21"/>
              </w:rPr>
            </w:pPr>
            <w:r>
              <w:rPr>
                <w:spacing w:val="-5"/>
                <w:sz w:val="21"/>
                <w:szCs w:val="21"/>
              </w:rPr>
              <w:t>8、项目涉及陆良县一般</w:t>
            </w:r>
            <w:r>
              <w:rPr>
                <w:sz w:val="21"/>
                <w:szCs w:val="21"/>
              </w:rPr>
              <w:t xml:space="preserve"> </w:t>
            </w:r>
            <w:r>
              <w:rPr>
                <w:spacing w:val="1"/>
                <w:sz w:val="21"/>
                <w:szCs w:val="21"/>
              </w:rPr>
              <w:t>管控单元、陆良县饮用</w:t>
            </w:r>
            <w:r>
              <w:rPr>
                <w:spacing w:val="5"/>
                <w:sz w:val="21"/>
                <w:szCs w:val="21"/>
              </w:rPr>
              <w:t xml:space="preserve"> </w:t>
            </w:r>
            <w:r>
              <w:rPr>
                <w:spacing w:val="-1"/>
                <w:sz w:val="21"/>
                <w:szCs w:val="21"/>
              </w:rPr>
              <w:t>水水源地优先保护单</w:t>
            </w:r>
          </w:p>
          <w:p w14:paraId="118C1FE6">
            <w:pPr>
              <w:pStyle w:val="6"/>
              <w:spacing w:before="10" w:line="223" w:lineRule="auto"/>
              <w:ind w:left="38" w:right="48"/>
              <w:rPr>
                <w:sz w:val="21"/>
                <w:szCs w:val="21"/>
              </w:rPr>
            </w:pPr>
            <w:r>
              <w:rPr>
                <w:spacing w:val="1"/>
                <w:sz w:val="21"/>
                <w:szCs w:val="21"/>
              </w:rPr>
              <w:t>元、陆良县一般生态空</w:t>
            </w:r>
            <w:r>
              <w:rPr>
                <w:sz w:val="21"/>
                <w:szCs w:val="21"/>
              </w:rPr>
              <w:t xml:space="preserve"> </w:t>
            </w:r>
            <w:r>
              <w:rPr>
                <w:spacing w:val="-1"/>
                <w:sz w:val="21"/>
                <w:szCs w:val="21"/>
              </w:rPr>
              <w:t>间优先保护单元。</w:t>
            </w:r>
          </w:p>
        </w:tc>
        <w:tc>
          <w:tcPr>
            <w:tcW w:w="614" w:type="dxa"/>
            <w:vAlign w:val="top"/>
          </w:tcPr>
          <w:p w14:paraId="7F2EADDA">
            <w:pPr>
              <w:rPr>
                <w:rFonts w:ascii="Arial"/>
                <w:sz w:val="21"/>
              </w:rPr>
            </w:pPr>
          </w:p>
        </w:tc>
      </w:tr>
      <w:tr w14:paraId="0790A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8" w:hRule="atLeast"/>
        </w:trPr>
        <w:tc>
          <w:tcPr>
            <w:tcW w:w="1253" w:type="dxa"/>
            <w:vMerge w:val="continue"/>
            <w:tcBorders>
              <w:top w:val="nil"/>
            </w:tcBorders>
            <w:vAlign w:val="top"/>
          </w:tcPr>
          <w:p w14:paraId="15912BEF">
            <w:pPr>
              <w:rPr>
                <w:rFonts w:ascii="Arial"/>
                <w:sz w:val="21"/>
              </w:rPr>
            </w:pPr>
          </w:p>
        </w:tc>
        <w:tc>
          <w:tcPr>
            <w:tcW w:w="549" w:type="dxa"/>
            <w:vMerge w:val="continue"/>
            <w:tcBorders>
              <w:top w:val="nil"/>
            </w:tcBorders>
            <w:vAlign w:val="top"/>
          </w:tcPr>
          <w:p w14:paraId="2D63B31B">
            <w:pPr>
              <w:rPr>
                <w:rFonts w:ascii="Arial"/>
                <w:sz w:val="21"/>
              </w:rPr>
            </w:pPr>
          </w:p>
        </w:tc>
        <w:tc>
          <w:tcPr>
            <w:tcW w:w="380" w:type="dxa"/>
            <w:textDirection w:val="tbRlV"/>
            <w:vAlign w:val="top"/>
          </w:tcPr>
          <w:p w14:paraId="308E263A">
            <w:pPr>
              <w:pStyle w:val="6"/>
              <w:spacing w:before="114" w:line="202" w:lineRule="auto"/>
              <w:ind w:left="3258"/>
              <w:rPr>
                <w:sz w:val="21"/>
                <w:szCs w:val="21"/>
              </w:rPr>
            </w:pPr>
            <w:r>
              <w:rPr>
                <w:sz w:val="21"/>
                <w:szCs w:val="21"/>
              </w:rPr>
              <w:t>污</w:t>
            </w:r>
            <w:r>
              <w:rPr>
                <w:spacing w:val="-34"/>
                <w:sz w:val="21"/>
                <w:szCs w:val="21"/>
              </w:rPr>
              <w:t xml:space="preserve"> </w:t>
            </w:r>
            <w:r>
              <w:rPr>
                <w:sz w:val="21"/>
                <w:szCs w:val="21"/>
              </w:rPr>
              <w:t>染</w:t>
            </w:r>
            <w:r>
              <w:rPr>
                <w:spacing w:val="-34"/>
                <w:sz w:val="21"/>
                <w:szCs w:val="21"/>
              </w:rPr>
              <w:t xml:space="preserve"> </w:t>
            </w:r>
            <w:r>
              <w:rPr>
                <w:sz w:val="21"/>
                <w:szCs w:val="21"/>
              </w:rPr>
              <w:t>物</w:t>
            </w:r>
            <w:r>
              <w:rPr>
                <w:spacing w:val="-33"/>
                <w:sz w:val="21"/>
                <w:szCs w:val="21"/>
              </w:rPr>
              <w:t xml:space="preserve"> </w:t>
            </w:r>
            <w:r>
              <w:rPr>
                <w:sz w:val="21"/>
                <w:szCs w:val="21"/>
              </w:rPr>
              <w:t>排</w:t>
            </w:r>
            <w:r>
              <w:rPr>
                <w:spacing w:val="-33"/>
                <w:sz w:val="21"/>
                <w:szCs w:val="21"/>
              </w:rPr>
              <w:t xml:space="preserve"> </w:t>
            </w:r>
            <w:r>
              <w:rPr>
                <w:sz w:val="21"/>
                <w:szCs w:val="21"/>
              </w:rPr>
              <w:t>放</w:t>
            </w:r>
            <w:r>
              <w:rPr>
                <w:spacing w:val="-34"/>
                <w:sz w:val="21"/>
                <w:szCs w:val="21"/>
              </w:rPr>
              <w:t xml:space="preserve"> </w:t>
            </w:r>
            <w:r>
              <w:rPr>
                <w:sz w:val="21"/>
                <w:szCs w:val="21"/>
              </w:rPr>
              <w:t>管</w:t>
            </w:r>
            <w:r>
              <w:rPr>
                <w:spacing w:val="-33"/>
                <w:sz w:val="21"/>
                <w:szCs w:val="21"/>
              </w:rPr>
              <w:t xml:space="preserve"> </w:t>
            </w:r>
            <w:r>
              <w:rPr>
                <w:sz w:val="21"/>
                <w:szCs w:val="21"/>
              </w:rPr>
              <w:t>控</w:t>
            </w:r>
          </w:p>
        </w:tc>
        <w:tc>
          <w:tcPr>
            <w:tcW w:w="4005" w:type="dxa"/>
            <w:vAlign w:val="top"/>
          </w:tcPr>
          <w:p w14:paraId="69BC0215">
            <w:pPr>
              <w:pStyle w:val="6"/>
              <w:spacing w:before="48" w:line="237" w:lineRule="auto"/>
              <w:ind w:left="13"/>
              <w:rPr>
                <w:sz w:val="21"/>
                <w:szCs w:val="21"/>
              </w:rPr>
            </w:pPr>
            <w:r>
              <w:rPr>
                <w:spacing w:val="-1"/>
                <w:sz w:val="21"/>
                <w:szCs w:val="21"/>
              </w:rPr>
              <w:t>1.推进以能源、化工、冶金、建材、造纸、</w:t>
            </w:r>
            <w:r>
              <w:rPr>
                <w:spacing w:val="10"/>
                <w:sz w:val="21"/>
                <w:szCs w:val="21"/>
              </w:rPr>
              <w:t xml:space="preserve"> </w:t>
            </w:r>
            <w:r>
              <w:rPr>
                <w:spacing w:val="-7"/>
                <w:sz w:val="21"/>
                <w:szCs w:val="21"/>
              </w:rPr>
              <w:t>农副食品加工、工业涂装和包装印刷等行业</w:t>
            </w:r>
            <w:r>
              <w:rPr>
                <w:spacing w:val="6"/>
                <w:sz w:val="21"/>
                <w:szCs w:val="21"/>
              </w:rPr>
              <w:t xml:space="preserve">  </w:t>
            </w:r>
            <w:r>
              <w:rPr>
                <w:spacing w:val="-7"/>
                <w:sz w:val="21"/>
                <w:szCs w:val="21"/>
              </w:rPr>
              <w:t>为重点的清洁生产审核工作，具体行业包括</w:t>
            </w:r>
            <w:r>
              <w:rPr>
                <w:spacing w:val="5"/>
                <w:sz w:val="21"/>
                <w:szCs w:val="21"/>
              </w:rPr>
              <w:t xml:space="preserve">  </w:t>
            </w:r>
            <w:r>
              <w:rPr>
                <w:spacing w:val="-7"/>
                <w:sz w:val="21"/>
                <w:szCs w:val="21"/>
              </w:rPr>
              <w:t>但不限于煤矿、火力发电，甲醇、焦化、氮</w:t>
            </w:r>
            <w:r>
              <w:rPr>
                <w:spacing w:val="7"/>
                <w:sz w:val="21"/>
                <w:szCs w:val="21"/>
              </w:rPr>
              <w:t xml:space="preserve">  </w:t>
            </w:r>
            <w:r>
              <w:rPr>
                <w:spacing w:val="-11"/>
                <w:sz w:val="21"/>
                <w:szCs w:val="21"/>
              </w:rPr>
              <w:t>肥、磷肥、氯碱、电石、制药、农药、黄磷、</w:t>
            </w:r>
            <w:r>
              <w:rPr>
                <w:sz w:val="21"/>
                <w:szCs w:val="21"/>
              </w:rPr>
              <w:t xml:space="preserve"> </w:t>
            </w:r>
            <w:r>
              <w:rPr>
                <w:spacing w:val="-11"/>
                <w:sz w:val="21"/>
                <w:szCs w:val="21"/>
              </w:rPr>
              <w:t>铬盐生产，钢铁、铁合金铅锌铝冶炼及再生，</w:t>
            </w:r>
            <w:r>
              <w:rPr>
                <w:sz w:val="21"/>
                <w:szCs w:val="21"/>
              </w:rPr>
              <w:t xml:space="preserve"> </w:t>
            </w:r>
            <w:r>
              <w:rPr>
                <w:spacing w:val="-6"/>
                <w:sz w:val="21"/>
                <w:szCs w:val="21"/>
              </w:rPr>
              <w:t>水泥、石灰、建筑陶瓷、平板玻璃、沥青防</w:t>
            </w:r>
            <w:r>
              <w:rPr>
                <w:spacing w:val="7"/>
                <w:sz w:val="21"/>
                <w:szCs w:val="21"/>
              </w:rPr>
              <w:t xml:space="preserve">  </w:t>
            </w:r>
            <w:r>
              <w:rPr>
                <w:spacing w:val="-1"/>
                <w:sz w:val="21"/>
                <w:szCs w:val="21"/>
              </w:rPr>
              <w:t>水材料，纸浆造纸，酿造、味精、柠檬酸、</w:t>
            </w:r>
            <w:r>
              <w:rPr>
                <w:spacing w:val="9"/>
                <w:sz w:val="21"/>
                <w:szCs w:val="21"/>
              </w:rPr>
              <w:t xml:space="preserve"> </w:t>
            </w:r>
            <w:r>
              <w:rPr>
                <w:spacing w:val="-1"/>
                <w:sz w:val="21"/>
                <w:szCs w:val="21"/>
              </w:rPr>
              <w:t>酶制剂、酵母，新能源电池(正负极材料),</w:t>
            </w:r>
            <w:r>
              <w:rPr>
                <w:spacing w:val="4"/>
                <w:sz w:val="21"/>
                <w:szCs w:val="21"/>
              </w:rPr>
              <w:t xml:space="preserve">  </w:t>
            </w:r>
            <w:r>
              <w:rPr>
                <w:spacing w:val="-6"/>
                <w:sz w:val="21"/>
                <w:szCs w:val="21"/>
              </w:rPr>
              <w:t>多晶硅、单晶硅、有机硅，工业涂装和包装</w:t>
            </w:r>
            <w:r>
              <w:rPr>
                <w:spacing w:val="6"/>
                <w:sz w:val="21"/>
                <w:szCs w:val="21"/>
              </w:rPr>
              <w:t xml:space="preserve">  </w:t>
            </w:r>
            <w:r>
              <w:rPr>
                <w:spacing w:val="-5"/>
                <w:sz w:val="21"/>
                <w:szCs w:val="21"/>
              </w:rPr>
              <w:t>印刷等行业。2.落实云南省碳达峰碳中和相</w:t>
            </w:r>
            <w:r>
              <w:rPr>
                <w:spacing w:val="2"/>
                <w:sz w:val="21"/>
                <w:szCs w:val="21"/>
              </w:rPr>
              <w:t xml:space="preserve">  </w:t>
            </w:r>
            <w:r>
              <w:rPr>
                <w:spacing w:val="-1"/>
                <w:sz w:val="21"/>
                <w:szCs w:val="21"/>
              </w:rPr>
              <w:t>关要求，处理好发展和减排、整体和局部、</w:t>
            </w:r>
            <w:r>
              <w:rPr>
                <w:spacing w:val="9"/>
                <w:sz w:val="21"/>
                <w:szCs w:val="21"/>
              </w:rPr>
              <w:t xml:space="preserve"> </w:t>
            </w:r>
            <w:r>
              <w:rPr>
                <w:spacing w:val="-1"/>
                <w:sz w:val="21"/>
                <w:szCs w:val="21"/>
              </w:rPr>
              <w:t>长远目标和短期目标、政府和市场的关系，</w:t>
            </w:r>
            <w:r>
              <w:rPr>
                <w:spacing w:val="9"/>
                <w:sz w:val="21"/>
                <w:szCs w:val="21"/>
              </w:rPr>
              <w:t xml:space="preserve"> </w:t>
            </w:r>
            <w:r>
              <w:rPr>
                <w:spacing w:val="-7"/>
                <w:sz w:val="21"/>
                <w:szCs w:val="21"/>
              </w:rPr>
              <w:t>加快推动减污降碳协同创新试点，坚定不移</w:t>
            </w:r>
            <w:r>
              <w:rPr>
                <w:spacing w:val="6"/>
                <w:sz w:val="21"/>
                <w:szCs w:val="21"/>
              </w:rPr>
              <w:t xml:space="preserve">  </w:t>
            </w:r>
            <w:r>
              <w:rPr>
                <w:spacing w:val="-4"/>
                <w:sz w:val="21"/>
                <w:szCs w:val="21"/>
              </w:rPr>
              <w:t>走生态优先、绿色低碳的高质量发展道路。</w:t>
            </w:r>
          </w:p>
          <w:p w14:paraId="4603C386">
            <w:pPr>
              <w:pStyle w:val="6"/>
              <w:spacing w:before="40" w:line="236" w:lineRule="auto"/>
              <w:ind w:left="13"/>
              <w:rPr>
                <w:sz w:val="21"/>
                <w:szCs w:val="21"/>
              </w:rPr>
            </w:pPr>
            <w:r>
              <w:rPr>
                <w:spacing w:val="-1"/>
                <w:sz w:val="21"/>
                <w:szCs w:val="21"/>
              </w:rPr>
              <w:t>3.加大重点流域水污染防治，确保水质如期</w:t>
            </w:r>
            <w:r>
              <w:rPr>
                <w:sz w:val="21"/>
                <w:szCs w:val="21"/>
              </w:rPr>
              <w:t xml:space="preserve"> </w:t>
            </w:r>
            <w:r>
              <w:rPr>
                <w:spacing w:val="-3"/>
                <w:sz w:val="21"/>
                <w:szCs w:val="21"/>
              </w:rPr>
              <w:t>达标。南盘江龚家坝、北盘江旧营桥等断面</w:t>
            </w:r>
            <w:r>
              <w:rPr>
                <w:spacing w:val="15"/>
                <w:sz w:val="21"/>
                <w:szCs w:val="21"/>
              </w:rPr>
              <w:t xml:space="preserve"> </w:t>
            </w:r>
            <w:r>
              <w:rPr>
                <w:spacing w:val="-2"/>
                <w:sz w:val="21"/>
                <w:szCs w:val="21"/>
              </w:rPr>
              <w:t>汇水区，新建、改建、扩建重点行业建设项</w:t>
            </w:r>
            <w:r>
              <w:rPr>
                <w:spacing w:val="16"/>
                <w:sz w:val="21"/>
                <w:szCs w:val="21"/>
              </w:rPr>
              <w:t xml:space="preserve"> </w:t>
            </w:r>
            <w:r>
              <w:rPr>
                <w:spacing w:val="3"/>
                <w:sz w:val="21"/>
                <w:szCs w:val="21"/>
              </w:rPr>
              <w:t>目实行主要污染物排放减量置换。到2025</w:t>
            </w:r>
            <w:r>
              <w:rPr>
                <w:spacing w:val="4"/>
                <w:sz w:val="21"/>
                <w:szCs w:val="21"/>
              </w:rPr>
              <w:t xml:space="preserve">  </w:t>
            </w:r>
            <w:r>
              <w:rPr>
                <w:spacing w:val="-3"/>
                <w:sz w:val="21"/>
                <w:szCs w:val="21"/>
              </w:rPr>
              <w:t>年，牛栏江、南盘江、北盘江流域内所有城</w:t>
            </w:r>
            <w:r>
              <w:rPr>
                <w:spacing w:val="13"/>
                <w:sz w:val="21"/>
                <w:szCs w:val="21"/>
              </w:rPr>
              <w:t xml:space="preserve"> </w:t>
            </w:r>
            <w:r>
              <w:rPr>
                <w:spacing w:val="-3"/>
                <w:sz w:val="21"/>
                <w:szCs w:val="21"/>
              </w:rPr>
              <w:t>镇区域内实现生活污水处理设施全覆盖、生</w:t>
            </w:r>
            <w:r>
              <w:rPr>
                <w:spacing w:val="14"/>
                <w:sz w:val="21"/>
                <w:szCs w:val="21"/>
              </w:rPr>
              <w:t xml:space="preserve"> </w:t>
            </w:r>
            <w:r>
              <w:rPr>
                <w:spacing w:val="-2"/>
                <w:sz w:val="21"/>
                <w:szCs w:val="21"/>
              </w:rPr>
              <w:t>活污水全处理。4.牛栏江等流域内，严格按</w:t>
            </w:r>
            <w:r>
              <w:rPr>
                <w:spacing w:val="17"/>
                <w:sz w:val="21"/>
                <w:szCs w:val="21"/>
              </w:rPr>
              <w:t xml:space="preserve"> </w:t>
            </w:r>
            <w:r>
              <w:rPr>
                <w:spacing w:val="-2"/>
                <w:sz w:val="21"/>
                <w:szCs w:val="21"/>
              </w:rPr>
              <w:t>照《云南省牛栏江保护条例》《牛栏江流域</w:t>
            </w:r>
            <w:r>
              <w:rPr>
                <w:spacing w:val="12"/>
                <w:sz w:val="21"/>
                <w:szCs w:val="21"/>
              </w:rPr>
              <w:t xml:space="preserve"> </w:t>
            </w:r>
            <w:r>
              <w:rPr>
                <w:spacing w:val="4"/>
                <w:sz w:val="21"/>
                <w:szCs w:val="21"/>
              </w:rPr>
              <w:t>(云南部分)水环境保护规划报告》及其中</w:t>
            </w:r>
            <w:r>
              <w:rPr>
                <w:spacing w:val="1"/>
                <w:sz w:val="21"/>
                <w:szCs w:val="21"/>
              </w:rPr>
              <w:t xml:space="preserve">  </w:t>
            </w:r>
            <w:r>
              <w:rPr>
                <w:spacing w:val="-3"/>
                <w:sz w:val="21"/>
                <w:szCs w:val="21"/>
              </w:rPr>
              <w:t>期评估报告有关要求，禁止在牛栏江水源保</w:t>
            </w:r>
            <w:r>
              <w:rPr>
                <w:spacing w:val="12"/>
                <w:sz w:val="21"/>
                <w:szCs w:val="21"/>
              </w:rPr>
              <w:t xml:space="preserve"> </w:t>
            </w:r>
            <w:r>
              <w:rPr>
                <w:spacing w:val="-3"/>
                <w:sz w:val="21"/>
                <w:szCs w:val="21"/>
              </w:rPr>
              <w:t>护区核心区新建、改建、扩建排污口。牛栏</w:t>
            </w:r>
            <w:r>
              <w:rPr>
                <w:spacing w:val="13"/>
                <w:sz w:val="21"/>
                <w:szCs w:val="21"/>
              </w:rPr>
              <w:t xml:space="preserve"> </w:t>
            </w:r>
            <w:r>
              <w:rPr>
                <w:spacing w:val="3"/>
                <w:sz w:val="21"/>
                <w:szCs w:val="21"/>
              </w:rPr>
              <w:t>江流域上游保护区内已设置排污口的生产</w:t>
            </w:r>
            <w:r>
              <w:rPr>
                <w:spacing w:val="7"/>
                <w:sz w:val="21"/>
                <w:szCs w:val="21"/>
              </w:rPr>
              <w:t xml:space="preserve">  </w:t>
            </w:r>
            <w:r>
              <w:rPr>
                <w:spacing w:val="-3"/>
                <w:sz w:val="21"/>
                <w:szCs w:val="21"/>
              </w:rPr>
              <w:t>企业，排放水污染物应当符合国家或者地方</w:t>
            </w:r>
            <w:r>
              <w:rPr>
                <w:spacing w:val="11"/>
                <w:sz w:val="21"/>
                <w:szCs w:val="21"/>
              </w:rPr>
              <w:t xml:space="preserve"> </w:t>
            </w:r>
            <w:r>
              <w:rPr>
                <w:spacing w:val="2"/>
                <w:sz w:val="21"/>
                <w:szCs w:val="21"/>
              </w:rPr>
              <w:t>规定的水污染物排放标准和重点水污染物</w:t>
            </w:r>
            <w:r>
              <w:rPr>
                <w:spacing w:val="5"/>
                <w:sz w:val="21"/>
                <w:szCs w:val="21"/>
              </w:rPr>
              <w:t xml:space="preserve">  </w:t>
            </w:r>
            <w:r>
              <w:rPr>
                <w:spacing w:val="-1"/>
                <w:sz w:val="21"/>
                <w:szCs w:val="21"/>
              </w:rPr>
              <w:t>排放总量控制指标。5.严格保护集中式饮用</w:t>
            </w:r>
            <w:r>
              <w:rPr>
                <w:spacing w:val="10"/>
                <w:sz w:val="21"/>
                <w:szCs w:val="21"/>
              </w:rPr>
              <w:t xml:space="preserve"> </w:t>
            </w:r>
            <w:r>
              <w:rPr>
                <w:spacing w:val="2"/>
                <w:sz w:val="21"/>
                <w:szCs w:val="21"/>
              </w:rPr>
              <w:t>水水源地，整治饮用水源保护区内的污染</w:t>
            </w:r>
          </w:p>
        </w:tc>
        <w:tc>
          <w:tcPr>
            <w:tcW w:w="2208" w:type="dxa"/>
            <w:vAlign w:val="top"/>
          </w:tcPr>
          <w:p w14:paraId="2B357FFE">
            <w:pPr>
              <w:pStyle w:val="6"/>
              <w:spacing w:before="21" w:line="235" w:lineRule="auto"/>
              <w:ind w:left="38" w:firstLine="9"/>
              <w:rPr>
                <w:sz w:val="21"/>
                <w:szCs w:val="21"/>
              </w:rPr>
            </w:pPr>
            <w:r>
              <w:rPr>
                <w:spacing w:val="-5"/>
                <w:sz w:val="21"/>
                <w:szCs w:val="21"/>
              </w:rPr>
              <w:t>1、本项目为光伏发电项</w:t>
            </w:r>
            <w:r>
              <w:rPr>
                <w:sz w:val="21"/>
                <w:szCs w:val="21"/>
              </w:rPr>
              <w:t xml:space="preserve"> </w:t>
            </w:r>
            <w:r>
              <w:rPr>
                <w:spacing w:val="-1"/>
                <w:sz w:val="21"/>
                <w:szCs w:val="21"/>
              </w:rPr>
              <w:t>目，不涉及条例中所述</w:t>
            </w:r>
            <w:r>
              <w:rPr>
                <w:spacing w:val="6"/>
                <w:sz w:val="21"/>
                <w:szCs w:val="21"/>
              </w:rPr>
              <w:t xml:space="preserve"> </w:t>
            </w:r>
            <w:r>
              <w:rPr>
                <w:spacing w:val="-9"/>
                <w:sz w:val="21"/>
                <w:szCs w:val="21"/>
              </w:rPr>
              <w:t>行</w:t>
            </w:r>
            <w:r>
              <w:rPr>
                <w:spacing w:val="-15"/>
                <w:sz w:val="21"/>
                <w:szCs w:val="21"/>
              </w:rPr>
              <w:t xml:space="preserve"> </w:t>
            </w:r>
            <w:r>
              <w:rPr>
                <w:spacing w:val="-9"/>
                <w:sz w:val="21"/>
                <w:szCs w:val="21"/>
              </w:rPr>
              <w:t>业</w:t>
            </w:r>
            <w:r>
              <w:rPr>
                <w:spacing w:val="-24"/>
                <w:sz w:val="21"/>
                <w:szCs w:val="21"/>
              </w:rPr>
              <w:t xml:space="preserve"> </w:t>
            </w:r>
            <w:r>
              <w:rPr>
                <w:spacing w:val="-9"/>
                <w:sz w:val="21"/>
                <w:szCs w:val="21"/>
              </w:rPr>
              <w:t>；</w:t>
            </w:r>
          </w:p>
          <w:p w14:paraId="6DCED16F">
            <w:pPr>
              <w:pStyle w:val="6"/>
              <w:spacing w:before="28" w:line="232" w:lineRule="auto"/>
              <w:ind w:left="37" w:right="18" w:hanging="20"/>
              <w:rPr>
                <w:sz w:val="21"/>
                <w:szCs w:val="21"/>
              </w:rPr>
            </w:pPr>
            <w:r>
              <w:rPr>
                <w:spacing w:val="-2"/>
                <w:sz w:val="21"/>
                <w:szCs w:val="21"/>
              </w:rPr>
              <w:t>2、项目为光伏发电项</w:t>
            </w:r>
            <w:r>
              <w:rPr>
                <w:spacing w:val="4"/>
                <w:sz w:val="21"/>
                <w:szCs w:val="21"/>
              </w:rPr>
              <w:t xml:space="preserve">  目，运营过程不产生工</w:t>
            </w:r>
            <w:r>
              <w:rPr>
                <w:sz w:val="21"/>
                <w:szCs w:val="21"/>
              </w:rPr>
              <w:t xml:space="preserve"> </w:t>
            </w:r>
            <w:r>
              <w:rPr>
                <w:spacing w:val="25"/>
                <w:sz w:val="21"/>
                <w:szCs w:val="21"/>
              </w:rPr>
              <w:t>业废气</w:t>
            </w:r>
            <w:r>
              <w:rPr>
                <w:spacing w:val="-52"/>
                <w:sz w:val="21"/>
                <w:szCs w:val="21"/>
              </w:rPr>
              <w:t xml:space="preserve"> </w:t>
            </w:r>
            <w:r>
              <w:rPr>
                <w:spacing w:val="25"/>
                <w:sz w:val="21"/>
                <w:szCs w:val="21"/>
              </w:rPr>
              <w:t>；</w:t>
            </w:r>
          </w:p>
          <w:p w14:paraId="36BD36EC">
            <w:pPr>
              <w:pStyle w:val="6"/>
              <w:spacing w:before="40" w:line="232" w:lineRule="auto"/>
              <w:ind w:left="36" w:hanging="19"/>
              <w:rPr>
                <w:sz w:val="21"/>
                <w:szCs w:val="21"/>
              </w:rPr>
            </w:pPr>
            <w:r>
              <w:rPr>
                <w:spacing w:val="-3"/>
                <w:sz w:val="21"/>
                <w:szCs w:val="21"/>
              </w:rPr>
              <w:t>3、本项目未处于南盘江</w:t>
            </w:r>
            <w:r>
              <w:rPr>
                <w:spacing w:val="7"/>
                <w:sz w:val="21"/>
                <w:szCs w:val="21"/>
              </w:rPr>
              <w:t xml:space="preserve"> </w:t>
            </w:r>
            <w:r>
              <w:rPr>
                <w:spacing w:val="-1"/>
                <w:sz w:val="21"/>
                <w:szCs w:val="21"/>
              </w:rPr>
              <w:t>龚家坝、北盘江旧营桥</w:t>
            </w:r>
            <w:r>
              <w:rPr>
                <w:spacing w:val="7"/>
                <w:sz w:val="21"/>
                <w:szCs w:val="21"/>
              </w:rPr>
              <w:t xml:space="preserve"> </w:t>
            </w:r>
            <w:r>
              <w:rPr>
                <w:spacing w:val="-1"/>
                <w:sz w:val="21"/>
                <w:szCs w:val="21"/>
              </w:rPr>
              <w:t>断面汇水区等水污染严</w:t>
            </w:r>
            <w:r>
              <w:rPr>
                <w:spacing w:val="5"/>
                <w:sz w:val="21"/>
                <w:szCs w:val="21"/>
              </w:rPr>
              <w:t xml:space="preserve"> </w:t>
            </w:r>
            <w:r>
              <w:rPr>
                <w:spacing w:val="2"/>
                <w:sz w:val="21"/>
                <w:szCs w:val="21"/>
              </w:rPr>
              <w:t>重地区，且本项目不属</w:t>
            </w:r>
            <w:r>
              <w:rPr>
                <w:spacing w:val="4"/>
                <w:sz w:val="21"/>
                <w:szCs w:val="21"/>
              </w:rPr>
              <w:t xml:space="preserve"> </w:t>
            </w:r>
            <w:r>
              <w:rPr>
                <w:spacing w:val="16"/>
                <w:sz w:val="21"/>
                <w:szCs w:val="21"/>
              </w:rPr>
              <w:t>于重点行业；</w:t>
            </w:r>
          </w:p>
          <w:p w14:paraId="081C981D">
            <w:pPr>
              <w:pStyle w:val="6"/>
              <w:spacing w:before="18" w:line="233" w:lineRule="auto"/>
              <w:ind w:left="46" w:hanging="29"/>
              <w:rPr>
                <w:sz w:val="21"/>
                <w:szCs w:val="21"/>
              </w:rPr>
            </w:pPr>
            <w:r>
              <w:rPr>
                <w:spacing w:val="-3"/>
                <w:sz w:val="21"/>
                <w:szCs w:val="21"/>
              </w:rPr>
              <w:t>4、本项目不涉及在牛栏</w:t>
            </w:r>
            <w:r>
              <w:rPr>
                <w:spacing w:val="7"/>
                <w:sz w:val="21"/>
                <w:szCs w:val="21"/>
              </w:rPr>
              <w:t xml:space="preserve"> </w:t>
            </w:r>
            <w:r>
              <w:rPr>
                <w:spacing w:val="-3"/>
                <w:sz w:val="21"/>
                <w:szCs w:val="21"/>
              </w:rPr>
              <w:t>江流域新改扩建排污</w:t>
            </w:r>
          </w:p>
          <w:p w14:paraId="731271A3">
            <w:pPr>
              <w:pStyle w:val="6"/>
              <w:spacing w:before="43" w:line="217" w:lineRule="auto"/>
              <w:ind w:left="58"/>
              <w:rPr>
                <w:sz w:val="21"/>
                <w:szCs w:val="21"/>
              </w:rPr>
            </w:pPr>
            <w:r>
              <w:rPr>
                <w:spacing w:val="-14"/>
                <w:sz w:val="21"/>
                <w:szCs w:val="21"/>
              </w:rPr>
              <w:t>口  ；</w:t>
            </w:r>
          </w:p>
          <w:p w14:paraId="7DDF61EC">
            <w:pPr>
              <w:pStyle w:val="6"/>
              <w:spacing w:before="6" w:line="235" w:lineRule="auto"/>
              <w:ind w:left="38" w:firstLine="19"/>
              <w:rPr>
                <w:sz w:val="21"/>
                <w:szCs w:val="21"/>
              </w:rPr>
            </w:pPr>
            <w:r>
              <w:rPr>
                <w:spacing w:val="-6"/>
                <w:sz w:val="21"/>
                <w:szCs w:val="21"/>
              </w:rPr>
              <w:t>5、根据《曲靖市生态环</w:t>
            </w:r>
            <w:r>
              <w:rPr>
                <w:sz w:val="21"/>
                <w:szCs w:val="21"/>
              </w:rPr>
              <w:t xml:space="preserve"> 境局陆良分局关于曲靖 </w:t>
            </w:r>
            <w:r>
              <w:rPr>
                <w:spacing w:val="3"/>
                <w:sz w:val="21"/>
                <w:szCs w:val="21"/>
              </w:rPr>
              <w:t>市陆良县栗树园村光伏</w:t>
            </w:r>
            <w:r>
              <w:rPr>
                <w:sz w:val="21"/>
                <w:szCs w:val="21"/>
              </w:rPr>
              <w:t xml:space="preserve"> </w:t>
            </w:r>
            <w:r>
              <w:rPr>
                <w:spacing w:val="4"/>
                <w:sz w:val="21"/>
                <w:szCs w:val="21"/>
              </w:rPr>
              <w:t xml:space="preserve">发电项目选址意见》,  </w:t>
            </w:r>
            <w:r>
              <w:rPr>
                <w:spacing w:val="1"/>
                <w:sz w:val="21"/>
                <w:szCs w:val="21"/>
              </w:rPr>
              <w:t>项目选址未与陆良县饮</w:t>
            </w:r>
            <w:r>
              <w:rPr>
                <w:spacing w:val="7"/>
                <w:sz w:val="21"/>
                <w:szCs w:val="21"/>
              </w:rPr>
              <w:t xml:space="preserve"> </w:t>
            </w:r>
            <w:r>
              <w:rPr>
                <w:spacing w:val="-1"/>
                <w:sz w:val="21"/>
                <w:szCs w:val="21"/>
              </w:rPr>
              <w:t>用水水源保护区相重</w:t>
            </w:r>
          </w:p>
          <w:p w14:paraId="4D31BC3A">
            <w:pPr>
              <w:pStyle w:val="6"/>
              <w:spacing w:before="21" w:line="219" w:lineRule="auto"/>
              <w:ind w:left="48"/>
              <w:rPr>
                <w:sz w:val="21"/>
                <w:szCs w:val="21"/>
              </w:rPr>
            </w:pPr>
            <w:r>
              <w:rPr>
                <w:spacing w:val="1"/>
                <w:sz w:val="21"/>
                <w:szCs w:val="21"/>
              </w:rPr>
              <w:t>叠。项目35</w:t>
            </w:r>
            <w:r>
              <w:rPr>
                <w:sz w:val="21"/>
                <w:szCs w:val="21"/>
              </w:rPr>
              <w:t>kV</w:t>
            </w:r>
            <w:r>
              <w:rPr>
                <w:spacing w:val="1"/>
                <w:sz w:val="21"/>
                <w:szCs w:val="21"/>
              </w:rPr>
              <w:t>集电线</w:t>
            </w:r>
          </w:p>
          <w:p w14:paraId="48E40E70">
            <w:pPr>
              <w:pStyle w:val="6"/>
              <w:spacing w:before="38" w:line="232" w:lineRule="auto"/>
              <w:ind w:left="48" w:right="14" w:hanging="10"/>
              <w:rPr>
                <w:sz w:val="21"/>
                <w:szCs w:val="21"/>
              </w:rPr>
            </w:pPr>
            <w:r>
              <w:rPr>
                <w:spacing w:val="-1"/>
                <w:sz w:val="21"/>
                <w:szCs w:val="21"/>
              </w:rPr>
              <w:t>路12个塔基，架空线路</w:t>
            </w:r>
            <w:r>
              <w:rPr>
                <w:sz w:val="21"/>
                <w:szCs w:val="21"/>
              </w:rPr>
              <w:t xml:space="preserve"> </w:t>
            </w:r>
            <w:r>
              <w:rPr>
                <w:spacing w:val="-1"/>
                <w:sz w:val="21"/>
                <w:szCs w:val="21"/>
              </w:rPr>
              <w:t>长度为3105m穿越大莫</w:t>
            </w:r>
            <w:r>
              <w:rPr>
                <w:sz w:val="21"/>
                <w:szCs w:val="21"/>
              </w:rPr>
              <w:t xml:space="preserve">  </w:t>
            </w:r>
            <w:r>
              <w:rPr>
                <w:spacing w:val="3"/>
                <w:sz w:val="21"/>
                <w:szCs w:val="21"/>
              </w:rPr>
              <w:t>古集镇饮用水水源保护</w:t>
            </w:r>
            <w:r>
              <w:rPr>
                <w:spacing w:val="4"/>
                <w:sz w:val="21"/>
                <w:szCs w:val="21"/>
              </w:rPr>
              <w:t xml:space="preserve"> </w:t>
            </w:r>
            <w:r>
              <w:rPr>
                <w:spacing w:val="1"/>
                <w:sz w:val="21"/>
                <w:szCs w:val="21"/>
              </w:rPr>
              <w:t>区，已经取得陆良县人</w:t>
            </w:r>
            <w:r>
              <w:rPr>
                <w:spacing w:val="8"/>
                <w:sz w:val="21"/>
                <w:szCs w:val="21"/>
              </w:rPr>
              <w:t xml:space="preserve"> </w:t>
            </w:r>
            <w:r>
              <w:rPr>
                <w:sz w:val="21"/>
                <w:szCs w:val="21"/>
              </w:rPr>
              <w:t>民政府的同意。</w:t>
            </w:r>
          </w:p>
          <w:p w14:paraId="299A0EA1">
            <w:pPr>
              <w:pStyle w:val="6"/>
              <w:spacing w:before="40" w:line="230" w:lineRule="auto"/>
              <w:ind w:left="17"/>
              <w:rPr>
                <w:sz w:val="21"/>
                <w:szCs w:val="21"/>
              </w:rPr>
            </w:pPr>
            <w:r>
              <w:rPr>
                <w:spacing w:val="-4"/>
                <w:sz w:val="21"/>
                <w:szCs w:val="21"/>
              </w:rPr>
              <w:t>6、本项目运营期升压站</w:t>
            </w:r>
            <w:r>
              <w:rPr>
                <w:spacing w:val="8"/>
                <w:sz w:val="21"/>
                <w:szCs w:val="21"/>
              </w:rPr>
              <w:t xml:space="preserve"> </w:t>
            </w:r>
            <w:r>
              <w:rPr>
                <w:spacing w:val="2"/>
                <w:sz w:val="21"/>
                <w:szCs w:val="21"/>
              </w:rPr>
              <w:t>生活废水经过一体化污</w:t>
            </w:r>
            <w:r>
              <w:rPr>
                <w:spacing w:val="5"/>
                <w:sz w:val="21"/>
                <w:szCs w:val="21"/>
              </w:rPr>
              <w:t xml:space="preserve"> </w:t>
            </w:r>
            <w:r>
              <w:rPr>
                <w:spacing w:val="2"/>
                <w:sz w:val="21"/>
                <w:szCs w:val="21"/>
              </w:rPr>
              <w:t>水处理站处理后回用于</w:t>
            </w:r>
            <w:r>
              <w:rPr>
                <w:spacing w:val="7"/>
                <w:sz w:val="21"/>
                <w:szCs w:val="21"/>
              </w:rPr>
              <w:t xml:space="preserve"> </w:t>
            </w:r>
            <w:r>
              <w:rPr>
                <w:spacing w:val="8"/>
                <w:sz w:val="21"/>
                <w:szCs w:val="21"/>
              </w:rPr>
              <w:t>站内绿化和洒水降尘；</w:t>
            </w:r>
            <w:r>
              <w:rPr>
                <w:sz w:val="21"/>
                <w:szCs w:val="21"/>
              </w:rPr>
              <w:t xml:space="preserve"> 太阳能电池板的清洗废</w:t>
            </w:r>
          </w:p>
        </w:tc>
        <w:tc>
          <w:tcPr>
            <w:tcW w:w="614" w:type="dxa"/>
            <w:vAlign w:val="top"/>
          </w:tcPr>
          <w:p w14:paraId="013EF47D">
            <w:pPr>
              <w:spacing w:line="251" w:lineRule="auto"/>
              <w:rPr>
                <w:rFonts w:ascii="Arial"/>
                <w:sz w:val="21"/>
              </w:rPr>
            </w:pPr>
          </w:p>
          <w:p w14:paraId="26E75E28">
            <w:pPr>
              <w:spacing w:line="251" w:lineRule="auto"/>
              <w:rPr>
                <w:rFonts w:ascii="Arial"/>
                <w:sz w:val="21"/>
              </w:rPr>
            </w:pPr>
          </w:p>
          <w:p w14:paraId="64173829">
            <w:pPr>
              <w:spacing w:line="251" w:lineRule="auto"/>
              <w:rPr>
                <w:rFonts w:ascii="Arial"/>
                <w:sz w:val="21"/>
              </w:rPr>
            </w:pPr>
          </w:p>
          <w:p w14:paraId="5B36887A">
            <w:pPr>
              <w:spacing w:line="252" w:lineRule="auto"/>
              <w:rPr>
                <w:rFonts w:ascii="Arial"/>
                <w:sz w:val="21"/>
              </w:rPr>
            </w:pPr>
          </w:p>
          <w:p w14:paraId="3CA49F26">
            <w:pPr>
              <w:spacing w:line="252" w:lineRule="auto"/>
              <w:rPr>
                <w:rFonts w:ascii="Arial"/>
                <w:sz w:val="21"/>
              </w:rPr>
            </w:pPr>
          </w:p>
          <w:p w14:paraId="49AEC510">
            <w:pPr>
              <w:spacing w:line="252" w:lineRule="auto"/>
              <w:rPr>
                <w:rFonts w:ascii="Arial"/>
                <w:sz w:val="21"/>
              </w:rPr>
            </w:pPr>
          </w:p>
          <w:p w14:paraId="3C2F61F6">
            <w:pPr>
              <w:spacing w:line="252" w:lineRule="auto"/>
              <w:rPr>
                <w:rFonts w:ascii="Arial"/>
                <w:sz w:val="21"/>
              </w:rPr>
            </w:pPr>
          </w:p>
          <w:p w14:paraId="580528D0">
            <w:pPr>
              <w:spacing w:line="252" w:lineRule="auto"/>
              <w:rPr>
                <w:rFonts w:ascii="Arial"/>
                <w:sz w:val="21"/>
              </w:rPr>
            </w:pPr>
          </w:p>
          <w:p w14:paraId="69CF1009">
            <w:pPr>
              <w:spacing w:line="252" w:lineRule="auto"/>
              <w:rPr>
                <w:rFonts w:ascii="Arial"/>
                <w:sz w:val="21"/>
              </w:rPr>
            </w:pPr>
          </w:p>
          <w:p w14:paraId="7E90088D">
            <w:pPr>
              <w:spacing w:line="252" w:lineRule="auto"/>
              <w:rPr>
                <w:rFonts w:ascii="Arial"/>
                <w:sz w:val="21"/>
              </w:rPr>
            </w:pPr>
          </w:p>
          <w:p w14:paraId="2FE30555">
            <w:pPr>
              <w:spacing w:line="252" w:lineRule="auto"/>
              <w:rPr>
                <w:rFonts w:ascii="Arial"/>
                <w:sz w:val="21"/>
              </w:rPr>
            </w:pPr>
          </w:p>
          <w:p w14:paraId="6D00BBFE">
            <w:pPr>
              <w:spacing w:line="252" w:lineRule="auto"/>
              <w:rPr>
                <w:rFonts w:ascii="Arial"/>
                <w:sz w:val="21"/>
              </w:rPr>
            </w:pPr>
          </w:p>
          <w:p w14:paraId="40CF58F8">
            <w:pPr>
              <w:spacing w:line="252" w:lineRule="auto"/>
              <w:rPr>
                <w:rFonts w:ascii="Arial"/>
                <w:sz w:val="21"/>
              </w:rPr>
            </w:pPr>
          </w:p>
          <w:p w14:paraId="6F980838">
            <w:pPr>
              <w:spacing w:line="252" w:lineRule="auto"/>
              <w:rPr>
                <w:rFonts w:ascii="Arial"/>
                <w:sz w:val="21"/>
              </w:rPr>
            </w:pPr>
          </w:p>
          <w:p w14:paraId="463F972D">
            <w:pPr>
              <w:spacing w:line="252" w:lineRule="auto"/>
              <w:rPr>
                <w:rFonts w:ascii="Arial"/>
                <w:sz w:val="21"/>
              </w:rPr>
            </w:pPr>
          </w:p>
          <w:p w14:paraId="0A58F216">
            <w:pPr>
              <w:spacing w:line="252" w:lineRule="auto"/>
              <w:rPr>
                <w:rFonts w:ascii="Arial"/>
                <w:sz w:val="21"/>
              </w:rPr>
            </w:pPr>
          </w:p>
          <w:p w14:paraId="6EBC295A">
            <w:pPr>
              <w:pStyle w:val="6"/>
              <w:spacing w:before="68" w:line="219" w:lineRule="auto"/>
              <w:ind w:left="89"/>
              <w:rPr>
                <w:sz w:val="21"/>
                <w:szCs w:val="21"/>
              </w:rPr>
            </w:pPr>
            <w:r>
              <w:rPr>
                <w:spacing w:val="-3"/>
                <w:sz w:val="21"/>
                <w:szCs w:val="21"/>
              </w:rPr>
              <w:t>符合</w:t>
            </w:r>
          </w:p>
        </w:tc>
      </w:tr>
    </w:tbl>
    <w:p w14:paraId="38B2699D">
      <w:pPr>
        <w:pStyle w:val="2"/>
      </w:pPr>
    </w:p>
    <w:p w14:paraId="1C8CD51C">
      <w:pPr>
        <w:sectPr>
          <w:footerReference r:id="rId27" w:type="default"/>
          <w:pgSz w:w="11910" w:h="16830"/>
          <w:pgMar w:top="400" w:right="1475" w:bottom="1245" w:left="1415" w:header="0" w:footer="1083" w:gutter="0"/>
          <w:cols w:space="720" w:num="1"/>
        </w:sectPr>
      </w:pPr>
    </w:p>
    <w:p w14:paraId="177950C0">
      <w:pPr>
        <w:spacing w:before="18"/>
      </w:pPr>
    </w:p>
    <w:p w14:paraId="05B726F1">
      <w:pPr>
        <w:spacing w:before="18"/>
      </w:pPr>
    </w:p>
    <w:p w14:paraId="6D79E92D">
      <w:pPr>
        <w:spacing w:before="17"/>
      </w:pPr>
    </w:p>
    <w:p w14:paraId="09A9376E">
      <w:pPr>
        <w:spacing w:before="17"/>
      </w:pPr>
    </w:p>
    <w:p w14:paraId="5643A6E0">
      <w:pPr>
        <w:spacing w:before="17"/>
      </w:pPr>
    </w:p>
    <w:tbl>
      <w:tblPr>
        <w:tblStyle w:val="5"/>
        <w:tblW w:w="89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579"/>
        <w:gridCol w:w="350"/>
        <w:gridCol w:w="3995"/>
        <w:gridCol w:w="2228"/>
        <w:gridCol w:w="574"/>
      </w:tblGrid>
      <w:tr w14:paraId="7AAB3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5" w:hRule="atLeast"/>
        </w:trPr>
        <w:tc>
          <w:tcPr>
            <w:tcW w:w="1254" w:type="dxa"/>
            <w:vMerge w:val="restart"/>
            <w:tcBorders>
              <w:bottom w:val="nil"/>
            </w:tcBorders>
            <w:vAlign w:val="top"/>
          </w:tcPr>
          <w:p w14:paraId="7E36AD1C">
            <w:pPr>
              <w:rPr>
                <w:rFonts w:ascii="Arial"/>
                <w:sz w:val="21"/>
              </w:rPr>
            </w:pPr>
          </w:p>
        </w:tc>
        <w:tc>
          <w:tcPr>
            <w:tcW w:w="579" w:type="dxa"/>
            <w:vMerge w:val="restart"/>
            <w:tcBorders>
              <w:bottom w:val="nil"/>
            </w:tcBorders>
            <w:vAlign w:val="top"/>
          </w:tcPr>
          <w:p w14:paraId="5ECA3DF7">
            <w:pPr>
              <w:rPr>
                <w:rFonts w:ascii="Arial"/>
                <w:sz w:val="21"/>
              </w:rPr>
            </w:pPr>
          </w:p>
        </w:tc>
        <w:tc>
          <w:tcPr>
            <w:tcW w:w="350" w:type="dxa"/>
            <w:vAlign w:val="top"/>
          </w:tcPr>
          <w:p w14:paraId="3B3D5D53">
            <w:pPr>
              <w:rPr>
                <w:rFonts w:ascii="Arial"/>
                <w:sz w:val="21"/>
              </w:rPr>
            </w:pPr>
          </w:p>
        </w:tc>
        <w:tc>
          <w:tcPr>
            <w:tcW w:w="3995" w:type="dxa"/>
            <w:vAlign w:val="top"/>
          </w:tcPr>
          <w:p w14:paraId="12010C46">
            <w:pPr>
              <w:pStyle w:val="6"/>
              <w:spacing w:before="56" w:line="234" w:lineRule="auto"/>
              <w:ind w:left="12"/>
              <w:rPr>
                <w:sz w:val="21"/>
                <w:szCs w:val="21"/>
              </w:rPr>
            </w:pPr>
            <w:r>
              <w:rPr>
                <w:spacing w:val="-1"/>
                <w:sz w:val="21"/>
                <w:szCs w:val="21"/>
              </w:rPr>
              <w:t>源，确保饮水安全。6.全面开展城市(县城)</w:t>
            </w:r>
            <w:r>
              <w:rPr>
                <w:spacing w:val="2"/>
                <w:sz w:val="21"/>
                <w:szCs w:val="21"/>
              </w:rPr>
              <w:t xml:space="preserve"> </w:t>
            </w:r>
            <w:r>
              <w:rPr>
                <w:spacing w:val="-3"/>
                <w:sz w:val="21"/>
                <w:szCs w:val="21"/>
              </w:rPr>
              <w:t>排水管网排查整治，消除城市建成区管网空</w:t>
            </w:r>
            <w:r>
              <w:rPr>
                <w:spacing w:val="5"/>
                <w:sz w:val="21"/>
                <w:szCs w:val="21"/>
              </w:rPr>
              <w:t xml:space="preserve"> </w:t>
            </w:r>
            <w:r>
              <w:rPr>
                <w:spacing w:val="-3"/>
                <w:sz w:val="21"/>
                <w:szCs w:val="21"/>
              </w:rPr>
              <w:t>白区、污水直排口，解决雨污混流、管网破</w:t>
            </w:r>
            <w:r>
              <w:rPr>
                <w:spacing w:val="2"/>
                <w:sz w:val="21"/>
                <w:szCs w:val="21"/>
              </w:rPr>
              <w:t xml:space="preserve"> </w:t>
            </w:r>
            <w:r>
              <w:rPr>
                <w:spacing w:val="-3"/>
                <w:sz w:val="21"/>
                <w:szCs w:val="21"/>
              </w:rPr>
              <w:t>损漏损、错接混接等问题。加大城市生活污</w:t>
            </w:r>
            <w:r>
              <w:rPr>
                <w:spacing w:val="5"/>
                <w:sz w:val="21"/>
                <w:szCs w:val="21"/>
              </w:rPr>
              <w:t xml:space="preserve"> </w:t>
            </w:r>
            <w:r>
              <w:rPr>
                <w:spacing w:val="-3"/>
                <w:sz w:val="21"/>
                <w:szCs w:val="21"/>
              </w:rPr>
              <w:t>水提标改造及扩容工作力度，麒麟区、沾益</w:t>
            </w:r>
            <w:r>
              <w:rPr>
                <w:spacing w:val="2"/>
                <w:sz w:val="21"/>
                <w:szCs w:val="21"/>
              </w:rPr>
              <w:t xml:space="preserve"> </w:t>
            </w:r>
            <w:r>
              <w:rPr>
                <w:spacing w:val="-4"/>
                <w:sz w:val="21"/>
                <w:szCs w:val="21"/>
              </w:rPr>
              <w:t>区、曲靖经开区新、改、扩建城市生活污水</w:t>
            </w:r>
            <w:r>
              <w:rPr>
                <w:spacing w:val="8"/>
                <w:sz w:val="21"/>
                <w:szCs w:val="21"/>
              </w:rPr>
              <w:t xml:space="preserve"> </w:t>
            </w:r>
            <w:r>
              <w:rPr>
                <w:spacing w:val="2"/>
                <w:sz w:val="21"/>
                <w:szCs w:val="21"/>
              </w:rPr>
              <w:t>集中处理设施及工业园区污水集中处理设</w:t>
            </w:r>
            <w:r>
              <w:rPr>
                <w:spacing w:val="1"/>
                <w:sz w:val="21"/>
                <w:szCs w:val="21"/>
              </w:rPr>
              <w:t xml:space="preserve">  </w:t>
            </w:r>
            <w:r>
              <w:rPr>
                <w:spacing w:val="-3"/>
                <w:sz w:val="21"/>
                <w:szCs w:val="21"/>
              </w:rPr>
              <w:t>施污染物排放标准严格执行《地表水环境质</w:t>
            </w:r>
            <w:r>
              <w:rPr>
                <w:spacing w:val="6"/>
                <w:sz w:val="21"/>
                <w:szCs w:val="21"/>
              </w:rPr>
              <w:t xml:space="preserve"> </w:t>
            </w:r>
            <w:r>
              <w:rPr>
                <w:spacing w:val="-1"/>
                <w:sz w:val="21"/>
                <w:szCs w:val="21"/>
              </w:rPr>
              <w:t>量标准》IV类标准(其中总氮&lt;10mg/L,类</w:t>
            </w:r>
          </w:p>
          <w:p w14:paraId="3A969030">
            <w:pPr>
              <w:pStyle w:val="6"/>
              <w:spacing w:before="52" w:line="232" w:lineRule="auto"/>
              <w:ind w:left="46" w:right="110" w:firstLine="54"/>
              <w:rPr>
                <w:sz w:val="21"/>
                <w:szCs w:val="21"/>
              </w:rPr>
            </w:pPr>
            <w:r>
              <w:rPr>
                <w:spacing w:val="-1"/>
                <w:sz w:val="21"/>
                <w:szCs w:val="21"/>
              </w:rPr>
              <w:t>大肠菌群&lt;1000个/L)。陆良县、宣威市根</w:t>
            </w:r>
            <w:r>
              <w:rPr>
                <w:spacing w:val="10"/>
                <w:sz w:val="21"/>
                <w:szCs w:val="21"/>
              </w:rPr>
              <w:t xml:space="preserve"> </w:t>
            </w:r>
            <w:r>
              <w:rPr>
                <w:spacing w:val="2"/>
                <w:sz w:val="21"/>
                <w:szCs w:val="21"/>
              </w:rPr>
              <w:t>据水生态环境质量变化趋势适时推进执行</w:t>
            </w:r>
            <w:r>
              <w:rPr>
                <w:spacing w:val="10"/>
                <w:sz w:val="21"/>
                <w:szCs w:val="21"/>
              </w:rPr>
              <w:t xml:space="preserve"> </w:t>
            </w:r>
            <w:r>
              <w:rPr>
                <w:spacing w:val="-1"/>
                <w:sz w:val="21"/>
                <w:szCs w:val="21"/>
              </w:rPr>
              <w:t>《地表水环境质量标准》IV类标准((其中</w:t>
            </w:r>
            <w:r>
              <w:rPr>
                <w:spacing w:val="14"/>
                <w:sz w:val="21"/>
                <w:szCs w:val="21"/>
              </w:rPr>
              <w:t xml:space="preserve"> </w:t>
            </w:r>
            <w:r>
              <w:rPr>
                <w:sz w:val="21"/>
                <w:szCs w:val="21"/>
              </w:rPr>
              <w:t>总氮&lt;10mg/L,类大肠菌群&lt;1000个/L))。</w:t>
            </w:r>
          </w:p>
          <w:p w14:paraId="703BA2C7">
            <w:pPr>
              <w:pStyle w:val="6"/>
              <w:spacing w:before="12" w:line="241" w:lineRule="auto"/>
              <w:ind w:left="12" w:firstLine="89"/>
              <w:rPr>
                <w:sz w:val="21"/>
                <w:szCs w:val="21"/>
              </w:rPr>
            </w:pPr>
            <w:r>
              <w:rPr>
                <w:spacing w:val="-1"/>
                <w:sz w:val="21"/>
                <w:szCs w:val="21"/>
              </w:rPr>
              <w:t>其他县(市、区)执行《城镇污水处理厂污</w:t>
            </w:r>
            <w:r>
              <w:rPr>
                <w:sz w:val="21"/>
                <w:szCs w:val="21"/>
              </w:rPr>
              <w:t xml:space="preserve">  </w:t>
            </w:r>
            <w:r>
              <w:rPr>
                <w:spacing w:val="1"/>
                <w:sz w:val="21"/>
                <w:szCs w:val="21"/>
              </w:rPr>
              <w:t>染物排放标准》一级标准A标准。7.加快推</w:t>
            </w:r>
            <w:r>
              <w:rPr>
                <w:spacing w:val="12"/>
                <w:sz w:val="21"/>
                <w:szCs w:val="21"/>
              </w:rPr>
              <w:t xml:space="preserve"> </w:t>
            </w:r>
            <w:r>
              <w:rPr>
                <w:spacing w:val="-1"/>
                <w:sz w:val="21"/>
                <w:szCs w:val="21"/>
              </w:rPr>
              <w:t>进污泥无害化处理处置工程建设，鼓励采用</w:t>
            </w:r>
            <w:r>
              <w:rPr>
                <w:sz w:val="21"/>
                <w:szCs w:val="21"/>
              </w:rPr>
              <w:t xml:space="preserve"> </w:t>
            </w:r>
            <w:r>
              <w:rPr>
                <w:spacing w:val="-2"/>
                <w:sz w:val="21"/>
                <w:szCs w:val="21"/>
              </w:rPr>
              <w:t>资源化利用方式处理处置污泥，经处理后的</w:t>
            </w:r>
            <w:r>
              <w:rPr>
                <w:spacing w:val="9"/>
                <w:sz w:val="21"/>
                <w:szCs w:val="21"/>
              </w:rPr>
              <w:t xml:space="preserve"> </w:t>
            </w:r>
            <w:r>
              <w:rPr>
                <w:spacing w:val="-1"/>
                <w:sz w:val="21"/>
                <w:szCs w:val="21"/>
              </w:rPr>
              <w:t>污泥达到《农用污泥污染物控制标准》</w:t>
            </w:r>
          </w:p>
          <w:p w14:paraId="59A20351">
            <w:pPr>
              <w:pStyle w:val="6"/>
              <w:spacing w:before="12" w:line="221" w:lineRule="auto"/>
              <w:ind w:left="141"/>
              <w:rPr>
                <w:sz w:val="21"/>
                <w:szCs w:val="21"/>
              </w:rPr>
            </w:pPr>
            <w:r>
              <w:rPr>
                <w:spacing w:val="-5"/>
                <w:sz w:val="21"/>
                <w:szCs w:val="21"/>
              </w:rPr>
              <w:t>(GB4282—2018)要求的用于还田利用。</w:t>
            </w:r>
          </w:p>
          <w:p w14:paraId="15B2831B">
            <w:pPr>
              <w:pStyle w:val="6"/>
              <w:spacing w:before="15"/>
              <w:ind w:left="12"/>
              <w:rPr>
                <w:sz w:val="21"/>
                <w:szCs w:val="21"/>
              </w:rPr>
            </w:pPr>
            <w:r>
              <w:rPr>
                <w:spacing w:val="-1"/>
                <w:sz w:val="21"/>
                <w:szCs w:val="21"/>
              </w:rPr>
              <w:t>8.加快生活垃圾处理设施建设，推进实施生</w:t>
            </w:r>
            <w:r>
              <w:rPr>
                <w:spacing w:val="1"/>
                <w:sz w:val="21"/>
                <w:szCs w:val="21"/>
              </w:rPr>
              <w:t xml:space="preserve"> </w:t>
            </w:r>
            <w:r>
              <w:rPr>
                <w:spacing w:val="-2"/>
                <w:sz w:val="21"/>
                <w:szCs w:val="21"/>
              </w:rPr>
              <w:t>活垃圾焚烧发电，全面提升城镇生活垃圾分</w:t>
            </w:r>
            <w:r>
              <w:rPr>
                <w:spacing w:val="16"/>
                <w:sz w:val="21"/>
                <w:szCs w:val="21"/>
              </w:rPr>
              <w:t xml:space="preserve"> </w:t>
            </w:r>
            <w:r>
              <w:rPr>
                <w:spacing w:val="5"/>
                <w:sz w:val="21"/>
                <w:szCs w:val="21"/>
              </w:rPr>
              <w:t>类收转运能力和厨余垃圾处理能力。9.到</w:t>
            </w:r>
            <w:r>
              <w:rPr>
                <w:sz w:val="21"/>
                <w:szCs w:val="21"/>
              </w:rPr>
              <w:t xml:space="preserve">  </w:t>
            </w:r>
            <w:r>
              <w:rPr>
                <w:spacing w:val="4"/>
                <w:sz w:val="21"/>
                <w:szCs w:val="21"/>
              </w:rPr>
              <w:t>2025年，中心城区、县城中心城市建成区</w:t>
            </w:r>
            <w:r>
              <w:rPr>
                <w:spacing w:val="9"/>
                <w:sz w:val="21"/>
                <w:szCs w:val="21"/>
              </w:rPr>
              <w:t xml:space="preserve">  </w:t>
            </w:r>
            <w:r>
              <w:rPr>
                <w:spacing w:val="-1"/>
                <w:sz w:val="21"/>
                <w:szCs w:val="21"/>
              </w:rPr>
              <w:t>基本实现污水全收集、全处理，建制镇污水</w:t>
            </w:r>
            <w:r>
              <w:rPr>
                <w:sz w:val="21"/>
                <w:szCs w:val="21"/>
              </w:rPr>
              <w:t xml:space="preserve"> </w:t>
            </w:r>
            <w:r>
              <w:rPr>
                <w:spacing w:val="-2"/>
                <w:sz w:val="21"/>
                <w:szCs w:val="21"/>
              </w:rPr>
              <w:t>收集处理能力明显提升，中心城市、县城平</w:t>
            </w:r>
            <w:r>
              <w:rPr>
                <w:spacing w:val="12"/>
                <w:sz w:val="21"/>
                <w:szCs w:val="21"/>
              </w:rPr>
              <w:t xml:space="preserve"> </w:t>
            </w:r>
            <w:r>
              <w:rPr>
                <w:spacing w:val="-1"/>
                <w:sz w:val="21"/>
                <w:szCs w:val="21"/>
              </w:rPr>
              <w:t>均污泥无害化处理率达到90%以上，力争</w:t>
            </w:r>
          </w:p>
          <w:p w14:paraId="75512106">
            <w:pPr>
              <w:pStyle w:val="6"/>
              <w:spacing w:before="1" w:line="237" w:lineRule="auto"/>
              <w:ind w:left="31" w:hanging="19"/>
              <w:rPr>
                <w:sz w:val="21"/>
                <w:szCs w:val="21"/>
              </w:rPr>
            </w:pPr>
            <w:r>
              <w:rPr>
                <w:spacing w:val="-1"/>
                <w:sz w:val="21"/>
                <w:szCs w:val="21"/>
              </w:rPr>
              <w:t>实现全市生活垃圾焚烧处理实现全覆盖，餐</w:t>
            </w:r>
            <w:r>
              <w:rPr>
                <w:sz w:val="21"/>
                <w:szCs w:val="21"/>
              </w:rPr>
              <w:t xml:space="preserve"> </w:t>
            </w:r>
            <w:r>
              <w:rPr>
                <w:spacing w:val="1"/>
                <w:sz w:val="21"/>
                <w:szCs w:val="21"/>
              </w:rPr>
              <w:t xml:space="preserve">厨垃圾实现零填埋无害化处理。10.到2025 </w:t>
            </w:r>
            <w:r>
              <w:rPr>
                <w:sz w:val="21"/>
                <w:szCs w:val="21"/>
              </w:rPr>
              <w:t>年，全市农村生活污水治理率达到40%以</w:t>
            </w:r>
          </w:p>
          <w:p w14:paraId="619AC797">
            <w:pPr>
              <w:pStyle w:val="6"/>
              <w:spacing w:line="242" w:lineRule="auto"/>
              <w:ind w:left="151" w:right="144"/>
              <w:rPr>
                <w:sz w:val="21"/>
                <w:szCs w:val="21"/>
              </w:rPr>
            </w:pPr>
            <w:r>
              <w:rPr>
                <w:sz w:val="21"/>
                <w:szCs w:val="21"/>
              </w:rPr>
              <w:t>上，城乡生活垃圾焚烧处理比重达90%以</w:t>
            </w:r>
            <w:r>
              <w:rPr>
                <w:spacing w:val="12"/>
                <w:sz w:val="21"/>
                <w:szCs w:val="21"/>
              </w:rPr>
              <w:t xml:space="preserve"> </w:t>
            </w:r>
            <w:r>
              <w:rPr>
                <w:sz w:val="21"/>
                <w:szCs w:val="21"/>
              </w:rPr>
              <w:t>上，全市农村卫生户厕覆盖率达到70%以</w:t>
            </w:r>
          </w:p>
          <w:p w14:paraId="48C99D12">
            <w:pPr>
              <w:pStyle w:val="6"/>
              <w:spacing w:before="1" w:line="239" w:lineRule="auto"/>
              <w:ind w:left="42" w:right="167" w:firstLine="109"/>
              <w:rPr>
                <w:sz w:val="21"/>
                <w:szCs w:val="21"/>
              </w:rPr>
            </w:pPr>
            <w:r>
              <w:rPr>
                <w:spacing w:val="-1"/>
                <w:sz w:val="21"/>
                <w:szCs w:val="21"/>
              </w:rPr>
              <w:t>上，农膜回收率达到90%以上，秸秆综合</w:t>
            </w:r>
            <w:r>
              <w:rPr>
                <w:spacing w:val="8"/>
                <w:sz w:val="21"/>
                <w:szCs w:val="21"/>
              </w:rPr>
              <w:t xml:space="preserve"> </w:t>
            </w:r>
            <w:r>
              <w:rPr>
                <w:spacing w:val="-1"/>
                <w:sz w:val="21"/>
                <w:szCs w:val="21"/>
              </w:rPr>
              <w:t>利用率稳定在90%以上，畜禽粪污综合利</w:t>
            </w:r>
          </w:p>
          <w:p w14:paraId="0E71930C">
            <w:pPr>
              <w:pStyle w:val="6"/>
              <w:spacing w:before="14" w:line="219" w:lineRule="auto"/>
              <w:ind w:left="32"/>
              <w:rPr>
                <w:sz w:val="21"/>
                <w:szCs w:val="21"/>
              </w:rPr>
            </w:pPr>
            <w:r>
              <w:rPr>
                <w:spacing w:val="-1"/>
                <w:sz w:val="21"/>
                <w:szCs w:val="21"/>
              </w:rPr>
              <w:t>用率达到95%以上；基本实现化肥农药施</w:t>
            </w:r>
          </w:p>
          <w:p w14:paraId="1EDA1B92">
            <w:pPr>
              <w:pStyle w:val="6"/>
              <w:spacing w:before="20" w:line="238" w:lineRule="auto"/>
              <w:ind w:left="12" w:firstLine="29"/>
              <w:rPr>
                <w:sz w:val="21"/>
                <w:szCs w:val="21"/>
              </w:rPr>
            </w:pPr>
            <w:r>
              <w:rPr>
                <w:sz w:val="21"/>
                <w:szCs w:val="21"/>
              </w:rPr>
              <w:t>用量减少3%以上。11.严把新建、改扩建涉</w:t>
            </w:r>
            <w:r>
              <w:rPr>
                <w:spacing w:val="5"/>
                <w:sz w:val="21"/>
                <w:szCs w:val="21"/>
              </w:rPr>
              <w:t xml:space="preserve"> </w:t>
            </w:r>
            <w:r>
              <w:rPr>
                <w:spacing w:val="-1"/>
                <w:sz w:val="21"/>
                <w:szCs w:val="21"/>
              </w:rPr>
              <w:t>重金属重点行业建设项目审批关，切实降低</w:t>
            </w:r>
            <w:r>
              <w:rPr>
                <w:sz w:val="21"/>
                <w:szCs w:val="21"/>
              </w:rPr>
              <w:t xml:space="preserve"> </w:t>
            </w:r>
            <w:r>
              <w:rPr>
                <w:spacing w:val="-2"/>
                <w:sz w:val="21"/>
                <w:szCs w:val="21"/>
              </w:rPr>
              <w:t>区域重金属排放总量。会泽县新、改、扩建</w:t>
            </w:r>
            <w:r>
              <w:rPr>
                <w:spacing w:val="5"/>
                <w:sz w:val="21"/>
                <w:szCs w:val="21"/>
              </w:rPr>
              <w:t xml:space="preserve"> 涉重金属重点行业建设项目重点重金属污</w:t>
            </w:r>
            <w:r>
              <w:rPr>
                <w:spacing w:val="1"/>
                <w:sz w:val="21"/>
                <w:szCs w:val="21"/>
              </w:rPr>
              <w:t xml:space="preserve">  </w:t>
            </w:r>
            <w:r>
              <w:rPr>
                <w:spacing w:val="-2"/>
                <w:sz w:val="21"/>
                <w:szCs w:val="21"/>
              </w:rPr>
              <w:t>染物排放遵循“减量替代”原则，替代比例</w:t>
            </w:r>
            <w:r>
              <w:rPr>
                <w:spacing w:val="17"/>
                <w:sz w:val="21"/>
                <w:szCs w:val="21"/>
              </w:rPr>
              <w:t xml:space="preserve"> </w:t>
            </w:r>
            <w:r>
              <w:rPr>
                <w:spacing w:val="-1"/>
                <w:sz w:val="21"/>
                <w:szCs w:val="21"/>
              </w:rPr>
              <w:t>不低于1.2:1;其他县(市、区)遵循“等量替</w:t>
            </w:r>
            <w:r>
              <w:rPr>
                <w:spacing w:val="2"/>
                <w:sz w:val="21"/>
                <w:szCs w:val="21"/>
              </w:rPr>
              <w:t xml:space="preserve"> </w:t>
            </w:r>
            <w:r>
              <w:rPr>
                <w:sz w:val="21"/>
                <w:szCs w:val="21"/>
              </w:rPr>
              <w:t>代”原则。12.到2025年，曲靖市重点行业</w:t>
            </w:r>
            <w:r>
              <w:rPr>
                <w:spacing w:val="13"/>
                <w:sz w:val="21"/>
                <w:szCs w:val="21"/>
              </w:rPr>
              <w:t xml:space="preserve"> </w:t>
            </w:r>
            <w:r>
              <w:rPr>
                <w:spacing w:val="-1"/>
                <w:sz w:val="21"/>
                <w:szCs w:val="21"/>
              </w:rPr>
              <w:t>重点重金属污染物排放量比2020年下降</w:t>
            </w:r>
          </w:p>
          <w:p w14:paraId="13556D23">
            <w:pPr>
              <w:pStyle w:val="6"/>
              <w:spacing w:before="15" w:line="219" w:lineRule="auto"/>
              <w:ind w:left="32"/>
              <w:rPr>
                <w:sz w:val="21"/>
                <w:szCs w:val="21"/>
              </w:rPr>
            </w:pPr>
            <w:r>
              <w:rPr>
                <w:spacing w:val="-1"/>
                <w:sz w:val="21"/>
                <w:szCs w:val="21"/>
              </w:rPr>
              <w:t>6%。13.到2025年，全市化学需氧量、氨</w:t>
            </w:r>
          </w:p>
          <w:p w14:paraId="675EA891">
            <w:pPr>
              <w:pStyle w:val="6"/>
              <w:spacing w:before="21" w:line="238" w:lineRule="auto"/>
              <w:ind w:left="41" w:hanging="29"/>
              <w:rPr>
                <w:sz w:val="21"/>
                <w:szCs w:val="21"/>
              </w:rPr>
            </w:pPr>
            <w:r>
              <w:rPr>
                <w:spacing w:val="-1"/>
                <w:sz w:val="21"/>
                <w:szCs w:val="21"/>
              </w:rPr>
              <w:t>氮、氮氧化物、挥发性有机物排放总量等重</w:t>
            </w:r>
            <w:r>
              <w:rPr>
                <w:sz w:val="21"/>
                <w:szCs w:val="21"/>
              </w:rPr>
              <w:t xml:space="preserve"> </w:t>
            </w:r>
            <w:r>
              <w:rPr>
                <w:spacing w:val="4"/>
                <w:sz w:val="21"/>
                <w:szCs w:val="21"/>
              </w:rPr>
              <w:t>点工程减排量分别达到7984吨、496吨、</w:t>
            </w:r>
          </w:p>
          <w:p w14:paraId="001CEE68">
            <w:pPr>
              <w:pStyle w:val="6"/>
              <w:spacing w:line="194" w:lineRule="auto"/>
              <w:ind w:left="22"/>
              <w:rPr>
                <w:sz w:val="21"/>
                <w:szCs w:val="21"/>
              </w:rPr>
            </w:pPr>
            <w:r>
              <w:rPr>
                <w:spacing w:val="-1"/>
                <w:sz w:val="21"/>
                <w:szCs w:val="21"/>
              </w:rPr>
              <w:t>3611吨、1181吨。</w:t>
            </w:r>
          </w:p>
        </w:tc>
        <w:tc>
          <w:tcPr>
            <w:tcW w:w="2228" w:type="dxa"/>
            <w:vAlign w:val="top"/>
          </w:tcPr>
          <w:p w14:paraId="7BF8792B">
            <w:pPr>
              <w:pStyle w:val="6"/>
              <w:spacing w:before="12" w:line="251" w:lineRule="auto"/>
              <w:ind w:left="57" w:right="50"/>
              <w:rPr>
                <w:sz w:val="21"/>
                <w:szCs w:val="21"/>
              </w:rPr>
            </w:pPr>
            <w:r>
              <w:rPr>
                <w:spacing w:val="1"/>
                <w:sz w:val="21"/>
                <w:szCs w:val="21"/>
              </w:rPr>
              <w:t>水直接顺着流在太阳能</w:t>
            </w:r>
            <w:r>
              <w:rPr>
                <w:sz w:val="21"/>
                <w:szCs w:val="21"/>
              </w:rPr>
              <w:t xml:space="preserve"> </w:t>
            </w:r>
            <w:r>
              <w:rPr>
                <w:spacing w:val="1"/>
                <w:sz w:val="21"/>
                <w:szCs w:val="21"/>
              </w:rPr>
              <w:t>电池组件下面的林草</w:t>
            </w:r>
          </w:p>
          <w:p w14:paraId="08B98649">
            <w:pPr>
              <w:pStyle w:val="6"/>
              <w:spacing w:before="1" w:line="238" w:lineRule="auto"/>
              <w:ind w:left="67" w:right="35"/>
              <w:rPr>
                <w:sz w:val="21"/>
                <w:szCs w:val="21"/>
              </w:rPr>
            </w:pPr>
            <w:r>
              <w:rPr>
                <w:spacing w:val="1"/>
                <w:sz w:val="21"/>
                <w:szCs w:val="21"/>
              </w:rPr>
              <w:t>地，作为林草地灌溉补</w:t>
            </w:r>
            <w:r>
              <w:rPr>
                <w:spacing w:val="4"/>
                <w:sz w:val="21"/>
                <w:szCs w:val="21"/>
              </w:rPr>
              <w:t xml:space="preserve"> </w:t>
            </w:r>
            <w:r>
              <w:rPr>
                <w:spacing w:val="-2"/>
                <w:sz w:val="21"/>
                <w:szCs w:val="21"/>
              </w:rPr>
              <w:t>充水，不外排(项目太</w:t>
            </w:r>
            <w:r>
              <w:rPr>
                <w:spacing w:val="4"/>
                <w:sz w:val="21"/>
                <w:szCs w:val="21"/>
              </w:rPr>
              <w:t xml:space="preserve">  </w:t>
            </w:r>
            <w:r>
              <w:rPr>
                <w:spacing w:val="1"/>
                <w:sz w:val="21"/>
                <w:szCs w:val="21"/>
              </w:rPr>
              <w:t>阳能光伏板清洗频率为</w:t>
            </w:r>
            <w:r>
              <w:rPr>
                <w:sz w:val="21"/>
                <w:szCs w:val="21"/>
              </w:rPr>
              <w:t xml:space="preserve"> </w:t>
            </w:r>
            <w:r>
              <w:rPr>
                <w:spacing w:val="2"/>
                <w:sz w:val="21"/>
                <w:szCs w:val="21"/>
              </w:rPr>
              <w:t>每半年1次);实现了</w:t>
            </w:r>
          </w:p>
          <w:p w14:paraId="6B7D16A5">
            <w:pPr>
              <w:pStyle w:val="6"/>
              <w:spacing w:before="6" w:line="210" w:lineRule="auto"/>
              <w:ind w:left="67"/>
              <w:rPr>
                <w:sz w:val="21"/>
                <w:szCs w:val="21"/>
              </w:rPr>
            </w:pPr>
            <w:r>
              <w:rPr>
                <w:spacing w:val="20"/>
                <w:sz w:val="21"/>
                <w:szCs w:val="21"/>
              </w:rPr>
              <w:t>资源利用；</w:t>
            </w:r>
          </w:p>
          <w:p w14:paraId="005B9F64">
            <w:pPr>
              <w:pStyle w:val="6"/>
              <w:spacing w:before="2" w:line="234" w:lineRule="auto"/>
              <w:ind w:left="46" w:right="177" w:hanging="10"/>
              <w:rPr>
                <w:sz w:val="21"/>
                <w:szCs w:val="21"/>
              </w:rPr>
            </w:pPr>
            <w:r>
              <w:rPr>
                <w:sz w:val="21"/>
                <w:szCs w:val="21"/>
              </w:rPr>
              <w:t>7、项目不涉及污泥产</w:t>
            </w:r>
            <w:r>
              <w:rPr>
                <w:spacing w:val="7"/>
                <w:sz w:val="21"/>
                <w:szCs w:val="21"/>
              </w:rPr>
              <w:t xml:space="preserve"> </w:t>
            </w:r>
            <w:r>
              <w:rPr>
                <w:spacing w:val="-5"/>
                <w:sz w:val="21"/>
                <w:szCs w:val="21"/>
              </w:rPr>
              <w:t>生</w:t>
            </w:r>
            <w:r>
              <w:rPr>
                <w:spacing w:val="58"/>
                <w:sz w:val="21"/>
                <w:szCs w:val="21"/>
              </w:rPr>
              <w:t xml:space="preserve"> </w:t>
            </w:r>
            <w:r>
              <w:rPr>
                <w:spacing w:val="-5"/>
                <w:sz w:val="21"/>
                <w:szCs w:val="21"/>
              </w:rPr>
              <w:t>；</w:t>
            </w:r>
          </w:p>
          <w:p w14:paraId="3D90A3F9">
            <w:pPr>
              <w:pStyle w:val="6"/>
              <w:spacing w:before="56" w:line="228" w:lineRule="auto"/>
              <w:ind w:left="65" w:hanging="29"/>
              <w:rPr>
                <w:sz w:val="21"/>
                <w:szCs w:val="21"/>
              </w:rPr>
            </w:pPr>
            <w:r>
              <w:rPr>
                <w:spacing w:val="-3"/>
                <w:sz w:val="21"/>
                <w:szCs w:val="21"/>
              </w:rPr>
              <w:t>8、项目升压站生活垃圾</w:t>
            </w:r>
            <w:r>
              <w:rPr>
                <w:spacing w:val="8"/>
                <w:sz w:val="21"/>
                <w:szCs w:val="21"/>
              </w:rPr>
              <w:t xml:space="preserve"> </w:t>
            </w:r>
            <w:r>
              <w:rPr>
                <w:spacing w:val="10"/>
                <w:sz w:val="21"/>
                <w:szCs w:val="21"/>
              </w:rPr>
              <w:t>委托周边乡镇清运；</w:t>
            </w:r>
          </w:p>
          <w:p w14:paraId="58EC4F8E">
            <w:pPr>
              <w:pStyle w:val="6"/>
              <w:spacing w:before="8" w:line="232" w:lineRule="auto"/>
              <w:ind w:left="35" w:hanging="9"/>
              <w:rPr>
                <w:sz w:val="21"/>
                <w:szCs w:val="21"/>
              </w:rPr>
            </w:pPr>
            <w:r>
              <w:rPr>
                <w:spacing w:val="-9"/>
                <w:sz w:val="21"/>
                <w:szCs w:val="21"/>
              </w:rPr>
              <w:t>9、项目位于山区、农村</w:t>
            </w:r>
            <w:r>
              <w:rPr>
                <w:spacing w:val="1"/>
                <w:sz w:val="21"/>
                <w:szCs w:val="21"/>
              </w:rPr>
              <w:t xml:space="preserve"> </w:t>
            </w:r>
            <w:r>
              <w:rPr>
                <w:spacing w:val="-12"/>
                <w:sz w:val="21"/>
                <w:szCs w:val="21"/>
              </w:rPr>
              <w:t>地区，不涉及中心城区、</w:t>
            </w:r>
            <w:r>
              <w:rPr>
                <w:spacing w:val="2"/>
                <w:sz w:val="21"/>
                <w:szCs w:val="21"/>
              </w:rPr>
              <w:t xml:space="preserve"> </w:t>
            </w:r>
            <w:r>
              <w:rPr>
                <w:spacing w:val="4"/>
                <w:sz w:val="21"/>
                <w:szCs w:val="21"/>
              </w:rPr>
              <w:t>县城中心城市建成区；</w:t>
            </w:r>
          </w:p>
          <w:p w14:paraId="2C6442D3">
            <w:pPr>
              <w:pStyle w:val="6"/>
              <w:spacing w:before="43" w:line="234" w:lineRule="auto"/>
              <w:ind w:left="16" w:firstLine="58"/>
              <w:rPr>
                <w:sz w:val="21"/>
                <w:szCs w:val="21"/>
              </w:rPr>
            </w:pPr>
            <w:r>
              <w:rPr>
                <w:spacing w:val="-3"/>
                <w:sz w:val="21"/>
                <w:szCs w:val="21"/>
              </w:rPr>
              <w:t>10、项目升压站生活垃</w:t>
            </w:r>
            <w:r>
              <w:rPr>
                <w:sz w:val="21"/>
                <w:szCs w:val="21"/>
              </w:rPr>
              <w:t xml:space="preserve"> </w:t>
            </w:r>
            <w:r>
              <w:rPr>
                <w:spacing w:val="10"/>
                <w:sz w:val="21"/>
                <w:szCs w:val="21"/>
              </w:rPr>
              <w:t>圾委托周边乡镇清运；</w:t>
            </w:r>
            <w:r>
              <w:rPr>
                <w:sz w:val="21"/>
                <w:szCs w:val="21"/>
              </w:rPr>
              <w:t xml:space="preserve"> </w:t>
            </w:r>
            <w:r>
              <w:rPr>
                <w:spacing w:val="-4"/>
                <w:sz w:val="21"/>
                <w:szCs w:val="21"/>
              </w:rPr>
              <w:t>运营期升压站生活废水</w:t>
            </w:r>
            <w:r>
              <w:rPr>
                <w:sz w:val="21"/>
                <w:szCs w:val="21"/>
              </w:rPr>
              <w:t xml:space="preserve">  </w:t>
            </w:r>
            <w:r>
              <w:rPr>
                <w:spacing w:val="-3"/>
                <w:sz w:val="21"/>
                <w:szCs w:val="21"/>
              </w:rPr>
              <w:t>经过一体化污水处理站</w:t>
            </w:r>
            <w:r>
              <w:rPr>
                <w:sz w:val="21"/>
                <w:szCs w:val="21"/>
              </w:rPr>
              <w:t xml:space="preserve">  </w:t>
            </w:r>
            <w:r>
              <w:rPr>
                <w:spacing w:val="-2"/>
                <w:sz w:val="21"/>
                <w:szCs w:val="21"/>
              </w:rPr>
              <w:t>处理后回用于站内绿化</w:t>
            </w:r>
            <w:r>
              <w:rPr>
                <w:spacing w:val="3"/>
                <w:sz w:val="21"/>
                <w:szCs w:val="21"/>
              </w:rPr>
              <w:t xml:space="preserve">  </w:t>
            </w:r>
            <w:r>
              <w:rPr>
                <w:spacing w:val="1"/>
                <w:sz w:val="21"/>
                <w:szCs w:val="21"/>
              </w:rPr>
              <w:t>和洒水降尘</w:t>
            </w:r>
          </w:p>
          <w:p w14:paraId="50263E7D">
            <w:pPr>
              <w:pStyle w:val="6"/>
              <w:spacing w:before="20" w:line="229" w:lineRule="auto"/>
              <w:ind w:left="77" w:right="41" w:hanging="10"/>
              <w:rPr>
                <w:sz w:val="21"/>
                <w:szCs w:val="21"/>
              </w:rPr>
            </w:pPr>
            <w:r>
              <w:rPr>
                <w:sz w:val="21"/>
                <w:szCs w:val="21"/>
              </w:rPr>
              <w:t>11、本项目位于陆良县</w:t>
            </w:r>
            <w:r>
              <w:rPr>
                <w:spacing w:val="8"/>
                <w:sz w:val="21"/>
                <w:szCs w:val="21"/>
              </w:rPr>
              <w:t xml:space="preserve"> </w:t>
            </w:r>
            <w:r>
              <w:rPr>
                <w:spacing w:val="-1"/>
                <w:sz w:val="21"/>
                <w:szCs w:val="21"/>
              </w:rPr>
              <w:t>且不涉及重金属污染</w:t>
            </w:r>
          </w:p>
          <w:p w14:paraId="3BFB6033">
            <w:pPr>
              <w:pStyle w:val="6"/>
              <w:spacing w:before="11" w:line="221" w:lineRule="auto"/>
              <w:ind w:left="36"/>
              <w:rPr>
                <w:sz w:val="21"/>
                <w:szCs w:val="21"/>
              </w:rPr>
            </w:pPr>
            <w:r>
              <w:rPr>
                <w:spacing w:val="-5"/>
                <w:sz w:val="21"/>
                <w:szCs w:val="21"/>
              </w:rPr>
              <w:t>物</w:t>
            </w:r>
            <w:r>
              <w:rPr>
                <w:spacing w:val="58"/>
                <w:sz w:val="21"/>
                <w:szCs w:val="21"/>
              </w:rPr>
              <w:t xml:space="preserve"> </w:t>
            </w:r>
            <w:r>
              <w:rPr>
                <w:spacing w:val="-5"/>
                <w:sz w:val="21"/>
                <w:szCs w:val="21"/>
              </w:rPr>
              <w:t>；</w:t>
            </w:r>
          </w:p>
          <w:p w14:paraId="321A9C77">
            <w:pPr>
              <w:pStyle w:val="6"/>
              <w:spacing w:before="56" w:line="225" w:lineRule="auto"/>
              <w:ind w:left="67" w:right="41"/>
              <w:rPr>
                <w:sz w:val="21"/>
                <w:szCs w:val="21"/>
              </w:rPr>
            </w:pPr>
            <w:r>
              <w:rPr>
                <w:sz w:val="21"/>
                <w:szCs w:val="21"/>
              </w:rPr>
              <w:t>12、本项目不涉及重金</w:t>
            </w:r>
            <w:r>
              <w:rPr>
                <w:spacing w:val="8"/>
                <w:sz w:val="21"/>
                <w:szCs w:val="21"/>
              </w:rPr>
              <w:t xml:space="preserve"> </w:t>
            </w:r>
            <w:r>
              <w:rPr>
                <w:spacing w:val="20"/>
                <w:sz w:val="21"/>
                <w:szCs w:val="21"/>
              </w:rPr>
              <w:t>属污染物；</w:t>
            </w:r>
          </w:p>
          <w:p w14:paraId="1C0C6703">
            <w:pPr>
              <w:pStyle w:val="6"/>
              <w:spacing w:before="33" w:line="236" w:lineRule="auto"/>
              <w:ind w:left="47" w:right="31" w:firstLine="30"/>
              <w:rPr>
                <w:sz w:val="21"/>
                <w:szCs w:val="21"/>
              </w:rPr>
            </w:pPr>
            <w:r>
              <w:rPr>
                <w:sz w:val="21"/>
                <w:szCs w:val="21"/>
              </w:rPr>
              <w:t>13、本项目运营期无生</w:t>
            </w:r>
            <w:r>
              <w:rPr>
                <w:spacing w:val="8"/>
                <w:sz w:val="21"/>
                <w:szCs w:val="21"/>
              </w:rPr>
              <w:t xml:space="preserve"> </w:t>
            </w:r>
            <w:r>
              <w:rPr>
                <w:spacing w:val="2"/>
                <w:sz w:val="21"/>
                <w:szCs w:val="21"/>
              </w:rPr>
              <w:t>活废水产生；太阳能电</w:t>
            </w:r>
            <w:r>
              <w:rPr>
                <w:spacing w:val="1"/>
                <w:sz w:val="21"/>
                <w:szCs w:val="21"/>
              </w:rPr>
              <w:t xml:space="preserve"> </w:t>
            </w:r>
            <w:r>
              <w:rPr>
                <w:sz w:val="21"/>
                <w:szCs w:val="21"/>
              </w:rPr>
              <w:t xml:space="preserve">池板的清洗废水直接顺 着流在太阳能电池组件 </w:t>
            </w:r>
            <w:r>
              <w:rPr>
                <w:spacing w:val="2"/>
                <w:sz w:val="21"/>
                <w:szCs w:val="21"/>
              </w:rPr>
              <w:t>下面的林草地上，作为</w:t>
            </w:r>
            <w:r>
              <w:rPr>
                <w:sz w:val="21"/>
                <w:szCs w:val="21"/>
              </w:rPr>
              <w:t xml:space="preserve"> </w:t>
            </w:r>
            <w:r>
              <w:rPr>
                <w:spacing w:val="3"/>
                <w:sz w:val="21"/>
                <w:szCs w:val="21"/>
              </w:rPr>
              <w:t>林草地灌溉补充水，不</w:t>
            </w:r>
            <w:r>
              <w:rPr>
                <w:sz w:val="21"/>
                <w:szCs w:val="21"/>
              </w:rPr>
              <w:t xml:space="preserve"> 外排(项目太阳能光伏</w:t>
            </w:r>
            <w:r>
              <w:rPr>
                <w:spacing w:val="3"/>
                <w:sz w:val="21"/>
                <w:szCs w:val="21"/>
              </w:rPr>
              <w:t xml:space="preserve">  </w:t>
            </w:r>
            <w:r>
              <w:rPr>
                <w:spacing w:val="1"/>
                <w:sz w:val="21"/>
                <w:szCs w:val="21"/>
              </w:rPr>
              <w:t>板清洗频率为每半年1</w:t>
            </w:r>
            <w:r>
              <w:rPr>
                <w:spacing w:val="2"/>
                <w:sz w:val="21"/>
                <w:szCs w:val="21"/>
              </w:rPr>
              <w:t xml:space="preserve">  </w:t>
            </w:r>
            <w:r>
              <w:rPr>
                <w:spacing w:val="-7"/>
                <w:sz w:val="21"/>
                <w:szCs w:val="21"/>
              </w:rPr>
              <w:t>次 )</w:t>
            </w:r>
            <w:r>
              <w:rPr>
                <w:spacing w:val="-13"/>
                <w:sz w:val="21"/>
                <w:szCs w:val="21"/>
              </w:rPr>
              <w:t xml:space="preserve"> </w:t>
            </w:r>
            <w:r>
              <w:rPr>
                <w:spacing w:val="-7"/>
                <w:sz w:val="21"/>
                <w:szCs w:val="21"/>
              </w:rPr>
              <w:t>。</w:t>
            </w:r>
          </w:p>
        </w:tc>
        <w:tc>
          <w:tcPr>
            <w:tcW w:w="574" w:type="dxa"/>
            <w:vAlign w:val="top"/>
          </w:tcPr>
          <w:p w14:paraId="1B09C772">
            <w:pPr>
              <w:rPr>
                <w:rFonts w:ascii="Arial"/>
                <w:sz w:val="21"/>
              </w:rPr>
            </w:pPr>
          </w:p>
        </w:tc>
      </w:tr>
      <w:tr w14:paraId="5422B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1254" w:type="dxa"/>
            <w:vMerge w:val="continue"/>
            <w:tcBorders>
              <w:top w:val="nil"/>
            </w:tcBorders>
            <w:vAlign w:val="top"/>
          </w:tcPr>
          <w:p w14:paraId="236AE927">
            <w:pPr>
              <w:rPr>
                <w:rFonts w:ascii="Arial"/>
                <w:sz w:val="21"/>
              </w:rPr>
            </w:pPr>
          </w:p>
        </w:tc>
        <w:tc>
          <w:tcPr>
            <w:tcW w:w="579" w:type="dxa"/>
            <w:vMerge w:val="continue"/>
            <w:tcBorders>
              <w:top w:val="nil"/>
            </w:tcBorders>
            <w:vAlign w:val="top"/>
          </w:tcPr>
          <w:p w14:paraId="344AC246">
            <w:pPr>
              <w:rPr>
                <w:rFonts w:ascii="Arial"/>
                <w:sz w:val="21"/>
              </w:rPr>
            </w:pPr>
          </w:p>
        </w:tc>
        <w:tc>
          <w:tcPr>
            <w:tcW w:w="350" w:type="dxa"/>
            <w:textDirection w:val="tbRlV"/>
            <w:vAlign w:val="top"/>
          </w:tcPr>
          <w:p w14:paraId="282A958A">
            <w:pPr>
              <w:pStyle w:val="6"/>
              <w:spacing w:before="126" w:line="201" w:lineRule="auto"/>
              <w:rPr>
                <w:sz w:val="21"/>
                <w:szCs w:val="21"/>
              </w:rPr>
            </w:pPr>
            <w:r>
              <w:rPr>
                <w:spacing w:val="-2"/>
                <w:sz w:val="21"/>
                <w:szCs w:val="21"/>
              </w:rPr>
              <w:t>环</w:t>
            </w:r>
            <w:r>
              <w:rPr>
                <w:spacing w:val="-9"/>
                <w:sz w:val="21"/>
                <w:szCs w:val="21"/>
              </w:rPr>
              <w:t xml:space="preserve"> </w:t>
            </w:r>
            <w:r>
              <w:rPr>
                <w:spacing w:val="-2"/>
                <w:sz w:val="21"/>
                <w:szCs w:val="21"/>
              </w:rPr>
              <w:t>境</w:t>
            </w:r>
            <w:r>
              <w:rPr>
                <w:spacing w:val="-10"/>
                <w:sz w:val="21"/>
                <w:szCs w:val="21"/>
              </w:rPr>
              <w:t xml:space="preserve"> </w:t>
            </w:r>
            <w:r>
              <w:rPr>
                <w:spacing w:val="-2"/>
                <w:sz w:val="21"/>
                <w:szCs w:val="21"/>
              </w:rPr>
              <w:t>风</w:t>
            </w:r>
          </w:p>
        </w:tc>
        <w:tc>
          <w:tcPr>
            <w:tcW w:w="3995" w:type="dxa"/>
            <w:vAlign w:val="top"/>
          </w:tcPr>
          <w:p w14:paraId="608B6F0C">
            <w:pPr>
              <w:pStyle w:val="6"/>
              <w:spacing w:before="29" w:line="230" w:lineRule="auto"/>
              <w:ind w:left="12" w:firstLine="29"/>
              <w:jc w:val="both"/>
              <w:rPr>
                <w:sz w:val="21"/>
                <w:szCs w:val="21"/>
              </w:rPr>
            </w:pPr>
            <w:r>
              <w:rPr>
                <w:spacing w:val="-3"/>
                <w:sz w:val="21"/>
                <w:szCs w:val="21"/>
              </w:rPr>
              <w:t>1.以南盘江、北盘江、牛栏江流域为重点，</w:t>
            </w:r>
            <w:r>
              <w:rPr>
                <w:spacing w:val="12"/>
                <w:sz w:val="21"/>
                <w:szCs w:val="21"/>
              </w:rPr>
              <w:t xml:space="preserve"> </w:t>
            </w:r>
            <w:r>
              <w:rPr>
                <w:spacing w:val="-4"/>
                <w:sz w:val="21"/>
                <w:szCs w:val="21"/>
              </w:rPr>
              <w:t>按规范开展流域工业企业、工业集聚区环境</w:t>
            </w:r>
            <w:r>
              <w:rPr>
                <w:spacing w:val="13"/>
                <w:sz w:val="21"/>
                <w:szCs w:val="21"/>
              </w:rPr>
              <w:t xml:space="preserve"> </w:t>
            </w:r>
            <w:r>
              <w:rPr>
                <w:spacing w:val="-3"/>
                <w:sz w:val="21"/>
                <w:szCs w:val="21"/>
              </w:rPr>
              <w:t>风险评估，落实防控措施。2.开展麒沾马区</w:t>
            </w:r>
          </w:p>
        </w:tc>
        <w:tc>
          <w:tcPr>
            <w:tcW w:w="2228" w:type="dxa"/>
            <w:vAlign w:val="top"/>
          </w:tcPr>
          <w:p w14:paraId="5B87F004">
            <w:pPr>
              <w:pStyle w:val="6"/>
              <w:spacing w:before="29" w:line="230" w:lineRule="auto"/>
              <w:ind w:left="47" w:firstLine="9"/>
              <w:jc w:val="both"/>
              <w:rPr>
                <w:sz w:val="21"/>
                <w:szCs w:val="21"/>
              </w:rPr>
            </w:pPr>
            <w:r>
              <w:rPr>
                <w:spacing w:val="-12"/>
                <w:sz w:val="21"/>
                <w:szCs w:val="21"/>
              </w:rPr>
              <w:t>1、本项目有完备的污染</w:t>
            </w:r>
            <w:r>
              <w:rPr>
                <w:spacing w:val="7"/>
                <w:sz w:val="21"/>
                <w:szCs w:val="21"/>
              </w:rPr>
              <w:t xml:space="preserve"> </w:t>
            </w:r>
            <w:r>
              <w:rPr>
                <w:spacing w:val="-4"/>
                <w:sz w:val="21"/>
                <w:szCs w:val="21"/>
              </w:rPr>
              <w:t>防治机制(制度、设施、</w:t>
            </w:r>
            <w:r>
              <w:rPr>
                <w:spacing w:val="8"/>
                <w:sz w:val="21"/>
                <w:szCs w:val="21"/>
              </w:rPr>
              <w:t xml:space="preserve"> </w:t>
            </w:r>
            <w:r>
              <w:rPr>
                <w:spacing w:val="-6"/>
                <w:sz w:val="21"/>
                <w:szCs w:val="21"/>
              </w:rPr>
              <w:t>人员等),后续将按要</w:t>
            </w:r>
          </w:p>
        </w:tc>
        <w:tc>
          <w:tcPr>
            <w:tcW w:w="574" w:type="dxa"/>
            <w:vAlign w:val="top"/>
          </w:tcPr>
          <w:p w14:paraId="35DDC07E">
            <w:pPr>
              <w:spacing w:line="248" w:lineRule="auto"/>
              <w:rPr>
                <w:rFonts w:ascii="Arial"/>
                <w:sz w:val="21"/>
              </w:rPr>
            </w:pPr>
          </w:p>
          <w:p w14:paraId="791E0EA9">
            <w:pPr>
              <w:pStyle w:val="6"/>
              <w:spacing w:before="69" w:line="219" w:lineRule="auto"/>
              <w:ind w:left="39"/>
              <w:rPr>
                <w:sz w:val="21"/>
                <w:szCs w:val="21"/>
              </w:rPr>
            </w:pPr>
            <w:r>
              <w:rPr>
                <w:spacing w:val="-3"/>
                <w:sz w:val="21"/>
                <w:szCs w:val="21"/>
              </w:rPr>
              <w:t>符合</w:t>
            </w:r>
          </w:p>
        </w:tc>
      </w:tr>
    </w:tbl>
    <w:p w14:paraId="699A5646">
      <w:pPr>
        <w:pStyle w:val="2"/>
      </w:pPr>
    </w:p>
    <w:p w14:paraId="4CFA7559">
      <w:pPr>
        <w:sectPr>
          <w:footerReference r:id="rId28" w:type="default"/>
          <w:pgSz w:w="11910" w:h="16830"/>
          <w:pgMar w:top="400" w:right="1504" w:bottom="1245" w:left="1415" w:header="0" w:footer="1083" w:gutter="0"/>
          <w:cols w:space="720" w:num="1"/>
        </w:sectPr>
      </w:pPr>
    </w:p>
    <w:p w14:paraId="710999B8">
      <w:pPr>
        <w:spacing w:before="18"/>
      </w:pPr>
    </w:p>
    <w:p w14:paraId="533D70D3">
      <w:pPr>
        <w:spacing w:before="18"/>
      </w:pPr>
    </w:p>
    <w:p w14:paraId="3645C211">
      <w:pPr>
        <w:spacing w:before="17"/>
      </w:pPr>
    </w:p>
    <w:p w14:paraId="6883BBE7">
      <w:pPr>
        <w:spacing w:before="17"/>
      </w:pPr>
    </w:p>
    <w:p w14:paraId="0F247FE2">
      <w:pPr>
        <w:spacing w:before="17"/>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559"/>
        <w:gridCol w:w="370"/>
        <w:gridCol w:w="4005"/>
        <w:gridCol w:w="2208"/>
        <w:gridCol w:w="574"/>
      </w:tblGrid>
      <w:tr w14:paraId="657E9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0" w:hRule="atLeast"/>
        </w:trPr>
        <w:tc>
          <w:tcPr>
            <w:tcW w:w="1254" w:type="dxa"/>
            <w:vMerge w:val="restart"/>
            <w:tcBorders>
              <w:bottom w:val="nil"/>
            </w:tcBorders>
            <w:vAlign w:val="top"/>
          </w:tcPr>
          <w:p w14:paraId="0D92783A">
            <w:pPr>
              <w:rPr>
                <w:rFonts w:ascii="Arial"/>
                <w:sz w:val="21"/>
              </w:rPr>
            </w:pPr>
          </w:p>
        </w:tc>
        <w:tc>
          <w:tcPr>
            <w:tcW w:w="559" w:type="dxa"/>
            <w:vMerge w:val="restart"/>
            <w:tcBorders>
              <w:bottom w:val="nil"/>
            </w:tcBorders>
            <w:vAlign w:val="top"/>
          </w:tcPr>
          <w:p w14:paraId="22608092">
            <w:pPr>
              <w:rPr>
                <w:rFonts w:ascii="Arial"/>
                <w:sz w:val="21"/>
              </w:rPr>
            </w:pPr>
          </w:p>
        </w:tc>
        <w:tc>
          <w:tcPr>
            <w:tcW w:w="370" w:type="dxa"/>
            <w:textDirection w:val="tbRlV"/>
            <w:vAlign w:val="top"/>
          </w:tcPr>
          <w:p w14:paraId="2346F881">
            <w:pPr>
              <w:pStyle w:val="6"/>
              <w:spacing w:before="96" w:line="202" w:lineRule="auto"/>
              <w:ind w:left="4"/>
              <w:rPr>
                <w:sz w:val="21"/>
                <w:szCs w:val="21"/>
              </w:rPr>
            </w:pPr>
            <w:r>
              <w:rPr>
                <w:sz w:val="21"/>
                <w:szCs w:val="21"/>
              </w:rPr>
              <w:t>险</w:t>
            </w:r>
            <w:r>
              <w:rPr>
                <w:spacing w:val="-13"/>
                <w:sz w:val="21"/>
                <w:szCs w:val="21"/>
              </w:rPr>
              <w:t xml:space="preserve"> </w:t>
            </w:r>
            <w:r>
              <w:rPr>
                <w:sz w:val="21"/>
                <w:szCs w:val="21"/>
              </w:rPr>
              <w:t>防</w:t>
            </w:r>
            <w:r>
              <w:rPr>
                <w:spacing w:val="-13"/>
                <w:sz w:val="21"/>
                <w:szCs w:val="21"/>
              </w:rPr>
              <w:t xml:space="preserve"> </w:t>
            </w:r>
            <w:r>
              <w:rPr>
                <w:sz w:val="21"/>
                <w:szCs w:val="21"/>
              </w:rPr>
              <w:t>控</w:t>
            </w:r>
          </w:p>
        </w:tc>
        <w:tc>
          <w:tcPr>
            <w:tcW w:w="4005" w:type="dxa"/>
            <w:vAlign w:val="top"/>
          </w:tcPr>
          <w:p w14:paraId="799B2D8B">
            <w:pPr>
              <w:pStyle w:val="6"/>
              <w:spacing w:before="48"/>
              <w:ind w:left="12"/>
              <w:rPr>
                <w:sz w:val="21"/>
                <w:szCs w:val="21"/>
              </w:rPr>
            </w:pPr>
            <w:r>
              <w:rPr>
                <w:spacing w:val="-7"/>
                <w:sz w:val="21"/>
                <w:szCs w:val="21"/>
              </w:rPr>
              <w:t>域大气污染联防联控，逐步推行区域统一规</w:t>
            </w:r>
            <w:r>
              <w:rPr>
                <w:spacing w:val="6"/>
                <w:sz w:val="21"/>
                <w:szCs w:val="21"/>
              </w:rPr>
              <w:t xml:space="preserve">  </w:t>
            </w:r>
            <w:r>
              <w:rPr>
                <w:spacing w:val="-5"/>
                <w:sz w:val="21"/>
                <w:szCs w:val="21"/>
              </w:rPr>
              <w:t>划，统一监测，实行协同的环境准入、落后</w:t>
            </w:r>
            <w:r>
              <w:rPr>
                <w:sz w:val="21"/>
                <w:szCs w:val="21"/>
              </w:rPr>
              <w:t xml:space="preserve">  </w:t>
            </w:r>
            <w:r>
              <w:rPr>
                <w:spacing w:val="-7"/>
                <w:sz w:val="21"/>
                <w:szCs w:val="21"/>
              </w:rPr>
              <w:t>产能淘汰、机动车环境管理政策和考核评估</w:t>
            </w:r>
            <w:r>
              <w:rPr>
                <w:spacing w:val="7"/>
                <w:sz w:val="21"/>
                <w:szCs w:val="21"/>
              </w:rPr>
              <w:t xml:space="preserve">  </w:t>
            </w:r>
            <w:r>
              <w:rPr>
                <w:spacing w:val="-2"/>
                <w:sz w:val="21"/>
                <w:szCs w:val="21"/>
              </w:rPr>
              <w:t>制度。3.建立和完善与临界州(市)跨流域</w:t>
            </w:r>
            <w:r>
              <w:rPr>
                <w:spacing w:val="4"/>
                <w:sz w:val="21"/>
                <w:szCs w:val="21"/>
              </w:rPr>
              <w:t xml:space="preserve">   </w:t>
            </w:r>
            <w:r>
              <w:rPr>
                <w:spacing w:val="-6"/>
                <w:sz w:val="21"/>
                <w:szCs w:val="21"/>
              </w:rPr>
              <w:t>上下游突发水污染事件联防联控机制，提升</w:t>
            </w:r>
            <w:r>
              <w:rPr>
                <w:spacing w:val="7"/>
                <w:sz w:val="21"/>
                <w:szCs w:val="21"/>
              </w:rPr>
              <w:t xml:space="preserve">  </w:t>
            </w:r>
            <w:r>
              <w:rPr>
                <w:spacing w:val="-6"/>
                <w:sz w:val="21"/>
                <w:szCs w:val="21"/>
              </w:rPr>
              <w:t>应急联防联控水平。4.强化大气污染分区分</w:t>
            </w:r>
            <w:r>
              <w:rPr>
                <w:sz w:val="21"/>
                <w:szCs w:val="21"/>
              </w:rPr>
              <w:t xml:space="preserve">  </w:t>
            </w:r>
            <w:r>
              <w:rPr>
                <w:spacing w:val="-6"/>
                <w:sz w:val="21"/>
                <w:szCs w:val="21"/>
              </w:rPr>
              <w:t>时分类差异化精细化协同管控，加强监测预</w:t>
            </w:r>
            <w:r>
              <w:rPr>
                <w:spacing w:val="6"/>
                <w:sz w:val="21"/>
                <w:szCs w:val="21"/>
              </w:rPr>
              <w:t xml:space="preserve">  </w:t>
            </w:r>
            <w:r>
              <w:rPr>
                <w:spacing w:val="-1"/>
                <w:sz w:val="21"/>
                <w:szCs w:val="21"/>
              </w:rPr>
              <w:t>警应急能力建设，及时采取差异化管控措</w:t>
            </w:r>
            <w:r>
              <w:rPr>
                <w:spacing w:val="4"/>
                <w:sz w:val="21"/>
                <w:szCs w:val="21"/>
              </w:rPr>
              <w:t xml:space="preserve">   </w:t>
            </w:r>
            <w:r>
              <w:rPr>
                <w:sz w:val="21"/>
                <w:szCs w:val="21"/>
              </w:rPr>
              <w:t>施。5.逐步建成全市土壤环境质量监测网</w:t>
            </w:r>
            <w:r>
              <w:rPr>
                <w:spacing w:val="1"/>
                <w:sz w:val="21"/>
                <w:szCs w:val="21"/>
              </w:rPr>
              <w:t xml:space="preserve">   </w:t>
            </w:r>
            <w:r>
              <w:rPr>
                <w:sz w:val="21"/>
                <w:szCs w:val="21"/>
              </w:rPr>
              <w:t xml:space="preserve">络，推进各县(市、区)土壤环境质量监测   </w:t>
            </w:r>
            <w:r>
              <w:rPr>
                <w:spacing w:val="-5"/>
                <w:sz w:val="21"/>
                <w:szCs w:val="21"/>
              </w:rPr>
              <w:t>点位全覆盖；有色金属矿采选、有色金属冶</w:t>
            </w:r>
            <w:r>
              <w:rPr>
                <w:sz w:val="21"/>
                <w:szCs w:val="21"/>
              </w:rPr>
              <w:t xml:space="preserve">  </w:t>
            </w:r>
            <w:r>
              <w:rPr>
                <w:spacing w:val="-1"/>
                <w:sz w:val="21"/>
                <w:szCs w:val="21"/>
              </w:rPr>
              <w:t>炼、石油加工、化工、农药、焦化、电镀、</w:t>
            </w:r>
            <w:r>
              <w:rPr>
                <w:spacing w:val="10"/>
                <w:sz w:val="21"/>
                <w:szCs w:val="21"/>
              </w:rPr>
              <w:t xml:space="preserve"> </w:t>
            </w:r>
            <w:r>
              <w:rPr>
                <w:spacing w:val="-7"/>
                <w:sz w:val="21"/>
                <w:szCs w:val="21"/>
              </w:rPr>
              <w:t>制革、印染、危险废物处置等行业企业拆除</w:t>
            </w:r>
            <w:r>
              <w:rPr>
                <w:spacing w:val="6"/>
                <w:sz w:val="21"/>
                <w:szCs w:val="21"/>
              </w:rPr>
              <w:t xml:space="preserve">  </w:t>
            </w:r>
            <w:r>
              <w:rPr>
                <w:spacing w:val="-6"/>
                <w:sz w:val="21"/>
                <w:szCs w:val="21"/>
              </w:rPr>
              <w:t>生产设施设备、构筑物和污染治理设施，要</w:t>
            </w:r>
            <w:r>
              <w:rPr>
                <w:spacing w:val="7"/>
                <w:sz w:val="21"/>
                <w:szCs w:val="21"/>
              </w:rPr>
              <w:t xml:space="preserve">  </w:t>
            </w:r>
            <w:r>
              <w:rPr>
                <w:spacing w:val="-4"/>
                <w:sz w:val="21"/>
                <w:szCs w:val="21"/>
              </w:rPr>
              <w:t>事先制定残留污染物清理和安全处置方案。</w:t>
            </w:r>
          </w:p>
          <w:p w14:paraId="36C9F858">
            <w:pPr>
              <w:pStyle w:val="6"/>
              <w:spacing w:before="1" w:line="233" w:lineRule="auto"/>
              <w:ind w:left="12"/>
              <w:rPr>
                <w:sz w:val="21"/>
                <w:szCs w:val="21"/>
              </w:rPr>
            </w:pPr>
            <w:r>
              <w:rPr>
                <w:spacing w:val="-1"/>
                <w:sz w:val="21"/>
                <w:szCs w:val="21"/>
              </w:rPr>
              <w:t>6.加强环境风险防控和应急管理，制定和完</w:t>
            </w:r>
            <w:r>
              <w:rPr>
                <w:spacing w:val="9"/>
                <w:sz w:val="21"/>
                <w:szCs w:val="21"/>
              </w:rPr>
              <w:t xml:space="preserve"> </w:t>
            </w:r>
            <w:r>
              <w:rPr>
                <w:spacing w:val="4"/>
                <w:sz w:val="21"/>
                <w:szCs w:val="21"/>
              </w:rPr>
              <w:t>善突发环境事件和集中式饮用水水源地突</w:t>
            </w:r>
            <w:r>
              <w:rPr>
                <w:spacing w:val="6"/>
                <w:sz w:val="21"/>
                <w:szCs w:val="21"/>
              </w:rPr>
              <w:t xml:space="preserve">  </w:t>
            </w:r>
            <w:r>
              <w:rPr>
                <w:spacing w:val="-1"/>
                <w:sz w:val="21"/>
                <w:szCs w:val="21"/>
              </w:rPr>
              <w:t>发环境事件应急预案，加强风险防控和突发</w:t>
            </w:r>
            <w:r>
              <w:rPr>
                <w:spacing w:val="6"/>
                <w:sz w:val="21"/>
                <w:szCs w:val="21"/>
              </w:rPr>
              <w:t xml:space="preserve"> </w:t>
            </w:r>
            <w:r>
              <w:rPr>
                <w:spacing w:val="-2"/>
                <w:sz w:val="21"/>
                <w:szCs w:val="21"/>
              </w:rPr>
              <w:t>环境事件应急处理处置能力。7.严格管控类</w:t>
            </w:r>
            <w:r>
              <w:rPr>
                <w:spacing w:val="10"/>
                <w:sz w:val="21"/>
                <w:szCs w:val="21"/>
              </w:rPr>
              <w:t xml:space="preserve"> </w:t>
            </w:r>
            <w:r>
              <w:rPr>
                <w:spacing w:val="-1"/>
                <w:sz w:val="21"/>
                <w:szCs w:val="21"/>
              </w:rPr>
              <w:t>农用地，重金属超标区域严禁种植食用农产</w:t>
            </w:r>
            <w:r>
              <w:rPr>
                <w:spacing w:val="10"/>
                <w:sz w:val="21"/>
                <w:szCs w:val="21"/>
              </w:rPr>
              <w:t xml:space="preserve"> </w:t>
            </w:r>
            <w:r>
              <w:rPr>
                <w:spacing w:val="-1"/>
                <w:sz w:val="21"/>
                <w:szCs w:val="21"/>
              </w:rPr>
              <w:t>品；涉重金属、持久性有机物等有毒有害污</w:t>
            </w:r>
            <w:r>
              <w:rPr>
                <w:spacing w:val="8"/>
                <w:sz w:val="21"/>
                <w:szCs w:val="21"/>
              </w:rPr>
              <w:t xml:space="preserve"> </w:t>
            </w:r>
            <w:r>
              <w:rPr>
                <w:spacing w:val="-1"/>
                <w:sz w:val="21"/>
                <w:szCs w:val="21"/>
              </w:rPr>
              <w:t>染物工业企业退出用地，须经评估符合建设</w:t>
            </w:r>
            <w:r>
              <w:rPr>
                <w:spacing w:val="7"/>
                <w:sz w:val="21"/>
                <w:szCs w:val="21"/>
              </w:rPr>
              <w:t xml:space="preserve"> </w:t>
            </w:r>
            <w:r>
              <w:rPr>
                <w:spacing w:val="-2"/>
                <w:sz w:val="21"/>
                <w:szCs w:val="21"/>
              </w:rPr>
              <w:t>用地、农用地土壤环境质量相关要求后，方</w:t>
            </w:r>
            <w:r>
              <w:rPr>
                <w:spacing w:val="7"/>
                <w:sz w:val="21"/>
                <w:szCs w:val="21"/>
              </w:rPr>
              <w:t xml:space="preserve"> </w:t>
            </w:r>
            <w:r>
              <w:rPr>
                <w:spacing w:val="1"/>
                <w:sz w:val="21"/>
                <w:szCs w:val="21"/>
              </w:rPr>
              <w:t>可用于居住或农业用地。</w:t>
            </w:r>
          </w:p>
        </w:tc>
        <w:tc>
          <w:tcPr>
            <w:tcW w:w="2208" w:type="dxa"/>
            <w:vAlign w:val="top"/>
          </w:tcPr>
          <w:p w14:paraId="48FE8CEF">
            <w:pPr>
              <w:pStyle w:val="6"/>
              <w:spacing w:before="54" w:line="234" w:lineRule="auto"/>
              <w:ind w:left="16" w:right="40" w:firstLine="10"/>
              <w:jc w:val="both"/>
              <w:rPr>
                <w:sz w:val="21"/>
                <w:szCs w:val="21"/>
              </w:rPr>
            </w:pPr>
            <w:r>
              <w:rPr>
                <w:spacing w:val="-1"/>
                <w:sz w:val="21"/>
                <w:szCs w:val="21"/>
              </w:rPr>
              <w:t>求编制突发环境事件应</w:t>
            </w:r>
            <w:r>
              <w:rPr>
                <w:sz w:val="21"/>
                <w:szCs w:val="21"/>
              </w:rPr>
              <w:t xml:space="preserve"> </w:t>
            </w:r>
            <w:r>
              <w:rPr>
                <w:spacing w:val="4"/>
                <w:sz w:val="21"/>
                <w:szCs w:val="21"/>
              </w:rPr>
              <w:t>急预案，并报当地生态</w:t>
            </w:r>
            <w:r>
              <w:rPr>
                <w:sz w:val="21"/>
                <w:szCs w:val="21"/>
              </w:rPr>
              <w:t xml:space="preserve"> </w:t>
            </w:r>
            <w:r>
              <w:rPr>
                <w:spacing w:val="14"/>
                <w:sz w:val="21"/>
                <w:szCs w:val="21"/>
              </w:rPr>
              <w:t>环境部门备案；</w:t>
            </w:r>
          </w:p>
          <w:p w14:paraId="63327E4D">
            <w:pPr>
              <w:pStyle w:val="6"/>
              <w:spacing w:before="2" w:line="234" w:lineRule="auto"/>
              <w:ind w:left="25" w:hanging="9"/>
              <w:rPr>
                <w:sz w:val="21"/>
                <w:szCs w:val="21"/>
              </w:rPr>
            </w:pPr>
            <w:r>
              <w:rPr>
                <w:spacing w:val="-3"/>
                <w:sz w:val="21"/>
                <w:szCs w:val="21"/>
              </w:rPr>
              <w:t>2、项目位于陆良县，不</w:t>
            </w:r>
            <w:r>
              <w:rPr>
                <w:spacing w:val="8"/>
                <w:sz w:val="21"/>
                <w:szCs w:val="21"/>
              </w:rPr>
              <w:t xml:space="preserve"> </w:t>
            </w:r>
            <w:r>
              <w:rPr>
                <w:sz w:val="21"/>
                <w:szCs w:val="21"/>
              </w:rPr>
              <w:t>属于条例中所述麒沾马</w:t>
            </w:r>
            <w:r>
              <w:rPr>
                <w:spacing w:val="5"/>
                <w:sz w:val="21"/>
                <w:szCs w:val="21"/>
              </w:rPr>
              <w:t xml:space="preserve"> </w:t>
            </w:r>
            <w:r>
              <w:rPr>
                <w:spacing w:val="-9"/>
                <w:sz w:val="21"/>
                <w:szCs w:val="21"/>
              </w:rPr>
              <w:t>区 域</w:t>
            </w:r>
            <w:r>
              <w:rPr>
                <w:spacing w:val="-15"/>
                <w:sz w:val="21"/>
                <w:szCs w:val="21"/>
              </w:rPr>
              <w:t xml:space="preserve"> </w:t>
            </w:r>
            <w:r>
              <w:rPr>
                <w:spacing w:val="-9"/>
                <w:sz w:val="21"/>
                <w:szCs w:val="21"/>
              </w:rPr>
              <w:t>；</w:t>
            </w:r>
          </w:p>
          <w:p w14:paraId="27278453">
            <w:pPr>
              <w:pStyle w:val="6"/>
              <w:spacing w:before="17" w:line="219" w:lineRule="auto"/>
              <w:ind w:left="16"/>
              <w:rPr>
                <w:sz w:val="21"/>
                <w:szCs w:val="21"/>
              </w:rPr>
            </w:pPr>
            <w:r>
              <w:rPr>
                <w:spacing w:val="11"/>
                <w:sz w:val="21"/>
                <w:szCs w:val="21"/>
              </w:rPr>
              <w:t>3、本项目不涉及；</w:t>
            </w:r>
          </w:p>
          <w:p w14:paraId="74AD0AB2">
            <w:pPr>
              <w:pStyle w:val="6"/>
              <w:spacing w:before="23" w:line="232" w:lineRule="auto"/>
              <w:ind w:left="45" w:hanging="29"/>
              <w:rPr>
                <w:sz w:val="21"/>
                <w:szCs w:val="21"/>
              </w:rPr>
            </w:pPr>
            <w:r>
              <w:rPr>
                <w:spacing w:val="-3"/>
                <w:sz w:val="21"/>
                <w:szCs w:val="21"/>
              </w:rPr>
              <w:t>4、本项目不涉及且项目</w:t>
            </w:r>
            <w:r>
              <w:rPr>
                <w:spacing w:val="8"/>
                <w:sz w:val="21"/>
                <w:szCs w:val="21"/>
              </w:rPr>
              <w:t xml:space="preserve"> </w:t>
            </w:r>
            <w:r>
              <w:rPr>
                <w:spacing w:val="-5"/>
                <w:sz w:val="21"/>
                <w:szCs w:val="21"/>
              </w:rPr>
              <w:t>运营过程不产生工业废</w:t>
            </w:r>
            <w:r>
              <w:rPr>
                <w:spacing w:val="2"/>
                <w:sz w:val="21"/>
                <w:szCs w:val="21"/>
              </w:rPr>
              <w:t xml:space="preserve">  </w:t>
            </w:r>
            <w:r>
              <w:rPr>
                <w:spacing w:val="-2"/>
                <w:sz w:val="21"/>
                <w:szCs w:val="21"/>
              </w:rPr>
              <w:t>气</w:t>
            </w:r>
            <w:r>
              <w:rPr>
                <w:spacing w:val="55"/>
                <w:sz w:val="21"/>
                <w:szCs w:val="21"/>
              </w:rPr>
              <w:t xml:space="preserve"> </w:t>
            </w:r>
            <w:r>
              <w:rPr>
                <w:spacing w:val="-2"/>
                <w:sz w:val="21"/>
                <w:szCs w:val="21"/>
              </w:rPr>
              <w:t>；</w:t>
            </w:r>
          </w:p>
          <w:p w14:paraId="366F7474">
            <w:pPr>
              <w:pStyle w:val="6"/>
              <w:spacing w:before="27" w:line="236" w:lineRule="auto"/>
              <w:ind w:left="35" w:hanging="19"/>
              <w:rPr>
                <w:sz w:val="21"/>
                <w:szCs w:val="21"/>
              </w:rPr>
            </w:pPr>
            <w:r>
              <w:rPr>
                <w:spacing w:val="-6"/>
                <w:sz w:val="21"/>
                <w:szCs w:val="21"/>
              </w:rPr>
              <w:t>5、本项目为光伏发电项</w:t>
            </w:r>
            <w:r>
              <w:rPr>
                <w:sz w:val="21"/>
                <w:szCs w:val="21"/>
              </w:rPr>
              <w:t xml:space="preserve"> </w:t>
            </w:r>
            <w:r>
              <w:rPr>
                <w:spacing w:val="-3"/>
                <w:sz w:val="21"/>
                <w:szCs w:val="21"/>
              </w:rPr>
              <w:t>目，不属于条例中所述</w:t>
            </w:r>
            <w:r>
              <w:rPr>
                <w:spacing w:val="5"/>
                <w:sz w:val="21"/>
                <w:szCs w:val="21"/>
              </w:rPr>
              <w:t xml:space="preserve"> </w:t>
            </w:r>
            <w:r>
              <w:rPr>
                <w:spacing w:val="-6"/>
                <w:sz w:val="21"/>
                <w:szCs w:val="21"/>
              </w:rPr>
              <w:t>有色金属矿采选、有色</w:t>
            </w:r>
            <w:r>
              <w:rPr>
                <w:sz w:val="21"/>
                <w:szCs w:val="21"/>
              </w:rPr>
              <w:t xml:space="preserve">  </w:t>
            </w:r>
            <w:r>
              <w:rPr>
                <w:spacing w:val="6"/>
                <w:sz w:val="21"/>
                <w:szCs w:val="21"/>
              </w:rPr>
              <w:t>金属冶炼、石油加工、</w:t>
            </w:r>
            <w:r>
              <w:rPr>
                <w:sz w:val="21"/>
                <w:szCs w:val="21"/>
              </w:rPr>
              <w:t xml:space="preserve"> </w:t>
            </w:r>
            <w:r>
              <w:rPr>
                <w:spacing w:val="-3"/>
                <w:sz w:val="21"/>
                <w:szCs w:val="21"/>
              </w:rPr>
              <w:t>化工、农药、焦化、电</w:t>
            </w:r>
            <w:r>
              <w:rPr>
                <w:sz w:val="21"/>
                <w:szCs w:val="21"/>
              </w:rPr>
              <w:t xml:space="preserve">  </w:t>
            </w:r>
            <w:r>
              <w:rPr>
                <w:spacing w:val="-5"/>
                <w:sz w:val="21"/>
                <w:szCs w:val="21"/>
              </w:rPr>
              <w:t>镀、制革、印染、危险</w:t>
            </w:r>
            <w:r>
              <w:rPr>
                <w:sz w:val="21"/>
                <w:szCs w:val="21"/>
              </w:rPr>
              <w:t xml:space="preserve">  </w:t>
            </w:r>
            <w:r>
              <w:rPr>
                <w:spacing w:val="9"/>
                <w:sz w:val="21"/>
                <w:szCs w:val="21"/>
              </w:rPr>
              <w:t>废物处置等行业；</w:t>
            </w:r>
          </w:p>
          <w:p w14:paraId="4C4C9237">
            <w:pPr>
              <w:pStyle w:val="6"/>
              <w:spacing w:before="19" w:line="236" w:lineRule="auto"/>
              <w:ind w:left="46" w:right="167" w:hanging="30"/>
              <w:rPr>
                <w:sz w:val="21"/>
                <w:szCs w:val="21"/>
              </w:rPr>
            </w:pPr>
            <w:r>
              <w:rPr>
                <w:spacing w:val="-1"/>
                <w:sz w:val="21"/>
                <w:szCs w:val="21"/>
              </w:rPr>
              <w:t>6、本项目有完备的污</w:t>
            </w:r>
            <w:r>
              <w:rPr>
                <w:sz w:val="21"/>
                <w:szCs w:val="21"/>
              </w:rPr>
              <w:t xml:space="preserve"> </w:t>
            </w:r>
            <w:r>
              <w:rPr>
                <w:spacing w:val="-2"/>
                <w:sz w:val="21"/>
                <w:szCs w:val="21"/>
              </w:rPr>
              <w:t>染防治机制(制度、设</w:t>
            </w:r>
            <w:r>
              <w:rPr>
                <w:spacing w:val="7"/>
                <w:sz w:val="21"/>
                <w:szCs w:val="21"/>
              </w:rPr>
              <w:t xml:space="preserve"> </w:t>
            </w:r>
            <w:r>
              <w:rPr>
                <w:spacing w:val="-1"/>
                <w:sz w:val="21"/>
                <w:szCs w:val="21"/>
              </w:rPr>
              <w:t>施、人员等),后续将</w:t>
            </w:r>
          </w:p>
          <w:p w14:paraId="09EFA240">
            <w:pPr>
              <w:pStyle w:val="6"/>
              <w:spacing w:before="28" w:line="228" w:lineRule="auto"/>
              <w:ind w:left="37" w:right="60" w:firstLine="10"/>
              <w:rPr>
                <w:sz w:val="21"/>
                <w:szCs w:val="21"/>
              </w:rPr>
            </w:pPr>
            <w:r>
              <w:rPr>
                <w:spacing w:val="-1"/>
                <w:sz w:val="21"/>
                <w:szCs w:val="21"/>
              </w:rPr>
              <w:t>按要求编制突发环境事</w:t>
            </w:r>
            <w:r>
              <w:rPr>
                <w:sz w:val="21"/>
                <w:szCs w:val="21"/>
              </w:rPr>
              <w:t xml:space="preserve"> </w:t>
            </w:r>
            <w:r>
              <w:rPr>
                <w:spacing w:val="-1"/>
                <w:sz w:val="21"/>
                <w:szCs w:val="21"/>
              </w:rPr>
              <w:t>件应急预案，并报当地</w:t>
            </w:r>
            <w:r>
              <w:rPr>
                <w:spacing w:val="1"/>
                <w:sz w:val="21"/>
                <w:szCs w:val="21"/>
              </w:rPr>
              <w:t xml:space="preserve"> </w:t>
            </w:r>
            <w:r>
              <w:rPr>
                <w:spacing w:val="12"/>
                <w:sz w:val="21"/>
                <w:szCs w:val="21"/>
              </w:rPr>
              <w:t>生态环境部门备案；</w:t>
            </w:r>
          </w:p>
          <w:p w14:paraId="6BADDB1F">
            <w:pPr>
              <w:pStyle w:val="6"/>
              <w:spacing w:before="40" w:line="191" w:lineRule="auto"/>
              <w:ind w:left="26"/>
              <w:rPr>
                <w:sz w:val="21"/>
                <w:szCs w:val="21"/>
              </w:rPr>
            </w:pPr>
            <w:r>
              <w:rPr>
                <w:spacing w:val="11"/>
                <w:sz w:val="21"/>
                <w:szCs w:val="21"/>
              </w:rPr>
              <w:t>7、本项目不涉及；</w:t>
            </w:r>
          </w:p>
        </w:tc>
        <w:tc>
          <w:tcPr>
            <w:tcW w:w="574" w:type="dxa"/>
            <w:vAlign w:val="top"/>
          </w:tcPr>
          <w:p w14:paraId="546FB6BB">
            <w:pPr>
              <w:rPr>
                <w:rFonts w:ascii="Arial"/>
                <w:sz w:val="21"/>
              </w:rPr>
            </w:pPr>
          </w:p>
        </w:tc>
      </w:tr>
      <w:tr w14:paraId="45976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0" w:hRule="atLeast"/>
        </w:trPr>
        <w:tc>
          <w:tcPr>
            <w:tcW w:w="1254" w:type="dxa"/>
            <w:vMerge w:val="continue"/>
            <w:tcBorders>
              <w:top w:val="nil"/>
            </w:tcBorders>
            <w:vAlign w:val="top"/>
          </w:tcPr>
          <w:p w14:paraId="3944DBBA">
            <w:pPr>
              <w:rPr>
                <w:rFonts w:ascii="Arial"/>
                <w:sz w:val="21"/>
              </w:rPr>
            </w:pPr>
          </w:p>
        </w:tc>
        <w:tc>
          <w:tcPr>
            <w:tcW w:w="559" w:type="dxa"/>
            <w:vMerge w:val="continue"/>
            <w:tcBorders>
              <w:top w:val="nil"/>
            </w:tcBorders>
            <w:vAlign w:val="top"/>
          </w:tcPr>
          <w:p w14:paraId="1405EC5B">
            <w:pPr>
              <w:rPr>
                <w:rFonts w:ascii="Arial"/>
                <w:sz w:val="21"/>
              </w:rPr>
            </w:pPr>
          </w:p>
        </w:tc>
        <w:tc>
          <w:tcPr>
            <w:tcW w:w="370" w:type="dxa"/>
            <w:textDirection w:val="tbRlV"/>
            <w:vAlign w:val="top"/>
          </w:tcPr>
          <w:p w14:paraId="743ED92B">
            <w:pPr>
              <w:pStyle w:val="6"/>
              <w:spacing w:before="136" w:line="201" w:lineRule="auto"/>
              <w:ind w:left="2594"/>
              <w:rPr>
                <w:sz w:val="21"/>
                <w:szCs w:val="21"/>
              </w:rPr>
            </w:pPr>
            <w:r>
              <w:rPr>
                <w:spacing w:val="-1"/>
                <w:sz w:val="21"/>
                <w:szCs w:val="21"/>
              </w:rPr>
              <w:t>资</w:t>
            </w:r>
            <w:r>
              <w:rPr>
                <w:spacing w:val="-26"/>
                <w:sz w:val="21"/>
                <w:szCs w:val="21"/>
              </w:rPr>
              <w:t xml:space="preserve"> </w:t>
            </w:r>
            <w:r>
              <w:rPr>
                <w:spacing w:val="-1"/>
                <w:sz w:val="21"/>
                <w:szCs w:val="21"/>
              </w:rPr>
              <w:t>源</w:t>
            </w:r>
            <w:r>
              <w:rPr>
                <w:spacing w:val="-30"/>
                <w:sz w:val="21"/>
                <w:szCs w:val="21"/>
              </w:rPr>
              <w:t xml:space="preserve"> </w:t>
            </w:r>
            <w:r>
              <w:rPr>
                <w:spacing w:val="-1"/>
                <w:sz w:val="21"/>
                <w:szCs w:val="21"/>
              </w:rPr>
              <w:t>利</w:t>
            </w:r>
            <w:r>
              <w:rPr>
                <w:spacing w:val="-30"/>
                <w:sz w:val="21"/>
                <w:szCs w:val="21"/>
              </w:rPr>
              <w:t xml:space="preserve"> </w:t>
            </w:r>
            <w:r>
              <w:rPr>
                <w:spacing w:val="-1"/>
                <w:sz w:val="21"/>
                <w:szCs w:val="21"/>
              </w:rPr>
              <w:t>用</w:t>
            </w:r>
            <w:r>
              <w:rPr>
                <w:spacing w:val="-30"/>
                <w:sz w:val="21"/>
                <w:szCs w:val="21"/>
              </w:rPr>
              <w:t xml:space="preserve"> </w:t>
            </w:r>
            <w:r>
              <w:rPr>
                <w:spacing w:val="-1"/>
                <w:sz w:val="21"/>
                <w:szCs w:val="21"/>
              </w:rPr>
              <w:t>效</w:t>
            </w:r>
            <w:r>
              <w:rPr>
                <w:spacing w:val="-30"/>
                <w:sz w:val="21"/>
                <w:szCs w:val="21"/>
              </w:rPr>
              <w:t xml:space="preserve"> </w:t>
            </w:r>
            <w:r>
              <w:rPr>
                <w:spacing w:val="-1"/>
                <w:sz w:val="21"/>
                <w:szCs w:val="21"/>
              </w:rPr>
              <w:t>率</w:t>
            </w:r>
          </w:p>
        </w:tc>
        <w:tc>
          <w:tcPr>
            <w:tcW w:w="4005" w:type="dxa"/>
            <w:vAlign w:val="top"/>
          </w:tcPr>
          <w:p w14:paraId="09A5CF7F">
            <w:pPr>
              <w:pStyle w:val="6"/>
              <w:spacing w:before="59" w:line="239" w:lineRule="auto"/>
              <w:ind w:left="12"/>
              <w:rPr>
                <w:sz w:val="21"/>
                <w:szCs w:val="21"/>
              </w:rPr>
            </w:pPr>
            <w:r>
              <w:rPr>
                <w:spacing w:val="-2"/>
                <w:sz w:val="21"/>
                <w:szCs w:val="21"/>
              </w:rPr>
              <w:t>1.坚持以水而定、量水而行，统筹生活、生</w:t>
            </w:r>
            <w:r>
              <w:rPr>
                <w:spacing w:val="6"/>
                <w:sz w:val="21"/>
                <w:szCs w:val="21"/>
              </w:rPr>
              <w:t xml:space="preserve"> </w:t>
            </w:r>
            <w:r>
              <w:rPr>
                <w:spacing w:val="-3"/>
                <w:sz w:val="21"/>
                <w:szCs w:val="21"/>
              </w:rPr>
              <w:t>产和生态用水，科学合理配置水资源，保障</w:t>
            </w:r>
            <w:r>
              <w:rPr>
                <w:spacing w:val="6"/>
                <w:sz w:val="21"/>
                <w:szCs w:val="21"/>
              </w:rPr>
              <w:t xml:space="preserve"> </w:t>
            </w:r>
            <w:r>
              <w:rPr>
                <w:spacing w:val="-1"/>
                <w:sz w:val="21"/>
                <w:szCs w:val="21"/>
              </w:rPr>
              <w:t>河湖基本生态用水。确定河流生态需水量，</w:t>
            </w:r>
            <w:r>
              <w:rPr>
                <w:spacing w:val="10"/>
                <w:sz w:val="21"/>
                <w:szCs w:val="21"/>
              </w:rPr>
              <w:t xml:space="preserve"> </w:t>
            </w:r>
            <w:r>
              <w:rPr>
                <w:spacing w:val="-2"/>
                <w:sz w:val="21"/>
                <w:szCs w:val="21"/>
              </w:rPr>
              <w:t>确保河流生态系统功能。通过电站引水闸的</w:t>
            </w:r>
            <w:r>
              <w:rPr>
                <w:spacing w:val="11"/>
                <w:sz w:val="21"/>
                <w:szCs w:val="21"/>
              </w:rPr>
              <w:t xml:space="preserve"> </w:t>
            </w:r>
            <w:r>
              <w:rPr>
                <w:spacing w:val="-2"/>
                <w:sz w:val="21"/>
                <w:szCs w:val="21"/>
              </w:rPr>
              <w:t>调节，使最低下泄流量不小于河道所需的最</w:t>
            </w:r>
            <w:r>
              <w:rPr>
                <w:spacing w:val="5"/>
                <w:sz w:val="21"/>
                <w:szCs w:val="21"/>
              </w:rPr>
              <w:t xml:space="preserve"> </w:t>
            </w:r>
            <w:r>
              <w:rPr>
                <w:spacing w:val="-2"/>
                <w:sz w:val="21"/>
                <w:szCs w:val="21"/>
              </w:rPr>
              <w:t>小生态径流，以维持下游生物的最小生态需</w:t>
            </w:r>
            <w:r>
              <w:rPr>
                <w:spacing w:val="8"/>
                <w:sz w:val="21"/>
                <w:szCs w:val="21"/>
              </w:rPr>
              <w:t xml:space="preserve"> </w:t>
            </w:r>
            <w:r>
              <w:rPr>
                <w:spacing w:val="-2"/>
                <w:sz w:val="21"/>
                <w:szCs w:val="21"/>
              </w:rPr>
              <w:t>水，以维持坝下游最小生态需水。2.加强南</w:t>
            </w:r>
            <w:r>
              <w:rPr>
                <w:spacing w:val="7"/>
                <w:sz w:val="21"/>
                <w:szCs w:val="21"/>
              </w:rPr>
              <w:t xml:space="preserve"> </w:t>
            </w:r>
            <w:r>
              <w:rPr>
                <w:spacing w:val="-3"/>
                <w:sz w:val="21"/>
                <w:szCs w:val="21"/>
              </w:rPr>
              <w:t>盘江、北盘江、牛栏江等生态流量保障工程</w:t>
            </w:r>
            <w:r>
              <w:rPr>
                <w:spacing w:val="6"/>
                <w:sz w:val="21"/>
                <w:szCs w:val="21"/>
              </w:rPr>
              <w:t xml:space="preserve"> </w:t>
            </w:r>
            <w:r>
              <w:rPr>
                <w:spacing w:val="-1"/>
                <w:sz w:val="21"/>
                <w:szCs w:val="21"/>
              </w:rPr>
              <w:t>建设，合理安排闸坝下泄水量和泄洪时段，</w:t>
            </w:r>
            <w:r>
              <w:rPr>
                <w:spacing w:val="10"/>
                <w:sz w:val="21"/>
                <w:szCs w:val="21"/>
              </w:rPr>
              <w:t xml:space="preserve"> </w:t>
            </w:r>
            <w:r>
              <w:rPr>
                <w:spacing w:val="-2"/>
                <w:sz w:val="21"/>
                <w:szCs w:val="21"/>
              </w:rPr>
              <w:t>维护河湖基本生态用水需求，重点保障、生</w:t>
            </w:r>
            <w:r>
              <w:rPr>
                <w:spacing w:val="4"/>
                <w:sz w:val="21"/>
                <w:szCs w:val="21"/>
              </w:rPr>
              <w:t xml:space="preserve"> </w:t>
            </w:r>
            <w:r>
              <w:rPr>
                <w:spacing w:val="-3"/>
                <w:sz w:val="21"/>
                <w:szCs w:val="21"/>
              </w:rPr>
              <w:t>态敏感区生态流量。3.加快建设麒麟区、沾</w:t>
            </w:r>
            <w:r>
              <w:rPr>
                <w:spacing w:val="9"/>
                <w:sz w:val="21"/>
                <w:szCs w:val="21"/>
              </w:rPr>
              <w:t xml:space="preserve"> </w:t>
            </w:r>
            <w:r>
              <w:rPr>
                <w:spacing w:val="-2"/>
                <w:sz w:val="21"/>
                <w:szCs w:val="21"/>
              </w:rPr>
              <w:t>益区、马龙区水系连通工程，形成独木水库</w:t>
            </w:r>
            <w:r>
              <w:rPr>
                <w:spacing w:val="9"/>
                <w:sz w:val="21"/>
                <w:szCs w:val="21"/>
              </w:rPr>
              <w:t xml:space="preserve"> </w:t>
            </w:r>
            <w:r>
              <w:rPr>
                <w:spacing w:val="-6"/>
                <w:sz w:val="21"/>
                <w:szCs w:val="21"/>
              </w:rPr>
              <w:t>一水城水库一潇湘水库—潇湘江等6条生</w:t>
            </w:r>
          </w:p>
          <w:p w14:paraId="5482713C">
            <w:pPr>
              <w:pStyle w:val="6"/>
              <w:spacing w:before="1" w:line="237" w:lineRule="auto"/>
              <w:ind w:left="12" w:firstLine="39"/>
              <w:rPr>
                <w:sz w:val="21"/>
                <w:szCs w:val="21"/>
              </w:rPr>
            </w:pPr>
            <w:r>
              <w:rPr>
                <w:spacing w:val="-2"/>
                <w:sz w:val="21"/>
                <w:szCs w:val="21"/>
              </w:rPr>
              <w:t>态流量通道，生态流量月保障程度达到90%</w:t>
            </w:r>
            <w:r>
              <w:rPr>
                <w:sz w:val="21"/>
                <w:szCs w:val="21"/>
              </w:rPr>
              <w:t xml:space="preserve">  </w:t>
            </w:r>
            <w:r>
              <w:rPr>
                <w:spacing w:val="-2"/>
                <w:sz w:val="21"/>
                <w:szCs w:val="21"/>
              </w:rPr>
              <w:t>以上，加强牛栏江流域水资源配置和调度管</w:t>
            </w:r>
            <w:r>
              <w:rPr>
                <w:spacing w:val="16"/>
                <w:sz w:val="21"/>
                <w:szCs w:val="21"/>
              </w:rPr>
              <w:t xml:space="preserve"> </w:t>
            </w:r>
            <w:r>
              <w:rPr>
                <w:spacing w:val="-3"/>
                <w:sz w:val="21"/>
                <w:szCs w:val="21"/>
              </w:rPr>
              <w:t>理，保障公锁、土格樟、黄梨树、黑山河流</w:t>
            </w:r>
            <w:r>
              <w:rPr>
                <w:spacing w:val="13"/>
                <w:sz w:val="21"/>
                <w:szCs w:val="21"/>
              </w:rPr>
              <w:t xml:space="preserve"> </w:t>
            </w:r>
            <w:r>
              <w:rPr>
                <w:spacing w:val="-3"/>
                <w:sz w:val="21"/>
                <w:szCs w:val="21"/>
              </w:rPr>
              <w:t>控制断面和苏斗河水库、金乐水库、长海子</w:t>
            </w:r>
            <w:r>
              <w:rPr>
                <w:spacing w:val="16"/>
                <w:sz w:val="21"/>
                <w:szCs w:val="21"/>
              </w:rPr>
              <w:t xml:space="preserve"> </w:t>
            </w:r>
            <w:r>
              <w:rPr>
                <w:spacing w:val="-1"/>
                <w:sz w:val="21"/>
                <w:szCs w:val="21"/>
              </w:rPr>
              <w:t>水库3个水库控制断面生态基流，确保生态</w:t>
            </w:r>
            <w:r>
              <w:rPr>
                <w:spacing w:val="7"/>
                <w:sz w:val="21"/>
                <w:szCs w:val="21"/>
              </w:rPr>
              <w:t xml:space="preserve">  </w:t>
            </w:r>
            <w:r>
              <w:rPr>
                <w:spacing w:val="-1"/>
                <w:sz w:val="21"/>
                <w:szCs w:val="21"/>
              </w:rPr>
              <w:t>流量泄放，确保德泽水库下泄流量在丰水期</w:t>
            </w:r>
            <w:r>
              <w:rPr>
                <w:sz w:val="21"/>
                <w:szCs w:val="21"/>
              </w:rPr>
              <w:t xml:space="preserve"> </w:t>
            </w:r>
            <w:r>
              <w:rPr>
                <w:spacing w:val="2"/>
                <w:sz w:val="21"/>
                <w:szCs w:val="21"/>
              </w:rPr>
              <w:t>和枯水期分别达到16立方米/秒和5.4立方</w:t>
            </w:r>
            <w:r>
              <w:rPr>
                <w:spacing w:val="3"/>
                <w:sz w:val="21"/>
                <w:szCs w:val="21"/>
              </w:rPr>
              <w:t xml:space="preserve">  </w:t>
            </w:r>
            <w:r>
              <w:rPr>
                <w:spacing w:val="-7"/>
                <w:sz w:val="21"/>
                <w:szCs w:val="21"/>
              </w:rPr>
              <w:t>米/秒。4.建立水资源刚性约束制度，实行水</w:t>
            </w:r>
            <w:r>
              <w:rPr>
                <w:spacing w:val="8"/>
                <w:sz w:val="21"/>
                <w:szCs w:val="21"/>
              </w:rPr>
              <w:t xml:space="preserve"> </w:t>
            </w:r>
            <w:r>
              <w:rPr>
                <w:spacing w:val="-2"/>
                <w:sz w:val="21"/>
                <w:szCs w:val="21"/>
              </w:rPr>
              <w:t>资源消耗总量和强度双控，严格实施取水许</w:t>
            </w:r>
            <w:r>
              <w:rPr>
                <w:spacing w:val="12"/>
                <w:sz w:val="21"/>
                <w:szCs w:val="21"/>
              </w:rPr>
              <w:t xml:space="preserve"> </w:t>
            </w:r>
            <w:r>
              <w:rPr>
                <w:spacing w:val="-3"/>
                <w:sz w:val="21"/>
                <w:szCs w:val="21"/>
              </w:rPr>
              <w:t>可和水资源有偿使用制度，强化用水全过程</w:t>
            </w:r>
            <w:r>
              <w:rPr>
                <w:spacing w:val="14"/>
                <w:sz w:val="21"/>
                <w:szCs w:val="21"/>
              </w:rPr>
              <w:t xml:space="preserve"> </w:t>
            </w:r>
            <w:r>
              <w:rPr>
                <w:spacing w:val="-1"/>
                <w:sz w:val="21"/>
                <w:szCs w:val="21"/>
              </w:rPr>
              <w:t>管理，深入抓好工业、城镇、农业等方面用</w:t>
            </w:r>
            <w:r>
              <w:rPr>
                <w:spacing w:val="10"/>
                <w:sz w:val="21"/>
                <w:szCs w:val="21"/>
              </w:rPr>
              <w:t xml:space="preserve"> </w:t>
            </w:r>
            <w:r>
              <w:rPr>
                <w:spacing w:val="1"/>
                <w:sz w:val="21"/>
                <w:szCs w:val="21"/>
              </w:rPr>
              <w:t>水量控制，严格规范取水许可审批管理。5</w:t>
            </w:r>
          </w:p>
        </w:tc>
        <w:tc>
          <w:tcPr>
            <w:tcW w:w="2208" w:type="dxa"/>
            <w:vAlign w:val="top"/>
          </w:tcPr>
          <w:p w14:paraId="4447005C">
            <w:pPr>
              <w:pStyle w:val="6"/>
              <w:spacing w:before="64" w:line="220" w:lineRule="auto"/>
              <w:ind w:left="47"/>
              <w:rPr>
                <w:sz w:val="21"/>
                <w:szCs w:val="21"/>
              </w:rPr>
            </w:pPr>
            <w:r>
              <w:rPr>
                <w:spacing w:val="12"/>
                <w:sz w:val="21"/>
                <w:szCs w:val="21"/>
              </w:rPr>
              <w:t>1、项目不涉及；</w:t>
            </w:r>
          </w:p>
          <w:p w14:paraId="33308807">
            <w:pPr>
              <w:pStyle w:val="6"/>
              <w:spacing w:before="9" w:line="220" w:lineRule="auto"/>
              <w:ind w:left="16"/>
              <w:rPr>
                <w:sz w:val="21"/>
                <w:szCs w:val="21"/>
              </w:rPr>
            </w:pPr>
            <w:r>
              <w:rPr>
                <w:spacing w:val="12"/>
                <w:sz w:val="21"/>
                <w:szCs w:val="21"/>
              </w:rPr>
              <w:t>2、项目不涉及；</w:t>
            </w:r>
          </w:p>
          <w:p w14:paraId="41D6AB9F">
            <w:pPr>
              <w:pStyle w:val="6"/>
              <w:spacing w:before="19" w:line="220" w:lineRule="auto"/>
              <w:ind w:left="16"/>
              <w:rPr>
                <w:sz w:val="21"/>
                <w:szCs w:val="21"/>
              </w:rPr>
            </w:pPr>
            <w:r>
              <w:rPr>
                <w:spacing w:val="12"/>
                <w:sz w:val="21"/>
                <w:szCs w:val="21"/>
              </w:rPr>
              <w:t>3、项目不涉及；</w:t>
            </w:r>
          </w:p>
          <w:p w14:paraId="1D5C2F3D">
            <w:pPr>
              <w:pStyle w:val="6"/>
              <w:spacing w:before="20" w:line="238" w:lineRule="auto"/>
              <w:ind w:left="37"/>
              <w:rPr>
                <w:sz w:val="21"/>
                <w:szCs w:val="21"/>
              </w:rPr>
            </w:pPr>
            <w:r>
              <w:rPr>
                <w:spacing w:val="-5"/>
                <w:sz w:val="21"/>
                <w:szCs w:val="21"/>
              </w:rPr>
              <w:t>4、运营期升压站生活废</w:t>
            </w:r>
            <w:r>
              <w:rPr>
                <w:spacing w:val="9"/>
                <w:sz w:val="21"/>
                <w:szCs w:val="21"/>
              </w:rPr>
              <w:t xml:space="preserve"> </w:t>
            </w:r>
            <w:r>
              <w:rPr>
                <w:spacing w:val="-2"/>
                <w:sz w:val="21"/>
                <w:szCs w:val="21"/>
              </w:rPr>
              <w:t>水经过一体化污水处理</w:t>
            </w:r>
            <w:r>
              <w:rPr>
                <w:sz w:val="21"/>
                <w:szCs w:val="21"/>
              </w:rPr>
              <w:t xml:space="preserve"> </w:t>
            </w:r>
            <w:r>
              <w:rPr>
                <w:spacing w:val="-1"/>
                <w:sz w:val="21"/>
                <w:szCs w:val="21"/>
              </w:rPr>
              <w:t>站处理后回用于站内绿</w:t>
            </w:r>
            <w:r>
              <w:rPr>
                <w:sz w:val="21"/>
                <w:szCs w:val="21"/>
              </w:rPr>
              <w:t xml:space="preserve"> </w:t>
            </w:r>
            <w:r>
              <w:rPr>
                <w:spacing w:val="-2"/>
                <w:sz w:val="21"/>
                <w:szCs w:val="21"/>
              </w:rPr>
              <w:t>化和洒水降尘；太阳能</w:t>
            </w:r>
            <w:r>
              <w:rPr>
                <w:sz w:val="21"/>
                <w:szCs w:val="21"/>
              </w:rPr>
              <w:t xml:space="preserve"> </w:t>
            </w:r>
            <w:r>
              <w:rPr>
                <w:spacing w:val="1"/>
                <w:sz w:val="21"/>
                <w:szCs w:val="21"/>
              </w:rPr>
              <w:t>电池板的清洗废水直接</w:t>
            </w:r>
            <w:r>
              <w:rPr>
                <w:spacing w:val="7"/>
                <w:sz w:val="21"/>
                <w:szCs w:val="21"/>
              </w:rPr>
              <w:t xml:space="preserve"> </w:t>
            </w:r>
            <w:r>
              <w:rPr>
                <w:spacing w:val="-2"/>
                <w:sz w:val="21"/>
                <w:szCs w:val="21"/>
              </w:rPr>
              <w:t>顺着流在太阳能电池组</w:t>
            </w:r>
            <w:r>
              <w:rPr>
                <w:sz w:val="21"/>
                <w:szCs w:val="21"/>
              </w:rPr>
              <w:t xml:space="preserve"> 件下面的林草地上，作</w:t>
            </w:r>
            <w:r>
              <w:rPr>
                <w:spacing w:val="3"/>
                <w:sz w:val="21"/>
                <w:szCs w:val="21"/>
              </w:rPr>
              <w:t xml:space="preserve"> </w:t>
            </w:r>
            <w:r>
              <w:rPr>
                <w:spacing w:val="-2"/>
                <w:sz w:val="21"/>
                <w:szCs w:val="21"/>
              </w:rPr>
              <w:t>为林草地灌溉补充水，</w:t>
            </w:r>
            <w:r>
              <w:rPr>
                <w:spacing w:val="5"/>
                <w:sz w:val="21"/>
                <w:szCs w:val="21"/>
              </w:rPr>
              <w:t xml:space="preserve"> </w:t>
            </w:r>
            <w:r>
              <w:rPr>
                <w:spacing w:val="-3"/>
                <w:sz w:val="21"/>
                <w:szCs w:val="21"/>
              </w:rPr>
              <w:t>不外排(项目太阳能光</w:t>
            </w:r>
            <w:r>
              <w:rPr>
                <w:spacing w:val="4"/>
                <w:sz w:val="21"/>
                <w:szCs w:val="21"/>
              </w:rPr>
              <w:t xml:space="preserve">  </w:t>
            </w:r>
            <w:r>
              <w:rPr>
                <w:spacing w:val="-2"/>
                <w:sz w:val="21"/>
                <w:szCs w:val="21"/>
              </w:rPr>
              <w:t>伏板清洗频率为每半年</w:t>
            </w:r>
            <w:r>
              <w:rPr>
                <w:spacing w:val="1"/>
                <w:sz w:val="21"/>
                <w:szCs w:val="21"/>
              </w:rPr>
              <w:t xml:space="preserve"> </w:t>
            </w:r>
            <w:r>
              <w:rPr>
                <w:sz w:val="21"/>
                <w:szCs w:val="21"/>
              </w:rPr>
              <w:t>1次);实现了资源利</w:t>
            </w:r>
          </w:p>
          <w:p w14:paraId="62A1ECE6">
            <w:pPr>
              <w:pStyle w:val="6"/>
              <w:spacing w:before="2" w:line="221" w:lineRule="auto"/>
              <w:ind w:left="26"/>
              <w:rPr>
                <w:sz w:val="21"/>
                <w:szCs w:val="21"/>
              </w:rPr>
            </w:pPr>
            <w:r>
              <w:rPr>
                <w:spacing w:val="-5"/>
                <w:sz w:val="21"/>
                <w:szCs w:val="21"/>
              </w:rPr>
              <w:t>用</w:t>
            </w:r>
            <w:r>
              <w:rPr>
                <w:spacing w:val="58"/>
                <w:sz w:val="21"/>
                <w:szCs w:val="21"/>
              </w:rPr>
              <w:t xml:space="preserve"> </w:t>
            </w:r>
            <w:r>
              <w:rPr>
                <w:spacing w:val="-5"/>
                <w:sz w:val="21"/>
                <w:szCs w:val="21"/>
              </w:rPr>
              <w:t>；</w:t>
            </w:r>
          </w:p>
          <w:p w14:paraId="5D6CCD82">
            <w:pPr>
              <w:pStyle w:val="6"/>
              <w:spacing w:before="48" w:line="220" w:lineRule="auto"/>
              <w:ind w:left="47"/>
              <w:rPr>
                <w:sz w:val="21"/>
                <w:szCs w:val="21"/>
              </w:rPr>
            </w:pPr>
            <w:r>
              <w:rPr>
                <w:spacing w:val="12"/>
                <w:sz w:val="21"/>
                <w:szCs w:val="21"/>
              </w:rPr>
              <w:t>5、项目不涉及；</w:t>
            </w:r>
          </w:p>
          <w:p w14:paraId="04CDF5EA">
            <w:pPr>
              <w:pStyle w:val="6"/>
              <w:spacing w:before="20" w:line="220" w:lineRule="auto"/>
              <w:ind w:left="16"/>
              <w:rPr>
                <w:sz w:val="21"/>
                <w:szCs w:val="21"/>
              </w:rPr>
            </w:pPr>
            <w:r>
              <w:rPr>
                <w:spacing w:val="12"/>
                <w:sz w:val="21"/>
                <w:szCs w:val="21"/>
              </w:rPr>
              <w:t>6、项目不涉及；</w:t>
            </w:r>
          </w:p>
          <w:p w14:paraId="13A734F4">
            <w:pPr>
              <w:pStyle w:val="6"/>
              <w:spacing w:before="17" w:line="219" w:lineRule="auto"/>
              <w:ind w:left="16"/>
              <w:rPr>
                <w:sz w:val="21"/>
                <w:szCs w:val="21"/>
              </w:rPr>
            </w:pPr>
            <w:r>
              <w:rPr>
                <w:spacing w:val="-2"/>
                <w:sz w:val="21"/>
                <w:szCs w:val="21"/>
              </w:rPr>
              <w:t>7、项目不涉及占用耕</w:t>
            </w:r>
          </w:p>
          <w:p w14:paraId="604C9F3D">
            <w:pPr>
              <w:pStyle w:val="6"/>
              <w:spacing w:before="24" w:line="235" w:lineRule="auto"/>
              <w:ind w:left="26" w:right="41"/>
              <w:rPr>
                <w:sz w:val="21"/>
                <w:szCs w:val="21"/>
              </w:rPr>
            </w:pPr>
            <w:r>
              <w:rPr>
                <w:spacing w:val="1"/>
                <w:sz w:val="21"/>
                <w:szCs w:val="21"/>
              </w:rPr>
              <w:t>地，根据陆良县林业和</w:t>
            </w:r>
            <w:r>
              <w:rPr>
                <w:spacing w:val="6"/>
                <w:sz w:val="21"/>
                <w:szCs w:val="21"/>
              </w:rPr>
              <w:t xml:space="preserve"> </w:t>
            </w:r>
            <w:r>
              <w:rPr>
                <w:spacing w:val="1"/>
                <w:sz w:val="21"/>
                <w:szCs w:val="21"/>
              </w:rPr>
              <w:t>草原局查询意见：栗树</w:t>
            </w:r>
            <w:r>
              <w:rPr>
                <w:sz w:val="21"/>
                <w:szCs w:val="21"/>
              </w:rPr>
              <w:t xml:space="preserve"> </w:t>
            </w:r>
            <w:r>
              <w:rPr>
                <w:spacing w:val="2"/>
                <w:sz w:val="21"/>
                <w:szCs w:val="21"/>
              </w:rPr>
              <w:t>园村光伏发电项目选址</w:t>
            </w:r>
            <w:r>
              <w:rPr>
                <w:spacing w:val="8"/>
                <w:sz w:val="21"/>
                <w:szCs w:val="21"/>
              </w:rPr>
              <w:t xml:space="preserve"> </w:t>
            </w:r>
            <w:r>
              <w:rPr>
                <w:spacing w:val="-1"/>
                <w:sz w:val="21"/>
                <w:szCs w:val="21"/>
              </w:rPr>
              <w:t>位于陆良县大莫古镇，</w:t>
            </w:r>
            <w:r>
              <w:rPr>
                <w:spacing w:val="3"/>
                <w:sz w:val="21"/>
                <w:szCs w:val="21"/>
              </w:rPr>
              <w:t xml:space="preserve"> </w:t>
            </w:r>
            <w:r>
              <w:rPr>
                <w:sz w:val="21"/>
                <w:szCs w:val="21"/>
              </w:rPr>
              <w:t>涉及6个村(居)委会，</w:t>
            </w:r>
          </w:p>
          <w:p w14:paraId="101189DC">
            <w:pPr>
              <w:pStyle w:val="6"/>
              <w:spacing w:before="22" w:line="227" w:lineRule="auto"/>
              <w:ind w:left="47"/>
              <w:rPr>
                <w:sz w:val="21"/>
                <w:szCs w:val="21"/>
              </w:rPr>
            </w:pPr>
            <w:r>
              <w:rPr>
                <w:spacing w:val="-11"/>
                <w:sz w:val="21"/>
                <w:szCs w:val="21"/>
              </w:rPr>
              <w:t>按地类分为：其他草地</w:t>
            </w:r>
            <w:r>
              <w:rPr>
                <w:sz w:val="21"/>
                <w:szCs w:val="21"/>
              </w:rPr>
              <w:t xml:space="preserve">  </w:t>
            </w:r>
            <w:r>
              <w:rPr>
                <w:spacing w:val="-15"/>
                <w:sz w:val="21"/>
                <w:szCs w:val="21"/>
              </w:rPr>
              <w:t>、其他土地、陆地水域、</w:t>
            </w:r>
          </w:p>
        </w:tc>
        <w:tc>
          <w:tcPr>
            <w:tcW w:w="574" w:type="dxa"/>
            <w:vAlign w:val="top"/>
          </w:tcPr>
          <w:p w14:paraId="13AEF3B8">
            <w:pPr>
              <w:spacing w:line="248" w:lineRule="auto"/>
              <w:rPr>
                <w:rFonts w:ascii="Arial"/>
                <w:sz w:val="21"/>
              </w:rPr>
            </w:pPr>
          </w:p>
          <w:p w14:paraId="270B646F">
            <w:pPr>
              <w:spacing w:line="248" w:lineRule="auto"/>
              <w:rPr>
                <w:rFonts w:ascii="Arial"/>
                <w:sz w:val="21"/>
              </w:rPr>
            </w:pPr>
          </w:p>
          <w:p w14:paraId="7CA7F6E4">
            <w:pPr>
              <w:spacing w:line="249" w:lineRule="auto"/>
              <w:rPr>
                <w:rFonts w:ascii="Arial"/>
                <w:sz w:val="21"/>
              </w:rPr>
            </w:pPr>
          </w:p>
          <w:p w14:paraId="3CAECFDD">
            <w:pPr>
              <w:spacing w:line="249" w:lineRule="auto"/>
              <w:rPr>
                <w:rFonts w:ascii="Arial"/>
                <w:sz w:val="21"/>
              </w:rPr>
            </w:pPr>
          </w:p>
          <w:p w14:paraId="4069D3B9">
            <w:pPr>
              <w:spacing w:line="249" w:lineRule="auto"/>
              <w:rPr>
                <w:rFonts w:ascii="Arial"/>
                <w:sz w:val="21"/>
              </w:rPr>
            </w:pPr>
          </w:p>
          <w:p w14:paraId="39E6D7BD">
            <w:pPr>
              <w:spacing w:line="249" w:lineRule="auto"/>
              <w:rPr>
                <w:rFonts w:ascii="Arial"/>
                <w:sz w:val="21"/>
              </w:rPr>
            </w:pPr>
          </w:p>
          <w:p w14:paraId="16724254">
            <w:pPr>
              <w:spacing w:line="249" w:lineRule="auto"/>
              <w:rPr>
                <w:rFonts w:ascii="Arial"/>
                <w:sz w:val="21"/>
              </w:rPr>
            </w:pPr>
          </w:p>
          <w:p w14:paraId="204CE60B">
            <w:pPr>
              <w:spacing w:line="249" w:lineRule="auto"/>
              <w:rPr>
                <w:rFonts w:ascii="Arial"/>
                <w:sz w:val="21"/>
              </w:rPr>
            </w:pPr>
          </w:p>
          <w:p w14:paraId="575A25D0">
            <w:pPr>
              <w:spacing w:line="249" w:lineRule="auto"/>
              <w:rPr>
                <w:rFonts w:ascii="Arial"/>
                <w:sz w:val="21"/>
              </w:rPr>
            </w:pPr>
          </w:p>
          <w:p w14:paraId="2E43B4E7">
            <w:pPr>
              <w:spacing w:line="249" w:lineRule="auto"/>
              <w:rPr>
                <w:rFonts w:ascii="Arial"/>
                <w:sz w:val="21"/>
              </w:rPr>
            </w:pPr>
          </w:p>
          <w:p w14:paraId="754C15CD">
            <w:pPr>
              <w:spacing w:line="249" w:lineRule="auto"/>
              <w:rPr>
                <w:rFonts w:ascii="Arial"/>
                <w:sz w:val="21"/>
              </w:rPr>
            </w:pPr>
          </w:p>
          <w:p w14:paraId="18D103C5">
            <w:pPr>
              <w:spacing w:line="249" w:lineRule="auto"/>
              <w:rPr>
                <w:rFonts w:ascii="Arial"/>
                <w:sz w:val="21"/>
              </w:rPr>
            </w:pPr>
          </w:p>
          <w:p w14:paraId="24888D18">
            <w:pPr>
              <w:spacing w:line="249" w:lineRule="auto"/>
              <w:rPr>
                <w:rFonts w:ascii="Arial"/>
                <w:sz w:val="21"/>
              </w:rPr>
            </w:pPr>
          </w:p>
          <w:p w14:paraId="330C112F">
            <w:pPr>
              <w:pStyle w:val="6"/>
              <w:spacing w:before="68" w:line="219" w:lineRule="auto"/>
              <w:ind w:left="39"/>
              <w:rPr>
                <w:sz w:val="21"/>
                <w:szCs w:val="21"/>
              </w:rPr>
            </w:pPr>
            <w:r>
              <w:rPr>
                <w:spacing w:val="-3"/>
                <w:sz w:val="21"/>
                <w:szCs w:val="21"/>
              </w:rPr>
              <w:t>符合</w:t>
            </w:r>
          </w:p>
        </w:tc>
      </w:tr>
    </w:tbl>
    <w:p w14:paraId="0403F3E4">
      <w:pPr>
        <w:pStyle w:val="2"/>
      </w:pPr>
    </w:p>
    <w:p w14:paraId="579E90BA">
      <w:pPr>
        <w:sectPr>
          <w:footerReference r:id="rId29" w:type="default"/>
          <w:pgSz w:w="11910" w:h="16830"/>
          <w:pgMar w:top="400" w:right="1514" w:bottom="1250" w:left="1415" w:header="0" w:footer="1078" w:gutter="0"/>
          <w:cols w:space="720" w:num="1"/>
        </w:sectPr>
      </w:pPr>
    </w:p>
    <w:p w14:paraId="3E80C49A">
      <w:pPr>
        <w:spacing w:before="18"/>
      </w:pPr>
    </w:p>
    <w:p w14:paraId="226429A7">
      <w:pPr>
        <w:spacing w:before="18"/>
      </w:pPr>
    </w:p>
    <w:p w14:paraId="09520854">
      <w:pPr>
        <w:spacing w:before="17"/>
      </w:pPr>
    </w:p>
    <w:p w14:paraId="5A8ED106">
      <w:pPr>
        <w:spacing w:before="17"/>
      </w:pPr>
    </w:p>
    <w:p w14:paraId="5CD44781">
      <w:pPr>
        <w:spacing w:before="17"/>
      </w:pPr>
    </w:p>
    <w:tbl>
      <w:tblPr>
        <w:tblStyle w:val="5"/>
        <w:tblW w:w="89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4"/>
        <w:gridCol w:w="559"/>
        <w:gridCol w:w="220"/>
        <w:gridCol w:w="150"/>
        <w:gridCol w:w="3266"/>
        <w:gridCol w:w="729"/>
        <w:gridCol w:w="2218"/>
        <w:gridCol w:w="584"/>
      </w:tblGrid>
      <w:tr w14:paraId="6B66E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7" w:hRule="atLeast"/>
        </w:trPr>
        <w:tc>
          <w:tcPr>
            <w:tcW w:w="1264" w:type="dxa"/>
            <w:vMerge w:val="restart"/>
            <w:tcBorders>
              <w:bottom w:val="nil"/>
            </w:tcBorders>
            <w:vAlign w:val="top"/>
          </w:tcPr>
          <w:p w14:paraId="5C5D560E">
            <w:pPr>
              <w:rPr>
                <w:rFonts w:ascii="Arial"/>
                <w:sz w:val="21"/>
              </w:rPr>
            </w:pPr>
          </w:p>
        </w:tc>
        <w:tc>
          <w:tcPr>
            <w:tcW w:w="559" w:type="dxa"/>
            <w:vAlign w:val="top"/>
          </w:tcPr>
          <w:p w14:paraId="31F760B6">
            <w:pPr>
              <w:rPr>
                <w:rFonts w:ascii="Arial"/>
                <w:sz w:val="21"/>
              </w:rPr>
            </w:pPr>
          </w:p>
        </w:tc>
        <w:tc>
          <w:tcPr>
            <w:tcW w:w="370" w:type="dxa"/>
            <w:gridSpan w:val="2"/>
            <w:vAlign w:val="top"/>
          </w:tcPr>
          <w:p w14:paraId="6746675B">
            <w:pPr>
              <w:rPr>
                <w:rFonts w:ascii="Arial"/>
                <w:sz w:val="21"/>
              </w:rPr>
            </w:pPr>
          </w:p>
        </w:tc>
        <w:tc>
          <w:tcPr>
            <w:tcW w:w="3995" w:type="dxa"/>
            <w:gridSpan w:val="2"/>
            <w:vAlign w:val="top"/>
          </w:tcPr>
          <w:p w14:paraId="6C3BF423">
            <w:pPr>
              <w:pStyle w:val="6"/>
              <w:spacing w:before="52" w:line="238" w:lineRule="auto"/>
              <w:ind w:left="12" w:firstLine="89"/>
              <w:rPr>
                <w:sz w:val="21"/>
                <w:szCs w:val="21"/>
              </w:rPr>
            </w:pPr>
            <w:r>
              <w:rPr>
                <w:spacing w:val="-2"/>
                <w:sz w:val="21"/>
                <w:szCs w:val="21"/>
              </w:rPr>
              <w:t>大力推进各县(市、区)农业、工业、城镇</w:t>
            </w:r>
            <w:r>
              <w:rPr>
                <w:spacing w:val="8"/>
                <w:sz w:val="21"/>
                <w:szCs w:val="21"/>
              </w:rPr>
              <w:t xml:space="preserve">  </w:t>
            </w:r>
            <w:r>
              <w:rPr>
                <w:spacing w:val="-1"/>
                <w:sz w:val="21"/>
                <w:szCs w:val="21"/>
              </w:rPr>
              <w:t>节水，扩大曲靖市县域节水型社会比例。强</w:t>
            </w:r>
            <w:r>
              <w:rPr>
                <w:sz w:val="21"/>
                <w:szCs w:val="21"/>
              </w:rPr>
              <w:t xml:space="preserve"> </w:t>
            </w:r>
            <w:r>
              <w:rPr>
                <w:spacing w:val="-1"/>
                <w:sz w:val="21"/>
                <w:szCs w:val="21"/>
              </w:rPr>
              <w:t>化农业节水，优化农业种植结构，加大农业</w:t>
            </w:r>
            <w:r>
              <w:rPr>
                <w:sz w:val="21"/>
                <w:szCs w:val="21"/>
              </w:rPr>
              <w:t xml:space="preserve"> </w:t>
            </w:r>
            <w:r>
              <w:rPr>
                <w:spacing w:val="-1"/>
                <w:sz w:val="21"/>
                <w:szCs w:val="21"/>
              </w:rPr>
              <w:t>节水力度，加快实施规模化高效节水灌溉行</w:t>
            </w:r>
            <w:r>
              <w:rPr>
                <w:sz w:val="21"/>
                <w:szCs w:val="21"/>
              </w:rPr>
              <w:t xml:space="preserve"> </w:t>
            </w:r>
            <w:r>
              <w:rPr>
                <w:spacing w:val="-1"/>
                <w:sz w:val="21"/>
                <w:szCs w:val="21"/>
              </w:rPr>
              <w:t>动。推广和普及田间节水技术，开辟抗旱水</w:t>
            </w:r>
            <w:r>
              <w:rPr>
                <w:sz w:val="21"/>
                <w:szCs w:val="21"/>
              </w:rPr>
              <w:t xml:space="preserve"> </w:t>
            </w:r>
            <w:r>
              <w:rPr>
                <w:spacing w:val="5"/>
                <w:sz w:val="21"/>
                <w:szCs w:val="21"/>
              </w:rPr>
              <w:t>源，科学调度抗旱用水。6.到2025年，曲</w:t>
            </w:r>
            <w:r>
              <w:rPr>
                <w:sz w:val="21"/>
                <w:szCs w:val="21"/>
              </w:rPr>
              <w:t xml:space="preserve">  </w:t>
            </w:r>
            <w:r>
              <w:rPr>
                <w:spacing w:val="4"/>
                <w:sz w:val="21"/>
                <w:szCs w:val="21"/>
              </w:rPr>
              <w:t>靖市用水总量控制在18.68亿立方米以内，</w:t>
            </w:r>
            <w:r>
              <w:rPr>
                <w:spacing w:val="2"/>
                <w:sz w:val="21"/>
                <w:szCs w:val="21"/>
              </w:rPr>
              <w:t xml:space="preserve"> </w:t>
            </w:r>
            <w:r>
              <w:rPr>
                <w:spacing w:val="-1"/>
                <w:sz w:val="21"/>
                <w:szCs w:val="21"/>
              </w:rPr>
              <w:t>万元GDP用水量、万元工业增加值用水量</w:t>
            </w:r>
          </w:p>
          <w:p w14:paraId="2D120C6C">
            <w:pPr>
              <w:pStyle w:val="6"/>
              <w:spacing w:before="12" w:line="216" w:lineRule="auto"/>
              <w:ind w:left="32"/>
              <w:rPr>
                <w:sz w:val="21"/>
                <w:szCs w:val="21"/>
              </w:rPr>
            </w:pPr>
            <w:r>
              <w:rPr>
                <w:sz w:val="21"/>
                <w:szCs w:val="21"/>
              </w:rPr>
              <w:t>比2020年分别不低于20%和16%,农田灌</w:t>
            </w:r>
          </w:p>
          <w:p w14:paraId="7DAA3714">
            <w:pPr>
              <w:pStyle w:val="6"/>
              <w:spacing w:before="33" w:line="239" w:lineRule="auto"/>
              <w:ind w:left="12" w:firstLine="28"/>
              <w:rPr>
                <w:sz w:val="21"/>
                <w:szCs w:val="21"/>
              </w:rPr>
            </w:pPr>
            <w:r>
              <w:rPr>
                <w:spacing w:val="-8"/>
                <w:sz w:val="21"/>
                <w:szCs w:val="21"/>
              </w:rPr>
              <w:t>溉水利用系数不低于0.545。7.坚持最严格</w:t>
            </w:r>
            <w:r>
              <w:rPr>
                <w:sz w:val="21"/>
                <w:szCs w:val="21"/>
              </w:rPr>
              <w:t xml:space="preserve">   </w:t>
            </w:r>
            <w:r>
              <w:rPr>
                <w:spacing w:val="-1"/>
                <w:sz w:val="21"/>
                <w:szCs w:val="21"/>
              </w:rPr>
              <w:t>的耕地保护制度，坚决制止耕地“非农化”</w:t>
            </w:r>
            <w:r>
              <w:rPr>
                <w:sz w:val="21"/>
                <w:szCs w:val="21"/>
              </w:rPr>
              <w:t xml:space="preserve"> </w:t>
            </w:r>
            <w:r>
              <w:rPr>
                <w:spacing w:val="-12"/>
                <w:sz w:val="21"/>
                <w:szCs w:val="21"/>
              </w:rPr>
              <w:t>防止耕地“非粮化”。坚持节约用地，严格</w:t>
            </w:r>
            <w:r>
              <w:rPr>
                <w:spacing w:val="4"/>
                <w:sz w:val="21"/>
                <w:szCs w:val="21"/>
              </w:rPr>
              <w:t xml:space="preserve">   </w:t>
            </w:r>
            <w:r>
              <w:rPr>
                <w:spacing w:val="-11"/>
                <w:sz w:val="21"/>
                <w:szCs w:val="21"/>
              </w:rPr>
              <w:t>执行耕地占补平衡等制度，提高土地投资强</w:t>
            </w:r>
            <w:r>
              <w:rPr>
                <w:spacing w:val="2"/>
                <w:sz w:val="21"/>
                <w:szCs w:val="21"/>
              </w:rPr>
              <w:t xml:space="preserve">  </w:t>
            </w:r>
            <w:r>
              <w:rPr>
                <w:spacing w:val="-11"/>
                <w:sz w:val="21"/>
                <w:szCs w:val="21"/>
              </w:rPr>
              <w:t>度和单位面积产出水平。8.矿产能源发展区</w:t>
            </w:r>
            <w:r>
              <w:rPr>
                <w:spacing w:val="8"/>
                <w:sz w:val="21"/>
                <w:szCs w:val="21"/>
              </w:rPr>
              <w:t xml:space="preserve">  </w:t>
            </w:r>
            <w:r>
              <w:rPr>
                <w:spacing w:val="-11"/>
                <w:sz w:val="21"/>
                <w:szCs w:val="21"/>
              </w:rPr>
              <w:t>应在符合国家产业政策的前提下，依法依规</w:t>
            </w:r>
            <w:r>
              <w:rPr>
                <w:spacing w:val="2"/>
                <w:sz w:val="21"/>
                <w:szCs w:val="21"/>
              </w:rPr>
              <w:t xml:space="preserve">  </w:t>
            </w:r>
            <w:r>
              <w:rPr>
                <w:spacing w:val="-11"/>
                <w:sz w:val="21"/>
                <w:szCs w:val="21"/>
              </w:rPr>
              <w:t>办理用地手续，在符合矿产资源总体规划的</w:t>
            </w:r>
            <w:r>
              <w:rPr>
                <w:sz w:val="21"/>
                <w:szCs w:val="21"/>
              </w:rPr>
              <w:t xml:space="preserve">  </w:t>
            </w:r>
            <w:r>
              <w:rPr>
                <w:spacing w:val="-1"/>
                <w:sz w:val="21"/>
                <w:szCs w:val="21"/>
              </w:rPr>
              <w:t>前提下合理开采，促进土地集约节约利用，</w:t>
            </w:r>
            <w:r>
              <w:rPr>
                <w:sz w:val="21"/>
                <w:szCs w:val="21"/>
              </w:rPr>
              <w:t xml:space="preserve"> </w:t>
            </w:r>
            <w:r>
              <w:rPr>
                <w:spacing w:val="-8"/>
                <w:sz w:val="21"/>
                <w:szCs w:val="21"/>
              </w:rPr>
              <w:t>保护区域生态环境，避免造成地质灾害。9</w:t>
            </w:r>
            <w:r>
              <w:rPr>
                <w:spacing w:val="1"/>
                <w:sz w:val="21"/>
                <w:szCs w:val="21"/>
              </w:rPr>
              <w:t xml:space="preserve">   </w:t>
            </w:r>
            <w:r>
              <w:rPr>
                <w:spacing w:val="-5"/>
                <w:sz w:val="21"/>
                <w:szCs w:val="21"/>
              </w:rPr>
              <w:t>到2025年，全市规模化以上工业单位增加</w:t>
            </w:r>
            <w:r>
              <w:rPr>
                <w:spacing w:val="5"/>
                <w:sz w:val="21"/>
                <w:szCs w:val="21"/>
              </w:rPr>
              <w:t xml:space="preserve">   </w:t>
            </w:r>
            <w:r>
              <w:rPr>
                <w:spacing w:val="-10"/>
                <w:sz w:val="21"/>
                <w:szCs w:val="21"/>
              </w:rPr>
              <w:t>值能耗下降16%,万元工业增加值用水量</w:t>
            </w:r>
          </w:p>
          <w:p w14:paraId="7AE97A3B">
            <w:pPr>
              <w:pStyle w:val="6"/>
              <w:spacing w:line="216" w:lineRule="auto"/>
              <w:ind w:left="32"/>
              <w:rPr>
                <w:sz w:val="21"/>
                <w:szCs w:val="21"/>
              </w:rPr>
            </w:pPr>
            <w:r>
              <w:rPr>
                <w:sz w:val="21"/>
                <w:szCs w:val="21"/>
              </w:rPr>
              <w:t>下降16%,重点耗能行业能效达到标杆水</w:t>
            </w:r>
          </w:p>
          <w:p w14:paraId="59F32351">
            <w:pPr>
              <w:pStyle w:val="6"/>
              <w:spacing w:before="14" w:line="241" w:lineRule="auto"/>
              <w:ind w:left="12" w:firstLine="87"/>
              <w:rPr>
                <w:sz w:val="21"/>
                <w:szCs w:val="21"/>
              </w:rPr>
            </w:pPr>
            <w:r>
              <w:rPr>
                <w:spacing w:val="-5"/>
                <w:sz w:val="21"/>
                <w:szCs w:val="21"/>
              </w:rPr>
              <w:t>平的比例超过30%。10.加强南盘江、牛栏</w:t>
            </w:r>
            <w:r>
              <w:rPr>
                <w:sz w:val="21"/>
                <w:szCs w:val="21"/>
              </w:rPr>
              <w:t xml:space="preserve">   </w:t>
            </w:r>
            <w:r>
              <w:rPr>
                <w:spacing w:val="-3"/>
                <w:sz w:val="21"/>
                <w:szCs w:val="21"/>
              </w:rPr>
              <w:t>江等岸线保护，强化九龙河(麒麟段、罗平</w:t>
            </w:r>
            <w:r>
              <w:rPr>
                <w:spacing w:val="1"/>
                <w:sz w:val="21"/>
                <w:szCs w:val="21"/>
              </w:rPr>
              <w:t xml:space="preserve">  </w:t>
            </w:r>
            <w:r>
              <w:rPr>
                <w:spacing w:val="5"/>
                <w:sz w:val="21"/>
                <w:szCs w:val="21"/>
              </w:rPr>
              <w:t>段、陆良段、富源段)、牛栏江(会泽段、</w:t>
            </w:r>
            <w:r>
              <w:rPr>
                <w:sz w:val="21"/>
                <w:szCs w:val="21"/>
              </w:rPr>
              <w:t xml:space="preserve">  沾益段、宣威段)、清水江(罗平段、师宗</w:t>
            </w:r>
            <w:r>
              <w:rPr>
                <w:spacing w:val="2"/>
                <w:sz w:val="21"/>
                <w:szCs w:val="21"/>
              </w:rPr>
              <w:t xml:space="preserve">  </w:t>
            </w:r>
            <w:r>
              <w:rPr>
                <w:spacing w:val="5"/>
                <w:sz w:val="21"/>
                <w:szCs w:val="21"/>
              </w:rPr>
              <w:t>段),宣威市窑上海子、北盘江、可渡河、</w:t>
            </w:r>
            <w:r>
              <w:rPr>
                <w:sz w:val="21"/>
                <w:szCs w:val="21"/>
              </w:rPr>
              <w:t xml:space="preserve">  </w:t>
            </w:r>
            <w:r>
              <w:rPr>
                <w:spacing w:val="-1"/>
                <w:sz w:val="21"/>
                <w:szCs w:val="21"/>
              </w:rPr>
              <w:t>拖长江、西泽河、以那河，马龙区马龙河，</w:t>
            </w:r>
            <w:r>
              <w:rPr>
                <w:sz w:val="21"/>
                <w:szCs w:val="21"/>
              </w:rPr>
              <w:t xml:space="preserve"> </w:t>
            </w:r>
            <w:r>
              <w:rPr>
                <w:spacing w:val="-12"/>
                <w:sz w:val="21"/>
                <w:szCs w:val="21"/>
              </w:rPr>
              <w:t>师宗县甸溪河、篆长河，富源县、小黄泥河，</w:t>
            </w:r>
            <w:r>
              <w:rPr>
                <w:spacing w:val="11"/>
                <w:sz w:val="21"/>
                <w:szCs w:val="21"/>
              </w:rPr>
              <w:t xml:space="preserve"> </w:t>
            </w:r>
            <w:r>
              <w:rPr>
                <w:spacing w:val="-6"/>
                <w:sz w:val="21"/>
                <w:szCs w:val="21"/>
              </w:rPr>
              <w:t>会泽县以礼河、硝厂河、小江等河湖岸线保</w:t>
            </w:r>
            <w:r>
              <w:rPr>
                <w:spacing w:val="2"/>
                <w:sz w:val="21"/>
                <w:szCs w:val="21"/>
              </w:rPr>
              <w:t xml:space="preserve">  </w:t>
            </w:r>
            <w:r>
              <w:rPr>
                <w:spacing w:val="-3"/>
                <w:sz w:val="21"/>
                <w:szCs w:val="21"/>
              </w:rPr>
              <w:t>护与管控。11.在禁燃区内，禁止销售、燃</w:t>
            </w:r>
            <w:r>
              <w:rPr>
                <w:spacing w:val="1"/>
                <w:sz w:val="21"/>
                <w:szCs w:val="21"/>
              </w:rPr>
              <w:t xml:space="preserve">  </w:t>
            </w:r>
            <w:r>
              <w:rPr>
                <w:spacing w:val="-6"/>
                <w:sz w:val="21"/>
                <w:szCs w:val="21"/>
              </w:rPr>
              <w:t>用高污染燃料；禁止新建、扩建燃用高污染</w:t>
            </w:r>
            <w:r>
              <w:rPr>
                <w:spacing w:val="1"/>
                <w:sz w:val="21"/>
                <w:szCs w:val="21"/>
              </w:rPr>
              <w:t xml:space="preserve">  </w:t>
            </w:r>
            <w:r>
              <w:rPr>
                <w:spacing w:val="-6"/>
                <w:sz w:val="21"/>
                <w:szCs w:val="21"/>
              </w:rPr>
              <w:t>燃料的设施，已建成的，应当在规定的期限</w:t>
            </w:r>
            <w:r>
              <w:rPr>
                <w:spacing w:val="2"/>
                <w:sz w:val="21"/>
                <w:szCs w:val="21"/>
              </w:rPr>
              <w:t xml:space="preserve">  </w:t>
            </w:r>
            <w:r>
              <w:rPr>
                <w:spacing w:val="-6"/>
                <w:sz w:val="21"/>
                <w:szCs w:val="21"/>
              </w:rPr>
              <w:t>内改用天然气、液化石油气、电或者其他清</w:t>
            </w:r>
            <w:r>
              <w:rPr>
                <w:spacing w:val="1"/>
                <w:sz w:val="21"/>
                <w:szCs w:val="21"/>
              </w:rPr>
              <w:t xml:space="preserve">  </w:t>
            </w:r>
            <w:r>
              <w:rPr>
                <w:spacing w:val="-3"/>
                <w:sz w:val="21"/>
                <w:szCs w:val="21"/>
              </w:rPr>
              <w:t>洁能源。</w:t>
            </w:r>
          </w:p>
        </w:tc>
        <w:tc>
          <w:tcPr>
            <w:tcW w:w="2218" w:type="dxa"/>
            <w:vAlign w:val="top"/>
          </w:tcPr>
          <w:p w14:paraId="52383D77">
            <w:pPr>
              <w:pStyle w:val="6"/>
              <w:spacing w:before="39"/>
              <w:ind w:left="31" w:firstLine="24"/>
              <w:rPr>
                <w:sz w:val="21"/>
                <w:szCs w:val="21"/>
              </w:rPr>
            </w:pPr>
            <w:r>
              <w:rPr>
                <w:spacing w:val="-4"/>
                <w:sz w:val="21"/>
                <w:szCs w:val="21"/>
              </w:rPr>
              <w:t>果园、工矿用地。按照</w:t>
            </w:r>
            <w:r>
              <w:rPr>
                <w:spacing w:val="2"/>
                <w:sz w:val="21"/>
                <w:szCs w:val="21"/>
              </w:rPr>
              <w:t xml:space="preserve">  </w:t>
            </w:r>
            <w:r>
              <w:rPr>
                <w:spacing w:val="-6"/>
                <w:sz w:val="21"/>
                <w:szCs w:val="21"/>
              </w:rPr>
              <w:t>《自然资源部办公厅国</w:t>
            </w:r>
            <w:r>
              <w:rPr>
                <w:spacing w:val="1"/>
                <w:sz w:val="21"/>
                <w:szCs w:val="21"/>
              </w:rPr>
              <w:t xml:space="preserve">  </w:t>
            </w:r>
            <w:r>
              <w:rPr>
                <w:spacing w:val="-4"/>
                <w:sz w:val="21"/>
                <w:szCs w:val="21"/>
              </w:rPr>
              <w:t>家林业和草原局办公室</w:t>
            </w:r>
            <w:r>
              <w:rPr>
                <w:spacing w:val="1"/>
                <w:sz w:val="21"/>
                <w:szCs w:val="21"/>
              </w:rPr>
              <w:t xml:space="preserve">  </w:t>
            </w:r>
            <w:r>
              <w:rPr>
                <w:spacing w:val="-2"/>
                <w:sz w:val="21"/>
                <w:szCs w:val="21"/>
              </w:rPr>
              <w:t>国家能源局综合司关于</w:t>
            </w:r>
            <w:r>
              <w:rPr>
                <w:spacing w:val="2"/>
                <w:sz w:val="21"/>
                <w:szCs w:val="21"/>
              </w:rPr>
              <w:t xml:space="preserve">  </w:t>
            </w:r>
            <w:r>
              <w:rPr>
                <w:spacing w:val="-2"/>
                <w:sz w:val="21"/>
                <w:szCs w:val="21"/>
              </w:rPr>
              <w:t>支持光伏发电产业发展</w:t>
            </w:r>
            <w:r>
              <w:rPr>
                <w:spacing w:val="1"/>
                <w:sz w:val="21"/>
                <w:szCs w:val="21"/>
              </w:rPr>
              <w:t xml:space="preserve">  </w:t>
            </w:r>
            <w:r>
              <w:rPr>
                <w:spacing w:val="-2"/>
                <w:sz w:val="21"/>
                <w:szCs w:val="21"/>
              </w:rPr>
              <w:t>规范用地管理有关工作</w:t>
            </w:r>
            <w:r>
              <w:rPr>
                <w:spacing w:val="3"/>
                <w:sz w:val="21"/>
                <w:szCs w:val="21"/>
              </w:rPr>
              <w:t xml:space="preserve">  </w:t>
            </w:r>
            <w:r>
              <w:rPr>
                <w:spacing w:val="-2"/>
                <w:sz w:val="21"/>
                <w:szCs w:val="21"/>
              </w:rPr>
              <w:t>的通知》(自然资办发</w:t>
            </w:r>
            <w:r>
              <w:rPr>
                <w:sz w:val="21"/>
                <w:szCs w:val="21"/>
              </w:rPr>
              <w:t xml:space="preserve">   </w:t>
            </w:r>
            <w:r>
              <w:rPr>
                <w:spacing w:val="-14"/>
                <w:sz w:val="21"/>
                <w:szCs w:val="21"/>
              </w:rPr>
              <w:t>〔2023〕12号〕规定未涉</w:t>
            </w:r>
            <w:r>
              <w:rPr>
                <w:spacing w:val="7"/>
                <w:sz w:val="21"/>
                <w:szCs w:val="21"/>
              </w:rPr>
              <w:t xml:space="preserve"> </w:t>
            </w:r>
            <w:r>
              <w:rPr>
                <w:spacing w:val="-3"/>
                <w:sz w:val="21"/>
                <w:szCs w:val="21"/>
              </w:rPr>
              <w:t>及不能使用的林地地类</w:t>
            </w:r>
            <w:r>
              <w:rPr>
                <w:spacing w:val="2"/>
                <w:sz w:val="21"/>
                <w:szCs w:val="21"/>
              </w:rPr>
              <w:t xml:space="preserve">  </w:t>
            </w:r>
            <w:r>
              <w:rPr>
                <w:spacing w:val="-1"/>
                <w:sz w:val="21"/>
                <w:szCs w:val="21"/>
              </w:rPr>
              <w:t>情况。根据陆良县各局</w:t>
            </w:r>
            <w:r>
              <w:rPr>
                <w:spacing w:val="1"/>
                <w:sz w:val="21"/>
                <w:szCs w:val="21"/>
              </w:rPr>
              <w:t xml:space="preserve"> </w:t>
            </w:r>
            <w:r>
              <w:rPr>
                <w:spacing w:val="-2"/>
                <w:sz w:val="21"/>
                <w:szCs w:val="21"/>
              </w:rPr>
              <w:t>的核查文件、项目选址</w:t>
            </w:r>
            <w:r>
              <w:rPr>
                <w:spacing w:val="1"/>
                <w:sz w:val="21"/>
                <w:szCs w:val="21"/>
              </w:rPr>
              <w:t xml:space="preserve">  </w:t>
            </w:r>
            <w:r>
              <w:rPr>
                <w:spacing w:val="-5"/>
                <w:sz w:val="21"/>
                <w:szCs w:val="21"/>
              </w:rPr>
              <w:t>踏勘及陆良县相关敏感</w:t>
            </w:r>
            <w:r>
              <w:rPr>
                <w:spacing w:val="2"/>
                <w:sz w:val="21"/>
                <w:szCs w:val="21"/>
              </w:rPr>
              <w:t xml:space="preserve">  </w:t>
            </w:r>
            <w:r>
              <w:rPr>
                <w:spacing w:val="-4"/>
                <w:sz w:val="21"/>
                <w:szCs w:val="21"/>
              </w:rPr>
              <w:t>区资料核对，本项目不</w:t>
            </w:r>
            <w:r>
              <w:rPr>
                <w:spacing w:val="2"/>
                <w:sz w:val="21"/>
                <w:szCs w:val="21"/>
              </w:rPr>
              <w:t xml:space="preserve">  </w:t>
            </w:r>
            <w:r>
              <w:rPr>
                <w:spacing w:val="7"/>
                <w:sz w:val="21"/>
                <w:szCs w:val="21"/>
              </w:rPr>
              <w:t>涉及各类自然保护区、</w:t>
            </w:r>
            <w:r>
              <w:rPr>
                <w:spacing w:val="5"/>
                <w:sz w:val="21"/>
                <w:szCs w:val="21"/>
              </w:rPr>
              <w:t xml:space="preserve"> </w:t>
            </w:r>
            <w:r>
              <w:rPr>
                <w:spacing w:val="-4"/>
                <w:sz w:val="21"/>
                <w:szCs w:val="21"/>
              </w:rPr>
              <w:t>森林公园等生态敏感</w:t>
            </w:r>
          </w:p>
          <w:p w14:paraId="3174567C">
            <w:pPr>
              <w:pStyle w:val="6"/>
              <w:spacing w:line="239" w:lineRule="auto"/>
              <w:ind w:left="26" w:firstLine="29"/>
              <w:rPr>
                <w:sz w:val="21"/>
                <w:szCs w:val="21"/>
              </w:rPr>
            </w:pPr>
            <w:r>
              <w:rPr>
                <w:spacing w:val="-5"/>
                <w:sz w:val="21"/>
                <w:szCs w:val="21"/>
              </w:rPr>
              <w:t>区，不涉及生态保护红</w:t>
            </w:r>
            <w:r>
              <w:rPr>
                <w:spacing w:val="3"/>
                <w:sz w:val="21"/>
                <w:szCs w:val="21"/>
              </w:rPr>
              <w:t xml:space="preserve">  </w:t>
            </w:r>
            <w:r>
              <w:rPr>
                <w:spacing w:val="8"/>
                <w:sz w:val="21"/>
                <w:szCs w:val="21"/>
              </w:rPr>
              <w:t>线，不涉及禁止建设、</w:t>
            </w:r>
            <w:r>
              <w:rPr>
                <w:sz w:val="21"/>
                <w:szCs w:val="21"/>
              </w:rPr>
              <w:t xml:space="preserve"> </w:t>
            </w:r>
            <w:r>
              <w:rPr>
                <w:spacing w:val="9"/>
                <w:sz w:val="21"/>
                <w:szCs w:val="21"/>
              </w:rPr>
              <w:t>限制建设区域；</w:t>
            </w:r>
          </w:p>
          <w:p w14:paraId="0D8A7F81">
            <w:pPr>
              <w:pStyle w:val="6"/>
              <w:spacing w:before="12" w:line="225" w:lineRule="auto"/>
              <w:ind w:left="16"/>
              <w:rPr>
                <w:sz w:val="21"/>
                <w:szCs w:val="21"/>
              </w:rPr>
            </w:pPr>
            <w:r>
              <w:rPr>
                <w:spacing w:val="-2"/>
                <w:sz w:val="21"/>
                <w:szCs w:val="21"/>
              </w:rPr>
              <w:t>8、本项目不涉及矿产能</w:t>
            </w:r>
            <w:r>
              <w:rPr>
                <w:spacing w:val="7"/>
                <w:sz w:val="21"/>
                <w:szCs w:val="21"/>
              </w:rPr>
              <w:t xml:space="preserve"> </w:t>
            </w:r>
            <w:r>
              <w:rPr>
                <w:spacing w:val="20"/>
                <w:sz w:val="21"/>
                <w:szCs w:val="21"/>
              </w:rPr>
              <w:t>源发展区；</w:t>
            </w:r>
          </w:p>
          <w:p w14:paraId="23207DAA">
            <w:pPr>
              <w:pStyle w:val="6"/>
              <w:spacing w:before="17" w:line="219" w:lineRule="auto"/>
              <w:ind w:left="26"/>
              <w:rPr>
                <w:sz w:val="21"/>
                <w:szCs w:val="21"/>
              </w:rPr>
            </w:pPr>
            <w:r>
              <w:rPr>
                <w:spacing w:val="11"/>
                <w:sz w:val="21"/>
                <w:szCs w:val="21"/>
              </w:rPr>
              <w:t>9、本项目不涉及；</w:t>
            </w:r>
          </w:p>
          <w:p w14:paraId="44B65FB2">
            <w:pPr>
              <w:pStyle w:val="6"/>
              <w:spacing w:before="32" w:line="228" w:lineRule="auto"/>
              <w:ind w:left="57" w:right="31" w:firstLine="10"/>
              <w:rPr>
                <w:sz w:val="21"/>
                <w:szCs w:val="21"/>
              </w:rPr>
            </w:pPr>
            <w:r>
              <w:rPr>
                <w:sz w:val="21"/>
                <w:szCs w:val="21"/>
              </w:rPr>
              <w:t>10、项目不涉及陆良县</w:t>
            </w:r>
            <w:r>
              <w:rPr>
                <w:spacing w:val="8"/>
                <w:sz w:val="21"/>
                <w:szCs w:val="21"/>
              </w:rPr>
              <w:t xml:space="preserve"> </w:t>
            </w:r>
            <w:r>
              <w:rPr>
                <w:spacing w:val="1"/>
                <w:sz w:val="21"/>
                <w:szCs w:val="21"/>
              </w:rPr>
              <w:t>九龙湖河流(渠道)管</w:t>
            </w:r>
          </w:p>
          <w:p w14:paraId="7CA67595">
            <w:pPr>
              <w:pStyle w:val="6"/>
              <w:spacing w:before="44" w:line="236" w:lineRule="auto"/>
              <w:ind w:left="37" w:right="37" w:firstLine="20"/>
              <w:rPr>
                <w:sz w:val="21"/>
                <w:szCs w:val="21"/>
              </w:rPr>
            </w:pPr>
            <w:r>
              <w:rPr>
                <w:sz w:val="21"/>
                <w:szCs w:val="21"/>
              </w:rPr>
              <w:t>理范围。且太阳能电池</w:t>
            </w:r>
            <w:r>
              <w:rPr>
                <w:spacing w:val="8"/>
                <w:sz w:val="21"/>
                <w:szCs w:val="21"/>
              </w:rPr>
              <w:t xml:space="preserve"> </w:t>
            </w:r>
            <w:r>
              <w:rPr>
                <w:spacing w:val="3"/>
                <w:sz w:val="21"/>
                <w:szCs w:val="21"/>
              </w:rPr>
              <w:t>板的清洗废水直接顺着</w:t>
            </w:r>
            <w:r>
              <w:rPr>
                <w:sz w:val="21"/>
                <w:szCs w:val="21"/>
              </w:rPr>
              <w:t xml:space="preserve"> </w:t>
            </w:r>
            <w:r>
              <w:rPr>
                <w:spacing w:val="3"/>
                <w:sz w:val="21"/>
                <w:szCs w:val="21"/>
              </w:rPr>
              <w:t>流在太阳能电池组件下</w:t>
            </w:r>
            <w:r>
              <w:rPr>
                <w:spacing w:val="2"/>
                <w:sz w:val="21"/>
                <w:szCs w:val="21"/>
              </w:rPr>
              <w:t xml:space="preserve"> </w:t>
            </w:r>
            <w:r>
              <w:rPr>
                <w:spacing w:val="-1"/>
                <w:sz w:val="21"/>
                <w:szCs w:val="21"/>
              </w:rPr>
              <w:t>面的林草地上，作为林</w:t>
            </w:r>
            <w:r>
              <w:rPr>
                <w:sz w:val="21"/>
                <w:szCs w:val="21"/>
              </w:rPr>
              <w:t xml:space="preserve"> </w:t>
            </w:r>
            <w:r>
              <w:rPr>
                <w:spacing w:val="3"/>
                <w:sz w:val="21"/>
                <w:szCs w:val="21"/>
              </w:rPr>
              <w:t>草地灌溉补充水，不外</w:t>
            </w:r>
            <w:r>
              <w:rPr>
                <w:spacing w:val="1"/>
                <w:sz w:val="21"/>
                <w:szCs w:val="21"/>
              </w:rPr>
              <w:t xml:space="preserve"> 排，对区域地表水环境</w:t>
            </w:r>
            <w:r>
              <w:rPr>
                <w:sz w:val="21"/>
                <w:szCs w:val="21"/>
              </w:rPr>
              <w:t xml:space="preserve"> </w:t>
            </w:r>
            <w:r>
              <w:rPr>
                <w:spacing w:val="17"/>
                <w:sz w:val="21"/>
                <w:szCs w:val="21"/>
              </w:rPr>
              <w:t>影响可接受；</w:t>
            </w:r>
          </w:p>
          <w:p w14:paraId="590ECE36">
            <w:pPr>
              <w:pStyle w:val="6"/>
              <w:spacing w:before="17" w:line="229" w:lineRule="auto"/>
              <w:ind w:left="16" w:right="40" w:firstLine="40"/>
              <w:rPr>
                <w:sz w:val="21"/>
                <w:szCs w:val="21"/>
              </w:rPr>
            </w:pPr>
            <w:r>
              <w:rPr>
                <w:sz w:val="21"/>
                <w:szCs w:val="21"/>
              </w:rPr>
              <w:t>11、本项目不使用高污</w:t>
            </w:r>
            <w:r>
              <w:rPr>
                <w:spacing w:val="9"/>
                <w:sz w:val="21"/>
                <w:szCs w:val="21"/>
              </w:rPr>
              <w:t xml:space="preserve"> </w:t>
            </w:r>
            <w:r>
              <w:rPr>
                <w:spacing w:val="4"/>
                <w:sz w:val="21"/>
                <w:szCs w:val="21"/>
              </w:rPr>
              <w:t>染燃料，项目为光伏发</w:t>
            </w:r>
            <w:r>
              <w:rPr>
                <w:spacing w:val="7"/>
                <w:sz w:val="21"/>
                <w:szCs w:val="21"/>
              </w:rPr>
              <w:t xml:space="preserve"> </w:t>
            </w:r>
            <w:r>
              <w:rPr>
                <w:spacing w:val="3"/>
                <w:sz w:val="21"/>
                <w:szCs w:val="21"/>
              </w:rPr>
              <w:t>电项目，升压站使用液</w:t>
            </w:r>
            <w:r>
              <w:rPr>
                <w:spacing w:val="8"/>
                <w:sz w:val="21"/>
                <w:szCs w:val="21"/>
              </w:rPr>
              <w:t xml:space="preserve"> </w:t>
            </w:r>
            <w:r>
              <w:rPr>
                <w:spacing w:val="-1"/>
                <w:sz w:val="21"/>
                <w:szCs w:val="21"/>
              </w:rPr>
              <w:t>化天然气和电作为能</w:t>
            </w:r>
          </w:p>
          <w:p w14:paraId="671BFBFA">
            <w:pPr>
              <w:pStyle w:val="6"/>
              <w:spacing w:before="22" w:line="211" w:lineRule="auto"/>
              <w:ind w:left="16"/>
              <w:rPr>
                <w:sz w:val="21"/>
                <w:szCs w:val="21"/>
              </w:rPr>
            </w:pPr>
            <w:r>
              <w:rPr>
                <w:spacing w:val="-2"/>
                <w:sz w:val="21"/>
                <w:szCs w:val="21"/>
              </w:rPr>
              <w:t>源。</w:t>
            </w:r>
          </w:p>
        </w:tc>
        <w:tc>
          <w:tcPr>
            <w:tcW w:w="584" w:type="dxa"/>
            <w:vAlign w:val="top"/>
          </w:tcPr>
          <w:p w14:paraId="6A5A3233">
            <w:pPr>
              <w:rPr>
                <w:rFonts w:ascii="Arial"/>
                <w:sz w:val="21"/>
              </w:rPr>
            </w:pPr>
          </w:p>
        </w:tc>
      </w:tr>
      <w:tr w14:paraId="6A5C3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264" w:type="dxa"/>
            <w:vMerge w:val="continue"/>
            <w:tcBorders>
              <w:top w:val="nil"/>
              <w:bottom w:val="nil"/>
            </w:tcBorders>
            <w:vAlign w:val="top"/>
          </w:tcPr>
          <w:p w14:paraId="46281ED3">
            <w:pPr>
              <w:rPr>
                <w:rFonts w:ascii="Arial"/>
                <w:sz w:val="21"/>
              </w:rPr>
            </w:pPr>
          </w:p>
        </w:tc>
        <w:tc>
          <w:tcPr>
            <w:tcW w:w="7726" w:type="dxa"/>
            <w:gridSpan w:val="7"/>
            <w:vAlign w:val="top"/>
          </w:tcPr>
          <w:p w14:paraId="1C482923">
            <w:pPr>
              <w:pStyle w:val="6"/>
              <w:spacing w:before="53" w:line="217" w:lineRule="auto"/>
              <w:ind w:left="313"/>
              <w:rPr>
                <w:sz w:val="21"/>
                <w:szCs w:val="21"/>
              </w:rPr>
            </w:pPr>
            <w:r>
              <w:rPr>
                <w:b/>
                <w:bCs/>
                <w:spacing w:val="31"/>
                <w:sz w:val="21"/>
                <w:szCs w:val="21"/>
              </w:rPr>
              <w:t>表1</w:t>
            </w:r>
            <w:r>
              <w:rPr>
                <w:spacing w:val="-52"/>
                <w:sz w:val="21"/>
                <w:szCs w:val="21"/>
              </w:rPr>
              <w:t xml:space="preserve"> </w:t>
            </w:r>
            <w:r>
              <w:rPr>
                <w:b/>
                <w:bCs/>
                <w:spacing w:val="31"/>
                <w:sz w:val="21"/>
                <w:szCs w:val="21"/>
              </w:rPr>
              <w:t>-</w:t>
            </w:r>
            <w:r>
              <w:rPr>
                <w:spacing w:val="-58"/>
                <w:sz w:val="21"/>
                <w:szCs w:val="21"/>
              </w:rPr>
              <w:t xml:space="preserve"> </w:t>
            </w:r>
            <w:r>
              <w:rPr>
                <w:b/>
                <w:bCs/>
                <w:spacing w:val="31"/>
                <w:sz w:val="21"/>
                <w:szCs w:val="21"/>
              </w:rPr>
              <w:t>8本项目与曲靖市优先保护单元生态环境准入清单符合性分析</w:t>
            </w:r>
          </w:p>
        </w:tc>
      </w:tr>
      <w:tr w14:paraId="65C3A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1264" w:type="dxa"/>
            <w:vMerge w:val="continue"/>
            <w:tcBorders>
              <w:top w:val="nil"/>
              <w:bottom w:val="nil"/>
            </w:tcBorders>
            <w:vAlign w:val="top"/>
          </w:tcPr>
          <w:p w14:paraId="7EDEA5BF">
            <w:pPr>
              <w:rPr>
                <w:rFonts w:ascii="Arial"/>
                <w:sz w:val="21"/>
              </w:rPr>
            </w:pPr>
          </w:p>
        </w:tc>
        <w:tc>
          <w:tcPr>
            <w:tcW w:w="779" w:type="dxa"/>
            <w:gridSpan w:val="2"/>
            <w:vAlign w:val="top"/>
          </w:tcPr>
          <w:p w14:paraId="06EAD7D3">
            <w:pPr>
              <w:pStyle w:val="6"/>
              <w:spacing w:before="307" w:line="220" w:lineRule="auto"/>
              <w:ind w:left="170"/>
              <w:rPr>
                <w:sz w:val="21"/>
                <w:szCs w:val="21"/>
              </w:rPr>
            </w:pPr>
            <w:r>
              <w:rPr>
                <w:spacing w:val="-6"/>
                <w:sz w:val="21"/>
                <w:szCs w:val="21"/>
              </w:rPr>
              <w:t>项 目</w:t>
            </w:r>
          </w:p>
        </w:tc>
        <w:tc>
          <w:tcPr>
            <w:tcW w:w="3416" w:type="dxa"/>
            <w:gridSpan w:val="2"/>
            <w:vAlign w:val="top"/>
          </w:tcPr>
          <w:p w14:paraId="6E8B88C1">
            <w:pPr>
              <w:pStyle w:val="6"/>
              <w:spacing w:before="306" w:line="219" w:lineRule="auto"/>
              <w:ind w:left="1281"/>
              <w:rPr>
                <w:sz w:val="21"/>
                <w:szCs w:val="21"/>
              </w:rPr>
            </w:pPr>
            <w:r>
              <w:rPr>
                <w:spacing w:val="2"/>
                <w:sz w:val="21"/>
                <w:szCs w:val="21"/>
              </w:rPr>
              <w:t>管控要求</w:t>
            </w:r>
          </w:p>
        </w:tc>
        <w:tc>
          <w:tcPr>
            <w:tcW w:w="2947" w:type="dxa"/>
            <w:gridSpan w:val="2"/>
            <w:vAlign w:val="top"/>
          </w:tcPr>
          <w:p w14:paraId="0540B385">
            <w:pPr>
              <w:pStyle w:val="6"/>
              <w:spacing w:before="307" w:line="220" w:lineRule="auto"/>
              <w:ind w:left="1046"/>
              <w:rPr>
                <w:sz w:val="21"/>
                <w:szCs w:val="21"/>
              </w:rPr>
            </w:pPr>
            <w:r>
              <w:rPr>
                <w:spacing w:val="2"/>
                <w:sz w:val="21"/>
                <w:szCs w:val="21"/>
              </w:rPr>
              <w:t>项目情况</w:t>
            </w:r>
          </w:p>
        </w:tc>
        <w:tc>
          <w:tcPr>
            <w:tcW w:w="584" w:type="dxa"/>
            <w:textDirection w:val="tbRlV"/>
            <w:vAlign w:val="top"/>
          </w:tcPr>
          <w:p w14:paraId="7198CE0E">
            <w:pPr>
              <w:pStyle w:val="6"/>
              <w:spacing w:before="173" w:line="201" w:lineRule="auto"/>
              <w:jc w:val="right"/>
              <w:rPr>
                <w:sz w:val="21"/>
                <w:szCs w:val="21"/>
              </w:rPr>
            </w:pPr>
            <w:r>
              <w:rPr>
                <w:spacing w:val="-3"/>
                <w:sz w:val="21"/>
                <w:szCs w:val="21"/>
              </w:rPr>
              <w:t>相</w:t>
            </w:r>
            <w:r>
              <w:rPr>
                <w:spacing w:val="-11"/>
                <w:sz w:val="21"/>
                <w:szCs w:val="21"/>
              </w:rPr>
              <w:t xml:space="preserve"> </w:t>
            </w:r>
            <w:r>
              <w:rPr>
                <w:spacing w:val="-3"/>
                <w:sz w:val="21"/>
                <w:szCs w:val="21"/>
              </w:rPr>
              <w:t>符</w:t>
            </w:r>
            <w:r>
              <w:rPr>
                <w:spacing w:val="-13"/>
                <w:sz w:val="21"/>
                <w:szCs w:val="21"/>
              </w:rPr>
              <w:t xml:space="preserve"> </w:t>
            </w:r>
            <w:r>
              <w:rPr>
                <w:spacing w:val="-3"/>
                <w:sz w:val="21"/>
                <w:szCs w:val="21"/>
              </w:rPr>
              <w:t>性</w:t>
            </w:r>
          </w:p>
        </w:tc>
      </w:tr>
      <w:tr w14:paraId="22864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3" w:hRule="atLeast"/>
        </w:trPr>
        <w:tc>
          <w:tcPr>
            <w:tcW w:w="1264" w:type="dxa"/>
            <w:vMerge w:val="continue"/>
            <w:tcBorders>
              <w:top w:val="nil"/>
            </w:tcBorders>
            <w:vAlign w:val="top"/>
          </w:tcPr>
          <w:p w14:paraId="760A6BBC">
            <w:pPr>
              <w:rPr>
                <w:rFonts w:ascii="Arial"/>
                <w:sz w:val="21"/>
              </w:rPr>
            </w:pPr>
          </w:p>
        </w:tc>
        <w:tc>
          <w:tcPr>
            <w:tcW w:w="779" w:type="dxa"/>
            <w:gridSpan w:val="2"/>
            <w:vAlign w:val="top"/>
          </w:tcPr>
          <w:p w14:paraId="6AB2C619">
            <w:pPr>
              <w:spacing w:line="248" w:lineRule="auto"/>
              <w:rPr>
                <w:rFonts w:ascii="Arial"/>
                <w:sz w:val="21"/>
              </w:rPr>
            </w:pPr>
          </w:p>
          <w:p w14:paraId="666B3329">
            <w:pPr>
              <w:pStyle w:val="6"/>
              <w:spacing w:before="68" w:line="220" w:lineRule="auto"/>
              <w:ind w:left="170"/>
              <w:rPr>
                <w:sz w:val="21"/>
                <w:szCs w:val="21"/>
              </w:rPr>
            </w:pPr>
            <w:r>
              <w:rPr>
                <w:spacing w:val="4"/>
                <w:sz w:val="21"/>
                <w:szCs w:val="21"/>
              </w:rPr>
              <w:t>各县</w:t>
            </w:r>
          </w:p>
          <w:p w14:paraId="2057EB45">
            <w:pPr>
              <w:pStyle w:val="6"/>
              <w:spacing w:before="19" w:line="219" w:lineRule="auto"/>
              <w:jc w:val="right"/>
              <w:rPr>
                <w:sz w:val="21"/>
                <w:szCs w:val="21"/>
              </w:rPr>
            </w:pPr>
            <w:r>
              <w:rPr>
                <w:spacing w:val="-26"/>
                <w:sz w:val="21"/>
                <w:szCs w:val="21"/>
              </w:rPr>
              <w:t>(</w:t>
            </w:r>
            <w:r>
              <w:rPr>
                <w:spacing w:val="2"/>
                <w:sz w:val="21"/>
                <w:szCs w:val="21"/>
              </w:rPr>
              <w:t xml:space="preserve"> </w:t>
            </w:r>
            <w:r>
              <w:rPr>
                <w:spacing w:val="-26"/>
                <w:sz w:val="21"/>
                <w:szCs w:val="21"/>
              </w:rPr>
              <w:t>市 、</w:t>
            </w:r>
          </w:p>
          <w:p w14:paraId="3E06110E">
            <w:pPr>
              <w:pStyle w:val="6"/>
              <w:spacing w:before="21" w:line="220" w:lineRule="auto"/>
              <w:ind w:left="30"/>
              <w:rPr>
                <w:sz w:val="21"/>
                <w:szCs w:val="21"/>
              </w:rPr>
            </w:pPr>
            <w:r>
              <w:rPr>
                <w:spacing w:val="-11"/>
                <w:sz w:val="21"/>
                <w:szCs w:val="21"/>
              </w:rPr>
              <w:t>区</w:t>
            </w:r>
            <w:r>
              <w:rPr>
                <w:spacing w:val="7"/>
                <w:sz w:val="21"/>
                <w:szCs w:val="21"/>
              </w:rPr>
              <w:t xml:space="preserve"> </w:t>
            </w:r>
            <w:r>
              <w:rPr>
                <w:spacing w:val="-11"/>
                <w:sz w:val="21"/>
                <w:szCs w:val="21"/>
              </w:rPr>
              <w:t>)</w:t>
            </w:r>
            <w:r>
              <w:rPr>
                <w:spacing w:val="7"/>
                <w:sz w:val="21"/>
                <w:szCs w:val="21"/>
              </w:rPr>
              <w:t xml:space="preserve"> </w:t>
            </w:r>
            <w:r>
              <w:rPr>
                <w:spacing w:val="-11"/>
                <w:sz w:val="21"/>
                <w:szCs w:val="21"/>
              </w:rPr>
              <w:t>饮</w:t>
            </w:r>
          </w:p>
          <w:p w14:paraId="62F6A86B">
            <w:pPr>
              <w:pStyle w:val="6"/>
              <w:spacing w:before="19" w:line="219" w:lineRule="auto"/>
              <w:ind w:left="60"/>
              <w:rPr>
                <w:sz w:val="21"/>
                <w:szCs w:val="21"/>
              </w:rPr>
            </w:pPr>
            <w:r>
              <w:rPr>
                <w:spacing w:val="-3"/>
                <w:sz w:val="21"/>
                <w:szCs w:val="21"/>
              </w:rPr>
              <w:t>用水水</w:t>
            </w:r>
          </w:p>
          <w:p w14:paraId="334DACE0">
            <w:pPr>
              <w:pStyle w:val="6"/>
              <w:spacing w:before="20" w:line="219" w:lineRule="auto"/>
              <w:ind w:left="60"/>
              <w:rPr>
                <w:sz w:val="21"/>
                <w:szCs w:val="21"/>
              </w:rPr>
            </w:pPr>
            <w:r>
              <w:rPr>
                <w:spacing w:val="-2"/>
                <w:sz w:val="21"/>
                <w:szCs w:val="21"/>
              </w:rPr>
              <w:t>源地优</w:t>
            </w:r>
          </w:p>
          <w:p w14:paraId="6A5E6B6D">
            <w:pPr>
              <w:pStyle w:val="6"/>
              <w:spacing w:before="31" w:line="219" w:lineRule="auto"/>
              <w:ind w:left="60"/>
              <w:rPr>
                <w:sz w:val="21"/>
                <w:szCs w:val="21"/>
              </w:rPr>
            </w:pPr>
            <w:r>
              <w:rPr>
                <w:spacing w:val="5"/>
                <w:sz w:val="21"/>
                <w:szCs w:val="21"/>
              </w:rPr>
              <w:t>先保护</w:t>
            </w:r>
          </w:p>
          <w:p w14:paraId="3B5E69FD">
            <w:pPr>
              <w:pStyle w:val="6"/>
              <w:spacing w:before="21" w:line="220" w:lineRule="auto"/>
              <w:ind w:left="170"/>
              <w:rPr>
                <w:sz w:val="21"/>
                <w:szCs w:val="21"/>
              </w:rPr>
            </w:pPr>
            <w:r>
              <w:rPr>
                <w:spacing w:val="-3"/>
                <w:sz w:val="21"/>
                <w:szCs w:val="21"/>
              </w:rPr>
              <w:t>单元</w:t>
            </w:r>
          </w:p>
        </w:tc>
        <w:tc>
          <w:tcPr>
            <w:tcW w:w="3416" w:type="dxa"/>
            <w:gridSpan w:val="2"/>
            <w:vAlign w:val="top"/>
          </w:tcPr>
          <w:p w14:paraId="4DFADCAF">
            <w:pPr>
              <w:spacing w:line="394" w:lineRule="auto"/>
              <w:rPr>
                <w:rFonts w:ascii="Arial"/>
                <w:sz w:val="21"/>
              </w:rPr>
            </w:pPr>
          </w:p>
          <w:p w14:paraId="3E207DDD">
            <w:pPr>
              <w:pStyle w:val="6"/>
              <w:spacing w:before="68"/>
              <w:ind w:left="21"/>
              <w:jc w:val="both"/>
              <w:rPr>
                <w:sz w:val="21"/>
                <w:szCs w:val="21"/>
              </w:rPr>
            </w:pPr>
            <w:r>
              <w:rPr>
                <w:spacing w:val="-1"/>
                <w:sz w:val="21"/>
                <w:szCs w:val="21"/>
              </w:rPr>
              <w:t>1.依据《中华人民共和国水污染防治</w:t>
            </w:r>
            <w:r>
              <w:rPr>
                <w:spacing w:val="13"/>
                <w:sz w:val="21"/>
                <w:szCs w:val="21"/>
              </w:rPr>
              <w:t xml:space="preserve"> </w:t>
            </w:r>
            <w:r>
              <w:rPr>
                <w:spacing w:val="-2"/>
                <w:sz w:val="21"/>
                <w:szCs w:val="21"/>
              </w:rPr>
              <w:t>法》《地下水管理条例》《云南省地</w:t>
            </w:r>
            <w:r>
              <w:rPr>
                <w:spacing w:val="1"/>
                <w:sz w:val="21"/>
                <w:szCs w:val="21"/>
              </w:rPr>
              <w:t xml:space="preserve"> </w:t>
            </w:r>
            <w:r>
              <w:rPr>
                <w:spacing w:val="-1"/>
                <w:sz w:val="21"/>
                <w:szCs w:val="21"/>
              </w:rPr>
              <w:t>下水管理办法》《饮用水水源保护区</w:t>
            </w:r>
            <w:r>
              <w:rPr>
                <w:spacing w:val="12"/>
                <w:sz w:val="21"/>
                <w:szCs w:val="21"/>
              </w:rPr>
              <w:t xml:space="preserve"> </w:t>
            </w:r>
            <w:r>
              <w:rPr>
                <w:spacing w:val="-2"/>
                <w:sz w:val="21"/>
                <w:szCs w:val="21"/>
              </w:rPr>
              <w:t>污染防治管理规定》《曲靖市集中式</w:t>
            </w:r>
            <w:r>
              <w:rPr>
                <w:sz w:val="21"/>
                <w:szCs w:val="21"/>
              </w:rPr>
              <w:t xml:space="preserve"> 饮用水水源地保护条例》《云南省曲</w:t>
            </w:r>
            <w:r>
              <w:rPr>
                <w:spacing w:val="2"/>
                <w:sz w:val="21"/>
                <w:szCs w:val="21"/>
              </w:rPr>
              <w:t xml:space="preserve"> </w:t>
            </w:r>
            <w:r>
              <w:rPr>
                <w:spacing w:val="1"/>
                <w:sz w:val="21"/>
                <w:szCs w:val="21"/>
              </w:rPr>
              <w:t>靖独木水库保护条例》等进行管理。</w:t>
            </w:r>
          </w:p>
        </w:tc>
        <w:tc>
          <w:tcPr>
            <w:tcW w:w="2947" w:type="dxa"/>
            <w:gridSpan w:val="2"/>
            <w:vAlign w:val="top"/>
          </w:tcPr>
          <w:p w14:paraId="1120FC71">
            <w:pPr>
              <w:pStyle w:val="6"/>
              <w:spacing w:before="57" w:line="234" w:lineRule="auto"/>
              <w:ind w:left="16" w:firstLine="29"/>
              <w:rPr>
                <w:sz w:val="21"/>
                <w:szCs w:val="21"/>
              </w:rPr>
            </w:pPr>
            <w:r>
              <w:rPr>
                <w:sz w:val="21"/>
                <w:szCs w:val="21"/>
              </w:rPr>
              <w:t>1、本项目设计经过线路和选址</w:t>
            </w:r>
            <w:r>
              <w:rPr>
                <w:spacing w:val="6"/>
                <w:sz w:val="21"/>
                <w:szCs w:val="21"/>
              </w:rPr>
              <w:t xml:space="preserve"> </w:t>
            </w:r>
            <w:r>
              <w:rPr>
                <w:spacing w:val="-3"/>
                <w:sz w:val="21"/>
                <w:szCs w:val="21"/>
              </w:rPr>
              <w:t>的比选，光伏板布设已经避开大</w:t>
            </w:r>
            <w:r>
              <w:rPr>
                <w:spacing w:val="8"/>
                <w:sz w:val="21"/>
                <w:szCs w:val="21"/>
              </w:rPr>
              <w:t xml:space="preserve"> </w:t>
            </w:r>
            <w:r>
              <w:rPr>
                <w:spacing w:val="-2"/>
                <w:sz w:val="21"/>
                <w:szCs w:val="21"/>
              </w:rPr>
              <w:t>莫古集镇水厂水源地保护区，但</w:t>
            </w:r>
            <w:r>
              <w:rPr>
                <w:spacing w:val="7"/>
                <w:sz w:val="21"/>
                <w:szCs w:val="21"/>
              </w:rPr>
              <w:t xml:space="preserve"> 是35</w:t>
            </w:r>
            <w:r>
              <w:rPr>
                <w:sz w:val="21"/>
                <w:szCs w:val="21"/>
              </w:rPr>
              <w:t>kV</w:t>
            </w:r>
            <w:r>
              <w:rPr>
                <w:spacing w:val="7"/>
                <w:sz w:val="21"/>
                <w:szCs w:val="21"/>
              </w:rPr>
              <w:t>集电线路经过设计的线</w:t>
            </w:r>
            <w:r>
              <w:rPr>
                <w:spacing w:val="2"/>
                <w:sz w:val="21"/>
                <w:szCs w:val="21"/>
              </w:rPr>
              <w:t xml:space="preserve">  </w:t>
            </w:r>
            <w:r>
              <w:rPr>
                <w:spacing w:val="5"/>
                <w:sz w:val="21"/>
                <w:szCs w:val="21"/>
              </w:rPr>
              <w:t>路比选，由于周边基本农田较</w:t>
            </w:r>
            <w:r>
              <w:rPr>
                <w:spacing w:val="3"/>
                <w:sz w:val="21"/>
                <w:szCs w:val="21"/>
              </w:rPr>
              <w:t xml:space="preserve">  </w:t>
            </w:r>
            <w:r>
              <w:rPr>
                <w:spacing w:val="-2"/>
                <w:sz w:val="21"/>
                <w:szCs w:val="21"/>
              </w:rPr>
              <w:t>多，已经无法避开大莫古集镇水</w:t>
            </w:r>
            <w:r>
              <w:rPr>
                <w:spacing w:val="1"/>
                <w:sz w:val="21"/>
                <w:szCs w:val="21"/>
              </w:rPr>
              <w:t xml:space="preserve"> </w:t>
            </w:r>
            <w:r>
              <w:rPr>
                <w:spacing w:val="5"/>
                <w:sz w:val="21"/>
                <w:szCs w:val="21"/>
              </w:rPr>
              <w:t>厂水源地保护区，本项目35</w:t>
            </w:r>
            <w:r>
              <w:rPr>
                <w:sz w:val="21"/>
                <w:szCs w:val="21"/>
              </w:rPr>
              <w:t>kV</w:t>
            </w:r>
            <w:r>
              <w:rPr>
                <w:spacing w:val="3"/>
                <w:sz w:val="21"/>
                <w:szCs w:val="21"/>
              </w:rPr>
              <w:t xml:space="preserve">  </w:t>
            </w:r>
            <w:r>
              <w:rPr>
                <w:spacing w:val="5"/>
                <w:sz w:val="21"/>
                <w:szCs w:val="21"/>
              </w:rPr>
              <w:t>集电线路采用架空线路的方式</w:t>
            </w:r>
            <w:r>
              <w:rPr>
                <w:spacing w:val="4"/>
                <w:sz w:val="21"/>
                <w:szCs w:val="21"/>
              </w:rPr>
              <w:t xml:space="preserve">  </w:t>
            </w:r>
            <w:r>
              <w:rPr>
                <w:spacing w:val="7"/>
                <w:sz w:val="21"/>
                <w:szCs w:val="21"/>
              </w:rPr>
              <w:t>穿越大莫古集镇水厂水源地准</w:t>
            </w:r>
          </w:p>
        </w:tc>
        <w:tc>
          <w:tcPr>
            <w:tcW w:w="584" w:type="dxa"/>
            <w:textDirection w:val="tbRlV"/>
            <w:vAlign w:val="top"/>
          </w:tcPr>
          <w:p w14:paraId="77AD8915">
            <w:pPr>
              <w:pStyle w:val="6"/>
              <w:spacing w:before="183" w:line="200" w:lineRule="auto"/>
              <w:ind w:left="1008"/>
              <w:rPr>
                <w:sz w:val="21"/>
                <w:szCs w:val="21"/>
              </w:rPr>
            </w:pPr>
            <w:r>
              <w:rPr>
                <w:sz w:val="21"/>
                <w:szCs w:val="21"/>
              </w:rPr>
              <w:t>符合</w:t>
            </w:r>
          </w:p>
        </w:tc>
      </w:tr>
    </w:tbl>
    <w:p w14:paraId="698E3586">
      <w:pPr>
        <w:pStyle w:val="2"/>
      </w:pPr>
    </w:p>
    <w:p w14:paraId="399714DE">
      <w:pPr>
        <w:sectPr>
          <w:footerReference r:id="rId30" w:type="default"/>
          <w:pgSz w:w="11910" w:h="16830"/>
          <w:pgMar w:top="400" w:right="1494" w:bottom="1257" w:left="1415" w:header="0" w:footer="1076" w:gutter="0"/>
          <w:cols w:space="720" w:num="1"/>
        </w:sectPr>
      </w:pPr>
    </w:p>
    <w:p w14:paraId="4C8B3ADE">
      <w:pPr>
        <w:spacing w:before="18"/>
      </w:pPr>
    </w:p>
    <w:p w14:paraId="5249E69C">
      <w:pPr>
        <w:spacing w:before="18"/>
      </w:pPr>
    </w:p>
    <w:p w14:paraId="6907A5DF">
      <w:pPr>
        <w:spacing w:before="17"/>
      </w:pPr>
    </w:p>
    <w:p w14:paraId="78727A9B">
      <w:pPr>
        <w:spacing w:before="17"/>
      </w:pPr>
    </w:p>
    <w:p w14:paraId="082E68F8">
      <w:pPr>
        <w:spacing w:before="17"/>
      </w:pPr>
    </w:p>
    <w:tbl>
      <w:tblPr>
        <w:tblStyle w:val="5"/>
        <w:tblW w:w="89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3"/>
        <w:gridCol w:w="789"/>
        <w:gridCol w:w="3336"/>
        <w:gridCol w:w="2997"/>
        <w:gridCol w:w="524"/>
      </w:tblGrid>
      <w:tr w14:paraId="76F8B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1263" w:type="dxa"/>
            <w:vMerge w:val="restart"/>
            <w:tcBorders>
              <w:bottom w:val="nil"/>
            </w:tcBorders>
            <w:vAlign w:val="top"/>
          </w:tcPr>
          <w:p w14:paraId="53803181">
            <w:pPr>
              <w:rPr>
                <w:rFonts w:ascii="Arial"/>
                <w:sz w:val="21"/>
              </w:rPr>
            </w:pPr>
          </w:p>
        </w:tc>
        <w:tc>
          <w:tcPr>
            <w:tcW w:w="789" w:type="dxa"/>
            <w:vAlign w:val="top"/>
          </w:tcPr>
          <w:p w14:paraId="179F9BD3">
            <w:pPr>
              <w:rPr>
                <w:rFonts w:ascii="Arial"/>
                <w:sz w:val="21"/>
              </w:rPr>
            </w:pPr>
          </w:p>
        </w:tc>
        <w:tc>
          <w:tcPr>
            <w:tcW w:w="3336" w:type="dxa"/>
            <w:vAlign w:val="top"/>
          </w:tcPr>
          <w:p w14:paraId="7CD540BF">
            <w:pPr>
              <w:rPr>
                <w:rFonts w:ascii="Arial"/>
                <w:sz w:val="21"/>
              </w:rPr>
            </w:pPr>
          </w:p>
        </w:tc>
        <w:tc>
          <w:tcPr>
            <w:tcW w:w="2997" w:type="dxa"/>
            <w:vAlign w:val="top"/>
          </w:tcPr>
          <w:p w14:paraId="39E9EB16">
            <w:pPr>
              <w:pStyle w:val="6"/>
              <w:spacing w:before="54" w:line="237" w:lineRule="auto"/>
              <w:ind w:left="27" w:right="29"/>
              <w:rPr>
                <w:sz w:val="21"/>
                <w:szCs w:val="21"/>
              </w:rPr>
            </w:pPr>
            <w:r>
              <w:rPr>
                <w:spacing w:val="-1"/>
                <w:sz w:val="21"/>
                <w:szCs w:val="21"/>
              </w:rPr>
              <w:t>保护区，其中位于大莫古集镇水</w:t>
            </w:r>
            <w:r>
              <w:rPr>
                <w:spacing w:val="3"/>
                <w:sz w:val="21"/>
                <w:szCs w:val="21"/>
              </w:rPr>
              <w:t xml:space="preserve"> </w:t>
            </w:r>
            <w:r>
              <w:rPr>
                <w:spacing w:val="6"/>
                <w:sz w:val="21"/>
                <w:szCs w:val="21"/>
              </w:rPr>
              <w:t>厂水源地准保护区内的塔基数</w:t>
            </w:r>
            <w:r>
              <w:rPr>
                <w:spacing w:val="5"/>
                <w:sz w:val="21"/>
                <w:szCs w:val="21"/>
              </w:rPr>
              <w:t xml:space="preserve">  </w:t>
            </w:r>
            <w:r>
              <w:rPr>
                <w:spacing w:val="-1"/>
                <w:sz w:val="21"/>
                <w:szCs w:val="21"/>
              </w:rPr>
              <w:t>量为12座，架空线路长度为</w:t>
            </w:r>
          </w:p>
          <w:p w14:paraId="35B074BF">
            <w:pPr>
              <w:pStyle w:val="6"/>
              <w:spacing w:line="246" w:lineRule="auto"/>
              <w:ind w:left="47" w:right="33" w:firstLine="30"/>
              <w:rPr>
                <w:sz w:val="21"/>
                <w:szCs w:val="21"/>
              </w:rPr>
            </w:pPr>
            <w:r>
              <w:rPr>
                <w:spacing w:val="2"/>
                <w:sz w:val="21"/>
                <w:szCs w:val="21"/>
              </w:rPr>
              <w:t>3105m。本项目集电线路(埋地)</w:t>
            </w:r>
            <w:r>
              <w:rPr>
                <w:spacing w:val="6"/>
                <w:sz w:val="21"/>
                <w:szCs w:val="21"/>
              </w:rPr>
              <w:t xml:space="preserve"> </w:t>
            </w:r>
            <w:r>
              <w:rPr>
                <w:spacing w:val="1"/>
                <w:sz w:val="21"/>
                <w:szCs w:val="21"/>
              </w:rPr>
              <w:t>穿越饮用水水源准保护区约</w:t>
            </w:r>
          </w:p>
          <w:p w14:paraId="30071EB4">
            <w:pPr>
              <w:pStyle w:val="6"/>
              <w:spacing w:line="231" w:lineRule="auto"/>
              <w:ind w:left="126" w:right="112"/>
              <w:rPr>
                <w:sz w:val="21"/>
                <w:szCs w:val="21"/>
              </w:rPr>
            </w:pPr>
            <w:r>
              <w:rPr>
                <w:spacing w:val="-1"/>
                <w:sz w:val="21"/>
                <w:szCs w:val="21"/>
              </w:rPr>
              <w:t>450m。本项目集电线路穿越大</w:t>
            </w:r>
            <w:r>
              <w:rPr>
                <w:spacing w:val="6"/>
                <w:sz w:val="21"/>
                <w:szCs w:val="21"/>
              </w:rPr>
              <w:t xml:space="preserve"> </w:t>
            </w:r>
            <w:r>
              <w:rPr>
                <w:spacing w:val="1"/>
                <w:sz w:val="21"/>
                <w:szCs w:val="21"/>
              </w:rPr>
              <w:t>莫古集镇水厂水源地准保护区</w:t>
            </w:r>
          </w:p>
          <w:p w14:paraId="41D3FC2A">
            <w:pPr>
              <w:pStyle w:val="6"/>
              <w:spacing w:before="14" w:line="224" w:lineRule="auto"/>
              <w:ind w:left="16" w:right="111" w:firstLine="109"/>
              <w:rPr>
                <w:sz w:val="21"/>
                <w:szCs w:val="21"/>
              </w:rPr>
            </w:pPr>
            <w:r>
              <w:rPr>
                <w:spacing w:val="1"/>
                <w:sz w:val="21"/>
                <w:szCs w:val="21"/>
              </w:rPr>
              <w:t>路径已经取得陆良人民政府同</w:t>
            </w:r>
            <w:r>
              <w:rPr>
                <w:spacing w:val="4"/>
                <w:sz w:val="21"/>
                <w:szCs w:val="21"/>
              </w:rPr>
              <w:t xml:space="preserve"> </w:t>
            </w:r>
            <w:r>
              <w:rPr>
                <w:spacing w:val="-2"/>
                <w:sz w:val="21"/>
                <w:szCs w:val="21"/>
              </w:rPr>
              <w:t>意。</w:t>
            </w:r>
          </w:p>
        </w:tc>
        <w:tc>
          <w:tcPr>
            <w:tcW w:w="524" w:type="dxa"/>
            <w:vAlign w:val="top"/>
          </w:tcPr>
          <w:p w14:paraId="40E3B6CE">
            <w:pPr>
              <w:rPr>
                <w:rFonts w:ascii="Arial"/>
                <w:sz w:val="21"/>
              </w:rPr>
            </w:pPr>
          </w:p>
        </w:tc>
      </w:tr>
      <w:tr w14:paraId="6A48D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5" w:hRule="atLeast"/>
        </w:trPr>
        <w:tc>
          <w:tcPr>
            <w:tcW w:w="1263" w:type="dxa"/>
            <w:vMerge w:val="continue"/>
            <w:tcBorders>
              <w:top w:val="nil"/>
              <w:bottom w:val="nil"/>
            </w:tcBorders>
            <w:vAlign w:val="top"/>
          </w:tcPr>
          <w:p w14:paraId="757E0695">
            <w:pPr>
              <w:rPr>
                <w:rFonts w:ascii="Arial"/>
                <w:sz w:val="21"/>
              </w:rPr>
            </w:pPr>
          </w:p>
        </w:tc>
        <w:tc>
          <w:tcPr>
            <w:tcW w:w="789" w:type="dxa"/>
            <w:vAlign w:val="top"/>
          </w:tcPr>
          <w:p w14:paraId="28A9D939">
            <w:pPr>
              <w:spacing w:line="251" w:lineRule="auto"/>
              <w:rPr>
                <w:rFonts w:ascii="Arial"/>
                <w:sz w:val="21"/>
              </w:rPr>
            </w:pPr>
          </w:p>
          <w:p w14:paraId="0F8A29D2">
            <w:pPr>
              <w:spacing w:line="252" w:lineRule="auto"/>
              <w:rPr>
                <w:rFonts w:ascii="Arial"/>
                <w:sz w:val="21"/>
              </w:rPr>
            </w:pPr>
          </w:p>
          <w:p w14:paraId="5F23BD90">
            <w:pPr>
              <w:spacing w:line="252" w:lineRule="auto"/>
              <w:rPr>
                <w:rFonts w:ascii="Arial"/>
                <w:sz w:val="21"/>
              </w:rPr>
            </w:pPr>
          </w:p>
          <w:p w14:paraId="77B2DB7E">
            <w:pPr>
              <w:spacing w:line="252" w:lineRule="auto"/>
              <w:rPr>
                <w:rFonts w:ascii="Arial"/>
                <w:sz w:val="21"/>
              </w:rPr>
            </w:pPr>
          </w:p>
          <w:p w14:paraId="1729017F">
            <w:pPr>
              <w:spacing w:line="252" w:lineRule="auto"/>
              <w:rPr>
                <w:rFonts w:ascii="Arial"/>
                <w:sz w:val="21"/>
              </w:rPr>
            </w:pPr>
          </w:p>
          <w:p w14:paraId="1B054858">
            <w:pPr>
              <w:spacing w:line="252" w:lineRule="auto"/>
              <w:rPr>
                <w:rFonts w:ascii="Arial"/>
                <w:sz w:val="21"/>
              </w:rPr>
            </w:pPr>
          </w:p>
          <w:p w14:paraId="45198AE9">
            <w:pPr>
              <w:spacing w:line="252" w:lineRule="auto"/>
              <w:rPr>
                <w:rFonts w:ascii="Arial"/>
                <w:sz w:val="21"/>
              </w:rPr>
            </w:pPr>
          </w:p>
          <w:p w14:paraId="441E4AEF">
            <w:pPr>
              <w:spacing w:line="252" w:lineRule="auto"/>
              <w:rPr>
                <w:rFonts w:ascii="Arial"/>
                <w:sz w:val="21"/>
              </w:rPr>
            </w:pPr>
          </w:p>
          <w:p w14:paraId="41179949">
            <w:pPr>
              <w:spacing w:line="252" w:lineRule="auto"/>
              <w:rPr>
                <w:rFonts w:ascii="Arial"/>
                <w:sz w:val="21"/>
              </w:rPr>
            </w:pPr>
          </w:p>
          <w:p w14:paraId="242086AB">
            <w:pPr>
              <w:spacing w:line="252" w:lineRule="auto"/>
              <w:rPr>
                <w:rFonts w:ascii="Arial"/>
                <w:sz w:val="21"/>
              </w:rPr>
            </w:pPr>
          </w:p>
          <w:p w14:paraId="0A13F391">
            <w:pPr>
              <w:pStyle w:val="6"/>
              <w:spacing w:before="68" w:line="243" w:lineRule="auto"/>
              <w:ind w:left="41" w:right="45" w:firstLine="129"/>
              <w:rPr>
                <w:sz w:val="21"/>
                <w:szCs w:val="21"/>
              </w:rPr>
            </w:pPr>
            <w:r>
              <w:rPr>
                <w:spacing w:val="4"/>
                <w:sz w:val="21"/>
                <w:szCs w:val="21"/>
              </w:rPr>
              <w:t>各县</w:t>
            </w:r>
            <w:r>
              <w:rPr>
                <w:sz w:val="21"/>
                <w:szCs w:val="21"/>
              </w:rPr>
              <w:t xml:space="preserve">  </w:t>
            </w:r>
            <w:r>
              <w:rPr>
                <w:spacing w:val="-7"/>
                <w:sz w:val="21"/>
                <w:szCs w:val="21"/>
              </w:rPr>
              <w:t>( 市</w:t>
            </w:r>
            <w:r>
              <w:rPr>
                <w:spacing w:val="-17"/>
                <w:sz w:val="21"/>
                <w:szCs w:val="21"/>
              </w:rPr>
              <w:t xml:space="preserve"> </w:t>
            </w:r>
            <w:r>
              <w:rPr>
                <w:spacing w:val="-7"/>
                <w:sz w:val="21"/>
                <w:szCs w:val="21"/>
              </w:rPr>
              <w:t>、</w:t>
            </w:r>
            <w:r>
              <w:rPr>
                <w:sz w:val="21"/>
                <w:szCs w:val="21"/>
              </w:rPr>
              <w:t xml:space="preserve"> </w:t>
            </w:r>
            <w:r>
              <w:rPr>
                <w:spacing w:val="-15"/>
                <w:sz w:val="21"/>
                <w:szCs w:val="21"/>
              </w:rPr>
              <w:t>区</w:t>
            </w:r>
            <w:r>
              <w:rPr>
                <w:spacing w:val="-1"/>
                <w:sz w:val="21"/>
                <w:szCs w:val="21"/>
              </w:rPr>
              <w:t xml:space="preserve"> </w:t>
            </w:r>
            <w:r>
              <w:rPr>
                <w:spacing w:val="-15"/>
                <w:sz w:val="21"/>
                <w:szCs w:val="21"/>
              </w:rPr>
              <w:t>)</w:t>
            </w:r>
            <w:r>
              <w:rPr>
                <w:spacing w:val="1"/>
                <w:sz w:val="21"/>
                <w:szCs w:val="21"/>
              </w:rPr>
              <w:t xml:space="preserve"> </w:t>
            </w:r>
            <w:r>
              <w:rPr>
                <w:spacing w:val="-15"/>
                <w:sz w:val="21"/>
                <w:szCs w:val="21"/>
              </w:rPr>
              <w:t>一</w:t>
            </w:r>
          </w:p>
          <w:p w14:paraId="029918CB">
            <w:pPr>
              <w:pStyle w:val="6"/>
              <w:spacing w:line="220" w:lineRule="auto"/>
              <w:ind w:left="71"/>
              <w:rPr>
                <w:sz w:val="21"/>
                <w:szCs w:val="21"/>
              </w:rPr>
            </w:pPr>
            <w:r>
              <w:rPr>
                <w:spacing w:val="-2"/>
                <w:sz w:val="21"/>
                <w:szCs w:val="21"/>
              </w:rPr>
              <w:t>般生态</w:t>
            </w:r>
          </w:p>
          <w:p w14:paraId="2F6A983E">
            <w:pPr>
              <w:pStyle w:val="6"/>
              <w:spacing w:before="17" w:line="219" w:lineRule="auto"/>
              <w:ind w:left="71"/>
              <w:rPr>
                <w:sz w:val="21"/>
                <w:szCs w:val="21"/>
              </w:rPr>
            </w:pPr>
            <w:r>
              <w:rPr>
                <w:spacing w:val="2"/>
                <w:sz w:val="21"/>
                <w:szCs w:val="21"/>
              </w:rPr>
              <w:t>空间优</w:t>
            </w:r>
          </w:p>
          <w:p w14:paraId="306224B0">
            <w:pPr>
              <w:pStyle w:val="6"/>
              <w:spacing w:before="19" w:line="241" w:lineRule="auto"/>
              <w:ind w:left="170" w:right="61" w:hanging="99"/>
              <w:rPr>
                <w:sz w:val="21"/>
                <w:szCs w:val="21"/>
              </w:rPr>
            </w:pPr>
            <w:r>
              <w:rPr>
                <w:spacing w:val="5"/>
                <w:sz w:val="21"/>
                <w:szCs w:val="21"/>
              </w:rPr>
              <w:t>先保护</w:t>
            </w:r>
            <w:r>
              <w:rPr>
                <w:sz w:val="21"/>
                <w:szCs w:val="21"/>
              </w:rPr>
              <w:t xml:space="preserve"> </w:t>
            </w:r>
            <w:r>
              <w:rPr>
                <w:spacing w:val="-3"/>
                <w:sz w:val="21"/>
                <w:szCs w:val="21"/>
              </w:rPr>
              <w:t>单元</w:t>
            </w:r>
          </w:p>
        </w:tc>
        <w:tc>
          <w:tcPr>
            <w:tcW w:w="3336" w:type="dxa"/>
            <w:vAlign w:val="top"/>
          </w:tcPr>
          <w:p w14:paraId="2D9551D9">
            <w:pPr>
              <w:pStyle w:val="6"/>
              <w:spacing w:before="40" w:line="219" w:lineRule="auto"/>
              <w:ind w:left="82"/>
              <w:rPr>
                <w:sz w:val="21"/>
                <w:szCs w:val="21"/>
              </w:rPr>
            </w:pPr>
            <w:r>
              <w:rPr>
                <w:sz w:val="21"/>
                <w:szCs w:val="21"/>
              </w:rPr>
              <w:t>1.一般生态空间优先保护单元以保</w:t>
            </w:r>
          </w:p>
          <w:p w14:paraId="7B32AEC9">
            <w:pPr>
              <w:pStyle w:val="6"/>
              <w:spacing w:before="19" w:line="219" w:lineRule="auto"/>
              <w:jc w:val="right"/>
              <w:rPr>
                <w:sz w:val="21"/>
                <w:szCs w:val="21"/>
              </w:rPr>
            </w:pPr>
            <w:r>
              <w:rPr>
                <w:spacing w:val="-3"/>
                <w:sz w:val="21"/>
                <w:szCs w:val="21"/>
              </w:rPr>
              <w:t>护和修复生态环境、提供生态产品为</w:t>
            </w:r>
          </w:p>
          <w:p w14:paraId="6AAD1EB1">
            <w:pPr>
              <w:pStyle w:val="6"/>
              <w:spacing w:before="22" w:line="219" w:lineRule="auto"/>
              <w:jc w:val="right"/>
              <w:rPr>
                <w:sz w:val="21"/>
                <w:szCs w:val="21"/>
              </w:rPr>
            </w:pPr>
            <w:r>
              <w:rPr>
                <w:spacing w:val="-3"/>
                <w:sz w:val="21"/>
                <w:szCs w:val="21"/>
              </w:rPr>
              <w:t>首要任务，参照主体功能区中重点生</w:t>
            </w:r>
          </w:p>
          <w:p w14:paraId="60D87404">
            <w:pPr>
              <w:pStyle w:val="6"/>
              <w:spacing w:before="10" w:line="219" w:lineRule="auto"/>
              <w:ind w:left="82"/>
              <w:rPr>
                <w:sz w:val="21"/>
                <w:szCs w:val="21"/>
              </w:rPr>
            </w:pPr>
            <w:r>
              <w:rPr>
                <w:spacing w:val="-1"/>
                <w:sz w:val="21"/>
                <w:szCs w:val="21"/>
              </w:rPr>
              <w:t>态功能区的开发和管制原则进行管</w:t>
            </w:r>
          </w:p>
          <w:p w14:paraId="71E8C794">
            <w:pPr>
              <w:pStyle w:val="6"/>
              <w:spacing w:before="21" w:line="219" w:lineRule="auto"/>
              <w:jc w:val="right"/>
              <w:rPr>
                <w:sz w:val="21"/>
                <w:szCs w:val="21"/>
              </w:rPr>
            </w:pPr>
            <w:r>
              <w:rPr>
                <w:spacing w:val="-3"/>
                <w:sz w:val="21"/>
                <w:szCs w:val="21"/>
              </w:rPr>
              <w:t>控，加强资源环境承载力控制，防止</w:t>
            </w:r>
          </w:p>
          <w:p w14:paraId="6A14A1EB">
            <w:pPr>
              <w:pStyle w:val="6"/>
              <w:spacing w:before="39" w:line="219" w:lineRule="auto"/>
              <w:jc w:val="right"/>
              <w:rPr>
                <w:sz w:val="21"/>
                <w:szCs w:val="21"/>
              </w:rPr>
            </w:pPr>
            <w:r>
              <w:rPr>
                <w:spacing w:val="-16"/>
                <w:sz w:val="21"/>
                <w:szCs w:val="21"/>
              </w:rPr>
              <w:t>过度垦殖、放牧、采伐、取水、渔猎、</w:t>
            </w:r>
          </w:p>
          <w:p w14:paraId="4FA59E8E">
            <w:pPr>
              <w:pStyle w:val="6"/>
              <w:spacing w:before="23" w:line="219" w:lineRule="auto"/>
              <w:jc w:val="right"/>
              <w:rPr>
                <w:sz w:val="21"/>
                <w:szCs w:val="21"/>
              </w:rPr>
            </w:pPr>
            <w:r>
              <w:rPr>
                <w:spacing w:val="-3"/>
                <w:sz w:val="21"/>
                <w:szCs w:val="21"/>
              </w:rPr>
              <w:t>旅游等对生态功能造成损害，确保自</w:t>
            </w:r>
          </w:p>
          <w:p w14:paraId="0A8A68AE">
            <w:pPr>
              <w:pStyle w:val="6"/>
              <w:spacing w:before="21" w:line="219" w:lineRule="auto"/>
              <w:jc w:val="right"/>
              <w:rPr>
                <w:sz w:val="21"/>
                <w:szCs w:val="21"/>
              </w:rPr>
            </w:pPr>
            <w:r>
              <w:rPr>
                <w:spacing w:val="-3"/>
                <w:sz w:val="21"/>
                <w:szCs w:val="21"/>
              </w:rPr>
              <w:t>然生态系统稳定。涉及占用一般生态</w:t>
            </w:r>
          </w:p>
          <w:p w14:paraId="0BD198F6">
            <w:pPr>
              <w:pStyle w:val="6"/>
              <w:spacing w:before="20" w:line="219" w:lineRule="auto"/>
              <w:ind w:left="82"/>
              <w:rPr>
                <w:sz w:val="21"/>
                <w:szCs w:val="21"/>
              </w:rPr>
            </w:pPr>
            <w:r>
              <w:rPr>
                <w:sz w:val="21"/>
                <w:szCs w:val="21"/>
              </w:rPr>
              <w:t>空间的开发活动应符合相关法律法</w:t>
            </w:r>
          </w:p>
          <w:p w14:paraId="117B8391">
            <w:pPr>
              <w:pStyle w:val="6"/>
              <w:spacing w:before="31" w:line="219" w:lineRule="auto"/>
              <w:jc w:val="right"/>
              <w:rPr>
                <w:sz w:val="21"/>
                <w:szCs w:val="21"/>
              </w:rPr>
            </w:pPr>
            <w:r>
              <w:rPr>
                <w:spacing w:val="-3"/>
                <w:sz w:val="21"/>
                <w:szCs w:val="21"/>
              </w:rPr>
              <w:t>规规定，没有明确规定的，加强论证</w:t>
            </w:r>
          </w:p>
          <w:p w14:paraId="5A9B4363">
            <w:pPr>
              <w:pStyle w:val="6"/>
              <w:spacing w:before="21" w:line="219" w:lineRule="auto"/>
              <w:jc w:val="right"/>
              <w:rPr>
                <w:sz w:val="21"/>
                <w:szCs w:val="21"/>
              </w:rPr>
            </w:pPr>
            <w:r>
              <w:rPr>
                <w:spacing w:val="-3"/>
                <w:sz w:val="21"/>
                <w:szCs w:val="21"/>
              </w:rPr>
              <w:t>和管理。2.暂未纳入生态保护红线的</w:t>
            </w:r>
          </w:p>
          <w:p w14:paraId="0E14041A">
            <w:pPr>
              <w:pStyle w:val="6"/>
              <w:spacing w:before="21" w:line="219" w:lineRule="auto"/>
              <w:ind w:left="82"/>
              <w:rPr>
                <w:sz w:val="21"/>
                <w:szCs w:val="21"/>
              </w:rPr>
            </w:pPr>
            <w:r>
              <w:rPr>
                <w:sz w:val="21"/>
                <w:szCs w:val="21"/>
              </w:rPr>
              <w:t>自然保护地按照相关保护地法律法</w:t>
            </w:r>
          </w:p>
          <w:p w14:paraId="5E697114">
            <w:pPr>
              <w:pStyle w:val="6"/>
              <w:spacing w:before="21" w:line="219" w:lineRule="auto"/>
              <w:jc w:val="right"/>
              <w:rPr>
                <w:sz w:val="21"/>
                <w:szCs w:val="21"/>
              </w:rPr>
            </w:pPr>
            <w:r>
              <w:rPr>
                <w:spacing w:val="-3"/>
                <w:sz w:val="21"/>
                <w:szCs w:val="21"/>
              </w:rPr>
              <w:t>规进行管理；自然保护地优化整合成</w:t>
            </w:r>
          </w:p>
          <w:p w14:paraId="496F5579">
            <w:pPr>
              <w:pStyle w:val="6"/>
              <w:spacing w:before="31" w:line="219" w:lineRule="auto"/>
              <w:ind w:left="82"/>
              <w:rPr>
                <w:sz w:val="21"/>
                <w:szCs w:val="21"/>
              </w:rPr>
            </w:pPr>
            <w:r>
              <w:rPr>
                <w:sz w:val="21"/>
                <w:szCs w:val="21"/>
              </w:rPr>
              <w:t>果获批前，按现行有效法律法规管</w:t>
            </w:r>
          </w:p>
          <w:p w14:paraId="31CAEB37">
            <w:pPr>
              <w:pStyle w:val="6"/>
              <w:spacing w:before="19" w:line="219" w:lineRule="auto"/>
              <w:jc w:val="right"/>
              <w:rPr>
                <w:sz w:val="21"/>
                <w:szCs w:val="21"/>
              </w:rPr>
            </w:pPr>
            <w:r>
              <w:rPr>
                <w:spacing w:val="-3"/>
                <w:sz w:val="21"/>
                <w:szCs w:val="21"/>
              </w:rPr>
              <w:t>理。重要湿地依据《湿地保护管理规</w:t>
            </w:r>
          </w:p>
          <w:p w14:paraId="244D28CF">
            <w:pPr>
              <w:pStyle w:val="6"/>
              <w:spacing w:before="43" w:line="219" w:lineRule="auto"/>
              <w:jc w:val="right"/>
              <w:rPr>
                <w:sz w:val="21"/>
                <w:szCs w:val="21"/>
              </w:rPr>
            </w:pPr>
            <w:r>
              <w:rPr>
                <w:spacing w:val="-3"/>
                <w:sz w:val="21"/>
                <w:szCs w:val="21"/>
              </w:rPr>
              <w:t>定》《云南省湿地保护条例》《云南</w:t>
            </w:r>
          </w:p>
          <w:p w14:paraId="390D55CC">
            <w:pPr>
              <w:pStyle w:val="6"/>
              <w:spacing w:before="19" w:line="219" w:lineRule="auto"/>
              <w:ind w:left="82"/>
              <w:rPr>
                <w:sz w:val="21"/>
                <w:szCs w:val="21"/>
              </w:rPr>
            </w:pPr>
            <w:r>
              <w:rPr>
                <w:sz w:val="21"/>
                <w:szCs w:val="21"/>
              </w:rPr>
              <w:t>省人民政府关于加强湿地保护工作</w:t>
            </w:r>
          </w:p>
          <w:p w14:paraId="1367C28B">
            <w:pPr>
              <w:pStyle w:val="6"/>
              <w:spacing w:before="1" w:line="219" w:lineRule="auto"/>
              <w:jc w:val="right"/>
              <w:rPr>
                <w:sz w:val="21"/>
                <w:szCs w:val="21"/>
              </w:rPr>
            </w:pPr>
            <w:r>
              <w:rPr>
                <w:spacing w:val="-3"/>
                <w:sz w:val="21"/>
                <w:szCs w:val="21"/>
              </w:rPr>
              <w:t>的意见》等进行管理；生态公益林依</w:t>
            </w:r>
          </w:p>
          <w:p w14:paraId="64C4F6F1">
            <w:pPr>
              <w:pStyle w:val="6"/>
              <w:spacing w:before="32" w:line="219" w:lineRule="auto"/>
              <w:jc w:val="right"/>
              <w:rPr>
                <w:sz w:val="21"/>
                <w:szCs w:val="21"/>
              </w:rPr>
            </w:pPr>
            <w:r>
              <w:rPr>
                <w:spacing w:val="-3"/>
                <w:sz w:val="21"/>
                <w:szCs w:val="21"/>
              </w:rPr>
              <w:t>据《国家级公益林管理办法》《云南</w:t>
            </w:r>
          </w:p>
          <w:p w14:paraId="1B1C52C7">
            <w:pPr>
              <w:pStyle w:val="6"/>
              <w:spacing w:before="21" w:line="219" w:lineRule="auto"/>
              <w:jc w:val="right"/>
              <w:rPr>
                <w:sz w:val="21"/>
                <w:szCs w:val="21"/>
              </w:rPr>
            </w:pPr>
            <w:r>
              <w:rPr>
                <w:spacing w:val="-3"/>
                <w:sz w:val="21"/>
                <w:szCs w:val="21"/>
              </w:rPr>
              <w:t>省地方公益林管理办法》进行管理；</w:t>
            </w:r>
          </w:p>
          <w:p w14:paraId="41E8AE3C">
            <w:pPr>
              <w:pStyle w:val="6"/>
              <w:spacing w:before="40" w:line="219" w:lineRule="auto"/>
              <w:jc w:val="right"/>
              <w:rPr>
                <w:sz w:val="21"/>
                <w:szCs w:val="21"/>
              </w:rPr>
            </w:pPr>
            <w:r>
              <w:rPr>
                <w:spacing w:val="-3"/>
                <w:sz w:val="21"/>
                <w:szCs w:val="21"/>
              </w:rPr>
              <w:t>天然林依据《国家林业局关于严格保</w:t>
            </w:r>
          </w:p>
          <w:p w14:paraId="579553B1">
            <w:pPr>
              <w:pStyle w:val="6"/>
              <w:spacing w:before="22" w:line="219" w:lineRule="auto"/>
              <w:ind w:left="82"/>
              <w:rPr>
                <w:sz w:val="21"/>
                <w:szCs w:val="21"/>
              </w:rPr>
            </w:pPr>
            <w:r>
              <w:rPr>
                <w:spacing w:val="2"/>
                <w:sz w:val="21"/>
                <w:szCs w:val="21"/>
              </w:rPr>
              <w:t>护天然林的通知》(林资发〔2015)</w:t>
            </w:r>
          </w:p>
          <w:p w14:paraId="5663F0AA">
            <w:pPr>
              <w:pStyle w:val="6"/>
              <w:spacing w:before="21" w:line="219" w:lineRule="auto"/>
              <w:ind w:left="82"/>
              <w:rPr>
                <w:sz w:val="21"/>
                <w:szCs w:val="21"/>
              </w:rPr>
            </w:pPr>
            <w:r>
              <w:rPr>
                <w:sz w:val="21"/>
                <w:szCs w:val="21"/>
              </w:rPr>
              <w:t>181号)、《中共中央办公厅国务院</w:t>
            </w:r>
          </w:p>
          <w:p w14:paraId="571C0FD3">
            <w:pPr>
              <w:pStyle w:val="6"/>
              <w:spacing w:before="11" w:line="219" w:lineRule="auto"/>
              <w:jc w:val="right"/>
              <w:rPr>
                <w:sz w:val="21"/>
                <w:szCs w:val="21"/>
              </w:rPr>
            </w:pPr>
            <w:r>
              <w:rPr>
                <w:spacing w:val="-3"/>
                <w:sz w:val="21"/>
                <w:szCs w:val="21"/>
              </w:rPr>
              <w:t>办公厅关于印发〈天然林保护修复制</w:t>
            </w:r>
          </w:p>
          <w:p w14:paraId="3C8FFF5B">
            <w:pPr>
              <w:pStyle w:val="6"/>
              <w:spacing w:before="21" w:line="193" w:lineRule="auto"/>
              <w:ind w:left="32"/>
              <w:rPr>
                <w:sz w:val="21"/>
                <w:szCs w:val="21"/>
              </w:rPr>
            </w:pPr>
            <w:r>
              <w:rPr>
                <w:spacing w:val="-1"/>
                <w:sz w:val="21"/>
                <w:szCs w:val="21"/>
              </w:rPr>
              <w:t>度方案〉的通知》(厅字〔2019〕39</w:t>
            </w:r>
          </w:p>
          <w:p w14:paraId="01081308">
            <w:pPr>
              <w:pStyle w:val="6"/>
              <w:spacing w:line="219" w:lineRule="auto"/>
              <w:ind w:left="822"/>
              <w:rPr>
                <w:sz w:val="21"/>
                <w:szCs w:val="21"/>
              </w:rPr>
            </w:pPr>
            <w:r>
              <w:rPr>
                <w:sz w:val="21"/>
                <w:szCs w:val="21"/>
              </w:rPr>
              <w:t>号)等进行管理。</w:t>
            </w:r>
          </w:p>
        </w:tc>
        <w:tc>
          <w:tcPr>
            <w:tcW w:w="2997" w:type="dxa"/>
            <w:vAlign w:val="top"/>
          </w:tcPr>
          <w:p w14:paraId="6E4B4E53">
            <w:pPr>
              <w:pStyle w:val="6"/>
              <w:spacing w:before="39" w:line="219" w:lineRule="auto"/>
              <w:jc w:val="right"/>
              <w:rPr>
                <w:sz w:val="21"/>
                <w:szCs w:val="21"/>
              </w:rPr>
            </w:pPr>
            <w:r>
              <w:rPr>
                <w:spacing w:val="5"/>
                <w:sz w:val="21"/>
                <w:szCs w:val="21"/>
              </w:rPr>
              <w:t>1、本项目不涉及垦殖、放牧、</w:t>
            </w:r>
          </w:p>
          <w:p w14:paraId="64255AA8">
            <w:pPr>
              <w:pStyle w:val="6"/>
              <w:spacing w:before="21" w:line="219" w:lineRule="auto"/>
              <w:jc w:val="right"/>
              <w:rPr>
                <w:sz w:val="21"/>
                <w:szCs w:val="21"/>
              </w:rPr>
            </w:pPr>
            <w:r>
              <w:rPr>
                <w:spacing w:val="1"/>
                <w:sz w:val="21"/>
                <w:szCs w:val="21"/>
              </w:rPr>
              <w:t>采伐、渔猎、旅游等活动。项目</w:t>
            </w:r>
          </w:p>
          <w:p w14:paraId="3D26D120">
            <w:pPr>
              <w:pStyle w:val="6"/>
              <w:spacing w:before="20" w:line="219" w:lineRule="auto"/>
              <w:ind w:left="126"/>
              <w:rPr>
                <w:sz w:val="21"/>
                <w:szCs w:val="21"/>
              </w:rPr>
            </w:pPr>
            <w:r>
              <w:rPr>
                <w:spacing w:val="-1"/>
                <w:sz w:val="21"/>
                <w:szCs w:val="21"/>
              </w:rPr>
              <w:t>仅运营期涉及在光伏板周边水</w:t>
            </w:r>
          </w:p>
          <w:p w14:paraId="53298541">
            <w:pPr>
              <w:pStyle w:val="6"/>
              <w:spacing w:before="10" w:line="219" w:lineRule="auto"/>
              <w:jc w:val="right"/>
              <w:rPr>
                <w:sz w:val="21"/>
                <w:szCs w:val="21"/>
              </w:rPr>
            </w:pPr>
            <w:r>
              <w:rPr>
                <w:spacing w:val="1"/>
                <w:sz w:val="21"/>
                <w:szCs w:val="21"/>
              </w:rPr>
              <w:t>库取水进行光伏板清洗，但项目</w:t>
            </w:r>
          </w:p>
          <w:p w14:paraId="0F3BC375">
            <w:pPr>
              <w:pStyle w:val="6"/>
              <w:spacing w:before="22" w:line="219" w:lineRule="auto"/>
              <w:jc w:val="right"/>
              <w:rPr>
                <w:sz w:val="21"/>
                <w:szCs w:val="21"/>
              </w:rPr>
            </w:pPr>
            <w:r>
              <w:rPr>
                <w:spacing w:val="1"/>
                <w:sz w:val="21"/>
                <w:szCs w:val="21"/>
              </w:rPr>
              <w:t>取水量不大，对水库、小甘河、</w:t>
            </w:r>
          </w:p>
          <w:p w14:paraId="588EEEDD">
            <w:pPr>
              <w:pStyle w:val="6"/>
              <w:spacing w:before="39" w:line="219" w:lineRule="auto"/>
              <w:ind w:left="27"/>
              <w:rPr>
                <w:sz w:val="21"/>
                <w:szCs w:val="21"/>
              </w:rPr>
            </w:pPr>
            <w:r>
              <w:rPr>
                <w:sz w:val="21"/>
                <w:szCs w:val="21"/>
              </w:rPr>
              <w:t>中坝河的影响有限，不会对生态</w:t>
            </w:r>
          </w:p>
          <w:p w14:paraId="20C3BD87">
            <w:pPr>
              <w:pStyle w:val="6"/>
              <w:spacing w:before="23" w:line="220" w:lineRule="auto"/>
              <w:ind w:left="286"/>
              <w:rPr>
                <w:sz w:val="21"/>
                <w:szCs w:val="21"/>
              </w:rPr>
            </w:pPr>
            <w:r>
              <w:rPr>
                <w:spacing w:val="-1"/>
                <w:sz w:val="21"/>
                <w:szCs w:val="21"/>
              </w:rPr>
              <w:t>功能及生态系统造成损害。</w:t>
            </w:r>
          </w:p>
          <w:p w14:paraId="330600DF">
            <w:pPr>
              <w:pStyle w:val="6"/>
              <w:spacing w:before="19" w:line="219" w:lineRule="auto"/>
              <w:ind w:left="77"/>
              <w:rPr>
                <w:sz w:val="21"/>
                <w:szCs w:val="21"/>
              </w:rPr>
            </w:pPr>
            <w:r>
              <w:rPr>
                <w:sz w:val="21"/>
                <w:szCs w:val="21"/>
              </w:rPr>
              <w:t>2、根据陆良县自然资源局查询</w:t>
            </w:r>
          </w:p>
          <w:p w14:paraId="1F3336A1">
            <w:pPr>
              <w:pStyle w:val="6"/>
              <w:spacing w:before="21" w:line="219" w:lineRule="auto"/>
              <w:ind w:left="27"/>
              <w:rPr>
                <w:sz w:val="21"/>
                <w:szCs w:val="21"/>
              </w:rPr>
            </w:pPr>
            <w:r>
              <w:rPr>
                <w:sz w:val="21"/>
                <w:szCs w:val="21"/>
              </w:rPr>
              <w:t>结果：项目用地范围不在城镇开</w:t>
            </w:r>
          </w:p>
          <w:p w14:paraId="24C1F0BE">
            <w:pPr>
              <w:pStyle w:val="6"/>
              <w:spacing w:before="11" w:line="219" w:lineRule="auto"/>
              <w:ind w:left="27"/>
              <w:rPr>
                <w:sz w:val="21"/>
                <w:szCs w:val="21"/>
              </w:rPr>
            </w:pPr>
            <w:r>
              <w:rPr>
                <w:spacing w:val="1"/>
                <w:sz w:val="21"/>
                <w:szCs w:val="21"/>
              </w:rPr>
              <w:t>发边界内，不涉及生态保护红线</w:t>
            </w:r>
          </w:p>
          <w:p w14:paraId="37F8182C">
            <w:pPr>
              <w:pStyle w:val="6"/>
              <w:spacing w:before="40" w:line="219" w:lineRule="auto"/>
              <w:ind w:left="126"/>
              <w:rPr>
                <w:sz w:val="21"/>
                <w:szCs w:val="21"/>
              </w:rPr>
            </w:pPr>
            <w:r>
              <w:rPr>
                <w:spacing w:val="-1"/>
                <w:sz w:val="21"/>
                <w:szCs w:val="21"/>
              </w:rPr>
              <w:t>和永久基本农田保护红线；此</w:t>
            </w:r>
          </w:p>
          <w:p w14:paraId="3D7A5282">
            <w:pPr>
              <w:pStyle w:val="6"/>
              <w:spacing w:before="20" w:line="219" w:lineRule="auto"/>
              <w:ind w:left="27"/>
              <w:rPr>
                <w:sz w:val="21"/>
                <w:szCs w:val="21"/>
              </w:rPr>
            </w:pPr>
            <w:r>
              <w:rPr>
                <w:sz w:val="21"/>
                <w:szCs w:val="21"/>
              </w:rPr>
              <w:t>外，本项目也不涉及未划入生态</w:t>
            </w:r>
          </w:p>
          <w:p w14:paraId="7DA4AFDB">
            <w:pPr>
              <w:pStyle w:val="6"/>
              <w:spacing w:before="23" w:line="220" w:lineRule="auto"/>
              <w:ind w:left="27"/>
              <w:rPr>
                <w:sz w:val="21"/>
                <w:szCs w:val="21"/>
              </w:rPr>
            </w:pPr>
            <w:r>
              <w:rPr>
                <w:spacing w:val="-1"/>
                <w:sz w:val="21"/>
                <w:szCs w:val="21"/>
              </w:rPr>
              <w:t>保护红线的自然保护地、重要湿</w:t>
            </w:r>
          </w:p>
          <w:p w14:paraId="7ED24BA8">
            <w:pPr>
              <w:pStyle w:val="6"/>
              <w:spacing w:before="18" w:line="219" w:lineRule="auto"/>
              <w:ind w:left="27"/>
              <w:rPr>
                <w:sz w:val="21"/>
                <w:szCs w:val="21"/>
              </w:rPr>
            </w:pPr>
            <w:r>
              <w:rPr>
                <w:spacing w:val="-1"/>
                <w:sz w:val="21"/>
                <w:szCs w:val="21"/>
              </w:rPr>
              <w:t>地；项目光伏组件布设时已避开</w:t>
            </w:r>
          </w:p>
          <w:p w14:paraId="1A6910E9">
            <w:pPr>
              <w:pStyle w:val="6"/>
              <w:spacing w:before="22" w:line="219" w:lineRule="auto"/>
              <w:ind w:left="27"/>
              <w:rPr>
                <w:sz w:val="21"/>
                <w:szCs w:val="21"/>
              </w:rPr>
            </w:pPr>
            <w:r>
              <w:rPr>
                <w:spacing w:val="-1"/>
                <w:sz w:val="21"/>
                <w:szCs w:val="21"/>
              </w:rPr>
              <w:t>长势较好的自然植被，尽量选择</w:t>
            </w:r>
          </w:p>
          <w:p w14:paraId="263D4705">
            <w:pPr>
              <w:pStyle w:val="6"/>
              <w:spacing w:before="41" w:line="219" w:lineRule="auto"/>
              <w:ind w:left="27"/>
              <w:rPr>
                <w:sz w:val="21"/>
                <w:szCs w:val="21"/>
              </w:rPr>
            </w:pPr>
            <w:r>
              <w:rPr>
                <w:spacing w:val="-1"/>
                <w:sz w:val="21"/>
                <w:szCs w:val="21"/>
              </w:rPr>
              <w:t>荒草地。项目涉及的陆良县一般</w:t>
            </w:r>
          </w:p>
          <w:p w14:paraId="7D13C098">
            <w:pPr>
              <w:pStyle w:val="6"/>
              <w:spacing w:before="20" w:line="219" w:lineRule="auto"/>
              <w:jc w:val="right"/>
              <w:rPr>
                <w:sz w:val="21"/>
                <w:szCs w:val="21"/>
              </w:rPr>
            </w:pPr>
            <w:r>
              <w:rPr>
                <w:spacing w:val="1"/>
                <w:sz w:val="21"/>
                <w:szCs w:val="21"/>
              </w:rPr>
              <w:t>生态空间优先保护单元依据《中</w:t>
            </w:r>
          </w:p>
          <w:p w14:paraId="715C4D59">
            <w:pPr>
              <w:pStyle w:val="6"/>
              <w:spacing w:before="2" w:line="219" w:lineRule="auto"/>
              <w:ind w:left="27"/>
              <w:rPr>
                <w:sz w:val="21"/>
                <w:szCs w:val="21"/>
              </w:rPr>
            </w:pPr>
            <w:r>
              <w:rPr>
                <w:sz w:val="21"/>
                <w:szCs w:val="21"/>
              </w:rPr>
              <w:t>华人民共和国草原法》《国家级</w:t>
            </w:r>
          </w:p>
          <w:p w14:paraId="12B2E536">
            <w:pPr>
              <w:pStyle w:val="6"/>
              <w:spacing w:before="31" w:line="219" w:lineRule="auto"/>
              <w:ind w:left="27"/>
              <w:rPr>
                <w:sz w:val="21"/>
                <w:szCs w:val="21"/>
              </w:rPr>
            </w:pPr>
            <w:r>
              <w:rPr>
                <w:sz w:val="21"/>
                <w:szCs w:val="21"/>
              </w:rPr>
              <w:t>公益林管理办法》《云南省地方</w:t>
            </w:r>
          </w:p>
          <w:p w14:paraId="335D1B92">
            <w:pPr>
              <w:pStyle w:val="6"/>
              <w:spacing w:before="21" w:line="219" w:lineRule="auto"/>
              <w:ind w:left="27"/>
              <w:rPr>
                <w:sz w:val="21"/>
                <w:szCs w:val="21"/>
              </w:rPr>
            </w:pPr>
            <w:r>
              <w:rPr>
                <w:sz w:val="21"/>
                <w:szCs w:val="21"/>
              </w:rPr>
              <w:t>公益林管理办法》及《国家林业</w:t>
            </w:r>
          </w:p>
          <w:p w14:paraId="52C82C78">
            <w:pPr>
              <w:pStyle w:val="6"/>
              <w:spacing w:before="41" w:line="219" w:lineRule="auto"/>
              <w:jc w:val="right"/>
              <w:rPr>
                <w:sz w:val="21"/>
                <w:szCs w:val="21"/>
              </w:rPr>
            </w:pPr>
            <w:r>
              <w:rPr>
                <w:spacing w:val="-3"/>
                <w:sz w:val="21"/>
                <w:szCs w:val="21"/>
              </w:rPr>
              <w:t>局关于严格保护天然林的通知》</w:t>
            </w:r>
          </w:p>
          <w:p w14:paraId="7CD18857">
            <w:pPr>
              <w:pStyle w:val="6"/>
              <w:spacing w:before="21" w:line="219" w:lineRule="auto"/>
              <w:ind w:left="77"/>
              <w:rPr>
                <w:sz w:val="21"/>
                <w:szCs w:val="21"/>
              </w:rPr>
            </w:pPr>
            <w:r>
              <w:rPr>
                <w:sz w:val="21"/>
                <w:szCs w:val="21"/>
              </w:rPr>
              <w:t>(林资发〔2015〕181号)、《中</w:t>
            </w:r>
          </w:p>
          <w:p w14:paraId="33D1DB51">
            <w:pPr>
              <w:pStyle w:val="6"/>
              <w:spacing w:before="21" w:line="219" w:lineRule="auto"/>
              <w:ind w:left="126"/>
              <w:rPr>
                <w:sz w:val="21"/>
                <w:szCs w:val="21"/>
              </w:rPr>
            </w:pPr>
            <w:r>
              <w:rPr>
                <w:spacing w:val="-1"/>
                <w:sz w:val="21"/>
                <w:szCs w:val="21"/>
              </w:rPr>
              <w:t>共中央办公厅国务院办公厅关</w:t>
            </w:r>
          </w:p>
          <w:p w14:paraId="63C5951F">
            <w:pPr>
              <w:pStyle w:val="6"/>
              <w:spacing w:before="10" w:line="219" w:lineRule="auto"/>
              <w:ind w:left="27"/>
              <w:rPr>
                <w:sz w:val="21"/>
                <w:szCs w:val="21"/>
              </w:rPr>
            </w:pPr>
            <w:r>
              <w:rPr>
                <w:spacing w:val="-1"/>
                <w:sz w:val="21"/>
                <w:szCs w:val="21"/>
              </w:rPr>
              <w:t>于印发〈天然林保护修复制度方</w:t>
            </w:r>
          </w:p>
          <w:p w14:paraId="4D6DA01E">
            <w:pPr>
              <w:pStyle w:val="6"/>
              <w:spacing w:before="21" w:line="202" w:lineRule="auto"/>
              <w:ind w:left="126"/>
              <w:rPr>
                <w:sz w:val="21"/>
                <w:szCs w:val="21"/>
              </w:rPr>
            </w:pPr>
            <w:r>
              <w:rPr>
                <w:sz w:val="21"/>
                <w:szCs w:val="21"/>
              </w:rPr>
              <w:t>案&gt;的通知》(厅字〔2019〕39</w:t>
            </w:r>
          </w:p>
          <w:p w14:paraId="29E9B336">
            <w:pPr>
              <w:pStyle w:val="6"/>
              <w:spacing w:line="219" w:lineRule="auto"/>
              <w:ind w:left="646"/>
              <w:rPr>
                <w:sz w:val="21"/>
                <w:szCs w:val="21"/>
              </w:rPr>
            </w:pPr>
            <w:r>
              <w:rPr>
                <w:sz w:val="21"/>
                <w:szCs w:val="21"/>
              </w:rPr>
              <w:t>号)等进行管理。</w:t>
            </w:r>
          </w:p>
        </w:tc>
        <w:tc>
          <w:tcPr>
            <w:tcW w:w="524" w:type="dxa"/>
            <w:textDirection w:val="tbRlV"/>
            <w:vAlign w:val="top"/>
          </w:tcPr>
          <w:p w14:paraId="5EB4C5B9">
            <w:pPr>
              <w:pStyle w:val="6"/>
              <w:spacing w:before="162" w:line="200" w:lineRule="auto"/>
              <w:ind w:left="3261"/>
              <w:rPr>
                <w:sz w:val="21"/>
                <w:szCs w:val="21"/>
              </w:rPr>
            </w:pPr>
            <w:r>
              <w:rPr>
                <w:sz w:val="21"/>
                <w:szCs w:val="21"/>
              </w:rPr>
              <w:t>符</w:t>
            </w:r>
            <w:r>
              <w:rPr>
                <w:spacing w:val="13"/>
                <w:sz w:val="21"/>
                <w:szCs w:val="21"/>
              </w:rPr>
              <w:t xml:space="preserve"> </w:t>
            </w:r>
            <w:r>
              <w:rPr>
                <w:sz w:val="21"/>
                <w:szCs w:val="21"/>
              </w:rPr>
              <w:t>合</w:t>
            </w:r>
          </w:p>
        </w:tc>
      </w:tr>
      <w:tr w14:paraId="5436B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263" w:type="dxa"/>
            <w:vMerge w:val="continue"/>
            <w:tcBorders>
              <w:top w:val="nil"/>
              <w:bottom w:val="nil"/>
            </w:tcBorders>
            <w:vAlign w:val="top"/>
          </w:tcPr>
          <w:p w14:paraId="0C4A020D">
            <w:pPr>
              <w:rPr>
                <w:rFonts w:ascii="Arial"/>
                <w:sz w:val="21"/>
              </w:rPr>
            </w:pPr>
          </w:p>
        </w:tc>
        <w:tc>
          <w:tcPr>
            <w:tcW w:w="7646" w:type="dxa"/>
            <w:gridSpan w:val="4"/>
            <w:vAlign w:val="top"/>
          </w:tcPr>
          <w:p w14:paraId="5A337C05">
            <w:pPr>
              <w:pStyle w:val="6"/>
              <w:spacing w:before="62" w:line="218" w:lineRule="auto"/>
              <w:ind w:left="274"/>
              <w:rPr>
                <w:sz w:val="21"/>
                <w:szCs w:val="21"/>
              </w:rPr>
            </w:pPr>
            <w:r>
              <w:rPr>
                <w:b/>
                <w:bCs/>
                <w:spacing w:val="29"/>
                <w:sz w:val="21"/>
                <w:szCs w:val="21"/>
              </w:rPr>
              <w:t>表1</w:t>
            </w:r>
            <w:r>
              <w:rPr>
                <w:spacing w:val="-51"/>
                <w:sz w:val="21"/>
                <w:szCs w:val="21"/>
              </w:rPr>
              <w:t xml:space="preserve"> </w:t>
            </w:r>
            <w:r>
              <w:rPr>
                <w:b/>
                <w:bCs/>
                <w:spacing w:val="29"/>
                <w:sz w:val="21"/>
                <w:szCs w:val="21"/>
              </w:rPr>
              <w:t>-</w:t>
            </w:r>
            <w:r>
              <w:rPr>
                <w:spacing w:val="-56"/>
                <w:sz w:val="21"/>
                <w:szCs w:val="21"/>
              </w:rPr>
              <w:t xml:space="preserve"> </w:t>
            </w:r>
            <w:r>
              <w:rPr>
                <w:b/>
                <w:bCs/>
                <w:spacing w:val="29"/>
                <w:sz w:val="21"/>
                <w:szCs w:val="21"/>
              </w:rPr>
              <w:t>9本项目与曲靖市</w:t>
            </w:r>
            <w:r>
              <w:rPr>
                <w:spacing w:val="-54"/>
                <w:sz w:val="21"/>
                <w:szCs w:val="21"/>
              </w:rPr>
              <w:t xml:space="preserve"> </w:t>
            </w:r>
            <w:r>
              <w:rPr>
                <w:b/>
                <w:bCs/>
                <w:spacing w:val="29"/>
                <w:sz w:val="21"/>
                <w:szCs w:val="21"/>
              </w:rPr>
              <w:t>一</w:t>
            </w:r>
            <w:r>
              <w:rPr>
                <w:spacing w:val="-58"/>
                <w:sz w:val="21"/>
                <w:szCs w:val="21"/>
              </w:rPr>
              <w:t xml:space="preserve"> </w:t>
            </w:r>
            <w:r>
              <w:rPr>
                <w:b/>
                <w:bCs/>
                <w:spacing w:val="29"/>
                <w:sz w:val="21"/>
                <w:szCs w:val="21"/>
              </w:rPr>
              <w:t>般管控单元生态环境准入清单符合性分析</w:t>
            </w:r>
          </w:p>
        </w:tc>
      </w:tr>
      <w:tr w14:paraId="2FB19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63" w:type="dxa"/>
            <w:vMerge w:val="continue"/>
            <w:tcBorders>
              <w:top w:val="nil"/>
              <w:bottom w:val="nil"/>
            </w:tcBorders>
            <w:vAlign w:val="top"/>
          </w:tcPr>
          <w:p w14:paraId="680BD999">
            <w:pPr>
              <w:rPr>
                <w:rFonts w:ascii="Arial"/>
                <w:sz w:val="21"/>
              </w:rPr>
            </w:pPr>
          </w:p>
        </w:tc>
        <w:tc>
          <w:tcPr>
            <w:tcW w:w="789" w:type="dxa"/>
            <w:vAlign w:val="top"/>
          </w:tcPr>
          <w:p w14:paraId="496B0394">
            <w:pPr>
              <w:pStyle w:val="6"/>
              <w:spacing w:before="176" w:line="220" w:lineRule="auto"/>
              <w:ind w:left="171"/>
              <w:rPr>
                <w:sz w:val="21"/>
                <w:szCs w:val="21"/>
              </w:rPr>
            </w:pPr>
            <w:r>
              <w:rPr>
                <w:spacing w:val="-6"/>
                <w:sz w:val="21"/>
                <w:szCs w:val="21"/>
              </w:rPr>
              <w:t>项 目</w:t>
            </w:r>
          </w:p>
        </w:tc>
        <w:tc>
          <w:tcPr>
            <w:tcW w:w="3336" w:type="dxa"/>
            <w:vAlign w:val="top"/>
          </w:tcPr>
          <w:p w14:paraId="086EACDD">
            <w:pPr>
              <w:pStyle w:val="6"/>
              <w:spacing w:before="175" w:line="219" w:lineRule="auto"/>
              <w:ind w:left="1243"/>
              <w:rPr>
                <w:sz w:val="21"/>
                <w:szCs w:val="21"/>
              </w:rPr>
            </w:pPr>
            <w:r>
              <w:rPr>
                <w:spacing w:val="2"/>
                <w:sz w:val="21"/>
                <w:szCs w:val="21"/>
              </w:rPr>
              <w:t>管控要求</w:t>
            </w:r>
          </w:p>
        </w:tc>
        <w:tc>
          <w:tcPr>
            <w:tcW w:w="2997" w:type="dxa"/>
            <w:vAlign w:val="top"/>
          </w:tcPr>
          <w:p w14:paraId="19F17493">
            <w:pPr>
              <w:pStyle w:val="6"/>
              <w:spacing w:before="176" w:line="220" w:lineRule="auto"/>
              <w:ind w:left="1076"/>
              <w:rPr>
                <w:sz w:val="21"/>
                <w:szCs w:val="21"/>
              </w:rPr>
            </w:pPr>
            <w:r>
              <w:rPr>
                <w:spacing w:val="2"/>
                <w:sz w:val="21"/>
                <w:szCs w:val="21"/>
              </w:rPr>
              <w:t>项目情况</w:t>
            </w:r>
          </w:p>
        </w:tc>
        <w:tc>
          <w:tcPr>
            <w:tcW w:w="524" w:type="dxa"/>
            <w:vAlign w:val="top"/>
          </w:tcPr>
          <w:p w14:paraId="1E4ED2E5">
            <w:pPr>
              <w:pStyle w:val="6"/>
              <w:spacing w:before="14" w:line="226" w:lineRule="auto"/>
              <w:ind w:left="149" w:right="52" w:hanging="99"/>
              <w:rPr>
                <w:sz w:val="21"/>
                <w:szCs w:val="21"/>
              </w:rPr>
            </w:pPr>
            <w:r>
              <w:rPr>
                <w:spacing w:val="-5"/>
                <w:sz w:val="21"/>
                <w:szCs w:val="21"/>
              </w:rPr>
              <w:t>相符</w:t>
            </w:r>
            <w:r>
              <w:rPr>
                <w:sz w:val="21"/>
                <w:szCs w:val="21"/>
              </w:rPr>
              <w:t xml:space="preserve"> 性</w:t>
            </w:r>
          </w:p>
        </w:tc>
      </w:tr>
      <w:tr w14:paraId="70CD8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1263" w:type="dxa"/>
            <w:vMerge w:val="continue"/>
            <w:tcBorders>
              <w:top w:val="nil"/>
              <w:bottom w:val="nil"/>
            </w:tcBorders>
            <w:vAlign w:val="top"/>
          </w:tcPr>
          <w:p w14:paraId="1CD4FCD9">
            <w:pPr>
              <w:rPr>
                <w:rFonts w:ascii="Arial"/>
                <w:sz w:val="21"/>
              </w:rPr>
            </w:pPr>
          </w:p>
        </w:tc>
        <w:tc>
          <w:tcPr>
            <w:tcW w:w="789" w:type="dxa"/>
            <w:vAlign w:val="top"/>
          </w:tcPr>
          <w:p w14:paraId="5A8A5269">
            <w:pPr>
              <w:spacing w:line="321" w:lineRule="auto"/>
              <w:rPr>
                <w:rFonts w:ascii="Arial"/>
                <w:sz w:val="21"/>
              </w:rPr>
            </w:pPr>
          </w:p>
          <w:p w14:paraId="7D7943F3">
            <w:pPr>
              <w:spacing w:line="322" w:lineRule="auto"/>
              <w:rPr>
                <w:rFonts w:ascii="Arial"/>
                <w:sz w:val="21"/>
              </w:rPr>
            </w:pPr>
          </w:p>
          <w:p w14:paraId="4A077DE8">
            <w:pPr>
              <w:pStyle w:val="6"/>
              <w:spacing w:before="68" w:line="219" w:lineRule="auto"/>
              <w:ind w:left="71"/>
              <w:rPr>
                <w:sz w:val="21"/>
                <w:szCs w:val="21"/>
              </w:rPr>
            </w:pPr>
            <w:r>
              <w:rPr>
                <w:spacing w:val="3"/>
                <w:sz w:val="21"/>
                <w:szCs w:val="21"/>
              </w:rPr>
              <w:t>空间布</w:t>
            </w:r>
          </w:p>
          <w:p w14:paraId="7231259E">
            <w:pPr>
              <w:pStyle w:val="6"/>
              <w:spacing w:before="12" w:line="219" w:lineRule="auto"/>
              <w:ind w:left="71"/>
              <w:rPr>
                <w:sz w:val="21"/>
                <w:szCs w:val="21"/>
              </w:rPr>
            </w:pPr>
            <w:r>
              <w:rPr>
                <w:spacing w:val="3"/>
                <w:sz w:val="21"/>
                <w:szCs w:val="21"/>
              </w:rPr>
              <w:t>局约束</w:t>
            </w:r>
          </w:p>
        </w:tc>
        <w:tc>
          <w:tcPr>
            <w:tcW w:w="3336" w:type="dxa"/>
            <w:vAlign w:val="top"/>
          </w:tcPr>
          <w:p w14:paraId="2D20550F">
            <w:pPr>
              <w:pStyle w:val="6"/>
              <w:spacing w:before="35" w:line="219" w:lineRule="auto"/>
              <w:ind w:left="133"/>
              <w:rPr>
                <w:sz w:val="21"/>
                <w:szCs w:val="21"/>
              </w:rPr>
            </w:pPr>
            <w:r>
              <w:rPr>
                <w:sz w:val="21"/>
                <w:szCs w:val="21"/>
              </w:rPr>
              <w:t>1.加强耕地和永久基本农田保护，</w:t>
            </w:r>
          </w:p>
          <w:p w14:paraId="377F5339">
            <w:pPr>
              <w:pStyle w:val="6"/>
              <w:spacing w:before="20" w:line="219" w:lineRule="auto"/>
              <w:jc w:val="right"/>
              <w:rPr>
                <w:sz w:val="21"/>
                <w:szCs w:val="21"/>
              </w:rPr>
            </w:pPr>
            <w:r>
              <w:rPr>
                <w:spacing w:val="-8"/>
                <w:sz w:val="21"/>
                <w:szCs w:val="21"/>
              </w:rPr>
              <w:t>坚决制止耕地“非农化”、防止耕地</w:t>
            </w:r>
          </w:p>
          <w:p w14:paraId="4B7C55C4">
            <w:pPr>
              <w:pStyle w:val="6"/>
              <w:spacing w:before="20" w:line="219" w:lineRule="auto"/>
              <w:jc w:val="right"/>
              <w:rPr>
                <w:sz w:val="21"/>
                <w:szCs w:val="21"/>
              </w:rPr>
            </w:pPr>
            <w:r>
              <w:rPr>
                <w:spacing w:val="-14"/>
                <w:sz w:val="21"/>
                <w:szCs w:val="21"/>
              </w:rPr>
              <w:t>“非粮化”。2.禁止新建、改扩建中小</w:t>
            </w:r>
          </w:p>
          <w:p w14:paraId="0B7635FF">
            <w:pPr>
              <w:pStyle w:val="6"/>
              <w:spacing w:before="32" w:line="219" w:lineRule="auto"/>
              <w:ind w:left="82"/>
              <w:rPr>
                <w:sz w:val="21"/>
                <w:szCs w:val="21"/>
              </w:rPr>
            </w:pPr>
            <w:r>
              <w:rPr>
                <w:spacing w:val="1"/>
                <w:sz w:val="21"/>
                <w:szCs w:val="21"/>
              </w:rPr>
              <w:t>水电项目，现有中小水电站应按照</w:t>
            </w:r>
          </w:p>
          <w:p w14:paraId="1C0BEBDD">
            <w:pPr>
              <w:pStyle w:val="6"/>
              <w:spacing w:before="21" w:line="219" w:lineRule="auto"/>
              <w:ind w:left="133"/>
              <w:rPr>
                <w:sz w:val="21"/>
                <w:szCs w:val="21"/>
              </w:rPr>
            </w:pPr>
            <w:r>
              <w:rPr>
                <w:sz w:val="21"/>
                <w:szCs w:val="21"/>
              </w:rPr>
              <w:t>环评批复(环评批复未明确生态流</w:t>
            </w:r>
          </w:p>
          <w:p w14:paraId="0AACF500">
            <w:pPr>
              <w:pStyle w:val="6"/>
              <w:spacing w:before="9" w:line="219" w:lineRule="auto"/>
              <w:ind w:left="192"/>
              <w:rPr>
                <w:sz w:val="21"/>
                <w:szCs w:val="21"/>
              </w:rPr>
            </w:pPr>
            <w:r>
              <w:rPr>
                <w:spacing w:val="-1"/>
                <w:sz w:val="21"/>
                <w:szCs w:val="21"/>
              </w:rPr>
              <w:t>量的根据来水量科学确定生态流</w:t>
            </w:r>
          </w:p>
          <w:p w14:paraId="4510EA66">
            <w:pPr>
              <w:pStyle w:val="6"/>
              <w:spacing w:before="19" w:line="198" w:lineRule="auto"/>
              <w:ind w:left="32"/>
              <w:rPr>
                <w:sz w:val="21"/>
                <w:szCs w:val="21"/>
              </w:rPr>
            </w:pPr>
            <w:r>
              <w:rPr>
                <w:spacing w:val="-1"/>
                <w:sz w:val="21"/>
                <w:szCs w:val="21"/>
              </w:rPr>
              <w:t>量),确保连续稳定下泄生态流量。</w:t>
            </w:r>
          </w:p>
        </w:tc>
        <w:tc>
          <w:tcPr>
            <w:tcW w:w="2997" w:type="dxa"/>
            <w:vAlign w:val="top"/>
          </w:tcPr>
          <w:p w14:paraId="34210A83">
            <w:pPr>
              <w:pStyle w:val="6"/>
              <w:spacing w:before="305" w:line="234" w:lineRule="auto"/>
              <w:ind w:left="27" w:right="5" w:firstLine="50"/>
              <w:rPr>
                <w:sz w:val="21"/>
                <w:szCs w:val="21"/>
              </w:rPr>
            </w:pPr>
            <w:r>
              <w:rPr>
                <w:sz w:val="21"/>
                <w:szCs w:val="21"/>
              </w:rPr>
              <w:t>1、根据陆良县自然资源局的选</w:t>
            </w:r>
            <w:r>
              <w:rPr>
                <w:spacing w:val="2"/>
                <w:sz w:val="21"/>
                <w:szCs w:val="21"/>
              </w:rPr>
              <w:t xml:space="preserve"> </w:t>
            </w:r>
            <w:r>
              <w:rPr>
                <w:spacing w:val="1"/>
                <w:sz w:val="21"/>
                <w:szCs w:val="21"/>
              </w:rPr>
              <w:t>址意见：“不涉及生态保护红线</w:t>
            </w:r>
            <w:r>
              <w:rPr>
                <w:sz w:val="21"/>
                <w:szCs w:val="21"/>
              </w:rPr>
              <w:t xml:space="preserve"> </w:t>
            </w:r>
            <w:r>
              <w:rPr>
                <w:spacing w:val="3"/>
                <w:sz w:val="21"/>
                <w:szCs w:val="21"/>
              </w:rPr>
              <w:t>和永久基本农田保护红线”;</w:t>
            </w:r>
          </w:p>
          <w:p w14:paraId="6969E7BF">
            <w:pPr>
              <w:pStyle w:val="6"/>
              <w:spacing w:before="21" w:line="224" w:lineRule="auto"/>
              <w:ind w:left="37" w:right="85" w:firstLine="40"/>
              <w:rPr>
                <w:sz w:val="21"/>
                <w:szCs w:val="21"/>
              </w:rPr>
            </w:pPr>
            <w:r>
              <w:rPr>
                <w:spacing w:val="-1"/>
                <w:sz w:val="21"/>
                <w:szCs w:val="21"/>
              </w:rPr>
              <w:t>2、本项目为光伏发电项目，不</w:t>
            </w:r>
            <w:r>
              <w:rPr>
                <w:spacing w:val="2"/>
                <w:sz w:val="21"/>
                <w:szCs w:val="21"/>
              </w:rPr>
              <w:t xml:space="preserve"> </w:t>
            </w:r>
            <w:r>
              <w:rPr>
                <w:spacing w:val="-1"/>
                <w:sz w:val="21"/>
                <w:szCs w:val="21"/>
              </w:rPr>
              <w:t>属于中小水电项目。</w:t>
            </w:r>
          </w:p>
        </w:tc>
        <w:tc>
          <w:tcPr>
            <w:tcW w:w="524" w:type="dxa"/>
            <w:vAlign w:val="top"/>
          </w:tcPr>
          <w:p w14:paraId="33E218B0">
            <w:pPr>
              <w:spacing w:line="257" w:lineRule="auto"/>
              <w:rPr>
                <w:rFonts w:ascii="Arial"/>
                <w:sz w:val="21"/>
              </w:rPr>
            </w:pPr>
          </w:p>
          <w:p w14:paraId="0C11A514">
            <w:pPr>
              <w:spacing w:line="258" w:lineRule="auto"/>
              <w:rPr>
                <w:rFonts w:ascii="Arial"/>
                <w:sz w:val="21"/>
              </w:rPr>
            </w:pPr>
          </w:p>
          <w:p w14:paraId="5EB3B8AF">
            <w:pPr>
              <w:spacing w:line="258" w:lineRule="auto"/>
              <w:rPr>
                <w:rFonts w:ascii="Arial"/>
                <w:sz w:val="21"/>
              </w:rPr>
            </w:pPr>
          </w:p>
          <w:p w14:paraId="5AD0A3D2">
            <w:pPr>
              <w:pStyle w:val="6"/>
              <w:spacing w:before="68" w:line="219" w:lineRule="auto"/>
              <w:ind w:left="50"/>
              <w:rPr>
                <w:sz w:val="21"/>
                <w:szCs w:val="21"/>
              </w:rPr>
            </w:pPr>
            <w:r>
              <w:rPr>
                <w:spacing w:val="-3"/>
                <w:sz w:val="21"/>
                <w:szCs w:val="21"/>
              </w:rPr>
              <w:t>符合</w:t>
            </w:r>
          </w:p>
        </w:tc>
      </w:tr>
      <w:tr w14:paraId="400FD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63" w:type="dxa"/>
            <w:vMerge w:val="continue"/>
            <w:tcBorders>
              <w:top w:val="nil"/>
            </w:tcBorders>
            <w:vAlign w:val="top"/>
          </w:tcPr>
          <w:p w14:paraId="151BD0D3">
            <w:pPr>
              <w:rPr>
                <w:rFonts w:ascii="Arial"/>
                <w:sz w:val="21"/>
              </w:rPr>
            </w:pPr>
          </w:p>
        </w:tc>
        <w:tc>
          <w:tcPr>
            <w:tcW w:w="789" w:type="dxa"/>
            <w:vAlign w:val="top"/>
          </w:tcPr>
          <w:p w14:paraId="17C3AD2D">
            <w:pPr>
              <w:pStyle w:val="6"/>
              <w:spacing w:before="49" w:line="220" w:lineRule="auto"/>
              <w:ind w:left="71"/>
              <w:rPr>
                <w:sz w:val="21"/>
                <w:szCs w:val="21"/>
              </w:rPr>
            </w:pPr>
            <w:r>
              <w:rPr>
                <w:spacing w:val="3"/>
                <w:sz w:val="21"/>
                <w:szCs w:val="21"/>
              </w:rPr>
              <w:t>污染物</w:t>
            </w:r>
          </w:p>
          <w:p w14:paraId="494C9D05">
            <w:pPr>
              <w:pStyle w:val="6"/>
              <w:spacing w:before="29" w:line="219" w:lineRule="auto"/>
              <w:ind w:left="71"/>
              <w:rPr>
                <w:sz w:val="21"/>
                <w:szCs w:val="21"/>
              </w:rPr>
            </w:pPr>
            <w:r>
              <w:rPr>
                <w:spacing w:val="-2"/>
                <w:sz w:val="21"/>
                <w:szCs w:val="21"/>
              </w:rPr>
              <w:t>排放管</w:t>
            </w:r>
          </w:p>
          <w:p w14:paraId="4E00D0A8">
            <w:pPr>
              <w:pStyle w:val="6"/>
              <w:spacing w:before="21" w:line="206" w:lineRule="auto"/>
              <w:ind w:left="281"/>
              <w:rPr>
                <w:sz w:val="21"/>
                <w:szCs w:val="21"/>
              </w:rPr>
            </w:pPr>
            <w:r>
              <w:rPr>
                <w:sz w:val="21"/>
                <w:szCs w:val="21"/>
              </w:rPr>
              <w:t>控</w:t>
            </w:r>
          </w:p>
        </w:tc>
        <w:tc>
          <w:tcPr>
            <w:tcW w:w="3336" w:type="dxa"/>
            <w:vAlign w:val="top"/>
          </w:tcPr>
          <w:p w14:paraId="32AEE365">
            <w:pPr>
              <w:pStyle w:val="6"/>
              <w:spacing w:before="49" w:line="230" w:lineRule="auto"/>
              <w:ind w:right="47" w:firstLine="151"/>
              <w:jc w:val="both"/>
              <w:rPr>
                <w:sz w:val="21"/>
                <w:szCs w:val="21"/>
              </w:rPr>
            </w:pPr>
            <w:r>
              <w:rPr>
                <w:spacing w:val="-4"/>
                <w:sz w:val="21"/>
                <w:szCs w:val="21"/>
              </w:rPr>
              <w:t>1.严禁污水灌溉，灌溉用水应满足</w:t>
            </w:r>
            <w:r>
              <w:rPr>
                <w:spacing w:val="4"/>
                <w:sz w:val="21"/>
                <w:szCs w:val="21"/>
              </w:rPr>
              <w:t xml:space="preserve"> </w:t>
            </w:r>
            <w:r>
              <w:rPr>
                <w:spacing w:val="-5"/>
                <w:sz w:val="21"/>
                <w:szCs w:val="21"/>
              </w:rPr>
              <w:t>《农田灌溉水质标准》。2.现有工业</w:t>
            </w:r>
            <w:r>
              <w:rPr>
                <w:spacing w:val="2"/>
                <w:sz w:val="21"/>
                <w:szCs w:val="21"/>
              </w:rPr>
              <w:t xml:space="preserve"> </w:t>
            </w:r>
            <w:r>
              <w:rPr>
                <w:spacing w:val="6"/>
                <w:sz w:val="21"/>
                <w:szCs w:val="21"/>
              </w:rPr>
              <w:t>企业应达标排放，逐步提升清洁生</w:t>
            </w:r>
          </w:p>
        </w:tc>
        <w:tc>
          <w:tcPr>
            <w:tcW w:w="2997" w:type="dxa"/>
            <w:vAlign w:val="top"/>
          </w:tcPr>
          <w:p w14:paraId="4265344C">
            <w:pPr>
              <w:pStyle w:val="6"/>
              <w:spacing w:before="66" w:line="225" w:lineRule="auto"/>
              <w:ind w:left="27" w:right="7" w:firstLine="50"/>
              <w:rPr>
                <w:sz w:val="21"/>
                <w:szCs w:val="21"/>
              </w:rPr>
            </w:pPr>
            <w:r>
              <w:rPr>
                <w:sz w:val="21"/>
                <w:szCs w:val="21"/>
              </w:rPr>
              <w:t>1、本项目太阳能电池板的清洗</w:t>
            </w:r>
            <w:r>
              <w:rPr>
                <w:spacing w:val="2"/>
                <w:sz w:val="21"/>
                <w:szCs w:val="21"/>
              </w:rPr>
              <w:t xml:space="preserve"> </w:t>
            </w:r>
            <w:r>
              <w:rPr>
                <w:spacing w:val="7"/>
                <w:sz w:val="21"/>
                <w:szCs w:val="21"/>
              </w:rPr>
              <w:t>废水直接顺着流在太阳能电池</w:t>
            </w:r>
            <w:r>
              <w:rPr>
                <w:sz w:val="21"/>
                <w:szCs w:val="21"/>
              </w:rPr>
              <w:t xml:space="preserve">  组件下面的草地上，作为草地灌</w:t>
            </w:r>
          </w:p>
        </w:tc>
        <w:tc>
          <w:tcPr>
            <w:tcW w:w="524" w:type="dxa"/>
            <w:vAlign w:val="top"/>
          </w:tcPr>
          <w:p w14:paraId="1A3D6986">
            <w:pPr>
              <w:spacing w:line="258" w:lineRule="auto"/>
              <w:rPr>
                <w:rFonts w:ascii="Arial"/>
                <w:sz w:val="21"/>
              </w:rPr>
            </w:pPr>
          </w:p>
          <w:p w14:paraId="0CECF55B">
            <w:pPr>
              <w:pStyle w:val="6"/>
              <w:spacing w:before="69" w:line="219" w:lineRule="auto"/>
              <w:ind w:left="50"/>
              <w:rPr>
                <w:sz w:val="21"/>
                <w:szCs w:val="21"/>
              </w:rPr>
            </w:pPr>
            <w:r>
              <w:rPr>
                <w:spacing w:val="-3"/>
                <w:sz w:val="21"/>
                <w:szCs w:val="21"/>
              </w:rPr>
              <w:t>符合</w:t>
            </w:r>
          </w:p>
        </w:tc>
      </w:tr>
    </w:tbl>
    <w:p w14:paraId="31E699E8">
      <w:pPr>
        <w:pStyle w:val="2"/>
      </w:pPr>
    </w:p>
    <w:p w14:paraId="13F40DDA">
      <w:pPr>
        <w:sectPr>
          <w:footerReference r:id="rId31" w:type="default"/>
          <w:pgSz w:w="11910" w:h="16830"/>
          <w:pgMar w:top="400" w:right="1574" w:bottom="1259" w:left="1415" w:header="0" w:footer="1079" w:gutter="0"/>
          <w:cols w:space="720" w:num="1"/>
        </w:sectPr>
      </w:pPr>
    </w:p>
    <w:p w14:paraId="60F81676">
      <w:pPr>
        <w:spacing w:before="18"/>
      </w:pPr>
    </w:p>
    <w:p w14:paraId="7DA74844">
      <w:pPr>
        <w:spacing w:before="18"/>
      </w:pPr>
    </w:p>
    <w:p w14:paraId="01E812AA">
      <w:pPr>
        <w:spacing w:before="17"/>
      </w:pPr>
    </w:p>
    <w:p w14:paraId="7971A337">
      <w:pPr>
        <w:spacing w:before="17"/>
      </w:pPr>
    </w:p>
    <w:p w14:paraId="1796760B">
      <w:pPr>
        <w:spacing w:before="17"/>
      </w:pPr>
    </w:p>
    <w:tbl>
      <w:tblPr>
        <w:tblStyle w:val="5"/>
        <w:tblW w:w="8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779"/>
        <w:gridCol w:w="3296"/>
        <w:gridCol w:w="2997"/>
        <w:gridCol w:w="634"/>
      </w:tblGrid>
      <w:tr w14:paraId="1D1F6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2" w:hRule="atLeast"/>
        </w:trPr>
        <w:tc>
          <w:tcPr>
            <w:tcW w:w="1244" w:type="dxa"/>
            <w:vMerge w:val="restart"/>
            <w:tcBorders>
              <w:bottom w:val="nil"/>
            </w:tcBorders>
            <w:vAlign w:val="top"/>
          </w:tcPr>
          <w:p w14:paraId="51B7B584">
            <w:pPr>
              <w:rPr>
                <w:rFonts w:ascii="Arial"/>
                <w:sz w:val="21"/>
              </w:rPr>
            </w:pPr>
          </w:p>
        </w:tc>
        <w:tc>
          <w:tcPr>
            <w:tcW w:w="779" w:type="dxa"/>
            <w:vAlign w:val="top"/>
          </w:tcPr>
          <w:p w14:paraId="135B1AF5">
            <w:pPr>
              <w:rPr>
                <w:rFonts w:ascii="Arial"/>
                <w:sz w:val="21"/>
              </w:rPr>
            </w:pPr>
          </w:p>
        </w:tc>
        <w:tc>
          <w:tcPr>
            <w:tcW w:w="3296" w:type="dxa"/>
            <w:vAlign w:val="top"/>
          </w:tcPr>
          <w:p w14:paraId="33594B3D">
            <w:pPr>
              <w:pStyle w:val="6"/>
              <w:spacing w:before="53" w:line="218" w:lineRule="auto"/>
              <w:jc w:val="right"/>
            </w:pPr>
            <w:r>
              <w:rPr>
                <w:spacing w:val="-2"/>
              </w:rPr>
              <w:t>产水平，减少污染物排放量。3.加</w:t>
            </w:r>
          </w:p>
          <w:p w14:paraId="707F57CB">
            <w:pPr>
              <w:pStyle w:val="6"/>
              <w:spacing w:line="219" w:lineRule="auto"/>
              <w:jc w:val="right"/>
            </w:pPr>
            <w:r>
              <w:rPr>
                <w:spacing w:val="-2"/>
              </w:rPr>
              <w:t>强农业面源污染治理，严格控制化</w:t>
            </w:r>
          </w:p>
          <w:p w14:paraId="62832780">
            <w:pPr>
              <w:pStyle w:val="6"/>
              <w:spacing w:before="7" w:line="219" w:lineRule="auto"/>
              <w:jc w:val="right"/>
            </w:pPr>
            <w:r>
              <w:rPr>
                <w:spacing w:val="-16"/>
              </w:rPr>
              <w:t>肥农药施用量，合理水产养殖布局，</w:t>
            </w:r>
          </w:p>
          <w:p w14:paraId="210DA93F">
            <w:pPr>
              <w:pStyle w:val="6"/>
              <w:spacing w:before="10" w:line="219" w:lineRule="auto"/>
              <w:jc w:val="right"/>
            </w:pPr>
            <w:r>
              <w:rPr>
                <w:spacing w:val="-2"/>
              </w:rPr>
              <w:t>控制水产养殖污染，逐步削减农业</w:t>
            </w:r>
          </w:p>
          <w:p w14:paraId="15D7FB75">
            <w:pPr>
              <w:pStyle w:val="6"/>
              <w:spacing w:before="30" w:line="220" w:lineRule="auto"/>
              <w:ind w:left="702"/>
            </w:pPr>
            <w:r>
              <w:rPr>
                <w:spacing w:val="-1"/>
              </w:rPr>
              <w:t>面源污染物排放量。</w:t>
            </w:r>
          </w:p>
        </w:tc>
        <w:tc>
          <w:tcPr>
            <w:tcW w:w="2997" w:type="dxa"/>
            <w:vAlign w:val="top"/>
          </w:tcPr>
          <w:p w14:paraId="6FAAC393">
            <w:pPr>
              <w:pStyle w:val="6"/>
              <w:spacing w:before="52" w:line="224" w:lineRule="auto"/>
              <w:ind w:left="25" w:right="12" w:hanging="20"/>
              <w:jc w:val="both"/>
            </w:pPr>
            <w:r>
              <w:rPr>
                <w:spacing w:val="-1"/>
              </w:rPr>
              <w:t>溉补充水，不外排(项目太阳能</w:t>
            </w:r>
            <w:r>
              <w:rPr>
                <w:spacing w:val="5"/>
              </w:rPr>
              <w:t xml:space="preserve"> </w:t>
            </w:r>
            <w:r>
              <w:rPr>
                <w:spacing w:val="6"/>
              </w:rPr>
              <w:t>光伏板清洗频率为每半年1次)</w:t>
            </w:r>
            <w:r>
              <w:rPr>
                <w:spacing w:val="3"/>
              </w:rPr>
              <w:t xml:space="preserve"> </w:t>
            </w:r>
            <w:r>
              <w:rPr>
                <w:spacing w:val="-1"/>
              </w:rPr>
              <w:t>项目无废水外排。</w:t>
            </w:r>
          </w:p>
          <w:p w14:paraId="55201612">
            <w:pPr>
              <w:pStyle w:val="6"/>
              <w:spacing w:line="230" w:lineRule="auto"/>
              <w:ind w:left="5"/>
            </w:pPr>
            <w:r>
              <w:rPr>
                <w:spacing w:val="-7"/>
              </w:rPr>
              <w:t>2、项目运营期无废水外排，升</w:t>
            </w:r>
            <w:r>
              <w:rPr>
                <w:spacing w:val="6"/>
              </w:rPr>
              <w:t xml:space="preserve">  </w:t>
            </w:r>
            <w:r>
              <w:rPr>
                <w:spacing w:val="-4"/>
              </w:rPr>
              <w:t>压站生活废水经过一体化污水</w:t>
            </w:r>
            <w:r>
              <w:rPr>
                <w:spacing w:val="3"/>
              </w:rPr>
              <w:t xml:space="preserve">  </w:t>
            </w:r>
            <w:r>
              <w:rPr>
                <w:spacing w:val="-14"/>
              </w:rPr>
              <w:t>处理站处理后，回用于加水降尘</w:t>
            </w:r>
            <w:r>
              <w:rPr>
                <w:spacing w:val="7"/>
              </w:rPr>
              <w:t xml:space="preserve"> </w:t>
            </w:r>
            <w:r>
              <w:rPr>
                <w:spacing w:val="-14"/>
              </w:rPr>
              <w:t>和绿化，无废气产生，产噪设备</w:t>
            </w:r>
            <w:r>
              <w:rPr>
                <w:spacing w:val="8"/>
              </w:rPr>
              <w:t xml:space="preserve"> </w:t>
            </w:r>
            <w:r>
              <w:rPr>
                <w:spacing w:val="-8"/>
              </w:rPr>
              <w:t>较少，固体废物得到妥善处置，</w:t>
            </w:r>
            <w:r>
              <w:rPr>
                <w:spacing w:val="12"/>
              </w:rPr>
              <w:t xml:space="preserve"> </w:t>
            </w:r>
            <w:r>
              <w:rPr>
                <w:spacing w:val="-2"/>
              </w:rPr>
              <w:t>项目建设运营对区域环境影响</w:t>
            </w:r>
            <w:r>
              <w:rPr>
                <w:spacing w:val="4"/>
              </w:rPr>
              <w:t xml:space="preserve">  </w:t>
            </w:r>
            <w:r>
              <w:rPr>
                <w:spacing w:val="-8"/>
              </w:rPr>
              <w:t>较小，不会改变区域环境质量。</w:t>
            </w:r>
          </w:p>
          <w:p w14:paraId="6EB59AE3">
            <w:pPr>
              <w:pStyle w:val="6"/>
              <w:spacing w:line="209" w:lineRule="auto"/>
              <w:ind w:left="35" w:hanging="30"/>
            </w:pPr>
            <w:r>
              <w:t>3、本项目草光互补项目，基本</w:t>
            </w:r>
            <w:r>
              <w:rPr>
                <w:spacing w:val="9"/>
              </w:rPr>
              <w:t xml:space="preserve"> </w:t>
            </w:r>
            <w:r>
              <w:rPr>
                <w:spacing w:val="-1"/>
              </w:rPr>
              <w:t>不施用农药施用量。</w:t>
            </w:r>
          </w:p>
        </w:tc>
        <w:tc>
          <w:tcPr>
            <w:tcW w:w="634" w:type="dxa"/>
            <w:vAlign w:val="top"/>
          </w:tcPr>
          <w:p w14:paraId="488AD077">
            <w:pPr>
              <w:rPr>
                <w:rFonts w:ascii="Arial"/>
                <w:sz w:val="21"/>
              </w:rPr>
            </w:pPr>
          </w:p>
        </w:tc>
      </w:tr>
      <w:tr w14:paraId="1C646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9" w:hRule="atLeast"/>
        </w:trPr>
        <w:tc>
          <w:tcPr>
            <w:tcW w:w="1244" w:type="dxa"/>
            <w:vMerge w:val="continue"/>
            <w:tcBorders>
              <w:top w:val="nil"/>
              <w:bottom w:val="nil"/>
            </w:tcBorders>
            <w:vAlign w:val="top"/>
          </w:tcPr>
          <w:p w14:paraId="34368091">
            <w:pPr>
              <w:rPr>
                <w:rFonts w:ascii="Arial"/>
                <w:sz w:val="21"/>
              </w:rPr>
            </w:pPr>
          </w:p>
        </w:tc>
        <w:tc>
          <w:tcPr>
            <w:tcW w:w="779" w:type="dxa"/>
            <w:vAlign w:val="top"/>
          </w:tcPr>
          <w:p w14:paraId="447F61F3">
            <w:pPr>
              <w:spacing w:line="254" w:lineRule="auto"/>
              <w:rPr>
                <w:rFonts w:ascii="Arial"/>
                <w:sz w:val="21"/>
              </w:rPr>
            </w:pPr>
          </w:p>
          <w:p w14:paraId="0AA22196">
            <w:pPr>
              <w:spacing w:line="254" w:lineRule="auto"/>
              <w:rPr>
                <w:rFonts w:ascii="Arial"/>
                <w:sz w:val="21"/>
              </w:rPr>
            </w:pPr>
          </w:p>
          <w:p w14:paraId="765EB713">
            <w:pPr>
              <w:pStyle w:val="6"/>
              <w:spacing w:before="71" w:line="220" w:lineRule="auto"/>
              <w:ind w:left="50"/>
            </w:pPr>
            <w:r>
              <w:rPr>
                <w:spacing w:val="-2"/>
              </w:rPr>
              <w:t>环境风</w:t>
            </w:r>
          </w:p>
          <w:p w14:paraId="096ECDF5">
            <w:pPr>
              <w:pStyle w:val="6"/>
              <w:spacing w:before="7" w:line="220" w:lineRule="auto"/>
              <w:ind w:left="50"/>
            </w:pPr>
            <w:r>
              <w:rPr>
                <w:spacing w:val="3"/>
              </w:rPr>
              <w:t>险防控</w:t>
            </w:r>
          </w:p>
        </w:tc>
        <w:tc>
          <w:tcPr>
            <w:tcW w:w="3296" w:type="dxa"/>
            <w:vAlign w:val="top"/>
          </w:tcPr>
          <w:p w14:paraId="37960315">
            <w:pPr>
              <w:pStyle w:val="6"/>
              <w:spacing w:before="42" w:line="219" w:lineRule="auto"/>
              <w:jc w:val="right"/>
            </w:pPr>
            <w:r>
              <w:rPr>
                <w:spacing w:val="-9"/>
              </w:rPr>
              <w:t>1.禁止使用国家规定的禁限用农药</w:t>
            </w:r>
          </w:p>
          <w:p w14:paraId="0968C9E4">
            <w:pPr>
              <w:pStyle w:val="6"/>
              <w:spacing w:before="19" w:line="220" w:lineRule="auto"/>
              <w:jc w:val="right"/>
            </w:pPr>
            <w:r>
              <w:rPr>
                <w:spacing w:val="-9"/>
              </w:rPr>
              <w:t>名录中的农药。2.加强环境风险防</w:t>
            </w:r>
          </w:p>
          <w:p w14:paraId="0D4A896C">
            <w:pPr>
              <w:pStyle w:val="6"/>
              <w:spacing w:before="7" w:line="220" w:lineRule="auto"/>
              <w:jc w:val="right"/>
            </w:pPr>
            <w:r>
              <w:rPr>
                <w:spacing w:val="-2"/>
              </w:rPr>
              <w:t>范应急体系建设，加强环境应急预</w:t>
            </w:r>
          </w:p>
          <w:p w14:paraId="5ADF86FC">
            <w:pPr>
              <w:pStyle w:val="6"/>
              <w:spacing w:before="7" w:line="219" w:lineRule="auto"/>
              <w:jc w:val="right"/>
            </w:pPr>
            <w:r>
              <w:rPr>
                <w:spacing w:val="-2"/>
              </w:rPr>
              <w:t>案管理，定期开展应急演练，持续</w:t>
            </w:r>
          </w:p>
          <w:p w14:paraId="6E08A92A">
            <w:pPr>
              <w:pStyle w:val="6"/>
              <w:spacing w:before="9" w:line="220" w:lineRule="auto"/>
              <w:jc w:val="right"/>
            </w:pPr>
            <w:r>
              <w:rPr>
                <w:spacing w:val="-2"/>
              </w:rPr>
              <w:t>开展环境安全隐患排查整治，提升</w:t>
            </w:r>
          </w:p>
          <w:p w14:paraId="6F73F019">
            <w:pPr>
              <w:pStyle w:val="6"/>
              <w:spacing w:before="7" w:line="199" w:lineRule="auto"/>
              <w:jc w:val="right"/>
            </w:pPr>
            <w:r>
              <w:rPr>
                <w:spacing w:val="-16"/>
              </w:rPr>
              <w:t>应急监测能力，加强应急物资管理。</w:t>
            </w:r>
          </w:p>
        </w:tc>
        <w:tc>
          <w:tcPr>
            <w:tcW w:w="2997" w:type="dxa"/>
            <w:vAlign w:val="top"/>
          </w:tcPr>
          <w:p w14:paraId="6A03623D">
            <w:pPr>
              <w:pStyle w:val="6"/>
              <w:spacing w:before="31" w:line="223" w:lineRule="auto"/>
              <w:ind w:left="224" w:hanging="219"/>
            </w:pPr>
            <w:r>
              <w:t>1、本项目禁止使用国家规定的</w:t>
            </w:r>
            <w:r>
              <w:rPr>
                <w:spacing w:val="10"/>
              </w:rPr>
              <w:t xml:space="preserve"> </w:t>
            </w:r>
            <w:r>
              <w:rPr>
                <w:spacing w:val="-1"/>
              </w:rPr>
              <w:t>禁限用农药名录中的农药。</w:t>
            </w:r>
          </w:p>
          <w:p w14:paraId="1ED72A88">
            <w:pPr>
              <w:pStyle w:val="6"/>
              <w:spacing w:before="29" w:line="224" w:lineRule="auto"/>
              <w:ind w:left="65" w:right="22" w:hanging="60"/>
            </w:pPr>
            <w:r>
              <w:rPr>
                <w:spacing w:val="-1"/>
              </w:rPr>
              <w:t>2、本项目有完备的污染防治机</w:t>
            </w:r>
            <w:r>
              <w:rPr>
                <w:spacing w:val="1"/>
              </w:rPr>
              <w:t xml:space="preserve"> </w:t>
            </w:r>
            <w:r>
              <w:rPr>
                <w:spacing w:val="4"/>
              </w:rPr>
              <w:t>制(制度、设施、人员等),后</w:t>
            </w:r>
            <w:r>
              <w:rPr>
                <w:spacing w:val="9"/>
              </w:rPr>
              <w:t xml:space="preserve"> </w:t>
            </w:r>
            <w:r>
              <w:t>续将按要求编制处理环境污染</w:t>
            </w:r>
          </w:p>
          <w:p w14:paraId="6DE3E639">
            <w:pPr>
              <w:pStyle w:val="6"/>
              <w:spacing w:before="9" w:line="198" w:lineRule="auto"/>
              <w:ind w:left="45"/>
            </w:pPr>
            <w:r>
              <w:rPr>
                <w:spacing w:val="-2"/>
              </w:rPr>
              <w:t>事故的应急预案</w:t>
            </w:r>
          </w:p>
        </w:tc>
        <w:tc>
          <w:tcPr>
            <w:tcW w:w="634" w:type="dxa"/>
            <w:vAlign w:val="top"/>
          </w:tcPr>
          <w:p w14:paraId="2A63DED4">
            <w:pPr>
              <w:spacing w:line="323" w:lineRule="auto"/>
              <w:rPr>
                <w:rFonts w:ascii="Arial"/>
                <w:sz w:val="21"/>
              </w:rPr>
            </w:pPr>
          </w:p>
          <w:p w14:paraId="733406FD">
            <w:pPr>
              <w:spacing w:line="323" w:lineRule="auto"/>
              <w:rPr>
                <w:rFonts w:ascii="Arial"/>
                <w:sz w:val="21"/>
              </w:rPr>
            </w:pPr>
          </w:p>
          <w:p w14:paraId="77D3E057">
            <w:pPr>
              <w:pStyle w:val="6"/>
              <w:spacing w:before="72" w:line="219" w:lineRule="auto"/>
              <w:ind w:left="148"/>
            </w:pPr>
            <w:r>
              <w:rPr>
                <w:spacing w:val="-3"/>
              </w:rPr>
              <w:t>符合</w:t>
            </w:r>
          </w:p>
        </w:tc>
      </w:tr>
      <w:tr w14:paraId="3C5B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1244" w:type="dxa"/>
            <w:vMerge w:val="continue"/>
            <w:tcBorders>
              <w:top w:val="nil"/>
              <w:bottom w:val="nil"/>
            </w:tcBorders>
            <w:vAlign w:val="top"/>
          </w:tcPr>
          <w:p w14:paraId="64370111">
            <w:pPr>
              <w:rPr>
                <w:rFonts w:ascii="Arial"/>
                <w:sz w:val="21"/>
              </w:rPr>
            </w:pPr>
          </w:p>
        </w:tc>
        <w:tc>
          <w:tcPr>
            <w:tcW w:w="779" w:type="dxa"/>
            <w:vAlign w:val="top"/>
          </w:tcPr>
          <w:p w14:paraId="498A3EE4">
            <w:pPr>
              <w:spacing w:line="370" w:lineRule="auto"/>
              <w:rPr>
                <w:rFonts w:ascii="Arial"/>
                <w:sz w:val="21"/>
              </w:rPr>
            </w:pPr>
          </w:p>
          <w:p w14:paraId="3BA69C85">
            <w:pPr>
              <w:pStyle w:val="6"/>
              <w:spacing w:before="71" w:line="221" w:lineRule="auto"/>
              <w:ind w:left="50"/>
            </w:pPr>
            <w:r>
              <w:rPr>
                <w:spacing w:val="3"/>
              </w:rPr>
              <w:t>资源开</w:t>
            </w:r>
          </w:p>
          <w:p w14:paraId="6FFB58F5">
            <w:pPr>
              <w:pStyle w:val="6"/>
              <w:spacing w:before="4" w:line="231" w:lineRule="auto"/>
              <w:ind w:left="160" w:right="47" w:hanging="110"/>
            </w:pPr>
            <w:r>
              <w:rPr>
                <w:spacing w:val="3"/>
              </w:rPr>
              <w:t>发效率</w:t>
            </w:r>
            <w:r>
              <w:t xml:space="preserve"> </w:t>
            </w:r>
            <w:r>
              <w:rPr>
                <w:spacing w:val="-3"/>
              </w:rPr>
              <w:t>要求</w:t>
            </w:r>
          </w:p>
        </w:tc>
        <w:tc>
          <w:tcPr>
            <w:tcW w:w="3296" w:type="dxa"/>
            <w:vAlign w:val="top"/>
          </w:tcPr>
          <w:p w14:paraId="28E60DB7">
            <w:pPr>
              <w:spacing w:line="369" w:lineRule="auto"/>
              <w:rPr>
                <w:rFonts w:ascii="Arial"/>
                <w:sz w:val="21"/>
              </w:rPr>
            </w:pPr>
          </w:p>
          <w:p w14:paraId="3B3FC4A2">
            <w:pPr>
              <w:pStyle w:val="6"/>
              <w:spacing w:before="71" w:line="219" w:lineRule="auto"/>
              <w:jc w:val="right"/>
            </w:pPr>
            <w:r>
              <w:rPr>
                <w:spacing w:val="-2"/>
              </w:rPr>
              <w:t>1.优化能源结构，加强能源清洁利</w:t>
            </w:r>
          </w:p>
          <w:p w14:paraId="799A2272">
            <w:pPr>
              <w:pStyle w:val="6"/>
              <w:spacing w:before="19" w:line="219" w:lineRule="auto"/>
              <w:jc w:val="right"/>
            </w:pPr>
            <w:r>
              <w:rPr>
                <w:spacing w:val="-2"/>
              </w:rPr>
              <w:t>用。2.提高土地利用效率，节约集</w:t>
            </w:r>
          </w:p>
          <w:p w14:paraId="27B439D4">
            <w:pPr>
              <w:pStyle w:val="6"/>
              <w:spacing w:line="221" w:lineRule="auto"/>
              <w:ind w:left="811"/>
            </w:pPr>
            <w:r>
              <w:t>约利用土地资源。</w:t>
            </w:r>
          </w:p>
        </w:tc>
        <w:tc>
          <w:tcPr>
            <w:tcW w:w="2997" w:type="dxa"/>
            <w:vAlign w:val="top"/>
          </w:tcPr>
          <w:p w14:paraId="3D1288DD">
            <w:pPr>
              <w:pStyle w:val="6"/>
              <w:spacing w:before="22" w:line="212" w:lineRule="auto"/>
              <w:jc w:val="right"/>
            </w:pPr>
            <w:r>
              <w:t>1、本项目属于清洁能源发电项</w:t>
            </w:r>
          </w:p>
          <w:p w14:paraId="032A8185">
            <w:pPr>
              <w:pStyle w:val="6"/>
              <w:spacing w:line="221" w:lineRule="auto"/>
              <w:ind w:left="1275"/>
            </w:pPr>
            <w:r>
              <w:rPr>
                <w:spacing w:val="-26"/>
              </w:rPr>
              <w:t>目</w:t>
            </w:r>
            <w:r>
              <w:rPr>
                <w:spacing w:val="102"/>
              </w:rPr>
              <w:t xml:space="preserve"> </w:t>
            </w:r>
            <w:r>
              <w:rPr>
                <w:spacing w:val="-26"/>
              </w:rPr>
              <w:t>；</w:t>
            </w:r>
          </w:p>
          <w:p w14:paraId="7BA322B5">
            <w:pPr>
              <w:pStyle w:val="6"/>
              <w:spacing w:before="42" w:line="219" w:lineRule="auto"/>
              <w:jc w:val="right"/>
            </w:pPr>
            <w:r>
              <w:rPr>
                <w:spacing w:val="-4"/>
              </w:rPr>
              <w:t>2、本项目属于草光互补项目，</w:t>
            </w:r>
          </w:p>
          <w:p w14:paraId="091C6212">
            <w:pPr>
              <w:pStyle w:val="6"/>
              <w:spacing w:before="19" w:line="218" w:lineRule="auto"/>
              <w:jc w:val="right"/>
            </w:pPr>
            <w:r>
              <w:rPr>
                <w:spacing w:val="-8"/>
              </w:rPr>
              <w:t>采用“板上发电、板下种草”的</w:t>
            </w:r>
          </w:p>
          <w:p w14:paraId="3C613AA6">
            <w:pPr>
              <w:pStyle w:val="6"/>
              <w:spacing w:before="1" w:line="218" w:lineRule="auto"/>
              <w:ind w:left="5"/>
            </w:pPr>
            <w:r>
              <w:rPr>
                <w:spacing w:val="-1"/>
              </w:rPr>
              <w:t>草地+光伏的复合利用模式，提</w:t>
            </w:r>
          </w:p>
          <w:p w14:paraId="6464CE9E">
            <w:pPr>
              <w:pStyle w:val="6"/>
              <w:spacing w:before="1" w:line="189" w:lineRule="auto"/>
              <w:ind w:left="555"/>
            </w:pPr>
            <w:r>
              <w:rPr>
                <w:spacing w:val="-1"/>
              </w:rPr>
              <w:t>高了土地利用效率。</w:t>
            </w:r>
          </w:p>
        </w:tc>
        <w:tc>
          <w:tcPr>
            <w:tcW w:w="634" w:type="dxa"/>
            <w:vAlign w:val="top"/>
          </w:tcPr>
          <w:p w14:paraId="3D2915E1">
            <w:pPr>
              <w:spacing w:line="313" w:lineRule="auto"/>
              <w:rPr>
                <w:rFonts w:ascii="Arial"/>
                <w:sz w:val="21"/>
              </w:rPr>
            </w:pPr>
          </w:p>
          <w:p w14:paraId="3223B11E">
            <w:pPr>
              <w:spacing w:line="314" w:lineRule="auto"/>
              <w:rPr>
                <w:rFonts w:ascii="Arial"/>
                <w:sz w:val="21"/>
              </w:rPr>
            </w:pPr>
          </w:p>
          <w:p w14:paraId="2E5CC90C">
            <w:pPr>
              <w:pStyle w:val="6"/>
              <w:spacing w:before="72" w:line="219" w:lineRule="auto"/>
              <w:ind w:left="99"/>
            </w:pPr>
            <w:r>
              <w:rPr>
                <w:spacing w:val="-3"/>
              </w:rPr>
              <w:t>符合</w:t>
            </w:r>
          </w:p>
        </w:tc>
      </w:tr>
      <w:tr w14:paraId="4D9A8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0" w:hRule="atLeast"/>
        </w:trPr>
        <w:tc>
          <w:tcPr>
            <w:tcW w:w="1244" w:type="dxa"/>
            <w:vMerge w:val="continue"/>
            <w:tcBorders>
              <w:top w:val="nil"/>
            </w:tcBorders>
            <w:vAlign w:val="top"/>
          </w:tcPr>
          <w:p w14:paraId="628BFDA8">
            <w:pPr>
              <w:rPr>
                <w:rFonts w:ascii="Arial"/>
                <w:sz w:val="21"/>
              </w:rPr>
            </w:pPr>
          </w:p>
        </w:tc>
        <w:tc>
          <w:tcPr>
            <w:tcW w:w="7706" w:type="dxa"/>
            <w:gridSpan w:val="4"/>
            <w:vAlign w:val="top"/>
          </w:tcPr>
          <w:p w14:paraId="78E0B1F9">
            <w:pPr>
              <w:pStyle w:val="6"/>
              <w:spacing w:before="53" w:line="393" w:lineRule="auto"/>
              <w:ind w:left="10" w:right="461" w:firstLine="499"/>
            </w:pPr>
            <w:r>
              <w:t>因此，本项目建设符合《曲靖市生态环境分区管控动态更新方案(2023</w:t>
            </w:r>
            <w:r>
              <w:rPr>
                <w:spacing w:val="12"/>
              </w:rPr>
              <w:t xml:space="preserve"> </w:t>
            </w:r>
            <w:r>
              <w:t>年)》的相关要求。</w:t>
            </w:r>
          </w:p>
          <w:p w14:paraId="7746736C">
            <w:pPr>
              <w:pStyle w:val="6"/>
              <w:spacing w:line="218" w:lineRule="auto"/>
              <w:ind w:left="14"/>
            </w:pPr>
            <w:r>
              <w:rPr>
                <w:b/>
                <w:bCs/>
                <w:spacing w:val="-3"/>
              </w:rPr>
              <w:t>9与《云南省基本农田保护条例》的相符性</w:t>
            </w:r>
          </w:p>
          <w:p w14:paraId="36562109">
            <w:pPr>
              <w:pStyle w:val="6"/>
              <w:spacing w:before="214" w:line="389" w:lineRule="auto"/>
              <w:ind w:left="10" w:right="633" w:firstLine="469"/>
              <w:jc w:val="both"/>
            </w:pPr>
            <w:r>
              <w:t>根据《云南省基本农田保护条例》:“确定的基本农田，任何单位和</w:t>
            </w:r>
            <w:r>
              <w:rPr>
                <w:spacing w:val="17"/>
              </w:rPr>
              <w:t xml:space="preserve"> </w:t>
            </w:r>
            <w:r>
              <w:t>个人不得擅自改变或者占用。能源、交通、水利等重点建设项目选址确实 无法避开，需占用的，建设单位应当持有关批准文件，向县级以上土地管</w:t>
            </w:r>
            <w:r>
              <w:rPr>
                <w:spacing w:val="10"/>
              </w:rPr>
              <w:t xml:space="preserve"> </w:t>
            </w:r>
            <w:r>
              <w:t>理部门提出申请，经同级农业行政主管部门签署意见后，按照规定办理报</w:t>
            </w:r>
            <w:r>
              <w:rPr>
                <w:spacing w:val="9"/>
              </w:rPr>
              <w:t xml:space="preserve"> </w:t>
            </w:r>
            <w:r>
              <w:rPr>
                <w:spacing w:val="-1"/>
              </w:rPr>
              <w:t>批手续”。</w:t>
            </w:r>
          </w:p>
          <w:p w14:paraId="2BBB34FC">
            <w:pPr>
              <w:pStyle w:val="6"/>
              <w:spacing w:before="4" w:line="385" w:lineRule="auto"/>
              <w:ind w:left="10" w:right="624" w:firstLine="459"/>
              <w:jc w:val="both"/>
            </w:pPr>
            <w:r>
              <w:t>根据陆良县自然资源局针对本项目的核查意见</w:t>
            </w:r>
            <w:r>
              <w:rPr>
                <w:spacing w:val="-1"/>
              </w:rPr>
              <w:t>、现场踏勘及土地报件</w:t>
            </w:r>
            <w:r>
              <w:t xml:space="preserve"> </w:t>
            </w:r>
            <w:r>
              <w:rPr>
                <w:spacing w:val="1"/>
              </w:rPr>
              <w:t>单位相关陆良耕地资料核对可知，本项目工</w:t>
            </w:r>
            <w:r>
              <w:t>程实际占地不涉及基本农田， 但项目周边有成片大面积块状分布基本农田，项目区域</w:t>
            </w:r>
            <w:r>
              <w:rPr>
                <w:spacing w:val="-1"/>
              </w:rPr>
              <w:t>周边基本农田分布</w:t>
            </w:r>
            <w:r>
              <w:t xml:space="preserve"> 密集，覆盖范围广。项目光伏场区分布较散、项目集电线路需连通各光伏</w:t>
            </w:r>
            <w:r>
              <w:rPr>
                <w:spacing w:val="9"/>
              </w:rPr>
              <w:t xml:space="preserve"> </w:t>
            </w:r>
            <w:r>
              <w:t>片区，项目集电线路路径无法完全避让基本农田，因此，本工程集电线路</w:t>
            </w:r>
            <w:r>
              <w:rPr>
                <w:spacing w:val="7"/>
              </w:rPr>
              <w:t xml:space="preserve"> </w:t>
            </w:r>
            <w:r>
              <w:t>不可避免的跨越了陆良县基本农田。本项目集电线路采用无害化跨越模</w:t>
            </w:r>
          </w:p>
        </w:tc>
      </w:tr>
    </w:tbl>
    <w:p w14:paraId="79DECEA6">
      <w:pPr>
        <w:pStyle w:val="2"/>
      </w:pPr>
    </w:p>
    <w:p w14:paraId="023FA030">
      <w:pPr>
        <w:sectPr>
          <w:footerReference r:id="rId32" w:type="default"/>
          <w:pgSz w:w="11910" w:h="16830"/>
          <w:pgMar w:top="400" w:right="1534" w:bottom="1243" w:left="1415" w:header="0" w:footer="1081" w:gutter="0"/>
          <w:cols w:space="720" w:num="1"/>
        </w:sectPr>
      </w:pPr>
    </w:p>
    <w:p w14:paraId="4D8CFE20">
      <w:pPr>
        <w:spacing w:before="18"/>
      </w:pPr>
    </w:p>
    <w:p w14:paraId="4B07258A">
      <w:pPr>
        <w:spacing w:before="18"/>
      </w:pPr>
    </w:p>
    <w:p w14:paraId="44D8E11F">
      <w:pPr>
        <w:spacing w:before="17"/>
      </w:pPr>
    </w:p>
    <w:p w14:paraId="6A72B5DB">
      <w:pPr>
        <w:spacing w:before="17"/>
      </w:pPr>
    </w:p>
    <w:p w14:paraId="304B8494">
      <w:pPr>
        <w:spacing w:before="17"/>
      </w:pPr>
    </w:p>
    <w:tbl>
      <w:tblPr>
        <w:tblStyle w:val="5"/>
        <w:tblW w:w="88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3"/>
        <w:gridCol w:w="739"/>
        <w:gridCol w:w="2637"/>
        <w:gridCol w:w="4280"/>
      </w:tblGrid>
      <w:tr w14:paraId="01440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9" w:hRule="atLeast"/>
        </w:trPr>
        <w:tc>
          <w:tcPr>
            <w:tcW w:w="1233" w:type="dxa"/>
            <w:vMerge w:val="restart"/>
            <w:tcBorders>
              <w:bottom w:val="nil"/>
            </w:tcBorders>
            <w:vAlign w:val="top"/>
          </w:tcPr>
          <w:p w14:paraId="377BEFDB">
            <w:pPr>
              <w:rPr>
                <w:rFonts w:ascii="Arial"/>
                <w:sz w:val="21"/>
              </w:rPr>
            </w:pPr>
          </w:p>
        </w:tc>
        <w:tc>
          <w:tcPr>
            <w:tcW w:w="7656" w:type="dxa"/>
            <w:gridSpan w:val="3"/>
            <w:vAlign w:val="top"/>
          </w:tcPr>
          <w:p w14:paraId="70AB0EF6">
            <w:pPr>
              <w:pStyle w:val="6"/>
              <w:spacing w:before="22" w:line="391" w:lineRule="auto"/>
              <w:ind w:left="11" w:right="373"/>
              <w:jc w:val="both"/>
            </w:pPr>
            <w:r>
              <w:t>式，项目不在基本农田范围内立塔，不对基本农田造成破坏，项目工程实</w:t>
            </w:r>
            <w:r>
              <w:rPr>
                <w:spacing w:val="3"/>
              </w:rPr>
              <w:t xml:space="preserve">   </w:t>
            </w:r>
            <w:r>
              <w:t xml:space="preserve">际占地未占用基本农田。因此，项目建设符合《云南省基本农田保护条例》 </w:t>
            </w:r>
            <w:r>
              <w:rPr>
                <w:spacing w:val="5"/>
              </w:rPr>
              <w:t>的相关要求。</w:t>
            </w:r>
          </w:p>
          <w:p w14:paraId="23F9DCF7">
            <w:pPr>
              <w:pStyle w:val="6"/>
              <w:spacing w:line="390" w:lineRule="auto"/>
              <w:ind w:left="15" w:right="918"/>
            </w:pPr>
            <w:r>
              <w:rPr>
                <w:b/>
                <w:bCs/>
                <w:spacing w:val="-2"/>
              </w:rPr>
              <w:t>10与《云南省生物多样性保护战略与行动计划》(2024</w:t>
            </w:r>
            <w:r>
              <w:rPr>
                <w:b/>
                <w:bCs/>
                <w:spacing w:val="-3"/>
              </w:rPr>
              <w:t>-2030年)的相符</w:t>
            </w:r>
            <w:r>
              <w:t xml:space="preserve"> </w:t>
            </w:r>
            <w:r>
              <w:rPr>
                <w:b/>
                <w:bCs/>
                <w:spacing w:val="-5"/>
              </w:rPr>
              <w:t>性分析</w:t>
            </w:r>
          </w:p>
          <w:p w14:paraId="00327C94">
            <w:pPr>
              <w:pStyle w:val="6"/>
              <w:spacing w:line="216" w:lineRule="auto"/>
              <w:ind w:left="422"/>
            </w:pPr>
            <w:r>
              <w:t>根据《云南省生物多样性保护战略与行动计划(2024</w:t>
            </w:r>
            <w:r>
              <w:rPr>
                <w:spacing w:val="-1"/>
              </w:rPr>
              <w:t>-2030年)》,将</w:t>
            </w:r>
          </w:p>
          <w:p w14:paraId="28E58CCD">
            <w:pPr>
              <w:pStyle w:val="6"/>
              <w:spacing w:before="222" w:line="392" w:lineRule="auto"/>
              <w:ind w:left="11" w:right="582"/>
            </w:pPr>
            <w:r>
              <w:t>云南的滇西北高山峡谷针叶林区域、云南南部边缘热带雨林区域、滇东南</w:t>
            </w:r>
            <w:r>
              <w:rPr>
                <w:spacing w:val="10"/>
              </w:rPr>
              <w:t xml:space="preserve"> </w:t>
            </w:r>
            <w:r>
              <w:t>喀斯特东南季风阔叶林区域、滇东北乌蒙山湿润常绿阔叶林区域、澜沧江</w:t>
            </w:r>
            <w:r>
              <w:rPr>
                <w:spacing w:val="7"/>
              </w:rPr>
              <w:t xml:space="preserve"> </w:t>
            </w:r>
            <w:r>
              <w:t>中游一哀牢山中山湿性常绿阔叶林区域、云南高原湿地区域等6个区域划</w:t>
            </w:r>
            <w:r>
              <w:rPr>
                <w:spacing w:val="7"/>
              </w:rPr>
              <w:t xml:space="preserve">  </w:t>
            </w:r>
            <w:r>
              <w:t>分为一级生物多样性保护优先区域。在综合考量生态系统类型的代表</w:t>
            </w:r>
            <w:r>
              <w:rPr>
                <w:spacing w:val="-1"/>
              </w:rPr>
              <w:t>性，</w:t>
            </w:r>
            <w:r>
              <w:t xml:space="preserve"> 生态系统的特有性及其特殊生态功能，物种的特有性、丰富度、珍稀濒危</w:t>
            </w:r>
            <w:r>
              <w:rPr>
                <w:spacing w:val="10"/>
              </w:rPr>
              <w:t xml:space="preserve"> </w:t>
            </w:r>
            <w:r>
              <w:t>程度、区域代表性、科学研究价值和分布数据的可获</w:t>
            </w:r>
            <w:r>
              <w:rPr>
                <w:spacing w:val="-1"/>
              </w:rPr>
              <w:t>得性等基础上，进一</w:t>
            </w:r>
            <w:r>
              <w:t xml:space="preserve"> </w:t>
            </w:r>
            <w:r>
              <w:rPr>
                <w:spacing w:val="2"/>
              </w:rPr>
              <w:t>步划定了18个二级生物多样性保护优先区，涉及16个州市101</w:t>
            </w:r>
            <w:r>
              <w:rPr>
                <w:spacing w:val="1"/>
              </w:rPr>
              <w:t>个县(区),</w:t>
            </w:r>
            <w:r>
              <w:t xml:space="preserve">  </w:t>
            </w:r>
            <w:r>
              <w:rPr>
                <w:spacing w:val="3"/>
              </w:rPr>
              <w:t>总面积9.5万</w:t>
            </w:r>
            <w:r>
              <w:t>km</w:t>
            </w:r>
            <w:r>
              <w:rPr>
                <w:spacing w:val="3"/>
              </w:rPr>
              <w:t>²,占云南国土面积的23.86%,并针对6个优先区域提出了9</w:t>
            </w:r>
            <w:r>
              <w:rPr>
                <w:spacing w:val="5"/>
              </w:rPr>
              <w:t xml:space="preserve">  </w:t>
            </w:r>
            <w:r>
              <w:t>大保护优先领域和34项行动。</w:t>
            </w:r>
          </w:p>
          <w:p w14:paraId="2E04F958">
            <w:pPr>
              <w:pStyle w:val="6"/>
              <w:spacing w:before="16" w:line="208" w:lineRule="auto"/>
              <w:ind w:left="955"/>
            </w:pPr>
            <w:r>
              <w:rPr>
                <w:b/>
                <w:bCs/>
                <w:spacing w:val="-3"/>
              </w:rPr>
              <w:t>表1-9</w:t>
            </w:r>
            <w:r>
              <w:rPr>
                <w:spacing w:val="-3"/>
              </w:rPr>
              <w:t xml:space="preserve">    </w:t>
            </w:r>
            <w:r>
              <w:rPr>
                <w:b/>
                <w:bCs/>
                <w:spacing w:val="-3"/>
              </w:rPr>
              <w:t>6个一级优先区域和18个二级优先区域一览表</w:t>
            </w:r>
          </w:p>
        </w:tc>
      </w:tr>
      <w:tr w14:paraId="3C4E6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33" w:type="dxa"/>
            <w:vMerge w:val="continue"/>
            <w:tcBorders>
              <w:top w:val="nil"/>
              <w:bottom w:val="nil"/>
            </w:tcBorders>
            <w:vAlign w:val="top"/>
          </w:tcPr>
          <w:p w14:paraId="0184A5AD">
            <w:pPr>
              <w:rPr>
                <w:rFonts w:ascii="Arial"/>
                <w:sz w:val="21"/>
              </w:rPr>
            </w:pPr>
          </w:p>
        </w:tc>
        <w:tc>
          <w:tcPr>
            <w:tcW w:w="739" w:type="dxa"/>
            <w:vAlign w:val="top"/>
          </w:tcPr>
          <w:p w14:paraId="3597C99D">
            <w:pPr>
              <w:pStyle w:val="6"/>
              <w:spacing w:before="66" w:line="213" w:lineRule="auto"/>
              <w:ind w:left="142"/>
            </w:pPr>
            <w:r>
              <w:rPr>
                <w:spacing w:val="6"/>
              </w:rPr>
              <w:t>序号</w:t>
            </w:r>
          </w:p>
        </w:tc>
        <w:tc>
          <w:tcPr>
            <w:tcW w:w="2637" w:type="dxa"/>
            <w:vAlign w:val="top"/>
          </w:tcPr>
          <w:p w14:paraId="62190FE2">
            <w:pPr>
              <w:pStyle w:val="6"/>
              <w:spacing w:before="64" w:line="214" w:lineRule="auto"/>
              <w:ind w:left="652"/>
            </w:pPr>
            <w:r>
              <w:rPr>
                <w:spacing w:val="1"/>
              </w:rPr>
              <w:t>一级优先区域</w:t>
            </w:r>
          </w:p>
        </w:tc>
        <w:tc>
          <w:tcPr>
            <w:tcW w:w="4280" w:type="dxa"/>
            <w:vAlign w:val="top"/>
          </w:tcPr>
          <w:p w14:paraId="4557ECFE">
            <w:pPr>
              <w:pStyle w:val="6"/>
              <w:spacing w:before="64" w:line="214" w:lineRule="auto"/>
              <w:ind w:left="1505"/>
            </w:pPr>
            <w:r>
              <w:rPr>
                <w:spacing w:val="1"/>
              </w:rPr>
              <w:t>二级优先区域</w:t>
            </w:r>
          </w:p>
        </w:tc>
      </w:tr>
      <w:tr w14:paraId="6549C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233" w:type="dxa"/>
            <w:vMerge w:val="continue"/>
            <w:tcBorders>
              <w:top w:val="nil"/>
              <w:bottom w:val="nil"/>
            </w:tcBorders>
            <w:vAlign w:val="top"/>
          </w:tcPr>
          <w:p w14:paraId="1B8E45AE">
            <w:pPr>
              <w:rPr>
                <w:rFonts w:ascii="Arial"/>
                <w:sz w:val="21"/>
              </w:rPr>
            </w:pPr>
          </w:p>
        </w:tc>
        <w:tc>
          <w:tcPr>
            <w:tcW w:w="739" w:type="dxa"/>
            <w:vMerge w:val="restart"/>
            <w:tcBorders>
              <w:bottom w:val="nil"/>
            </w:tcBorders>
            <w:vAlign w:val="top"/>
          </w:tcPr>
          <w:p w14:paraId="15783F7C">
            <w:pPr>
              <w:spacing w:line="241" w:lineRule="auto"/>
              <w:rPr>
                <w:rFonts w:ascii="Arial"/>
                <w:sz w:val="21"/>
              </w:rPr>
            </w:pPr>
          </w:p>
          <w:p w14:paraId="7E7BFDD0">
            <w:pPr>
              <w:spacing w:line="241" w:lineRule="auto"/>
              <w:rPr>
                <w:rFonts w:ascii="Arial"/>
                <w:sz w:val="21"/>
              </w:rPr>
            </w:pPr>
          </w:p>
          <w:p w14:paraId="301B423D">
            <w:pPr>
              <w:pStyle w:val="6"/>
              <w:spacing w:before="71" w:line="241" w:lineRule="auto"/>
              <w:ind w:left="301"/>
            </w:pPr>
            <w:r>
              <w:t>1</w:t>
            </w:r>
          </w:p>
        </w:tc>
        <w:tc>
          <w:tcPr>
            <w:tcW w:w="2637" w:type="dxa"/>
            <w:vMerge w:val="restart"/>
            <w:tcBorders>
              <w:bottom w:val="nil"/>
            </w:tcBorders>
            <w:vAlign w:val="top"/>
          </w:tcPr>
          <w:p w14:paraId="684856CC">
            <w:pPr>
              <w:spacing w:line="352" w:lineRule="auto"/>
              <w:rPr>
                <w:rFonts w:ascii="Arial"/>
                <w:sz w:val="21"/>
              </w:rPr>
            </w:pPr>
          </w:p>
          <w:p w14:paraId="2D440DF0">
            <w:pPr>
              <w:pStyle w:val="6"/>
              <w:spacing w:before="71" w:line="221" w:lineRule="auto"/>
              <w:ind w:left="1202" w:right="85" w:hanging="1100"/>
            </w:pPr>
            <w:r>
              <w:rPr>
                <w:spacing w:val="1"/>
              </w:rPr>
              <w:t>滇西北高山峡谷针叶林区</w:t>
            </w:r>
            <w:r>
              <w:rPr>
                <w:spacing w:val="6"/>
              </w:rPr>
              <w:t xml:space="preserve"> </w:t>
            </w:r>
            <w:r>
              <w:t>域</w:t>
            </w:r>
          </w:p>
        </w:tc>
        <w:tc>
          <w:tcPr>
            <w:tcW w:w="4280" w:type="dxa"/>
            <w:vAlign w:val="top"/>
          </w:tcPr>
          <w:p w14:paraId="0B57C737">
            <w:pPr>
              <w:pStyle w:val="6"/>
              <w:spacing w:before="52" w:line="207" w:lineRule="auto"/>
              <w:ind w:left="105"/>
            </w:pPr>
            <w:r>
              <w:rPr>
                <w:spacing w:val="1"/>
              </w:rPr>
              <w:t>①高黎贡山北段温凉性针叶林区</w:t>
            </w:r>
          </w:p>
        </w:tc>
      </w:tr>
      <w:tr w14:paraId="563AE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33" w:type="dxa"/>
            <w:vMerge w:val="continue"/>
            <w:tcBorders>
              <w:top w:val="nil"/>
              <w:bottom w:val="nil"/>
            </w:tcBorders>
            <w:vAlign w:val="top"/>
          </w:tcPr>
          <w:p w14:paraId="2E8F65AC">
            <w:pPr>
              <w:rPr>
                <w:rFonts w:ascii="Arial"/>
                <w:sz w:val="21"/>
              </w:rPr>
            </w:pPr>
          </w:p>
        </w:tc>
        <w:tc>
          <w:tcPr>
            <w:tcW w:w="739" w:type="dxa"/>
            <w:vMerge w:val="continue"/>
            <w:tcBorders>
              <w:top w:val="nil"/>
              <w:bottom w:val="nil"/>
            </w:tcBorders>
            <w:vAlign w:val="top"/>
          </w:tcPr>
          <w:p w14:paraId="64937634">
            <w:pPr>
              <w:rPr>
                <w:rFonts w:ascii="Arial"/>
                <w:sz w:val="21"/>
              </w:rPr>
            </w:pPr>
          </w:p>
        </w:tc>
        <w:tc>
          <w:tcPr>
            <w:tcW w:w="2637" w:type="dxa"/>
            <w:vMerge w:val="continue"/>
            <w:tcBorders>
              <w:top w:val="nil"/>
              <w:bottom w:val="nil"/>
            </w:tcBorders>
            <w:vAlign w:val="top"/>
          </w:tcPr>
          <w:p w14:paraId="295A188D">
            <w:pPr>
              <w:rPr>
                <w:rFonts w:ascii="Arial"/>
                <w:sz w:val="21"/>
              </w:rPr>
            </w:pPr>
          </w:p>
        </w:tc>
        <w:tc>
          <w:tcPr>
            <w:tcW w:w="4280" w:type="dxa"/>
            <w:vAlign w:val="top"/>
          </w:tcPr>
          <w:p w14:paraId="2786B902">
            <w:pPr>
              <w:pStyle w:val="6"/>
              <w:spacing w:before="63" w:line="215" w:lineRule="auto"/>
              <w:ind w:left="105"/>
            </w:pPr>
            <w:r>
              <w:rPr>
                <w:spacing w:val="1"/>
              </w:rPr>
              <w:t>②梅里雪山一碧罗雪山寒温性针叶林区</w:t>
            </w:r>
          </w:p>
        </w:tc>
      </w:tr>
      <w:tr w14:paraId="53968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233" w:type="dxa"/>
            <w:vMerge w:val="continue"/>
            <w:tcBorders>
              <w:top w:val="nil"/>
              <w:bottom w:val="nil"/>
            </w:tcBorders>
            <w:vAlign w:val="top"/>
          </w:tcPr>
          <w:p w14:paraId="4C60FA73">
            <w:pPr>
              <w:rPr>
                <w:rFonts w:ascii="Arial"/>
                <w:sz w:val="21"/>
              </w:rPr>
            </w:pPr>
          </w:p>
        </w:tc>
        <w:tc>
          <w:tcPr>
            <w:tcW w:w="739" w:type="dxa"/>
            <w:vMerge w:val="continue"/>
            <w:tcBorders>
              <w:top w:val="nil"/>
              <w:bottom w:val="nil"/>
            </w:tcBorders>
            <w:vAlign w:val="top"/>
          </w:tcPr>
          <w:p w14:paraId="343E4DF9">
            <w:pPr>
              <w:rPr>
                <w:rFonts w:ascii="Arial"/>
                <w:sz w:val="21"/>
              </w:rPr>
            </w:pPr>
          </w:p>
        </w:tc>
        <w:tc>
          <w:tcPr>
            <w:tcW w:w="2637" w:type="dxa"/>
            <w:vMerge w:val="continue"/>
            <w:tcBorders>
              <w:top w:val="nil"/>
              <w:bottom w:val="nil"/>
            </w:tcBorders>
            <w:vAlign w:val="top"/>
          </w:tcPr>
          <w:p w14:paraId="63F44D02">
            <w:pPr>
              <w:rPr>
                <w:rFonts w:ascii="Arial"/>
                <w:sz w:val="21"/>
              </w:rPr>
            </w:pPr>
          </w:p>
        </w:tc>
        <w:tc>
          <w:tcPr>
            <w:tcW w:w="4280" w:type="dxa"/>
            <w:vAlign w:val="top"/>
          </w:tcPr>
          <w:p w14:paraId="62AB74C1">
            <w:pPr>
              <w:pStyle w:val="6"/>
              <w:spacing w:before="43" w:line="206" w:lineRule="auto"/>
              <w:ind w:left="105"/>
            </w:pPr>
            <w:r>
              <w:rPr>
                <w:spacing w:val="1"/>
              </w:rPr>
              <w:t>③云岭山脉寒温性一暖温性针叶林区</w:t>
            </w:r>
          </w:p>
        </w:tc>
      </w:tr>
      <w:tr w14:paraId="6D4BC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233" w:type="dxa"/>
            <w:vMerge w:val="continue"/>
            <w:tcBorders>
              <w:top w:val="nil"/>
              <w:bottom w:val="nil"/>
            </w:tcBorders>
            <w:vAlign w:val="top"/>
          </w:tcPr>
          <w:p w14:paraId="4717A5E8">
            <w:pPr>
              <w:rPr>
                <w:rFonts w:ascii="Arial"/>
                <w:sz w:val="21"/>
              </w:rPr>
            </w:pPr>
          </w:p>
        </w:tc>
        <w:tc>
          <w:tcPr>
            <w:tcW w:w="739" w:type="dxa"/>
            <w:vMerge w:val="continue"/>
            <w:tcBorders>
              <w:top w:val="nil"/>
            </w:tcBorders>
            <w:vAlign w:val="top"/>
          </w:tcPr>
          <w:p w14:paraId="72040F4C">
            <w:pPr>
              <w:rPr>
                <w:rFonts w:ascii="Arial"/>
                <w:sz w:val="21"/>
              </w:rPr>
            </w:pPr>
          </w:p>
        </w:tc>
        <w:tc>
          <w:tcPr>
            <w:tcW w:w="2637" w:type="dxa"/>
            <w:vMerge w:val="continue"/>
            <w:tcBorders>
              <w:top w:val="nil"/>
            </w:tcBorders>
            <w:vAlign w:val="top"/>
          </w:tcPr>
          <w:p w14:paraId="2E5D0EA5">
            <w:pPr>
              <w:rPr>
                <w:rFonts w:ascii="Arial"/>
                <w:sz w:val="21"/>
              </w:rPr>
            </w:pPr>
          </w:p>
        </w:tc>
        <w:tc>
          <w:tcPr>
            <w:tcW w:w="4280" w:type="dxa"/>
            <w:vAlign w:val="top"/>
          </w:tcPr>
          <w:p w14:paraId="27C7CB40">
            <w:pPr>
              <w:pStyle w:val="6"/>
              <w:spacing w:before="54" w:line="206" w:lineRule="auto"/>
              <w:ind w:left="105"/>
            </w:pPr>
            <w:r>
              <w:rPr>
                <w:spacing w:val="1"/>
              </w:rPr>
              <w:t>④香格里拉山原寒温性针叶林区</w:t>
            </w:r>
          </w:p>
        </w:tc>
      </w:tr>
      <w:tr w14:paraId="29899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33" w:type="dxa"/>
            <w:vMerge w:val="continue"/>
            <w:tcBorders>
              <w:top w:val="nil"/>
              <w:bottom w:val="nil"/>
            </w:tcBorders>
            <w:vAlign w:val="top"/>
          </w:tcPr>
          <w:p w14:paraId="7BE95FF5">
            <w:pPr>
              <w:rPr>
                <w:rFonts w:ascii="Arial"/>
                <w:sz w:val="21"/>
              </w:rPr>
            </w:pPr>
          </w:p>
        </w:tc>
        <w:tc>
          <w:tcPr>
            <w:tcW w:w="739" w:type="dxa"/>
            <w:vMerge w:val="restart"/>
            <w:tcBorders>
              <w:bottom w:val="nil"/>
            </w:tcBorders>
            <w:vAlign w:val="top"/>
          </w:tcPr>
          <w:p w14:paraId="6A103CFD">
            <w:pPr>
              <w:spacing w:line="336" w:lineRule="auto"/>
              <w:rPr>
                <w:rFonts w:ascii="Arial"/>
                <w:sz w:val="21"/>
              </w:rPr>
            </w:pPr>
          </w:p>
          <w:p w14:paraId="6D5E7FF0">
            <w:pPr>
              <w:spacing w:line="337" w:lineRule="auto"/>
              <w:rPr>
                <w:rFonts w:ascii="Arial"/>
                <w:sz w:val="21"/>
              </w:rPr>
            </w:pPr>
          </w:p>
          <w:p w14:paraId="7AAD5063">
            <w:pPr>
              <w:pStyle w:val="6"/>
              <w:spacing w:before="71" w:line="241" w:lineRule="auto"/>
              <w:ind w:left="301"/>
            </w:pPr>
            <w:r>
              <w:t>2</w:t>
            </w:r>
          </w:p>
        </w:tc>
        <w:tc>
          <w:tcPr>
            <w:tcW w:w="2637" w:type="dxa"/>
            <w:vMerge w:val="restart"/>
            <w:tcBorders>
              <w:bottom w:val="nil"/>
            </w:tcBorders>
            <w:vAlign w:val="top"/>
          </w:tcPr>
          <w:p w14:paraId="53D63CD8">
            <w:pPr>
              <w:spacing w:line="265" w:lineRule="auto"/>
              <w:rPr>
                <w:rFonts w:ascii="Arial"/>
                <w:sz w:val="21"/>
              </w:rPr>
            </w:pPr>
          </w:p>
          <w:p w14:paraId="1C55F04A">
            <w:pPr>
              <w:spacing w:line="266" w:lineRule="auto"/>
              <w:rPr>
                <w:rFonts w:ascii="Arial"/>
                <w:sz w:val="21"/>
              </w:rPr>
            </w:pPr>
          </w:p>
          <w:p w14:paraId="4BA03D7F">
            <w:pPr>
              <w:pStyle w:val="6"/>
              <w:spacing w:before="71" w:line="230" w:lineRule="auto"/>
              <w:ind w:left="1202" w:right="85" w:hanging="1100"/>
            </w:pPr>
            <w:r>
              <w:rPr>
                <w:spacing w:val="1"/>
              </w:rPr>
              <w:t>云南南部边缘热带雨林区</w:t>
            </w:r>
            <w:r>
              <w:rPr>
                <w:spacing w:val="6"/>
              </w:rPr>
              <w:t xml:space="preserve"> </w:t>
            </w:r>
            <w:r>
              <w:t>域</w:t>
            </w:r>
          </w:p>
        </w:tc>
        <w:tc>
          <w:tcPr>
            <w:tcW w:w="4280" w:type="dxa"/>
            <w:vAlign w:val="top"/>
          </w:tcPr>
          <w:p w14:paraId="55746C46">
            <w:pPr>
              <w:pStyle w:val="6"/>
              <w:spacing w:before="64" w:line="214" w:lineRule="auto"/>
              <w:ind w:left="105"/>
            </w:pPr>
            <w:r>
              <w:rPr>
                <w:spacing w:val="1"/>
              </w:rPr>
              <w:t>①高黎贡山南段中山湿性常绿阔叶林区</w:t>
            </w:r>
          </w:p>
        </w:tc>
      </w:tr>
      <w:tr w14:paraId="367D9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233" w:type="dxa"/>
            <w:vMerge w:val="continue"/>
            <w:tcBorders>
              <w:top w:val="nil"/>
              <w:bottom w:val="nil"/>
            </w:tcBorders>
            <w:vAlign w:val="top"/>
          </w:tcPr>
          <w:p w14:paraId="46FCBA5F">
            <w:pPr>
              <w:rPr>
                <w:rFonts w:ascii="Arial"/>
                <w:sz w:val="21"/>
              </w:rPr>
            </w:pPr>
          </w:p>
        </w:tc>
        <w:tc>
          <w:tcPr>
            <w:tcW w:w="739" w:type="dxa"/>
            <w:vMerge w:val="continue"/>
            <w:tcBorders>
              <w:top w:val="nil"/>
              <w:bottom w:val="nil"/>
            </w:tcBorders>
            <w:vAlign w:val="top"/>
          </w:tcPr>
          <w:p w14:paraId="10E46A93">
            <w:pPr>
              <w:rPr>
                <w:rFonts w:ascii="Arial"/>
                <w:sz w:val="21"/>
              </w:rPr>
            </w:pPr>
          </w:p>
        </w:tc>
        <w:tc>
          <w:tcPr>
            <w:tcW w:w="2637" w:type="dxa"/>
            <w:vMerge w:val="continue"/>
            <w:tcBorders>
              <w:top w:val="nil"/>
              <w:bottom w:val="nil"/>
            </w:tcBorders>
            <w:vAlign w:val="top"/>
          </w:tcPr>
          <w:p w14:paraId="6FC0774C">
            <w:pPr>
              <w:rPr>
                <w:rFonts w:ascii="Arial"/>
                <w:sz w:val="21"/>
              </w:rPr>
            </w:pPr>
          </w:p>
        </w:tc>
        <w:tc>
          <w:tcPr>
            <w:tcW w:w="4280" w:type="dxa"/>
            <w:vAlign w:val="top"/>
          </w:tcPr>
          <w:p w14:paraId="105C39B8">
            <w:pPr>
              <w:pStyle w:val="6"/>
              <w:spacing w:before="54" w:line="205" w:lineRule="auto"/>
              <w:ind w:left="105"/>
            </w:pPr>
            <w:r>
              <w:rPr>
                <w:spacing w:val="2"/>
              </w:rPr>
              <w:t>②铜壁关热带雨林区</w:t>
            </w:r>
          </w:p>
        </w:tc>
      </w:tr>
      <w:tr w14:paraId="3E40D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33" w:type="dxa"/>
            <w:vMerge w:val="continue"/>
            <w:tcBorders>
              <w:top w:val="nil"/>
              <w:bottom w:val="nil"/>
            </w:tcBorders>
            <w:vAlign w:val="top"/>
          </w:tcPr>
          <w:p w14:paraId="792786F3">
            <w:pPr>
              <w:rPr>
                <w:rFonts w:ascii="Arial"/>
                <w:sz w:val="21"/>
              </w:rPr>
            </w:pPr>
          </w:p>
        </w:tc>
        <w:tc>
          <w:tcPr>
            <w:tcW w:w="739" w:type="dxa"/>
            <w:vMerge w:val="continue"/>
            <w:tcBorders>
              <w:top w:val="nil"/>
              <w:bottom w:val="nil"/>
            </w:tcBorders>
            <w:vAlign w:val="top"/>
          </w:tcPr>
          <w:p w14:paraId="7F00BB16">
            <w:pPr>
              <w:rPr>
                <w:rFonts w:ascii="Arial"/>
                <w:sz w:val="21"/>
              </w:rPr>
            </w:pPr>
          </w:p>
        </w:tc>
        <w:tc>
          <w:tcPr>
            <w:tcW w:w="2637" w:type="dxa"/>
            <w:vMerge w:val="continue"/>
            <w:tcBorders>
              <w:top w:val="nil"/>
              <w:bottom w:val="nil"/>
            </w:tcBorders>
            <w:vAlign w:val="top"/>
          </w:tcPr>
          <w:p w14:paraId="50EADD6B">
            <w:pPr>
              <w:rPr>
                <w:rFonts w:ascii="Arial"/>
                <w:sz w:val="21"/>
              </w:rPr>
            </w:pPr>
          </w:p>
        </w:tc>
        <w:tc>
          <w:tcPr>
            <w:tcW w:w="4280" w:type="dxa"/>
            <w:vAlign w:val="top"/>
          </w:tcPr>
          <w:p w14:paraId="16BF3364">
            <w:pPr>
              <w:pStyle w:val="6"/>
              <w:spacing w:before="64" w:line="214" w:lineRule="auto"/>
              <w:ind w:left="105"/>
            </w:pPr>
            <w:r>
              <w:rPr>
                <w:spacing w:val="2"/>
              </w:rPr>
              <w:t>③南汀河热带雨林区</w:t>
            </w:r>
          </w:p>
        </w:tc>
      </w:tr>
      <w:tr w14:paraId="3BEDD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233" w:type="dxa"/>
            <w:vMerge w:val="continue"/>
            <w:tcBorders>
              <w:top w:val="nil"/>
              <w:bottom w:val="nil"/>
            </w:tcBorders>
            <w:vAlign w:val="top"/>
          </w:tcPr>
          <w:p w14:paraId="0D4517B4">
            <w:pPr>
              <w:rPr>
                <w:rFonts w:ascii="Arial"/>
                <w:sz w:val="21"/>
              </w:rPr>
            </w:pPr>
          </w:p>
        </w:tc>
        <w:tc>
          <w:tcPr>
            <w:tcW w:w="739" w:type="dxa"/>
            <w:vMerge w:val="continue"/>
            <w:tcBorders>
              <w:top w:val="nil"/>
              <w:bottom w:val="nil"/>
            </w:tcBorders>
            <w:vAlign w:val="top"/>
          </w:tcPr>
          <w:p w14:paraId="4F71183B">
            <w:pPr>
              <w:rPr>
                <w:rFonts w:ascii="Arial"/>
                <w:sz w:val="21"/>
              </w:rPr>
            </w:pPr>
          </w:p>
        </w:tc>
        <w:tc>
          <w:tcPr>
            <w:tcW w:w="2637" w:type="dxa"/>
            <w:vMerge w:val="continue"/>
            <w:tcBorders>
              <w:top w:val="nil"/>
              <w:bottom w:val="nil"/>
            </w:tcBorders>
            <w:vAlign w:val="top"/>
          </w:tcPr>
          <w:p w14:paraId="6DAA6331">
            <w:pPr>
              <w:rPr>
                <w:rFonts w:ascii="Arial"/>
                <w:sz w:val="21"/>
              </w:rPr>
            </w:pPr>
          </w:p>
        </w:tc>
        <w:tc>
          <w:tcPr>
            <w:tcW w:w="4280" w:type="dxa"/>
            <w:vAlign w:val="top"/>
          </w:tcPr>
          <w:p w14:paraId="62884B57">
            <w:pPr>
              <w:pStyle w:val="6"/>
              <w:spacing w:before="55" w:line="204" w:lineRule="auto"/>
              <w:ind w:left="105"/>
            </w:pPr>
            <w:r>
              <w:rPr>
                <w:spacing w:val="1"/>
              </w:rPr>
              <w:t>④西双版纳热带雨林区</w:t>
            </w:r>
          </w:p>
        </w:tc>
      </w:tr>
      <w:tr w14:paraId="33AD0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33" w:type="dxa"/>
            <w:vMerge w:val="continue"/>
            <w:tcBorders>
              <w:top w:val="nil"/>
              <w:bottom w:val="nil"/>
            </w:tcBorders>
            <w:vAlign w:val="top"/>
          </w:tcPr>
          <w:p w14:paraId="2D940D93">
            <w:pPr>
              <w:rPr>
                <w:rFonts w:ascii="Arial"/>
                <w:sz w:val="21"/>
              </w:rPr>
            </w:pPr>
          </w:p>
        </w:tc>
        <w:tc>
          <w:tcPr>
            <w:tcW w:w="739" w:type="dxa"/>
            <w:vMerge w:val="continue"/>
            <w:tcBorders>
              <w:top w:val="nil"/>
            </w:tcBorders>
            <w:vAlign w:val="top"/>
          </w:tcPr>
          <w:p w14:paraId="66274C8C">
            <w:pPr>
              <w:rPr>
                <w:rFonts w:ascii="Arial"/>
                <w:sz w:val="21"/>
              </w:rPr>
            </w:pPr>
          </w:p>
        </w:tc>
        <w:tc>
          <w:tcPr>
            <w:tcW w:w="2637" w:type="dxa"/>
            <w:vMerge w:val="continue"/>
            <w:tcBorders>
              <w:top w:val="nil"/>
            </w:tcBorders>
            <w:vAlign w:val="top"/>
          </w:tcPr>
          <w:p w14:paraId="61DE03BA">
            <w:pPr>
              <w:rPr>
                <w:rFonts w:ascii="Arial"/>
                <w:sz w:val="21"/>
              </w:rPr>
            </w:pPr>
          </w:p>
        </w:tc>
        <w:tc>
          <w:tcPr>
            <w:tcW w:w="4280" w:type="dxa"/>
            <w:vAlign w:val="top"/>
          </w:tcPr>
          <w:p w14:paraId="15C788B1">
            <w:pPr>
              <w:pStyle w:val="6"/>
              <w:spacing w:before="66" w:line="213" w:lineRule="auto"/>
              <w:ind w:left="105"/>
            </w:pPr>
            <w:r>
              <w:rPr>
                <w:spacing w:val="2"/>
              </w:rPr>
              <w:t>⑤红河湿润雨林区</w:t>
            </w:r>
          </w:p>
        </w:tc>
      </w:tr>
      <w:tr w14:paraId="1D7C0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33" w:type="dxa"/>
            <w:vMerge w:val="continue"/>
            <w:tcBorders>
              <w:top w:val="nil"/>
              <w:bottom w:val="nil"/>
            </w:tcBorders>
            <w:vAlign w:val="top"/>
          </w:tcPr>
          <w:p w14:paraId="53F50C09">
            <w:pPr>
              <w:rPr>
                <w:rFonts w:ascii="Arial"/>
                <w:sz w:val="21"/>
              </w:rPr>
            </w:pPr>
          </w:p>
        </w:tc>
        <w:tc>
          <w:tcPr>
            <w:tcW w:w="739" w:type="dxa"/>
            <w:vAlign w:val="top"/>
          </w:tcPr>
          <w:p w14:paraId="6EC861FC">
            <w:pPr>
              <w:pStyle w:val="6"/>
              <w:spacing w:before="190"/>
              <w:ind w:left="301"/>
            </w:pPr>
            <w:r>
              <w:t>3</w:t>
            </w:r>
          </w:p>
        </w:tc>
        <w:tc>
          <w:tcPr>
            <w:tcW w:w="2637" w:type="dxa"/>
            <w:vAlign w:val="top"/>
          </w:tcPr>
          <w:p w14:paraId="2D36A6CC">
            <w:pPr>
              <w:pStyle w:val="6"/>
              <w:spacing w:before="38" w:line="206" w:lineRule="auto"/>
              <w:ind w:left="871" w:right="84" w:hanging="769"/>
            </w:pPr>
            <w:r>
              <w:rPr>
                <w:spacing w:val="1"/>
              </w:rPr>
              <w:t>滇东南喀斯特东南季风阔</w:t>
            </w:r>
            <w:r>
              <w:rPr>
                <w:spacing w:val="7"/>
              </w:rPr>
              <w:t xml:space="preserve"> </w:t>
            </w:r>
            <w:r>
              <w:rPr>
                <w:spacing w:val="2"/>
              </w:rPr>
              <w:t>叶林区域</w:t>
            </w:r>
          </w:p>
        </w:tc>
        <w:tc>
          <w:tcPr>
            <w:tcW w:w="4280" w:type="dxa"/>
            <w:vAlign w:val="top"/>
          </w:tcPr>
          <w:p w14:paraId="5B50EEA8">
            <w:pPr>
              <w:pStyle w:val="6"/>
              <w:spacing w:before="166" w:line="217" w:lineRule="auto"/>
              <w:ind w:left="105"/>
            </w:pPr>
            <w:r>
              <w:rPr>
                <w:spacing w:val="-1"/>
              </w:rPr>
              <w:t>①滇东南喀斯特东南季风阔叶林区域</w:t>
            </w:r>
          </w:p>
        </w:tc>
      </w:tr>
      <w:tr w14:paraId="38442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233" w:type="dxa"/>
            <w:vMerge w:val="continue"/>
            <w:tcBorders>
              <w:top w:val="nil"/>
              <w:bottom w:val="nil"/>
            </w:tcBorders>
            <w:vAlign w:val="top"/>
          </w:tcPr>
          <w:p w14:paraId="1B977DBA">
            <w:pPr>
              <w:rPr>
                <w:rFonts w:ascii="Arial"/>
                <w:sz w:val="21"/>
              </w:rPr>
            </w:pPr>
          </w:p>
        </w:tc>
        <w:tc>
          <w:tcPr>
            <w:tcW w:w="739" w:type="dxa"/>
            <w:vMerge w:val="restart"/>
            <w:tcBorders>
              <w:bottom w:val="nil"/>
            </w:tcBorders>
            <w:vAlign w:val="top"/>
          </w:tcPr>
          <w:p w14:paraId="5979CFBF">
            <w:pPr>
              <w:pStyle w:val="6"/>
              <w:spacing w:before="252" w:line="241" w:lineRule="auto"/>
              <w:ind w:left="301"/>
            </w:pPr>
            <w:r>
              <w:t>4</w:t>
            </w:r>
          </w:p>
        </w:tc>
        <w:tc>
          <w:tcPr>
            <w:tcW w:w="2637" w:type="dxa"/>
            <w:vMerge w:val="restart"/>
            <w:tcBorders>
              <w:bottom w:val="nil"/>
            </w:tcBorders>
            <w:vAlign w:val="top"/>
          </w:tcPr>
          <w:p w14:paraId="65AC7978">
            <w:pPr>
              <w:pStyle w:val="6"/>
              <w:spacing w:before="98" w:line="227" w:lineRule="auto"/>
              <w:ind w:left="871" w:right="84" w:hanging="769"/>
            </w:pPr>
            <w:r>
              <w:rPr>
                <w:spacing w:val="1"/>
              </w:rPr>
              <w:t>滇东北乌蒙山湿润常绿阔</w:t>
            </w:r>
            <w:r>
              <w:rPr>
                <w:spacing w:val="7"/>
              </w:rPr>
              <w:t xml:space="preserve"> </w:t>
            </w:r>
            <w:r>
              <w:rPr>
                <w:spacing w:val="2"/>
              </w:rPr>
              <w:t>叶林区域</w:t>
            </w:r>
          </w:p>
        </w:tc>
        <w:tc>
          <w:tcPr>
            <w:tcW w:w="4280" w:type="dxa"/>
            <w:vAlign w:val="top"/>
          </w:tcPr>
          <w:p w14:paraId="4D4DC78F">
            <w:pPr>
              <w:pStyle w:val="6"/>
              <w:spacing w:before="56" w:line="204" w:lineRule="auto"/>
              <w:ind w:left="105"/>
            </w:pPr>
            <w:r>
              <w:rPr>
                <w:spacing w:val="1"/>
              </w:rPr>
              <w:t>①乌蒙山湿润常绿阔叶林区</w:t>
            </w:r>
          </w:p>
        </w:tc>
      </w:tr>
      <w:tr w14:paraId="01D6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33" w:type="dxa"/>
            <w:vMerge w:val="continue"/>
            <w:tcBorders>
              <w:top w:val="nil"/>
              <w:bottom w:val="nil"/>
            </w:tcBorders>
            <w:vAlign w:val="top"/>
          </w:tcPr>
          <w:p w14:paraId="2F0046CC">
            <w:pPr>
              <w:rPr>
                <w:rFonts w:ascii="Arial"/>
                <w:sz w:val="21"/>
              </w:rPr>
            </w:pPr>
          </w:p>
        </w:tc>
        <w:tc>
          <w:tcPr>
            <w:tcW w:w="739" w:type="dxa"/>
            <w:vMerge w:val="continue"/>
            <w:tcBorders>
              <w:top w:val="nil"/>
            </w:tcBorders>
            <w:vAlign w:val="top"/>
          </w:tcPr>
          <w:p w14:paraId="2A38CF5B">
            <w:pPr>
              <w:rPr>
                <w:rFonts w:ascii="Arial"/>
                <w:sz w:val="21"/>
              </w:rPr>
            </w:pPr>
          </w:p>
        </w:tc>
        <w:tc>
          <w:tcPr>
            <w:tcW w:w="2637" w:type="dxa"/>
            <w:vMerge w:val="continue"/>
            <w:tcBorders>
              <w:top w:val="nil"/>
            </w:tcBorders>
            <w:vAlign w:val="top"/>
          </w:tcPr>
          <w:p w14:paraId="140F8568">
            <w:pPr>
              <w:rPr>
                <w:rFonts w:ascii="Arial"/>
                <w:sz w:val="21"/>
              </w:rPr>
            </w:pPr>
          </w:p>
        </w:tc>
        <w:tc>
          <w:tcPr>
            <w:tcW w:w="4280" w:type="dxa"/>
            <w:vAlign w:val="top"/>
          </w:tcPr>
          <w:p w14:paraId="25C81E75">
            <w:pPr>
              <w:pStyle w:val="6"/>
              <w:spacing w:before="67" w:line="212" w:lineRule="auto"/>
              <w:ind w:left="105"/>
            </w:pPr>
            <w:r>
              <w:rPr>
                <w:spacing w:val="1"/>
              </w:rPr>
              <w:t>②金沙江下游干热、干暖河谷区</w:t>
            </w:r>
          </w:p>
        </w:tc>
      </w:tr>
      <w:tr w14:paraId="6FD36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233" w:type="dxa"/>
            <w:vMerge w:val="continue"/>
            <w:tcBorders>
              <w:top w:val="nil"/>
              <w:bottom w:val="nil"/>
            </w:tcBorders>
            <w:vAlign w:val="top"/>
          </w:tcPr>
          <w:p w14:paraId="0FD04D1F">
            <w:pPr>
              <w:rPr>
                <w:rFonts w:ascii="Arial"/>
                <w:sz w:val="21"/>
              </w:rPr>
            </w:pPr>
          </w:p>
        </w:tc>
        <w:tc>
          <w:tcPr>
            <w:tcW w:w="739" w:type="dxa"/>
            <w:vMerge w:val="restart"/>
            <w:tcBorders>
              <w:bottom w:val="nil"/>
            </w:tcBorders>
            <w:vAlign w:val="top"/>
          </w:tcPr>
          <w:p w14:paraId="4237D61A">
            <w:pPr>
              <w:spacing w:line="327" w:lineRule="auto"/>
              <w:rPr>
                <w:rFonts w:ascii="Arial"/>
                <w:sz w:val="21"/>
              </w:rPr>
            </w:pPr>
          </w:p>
          <w:p w14:paraId="77AD9605">
            <w:pPr>
              <w:pStyle w:val="6"/>
              <w:spacing w:before="72"/>
              <w:ind w:left="301"/>
            </w:pPr>
            <w:r>
              <w:t>5</w:t>
            </w:r>
          </w:p>
        </w:tc>
        <w:tc>
          <w:tcPr>
            <w:tcW w:w="2637" w:type="dxa"/>
            <w:vMerge w:val="restart"/>
            <w:tcBorders>
              <w:bottom w:val="nil"/>
            </w:tcBorders>
            <w:vAlign w:val="top"/>
          </w:tcPr>
          <w:p w14:paraId="52684017">
            <w:pPr>
              <w:pStyle w:val="6"/>
              <w:spacing w:before="259" w:line="220" w:lineRule="auto"/>
              <w:ind w:left="321" w:right="75" w:hanging="219"/>
            </w:pPr>
            <w:r>
              <w:rPr>
                <w:spacing w:val="2"/>
              </w:rPr>
              <w:t>澜沧江中游一哀牢山中山</w:t>
            </w:r>
            <w:r>
              <w:rPr>
                <w:spacing w:val="5"/>
              </w:rPr>
              <w:t xml:space="preserve"> </w:t>
            </w:r>
            <w:r>
              <w:rPr>
                <w:spacing w:val="-1"/>
              </w:rPr>
              <w:t>湿性常绿阔叶林区域</w:t>
            </w:r>
          </w:p>
        </w:tc>
        <w:tc>
          <w:tcPr>
            <w:tcW w:w="4280" w:type="dxa"/>
            <w:vAlign w:val="top"/>
          </w:tcPr>
          <w:p w14:paraId="0A3E8AB8">
            <w:pPr>
              <w:pStyle w:val="6"/>
              <w:spacing w:before="56" w:line="204" w:lineRule="auto"/>
              <w:ind w:left="105"/>
            </w:pPr>
            <w:r>
              <w:rPr>
                <w:spacing w:val="1"/>
              </w:rPr>
              <w:t>①澜沧江中山宽谷常绿阔叶林区</w:t>
            </w:r>
          </w:p>
        </w:tc>
      </w:tr>
      <w:tr w14:paraId="46B71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33" w:type="dxa"/>
            <w:vMerge w:val="continue"/>
            <w:tcBorders>
              <w:top w:val="nil"/>
              <w:bottom w:val="nil"/>
            </w:tcBorders>
            <w:vAlign w:val="top"/>
          </w:tcPr>
          <w:p w14:paraId="048AD9C5">
            <w:pPr>
              <w:rPr>
                <w:rFonts w:ascii="Arial"/>
                <w:sz w:val="21"/>
              </w:rPr>
            </w:pPr>
          </w:p>
        </w:tc>
        <w:tc>
          <w:tcPr>
            <w:tcW w:w="739" w:type="dxa"/>
            <w:vMerge w:val="continue"/>
            <w:tcBorders>
              <w:top w:val="nil"/>
              <w:bottom w:val="nil"/>
            </w:tcBorders>
            <w:vAlign w:val="top"/>
          </w:tcPr>
          <w:p w14:paraId="2BA8DFA4">
            <w:pPr>
              <w:rPr>
                <w:rFonts w:ascii="Arial"/>
                <w:sz w:val="21"/>
              </w:rPr>
            </w:pPr>
          </w:p>
        </w:tc>
        <w:tc>
          <w:tcPr>
            <w:tcW w:w="2637" w:type="dxa"/>
            <w:vMerge w:val="continue"/>
            <w:tcBorders>
              <w:top w:val="nil"/>
              <w:bottom w:val="nil"/>
            </w:tcBorders>
            <w:vAlign w:val="top"/>
          </w:tcPr>
          <w:p w14:paraId="6F6ED0F8">
            <w:pPr>
              <w:rPr>
                <w:rFonts w:ascii="Arial"/>
                <w:sz w:val="21"/>
              </w:rPr>
            </w:pPr>
          </w:p>
        </w:tc>
        <w:tc>
          <w:tcPr>
            <w:tcW w:w="4280" w:type="dxa"/>
            <w:vAlign w:val="top"/>
          </w:tcPr>
          <w:p w14:paraId="6D3126FD">
            <w:pPr>
              <w:pStyle w:val="6"/>
              <w:spacing w:before="67" w:line="212" w:lineRule="auto"/>
              <w:ind w:left="105"/>
            </w:pPr>
            <w:r>
              <w:rPr>
                <w:spacing w:val="1"/>
              </w:rPr>
              <w:t>②无量山中山湿性常绿阔叶林区</w:t>
            </w:r>
          </w:p>
        </w:tc>
      </w:tr>
      <w:tr w14:paraId="483B0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233" w:type="dxa"/>
            <w:vMerge w:val="continue"/>
            <w:tcBorders>
              <w:top w:val="nil"/>
              <w:bottom w:val="nil"/>
            </w:tcBorders>
            <w:vAlign w:val="top"/>
          </w:tcPr>
          <w:p w14:paraId="14615074">
            <w:pPr>
              <w:rPr>
                <w:rFonts w:ascii="Arial"/>
                <w:sz w:val="21"/>
              </w:rPr>
            </w:pPr>
          </w:p>
        </w:tc>
        <w:tc>
          <w:tcPr>
            <w:tcW w:w="739" w:type="dxa"/>
            <w:vMerge w:val="continue"/>
            <w:tcBorders>
              <w:top w:val="nil"/>
            </w:tcBorders>
            <w:vAlign w:val="top"/>
          </w:tcPr>
          <w:p w14:paraId="79F6299A">
            <w:pPr>
              <w:rPr>
                <w:rFonts w:ascii="Arial"/>
                <w:sz w:val="21"/>
              </w:rPr>
            </w:pPr>
          </w:p>
        </w:tc>
        <w:tc>
          <w:tcPr>
            <w:tcW w:w="2637" w:type="dxa"/>
            <w:vMerge w:val="continue"/>
            <w:tcBorders>
              <w:top w:val="nil"/>
            </w:tcBorders>
            <w:vAlign w:val="top"/>
          </w:tcPr>
          <w:p w14:paraId="46B96FDC">
            <w:pPr>
              <w:rPr>
                <w:rFonts w:ascii="Arial"/>
                <w:sz w:val="21"/>
              </w:rPr>
            </w:pPr>
          </w:p>
        </w:tc>
        <w:tc>
          <w:tcPr>
            <w:tcW w:w="4280" w:type="dxa"/>
            <w:vAlign w:val="top"/>
          </w:tcPr>
          <w:p w14:paraId="2A8B508E">
            <w:pPr>
              <w:pStyle w:val="6"/>
              <w:spacing w:before="46" w:line="204" w:lineRule="auto"/>
              <w:ind w:left="105"/>
            </w:pPr>
            <w:r>
              <w:rPr>
                <w:spacing w:val="1"/>
              </w:rPr>
              <w:t>③哀牢山中山湿性常绿阔叶林区</w:t>
            </w:r>
          </w:p>
        </w:tc>
      </w:tr>
      <w:tr w14:paraId="49CFB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233" w:type="dxa"/>
            <w:vMerge w:val="continue"/>
            <w:tcBorders>
              <w:top w:val="nil"/>
            </w:tcBorders>
            <w:vAlign w:val="top"/>
          </w:tcPr>
          <w:p w14:paraId="6154C9A1">
            <w:pPr>
              <w:rPr>
                <w:rFonts w:ascii="Arial"/>
                <w:sz w:val="21"/>
              </w:rPr>
            </w:pPr>
          </w:p>
        </w:tc>
        <w:tc>
          <w:tcPr>
            <w:tcW w:w="739" w:type="dxa"/>
            <w:vAlign w:val="top"/>
          </w:tcPr>
          <w:p w14:paraId="74E7D800">
            <w:pPr>
              <w:pStyle w:val="6"/>
              <w:spacing w:before="92" w:line="195" w:lineRule="auto"/>
              <w:ind w:left="301"/>
            </w:pPr>
            <w:r>
              <w:t>6</w:t>
            </w:r>
          </w:p>
        </w:tc>
        <w:tc>
          <w:tcPr>
            <w:tcW w:w="2637" w:type="dxa"/>
            <w:vAlign w:val="top"/>
          </w:tcPr>
          <w:p w14:paraId="27246819">
            <w:pPr>
              <w:pStyle w:val="6"/>
              <w:spacing w:before="69" w:line="214" w:lineRule="auto"/>
              <w:ind w:left="432"/>
            </w:pPr>
            <w:r>
              <w:rPr>
                <w:spacing w:val="1"/>
              </w:rPr>
              <w:t>云南高原湿地区域</w:t>
            </w:r>
          </w:p>
        </w:tc>
        <w:tc>
          <w:tcPr>
            <w:tcW w:w="4280" w:type="dxa"/>
            <w:vAlign w:val="top"/>
          </w:tcPr>
          <w:p w14:paraId="52926046">
            <w:pPr>
              <w:pStyle w:val="6"/>
              <w:spacing w:before="67" w:line="216" w:lineRule="auto"/>
              <w:ind w:left="105"/>
            </w:pPr>
            <w:r>
              <w:rPr>
                <w:spacing w:val="2"/>
              </w:rPr>
              <w:t>①滇中高原湖泊区</w:t>
            </w:r>
          </w:p>
        </w:tc>
      </w:tr>
    </w:tbl>
    <w:p w14:paraId="001D001C">
      <w:pPr>
        <w:pStyle w:val="2"/>
      </w:pPr>
    </w:p>
    <w:p w14:paraId="5CB812E4">
      <w:pPr>
        <w:sectPr>
          <w:footerReference r:id="rId33" w:type="default"/>
          <w:pgSz w:w="11910" w:h="16830"/>
          <w:pgMar w:top="400" w:right="1594" w:bottom="1259" w:left="1415" w:header="0" w:footer="1079" w:gutter="0"/>
          <w:cols w:space="720" w:num="1"/>
        </w:sectPr>
      </w:pPr>
    </w:p>
    <w:p w14:paraId="7B1302BA">
      <w:pPr>
        <w:spacing w:before="18"/>
      </w:pPr>
    </w:p>
    <w:p w14:paraId="558442AA">
      <w:pPr>
        <w:spacing w:before="18"/>
      </w:pPr>
    </w:p>
    <w:p w14:paraId="37F532BB">
      <w:pPr>
        <w:spacing w:before="17"/>
      </w:pPr>
    </w:p>
    <w:p w14:paraId="50455251">
      <w:pPr>
        <w:spacing w:before="17"/>
      </w:pPr>
    </w:p>
    <w:p w14:paraId="41079CDC">
      <w:pPr>
        <w:spacing w:before="17"/>
      </w:pPr>
    </w:p>
    <w:tbl>
      <w:tblPr>
        <w:tblStyle w:val="5"/>
        <w:tblW w:w="894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3"/>
        <w:gridCol w:w="759"/>
        <w:gridCol w:w="2627"/>
        <w:gridCol w:w="4325"/>
      </w:tblGrid>
      <w:tr w14:paraId="7492C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233" w:type="dxa"/>
            <w:vMerge w:val="restart"/>
            <w:tcBorders>
              <w:bottom w:val="nil"/>
            </w:tcBorders>
            <w:vAlign w:val="top"/>
          </w:tcPr>
          <w:p w14:paraId="42824F44">
            <w:pPr>
              <w:rPr>
                <w:rFonts w:ascii="Arial"/>
                <w:sz w:val="21"/>
              </w:rPr>
            </w:pPr>
          </w:p>
        </w:tc>
        <w:tc>
          <w:tcPr>
            <w:tcW w:w="759" w:type="dxa"/>
            <w:vMerge w:val="restart"/>
            <w:tcBorders>
              <w:bottom w:val="nil"/>
            </w:tcBorders>
            <w:vAlign w:val="top"/>
          </w:tcPr>
          <w:p w14:paraId="2FB83932">
            <w:pPr>
              <w:rPr>
                <w:rFonts w:ascii="Arial"/>
                <w:sz w:val="21"/>
              </w:rPr>
            </w:pPr>
          </w:p>
        </w:tc>
        <w:tc>
          <w:tcPr>
            <w:tcW w:w="2627" w:type="dxa"/>
            <w:vMerge w:val="restart"/>
            <w:tcBorders>
              <w:bottom w:val="nil"/>
            </w:tcBorders>
            <w:vAlign w:val="top"/>
          </w:tcPr>
          <w:p w14:paraId="4F5DFEE7">
            <w:pPr>
              <w:rPr>
                <w:rFonts w:ascii="Arial"/>
                <w:sz w:val="21"/>
              </w:rPr>
            </w:pPr>
          </w:p>
        </w:tc>
        <w:tc>
          <w:tcPr>
            <w:tcW w:w="4325" w:type="dxa"/>
            <w:vAlign w:val="top"/>
          </w:tcPr>
          <w:p w14:paraId="1B09B585">
            <w:pPr>
              <w:pStyle w:val="6"/>
              <w:spacing w:before="52" w:line="210" w:lineRule="auto"/>
              <w:ind w:left="105"/>
              <w:rPr>
                <w:sz w:val="24"/>
                <w:szCs w:val="24"/>
              </w:rPr>
            </w:pPr>
            <w:r>
              <w:rPr>
                <w:spacing w:val="2"/>
                <w:sz w:val="24"/>
                <w:szCs w:val="24"/>
              </w:rPr>
              <w:t>②滇西北高原湖泊区</w:t>
            </w:r>
          </w:p>
        </w:tc>
      </w:tr>
      <w:tr w14:paraId="65B9B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233" w:type="dxa"/>
            <w:vMerge w:val="continue"/>
            <w:tcBorders>
              <w:top w:val="nil"/>
              <w:bottom w:val="nil"/>
            </w:tcBorders>
            <w:vAlign w:val="top"/>
          </w:tcPr>
          <w:p w14:paraId="5954326C">
            <w:pPr>
              <w:rPr>
                <w:rFonts w:ascii="Arial"/>
                <w:sz w:val="21"/>
              </w:rPr>
            </w:pPr>
          </w:p>
        </w:tc>
        <w:tc>
          <w:tcPr>
            <w:tcW w:w="759" w:type="dxa"/>
            <w:vMerge w:val="continue"/>
            <w:tcBorders>
              <w:top w:val="nil"/>
            </w:tcBorders>
            <w:vAlign w:val="top"/>
          </w:tcPr>
          <w:p w14:paraId="24599AFC">
            <w:pPr>
              <w:rPr>
                <w:rFonts w:ascii="Arial"/>
                <w:sz w:val="21"/>
              </w:rPr>
            </w:pPr>
          </w:p>
        </w:tc>
        <w:tc>
          <w:tcPr>
            <w:tcW w:w="2627" w:type="dxa"/>
            <w:vMerge w:val="continue"/>
            <w:tcBorders>
              <w:top w:val="nil"/>
            </w:tcBorders>
            <w:vAlign w:val="top"/>
          </w:tcPr>
          <w:p w14:paraId="509998EE">
            <w:pPr>
              <w:rPr>
                <w:rFonts w:ascii="Arial"/>
                <w:sz w:val="21"/>
              </w:rPr>
            </w:pPr>
          </w:p>
        </w:tc>
        <w:tc>
          <w:tcPr>
            <w:tcW w:w="4325" w:type="dxa"/>
            <w:vAlign w:val="top"/>
          </w:tcPr>
          <w:p w14:paraId="362BB052">
            <w:pPr>
              <w:pStyle w:val="6"/>
              <w:spacing w:before="37" w:line="210" w:lineRule="auto"/>
              <w:ind w:left="105"/>
              <w:rPr>
                <w:sz w:val="24"/>
                <w:szCs w:val="24"/>
              </w:rPr>
            </w:pPr>
            <w:r>
              <w:rPr>
                <w:spacing w:val="1"/>
                <w:sz w:val="24"/>
                <w:szCs w:val="24"/>
              </w:rPr>
              <w:t>③滇东北高山沼泽化草甸区</w:t>
            </w:r>
          </w:p>
        </w:tc>
      </w:tr>
      <w:tr w14:paraId="7485A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5" w:hRule="atLeast"/>
        </w:trPr>
        <w:tc>
          <w:tcPr>
            <w:tcW w:w="1233" w:type="dxa"/>
            <w:vMerge w:val="continue"/>
            <w:tcBorders>
              <w:top w:val="nil"/>
            </w:tcBorders>
            <w:vAlign w:val="top"/>
          </w:tcPr>
          <w:p w14:paraId="21516882">
            <w:pPr>
              <w:rPr>
                <w:rFonts w:ascii="Arial"/>
                <w:sz w:val="21"/>
              </w:rPr>
            </w:pPr>
          </w:p>
        </w:tc>
        <w:tc>
          <w:tcPr>
            <w:tcW w:w="7711" w:type="dxa"/>
            <w:gridSpan w:val="3"/>
            <w:vAlign w:val="top"/>
          </w:tcPr>
          <w:p w14:paraId="07FA0B82">
            <w:pPr>
              <w:pStyle w:val="6"/>
              <w:spacing w:before="50" w:line="356" w:lineRule="auto"/>
              <w:ind w:left="11" w:firstLine="545"/>
              <w:rPr>
                <w:sz w:val="24"/>
                <w:szCs w:val="24"/>
              </w:rPr>
            </w:pPr>
            <w:r>
              <w:rPr>
                <w:spacing w:val="-2"/>
                <w:sz w:val="24"/>
                <w:szCs w:val="24"/>
              </w:rPr>
              <w:t>本项目位于云南省曲靖市陆良县大莫古镇西部栗树园村南侧及北侧，</w:t>
            </w:r>
            <w:r>
              <w:rPr>
                <w:spacing w:val="2"/>
                <w:sz w:val="24"/>
                <w:szCs w:val="24"/>
              </w:rPr>
              <w:t xml:space="preserve"> </w:t>
            </w:r>
            <w:r>
              <w:rPr>
                <w:spacing w:val="-1"/>
                <w:sz w:val="24"/>
                <w:szCs w:val="24"/>
              </w:rPr>
              <w:t>经查询，项目所在地不属于《云南省生物多样性</w:t>
            </w:r>
            <w:r>
              <w:rPr>
                <w:spacing w:val="-2"/>
                <w:sz w:val="24"/>
                <w:szCs w:val="24"/>
              </w:rPr>
              <w:t>保护战略与行动计划</w:t>
            </w:r>
          </w:p>
          <w:p w14:paraId="3093D2AC">
            <w:pPr>
              <w:pStyle w:val="6"/>
              <w:spacing w:before="15" w:line="357" w:lineRule="auto"/>
              <w:ind w:left="21" w:right="48" w:firstLine="60"/>
              <w:rPr>
                <w:sz w:val="24"/>
                <w:szCs w:val="24"/>
              </w:rPr>
            </w:pPr>
            <w:r>
              <w:rPr>
                <w:sz w:val="24"/>
                <w:szCs w:val="24"/>
              </w:rPr>
              <w:t>(2024-2030年)》中划定的全省生物多样性保护优先区域范围及云南省候</w:t>
            </w:r>
            <w:r>
              <w:rPr>
                <w:spacing w:val="9"/>
                <w:sz w:val="24"/>
                <w:szCs w:val="24"/>
              </w:rPr>
              <w:t xml:space="preserve"> </w:t>
            </w:r>
            <w:r>
              <w:rPr>
                <w:sz w:val="24"/>
                <w:szCs w:val="24"/>
              </w:rPr>
              <w:t>鸟迁徙路径，本项目与《云南省生物多样性保护战略与行动计划</w:t>
            </w:r>
          </w:p>
          <w:p w14:paraId="54ACAB2D">
            <w:pPr>
              <w:pStyle w:val="6"/>
              <w:spacing w:before="3" w:line="358" w:lineRule="auto"/>
              <w:ind w:left="11" w:firstLine="69"/>
              <w:rPr>
                <w:sz w:val="24"/>
                <w:szCs w:val="24"/>
              </w:rPr>
            </w:pPr>
            <w:r>
              <w:rPr>
                <w:sz w:val="24"/>
                <w:szCs w:val="24"/>
              </w:rPr>
              <w:t>(2012-2030)》相对位置详见附图。项目区域</w:t>
            </w:r>
            <w:r>
              <w:rPr>
                <w:spacing w:val="-1"/>
                <w:sz w:val="24"/>
                <w:szCs w:val="24"/>
              </w:rPr>
              <w:t>植被类型较为单一，动物种</w:t>
            </w:r>
            <w:r>
              <w:rPr>
                <w:sz w:val="24"/>
                <w:szCs w:val="24"/>
              </w:rPr>
              <w:t xml:space="preserve"> 类及数量均较少，本项目实施对云南省生物多样性保护优先区域的影响不</w:t>
            </w:r>
            <w:r>
              <w:rPr>
                <w:spacing w:val="1"/>
                <w:sz w:val="24"/>
                <w:szCs w:val="24"/>
              </w:rPr>
              <w:t xml:space="preserve"> </w:t>
            </w:r>
            <w:r>
              <w:rPr>
                <w:spacing w:val="2"/>
                <w:sz w:val="24"/>
                <w:szCs w:val="24"/>
              </w:rPr>
              <w:t>大，与《云南省生物多样性保护战略与行动计划(2024-2030年</w:t>
            </w:r>
            <w:r>
              <w:rPr>
                <w:spacing w:val="1"/>
                <w:sz w:val="24"/>
                <w:szCs w:val="24"/>
              </w:rPr>
              <w:t>)》统筹生</w:t>
            </w:r>
            <w:r>
              <w:rPr>
                <w:sz w:val="24"/>
                <w:szCs w:val="24"/>
              </w:rPr>
              <w:t xml:space="preserve"> 物多样性保护与经济社会发展，保护优先、科学利用的指导思想和基本原</w:t>
            </w:r>
            <w:r>
              <w:rPr>
                <w:spacing w:val="8"/>
                <w:sz w:val="24"/>
                <w:szCs w:val="24"/>
              </w:rPr>
              <w:t xml:space="preserve"> </w:t>
            </w:r>
            <w:r>
              <w:rPr>
                <w:sz w:val="24"/>
                <w:szCs w:val="24"/>
              </w:rPr>
              <w:t>则是一致的。</w:t>
            </w:r>
          </w:p>
          <w:p w14:paraId="2BDDB999">
            <w:pPr>
              <w:pStyle w:val="6"/>
              <w:spacing w:before="2" w:line="357" w:lineRule="auto"/>
              <w:ind w:left="11" w:right="48" w:firstLine="550"/>
              <w:rPr>
                <w:sz w:val="24"/>
                <w:szCs w:val="24"/>
              </w:rPr>
            </w:pPr>
            <w:r>
              <w:rPr>
                <w:sz w:val="24"/>
                <w:szCs w:val="24"/>
              </w:rPr>
              <w:t>同时，2024年5月20日云南省生态环境厅、云南省发展和改革委员会</w:t>
            </w:r>
            <w:r>
              <w:rPr>
                <w:spacing w:val="9"/>
                <w:sz w:val="24"/>
                <w:szCs w:val="24"/>
              </w:rPr>
              <w:t xml:space="preserve"> </w:t>
            </w:r>
            <w:r>
              <w:rPr>
                <w:spacing w:val="-3"/>
                <w:sz w:val="24"/>
                <w:szCs w:val="24"/>
              </w:rPr>
              <w:t>等11部门关于印发《云南省生物多样性保护战略与行动计划(2024—2030</w:t>
            </w:r>
          </w:p>
          <w:p w14:paraId="6628DDA2">
            <w:pPr>
              <w:pStyle w:val="6"/>
              <w:spacing w:before="3" w:line="360" w:lineRule="auto"/>
              <w:ind w:left="11" w:firstLine="69"/>
              <w:rPr>
                <w:sz w:val="24"/>
                <w:szCs w:val="24"/>
              </w:rPr>
            </w:pPr>
            <w:r>
              <w:rPr>
                <w:spacing w:val="-3"/>
                <w:sz w:val="24"/>
                <w:szCs w:val="24"/>
              </w:rPr>
              <w:t>年)》的通知，根据《云南省生物多样性保护战略与行动计划(2024—</w:t>
            </w:r>
            <w:r>
              <w:rPr>
                <w:spacing w:val="-4"/>
                <w:sz w:val="24"/>
                <w:szCs w:val="24"/>
              </w:rPr>
              <w:t>2030</w:t>
            </w:r>
            <w:r>
              <w:rPr>
                <w:sz w:val="24"/>
                <w:szCs w:val="24"/>
              </w:rPr>
              <w:t xml:space="preserve"> </w:t>
            </w:r>
            <w:r>
              <w:rPr>
                <w:spacing w:val="6"/>
                <w:sz w:val="24"/>
                <w:szCs w:val="24"/>
              </w:rPr>
              <w:t>年)》,本项目不涉及优先保护单元，不涉及九大高原湖泊流域生态空间</w:t>
            </w:r>
            <w:r>
              <w:rPr>
                <w:spacing w:val="14"/>
                <w:sz w:val="24"/>
                <w:szCs w:val="24"/>
              </w:rPr>
              <w:t xml:space="preserve"> </w:t>
            </w:r>
            <w:r>
              <w:rPr>
                <w:sz w:val="24"/>
                <w:szCs w:val="24"/>
              </w:rPr>
              <w:t>格局；本项目运营期无生产废气产生，生活废水经处理达标后回用，不外</w:t>
            </w:r>
            <w:r>
              <w:rPr>
                <w:spacing w:val="8"/>
                <w:sz w:val="24"/>
                <w:szCs w:val="24"/>
              </w:rPr>
              <w:t xml:space="preserve"> </w:t>
            </w:r>
            <w:r>
              <w:rPr>
                <w:spacing w:val="2"/>
                <w:sz w:val="24"/>
                <w:szCs w:val="24"/>
              </w:rPr>
              <w:t>排；光伏板清洗废水作为草地灌溉用水；固废处置率可达100%;项目运营</w:t>
            </w:r>
            <w:r>
              <w:rPr>
                <w:spacing w:val="11"/>
                <w:sz w:val="24"/>
                <w:szCs w:val="24"/>
              </w:rPr>
              <w:t xml:space="preserve"> </w:t>
            </w:r>
            <w:r>
              <w:rPr>
                <w:sz w:val="24"/>
                <w:szCs w:val="24"/>
              </w:rPr>
              <w:t>期采取措施后对环境影响较小，项目在最大程度保护项目场址及周边生态</w:t>
            </w:r>
            <w:r>
              <w:rPr>
                <w:spacing w:val="5"/>
                <w:sz w:val="24"/>
                <w:szCs w:val="24"/>
              </w:rPr>
              <w:t xml:space="preserve"> 环境的基础上，与《云南省生物多样性保护战略与行动计划(2024~2030</w:t>
            </w:r>
            <w:r>
              <w:rPr>
                <w:spacing w:val="15"/>
                <w:sz w:val="24"/>
                <w:szCs w:val="24"/>
              </w:rPr>
              <w:t xml:space="preserve"> </w:t>
            </w:r>
            <w:r>
              <w:rPr>
                <w:spacing w:val="-1"/>
                <w:sz w:val="24"/>
                <w:szCs w:val="24"/>
              </w:rPr>
              <w:t>年)》不冲突。</w:t>
            </w:r>
          </w:p>
          <w:p w14:paraId="35D87CF3">
            <w:pPr>
              <w:pStyle w:val="6"/>
              <w:spacing w:before="1" w:line="356" w:lineRule="auto"/>
              <w:ind w:left="142" w:right="731" w:firstLine="329"/>
              <w:rPr>
                <w:sz w:val="24"/>
                <w:szCs w:val="24"/>
              </w:rPr>
            </w:pPr>
            <w:r>
              <w:rPr>
                <w:sz w:val="24"/>
                <w:szCs w:val="24"/>
              </w:rPr>
              <w:t>综上所述，本项目与《云南省生物多样性保护战略与行动计划</w:t>
            </w:r>
            <w:r>
              <w:rPr>
                <w:spacing w:val="16"/>
                <w:sz w:val="24"/>
                <w:szCs w:val="24"/>
              </w:rPr>
              <w:t xml:space="preserve"> </w:t>
            </w:r>
            <w:r>
              <w:rPr>
                <w:spacing w:val="-1"/>
                <w:sz w:val="24"/>
                <w:szCs w:val="24"/>
              </w:rPr>
              <w:t>(2024~2030年)》不冲突。</w:t>
            </w:r>
          </w:p>
          <w:p w14:paraId="0C680EFB">
            <w:pPr>
              <w:pStyle w:val="6"/>
              <w:spacing w:before="2" w:line="410" w:lineRule="auto"/>
              <w:ind w:left="15" w:right="362"/>
              <w:rPr>
                <w:sz w:val="24"/>
                <w:szCs w:val="24"/>
              </w:rPr>
            </w:pPr>
            <w:r>
              <w:rPr>
                <w:b/>
                <w:bCs/>
                <w:spacing w:val="-2"/>
                <w:sz w:val="24"/>
                <w:szCs w:val="24"/>
              </w:rPr>
              <w:t>11与《云南省国家生物多样性保护优先区</w:t>
            </w:r>
            <w:r>
              <w:rPr>
                <w:b/>
                <w:bCs/>
                <w:spacing w:val="-3"/>
                <w:sz w:val="24"/>
                <w:szCs w:val="24"/>
              </w:rPr>
              <w:t>域规划》(2017-2030年)符合</w:t>
            </w:r>
            <w:r>
              <w:rPr>
                <w:sz w:val="24"/>
                <w:szCs w:val="24"/>
              </w:rPr>
              <w:t xml:space="preserve"> </w:t>
            </w:r>
            <w:r>
              <w:rPr>
                <w:b/>
                <w:bCs/>
                <w:spacing w:val="-6"/>
                <w:sz w:val="24"/>
                <w:szCs w:val="24"/>
              </w:rPr>
              <w:t>性分析</w:t>
            </w:r>
          </w:p>
          <w:p w14:paraId="43739E56">
            <w:pPr>
              <w:pStyle w:val="6"/>
              <w:spacing w:before="11" w:line="359" w:lineRule="auto"/>
              <w:ind w:left="11" w:right="194" w:firstLine="459"/>
              <w:rPr>
                <w:sz w:val="24"/>
                <w:szCs w:val="24"/>
              </w:rPr>
            </w:pPr>
            <w:r>
              <w:rPr>
                <w:spacing w:val="2"/>
                <w:sz w:val="24"/>
                <w:szCs w:val="24"/>
              </w:rPr>
              <w:t>根据《云南省国家生物多样性保护优先区域规划》(2017-2030年),</w:t>
            </w:r>
            <w:r>
              <w:rPr>
                <w:spacing w:val="3"/>
                <w:sz w:val="24"/>
                <w:szCs w:val="24"/>
              </w:rPr>
              <w:t xml:space="preserve"> </w:t>
            </w:r>
            <w:r>
              <w:rPr>
                <w:sz w:val="24"/>
                <w:szCs w:val="24"/>
              </w:rPr>
              <w:t>全国35个生物多样性保护优先区中，云南省涉</w:t>
            </w:r>
            <w:r>
              <w:rPr>
                <w:spacing w:val="-1"/>
                <w:sz w:val="24"/>
                <w:szCs w:val="24"/>
              </w:rPr>
              <w:t>及西双版纳生物多样性保</w:t>
            </w:r>
          </w:p>
          <w:p w14:paraId="4994F1C9">
            <w:pPr>
              <w:pStyle w:val="6"/>
              <w:spacing w:before="1" w:line="344" w:lineRule="auto"/>
              <w:ind w:left="11"/>
              <w:rPr>
                <w:sz w:val="24"/>
                <w:szCs w:val="24"/>
              </w:rPr>
            </w:pPr>
            <w:r>
              <w:rPr>
                <w:sz w:val="24"/>
                <w:szCs w:val="24"/>
              </w:rPr>
              <w:t>护优先区、横断山南段生物多样性保护优先区、桂西黔南石灰岩生物多样</w:t>
            </w:r>
            <w:r>
              <w:rPr>
                <w:spacing w:val="8"/>
                <w:sz w:val="24"/>
                <w:szCs w:val="24"/>
              </w:rPr>
              <w:t xml:space="preserve"> </w:t>
            </w:r>
            <w:r>
              <w:rPr>
                <w:sz w:val="24"/>
                <w:szCs w:val="24"/>
              </w:rPr>
              <w:t>性保护优先区和桂西南山地生物多样性保护优先区，总面积10.14万平方</w:t>
            </w:r>
          </w:p>
        </w:tc>
      </w:tr>
    </w:tbl>
    <w:p w14:paraId="02D46422">
      <w:pPr>
        <w:pStyle w:val="2"/>
      </w:pPr>
    </w:p>
    <w:p w14:paraId="7D7E1746">
      <w:pPr>
        <w:sectPr>
          <w:footerReference r:id="rId34" w:type="default"/>
          <w:pgSz w:w="11910" w:h="16830"/>
          <w:pgMar w:top="400" w:right="1540" w:bottom="1259" w:left="1415" w:header="0" w:footer="1079" w:gutter="0"/>
          <w:cols w:space="720" w:num="1"/>
        </w:sectPr>
      </w:pPr>
    </w:p>
    <w:p w14:paraId="0B8C9ABC">
      <w:pPr>
        <w:spacing w:before="18"/>
      </w:pPr>
    </w:p>
    <w:p w14:paraId="3FC96799">
      <w:pPr>
        <w:spacing w:before="18"/>
      </w:pPr>
    </w:p>
    <w:p w14:paraId="19ABEA06">
      <w:pPr>
        <w:spacing w:before="17"/>
      </w:pPr>
    </w:p>
    <w:p w14:paraId="0421C864">
      <w:pPr>
        <w:spacing w:before="17"/>
      </w:pPr>
    </w:p>
    <w:p w14:paraId="18737C10">
      <w:pPr>
        <w:spacing w:before="17"/>
      </w:pPr>
    </w:p>
    <w:tbl>
      <w:tblPr>
        <w:tblStyle w:val="5"/>
        <w:tblW w:w="9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299"/>
        <w:gridCol w:w="7232"/>
        <w:gridCol w:w="295"/>
      </w:tblGrid>
      <w:tr w14:paraId="357DE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9" w:hRule="atLeast"/>
        </w:trPr>
        <w:tc>
          <w:tcPr>
            <w:tcW w:w="1213" w:type="dxa"/>
            <w:vMerge w:val="restart"/>
            <w:tcBorders>
              <w:bottom w:val="nil"/>
            </w:tcBorders>
            <w:vAlign w:val="top"/>
          </w:tcPr>
          <w:p w14:paraId="6F8CBFA4">
            <w:pPr>
              <w:rPr>
                <w:rFonts w:ascii="Arial"/>
                <w:sz w:val="21"/>
              </w:rPr>
            </w:pPr>
          </w:p>
        </w:tc>
        <w:tc>
          <w:tcPr>
            <w:tcW w:w="7826" w:type="dxa"/>
            <w:gridSpan w:val="3"/>
            <w:vAlign w:val="top"/>
          </w:tcPr>
          <w:p w14:paraId="772A76BB">
            <w:pPr>
              <w:pStyle w:val="6"/>
              <w:spacing w:before="30" w:line="346" w:lineRule="auto"/>
              <w:ind w:left="61" w:right="129"/>
              <w:rPr>
                <w:sz w:val="25"/>
                <w:szCs w:val="25"/>
              </w:rPr>
            </w:pPr>
            <w:r>
              <w:rPr>
                <w:sz w:val="25"/>
                <w:szCs w:val="25"/>
              </w:rPr>
              <w:t>千米，占全省国土面积的25.71%,涉及10个州(市)的36个县(市、区</w:t>
            </w:r>
            <w:r>
              <w:rPr>
                <w:spacing w:val="-1"/>
                <w:sz w:val="25"/>
                <w:szCs w:val="25"/>
              </w:rPr>
              <w:t>)。</w:t>
            </w:r>
            <w:r>
              <w:rPr>
                <w:sz w:val="25"/>
                <w:szCs w:val="25"/>
              </w:rPr>
              <w:t xml:space="preserve"> </w:t>
            </w:r>
            <w:r>
              <w:rPr>
                <w:spacing w:val="-2"/>
                <w:sz w:val="25"/>
                <w:szCs w:val="25"/>
              </w:rPr>
              <w:t>其中：</w:t>
            </w:r>
          </w:p>
          <w:p w14:paraId="6B1F6F13">
            <w:pPr>
              <w:pStyle w:val="6"/>
              <w:spacing w:before="3" w:line="314" w:lineRule="auto"/>
              <w:ind w:left="61" w:right="46" w:firstLine="630"/>
              <w:rPr>
                <w:sz w:val="25"/>
                <w:szCs w:val="25"/>
              </w:rPr>
            </w:pPr>
            <w:r>
              <w:rPr>
                <w:spacing w:val="2"/>
                <w:sz w:val="25"/>
                <w:szCs w:val="25"/>
              </w:rPr>
              <w:t>(1)西双版纳生物多样性保护优先区(以下简称西双版纳优先区),</w:t>
            </w:r>
            <w:r>
              <w:rPr>
                <w:spacing w:val="14"/>
                <w:sz w:val="25"/>
                <w:szCs w:val="25"/>
              </w:rPr>
              <w:t xml:space="preserve"> </w:t>
            </w:r>
            <w:r>
              <w:rPr>
                <w:spacing w:val="4"/>
                <w:sz w:val="25"/>
                <w:szCs w:val="25"/>
              </w:rPr>
              <w:t>位于云南省南部，与缅甸、老挝接壤，涉及4个州(市)、14个县(区、</w:t>
            </w:r>
            <w:r>
              <w:rPr>
                <w:spacing w:val="1"/>
                <w:sz w:val="25"/>
                <w:szCs w:val="25"/>
              </w:rPr>
              <w:t xml:space="preserve"> 市),面积为4.26万平方千米，占全省国土面积的10.79%</w:t>
            </w:r>
            <w:r>
              <w:rPr>
                <w:sz w:val="25"/>
                <w:szCs w:val="25"/>
              </w:rPr>
              <w:t xml:space="preserve">。该区域完全  </w:t>
            </w:r>
            <w:r>
              <w:rPr>
                <w:spacing w:val="-1"/>
                <w:sz w:val="25"/>
                <w:szCs w:val="25"/>
              </w:rPr>
              <w:t>位于云南省内。</w:t>
            </w:r>
          </w:p>
          <w:p w14:paraId="4D30D006">
            <w:pPr>
              <w:pStyle w:val="6"/>
              <w:spacing w:before="163" w:line="300" w:lineRule="auto"/>
              <w:ind w:left="51" w:right="110" w:firstLine="640"/>
              <w:rPr>
                <w:sz w:val="25"/>
                <w:szCs w:val="25"/>
              </w:rPr>
            </w:pPr>
            <w:r>
              <w:rPr>
                <w:sz w:val="25"/>
                <w:szCs w:val="25"/>
              </w:rPr>
              <w:t>(2)横断山南段生物多样性保护优先区(以下简称横断山南段优先</w:t>
            </w:r>
            <w:r>
              <w:rPr>
                <w:spacing w:val="12"/>
                <w:sz w:val="25"/>
                <w:szCs w:val="25"/>
              </w:rPr>
              <w:t xml:space="preserve"> </w:t>
            </w:r>
            <w:r>
              <w:rPr>
                <w:spacing w:val="1"/>
                <w:sz w:val="25"/>
                <w:szCs w:val="25"/>
              </w:rPr>
              <w:t>区),位于滇、川、藏交界，总面积为13.36万平方千米</w:t>
            </w:r>
            <w:r>
              <w:rPr>
                <w:sz w:val="25"/>
                <w:szCs w:val="25"/>
              </w:rPr>
              <w:t>。云南部分涉及 5个州(市)、16个县(区、市),面积为5.16万平方千米，占全省国土</w:t>
            </w:r>
          </w:p>
          <w:p w14:paraId="1B2A46CD">
            <w:pPr>
              <w:pStyle w:val="6"/>
              <w:spacing w:before="191" w:line="220" w:lineRule="auto"/>
              <w:ind w:left="51"/>
              <w:rPr>
                <w:sz w:val="25"/>
                <w:szCs w:val="25"/>
              </w:rPr>
            </w:pPr>
            <w:r>
              <w:rPr>
                <w:sz w:val="25"/>
                <w:szCs w:val="25"/>
              </w:rPr>
              <w:t>面积的13.09%。</w:t>
            </w:r>
          </w:p>
          <w:p w14:paraId="29C2C76E">
            <w:pPr>
              <w:pStyle w:val="6"/>
              <w:spacing w:before="180" w:line="277" w:lineRule="auto"/>
              <w:ind w:left="81" w:right="121" w:firstLine="600"/>
              <w:rPr>
                <w:sz w:val="25"/>
                <w:szCs w:val="25"/>
              </w:rPr>
            </w:pPr>
            <w:r>
              <w:rPr>
                <w:sz w:val="25"/>
                <w:szCs w:val="25"/>
              </w:rPr>
              <w:t>(3)桂西黔南石灰岩生物多样性保护优先区(以下简称桂西黔南石</w:t>
            </w:r>
            <w:r>
              <w:rPr>
                <w:spacing w:val="11"/>
                <w:sz w:val="25"/>
                <w:szCs w:val="25"/>
              </w:rPr>
              <w:t xml:space="preserve"> </w:t>
            </w:r>
            <w:r>
              <w:rPr>
                <w:sz w:val="25"/>
                <w:szCs w:val="25"/>
              </w:rPr>
              <w:t>灰岩优先区),云南部分涉及2个州(市)、3个县，</w:t>
            </w:r>
            <w:r>
              <w:rPr>
                <w:spacing w:val="-1"/>
                <w:sz w:val="25"/>
                <w:szCs w:val="25"/>
              </w:rPr>
              <w:t>面积为0.5万平方</w:t>
            </w:r>
          </w:p>
          <w:p w14:paraId="499483F3">
            <w:pPr>
              <w:pStyle w:val="6"/>
              <w:spacing w:before="181" w:line="219" w:lineRule="auto"/>
              <w:ind w:left="51"/>
              <w:rPr>
                <w:sz w:val="25"/>
                <w:szCs w:val="25"/>
              </w:rPr>
            </w:pPr>
            <w:r>
              <w:rPr>
                <w:sz w:val="25"/>
                <w:szCs w:val="25"/>
              </w:rPr>
              <w:t>千米，占全省国土面积的1.25%。</w:t>
            </w:r>
          </w:p>
          <w:p w14:paraId="4EF6DE4A">
            <w:pPr>
              <w:pStyle w:val="6"/>
              <w:spacing w:before="163" w:line="347" w:lineRule="auto"/>
              <w:ind w:left="41" w:right="120" w:firstLine="640"/>
              <w:jc w:val="both"/>
              <w:rPr>
                <w:sz w:val="25"/>
                <w:szCs w:val="25"/>
              </w:rPr>
            </w:pPr>
            <w:r>
              <w:rPr>
                <w:sz w:val="25"/>
                <w:szCs w:val="25"/>
              </w:rPr>
              <w:t>(4)桂西南山地生物多样性保护优先区(以下简称桂西南山地优先</w:t>
            </w:r>
            <w:r>
              <w:rPr>
                <w:spacing w:val="12"/>
                <w:sz w:val="25"/>
                <w:szCs w:val="25"/>
              </w:rPr>
              <w:t xml:space="preserve"> </w:t>
            </w:r>
            <w:r>
              <w:rPr>
                <w:spacing w:val="2"/>
                <w:sz w:val="25"/>
                <w:szCs w:val="25"/>
              </w:rPr>
              <w:t>区),云南部分涉及1个州、1个县，面积为0.23万平方千米，</w:t>
            </w:r>
            <w:r>
              <w:rPr>
                <w:spacing w:val="1"/>
                <w:sz w:val="25"/>
                <w:szCs w:val="25"/>
              </w:rPr>
              <w:t>占全省国</w:t>
            </w:r>
            <w:r>
              <w:rPr>
                <w:sz w:val="25"/>
                <w:szCs w:val="25"/>
              </w:rPr>
              <w:t xml:space="preserve"> </w:t>
            </w:r>
            <w:r>
              <w:rPr>
                <w:spacing w:val="1"/>
                <w:sz w:val="25"/>
                <w:szCs w:val="25"/>
              </w:rPr>
              <w:t>土面积的0.58%。</w:t>
            </w:r>
          </w:p>
          <w:p w14:paraId="7577995B">
            <w:pPr>
              <w:pStyle w:val="6"/>
              <w:spacing w:before="1" w:line="218" w:lineRule="auto"/>
              <w:ind w:left="531"/>
              <w:rPr>
                <w:sz w:val="25"/>
                <w:szCs w:val="25"/>
              </w:rPr>
            </w:pPr>
            <w:r>
              <w:rPr>
                <w:spacing w:val="-1"/>
                <w:sz w:val="25"/>
                <w:szCs w:val="25"/>
              </w:rPr>
              <w:t>优先区分布情况如图所示：</w:t>
            </w:r>
          </w:p>
        </w:tc>
      </w:tr>
      <w:tr w14:paraId="622EF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1" w:hRule="atLeast"/>
        </w:trPr>
        <w:tc>
          <w:tcPr>
            <w:tcW w:w="1213" w:type="dxa"/>
            <w:vMerge w:val="continue"/>
            <w:tcBorders>
              <w:top w:val="nil"/>
            </w:tcBorders>
            <w:vAlign w:val="top"/>
          </w:tcPr>
          <w:p w14:paraId="0B6C210F">
            <w:pPr>
              <w:rPr>
                <w:rFonts w:ascii="Arial"/>
                <w:sz w:val="21"/>
              </w:rPr>
            </w:pPr>
          </w:p>
        </w:tc>
        <w:tc>
          <w:tcPr>
            <w:tcW w:w="299" w:type="dxa"/>
            <w:shd w:val="clear" w:color="auto" w:fill="FFFFFF"/>
            <w:vAlign w:val="top"/>
          </w:tcPr>
          <w:p w14:paraId="51C0C054">
            <w:pPr>
              <w:rPr>
                <w:rFonts w:ascii="Arial"/>
                <w:sz w:val="21"/>
              </w:rPr>
            </w:pPr>
          </w:p>
        </w:tc>
        <w:tc>
          <w:tcPr>
            <w:tcW w:w="7232" w:type="dxa"/>
            <w:vAlign w:val="top"/>
          </w:tcPr>
          <w:p w14:paraId="53474B20">
            <w:pPr>
              <w:pStyle w:val="6"/>
              <w:spacing w:line="5071" w:lineRule="exact"/>
            </w:pPr>
            <w:r>
              <w:drawing>
                <wp:anchor distT="0" distB="0" distL="0" distR="0" simplePos="0" relativeHeight="251676672" behindDoc="1" locked="0" layoutInCell="1" allowOverlap="1">
                  <wp:simplePos x="0" y="0"/>
                  <wp:positionH relativeFrom="rightMargin">
                    <wp:posOffset>-4634865</wp:posOffset>
                  </wp:positionH>
                  <wp:positionV relativeFrom="topMargin">
                    <wp:posOffset>-46990</wp:posOffset>
                  </wp:positionV>
                  <wp:extent cx="4679950" cy="320675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279"/>
                          <a:stretch>
                            <a:fillRect/>
                          </a:stretch>
                        </pic:blipFill>
                        <pic:spPr>
                          <a:xfrm>
                            <a:off x="0" y="0"/>
                            <a:ext cx="4679967" cy="3206756"/>
                          </a:xfrm>
                          <a:prstGeom prst="rect">
                            <a:avLst/>
                          </a:prstGeom>
                        </pic:spPr>
                      </pic:pic>
                    </a:graphicData>
                  </a:graphic>
                </wp:anchor>
              </w:drawing>
            </w:r>
            <w:r>
              <w:rPr>
                <w:position w:val="-102"/>
              </w:rPr>
              <w:pict>
                <v:group id="_x0000_s1047" o:spid="_x0000_s1047" o:spt="203" style="height:254.55pt;width:362pt;" coordsize="7240,5091">
                  <o:lock v:ext="edit"/>
                  <v:rect id="_x0000_s1048" o:spid="_x0000_s1048" o:spt="1" style="position:absolute;left:0;top:0;height:5091;width:7240;" fillcolor="#FFFFFF" filled="t" stroked="f" coordsize="21600,21600">
                    <v:path/>
                    <v:fill on="t" focussize="0,0"/>
                    <v:stroke on="f"/>
                    <v:imagedata o:title=""/>
                    <o:lock v:ext="edit"/>
                  </v:rect>
                  <v:shape id="_x0000_s1049" o:spid="_x0000_s1049" o:spt="75" type="#_x0000_t75" style="position:absolute;left:30;top:29;height:4951;width:7180;" filled="f" stroked="f" coordsize="21600,21600">
                    <v:path/>
                    <v:fill on="f" focussize="0,0"/>
                    <v:stroke on="f"/>
                    <v:imagedata r:id="rId280" o:title=""/>
                    <o:lock v:ext="edit" aspectratio="t"/>
                  </v:shape>
                  <v:shape id="_x0000_s1050" o:spid="_x0000_s1050" o:spt="202" type="#_x0000_t202" style="position:absolute;left:181;top:364;height:4450;width:6864;" filled="f" stroked="f" coordsize="21600,21600">
                    <v:path/>
                    <v:fill on="f" focussize="0,0"/>
                    <v:stroke on="f"/>
                    <v:imagedata o:title=""/>
                    <o:lock v:ext="edit" aspectratio="f"/>
                    <v:textbox inset="0mm,0mm,0mm,0mm">
                      <w:txbxContent>
                        <w:p w14:paraId="6B84863C">
                          <w:pPr>
                            <w:spacing w:before="20" w:line="219" w:lineRule="auto"/>
                            <w:ind w:left="398"/>
                            <w:rPr>
                              <w:rFonts w:ascii="宋体" w:hAnsi="宋体" w:eastAsia="宋体" w:cs="宋体"/>
                              <w:sz w:val="12"/>
                              <w:szCs w:val="12"/>
                            </w:rPr>
                          </w:pPr>
                          <w:r>
                            <w:rPr>
                              <w:rFonts w:ascii="宋体" w:hAnsi="宋体" w:eastAsia="宋体" w:cs="宋体"/>
                              <w:spacing w:val="-1"/>
                              <w:sz w:val="12"/>
                              <w:szCs w:val="12"/>
                            </w:rPr>
                            <w:t>西藏藏族自治区</w:t>
                          </w:r>
                        </w:p>
                        <w:p w14:paraId="479723A0">
                          <w:pPr>
                            <w:spacing w:line="302" w:lineRule="auto"/>
                            <w:rPr>
                              <w:rFonts w:ascii="Arial"/>
                              <w:sz w:val="21"/>
                            </w:rPr>
                          </w:pPr>
                        </w:p>
                        <w:p w14:paraId="68F276BF">
                          <w:pPr>
                            <w:spacing w:line="302" w:lineRule="auto"/>
                            <w:rPr>
                              <w:rFonts w:ascii="Arial"/>
                              <w:sz w:val="21"/>
                            </w:rPr>
                          </w:pPr>
                        </w:p>
                        <w:p w14:paraId="55EB7303">
                          <w:pPr>
                            <w:spacing w:before="39" w:line="177" w:lineRule="auto"/>
                            <w:ind w:left="708"/>
                            <w:rPr>
                              <w:rFonts w:ascii="宋体" w:hAnsi="宋体" w:eastAsia="宋体" w:cs="宋体"/>
                              <w:sz w:val="12"/>
                              <w:szCs w:val="12"/>
                            </w:rPr>
                          </w:pPr>
                          <w:r>
                            <w:rPr>
                              <w:rFonts w:ascii="宋体" w:hAnsi="宋体" w:eastAsia="宋体" w:cs="宋体"/>
                              <w:spacing w:val="-1"/>
                              <w:sz w:val="12"/>
                              <w:szCs w:val="12"/>
                            </w:rPr>
                            <w:t>横断山南段区</w:t>
                          </w:r>
                        </w:p>
                        <w:p w14:paraId="2612D743">
                          <w:pPr>
                            <w:spacing w:line="211" w:lineRule="auto"/>
                            <w:ind w:left="3578"/>
                            <w:rPr>
                              <w:rFonts w:ascii="宋体" w:hAnsi="宋体" w:eastAsia="宋体" w:cs="宋体"/>
                              <w:sz w:val="12"/>
                              <w:szCs w:val="12"/>
                            </w:rPr>
                          </w:pPr>
                          <w:r>
                            <w:rPr>
                              <w:rFonts w:ascii="宋体" w:hAnsi="宋体" w:eastAsia="宋体" w:cs="宋体"/>
                              <w:spacing w:val="3"/>
                              <w:sz w:val="12"/>
                              <w:szCs w:val="12"/>
                            </w:rPr>
                            <w:t>四川省</w:t>
                          </w:r>
                        </w:p>
                        <w:p w14:paraId="56362D60">
                          <w:pPr>
                            <w:spacing w:before="76" w:line="219" w:lineRule="auto"/>
                            <w:ind w:left="5378"/>
                            <w:rPr>
                              <w:rFonts w:ascii="宋体" w:hAnsi="宋体" w:eastAsia="宋体" w:cs="宋体"/>
                              <w:sz w:val="12"/>
                              <w:szCs w:val="12"/>
                            </w:rPr>
                          </w:pPr>
                          <w:r>
                            <w:rPr>
                              <w:rFonts w:ascii="宋体" w:hAnsi="宋体" w:eastAsia="宋体" w:cs="宋体"/>
                              <w:spacing w:val="-2"/>
                              <w:sz w:val="12"/>
                              <w:szCs w:val="12"/>
                            </w:rPr>
                            <w:t>贵州省</w:t>
                          </w:r>
                        </w:p>
                        <w:p w14:paraId="5E81469A">
                          <w:pPr>
                            <w:spacing w:before="68" w:line="220" w:lineRule="auto"/>
                            <w:ind w:left="3358"/>
                            <w:rPr>
                              <w:rFonts w:ascii="宋体" w:hAnsi="宋体" w:eastAsia="宋体" w:cs="宋体"/>
                              <w:sz w:val="12"/>
                              <w:szCs w:val="12"/>
                            </w:rPr>
                          </w:pPr>
                          <w:r>
                            <w:rPr>
                              <w:rFonts w:ascii="宋体" w:hAnsi="宋体" w:eastAsia="宋体" w:cs="宋体"/>
                              <w:color w:val="FF0000"/>
                              <w:spacing w:val="-10"/>
                              <w:sz w:val="12"/>
                              <w:szCs w:val="12"/>
                            </w:rPr>
                            <w:t>项</w:t>
                          </w:r>
                          <w:r>
                            <w:rPr>
                              <w:rFonts w:ascii="宋体" w:hAnsi="宋体" w:eastAsia="宋体" w:cs="宋体"/>
                              <w:color w:val="FF0000"/>
                              <w:spacing w:val="52"/>
                              <w:sz w:val="12"/>
                              <w:szCs w:val="12"/>
                            </w:rPr>
                            <w:t xml:space="preserve"> </w:t>
                          </w:r>
                          <w:r>
                            <w:rPr>
                              <w:rFonts w:ascii="宋体" w:hAnsi="宋体" w:eastAsia="宋体" w:cs="宋体"/>
                              <w:color w:val="FF0000"/>
                              <w:spacing w:val="-10"/>
                              <w:sz w:val="12"/>
                              <w:szCs w:val="12"/>
                            </w:rPr>
                            <w:t>目</w:t>
                          </w:r>
                          <w:r>
                            <w:rPr>
                              <w:rFonts w:ascii="宋体" w:hAnsi="宋体" w:eastAsia="宋体" w:cs="宋体"/>
                              <w:color w:val="FF0000"/>
                              <w:spacing w:val="36"/>
                              <w:sz w:val="12"/>
                              <w:szCs w:val="12"/>
                            </w:rPr>
                            <w:t xml:space="preserve"> </w:t>
                          </w:r>
                          <w:r>
                            <w:rPr>
                              <w:rFonts w:ascii="宋体" w:hAnsi="宋体" w:eastAsia="宋体" w:cs="宋体"/>
                              <w:color w:val="FF0000"/>
                              <w:spacing w:val="-10"/>
                              <w:sz w:val="12"/>
                              <w:szCs w:val="12"/>
                            </w:rPr>
                            <w:t>区</w:t>
                          </w:r>
                          <w:r>
                            <w:rPr>
                              <w:rFonts w:ascii="宋体" w:hAnsi="宋体" w:eastAsia="宋体" w:cs="宋体"/>
                              <w:color w:val="FF0000"/>
                              <w:spacing w:val="26"/>
                              <w:w w:val="101"/>
                              <w:sz w:val="12"/>
                              <w:szCs w:val="12"/>
                            </w:rPr>
                            <w:t xml:space="preserve"> </w:t>
                          </w:r>
                          <w:r>
                            <w:rPr>
                              <w:rFonts w:ascii="宋体" w:hAnsi="宋体" w:eastAsia="宋体" w:cs="宋体"/>
                              <w:color w:val="FF0000"/>
                              <w:spacing w:val="-10"/>
                              <w:sz w:val="12"/>
                              <w:szCs w:val="12"/>
                            </w:rPr>
                            <w:t>所</w:t>
                          </w:r>
                          <w:r>
                            <w:rPr>
                              <w:rFonts w:ascii="宋体" w:hAnsi="宋体" w:eastAsia="宋体" w:cs="宋体"/>
                              <w:color w:val="FF0000"/>
                              <w:spacing w:val="26"/>
                              <w:w w:val="101"/>
                              <w:sz w:val="12"/>
                              <w:szCs w:val="12"/>
                            </w:rPr>
                            <w:t xml:space="preserve"> </w:t>
                          </w:r>
                          <w:r>
                            <w:rPr>
                              <w:rFonts w:ascii="宋体" w:hAnsi="宋体" w:eastAsia="宋体" w:cs="宋体"/>
                              <w:color w:val="FF0000"/>
                              <w:spacing w:val="-10"/>
                              <w:sz w:val="12"/>
                              <w:szCs w:val="12"/>
                            </w:rPr>
                            <w:t>在</w:t>
                          </w:r>
                          <w:r>
                            <w:rPr>
                              <w:rFonts w:ascii="宋体" w:hAnsi="宋体" w:eastAsia="宋体" w:cs="宋体"/>
                              <w:color w:val="FF0000"/>
                              <w:spacing w:val="27"/>
                              <w:sz w:val="12"/>
                              <w:szCs w:val="12"/>
                            </w:rPr>
                            <w:t xml:space="preserve"> </w:t>
                          </w:r>
                          <w:r>
                            <w:rPr>
                              <w:rFonts w:ascii="宋体" w:hAnsi="宋体" w:eastAsia="宋体" w:cs="宋体"/>
                              <w:color w:val="FF0000"/>
                              <w:spacing w:val="-10"/>
                              <w:sz w:val="12"/>
                              <w:szCs w:val="12"/>
                            </w:rPr>
                            <w:t>地</w:t>
                          </w:r>
                        </w:p>
                        <w:p w14:paraId="541E56E5">
                          <w:pPr>
                            <w:spacing w:before="197" w:line="219" w:lineRule="auto"/>
                            <w:ind w:left="5348"/>
                            <w:rPr>
                              <w:rFonts w:ascii="宋体" w:hAnsi="宋体" w:eastAsia="宋体" w:cs="宋体"/>
                              <w:sz w:val="12"/>
                              <w:szCs w:val="12"/>
                            </w:rPr>
                          </w:pPr>
                          <w:r>
                            <w:rPr>
                              <w:rFonts w:ascii="宋体" w:hAnsi="宋体" w:eastAsia="宋体" w:cs="宋体"/>
                              <w:spacing w:val="-1"/>
                              <w:sz w:val="12"/>
                              <w:szCs w:val="12"/>
                            </w:rPr>
                            <w:t>桂西黔南石灰岩区</w:t>
                          </w:r>
                        </w:p>
                        <w:p w14:paraId="1CB4BCA7">
                          <w:pPr>
                            <w:spacing w:before="57" w:line="185" w:lineRule="auto"/>
                            <w:ind w:left="2348"/>
                            <w:rPr>
                              <w:rFonts w:ascii="宋体" w:hAnsi="宋体" w:eastAsia="宋体" w:cs="宋体"/>
                              <w:sz w:val="12"/>
                              <w:szCs w:val="12"/>
                            </w:rPr>
                          </w:pPr>
                          <w:r>
                            <w:rPr>
                              <w:rFonts w:ascii="宋体" w:hAnsi="宋体" w:eastAsia="宋体" w:cs="宋体"/>
                              <w:spacing w:val="-1"/>
                              <w:sz w:val="12"/>
                              <w:szCs w:val="12"/>
                            </w:rPr>
                            <w:t>大理白族白治剂</w:t>
                          </w:r>
                        </w:p>
                        <w:p w14:paraId="4AC4B884">
                          <w:pPr>
                            <w:spacing w:line="218" w:lineRule="auto"/>
                            <w:ind w:left="3158"/>
                            <w:rPr>
                              <w:rFonts w:ascii="宋体" w:hAnsi="宋体" w:eastAsia="宋体" w:cs="宋体"/>
                              <w:sz w:val="12"/>
                              <w:szCs w:val="12"/>
                            </w:rPr>
                          </w:pPr>
                          <w:r>
                            <w:rPr>
                              <w:rFonts w:ascii="宋体" w:hAnsi="宋体" w:eastAsia="宋体" w:cs="宋体"/>
                              <w:spacing w:val="-1"/>
                              <w:sz w:val="12"/>
                              <w:szCs w:val="12"/>
                            </w:rPr>
                            <w:t>健建籍族白治州</w:t>
                          </w:r>
                        </w:p>
                        <w:p w14:paraId="277CEED3">
                          <w:pPr>
                            <w:spacing w:line="416" w:lineRule="auto"/>
                            <w:rPr>
                              <w:rFonts w:ascii="Arial"/>
                              <w:sz w:val="21"/>
                            </w:rPr>
                          </w:pPr>
                        </w:p>
                        <w:p w14:paraId="64C63ED4">
                          <w:pPr>
                            <w:spacing w:before="40" w:line="219" w:lineRule="auto"/>
                            <w:ind w:right="18"/>
                            <w:jc w:val="right"/>
                            <w:rPr>
                              <w:rFonts w:ascii="宋体" w:hAnsi="宋体" w:eastAsia="宋体" w:cs="宋体"/>
                              <w:sz w:val="12"/>
                              <w:szCs w:val="12"/>
                            </w:rPr>
                          </w:pPr>
                          <w:r>
                            <w:rPr>
                              <w:rFonts w:ascii="宋体" w:hAnsi="宋体" w:eastAsia="宋体" w:cs="宋体"/>
                              <w:spacing w:val="-1"/>
                              <w:sz w:val="12"/>
                              <w:szCs w:val="12"/>
                            </w:rPr>
                            <w:t>广西壮族</w:t>
                          </w:r>
                        </w:p>
                        <w:p w14:paraId="77F67315">
                          <w:pPr>
                            <w:spacing w:before="18" w:line="220" w:lineRule="auto"/>
                            <w:ind w:left="6418"/>
                            <w:rPr>
                              <w:rFonts w:ascii="宋体" w:hAnsi="宋体" w:eastAsia="宋体" w:cs="宋体"/>
                              <w:sz w:val="12"/>
                              <w:szCs w:val="12"/>
                            </w:rPr>
                          </w:pPr>
                          <w:r>
                            <w:rPr>
                              <w:rFonts w:ascii="宋体" w:hAnsi="宋体" w:eastAsia="宋体" w:cs="宋体"/>
                              <w:spacing w:val="3"/>
                              <w:sz w:val="12"/>
                              <w:szCs w:val="12"/>
                            </w:rPr>
                            <w:t>自治区</w:t>
                          </w:r>
                        </w:p>
                        <w:p w14:paraId="718D142B">
                          <w:pPr>
                            <w:spacing w:before="26" w:line="221" w:lineRule="auto"/>
                            <w:ind w:left="20"/>
                            <w:rPr>
                              <w:rFonts w:ascii="宋体" w:hAnsi="宋体" w:eastAsia="宋体" w:cs="宋体"/>
                              <w:sz w:val="12"/>
                              <w:szCs w:val="12"/>
                            </w:rPr>
                          </w:pPr>
                          <w:r>
                            <w:rPr>
                              <w:rFonts w:ascii="宋体" w:hAnsi="宋体" w:eastAsia="宋体" w:cs="宋体"/>
                              <w:b/>
                              <w:bCs/>
                              <w:spacing w:val="1"/>
                              <w:sz w:val="12"/>
                              <w:szCs w:val="12"/>
                            </w:rPr>
                            <w:t>图例</w:t>
                          </w:r>
                        </w:p>
                        <w:p w14:paraId="3389A68C">
                          <w:pPr>
                            <w:spacing w:before="236" w:line="219" w:lineRule="auto"/>
                            <w:ind w:left="48"/>
                            <w:rPr>
                              <w:rFonts w:ascii="宋体" w:hAnsi="宋体" w:eastAsia="宋体" w:cs="宋体"/>
                              <w:sz w:val="12"/>
                              <w:szCs w:val="12"/>
                            </w:rPr>
                          </w:pPr>
                          <w:r>
                            <w:rPr>
                              <w:rFonts w:ascii="宋体" w:hAnsi="宋体" w:eastAsia="宋体" w:cs="宋体"/>
                              <w:spacing w:val="-3"/>
                              <w:sz w:val="12"/>
                              <w:szCs w:val="12"/>
                            </w:rPr>
                            <w:t>·</w:t>
                          </w:r>
                          <w:r>
                            <w:rPr>
                              <w:rFonts w:ascii="宋体" w:hAnsi="宋体" w:eastAsia="宋体" w:cs="宋体"/>
                              <w:spacing w:val="-41"/>
                              <w:sz w:val="12"/>
                              <w:szCs w:val="12"/>
                            </w:rPr>
                            <w:t xml:space="preserve"> </w:t>
                          </w:r>
                          <w:r>
                            <w:rPr>
                              <w:rFonts w:ascii="宋体" w:hAnsi="宋体" w:eastAsia="宋体" w:cs="宋体"/>
                              <w:spacing w:val="-3"/>
                              <w:sz w:val="12"/>
                              <w:szCs w:val="12"/>
                            </w:rPr>
                            <w:t>州市政府</w:t>
                          </w:r>
                        </w:p>
                        <w:p w14:paraId="34990A45">
                          <w:pPr>
                            <w:spacing w:before="249" w:line="219" w:lineRule="auto"/>
                            <w:ind w:left="5278"/>
                            <w:rPr>
                              <w:rFonts w:ascii="宋体" w:hAnsi="宋体" w:eastAsia="宋体" w:cs="宋体"/>
                              <w:sz w:val="12"/>
                              <w:szCs w:val="12"/>
                            </w:rPr>
                          </w:pPr>
                          <w:r>
                            <w:rPr>
                              <w:rFonts w:ascii="宋体" w:hAnsi="宋体" w:eastAsia="宋体" w:cs="宋体"/>
                              <w:spacing w:val="-1"/>
                              <w:sz w:val="12"/>
                              <w:szCs w:val="12"/>
                            </w:rPr>
                            <w:t>桂西南山地区</w:t>
                          </w:r>
                        </w:p>
                        <w:p w14:paraId="227E94B4">
                          <w:pPr>
                            <w:spacing w:before="128" w:line="184" w:lineRule="auto"/>
                            <w:ind w:left="238"/>
                            <w:rPr>
                              <w:rFonts w:ascii="宋体" w:hAnsi="宋体" w:eastAsia="宋体" w:cs="宋体"/>
                              <w:sz w:val="12"/>
                              <w:szCs w:val="12"/>
                            </w:rPr>
                          </w:pPr>
                          <w:r>
                            <w:rPr>
                              <w:rFonts w:ascii="宋体" w:hAnsi="宋体" w:eastAsia="宋体" w:cs="宋体"/>
                              <w:spacing w:val="1"/>
                              <w:position w:val="2"/>
                              <w:sz w:val="12"/>
                              <w:szCs w:val="12"/>
                            </w:rPr>
                            <w:t xml:space="preserve">自然保护区                                                 </w:t>
                          </w:r>
                          <w:r>
                            <w:rPr>
                              <w:rFonts w:ascii="宋体" w:hAnsi="宋体" w:eastAsia="宋体" w:cs="宋体"/>
                              <w:position w:val="2"/>
                              <w:sz w:val="12"/>
                              <w:szCs w:val="12"/>
                            </w:rPr>
                            <w:t xml:space="preserve">       </w:t>
                          </w:r>
                          <w:r>
                            <w:rPr>
                              <w:rFonts w:ascii="宋体" w:hAnsi="宋体" w:eastAsia="宋体" w:cs="宋体"/>
                              <w:spacing w:val="3"/>
                              <w:position w:val="-2"/>
                              <w:sz w:val="12"/>
                              <w:szCs w:val="12"/>
                              <w:u w:val="single" w:color="auto"/>
                            </w:rPr>
                            <w:t xml:space="preserve">   </w:t>
                          </w:r>
                          <w:r>
                            <w:rPr>
                              <w:rFonts w:ascii="宋体" w:hAnsi="宋体" w:eastAsia="宋体" w:cs="宋体"/>
                              <w:position w:val="-2"/>
                              <w:sz w:val="12"/>
                              <w:szCs w:val="12"/>
                              <w:u w:val="single" w:color="auto"/>
                            </w:rPr>
                            <w:t>西</w:t>
                          </w:r>
                          <w:r>
                            <w:rPr>
                              <w:rFonts w:ascii="宋体" w:hAnsi="宋体" w:eastAsia="宋体" w:cs="宋体"/>
                              <w:position w:val="-2"/>
                              <w:sz w:val="12"/>
                              <w:szCs w:val="12"/>
                            </w:rPr>
                            <w:t>双版纳区</w:t>
                          </w:r>
                        </w:p>
                        <w:p w14:paraId="26F80255">
                          <w:pPr>
                            <w:spacing w:line="219" w:lineRule="auto"/>
                            <w:ind w:left="258"/>
                            <w:rPr>
                              <w:rFonts w:ascii="宋体" w:hAnsi="宋体" w:eastAsia="宋体" w:cs="宋体"/>
                              <w:sz w:val="12"/>
                              <w:szCs w:val="12"/>
                            </w:rPr>
                          </w:pPr>
                          <w:r>
                            <w:rPr>
                              <w:rFonts w:ascii="宋体" w:hAnsi="宋体" w:eastAsia="宋体" w:cs="宋体"/>
                              <w:spacing w:val="-1"/>
                              <w:sz w:val="12"/>
                              <w:szCs w:val="12"/>
                            </w:rPr>
                            <w:t>生物多样性保护优先区</w:t>
                          </w:r>
                        </w:p>
                        <w:p w14:paraId="2A4736F1">
                          <w:pPr>
                            <w:spacing w:before="28" w:line="219" w:lineRule="auto"/>
                            <w:ind w:left="268"/>
                            <w:rPr>
                              <w:rFonts w:ascii="宋体" w:hAnsi="宋体" w:eastAsia="宋体" w:cs="宋体"/>
                              <w:sz w:val="12"/>
                              <w:szCs w:val="12"/>
                            </w:rPr>
                          </w:pPr>
                          <w:r>
                            <w:rPr>
                              <w:rFonts w:ascii="宋体" w:hAnsi="宋体" w:eastAsia="宋体" w:cs="宋体"/>
                              <w:spacing w:val="-7"/>
                              <w:sz w:val="12"/>
                              <w:szCs w:val="12"/>
                            </w:rPr>
                            <w:t>生物多样性保护优先区——云南区域</w:t>
                          </w:r>
                        </w:p>
                      </w:txbxContent>
                    </v:textbox>
                  </v:shape>
                  <w10:wrap type="none"/>
                  <w10:anchorlock/>
                </v:group>
              </w:pict>
            </w:r>
          </w:p>
        </w:tc>
        <w:tc>
          <w:tcPr>
            <w:tcW w:w="295" w:type="dxa"/>
            <w:shd w:val="clear" w:color="auto" w:fill="FFFFFF"/>
            <w:vAlign w:val="top"/>
          </w:tcPr>
          <w:p w14:paraId="3BEA9218">
            <w:pPr>
              <w:rPr>
                <w:rFonts w:ascii="Arial"/>
                <w:sz w:val="21"/>
              </w:rPr>
            </w:pPr>
          </w:p>
        </w:tc>
      </w:tr>
    </w:tbl>
    <w:p w14:paraId="5B63A31C">
      <w:pPr>
        <w:pStyle w:val="2"/>
      </w:pPr>
    </w:p>
    <w:p w14:paraId="35B0DB07">
      <w:pPr>
        <w:sectPr>
          <w:footerReference r:id="rId35" w:type="default"/>
          <w:pgSz w:w="11910" w:h="16830"/>
          <w:pgMar w:top="400" w:right="1445" w:bottom="1259" w:left="1415" w:header="0" w:footer="1079" w:gutter="0"/>
          <w:cols w:space="720" w:num="1"/>
        </w:sectPr>
      </w:pPr>
    </w:p>
    <w:p w14:paraId="4635E109">
      <w:pPr>
        <w:spacing w:before="18"/>
      </w:pPr>
    </w:p>
    <w:p w14:paraId="16B384CB">
      <w:pPr>
        <w:spacing w:before="18"/>
      </w:pPr>
    </w:p>
    <w:p w14:paraId="44295E3C">
      <w:pPr>
        <w:spacing w:before="17"/>
      </w:pPr>
    </w:p>
    <w:p w14:paraId="26091832">
      <w:pPr>
        <w:spacing w:before="17"/>
      </w:pPr>
    </w:p>
    <w:p w14:paraId="72D90CC2">
      <w:pPr>
        <w:spacing w:before="17"/>
      </w:pPr>
    </w:p>
    <w:tbl>
      <w:tblPr>
        <w:tblStyle w:val="5"/>
        <w:tblW w:w="89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4545"/>
        <w:gridCol w:w="2487"/>
        <w:gridCol w:w="684"/>
      </w:tblGrid>
      <w:tr w14:paraId="44E95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5" w:hRule="atLeast"/>
        </w:trPr>
        <w:tc>
          <w:tcPr>
            <w:tcW w:w="1244" w:type="dxa"/>
            <w:vMerge w:val="restart"/>
            <w:tcBorders>
              <w:bottom w:val="nil"/>
            </w:tcBorders>
            <w:vAlign w:val="top"/>
          </w:tcPr>
          <w:p w14:paraId="6267E240">
            <w:pPr>
              <w:rPr>
                <w:rFonts w:ascii="Arial"/>
                <w:sz w:val="21"/>
              </w:rPr>
            </w:pPr>
          </w:p>
        </w:tc>
        <w:tc>
          <w:tcPr>
            <w:tcW w:w="7716" w:type="dxa"/>
            <w:gridSpan w:val="3"/>
            <w:vAlign w:val="top"/>
          </w:tcPr>
          <w:p w14:paraId="08B3DEEA">
            <w:pPr>
              <w:pStyle w:val="6"/>
              <w:spacing w:before="29" w:line="219" w:lineRule="auto"/>
              <w:ind w:left="1264"/>
              <w:rPr>
                <w:sz w:val="24"/>
                <w:szCs w:val="24"/>
              </w:rPr>
            </w:pPr>
            <w:r>
              <w:rPr>
                <w:b/>
                <w:bCs/>
                <w:spacing w:val="-2"/>
                <w:sz w:val="24"/>
                <w:szCs w:val="24"/>
              </w:rPr>
              <w:t>图1-3</w:t>
            </w:r>
            <w:r>
              <w:rPr>
                <w:spacing w:val="-2"/>
                <w:sz w:val="24"/>
                <w:szCs w:val="24"/>
              </w:rPr>
              <w:t xml:space="preserve">  </w:t>
            </w:r>
            <w:r>
              <w:rPr>
                <w:b/>
                <w:bCs/>
                <w:spacing w:val="-2"/>
                <w:sz w:val="24"/>
                <w:szCs w:val="24"/>
              </w:rPr>
              <w:t>生物多样性保护优先区云南区域分布图</w:t>
            </w:r>
          </w:p>
          <w:p w14:paraId="3944956F">
            <w:pPr>
              <w:pStyle w:val="6"/>
              <w:spacing w:before="190" w:line="355" w:lineRule="auto"/>
              <w:ind w:left="10" w:firstLine="469"/>
              <w:jc w:val="both"/>
              <w:rPr>
                <w:sz w:val="24"/>
                <w:szCs w:val="24"/>
              </w:rPr>
            </w:pPr>
            <w:r>
              <w:rPr>
                <w:sz w:val="24"/>
                <w:szCs w:val="24"/>
              </w:rPr>
              <w:t>项目位于云南省曲靖市陆良县大莫古镇西部栗树园村南侧及北侧，经 对照生物多样性保护优先区云南区域分布图，项目区不在划定的云南省国</w:t>
            </w:r>
            <w:r>
              <w:rPr>
                <w:spacing w:val="14"/>
                <w:sz w:val="24"/>
                <w:szCs w:val="24"/>
              </w:rPr>
              <w:t xml:space="preserve"> </w:t>
            </w:r>
            <w:r>
              <w:rPr>
                <w:sz w:val="24"/>
                <w:szCs w:val="24"/>
              </w:rPr>
              <w:t>家生物多样性保护优先区域规划范围。项目符合《云南省国家生物多</w:t>
            </w:r>
            <w:r>
              <w:rPr>
                <w:spacing w:val="-1"/>
                <w:sz w:val="24"/>
                <w:szCs w:val="24"/>
              </w:rPr>
              <w:t>样性</w:t>
            </w:r>
            <w:r>
              <w:rPr>
                <w:sz w:val="24"/>
                <w:szCs w:val="24"/>
              </w:rPr>
              <w:t xml:space="preserve"> 保护优先区域规划》(2017-2030年)。</w:t>
            </w:r>
          </w:p>
          <w:p w14:paraId="1728083B">
            <w:pPr>
              <w:pStyle w:val="6"/>
              <w:spacing w:line="219" w:lineRule="auto"/>
              <w:ind w:left="34"/>
              <w:rPr>
                <w:sz w:val="24"/>
                <w:szCs w:val="24"/>
              </w:rPr>
            </w:pPr>
            <w:r>
              <w:rPr>
                <w:b/>
                <w:bCs/>
                <w:spacing w:val="-3"/>
                <w:sz w:val="24"/>
                <w:szCs w:val="24"/>
              </w:rPr>
              <w:t>12与《云南省生物多样性保护条例》符合性分析</w:t>
            </w:r>
          </w:p>
          <w:p w14:paraId="3072A43C">
            <w:pPr>
              <w:pStyle w:val="6"/>
              <w:spacing w:before="197" w:line="359" w:lineRule="auto"/>
              <w:ind w:left="10" w:firstLine="489"/>
              <w:jc w:val="both"/>
              <w:rPr>
                <w:sz w:val="24"/>
                <w:szCs w:val="24"/>
              </w:rPr>
            </w:pPr>
            <w:r>
              <w:rPr>
                <w:sz w:val="24"/>
                <w:szCs w:val="24"/>
              </w:rPr>
              <w:t>《云南省生物多样性保护条例》第二十九条规定：</w:t>
            </w:r>
            <w:r>
              <w:rPr>
                <w:spacing w:val="-1"/>
                <w:sz w:val="24"/>
                <w:szCs w:val="24"/>
              </w:rPr>
              <w:t>“新建、改建、扩</w:t>
            </w:r>
            <w:r>
              <w:rPr>
                <w:sz w:val="24"/>
                <w:szCs w:val="24"/>
              </w:rPr>
              <w:t xml:space="preserve"> 建建设项目以及开发自然资源，应当依法开展环境影响评价。对可能造成</w:t>
            </w:r>
            <w:r>
              <w:rPr>
                <w:spacing w:val="14"/>
                <w:sz w:val="24"/>
                <w:szCs w:val="24"/>
              </w:rPr>
              <w:t xml:space="preserve"> </w:t>
            </w:r>
            <w:r>
              <w:rPr>
                <w:sz w:val="24"/>
                <w:szCs w:val="24"/>
              </w:rPr>
              <w:t>重要生态系统破坏、损害重要物种及其栖息地和生境的</w:t>
            </w:r>
            <w:r>
              <w:rPr>
                <w:spacing w:val="-1"/>
                <w:sz w:val="24"/>
                <w:szCs w:val="24"/>
              </w:rPr>
              <w:t>，应当制定专项保</w:t>
            </w:r>
            <w:r>
              <w:rPr>
                <w:sz w:val="24"/>
                <w:szCs w:val="24"/>
              </w:rPr>
              <w:t xml:space="preserve"> 护、恢复和补偿方案，纳入环境影响评价。在生物多样性保护优先区域的</w:t>
            </w:r>
            <w:r>
              <w:rPr>
                <w:spacing w:val="11"/>
                <w:sz w:val="24"/>
                <w:szCs w:val="24"/>
              </w:rPr>
              <w:t xml:space="preserve"> </w:t>
            </w:r>
            <w:r>
              <w:rPr>
                <w:sz w:val="24"/>
                <w:szCs w:val="24"/>
              </w:rPr>
              <w:t>建设项目以及自然资源开发，应当评价对生物多样性的影响，并作为环境</w:t>
            </w:r>
            <w:r>
              <w:rPr>
                <w:spacing w:val="12"/>
                <w:sz w:val="24"/>
                <w:szCs w:val="24"/>
              </w:rPr>
              <w:t xml:space="preserve"> </w:t>
            </w:r>
            <w:r>
              <w:rPr>
                <w:sz w:val="24"/>
                <w:szCs w:val="24"/>
              </w:rPr>
              <w:t>影响评价的重要组成部分”。</w:t>
            </w:r>
          </w:p>
          <w:p w14:paraId="06A5C37C">
            <w:pPr>
              <w:pStyle w:val="6"/>
              <w:spacing w:line="359" w:lineRule="auto"/>
              <w:ind w:left="10" w:firstLine="479"/>
              <w:jc w:val="both"/>
              <w:rPr>
                <w:sz w:val="24"/>
                <w:szCs w:val="24"/>
              </w:rPr>
            </w:pPr>
            <w:r>
              <w:rPr>
                <w:spacing w:val="-1"/>
                <w:sz w:val="24"/>
                <w:szCs w:val="24"/>
              </w:rPr>
              <w:t>根据陆良县自然资源局等陆良县各局针对本项目的核查意见、现场踏</w:t>
            </w:r>
            <w:r>
              <w:rPr>
                <w:spacing w:val="10"/>
                <w:sz w:val="24"/>
                <w:szCs w:val="24"/>
              </w:rPr>
              <w:t xml:space="preserve"> </w:t>
            </w:r>
            <w:r>
              <w:rPr>
                <w:sz w:val="24"/>
                <w:szCs w:val="24"/>
              </w:rPr>
              <w:t>勘及陆良县相关敏感区资料核对可知，本项目不涉</w:t>
            </w:r>
            <w:r>
              <w:rPr>
                <w:spacing w:val="-1"/>
                <w:sz w:val="24"/>
                <w:szCs w:val="24"/>
              </w:rPr>
              <w:t>及生态保护红线、基本</w:t>
            </w:r>
            <w:r>
              <w:rPr>
                <w:sz w:val="24"/>
                <w:szCs w:val="24"/>
              </w:rPr>
              <w:t xml:space="preserve"> 农田、自然保护区、风景名胜区、国家公园、世界自然遗产地、野生动物</w:t>
            </w:r>
            <w:r>
              <w:rPr>
                <w:spacing w:val="11"/>
                <w:sz w:val="24"/>
                <w:szCs w:val="24"/>
              </w:rPr>
              <w:t xml:space="preserve"> </w:t>
            </w:r>
            <w:r>
              <w:rPr>
                <w:sz w:val="24"/>
                <w:szCs w:val="24"/>
              </w:rPr>
              <w:t>重要栖息地、珍稀濒危和极小种群野生植物重要原生境。项目占地类型为</w:t>
            </w:r>
            <w:r>
              <w:rPr>
                <w:spacing w:val="11"/>
                <w:sz w:val="24"/>
                <w:szCs w:val="24"/>
              </w:rPr>
              <w:t xml:space="preserve"> </w:t>
            </w:r>
            <w:r>
              <w:rPr>
                <w:sz w:val="24"/>
                <w:szCs w:val="24"/>
              </w:rPr>
              <w:t>草地和人工乔木林地、灌木林、交通运输用地、工矿用地等，不涉及水源</w:t>
            </w:r>
            <w:r>
              <w:rPr>
                <w:spacing w:val="9"/>
                <w:sz w:val="24"/>
                <w:szCs w:val="24"/>
              </w:rPr>
              <w:t xml:space="preserve"> </w:t>
            </w:r>
            <w:r>
              <w:rPr>
                <w:sz w:val="24"/>
                <w:szCs w:val="24"/>
              </w:rPr>
              <w:t>涵养林及护岸林，未发现珍稀野生植物，项目所在区域不属于云南生物多</w:t>
            </w:r>
            <w:r>
              <w:rPr>
                <w:spacing w:val="11"/>
                <w:sz w:val="24"/>
                <w:szCs w:val="24"/>
              </w:rPr>
              <w:t xml:space="preserve"> </w:t>
            </w:r>
            <w:r>
              <w:rPr>
                <w:sz w:val="24"/>
                <w:szCs w:val="24"/>
              </w:rPr>
              <w:t>样性保护优先区域。项目建设不会造成重要生态系统破坏，不会损害重要</w:t>
            </w:r>
            <w:r>
              <w:rPr>
                <w:spacing w:val="11"/>
                <w:sz w:val="24"/>
                <w:szCs w:val="24"/>
              </w:rPr>
              <w:t xml:space="preserve"> </w:t>
            </w:r>
            <w:r>
              <w:rPr>
                <w:sz w:val="24"/>
                <w:szCs w:val="24"/>
              </w:rPr>
              <w:t>物种及其栖息地和生境。项目区人为活动频繁，生物多样性较为贫乏。项</w:t>
            </w:r>
            <w:r>
              <w:rPr>
                <w:spacing w:val="14"/>
                <w:sz w:val="24"/>
                <w:szCs w:val="24"/>
              </w:rPr>
              <w:t xml:space="preserve"> </w:t>
            </w:r>
            <w:r>
              <w:rPr>
                <w:sz w:val="24"/>
                <w:szCs w:val="24"/>
              </w:rPr>
              <w:t>目施工区均为陆地，分布其中的物种与周边完全一致，本项目建设对生物</w:t>
            </w:r>
            <w:r>
              <w:rPr>
                <w:spacing w:val="11"/>
                <w:sz w:val="24"/>
                <w:szCs w:val="24"/>
              </w:rPr>
              <w:t xml:space="preserve"> </w:t>
            </w:r>
            <w:r>
              <w:rPr>
                <w:sz w:val="24"/>
                <w:szCs w:val="24"/>
              </w:rPr>
              <w:t>多样性影响较小，项目建设符合《云南省生物多样性保护条例》。</w:t>
            </w:r>
          </w:p>
          <w:p w14:paraId="0993AEEB">
            <w:pPr>
              <w:pStyle w:val="6"/>
              <w:spacing w:before="2" w:line="358" w:lineRule="auto"/>
              <w:ind w:left="14" w:right="468" w:firstLine="20"/>
              <w:rPr>
                <w:sz w:val="24"/>
                <w:szCs w:val="24"/>
              </w:rPr>
            </w:pPr>
            <w:r>
              <w:rPr>
                <w:b/>
                <w:bCs/>
                <w:spacing w:val="-3"/>
                <w:sz w:val="24"/>
                <w:szCs w:val="24"/>
              </w:rPr>
              <w:t>13与《长江经济带发展负面清单指南(试行，2022年版)》的符合性分</w:t>
            </w:r>
            <w:r>
              <w:rPr>
                <w:spacing w:val="18"/>
                <w:sz w:val="24"/>
                <w:szCs w:val="24"/>
              </w:rPr>
              <w:t xml:space="preserve"> </w:t>
            </w:r>
            <w:r>
              <w:rPr>
                <w:b/>
                <w:bCs/>
                <w:spacing w:val="-3"/>
                <w:sz w:val="24"/>
                <w:szCs w:val="24"/>
              </w:rPr>
              <w:t>析</w:t>
            </w:r>
          </w:p>
          <w:p w14:paraId="04117937">
            <w:pPr>
              <w:pStyle w:val="6"/>
              <w:spacing w:before="2" w:line="356" w:lineRule="auto"/>
              <w:ind w:left="20" w:right="255" w:firstLine="479"/>
              <w:rPr>
                <w:sz w:val="24"/>
                <w:szCs w:val="24"/>
              </w:rPr>
            </w:pPr>
            <w:r>
              <w:rPr>
                <w:sz w:val="24"/>
                <w:szCs w:val="24"/>
              </w:rPr>
              <w:t>本项目与《长江经济带发展负面清单指南(试</w:t>
            </w:r>
            <w:r>
              <w:rPr>
                <w:spacing w:val="-1"/>
                <w:sz w:val="24"/>
                <w:szCs w:val="24"/>
              </w:rPr>
              <w:t>行，2022年版)》的符</w:t>
            </w:r>
            <w:r>
              <w:rPr>
                <w:sz w:val="24"/>
                <w:szCs w:val="24"/>
              </w:rPr>
              <w:t xml:space="preserve"> 合性见表1-10。</w:t>
            </w:r>
          </w:p>
          <w:p w14:paraId="7A42DC48">
            <w:pPr>
              <w:pStyle w:val="6"/>
              <w:spacing w:before="1" w:line="210" w:lineRule="auto"/>
              <w:ind w:left="1434"/>
              <w:rPr>
                <w:sz w:val="24"/>
                <w:szCs w:val="24"/>
              </w:rPr>
            </w:pPr>
            <w:r>
              <w:rPr>
                <w:b/>
                <w:bCs/>
                <w:spacing w:val="-3"/>
                <w:sz w:val="24"/>
                <w:szCs w:val="24"/>
              </w:rPr>
              <w:t>表1-10</w:t>
            </w:r>
            <w:r>
              <w:rPr>
                <w:spacing w:val="-3"/>
                <w:sz w:val="24"/>
                <w:szCs w:val="24"/>
              </w:rPr>
              <w:t xml:space="preserve">   </w:t>
            </w:r>
            <w:r>
              <w:rPr>
                <w:b/>
                <w:bCs/>
                <w:spacing w:val="-3"/>
                <w:sz w:val="24"/>
                <w:szCs w:val="24"/>
              </w:rPr>
              <w:t>项目与长江经济带发展负面清单符合性</w:t>
            </w:r>
          </w:p>
        </w:tc>
      </w:tr>
      <w:tr w14:paraId="2B11C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1244" w:type="dxa"/>
            <w:vMerge w:val="continue"/>
            <w:tcBorders>
              <w:top w:val="nil"/>
            </w:tcBorders>
            <w:vAlign w:val="top"/>
          </w:tcPr>
          <w:p w14:paraId="7D396CAF">
            <w:pPr>
              <w:rPr>
                <w:rFonts w:ascii="Arial"/>
                <w:sz w:val="21"/>
              </w:rPr>
            </w:pPr>
          </w:p>
        </w:tc>
        <w:tc>
          <w:tcPr>
            <w:tcW w:w="4545" w:type="dxa"/>
            <w:vAlign w:val="top"/>
          </w:tcPr>
          <w:p w14:paraId="78F2A163">
            <w:pPr>
              <w:pStyle w:val="6"/>
              <w:spacing w:before="181" w:line="221" w:lineRule="auto"/>
              <w:ind w:left="1870"/>
              <w:rPr>
                <w:sz w:val="24"/>
                <w:szCs w:val="24"/>
              </w:rPr>
            </w:pPr>
            <w:r>
              <w:rPr>
                <w:spacing w:val="2"/>
                <w:sz w:val="24"/>
                <w:szCs w:val="24"/>
              </w:rPr>
              <w:t>具体要求</w:t>
            </w:r>
          </w:p>
        </w:tc>
        <w:tc>
          <w:tcPr>
            <w:tcW w:w="2487" w:type="dxa"/>
            <w:vAlign w:val="top"/>
          </w:tcPr>
          <w:p w14:paraId="1E845639">
            <w:pPr>
              <w:pStyle w:val="6"/>
              <w:spacing w:before="178" w:line="219" w:lineRule="auto"/>
              <w:ind w:left="935"/>
              <w:rPr>
                <w:sz w:val="24"/>
                <w:szCs w:val="24"/>
              </w:rPr>
            </w:pPr>
            <w:r>
              <w:rPr>
                <w:spacing w:val="15"/>
                <w:sz w:val="24"/>
                <w:szCs w:val="24"/>
              </w:rPr>
              <w:t>本项目</w:t>
            </w:r>
          </w:p>
        </w:tc>
        <w:tc>
          <w:tcPr>
            <w:tcW w:w="684" w:type="dxa"/>
            <w:vAlign w:val="top"/>
          </w:tcPr>
          <w:p w14:paraId="13BD69AE">
            <w:pPr>
              <w:pStyle w:val="6"/>
              <w:spacing w:before="180" w:line="219" w:lineRule="auto"/>
              <w:jc w:val="right"/>
              <w:rPr>
                <w:sz w:val="24"/>
                <w:szCs w:val="24"/>
              </w:rPr>
            </w:pPr>
            <w:r>
              <w:rPr>
                <w:spacing w:val="-22"/>
                <w:w w:val="97"/>
                <w:sz w:val="24"/>
                <w:szCs w:val="24"/>
              </w:rPr>
              <w:t>符合</w:t>
            </w:r>
            <w:r>
              <w:rPr>
                <w:spacing w:val="-10"/>
                <w:w w:val="97"/>
                <w:sz w:val="24"/>
                <w:szCs w:val="24"/>
              </w:rPr>
              <w:t>性</w:t>
            </w:r>
          </w:p>
        </w:tc>
      </w:tr>
    </w:tbl>
    <w:p w14:paraId="1EE7CA68">
      <w:pPr>
        <w:pStyle w:val="2"/>
      </w:pPr>
    </w:p>
    <w:p w14:paraId="50631EE0">
      <w:pPr>
        <w:sectPr>
          <w:footerReference r:id="rId36" w:type="default"/>
          <w:pgSz w:w="11910" w:h="16830"/>
          <w:pgMar w:top="400" w:right="1524" w:bottom="1245" w:left="1415" w:header="0" w:footer="1083" w:gutter="0"/>
          <w:cols w:space="720" w:num="1"/>
        </w:sectPr>
      </w:pPr>
    </w:p>
    <w:p w14:paraId="1763882C">
      <w:pPr>
        <w:spacing w:before="22"/>
      </w:pPr>
    </w:p>
    <w:p w14:paraId="0CA0CEEA">
      <w:pPr>
        <w:spacing w:before="22"/>
      </w:pPr>
    </w:p>
    <w:p w14:paraId="72FE2DE7">
      <w:pPr>
        <w:spacing w:before="21"/>
      </w:pPr>
    </w:p>
    <w:p w14:paraId="0618AC20">
      <w:pPr>
        <w:spacing w:before="21"/>
      </w:pPr>
    </w:p>
    <w:p w14:paraId="54E3F266">
      <w:pPr>
        <w:spacing w:before="21"/>
      </w:pPr>
    </w:p>
    <w:tbl>
      <w:tblPr>
        <w:tblStyle w:val="5"/>
        <w:tblW w:w="89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3"/>
        <w:gridCol w:w="4555"/>
        <w:gridCol w:w="2487"/>
        <w:gridCol w:w="638"/>
      </w:tblGrid>
      <w:tr w14:paraId="65CB3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53" w:type="dxa"/>
            <w:vMerge w:val="restart"/>
            <w:tcBorders>
              <w:bottom w:val="nil"/>
            </w:tcBorders>
            <w:vAlign w:val="top"/>
          </w:tcPr>
          <w:p w14:paraId="75492D09">
            <w:pPr>
              <w:rPr>
                <w:rFonts w:ascii="Arial"/>
                <w:sz w:val="21"/>
              </w:rPr>
            </w:pPr>
          </w:p>
        </w:tc>
        <w:tc>
          <w:tcPr>
            <w:tcW w:w="4555" w:type="dxa"/>
            <w:vAlign w:val="top"/>
          </w:tcPr>
          <w:p w14:paraId="3B47C788">
            <w:pPr>
              <w:pStyle w:val="6"/>
              <w:spacing w:before="52" w:line="219" w:lineRule="auto"/>
              <w:ind w:left="61"/>
              <w:rPr>
                <w:sz w:val="21"/>
                <w:szCs w:val="21"/>
              </w:rPr>
            </w:pPr>
            <w:r>
              <w:rPr>
                <w:sz w:val="21"/>
                <w:szCs w:val="21"/>
              </w:rPr>
              <w:t>1.禁止建设不符合全国和省级港口布局规划以及</w:t>
            </w:r>
          </w:p>
          <w:p w14:paraId="72B20456">
            <w:pPr>
              <w:pStyle w:val="6"/>
              <w:spacing w:before="22" w:line="219" w:lineRule="auto"/>
              <w:jc w:val="right"/>
              <w:rPr>
                <w:sz w:val="21"/>
                <w:szCs w:val="21"/>
              </w:rPr>
            </w:pPr>
            <w:r>
              <w:rPr>
                <w:spacing w:val="-4"/>
                <w:sz w:val="21"/>
                <w:szCs w:val="21"/>
              </w:rPr>
              <w:t>港口总体规划的码头项目，禁止建设不符合《长江</w:t>
            </w:r>
          </w:p>
          <w:p w14:paraId="06467E54">
            <w:pPr>
              <w:pStyle w:val="6"/>
              <w:spacing w:before="19" w:line="212" w:lineRule="auto"/>
              <w:ind w:left="221"/>
              <w:rPr>
                <w:sz w:val="21"/>
                <w:szCs w:val="21"/>
              </w:rPr>
            </w:pPr>
            <w:r>
              <w:rPr>
                <w:spacing w:val="-1"/>
                <w:sz w:val="21"/>
                <w:szCs w:val="21"/>
              </w:rPr>
              <w:t>干线过江通道布局规划》的过长江通道项目。</w:t>
            </w:r>
          </w:p>
        </w:tc>
        <w:tc>
          <w:tcPr>
            <w:tcW w:w="2487" w:type="dxa"/>
            <w:vAlign w:val="top"/>
          </w:tcPr>
          <w:p w14:paraId="77DC823B">
            <w:pPr>
              <w:pStyle w:val="6"/>
              <w:spacing w:before="172" w:line="250" w:lineRule="auto"/>
              <w:ind w:left="716" w:right="89" w:hanging="630"/>
              <w:rPr>
                <w:sz w:val="21"/>
                <w:szCs w:val="21"/>
              </w:rPr>
            </w:pPr>
            <w:r>
              <w:rPr>
                <w:spacing w:val="-1"/>
                <w:sz w:val="21"/>
                <w:szCs w:val="21"/>
              </w:rPr>
              <w:t>本项目不属于码头及过长</w:t>
            </w:r>
            <w:r>
              <w:rPr>
                <w:sz w:val="21"/>
                <w:szCs w:val="21"/>
              </w:rPr>
              <w:t xml:space="preserve"> </w:t>
            </w:r>
            <w:r>
              <w:rPr>
                <w:spacing w:val="8"/>
                <w:sz w:val="21"/>
                <w:szCs w:val="21"/>
              </w:rPr>
              <w:t>江通道项目</w:t>
            </w:r>
          </w:p>
        </w:tc>
        <w:tc>
          <w:tcPr>
            <w:tcW w:w="638" w:type="dxa"/>
            <w:vAlign w:val="top"/>
          </w:tcPr>
          <w:p w14:paraId="539739FB">
            <w:pPr>
              <w:spacing w:line="253" w:lineRule="auto"/>
              <w:rPr>
                <w:rFonts w:ascii="Arial"/>
                <w:sz w:val="21"/>
              </w:rPr>
            </w:pPr>
          </w:p>
          <w:p w14:paraId="01075C7B">
            <w:pPr>
              <w:pStyle w:val="6"/>
              <w:spacing w:before="69" w:line="219" w:lineRule="auto"/>
              <w:ind w:left="100"/>
              <w:rPr>
                <w:sz w:val="21"/>
                <w:szCs w:val="21"/>
              </w:rPr>
            </w:pPr>
            <w:r>
              <w:rPr>
                <w:spacing w:val="-3"/>
                <w:sz w:val="21"/>
                <w:szCs w:val="21"/>
              </w:rPr>
              <w:t>符合</w:t>
            </w:r>
          </w:p>
        </w:tc>
      </w:tr>
      <w:tr w14:paraId="1CA2D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1253" w:type="dxa"/>
            <w:vMerge w:val="continue"/>
            <w:tcBorders>
              <w:top w:val="nil"/>
              <w:bottom w:val="nil"/>
            </w:tcBorders>
            <w:vAlign w:val="top"/>
          </w:tcPr>
          <w:p w14:paraId="7BD41156">
            <w:pPr>
              <w:rPr>
                <w:rFonts w:ascii="Arial"/>
                <w:sz w:val="21"/>
              </w:rPr>
            </w:pPr>
          </w:p>
        </w:tc>
        <w:tc>
          <w:tcPr>
            <w:tcW w:w="4555" w:type="dxa"/>
            <w:vAlign w:val="top"/>
          </w:tcPr>
          <w:p w14:paraId="4E32A579">
            <w:pPr>
              <w:pStyle w:val="6"/>
              <w:spacing w:before="29" w:line="219" w:lineRule="auto"/>
              <w:jc w:val="right"/>
              <w:rPr>
                <w:sz w:val="21"/>
                <w:szCs w:val="21"/>
              </w:rPr>
            </w:pPr>
            <w:r>
              <w:rPr>
                <w:spacing w:val="-4"/>
                <w:sz w:val="21"/>
                <w:szCs w:val="21"/>
              </w:rPr>
              <w:t>2.禁止在自然保护区核心区、缓冲区的岸线和河段</w:t>
            </w:r>
          </w:p>
          <w:p w14:paraId="20BE74AA">
            <w:pPr>
              <w:pStyle w:val="6"/>
              <w:spacing w:before="40" w:line="219" w:lineRule="auto"/>
              <w:jc w:val="right"/>
              <w:rPr>
                <w:sz w:val="21"/>
                <w:szCs w:val="21"/>
              </w:rPr>
            </w:pPr>
            <w:r>
              <w:rPr>
                <w:spacing w:val="-4"/>
                <w:sz w:val="21"/>
                <w:szCs w:val="21"/>
              </w:rPr>
              <w:t>范围内投资建设旅游和生产经营项目。禁止在风景</w:t>
            </w:r>
          </w:p>
          <w:p w14:paraId="1B4730E0">
            <w:pPr>
              <w:pStyle w:val="6"/>
              <w:spacing w:before="30" w:line="219" w:lineRule="auto"/>
              <w:ind w:left="61"/>
              <w:rPr>
                <w:sz w:val="21"/>
                <w:szCs w:val="21"/>
              </w:rPr>
            </w:pPr>
            <w:r>
              <w:rPr>
                <w:sz w:val="21"/>
                <w:szCs w:val="21"/>
              </w:rPr>
              <w:t>名胜区核心景区的岸线和河段范围内投资建设与</w:t>
            </w:r>
          </w:p>
          <w:p w14:paraId="73EAA93B">
            <w:pPr>
              <w:pStyle w:val="6"/>
              <w:spacing w:before="10" w:line="202" w:lineRule="auto"/>
              <w:ind w:left="851"/>
              <w:rPr>
                <w:sz w:val="21"/>
                <w:szCs w:val="21"/>
              </w:rPr>
            </w:pPr>
            <w:r>
              <w:rPr>
                <w:spacing w:val="-1"/>
                <w:sz w:val="21"/>
                <w:szCs w:val="21"/>
              </w:rPr>
              <w:t>风景名胜资源保护无关的项目。</w:t>
            </w:r>
          </w:p>
        </w:tc>
        <w:tc>
          <w:tcPr>
            <w:tcW w:w="2487" w:type="dxa"/>
            <w:vAlign w:val="top"/>
          </w:tcPr>
          <w:p w14:paraId="715DBB16">
            <w:pPr>
              <w:spacing w:line="248" w:lineRule="auto"/>
              <w:rPr>
                <w:rFonts w:ascii="Arial"/>
                <w:sz w:val="21"/>
              </w:rPr>
            </w:pPr>
          </w:p>
          <w:p w14:paraId="085D3B54">
            <w:pPr>
              <w:pStyle w:val="6"/>
              <w:spacing w:before="68" w:line="249" w:lineRule="auto"/>
              <w:ind w:left="605" w:right="62" w:hanging="519"/>
              <w:rPr>
                <w:sz w:val="21"/>
                <w:szCs w:val="21"/>
              </w:rPr>
            </w:pPr>
            <w:r>
              <w:rPr>
                <w:spacing w:val="1"/>
                <w:sz w:val="21"/>
                <w:szCs w:val="21"/>
              </w:rPr>
              <w:t>本项目不涉及自然保护区</w:t>
            </w:r>
            <w:r>
              <w:rPr>
                <w:spacing w:val="5"/>
                <w:sz w:val="21"/>
                <w:szCs w:val="21"/>
              </w:rPr>
              <w:t xml:space="preserve"> </w:t>
            </w:r>
            <w:r>
              <w:rPr>
                <w:spacing w:val="3"/>
                <w:sz w:val="21"/>
                <w:szCs w:val="21"/>
              </w:rPr>
              <w:t>及风景名胜区</w:t>
            </w:r>
          </w:p>
        </w:tc>
        <w:tc>
          <w:tcPr>
            <w:tcW w:w="638" w:type="dxa"/>
            <w:vAlign w:val="top"/>
          </w:tcPr>
          <w:p w14:paraId="677AD827">
            <w:pPr>
              <w:spacing w:line="379" w:lineRule="auto"/>
              <w:rPr>
                <w:rFonts w:ascii="Arial"/>
                <w:sz w:val="21"/>
              </w:rPr>
            </w:pPr>
          </w:p>
          <w:p w14:paraId="4EC7516B">
            <w:pPr>
              <w:pStyle w:val="6"/>
              <w:spacing w:before="68" w:line="219" w:lineRule="auto"/>
              <w:ind w:left="100"/>
              <w:rPr>
                <w:sz w:val="21"/>
                <w:szCs w:val="21"/>
              </w:rPr>
            </w:pPr>
            <w:r>
              <w:rPr>
                <w:spacing w:val="-3"/>
                <w:sz w:val="21"/>
                <w:szCs w:val="21"/>
              </w:rPr>
              <w:t>符合</w:t>
            </w:r>
          </w:p>
        </w:tc>
      </w:tr>
      <w:tr w14:paraId="4F2AC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1253" w:type="dxa"/>
            <w:vMerge w:val="continue"/>
            <w:tcBorders>
              <w:top w:val="nil"/>
              <w:bottom w:val="nil"/>
            </w:tcBorders>
            <w:vAlign w:val="top"/>
          </w:tcPr>
          <w:p w14:paraId="17DC30EB">
            <w:pPr>
              <w:rPr>
                <w:rFonts w:ascii="Arial"/>
                <w:sz w:val="21"/>
              </w:rPr>
            </w:pPr>
          </w:p>
        </w:tc>
        <w:tc>
          <w:tcPr>
            <w:tcW w:w="4555" w:type="dxa"/>
            <w:vAlign w:val="top"/>
          </w:tcPr>
          <w:p w14:paraId="0C1731A3">
            <w:pPr>
              <w:pStyle w:val="6"/>
              <w:spacing w:before="170" w:line="219" w:lineRule="auto"/>
              <w:ind w:left="61"/>
              <w:rPr>
                <w:sz w:val="21"/>
                <w:szCs w:val="21"/>
              </w:rPr>
            </w:pPr>
            <w:r>
              <w:rPr>
                <w:sz w:val="21"/>
                <w:szCs w:val="21"/>
              </w:rPr>
              <w:t>3.禁止在饮用水水源一级保护区的岸线和河段范</w:t>
            </w:r>
          </w:p>
          <w:p w14:paraId="2188AC36">
            <w:pPr>
              <w:pStyle w:val="6"/>
              <w:spacing w:before="19" w:line="219" w:lineRule="auto"/>
              <w:jc w:val="right"/>
              <w:rPr>
                <w:sz w:val="21"/>
                <w:szCs w:val="21"/>
              </w:rPr>
            </w:pPr>
            <w:r>
              <w:rPr>
                <w:spacing w:val="-4"/>
                <w:sz w:val="21"/>
                <w:szCs w:val="21"/>
              </w:rPr>
              <w:t>围内新建、改建、扩建与供水设施和保护水源无关</w:t>
            </w:r>
          </w:p>
          <w:p w14:paraId="59FE9F34">
            <w:pPr>
              <w:pStyle w:val="6"/>
              <w:spacing w:before="32" w:line="219" w:lineRule="auto"/>
              <w:jc w:val="right"/>
              <w:rPr>
                <w:sz w:val="21"/>
                <w:szCs w:val="21"/>
              </w:rPr>
            </w:pPr>
            <w:r>
              <w:rPr>
                <w:spacing w:val="-4"/>
                <w:sz w:val="21"/>
                <w:szCs w:val="21"/>
              </w:rPr>
              <w:t>的项目，以及网箱养殖、畜禽养殖、旅游等可能污</w:t>
            </w:r>
          </w:p>
          <w:p w14:paraId="1030486C">
            <w:pPr>
              <w:pStyle w:val="6"/>
              <w:spacing w:before="20" w:line="219" w:lineRule="auto"/>
              <w:jc w:val="right"/>
              <w:rPr>
                <w:sz w:val="21"/>
                <w:szCs w:val="21"/>
              </w:rPr>
            </w:pPr>
            <w:r>
              <w:rPr>
                <w:spacing w:val="-4"/>
                <w:sz w:val="21"/>
                <w:szCs w:val="21"/>
              </w:rPr>
              <w:t>染饮用水水体的投资建设项目。禁止在饮用水水源</w:t>
            </w:r>
          </w:p>
          <w:p w14:paraId="5908DC76">
            <w:pPr>
              <w:pStyle w:val="6"/>
              <w:spacing w:before="21" w:line="219" w:lineRule="auto"/>
              <w:jc w:val="right"/>
              <w:rPr>
                <w:sz w:val="21"/>
                <w:szCs w:val="21"/>
              </w:rPr>
            </w:pPr>
            <w:r>
              <w:rPr>
                <w:spacing w:val="-13"/>
                <w:sz w:val="21"/>
                <w:szCs w:val="21"/>
              </w:rPr>
              <w:t>二级保护区的岸线和河段范围内新建、改建、扩建、</w:t>
            </w:r>
          </w:p>
          <w:p w14:paraId="377DB0B7">
            <w:pPr>
              <w:pStyle w:val="6"/>
              <w:spacing w:before="21" w:line="220" w:lineRule="auto"/>
              <w:ind w:left="952"/>
              <w:rPr>
                <w:sz w:val="21"/>
                <w:szCs w:val="21"/>
              </w:rPr>
            </w:pPr>
            <w:r>
              <w:rPr>
                <w:sz w:val="21"/>
                <w:szCs w:val="21"/>
              </w:rPr>
              <w:t>排放污染物的投资建设项目。</w:t>
            </w:r>
          </w:p>
        </w:tc>
        <w:tc>
          <w:tcPr>
            <w:tcW w:w="2487" w:type="dxa"/>
            <w:vAlign w:val="top"/>
          </w:tcPr>
          <w:p w14:paraId="0DB0CC9A">
            <w:pPr>
              <w:pStyle w:val="6"/>
              <w:spacing w:before="59" w:line="219" w:lineRule="auto"/>
              <w:ind w:left="86"/>
              <w:rPr>
                <w:sz w:val="21"/>
                <w:szCs w:val="21"/>
              </w:rPr>
            </w:pPr>
            <w:r>
              <w:rPr>
                <w:sz w:val="21"/>
                <w:szCs w:val="21"/>
              </w:rPr>
              <w:t>项目光伏区占地不涉及饮</w:t>
            </w:r>
          </w:p>
          <w:p w14:paraId="4D79210A">
            <w:pPr>
              <w:pStyle w:val="6"/>
              <w:spacing w:before="22" w:line="219" w:lineRule="auto"/>
              <w:ind w:left="187"/>
              <w:rPr>
                <w:sz w:val="21"/>
                <w:szCs w:val="21"/>
              </w:rPr>
            </w:pPr>
            <w:r>
              <w:rPr>
                <w:spacing w:val="4"/>
                <w:sz w:val="21"/>
                <w:szCs w:val="21"/>
              </w:rPr>
              <w:t>用水水源保护区。项目</w:t>
            </w:r>
          </w:p>
          <w:p w14:paraId="2D8490F1">
            <w:pPr>
              <w:pStyle w:val="6"/>
              <w:spacing w:before="21" w:line="219" w:lineRule="auto"/>
              <w:ind w:left="16"/>
              <w:rPr>
                <w:sz w:val="21"/>
                <w:szCs w:val="21"/>
              </w:rPr>
            </w:pPr>
            <w:r>
              <w:rPr>
                <w:spacing w:val="-1"/>
                <w:sz w:val="21"/>
                <w:szCs w:val="21"/>
              </w:rPr>
              <w:t>35kV集电线路12个塔基，</w:t>
            </w:r>
          </w:p>
          <w:p w14:paraId="71D72C8B">
            <w:pPr>
              <w:pStyle w:val="6"/>
              <w:spacing w:before="10" w:line="219" w:lineRule="auto"/>
              <w:ind w:left="136"/>
              <w:rPr>
                <w:sz w:val="21"/>
                <w:szCs w:val="21"/>
              </w:rPr>
            </w:pPr>
            <w:r>
              <w:rPr>
                <w:sz w:val="21"/>
                <w:szCs w:val="21"/>
              </w:rPr>
              <w:t>架空线路长度为3105m穿</w:t>
            </w:r>
          </w:p>
          <w:p w14:paraId="03501E19">
            <w:pPr>
              <w:pStyle w:val="6"/>
              <w:spacing w:before="21" w:line="219" w:lineRule="auto"/>
              <w:ind w:left="86"/>
              <w:rPr>
                <w:sz w:val="21"/>
                <w:szCs w:val="21"/>
              </w:rPr>
            </w:pPr>
            <w:r>
              <w:rPr>
                <w:spacing w:val="-1"/>
                <w:sz w:val="21"/>
                <w:szCs w:val="21"/>
              </w:rPr>
              <w:t>越大莫古集镇饮用水水源</w:t>
            </w:r>
          </w:p>
          <w:p w14:paraId="7240854B">
            <w:pPr>
              <w:pStyle w:val="6"/>
              <w:spacing w:before="40" w:line="210" w:lineRule="auto"/>
              <w:jc w:val="right"/>
              <w:rPr>
                <w:sz w:val="21"/>
                <w:szCs w:val="21"/>
              </w:rPr>
            </w:pPr>
            <w:r>
              <w:rPr>
                <w:spacing w:val="-5"/>
                <w:sz w:val="21"/>
                <w:szCs w:val="21"/>
              </w:rPr>
              <w:t>准保护区，已经取得陆良县</w:t>
            </w:r>
          </w:p>
          <w:p w14:paraId="19BC238D">
            <w:pPr>
              <w:pStyle w:val="6"/>
              <w:spacing w:before="1" w:line="200" w:lineRule="auto"/>
              <w:ind w:left="447"/>
              <w:rPr>
                <w:sz w:val="21"/>
                <w:szCs w:val="21"/>
              </w:rPr>
            </w:pPr>
            <w:r>
              <w:rPr>
                <w:sz w:val="21"/>
                <w:szCs w:val="21"/>
              </w:rPr>
              <w:t>人民政府的同意。</w:t>
            </w:r>
          </w:p>
        </w:tc>
        <w:tc>
          <w:tcPr>
            <w:tcW w:w="638" w:type="dxa"/>
            <w:vAlign w:val="top"/>
          </w:tcPr>
          <w:p w14:paraId="65B21D99">
            <w:pPr>
              <w:spacing w:line="259" w:lineRule="auto"/>
              <w:rPr>
                <w:rFonts w:ascii="Arial"/>
                <w:sz w:val="21"/>
              </w:rPr>
            </w:pPr>
          </w:p>
          <w:p w14:paraId="043FEC26">
            <w:pPr>
              <w:spacing w:line="259" w:lineRule="auto"/>
              <w:rPr>
                <w:rFonts w:ascii="Arial"/>
                <w:sz w:val="21"/>
              </w:rPr>
            </w:pPr>
          </w:p>
          <w:p w14:paraId="10CE6DB2">
            <w:pPr>
              <w:spacing w:line="259" w:lineRule="auto"/>
              <w:rPr>
                <w:rFonts w:ascii="Arial"/>
                <w:sz w:val="21"/>
              </w:rPr>
            </w:pPr>
          </w:p>
          <w:p w14:paraId="0A74F48C">
            <w:pPr>
              <w:pStyle w:val="6"/>
              <w:spacing w:before="68" w:line="219" w:lineRule="auto"/>
              <w:ind w:left="100"/>
              <w:rPr>
                <w:sz w:val="21"/>
                <w:szCs w:val="21"/>
              </w:rPr>
            </w:pPr>
            <w:r>
              <w:rPr>
                <w:spacing w:val="-3"/>
                <w:sz w:val="21"/>
                <w:szCs w:val="21"/>
              </w:rPr>
              <w:t>符合</w:t>
            </w:r>
          </w:p>
        </w:tc>
      </w:tr>
      <w:tr w14:paraId="0DA12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253" w:type="dxa"/>
            <w:vMerge w:val="continue"/>
            <w:tcBorders>
              <w:top w:val="nil"/>
              <w:bottom w:val="nil"/>
            </w:tcBorders>
            <w:vAlign w:val="top"/>
          </w:tcPr>
          <w:p w14:paraId="6F87C694">
            <w:pPr>
              <w:rPr>
                <w:rFonts w:ascii="Arial"/>
                <w:sz w:val="21"/>
              </w:rPr>
            </w:pPr>
          </w:p>
        </w:tc>
        <w:tc>
          <w:tcPr>
            <w:tcW w:w="4555" w:type="dxa"/>
            <w:vAlign w:val="top"/>
          </w:tcPr>
          <w:p w14:paraId="73972F81">
            <w:pPr>
              <w:pStyle w:val="6"/>
              <w:spacing w:before="62" w:line="219" w:lineRule="auto"/>
              <w:ind w:left="61"/>
              <w:rPr>
                <w:sz w:val="21"/>
                <w:szCs w:val="21"/>
              </w:rPr>
            </w:pPr>
            <w:r>
              <w:rPr>
                <w:sz w:val="21"/>
                <w:szCs w:val="21"/>
              </w:rPr>
              <w:t>4.禁止在水产种质资源保护区的岸线和河段范围</w:t>
            </w:r>
          </w:p>
          <w:p w14:paraId="7EC4431C">
            <w:pPr>
              <w:pStyle w:val="6"/>
              <w:spacing w:before="20" w:line="219" w:lineRule="auto"/>
              <w:jc w:val="right"/>
              <w:rPr>
                <w:sz w:val="21"/>
                <w:szCs w:val="21"/>
              </w:rPr>
            </w:pPr>
            <w:r>
              <w:rPr>
                <w:spacing w:val="-4"/>
                <w:sz w:val="21"/>
                <w:szCs w:val="21"/>
              </w:rPr>
              <w:t>内新建围湖造田、围海造地或围填海等投资建设项</w:t>
            </w:r>
          </w:p>
          <w:p w14:paraId="4F7CE256">
            <w:pPr>
              <w:pStyle w:val="6"/>
              <w:spacing w:before="10" w:line="219" w:lineRule="auto"/>
              <w:ind w:left="61"/>
              <w:rPr>
                <w:sz w:val="21"/>
                <w:szCs w:val="21"/>
              </w:rPr>
            </w:pPr>
            <w:r>
              <w:rPr>
                <w:sz w:val="21"/>
                <w:szCs w:val="21"/>
              </w:rPr>
              <w:t>目。禁止在国家湿地公园的岸线和河段范围内挖</w:t>
            </w:r>
          </w:p>
          <w:p w14:paraId="28C96E2D">
            <w:pPr>
              <w:pStyle w:val="6"/>
              <w:spacing w:before="19" w:line="219" w:lineRule="auto"/>
              <w:jc w:val="right"/>
              <w:rPr>
                <w:sz w:val="21"/>
                <w:szCs w:val="21"/>
              </w:rPr>
            </w:pPr>
            <w:r>
              <w:rPr>
                <w:spacing w:val="-4"/>
                <w:sz w:val="21"/>
                <w:szCs w:val="21"/>
              </w:rPr>
              <w:t>沙、采矿，以及任何不符合主体功能定位的投资建</w:t>
            </w:r>
          </w:p>
          <w:p w14:paraId="7DD19F16">
            <w:pPr>
              <w:pStyle w:val="6"/>
              <w:spacing w:before="34" w:line="198" w:lineRule="auto"/>
              <w:ind w:left="1901"/>
              <w:rPr>
                <w:sz w:val="21"/>
                <w:szCs w:val="21"/>
              </w:rPr>
            </w:pPr>
            <w:r>
              <w:rPr>
                <w:spacing w:val="-1"/>
                <w:sz w:val="21"/>
                <w:szCs w:val="21"/>
              </w:rPr>
              <w:t>设项目。</w:t>
            </w:r>
          </w:p>
        </w:tc>
        <w:tc>
          <w:tcPr>
            <w:tcW w:w="2487" w:type="dxa"/>
            <w:vAlign w:val="top"/>
          </w:tcPr>
          <w:p w14:paraId="685A2958">
            <w:pPr>
              <w:spacing w:line="390" w:lineRule="auto"/>
              <w:rPr>
                <w:rFonts w:ascii="Arial"/>
                <w:sz w:val="21"/>
              </w:rPr>
            </w:pPr>
          </w:p>
          <w:p w14:paraId="3BDE1316">
            <w:pPr>
              <w:pStyle w:val="6"/>
              <w:spacing w:before="69" w:line="241" w:lineRule="auto"/>
              <w:ind w:left="186" w:right="70" w:hanging="100"/>
              <w:rPr>
                <w:sz w:val="21"/>
                <w:szCs w:val="21"/>
              </w:rPr>
            </w:pPr>
            <w:r>
              <w:rPr>
                <w:sz w:val="21"/>
                <w:szCs w:val="21"/>
              </w:rPr>
              <w:t>项目不涉及水产种质资源</w:t>
            </w:r>
            <w:r>
              <w:rPr>
                <w:spacing w:val="8"/>
                <w:sz w:val="21"/>
                <w:szCs w:val="21"/>
              </w:rPr>
              <w:t xml:space="preserve"> </w:t>
            </w:r>
            <w:r>
              <w:rPr>
                <w:spacing w:val="1"/>
                <w:sz w:val="21"/>
                <w:szCs w:val="21"/>
              </w:rPr>
              <w:t>保护区及国家湿地公园</w:t>
            </w:r>
          </w:p>
        </w:tc>
        <w:tc>
          <w:tcPr>
            <w:tcW w:w="638" w:type="dxa"/>
            <w:vAlign w:val="top"/>
          </w:tcPr>
          <w:p w14:paraId="7027DA76">
            <w:pPr>
              <w:spacing w:line="260" w:lineRule="auto"/>
              <w:rPr>
                <w:rFonts w:ascii="Arial"/>
                <w:sz w:val="21"/>
              </w:rPr>
            </w:pPr>
          </w:p>
          <w:p w14:paraId="2E13ACE8">
            <w:pPr>
              <w:spacing w:line="261" w:lineRule="auto"/>
              <w:rPr>
                <w:rFonts w:ascii="Arial"/>
                <w:sz w:val="21"/>
              </w:rPr>
            </w:pPr>
          </w:p>
          <w:p w14:paraId="5FAF63C3">
            <w:pPr>
              <w:pStyle w:val="6"/>
              <w:spacing w:before="68" w:line="219" w:lineRule="auto"/>
              <w:ind w:left="100"/>
              <w:rPr>
                <w:sz w:val="21"/>
                <w:szCs w:val="21"/>
              </w:rPr>
            </w:pPr>
            <w:r>
              <w:rPr>
                <w:spacing w:val="-3"/>
                <w:sz w:val="21"/>
                <w:szCs w:val="21"/>
              </w:rPr>
              <w:t>符合</w:t>
            </w:r>
          </w:p>
        </w:tc>
      </w:tr>
      <w:tr w14:paraId="7ACA4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trPr>
        <w:tc>
          <w:tcPr>
            <w:tcW w:w="1253" w:type="dxa"/>
            <w:vMerge w:val="continue"/>
            <w:tcBorders>
              <w:top w:val="nil"/>
              <w:bottom w:val="nil"/>
            </w:tcBorders>
            <w:vAlign w:val="top"/>
          </w:tcPr>
          <w:p w14:paraId="33814278">
            <w:pPr>
              <w:rPr>
                <w:rFonts w:ascii="Arial"/>
                <w:sz w:val="21"/>
              </w:rPr>
            </w:pPr>
          </w:p>
        </w:tc>
        <w:tc>
          <w:tcPr>
            <w:tcW w:w="4555" w:type="dxa"/>
            <w:vAlign w:val="top"/>
          </w:tcPr>
          <w:p w14:paraId="48609953">
            <w:pPr>
              <w:pStyle w:val="6"/>
              <w:spacing w:before="43" w:line="219" w:lineRule="auto"/>
              <w:jc w:val="right"/>
              <w:rPr>
                <w:sz w:val="21"/>
                <w:szCs w:val="21"/>
              </w:rPr>
            </w:pPr>
            <w:r>
              <w:rPr>
                <w:spacing w:val="-4"/>
                <w:sz w:val="21"/>
                <w:szCs w:val="21"/>
              </w:rPr>
              <w:t>5.禁止违法利用、占用长江流域河湖岸线。禁止在</w:t>
            </w:r>
          </w:p>
          <w:p w14:paraId="6A8561C7">
            <w:pPr>
              <w:pStyle w:val="6"/>
              <w:spacing w:before="21" w:line="220" w:lineRule="auto"/>
              <w:rPr>
                <w:sz w:val="21"/>
                <w:szCs w:val="21"/>
              </w:rPr>
            </w:pPr>
            <w:r>
              <w:rPr>
                <w:spacing w:val="-5"/>
                <w:sz w:val="21"/>
                <w:szCs w:val="21"/>
              </w:rPr>
              <w:t>《长江岸线保护和开发利用总体规划》划定</w:t>
            </w:r>
            <w:r>
              <w:rPr>
                <w:spacing w:val="-6"/>
                <w:sz w:val="21"/>
                <w:szCs w:val="21"/>
              </w:rPr>
              <w:t>的岸线</w:t>
            </w:r>
          </w:p>
          <w:p w14:paraId="37B2527B">
            <w:pPr>
              <w:pStyle w:val="6"/>
              <w:spacing w:before="19" w:line="219" w:lineRule="auto"/>
              <w:ind w:left="61"/>
              <w:rPr>
                <w:sz w:val="21"/>
                <w:szCs w:val="21"/>
              </w:rPr>
            </w:pPr>
            <w:r>
              <w:rPr>
                <w:sz w:val="21"/>
                <w:szCs w:val="21"/>
              </w:rPr>
              <w:t>保护区和保留区内投资建设除事关公共安全及公</w:t>
            </w:r>
          </w:p>
          <w:p w14:paraId="4768C5B9">
            <w:pPr>
              <w:pStyle w:val="6"/>
              <w:spacing w:before="19" w:line="219" w:lineRule="auto"/>
              <w:jc w:val="right"/>
              <w:rPr>
                <w:sz w:val="21"/>
                <w:szCs w:val="21"/>
              </w:rPr>
            </w:pPr>
            <w:r>
              <w:rPr>
                <w:spacing w:val="-4"/>
                <w:sz w:val="21"/>
                <w:szCs w:val="21"/>
              </w:rPr>
              <w:t>众利益的防洪护岸、河道治理、供水、生态环境保</w:t>
            </w:r>
          </w:p>
          <w:p w14:paraId="14E61BBC">
            <w:pPr>
              <w:pStyle w:val="6"/>
              <w:spacing w:before="22" w:line="219" w:lineRule="auto"/>
              <w:jc w:val="right"/>
              <w:rPr>
                <w:sz w:val="21"/>
                <w:szCs w:val="21"/>
              </w:rPr>
            </w:pPr>
            <w:r>
              <w:rPr>
                <w:spacing w:val="-4"/>
                <w:sz w:val="21"/>
                <w:szCs w:val="21"/>
              </w:rPr>
              <w:t>护、航道整治、国家重要基础设施以外的项目。禁</w:t>
            </w:r>
          </w:p>
          <w:p w14:paraId="6BA5D157">
            <w:pPr>
              <w:pStyle w:val="6"/>
              <w:spacing w:before="20" w:line="219" w:lineRule="auto"/>
              <w:jc w:val="right"/>
              <w:rPr>
                <w:sz w:val="21"/>
                <w:szCs w:val="21"/>
              </w:rPr>
            </w:pPr>
            <w:r>
              <w:rPr>
                <w:spacing w:val="-4"/>
                <w:sz w:val="21"/>
                <w:szCs w:val="21"/>
              </w:rPr>
              <w:t>止在《全国重要江河湖泊水功能区划》划定的河段</w:t>
            </w:r>
          </w:p>
          <w:p w14:paraId="4EA5F730">
            <w:pPr>
              <w:pStyle w:val="6"/>
              <w:spacing w:before="31" w:line="219" w:lineRule="auto"/>
              <w:jc w:val="right"/>
              <w:rPr>
                <w:sz w:val="21"/>
                <w:szCs w:val="21"/>
              </w:rPr>
            </w:pPr>
            <w:r>
              <w:rPr>
                <w:spacing w:val="-4"/>
                <w:sz w:val="21"/>
                <w:szCs w:val="21"/>
              </w:rPr>
              <w:t>及湖泊保护区、保留区内投资建设不利于水资源及</w:t>
            </w:r>
          </w:p>
          <w:p w14:paraId="58DB8EEF">
            <w:pPr>
              <w:pStyle w:val="6"/>
              <w:spacing w:before="11" w:line="197" w:lineRule="auto"/>
              <w:ind w:left="1271"/>
              <w:rPr>
                <w:sz w:val="21"/>
                <w:szCs w:val="21"/>
              </w:rPr>
            </w:pPr>
            <w:r>
              <w:rPr>
                <w:spacing w:val="-1"/>
                <w:sz w:val="21"/>
                <w:szCs w:val="21"/>
              </w:rPr>
              <w:t>自然生态保护的项目。</w:t>
            </w:r>
          </w:p>
        </w:tc>
        <w:tc>
          <w:tcPr>
            <w:tcW w:w="2487" w:type="dxa"/>
            <w:vAlign w:val="top"/>
          </w:tcPr>
          <w:p w14:paraId="19664559">
            <w:pPr>
              <w:spacing w:line="244" w:lineRule="auto"/>
              <w:rPr>
                <w:rFonts w:ascii="Arial"/>
                <w:sz w:val="21"/>
              </w:rPr>
            </w:pPr>
          </w:p>
          <w:p w14:paraId="778490EE">
            <w:pPr>
              <w:pStyle w:val="6"/>
              <w:spacing w:before="68" w:line="220" w:lineRule="auto"/>
              <w:jc w:val="right"/>
              <w:rPr>
                <w:sz w:val="21"/>
                <w:szCs w:val="21"/>
              </w:rPr>
            </w:pPr>
            <w:r>
              <w:rPr>
                <w:spacing w:val="-5"/>
                <w:sz w:val="21"/>
                <w:szCs w:val="21"/>
              </w:rPr>
              <w:t>项目不在《长江岸线保护和</w:t>
            </w:r>
          </w:p>
          <w:p w14:paraId="43641AAA">
            <w:pPr>
              <w:pStyle w:val="6"/>
              <w:spacing w:before="19" w:line="220" w:lineRule="auto"/>
              <w:jc w:val="right"/>
              <w:rPr>
                <w:sz w:val="21"/>
                <w:szCs w:val="21"/>
              </w:rPr>
            </w:pPr>
            <w:r>
              <w:rPr>
                <w:spacing w:val="-5"/>
                <w:sz w:val="21"/>
                <w:szCs w:val="21"/>
              </w:rPr>
              <w:t>开发利用总体规划》划定的</w:t>
            </w:r>
          </w:p>
          <w:p w14:paraId="2C4CB9C0">
            <w:pPr>
              <w:pStyle w:val="6"/>
              <w:spacing w:before="19" w:line="219" w:lineRule="auto"/>
              <w:jc w:val="right"/>
              <w:rPr>
                <w:sz w:val="21"/>
                <w:szCs w:val="21"/>
              </w:rPr>
            </w:pPr>
            <w:r>
              <w:rPr>
                <w:spacing w:val="-5"/>
                <w:sz w:val="21"/>
                <w:szCs w:val="21"/>
              </w:rPr>
              <w:t>岸线保护区和保留区内，不</w:t>
            </w:r>
          </w:p>
          <w:p w14:paraId="21A1BE81">
            <w:pPr>
              <w:pStyle w:val="6"/>
              <w:spacing w:before="20" w:line="219" w:lineRule="auto"/>
              <w:jc w:val="right"/>
              <w:rPr>
                <w:sz w:val="21"/>
                <w:szCs w:val="21"/>
              </w:rPr>
            </w:pPr>
            <w:r>
              <w:rPr>
                <w:spacing w:val="-5"/>
                <w:sz w:val="21"/>
                <w:szCs w:val="21"/>
              </w:rPr>
              <w:t>在《全国重要江河湖泊水功</w:t>
            </w:r>
          </w:p>
          <w:p w14:paraId="5CE2D463">
            <w:pPr>
              <w:pStyle w:val="6"/>
              <w:spacing w:before="21" w:line="220" w:lineRule="auto"/>
              <w:ind w:left="86"/>
              <w:rPr>
                <w:sz w:val="21"/>
                <w:szCs w:val="21"/>
              </w:rPr>
            </w:pPr>
            <w:r>
              <w:rPr>
                <w:spacing w:val="1"/>
                <w:sz w:val="21"/>
                <w:szCs w:val="21"/>
              </w:rPr>
              <w:t>能区划》划定的河段保护</w:t>
            </w:r>
          </w:p>
          <w:p w14:paraId="5CE8BE56">
            <w:pPr>
              <w:pStyle w:val="6"/>
              <w:spacing w:before="30" w:line="219" w:lineRule="auto"/>
              <w:ind w:left="556"/>
              <w:rPr>
                <w:sz w:val="21"/>
                <w:szCs w:val="21"/>
              </w:rPr>
            </w:pPr>
            <w:r>
              <w:rPr>
                <w:spacing w:val="-1"/>
                <w:sz w:val="21"/>
                <w:szCs w:val="21"/>
              </w:rPr>
              <w:t>区、保留区内。</w:t>
            </w:r>
          </w:p>
        </w:tc>
        <w:tc>
          <w:tcPr>
            <w:tcW w:w="638" w:type="dxa"/>
            <w:vAlign w:val="top"/>
          </w:tcPr>
          <w:p w14:paraId="6E36942B">
            <w:pPr>
              <w:spacing w:line="303" w:lineRule="auto"/>
              <w:rPr>
                <w:rFonts w:ascii="Arial"/>
                <w:sz w:val="21"/>
              </w:rPr>
            </w:pPr>
          </w:p>
          <w:p w14:paraId="790695E4">
            <w:pPr>
              <w:spacing w:line="303" w:lineRule="auto"/>
              <w:rPr>
                <w:rFonts w:ascii="Arial"/>
                <w:sz w:val="21"/>
              </w:rPr>
            </w:pPr>
          </w:p>
          <w:p w14:paraId="3A26384B">
            <w:pPr>
              <w:spacing w:line="303" w:lineRule="auto"/>
              <w:rPr>
                <w:rFonts w:ascii="Arial"/>
                <w:sz w:val="21"/>
              </w:rPr>
            </w:pPr>
          </w:p>
          <w:p w14:paraId="290C86F3">
            <w:pPr>
              <w:pStyle w:val="6"/>
              <w:spacing w:before="69" w:line="219" w:lineRule="auto"/>
              <w:ind w:left="100"/>
              <w:rPr>
                <w:sz w:val="21"/>
                <w:szCs w:val="21"/>
              </w:rPr>
            </w:pPr>
            <w:r>
              <w:rPr>
                <w:spacing w:val="-3"/>
                <w:sz w:val="21"/>
                <w:szCs w:val="21"/>
              </w:rPr>
              <w:t>符合</w:t>
            </w:r>
          </w:p>
        </w:tc>
      </w:tr>
      <w:tr w14:paraId="2CED4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253" w:type="dxa"/>
            <w:vMerge w:val="continue"/>
            <w:tcBorders>
              <w:top w:val="nil"/>
              <w:bottom w:val="nil"/>
            </w:tcBorders>
            <w:vAlign w:val="top"/>
          </w:tcPr>
          <w:p w14:paraId="49FC8E1B">
            <w:pPr>
              <w:rPr>
                <w:rFonts w:ascii="Arial"/>
                <w:sz w:val="21"/>
              </w:rPr>
            </w:pPr>
          </w:p>
        </w:tc>
        <w:tc>
          <w:tcPr>
            <w:tcW w:w="4555" w:type="dxa"/>
            <w:vAlign w:val="top"/>
          </w:tcPr>
          <w:p w14:paraId="1B8F623F">
            <w:pPr>
              <w:pStyle w:val="6"/>
              <w:spacing w:before="194" w:line="219" w:lineRule="auto"/>
              <w:jc w:val="right"/>
              <w:rPr>
                <w:sz w:val="21"/>
                <w:szCs w:val="21"/>
              </w:rPr>
            </w:pPr>
            <w:r>
              <w:rPr>
                <w:spacing w:val="-4"/>
                <w:sz w:val="21"/>
                <w:szCs w:val="21"/>
              </w:rPr>
              <w:t>6.禁止未经许可在长江干支流及湖泊新设、改设或</w:t>
            </w:r>
          </w:p>
          <w:p w14:paraId="244961A5">
            <w:pPr>
              <w:pStyle w:val="6"/>
              <w:spacing w:before="12" w:line="220" w:lineRule="auto"/>
              <w:ind w:left="1691"/>
              <w:rPr>
                <w:sz w:val="21"/>
                <w:szCs w:val="21"/>
              </w:rPr>
            </w:pPr>
            <w:r>
              <w:rPr>
                <w:spacing w:val="-1"/>
                <w:sz w:val="21"/>
                <w:szCs w:val="21"/>
              </w:rPr>
              <w:t>扩大排污口。</w:t>
            </w:r>
          </w:p>
        </w:tc>
        <w:tc>
          <w:tcPr>
            <w:tcW w:w="2487" w:type="dxa"/>
            <w:vAlign w:val="top"/>
          </w:tcPr>
          <w:p w14:paraId="42657A05">
            <w:pPr>
              <w:pStyle w:val="6"/>
              <w:spacing w:before="64" w:line="194" w:lineRule="auto"/>
              <w:ind w:left="86"/>
              <w:rPr>
                <w:sz w:val="21"/>
                <w:szCs w:val="21"/>
              </w:rPr>
            </w:pPr>
            <w:r>
              <w:rPr>
                <w:spacing w:val="1"/>
                <w:sz w:val="21"/>
                <w:szCs w:val="21"/>
              </w:rPr>
              <w:t>本项目未在长江干支流及</w:t>
            </w:r>
          </w:p>
          <w:p w14:paraId="24B4D278">
            <w:pPr>
              <w:pStyle w:val="6"/>
              <w:spacing w:line="219" w:lineRule="auto"/>
              <w:jc w:val="right"/>
              <w:rPr>
                <w:sz w:val="21"/>
                <w:szCs w:val="21"/>
              </w:rPr>
            </w:pPr>
            <w:r>
              <w:rPr>
                <w:spacing w:val="-5"/>
                <w:sz w:val="21"/>
                <w:szCs w:val="21"/>
              </w:rPr>
              <w:t>湖泊新设、改设或扩大排污</w:t>
            </w:r>
          </w:p>
          <w:p w14:paraId="76CFBEF6">
            <w:pPr>
              <w:pStyle w:val="6"/>
              <w:spacing w:before="89" w:line="162" w:lineRule="auto"/>
              <w:ind w:left="1136"/>
              <w:rPr>
                <w:sz w:val="21"/>
                <w:szCs w:val="21"/>
              </w:rPr>
            </w:pPr>
            <w:r>
              <w:rPr>
                <w:sz w:val="21"/>
                <w:szCs w:val="21"/>
              </w:rPr>
              <w:t>口</w:t>
            </w:r>
          </w:p>
        </w:tc>
        <w:tc>
          <w:tcPr>
            <w:tcW w:w="638" w:type="dxa"/>
            <w:vAlign w:val="top"/>
          </w:tcPr>
          <w:p w14:paraId="5A7AF107">
            <w:pPr>
              <w:spacing w:line="245" w:lineRule="auto"/>
              <w:rPr>
                <w:rFonts w:ascii="Arial"/>
                <w:sz w:val="21"/>
              </w:rPr>
            </w:pPr>
          </w:p>
          <w:p w14:paraId="1D3A6DB6">
            <w:pPr>
              <w:pStyle w:val="6"/>
              <w:spacing w:before="69" w:line="219" w:lineRule="auto"/>
              <w:ind w:left="100"/>
              <w:rPr>
                <w:sz w:val="21"/>
                <w:szCs w:val="21"/>
              </w:rPr>
            </w:pPr>
            <w:r>
              <w:rPr>
                <w:spacing w:val="-3"/>
                <w:sz w:val="21"/>
                <w:szCs w:val="21"/>
              </w:rPr>
              <w:t>符合</w:t>
            </w:r>
          </w:p>
        </w:tc>
      </w:tr>
      <w:tr w14:paraId="1CEDA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253" w:type="dxa"/>
            <w:vMerge w:val="continue"/>
            <w:tcBorders>
              <w:top w:val="nil"/>
              <w:bottom w:val="nil"/>
            </w:tcBorders>
            <w:vAlign w:val="top"/>
          </w:tcPr>
          <w:p w14:paraId="4CA445E1">
            <w:pPr>
              <w:rPr>
                <w:rFonts w:ascii="Arial"/>
                <w:sz w:val="21"/>
              </w:rPr>
            </w:pPr>
          </w:p>
        </w:tc>
        <w:tc>
          <w:tcPr>
            <w:tcW w:w="4555" w:type="dxa"/>
            <w:vAlign w:val="top"/>
          </w:tcPr>
          <w:p w14:paraId="60017613">
            <w:pPr>
              <w:pStyle w:val="6"/>
              <w:spacing w:before="56" w:line="219" w:lineRule="auto"/>
              <w:ind w:left="11"/>
              <w:rPr>
                <w:sz w:val="21"/>
                <w:szCs w:val="21"/>
              </w:rPr>
            </w:pPr>
            <w:r>
              <w:rPr>
                <w:spacing w:val="-1"/>
                <w:sz w:val="21"/>
                <w:szCs w:val="21"/>
              </w:rPr>
              <w:t>7.禁止在“一江一口两湖七河”和332个水生生物</w:t>
            </w:r>
          </w:p>
          <w:p w14:paraId="36E1FD3A">
            <w:pPr>
              <w:pStyle w:val="6"/>
              <w:spacing w:before="30" w:line="197" w:lineRule="auto"/>
              <w:ind w:left="1161"/>
              <w:rPr>
                <w:sz w:val="21"/>
                <w:szCs w:val="21"/>
              </w:rPr>
            </w:pPr>
            <w:r>
              <w:rPr>
                <w:sz w:val="21"/>
                <w:szCs w:val="21"/>
              </w:rPr>
              <w:t>保护区开展生产性捕捞。</w:t>
            </w:r>
          </w:p>
        </w:tc>
        <w:tc>
          <w:tcPr>
            <w:tcW w:w="2487" w:type="dxa"/>
            <w:vAlign w:val="top"/>
          </w:tcPr>
          <w:p w14:paraId="701157FC">
            <w:pPr>
              <w:pStyle w:val="6"/>
              <w:spacing w:before="54" w:line="222" w:lineRule="auto"/>
              <w:ind w:left="1135" w:right="89" w:hanging="1049"/>
              <w:rPr>
                <w:sz w:val="21"/>
                <w:szCs w:val="21"/>
              </w:rPr>
            </w:pPr>
            <w:r>
              <w:rPr>
                <w:spacing w:val="-1"/>
                <w:sz w:val="21"/>
                <w:szCs w:val="21"/>
              </w:rPr>
              <w:t>本项目不涉及水生生物捕</w:t>
            </w:r>
            <w:r>
              <w:rPr>
                <w:sz w:val="21"/>
                <w:szCs w:val="21"/>
              </w:rPr>
              <w:t xml:space="preserve"> 捞</w:t>
            </w:r>
          </w:p>
        </w:tc>
        <w:tc>
          <w:tcPr>
            <w:tcW w:w="638" w:type="dxa"/>
            <w:vAlign w:val="top"/>
          </w:tcPr>
          <w:p w14:paraId="75B6361A">
            <w:pPr>
              <w:pStyle w:val="6"/>
              <w:spacing w:before="187" w:line="221" w:lineRule="auto"/>
              <w:jc w:val="right"/>
              <w:rPr>
                <w:sz w:val="21"/>
                <w:szCs w:val="21"/>
              </w:rPr>
            </w:pPr>
            <w:r>
              <w:rPr>
                <w:spacing w:val="-8"/>
                <w:sz w:val="21"/>
                <w:szCs w:val="21"/>
              </w:rPr>
              <w:t>不涉及</w:t>
            </w:r>
          </w:p>
        </w:tc>
      </w:tr>
      <w:tr w14:paraId="325F2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1253" w:type="dxa"/>
            <w:vMerge w:val="continue"/>
            <w:tcBorders>
              <w:top w:val="nil"/>
              <w:bottom w:val="nil"/>
            </w:tcBorders>
            <w:vAlign w:val="top"/>
          </w:tcPr>
          <w:p w14:paraId="615CF4F0">
            <w:pPr>
              <w:rPr>
                <w:rFonts w:ascii="Arial"/>
                <w:sz w:val="21"/>
              </w:rPr>
            </w:pPr>
          </w:p>
        </w:tc>
        <w:tc>
          <w:tcPr>
            <w:tcW w:w="4555" w:type="dxa"/>
            <w:vAlign w:val="top"/>
          </w:tcPr>
          <w:p w14:paraId="40FACD81">
            <w:pPr>
              <w:pStyle w:val="6"/>
              <w:spacing w:before="45" w:line="219" w:lineRule="auto"/>
              <w:jc w:val="right"/>
              <w:rPr>
                <w:sz w:val="21"/>
                <w:szCs w:val="21"/>
              </w:rPr>
            </w:pPr>
            <w:r>
              <w:rPr>
                <w:spacing w:val="-4"/>
                <w:sz w:val="21"/>
                <w:szCs w:val="21"/>
              </w:rPr>
              <w:t>8.禁止在长江干支流、重要湖泊岸线一公里范围内</w:t>
            </w:r>
          </w:p>
          <w:p w14:paraId="6215E819">
            <w:pPr>
              <w:pStyle w:val="6"/>
              <w:spacing w:before="40" w:line="219" w:lineRule="auto"/>
              <w:jc w:val="right"/>
              <w:rPr>
                <w:sz w:val="21"/>
                <w:szCs w:val="21"/>
              </w:rPr>
            </w:pPr>
            <w:r>
              <w:rPr>
                <w:spacing w:val="-4"/>
                <w:sz w:val="21"/>
                <w:szCs w:val="21"/>
              </w:rPr>
              <w:t>新建、扩建化工园区和化工项目。禁止在长江干流</w:t>
            </w:r>
          </w:p>
          <w:p w14:paraId="13328B46">
            <w:pPr>
              <w:pStyle w:val="6"/>
              <w:spacing w:before="22" w:line="219" w:lineRule="auto"/>
              <w:ind w:left="61"/>
              <w:rPr>
                <w:sz w:val="21"/>
                <w:szCs w:val="21"/>
              </w:rPr>
            </w:pPr>
            <w:r>
              <w:rPr>
                <w:spacing w:val="1"/>
                <w:sz w:val="21"/>
                <w:szCs w:val="21"/>
              </w:rPr>
              <w:t>岸线三公里范围内和重要支流岸线一公里范围内</w:t>
            </w:r>
          </w:p>
          <w:p w14:paraId="75AD54F7">
            <w:pPr>
              <w:pStyle w:val="6"/>
              <w:spacing w:before="29" w:line="219" w:lineRule="auto"/>
              <w:jc w:val="right"/>
              <w:rPr>
                <w:sz w:val="21"/>
                <w:szCs w:val="21"/>
              </w:rPr>
            </w:pPr>
            <w:r>
              <w:rPr>
                <w:spacing w:val="-4"/>
                <w:sz w:val="21"/>
                <w:szCs w:val="21"/>
              </w:rPr>
              <w:t>新建、改建、扩建尾矿库、冶炼渣库和磷石膏库，</w:t>
            </w:r>
          </w:p>
          <w:p w14:paraId="79731D13">
            <w:pPr>
              <w:pStyle w:val="6"/>
              <w:spacing w:before="1" w:line="203" w:lineRule="auto"/>
              <w:ind w:left="61"/>
              <w:rPr>
                <w:sz w:val="21"/>
                <w:szCs w:val="21"/>
              </w:rPr>
            </w:pPr>
            <w:r>
              <w:rPr>
                <w:sz w:val="21"/>
                <w:szCs w:val="21"/>
              </w:rPr>
              <w:t>以提升安全、生态环境保护水平为目的的改建除</w:t>
            </w:r>
          </w:p>
          <w:p w14:paraId="6BEC60B3">
            <w:pPr>
              <w:pStyle w:val="6"/>
              <w:spacing w:line="220" w:lineRule="auto"/>
              <w:ind w:left="2032"/>
              <w:rPr>
                <w:sz w:val="21"/>
                <w:szCs w:val="21"/>
              </w:rPr>
            </w:pPr>
            <w:r>
              <w:rPr>
                <w:spacing w:val="-2"/>
                <w:sz w:val="21"/>
                <w:szCs w:val="21"/>
              </w:rPr>
              <w:t>外。</w:t>
            </w:r>
          </w:p>
        </w:tc>
        <w:tc>
          <w:tcPr>
            <w:tcW w:w="2487" w:type="dxa"/>
            <w:vAlign w:val="top"/>
          </w:tcPr>
          <w:p w14:paraId="11493BCE">
            <w:pPr>
              <w:spacing w:line="265" w:lineRule="auto"/>
              <w:rPr>
                <w:rFonts w:ascii="Arial"/>
                <w:sz w:val="21"/>
              </w:rPr>
            </w:pPr>
          </w:p>
          <w:p w14:paraId="6587907C">
            <w:pPr>
              <w:pStyle w:val="6"/>
              <w:spacing w:before="68" w:line="219" w:lineRule="auto"/>
              <w:jc w:val="right"/>
              <w:rPr>
                <w:sz w:val="21"/>
                <w:szCs w:val="21"/>
              </w:rPr>
            </w:pPr>
            <w:r>
              <w:rPr>
                <w:spacing w:val="-5"/>
                <w:sz w:val="21"/>
                <w:szCs w:val="21"/>
              </w:rPr>
              <w:t>本项目不属于新建、扩建化</w:t>
            </w:r>
          </w:p>
          <w:p w14:paraId="23F0DE27">
            <w:pPr>
              <w:pStyle w:val="6"/>
              <w:spacing w:before="22" w:line="220" w:lineRule="auto"/>
              <w:jc w:val="right"/>
              <w:rPr>
                <w:sz w:val="21"/>
                <w:szCs w:val="21"/>
              </w:rPr>
            </w:pPr>
            <w:r>
              <w:rPr>
                <w:spacing w:val="-5"/>
                <w:sz w:val="21"/>
                <w:szCs w:val="21"/>
              </w:rPr>
              <w:t>工园区和化工项目，不属于</w:t>
            </w:r>
          </w:p>
          <w:p w14:paraId="1E06D156">
            <w:pPr>
              <w:pStyle w:val="6"/>
              <w:spacing w:before="27" w:line="219" w:lineRule="auto"/>
              <w:jc w:val="right"/>
              <w:rPr>
                <w:sz w:val="21"/>
                <w:szCs w:val="21"/>
              </w:rPr>
            </w:pPr>
            <w:r>
              <w:rPr>
                <w:spacing w:val="-5"/>
                <w:sz w:val="21"/>
                <w:szCs w:val="21"/>
              </w:rPr>
              <w:t>尾矿库、冶炼渣库和磷石膏</w:t>
            </w:r>
          </w:p>
          <w:p w14:paraId="559E185A">
            <w:pPr>
              <w:pStyle w:val="6"/>
              <w:spacing w:before="2" w:line="219" w:lineRule="auto"/>
              <w:ind w:left="926"/>
              <w:rPr>
                <w:sz w:val="21"/>
                <w:szCs w:val="21"/>
              </w:rPr>
            </w:pPr>
            <w:r>
              <w:rPr>
                <w:spacing w:val="13"/>
                <w:sz w:val="21"/>
                <w:szCs w:val="21"/>
              </w:rPr>
              <w:t>库项目</w:t>
            </w:r>
          </w:p>
        </w:tc>
        <w:tc>
          <w:tcPr>
            <w:tcW w:w="638" w:type="dxa"/>
            <w:vAlign w:val="top"/>
          </w:tcPr>
          <w:p w14:paraId="27890F2D">
            <w:pPr>
              <w:spacing w:line="327" w:lineRule="auto"/>
              <w:rPr>
                <w:rFonts w:ascii="Arial"/>
                <w:sz w:val="21"/>
              </w:rPr>
            </w:pPr>
          </w:p>
          <w:p w14:paraId="75F7DEBC">
            <w:pPr>
              <w:spacing w:line="328" w:lineRule="auto"/>
              <w:rPr>
                <w:rFonts w:ascii="Arial"/>
                <w:sz w:val="21"/>
              </w:rPr>
            </w:pPr>
          </w:p>
          <w:p w14:paraId="302FEA64">
            <w:pPr>
              <w:pStyle w:val="6"/>
              <w:spacing w:before="68" w:line="221" w:lineRule="auto"/>
              <w:jc w:val="right"/>
              <w:rPr>
                <w:sz w:val="21"/>
                <w:szCs w:val="21"/>
              </w:rPr>
            </w:pPr>
            <w:r>
              <w:rPr>
                <w:spacing w:val="-8"/>
                <w:sz w:val="21"/>
                <w:szCs w:val="21"/>
              </w:rPr>
              <w:t>不涉及</w:t>
            </w:r>
          </w:p>
        </w:tc>
      </w:tr>
      <w:tr w14:paraId="1876D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253" w:type="dxa"/>
            <w:vMerge w:val="continue"/>
            <w:tcBorders>
              <w:top w:val="nil"/>
              <w:bottom w:val="nil"/>
            </w:tcBorders>
            <w:vAlign w:val="top"/>
          </w:tcPr>
          <w:p w14:paraId="7E383E2D">
            <w:pPr>
              <w:rPr>
                <w:rFonts w:ascii="Arial"/>
                <w:sz w:val="21"/>
              </w:rPr>
            </w:pPr>
          </w:p>
        </w:tc>
        <w:tc>
          <w:tcPr>
            <w:tcW w:w="4555" w:type="dxa"/>
            <w:vAlign w:val="top"/>
          </w:tcPr>
          <w:p w14:paraId="0CC2FCCD">
            <w:pPr>
              <w:pStyle w:val="6"/>
              <w:spacing w:before="196" w:line="230" w:lineRule="auto"/>
              <w:ind w:left="216" w:hanging="205"/>
              <w:rPr>
                <w:sz w:val="21"/>
                <w:szCs w:val="21"/>
              </w:rPr>
            </w:pPr>
            <w:r>
              <w:rPr>
                <w:spacing w:val="-13"/>
                <w:sz w:val="21"/>
                <w:szCs w:val="21"/>
              </w:rPr>
              <w:t>9.禁止在合规园区外新建、扩建钢铁、石化、化工、</w:t>
            </w:r>
            <w:r>
              <w:rPr>
                <w:spacing w:val="14"/>
                <w:sz w:val="21"/>
                <w:szCs w:val="21"/>
              </w:rPr>
              <w:t xml:space="preserve"> </w:t>
            </w:r>
            <w:r>
              <w:rPr>
                <w:spacing w:val="-5"/>
                <w:sz w:val="21"/>
                <w:szCs w:val="21"/>
              </w:rPr>
              <w:t>焦化、建材、有色、制浆造纸等高污染项目。</w:t>
            </w:r>
          </w:p>
        </w:tc>
        <w:tc>
          <w:tcPr>
            <w:tcW w:w="2487" w:type="dxa"/>
            <w:vAlign w:val="top"/>
          </w:tcPr>
          <w:p w14:paraId="5A689FF5">
            <w:pPr>
              <w:pStyle w:val="6"/>
              <w:spacing w:before="56" w:line="219" w:lineRule="auto"/>
              <w:jc w:val="right"/>
              <w:rPr>
                <w:sz w:val="21"/>
                <w:szCs w:val="21"/>
              </w:rPr>
            </w:pPr>
            <w:r>
              <w:rPr>
                <w:spacing w:val="-5"/>
                <w:sz w:val="21"/>
                <w:szCs w:val="21"/>
              </w:rPr>
              <w:t>本项目不属于铁、石化、化</w:t>
            </w:r>
          </w:p>
          <w:p w14:paraId="1E2CE9E6">
            <w:pPr>
              <w:pStyle w:val="6"/>
              <w:spacing w:before="10" w:line="219" w:lineRule="auto"/>
              <w:jc w:val="right"/>
              <w:rPr>
                <w:sz w:val="21"/>
                <w:szCs w:val="21"/>
              </w:rPr>
            </w:pPr>
            <w:r>
              <w:rPr>
                <w:spacing w:val="-5"/>
                <w:sz w:val="21"/>
                <w:szCs w:val="21"/>
              </w:rPr>
              <w:t>工、焦化、建材、有色等高</w:t>
            </w:r>
          </w:p>
          <w:p w14:paraId="45DB4808">
            <w:pPr>
              <w:pStyle w:val="6"/>
              <w:spacing w:before="22" w:line="203" w:lineRule="auto"/>
              <w:ind w:left="766"/>
              <w:rPr>
                <w:sz w:val="21"/>
                <w:szCs w:val="21"/>
              </w:rPr>
            </w:pPr>
            <w:r>
              <w:rPr>
                <w:spacing w:val="-1"/>
                <w:sz w:val="21"/>
                <w:szCs w:val="21"/>
              </w:rPr>
              <w:t>污染项目。</w:t>
            </w:r>
          </w:p>
        </w:tc>
        <w:tc>
          <w:tcPr>
            <w:tcW w:w="638" w:type="dxa"/>
            <w:vAlign w:val="top"/>
          </w:tcPr>
          <w:p w14:paraId="2470E83E">
            <w:pPr>
              <w:spacing w:line="248" w:lineRule="auto"/>
              <w:rPr>
                <w:rFonts w:ascii="Arial"/>
                <w:sz w:val="21"/>
              </w:rPr>
            </w:pPr>
          </w:p>
          <w:p w14:paraId="5483A0E1">
            <w:pPr>
              <w:pStyle w:val="6"/>
              <w:spacing w:before="69" w:line="221" w:lineRule="auto"/>
              <w:jc w:val="right"/>
              <w:rPr>
                <w:sz w:val="21"/>
                <w:szCs w:val="21"/>
              </w:rPr>
            </w:pPr>
            <w:r>
              <w:rPr>
                <w:spacing w:val="-8"/>
                <w:sz w:val="21"/>
                <w:szCs w:val="21"/>
              </w:rPr>
              <w:t>不涉及</w:t>
            </w:r>
          </w:p>
        </w:tc>
      </w:tr>
      <w:tr w14:paraId="6A8CB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253" w:type="dxa"/>
            <w:vMerge w:val="continue"/>
            <w:tcBorders>
              <w:top w:val="nil"/>
            </w:tcBorders>
            <w:vAlign w:val="top"/>
          </w:tcPr>
          <w:p w14:paraId="6E78A429">
            <w:pPr>
              <w:rPr>
                <w:rFonts w:ascii="Arial"/>
                <w:sz w:val="21"/>
              </w:rPr>
            </w:pPr>
          </w:p>
        </w:tc>
        <w:tc>
          <w:tcPr>
            <w:tcW w:w="4555" w:type="dxa"/>
            <w:vAlign w:val="top"/>
          </w:tcPr>
          <w:p w14:paraId="27EF7C35">
            <w:pPr>
              <w:pStyle w:val="6"/>
              <w:spacing w:before="48" w:line="219" w:lineRule="auto"/>
              <w:ind w:left="11"/>
              <w:rPr>
                <w:sz w:val="21"/>
                <w:szCs w:val="21"/>
              </w:rPr>
            </w:pPr>
            <w:r>
              <w:rPr>
                <w:sz w:val="21"/>
                <w:szCs w:val="21"/>
              </w:rPr>
              <w:t>10.禁止新建、扩建不符合国家石化、现代煤化工</w:t>
            </w:r>
          </w:p>
          <w:p w14:paraId="7507A7C9">
            <w:pPr>
              <w:pStyle w:val="6"/>
              <w:spacing w:before="19" w:line="208" w:lineRule="auto"/>
              <w:ind w:left="1161"/>
              <w:rPr>
                <w:sz w:val="21"/>
                <w:szCs w:val="21"/>
              </w:rPr>
            </w:pPr>
            <w:r>
              <w:rPr>
                <w:sz w:val="21"/>
                <w:szCs w:val="21"/>
              </w:rPr>
              <w:t>等产业布局规划的项目。</w:t>
            </w:r>
          </w:p>
        </w:tc>
        <w:tc>
          <w:tcPr>
            <w:tcW w:w="2487" w:type="dxa"/>
            <w:vAlign w:val="top"/>
          </w:tcPr>
          <w:p w14:paraId="37FB5558">
            <w:pPr>
              <w:pStyle w:val="6"/>
              <w:spacing w:before="48" w:line="219" w:lineRule="auto"/>
              <w:jc w:val="right"/>
              <w:rPr>
                <w:sz w:val="21"/>
                <w:szCs w:val="21"/>
              </w:rPr>
            </w:pPr>
            <w:r>
              <w:rPr>
                <w:spacing w:val="-5"/>
                <w:sz w:val="21"/>
                <w:szCs w:val="21"/>
              </w:rPr>
              <w:t>项目不属于石化、现代煤化</w:t>
            </w:r>
          </w:p>
          <w:p w14:paraId="4072C3C8">
            <w:pPr>
              <w:pStyle w:val="6"/>
              <w:spacing w:before="21" w:line="206" w:lineRule="auto"/>
              <w:ind w:left="866"/>
              <w:rPr>
                <w:sz w:val="21"/>
                <w:szCs w:val="21"/>
              </w:rPr>
            </w:pPr>
            <w:r>
              <w:rPr>
                <w:spacing w:val="1"/>
                <w:sz w:val="21"/>
                <w:szCs w:val="21"/>
              </w:rPr>
              <w:t>工行业。</w:t>
            </w:r>
          </w:p>
        </w:tc>
        <w:tc>
          <w:tcPr>
            <w:tcW w:w="638" w:type="dxa"/>
            <w:vAlign w:val="top"/>
          </w:tcPr>
          <w:p w14:paraId="1F41E282">
            <w:pPr>
              <w:pStyle w:val="6"/>
              <w:spacing w:before="189" w:line="221" w:lineRule="auto"/>
              <w:jc w:val="right"/>
              <w:rPr>
                <w:sz w:val="21"/>
                <w:szCs w:val="21"/>
              </w:rPr>
            </w:pPr>
            <w:r>
              <w:rPr>
                <w:spacing w:val="-8"/>
                <w:sz w:val="21"/>
                <w:szCs w:val="21"/>
              </w:rPr>
              <w:t>不涉及</w:t>
            </w:r>
          </w:p>
        </w:tc>
      </w:tr>
    </w:tbl>
    <w:p w14:paraId="72C1FB19">
      <w:pPr>
        <w:pStyle w:val="2"/>
      </w:pPr>
    </w:p>
    <w:p w14:paraId="6E47F322">
      <w:pPr>
        <w:sectPr>
          <w:footerReference r:id="rId37" w:type="default"/>
          <w:pgSz w:w="11910" w:h="16830"/>
          <w:pgMar w:top="400" w:right="1551" w:bottom="1245" w:left="1415" w:header="0" w:footer="1083" w:gutter="0"/>
          <w:cols w:space="720" w:num="1"/>
        </w:sectPr>
      </w:pPr>
    </w:p>
    <w:p w14:paraId="79584EFB">
      <w:pPr>
        <w:spacing w:before="18"/>
      </w:pPr>
    </w:p>
    <w:p w14:paraId="165EA21F">
      <w:pPr>
        <w:spacing w:before="18"/>
      </w:pPr>
    </w:p>
    <w:p w14:paraId="31B910BF">
      <w:pPr>
        <w:spacing w:before="17"/>
      </w:pPr>
    </w:p>
    <w:p w14:paraId="0B87FEC2">
      <w:pPr>
        <w:spacing w:before="17"/>
      </w:pPr>
    </w:p>
    <w:p w14:paraId="3436399A">
      <w:pPr>
        <w:spacing w:before="17"/>
      </w:pPr>
    </w:p>
    <w:tbl>
      <w:tblPr>
        <w:tblStyle w:val="5"/>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3"/>
        <w:gridCol w:w="4545"/>
        <w:gridCol w:w="2457"/>
        <w:gridCol w:w="764"/>
      </w:tblGrid>
      <w:tr w14:paraId="6649C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3" w:hRule="atLeast"/>
        </w:trPr>
        <w:tc>
          <w:tcPr>
            <w:tcW w:w="1253" w:type="dxa"/>
            <w:vMerge w:val="restart"/>
            <w:tcBorders>
              <w:bottom w:val="nil"/>
            </w:tcBorders>
            <w:vAlign w:val="top"/>
          </w:tcPr>
          <w:p w14:paraId="097097AA">
            <w:pPr>
              <w:rPr>
                <w:rFonts w:ascii="Arial"/>
                <w:sz w:val="21"/>
              </w:rPr>
            </w:pPr>
          </w:p>
        </w:tc>
        <w:tc>
          <w:tcPr>
            <w:tcW w:w="4545" w:type="dxa"/>
            <w:vAlign w:val="top"/>
          </w:tcPr>
          <w:p w14:paraId="450EFB14">
            <w:pPr>
              <w:spacing w:line="398" w:lineRule="auto"/>
              <w:rPr>
                <w:rFonts w:ascii="Arial"/>
                <w:sz w:val="21"/>
              </w:rPr>
            </w:pPr>
          </w:p>
          <w:p w14:paraId="556F73BD">
            <w:pPr>
              <w:pStyle w:val="6"/>
              <w:spacing w:before="72" w:line="219" w:lineRule="auto"/>
              <w:jc w:val="right"/>
            </w:pPr>
            <w:r>
              <w:rPr>
                <w:spacing w:val="-9"/>
              </w:rPr>
              <w:t>11.禁止新建、扩建法律法规和相关政策明令禁止</w:t>
            </w:r>
          </w:p>
          <w:p w14:paraId="2252378F">
            <w:pPr>
              <w:pStyle w:val="6"/>
              <w:spacing w:before="10" w:line="201" w:lineRule="auto"/>
              <w:jc w:val="right"/>
            </w:pPr>
            <w:r>
              <w:rPr>
                <w:spacing w:val="-16"/>
              </w:rPr>
              <w:t>的落后</w:t>
            </w:r>
            <w:r>
              <w:rPr>
                <w:spacing w:val="-15"/>
              </w:rPr>
              <w:t>产能项目，禁止新建、扩建不符合国家产</w:t>
            </w:r>
            <w:r>
              <w:rPr>
                <w:spacing w:val="-12"/>
              </w:rPr>
              <w:t>能</w:t>
            </w:r>
          </w:p>
          <w:p w14:paraId="65B9DD4A">
            <w:pPr>
              <w:pStyle w:val="6"/>
              <w:spacing w:line="219" w:lineRule="auto"/>
              <w:jc w:val="right"/>
            </w:pPr>
            <w:r>
              <w:rPr>
                <w:spacing w:val="-15"/>
              </w:rPr>
              <w:t>置换要求的严重过剩产能行业的项目。禁止新建、</w:t>
            </w:r>
          </w:p>
          <w:p w14:paraId="7C296C42">
            <w:pPr>
              <w:pStyle w:val="6"/>
              <w:spacing w:before="39" w:line="219" w:lineRule="auto"/>
              <w:ind w:left="451"/>
            </w:pPr>
            <w:r>
              <w:t>扩建不符合要求的高耗能高排放项目。</w:t>
            </w:r>
          </w:p>
        </w:tc>
        <w:tc>
          <w:tcPr>
            <w:tcW w:w="2457" w:type="dxa"/>
            <w:vAlign w:val="top"/>
          </w:tcPr>
          <w:p w14:paraId="35FF0D14">
            <w:pPr>
              <w:pStyle w:val="6"/>
              <w:spacing w:before="176" w:line="232" w:lineRule="auto"/>
              <w:ind w:left="16"/>
              <w:jc w:val="both"/>
            </w:pPr>
            <w:r>
              <w:rPr>
                <w:spacing w:val="-20"/>
              </w:rPr>
              <w:t>本项目属于《产业结构调整</w:t>
            </w:r>
            <w:r>
              <w:t xml:space="preserve"> </w:t>
            </w:r>
            <w:r>
              <w:rPr>
                <w:spacing w:val="-2"/>
              </w:rPr>
              <w:t>指导目录》(2024年本)中</w:t>
            </w:r>
            <w:r>
              <w:rPr>
                <w:spacing w:val="11"/>
              </w:rPr>
              <w:t xml:space="preserve"> </w:t>
            </w:r>
            <w:r>
              <w:rPr>
                <w:spacing w:val="-21"/>
              </w:rPr>
              <w:t>鼓励类，项目符合国家产业</w:t>
            </w:r>
            <w:r>
              <w:rPr>
                <w:spacing w:val="8"/>
              </w:rPr>
              <w:t xml:space="preserve"> </w:t>
            </w:r>
            <w:r>
              <w:rPr>
                <w:spacing w:val="-21"/>
              </w:rPr>
              <w:t>政策要求，本项目不属于严</w:t>
            </w:r>
            <w:r>
              <w:rPr>
                <w:spacing w:val="10"/>
              </w:rPr>
              <w:t xml:space="preserve"> </w:t>
            </w:r>
            <w:r>
              <w:rPr>
                <w:spacing w:val="-20"/>
              </w:rPr>
              <w:t>重过剩产能行业的项目，不</w:t>
            </w:r>
            <w:r>
              <w:t xml:space="preserve"> 属于高耗能高排放项目。</w:t>
            </w:r>
          </w:p>
        </w:tc>
        <w:tc>
          <w:tcPr>
            <w:tcW w:w="764" w:type="dxa"/>
            <w:vAlign w:val="top"/>
          </w:tcPr>
          <w:p w14:paraId="0D496C8A">
            <w:pPr>
              <w:spacing w:line="262" w:lineRule="auto"/>
              <w:rPr>
                <w:rFonts w:ascii="Arial"/>
                <w:sz w:val="21"/>
              </w:rPr>
            </w:pPr>
          </w:p>
          <w:p w14:paraId="769E15B9">
            <w:pPr>
              <w:spacing w:line="262" w:lineRule="auto"/>
              <w:rPr>
                <w:rFonts w:ascii="Arial"/>
                <w:sz w:val="21"/>
              </w:rPr>
            </w:pPr>
          </w:p>
          <w:p w14:paraId="294709A8">
            <w:pPr>
              <w:spacing w:line="263" w:lineRule="auto"/>
              <w:rPr>
                <w:rFonts w:ascii="Arial"/>
                <w:sz w:val="21"/>
              </w:rPr>
            </w:pPr>
          </w:p>
          <w:p w14:paraId="5022AE55">
            <w:pPr>
              <w:pStyle w:val="6"/>
              <w:spacing w:before="72" w:line="219" w:lineRule="auto"/>
              <w:ind w:left="160"/>
            </w:pPr>
            <w:r>
              <w:rPr>
                <w:spacing w:val="-3"/>
              </w:rPr>
              <w:t>符合</w:t>
            </w:r>
          </w:p>
        </w:tc>
      </w:tr>
      <w:tr w14:paraId="0F597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6" w:hRule="atLeast"/>
        </w:trPr>
        <w:tc>
          <w:tcPr>
            <w:tcW w:w="1253" w:type="dxa"/>
            <w:vMerge w:val="continue"/>
            <w:tcBorders>
              <w:top w:val="nil"/>
              <w:bottom w:val="nil"/>
            </w:tcBorders>
            <w:vAlign w:val="top"/>
          </w:tcPr>
          <w:p w14:paraId="1B1CE53F">
            <w:pPr>
              <w:rPr>
                <w:rFonts w:ascii="Arial"/>
                <w:sz w:val="21"/>
              </w:rPr>
            </w:pPr>
          </w:p>
        </w:tc>
        <w:tc>
          <w:tcPr>
            <w:tcW w:w="7766" w:type="dxa"/>
            <w:gridSpan w:val="3"/>
            <w:vAlign w:val="top"/>
          </w:tcPr>
          <w:p w14:paraId="2B40B3A4">
            <w:pPr>
              <w:pStyle w:val="6"/>
              <w:spacing w:before="39" w:line="391" w:lineRule="auto"/>
              <w:ind w:left="31" w:right="700" w:firstLine="519"/>
              <w:jc w:val="both"/>
            </w:pPr>
            <w:r>
              <w:t>综上分析，项目不属于《长江经济带发展负面清单指南(试行，2022</w:t>
            </w:r>
            <w:r>
              <w:rPr>
                <w:spacing w:val="12"/>
              </w:rPr>
              <w:t xml:space="preserve"> </w:t>
            </w:r>
            <w:r>
              <w:rPr>
                <w:spacing w:val="1"/>
              </w:rPr>
              <w:t>年版)》名列的负面清单建设项目，项目建设符合《长江经济带发</w:t>
            </w:r>
            <w:r>
              <w:t>展负面 清单指南(试行，2022年版)》的相关要</w:t>
            </w:r>
            <w:r>
              <w:rPr>
                <w:spacing w:val="-1"/>
              </w:rPr>
              <w:t>求。</w:t>
            </w:r>
          </w:p>
          <w:p w14:paraId="75914AE0">
            <w:pPr>
              <w:pStyle w:val="6"/>
              <w:spacing w:line="364" w:lineRule="auto"/>
              <w:ind w:left="15" w:right="1077" w:firstLine="60"/>
            </w:pPr>
            <w:r>
              <w:rPr>
                <w:b/>
                <w:bCs/>
                <w:spacing w:val="-2"/>
              </w:rPr>
              <w:t>14与《云南省长江经济带发展负面清单指南实施细则</w:t>
            </w:r>
            <w:r>
              <w:rPr>
                <w:b/>
                <w:bCs/>
                <w:spacing w:val="-3"/>
              </w:rPr>
              <w:t>(试行)》的符合</w:t>
            </w:r>
            <w:r>
              <w:t xml:space="preserve"> </w:t>
            </w:r>
            <w:r>
              <w:rPr>
                <w:b/>
                <w:bCs/>
                <w:spacing w:val="-5"/>
              </w:rPr>
              <w:t>性分析</w:t>
            </w:r>
          </w:p>
          <w:p w14:paraId="2A996216">
            <w:pPr>
              <w:pStyle w:val="6"/>
              <w:spacing w:before="65" w:line="219" w:lineRule="auto"/>
              <w:ind w:left="551"/>
            </w:pPr>
            <w:r>
              <w:t>云南省推动长江经济带带发展领导小组办公室于2022年8月19日关</w:t>
            </w:r>
          </w:p>
          <w:p w14:paraId="69D1E19F">
            <w:pPr>
              <w:pStyle w:val="6"/>
              <w:spacing w:before="208" w:line="382" w:lineRule="auto"/>
              <w:ind w:left="51" w:right="444"/>
            </w:pPr>
            <w:r>
              <w:t>于印发《云南省长江经济带发展负面清单指南实施细则(试行，2022年版</w:t>
            </w:r>
            <w:r>
              <w:rPr>
                <w:spacing w:val="-1"/>
              </w:rPr>
              <w:t>)》</w:t>
            </w:r>
            <w:r>
              <w:t xml:space="preserve"> 的通知(云发改基础〔2022〕894号),项目与实施细则“负面清单”的相</w:t>
            </w:r>
          </w:p>
          <w:p w14:paraId="274A7421">
            <w:pPr>
              <w:pStyle w:val="6"/>
              <w:spacing w:line="220" w:lineRule="auto"/>
              <w:ind w:left="11"/>
            </w:pPr>
            <w:r>
              <w:rPr>
                <w:spacing w:val="-1"/>
              </w:rPr>
              <w:t>关要求。</w:t>
            </w:r>
          </w:p>
          <w:p w14:paraId="3D0DFCBB">
            <w:pPr>
              <w:pStyle w:val="6"/>
              <w:spacing w:before="227" w:line="380" w:lineRule="auto"/>
              <w:ind w:left="21" w:right="490" w:firstLine="519"/>
            </w:pPr>
            <w:r>
              <w:t>本项目与《云南省长江经济带发展负面清单指南实施细则(试行，2022</w:t>
            </w:r>
            <w:r>
              <w:rPr>
                <w:spacing w:val="12"/>
              </w:rPr>
              <w:t xml:space="preserve"> </w:t>
            </w:r>
            <w:r>
              <w:t>年版)》的符合性见表1-11。</w:t>
            </w:r>
          </w:p>
          <w:p w14:paraId="586BE5F3">
            <w:pPr>
              <w:pStyle w:val="6"/>
              <w:spacing w:before="41" w:line="217" w:lineRule="auto"/>
              <w:ind w:left="815"/>
            </w:pPr>
            <w:r>
              <w:rPr>
                <w:b/>
                <w:bCs/>
                <w:spacing w:val="-2"/>
              </w:rPr>
              <w:t>表1-11</w:t>
            </w:r>
            <w:r>
              <w:rPr>
                <w:spacing w:val="-2"/>
              </w:rPr>
              <w:t xml:space="preserve">    </w:t>
            </w:r>
            <w:r>
              <w:rPr>
                <w:b/>
                <w:bCs/>
                <w:spacing w:val="-2"/>
              </w:rPr>
              <w:t>项目与云南省长江经济带发</w:t>
            </w:r>
            <w:r>
              <w:rPr>
                <w:b/>
                <w:bCs/>
                <w:spacing w:val="-3"/>
              </w:rPr>
              <w:t>展负面清单符合性</w:t>
            </w:r>
          </w:p>
        </w:tc>
      </w:tr>
      <w:tr w14:paraId="5C631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253" w:type="dxa"/>
            <w:vMerge w:val="continue"/>
            <w:tcBorders>
              <w:top w:val="nil"/>
              <w:bottom w:val="nil"/>
            </w:tcBorders>
            <w:vAlign w:val="top"/>
          </w:tcPr>
          <w:p w14:paraId="7C1C5F2C">
            <w:pPr>
              <w:rPr>
                <w:rFonts w:ascii="Arial"/>
                <w:sz w:val="21"/>
              </w:rPr>
            </w:pPr>
          </w:p>
        </w:tc>
        <w:tc>
          <w:tcPr>
            <w:tcW w:w="4545" w:type="dxa"/>
            <w:vAlign w:val="top"/>
          </w:tcPr>
          <w:p w14:paraId="2961FE4C">
            <w:pPr>
              <w:pStyle w:val="6"/>
              <w:spacing w:before="72" w:line="220" w:lineRule="auto"/>
              <w:ind w:left="1335"/>
            </w:pPr>
            <w:r>
              <w:rPr>
                <w:b/>
                <w:bCs/>
                <w:spacing w:val="-5"/>
              </w:rPr>
              <w:t>《实施细则》要求</w:t>
            </w:r>
          </w:p>
        </w:tc>
        <w:tc>
          <w:tcPr>
            <w:tcW w:w="2457" w:type="dxa"/>
            <w:vAlign w:val="top"/>
          </w:tcPr>
          <w:p w14:paraId="780AA2DE">
            <w:pPr>
              <w:pStyle w:val="6"/>
              <w:spacing w:before="70" w:line="219" w:lineRule="auto"/>
              <w:ind w:left="900"/>
            </w:pPr>
            <w:r>
              <w:rPr>
                <w:b/>
                <w:bCs/>
                <w:spacing w:val="9"/>
              </w:rPr>
              <w:t>本项目</w:t>
            </w:r>
          </w:p>
        </w:tc>
        <w:tc>
          <w:tcPr>
            <w:tcW w:w="764" w:type="dxa"/>
            <w:vAlign w:val="top"/>
          </w:tcPr>
          <w:p w14:paraId="647163CA">
            <w:pPr>
              <w:pStyle w:val="6"/>
              <w:spacing w:before="72" w:line="219" w:lineRule="auto"/>
              <w:ind w:left="53"/>
            </w:pPr>
            <w:r>
              <w:rPr>
                <w:b/>
                <w:bCs/>
                <w:spacing w:val="-5"/>
              </w:rPr>
              <w:t>相符性</w:t>
            </w:r>
          </w:p>
        </w:tc>
      </w:tr>
      <w:tr w14:paraId="3D730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9" w:hRule="atLeast"/>
        </w:trPr>
        <w:tc>
          <w:tcPr>
            <w:tcW w:w="1253" w:type="dxa"/>
            <w:vMerge w:val="continue"/>
            <w:tcBorders>
              <w:top w:val="nil"/>
              <w:bottom w:val="nil"/>
            </w:tcBorders>
            <w:vAlign w:val="top"/>
          </w:tcPr>
          <w:p w14:paraId="1EB854F4">
            <w:pPr>
              <w:rPr>
                <w:rFonts w:ascii="Arial"/>
                <w:sz w:val="21"/>
              </w:rPr>
            </w:pPr>
          </w:p>
        </w:tc>
        <w:tc>
          <w:tcPr>
            <w:tcW w:w="4545" w:type="dxa"/>
            <w:vAlign w:val="top"/>
          </w:tcPr>
          <w:p w14:paraId="2BA85AC3">
            <w:pPr>
              <w:pStyle w:val="6"/>
              <w:spacing w:before="126" w:line="219" w:lineRule="auto"/>
              <w:ind w:left="61"/>
            </w:pPr>
            <w:r>
              <w:t>(一)禁止新建、改建和扩建不符合《全国内河</w:t>
            </w:r>
          </w:p>
          <w:p w14:paraId="05CCD431">
            <w:pPr>
              <w:pStyle w:val="6"/>
              <w:spacing w:before="7" w:line="219" w:lineRule="auto"/>
              <w:jc w:val="right"/>
            </w:pPr>
            <w:r>
              <w:rPr>
                <w:spacing w:val="-5"/>
              </w:rPr>
              <w:t>航道与港口布局规划》等全国港口规划和《昭通</w:t>
            </w:r>
          </w:p>
          <w:p w14:paraId="1162DAB7">
            <w:pPr>
              <w:pStyle w:val="6"/>
              <w:spacing w:line="219" w:lineRule="auto"/>
              <w:ind w:left="171"/>
            </w:pPr>
            <w:r>
              <w:rPr>
                <w:spacing w:val="-4"/>
              </w:rPr>
              <w:t>市港口码头岸线规划(金沙江段2019年—2035</w:t>
            </w:r>
          </w:p>
          <w:p w14:paraId="7E6A3EFF">
            <w:pPr>
              <w:pStyle w:val="6"/>
              <w:spacing w:before="8" w:line="219" w:lineRule="auto"/>
              <w:ind w:left="61"/>
            </w:pPr>
            <w:r>
              <w:rPr>
                <w:spacing w:val="-4"/>
              </w:rPr>
              <w:t>年)》、《景洪港总体规划(2019—20</w:t>
            </w:r>
            <w:r>
              <w:rPr>
                <w:spacing w:val="-5"/>
              </w:rPr>
              <w:t>35年)》</w:t>
            </w:r>
          </w:p>
          <w:p w14:paraId="6646152A">
            <w:pPr>
              <w:pStyle w:val="6"/>
              <w:spacing w:before="7" w:line="219" w:lineRule="auto"/>
              <w:ind w:left="61"/>
            </w:pPr>
            <w:r>
              <w:rPr>
                <w:spacing w:val="-1"/>
              </w:rPr>
              <w:t>等州(市)级以上港口布局规划以及港口总体规</w:t>
            </w:r>
          </w:p>
          <w:p w14:paraId="45255161">
            <w:pPr>
              <w:pStyle w:val="6"/>
              <w:spacing w:before="11" w:line="219" w:lineRule="auto"/>
              <w:ind w:left="1551"/>
            </w:pPr>
            <w:r>
              <w:t>划的码头项目。</w:t>
            </w:r>
          </w:p>
        </w:tc>
        <w:tc>
          <w:tcPr>
            <w:tcW w:w="2457" w:type="dxa"/>
            <w:vAlign w:val="top"/>
          </w:tcPr>
          <w:p w14:paraId="2F53FA57">
            <w:pPr>
              <w:spacing w:line="440" w:lineRule="auto"/>
              <w:rPr>
                <w:rFonts w:ascii="Arial"/>
                <w:sz w:val="21"/>
              </w:rPr>
            </w:pPr>
          </w:p>
          <w:p w14:paraId="7E7020C0">
            <w:pPr>
              <w:pStyle w:val="6"/>
              <w:spacing w:before="71" w:line="219" w:lineRule="auto"/>
              <w:ind w:left="126"/>
            </w:pPr>
            <w:r>
              <w:rPr>
                <w:spacing w:val="1"/>
              </w:rPr>
              <w:t>本项目为光伏发电电站</w:t>
            </w:r>
          </w:p>
          <w:p w14:paraId="5AD57FAA">
            <w:pPr>
              <w:pStyle w:val="6"/>
              <w:spacing w:before="10" w:line="219" w:lineRule="auto"/>
              <w:jc w:val="right"/>
            </w:pPr>
            <w:r>
              <w:t>项目，不属于码头建设项</w:t>
            </w:r>
          </w:p>
          <w:p w14:paraId="76AEEFFD">
            <w:pPr>
              <w:pStyle w:val="6"/>
              <w:spacing w:before="12" w:line="222" w:lineRule="auto"/>
              <w:ind w:left="1056"/>
            </w:pPr>
            <w:r>
              <w:rPr>
                <w:spacing w:val="-26"/>
              </w:rPr>
              <w:t>目</w:t>
            </w:r>
            <w:r>
              <w:rPr>
                <w:spacing w:val="-28"/>
              </w:rPr>
              <w:t xml:space="preserve"> </w:t>
            </w:r>
            <w:r>
              <w:rPr>
                <w:spacing w:val="-26"/>
              </w:rPr>
              <w:t>。</w:t>
            </w:r>
          </w:p>
        </w:tc>
        <w:tc>
          <w:tcPr>
            <w:tcW w:w="764" w:type="dxa"/>
            <w:vAlign w:val="top"/>
          </w:tcPr>
          <w:p w14:paraId="4C23C866">
            <w:pPr>
              <w:spacing w:line="350" w:lineRule="auto"/>
              <w:rPr>
                <w:rFonts w:ascii="Arial"/>
                <w:sz w:val="21"/>
              </w:rPr>
            </w:pPr>
          </w:p>
          <w:p w14:paraId="31490E8C">
            <w:pPr>
              <w:spacing w:line="350" w:lineRule="auto"/>
              <w:rPr>
                <w:rFonts w:ascii="Arial"/>
                <w:sz w:val="21"/>
              </w:rPr>
            </w:pPr>
          </w:p>
          <w:p w14:paraId="43B7E8F6">
            <w:pPr>
              <w:pStyle w:val="6"/>
              <w:spacing w:before="71" w:line="219" w:lineRule="auto"/>
              <w:ind w:left="160"/>
            </w:pPr>
            <w:r>
              <w:rPr>
                <w:spacing w:val="-3"/>
              </w:rPr>
              <w:t>相符</w:t>
            </w:r>
          </w:p>
        </w:tc>
      </w:tr>
      <w:tr w14:paraId="6F0AD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8" w:hRule="atLeast"/>
        </w:trPr>
        <w:tc>
          <w:tcPr>
            <w:tcW w:w="1253" w:type="dxa"/>
            <w:vMerge w:val="continue"/>
            <w:tcBorders>
              <w:top w:val="nil"/>
              <w:bottom w:val="nil"/>
            </w:tcBorders>
            <w:vAlign w:val="top"/>
          </w:tcPr>
          <w:p w14:paraId="3B79C84C">
            <w:pPr>
              <w:rPr>
                <w:rFonts w:ascii="Arial"/>
                <w:sz w:val="21"/>
              </w:rPr>
            </w:pPr>
          </w:p>
        </w:tc>
        <w:tc>
          <w:tcPr>
            <w:tcW w:w="4545" w:type="dxa"/>
            <w:vAlign w:val="top"/>
          </w:tcPr>
          <w:p w14:paraId="295E53CF">
            <w:pPr>
              <w:pStyle w:val="6"/>
              <w:spacing w:before="107" w:line="219" w:lineRule="auto"/>
              <w:jc w:val="right"/>
            </w:pPr>
            <w:r>
              <w:rPr>
                <w:spacing w:val="-3"/>
              </w:rPr>
              <w:t>(二)禁止在自然保护区核心区、缓冲区的岸线</w:t>
            </w:r>
          </w:p>
          <w:p w14:paraId="18065401">
            <w:pPr>
              <w:pStyle w:val="6"/>
              <w:spacing w:before="8" w:line="219" w:lineRule="auto"/>
              <w:jc w:val="right"/>
            </w:pPr>
            <w:r>
              <w:rPr>
                <w:spacing w:val="-8"/>
              </w:rPr>
              <w:t>和河段范围内投资建设旅游和生产经营项目。禁</w:t>
            </w:r>
          </w:p>
          <w:p w14:paraId="4767D932">
            <w:pPr>
              <w:pStyle w:val="6"/>
              <w:spacing w:line="220" w:lineRule="auto"/>
              <w:ind w:left="61"/>
            </w:pPr>
            <w:r>
              <w:t>止建设与自然保护区保护方向不一致的旅游项</w:t>
            </w:r>
          </w:p>
          <w:p w14:paraId="492E5DBE">
            <w:pPr>
              <w:pStyle w:val="6"/>
              <w:spacing w:before="25" w:line="219" w:lineRule="auto"/>
              <w:jc w:val="right"/>
            </w:pPr>
            <w:r>
              <w:rPr>
                <w:spacing w:val="-9"/>
              </w:rPr>
              <w:t>目。禁止在自然保护区内进行开矿、采石、挖沙</w:t>
            </w:r>
          </w:p>
          <w:p w14:paraId="033C80B3">
            <w:pPr>
              <w:pStyle w:val="6"/>
              <w:spacing w:line="219" w:lineRule="auto"/>
              <w:jc w:val="right"/>
            </w:pPr>
            <w:r>
              <w:rPr>
                <w:spacing w:val="-8"/>
              </w:rPr>
              <w:t>等活动。禁止在自然保护区的核心区和缓冲区内</w:t>
            </w:r>
          </w:p>
          <w:p w14:paraId="08862E36">
            <w:pPr>
              <w:pStyle w:val="6"/>
              <w:spacing w:before="9" w:line="219" w:lineRule="auto"/>
              <w:jc w:val="right"/>
            </w:pPr>
            <w:r>
              <w:rPr>
                <w:spacing w:val="-8"/>
              </w:rPr>
              <w:t>建设任何生产设施，禁止在自然保护区的实验区</w:t>
            </w:r>
          </w:p>
          <w:p w14:paraId="67C7A042">
            <w:pPr>
              <w:pStyle w:val="6"/>
              <w:spacing w:before="9" w:line="219" w:lineRule="auto"/>
              <w:jc w:val="right"/>
            </w:pPr>
            <w:r>
              <w:rPr>
                <w:spacing w:val="-3"/>
              </w:rPr>
              <w:t>内建设污染环境、破坏资源或者景观的生产设</w:t>
            </w:r>
          </w:p>
          <w:p w14:paraId="4DB91AA5">
            <w:pPr>
              <w:pStyle w:val="6"/>
              <w:spacing w:before="12" w:line="222" w:lineRule="auto"/>
              <w:ind w:left="2101"/>
            </w:pPr>
            <w:r>
              <w:t>施。</w:t>
            </w:r>
          </w:p>
        </w:tc>
        <w:tc>
          <w:tcPr>
            <w:tcW w:w="2457" w:type="dxa"/>
            <w:vAlign w:val="top"/>
          </w:tcPr>
          <w:p w14:paraId="621788CE">
            <w:pPr>
              <w:spacing w:line="276" w:lineRule="auto"/>
              <w:rPr>
                <w:rFonts w:ascii="Arial"/>
                <w:sz w:val="21"/>
              </w:rPr>
            </w:pPr>
          </w:p>
          <w:p w14:paraId="4CC7B2FC">
            <w:pPr>
              <w:spacing w:line="276" w:lineRule="auto"/>
              <w:rPr>
                <w:rFonts w:ascii="Arial"/>
                <w:sz w:val="21"/>
              </w:rPr>
            </w:pPr>
          </w:p>
          <w:p w14:paraId="236EF390">
            <w:pPr>
              <w:spacing w:line="277" w:lineRule="auto"/>
              <w:rPr>
                <w:rFonts w:ascii="Arial"/>
                <w:sz w:val="21"/>
              </w:rPr>
            </w:pPr>
          </w:p>
          <w:p w14:paraId="4D9D1914">
            <w:pPr>
              <w:pStyle w:val="6"/>
              <w:spacing w:before="71" w:line="219" w:lineRule="auto"/>
              <w:ind w:left="126"/>
            </w:pPr>
            <w:r>
              <w:rPr>
                <w:spacing w:val="1"/>
              </w:rPr>
              <w:t>本项目用地不涉及自然</w:t>
            </w:r>
          </w:p>
          <w:p w14:paraId="4C5F9119">
            <w:pPr>
              <w:pStyle w:val="6"/>
              <w:spacing w:before="21" w:line="220" w:lineRule="auto"/>
              <w:ind w:left="836"/>
            </w:pPr>
            <w:r>
              <w:rPr>
                <w:spacing w:val="-1"/>
              </w:rPr>
              <w:t>保护区。</w:t>
            </w:r>
          </w:p>
        </w:tc>
        <w:tc>
          <w:tcPr>
            <w:tcW w:w="764" w:type="dxa"/>
            <w:vAlign w:val="top"/>
          </w:tcPr>
          <w:p w14:paraId="54DEE102">
            <w:pPr>
              <w:spacing w:line="242" w:lineRule="auto"/>
              <w:rPr>
                <w:rFonts w:ascii="Arial"/>
                <w:sz w:val="21"/>
              </w:rPr>
            </w:pPr>
          </w:p>
          <w:p w14:paraId="657F1491">
            <w:pPr>
              <w:spacing w:line="242" w:lineRule="auto"/>
              <w:rPr>
                <w:rFonts w:ascii="Arial"/>
                <w:sz w:val="21"/>
              </w:rPr>
            </w:pPr>
          </w:p>
          <w:p w14:paraId="61156CE8">
            <w:pPr>
              <w:spacing w:line="242" w:lineRule="auto"/>
              <w:rPr>
                <w:rFonts w:ascii="Arial"/>
                <w:sz w:val="21"/>
              </w:rPr>
            </w:pPr>
          </w:p>
          <w:p w14:paraId="474AB334">
            <w:pPr>
              <w:spacing w:line="243" w:lineRule="auto"/>
              <w:rPr>
                <w:rFonts w:ascii="Arial"/>
                <w:sz w:val="21"/>
              </w:rPr>
            </w:pPr>
          </w:p>
          <w:p w14:paraId="29F064F2">
            <w:pPr>
              <w:pStyle w:val="6"/>
              <w:spacing w:before="72" w:line="219" w:lineRule="auto"/>
              <w:ind w:left="160"/>
            </w:pPr>
            <w:r>
              <w:rPr>
                <w:spacing w:val="-3"/>
              </w:rPr>
              <w:t>相符</w:t>
            </w:r>
          </w:p>
        </w:tc>
      </w:tr>
      <w:tr w14:paraId="6B241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4" w:hRule="atLeast"/>
        </w:trPr>
        <w:tc>
          <w:tcPr>
            <w:tcW w:w="1253" w:type="dxa"/>
            <w:vMerge w:val="continue"/>
            <w:tcBorders>
              <w:top w:val="nil"/>
            </w:tcBorders>
            <w:vAlign w:val="top"/>
          </w:tcPr>
          <w:p w14:paraId="5848E275">
            <w:pPr>
              <w:rPr>
                <w:rFonts w:ascii="Arial"/>
                <w:sz w:val="21"/>
              </w:rPr>
            </w:pPr>
          </w:p>
        </w:tc>
        <w:tc>
          <w:tcPr>
            <w:tcW w:w="4545" w:type="dxa"/>
            <w:vAlign w:val="top"/>
          </w:tcPr>
          <w:p w14:paraId="62217A4B">
            <w:pPr>
              <w:pStyle w:val="6"/>
              <w:spacing w:before="98" w:line="231" w:lineRule="auto"/>
              <w:ind w:left="11" w:firstLine="48"/>
              <w:jc w:val="both"/>
            </w:pPr>
            <w:r>
              <w:rPr>
                <w:spacing w:val="-5"/>
              </w:rPr>
              <w:t>(三)禁止在风景名胜区核心景区的岸线和河段</w:t>
            </w:r>
            <w:r>
              <w:rPr>
                <w:spacing w:val="5"/>
              </w:rPr>
              <w:t xml:space="preserve">  </w:t>
            </w:r>
            <w:r>
              <w:rPr>
                <w:spacing w:val="-2"/>
              </w:rPr>
              <w:t>范围内投资建设与风景名胜资源保护无关的项</w:t>
            </w:r>
            <w:r>
              <w:t xml:space="preserve">  </w:t>
            </w:r>
            <w:r>
              <w:rPr>
                <w:spacing w:val="-15"/>
              </w:rPr>
              <w:t>目。禁止在风景名胜区内进行开山、采石、开矿、</w:t>
            </w:r>
            <w:r>
              <w:rPr>
                <w:spacing w:val="12"/>
              </w:rPr>
              <w:t xml:space="preserve"> </w:t>
            </w:r>
            <w:r>
              <w:rPr>
                <w:spacing w:val="-9"/>
              </w:rPr>
              <w:t>开荒、修坟立碑等破坏景观、植被和地形地貌的</w:t>
            </w:r>
            <w:r>
              <w:t xml:space="preserve">  </w:t>
            </w:r>
            <w:r>
              <w:rPr>
                <w:spacing w:val="-9"/>
              </w:rPr>
              <w:t>活动以及修建储存爆炸性、易燃性、放射性、毒</w:t>
            </w:r>
          </w:p>
        </w:tc>
        <w:tc>
          <w:tcPr>
            <w:tcW w:w="2457" w:type="dxa"/>
            <w:vAlign w:val="top"/>
          </w:tcPr>
          <w:p w14:paraId="35485961">
            <w:pPr>
              <w:spacing w:line="433" w:lineRule="auto"/>
              <w:rPr>
                <w:rFonts w:ascii="Arial"/>
                <w:sz w:val="21"/>
              </w:rPr>
            </w:pPr>
          </w:p>
          <w:p w14:paraId="1A047A95">
            <w:pPr>
              <w:pStyle w:val="6"/>
              <w:spacing w:before="71" w:line="219" w:lineRule="auto"/>
              <w:ind w:left="126"/>
            </w:pPr>
            <w:r>
              <w:rPr>
                <w:spacing w:val="1"/>
              </w:rPr>
              <w:t>本项目用地不涉及风景</w:t>
            </w:r>
          </w:p>
          <w:p w14:paraId="18F57C38">
            <w:pPr>
              <w:pStyle w:val="6"/>
              <w:spacing w:before="21" w:line="221" w:lineRule="auto"/>
              <w:ind w:left="836"/>
            </w:pPr>
            <w:r>
              <w:rPr>
                <w:spacing w:val="-1"/>
              </w:rPr>
              <w:t>名胜区。</w:t>
            </w:r>
          </w:p>
        </w:tc>
        <w:tc>
          <w:tcPr>
            <w:tcW w:w="764" w:type="dxa"/>
            <w:vAlign w:val="top"/>
          </w:tcPr>
          <w:p w14:paraId="51F76BE8">
            <w:pPr>
              <w:spacing w:line="287" w:lineRule="auto"/>
              <w:rPr>
                <w:rFonts w:ascii="Arial"/>
                <w:sz w:val="21"/>
              </w:rPr>
            </w:pPr>
          </w:p>
          <w:p w14:paraId="2DEE1F4D">
            <w:pPr>
              <w:spacing w:line="287" w:lineRule="auto"/>
              <w:rPr>
                <w:rFonts w:ascii="Arial"/>
                <w:sz w:val="21"/>
              </w:rPr>
            </w:pPr>
          </w:p>
          <w:p w14:paraId="16D466EA">
            <w:pPr>
              <w:pStyle w:val="6"/>
              <w:spacing w:before="71" w:line="219" w:lineRule="auto"/>
              <w:ind w:left="160"/>
            </w:pPr>
            <w:r>
              <w:rPr>
                <w:spacing w:val="-3"/>
              </w:rPr>
              <w:t>相符</w:t>
            </w:r>
          </w:p>
        </w:tc>
      </w:tr>
    </w:tbl>
    <w:p w14:paraId="4451871F">
      <w:pPr>
        <w:pStyle w:val="2"/>
      </w:pPr>
    </w:p>
    <w:p w14:paraId="6CB833BE">
      <w:pPr>
        <w:sectPr>
          <w:footerReference r:id="rId38" w:type="default"/>
          <w:pgSz w:w="11910" w:h="16830"/>
          <w:pgMar w:top="400" w:right="1465" w:bottom="1259" w:left="1415" w:header="0" w:footer="1079" w:gutter="0"/>
          <w:cols w:space="720" w:num="1"/>
        </w:sectPr>
      </w:pPr>
    </w:p>
    <w:p w14:paraId="00DE150C">
      <w:pPr>
        <w:spacing w:before="18"/>
      </w:pPr>
    </w:p>
    <w:p w14:paraId="0E086787">
      <w:pPr>
        <w:spacing w:before="18"/>
      </w:pPr>
    </w:p>
    <w:p w14:paraId="624D5FB5">
      <w:pPr>
        <w:spacing w:before="17"/>
      </w:pPr>
    </w:p>
    <w:p w14:paraId="586C7960">
      <w:pPr>
        <w:spacing w:before="17"/>
      </w:pPr>
    </w:p>
    <w:p w14:paraId="49A6CB8A">
      <w:pPr>
        <w:spacing w:before="17"/>
      </w:pPr>
    </w:p>
    <w:tbl>
      <w:tblPr>
        <w:tblStyle w:val="5"/>
        <w:tblW w:w="8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4515"/>
        <w:gridCol w:w="2417"/>
        <w:gridCol w:w="764"/>
      </w:tblGrid>
      <w:tr w14:paraId="71C22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1254" w:type="dxa"/>
            <w:vMerge w:val="restart"/>
            <w:tcBorders>
              <w:bottom w:val="nil"/>
            </w:tcBorders>
            <w:vAlign w:val="top"/>
          </w:tcPr>
          <w:p w14:paraId="56DA56AE">
            <w:pPr>
              <w:rPr>
                <w:rFonts w:ascii="Arial"/>
                <w:sz w:val="21"/>
              </w:rPr>
            </w:pPr>
          </w:p>
        </w:tc>
        <w:tc>
          <w:tcPr>
            <w:tcW w:w="4515" w:type="dxa"/>
            <w:vAlign w:val="top"/>
          </w:tcPr>
          <w:p w14:paraId="0183067F">
            <w:pPr>
              <w:pStyle w:val="6"/>
              <w:spacing w:before="93" w:line="219" w:lineRule="auto"/>
              <w:ind w:left="40"/>
              <w:rPr>
                <w:sz w:val="21"/>
                <w:szCs w:val="21"/>
              </w:rPr>
            </w:pPr>
            <w:r>
              <w:rPr>
                <w:spacing w:val="1"/>
                <w:sz w:val="21"/>
                <w:szCs w:val="21"/>
              </w:rPr>
              <w:t>害性、腐蚀性物品的设施；禁止在风景名胜区内</w:t>
            </w:r>
          </w:p>
          <w:p w14:paraId="70B5C528">
            <w:pPr>
              <w:pStyle w:val="6"/>
              <w:spacing w:before="39" w:line="219" w:lineRule="auto"/>
              <w:ind w:left="40"/>
              <w:rPr>
                <w:sz w:val="21"/>
                <w:szCs w:val="21"/>
              </w:rPr>
            </w:pPr>
            <w:r>
              <w:rPr>
                <w:sz w:val="21"/>
                <w:szCs w:val="21"/>
              </w:rPr>
              <w:t>设立开发区和在核心景区内建设宾馆、会所、培</w:t>
            </w:r>
          </w:p>
          <w:p w14:paraId="307D58A9">
            <w:pPr>
              <w:pStyle w:val="6"/>
              <w:spacing w:before="32" w:line="219" w:lineRule="auto"/>
              <w:ind w:left="40"/>
              <w:rPr>
                <w:sz w:val="21"/>
                <w:szCs w:val="21"/>
              </w:rPr>
            </w:pPr>
            <w:r>
              <w:rPr>
                <w:sz w:val="21"/>
                <w:szCs w:val="21"/>
              </w:rPr>
              <w:t>训中心、疗养院以及与风景名胜资源保护无关的</w:t>
            </w:r>
          </w:p>
          <w:p w14:paraId="349BAFE8">
            <w:pPr>
              <w:pStyle w:val="6"/>
              <w:spacing w:before="11" w:line="220" w:lineRule="auto"/>
              <w:ind w:left="1560"/>
              <w:rPr>
                <w:sz w:val="21"/>
                <w:szCs w:val="21"/>
              </w:rPr>
            </w:pPr>
            <w:r>
              <w:rPr>
                <w:sz w:val="21"/>
                <w:szCs w:val="21"/>
              </w:rPr>
              <w:t>投资建设项目。</w:t>
            </w:r>
          </w:p>
        </w:tc>
        <w:tc>
          <w:tcPr>
            <w:tcW w:w="2417" w:type="dxa"/>
            <w:vAlign w:val="top"/>
          </w:tcPr>
          <w:p w14:paraId="5038C0EE">
            <w:pPr>
              <w:rPr>
                <w:rFonts w:ascii="Arial"/>
                <w:sz w:val="21"/>
              </w:rPr>
            </w:pPr>
          </w:p>
        </w:tc>
        <w:tc>
          <w:tcPr>
            <w:tcW w:w="764" w:type="dxa"/>
            <w:vAlign w:val="top"/>
          </w:tcPr>
          <w:p w14:paraId="7E03C989">
            <w:pPr>
              <w:rPr>
                <w:rFonts w:ascii="Arial"/>
                <w:sz w:val="21"/>
              </w:rPr>
            </w:pPr>
          </w:p>
        </w:tc>
      </w:tr>
      <w:tr w14:paraId="5773B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9" w:hRule="atLeast"/>
        </w:trPr>
        <w:tc>
          <w:tcPr>
            <w:tcW w:w="1254" w:type="dxa"/>
            <w:vMerge w:val="continue"/>
            <w:tcBorders>
              <w:top w:val="nil"/>
              <w:bottom w:val="nil"/>
            </w:tcBorders>
            <w:vAlign w:val="top"/>
          </w:tcPr>
          <w:p w14:paraId="07C34315">
            <w:pPr>
              <w:rPr>
                <w:rFonts w:ascii="Arial"/>
                <w:sz w:val="21"/>
              </w:rPr>
            </w:pPr>
          </w:p>
        </w:tc>
        <w:tc>
          <w:tcPr>
            <w:tcW w:w="4515" w:type="dxa"/>
            <w:vAlign w:val="top"/>
          </w:tcPr>
          <w:p w14:paraId="152F97A3">
            <w:pPr>
              <w:pStyle w:val="6"/>
              <w:spacing w:before="79" w:line="219" w:lineRule="auto"/>
              <w:ind w:left="151"/>
              <w:rPr>
                <w:sz w:val="21"/>
                <w:szCs w:val="21"/>
              </w:rPr>
            </w:pPr>
            <w:r>
              <w:rPr>
                <w:sz w:val="21"/>
                <w:szCs w:val="21"/>
              </w:rPr>
              <w:t>(四)禁止在饮用水水源一级保护区的岸线和河</w:t>
            </w:r>
          </w:p>
          <w:p w14:paraId="210D6B16">
            <w:pPr>
              <w:pStyle w:val="6"/>
              <w:spacing w:before="39" w:line="219" w:lineRule="auto"/>
              <w:ind w:left="40"/>
              <w:rPr>
                <w:sz w:val="21"/>
                <w:szCs w:val="21"/>
              </w:rPr>
            </w:pPr>
            <w:r>
              <w:rPr>
                <w:spacing w:val="-1"/>
                <w:sz w:val="21"/>
                <w:szCs w:val="21"/>
              </w:rPr>
              <w:t>段范围内新建、改建、扩建与供水设施和保护水</w:t>
            </w:r>
          </w:p>
          <w:p w14:paraId="1E256DF5">
            <w:pPr>
              <w:pStyle w:val="6"/>
              <w:spacing w:before="22" w:line="219" w:lineRule="auto"/>
              <w:ind w:left="40"/>
              <w:rPr>
                <w:sz w:val="21"/>
                <w:szCs w:val="21"/>
              </w:rPr>
            </w:pPr>
            <w:r>
              <w:rPr>
                <w:spacing w:val="-1"/>
                <w:sz w:val="21"/>
                <w:szCs w:val="21"/>
              </w:rPr>
              <w:t>源无关的投资建设项目，以及网箱养殖、畜禽养</w:t>
            </w:r>
          </w:p>
          <w:p w14:paraId="59D1CD9E">
            <w:pPr>
              <w:pStyle w:val="6"/>
              <w:spacing w:before="20" w:line="219" w:lineRule="auto"/>
              <w:ind w:left="151"/>
              <w:rPr>
                <w:sz w:val="21"/>
                <w:szCs w:val="21"/>
              </w:rPr>
            </w:pPr>
            <w:r>
              <w:rPr>
                <w:sz w:val="21"/>
                <w:szCs w:val="21"/>
              </w:rPr>
              <w:t>殖、旅游等可能污染饮用水水体的投资建设项</w:t>
            </w:r>
          </w:p>
          <w:p w14:paraId="22B95DC0">
            <w:pPr>
              <w:pStyle w:val="6"/>
              <w:spacing w:before="21" w:line="219" w:lineRule="auto"/>
              <w:ind w:left="40"/>
              <w:rPr>
                <w:sz w:val="21"/>
                <w:szCs w:val="21"/>
              </w:rPr>
            </w:pPr>
            <w:r>
              <w:rPr>
                <w:sz w:val="21"/>
                <w:szCs w:val="21"/>
              </w:rPr>
              <w:t>目。禁止在饮用水水源二级保护区的岸线和河段</w:t>
            </w:r>
          </w:p>
          <w:p w14:paraId="05DBCA0B">
            <w:pPr>
              <w:pStyle w:val="6"/>
              <w:spacing w:before="21" w:line="219" w:lineRule="auto"/>
              <w:ind w:left="40"/>
              <w:rPr>
                <w:sz w:val="21"/>
                <w:szCs w:val="21"/>
              </w:rPr>
            </w:pPr>
            <w:r>
              <w:rPr>
                <w:sz w:val="21"/>
                <w:szCs w:val="21"/>
              </w:rPr>
              <w:t>范围内新建、改建、扩建排放污染物的投资建设</w:t>
            </w:r>
          </w:p>
          <w:p w14:paraId="53D85CFE">
            <w:pPr>
              <w:pStyle w:val="6"/>
              <w:spacing w:before="21" w:line="220" w:lineRule="auto"/>
              <w:ind w:left="1980"/>
              <w:rPr>
                <w:sz w:val="21"/>
                <w:szCs w:val="21"/>
              </w:rPr>
            </w:pPr>
            <w:r>
              <w:rPr>
                <w:spacing w:val="1"/>
                <w:sz w:val="21"/>
                <w:szCs w:val="21"/>
              </w:rPr>
              <w:t>项目。</w:t>
            </w:r>
          </w:p>
        </w:tc>
        <w:tc>
          <w:tcPr>
            <w:tcW w:w="2417" w:type="dxa"/>
            <w:vAlign w:val="top"/>
          </w:tcPr>
          <w:p w14:paraId="036A3C04">
            <w:pPr>
              <w:spacing w:line="347" w:lineRule="auto"/>
              <w:rPr>
                <w:rFonts w:ascii="Arial"/>
                <w:sz w:val="21"/>
              </w:rPr>
            </w:pPr>
          </w:p>
          <w:p w14:paraId="51529145">
            <w:pPr>
              <w:spacing w:line="348" w:lineRule="auto"/>
              <w:rPr>
                <w:rFonts w:ascii="Arial"/>
                <w:sz w:val="21"/>
              </w:rPr>
            </w:pPr>
          </w:p>
          <w:p w14:paraId="56E06B57">
            <w:pPr>
              <w:pStyle w:val="6"/>
              <w:spacing w:before="68" w:line="219" w:lineRule="auto"/>
              <w:ind w:left="155"/>
              <w:rPr>
                <w:sz w:val="21"/>
                <w:szCs w:val="21"/>
              </w:rPr>
            </w:pPr>
            <w:r>
              <w:rPr>
                <w:spacing w:val="2"/>
                <w:sz w:val="21"/>
                <w:szCs w:val="21"/>
              </w:rPr>
              <w:t>本项目用地不涉及饮用</w:t>
            </w:r>
          </w:p>
          <w:p w14:paraId="79B6D852">
            <w:pPr>
              <w:pStyle w:val="6"/>
              <w:spacing w:before="32" w:line="219" w:lineRule="auto"/>
              <w:ind w:left="726"/>
              <w:rPr>
                <w:sz w:val="21"/>
                <w:szCs w:val="21"/>
              </w:rPr>
            </w:pPr>
            <w:r>
              <w:rPr>
                <w:sz w:val="21"/>
                <w:szCs w:val="21"/>
              </w:rPr>
              <w:t>水保护区。</w:t>
            </w:r>
          </w:p>
        </w:tc>
        <w:tc>
          <w:tcPr>
            <w:tcW w:w="764" w:type="dxa"/>
            <w:vAlign w:val="top"/>
          </w:tcPr>
          <w:p w14:paraId="50A97C50">
            <w:pPr>
              <w:spacing w:line="275" w:lineRule="auto"/>
              <w:rPr>
                <w:rFonts w:ascii="Arial"/>
                <w:sz w:val="21"/>
              </w:rPr>
            </w:pPr>
          </w:p>
          <w:p w14:paraId="21BC5A38">
            <w:pPr>
              <w:spacing w:line="275" w:lineRule="auto"/>
              <w:rPr>
                <w:rFonts w:ascii="Arial"/>
                <w:sz w:val="21"/>
              </w:rPr>
            </w:pPr>
          </w:p>
          <w:p w14:paraId="44CA04A8">
            <w:pPr>
              <w:spacing w:line="276" w:lineRule="auto"/>
              <w:rPr>
                <w:rFonts w:ascii="Arial"/>
                <w:sz w:val="21"/>
              </w:rPr>
            </w:pPr>
          </w:p>
          <w:p w14:paraId="21B5E46C">
            <w:pPr>
              <w:pStyle w:val="6"/>
              <w:spacing w:before="68" w:line="219" w:lineRule="auto"/>
              <w:ind w:left="168"/>
              <w:rPr>
                <w:sz w:val="21"/>
                <w:szCs w:val="21"/>
              </w:rPr>
            </w:pPr>
            <w:r>
              <w:rPr>
                <w:spacing w:val="-3"/>
                <w:sz w:val="21"/>
                <w:szCs w:val="21"/>
              </w:rPr>
              <w:t>相符</w:t>
            </w:r>
          </w:p>
        </w:tc>
      </w:tr>
      <w:tr w14:paraId="22744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9" w:hRule="atLeast"/>
        </w:trPr>
        <w:tc>
          <w:tcPr>
            <w:tcW w:w="1254" w:type="dxa"/>
            <w:vMerge w:val="continue"/>
            <w:tcBorders>
              <w:top w:val="nil"/>
              <w:bottom w:val="nil"/>
            </w:tcBorders>
            <w:vAlign w:val="top"/>
          </w:tcPr>
          <w:p w14:paraId="5B2D0EDE">
            <w:pPr>
              <w:rPr>
                <w:rFonts w:ascii="Arial"/>
                <w:sz w:val="21"/>
              </w:rPr>
            </w:pPr>
          </w:p>
        </w:tc>
        <w:tc>
          <w:tcPr>
            <w:tcW w:w="4515" w:type="dxa"/>
            <w:vAlign w:val="top"/>
          </w:tcPr>
          <w:p w14:paraId="5900F4EA">
            <w:pPr>
              <w:pStyle w:val="6"/>
              <w:spacing w:before="110" w:line="219" w:lineRule="auto"/>
              <w:ind w:left="151"/>
              <w:rPr>
                <w:sz w:val="21"/>
                <w:szCs w:val="21"/>
              </w:rPr>
            </w:pPr>
            <w:r>
              <w:rPr>
                <w:sz w:val="21"/>
                <w:szCs w:val="21"/>
              </w:rPr>
              <w:t>(五)禁止在水产种质资源保护区的岸线和河段</w:t>
            </w:r>
          </w:p>
          <w:p w14:paraId="456A182C">
            <w:pPr>
              <w:pStyle w:val="6"/>
              <w:spacing w:before="20" w:line="219" w:lineRule="auto"/>
              <w:ind w:left="40"/>
              <w:rPr>
                <w:sz w:val="21"/>
                <w:szCs w:val="21"/>
              </w:rPr>
            </w:pPr>
            <w:r>
              <w:rPr>
                <w:sz w:val="21"/>
                <w:szCs w:val="21"/>
              </w:rPr>
              <w:t>范围内新建围湖造田、围湖造地或围填海等投资</w:t>
            </w:r>
          </w:p>
          <w:p w14:paraId="741F54AA">
            <w:pPr>
              <w:pStyle w:val="6"/>
              <w:spacing w:before="41" w:line="219" w:lineRule="auto"/>
              <w:ind w:left="40"/>
              <w:rPr>
                <w:sz w:val="21"/>
                <w:szCs w:val="21"/>
              </w:rPr>
            </w:pPr>
            <w:r>
              <w:rPr>
                <w:sz w:val="21"/>
                <w:szCs w:val="21"/>
              </w:rPr>
              <w:t>建设项目。禁止擅自征收、占用国家湿地公园的</w:t>
            </w:r>
          </w:p>
          <w:p w14:paraId="0C232BE0">
            <w:pPr>
              <w:pStyle w:val="6"/>
              <w:spacing w:before="9" w:line="219" w:lineRule="auto"/>
              <w:ind w:left="40"/>
              <w:rPr>
                <w:sz w:val="21"/>
                <w:szCs w:val="21"/>
              </w:rPr>
            </w:pPr>
            <w:r>
              <w:rPr>
                <w:sz w:val="21"/>
                <w:szCs w:val="21"/>
              </w:rPr>
              <w:t>土地；禁止在国家湿地公园内挖沙、采矿，以及</w:t>
            </w:r>
          </w:p>
          <w:p w14:paraId="57579D22">
            <w:pPr>
              <w:pStyle w:val="6"/>
              <w:spacing w:before="11" w:line="212" w:lineRule="auto"/>
              <w:ind w:left="40"/>
              <w:rPr>
                <w:sz w:val="21"/>
                <w:szCs w:val="21"/>
              </w:rPr>
            </w:pPr>
            <w:r>
              <w:rPr>
                <w:sz w:val="21"/>
                <w:szCs w:val="21"/>
              </w:rPr>
              <w:t>建设度假村、高尔夫球场等任何不符合主体功能</w:t>
            </w:r>
          </w:p>
          <w:p w14:paraId="0B758B6E">
            <w:pPr>
              <w:pStyle w:val="6"/>
              <w:spacing w:line="220" w:lineRule="auto"/>
              <w:ind w:left="1250"/>
              <w:rPr>
                <w:sz w:val="21"/>
                <w:szCs w:val="21"/>
              </w:rPr>
            </w:pPr>
            <w:r>
              <w:rPr>
                <w:spacing w:val="-1"/>
                <w:sz w:val="21"/>
                <w:szCs w:val="21"/>
              </w:rPr>
              <w:t>定位的投资建设项目。</w:t>
            </w:r>
          </w:p>
        </w:tc>
        <w:tc>
          <w:tcPr>
            <w:tcW w:w="2417" w:type="dxa"/>
            <w:vAlign w:val="top"/>
          </w:tcPr>
          <w:p w14:paraId="6CDE74AC">
            <w:pPr>
              <w:spacing w:line="438" w:lineRule="auto"/>
              <w:rPr>
                <w:rFonts w:ascii="Arial"/>
                <w:sz w:val="21"/>
              </w:rPr>
            </w:pPr>
          </w:p>
          <w:p w14:paraId="26829B30">
            <w:pPr>
              <w:pStyle w:val="6"/>
              <w:spacing w:before="68" w:line="219" w:lineRule="auto"/>
              <w:ind w:left="155"/>
              <w:rPr>
                <w:sz w:val="21"/>
                <w:szCs w:val="21"/>
              </w:rPr>
            </w:pPr>
            <w:r>
              <w:rPr>
                <w:spacing w:val="1"/>
                <w:sz w:val="21"/>
                <w:szCs w:val="21"/>
              </w:rPr>
              <w:t>本项目用地不涉及水产</w:t>
            </w:r>
          </w:p>
          <w:p w14:paraId="2976D22E">
            <w:pPr>
              <w:pStyle w:val="6"/>
              <w:spacing w:before="32" w:line="220" w:lineRule="auto"/>
              <w:ind w:left="155"/>
              <w:rPr>
                <w:sz w:val="21"/>
                <w:szCs w:val="21"/>
              </w:rPr>
            </w:pPr>
            <w:r>
              <w:rPr>
                <w:spacing w:val="1"/>
                <w:sz w:val="21"/>
                <w:szCs w:val="21"/>
              </w:rPr>
              <w:t>种质资源保护区及国家</w:t>
            </w:r>
          </w:p>
          <w:p w14:paraId="7BEACDBD">
            <w:pPr>
              <w:pStyle w:val="6"/>
              <w:spacing w:before="20" w:line="221" w:lineRule="auto"/>
              <w:ind w:left="726"/>
              <w:rPr>
                <w:sz w:val="21"/>
                <w:szCs w:val="21"/>
              </w:rPr>
            </w:pPr>
            <w:r>
              <w:rPr>
                <w:sz w:val="21"/>
                <w:szCs w:val="21"/>
              </w:rPr>
              <w:t>湿地公园。</w:t>
            </w:r>
          </w:p>
        </w:tc>
        <w:tc>
          <w:tcPr>
            <w:tcW w:w="764" w:type="dxa"/>
            <w:vAlign w:val="top"/>
          </w:tcPr>
          <w:p w14:paraId="48FE3B11">
            <w:pPr>
              <w:spacing w:line="354" w:lineRule="auto"/>
              <w:rPr>
                <w:rFonts w:ascii="Arial"/>
                <w:sz w:val="21"/>
              </w:rPr>
            </w:pPr>
          </w:p>
          <w:p w14:paraId="682A5931">
            <w:pPr>
              <w:spacing w:line="354" w:lineRule="auto"/>
              <w:rPr>
                <w:rFonts w:ascii="Arial"/>
                <w:sz w:val="21"/>
              </w:rPr>
            </w:pPr>
          </w:p>
          <w:p w14:paraId="2EF5D662">
            <w:pPr>
              <w:pStyle w:val="6"/>
              <w:spacing w:before="68" w:line="219" w:lineRule="auto"/>
              <w:ind w:left="168"/>
              <w:rPr>
                <w:sz w:val="21"/>
                <w:szCs w:val="21"/>
              </w:rPr>
            </w:pPr>
            <w:r>
              <w:rPr>
                <w:spacing w:val="-3"/>
                <w:sz w:val="21"/>
                <w:szCs w:val="21"/>
              </w:rPr>
              <w:t>相符</w:t>
            </w:r>
          </w:p>
        </w:tc>
      </w:tr>
      <w:tr w14:paraId="1A9DD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8" w:hRule="atLeast"/>
        </w:trPr>
        <w:tc>
          <w:tcPr>
            <w:tcW w:w="1254" w:type="dxa"/>
            <w:vMerge w:val="continue"/>
            <w:tcBorders>
              <w:top w:val="nil"/>
              <w:bottom w:val="nil"/>
            </w:tcBorders>
            <w:vAlign w:val="top"/>
          </w:tcPr>
          <w:p w14:paraId="44A036B9">
            <w:pPr>
              <w:rPr>
                <w:rFonts w:ascii="Arial"/>
                <w:sz w:val="21"/>
              </w:rPr>
            </w:pPr>
          </w:p>
        </w:tc>
        <w:tc>
          <w:tcPr>
            <w:tcW w:w="4515" w:type="dxa"/>
            <w:vAlign w:val="top"/>
          </w:tcPr>
          <w:p w14:paraId="3EAACB93">
            <w:pPr>
              <w:pStyle w:val="6"/>
              <w:spacing w:before="81" w:line="219" w:lineRule="auto"/>
              <w:ind w:left="200"/>
              <w:rPr>
                <w:sz w:val="21"/>
                <w:szCs w:val="21"/>
              </w:rPr>
            </w:pPr>
            <w:r>
              <w:rPr>
                <w:spacing w:val="-1"/>
                <w:sz w:val="21"/>
                <w:szCs w:val="21"/>
              </w:rPr>
              <w:t>(六)禁止违法利用、占用长江流域河湖岸线。</w:t>
            </w:r>
          </w:p>
          <w:p w14:paraId="7C4EE088">
            <w:pPr>
              <w:pStyle w:val="6"/>
              <w:spacing w:before="40" w:line="219" w:lineRule="auto"/>
              <w:ind w:left="151"/>
              <w:rPr>
                <w:sz w:val="21"/>
                <w:szCs w:val="21"/>
              </w:rPr>
            </w:pPr>
            <w:r>
              <w:rPr>
                <w:spacing w:val="-1"/>
                <w:sz w:val="21"/>
                <w:szCs w:val="21"/>
              </w:rPr>
              <w:t>禁止在金沙江岸线保护区和保留区内投资建设</w:t>
            </w:r>
          </w:p>
          <w:p w14:paraId="5BCD4633">
            <w:pPr>
              <w:pStyle w:val="6"/>
              <w:spacing w:before="20" w:line="219" w:lineRule="auto"/>
              <w:ind w:left="40"/>
              <w:rPr>
                <w:sz w:val="21"/>
                <w:szCs w:val="21"/>
              </w:rPr>
            </w:pPr>
            <w:r>
              <w:rPr>
                <w:sz w:val="21"/>
                <w:szCs w:val="21"/>
              </w:rPr>
              <w:t>除事关公共安全及公众利益的防洪护岸、河道治</w:t>
            </w:r>
          </w:p>
          <w:p w14:paraId="1623B97E">
            <w:pPr>
              <w:pStyle w:val="6"/>
              <w:spacing w:before="30" w:line="219" w:lineRule="auto"/>
              <w:ind w:left="40"/>
              <w:rPr>
                <w:sz w:val="21"/>
                <w:szCs w:val="21"/>
              </w:rPr>
            </w:pPr>
            <w:r>
              <w:rPr>
                <w:sz w:val="21"/>
                <w:szCs w:val="21"/>
              </w:rPr>
              <w:t>理、供水、生态环境保护、航道整治、国家重要</w:t>
            </w:r>
          </w:p>
          <w:p w14:paraId="4CA5FA99">
            <w:pPr>
              <w:pStyle w:val="6"/>
              <w:spacing w:before="10" w:line="219" w:lineRule="auto"/>
              <w:ind w:left="40"/>
              <w:rPr>
                <w:sz w:val="21"/>
                <w:szCs w:val="21"/>
              </w:rPr>
            </w:pPr>
            <w:r>
              <w:rPr>
                <w:spacing w:val="-1"/>
                <w:sz w:val="21"/>
                <w:szCs w:val="21"/>
              </w:rPr>
              <w:t>基础设施以外的项目。禁止在金沙江干流、九大</w:t>
            </w:r>
          </w:p>
          <w:p w14:paraId="7DB93C16">
            <w:pPr>
              <w:pStyle w:val="6"/>
              <w:spacing w:before="23" w:line="219" w:lineRule="auto"/>
              <w:ind w:left="40"/>
              <w:rPr>
                <w:sz w:val="21"/>
                <w:szCs w:val="21"/>
              </w:rPr>
            </w:pPr>
            <w:r>
              <w:rPr>
                <w:sz w:val="21"/>
                <w:szCs w:val="21"/>
              </w:rPr>
              <w:t>高原湖泊保护区、保留区内投资建设不利于水资</w:t>
            </w:r>
          </w:p>
          <w:p w14:paraId="130189C9">
            <w:pPr>
              <w:pStyle w:val="6"/>
              <w:spacing w:before="41" w:line="220" w:lineRule="auto"/>
              <w:ind w:left="1040"/>
              <w:rPr>
                <w:sz w:val="21"/>
                <w:szCs w:val="21"/>
              </w:rPr>
            </w:pPr>
            <w:r>
              <w:rPr>
                <w:spacing w:val="-1"/>
                <w:sz w:val="21"/>
                <w:szCs w:val="21"/>
              </w:rPr>
              <w:t>源及自然生态保护的项目。</w:t>
            </w:r>
          </w:p>
        </w:tc>
        <w:tc>
          <w:tcPr>
            <w:tcW w:w="2417" w:type="dxa"/>
            <w:vAlign w:val="top"/>
          </w:tcPr>
          <w:p w14:paraId="03B8616C">
            <w:pPr>
              <w:pStyle w:val="6"/>
              <w:spacing w:before="81" w:line="219" w:lineRule="auto"/>
              <w:jc w:val="right"/>
              <w:rPr>
                <w:sz w:val="21"/>
                <w:szCs w:val="21"/>
              </w:rPr>
            </w:pPr>
            <w:r>
              <w:rPr>
                <w:sz w:val="21"/>
                <w:szCs w:val="21"/>
              </w:rPr>
              <w:t>经现场踏勘及资料核实，</w:t>
            </w:r>
          </w:p>
          <w:p w14:paraId="695065EC">
            <w:pPr>
              <w:pStyle w:val="6"/>
              <w:spacing w:before="19" w:line="219" w:lineRule="auto"/>
              <w:ind w:left="45"/>
              <w:rPr>
                <w:sz w:val="21"/>
                <w:szCs w:val="21"/>
              </w:rPr>
            </w:pPr>
            <w:r>
              <w:rPr>
                <w:spacing w:val="-1"/>
                <w:sz w:val="21"/>
                <w:szCs w:val="21"/>
              </w:rPr>
              <w:t>本项目所在地不在《长江</w:t>
            </w:r>
          </w:p>
          <w:p w14:paraId="03A0165C">
            <w:pPr>
              <w:pStyle w:val="6"/>
              <w:spacing w:before="22" w:line="220" w:lineRule="auto"/>
              <w:ind w:left="155"/>
              <w:rPr>
                <w:sz w:val="21"/>
                <w:szCs w:val="21"/>
              </w:rPr>
            </w:pPr>
            <w:r>
              <w:rPr>
                <w:spacing w:val="1"/>
                <w:sz w:val="21"/>
                <w:szCs w:val="21"/>
              </w:rPr>
              <w:t>岸线保护和开发利用总</w:t>
            </w:r>
          </w:p>
          <w:p w14:paraId="01F12216">
            <w:pPr>
              <w:pStyle w:val="6"/>
              <w:spacing w:before="49" w:line="220" w:lineRule="auto"/>
              <w:ind w:left="45"/>
              <w:rPr>
                <w:sz w:val="21"/>
                <w:szCs w:val="21"/>
              </w:rPr>
            </w:pPr>
            <w:r>
              <w:rPr>
                <w:spacing w:val="1"/>
                <w:sz w:val="21"/>
                <w:szCs w:val="21"/>
              </w:rPr>
              <w:t>体规划》划定的岸线保护</w:t>
            </w:r>
          </w:p>
          <w:p w14:paraId="42AFA1B4">
            <w:pPr>
              <w:pStyle w:val="6"/>
              <w:spacing w:before="12" w:line="221" w:lineRule="auto"/>
              <w:ind w:left="45"/>
              <w:rPr>
                <w:sz w:val="21"/>
                <w:szCs w:val="21"/>
              </w:rPr>
            </w:pPr>
            <w:r>
              <w:rPr>
                <w:spacing w:val="1"/>
                <w:sz w:val="21"/>
                <w:szCs w:val="21"/>
              </w:rPr>
              <w:t>区以及《全国重要江河湖</w:t>
            </w:r>
          </w:p>
          <w:p w14:paraId="4C0A9521">
            <w:pPr>
              <w:pStyle w:val="6"/>
              <w:spacing w:before="16" w:line="219" w:lineRule="auto"/>
              <w:ind w:left="45"/>
              <w:rPr>
                <w:sz w:val="21"/>
                <w:szCs w:val="21"/>
              </w:rPr>
            </w:pPr>
            <w:r>
              <w:rPr>
                <w:sz w:val="21"/>
                <w:szCs w:val="21"/>
              </w:rPr>
              <w:t>泊水功能区划》划定的河</w:t>
            </w:r>
          </w:p>
          <w:p w14:paraId="591F0572">
            <w:pPr>
              <w:pStyle w:val="6"/>
              <w:spacing w:before="41" w:line="219" w:lineRule="auto"/>
              <w:ind w:left="206"/>
              <w:rPr>
                <w:sz w:val="21"/>
                <w:szCs w:val="21"/>
              </w:rPr>
            </w:pPr>
            <w:r>
              <w:rPr>
                <w:spacing w:val="-1"/>
                <w:sz w:val="21"/>
                <w:szCs w:val="21"/>
              </w:rPr>
              <w:t>段保护区、保留区内。</w:t>
            </w:r>
          </w:p>
        </w:tc>
        <w:tc>
          <w:tcPr>
            <w:tcW w:w="764" w:type="dxa"/>
            <w:vAlign w:val="top"/>
          </w:tcPr>
          <w:p w14:paraId="0C436DFE">
            <w:pPr>
              <w:spacing w:line="276" w:lineRule="auto"/>
              <w:rPr>
                <w:rFonts w:ascii="Arial"/>
                <w:sz w:val="21"/>
              </w:rPr>
            </w:pPr>
          </w:p>
          <w:p w14:paraId="6BD25A06">
            <w:pPr>
              <w:spacing w:line="276" w:lineRule="auto"/>
              <w:rPr>
                <w:rFonts w:ascii="Arial"/>
                <w:sz w:val="21"/>
              </w:rPr>
            </w:pPr>
          </w:p>
          <w:p w14:paraId="590405F4">
            <w:pPr>
              <w:spacing w:line="276" w:lineRule="auto"/>
              <w:rPr>
                <w:rFonts w:ascii="Arial"/>
                <w:sz w:val="21"/>
              </w:rPr>
            </w:pPr>
          </w:p>
          <w:p w14:paraId="46985AAE">
            <w:pPr>
              <w:pStyle w:val="6"/>
              <w:spacing w:before="68" w:line="219" w:lineRule="auto"/>
              <w:ind w:left="168"/>
              <w:rPr>
                <w:sz w:val="21"/>
                <w:szCs w:val="21"/>
              </w:rPr>
            </w:pPr>
            <w:r>
              <w:rPr>
                <w:spacing w:val="-3"/>
                <w:sz w:val="21"/>
                <w:szCs w:val="21"/>
              </w:rPr>
              <w:t>相符</w:t>
            </w:r>
          </w:p>
        </w:tc>
      </w:tr>
      <w:tr w14:paraId="74232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9" w:hRule="atLeast"/>
        </w:trPr>
        <w:tc>
          <w:tcPr>
            <w:tcW w:w="1254" w:type="dxa"/>
            <w:vMerge w:val="continue"/>
            <w:tcBorders>
              <w:top w:val="nil"/>
              <w:bottom w:val="nil"/>
            </w:tcBorders>
            <w:vAlign w:val="top"/>
          </w:tcPr>
          <w:p w14:paraId="2AE0D941">
            <w:pPr>
              <w:rPr>
                <w:rFonts w:ascii="Arial"/>
                <w:sz w:val="21"/>
              </w:rPr>
            </w:pPr>
          </w:p>
        </w:tc>
        <w:tc>
          <w:tcPr>
            <w:tcW w:w="4515" w:type="dxa"/>
            <w:vAlign w:val="top"/>
          </w:tcPr>
          <w:p w14:paraId="18ED5D56">
            <w:pPr>
              <w:pStyle w:val="6"/>
              <w:spacing w:before="102" w:line="219" w:lineRule="auto"/>
              <w:ind w:left="151"/>
              <w:rPr>
                <w:sz w:val="21"/>
                <w:szCs w:val="21"/>
              </w:rPr>
            </w:pPr>
            <w:r>
              <w:rPr>
                <w:sz w:val="21"/>
                <w:szCs w:val="21"/>
              </w:rPr>
              <w:t>(七)禁止在金沙江干流、长江一级支流建设除</w:t>
            </w:r>
          </w:p>
          <w:p w14:paraId="32F5F8BA">
            <w:pPr>
              <w:pStyle w:val="6"/>
              <w:spacing w:before="32" w:line="219" w:lineRule="auto"/>
              <w:ind w:left="40"/>
              <w:rPr>
                <w:sz w:val="21"/>
                <w:szCs w:val="21"/>
              </w:rPr>
            </w:pPr>
            <w:r>
              <w:rPr>
                <w:spacing w:val="-1"/>
                <w:sz w:val="21"/>
                <w:szCs w:val="21"/>
              </w:rPr>
              <w:t>党中央、国务院、国家投资主管部门、省级有关</w:t>
            </w:r>
          </w:p>
          <w:p w14:paraId="54253FE9">
            <w:pPr>
              <w:pStyle w:val="6"/>
              <w:spacing w:before="10" w:line="219" w:lineRule="auto"/>
              <w:ind w:left="40"/>
              <w:rPr>
                <w:sz w:val="21"/>
                <w:szCs w:val="21"/>
              </w:rPr>
            </w:pPr>
            <w:r>
              <w:rPr>
                <w:sz w:val="21"/>
                <w:szCs w:val="21"/>
              </w:rPr>
              <w:t>部门批复同意以外的过江基础设施项目；禁止未</w:t>
            </w:r>
          </w:p>
          <w:p w14:paraId="11C3A73D">
            <w:pPr>
              <w:pStyle w:val="6"/>
              <w:spacing w:before="39" w:line="219" w:lineRule="auto"/>
              <w:ind w:left="40"/>
              <w:rPr>
                <w:sz w:val="21"/>
                <w:szCs w:val="21"/>
              </w:rPr>
            </w:pPr>
            <w:r>
              <w:rPr>
                <w:sz w:val="21"/>
                <w:szCs w:val="21"/>
              </w:rPr>
              <w:t>经许可在金沙江干流、长江一级支流、九大高原</w:t>
            </w:r>
          </w:p>
          <w:p w14:paraId="7CF675B8">
            <w:pPr>
              <w:pStyle w:val="6"/>
              <w:spacing w:before="22" w:line="219" w:lineRule="auto"/>
              <w:ind w:left="620"/>
              <w:rPr>
                <w:sz w:val="21"/>
                <w:szCs w:val="21"/>
              </w:rPr>
            </w:pPr>
            <w:r>
              <w:rPr>
                <w:spacing w:val="-1"/>
                <w:sz w:val="21"/>
                <w:szCs w:val="21"/>
              </w:rPr>
              <w:t>湖泊流域新设、改设或扩大排污口。</w:t>
            </w:r>
          </w:p>
        </w:tc>
        <w:tc>
          <w:tcPr>
            <w:tcW w:w="2417" w:type="dxa"/>
            <w:vAlign w:val="top"/>
          </w:tcPr>
          <w:p w14:paraId="1AC375E5">
            <w:pPr>
              <w:pStyle w:val="6"/>
              <w:spacing w:before="102" w:line="219" w:lineRule="auto"/>
              <w:ind w:left="155"/>
              <w:rPr>
                <w:sz w:val="21"/>
                <w:szCs w:val="21"/>
              </w:rPr>
            </w:pPr>
            <w:r>
              <w:rPr>
                <w:spacing w:val="-1"/>
                <w:sz w:val="21"/>
                <w:szCs w:val="21"/>
              </w:rPr>
              <w:t>本项目不涉及长江干流</w:t>
            </w:r>
          </w:p>
          <w:p w14:paraId="6FB04B4B">
            <w:pPr>
              <w:pStyle w:val="6"/>
              <w:spacing w:before="32" w:line="220" w:lineRule="auto"/>
              <w:ind w:left="45"/>
              <w:rPr>
                <w:sz w:val="21"/>
                <w:szCs w:val="21"/>
              </w:rPr>
            </w:pPr>
            <w:r>
              <w:rPr>
                <w:spacing w:val="3"/>
                <w:sz w:val="21"/>
                <w:szCs w:val="21"/>
              </w:rPr>
              <w:t>和长江一级支流。且项目</w:t>
            </w:r>
          </w:p>
          <w:p w14:paraId="000A0C22">
            <w:pPr>
              <w:pStyle w:val="6"/>
              <w:spacing w:before="9" w:line="220" w:lineRule="auto"/>
              <w:ind w:left="155"/>
              <w:rPr>
                <w:sz w:val="21"/>
                <w:szCs w:val="21"/>
              </w:rPr>
            </w:pPr>
            <w:r>
              <w:rPr>
                <w:spacing w:val="1"/>
                <w:sz w:val="21"/>
                <w:szCs w:val="21"/>
              </w:rPr>
              <w:t>不属于过江基础设施项</w:t>
            </w:r>
          </w:p>
          <w:p w14:paraId="6735C93D">
            <w:pPr>
              <w:pStyle w:val="6"/>
              <w:spacing w:before="39" w:line="219" w:lineRule="auto"/>
              <w:ind w:left="45"/>
              <w:rPr>
                <w:sz w:val="21"/>
                <w:szCs w:val="21"/>
              </w:rPr>
            </w:pPr>
            <w:r>
              <w:rPr>
                <w:spacing w:val="1"/>
                <w:sz w:val="21"/>
                <w:szCs w:val="21"/>
              </w:rPr>
              <w:t>目；项目运营期无废水外</w:t>
            </w:r>
          </w:p>
          <w:p w14:paraId="3414EE79">
            <w:pPr>
              <w:pStyle w:val="6"/>
              <w:spacing w:before="11" w:line="219" w:lineRule="auto"/>
              <w:jc w:val="right"/>
              <w:rPr>
                <w:sz w:val="21"/>
                <w:szCs w:val="21"/>
              </w:rPr>
            </w:pPr>
            <w:r>
              <w:rPr>
                <w:sz w:val="21"/>
                <w:szCs w:val="21"/>
              </w:rPr>
              <w:t>排，不设置废水排污口。</w:t>
            </w:r>
          </w:p>
        </w:tc>
        <w:tc>
          <w:tcPr>
            <w:tcW w:w="764" w:type="dxa"/>
            <w:vAlign w:val="top"/>
          </w:tcPr>
          <w:p w14:paraId="4290A195">
            <w:pPr>
              <w:spacing w:line="286" w:lineRule="auto"/>
              <w:rPr>
                <w:rFonts w:ascii="Arial"/>
                <w:sz w:val="21"/>
              </w:rPr>
            </w:pPr>
          </w:p>
          <w:p w14:paraId="6A750C49">
            <w:pPr>
              <w:spacing w:line="286" w:lineRule="auto"/>
              <w:rPr>
                <w:rFonts w:ascii="Arial"/>
                <w:sz w:val="21"/>
              </w:rPr>
            </w:pPr>
          </w:p>
          <w:p w14:paraId="19971191">
            <w:pPr>
              <w:pStyle w:val="6"/>
              <w:spacing w:before="68" w:line="219" w:lineRule="auto"/>
              <w:ind w:left="168"/>
              <w:rPr>
                <w:sz w:val="21"/>
                <w:szCs w:val="21"/>
              </w:rPr>
            </w:pPr>
            <w:r>
              <w:rPr>
                <w:spacing w:val="-3"/>
                <w:sz w:val="21"/>
                <w:szCs w:val="21"/>
              </w:rPr>
              <w:t>相符</w:t>
            </w:r>
          </w:p>
        </w:tc>
      </w:tr>
      <w:tr w14:paraId="3B6E9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254" w:type="dxa"/>
            <w:vMerge w:val="continue"/>
            <w:tcBorders>
              <w:top w:val="nil"/>
              <w:bottom w:val="nil"/>
            </w:tcBorders>
            <w:vAlign w:val="top"/>
          </w:tcPr>
          <w:p w14:paraId="3A9A58E3">
            <w:pPr>
              <w:rPr>
                <w:rFonts w:ascii="Arial"/>
                <w:sz w:val="21"/>
              </w:rPr>
            </w:pPr>
          </w:p>
        </w:tc>
        <w:tc>
          <w:tcPr>
            <w:tcW w:w="4515" w:type="dxa"/>
            <w:vAlign w:val="top"/>
          </w:tcPr>
          <w:p w14:paraId="63418E25">
            <w:pPr>
              <w:pStyle w:val="6"/>
              <w:spacing w:before="83" w:line="219" w:lineRule="auto"/>
              <w:ind w:left="151"/>
              <w:rPr>
                <w:sz w:val="21"/>
                <w:szCs w:val="21"/>
              </w:rPr>
            </w:pPr>
            <w:r>
              <w:rPr>
                <w:sz w:val="21"/>
                <w:szCs w:val="21"/>
              </w:rPr>
              <w:t>(八)禁止在金沙江干流、长江一级支流、水生</w:t>
            </w:r>
          </w:p>
          <w:p w14:paraId="1C5CC533">
            <w:pPr>
              <w:pStyle w:val="6"/>
              <w:spacing w:before="22" w:line="219" w:lineRule="auto"/>
              <w:ind w:left="151"/>
              <w:rPr>
                <w:sz w:val="21"/>
                <w:szCs w:val="21"/>
              </w:rPr>
            </w:pPr>
            <w:r>
              <w:rPr>
                <w:spacing w:val="-1"/>
                <w:sz w:val="21"/>
                <w:szCs w:val="21"/>
              </w:rPr>
              <w:t>生物保护区和长江流域禁捕水域开展天然渔业</w:t>
            </w:r>
          </w:p>
          <w:p w14:paraId="598C2EB2">
            <w:pPr>
              <w:pStyle w:val="6"/>
              <w:spacing w:before="20" w:line="219" w:lineRule="auto"/>
              <w:ind w:left="1461"/>
              <w:rPr>
                <w:sz w:val="21"/>
                <w:szCs w:val="21"/>
              </w:rPr>
            </w:pPr>
            <w:r>
              <w:rPr>
                <w:spacing w:val="-1"/>
                <w:sz w:val="21"/>
                <w:szCs w:val="21"/>
              </w:rPr>
              <w:t>资源生产性捕捞。</w:t>
            </w:r>
          </w:p>
        </w:tc>
        <w:tc>
          <w:tcPr>
            <w:tcW w:w="2417" w:type="dxa"/>
            <w:vAlign w:val="top"/>
          </w:tcPr>
          <w:p w14:paraId="51402809">
            <w:pPr>
              <w:pStyle w:val="6"/>
              <w:spacing w:before="223" w:line="219" w:lineRule="auto"/>
              <w:ind w:left="155"/>
              <w:rPr>
                <w:sz w:val="21"/>
                <w:szCs w:val="21"/>
              </w:rPr>
            </w:pPr>
            <w:r>
              <w:rPr>
                <w:spacing w:val="-1"/>
                <w:sz w:val="21"/>
                <w:szCs w:val="21"/>
              </w:rPr>
              <w:t>本项目不涉及渔业资源</w:t>
            </w:r>
          </w:p>
          <w:p w14:paraId="3A94B142">
            <w:pPr>
              <w:pStyle w:val="6"/>
              <w:spacing w:before="12" w:line="219" w:lineRule="auto"/>
              <w:ind w:left="935"/>
              <w:rPr>
                <w:sz w:val="21"/>
                <w:szCs w:val="21"/>
              </w:rPr>
            </w:pPr>
            <w:r>
              <w:rPr>
                <w:spacing w:val="1"/>
                <w:sz w:val="21"/>
                <w:szCs w:val="21"/>
              </w:rPr>
              <w:t>捕捞。</w:t>
            </w:r>
          </w:p>
        </w:tc>
        <w:tc>
          <w:tcPr>
            <w:tcW w:w="764" w:type="dxa"/>
            <w:vAlign w:val="top"/>
          </w:tcPr>
          <w:p w14:paraId="7FD9B47F">
            <w:pPr>
              <w:spacing w:line="294" w:lineRule="auto"/>
              <w:rPr>
                <w:rFonts w:ascii="Arial"/>
                <w:sz w:val="21"/>
              </w:rPr>
            </w:pPr>
          </w:p>
          <w:p w14:paraId="7B36DEAD">
            <w:pPr>
              <w:pStyle w:val="6"/>
              <w:spacing w:before="69" w:line="219" w:lineRule="auto"/>
              <w:ind w:left="168"/>
              <w:rPr>
                <w:sz w:val="21"/>
                <w:szCs w:val="21"/>
              </w:rPr>
            </w:pPr>
            <w:r>
              <w:rPr>
                <w:spacing w:val="-3"/>
                <w:sz w:val="21"/>
                <w:szCs w:val="21"/>
              </w:rPr>
              <w:t>相符</w:t>
            </w:r>
          </w:p>
        </w:tc>
      </w:tr>
      <w:tr w14:paraId="69038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9" w:hRule="atLeast"/>
        </w:trPr>
        <w:tc>
          <w:tcPr>
            <w:tcW w:w="1254" w:type="dxa"/>
            <w:vMerge w:val="continue"/>
            <w:tcBorders>
              <w:top w:val="nil"/>
              <w:bottom w:val="nil"/>
            </w:tcBorders>
            <w:vAlign w:val="top"/>
          </w:tcPr>
          <w:p w14:paraId="1D572905">
            <w:pPr>
              <w:rPr>
                <w:rFonts w:ascii="Arial"/>
                <w:sz w:val="21"/>
              </w:rPr>
            </w:pPr>
          </w:p>
        </w:tc>
        <w:tc>
          <w:tcPr>
            <w:tcW w:w="4515" w:type="dxa"/>
            <w:vAlign w:val="top"/>
          </w:tcPr>
          <w:p w14:paraId="5C8581C6">
            <w:pPr>
              <w:pStyle w:val="6"/>
              <w:spacing w:before="234" w:line="219" w:lineRule="auto"/>
              <w:ind w:left="151"/>
              <w:rPr>
                <w:sz w:val="21"/>
                <w:szCs w:val="21"/>
              </w:rPr>
            </w:pPr>
            <w:r>
              <w:rPr>
                <w:sz w:val="21"/>
                <w:szCs w:val="21"/>
              </w:rPr>
              <w:t>(九)禁止在金沙江干流，长江一级支流和九大</w:t>
            </w:r>
          </w:p>
          <w:p w14:paraId="206A097E">
            <w:pPr>
              <w:pStyle w:val="6"/>
              <w:spacing w:before="12" w:line="219" w:lineRule="auto"/>
              <w:ind w:left="40"/>
              <w:rPr>
                <w:sz w:val="21"/>
                <w:szCs w:val="21"/>
              </w:rPr>
            </w:pPr>
            <w:r>
              <w:rPr>
                <w:sz w:val="21"/>
                <w:szCs w:val="21"/>
              </w:rPr>
              <w:t>高原湖泊岸线一公里范围内新建、扩建化工园区</w:t>
            </w:r>
          </w:p>
          <w:p w14:paraId="6DCF0A8E">
            <w:pPr>
              <w:pStyle w:val="6"/>
              <w:spacing w:before="19" w:line="219" w:lineRule="auto"/>
              <w:ind w:left="40"/>
              <w:rPr>
                <w:sz w:val="21"/>
                <w:szCs w:val="21"/>
              </w:rPr>
            </w:pPr>
            <w:r>
              <w:rPr>
                <w:sz w:val="21"/>
                <w:szCs w:val="21"/>
              </w:rPr>
              <w:t>和化工项目。禁止在金沙江干流岸线三公里范围</w:t>
            </w:r>
          </w:p>
          <w:p w14:paraId="0D99C862">
            <w:pPr>
              <w:pStyle w:val="6"/>
              <w:spacing w:before="52" w:line="219" w:lineRule="auto"/>
              <w:ind w:left="151"/>
              <w:rPr>
                <w:sz w:val="21"/>
                <w:szCs w:val="21"/>
              </w:rPr>
            </w:pPr>
            <w:r>
              <w:rPr>
                <w:sz w:val="21"/>
                <w:szCs w:val="21"/>
              </w:rPr>
              <w:t>内和长江一级支流岸线一公里范围内新建、改</w:t>
            </w:r>
          </w:p>
          <w:p w14:paraId="6ED2D172">
            <w:pPr>
              <w:pStyle w:val="6"/>
              <w:spacing w:before="19" w:line="219" w:lineRule="auto"/>
              <w:ind w:left="40"/>
              <w:rPr>
                <w:sz w:val="21"/>
                <w:szCs w:val="21"/>
              </w:rPr>
            </w:pPr>
            <w:r>
              <w:rPr>
                <w:sz w:val="21"/>
                <w:szCs w:val="21"/>
              </w:rPr>
              <w:t>建、扩建尾矿库、冶炼渣库和磷石膏库，以提升</w:t>
            </w:r>
          </w:p>
          <w:p w14:paraId="26395B72">
            <w:pPr>
              <w:pStyle w:val="6"/>
              <w:spacing w:before="12" w:line="219" w:lineRule="auto"/>
              <w:ind w:left="200"/>
              <w:rPr>
                <w:sz w:val="21"/>
                <w:szCs w:val="21"/>
              </w:rPr>
            </w:pPr>
            <w:r>
              <w:rPr>
                <w:spacing w:val="-1"/>
                <w:sz w:val="21"/>
                <w:szCs w:val="21"/>
              </w:rPr>
              <w:t>安全、生态环境保护水平为目的的改建除外。</w:t>
            </w:r>
          </w:p>
        </w:tc>
        <w:tc>
          <w:tcPr>
            <w:tcW w:w="2417" w:type="dxa"/>
            <w:vAlign w:val="top"/>
          </w:tcPr>
          <w:p w14:paraId="4A510C5B">
            <w:pPr>
              <w:pStyle w:val="6"/>
              <w:spacing w:before="94" w:line="219" w:lineRule="auto"/>
              <w:ind w:left="155"/>
              <w:rPr>
                <w:sz w:val="21"/>
                <w:szCs w:val="21"/>
              </w:rPr>
            </w:pPr>
            <w:r>
              <w:rPr>
                <w:spacing w:val="-1"/>
                <w:sz w:val="21"/>
                <w:szCs w:val="21"/>
              </w:rPr>
              <w:t>本项目不涉及长江干流</w:t>
            </w:r>
          </w:p>
          <w:p w14:paraId="121D1A41">
            <w:pPr>
              <w:pStyle w:val="6"/>
              <w:spacing w:before="22" w:line="220" w:lineRule="auto"/>
              <w:ind w:left="45"/>
              <w:rPr>
                <w:sz w:val="21"/>
                <w:szCs w:val="21"/>
              </w:rPr>
            </w:pPr>
            <w:r>
              <w:rPr>
                <w:spacing w:val="1"/>
                <w:sz w:val="21"/>
                <w:szCs w:val="21"/>
              </w:rPr>
              <w:t>和长江一级支流。项目场</w:t>
            </w:r>
          </w:p>
          <w:p w14:paraId="35F47325">
            <w:pPr>
              <w:pStyle w:val="6"/>
              <w:spacing w:before="19" w:line="219" w:lineRule="auto"/>
              <w:ind w:left="155"/>
              <w:rPr>
                <w:sz w:val="21"/>
                <w:szCs w:val="21"/>
              </w:rPr>
            </w:pPr>
            <w:r>
              <w:rPr>
                <w:spacing w:val="1"/>
                <w:sz w:val="21"/>
                <w:szCs w:val="21"/>
              </w:rPr>
              <w:t>址不处于九大高原湖泊</w:t>
            </w:r>
          </w:p>
          <w:p w14:paraId="5CB9B7A8">
            <w:pPr>
              <w:pStyle w:val="6"/>
              <w:spacing w:before="31" w:line="220" w:lineRule="auto"/>
              <w:ind w:left="45"/>
              <w:rPr>
                <w:sz w:val="21"/>
                <w:szCs w:val="21"/>
              </w:rPr>
            </w:pPr>
            <w:r>
              <w:rPr>
                <w:spacing w:val="3"/>
                <w:sz w:val="21"/>
                <w:szCs w:val="21"/>
              </w:rPr>
              <w:t>岸线一公里范围，且项目</w:t>
            </w:r>
          </w:p>
          <w:p w14:paraId="15F0BED3">
            <w:pPr>
              <w:pStyle w:val="6"/>
              <w:spacing w:before="19" w:line="219" w:lineRule="auto"/>
              <w:ind w:left="155"/>
              <w:rPr>
                <w:sz w:val="21"/>
                <w:szCs w:val="21"/>
              </w:rPr>
            </w:pPr>
            <w:r>
              <w:rPr>
                <w:sz w:val="21"/>
                <w:szCs w:val="21"/>
              </w:rPr>
              <w:t>不属于尾矿库、冶炼渣</w:t>
            </w:r>
          </w:p>
          <w:p w14:paraId="202DD922">
            <w:pPr>
              <w:pStyle w:val="6"/>
              <w:spacing w:before="19" w:line="219" w:lineRule="auto"/>
              <w:ind w:left="45"/>
              <w:rPr>
                <w:sz w:val="21"/>
                <w:szCs w:val="21"/>
              </w:rPr>
            </w:pPr>
            <w:r>
              <w:rPr>
                <w:spacing w:val="1"/>
                <w:sz w:val="21"/>
                <w:szCs w:val="21"/>
              </w:rPr>
              <w:t>库、磷石膏库化工园区和</w:t>
            </w:r>
          </w:p>
          <w:p w14:paraId="1D07BCEF">
            <w:pPr>
              <w:pStyle w:val="6"/>
              <w:spacing w:before="33" w:line="220" w:lineRule="auto"/>
              <w:ind w:left="726"/>
              <w:rPr>
                <w:sz w:val="21"/>
                <w:szCs w:val="21"/>
              </w:rPr>
            </w:pPr>
            <w:r>
              <w:rPr>
                <w:sz w:val="21"/>
                <w:szCs w:val="21"/>
              </w:rPr>
              <w:t>化工项目。</w:t>
            </w:r>
          </w:p>
        </w:tc>
        <w:tc>
          <w:tcPr>
            <w:tcW w:w="764" w:type="dxa"/>
            <w:vAlign w:val="top"/>
          </w:tcPr>
          <w:p w14:paraId="1DCC478C">
            <w:pPr>
              <w:spacing w:line="277" w:lineRule="auto"/>
              <w:rPr>
                <w:rFonts w:ascii="Arial"/>
                <w:sz w:val="21"/>
              </w:rPr>
            </w:pPr>
          </w:p>
          <w:p w14:paraId="6A67FC6F">
            <w:pPr>
              <w:spacing w:line="277" w:lineRule="auto"/>
              <w:rPr>
                <w:rFonts w:ascii="Arial"/>
                <w:sz w:val="21"/>
              </w:rPr>
            </w:pPr>
          </w:p>
          <w:p w14:paraId="5E2E989D">
            <w:pPr>
              <w:spacing w:line="278" w:lineRule="auto"/>
              <w:rPr>
                <w:rFonts w:ascii="Arial"/>
                <w:sz w:val="21"/>
              </w:rPr>
            </w:pPr>
          </w:p>
          <w:p w14:paraId="6277CB93">
            <w:pPr>
              <w:pStyle w:val="6"/>
              <w:spacing w:before="68" w:line="219" w:lineRule="auto"/>
              <w:ind w:left="168"/>
              <w:rPr>
                <w:sz w:val="21"/>
                <w:szCs w:val="21"/>
              </w:rPr>
            </w:pPr>
            <w:r>
              <w:rPr>
                <w:spacing w:val="-3"/>
                <w:sz w:val="21"/>
                <w:szCs w:val="21"/>
              </w:rPr>
              <w:t>相符</w:t>
            </w:r>
          </w:p>
        </w:tc>
      </w:tr>
      <w:tr w14:paraId="7F39B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254" w:type="dxa"/>
            <w:vMerge w:val="continue"/>
            <w:tcBorders>
              <w:top w:val="nil"/>
              <w:bottom w:val="nil"/>
            </w:tcBorders>
            <w:vAlign w:val="top"/>
          </w:tcPr>
          <w:p w14:paraId="47AD37BE">
            <w:pPr>
              <w:rPr>
                <w:rFonts w:ascii="Arial"/>
                <w:sz w:val="21"/>
              </w:rPr>
            </w:pPr>
          </w:p>
        </w:tc>
        <w:tc>
          <w:tcPr>
            <w:tcW w:w="4515" w:type="dxa"/>
            <w:vAlign w:val="top"/>
          </w:tcPr>
          <w:p w14:paraId="7C03FEF2">
            <w:pPr>
              <w:pStyle w:val="6"/>
              <w:spacing w:before="106" w:line="219" w:lineRule="auto"/>
              <w:jc w:val="right"/>
              <w:rPr>
                <w:sz w:val="21"/>
                <w:szCs w:val="21"/>
              </w:rPr>
            </w:pPr>
            <w:r>
              <w:rPr>
                <w:spacing w:val="2"/>
                <w:sz w:val="21"/>
                <w:szCs w:val="21"/>
              </w:rPr>
              <w:t>(十)禁止在合规园区外新建、扩建钢铁、石化、</w:t>
            </w:r>
          </w:p>
          <w:p w14:paraId="248F899A">
            <w:pPr>
              <w:pStyle w:val="6"/>
              <w:spacing w:before="39" w:line="219" w:lineRule="auto"/>
              <w:ind w:left="40"/>
              <w:rPr>
                <w:sz w:val="21"/>
                <w:szCs w:val="21"/>
              </w:rPr>
            </w:pPr>
            <w:r>
              <w:rPr>
                <w:spacing w:val="-1"/>
                <w:sz w:val="21"/>
                <w:szCs w:val="21"/>
              </w:rPr>
              <w:t>化工、焦化、建材、有色、制浆造纸行业中的高</w:t>
            </w:r>
          </w:p>
          <w:p w14:paraId="7093581C">
            <w:pPr>
              <w:pStyle w:val="6"/>
              <w:spacing w:before="12" w:line="220" w:lineRule="auto"/>
              <w:ind w:left="1771"/>
              <w:rPr>
                <w:sz w:val="21"/>
                <w:szCs w:val="21"/>
              </w:rPr>
            </w:pPr>
            <w:r>
              <w:rPr>
                <w:sz w:val="21"/>
                <w:szCs w:val="21"/>
              </w:rPr>
              <w:t>污染项目。</w:t>
            </w:r>
          </w:p>
        </w:tc>
        <w:tc>
          <w:tcPr>
            <w:tcW w:w="2417" w:type="dxa"/>
            <w:vAlign w:val="top"/>
          </w:tcPr>
          <w:p w14:paraId="113AB8B4">
            <w:pPr>
              <w:pStyle w:val="6"/>
              <w:spacing w:before="105" w:line="219" w:lineRule="auto"/>
              <w:jc w:val="right"/>
              <w:rPr>
                <w:sz w:val="21"/>
                <w:szCs w:val="21"/>
              </w:rPr>
            </w:pPr>
            <w:r>
              <w:rPr>
                <w:spacing w:val="4"/>
                <w:sz w:val="21"/>
                <w:szCs w:val="21"/>
              </w:rPr>
              <w:t>本项目不属于铁、石化、</w:t>
            </w:r>
          </w:p>
          <w:p w14:paraId="252FDEAC">
            <w:pPr>
              <w:pStyle w:val="6"/>
              <w:spacing w:before="21" w:line="219" w:lineRule="auto"/>
              <w:ind w:left="45"/>
              <w:rPr>
                <w:sz w:val="21"/>
                <w:szCs w:val="21"/>
              </w:rPr>
            </w:pPr>
            <w:r>
              <w:rPr>
                <w:spacing w:val="-1"/>
                <w:sz w:val="21"/>
                <w:szCs w:val="21"/>
              </w:rPr>
              <w:t>化工、焦化、建材、有色</w:t>
            </w:r>
          </w:p>
          <w:p w14:paraId="5B7CD39E">
            <w:pPr>
              <w:pStyle w:val="6"/>
              <w:spacing w:before="32" w:line="219" w:lineRule="auto"/>
              <w:ind w:left="516"/>
              <w:rPr>
                <w:sz w:val="21"/>
                <w:szCs w:val="21"/>
              </w:rPr>
            </w:pPr>
            <w:r>
              <w:rPr>
                <w:sz w:val="21"/>
                <w:szCs w:val="21"/>
              </w:rPr>
              <w:t>等高污染项目。</w:t>
            </w:r>
          </w:p>
        </w:tc>
        <w:tc>
          <w:tcPr>
            <w:tcW w:w="764" w:type="dxa"/>
            <w:vAlign w:val="top"/>
          </w:tcPr>
          <w:p w14:paraId="628FA4EE">
            <w:pPr>
              <w:spacing w:line="297" w:lineRule="auto"/>
              <w:rPr>
                <w:rFonts w:ascii="Arial"/>
                <w:sz w:val="21"/>
              </w:rPr>
            </w:pPr>
          </w:p>
          <w:p w14:paraId="755AF4C0">
            <w:pPr>
              <w:pStyle w:val="6"/>
              <w:spacing w:before="68" w:line="221" w:lineRule="auto"/>
              <w:ind w:left="58"/>
              <w:rPr>
                <w:sz w:val="21"/>
                <w:szCs w:val="21"/>
              </w:rPr>
            </w:pPr>
            <w:r>
              <w:rPr>
                <w:spacing w:val="3"/>
                <w:sz w:val="21"/>
                <w:szCs w:val="21"/>
              </w:rPr>
              <w:t>不涉及</w:t>
            </w:r>
          </w:p>
        </w:tc>
      </w:tr>
      <w:tr w14:paraId="3426A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254" w:type="dxa"/>
            <w:vMerge w:val="continue"/>
            <w:tcBorders>
              <w:top w:val="nil"/>
            </w:tcBorders>
            <w:vAlign w:val="top"/>
          </w:tcPr>
          <w:p w14:paraId="4F2BA1EE">
            <w:pPr>
              <w:rPr>
                <w:rFonts w:ascii="Arial"/>
                <w:sz w:val="21"/>
              </w:rPr>
            </w:pPr>
          </w:p>
        </w:tc>
        <w:tc>
          <w:tcPr>
            <w:tcW w:w="4515" w:type="dxa"/>
            <w:vAlign w:val="top"/>
          </w:tcPr>
          <w:p w14:paraId="611223A2">
            <w:pPr>
              <w:pStyle w:val="6"/>
              <w:spacing w:before="107" w:line="219" w:lineRule="auto"/>
              <w:ind w:left="151"/>
              <w:rPr>
                <w:sz w:val="21"/>
                <w:szCs w:val="21"/>
              </w:rPr>
            </w:pPr>
            <w:r>
              <w:rPr>
                <w:sz w:val="21"/>
                <w:szCs w:val="21"/>
              </w:rPr>
              <w:t>(十一)禁止新建、扩建不符合国家石化、现代</w:t>
            </w:r>
          </w:p>
          <w:p w14:paraId="0A855485">
            <w:pPr>
              <w:pStyle w:val="6"/>
              <w:spacing w:before="19" w:line="219" w:lineRule="auto"/>
              <w:ind w:left="40"/>
              <w:rPr>
                <w:sz w:val="21"/>
                <w:szCs w:val="21"/>
              </w:rPr>
            </w:pPr>
            <w:r>
              <w:rPr>
                <w:spacing w:val="-1"/>
                <w:sz w:val="21"/>
                <w:szCs w:val="21"/>
              </w:rPr>
              <w:t>煤化工等产业布局规划的项目。禁止列入《云南</w:t>
            </w:r>
          </w:p>
          <w:p w14:paraId="7F956010">
            <w:pPr>
              <w:pStyle w:val="6"/>
              <w:spacing w:before="22" w:line="219" w:lineRule="auto"/>
              <w:ind w:left="151"/>
              <w:rPr>
                <w:sz w:val="21"/>
                <w:szCs w:val="21"/>
              </w:rPr>
            </w:pPr>
            <w:r>
              <w:rPr>
                <w:sz w:val="21"/>
                <w:szCs w:val="21"/>
              </w:rPr>
              <w:t>省城镇人口密集区危险化学品生产企业搬迁改</w:t>
            </w:r>
          </w:p>
        </w:tc>
        <w:tc>
          <w:tcPr>
            <w:tcW w:w="2417" w:type="dxa"/>
            <w:vAlign w:val="top"/>
          </w:tcPr>
          <w:p w14:paraId="1A69FD61">
            <w:pPr>
              <w:pStyle w:val="6"/>
              <w:spacing w:before="247" w:line="219" w:lineRule="auto"/>
              <w:ind w:left="45"/>
              <w:rPr>
                <w:sz w:val="21"/>
                <w:szCs w:val="21"/>
              </w:rPr>
            </w:pPr>
            <w:r>
              <w:rPr>
                <w:spacing w:val="-1"/>
                <w:sz w:val="21"/>
                <w:szCs w:val="21"/>
              </w:rPr>
              <w:t>项目不属于石化、现代煤</w:t>
            </w:r>
          </w:p>
          <w:p w14:paraId="6D94DDEA">
            <w:pPr>
              <w:pStyle w:val="6"/>
              <w:spacing w:before="21" w:line="220" w:lineRule="auto"/>
              <w:ind w:left="726"/>
              <w:rPr>
                <w:sz w:val="21"/>
                <w:szCs w:val="21"/>
              </w:rPr>
            </w:pPr>
            <w:r>
              <w:rPr>
                <w:sz w:val="21"/>
                <w:szCs w:val="21"/>
              </w:rPr>
              <w:t>化工行业。</w:t>
            </w:r>
          </w:p>
        </w:tc>
        <w:tc>
          <w:tcPr>
            <w:tcW w:w="764" w:type="dxa"/>
            <w:vAlign w:val="top"/>
          </w:tcPr>
          <w:p w14:paraId="2C0E231C">
            <w:pPr>
              <w:spacing w:line="308" w:lineRule="auto"/>
              <w:rPr>
                <w:rFonts w:ascii="Arial"/>
                <w:sz w:val="21"/>
              </w:rPr>
            </w:pPr>
          </w:p>
          <w:p w14:paraId="7E58B158">
            <w:pPr>
              <w:pStyle w:val="6"/>
              <w:spacing w:before="68" w:line="221" w:lineRule="auto"/>
              <w:ind w:left="58"/>
              <w:rPr>
                <w:sz w:val="21"/>
                <w:szCs w:val="21"/>
              </w:rPr>
            </w:pPr>
            <w:r>
              <w:rPr>
                <w:spacing w:val="3"/>
                <w:sz w:val="21"/>
                <w:szCs w:val="21"/>
              </w:rPr>
              <w:t>不涉及</w:t>
            </w:r>
          </w:p>
        </w:tc>
      </w:tr>
    </w:tbl>
    <w:p w14:paraId="196BB172">
      <w:pPr>
        <w:pStyle w:val="2"/>
      </w:pPr>
    </w:p>
    <w:p w14:paraId="38218007">
      <w:pPr>
        <w:sectPr>
          <w:footerReference r:id="rId39" w:type="default"/>
          <w:pgSz w:w="11910" w:h="16830"/>
          <w:pgMar w:top="400" w:right="1534" w:bottom="1245" w:left="1415" w:header="0" w:footer="1083" w:gutter="0"/>
          <w:cols w:space="720" w:num="1"/>
        </w:sectPr>
      </w:pPr>
    </w:p>
    <w:p w14:paraId="17D6B1DB">
      <w:pPr>
        <w:spacing w:before="18"/>
      </w:pPr>
    </w:p>
    <w:p w14:paraId="03B75A76">
      <w:pPr>
        <w:spacing w:before="18"/>
      </w:pPr>
    </w:p>
    <w:p w14:paraId="3C7C0CFC">
      <w:pPr>
        <w:spacing w:before="17"/>
      </w:pPr>
    </w:p>
    <w:p w14:paraId="7E2D1D26">
      <w:pPr>
        <w:spacing w:before="17"/>
      </w:pPr>
    </w:p>
    <w:p w14:paraId="740FC460">
      <w:pPr>
        <w:spacing w:before="17"/>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3876"/>
        <w:gridCol w:w="649"/>
        <w:gridCol w:w="2427"/>
        <w:gridCol w:w="120"/>
        <w:gridCol w:w="654"/>
      </w:tblGrid>
      <w:tr w14:paraId="2D1F6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244" w:type="dxa"/>
            <w:vMerge w:val="restart"/>
            <w:tcBorders>
              <w:bottom w:val="nil"/>
            </w:tcBorders>
            <w:vAlign w:val="top"/>
          </w:tcPr>
          <w:p w14:paraId="7ECC1D7D">
            <w:pPr>
              <w:rPr>
                <w:rFonts w:ascii="Arial"/>
                <w:sz w:val="21"/>
              </w:rPr>
            </w:pPr>
          </w:p>
        </w:tc>
        <w:tc>
          <w:tcPr>
            <w:tcW w:w="4525" w:type="dxa"/>
            <w:gridSpan w:val="2"/>
            <w:vAlign w:val="top"/>
          </w:tcPr>
          <w:p w14:paraId="7BB03BC4">
            <w:pPr>
              <w:pStyle w:val="6"/>
              <w:spacing w:before="103" w:line="219" w:lineRule="auto"/>
              <w:ind w:left="50"/>
              <w:rPr>
                <w:sz w:val="21"/>
                <w:szCs w:val="21"/>
              </w:rPr>
            </w:pPr>
            <w:r>
              <w:rPr>
                <w:spacing w:val="-1"/>
                <w:sz w:val="21"/>
                <w:szCs w:val="21"/>
              </w:rPr>
              <w:t>造名单》的搬迁改造企业在原址新建、扩建危险</w:t>
            </w:r>
          </w:p>
          <w:p w14:paraId="1D4C223B">
            <w:pPr>
              <w:pStyle w:val="6"/>
              <w:spacing w:before="20" w:line="219" w:lineRule="auto"/>
              <w:ind w:left="1461"/>
              <w:rPr>
                <w:sz w:val="21"/>
                <w:szCs w:val="21"/>
              </w:rPr>
            </w:pPr>
            <w:r>
              <w:rPr>
                <w:sz w:val="21"/>
                <w:szCs w:val="21"/>
              </w:rPr>
              <w:t>化学品生产项目。</w:t>
            </w:r>
          </w:p>
        </w:tc>
        <w:tc>
          <w:tcPr>
            <w:tcW w:w="2427" w:type="dxa"/>
            <w:vAlign w:val="top"/>
          </w:tcPr>
          <w:p w14:paraId="3A860BDA">
            <w:pPr>
              <w:rPr>
                <w:rFonts w:ascii="Arial"/>
                <w:sz w:val="21"/>
              </w:rPr>
            </w:pPr>
          </w:p>
        </w:tc>
        <w:tc>
          <w:tcPr>
            <w:tcW w:w="774" w:type="dxa"/>
            <w:gridSpan w:val="2"/>
            <w:vAlign w:val="top"/>
          </w:tcPr>
          <w:p w14:paraId="3B8B288D">
            <w:pPr>
              <w:rPr>
                <w:rFonts w:ascii="Arial"/>
                <w:sz w:val="21"/>
              </w:rPr>
            </w:pPr>
          </w:p>
        </w:tc>
      </w:tr>
      <w:tr w14:paraId="42F32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8" w:hRule="atLeast"/>
        </w:trPr>
        <w:tc>
          <w:tcPr>
            <w:tcW w:w="1244" w:type="dxa"/>
            <w:vMerge w:val="continue"/>
            <w:tcBorders>
              <w:top w:val="nil"/>
              <w:bottom w:val="nil"/>
            </w:tcBorders>
            <w:vAlign w:val="top"/>
          </w:tcPr>
          <w:p w14:paraId="53884E93">
            <w:pPr>
              <w:rPr>
                <w:rFonts w:ascii="Arial"/>
                <w:sz w:val="21"/>
              </w:rPr>
            </w:pPr>
          </w:p>
        </w:tc>
        <w:tc>
          <w:tcPr>
            <w:tcW w:w="4525" w:type="dxa"/>
            <w:gridSpan w:val="2"/>
            <w:vAlign w:val="top"/>
          </w:tcPr>
          <w:p w14:paraId="055912E9">
            <w:pPr>
              <w:pStyle w:val="6"/>
              <w:spacing w:before="229" w:line="219" w:lineRule="auto"/>
              <w:ind w:left="151"/>
              <w:rPr>
                <w:sz w:val="21"/>
                <w:szCs w:val="21"/>
              </w:rPr>
            </w:pPr>
            <w:r>
              <w:rPr>
                <w:spacing w:val="1"/>
                <w:sz w:val="21"/>
                <w:szCs w:val="21"/>
              </w:rPr>
              <w:t>(十二)禁止新建、扩建法律法规和相关政策明</w:t>
            </w:r>
          </w:p>
          <w:p w14:paraId="3121C7FF">
            <w:pPr>
              <w:pStyle w:val="6"/>
              <w:spacing w:before="19" w:line="219" w:lineRule="auto"/>
              <w:ind w:left="151"/>
              <w:rPr>
                <w:sz w:val="21"/>
                <w:szCs w:val="21"/>
              </w:rPr>
            </w:pPr>
            <w:r>
              <w:rPr>
                <w:spacing w:val="-1"/>
                <w:sz w:val="21"/>
                <w:szCs w:val="21"/>
              </w:rPr>
              <w:t>令禁止的落后产能项目，依法依规关停退出能</w:t>
            </w:r>
          </w:p>
          <w:p w14:paraId="653F35F5">
            <w:pPr>
              <w:pStyle w:val="6"/>
              <w:spacing w:before="22" w:line="219" w:lineRule="auto"/>
              <w:ind w:left="50"/>
              <w:rPr>
                <w:sz w:val="21"/>
                <w:szCs w:val="21"/>
              </w:rPr>
            </w:pPr>
            <w:r>
              <w:rPr>
                <w:sz w:val="21"/>
                <w:szCs w:val="21"/>
              </w:rPr>
              <w:t>耗、环保、质量、安全不达标产能和技术落后产</w:t>
            </w:r>
          </w:p>
          <w:p w14:paraId="1D0E0FBD">
            <w:pPr>
              <w:pStyle w:val="6"/>
              <w:spacing w:before="40" w:line="219" w:lineRule="auto"/>
              <w:ind w:left="50"/>
              <w:rPr>
                <w:sz w:val="21"/>
                <w:szCs w:val="21"/>
              </w:rPr>
            </w:pPr>
            <w:r>
              <w:rPr>
                <w:sz w:val="21"/>
                <w:szCs w:val="21"/>
              </w:rPr>
              <w:t>能。禁止新建、扩建不符合国家产能置换要求的</w:t>
            </w:r>
          </w:p>
          <w:p w14:paraId="6DB7906E">
            <w:pPr>
              <w:pStyle w:val="6"/>
              <w:spacing w:before="21" w:line="219" w:lineRule="auto"/>
              <w:ind w:left="50"/>
              <w:rPr>
                <w:sz w:val="21"/>
                <w:szCs w:val="21"/>
              </w:rPr>
            </w:pPr>
            <w:r>
              <w:rPr>
                <w:spacing w:val="-1"/>
                <w:sz w:val="21"/>
                <w:szCs w:val="21"/>
              </w:rPr>
              <w:t>过剩产能行业的项目。禁止新建、扩建不符合要</w:t>
            </w:r>
          </w:p>
          <w:p w14:paraId="4B29B8EC">
            <w:pPr>
              <w:pStyle w:val="6"/>
              <w:spacing w:before="11" w:line="219" w:lineRule="auto"/>
              <w:ind w:left="50"/>
              <w:rPr>
                <w:sz w:val="21"/>
                <w:szCs w:val="21"/>
              </w:rPr>
            </w:pPr>
            <w:r>
              <w:rPr>
                <w:sz w:val="21"/>
                <w:szCs w:val="21"/>
              </w:rPr>
              <w:t>求的高耗能、高排放项目，推动退出重点高耗能</w:t>
            </w:r>
          </w:p>
          <w:p w14:paraId="68550BDA">
            <w:pPr>
              <w:pStyle w:val="6"/>
              <w:spacing w:before="21" w:line="219" w:lineRule="auto"/>
              <w:jc w:val="right"/>
              <w:rPr>
                <w:sz w:val="21"/>
                <w:szCs w:val="21"/>
              </w:rPr>
            </w:pPr>
            <w:r>
              <w:rPr>
                <w:spacing w:val="-9"/>
                <w:sz w:val="21"/>
                <w:szCs w:val="21"/>
              </w:rPr>
              <w:t>行业“限制类”产能。禁止建设高毒高残留以及对</w:t>
            </w:r>
          </w:p>
          <w:p w14:paraId="7310B701">
            <w:pPr>
              <w:pStyle w:val="6"/>
              <w:spacing w:before="21" w:line="219" w:lineRule="auto"/>
              <w:ind w:left="50"/>
              <w:rPr>
                <w:sz w:val="21"/>
                <w:szCs w:val="21"/>
              </w:rPr>
            </w:pPr>
            <w:r>
              <w:rPr>
                <w:spacing w:val="-1"/>
                <w:sz w:val="21"/>
                <w:szCs w:val="21"/>
              </w:rPr>
              <w:t>环境影响大的农药原药生产装置，严控尿素、磷</w:t>
            </w:r>
          </w:p>
          <w:p w14:paraId="240882EC">
            <w:pPr>
              <w:pStyle w:val="6"/>
              <w:spacing w:before="19" w:line="219" w:lineRule="auto"/>
              <w:ind w:left="50"/>
              <w:rPr>
                <w:sz w:val="21"/>
                <w:szCs w:val="21"/>
              </w:rPr>
            </w:pPr>
            <w:r>
              <w:rPr>
                <w:spacing w:val="-1"/>
                <w:sz w:val="21"/>
                <w:szCs w:val="21"/>
              </w:rPr>
              <w:t>铵、电石、焦炭、黄磷、烧碱、纯碱、聚氯乙烯</w:t>
            </w:r>
          </w:p>
          <w:p w14:paraId="4F59FB17">
            <w:pPr>
              <w:pStyle w:val="6"/>
              <w:spacing w:before="32" w:line="219" w:lineRule="auto"/>
              <w:ind w:left="1461"/>
              <w:rPr>
                <w:sz w:val="21"/>
                <w:szCs w:val="21"/>
              </w:rPr>
            </w:pPr>
            <w:r>
              <w:rPr>
                <w:sz w:val="21"/>
                <w:szCs w:val="21"/>
              </w:rPr>
              <w:t>等行业新增产能。</w:t>
            </w:r>
          </w:p>
        </w:tc>
        <w:tc>
          <w:tcPr>
            <w:tcW w:w="2427" w:type="dxa"/>
            <w:vAlign w:val="top"/>
          </w:tcPr>
          <w:p w14:paraId="65F1E520">
            <w:pPr>
              <w:pStyle w:val="6"/>
              <w:spacing w:before="98" w:line="219" w:lineRule="auto"/>
              <w:ind w:left="55"/>
              <w:rPr>
                <w:sz w:val="21"/>
                <w:szCs w:val="21"/>
              </w:rPr>
            </w:pPr>
            <w:r>
              <w:rPr>
                <w:spacing w:val="1"/>
                <w:sz w:val="21"/>
                <w:szCs w:val="21"/>
              </w:rPr>
              <w:t>本项目属于《产业结构调</w:t>
            </w:r>
          </w:p>
          <w:p w14:paraId="490A51DD">
            <w:pPr>
              <w:pStyle w:val="6"/>
              <w:spacing w:before="10" w:line="219" w:lineRule="auto"/>
              <w:ind w:right="4"/>
              <w:jc w:val="right"/>
              <w:rPr>
                <w:sz w:val="21"/>
                <w:szCs w:val="21"/>
              </w:rPr>
            </w:pPr>
            <w:r>
              <w:rPr>
                <w:spacing w:val="3"/>
                <w:sz w:val="21"/>
                <w:szCs w:val="21"/>
              </w:rPr>
              <w:t>整指导目录》(2024年本)</w:t>
            </w:r>
          </w:p>
          <w:p w14:paraId="52B5E836">
            <w:pPr>
              <w:pStyle w:val="6"/>
              <w:spacing w:before="22" w:line="219" w:lineRule="auto"/>
              <w:ind w:left="55"/>
              <w:rPr>
                <w:sz w:val="21"/>
                <w:szCs w:val="21"/>
              </w:rPr>
            </w:pPr>
            <w:r>
              <w:rPr>
                <w:spacing w:val="1"/>
                <w:sz w:val="21"/>
                <w:szCs w:val="21"/>
              </w:rPr>
              <w:t>中鼓励类，项目符合国家</w:t>
            </w:r>
          </w:p>
          <w:p w14:paraId="2D760E0F">
            <w:pPr>
              <w:pStyle w:val="6"/>
              <w:spacing w:before="19" w:line="219" w:lineRule="auto"/>
              <w:ind w:left="55"/>
              <w:rPr>
                <w:sz w:val="21"/>
                <w:szCs w:val="21"/>
              </w:rPr>
            </w:pPr>
            <w:r>
              <w:rPr>
                <w:spacing w:val="-1"/>
                <w:sz w:val="21"/>
                <w:szCs w:val="21"/>
              </w:rPr>
              <w:t>产业政策要求，本项目不</w:t>
            </w:r>
          </w:p>
          <w:p w14:paraId="335FE9D0">
            <w:pPr>
              <w:pStyle w:val="6"/>
              <w:spacing w:before="42" w:line="219" w:lineRule="auto"/>
              <w:ind w:left="155"/>
              <w:rPr>
                <w:sz w:val="21"/>
                <w:szCs w:val="21"/>
              </w:rPr>
            </w:pPr>
            <w:r>
              <w:rPr>
                <w:spacing w:val="-1"/>
                <w:sz w:val="21"/>
                <w:szCs w:val="21"/>
              </w:rPr>
              <w:t>属于严重过剩产能行业</w:t>
            </w:r>
          </w:p>
          <w:p w14:paraId="14B11C10">
            <w:pPr>
              <w:pStyle w:val="6"/>
              <w:spacing w:before="21" w:line="219" w:lineRule="auto"/>
              <w:ind w:left="55"/>
              <w:rPr>
                <w:sz w:val="21"/>
                <w:szCs w:val="21"/>
              </w:rPr>
            </w:pPr>
            <w:r>
              <w:rPr>
                <w:sz w:val="21"/>
                <w:szCs w:val="21"/>
              </w:rPr>
              <w:t>的项目，不属于高耗能高</w:t>
            </w:r>
          </w:p>
          <w:p w14:paraId="5C3C1C7F">
            <w:pPr>
              <w:pStyle w:val="6"/>
              <w:spacing w:before="11" w:line="219" w:lineRule="auto"/>
              <w:ind w:left="55"/>
              <w:rPr>
                <w:sz w:val="21"/>
                <w:szCs w:val="21"/>
              </w:rPr>
            </w:pPr>
            <w:r>
              <w:rPr>
                <w:spacing w:val="-1"/>
                <w:sz w:val="21"/>
                <w:szCs w:val="21"/>
              </w:rPr>
              <w:t>排放项目，不属于法律法</w:t>
            </w:r>
          </w:p>
          <w:p w14:paraId="2576E122">
            <w:pPr>
              <w:pStyle w:val="6"/>
              <w:spacing w:before="19" w:line="219" w:lineRule="auto"/>
              <w:ind w:left="155"/>
              <w:rPr>
                <w:sz w:val="21"/>
                <w:szCs w:val="21"/>
              </w:rPr>
            </w:pPr>
            <w:r>
              <w:rPr>
                <w:spacing w:val="-1"/>
                <w:sz w:val="21"/>
                <w:szCs w:val="21"/>
              </w:rPr>
              <w:t>规和相关政策明令禁止</w:t>
            </w:r>
          </w:p>
          <w:p w14:paraId="54888C07">
            <w:pPr>
              <w:pStyle w:val="6"/>
              <w:spacing w:before="22" w:line="219" w:lineRule="auto"/>
              <w:ind w:left="55"/>
              <w:rPr>
                <w:sz w:val="21"/>
                <w:szCs w:val="21"/>
              </w:rPr>
            </w:pPr>
            <w:r>
              <w:rPr>
                <w:spacing w:val="1"/>
                <w:sz w:val="21"/>
                <w:szCs w:val="21"/>
              </w:rPr>
              <w:t>的落后产能项目，也不属</w:t>
            </w:r>
          </w:p>
          <w:p w14:paraId="3AD9F63F">
            <w:pPr>
              <w:pStyle w:val="6"/>
              <w:spacing w:before="40" w:line="219" w:lineRule="auto"/>
              <w:ind w:left="155"/>
              <w:rPr>
                <w:sz w:val="21"/>
                <w:szCs w:val="21"/>
              </w:rPr>
            </w:pPr>
            <w:r>
              <w:rPr>
                <w:sz w:val="21"/>
                <w:szCs w:val="21"/>
              </w:rPr>
              <w:t>于依法依规淘汰不符合</w:t>
            </w:r>
          </w:p>
          <w:p w14:paraId="762F9F16">
            <w:pPr>
              <w:pStyle w:val="6"/>
              <w:spacing w:before="23" w:line="220" w:lineRule="auto"/>
              <w:ind w:left="415"/>
              <w:rPr>
                <w:sz w:val="21"/>
                <w:szCs w:val="21"/>
              </w:rPr>
            </w:pPr>
            <w:r>
              <w:rPr>
                <w:sz w:val="21"/>
                <w:szCs w:val="21"/>
              </w:rPr>
              <w:t>生态要求的项目。</w:t>
            </w:r>
          </w:p>
        </w:tc>
        <w:tc>
          <w:tcPr>
            <w:tcW w:w="774" w:type="dxa"/>
            <w:gridSpan w:val="2"/>
            <w:vAlign w:val="top"/>
          </w:tcPr>
          <w:p w14:paraId="20F9F434">
            <w:pPr>
              <w:spacing w:line="274" w:lineRule="auto"/>
              <w:rPr>
                <w:rFonts w:ascii="Arial"/>
                <w:sz w:val="21"/>
              </w:rPr>
            </w:pPr>
          </w:p>
          <w:p w14:paraId="72F8ADA9">
            <w:pPr>
              <w:spacing w:line="274" w:lineRule="auto"/>
              <w:rPr>
                <w:rFonts w:ascii="Arial"/>
                <w:sz w:val="21"/>
              </w:rPr>
            </w:pPr>
          </w:p>
          <w:p w14:paraId="41231AEF">
            <w:pPr>
              <w:spacing w:line="275" w:lineRule="auto"/>
              <w:rPr>
                <w:rFonts w:ascii="Arial"/>
                <w:sz w:val="21"/>
              </w:rPr>
            </w:pPr>
          </w:p>
          <w:p w14:paraId="2BB91521">
            <w:pPr>
              <w:spacing w:line="275" w:lineRule="auto"/>
              <w:rPr>
                <w:rFonts w:ascii="Arial"/>
                <w:sz w:val="21"/>
              </w:rPr>
            </w:pPr>
          </w:p>
          <w:p w14:paraId="3F9E579C">
            <w:pPr>
              <w:spacing w:line="275" w:lineRule="auto"/>
              <w:rPr>
                <w:rFonts w:ascii="Arial"/>
                <w:sz w:val="21"/>
              </w:rPr>
            </w:pPr>
          </w:p>
          <w:p w14:paraId="75875FC8">
            <w:pPr>
              <w:pStyle w:val="6"/>
              <w:spacing w:before="68" w:line="219" w:lineRule="auto"/>
              <w:ind w:left="178"/>
              <w:rPr>
                <w:sz w:val="21"/>
                <w:szCs w:val="21"/>
              </w:rPr>
            </w:pPr>
            <w:r>
              <w:rPr>
                <w:spacing w:val="-3"/>
                <w:sz w:val="21"/>
                <w:szCs w:val="21"/>
              </w:rPr>
              <w:t>相符</w:t>
            </w:r>
          </w:p>
        </w:tc>
      </w:tr>
      <w:tr w14:paraId="3C18C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8" w:hRule="atLeast"/>
        </w:trPr>
        <w:tc>
          <w:tcPr>
            <w:tcW w:w="1244" w:type="dxa"/>
            <w:vMerge w:val="continue"/>
            <w:tcBorders>
              <w:top w:val="nil"/>
              <w:bottom w:val="nil"/>
            </w:tcBorders>
            <w:vAlign w:val="top"/>
          </w:tcPr>
          <w:p w14:paraId="71F1DB54">
            <w:pPr>
              <w:rPr>
                <w:rFonts w:ascii="Arial"/>
                <w:sz w:val="21"/>
              </w:rPr>
            </w:pPr>
          </w:p>
        </w:tc>
        <w:tc>
          <w:tcPr>
            <w:tcW w:w="7726" w:type="dxa"/>
            <w:gridSpan w:val="5"/>
            <w:vAlign w:val="top"/>
          </w:tcPr>
          <w:p w14:paraId="50A8E109">
            <w:pPr>
              <w:pStyle w:val="6"/>
              <w:spacing w:before="21" w:line="219" w:lineRule="auto"/>
              <w:ind w:left="510"/>
              <w:rPr>
                <w:sz w:val="21"/>
                <w:szCs w:val="21"/>
              </w:rPr>
            </w:pPr>
            <w:r>
              <w:rPr>
                <w:sz w:val="21"/>
                <w:szCs w:val="21"/>
              </w:rPr>
              <w:t>综上所述，项目不属于《云南省长江经济带发展负面清单指南实施细</w:t>
            </w:r>
          </w:p>
          <w:p w14:paraId="3423EC6C">
            <w:pPr>
              <w:pStyle w:val="6"/>
              <w:spacing w:before="230" w:line="219" w:lineRule="auto"/>
              <w:ind w:right="5"/>
              <w:jc w:val="right"/>
              <w:rPr>
                <w:sz w:val="21"/>
                <w:szCs w:val="21"/>
              </w:rPr>
            </w:pPr>
            <w:r>
              <w:rPr>
                <w:spacing w:val="34"/>
                <w:sz w:val="21"/>
                <w:szCs w:val="21"/>
              </w:rPr>
              <w:t>则(试行，2022年版)》名列的负面清单项目，项目建设符合《云南省长</w:t>
            </w:r>
          </w:p>
          <w:p w14:paraId="0602C87D">
            <w:pPr>
              <w:pStyle w:val="6"/>
              <w:spacing w:before="220" w:line="219" w:lineRule="auto"/>
              <w:ind w:left="20"/>
              <w:rPr>
                <w:sz w:val="21"/>
                <w:szCs w:val="21"/>
              </w:rPr>
            </w:pPr>
            <w:r>
              <w:rPr>
                <w:spacing w:val="34"/>
                <w:sz w:val="21"/>
                <w:szCs w:val="21"/>
              </w:rPr>
              <w:t>江经济带发展负面清单指南实施细则(试行，2022年版)》的相关要求。</w:t>
            </w:r>
          </w:p>
          <w:p w14:paraId="6CFBF6E2">
            <w:pPr>
              <w:pStyle w:val="6"/>
              <w:spacing w:before="208" w:line="219" w:lineRule="auto"/>
              <w:ind w:left="33"/>
              <w:rPr>
                <w:sz w:val="21"/>
                <w:szCs w:val="21"/>
              </w:rPr>
            </w:pPr>
            <w:r>
              <w:rPr>
                <w:b/>
                <w:bCs/>
                <w:spacing w:val="-2"/>
                <w:sz w:val="21"/>
                <w:szCs w:val="21"/>
              </w:rPr>
              <w:t>15与《输变电建设项目环境保护技术要求》符合</w:t>
            </w:r>
            <w:r>
              <w:rPr>
                <w:b/>
                <w:bCs/>
                <w:spacing w:val="-3"/>
                <w:sz w:val="21"/>
                <w:szCs w:val="21"/>
              </w:rPr>
              <w:t>性分析</w:t>
            </w:r>
          </w:p>
          <w:p w14:paraId="7481D7B0">
            <w:pPr>
              <w:pStyle w:val="6"/>
              <w:spacing w:before="221" w:line="404" w:lineRule="auto"/>
              <w:ind w:left="10" w:right="758" w:firstLine="499"/>
              <w:rPr>
                <w:sz w:val="21"/>
                <w:szCs w:val="21"/>
              </w:rPr>
            </w:pPr>
            <w:r>
              <w:rPr>
                <w:spacing w:val="1"/>
                <w:sz w:val="21"/>
                <w:szCs w:val="21"/>
              </w:rPr>
              <w:t>本工程升压站与《输变电建设项目环境保护技术要求》(</w:t>
            </w:r>
            <w:r>
              <w:rPr>
                <w:sz w:val="21"/>
                <w:szCs w:val="21"/>
              </w:rPr>
              <w:t>HJ</w:t>
            </w:r>
            <w:r>
              <w:rPr>
                <w:spacing w:val="1"/>
                <w:sz w:val="21"/>
                <w:szCs w:val="21"/>
              </w:rPr>
              <w:t>1113-2020)</w:t>
            </w:r>
            <w:r>
              <w:rPr>
                <w:spacing w:val="5"/>
                <w:sz w:val="21"/>
                <w:szCs w:val="21"/>
              </w:rPr>
              <w:t xml:space="preserve"> </w:t>
            </w:r>
            <w:r>
              <w:rPr>
                <w:spacing w:val="-1"/>
                <w:sz w:val="21"/>
                <w:szCs w:val="21"/>
              </w:rPr>
              <w:t>符合性分析如下：</w:t>
            </w:r>
          </w:p>
          <w:p w14:paraId="41530DB4">
            <w:pPr>
              <w:pStyle w:val="6"/>
              <w:spacing w:before="1" w:line="219" w:lineRule="auto"/>
              <w:ind w:left="444"/>
              <w:rPr>
                <w:sz w:val="21"/>
                <w:szCs w:val="21"/>
              </w:rPr>
            </w:pPr>
            <w:r>
              <w:rPr>
                <w:b/>
                <w:bCs/>
                <w:spacing w:val="-2"/>
                <w:sz w:val="21"/>
                <w:szCs w:val="21"/>
              </w:rPr>
              <w:t>表1-12</w:t>
            </w:r>
            <w:r>
              <w:rPr>
                <w:spacing w:val="-2"/>
                <w:sz w:val="21"/>
                <w:szCs w:val="21"/>
              </w:rPr>
              <w:t xml:space="preserve">  </w:t>
            </w:r>
            <w:r>
              <w:rPr>
                <w:b/>
                <w:bCs/>
                <w:spacing w:val="-2"/>
                <w:sz w:val="21"/>
                <w:szCs w:val="21"/>
              </w:rPr>
              <w:t>与《输变电建设项目环境保护技</w:t>
            </w:r>
            <w:r>
              <w:rPr>
                <w:b/>
                <w:bCs/>
                <w:spacing w:val="-3"/>
                <w:sz w:val="21"/>
                <w:szCs w:val="21"/>
              </w:rPr>
              <w:t>术要求》的符合性分析</w:t>
            </w:r>
          </w:p>
        </w:tc>
      </w:tr>
      <w:tr w14:paraId="7AA8B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44" w:type="dxa"/>
            <w:vMerge w:val="continue"/>
            <w:tcBorders>
              <w:top w:val="nil"/>
              <w:bottom w:val="nil"/>
            </w:tcBorders>
            <w:vAlign w:val="top"/>
          </w:tcPr>
          <w:p w14:paraId="22E7E97A">
            <w:pPr>
              <w:rPr>
                <w:rFonts w:ascii="Arial"/>
                <w:sz w:val="21"/>
              </w:rPr>
            </w:pPr>
          </w:p>
        </w:tc>
        <w:tc>
          <w:tcPr>
            <w:tcW w:w="3876" w:type="dxa"/>
            <w:vAlign w:val="top"/>
          </w:tcPr>
          <w:p w14:paraId="7BE731A0">
            <w:pPr>
              <w:pStyle w:val="6"/>
              <w:spacing w:before="171" w:line="221" w:lineRule="auto"/>
              <w:ind w:left="1724"/>
              <w:rPr>
                <w:sz w:val="21"/>
                <w:szCs w:val="21"/>
              </w:rPr>
            </w:pPr>
            <w:r>
              <w:rPr>
                <w:b/>
                <w:bCs/>
                <w:spacing w:val="-5"/>
                <w:sz w:val="21"/>
                <w:szCs w:val="21"/>
              </w:rPr>
              <w:t>要求</w:t>
            </w:r>
          </w:p>
        </w:tc>
        <w:tc>
          <w:tcPr>
            <w:tcW w:w="3196" w:type="dxa"/>
            <w:gridSpan w:val="3"/>
            <w:vAlign w:val="top"/>
          </w:tcPr>
          <w:p w14:paraId="494E34AC">
            <w:pPr>
              <w:pStyle w:val="6"/>
              <w:spacing w:before="171" w:line="220" w:lineRule="auto"/>
              <w:ind w:left="1178"/>
              <w:rPr>
                <w:sz w:val="21"/>
                <w:szCs w:val="21"/>
              </w:rPr>
            </w:pPr>
            <w:r>
              <w:rPr>
                <w:b/>
                <w:bCs/>
                <w:spacing w:val="-5"/>
                <w:sz w:val="21"/>
                <w:szCs w:val="21"/>
              </w:rPr>
              <w:t>项目情况</w:t>
            </w:r>
          </w:p>
        </w:tc>
        <w:tc>
          <w:tcPr>
            <w:tcW w:w="654" w:type="dxa"/>
            <w:vAlign w:val="top"/>
          </w:tcPr>
          <w:p w14:paraId="3F31B318">
            <w:pPr>
              <w:pStyle w:val="6"/>
              <w:spacing w:before="30" w:line="219" w:lineRule="auto"/>
              <w:ind w:left="201" w:right="121" w:hanging="89"/>
              <w:rPr>
                <w:sz w:val="21"/>
                <w:szCs w:val="21"/>
              </w:rPr>
            </w:pPr>
            <w:r>
              <w:rPr>
                <w:b/>
                <w:bCs/>
                <w:spacing w:val="-8"/>
                <w:sz w:val="21"/>
                <w:szCs w:val="21"/>
              </w:rPr>
              <w:t>符合</w:t>
            </w:r>
            <w:r>
              <w:rPr>
                <w:sz w:val="21"/>
                <w:szCs w:val="21"/>
              </w:rPr>
              <w:t xml:space="preserve"> </w:t>
            </w:r>
            <w:r>
              <w:rPr>
                <w:b/>
                <w:bCs/>
                <w:spacing w:val="-3"/>
                <w:sz w:val="21"/>
                <w:szCs w:val="21"/>
              </w:rPr>
              <w:t>性</w:t>
            </w:r>
          </w:p>
        </w:tc>
      </w:tr>
      <w:tr w14:paraId="183BD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1244" w:type="dxa"/>
            <w:vMerge w:val="continue"/>
            <w:tcBorders>
              <w:top w:val="nil"/>
              <w:bottom w:val="nil"/>
            </w:tcBorders>
            <w:vAlign w:val="top"/>
          </w:tcPr>
          <w:p w14:paraId="680AC240">
            <w:pPr>
              <w:rPr>
                <w:rFonts w:ascii="Arial"/>
                <w:sz w:val="21"/>
              </w:rPr>
            </w:pPr>
          </w:p>
        </w:tc>
        <w:tc>
          <w:tcPr>
            <w:tcW w:w="3876" w:type="dxa"/>
            <w:vAlign w:val="top"/>
          </w:tcPr>
          <w:p w14:paraId="1E81781A">
            <w:pPr>
              <w:pStyle w:val="6"/>
              <w:spacing w:before="64" w:line="219" w:lineRule="auto"/>
              <w:ind w:left="141"/>
              <w:rPr>
                <w:sz w:val="21"/>
                <w:szCs w:val="21"/>
              </w:rPr>
            </w:pPr>
            <w:r>
              <w:rPr>
                <w:spacing w:val="-1"/>
                <w:sz w:val="21"/>
                <w:szCs w:val="21"/>
              </w:rPr>
              <w:t>输变电建设项目环境保护应坚持保护优</w:t>
            </w:r>
          </w:p>
          <w:p w14:paraId="2F0478D9">
            <w:pPr>
              <w:pStyle w:val="6"/>
              <w:spacing w:before="10" w:line="219" w:lineRule="auto"/>
              <w:ind w:left="40"/>
              <w:rPr>
                <w:sz w:val="21"/>
                <w:szCs w:val="21"/>
              </w:rPr>
            </w:pPr>
            <w:r>
              <w:rPr>
                <w:sz w:val="21"/>
                <w:szCs w:val="21"/>
              </w:rPr>
              <w:t>先、预防为主、综合治理、公众参与、损</w:t>
            </w:r>
          </w:p>
          <w:p w14:paraId="6701C8EA">
            <w:pPr>
              <w:pStyle w:val="6"/>
              <w:spacing w:before="10" w:line="219" w:lineRule="auto"/>
              <w:jc w:val="right"/>
              <w:rPr>
                <w:sz w:val="21"/>
                <w:szCs w:val="21"/>
              </w:rPr>
            </w:pPr>
            <w:r>
              <w:rPr>
                <w:spacing w:val="2"/>
                <w:sz w:val="21"/>
                <w:szCs w:val="21"/>
              </w:rPr>
              <w:t>害担责的原则，对可能产生的电磁、声、</w:t>
            </w:r>
          </w:p>
          <w:p w14:paraId="1E5842FC">
            <w:pPr>
              <w:pStyle w:val="6"/>
              <w:spacing w:before="31" w:line="219" w:lineRule="auto"/>
              <w:ind w:left="40"/>
              <w:rPr>
                <w:sz w:val="21"/>
                <w:szCs w:val="21"/>
              </w:rPr>
            </w:pPr>
            <w:r>
              <w:rPr>
                <w:spacing w:val="-1"/>
                <w:sz w:val="21"/>
                <w:szCs w:val="21"/>
              </w:rPr>
              <w:t>生态、水、大气等不利环境影响和环境风</w:t>
            </w:r>
          </w:p>
          <w:p w14:paraId="5ECB5EEF">
            <w:pPr>
              <w:pStyle w:val="6"/>
              <w:spacing w:before="21" w:line="219" w:lineRule="auto"/>
              <w:ind w:left="40"/>
              <w:rPr>
                <w:sz w:val="21"/>
                <w:szCs w:val="21"/>
              </w:rPr>
            </w:pPr>
            <w:r>
              <w:rPr>
                <w:sz w:val="21"/>
                <w:szCs w:val="21"/>
              </w:rPr>
              <w:t>险进行防治，在确保满足各项环境标准的</w:t>
            </w:r>
          </w:p>
          <w:p w14:paraId="363D70F7">
            <w:pPr>
              <w:pStyle w:val="6"/>
              <w:spacing w:before="40" w:line="180" w:lineRule="auto"/>
              <w:ind w:left="510"/>
              <w:rPr>
                <w:sz w:val="21"/>
                <w:szCs w:val="21"/>
              </w:rPr>
            </w:pPr>
            <w:r>
              <w:rPr>
                <w:spacing w:val="-1"/>
                <w:sz w:val="21"/>
                <w:szCs w:val="21"/>
              </w:rPr>
              <w:t>基础上持续不断改善环境质量。</w:t>
            </w:r>
          </w:p>
        </w:tc>
        <w:tc>
          <w:tcPr>
            <w:tcW w:w="3196" w:type="dxa"/>
            <w:gridSpan w:val="3"/>
            <w:vAlign w:val="top"/>
          </w:tcPr>
          <w:p w14:paraId="03BA1E7F">
            <w:pPr>
              <w:pStyle w:val="6"/>
              <w:spacing w:before="62" w:line="218" w:lineRule="auto"/>
              <w:ind w:left="15"/>
              <w:rPr>
                <w:sz w:val="21"/>
                <w:szCs w:val="21"/>
              </w:rPr>
            </w:pPr>
            <w:r>
              <w:rPr>
                <w:spacing w:val="1"/>
                <w:sz w:val="21"/>
                <w:szCs w:val="21"/>
              </w:rPr>
              <w:t>本工程正在开展环境影响评价，审</w:t>
            </w:r>
          </w:p>
          <w:p w14:paraId="191625CE">
            <w:pPr>
              <w:pStyle w:val="6"/>
              <w:spacing w:before="2" w:line="219" w:lineRule="auto"/>
              <w:jc w:val="right"/>
              <w:rPr>
                <w:sz w:val="21"/>
                <w:szCs w:val="21"/>
              </w:rPr>
            </w:pPr>
            <w:r>
              <w:rPr>
                <w:spacing w:val="-2"/>
                <w:sz w:val="21"/>
                <w:szCs w:val="21"/>
              </w:rPr>
              <w:t>批阶段将依法依规进行信息公开。</w:t>
            </w:r>
          </w:p>
          <w:p w14:paraId="7DE4BCCC">
            <w:pPr>
              <w:pStyle w:val="6"/>
              <w:spacing w:before="30" w:line="218" w:lineRule="auto"/>
              <w:ind w:left="14"/>
              <w:rPr>
                <w:sz w:val="21"/>
                <w:szCs w:val="21"/>
              </w:rPr>
            </w:pPr>
            <w:r>
              <w:rPr>
                <w:sz w:val="21"/>
                <w:szCs w:val="21"/>
              </w:rPr>
              <w:t>落实本报告表提出的措施，对可能</w:t>
            </w:r>
          </w:p>
          <w:p w14:paraId="42F8E25C">
            <w:pPr>
              <w:pStyle w:val="6"/>
              <w:spacing w:before="24" w:line="219" w:lineRule="auto"/>
              <w:ind w:left="14"/>
              <w:rPr>
                <w:sz w:val="21"/>
                <w:szCs w:val="21"/>
              </w:rPr>
            </w:pPr>
            <w:r>
              <w:rPr>
                <w:sz w:val="21"/>
                <w:szCs w:val="21"/>
              </w:rPr>
              <w:t>产生的电磁、声、生态、水、大气</w:t>
            </w:r>
          </w:p>
          <w:p w14:paraId="1EDCC03B">
            <w:pPr>
              <w:pStyle w:val="6"/>
              <w:spacing w:before="20" w:line="219" w:lineRule="auto"/>
              <w:ind w:left="124"/>
              <w:rPr>
                <w:sz w:val="21"/>
                <w:szCs w:val="21"/>
              </w:rPr>
            </w:pPr>
            <w:r>
              <w:rPr>
                <w:spacing w:val="-1"/>
                <w:sz w:val="21"/>
                <w:szCs w:val="21"/>
              </w:rPr>
              <w:t>等不利环境影响和环境风险能起</w:t>
            </w:r>
          </w:p>
          <w:p w14:paraId="3C6BF4AB">
            <w:pPr>
              <w:pStyle w:val="6"/>
              <w:spacing w:before="21" w:line="197" w:lineRule="auto"/>
              <w:ind w:left="1014"/>
              <w:rPr>
                <w:sz w:val="21"/>
                <w:szCs w:val="21"/>
              </w:rPr>
            </w:pPr>
            <w:r>
              <w:rPr>
                <w:spacing w:val="-1"/>
                <w:sz w:val="21"/>
                <w:szCs w:val="21"/>
              </w:rPr>
              <w:t>到防治作用。</w:t>
            </w:r>
          </w:p>
        </w:tc>
        <w:tc>
          <w:tcPr>
            <w:tcW w:w="654" w:type="dxa"/>
            <w:vAlign w:val="top"/>
          </w:tcPr>
          <w:p w14:paraId="683FA85E">
            <w:pPr>
              <w:spacing w:line="326" w:lineRule="auto"/>
              <w:rPr>
                <w:rFonts w:ascii="Arial"/>
                <w:sz w:val="21"/>
              </w:rPr>
            </w:pPr>
          </w:p>
          <w:p w14:paraId="2E9B54C1">
            <w:pPr>
              <w:spacing w:line="326" w:lineRule="auto"/>
              <w:rPr>
                <w:rFonts w:ascii="Arial"/>
                <w:sz w:val="21"/>
              </w:rPr>
            </w:pPr>
          </w:p>
          <w:p w14:paraId="1C8057C3">
            <w:pPr>
              <w:pStyle w:val="6"/>
              <w:spacing w:before="68" w:line="219" w:lineRule="auto"/>
              <w:ind w:left="109"/>
              <w:rPr>
                <w:sz w:val="21"/>
                <w:szCs w:val="21"/>
              </w:rPr>
            </w:pPr>
            <w:r>
              <w:rPr>
                <w:spacing w:val="-3"/>
                <w:sz w:val="21"/>
                <w:szCs w:val="21"/>
              </w:rPr>
              <w:t>符合</w:t>
            </w:r>
          </w:p>
        </w:tc>
      </w:tr>
      <w:tr w14:paraId="34AEA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244" w:type="dxa"/>
            <w:vMerge w:val="continue"/>
            <w:tcBorders>
              <w:top w:val="nil"/>
              <w:bottom w:val="nil"/>
            </w:tcBorders>
            <w:vAlign w:val="top"/>
          </w:tcPr>
          <w:p w14:paraId="36C30C9E">
            <w:pPr>
              <w:rPr>
                <w:rFonts w:ascii="Arial"/>
                <w:sz w:val="21"/>
              </w:rPr>
            </w:pPr>
          </w:p>
        </w:tc>
        <w:tc>
          <w:tcPr>
            <w:tcW w:w="3876" w:type="dxa"/>
            <w:vAlign w:val="top"/>
          </w:tcPr>
          <w:p w14:paraId="75D9C4D2">
            <w:pPr>
              <w:pStyle w:val="6"/>
              <w:spacing w:before="54" w:line="219" w:lineRule="auto"/>
              <w:ind w:left="40"/>
              <w:rPr>
                <w:sz w:val="21"/>
                <w:szCs w:val="21"/>
              </w:rPr>
            </w:pPr>
            <w:r>
              <w:rPr>
                <w:spacing w:val="-1"/>
                <w:sz w:val="21"/>
                <w:szCs w:val="21"/>
              </w:rPr>
              <w:t>输变电建设项目在开工建设前应依法依规</w:t>
            </w:r>
          </w:p>
          <w:p w14:paraId="116936AD">
            <w:pPr>
              <w:pStyle w:val="6"/>
              <w:spacing w:before="20" w:line="189" w:lineRule="auto"/>
              <w:ind w:left="610"/>
              <w:rPr>
                <w:sz w:val="21"/>
                <w:szCs w:val="21"/>
              </w:rPr>
            </w:pPr>
            <w:r>
              <w:rPr>
                <w:sz w:val="21"/>
                <w:szCs w:val="21"/>
              </w:rPr>
              <w:t>进行建设项目环境影响评价。</w:t>
            </w:r>
          </w:p>
        </w:tc>
        <w:tc>
          <w:tcPr>
            <w:tcW w:w="3196" w:type="dxa"/>
            <w:gridSpan w:val="3"/>
            <w:vAlign w:val="top"/>
          </w:tcPr>
          <w:p w14:paraId="58E36389">
            <w:pPr>
              <w:pStyle w:val="6"/>
              <w:spacing w:before="173" w:line="218" w:lineRule="auto"/>
              <w:ind w:left="174"/>
              <w:rPr>
                <w:sz w:val="21"/>
                <w:szCs w:val="21"/>
              </w:rPr>
            </w:pPr>
            <w:r>
              <w:rPr>
                <w:spacing w:val="-1"/>
                <w:sz w:val="21"/>
                <w:szCs w:val="21"/>
              </w:rPr>
              <w:t>本项目正在开展环境影响评价。</w:t>
            </w:r>
          </w:p>
        </w:tc>
        <w:tc>
          <w:tcPr>
            <w:tcW w:w="654" w:type="dxa"/>
            <w:vAlign w:val="top"/>
          </w:tcPr>
          <w:p w14:paraId="12675BE9">
            <w:pPr>
              <w:pStyle w:val="6"/>
              <w:spacing w:before="175" w:line="219" w:lineRule="auto"/>
              <w:ind w:left="109"/>
              <w:rPr>
                <w:sz w:val="21"/>
                <w:szCs w:val="21"/>
              </w:rPr>
            </w:pPr>
            <w:r>
              <w:rPr>
                <w:spacing w:val="-3"/>
                <w:sz w:val="21"/>
                <w:szCs w:val="21"/>
              </w:rPr>
              <w:t>符合</w:t>
            </w:r>
          </w:p>
        </w:tc>
      </w:tr>
      <w:tr w14:paraId="017B5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244" w:type="dxa"/>
            <w:vMerge w:val="continue"/>
            <w:tcBorders>
              <w:top w:val="nil"/>
              <w:bottom w:val="nil"/>
            </w:tcBorders>
            <w:vAlign w:val="top"/>
          </w:tcPr>
          <w:p w14:paraId="42FB9C58">
            <w:pPr>
              <w:rPr>
                <w:rFonts w:ascii="Arial"/>
                <w:sz w:val="21"/>
              </w:rPr>
            </w:pPr>
          </w:p>
        </w:tc>
        <w:tc>
          <w:tcPr>
            <w:tcW w:w="3876" w:type="dxa"/>
            <w:vAlign w:val="top"/>
          </w:tcPr>
          <w:p w14:paraId="1DF5D046">
            <w:pPr>
              <w:pStyle w:val="6"/>
              <w:spacing w:before="47" w:line="220" w:lineRule="auto"/>
              <w:jc w:val="right"/>
              <w:rPr>
                <w:sz w:val="21"/>
                <w:szCs w:val="21"/>
              </w:rPr>
            </w:pPr>
            <w:r>
              <w:rPr>
                <w:spacing w:val="2"/>
                <w:sz w:val="21"/>
                <w:szCs w:val="21"/>
              </w:rPr>
              <w:t>加强建设项目及其环境保护工作的公开、</w:t>
            </w:r>
          </w:p>
          <w:p w14:paraId="32418649">
            <w:pPr>
              <w:pStyle w:val="6"/>
              <w:spacing w:before="8" w:line="188" w:lineRule="auto"/>
              <w:ind w:left="510"/>
              <w:rPr>
                <w:sz w:val="21"/>
                <w:szCs w:val="21"/>
              </w:rPr>
            </w:pPr>
            <w:r>
              <w:rPr>
                <w:spacing w:val="-1"/>
                <w:sz w:val="21"/>
                <w:szCs w:val="21"/>
              </w:rPr>
              <w:t>透明，依法依规进行信息公开。</w:t>
            </w:r>
          </w:p>
        </w:tc>
        <w:tc>
          <w:tcPr>
            <w:tcW w:w="3196" w:type="dxa"/>
            <w:gridSpan w:val="3"/>
            <w:vAlign w:val="top"/>
          </w:tcPr>
          <w:p w14:paraId="7D6AB69F">
            <w:pPr>
              <w:pStyle w:val="6"/>
              <w:spacing w:before="35" w:line="213" w:lineRule="auto"/>
              <w:ind w:left="124"/>
              <w:rPr>
                <w:sz w:val="21"/>
                <w:szCs w:val="21"/>
              </w:rPr>
            </w:pPr>
            <w:r>
              <w:rPr>
                <w:sz w:val="21"/>
                <w:szCs w:val="21"/>
              </w:rPr>
              <w:t>审批阶段将依法依规进行信息公</w:t>
            </w:r>
          </w:p>
          <w:p w14:paraId="217F6537">
            <w:pPr>
              <w:pStyle w:val="6"/>
              <w:spacing w:line="212" w:lineRule="auto"/>
              <w:ind w:left="1435"/>
              <w:rPr>
                <w:sz w:val="21"/>
                <w:szCs w:val="21"/>
              </w:rPr>
            </w:pPr>
            <w:r>
              <w:rPr>
                <w:spacing w:val="-2"/>
                <w:sz w:val="21"/>
                <w:szCs w:val="21"/>
              </w:rPr>
              <w:t>开。</w:t>
            </w:r>
          </w:p>
        </w:tc>
        <w:tc>
          <w:tcPr>
            <w:tcW w:w="654" w:type="dxa"/>
            <w:vAlign w:val="top"/>
          </w:tcPr>
          <w:p w14:paraId="01157B94">
            <w:pPr>
              <w:pStyle w:val="6"/>
              <w:spacing w:before="166" w:line="219" w:lineRule="auto"/>
              <w:ind w:left="109"/>
              <w:rPr>
                <w:sz w:val="21"/>
                <w:szCs w:val="21"/>
              </w:rPr>
            </w:pPr>
            <w:r>
              <w:rPr>
                <w:spacing w:val="-3"/>
                <w:sz w:val="21"/>
                <w:szCs w:val="21"/>
              </w:rPr>
              <w:t>符合</w:t>
            </w:r>
          </w:p>
        </w:tc>
      </w:tr>
      <w:tr w14:paraId="753F8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trPr>
        <w:tc>
          <w:tcPr>
            <w:tcW w:w="1244" w:type="dxa"/>
            <w:vMerge w:val="continue"/>
            <w:tcBorders>
              <w:top w:val="nil"/>
              <w:bottom w:val="nil"/>
            </w:tcBorders>
            <w:vAlign w:val="top"/>
          </w:tcPr>
          <w:p w14:paraId="64B69A36">
            <w:pPr>
              <w:rPr>
                <w:rFonts w:ascii="Arial"/>
                <w:sz w:val="21"/>
              </w:rPr>
            </w:pPr>
          </w:p>
        </w:tc>
        <w:tc>
          <w:tcPr>
            <w:tcW w:w="3876" w:type="dxa"/>
            <w:vAlign w:val="top"/>
          </w:tcPr>
          <w:p w14:paraId="4B2A9CFC">
            <w:pPr>
              <w:pStyle w:val="6"/>
              <w:spacing w:before="46" w:line="219" w:lineRule="auto"/>
              <w:ind w:left="40"/>
              <w:rPr>
                <w:sz w:val="21"/>
                <w:szCs w:val="21"/>
              </w:rPr>
            </w:pPr>
            <w:r>
              <w:rPr>
                <w:sz w:val="21"/>
                <w:szCs w:val="21"/>
              </w:rPr>
              <w:t>输变电建设项目选址选线应符合生态保护</w:t>
            </w:r>
          </w:p>
          <w:p w14:paraId="7CB8274B">
            <w:pPr>
              <w:pStyle w:val="6"/>
              <w:spacing w:before="21" w:line="219" w:lineRule="auto"/>
              <w:ind w:left="40"/>
              <w:rPr>
                <w:sz w:val="21"/>
                <w:szCs w:val="21"/>
              </w:rPr>
            </w:pPr>
            <w:r>
              <w:rPr>
                <w:sz w:val="21"/>
                <w:szCs w:val="21"/>
              </w:rPr>
              <w:t>红线管控要求，避让自然保护区、饮用水</w:t>
            </w:r>
          </w:p>
          <w:p w14:paraId="77D3A4BD">
            <w:pPr>
              <w:pStyle w:val="6"/>
              <w:spacing w:before="30" w:line="219" w:lineRule="auto"/>
              <w:ind w:left="40"/>
              <w:rPr>
                <w:sz w:val="21"/>
                <w:szCs w:val="21"/>
              </w:rPr>
            </w:pPr>
            <w:r>
              <w:rPr>
                <w:spacing w:val="-1"/>
                <w:sz w:val="21"/>
                <w:szCs w:val="21"/>
              </w:rPr>
              <w:t>水源保护区等环境敏感区。确实因自然条</w:t>
            </w:r>
          </w:p>
          <w:p w14:paraId="7ABD82F7">
            <w:pPr>
              <w:pStyle w:val="6"/>
              <w:spacing w:before="21" w:line="219" w:lineRule="auto"/>
              <w:ind w:left="141"/>
              <w:rPr>
                <w:sz w:val="21"/>
                <w:szCs w:val="21"/>
              </w:rPr>
            </w:pPr>
            <w:r>
              <w:rPr>
                <w:spacing w:val="-1"/>
                <w:sz w:val="21"/>
                <w:szCs w:val="21"/>
              </w:rPr>
              <w:t>件等因素限制无法避让自然保护区实验</w:t>
            </w:r>
          </w:p>
          <w:p w14:paraId="4869C622">
            <w:pPr>
              <w:pStyle w:val="6"/>
              <w:spacing w:before="30" w:line="219" w:lineRule="auto"/>
              <w:ind w:left="40"/>
              <w:rPr>
                <w:sz w:val="21"/>
                <w:szCs w:val="21"/>
              </w:rPr>
            </w:pPr>
            <w:r>
              <w:rPr>
                <w:spacing w:val="1"/>
                <w:sz w:val="21"/>
                <w:szCs w:val="21"/>
              </w:rPr>
              <w:t>区、饮用水水源二级保护区等环境敏感区</w:t>
            </w:r>
          </w:p>
          <w:p w14:paraId="022D3F0F">
            <w:pPr>
              <w:pStyle w:val="6"/>
              <w:spacing w:before="21" w:line="219" w:lineRule="auto"/>
              <w:ind w:left="40"/>
              <w:rPr>
                <w:sz w:val="21"/>
                <w:szCs w:val="21"/>
              </w:rPr>
            </w:pPr>
            <w:r>
              <w:rPr>
                <w:sz w:val="21"/>
                <w:szCs w:val="21"/>
              </w:rPr>
              <w:t>的输电线路，应在满足相关法律法规及管</w:t>
            </w:r>
          </w:p>
          <w:p w14:paraId="054F4FF4">
            <w:pPr>
              <w:pStyle w:val="6"/>
              <w:spacing w:before="41" w:line="219" w:lineRule="auto"/>
              <w:ind w:left="40"/>
              <w:rPr>
                <w:sz w:val="21"/>
                <w:szCs w:val="21"/>
              </w:rPr>
            </w:pPr>
            <w:r>
              <w:rPr>
                <w:sz w:val="21"/>
                <w:szCs w:val="21"/>
              </w:rPr>
              <w:t>理要求的前提下对线路方案进行唯一性论</w:t>
            </w:r>
          </w:p>
          <w:p w14:paraId="2258905D">
            <w:pPr>
              <w:pStyle w:val="6"/>
              <w:spacing w:before="19" w:line="178" w:lineRule="auto"/>
              <w:ind w:left="610"/>
              <w:rPr>
                <w:sz w:val="21"/>
                <w:szCs w:val="21"/>
              </w:rPr>
            </w:pPr>
            <w:r>
              <w:rPr>
                <w:sz w:val="21"/>
                <w:szCs w:val="21"/>
              </w:rPr>
              <w:t>证，并采取无害化方式通过。</w:t>
            </w:r>
          </w:p>
        </w:tc>
        <w:tc>
          <w:tcPr>
            <w:tcW w:w="3196" w:type="dxa"/>
            <w:gridSpan w:val="3"/>
            <w:vAlign w:val="top"/>
          </w:tcPr>
          <w:p w14:paraId="58B07A52">
            <w:pPr>
              <w:spacing w:line="332" w:lineRule="auto"/>
              <w:rPr>
                <w:rFonts w:ascii="Arial"/>
                <w:sz w:val="21"/>
              </w:rPr>
            </w:pPr>
          </w:p>
          <w:p w14:paraId="054A4501">
            <w:pPr>
              <w:spacing w:line="332" w:lineRule="auto"/>
              <w:rPr>
                <w:rFonts w:ascii="Arial"/>
                <w:sz w:val="21"/>
              </w:rPr>
            </w:pPr>
          </w:p>
          <w:p w14:paraId="375B3F84">
            <w:pPr>
              <w:pStyle w:val="6"/>
              <w:spacing w:before="69" w:line="220" w:lineRule="auto"/>
              <w:ind w:left="124"/>
              <w:rPr>
                <w:sz w:val="21"/>
                <w:szCs w:val="21"/>
              </w:rPr>
            </w:pPr>
            <w:r>
              <w:rPr>
                <w:spacing w:val="1"/>
                <w:sz w:val="21"/>
                <w:szCs w:val="21"/>
              </w:rPr>
              <w:t>项目升压站选址不涉及生态保护</w:t>
            </w:r>
          </w:p>
          <w:p w14:paraId="69190786">
            <w:pPr>
              <w:pStyle w:val="6"/>
              <w:spacing w:before="29" w:line="219" w:lineRule="auto"/>
              <w:ind w:left="14"/>
              <w:rPr>
                <w:sz w:val="21"/>
                <w:szCs w:val="21"/>
              </w:rPr>
            </w:pPr>
            <w:r>
              <w:rPr>
                <w:sz w:val="21"/>
                <w:szCs w:val="21"/>
              </w:rPr>
              <w:t>红线，不涉及自然保护区、饮用水</w:t>
            </w:r>
          </w:p>
          <w:p w14:paraId="6B0DC8A0">
            <w:pPr>
              <w:pStyle w:val="6"/>
              <w:spacing w:before="10" w:line="219" w:lineRule="auto"/>
              <w:ind w:left="384"/>
              <w:rPr>
                <w:sz w:val="21"/>
                <w:szCs w:val="21"/>
              </w:rPr>
            </w:pPr>
            <w:r>
              <w:rPr>
                <w:spacing w:val="-1"/>
                <w:sz w:val="21"/>
                <w:szCs w:val="21"/>
              </w:rPr>
              <w:t>水源保护区等环境敏感区。</w:t>
            </w:r>
          </w:p>
        </w:tc>
        <w:tc>
          <w:tcPr>
            <w:tcW w:w="654" w:type="dxa"/>
            <w:vAlign w:val="top"/>
          </w:tcPr>
          <w:p w14:paraId="7B8CAE60">
            <w:pPr>
              <w:spacing w:line="307" w:lineRule="auto"/>
              <w:rPr>
                <w:rFonts w:ascii="Arial"/>
                <w:sz w:val="21"/>
              </w:rPr>
            </w:pPr>
          </w:p>
          <w:p w14:paraId="03563893">
            <w:pPr>
              <w:spacing w:line="307" w:lineRule="auto"/>
              <w:rPr>
                <w:rFonts w:ascii="Arial"/>
                <w:sz w:val="21"/>
              </w:rPr>
            </w:pPr>
          </w:p>
          <w:p w14:paraId="6F7DFBAE">
            <w:pPr>
              <w:spacing w:line="308" w:lineRule="auto"/>
              <w:rPr>
                <w:rFonts w:ascii="Arial"/>
                <w:sz w:val="21"/>
              </w:rPr>
            </w:pPr>
          </w:p>
          <w:p w14:paraId="6C08E26A">
            <w:pPr>
              <w:pStyle w:val="6"/>
              <w:spacing w:before="69" w:line="219" w:lineRule="auto"/>
              <w:ind w:left="109"/>
              <w:rPr>
                <w:sz w:val="21"/>
                <w:szCs w:val="21"/>
              </w:rPr>
            </w:pPr>
            <w:r>
              <w:rPr>
                <w:spacing w:val="-3"/>
                <w:sz w:val="21"/>
                <w:szCs w:val="21"/>
              </w:rPr>
              <w:t>符合</w:t>
            </w:r>
          </w:p>
        </w:tc>
      </w:tr>
      <w:tr w14:paraId="1DBB8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44" w:type="dxa"/>
            <w:vMerge w:val="continue"/>
            <w:tcBorders>
              <w:top w:val="nil"/>
            </w:tcBorders>
            <w:vAlign w:val="top"/>
          </w:tcPr>
          <w:p w14:paraId="4F878951">
            <w:pPr>
              <w:rPr>
                <w:rFonts w:ascii="Arial"/>
                <w:sz w:val="21"/>
              </w:rPr>
            </w:pPr>
          </w:p>
        </w:tc>
        <w:tc>
          <w:tcPr>
            <w:tcW w:w="3876" w:type="dxa"/>
            <w:vAlign w:val="top"/>
          </w:tcPr>
          <w:p w14:paraId="40B09ABF">
            <w:pPr>
              <w:pStyle w:val="6"/>
              <w:spacing w:before="59" w:line="227" w:lineRule="auto"/>
              <w:ind w:left="40"/>
              <w:jc w:val="both"/>
              <w:rPr>
                <w:sz w:val="21"/>
                <w:szCs w:val="21"/>
              </w:rPr>
            </w:pPr>
            <w:r>
              <w:rPr>
                <w:sz w:val="21"/>
                <w:szCs w:val="21"/>
              </w:rPr>
              <w:t>变电工程在选址时应按终期规模综合考虑</w:t>
            </w:r>
            <w:r>
              <w:rPr>
                <w:spacing w:val="13"/>
                <w:sz w:val="21"/>
                <w:szCs w:val="21"/>
              </w:rPr>
              <w:t xml:space="preserve"> </w:t>
            </w:r>
            <w:r>
              <w:rPr>
                <w:spacing w:val="-1"/>
                <w:sz w:val="21"/>
                <w:szCs w:val="21"/>
              </w:rPr>
              <w:t>进出线走廊规划，避免进出线进入自然保</w:t>
            </w:r>
            <w:r>
              <w:rPr>
                <w:spacing w:val="10"/>
                <w:sz w:val="21"/>
                <w:szCs w:val="21"/>
              </w:rPr>
              <w:t xml:space="preserve"> </w:t>
            </w:r>
            <w:r>
              <w:rPr>
                <w:spacing w:val="2"/>
                <w:sz w:val="21"/>
                <w:szCs w:val="21"/>
              </w:rPr>
              <w:t>护区、饮用水水源保护区等环境敏感区。</w:t>
            </w:r>
          </w:p>
        </w:tc>
        <w:tc>
          <w:tcPr>
            <w:tcW w:w="3196" w:type="dxa"/>
            <w:gridSpan w:val="3"/>
            <w:vAlign w:val="top"/>
          </w:tcPr>
          <w:p w14:paraId="7855F48E">
            <w:pPr>
              <w:pStyle w:val="6"/>
              <w:spacing w:before="38" w:line="233" w:lineRule="auto"/>
              <w:ind w:left="14" w:right="9" w:firstLine="109"/>
              <w:jc w:val="both"/>
              <w:rPr>
                <w:sz w:val="21"/>
                <w:szCs w:val="21"/>
              </w:rPr>
            </w:pPr>
            <w:r>
              <w:rPr>
                <w:sz w:val="21"/>
                <w:szCs w:val="21"/>
              </w:rPr>
              <w:t>项目升压站选址时已按终期规模</w:t>
            </w:r>
            <w:r>
              <w:rPr>
                <w:spacing w:val="4"/>
                <w:sz w:val="21"/>
                <w:szCs w:val="21"/>
              </w:rPr>
              <w:t xml:space="preserve">  </w:t>
            </w:r>
            <w:r>
              <w:rPr>
                <w:sz w:val="21"/>
                <w:szCs w:val="21"/>
              </w:rPr>
              <w:t>综合考虑进出线走廊规划，不涉及</w:t>
            </w:r>
            <w:r>
              <w:rPr>
                <w:spacing w:val="10"/>
                <w:sz w:val="21"/>
                <w:szCs w:val="21"/>
              </w:rPr>
              <w:t xml:space="preserve"> </w:t>
            </w:r>
            <w:r>
              <w:rPr>
                <w:sz w:val="21"/>
                <w:szCs w:val="21"/>
              </w:rPr>
              <w:t>自然保护区、饮用水水源保护区等</w:t>
            </w:r>
          </w:p>
        </w:tc>
        <w:tc>
          <w:tcPr>
            <w:tcW w:w="654" w:type="dxa"/>
            <w:vAlign w:val="top"/>
          </w:tcPr>
          <w:p w14:paraId="2F312FF4">
            <w:pPr>
              <w:spacing w:line="258" w:lineRule="auto"/>
              <w:rPr>
                <w:rFonts w:ascii="Arial"/>
                <w:sz w:val="21"/>
              </w:rPr>
            </w:pPr>
          </w:p>
          <w:p w14:paraId="7198E570">
            <w:pPr>
              <w:pStyle w:val="6"/>
              <w:spacing w:before="69" w:line="219" w:lineRule="auto"/>
              <w:ind w:left="109"/>
              <w:rPr>
                <w:sz w:val="21"/>
                <w:szCs w:val="21"/>
              </w:rPr>
            </w:pPr>
            <w:r>
              <w:rPr>
                <w:spacing w:val="-3"/>
                <w:sz w:val="21"/>
                <w:szCs w:val="21"/>
              </w:rPr>
              <w:t>符合</w:t>
            </w:r>
          </w:p>
        </w:tc>
      </w:tr>
    </w:tbl>
    <w:p w14:paraId="6A70F428">
      <w:pPr>
        <w:pStyle w:val="2"/>
      </w:pPr>
    </w:p>
    <w:p w14:paraId="011279C2">
      <w:pPr>
        <w:sectPr>
          <w:footerReference r:id="rId40" w:type="default"/>
          <w:pgSz w:w="11910" w:h="16830"/>
          <w:pgMar w:top="400" w:right="1524" w:bottom="1259" w:left="1405" w:header="0" w:footer="1079" w:gutter="0"/>
          <w:cols w:space="720" w:num="1"/>
        </w:sectPr>
      </w:pPr>
    </w:p>
    <w:p w14:paraId="4F46193C">
      <w:pPr>
        <w:spacing w:before="18"/>
      </w:pPr>
    </w:p>
    <w:p w14:paraId="0C36EDBC">
      <w:pPr>
        <w:spacing w:before="18"/>
      </w:pPr>
    </w:p>
    <w:p w14:paraId="7F02A875">
      <w:pPr>
        <w:spacing w:before="17"/>
      </w:pPr>
    </w:p>
    <w:p w14:paraId="5C9AAFE6">
      <w:pPr>
        <w:spacing w:before="17"/>
      </w:pPr>
    </w:p>
    <w:p w14:paraId="143EB168">
      <w:pPr>
        <w:spacing w:before="17"/>
      </w:pPr>
    </w:p>
    <w:tbl>
      <w:tblPr>
        <w:tblStyle w:val="5"/>
        <w:tblW w:w="90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3"/>
        <w:gridCol w:w="3896"/>
        <w:gridCol w:w="3186"/>
        <w:gridCol w:w="664"/>
      </w:tblGrid>
      <w:tr w14:paraId="7342D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263" w:type="dxa"/>
            <w:vMerge w:val="restart"/>
            <w:tcBorders>
              <w:bottom w:val="nil"/>
            </w:tcBorders>
            <w:vAlign w:val="top"/>
          </w:tcPr>
          <w:p w14:paraId="5038A813">
            <w:pPr>
              <w:rPr>
                <w:rFonts w:ascii="Arial"/>
                <w:sz w:val="21"/>
              </w:rPr>
            </w:pPr>
          </w:p>
        </w:tc>
        <w:tc>
          <w:tcPr>
            <w:tcW w:w="3896" w:type="dxa"/>
            <w:vAlign w:val="top"/>
          </w:tcPr>
          <w:p w14:paraId="779C0964">
            <w:pPr>
              <w:rPr>
                <w:rFonts w:ascii="Arial"/>
                <w:sz w:val="21"/>
              </w:rPr>
            </w:pPr>
          </w:p>
        </w:tc>
        <w:tc>
          <w:tcPr>
            <w:tcW w:w="3186" w:type="dxa"/>
            <w:vAlign w:val="top"/>
          </w:tcPr>
          <w:p w14:paraId="4D3CD79C">
            <w:pPr>
              <w:pStyle w:val="6"/>
              <w:spacing w:before="63" w:line="219" w:lineRule="auto"/>
              <w:ind w:left="1005"/>
              <w:rPr>
                <w:sz w:val="21"/>
                <w:szCs w:val="21"/>
              </w:rPr>
            </w:pPr>
            <w:r>
              <w:rPr>
                <w:sz w:val="21"/>
                <w:szCs w:val="21"/>
              </w:rPr>
              <w:t>环境敏感区。</w:t>
            </w:r>
          </w:p>
        </w:tc>
        <w:tc>
          <w:tcPr>
            <w:tcW w:w="664" w:type="dxa"/>
            <w:vAlign w:val="top"/>
          </w:tcPr>
          <w:p w14:paraId="5CA4EA7A">
            <w:pPr>
              <w:rPr>
                <w:rFonts w:ascii="Arial"/>
                <w:sz w:val="21"/>
              </w:rPr>
            </w:pPr>
          </w:p>
        </w:tc>
      </w:tr>
      <w:tr w14:paraId="577ED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263" w:type="dxa"/>
            <w:vMerge w:val="continue"/>
            <w:tcBorders>
              <w:top w:val="nil"/>
              <w:bottom w:val="nil"/>
            </w:tcBorders>
            <w:vAlign w:val="top"/>
          </w:tcPr>
          <w:p w14:paraId="52C10959">
            <w:pPr>
              <w:rPr>
                <w:rFonts w:ascii="Arial"/>
                <w:sz w:val="21"/>
              </w:rPr>
            </w:pPr>
          </w:p>
        </w:tc>
        <w:tc>
          <w:tcPr>
            <w:tcW w:w="3896" w:type="dxa"/>
            <w:vAlign w:val="top"/>
          </w:tcPr>
          <w:p w14:paraId="412D99EA">
            <w:pPr>
              <w:pStyle w:val="6"/>
              <w:spacing w:before="38" w:line="219" w:lineRule="auto"/>
              <w:ind w:left="102"/>
              <w:rPr>
                <w:sz w:val="21"/>
                <w:szCs w:val="21"/>
              </w:rPr>
            </w:pPr>
            <w:r>
              <w:rPr>
                <w:sz w:val="21"/>
                <w:szCs w:val="21"/>
              </w:rPr>
              <w:t>原则上避免在0类声环境功能区建设变电</w:t>
            </w:r>
          </w:p>
          <w:p w14:paraId="0123C900">
            <w:pPr>
              <w:pStyle w:val="6"/>
              <w:spacing w:before="1" w:line="203" w:lineRule="auto"/>
              <w:ind w:left="1671"/>
              <w:rPr>
                <w:sz w:val="21"/>
                <w:szCs w:val="21"/>
              </w:rPr>
            </w:pPr>
            <w:r>
              <w:rPr>
                <w:spacing w:val="1"/>
                <w:sz w:val="21"/>
                <w:szCs w:val="21"/>
              </w:rPr>
              <w:t>工程。</w:t>
            </w:r>
          </w:p>
        </w:tc>
        <w:tc>
          <w:tcPr>
            <w:tcW w:w="3186" w:type="dxa"/>
            <w:vAlign w:val="top"/>
          </w:tcPr>
          <w:p w14:paraId="010FE88A">
            <w:pPr>
              <w:pStyle w:val="6"/>
              <w:spacing w:before="157" w:line="219" w:lineRule="auto"/>
              <w:ind w:right="15"/>
              <w:jc w:val="right"/>
              <w:rPr>
                <w:sz w:val="21"/>
                <w:szCs w:val="21"/>
              </w:rPr>
            </w:pPr>
            <w:r>
              <w:rPr>
                <w:sz w:val="21"/>
                <w:szCs w:val="21"/>
              </w:rPr>
              <w:t>拟建升压站周围为1类声功能区。</w:t>
            </w:r>
          </w:p>
        </w:tc>
        <w:tc>
          <w:tcPr>
            <w:tcW w:w="664" w:type="dxa"/>
            <w:vAlign w:val="top"/>
          </w:tcPr>
          <w:p w14:paraId="11F668E5">
            <w:pPr>
              <w:pStyle w:val="6"/>
              <w:spacing w:before="158" w:line="219" w:lineRule="auto"/>
              <w:ind w:left="119"/>
              <w:rPr>
                <w:sz w:val="21"/>
                <w:szCs w:val="21"/>
              </w:rPr>
            </w:pPr>
            <w:r>
              <w:rPr>
                <w:spacing w:val="-3"/>
                <w:sz w:val="21"/>
                <w:szCs w:val="21"/>
              </w:rPr>
              <w:t>符合</w:t>
            </w:r>
          </w:p>
        </w:tc>
      </w:tr>
      <w:tr w14:paraId="37B9C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63" w:type="dxa"/>
            <w:vMerge w:val="continue"/>
            <w:tcBorders>
              <w:top w:val="nil"/>
              <w:bottom w:val="nil"/>
            </w:tcBorders>
            <w:vAlign w:val="top"/>
          </w:tcPr>
          <w:p w14:paraId="5BC498B1">
            <w:pPr>
              <w:rPr>
                <w:rFonts w:ascii="Arial"/>
                <w:sz w:val="21"/>
              </w:rPr>
            </w:pPr>
          </w:p>
        </w:tc>
        <w:tc>
          <w:tcPr>
            <w:tcW w:w="3896" w:type="dxa"/>
            <w:vAlign w:val="top"/>
          </w:tcPr>
          <w:p w14:paraId="2C339BA5">
            <w:pPr>
              <w:pStyle w:val="6"/>
              <w:spacing w:before="27" w:line="219" w:lineRule="auto"/>
              <w:ind w:left="51"/>
              <w:rPr>
                <w:sz w:val="21"/>
                <w:szCs w:val="21"/>
              </w:rPr>
            </w:pPr>
            <w:r>
              <w:rPr>
                <w:sz w:val="21"/>
                <w:szCs w:val="21"/>
              </w:rPr>
              <w:t>变电工程选址时，应综合考虑减少土地占</w:t>
            </w:r>
          </w:p>
          <w:p w14:paraId="51C88154">
            <w:pPr>
              <w:pStyle w:val="6"/>
              <w:spacing w:before="32" w:line="219" w:lineRule="auto"/>
              <w:ind w:left="51"/>
              <w:rPr>
                <w:sz w:val="21"/>
                <w:szCs w:val="21"/>
              </w:rPr>
            </w:pPr>
            <w:r>
              <w:rPr>
                <w:spacing w:val="-1"/>
                <w:sz w:val="21"/>
                <w:szCs w:val="21"/>
              </w:rPr>
              <w:t>用、植被砍伐和弃土弃渣等，以减少对生</w:t>
            </w:r>
          </w:p>
          <w:p w14:paraId="25EAFDA8">
            <w:pPr>
              <w:pStyle w:val="6"/>
              <w:spacing w:before="51" w:line="193" w:lineRule="auto"/>
              <w:ind w:left="1041"/>
              <w:rPr>
                <w:sz w:val="21"/>
                <w:szCs w:val="21"/>
              </w:rPr>
            </w:pPr>
            <w:r>
              <w:rPr>
                <w:sz w:val="21"/>
                <w:szCs w:val="21"/>
              </w:rPr>
              <w:t>态环境的不利影响。</w:t>
            </w:r>
          </w:p>
        </w:tc>
        <w:tc>
          <w:tcPr>
            <w:tcW w:w="3186" w:type="dxa"/>
            <w:vAlign w:val="top"/>
          </w:tcPr>
          <w:p w14:paraId="66BF2623">
            <w:pPr>
              <w:pStyle w:val="6"/>
              <w:spacing w:before="37" w:line="232" w:lineRule="auto"/>
              <w:ind w:left="16" w:firstLine="98"/>
              <w:rPr>
                <w:sz w:val="21"/>
                <w:szCs w:val="21"/>
              </w:rPr>
            </w:pPr>
            <w:r>
              <w:rPr>
                <w:spacing w:val="-3"/>
                <w:sz w:val="21"/>
                <w:szCs w:val="21"/>
              </w:rPr>
              <w:t>本工程升压站用地范围不占用基</w:t>
            </w:r>
            <w:r>
              <w:rPr>
                <w:sz w:val="21"/>
                <w:szCs w:val="21"/>
              </w:rPr>
              <w:t xml:space="preserve">  </w:t>
            </w:r>
            <w:r>
              <w:rPr>
                <w:spacing w:val="-3"/>
                <w:sz w:val="21"/>
                <w:szCs w:val="21"/>
              </w:rPr>
              <w:t>本农田、公益林，项目选址已经考</w:t>
            </w:r>
            <w:r>
              <w:rPr>
                <w:sz w:val="21"/>
                <w:szCs w:val="21"/>
              </w:rPr>
              <w:t xml:space="preserve"> 虑减少占地，减少对植被的砍伐。</w:t>
            </w:r>
          </w:p>
        </w:tc>
        <w:tc>
          <w:tcPr>
            <w:tcW w:w="664" w:type="dxa"/>
            <w:vAlign w:val="top"/>
          </w:tcPr>
          <w:p w14:paraId="7ECF21FD">
            <w:pPr>
              <w:spacing w:line="249" w:lineRule="auto"/>
              <w:rPr>
                <w:rFonts w:ascii="Arial"/>
                <w:sz w:val="21"/>
              </w:rPr>
            </w:pPr>
          </w:p>
          <w:p w14:paraId="0AEB3616">
            <w:pPr>
              <w:pStyle w:val="6"/>
              <w:spacing w:before="68" w:line="219" w:lineRule="auto"/>
              <w:ind w:left="119"/>
              <w:rPr>
                <w:sz w:val="21"/>
                <w:szCs w:val="21"/>
              </w:rPr>
            </w:pPr>
            <w:r>
              <w:rPr>
                <w:spacing w:val="-3"/>
                <w:sz w:val="21"/>
                <w:szCs w:val="21"/>
              </w:rPr>
              <w:t>符合</w:t>
            </w:r>
          </w:p>
        </w:tc>
      </w:tr>
      <w:tr w14:paraId="6837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1263" w:type="dxa"/>
            <w:vMerge w:val="continue"/>
            <w:tcBorders>
              <w:top w:val="nil"/>
              <w:bottom w:val="nil"/>
            </w:tcBorders>
            <w:vAlign w:val="top"/>
          </w:tcPr>
          <w:p w14:paraId="3EDBB67D">
            <w:pPr>
              <w:rPr>
                <w:rFonts w:ascii="Arial"/>
                <w:sz w:val="21"/>
              </w:rPr>
            </w:pPr>
          </w:p>
        </w:tc>
        <w:tc>
          <w:tcPr>
            <w:tcW w:w="3896" w:type="dxa"/>
            <w:vAlign w:val="top"/>
          </w:tcPr>
          <w:p w14:paraId="44EDDDE4">
            <w:pPr>
              <w:pStyle w:val="6"/>
              <w:spacing w:before="37" w:line="218" w:lineRule="auto"/>
              <w:ind w:left="51"/>
              <w:rPr>
                <w:sz w:val="21"/>
                <w:szCs w:val="21"/>
              </w:rPr>
            </w:pPr>
            <w:r>
              <w:rPr>
                <w:spacing w:val="-1"/>
                <w:sz w:val="21"/>
                <w:szCs w:val="21"/>
              </w:rPr>
              <w:t>进入自然保护区的输电线路，应按照HJ19</w:t>
            </w:r>
          </w:p>
          <w:p w14:paraId="76000A58">
            <w:pPr>
              <w:pStyle w:val="6"/>
              <w:spacing w:before="23" w:line="219" w:lineRule="auto"/>
              <w:ind w:left="51"/>
              <w:rPr>
                <w:sz w:val="21"/>
                <w:szCs w:val="21"/>
              </w:rPr>
            </w:pPr>
            <w:r>
              <w:rPr>
                <w:sz w:val="21"/>
                <w:szCs w:val="21"/>
              </w:rPr>
              <w:t>的要求开展生态现状调查，避让保护对象</w:t>
            </w:r>
          </w:p>
          <w:p w14:paraId="5D0C0BE1">
            <w:pPr>
              <w:pStyle w:val="6"/>
              <w:spacing w:before="10" w:line="202" w:lineRule="auto"/>
              <w:ind w:left="1251"/>
              <w:rPr>
                <w:sz w:val="21"/>
                <w:szCs w:val="21"/>
              </w:rPr>
            </w:pPr>
            <w:r>
              <w:rPr>
                <w:sz w:val="21"/>
                <w:szCs w:val="21"/>
              </w:rPr>
              <w:t>的集中分布区。</w:t>
            </w:r>
          </w:p>
        </w:tc>
        <w:tc>
          <w:tcPr>
            <w:tcW w:w="3186" w:type="dxa"/>
            <w:vAlign w:val="top"/>
          </w:tcPr>
          <w:p w14:paraId="7F882E64">
            <w:pPr>
              <w:pStyle w:val="6"/>
              <w:spacing w:before="300" w:line="220" w:lineRule="auto"/>
              <w:ind w:left="485"/>
              <w:rPr>
                <w:sz w:val="21"/>
                <w:szCs w:val="21"/>
              </w:rPr>
            </w:pPr>
            <w:r>
              <w:rPr>
                <w:spacing w:val="-1"/>
                <w:sz w:val="21"/>
                <w:szCs w:val="21"/>
              </w:rPr>
              <w:t>项目不涉及自然保护区。</w:t>
            </w:r>
          </w:p>
        </w:tc>
        <w:tc>
          <w:tcPr>
            <w:tcW w:w="664" w:type="dxa"/>
            <w:vAlign w:val="top"/>
          </w:tcPr>
          <w:p w14:paraId="2460E1C6">
            <w:pPr>
              <w:pStyle w:val="6"/>
              <w:spacing w:before="299" w:line="219" w:lineRule="auto"/>
              <w:ind w:left="119"/>
              <w:rPr>
                <w:sz w:val="21"/>
                <w:szCs w:val="21"/>
              </w:rPr>
            </w:pPr>
            <w:r>
              <w:rPr>
                <w:spacing w:val="-3"/>
                <w:sz w:val="21"/>
                <w:szCs w:val="21"/>
              </w:rPr>
              <w:t>符合</w:t>
            </w:r>
          </w:p>
        </w:tc>
      </w:tr>
      <w:tr w14:paraId="4D262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263" w:type="dxa"/>
            <w:vMerge w:val="continue"/>
            <w:tcBorders>
              <w:top w:val="nil"/>
              <w:bottom w:val="nil"/>
            </w:tcBorders>
            <w:vAlign w:val="top"/>
          </w:tcPr>
          <w:p w14:paraId="3A1181D2">
            <w:pPr>
              <w:rPr>
                <w:rFonts w:ascii="Arial"/>
                <w:sz w:val="21"/>
              </w:rPr>
            </w:pPr>
          </w:p>
        </w:tc>
        <w:tc>
          <w:tcPr>
            <w:tcW w:w="3896" w:type="dxa"/>
            <w:vAlign w:val="top"/>
          </w:tcPr>
          <w:p w14:paraId="4AF9C8DD">
            <w:pPr>
              <w:pStyle w:val="6"/>
              <w:spacing w:before="40" w:line="219" w:lineRule="auto"/>
              <w:jc w:val="right"/>
              <w:rPr>
                <w:sz w:val="21"/>
                <w:szCs w:val="21"/>
              </w:rPr>
            </w:pPr>
            <w:r>
              <w:rPr>
                <w:spacing w:val="-7"/>
                <w:sz w:val="21"/>
                <w:szCs w:val="21"/>
              </w:rPr>
              <w:t>工程设计应对产生的工频电场、工频磁场、</w:t>
            </w:r>
          </w:p>
          <w:p w14:paraId="3FF50FFE">
            <w:pPr>
              <w:pStyle w:val="6"/>
              <w:spacing w:before="20" w:line="219" w:lineRule="auto"/>
              <w:ind w:left="51"/>
              <w:rPr>
                <w:sz w:val="21"/>
                <w:szCs w:val="21"/>
              </w:rPr>
            </w:pPr>
            <w:r>
              <w:rPr>
                <w:spacing w:val="-1"/>
                <w:sz w:val="21"/>
                <w:szCs w:val="21"/>
              </w:rPr>
              <w:t>直流合成电场等电磁环境影响因子进行验</w:t>
            </w:r>
          </w:p>
          <w:p w14:paraId="72DBBA07">
            <w:pPr>
              <w:pStyle w:val="6"/>
              <w:spacing w:before="19" w:line="219" w:lineRule="auto"/>
              <w:ind w:left="51"/>
              <w:rPr>
                <w:sz w:val="21"/>
                <w:szCs w:val="21"/>
              </w:rPr>
            </w:pPr>
            <w:r>
              <w:rPr>
                <w:spacing w:val="-1"/>
                <w:sz w:val="21"/>
                <w:szCs w:val="21"/>
              </w:rPr>
              <w:t>算，采取相应防护措施，确保电磁环境影</w:t>
            </w:r>
          </w:p>
          <w:p w14:paraId="50502005">
            <w:pPr>
              <w:pStyle w:val="6"/>
              <w:spacing w:before="12" w:line="201" w:lineRule="auto"/>
              <w:ind w:left="942"/>
              <w:rPr>
                <w:sz w:val="21"/>
                <w:szCs w:val="21"/>
              </w:rPr>
            </w:pPr>
            <w:r>
              <w:rPr>
                <w:spacing w:val="-1"/>
                <w:sz w:val="21"/>
                <w:szCs w:val="21"/>
              </w:rPr>
              <w:t>响满足国家标准要求。</w:t>
            </w:r>
          </w:p>
        </w:tc>
        <w:tc>
          <w:tcPr>
            <w:tcW w:w="3186" w:type="dxa"/>
            <w:vAlign w:val="top"/>
          </w:tcPr>
          <w:p w14:paraId="59D0519B">
            <w:pPr>
              <w:pStyle w:val="6"/>
              <w:spacing w:before="39" w:line="219" w:lineRule="auto"/>
              <w:ind w:left="115"/>
              <w:rPr>
                <w:sz w:val="21"/>
                <w:szCs w:val="21"/>
              </w:rPr>
            </w:pPr>
            <w:r>
              <w:rPr>
                <w:spacing w:val="-1"/>
                <w:sz w:val="21"/>
                <w:szCs w:val="21"/>
              </w:rPr>
              <w:t>本项目升压站设计时已进行电磁</w:t>
            </w:r>
          </w:p>
          <w:p w14:paraId="462D8FE5">
            <w:pPr>
              <w:pStyle w:val="6"/>
              <w:spacing w:before="22" w:line="219" w:lineRule="auto"/>
              <w:ind w:left="16"/>
              <w:rPr>
                <w:sz w:val="21"/>
                <w:szCs w:val="21"/>
              </w:rPr>
            </w:pPr>
            <w:r>
              <w:rPr>
                <w:spacing w:val="-1"/>
                <w:sz w:val="21"/>
                <w:szCs w:val="21"/>
              </w:rPr>
              <w:t>环境影响因子分析，按照较小的方</w:t>
            </w:r>
          </w:p>
          <w:p w14:paraId="2C27E043">
            <w:pPr>
              <w:pStyle w:val="6"/>
              <w:spacing w:before="21" w:line="219" w:lineRule="auto"/>
              <w:jc w:val="right"/>
              <w:rPr>
                <w:sz w:val="21"/>
                <w:szCs w:val="21"/>
              </w:rPr>
            </w:pPr>
            <w:r>
              <w:rPr>
                <w:sz w:val="21"/>
                <w:szCs w:val="21"/>
              </w:rPr>
              <w:t>式进行设计，确保电磁环境影响满</w:t>
            </w:r>
          </w:p>
          <w:p w14:paraId="2A77ADCC">
            <w:pPr>
              <w:pStyle w:val="6"/>
              <w:spacing w:before="11" w:line="200" w:lineRule="auto"/>
              <w:ind w:left="796"/>
              <w:rPr>
                <w:sz w:val="21"/>
                <w:szCs w:val="21"/>
              </w:rPr>
            </w:pPr>
            <w:r>
              <w:rPr>
                <w:sz w:val="21"/>
                <w:szCs w:val="21"/>
              </w:rPr>
              <w:t>足国家标准要求。</w:t>
            </w:r>
          </w:p>
        </w:tc>
        <w:tc>
          <w:tcPr>
            <w:tcW w:w="664" w:type="dxa"/>
            <w:vAlign w:val="top"/>
          </w:tcPr>
          <w:p w14:paraId="13B991D2">
            <w:pPr>
              <w:spacing w:line="370" w:lineRule="auto"/>
              <w:rPr>
                <w:rFonts w:ascii="Arial"/>
                <w:sz w:val="21"/>
              </w:rPr>
            </w:pPr>
          </w:p>
          <w:p w14:paraId="7B354BA8">
            <w:pPr>
              <w:pStyle w:val="6"/>
              <w:spacing w:before="68" w:line="219" w:lineRule="auto"/>
              <w:ind w:left="119"/>
              <w:rPr>
                <w:sz w:val="21"/>
                <w:szCs w:val="21"/>
              </w:rPr>
            </w:pPr>
            <w:r>
              <w:rPr>
                <w:spacing w:val="-3"/>
                <w:sz w:val="21"/>
                <w:szCs w:val="21"/>
              </w:rPr>
              <w:t>符合</w:t>
            </w:r>
          </w:p>
        </w:tc>
      </w:tr>
      <w:tr w14:paraId="0748A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1263" w:type="dxa"/>
            <w:vMerge w:val="continue"/>
            <w:tcBorders>
              <w:top w:val="nil"/>
              <w:bottom w:val="nil"/>
            </w:tcBorders>
            <w:vAlign w:val="top"/>
          </w:tcPr>
          <w:p w14:paraId="3CC82D48">
            <w:pPr>
              <w:rPr>
                <w:rFonts w:ascii="Arial"/>
                <w:sz w:val="21"/>
              </w:rPr>
            </w:pPr>
          </w:p>
        </w:tc>
        <w:tc>
          <w:tcPr>
            <w:tcW w:w="3896" w:type="dxa"/>
            <w:vAlign w:val="top"/>
          </w:tcPr>
          <w:p w14:paraId="019E39E7">
            <w:pPr>
              <w:pStyle w:val="6"/>
              <w:spacing w:before="51" w:line="219" w:lineRule="auto"/>
              <w:ind w:left="51"/>
              <w:rPr>
                <w:sz w:val="21"/>
                <w:szCs w:val="21"/>
              </w:rPr>
            </w:pPr>
            <w:r>
              <w:rPr>
                <w:spacing w:val="-1"/>
                <w:sz w:val="21"/>
                <w:szCs w:val="21"/>
              </w:rPr>
              <w:t>变电工程噪声控制设计应首先从噪声源强</w:t>
            </w:r>
          </w:p>
          <w:p w14:paraId="79A8A4A6">
            <w:pPr>
              <w:pStyle w:val="6"/>
              <w:spacing w:before="21" w:line="220" w:lineRule="auto"/>
              <w:ind w:left="51"/>
              <w:rPr>
                <w:sz w:val="21"/>
                <w:szCs w:val="21"/>
              </w:rPr>
            </w:pPr>
            <w:r>
              <w:rPr>
                <w:spacing w:val="-1"/>
                <w:sz w:val="21"/>
                <w:szCs w:val="21"/>
              </w:rPr>
              <w:t>上进行控制，选择低噪声设备；对于声源</w:t>
            </w:r>
          </w:p>
          <w:p w14:paraId="1BCBEBEC">
            <w:pPr>
              <w:pStyle w:val="6"/>
              <w:spacing w:before="17" w:line="219" w:lineRule="auto"/>
              <w:jc w:val="right"/>
              <w:rPr>
                <w:sz w:val="21"/>
                <w:szCs w:val="21"/>
              </w:rPr>
            </w:pPr>
            <w:r>
              <w:rPr>
                <w:spacing w:val="3"/>
                <w:sz w:val="21"/>
                <w:szCs w:val="21"/>
              </w:rPr>
              <w:t>上无法根治的噪声，应采用隔声、吸声、</w:t>
            </w:r>
          </w:p>
          <w:p w14:paraId="432888D0">
            <w:pPr>
              <w:pStyle w:val="6"/>
              <w:spacing w:before="42" w:line="219" w:lineRule="auto"/>
              <w:ind w:left="51"/>
              <w:rPr>
                <w:sz w:val="21"/>
                <w:szCs w:val="21"/>
              </w:rPr>
            </w:pPr>
            <w:r>
              <w:rPr>
                <w:sz w:val="21"/>
                <w:szCs w:val="21"/>
              </w:rPr>
              <w:t>消声、防震、减振等降噪措施，确保厂界</w:t>
            </w:r>
          </w:p>
          <w:p w14:paraId="11100FAC">
            <w:pPr>
              <w:pStyle w:val="6"/>
              <w:spacing w:before="21" w:line="219" w:lineRule="auto"/>
              <w:ind w:left="51"/>
              <w:rPr>
                <w:sz w:val="21"/>
                <w:szCs w:val="21"/>
              </w:rPr>
            </w:pPr>
            <w:r>
              <w:rPr>
                <w:spacing w:val="-1"/>
                <w:sz w:val="21"/>
                <w:szCs w:val="21"/>
              </w:rPr>
              <w:t>排放噪声和周围声环境敏感目标分别满足</w:t>
            </w:r>
          </w:p>
          <w:p w14:paraId="6A0B48DA">
            <w:pPr>
              <w:pStyle w:val="6"/>
              <w:spacing w:before="22" w:line="181" w:lineRule="auto"/>
              <w:ind w:left="652"/>
              <w:rPr>
                <w:sz w:val="21"/>
                <w:szCs w:val="21"/>
              </w:rPr>
            </w:pPr>
            <w:r>
              <w:rPr>
                <w:sz w:val="21"/>
                <w:szCs w:val="21"/>
              </w:rPr>
              <w:t>GB12348和GB3096要求。</w:t>
            </w:r>
          </w:p>
        </w:tc>
        <w:tc>
          <w:tcPr>
            <w:tcW w:w="3186" w:type="dxa"/>
            <w:vAlign w:val="top"/>
          </w:tcPr>
          <w:p w14:paraId="0160E12B">
            <w:pPr>
              <w:pStyle w:val="6"/>
              <w:spacing w:before="190" w:line="219" w:lineRule="auto"/>
              <w:jc w:val="right"/>
              <w:rPr>
                <w:sz w:val="21"/>
                <w:szCs w:val="21"/>
              </w:rPr>
            </w:pPr>
            <w:r>
              <w:rPr>
                <w:sz w:val="21"/>
                <w:szCs w:val="21"/>
              </w:rPr>
              <w:t>本项目升压站不涉及换流变压器、</w:t>
            </w:r>
          </w:p>
          <w:p w14:paraId="5CE862C8">
            <w:pPr>
              <w:pStyle w:val="6"/>
              <w:spacing w:before="10" w:line="219" w:lineRule="auto"/>
              <w:jc w:val="right"/>
              <w:rPr>
                <w:sz w:val="21"/>
                <w:szCs w:val="21"/>
              </w:rPr>
            </w:pPr>
            <w:r>
              <w:rPr>
                <w:sz w:val="21"/>
                <w:szCs w:val="21"/>
              </w:rPr>
              <w:t>高压电抗器等高噪声设备，本期采</w:t>
            </w:r>
          </w:p>
          <w:p w14:paraId="1BF39B24">
            <w:pPr>
              <w:pStyle w:val="6"/>
              <w:spacing w:before="22" w:line="219" w:lineRule="auto"/>
              <w:ind w:left="16"/>
              <w:rPr>
                <w:sz w:val="21"/>
                <w:szCs w:val="21"/>
              </w:rPr>
            </w:pPr>
            <w:r>
              <w:rPr>
                <w:spacing w:val="-1"/>
                <w:sz w:val="21"/>
                <w:szCs w:val="21"/>
              </w:rPr>
              <w:t>取安装减震垫，并通过升压站围墙</w:t>
            </w:r>
          </w:p>
          <w:p w14:paraId="4634BCEB">
            <w:pPr>
              <w:pStyle w:val="6"/>
              <w:spacing w:before="40" w:line="219" w:lineRule="auto"/>
              <w:jc w:val="right"/>
              <w:rPr>
                <w:sz w:val="21"/>
                <w:szCs w:val="21"/>
              </w:rPr>
            </w:pPr>
            <w:r>
              <w:rPr>
                <w:sz w:val="21"/>
                <w:szCs w:val="21"/>
              </w:rPr>
              <w:t>阻隔和绿化降噪，对周围环境影响</w:t>
            </w:r>
          </w:p>
          <w:p w14:paraId="09FD5D2C">
            <w:pPr>
              <w:pStyle w:val="6"/>
              <w:spacing w:before="14" w:line="221" w:lineRule="auto"/>
              <w:ind w:left="1325"/>
              <w:rPr>
                <w:sz w:val="21"/>
                <w:szCs w:val="21"/>
              </w:rPr>
            </w:pPr>
            <w:r>
              <w:rPr>
                <w:spacing w:val="-2"/>
                <w:sz w:val="21"/>
                <w:szCs w:val="21"/>
              </w:rPr>
              <w:t>较小。</w:t>
            </w:r>
          </w:p>
        </w:tc>
        <w:tc>
          <w:tcPr>
            <w:tcW w:w="664" w:type="dxa"/>
            <w:vAlign w:val="top"/>
          </w:tcPr>
          <w:p w14:paraId="37664D9E">
            <w:pPr>
              <w:spacing w:line="324" w:lineRule="auto"/>
              <w:rPr>
                <w:rFonts w:ascii="Arial"/>
                <w:sz w:val="21"/>
              </w:rPr>
            </w:pPr>
          </w:p>
          <w:p w14:paraId="14D4F77F">
            <w:pPr>
              <w:spacing w:line="325" w:lineRule="auto"/>
              <w:rPr>
                <w:rFonts w:ascii="Arial"/>
                <w:sz w:val="21"/>
              </w:rPr>
            </w:pPr>
          </w:p>
          <w:p w14:paraId="2C9EA574">
            <w:pPr>
              <w:pStyle w:val="6"/>
              <w:spacing w:before="68" w:line="219" w:lineRule="auto"/>
              <w:ind w:left="119"/>
              <w:rPr>
                <w:sz w:val="21"/>
                <w:szCs w:val="21"/>
              </w:rPr>
            </w:pPr>
            <w:r>
              <w:rPr>
                <w:spacing w:val="-3"/>
                <w:sz w:val="21"/>
                <w:szCs w:val="21"/>
              </w:rPr>
              <w:t>符合</w:t>
            </w:r>
          </w:p>
        </w:tc>
      </w:tr>
      <w:tr w14:paraId="079B8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1263" w:type="dxa"/>
            <w:vMerge w:val="continue"/>
            <w:tcBorders>
              <w:top w:val="nil"/>
              <w:bottom w:val="nil"/>
            </w:tcBorders>
            <w:vAlign w:val="top"/>
          </w:tcPr>
          <w:p w14:paraId="2EE59A52">
            <w:pPr>
              <w:rPr>
                <w:rFonts w:ascii="Arial"/>
                <w:sz w:val="21"/>
              </w:rPr>
            </w:pPr>
          </w:p>
        </w:tc>
        <w:tc>
          <w:tcPr>
            <w:tcW w:w="3896" w:type="dxa"/>
            <w:vAlign w:val="top"/>
          </w:tcPr>
          <w:p w14:paraId="485F4245">
            <w:pPr>
              <w:spacing w:line="243" w:lineRule="auto"/>
              <w:rPr>
                <w:rFonts w:ascii="Arial"/>
                <w:sz w:val="21"/>
              </w:rPr>
            </w:pPr>
          </w:p>
          <w:p w14:paraId="36C1197F">
            <w:pPr>
              <w:pStyle w:val="6"/>
              <w:spacing w:before="68" w:line="219" w:lineRule="auto"/>
              <w:ind w:left="102"/>
              <w:rPr>
                <w:sz w:val="21"/>
                <w:szCs w:val="21"/>
              </w:rPr>
            </w:pPr>
            <w:r>
              <w:rPr>
                <w:spacing w:val="-1"/>
                <w:sz w:val="21"/>
                <w:szCs w:val="21"/>
              </w:rPr>
              <w:t>变电工程位于1类或周围噪声敏感建筑物</w:t>
            </w:r>
          </w:p>
          <w:p w14:paraId="70651F5A">
            <w:pPr>
              <w:pStyle w:val="6"/>
              <w:spacing w:before="20" w:line="219" w:lineRule="auto"/>
              <w:ind w:left="102"/>
              <w:rPr>
                <w:sz w:val="21"/>
                <w:szCs w:val="21"/>
              </w:rPr>
            </w:pPr>
            <w:r>
              <w:rPr>
                <w:spacing w:val="-1"/>
                <w:sz w:val="21"/>
                <w:szCs w:val="21"/>
              </w:rPr>
              <w:t>较多的2类声环境功能区时，建设单位应</w:t>
            </w:r>
          </w:p>
          <w:p w14:paraId="2694C172">
            <w:pPr>
              <w:pStyle w:val="6"/>
              <w:spacing w:before="40" w:line="219" w:lineRule="auto"/>
              <w:ind w:left="51"/>
              <w:rPr>
                <w:sz w:val="21"/>
                <w:szCs w:val="21"/>
              </w:rPr>
            </w:pPr>
            <w:r>
              <w:rPr>
                <w:sz w:val="21"/>
                <w:szCs w:val="21"/>
              </w:rPr>
              <w:t>严格控制主变压器、换流变压器、高压电</w:t>
            </w:r>
          </w:p>
          <w:p w14:paraId="3D086A06">
            <w:pPr>
              <w:pStyle w:val="6"/>
              <w:spacing w:before="20" w:line="219" w:lineRule="auto"/>
              <w:ind w:left="51"/>
              <w:rPr>
                <w:sz w:val="21"/>
                <w:szCs w:val="21"/>
              </w:rPr>
            </w:pPr>
            <w:r>
              <w:rPr>
                <w:spacing w:val="-1"/>
                <w:sz w:val="21"/>
                <w:szCs w:val="21"/>
              </w:rPr>
              <w:t>抗器等主要噪声源的噪声水平，并在满足</w:t>
            </w:r>
          </w:p>
          <w:p w14:paraId="1B0B0E53">
            <w:pPr>
              <w:pStyle w:val="6"/>
              <w:spacing w:before="22" w:line="220" w:lineRule="auto"/>
              <w:ind w:left="471"/>
              <w:rPr>
                <w:sz w:val="21"/>
                <w:szCs w:val="21"/>
              </w:rPr>
            </w:pPr>
            <w:r>
              <w:rPr>
                <w:spacing w:val="-1"/>
                <w:sz w:val="21"/>
                <w:szCs w:val="21"/>
              </w:rPr>
              <w:t>GB12348的基础上保留适当裕度。</w:t>
            </w:r>
          </w:p>
        </w:tc>
        <w:tc>
          <w:tcPr>
            <w:tcW w:w="3186" w:type="dxa"/>
            <w:vAlign w:val="top"/>
          </w:tcPr>
          <w:p w14:paraId="762E02D5">
            <w:pPr>
              <w:pStyle w:val="6"/>
              <w:spacing w:before="51" w:line="219" w:lineRule="auto"/>
              <w:ind w:left="165"/>
              <w:rPr>
                <w:sz w:val="21"/>
                <w:szCs w:val="21"/>
              </w:rPr>
            </w:pPr>
            <w:r>
              <w:rPr>
                <w:spacing w:val="1"/>
                <w:sz w:val="21"/>
                <w:szCs w:val="21"/>
              </w:rPr>
              <w:t>本项目升压站建设区位于1类区</w:t>
            </w:r>
          </w:p>
          <w:p w14:paraId="5B0F204E">
            <w:pPr>
              <w:pStyle w:val="6"/>
              <w:spacing w:before="12" w:line="219" w:lineRule="auto"/>
              <w:ind w:left="16"/>
              <w:rPr>
                <w:sz w:val="21"/>
                <w:szCs w:val="21"/>
              </w:rPr>
            </w:pPr>
            <w:r>
              <w:rPr>
                <w:spacing w:val="-1"/>
                <w:sz w:val="21"/>
                <w:szCs w:val="21"/>
              </w:rPr>
              <w:t>域，不涉及周围噪声敏感建筑物较</w:t>
            </w:r>
          </w:p>
          <w:p w14:paraId="2319BA44">
            <w:pPr>
              <w:pStyle w:val="6"/>
              <w:spacing w:before="20" w:line="219" w:lineRule="auto"/>
              <w:ind w:left="65"/>
              <w:rPr>
                <w:sz w:val="21"/>
                <w:szCs w:val="21"/>
              </w:rPr>
            </w:pPr>
            <w:r>
              <w:rPr>
                <w:sz w:val="21"/>
                <w:szCs w:val="21"/>
              </w:rPr>
              <w:t>多的2类声环境功能区。建设单位</w:t>
            </w:r>
          </w:p>
          <w:p w14:paraId="62B8E904">
            <w:pPr>
              <w:pStyle w:val="6"/>
              <w:spacing w:before="20" w:line="219" w:lineRule="auto"/>
              <w:ind w:left="115"/>
              <w:rPr>
                <w:sz w:val="21"/>
                <w:szCs w:val="21"/>
              </w:rPr>
            </w:pPr>
            <w:r>
              <w:rPr>
                <w:sz w:val="21"/>
                <w:szCs w:val="21"/>
              </w:rPr>
              <w:t>已严格控制主变压器、换流变压</w:t>
            </w:r>
          </w:p>
          <w:p w14:paraId="276D7ADC">
            <w:pPr>
              <w:pStyle w:val="6"/>
              <w:spacing w:before="41" w:line="219" w:lineRule="auto"/>
              <w:ind w:left="16"/>
              <w:rPr>
                <w:sz w:val="21"/>
                <w:szCs w:val="21"/>
              </w:rPr>
            </w:pPr>
            <w:r>
              <w:rPr>
                <w:spacing w:val="-1"/>
                <w:sz w:val="21"/>
                <w:szCs w:val="21"/>
              </w:rPr>
              <w:t>器、高压电抗器等主要噪声源的噪</w:t>
            </w:r>
          </w:p>
          <w:p w14:paraId="4062E337">
            <w:pPr>
              <w:pStyle w:val="6"/>
              <w:spacing w:before="11" w:line="219" w:lineRule="auto"/>
              <w:ind w:left="165"/>
              <w:rPr>
                <w:sz w:val="21"/>
                <w:szCs w:val="21"/>
              </w:rPr>
            </w:pPr>
            <w:r>
              <w:rPr>
                <w:sz w:val="21"/>
                <w:szCs w:val="21"/>
              </w:rPr>
              <w:t>声水平，并在满足GB12348的基</w:t>
            </w:r>
          </w:p>
          <w:p w14:paraId="5A6DFC3D">
            <w:pPr>
              <w:pStyle w:val="6"/>
              <w:spacing w:before="11" w:line="198" w:lineRule="auto"/>
              <w:ind w:left="695"/>
              <w:rPr>
                <w:sz w:val="21"/>
                <w:szCs w:val="21"/>
              </w:rPr>
            </w:pPr>
            <w:r>
              <w:rPr>
                <w:spacing w:val="-1"/>
                <w:sz w:val="21"/>
                <w:szCs w:val="21"/>
              </w:rPr>
              <w:t>础上保留适当裕度。</w:t>
            </w:r>
          </w:p>
        </w:tc>
        <w:tc>
          <w:tcPr>
            <w:tcW w:w="664" w:type="dxa"/>
            <w:vAlign w:val="top"/>
          </w:tcPr>
          <w:p w14:paraId="36A7CC72">
            <w:pPr>
              <w:spacing w:line="259" w:lineRule="auto"/>
              <w:rPr>
                <w:rFonts w:ascii="Arial"/>
                <w:sz w:val="21"/>
              </w:rPr>
            </w:pPr>
          </w:p>
          <w:p w14:paraId="6113CE0F">
            <w:pPr>
              <w:spacing w:line="260" w:lineRule="auto"/>
              <w:rPr>
                <w:rFonts w:ascii="Arial"/>
                <w:sz w:val="21"/>
              </w:rPr>
            </w:pPr>
          </w:p>
          <w:p w14:paraId="1898E19F">
            <w:pPr>
              <w:spacing w:line="260" w:lineRule="auto"/>
              <w:rPr>
                <w:rFonts w:ascii="Arial"/>
                <w:sz w:val="21"/>
              </w:rPr>
            </w:pPr>
          </w:p>
          <w:p w14:paraId="5EC32BF6">
            <w:pPr>
              <w:pStyle w:val="6"/>
              <w:spacing w:before="68" w:line="219" w:lineRule="auto"/>
              <w:ind w:left="119"/>
              <w:rPr>
                <w:sz w:val="21"/>
                <w:szCs w:val="21"/>
              </w:rPr>
            </w:pPr>
            <w:r>
              <w:rPr>
                <w:spacing w:val="-3"/>
                <w:sz w:val="21"/>
                <w:szCs w:val="21"/>
              </w:rPr>
              <w:t>符合</w:t>
            </w:r>
          </w:p>
        </w:tc>
      </w:tr>
      <w:tr w14:paraId="13D53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1263" w:type="dxa"/>
            <w:vMerge w:val="continue"/>
            <w:tcBorders>
              <w:top w:val="nil"/>
              <w:bottom w:val="nil"/>
            </w:tcBorders>
            <w:vAlign w:val="top"/>
          </w:tcPr>
          <w:p w14:paraId="50070DA3">
            <w:pPr>
              <w:rPr>
                <w:rFonts w:ascii="Arial"/>
                <w:sz w:val="21"/>
              </w:rPr>
            </w:pPr>
          </w:p>
        </w:tc>
        <w:tc>
          <w:tcPr>
            <w:tcW w:w="3896" w:type="dxa"/>
            <w:vAlign w:val="top"/>
          </w:tcPr>
          <w:p w14:paraId="6F1EAA05">
            <w:pPr>
              <w:pStyle w:val="6"/>
              <w:spacing w:before="184" w:line="244" w:lineRule="auto"/>
              <w:ind w:left="11" w:firstLine="87"/>
              <w:rPr>
                <w:sz w:val="21"/>
                <w:szCs w:val="21"/>
              </w:rPr>
            </w:pPr>
            <w:r>
              <w:rPr>
                <w:spacing w:val="-6"/>
                <w:sz w:val="21"/>
                <w:szCs w:val="21"/>
              </w:rPr>
              <w:t>位于城市规划区1类声环境功能区的变电</w:t>
            </w:r>
            <w:r>
              <w:rPr>
                <w:spacing w:val="1"/>
                <w:sz w:val="21"/>
                <w:szCs w:val="21"/>
              </w:rPr>
              <w:t xml:space="preserve">   </w:t>
            </w:r>
            <w:r>
              <w:rPr>
                <w:spacing w:val="-3"/>
                <w:sz w:val="21"/>
                <w:szCs w:val="21"/>
              </w:rPr>
              <w:t>站应采用全户内布置方式。位于城市规划</w:t>
            </w:r>
            <w:r>
              <w:rPr>
                <w:spacing w:val="5"/>
                <w:sz w:val="21"/>
                <w:szCs w:val="21"/>
              </w:rPr>
              <w:t xml:space="preserve">  </w:t>
            </w:r>
            <w:r>
              <w:rPr>
                <w:spacing w:val="-3"/>
                <w:sz w:val="21"/>
                <w:szCs w:val="21"/>
              </w:rPr>
              <w:t>区其他声环境功能区的变电工程，可采取</w:t>
            </w:r>
            <w:r>
              <w:rPr>
                <w:spacing w:val="2"/>
                <w:sz w:val="21"/>
                <w:szCs w:val="21"/>
              </w:rPr>
              <w:t xml:space="preserve">  </w:t>
            </w:r>
            <w:r>
              <w:rPr>
                <w:spacing w:val="-7"/>
                <w:sz w:val="21"/>
                <w:szCs w:val="21"/>
              </w:rPr>
              <w:t>户内、半户内等环境影响较小的布置型式。</w:t>
            </w:r>
          </w:p>
        </w:tc>
        <w:tc>
          <w:tcPr>
            <w:tcW w:w="3186" w:type="dxa"/>
            <w:vAlign w:val="top"/>
          </w:tcPr>
          <w:p w14:paraId="3C83D65E">
            <w:pPr>
              <w:pStyle w:val="6"/>
              <w:spacing w:before="53" w:line="219" w:lineRule="auto"/>
              <w:ind w:left="165"/>
              <w:rPr>
                <w:sz w:val="21"/>
                <w:szCs w:val="21"/>
              </w:rPr>
            </w:pPr>
            <w:r>
              <w:rPr>
                <w:spacing w:val="1"/>
                <w:sz w:val="21"/>
                <w:szCs w:val="21"/>
              </w:rPr>
              <w:t>本项目变电站位于1类声环境功</w:t>
            </w:r>
          </w:p>
          <w:p w14:paraId="5CA25163">
            <w:pPr>
              <w:pStyle w:val="6"/>
              <w:spacing w:before="20" w:line="219" w:lineRule="auto"/>
              <w:jc w:val="right"/>
              <w:rPr>
                <w:sz w:val="21"/>
                <w:szCs w:val="21"/>
              </w:rPr>
            </w:pPr>
            <w:r>
              <w:rPr>
                <w:sz w:val="21"/>
                <w:szCs w:val="21"/>
              </w:rPr>
              <w:t>能区，但不处于城市规划区，拟建</w:t>
            </w:r>
          </w:p>
          <w:p w14:paraId="51287EE7">
            <w:pPr>
              <w:pStyle w:val="6"/>
              <w:spacing w:before="20" w:line="219" w:lineRule="auto"/>
              <w:ind w:left="16"/>
              <w:rPr>
                <w:sz w:val="21"/>
                <w:szCs w:val="21"/>
              </w:rPr>
            </w:pPr>
            <w:r>
              <w:rPr>
                <w:spacing w:val="-1"/>
                <w:sz w:val="21"/>
                <w:szCs w:val="21"/>
              </w:rPr>
              <w:t>升压站已考虑声环境影响，已优化</w:t>
            </w:r>
          </w:p>
          <w:p w14:paraId="1BD74A60">
            <w:pPr>
              <w:pStyle w:val="6"/>
              <w:spacing w:before="20" w:line="219" w:lineRule="auto"/>
              <w:ind w:left="16"/>
              <w:rPr>
                <w:sz w:val="21"/>
                <w:szCs w:val="21"/>
              </w:rPr>
            </w:pPr>
            <w:r>
              <w:rPr>
                <w:spacing w:val="-1"/>
                <w:sz w:val="21"/>
                <w:szCs w:val="21"/>
              </w:rPr>
              <w:t>平面布局，主变压器已设置在站址</w:t>
            </w:r>
          </w:p>
          <w:p w14:paraId="088CEB29">
            <w:pPr>
              <w:pStyle w:val="6"/>
              <w:spacing w:before="23" w:line="197" w:lineRule="auto"/>
              <w:ind w:left="1116"/>
              <w:rPr>
                <w:sz w:val="21"/>
                <w:szCs w:val="21"/>
              </w:rPr>
            </w:pPr>
            <w:r>
              <w:rPr>
                <w:spacing w:val="-1"/>
                <w:sz w:val="21"/>
                <w:szCs w:val="21"/>
              </w:rPr>
              <w:t>中央区域。</w:t>
            </w:r>
          </w:p>
        </w:tc>
        <w:tc>
          <w:tcPr>
            <w:tcW w:w="664" w:type="dxa"/>
            <w:vAlign w:val="top"/>
          </w:tcPr>
          <w:p w14:paraId="36A97EE0">
            <w:pPr>
              <w:spacing w:line="256" w:lineRule="auto"/>
              <w:rPr>
                <w:rFonts w:ascii="Arial"/>
                <w:sz w:val="21"/>
              </w:rPr>
            </w:pPr>
          </w:p>
          <w:p w14:paraId="1EA4958C">
            <w:pPr>
              <w:spacing w:line="257" w:lineRule="auto"/>
              <w:rPr>
                <w:rFonts w:ascii="Arial"/>
                <w:sz w:val="21"/>
              </w:rPr>
            </w:pPr>
          </w:p>
          <w:p w14:paraId="4BBB2D5D">
            <w:pPr>
              <w:pStyle w:val="6"/>
              <w:spacing w:before="68" w:line="219" w:lineRule="auto"/>
              <w:ind w:left="119"/>
              <w:rPr>
                <w:sz w:val="21"/>
                <w:szCs w:val="21"/>
              </w:rPr>
            </w:pPr>
            <w:r>
              <w:rPr>
                <w:spacing w:val="-3"/>
                <w:sz w:val="21"/>
                <w:szCs w:val="21"/>
              </w:rPr>
              <w:t>符合</w:t>
            </w:r>
          </w:p>
        </w:tc>
      </w:tr>
      <w:tr w14:paraId="713CC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1263" w:type="dxa"/>
            <w:vMerge w:val="continue"/>
            <w:tcBorders>
              <w:top w:val="nil"/>
              <w:bottom w:val="nil"/>
            </w:tcBorders>
            <w:vAlign w:val="top"/>
          </w:tcPr>
          <w:p w14:paraId="2B6DA7A3">
            <w:pPr>
              <w:rPr>
                <w:rFonts w:ascii="Arial"/>
                <w:sz w:val="21"/>
              </w:rPr>
            </w:pPr>
          </w:p>
        </w:tc>
        <w:tc>
          <w:tcPr>
            <w:tcW w:w="3896" w:type="dxa"/>
            <w:vAlign w:val="top"/>
          </w:tcPr>
          <w:p w14:paraId="69F934D1">
            <w:pPr>
              <w:spacing w:line="265" w:lineRule="auto"/>
              <w:rPr>
                <w:rFonts w:ascii="Arial"/>
                <w:sz w:val="21"/>
              </w:rPr>
            </w:pPr>
          </w:p>
          <w:p w14:paraId="21AB0AF8">
            <w:pPr>
              <w:pStyle w:val="6"/>
              <w:spacing w:before="69" w:line="219" w:lineRule="auto"/>
              <w:ind w:left="51"/>
              <w:rPr>
                <w:sz w:val="21"/>
                <w:szCs w:val="21"/>
              </w:rPr>
            </w:pPr>
            <w:r>
              <w:rPr>
                <w:sz w:val="21"/>
                <w:szCs w:val="21"/>
              </w:rPr>
              <w:t>1.输变电建设项目在设计过程中应按照避</w:t>
            </w:r>
          </w:p>
          <w:p w14:paraId="3B32876A">
            <w:pPr>
              <w:pStyle w:val="6"/>
              <w:spacing w:line="219" w:lineRule="auto"/>
              <w:ind w:left="51"/>
              <w:rPr>
                <w:sz w:val="21"/>
                <w:szCs w:val="21"/>
              </w:rPr>
            </w:pPr>
            <w:r>
              <w:rPr>
                <w:sz w:val="21"/>
                <w:szCs w:val="21"/>
              </w:rPr>
              <w:t>让、减缓、恢复的次序提出生态影响防护</w:t>
            </w:r>
          </w:p>
          <w:p w14:paraId="3A8C9BAE">
            <w:pPr>
              <w:pStyle w:val="6"/>
              <w:spacing w:before="21" w:line="220" w:lineRule="auto"/>
              <w:ind w:left="1251"/>
              <w:rPr>
                <w:sz w:val="21"/>
                <w:szCs w:val="21"/>
              </w:rPr>
            </w:pPr>
            <w:r>
              <w:rPr>
                <w:sz w:val="21"/>
                <w:szCs w:val="21"/>
              </w:rPr>
              <w:t>与恢复的措施。</w:t>
            </w:r>
          </w:p>
          <w:p w14:paraId="27F97ED0">
            <w:pPr>
              <w:pStyle w:val="6"/>
              <w:spacing w:before="29" w:line="219" w:lineRule="auto"/>
              <w:ind w:left="51"/>
              <w:rPr>
                <w:sz w:val="21"/>
                <w:szCs w:val="21"/>
              </w:rPr>
            </w:pPr>
            <w:r>
              <w:rPr>
                <w:sz w:val="21"/>
                <w:szCs w:val="21"/>
              </w:rPr>
              <w:t>2.输变电建设项目临时占地，应因地制宜</w:t>
            </w:r>
          </w:p>
          <w:p w14:paraId="7ACA4082">
            <w:pPr>
              <w:pStyle w:val="6"/>
              <w:spacing w:before="11" w:line="220" w:lineRule="auto"/>
              <w:ind w:left="831"/>
              <w:rPr>
                <w:sz w:val="21"/>
                <w:szCs w:val="21"/>
              </w:rPr>
            </w:pPr>
            <w:r>
              <w:rPr>
                <w:sz w:val="21"/>
                <w:szCs w:val="21"/>
              </w:rPr>
              <w:t>进行土地功能恢复设计。</w:t>
            </w:r>
          </w:p>
        </w:tc>
        <w:tc>
          <w:tcPr>
            <w:tcW w:w="3186" w:type="dxa"/>
            <w:vAlign w:val="top"/>
          </w:tcPr>
          <w:p w14:paraId="0B35F3A1">
            <w:pPr>
              <w:pStyle w:val="6"/>
              <w:spacing w:before="48" w:line="231" w:lineRule="auto"/>
              <w:ind w:left="16" w:firstLine="98"/>
              <w:rPr>
                <w:sz w:val="21"/>
                <w:szCs w:val="21"/>
              </w:rPr>
            </w:pPr>
            <w:r>
              <w:rPr>
                <w:spacing w:val="-2"/>
                <w:sz w:val="21"/>
                <w:szCs w:val="21"/>
              </w:rPr>
              <w:t>本项目升压站在设计过程中已按</w:t>
            </w:r>
            <w:r>
              <w:rPr>
                <w:spacing w:val="3"/>
                <w:sz w:val="21"/>
                <w:szCs w:val="21"/>
              </w:rPr>
              <w:t xml:space="preserve">  </w:t>
            </w:r>
            <w:r>
              <w:rPr>
                <w:spacing w:val="-2"/>
                <w:sz w:val="21"/>
                <w:szCs w:val="21"/>
              </w:rPr>
              <w:t>照避让、减缓、恢复的次序提出生</w:t>
            </w:r>
            <w:r>
              <w:rPr>
                <w:spacing w:val="4"/>
                <w:sz w:val="21"/>
                <w:szCs w:val="21"/>
              </w:rPr>
              <w:t xml:space="preserve"> </w:t>
            </w:r>
            <w:r>
              <w:rPr>
                <w:spacing w:val="-3"/>
                <w:sz w:val="21"/>
                <w:szCs w:val="21"/>
              </w:rPr>
              <w:t>态影响防护与恢复的措施，减少土</w:t>
            </w:r>
            <w:r>
              <w:rPr>
                <w:spacing w:val="1"/>
                <w:sz w:val="21"/>
                <w:szCs w:val="21"/>
              </w:rPr>
              <w:t xml:space="preserve"> </w:t>
            </w:r>
            <w:r>
              <w:rPr>
                <w:spacing w:val="-3"/>
                <w:sz w:val="21"/>
                <w:szCs w:val="21"/>
              </w:rPr>
              <w:t>石方开挖，减少林木砍伐，保护生</w:t>
            </w:r>
            <w:r>
              <w:rPr>
                <w:sz w:val="21"/>
                <w:szCs w:val="21"/>
              </w:rPr>
              <w:t xml:space="preserve"> </w:t>
            </w:r>
            <w:r>
              <w:rPr>
                <w:spacing w:val="-2"/>
                <w:sz w:val="21"/>
                <w:szCs w:val="21"/>
              </w:rPr>
              <w:t>态环境。另外，项目已制定临时占</w:t>
            </w:r>
            <w:r>
              <w:rPr>
                <w:spacing w:val="11"/>
                <w:sz w:val="21"/>
                <w:szCs w:val="21"/>
              </w:rPr>
              <w:t xml:space="preserve"> </w:t>
            </w:r>
            <w:r>
              <w:rPr>
                <w:sz w:val="21"/>
                <w:szCs w:val="21"/>
              </w:rPr>
              <w:t>地土地及生态功能恢复计划。项目</w:t>
            </w:r>
            <w:r>
              <w:rPr>
                <w:spacing w:val="4"/>
                <w:sz w:val="21"/>
                <w:szCs w:val="21"/>
              </w:rPr>
              <w:t xml:space="preserve"> </w:t>
            </w:r>
            <w:r>
              <w:rPr>
                <w:sz w:val="21"/>
                <w:szCs w:val="21"/>
              </w:rPr>
              <w:t>的建设对区域生态环境影响较小。</w:t>
            </w:r>
          </w:p>
        </w:tc>
        <w:tc>
          <w:tcPr>
            <w:tcW w:w="664" w:type="dxa"/>
            <w:vAlign w:val="top"/>
          </w:tcPr>
          <w:p w14:paraId="151A4A4B">
            <w:pPr>
              <w:spacing w:line="260" w:lineRule="auto"/>
              <w:rPr>
                <w:rFonts w:ascii="Arial"/>
                <w:sz w:val="21"/>
              </w:rPr>
            </w:pPr>
          </w:p>
          <w:p w14:paraId="43CD51EC">
            <w:pPr>
              <w:spacing w:line="261" w:lineRule="auto"/>
              <w:rPr>
                <w:rFonts w:ascii="Arial"/>
                <w:sz w:val="21"/>
              </w:rPr>
            </w:pPr>
          </w:p>
          <w:p w14:paraId="50B9FF1E">
            <w:pPr>
              <w:spacing w:line="261" w:lineRule="auto"/>
              <w:rPr>
                <w:rFonts w:ascii="Arial"/>
                <w:sz w:val="21"/>
              </w:rPr>
            </w:pPr>
          </w:p>
          <w:p w14:paraId="13070B70">
            <w:pPr>
              <w:pStyle w:val="6"/>
              <w:spacing w:before="69" w:line="219" w:lineRule="auto"/>
              <w:ind w:left="119"/>
              <w:rPr>
                <w:sz w:val="21"/>
                <w:szCs w:val="21"/>
              </w:rPr>
            </w:pPr>
            <w:r>
              <w:rPr>
                <w:spacing w:val="-3"/>
                <w:sz w:val="21"/>
                <w:szCs w:val="21"/>
              </w:rPr>
              <w:t>符合</w:t>
            </w:r>
          </w:p>
        </w:tc>
      </w:tr>
      <w:tr w14:paraId="25185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3" w:hRule="atLeast"/>
        </w:trPr>
        <w:tc>
          <w:tcPr>
            <w:tcW w:w="1263" w:type="dxa"/>
            <w:vMerge w:val="continue"/>
            <w:tcBorders>
              <w:top w:val="nil"/>
            </w:tcBorders>
            <w:vAlign w:val="top"/>
          </w:tcPr>
          <w:p w14:paraId="7AFF296D">
            <w:pPr>
              <w:rPr>
                <w:rFonts w:ascii="Arial"/>
                <w:sz w:val="21"/>
              </w:rPr>
            </w:pPr>
          </w:p>
        </w:tc>
        <w:tc>
          <w:tcPr>
            <w:tcW w:w="3896" w:type="dxa"/>
            <w:vAlign w:val="top"/>
          </w:tcPr>
          <w:p w14:paraId="57420016">
            <w:pPr>
              <w:pStyle w:val="6"/>
              <w:spacing w:before="36" w:line="219" w:lineRule="auto"/>
              <w:ind w:left="51"/>
              <w:rPr>
                <w:sz w:val="21"/>
                <w:szCs w:val="21"/>
              </w:rPr>
            </w:pPr>
            <w:r>
              <w:rPr>
                <w:sz w:val="21"/>
                <w:szCs w:val="21"/>
              </w:rPr>
              <w:t>1.变电工程应采取节水措施，加强水的重</w:t>
            </w:r>
          </w:p>
          <w:p w14:paraId="0A9A02BB">
            <w:pPr>
              <w:pStyle w:val="6"/>
              <w:spacing w:before="42" w:line="219" w:lineRule="auto"/>
              <w:ind w:left="152"/>
              <w:rPr>
                <w:sz w:val="21"/>
                <w:szCs w:val="21"/>
              </w:rPr>
            </w:pPr>
            <w:r>
              <w:rPr>
                <w:sz w:val="21"/>
                <w:szCs w:val="21"/>
              </w:rPr>
              <w:t>复利用，减少废(污)水排放。雨水和生</w:t>
            </w:r>
          </w:p>
          <w:p w14:paraId="4AA844DC">
            <w:pPr>
              <w:pStyle w:val="6"/>
              <w:spacing w:before="19" w:line="219" w:lineRule="auto"/>
              <w:ind w:left="942"/>
              <w:rPr>
                <w:sz w:val="21"/>
                <w:szCs w:val="21"/>
              </w:rPr>
            </w:pPr>
            <w:r>
              <w:rPr>
                <w:spacing w:val="-1"/>
                <w:sz w:val="21"/>
                <w:szCs w:val="21"/>
              </w:rPr>
              <w:t>活污水应采取分流制。</w:t>
            </w:r>
          </w:p>
          <w:p w14:paraId="11761FDE">
            <w:pPr>
              <w:pStyle w:val="6"/>
              <w:spacing w:before="30" w:line="219" w:lineRule="auto"/>
              <w:ind w:left="51"/>
              <w:rPr>
                <w:sz w:val="21"/>
                <w:szCs w:val="21"/>
              </w:rPr>
            </w:pPr>
            <w:r>
              <w:rPr>
                <w:spacing w:val="-1"/>
                <w:sz w:val="21"/>
                <w:szCs w:val="21"/>
              </w:rPr>
              <w:t>2.变电工程站内产生的生活污水宜考虑处</w:t>
            </w:r>
          </w:p>
          <w:p w14:paraId="42C6E80F">
            <w:pPr>
              <w:pStyle w:val="6"/>
              <w:spacing w:before="22" w:line="219" w:lineRule="auto"/>
              <w:ind w:left="51"/>
              <w:rPr>
                <w:sz w:val="21"/>
                <w:szCs w:val="21"/>
              </w:rPr>
            </w:pPr>
            <w:r>
              <w:rPr>
                <w:sz w:val="21"/>
                <w:szCs w:val="21"/>
              </w:rPr>
              <w:t>理后纳入城市污水管网；不具备纳入城市</w:t>
            </w:r>
          </w:p>
          <w:p w14:paraId="1AD4E316">
            <w:pPr>
              <w:pStyle w:val="6"/>
              <w:spacing w:before="11" w:line="219" w:lineRule="auto"/>
              <w:ind w:left="51"/>
              <w:rPr>
                <w:sz w:val="21"/>
                <w:szCs w:val="21"/>
              </w:rPr>
            </w:pPr>
            <w:r>
              <w:rPr>
                <w:spacing w:val="-1"/>
                <w:sz w:val="21"/>
                <w:szCs w:val="21"/>
              </w:rPr>
              <w:t>污水管网条件的变电工程，应根据站内生</w:t>
            </w:r>
          </w:p>
          <w:p w14:paraId="5FB9919F">
            <w:pPr>
              <w:pStyle w:val="6"/>
              <w:spacing w:before="41" w:line="219" w:lineRule="auto"/>
              <w:ind w:left="152"/>
              <w:rPr>
                <w:sz w:val="21"/>
                <w:szCs w:val="21"/>
              </w:rPr>
            </w:pPr>
            <w:r>
              <w:rPr>
                <w:spacing w:val="-1"/>
                <w:sz w:val="21"/>
                <w:szCs w:val="21"/>
              </w:rPr>
              <w:t>活污水产生情况设置生活污水处理装置</w:t>
            </w:r>
          </w:p>
          <w:p w14:paraId="21A690B2">
            <w:pPr>
              <w:pStyle w:val="6"/>
              <w:spacing w:before="21" w:line="219" w:lineRule="auto"/>
              <w:ind w:left="102"/>
              <w:rPr>
                <w:sz w:val="21"/>
                <w:szCs w:val="21"/>
              </w:rPr>
            </w:pPr>
            <w:r>
              <w:rPr>
                <w:sz w:val="21"/>
                <w:szCs w:val="21"/>
              </w:rPr>
              <w:t>(化粪池、地埋式污水处理装置、回用水</w:t>
            </w:r>
          </w:p>
          <w:p w14:paraId="23E1331D">
            <w:pPr>
              <w:pStyle w:val="6"/>
              <w:spacing w:before="17" w:line="216" w:lineRule="auto"/>
              <w:ind w:left="41"/>
              <w:rPr>
                <w:sz w:val="21"/>
                <w:szCs w:val="21"/>
              </w:rPr>
            </w:pPr>
            <w:r>
              <w:rPr>
                <w:spacing w:val="-1"/>
                <w:sz w:val="21"/>
                <w:szCs w:val="21"/>
              </w:rPr>
              <w:t>池、蒸发池等),生活污水经处理后回收</w:t>
            </w:r>
          </w:p>
          <w:p w14:paraId="3CD8CE15">
            <w:pPr>
              <w:pStyle w:val="6"/>
              <w:spacing w:before="27" w:line="207" w:lineRule="auto"/>
              <w:ind w:left="51"/>
              <w:rPr>
                <w:sz w:val="21"/>
                <w:szCs w:val="21"/>
              </w:rPr>
            </w:pPr>
            <w:r>
              <w:rPr>
                <w:spacing w:val="-1"/>
                <w:sz w:val="21"/>
                <w:szCs w:val="21"/>
              </w:rPr>
              <w:t>利用、定期清理或外排，外排时应严格执</w:t>
            </w:r>
          </w:p>
        </w:tc>
        <w:tc>
          <w:tcPr>
            <w:tcW w:w="3186" w:type="dxa"/>
            <w:vAlign w:val="top"/>
          </w:tcPr>
          <w:p w14:paraId="58DE562E">
            <w:pPr>
              <w:spacing w:line="268" w:lineRule="auto"/>
              <w:rPr>
                <w:rFonts w:ascii="Arial"/>
                <w:sz w:val="21"/>
              </w:rPr>
            </w:pPr>
          </w:p>
          <w:p w14:paraId="4433402B">
            <w:pPr>
              <w:spacing w:line="268" w:lineRule="auto"/>
              <w:rPr>
                <w:rFonts w:ascii="Arial"/>
                <w:sz w:val="21"/>
              </w:rPr>
            </w:pPr>
          </w:p>
          <w:p w14:paraId="5F2EA40C">
            <w:pPr>
              <w:spacing w:line="268" w:lineRule="auto"/>
              <w:rPr>
                <w:rFonts w:ascii="Arial"/>
                <w:sz w:val="21"/>
              </w:rPr>
            </w:pPr>
          </w:p>
          <w:p w14:paraId="524BB352">
            <w:pPr>
              <w:pStyle w:val="6"/>
              <w:spacing w:before="68" w:line="219" w:lineRule="auto"/>
              <w:ind w:left="115"/>
              <w:rPr>
                <w:sz w:val="21"/>
                <w:szCs w:val="21"/>
              </w:rPr>
            </w:pPr>
            <w:r>
              <w:rPr>
                <w:sz w:val="21"/>
                <w:szCs w:val="21"/>
              </w:rPr>
              <w:t>项目生活污水经地埋式一体化生</w:t>
            </w:r>
          </w:p>
          <w:p w14:paraId="462E4D6D">
            <w:pPr>
              <w:pStyle w:val="6"/>
              <w:spacing w:before="21" w:line="219" w:lineRule="auto"/>
              <w:ind w:left="115"/>
              <w:rPr>
                <w:sz w:val="21"/>
                <w:szCs w:val="21"/>
              </w:rPr>
            </w:pPr>
            <w:r>
              <w:rPr>
                <w:spacing w:val="1"/>
                <w:sz w:val="21"/>
                <w:szCs w:val="21"/>
              </w:rPr>
              <w:t>活污水处理设备处理后全部回用</w:t>
            </w:r>
          </w:p>
          <w:p w14:paraId="423DAAA8">
            <w:pPr>
              <w:pStyle w:val="6"/>
              <w:spacing w:before="10" w:line="219" w:lineRule="auto"/>
              <w:jc w:val="right"/>
              <w:rPr>
                <w:sz w:val="21"/>
                <w:szCs w:val="21"/>
              </w:rPr>
            </w:pPr>
            <w:r>
              <w:rPr>
                <w:spacing w:val="-3"/>
                <w:sz w:val="21"/>
                <w:szCs w:val="21"/>
              </w:rPr>
              <w:t>于升压站内绿化和道路洒水降尘，</w:t>
            </w:r>
          </w:p>
          <w:p w14:paraId="3FEDB7E3">
            <w:pPr>
              <w:pStyle w:val="6"/>
              <w:spacing w:before="31" w:line="220" w:lineRule="auto"/>
              <w:ind w:left="1215"/>
              <w:rPr>
                <w:sz w:val="21"/>
                <w:szCs w:val="21"/>
              </w:rPr>
            </w:pPr>
            <w:r>
              <w:rPr>
                <w:spacing w:val="1"/>
                <w:sz w:val="21"/>
                <w:szCs w:val="21"/>
              </w:rPr>
              <w:t>不外排。</w:t>
            </w:r>
          </w:p>
        </w:tc>
        <w:tc>
          <w:tcPr>
            <w:tcW w:w="664" w:type="dxa"/>
            <w:vAlign w:val="top"/>
          </w:tcPr>
          <w:p w14:paraId="158FEAA4">
            <w:pPr>
              <w:rPr>
                <w:rFonts w:ascii="Arial"/>
                <w:sz w:val="21"/>
              </w:rPr>
            </w:pPr>
          </w:p>
          <w:p w14:paraId="0C070588">
            <w:pPr>
              <w:rPr>
                <w:rFonts w:ascii="Arial"/>
                <w:sz w:val="21"/>
              </w:rPr>
            </w:pPr>
          </w:p>
          <w:p w14:paraId="060F0C3C">
            <w:pPr>
              <w:rPr>
                <w:rFonts w:ascii="Arial"/>
                <w:sz w:val="21"/>
              </w:rPr>
            </w:pPr>
          </w:p>
          <w:p w14:paraId="72121FFC">
            <w:pPr>
              <w:spacing w:line="241" w:lineRule="auto"/>
              <w:rPr>
                <w:rFonts w:ascii="Arial"/>
                <w:sz w:val="21"/>
              </w:rPr>
            </w:pPr>
          </w:p>
          <w:p w14:paraId="75287520">
            <w:pPr>
              <w:spacing w:line="241" w:lineRule="auto"/>
              <w:rPr>
                <w:rFonts w:ascii="Arial"/>
                <w:sz w:val="21"/>
              </w:rPr>
            </w:pPr>
          </w:p>
          <w:p w14:paraId="7FC733C3">
            <w:pPr>
              <w:pStyle w:val="6"/>
              <w:spacing w:before="68" w:line="219" w:lineRule="auto"/>
              <w:ind w:left="119"/>
              <w:rPr>
                <w:sz w:val="21"/>
                <w:szCs w:val="21"/>
              </w:rPr>
            </w:pPr>
            <w:r>
              <w:rPr>
                <w:spacing w:val="-3"/>
                <w:sz w:val="21"/>
                <w:szCs w:val="21"/>
              </w:rPr>
              <w:t>符合</w:t>
            </w:r>
          </w:p>
        </w:tc>
      </w:tr>
    </w:tbl>
    <w:p w14:paraId="01B31DAF">
      <w:pPr>
        <w:pStyle w:val="2"/>
      </w:pPr>
    </w:p>
    <w:p w14:paraId="1108A3FE">
      <w:pPr>
        <w:sectPr>
          <w:footerReference r:id="rId41" w:type="default"/>
          <w:pgSz w:w="11910" w:h="16830"/>
          <w:pgMar w:top="400" w:right="1475" w:bottom="1245" w:left="1415" w:header="0" w:footer="1083" w:gutter="0"/>
          <w:cols w:space="720" w:num="1"/>
        </w:sectPr>
      </w:pPr>
    </w:p>
    <w:p w14:paraId="34B35A4A">
      <w:pPr>
        <w:spacing w:before="18"/>
      </w:pPr>
    </w:p>
    <w:p w14:paraId="6FF96BD2">
      <w:pPr>
        <w:spacing w:before="18"/>
      </w:pPr>
    </w:p>
    <w:p w14:paraId="39BAB8AB">
      <w:pPr>
        <w:spacing w:before="17"/>
      </w:pPr>
    </w:p>
    <w:p w14:paraId="79922A26">
      <w:pPr>
        <w:spacing w:before="17"/>
      </w:pPr>
    </w:p>
    <w:p w14:paraId="3C0430FB">
      <w:pPr>
        <w:spacing w:before="17"/>
      </w:pPr>
    </w:p>
    <w:tbl>
      <w:tblPr>
        <w:tblStyle w:val="5"/>
        <w:tblW w:w="89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869"/>
        <w:gridCol w:w="3037"/>
        <w:gridCol w:w="1069"/>
        <w:gridCol w:w="2118"/>
        <w:gridCol w:w="644"/>
      </w:tblGrid>
      <w:tr w14:paraId="58CB7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43" w:type="dxa"/>
            <w:vMerge w:val="restart"/>
            <w:tcBorders>
              <w:bottom w:val="nil"/>
            </w:tcBorders>
            <w:vAlign w:val="top"/>
          </w:tcPr>
          <w:p w14:paraId="2EF947B7">
            <w:pPr>
              <w:rPr>
                <w:rFonts w:ascii="Arial"/>
                <w:sz w:val="21"/>
              </w:rPr>
            </w:pPr>
          </w:p>
        </w:tc>
        <w:tc>
          <w:tcPr>
            <w:tcW w:w="3906" w:type="dxa"/>
            <w:gridSpan w:val="2"/>
            <w:vAlign w:val="top"/>
          </w:tcPr>
          <w:p w14:paraId="1D064BD6">
            <w:pPr>
              <w:pStyle w:val="6"/>
              <w:spacing w:before="34" w:line="219" w:lineRule="auto"/>
              <w:jc w:val="right"/>
            </w:pPr>
            <w:r>
              <w:rPr>
                <w:spacing w:val="-5"/>
              </w:rPr>
              <w:t>行相应的国家和地方水污染物排放标准相</w:t>
            </w:r>
          </w:p>
          <w:p w14:paraId="70EAE70C">
            <w:pPr>
              <w:pStyle w:val="6"/>
              <w:spacing w:before="20" w:line="192" w:lineRule="auto"/>
              <w:ind w:left="1561"/>
            </w:pPr>
            <w:r>
              <w:t>关要求。</w:t>
            </w:r>
          </w:p>
        </w:tc>
        <w:tc>
          <w:tcPr>
            <w:tcW w:w="3187" w:type="dxa"/>
            <w:gridSpan w:val="2"/>
            <w:vAlign w:val="top"/>
          </w:tcPr>
          <w:p w14:paraId="45E91A12">
            <w:pPr>
              <w:rPr>
                <w:rFonts w:ascii="Arial"/>
                <w:sz w:val="21"/>
              </w:rPr>
            </w:pPr>
          </w:p>
        </w:tc>
        <w:tc>
          <w:tcPr>
            <w:tcW w:w="644" w:type="dxa"/>
            <w:vAlign w:val="top"/>
          </w:tcPr>
          <w:p w14:paraId="27C72A6D">
            <w:pPr>
              <w:rPr>
                <w:rFonts w:ascii="Arial"/>
                <w:sz w:val="21"/>
              </w:rPr>
            </w:pPr>
          </w:p>
        </w:tc>
      </w:tr>
      <w:tr w14:paraId="5A51B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9" w:hRule="atLeast"/>
        </w:trPr>
        <w:tc>
          <w:tcPr>
            <w:tcW w:w="1243" w:type="dxa"/>
            <w:vMerge w:val="continue"/>
            <w:tcBorders>
              <w:top w:val="nil"/>
              <w:bottom w:val="nil"/>
            </w:tcBorders>
            <w:vAlign w:val="top"/>
          </w:tcPr>
          <w:p w14:paraId="0112C446">
            <w:pPr>
              <w:rPr>
                <w:rFonts w:ascii="Arial"/>
                <w:sz w:val="21"/>
              </w:rPr>
            </w:pPr>
          </w:p>
        </w:tc>
        <w:tc>
          <w:tcPr>
            <w:tcW w:w="3906" w:type="dxa"/>
            <w:gridSpan w:val="2"/>
            <w:vAlign w:val="top"/>
          </w:tcPr>
          <w:p w14:paraId="3980313F">
            <w:pPr>
              <w:pStyle w:val="6"/>
              <w:spacing w:before="50" w:line="219" w:lineRule="auto"/>
              <w:jc w:val="right"/>
            </w:pPr>
            <w:r>
              <w:rPr>
                <w:spacing w:val="-5"/>
              </w:rPr>
              <w:t>运行期做好环境保护设施的维护和运行管</w:t>
            </w:r>
          </w:p>
          <w:p w14:paraId="1FB4ED8F">
            <w:pPr>
              <w:pStyle w:val="6"/>
              <w:spacing w:before="8" w:line="219" w:lineRule="auto"/>
              <w:jc w:val="right"/>
            </w:pPr>
            <w:r>
              <w:rPr>
                <w:spacing w:val="-5"/>
              </w:rPr>
              <w:t>理，加强巡查和检查，保障发挥环境保护</w:t>
            </w:r>
          </w:p>
          <w:p w14:paraId="539C1F9B">
            <w:pPr>
              <w:pStyle w:val="6"/>
              <w:spacing w:line="220" w:lineRule="auto"/>
              <w:jc w:val="right"/>
            </w:pPr>
            <w:r>
              <w:rPr>
                <w:spacing w:val="-5"/>
              </w:rPr>
              <w:t>作用。定期开展环境监测，确保电磁、噪</w:t>
            </w:r>
          </w:p>
          <w:p w14:paraId="063A2ABE">
            <w:pPr>
              <w:pStyle w:val="6"/>
              <w:spacing w:before="27" w:line="219" w:lineRule="auto"/>
              <w:ind w:left="132"/>
            </w:pPr>
            <w:r>
              <w:rPr>
                <w:spacing w:val="5"/>
              </w:rPr>
              <w:t>声、废水排放符合</w:t>
            </w:r>
            <w:r>
              <w:t>GB</w:t>
            </w:r>
            <w:r>
              <w:rPr>
                <w:spacing w:val="5"/>
              </w:rPr>
              <w:t>8702、</w:t>
            </w:r>
            <w:r>
              <w:t>GB</w:t>
            </w:r>
            <w:r>
              <w:rPr>
                <w:spacing w:val="5"/>
              </w:rPr>
              <w:t>12348、</w:t>
            </w:r>
          </w:p>
          <w:p w14:paraId="0DA379F6">
            <w:pPr>
              <w:pStyle w:val="6"/>
              <w:spacing w:before="8" w:line="210" w:lineRule="auto"/>
              <w:ind w:left="71"/>
            </w:pPr>
            <w:r>
              <w:rPr>
                <w:spacing w:val="-1"/>
              </w:rPr>
              <w:t>GB8978等国家标准要求，并及时解决公</w:t>
            </w:r>
          </w:p>
          <w:p w14:paraId="4D4DB8C7">
            <w:pPr>
              <w:pStyle w:val="6"/>
              <w:spacing w:line="192" w:lineRule="auto"/>
              <w:ind w:left="791"/>
            </w:pPr>
            <w:r>
              <w:t>众合理的环境保护诉求。</w:t>
            </w:r>
          </w:p>
        </w:tc>
        <w:tc>
          <w:tcPr>
            <w:tcW w:w="3187" w:type="dxa"/>
            <w:gridSpan w:val="2"/>
            <w:vAlign w:val="top"/>
          </w:tcPr>
          <w:p w14:paraId="0D317A36">
            <w:pPr>
              <w:pStyle w:val="6"/>
              <w:spacing w:before="310" w:line="219" w:lineRule="auto"/>
              <w:ind w:left="46"/>
            </w:pPr>
            <w:r>
              <w:t>建设单位在项目运行期将定期开</w:t>
            </w:r>
          </w:p>
          <w:p w14:paraId="2F25A381">
            <w:pPr>
              <w:pStyle w:val="6"/>
              <w:spacing w:before="29" w:line="209" w:lineRule="auto"/>
              <w:jc w:val="right"/>
            </w:pPr>
            <w:r>
              <w:rPr>
                <w:spacing w:val="-11"/>
              </w:rPr>
              <w:t>展</w:t>
            </w:r>
            <w:r>
              <w:rPr>
                <w:spacing w:val="-10"/>
              </w:rPr>
              <w:t>环境监测，确保电磁、噪声达</w:t>
            </w:r>
            <w:r>
              <w:rPr>
                <w:spacing w:val="-9"/>
              </w:rPr>
              <w:t>标</w:t>
            </w:r>
          </w:p>
          <w:p w14:paraId="41DAE609">
            <w:pPr>
              <w:pStyle w:val="6"/>
              <w:spacing w:line="219" w:lineRule="auto"/>
              <w:jc w:val="right"/>
            </w:pPr>
            <w:r>
              <w:rPr>
                <w:spacing w:val="-10"/>
              </w:rPr>
              <w:t>排放，并及时解决公众合理的环境</w:t>
            </w:r>
          </w:p>
          <w:p w14:paraId="5BCA150E">
            <w:pPr>
              <w:pStyle w:val="6"/>
              <w:spacing w:before="19" w:line="220" w:lineRule="auto"/>
              <w:ind w:left="1096"/>
            </w:pPr>
            <w:r>
              <w:rPr>
                <w:spacing w:val="-1"/>
              </w:rPr>
              <w:t>保护诉求。</w:t>
            </w:r>
          </w:p>
        </w:tc>
        <w:tc>
          <w:tcPr>
            <w:tcW w:w="644" w:type="dxa"/>
            <w:vAlign w:val="top"/>
          </w:tcPr>
          <w:p w14:paraId="376DAFB0">
            <w:pPr>
              <w:spacing w:line="317" w:lineRule="auto"/>
              <w:rPr>
                <w:rFonts w:ascii="Arial"/>
                <w:sz w:val="21"/>
              </w:rPr>
            </w:pPr>
          </w:p>
          <w:p w14:paraId="06C3D32D">
            <w:pPr>
              <w:spacing w:line="317" w:lineRule="auto"/>
              <w:rPr>
                <w:rFonts w:ascii="Arial"/>
                <w:sz w:val="21"/>
              </w:rPr>
            </w:pPr>
          </w:p>
          <w:p w14:paraId="63D4C0D8">
            <w:pPr>
              <w:pStyle w:val="6"/>
              <w:spacing w:before="72" w:line="219" w:lineRule="auto"/>
              <w:ind w:left="99"/>
            </w:pPr>
            <w:r>
              <w:rPr>
                <w:spacing w:val="-3"/>
              </w:rPr>
              <w:t>符合</w:t>
            </w:r>
          </w:p>
        </w:tc>
      </w:tr>
      <w:tr w14:paraId="2F1CB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1243" w:type="dxa"/>
            <w:vMerge w:val="continue"/>
            <w:tcBorders>
              <w:top w:val="nil"/>
              <w:bottom w:val="nil"/>
            </w:tcBorders>
            <w:vAlign w:val="top"/>
          </w:tcPr>
          <w:p w14:paraId="12DCBBD4">
            <w:pPr>
              <w:rPr>
                <w:rFonts w:ascii="Arial"/>
                <w:sz w:val="21"/>
              </w:rPr>
            </w:pPr>
          </w:p>
        </w:tc>
        <w:tc>
          <w:tcPr>
            <w:tcW w:w="3906" w:type="dxa"/>
            <w:gridSpan w:val="2"/>
            <w:vAlign w:val="top"/>
          </w:tcPr>
          <w:p w14:paraId="4AA832A9">
            <w:pPr>
              <w:pStyle w:val="6"/>
              <w:spacing w:before="181" w:line="219" w:lineRule="auto"/>
              <w:jc w:val="right"/>
            </w:pPr>
            <w:r>
              <w:rPr>
                <w:spacing w:val="-5"/>
              </w:rPr>
              <w:t>主要声源设备大修前后，应对变电工程厂</w:t>
            </w:r>
          </w:p>
          <w:p w14:paraId="1B4EE53E">
            <w:pPr>
              <w:pStyle w:val="6"/>
              <w:spacing w:before="8" w:line="219" w:lineRule="auto"/>
              <w:jc w:val="right"/>
            </w:pPr>
            <w:r>
              <w:rPr>
                <w:spacing w:val="-5"/>
              </w:rPr>
              <w:t>界排放噪声和周围声环境敏感目标环境噪</w:t>
            </w:r>
          </w:p>
          <w:p w14:paraId="76076510">
            <w:pPr>
              <w:pStyle w:val="6"/>
              <w:spacing w:before="27" w:line="219" w:lineRule="auto"/>
              <w:ind w:left="241"/>
            </w:pPr>
            <w:r>
              <w:t>声进行监测，监测结果向社会公开。</w:t>
            </w:r>
          </w:p>
        </w:tc>
        <w:tc>
          <w:tcPr>
            <w:tcW w:w="3187" w:type="dxa"/>
            <w:gridSpan w:val="2"/>
            <w:vAlign w:val="top"/>
          </w:tcPr>
          <w:p w14:paraId="38A25193">
            <w:pPr>
              <w:pStyle w:val="6"/>
              <w:spacing w:before="41" w:line="219" w:lineRule="auto"/>
              <w:jc w:val="right"/>
            </w:pPr>
            <w:r>
              <w:rPr>
                <w:spacing w:val="-10"/>
              </w:rPr>
              <w:t>主要声源设备大修前后，将对变电</w:t>
            </w:r>
          </w:p>
          <w:p w14:paraId="408EA8E0">
            <w:pPr>
              <w:pStyle w:val="6"/>
              <w:spacing w:before="9" w:line="220" w:lineRule="auto"/>
              <w:ind w:left="46"/>
            </w:pPr>
            <w:r>
              <w:t>工程厂界排放噪声和周围声环境</w:t>
            </w:r>
          </w:p>
          <w:p w14:paraId="6B037D7D">
            <w:pPr>
              <w:pStyle w:val="6"/>
              <w:spacing w:before="6" w:line="218" w:lineRule="auto"/>
              <w:jc w:val="right"/>
            </w:pPr>
            <w:r>
              <w:rPr>
                <w:spacing w:val="-10"/>
              </w:rPr>
              <w:t>敏感目标环境噪声进行监测，监测</w:t>
            </w:r>
          </w:p>
          <w:p w14:paraId="2CB02D44">
            <w:pPr>
              <w:pStyle w:val="6"/>
              <w:spacing w:line="200" w:lineRule="auto"/>
              <w:ind w:left="765"/>
            </w:pPr>
            <w:r>
              <w:t>结果向社会公开。</w:t>
            </w:r>
          </w:p>
        </w:tc>
        <w:tc>
          <w:tcPr>
            <w:tcW w:w="644" w:type="dxa"/>
            <w:vAlign w:val="top"/>
          </w:tcPr>
          <w:p w14:paraId="15CA86B2">
            <w:pPr>
              <w:spacing w:line="367" w:lineRule="auto"/>
              <w:rPr>
                <w:rFonts w:ascii="Arial"/>
                <w:sz w:val="21"/>
              </w:rPr>
            </w:pPr>
          </w:p>
          <w:p w14:paraId="20D39053">
            <w:pPr>
              <w:pStyle w:val="6"/>
              <w:spacing w:before="71" w:line="219" w:lineRule="auto"/>
              <w:ind w:left="99"/>
            </w:pPr>
            <w:r>
              <w:rPr>
                <w:spacing w:val="-3"/>
              </w:rPr>
              <w:t>符合</w:t>
            </w:r>
          </w:p>
        </w:tc>
      </w:tr>
      <w:tr w14:paraId="750D9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243" w:type="dxa"/>
            <w:vMerge w:val="continue"/>
            <w:tcBorders>
              <w:top w:val="nil"/>
              <w:bottom w:val="nil"/>
            </w:tcBorders>
            <w:vAlign w:val="top"/>
          </w:tcPr>
          <w:p w14:paraId="4CFBB962">
            <w:pPr>
              <w:rPr>
                <w:rFonts w:ascii="Arial"/>
                <w:sz w:val="21"/>
              </w:rPr>
            </w:pPr>
          </w:p>
        </w:tc>
        <w:tc>
          <w:tcPr>
            <w:tcW w:w="3906" w:type="dxa"/>
            <w:gridSpan w:val="2"/>
            <w:vAlign w:val="top"/>
          </w:tcPr>
          <w:p w14:paraId="5189F33D">
            <w:pPr>
              <w:pStyle w:val="6"/>
              <w:spacing w:before="182" w:line="219" w:lineRule="auto"/>
              <w:ind w:left="71"/>
            </w:pPr>
            <w:r>
              <w:rPr>
                <w:spacing w:val="-1"/>
              </w:rPr>
              <w:t>运行期应对事故油池的完好情况进行检</w:t>
            </w:r>
          </w:p>
          <w:p w14:paraId="177BF0EF">
            <w:pPr>
              <w:pStyle w:val="6"/>
              <w:spacing w:before="19" w:line="220" w:lineRule="auto"/>
              <w:ind w:left="682"/>
            </w:pPr>
            <w:r>
              <w:rPr>
                <w:spacing w:val="-1"/>
              </w:rPr>
              <w:t>查，确保无渗漏、无溢流。</w:t>
            </w:r>
          </w:p>
        </w:tc>
        <w:tc>
          <w:tcPr>
            <w:tcW w:w="3187" w:type="dxa"/>
            <w:gridSpan w:val="2"/>
            <w:vAlign w:val="top"/>
          </w:tcPr>
          <w:p w14:paraId="715CB04F">
            <w:pPr>
              <w:pStyle w:val="6"/>
              <w:spacing w:before="62" w:line="219" w:lineRule="auto"/>
              <w:ind w:left="46"/>
            </w:pPr>
            <w:r>
              <w:rPr>
                <w:spacing w:val="-1"/>
              </w:rPr>
              <w:t>运行期将定期对事故油池的完好</w:t>
            </w:r>
          </w:p>
          <w:p w14:paraId="68962799">
            <w:pPr>
              <w:pStyle w:val="6"/>
              <w:spacing w:before="8" w:line="205" w:lineRule="auto"/>
              <w:jc w:val="right"/>
            </w:pPr>
            <w:r>
              <w:rPr>
                <w:spacing w:val="-11"/>
              </w:rPr>
              <w:t>情</w:t>
            </w:r>
            <w:r>
              <w:rPr>
                <w:spacing w:val="-10"/>
              </w:rPr>
              <w:t>况进行检查，确保无渗漏、无</w:t>
            </w:r>
            <w:r>
              <w:rPr>
                <w:spacing w:val="-9"/>
              </w:rPr>
              <w:t>溢</w:t>
            </w:r>
          </w:p>
          <w:p w14:paraId="1A839295">
            <w:pPr>
              <w:pStyle w:val="6"/>
              <w:spacing w:line="203" w:lineRule="auto"/>
              <w:ind w:left="1425"/>
            </w:pPr>
            <w:r>
              <w:t>流。</w:t>
            </w:r>
          </w:p>
        </w:tc>
        <w:tc>
          <w:tcPr>
            <w:tcW w:w="644" w:type="dxa"/>
            <w:vAlign w:val="top"/>
          </w:tcPr>
          <w:p w14:paraId="77A62E22">
            <w:pPr>
              <w:pStyle w:val="6"/>
              <w:spacing w:before="312" w:line="219" w:lineRule="auto"/>
              <w:ind w:left="99"/>
            </w:pPr>
            <w:r>
              <w:rPr>
                <w:spacing w:val="-3"/>
              </w:rPr>
              <w:t>符合</w:t>
            </w:r>
          </w:p>
        </w:tc>
      </w:tr>
      <w:tr w14:paraId="0EC21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9" w:hRule="atLeast"/>
        </w:trPr>
        <w:tc>
          <w:tcPr>
            <w:tcW w:w="1243" w:type="dxa"/>
            <w:vMerge w:val="continue"/>
            <w:tcBorders>
              <w:top w:val="nil"/>
              <w:bottom w:val="nil"/>
            </w:tcBorders>
            <w:vAlign w:val="top"/>
          </w:tcPr>
          <w:p w14:paraId="46DE165D">
            <w:pPr>
              <w:rPr>
                <w:rFonts w:ascii="Arial"/>
                <w:sz w:val="21"/>
              </w:rPr>
            </w:pPr>
          </w:p>
        </w:tc>
        <w:tc>
          <w:tcPr>
            <w:tcW w:w="3906" w:type="dxa"/>
            <w:gridSpan w:val="2"/>
            <w:vAlign w:val="top"/>
          </w:tcPr>
          <w:p w14:paraId="4B927683">
            <w:pPr>
              <w:pStyle w:val="6"/>
              <w:spacing w:before="43" w:line="219" w:lineRule="auto"/>
              <w:jc w:val="right"/>
            </w:pPr>
            <w:r>
              <w:rPr>
                <w:spacing w:val="-5"/>
              </w:rPr>
              <w:t>变电工程运行过程中产生的变压器油、高</w:t>
            </w:r>
          </w:p>
          <w:p w14:paraId="6EB4AE7F">
            <w:pPr>
              <w:pStyle w:val="6"/>
              <w:spacing w:before="29" w:line="219" w:lineRule="auto"/>
              <w:jc w:val="right"/>
            </w:pPr>
            <w:r>
              <w:rPr>
                <w:spacing w:val="-5"/>
              </w:rPr>
              <w:t>抗油等矿物油应进行回收处理。废矿物油</w:t>
            </w:r>
          </w:p>
          <w:p w14:paraId="4EF21813">
            <w:pPr>
              <w:pStyle w:val="6"/>
              <w:spacing w:before="8" w:line="219" w:lineRule="auto"/>
              <w:jc w:val="right"/>
            </w:pPr>
            <w:r>
              <w:rPr>
                <w:spacing w:val="-5"/>
              </w:rPr>
              <w:t>和废铅酸蓄电池作为危险废物应交由有资</w:t>
            </w:r>
          </w:p>
          <w:p w14:paraId="79D28D10">
            <w:pPr>
              <w:pStyle w:val="6"/>
              <w:spacing w:before="8" w:line="218" w:lineRule="auto"/>
              <w:jc w:val="right"/>
            </w:pPr>
            <w:r>
              <w:rPr>
                <w:spacing w:val="-5"/>
              </w:rPr>
              <w:t>质的单位回收处理，严禁随意丢弃。不能</w:t>
            </w:r>
          </w:p>
          <w:p w14:paraId="36427C89">
            <w:pPr>
              <w:pStyle w:val="6"/>
              <w:spacing w:line="218" w:lineRule="auto"/>
              <w:jc w:val="right"/>
            </w:pPr>
            <w:r>
              <w:rPr>
                <w:spacing w:val="-5"/>
              </w:rPr>
              <w:t>立即回收处理的应暂存在危险废物暂存间</w:t>
            </w:r>
          </w:p>
          <w:p w14:paraId="398E186D">
            <w:pPr>
              <w:pStyle w:val="6"/>
              <w:spacing w:before="1" w:line="189" w:lineRule="auto"/>
              <w:ind w:left="1451"/>
            </w:pPr>
            <w:r>
              <w:rPr>
                <w:spacing w:val="-1"/>
              </w:rPr>
              <w:t>或暂存区。</w:t>
            </w:r>
          </w:p>
        </w:tc>
        <w:tc>
          <w:tcPr>
            <w:tcW w:w="3187" w:type="dxa"/>
            <w:gridSpan w:val="2"/>
            <w:vAlign w:val="top"/>
          </w:tcPr>
          <w:p w14:paraId="202AF0E0">
            <w:pPr>
              <w:spacing w:line="389" w:lineRule="auto"/>
              <w:rPr>
                <w:rFonts w:ascii="Arial"/>
                <w:sz w:val="21"/>
              </w:rPr>
            </w:pPr>
          </w:p>
          <w:p w14:paraId="416A2303">
            <w:pPr>
              <w:pStyle w:val="6"/>
              <w:spacing w:before="71" w:line="219" w:lineRule="auto"/>
              <w:ind w:left="46"/>
            </w:pPr>
            <w:r>
              <w:rPr>
                <w:spacing w:val="-1"/>
              </w:rPr>
              <w:t>废变压器油和废铅酸蓄电池暂存</w:t>
            </w:r>
          </w:p>
          <w:p w14:paraId="52930581">
            <w:pPr>
              <w:pStyle w:val="6"/>
              <w:spacing w:before="9" w:line="219" w:lineRule="auto"/>
              <w:jc w:val="right"/>
            </w:pPr>
            <w:r>
              <w:rPr>
                <w:spacing w:val="-10"/>
              </w:rPr>
              <w:t>于危废暂存间，定期委托有资质单</w:t>
            </w:r>
          </w:p>
          <w:p w14:paraId="0662347F">
            <w:pPr>
              <w:pStyle w:val="6"/>
              <w:spacing w:before="1" w:line="220" w:lineRule="auto"/>
              <w:ind w:left="1205"/>
            </w:pPr>
            <w:r>
              <w:rPr>
                <w:spacing w:val="-1"/>
              </w:rPr>
              <w:t>位处置。</w:t>
            </w:r>
          </w:p>
        </w:tc>
        <w:tc>
          <w:tcPr>
            <w:tcW w:w="644" w:type="dxa"/>
            <w:vAlign w:val="top"/>
          </w:tcPr>
          <w:p w14:paraId="4574BD8C">
            <w:pPr>
              <w:spacing w:line="318" w:lineRule="auto"/>
              <w:rPr>
                <w:rFonts w:ascii="Arial"/>
                <w:sz w:val="21"/>
              </w:rPr>
            </w:pPr>
          </w:p>
          <w:p w14:paraId="62410FC3">
            <w:pPr>
              <w:spacing w:line="319" w:lineRule="auto"/>
              <w:rPr>
                <w:rFonts w:ascii="Arial"/>
                <w:sz w:val="21"/>
              </w:rPr>
            </w:pPr>
          </w:p>
          <w:p w14:paraId="2BDB0D4C">
            <w:pPr>
              <w:pStyle w:val="6"/>
              <w:spacing w:before="72" w:line="219" w:lineRule="auto"/>
              <w:ind w:left="99"/>
            </w:pPr>
            <w:r>
              <w:rPr>
                <w:spacing w:val="-3"/>
              </w:rPr>
              <w:t>符合</w:t>
            </w:r>
          </w:p>
        </w:tc>
      </w:tr>
      <w:tr w14:paraId="00274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1243" w:type="dxa"/>
            <w:vMerge w:val="continue"/>
            <w:tcBorders>
              <w:top w:val="nil"/>
              <w:bottom w:val="nil"/>
            </w:tcBorders>
            <w:vAlign w:val="top"/>
          </w:tcPr>
          <w:p w14:paraId="0677373D">
            <w:pPr>
              <w:rPr>
                <w:rFonts w:ascii="Arial"/>
                <w:sz w:val="21"/>
              </w:rPr>
            </w:pPr>
          </w:p>
        </w:tc>
        <w:tc>
          <w:tcPr>
            <w:tcW w:w="3906" w:type="dxa"/>
            <w:gridSpan w:val="2"/>
            <w:vAlign w:val="top"/>
          </w:tcPr>
          <w:p w14:paraId="671F8613">
            <w:pPr>
              <w:pStyle w:val="6"/>
              <w:spacing w:before="44" w:line="219" w:lineRule="auto"/>
              <w:jc w:val="right"/>
            </w:pPr>
            <w:r>
              <w:rPr>
                <w:spacing w:val="-5"/>
              </w:rPr>
              <w:t>针对变电工程站内可能发生的突发环境事</w:t>
            </w:r>
          </w:p>
          <w:p w14:paraId="6A78944D">
            <w:pPr>
              <w:pStyle w:val="6"/>
              <w:spacing w:before="7" w:line="211" w:lineRule="auto"/>
              <w:ind w:left="21"/>
            </w:pPr>
            <w:r>
              <w:t>件，应按照HJ169等国家有关规定制定突</w:t>
            </w:r>
          </w:p>
          <w:p w14:paraId="06581F7A">
            <w:pPr>
              <w:pStyle w:val="6"/>
              <w:spacing w:line="198" w:lineRule="auto"/>
              <w:ind w:left="241"/>
            </w:pPr>
            <w:r>
              <w:t>发环境事件应急预案，并定期演练。</w:t>
            </w:r>
          </w:p>
        </w:tc>
        <w:tc>
          <w:tcPr>
            <w:tcW w:w="3187" w:type="dxa"/>
            <w:gridSpan w:val="2"/>
            <w:vAlign w:val="top"/>
          </w:tcPr>
          <w:p w14:paraId="60516F73">
            <w:pPr>
              <w:pStyle w:val="6"/>
              <w:spacing w:before="204" w:line="219" w:lineRule="auto"/>
              <w:ind w:left="46"/>
            </w:pPr>
            <w:r>
              <w:t>建设单位将编制突发环境事件应</w:t>
            </w:r>
          </w:p>
          <w:p w14:paraId="6A9B7B51">
            <w:pPr>
              <w:pStyle w:val="6"/>
              <w:spacing w:before="8" w:line="219" w:lineRule="auto"/>
              <w:ind w:left="546"/>
            </w:pPr>
            <w:r>
              <w:t>急预案，并定期演练。</w:t>
            </w:r>
          </w:p>
        </w:tc>
        <w:tc>
          <w:tcPr>
            <w:tcW w:w="644" w:type="dxa"/>
            <w:vAlign w:val="top"/>
          </w:tcPr>
          <w:p w14:paraId="0DE01414">
            <w:pPr>
              <w:pStyle w:val="6"/>
              <w:spacing w:before="304" w:line="219" w:lineRule="auto"/>
              <w:ind w:left="99"/>
            </w:pPr>
            <w:r>
              <w:rPr>
                <w:spacing w:val="-3"/>
              </w:rPr>
              <w:t>符合</w:t>
            </w:r>
          </w:p>
        </w:tc>
      </w:tr>
      <w:tr w14:paraId="511BA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6" w:hRule="atLeast"/>
        </w:trPr>
        <w:tc>
          <w:tcPr>
            <w:tcW w:w="1243" w:type="dxa"/>
            <w:vMerge w:val="continue"/>
            <w:tcBorders>
              <w:top w:val="nil"/>
              <w:bottom w:val="nil"/>
            </w:tcBorders>
            <w:vAlign w:val="top"/>
          </w:tcPr>
          <w:p w14:paraId="076CDACC">
            <w:pPr>
              <w:rPr>
                <w:rFonts w:ascii="Arial"/>
                <w:sz w:val="21"/>
              </w:rPr>
            </w:pPr>
          </w:p>
        </w:tc>
        <w:tc>
          <w:tcPr>
            <w:tcW w:w="7737" w:type="dxa"/>
            <w:gridSpan w:val="5"/>
            <w:vAlign w:val="top"/>
          </w:tcPr>
          <w:p w14:paraId="351B8B7D">
            <w:pPr>
              <w:pStyle w:val="6"/>
              <w:spacing w:before="64" w:line="386" w:lineRule="auto"/>
              <w:ind w:left="132" w:right="414" w:firstLine="379"/>
            </w:pPr>
            <w:r>
              <w:rPr>
                <w:spacing w:val="-1"/>
              </w:rPr>
              <w:t>综上所述，项目升压站建设符合《输变电建设项目环境保护技术要求》</w:t>
            </w:r>
            <w:r>
              <w:rPr>
                <w:spacing w:val="10"/>
              </w:rPr>
              <w:t xml:space="preserve"> </w:t>
            </w:r>
            <w:r>
              <w:t>(HJ1113-2020)的相关要求。</w:t>
            </w:r>
          </w:p>
          <w:p w14:paraId="78F7E6B0">
            <w:pPr>
              <w:pStyle w:val="6"/>
              <w:spacing w:before="6" w:line="387" w:lineRule="auto"/>
              <w:ind w:left="15" w:right="620" w:firstLine="40"/>
            </w:pPr>
            <w:r>
              <w:rPr>
                <w:b/>
                <w:bCs/>
                <w:spacing w:val="-2"/>
              </w:rPr>
              <w:t>16、与《云南省发展和改革委员会关于加强光伏资源开发建设有关工作的</w:t>
            </w:r>
            <w:r>
              <w:t xml:space="preserve"> </w:t>
            </w:r>
            <w:r>
              <w:rPr>
                <w:b/>
                <w:bCs/>
                <w:spacing w:val="-3"/>
              </w:rPr>
              <w:t>通知》(云发改能源〔2023〕785号)的符合性分析</w:t>
            </w:r>
          </w:p>
          <w:p w14:paraId="626BA135">
            <w:pPr>
              <w:pStyle w:val="6"/>
              <w:spacing w:before="2" w:line="391" w:lineRule="auto"/>
              <w:ind w:left="21" w:right="595" w:firstLine="509"/>
              <w:jc w:val="both"/>
            </w:pPr>
            <w:r>
              <w:t>为贯彻落实省委“3815”战略发展目标，发挥云南省光伏资源优</w:t>
            </w:r>
            <w:r>
              <w:rPr>
                <w:spacing w:val="-1"/>
              </w:rPr>
              <w:t>势，</w:t>
            </w:r>
            <w:r>
              <w:t xml:space="preserve"> </w:t>
            </w:r>
            <w:r>
              <w:rPr>
                <w:spacing w:val="1"/>
              </w:rPr>
              <w:t>云南省发展和改革委员会发布了《云南省发展和改革委员会关于加强光伏</w:t>
            </w:r>
            <w:r>
              <w:rPr>
                <w:spacing w:val="8"/>
              </w:rPr>
              <w:t xml:space="preserve"> </w:t>
            </w:r>
            <w:r>
              <w:t>资源开发建设有关工作的通知》(云发改能源〔2023〕785号)。</w:t>
            </w:r>
          </w:p>
          <w:p w14:paraId="6140BDEE">
            <w:pPr>
              <w:pStyle w:val="6"/>
              <w:spacing w:before="1" w:line="384" w:lineRule="auto"/>
              <w:ind w:left="41" w:right="594" w:firstLine="499"/>
            </w:pPr>
            <w:r>
              <w:t>本项目与《云南省发展和改革委员会关于加</w:t>
            </w:r>
            <w:r>
              <w:rPr>
                <w:spacing w:val="-1"/>
              </w:rPr>
              <w:t>强光伏资源开发建设有关</w:t>
            </w:r>
            <w:r>
              <w:t xml:space="preserve"> 工作的通知》(云发改能源〔2023〕785号)的符合性见表1-15。</w:t>
            </w:r>
          </w:p>
          <w:p w14:paraId="3DDB80ED">
            <w:pPr>
              <w:pStyle w:val="6"/>
              <w:spacing w:line="250" w:lineRule="auto"/>
              <w:ind w:left="635" w:right="849" w:hanging="570"/>
            </w:pPr>
            <w:r>
              <w:rPr>
                <w:b/>
                <w:bCs/>
                <w:spacing w:val="-3"/>
              </w:rPr>
              <w:t>表1-13项目与《云南省发展和改革委员会关于加强光伏资源开发建设有</w:t>
            </w:r>
            <w:r>
              <w:rPr>
                <w:spacing w:val="14"/>
              </w:rPr>
              <w:t xml:space="preserve"> </w:t>
            </w:r>
            <w:r>
              <w:rPr>
                <w:b/>
                <w:bCs/>
                <w:spacing w:val="-3"/>
              </w:rPr>
              <w:t>关工作的通知》(云发改能源〔2023〕785号)的符合性分析</w:t>
            </w:r>
          </w:p>
        </w:tc>
      </w:tr>
      <w:tr w14:paraId="5C830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243" w:type="dxa"/>
            <w:vMerge w:val="continue"/>
            <w:tcBorders>
              <w:top w:val="nil"/>
              <w:bottom w:val="nil"/>
            </w:tcBorders>
            <w:vAlign w:val="top"/>
          </w:tcPr>
          <w:p w14:paraId="076FDD88">
            <w:pPr>
              <w:rPr>
                <w:rFonts w:ascii="Arial"/>
                <w:sz w:val="21"/>
              </w:rPr>
            </w:pPr>
          </w:p>
        </w:tc>
        <w:tc>
          <w:tcPr>
            <w:tcW w:w="4975" w:type="dxa"/>
            <w:gridSpan w:val="3"/>
            <w:vAlign w:val="top"/>
          </w:tcPr>
          <w:p w14:paraId="3B1D884F">
            <w:pPr>
              <w:pStyle w:val="6"/>
              <w:spacing w:before="175" w:line="219" w:lineRule="auto"/>
              <w:ind w:left="2045"/>
            </w:pPr>
            <w:r>
              <w:rPr>
                <w:b/>
                <w:bCs/>
                <w:spacing w:val="-5"/>
              </w:rPr>
              <w:t>文件要求</w:t>
            </w:r>
          </w:p>
        </w:tc>
        <w:tc>
          <w:tcPr>
            <w:tcW w:w="2118" w:type="dxa"/>
            <w:vAlign w:val="top"/>
          </w:tcPr>
          <w:p w14:paraId="30017681">
            <w:pPr>
              <w:pStyle w:val="6"/>
              <w:spacing w:before="173" w:line="219" w:lineRule="auto"/>
              <w:ind w:left="510"/>
            </w:pPr>
            <w:r>
              <w:rPr>
                <w:b/>
                <w:bCs/>
                <w:spacing w:val="-4"/>
              </w:rPr>
              <w:t>本项目情况</w:t>
            </w:r>
          </w:p>
        </w:tc>
        <w:tc>
          <w:tcPr>
            <w:tcW w:w="644" w:type="dxa"/>
            <w:vAlign w:val="top"/>
          </w:tcPr>
          <w:p w14:paraId="2A48453B">
            <w:pPr>
              <w:pStyle w:val="6"/>
              <w:spacing w:before="15" w:line="220" w:lineRule="auto"/>
              <w:ind w:left="211" w:right="102" w:hanging="109"/>
            </w:pPr>
            <w:r>
              <w:rPr>
                <w:b/>
                <w:bCs/>
                <w:spacing w:val="-8"/>
              </w:rPr>
              <w:t>符合</w:t>
            </w:r>
            <w:r>
              <w:t xml:space="preserve"> </w:t>
            </w:r>
            <w:r>
              <w:rPr>
                <w:b/>
                <w:bCs/>
                <w:spacing w:val="-3"/>
              </w:rPr>
              <w:t>性</w:t>
            </w:r>
          </w:p>
        </w:tc>
      </w:tr>
      <w:tr w14:paraId="05FD1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1243" w:type="dxa"/>
            <w:vMerge w:val="continue"/>
            <w:tcBorders>
              <w:top w:val="nil"/>
            </w:tcBorders>
            <w:vAlign w:val="top"/>
          </w:tcPr>
          <w:p w14:paraId="3D6BF1EE">
            <w:pPr>
              <w:rPr>
                <w:rFonts w:ascii="Arial"/>
                <w:sz w:val="21"/>
              </w:rPr>
            </w:pPr>
          </w:p>
        </w:tc>
        <w:tc>
          <w:tcPr>
            <w:tcW w:w="869" w:type="dxa"/>
            <w:vAlign w:val="top"/>
          </w:tcPr>
          <w:p w14:paraId="4E1BEBE8">
            <w:pPr>
              <w:pStyle w:val="6"/>
              <w:spacing w:before="168" w:line="219" w:lineRule="auto"/>
              <w:ind w:left="91"/>
            </w:pPr>
            <w:r>
              <w:rPr>
                <w:spacing w:val="-1"/>
              </w:rPr>
              <w:t>一、做</w:t>
            </w:r>
          </w:p>
          <w:p w14:paraId="0FA58778">
            <w:pPr>
              <w:pStyle w:val="6"/>
              <w:spacing w:before="18" w:line="219" w:lineRule="auto"/>
              <w:ind w:left="91"/>
            </w:pPr>
            <w:r>
              <w:rPr>
                <w:spacing w:val="4"/>
              </w:rPr>
              <w:t>深做细</w:t>
            </w:r>
          </w:p>
          <w:p w14:paraId="6696723C">
            <w:pPr>
              <w:pStyle w:val="6"/>
              <w:spacing w:before="19" w:line="220" w:lineRule="auto"/>
              <w:ind w:left="91"/>
            </w:pPr>
            <w:r>
              <w:rPr>
                <w:spacing w:val="3"/>
              </w:rPr>
              <w:t>项目前</w:t>
            </w:r>
          </w:p>
          <w:p w14:paraId="48A6B14C">
            <w:pPr>
              <w:pStyle w:val="6"/>
              <w:spacing w:before="7" w:line="220" w:lineRule="auto"/>
              <w:ind w:left="91"/>
            </w:pPr>
            <w:r>
              <w:rPr>
                <w:spacing w:val="4"/>
              </w:rPr>
              <w:t>期工作</w:t>
            </w:r>
          </w:p>
        </w:tc>
        <w:tc>
          <w:tcPr>
            <w:tcW w:w="4106" w:type="dxa"/>
            <w:gridSpan w:val="2"/>
            <w:vAlign w:val="top"/>
          </w:tcPr>
          <w:p w14:paraId="682CA426">
            <w:pPr>
              <w:pStyle w:val="6"/>
              <w:spacing w:before="39" w:line="224" w:lineRule="auto"/>
              <w:ind w:left="12"/>
              <w:jc w:val="both"/>
            </w:pPr>
            <w:r>
              <w:rPr>
                <w:spacing w:val="-5"/>
              </w:rPr>
              <w:t>一)开展资源系统排查。统筹考虑生态环境</w:t>
            </w:r>
            <w:r>
              <w:t xml:space="preserve">  </w:t>
            </w:r>
            <w:r>
              <w:rPr>
                <w:spacing w:val="-11"/>
              </w:rPr>
              <w:t>敏感因素及项目的可行性，扣除生态保护红</w:t>
            </w:r>
            <w:r>
              <w:rPr>
                <w:spacing w:val="6"/>
              </w:rPr>
              <w:t xml:space="preserve">  </w:t>
            </w:r>
            <w:r>
              <w:rPr>
                <w:spacing w:val="-4"/>
              </w:rPr>
              <w:t>线、耕地(含永久基本农田)、城镇开发边</w:t>
            </w:r>
            <w:r>
              <w:rPr>
                <w:spacing w:val="5"/>
              </w:rPr>
              <w:t xml:space="preserve">  </w:t>
            </w:r>
            <w:r>
              <w:rPr>
                <w:spacing w:val="-6"/>
              </w:rPr>
              <w:t>界、天然林、采矿权、耕地林地后备资源、</w:t>
            </w:r>
            <w:r>
              <w:rPr>
                <w:spacing w:val="16"/>
              </w:rPr>
              <w:t xml:space="preserve"> </w:t>
            </w:r>
            <w:r>
              <w:rPr>
                <w:spacing w:val="-2"/>
              </w:rPr>
              <w:t>坡度大于40度等区域，鼓励利用采矿沉陷</w:t>
            </w:r>
          </w:p>
        </w:tc>
        <w:tc>
          <w:tcPr>
            <w:tcW w:w="2118" w:type="dxa"/>
            <w:vAlign w:val="top"/>
          </w:tcPr>
          <w:p w14:paraId="7A96D6AA">
            <w:pPr>
              <w:pStyle w:val="6"/>
              <w:spacing w:before="45" w:line="223" w:lineRule="auto"/>
              <w:ind w:left="17" w:firstLine="49"/>
              <w:jc w:val="both"/>
            </w:pPr>
            <w:r>
              <w:rPr>
                <w:spacing w:val="-1"/>
              </w:rPr>
              <w:t>本项目拟选址方案不</w:t>
            </w:r>
            <w:r>
              <w:rPr>
                <w:spacing w:val="4"/>
              </w:rPr>
              <w:t xml:space="preserve"> </w:t>
            </w:r>
            <w:r>
              <w:rPr>
                <w:spacing w:val="-12"/>
              </w:rPr>
              <w:t>占用生态保护红线、永</w:t>
            </w:r>
            <w:r>
              <w:rPr>
                <w:spacing w:val="4"/>
              </w:rPr>
              <w:t xml:space="preserve"> </w:t>
            </w:r>
            <w:r>
              <w:rPr>
                <w:spacing w:val="-11"/>
              </w:rPr>
              <w:t>久基本农田，不涉及占</w:t>
            </w:r>
            <w:r>
              <w:t xml:space="preserve"> </w:t>
            </w:r>
            <w:r>
              <w:rPr>
                <w:spacing w:val="-12"/>
              </w:rPr>
              <w:t>用天然林停伐范围、公</w:t>
            </w:r>
            <w:r>
              <w:rPr>
                <w:spacing w:val="5"/>
              </w:rPr>
              <w:t xml:space="preserve"> </w:t>
            </w:r>
            <w:r>
              <w:rPr>
                <w:spacing w:val="-11"/>
              </w:rPr>
              <w:t>益林、退耕还林地，与</w:t>
            </w:r>
          </w:p>
        </w:tc>
        <w:tc>
          <w:tcPr>
            <w:tcW w:w="644" w:type="dxa"/>
            <w:vAlign w:val="top"/>
          </w:tcPr>
          <w:p w14:paraId="74BCFC21">
            <w:pPr>
              <w:spacing w:line="256" w:lineRule="auto"/>
              <w:rPr>
                <w:rFonts w:ascii="Arial"/>
                <w:sz w:val="21"/>
              </w:rPr>
            </w:pPr>
          </w:p>
          <w:p w14:paraId="66CB980E">
            <w:pPr>
              <w:spacing w:line="257" w:lineRule="auto"/>
              <w:rPr>
                <w:rFonts w:ascii="Arial"/>
                <w:sz w:val="21"/>
              </w:rPr>
            </w:pPr>
          </w:p>
          <w:p w14:paraId="6925140B">
            <w:pPr>
              <w:pStyle w:val="6"/>
              <w:spacing w:before="72" w:line="219" w:lineRule="auto"/>
              <w:ind w:left="99"/>
            </w:pPr>
            <w:r>
              <w:rPr>
                <w:spacing w:val="-3"/>
              </w:rPr>
              <w:t>符合</w:t>
            </w:r>
          </w:p>
        </w:tc>
      </w:tr>
    </w:tbl>
    <w:p w14:paraId="00DA4334">
      <w:pPr>
        <w:pStyle w:val="2"/>
      </w:pPr>
    </w:p>
    <w:p w14:paraId="02FDDAF8">
      <w:pPr>
        <w:sectPr>
          <w:footerReference r:id="rId42" w:type="default"/>
          <w:pgSz w:w="11910" w:h="16830"/>
          <w:pgMar w:top="400" w:right="1504" w:bottom="1245" w:left="1415" w:header="0" w:footer="1083" w:gutter="0"/>
          <w:cols w:space="720" w:num="1"/>
        </w:sectPr>
      </w:pPr>
    </w:p>
    <w:p w14:paraId="69C0FB41">
      <w:pPr>
        <w:spacing w:before="18"/>
      </w:pPr>
    </w:p>
    <w:p w14:paraId="2C874ABB">
      <w:pPr>
        <w:spacing w:before="18"/>
      </w:pPr>
    </w:p>
    <w:p w14:paraId="020C24F3">
      <w:pPr>
        <w:spacing w:before="17"/>
      </w:pPr>
    </w:p>
    <w:p w14:paraId="45AE9109">
      <w:pPr>
        <w:spacing w:before="17"/>
      </w:pPr>
    </w:p>
    <w:p w14:paraId="0F7E3D42">
      <w:pPr>
        <w:spacing w:before="17"/>
      </w:pPr>
    </w:p>
    <w:tbl>
      <w:tblPr>
        <w:tblStyle w:val="5"/>
        <w:tblW w:w="89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849"/>
        <w:gridCol w:w="4115"/>
        <w:gridCol w:w="2118"/>
        <w:gridCol w:w="614"/>
      </w:tblGrid>
      <w:tr w14:paraId="11541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4" w:hRule="atLeast"/>
        </w:trPr>
        <w:tc>
          <w:tcPr>
            <w:tcW w:w="1244" w:type="dxa"/>
            <w:vMerge w:val="restart"/>
            <w:tcBorders>
              <w:bottom w:val="nil"/>
            </w:tcBorders>
            <w:vAlign w:val="top"/>
          </w:tcPr>
          <w:p w14:paraId="2A7E6500">
            <w:pPr>
              <w:rPr>
                <w:rFonts w:ascii="Arial"/>
                <w:sz w:val="21"/>
              </w:rPr>
            </w:pPr>
          </w:p>
        </w:tc>
        <w:tc>
          <w:tcPr>
            <w:tcW w:w="849" w:type="dxa"/>
            <w:vAlign w:val="top"/>
          </w:tcPr>
          <w:p w14:paraId="247C542B">
            <w:pPr>
              <w:rPr>
                <w:rFonts w:ascii="Arial"/>
                <w:sz w:val="21"/>
              </w:rPr>
            </w:pPr>
          </w:p>
        </w:tc>
        <w:tc>
          <w:tcPr>
            <w:tcW w:w="4115" w:type="dxa"/>
            <w:vAlign w:val="top"/>
          </w:tcPr>
          <w:p w14:paraId="4BAB306D">
            <w:pPr>
              <w:pStyle w:val="6"/>
              <w:spacing w:before="44" w:line="219" w:lineRule="auto"/>
              <w:jc w:val="right"/>
            </w:pPr>
            <w:r>
              <w:rPr>
                <w:spacing w:val="-5"/>
              </w:rPr>
              <w:t>区、尾矿库以及“四荒地”等未利用地，优</w:t>
            </w:r>
          </w:p>
          <w:p w14:paraId="1841E6E9">
            <w:pPr>
              <w:pStyle w:val="6"/>
              <w:spacing w:before="7" w:line="219" w:lineRule="auto"/>
              <w:jc w:val="right"/>
            </w:pPr>
            <w:r>
              <w:rPr>
                <w:spacing w:val="-17"/>
              </w:rPr>
              <w:t>化现有全省光伏资源分布“一张图”。各州、</w:t>
            </w:r>
          </w:p>
          <w:p w14:paraId="5B735FC6">
            <w:pPr>
              <w:pStyle w:val="6"/>
              <w:spacing w:before="27" w:line="216" w:lineRule="auto"/>
              <w:ind w:left="11"/>
            </w:pPr>
            <w:r>
              <w:t>市按照光伏资源分布“一张图”,统筹协调</w:t>
            </w:r>
          </w:p>
          <w:p w14:paraId="4515293C">
            <w:pPr>
              <w:pStyle w:val="6"/>
              <w:spacing w:before="24" w:line="219" w:lineRule="auto"/>
              <w:jc w:val="right"/>
            </w:pPr>
            <w:r>
              <w:rPr>
                <w:spacing w:val="-5"/>
              </w:rPr>
              <w:t>做好辖区内的光伏资源排查、规划优化调整</w:t>
            </w:r>
          </w:p>
          <w:p w14:paraId="5E4DEF35">
            <w:pPr>
              <w:pStyle w:val="6"/>
              <w:spacing w:line="219" w:lineRule="auto"/>
              <w:jc w:val="right"/>
            </w:pPr>
            <w:r>
              <w:rPr>
                <w:spacing w:val="-17"/>
              </w:rPr>
              <w:t>等技术</w:t>
            </w:r>
            <w:r>
              <w:rPr>
                <w:spacing w:val="-16"/>
              </w:rPr>
              <w:t>性工作，加强对企业的指导，未在“</w:t>
            </w:r>
            <w:r>
              <w:rPr>
                <w:spacing w:val="-13"/>
              </w:rPr>
              <w:t>一</w:t>
            </w:r>
          </w:p>
          <w:p w14:paraId="632981EA">
            <w:pPr>
              <w:pStyle w:val="6"/>
              <w:spacing w:before="8" w:line="218" w:lineRule="auto"/>
              <w:jc w:val="right"/>
            </w:pPr>
            <w:r>
              <w:rPr>
                <w:spacing w:val="-5"/>
              </w:rPr>
              <w:t>张图”范围内的光伏项目，一律不得纳入各</w:t>
            </w:r>
          </w:p>
          <w:p w14:paraId="582FAB6E">
            <w:pPr>
              <w:pStyle w:val="6"/>
              <w:spacing w:line="202" w:lineRule="auto"/>
              <w:ind w:left="451"/>
            </w:pPr>
            <w:r>
              <w:rPr>
                <w:spacing w:val="-1"/>
              </w:rPr>
              <w:t>级政府规划、开展前期准备工作。</w:t>
            </w:r>
          </w:p>
        </w:tc>
        <w:tc>
          <w:tcPr>
            <w:tcW w:w="2118" w:type="dxa"/>
            <w:vAlign w:val="top"/>
          </w:tcPr>
          <w:p w14:paraId="5EDADD1F">
            <w:pPr>
              <w:pStyle w:val="6"/>
              <w:spacing w:before="44" w:line="219" w:lineRule="auto"/>
              <w:ind w:left="67"/>
            </w:pPr>
            <w:r>
              <w:rPr>
                <w:spacing w:val="1"/>
              </w:rPr>
              <w:t>各类管控红线不交叉</w:t>
            </w:r>
          </w:p>
          <w:p w14:paraId="6724FB97">
            <w:pPr>
              <w:pStyle w:val="6"/>
              <w:spacing w:before="25" w:line="224" w:lineRule="auto"/>
              <w:ind w:left="776"/>
            </w:pPr>
            <w:r>
              <w:t>重叠。</w:t>
            </w:r>
          </w:p>
        </w:tc>
        <w:tc>
          <w:tcPr>
            <w:tcW w:w="614" w:type="dxa"/>
            <w:vAlign w:val="top"/>
          </w:tcPr>
          <w:p w14:paraId="72091D66">
            <w:pPr>
              <w:rPr>
                <w:rFonts w:ascii="Arial"/>
                <w:sz w:val="21"/>
              </w:rPr>
            </w:pPr>
          </w:p>
        </w:tc>
      </w:tr>
      <w:tr w14:paraId="04977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1244" w:type="dxa"/>
            <w:vMerge w:val="continue"/>
            <w:tcBorders>
              <w:top w:val="nil"/>
              <w:bottom w:val="nil"/>
            </w:tcBorders>
            <w:vAlign w:val="top"/>
          </w:tcPr>
          <w:p w14:paraId="5CD0716E">
            <w:pPr>
              <w:rPr>
                <w:rFonts w:ascii="Arial"/>
                <w:sz w:val="21"/>
              </w:rPr>
            </w:pPr>
          </w:p>
        </w:tc>
        <w:tc>
          <w:tcPr>
            <w:tcW w:w="849" w:type="dxa"/>
            <w:vAlign w:val="top"/>
          </w:tcPr>
          <w:p w14:paraId="701AE142">
            <w:pPr>
              <w:spacing w:line="390" w:lineRule="auto"/>
              <w:rPr>
                <w:rFonts w:ascii="Arial"/>
                <w:sz w:val="21"/>
              </w:rPr>
            </w:pPr>
          </w:p>
          <w:p w14:paraId="3F5A5D1E">
            <w:pPr>
              <w:pStyle w:val="6"/>
              <w:spacing w:before="71" w:line="218" w:lineRule="auto"/>
              <w:ind w:left="80" w:right="56"/>
            </w:pPr>
            <w:r>
              <w:rPr>
                <w:spacing w:val="3"/>
              </w:rPr>
              <w:t>二、强</w:t>
            </w:r>
            <w:r>
              <w:rPr>
                <w:spacing w:val="1"/>
              </w:rPr>
              <w:t xml:space="preserve"> </w:t>
            </w:r>
            <w:r>
              <w:rPr>
                <w:spacing w:val="13"/>
              </w:rPr>
              <w:t>化项目</w:t>
            </w:r>
          </w:p>
          <w:p w14:paraId="69399A8E">
            <w:pPr>
              <w:pStyle w:val="6"/>
              <w:spacing w:before="26" w:line="219" w:lineRule="auto"/>
              <w:ind w:left="80"/>
            </w:pPr>
            <w:r>
              <w:rPr>
                <w:spacing w:val="8"/>
              </w:rPr>
              <w:t>用林用</w:t>
            </w:r>
          </w:p>
          <w:p w14:paraId="0CA13269">
            <w:pPr>
              <w:pStyle w:val="6"/>
              <w:spacing w:before="8" w:line="219" w:lineRule="auto"/>
              <w:ind w:left="80"/>
            </w:pPr>
            <w:r>
              <w:rPr>
                <w:spacing w:val="-2"/>
              </w:rPr>
              <w:t>地保障</w:t>
            </w:r>
          </w:p>
          <w:p w14:paraId="568F5B47">
            <w:pPr>
              <w:pStyle w:val="6"/>
              <w:spacing w:before="9" w:line="219" w:lineRule="auto"/>
              <w:ind w:left="190"/>
            </w:pPr>
            <w:r>
              <w:rPr>
                <w:spacing w:val="-3"/>
              </w:rPr>
              <w:t>服务</w:t>
            </w:r>
          </w:p>
        </w:tc>
        <w:tc>
          <w:tcPr>
            <w:tcW w:w="4115" w:type="dxa"/>
            <w:vAlign w:val="top"/>
          </w:tcPr>
          <w:p w14:paraId="1CB46498">
            <w:pPr>
              <w:pStyle w:val="6"/>
              <w:spacing w:before="40" w:line="219" w:lineRule="auto"/>
              <w:ind w:left="11"/>
            </w:pPr>
            <w:r>
              <w:t>四)加强项目报批指导。从源头控制好报件</w:t>
            </w:r>
          </w:p>
          <w:p w14:paraId="0C1733E3">
            <w:pPr>
              <w:pStyle w:val="6"/>
              <w:spacing w:before="9" w:line="219" w:lineRule="auto"/>
              <w:jc w:val="right"/>
            </w:pPr>
            <w:r>
              <w:rPr>
                <w:spacing w:val="-5"/>
              </w:rPr>
              <w:t>质量，做到上下联动、及时审批。对纳入新</w:t>
            </w:r>
          </w:p>
          <w:p w14:paraId="2811FD5E">
            <w:pPr>
              <w:pStyle w:val="6"/>
              <w:spacing w:before="8" w:line="219" w:lineRule="auto"/>
              <w:jc w:val="right"/>
            </w:pPr>
            <w:r>
              <w:rPr>
                <w:spacing w:val="-5"/>
              </w:rPr>
              <w:t>能源年度建设方案的项目，项目业主向自然</w:t>
            </w:r>
          </w:p>
          <w:p w14:paraId="086B5A4D">
            <w:pPr>
              <w:pStyle w:val="6"/>
              <w:spacing w:before="29" w:line="219" w:lineRule="auto"/>
              <w:jc w:val="right"/>
            </w:pPr>
            <w:r>
              <w:rPr>
                <w:spacing w:val="-5"/>
              </w:rPr>
              <w:t>资源、生态环境、水利、林草等部门申领审</w:t>
            </w:r>
          </w:p>
          <w:p w14:paraId="6F1F3139">
            <w:pPr>
              <w:pStyle w:val="6"/>
              <w:spacing w:before="6" w:line="218" w:lineRule="auto"/>
              <w:jc w:val="right"/>
            </w:pPr>
            <w:r>
              <w:rPr>
                <w:spacing w:val="-5"/>
              </w:rPr>
              <w:t>批事项办理告知书，告知书中将审批流程、</w:t>
            </w:r>
          </w:p>
          <w:p w14:paraId="02B956B2">
            <w:pPr>
              <w:pStyle w:val="6"/>
              <w:spacing w:before="10" w:line="218" w:lineRule="auto"/>
              <w:jc w:val="right"/>
            </w:pPr>
            <w:r>
              <w:rPr>
                <w:spacing w:val="-5"/>
              </w:rPr>
              <w:t>申报材料等事项一次性告知。项目业主要落</w:t>
            </w:r>
          </w:p>
          <w:p w14:paraId="766E12D1">
            <w:pPr>
              <w:pStyle w:val="6"/>
              <w:spacing w:before="12" w:line="202" w:lineRule="auto"/>
              <w:jc w:val="right"/>
            </w:pPr>
            <w:r>
              <w:rPr>
                <w:spacing w:val="-5"/>
              </w:rPr>
              <w:t>实主体责任，做实做细项目报批前期基础工</w:t>
            </w:r>
          </w:p>
          <w:p w14:paraId="2F3E8926">
            <w:pPr>
              <w:pStyle w:val="6"/>
              <w:spacing w:before="1" w:line="207" w:lineRule="auto"/>
              <w:ind w:left="1881"/>
            </w:pPr>
            <w:r>
              <w:t>作。</w:t>
            </w:r>
          </w:p>
        </w:tc>
        <w:tc>
          <w:tcPr>
            <w:tcW w:w="2118" w:type="dxa"/>
            <w:vAlign w:val="top"/>
          </w:tcPr>
          <w:p w14:paraId="7D729BE3">
            <w:pPr>
              <w:pStyle w:val="6"/>
              <w:spacing w:before="310" w:line="219" w:lineRule="auto"/>
              <w:jc w:val="right"/>
            </w:pPr>
            <w:r>
              <w:rPr>
                <w:spacing w:val="-11"/>
              </w:rPr>
              <w:t>项目已取得自然资源、</w:t>
            </w:r>
          </w:p>
          <w:p w14:paraId="228C381A">
            <w:pPr>
              <w:pStyle w:val="6"/>
              <w:spacing w:before="8" w:line="219" w:lineRule="auto"/>
              <w:jc w:val="right"/>
            </w:pPr>
            <w:r>
              <w:rPr>
                <w:spacing w:val="-11"/>
              </w:rPr>
              <w:t>生态环境、水利、林草</w:t>
            </w:r>
          </w:p>
          <w:p w14:paraId="656FD753">
            <w:pPr>
              <w:pStyle w:val="6"/>
              <w:spacing w:before="8" w:line="219" w:lineRule="auto"/>
              <w:jc w:val="right"/>
            </w:pPr>
            <w:r>
              <w:rPr>
                <w:spacing w:val="-12"/>
              </w:rPr>
              <w:t>等</w:t>
            </w:r>
            <w:r>
              <w:rPr>
                <w:spacing w:val="-11"/>
              </w:rPr>
              <w:t>部门的选址意见，</w:t>
            </w:r>
            <w:r>
              <w:rPr>
                <w:spacing w:val="-10"/>
              </w:rPr>
              <w:t>并</w:t>
            </w:r>
          </w:p>
          <w:p w14:paraId="7D77E001">
            <w:pPr>
              <w:pStyle w:val="6"/>
              <w:spacing w:before="29" w:line="219" w:lineRule="auto"/>
              <w:ind w:left="67"/>
            </w:pPr>
            <w:r>
              <w:rPr>
                <w:spacing w:val="1"/>
              </w:rPr>
              <w:t>且已取得陆良县发展</w:t>
            </w:r>
          </w:p>
          <w:p w14:paraId="0B345061">
            <w:pPr>
              <w:pStyle w:val="6"/>
              <w:spacing w:before="8" w:line="219" w:lineRule="auto"/>
              <w:ind w:left="67"/>
            </w:pPr>
            <w:r>
              <w:rPr>
                <w:spacing w:val="-1"/>
              </w:rPr>
              <w:t>和改革局投资项目备</w:t>
            </w:r>
          </w:p>
          <w:p w14:paraId="54893AD5">
            <w:pPr>
              <w:pStyle w:val="6"/>
              <w:spacing w:line="220" w:lineRule="auto"/>
              <w:ind w:left="776"/>
            </w:pPr>
            <w:r>
              <w:t>案证。</w:t>
            </w:r>
          </w:p>
        </w:tc>
        <w:tc>
          <w:tcPr>
            <w:tcW w:w="614" w:type="dxa"/>
            <w:vAlign w:val="top"/>
          </w:tcPr>
          <w:p w14:paraId="1F50C806">
            <w:pPr>
              <w:spacing w:line="301" w:lineRule="auto"/>
              <w:rPr>
                <w:rFonts w:ascii="Arial"/>
                <w:sz w:val="21"/>
              </w:rPr>
            </w:pPr>
          </w:p>
          <w:p w14:paraId="0704E021">
            <w:pPr>
              <w:spacing w:line="301" w:lineRule="auto"/>
              <w:rPr>
                <w:rFonts w:ascii="Arial"/>
                <w:sz w:val="21"/>
              </w:rPr>
            </w:pPr>
          </w:p>
          <w:p w14:paraId="7A6C213E">
            <w:pPr>
              <w:spacing w:line="301" w:lineRule="auto"/>
              <w:rPr>
                <w:rFonts w:ascii="Arial"/>
                <w:sz w:val="21"/>
              </w:rPr>
            </w:pPr>
          </w:p>
          <w:p w14:paraId="151F4FD8">
            <w:pPr>
              <w:pStyle w:val="6"/>
              <w:spacing w:before="71" w:line="219" w:lineRule="auto"/>
              <w:ind w:left="89"/>
            </w:pPr>
            <w:r>
              <w:rPr>
                <w:spacing w:val="-3"/>
              </w:rPr>
              <w:t>符合</w:t>
            </w:r>
          </w:p>
        </w:tc>
      </w:tr>
      <w:tr w14:paraId="649C2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8" w:hRule="atLeast"/>
        </w:trPr>
        <w:tc>
          <w:tcPr>
            <w:tcW w:w="1244" w:type="dxa"/>
            <w:vMerge w:val="continue"/>
            <w:tcBorders>
              <w:top w:val="nil"/>
            </w:tcBorders>
            <w:vAlign w:val="top"/>
          </w:tcPr>
          <w:p w14:paraId="48398EFE">
            <w:pPr>
              <w:rPr>
                <w:rFonts w:ascii="Arial"/>
                <w:sz w:val="21"/>
              </w:rPr>
            </w:pPr>
          </w:p>
        </w:tc>
        <w:tc>
          <w:tcPr>
            <w:tcW w:w="7696" w:type="dxa"/>
            <w:gridSpan w:val="4"/>
            <w:vAlign w:val="top"/>
          </w:tcPr>
          <w:p w14:paraId="6756B9CB">
            <w:pPr>
              <w:pStyle w:val="6"/>
              <w:spacing w:before="51" w:line="393" w:lineRule="auto"/>
              <w:ind w:left="10" w:right="594" w:firstLine="469"/>
            </w:pPr>
            <w:r>
              <w:t>综上，项目与《云南省发展和改革委员会关于加强光伏资源开发建设</w:t>
            </w:r>
            <w:r>
              <w:rPr>
                <w:spacing w:val="9"/>
              </w:rPr>
              <w:t xml:space="preserve"> </w:t>
            </w:r>
            <w:r>
              <w:t>有关工作的通知》(云发改能源〔2023〕785号)相关要求相符。</w:t>
            </w:r>
          </w:p>
          <w:p w14:paraId="7E692589">
            <w:pPr>
              <w:pStyle w:val="6"/>
              <w:spacing w:before="1" w:line="391" w:lineRule="auto"/>
              <w:ind w:left="14" w:right="411" w:firstLine="10"/>
            </w:pPr>
            <w:r>
              <w:rPr>
                <w:b/>
                <w:bCs/>
                <w:spacing w:val="4"/>
              </w:rPr>
              <w:t>17、与《云南省人民政府办公厅关于印发云南省绿色能源发展“十四五”</w:t>
            </w:r>
            <w:r>
              <w:t xml:space="preserve"> </w:t>
            </w:r>
            <w:r>
              <w:rPr>
                <w:b/>
                <w:bCs/>
                <w:spacing w:val="-3"/>
              </w:rPr>
              <w:t>规划的通知》(云政办发〔2022〕99号)的符合性分析</w:t>
            </w:r>
          </w:p>
          <w:p w14:paraId="5A821E44">
            <w:pPr>
              <w:pStyle w:val="6"/>
              <w:spacing w:line="397" w:lineRule="auto"/>
              <w:ind w:left="10" w:right="593" w:firstLine="500"/>
            </w:pPr>
            <w:r>
              <w:rPr>
                <w:spacing w:val="-1"/>
              </w:rPr>
              <w:t>《云南省人民政府办公厅关于印发云南省绿色能源发展“十四五”规</w:t>
            </w:r>
            <w:r>
              <w:rPr>
                <w:spacing w:val="10"/>
              </w:rPr>
              <w:t xml:space="preserve"> </w:t>
            </w:r>
            <w:r>
              <w:t>划的通知》(云政办发〔2022〕99号)的要求如下：</w:t>
            </w:r>
          </w:p>
          <w:p w14:paraId="488CCB1E">
            <w:pPr>
              <w:pStyle w:val="6"/>
              <w:spacing w:before="3" w:line="219" w:lineRule="auto"/>
              <w:ind w:left="500"/>
            </w:pPr>
            <w:r>
              <w:rPr>
                <w:spacing w:val="-2"/>
              </w:rPr>
              <w:t>第四章重点任务</w:t>
            </w:r>
          </w:p>
          <w:p w14:paraId="1986F600">
            <w:pPr>
              <w:pStyle w:val="6"/>
              <w:spacing w:before="189" w:line="219" w:lineRule="auto"/>
              <w:ind w:left="490"/>
            </w:pPr>
            <w:r>
              <w:rPr>
                <w:spacing w:val="-1"/>
              </w:rPr>
              <w:t>一、绿色优先，多能互补，完善能源供给体系</w:t>
            </w:r>
          </w:p>
          <w:p w14:paraId="119F72A9">
            <w:pPr>
              <w:pStyle w:val="6"/>
              <w:spacing w:before="220" w:line="219" w:lineRule="auto"/>
              <w:ind w:left="610"/>
            </w:pPr>
            <w:r>
              <w:rPr>
                <w:spacing w:val="-18"/>
              </w:rPr>
              <w:t>(</w:t>
            </w:r>
            <w:r>
              <w:rPr>
                <w:spacing w:val="-41"/>
              </w:rPr>
              <w:t xml:space="preserve"> </w:t>
            </w:r>
            <w:r>
              <w:rPr>
                <w:spacing w:val="-18"/>
              </w:rPr>
              <w:t>一</w:t>
            </w:r>
            <w:r>
              <w:rPr>
                <w:spacing w:val="-45"/>
              </w:rPr>
              <w:t xml:space="preserve"> </w:t>
            </w:r>
            <w:r>
              <w:rPr>
                <w:spacing w:val="-18"/>
              </w:rPr>
              <w:t>)</w:t>
            </w:r>
            <w:r>
              <w:rPr>
                <w:spacing w:val="-45"/>
              </w:rPr>
              <w:t xml:space="preserve"> </w:t>
            </w:r>
            <w:r>
              <w:rPr>
                <w:spacing w:val="-18"/>
              </w:rPr>
              <w:t>做</w:t>
            </w:r>
            <w:r>
              <w:rPr>
                <w:spacing w:val="-42"/>
              </w:rPr>
              <w:t xml:space="preserve"> </w:t>
            </w:r>
            <w:r>
              <w:rPr>
                <w:spacing w:val="-18"/>
              </w:rPr>
              <w:t>足</w:t>
            </w:r>
            <w:r>
              <w:rPr>
                <w:spacing w:val="-19"/>
              </w:rPr>
              <w:t xml:space="preserve"> </w:t>
            </w:r>
            <w:r>
              <w:rPr>
                <w:spacing w:val="-18"/>
              </w:rPr>
              <w:t>电</w:t>
            </w:r>
            <w:r>
              <w:rPr>
                <w:spacing w:val="-46"/>
              </w:rPr>
              <w:t xml:space="preserve"> </w:t>
            </w:r>
            <w:r>
              <w:rPr>
                <w:spacing w:val="-18"/>
              </w:rPr>
              <w:t>源</w:t>
            </w:r>
          </w:p>
          <w:p w14:paraId="5D084925">
            <w:pPr>
              <w:pStyle w:val="6"/>
              <w:spacing w:before="197" w:line="219" w:lineRule="auto"/>
              <w:ind w:left="480"/>
            </w:pPr>
            <w:r>
              <w:t>2.优化布局全面有序开发风电光伏新能源。按照“能开全开，能开尽</w:t>
            </w:r>
          </w:p>
          <w:p w14:paraId="10073015">
            <w:pPr>
              <w:pStyle w:val="6"/>
              <w:spacing w:before="198" w:line="219" w:lineRule="auto"/>
              <w:ind w:left="10"/>
            </w:pPr>
            <w:r>
              <w:t>开，依法依规，科学有序”的原则，全面有序放开新能源开发，推动新能</w:t>
            </w:r>
          </w:p>
          <w:p w14:paraId="1BA88388">
            <w:pPr>
              <w:pStyle w:val="6"/>
              <w:spacing w:before="200" w:line="219" w:lineRule="auto"/>
              <w:ind w:left="10"/>
            </w:pPr>
            <w:r>
              <w:t>源成为未来增量电源主体。加快新能源布局规划、研究等工作，推行规划</w:t>
            </w:r>
          </w:p>
          <w:p w14:paraId="4070B926">
            <w:pPr>
              <w:pStyle w:val="6"/>
              <w:spacing w:before="230" w:line="219" w:lineRule="auto"/>
              <w:ind w:left="10"/>
            </w:pPr>
            <w:r>
              <w:t>+动态项目库管理，支持条件成熟的项目尽快启动建设，动态调整，滚动</w:t>
            </w:r>
          </w:p>
          <w:p w14:paraId="4DB6DB99">
            <w:pPr>
              <w:pStyle w:val="6"/>
              <w:spacing w:before="198" w:line="219" w:lineRule="auto"/>
              <w:ind w:left="20"/>
            </w:pPr>
            <w:r>
              <w:rPr>
                <w:spacing w:val="1"/>
              </w:rPr>
              <w:t>发展，宜开全开。统筹考虑生态保护、电力供</w:t>
            </w:r>
            <w:r>
              <w:t>需、要素保障、电网接入消</w:t>
            </w:r>
          </w:p>
          <w:p w14:paraId="3889A8BA">
            <w:pPr>
              <w:pStyle w:val="6"/>
              <w:spacing w:before="200" w:line="219" w:lineRule="auto"/>
              <w:ind w:left="10"/>
            </w:pPr>
            <w:r>
              <w:t>纳等因素，加快推进适宜地区适度开发利用新</w:t>
            </w:r>
            <w:r>
              <w:rPr>
                <w:spacing w:val="-1"/>
              </w:rPr>
              <w:t>能源项目建设。充分利用现</w:t>
            </w:r>
          </w:p>
          <w:p w14:paraId="775C622C">
            <w:pPr>
              <w:pStyle w:val="6"/>
              <w:spacing w:before="208" w:line="219" w:lineRule="auto"/>
              <w:ind w:left="10"/>
            </w:pPr>
            <w:r>
              <w:rPr>
                <w:spacing w:val="3"/>
              </w:rPr>
              <w:t>有调节能力，打造“风光水火储”多能互补基地，重点布局金沙江下游、</w:t>
            </w:r>
          </w:p>
          <w:p w14:paraId="65C5C08C">
            <w:pPr>
              <w:pStyle w:val="6"/>
              <w:spacing w:before="210" w:line="387" w:lineRule="auto"/>
              <w:ind w:left="10" w:right="198"/>
            </w:pPr>
            <w:r>
              <w:rPr>
                <w:spacing w:val="6"/>
              </w:rPr>
              <w:t>澜沧江中下游、红河流域、金沙江中游、澜沧江与金沙江上游“风光水储”</w:t>
            </w:r>
            <w:r>
              <w:rPr>
                <w:spacing w:val="17"/>
              </w:rPr>
              <w:t xml:space="preserve"> </w:t>
            </w:r>
            <w:r>
              <w:t>和曲靖“风光火储”基地；加快推进集中式复合</w:t>
            </w:r>
            <w:r>
              <w:rPr>
                <w:spacing w:val="-1"/>
              </w:rPr>
              <w:t>新能源项目，打造一批新</w:t>
            </w:r>
          </w:p>
          <w:p w14:paraId="539E3A30">
            <w:pPr>
              <w:pStyle w:val="6"/>
              <w:spacing w:before="6" w:line="219" w:lineRule="auto"/>
              <w:ind w:left="10"/>
            </w:pPr>
            <w:r>
              <w:t>能源+生态修复、新能源+乡村振兴以及农光、林光互补试点示范。以整县</w:t>
            </w:r>
          </w:p>
        </w:tc>
      </w:tr>
    </w:tbl>
    <w:p w14:paraId="3785D735">
      <w:pPr>
        <w:pStyle w:val="2"/>
      </w:pPr>
    </w:p>
    <w:p w14:paraId="1A12F8BF">
      <w:pPr>
        <w:sectPr>
          <w:footerReference r:id="rId43" w:type="default"/>
          <w:pgSz w:w="11910" w:h="16830"/>
          <w:pgMar w:top="400" w:right="1544" w:bottom="1259" w:left="1415" w:header="0" w:footer="1079" w:gutter="0"/>
          <w:cols w:space="720" w:num="1"/>
        </w:sectPr>
      </w:pPr>
    </w:p>
    <w:p w14:paraId="64C92FB2">
      <w:pPr>
        <w:spacing w:before="18"/>
      </w:pPr>
    </w:p>
    <w:p w14:paraId="24BB0BEF">
      <w:pPr>
        <w:spacing w:before="18"/>
      </w:pPr>
    </w:p>
    <w:p w14:paraId="12ECCD7F">
      <w:pPr>
        <w:spacing w:before="17"/>
      </w:pPr>
    </w:p>
    <w:p w14:paraId="29103FFD">
      <w:pPr>
        <w:spacing w:before="17"/>
      </w:pPr>
    </w:p>
    <w:p w14:paraId="7A2865A7">
      <w:pPr>
        <w:spacing w:before="17"/>
      </w:pPr>
    </w:p>
    <w:tbl>
      <w:tblPr>
        <w:tblStyle w:val="5"/>
        <w:tblW w:w="9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7826"/>
      </w:tblGrid>
      <w:tr w14:paraId="4D5FD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00" w:hRule="atLeast"/>
        </w:trPr>
        <w:tc>
          <w:tcPr>
            <w:tcW w:w="1213" w:type="dxa"/>
            <w:vAlign w:val="top"/>
          </w:tcPr>
          <w:p w14:paraId="13673F34">
            <w:pPr>
              <w:rPr>
                <w:rFonts w:ascii="Arial"/>
                <w:sz w:val="21"/>
              </w:rPr>
            </w:pPr>
          </w:p>
        </w:tc>
        <w:tc>
          <w:tcPr>
            <w:tcW w:w="7826" w:type="dxa"/>
            <w:vAlign w:val="top"/>
          </w:tcPr>
          <w:p w14:paraId="095EC948">
            <w:pPr>
              <w:pStyle w:val="6"/>
              <w:spacing w:before="33" w:line="362" w:lineRule="auto"/>
              <w:ind w:left="71" w:right="43" w:firstLine="10"/>
              <w:rPr>
                <w:sz w:val="24"/>
                <w:szCs w:val="24"/>
              </w:rPr>
            </w:pPr>
            <w:r>
              <w:rPr>
                <w:sz w:val="24"/>
                <w:szCs w:val="24"/>
              </w:rPr>
              <w:t>分布式光伏、产业园区分布式光伏和多场景应用分布式光伏为重点，积极</w:t>
            </w:r>
            <w:r>
              <w:rPr>
                <w:spacing w:val="9"/>
                <w:sz w:val="24"/>
                <w:szCs w:val="24"/>
              </w:rPr>
              <w:t xml:space="preserve"> </w:t>
            </w:r>
            <w:r>
              <w:rPr>
                <w:sz w:val="24"/>
                <w:szCs w:val="24"/>
              </w:rPr>
              <w:t>发展分布式光伏。“十四五”新增装机规模5000万千瓦以上。</w:t>
            </w:r>
          </w:p>
          <w:p w14:paraId="1F10AE09">
            <w:pPr>
              <w:pStyle w:val="6"/>
              <w:spacing w:line="219" w:lineRule="auto"/>
              <w:ind w:left="692"/>
              <w:rPr>
                <w:sz w:val="24"/>
                <w:szCs w:val="24"/>
              </w:rPr>
            </w:pPr>
            <w:r>
              <w:rPr>
                <w:sz w:val="24"/>
                <w:szCs w:val="24"/>
              </w:rPr>
              <w:t>(三)开展新型电力系统创建</w:t>
            </w:r>
          </w:p>
          <w:p w14:paraId="4A856D06">
            <w:pPr>
              <w:pStyle w:val="6"/>
              <w:spacing w:before="175" w:line="360" w:lineRule="auto"/>
              <w:ind w:left="71" w:right="22" w:firstLine="469"/>
              <w:rPr>
                <w:sz w:val="24"/>
                <w:szCs w:val="24"/>
              </w:rPr>
            </w:pPr>
            <w:r>
              <w:rPr>
                <w:sz w:val="24"/>
                <w:szCs w:val="24"/>
              </w:rPr>
              <w:t>4.大力提升电力负荷弹性。加强需求侧响应能</w:t>
            </w:r>
            <w:r>
              <w:rPr>
                <w:spacing w:val="-1"/>
                <w:sz w:val="24"/>
                <w:szCs w:val="24"/>
              </w:rPr>
              <w:t>力建设，制定电力需求</w:t>
            </w:r>
            <w:r>
              <w:rPr>
                <w:sz w:val="24"/>
                <w:szCs w:val="24"/>
              </w:rPr>
              <w:t xml:space="preserve"> 侧响应工作方案，提升终端能源智能化，鼓励用户参</w:t>
            </w:r>
            <w:r>
              <w:rPr>
                <w:spacing w:val="-1"/>
                <w:sz w:val="24"/>
                <w:szCs w:val="24"/>
              </w:rPr>
              <w:t>与能源合同管理，高</w:t>
            </w:r>
            <w:r>
              <w:rPr>
                <w:sz w:val="24"/>
                <w:szCs w:val="24"/>
              </w:rPr>
              <w:t xml:space="preserve"> </w:t>
            </w:r>
            <w:r>
              <w:rPr>
                <w:spacing w:val="1"/>
                <w:sz w:val="24"/>
                <w:szCs w:val="24"/>
              </w:rPr>
              <w:t>比例释放居民、一般工商业用电负荷弹性，引导大工业负荷参与辅助服务</w:t>
            </w:r>
            <w:r>
              <w:rPr>
                <w:spacing w:val="8"/>
                <w:sz w:val="24"/>
                <w:szCs w:val="24"/>
              </w:rPr>
              <w:t xml:space="preserve"> </w:t>
            </w:r>
            <w:r>
              <w:rPr>
                <w:spacing w:val="1"/>
                <w:sz w:val="24"/>
                <w:szCs w:val="24"/>
              </w:rPr>
              <w:t>市场，力争至2025年电力需求侧响应能力达到省内最大用电负荷的3%以</w:t>
            </w:r>
          </w:p>
          <w:p w14:paraId="116E88A5">
            <w:pPr>
              <w:pStyle w:val="6"/>
              <w:spacing w:before="4" w:line="360" w:lineRule="auto"/>
              <w:ind w:left="70" w:hanging="9"/>
              <w:rPr>
                <w:sz w:val="24"/>
                <w:szCs w:val="24"/>
              </w:rPr>
            </w:pPr>
            <w:r>
              <w:rPr>
                <w:spacing w:val="-2"/>
                <w:sz w:val="24"/>
                <w:szCs w:val="24"/>
              </w:rPr>
              <w:t>上。在工业负荷大、新能源条件好的区域，开展源网荷储一体化供电园区</w:t>
            </w:r>
            <w:r>
              <w:rPr>
                <w:spacing w:val="4"/>
                <w:sz w:val="24"/>
                <w:szCs w:val="24"/>
              </w:rPr>
              <w:t xml:space="preserve">  </w:t>
            </w:r>
            <w:r>
              <w:rPr>
                <w:spacing w:val="2"/>
                <w:sz w:val="24"/>
                <w:szCs w:val="24"/>
              </w:rPr>
              <w:t>建设。因地制宜发展分布式微电网。推进分布式光伏建设，在工业园区、</w:t>
            </w:r>
            <w:r>
              <w:rPr>
                <w:sz w:val="24"/>
                <w:szCs w:val="24"/>
              </w:rPr>
              <w:t xml:space="preserve"> </w:t>
            </w:r>
            <w:r>
              <w:rPr>
                <w:spacing w:val="-2"/>
                <w:sz w:val="24"/>
                <w:szCs w:val="24"/>
              </w:rPr>
              <w:t>经济开发区、增量配电网试点园区建设屋顶分布式光伏发电系统，大力发</w:t>
            </w:r>
            <w:r>
              <w:rPr>
                <w:sz w:val="24"/>
                <w:szCs w:val="24"/>
              </w:rPr>
              <w:t xml:space="preserve">  </w:t>
            </w:r>
            <w:r>
              <w:rPr>
                <w:spacing w:val="-1"/>
                <w:sz w:val="24"/>
                <w:szCs w:val="24"/>
              </w:rPr>
              <w:t>展户用光伏。</w:t>
            </w:r>
          </w:p>
          <w:p w14:paraId="10E7044C">
            <w:pPr>
              <w:pStyle w:val="6"/>
              <w:spacing w:before="3" w:line="358" w:lineRule="auto"/>
              <w:ind w:left="61" w:right="31" w:firstLine="509"/>
              <w:jc w:val="both"/>
              <w:rPr>
                <w:sz w:val="24"/>
                <w:szCs w:val="24"/>
              </w:rPr>
            </w:pPr>
            <w:r>
              <w:rPr>
                <w:sz w:val="24"/>
                <w:szCs w:val="24"/>
              </w:rPr>
              <w:t>本项目为集中式大型并网光伏电站项目，光伏发电项目的建设不仅有</w:t>
            </w:r>
            <w:r>
              <w:rPr>
                <w:spacing w:val="11"/>
                <w:sz w:val="24"/>
                <w:szCs w:val="24"/>
              </w:rPr>
              <w:t xml:space="preserve"> </w:t>
            </w:r>
            <w:r>
              <w:rPr>
                <w:sz w:val="24"/>
                <w:szCs w:val="24"/>
              </w:rPr>
              <w:t>较好的经济效益，有助于“光伏扶贫”的落地，而且具有明显的社会效益</w:t>
            </w:r>
            <w:r>
              <w:rPr>
                <w:spacing w:val="10"/>
                <w:sz w:val="24"/>
                <w:szCs w:val="24"/>
              </w:rPr>
              <w:t xml:space="preserve"> </w:t>
            </w:r>
            <w:r>
              <w:rPr>
                <w:spacing w:val="1"/>
                <w:sz w:val="24"/>
                <w:szCs w:val="24"/>
              </w:rPr>
              <w:t>及环境效益，利于推动新能源成为未来增量</w:t>
            </w:r>
            <w:r>
              <w:rPr>
                <w:sz w:val="24"/>
                <w:szCs w:val="24"/>
              </w:rPr>
              <w:t>电源主体。</w:t>
            </w:r>
          </w:p>
          <w:p w14:paraId="66170EE8">
            <w:pPr>
              <w:pStyle w:val="6"/>
              <w:spacing w:before="1" w:line="356" w:lineRule="auto"/>
              <w:ind w:left="62" w:right="40" w:firstLine="499"/>
              <w:rPr>
                <w:sz w:val="24"/>
                <w:szCs w:val="24"/>
              </w:rPr>
            </w:pPr>
            <w:r>
              <w:rPr>
                <w:sz w:val="24"/>
                <w:szCs w:val="24"/>
              </w:rPr>
              <w:t>综上，项目与《云南省人民政府办公厅关于印发云南省绿色能源发展</w:t>
            </w:r>
            <w:r>
              <w:rPr>
                <w:spacing w:val="12"/>
                <w:sz w:val="24"/>
                <w:szCs w:val="24"/>
              </w:rPr>
              <w:t xml:space="preserve"> </w:t>
            </w:r>
            <w:r>
              <w:rPr>
                <w:spacing w:val="4"/>
                <w:sz w:val="24"/>
                <w:szCs w:val="24"/>
              </w:rPr>
              <w:t>“十四五”规划的通知》(云政办发〔20</w:t>
            </w:r>
            <w:r>
              <w:rPr>
                <w:spacing w:val="3"/>
                <w:sz w:val="24"/>
                <w:szCs w:val="24"/>
              </w:rPr>
              <w:t>22〕99号)相关要求相符。</w:t>
            </w:r>
          </w:p>
          <w:p w14:paraId="33EFD693">
            <w:pPr>
              <w:pStyle w:val="6"/>
              <w:spacing w:line="359" w:lineRule="auto"/>
              <w:ind w:left="114" w:right="157" w:hanging="13"/>
              <w:rPr>
                <w:sz w:val="24"/>
                <w:szCs w:val="24"/>
              </w:rPr>
            </w:pPr>
            <w:r>
              <w:rPr>
                <w:spacing w:val="-3"/>
                <w:sz w:val="24"/>
                <w:szCs w:val="24"/>
              </w:rPr>
              <w:t>18</w:t>
            </w:r>
            <w:r>
              <w:rPr>
                <w:b/>
                <w:bCs/>
                <w:spacing w:val="-3"/>
                <w:sz w:val="24"/>
                <w:szCs w:val="24"/>
              </w:rPr>
              <w:t>、与《曲靖市国民经济和社会发展第十四个五年规划和二O三五年远景</w:t>
            </w:r>
            <w:r>
              <w:rPr>
                <w:spacing w:val="16"/>
                <w:sz w:val="24"/>
                <w:szCs w:val="24"/>
              </w:rPr>
              <w:t xml:space="preserve"> </w:t>
            </w:r>
            <w:r>
              <w:rPr>
                <w:b/>
                <w:bCs/>
                <w:spacing w:val="-3"/>
                <w:sz w:val="24"/>
                <w:szCs w:val="24"/>
              </w:rPr>
              <w:t>目标纲要》的符合性分析</w:t>
            </w:r>
          </w:p>
          <w:p w14:paraId="26E67D99">
            <w:pPr>
              <w:pStyle w:val="6"/>
              <w:spacing w:before="1" w:line="218" w:lineRule="auto"/>
              <w:ind w:left="572"/>
              <w:rPr>
                <w:sz w:val="24"/>
                <w:szCs w:val="24"/>
              </w:rPr>
            </w:pPr>
            <w:r>
              <w:rPr>
                <w:sz w:val="24"/>
                <w:szCs w:val="24"/>
              </w:rPr>
              <w:t>《曲靖市国民经济和社会发展第十四个五年规划和二O三五年</w:t>
            </w:r>
            <w:r>
              <w:rPr>
                <w:spacing w:val="-1"/>
                <w:sz w:val="24"/>
                <w:szCs w:val="24"/>
              </w:rPr>
              <w:t>远景</w:t>
            </w:r>
          </w:p>
          <w:p w14:paraId="162D90D2">
            <w:pPr>
              <w:pStyle w:val="6"/>
              <w:spacing w:before="194" w:line="360" w:lineRule="auto"/>
              <w:ind w:left="71" w:right="32" w:firstLine="30"/>
              <w:rPr>
                <w:sz w:val="24"/>
                <w:szCs w:val="24"/>
              </w:rPr>
            </w:pPr>
            <w:r>
              <w:rPr>
                <w:sz w:val="24"/>
                <w:szCs w:val="24"/>
              </w:rPr>
              <w:t>目标纲要》于2021年7月由曲靖市人民政府发布。该“纲要”中指出充分</w:t>
            </w:r>
            <w:r>
              <w:rPr>
                <w:spacing w:val="4"/>
                <w:sz w:val="24"/>
                <w:szCs w:val="24"/>
              </w:rPr>
              <w:t xml:space="preserve">  </w:t>
            </w:r>
            <w:r>
              <w:rPr>
                <w:spacing w:val="1"/>
                <w:sz w:val="24"/>
                <w:szCs w:val="24"/>
              </w:rPr>
              <w:t>发挥曲靖绿色能源等产业基础优势，打造千亿级绿色硅光伏产业基地</w:t>
            </w:r>
            <w:r>
              <w:rPr>
                <w:sz w:val="24"/>
                <w:szCs w:val="24"/>
              </w:rPr>
              <w:t xml:space="preserve">，打 </w:t>
            </w:r>
            <w:r>
              <w:rPr>
                <w:spacing w:val="1"/>
                <w:sz w:val="24"/>
                <w:szCs w:val="24"/>
              </w:rPr>
              <w:t>造千亿级新能源电池产业基地，加快推进全市</w:t>
            </w:r>
            <w:r>
              <w:rPr>
                <w:sz w:val="24"/>
                <w:szCs w:val="24"/>
              </w:rPr>
              <w:t xml:space="preserve">101个光伏发电等项目布局  </w:t>
            </w:r>
            <w:r>
              <w:rPr>
                <w:spacing w:val="1"/>
                <w:sz w:val="24"/>
                <w:szCs w:val="24"/>
              </w:rPr>
              <w:t>建设，推进“风光储充放”一体化发展。本项目为光伏发电项</w:t>
            </w:r>
            <w:r>
              <w:rPr>
                <w:sz w:val="24"/>
                <w:szCs w:val="24"/>
              </w:rPr>
              <w:t xml:space="preserve">目，项目的 </w:t>
            </w:r>
            <w:r>
              <w:rPr>
                <w:spacing w:val="1"/>
                <w:sz w:val="24"/>
                <w:szCs w:val="24"/>
              </w:rPr>
              <w:t>建设符合《曲靖市国民经济和社会发展第十</w:t>
            </w:r>
            <w:r>
              <w:rPr>
                <w:sz w:val="24"/>
                <w:szCs w:val="24"/>
              </w:rPr>
              <w:t>四个五年规划和二O三五年远  景目标纲要》。</w:t>
            </w:r>
          </w:p>
          <w:p w14:paraId="28945777">
            <w:pPr>
              <w:pStyle w:val="6"/>
              <w:spacing w:before="2" w:line="356" w:lineRule="auto"/>
              <w:ind w:left="115" w:right="155" w:hanging="20"/>
              <w:rPr>
                <w:sz w:val="24"/>
                <w:szCs w:val="24"/>
              </w:rPr>
            </w:pPr>
            <w:r>
              <w:rPr>
                <w:b/>
                <w:bCs/>
                <w:spacing w:val="-2"/>
                <w:sz w:val="24"/>
                <w:szCs w:val="24"/>
              </w:rPr>
              <w:t>19、与《陆良县国民经济和社会发展第十四</w:t>
            </w:r>
            <w:r>
              <w:rPr>
                <w:b/>
                <w:bCs/>
                <w:spacing w:val="-3"/>
                <w:sz w:val="24"/>
                <w:szCs w:val="24"/>
              </w:rPr>
              <w:t>个五年规划和二O三五年远景</w:t>
            </w:r>
            <w:r>
              <w:rPr>
                <w:sz w:val="24"/>
                <w:szCs w:val="24"/>
              </w:rPr>
              <w:t xml:space="preserve"> </w:t>
            </w:r>
            <w:r>
              <w:rPr>
                <w:b/>
                <w:bCs/>
                <w:spacing w:val="-3"/>
                <w:sz w:val="24"/>
                <w:szCs w:val="24"/>
              </w:rPr>
              <w:t>目标纲要》的符合性分析</w:t>
            </w:r>
          </w:p>
          <w:p w14:paraId="05F7868C">
            <w:pPr>
              <w:pStyle w:val="6"/>
              <w:spacing w:before="6" w:line="219" w:lineRule="auto"/>
              <w:ind w:left="541"/>
              <w:rPr>
                <w:sz w:val="24"/>
                <w:szCs w:val="24"/>
              </w:rPr>
            </w:pPr>
            <w:r>
              <w:rPr>
                <w:sz w:val="24"/>
                <w:szCs w:val="24"/>
              </w:rPr>
              <w:t>《陆良县国民经济和社会发展第十四个五年规划和二O三五年</w:t>
            </w:r>
            <w:r>
              <w:rPr>
                <w:spacing w:val="-1"/>
                <w:sz w:val="24"/>
                <w:szCs w:val="24"/>
              </w:rPr>
              <w:t>远景</w:t>
            </w:r>
          </w:p>
        </w:tc>
      </w:tr>
    </w:tbl>
    <w:p w14:paraId="685E3E6D">
      <w:pPr>
        <w:pStyle w:val="2"/>
      </w:pPr>
    </w:p>
    <w:p w14:paraId="7AA744C0">
      <w:pPr>
        <w:sectPr>
          <w:footerReference r:id="rId44" w:type="default"/>
          <w:pgSz w:w="11910" w:h="16830"/>
          <w:pgMar w:top="400" w:right="1445" w:bottom="1245" w:left="1415" w:header="0" w:footer="1083" w:gutter="0"/>
          <w:cols w:space="720" w:num="1"/>
        </w:sectPr>
      </w:pPr>
    </w:p>
    <w:p w14:paraId="44B31AAE">
      <w:pPr>
        <w:spacing w:before="18"/>
      </w:pPr>
    </w:p>
    <w:p w14:paraId="20CEC521">
      <w:pPr>
        <w:spacing w:before="18"/>
      </w:pPr>
    </w:p>
    <w:p w14:paraId="50FB3C89">
      <w:pPr>
        <w:spacing w:before="17"/>
      </w:pPr>
    </w:p>
    <w:p w14:paraId="63C377A4">
      <w:pPr>
        <w:spacing w:before="17"/>
      </w:pPr>
    </w:p>
    <w:p w14:paraId="33CC5B95">
      <w:pPr>
        <w:spacing w:before="17"/>
      </w:pPr>
    </w:p>
    <w:tbl>
      <w:tblPr>
        <w:tblStyle w:val="5"/>
        <w:tblW w:w="89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3"/>
        <w:gridCol w:w="1139"/>
        <w:gridCol w:w="3336"/>
        <w:gridCol w:w="2637"/>
        <w:gridCol w:w="564"/>
      </w:tblGrid>
      <w:tr w14:paraId="7C6C2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9" w:hRule="atLeast"/>
        </w:trPr>
        <w:tc>
          <w:tcPr>
            <w:tcW w:w="1233" w:type="dxa"/>
            <w:vMerge w:val="restart"/>
            <w:tcBorders>
              <w:bottom w:val="nil"/>
            </w:tcBorders>
            <w:vAlign w:val="top"/>
          </w:tcPr>
          <w:p w14:paraId="63D75EA4">
            <w:pPr>
              <w:rPr>
                <w:rFonts w:ascii="Arial"/>
                <w:sz w:val="21"/>
              </w:rPr>
            </w:pPr>
          </w:p>
        </w:tc>
        <w:tc>
          <w:tcPr>
            <w:tcW w:w="7676" w:type="dxa"/>
            <w:gridSpan w:val="4"/>
            <w:vAlign w:val="top"/>
          </w:tcPr>
          <w:p w14:paraId="46752B0D">
            <w:pPr>
              <w:pStyle w:val="6"/>
              <w:spacing w:before="32" w:line="219" w:lineRule="auto"/>
              <w:ind w:left="11"/>
            </w:pPr>
            <w:bookmarkStart w:id="2" w:name="bookmark9"/>
            <w:bookmarkEnd w:id="2"/>
            <w:r>
              <w:t>目标纲要》于2021年8月由陆良县人民政府发布。该“纲要”指出：大力</w:t>
            </w:r>
          </w:p>
          <w:p w14:paraId="26F7596A">
            <w:pPr>
              <w:pStyle w:val="6"/>
              <w:spacing w:before="210" w:line="391" w:lineRule="auto"/>
              <w:ind w:left="21" w:right="584"/>
            </w:pPr>
            <w:r>
              <w:t>开发利用天然气、风能、太阳能等清洁能源，推进绿色能源与绿色先进制</w:t>
            </w:r>
            <w:r>
              <w:rPr>
                <w:spacing w:val="18"/>
              </w:rPr>
              <w:t xml:space="preserve"> </w:t>
            </w:r>
            <w:r>
              <w:t>造业深度融合，促进煤炭产业安全、高效、绿色发展。加快推进天然气勘</w:t>
            </w:r>
            <w:r>
              <w:rPr>
                <w:spacing w:val="12"/>
              </w:rPr>
              <w:t xml:space="preserve"> </w:t>
            </w:r>
            <w:r>
              <w:t>探开采和CNG加气站、高中压调压站建设，形成开发</w:t>
            </w:r>
            <w:r>
              <w:rPr>
                <w:spacing w:val="-1"/>
              </w:rPr>
              <w:t>合理、储备科学的天</w:t>
            </w:r>
          </w:p>
          <w:p w14:paraId="29DCAD5B">
            <w:pPr>
              <w:pStyle w:val="6"/>
              <w:spacing w:before="2" w:line="392" w:lineRule="auto"/>
              <w:ind w:left="11" w:right="393"/>
            </w:pPr>
            <w:r>
              <w:t>然气网格体系。加大新能源汽车推广力度，建成</w:t>
            </w:r>
            <w:r>
              <w:rPr>
                <w:spacing w:val="-1"/>
              </w:rPr>
              <w:t>布局合理、覆盖全面、设</w:t>
            </w:r>
            <w:r>
              <w:t xml:space="preserve">   施完备的充电站、充电桩体系。到2025年，煤炭产能达90万吨，风电、光   伏装机容量分别新增105万千瓦、108万千瓦，新能源汽车保有量达1000辆， 绿色能源产业综合收入达30亿元。</w:t>
            </w:r>
          </w:p>
          <w:p w14:paraId="68B5A688">
            <w:pPr>
              <w:pStyle w:val="6"/>
              <w:spacing w:before="3" w:line="391" w:lineRule="auto"/>
              <w:ind w:left="11" w:right="591" w:firstLine="450"/>
              <w:jc w:val="both"/>
            </w:pPr>
            <w:r>
              <w:t>本项目为光伏发电项目，项目位于云南省曲靖市陆良县大莫古镇西部</w:t>
            </w:r>
            <w:r>
              <w:rPr>
                <w:spacing w:val="10"/>
              </w:rPr>
              <w:t xml:space="preserve"> </w:t>
            </w:r>
            <w:r>
              <w:t>栗树园村南侧及北侧，项目的建设能促进陆良县“十四五”期间新能源产</w:t>
            </w:r>
            <w:r>
              <w:rPr>
                <w:spacing w:val="12"/>
              </w:rPr>
              <w:t xml:space="preserve"> </w:t>
            </w:r>
            <w:r>
              <w:t>业的快速发展。项目建设符合《陆良县国民经济和社</w:t>
            </w:r>
            <w:r>
              <w:rPr>
                <w:spacing w:val="-1"/>
              </w:rPr>
              <w:t>会发展第十四个五年</w:t>
            </w:r>
            <w:r>
              <w:t xml:space="preserve"> 规划和二〇三五年远景目标纲要》。</w:t>
            </w:r>
          </w:p>
          <w:p w14:paraId="19032377">
            <w:pPr>
              <w:pStyle w:val="6"/>
              <w:spacing w:line="218" w:lineRule="auto"/>
              <w:ind w:left="15"/>
            </w:pPr>
            <w:r>
              <w:rPr>
                <w:b/>
                <w:bCs/>
                <w:spacing w:val="-3"/>
              </w:rPr>
              <w:t>20、与《曲靖市生态环境保护“十四五”规划》符合性分析</w:t>
            </w:r>
          </w:p>
          <w:p w14:paraId="1E7F6A7E">
            <w:pPr>
              <w:pStyle w:val="6"/>
              <w:spacing w:before="202" w:line="219" w:lineRule="auto"/>
              <w:ind w:left="481"/>
            </w:pPr>
            <w:r>
              <w:t>曲靖市人民政府办公室于2022年4月11日印发了《曲靖市人民政府办</w:t>
            </w:r>
          </w:p>
          <w:p w14:paraId="13729346">
            <w:pPr>
              <w:pStyle w:val="6"/>
              <w:spacing w:before="209" w:line="219" w:lineRule="auto"/>
              <w:ind w:left="11"/>
            </w:pPr>
            <w:r>
              <w:rPr>
                <w:spacing w:val="1"/>
              </w:rPr>
              <w:t>公室关于印发曲靖市生态环境保护“十四五”规划的通知》(曲政办发〔2022)</w:t>
            </w:r>
          </w:p>
          <w:p w14:paraId="303E843F">
            <w:pPr>
              <w:pStyle w:val="6"/>
              <w:spacing w:before="209" w:line="219" w:lineRule="auto"/>
              <w:ind w:left="11"/>
            </w:pPr>
            <w:r>
              <w:t>24号)。项目与《曲靖市生态环境保护“十四五”规划》相符性分析如下：</w:t>
            </w:r>
          </w:p>
          <w:p w14:paraId="4F47B582">
            <w:pPr>
              <w:pStyle w:val="6"/>
              <w:spacing w:before="196" w:line="219" w:lineRule="auto"/>
              <w:ind w:left="115"/>
            </w:pPr>
            <w:r>
              <w:rPr>
                <w:b/>
                <w:bCs/>
                <w:spacing w:val="-3"/>
              </w:rPr>
              <w:t>表1-14项目与《曲靖市生态环境保护“十四五”规划》的符合性分析</w:t>
            </w:r>
          </w:p>
        </w:tc>
      </w:tr>
      <w:tr w14:paraId="569CD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33" w:type="dxa"/>
            <w:vMerge w:val="continue"/>
            <w:tcBorders>
              <w:top w:val="nil"/>
              <w:bottom w:val="nil"/>
            </w:tcBorders>
            <w:vAlign w:val="top"/>
          </w:tcPr>
          <w:p w14:paraId="6E98C133">
            <w:pPr>
              <w:rPr>
                <w:rFonts w:ascii="Arial"/>
                <w:sz w:val="21"/>
              </w:rPr>
            </w:pPr>
          </w:p>
        </w:tc>
        <w:tc>
          <w:tcPr>
            <w:tcW w:w="4475" w:type="dxa"/>
            <w:gridSpan w:val="2"/>
            <w:vAlign w:val="top"/>
          </w:tcPr>
          <w:p w14:paraId="13ACF27B">
            <w:pPr>
              <w:pStyle w:val="6"/>
              <w:spacing w:before="163" w:line="219" w:lineRule="auto"/>
              <w:jc w:val="right"/>
            </w:pPr>
            <w:r>
              <w:rPr>
                <w:spacing w:val="-20"/>
              </w:rPr>
              <w:t>《曲靖市生态环境</w:t>
            </w:r>
            <w:r>
              <w:rPr>
                <w:spacing w:val="-19"/>
              </w:rPr>
              <w:t>保护“十四五”规划》相关要</w:t>
            </w:r>
            <w:r>
              <w:rPr>
                <w:spacing w:val="-11"/>
              </w:rPr>
              <w:t>求</w:t>
            </w:r>
          </w:p>
        </w:tc>
        <w:tc>
          <w:tcPr>
            <w:tcW w:w="2637" w:type="dxa"/>
            <w:vAlign w:val="top"/>
          </w:tcPr>
          <w:p w14:paraId="1B216BB5">
            <w:pPr>
              <w:pStyle w:val="6"/>
              <w:spacing w:before="163" w:line="219" w:lineRule="auto"/>
              <w:ind w:left="986"/>
            </w:pPr>
            <w:r>
              <w:rPr>
                <w:spacing w:val="14"/>
              </w:rPr>
              <w:t>本项目</w:t>
            </w:r>
          </w:p>
        </w:tc>
        <w:tc>
          <w:tcPr>
            <w:tcW w:w="564" w:type="dxa"/>
            <w:vAlign w:val="top"/>
          </w:tcPr>
          <w:p w14:paraId="2BD5E747">
            <w:pPr>
              <w:pStyle w:val="6"/>
              <w:spacing w:before="23" w:line="212" w:lineRule="auto"/>
              <w:ind w:left="169" w:right="64" w:hanging="109"/>
            </w:pPr>
            <w:r>
              <w:rPr>
                <w:spacing w:val="-6"/>
              </w:rPr>
              <w:t>符合</w:t>
            </w:r>
            <w:r>
              <w:t xml:space="preserve"> 性</w:t>
            </w:r>
          </w:p>
        </w:tc>
      </w:tr>
      <w:tr w14:paraId="27978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33" w:type="dxa"/>
            <w:vMerge w:val="continue"/>
            <w:tcBorders>
              <w:top w:val="nil"/>
              <w:bottom w:val="nil"/>
            </w:tcBorders>
            <w:vAlign w:val="top"/>
          </w:tcPr>
          <w:p w14:paraId="7DB59478">
            <w:pPr>
              <w:rPr>
                <w:rFonts w:ascii="Arial"/>
                <w:sz w:val="21"/>
              </w:rPr>
            </w:pPr>
          </w:p>
        </w:tc>
        <w:tc>
          <w:tcPr>
            <w:tcW w:w="7676" w:type="dxa"/>
            <w:gridSpan w:val="4"/>
            <w:vAlign w:val="top"/>
          </w:tcPr>
          <w:p w14:paraId="7C3F36A0">
            <w:pPr>
              <w:pStyle w:val="6"/>
              <w:spacing w:before="64" w:line="214" w:lineRule="auto"/>
              <w:ind w:left="1831"/>
            </w:pPr>
            <w:r>
              <w:t>第三章、坚持创新引领，全面推进绿色发展</w:t>
            </w:r>
          </w:p>
        </w:tc>
      </w:tr>
      <w:tr w14:paraId="4017C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8" w:hRule="atLeast"/>
        </w:trPr>
        <w:tc>
          <w:tcPr>
            <w:tcW w:w="1233" w:type="dxa"/>
            <w:vMerge w:val="continue"/>
            <w:tcBorders>
              <w:top w:val="nil"/>
              <w:bottom w:val="nil"/>
            </w:tcBorders>
            <w:vAlign w:val="top"/>
          </w:tcPr>
          <w:p w14:paraId="7475E3CA">
            <w:pPr>
              <w:rPr>
                <w:rFonts w:ascii="Arial"/>
                <w:sz w:val="21"/>
              </w:rPr>
            </w:pPr>
          </w:p>
        </w:tc>
        <w:tc>
          <w:tcPr>
            <w:tcW w:w="1139" w:type="dxa"/>
            <w:vAlign w:val="top"/>
          </w:tcPr>
          <w:p w14:paraId="1A8B2E26">
            <w:pPr>
              <w:spacing w:line="266" w:lineRule="auto"/>
              <w:rPr>
                <w:rFonts w:ascii="Arial"/>
                <w:sz w:val="21"/>
              </w:rPr>
            </w:pPr>
          </w:p>
          <w:p w14:paraId="7A45EDF2">
            <w:pPr>
              <w:spacing w:line="267" w:lineRule="auto"/>
              <w:rPr>
                <w:rFonts w:ascii="Arial"/>
                <w:sz w:val="21"/>
              </w:rPr>
            </w:pPr>
          </w:p>
          <w:p w14:paraId="2D7EAA94">
            <w:pPr>
              <w:spacing w:line="267" w:lineRule="auto"/>
              <w:rPr>
                <w:rFonts w:ascii="Arial"/>
                <w:sz w:val="21"/>
              </w:rPr>
            </w:pPr>
          </w:p>
          <w:p w14:paraId="1A547925">
            <w:pPr>
              <w:spacing w:line="267" w:lineRule="auto"/>
              <w:rPr>
                <w:rFonts w:ascii="Arial"/>
                <w:sz w:val="21"/>
              </w:rPr>
            </w:pPr>
          </w:p>
          <w:p w14:paraId="3D2B9DB1">
            <w:pPr>
              <w:pStyle w:val="6"/>
              <w:spacing w:before="72" w:line="218" w:lineRule="auto"/>
              <w:jc w:val="right"/>
            </w:pPr>
            <w:r>
              <w:rPr>
                <w:spacing w:val="3"/>
              </w:rPr>
              <w:t>第三节、调</w:t>
            </w:r>
          </w:p>
          <w:p w14:paraId="1E8A7842">
            <w:pPr>
              <w:pStyle w:val="6"/>
              <w:spacing w:line="219" w:lineRule="auto"/>
              <w:ind w:left="11"/>
            </w:pPr>
            <w:r>
              <w:rPr>
                <w:spacing w:val="2"/>
              </w:rPr>
              <w:t>整产业结构</w:t>
            </w:r>
          </w:p>
        </w:tc>
        <w:tc>
          <w:tcPr>
            <w:tcW w:w="3336" w:type="dxa"/>
            <w:vAlign w:val="top"/>
          </w:tcPr>
          <w:p w14:paraId="552B7FFC">
            <w:pPr>
              <w:pStyle w:val="6"/>
              <w:spacing w:before="26" w:line="219" w:lineRule="auto"/>
              <w:jc w:val="right"/>
            </w:pPr>
            <w:r>
              <w:rPr>
                <w:spacing w:val="-14"/>
              </w:rPr>
              <w:t>优化</w:t>
            </w:r>
            <w:r>
              <w:rPr>
                <w:spacing w:val="-13"/>
              </w:rPr>
              <w:t>产业绿色转型。严格控制新建</w:t>
            </w:r>
            <w:r>
              <w:rPr>
                <w:spacing w:val="-11"/>
              </w:rPr>
              <w:t>扩</w:t>
            </w:r>
          </w:p>
          <w:p w14:paraId="4F14C5BF">
            <w:pPr>
              <w:pStyle w:val="6"/>
              <w:spacing w:before="8" w:line="219" w:lineRule="auto"/>
              <w:jc w:val="right"/>
            </w:pPr>
            <w:r>
              <w:rPr>
                <w:spacing w:val="-16"/>
              </w:rPr>
              <w:t>建高耗</w:t>
            </w:r>
            <w:r>
              <w:rPr>
                <w:spacing w:val="-15"/>
              </w:rPr>
              <w:t>能高排放项目，鼓励发展低</w:t>
            </w:r>
            <w:r>
              <w:rPr>
                <w:spacing w:val="-12"/>
              </w:rPr>
              <w:t>能</w:t>
            </w:r>
          </w:p>
          <w:p w14:paraId="24998BC8">
            <w:pPr>
              <w:pStyle w:val="6"/>
              <w:spacing w:before="19" w:line="219" w:lineRule="auto"/>
              <w:jc w:val="right"/>
            </w:pPr>
            <w:r>
              <w:rPr>
                <w:spacing w:val="-14"/>
              </w:rPr>
              <w:t>耗低排放产业。聚焦主要生态环境问</w:t>
            </w:r>
          </w:p>
          <w:p w14:paraId="2BB53559">
            <w:pPr>
              <w:pStyle w:val="6"/>
              <w:spacing w:before="27" w:line="219" w:lineRule="auto"/>
              <w:jc w:val="right"/>
            </w:pPr>
            <w:r>
              <w:rPr>
                <w:spacing w:val="-14"/>
              </w:rPr>
              <w:t>题及</w:t>
            </w:r>
            <w:r>
              <w:rPr>
                <w:spacing w:val="-13"/>
              </w:rPr>
              <w:t>短板，鼓励发展节能环保技术</w:t>
            </w:r>
            <w:r>
              <w:rPr>
                <w:spacing w:val="-11"/>
              </w:rPr>
              <w:t>咨</w:t>
            </w:r>
          </w:p>
          <w:p w14:paraId="2AB01D80">
            <w:pPr>
              <w:pStyle w:val="6"/>
              <w:spacing w:before="20" w:line="219" w:lineRule="auto"/>
              <w:jc w:val="right"/>
            </w:pPr>
            <w:r>
              <w:rPr>
                <w:spacing w:val="-14"/>
              </w:rPr>
              <w:t>询、系统设</w:t>
            </w:r>
            <w:r>
              <w:rPr>
                <w:spacing w:val="-13"/>
              </w:rPr>
              <w:t>计、工程施工、运营管</w:t>
            </w:r>
            <w:r>
              <w:rPr>
                <w:spacing w:val="-8"/>
              </w:rPr>
              <w:t>理</w:t>
            </w:r>
          </w:p>
          <w:p w14:paraId="566DCC6C">
            <w:pPr>
              <w:pStyle w:val="6"/>
              <w:spacing w:before="8" w:line="210" w:lineRule="auto"/>
              <w:jc w:val="right"/>
            </w:pPr>
            <w:r>
              <w:rPr>
                <w:spacing w:val="-15"/>
              </w:rPr>
              <w:t>等专业化</w:t>
            </w:r>
            <w:r>
              <w:rPr>
                <w:spacing w:val="-14"/>
              </w:rPr>
              <w:t>服务，重点发展先进环保</w:t>
            </w:r>
            <w:r>
              <w:rPr>
                <w:spacing w:val="-10"/>
              </w:rPr>
              <w:t>技</w:t>
            </w:r>
          </w:p>
          <w:p w14:paraId="56D22426">
            <w:pPr>
              <w:pStyle w:val="6"/>
              <w:spacing w:before="1" w:line="219" w:lineRule="auto"/>
              <w:jc w:val="right"/>
            </w:pPr>
            <w:r>
              <w:rPr>
                <w:spacing w:val="-15"/>
              </w:rPr>
              <w:t>术和装备</w:t>
            </w:r>
            <w:r>
              <w:rPr>
                <w:spacing w:val="-14"/>
              </w:rPr>
              <w:t>制造业、环保产品、新型</w:t>
            </w:r>
            <w:r>
              <w:rPr>
                <w:spacing w:val="-10"/>
              </w:rPr>
              <w:t>建</w:t>
            </w:r>
          </w:p>
          <w:p w14:paraId="7CEDC6DA">
            <w:pPr>
              <w:pStyle w:val="6"/>
              <w:spacing w:before="17" w:line="219" w:lineRule="auto"/>
              <w:jc w:val="right"/>
            </w:pPr>
            <w:r>
              <w:rPr>
                <w:spacing w:val="-14"/>
              </w:rPr>
              <w:t>材、资</w:t>
            </w:r>
            <w:r>
              <w:rPr>
                <w:spacing w:val="-13"/>
              </w:rPr>
              <w:t>源循环利用产业，培育绿色</w:t>
            </w:r>
            <w:r>
              <w:rPr>
                <w:spacing w:val="-10"/>
              </w:rPr>
              <w:t>经</w:t>
            </w:r>
          </w:p>
          <w:p w14:paraId="52915F43">
            <w:pPr>
              <w:pStyle w:val="6"/>
              <w:spacing w:before="31" w:line="201" w:lineRule="auto"/>
              <w:jc w:val="right"/>
            </w:pPr>
            <w:r>
              <w:rPr>
                <w:spacing w:val="-14"/>
              </w:rPr>
              <w:t>济新</w:t>
            </w:r>
            <w:r>
              <w:rPr>
                <w:spacing w:val="-13"/>
              </w:rPr>
              <w:t>增长点，建设云南省节能环保</w:t>
            </w:r>
            <w:r>
              <w:rPr>
                <w:spacing w:val="-11"/>
              </w:rPr>
              <w:t>装</w:t>
            </w:r>
          </w:p>
          <w:p w14:paraId="494FD015">
            <w:pPr>
              <w:pStyle w:val="6"/>
              <w:spacing w:line="186" w:lineRule="auto"/>
              <w:ind w:left="832"/>
            </w:pPr>
            <w:r>
              <w:rPr>
                <w:spacing w:val="-1"/>
              </w:rPr>
              <w:t>备制造产业园区。</w:t>
            </w:r>
          </w:p>
        </w:tc>
        <w:tc>
          <w:tcPr>
            <w:tcW w:w="2637" w:type="dxa"/>
            <w:vAlign w:val="top"/>
          </w:tcPr>
          <w:p w14:paraId="7A82F974">
            <w:pPr>
              <w:spacing w:line="262" w:lineRule="auto"/>
              <w:rPr>
                <w:rFonts w:ascii="Arial"/>
                <w:sz w:val="21"/>
              </w:rPr>
            </w:pPr>
          </w:p>
          <w:p w14:paraId="76E33B3E">
            <w:pPr>
              <w:spacing w:line="263" w:lineRule="auto"/>
              <w:rPr>
                <w:rFonts w:ascii="Arial"/>
                <w:sz w:val="21"/>
              </w:rPr>
            </w:pPr>
          </w:p>
          <w:p w14:paraId="11C18F3E">
            <w:pPr>
              <w:spacing w:line="263" w:lineRule="auto"/>
              <w:rPr>
                <w:rFonts w:ascii="Arial"/>
                <w:sz w:val="21"/>
              </w:rPr>
            </w:pPr>
          </w:p>
          <w:p w14:paraId="74377EBD">
            <w:pPr>
              <w:pStyle w:val="6"/>
              <w:spacing w:before="71" w:line="219" w:lineRule="auto"/>
              <w:jc w:val="right"/>
            </w:pPr>
            <w:r>
              <w:rPr>
                <w:spacing w:val="-3"/>
              </w:rPr>
              <w:t>项目为光伏发电项目，不属</w:t>
            </w:r>
          </w:p>
          <w:p w14:paraId="08C24ECD">
            <w:pPr>
              <w:pStyle w:val="6"/>
              <w:spacing w:before="10" w:line="219" w:lineRule="auto"/>
              <w:jc w:val="right"/>
            </w:pPr>
            <w:r>
              <w:rPr>
                <w:spacing w:val="-3"/>
              </w:rPr>
              <w:t>于高能耗高排放项目。项目</w:t>
            </w:r>
          </w:p>
          <w:p w14:paraId="22F828BF">
            <w:pPr>
              <w:pStyle w:val="6"/>
              <w:spacing w:before="18" w:line="219" w:lineRule="auto"/>
              <w:jc w:val="right"/>
            </w:pPr>
            <w:r>
              <w:rPr>
                <w:spacing w:val="-3"/>
              </w:rPr>
              <w:t>生产原料为光能，属于可再</w:t>
            </w:r>
          </w:p>
          <w:p w14:paraId="5A40B32B">
            <w:pPr>
              <w:pStyle w:val="6"/>
              <w:spacing w:line="220" w:lineRule="auto"/>
              <w:ind w:left="486"/>
            </w:pPr>
            <w:r>
              <w:t>生清洁能源工程。</w:t>
            </w:r>
          </w:p>
        </w:tc>
        <w:tc>
          <w:tcPr>
            <w:tcW w:w="564" w:type="dxa"/>
            <w:vAlign w:val="top"/>
          </w:tcPr>
          <w:p w14:paraId="5BD3C2F9">
            <w:pPr>
              <w:spacing w:line="294" w:lineRule="auto"/>
              <w:rPr>
                <w:rFonts w:ascii="Arial"/>
                <w:sz w:val="21"/>
              </w:rPr>
            </w:pPr>
          </w:p>
          <w:p w14:paraId="784C6E86">
            <w:pPr>
              <w:spacing w:line="294" w:lineRule="auto"/>
              <w:rPr>
                <w:rFonts w:ascii="Arial"/>
                <w:sz w:val="21"/>
              </w:rPr>
            </w:pPr>
          </w:p>
          <w:p w14:paraId="41627498">
            <w:pPr>
              <w:spacing w:line="294" w:lineRule="auto"/>
              <w:rPr>
                <w:rFonts w:ascii="Arial"/>
                <w:sz w:val="21"/>
              </w:rPr>
            </w:pPr>
          </w:p>
          <w:p w14:paraId="2612BE10">
            <w:pPr>
              <w:spacing w:line="295" w:lineRule="auto"/>
              <w:rPr>
                <w:rFonts w:ascii="Arial"/>
                <w:sz w:val="21"/>
              </w:rPr>
            </w:pPr>
          </w:p>
          <w:p w14:paraId="08411944">
            <w:pPr>
              <w:pStyle w:val="6"/>
              <w:spacing w:before="71" w:line="219" w:lineRule="auto"/>
              <w:ind w:left="60"/>
            </w:pPr>
            <w:r>
              <w:rPr>
                <w:spacing w:val="-3"/>
              </w:rPr>
              <w:t>符合</w:t>
            </w:r>
          </w:p>
        </w:tc>
      </w:tr>
      <w:tr w14:paraId="46693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233" w:type="dxa"/>
            <w:vMerge w:val="continue"/>
            <w:tcBorders>
              <w:top w:val="nil"/>
              <w:bottom w:val="nil"/>
            </w:tcBorders>
            <w:vAlign w:val="top"/>
          </w:tcPr>
          <w:p w14:paraId="39246DCF">
            <w:pPr>
              <w:rPr>
                <w:rFonts w:ascii="Arial"/>
                <w:sz w:val="21"/>
              </w:rPr>
            </w:pPr>
          </w:p>
        </w:tc>
        <w:tc>
          <w:tcPr>
            <w:tcW w:w="7676" w:type="dxa"/>
            <w:gridSpan w:val="4"/>
            <w:vAlign w:val="top"/>
          </w:tcPr>
          <w:p w14:paraId="17F26E08">
            <w:pPr>
              <w:pStyle w:val="6"/>
              <w:spacing w:before="57" w:line="211" w:lineRule="auto"/>
              <w:ind w:left="1631"/>
            </w:pPr>
            <w:r>
              <w:rPr>
                <w:spacing w:val="-1"/>
              </w:rPr>
              <w:t>第四章、统筹协同治理，持续改善生态环境质量</w:t>
            </w:r>
          </w:p>
        </w:tc>
      </w:tr>
      <w:tr w14:paraId="7849C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1233" w:type="dxa"/>
            <w:vMerge w:val="continue"/>
            <w:tcBorders>
              <w:top w:val="nil"/>
            </w:tcBorders>
            <w:vAlign w:val="top"/>
          </w:tcPr>
          <w:p w14:paraId="1B625F6A">
            <w:pPr>
              <w:rPr>
                <w:rFonts w:ascii="Arial"/>
                <w:sz w:val="21"/>
              </w:rPr>
            </w:pPr>
          </w:p>
        </w:tc>
        <w:tc>
          <w:tcPr>
            <w:tcW w:w="1139" w:type="dxa"/>
            <w:vAlign w:val="top"/>
          </w:tcPr>
          <w:p w14:paraId="1255CFB8">
            <w:pPr>
              <w:pStyle w:val="6"/>
              <w:spacing w:before="31" w:line="219" w:lineRule="auto"/>
              <w:ind w:left="11"/>
            </w:pPr>
            <w:r>
              <w:rPr>
                <w:spacing w:val="-8"/>
              </w:rPr>
              <w:t>第一节、深</w:t>
            </w:r>
          </w:p>
          <w:p w14:paraId="6323F3C1">
            <w:pPr>
              <w:pStyle w:val="6"/>
              <w:spacing w:before="16" w:line="219" w:lineRule="auto"/>
              <w:ind w:left="122"/>
            </w:pPr>
            <w:r>
              <w:rPr>
                <w:spacing w:val="-2"/>
              </w:rPr>
              <w:t>化三水统</w:t>
            </w:r>
          </w:p>
          <w:p w14:paraId="5EFD0CB9">
            <w:pPr>
              <w:pStyle w:val="6"/>
              <w:spacing w:before="29" w:line="219" w:lineRule="auto"/>
              <w:ind w:left="11"/>
            </w:pPr>
            <w:r>
              <w:rPr>
                <w:spacing w:val="2"/>
              </w:rPr>
              <w:t>筹，巩固水</w:t>
            </w:r>
          </w:p>
          <w:p w14:paraId="0F63FEBA">
            <w:pPr>
              <w:pStyle w:val="6"/>
              <w:spacing w:before="8" w:line="212" w:lineRule="auto"/>
              <w:ind w:left="448" w:hanging="437"/>
            </w:pPr>
            <w:r>
              <w:rPr>
                <w:spacing w:val="3"/>
              </w:rPr>
              <w:t>生态环境质</w:t>
            </w:r>
            <w:r>
              <w:rPr>
                <w:spacing w:val="1"/>
              </w:rPr>
              <w:t xml:space="preserve"> </w:t>
            </w:r>
            <w:r>
              <w:t>量</w:t>
            </w:r>
          </w:p>
        </w:tc>
        <w:tc>
          <w:tcPr>
            <w:tcW w:w="3336" w:type="dxa"/>
            <w:vAlign w:val="top"/>
          </w:tcPr>
          <w:p w14:paraId="6948C1C4">
            <w:pPr>
              <w:pStyle w:val="6"/>
              <w:spacing w:before="27" w:line="226" w:lineRule="auto"/>
              <w:ind w:left="12"/>
              <w:jc w:val="both"/>
            </w:pPr>
            <w:r>
              <w:rPr>
                <w:spacing w:val="-19"/>
              </w:rPr>
              <w:t>加强节水型社会建设，提高水资源利</w:t>
            </w:r>
            <w:r>
              <w:rPr>
                <w:spacing w:val="2"/>
              </w:rPr>
              <w:t xml:space="preserve">  </w:t>
            </w:r>
            <w:r>
              <w:rPr>
                <w:spacing w:val="-13"/>
              </w:rPr>
              <w:t>用率。推广节水工艺、技术和装备，</w:t>
            </w:r>
            <w:r>
              <w:t xml:space="preserve"> </w:t>
            </w:r>
            <w:r>
              <w:rPr>
                <w:spacing w:val="-20"/>
              </w:rPr>
              <w:t>促进企业废水深度处理回用，加快推</w:t>
            </w:r>
            <w:r>
              <w:rPr>
                <w:spacing w:val="7"/>
              </w:rPr>
              <w:t xml:space="preserve">  </w:t>
            </w:r>
            <w:r>
              <w:rPr>
                <w:spacing w:val="-8"/>
              </w:rPr>
              <w:t>进工业园区水循环利用改造建设重</w:t>
            </w:r>
            <w:r>
              <w:rPr>
                <w:spacing w:val="4"/>
              </w:rPr>
              <w:t xml:space="preserve">  </w:t>
            </w:r>
            <w:r>
              <w:rPr>
                <w:spacing w:val="-13"/>
              </w:rPr>
              <w:t>点工程，提高工业用水循环利用率。</w:t>
            </w:r>
          </w:p>
        </w:tc>
        <w:tc>
          <w:tcPr>
            <w:tcW w:w="2637" w:type="dxa"/>
            <w:vAlign w:val="top"/>
          </w:tcPr>
          <w:p w14:paraId="614DA433">
            <w:pPr>
              <w:pStyle w:val="6"/>
              <w:spacing w:before="39" w:line="224" w:lineRule="auto"/>
              <w:ind w:left="17"/>
              <w:jc w:val="both"/>
            </w:pPr>
            <w:r>
              <w:rPr>
                <w:spacing w:val="-10"/>
              </w:rPr>
              <w:t>项目无生产废水，仅有少量</w:t>
            </w:r>
            <w:r>
              <w:t xml:space="preserve"> </w:t>
            </w:r>
            <w:r>
              <w:rPr>
                <w:spacing w:val="-10"/>
              </w:rPr>
              <w:t>光伏板清洗废水，清洁废水</w:t>
            </w:r>
            <w:r>
              <w:rPr>
                <w:spacing w:val="2"/>
              </w:rPr>
              <w:t xml:space="preserve"> </w:t>
            </w:r>
            <w:r>
              <w:rPr>
                <w:spacing w:val="-7"/>
              </w:rPr>
              <w:t>主要污染物为SS,作为组件</w:t>
            </w:r>
            <w:r>
              <w:rPr>
                <w:spacing w:val="3"/>
              </w:rPr>
              <w:t xml:space="preserve">  </w:t>
            </w:r>
            <w:r>
              <w:rPr>
                <w:spacing w:val="-20"/>
              </w:rPr>
              <w:t>下方植物生长用水，不外排。</w:t>
            </w:r>
            <w:r>
              <w:rPr>
                <w:spacing w:val="8"/>
              </w:rPr>
              <w:t xml:space="preserve"> </w:t>
            </w:r>
            <w:r>
              <w:rPr>
                <w:spacing w:val="-9"/>
              </w:rPr>
              <w:t>升压站生活废水经一体化污</w:t>
            </w:r>
          </w:p>
        </w:tc>
        <w:tc>
          <w:tcPr>
            <w:tcW w:w="564" w:type="dxa"/>
            <w:vAlign w:val="top"/>
          </w:tcPr>
          <w:p w14:paraId="7BCE8D43">
            <w:pPr>
              <w:spacing w:line="257" w:lineRule="auto"/>
              <w:rPr>
                <w:rFonts w:ascii="Arial"/>
                <w:sz w:val="21"/>
              </w:rPr>
            </w:pPr>
          </w:p>
          <w:p w14:paraId="4A858F16">
            <w:pPr>
              <w:spacing w:line="257" w:lineRule="auto"/>
              <w:rPr>
                <w:rFonts w:ascii="Arial"/>
                <w:sz w:val="21"/>
              </w:rPr>
            </w:pPr>
          </w:p>
          <w:p w14:paraId="4CC92C3A">
            <w:pPr>
              <w:pStyle w:val="6"/>
              <w:spacing w:before="72" w:line="219" w:lineRule="auto"/>
              <w:ind w:left="60"/>
            </w:pPr>
            <w:r>
              <w:rPr>
                <w:spacing w:val="-3"/>
              </w:rPr>
              <w:t>符合</w:t>
            </w:r>
          </w:p>
        </w:tc>
      </w:tr>
    </w:tbl>
    <w:p w14:paraId="40C12170">
      <w:pPr>
        <w:pStyle w:val="2"/>
      </w:pPr>
    </w:p>
    <w:p w14:paraId="6843476B">
      <w:pPr>
        <w:sectPr>
          <w:footerReference r:id="rId45" w:type="default"/>
          <w:pgSz w:w="11910" w:h="16830"/>
          <w:pgMar w:top="400" w:right="1594" w:bottom="1252" w:left="1395" w:header="0" w:footer="1081" w:gutter="0"/>
          <w:cols w:space="720" w:num="1"/>
        </w:sectPr>
      </w:pPr>
    </w:p>
    <w:p w14:paraId="4B4FE817">
      <w:pPr>
        <w:spacing w:before="18"/>
      </w:pPr>
    </w:p>
    <w:p w14:paraId="3A24A3EB">
      <w:pPr>
        <w:spacing w:before="18"/>
      </w:pPr>
    </w:p>
    <w:p w14:paraId="6AD6928C">
      <w:pPr>
        <w:spacing w:before="17"/>
      </w:pPr>
    </w:p>
    <w:p w14:paraId="2CB5744D">
      <w:pPr>
        <w:spacing w:before="17"/>
      </w:pPr>
    </w:p>
    <w:p w14:paraId="0D596AAC">
      <w:pPr>
        <w:spacing w:before="17"/>
      </w:pPr>
    </w:p>
    <w:tbl>
      <w:tblPr>
        <w:tblStyle w:val="5"/>
        <w:tblW w:w="8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3"/>
        <w:gridCol w:w="1159"/>
        <w:gridCol w:w="3316"/>
        <w:gridCol w:w="2637"/>
        <w:gridCol w:w="554"/>
      </w:tblGrid>
      <w:tr w14:paraId="3FDE7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253" w:type="dxa"/>
            <w:vMerge w:val="restart"/>
            <w:tcBorders>
              <w:bottom w:val="nil"/>
            </w:tcBorders>
            <w:vAlign w:val="top"/>
          </w:tcPr>
          <w:p w14:paraId="0ED296C2">
            <w:pPr>
              <w:rPr>
                <w:rFonts w:ascii="Arial"/>
                <w:sz w:val="21"/>
              </w:rPr>
            </w:pPr>
          </w:p>
        </w:tc>
        <w:tc>
          <w:tcPr>
            <w:tcW w:w="1159" w:type="dxa"/>
            <w:vAlign w:val="top"/>
          </w:tcPr>
          <w:p w14:paraId="74C8E8D5">
            <w:pPr>
              <w:rPr>
                <w:rFonts w:ascii="Arial"/>
                <w:sz w:val="21"/>
              </w:rPr>
            </w:pPr>
          </w:p>
        </w:tc>
        <w:tc>
          <w:tcPr>
            <w:tcW w:w="3316" w:type="dxa"/>
            <w:vAlign w:val="top"/>
          </w:tcPr>
          <w:p w14:paraId="676C7569">
            <w:pPr>
              <w:rPr>
                <w:rFonts w:ascii="Arial"/>
                <w:sz w:val="21"/>
              </w:rPr>
            </w:pPr>
          </w:p>
        </w:tc>
        <w:tc>
          <w:tcPr>
            <w:tcW w:w="2637" w:type="dxa"/>
            <w:vAlign w:val="top"/>
          </w:tcPr>
          <w:p w14:paraId="4777F59A">
            <w:pPr>
              <w:pStyle w:val="6"/>
              <w:spacing w:before="53" w:line="214" w:lineRule="auto"/>
              <w:ind w:left="155" w:hanging="138"/>
            </w:pPr>
            <w:r>
              <w:rPr>
                <w:spacing w:val="-3"/>
              </w:rPr>
              <w:t>水处理设施处理后用于升压</w:t>
            </w:r>
            <w:r>
              <w:rPr>
                <w:spacing w:val="4"/>
              </w:rPr>
              <w:t xml:space="preserve"> </w:t>
            </w:r>
            <w:r>
              <w:rPr>
                <w:spacing w:val="-2"/>
              </w:rPr>
              <w:t>站内的洒水降尘和绿化。</w:t>
            </w:r>
          </w:p>
        </w:tc>
        <w:tc>
          <w:tcPr>
            <w:tcW w:w="554" w:type="dxa"/>
            <w:vAlign w:val="top"/>
          </w:tcPr>
          <w:p w14:paraId="585EC58E">
            <w:pPr>
              <w:rPr>
                <w:rFonts w:ascii="Arial"/>
                <w:sz w:val="21"/>
              </w:rPr>
            </w:pPr>
          </w:p>
        </w:tc>
      </w:tr>
      <w:tr w14:paraId="541AE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8" w:hRule="atLeast"/>
        </w:trPr>
        <w:tc>
          <w:tcPr>
            <w:tcW w:w="1253" w:type="dxa"/>
            <w:vMerge w:val="continue"/>
            <w:tcBorders>
              <w:top w:val="nil"/>
              <w:bottom w:val="nil"/>
            </w:tcBorders>
            <w:vAlign w:val="top"/>
          </w:tcPr>
          <w:p w14:paraId="2C995BC6">
            <w:pPr>
              <w:rPr>
                <w:rFonts w:ascii="Arial"/>
                <w:sz w:val="21"/>
              </w:rPr>
            </w:pPr>
          </w:p>
        </w:tc>
        <w:tc>
          <w:tcPr>
            <w:tcW w:w="1159" w:type="dxa"/>
            <w:vMerge w:val="restart"/>
            <w:tcBorders>
              <w:bottom w:val="nil"/>
            </w:tcBorders>
            <w:vAlign w:val="top"/>
          </w:tcPr>
          <w:p w14:paraId="657F75F8">
            <w:pPr>
              <w:spacing w:line="241" w:lineRule="auto"/>
              <w:rPr>
                <w:rFonts w:ascii="Arial"/>
                <w:sz w:val="21"/>
              </w:rPr>
            </w:pPr>
          </w:p>
          <w:p w14:paraId="5E842FDA">
            <w:pPr>
              <w:spacing w:line="241" w:lineRule="auto"/>
              <w:rPr>
                <w:rFonts w:ascii="Arial"/>
                <w:sz w:val="21"/>
              </w:rPr>
            </w:pPr>
          </w:p>
          <w:p w14:paraId="423E6352">
            <w:pPr>
              <w:spacing w:line="241" w:lineRule="auto"/>
              <w:rPr>
                <w:rFonts w:ascii="Arial"/>
                <w:sz w:val="21"/>
              </w:rPr>
            </w:pPr>
          </w:p>
          <w:p w14:paraId="57A4114B">
            <w:pPr>
              <w:spacing w:line="242" w:lineRule="auto"/>
              <w:rPr>
                <w:rFonts w:ascii="Arial"/>
                <w:sz w:val="21"/>
              </w:rPr>
            </w:pPr>
          </w:p>
          <w:p w14:paraId="597E445B">
            <w:pPr>
              <w:spacing w:line="242" w:lineRule="auto"/>
              <w:rPr>
                <w:rFonts w:ascii="Arial"/>
                <w:sz w:val="21"/>
              </w:rPr>
            </w:pPr>
          </w:p>
          <w:p w14:paraId="7001E321">
            <w:pPr>
              <w:spacing w:line="242" w:lineRule="auto"/>
              <w:rPr>
                <w:rFonts w:ascii="Arial"/>
                <w:sz w:val="21"/>
              </w:rPr>
            </w:pPr>
          </w:p>
          <w:p w14:paraId="59D1708B">
            <w:pPr>
              <w:pStyle w:val="6"/>
              <w:spacing w:before="72" w:line="219" w:lineRule="auto"/>
              <w:ind w:left="21"/>
            </w:pPr>
            <w:r>
              <w:rPr>
                <w:spacing w:val="-2"/>
              </w:rPr>
              <w:t>第四节、坚</w:t>
            </w:r>
          </w:p>
          <w:p w14:paraId="4E634D99">
            <w:pPr>
              <w:pStyle w:val="6"/>
              <w:spacing w:before="19" w:line="219" w:lineRule="auto"/>
              <w:ind w:left="132"/>
            </w:pPr>
            <w:r>
              <w:rPr>
                <w:spacing w:val="2"/>
              </w:rPr>
              <w:t>持闭环管</w:t>
            </w:r>
          </w:p>
          <w:p w14:paraId="3C9F0354">
            <w:pPr>
              <w:pStyle w:val="6"/>
              <w:spacing w:before="8" w:line="219" w:lineRule="auto"/>
              <w:ind w:left="21"/>
            </w:pPr>
            <w:r>
              <w:rPr>
                <w:spacing w:val="4"/>
              </w:rPr>
              <w:t>理，提高固</w:t>
            </w:r>
          </w:p>
          <w:p w14:paraId="15A9AA61">
            <w:pPr>
              <w:pStyle w:val="6"/>
              <w:spacing w:before="9" w:line="219" w:lineRule="auto"/>
              <w:ind w:left="21"/>
            </w:pPr>
            <w:r>
              <w:rPr>
                <w:spacing w:val="-2"/>
              </w:rPr>
              <w:t>废治理水平</w:t>
            </w:r>
          </w:p>
        </w:tc>
        <w:tc>
          <w:tcPr>
            <w:tcW w:w="3316" w:type="dxa"/>
            <w:vAlign w:val="top"/>
          </w:tcPr>
          <w:p w14:paraId="6295C47A">
            <w:pPr>
              <w:spacing w:line="263" w:lineRule="auto"/>
              <w:rPr>
                <w:rFonts w:ascii="Arial"/>
                <w:sz w:val="21"/>
              </w:rPr>
            </w:pPr>
          </w:p>
          <w:p w14:paraId="3C56EEB5">
            <w:pPr>
              <w:spacing w:line="263" w:lineRule="auto"/>
              <w:rPr>
                <w:rFonts w:ascii="Arial"/>
                <w:sz w:val="21"/>
              </w:rPr>
            </w:pPr>
          </w:p>
          <w:p w14:paraId="6E0E03A0">
            <w:pPr>
              <w:spacing w:line="263" w:lineRule="auto"/>
              <w:rPr>
                <w:rFonts w:ascii="Arial"/>
                <w:sz w:val="21"/>
              </w:rPr>
            </w:pPr>
          </w:p>
          <w:p w14:paraId="513C73B5">
            <w:pPr>
              <w:spacing w:line="263" w:lineRule="auto"/>
              <w:rPr>
                <w:rFonts w:ascii="Arial"/>
                <w:sz w:val="21"/>
              </w:rPr>
            </w:pPr>
          </w:p>
          <w:p w14:paraId="692751AE">
            <w:pPr>
              <w:pStyle w:val="6"/>
              <w:spacing w:before="71" w:line="219" w:lineRule="auto"/>
              <w:ind w:right="1"/>
              <w:jc w:val="right"/>
            </w:pPr>
            <w:r>
              <w:rPr>
                <w:spacing w:val="-1"/>
              </w:rPr>
              <w:t>加强危险废物(含医疗废物)收集处</w:t>
            </w:r>
          </w:p>
          <w:p w14:paraId="0306B351">
            <w:pPr>
              <w:pStyle w:val="6"/>
              <w:spacing w:before="21" w:line="229" w:lineRule="auto"/>
              <w:ind w:left="1482"/>
            </w:pPr>
            <w:r>
              <w:t>理。</w:t>
            </w:r>
          </w:p>
        </w:tc>
        <w:tc>
          <w:tcPr>
            <w:tcW w:w="2637" w:type="dxa"/>
            <w:vAlign w:val="top"/>
          </w:tcPr>
          <w:p w14:paraId="2C682771">
            <w:pPr>
              <w:pStyle w:val="6"/>
              <w:spacing w:before="38" w:line="219" w:lineRule="auto"/>
              <w:jc w:val="right"/>
            </w:pPr>
            <w:r>
              <w:rPr>
                <w:spacing w:val="-3"/>
              </w:rPr>
              <w:t>本项目危险废物为变压器发</w:t>
            </w:r>
          </w:p>
          <w:p w14:paraId="6B2882EB">
            <w:pPr>
              <w:pStyle w:val="6"/>
              <w:spacing w:before="11" w:line="220" w:lineRule="auto"/>
              <w:jc w:val="right"/>
            </w:pPr>
            <w:r>
              <w:rPr>
                <w:spacing w:val="-3"/>
              </w:rPr>
              <w:t>生事故排油，项目建设箱变</w:t>
            </w:r>
          </w:p>
          <w:p w14:paraId="130E6681">
            <w:pPr>
              <w:pStyle w:val="6"/>
              <w:spacing w:before="7" w:line="220" w:lineRule="auto"/>
              <w:jc w:val="right"/>
            </w:pPr>
            <w:r>
              <w:rPr>
                <w:spacing w:val="-5"/>
              </w:rPr>
              <w:t>事故油池和主变事故油池，</w:t>
            </w:r>
          </w:p>
          <w:p w14:paraId="6E858C05">
            <w:pPr>
              <w:pStyle w:val="6"/>
              <w:spacing w:before="17" w:line="219" w:lineRule="auto"/>
              <w:ind w:left="46"/>
            </w:pPr>
            <w:r>
              <w:rPr>
                <w:spacing w:val="-1"/>
              </w:rPr>
              <w:t>并将事故废油暂存于110kV</w:t>
            </w:r>
          </w:p>
          <w:p w14:paraId="09F986E3">
            <w:pPr>
              <w:pStyle w:val="6"/>
              <w:spacing w:before="9" w:line="219" w:lineRule="auto"/>
              <w:jc w:val="right"/>
            </w:pPr>
            <w:r>
              <w:rPr>
                <w:spacing w:val="-3"/>
              </w:rPr>
              <w:t>升压站危废暂存间，危险废</w:t>
            </w:r>
          </w:p>
          <w:p w14:paraId="48EE17CE">
            <w:pPr>
              <w:pStyle w:val="6"/>
              <w:spacing w:before="8" w:line="219" w:lineRule="auto"/>
              <w:jc w:val="right"/>
            </w:pPr>
            <w:r>
              <w:rPr>
                <w:spacing w:val="-3"/>
              </w:rPr>
              <w:t>物有废铅蓄电池，暂存于危</w:t>
            </w:r>
          </w:p>
          <w:p w14:paraId="1E00A0F3">
            <w:pPr>
              <w:pStyle w:val="6"/>
              <w:spacing w:before="9" w:line="219" w:lineRule="auto"/>
              <w:jc w:val="right"/>
            </w:pPr>
            <w:r>
              <w:rPr>
                <w:spacing w:val="-3"/>
              </w:rPr>
              <w:t>险废物暂存间，后委托有资</w:t>
            </w:r>
          </w:p>
          <w:p w14:paraId="360675F4">
            <w:pPr>
              <w:pStyle w:val="6"/>
              <w:spacing w:line="220" w:lineRule="auto"/>
              <w:jc w:val="right"/>
            </w:pPr>
            <w:r>
              <w:rPr>
                <w:spacing w:val="-3"/>
              </w:rPr>
              <w:t>质的单位进行清运处置，能</w:t>
            </w:r>
          </w:p>
          <w:p w14:paraId="6A98F48D">
            <w:pPr>
              <w:pStyle w:val="6"/>
              <w:spacing w:before="8" w:line="220" w:lineRule="auto"/>
              <w:jc w:val="right"/>
            </w:pPr>
            <w:r>
              <w:rPr>
                <w:spacing w:val="-5"/>
              </w:rPr>
              <w:t>保证项目危险废物不外排，</w:t>
            </w:r>
          </w:p>
          <w:p w14:paraId="76774B3F">
            <w:pPr>
              <w:pStyle w:val="6"/>
              <w:spacing w:before="8" w:line="199" w:lineRule="auto"/>
              <w:ind w:left="486"/>
            </w:pPr>
            <w:r>
              <w:rPr>
                <w:spacing w:val="-1"/>
              </w:rPr>
              <w:t>不污染周边环境。</w:t>
            </w:r>
          </w:p>
        </w:tc>
        <w:tc>
          <w:tcPr>
            <w:tcW w:w="554" w:type="dxa"/>
            <w:vAlign w:val="top"/>
          </w:tcPr>
          <w:p w14:paraId="72D7AF14">
            <w:pPr>
              <w:spacing w:line="292" w:lineRule="auto"/>
              <w:rPr>
                <w:rFonts w:ascii="Arial"/>
                <w:sz w:val="21"/>
              </w:rPr>
            </w:pPr>
          </w:p>
          <w:p w14:paraId="7CDBD3E0">
            <w:pPr>
              <w:spacing w:line="293" w:lineRule="auto"/>
              <w:rPr>
                <w:rFonts w:ascii="Arial"/>
                <w:sz w:val="21"/>
              </w:rPr>
            </w:pPr>
          </w:p>
          <w:p w14:paraId="239605EE">
            <w:pPr>
              <w:spacing w:line="293" w:lineRule="auto"/>
              <w:rPr>
                <w:rFonts w:ascii="Arial"/>
                <w:sz w:val="21"/>
              </w:rPr>
            </w:pPr>
          </w:p>
          <w:p w14:paraId="246C456B">
            <w:pPr>
              <w:spacing w:line="293" w:lineRule="auto"/>
              <w:rPr>
                <w:rFonts w:ascii="Arial"/>
                <w:sz w:val="21"/>
              </w:rPr>
            </w:pPr>
          </w:p>
          <w:p w14:paraId="41D7C507">
            <w:pPr>
              <w:pStyle w:val="6"/>
              <w:spacing w:before="72" w:line="219" w:lineRule="auto"/>
              <w:ind w:left="50"/>
            </w:pPr>
            <w:r>
              <w:rPr>
                <w:spacing w:val="-3"/>
              </w:rPr>
              <w:t>符合</w:t>
            </w:r>
          </w:p>
        </w:tc>
      </w:tr>
      <w:tr w14:paraId="2DB5C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1253" w:type="dxa"/>
            <w:vMerge w:val="continue"/>
            <w:tcBorders>
              <w:top w:val="nil"/>
              <w:bottom w:val="nil"/>
            </w:tcBorders>
            <w:vAlign w:val="top"/>
          </w:tcPr>
          <w:p w14:paraId="639644C8">
            <w:pPr>
              <w:rPr>
                <w:rFonts w:ascii="Arial"/>
                <w:sz w:val="21"/>
              </w:rPr>
            </w:pPr>
          </w:p>
        </w:tc>
        <w:tc>
          <w:tcPr>
            <w:tcW w:w="1159" w:type="dxa"/>
            <w:vMerge w:val="continue"/>
            <w:tcBorders>
              <w:top w:val="nil"/>
            </w:tcBorders>
            <w:vAlign w:val="top"/>
          </w:tcPr>
          <w:p w14:paraId="019E4F4B">
            <w:pPr>
              <w:rPr>
                <w:rFonts w:ascii="Arial"/>
                <w:sz w:val="21"/>
              </w:rPr>
            </w:pPr>
          </w:p>
        </w:tc>
        <w:tc>
          <w:tcPr>
            <w:tcW w:w="3316" w:type="dxa"/>
            <w:vAlign w:val="top"/>
          </w:tcPr>
          <w:p w14:paraId="0040383E">
            <w:pPr>
              <w:spacing w:line="249" w:lineRule="auto"/>
              <w:rPr>
                <w:rFonts w:ascii="Arial"/>
                <w:sz w:val="21"/>
              </w:rPr>
            </w:pPr>
          </w:p>
          <w:p w14:paraId="50BF32D9">
            <w:pPr>
              <w:pStyle w:val="6"/>
              <w:spacing w:before="71" w:line="219" w:lineRule="auto"/>
              <w:jc w:val="right"/>
            </w:pPr>
            <w:r>
              <w:rPr>
                <w:spacing w:val="-15"/>
              </w:rPr>
              <w:t>提高工业固体废弃物综合利用水平，</w:t>
            </w:r>
          </w:p>
          <w:p w14:paraId="57CEA98F">
            <w:pPr>
              <w:pStyle w:val="6"/>
              <w:spacing w:before="19" w:line="209" w:lineRule="auto"/>
              <w:jc w:val="right"/>
            </w:pPr>
            <w:r>
              <w:rPr>
                <w:spacing w:val="-15"/>
              </w:rPr>
              <w:t>推进固体废物减量化、资源化和无害</w:t>
            </w:r>
          </w:p>
          <w:p w14:paraId="1AE08BA6">
            <w:pPr>
              <w:pStyle w:val="6"/>
              <w:spacing w:line="219" w:lineRule="auto"/>
              <w:ind w:left="1262"/>
            </w:pPr>
            <w:r>
              <w:rPr>
                <w:spacing w:val="-1"/>
              </w:rPr>
              <w:t>化管理。</w:t>
            </w:r>
          </w:p>
        </w:tc>
        <w:tc>
          <w:tcPr>
            <w:tcW w:w="2637" w:type="dxa"/>
            <w:vAlign w:val="top"/>
          </w:tcPr>
          <w:p w14:paraId="3E2B61BD">
            <w:pPr>
              <w:pStyle w:val="6"/>
              <w:spacing w:before="40" w:line="219" w:lineRule="auto"/>
              <w:jc w:val="right"/>
            </w:pPr>
            <w:r>
              <w:rPr>
                <w:spacing w:val="-3"/>
              </w:rPr>
              <w:t>项目报废光伏板及废电气元</w:t>
            </w:r>
          </w:p>
          <w:p w14:paraId="46C47D5F">
            <w:pPr>
              <w:pStyle w:val="6"/>
              <w:spacing w:before="10" w:line="219" w:lineRule="auto"/>
              <w:jc w:val="right"/>
            </w:pPr>
            <w:r>
              <w:rPr>
                <w:spacing w:val="-3"/>
              </w:rPr>
              <w:t>件进行收集暂存于项目一般</w:t>
            </w:r>
          </w:p>
          <w:p w14:paraId="7E0365B2">
            <w:pPr>
              <w:pStyle w:val="6"/>
              <w:spacing w:before="28" w:line="218" w:lineRule="auto"/>
              <w:jc w:val="right"/>
            </w:pPr>
            <w:r>
              <w:rPr>
                <w:spacing w:val="-3"/>
              </w:rPr>
              <w:t>工业固体废物暂存间，存有</w:t>
            </w:r>
          </w:p>
          <w:p w14:paraId="0BA70C94">
            <w:pPr>
              <w:pStyle w:val="6"/>
              <w:spacing w:line="219" w:lineRule="auto"/>
              <w:jc w:val="right"/>
            </w:pPr>
            <w:r>
              <w:rPr>
                <w:spacing w:val="-3"/>
              </w:rPr>
              <w:t>一定数量后由生产厂家收购</w:t>
            </w:r>
          </w:p>
          <w:p w14:paraId="741DACF0">
            <w:pPr>
              <w:pStyle w:val="6"/>
              <w:spacing w:before="8" w:line="191" w:lineRule="auto"/>
              <w:ind w:left="876"/>
            </w:pPr>
            <w:r>
              <w:rPr>
                <w:spacing w:val="1"/>
              </w:rPr>
              <w:t>回收处理</w:t>
            </w:r>
          </w:p>
        </w:tc>
        <w:tc>
          <w:tcPr>
            <w:tcW w:w="554" w:type="dxa"/>
            <w:vAlign w:val="top"/>
          </w:tcPr>
          <w:p w14:paraId="6B40BBDE">
            <w:pPr>
              <w:spacing w:line="253" w:lineRule="auto"/>
              <w:rPr>
                <w:rFonts w:ascii="Arial"/>
                <w:sz w:val="21"/>
              </w:rPr>
            </w:pPr>
          </w:p>
          <w:p w14:paraId="6A426FC0">
            <w:pPr>
              <w:spacing w:line="254" w:lineRule="auto"/>
              <w:rPr>
                <w:rFonts w:ascii="Arial"/>
                <w:sz w:val="21"/>
              </w:rPr>
            </w:pPr>
          </w:p>
          <w:p w14:paraId="0B7CBD7E">
            <w:pPr>
              <w:pStyle w:val="6"/>
              <w:spacing w:before="72" w:line="219" w:lineRule="auto"/>
              <w:ind w:left="50"/>
            </w:pPr>
            <w:r>
              <w:rPr>
                <w:spacing w:val="-3"/>
              </w:rPr>
              <w:t>符合</w:t>
            </w:r>
          </w:p>
        </w:tc>
      </w:tr>
      <w:tr w14:paraId="50FD4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1253" w:type="dxa"/>
            <w:vMerge w:val="continue"/>
            <w:tcBorders>
              <w:top w:val="nil"/>
              <w:bottom w:val="nil"/>
            </w:tcBorders>
            <w:vAlign w:val="top"/>
          </w:tcPr>
          <w:p w14:paraId="3299F0FF">
            <w:pPr>
              <w:rPr>
                <w:rFonts w:ascii="Arial"/>
                <w:sz w:val="21"/>
              </w:rPr>
            </w:pPr>
          </w:p>
        </w:tc>
        <w:tc>
          <w:tcPr>
            <w:tcW w:w="1159" w:type="dxa"/>
            <w:vAlign w:val="top"/>
          </w:tcPr>
          <w:p w14:paraId="3C08C3D4">
            <w:pPr>
              <w:pStyle w:val="6"/>
              <w:spacing w:before="33" w:line="219" w:lineRule="auto"/>
              <w:ind w:left="21"/>
            </w:pPr>
            <w:r>
              <w:rPr>
                <w:spacing w:val="3"/>
              </w:rPr>
              <w:t>第五节、加</w:t>
            </w:r>
          </w:p>
          <w:p w14:paraId="4DD5CE9E">
            <w:pPr>
              <w:pStyle w:val="6"/>
              <w:spacing w:before="10" w:line="221" w:lineRule="auto"/>
              <w:ind w:left="21"/>
            </w:pPr>
            <w:r>
              <w:rPr>
                <w:spacing w:val="1"/>
              </w:rPr>
              <w:t>强农业面源</w:t>
            </w:r>
          </w:p>
          <w:p w14:paraId="078BD34C">
            <w:pPr>
              <w:pStyle w:val="6"/>
              <w:spacing w:before="28" w:line="215" w:lineRule="auto"/>
              <w:ind w:left="21"/>
            </w:pPr>
            <w:r>
              <w:rPr>
                <w:spacing w:val="1"/>
              </w:rPr>
              <w:t>治理，推进</w:t>
            </w:r>
          </w:p>
          <w:p w14:paraId="5D9D766C">
            <w:pPr>
              <w:pStyle w:val="6"/>
              <w:spacing w:line="218" w:lineRule="auto"/>
              <w:ind w:left="21"/>
            </w:pPr>
            <w:r>
              <w:rPr>
                <w:spacing w:val="-2"/>
              </w:rPr>
              <w:t>农村环境保</w:t>
            </w:r>
          </w:p>
          <w:p w14:paraId="00144ADD">
            <w:pPr>
              <w:pStyle w:val="6"/>
              <w:spacing w:line="206" w:lineRule="auto"/>
              <w:ind w:left="461"/>
            </w:pPr>
            <w:r>
              <w:t>护</w:t>
            </w:r>
          </w:p>
        </w:tc>
        <w:tc>
          <w:tcPr>
            <w:tcW w:w="3316" w:type="dxa"/>
            <w:vAlign w:val="top"/>
          </w:tcPr>
          <w:p w14:paraId="0DF1FAD6">
            <w:pPr>
              <w:pStyle w:val="6"/>
              <w:spacing w:before="193" w:line="209" w:lineRule="auto"/>
              <w:jc w:val="right"/>
            </w:pPr>
            <w:r>
              <w:rPr>
                <w:spacing w:val="-15"/>
              </w:rPr>
              <w:t>因地制宜发展秸秆热解气化、秸秆沼</w:t>
            </w:r>
          </w:p>
          <w:p w14:paraId="2B1292DB">
            <w:pPr>
              <w:pStyle w:val="6"/>
              <w:spacing w:line="218" w:lineRule="auto"/>
              <w:jc w:val="right"/>
            </w:pPr>
            <w:r>
              <w:rPr>
                <w:spacing w:val="-1"/>
              </w:rPr>
              <w:t>气、秸秆生物质燃料等农村清洁能</w:t>
            </w:r>
          </w:p>
          <w:p w14:paraId="16E20EA2">
            <w:pPr>
              <w:pStyle w:val="6"/>
              <w:spacing w:before="29" w:line="219" w:lineRule="auto"/>
              <w:jc w:val="right"/>
            </w:pPr>
            <w:r>
              <w:rPr>
                <w:spacing w:val="-16"/>
              </w:rPr>
              <w:t>源，推动</w:t>
            </w:r>
            <w:r>
              <w:rPr>
                <w:spacing w:val="-15"/>
              </w:rPr>
              <w:t>秸秆高值化综合利用与农</w:t>
            </w:r>
            <w:r>
              <w:rPr>
                <w:spacing w:val="-11"/>
              </w:rPr>
              <w:t>村</w:t>
            </w:r>
          </w:p>
          <w:p w14:paraId="0A051742">
            <w:pPr>
              <w:pStyle w:val="6"/>
              <w:spacing w:before="8" w:line="219" w:lineRule="auto"/>
              <w:ind w:left="492"/>
            </w:pPr>
            <w:r>
              <w:rPr>
                <w:spacing w:val="-1"/>
              </w:rPr>
              <w:t>人居环境改善有机结合。</w:t>
            </w:r>
          </w:p>
        </w:tc>
        <w:tc>
          <w:tcPr>
            <w:tcW w:w="2637" w:type="dxa"/>
            <w:vAlign w:val="top"/>
          </w:tcPr>
          <w:p w14:paraId="41B10B0D">
            <w:pPr>
              <w:spacing w:line="388" w:lineRule="auto"/>
              <w:rPr>
                <w:rFonts w:ascii="Arial"/>
                <w:sz w:val="21"/>
              </w:rPr>
            </w:pPr>
          </w:p>
          <w:p w14:paraId="12CCF2D9">
            <w:pPr>
              <w:pStyle w:val="6"/>
              <w:spacing w:before="72" w:line="230" w:lineRule="auto"/>
              <w:ind w:left="46"/>
            </w:pPr>
            <w:r>
              <w:rPr>
                <w:spacing w:val="-5"/>
              </w:rPr>
              <w:t>项目主要原料为太阳光能，</w:t>
            </w:r>
            <w:r>
              <w:t xml:space="preserve"> </w:t>
            </w:r>
            <w:r>
              <w:rPr>
                <w:spacing w:val="-5"/>
              </w:rPr>
              <w:t>属于可再生清洁能源工程。</w:t>
            </w:r>
          </w:p>
        </w:tc>
        <w:tc>
          <w:tcPr>
            <w:tcW w:w="554" w:type="dxa"/>
            <w:vAlign w:val="top"/>
          </w:tcPr>
          <w:p w14:paraId="3293031D">
            <w:pPr>
              <w:spacing w:line="254" w:lineRule="auto"/>
              <w:rPr>
                <w:rFonts w:ascii="Arial"/>
                <w:sz w:val="21"/>
              </w:rPr>
            </w:pPr>
          </w:p>
          <w:p w14:paraId="60547421">
            <w:pPr>
              <w:spacing w:line="254" w:lineRule="auto"/>
              <w:rPr>
                <w:rFonts w:ascii="Arial"/>
                <w:sz w:val="21"/>
              </w:rPr>
            </w:pPr>
          </w:p>
          <w:p w14:paraId="2EE8E4DD">
            <w:pPr>
              <w:pStyle w:val="6"/>
              <w:spacing w:before="72" w:line="219" w:lineRule="auto"/>
              <w:ind w:left="50"/>
            </w:pPr>
            <w:r>
              <w:rPr>
                <w:spacing w:val="-3"/>
              </w:rPr>
              <w:t>符合</w:t>
            </w:r>
          </w:p>
        </w:tc>
      </w:tr>
      <w:tr w14:paraId="4367C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253" w:type="dxa"/>
            <w:vMerge w:val="continue"/>
            <w:tcBorders>
              <w:top w:val="nil"/>
              <w:bottom w:val="nil"/>
            </w:tcBorders>
            <w:vAlign w:val="top"/>
          </w:tcPr>
          <w:p w14:paraId="1B511D9D">
            <w:pPr>
              <w:rPr>
                <w:rFonts w:ascii="Arial"/>
                <w:sz w:val="21"/>
              </w:rPr>
            </w:pPr>
          </w:p>
        </w:tc>
        <w:tc>
          <w:tcPr>
            <w:tcW w:w="7666" w:type="dxa"/>
            <w:gridSpan w:val="4"/>
            <w:vAlign w:val="top"/>
          </w:tcPr>
          <w:p w14:paraId="09CF7D41">
            <w:pPr>
              <w:pStyle w:val="6"/>
              <w:spacing w:before="53" w:line="207" w:lineRule="auto"/>
              <w:ind w:left="2061"/>
            </w:pPr>
            <w:r>
              <w:rPr>
                <w:spacing w:val="-1"/>
              </w:rPr>
              <w:t>第五章、坚持减污降碳，应对气候变化</w:t>
            </w:r>
          </w:p>
        </w:tc>
      </w:tr>
      <w:tr w14:paraId="56A11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1253" w:type="dxa"/>
            <w:vMerge w:val="continue"/>
            <w:tcBorders>
              <w:top w:val="nil"/>
              <w:bottom w:val="nil"/>
            </w:tcBorders>
            <w:vAlign w:val="top"/>
          </w:tcPr>
          <w:p w14:paraId="471C788E">
            <w:pPr>
              <w:rPr>
                <w:rFonts w:ascii="Arial"/>
                <w:sz w:val="21"/>
              </w:rPr>
            </w:pPr>
          </w:p>
        </w:tc>
        <w:tc>
          <w:tcPr>
            <w:tcW w:w="1159" w:type="dxa"/>
            <w:vAlign w:val="top"/>
          </w:tcPr>
          <w:p w14:paraId="123C3856">
            <w:pPr>
              <w:pStyle w:val="6"/>
              <w:spacing w:before="44" w:line="219" w:lineRule="auto"/>
              <w:ind w:left="21"/>
            </w:pPr>
            <w:r>
              <w:rPr>
                <w:spacing w:val="-2"/>
              </w:rPr>
              <w:t>第二节、强</w:t>
            </w:r>
          </w:p>
          <w:p w14:paraId="27F83387">
            <w:pPr>
              <w:pStyle w:val="6"/>
              <w:spacing w:before="9" w:line="203" w:lineRule="auto"/>
              <w:ind w:left="131" w:right="36" w:hanging="110"/>
            </w:pPr>
            <w:r>
              <w:rPr>
                <w:spacing w:val="-2"/>
              </w:rPr>
              <w:t>化温室气体</w:t>
            </w:r>
            <w:r>
              <w:t xml:space="preserve"> </w:t>
            </w:r>
            <w:r>
              <w:rPr>
                <w:spacing w:val="4"/>
              </w:rPr>
              <w:t>排放控制</w:t>
            </w:r>
          </w:p>
        </w:tc>
        <w:tc>
          <w:tcPr>
            <w:tcW w:w="3316" w:type="dxa"/>
            <w:vAlign w:val="top"/>
          </w:tcPr>
          <w:p w14:paraId="0FCDC41B">
            <w:pPr>
              <w:pStyle w:val="6"/>
              <w:spacing w:before="162" w:line="219" w:lineRule="auto"/>
              <w:jc w:val="right"/>
            </w:pPr>
            <w:r>
              <w:rPr>
                <w:spacing w:val="-16"/>
              </w:rPr>
              <w:t>控制</w:t>
            </w:r>
            <w:r>
              <w:rPr>
                <w:spacing w:val="-15"/>
              </w:rPr>
              <w:t>工业领域二氧化碳排放。推动</w:t>
            </w:r>
            <w:r>
              <w:rPr>
                <w:spacing w:val="-13"/>
              </w:rPr>
              <w:t>工</w:t>
            </w:r>
          </w:p>
          <w:p w14:paraId="602EDA4F">
            <w:pPr>
              <w:pStyle w:val="6"/>
              <w:spacing w:before="30" w:line="219" w:lineRule="auto"/>
              <w:ind w:left="822"/>
            </w:pPr>
            <w:r>
              <w:t>业结构节能降碳。</w:t>
            </w:r>
          </w:p>
        </w:tc>
        <w:tc>
          <w:tcPr>
            <w:tcW w:w="2637" w:type="dxa"/>
            <w:vAlign w:val="top"/>
          </w:tcPr>
          <w:p w14:paraId="1083EBA0">
            <w:pPr>
              <w:pStyle w:val="6"/>
              <w:spacing w:before="162" w:line="219" w:lineRule="auto"/>
              <w:jc w:val="right"/>
            </w:pPr>
            <w:r>
              <w:rPr>
                <w:spacing w:val="-3"/>
              </w:rPr>
              <w:t>项目为光伏发电项目，运营</w:t>
            </w:r>
          </w:p>
          <w:p w14:paraId="12AA493D">
            <w:pPr>
              <w:pStyle w:val="6"/>
              <w:spacing w:before="30" w:line="219" w:lineRule="auto"/>
              <w:ind w:left="267"/>
            </w:pPr>
            <w:r>
              <w:t>过程不产生工业废气。</w:t>
            </w:r>
          </w:p>
        </w:tc>
        <w:tc>
          <w:tcPr>
            <w:tcW w:w="554" w:type="dxa"/>
            <w:vAlign w:val="top"/>
          </w:tcPr>
          <w:p w14:paraId="04ABC79A">
            <w:pPr>
              <w:pStyle w:val="6"/>
              <w:spacing w:before="304" w:line="219" w:lineRule="auto"/>
              <w:ind w:left="50"/>
            </w:pPr>
            <w:r>
              <w:rPr>
                <w:spacing w:val="-3"/>
              </w:rPr>
              <w:t>符合</w:t>
            </w:r>
          </w:p>
        </w:tc>
      </w:tr>
      <w:tr w14:paraId="2DA57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7" w:hRule="atLeast"/>
        </w:trPr>
        <w:tc>
          <w:tcPr>
            <w:tcW w:w="1253" w:type="dxa"/>
            <w:vMerge w:val="continue"/>
            <w:tcBorders>
              <w:top w:val="nil"/>
              <w:bottom w:val="nil"/>
            </w:tcBorders>
            <w:vAlign w:val="top"/>
          </w:tcPr>
          <w:p w14:paraId="036E647B">
            <w:pPr>
              <w:rPr>
                <w:rFonts w:ascii="Arial"/>
                <w:sz w:val="21"/>
              </w:rPr>
            </w:pPr>
          </w:p>
        </w:tc>
        <w:tc>
          <w:tcPr>
            <w:tcW w:w="7666" w:type="dxa"/>
            <w:gridSpan w:val="4"/>
            <w:vAlign w:val="top"/>
          </w:tcPr>
          <w:p w14:paraId="189C1711">
            <w:pPr>
              <w:pStyle w:val="6"/>
              <w:spacing w:before="54" w:line="393" w:lineRule="auto"/>
              <w:ind w:left="11" w:right="403" w:firstLine="439"/>
            </w:pPr>
            <w:r>
              <w:rPr>
                <w:spacing w:val="-1"/>
              </w:rPr>
              <w:t>从上表可以看出，本项目符合《曲靖市生态环境保护“十四五”规划》</w:t>
            </w:r>
            <w:r>
              <w:rPr>
                <w:spacing w:val="10"/>
              </w:rPr>
              <w:t xml:space="preserve"> </w:t>
            </w:r>
            <w:r>
              <w:t>的相关要求。</w:t>
            </w:r>
          </w:p>
          <w:p w14:paraId="5823AD78">
            <w:pPr>
              <w:pStyle w:val="6"/>
              <w:spacing w:line="218" w:lineRule="auto"/>
              <w:ind w:left="15"/>
            </w:pPr>
            <w:r>
              <w:rPr>
                <w:b/>
                <w:bCs/>
                <w:spacing w:val="-3"/>
              </w:rPr>
              <w:t>21、与《曲靖市集中式饮用水水源地保护条例》符合性分析</w:t>
            </w:r>
          </w:p>
          <w:p w14:paraId="79723C7E">
            <w:pPr>
              <w:pStyle w:val="6"/>
              <w:spacing w:before="200" w:line="391" w:lineRule="auto"/>
              <w:ind w:left="11" w:right="586" w:firstLine="420"/>
            </w:pPr>
            <w:r>
              <w:rPr>
                <w:spacing w:val="1"/>
              </w:rPr>
              <w:t>经陆良县各局查询结果，本项目不涉及饮用水水源一级保</w:t>
            </w:r>
            <w:r>
              <w:t>护区及饮用 水水源二级保护区的范围，经核查，本项目35kV集电线路采用架空线路的</w:t>
            </w:r>
            <w:r>
              <w:rPr>
                <w:spacing w:val="16"/>
              </w:rPr>
              <w:t xml:space="preserve"> </w:t>
            </w:r>
            <w:r>
              <w:t>方式穿越大莫古集镇水厂水源地准保护区，集电</w:t>
            </w:r>
            <w:r>
              <w:rPr>
                <w:spacing w:val="-1"/>
              </w:rPr>
              <w:t>线路路径已取得陆良县人</w:t>
            </w:r>
            <w:r>
              <w:t xml:space="preserve"> 民政府原则同意所选线路路径走向及同意穿越大莫古集镇水厂水源地准</w:t>
            </w:r>
          </w:p>
          <w:p w14:paraId="13DA0B0B">
            <w:pPr>
              <w:pStyle w:val="6"/>
              <w:spacing w:line="220" w:lineRule="auto"/>
              <w:ind w:left="11"/>
            </w:pPr>
            <w:r>
              <w:t>保护区的复函。</w:t>
            </w:r>
          </w:p>
          <w:p w14:paraId="34F3D07A">
            <w:pPr>
              <w:pStyle w:val="6"/>
              <w:spacing w:before="212" w:line="219" w:lineRule="auto"/>
              <w:ind w:left="295"/>
            </w:pPr>
            <w:r>
              <w:rPr>
                <w:b/>
                <w:bCs/>
                <w:spacing w:val="-3"/>
              </w:rPr>
              <w:t>表1-15与《曲靖市集中式饮用水水源地保护条例》的符合性分析</w:t>
            </w:r>
          </w:p>
        </w:tc>
      </w:tr>
      <w:tr w14:paraId="268B4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253" w:type="dxa"/>
            <w:vMerge w:val="continue"/>
            <w:tcBorders>
              <w:top w:val="nil"/>
              <w:bottom w:val="nil"/>
            </w:tcBorders>
            <w:vAlign w:val="top"/>
          </w:tcPr>
          <w:p w14:paraId="30E619E8">
            <w:pPr>
              <w:rPr>
                <w:rFonts w:ascii="Arial"/>
                <w:sz w:val="21"/>
              </w:rPr>
            </w:pPr>
          </w:p>
        </w:tc>
        <w:tc>
          <w:tcPr>
            <w:tcW w:w="4475" w:type="dxa"/>
            <w:gridSpan w:val="2"/>
            <w:vAlign w:val="top"/>
          </w:tcPr>
          <w:p w14:paraId="0A2ADCBA">
            <w:pPr>
              <w:pStyle w:val="6"/>
              <w:spacing w:before="175" w:line="219" w:lineRule="auto"/>
              <w:ind w:left="1795"/>
            </w:pPr>
            <w:r>
              <w:rPr>
                <w:b/>
                <w:bCs/>
                <w:spacing w:val="-5"/>
              </w:rPr>
              <w:t>条例要求</w:t>
            </w:r>
          </w:p>
        </w:tc>
        <w:tc>
          <w:tcPr>
            <w:tcW w:w="2637" w:type="dxa"/>
            <w:vAlign w:val="top"/>
          </w:tcPr>
          <w:p w14:paraId="08F50D1A">
            <w:pPr>
              <w:pStyle w:val="6"/>
              <w:spacing w:before="175" w:line="220" w:lineRule="auto"/>
              <w:ind w:left="880"/>
            </w:pPr>
            <w:r>
              <w:rPr>
                <w:b/>
                <w:bCs/>
                <w:spacing w:val="-5"/>
              </w:rPr>
              <w:t>项目情况</w:t>
            </w:r>
          </w:p>
        </w:tc>
        <w:tc>
          <w:tcPr>
            <w:tcW w:w="554" w:type="dxa"/>
            <w:vAlign w:val="top"/>
          </w:tcPr>
          <w:p w14:paraId="4C4A5C74">
            <w:pPr>
              <w:pStyle w:val="6"/>
              <w:spacing w:before="14" w:line="220" w:lineRule="auto"/>
              <w:ind w:left="162" w:right="61" w:hanging="109"/>
            </w:pPr>
            <w:r>
              <w:rPr>
                <w:b/>
                <w:bCs/>
                <w:spacing w:val="-8"/>
              </w:rPr>
              <w:t>符合</w:t>
            </w:r>
            <w:r>
              <w:t xml:space="preserve"> </w:t>
            </w:r>
            <w:r>
              <w:rPr>
                <w:b/>
                <w:bCs/>
                <w:spacing w:val="-3"/>
              </w:rPr>
              <w:t>性</w:t>
            </w:r>
          </w:p>
        </w:tc>
      </w:tr>
      <w:tr w14:paraId="7A709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1253" w:type="dxa"/>
            <w:vMerge w:val="continue"/>
            <w:tcBorders>
              <w:top w:val="nil"/>
            </w:tcBorders>
            <w:vAlign w:val="top"/>
          </w:tcPr>
          <w:p w14:paraId="6D9D0570">
            <w:pPr>
              <w:rPr>
                <w:rFonts w:ascii="Arial"/>
                <w:sz w:val="21"/>
              </w:rPr>
            </w:pPr>
          </w:p>
        </w:tc>
        <w:tc>
          <w:tcPr>
            <w:tcW w:w="4475" w:type="dxa"/>
            <w:gridSpan w:val="2"/>
            <w:vAlign w:val="top"/>
          </w:tcPr>
          <w:p w14:paraId="047F7AA6">
            <w:pPr>
              <w:pStyle w:val="6"/>
              <w:spacing w:before="29" w:line="219" w:lineRule="auto"/>
              <w:ind w:left="31"/>
            </w:pPr>
            <w:r>
              <w:t>第十七条在地表水集中式饮用水水源准保护区</w:t>
            </w:r>
          </w:p>
          <w:p w14:paraId="7B40B7F2">
            <w:pPr>
              <w:pStyle w:val="6"/>
              <w:spacing w:before="8" w:line="219" w:lineRule="auto"/>
              <w:jc w:val="right"/>
            </w:pPr>
            <w:r>
              <w:rPr>
                <w:spacing w:val="-18"/>
              </w:rPr>
              <w:t>内，禁止新建、扩建对水体污染严重的建设项目；</w:t>
            </w:r>
          </w:p>
          <w:p w14:paraId="23E1F1E2">
            <w:pPr>
              <w:pStyle w:val="6"/>
              <w:spacing w:before="9" w:line="219" w:lineRule="auto"/>
              <w:jc w:val="right"/>
            </w:pPr>
            <w:r>
              <w:rPr>
                <w:spacing w:val="-18"/>
              </w:rPr>
              <w:t>改建建设项目，不得增加排污量；不得破坏湿地、</w:t>
            </w:r>
          </w:p>
          <w:p w14:paraId="49915377">
            <w:pPr>
              <w:pStyle w:val="6"/>
              <w:spacing w:before="28" w:line="210" w:lineRule="auto"/>
              <w:jc w:val="right"/>
            </w:pPr>
            <w:r>
              <w:rPr>
                <w:spacing w:val="-8"/>
              </w:rPr>
              <w:t>毁林开荒以及破坏集中式饮用水水源涵养林、护</w:t>
            </w:r>
          </w:p>
          <w:p w14:paraId="1CC640DE">
            <w:pPr>
              <w:pStyle w:val="6"/>
              <w:spacing w:line="205" w:lineRule="auto"/>
              <w:ind w:left="1401"/>
            </w:pPr>
            <w:r>
              <w:rPr>
                <w:spacing w:val="-1"/>
              </w:rPr>
              <w:t>岸林和其他植被。</w:t>
            </w:r>
          </w:p>
        </w:tc>
        <w:tc>
          <w:tcPr>
            <w:tcW w:w="2637" w:type="dxa"/>
            <w:vAlign w:val="top"/>
          </w:tcPr>
          <w:p w14:paraId="20C1C8C4">
            <w:pPr>
              <w:pStyle w:val="6"/>
              <w:spacing w:before="25" w:line="223" w:lineRule="auto"/>
              <w:ind w:left="116" w:right="101" w:firstLine="100"/>
            </w:pPr>
            <w:r>
              <w:rPr>
                <w:spacing w:val="1"/>
              </w:rPr>
              <w:t>本项目设计经过线路和</w:t>
            </w:r>
            <w:r>
              <w:rPr>
                <w:spacing w:val="3"/>
              </w:rPr>
              <w:t xml:space="preserve">  </w:t>
            </w:r>
            <w:r>
              <w:rPr>
                <w:spacing w:val="9"/>
              </w:rPr>
              <w:t>选址的比选，光伏板布</w:t>
            </w:r>
            <w:r>
              <w:t xml:space="preserve">  </w:t>
            </w:r>
            <w:r>
              <w:rPr>
                <w:spacing w:val="10"/>
              </w:rPr>
              <w:t>设已经避开大莫古集镇</w:t>
            </w:r>
            <w:r>
              <w:rPr>
                <w:spacing w:val="3"/>
              </w:rPr>
              <w:t xml:space="preserve">  </w:t>
            </w:r>
            <w:r>
              <w:rPr>
                <w:spacing w:val="10"/>
              </w:rPr>
              <w:t>水厂水源地保护区，但</w:t>
            </w:r>
            <w:r>
              <w:rPr>
                <w:spacing w:val="4"/>
              </w:rPr>
              <w:t xml:space="preserve">  </w:t>
            </w:r>
            <w:r>
              <w:rPr>
                <w:spacing w:val="47"/>
              </w:rPr>
              <w:t>是35</w:t>
            </w:r>
            <w:r>
              <w:t>kV</w:t>
            </w:r>
            <w:r>
              <w:rPr>
                <w:spacing w:val="47"/>
              </w:rPr>
              <w:t>集电线路经过</w:t>
            </w:r>
          </w:p>
        </w:tc>
        <w:tc>
          <w:tcPr>
            <w:tcW w:w="554" w:type="dxa"/>
            <w:vAlign w:val="top"/>
          </w:tcPr>
          <w:p w14:paraId="0F252839">
            <w:pPr>
              <w:spacing w:line="252" w:lineRule="auto"/>
              <w:rPr>
                <w:rFonts w:ascii="Arial"/>
                <w:sz w:val="21"/>
              </w:rPr>
            </w:pPr>
          </w:p>
          <w:p w14:paraId="71B2074D">
            <w:pPr>
              <w:spacing w:line="252" w:lineRule="auto"/>
              <w:rPr>
                <w:rFonts w:ascii="Arial"/>
                <w:sz w:val="21"/>
              </w:rPr>
            </w:pPr>
          </w:p>
          <w:p w14:paraId="5C480451">
            <w:pPr>
              <w:pStyle w:val="6"/>
              <w:spacing w:before="72" w:line="219" w:lineRule="auto"/>
              <w:ind w:left="50"/>
            </w:pPr>
            <w:r>
              <w:rPr>
                <w:spacing w:val="-3"/>
              </w:rPr>
              <w:t>符合</w:t>
            </w:r>
          </w:p>
        </w:tc>
      </w:tr>
    </w:tbl>
    <w:p w14:paraId="43027BD8">
      <w:pPr>
        <w:pStyle w:val="2"/>
      </w:pPr>
    </w:p>
    <w:p w14:paraId="048FF8B4">
      <w:pPr>
        <w:sectPr>
          <w:footerReference r:id="rId46" w:type="default"/>
          <w:pgSz w:w="11910" w:h="16830"/>
          <w:pgMar w:top="400" w:right="1564" w:bottom="1245" w:left="1415" w:header="0" w:footer="1083" w:gutter="0"/>
          <w:cols w:space="720" w:num="1"/>
        </w:sectPr>
      </w:pPr>
    </w:p>
    <w:p w14:paraId="7DE60CE3">
      <w:pPr>
        <w:spacing w:before="18"/>
      </w:pPr>
    </w:p>
    <w:p w14:paraId="5863BEFB">
      <w:pPr>
        <w:spacing w:before="18"/>
      </w:pPr>
    </w:p>
    <w:p w14:paraId="0CDBB742">
      <w:pPr>
        <w:spacing w:before="17"/>
      </w:pPr>
    </w:p>
    <w:p w14:paraId="68F5B862">
      <w:pPr>
        <w:spacing w:before="17"/>
      </w:pPr>
    </w:p>
    <w:p w14:paraId="1C455EEF">
      <w:pPr>
        <w:spacing w:before="17"/>
      </w:pPr>
    </w:p>
    <w:tbl>
      <w:tblPr>
        <w:tblStyle w:val="5"/>
        <w:tblW w:w="8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4495"/>
        <w:gridCol w:w="2627"/>
        <w:gridCol w:w="574"/>
      </w:tblGrid>
      <w:tr w14:paraId="08AB4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0" w:hRule="atLeast"/>
        </w:trPr>
        <w:tc>
          <w:tcPr>
            <w:tcW w:w="1254" w:type="dxa"/>
            <w:vMerge w:val="restart"/>
            <w:tcBorders>
              <w:bottom w:val="nil"/>
            </w:tcBorders>
            <w:vAlign w:val="top"/>
          </w:tcPr>
          <w:p w14:paraId="2D6E5B51">
            <w:pPr>
              <w:rPr>
                <w:rFonts w:ascii="Arial"/>
                <w:sz w:val="21"/>
              </w:rPr>
            </w:pPr>
          </w:p>
        </w:tc>
        <w:tc>
          <w:tcPr>
            <w:tcW w:w="4495" w:type="dxa"/>
            <w:vAlign w:val="top"/>
          </w:tcPr>
          <w:p w14:paraId="33EA5397">
            <w:pPr>
              <w:rPr>
                <w:rFonts w:ascii="Arial"/>
                <w:sz w:val="21"/>
              </w:rPr>
            </w:pPr>
          </w:p>
        </w:tc>
        <w:tc>
          <w:tcPr>
            <w:tcW w:w="2627" w:type="dxa"/>
            <w:vAlign w:val="top"/>
          </w:tcPr>
          <w:p w14:paraId="07A25B2C">
            <w:pPr>
              <w:pStyle w:val="6"/>
              <w:spacing w:before="53" w:line="219" w:lineRule="auto"/>
              <w:ind w:left="85"/>
              <w:rPr>
                <w:sz w:val="21"/>
                <w:szCs w:val="21"/>
              </w:rPr>
            </w:pPr>
            <w:r>
              <w:rPr>
                <w:spacing w:val="1"/>
                <w:sz w:val="21"/>
                <w:szCs w:val="21"/>
              </w:rPr>
              <w:t>设计的线路比选，由于</w:t>
            </w:r>
          </w:p>
          <w:p w14:paraId="71EA2F58">
            <w:pPr>
              <w:pStyle w:val="6"/>
              <w:spacing w:before="19" w:line="219" w:lineRule="auto"/>
              <w:ind w:left="75"/>
              <w:rPr>
                <w:sz w:val="21"/>
                <w:szCs w:val="21"/>
              </w:rPr>
            </w:pPr>
            <w:r>
              <w:rPr>
                <w:spacing w:val="1"/>
                <w:sz w:val="21"/>
                <w:szCs w:val="21"/>
              </w:rPr>
              <w:t>周边基本农田较多，已</w:t>
            </w:r>
          </w:p>
          <w:p w14:paraId="3C82C8BD">
            <w:pPr>
              <w:pStyle w:val="6"/>
              <w:spacing w:before="13" w:line="238" w:lineRule="auto"/>
              <w:ind w:left="75" w:right="62" w:hanging="10"/>
              <w:rPr>
                <w:sz w:val="21"/>
                <w:szCs w:val="21"/>
              </w:rPr>
            </w:pPr>
            <w:r>
              <w:rPr>
                <w:spacing w:val="38"/>
                <w:sz w:val="21"/>
                <w:szCs w:val="21"/>
              </w:rPr>
              <w:t>经无法避开大莫古集镇</w:t>
            </w:r>
            <w:r>
              <w:rPr>
                <w:spacing w:val="7"/>
                <w:sz w:val="21"/>
                <w:szCs w:val="21"/>
              </w:rPr>
              <w:t xml:space="preserve"> </w:t>
            </w:r>
            <w:r>
              <w:rPr>
                <w:sz w:val="21"/>
                <w:szCs w:val="21"/>
              </w:rPr>
              <w:t>水厂水源地保护区，本</w:t>
            </w:r>
          </w:p>
          <w:p w14:paraId="04A99A15">
            <w:pPr>
              <w:pStyle w:val="6"/>
              <w:spacing w:before="17" w:line="233" w:lineRule="auto"/>
              <w:ind w:left="75" w:right="101" w:firstLine="30"/>
              <w:rPr>
                <w:sz w:val="21"/>
                <w:szCs w:val="21"/>
              </w:rPr>
            </w:pPr>
            <w:r>
              <w:rPr>
                <w:spacing w:val="-15"/>
                <w:sz w:val="21"/>
                <w:szCs w:val="21"/>
              </w:rPr>
              <w:t>项 目</w:t>
            </w:r>
            <w:r>
              <w:rPr>
                <w:spacing w:val="-32"/>
                <w:sz w:val="21"/>
                <w:szCs w:val="21"/>
              </w:rPr>
              <w:t xml:space="preserve"> </w:t>
            </w:r>
            <w:r>
              <w:rPr>
                <w:spacing w:val="-15"/>
                <w:sz w:val="21"/>
                <w:szCs w:val="21"/>
              </w:rPr>
              <w:t>3</w:t>
            </w:r>
            <w:r>
              <w:rPr>
                <w:spacing w:val="-40"/>
                <w:sz w:val="21"/>
                <w:szCs w:val="21"/>
              </w:rPr>
              <w:t xml:space="preserve"> </w:t>
            </w:r>
            <w:r>
              <w:rPr>
                <w:spacing w:val="-15"/>
                <w:sz w:val="21"/>
                <w:szCs w:val="21"/>
              </w:rPr>
              <w:t>5</w:t>
            </w:r>
            <w:r>
              <w:rPr>
                <w:spacing w:val="-45"/>
                <w:sz w:val="21"/>
                <w:szCs w:val="21"/>
              </w:rPr>
              <w:t xml:space="preserve"> </w:t>
            </w:r>
            <w:r>
              <w:rPr>
                <w:spacing w:val="-15"/>
                <w:sz w:val="21"/>
                <w:szCs w:val="21"/>
              </w:rPr>
              <w:t>k</w:t>
            </w:r>
            <w:r>
              <w:rPr>
                <w:spacing w:val="-49"/>
                <w:sz w:val="21"/>
                <w:szCs w:val="21"/>
              </w:rPr>
              <w:t xml:space="preserve"> </w:t>
            </w:r>
            <w:r>
              <w:rPr>
                <w:spacing w:val="-15"/>
                <w:sz w:val="21"/>
                <w:szCs w:val="21"/>
              </w:rPr>
              <w:t>V</w:t>
            </w:r>
            <w:r>
              <w:rPr>
                <w:spacing w:val="-44"/>
                <w:sz w:val="21"/>
                <w:szCs w:val="21"/>
              </w:rPr>
              <w:t xml:space="preserve"> </w:t>
            </w:r>
            <w:r>
              <w:rPr>
                <w:spacing w:val="-15"/>
                <w:sz w:val="21"/>
                <w:szCs w:val="21"/>
              </w:rPr>
              <w:t>集 电</w:t>
            </w:r>
            <w:r>
              <w:rPr>
                <w:spacing w:val="-41"/>
                <w:sz w:val="21"/>
                <w:szCs w:val="21"/>
              </w:rPr>
              <w:t xml:space="preserve"> </w:t>
            </w:r>
            <w:r>
              <w:rPr>
                <w:spacing w:val="-15"/>
                <w:sz w:val="21"/>
                <w:szCs w:val="21"/>
              </w:rPr>
              <w:t>线</w:t>
            </w:r>
            <w:r>
              <w:rPr>
                <w:spacing w:val="-42"/>
                <w:sz w:val="21"/>
                <w:szCs w:val="21"/>
              </w:rPr>
              <w:t xml:space="preserve"> </w:t>
            </w:r>
            <w:r>
              <w:rPr>
                <w:spacing w:val="-15"/>
                <w:sz w:val="21"/>
                <w:szCs w:val="21"/>
              </w:rPr>
              <w:t>路</w:t>
            </w:r>
            <w:r>
              <w:rPr>
                <w:spacing w:val="-44"/>
                <w:sz w:val="21"/>
                <w:szCs w:val="21"/>
              </w:rPr>
              <w:t xml:space="preserve"> </w:t>
            </w:r>
            <w:r>
              <w:rPr>
                <w:spacing w:val="-15"/>
                <w:sz w:val="21"/>
                <w:szCs w:val="21"/>
              </w:rPr>
              <w:t>采</w:t>
            </w:r>
            <w:r>
              <w:rPr>
                <w:sz w:val="21"/>
                <w:szCs w:val="21"/>
              </w:rPr>
              <w:t xml:space="preserve"> </w:t>
            </w:r>
            <w:r>
              <w:rPr>
                <w:spacing w:val="-1"/>
                <w:sz w:val="21"/>
                <w:szCs w:val="21"/>
              </w:rPr>
              <w:t>用架空线路的方式穿越</w:t>
            </w:r>
          </w:p>
          <w:p w14:paraId="1F38CA5C">
            <w:pPr>
              <w:pStyle w:val="6"/>
              <w:spacing w:line="219" w:lineRule="auto"/>
              <w:ind w:left="75"/>
              <w:rPr>
                <w:sz w:val="21"/>
                <w:szCs w:val="21"/>
              </w:rPr>
            </w:pPr>
            <w:r>
              <w:rPr>
                <w:spacing w:val="-1"/>
                <w:sz w:val="21"/>
                <w:szCs w:val="21"/>
              </w:rPr>
              <w:t>大莫古集镇水厂水源地</w:t>
            </w:r>
          </w:p>
          <w:p w14:paraId="16186139">
            <w:pPr>
              <w:pStyle w:val="6"/>
              <w:spacing w:before="20" w:line="239" w:lineRule="auto"/>
              <w:ind w:left="75" w:right="61" w:hanging="10"/>
              <w:rPr>
                <w:sz w:val="21"/>
                <w:szCs w:val="21"/>
              </w:rPr>
            </w:pPr>
            <w:r>
              <w:rPr>
                <w:spacing w:val="38"/>
                <w:sz w:val="21"/>
                <w:szCs w:val="21"/>
              </w:rPr>
              <w:t>准保护区，其中位于大</w:t>
            </w:r>
            <w:r>
              <w:rPr>
                <w:spacing w:val="8"/>
                <w:sz w:val="21"/>
                <w:szCs w:val="21"/>
              </w:rPr>
              <w:t xml:space="preserve"> </w:t>
            </w:r>
            <w:r>
              <w:rPr>
                <w:sz w:val="21"/>
                <w:szCs w:val="21"/>
              </w:rPr>
              <w:t>莫古集镇水厂水源地准</w:t>
            </w:r>
          </w:p>
          <w:p w14:paraId="39A138E2">
            <w:pPr>
              <w:pStyle w:val="6"/>
              <w:spacing w:before="17" w:line="219" w:lineRule="auto"/>
              <w:ind w:left="45"/>
              <w:rPr>
                <w:sz w:val="21"/>
                <w:szCs w:val="21"/>
              </w:rPr>
            </w:pPr>
            <w:r>
              <w:rPr>
                <w:spacing w:val="-1"/>
                <w:sz w:val="21"/>
                <w:szCs w:val="21"/>
              </w:rPr>
              <w:t>保护区内的塔基数量为</w:t>
            </w:r>
          </w:p>
          <w:p w14:paraId="5FD3F3F0">
            <w:pPr>
              <w:pStyle w:val="6"/>
              <w:spacing w:before="9" w:line="241" w:lineRule="auto"/>
              <w:ind w:left="64" w:hanging="9"/>
              <w:rPr>
                <w:sz w:val="21"/>
                <w:szCs w:val="21"/>
              </w:rPr>
            </w:pPr>
            <w:r>
              <w:rPr>
                <w:spacing w:val="34"/>
                <w:sz w:val="21"/>
                <w:szCs w:val="21"/>
              </w:rPr>
              <w:t>12座，架空线路长度为</w:t>
            </w:r>
            <w:r>
              <w:rPr>
                <w:spacing w:val="2"/>
                <w:sz w:val="21"/>
                <w:szCs w:val="21"/>
              </w:rPr>
              <w:t xml:space="preserve"> </w:t>
            </w:r>
            <w:r>
              <w:rPr>
                <w:spacing w:val="35"/>
                <w:sz w:val="21"/>
                <w:szCs w:val="21"/>
              </w:rPr>
              <w:t>3105m。本项目集电线</w:t>
            </w:r>
            <w:r>
              <w:rPr>
                <w:spacing w:val="3"/>
                <w:sz w:val="21"/>
                <w:szCs w:val="21"/>
              </w:rPr>
              <w:t xml:space="preserve">  </w:t>
            </w:r>
            <w:r>
              <w:rPr>
                <w:spacing w:val="-15"/>
                <w:sz w:val="21"/>
                <w:szCs w:val="21"/>
              </w:rPr>
              <w:t>路 (</w:t>
            </w:r>
            <w:r>
              <w:rPr>
                <w:spacing w:val="-23"/>
                <w:sz w:val="21"/>
                <w:szCs w:val="21"/>
              </w:rPr>
              <w:t xml:space="preserve"> </w:t>
            </w:r>
            <w:r>
              <w:rPr>
                <w:spacing w:val="-15"/>
                <w:sz w:val="21"/>
                <w:szCs w:val="21"/>
              </w:rPr>
              <w:t>埋</w:t>
            </w:r>
            <w:r>
              <w:rPr>
                <w:spacing w:val="-30"/>
                <w:sz w:val="21"/>
                <w:szCs w:val="21"/>
              </w:rPr>
              <w:t xml:space="preserve"> </w:t>
            </w:r>
            <w:r>
              <w:rPr>
                <w:spacing w:val="-15"/>
                <w:sz w:val="21"/>
                <w:szCs w:val="21"/>
              </w:rPr>
              <w:t>地</w:t>
            </w:r>
            <w:r>
              <w:rPr>
                <w:spacing w:val="-29"/>
                <w:sz w:val="21"/>
                <w:szCs w:val="21"/>
              </w:rPr>
              <w:t xml:space="preserve"> </w:t>
            </w:r>
            <w:r>
              <w:rPr>
                <w:spacing w:val="-15"/>
                <w:sz w:val="21"/>
                <w:szCs w:val="21"/>
              </w:rPr>
              <w:t>) 穿</w:t>
            </w:r>
            <w:r>
              <w:rPr>
                <w:spacing w:val="-31"/>
                <w:sz w:val="21"/>
                <w:szCs w:val="21"/>
              </w:rPr>
              <w:t xml:space="preserve"> </w:t>
            </w:r>
            <w:r>
              <w:rPr>
                <w:spacing w:val="-15"/>
                <w:sz w:val="21"/>
                <w:szCs w:val="21"/>
              </w:rPr>
              <w:t>越</w:t>
            </w:r>
            <w:r>
              <w:rPr>
                <w:spacing w:val="-30"/>
                <w:sz w:val="21"/>
                <w:szCs w:val="21"/>
              </w:rPr>
              <w:t xml:space="preserve"> </w:t>
            </w:r>
            <w:r>
              <w:rPr>
                <w:spacing w:val="-15"/>
                <w:sz w:val="21"/>
                <w:szCs w:val="21"/>
              </w:rPr>
              <w:t>饮</w:t>
            </w:r>
            <w:r>
              <w:rPr>
                <w:spacing w:val="-29"/>
                <w:sz w:val="21"/>
                <w:szCs w:val="21"/>
              </w:rPr>
              <w:t xml:space="preserve"> </w:t>
            </w:r>
            <w:r>
              <w:rPr>
                <w:spacing w:val="-15"/>
                <w:sz w:val="21"/>
                <w:szCs w:val="21"/>
              </w:rPr>
              <w:t>用</w:t>
            </w:r>
            <w:r>
              <w:rPr>
                <w:spacing w:val="-27"/>
                <w:sz w:val="21"/>
                <w:szCs w:val="21"/>
              </w:rPr>
              <w:t xml:space="preserve"> </w:t>
            </w:r>
            <w:r>
              <w:rPr>
                <w:spacing w:val="-15"/>
                <w:sz w:val="21"/>
                <w:szCs w:val="21"/>
              </w:rPr>
              <w:t>水</w:t>
            </w:r>
            <w:r>
              <w:rPr>
                <w:sz w:val="21"/>
                <w:szCs w:val="21"/>
              </w:rPr>
              <w:t xml:space="preserve">  </w:t>
            </w:r>
            <w:r>
              <w:rPr>
                <w:spacing w:val="37"/>
                <w:sz w:val="21"/>
                <w:szCs w:val="21"/>
              </w:rPr>
              <w:t>水源准保护区约450m。</w:t>
            </w:r>
            <w:r>
              <w:rPr>
                <w:spacing w:val="6"/>
                <w:sz w:val="21"/>
                <w:szCs w:val="21"/>
              </w:rPr>
              <w:t xml:space="preserve"> </w:t>
            </w:r>
            <w:r>
              <w:rPr>
                <w:spacing w:val="-3"/>
                <w:sz w:val="21"/>
                <w:szCs w:val="21"/>
              </w:rPr>
              <w:t>本项目集电线路穿越大</w:t>
            </w:r>
          </w:p>
          <w:p w14:paraId="07FA9ECB">
            <w:pPr>
              <w:pStyle w:val="6"/>
              <w:spacing w:before="1" w:line="238" w:lineRule="auto"/>
              <w:ind w:left="85" w:right="425" w:hanging="10"/>
              <w:rPr>
                <w:sz w:val="21"/>
                <w:szCs w:val="21"/>
              </w:rPr>
            </w:pPr>
            <w:r>
              <w:rPr>
                <w:sz w:val="21"/>
                <w:szCs w:val="21"/>
              </w:rPr>
              <w:t>莫古集镇水厂水源地准</w:t>
            </w:r>
            <w:r>
              <w:rPr>
                <w:spacing w:val="8"/>
                <w:sz w:val="21"/>
                <w:szCs w:val="21"/>
              </w:rPr>
              <w:t xml:space="preserve"> </w:t>
            </w:r>
            <w:r>
              <w:rPr>
                <w:spacing w:val="-1"/>
                <w:sz w:val="21"/>
                <w:szCs w:val="21"/>
              </w:rPr>
              <w:t>保护区路径已经取得陆</w:t>
            </w:r>
            <w:r>
              <w:rPr>
                <w:sz w:val="21"/>
                <w:szCs w:val="21"/>
              </w:rPr>
              <w:t xml:space="preserve"> 良人民政府同意的函。</w:t>
            </w:r>
          </w:p>
          <w:p w14:paraId="506AE854">
            <w:pPr>
              <w:pStyle w:val="6"/>
              <w:spacing w:before="16" w:line="219" w:lineRule="auto"/>
              <w:ind w:left="115"/>
              <w:rPr>
                <w:sz w:val="21"/>
                <w:szCs w:val="21"/>
              </w:rPr>
            </w:pPr>
            <w:r>
              <w:rPr>
                <w:spacing w:val="-1"/>
                <w:sz w:val="21"/>
                <w:szCs w:val="21"/>
              </w:rPr>
              <w:t>本项目不属于对水体污</w:t>
            </w:r>
          </w:p>
          <w:p w14:paraId="57DCEFE5">
            <w:pPr>
              <w:pStyle w:val="6"/>
              <w:spacing w:before="21" w:line="219" w:lineRule="auto"/>
              <w:ind w:left="45"/>
              <w:rPr>
                <w:sz w:val="21"/>
                <w:szCs w:val="21"/>
              </w:rPr>
            </w:pPr>
            <w:r>
              <w:rPr>
                <w:spacing w:val="3"/>
                <w:sz w:val="21"/>
                <w:szCs w:val="21"/>
              </w:rPr>
              <w:t>染严重的建设项目。本项目</w:t>
            </w:r>
          </w:p>
          <w:p w14:paraId="7555DCC9">
            <w:pPr>
              <w:pStyle w:val="6"/>
              <w:spacing w:before="23" w:line="219" w:lineRule="auto"/>
              <w:ind w:left="45"/>
              <w:rPr>
                <w:sz w:val="21"/>
                <w:szCs w:val="21"/>
              </w:rPr>
            </w:pPr>
            <w:r>
              <w:rPr>
                <w:sz w:val="21"/>
                <w:szCs w:val="21"/>
              </w:rPr>
              <w:t>也不涉及水污染物排放，不</w:t>
            </w:r>
          </w:p>
          <w:p w14:paraId="6A24E6BB">
            <w:pPr>
              <w:pStyle w:val="6"/>
              <w:spacing w:before="21" w:line="220" w:lineRule="auto"/>
              <w:ind w:left="45"/>
              <w:rPr>
                <w:sz w:val="21"/>
                <w:szCs w:val="21"/>
              </w:rPr>
            </w:pPr>
            <w:r>
              <w:rPr>
                <w:sz w:val="21"/>
                <w:szCs w:val="21"/>
              </w:rPr>
              <w:t>涉及破坏湿地，项目占地不</w:t>
            </w:r>
          </w:p>
          <w:p w14:paraId="11D9045F">
            <w:pPr>
              <w:pStyle w:val="6"/>
              <w:spacing w:before="9" w:line="219" w:lineRule="auto"/>
              <w:ind w:left="45"/>
              <w:rPr>
                <w:sz w:val="21"/>
                <w:szCs w:val="21"/>
              </w:rPr>
            </w:pPr>
            <w:r>
              <w:rPr>
                <w:spacing w:val="-1"/>
                <w:sz w:val="21"/>
                <w:szCs w:val="21"/>
              </w:rPr>
              <w:t>涉及集中式饮用水水源涵养</w:t>
            </w:r>
          </w:p>
          <w:p w14:paraId="77F39CAC">
            <w:pPr>
              <w:pStyle w:val="6"/>
              <w:spacing w:before="21" w:line="199" w:lineRule="auto"/>
              <w:ind w:left="206"/>
              <w:rPr>
                <w:sz w:val="21"/>
                <w:szCs w:val="21"/>
              </w:rPr>
            </w:pPr>
            <w:r>
              <w:rPr>
                <w:spacing w:val="-1"/>
                <w:sz w:val="21"/>
                <w:szCs w:val="21"/>
              </w:rPr>
              <w:t>林、护岸林和其他植被。</w:t>
            </w:r>
          </w:p>
        </w:tc>
        <w:tc>
          <w:tcPr>
            <w:tcW w:w="574" w:type="dxa"/>
            <w:vAlign w:val="top"/>
          </w:tcPr>
          <w:p w14:paraId="31F1DAC7">
            <w:pPr>
              <w:rPr>
                <w:rFonts w:ascii="Arial"/>
                <w:sz w:val="21"/>
              </w:rPr>
            </w:pPr>
          </w:p>
        </w:tc>
      </w:tr>
      <w:tr w14:paraId="53A37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7" w:hRule="atLeast"/>
        </w:trPr>
        <w:tc>
          <w:tcPr>
            <w:tcW w:w="1254" w:type="dxa"/>
            <w:vMerge w:val="continue"/>
            <w:tcBorders>
              <w:top w:val="nil"/>
              <w:bottom w:val="nil"/>
            </w:tcBorders>
            <w:vAlign w:val="top"/>
          </w:tcPr>
          <w:p w14:paraId="720FB53E">
            <w:pPr>
              <w:rPr>
                <w:rFonts w:ascii="Arial"/>
                <w:sz w:val="21"/>
              </w:rPr>
            </w:pPr>
          </w:p>
        </w:tc>
        <w:tc>
          <w:tcPr>
            <w:tcW w:w="4495" w:type="dxa"/>
            <w:vAlign w:val="top"/>
          </w:tcPr>
          <w:p w14:paraId="0C8D6685">
            <w:pPr>
              <w:pStyle w:val="6"/>
              <w:spacing w:before="63" w:line="219" w:lineRule="auto"/>
              <w:ind w:left="60"/>
              <w:rPr>
                <w:sz w:val="21"/>
                <w:szCs w:val="21"/>
              </w:rPr>
            </w:pPr>
            <w:r>
              <w:rPr>
                <w:sz w:val="21"/>
                <w:szCs w:val="21"/>
              </w:rPr>
              <w:t>第十八条在地表水集中式饮用水水源二级保护</w:t>
            </w:r>
          </w:p>
          <w:p w14:paraId="7581892F">
            <w:pPr>
              <w:pStyle w:val="6"/>
              <w:spacing w:before="21" w:line="220" w:lineRule="auto"/>
              <w:ind w:left="10" w:firstLine="149"/>
              <w:rPr>
                <w:sz w:val="21"/>
                <w:szCs w:val="21"/>
              </w:rPr>
            </w:pPr>
            <w:r>
              <w:rPr>
                <w:spacing w:val="-5"/>
                <w:sz w:val="21"/>
                <w:szCs w:val="21"/>
              </w:rPr>
              <w:t>区内，除第十七条规定禁止的行为外，还禁止下</w:t>
            </w:r>
            <w:r>
              <w:rPr>
                <w:spacing w:val="18"/>
                <w:sz w:val="21"/>
                <w:szCs w:val="21"/>
              </w:rPr>
              <w:t xml:space="preserve"> </w:t>
            </w:r>
            <w:r>
              <w:rPr>
                <w:spacing w:val="-2"/>
                <w:sz w:val="21"/>
                <w:szCs w:val="21"/>
              </w:rPr>
              <w:t>列行为：</w:t>
            </w:r>
          </w:p>
          <w:p w14:paraId="3941B9E9">
            <w:pPr>
              <w:pStyle w:val="6"/>
              <w:spacing w:before="30" w:line="221" w:lineRule="auto"/>
              <w:ind w:left="161"/>
              <w:rPr>
                <w:sz w:val="21"/>
                <w:szCs w:val="21"/>
              </w:rPr>
            </w:pPr>
            <w:r>
              <w:rPr>
                <w:spacing w:val="11"/>
                <w:sz w:val="21"/>
                <w:szCs w:val="21"/>
              </w:rPr>
              <w:t>(一)设置排污口；</w:t>
            </w:r>
          </w:p>
          <w:p w14:paraId="3B58BE6E">
            <w:pPr>
              <w:pStyle w:val="6"/>
              <w:spacing w:before="17" w:line="219" w:lineRule="auto"/>
              <w:jc w:val="right"/>
              <w:rPr>
                <w:sz w:val="21"/>
                <w:szCs w:val="21"/>
              </w:rPr>
            </w:pPr>
            <w:r>
              <w:rPr>
                <w:spacing w:val="-5"/>
                <w:sz w:val="21"/>
                <w:szCs w:val="21"/>
              </w:rPr>
              <w:t>(二)新建、改建、扩建排放污染物的建设项目；</w:t>
            </w:r>
          </w:p>
          <w:p w14:paraId="1CA157CF">
            <w:pPr>
              <w:pStyle w:val="6"/>
              <w:spacing w:before="40" w:line="219" w:lineRule="auto"/>
              <w:ind w:left="161"/>
              <w:rPr>
                <w:sz w:val="21"/>
                <w:szCs w:val="21"/>
              </w:rPr>
            </w:pPr>
            <w:r>
              <w:rPr>
                <w:spacing w:val="6"/>
                <w:sz w:val="21"/>
                <w:szCs w:val="21"/>
              </w:rPr>
              <w:t>(三)建设畜禽养殖场、养殖小区；</w:t>
            </w:r>
          </w:p>
          <w:p w14:paraId="6874BAE2">
            <w:pPr>
              <w:pStyle w:val="6"/>
              <w:spacing w:before="11" w:line="219" w:lineRule="auto"/>
              <w:ind w:left="161"/>
              <w:rPr>
                <w:sz w:val="21"/>
                <w:szCs w:val="21"/>
              </w:rPr>
            </w:pPr>
            <w:r>
              <w:rPr>
                <w:spacing w:val="13"/>
                <w:sz w:val="21"/>
                <w:szCs w:val="21"/>
              </w:rPr>
              <w:t>(四)使用农药；</w:t>
            </w:r>
          </w:p>
          <w:p w14:paraId="55347FBC">
            <w:pPr>
              <w:pStyle w:val="6"/>
              <w:spacing w:before="21" w:line="219" w:lineRule="auto"/>
              <w:jc w:val="right"/>
              <w:rPr>
                <w:sz w:val="21"/>
                <w:szCs w:val="21"/>
              </w:rPr>
            </w:pPr>
            <w:r>
              <w:rPr>
                <w:spacing w:val="-5"/>
                <w:sz w:val="21"/>
                <w:szCs w:val="21"/>
              </w:rPr>
              <w:t>(五)丢弃农药、农药包装物或者清洗施药器械；</w:t>
            </w:r>
          </w:p>
          <w:p w14:paraId="2E93F305">
            <w:pPr>
              <w:pStyle w:val="6"/>
              <w:spacing w:before="20" w:line="238" w:lineRule="auto"/>
              <w:ind w:left="40" w:firstLine="127"/>
              <w:rPr>
                <w:sz w:val="21"/>
                <w:szCs w:val="21"/>
              </w:rPr>
            </w:pPr>
            <w:r>
              <w:rPr>
                <w:spacing w:val="-5"/>
                <w:sz w:val="21"/>
                <w:szCs w:val="21"/>
              </w:rPr>
              <w:t>(六)建设工业固体废物集中贮存、处置的设施、</w:t>
            </w:r>
            <w:r>
              <w:rPr>
                <w:spacing w:val="15"/>
                <w:sz w:val="21"/>
                <w:szCs w:val="21"/>
              </w:rPr>
              <w:t xml:space="preserve"> </w:t>
            </w:r>
            <w:r>
              <w:rPr>
                <w:spacing w:val="4"/>
                <w:sz w:val="21"/>
                <w:szCs w:val="21"/>
              </w:rPr>
              <w:t>场所和生活垃圾填埋场；</w:t>
            </w:r>
          </w:p>
          <w:p w14:paraId="37621775">
            <w:pPr>
              <w:pStyle w:val="6"/>
              <w:spacing w:before="19" w:line="224" w:lineRule="auto"/>
              <w:ind w:left="30" w:firstLine="146"/>
              <w:rPr>
                <w:sz w:val="21"/>
                <w:szCs w:val="21"/>
              </w:rPr>
            </w:pPr>
            <w:r>
              <w:rPr>
                <w:spacing w:val="-5"/>
                <w:sz w:val="21"/>
                <w:szCs w:val="21"/>
              </w:rPr>
              <w:t>(七)倾倒、堆放、掩埋废液、废渣、病死畜禽、</w:t>
            </w:r>
            <w:r>
              <w:rPr>
                <w:spacing w:val="6"/>
                <w:sz w:val="21"/>
                <w:szCs w:val="21"/>
              </w:rPr>
              <w:t xml:space="preserve"> </w:t>
            </w:r>
            <w:r>
              <w:rPr>
                <w:spacing w:val="4"/>
                <w:sz w:val="21"/>
                <w:szCs w:val="21"/>
              </w:rPr>
              <w:t>垃圾及其他固体废弃物；</w:t>
            </w:r>
          </w:p>
          <w:p w14:paraId="4A0CDA60">
            <w:pPr>
              <w:pStyle w:val="6"/>
              <w:spacing w:before="21" w:line="219" w:lineRule="auto"/>
              <w:ind w:left="161"/>
              <w:rPr>
                <w:sz w:val="21"/>
                <w:szCs w:val="21"/>
              </w:rPr>
            </w:pPr>
            <w:r>
              <w:rPr>
                <w:spacing w:val="5"/>
                <w:sz w:val="21"/>
                <w:szCs w:val="21"/>
              </w:rPr>
              <w:t>(八)设立有毒、有害化学仓库和堆栈；</w:t>
            </w:r>
          </w:p>
          <w:p w14:paraId="4AA4853B">
            <w:pPr>
              <w:pStyle w:val="6"/>
              <w:spacing w:before="41" w:line="219" w:lineRule="auto"/>
              <w:ind w:left="161"/>
              <w:rPr>
                <w:sz w:val="21"/>
                <w:szCs w:val="21"/>
              </w:rPr>
            </w:pPr>
            <w:r>
              <w:rPr>
                <w:spacing w:val="8"/>
                <w:sz w:val="21"/>
                <w:szCs w:val="21"/>
              </w:rPr>
              <w:t>(九)设置加油站、油库；</w:t>
            </w:r>
          </w:p>
          <w:p w14:paraId="1476563F">
            <w:pPr>
              <w:pStyle w:val="6"/>
              <w:spacing w:before="1" w:line="220" w:lineRule="auto"/>
              <w:ind w:left="161"/>
              <w:rPr>
                <w:sz w:val="21"/>
                <w:szCs w:val="21"/>
              </w:rPr>
            </w:pPr>
            <w:r>
              <w:rPr>
                <w:spacing w:val="13"/>
                <w:sz w:val="21"/>
                <w:szCs w:val="21"/>
              </w:rPr>
              <w:t>(十)建造坟墓；</w:t>
            </w:r>
          </w:p>
          <w:p w14:paraId="7C77370F">
            <w:pPr>
              <w:pStyle w:val="6"/>
              <w:spacing w:before="28" w:line="219" w:lineRule="auto"/>
              <w:ind w:left="161"/>
              <w:rPr>
                <w:sz w:val="21"/>
                <w:szCs w:val="21"/>
              </w:rPr>
            </w:pPr>
            <w:r>
              <w:rPr>
                <w:spacing w:val="5"/>
                <w:sz w:val="21"/>
                <w:szCs w:val="21"/>
              </w:rPr>
              <w:t>(十一)从事取土、挖沙、采石等活动；</w:t>
            </w:r>
          </w:p>
          <w:p w14:paraId="19838EE9">
            <w:pPr>
              <w:pStyle w:val="6"/>
              <w:spacing w:before="32" w:line="188" w:lineRule="auto"/>
              <w:ind w:left="161"/>
              <w:rPr>
                <w:sz w:val="21"/>
                <w:szCs w:val="21"/>
              </w:rPr>
            </w:pPr>
            <w:r>
              <w:rPr>
                <w:spacing w:val="-1"/>
                <w:sz w:val="21"/>
                <w:szCs w:val="21"/>
              </w:rPr>
              <w:t>(十二)法律、法规禁止的其他行为。</w:t>
            </w:r>
          </w:p>
        </w:tc>
        <w:tc>
          <w:tcPr>
            <w:tcW w:w="2627" w:type="dxa"/>
            <w:vAlign w:val="top"/>
          </w:tcPr>
          <w:p w14:paraId="2C8BAB15">
            <w:pPr>
              <w:spacing w:line="245" w:lineRule="auto"/>
              <w:rPr>
                <w:rFonts w:ascii="Arial"/>
                <w:sz w:val="21"/>
              </w:rPr>
            </w:pPr>
          </w:p>
          <w:p w14:paraId="7E11A080">
            <w:pPr>
              <w:spacing w:line="245" w:lineRule="auto"/>
              <w:rPr>
                <w:rFonts w:ascii="Arial"/>
                <w:sz w:val="21"/>
              </w:rPr>
            </w:pPr>
          </w:p>
          <w:p w14:paraId="7D67C9E4">
            <w:pPr>
              <w:spacing w:line="246" w:lineRule="auto"/>
              <w:rPr>
                <w:rFonts w:ascii="Arial"/>
                <w:sz w:val="21"/>
              </w:rPr>
            </w:pPr>
          </w:p>
          <w:p w14:paraId="22A31E78">
            <w:pPr>
              <w:spacing w:line="246" w:lineRule="auto"/>
              <w:rPr>
                <w:rFonts w:ascii="Arial"/>
                <w:sz w:val="21"/>
              </w:rPr>
            </w:pPr>
          </w:p>
          <w:p w14:paraId="1B5B73BF">
            <w:pPr>
              <w:spacing w:line="246" w:lineRule="auto"/>
              <w:rPr>
                <w:rFonts w:ascii="Arial"/>
                <w:sz w:val="21"/>
              </w:rPr>
            </w:pPr>
          </w:p>
          <w:p w14:paraId="5156EE11">
            <w:pPr>
              <w:spacing w:line="246" w:lineRule="auto"/>
              <w:rPr>
                <w:rFonts w:ascii="Arial"/>
                <w:sz w:val="21"/>
              </w:rPr>
            </w:pPr>
          </w:p>
          <w:p w14:paraId="4A5E6259">
            <w:pPr>
              <w:pStyle w:val="6"/>
              <w:spacing w:before="68" w:line="218" w:lineRule="auto"/>
              <w:ind w:left="45"/>
              <w:rPr>
                <w:sz w:val="21"/>
                <w:szCs w:val="21"/>
              </w:rPr>
            </w:pPr>
            <w:r>
              <w:rPr>
                <w:spacing w:val="-1"/>
                <w:sz w:val="21"/>
                <w:szCs w:val="21"/>
              </w:rPr>
              <w:t>本次评价前往曲靖市生态环</w:t>
            </w:r>
          </w:p>
          <w:p w14:paraId="5D17FF6D">
            <w:pPr>
              <w:pStyle w:val="6"/>
              <w:spacing w:before="14" w:line="219" w:lineRule="auto"/>
              <w:ind w:left="45"/>
              <w:rPr>
                <w:sz w:val="21"/>
                <w:szCs w:val="21"/>
              </w:rPr>
            </w:pPr>
            <w:r>
              <w:rPr>
                <w:spacing w:val="-1"/>
                <w:sz w:val="21"/>
                <w:szCs w:val="21"/>
              </w:rPr>
              <w:t>境局陆良分局查询大莫古集</w:t>
            </w:r>
          </w:p>
          <w:p w14:paraId="57DFD319">
            <w:pPr>
              <w:pStyle w:val="6"/>
              <w:spacing w:before="20" w:line="219" w:lineRule="auto"/>
              <w:ind w:left="45"/>
              <w:rPr>
                <w:sz w:val="21"/>
                <w:szCs w:val="21"/>
              </w:rPr>
            </w:pPr>
            <w:r>
              <w:rPr>
                <w:spacing w:val="-1"/>
                <w:sz w:val="21"/>
                <w:szCs w:val="21"/>
              </w:rPr>
              <w:t>镇水厂饮用水水源保护区矢</w:t>
            </w:r>
          </w:p>
          <w:p w14:paraId="0757660A">
            <w:pPr>
              <w:pStyle w:val="6"/>
              <w:spacing w:before="19" w:line="219" w:lineRule="auto"/>
              <w:ind w:left="45"/>
              <w:rPr>
                <w:sz w:val="21"/>
                <w:szCs w:val="21"/>
              </w:rPr>
            </w:pPr>
            <w:r>
              <w:rPr>
                <w:spacing w:val="2"/>
                <w:sz w:val="21"/>
                <w:szCs w:val="21"/>
              </w:rPr>
              <w:t>量数据，本项目不涉及饮用</w:t>
            </w:r>
          </w:p>
          <w:p w14:paraId="65B66571">
            <w:pPr>
              <w:pStyle w:val="6"/>
              <w:spacing w:before="22" w:line="219" w:lineRule="auto"/>
              <w:ind w:left="45"/>
              <w:rPr>
                <w:sz w:val="21"/>
                <w:szCs w:val="21"/>
              </w:rPr>
            </w:pPr>
            <w:r>
              <w:rPr>
                <w:sz w:val="21"/>
                <w:szCs w:val="21"/>
              </w:rPr>
              <w:t>水水源一级保护区及饮用水</w:t>
            </w:r>
          </w:p>
          <w:p w14:paraId="64E9630B">
            <w:pPr>
              <w:pStyle w:val="6"/>
              <w:spacing w:before="41" w:line="219" w:lineRule="auto"/>
              <w:ind w:left="516"/>
              <w:rPr>
                <w:sz w:val="21"/>
                <w:szCs w:val="21"/>
              </w:rPr>
            </w:pPr>
            <w:r>
              <w:rPr>
                <w:sz w:val="21"/>
                <w:szCs w:val="21"/>
              </w:rPr>
              <w:t>水源二级保护区。</w:t>
            </w:r>
          </w:p>
        </w:tc>
        <w:tc>
          <w:tcPr>
            <w:tcW w:w="574" w:type="dxa"/>
            <w:vAlign w:val="top"/>
          </w:tcPr>
          <w:p w14:paraId="2BB7CDF2">
            <w:pPr>
              <w:spacing w:line="267" w:lineRule="auto"/>
              <w:rPr>
                <w:rFonts w:ascii="Arial"/>
                <w:sz w:val="21"/>
              </w:rPr>
            </w:pPr>
          </w:p>
          <w:p w14:paraId="280F944D">
            <w:pPr>
              <w:spacing w:line="267" w:lineRule="auto"/>
              <w:rPr>
                <w:rFonts w:ascii="Arial"/>
                <w:sz w:val="21"/>
              </w:rPr>
            </w:pPr>
          </w:p>
          <w:p w14:paraId="59E3B46D">
            <w:pPr>
              <w:spacing w:line="268" w:lineRule="auto"/>
              <w:rPr>
                <w:rFonts w:ascii="Arial"/>
                <w:sz w:val="21"/>
              </w:rPr>
            </w:pPr>
          </w:p>
          <w:p w14:paraId="44CAC52B">
            <w:pPr>
              <w:spacing w:line="268" w:lineRule="auto"/>
              <w:rPr>
                <w:rFonts w:ascii="Arial"/>
                <w:sz w:val="21"/>
              </w:rPr>
            </w:pPr>
          </w:p>
          <w:p w14:paraId="25EC536B">
            <w:pPr>
              <w:spacing w:line="268" w:lineRule="auto"/>
              <w:rPr>
                <w:rFonts w:ascii="Arial"/>
                <w:sz w:val="21"/>
              </w:rPr>
            </w:pPr>
          </w:p>
          <w:p w14:paraId="0DD95246">
            <w:pPr>
              <w:spacing w:line="268" w:lineRule="auto"/>
              <w:rPr>
                <w:rFonts w:ascii="Arial"/>
                <w:sz w:val="21"/>
              </w:rPr>
            </w:pPr>
          </w:p>
          <w:p w14:paraId="30EECA52">
            <w:pPr>
              <w:spacing w:line="268" w:lineRule="auto"/>
              <w:rPr>
                <w:rFonts w:ascii="Arial"/>
                <w:sz w:val="21"/>
              </w:rPr>
            </w:pPr>
          </w:p>
          <w:p w14:paraId="52C9DC23">
            <w:pPr>
              <w:spacing w:line="268" w:lineRule="auto"/>
              <w:rPr>
                <w:rFonts w:ascii="Arial"/>
                <w:sz w:val="21"/>
              </w:rPr>
            </w:pPr>
          </w:p>
          <w:p w14:paraId="6E09C527">
            <w:pPr>
              <w:pStyle w:val="6"/>
              <w:spacing w:before="68" w:line="219" w:lineRule="auto"/>
              <w:ind w:right="20"/>
              <w:jc w:val="right"/>
              <w:rPr>
                <w:sz w:val="21"/>
                <w:szCs w:val="21"/>
              </w:rPr>
            </w:pPr>
            <w:r>
              <w:rPr>
                <w:spacing w:val="-3"/>
                <w:sz w:val="21"/>
                <w:szCs w:val="21"/>
              </w:rPr>
              <w:t>符合</w:t>
            </w:r>
          </w:p>
        </w:tc>
      </w:tr>
      <w:tr w14:paraId="5A754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3" w:hRule="atLeast"/>
        </w:trPr>
        <w:tc>
          <w:tcPr>
            <w:tcW w:w="1254" w:type="dxa"/>
            <w:vMerge w:val="continue"/>
            <w:tcBorders>
              <w:top w:val="nil"/>
            </w:tcBorders>
            <w:vAlign w:val="top"/>
          </w:tcPr>
          <w:p w14:paraId="38B5F18C">
            <w:pPr>
              <w:rPr>
                <w:rFonts w:ascii="Arial"/>
                <w:sz w:val="21"/>
              </w:rPr>
            </w:pPr>
          </w:p>
        </w:tc>
        <w:tc>
          <w:tcPr>
            <w:tcW w:w="4495" w:type="dxa"/>
            <w:vAlign w:val="top"/>
          </w:tcPr>
          <w:p w14:paraId="549079EC">
            <w:pPr>
              <w:pStyle w:val="6"/>
              <w:spacing w:before="36" w:line="219" w:lineRule="auto"/>
              <w:ind w:left="70"/>
              <w:rPr>
                <w:sz w:val="21"/>
                <w:szCs w:val="21"/>
              </w:rPr>
            </w:pPr>
            <w:r>
              <w:rPr>
                <w:sz w:val="21"/>
                <w:szCs w:val="21"/>
              </w:rPr>
              <w:t>第十九条在地表水集中式饮用水水源一级保护</w:t>
            </w:r>
          </w:p>
          <w:p w14:paraId="7006354C">
            <w:pPr>
              <w:pStyle w:val="6"/>
              <w:spacing w:before="20" w:line="246" w:lineRule="auto"/>
              <w:ind w:left="30" w:firstLine="39"/>
              <w:rPr>
                <w:sz w:val="21"/>
                <w:szCs w:val="21"/>
              </w:rPr>
            </w:pPr>
            <w:r>
              <w:rPr>
                <w:sz w:val="21"/>
                <w:szCs w:val="21"/>
              </w:rPr>
              <w:t>区内，除第十八条规定禁止的行为外，还禁止下</w:t>
            </w:r>
            <w:r>
              <w:rPr>
                <w:spacing w:val="3"/>
                <w:sz w:val="21"/>
                <w:szCs w:val="21"/>
              </w:rPr>
              <w:t xml:space="preserve"> </w:t>
            </w:r>
            <w:r>
              <w:rPr>
                <w:spacing w:val="-2"/>
                <w:sz w:val="21"/>
                <w:szCs w:val="21"/>
              </w:rPr>
              <w:t>列行为：</w:t>
            </w:r>
          </w:p>
          <w:p w14:paraId="17EFEA28">
            <w:pPr>
              <w:pStyle w:val="6"/>
              <w:spacing w:before="1" w:line="233" w:lineRule="auto"/>
              <w:ind w:left="50" w:right="115" w:firstLine="110"/>
              <w:rPr>
                <w:sz w:val="21"/>
                <w:szCs w:val="21"/>
              </w:rPr>
            </w:pPr>
            <w:r>
              <w:rPr>
                <w:sz w:val="21"/>
                <w:szCs w:val="21"/>
              </w:rPr>
              <w:t>(一)新建、改建、扩建与供水设施和保护水源</w:t>
            </w:r>
            <w:r>
              <w:rPr>
                <w:spacing w:val="7"/>
                <w:sz w:val="21"/>
                <w:szCs w:val="21"/>
              </w:rPr>
              <w:t xml:space="preserve"> </w:t>
            </w:r>
            <w:r>
              <w:rPr>
                <w:spacing w:val="13"/>
                <w:sz w:val="21"/>
                <w:szCs w:val="21"/>
              </w:rPr>
              <w:t>无关的建设项目；</w:t>
            </w:r>
          </w:p>
          <w:p w14:paraId="56527DA5">
            <w:pPr>
              <w:pStyle w:val="6"/>
              <w:spacing w:before="19" w:line="219" w:lineRule="auto"/>
              <w:ind w:left="161"/>
              <w:rPr>
                <w:sz w:val="21"/>
                <w:szCs w:val="21"/>
              </w:rPr>
            </w:pPr>
            <w:r>
              <w:rPr>
                <w:spacing w:val="13"/>
                <w:sz w:val="21"/>
                <w:szCs w:val="21"/>
              </w:rPr>
              <w:t>(二)放养畜禽；</w:t>
            </w:r>
          </w:p>
          <w:p w14:paraId="52FF8D8F">
            <w:pPr>
              <w:pStyle w:val="6"/>
              <w:spacing w:before="9" w:line="223" w:lineRule="auto"/>
              <w:ind w:left="60" w:firstLine="136"/>
              <w:rPr>
                <w:sz w:val="21"/>
                <w:szCs w:val="21"/>
              </w:rPr>
            </w:pPr>
            <w:r>
              <w:rPr>
                <w:spacing w:val="-6"/>
                <w:sz w:val="21"/>
                <w:szCs w:val="21"/>
              </w:rPr>
              <w:t>(三)从事网箱养殖、旅游、游泳、垂钓、餐饮、</w:t>
            </w:r>
            <w:r>
              <w:rPr>
                <w:spacing w:val="8"/>
                <w:sz w:val="21"/>
                <w:szCs w:val="21"/>
              </w:rPr>
              <w:t xml:space="preserve"> </w:t>
            </w:r>
            <w:r>
              <w:rPr>
                <w:spacing w:val="-5"/>
                <w:sz w:val="21"/>
                <w:szCs w:val="21"/>
              </w:rPr>
              <w:t>野炊、露营、洗涤或者其他可能污染饮用水水体</w:t>
            </w:r>
          </w:p>
        </w:tc>
        <w:tc>
          <w:tcPr>
            <w:tcW w:w="2627" w:type="dxa"/>
            <w:vAlign w:val="top"/>
          </w:tcPr>
          <w:p w14:paraId="6B4992A7">
            <w:pPr>
              <w:pStyle w:val="6"/>
              <w:spacing w:before="304" w:line="218" w:lineRule="auto"/>
              <w:ind w:left="45"/>
              <w:rPr>
                <w:sz w:val="21"/>
                <w:szCs w:val="21"/>
              </w:rPr>
            </w:pPr>
            <w:r>
              <w:rPr>
                <w:spacing w:val="-1"/>
                <w:sz w:val="21"/>
                <w:szCs w:val="21"/>
              </w:rPr>
              <w:t>本次评价前往曲靖市生态环</w:t>
            </w:r>
          </w:p>
          <w:p w14:paraId="66DE4251">
            <w:pPr>
              <w:pStyle w:val="6"/>
              <w:spacing w:before="23" w:line="219" w:lineRule="auto"/>
              <w:ind w:left="45"/>
              <w:rPr>
                <w:sz w:val="21"/>
                <w:szCs w:val="21"/>
              </w:rPr>
            </w:pPr>
            <w:r>
              <w:rPr>
                <w:spacing w:val="-1"/>
                <w:sz w:val="21"/>
                <w:szCs w:val="21"/>
              </w:rPr>
              <w:t>境局陆良分局查询大莫古集</w:t>
            </w:r>
          </w:p>
          <w:p w14:paraId="312A4786">
            <w:pPr>
              <w:pStyle w:val="6"/>
              <w:spacing w:before="41" w:line="219" w:lineRule="auto"/>
              <w:ind w:left="45"/>
              <w:rPr>
                <w:sz w:val="21"/>
                <w:szCs w:val="21"/>
              </w:rPr>
            </w:pPr>
            <w:r>
              <w:rPr>
                <w:spacing w:val="-1"/>
                <w:sz w:val="21"/>
                <w:szCs w:val="21"/>
              </w:rPr>
              <w:t>镇水厂饮用水水源保护区矢</w:t>
            </w:r>
          </w:p>
          <w:p w14:paraId="38BC1283">
            <w:pPr>
              <w:pStyle w:val="6"/>
              <w:spacing w:before="29" w:line="219" w:lineRule="auto"/>
              <w:ind w:left="45"/>
              <w:rPr>
                <w:sz w:val="21"/>
                <w:szCs w:val="21"/>
              </w:rPr>
            </w:pPr>
            <w:r>
              <w:rPr>
                <w:spacing w:val="2"/>
                <w:sz w:val="21"/>
                <w:szCs w:val="21"/>
              </w:rPr>
              <w:t>量数据，本项目不涉及饮用</w:t>
            </w:r>
          </w:p>
          <w:p w14:paraId="08FBD69E">
            <w:pPr>
              <w:pStyle w:val="6"/>
              <w:spacing w:before="22" w:line="219" w:lineRule="auto"/>
              <w:ind w:left="45"/>
              <w:rPr>
                <w:sz w:val="21"/>
                <w:szCs w:val="21"/>
              </w:rPr>
            </w:pPr>
            <w:r>
              <w:rPr>
                <w:sz w:val="21"/>
                <w:szCs w:val="21"/>
              </w:rPr>
              <w:t>水水源一级保护区及饮用水</w:t>
            </w:r>
          </w:p>
          <w:p w14:paraId="68EFE39F">
            <w:pPr>
              <w:pStyle w:val="6"/>
              <w:spacing w:before="11" w:line="219" w:lineRule="auto"/>
              <w:ind w:left="516"/>
              <w:rPr>
                <w:sz w:val="21"/>
                <w:szCs w:val="21"/>
              </w:rPr>
            </w:pPr>
            <w:r>
              <w:rPr>
                <w:sz w:val="21"/>
                <w:szCs w:val="21"/>
              </w:rPr>
              <w:t>水源二级保护区。</w:t>
            </w:r>
          </w:p>
        </w:tc>
        <w:tc>
          <w:tcPr>
            <w:tcW w:w="574" w:type="dxa"/>
            <w:vAlign w:val="top"/>
          </w:tcPr>
          <w:p w14:paraId="00C8B4B8">
            <w:pPr>
              <w:spacing w:line="307" w:lineRule="auto"/>
              <w:rPr>
                <w:rFonts w:ascii="Arial"/>
                <w:sz w:val="21"/>
              </w:rPr>
            </w:pPr>
          </w:p>
          <w:p w14:paraId="797B7FBA">
            <w:pPr>
              <w:spacing w:line="307" w:lineRule="auto"/>
              <w:rPr>
                <w:rFonts w:ascii="Arial"/>
                <w:sz w:val="21"/>
              </w:rPr>
            </w:pPr>
          </w:p>
          <w:p w14:paraId="508BA64E">
            <w:pPr>
              <w:spacing w:line="308" w:lineRule="auto"/>
              <w:rPr>
                <w:rFonts w:ascii="Arial"/>
                <w:sz w:val="21"/>
              </w:rPr>
            </w:pPr>
          </w:p>
          <w:p w14:paraId="7C163087">
            <w:pPr>
              <w:pStyle w:val="6"/>
              <w:spacing w:before="69" w:line="219" w:lineRule="auto"/>
              <w:ind w:left="78"/>
              <w:rPr>
                <w:sz w:val="21"/>
                <w:szCs w:val="21"/>
              </w:rPr>
            </w:pPr>
            <w:r>
              <w:rPr>
                <w:spacing w:val="-3"/>
                <w:sz w:val="21"/>
                <w:szCs w:val="21"/>
              </w:rPr>
              <w:t>符合</w:t>
            </w:r>
          </w:p>
        </w:tc>
      </w:tr>
    </w:tbl>
    <w:p w14:paraId="5D20C390">
      <w:pPr>
        <w:pStyle w:val="2"/>
      </w:pPr>
    </w:p>
    <w:p w14:paraId="65214059">
      <w:pPr>
        <w:sectPr>
          <w:footerReference r:id="rId47" w:type="default"/>
          <w:pgSz w:w="11910" w:h="16830"/>
          <w:pgMar w:top="400" w:right="1534" w:bottom="1259" w:left="1415" w:header="0" w:footer="1079" w:gutter="0"/>
          <w:cols w:space="720" w:num="1"/>
        </w:sectPr>
      </w:pPr>
    </w:p>
    <w:p w14:paraId="63D4455B">
      <w:pPr>
        <w:spacing w:before="18"/>
      </w:pPr>
    </w:p>
    <w:p w14:paraId="1792E88B">
      <w:pPr>
        <w:spacing w:before="18"/>
      </w:pPr>
    </w:p>
    <w:p w14:paraId="056C58AB">
      <w:pPr>
        <w:spacing w:before="17"/>
      </w:pPr>
    </w:p>
    <w:p w14:paraId="143603A1">
      <w:pPr>
        <w:spacing w:before="17"/>
      </w:pPr>
    </w:p>
    <w:p w14:paraId="0C0CA10D">
      <w:pPr>
        <w:spacing w:before="17"/>
      </w:pPr>
    </w:p>
    <w:tbl>
      <w:tblPr>
        <w:tblStyle w:val="5"/>
        <w:tblW w:w="89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3"/>
        <w:gridCol w:w="4445"/>
        <w:gridCol w:w="2677"/>
        <w:gridCol w:w="565"/>
      </w:tblGrid>
      <w:tr w14:paraId="1E9D5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233" w:type="dxa"/>
            <w:vMerge w:val="restart"/>
            <w:tcBorders>
              <w:bottom w:val="nil"/>
            </w:tcBorders>
            <w:vAlign w:val="top"/>
          </w:tcPr>
          <w:p w14:paraId="0618E986">
            <w:pPr>
              <w:rPr>
                <w:rFonts w:ascii="Arial"/>
                <w:sz w:val="21"/>
              </w:rPr>
            </w:pPr>
          </w:p>
        </w:tc>
        <w:tc>
          <w:tcPr>
            <w:tcW w:w="4445" w:type="dxa"/>
            <w:vAlign w:val="top"/>
          </w:tcPr>
          <w:p w14:paraId="3E3D2686">
            <w:pPr>
              <w:pStyle w:val="6"/>
              <w:spacing w:before="44" w:line="220" w:lineRule="auto"/>
              <w:ind w:left="41"/>
              <w:rPr>
                <w:sz w:val="21"/>
                <w:szCs w:val="21"/>
              </w:rPr>
            </w:pPr>
            <w:r>
              <w:rPr>
                <w:spacing w:val="23"/>
                <w:sz w:val="21"/>
                <w:szCs w:val="21"/>
              </w:rPr>
              <w:t>的活动</w:t>
            </w:r>
            <w:r>
              <w:rPr>
                <w:spacing w:val="-44"/>
                <w:sz w:val="21"/>
                <w:szCs w:val="21"/>
              </w:rPr>
              <w:t xml:space="preserve"> </w:t>
            </w:r>
            <w:r>
              <w:rPr>
                <w:spacing w:val="23"/>
                <w:sz w:val="21"/>
                <w:szCs w:val="21"/>
              </w:rPr>
              <w:t>；</w:t>
            </w:r>
          </w:p>
          <w:p w14:paraId="0317CBBA">
            <w:pPr>
              <w:pStyle w:val="6"/>
              <w:spacing w:before="48" w:line="194" w:lineRule="auto"/>
              <w:ind w:left="142"/>
              <w:rPr>
                <w:sz w:val="21"/>
                <w:szCs w:val="21"/>
              </w:rPr>
            </w:pPr>
            <w:r>
              <w:rPr>
                <w:spacing w:val="-1"/>
                <w:sz w:val="21"/>
                <w:szCs w:val="21"/>
              </w:rPr>
              <w:t>(四)法律、法规禁止的其他行为。</w:t>
            </w:r>
          </w:p>
        </w:tc>
        <w:tc>
          <w:tcPr>
            <w:tcW w:w="2677" w:type="dxa"/>
            <w:vAlign w:val="top"/>
          </w:tcPr>
          <w:p w14:paraId="07BE4F1A">
            <w:pPr>
              <w:rPr>
                <w:rFonts w:ascii="Arial"/>
                <w:sz w:val="21"/>
              </w:rPr>
            </w:pPr>
          </w:p>
        </w:tc>
        <w:tc>
          <w:tcPr>
            <w:tcW w:w="565" w:type="dxa"/>
            <w:vAlign w:val="top"/>
          </w:tcPr>
          <w:p w14:paraId="3A1E767B">
            <w:pPr>
              <w:rPr>
                <w:rFonts w:ascii="Arial"/>
                <w:sz w:val="21"/>
              </w:rPr>
            </w:pPr>
          </w:p>
        </w:tc>
      </w:tr>
      <w:tr w14:paraId="36905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7" w:hRule="atLeast"/>
        </w:trPr>
        <w:tc>
          <w:tcPr>
            <w:tcW w:w="1233" w:type="dxa"/>
            <w:vMerge w:val="continue"/>
            <w:tcBorders>
              <w:top w:val="nil"/>
              <w:bottom w:val="nil"/>
            </w:tcBorders>
            <w:vAlign w:val="top"/>
          </w:tcPr>
          <w:p w14:paraId="43BDD97B">
            <w:pPr>
              <w:rPr>
                <w:rFonts w:ascii="Arial"/>
                <w:sz w:val="21"/>
              </w:rPr>
            </w:pPr>
          </w:p>
        </w:tc>
        <w:tc>
          <w:tcPr>
            <w:tcW w:w="4445" w:type="dxa"/>
            <w:vAlign w:val="top"/>
          </w:tcPr>
          <w:p w14:paraId="26CB0B04">
            <w:pPr>
              <w:pStyle w:val="6"/>
              <w:spacing w:before="29" w:line="219" w:lineRule="auto"/>
              <w:ind w:left="41"/>
              <w:rPr>
                <w:sz w:val="21"/>
                <w:szCs w:val="21"/>
              </w:rPr>
            </w:pPr>
            <w:r>
              <w:rPr>
                <w:sz w:val="21"/>
                <w:szCs w:val="21"/>
              </w:rPr>
              <w:t>第二十条在地下水集中式饮用水水源保护区</w:t>
            </w:r>
          </w:p>
          <w:p w14:paraId="7E4095A3">
            <w:pPr>
              <w:pStyle w:val="6"/>
              <w:spacing w:before="20" w:line="246" w:lineRule="auto"/>
              <w:ind w:left="40" w:hanging="9"/>
              <w:rPr>
                <w:sz w:val="21"/>
                <w:szCs w:val="21"/>
              </w:rPr>
            </w:pPr>
            <w:r>
              <w:rPr>
                <w:spacing w:val="-1"/>
                <w:sz w:val="21"/>
                <w:szCs w:val="21"/>
              </w:rPr>
              <w:t>内，除遵守地表水保护区的相关规定外，还禁止</w:t>
            </w:r>
            <w:r>
              <w:rPr>
                <w:spacing w:val="13"/>
                <w:sz w:val="21"/>
                <w:szCs w:val="21"/>
              </w:rPr>
              <w:t xml:space="preserve"> </w:t>
            </w:r>
            <w:r>
              <w:rPr>
                <w:spacing w:val="-2"/>
                <w:sz w:val="21"/>
                <w:szCs w:val="21"/>
              </w:rPr>
              <w:t>下列行为：</w:t>
            </w:r>
          </w:p>
          <w:p w14:paraId="674A00ED">
            <w:pPr>
              <w:pStyle w:val="6"/>
              <w:spacing w:before="1" w:line="231" w:lineRule="auto"/>
              <w:ind w:left="11" w:firstLine="136"/>
              <w:rPr>
                <w:sz w:val="21"/>
                <w:szCs w:val="21"/>
              </w:rPr>
            </w:pPr>
            <w:r>
              <w:rPr>
                <w:spacing w:val="-6"/>
                <w:sz w:val="21"/>
                <w:szCs w:val="21"/>
              </w:rPr>
              <w:t>(一)利用高压水井、渗井、渗坑、矿井、矿坑、</w:t>
            </w:r>
            <w:r>
              <w:rPr>
                <w:spacing w:val="7"/>
                <w:sz w:val="21"/>
                <w:szCs w:val="21"/>
              </w:rPr>
              <w:t xml:space="preserve"> </w:t>
            </w:r>
            <w:r>
              <w:rPr>
                <w:spacing w:val="-5"/>
                <w:sz w:val="21"/>
                <w:szCs w:val="21"/>
              </w:rPr>
              <w:t>裂隙和溶洞排放、倾倒含有毒污染物的废水、含</w:t>
            </w:r>
            <w:r>
              <w:rPr>
                <w:spacing w:val="8"/>
                <w:sz w:val="21"/>
                <w:szCs w:val="21"/>
              </w:rPr>
              <w:t xml:space="preserve">  </w:t>
            </w:r>
            <w:r>
              <w:rPr>
                <w:spacing w:val="3"/>
                <w:sz w:val="21"/>
                <w:szCs w:val="21"/>
              </w:rPr>
              <w:t>病原体的污水和其他废弃物；</w:t>
            </w:r>
          </w:p>
          <w:p w14:paraId="6F37CC30">
            <w:pPr>
              <w:pStyle w:val="6"/>
              <w:spacing w:before="21" w:line="234" w:lineRule="auto"/>
              <w:ind w:left="41" w:firstLine="109"/>
              <w:rPr>
                <w:sz w:val="21"/>
                <w:szCs w:val="21"/>
              </w:rPr>
            </w:pPr>
            <w:r>
              <w:rPr>
                <w:sz w:val="21"/>
                <w:szCs w:val="21"/>
              </w:rPr>
              <w:t>(二)利用无防渗漏措施的沟渠、坑塘等输送或</w:t>
            </w:r>
            <w:r>
              <w:rPr>
                <w:spacing w:val="2"/>
                <w:sz w:val="21"/>
                <w:szCs w:val="21"/>
              </w:rPr>
              <w:t xml:space="preserve"> </w:t>
            </w:r>
            <w:r>
              <w:rPr>
                <w:spacing w:val="-1"/>
                <w:sz w:val="21"/>
                <w:szCs w:val="21"/>
              </w:rPr>
              <w:t>者存贮含有毒污染物的废水、含病原体的污水或</w:t>
            </w:r>
            <w:r>
              <w:rPr>
                <w:spacing w:val="3"/>
                <w:sz w:val="21"/>
                <w:szCs w:val="21"/>
              </w:rPr>
              <w:t xml:space="preserve"> </w:t>
            </w:r>
            <w:r>
              <w:rPr>
                <w:spacing w:val="16"/>
                <w:sz w:val="21"/>
                <w:szCs w:val="21"/>
              </w:rPr>
              <w:t>者其他废弃物；</w:t>
            </w:r>
          </w:p>
          <w:p w14:paraId="0A6F14AB">
            <w:pPr>
              <w:pStyle w:val="6"/>
              <w:spacing w:before="29" w:line="224" w:lineRule="auto"/>
              <w:ind w:left="41" w:right="63" w:firstLine="119"/>
              <w:rPr>
                <w:sz w:val="21"/>
                <w:szCs w:val="21"/>
              </w:rPr>
            </w:pPr>
            <w:r>
              <w:rPr>
                <w:sz w:val="21"/>
                <w:szCs w:val="21"/>
              </w:rPr>
              <w:t>(三)兴建地下工程设施或者进行地下勘探、采</w:t>
            </w:r>
            <w:r>
              <w:rPr>
                <w:spacing w:val="8"/>
                <w:sz w:val="21"/>
                <w:szCs w:val="21"/>
              </w:rPr>
              <w:t xml:space="preserve"> </w:t>
            </w:r>
            <w:r>
              <w:rPr>
                <w:spacing w:val="5"/>
                <w:sz w:val="21"/>
                <w:szCs w:val="21"/>
              </w:rPr>
              <w:t>矿等活动，不采取防止地下水污染的措施；</w:t>
            </w:r>
          </w:p>
          <w:p w14:paraId="23209C42">
            <w:pPr>
              <w:pStyle w:val="6"/>
              <w:spacing w:before="22" w:line="219" w:lineRule="auto"/>
              <w:ind w:left="151"/>
              <w:rPr>
                <w:sz w:val="21"/>
                <w:szCs w:val="21"/>
              </w:rPr>
            </w:pPr>
            <w:r>
              <w:rPr>
                <w:spacing w:val="5"/>
                <w:sz w:val="21"/>
                <w:szCs w:val="21"/>
              </w:rPr>
              <w:t>(四)对停止使用的取水口不及时封闭；</w:t>
            </w:r>
          </w:p>
          <w:p w14:paraId="43EF17EA">
            <w:pPr>
              <w:pStyle w:val="6"/>
              <w:spacing w:before="1" w:line="200" w:lineRule="auto"/>
              <w:ind w:left="171"/>
              <w:rPr>
                <w:sz w:val="21"/>
                <w:szCs w:val="21"/>
              </w:rPr>
            </w:pPr>
            <w:r>
              <w:rPr>
                <w:spacing w:val="-1"/>
                <w:sz w:val="21"/>
                <w:szCs w:val="21"/>
              </w:rPr>
              <w:t>(五)法律、法规禁止的其他行为。</w:t>
            </w:r>
          </w:p>
        </w:tc>
        <w:tc>
          <w:tcPr>
            <w:tcW w:w="2677" w:type="dxa"/>
            <w:vAlign w:val="top"/>
          </w:tcPr>
          <w:p w14:paraId="3E9E0E78">
            <w:pPr>
              <w:spacing w:line="263" w:lineRule="auto"/>
              <w:rPr>
                <w:rFonts w:ascii="Arial"/>
                <w:sz w:val="21"/>
              </w:rPr>
            </w:pPr>
          </w:p>
          <w:p w14:paraId="38214339">
            <w:pPr>
              <w:spacing w:line="263" w:lineRule="auto"/>
              <w:rPr>
                <w:rFonts w:ascii="Arial"/>
                <w:sz w:val="21"/>
              </w:rPr>
            </w:pPr>
          </w:p>
          <w:p w14:paraId="00A3F4C0">
            <w:pPr>
              <w:spacing w:line="263" w:lineRule="auto"/>
              <w:rPr>
                <w:rFonts w:ascii="Arial"/>
                <w:sz w:val="21"/>
              </w:rPr>
            </w:pPr>
          </w:p>
          <w:p w14:paraId="075C8925">
            <w:pPr>
              <w:spacing w:line="264" w:lineRule="auto"/>
              <w:rPr>
                <w:rFonts w:ascii="Arial"/>
                <w:sz w:val="21"/>
              </w:rPr>
            </w:pPr>
          </w:p>
          <w:p w14:paraId="4F32197E">
            <w:pPr>
              <w:pStyle w:val="6"/>
              <w:spacing w:before="68" w:line="219" w:lineRule="auto"/>
              <w:ind w:left="76"/>
              <w:rPr>
                <w:sz w:val="21"/>
                <w:szCs w:val="21"/>
              </w:rPr>
            </w:pPr>
            <w:r>
              <w:rPr>
                <w:spacing w:val="-1"/>
                <w:sz w:val="21"/>
                <w:szCs w:val="21"/>
              </w:rPr>
              <w:t>经核查，本项目属于地下水</w:t>
            </w:r>
          </w:p>
          <w:p w14:paraId="6F095746">
            <w:pPr>
              <w:pStyle w:val="6"/>
              <w:spacing w:before="10" w:line="219" w:lineRule="auto"/>
              <w:ind w:left="76"/>
              <w:rPr>
                <w:sz w:val="21"/>
                <w:szCs w:val="21"/>
              </w:rPr>
            </w:pPr>
            <w:r>
              <w:rPr>
                <w:spacing w:val="1"/>
                <w:sz w:val="21"/>
                <w:szCs w:val="21"/>
              </w:rPr>
              <w:t>型水源保护区。本项目属于</w:t>
            </w:r>
          </w:p>
          <w:p w14:paraId="43AF8557">
            <w:pPr>
              <w:pStyle w:val="6"/>
              <w:spacing w:before="20" w:line="219" w:lineRule="auto"/>
              <w:ind w:left="76"/>
              <w:rPr>
                <w:sz w:val="21"/>
                <w:szCs w:val="21"/>
              </w:rPr>
            </w:pPr>
            <w:r>
              <w:rPr>
                <w:spacing w:val="1"/>
                <w:sz w:val="21"/>
                <w:szCs w:val="21"/>
              </w:rPr>
              <w:t>光伏发电项目，不属于地下</w:t>
            </w:r>
          </w:p>
          <w:p w14:paraId="01E10331">
            <w:pPr>
              <w:pStyle w:val="6"/>
              <w:spacing w:before="23" w:line="219" w:lineRule="auto"/>
              <w:ind w:left="76"/>
              <w:rPr>
                <w:sz w:val="21"/>
                <w:szCs w:val="21"/>
              </w:rPr>
            </w:pPr>
            <w:r>
              <w:rPr>
                <w:spacing w:val="1"/>
                <w:sz w:val="21"/>
                <w:szCs w:val="21"/>
              </w:rPr>
              <w:t>水集中式饮用水水源保护区</w:t>
            </w:r>
          </w:p>
          <w:p w14:paraId="437A3F8B">
            <w:pPr>
              <w:pStyle w:val="6"/>
              <w:spacing w:before="30" w:line="219" w:lineRule="auto"/>
              <w:ind w:left="756"/>
              <w:rPr>
                <w:sz w:val="21"/>
                <w:szCs w:val="21"/>
              </w:rPr>
            </w:pPr>
            <w:r>
              <w:rPr>
                <w:spacing w:val="-1"/>
                <w:sz w:val="21"/>
                <w:szCs w:val="21"/>
              </w:rPr>
              <w:t>禁止的行为。</w:t>
            </w:r>
          </w:p>
        </w:tc>
        <w:tc>
          <w:tcPr>
            <w:tcW w:w="565" w:type="dxa"/>
            <w:vAlign w:val="top"/>
          </w:tcPr>
          <w:p w14:paraId="338C98D7">
            <w:pPr>
              <w:spacing w:line="263" w:lineRule="auto"/>
              <w:rPr>
                <w:rFonts w:ascii="Arial"/>
                <w:sz w:val="21"/>
              </w:rPr>
            </w:pPr>
          </w:p>
          <w:p w14:paraId="48937DB0">
            <w:pPr>
              <w:spacing w:line="263" w:lineRule="auto"/>
              <w:rPr>
                <w:rFonts w:ascii="Arial"/>
                <w:sz w:val="21"/>
              </w:rPr>
            </w:pPr>
          </w:p>
          <w:p w14:paraId="755C8A4F">
            <w:pPr>
              <w:spacing w:line="263" w:lineRule="auto"/>
              <w:rPr>
                <w:rFonts w:ascii="Arial"/>
                <w:sz w:val="21"/>
              </w:rPr>
            </w:pPr>
          </w:p>
          <w:p w14:paraId="2A149E57">
            <w:pPr>
              <w:spacing w:line="264" w:lineRule="auto"/>
              <w:rPr>
                <w:rFonts w:ascii="Arial"/>
                <w:sz w:val="21"/>
              </w:rPr>
            </w:pPr>
          </w:p>
          <w:p w14:paraId="0A06BB98">
            <w:pPr>
              <w:spacing w:line="264" w:lineRule="auto"/>
              <w:rPr>
                <w:rFonts w:ascii="Arial"/>
                <w:sz w:val="21"/>
              </w:rPr>
            </w:pPr>
          </w:p>
          <w:p w14:paraId="7ACD1461">
            <w:pPr>
              <w:spacing w:line="264" w:lineRule="auto"/>
              <w:rPr>
                <w:rFonts w:ascii="Arial"/>
                <w:sz w:val="21"/>
              </w:rPr>
            </w:pPr>
          </w:p>
          <w:p w14:paraId="2D306D10">
            <w:pPr>
              <w:pStyle w:val="6"/>
              <w:spacing w:before="68" w:line="219" w:lineRule="auto"/>
              <w:ind w:left="69"/>
              <w:rPr>
                <w:sz w:val="21"/>
                <w:szCs w:val="21"/>
              </w:rPr>
            </w:pPr>
            <w:r>
              <w:rPr>
                <w:spacing w:val="-3"/>
                <w:sz w:val="21"/>
                <w:szCs w:val="21"/>
              </w:rPr>
              <w:t>符合</w:t>
            </w:r>
          </w:p>
        </w:tc>
      </w:tr>
      <w:tr w14:paraId="3F953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8" w:hRule="atLeast"/>
        </w:trPr>
        <w:tc>
          <w:tcPr>
            <w:tcW w:w="1233" w:type="dxa"/>
            <w:vMerge w:val="continue"/>
            <w:tcBorders>
              <w:top w:val="nil"/>
              <w:bottom w:val="nil"/>
            </w:tcBorders>
            <w:vAlign w:val="top"/>
          </w:tcPr>
          <w:p w14:paraId="6A840BFB">
            <w:pPr>
              <w:rPr>
                <w:rFonts w:ascii="Arial"/>
                <w:sz w:val="21"/>
              </w:rPr>
            </w:pPr>
          </w:p>
        </w:tc>
        <w:tc>
          <w:tcPr>
            <w:tcW w:w="7687" w:type="dxa"/>
            <w:gridSpan w:val="3"/>
            <w:vAlign w:val="top"/>
          </w:tcPr>
          <w:p w14:paraId="386013D7">
            <w:pPr>
              <w:pStyle w:val="6"/>
              <w:spacing w:before="52" w:line="403" w:lineRule="auto"/>
              <w:ind w:left="11" w:right="888" w:firstLine="459"/>
              <w:rPr>
                <w:sz w:val="21"/>
                <w:szCs w:val="21"/>
              </w:rPr>
            </w:pPr>
            <w:r>
              <w:rPr>
                <w:sz w:val="21"/>
                <w:szCs w:val="21"/>
              </w:rPr>
              <w:t>综上所述，项目建设符合《曲靖市集中式饮用水水源地保护条例》的</w:t>
            </w:r>
            <w:r>
              <w:rPr>
                <w:spacing w:val="15"/>
                <w:sz w:val="21"/>
                <w:szCs w:val="21"/>
              </w:rPr>
              <w:t xml:space="preserve"> </w:t>
            </w:r>
            <w:r>
              <w:rPr>
                <w:spacing w:val="-1"/>
                <w:sz w:val="21"/>
                <w:szCs w:val="21"/>
              </w:rPr>
              <w:t>相关要求。</w:t>
            </w:r>
          </w:p>
          <w:p w14:paraId="0240BDA5">
            <w:pPr>
              <w:pStyle w:val="6"/>
              <w:spacing w:line="219" w:lineRule="auto"/>
              <w:ind w:left="14"/>
              <w:rPr>
                <w:sz w:val="21"/>
                <w:szCs w:val="21"/>
              </w:rPr>
            </w:pPr>
            <w:r>
              <w:rPr>
                <w:b/>
                <w:bCs/>
                <w:spacing w:val="28"/>
                <w:sz w:val="21"/>
                <w:szCs w:val="21"/>
              </w:rPr>
              <w:t>22、与《陆良县国土空间总体规划(2021</w:t>
            </w:r>
            <w:r>
              <w:rPr>
                <w:spacing w:val="-55"/>
                <w:sz w:val="21"/>
                <w:szCs w:val="21"/>
              </w:rPr>
              <w:t xml:space="preserve"> </w:t>
            </w:r>
            <w:r>
              <w:rPr>
                <w:b/>
                <w:bCs/>
                <w:spacing w:val="28"/>
                <w:sz w:val="21"/>
                <w:szCs w:val="21"/>
              </w:rPr>
              <w:t>—</w:t>
            </w:r>
            <w:r>
              <w:rPr>
                <w:spacing w:val="-60"/>
                <w:sz w:val="21"/>
                <w:szCs w:val="21"/>
              </w:rPr>
              <w:t xml:space="preserve"> </w:t>
            </w:r>
            <w:r>
              <w:rPr>
                <w:b/>
                <w:bCs/>
                <w:spacing w:val="28"/>
                <w:sz w:val="21"/>
                <w:szCs w:val="21"/>
              </w:rPr>
              <w:t>2035年)》符合性分析</w:t>
            </w:r>
          </w:p>
          <w:p w14:paraId="4408373B">
            <w:pPr>
              <w:pStyle w:val="6"/>
              <w:spacing w:before="223" w:line="403" w:lineRule="auto"/>
              <w:ind w:left="11" w:firstLine="459"/>
              <w:rPr>
                <w:sz w:val="21"/>
                <w:szCs w:val="21"/>
              </w:rPr>
            </w:pPr>
            <w:r>
              <w:rPr>
                <w:spacing w:val="30"/>
                <w:sz w:val="21"/>
                <w:szCs w:val="21"/>
              </w:rPr>
              <w:t>项目与《陆良县国土空间总体规划(2021</w:t>
            </w:r>
            <w:r>
              <w:rPr>
                <w:spacing w:val="-56"/>
                <w:sz w:val="21"/>
                <w:szCs w:val="21"/>
              </w:rPr>
              <w:t xml:space="preserve"> </w:t>
            </w:r>
            <w:r>
              <w:rPr>
                <w:spacing w:val="30"/>
                <w:sz w:val="21"/>
                <w:szCs w:val="21"/>
              </w:rPr>
              <w:t>—</w:t>
            </w:r>
            <w:r>
              <w:rPr>
                <w:spacing w:val="-60"/>
                <w:sz w:val="21"/>
                <w:szCs w:val="21"/>
              </w:rPr>
              <w:t xml:space="preserve"> </w:t>
            </w:r>
            <w:r>
              <w:rPr>
                <w:spacing w:val="30"/>
                <w:sz w:val="21"/>
                <w:szCs w:val="21"/>
              </w:rPr>
              <w:t>2035年)》相符性分析如</w:t>
            </w:r>
            <w:r>
              <w:rPr>
                <w:sz w:val="21"/>
                <w:szCs w:val="21"/>
              </w:rPr>
              <w:t xml:space="preserve"> </w:t>
            </w:r>
            <w:r>
              <w:rPr>
                <w:spacing w:val="-8"/>
                <w:sz w:val="21"/>
                <w:szCs w:val="21"/>
              </w:rPr>
              <w:t>下</w:t>
            </w:r>
            <w:r>
              <w:rPr>
                <w:spacing w:val="-48"/>
                <w:sz w:val="21"/>
                <w:szCs w:val="21"/>
              </w:rPr>
              <w:t xml:space="preserve"> </w:t>
            </w:r>
            <w:r>
              <w:rPr>
                <w:spacing w:val="-8"/>
                <w:sz w:val="21"/>
                <w:szCs w:val="21"/>
              </w:rPr>
              <w:t>：</w:t>
            </w:r>
          </w:p>
          <w:p w14:paraId="60C85820">
            <w:pPr>
              <w:pStyle w:val="6"/>
              <w:spacing w:line="219" w:lineRule="auto"/>
              <w:ind w:left="134"/>
              <w:rPr>
                <w:sz w:val="21"/>
                <w:szCs w:val="21"/>
              </w:rPr>
            </w:pPr>
            <w:r>
              <w:rPr>
                <w:b/>
                <w:bCs/>
                <w:spacing w:val="-5"/>
                <w:sz w:val="21"/>
                <w:szCs w:val="21"/>
              </w:rPr>
              <w:t>表1-16项目与《陆良县国士空间总体规划(2021—2035年)》的符合性分</w:t>
            </w:r>
            <w:r>
              <w:rPr>
                <w:spacing w:val="-5"/>
                <w:sz w:val="21"/>
                <w:szCs w:val="21"/>
              </w:rPr>
              <w:t>析</w:t>
            </w:r>
          </w:p>
        </w:tc>
      </w:tr>
      <w:tr w14:paraId="3FCF6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233" w:type="dxa"/>
            <w:vMerge w:val="continue"/>
            <w:tcBorders>
              <w:top w:val="nil"/>
              <w:bottom w:val="nil"/>
            </w:tcBorders>
            <w:vAlign w:val="top"/>
          </w:tcPr>
          <w:p w14:paraId="1AF46094">
            <w:pPr>
              <w:rPr>
                <w:rFonts w:ascii="Arial"/>
                <w:sz w:val="21"/>
              </w:rPr>
            </w:pPr>
          </w:p>
        </w:tc>
        <w:tc>
          <w:tcPr>
            <w:tcW w:w="4445" w:type="dxa"/>
            <w:vAlign w:val="top"/>
          </w:tcPr>
          <w:p w14:paraId="3C3394D2">
            <w:pPr>
              <w:pStyle w:val="6"/>
              <w:spacing w:before="24" w:line="222" w:lineRule="auto"/>
              <w:ind w:left="1801" w:right="298" w:hanging="1755"/>
              <w:rPr>
                <w:sz w:val="21"/>
                <w:szCs w:val="21"/>
              </w:rPr>
            </w:pPr>
            <w:r>
              <w:rPr>
                <w:spacing w:val="-5"/>
                <w:sz w:val="21"/>
                <w:szCs w:val="21"/>
              </w:rPr>
              <w:t>《陆良县国土空间总体规划(2021—2035年)》</w:t>
            </w:r>
            <w:r>
              <w:rPr>
                <w:spacing w:val="14"/>
                <w:sz w:val="21"/>
                <w:szCs w:val="21"/>
              </w:rPr>
              <w:t xml:space="preserve"> </w:t>
            </w:r>
            <w:r>
              <w:rPr>
                <w:spacing w:val="-2"/>
                <w:sz w:val="21"/>
                <w:szCs w:val="21"/>
              </w:rPr>
              <w:t>相关要求</w:t>
            </w:r>
          </w:p>
        </w:tc>
        <w:tc>
          <w:tcPr>
            <w:tcW w:w="2677" w:type="dxa"/>
            <w:vAlign w:val="top"/>
          </w:tcPr>
          <w:p w14:paraId="1912EED1">
            <w:pPr>
              <w:pStyle w:val="6"/>
              <w:spacing w:before="173" w:line="219" w:lineRule="auto"/>
              <w:ind w:left="1016"/>
              <w:rPr>
                <w:sz w:val="21"/>
                <w:szCs w:val="21"/>
              </w:rPr>
            </w:pPr>
            <w:r>
              <w:rPr>
                <w:spacing w:val="13"/>
                <w:sz w:val="21"/>
                <w:szCs w:val="21"/>
              </w:rPr>
              <w:t>本项目</w:t>
            </w:r>
          </w:p>
        </w:tc>
        <w:tc>
          <w:tcPr>
            <w:tcW w:w="565" w:type="dxa"/>
            <w:vAlign w:val="top"/>
          </w:tcPr>
          <w:p w14:paraId="26DB27A8">
            <w:pPr>
              <w:pStyle w:val="6"/>
              <w:spacing w:before="13" w:line="227" w:lineRule="auto"/>
              <w:ind w:left="169" w:right="74" w:hanging="100"/>
              <w:rPr>
                <w:sz w:val="21"/>
                <w:szCs w:val="21"/>
              </w:rPr>
            </w:pPr>
            <w:r>
              <w:rPr>
                <w:spacing w:val="-5"/>
                <w:sz w:val="21"/>
                <w:szCs w:val="21"/>
              </w:rPr>
              <w:t>符合</w:t>
            </w:r>
            <w:r>
              <w:rPr>
                <w:sz w:val="21"/>
                <w:szCs w:val="21"/>
              </w:rPr>
              <w:t xml:space="preserve"> 性</w:t>
            </w:r>
          </w:p>
        </w:tc>
      </w:tr>
      <w:tr w14:paraId="6AC81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33" w:type="dxa"/>
            <w:vMerge w:val="continue"/>
            <w:tcBorders>
              <w:top w:val="nil"/>
              <w:bottom w:val="nil"/>
            </w:tcBorders>
            <w:vAlign w:val="top"/>
          </w:tcPr>
          <w:p w14:paraId="7EF296C3">
            <w:pPr>
              <w:rPr>
                <w:rFonts w:ascii="Arial"/>
                <w:sz w:val="21"/>
              </w:rPr>
            </w:pPr>
          </w:p>
        </w:tc>
        <w:tc>
          <w:tcPr>
            <w:tcW w:w="7687" w:type="dxa"/>
            <w:gridSpan w:val="3"/>
            <w:vAlign w:val="top"/>
          </w:tcPr>
          <w:p w14:paraId="5DF4015F">
            <w:pPr>
              <w:pStyle w:val="6"/>
              <w:spacing w:before="64" w:line="219" w:lineRule="auto"/>
              <w:ind w:left="2681"/>
              <w:rPr>
                <w:sz w:val="21"/>
                <w:szCs w:val="21"/>
              </w:rPr>
            </w:pPr>
            <w:r>
              <w:rPr>
                <w:spacing w:val="18"/>
                <w:sz w:val="21"/>
                <w:szCs w:val="21"/>
              </w:rPr>
              <w:t>统筹划定“三条控制线”</w:t>
            </w:r>
          </w:p>
        </w:tc>
      </w:tr>
      <w:tr w14:paraId="140D7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8" w:hRule="atLeast"/>
        </w:trPr>
        <w:tc>
          <w:tcPr>
            <w:tcW w:w="1233" w:type="dxa"/>
            <w:vMerge w:val="continue"/>
            <w:tcBorders>
              <w:top w:val="nil"/>
              <w:bottom w:val="nil"/>
            </w:tcBorders>
            <w:vAlign w:val="top"/>
          </w:tcPr>
          <w:p w14:paraId="458BF559">
            <w:pPr>
              <w:rPr>
                <w:rFonts w:ascii="Arial"/>
                <w:sz w:val="21"/>
              </w:rPr>
            </w:pPr>
          </w:p>
        </w:tc>
        <w:tc>
          <w:tcPr>
            <w:tcW w:w="4445" w:type="dxa"/>
            <w:vAlign w:val="top"/>
          </w:tcPr>
          <w:p w14:paraId="0ED5CF5E">
            <w:pPr>
              <w:pStyle w:val="6"/>
              <w:spacing w:before="44" w:line="219" w:lineRule="auto"/>
              <w:ind w:left="61"/>
              <w:rPr>
                <w:sz w:val="21"/>
                <w:szCs w:val="21"/>
              </w:rPr>
            </w:pPr>
            <w:r>
              <w:rPr>
                <w:spacing w:val="-1"/>
                <w:sz w:val="21"/>
                <w:szCs w:val="21"/>
              </w:rPr>
              <w:t>筑牢安全发展的空间基础。到2035年，陆良县</w:t>
            </w:r>
          </w:p>
          <w:p w14:paraId="0E739FB8">
            <w:pPr>
              <w:pStyle w:val="6"/>
              <w:spacing w:before="9" w:line="219" w:lineRule="auto"/>
              <w:ind w:left="61"/>
              <w:rPr>
                <w:sz w:val="21"/>
                <w:szCs w:val="21"/>
              </w:rPr>
            </w:pPr>
            <w:r>
              <w:rPr>
                <w:spacing w:val="-1"/>
                <w:sz w:val="21"/>
                <w:szCs w:val="21"/>
              </w:rPr>
              <w:t>耕地保有量不低于108.2500万亩，其中永久基</w:t>
            </w:r>
          </w:p>
          <w:p w14:paraId="1BB694E8">
            <w:pPr>
              <w:pStyle w:val="6"/>
              <w:spacing w:before="22" w:line="246" w:lineRule="auto"/>
              <w:ind w:left="51" w:right="107" w:hanging="20"/>
              <w:rPr>
                <w:sz w:val="21"/>
                <w:szCs w:val="21"/>
              </w:rPr>
            </w:pPr>
            <w:r>
              <w:rPr>
                <w:spacing w:val="-1"/>
                <w:sz w:val="21"/>
                <w:szCs w:val="21"/>
              </w:rPr>
              <w:t>本农田保护面积不低于96.0095万亩；生态保护</w:t>
            </w:r>
            <w:r>
              <w:rPr>
                <w:spacing w:val="13"/>
                <w:sz w:val="21"/>
                <w:szCs w:val="21"/>
              </w:rPr>
              <w:t xml:space="preserve"> </w:t>
            </w:r>
            <w:r>
              <w:rPr>
                <w:sz w:val="21"/>
                <w:szCs w:val="21"/>
              </w:rPr>
              <w:t>红线面积不低于409.20平方公里；城镇开发边</w:t>
            </w:r>
          </w:p>
          <w:p w14:paraId="01D308BC">
            <w:pPr>
              <w:pStyle w:val="6"/>
              <w:spacing w:line="219" w:lineRule="auto"/>
              <w:ind w:left="51"/>
              <w:rPr>
                <w:sz w:val="21"/>
                <w:szCs w:val="21"/>
              </w:rPr>
            </w:pPr>
            <w:r>
              <w:rPr>
                <w:sz w:val="21"/>
                <w:szCs w:val="21"/>
              </w:rPr>
              <w:t>界扩展倍数控制在基于2020年城镇建设用地规</w:t>
            </w:r>
          </w:p>
          <w:p w14:paraId="271301AA">
            <w:pPr>
              <w:pStyle w:val="6"/>
              <w:spacing w:before="19" w:line="231" w:lineRule="auto"/>
              <w:ind w:left="21" w:right="125" w:hanging="10"/>
              <w:rPr>
                <w:sz w:val="21"/>
                <w:szCs w:val="21"/>
              </w:rPr>
            </w:pPr>
            <w:r>
              <w:rPr>
                <w:spacing w:val="-1"/>
                <w:sz w:val="21"/>
                <w:szCs w:val="21"/>
              </w:rPr>
              <w:t>模的1.182倍以内；用水总量不超过上级下达指</w:t>
            </w:r>
            <w:r>
              <w:rPr>
                <w:spacing w:val="14"/>
                <w:sz w:val="21"/>
                <w:szCs w:val="21"/>
              </w:rPr>
              <w:t xml:space="preserve"> </w:t>
            </w:r>
            <w:r>
              <w:rPr>
                <w:spacing w:val="1"/>
                <w:sz w:val="21"/>
                <w:szCs w:val="21"/>
              </w:rPr>
              <w:t>标，其中2025年不超过3.38亿立方米。明确自</w:t>
            </w:r>
          </w:p>
          <w:p w14:paraId="01221AEB">
            <w:pPr>
              <w:pStyle w:val="6"/>
              <w:spacing w:before="6" w:line="246" w:lineRule="auto"/>
              <w:ind w:left="21" w:firstLine="9"/>
              <w:rPr>
                <w:sz w:val="21"/>
                <w:szCs w:val="21"/>
              </w:rPr>
            </w:pPr>
            <w:r>
              <w:rPr>
                <w:spacing w:val="-1"/>
                <w:sz w:val="21"/>
                <w:szCs w:val="21"/>
              </w:rPr>
              <w:t>然灾害风险重点防控区域，划定洪涝风险控制线</w:t>
            </w:r>
            <w:r>
              <w:rPr>
                <w:spacing w:val="13"/>
                <w:sz w:val="21"/>
                <w:szCs w:val="21"/>
              </w:rPr>
              <w:t xml:space="preserve"> </w:t>
            </w:r>
            <w:r>
              <w:rPr>
                <w:spacing w:val="-2"/>
                <w:sz w:val="21"/>
                <w:szCs w:val="21"/>
              </w:rPr>
              <w:t>和城市蓝线、绿线、黄线、紫线，落实战略性矿</w:t>
            </w:r>
          </w:p>
          <w:p w14:paraId="1BC6228E">
            <w:pPr>
              <w:pStyle w:val="6"/>
              <w:spacing w:line="219" w:lineRule="auto"/>
              <w:jc w:val="right"/>
              <w:rPr>
                <w:sz w:val="21"/>
                <w:szCs w:val="21"/>
              </w:rPr>
            </w:pPr>
            <w:r>
              <w:rPr>
                <w:spacing w:val="-1"/>
                <w:sz w:val="21"/>
                <w:szCs w:val="21"/>
              </w:rPr>
              <w:t>产资源、历史文化保护等安全保障空间，严格河</w:t>
            </w:r>
          </w:p>
          <w:p w14:paraId="1734E844">
            <w:pPr>
              <w:pStyle w:val="6"/>
              <w:spacing w:before="11" w:line="203" w:lineRule="auto"/>
              <w:jc w:val="right"/>
              <w:rPr>
                <w:sz w:val="21"/>
                <w:szCs w:val="21"/>
              </w:rPr>
            </w:pPr>
            <w:r>
              <w:rPr>
                <w:spacing w:val="-1"/>
                <w:sz w:val="21"/>
                <w:szCs w:val="21"/>
              </w:rPr>
              <w:t>湖水域空间管控，全面锚固高质量发展的空间底</w:t>
            </w:r>
          </w:p>
          <w:p w14:paraId="05FC727F">
            <w:pPr>
              <w:pStyle w:val="6"/>
              <w:spacing w:line="220" w:lineRule="auto"/>
              <w:ind w:left="1981"/>
              <w:rPr>
                <w:sz w:val="21"/>
                <w:szCs w:val="21"/>
              </w:rPr>
            </w:pPr>
            <w:r>
              <w:rPr>
                <w:spacing w:val="-2"/>
                <w:sz w:val="21"/>
                <w:szCs w:val="21"/>
              </w:rPr>
              <w:t>线。</w:t>
            </w:r>
          </w:p>
        </w:tc>
        <w:tc>
          <w:tcPr>
            <w:tcW w:w="2677" w:type="dxa"/>
            <w:vAlign w:val="top"/>
          </w:tcPr>
          <w:p w14:paraId="6C132FEC">
            <w:pPr>
              <w:spacing w:line="246" w:lineRule="auto"/>
              <w:rPr>
                <w:rFonts w:ascii="Arial"/>
                <w:sz w:val="21"/>
              </w:rPr>
            </w:pPr>
          </w:p>
          <w:p w14:paraId="334E333D">
            <w:pPr>
              <w:spacing w:line="247" w:lineRule="auto"/>
              <w:rPr>
                <w:rFonts w:ascii="Arial"/>
                <w:sz w:val="21"/>
              </w:rPr>
            </w:pPr>
          </w:p>
          <w:p w14:paraId="0AC3EBA3">
            <w:pPr>
              <w:pStyle w:val="6"/>
              <w:spacing w:before="68" w:line="219" w:lineRule="auto"/>
              <w:ind w:left="76"/>
              <w:rPr>
                <w:sz w:val="21"/>
                <w:szCs w:val="21"/>
              </w:rPr>
            </w:pPr>
            <w:r>
              <w:rPr>
                <w:spacing w:val="-1"/>
                <w:sz w:val="21"/>
                <w:szCs w:val="21"/>
              </w:rPr>
              <w:t>根据陆良县自然资源局出具</w:t>
            </w:r>
          </w:p>
          <w:p w14:paraId="485FFFDE">
            <w:pPr>
              <w:pStyle w:val="6"/>
              <w:spacing w:before="40" w:line="219" w:lineRule="auto"/>
              <w:ind w:left="76"/>
              <w:rPr>
                <w:sz w:val="21"/>
                <w:szCs w:val="21"/>
              </w:rPr>
            </w:pPr>
            <w:r>
              <w:rPr>
                <w:spacing w:val="-1"/>
                <w:sz w:val="21"/>
                <w:szCs w:val="21"/>
              </w:rPr>
              <w:t>文件该项目不位于城镇开发</w:t>
            </w:r>
          </w:p>
          <w:p w14:paraId="29835CDE">
            <w:pPr>
              <w:pStyle w:val="6"/>
              <w:spacing w:before="19" w:line="219" w:lineRule="auto"/>
              <w:jc w:val="right"/>
              <w:rPr>
                <w:sz w:val="21"/>
                <w:szCs w:val="21"/>
              </w:rPr>
            </w:pPr>
            <w:r>
              <w:rPr>
                <w:spacing w:val="-7"/>
                <w:sz w:val="21"/>
                <w:szCs w:val="21"/>
              </w:rPr>
              <w:t>边界内，不涉及占用永久基本</w:t>
            </w:r>
          </w:p>
          <w:p w14:paraId="77233621">
            <w:pPr>
              <w:pStyle w:val="6"/>
              <w:spacing w:before="22" w:line="220" w:lineRule="auto"/>
              <w:jc w:val="right"/>
              <w:rPr>
                <w:sz w:val="21"/>
                <w:szCs w:val="21"/>
              </w:rPr>
            </w:pPr>
            <w:r>
              <w:rPr>
                <w:spacing w:val="-7"/>
                <w:sz w:val="21"/>
                <w:szCs w:val="21"/>
              </w:rPr>
              <w:t>农田、生态保护红线，不位于</w:t>
            </w:r>
          </w:p>
          <w:p w14:paraId="4079D350">
            <w:pPr>
              <w:pStyle w:val="6"/>
              <w:spacing w:before="10" w:line="219" w:lineRule="auto"/>
              <w:jc w:val="right"/>
              <w:rPr>
                <w:sz w:val="21"/>
                <w:szCs w:val="21"/>
              </w:rPr>
            </w:pPr>
            <w:r>
              <w:rPr>
                <w:spacing w:val="-7"/>
                <w:sz w:val="21"/>
                <w:szCs w:val="21"/>
              </w:rPr>
              <w:t>各类自然保护区，项目不占用</w:t>
            </w:r>
          </w:p>
          <w:p w14:paraId="6172B906">
            <w:pPr>
              <w:pStyle w:val="6"/>
              <w:spacing w:before="19" w:line="219" w:lineRule="auto"/>
              <w:jc w:val="right"/>
              <w:rPr>
                <w:sz w:val="21"/>
                <w:szCs w:val="21"/>
              </w:rPr>
            </w:pPr>
            <w:r>
              <w:rPr>
                <w:spacing w:val="-7"/>
                <w:sz w:val="21"/>
                <w:szCs w:val="21"/>
              </w:rPr>
              <w:t>耕地，本项目运营期只涉及光</w:t>
            </w:r>
          </w:p>
          <w:p w14:paraId="66707F45">
            <w:pPr>
              <w:pStyle w:val="6"/>
              <w:spacing w:before="31" w:line="219" w:lineRule="auto"/>
              <w:jc w:val="right"/>
              <w:rPr>
                <w:sz w:val="21"/>
                <w:szCs w:val="21"/>
              </w:rPr>
            </w:pPr>
            <w:r>
              <w:rPr>
                <w:spacing w:val="-7"/>
                <w:sz w:val="21"/>
                <w:szCs w:val="21"/>
              </w:rPr>
              <w:t>伏板清洗，用水量较少，不影</w:t>
            </w:r>
          </w:p>
          <w:p w14:paraId="2DAE88B2">
            <w:pPr>
              <w:pStyle w:val="6"/>
              <w:spacing w:before="22" w:line="219" w:lineRule="auto"/>
              <w:ind w:left="436"/>
              <w:rPr>
                <w:sz w:val="21"/>
                <w:szCs w:val="21"/>
              </w:rPr>
            </w:pPr>
            <w:r>
              <w:rPr>
                <w:sz w:val="21"/>
                <w:szCs w:val="21"/>
              </w:rPr>
              <w:t>响陆良县用水红线。</w:t>
            </w:r>
          </w:p>
        </w:tc>
        <w:tc>
          <w:tcPr>
            <w:tcW w:w="565" w:type="dxa"/>
            <w:vAlign w:val="top"/>
          </w:tcPr>
          <w:p w14:paraId="5853B9E2">
            <w:pPr>
              <w:spacing w:line="242" w:lineRule="auto"/>
              <w:rPr>
                <w:rFonts w:ascii="Arial"/>
                <w:sz w:val="21"/>
              </w:rPr>
            </w:pPr>
          </w:p>
          <w:p w14:paraId="5ED02F80">
            <w:pPr>
              <w:spacing w:line="243" w:lineRule="auto"/>
              <w:rPr>
                <w:rFonts w:ascii="Arial"/>
                <w:sz w:val="21"/>
              </w:rPr>
            </w:pPr>
          </w:p>
          <w:p w14:paraId="7C825D13">
            <w:pPr>
              <w:spacing w:line="243" w:lineRule="auto"/>
              <w:rPr>
                <w:rFonts w:ascii="Arial"/>
                <w:sz w:val="21"/>
              </w:rPr>
            </w:pPr>
          </w:p>
          <w:p w14:paraId="1975A887">
            <w:pPr>
              <w:spacing w:line="243" w:lineRule="auto"/>
              <w:rPr>
                <w:rFonts w:ascii="Arial"/>
                <w:sz w:val="21"/>
              </w:rPr>
            </w:pPr>
          </w:p>
          <w:p w14:paraId="28441E21">
            <w:pPr>
              <w:spacing w:line="243" w:lineRule="auto"/>
              <w:rPr>
                <w:rFonts w:ascii="Arial"/>
                <w:sz w:val="21"/>
              </w:rPr>
            </w:pPr>
          </w:p>
          <w:p w14:paraId="3B05211A">
            <w:pPr>
              <w:spacing w:line="243" w:lineRule="auto"/>
              <w:rPr>
                <w:rFonts w:ascii="Arial"/>
                <w:sz w:val="21"/>
              </w:rPr>
            </w:pPr>
          </w:p>
          <w:p w14:paraId="28C87173">
            <w:pPr>
              <w:pStyle w:val="6"/>
              <w:spacing w:before="68" w:line="219" w:lineRule="auto"/>
              <w:ind w:left="69"/>
              <w:rPr>
                <w:sz w:val="21"/>
                <w:szCs w:val="21"/>
              </w:rPr>
            </w:pPr>
            <w:r>
              <w:rPr>
                <w:spacing w:val="-3"/>
                <w:sz w:val="21"/>
                <w:szCs w:val="21"/>
              </w:rPr>
              <w:t>符合</w:t>
            </w:r>
          </w:p>
        </w:tc>
      </w:tr>
      <w:tr w14:paraId="27EE4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3" w:hRule="atLeast"/>
        </w:trPr>
        <w:tc>
          <w:tcPr>
            <w:tcW w:w="1233" w:type="dxa"/>
            <w:vMerge w:val="continue"/>
            <w:tcBorders>
              <w:top w:val="nil"/>
            </w:tcBorders>
            <w:vAlign w:val="top"/>
          </w:tcPr>
          <w:p w14:paraId="009FE3E5">
            <w:pPr>
              <w:rPr>
                <w:rFonts w:ascii="Arial"/>
                <w:sz w:val="21"/>
              </w:rPr>
            </w:pPr>
          </w:p>
        </w:tc>
        <w:tc>
          <w:tcPr>
            <w:tcW w:w="4445" w:type="dxa"/>
            <w:vAlign w:val="top"/>
          </w:tcPr>
          <w:p w14:paraId="50045AAB">
            <w:pPr>
              <w:pStyle w:val="6"/>
              <w:spacing w:before="45" w:line="219" w:lineRule="auto"/>
              <w:ind w:left="21"/>
              <w:rPr>
                <w:sz w:val="21"/>
                <w:szCs w:val="21"/>
              </w:rPr>
            </w:pPr>
            <w:r>
              <w:rPr>
                <w:spacing w:val="-1"/>
                <w:sz w:val="21"/>
                <w:szCs w:val="21"/>
              </w:rPr>
              <w:t>优化国土空间开发保护格局。落实主体功能区布</w:t>
            </w:r>
          </w:p>
          <w:p w14:paraId="696A1BF7">
            <w:pPr>
              <w:pStyle w:val="6"/>
              <w:spacing w:before="43" w:line="220" w:lineRule="auto"/>
              <w:ind w:right="3"/>
              <w:jc w:val="right"/>
              <w:rPr>
                <w:sz w:val="21"/>
                <w:szCs w:val="21"/>
              </w:rPr>
            </w:pPr>
            <w:r>
              <w:rPr>
                <w:spacing w:val="-1"/>
                <w:sz w:val="21"/>
                <w:szCs w:val="21"/>
              </w:rPr>
              <w:t>局，构建“三区三屏、一核多点”的国土空间开</w:t>
            </w:r>
          </w:p>
          <w:p w14:paraId="17919883">
            <w:pPr>
              <w:pStyle w:val="6"/>
              <w:spacing w:before="7" w:line="219" w:lineRule="auto"/>
              <w:jc w:val="right"/>
              <w:rPr>
                <w:sz w:val="21"/>
                <w:szCs w:val="21"/>
              </w:rPr>
            </w:pPr>
            <w:r>
              <w:rPr>
                <w:spacing w:val="-2"/>
                <w:sz w:val="21"/>
                <w:szCs w:val="21"/>
              </w:rPr>
              <w:t>发保护总体格局。严格保护耕地，夯实粮食安全</w:t>
            </w:r>
          </w:p>
          <w:p w14:paraId="30CEBC33">
            <w:pPr>
              <w:pStyle w:val="6"/>
              <w:spacing w:before="21" w:line="219" w:lineRule="auto"/>
              <w:jc w:val="right"/>
              <w:rPr>
                <w:sz w:val="21"/>
                <w:szCs w:val="21"/>
              </w:rPr>
            </w:pPr>
            <w:r>
              <w:rPr>
                <w:sz w:val="21"/>
                <w:szCs w:val="21"/>
              </w:rPr>
              <w:t>基础，统筹粮食生产核心区、山地生态农业区、</w:t>
            </w:r>
          </w:p>
          <w:p w14:paraId="5F2C0E8B">
            <w:pPr>
              <w:pStyle w:val="6"/>
              <w:spacing w:before="20" w:line="219" w:lineRule="auto"/>
              <w:jc w:val="right"/>
              <w:rPr>
                <w:sz w:val="21"/>
                <w:szCs w:val="21"/>
              </w:rPr>
            </w:pPr>
            <w:r>
              <w:rPr>
                <w:spacing w:val="-1"/>
                <w:sz w:val="21"/>
                <w:szCs w:val="21"/>
              </w:rPr>
              <w:t>农业发展补充区，优化特色农业产业布局，保障</w:t>
            </w:r>
          </w:p>
          <w:p w14:paraId="27CC1784">
            <w:pPr>
              <w:pStyle w:val="6"/>
              <w:spacing w:before="40" w:line="219" w:lineRule="auto"/>
              <w:jc w:val="right"/>
              <w:rPr>
                <w:sz w:val="21"/>
                <w:szCs w:val="21"/>
              </w:rPr>
            </w:pPr>
            <w:r>
              <w:rPr>
                <w:spacing w:val="-2"/>
                <w:sz w:val="21"/>
                <w:szCs w:val="21"/>
              </w:rPr>
              <w:t>重要农产品供给。协同珠江流域保护与治理，筑</w:t>
            </w:r>
          </w:p>
          <w:p w14:paraId="671ADF12">
            <w:pPr>
              <w:pStyle w:val="6"/>
              <w:spacing w:before="22" w:line="219" w:lineRule="auto"/>
              <w:jc w:val="right"/>
              <w:rPr>
                <w:sz w:val="21"/>
                <w:szCs w:val="21"/>
              </w:rPr>
            </w:pPr>
            <w:r>
              <w:rPr>
                <w:spacing w:val="-10"/>
                <w:sz w:val="21"/>
                <w:szCs w:val="21"/>
              </w:rPr>
              <w:t>牢陆良坝子东部、北部、西部三道生态保护屏障，</w:t>
            </w:r>
          </w:p>
          <w:p w14:paraId="70420732">
            <w:pPr>
              <w:pStyle w:val="6"/>
              <w:spacing w:before="11" w:line="199" w:lineRule="auto"/>
              <w:ind w:left="132"/>
              <w:rPr>
                <w:sz w:val="21"/>
                <w:szCs w:val="21"/>
              </w:rPr>
            </w:pPr>
            <w:r>
              <w:rPr>
                <w:sz w:val="21"/>
                <w:szCs w:val="21"/>
              </w:rPr>
              <w:t>持续推进山水林田湖草一体化治理和历史遗留</w:t>
            </w:r>
          </w:p>
        </w:tc>
        <w:tc>
          <w:tcPr>
            <w:tcW w:w="2677" w:type="dxa"/>
            <w:vAlign w:val="top"/>
          </w:tcPr>
          <w:p w14:paraId="5CACA16E">
            <w:pPr>
              <w:spacing w:line="307" w:lineRule="auto"/>
              <w:rPr>
                <w:rFonts w:ascii="Arial"/>
                <w:sz w:val="21"/>
              </w:rPr>
            </w:pPr>
          </w:p>
          <w:p w14:paraId="1C60F0D3">
            <w:pPr>
              <w:spacing w:line="307" w:lineRule="auto"/>
              <w:rPr>
                <w:rFonts w:ascii="Arial"/>
                <w:sz w:val="21"/>
              </w:rPr>
            </w:pPr>
          </w:p>
          <w:p w14:paraId="4EB71598">
            <w:pPr>
              <w:spacing w:line="307" w:lineRule="auto"/>
              <w:rPr>
                <w:rFonts w:ascii="Arial"/>
                <w:sz w:val="21"/>
              </w:rPr>
            </w:pPr>
          </w:p>
          <w:p w14:paraId="1E7CF304">
            <w:pPr>
              <w:pStyle w:val="6"/>
              <w:spacing w:before="68" w:line="219" w:lineRule="auto"/>
              <w:ind w:left="547"/>
              <w:rPr>
                <w:sz w:val="21"/>
                <w:szCs w:val="21"/>
              </w:rPr>
            </w:pPr>
            <w:r>
              <w:rPr>
                <w:spacing w:val="-1"/>
                <w:sz w:val="21"/>
                <w:szCs w:val="21"/>
              </w:rPr>
              <w:t>项目不占用耕地。</w:t>
            </w:r>
          </w:p>
        </w:tc>
        <w:tc>
          <w:tcPr>
            <w:tcW w:w="565" w:type="dxa"/>
            <w:vAlign w:val="top"/>
          </w:tcPr>
          <w:p w14:paraId="51E80149">
            <w:pPr>
              <w:rPr>
                <w:rFonts w:ascii="Arial"/>
                <w:sz w:val="21"/>
              </w:rPr>
            </w:pPr>
          </w:p>
        </w:tc>
      </w:tr>
    </w:tbl>
    <w:p w14:paraId="67849228">
      <w:pPr>
        <w:pStyle w:val="2"/>
      </w:pPr>
    </w:p>
    <w:p w14:paraId="21C893BA">
      <w:pPr>
        <w:sectPr>
          <w:footerReference r:id="rId48" w:type="default"/>
          <w:pgSz w:w="11910" w:h="16830"/>
          <w:pgMar w:top="400" w:right="1524" w:bottom="1245" w:left="1455" w:header="0" w:footer="1083" w:gutter="0"/>
          <w:cols w:space="720" w:num="1"/>
        </w:sectPr>
      </w:pPr>
    </w:p>
    <w:p w14:paraId="6C82373A">
      <w:pPr>
        <w:spacing w:before="18"/>
      </w:pPr>
    </w:p>
    <w:p w14:paraId="3B58A1EA">
      <w:pPr>
        <w:spacing w:before="18"/>
      </w:pPr>
    </w:p>
    <w:p w14:paraId="6BAC0567">
      <w:pPr>
        <w:spacing w:before="17"/>
      </w:pPr>
    </w:p>
    <w:p w14:paraId="39372ECE">
      <w:pPr>
        <w:spacing w:before="17"/>
      </w:pPr>
    </w:p>
    <w:p w14:paraId="42C4193C">
      <w:pPr>
        <w:spacing w:before="17"/>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4"/>
        <w:gridCol w:w="939"/>
        <w:gridCol w:w="3116"/>
        <w:gridCol w:w="380"/>
        <w:gridCol w:w="2377"/>
        <w:gridCol w:w="290"/>
        <w:gridCol w:w="604"/>
      </w:tblGrid>
      <w:tr w14:paraId="658F2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3" w:hRule="atLeast"/>
        </w:trPr>
        <w:tc>
          <w:tcPr>
            <w:tcW w:w="1264" w:type="dxa"/>
            <w:vMerge w:val="restart"/>
            <w:tcBorders>
              <w:bottom w:val="nil"/>
            </w:tcBorders>
            <w:vAlign w:val="top"/>
          </w:tcPr>
          <w:p w14:paraId="14DDD7AC">
            <w:pPr>
              <w:rPr>
                <w:rFonts w:ascii="Arial"/>
                <w:sz w:val="21"/>
              </w:rPr>
            </w:pPr>
          </w:p>
        </w:tc>
        <w:tc>
          <w:tcPr>
            <w:tcW w:w="4435" w:type="dxa"/>
            <w:gridSpan w:val="3"/>
            <w:vAlign w:val="top"/>
          </w:tcPr>
          <w:p w14:paraId="4E96737F">
            <w:pPr>
              <w:pStyle w:val="6"/>
              <w:spacing w:before="43" w:line="219" w:lineRule="auto"/>
              <w:rPr>
                <w:sz w:val="21"/>
                <w:szCs w:val="21"/>
              </w:rPr>
            </w:pPr>
            <w:r>
              <w:rPr>
                <w:spacing w:val="-1"/>
                <w:sz w:val="21"/>
                <w:szCs w:val="21"/>
              </w:rPr>
              <w:t>废弃矿山等生态修复，维护区域生态安全，提升</w:t>
            </w:r>
          </w:p>
          <w:p w14:paraId="3B7813E7">
            <w:pPr>
              <w:pStyle w:val="6"/>
              <w:spacing w:before="41" w:line="219" w:lineRule="auto"/>
              <w:rPr>
                <w:sz w:val="21"/>
                <w:szCs w:val="21"/>
              </w:rPr>
            </w:pPr>
            <w:r>
              <w:rPr>
                <w:spacing w:val="-1"/>
                <w:sz w:val="21"/>
                <w:szCs w:val="21"/>
              </w:rPr>
              <w:t>生态服务功能。构建等级合理、协调有序的城镇</w:t>
            </w:r>
          </w:p>
          <w:p w14:paraId="2A40A9A3">
            <w:pPr>
              <w:pStyle w:val="6"/>
              <w:spacing w:before="20" w:line="219" w:lineRule="auto"/>
              <w:rPr>
                <w:sz w:val="21"/>
                <w:szCs w:val="21"/>
              </w:rPr>
            </w:pPr>
            <w:r>
              <w:rPr>
                <w:spacing w:val="-1"/>
                <w:sz w:val="21"/>
                <w:szCs w:val="21"/>
              </w:rPr>
              <w:t>体系，以中心城区为核心，建设物流大通道重要</w:t>
            </w:r>
          </w:p>
          <w:p w14:paraId="70438B2B">
            <w:pPr>
              <w:pStyle w:val="6"/>
              <w:spacing w:before="20" w:line="219" w:lineRule="auto"/>
              <w:rPr>
                <w:sz w:val="21"/>
                <w:szCs w:val="21"/>
              </w:rPr>
            </w:pPr>
            <w:r>
              <w:rPr>
                <w:spacing w:val="-1"/>
                <w:sz w:val="21"/>
                <w:szCs w:val="21"/>
              </w:rPr>
              <w:t>转换节点，共建滇中城市群城际交通网络，积极</w:t>
            </w:r>
          </w:p>
          <w:p w14:paraId="266BE68F">
            <w:pPr>
              <w:pStyle w:val="6"/>
              <w:spacing w:before="29" w:line="219" w:lineRule="auto"/>
              <w:jc w:val="right"/>
              <w:rPr>
                <w:sz w:val="21"/>
                <w:szCs w:val="21"/>
              </w:rPr>
            </w:pPr>
            <w:r>
              <w:rPr>
                <w:sz w:val="21"/>
                <w:szCs w:val="21"/>
              </w:rPr>
              <w:t>融入曲靖城镇圈建设，推动三岔河镇、马街镇、</w:t>
            </w:r>
          </w:p>
          <w:p w14:paraId="56A44E1C">
            <w:pPr>
              <w:pStyle w:val="6"/>
              <w:spacing w:before="11" w:line="219" w:lineRule="auto"/>
              <w:rPr>
                <w:sz w:val="21"/>
                <w:szCs w:val="21"/>
              </w:rPr>
            </w:pPr>
            <w:r>
              <w:rPr>
                <w:sz w:val="21"/>
                <w:szCs w:val="21"/>
              </w:rPr>
              <w:t>召夸镇、大莫古镇、板桥镇、芳华镇、小百户镇</w:t>
            </w:r>
          </w:p>
          <w:p w14:paraId="78B2499B">
            <w:pPr>
              <w:pStyle w:val="6"/>
              <w:spacing w:before="43" w:line="219" w:lineRule="auto"/>
              <w:ind w:right="6"/>
              <w:jc w:val="right"/>
              <w:rPr>
                <w:sz w:val="21"/>
                <w:szCs w:val="21"/>
              </w:rPr>
            </w:pPr>
            <w:r>
              <w:rPr>
                <w:sz w:val="21"/>
                <w:szCs w:val="21"/>
              </w:rPr>
              <w:t>7个重点镇建设，辐射带动周边一般乡镇发展。</w:t>
            </w:r>
          </w:p>
          <w:p w14:paraId="5EADA2E3">
            <w:pPr>
              <w:pStyle w:val="6"/>
              <w:spacing w:line="219" w:lineRule="auto"/>
              <w:jc w:val="right"/>
              <w:rPr>
                <w:sz w:val="21"/>
                <w:szCs w:val="21"/>
              </w:rPr>
            </w:pPr>
            <w:r>
              <w:rPr>
                <w:sz w:val="21"/>
                <w:szCs w:val="21"/>
              </w:rPr>
              <w:t>划定工业用地红线，推动陆良产业园区建设，引</w:t>
            </w:r>
          </w:p>
          <w:p w14:paraId="46EC6E5D">
            <w:pPr>
              <w:pStyle w:val="6"/>
              <w:spacing w:before="31" w:line="202" w:lineRule="auto"/>
              <w:ind w:left="1100"/>
              <w:rPr>
                <w:sz w:val="21"/>
                <w:szCs w:val="21"/>
              </w:rPr>
            </w:pPr>
            <w:r>
              <w:rPr>
                <w:sz w:val="21"/>
                <w:szCs w:val="21"/>
              </w:rPr>
              <w:t>导产业和人口融合发展。</w:t>
            </w:r>
          </w:p>
        </w:tc>
        <w:tc>
          <w:tcPr>
            <w:tcW w:w="2667" w:type="dxa"/>
            <w:gridSpan w:val="2"/>
            <w:vAlign w:val="top"/>
          </w:tcPr>
          <w:p w14:paraId="4796AABD">
            <w:pPr>
              <w:rPr>
                <w:rFonts w:ascii="Arial"/>
                <w:sz w:val="21"/>
              </w:rPr>
            </w:pPr>
          </w:p>
        </w:tc>
        <w:tc>
          <w:tcPr>
            <w:tcW w:w="604" w:type="dxa"/>
            <w:vAlign w:val="top"/>
          </w:tcPr>
          <w:p w14:paraId="2E790AAB">
            <w:pPr>
              <w:rPr>
                <w:rFonts w:ascii="Arial"/>
                <w:sz w:val="21"/>
              </w:rPr>
            </w:pPr>
          </w:p>
        </w:tc>
      </w:tr>
      <w:tr w14:paraId="2BF41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7" w:hRule="atLeast"/>
        </w:trPr>
        <w:tc>
          <w:tcPr>
            <w:tcW w:w="1264" w:type="dxa"/>
            <w:vMerge w:val="continue"/>
            <w:tcBorders>
              <w:top w:val="nil"/>
              <w:bottom w:val="nil"/>
            </w:tcBorders>
            <w:vAlign w:val="top"/>
          </w:tcPr>
          <w:p w14:paraId="2EC06FD3">
            <w:pPr>
              <w:rPr>
                <w:rFonts w:ascii="Arial"/>
                <w:sz w:val="21"/>
              </w:rPr>
            </w:pPr>
          </w:p>
        </w:tc>
        <w:tc>
          <w:tcPr>
            <w:tcW w:w="4435" w:type="dxa"/>
            <w:gridSpan w:val="3"/>
            <w:vAlign w:val="top"/>
          </w:tcPr>
          <w:p w14:paraId="7C296A14">
            <w:pPr>
              <w:pStyle w:val="6"/>
              <w:spacing w:before="29" w:line="219" w:lineRule="auto"/>
              <w:rPr>
                <w:sz w:val="21"/>
                <w:szCs w:val="21"/>
              </w:rPr>
            </w:pPr>
            <w:r>
              <w:rPr>
                <w:spacing w:val="-1"/>
                <w:sz w:val="21"/>
                <w:szCs w:val="21"/>
              </w:rPr>
              <w:t>提升城乡空间品质。优化县城空间结构和用地布</w:t>
            </w:r>
          </w:p>
          <w:p w14:paraId="1A9E8556">
            <w:pPr>
              <w:pStyle w:val="6"/>
              <w:spacing w:before="22" w:line="219" w:lineRule="auto"/>
              <w:rPr>
                <w:sz w:val="21"/>
                <w:szCs w:val="21"/>
              </w:rPr>
            </w:pPr>
            <w:r>
              <w:rPr>
                <w:sz w:val="21"/>
                <w:szCs w:val="21"/>
              </w:rPr>
              <w:t>局，统筹谋划教育、文化、体育、医疗、养老等</w:t>
            </w:r>
          </w:p>
          <w:p w14:paraId="287850CC">
            <w:pPr>
              <w:pStyle w:val="6"/>
              <w:spacing w:before="40" w:line="219" w:lineRule="auto"/>
              <w:jc w:val="right"/>
              <w:rPr>
                <w:sz w:val="21"/>
                <w:szCs w:val="21"/>
              </w:rPr>
            </w:pPr>
            <w:r>
              <w:rPr>
                <w:sz w:val="21"/>
                <w:szCs w:val="21"/>
              </w:rPr>
              <w:t>公共服务设施，推进社区生活圈建设，提升城乡</w:t>
            </w:r>
          </w:p>
          <w:p w14:paraId="0B1C0D9E">
            <w:pPr>
              <w:pStyle w:val="6"/>
              <w:spacing w:before="20" w:line="219" w:lineRule="auto"/>
              <w:ind w:left="111"/>
              <w:rPr>
                <w:sz w:val="21"/>
                <w:szCs w:val="21"/>
              </w:rPr>
            </w:pPr>
            <w:r>
              <w:rPr>
                <w:sz w:val="21"/>
                <w:szCs w:val="21"/>
              </w:rPr>
              <w:t>公共服务均衡性和可及性。严格城市控制线管</w:t>
            </w:r>
          </w:p>
          <w:p w14:paraId="752F59A9">
            <w:pPr>
              <w:pStyle w:val="6"/>
              <w:spacing w:before="31" w:line="219" w:lineRule="auto"/>
              <w:jc w:val="right"/>
              <w:rPr>
                <w:sz w:val="21"/>
                <w:szCs w:val="21"/>
              </w:rPr>
            </w:pPr>
            <w:r>
              <w:rPr>
                <w:spacing w:val="-10"/>
                <w:sz w:val="21"/>
                <w:szCs w:val="21"/>
              </w:rPr>
              <w:t>控，系统建设公共开敞空间，稳步推进城市更新。</w:t>
            </w:r>
          </w:p>
          <w:p w14:paraId="2DD6B173">
            <w:pPr>
              <w:pStyle w:val="6"/>
              <w:spacing w:before="21" w:line="219" w:lineRule="auto"/>
              <w:ind w:left="111"/>
              <w:rPr>
                <w:sz w:val="21"/>
                <w:szCs w:val="21"/>
              </w:rPr>
            </w:pPr>
            <w:r>
              <w:rPr>
                <w:sz w:val="21"/>
                <w:szCs w:val="21"/>
              </w:rPr>
              <w:t>加大存量用地挖潜，推动地上地下空间复合利</w:t>
            </w:r>
          </w:p>
          <w:p w14:paraId="79AA0E64">
            <w:pPr>
              <w:pStyle w:val="6"/>
              <w:spacing w:before="19" w:line="219" w:lineRule="auto"/>
              <w:jc w:val="right"/>
              <w:rPr>
                <w:sz w:val="21"/>
                <w:szCs w:val="21"/>
              </w:rPr>
            </w:pPr>
            <w:r>
              <w:rPr>
                <w:spacing w:val="-10"/>
                <w:sz w:val="21"/>
                <w:szCs w:val="21"/>
              </w:rPr>
              <w:t>用，提高土地节约集约利用水平。传承历史文脉，</w:t>
            </w:r>
          </w:p>
          <w:p w14:paraId="74729573">
            <w:pPr>
              <w:pStyle w:val="6"/>
              <w:spacing w:before="23" w:line="219" w:lineRule="auto"/>
              <w:rPr>
                <w:sz w:val="21"/>
                <w:szCs w:val="21"/>
              </w:rPr>
            </w:pPr>
            <w:r>
              <w:rPr>
                <w:spacing w:val="-1"/>
                <w:sz w:val="21"/>
                <w:szCs w:val="21"/>
              </w:rPr>
              <w:t>加强爨龙颜碑、大觉寺等历史文化资源保护及其</w:t>
            </w:r>
          </w:p>
          <w:p w14:paraId="7DB3BD80">
            <w:pPr>
              <w:pStyle w:val="6"/>
              <w:spacing w:before="20" w:line="219" w:lineRule="auto"/>
              <w:rPr>
                <w:sz w:val="21"/>
                <w:szCs w:val="21"/>
              </w:rPr>
            </w:pPr>
            <w:r>
              <w:rPr>
                <w:spacing w:val="-1"/>
                <w:sz w:val="21"/>
                <w:szCs w:val="21"/>
              </w:rPr>
              <w:t>周围环境，落实历史文化保护线管理要求。强化</w:t>
            </w:r>
          </w:p>
          <w:p w14:paraId="0EB2E51E">
            <w:pPr>
              <w:pStyle w:val="6"/>
              <w:spacing w:before="31" w:line="219" w:lineRule="auto"/>
              <w:rPr>
                <w:sz w:val="21"/>
                <w:szCs w:val="21"/>
              </w:rPr>
            </w:pPr>
            <w:r>
              <w:rPr>
                <w:spacing w:val="-1"/>
                <w:sz w:val="21"/>
                <w:szCs w:val="21"/>
              </w:rPr>
              <w:t>城市设计，管控城市高度和城市天际线，优化城</w:t>
            </w:r>
          </w:p>
          <w:p w14:paraId="3F4CB978">
            <w:pPr>
              <w:pStyle w:val="6"/>
              <w:spacing w:before="21" w:line="219" w:lineRule="auto"/>
              <w:rPr>
                <w:sz w:val="21"/>
                <w:szCs w:val="21"/>
              </w:rPr>
            </w:pPr>
            <w:r>
              <w:rPr>
                <w:sz w:val="21"/>
                <w:szCs w:val="21"/>
              </w:rPr>
              <w:t>乡空间形态，彰显“爨源文化名城”的城乡特色</w:t>
            </w:r>
          </w:p>
          <w:p w14:paraId="3B9AB240">
            <w:pPr>
              <w:pStyle w:val="6"/>
              <w:spacing w:before="10" w:line="200" w:lineRule="auto"/>
              <w:ind w:left="1940"/>
              <w:rPr>
                <w:sz w:val="21"/>
                <w:szCs w:val="21"/>
              </w:rPr>
            </w:pPr>
            <w:r>
              <w:rPr>
                <w:spacing w:val="1"/>
                <w:sz w:val="21"/>
                <w:szCs w:val="21"/>
              </w:rPr>
              <w:t>风貌。</w:t>
            </w:r>
          </w:p>
        </w:tc>
        <w:tc>
          <w:tcPr>
            <w:tcW w:w="2667" w:type="dxa"/>
            <w:gridSpan w:val="2"/>
            <w:vAlign w:val="top"/>
          </w:tcPr>
          <w:p w14:paraId="4EA6C256">
            <w:pPr>
              <w:spacing w:line="296" w:lineRule="auto"/>
              <w:rPr>
                <w:rFonts w:ascii="Arial"/>
                <w:sz w:val="21"/>
              </w:rPr>
            </w:pPr>
          </w:p>
          <w:p w14:paraId="19A921AA">
            <w:pPr>
              <w:spacing w:line="296" w:lineRule="auto"/>
              <w:rPr>
                <w:rFonts w:ascii="Arial"/>
                <w:sz w:val="21"/>
              </w:rPr>
            </w:pPr>
          </w:p>
          <w:p w14:paraId="5751C52E">
            <w:pPr>
              <w:spacing w:line="297" w:lineRule="auto"/>
              <w:rPr>
                <w:rFonts w:ascii="Arial"/>
                <w:sz w:val="21"/>
              </w:rPr>
            </w:pPr>
          </w:p>
          <w:p w14:paraId="36ECC16A">
            <w:pPr>
              <w:spacing w:line="297" w:lineRule="auto"/>
              <w:rPr>
                <w:rFonts w:ascii="Arial"/>
                <w:sz w:val="21"/>
              </w:rPr>
            </w:pPr>
          </w:p>
          <w:p w14:paraId="46B8C8D3">
            <w:pPr>
              <w:pStyle w:val="6"/>
              <w:spacing w:before="68" w:line="251" w:lineRule="auto"/>
              <w:ind w:left="16" w:firstLine="49"/>
              <w:jc w:val="both"/>
              <w:rPr>
                <w:sz w:val="21"/>
                <w:szCs w:val="21"/>
              </w:rPr>
            </w:pPr>
            <w:r>
              <w:rPr>
                <w:spacing w:val="-1"/>
                <w:sz w:val="21"/>
                <w:szCs w:val="21"/>
              </w:rPr>
              <w:t>项目占地位于城镇开发边界</w:t>
            </w:r>
            <w:r>
              <w:rPr>
                <w:spacing w:val="4"/>
                <w:sz w:val="21"/>
                <w:szCs w:val="21"/>
              </w:rPr>
              <w:t xml:space="preserve"> </w:t>
            </w:r>
            <w:r>
              <w:rPr>
                <w:spacing w:val="-7"/>
                <w:sz w:val="21"/>
                <w:szCs w:val="21"/>
              </w:rPr>
              <w:t>以外。项目合理布局，节约占</w:t>
            </w:r>
            <w:r>
              <w:rPr>
                <w:sz w:val="21"/>
                <w:szCs w:val="21"/>
              </w:rPr>
              <w:t xml:space="preserve"> </w:t>
            </w:r>
            <w:r>
              <w:rPr>
                <w:spacing w:val="7"/>
                <w:sz w:val="21"/>
                <w:szCs w:val="21"/>
              </w:rPr>
              <w:t>地，不影响县城用地布局。</w:t>
            </w:r>
          </w:p>
        </w:tc>
        <w:tc>
          <w:tcPr>
            <w:tcW w:w="604" w:type="dxa"/>
            <w:vAlign w:val="top"/>
          </w:tcPr>
          <w:p w14:paraId="071800E5">
            <w:pPr>
              <w:rPr>
                <w:rFonts w:ascii="Arial"/>
                <w:sz w:val="21"/>
              </w:rPr>
            </w:pPr>
          </w:p>
        </w:tc>
      </w:tr>
      <w:tr w14:paraId="63BE1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7" w:hRule="atLeast"/>
        </w:trPr>
        <w:tc>
          <w:tcPr>
            <w:tcW w:w="1264" w:type="dxa"/>
            <w:vMerge w:val="continue"/>
            <w:tcBorders>
              <w:top w:val="nil"/>
              <w:bottom w:val="nil"/>
            </w:tcBorders>
            <w:vAlign w:val="top"/>
          </w:tcPr>
          <w:p w14:paraId="69AA2672">
            <w:pPr>
              <w:rPr>
                <w:rFonts w:ascii="Arial"/>
                <w:sz w:val="21"/>
              </w:rPr>
            </w:pPr>
          </w:p>
        </w:tc>
        <w:tc>
          <w:tcPr>
            <w:tcW w:w="7706" w:type="dxa"/>
            <w:gridSpan w:val="6"/>
            <w:vAlign w:val="top"/>
          </w:tcPr>
          <w:p w14:paraId="2F3CE846">
            <w:pPr>
              <w:pStyle w:val="6"/>
              <w:spacing w:before="62" w:line="219" w:lineRule="auto"/>
              <w:ind w:left="490"/>
              <w:rPr>
                <w:sz w:val="21"/>
                <w:szCs w:val="21"/>
              </w:rPr>
            </w:pPr>
            <w:r>
              <w:pict>
                <v:shape id="_x0000_s1051" o:spid="_x0000_s1051" o:spt="202" type="#_x0000_t202" style="position:absolute;left:0pt;margin-left:377.95pt;margin-top:49.05pt;height:12.5pt;width:11.15pt;mso-position-horizontal-relative:page;mso-position-vertical-relative:page;z-index:251677696;mso-width-relative:page;mso-height-relative:page;" filled="f" stroked="f" coordsize="21600,21600">
                  <v:path/>
                  <v:fill on="f" focussize="0,0"/>
                  <v:stroke on="f"/>
                  <v:imagedata o:title=""/>
                  <o:lock v:ext="edit" aspectratio="f"/>
                  <v:textbox inset="0mm,0mm,0mm,0mm">
                    <w:txbxContent>
                      <w:p w14:paraId="6249466A">
                        <w:pPr>
                          <w:pStyle w:val="6"/>
                          <w:spacing w:before="20" w:line="184" w:lineRule="auto"/>
                          <w:jc w:val="right"/>
                          <w:rPr>
                            <w:sz w:val="21"/>
                            <w:szCs w:val="21"/>
                          </w:rPr>
                        </w:pPr>
                        <w:r>
                          <w:rPr>
                            <w:b/>
                            <w:bCs/>
                            <w:spacing w:val="-31"/>
                            <w:sz w:val="21"/>
                            <w:szCs w:val="21"/>
                          </w:rPr>
                          <w:t>》</w:t>
                        </w:r>
                      </w:p>
                    </w:txbxContent>
                  </v:textbox>
                </v:shape>
              </w:pict>
            </w:r>
            <w:r>
              <w:rPr>
                <w:spacing w:val="-3"/>
                <w:sz w:val="21"/>
                <w:szCs w:val="21"/>
              </w:rPr>
              <w:t>从上表可以看出，本项目符合《陆良县国土空间总体规划(2021—2035</w:t>
            </w:r>
          </w:p>
          <w:p w14:paraId="7519BC5A">
            <w:pPr>
              <w:pStyle w:val="6"/>
              <w:spacing w:before="202" w:line="219" w:lineRule="auto"/>
              <w:ind w:left="10"/>
              <w:rPr>
                <w:sz w:val="21"/>
                <w:szCs w:val="21"/>
              </w:rPr>
            </w:pPr>
            <w:r>
              <w:rPr>
                <w:spacing w:val="-12"/>
                <w:sz w:val="21"/>
                <w:szCs w:val="21"/>
              </w:rPr>
              <w:t>年</w:t>
            </w:r>
            <w:r>
              <w:rPr>
                <w:spacing w:val="-41"/>
                <w:sz w:val="21"/>
                <w:szCs w:val="21"/>
              </w:rPr>
              <w:t xml:space="preserve"> </w:t>
            </w:r>
            <w:r>
              <w:rPr>
                <w:spacing w:val="-12"/>
                <w:sz w:val="21"/>
                <w:szCs w:val="21"/>
              </w:rPr>
              <w:t>)</w:t>
            </w:r>
            <w:r>
              <w:rPr>
                <w:spacing w:val="-36"/>
                <w:sz w:val="21"/>
                <w:szCs w:val="21"/>
              </w:rPr>
              <w:t xml:space="preserve"> </w:t>
            </w:r>
            <w:r>
              <w:rPr>
                <w:spacing w:val="-12"/>
                <w:sz w:val="21"/>
                <w:szCs w:val="21"/>
              </w:rPr>
              <w:t>》</w:t>
            </w:r>
            <w:r>
              <w:rPr>
                <w:spacing w:val="-29"/>
                <w:sz w:val="21"/>
                <w:szCs w:val="21"/>
              </w:rPr>
              <w:t xml:space="preserve"> </w:t>
            </w:r>
            <w:r>
              <w:rPr>
                <w:spacing w:val="-12"/>
                <w:sz w:val="21"/>
                <w:szCs w:val="21"/>
              </w:rPr>
              <w:t>的</w:t>
            </w:r>
            <w:r>
              <w:rPr>
                <w:spacing w:val="-47"/>
                <w:sz w:val="21"/>
                <w:szCs w:val="21"/>
              </w:rPr>
              <w:t xml:space="preserve"> </w:t>
            </w:r>
            <w:r>
              <w:rPr>
                <w:spacing w:val="-12"/>
                <w:sz w:val="21"/>
                <w:szCs w:val="21"/>
              </w:rPr>
              <w:t>相</w:t>
            </w:r>
            <w:r>
              <w:rPr>
                <w:spacing w:val="-44"/>
                <w:sz w:val="21"/>
                <w:szCs w:val="21"/>
              </w:rPr>
              <w:t xml:space="preserve"> </w:t>
            </w:r>
            <w:r>
              <w:rPr>
                <w:spacing w:val="-12"/>
                <w:sz w:val="21"/>
                <w:szCs w:val="21"/>
              </w:rPr>
              <w:t>关</w:t>
            </w:r>
            <w:r>
              <w:rPr>
                <w:spacing w:val="-46"/>
                <w:sz w:val="21"/>
                <w:szCs w:val="21"/>
              </w:rPr>
              <w:t xml:space="preserve"> </w:t>
            </w:r>
            <w:r>
              <w:rPr>
                <w:spacing w:val="-12"/>
                <w:sz w:val="21"/>
                <w:szCs w:val="21"/>
              </w:rPr>
              <w:t>要</w:t>
            </w:r>
            <w:r>
              <w:rPr>
                <w:spacing w:val="-45"/>
                <w:sz w:val="21"/>
                <w:szCs w:val="21"/>
              </w:rPr>
              <w:t xml:space="preserve"> </w:t>
            </w:r>
            <w:r>
              <w:rPr>
                <w:spacing w:val="-12"/>
                <w:sz w:val="21"/>
                <w:szCs w:val="21"/>
              </w:rPr>
              <w:t>求</w:t>
            </w:r>
            <w:r>
              <w:rPr>
                <w:spacing w:val="-55"/>
                <w:sz w:val="21"/>
                <w:szCs w:val="21"/>
              </w:rPr>
              <w:t xml:space="preserve"> </w:t>
            </w:r>
            <w:r>
              <w:rPr>
                <w:spacing w:val="-12"/>
                <w:sz w:val="21"/>
                <w:szCs w:val="21"/>
              </w:rPr>
              <w:t>。</w:t>
            </w:r>
          </w:p>
          <w:p w14:paraId="4C8BE8C4">
            <w:pPr>
              <w:spacing w:line="366" w:lineRule="auto"/>
              <w:rPr>
                <w:rFonts w:ascii="Arial"/>
                <w:sz w:val="21"/>
              </w:rPr>
            </w:pPr>
          </w:p>
          <w:p w14:paraId="0609B96E">
            <w:pPr>
              <w:pStyle w:val="6"/>
              <w:spacing w:before="68" w:line="211" w:lineRule="auto"/>
              <w:ind w:left="13" w:right="951"/>
              <w:rPr>
                <w:sz w:val="21"/>
                <w:szCs w:val="21"/>
              </w:rPr>
            </w:pPr>
            <w:r>
              <w:rPr>
                <w:b/>
                <w:bCs/>
                <w:spacing w:val="-2"/>
                <w:sz w:val="21"/>
                <w:szCs w:val="21"/>
              </w:rPr>
              <w:t>23、与《云南省人民政府印发关于加快光伏发电发展若干政策措施的通知</w:t>
            </w:r>
            <w:r>
              <w:rPr>
                <w:spacing w:val="2"/>
                <w:sz w:val="21"/>
                <w:szCs w:val="21"/>
              </w:rPr>
              <w:t xml:space="preserve"> </w:t>
            </w:r>
            <w:r>
              <w:rPr>
                <w:b/>
                <w:bCs/>
                <w:spacing w:val="-4"/>
                <w:sz w:val="21"/>
                <w:szCs w:val="21"/>
              </w:rPr>
              <w:t>符合性分析</w:t>
            </w:r>
          </w:p>
          <w:p w14:paraId="4191CD7C">
            <w:pPr>
              <w:pStyle w:val="6"/>
              <w:spacing w:before="222" w:line="219" w:lineRule="auto"/>
              <w:ind w:left="470"/>
              <w:rPr>
                <w:sz w:val="21"/>
                <w:szCs w:val="21"/>
              </w:rPr>
            </w:pPr>
            <w:r>
              <w:rPr>
                <w:sz w:val="21"/>
                <w:szCs w:val="21"/>
              </w:rPr>
              <w:t>项目与《云南省人民政府印发关于加快光伏发电发展若干政策措施的</w:t>
            </w:r>
          </w:p>
          <w:p w14:paraId="0F19885F">
            <w:pPr>
              <w:pStyle w:val="6"/>
              <w:spacing w:before="222" w:line="388" w:lineRule="auto"/>
              <w:ind w:left="1098" w:hanging="1088"/>
              <w:rPr>
                <w:sz w:val="21"/>
                <w:szCs w:val="21"/>
              </w:rPr>
            </w:pPr>
            <w:r>
              <w:rPr>
                <w:spacing w:val="34"/>
                <w:sz w:val="21"/>
                <w:szCs w:val="21"/>
              </w:rPr>
              <w:t>通知》(云政发〔2022〕16号，2022年3月2</w:t>
            </w:r>
            <w:r>
              <w:rPr>
                <w:spacing w:val="33"/>
                <w:sz w:val="21"/>
                <w:szCs w:val="21"/>
              </w:rPr>
              <w:t>4日)的符合性分析见下表。</w:t>
            </w:r>
            <w:r>
              <w:rPr>
                <w:sz w:val="21"/>
                <w:szCs w:val="21"/>
              </w:rPr>
              <w:t xml:space="preserve"> </w:t>
            </w:r>
            <w:r>
              <w:rPr>
                <w:b/>
                <w:bCs/>
                <w:spacing w:val="-5"/>
                <w:sz w:val="21"/>
                <w:szCs w:val="21"/>
              </w:rPr>
              <w:t>表1-17项目与“云政发〔2022〕16号”的符合性分析</w:t>
            </w:r>
          </w:p>
        </w:tc>
      </w:tr>
      <w:tr w14:paraId="146BE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264" w:type="dxa"/>
            <w:vMerge w:val="continue"/>
            <w:tcBorders>
              <w:top w:val="nil"/>
              <w:bottom w:val="nil"/>
            </w:tcBorders>
            <w:vAlign w:val="top"/>
          </w:tcPr>
          <w:p w14:paraId="30A65E58">
            <w:pPr>
              <w:rPr>
                <w:rFonts w:ascii="Arial"/>
                <w:sz w:val="21"/>
              </w:rPr>
            </w:pPr>
          </w:p>
        </w:tc>
        <w:tc>
          <w:tcPr>
            <w:tcW w:w="939" w:type="dxa"/>
            <w:vAlign w:val="top"/>
          </w:tcPr>
          <w:p w14:paraId="2A8D380B">
            <w:pPr>
              <w:pStyle w:val="6"/>
              <w:spacing w:before="35" w:line="197" w:lineRule="auto"/>
              <w:ind w:left="91"/>
              <w:rPr>
                <w:sz w:val="21"/>
                <w:szCs w:val="21"/>
              </w:rPr>
            </w:pPr>
            <w:r>
              <w:rPr>
                <w:spacing w:val="8"/>
                <w:sz w:val="21"/>
                <w:szCs w:val="21"/>
              </w:rPr>
              <w:t>类别</w:t>
            </w:r>
          </w:p>
        </w:tc>
        <w:tc>
          <w:tcPr>
            <w:tcW w:w="3116" w:type="dxa"/>
            <w:vAlign w:val="top"/>
          </w:tcPr>
          <w:p w14:paraId="28ED6382">
            <w:pPr>
              <w:pStyle w:val="6"/>
              <w:spacing w:before="38" w:line="195" w:lineRule="auto"/>
              <w:ind w:left="101"/>
              <w:rPr>
                <w:sz w:val="21"/>
                <w:szCs w:val="21"/>
              </w:rPr>
            </w:pPr>
            <w:r>
              <w:rPr>
                <w:spacing w:val="-3"/>
                <w:sz w:val="21"/>
                <w:szCs w:val="21"/>
              </w:rPr>
              <w:t>要求</w:t>
            </w:r>
          </w:p>
        </w:tc>
        <w:tc>
          <w:tcPr>
            <w:tcW w:w="2757" w:type="dxa"/>
            <w:gridSpan w:val="2"/>
            <w:vAlign w:val="top"/>
          </w:tcPr>
          <w:p w14:paraId="5F032903">
            <w:pPr>
              <w:pStyle w:val="6"/>
              <w:spacing w:before="35" w:line="197" w:lineRule="auto"/>
              <w:ind w:left="106"/>
              <w:rPr>
                <w:sz w:val="21"/>
                <w:szCs w:val="21"/>
              </w:rPr>
            </w:pPr>
            <w:r>
              <w:rPr>
                <w:spacing w:val="-2"/>
                <w:sz w:val="21"/>
                <w:szCs w:val="21"/>
              </w:rPr>
              <w:t>本项目情况</w:t>
            </w:r>
          </w:p>
        </w:tc>
        <w:tc>
          <w:tcPr>
            <w:tcW w:w="894" w:type="dxa"/>
            <w:gridSpan w:val="2"/>
            <w:vAlign w:val="top"/>
          </w:tcPr>
          <w:p w14:paraId="40684534">
            <w:pPr>
              <w:pStyle w:val="6"/>
              <w:spacing w:before="35" w:line="197" w:lineRule="auto"/>
              <w:ind w:left="99"/>
              <w:rPr>
                <w:sz w:val="21"/>
                <w:szCs w:val="21"/>
              </w:rPr>
            </w:pPr>
            <w:r>
              <w:rPr>
                <w:spacing w:val="-3"/>
                <w:sz w:val="21"/>
                <w:szCs w:val="21"/>
              </w:rPr>
              <w:t>符合性</w:t>
            </w:r>
          </w:p>
        </w:tc>
      </w:tr>
      <w:tr w14:paraId="2933E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8" w:hRule="atLeast"/>
        </w:trPr>
        <w:tc>
          <w:tcPr>
            <w:tcW w:w="1264" w:type="dxa"/>
            <w:vMerge w:val="continue"/>
            <w:tcBorders>
              <w:top w:val="nil"/>
              <w:bottom w:val="nil"/>
            </w:tcBorders>
            <w:vAlign w:val="top"/>
          </w:tcPr>
          <w:p w14:paraId="215F9ADB">
            <w:pPr>
              <w:rPr>
                <w:rFonts w:ascii="Arial"/>
                <w:sz w:val="21"/>
              </w:rPr>
            </w:pPr>
          </w:p>
        </w:tc>
        <w:tc>
          <w:tcPr>
            <w:tcW w:w="939" w:type="dxa"/>
            <w:vAlign w:val="top"/>
          </w:tcPr>
          <w:p w14:paraId="3E20DD49">
            <w:pPr>
              <w:pStyle w:val="6"/>
              <w:spacing w:before="55" w:line="236" w:lineRule="auto"/>
              <w:ind w:left="91" w:right="145" w:firstLine="50"/>
              <w:jc w:val="both"/>
              <w:rPr>
                <w:sz w:val="21"/>
                <w:szCs w:val="21"/>
              </w:rPr>
            </w:pPr>
            <w:r>
              <w:rPr>
                <w:spacing w:val="-1"/>
                <w:sz w:val="21"/>
                <w:szCs w:val="21"/>
              </w:rPr>
              <w:t>一、全</w:t>
            </w:r>
            <w:r>
              <w:rPr>
                <w:spacing w:val="1"/>
                <w:sz w:val="21"/>
                <w:szCs w:val="21"/>
              </w:rPr>
              <w:t xml:space="preserve"> </w:t>
            </w:r>
            <w:r>
              <w:rPr>
                <w:spacing w:val="20"/>
                <w:sz w:val="21"/>
                <w:szCs w:val="21"/>
              </w:rPr>
              <w:t>面有序</w:t>
            </w:r>
            <w:r>
              <w:rPr>
                <w:spacing w:val="1"/>
                <w:sz w:val="21"/>
                <w:szCs w:val="21"/>
              </w:rPr>
              <w:t xml:space="preserve"> </w:t>
            </w:r>
            <w:r>
              <w:rPr>
                <w:spacing w:val="-3"/>
                <w:sz w:val="21"/>
                <w:szCs w:val="21"/>
              </w:rPr>
              <w:t>放开</w:t>
            </w:r>
          </w:p>
        </w:tc>
        <w:tc>
          <w:tcPr>
            <w:tcW w:w="3116" w:type="dxa"/>
            <w:vAlign w:val="top"/>
          </w:tcPr>
          <w:p w14:paraId="14BF3DFF">
            <w:pPr>
              <w:pStyle w:val="6"/>
              <w:spacing w:before="50"/>
              <w:ind w:left="81"/>
              <w:rPr>
                <w:sz w:val="21"/>
                <w:szCs w:val="21"/>
              </w:rPr>
            </w:pPr>
            <w:r>
              <w:rPr>
                <w:spacing w:val="-3"/>
                <w:sz w:val="21"/>
                <w:szCs w:val="21"/>
              </w:rPr>
              <w:t>建立资源图和项目库：形成资源</w:t>
            </w:r>
            <w:r>
              <w:rPr>
                <w:spacing w:val="5"/>
                <w:sz w:val="21"/>
                <w:szCs w:val="21"/>
              </w:rPr>
              <w:t xml:space="preserve">  </w:t>
            </w:r>
            <w:r>
              <w:rPr>
                <w:spacing w:val="-9"/>
                <w:sz w:val="21"/>
                <w:szCs w:val="21"/>
              </w:rPr>
              <w:t>分布“一张图”。发挥规划统筹和</w:t>
            </w:r>
            <w:r>
              <w:rPr>
                <w:sz w:val="21"/>
                <w:szCs w:val="21"/>
              </w:rPr>
              <w:t xml:space="preserve"> </w:t>
            </w:r>
            <w:r>
              <w:rPr>
                <w:spacing w:val="-1"/>
                <w:sz w:val="21"/>
                <w:szCs w:val="21"/>
              </w:rPr>
              <w:t>引领作用，将光伏发电项目及配</w:t>
            </w:r>
            <w:r>
              <w:rPr>
                <w:sz w:val="21"/>
                <w:szCs w:val="21"/>
              </w:rPr>
              <w:t xml:space="preserve">  </w:t>
            </w:r>
            <w:r>
              <w:rPr>
                <w:spacing w:val="7"/>
                <w:sz w:val="21"/>
                <w:szCs w:val="21"/>
              </w:rPr>
              <w:t>套接网工程统一纳入国土空间</w:t>
            </w:r>
            <w:r>
              <w:rPr>
                <w:spacing w:val="2"/>
                <w:sz w:val="21"/>
                <w:szCs w:val="21"/>
              </w:rPr>
              <w:t xml:space="preserve">   </w:t>
            </w:r>
            <w:r>
              <w:rPr>
                <w:spacing w:val="1"/>
                <w:sz w:val="21"/>
                <w:szCs w:val="21"/>
              </w:rPr>
              <w:t>规划，搭建省级统一管理的项目</w:t>
            </w:r>
            <w:r>
              <w:rPr>
                <w:spacing w:val="4"/>
                <w:sz w:val="21"/>
                <w:szCs w:val="21"/>
              </w:rPr>
              <w:t xml:space="preserve"> </w:t>
            </w:r>
            <w:r>
              <w:rPr>
                <w:spacing w:val="-1"/>
                <w:sz w:val="21"/>
                <w:szCs w:val="21"/>
              </w:rPr>
              <w:t>库，入库项目须充分衔接省级和</w:t>
            </w:r>
            <w:r>
              <w:rPr>
                <w:spacing w:val="4"/>
                <w:sz w:val="21"/>
                <w:szCs w:val="21"/>
              </w:rPr>
              <w:t xml:space="preserve">  </w:t>
            </w:r>
            <w:r>
              <w:rPr>
                <w:spacing w:val="6"/>
                <w:sz w:val="21"/>
                <w:szCs w:val="21"/>
              </w:rPr>
              <w:t>州、市规划，未入库项目各州、</w:t>
            </w:r>
            <w:r>
              <w:rPr>
                <w:sz w:val="21"/>
                <w:szCs w:val="21"/>
              </w:rPr>
              <w:t xml:space="preserve"> 市不得开发建设。</w:t>
            </w:r>
          </w:p>
        </w:tc>
        <w:tc>
          <w:tcPr>
            <w:tcW w:w="2757" w:type="dxa"/>
            <w:gridSpan w:val="2"/>
            <w:vAlign w:val="top"/>
          </w:tcPr>
          <w:p w14:paraId="094374BC">
            <w:pPr>
              <w:pStyle w:val="6"/>
              <w:spacing w:before="67" w:line="235" w:lineRule="auto"/>
              <w:ind w:left="116" w:right="120"/>
              <w:rPr>
                <w:sz w:val="21"/>
                <w:szCs w:val="21"/>
              </w:rPr>
            </w:pPr>
            <w:r>
              <w:rPr>
                <w:spacing w:val="-1"/>
                <w:sz w:val="21"/>
                <w:szCs w:val="21"/>
              </w:rPr>
              <w:t>本项目属于云南省发展和改</w:t>
            </w:r>
            <w:r>
              <w:rPr>
                <w:spacing w:val="1"/>
                <w:sz w:val="21"/>
                <w:szCs w:val="21"/>
              </w:rPr>
              <w:t xml:space="preserve"> </w:t>
            </w:r>
            <w:r>
              <w:rPr>
                <w:spacing w:val="-1"/>
                <w:sz w:val="21"/>
                <w:szCs w:val="21"/>
              </w:rPr>
              <w:t>革委员会及云南省能源局联</w:t>
            </w:r>
            <w:r>
              <w:rPr>
                <w:spacing w:val="1"/>
                <w:sz w:val="21"/>
                <w:szCs w:val="21"/>
              </w:rPr>
              <w:t xml:space="preserve"> </w:t>
            </w:r>
            <w:r>
              <w:rPr>
                <w:spacing w:val="-1"/>
                <w:sz w:val="21"/>
                <w:szCs w:val="21"/>
              </w:rPr>
              <w:t>合发布《云南省发展和改革</w:t>
            </w:r>
            <w:r>
              <w:rPr>
                <w:spacing w:val="1"/>
                <w:sz w:val="21"/>
                <w:szCs w:val="21"/>
              </w:rPr>
              <w:t xml:space="preserve"> </w:t>
            </w:r>
            <w:r>
              <w:rPr>
                <w:spacing w:val="8"/>
                <w:sz w:val="21"/>
                <w:szCs w:val="21"/>
              </w:rPr>
              <w:t>委员会云南省能源局关于</w:t>
            </w:r>
          </w:p>
          <w:p w14:paraId="75A1E687">
            <w:pPr>
              <w:pStyle w:val="6"/>
              <w:spacing w:before="5" w:line="238" w:lineRule="auto"/>
              <w:ind w:left="110" w:right="99" w:firstLine="5"/>
              <w:rPr>
                <w:sz w:val="21"/>
                <w:szCs w:val="21"/>
              </w:rPr>
            </w:pPr>
            <w:r>
              <w:rPr>
                <w:sz w:val="21"/>
                <w:szCs w:val="21"/>
              </w:rPr>
              <w:t>印发云南省2023年第一批新</w:t>
            </w:r>
            <w:r>
              <w:rPr>
                <w:spacing w:val="7"/>
                <w:sz w:val="21"/>
                <w:szCs w:val="21"/>
              </w:rPr>
              <w:t xml:space="preserve"> </w:t>
            </w:r>
            <w:r>
              <w:rPr>
                <w:spacing w:val="5"/>
                <w:sz w:val="21"/>
                <w:szCs w:val="21"/>
              </w:rPr>
              <w:t>能源建设方案的通知》(云</w:t>
            </w:r>
            <w:r>
              <w:rPr>
                <w:spacing w:val="1"/>
                <w:sz w:val="21"/>
                <w:szCs w:val="21"/>
              </w:rPr>
              <w:t xml:space="preserve"> </w:t>
            </w:r>
            <w:r>
              <w:rPr>
                <w:spacing w:val="7"/>
                <w:sz w:val="21"/>
                <w:szCs w:val="21"/>
              </w:rPr>
              <w:t>能源水电【2023】170号),</w:t>
            </w:r>
            <w:r>
              <w:rPr>
                <w:spacing w:val="2"/>
                <w:sz w:val="21"/>
                <w:szCs w:val="21"/>
              </w:rPr>
              <w:t xml:space="preserve"> </w:t>
            </w:r>
            <w:r>
              <w:rPr>
                <w:spacing w:val="1"/>
                <w:sz w:val="21"/>
                <w:szCs w:val="21"/>
              </w:rPr>
              <w:t xml:space="preserve">本项目为云南省2023年第一 </w:t>
            </w:r>
            <w:r>
              <w:rPr>
                <w:spacing w:val="11"/>
                <w:sz w:val="21"/>
                <w:szCs w:val="21"/>
              </w:rPr>
              <w:t>批新能源项目建设清单中</w:t>
            </w:r>
            <w:r>
              <w:rPr>
                <w:spacing w:val="3"/>
                <w:sz w:val="21"/>
                <w:szCs w:val="21"/>
              </w:rPr>
              <w:t xml:space="preserve">  </w:t>
            </w:r>
            <w:r>
              <w:rPr>
                <w:spacing w:val="8"/>
                <w:sz w:val="21"/>
                <w:szCs w:val="21"/>
              </w:rPr>
              <w:t>“(一)曲靖市”中第36个</w:t>
            </w:r>
          </w:p>
          <w:p w14:paraId="72E5622C">
            <w:pPr>
              <w:pStyle w:val="6"/>
              <w:spacing w:line="204" w:lineRule="auto"/>
              <w:jc w:val="right"/>
              <w:rPr>
                <w:sz w:val="21"/>
                <w:szCs w:val="21"/>
              </w:rPr>
            </w:pPr>
            <w:r>
              <w:rPr>
                <w:spacing w:val="17"/>
                <w:sz w:val="21"/>
                <w:szCs w:val="21"/>
              </w:rPr>
              <w:t>“栗树园村光伏发电项目”</w:t>
            </w:r>
          </w:p>
        </w:tc>
        <w:tc>
          <w:tcPr>
            <w:tcW w:w="894" w:type="dxa"/>
            <w:gridSpan w:val="2"/>
            <w:vAlign w:val="top"/>
          </w:tcPr>
          <w:p w14:paraId="2FF36151">
            <w:pPr>
              <w:pStyle w:val="6"/>
              <w:spacing w:before="36" w:line="219" w:lineRule="auto"/>
              <w:ind w:left="99"/>
              <w:rPr>
                <w:sz w:val="21"/>
                <w:szCs w:val="21"/>
              </w:rPr>
            </w:pPr>
            <w:r>
              <w:rPr>
                <w:spacing w:val="-3"/>
                <w:sz w:val="21"/>
                <w:szCs w:val="21"/>
              </w:rPr>
              <w:t>符合</w:t>
            </w:r>
          </w:p>
        </w:tc>
      </w:tr>
      <w:tr w14:paraId="104F7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1264" w:type="dxa"/>
            <w:vMerge w:val="continue"/>
            <w:tcBorders>
              <w:top w:val="nil"/>
            </w:tcBorders>
            <w:vAlign w:val="top"/>
          </w:tcPr>
          <w:p w14:paraId="1D2CE6B3">
            <w:pPr>
              <w:rPr>
                <w:rFonts w:ascii="Arial"/>
                <w:sz w:val="21"/>
              </w:rPr>
            </w:pPr>
          </w:p>
        </w:tc>
        <w:tc>
          <w:tcPr>
            <w:tcW w:w="939" w:type="dxa"/>
            <w:vAlign w:val="top"/>
          </w:tcPr>
          <w:p w14:paraId="203E43A9">
            <w:pPr>
              <w:pStyle w:val="6"/>
              <w:spacing w:before="41" w:line="222" w:lineRule="auto"/>
              <w:ind w:left="141"/>
              <w:rPr>
                <w:sz w:val="21"/>
                <w:szCs w:val="21"/>
              </w:rPr>
            </w:pPr>
            <w:r>
              <w:rPr>
                <w:spacing w:val="3"/>
                <w:sz w:val="21"/>
                <w:szCs w:val="21"/>
              </w:rPr>
              <w:t>二、强</w:t>
            </w:r>
          </w:p>
          <w:p w14:paraId="41063746">
            <w:pPr>
              <w:pStyle w:val="6"/>
              <w:spacing w:before="23" w:line="223" w:lineRule="auto"/>
              <w:ind w:left="131" w:right="167" w:firstLine="10"/>
              <w:rPr>
                <w:sz w:val="21"/>
                <w:szCs w:val="21"/>
              </w:rPr>
            </w:pPr>
            <w:r>
              <w:rPr>
                <w:spacing w:val="-4"/>
                <w:sz w:val="21"/>
                <w:szCs w:val="21"/>
              </w:rPr>
              <w:t>化要素</w:t>
            </w:r>
            <w:r>
              <w:rPr>
                <w:spacing w:val="1"/>
                <w:sz w:val="21"/>
                <w:szCs w:val="21"/>
              </w:rPr>
              <w:t xml:space="preserve"> </w:t>
            </w:r>
            <w:r>
              <w:rPr>
                <w:spacing w:val="-3"/>
                <w:sz w:val="21"/>
                <w:szCs w:val="21"/>
              </w:rPr>
              <w:t>保障</w:t>
            </w:r>
          </w:p>
        </w:tc>
        <w:tc>
          <w:tcPr>
            <w:tcW w:w="3116" w:type="dxa"/>
            <w:vAlign w:val="top"/>
          </w:tcPr>
          <w:p w14:paraId="0D2FEE9D">
            <w:pPr>
              <w:pStyle w:val="6"/>
              <w:spacing w:before="46" w:line="228" w:lineRule="auto"/>
              <w:ind w:left="181" w:right="93" w:hanging="100"/>
              <w:jc w:val="both"/>
              <w:rPr>
                <w:sz w:val="21"/>
                <w:szCs w:val="21"/>
              </w:rPr>
            </w:pPr>
            <w:r>
              <w:rPr>
                <w:spacing w:val="-1"/>
                <w:sz w:val="21"/>
                <w:szCs w:val="21"/>
              </w:rPr>
              <w:t>保障用地用林指标。严格落实耕</w:t>
            </w:r>
            <w:r>
              <w:rPr>
                <w:spacing w:val="3"/>
                <w:sz w:val="21"/>
                <w:szCs w:val="21"/>
              </w:rPr>
              <w:t xml:space="preserve"> </w:t>
            </w:r>
            <w:r>
              <w:rPr>
                <w:spacing w:val="1"/>
                <w:sz w:val="21"/>
                <w:szCs w:val="21"/>
              </w:rPr>
              <w:t>地保护和节约集约用地的规定</w:t>
            </w:r>
            <w:r>
              <w:rPr>
                <w:sz w:val="21"/>
                <w:szCs w:val="21"/>
              </w:rPr>
              <w:t xml:space="preserve">  </w:t>
            </w:r>
            <w:r>
              <w:rPr>
                <w:spacing w:val="-1"/>
                <w:sz w:val="21"/>
                <w:szCs w:val="21"/>
              </w:rPr>
              <w:t>和要求，强化前期选址踏勘论</w:t>
            </w:r>
          </w:p>
        </w:tc>
        <w:tc>
          <w:tcPr>
            <w:tcW w:w="2757" w:type="dxa"/>
            <w:gridSpan w:val="2"/>
            <w:vAlign w:val="top"/>
          </w:tcPr>
          <w:p w14:paraId="695E9BB0">
            <w:pPr>
              <w:pStyle w:val="6"/>
              <w:spacing w:before="27" w:line="251" w:lineRule="auto"/>
              <w:ind w:left="116" w:right="102"/>
              <w:rPr>
                <w:sz w:val="21"/>
                <w:szCs w:val="21"/>
              </w:rPr>
            </w:pPr>
            <w:r>
              <w:rPr>
                <w:spacing w:val="-1"/>
                <w:sz w:val="21"/>
                <w:szCs w:val="21"/>
              </w:rPr>
              <w:t>本项目光伏占地、塔基占地</w:t>
            </w:r>
            <w:r>
              <w:rPr>
                <w:spacing w:val="1"/>
                <w:sz w:val="21"/>
                <w:szCs w:val="21"/>
              </w:rPr>
              <w:t xml:space="preserve"> </w:t>
            </w:r>
            <w:r>
              <w:rPr>
                <w:sz w:val="21"/>
                <w:szCs w:val="21"/>
              </w:rPr>
              <w:t>不涉及永久基本农田，设计</w:t>
            </w:r>
          </w:p>
          <w:p w14:paraId="1D576997">
            <w:pPr>
              <w:pStyle w:val="6"/>
              <w:spacing w:line="199" w:lineRule="auto"/>
              <w:ind w:left="116"/>
              <w:rPr>
                <w:sz w:val="21"/>
                <w:szCs w:val="21"/>
              </w:rPr>
            </w:pPr>
            <w:r>
              <w:rPr>
                <w:spacing w:val="-1"/>
                <w:sz w:val="21"/>
                <w:szCs w:val="21"/>
              </w:rPr>
              <w:t>尽量避开农田。项目按照林</w:t>
            </w:r>
          </w:p>
        </w:tc>
        <w:tc>
          <w:tcPr>
            <w:tcW w:w="894" w:type="dxa"/>
            <w:gridSpan w:val="2"/>
            <w:vAlign w:val="top"/>
          </w:tcPr>
          <w:p w14:paraId="7C18518F">
            <w:pPr>
              <w:pStyle w:val="6"/>
              <w:spacing w:before="28" w:line="219" w:lineRule="auto"/>
              <w:ind w:left="99"/>
              <w:rPr>
                <w:sz w:val="21"/>
                <w:szCs w:val="21"/>
              </w:rPr>
            </w:pPr>
            <w:r>
              <w:rPr>
                <w:spacing w:val="-3"/>
                <w:sz w:val="21"/>
                <w:szCs w:val="21"/>
              </w:rPr>
              <w:t>符合</w:t>
            </w:r>
          </w:p>
        </w:tc>
      </w:tr>
    </w:tbl>
    <w:p w14:paraId="69B4FF23">
      <w:pPr>
        <w:pStyle w:val="2"/>
      </w:pPr>
    </w:p>
    <w:p w14:paraId="392AEFE8">
      <w:pPr>
        <w:sectPr>
          <w:footerReference r:id="rId49" w:type="default"/>
          <w:pgSz w:w="11910" w:h="16830"/>
          <w:pgMar w:top="400" w:right="1514" w:bottom="1244" w:left="1415" w:header="0" w:footer="1084" w:gutter="0"/>
          <w:cols w:space="720" w:num="1"/>
        </w:sectPr>
      </w:pPr>
    </w:p>
    <w:p w14:paraId="03B7E7A1">
      <w:pPr>
        <w:spacing w:before="18"/>
      </w:pPr>
    </w:p>
    <w:p w14:paraId="7A236D66">
      <w:pPr>
        <w:spacing w:before="18"/>
      </w:pPr>
    </w:p>
    <w:p w14:paraId="7A1872B7">
      <w:pPr>
        <w:spacing w:before="17"/>
      </w:pPr>
    </w:p>
    <w:p w14:paraId="1546356A">
      <w:pPr>
        <w:spacing w:before="17"/>
      </w:pPr>
    </w:p>
    <w:p w14:paraId="3CBD94DB">
      <w:pPr>
        <w:spacing w:before="17"/>
      </w:pPr>
    </w:p>
    <w:tbl>
      <w:tblPr>
        <w:tblStyle w:val="5"/>
        <w:tblW w:w="89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939"/>
        <w:gridCol w:w="2717"/>
        <w:gridCol w:w="419"/>
        <w:gridCol w:w="2717"/>
        <w:gridCol w:w="894"/>
      </w:tblGrid>
      <w:tr w14:paraId="2B82E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254" w:type="dxa"/>
            <w:vMerge w:val="restart"/>
            <w:tcBorders>
              <w:bottom w:val="nil"/>
            </w:tcBorders>
            <w:vAlign w:val="top"/>
          </w:tcPr>
          <w:p w14:paraId="26DBFCEF">
            <w:pPr>
              <w:rPr>
                <w:rFonts w:ascii="Arial"/>
                <w:sz w:val="21"/>
              </w:rPr>
            </w:pPr>
          </w:p>
        </w:tc>
        <w:tc>
          <w:tcPr>
            <w:tcW w:w="939" w:type="dxa"/>
            <w:vMerge w:val="restart"/>
            <w:tcBorders>
              <w:bottom w:val="nil"/>
            </w:tcBorders>
            <w:vAlign w:val="top"/>
          </w:tcPr>
          <w:p w14:paraId="1A11610F">
            <w:pPr>
              <w:rPr>
                <w:rFonts w:ascii="Arial"/>
                <w:sz w:val="21"/>
              </w:rPr>
            </w:pPr>
          </w:p>
        </w:tc>
        <w:tc>
          <w:tcPr>
            <w:tcW w:w="3136" w:type="dxa"/>
            <w:gridSpan w:val="2"/>
            <w:vAlign w:val="top"/>
          </w:tcPr>
          <w:p w14:paraId="723C826F">
            <w:pPr>
              <w:pStyle w:val="6"/>
              <w:spacing w:before="52" w:line="229" w:lineRule="auto"/>
              <w:ind w:left="91" w:right="68"/>
              <w:jc w:val="both"/>
              <w:rPr>
                <w:sz w:val="21"/>
                <w:szCs w:val="21"/>
              </w:rPr>
            </w:pPr>
            <w:r>
              <w:rPr>
                <w:spacing w:val="1"/>
                <w:sz w:val="21"/>
                <w:szCs w:val="21"/>
              </w:rPr>
              <w:t>证，光伏复合项目用地不得占用</w:t>
            </w:r>
            <w:r>
              <w:rPr>
                <w:spacing w:val="10"/>
                <w:sz w:val="21"/>
                <w:szCs w:val="21"/>
              </w:rPr>
              <w:t xml:space="preserve"> </w:t>
            </w:r>
            <w:r>
              <w:rPr>
                <w:sz w:val="21"/>
                <w:szCs w:val="21"/>
              </w:rPr>
              <w:t>永久基本农田，尽量避让长期稳</w:t>
            </w:r>
            <w:r>
              <w:rPr>
                <w:spacing w:val="10"/>
                <w:sz w:val="21"/>
                <w:szCs w:val="21"/>
              </w:rPr>
              <w:t xml:space="preserve"> </w:t>
            </w:r>
            <w:r>
              <w:rPr>
                <w:sz w:val="21"/>
                <w:szCs w:val="21"/>
              </w:rPr>
              <w:t>定利用耕地，特别是坝区集中连</w:t>
            </w:r>
            <w:r>
              <w:rPr>
                <w:spacing w:val="7"/>
                <w:sz w:val="21"/>
                <w:szCs w:val="21"/>
              </w:rPr>
              <w:t xml:space="preserve"> </w:t>
            </w:r>
            <w:r>
              <w:rPr>
                <w:sz w:val="21"/>
                <w:szCs w:val="21"/>
              </w:rPr>
              <w:t>片优质耕地。</w:t>
            </w:r>
          </w:p>
        </w:tc>
        <w:tc>
          <w:tcPr>
            <w:tcW w:w="2717" w:type="dxa"/>
            <w:vAlign w:val="top"/>
          </w:tcPr>
          <w:p w14:paraId="02A444DC">
            <w:pPr>
              <w:pStyle w:val="6"/>
              <w:spacing w:before="52" w:line="232" w:lineRule="auto"/>
              <w:ind w:left="75" w:right="98" w:firstLine="20"/>
              <w:rPr>
                <w:sz w:val="21"/>
                <w:szCs w:val="21"/>
              </w:rPr>
            </w:pPr>
            <w:r>
              <w:rPr>
                <w:spacing w:val="-1"/>
                <w:sz w:val="21"/>
                <w:szCs w:val="21"/>
              </w:rPr>
              <w:t>业相关相关要求进行办理手</w:t>
            </w:r>
            <w:r>
              <w:rPr>
                <w:spacing w:val="3"/>
                <w:sz w:val="21"/>
                <w:szCs w:val="21"/>
              </w:rPr>
              <w:t xml:space="preserve"> </w:t>
            </w:r>
            <w:r>
              <w:rPr>
                <w:spacing w:val="-2"/>
                <w:sz w:val="21"/>
                <w:szCs w:val="21"/>
              </w:rPr>
              <w:t>续。</w:t>
            </w:r>
          </w:p>
        </w:tc>
        <w:tc>
          <w:tcPr>
            <w:tcW w:w="894" w:type="dxa"/>
            <w:vAlign w:val="top"/>
          </w:tcPr>
          <w:p w14:paraId="0AEC11A1">
            <w:pPr>
              <w:rPr>
                <w:rFonts w:ascii="Arial"/>
                <w:sz w:val="21"/>
              </w:rPr>
            </w:pPr>
          </w:p>
        </w:tc>
      </w:tr>
      <w:tr w14:paraId="5C0CD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8" w:hRule="atLeast"/>
        </w:trPr>
        <w:tc>
          <w:tcPr>
            <w:tcW w:w="1254" w:type="dxa"/>
            <w:vMerge w:val="continue"/>
            <w:tcBorders>
              <w:top w:val="nil"/>
              <w:bottom w:val="nil"/>
            </w:tcBorders>
            <w:vAlign w:val="top"/>
          </w:tcPr>
          <w:p w14:paraId="07566914">
            <w:pPr>
              <w:rPr>
                <w:rFonts w:ascii="Arial"/>
                <w:sz w:val="21"/>
              </w:rPr>
            </w:pPr>
          </w:p>
        </w:tc>
        <w:tc>
          <w:tcPr>
            <w:tcW w:w="939" w:type="dxa"/>
            <w:vMerge w:val="continue"/>
            <w:tcBorders>
              <w:top w:val="nil"/>
            </w:tcBorders>
            <w:vAlign w:val="top"/>
          </w:tcPr>
          <w:p w14:paraId="7EBF1D57">
            <w:pPr>
              <w:rPr>
                <w:rFonts w:ascii="Arial"/>
                <w:sz w:val="21"/>
              </w:rPr>
            </w:pPr>
          </w:p>
        </w:tc>
        <w:tc>
          <w:tcPr>
            <w:tcW w:w="3136" w:type="dxa"/>
            <w:gridSpan w:val="2"/>
            <w:vAlign w:val="top"/>
          </w:tcPr>
          <w:p w14:paraId="6A6C6006">
            <w:pPr>
              <w:pStyle w:val="6"/>
              <w:spacing w:before="32" w:line="237" w:lineRule="auto"/>
              <w:ind w:left="91" w:right="75"/>
              <w:rPr>
                <w:sz w:val="21"/>
                <w:szCs w:val="21"/>
              </w:rPr>
            </w:pPr>
            <w:r>
              <w:rPr>
                <w:spacing w:val="1"/>
                <w:sz w:val="21"/>
                <w:szCs w:val="21"/>
              </w:rPr>
              <w:t>落实用地用林支持。对符合我省</w:t>
            </w:r>
            <w:r>
              <w:rPr>
                <w:spacing w:val="3"/>
                <w:sz w:val="21"/>
                <w:szCs w:val="21"/>
              </w:rPr>
              <w:t xml:space="preserve"> </w:t>
            </w:r>
            <w:r>
              <w:rPr>
                <w:spacing w:val="8"/>
                <w:sz w:val="21"/>
                <w:szCs w:val="21"/>
              </w:rPr>
              <w:t>光伏复合项目建设要求和认定</w:t>
            </w:r>
            <w:r>
              <w:rPr>
                <w:spacing w:val="4"/>
                <w:sz w:val="21"/>
                <w:szCs w:val="21"/>
              </w:rPr>
              <w:t xml:space="preserve">  </w:t>
            </w:r>
            <w:r>
              <w:rPr>
                <w:spacing w:val="6"/>
                <w:sz w:val="21"/>
                <w:szCs w:val="21"/>
              </w:rPr>
              <w:t>标准的项目，利用25度以上耕</w:t>
            </w:r>
            <w:r>
              <w:rPr>
                <w:spacing w:val="3"/>
                <w:sz w:val="21"/>
                <w:szCs w:val="21"/>
              </w:rPr>
              <w:t xml:space="preserve">  </w:t>
            </w:r>
            <w:r>
              <w:rPr>
                <w:spacing w:val="6"/>
                <w:sz w:val="21"/>
                <w:szCs w:val="21"/>
              </w:rPr>
              <w:t>地(水田除外)或其他农用地布</w:t>
            </w:r>
            <w:r>
              <w:rPr>
                <w:spacing w:val="3"/>
                <w:sz w:val="21"/>
                <w:szCs w:val="21"/>
              </w:rPr>
              <w:t xml:space="preserve">  </w:t>
            </w:r>
            <w:r>
              <w:rPr>
                <w:sz w:val="21"/>
                <w:szCs w:val="21"/>
              </w:rPr>
              <w:t>设的光伏方阵，在不破坏耕地耕</w:t>
            </w:r>
            <w:r>
              <w:rPr>
                <w:spacing w:val="7"/>
                <w:sz w:val="21"/>
                <w:szCs w:val="21"/>
              </w:rPr>
              <w:t xml:space="preserve"> 作层及农用地生产条件和不改</w:t>
            </w:r>
            <w:r>
              <w:rPr>
                <w:sz w:val="21"/>
                <w:szCs w:val="21"/>
              </w:rPr>
              <w:t xml:space="preserve">  </w:t>
            </w:r>
            <w:r>
              <w:rPr>
                <w:spacing w:val="1"/>
                <w:sz w:val="21"/>
                <w:szCs w:val="21"/>
              </w:rPr>
              <w:t>变原用地性质的条件下，允许以</w:t>
            </w:r>
            <w:r>
              <w:rPr>
                <w:spacing w:val="3"/>
                <w:sz w:val="21"/>
                <w:szCs w:val="21"/>
              </w:rPr>
              <w:t xml:space="preserve"> </w:t>
            </w:r>
            <w:r>
              <w:rPr>
                <w:spacing w:val="-1"/>
                <w:sz w:val="21"/>
                <w:szCs w:val="21"/>
              </w:rPr>
              <w:t>租赁等方式使用；采用直埋电缆</w:t>
            </w:r>
            <w:r>
              <w:rPr>
                <w:spacing w:val="3"/>
                <w:sz w:val="21"/>
                <w:szCs w:val="21"/>
              </w:rPr>
              <w:t xml:space="preserve"> </w:t>
            </w:r>
            <w:r>
              <w:rPr>
                <w:spacing w:val="-1"/>
                <w:sz w:val="21"/>
                <w:szCs w:val="21"/>
              </w:rPr>
              <w:t>方式敷设集电线路的用地，实行</w:t>
            </w:r>
            <w:r>
              <w:rPr>
                <w:spacing w:val="3"/>
                <w:sz w:val="21"/>
                <w:szCs w:val="21"/>
              </w:rPr>
              <w:t xml:space="preserve"> </w:t>
            </w:r>
            <w:r>
              <w:rPr>
                <w:spacing w:val="8"/>
                <w:sz w:val="21"/>
                <w:szCs w:val="21"/>
              </w:rPr>
              <w:t>与光伏方阵用地同样的管理方</w:t>
            </w:r>
            <w:r>
              <w:rPr>
                <w:spacing w:val="1"/>
                <w:sz w:val="21"/>
                <w:szCs w:val="21"/>
              </w:rPr>
              <w:t xml:space="preserve">  </w:t>
            </w:r>
            <w:r>
              <w:rPr>
                <w:sz w:val="21"/>
                <w:szCs w:val="21"/>
              </w:rPr>
              <w:t>式；场内道路用地可按照农村道</w:t>
            </w:r>
            <w:r>
              <w:rPr>
                <w:spacing w:val="8"/>
                <w:sz w:val="21"/>
                <w:szCs w:val="21"/>
              </w:rPr>
              <w:t xml:space="preserve"> </w:t>
            </w:r>
            <w:r>
              <w:rPr>
                <w:sz w:val="21"/>
                <w:szCs w:val="21"/>
              </w:rPr>
              <w:t>路用地管理</w:t>
            </w:r>
          </w:p>
        </w:tc>
        <w:tc>
          <w:tcPr>
            <w:tcW w:w="2717" w:type="dxa"/>
            <w:vAlign w:val="top"/>
          </w:tcPr>
          <w:p w14:paraId="1C9DD705">
            <w:pPr>
              <w:pStyle w:val="6"/>
              <w:spacing w:before="60" w:line="235" w:lineRule="auto"/>
              <w:ind w:left="96" w:right="46" w:firstLine="99"/>
              <w:rPr>
                <w:sz w:val="21"/>
                <w:szCs w:val="21"/>
              </w:rPr>
            </w:pPr>
            <w:r>
              <w:rPr>
                <w:spacing w:val="-1"/>
                <w:sz w:val="21"/>
                <w:szCs w:val="21"/>
              </w:rPr>
              <w:t>本项目光伏方阵未占用耕</w:t>
            </w:r>
            <w:r>
              <w:rPr>
                <w:sz w:val="21"/>
                <w:szCs w:val="21"/>
              </w:rPr>
              <w:t xml:space="preserve">  </w:t>
            </w:r>
            <w:r>
              <w:rPr>
                <w:spacing w:val="1"/>
                <w:sz w:val="21"/>
                <w:szCs w:val="21"/>
              </w:rPr>
              <w:t>地，集电线路在采用直埋电</w:t>
            </w:r>
            <w:r>
              <w:rPr>
                <w:sz w:val="21"/>
                <w:szCs w:val="21"/>
              </w:rPr>
              <w:t xml:space="preserve"> </w:t>
            </w:r>
            <w:r>
              <w:rPr>
                <w:spacing w:val="3"/>
                <w:sz w:val="21"/>
                <w:szCs w:val="21"/>
              </w:rPr>
              <w:t>缆和架空线路的方式。项目 临时占地采用租赁的形式。</w:t>
            </w:r>
          </w:p>
        </w:tc>
        <w:tc>
          <w:tcPr>
            <w:tcW w:w="894" w:type="dxa"/>
            <w:vAlign w:val="top"/>
          </w:tcPr>
          <w:p w14:paraId="487FCDBB">
            <w:pPr>
              <w:pStyle w:val="6"/>
              <w:spacing w:before="39" w:line="219" w:lineRule="auto"/>
              <w:ind w:left="109"/>
              <w:rPr>
                <w:sz w:val="21"/>
                <w:szCs w:val="21"/>
              </w:rPr>
            </w:pPr>
            <w:r>
              <w:rPr>
                <w:spacing w:val="-3"/>
                <w:sz w:val="21"/>
                <w:szCs w:val="21"/>
              </w:rPr>
              <w:t>符合</w:t>
            </w:r>
          </w:p>
        </w:tc>
      </w:tr>
      <w:tr w14:paraId="6E5ED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8" w:hRule="atLeast"/>
        </w:trPr>
        <w:tc>
          <w:tcPr>
            <w:tcW w:w="1254" w:type="dxa"/>
            <w:vMerge w:val="continue"/>
            <w:tcBorders>
              <w:top w:val="nil"/>
              <w:bottom w:val="nil"/>
            </w:tcBorders>
            <w:vAlign w:val="top"/>
          </w:tcPr>
          <w:p w14:paraId="7089230F">
            <w:pPr>
              <w:rPr>
                <w:rFonts w:ascii="Arial"/>
                <w:sz w:val="21"/>
              </w:rPr>
            </w:pPr>
          </w:p>
        </w:tc>
        <w:tc>
          <w:tcPr>
            <w:tcW w:w="939" w:type="dxa"/>
            <w:vAlign w:val="top"/>
          </w:tcPr>
          <w:p w14:paraId="15FC6E6A">
            <w:pPr>
              <w:pStyle w:val="6"/>
              <w:spacing w:before="23" w:line="243" w:lineRule="auto"/>
              <w:ind w:left="90" w:right="145" w:firstLine="50"/>
              <w:jc w:val="both"/>
              <w:rPr>
                <w:sz w:val="21"/>
                <w:szCs w:val="21"/>
              </w:rPr>
            </w:pPr>
            <w:r>
              <w:rPr>
                <w:spacing w:val="-3"/>
                <w:sz w:val="21"/>
                <w:szCs w:val="21"/>
              </w:rPr>
              <w:t>三、实</w:t>
            </w:r>
            <w:r>
              <w:rPr>
                <w:sz w:val="21"/>
                <w:szCs w:val="21"/>
              </w:rPr>
              <w:t xml:space="preserve"> </w:t>
            </w:r>
            <w:r>
              <w:rPr>
                <w:spacing w:val="20"/>
                <w:sz w:val="21"/>
                <w:szCs w:val="21"/>
              </w:rPr>
              <w:t>行市场</w:t>
            </w:r>
            <w:r>
              <w:rPr>
                <w:spacing w:val="1"/>
                <w:sz w:val="21"/>
                <w:szCs w:val="21"/>
              </w:rPr>
              <w:t xml:space="preserve"> </w:t>
            </w:r>
            <w:r>
              <w:rPr>
                <w:spacing w:val="13"/>
                <w:sz w:val="21"/>
                <w:szCs w:val="21"/>
              </w:rPr>
              <w:t>化资源</w:t>
            </w:r>
            <w:r>
              <w:rPr>
                <w:sz w:val="21"/>
                <w:szCs w:val="21"/>
              </w:rPr>
              <w:t xml:space="preserve"> </w:t>
            </w:r>
            <w:r>
              <w:rPr>
                <w:spacing w:val="-3"/>
                <w:sz w:val="21"/>
                <w:szCs w:val="21"/>
              </w:rPr>
              <w:t>配置</w:t>
            </w:r>
          </w:p>
        </w:tc>
        <w:tc>
          <w:tcPr>
            <w:tcW w:w="3136" w:type="dxa"/>
            <w:gridSpan w:val="2"/>
            <w:vAlign w:val="top"/>
          </w:tcPr>
          <w:p w14:paraId="7F4E7517">
            <w:pPr>
              <w:pStyle w:val="6"/>
              <w:spacing w:before="22" w:line="241" w:lineRule="auto"/>
              <w:ind w:left="32" w:firstLine="59"/>
              <w:jc w:val="both"/>
              <w:rPr>
                <w:sz w:val="21"/>
                <w:szCs w:val="21"/>
              </w:rPr>
            </w:pPr>
            <w:r>
              <w:rPr>
                <w:spacing w:val="6"/>
                <w:sz w:val="21"/>
                <w:szCs w:val="21"/>
              </w:rPr>
              <w:t>支持大型基地优先开发。以州、</w:t>
            </w:r>
            <w:r>
              <w:rPr>
                <w:spacing w:val="9"/>
                <w:sz w:val="21"/>
                <w:szCs w:val="21"/>
              </w:rPr>
              <w:t xml:space="preserve"> </w:t>
            </w:r>
            <w:r>
              <w:rPr>
                <w:spacing w:val="4"/>
                <w:sz w:val="21"/>
                <w:szCs w:val="21"/>
              </w:rPr>
              <w:t>市行政区域为单元，充分发挥大</w:t>
            </w:r>
            <w:r>
              <w:rPr>
                <w:spacing w:val="1"/>
                <w:sz w:val="21"/>
                <w:szCs w:val="21"/>
              </w:rPr>
              <w:t xml:space="preserve">  </w:t>
            </w:r>
            <w:r>
              <w:rPr>
                <w:spacing w:val="4"/>
                <w:sz w:val="21"/>
                <w:szCs w:val="21"/>
              </w:rPr>
              <w:t>型水电与光伏互补调节作用，重</w:t>
            </w:r>
            <w:r>
              <w:rPr>
                <w:sz w:val="21"/>
                <w:szCs w:val="21"/>
              </w:rPr>
              <w:t xml:space="preserve">  </w:t>
            </w:r>
            <w:r>
              <w:rPr>
                <w:spacing w:val="4"/>
                <w:sz w:val="21"/>
                <w:szCs w:val="21"/>
              </w:rPr>
              <w:t>点支持金沙江下游、澜沧江中下</w:t>
            </w:r>
            <w:r>
              <w:rPr>
                <w:spacing w:val="3"/>
                <w:sz w:val="21"/>
                <w:szCs w:val="21"/>
              </w:rPr>
              <w:t xml:space="preserve">  </w:t>
            </w:r>
            <w:r>
              <w:rPr>
                <w:spacing w:val="4"/>
                <w:sz w:val="21"/>
                <w:szCs w:val="21"/>
              </w:rPr>
              <w:t>游、红河流域、金沙江中游、澜</w:t>
            </w:r>
            <w:r>
              <w:rPr>
                <w:spacing w:val="3"/>
                <w:sz w:val="21"/>
                <w:szCs w:val="21"/>
              </w:rPr>
              <w:t xml:space="preserve">  </w:t>
            </w:r>
            <w:r>
              <w:rPr>
                <w:spacing w:val="4"/>
                <w:sz w:val="21"/>
                <w:szCs w:val="21"/>
              </w:rPr>
              <w:t xml:space="preserve">沧江金沙江上游“风光水储”和  </w:t>
            </w:r>
            <w:r>
              <w:rPr>
                <w:sz w:val="21"/>
                <w:szCs w:val="21"/>
              </w:rPr>
              <w:t>曲靖“风光火储”等6个多能互补</w:t>
            </w:r>
          </w:p>
          <w:p w14:paraId="70C0E08D">
            <w:pPr>
              <w:pStyle w:val="6"/>
              <w:spacing w:before="1" w:line="213" w:lineRule="auto"/>
              <w:ind w:left="101" w:right="157" w:firstLine="40"/>
              <w:rPr>
                <w:sz w:val="21"/>
                <w:szCs w:val="21"/>
              </w:rPr>
            </w:pPr>
            <w:r>
              <w:rPr>
                <w:spacing w:val="-1"/>
                <w:sz w:val="21"/>
                <w:szCs w:val="21"/>
              </w:rPr>
              <w:t>基地，争取3年时间全面开工并</w:t>
            </w:r>
            <w:r>
              <w:rPr>
                <w:spacing w:val="4"/>
                <w:sz w:val="21"/>
                <w:szCs w:val="21"/>
              </w:rPr>
              <w:t xml:space="preserve"> </w:t>
            </w:r>
            <w:r>
              <w:rPr>
                <w:spacing w:val="-1"/>
                <w:sz w:val="21"/>
                <w:szCs w:val="21"/>
              </w:rPr>
              <w:t>基本建成。</w:t>
            </w:r>
          </w:p>
        </w:tc>
        <w:tc>
          <w:tcPr>
            <w:tcW w:w="2717" w:type="dxa"/>
            <w:vAlign w:val="top"/>
          </w:tcPr>
          <w:p w14:paraId="22033753">
            <w:pPr>
              <w:pStyle w:val="6"/>
              <w:spacing w:before="21" w:line="241" w:lineRule="auto"/>
              <w:ind w:left="106" w:right="155" w:firstLine="40"/>
              <w:rPr>
                <w:sz w:val="21"/>
                <w:szCs w:val="21"/>
              </w:rPr>
            </w:pPr>
            <w:r>
              <w:rPr>
                <w:spacing w:val="-1"/>
                <w:sz w:val="21"/>
                <w:szCs w:val="21"/>
              </w:rPr>
              <w:t>本项目在3年时间内建成并</w:t>
            </w:r>
            <w:r>
              <w:rPr>
                <w:spacing w:val="1"/>
                <w:sz w:val="21"/>
                <w:szCs w:val="21"/>
              </w:rPr>
              <w:t xml:space="preserve"> </w:t>
            </w:r>
            <w:r>
              <w:rPr>
                <w:spacing w:val="4"/>
                <w:sz w:val="21"/>
                <w:szCs w:val="21"/>
              </w:rPr>
              <w:t>网发电</w:t>
            </w:r>
          </w:p>
        </w:tc>
        <w:tc>
          <w:tcPr>
            <w:tcW w:w="894" w:type="dxa"/>
            <w:vAlign w:val="top"/>
          </w:tcPr>
          <w:p w14:paraId="61CAB034">
            <w:pPr>
              <w:pStyle w:val="6"/>
              <w:spacing w:before="11" w:line="219" w:lineRule="auto"/>
              <w:ind w:left="109"/>
              <w:rPr>
                <w:sz w:val="21"/>
                <w:szCs w:val="21"/>
              </w:rPr>
            </w:pPr>
            <w:r>
              <w:rPr>
                <w:spacing w:val="-3"/>
                <w:sz w:val="21"/>
                <w:szCs w:val="21"/>
              </w:rPr>
              <w:t>符合</w:t>
            </w:r>
          </w:p>
        </w:tc>
      </w:tr>
      <w:tr w14:paraId="6FA91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7" w:hRule="atLeast"/>
        </w:trPr>
        <w:tc>
          <w:tcPr>
            <w:tcW w:w="1254" w:type="dxa"/>
            <w:vMerge w:val="continue"/>
            <w:tcBorders>
              <w:top w:val="nil"/>
              <w:bottom w:val="nil"/>
            </w:tcBorders>
            <w:vAlign w:val="top"/>
          </w:tcPr>
          <w:p w14:paraId="04D5BCE8">
            <w:pPr>
              <w:rPr>
                <w:rFonts w:ascii="Arial"/>
                <w:sz w:val="21"/>
              </w:rPr>
            </w:pPr>
          </w:p>
        </w:tc>
        <w:tc>
          <w:tcPr>
            <w:tcW w:w="7686" w:type="dxa"/>
            <w:gridSpan w:val="5"/>
            <w:vAlign w:val="top"/>
          </w:tcPr>
          <w:p w14:paraId="77BCCDF4">
            <w:pPr>
              <w:pStyle w:val="6"/>
              <w:spacing w:before="50" w:line="219" w:lineRule="auto"/>
              <w:ind w:left="10"/>
              <w:rPr>
                <w:sz w:val="21"/>
                <w:szCs w:val="21"/>
              </w:rPr>
            </w:pPr>
            <w:r>
              <w:rPr>
                <w:spacing w:val="-3"/>
                <w:sz w:val="21"/>
                <w:szCs w:val="21"/>
              </w:rPr>
              <w:t>2</w:t>
            </w:r>
            <w:r>
              <w:rPr>
                <w:b/>
                <w:bCs/>
                <w:spacing w:val="-3"/>
                <w:sz w:val="21"/>
                <w:szCs w:val="21"/>
              </w:rPr>
              <w:t>4、与《云南省在适宜地区适度开发利用新能源规划》的符合性分析</w:t>
            </w:r>
          </w:p>
          <w:p w14:paraId="621C8915">
            <w:pPr>
              <w:pStyle w:val="6"/>
              <w:spacing w:before="222" w:line="219" w:lineRule="auto"/>
              <w:ind w:right="34"/>
              <w:jc w:val="right"/>
              <w:rPr>
                <w:sz w:val="21"/>
                <w:szCs w:val="21"/>
              </w:rPr>
            </w:pPr>
            <w:r>
              <w:rPr>
                <w:spacing w:val="38"/>
                <w:sz w:val="21"/>
                <w:szCs w:val="21"/>
              </w:rPr>
              <w:t>2020年9月30日，云南省发展和改革委</w:t>
            </w:r>
            <w:r>
              <w:rPr>
                <w:spacing w:val="37"/>
                <w:sz w:val="21"/>
                <w:szCs w:val="21"/>
              </w:rPr>
              <w:t>员会云南省能源局发布《关</w:t>
            </w:r>
          </w:p>
          <w:p w14:paraId="5D9120F3">
            <w:pPr>
              <w:pStyle w:val="6"/>
              <w:spacing w:before="212" w:line="219" w:lineRule="auto"/>
              <w:ind w:left="10"/>
              <w:rPr>
                <w:sz w:val="21"/>
                <w:szCs w:val="21"/>
              </w:rPr>
            </w:pPr>
            <w:r>
              <w:rPr>
                <w:spacing w:val="-1"/>
                <w:sz w:val="21"/>
                <w:szCs w:val="21"/>
              </w:rPr>
              <w:t>于印发云南省在适宜地区适度开发利用新能源规划及配套文件的通知》</w:t>
            </w:r>
          </w:p>
          <w:p w14:paraId="221960CF">
            <w:pPr>
              <w:pStyle w:val="6"/>
              <w:spacing w:before="218" w:line="400" w:lineRule="auto"/>
              <w:ind w:left="10" w:right="56" w:firstLine="80"/>
              <w:rPr>
                <w:sz w:val="21"/>
                <w:szCs w:val="21"/>
              </w:rPr>
            </w:pPr>
            <w:r>
              <w:rPr>
                <w:spacing w:val="34"/>
                <w:sz w:val="21"/>
                <w:szCs w:val="21"/>
              </w:rPr>
              <w:t>(云能源水电[2020]153号),通知中指出《云南省在适宜地区适度开发</w:t>
            </w:r>
            <w:r>
              <w:rPr>
                <w:spacing w:val="3"/>
                <w:sz w:val="21"/>
                <w:szCs w:val="21"/>
              </w:rPr>
              <w:t xml:space="preserve"> </w:t>
            </w:r>
            <w:r>
              <w:rPr>
                <w:spacing w:val="-1"/>
                <w:sz w:val="21"/>
                <w:szCs w:val="21"/>
              </w:rPr>
              <w:t>利用新能源规划》、《关于在适宜地区适度开发利用新能源工作指导意见》</w:t>
            </w:r>
          </w:p>
          <w:p w14:paraId="13552AFB">
            <w:pPr>
              <w:pStyle w:val="6"/>
              <w:spacing w:before="11" w:line="219" w:lineRule="auto"/>
              <w:ind w:left="10"/>
              <w:rPr>
                <w:sz w:val="21"/>
                <w:szCs w:val="21"/>
              </w:rPr>
            </w:pPr>
            <w:r>
              <w:rPr>
                <w:spacing w:val="-1"/>
                <w:sz w:val="21"/>
                <w:szCs w:val="21"/>
              </w:rPr>
              <w:t>已经省人民政府同意。具体分析见下表。</w:t>
            </w:r>
          </w:p>
          <w:p w14:paraId="27AA5FE1">
            <w:pPr>
              <w:pStyle w:val="6"/>
              <w:spacing w:before="209" w:line="219" w:lineRule="auto"/>
              <w:ind w:left="533"/>
              <w:rPr>
                <w:sz w:val="21"/>
                <w:szCs w:val="21"/>
              </w:rPr>
            </w:pPr>
            <w:r>
              <w:rPr>
                <w:b/>
                <w:bCs/>
                <w:spacing w:val="-3"/>
                <w:sz w:val="21"/>
                <w:szCs w:val="21"/>
              </w:rPr>
              <w:t>表1-18与《云南省在适宜地区适度开发利用新能源规划》符合性分析</w:t>
            </w:r>
          </w:p>
        </w:tc>
      </w:tr>
      <w:tr w14:paraId="09632F28">
        <w:tblPrEx>
          <w:tblCellMar>
            <w:top w:w="0" w:type="dxa"/>
            <w:left w:w="0" w:type="dxa"/>
            <w:bottom w:w="0" w:type="dxa"/>
            <w:right w:w="0" w:type="dxa"/>
          </w:tblCellMar>
        </w:tblPrEx>
        <w:trPr>
          <w:trHeight w:val="540" w:hRule="atLeast"/>
        </w:trPr>
        <w:tc>
          <w:tcPr>
            <w:tcW w:w="1254" w:type="dxa"/>
            <w:vMerge w:val="continue"/>
            <w:tcBorders>
              <w:top w:val="nil"/>
              <w:bottom w:val="nil"/>
            </w:tcBorders>
            <w:vAlign w:val="top"/>
          </w:tcPr>
          <w:p w14:paraId="1E53504B">
            <w:pPr>
              <w:rPr>
                <w:rFonts w:ascii="Arial"/>
                <w:sz w:val="21"/>
              </w:rPr>
            </w:pPr>
          </w:p>
        </w:tc>
        <w:tc>
          <w:tcPr>
            <w:tcW w:w="3656" w:type="dxa"/>
            <w:gridSpan w:val="2"/>
            <w:vAlign w:val="top"/>
          </w:tcPr>
          <w:p w14:paraId="2F326324">
            <w:pPr>
              <w:pStyle w:val="6"/>
              <w:spacing w:before="26" w:line="219" w:lineRule="auto"/>
              <w:ind w:left="1400"/>
              <w:rPr>
                <w:sz w:val="21"/>
                <w:szCs w:val="21"/>
              </w:rPr>
            </w:pPr>
            <w:r>
              <w:rPr>
                <w:spacing w:val="-2"/>
                <w:sz w:val="21"/>
                <w:szCs w:val="21"/>
              </w:rPr>
              <w:t>相关内容</w:t>
            </w:r>
          </w:p>
        </w:tc>
        <w:tc>
          <w:tcPr>
            <w:tcW w:w="3136" w:type="dxa"/>
            <w:gridSpan w:val="2"/>
            <w:vAlign w:val="top"/>
          </w:tcPr>
          <w:p w14:paraId="15231BBC">
            <w:pPr>
              <w:pStyle w:val="6"/>
              <w:spacing w:before="35" w:line="219" w:lineRule="auto"/>
              <w:ind w:left="124"/>
              <w:rPr>
                <w:sz w:val="21"/>
                <w:szCs w:val="21"/>
              </w:rPr>
            </w:pPr>
            <w:r>
              <w:rPr>
                <w:spacing w:val="-2"/>
                <w:sz w:val="21"/>
                <w:szCs w:val="21"/>
              </w:rPr>
              <w:t>本项目情况</w:t>
            </w:r>
          </w:p>
        </w:tc>
        <w:tc>
          <w:tcPr>
            <w:tcW w:w="894" w:type="dxa"/>
            <w:vAlign w:val="top"/>
          </w:tcPr>
          <w:p w14:paraId="70DBF545">
            <w:pPr>
              <w:pStyle w:val="6"/>
              <w:spacing w:before="36" w:line="217" w:lineRule="auto"/>
              <w:ind w:left="109" w:right="174" w:hanging="20"/>
              <w:rPr>
                <w:sz w:val="21"/>
                <w:szCs w:val="21"/>
              </w:rPr>
            </w:pPr>
            <w:r>
              <w:rPr>
                <w:spacing w:val="-4"/>
                <w:sz w:val="21"/>
                <w:szCs w:val="21"/>
              </w:rPr>
              <w:t>符合性</w:t>
            </w:r>
            <w:r>
              <w:rPr>
                <w:spacing w:val="1"/>
                <w:sz w:val="21"/>
                <w:szCs w:val="21"/>
              </w:rPr>
              <w:t xml:space="preserve"> </w:t>
            </w:r>
            <w:r>
              <w:rPr>
                <w:spacing w:val="-3"/>
                <w:sz w:val="21"/>
                <w:szCs w:val="21"/>
              </w:rPr>
              <w:t>分析</w:t>
            </w:r>
          </w:p>
        </w:tc>
      </w:tr>
      <w:tr w14:paraId="1A489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3" w:hRule="atLeast"/>
        </w:trPr>
        <w:tc>
          <w:tcPr>
            <w:tcW w:w="1254" w:type="dxa"/>
            <w:vMerge w:val="continue"/>
            <w:tcBorders>
              <w:top w:val="nil"/>
            </w:tcBorders>
            <w:vAlign w:val="top"/>
          </w:tcPr>
          <w:p w14:paraId="4E1FD645">
            <w:pPr>
              <w:rPr>
                <w:rFonts w:ascii="Arial"/>
                <w:sz w:val="21"/>
              </w:rPr>
            </w:pPr>
          </w:p>
        </w:tc>
        <w:tc>
          <w:tcPr>
            <w:tcW w:w="3656" w:type="dxa"/>
            <w:gridSpan w:val="2"/>
            <w:vAlign w:val="top"/>
          </w:tcPr>
          <w:p w14:paraId="43F08749">
            <w:pPr>
              <w:pStyle w:val="6"/>
              <w:spacing w:before="45" w:line="244" w:lineRule="auto"/>
              <w:ind w:left="141" w:right="120"/>
              <w:jc w:val="both"/>
              <w:rPr>
                <w:sz w:val="21"/>
                <w:szCs w:val="21"/>
              </w:rPr>
            </w:pPr>
            <w:r>
              <w:rPr>
                <w:spacing w:val="-1"/>
                <w:sz w:val="21"/>
                <w:szCs w:val="21"/>
              </w:rPr>
              <w:t>根据规划，云南省在适宜地区适度开</w:t>
            </w:r>
            <w:r>
              <w:rPr>
                <w:spacing w:val="6"/>
                <w:sz w:val="21"/>
                <w:szCs w:val="21"/>
              </w:rPr>
              <w:t xml:space="preserve"> </w:t>
            </w:r>
            <w:r>
              <w:rPr>
                <w:spacing w:val="1"/>
                <w:sz w:val="21"/>
                <w:szCs w:val="21"/>
              </w:rPr>
              <w:t>发利用新能源规划区域包括昆明、曲</w:t>
            </w:r>
            <w:r>
              <w:rPr>
                <w:spacing w:val="7"/>
                <w:sz w:val="21"/>
                <w:szCs w:val="21"/>
              </w:rPr>
              <w:t xml:space="preserve"> </w:t>
            </w:r>
            <w:r>
              <w:rPr>
                <w:spacing w:val="4"/>
                <w:sz w:val="21"/>
                <w:szCs w:val="21"/>
              </w:rPr>
              <w:t>靖、昭通、红河、文山、楚雄6个州</w:t>
            </w:r>
            <w:r>
              <w:rPr>
                <w:spacing w:val="3"/>
                <w:sz w:val="21"/>
                <w:szCs w:val="21"/>
              </w:rPr>
              <w:t xml:space="preserve"> </w:t>
            </w:r>
            <w:r>
              <w:rPr>
                <w:spacing w:val="6"/>
                <w:sz w:val="21"/>
                <w:szCs w:val="21"/>
              </w:rPr>
              <w:t>(市)的部分区域。规划区规划建设</w:t>
            </w:r>
          </w:p>
          <w:p w14:paraId="1E305A96">
            <w:pPr>
              <w:pStyle w:val="6"/>
              <w:spacing w:line="232" w:lineRule="auto"/>
              <w:ind w:left="101" w:right="264" w:firstLine="139"/>
              <w:rPr>
                <w:sz w:val="21"/>
                <w:szCs w:val="21"/>
              </w:rPr>
            </w:pPr>
            <w:r>
              <w:rPr>
                <w:spacing w:val="-1"/>
                <w:sz w:val="21"/>
                <w:szCs w:val="21"/>
              </w:rPr>
              <w:t>新能源基地31个、总装机容量1090</w:t>
            </w:r>
            <w:r>
              <w:rPr>
                <w:spacing w:val="7"/>
                <w:sz w:val="21"/>
                <w:szCs w:val="21"/>
              </w:rPr>
              <w:t xml:space="preserve"> </w:t>
            </w:r>
            <w:r>
              <w:rPr>
                <w:spacing w:val="-1"/>
                <w:sz w:val="21"/>
                <w:szCs w:val="21"/>
              </w:rPr>
              <w:t>万千瓦。</w:t>
            </w:r>
          </w:p>
        </w:tc>
        <w:tc>
          <w:tcPr>
            <w:tcW w:w="3136" w:type="dxa"/>
            <w:gridSpan w:val="2"/>
            <w:vAlign w:val="top"/>
          </w:tcPr>
          <w:p w14:paraId="68A1A1DE">
            <w:pPr>
              <w:pStyle w:val="6"/>
              <w:spacing w:before="48"/>
              <w:ind w:left="94" w:right="101" w:firstLine="100"/>
              <w:rPr>
                <w:sz w:val="21"/>
                <w:szCs w:val="21"/>
              </w:rPr>
            </w:pPr>
            <w:r>
              <w:rPr>
                <w:sz w:val="21"/>
                <w:szCs w:val="21"/>
              </w:rPr>
              <w:t>云南省发展和改革委员会及云</w:t>
            </w:r>
            <w:r>
              <w:rPr>
                <w:spacing w:val="5"/>
                <w:sz w:val="21"/>
                <w:szCs w:val="21"/>
              </w:rPr>
              <w:t xml:space="preserve">  </w:t>
            </w:r>
            <w:r>
              <w:rPr>
                <w:spacing w:val="-1"/>
                <w:sz w:val="21"/>
                <w:szCs w:val="21"/>
              </w:rPr>
              <w:t>南省能源局联合发布《云南省发</w:t>
            </w:r>
            <w:r>
              <w:rPr>
                <w:spacing w:val="2"/>
                <w:sz w:val="21"/>
                <w:szCs w:val="21"/>
              </w:rPr>
              <w:t xml:space="preserve"> </w:t>
            </w:r>
            <w:r>
              <w:rPr>
                <w:spacing w:val="9"/>
                <w:sz w:val="21"/>
                <w:szCs w:val="21"/>
              </w:rPr>
              <w:t>展和改革委员会云南省能源局</w:t>
            </w:r>
            <w:r>
              <w:rPr>
                <w:sz w:val="21"/>
                <w:szCs w:val="21"/>
              </w:rPr>
              <w:t xml:space="preserve"> </w:t>
            </w:r>
            <w:r>
              <w:rPr>
                <w:spacing w:val="5"/>
                <w:sz w:val="21"/>
                <w:szCs w:val="21"/>
              </w:rPr>
              <w:t>关于印发云南省2023年第一批</w:t>
            </w:r>
            <w:r>
              <w:rPr>
                <w:spacing w:val="6"/>
                <w:sz w:val="21"/>
                <w:szCs w:val="21"/>
              </w:rPr>
              <w:t xml:space="preserve">  </w:t>
            </w:r>
            <w:r>
              <w:rPr>
                <w:spacing w:val="2"/>
                <w:sz w:val="21"/>
                <w:szCs w:val="21"/>
              </w:rPr>
              <w:t>新能源建设方案的通知》(云能</w:t>
            </w:r>
            <w:r>
              <w:rPr>
                <w:spacing w:val="11"/>
                <w:sz w:val="21"/>
                <w:szCs w:val="21"/>
              </w:rPr>
              <w:t xml:space="preserve"> </w:t>
            </w:r>
            <w:r>
              <w:rPr>
                <w:spacing w:val="1"/>
                <w:sz w:val="21"/>
                <w:szCs w:val="21"/>
              </w:rPr>
              <w:t>源水电【2023】170号),本项</w:t>
            </w:r>
          </w:p>
          <w:p w14:paraId="72981A11">
            <w:pPr>
              <w:pStyle w:val="6"/>
              <w:spacing w:before="1" w:line="227" w:lineRule="auto"/>
              <w:ind w:left="94" w:right="81" w:firstLine="100"/>
              <w:rPr>
                <w:sz w:val="21"/>
                <w:szCs w:val="21"/>
              </w:rPr>
            </w:pPr>
            <w:r>
              <w:rPr>
                <w:sz w:val="21"/>
                <w:szCs w:val="21"/>
              </w:rPr>
              <w:t>目为云南省2023年第一批新能</w:t>
            </w:r>
            <w:r>
              <w:rPr>
                <w:spacing w:val="4"/>
                <w:sz w:val="21"/>
                <w:szCs w:val="21"/>
              </w:rPr>
              <w:t xml:space="preserve">  </w:t>
            </w:r>
            <w:r>
              <w:rPr>
                <w:spacing w:val="6"/>
                <w:sz w:val="21"/>
                <w:szCs w:val="21"/>
              </w:rPr>
              <w:t>源项目建设清单中“(一)曲靖</w:t>
            </w:r>
            <w:r>
              <w:rPr>
                <w:spacing w:val="3"/>
                <w:sz w:val="21"/>
                <w:szCs w:val="21"/>
              </w:rPr>
              <w:t xml:space="preserve">  </w:t>
            </w:r>
            <w:r>
              <w:rPr>
                <w:sz w:val="21"/>
                <w:szCs w:val="21"/>
              </w:rPr>
              <w:t>市”中第36个“栗树园村光伏发</w:t>
            </w:r>
          </w:p>
        </w:tc>
        <w:tc>
          <w:tcPr>
            <w:tcW w:w="894" w:type="dxa"/>
            <w:vAlign w:val="top"/>
          </w:tcPr>
          <w:p w14:paraId="06CE72EE">
            <w:pPr>
              <w:pStyle w:val="6"/>
              <w:spacing w:before="16" w:line="219" w:lineRule="auto"/>
              <w:ind w:left="109"/>
              <w:rPr>
                <w:sz w:val="21"/>
                <w:szCs w:val="21"/>
              </w:rPr>
            </w:pPr>
            <w:r>
              <w:rPr>
                <w:spacing w:val="-3"/>
                <w:sz w:val="21"/>
                <w:szCs w:val="21"/>
              </w:rPr>
              <w:t>符合</w:t>
            </w:r>
          </w:p>
        </w:tc>
      </w:tr>
    </w:tbl>
    <w:p w14:paraId="7DE84664">
      <w:pPr>
        <w:pStyle w:val="2"/>
      </w:pPr>
    </w:p>
    <w:p w14:paraId="1735DA37">
      <w:pPr>
        <w:sectPr>
          <w:footerReference r:id="rId50" w:type="default"/>
          <w:pgSz w:w="11910" w:h="16830"/>
          <w:pgMar w:top="400" w:right="1544" w:bottom="1257" w:left="1415" w:header="0" w:footer="1076" w:gutter="0"/>
          <w:cols w:space="720" w:num="1"/>
        </w:sectPr>
      </w:pPr>
    </w:p>
    <w:p w14:paraId="3BC228F4">
      <w:pPr>
        <w:spacing w:before="18"/>
      </w:pPr>
    </w:p>
    <w:p w14:paraId="23B1B864">
      <w:pPr>
        <w:spacing w:before="18"/>
      </w:pPr>
    </w:p>
    <w:p w14:paraId="1C0D8857">
      <w:pPr>
        <w:spacing w:before="17"/>
      </w:pPr>
    </w:p>
    <w:p w14:paraId="3864F004">
      <w:pPr>
        <w:spacing w:before="17"/>
      </w:pPr>
    </w:p>
    <w:p w14:paraId="330585C4">
      <w:pPr>
        <w:spacing w:before="17"/>
      </w:pPr>
    </w:p>
    <w:tbl>
      <w:tblPr>
        <w:tblStyle w:val="5"/>
        <w:tblW w:w="8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3656"/>
        <w:gridCol w:w="3106"/>
        <w:gridCol w:w="944"/>
      </w:tblGrid>
      <w:tr w14:paraId="40904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44" w:type="dxa"/>
            <w:vMerge w:val="restart"/>
            <w:tcBorders>
              <w:bottom w:val="nil"/>
            </w:tcBorders>
            <w:vAlign w:val="top"/>
          </w:tcPr>
          <w:p w14:paraId="0E5BEFCB">
            <w:pPr>
              <w:rPr>
                <w:rFonts w:ascii="Arial"/>
                <w:sz w:val="21"/>
              </w:rPr>
            </w:pPr>
          </w:p>
        </w:tc>
        <w:tc>
          <w:tcPr>
            <w:tcW w:w="3656" w:type="dxa"/>
            <w:vAlign w:val="top"/>
          </w:tcPr>
          <w:p w14:paraId="707091FE">
            <w:pPr>
              <w:rPr>
                <w:rFonts w:ascii="Arial"/>
                <w:sz w:val="21"/>
              </w:rPr>
            </w:pPr>
          </w:p>
        </w:tc>
        <w:tc>
          <w:tcPr>
            <w:tcW w:w="3106" w:type="dxa"/>
            <w:vAlign w:val="top"/>
          </w:tcPr>
          <w:p w14:paraId="34B7CD3E">
            <w:pPr>
              <w:pStyle w:val="6"/>
              <w:spacing w:before="44" w:line="203" w:lineRule="auto"/>
              <w:ind w:left="114"/>
              <w:rPr>
                <w:sz w:val="21"/>
                <w:szCs w:val="21"/>
              </w:rPr>
            </w:pPr>
            <w:r>
              <w:rPr>
                <w:spacing w:val="51"/>
                <w:sz w:val="21"/>
                <w:szCs w:val="21"/>
              </w:rPr>
              <w:t>电项目”</w:t>
            </w:r>
          </w:p>
        </w:tc>
        <w:tc>
          <w:tcPr>
            <w:tcW w:w="944" w:type="dxa"/>
            <w:vAlign w:val="top"/>
          </w:tcPr>
          <w:p w14:paraId="459B5F33">
            <w:pPr>
              <w:rPr>
                <w:rFonts w:ascii="Arial"/>
                <w:sz w:val="21"/>
              </w:rPr>
            </w:pPr>
          </w:p>
        </w:tc>
      </w:tr>
      <w:tr w14:paraId="52603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8" w:hRule="atLeast"/>
        </w:trPr>
        <w:tc>
          <w:tcPr>
            <w:tcW w:w="1244" w:type="dxa"/>
            <w:vMerge w:val="continue"/>
            <w:tcBorders>
              <w:top w:val="nil"/>
              <w:bottom w:val="nil"/>
            </w:tcBorders>
            <w:vAlign w:val="top"/>
          </w:tcPr>
          <w:p w14:paraId="00FE9B83">
            <w:pPr>
              <w:rPr>
                <w:rFonts w:ascii="Arial"/>
                <w:sz w:val="21"/>
              </w:rPr>
            </w:pPr>
          </w:p>
        </w:tc>
        <w:tc>
          <w:tcPr>
            <w:tcW w:w="3656" w:type="dxa"/>
            <w:vAlign w:val="top"/>
          </w:tcPr>
          <w:p w14:paraId="47073689">
            <w:pPr>
              <w:pStyle w:val="6"/>
              <w:spacing w:before="57" w:line="238" w:lineRule="auto"/>
              <w:ind w:left="121" w:right="100" w:firstLine="69"/>
              <w:jc w:val="both"/>
              <w:rPr>
                <w:sz w:val="21"/>
                <w:szCs w:val="21"/>
              </w:rPr>
            </w:pPr>
            <w:r>
              <w:rPr>
                <w:spacing w:val="-1"/>
                <w:sz w:val="21"/>
                <w:szCs w:val="21"/>
              </w:rPr>
              <w:t>项目选址应符合生态环境保护政策。</w:t>
            </w:r>
            <w:r>
              <w:rPr>
                <w:spacing w:val="9"/>
                <w:sz w:val="21"/>
                <w:szCs w:val="21"/>
              </w:rPr>
              <w:t xml:space="preserve"> </w:t>
            </w:r>
            <w:r>
              <w:rPr>
                <w:sz w:val="21"/>
                <w:szCs w:val="21"/>
              </w:rPr>
              <w:t>应避让自然保护区、国家公园、风景</w:t>
            </w:r>
            <w:r>
              <w:rPr>
                <w:spacing w:val="10"/>
                <w:sz w:val="21"/>
                <w:szCs w:val="21"/>
              </w:rPr>
              <w:t xml:space="preserve"> </w:t>
            </w:r>
            <w:r>
              <w:rPr>
                <w:sz w:val="21"/>
                <w:szCs w:val="21"/>
              </w:rPr>
              <w:t>名胜区、文物古迹、湿地保护区、饮</w:t>
            </w:r>
            <w:r>
              <w:rPr>
                <w:spacing w:val="8"/>
                <w:sz w:val="21"/>
                <w:szCs w:val="21"/>
              </w:rPr>
              <w:t xml:space="preserve"> </w:t>
            </w:r>
            <w:r>
              <w:rPr>
                <w:sz w:val="21"/>
                <w:szCs w:val="21"/>
              </w:rPr>
              <w:t>用水水源保护区、集中式饮用水水源</w:t>
            </w:r>
            <w:r>
              <w:rPr>
                <w:spacing w:val="9"/>
                <w:sz w:val="21"/>
                <w:szCs w:val="21"/>
              </w:rPr>
              <w:t xml:space="preserve"> </w:t>
            </w:r>
            <w:r>
              <w:rPr>
                <w:sz w:val="21"/>
                <w:szCs w:val="21"/>
              </w:rPr>
              <w:t>地、生物多样性保护区域、特殊生态</w:t>
            </w:r>
            <w:r>
              <w:rPr>
                <w:spacing w:val="10"/>
                <w:sz w:val="21"/>
                <w:szCs w:val="21"/>
              </w:rPr>
              <w:t xml:space="preserve"> </w:t>
            </w:r>
            <w:r>
              <w:rPr>
                <w:sz w:val="21"/>
                <w:szCs w:val="21"/>
              </w:rPr>
              <w:t>环境及特有物种保护区域、鸟类迁徙</w:t>
            </w:r>
            <w:r>
              <w:rPr>
                <w:spacing w:val="10"/>
                <w:sz w:val="21"/>
                <w:szCs w:val="21"/>
              </w:rPr>
              <w:t xml:space="preserve"> </w:t>
            </w:r>
            <w:r>
              <w:rPr>
                <w:sz w:val="21"/>
                <w:szCs w:val="21"/>
              </w:rPr>
              <w:t>重要通道及其栖息地、民俗保护区等</w:t>
            </w:r>
            <w:r>
              <w:rPr>
                <w:spacing w:val="9"/>
                <w:sz w:val="21"/>
                <w:szCs w:val="21"/>
              </w:rPr>
              <w:t xml:space="preserve"> </w:t>
            </w:r>
            <w:r>
              <w:rPr>
                <w:spacing w:val="-1"/>
                <w:sz w:val="21"/>
                <w:szCs w:val="21"/>
              </w:rPr>
              <w:t>生态保护红线和生态敏感区域。</w:t>
            </w:r>
          </w:p>
        </w:tc>
        <w:tc>
          <w:tcPr>
            <w:tcW w:w="3106" w:type="dxa"/>
            <w:vAlign w:val="top"/>
          </w:tcPr>
          <w:p w14:paraId="102B2CBF">
            <w:pPr>
              <w:pStyle w:val="6"/>
              <w:spacing w:before="60" w:line="234" w:lineRule="auto"/>
              <w:ind w:left="74" w:right="25" w:firstLine="110"/>
              <w:jc w:val="both"/>
              <w:rPr>
                <w:sz w:val="21"/>
                <w:szCs w:val="21"/>
              </w:rPr>
            </w:pPr>
            <w:r>
              <w:rPr>
                <w:spacing w:val="1"/>
                <w:sz w:val="21"/>
                <w:szCs w:val="21"/>
              </w:rPr>
              <w:t>本项目选址已经避让自然保护</w:t>
            </w:r>
            <w:r>
              <w:rPr>
                <w:sz w:val="21"/>
                <w:szCs w:val="21"/>
              </w:rPr>
              <w:t xml:space="preserve">  区、国家公园、风景名胜区、文</w:t>
            </w:r>
            <w:r>
              <w:rPr>
                <w:spacing w:val="10"/>
                <w:sz w:val="21"/>
                <w:szCs w:val="21"/>
              </w:rPr>
              <w:t xml:space="preserve"> </w:t>
            </w:r>
            <w:r>
              <w:rPr>
                <w:spacing w:val="-1"/>
                <w:sz w:val="21"/>
                <w:szCs w:val="21"/>
              </w:rPr>
              <w:t>物古迹、湿地保护区、生物多样</w:t>
            </w:r>
            <w:r>
              <w:rPr>
                <w:spacing w:val="4"/>
                <w:sz w:val="21"/>
                <w:szCs w:val="21"/>
              </w:rPr>
              <w:t xml:space="preserve"> </w:t>
            </w:r>
            <w:r>
              <w:rPr>
                <w:spacing w:val="-1"/>
                <w:sz w:val="21"/>
                <w:szCs w:val="21"/>
              </w:rPr>
              <w:t>性保护区域、特殊生态环境及特</w:t>
            </w:r>
            <w:r>
              <w:rPr>
                <w:spacing w:val="2"/>
                <w:sz w:val="21"/>
                <w:szCs w:val="21"/>
              </w:rPr>
              <w:t xml:space="preserve"> </w:t>
            </w:r>
            <w:r>
              <w:rPr>
                <w:spacing w:val="-1"/>
                <w:sz w:val="21"/>
                <w:szCs w:val="21"/>
              </w:rPr>
              <w:t>有物种保护区域、鸟类迁徙重要</w:t>
            </w:r>
            <w:r>
              <w:rPr>
                <w:spacing w:val="3"/>
                <w:sz w:val="21"/>
                <w:szCs w:val="21"/>
              </w:rPr>
              <w:t xml:space="preserve"> </w:t>
            </w:r>
            <w:r>
              <w:rPr>
                <w:spacing w:val="-1"/>
                <w:sz w:val="21"/>
                <w:szCs w:val="21"/>
              </w:rPr>
              <w:t>通道及其栖息地、民俗保护区等</w:t>
            </w:r>
            <w:r>
              <w:rPr>
                <w:spacing w:val="4"/>
                <w:sz w:val="21"/>
                <w:szCs w:val="21"/>
              </w:rPr>
              <w:t xml:space="preserve"> </w:t>
            </w:r>
            <w:r>
              <w:rPr>
                <w:spacing w:val="3"/>
                <w:sz w:val="21"/>
                <w:szCs w:val="21"/>
              </w:rPr>
              <w:t>生态保护红线和生态敏感区域。</w:t>
            </w:r>
            <w:r>
              <w:rPr>
                <w:spacing w:val="12"/>
                <w:sz w:val="21"/>
                <w:szCs w:val="21"/>
              </w:rPr>
              <w:t xml:space="preserve"> </w:t>
            </w:r>
            <w:r>
              <w:rPr>
                <w:sz w:val="21"/>
                <w:szCs w:val="21"/>
              </w:rPr>
              <w:t>项目35kV集电线路12个塔基，架</w:t>
            </w:r>
            <w:r>
              <w:rPr>
                <w:spacing w:val="10"/>
                <w:sz w:val="21"/>
                <w:szCs w:val="21"/>
              </w:rPr>
              <w:t xml:space="preserve"> </w:t>
            </w:r>
            <w:r>
              <w:rPr>
                <w:spacing w:val="4"/>
                <w:sz w:val="21"/>
                <w:szCs w:val="21"/>
              </w:rPr>
              <w:t>空线路长度为3105m穿越大莫古</w:t>
            </w:r>
            <w:r>
              <w:rPr>
                <w:spacing w:val="1"/>
                <w:sz w:val="21"/>
                <w:szCs w:val="21"/>
              </w:rPr>
              <w:t xml:space="preserve">  </w:t>
            </w:r>
            <w:r>
              <w:rPr>
                <w:spacing w:val="-1"/>
                <w:sz w:val="21"/>
                <w:szCs w:val="21"/>
              </w:rPr>
              <w:t>集镇饮用水水源准保护区，已经</w:t>
            </w:r>
            <w:r>
              <w:rPr>
                <w:spacing w:val="4"/>
                <w:sz w:val="21"/>
                <w:szCs w:val="21"/>
              </w:rPr>
              <w:t xml:space="preserve"> </w:t>
            </w:r>
            <w:r>
              <w:rPr>
                <w:spacing w:val="2"/>
                <w:sz w:val="21"/>
                <w:szCs w:val="21"/>
              </w:rPr>
              <w:t>取得陆良县人民政府的同意。</w:t>
            </w:r>
          </w:p>
        </w:tc>
        <w:tc>
          <w:tcPr>
            <w:tcW w:w="944" w:type="dxa"/>
            <w:vAlign w:val="top"/>
          </w:tcPr>
          <w:p w14:paraId="2F1A7DA8">
            <w:pPr>
              <w:pStyle w:val="6"/>
              <w:spacing w:before="48" w:line="219" w:lineRule="auto"/>
              <w:ind w:left="119"/>
              <w:rPr>
                <w:sz w:val="21"/>
                <w:szCs w:val="21"/>
              </w:rPr>
            </w:pPr>
            <w:r>
              <w:rPr>
                <w:spacing w:val="-3"/>
                <w:sz w:val="21"/>
                <w:szCs w:val="21"/>
              </w:rPr>
              <w:t>符合</w:t>
            </w:r>
          </w:p>
        </w:tc>
      </w:tr>
      <w:tr w14:paraId="00654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1244" w:type="dxa"/>
            <w:vMerge w:val="continue"/>
            <w:tcBorders>
              <w:top w:val="nil"/>
              <w:bottom w:val="nil"/>
            </w:tcBorders>
            <w:vAlign w:val="top"/>
          </w:tcPr>
          <w:p w14:paraId="7CE29A76">
            <w:pPr>
              <w:rPr>
                <w:rFonts w:ascii="Arial"/>
                <w:sz w:val="21"/>
              </w:rPr>
            </w:pPr>
          </w:p>
        </w:tc>
        <w:tc>
          <w:tcPr>
            <w:tcW w:w="3656" w:type="dxa"/>
            <w:vAlign w:val="top"/>
          </w:tcPr>
          <w:p w14:paraId="6D2354A9">
            <w:pPr>
              <w:pStyle w:val="6"/>
              <w:spacing w:before="51" w:line="237" w:lineRule="auto"/>
              <w:ind w:left="131" w:right="135" w:firstLine="10"/>
              <w:rPr>
                <w:sz w:val="21"/>
                <w:szCs w:val="21"/>
              </w:rPr>
            </w:pPr>
            <w:r>
              <w:rPr>
                <w:sz w:val="21"/>
                <w:szCs w:val="21"/>
              </w:rPr>
              <w:t>项目选址应符合国土用地政策。禁止</w:t>
            </w:r>
            <w:r>
              <w:rPr>
                <w:spacing w:val="8"/>
                <w:sz w:val="21"/>
                <w:szCs w:val="21"/>
              </w:rPr>
              <w:t xml:space="preserve"> </w:t>
            </w:r>
            <w:r>
              <w:rPr>
                <w:spacing w:val="-1"/>
                <w:sz w:val="21"/>
                <w:szCs w:val="21"/>
              </w:rPr>
              <w:t>占用基本农田，</w:t>
            </w:r>
          </w:p>
          <w:p w14:paraId="547E9071">
            <w:pPr>
              <w:pStyle w:val="6"/>
              <w:spacing w:before="5" w:line="229" w:lineRule="auto"/>
              <w:ind w:left="80" w:right="119" w:firstLine="60"/>
              <w:rPr>
                <w:sz w:val="21"/>
                <w:szCs w:val="21"/>
              </w:rPr>
            </w:pPr>
            <w:r>
              <w:rPr>
                <w:spacing w:val="-1"/>
                <w:sz w:val="21"/>
                <w:szCs w:val="21"/>
              </w:rPr>
              <w:t>应避让坝区，应优先使用石漠化、荒</w:t>
            </w:r>
            <w:r>
              <w:rPr>
                <w:spacing w:val="6"/>
                <w:sz w:val="21"/>
                <w:szCs w:val="21"/>
              </w:rPr>
              <w:t xml:space="preserve"> </w:t>
            </w:r>
            <w:r>
              <w:rPr>
                <w:spacing w:val="3"/>
                <w:sz w:val="21"/>
                <w:szCs w:val="21"/>
              </w:rPr>
              <w:t>漠化土地和未利用土地。占用一般耕</w:t>
            </w:r>
            <w:r>
              <w:rPr>
                <w:spacing w:val="2"/>
                <w:sz w:val="21"/>
                <w:szCs w:val="21"/>
              </w:rPr>
              <w:t xml:space="preserve"> </w:t>
            </w:r>
            <w:r>
              <w:rPr>
                <w:spacing w:val="3"/>
                <w:sz w:val="21"/>
                <w:szCs w:val="21"/>
              </w:rPr>
              <w:t>地的农光互补光伏发电项目，应抬高</w:t>
            </w:r>
            <w:r>
              <w:rPr>
                <w:spacing w:val="2"/>
                <w:sz w:val="21"/>
                <w:szCs w:val="21"/>
              </w:rPr>
              <w:t xml:space="preserve"> </w:t>
            </w:r>
            <w:r>
              <w:rPr>
                <w:spacing w:val="5"/>
                <w:sz w:val="21"/>
                <w:szCs w:val="21"/>
              </w:rPr>
              <w:t>光伏组件安装高度，不改变土地使用</w:t>
            </w:r>
            <w:r>
              <w:rPr>
                <w:spacing w:val="4"/>
                <w:sz w:val="21"/>
                <w:szCs w:val="21"/>
              </w:rPr>
              <w:t xml:space="preserve"> </w:t>
            </w:r>
            <w:r>
              <w:rPr>
                <w:spacing w:val="-2"/>
                <w:sz w:val="21"/>
                <w:szCs w:val="21"/>
              </w:rPr>
              <w:t>性质。</w:t>
            </w:r>
          </w:p>
        </w:tc>
        <w:tc>
          <w:tcPr>
            <w:tcW w:w="3106" w:type="dxa"/>
            <w:vAlign w:val="top"/>
          </w:tcPr>
          <w:p w14:paraId="354C8FBB">
            <w:pPr>
              <w:pStyle w:val="6"/>
              <w:spacing w:before="49" w:line="239" w:lineRule="auto"/>
              <w:ind w:left="184" w:right="75" w:firstLine="50"/>
              <w:rPr>
                <w:sz w:val="21"/>
                <w:szCs w:val="21"/>
              </w:rPr>
            </w:pPr>
            <w:r>
              <w:rPr>
                <w:spacing w:val="-1"/>
                <w:sz w:val="21"/>
                <w:szCs w:val="21"/>
              </w:rPr>
              <w:t>本项目占地为乔木林地(人工</w:t>
            </w:r>
            <w:r>
              <w:rPr>
                <w:spacing w:val="1"/>
                <w:sz w:val="21"/>
                <w:szCs w:val="21"/>
              </w:rPr>
              <w:t xml:space="preserve">  </w:t>
            </w:r>
            <w:r>
              <w:rPr>
                <w:sz w:val="21"/>
                <w:szCs w:val="21"/>
              </w:rPr>
              <w:t>林)和草地，不涉及占用耕地。</w:t>
            </w:r>
          </w:p>
        </w:tc>
        <w:tc>
          <w:tcPr>
            <w:tcW w:w="944" w:type="dxa"/>
            <w:vAlign w:val="top"/>
          </w:tcPr>
          <w:p w14:paraId="45ACFE0A">
            <w:pPr>
              <w:pStyle w:val="6"/>
              <w:spacing w:before="30" w:line="219" w:lineRule="auto"/>
              <w:ind w:left="119"/>
              <w:rPr>
                <w:sz w:val="21"/>
                <w:szCs w:val="21"/>
              </w:rPr>
            </w:pPr>
            <w:r>
              <w:rPr>
                <w:spacing w:val="-3"/>
                <w:sz w:val="21"/>
                <w:szCs w:val="21"/>
              </w:rPr>
              <w:t>符合</w:t>
            </w:r>
          </w:p>
        </w:tc>
      </w:tr>
      <w:tr w14:paraId="715C1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1244" w:type="dxa"/>
            <w:vMerge w:val="continue"/>
            <w:tcBorders>
              <w:top w:val="nil"/>
              <w:bottom w:val="nil"/>
            </w:tcBorders>
            <w:vAlign w:val="top"/>
          </w:tcPr>
          <w:p w14:paraId="6A1CAA5B">
            <w:pPr>
              <w:rPr>
                <w:rFonts w:ascii="Arial"/>
                <w:sz w:val="21"/>
              </w:rPr>
            </w:pPr>
          </w:p>
        </w:tc>
        <w:tc>
          <w:tcPr>
            <w:tcW w:w="3656" w:type="dxa"/>
            <w:vAlign w:val="top"/>
          </w:tcPr>
          <w:p w14:paraId="554C1FB1">
            <w:pPr>
              <w:pStyle w:val="6"/>
              <w:spacing w:before="55" w:line="237" w:lineRule="auto"/>
              <w:ind w:left="111" w:right="134" w:firstLine="30"/>
              <w:rPr>
                <w:sz w:val="21"/>
                <w:szCs w:val="21"/>
              </w:rPr>
            </w:pPr>
            <w:r>
              <w:rPr>
                <w:sz w:val="21"/>
                <w:szCs w:val="21"/>
              </w:rPr>
              <w:t>项目选址应符合林业用地政策。光伏</w:t>
            </w:r>
            <w:r>
              <w:rPr>
                <w:spacing w:val="9"/>
                <w:sz w:val="21"/>
                <w:szCs w:val="21"/>
              </w:rPr>
              <w:t xml:space="preserve"> </w:t>
            </w:r>
            <w:r>
              <w:rPr>
                <w:spacing w:val="2"/>
                <w:sz w:val="21"/>
                <w:szCs w:val="21"/>
              </w:rPr>
              <w:t>项目应避让天然林保护工程区和天然</w:t>
            </w:r>
            <w:r>
              <w:rPr>
                <w:spacing w:val="7"/>
                <w:sz w:val="21"/>
                <w:szCs w:val="21"/>
              </w:rPr>
              <w:t xml:space="preserve"> </w:t>
            </w:r>
            <w:r>
              <w:rPr>
                <w:spacing w:val="1"/>
                <w:sz w:val="21"/>
                <w:szCs w:val="21"/>
              </w:rPr>
              <w:t>林地，光伏电池组件阵列应避让有林</w:t>
            </w:r>
            <w:r>
              <w:rPr>
                <w:spacing w:val="3"/>
                <w:sz w:val="21"/>
                <w:szCs w:val="21"/>
              </w:rPr>
              <w:t xml:space="preserve"> </w:t>
            </w:r>
            <w:r>
              <w:rPr>
                <w:spacing w:val="1"/>
                <w:sz w:val="21"/>
                <w:szCs w:val="21"/>
              </w:rPr>
              <w:t>地、疏林地、未成林造林地、采伐迹</w:t>
            </w:r>
            <w:r>
              <w:rPr>
                <w:spacing w:val="4"/>
                <w:sz w:val="21"/>
                <w:szCs w:val="21"/>
              </w:rPr>
              <w:t xml:space="preserve"> 地、火烧迹地，以及年降雨400毫米</w:t>
            </w:r>
            <w:r>
              <w:rPr>
                <w:spacing w:val="2"/>
                <w:sz w:val="21"/>
                <w:szCs w:val="21"/>
              </w:rPr>
              <w:t xml:space="preserve"> </w:t>
            </w:r>
            <w:r>
              <w:rPr>
                <w:spacing w:val="4"/>
                <w:sz w:val="21"/>
                <w:szCs w:val="21"/>
              </w:rPr>
              <w:t>以下区域覆盖度高于30%和年降雨量</w:t>
            </w:r>
            <w:r>
              <w:rPr>
                <w:spacing w:val="14"/>
                <w:sz w:val="21"/>
                <w:szCs w:val="21"/>
              </w:rPr>
              <w:t xml:space="preserve"> </w:t>
            </w:r>
            <w:r>
              <w:rPr>
                <w:sz w:val="21"/>
                <w:szCs w:val="21"/>
              </w:rPr>
              <w:t>400毫米以上区域覆盖度高于50%的</w:t>
            </w:r>
          </w:p>
          <w:p w14:paraId="3DF39CF1">
            <w:pPr>
              <w:pStyle w:val="6"/>
              <w:spacing w:line="198" w:lineRule="auto"/>
              <w:ind w:left="100"/>
              <w:rPr>
                <w:sz w:val="21"/>
                <w:szCs w:val="21"/>
              </w:rPr>
            </w:pPr>
            <w:r>
              <w:rPr>
                <w:spacing w:val="-1"/>
                <w:sz w:val="21"/>
                <w:szCs w:val="21"/>
              </w:rPr>
              <w:t>灌木林地。</w:t>
            </w:r>
          </w:p>
        </w:tc>
        <w:tc>
          <w:tcPr>
            <w:tcW w:w="3106" w:type="dxa"/>
            <w:vAlign w:val="top"/>
          </w:tcPr>
          <w:p w14:paraId="646A4506">
            <w:pPr>
              <w:pStyle w:val="6"/>
              <w:spacing w:before="49" w:line="242" w:lineRule="auto"/>
              <w:ind w:left="74" w:firstLine="109"/>
              <w:rPr>
                <w:sz w:val="21"/>
                <w:szCs w:val="21"/>
              </w:rPr>
            </w:pPr>
            <w:r>
              <w:rPr>
                <w:spacing w:val="-3"/>
                <w:sz w:val="21"/>
                <w:szCs w:val="21"/>
              </w:rPr>
              <w:t>本项目林业按照相关要求办理</w:t>
            </w:r>
            <w:r>
              <w:rPr>
                <w:spacing w:val="2"/>
                <w:sz w:val="21"/>
                <w:szCs w:val="21"/>
              </w:rPr>
              <w:t xml:space="preserve">   </w:t>
            </w:r>
            <w:r>
              <w:rPr>
                <w:spacing w:val="-1"/>
                <w:sz w:val="21"/>
                <w:szCs w:val="21"/>
              </w:rPr>
              <w:t>后续。本项目光伏占地和塔基占</w:t>
            </w:r>
            <w:r>
              <w:rPr>
                <w:spacing w:val="3"/>
                <w:sz w:val="21"/>
                <w:szCs w:val="21"/>
              </w:rPr>
              <w:t xml:space="preserve">  </w:t>
            </w:r>
            <w:r>
              <w:rPr>
                <w:spacing w:val="-1"/>
                <w:sz w:val="21"/>
                <w:szCs w:val="21"/>
              </w:rPr>
              <w:t>地不涉及天然林，占地不涉及灌</w:t>
            </w:r>
            <w:r>
              <w:rPr>
                <w:spacing w:val="1"/>
                <w:sz w:val="21"/>
                <w:szCs w:val="21"/>
              </w:rPr>
              <w:t xml:space="preserve">  </w:t>
            </w:r>
            <w:r>
              <w:rPr>
                <w:spacing w:val="5"/>
                <w:sz w:val="21"/>
                <w:szCs w:val="21"/>
              </w:rPr>
              <w:t>木林地。不涉及林地、疏林地、</w:t>
            </w:r>
            <w:r>
              <w:rPr>
                <w:spacing w:val="10"/>
                <w:sz w:val="21"/>
                <w:szCs w:val="21"/>
              </w:rPr>
              <w:t xml:space="preserve"> </w:t>
            </w:r>
            <w:r>
              <w:rPr>
                <w:spacing w:val="-2"/>
                <w:sz w:val="21"/>
                <w:szCs w:val="21"/>
              </w:rPr>
              <w:t>未成林造林地、采伐迹地、火烧</w:t>
            </w:r>
            <w:r>
              <w:rPr>
                <w:spacing w:val="6"/>
                <w:sz w:val="21"/>
                <w:szCs w:val="21"/>
              </w:rPr>
              <w:t xml:space="preserve">  </w:t>
            </w:r>
            <w:r>
              <w:rPr>
                <w:spacing w:val="3"/>
                <w:sz w:val="21"/>
                <w:szCs w:val="21"/>
              </w:rPr>
              <w:t>迹地。</w:t>
            </w:r>
          </w:p>
        </w:tc>
        <w:tc>
          <w:tcPr>
            <w:tcW w:w="944" w:type="dxa"/>
            <w:vAlign w:val="top"/>
          </w:tcPr>
          <w:p w14:paraId="6A1836EA">
            <w:pPr>
              <w:pStyle w:val="6"/>
              <w:spacing w:before="22" w:line="219" w:lineRule="auto"/>
              <w:ind w:left="119"/>
              <w:rPr>
                <w:sz w:val="21"/>
                <w:szCs w:val="21"/>
              </w:rPr>
            </w:pPr>
            <w:r>
              <w:rPr>
                <w:spacing w:val="-3"/>
                <w:sz w:val="21"/>
                <w:szCs w:val="21"/>
              </w:rPr>
              <w:t>符合</w:t>
            </w:r>
          </w:p>
        </w:tc>
      </w:tr>
      <w:tr w14:paraId="683FB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1244" w:type="dxa"/>
            <w:vMerge w:val="continue"/>
            <w:tcBorders>
              <w:top w:val="nil"/>
              <w:bottom w:val="nil"/>
            </w:tcBorders>
            <w:vAlign w:val="top"/>
          </w:tcPr>
          <w:p w14:paraId="2638961C">
            <w:pPr>
              <w:rPr>
                <w:rFonts w:ascii="Arial"/>
                <w:sz w:val="21"/>
              </w:rPr>
            </w:pPr>
          </w:p>
        </w:tc>
        <w:tc>
          <w:tcPr>
            <w:tcW w:w="3656" w:type="dxa"/>
            <w:vAlign w:val="top"/>
          </w:tcPr>
          <w:p w14:paraId="3FB13C27">
            <w:pPr>
              <w:pStyle w:val="6"/>
              <w:spacing w:before="33" w:line="233" w:lineRule="auto"/>
              <w:ind w:left="141" w:right="100"/>
              <w:jc w:val="both"/>
              <w:rPr>
                <w:sz w:val="21"/>
                <w:szCs w:val="21"/>
              </w:rPr>
            </w:pPr>
            <w:r>
              <w:rPr>
                <w:spacing w:val="-1"/>
                <w:sz w:val="21"/>
                <w:szCs w:val="21"/>
              </w:rPr>
              <w:t>项目选址应符合国土空间规划、实现</w:t>
            </w:r>
            <w:r>
              <w:rPr>
                <w:spacing w:val="3"/>
                <w:sz w:val="21"/>
                <w:szCs w:val="21"/>
              </w:rPr>
              <w:t xml:space="preserve"> </w:t>
            </w:r>
            <w:r>
              <w:rPr>
                <w:spacing w:val="1"/>
                <w:sz w:val="21"/>
                <w:szCs w:val="21"/>
              </w:rPr>
              <w:t>景观保护。应远离滇中城市群规划的</w:t>
            </w:r>
            <w:r>
              <w:rPr>
                <w:sz w:val="21"/>
                <w:szCs w:val="21"/>
              </w:rPr>
              <w:t xml:space="preserve"> </w:t>
            </w:r>
            <w:r>
              <w:rPr>
                <w:spacing w:val="-1"/>
                <w:sz w:val="21"/>
                <w:szCs w:val="21"/>
              </w:rPr>
              <w:t>主体城市、一般城市和新兴城镇，远</w:t>
            </w:r>
            <w:r>
              <w:rPr>
                <w:spacing w:val="5"/>
                <w:sz w:val="21"/>
                <w:szCs w:val="21"/>
              </w:rPr>
              <w:t xml:space="preserve"> </w:t>
            </w:r>
            <w:r>
              <w:rPr>
                <w:sz w:val="21"/>
                <w:szCs w:val="21"/>
              </w:rPr>
              <w:t>离城市及城镇的面山区域。应远离金</w:t>
            </w:r>
            <w:r>
              <w:rPr>
                <w:spacing w:val="7"/>
                <w:sz w:val="21"/>
                <w:szCs w:val="21"/>
              </w:rPr>
              <w:t xml:space="preserve"> </w:t>
            </w:r>
            <w:r>
              <w:rPr>
                <w:spacing w:val="2"/>
                <w:sz w:val="21"/>
                <w:szCs w:val="21"/>
              </w:rPr>
              <w:t>沙江及长江一级支流岸线保护范围。</w:t>
            </w:r>
          </w:p>
        </w:tc>
        <w:tc>
          <w:tcPr>
            <w:tcW w:w="3106" w:type="dxa"/>
            <w:vAlign w:val="top"/>
          </w:tcPr>
          <w:p w14:paraId="767A9007">
            <w:pPr>
              <w:pStyle w:val="6"/>
              <w:spacing w:before="43" w:line="239" w:lineRule="auto"/>
              <w:ind w:left="74" w:right="90" w:firstLine="110"/>
              <w:jc w:val="both"/>
              <w:rPr>
                <w:sz w:val="21"/>
                <w:szCs w:val="21"/>
              </w:rPr>
            </w:pPr>
            <w:r>
              <w:rPr>
                <w:spacing w:val="1"/>
                <w:sz w:val="21"/>
                <w:szCs w:val="21"/>
              </w:rPr>
              <w:t>本项目远离金沙江及长江一级</w:t>
            </w:r>
            <w:r>
              <w:rPr>
                <w:sz w:val="21"/>
                <w:szCs w:val="21"/>
              </w:rPr>
              <w:t xml:space="preserve"> </w:t>
            </w:r>
            <w:r>
              <w:rPr>
                <w:spacing w:val="-1"/>
                <w:sz w:val="21"/>
                <w:szCs w:val="21"/>
              </w:rPr>
              <w:t>支流岸线保护范围。项目选址取</w:t>
            </w:r>
            <w:r>
              <w:rPr>
                <w:spacing w:val="3"/>
                <w:sz w:val="21"/>
                <w:szCs w:val="21"/>
              </w:rPr>
              <w:t xml:space="preserve"> </w:t>
            </w:r>
            <w:r>
              <w:rPr>
                <w:spacing w:val="2"/>
                <w:sz w:val="21"/>
                <w:szCs w:val="21"/>
              </w:rPr>
              <w:t>得陆良各个相关部门的意见。</w:t>
            </w:r>
          </w:p>
        </w:tc>
        <w:tc>
          <w:tcPr>
            <w:tcW w:w="944" w:type="dxa"/>
            <w:vAlign w:val="top"/>
          </w:tcPr>
          <w:p w14:paraId="50F61265">
            <w:pPr>
              <w:pStyle w:val="6"/>
              <w:spacing w:before="34" w:line="219" w:lineRule="auto"/>
              <w:ind w:left="119"/>
              <w:rPr>
                <w:sz w:val="21"/>
                <w:szCs w:val="21"/>
              </w:rPr>
            </w:pPr>
            <w:r>
              <w:rPr>
                <w:spacing w:val="-3"/>
                <w:sz w:val="21"/>
                <w:szCs w:val="21"/>
              </w:rPr>
              <w:t>符合</w:t>
            </w:r>
          </w:p>
        </w:tc>
      </w:tr>
      <w:tr w14:paraId="63ABA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244" w:type="dxa"/>
            <w:vMerge w:val="continue"/>
            <w:tcBorders>
              <w:top w:val="nil"/>
              <w:bottom w:val="nil"/>
            </w:tcBorders>
            <w:vAlign w:val="top"/>
          </w:tcPr>
          <w:p w14:paraId="73266619">
            <w:pPr>
              <w:rPr>
                <w:rFonts w:ascii="Arial"/>
                <w:sz w:val="21"/>
              </w:rPr>
            </w:pPr>
          </w:p>
        </w:tc>
        <w:tc>
          <w:tcPr>
            <w:tcW w:w="3656" w:type="dxa"/>
            <w:vAlign w:val="top"/>
          </w:tcPr>
          <w:p w14:paraId="2903AC92">
            <w:pPr>
              <w:pStyle w:val="6"/>
              <w:spacing w:before="53" w:line="235" w:lineRule="auto"/>
              <w:ind w:left="121" w:right="100" w:firstLine="20"/>
              <w:jc w:val="both"/>
              <w:rPr>
                <w:sz w:val="21"/>
                <w:szCs w:val="21"/>
              </w:rPr>
            </w:pPr>
            <w:r>
              <w:rPr>
                <w:sz w:val="21"/>
                <w:szCs w:val="21"/>
              </w:rPr>
              <w:t>噪声影响防护。风电机组与居民居住</w:t>
            </w:r>
            <w:r>
              <w:rPr>
                <w:spacing w:val="11"/>
                <w:sz w:val="21"/>
                <w:szCs w:val="21"/>
              </w:rPr>
              <w:t xml:space="preserve"> </w:t>
            </w:r>
            <w:r>
              <w:rPr>
                <w:spacing w:val="4"/>
                <w:sz w:val="21"/>
                <w:szCs w:val="21"/>
              </w:rPr>
              <w:t>点的布置间距应满足卫生防护要求，</w:t>
            </w:r>
            <w:r>
              <w:rPr>
                <w:sz w:val="21"/>
                <w:szCs w:val="21"/>
              </w:rPr>
              <w:t xml:space="preserve"> </w:t>
            </w:r>
            <w:r>
              <w:rPr>
                <w:spacing w:val="-1"/>
                <w:sz w:val="21"/>
                <w:szCs w:val="21"/>
              </w:rPr>
              <w:t>确保噪声污染得到有效控制。</w:t>
            </w:r>
          </w:p>
        </w:tc>
        <w:tc>
          <w:tcPr>
            <w:tcW w:w="3106" w:type="dxa"/>
            <w:vAlign w:val="top"/>
          </w:tcPr>
          <w:p w14:paraId="73FE484A">
            <w:pPr>
              <w:pStyle w:val="6"/>
              <w:spacing w:before="55" w:line="222" w:lineRule="auto"/>
              <w:ind w:left="184" w:right="67" w:hanging="110"/>
              <w:rPr>
                <w:sz w:val="21"/>
                <w:szCs w:val="21"/>
              </w:rPr>
            </w:pPr>
            <w:r>
              <w:rPr>
                <w:sz w:val="21"/>
                <w:szCs w:val="21"/>
              </w:rPr>
              <w:t>本项目经过预测分析，项目运营</w:t>
            </w:r>
            <w:r>
              <w:rPr>
                <w:spacing w:val="12"/>
                <w:sz w:val="21"/>
                <w:szCs w:val="21"/>
              </w:rPr>
              <w:t xml:space="preserve"> </w:t>
            </w:r>
            <w:r>
              <w:rPr>
                <w:spacing w:val="1"/>
                <w:sz w:val="21"/>
                <w:szCs w:val="21"/>
              </w:rPr>
              <w:t>期的声环境敏感点预测值可以</w:t>
            </w:r>
          </w:p>
          <w:p w14:paraId="3E5EBE09">
            <w:pPr>
              <w:pStyle w:val="6"/>
              <w:spacing w:before="25" w:line="238" w:lineRule="auto"/>
              <w:ind w:left="284" w:right="26" w:hanging="160"/>
              <w:rPr>
                <w:sz w:val="21"/>
                <w:szCs w:val="21"/>
              </w:rPr>
            </w:pPr>
            <w:r>
              <w:rPr>
                <w:spacing w:val="-12"/>
                <w:sz w:val="21"/>
                <w:szCs w:val="21"/>
              </w:rPr>
              <w:t>满</w:t>
            </w:r>
            <w:r>
              <w:rPr>
                <w:spacing w:val="-27"/>
                <w:sz w:val="21"/>
                <w:szCs w:val="21"/>
              </w:rPr>
              <w:t xml:space="preserve"> </w:t>
            </w:r>
            <w:r>
              <w:rPr>
                <w:spacing w:val="-12"/>
                <w:sz w:val="21"/>
                <w:szCs w:val="21"/>
              </w:rPr>
              <w:t>足</w:t>
            </w:r>
            <w:r>
              <w:rPr>
                <w:spacing w:val="-40"/>
                <w:sz w:val="21"/>
                <w:szCs w:val="21"/>
              </w:rPr>
              <w:t xml:space="preserve"> </w:t>
            </w:r>
            <w:r>
              <w:rPr>
                <w:spacing w:val="-12"/>
                <w:sz w:val="21"/>
                <w:szCs w:val="21"/>
              </w:rPr>
              <w:t>《 声</w:t>
            </w:r>
            <w:r>
              <w:rPr>
                <w:spacing w:val="-31"/>
                <w:sz w:val="21"/>
                <w:szCs w:val="21"/>
              </w:rPr>
              <w:t xml:space="preserve"> </w:t>
            </w:r>
            <w:r>
              <w:rPr>
                <w:spacing w:val="-12"/>
                <w:sz w:val="21"/>
                <w:szCs w:val="21"/>
              </w:rPr>
              <w:t>环</w:t>
            </w:r>
            <w:r>
              <w:rPr>
                <w:spacing w:val="-31"/>
                <w:sz w:val="21"/>
                <w:szCs w:val="21"/>
              </w:rPr>
              <w:t xml:space="preserve"> </w:t>
            </w:r>
            <w:r>
              <w:rPr>
                <w:spacing w:val="-12"/>
                <w:sz w:val="21"/>
                <w:szCs w:val="21"/>
              </w:rPr>
              <w:t>境</w:t>
            </w:r>
            <w:r>
              <w:rPr>
                <w:spacing w:val="-31"/>
                <w:sz w:val="21"/>
                <w:szCs w:val="21"/>
              </w:rPr>
              <w:t xml:space="preserve"> </w:t>
            </w:r>
            <w:r>
              <w:rPr>
                <w:spacing w:val="-12"/>
                <w:sz w:val="21"/>
                <w:szCs w:val="21"/>
              </w:rPr>
              <w:t>质</w:t>
            </w:r>
            <w:r>
              <w:rPr>
                <w:spacing w:val="-32"/>
                <w:sz w:val="21"/>
                <w:szCs w:val="21"/>
              </w:rPr>
              <w:t xml:space="preserve"> </w:t>
            </w:r>
            <w:r>
              <w:rPr>
                <w:spacing w:val="-12"/>
                <w:sz w:val="21"/>
                <w:szCs w:val="21"/>
              </w:rPr>
              <w:t>量</w:t>
            </w:r>
            <w:r>
              <w:rPr>
                <w:spacing w:val="-30"/>
                <w:sz w:val="21"/>
                <w:szCs w:val="21"/>
              </w:rPr>
              <w:t xml:space="preserve"> </w:t>
            </w:r>
            <w:r>
              <w:rPr>
                <w:spacing w:val="-12"/>
                <w:sz w:val="21"/>
                <w:szCs w:val="21"/>
              </w:rPr>
              <w:t>标</w:t>
            </w:r>
            <w:r>
              <w:rPr>
                <w:spacing w:val="-30"/>
                <w:sz w:val="21"/>
                <w:szCs w:val="21"/>
              </w:rPr>
              <w:t xml:space="preserve"> </w:t>
            </w:r>
            <w:r>
              <w:rPr>
                <w:spacing w:val="-12"/>
                <w:sz w:val="21"/>
                <w:szCs w:val="21"/>
              </w:rPr>
              <w:t>准</w:t>
            </w:r>
            <w:r>
              <w:rPr>
                <w:spacing w:val="-20"/>
                <w:sz w:val="21"/>
                <w:szCs w:val="21"/>
              </w:rPr>
              <w:t xml:space="preserve"> </w:t>
            </w:r>
            <w:r>
              <w:rPr>
                <w:spacing w:val="-12"/>
                <w:sz w:val="21"/>
                <w:szCs w:val="21"/>
              </w:rPr>
              <w:t>》</w:t>
            </w:r>
            <w:r>
              <w:rPr>
                <w:sz w:val="21"/>
                <w:szCs w:val="21"/>
              </w:rPr>
              <w:t xml:space="preserve"> (GB3096-2008)1类区和4a类</w:t>
            </w:r>
          </w:p>
          <w:p w14:paraId="3D670EBB">
            <w:pPr>
              <w:pStyle w:val="6"/>
              <w:spacing w:line="195" w:lineRule="auto"/>
              <w:ind w:left="114"/>
              <w:rPr>
                <w:sz w:val="21"/>
                <w:szCs w:val="21"/>
              </w:rPr>
            </w:pPr>
            <w:r>
              <w:rPr>
                <w:spacing w:val="-1"/>
                <w:sz w:val="21"/>
                <w:szCs w:val="21"/>
              </w:rPr>
              <w:t>区的要求。</w:t>
            </w:r>
          </w:p>
        </w:tc>
        <w:tc>
          <w:tcPr>
            <w:tcW w:w="944" w:type="dxa"/>
            <w:vAlign w:val="top"/>
          </w:tcPr>
          <w:p w14:paraId="71C090B5">
            <w:pPr>
              <w:pStyle w:val="6"/>
              <w:spacing w:before="25" w:line="219" w:lineRule="auto"/>
              <w:ind w:left="119"/>
              <w:rPr>
                <w:sz w:val="21"/>
                <w:szCs w:val="21"/>
              </w:rPr>
            </w:pPr>
            <w:r>
              <w:rPr>
                <w:spacing w:val="-3"/>
                <w:sz w:val="21"/>
                <w:szCs w:val="21"/>
              </w:rPr>
              <w:t>符合</w:t>
            </w:r>
          </w:p>
        </w:tc>
      </w:tr>
      <w:tr w14:paraId="60A70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9" w:hRule="atLeast"/>
        </w:trPr>
        <w:tc>
          <w:tcPr>
            <w:tcW w:w="1244" w:type="dxa"/>
            <w:vMerge w:val="continue"/>
            <w:tcBorders>
              <w:top w:val="nil"/>
              <w:bottom w:val="nil"/>
            </w:tcBorders>
            <w:vAlign w:val="top"/>
          </w:tcPr>
          <w:p w14:paraId="2C46748D">
            <w:pPr>
              <w:rPr>
                <w:rFonts w:ascii="Arial"/>
                <w:sz w:val="21"/>
              </w:rPr>
            </w:pPr>
          </w:p>
        </w:tc>
        <w:tc>
          <w:tcPr>
            <w:tcW w:w="3656" w:type="dxa"/>
            <w:vAlign w:val="top"/>
          </w:tcPr>
          <w:p w14:paraId="132CF9FD">
            <w:pPr>
              <w:pStyle w:val="6"/>
              <w:spacing w:before="58" w:line="236" w:lineRule="auto"/>
              <w:ind w:left="100" w:right="136" w:firstLine="40"/>
              <w:jc w:val="both"/>
              <w:rPr>
                <w:sz w:val="21"/>
                <w:szCs w:val="21"/>
              </w:rPr>
            </w:pPr>
            <w:r>
              <w:rPr>
                <w:sz w:val="21"/>
                <w:szCs w:val="21"/>
              </w:rPr>
              <w:t>电磁辐射防护。电气设备设计必须考</w:t>
            </w:r>
            <w:r>
              <w:rPr>
                <w:spacing w:val="7"/>
                <w:sz w:val="21"/>
                <w:szCs w:val="21"/>
              </w:rPr>
              <w:t xml:space="preserve"> </w:t>
            </w:r>
            <w:r>
              <w:rPr>
                <w:spacing w:val="1"/>
                <w:sz w:val="21"/>
                <w:szCs w:val="21"/>
              </w:rPr>
              <w:t>虑防磁、防辐射要求，减少电磁辐射</w:t>
            </w:r>
            <w:r>
              <w:rPr>
                <w:spacing w:val="14"/>
                <w:sz w:val="21"/>
                <w:szCs w:val="21"/>
              </w:rPr>
              <w:t xml:space="preserve"> </w:t>
            </w:r>
            <w:r>
              <w:rPr>
                <w:spacing w:val="2"/>
                <w:sz w:val="21"/>
                <w:szCs w:val="21"/>
              </w:rPr>
              <w:t>对环境的影响。电气设备及设施布置</w:t>
            </w:r>
            <w:r>
              <w:rPr>
                <w:sz w:val="21"/>
                <w:szCs w:val="21"/>
              </w:rPr>
              <w:t xml:space="preserve"> </w:t>
            </w:r>
            <w:r>
              <w:rPr>
                <w:spacing w:val="1"/>
                <w:sz w:val="21"/>
                <w:szCs w:val="21"/>
              </w:rPr>
              <w:t>应满足电磁辐射对环境影响的防护距</w:t>
            </w:r>
            <w:r>
              <w:rPr>
                <w:spacing w:val="14"/>
                <w:sz w:val="21"/>
                <w:szCs w:val="21"/>
              </w:rPr>
              <w:t xml:space="preserve"> </w:t>
            </w:r>
            <w:r>
              <w:rPr>
                <w:spacing w:val="-1"/>
                <w:sz w:val="21"/>
                <w:szCs w:val="21"/>
              </w:rPr>
              <w:t>离要求。</w:t>
            </w:r>
          </w:p>
        </w:tc>
        <w:tc>
          <w:tcPr>
            <w:tcW w:w="3106" w:type="dxa"/>
            <w:vAlign w:val="top"/>
          </w:tcPr>
          <w:p w14:paraId="46FEEC23">
            <w:pPr>
              <w:pStyle w:val="6"/>
              <w:spacing w:before="36" w:line="246" w:lineRule="auto"/>
              <w:ind w:left="74" w:right="66"/>
              <w:rPr>
                <w:sz w:val="21"/>
                <w:szCs w:val="21"/>
              </w:rPr>
            </w:pPr>
            <w:r>
              <w:rPr>
                <w:spacing w:val="1"/>
                <w:sz w:val="21"/>
                <w:szCs w:val="21"/>
              </w:rPr>
              <w:t>本项目在设计、设备选型已考虑</w:t>
            </w:r>
            <w:r>
              <w:rPr>
                <w:sz w:val="21"/>
                <w:szCs w:val="21"/>
              </w:rPr>
              <w:t xml:space="preserve"> 防磁、防辐射要求，且升压站选</w:t>
            </w:r>
          </w:p>
          <w:p w14:paraId="21ECC498">
            <w:pPr>
              <w:pStyle w:val="6"/>
              <w:spacing w:before="1" w:line="235" w:lineRule="auto"/>
              <w:ind w:left="84" w:right="187" w:firstLine="100"/>
              <w:jc w:val="both"/>
              <w:rPr>
                <w:sz w:val="21"/>
                <w:szCs w:val="21"/>
              </w:rPr>
            </w:pPr>
            <w:r>
              <w:rPr>
                <w:spacing w:val="-1"/>
                <w:sz w:val="21"/>
                <w:szCs w:val="21"/>
              </w:rPr>
              <w:t>址距离居民居住点已满足电磁</w:t>
            </w:r>
            <w:r>
              <w:rPr>
                <w:spacing w:val="2"/>
                <w:sz w:val="21"/>
                <w:szCs w:val="21"/>
              </w:rPr>
              <w:t xml:space="preserve"> </w:t>
            </w:r>
            <w:r>
              <w:rPr>
                <w:spacing w:val="7"/>
                <w:sz w:val="21"/>
                <w:szCs w:val="21"/>
              </w:rPr>
              <w:t>辐射对环境影响的防护距离要</w:t>
            </w:r>
            <w:r>
              <w:rPr>
                <w:spacing w:val="1"/>
                <w:sz w:val="21"/>
                <w:szCs w:val="21"/>
              </w:rPr>
              <w:t xml:space="preserve"> </w:t>
            </w:r>
            <w:r>
              <w:rPr>
                <w:spacing w:val="-2"/>
                <w:sz w:val="21"/>
                <w:szCs w:val="21"/>
              </w:rPr>
              <w:t>求。</w:t>
            </w:r>
          </w:p>
        </w:tc>
        <w:tc>
          <w:tcPr>
            <w:tcW w:w="944" w:type="dxa"/>
            <w:vAlign w:val="top"/>
          </w:tcPr>
          <w:p w14:paraId="039A4C65">
            <w:pPr>
              <w:pStyle w:val="6"/>
              <w:spacing w:before="46" w:line="219" w:lineRule="auto"/>
              <w:ind w:left="119"/>
              <w:rPr>
                <w:sz w:val="21"/>
                <w:szCs w:val="21"/>
              </w:rPr>
            </w:pPr>
            <w:r>
              <w:rPr>
                <w:spacing w:val="-3"/>
                <w:sz w:val="21"/>
                <w:szCs w:val="21"/>
              </w:rPr>
              <w:t>符合</w:t>
            </w:r>
          </w:p>
        </w:tc>
      </w:tr>
      <w:tr w14:paraId="74436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1244" w:type="dxa"/>
            <w:vMerge w:val="continue"/>
            <w:tcBorders>
              <w:top w:val="nil"/>
              <w:bottom w:val="nil"/>
            </w:tcBorders>
            <w:vAlign w:val="top"/>
          </w:tcPr>
          <w:p w14:paraId="01A078C4">
            <w:pPr>
              <w:rPr>
                <w:rFonts w:ascii="Arial"/>
                <w:sz w:val="21"/>
              </w:rPr>
            </w:pPr>
          </w:p>
        </w:tc>
        <w:tc>
          <w:tcPr>
            <w:tcW w:w="3656" w:type="dxa"/>
            <w:vAlign w:val="top"/>
          </w:tcPr>
          <w:p w14:paraId="7610B7E1">
            <w:pPr>
              <w:pStyle w:val="6"/>
              <w:spacing w:before="57" w:line="220" w:lineRule="auto"/>
              <w:ind w:left="121" w:right="135" w:firstLine="20"/>
              <w:jc w:val="both"/>
              <w:rPr>
                <w:sz w:val="21"/>
                <w:szCs w:val="21"/>
              </w:rPr>
            </w:pPr>
            <w:r>
              <w:rPr>
                <w:sz w:val="21"/>
                <w:szCs w:val="21"/>
              </w:rPr>
              <w:t>鸟类飞行影响。风电机组布置应避让</w:t>
            </w:r>
            <w:r>
              <w:rPr>
                <w:spacing w:val="7"/>
                <w:sz w:val="21"/>
                <w:szCs w:val="21"/>
              </w:rPr>
              <w:t xml:space="preserve"> </w:t>
            </w:r>
            <w:r>
              <w:rPr>
                <w:spacing w:val="1"/>
                <w:sz w:val="21"/>
                <w:szCs w:val="21"/>
              </w:rPr>
              <w:t>鸟类迁徙重要通道和鸟类栖息地，风</w:t>
            </w:r>
            <w:r>
              <w:rPr>
                <w:spacing w:val="12"/>
                <w:sz w:val="21"/>
                <w:szCs w:val="21"/>
              </w:rPr>
              <w:t xml:space="preserve"> </w:t>
            </w:r>
            <w:r>
              <w:rPr>
                <w:spacing w:val="1"/>
                <w:sz w:val="21"/>
                <w:szCs w:val="21"/>
              </w:rPr>
              <w:t>电机组塔顶可设置警示标志或主动驱</w:t>
            </w:r>
            <w:r>
              <w:rPr>
                <w:spacing w:val="11"/>
                <w:sz w:val="21"/>
                <w:szCs w:val="21"/>
              </w:rPr>
              <w:t xml:space="preserve"> </w:t>
            </w:r>
            <w:r>
              <w:rPr>
                <w:spacing w:val="-1"/>
                <w:sz w:val="21"/>
                <w:szCs w:val="21"/>
              </w:rPr>
              <w:t>鸟设备，减少对鸟类飞行的影响。</w:t>
            </w:r>
          </w:p>
        </w:tc>
        <w:tc>
          <w:tcPr>
            <w:tcW w:w="3106" w:type="dxa"/>
            <w:vAlign w:val="top"/>
          </w:tcPr>
          <w:p w14:paraId="55988D1A">
            <w:pPr>
              <w:pStyle w:val="6"/>
              <w:spacing w:before="47"/>
              <w:ind w:left="84" w:right="190" w:firstLine="100"/>
              <w:jc w:val="both"/>
              <w:rPr>
                <w:sz w:val="21"/>
                <w:szCs w:val="21"/>
              </w:rPr>
            </w:pPr>
            <w:r>
              <w:rPr>
                <w:spacing w:val="-1"/>
                <w:sz w:val="21"/>
                <w:szCs w:val="21"/>
              </w:rPr>
              <w:t>本项目不涉风机机组，经过分</w:t>
            </w:r>
            <w:r>
              <w:rPr>
                <w:spacing w:val="2"/>
                <w:sz w:val="21"/>
                <w:szCs w:val="21"/>
              </w:rPr>
              <w:t xml:space="preserve"> </w:t>
            </w:r>
            <w:r>
              <w:rPr>
                <w:spacing w:val="6"/>
                <w:sz w:val="21"/>
                <w:szCs w:val="21"/>
              </w:rPr>
              <w:t>析，本项目不涉及鸟类迁徙通</w:t>
            </w:r>
            <w:r>
              <w:rPr>
                <w:spacing w:val="11"/>
                <w:sz w:val="21"/>
                <w:szCs w:val="21"/>
              </w:rPr>
              <w:t xml:space="preserve"> </w:t>
            </w:r>
            <w:r>
              <w:rPr>
                <w:spacing w:val="-2"/>
                <w:sz w:val="21"/>
                <w:szCs w:val="21"/>
              </w:rPr>
              <w:t>道。</w:t>
            </w:r>
          </w:p>
        </w:tc>
        <w:tc>
          <w:tcPr>
            <w:tcW w:w="944" w:type="dxa"/>
            <w:vAlign w:val="top"/>
          </w:tcPr>
          <w:p w14:paraId="48C1E0E1">
            <w:pPr>
              <w:pStyle w:val="6"/>
              <w:spacing w:before="37" w:line="219" w:lineRule="auto"/>
              <w:ind w:left="119"/>
              <w:rPr>
                <w:sz w:val="21"/>
                <w:szCs w:val="21"/>
              </w:rPr>
            </w:pPr>
            <w:r>
              <w:rPr>
                <w:spacing w:val="-3"/>
                <w:sz w:val="21"/>
                <w:szCs w:val="21"/>
              </w:rPr>
              <w:t>符合</w:t>
            </w:r>
          </w:p>
        </w:tc>
      </w:tr>
      <w:tr w14:paraId="66E20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1244" w:type="dxa"/>
            <w:vMerge w:val="continue"/>
            <w:tcBorders>
              <w:top w:val="nil"/>
            </w:tcBorders>
            <w:vAlign w:val="top"/>
          </w:tcPr>
          <w:p w14:paraId="33381411">
            <w:pPr>
              <w:rPr>
                <w:rFonts w:ascii="Arial"/>
                <w:sz w:val="21"/>
              </w:rPr>
            </w:pPr>
          </w:p>
        </w:tc>
        <w:tc>
          <w:tcPr>
            <w:tcW w:w="3656" w:type="dxa"/>
            <w:vAlign w:val="top"/>
          </w:tcPr>
          <w:p w14:paraId="6BB2A183">
            <w:pPr>
              <w:pStyle w:val="6"/>
              <w:spacing w:before="58" w:line="208" w:lineRule="auto"/>
              <w:ind w:left="141"/>
              <w:rPr>
                <w:sz w:val="21"/>
                <w:szCs w:val="21"/>
              </w:rPr>
            </w:pPr>
            <w:r>
              <w:rPr>
                <w:spacing w:val="-1"/>
                <w:sz w:val="21"/>
                <w:szCs w:val="21"/>
              </w:rPr>
              <w:t>水土及林地保护。规划项目实施过程</w:t>
            </w:r>
          </w:p>
        </w:tc>
        <w:tc>
          <w:tcPr>
            <w:tcW w:w="3106" w:type="dxa"/>
            <w:vAlign w:val="top"/>
          </w:tcPr>
          <w:p w14:paraId="294A65AB">
            <w:pPr>
              <w:pStyle w:val="6"/>
              <w:spacing w:before="58" w:line="208" w:lineRule="auto"/>
              <w:ind w:left="74"/>
              <w:rPr>
                <w:sz w:val="21"/>
                <w:szCs w:val="21"/>
              </w:rPr>
            </w:pPr>
            <w:r>
              <w:rPr>
                <w:sz w:val="21"/>
                <w:szCs w:val="21"/>
              </w:rPr>
              <w:t>本项目应严格落实水保、环保措</w:t>
            </w:r>
          </w:p>
        </w:tc>
        <w:tc>
          <w:tcPr>
            <w:tcW w:w="944" w:type="dxa"/>
            <w:vAlign w:val="top"/>
          </w:tcPr>
          <w:p w14:paraId="38901223">
            <w:pPr>
              <w:pStyle w:val="6"/>
              <w:spacing w:before="58" w:line="208" w:lineRule="auto"/>
              <w:ind w:left="119"/>
              <w:rPr>
                <w:sz w:val="21"/>
                <w:szCs w:val="21"/>
              </w:rPr>
            </w:pPr>
            <w:r>
              <w:rPr>
                <w:spacing w:val="-3"/>
                <w:sz w:val="21"/>
                <w:szCs w:val="21"/>
              </w:rPr>
              <w:t>符合</w:t>
            </w:r>
          </w:p>
        </w:tc>
      </w:tr>
    </w:tbl>
    <w:p w14:paraId="3B22F9E4">
      <w:pPr>
        <w:pStyle w:val="2"/>
      </w:pPr>
    </w:p>
    <w:p w14:paraId="1B556788">
      <w:pPr>
        <w:sectPr>
          <w:footerReference r:id="rId51" w:type="default"/>
          <w:pgSz w:w="11910" w:h="16830"/>
          <w:pgMar w:top="400" w:right="1534" w:bottom="1245" w:left="1415" w:header="0" w:footer="1083" w:gutter="0"/>
          <w:cols w:space="720" w:num="1"/>
        </w:sectPr>
      </w:pPr>
    </w:p>
    <w:p w14:paraId="035A447D">
      <w:pPr>
        <w:spacing w:before="18"/>
      </w:pPr>
    </w:p>
    <w:p w14:paraId="11757375">
      <w:pPr>
        <w:spacing w:before="18"/>
      </w:pPr>
    </w:p>
    <w:p w14:paraId="348E05F5">
      <w:pPr>
        <w:spacing w:before="17"/>
      </w:pPr>
    </w:p>
    <w:p w14:paraId="53FB37E7">
      <w:pPr>
        <w:spacing w:before="17"/>
      </w:pPr>
    </w:p>
    <w:p w14:paraId="238ABCD2">
      <w:pPr>
        <w:spacing w:before="17"/>
      </w:pPr>
    </w:p>
    <w:tbl>
      <w:tblPr>
        <w:tblStyle w:val="5"/>
        <w:tblW w:w="89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4"/>
        <w:gridCol w:w="3656"/>
        <w:gridCol w:w="3116"/>
        <w:gridCol w:w="939"/>
      </w:tblGrid>
      <w:tr w14:paraId="17695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trPr>
        <w:tc>
          <w:tcPr>
            <w:tcW w:w="1234" w:type="dxa"/>
            <w:vMerge w:val="restart"/>
            <w:tcBorders>
              <w:bottom w:val="nil"/>
            </w:tcBorders>
            <w:vAlign w:val="top"/>
          </w:tcPr>
          <w:p w14:paraId="0857F3B3">
            <w:pPr>
              <w:rPr>
                <w:rFonts w:ascii="Arial"/>
                <w:sz w:val="21"/>
              </w:rPr>
            </w:pPr>
          </w:p>
        </w:tc>
        <w:tc>
          <w:tcPr>
            <w:tcW w:w="3656" w:type="dxa"/>
            <w:vAlign w:val="top"/>
          </w:tcPr>
          <w:p w14:paraId="01E36602">
            <w:pPr>
              <w:pStyle w:val="6"/>
              <w:spacing w:before="55" w:line="207" w:lineRule="auto"/>
              <w:ind w:left="10"/>
              <w:jc w:val="both"/>
              <w:rPr>
                <w:sz w:val="24"/>
                <w:szCs w:val="24"/>
              </w:rPr>
            </w:pPr>
            <w:r>
              <w:rPr>
                <w:spacing w:val="-20"/>
                <w:sz w:val="24"/>
                <w:szCs w:val="24"/>
              </w:rPr>
              <w:t>中，应严格落实水保、环保措施，防</w:t>
            </w:r>
            <w:r>
              <w:rPr>
                <w:spacing w:val="4"/>
                <w:sz w:val="24"/>
                <w:szCs w:val="24"/>
              </w:rPr>
              <w:t xml:space="preserve">  </w:t>
            </w:r>
            <w:r>
              <w:rPr>
                <w:spacing w:val="-13"/>
                <w:sz w:val="24"/>
                <w:szCs w:val="24"/>
              </w:rPr>
              <w:t>治水土流失，提高原生植物移植率，</w:t>
            </w:r>
            <w:r>
              <w:rPr>
                <w:spacing w:val="2"/>
                <w:sz w:val="24"/>
                <w:szCs w:val="24"/>
              </w:rPr>
              <w:t xml:space="preserve"> </w:t>
            </w:r>
            <w:r>
              <w:rPr>
                <w:spacing w:val="-20"/>
                <w:sz w:val="24"/>
                <w:szCs w:val="24"/>
              </w:rPr>
              <w:t>确保水保、环保及植被恢复工程与主</w:t>
            </w:r>
            <w:r>
              <w:rPr>
                <w:spacing w:val="4"/>
                <w:sz w:val="24"/>
                <w:szCs w:val="24"/>
              </w:rPr>
              <w:t xml:space="preserve">  </w:t>
            </w:r>
            <w:r>
              <w:rPr>
                <w:spacing w:val="1"/>
                <w:sz w:val="24"/>
                <w:szCs w:val="24"/>
              </w:rPr>
              <w:t>体工程“三同时”。</w:t>
            </w:r>
          </w:p>
        </w:tc>
        <w:tc>
          <w:tcPr>
            <w:tcW w:w="3116" w:type="dxa"/>
            <w:vAlign w:val="top"/>
          </w:tcPr>
          <w:p w14:paraId="131E2063">
            <w:pPr>
              <w:pStyle w:val="6"/>
              <w:spacing w:before="52" w:line="214" w:lineRule="auto"/>
              <w:ind w:left="104" w:firstLine="9"/>
              <w:jc w:val="both"/>
              <w:rPr>
                <w:sz w:val="24"/>
                <w:szCs w:val="24"/>
              </w:rPr>
            </w:pPr>
            <w:r>
              <w:rPr>
                <w:spacing w:val="-29"/>
                <w:sz w:val="24"/>
                <w:szCs w:val="24"/>
              </w:rPr>
              <w:t>施，防治水土</w:t>
            </w:r>
            <w:r>
              <w:rPr>
                <w:spacing w:val="-28"/>
                <w:sz w:val="24"/>
                <w:szCs w:val="24"/>
              </w:rPr>
              <w:t>流失，提高原生</w:t>
            </w:r>
            <w:r>
              <w:rPr>
                <w:spacing w:val="-22"/>
                <w:sz w:val="24"/>
                <w:szCs w:val="24"/>
              </w:rPr>
              <w:t>植</w:t>
            </w:r>
            <w:r>
              <w:rPr>
                <w:spacing w:val="10"/>
                <w:sz w:val="24"/>
                <w:szCs w:val="24"/>
              </w:rPr>
              <w:t xml:space="preserve"> </w:t>
            </w:r>
            <w:r>
              <w:rPr>
                <w:spacing w:val="-24"/>
                <w:w w:val="98"/>
                <w:sz w:val="24"/>
                <w:szCs w:val="24"/>
              </w:rPr>
              <w:t>物</w:t>
            </w:r>
            <w:r>
              <w:rPr>
                <w:spacing w:val="-23"/>
                <w:w w:val="98"/>
                <w:sz w:val="24"/>
                <w:szCs w:val="24"/>
              </w:rPr>
              <w:t>移植率，确保水保、环保及</w:t>
            </w:r>
            <w:r>
              <w:rPr>
                <w:spacing w:val="-22"/>
                <w:w w:val="98"/>
                <w:sz w:val="24"/>
                <w:szCs w:val="24"/>
              </w:rPr>
              <w:t>植</w:t>
            </w:r>
            <w:r>
              <w:rPr>
                <w:spacing w:val="17"/>
                <w:sz w:val="24"/>
                <w:szCs w:val="24"/>
              </w:rPr>
              <w:t xml:space="preserve"> </w:t>
            </w:r>
            <w:r>
              <w:rPr>
                <w:spacing w:val="-10"/>
                <w:sz w:val="24"/>
                <w:szCs w:val="24"/>
              </w:rPr>
              <w:t>被恢复工程与主体工程“三同</w:t>
            </w:r>
            <w:r>
              <w:rPr>
                <w:spacing w:val="10"/>
                <w:sz w:val="24"/>
                <w:szCs w:val="24"/>
              </w:rPr>
              <w:t xml:space="preserve"> </w:t>
            </w:r>
            <w:r>
              <w:rPr>
                <w:spacing w:val="-1"/>
                <w:sz w:val="24"/>
                <w:szCs w:val="24"/>
              </w:rPr>
              <w:t>时”。</w:t>
            </w:r>
          </w:p>
        </w:tc>
        <w:tc>
          <w:tcPr>
            <w:tcW w:w="939" w:type="dxa"/>
            <w:vAlign w:val="top"/>
          </w:tcPr>
          <w:p w14:paraId="776688AC">
            <w:pPr>
              <w:rPr>
                <w:rFonts w:ascii="Arial"/>
                <w:sz w:val="21"/>
              </w:rPr>
            </w:pPr>
          </w:p>
        </w:tc>
      </w:tr>
      <w:tr w14:paraId="17566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234" w:type="dxa"/>
            <w:vMerge w:val="continue"/>
            <w:tcBorders>
              <w:top w:val="nil"/>
              <w:bottom w:val="nil"/>
            </w:tcBorders>
            <w:vAlign w:val="top"/>
          </w:tcPr>
          <w:p w14:paraId="0BA3FC99">
            <w:pPr>
              <w:rPr>
                <w:rFonts w:ascii="Arial"/>
                <w:sz w:val="21"/>
              </w:rPr>
            </w:pPr>
          </w:p>
        </w:tc>
        <w:tc>
          <w:tcPr>
            <w:tcW w:w="3656" w:type="dxa"/>
            <w:vAlign w:val="top"/>
          </w:tcPr>
          <w:p w14:paraId="7529112C">
            <w:pPr>
              <w:pStyle w:val="6"/>
              <w:spacing w:before="39" w:line="198" w:lineRule="auto"/>
              <w:ind w:left="10"/>
              <w:jc w:val="both"/>
              <w:rPr>
                <w:sz w:val="24"/>
                <w:szCs w:val="24"/>
              </w:rPr>
            </w:pPr>
            <w:r>
              <w:rPr>
                <w:spacing w:val="-13"/>
                <w:sz w:val="24"/>
                <w:szCs w:val="24"/>
              </w:rPr>
              <w:t>景观保护。风电场与建设场区外围的</w:t>
            </w:r>
            <w:r>
              <w:rPr>
                <w:spacing w:val="2"/>
                <w:sz w:val="24"/>
                <w:szCs w:val="24"/>
              </w:rPr>
              <w:t xml:space="preserve"> </w:t>
            </w:r>
            <w:r>
              <w:rPr>
                <w:spacing w:val="-14"/>
                <w:sz w:val="24"/>
                <w:szCs w:val="24"/>
              </w:rPr>
              <w:t>保护景观要留有足够的空间距离，风</w:t>
            </w:r>
            <w:r>
              <w:rPr>
                <w:spacing w:val="10"/>
                <w:sz w:val="24"/>
                <w:szCs w:val="24"/>
              </w:rPr>
              <w:t xml:space="preserve"> </w:t>
            </w:r>
            <w:r>
              <w:rPr>
                <w:spacing w:val="-14"/>
                <w:sz w:val="24"/>
                <w:szCs w:val="24"/>
              </w:rPr>
              <w:t>电机组布置应避让高速公路、高速铁</w:t>
            </w:r>
            <w:r>
              <w:rPr>
                <w:spacing w:val="9"/>
                <w:sz w:val="24"/>
                <w:szCs w:val="24"/>
              </w:rPr>
              <w:t xml:space="preserve"> </w:t>
            </w:r>
            <w:r>
              <w:rPr>
                <w:spacing w:val="12"/>
                <w:sz w:val="24"/>
                <w:szCs w:val="24"/>
              </w:rPr>
              <w:t>路的可视范围。</w:t>
            </w:r>
          </w:p>
        </w:tc>
        <w:tc>
          <w:tcPr>
            <w:tcW w:w="3116" w:type="dxa"/>
            <w:vAlign w:val="top"/>
          </w:tcPr>
          <w:p w14:paraId="0F914418">
            <w:pPr>
              <w:pStyle w:val="6"/>
              <w:spacing w:before="40" w:line="209" w:lineRule="auto"/>
              <w:ind w:left="103" w:hanging="9"/>
              <w:rPr>
                <w:sz w:val="24"/>
                <w:szCs w:val="24"/>
              </w:rPr>
            </w:pPr>
            <w:r>
              <w:rPr>
                <w:spacing w:val="-26"/>
                <w:sz w:val="24"/>
                <w:szCs w:val="24"/>
              </w:rPr>
              <w:t>本项目为光伏电站，不</w:t>
            </w:r>
            <w:r>
              <w:rPr>
                <w:spacing w:val="-25"/>
                <w:sz w:val="24"/>
                <w:szCs w:val="24"/>
              </w:rPr>
              <w:t>涉及风</w:t>
            </w:r>
            <w:r>
              <w:rPr>
                <w:spacing w:val="-15"/>
                <w:sz w:val="24"/>
                <w:szCs w:val="24"/>
              </w:rPr>
              <w:t>电</w:t>
            </w:r>
            <w:r>
              <w:rPr>
                <w:sz w:val="24"/>
                <w:szCs w:val="24"/>
              </w:rPr>
              <w:t xml:space="preserve"> </w:t>
            </w:r>
            <w:r>
              <w:rPr>
                <w:spacing w:val="-1"/>
                <w:sz w:val="24"/>
                <w:szCs w:val="24"/>
              </w:rPr>
              <w:t>机组。</w:t>
            </w:r>
          </w:p>
        </w:tc>
        <w:tc>
          <w:tcPr>
            <w:tcW w:w="939" w:type="dxa"/>
            <w:vAlign w:val="top"/>
          </w:tcPr>
          <w:p w14:paraId="772F6756">
            <w:pPr>
              <w:pStyle w:val="6"/>
              <w:spacing w:before="31" w:line="219" w:lineRule="auto"/>
              <w:ind w:left="108"/>
              <w:rPr>
                <w:sz w:val="24"/>
                <w:szCs w:val="24"/>
              </w:rPr>
            </w:pPr>
            <w:r>
              <w:rPr>
                <w:spacing w:val="5"/>
                <w:sz w:val="24"/>
                <w:szCs w:val="24"/>
              </w:rPr>
              <w:t>符合</w:t>
            </w:r>
          </w:p>
        </w:tc>
      </w:tr>
      <w:tr w14:paraId="700CC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66" w:hRule="atLeast"/>
        </w:trPr>
        <w:tc>
          <w:tcPr>
            <w:tcW w:w="1234" w:type="dxa"/>
            <w:vMerge w:val="continue"/>
            <w:tcBorders>
              <w:top w:val="nil"/>
            </w:tcBorders>
            <w:vAlign w:val="top"/>
          </w:tcPr>
          <w:p w14:paraId="343AD3AB">
            <w:pPr>
              <w:rPr>
                <w:rFonts w:ascii="Arial"/>
                <w:sz w:val="21"/>
              </w:rPr>
            </w:pPr>
          </w:p>
        </w:tc>
        <w:tc>
          <w:tcPr>
            <w:tcW w:w="7711" w:type="dxa"/>
            <w:gridSpan w:val="3"/>
            <w:vAlign w:val="top"/>
          </w:tcPr>
          <w:p w14:paraId="250BC7AF">
            <w:pPr>
              <w:pStyle w:val="6"/>
              <w:spacing w:before="56" w:line="363" w:lineRule="auto"/>
              <w:ind w:left="14" w:right="18"/>
              <w:rPr>
                <w:sz w:val="24"/>
                <w:szCs w:val="24"/>
              </w:rPr>
            </w:pPr>
            <w:r>
              <w:rPr>
                <w:b/>
                <w:bCs/>
                <w:spacing w:val="-3"/>
                <w:sz w:val="24"/>
                <w:szCs w:val="24"/>
              </w:rPr>
              <w:t>25、与《云南省在适宜地区适度开发利用新能源规划环境影响篇章》的符</w:t>
            </w:r>
            <w:r>
              <w:rPr>
                <w:spacing w:val="2"/>
                <w:sz w:val="24"/>
                <w:szCs w:val="24"/>
              </w:rPr>
              <w:t xml:space="preserve"> </w:t>
            </w:r>
            <w:r>
              <w:rPr>
                <w:b/>
                <w:bCs/>
                <w:spacing w:val="-5"/>
                <w:sz w:val="24"/>
                <w:szCs w:val="24"/>
              </w:rPr>
              <w:t>合性分析</w:t>
            </w:r>
          </w:p>
          <w:p w14:paraId="0DEE84EA">
            <w:pPr>
              <w:pStyle w:val="6"/>
              <w:spacing w:before="1" w:line="217" w:lineRule="auto"/>
              <w:ind w:left="121"/>
              <w:rPr>
                <w:sz w:val="24"/>
                <w:szCs w:val="24"/>
              </w:rPr>
            </w:pPr>
            <w:r>
              <w:rPr>
                <w:sz w:val="24"/>
                <w:szCs w:val="24"/>
              </w:rPr>
              <w:t>(1)重视项目对敏感环境保护目标的影响评价</w:t>
            </w:r>
          </w:p>
          <w:p w14:paraId="241ABDDB">
            <w:pPr>
              <w:pStyle w:val="6"/>
              <w:spacing w:before="191" w:line="358" w:lineRule="auto"/>
              <w:ind w:left="10" w:firstLine="463"/>
              <w:jc w:val="both"/>
              <w:rPr>
                <w:sz w:val="24"/>
                <w:szCs w:val="24"/>
              </w:rPr>
            </w:pPr>
            <w:r>
              <w:rPr>
                <w:spacing w:val="-3"/>
                <w:sz w:val="24"/>
                <w:szCs w:val="24"/>
              </w:rPr>
              <w:t>尽量避让生态保护红线、《云南省主体功能区规划》中确定的</w:t>
            </w:r>
            <w:r>
              <w:rPr>
                <w:spacing w:val="-4"/>
                <w:sz w:val="24"/>
                <w:szCs w:val="24"/>
              </w:rPr>
              <w:t>禁止开</w:t>
            </w:r>
            <w:r>
              <w:rPr>
                <w:sz w:val="24"/>
                <w:szCs w:val="24"/>
              </w:rPr>
              <w:t xml:space="preserve">  </w:t>
            </w:r>
            <w:r>
              <w:rPr>
                <w:spacing w:val="-3"/>
                <w:sz w:val="24"/>
                <w:szCs w:val="24"/>
              </w:rPr>
              <w:t>发区域(自然保护区、风景名胜区、世界遗产地、国家森林公园、国家地</w:t>
            </w:r>
            <w:r>
              <w:rPr>
                <w:spacing w:val="3"/>
                <w:sz w:val="24"/>
                <w:szCs w:val="24"/>
              </w:rPr>
              <w:t xml:space="preserve">  </w:t>
            </w:r>
            <w:r>
              <w:rPr>
                <w:spacing w:val="-3"/>
                <w:sz w:val="24"/>
                <w:szCs w:val="24"/>
              </w:rPr>
              <w:t>质公园、文物古迹、集中式饮用水源地等)及原</w:t>
            </w:r>
            <w:r>
              <w:rPr>
                <w:spacing w:val="-4"/>
                <w:sz w:val="24"/>
                <w:szCs w:val="24"/>
              </w:rPr>
              <w:t>始天然林、候鸟迁徙通道、</w:t>
            </w:r>
            <w:r>
              <w:rPr>
                <w:sz w:val="24"/>
                <w:szCs w:val="24"/>
              </w:rPr>
              <w:t xml:space="preserve"> </w:t>
            </w:r>
            <w:r>
              <w:rPr>
                <w:spacing w:val="-3"/>
                <w:sz w:val="24"/>
                <w:szCs w:val="24"/>
              </w:rPr>
              <w:t>保护鸟类重要生境等环境敏感区，尽量减少对敏感区域的扰动，避</w:t>
            </w:r>
            <w:r>
              <w:rPr>
                <w:spacing w:val="-4"/>
                <w:sz w:val="24"/>
                <w:szCs w:val="24"/>
              </w:rPr>
              <w:t>免造成</w:t>
            </w:r>
            <w:r>
              <w:rPr>
                <w:sz w:val="24"/>
                <w:szCs w:val="24"/>
              </w:rPr>
              <w:t xml:space="preserve">  </w:t>
            </w:r>
            <w:r>
              <w:rPr>
                <w:spacing w:val="-3"/>
                <w:sz w:val="24"/>
                <w:szCs w:val="24"/>
              </w:rPr>
              <w:t>重大影响。</w:t>
            </w:r>
          </w:p>
          <w:p w14:paraId="2ED30171">
            <w:pPr>
              <w:pStyle w:val="6"/>
              <w:spacing w:line="219" w:lineRule="auto"/>
              <w:ind w:left="490"/>
              <w:rPr>
                <w:sz w:val="24"/>
                <w:szCs w:val="24"/>
              </w:rPr>
            </w:pPr>
            <w:r>
              <w:rPr>
                <w:sz w:val="24"/>
                <w:szCs w:val="24"/>
              </w:rPr>
              <w:t>根据现场调查情况结合陆良县有关单位对项目区域制约性因素查询</w:t>
            </w:r>
          </w:p>
          <w:p w14:paraId="7A369363">
            <w:pPr>
              <w:pStyle w:val="6"/>
              <w:spacing w:before="173" w:line="362" w:lineRule="auto"/>
              <w:ind w:left="10"/>
              <w:rPr>
                <w:sz w:val="24"/>
                <w:szCs w:val="24"/>
              </w:rPr>
            </w:pPr>
            <w:r>
              <w:rPr>
                <w:sz w:val="24"/>
                <w:szCs w:val="24"/>
              </w:rPr>
              <w:t>结果，本项目不涉及生态保护红线及各类禁止开发区域及原始天然林、候</w:t>
            </w:r>
            <w:r>
              <w:rPr>
                <w:spacing w:val="9"/>
                <w:sz w:val="24"/>
                <w:szCs w:val="24"/>
              </w:rPr>
              <w:t xml:space="preserve"> </w:t>
            </w:r>
            <w:r>
              <w:rPr>
                <w:sz w:val="24"/>
                <w:szCs w:val="24"/>
              </w:rPr>
              <w:t>鸟迁徙通道、保护鸟类重要生境等环境敏感区，项目建设符合要</w:t>
            </w:r>
            <w:r>
              <w:rPr>
                <w:spacing w:val="-1"/>
                <w:sz w:val="24"/>
                <w:szCs w:val="24"/>
              </w:rPr>
              <w:t>求。</w:t>
            </w:r>
          </w:p>
          <w:p w14:paraId="71A3F70B">
            <w:pPr>
              <w:pStyle w:val="6"/>
              <w:spacing w:line="219" w:lineRule="auto"/>
              <w:ind w:left="131"/>
              <w:rPr>
                <w:sz w:val="24"/>
                <w:szCs w:val="24"/>
              </w:rPr>
            </w:pPr>
            <w:r>
              <w:rPr>
                <w:sz w:val="24"/>
                <w:szCs w:val="24"/>
              </w:rPr>
              <w:t>(2)重视项目区生态环境现状调查</w:t>
            </w:r>
          </w:p>
          <w:p w14:paraId="51DCABFE">
            <w:pPr>
              <w:pStyle w:val="6"/>
              <w:spacing w:before="174" w:line="358" w:lineRule="auto"/>
              <w:ind w:left="10" w:firstLine="469"/>
              <w:rPr>
                <w:sz w:val="24"/>
                <w:szCs w:val="24"/>
              </w:rPr>
            </w:pPr>
            <w:r>
              <w:rPr>
                <w:sz w:val="24"/>
                <w:szCs w:val="24"/>
              </w:rPr>
              <w:t>开展规划项目土地利用和植被植物影响的详细调查，邀请植物专家调</w:t>
            </w:r>
            <w:r>
              <w:rPr>
                <w:spacing w:val="18"/>
                <w:sz w:val="24"/>
                <w:szCs w:val="24"/>
              </w:rPr>
              <w:t xml:space="preserve"> </w:t>
            </w:r>
            <w:r>
              <w:rPr>
                <w:sz w:val="24"/>
                <w:szCs w:val="24"/>
              </w:rPr>
              <w:t>查建设区是否存在极小种群、重点保护野生植物以及特殊(珍稀)植物群</w:t>
            </w:r>
          </w:p>
          <w:p w14:paraId="3D63A432">
            <w:pPr>
              <w:pStyle w:val="6"/>
              <w:spacing w:line="219" w:lineRule="auto"/>
              <w:jc w:val="right"/>
              <w:rPr>
                <w:sz w:val="24"/>
                <w:szCs w:val="24"/>
              </w:rPr>
            </w:pPr>
            <w:r>
              <w:rPr>
                <w:spacing w:val="-7"/>
                <w:sz w:val="24"/>
                <w:szCs w:val="24"/>
              </w:rPr>
              <w:t>落等，并需特别关注环境敏感区域的调查，在项目环评中给予足够的重视。</w:t>
            </w:r>
          </w:p>
          <w:p w14:paraId="674A84B8">
            <w:pPr>
              <w:pStyle w:val="6"/>
              <w:spacing w:before="184" w:line="358" w:lineRule="auto"/>
              <w:ind w:left="10" w:right="28" w:firstLine="469"/>
              <w:rPr>
                <w:sz w:val="24"/>
                <w:szCs w:val="24"/>
              </w:rPr>
            </w:pPr>
            <w:r>
              <w:rPr>
                <w:sz w:val="24"/>
                <w:szCs w:val="24"/>
              </w:rPr>
              <w:t>在本次环评过程中，项目组专业技术人员对项</w:t>
            </w:r>
            <w:r>
              <w:rPr>
                <w:spacing w:val="-1"/>
                <w:sz w:val="24"/>
                <w:szCs w:val="24"/>
              </w:rPr>
              <w:t>目生态影响区生态环境</w:t>
            </w:r>
            <w:r>
              <w:rPr>
                <w:sz w:val="24"/>
                <w:szCs w:val="24"/>
              </w:rPr>
              <w:t xml:space="preserve"> 进行了详细的调查，项目评价区内未发现国家级和</w:t>
            </w:r>
            <w:r>
              <w:rPr>
                <w:spacing w:val="-1"/>
                <w:sz w:val="24"/>
                <w:szCs w:val="24"/>
              </w:rPr>
              <w:t>省级重点保护野生植</w:t>
            </w:r>
          </w:p>
          <w:p w14:paraId="2F6D9309">
            <w:pPr>
              <w:pStyle w:val="6"/>
              <w:spacing w:line="358" w:lineRule="auto"/>
              <w:ind w:left="10"/>
              <w:rPr>
                <w:sz w:val="24"/>
                <w:szCs w:val="24"/>
              </w:rPr>
            </w:pPr>
            <w:r>
              <w:rPr>
                <w:sz w:val="24"/>
                <w:szCs w:val="24"/>
              </w:rPr>
              <w:t>物，也未发现珍稀濒危植物、古树名木、地方狭隘物种分布；也不涉及鸟</w:t>
            </w:r>
            <w:r>
              <w:rPr>
                <w:spacing w:val="9"/>
                <w:sz w:val="24"/>
                <w:szCs w:val="24"/>
              </w:rPr>
              <w:t xml:space="preserve"> </w:t>
            </w:r>
            <w:r>
              <w:rPr>
                <w:sz w:val="24"/>
                <w:szCs w:val="24"/>
              </w:rPr>
              <w:t>类迁徙通道。故本项目符合《云南省在适宜地区适度开发利用新能源规划</w:t>
            </w:r>
            <w:r>
              <w:rPr>
                <w:spacing w:val="6"/>
                <w:sz w:val="24"/>
                <w:szCs w:val="24"/>
              </w:rPr>
              <w:t xml:space="preserve"> </w:t>
            </w:r>
            <w:r>
              <w:rPr>
                <w:spacing w:val="1"/>
                <w:sz w:val="24"/>
                <w:szCs w:val="24"/>
              </w:rPr>
              <w:t>环境影响篇章》中要求。</w:t>
            </w:r>
          </w:p>
          <w:p w14:paraId="7B6977FE">
            <w:pPr>
              <w:pStyle w:val="6"/>
              <w:spacing w:before="1" w:line="218" w:lineRule="auto"/>
              <w:ind w:left="14"/>
              <w:rPr>
                <w:sz w:val="24"/>
                <w:szCs w:val="24"/>
              </w:rPr>
            </w:pPr>
            <w:r>
              <w:rPr>
                <w:b/>
                <w:bCs/>
                <w:spacing w:val="-3"/>
                <w:sz w:val="24"/>
                <w:szCs w:val="24"/>
              </w:rPr>
              <w:t>26、与《云南省发展和改革委员会云南省能源局关于进一步规范开发行为</w:t>
            </w:r>
          </w:p>
          <w:p w14:paraId="34401DA9">
            <w:pPr>
              <w:pStyle w:val="6"/>
              <w:spacing w:before="195" w:line="219" w:lineRule="auto"/>
              <w:ind w:left="14"/>
              <w:rPr>
                <w:sz w:val="24"/>
                <w:szCs w:val="24"/>
              </w:rPr>
            </w:pPr>
            <w:r>
              <w:rPr>
                <w:b/>
                <w:bCs/>
                <w:spacing w:val="-3"/>
                <w:sz w:val="24"/>
                <w:szCs w:val="24"/>
              </w:rPr>
              <w:t>加快光伏发电发展的通知》(云发改能源〔2023〕264号)符合性分析</w:t>
            </w:r>
          </w:p>
          <w:p w14:paraId="16E8C712">
            <w:pPr>
              <w:pStyle w:val="6"/>
              <w:spacing w:before="177" w:line="219" w:lineRule="auto"/>
              <w:ind w:left="3094"/>
              <w:rPr>
                <w:sz w:val="24"/>
                <w:szCs w:val="24"/>
              </w:rPr>
            </w:pPr>
            <w:r>
              <w:rPr>
                <w:b/>
                <w:bCs/>
                <w:spacing w:val="-4"/>
                <w:sz w:val="24"/>
                <w:szCs w:val="24"/>
              </w:rPr>
              <w:t>表1-19符合性分析</w:t>
            </w:r>
          </w:p>
        </w:tc>
      </w:tr>
    </w:tbl>
    <w:p w14:paraId="6303C1C6">
      <w:pPr>
        <w:pStyle w:val="2"/>
      </w:pPr>
    </w:p>
    <w:p w14:paraId="28C12E22">
      <w:pPr>
        <w:sectPr>
          <w:footerReference r:id="rId52" w:type="default"/>
          <w:pgSz w:w="11910" w:h="16830"/>
          <w:pgMar w:top="400" w:right="1519" w:bottom="1243" w:left="1435" w:header="0" w:footer="1081" w:gutter="0"/>
          <w:cols w:space="720" w:num="1"/>
        </w:sectPr>
      </w:pPr>
    </w:p>
    <w:p w14:paraId="12829FEE">
      <w:pPr>
        <w:spacing w:before="18"/>
      </w:pPr>
    </w:p>
    <w:p w14:paraId="01C31D0D">
      <w:pPr>
        <w:spacing w:before="18"/>
      </w:pPr>
    </w:p>
    <w:p w14:paraId="1D84581D">
      <w:pPr>
        <w:spacing w:before="17"/>
      </w:pPr>
    </w:p>
    <w:p w14:paraId="7193195A">
      <w:pPr>
        <w:spacing w:before="17"/>
      </w:pPr>
    </w:p>
    <w:p w14:paraId="6E96B075">
      <w:pPr>
        <w:spacing w:before="17"/>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4375"/>
        <w:gridCol w:w="2397"/>
        <w:gridCol w:w="944"/>
      </w:tblGrid>
      <w:tr w14:paraId="3471D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254" w:type="dxa"/>
            <w:vMerge w:val="restart"/>
            <w:tcBorders>
              <w:bottom w:val="nil"/>
            </w:tcBorders>
            <w:vAlign w:val="top"/>
          </w:tcPr>
          <w:p w14:paraId="57A8FEF7">
            <w:pPr>
              <w:rPr>
                <w:rFonts w:ascii="Arial"/>
                <w:sz w:val="21"/>
              </w:rPr>
            </w:pPr>
          </w:p>
        </w:tc>
        <w:tc>
          <w:tcPr>
            <w:tcW w:w="4375" w:type="dxa"/>
            <w:vAlign w:val="top"/>
          </w:tcPr>
          <w:p w14:paraId="35C38ABC">
            <w:pPr>
              <w:pStyle w:val="6"/>
              <w:spacing w:before="43" w:line="219" w:lineRule="auto"/>
              <w:ind w:left="1761"/>
              <w:rPr>
                <w:sz w:val="21"/>
                <w:szCs w:val="21"/>
              </w:rPr>
            </w:pPr>
            <w:r>
              <w:rPr>
                <w:spacing w:val="-2"/>
                <w:sz w:val="21"/>
                <w:szCs w:val="21"/>
              </w:rPr>
              <w:t>相关内容</w:t>
            </w:r>
          </w:p>
        </w:tc>
        <w:tc>
          <w:tcPr>
            <w:tcW w:w="2397" w:type="dxa"/>
            <w:vAlign w:val="top"/>
          </w:tcPr>
          <w:p w14:paraId="387B8C53">
            <w:pPr>
              <w:pStyle w:val="6"/>
              <w:spacing w:before="52" w:line="219" w:lineRule="auto"/>
              <w:ind w:left="116"/>
              <w:rPr>
                <w:sz w:val="21"/>
                <w:szCs w:val="21"/>
              </w:rPr>
            </w:pPr>
            <w:r>
              <w:rPr>
                <w:spacing w:val="-2"/>
                <w:sz w:val="21"/>
                <w:szCs w:val="21"/>
              </w:rPr>
              <w:t>本项目情况</w:t>
            </w:r>
          </w:p>
        </w:tc>
        <w:tc>
          <w:tcPr>
            <w:tcW w:w="944" w:type="dxa"/>
            <w:vAlign w:val="top"/>
          </w:tcPr>
          <w:p w14:paraId="3CF29C56">
            <w:pPr>
              <w:pStyle w:val="6"/>
              <w:spacing w:before="43" w:line="229" w:lineRule="auto"/>
              <w:ind w:left="119" w:right="194"/>
              <w:rPr>
                <w:sz w:val="21"/>
                <w:szCs w:val="21"/>
              </w:rPr>
            </w:pPr>
            <w:r>
              <w:rPr>
                <w:spacing w:val="-4"/>
                <w:sz w:val="21"/>
                <w:szCs w:val="21"/>
              </w:rPr>
              <w:t>符合性</w:t>
            </w:r>
            <w:r>
              <w:rPr>
                <w:spacing w:val="1"/>
                <w:sz w:val="21"/>
                <w:szCs w:val="21"/>
              </w:rPr>
              <w:t xml:space="preserve"> </w:t>
            </w:r>
            <w:r>
              <w:rPr>
                <w:spacing w:val="-3"/>
                <w:sz w:val="21"/>
                <w:szCs w:val="21"/>
              </w:rPr>
              <w:t>分析</w:t>
            </w:r>
          </w:p>
        </w:tc>
      </w:tr>
      <w:tr w14:paraId="0EB7D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6" w:hRule="atLeast"/>
        </w:trPr>
        <w:tc>
          <w:tcPr>
            <w:tcW w:w="1254" w:type="dxa"/>
            <w:vMerge w:val="continue"/>
            <w:tcBorders>
              <w:top w:val="nil"/>
              <w:bottom w:val="nil"/>
            </w:tcBorders>
            <w:vAlign w:val="top"/>
          </w:tcPr>
          <w:p w14:paraId="4B92E70A">
            <w:pPr>
              <w:rPr>
                <w:rFonts w:ascii="Arial"/>
                <w:sz w:val="21"/>
              </w:rPr>
            </w:pPr>
          </w:p>
        </w:tc>
        <w:tc>
          <w:tcPr>
            <w:tcW w:w="4375" w:type="dxa"/>
            <w:vAlign w:val="top"/>
          </w:tcPr>
          <w:p w14:paraId="3FA84BEB">
            <w:pPr>
              <w:pStyle w:val="6"/>
              <w:spacing w:before="38" w:line="219" w:lineRule="auto"/>
              <w:jc w:val="right"/>
              <w:rPr>
                <w:sz w:val="21"/>
                <w:szCs w:val="21"/>
              </w:rPr>
            </w:pPr>
            <w:r>
              <w:rPr>
                <w:spacing w:val="-17"/>
                <w:sz w:val="21"/>
                <w:szCs w:val="21"/>
              </w:rPr>
              <w:t>建立光伏资源“一张图”、“一个库”。各州(市)</w:t>
            </w:r>
          </w:p>
          <w:p w14:paraId="7F341179">
            <w:pPr>
              <w:pStyle w:val="6"/>
              <w:spacing w:before="12" w:line="219" w:lineRule="auto"/>
              <w:ind w:left="80"/>
              <w:rPr>
                <w:sz w:val="21"/>
                <w:szCs w:val="21"/>
              </w:rPr>
            </w:pPr>
            <w:r>
              <w:rPr>
                <w:spacing w:val="-1"/>
                <w:sz w:val="21"/>
                <w:szCs w:val="21"/>
              </w:rPr>
              <w:t>根据新的“三区三线”和年度变更调查成果开</w:t>
            </w:r>
          </w:p>
          <w:p w14:paraId="498F0CEF">
            <w:pPr>
              <w:pStyle w:val="6"/>
              <w:spacing w:before="39" w:line="219" w:lineRule="auto"/>
              <w:jc w:val="right"/>
              <w:rPr>
                <w:sz w:val="21"/>
                <w:szCs w:val="21"/>
              </w:rPr>
            </w:pPr>
            <w:r>
              <w:rPr>
                <w:spacing w:val="4"/>
                <w:sz w:val="21"/>
                <w:szCs w:val="21"/>
              </w:rPr>
              <w:t>展光伏发电资源的全面排查，统筹资源条件、</w:t>
            </w:r>
          </w:p>
          <w:p w14:paraId="0F2060BD">
            <w:pPr>
              <w:pStyle w:val="6"/>
              <w:spacing w:before="20" w:line="219" w:lineRule="auto"/>
              <w:ind w:left="131"/>
              <w:rPr>
                <w:sz w:val="21"/>
                <w:szCs w:val="21"/>
              </w:rPr>
            </w:pPr>
            <w:r>
              <w:rPr>
                <w:spacing w:val="-1"/>
                <w:sz w:val="21"/>
                <w:szCs w:val="21"/>
              </w:rPr>
              <w:t>电力供需、生态环境保护、要素保障等因素，</w:t>
            </w:r>
          </w:p>
          <w:p w14:paraId="36DCD027">
            <w:pPr>
              <w:pStyle w:val="6"/>
              <w:spacing w:before="20" w:line="219" w:lineRule="auto"/>
              <w:ind w:left="180"/>
              <w:rPr>
                <w:sz w:val="21"/>
                <w:szCs w:val="21"/>
              </w:rPr>
            </w:pPr>
            <w:r>
              <w:rPr>
                <w:sz w:val="21"/>
                <w:szCs w:val="21"/>
              </w:rPr>
              <w:t>经州(市)要素保障部门审核并出具书面审核</w:t>
            </w:r>
          </w:p>
          <w:p w14:paraId="3E75E1A3">
            <w:pPr>
              <w:pStyle w:val="6"/>
              <w:spacing w:before="21" w:line="219" w:lineRule="auto"/>
              <w:ind w:left="180"/>
              <w:rPr>
                <w:sz w:val="21"/>
                <w:szCs w:val="21"/>
              </w:rPr>
            </w:pPr>
            <w:r>
              <w:rPr>
                <w:sz w:val="21"/>
                <w:szCs w:val="21"/>
              </w:rPr>
              <w:t>意见后，由州(市)人民政府报送省发展改革</w:t>
            </w:r>
          </w:p>
          <w:p w14:paraId="69BD8507">
            <w:pPr>
              <w:pStyle w:val="6"/>
              <w:spacing w:before="13" w:line="219" w:lineRule="auto"/>
              <w:ind w:left="80"/>
              <w:rPr>
                <w:sz w:val="21"/>
                <w:szCs w:val="21"/>
              </w:rPr>
            </w:pPr>
            <w:r>
              <w:rPr>
                <w:spacing w:val="-1"/>
                <w:sz w:val="21"/>
                <w:szCs w:val="21"/>
              </w:rPr>
              <w:t>委、省能源局，按照应统尽统的原则汇总形成</w:t>
            </w:r>
          </w:p>
          <w:p w14:paraId="320FCE0A">
            <w:pPr>
              <w:pStyle w:val="6"/>
              <w:spacing w:before="39" w:line="219" w:lineRule="auto"/>
              <w:jc w:val="right"/>
              <w:rPr>
                <w:sz w:val="21"/>
                <w:szCs w:val="21"/>
              </w:rPr>
            </w:pPr>
            <w:r>
              <w:rPr>
                <w:spacing w:val="-8"/>
                <w:sz w:val="21"/>
                <w:szCs w:val="21"/>
              </w:rPr>
              <w:t>全省光伏资源分布“一张图”。省发展改革委、</w:t>
            </w:r>
          </w:p>
          <w:p w14:paraId="37FECDB9">
            <w:pPr>
              <w:pStyle w:val="6"/>
              <w:spacing w:before="21" w:line="219" w:lineRule="auto"/>
              <w:jc w:val="right"/>
              <w:rPr>
                <w:sz w:val="21"/>
                <w:szCs w:val="21"/>
              </w:rPr>
            </w:pPr>
            <w:r>
              <w:rPr>
                <w:spacing w:val="4"/>
                <w:sz w:val="21"/>
                <w:szCs w:val="21"/>
              </w:rPr>
              <w:t>省能源局会同省自然资源厅、省生态环境厅、</w:t>
            </w:r>
          </w:p>
          <w:p w14:paraId="781CDB01">
            <w:pPr>
              <w:pStyle w:val="6"/>
              <w:spacing w:before="22" w:line="219" w:lineRule="auto"/>
              <w:ind w:left="80"/>
              <w:rPr>
                <w:sz w:val="21"/>
                <w:szCs w:val="21"/>
              </w:rPr>
            </w:pPr>
            <w:r>
              <w:rPr>
                <w:spacing w:val="-1"/>
                <w:sz w:val="21"/>
                <w:szCs w:val="21"/>
              </w:rPr>
              <w:t>省林草局等，从要素保障、落实并网条件等方</w:t>
            </w:r>
          </w:p>
          <w:p w14:paraId="439F6897">
            <w:pPr>
              <w:pStyle w:val="6"/>
              <w:spacing w:before="20" w:line="219" w:lineRule="auto"/>
              <w:ind w:left="80"/>
              <w:rPr>
                <w:sz w:val="21"/>
                <w:szCs w:val="21"/>
              </w:rPr>
            </w:pPr>
            <w:r>
              <w:rPr>
                <w:sz w:val="21"/>
                <w:szCs w:val="21"/>
              </w:rPr>
              <w:t>面对光伏资源分布“一张图”进行会审，按照</w:t>
            </w:r>
          </w:p>
          <w:p w14:paraId="6A110A4A">
            <w:pPr>
              <w:pStyle w:val="6"/>
              <w:spacing w:before="12" w:line="219" w:lineRule="auto"/>
              <w:jc w:val="right"/>
              <w:rPr>
                <w:sz w:val="21"/>
                <w:szCs w:val="21"/>
              </w:rPr>
            </w:pPr>
            <w:r>
              <w:rPr>
                <w:spacing w:val="-4"/>
                <w:sz w:val="21"/>
                <w:szCs w:val="21"/>
              </w:rPr>
              <w:t>“集中连片、整体推进、经济可行”的原则提出</w:t>
            </w:r>
          </w:p>
          <w:p w14:paraId="7D59259D">
            <w:pPr>
              <w:pStyle w:val="6"/>
              <w:spacing w:before="41" w:line="219" w:lineRule="auto"/>
              <w:ind w:left="80"/>
              <w:rPr>
                <w:sz w:val="21"/>
                <w:szCs w:val="21"/>
              </w:rPr>
            </w:pPr>
            <w:r>
              <w:rPr>
                <w:sz w:val="21"/>
                <w:szCs w:val="21"/>
              </w:rPr>
              <w:t>项目，纳入省级项目库统一管理。电网企业对</w:t>
            </w:r>
          </w:p>
          <w:p w14:paraId="35ECE975">
            <w:pPr>
              <w:pStyle w:val="6"/>
              <w:spacing w:before="19" w:line="219" w:lineRule="auto"/>
              <w:rPr>
                <w:sz w:val="21"/>
                <w:szCs w:val="21"/>
              </w:rPr>
            </w:pPr>
            <w:r>
              <w:rPr>
                <w:spacing w:val="1"/>
                <w:sz w:val="21"/>
                <w:szCs w:val="21"/>
              </w:rPr>
              <w:t>“十四五”拟建、在建项目于1个月内完成入库</w:t>
            </w:r>
          </w:p>
          <w:p w14:paraId="50D65231">
            <w:pPr>
              <w:pStyle w:val="6"/>
              <w:spacing w:before="23" w:line="219" w:lineRule="auto"/>
              <w:ind w:left="80"/>
              <w:rPr>
                <w:sz w:val="21"/>
                <w:szCs w:val="21"/>
              </w:rPr>
            </w:pPr>
            <w:r>
              <w:rPr>
                <w:sz w:val="21"/>
                <w:szCs w:val="21"/>
              </w:rPr>
              <w:t>项目接入系统方案规划。省级项目库实行动态</w:t>
            </w:r>
          </w:p>
          <w:p w14:paraId="6FC50C43">
            <w:pPr>
              <w:pStyle w:val="6"/>
              <w:spacing w:before="19" w:line="219" w:lineRule="auto"/>
              <w:ind w:left="80"/>
              <w:rPr>
                <w:sz w:val="21"/>
                <w:szCs w:val="21"/>
              </w:rPr>
            </w:pPr>
            <w:r>
              <w:rPr>
                <w:spacing w:val="1"/>
                <w:sz w:val="21"/>
                <w:szCs w:val="21"/>
              </w:rPr>
              <w:t>管理，省发展改革委、省能源局每半年组织州</w:t>
            </w:r>
          </w:p>
          <w:p w14:paraId="358C28B3">
            <w:pPr>
              <w:pStyle w:val="6"/>
              <w:spacing w:before="10" w:line="231" w:lineRule="auto"/>
              <w:ind w:left="80" w:right="93" w:firstLine="99"/>
              <w:jc w:val="both"/>
              <w:rPr>
                <w:sz w:val="21"/>
                <w:szCs w:val="21"/>
              </w:rPr>
            </w:pPr>
            <w:r>
              <w:rPr>
                <w:sz w:val="21"/>
                <w:szCs w:val="21"/>
              </w:rPr>
              <w:t>(市)调整一次，电网企业同步完成接入系统</w:t>
            </w:r>
            <w:r>
              <w:rPr>
                <w:spacing w:val="4"/>
                <w:sz w:val="21"/>
                <w:szCs w:val="21"/>
              </w:rPr>
              <w:t xml:space="preserve">  </w:t>
            </w:r>
            <w:r>
              <w:rPr>
                <w:spacing w:val="-1"/>
                <w:sz w:val="21"/>
                <w:szCs w:val="21"/>
              </w:rPr>
              <w:t>规划调整。不在省级项目库的项目不得纳入年</w:t>
            </w:r>
            <w:r>
              <w:rPr>
                <w:spacing w:val="9"/>
                <w:sz w:val="21"/>
                <w:szCs w:val="21"/>
              </w:rPr>
              <w:t xml:space="preserve"> </w:t>
            </w:r>
            <w:r>
              <w:rPr>
                <w:spacing w:val="4"/>
                <w:sz w:val="21"/>
                <w:szCs w:val="21"/>
              </w:rPr>
              <w:t>度建设规模。</w:t>
            </w:r>
          </w:p>
        </w:tc>
        <w:tc>
          <w:tcPr>
            <w:tcW w:w="2397" w:type="dxa"/>
            <w:vMerge w:val="restart"/>
            <w:tcBorders>
              <w:bottom w:val="nil"/>
            </w:tcBorders>
            <w:vAlign w:val="top"/>
          </w:tcPr>
          <w:p w14:paraId="03D7FBA7">
            <w:pPr>
              <w:pStyle w:val="6"/>
              <w:spacing w:before="28" w:line="242" w:lineRule="auto"/>
              <w:ind w:left="116" w:right="112" w:firstLine="29"/>
              <w:rPr>
                <w:sz w:val="21"/>
                <w:szCs w:val="21"/>
              </w:rPr>
            </w:pPr>
            <w:r>
              <w:rPr>
                <w:spacing w:val="2"/>
                <w:sz w:val="21"/>
                <w:szCs w:val="21"/>
              </w:rPr>
              <w:t>云南省发展和改革委员</w:t>
            </w:r>
            <w:r>
              <w:rPr>
                <w:spacing w:val="7"/>
                <w:sz w:val="21"/>
                <w:szCs w:val="21"/>
              </w:rPr>
              <w:t xml:space="preserve"> </w:t>
            </w:r>
            <w:r>
              <w:rPr>
                <w:spacing w:val="2"/>
                <w:sz w:val="21"/>
                <w:szCs w:val="21"/>
              </w:rPr>
              <w:t>会及云南省能源局联合</w:t>
            </w:r>
            <w:r>
              <w:rPr>
                <w:spacing w:val="1"/>
                <w:sz w:val="21"/>
                <w:szCs w:val="21"/>
              </w:rPr>
              <w:t xml:space="preserve"> </w:t>
            </w:r>
            <w:r>
              <w:rPr>
                <w:spacing w:val="3"/>
                <w:sz w:val="21"/>
                <w:szCs w:val="21"/>
              </w:rPr>
              <w:t>发布《云南省发展和改</w:t>
            </w:r>
            <w:r>
              <w:rPr>
                <w:spacing w:val="8"/>
                <w:sz w:val="21"/>
                <w:szCs w:val="21"/>
              </w:rPr>
              <w:t xml:space="preserve"> </w:t>
            </w:r>
            <w:r>
              <w:rPr>
                <w:spacing w:val="-1"/>
                <w:sz w:val="21"/>
                <w:szCs w:val="21"/>
              </w:rPr>
              <w:t>革委员会云南省能源</w:t>
            </w:r>
          </w:p>
          <w:p w14:paraId="13CEB013">
            <w:pPr>
              <w:pStyle w:val="6"/>
              <w:spacing w:before="8" w:line="238" w:lineRule="auto"/>
              <w:ind w:left="116" w:right="127" w:firstLine="29"/>
              <w:rPr>
                <w:sz w:val="21"/>
                <w:szCs w:val="21"/>
              </w:rPr>
            </w:pPr>
            <w:r>
              <w:rPr>
                <w:spacing w:val="1"/>
                <w:sz w:val="21"/>
                <w:szCs w:val="21"/>
              </w:rPr>
              <w:t>局关于印发云南省2023</w:t>
            </w:r>
            <w:r>
              <w:rPr>
                <w:sz w:val="21"/>
                <w:szCs w:val="21"/>
              </w:rPr>
              <w:t xml:space="preserve"> </w:t>
            </w:r>
            <w:r>
              <w:rPr>
                <w:spacing w:val="2"/>
                <w:sz w:val="21"/>
                <w:szCs w:val="21"/>
              </w:rPr>
              <w:t>年第一批新能源建设方</w:t>
            </w:r>
            <w:r>
              <w:rPr>
                <w:sz w:val="21"/>
                <w:szCs w:val="21"/>
              </w:rPr>
              <w:t xml:space="preserve"> </w:t>
            </w:r>
            <w:r>
              <w:rPr>
                <w:spacing w:val="7"/>
                <w:sz w:val="21"/>
                <w:szCs w:val="21"/>
              </w:rPr>
              <w:t>案的通知》(云能源水</w:t>
            </w:r>
            <w:r>
              <w:rPr>
                <w:sz w:val="21"/>
                <w:szCs w:val="21"/>
              </w:rPr>
              <w:t xml:space="preserve"> </w:t>
            </w:r>
            <w:r>
              <w:rPr>
                <w:spacing w:val="6"/>
                <w:sz w:val="21"/>
                <w:szCs w:val="21"/>
              </w:rPr>
              <w:t>电【2023】170号),本</w:t>
            </w:r>
            <w:r>
              <w:rPr>
                <w:sz w:val="21"/>
                <w:szCs w:val="21"/>
              </w:rPr>
              <w:t xml:space="preserve"> </w:t>
            </w:r>
            <w:r>
              <w:rPr>
                <w:spacing w:val="3"/>
                <w:sz w:val="21"/>
                <w:szCs w:val="21"/>
              </w:rPr>
              <w:t>项目为云南省2023年第</w:t>
            </w:r>
            <w:r>
              <w:rPr>
                <w:spacing w:val="6"/>
                <w:sz w:val="21"/>
                <w:szCs w:val="21"/>
              </w:rPr>
              <w:t xml:space="preserve"> </w:t>
            </w:r>
            <w:r>
              <w:rPr>
                <w:spacing w:val="4"/>
                <w:sz w:val="21"/>
                <w:szCs w:val="21"/>
              </w:rPr>
              <w:t>一批新能源项目建设清</w:t>
            </w:r>
            <w:r>
              <w:rPr>
                <w:sz w:val="21"/>
                <w:szCs w:val="21"/>
              </w:rPr>
              <w:t xml:space="preserve"> </w:t>
            </w:r>
            <w:r>
              <w:rPr>
                <w:spacing w:val="21"/>
                <w:sz w:val="21"/>
                <w:szCs w:val="21"/>
              </w:rPr>
              <w:t>单中“(一)曲靖市”</w:t>
            </w:r>
            <w:r>
              <w:rPr>
                <w:spacing w:val="5"/>
                <w:sz w:val="21"/>
                <w:szCs w:val="21"/>
              </w:rPr>
              <w:t xml:space="preserve"> </w:t>
            </w:r>
            <w:r>
              <w:rPr>
                <w:spacing w:val="3"/>
                <w:sz w:val="21"/>
                <w:szCs w:val="21"/>
              </w:rPr>
              <w:t>中第36个“栗树园村光</w:t>
            </w:r>
            <w:r>
              <w:rPr>
                <w:spacing w:val="5"/>
                <w:sz w:val="21"/>
                <w:szCs w:val="21"/>
              </w:rPr>
              <w:t xml:space="preserve"> </w:t>
            </w:r>
            <w:r>
              <w:rPr>
                <w:spacing w:val="34"/>
                <w:sz w:val="21"/>
                <w:szCs w:val="21"/>
              </w:rPr>
              <w:t>伏发电项目”</w:t>
            </w:r>
          </w:p>
        </w:tc>
        <w:tc>
          <w:tcPr>
            <w:tcW w:w="944" w:type="dxa"/>
            <w:vAlign w:val="top"/>
          </w:tcPr>
          <w:p w14:paraId="50BF8003">
            <w:pPr>
              <w:pStyle w:val="6"/>
              <w:spacing w:before="9" w:line="219" w:lineRule="auto"/>
              <w:ind w:left="119"/>
              <w:rPr>
                <w:sz w:val="21"/>
                <w:szCs w:val="21"/>
              </w:rPr>
            </w:pPr>
            <w:r>
              <w:rPr>
                <w:spacing w:val="-3"/>
                <w:sz w:val="21"/>
                <w:szCs w:val="21"/>
              </w:rPr>
              <w:t>符合</w:t>
            </w:r>
          </w:p>
        </w:tc>
      </w:tr>
      <w:tr w14:paraId="183B5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7" w:hRule="atLeast"/>
        </w:trPr>
        <w:tc>
          <w:tcPr>
            <w:tcW w:w="1254" w:type="dxa"/>
            <w:vMerge w:val="continue"/>
            <w:tcBorders>
              <w:top w:val="nil"/>
              <w:bottom w:val="nil"/>
            </w:tcBorders>
            <w:vAlign w:val="top"/>
          </w:tcPr>
          <w:p w14:paraId="0296B94B">
            <w:pPr>
              <w:rPr>
                <w:rFonts w:ascii="Arial"/>
                <w:sz w:val="21"/>
              </w:rPr>
            </w:pPr>
          </w:p>
        </w:tc>
        <w:tc>
          <w:tcPr>
            <w:tcW w:w="4375" w:type="dxa"/>
            <w:vAlign w:val="top"/>
          </w:tcPr>
          <w:p w14:paraId="57CD8FC1">
            <w:pPr>
              <w:pStyle w:val="6"/>
              <w:spacing w:before="32" w:line="238" w:lineRule="auto"/>
              <w:ind w:left="130" w:right="93" w:hanging="50"/>
              <w:rPr>
                <w:sz w:val="21"/>
                <w:szCs w:val="21"/>
              </w:rPr>
            </w:pPr>
            <w:r>
              <w:rPr>
                <w:spacing w:val="-1"/>
                <w:sz w:val="21"/>
                <w:szCs w:val="21"/>
              </w:rPr>
              <w:t>制定年度建设方案。省能源局会同各州、市根</w:t>
            </w:r>
            <w:r>
              <w:rPr>
                <w:spacing w:val="9"/>
                <w:sz w:val="21"/>
                <w:szCs w:val="21"/>
              </w:rPr>
              <w:t xml:space="preserve"> </w:t>
            </w:r>
            <w:r>
              <w:rPr>
                <w:spacing w:val="-4"/>
                <w:sz w:val="21"/>
                <w:szCs w:val="21"/>
              </w:rPr>
              <w:t>据项目成熟度和接网条件，按照2023—</w:t>
            </w:r>
            <w:r>
              <w:rPr>
                <w:spacing w:val="-5"/>
                <w:sz w:val="21"/>
                <w:szCs w:val="21"/>
              </w:rPr>
              <w:t>2025</w:t>
            </w:r>
          </w:p>
          <w:p w14:paraId="59F91174">
            <w:pPr>
              <w:pStyle w:val="6"/>
              <w:spacing w:before="7" w:line="234" w:lineRule="auto"/>
              <w:ind w:left="80" w:right="72" w:firstLine="99"/>
              <w:rPr>
                <w:sz w:val="21"/>
                <w:szCs w:val="21"/>
              </w:rPr>
            </w:pPr>
            <w:r>
              <w:rPr>
                <w:sz w:val="21"/>
                <w:szCs w:val="21"/>
              </w:rPr>
              <w:t>年每年建设规模不小于1500万千瓦，对省级</w:t>
            </w:r>
            <w:r>
              <w:rPr>
                <w:spacing w:val="5"/>
                <w:sz w:val="21"/>
                <w:szCs w:val="21"/>
              </w:rPr>
              <w:t xml:space="preserve">  </w:t>
            </w:r>
            <w:r>
              <w:rPr>
                <w:sz w:val="21"/>
                <w:szCs w:val="21"/>
              </w:rPr>
              <w:t>项目库的项目进行建设时序排序，提出光伏年</w:t>
            </w:r>
            <w:r>
              <w:rPr>
                <w:spacing w:val="7"/>
                <w:sz w:val="21"/>
                <w:szCs w:val="21"/>
              </w:rPr>
              <w:t xml:space="preserve"> </w:t>
            </w:r>
            <w:r>
              <w:rPr>
                <w:spacing w:val="-1"/>
                <w:sz w:val="21"/>
                <w:szCs w:val="21"/>
              </w:rPr>
              <w:t>度建设方案，充分征求云南电网公司意见，经</w:t>
            </w:r>
            <w:r>
              <w:rPr>
                <w:spacing w:val="11"/>
                <w:sz w:val="21"/>
                <w:szCs w:val="21"/>
              </w:rPr>
              <w:t xml:space="preserve"> </w:t>
            </w:r>
            <w:r>
              <w:rPr>
                <w:sz w:val="21"/>
                <w:szCs w:val="21"/>
              </w:rPr>
              <w:t>省发展改革委会同有关部门审核后，由省发展</w:t>
            </w:r>
            <w:r>
              <w:rPr>
                <w:spacing w:val="10"/>
                <w:sz w:val="21"/>
                <w:szCs w:val="21"/>
              </w:rPr>
              <w:t xml:space="preserve"> </w:t>
            </w:r>
            <w:r>
              <w:rPr>
                <w:sz w:val="21"/>
                <w:szCs w:val="21"/>
              </w:rPr>
              <w:t>改革委、省能源局于每年年底前印发下一年年</w:t>
            </w:r>
            <w:r>
              <w:rPr>
                <w:spacing w:val="8"/>
                <w:sz w:val="21"/>
                <w:szCs w:val="21"/>
              </w:rPr>
              <w:t xml:space="preserve"> </w:t>
            </w:r>
            <w:r>
              <w:rPr>
                <w:spacing w:val="-1"/>
                <w:sz w:val="21"/>
                <w:szCs w:val="21"/>
              </w:rPr>
              <w:t>度建设方案，未纳入年度方案的项目当年不得</w:t>
            </w:r>
            <w:r>
              <w:rPr>
                <w:spacing w:val="11"/>
                <w:sz w:val="21"/>
                <w:szCs w:val="21"/>
              </w:rPr>
              <w:t xml:space="preserve"> </w:t>
            </w:r>
            <w:r>
              <w:rPr>
                <w:spacing w:val="-1"/>
                <w:sz w:val="21"/>
                <w:szCs w:val="21"/>
              </w:rPr>
              <w:t>开发建设。分布式光伏项目不实行年度建设规</w:t>
            </w:r>
            <w:r>
              <w:rPr>
                <w:spacing w:val="9"/>
                <w:sz w:val="21"/>
                <w:szCs w:val="21"/>
              </w:rPr>
              <w:t xml:space="preserve"> </w:t>
            </w:r>
            <w:r>
              <w:rPr>
                <w:spacing w:val="4"/>
                <w:sz w:val="21"/>
                <w:szCs w:val="21"/>
              </w:rPr>
              <w:t>模管理，由县(市、区)人民政府根据实际情</w:t>
            </w:r>
            <w:r>
              <w:rPr>
                <w:spacing w:val="5"/>
                <w:sz w:val="21"/>
                <w:szCs w:val="21"/>
              </w:rPr>
              <w:t xml:space="preserve">  </w:t>
            </w:r>
            <w:r>
              <w:rPr>
                <w:spacing w:val="3"/>
                <w:sz w:val="21"/>
                <w:szCs w:val="21"/>
              </w:rPr>
              <w:t>况加快推进建设。</w:t>
            </w:r>
          </w:p>
        </w:tc>
        <w:tc>
          <w:tcPr>
            <w:tcW w:w="2397" w:type="dxa"/>
            <w:vMerge w:val="continue"/>
            <w:tcBorders>
              <w:top w:val="nil"/>
            </w:tcBorders>
            <w:vAlign w:val="top"/>
          </w:tcPr>
          <w:p w14:paraId="702A41BB">
            <w:pPr>
              <w:rPr>
                <w:rFonts w:ascii="Arial"/>
                <w:sz w:val="21"/>
              </w:rPr>
            </w:pPr>
          </w:p>
        </w:tc>
        <w:tc>
          <w:tcPr>
            <w:tcW w:w="944" w:type="dxa"/>
            <w:vAlign w:val="top"/>
          </w:tcPr>
          <w:p w14:paraId="5F753489">
            <w:pPr>
              <w:pStyle w:val="6"/>
              <w:spacing w:before="13" w:line="219" w:lineRule="auto"/>
              <w:ind w:left="119"/>
              <w:rPr>
                <w:sz w:val="21"/>
                <w:szCs w:val="21"/>
              </w:rPr>
            </w:pPr>
            <w:r>
              <w:rPr>
                <w:spacing w:val="-3"/>
                <w:sz w:val="21"/>
                <w:szCs w:val="21"/>
              </w:rPr>
              <w:t>符合</w:t>
            </w:r>
          </w:p>
        </w:tc>
      </w:tr>
      <w:tr w14:paraId="55F9C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2" w:hRule="atLeast"/>
        </w:trPr>
        <w:tc>
          <w:tcPr>
            <w:tcW w:w="1254" w:type="dxa"/>
            <w:vMerge w:val="continue"/>
            <w:tcBorders>
              <w:top w:val="nil"/>
            </w:tcBorders>
            <w:vAlign w:val="top"/>
          </w:tcPr>
          <w:p w14:paraId="63EDE9CA">
            <w:pPr>
              <w:rPr>
                <w:rFonts w:ascii="Arial"/>
                <w:sz w:val="21"/>
              </w:rPr>
            </w:pPr>
          </w:p>
        </w:tc>
        <w:tc>
          <w:tcPr>
            <w:tcW w:w="4375" w:type="dxa"/>
            <w:vAlign w:val="top"/>
          </w:tcPr>
          <w:p w14:paraId="04DF6C42">
            <w:pPr>
              <w:pStyle w:val="6"/>
              <w:spacing w:before="26" w:line="219" w:lineRule="auto"/>
              <w:ind w:left="80"/>
              <w:rPr>
                <w:sz w:val="21"/>
                <w:szCs w:val="21"/>
              </w:rPr>
            </w:pPr>
            <w:r>
              <w:rPr>
                <w:sz w:val="21"/>
                <w:szCs w:val="21"/>
              </w:rPr>
              <w:t>规范资源配置程序。省发展改革委、省能源局</w:t>
            </w:r>
          </w:p>
          <w:p w14:paraId="1E5F8233">
            <w:pPr>
              <w:pStyle w:val="6"/>
              <w:spacing w:before="19" w:line="219" w:lineRule="auto"/>
              <w:ind w:left="180"/>
              <w:rPr>
                <w:sz w:val="21"/>
                <w:szCs w:val="21"/>
              </w:rPr>
            </w:pPr>
            <w:r>
              <w:rPr>
                <w:sz w:val="21"/>
                <w:szCs w:val="21"/>
              </w:rPr>
              <w:t>统筹配置全省光伏资源，州(市)按照集中连</w:t>
            </w:r>
          </w:p>
          <w:p w14:paraId="24497114">
            <w:pPr>
              <w:pStyle w:val="6"/>
              <w:spacing w:before="22" w:line="219" w:lineRule="auto"/>
              <w:ind w:left="80"/>
              <w:rPr>
                <w:sz w:val="21"/>
                <w:szCs w:val="21"/>
              </w:rPr>
            </w:pPr>
            <w:r>
              <w:rPr>
                <w:sz w:val="21"/>
                <w:szCs w:val="21"/>
              </w:rPr>
              <w:t>片开发、优先以资源带动发展、坚持市场化配</w:t>
            </w:r>
          </w:p>
          <w:p w14:paraId="2D5DCB72">
            <w:pPr>
              <w:pStyle w:val="6"/>
              <w:spacing w:before="40" w:line="219" w:lineRule="auto"/>
              <w:ind w:left="80"/>
              <w:rPr>
                <w:sz w:val="21"/>
                <w:szCs w:val="21"/>
              </w:rPr>
            </w:pPr>
            <w:r>
              <w:rPr>
                <w:spacing w:val="-1"/>
                <w:sz w:val="21"/>
                <w:szCs w:val="21"/>
              </w:rPr>
              <w:t>置资源的原则负责具体组织实施。年度建设方</w:t>
            </w:r>
          </w:p>
          <w:p w14:paraId="414699DC">
            <w:pPr>
              <w:pStyle w:val="6"/>
              <w:spacing w:before="29" w:line="219" w:lineRule="auto"/>
              <w:ind w:left="230"/>
              <w:rPr>
                <w:sz w:val="21"/>
                <w:szCs w:val="21"/>
              </w:rPr>
            </w:pPr>
            <w:r>
              <w:rPr>
                <w:spacing w:val="2"/>
                <w:sz w:val="21"/>
                <w:szCs w:val="21"/>
              </w:rPr>
              <w:t>案印发后2个月内，州(市)人民政府结合自</w:t>
            </w:r>
          </w:p>
          <w:p w14:paraId="38AA9E6D">
            <w:pPr>
              <w:pStyle w:val="6"/>
              <w:spacing w:before="13" w:line="219" w:lineRule="auto"/>
              <w:ind w:left="80"/>
              <w:rPr>
                <w:sz w:val="21"/>
                <w:szCs w:val="21"/>
              </w:rPr>
            </w:pPr>
            <w:r>
              <w:rPr>
                <w:sz w:val="21"/>
                <w:szCs w:val="21"/>
              </w:rPr>
              <w:t>身资源禀赋、招商引资需要，组织编制开发方</w:t>
            </w:r>
          </w:p>
          <w:p w14:paraId="5C8329A0">
            <w:pPr>
              <w:pStyle w:val="6"/>
              <w:spacing w:before="19" w:line="219" w:lineRule="auto"/>
              <w:ind w:left="131"/>
              <w:rPr>
                <w:sz w:val="21"/>
                <w:szCs w:val="21"/>
              </w:rPr>
            </w:pPr>
            <w:r>
              <w:rPr>
                <w:sz w:val="21"/>
                <w:szCs w:val="21"/>
              </w:rPr>
              <w:t>案(包含组织形式、企业基本条件和优选评审</w:t>
            </w:r>
          </w:p>
          <w:p w14:paraId="63A07ACA">
            <w:pPr>
              <w:pStyle w:val="6"/>
              <w:spacing w:before="20" w:line="216" w:lineRule="auto"/>
              <w:ind w:left="180"/>
              <w:rPr>
                <w:sz w:val="21"/>
                <w:szCs w:val="21"/>
              </w:rPr>
            </w:pPr>
            <w:r>
              <w:rPr>
                <w:spacing w:val="-1"/>
                <w:sz w:val="21"/>
                <w:szCs w:val="21"/>
              </w:rPr>
              <w:t>参数等),坚决防止挑肥拣瘦、小而散、遍地</w:t>
            </w:r>
          </w:p>
          <w:p w14:paraId="4C5B11F8">
            <w:pPr>
              <w:pStyle w:val="6"/>
              <w:spacing w:before="47" w:line="219" w:lineRule="auto"/>
              <w:ind w:left="80"/>
              <w:rPr>
                <w:sz w:val="21"/>
                <w:szCs w:val="21"/>
              </w:rPr>
            </w:pPr>
            <w:r>
              <w:rPr>
                <w:sz w:val="21"/>
                <w:szCs w:val="21"/>
              </w:rPr>
              <w:t>开花式开发。开发方案报经省发展改革委、省</w:t>
            </w:r>
          </w:p>
          <w:p w14:paraId="571F6D6F">
            <w:pPr>
              <w:pStyle w:val="6"/>
              <w:spacing w:before="21" w:line="219" w:lineRule="auto"/>
              <w:ind w:left="180"/>
              <w:rPr>
                <w:sz w:val="21"/>
                <w:szCs w:val="21"/>
              </w:rPr>
            </w:pPr>
            <w:r>
              <w:rPr>
                <w:sz w:val="21"/>
                <w:szCs w:val="21"/>
              </w:rPr>
              <w:t>能源局审核同意后按程序开展项目业主确定</w:t>
            </w:r>
          </w:p>
          <w:p w14:paraId="60F88004">
            <w:pPr>
              <w:pStyle w:val="6"/>
              <w:spacing w:before="19" w:line="219" w:lineRule="auto"/>
              <w:ind w:left="80"/>
              <w:rPr>
                <w:sz w:val="21"/>
                <w:szCs w:val="21"/>
              </w:rPr>
            </w:pPr>
            <w:r>
              <w:rPr>
                <w:spacing w:val="2"/>
                <w:sz w:val="21"/>
                <w:szCs w:val="21"/>
              </w:rPr>
              <w:t>工作。项目业主确定后10个工作日内，州(市)</w:t>
            </w:r>
          </w:p>
          <w:p w14:paraId="52A4E65E">
            <w:pPr>
              <w:pStyle w:val="6"/>
              <w:spacing w:before="23" w:line="219" w:lineRule="auto"/>
              <w:ind w:left="80"/>
              <w:rPr>
                <w:sz w:val="21"/>
                <w:szCs w:val="21"/>
              </w:rPr>
            </w:pPr>
            <w:r>
              <w:rPr>
                <w:sz w:val="21"/>
                <w:szCs w:val="21"/>
              </w:rPr>
              <w:t>与项目业主签订投资开发协议，并报省发展改</w:t>
            </w:r>
          </w:p>
          <w:p w14:paraId="5A89E323">
            <w:pPr>
              <w:pStyle w:val="6"/>
              <w:spacing w:before="30" w:line="219" w:lineRule="auto"/>
              <w:ind w:left="80"/>
              <w:rPr>
                <w:sz w:val="21"/>
                <w:szCs w:val="21"/>
              </w:rPr>
            </w:pPr>
            <w:r>
              <w:rPr>
                <w:sz w:val="21"/>
                <w:szCs w:val="21"/>
              </w:rPr>
              <w:t>革委、省能源局备案，投资开发协议必须明确</w:t>
            </w:r>
          </w:p>
          <w:p w14:paraId="68D7EA85">
            <w:pPr>
              <w:pStyle w:val="6"/>
              <w:spacing w:before="20" w:line="219" w:lineRule="auto"/>
              <w:ind w:left="80"/>
              <w:rPr>
                <w:sz w:val="21"/>
                <w:szCs w:val="21"/>
              </w:rPr>
            </w:pPr>
            <w:r>
              <w:rPr>
                <w:sz w:val="21"/>
                <w:szCs w:val="21"/>
              </w:rPr>
              <w:t>开工时限、投产时限和回收机制；对本通知印</w:t>
            </w:r>
          </w:p>
          <w:p w14:paraId="68C21A0F">
            <w:pPr>
              <w:pStyle w:val="6"/>
              <w:spacing w:before="22" w:line="219" w:lineRule="auto"/>
              <w:ind w:left="80"/>
              <w:rPr>
                <w:sz w:val="21"/>
                <w:szCs w:val="21"/>
              </w:rPr>
            </w:pPr>
            <w:r>
              <w:rPr>
                <w:spacing w:val="1"/>
                <w:sz w:val="21"/>
                <w:szCs w:val="21"/>
              </w:rPr>
              <w:t>发前已签订投资开发协议的项目，缺失上述内</w:t>
            </w:r>
          </w:p>
          <w:p w14:paraId="3141B93A">
            <w:pPr>
              <w:pStyle w:val="6"/>
              <w:spacing w:before="30" w:line="199" w:lineRule="auto"/>
              <w:ind w:left="180"/>
              <w:rPr>
                <w:sz w:val="21"/>
                <w:szCs w:val="21"/>
              </w:rPr>
            </w:pPr>
            <w:r>
              <w:rPr>
                <w:spacing w:val="-1"/>
                <w:sz w:val="21"/>
                <w:szCs w:val="21"/>
              </w:rPr>
              <w:t>容的，由州(市)人民政府与项目业主协商签</w:t>
            </w:r>
          </w:p>
        </w:tc>
        <w:tc>
          <w:tcPr>
            <w:tcW w:w="2397" w:type="dxa"/>
            <w:vAlign w:val="top"/>
          </w:tcPr>
          <w:p w14:paraId="48C73B4D">
            <w:pPr>
              <w:pStyle w:val="6"/>
              <w:spacing w:before="25" w:line="241" w:lineRule="auto"/>
              <w:ind w:left="116" w:right="150" w:firstLine="29"/>
              <w:rPr>
                <w:sz w:val="21"/>
                <w:szCs w:val="21"/>
              </w:rPr>
            </w:pPr>
            <w:r>
              <w:rPr>
                <w:spacing w:val="-1"/>
                <w:sz w:val="21"/>
                <w:szCs w:val="21"/>
              </w:rPr>
              <w:t>本项目建设单位已经签</w:t>
            </w:r>
            <w:r>
              <w:rPr>
                <w:sz w:val="21"/>
                <w:szCs w:val="21"/>
              </w:rPr>
              <w:t xml:space="preserve"> </w:t>
            </w:r>
            <w:r>
              <w:rPr>
                <w:spacing w:val="-1"/>
                <w:sz w:val="21"/>
                <w:szCs w:val="21"/>
              </w:rPr>
              <w:t>订投开发协议。</w:t>
            </w:r>
          </w:p>
        </w:tc>
        <w:tc>
          <w:tcPr>
            <w:tcW w:w="944" w:type="dxa"/>
            <w:vAlign w:val="top"/>
          </w:tcPr>
          <w:p w14:paraId="12F76F68">
            <w:pPr>
              <w:pStyle w:val="6"/>
              <w:spacing w:before="26" w:line="219" w:lineRule="auto"/>
              <w:ind w:left="119"/>
              <w:rPr>
                <w:sz w:val="21"/>
                <w:szCs w:val="21"/>
              </w:rPr>
            </w:pPr>
            <w:r>
              <w:rPr>
                <w:spacing w:val="-3"/>
                <w:sz w:val="21"/>
                <w:szCs w:val="21"/>
              </w:rPr>
              <w:t>符合</w:t>
            </w:r>
          </w:p>
        </w:tc>
      </w:tr>
    </w:tbl>
    <w:p w14:paraId="1CA1CDE6">
      <w:pPr>
        <w:pStyle w:val="2"/>
      </w:pPr>
    </w:p>
    <w:p w14:paraId="289F83E6">
      <w:pPr>
        <w:sectPr>
          <w:footerReference r:id="rId53" w:type="default"/>
          <w:pgSz w:w="11910" w:h="16830"/>
          <w:pgMar w:top="400" w:right="1514" w:bottom="1245" w:left="1415" w:header="0" w:footer="1083" w:gutter="0"/>
          <w:cols w:space="720" w:num="1"/>
        </w:sectPr>
      </w:pPr>
    </w:p>
    <w:p w14:paraId="3A227750">
      <w:pPr>
        <w:spacing w:before="18"/>
      </w:pPr>
    </w:p>
    <w:p w14:paraId="40DD63B2">
      <w:pPr>
        <w:spacing w:before="18"/>
      </w:pPr>
    </w:p>
    <w:p w14:paraId="71B7279E">
      <w:pPr>
        <w:spacing w:before="17"/>
      </w:pPr>
    </w:p>
    <w:p w14:paraId="0F99752E">
      <w:pPr>
        <w:spacing w:before="17"/>
      </w:pPr>
    </w:p>
    <w:p w14:paraId="1CB84AFE">
      <w:pPr>
        <w:spacing w:before="17"/>
      </w:pPr>
    </w:p>
    <w:tbl>
      <w:tblPr>
        <w:tblStyle w:val="5"/>
        <w:tblW w:w="9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3"/>
        <w:gridCol w:w="90"/>
        <w:gridCol w:w="4335"/>
        <w:gridCol w:w="2407"/>
        <w:gridCol w:w="909"/>
        <w:gridCol w:w="75"/>
      </w:tblGrid>
      <w:tr w14:paraId="62738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223" w:type="dxa"/>
            <w:vMerge w:val="restart"/>
            <w:tcBorders>
              <w:bottom w:val="nil"/>
            </w:tcBorders>
            <w:vAlign w:val="top"/>
          </w:tcPr>
          <w:p w14:paraId="12BA16EB">
            <w:pPr>
              <w:rPr>
                <w:rFonts w:ascii="Arial"/>
                <w:sz w:val="21"/>
              </w:rPr>
            </w:pPr>
          </w:p>
        </w:tc>
        <w:tc>
          <w:tcPr>
            <w:tcW w:w="90" w:type="dxa"/>
            <w:tcBorders>
              <w:bottom w:val="nil"/>
            </w:tcBorders>
            <w:shd w:val="clear" w:color="auto" w:fill="FFFFFF"/>
            <w:vAlign w:val="top"/>
          </w:tcPr>
          <w:p w14:paraId="54D2D24D">
            <w:pPr>
              <w:rPr>
                <w:rFonts w:ascii="Arial"/>
                <w:sz w:val="21"/>
              </w:rPr>
            </w:pPr>
          </w:p>
        </w:tc>
        <w:tc>
          <w:tcPr>
            <w:tcW w:w="4335" w:type="dxa"/>
            <w:vAlign w:val="top"/>
          </w:tcPr>
          <w:p w14:paraId="483B9240">
            <w:pPr>
              <w:pStyle w:val="6"/>
              <w:spacing w:before="13" w:line="242" w:lineRule="auto"/>
              <w:ind w:left="62" w:right="368" w:firstLine="20"/>
              <w:rPr>
                <w:sz w:val="21"/>
                <w:szCs w:val="21"/>
              </w:rPr>
            </w:pPr>
            <w:r>
              <w:rPr>
                <w:spacing w:val="-1"/>
                <w:sz w:val="21"/>
                <w:szCs w:val="21"/>
              </w:rPr>
              <w:t>订补充条款。项目业主1个月内办理备案手</w:t>
            </w:r>
            <w:r>
              <w:rPr>
                <w:spacing w:val="7"/>
                <w:sz w:val="21"/>
                <w:szCs w:val="21"/>
              </w:rPr>
              <w:t xml:space="preserve"> </w:t>
            </w:r>
            <w:r>
              <w:rPr>
                <w:spacing w:val="-2"/>
                <w:sz w:val="21"/>
                <w:szCs w:val="21"/>
              </w:rPr>
              <w:t>续。</w:t>
            </w:r>
          </w:p>
        </w:tc>
        <w:tc>
          <w:tcPr>
            <w:tcW w:w="2407" w:type="dxa"/>
            <w:vAlign w:val="top"/>
          </w:tcPr>
          <w:p w14:paraId="426F4680">
            <w:pPr>
              <w:rPr>
                <w:rFonts w:ascii="Arial"/>
                <w:sz w:val="21"/>
              </w:rPr>
            </w:pPr>
          </w:p>
        </w:tc>
        <w:tc>
          <w:tcPr>
            <w:tcW w:w="909" w:type="dxa"/>
            <w:vAlign w:val="top"/>
          </w:tcPr>
          <w:p w14:paraId="37CFA4A9">
            <w:pPr>
              <w:rPr>
                <w:rFonts w:ascii="Arial"/>
                <w:sz w:val="21"/>
              </w:rPr>
            </w:pPr>
          </w:p>
        </w:tc>
        <w:tc>
          <w:tcPr>
            <w:tcW w:w="75" w:type="dxa"/>
            <w:tcBorders>
              <w:bottom w:val="nil"/>
            </w:tcBorders>
            <w:shd w:val="clear" w:color="auto" w:fill="FFFFFF"/>
            <w:vAlign w:val="top"/>
          </w:tcPr>
          <w:p w14:paraId="21B4633C">
            <w:pPr>
              <w:rPr>
                <w:rFonts w:ascii="Arial"/>
                <w:sz w:val="21"/>
              </w:rPr>
            </w:pPr>
          </w:p>
        </w:tc>
      </w:tr>
      <w:tr w14:paraId="13D7E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6" w:hRule="atLeast"/>
        </w:trPr>
        <w:tc>
          <w:tcPr>
            <w:tcW w:w="1223" w:type="dxa"/>
            <w:vMerge w:val="continue"/>
            <w:tcBorders>
              <w:top w:val="nil"/>
              <w:bottom w:val="nil"/>
            </w:tcBorders>
            <w:vAlign w:val="top"/>
          </w:tcPr>
          <w:p w14:paraId="2D6E59F6">
            <w:pPr>
              <w:rPr>
                <w:rFonts w:ascii="Arial"/>
                <w:sz w:val="21"/>
              </w:rPr>
            </w:pPr>
          </w:p>
        </w:tc>
        <w:tc>
          <w:tcPr>
            <w:tcW w:w="90" w:type="dxa"/>
            <w:tcBorders>
              <w:top w:val="nil"/>
            </w:tcBorders>
            <w:shd w:val="clear" w:color="auto" w:fill="FFFFFF"/>
            <w:vAlign w:val="top"/>
          </w:tcPr>
          <w:p w14:paraId="472AB1DF">
            <w:pPr>
              <w:rPr>
                <w:rFonts w:ascii="Arial"/>
                <w:sz w:val="21"/>
              </w:rPr>
            </w:pPr>
          </w:p>
        </w:tc>
        <w:tc>
          <w:tcPr>
            <w:tcW w:w="4335" w:type="dxa"/>
            <w:vAlign w:val="top"/>
          </w:tcPr>
          <w:p w14:paraId="48621FDA">
            <w:pPr>
              <w:pStyle w:val="6"/>
              <w:spacing w:before="18" w:line="241" w:lineRule="auto"/>
              <w:ind w:left="62" w:right="46"/>
              <w:rPr>
                <w:sz w:val="21"/>
                <w:szCs w:val="21"/>
              </w:rPr>
            </w:pPr>
            <w:r>
              <w:rPr>
                <w:sz w:val="21"/>
                <w:szCs w:val="21"/>
              </w:rPr>
              <w:t>明确项目开工投产时限。列入年度建设方案的</w:t>
            </w:r>
            <w:r>
              <w:rPr>
                <w:spacing w:val="15"/>
                <w:sz w:val="21"/>
                <w:szCs w:val="21"/>
              </w:rPr>
              <w:t xml:space="preserve"> </w:t>
            </w:r>
            <w:r>
              <w:rPr>
                <w:spacing w:val="4"/>
                <w:sz w:val="21"/>
                <w:szCs w:val="21"/>
              </w:rPr>
              <w:t>项目，完成备案后2个月内应实现开工(办理</w:t>
            </w:r>
            <w:r>
              <w:rPr>
                <w:spacing w:val="3"/>
                <w:sz w:val="21"/>
                <w:szCs w:val="21"/>
              </w:rPr>
              <w:t xml:space="preserve">  </w:t>
            </w:r>
            <w:r>
              <w:rPr>
                <w:sz w:val="21"/>
                <w:szCs w:val="21"/>
              </w:rPr>
              <w:t>用林用地、环保水保、接入系统审批等开工前</w:t>
            </w:r>
            <w:r>
              <w:rPr>
                <w:spacing w:val="9"/>
                <w:sz w:val="21"/>
                <w:szCs w:val="21"/>
              </w:rPr>
              <w:t xml:space="preserve"> </w:t>
            </w:r>
            <w:r>
              <w:rPr>
                <w:spacing w:val="1"/>
                <w:sz w:val="21"/>
                <w:szCs w:val="21"/>
              </w:rPr>
              <w:t>期手续的时间可剔除，剔除时间最长不超过2</w:t>
            </w:r>
            <w:r>
              <w:rPr>
                <w:spacing w:val="18"/>
                <w:sz w:val="21"/>
                <w:szCs w:val="21"/>
              </w:rPr>
              <w:t xml:space="preserve"> </w:t>
            </w:r>
            <w:r>
              <w:rPr>
                <w:spacing w:val="2"/>
                <w:sz w:val="21"/>
                <w:szCs w:val="21"/>
              </w:rPr>
              <w:t>个月),原则上开工后8个月内应具备投产条</w:t>
            </w:r>
          </w:p>
          <w:p w14:paraId="532C0DC5">
            <w:pPr>
              <w:pStyle w:val="6"/>
              <w:spacing w:line="218" w:lineRule="auto"/>
              <w:ind w:left="62" w:right="125" w:firstLine="49"/>
              <w:rPr>
                <w:sz w:val="21"/>
                <w:szCs w:val="21"/>
              </w:rPr>
            </w:pPr>
            <w:r>
              <w:rPr>
                <w:spacing w:val="-1"/>
                <w:sz w:val="21"/>
                <w:szCs w:val="21"/>
              </w:rPr>
              <w:t>件，自开工之日起1年内应具备全容量并网条</w:t>
            </w:r>
            <w:r>
              <w:rPr>
                <w:spacing w:val="11"/>
                <w:sz w:val="21"/>
                <w:szCs w:val="21"/>
              </w:rPr>
              <w:t xml:space="preserve"> </w:t>
            </w:r>
            <w:r>
              <w:rPr>
                <w:spacing w:val="-2"/>
                <w:sz w:val="21"/>
                <w:szCs w:val="21"/>
              </w:rPr>
              <w:t>件。</w:t>
            </w:r>
          </w:p>
        </w:tc>
        <w:tc>
          <w:tcPr>
            <w:tcW w:w="2407" w:type="dxa"/>
            <w:vAlign w:val="top"/>
          </w:tcPr>
          <w:p w14:paraId="4A65A7BE">
            <w:pPr>
              <w:pStyle w:val="6"/>
              <w:spacing w:before="20" w:line="244" w:lineRule="auto"/>
              <w:ind w:left="116" w:right="129" w:firstLine="80"/>
              <w:jc w:val="both"/>
              <w:rPr>
                <w:sz w:val="21"/>
                <w:szCs w:val="21"/>
              </w:rPr>
            </w:pPr>
            <w:r>
              <w:rPr>
                <w:spacing w:val="4"/>
                <w:sz w:val="21"/>
                <w:szCs w:val="21"/>
              </w:rPr>
              <w:t>本项目备案时间为8月</w:t>
            </w:r>
            <w:r>
              <w:rPr>
                <w:spacing w:val="6"/>
                <w:sz w:val="21"/>
                <w:szCs w:val="21"/>
              </w:rPr>
              <w:t xml:space="preserve"> </w:t>
            </w:r>
            <w:r>
              <w:rPr>
                <w:spacing w:val="3"/>
                <w:sz w:val="21"/>
                <w:szCs w:val="21"/>
              </w:rPr>
              <w:t>19日，目前尚在办理环</w:t>
            </w:r>
            <w:r>
              <w:rPr>
                <w:spacing w:val="6"/>
                <w:sz w:val="21"/>
                <w:szCs w:val="21"/>
              </w:rPr>
              <w:t xml:space="preserve"> </w:t>
            </w:r>
            <w:r>
              <w:rPr>
                <w:spacing w:val="5"/>
                <w:sz w:val="21"/>
                <w:szCs w:val="21"/>
              </w:rPr>
              <w:t>保手续可以剔除的时间</w:t>
            </w:r>
            <w:r>
              <w:rPr>
                <w:sz w:val="21"/>
                <w:szCs w:val="21"/>
              </w:rPr>
              <w:t xml:space="preserve"> 内</w:t>
            </w:r>
          </w:p>
        </w:tc>
        <w:tc>
          <w:tcPr>
            <w:tcW w:w="909" w:type="dxa"/>
            <w:vAlign w:val="top"/>
          </w:tcPr>
          <w:p w14:paraId="3D10CF45">
            <w:pPr>
              <w:pStyle w:val="6"/>
              <w:spacing w:before="9" w:line="219" w:lineRule="auto"/>
              <w:ind w:left="100"/>
              <w:rPr>
                <w:sz w:val="21"/>
                <w:szCs w:val="21"/>
              </w:rPr>
            </w:pPr>
            <w:r>
              <w:rPr>
                <w:spacing w:val="-3"/>
                <w:sz w:val="21"/>
                <w:szCs w:val="21"/>
              </w:rPr>
              <w:t>符合</w:t>
            </w:r>
          </w:p>
        </w:tc>
        <w:tc>
          <w:tcPr>
            <w:tcW w:w="75" w:type="dxa"/>
            <w:tcBorders>
              <w:top w:val="nil"/>
            </w:tcBorders>
            <w:shd w:val="clear" w:color="auto" w:fill="FFFFFF"/>
            <w:vAlign w:val="top"/>
          </w:tcPr>
          <w:p w14:paraId="6F6BBC45">
            <w:pPr>
              <w:rPr>
                <w:rFonts w:ascii="Arial"/>
                <w:sz w:val="21"/>
              </w:rPr>
            </w:pPr>
          </w:p>
        </w:tc>
      </w:tr>
      <w:tr w14:paraId="2E6B9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trPr>
        <w:tc>
          <w:tcPr>
            <w:tcW w:w="1223" w:type="dxa"/>
            <w:vMerge w:val="continue"/>
            <w:tcBorders>
              <w:top w:val="nil"/>
            </w:tcBorders>
            <w:vAlign w:val="top"/>
          </w:tcPr>
          <w:p w14:paraId="22C87DAE">
            <w:pPr>
              <w:rPr>
                <w:rFonts w:ascii="Arial"/>
                <w:sz w:val="21"/>
              </w:rPr>
            </w:pPr>
          </w:p>
        </w:tc>
        <w:tc>
          <w:tcPr>
            <w:tcW w:w="7816" w:type="dxa"/>
            <w:gridSpan w:val="5"/>
            <w:vAlign w:val="top"/>
          </w:tcPr>
          <w:p w14:paraId="41BCB2EA">
            <w:pPr>
              <w:rPr>
                <w:rFonts w:ascii="Arial"/>
                <w:sz w:val="21"/>
              </w:rPr>
            </w:pPr>
          </w:p>
        </w:tc>
      </w:tr>
    </w:tbl>
    <w:p w14:paraId="0F7812D4">
      <w:pPr>
        <w:pStyle w:val="2"/>
      </w:pPr>
    </w:p>
    <w:p w14:paraId="4A983FBF">
      <w:pPr>
        <w:sectPr>
          <w:footerReference r:id="rId54" w:type="default"/>
          <w:pgSz w:w="11910" w:h="16830"/>
          <w:pgMar w:top="400" w:right="1445" w:bottom="1298" w:left="1415" w:header="0" w:footer="1066" w:gutter="0"/>
          <w:cols w:space="720" w:num="1"/>
        </w:sectPr>
      </w:pPr>
    </w:p>
    <w:p w14:paraId="4360B7A3">
      <w:pPr>
        <w:pStyle w:val="2"/>
        <w:spacing w:line="243" w:lineRule="auto"/>
      </w:pPr>
    </w:p>
    <w:p w14:paraId="5093D1D8">
      <w:pPr>
        <w:pStyle w:val="2"/>
        <w:spacing w:line="243" w:lineRule="auto"/>
      </w:pPr>
    </w:p>
    <w:p w14:paraId="5B0F8782">
      <w:pPr>
        <w:pStyle w:val="2"/>
        <w:spacing w:line="243" w:lineRule="auto"/>
      </w:pPr>
    </w:p>
    <w:p w14:paraId="72789DA0">
      <w:pPr>
        <w:pStyle w:val="2"/>
        <w:spacing w:line="244" w:lineRule="auto"/>
      </w:pPr>
    </w:p>
    <w:p w14:paraId="13ACCD9B">
      <w:pPr>
        <w:pStyle w:val="2"/>
        <w:spacing w:line="244" w:lineRule="auto"/>
      </w:pPr>
    </w:p>
    <w:p w14:paraId="01A28B27">
      <w:pPr>
        <w:spacing w:before="104" w:line="219" w:lineRule="auto"/>
        <w:ind w:left="3624"/>
        <w:outlineLvl w:val="0"/>
        <w:rPr>
          <w:rFonts w:ascii="宋体" w:hAnsi="宋体" w:eastAsia="宋体" w:cs="宋体"/>
          <w:sz w:val="32"/>
          <w:szCs w:val="32"/>
        </w:rPr>
      </w:pPr>
      <w:bookmarkStart w:id="3" w:name="bookmark2"/>
      <w:bookmarkEnd w:id="3"/>
      <w:r>
        <w:rPr>
          <w:rFonts w:ascii="宋体" w:hAnsi="宋体" w:eastAsia="宋体" w:cs="宋体"/>
          <w:spacing w:val="-14"/>
          <w:sz w:val="32"/>
          <w:szCs w:val="32"/>
        </w:rPr>
        <w:t>二、</w:t>
      </w:r>
      <w:r>
        <w:rPr>
          <w:rFonts w:ascii="宋体" w:hAnsi="宋体" w:eastAsia="宋体" w:cs="宋体"/>
          <w:b/>
          <w:bCs/>
          <w:spacing w:val="-14"/>
          <w:sz w:val="32"/>
          <w:szCs w:val="32"/>
        </w:rPr>
        <w:t>建设内容</w:t>
      </w:r>
    </w:p>
    <w:p w14:paraId="0441D20D">
      <w:pPr>
        <w:spacing w:before="35"/>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289"/>
        <w:gridCol w:w="8086"/>
      </w:tblGrid>
      <w:tr w14:paraId="1EB7F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2" w:hRule="atLeast"/>
        </w:trPr>
        <w:tc>
          <w:tcPr>
            <w:tcW w:w="724" w:type="dxa"/>
            <w:tcBorders>
              <w:bottom w:val="nil"/>
            </w:tcBorders>
            <w:vAlign w:val="top"/>
          </w:tcPr>
          <w:p w14:paraId="43C87EEA">
            <w:pPr>
              <w:rPr>
                <w:rFonts w:ascii="Arial"/>
                <w:sz w:val="21"/>
              </w:rPr>
            </w:pPr>
          </w:p>
        </w:tc>
        <w:tc>
          <w:tcPr>
            <w:tcW w:w="8375" w:type="dxa"/>
            <w:gridSpan w:val="2"/>
            <w:vAlign w:val="top"/>
          </w:tcPr>
          <w:p w14:paraId="2FF68648">
            <w:pPr>
              <w:pStyle w:val="6"/>
              <w:spacing w:before="32" w:line="345" w:lineRule="auto"/>
              <w:ind w:left="10" w:firstLine="559"/>
              <w:jc w:val="both"/>
              <w:rPr>
                <w:sz w:val="24"/>
                <w:szCs w:val="24"/>
              </w:rPr>
            </w:pPr>
            <w:r>
              <w:rPr>
                <w:sz w:val="24"/>
                <w:szCs w:val="24"/>
              </w:rPr>
              <w:t>栗树园村光伏电站项目场址位于云南省曲靖市陆良县大莫古镇西部栗树园</w:t>
            </w:r>
            <w:r>
              <w:rPr>
                <w:spacing w:val="6"/>
                <w:sz w:val="24"/>
                <w:szCs w:val="24"/>
              </w:rPr>
              <w:t xml:space="preserve">  </w:t>
            </w:r>
            <w:r>
              <w:rPr>
                <w:spacing w:val="3"/>
                <w:sz w:val="24"/>
                <w:szCs w:val="24"/>
              </w:rPr>
              <w:t>村南侧及北侧，拟布置组件区域为多块整体呈南向的坡地，</w:t>
            </w:r>
            <w:r>
              <w:rPr>
                <w:spacing w:val="2"/>
                <w:sz w:val="24"/>
                <w:szCs w:val="24"/>
              </w:rPr>
              <w:t>场址地理坐标介于</w:t>
            </w:r>
            <w:r>
              <w:rPr>
                <w:sz w:val="24"/>
                <w:szCs w:val="24"/>
              </w:rPr>
              <w:t xml:space="preserve"> </w:t>
            </w:r>
            <w:r>
              <w:rPr>
                <w:spacing w:val="-3"/>
                <w:sz w:val="24"/>
                <w:szCs w:val="24"/>
              </w:rPr>
              <w:t>东经103°29'39"～103°37'13",北纬24°58'46"～24°52'01"</w:t>
            </w:r>
            <w:r>
              <w:rPr>
                <w:spacing w:val="-4"/>
                <w:sz w:val="24"/>
                <w:szCs w:val="24"/>
              </w:rPr>
              <w:t>之间，海拔高程在</w:t>
            </w:r>
            <w:r>
              <w:rPr>
                <w:sz w:val="24"/>
                <w:szCs w:val="24"/>
              </w:rPr>
              <w:t xml:space="preserve"> </w:t>
            </w:r>
            <w:r>
              <w:rPr>
                <w:spacing w:val="3"/>
                <w:sz w:val="24"/>
                <w:szCs w:val="24"/>
              </w:rPr>
              <w:t>1800m～1920m之间。项目额定容量为50</w:t>
            </w:r>
            <w:r>
              <w:rPr>
                <w:sz w:val="24"/>
                <w:szCs w:val="24"/>
              </w:rPr>
              <w:t>MWac</w:t>
            </w:r>
            <w:r>
              <w:rPr>
                <w:spacing w:val="3"/>
                <w:sz w:val="24"/>
                <w:szCs w:val="24"/>
              </w:rPr>
              <w:t>。</w:t>
            </w:r>
            <w:r>
              <w:rPr>
                <w:spacing w:val="2"/>
                <w:sz w:val="24"/>
                <w:szCs w:val="24"/>
              </w:rPr>
              <w:t>项目地理位置见下图。</w:t>
            </w:r>
          </w:p>
        </w:tc>
      </w:tr>
      <w:tr w14:paraId="54BFD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7" w:hRule="atLeast"/>
        </w:trPr>
        <w:tc>
          <w:tcPr>
            <w:tcW w:w="724" w:type="dxa"/>
            <w:tcBorders>
              <w:top w:val="nil"/>
            </w:tcBorders>
            <w:vAlign w:val="top"/>
          </w:tcPr>
          <w:p w14:paraId="54F4E645">
            <w:pPr>
              <w:spacing w:line="243" w:lineRule="auto"/>
              <w:rPr>
                <w:rFonts w:ascii="Arial"/>
                <w:sz w:val="21"/>
              </w:rPr>
            </w:pPr>
          </w:p>
          <w:p w14:paraId="34BBA230">
            <w:pPr>
              <w:spacing w:line="243" w:lineRule="auto"/>
              <w:rPr>
                <w:rFonts w:ascii="Arial"/>
                <w:sz w:val="21"/>
              </w:rPr>
            </w:pPr>
          </w:p>
          <w:p w14:paraId="2E8369FE">
            <w:pPr>
              <w:spacing w:line="243" w:lineRule="auto"/>
              <w:rPr>
                <w:rFonts w:ascii="Arial"/>
                <w:sz w:val="21"/>
              </w:rPr>
            </w:pPr>
          </w:p>
          <w:p w14:paraId="62BD4920">
            <w:pPr>
              <w:spacing w:line="243" w:lineRule="auto"/>
              <w:rPr>
                <w:rFonts w:ascii="Arial"/>
                <w:sz w:val="21"/>
              </w:rPr>
            </w:pPr>
          </w:p>
          <w:p w14:paraId="1455CCE2">
            <w:pPr>
              <w:spacing w:line="243" w:lineRule="auto"/>
              <w:rPr>
                <w:rFonts w:ascii="Arial"/>
                <w:sz w:val="21"/>
              </w:rPr>
            </w:pPr>
          </w:p>
          <w:p w14:paraId="1F459A76">
            <w:pPr>
              <w:spacing w:line="243" w:lineRule="auto"/>
              <w:rPr>
                <w:rFonts w:ascii="Arial"/>
                <w:sz w:val="21"/>
              </w:rPr>
            </w:pPr>
          </w:p>
          <w:p w14:paraId="5457E7C0">
            <w:pPr>
              <w:spacing w:line="243" w:lineRule="auto"/>
              <w:rPr>
                <w:rFonts w:ascii="Arial"/>
                <w:sz w:val="21"/>
              </w:rPr>
            </w:pPr>
          </w:p>
          <w:p w14:paraId="79F19CB5">
            <w:pPr>
              <w:spacing w:line="243" w:lineRule="auto"/>
              <w:rPr>
                <w:rFonts w:ascii="Arial"/>
                <w:sz w:val="21"/>
              </w:rPr>
            </w:pPr>
          </w:p>
          <w:p w14:paraId="71970AE4">
            <w:pPr>
              <w:pStyle w:val="6"/>
              <w:spacing w:before="78" w:line="223" w:lineRule="auto"/>
              <w:ind w:left="114"/>
              <w:rPr>
                <w:sz w:val="24"/>
                <w:szCs w:val="24"/>
              </w:rPr>
            </w:pPr>
            <w:r>
              <w:rPr>
                <w:spacing w:val="-3"/>
                <w:sz w:val="24"/>
                <w:szCs w:val="24"/>
              </w:rPr>
              <w:t>地理</w:t>
            </w:r>
          </w:p>
          <w:p w14:paraId="5EBB03A9">
            <w:pPr>
              <w:pStyle w:val="6"/>
              <w:spacing w:before="1" w:line="220" w:lineRule="auto"/>
              <w:ind w:left="114"/>
              <w:rPr>
                <w:sz w:val="24"/>
                <w:szCs w:val="24"/>
              </w:rPr>
            </w:pPr>
            <w:r>
              <w:rPr>
                <w:spacing w:val="-3"/>
                <w:sz w:val="24"/>
                <w:szCs w:val="24"/>
              </w:rPr>
              <w:t>位置</w:t>
            </w:r>
          </w:p>
        </w:tc>
        <w:tc>
          <w:tcPr>
            <w:tcW w:w="289" w:type="dxa"/>
            <w:shd w:val="clear" w:color="auto" w:fill="FFFFFF"/>
            <w:vAlign w:val="top"/>
          </w:tcPr>
          <w:p w14:paraId="530733E5">
            <w:pPr>
              <w:rPr>
                <w:rFonts w:ascii="Arial"/>
                <w:sz w:val="21"/>
              </w:rPr>
            </w:pPr>
          </w:p>
        </w:tc>
        <w:tc>
          <w:tcPr>
            <w:tcW w:w="8086" w:type="dxa"/>
            <w:shd w:val="clear" w:color="auto" w:fill="F9ECE9"/>
            <w:vAlign w:val="top"/>
          </w:tcPr>
          <w:p w14:paraId="4AF8E5C7">
            <w:pPr>
              <w:pStyle w:val="6"/>
              <w:spacing w:before="52" w:line="6400" w:lineRule="exact"/>
              <w:ind w:firstLine="1"/>
            </w:pPr>
            <w:r>
              <w:rPr>
                <w:position w:val="-128"/>
              </w:rPr>
              <w:pict>
                <v:group id="_x0000_s1052" o:spid="_x0000_s1052" o:spt="203" style="height:320.05pt;width:398.55pt;" coordsize="7970,6400">
                  <o:lock v:ext="edit"/>
                  <v:shape id="_x0000_s1053" o:spid="_x0000_s1053" o:spt="75" type="#_x0000_t75" style="position:absolute;left:0;top:0;height:6400;width:7970;" filled="f" stroked="f" coordsize="21600,21600">
                    <v:path/>
                    <v:fill on="f" focussize="0,0"/>
                    <v:stroke on="f"/>
                    <v:imagedata r:id="rId281" o:title=""/>
                    <o:lock v:ext="edit" aspectratio="t"/>
                  </v:shape>
                  <v:shape id="_x0000_s1054" o:spid="_x0000_s1054" o:spt="202" type="#_x0000_t202" style="position:absolute;left:53;top:-20;height:6355;width:5215;" filled="f" stroked="f" coordsize="21600,21600">
                    <v:path/>
                    <v:fill on="f" focussize="0,0"/>
                    <v:stroke on="f"/>
                    <v:imagedata o:title=""/>
                    <o:lock v:ext="edit" aspectratio="f"/>
                    <v:textbox inset="0mm,0mm,0mm,0mm">
                      <w:txbxContent>
                        <w:p w14:paraId="3602BAC2">
                          <w:pPr>
                            <w:spacing w:before="20" w:line="222" w:lineRule="auto"/>
                            <w:ind w:left="20"/>
                            <w:rPr>
                              <w:rFonts w:ascii="宋体" w:hAnsi="宋体" w:eastAsia="宋体" w:cs="宋体"/>
                              <w:sz w:val="24"/>
                              <w:szCs w:val="24"/>
                            </w:rPr>
                          </w:pPr>
                          <w:r>
                            <w:rPr>
                              <w:rFonts w:ascii="宋体" w:hAnsi="宋体" w:eastAsia="宋体" w:cs="宋体"/>
                              <w:b/>
                              <w:bCs/>
                              <w:spacing w:val="-2"/>
                              <w:sz w:val="24"/>
                              <w:szCs w:val="24"/>
                            </w:rPr>
                            <w:t>陆良县</w:t>
                          </w:r>
                        </w:p>
                        <w:p w14:paraId="76B452A2">
                          <w:pPr>
                            <w:spacing w:before="198" w:line="222" w:lineRule="auto"/>
                            <w:ind w:left="4256"/>
                            <w:rPr>
                              <w:rFonts w:ascii="宋体" w:hAnsi="宋体" w:eastAsia="宋体" w:cs="宋体"/>
                              <w:sz w:val="12"/>
                              <w:szCs w:val="12"/>
                            </w:rPr>
                          </w:pPr>
                          <w:r>
                            <w:rPr>
                              <w:rFonts w:ascii="宋体" w:hAnsi="宋体" w:eastAsia="宋体" w:cs="宋体"/>
                              <w:color w:val="803030"/>
                              <w:sz w:val="12"/>
                              <w:szCs w:val="12"/>
                            </w:rPr>
                            <w:t>麒</w:t>
                          </w:r>
                        </w:p>
                        <w:p w14:paraId="567070D6">
                          <w:pPr>
                            <w:spacing w:line="286" w:lineRule="auto"/>
                            <w:rPr>
                              <w:rFonts w:ascii="Arial"/>
                              <w:sz w:val="21"/>
                            </w:rPr>
                          </w:pPr>
                        </w:p>
                        <w:p w14:paraId="0ECEB4E9">
                          <w:pPr>
                            <w:spacing w:line="286" w:lineRule="auto"/>
                            <w:rPr>
                              <w:rFonts w:ascii="Arial"/>
                              <w:sz w:val="21"/>
                            </w:rPr>
                          </w:pPr>
                        </w:p>
                        <w:p w14:paraId="4E7FE4FF">
                          <w:pPr>
                            <w:spacing w:before="39" w:line="182" w:lineRule="auto"/>
                            <w:ind w:left="5136"/>
                            <w:rPr>
                              <w:rFonts w:ascii="宋体" w:hAnsi="宋体" w:eastAsia="宋体" w:cs="宋体"/>
                              <w:sz w:val="12"/>
                              <w:szCs w:val="12"/>
                            </w:rPr>
                          </w:pPr>
                          <w:r>
                            <w:rPr>
                              <w:rFonts w:ascii="宋体" w:hAnsi="宋体" w:eastAsia="宋体" w:cs="宋体"/>
                              <w:color w:val="401010"/>
                              <w:sz w:val="12"/>
                              <w:szCs w:val="12"/>
                            </w:rPr>
                            <w:t>B</w:t>
                          </w:r>
                        </w:p>
                        <w:p w14:paraId="23DA065D">
                          <w:pPr>
                            <w:spacing w:before="92" w:line="223" w:lineRule="auto"/>
                            <w:ind w:left="2306"/>
                            <w:rPr>
                              <w:rFonts w:ascii="宋体" w:hAnsi="宋体" w:eastAsia="宋体" w:cs="宋体"/>
                              <w:sz w:val="12"/>
                              <w:szCs w:val="12"/>
                            </w:rPr>
                          </w:pPr>
                          <w:r>
                            <w:rPr>
                              <w:rFonts w:ascii="宋体" w:hAnsi="宋体" w:eastAsia="宋体" w:cs="宋体"/>
                              <w:sz w:val="12"/>
                              <w:szCs w:val="12"/>
                            </w:rPr>
                            <w:t>西</w:t>
                          </w:r>
                        </w:p>
                        <w:p w14:paraId="1DB719DC">
                          <w:pPr>
                            <w:spacing w:line="267" w:lineRule="auto"/>
                            <w:rPr>
                              <w:rFonts w:ascii="Arial"/>
                              <w:sz w:val="21"/>
                            </w:rPr>
                          </w:pPr>
                        </w:p>
                        <w:p w14:paraId="2096E591">
                          <w:pPr>
                            <w:spacing w:line="267" w:lineRule="auto"/>
                            <w:rPr>
                              <w:rFonts w:ascii="Arial"/>
                              <w:sz w:val="21"/>
                            </w:rPr>
                          </w:pPr>
                        </w:p>
                        <w:p w14:paraId="01B32374">
                          <w:pPr>
                            <w:spacing w:line="267" w:lineRule="auto"/>
                            <w:rPr>
                              <w:rFonts w:ascii="Arial"/>
                              <w:sz w:val="21"/>
                            </w:rPr>
                          </w:pPr>
                        </w:p>
                        <w:p w14:paraId="1C7FF920">
                          <w:pPr>
                            <w:spacing w:line="267" w:lineRule="auto"/>
                            <w:rPr>
                              <w:rFonts w:ascii="Arial"/>
                              <w:sz w:val="21"/>
                            </w:rPr>
                          </w:pPr>
                        </w:p>
                        <w:p w14:paraId="7FD702A1">
                          <w:pPr>
                            <w:spacing w:line="267" w:lineRule="auto"/>
                            <w:rPr>
                              <w:rFonts w:ascii="Arial"/>
                              <w:sz w:val="21"/>
                            </w:rPr>
                          </w:pPr>
                        </w:p>
                        <w:p w14:paraId="41579640">
                          <w:pPr>
                            <w:spacing w:line="267" w:lineRule="auto"/>
                            <w:rPr>
                              <w:rFonts w:ascii="Arial"/>
                              <w:sz w:val="21"/>
                            </w:rPr>
                          </w:pPr>
                        </w:p>
                        <w:p w14:paraId="0D3E154F">
                          <w:pPr>
                            <w:spacing w:line="267" w:lineRule="auto"/>
                            <w:rPr>
                              <w:rFonts w:ascii="Arial"/>
                              <w:sz w:val="21"/>
                            </w:rPr>
                          </w:pPr>
                        </w:p>
                        <w:p w14:paraId="31AD11BB">
                          <w:pPr>
                            <w:spacing w:before="78" w:line="188" w:lineRule="auto"/>
                            <w:ind w:left="1896"/>
                            <w:rPr>
                              <w:rFonts w:ascii="宋体" w:hAnsi="宋体" w:eastAsia="宋体" w:cs="宋体"/>
                              <w:sz w:val="24"/>
                              <w:szCs w:val="24"/>
                            </w:rPr>
                          </w:pPr>
                          <w:r>
                            <w:rPr>
                              <w:rFonts w:ascii="宋体" w:hAnsi="宋体" w:eastAsia="宋体" w:cs="宋体"/>
                              <w:spacing w:val="1"/>
                              <w:sz w:val="24"/>
                              <w:szCs w:val="24"/>
                            </w:rPr>
                            <w:t>项目所在地</w:t>
                          </w:r>
                        </w:p>
                        <w:p w14:paraId="6908F2B6">
                          <w:pPr>
                            <w:spacing w:line="220" w:lineRule="auto"/>
                            <w:ind w:left="3956"/>
                            <w:rPr>
                              <w:rFonts w:ascii="宋体" w:hAnsi="宋体" w:eastAsia="宋体" w:cs="宋体"/>
                              <w:sz w:val="12"/>
                              <w:szCs w:val="12"/>
                            </w:rPr>
                          </w:pPr>
                          <w:r>
                            <w:rPr>
                              <w:rFonts w:ascii="宋体" w:hAnsi="宋体" w:eastAsia="宋体" w:cs="宋体"/>
                              <w:color w:val="503020"/>
                              <w:sz w:val="12"/>
                              <w:szCs w:val="12"/>
                            </w:rPr>
                            <w:t>所</w:t>
                          </w:r>
                        </w:p>
                        <w:p w14:paraId="6B2F5223">
                          <w:pPr>
                            <w:spacing w:line="246" w:lineRule="auto"/>
                            <w:rPr>
                              <w:rFonts w:ascii="Arial"/>
                              <w:sz w:val="21"/>
                            </w:rPr>
                          </w:pPr>
                        </w:p>
                        <w:p w14:paraId="1402F176">
                          <w:pPr>
                            <w:spacing w:line="246" w:lineRule="auto"/>
                            <w:rPr>
                              <w:rFonts w:ascii="Arial"/>
                              <w:sz w:val="21"/>
                            </w:rPr>
                          </w:pPr>
                        </w:p>
                        <w:p w14:paraId="1F0EA140">
                          <w:pPr>
                            <w:spacing w:line="246" w:lineRule="auto"/>
                            <w:rPr>
                              <w:rFonts w:ascii="Arial"/>
                              <w:sz w:val="21"/>
                            </w:rPr>
                          </w:pPr>
                        </w:p>
                        <w:p w14:paraId="0965AFD5">
                          <w:pPr>
                            <w:spacing w:line="246" w:lineRule="auto"/>
                            <w:rPr>
                              <w:rFonts w:ascii="Arial"/>
                              <w:sz w:val="21"/>
                            </w:rPr>
                          </w:pPr>
                        </w:p>
                        <w:p w14:paraId="3051F4AD">
                          <w:pPr>
                            <w:spacing w:line="247" w:lineRule="auto"/>
                            <w:rPr>
                              <w:rFonts w:ascii="Arial"/>
                              <w:sz w:val="21"/>
                            </w:rPr>
                          </w:pPr>
                        </w:p>
                        <w:p w14:paraId="3FCD9CD5">
                          <w:pPr>
                            <w:spacing w:line="247" w:lineRule="auto"/>
                            <w:rPr>
                              <w:rFonts w:ascii="Arial"/>
                              <w:sz w:val="21"/>
                            </w:rPr>
                          </w:pPr>
                        </w:p>
                        <w:p w14:paraId="567B2FE6">
                          <w:pPr>
                            <w:spacing w:before="39" w:line="219" w:lineRule="auto"/>
                            <w:ind w:left="316"/>
                            <w:rPr>
                              <w:rFonts w:ascii="宋体" w:hAnsi="宋体" w:eastAsia="宋体" w:cs="宋体"/>
                              <w:sz w:val="12"/>
                              <w:szCs w:val="12"/>
                            </w:rPr>
                          </w:pPr>
                          <w:r>
                            <w:rPr>
                              <w:rFonts w:ascii="宋体" w:hAnsi="宋体" w:eastAsia="宋体" w:cs="宋体"/>
                              <w:color w:val="602030"/>
                              <w:spacing w:val="-8"/>
                              <w:sz w:val="12"/>
                              <w:szCs w:val="12"/>
                            </w:rPr>
                            <w:t>石</w:t>
                          </w:r>
                          <w:r>
                            <w:rPr>
                              <w:rFonts w:ascii="宋体" w:hAnsi="宋体" w:eastAsia="宋体" w:cs="宋体"/>
                              <w:color w:val="602030"/>
                              <w:spacing w:val="23"/>
                              <w:w w:val="101"/>
                              <w:sz w:val="12"/>
                              <w:szCs w:val="12"/>
                            </w:rPr>
                            <w:t xml:space="preserve"> </w:t>
                          </w:r>
                          <w:r>
                            <w:rPr>
                              <w:rFonts w:ascii="宋体" w:hAnsi="宋体" w:eastAsia="宋体" w:cs="宋体"/>
                              <w:color w:val="602030"/>
                              <w:spacing w:val="-8"/>
                              <w:sz w:val="12"/>
                              <w:szCs w:val="12"/>
                            </w:rPr>
                            <w:t>林</w:t>
                          </w:r>
                          <w:r>
                            <w:rPr>
                              <w:rFonts w:ascii="宋体" w:hAnsi="宋体" w:eastAsia="宋体" w:cs="宋体"/>
                              <w:color w:val="602030"/>
                              <w:spacing w:val="27"/>
                              <w:sz w:val="12"/>
                              <w:szCs w:val="12"/>
                            </w:rPr>
                            <w:t xml:space="preserve"> </w:t>
                          </w:r>
                          <w:r>
                            <w:rPr>
                              <w:rFonts w:ascii="宋体" w:hAnsi="宋体" w:eastAsia="宋体" w:cs="宋体"/>
                              <w:color w:val="602030"/>
                              <w:spacing w:val="-8"/>
                              <w:sz w:val="12"/>
                              <w:szCs w:val="12"/>
                            </w:rPr>
                            <w:t>彝</w:t>
                          </w:r>
                          <w:r>
                            <w:rPr>
                              <w:rFonts w:ascii="宋体" w:hAnsi="宋体" w:eastAsia="宋体" w:cs="宋体"/>
                              <w:color w:val="602030"/>
                              <w:spacing w:val="22"/>
                              <w:w w:val="101"/>
                              <w:sz w:val="12"/>
                              <w:szCs w:val="12"/>
                            </w:rPr>
                            <w:t xml:space="preserve"> </w:t>
                          </w:r>
                          <w:r>
                            <w:rPr>
                              <w:rFonts w:ascii="宋体" w:hAnsi="宋体" w:eastAsia="宋体" w:cs="宋体"/>
                              <w:color w:val="602030"/>
                              <w:spacing w:val="-8"/>
                              <w:sz w:val="12"/>
                              <w:szCs w:val="12"/>
                            </w:rPr>
                            <w:t>族</w:t>
                          </w:r>
                          <w:r>
                            <w:rPr>
                              <w:rFonts w:ascii="宋体" w:hAnsi="宋体" w:eastAsia="宋体" w:cs="宋体"/>
                              <w:color w:val="602030"/>
                              <w:spacing w:val="42"/>
                              <w:w w:val="101"/>
                              <w:sz w:val="12"/>
                              <w:szCs w:val="12"/>
                            </w:rPr>
                            <w:t xml:space="preserve"> </w:t>
                          </w:r>
                          <w:r>
                            <w:rPr>
                              <w:rFonts w:ascii="宋体" w:hAnsi="宋体" w:eastAsia="宋体" w:cs="宋体"/>
                              <w:color w:val="602030"/>
                              <w:spacing w:val="-8"/>
                              <w:sz w:val="12"/>
                              <w:szCs w:val="12"/>
                            </w:rPr>
                            <w:t>自</w:t>
                          </w:r>
                          <w:r>
                            <w:rPr>
                              <w:rFonts w:ascii="宋体" w:hAnsi="宋体" w:eastAsia="宋体" w:cs="宋体"/>
                              <w:color w:val="602030"/>
                              <w:spacing w:val="26"/>
                              <w:sz w:val="12"/>
                              <w:szCs w:val="12"/>
                            </w:rPr>
                            <w:t xml:space="preserve"> </w:t>
                          </w:r>
                          <w:r>
                            <w:rPr>
                              <w:rFonts w:ascii="宋体" w:hAnsi="宋体" w:eastAsia="宋体" w:cs="宋体"/>
                              <w:color w:val="602030"/>
                              <w:spacing w:val="-8"/>
                              <w:sz w:val="12"/>
                              <w:szCs w:val="12"/>
                            </w:rPr>
                            <w:t>治</w:t>
                          </w:r>
                          <w:r>
                            <w:rPr>
                              <w:rFonts w:ascii="宋体" w:hAnsi="宋体" w:eastAsia="宋体" w:cs="宋体"/>
                              <w:color w:val="602030"/>
                              <w:spacing w:val="23"/>
                              <w:w w:val="101"/>
                              <w:sz w:val="12"/>
                              <w:szCs w:val="12"/>
                            </w:rPr>
                            <w:t xml:space="preserve"> </w:t>
                          </w:r>
                          <w:r>
                            <w:rPr>
                              <w:rFonts w:ascii="宋体" w:hAnsi="宋体" w:eastAsia="宋体" w:cs="宋体"/>
                              <w:color w:val="602030"/>
                              <w:spacing w:val="-8"/>
                              <w:sz w:val="12"/>
                              <w:szCs w:val="12"/>
                            </w:rPr>
                            <w:t>县</w:t>
                          </w:r>
                        </w:p>
                        <w:p w14:paraId="77B6D5E3">
                          <w:pPr>
                            <w:spacing w:line="267" w:lineRule="auto"/>
                            <w:rPr>
                              <w:rFonts w:ascii="Arial"/>
                              <w:sz w:val="21"/>
                            </w:rPr>
                          </w:pPr>
                        </w:p>
                        <w:p w14:paraId="017E237D">
                          <w:pPr>
                            <w:spacing w:line="268" w:lineRule="auto"/>
                            <w:rPr>
                              <w:rFonts w:ascii="Arial"/>
                              <w:sz w:val="21"/>
                            </w:rPr>
                          </w:pPr>
                        </w:p>
                        <w:p w14:paraId="3F5A062A">
                          <w:pPr>
                            <w:spacing w:before="39" w:line="219" w:lineRule="auto"/>
                            <w:ind w:left="2666"/>
                            <w:rPr>
                              <w:rFonts w:ascii="宋体" w:hAnsi="宋体" w:eastAsia="宋体" w:cs="宋体"/>
                              <w:sz w:val="12"/>
                              <w:szCs w:val="12"/>
                            </w:rPr>
                          </w:pPr>
                          <w:r>
                            <w:rPr>
                              <w:rFonts w:ascii="宋体" w:hAnsi="宋体" w:eastAsia="宋体" w:cs="宋体"/>
                              <w:color w:val="903030"/>
                              <w:spacing w:val="-2"/>
                              <w:sz w:val="12"/>
                              <w:szCs w:val="12"/>
                            </w:rPr>
                            <w:t>泸西县</w:t>
                          </w:r>
                        </w:p>
                      </w:txbxContent>
                    </v:textbox>
                  </v:shape>
                  <v:shape id="_x0000_s1055" o:spid="_x0000_s1055" o:spt="202" type="#_x0000_t202" style="position:absolute;left:5444;top:4594;height:849;width:150;" filled="f" stroked="f" coordsize="21600,21600">
                    <v:path/>
                    <v:fill on="f" focussize="0,0"/>
                    <v:stroke on="f"/>
                    <v:imagedata o:title=""/>
                    <o:lock v:ext="edit" aspectratio="f"/>
                    <v:textbox inset="0mm,0mm,0mm,0mm" style="layout-flow:vertical-ideographic;">
                      <w:txbxContent>
                        <w:p w14:paraId="46D46D78">
                          <w:pPr>
                            <w:spacing w:before="20" w:line="199" w:lineRule="auto"/>
                            <w:ind w:left="20"/>
                            <w:rPr>
                              <w:rFonts w:ascii="宋体" w:hAnsi="宋体" w:eastAsia="宋体" w:cs="宋体"/>
                              <w:sz w:val="12"/>
                              <w:szCs w:val="12"/>
                            </w:rPr>
                          </w:pPr>
                          <w:r>
                            <w:rPr>
                              <w:rFonts w:ascii="宋体" w:hAnsi="宋体" w:eastAsia="宋体" w:cs="宋体"/>
                              <w:sz w:val="12"/>
                              <w:szCs w:val="12"/>
                            </w:rPr>
                            <w:t>陆</w:t>
                          </w:r>
                          <w:r>
                            <w:rPr>
                              <w:rFonts w:ascii="宋体" w:hAnsi="宋体" w:eastAsia="宋体" w:cs="宋体"/>
                              <w:spacing w:val="-8"/>
                              <w:sz w:val="12"/>
                              <w:szCs w:val="12"/>
                            </w:rPr>
                            <w:t xml:space="preserve"> </w:t>
                          </w:r>
                          <w:r>
                            <w:rPr>
                              <w:rFonts w:ascii="宋体" w:hAnsi="宋体" w:eastAsia="宋体" w:cs="宋体"/>
                              <w:sz w:val="12"/>
                              <w:szCs w:val="12"/>
                            </w:rPr>
                            <w:t>良</w:t>
                          </w:r>
                          <w:r>
                            <w:rPr>
                              <w:rFonts w:ascii="宋体" w:hAnsi="宋体" w:eastAsia="宋体" w:cs="宋体"/>
                              <w:spacing w:val="-8"/>
                              <w:sz w:val="12"/>
                              <w:szCs w:val="12"/>
                            </w:rPr>
                            <w:t xml:space="preserve"> </w:t>
                          </w:r>
                          <w:r>
                            <w:rPr>
                              <w:rFonts w:ascii="宋体" w:hAnsi="宋体" w:eastAsia="宋体" w:cs="宋体"/>
                              <w:sz w:val="12"/>
                              <w:szCs w:val="12"/>
                            </w:rPr>
                            <w:t>城</w:t>
                          </w:r>
                          <w:r>
                            <w:rPr>
                              <w:rFonts w:ascii="宋体" w:hAnsi="宋体" w:eastAsia="宋体" w:cs="宋体"/>
                              <w:spacing w:val="-8"/>
                              <w:sz w:val="12"/>
                              <w:szCs w:val="12"/>
                            </w:rPr>
                            <w:t xml:space="preserve"> </w:t>
                          </w:r>
                          <w:r>
                            <w:rPr>
                              <w:rFonts w:ascii="宋体" w:hAnsi="宋体" w:eastAsia="宋体" w:cs="宋体"/>
                              <w:sz w:val="12"/>
                              <w:szCs w:val="12"/>
                            </w:rPr>
                            <w:t>区</w:t>
                          </w:r>
                          <w:r>
                            <w:rPr>
                              <w:rFonts w:ascii="宋体" w:hAnsi="宋体" w:eastAsia="宋体" w:cs="宋体"/>
                              <w:spacing w:val="-8"/>
                              <w:sz w:val="12"/>
                              <w:szCs w:val="12"/>
                            </w:rPr>
                            <w:t xml:space="preserve"> </w:t>
                          </w:r>
                          <w:r>
                            <w:rPr>
                              <w:rFonts w:ascii="宋体" w:hAnsi="宋体" w:eastAsia="宋体" w:cs="宋体"/>
                              <w:sz w:val="12"/>
                              <w:szCs w:val="12"/>
                            </w:rPr>
                            <w:t>图</w:t>
                          </w:r>
                        </w:p>
                      </w:txbxContent>
                    </v:textbox>
                  </v:shape>
                  <w10:wrap type="none"/>
                  <w10:anchorlock/>
                </v:group>
              </w:pict>
            </w:r>
          </w:p>
        </w:tc>
      </w:tr>
    </w:tbl>
    <w:p w14:paraId="198B72D4">
      <w:pPr>
        <w:pStyle w:val="2"/>
      </w:pPr>
    </w:p>
    <w:p w14:paraId="3B6729A9">
      <w:pPr>
        <w:sectPr>
          <w:footerReference r:id="rId55" w:type="default"/>
          <w:pgSz w:w="11910" w:h="16830"/>
          <w:pgMar w:top="400" w:right="1415" w:bottom="1259" w:left="1385" w:header="0" w:footer="1079" w:gutter="0"/>
          <w:cols w:space="720" w:num="1"/>
        </w:sectPr>
      </w:pPr>
    </w:p>
    <w:p w14:paraId="32CFF158">
      <w:pPr>
        <w:spacing w:before="15"/>
      </w:pPr>
    </w:p>
    <w:p w14:paraId="024E96DE">
      <w:pPr>
        <w:spacing w:before="15"/>
      </w:pPr>
    </w:p>
    <w:p w14:paraId="387E05B6">
      <w:pPr>
        <w:spacing w:before="15"/>
      </w:pPr>
    </w:p>
    <w:p w14:paraId="4D6B8B0F">
      <w:pPr>
        <w:spacing w:before="14"/>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8385"/>
      </w:tblGrid>
      <w:tr w14:paraId="3D12C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1" w:hRule="atLeast"/>
        </w:trPr>
        <w:tc>
          <w:tcPr>
            <w:tcW w:w="714" w:type="dxa"/>
            <w:vMerge w:val="restart"/>
            <w:tcBorders>
              <w:bottom w:val="nil"/>
            </w:tcBorders>
            <w:vAlign w:val="top"/>
          </w:tcPr>
          <w:p w14:paraId="51C4642F">
            <w:pPr>
              <w:rPr>
                <w:rFonts w:ascii="Arial"/>
                <w:sz w:val="21"/>
              </w:rPr>
            </w:pPr>
          </w:p>
        </w:tc>
        <w:tc>
          <w:tcPr>
            <w:tcW w:w="8385" w:type="dxa"/>
            <w:tcBorders>
              <w:bottom w:val="nil"/>
            </w:tcBorders>
            <w:vAlign w:val="top"/>
          </w:tcPr>
          <w:p w14:paraId="191F6E51">
            <w:pPr>
              <w:spacing w:before="24" w:line="4796" w:lineRule="exact"/>
              <w:ind w:firstLine="20"/>
            </w:pPr>
            <w:r>
              <w:rPr>
                <w:position w:val="-95"/>
              </w:rPr>
              <w:drawing>
                <wp:inline distT="0" distB="0" distL="0" distR="0">
                  <wp:extent cx="5282565" cy="304546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282"/>
                          <a:stretch>
                            <a:fillRect/>
                          </a:stretch>
                        </pic:blipFill>
                        <pic:spPr>
                          <a:xfrm>
                            <a:off x="0" y="0"/>
                            <a:ext cx="5283180" cy="3045487"/>
                          </a:xfrm>
                          <a:prstGeom prst="rect">
                            <a:avLst/>
                          </a:prstGeom>
                        </pic:spPr>
                      </pic:pic>
                    </a:graphicData>
                  </a:graphic>
                </wp:inline>
              </w:drawing>
            </w:r>
          </w:p>
        </w:tc>
      </w:tr>
      <w:tr w14:paraId="466AC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14" w:type="dxa"/>
            <w:vMerge w:val="continue"/>
            <w:tcBorders>
              <w:top w:val="nil"/>
            </w:tcBorders>
            <w:vAlign w:val="top"/>
          </w:tcPr>
          <w:p w14:paraId="362DC20B">
            <w:pPr>
              <w:rPr>
                <w:rFonts w:ascii="Arial"/>
                <w:sz w:val="21"/>
              </w:rPr>
            </w:pPr>
          </w:p>
        </w:tc>
        <w:tc>
          <w:tcPr>
            <w:tcW w:w="8385" w:type="dxa"/>
            <w:tcBorders>
              <w:top w:val="nil"/>
            </w:tcBorders>
            <w:vAlign w:val="top"/>
          </w:tcPr>
          <w:p w14:paraId="0F148AE0">
            <w:pPr>
              <w:pStyle w:val="6"/>
              <w:spacing w:before="62" w:line="190" w:lineRule="auto"/>
              <w:ind w:left="1774"/>
              <w:rPr>
                <w:sz w:val="25"/>
                <w:szCs w:val="25"/>
              </w:rPr>
            </w:pPr>
            <w:r>
              <w:rPr>
                <w:b/>
                <w:bCs/>
                <w:spacing w:val="-2"/>
                <w:sz w:val="25"/>
                <w:szCs w:val="25"/>
              </w:rPr>
              <w:t>图2-1</w:t>
            </w:r>
            <w:r>
              <w:rPr>
                <w:spacing w:val="47"/>
                <w:sz w:val="25"/>
                <w:szCs w:val="25"/>
              </w:rPr>
              <w:t xml:space="preserve">  </w:t>
            </w:r>
            <w:r>
              <w:rPr>
                <w:b/>
                <w:bCs/>
                <w:spacing w:val="-2"/>
                <w:sz w:val="25"/>
                <w:szCs w:val="25"/>
              </w:rPr>
              <w:t>陆良栗树园光伏发电项目位置示意图</w:t>
            </w:r>
          </w:p>
        </w:tc>
      </w:tr>
      <w:tr w14:paraId="05853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9" w:hRule="atLeast"/>
        </w:trPr>
        <w:tc>
          <w:tcPr>
            <w:tcW w:w="714" w:type="dxa"/>
            <w:vAlign w:val="top"/>
          </w:tcPr>
          <w:p w14:paraId="0336CF1F">
            <w:pPr>
              <w:spacing w:line="250" w:lineRule="auto"/>
              <w:rPr>
                <w:rFonts w:ascii="Arial"/>
                <w:sz w:val="21"/>
              </w:rPr>
            </w:pPr>
          </w:p>
          <w:p w14:paraId="7860F0B1">
            <w:pPr>
              <w:spacing w:line="250" w:lineRule="auto"/>
              <w:rPr>
                <w:rFonts w:ascii="Arial"/>
                <w:sz w:val="21"/>
              </w:rPr>
            </w:pPr>
          </w:p>
          <w:p w14:paraId="106F880F">
            <w:pPr>
              <w:spacing w:line="251" w:lineRule="auto"/>
              <w:rPr>
                <w:rFonts w:ascii="Arial"/>
                <w:sz w:val="21"/>
              </w:rPr>
            </w:pPr>
          </w:p>
          <w:p w14:paraId="1CE9585C">
            <w:pPr>
              <w:spacing w:line="251" w:lineRule="auto"/>
              <w:rPr>
                <w:rFonts w:ascii="Arial"/>
                <w:sz w:val="21"/>
              </w:rPr>
            </w:pPr>
          </w:p>
          <w:p w14:paraId="63A78245">
            <w:pPr>
              <w:spacing w:line="251" w:lineRule="auto"/>
              <w:rPr>
                <w:rFonts w:ascii="Arial"/>
                <w:sz w:val="21"/>
              </w:rPr>
            </w:pPr>
          </w:p>
          <w:p w14:paraId="6714CC1C">
            <w:pPr>
              <w:spacing w:line="251" w:lineRule="auto"/>
              <w:rPr>
                <w:rFonts w:ascii="Arial"/>
                <w:sz w:val="21"/>
              </w:rPr>
            </w:pPr>
          </w:p>
          <w:p w14:paraId="7B99276A">
            <w:pPr>
              <w:spacing w:line="251" w:lineRule="auto"/>
              <w:rPr>
                <w:rFonts w:ascii="Arial"/>
                <w:sz w:val="21"/>
              </w:rPr>
            </w:pPr>
          </w:p>
          <w:p w14:paraId="73B48D84">
            <w:pPr>
              <w:spacing w:line="251" w:lineRule="auto"/>
              <w:rPr>
                <w:rFonts w:ascii="Arial"/>
                <w:sz w:val="21"/>
              </w:rPr>
            </w:pPr>
          </w:p>
          <w:p w14:paraId="298F3DFB">
            <w:pPr>
              <w:spacing w:line="251" w:lineRule="auto"/>
              <w:rPr>
                <w:rFonts w:ascii="Arial"/>
                <w:sz w:val="21"/>
              </w:rPr>
            </w:pPr>
          </w:p>
          <w:p w14:paraId="440EDD2C">
            <w:pPr>
              <w:spacing w:line="251" w:lineRule="auto"/>
              <w:rPr>
                <w:rFonts w:ascii="Arial"/>
                <w:sz w:val="21"/>
              </w:rPr>
            </w:pPr>
          </w:p>
          <w:p w14:paraId="788A6970">
            <w:pPr>
              <w:spacing w:line="251" w:lineRule="auto"/>
              <w:rPr>
                <w:rFonts w:ascii="Arial"/>
                <w:sz w:val="21"/>
              </w:rPr>
            </w:pPr>
          </w:p>
          <w:p w14:paraId="285C5959">
            <w:pPr>
              <w:spacing w:line="251" w:lineRule="auto"/>
              <w:rPr>
                <w:rFonts w:ascii="Arial"/>
                <w:sz w:val="21"/>
              </w:rPr>
            </w:pPr>
          </w:p>
          <w:p w14:paraId="30C20589">
            <w:pPr>
              <w:spacing w:line="251" w:lineRule="auto"/>
              <w:rPr>
                <w:rFonts w:ascii="Arial"/>
                <w:sz w:val="21"/>
              </w:rPr>
            </w:pPr>
          </w:p>
          <w:p w14:paraId="3EB96600">
            <w:pPr>
              <w:spacing w:line="251" w:lineRule="auto"/>
              <w:rPr>
                <w:rFonts w:ascii="Arial"/>
                <w:sz w:val="21"/>
              </w:rPr>
            </w:pPr>
          </w:p>
          <w:p w14:paraId="56DD1D79">
            <w:pPr>
              <w:pStyle w:val="6"/>
              <w:spacing w:before="81" w:line="220" w:lineRule="auto"/>
              <w:ind w:right="3"/>
              <w:jc w:val="right"/>
              <w:rPr>
                <w:sz w:val="25"/>
                <w:szCs w:val="25"/>
              </w:rPr>
            </w:pPr>
            <w:r>
              <w:rPr>
                <w:spacing w:val="-7"/>
                <w:sz w:val="25"/>
                <w:szCs w:val="25"/>
              </w:rPr>
              <w:t>项 目</w:t>
            </w:r>
          </w:p>
          <w:p w14:paraId="5A4E1534">
            <w:pPr>
              <w:pStyle w:val="6"/>
              <w:spacing w:before="2" w:line="221" w:lineRule="auto"/>
              <w:ind w:left="94"/>
              <w:rPr>
                <w:sz w:val="25"/>
                <w:szCs w:val="25"/>
              </w:rPr>
            </w:pPr>
            <w:r>
              <w:rPr>
                <w:spacing w:val="5"/>
                <w:sz w:val="25"/>
                <w:szCs w:val="25"/>
              </w:rPr>
              <w:t>组成</w:t>
            </w:r>
          </w:p>
          <w:p w14:paraId="25ACCC6A">
            <w:pPr>
              <w:pStyle w:val="6"/>
              <w:spacing w:before="22" w:line="212" w:lineRule="auto"/>
              <w:ind w:left="94"/>
              <w:rPr>
                <w:sz w:val="25"/>
                <w:szCs w:val="25"/>
              </w:rPr>
            </w:pPr>
            <w:r>
              <w:rPr>
                <w:spacing w:val="-3"/>
                <w:sz w:val="25"/>
                <w:szCs w:val="25"/>
              </w:rPr>
              <w:t>及规</w:t>
            </w:r>
          </w:p>
          <w:p w14:paraId="188D3672">
            <w:pPr>
              <w:pStyle w:val="6"/>
              <w:spacing w:line="219" w:lineRule="auto"/>
              <w:ind w:left="224"/>
              <w:rPr>
                <w:sz w:val="25"/>
                <w:szCs w:val="25"/>
              </w:rPr>
            </w:pPr>
            <w:r>
              <w:rPr>
                <w:sz w:val="25"/>
                <w:szCs w:val="25"/>
              </w:rPr>
              <w:t>模</w:t>
            </w:r>
          </w:p>
        </w:tc>
        <w:tc>
          <w:tcPr>
            <w:tcW w:w="8385" w:type="dxa"/>
            <w:vAlign w:val="top"/>
          </w:tcPr>
          <w:p w14:paraId="78FD4D78">
            <w:pPr>
              <w:pStyle w:val="6"/>
              <w:spacing w:before="30" w:line="219" w:lineRule="auto"/>
              <w:ind w:left="124"/>
              <w:rPr>
                <w:sz w:val="25"/>
                <w:szCs w:val="25"/>
              </w:rPr>
            </w:pPr>
            <w:r>
              <w:rPr>
                <w:b/>
                <w:bCs/>
                <w:spacing w:val="-3"/>
                <w:sz w:val="25"/>
                <w:szCs w:val="25"/>
              </w:rPr>
              <w:t>1项目组成及规模</w:t>
            </w:r>
          </w:p>
          <w:p w14:paraId="0A652891">
            <w:pPr>
              <w:pStyle w:val="6"/>
              <w:spacing w:before="170" w:line="342" w:lineRule="auto"/>
              <w:ind w:left="144" w:firstLine="358"/>
              <w:rPr>
                <w:sz w:val="25"/>
                <w:szCs w:val="25"/>
              </w:rPr>
            </w:pPr>
            <w:r>
              <w:rPr>
                <w:b/>
                <w:bCs/>
                <w:spacing w:val="-3"/>
                <w:sz w:val="25"/>
                <w:szCs w:val="25"/>
              </w:rPr>
              <w:t>根据《栗树园村光伏电站项目可行性研究报告》,栗树园村光伏电站项目</w:t>
            </w:r>
            <w:r>
              <w:rPr>
                <w:spacing w:val="8"/>
                <w:sz w:val="25"/>
                <w:szCs w:val="25"/>
              </w:rPr>
              <w:t xml:space="preserve"> </w:t>
            </w:r>
            <w:r>
              <w:rPr>
                <w:b/>
                <w:bCs/>
                <w:spacing w:val="-4"/>
                <w:sz w:val="25"/>
                <w:szCs w:val="25"/>
              </w:rPr>
              <w:t>额定装机容量为50MWac,安装容量为58.16MWp。本项目推荐采用容量为</w:t>
            </w:r>
          </w:p>
          <w:p w14:paraId="60FDFBAA">
            <w:pPr>
              <w:pStyle w:val="6"/>
              <w:spacing w:before="1" w:line="344" w:lineRule="auto"/>
              <w:ind w:left="64" w:firstLine="59"/>
              <w:rPr>
                <w:sz w:val="25"/>
                <w:szCs w:val="25"/>
              </w:rPr>
            </w:pPr>
            <w:r>
              <w:rPr>
                <w:b/>
                <w:bCs/>
                <w:spacing w:val="-4"/>
                <w:sz w:val="25"/>
                <w:szCs w:val="25"/>
              </w:rPr>
              <w:t>610Wp的单晶硅N型双面光伏组件，共计9</w:t>
            </w:r>
            <w:r>
              <w:rPr>
                <w:b/>
                <w:bCs/>
                <w:spacing w:val="-5"/>
                <w:sz w:val="25"/>
                <w:szCs w:val="25"/>
              </w:rPr>
              <w:t>5348块，采用固定支架倾角和柔性</w:t>
            </w:r>
            <w:r>
              <w:rPr>
                <w:sz w:val="25"/>
                <w:szCs w:val="25"/>
              </w:rPr>
              <w:t xml:space="preserve">   </w:t>
            </w:r>
            <w:r>
              <w:rPr>
                <w:b/>
                <w:bCs/>
                <w:spacing w:val="-4"/>
                <w:sz w:val="25"/>
                <w:szCs w:val="25"/>
              </w:rPr>
              <w:t>支架运行方式。光伏阵列面固定支架倾角采</w:t>
            </w:r>
            <w:r>
              <w:rPr>
                <w:b/>
                <w:bCs/>
                <w:spacing w:val="-5"/>
                <w:sz w:val="25"/>
                <w:szCs w:val="25"/>
              </w:rPr>
              <w:t>用25°,柔性支架倾角采用15°。</w:t>
            </w:r>
          </w:p>
          <w:p w14:paraId="4D758037">
            <w:pPr>
              <w:pStyle w:val="6"/>
              <w:spacing w:before="1" w:line="349" w:lineRule="auto"/>
              <w:ind w:left="184" w:right="200" w:firstLine="59"/>
              <w:jc w:val="both"/>
              <w:rPr>
                <w:sz w:val="25"/>
                <w:szCs w:val="25"/>
              </w:rPr>
            </w:pPr>
            <w:r>
              <w:rPr>
                <w:b/>
                <w:bCs/>
                <w:spacing w:val="-3"/>
                <w:sz w:val="25"/>
                <w:szCs w:val="25"/>
              </w:rPr>
              <w:t>26块光伏组件串联为一个组串单元，并网逆变器选择300kW,250kW,196kW</w:t>
            </w:r>
            <w:r>
              <w:rPr>
                <w:sz w:val="25"/>
                <w:szCs w:val="25"/>
              </w:rPr>
              <w:t xml:space="preserve">  </w:t>
            </w:r>
            <w:r>
              <w:rPr>
                <w:b/>
                <w:bCs/>
                <w:spacing w:val="-3"/>
                <w:sz w:val="25"/>
                <w:szCs w:val="25"/>
              </w:rPr>
              <w:t>组串式逆变器，300kW逆变器接入22路光伏组串，250kW逆变器接入18路光</w:t>
            </w:r>
            <w:r>
              <w:rPr>
                <w:sz w:val="25"/>
                <w:szCs w:val="25"/>
              </w:rPr>
              <w:t xml:space="preserve"> </w:t>
            </w:r>
            <w:r>
              <w:rPr>
                <w:b/>
                <w:bCs/>
                <w:spacing w:val="-3"/>
                <w:sz w:val="25"/>
                <w:szCs w:val="25"/>
              </w:rPr>
              <w:t>伏组串，196kW逆变器接入15路光伏组串，共计179台逆变器。本工程建设</w:t>
            </w:r>
          </w:p>
          <w:p w14:paraId="4E40D0E8">
            <w:pPr>
              <w:pStyle w:val="6"/>
              <w:spacing w:before="5" w:line="342" w:lineRule="auto"/>
              <w:ind w:left="64" w:right="52" w:firstLine="179"/>
              <w:rPr>
                <w:sz w:val="25"/>
                <w:szCs w:val="25"/>
              </w:rPr>
            </w:pPr>
            <w:r>
              <w:rPr>
                <w:b/>
                <w:bCs/>
                <w:spacing w:val="-2"/>
                <w:sz w:val="25"/>
                <w:szCs w:val="25"/>
              </w:rPr>
              <w:t>1个0.9MWac光伏子方阵系统、2个1.25MWac光</w:t>
            </w:r>
            <w:r>
              <w:rPr>
                <w:b/>
                <w:bCs/>
                <w:spacing w:val="-3"/>
                <w:sz w:val="25"/>
                <w:szCs w:val="25"/>
              </w:rPr>
              <w:t>伏子方阵系统、1个1.4MWac</w:t>
            </w:r>
            <w:r>
              <w:rPr>
                <w:sz w:val="25"/>
                <w:szCs w:val="25"/>
              </w:rPr>
              <w:t xml:space="preserve">   </w:t>
            </w:r>
            <w:r>
              <w:rPr>
                <w:b/>
                <w:bCs/>
                <w:spacing w:val="1"/>
                <w:sz w:val="25"/>
                <w:szCs w:val="25"/>
              </w:rPr>
              <w:t>光伏子方阵系统、2个1.5</w:t>
            </w:r>
            <w:r>
              <w:rPr>
                <w:b/>
                <w:bCs/>
                <w:sz w:val="25"/>
                <w:szCs w:val="25"/>
              </w:rPr>
              <w:t>MWac</w:t>
            </w:r>
            <w:r>
              <w:rPr>
                <w:b/>
                <w:bCs/>
                <w:spacing w:val="1"/>
                <w:sz w:val="25"/>
                <w:szCs w:val="25"/>
              </w:rPr>
              <w:t>光伏子方阵系统、3个1.6</w:t>
            </w:r>
            <w:r>
              <w:rPr>
                <w:b/>
                <w:bCs/>
                <w:sz w:val="25"/>
                <w:szCs w:val="25"/>
              </w:rPr>
              <w:t>MWac</w:t>
            </w:r>
            <w:r>
              <w:rPr>
                <w:b/>
                <w:bCs/>
                <w:spacing w:val="1"/>
                <w:sz w:val="25"/>
                <w:szCs w:val="25"/>
              </w:rPr>
              <w:t>光伏子方</w:t>
            </w:r>
            <w:r>
              <w:rPr>
                <w:b/>
                <w:bCs/>
                <w:sz w:val="25"/>
                <w:szCs w:val="25"/>
              </w:rPr>
              <w:t>阵系</w:t>
            </w:r>
            <w:r>
              <w:rPr>
                <w:sz w:val="25"/>
                <w:szCs w:val="25"/>
              </w:rPr>
              <w:t xml:space="preserve">  </w:t>
            </w:r>
            <w:r>
              <w:rPr>
                <w:b/>
                <w:bCs/>
                <w:spacing w:val="-2"/>
                <w:sz w:val="25"/>
                <w:szCs w:val="25"/>
              </w:rPr>
              <w:t>统、3个1.8MWac光伏子方阵系统、1个2.</w:t>
            </w:r>
            <w:r>
              <w:rPr>
                <w:b/>
                <w:bCs/>
                <w:spacing w:val="-3"/>
                <w:sz w:val="25"/>
                <w:szCs w:val="25"/>
              </w:rPr>
              <w:t>2MWac光伏子方阵系统、4个2.4MWac</w:t>
            </w:r>
            <w:r>
              <w:rPr>
                <w:sz w:val="25"/>
                <w:szCs w:val="25"/>
              </w:rPr>
              <w:t xml:space="preserve"> </w:t>
            </w:r>
            <w:r>
              <w:rPr>
                <w:b/>
                <w:bCs/>
                <w:spacing w:val="1"/>
                <w:sz w:val="25"/>
                <w:szCs w:val="25"/>
              </w:rPr>
              <w:t>光伏子方阵系统、1个2.5</w:t>
            </w:r>
            <w:r>
              <w:rPr>
                <w:b/>
                <w:bCs/>
                <w:sz w:val="25"/>
                <w:szCs w:val="25"/>
              </w:rPr>
              <w:t>MWac</w:t>
            </w:r>
            <w:r>
              <w:rPr>
                <w:b/>
                <w:bCs/>
                <w:spacing w:val="1"/>
                <w:sz w:val="25"/>
                <w:szCs w:val="25"/>
              </w:rPr>
              <w:t>光伏子方阵系统、1个2.7</w:t>
            </w:r>
            <w:r>
              <w:rPr>
                <w:b/>
                <w:bCs/>
                <w:sz w:val="25"/>
                <w:szCs w:val="25"/>
              </w:rPr>
              <w:t>MWac</w:t>
            </w:r>
            <w:r>
              <w:rPr>
                <w:b/>
                <w:bCs/>
                <w:spacing w:val="1"/>
                <w:sz w:val="25"/>
                <w:szCs w:val="25"/>
              </w:rPr>
              <w:t>光伏子方</w:t>
            </w:r>
            <w:r>
              <w:rPr>
                <w:b/>
                <w:bCs/>
                <w:sz w:val="25"/>
                <w:szCs w:val="25"/>
              </w:rPr>
              <w:t>阵系</w:t>
            </w:r>
            <w:r>
              <w:rPr>
                <w:sz w:val="25"/>
                <w:szCs w:val="25"/>
              </w:rPr>
              <w:t xml:space="preserve">  </w:t>
            </w:r>
            <w:r>
              <w:rPr>
                <w:b/>
                <w:bCs/>
                <w:spacing w:val="-1"/>
                <w:sz w:val="25"/>
                <w:szCs w:val="25"/>
              </w:rPr>
              <w:t>统、3个3MWac光伏子方阵系统、2个3.15MWac光伏子方阵系统，共计24</w:t>
            </w:r>
          </w:p>
          <w:p w14:paraId="03679C59">
            <w:pPr>
              <w:pStyle w:val="6"/>
              <w:spacing w:before="14" w:line="335" w:lineRule="auto"/>
              <w:ind w:left="124" w:right="12" w:hanging="60"/>
              <w:jc w:val="both"/>
              <w:rPr>
                <w:sz w:val="25"/>
                <w:szCs w:val="25"/>
              </w:rPr>
            </w:pPr>
            <w:r>
              <w:rPr>
                <w:b/>
                <w:bCs/>
                <w:spacing w:val="-3"/>
                <w:sz w:val="25"/>
                <w:szCs w:val="25"/>
              </w:rPr>
              <w:t>个光伏子方阵系统，共计24台箱式变压器。本并网光伏电站每个光伏子方阵</w:t>
            </w:r>
            <w:r>
              <w:rPr>
                <w:spacing w:val="1"/>
                <w:sz w:val="25"/>
                <w:szCs w:val="25"/>
              </w:rPr>
              <w:t xml:space="preserve">  </w:t>
            </w:r>
            <w:r>
              <w:rPr>
                <w:b/>
                <w:bCs/>
                <w:spacing w:val="-3"/>
                <w:sz w:val="25"/>
                <w:szCs w:val="25"/>
              </w:rPr>
              <w:t>经逆变升压后输出电压为35kV,在适当位置设置35kV电缆分接箱。每个光伏</w:t>
            </w:r>
            <w:r>
              <w:rPr>
                <w:sz w:val="25"/>
                <w:szCs w:val="25"/>
              </w:rPr>
              <w:t xml:space="preserve">  </w:t>
            </w:r>
            <w:r>
              <w:rPr>
                <w:b/>
                <w:bCs/>
                <w:spacing w:val="-3"/>
                <w:sz w:val="25"/>
                <w:szCs w:val="25"/>
              </w:rPr>
              <w:t>方阵电力经箱变升压至35kV后，通过35KV电缆分接箱并联至35kV集电线路，</w:t>
            </w:r>
            <w:r>
              <w:rPr>
                <w:spacing w:val="1"/>
                <w:sz w:val="25"/>
                <w:szCs w:val="25"/>
              </w:rPr>
              <w:t xml:space="preserve"> </w:t>
            </w:r>
            <w:r>
              <w:rPr>
                <w:b/>
                <w:bCs/>
                <w:spacing w:val="-2"/>
                <w:sz w:val="25"/>
                <w:szCs w:val="25"/>
              </w:rPr>
              <w:t>集电线路汇集电力后输送至110kV升压站。拟在</w:t>
            </w:r>
            <w:r>
              <w:rPr>
                <w:b/>
                <w:bCs/>
                <w:spacing w:val="-3"/>
                <w:sz w:val="25"/>
                <w:szCs w:val="25"/>
              </w:rPr>
              <w:t>光伏场区6#、7#光伏方阵东</w:t>
            </w:r>
            <w:r>
              <w:rPr>
                <w:sz w:val="25"/>
                <w:szCs w:val="25"/>
              </w:rPr>
              <w:t xml:space="preserve">  </w:t>
            </w:r>
            <w:r>
              <w:rPr>
                <w:b/>
                <w:bCs/>
                <w:spacing w:val="-2"/>
                <w:sz w:val="25"/>
                <w:szCs w:val="25"/>
              </w:rPr>
              <w:t>侧新建一座110kV变电站，主变规模为1×50MVA</w:t>
            </w:r>
            <w:r>
              <w:rPr>
                <w:b/>
                <w:bCs/>
                <w:spacing w:val="-3"/>
                <w:sz w:val="25"/>
                <w:szCs w:val="25"/>
              </w:rPr>
              <w:t>,电站以1回110kV线路接</w:t>
            </w:r>
          </w:p>
        </w:tc>
      </w:tr>
    </w:tbl>
    <w:p w14:paraId="374919A3">
      <w:pPr>
        <w:pStyle w:val="2"/>
      </w:pPr>
    </w:p>
    <w:p w14:paraId="66E3F878">
      <w:pPr>
        <w:sectPr>
          <w:footerReference r:id="rId56" w:type="default"/>
          <w:pgSz w:w="11910" w:h="16830"/>
          <w:pgMar w:top="400" w:right="1415" w:bottom="1245" w:left="1385" w:header="0" w:footer="1083" w:gutter="0"/>
          <w:cols w:space="720" w:num="1"/>
        </w:sectPr>
      </w:pPr>
    </w:p>
    <w:p w14:paraId="1A5FE383">
      <w:pPr>
        <w:spacing w:before="18"/>
      </w:pPr>
    </w:p>
    <w:p w14:paraId="31633901">
      <w:pPr>
        <w:spacing w:before="17"/>
      </w:pPr>
    </w:p>
    <w:p w14:paraId="0C88557A">
      <w:pPr>
        <w:spacing w:before="17"/>
      </w:pPr>
    </w:p>
    <w:p w14:paraId="43843555">
      <w:pPr>
        <w:spacing w:before="17"/>
      </w:pPr>
    </w:p>
    <w:tbl>
      <w:tblPr>
        <w:tblStyle w:val="5"/>
        <w:tblW w:w="9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110"/>
        <w:gridCol w:w="679"/>
        <w:gridCol w:w="440"/>
        <w:gridCol w:w="669"/>
        <w:gridCol w:w="6462"/>
      </w:tblGrid>
      <w:tr w14:paraId="3361B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8" w:hRule="atLeast"/>
        </w:trPr>
        <w:tc>
          <w:tcPr>
            <w:tcW w:w="714" w:type="dxa"/>
            <w:vMerge w:val="restart"/>
            <w:tcBorders>
              <w:bottom w:val="nil"/>
            </w:tcBorders>
            <w:vAlign w:val="top"/>
          </w:tcPr>
          <w:p w14:paraId="2CF27326">
            <w:pPr>
              <w:rPr>
                <w:rFonts w:ascii="Arial"/>
                <w:sz w:val="21"/>
              </w:rPr>
            </w:pPr>
          </w:p>
        </w:tc>
        <w:tc>
          <w:tcPr>
            <w:tcW w:w="8360" w:type="dxa"/>
            <w:gridSpan w:val="5"/>
            <w:vAlign w:val="top"/>
          </w:tcPr>
          <w:p w14:paraId="2F8435D9">
            <w:pPr>
              <w:pStyle w:val="6"/>
              <w:spacing w:before="15" w:line="361" w:lineRule="auto"/>
              <w:ind w:left="111" w:right="417"/>
              <w:jc w:val="both"/>
              <w:rPr>
                <w:sz w:val="24"/>
                <w:szCs w:val="24"/>
              </w:rPr>
            </w:pPr>
            <w:r>
              <w:rPr>
                <w:spacing w:val="1"/>
                <w:sz w:val="24"/>
                <w:szCs w:val="24"/>
              </w:rPr>
              <w:t>入普乐村光伏电站，通过普乐村光伏电站11</w:t>
            </w:r>
            <w:r>
              <w:rPr>
                <w:sz w:val="24"/>
                <w:szCs w:val="24"/>
              </w:rPr>
              <w:t xml:space="preserve">0kV母线接入电网，线路长度约 </w:t>
            </w:r>
            <w:r>
              <w:rPr>
                <w:spacing w:val="1"/>
                <w:sz w:val="24"/>
                <w:szCs w:val="24"/>
              </w:rPr>
              <w:t>1.8</w:t>
            </w:r>
            <w:r>
              <w:rPr>
                <w:sz w:val="24"/>
                <w:szCs w:val="24"/>
              </w:rPr>
              <w:t>km</w:t>
            </w:r>
            <w:r>
              <w:rPr>
                <w:spacing w:val="1"/>
                <w:sz w:val="24"/>
                <w:szCs w:val="24"/>
              </w:rPr>
              <w:t>,导线截面按240</w:t>
            </w:r>
            <w:r>
              <w:rPr>
                <w:sz w:val="24"/>
                <w:szCs w:val="24"/>
              </w:rPr>
              <w:t>mm</w:t>
            </w:r>
            <w:r>
              <w:rPr>
                <w:spacing w:val="1"/>
                <w:sz w:val="24"/>
                <w:szCs w:val="24"/>
              </w:rPr>
              <w:t>2考虑，最终接入系</w:t>
            </w:r>
            <w:r>
              <w:rPr>
                <w:sz w:val="24"/>
                <w:szCs w:val="24"/>
              </w:rPr>
              <w:t xml:space="preserve">统方案将在下阶段设计中进一  </w:t>
            </w:r>
            <w:r>
              <w:rPr>
                <w:spacing w:val="-1"/>
                <w:sz w:val="24"/>
                <w:szCs w:val="24"/>
              </w:rPr>
              <w:t>步研究，并服从于电网整体规划。</w:t>
            </w:r>
          </w:p>
          <w:p w14:paraId="7FDC3F8C">
            <w:pPr>
              <w:pStyle w:val="6"/>
              <w:spacing w:before="2" w:line="359" w:lineRule="auto"/>
              <w:ind w:left="111" w:right="68" w:firstLine="369"/>
              <w:rPr>
                <w:sz w:val="24"/>
                <w:szCs w:val="24"/>
              </w:rPr>
            </w:pPr>
            <w:r>
              <w:rPr>
                <w:sz w:val="24"/>
                <w:szCs w:val="24"/>
              </w:rPr>
              <w:t>根据项目投资备案证，备案证中建设内容为光伏</w:t>
            </w:r>
            <w:r>
              <w:rPr>
                <w:spacing w:val="-1"/>
                <w:sz w:val="24"/>
                <w:szCs w:val="24"/>
              </w:rPr>
              <w:t>阵列区、集电线路、箱式</w:t>
            </w:r>
            <w:r>
              <w:rPr>
                <w:sz w:val="24"/>
                <w:szCs w:val="24"/>
              </w:rPr>
              <w:t xml:space="preserve">  </w:t>
            </w:r>
            <w:r>
              <w:rPr>
                <w:spacing w:val="1"/>
                <w:sz w:val="24"/>
                <w:szCs w:val="24"/>
              </w:rPr>
              <w:t>变压器、组串式逆变器及其他附属设备。配套建设</w:t>
            </w:r>
            <w:r>
              <w:rPr>
                <w:sz w:val="24"/>
                <w:szCs w:val="24"/>
              </w:rPr>
              <w:t>110kV升压站、送出线路及  其附属设施、进站道路及检修道路等设施。本次评价内容截止至新建升压站，</w:t>
            </w:r>
            <w:r>
              <w:rPr>
                <w:spacing w:val="9"/>
                <w:sz w:val="24"/>
                <w:szCs w:val="24"/>
              </w:rPr>
              <w:t xml:space="preserve"> </w:t>
            </w:r>
            <w:r>
              <w:rPr>
                <w:spacing w:val="2"/>
                <w:sz w:val="24"/>
                <w:szCs w:val="24"/>
              </w:rPr>
              <w:t>不包括新建110</w:t>
            </w:r>
            <w:r>
              <w:rPr>
                <w:sz w:val="24"/>
                <w:szCs w:val="24"/>
              </w:rPr>
              <w:t>kV</w:t>
            </w:r>
            <w:r>
              <w:rPr>
                <w:spacing w:val="2"/>
                <w:sz w:val="24"/>
                <w:szCs w:val="24"/>
              </w:rPr>
              <w:t>升压站1回输出线路工程(由于建设隶属问题，另行环评),</w:t>
            </w:r>
          </w:p>
          <w:p w14:paraId="30929EBD">
            <w:pPr>
              <w:pStyle w:val="6"/>
              <w:spacing w:line="356" w:lineRule="auto"/>
              <w:ind w:left="121" w:right="58"/>
              <w:rPr>
                <w:sz w:val="24"/>
                <w:szCs w:val="24"/>
              </w:rPr>
            </w:pPr>
            <w:r>
              <w:rPr>
                <w:sz w:val="24"/>
                <w:szCs w:val="24"/>
              </w:rPr>
              <w:t>纳入本项目评价范围的建设内容为光伏区、集电线路、箱式变压器、组串式逆</w:t>
            </w:r>
            <w:r>
              <w:rPr>
                <w:spacing w:val="9"/>
                <w:sz w:val="24"/>
                <w:szCs w:val="24"/>
              </w:rPr>
              <w:t xml:space="preserve"> </w:t>
            </w:r>
            <w:r>
              <w:rPr>
                <w:sz w:val="24"/>
                <w:szCs w:val="24"/>
              </w:rPr>
              <w:t>变器及其他附属设备。配套建设110kV升压站、进站道路及检修道路等设</w:t>
            </w:r>
            <w:r>
              <w:rPr>
                <w:spacing w:val="-1"/>
                <w:sz w:val="24"/>
                <w:szCs w:val="24"/>
              </w:rPr>
              <w:t>施。</w:t>
            </w:r>
          </w:p>
          <w:p w14:paraId="37DD555E">
            <w:pPr>
              <w:pStyle w:val="6"/>
              <w:spacing w:before="2" w:line="359" w:lineRule="auto"/>
              <w:ind w:left="111" w:right="59" w:firstLine="10"/>
              <w:rPr>
                <w:sz w:val="24"/>
                <w:szCs w:val="24"/>
              </w:rPr>
            </w:pPr>
            <w:r>
              <w:rPr>
                <w:sz w:val="24"/>
                <w:szCs w:val="24"/>
              </w:rPr>
              <w:t>此外，由于项目配套草地种植另外编写专题研究报</w:t>
            </w:r>
            <w:r>
              <w:rPr>
                <w:spacing w:val="-1"/>
                <w:sz w:val="24"/>
                <w:szCs w:val="24"/>
              </w:rPr>
              <w:t>告，目前无法确定其种植方</w:t>
            </w:r>
            <w:r>
              <w:rPr>
                <w:sz w:val="24"/>
                <w:szCs w:val="24"/>
              </w:rPr>
              <w:t xml:space="preserve"> 案，故本次评价不包含草地种植的相关内容，草地种植配套项目不纳入本次评</w:t>
            </w:r>
            <w:r>
              <w:rPr>
                <w:spacing w:val="18"/>
                <w:sz w:val="24"/>
                <w:szCs w:val="24"/>
              </w:rPr>
              <w:t xml:space="preserve"> </w:t>
            </w:r>
            <w:r>
              <w:rPr>
                <w:sz w:val="24"/>
                <w:szCs w:val="24"/>
              </w:rPr>
              <w:t>价内容，将另行办理环保手续。</w:t>
            </w:r>
          </w:p>
          <w:p w14:paraId="7DD46BB7">
            <w:pPr>
              <w:pStyle w:val="6"/>
              <w:spacing w:before="10" w:line="219" w:lineRule="auto"/>
              <w:ind w:left="84"/>
              <w:rPr>
                <w:sz w:val="24"/>
                <w:szCs w:val="24"/>
              </w:rPr>
            </w:pPr>
            <w:r>
              <w:rPr>
                <w:b/>
                <w:bCs/>
                <w:spacing w:val="-4"/>
                <w:sz w:val="24"/>
                <w:szCs w:val="24"/>
              </w:rPr>
              <w:t>2项目组成及建设内容</w:t>
            </w:r>
          </w:p>
          <w:p w14:paraId="40DEE512">
            <w:pPr>
              <w:pStyle w:val="6"/>
              <w:spacing w:before="177" w:line="356" w:lineRule="auto"/>
              <w:ind w:left="101" w:right="77" w:firstLine="479"/>
              <w:rPr>
                <w:sz w:val="24"/>
                <w:szCs w:val="24"/>
              </w:rPr>
            </w:pPr>
            <w:r>
              <w:rPr>
                <w:sz w:val="24"/>
                <w:szCs w:val="24"/>
              </w:rPr>
              <w:t>本项目评价内容包含光伏列阵、逆变器、箱式变压器、集电线路、进场道</w:t>
            </w:r>
            <w:r>
              <w:rPr>
                <w:spacing w:val="10"/>
                <w:sz w:val="24"/>
                <w:szCs w:val="24"/>
              </w:rPr>
              <w:t xml:space="preserve"> </w:t>
            </w:r>
            <w:r>
              <w:rPr>
                <w:sz w:val="24"/>
                <w:szCs w:val="24"/>
              </w:rPr>
              <w:t>路及升压站。项目拟以1回110kV线路接入普乐村光伏电站，通过普乐村光伏</w:t>
            </w:r>
          </w:p>
          <w:p w14:paraId="4547666C">
            <w:pPr>
              <w:pStyle w:val="6"/>
              <w:spacing w:before="5" w:line="358" w:lineRule="auto"/>
              <w:ind w:left="90" w:right="60" w:firstLine="20"/>
              <w:rPr>
                <w:sz w:val="24"/>
                <w:szCs w:val="24"/>
              </w:rPr>
            </w:pPr>
            <w:r>
              <w:rPr>
                <w:spacing w:val="1"/>
                <w:sz w:val="24"/>
                <w:szCs w:val="24"/>
              </w:rPr>
              <w:t>电站110</w:t>
            </w:r>
            <w:r>
              <w:rPr>
                <w:sz w:val="24"/>
                <w:szCs w:val="24"/>
              </w:rPr>
              <w:t>kV</w:t>
            </w:r>
            <w:r>
              <w:rPr>
                <w:spacing w:val="1"/>
                <w:sz w:val="24"/>
                <w:szCs w:val="24"/>
              </w:rPr>
              <w:t>母线接入电网，升压站输出线路及接入</w:t>
            </w:r>
            <w:r>
              <w:rPr>
                <w:sz w:val="24"/>
                <w:szCs w:val="24"/>
              </w:rPr>
              <w:t xml:space="preserve">普乐村光伏电站及当地电网  </w:t>
            </w:r>
            <w:r>
              <w:rPr>
                <w:spacing w:val="1"/>
                <w:sz w:val="24"/>
                <w:szCs w:val="24"/>
              </w:rPr>
              <w:t>系统工程将另行环评，本次评价内容不包括接入系统工程；此外，目前无法确</w:t>
            </w:r>
            <w:r>
              <w:rPr>
                <w:spacing w:val="3"/>
                <w:sz w:val="24"/>
                <w:szCs w:val="24"/>
              </w:rPr>
              <w:t xml:space="preserve"> </w:t>
            </w:r>
            <w:r>
              <w:rPr>
                <w:spacing w:val="1"/>
                <w:sz w:val="24"/>
                <w:szCs w:val="24"/>
              </w:rPr>
              <w:t>定其种植方案，故本次评价不包含草地种植</w:t>
            </w:r>
            <w:r>
              <w:rPr>
                <w:sz w:val="24"/>
                <w:szCs w:val="24"/>
              </w:rPr>
              <w:t xml:space="preserve">的相关内容，种植配套项目不纳入 </w:t>
            </w:r>
            <w:r>
              <w:rPr>
                <w:spacing w:val="1"/>
                <w:sz w:val="24"/>
                <w:szCs w:val="24"/>
              </w:rPr>
              <w:t>本次评价内容，将另行办理环保手续。陆良光</w:t>
            </w:r>
            <w:r>
              <w:rPr>
                <w:sz w:val="24"/>
                <w:szCs w:val="24"/>
              </w:rPr>
              <w:t xml:space="preserve">伏发电项目工程组成及主要建设 </w:t>
            </w:r>
            <w:r>
              <w:rPr>
                <w:spacing w:val="1"/>
                <w:sz w:val="24"/>
                <w:szCs w:val="24"/>
              </w:rPr>
              <w:t>内容见表2-1。</w:t>
            </w:r>
          </w:p>
          <w:p w14:paraId="18ABC98E">
            <w:pPr>
              <w:pStyle w:val="6"/>
              <w:spacing w:line="205" w:lineRule="auto"/>
              <w:ind w:left="2234"/>
              <w:rPr>
                <w:sz w:val="24"/>
                <w:szCs w:val="24"/>
              </w:rPr>
            </w:pPr>
            <w:r>
              <w:rPr>
                <w:b/>
                <w:bCs/>
                <w:spacing w:val="-4"/>
                <w:sz w:val="24"/>
                <w:szCs w:val="24"/>
              </w:rPr>
              <w:t>表2-1工程组成及建设内容一览表</w:t>
            </w:r>
          </w:p>
        </w:tc>
      </w:tr>
      <w:tr w14:paraId="38AF3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14" w:type="dxa"/>
            <w:vMerge w:val="continue"/>
            <w:tcBorders>
              <w:top w:val="nil"/>
              <w:bottom w:val="nil"/>
            </w:tcBorders>
            <w:vAlign w:val="top"/>
          </w:tcPr>
          <w:p w14:paraId="5F6362F9">
            <w:pPr>
              <w:rPr>
                <w:rFonts w:ascii="Arial"/>
                <w:sz w:val="21"/>
              </w:rPr>
            </w:pPr>
          </w:p>
        </w:tc>
        <w:tc>
          <w:tcPr>
            <w:tcW w:w="110" w:type="dxa"/>
            <w:tcBorders>
              <w:bottom w:val="nil"/>
            </w:tcBorders>
            <w:vAlign w:val="top"/>
          </w:tcPr>
          <w:p w14:paraId="30D43C11">
            <w:pPr>
              <w:rPr>
                <w:rFonts w:ascii="Arial"/>
                <w:sz w:val="21"/>
              </w:rPr>
            </w:pPr>
          </w:p>
        </w:tc>
        <w:tc>
          <w:tcPr>
            <w:tcW w:w="679" w:type="dxa"/>
            <w:vAlign w:val="top"/>
          </w:tcPr>
          <w:p w14:paraId="2775B064">
            <w:pPr>
              <w:pStyle w:val="6"/>
              <w:spacing w:before="47" w:line="192" w:lineRule="auto"/>
              <w:ind w:left="90"/>
              <w:rPr>
                <w:sz w:val="24"/>
                <w:szCs w:val="24"/>
              </w:rPr>
            </w:pPr>
            <w:r>
              <w:rPr>
                <w:spacing w:val="4"/>
                <w:sz w:val="24"/>
                <w:szCs w:val="24"/>
              </w:rPr>
              <w:t>工程</w:t>
            </w:r>
          </w:p>
          <w:p w14:paraId="3320A159">
            <w:pPr>
              <w:pStyle w:val="6"/>
              <w:spacing w:line="186" w:lineRule="auto"/>
              <w:ind w:left="90"/>
              <w:rPr>
                <w:sz w:val="24"/>
                <w:szCs w:val="24"/>
              </w:rPr>
            </w:pPr>
            <w:r>
              <w:rPr>
                <w:spacing w:val="7"/>
                <w:sz w:val="24"/>
                <w:szCs w:val="24"/>
              </w:rPr>
              <w:t>类型</w:t>
            </w:r>
          </w:p>
        </w:tc>
        <w:tc>
          <w:tcPr>
            <w:tcW w:w="1109" w:type="dxa"/>
            <w:gridSpan w:val="2"/>
            <w:vAlign w:val="top"/>
          </w:tcPr>
          <w:p w14:paraId="387BEFAA">
            <w:pPr>
              <w:pStyle w:val="6"/>
              <w:spacing w:before="167" w:line="220" w:lineRule="auto"/>
              <w:ind w:left="331"/>
              <w:rPr>
                <w:sz w:val="24"/>
                <w:szCs w:val="24"/>
              </w:rPr>
            </w:pPr>
            <w:r>
              <w:rPr>
                <w:spacing w:val="-7"/>
                <w:sz w:val="24"/>
                <w:szCs w:val="24"/>
              </w:rPr>
              <w:t>项 目</w:t>
            </w:r>
          </w:p>
        </w:tc>
        <w:tc>
          <w:tcPr>
            <w:tcW w:w="6462" w:type="dxa"/>
            <w:vAlign w:val="top"/>
          </w:tcPr>
          <w:p w14:paraId="66F57467">
            <w:pPr>
              <w:pStyle w:val="6"/>
              <w:spacing w:before="167" w:line="219" w:lineRule="auto"/>
              <w:ind w:left="2732"/>
              <w:rPr>
                <w:sz w:val="24"/>
                <w:szCs w:val="24"/>
              </w:rPr>
            </w:pPr>
            <w:r>
              <w:rPr>
                <w:spacing w:val="3"/>
                <w:sz w:val="24"/>
                <w:szCs w:val="24"/>
              </w:rPr>
              <w:t>建设内容</w:t>
            </w:r>
          </w:p>
        </w:tc>
      </w:tr>
      <w:tr w14:paraId="308BB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2" w:hRule="atLeast"/>
        </w:trPr>
        <w:tc>
          <w:tcPr>
            <w:tcW w:w="714" w:type="dxa"/>
            <w:vMerge w:val="continue"/>
            <w:tcBorders>
              <w:top w:val="nil"/>
            </w:tcBorders>
            <w:vAlign w:val="top"/>
          </w:tcPr>
          <w:p w14:paraId="700C83A6">
            <w:pPr>
              <w:rPr>
                <w:rFonts w:ascii="Arial"/>
                <w:sz w:val="21"/>
              </w:rPr>
            </w:pPr>
          </w:p>
        </w:tc>
        <w:tc>
          <w:tcPr>
            <w:tcW w:w="110" w:type="dxa"/>
            <w:tcBorders>
              <w:top w:val="nil"/>
            </w:tcBorders>
            <w:vAlign w:val="top"/>
          </w:tcPr>
          <w:p w14:paraId="44D5ACB0">
            <w:pPr>
              <w:rPr>
                <w:rFonts w:ascii="Arial"/>
                <w:sz w:val="21"/>
              </w:rPr>
            </w:pPr>
          </w:p>
        </w:tc>
        <w:tc>
          <w:tcPr>
            <w:tcW w:w="679" w:type="dxa"/>
            <w:vAlign w:val="top"/>
          </w:tcPr>
          <w:p w14:paraId="402836BE">
            <w:pPr>
              <w:spacing w:line="286" w:lineRule="auto"/>
              <w:rPr>
                <w:rFonts w:ascii="Arial"/>
                <w:sz w:val="21"/>
              </w:rPr>
            </w:pPr>
          </w:p>
          <w:p w14:paraId="0C4013A9">
            <w:pPr>
              <w:spacing w:line="286" w:lineRule="auto"/>
              <w:rPr>
                <w:rFonts w:ascii="Arial"/>
                <w:sz w:val="21"/>
              </w:rPr>
            </w:pPr>
          </w:p>
          <w:p w14:paraId="7F6F4FCF">
            <w:pPr>
              <w:spacing w:line="286" w:lineRule="auto"/>
              <w:rPr>
                <w:rFonts w:ascii="Arial"/>
                <w:sz w:val="21"/>
              </w:rPr>
            </w:pPr>
          </w:p>
          <w:p w14:paraId="63AC9914">
            <w:pPr>
              <w:spacing w:line="287" w:lineRule="auto"/>
              <w:rPr>
                <w:rFonts w:ascii="Arial"/>
                <w:sz w:val="21"/>
              </w:rPr>
            </w:pPr>
          </w:p>
          <w:p w14:paraId="3204CCF6">
            <w:pPr>
              <w:spacing w:line="287" w:lineRule="auto"/>
              <w:rPr>
                <w:rFonts w:ascii="Arial"/>
                <w:sz w:val="21"/>
              </w:rPr>
            </w:pPr>
          </w:p>
          <w:p w14:paraId="0C2EFF15">
            <w:pPr>
              <w:pStyle w:val="6"/>
              <w:spacing w:before="78" w:line="221" w:lineRule="auto"/>
              <w:ind w:left="90"/>
              <w:rPr>
                <w:sz w:val="24"/>
                <w:szCs w:val="24"/>
              </w:rPr>
            </w:pPr>
            <w:r>
              <w:rPr>
                <w:spacing w:val="5"/>
                <w:sz w:val="24"/>
                <w:szCs w:val="24"/>
              </w:rPr>
              <w:t>主体</w:t>
            </w:r>
          </w:p>
          <w:p w14:paraId="39969804">
            <w:pPr>
              <w:pStyle w:val="6"/>
              <w:spacing w:before="12" w:line="220" w:lineRule="auto"/>
              <w:ind w:left="90"/>
              <w:rPr>
                <w:sz w:val="24"/>
                <w:szCs w:val="24"/>
              </w:rPr>
            </w:pPr>
            <w:r>
              <w:rPr>
                <w:spacing w:val="4"/>
                <w:sz w:val="24"/>
                <w:szCs w:val="24"/>
              </w:rPr>
              <w:t>工程</w:t>
            </w:r>
          </w:p>
        </w:tc>
        <w:tc>
          <w:tcPr>
            <w:tcW w:w="440" w:type="dxa"/>
            <w:textDirection w:val="tbRlV"/>
            <w:vAlign w:val="top"/>
          </w:tcPr>
          <w:p w14:paraId="3C9CBF0B">
            <w:pPr>
              <w:pStyle w:val="6"/>
              <w:spacing w:before="78" w:line="199" w:lineRule="auto"/>
              <w:ind w:left="1272"/>
              <w:rPr>
                <w:sz w:val="24"/>
                <w:szCs w:val="24"/>
              </w:rPr>
            </w:pPr>
            <w:r>
              <w:rPr>
                <w:spacing w:val="5"/>
                <w:sz w:val="24"/>
                <w:szCs w:val="24"/>
              </w:rPr>
              <w:t>光伏电站</w:t>
            </w:r>
          </w:p>
        </w:tc>
        <w:tc>
          <w:tcPr>
            <w:tcW w:w="669" w:type="dxa"/>
            <w:vAlign w:val="top"/>
          </w:tcPr>
          <w:p w14:paraId="5D138663">
            <w:pPr>
              <w:spacing w:line="285" w:lineRule="auto"/>
              <w:rPr>
                <w:rFonts w:ascii="Arial"/>
                <w:sz w:val="21"/>
              </w:rPr>
            </w:pPr>
          </w:p>
          <w:p w14:paraId="35FC1B7E">
            <w:pPr>
              <w:spacing w:line="286" w:lineRule="auto"/>
              <w:rPr>
                <w:rFonts w:ascii="Arial"/>
                <w:sz w:val="21"/>
              </w:rPr>
            </w:pPr>
          </w:p>
          <w:p w14:paraId="437EDA9C">
            <w:pPr>
              <w:spacing w:line="286" w:lineRule="auto"/>
              <w:rPr>
                <w:rFonts w:ascii="Arial"/>
                <w:sz w:val="21"/>
              </w:rPr>
            </w:pPr>
          </w:p>
          <w:p w14:paraId="373B21BB">
            <w:pPr>
              <w:spacing w:line="286" w:lineRule="auto"/>
              <w:rPr>
                <w:rFonts w:ascii="Arial"/>
                <w:sz w:val="21"/>
              </w:rPr>
            </w:pPr>
          </w:p>
          <w:p w14:paraId="0034883C">
            <w:pPr>
              <w:spacing w:line="286" w:lineRule="auto"/>
              <w:rPr>
                <w:rFonts w:ascii="Arial"/>
                <w:sz w:val="21"/>
              </w:rPr>
            </w:pPr>
          </w:p>
          <w:p w14:paraId="3CA3062F">
            <w:pPr>
              <w:pStyle w:val="6"/>
              <w:spacing w:before="78" w:line="219" w:lineRule="auto"/>
              <w:ind w:left="81"/>
              <w:rPr>
                <w:sz w:val="24"/>
                <w:szCs w:val="24"/>
              </w:rPr>
            </w:pPr>
            <w:r>
              <w:rPr>
                <w:spacing w:val="6"/>
                <w:sz w:val="24"/>
                <w:szCs w:val="24"/>
              </w:rPr>
              <w:t>光伏</w:t>
            </w:r>
          </w:p>
          <w:p w14:paraId="685F1353">
            <w:pPr>
              <w:pStyle w:val="6"/>
              <w:spacing w:before="6" w:line="219" w:lineRule="auto"/>
              <w:ind w:left="81"/>
              <w:rPr>
                <w:sz w:val="24"/>
                <w:szCs w:val="24"/>
              </w:rPr>
            </w:pPr>
            <w:r>
              <w:rPr>
                <w:spacing w:val="5"/>
                <w:sz w:val="24"/>
                <w:szCs w:val="24"/>
              </w:rPr>
              <w:t>列阵</w:t>
            </w:r>
          </w:p>
        </w:tc>
        <w:tc>
          <w:tcPr>
            <w:tcW w:w="6462" w:type="dxa"/>
            <w:vAlign w:val="top"/>
          </w:tcPr>
          <w:p w14:paraId="6F5E17EC">
            <w:pPr>
              <w:pStyle w:val="6"/>
              <w:spacing w:before="32" w:line="208" w:lineRule="auto"/>
              <w:ind w:left="12" w:firstLine="452"/>
              <w:rPr>
                <w:sz w:val="24"/>
                <w:szCs w:val="24"/>
              </w:rPr>
            </w:pPr>
            <w:r>
              <w:rPr>
                <w:spacing w:val="-3"/>
                <w:sz w:val="24"/>
                <w:szCs w:val="24"/>
              </w:rPr>
              <w:t>本项目总装机规模为交流侧50MW,直流侧58.1</w:t>
            </w:r>
            <w:r>
              <w:rPr>
                <w:spacing w:val="-4"/>
                <w:sz w:val="24"/>
                <w:szCs w:val="24"/>
              </w:rPr>
              <w:t>6MWp;本项目</w:t>
            </w:r>
            <w:r>
              <w:rPr>
                <w:sz w:val="24"/>
                <w:szCs w:val="24"/>
              </w:rPr>
              <w:t xml:space="preserve"> </w:t>
            </w:r>
            <w:r>
              <w:rPr>
                <w:spacing w:val="-12"/>
                <w:sz w:val="24"/>
                <w:szCs w:val="24"/>
              </w:rPr>
              <w:t>推荐采用容量为610Wp的单晶硅N型双面光伏组件，共计95348块。</w:t>
            </w:r>
            <w:r>
              <w:rPr>
                <w:spacing w:val="6"/>
                <w:sz w:val="24"/>
                <w:szCs w:val="24"/>
              </w:rPr>
              <w:t xml:space="preserve"> </w:t>
            </w:r>
            <w:r>
              <w:rPr>
                <w:spacing w:val="-23"/>
                <w:w w:val="97"/>
                <w:sz w:val="24"/>
                <w:szCs w:val="24"/>
              </w:rPr>
              <w:t>采用固定支架倾角和柔性支架运行方式。光伏阵列面固定支架倾角采</w:t>
            </w:r>
            <w:r>
              <w:rPr>
                <w:spacing w:val="17"/>
                <w:sz w:val="24"/>
                <w:szCs w:val="24"/>
              </w:rPr>
              <w:t xml:space="preserve">  </w:t>
            </w:r>
            <w:r>
              <w:rPr>
                <w:spacing w:val="-16"/>
                <w:sz w:val="24"/>
                <w:szCs w:val="24"/>
              </w:rPr>
              <w:t>用25°,柔性支架倾角采用15°。26块光伏组件串联为一个组串单</w:t>
            </w:r>
            <w:r>
              <w:rPr>
                <w:sz w:val="24"/>
                <w:szCs w:val="24"/>
              </w:rPr>
              <w:t xml:space="preserve">  </w:t>
            </w:r>
            <w:r>
              <w:rPr>
                <w:spacing w:val="-4"/>
                <w:sz w:val="24"/>
                <w:szCs w:val="24"/>
              </w:rPr>
              <w:t>元，并网逆变器选择300kW,250kW,196kW组串式逆变</w:t>
            </w:r>
            <w:r>
              <w:rPr>
                <w:spacing w:val="-5"/>
                <w:sz w:val="24"/>
                <w:szCs w:val="24"/>
              </w:rPr>
              <w:t>器，300kW</w:t>
            </w:r>
            <w:r>
              <w:rPr>
                <w:sz w:val="24"/>
                <w:szCs w:val="24"/>
              </w:rPr>
              <w:t xml:space="preserve">  </w:t>
            </w:r>
            <w:r>
              <w:rPr>
                <w:spacing w:val="-18"/>
                <w:sz w:val="24"/>
                <w:szCs w:val="24"/>
              </w:rPr>
              <w:t>逆变器接入22路光伏组串，250kW逆变器接入18路光伏组串，196kW</w:t>
            </w:r>
            <w:r>
              <w:rPr>
                <w:spacing w:val="4"/>
                <w:sz w:val="24"/>
                <w:szCs w:val="24"/>
              </w:rPr>
              <w:t xml:space="preserve">  </w:t>
            </w:r>
            <w:r>
              <w:rPr>
                <w:spacing w:val="-12"/>
                <w:sz w:val="24"/>
                <w:szCs w:val="24"/>
              </w:rPr>
              <w:t>逆变器接入15路光伏组串。本工程建设1个0.9MWac光伏子方阵系</w:t>
            </w:r>
            <w:r>
              <w:rPr>
                <w:spacing w:val="17"/>
                <w:sz w:val="24"/>
                <w:szCs w:val="24"/>
              </w:rPr>
              <w:t xml:space="preserve"> </w:t>
            </w:r>
            <w:r>
              <w:rPr>
                <w:spacing w:val="-11"/>
                <w:sz w:val="24"/>
                <w:szCs w:val="24"/>
              </w:rPr>
              <w:t>统、2个1.25MWac光伏子方阵系统、1个1.4MWac光伏子方阵系统、</w:t>
            </w:r>
            <w:r>
              <w:rPr>
                <w:spacing w:val="5"/>
                <w:sz w:val="24"/>
                <w:szCs w:val="24"/>
              </w:rPr>
              <w:t xml:space="preserve"> </w:t>
            </w:r>
            <w:r>
              <w:rPr>
                <w:spacing w:val="-8"/>
                <w:sz w:val="24"/>
                <w:szCs w:val="24"/>
              </w:rPr>
              <w:t>2个1.5MWac光伏子方阵系统、3个1.6MWac光伏子方阵系统、3个</w:t>
            </w:r>
            <w:r>
              <w:rPr>
                <w:spacing w:val="8"/>
                <w:sz w:val="24"/>
                <w:szCs w:val="24"/>
              </w:rPr>
              <w:t xml:space="preserve">  </w:t>
            </w:r>
            <w:r>
              <w:rPr>
                <w:sz w:val="24"/>
                <w:szCs w:val="24"/>
              </w:rPr>
              <w:t>1.8MWac光伏子方阵系统、1个2.2MWac光</w:t>
            </w:r>
            <w:r>
              <w:rPr>
                <w:spacing w:val="-1"/>
                <w:sz w:val="24"/>
                <w:szCs w:val="24"/>
              </w:rPr>
              <w:t>伏子方阵系统、4个</w:t>
            </w:r>
            <w:r>
              <w:rPr>
                <w:sz w:val="24"/>
                <w:szCs w:val="24"/>
              </w:rPr>
              <w:t xml:space="preserve">  2.4MWac光伏子方阵系统、1个2.5MWac光</w:t>
            </w:r>
            <w:r>
              <w:rPr>
                <w:spacing w:val="-1"/>
                <w:sz w:val="24"/>
                <w:szCs w:val="24"/>
              </w:rPr>
              <w:t>伏子方阵系统、1个</w:t>
            </w:r>
            <w:r>
              <w:rPr>
                <w:sz w:val="24"/>
                <w:szCs w:val="24"/>
              </w:rPr>
              <w:t xml:space="preserve">  </w:t>
            </w:r>
            <w:r>
              <w:rPr>
                <w:spacing w:val="-3"/>
                <w:sz w:val="24"/>
                <w:szCs w:val="24"/>
              </w:rPr>
              <w:t>2.7MWac光伏子方阵系统、3个3MWac光伏子方阵系统、2个</w:t>
            </w:r>
          </w:p>
          <w:p w14:paraId="7AD0B1AD">
            <w:pPr>
              <w:pStyle w:val="6"/>
              <w:spacing w:line="196" w:lineRule="auto"/>
              <w:jc w:val="right"/>
              <w:rPr>
                <w:sz w:val="24"/>
                <w:szCs w:val="24"/>
              </w:rPr>
            </w:pPr>
            <w:r>
              <w:rPr>
                <w:spacing w:val="-18"/>
                <w:sz w:val="24"/>
                <w:szCs w:val="24"/>
              </w:rPr>
              <w:t>3.15MW</w:t>
            </w:r>
            <w:r>
              <w:rPr>
                <w:spacing w:val="-17"/>
                <w:sz w:val="24"/>
                <w:szCs w:val="24"/>
              </w:rPr>
              <w:t>ac光伏子方阵系统。本并网光伏电站每个光伏子方阵经逆</w:t>
            </w:r>
            <w:r>
              <w:rPr>
                <w:spacing w:val="-11"/>
                <w:sz w:val="24"/>
                <w:szCs w:val="24"/>
              </w:rPr>
              <w:t>变</w:t>
            </w:r>
          </w:p>
        </w:tc>
      </w:tr>
    </w:tbl>
    <w:p w14:paraId="3C23A7A7">
      <w:pPr>
        <w:pStyle w:val="2"/>
      </w:pPr>
    </w:p>
    <w:p w14:paraId="7FDD4B93">
      <w:pPr>
        <w:sectPr>
          <w:footerReference r:id="rId57" w:type="default"/>
          <w:pgSz w:w="11910" w:h="16830"/>
          <w:pgMar w:top="400" w:right="1430" w:bottom="1245" w:left="1395" w:header="0" w:footer="1083" w:gutter="0"/>
          <w:cols w:space="720" w:num="1"/>
        </w:sectPr>
      </w:pPr>
    </w:p>
    <w:p w14:paraId="4A77A547">
      <w:pPr>
        <w:spacing w:before="15"/>
      </w:pPr>
    </w:p>
    <w:p w14:paraId="62A36CDB">
      <w:pPr>
        <w:spacing w:before="15"/>
      </w:pPr>
    </w:p>
    <w:p w14:paraId="4ED27767">
      <w:pPr>
        <w:spacing w:before="15"/>
      </w:pPr>
    </w:p>
    <w:p w14:paraId="2C35F23E">
      <w:pPr>
        <w:spacing w:before="14"/>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110"/>
        <w:gridCol w:w="719"/>
        <w:gridCol w:w="399"/>
        <w:gridCol w:w="679"/>
        <w:gridCol w:w="6448"/>
      </w:tblGrid>
      <w:tr w14:paraId="25C4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14" w:type="dxa"/>
            <w:vMerge w:val="restart"/>
            <w:tcBorders>
              <w:bottom w:val="nil"/>
            </w:tcBorders>
            <w:vAlign w:val="top"/>
          </w:tcPr>
          <w:p w14:paraId="6E986F4A">
            <w:pPr>
              <w:rPr>
                <w:rFonts w:ascii="Arial"/>
                <w:sz w:val="21"/>
              </w:rPr>
            </w:pPr>
          </w:p>
        </w:tc>
        <w:tc>
          <w:tcPr>
            <w:tcW w:w="110" w:type="dxa"/>
            <w:tcBorders>
              <w:bottom w:val="nil"/>
            </w:tcBorders>
            <w:vAlign w:val="top"/>
          </w:tcPr>
          <w:p w14:paraId="48D2F3B6">
            <w:pPr>
              <w:rPr>
                <w:rFonts w:ascii="Arial"/>
                <w:sz w:val="21"/>
              </w:rPr>
            </w:pPr>
          </w:p>
        </w:tc>
        <w:tc>
          <w:tcPr>
            <w:tcW w:w="719" w:type="dxa"/>
            <w:vMerge w:val="restart"/>
            <w:tcBorders>
              <w:bottom w:val="nil"/>
            </w:tcBorders>
            <w:vAlign w:val="top"/>
          </w:tcPr>
          <w:p w14:paraId="60B87EE0">
            <w:pPr>
              <w:rPr>
                <w:rFonts w:ascii="Arial"/>
                <w:sz w:val="21"/>
              </w:rPr>
            </w:pPr>
          </w:p>
        </w:tc>
        <w:tc>
          <w:tcPr>
            <w:tcW w:w="399" w:type="dxa"/>
            <w:vMerge w:val="restart"/>
            <w:tcBorders>
              <w:bottom w:val="nil"/>
            </w:tcBorders>
            <w:vAlign w:val="top"/>
          </w:tcPr>
          <w:p w14:paraId="5590D154">
            <w:pPr>
              <w:rPr>
                <w:rFonts w:ascii="Arial"/>
                <w:sz w:val="21"/>
              </w:rPr>
            </w:pPr>
          </w:p>
        </w:tc>
        <w:tc>
          <w:tcPr>
            <w:tcW w:w="679" w:type="dxa"/>
            <w:vAlign w:val="top"/>
          </w:tcPr>
          <w:p w14:paraId="5C6942FA">
            <w:pPr>
              <w:rPr>
                <w:rFonts w:ascii="Arial"/>
                <w:sz w:val="21"/>
              </w:rPr>
            </w:pPr>
          </w:p>
        </w:tc>
        <w:tc>
          <w:tcPr>
            <w:tcW w:w="6448" w:type="dxa"/>
            <w:vAlign w:val="top"/>
          </w:tcPr>
          <w:p w14:paraId="080B68A3">
            <w:pPr>
              <w:pStyle w:val="6"/>
              <w:spacing w:before="38" w:line="209" w:lineRule="auto"/>
              <w:ind w:left="23" w:right="22"/>
            </w:pPr>
            <w:r>
              <w:t>升压后输出电压为35kV,在适当位置设置35kV电缆分接箱。每个光</w:t>
            </w:r>
            <w:r>
              <w:rPr>
                <w:spacing w:val="4"/>
              </w:rPr>
              <w:t xml:space="preserve">  </w:t>
            </w:r>
            <w:r>
              <w:t>伏方阵电力经箱变升压至35KV后，通过35kV电缆分接箱并联至35kV</w:t>
            </w:r>
            <w:r>
              <w:rPr>
                <w:spacing w:val="10"/>
              </w:rPr>
              <w:t xml:space="preserve"> </w:t>
            </w:r>
            <w:r>
              <w:t>集电线路，集电线路汇集电力后输送至110kV升压站。</w:t>
            </w:r>
          </w:p>
        </w:tc>
      </w:tr>
      <w:tr w14:paraId="29646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714" w:type="dxa"/>
            <w:vMerge w:val="continue"/>
            <w:tcBorders>
              <w:top w:val="nil"/>
              <w:bottom w:val="nil"/>
            </w:tcBorders>
            <w:vAlign w:val="top"/>
          </w:tcPr>
          <w:p w14:paraId="716AF0BB">
            <w:pPr>
              <w:rPr>
                <w:rFonts w:ascii="Arial"/>
                <w:sz w:val="21"/>
              </w:rPr>
            </w:pPr>
          </w:p>
        </w:tc>
        <w:tc>
          <w:tcPr>
            <w:tcW w:w="110" w:type="dxa"/>
            <w:tcBorders>
              <w:top w:val="nil"/>
              <w:bottom w:val="nil"/>
            </w:tcBorders>
            <w:vAlign w:val="top"/>
          </w:tcPr>
          <w:p w14:paraId="7658A597">
            <w:pPr>
              <w:rPr>
                <w:rFonts w:ascii="Arial"/>
                <w:sz w:val="21"/>
              </w:rPr>
            </w:pPr>
          </w:p>
        </w:tc>
        <w:tc>
          <w:tcPr>
            <w:tcW w:w="719" w:type="dxa"/>
            <w:vMerge w:val="continue"/>
            <w:tcBorders>
              <w:top w:val="nil"/>
              <w:bottom w:val="nil"/>
            </w:tcBorders>
            <w:vAlign w:val="top"/>
          </w:tcPr>
          <w:p w14:paraId="083D4C39">
            <w:pPr>
              <w:rPr>
                <w:rFonts w:ascii="Arial"/>
                <w:sz w:val="21"/>
              </w:rPr>
            </w:pPr>
          </w:p>
        </w:tc>
        <w:tc>
          <w:tcPr>
            <w:tcW w:w="399" w:type="dxa"/>
            <w:vMerge w:val="continue"/>
            <w:tcBorders>
              <w:top w:val="nil"/>
              <w:bottom w:val="nil"/>
            </w:tcBorders>
            <w:vAlign w:val="top"/>
          </w:tcPr>
          <w:p w14:paraId="0C340A7A">
            <w:pPr>
              <w:rPr>
                <w:rFonts w:ascii="Arial"/>
                <w:sz w:val="21"/>
              </w:rPr>
            </w:pPr>
          </w:p>
        </w:tc>
        <w:tc>
          <w:tcPr>
            <w:tcW w:w="679" w:type="dxa"/>
            <w:vAlign w:val="top"/>
          </w:tcPr>
          <w:p w14:paraId="7FE0C2D2">
            <w:pPr>
              <w:spacing w:line="266" w:lineRule="auto"/>
              <w:rPr>
                <w:rFonts w:ascii="Arial"/>
                <w:sz w:val="21"/>
              </w:rPr>
            </w:pPr>
          </w:p>
          <w:p w14:paraId="57F0156E">
            <w:pPr>
              <w:pStyle w:val="6"/>
              <w:spacing w:before="72" w:line="243" w:lineRule="auto"/>
              <w:ind w:left="222" w:right="123" w:hanging="110"/>
            </w:pPr>
            <w:r>
              <w:rPr>
                <w:spacing w:val="-4"/>
              </w:rPr>
              <w:t>逆变</w:t>
            </w:r>
            <w:r>
              <w:t xml:space="preserve"> 器</w:t>
            </w:r>
          </w:p>
        </w:tc>
        <w:tc>
          <w:tcPr>
            <w:tcW w:w="6448" w:type="dxa"/>
            <w:vAlign w:val="top"/>
          </w:tcPr>
          <w:p w14:paraId="1D09A70F">
            <w:pPr>
              <w:pStyle w:val="6"/>
              <w:spacing w:before="55" w:line="216" w:lineRule="auto"/>
              <w:ind w:left="473"/>
            </w:pPr>
            <w:r>
              <w:t>选用使用300kW,250kW和196kW组串式</w:t>
            </w:r>
            <w:r>
              <w:rPr>
                <w:spacing w:val="-1"/>
              </w:rPr>
              <w:t>逆变器，逆变器容配</w:t>
            </w:r>
          </w:p>
          <w:p w14:paraId="7DE6AF55">
            <w:pPr>
              <w:pStyle w:val="6"/>
              <w:spacing w:before="36" w:line="220" w:lineRule="auto"/>
              <w:ind w:left="33"/>
            </w:pPr>
            <w:r>
              <w:t>比约1.16。300kW组串式逆变器130台，250kW组串式逆变器30</w:t>
            </w:r>
            <w:r>
              <w:rPr>
                <w:spacing w:val="-1"/>
              </w:rPr>
              <w:t>台，</w:t>
            </w:r>
          </w:p>
          <w:p w14:paraId="450A01DB">
            <w:pPr>
              <w:pStyle w:val="6"/>
              <w:spacing w:before="6" w:line="202" w:lineRule="auto"/>
              <w:ind w:left="23" w:firstLine="19"/>
            </w:pPr>
            <w:r>
              <w:rPr>
                <w:spacing w:val="-3"/>
              </w:rPr>
              <w:t>196kW组串式逆变器19台。组串式逆变器不单独做基础，逆变器托架</w:t>
            </w:r>
            <w:r>
              <w:rPr>
                <w:spacing w:val="2"/>
              </w:rPr>
              <w:t xml:space="preserve"> </w:t>
            </w:r>
            <w:r>
              <w:t>采用连接件及抱箍固定于光伏支架立柱上。共计</w:t>
            </w:r>
            <w:r>
              <w:rPr>
                <w:spacing w:val="-1"/>
              </w:rPr>
              <w:t>179台逆变器。</w:t>
            </w:r>
          </w:p>
        </w:tc>
      </w:tr>
      <w:tr w14:paraId="696AC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2" w:hRule="atLeast"/>
        </w:trPr>
        <w:tc>
          <w:tcPr>
            <w:tcW w:w="714" w:type="dxa"/>
            <w:vMerge w:val="continue"/>
            <w:tcBorders>
              <w:top w:val="nil"/>
              <w:bottom w:val="nil"/>
            </w:tcBorders>
            <w:vAlign w:val="top"/>
          </w:tcPr>
          <w:p w14:paraId="51D1A678">
            <w:pPr>
              <w:rPr>
                <w:rFonts w:ascii="Arial"/>
                <w:sz w:val="21"/>
              </w:rPr>
            </w:pPr>
          </w:p>
        </w:tc>
        <w:tc>
          <w:tcPr>
            <w:tcW w:w="110" w:type="dxa"/>
            <w:tcBorders>
              <w:top w:val="nil"/>
              <w:bottom w:val="nil"/>
            </w:tcBorders>
            <w:vAlign w:val="top"/>
          </w:tcPr>
          <w:p w14:paraId="000DD69E">
            <w:pPr>
              <w:rPr>
                <w:rFonts w:ascii="Arial"/>
                <w:sz w:val="21"/>
              </w:rPr>
            </w:pPr>
          </w:p>
        </w:tc>
        <w:tc>
          <w:tcPr>
            <w:tcW w:w="719" w:type="dxa"/>
            <w:vMerge w:val="continue"/>
            <w:tcBorders>
              <w:top w:val="nil"/>
              <w:bottom w:val="nil"/>
            </w:tcBorders>
            <w:vAlign w:val="top"/>
          </w:tcPr>
          <w:p w14:paraId="5D6CF9C1">
            <w:pPr>
              <w:rPr>
                <w:rFonts w:ascii="Arial"/>
                <w:sz w:val="21"/>
              </w:rPr>
            </w:pPr>
          </w:p>
        </w:tc>
        <w:tc>
          <w:tcPr>
            <w:tcW w:w="399" w:type="dxa"/>
            <w:vMerge w:val="continue"/>
            <w:tcBorders>
              <w:top w:val="nil"/>
              <w:bottom w:val="nil"/>
            </w:tcBorders>
            <w:vAlign w:val="top"/>
          </w:tcPr>
          <w:p w14:paraId="06AAACE3">
            <w:pPr>
              <w:rPr>
                <w:rFonts w:ascii="Arial"/>
                <w:sz w:val="21"/>
              </w:rPr>
            </w:pPr>
          </w:p>
        </w:tc>
        <w:tc>
          <w:tcPr>
            <w:tcW w:w="679" w:type="dxa"/>
            <w:vAlign w:val="top"/>
          </w:tcPr>
          <w:p w14:paraId="099FCD06">
            <w:pPr>
              <w:spacing w:line="317" w:lineRule="auto"/>
              <w:rPr>
                <w:rFonts w:ascii="Arial"/>
                <w:sz w:val="21"/>
              </w:rPr>
            </w:pPr>
          </w:p>
          <w:p w14:paraId="60A0284A">
            <w:pPr>
              <w:spacing w:line="317" w:lineRule="auto"/>
              <w:rPr>
                <w:rFonts w:ascii="Arial"/>
                <w:sz w:val="21"/>
              </w:rPr>
            </w:pPr>
          </w:p>
          <w:p w14:paraId="3EB3DC9A">
            <w:pPr>
              <w:pStyle w:val="6"/>
              <w:spacing w:before="71" w:line="220" w:lineRule="auto"/>
              <w:ind w:left="112"/>
            </w:pPr>
            <w:r>
              <w:rPr>
                <w:spacing w:val="-3"/>
              </w:rPr>
              <w:t>箱式</w:t>
            </w:r>
          </w:p>
          <w:p w14:paraId="7E3A61A8">
            <w:pPr>
              <w:pStyle w:val="6"/>
              <w:spacing w:before="29" w:line="243" w:lineRule="auto"/>
              <w:ind w:left="222" w:right="124" w:hanging="110"/>
            </w:pPr>
            <w:r>
              <w:rPr>
                <w:spacing w:val="-5"/>
              </w:rPr>
              <w:t>变压</w:t>
            </w:r>
            <w:r>
              <w:t xml:space="preserve"> 器</w:t>
            </w:r>
          </w:p>
        </w:tc>
        <w:tc>
          <w:tcPr>
            <w:tcW w:w="6448" w:type="dxa"/>
            <w:vAlign w:val="top"/>
          </w:tcPr>
          <w:p w14:paraId="57E38C38">
            <w:pPr>
              <w:pStyle w:val="6"/>
              <w:spacing w:before="48" w:line="233" w:lineRule="auto"/>
              <w:ind w:left="23" w:firstLine="459"/>
            </w:pPr>
            <w:r>
              <w:t>每个方阵布置35kV箱式变压器一台，共设置2</w:t>
            </w:r>
            <w:r>
              <w:rPr>
                <w:spacing w:val="-1"/>
              </w:rPr>
              <w:t>4台箱式变压器。</w:t>
            </w:r>
            <w:r>
              <w:t xml:space="preserve"> </w:t>
            </w:r>
            <w:r>
              <w:rPr>
                <w:spacing w:val="-6"/>
              </w:rPr>
              <w:t>并网光伏电站光伏方阵经逆变、汇集、箱式变压器升</w:t>
            </w:r>
            <w:r>
              <w:rPr>
                <w:spacing w:val="-7"/>
              </w:rPr>
              <w:t>压后输出电压为</w:t>
            </w:r>
            <w:r>
              <w:t xml:space="preserve"> 35KV。其中900kVA箱变1台，1250kVA箱变2台，1400kVA箱变1</w:t>
            </w:r>
          </w:p>
          <w:p w14:paraId="13FE5F5A">
            <w:pPr>
              <w:pStyle w:val="6"/>
              <w:spacing w:before="8" w:line="218" w:lineRule="auto"/>
              <w:ind w:left="33"/>
            </w:pPr>
            <w:r>
              <w:t>台，1500kVA箱变2台，1600kVA箱变3台，1800kVA箱变3台，</w:t>
            </w:r>
          </w:p>
          <w:p w14:paraId="38D041F7">
            <w:pPr>
              <w:pStyle w:val="6"/>
              <w:spacing w:line="217" w:lineRule="auto"/>
              <w:ind w:left="23"/>
            </w:pPr>
            <w:r>
              <w:t>2200kVA箱变1台，2400kVA箱变4台，2500kV</w:t>
            </w:r>
            <w:r>
              <w:rPr>
                <w:spacing w:val="-1"/>
              </w:rPr>
              <w:t>A箱变1台，2700kVA</w:t>
            </w:r>
          </w:p>
          <w:p w14:paraId="2E83DD8D">
            <w:pPr>
              <w:pStyle w:val="6"/>
              <w:spacing w:line="219" w:lineRule="auto"/>
              <w:ind w:left="33"/>
            </w:pPr>
            <w:r>
              <w:rPr>
                <w:spacing w:val="1"/>
              </w:rPr>
              <w:t>箱变1台，3000</w:t>
            </w:r>
            <w:r>
              <w:t>kVA</w:t>
            </w:r>
            <w:r>
              <w:rPr>
                <w:spacing w:val="1"/>
              </w:rPr>
              <w:t>箱变3台，3150</w:t>
            </w:r>
            <w:r>
              <w:t>kVA</w:t>
            </w:r>
            <w:r>
              <w:rPr>
                <w:spacing w:val="1"/>
              </w:rPr>
              <w:t>箱变2台，</w:t>
            </w:r>
            <w:r>
              <w:t>一个箱变配备一</w:t>
            </w:r>
          </w:p>
          <w:p w14:paraId="303B485C">
            <w:pPr>
              <w:pStyle w:val="6"/>
              <w:spacing w:before="27" w:line="199" w:lineRule="auto"/>
              <w:ind w:left="32" w:hanging="9"/>
            </w:pPr>
            <w:r>
              <w:rPr>
                <w:spacing w:val="-3"/>
              </w:rPr>
              <w:t>个事故油池用于箱变事故时泄油用(本项目共计设置24个箱变事故油</w:t>
            </w:r>
            <w:r>
              <w:rPr>
                <w:spacing w:val="16"/>
              </w:rPr>
              <w:t xml:space="preserve"> </w:t>
            </w:r>
            <w:r>
              <w:rPr>
                <w:spacing w:val="7"/>
              </w:rPr>
              <w:t>池，容积均为4.84m³)。</w:t>
            </w:r>
          </w:p>
        </w:tc>
      </w:tr>
      <w:tr w14:paraId="01DF8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0" w:hRule="atLeast"/>
        </w:trPr>
        <w:tc>
          <w:tcPr>
            <w:tcW w:w="714" w:type="dxa"/>
            <w:vMerge w:val="continue"/>
            <w:tcBorders>
              <w:top w:val="nil"/>
              <w:bottom w:val="nil"/>
            </w:tcBorders>
            <w:vAlign w:val="top"/>
          </w:tcPr>
          <w:p w14:paraId="657DC92A">
            <w:pPr>
              <w:rPr>
                <w:rFonts w:ascii="Arial"/>
                <w:sz w:val="21"/>
              </w:rPr>
            </w:pPr>
          </w:p>
        </w:tc>
        <w:tc>
          <w:tcPr>
            <w:tcW w:w="110" w:type="dxa"/>
            <w:tcBorders>
              <w:top w:val="nil"/>
              <w:bottom w:val="nil"/>
            </w:tcBorders>
            <w:vAlign w:val="top"/>
          </w:tcPr>
          <w:p w14:paraId="5CBD10A6">
            <w:pPr>
              <w:rPr>
                <w:rFonts w:ascii="Arial"/>
                <w:sz w:val="21"/>
              </w:rPr>
            </w:pPr>
          </w:p>
        </w:tc>
        <w:tc>
          <w:tcPr>
            <w:tcW w:w="719" w:type="dxa"/>
            <w:vMerge w:val="continue"/>
            <w:tcBorders>
              <w:top w:val="nil"/>
              <w:bottom w:val="nil"/>
            </w:tcBorders>
            <w:vAlign w:val="top"/>
          </w:tcPr>
          <w:p w14:paraId="08DDF0C4">
            <w:pPr>
              <w:rPr>
                <w:rFonts w:ascii="Arial"/>
                <w:sz w:val="21"/>
              </w:rPr>
            </w:pPr>
          </w:p>
        </w:tc>
        <w:tc>
          <w:tcPr>
            <w:tcW w:w="399" w:type="dxa"/>
            <w:vMerge w:val="continue"/>
            <w:tcBorders>
              <w:top w:val="nil"/>
            </w:tcBorders>
            <w:vAlign w:val="top"/>
          </w:tcPr>
          <w:p w14:paraId="44931E3E">
            <w:pPr>
              <w:rPr>
                <w:rFonts w:ascii="Arial"/>
                <w:sz w:val="21"/>
              </w:rPr>
            </w:pPr>
          </w:p>
        </w:tc>
        <w:tc>
          <w:tcPr>
            <w:tcW w:w="679" w:type="dxa"/>
            <w:vAlign w:val="top"/>
          </w:tcPr>
          <w:p w14:paraId="6FAF1F87">
            <w:pPr>
              <w:spacing w:line="326" w:lineRule="auto"/>
              <w:rPr>
                <w:rFonts w:ascii="Arial"/>
                <w:sz w:val="21"/>
              </w:rPr>
            </w:pPr>
          </w:p>
          <w:p w14:paraId="44456F49">
            <w:pPr>
              <w:spacing w:line="326" w:lineRule="auto"/>
              <w:rPr>
                <w:rFonts w:ascii="Arial"/>
                <w:sz w:val="21"/>
              </w:rPr>
            </w:pPr>
          </w:p>
          <w:p w14:paraId="1F8C7C5A">
            <w:pPr>
              <w:pStyle w:val="6"/>
              <w:spacing w:before="71" w:line="219" w:lineRule="auto"/>
              <w:ind w:left="112"/>
            </w:pPr>
            <w:r>
              <w:rPr>
                <w:spacing w:val="-2"/>
              </w:rPr>
              <w:t>储能</w:t>
            </w:r>
          </w:p>
          <w:p w14:paraId="2AC22D44">
            <w:pPr>
              <w:pStyle w:val="6"/>
              <w:spacing w:line="220" w:lineRule="auto"/>
              <w:ind w:left="112"/>
            </w:pPr>
            <w:r>
              <w:rPr>
                <w:spacing w:val="5"/>
              </w:rPr>
              <w:t>系统</w:t>
            </w:r>
          </w:p>
        </w:tc>
        <w:tc>
          <w:tcPr>
            <w:tcW w:w="6448" w:type="dxa"/>
            <w:vAlign w:val="top"/>
          </w:tcPr>
          <w:p w14:paraId="14960468">
            <w:pPr>
              <w:pStyle w:val="6"/>
              <w:spacing w:before="34" w:line="220" w:lineRule="auto"/>
              <w:ind w:left="23" w:firstLine="449"/>
            </w:pPr>
            <w:r>
              <w:rPr>
                <w:spacing w:val="-2"/>
              </w:rPr>
              <w:t>本期配置储能容量为5MW/10MW</w:t>
            </w:r>
            <w:r>
              <w:rPr>
                <w:spacing w:val="-25"/>
              </w:rPr>
              <w:t xml:space="preserve"> </w:t>
            </w:r>
            <w:r>
              <w:rPr>
                <w:spacing w:val="-2"/>
              </w:rPr>
              <w:t>·h,位于升压</w:t>
            </w:r>
            <w:r>
              <w:rPr>
                <w:spacing w:val="-3"/>
              </w:rPr>
              <w:t>站的西侧，储能系</w:t>
            </w:r>
            <w:r>
              <w:t xml:space="preserve"> </w:t>
            </w:r>
            <w:r>
              <w:rPr>
                <w:spacing w:val="-10"/>
              </w:rPr>
              <w:t>统采用集装箱一体化设计方案，单套储能单元由1台“逆变”一体储能</w:t>
            </w:r>
            <w:r>
              <w:rPr>
                <w:spacing w:val="13"/>
              </w:rPr>
              <w:t xml:space="preserve"> </w:t>
            </w:r>
            <w:r>
              <w:rPr>
                <w:spacing w:val="-2"/>
              </w:rPr>
              <w:t>变流器户外机和1台磷酸铁锂电池集装箱组成，5MW/10MW</w:t>
            </w:r>
            <w:r>
              <w:rPr>
                <w:spacing w:val="-10"/>
              </w:rPr>
              <w:t xml:space="preserve"> </w:t>
            </w:r>
            <w:r>
              <w:rPr>
                <w:spacing w:val="-2"/>
              </w:rPr>
              <w:t>·h储能系</w:t>
            </w:r>
            <w:r>
              <w:t xml:space="preserve"> </w:t>
            </w:r>
            <w:r>
              <w:rPr>
                <w:spacing w:val="-2"/>
              </w:rPr>
              <w:t>统初拟采用2套2.5MW/5.0MW</w:t>
            </w:r>
            <w:r>
              <w:rPr>
                <w:spacing w:val="-19"/>
              </w:rPr>
              <w:t xml:space="preserve"> </w:t>
            </w:r>
            <w:r>
              <w:rPr>
                <w:spacing w:val="-2"/>
              </w:rPr>
              <w:t>·h储能单元组成。电池单元采用模块</w:t>
            </w:r>
            <w:r>
              <w:t xml:space="preserve">  化设计，每套储能单元包含1套储能电池和1套储能集成系统(变流-</w:t>
            </w:r>
            <w:r>
              <w:rPr>
                <w:spacing w:val="2"/>
              </w:rPr>
              <w:t xml:space="preserve"> </w:t>
            </w:r>
            <w:r>
              <w:rPr>
                <w:spacing w:val="-3"/>
              </w:rPr>
              <w:t>升压一体化装置)。预制舱内具有温控、消防、照明、视频监控等保</w:t>
            </w:r>
            <w:r>
              <w:rPr>
                <w:spacing w:val="9"/>
              </w:rPr>
              <w:t xml:space="preserve"> </w:t>
            </w:r>
            <w:r>
              <w:rPr>
                <w:spacing w:val="-3"/>
              </w:rPr>
              <w:t>护系统。5MW/10MW</w:t>
            </w:r>
            <w:r>
              <w:rPr>
                <w:spacing w:val="-10"/>
              </w:rPr>
              <w:t xml:space="preserve"> </w:t>
            </w:r>
            <w:r>
              <w:rPr>
                <w:spacing w:val="-3"/>
              </w:rPr>
              <w:t>·h储能系统通过1个回路接入升压站35kV母线。</w:t>
            </w:r>
          </w:p>
        </w:tc>
      </w:tr>
      <w:tr w14:paraId="4D430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4" w:hRule="atLeast"/>
        </w:trPr>
        <w:tc>
          <w:tcPr>
            <w:tcW w:w="714" w:type="dxa"/>
            <w:vMerge w:val="continue"/>
            <w:tcBorders>
              <w:top w:val="nil"/>
              <w:bottom w:val="nil"/>
            </w:tcBorders>
            <w:vAlign w:val="top"/>
          </w:tcPr>
          <w:p w14:paraId="122F4964">
            <w:pPr>
              <w:rPr>
                <w:rFonts w:ascii="Arial"/>
                <w:sz w:val="21"/>
              </w:rPr>
            </w:pPr>
          </w:p>
        </w:tc>
        <w:tc>
          <w:tcPr>
            <w:tcW w:w="110" w:type="dxa"/>
            <w:tcBorders>
              <w:top w:val="nil"/>
              <w:bottom w:val="nil"/>
            </w:tcBorders>
            <w:vAlign w:val="top"/>
          </w:tcPr>
          <w:p w14:paraId="1AAD2B44">
            <w:pPr>
              <w:rPr>
                <w:rFonts w:ascii="Arial"/>
                <w:sz w:val="21"/>
              </w:rPr>
            </w:pPr>
          </w:p>
        </w:tc>
        <w:tc>
          <w:tcPr>
            <w:tcW w:w="719" w:type="dxa"/>
            <w:vMerge w:val="continue"/>
            <w:tcBorders>
              <w:top w:val="nil"/>
              <w:bottom w:val="nil"/>
            </w:tcBorders>
            <w:vAlign w:val="top"/>
          </w:tcPr>
          <w:p w14:paraId="24E8C6B7">
            <w:pPr>
              <w:rPr>
                <w:rFonts w:ascii="Arial"/>
                <w:sz w:val="21"/>
              </w:rPr>
            </w:pPr>
          </w:p>
        </w:tc>
        <w:tc>
          <w:tcPr>
            <w:tcW w:w="1078" w:type="dxa"/>
            <w:gridSpan w:val="2"/>
            <w:vAlign w:val="top"/>
          </w:tcPr>
          <w:p w14:paraId="0CC359A1">
            <w:pPr>
              <w:spacing w:line="242" w:lineRule="auto"/>
              <w:rPr>
                <w:rFonts w:ascii="Arial"/>
                <w:sz w:val="21"/>
              </w:rPr>
            </w:pPr>
          </w:p>
          <w:p w14:paraId="0BC036D7">
            <w:pPr>
              <w:spacing w:line="242" w:lineRule="auto"/>
              <w:rPr>
                <w:rFonts w:ascii="Arial"/>
                <w:sz w:val="21"/>
              </w:rPr>
            </w:pPr>
          </w:p>
          <w:p w14:paraId="318EF65C">
            <w:pPr>
              <w:spacing w:line="242" w:lineRule="auto"/>
              <w:rPr>
                <w:rFonts w:ascii="Arial"/>
                <w:sz w:val="21"/>
              </w:rPr>
            </w:pPr>
          </w:p>
          <w:p w14:paraId="130FCF3F">
            <w:pPr>
              <w:spacing w:line="242" w:lineRule="auto"/>
              <w:rPr>
                <w:rFonts w:ascii="Arial"/>
                <w:sz w:val="21"/>
              </w:rPr>
            </w:pPr>
          </w:p>
          <w:p w14:paraId="6255C609">
            <w:pPr>
              <w:spacing w:line="242" w:lineRule="auto"/>
              <w:rPr>
                <w:rFonts w:ascii="Arial"/>
                <w:sz w:val="21"/>
              </w:rPr>
            </w:pPr>
          </w:p>
          <w:p w14:paraId="0EC16F9D">
            <w:pPr>
              <w:spacing w:line="242" w:lineRule="auto"/>
              <w:rPr>
                <w:rFonts w:ascii="Arial"/>
                <w:sz w:val="21"/>
              </w:rPr>
            </w:pPr>
          </w:p>
          <w:p w14:paraId="5859887D">
            <w:pPr>
              <w:spacing w:line="242" w:lineRule="auto"/>
              <w:rPr>
                <w:rFonts w:ascii="Arial"/>
                <w:sz w:val="21"/>
              </w:rPr>
            </w:pPr>
          </w:p>
          <w:p w14:paraId="6581B2B8">
            <w:pPr>
              <w:spacing w:line="242" w:lineRule="auto"/>
              <w:rPr>
                <w:rFonts w:ascii="Arial"/>
                <w:sz w:val="21"/>
              </w:rPr>
            </w:pPr>
          </w:p>
          <w:p w14:paraId="3822D4B3">
            <w:pPr>
              <w:spacing w:line="242" w:lineRule="auto"/>
              <w:rPr>
                <w:rFonts w:ascii="Arial"/>
                <w:sz w:val="21"/>
              </w:rPr>
            </w:pPr>
          </w:p>
          <w:p w14:paraId="3F690760">
            <w:pPr>
              <w:spacing w:line="243" w:lineRule="auto"/>
              <w:rPr>
                <w:rFonts w:ascii="Arial"/>
                <w:sz w:val="21"/>
              </w:rPr>
            </w:pPr>
          </w:p>
          <w:p w14:paraId="349B618B">
            <w:pPr>
              <w:pStyle w:val="6"/>
              <w:spacing w:before="72" w:line="221" w:lineRule="auto"/>
              <w:ind w:left="201"/>
            </w:pPr>
            <w:r>
              <w:rPr>
                <w:spacing w:val="4"/>
              </w:rPr>
              <w:t>升压站</w:t>
            </w:r>
          </w:p>
        </w:tc>
        <w:tc>
          <w:tcPr>
            <w:tcW w:w="6448" w:type="dxa"/>
            <w:vAlign w:val="top"/>
          </w:tcPr>
          <w:p w14:paraId="1BB7ED34">
            <w:pPr>
              <w:pStyle w:val="6"/>
              <w:spacing w:before="83" w:line="216" w:lineRule="auto"/>
              <w:ind w:left="473"/>
            </w:pPr>
            <w:r>
              <w:t>项目新建1座110kV升压站，升压站场地长82m,宽52m,围墙</w:t>
            </w:r>
          </w:p>
          <w:p w14:paraId="0A5FE74B">
            <w:pPr>
              <w:pStyle w:val="6"/>
              <w:spacing w:before="6" w:line="228" w:lineRule="auto"/>
              <w:ind w:left="33" w:firstLine="9"/>
            </w:pPr>
            <w:r>
              <w:rPr>
                <w:spacing w:val="-2"/>
              </w:rPr>
              <w:t>内占地面积4264m²。升压站四周采用高度为2.3m的砖砌围墙</w:t>
            </w:r>
            <w:r>
              <w:rPr>
                <w:spacing w:val="-3"/>
              </w:rPr>
              <w:t>，大门</w:t>
            </w:r>
            <w:r>
              <w:t xml:space="preserve"> </w:t>
            </w:r>
            <w:r>
              <w:rPr>
                <w:spacing w:val="-4"/>
              </w:rPr>
              <w:t>采用6m宽的电动伸缩大门。整个场区分为生产区、生活办公区两部</w:t>
            </w:r>
            <w:r>
              <w:rPr>
                <w:spacing w:val="3"/>
              </w:rPr>
              <w:t xml:space="preserve">  </w:t>
            </w:r>
            <w:r>
              <w:rPr>
                <w:spacing w:val="-7"/>
              </w:rPr>
              <w:t>分。站内布置综合楼、一体化消防泵站、污水处理装置、主变压器、</w:t>
            </w:r>
            <w:r>
              <w:rPr>
                <w:spacing w:val="13"/>
              </w:rPr>
              <w:t xml:space="preserve"> </w:t>
            </w:r>
            <w:r>
              <w:rPr>
                <w:spacing w:val="-4"/>
              </w:rPr>
              <w:t>事故油池、出线架构等建(构)筑物。站内道路为混凝土路面，主干</w:t>
            </w:r>
            <w:r>
              <w:rPr>
                <w:spacing w:val="8"/>
              </w:rPr>
              <w:t xml:space="preserve">  </w:t>
            </w:r>
            <w:r>
              <w:rPr>
                <w:spacing w:val="-3"/>
              </w:rPr>
              <w:t>道宽4.5m,转弯半径为9m,道路呈环形布置，</w:t>
            </w:r>
            <w:r>
              <w:rPr>
                <w:spacing w:val="-4"/>
              </w:rPr>
              <w:t>消防车可直达站内各</w:t>
            </w:r>
          </w:p>
          <w:p w14:paraId="51A87EB8">
            <w:pPr>
              <w:pStyle w:val="6"/>
              <w:spacing w:line="219" w:lineRule="auto"/>
              <w:ind w:left="33"/>
            </w:pPr>
            <w:r>
              <w:t>建筑物。站区内生产区内铺设碎石，其余未利用空地规划为绿</w:t>
            </w:r>
            <w:r>
              <w:rPr>
                <w:spacing w:val="-1"/>
              </w:rPr>
              <w:t>地。</w:t>
            </w:r>
          </w:p>
          <w:p w14:paraId="17A9BA4E">
            <w:pPr>
              <w:pStyle w:val="6"/>
              <w:spacing w:before="28" w:line="227" w:lineRule="auto"/>
              <w:ind w:left="13" w:firstLine="462"/>
            </w:pPr>
            <w:r>
              <w:rPr>
                <w:spacing w:val="-3"/>
              </w:rPr>
              <w:t>主变压器露天布置于35kV配电室与高压户外配电装置之间。主</w:t>
            </w:r>
            <w:r>
              <w:t xml:space="preserve">  </w:t>
            </w:r>
            <w:r>
              <w:rPr>
                <w:spacing w:val="-2"/>
              </w:rPr>
              <w:t>变高压侧用JL/G1A-300钢芯铝绞线引上至高</w:t>
            </w:r>
            <w:r>
              <w:rPr>
                <w:spacing w:val="-3"/>
              </w:rPr>
              <w:t>压户外配电装置，35kV</w:t>
            </w:r>
            <w:r>
              <w:t xml:space="preserve">  </w:t>
            </w:r>
            <w:r>
              <w:rPr>
                <w:spacing w:val="-4"/>
              </w:rPr>
              <w:t>侧用全绝缘管型母线引至35kV配电室主变进线柜。主变中性点设备</w:t>
            </w:r>
            <w:r>
              <w:rPr>
                <w:spacing w:val="6"/>
              </w:rPr>
              <w:t xml:space="preserve">  </w:t>
            </w:r>
            <w:r>
              <w:rPr>
                <w:spacing w:val="-6"/>
              </w:rPr>
              <w:t>安装于变压器旁边。升压站电气二次设备及光伏电站微机监控设备、</w:t>
            </w:r>
            <w:r>
              <w:rPr>
                <w:spacing w:val="3"/>
              </w:rPr>
              <w:t xml:space="preserve"> </w:t>
            </w:r>
            <w:r>
              <w:rPr>
                <w:spacing w:val="-9"/>
              </w:rPr>
              <w:t>通讯设备均布置于继电保护室、中控室内。高压配电装置</w:t>
            </w:r>
            <w:r>
              <w:rPr>
                <w:spacing w:val="-10"/>
              </w:rPr>
              <w:t>布置形式为</w:t>
            </w:r>
            <w:r>
              <w:t xml:space="preserve">  </w:t>
            </w:r>
            <w:r>
              <w:rPr>
                <w:spacing w:val="-8"/>
              </w:rPr>
              <w:t>户外GIS布置，布置于升压站北侧。35</w:t>
            </w:r>
            <w:r>
              <w:rPr>
                <w:spacing w:val="-9"/>
              </w:rPr>
              <w:t>KV配电装置采用移开式开关柜，</w:t>
            </w:r>
            <w:r>
              <w:t xml:space="preserve"> </w:t>
            </w:r>
            <w:r>
              <w:rPr>
                <w:spacing w:val="-2"/>
              </w:rPr>
              <w:t>布置于35kV配电装置室内。</w:t>
            </w:r>
          </w:p>
          <w:p w14:paraId="31A179B3">
            <w:pPr>
              <w:pStyle w:val="6"/>
              <w:spacing w:before="13" w:line="227" w:lineRule="auto"/>
              <w:ind w:left="23" w:firstLine="455"/>
            </w:pPr>
            <w:r>
              <w:rPr>
                <w:spacing w:val="-1"/>
              </w:rPr>
              <w:t>主变型号：SZ18-50000/110,容量：50MVA,型式：三相有</w:t>
            </w:r>
            <w:r>
              <w:rPr>
                <w:spacing w:val="-2"/>
              </w:rPr>
              <w:t>载调</w:t>
            </w:r>
            <w:r>
              <w:t xml:space="preserve">  </w:t>
            </w:r>
            <w:r>
              <w:rPr>
                <w:spacing w:val="-7"/>
              </w:rPr>
              <w:t>压油浸自冷变压器，电压比：115±8×1.25%/37KV,阻</w:t>
            </w:r>
            <w:r>
              <w:rPr>
                <w:spacing w:val="-8"/>
              </w:rPr>
              <w:t>抗电压：10.5%,</w:t>
            </w:r>
            <w:r>
              <w:t xml:space="preserve"> </w:t>
            </w:r>
            <w:r>
              <w:rPr>
                <w:spacing w:val="-2"/>
              </w:rPr>
              <w:t>容量比：100/100,联接组别：YN,d11,调压方式：有载调压冷却方</w:t>
            </w:r>
          </w:p>
          <w:p w14:paraId="0B8D11A5">
            <w:pPr>
              <w:pStyle w:val="6"/>
              <w:spacing w:before="3" w:line="183" w:lineRule="auto"/>
              <w:ind w:left="33" w:firstLine="10"/>
            </w:pPr>
            <w:r>
              <w:rPr>
                <w:spacing w:val="-3"/>
              </w:rPr>
              <w:t>式：油浸自冷，中性点接地方式：经隔离开关接地或不接地。110kV</w:t>
            </w:r>
            <w:r>
              <w:t xml:space="preserve"> </w:t>
            </w:r>
            <w:r>
              <w:rPr>
                <w:spacing w:val="-1"/>
              </w:rPr>
              <w:t>出线1回，35kV进线3回。</w:t>
            </w:r>
          </w:p>
        </w:tc>
      </w:tr>
      <w:tr w14:paraId="0524B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9" w:hRule="atLeast"/>
        </w:trPr>
        <w:tc>
          <w:tcPr>
            <w:tcW w:w="714" w:type="dxa"/>
            <w:vMerge w:val="continue"/>
            <w:tcBorders>
              <w:top w:val="nil"/>
            </w:tcBorders>
            <w:vAlign w:val="top"/>
          </w:tcPr>
          <w:p w14:paraId="713889F3">
            <w:pPr>
              <w:rPr>
                <w:rFonts w:ascii="Arial"/>
                <w:sz w:val="21"/>
              </w:rPr>
            </w:pPr>
          </w:p>
        </w:tc>
        <w:tc>
          <w:tcPr>
            <w:tcW w:w="110" w:type="dxa"/>
            <w:tcBorders>
              <w:top w:val="nil"/>
            </w:tcBorders>
            <w:vAlign w:val="top"/>
          </w:tcPr>
          <w:p w14:paraId="28EF0CFC">
            <w:pPr>
              <w:rPr>
                <w:rFonts w:ascii="Arial"/>
                <w:sz w:val="21"/>
              </w:rPr>
            </w:pPr>
          </w:p>
        </w:tc>
        <w:tc>
          <w:tcPr>
            <w:tcW w:w="719" w:type="dxa"/>
            <w:vMerge w:val="continue"/>
            <w:tcBorders>
              <w:top w:val="nil"/>
            </w:tcBorders>
            <w:vAlign w:val="top"/>
          </w:tcPr>
          <w:p w14:paraId="13208741">
            <w:pPr>
              <w:rPr>
                <w:rFonts w:ascii="Arial"/>
                <w:sz w:val="21"/>
              </w:rPr>
            </w:pPr>
          </w:p>
        </w:tc>
        <w:tc>
          <w:tcPr>
            <w:tcW w:w="1078" w:type="dxa"/>
            <w:gridSpan w:val="2"/>
            <w:vAlign w:val="top"/>
          </w:tcPr>
          <w:p w14:paraId="19E8E33E">
            <w:pPr>
              <w:spacing w:line="241" w:lineRule="auto"/>
              <w:rPr>
                <w:rFonts w:ascii="Arial"/>
                <w:sz w:val="21"/>
              </w:rPr>
            </w:pPr>
          </w:p>
          <w:p w14:paraId="77BD221C">
            <w:pPr>
              <w:spacing w:line="241" w:lineRule="auto"/>
              <w:rPr>
                <w:rFonts w:ascii="Arial"/>
                <w:sz w:val="21"/>
              </w:rPr>
            </w:pPr>
          </w:p>
          <w:p w14:paraId="7DA1BA1A">
            <w:pPr>
              <w:spacing w:line="241" w:lineRule="auto"/>
              <w:rPr>
                <w:rFonts w:ascii="Arial"/>
                <w:sz w:val="21"/>
              </w:rPr>
            </w:pPr>
          </w:p>
          <w:p w14:paraId="54F931C9">
            <w:pPr>
              <w:spacing w:line="242" w:lineRule="auto"/>
              <w:rPr>
                <w:rFonts w:ascii="Arial"/>
                <w:sz w:val="21"/>
              </w:rPr>
            </w:pPr>
          </w:p>
          <w:p w14:paraId="463E5B56">
            <w:pPr>
              <w:pStyle w:val="6"/>
              <w:spacing w:before="72" w:line="219" w:lineRule="auto"/>
              <w:ind w:left="92"/>
            </w:pPr>
            <w:r>
              <w:rPr>
                <w:spacing w:val="-2"/>
              </w:rPr>
              <w:t>集电线路</w:t>
            </w:r>
          </w:p>
          <w:p w14:paraId="38CE995B">
            <w:pPr>
              <w:pStyle w:val="6"/>
              <w:spacing w:before="19" w:line="220" w:lineRule="auto"/>
              <w:ind w:left="311"/>
            </w:pPr>
            <w:r>
              <w:rPr>
                <w:spacing w:val="-3"/>
              </w:rPr>
              <w:t>工程</w:t>
            </w:r>
          </w:p>
        </w:tc>
        <w:tc>
          <w:tcPr>
            <w:tcW w:w="6448" w:type="dxa"/>
            <w:vAlign w:val="top"/>
          </w:tcPr>
          <w:p w14:paraId="7B4A9F16">
            <w:pPr>
              <w:pStyle w:val="6"/>
              <w:spacing w:before="81" w:line="219" w:lineRule="auto"/>
              <w:ind w:left="13"/>
            </w:pPr>
            <w:r>
              <w:rPr>
                <w:spacing w:val="4"/>
              </w:rPr>
              <w:t>本工程共拟新建3条35</w:t>
            </w:r>
            <w:r>
              <w:t>kV</w:t>
            </w:r>
            <w:r>
              <w:rPr>
                <w:spacing w:val="4"/>
              </w:rPr>
              <w:t>集电线路，分别命</w:t>
            </w:r>
            <w:r>
              <w:rPr>
                <w:spacing w:val="3"/>
              </w:rPr>
              <w:t>名为A线、B线、C线；</w:t>
            </w:r>
          </w:p>
          <w:p w14:paraId="577C90B1">
            <w:pPr>
              <w:pStyle w:val="6"/>
              <w:spacing w:before="6" w:line="224" w:lineRule="auto"/>
              <w:ind w:left="33" w:right="31"/>
            </w:pPr>
            <w:r>
              <w:t>本工程共新建35kV集电线路路径总长25.326km,因地块分散且光伏</w:t>
            </w:r>
            <w:r>
              <w:rPr>
                <w:spacing w:val="4"/>
              </w:rPr>
              <w:t xml:space="preserve">  </w:t>
            </w:r>
            <w:r>
              <w:t>距离较远，因此本线路路径较长。35kV集电线路</w:t>
            </w:r>
            <w:r>
              <w:rPr>
                <w:spacing w:val="-1"/>
              </w:rPr>
              <w:t>全线共新建93基铁</w:t>
            </w:r>
            <w:r>
              <w:t xml:space="preserve"> 塔，其中新建双回铁塔17基(其中6基直线、</w:t>
            </w:r>
            <w:r>
              <w:rPr>
                <w:spacing w:val="-1"/>
              </w:rPr>
              <w:t>2基T接塔、9基耐张</w:t>
            </w:r>
          </w:p>
          <w:p w14:paraId="038D8948">
            <w:pPr>
              <w:pStyle w:val="6"/>
              <w:spacing w:line="216" w:lineRule="auto"/>
              <w:ind w:left="23"/>
            </w:pPr>
            <w:r>
              <w:rPr>
                <w:spacing w:val="1"/>
              </w:rPr>
              <w:t>塔),单回路76基(其中32基直线、3基T接塔、41基耐张塔);</w:t>
            </w:r>
          </w:p>
          <w:p w14:paraId="2531087E">
            <w:pPr>
              <w:pStyle w:val="6"/>
              <w:spacing w:before="35" w:line="233" w:lineRule="auto"/>
              <w:ind w:left="23" w:right="105" w:hanging="10"/>
            </w:pPr>
            <w:r>
              <w:rPr>
                <w:spacing w:val="1"/>
              </w:rPr>
              <w:t>集电线路路路径总长25.326</w:t>
            </w:r>
            <w:r>
              <w:t>km</w:t>
            </w:r>
            <w:r>
              <w:rPr>
                <w:spacing w:val="1"/>
              </w:rPr>
              <w:t>(其中含3.135</w:t>
            </w:r>
            <w:r>
              <w:t>km</w:t>
            </w:r>
            <w:r>
              <w:rPr>
                <w:spacing w:val="1"/>
              </w:rPr>
              <w:t>同塔双回架空路径)</w:t>
            </w:r>
            <w:r>
              <w:rPr>
                <w:spacing w:val="14"/>
              </w:rPr>
              <w:t xml:space="preserve"> </w:t>
            </w:r>
            <w:r>
              <w:t>新建A线12.459km,B线7.810km,C线5.057</w:t>
            </w:r>
            <w:r>
              <w:rPr>
                <w:spacing w:val="-1"/>
              </w:rPr>
              <w:t>km,A、C架空导线采</w:t>
            </w:r>
          </w:p>
          <w:p w14:paraId="2C7CF9BB">
            <w:pPr>
              <w:pStyle w:val="6"/>
              <w:spacing w:before="13" w:line="193" w:lineRule="auto"/>
              <w:ind w:left="23"/>
            </w:pPr>
            <w:r>
              <w:rPr>
                <w:spacing w:val="1"/>
              </w:rPr>
              <w:t>用</w:t>
            </w:r>
            <w:r>
              <w:t>JL</w:t>
            </w:r>
            <w:r>
              <w:rPr>
                <w:spacing w:val="1"/>
              </w:rPr>
              <w:t>/G1A-240/30型钢芯铝绞线；B线因主线线</w:t>
            </w:r>
            <w:r>
              <w:t>路较远，导线采用</w:t>
            </w:r>
          </w:p>
          <w:p w14:paraId="5F601A0F">
            <w:pPr>
              <w:pStyle w:val="6"/>
              <w:spacing w:line="208" w:lineRule="auto"/>
              <w:jc w:val="right"/>
            </w:pPr>
            <w:r>
              <w:rPr>
                <w:spacing w:val="-2"/>
              </w:rPr>
              <w:t>JL/G1A-300/40的型钢芯铝绞线；T接线采用JL/G1A-150/25的型钢芯</w:t>
            </w:r>
          </w:p>
        </w:tc>
      </w:tr>
    </w:tbl>
    <w:p w14:paraId="50E5CBA0">
      <w:pPr>
        <w:pStyle w:val="2"/>
      </w:pPr>
    </w:p>
    <w:p w14:paraId="7C7AA732">
      <w:pPr>
        <w:sectPr>
          <w:footerReference r:id="rId58" w:type="default"/>
          <w:pgSz w:w="11910" w:h="16830"/>
          <w:pgMar w:top="400" w:right="1445" w:bottom="1245" w:left="1385" w:header="0" w:footer="1083" w:gutter="0"/>
          <w:cols w:space="720" w:num="1"/>
        </w:sectPr>
      </w:pPr>
    </w:p>
    <w:p w14:paraId="2545273D">
      <w:pPr>
        <w:spacing w:before="18"/>
      </w:pPr>
    </w:p>
    <w:p w14:paraId="756C7895">
      <w:pPr>
        <w:spacing w:before="17"/>
      </w:pPr>
    </w:p>
    <w:p w14:paraId="0C071B29">
      <w:pPr>
        <w:spacing w:before="17"/>
      </w:pPr>
    </w:p>
    <w:p w14:paraId="02C65C53">
      <w:pPr>
        <w:spacing w:before="17"/>
      </w:pPr>
    </w:p>
    <w:tbl>
      <w:tblPr>
        <w:tblStyle w:val="5"/>
        <w:tblW w:w="90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140"/>
        <w:gridCol w:w="689"/>
        <w:gridCol w:w="1079"/>
        <w:gridCol w:w="1218"/>
        <w:gridCol w:w="5259"/>
      </w:tblGrid>
      <w:tr w14:paraId="0CA54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694" w:type="dxa"/>
            <w:vMerge w:val="restart"/>
            <w:tcBorders>
              <w:bottom w:val="nil"/>
            </w:tcBorders>
            <w:vAlign w:val="top"/>
          </w:tcPr>
          <w:p w14:paraId="77FD30BC">
            <w:pPr>
              <w:rPr>
                <w:rFonts w:ascii="Arial"/>
                <w:sz w:val="21"/>
              </w:rPr>
            </w:pPr>
          </w:p>
        </w:tc>
        <w:tc>
          <w:tcPr>
            <w:tcW w:w="140" w:type="dxa"/>
            <w:tcBorders>
              <w:bottom w:val="nil"/>
            </w:tcBorders>
            <w:vAlign w:val="top"/>
          </w:tcPr>
          <w:p w14:paraId="11324299">
            <w:pPr>
              <w:rPr>
                <w:rFonts w:ascii="Arial"/>
                <w:sz w:val="21"/>
              </w:rPr>
            </w:pPr>
          </w:p>
        </w:tc>
        <w:tc>
          <w:tcPr>
            <w:tcW w:w="689" w:type="dxa"/>
            <w:vAlign w:val="top"/>
          </w:tcPr>
          <w:p w14:paraId="00D7C9C8">
            <w:pPr>
              <w:rPr>
                <w:rFonts w:ascii="Arial"/>
                <w:sz w:val="21"/>
              </w:rPr>
            </w:pPr>
          </w:p>
        </w:tc>
        <w:tc>
          <w:tcPr>
            <w:tcW w:w="1079" w:type="dxa"/>
            <w:vAlign w:val="top"/>
          </w:tcPr>
          <w:p w14:paraId="317DC5FC">
            <w:pPr>
              <w:rPr>
                <w:rFonts w:ascii="Arial"/>
                <w:sz w:val="21"/>
              </w:rPr>
            </w:pPr>
          </w:p>
        </w:tc>
        <w:tc>
          <w:tcPr>
            <w:tcW w:w="6477" w:type="dxa"/>
            <w:gridSpan w:val="2"/>
            <w:vAlign w:val="top"/>
          </w:tcPr>
          <w:p w14:paraId="68BC6105">
            <w:pPr>
              <w:pStyle w:val="6"/>
              <w:spacing w:before="12" w:line="219" w:lineRule="auto"/>
              <w:ind w:left="22"/>
              <w:rPr>
                <w:sz w:val="21"/>
                <w:szCs w:val="21"/>
              </w:rPr>
            </w:pPr>
            <w:r>
              <w:rPr>
                <w:spacing w:val="1"/>
                <w:sz w:val="21"/>
                <w:szCs w:val="21"/>
              </w:rPr>
              <w:t>铝绞线。双回架空地线采用1根48芯</w:t>
            </w:r>
            <w:r>
              <w:rPr>
                <w:sz w:val="21"/>
                <w:szCs w:val="21"/>
              </w:rPr>
              <w:t>OPGW</w:t>
            </w:r>
            <w:r>
              <w:rPr>
                <w:spacing w:val="1"/>
                <w:sz w:val="21"/>
                <w:szCs w:val="21"/>
              </w:rPr>
              <w:t>-50的光缆；</w:t>
            </w:r>
            <w:r>
              <w:rPr>
                <w:sz w:val="21"/>
                <w:szCs w:val="21"/>
              </w:rPr>
              <w:t>单回地线采用</w:t>
            </w:r>
          </w:p>
          <w:p w14:paraId="33556A3E">
            <w:pPr>
              <w:pStyle w:val="6"/>
              <w:spacing w:before="31" w:line="229" w:lineRule="auto"/>
              <w:ind w:left="22" w:right="18" w:hanging="10"/>
              <w:rPr>
                <w:sz w:val="21"/>
                <w:szCs w:val="21"/>
              </w:rPr>
            </w:pPr>
            <w:r>
              <w:rPr>
                <w:spacing w:val="-10"/>
                <w:sz w:val="21"/>
                <w:szCs w:val="21"/>
              </w:rPr>
              <w:t>1 根 2 4</w:t>
            </w:r>
            <w:r>
              <w:rPr>
                <w:spacing w:val="13"/>
                <w:sz w:val="21"/>
                <w:szCs w:val="21"/>
              </w:rPr>
              <w:t xml:space="preserve"> </w:t>
            </w:r>
            <w:r>
              <w:rPr>
                <w:spacing w:val="-10"/>
                <w:sz w:val="21"/>
                <w:szCs w:val="21"/>
              </w:rPr>
              <w:t>芯</w:t>
            </w:r>
            <w:r>
              <w:rPr>
                <w:spacing w:val="1"/>
                <w:sz w:val="21"/>
                <w:szCs w:val="21"/>
              </w:rPr>
              <w:t xml:space="preserve"> </w:t>
            </w:r>
            <w:r>
              <w:rPr>
                <w:spacing w:val="-10"/>
                <w:sz w:val="21"/>
                <w:szCs w:val="21"/>
              </w:rPr>
              <w:t>O P</w:t>
            </w:r>
            <w:r>
              <w:rPr>
                <w:spacing w:val="-1"/>
                <w:sz w:val="21"/>
                <w:szCs w:val="21"/>
              </w:rPr>
              <w:t xml:space="preserve"> </w:t>
            </w:r>
            <w:r>
              <w:rPr>
                <w:spacing w:val="-10"/>
                <w:sz w:val="21"/>
                <w:szCs w:val="21"/>
              </w:rPr>
              <w:t>G</w:t>
            </w:r>
            <w:r>
              <w:rPr>
                <w:spacing w:val="-4"/>
                <w:sz w:val="21"/>
                <w:szCs w:val="21"/>
              </w:rPr>
              <w:t xml:space="preserve"> </w:t>
            </w:r>
            <w:r>
              <w:rPr>
                <w:spacing w:val="-10"/>
                <w:sz w:val="21"/>
                <w:szCs w:val="21"/>
              </w:rPr>
              <w:t>W</w:t>
            </w:r>
            <w:r>
              <w:rPr>
                <w:sz w:val="21"/>
                <w:szCs w:val="21"/>
              </w:rPr>
              <w:t xml:space="preserve"> </w:t>
            </w:r>
            <w:r>
              <w:rPr>
                <w:spacing w:val="-10"/>
                <w:sz w:val="21"/>
                <w:szCs w:val="21"/>
              </w:rPr>
              <w:t>-</w:t>
            </w:r>
            <w:r>
              <w:rPr>
                <w:spacing w:val="6"/>
                <w:sz w:val="21"/>
                <w:szCs w:val="21"/>
              </w:rPr>
              <w:t xml:space="preserve"> </w:t>
            </w:r>
            <w:r>
              <w:rPr>
                <w:spacing w:val="-10"/>
                <w:sz w:val="21"/>
                <w:szCs w:val="21"/>
              </w:rPr>
              <w:t>5</w:t>
            </w:r>
            <w:r>
              <w:rPr>
                <w:spacing w:val="4"/>
                <w:sz w:val="21"/>
                <w:szCs w:val="21"/>
              </w:rPr>
              <w:t xml:space="preserve"> </w:t>
            </w:r>
            <w:r>
              <w:rPr>
                <w:spacing w:val="-10"/>
                <w:sz w:val="21"/>
                <w:szCs w:val="21"/>
              </w:rPr>
              <w:t>0</w:t>
            </w:r>
            <w:r>
              <w:rPr>
                <w:spacing w:val="19"/>
                <w:sz w:val="21"/>
                <w:szCs w:val="21"/>
              </w:rPr>
              <w:t xml:space="preserve"> </w:t>
            </w:r>
            <w:r>
              <w:rPr>
                <w:spacing w:val="-10"/>
                <w:sz w:val="21"/>
                <w:szCs w:val="21"/>
              </w:rPr>
              <w:t>的</w:t>
            </w:r>
            <w:r>
              <w:rPr>
                <w:spacing w:val="4"/>
                <w:sz w:val="21"/>
                <w:szCs w:val="21"/>
              </w:rPr>
              <w:t xml:space="preserve"> </w:t>
            </w:r>
            <w:r>
              <w:rPr>
                <w:spacing w:val="-10"/>
                <w:sz w:val="21"/>
                <w:szCs w:val="21"/>
              </w:rPr>
              <w:t>光</w:t>
            </w:r>
            <w:r>
              <w:rPr>
                <w:spacing w:val="3"/>
                <w:sz w:val="21"/>
                <w:szCs w:val="21"/>
              </w:rPr>
              <w:t xml:space="preserve"> </w:t>
            </w:r>
            <w:r>
              <w:rPr>
                <w:spacing w:val="-10"/>
                <w:sz w:val="21"/>
                <w:szCs w:val="21"/>
              </w:rPr>
              <w:t>缆</w:t>
            </w:r>
            <w:r>
              <w:rPr>
                <w:spacing w:val="23"/>
                <w:sz w:val="21"/>
                <w:szCs w:val="21"/>
              </w:rPr>
              <w:t xml:space="preserve"> </w:t>
            </w:r>
            <w:r>
              <w:rPr>
                <w:spacing w:val="-10"/>
                <w:sz w:val="21"/>
                <w:szCs w:val="21"/>
              </w:rPr>
              <w:t>。</w:t>
            </w:r>
            <w:r>
              <w:rPr>
                <w:spacing w:val="6"/>
                <w:sz w:val="21"/>
                <w:szCs w:val="21"/>
              </w:rPr>
              <w:t xml:space="preserve"> </w:t>
            </w:r>
            <w:r>
              <w:rPr>
                <w:spacing w:val="-10"/>
                <w:sz w:val="21"/>
                <w:szCs w:val="21"/>
              </w:rPr>
              <w:t>3</w:t>
            </w:r>
            <w:r>
              <w:rPr>
                <w:spacing w:val="6"/>
                <w:sz w:val="21"/>
                <w:szCs w:val="21"/>
              </w:rPr>
              <w:t xml:space="preserve"> </w:t>
            </w:r>
            <w:r>
              <w:rPr>
                <w:spacing w:val="-10"/>
                <w:sz w:val="21"/>
                <w:szCs w:val="21"/>
              </w:rPr>
              <w:t>5</w:t>
            </w:r>
            <w:r>
              <w:rPr>
                <w:sz w:val="21"/>
                <w:szCs w:val="21"/>
              </w:rPr>
              <w:t xml:space="preserve"> </w:t>
            </w:r>
            <w:r>
              <w:rPr>
                <w:spacing w:val="-10"/>
                <w:sz w:val="21"/>
                <w:szCs w:val="21"/>
              </w:rPr>
              <w:t>k</w:t>
            </w:r>
            <w:r>
              <w:rPr>
                <w:spacing w:val="-3"/>
                <w:sz w:val="21"/>
                <w:szCs w:val="21"/>
              </w:rPr>
              <w:t xml:space="preserve"> </w:t>
            </w:r>
            <w:r>
              <w:rPr>
                <w:spacing w:val="-10"/>
                <w:sz w:val="21"/>
                <w:szCs w:val="21"/>
              </w:rPr>
              <w:t>V</w:t>
            </w:r>
            <w:r>
              <w:rPr>
                <w:spacing w:val="2"/>
                <w:sz w:val="21"/>
                <w:szCs w:val="21"/>
              </w:rPr>
              <w:t xml:space="preserve"> </w:t>
            </w:r>
            <w:r>
              <w:rPr>
                <w:spacing w:val="-10"/>
                <w:sz w:val="21"/>
                <w:szCs w:val="21"/>
              </w:rPr>
              <w:t>集</w:t>
            </w:r>
            <w:r>
              <w:rPr>
                <w:spacing w:val="27"/>
                <w:sz w:val="21"/>
                <w:szCs w:val="21"/>
              </w:rPr>
              <w:t xml:space="preserve"> </w:t>
            </w:r>
            <w:r>
              <w:rPr>
                <w:spacing w:val="-10"/>
                <w:sz w:val="21"/>
                <w:szCs w:val="21"/>
              </w:rPr>
              <w:t>电</w:t>
            </w:r>
            <w:r>
              <w:rPr>
                <w:spacing w:val="4"/>
                <w:sz w:val="21"/>
                <w:szCs w:val="21"/>
              </w:rPr>
              <w:t xml:space="preserve"> </w:t>
            </w:r>
            <w:r>
              <w:rPr>
                <w:spacing w:val="-10"/>
                <w:sz w:val="21"/>
                <w:szCs w:val="21"/>
              </w:rPr>
              <w:t>线</w:t>
            </w:r>
            <w:r>
              <w:rPr>
                <w:spacing w:val="4"/>
                <w:sz w:val="21"/>
                <w:szCs w:val="21"/>
              </w:rPr>
              <w:t xml:space="preserve"> </w:t>
            </w:r>
            <w:r>
              <w:rPr>
                <w:spacing w:val="-10"/>
                <w:sz w:val="21"/>
                <w:szCs w:val="21"/>
              </w:rPr>
              <w:t>路</w:t>
            </w:r>
            <w:r>
              <w:rPr>
                <w:spacing w:val="1"/>
                <w:sz w:val="21"/>
                <w:szCs w:val="21"/>
              </w:rPr>
              <w:t xml:space="preserve"> </w:t>
            </w:r>
            <w:r>
              <w:rPr>
                <w:spacing w:val="-10"/>
                <w:sz w:val="21"/>
                <w:szCs w:val="21"/>
              </w:rPr>
              <w:t>采</w:t>
            </w:r>
            <w:r>
              <w:rPr>
                <w:spacing w:val="4"/>
                <w:sz w:val="21"/>
                <w:szCs w:val="21"/>
              </w:rPr>
              <w:t xml:space="preserve"> </w:t>
            </w:r>
            <w:r>
              <w:rPr>
                <w:spacing w:val="-10"/>
                <w:sz w:val="21"/>
                <w:szCs w:val="21"/>
              </w:rPr>
              <w:t>用</w:t>
            </w:r>
            <w:r>
              <w:rPr>
                <w:sz w:val="21"/>
                <w:szCs w:val="21"/>
              </w:rPr>
              <w:t xml:space="preserve"> ZRC</w:t>
            </w:r>
            <w:r>
              <w:rPr>
                <w:spacing w:val="4"/>
                <w:sz w:val="21"/>
                <w:szCs w:val="21"/>
              </w:rPr>
              <w:t>-</w:t>
            </w:r>
            <w:r>
              <w:rPr>
                <w:sz w:val="21"/>
                <w:szCs w:val="21"/>
              </w:rPr>
              <w:t>YJLHV</w:t>
            </w:r>
            <w:r>
              <w:rPr>
                <w:spacing w:val="4"/>
                <w:sz w:val="21"/>
                <w:szCs w:val="21"/>
              </w:rPr>
              <w:t>22-26/35</w:t>
            </w:r>
            <w:r>
              <w:rPr>
                <w:sz w:val="21"/>
                <w:szCs w:val="21"/>
              </w:rPr>
              <w:t>kV</w:t>
            </w:r>
            <w:r>
              <w:rPr>
                <w:spacing w:val="4"/>
                <w:sz w:val="21"/>
                <w:szCs w:val="21"/>
              </w:rPr>
              <w:t>-3×400</w:t>
            </w:r>
            <w:r>
              <w:rPr>
                <w:sz w:val="21"/>
                <w:szCs w:val="21"/>
              </w:rPr>
              <w:t>mm</w:t>
            </w:r>
            <w:r>
              <w:rPr>
                <w:spacing w:val="4"/>
                <w:sz w:val="21"/>
                <w:szCs w:val="21"/>
              </w:rPr>
              <w:t>²的主电缆，电缆路径总长</w:t>
            </w:r>
            <w:r>
              <w:rPr>
                <w:spacing w:val="3"/>
                <w:sz w:val="21"/>
                <w:szCs w:val="21"/>
              </w:rPr>
              <w:t>约为</w:t>
            </w:r>
          </w:p>
          <w:p w14:paraId="626D4E18">
            <w:pPr>
              <w:pStyle w:val="6"/>
              <w:spacing w:before="59" w:line="185" w:lineRule="auto"/>
              <w:ind w:left="32"/>
              <w:rPr>
                <w:sz w:val="21"/>
                <w:szCs w:val="21"/>
              </w:rPr>
            </w:pPr>
            <w:r>
              <w:rPr>
                <w:spacing w:val="-5"/>
                <w:sz w:val="21"/>
                <w:szCs w:val="21"/>
              </w:rPr>
              <w:t>14.630km。</w:t>
            </w:r>
          </w:p>
        </w:tc>
      </w:tr>
      <w:tr w14:paraId="1857E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7" w:hRule="atLeast"/>
        </w:trPr>
        <w:tc>
          <w:tcPr>
            <w:tcW w:w="694" w:type="dxa"/>
            <w:vMerge w:val="continue"/>
            <w:tcBorders>
              <w:top w:val="nil"/>
              <w:bottom w:val="nil"/>
            </w:tcBorders>
            <w:vAlign w:val="top"/>
          </w:tcPr>
          <w:p w14:paraId="38C07C99">
            <w:pPr>
              <w:rPr>
                <w:rFonts w:ascii="Arial"/>
                <w:sz w:val="21"/>
              </w:rPr>
            </w:pPr>
          </w:p>
        </w:tc>
        <w:tc>
          <w:tcPr>
            <w:tcW w:w="140" w:type="dxa"/>
            <w:tcBorders>
              <w:top w:val="nil"/>
              <w:bottom w:val="nil"/>
            </w:tcBorders>
            <w:vAlign w:val="top"/>
          </w:tcPr>
          <w:p w14:paraId="392B888B">
            <w:pPr>
              <w:rPr>
                <w:rFonts w:ascii="Arial"/>
                <w:sz w:val="21"/>
              </w:rPr>
            </w:pPr>
          </w:p>
        </w:tc>
        <w:tc>
          <w:tcPr>
            <w:tcW w:w="689" w:type="dxa"/>
            <w:vMerge w:val="restart"/>
            <w:tcBorders>
              <w:bottom w:val="nil"/>
            </w:tcBorders>
            <w:vAlign w:val="top"/>
          </w:tcPr>
          <w:p w14:paraId="4410BF81">
            <w:pPr>
              <w:spacing w:line="254" w:lineRule="auto"/>
              <w:rPr>
                <w:rFonts w:ascii="Arial"/>
                <w:sz w:val="21"/>
              </w:rPr>
            </w:pPr>
          </w:p>
          <w:p w14:paraId="611FCFA4">
            <w:pPr>
              <w:spacing w:line="254" w:lineRule="auto"/>
              <w:rPr>
                <w:rFonts w:ascii="Arial"/>
                <w:sz w:val="21"/>
              </w:rPr>
            </w:pPr>
          </w:p>
          <w:p w14:paraId="7ECE462E">
            <w:pPr>
              <w:spacing w:line="254" w:lineRule="auto"/>
              <w:rPr>
                <w:rFonts w:ascii="Arial"/>
                <w:sz w:val="21"/>
              </w:rPr>
            </w:pPr>
          </w:p>
          <w:p w14:paraId="72A58CB5">
            <w:pPr>
              <w:spacing w:line="254" w:lineRule="auto"/>
              <w:rPr>
                <w:rFonts w:ascii="Arial"/>
                <w:sz w:val="21"/>
              </w:rPr>
            </w:pPr>
          </w:p>
          <w:p w14:paraId="7B4CEEF2">
            <w:pPr>
              <w:spacing w:line="254" w:lineRule="auto"/>
              <w:rPr>
                <w:rFonts w:ascii="Arial"/>
                <w:sz w:val="21"/>
              </w:rPr>
            </w:pPr>
          </w:p>
          <w:p w14:paraId="5CE1E176">
            <w:pPr>
              <w:spacing w:line="254" w:lineRule="auto"/>
              <w:rPr>
                <w:rFonts w:ascii="Arial"/>
                <w:sz w:val="21"/>
              </w:rPr>
            </w:pPr>
          </w:p>
          <w:p w14:paraId="02D6A9B5">
            <w:pPr>
              <w:spacing w:line="254" w:lineRule="auto"/>
              <w:rPr>
                <w:rFonts w:ascii="Arial"/>
                <w:sz w:val="21"/>
              </w:rPr>
            </w:pPr>
          </w:p>
          <w:p w14:paraId="146C582E">
            <w:pPr>
              <w:spacing w:line="255" w:lineRule="auto"/>
              <w:rPr>
                <w:rFonts w:ascii="Arial"/>
                <w:sz w:val="21"/>
              </w:rPr>
            </w:pPr>
          </w:p>
          <w:p w14:paraId="7DFC82A8">
            <w:pPr>
              <w:spacing w:line="255" w:lineRule="auto"/>
              <w:rPr>
                <w:rFonts w:ascii="Arial"/>
                <w:sz w:val="21"/>
              </w:rPr>
            </w:pPr>
          </w:p>
          <w:p w14:paraId="301AB944">
            <w:pPr>
              <w:pStyle w:val="6"/>
              <w:spacing w:before="68" w:line="266" w:lineRule="auto"/>
              <w:ind w:left="120" w:right="124"/>
              <w:rPr>
                <w:sz w:val="21"/>
                <w:szCs w:val="21"/>
              </w:rPr>
            </w:pPr>
            <w:r>
              <w:rPr>
                <w:spacing w:val="6"/>
                <w:sz w:val="21"/>
                <w:szCs w:val="21"/>
              </w:rPr>
              <w:t>辅助</w:t>
            </w:r>
            <w:r>
              <w:rPr>
                <w:sz w:val="21"/>
                <w:szCs w:val="21"/>
              </w:rPr>
              <w:t xml:space="preserve"> </w:t>
            </w:r>
            <w:r>
              <w:rPr>
                <w:spacing w:val="-3"/>
                <w:sz w:val="21"/>
                <w:szCs w:val="21"/>
              </w:rPr>
              <w:t>工程</w:t>
            </w:r>
          </w:p>
        </w:tc>
        <w:tc>
          <w:tcPr>
            <w:tcW w:w="1079" w:type="dxa"/>
            <w:vAlign w:val="top"/>
          </w:tcPr>
          <w:p w14:paraId="3C15BFDD">
            <w:pPr>
              <w:spacing w:line="249" w:lineRule="auto"/>
              <w:rPr>
                <w:rFonts w:ascii="Arial"/>
                <w:sz w:val="21"/>
              </w:rPr>
            </w:pPr>
          </w:p>
          <w:p w14:paraId="6A50C742">
            <w:pPr>
              <w:spacing w:line="249" w:lineRule="auto"/>
              <w:rPr>
                <w:rFonts w:ascii="Arial"/>
                <w:sz w:val="21"/>
              </w:rPr>
            </w:pPr>
          </w:p>
          <w:p w14:paraId="4E739E56">
            <w:pPr>
              <w:pStyle w:val="6"/>
              <w:spacing w:before="68" w:line="219" w:lineRule="auto"/>
              <w:ind w:left="112"/>
              <w:rPr>
                <w:sz w:val="21"/>
                <w:szCs w:val="21"/>
              </w:rPr>
            </w:pPr>
            <w:r>
              <w:rPr>
                <w:spacing w:val="-2"/>
                <w:sz w:val="21"/>
                <w:szCs w:val="21"/>
              </w:rPr>
              <w:t>道路工程</w:t>
            </w:r>
          </w:p>
        </w:tc>
        <w:tc>
          <w:tcPr>
            <w:tcW w:w="6477" w:type="dxa"/>
            <w:gridSpan w:val="2"/>
            <w:vAlign w:val="top"/>
          </w:tcPr>
          <w:p w14:paraId="20C54362">
            <w:pPr>
              <w:pStyle w:val="6"/>
              <w:spacing w:before="7" w:line="242" w:lineRule="auto"/>
              <w:ind w:left="12" w:right="158" w:firstLine="440"/>
              <w:rPr>
                <w:sz w:val="21"/>
                <w:szCs w:val="21"/>
              </w:rPr>
            </w:pPr>
            <w:r>
              <w:rPr>
                <w:spacing w:val="2"/>
                <w:sz w:val="21"/>
                <w:szCs w:val="21"/>
              </w:rPr>
              <w:t>本工程光伏区进场道路(改扩建)12.6</w:t>
            </w:r>
            <w:r>
              <w:rPr>
                <w:sz w:val="21"/>
                <w:szCs w:val="21"/>
              </w:rPr>
              <w:t>km</w:t>
            </w:r>
            <w:r>
              <w:rPr>
                <w:spacing w:val="2"/>
                <w:sz w:val="21"/>
                <w:szCs w:val="21"/>
              </w:rPr>
              <w:t>,场内改扩建道路</w:t>
            </w:r>
            <w:r>
              <w:rPr>
                <w:spacing w:val="1"/>
                <w:sz w:val="21"/>
                <w:szCs w:val="21"/>
              </w:rPr>
              <w:t>5.6</w:t>
            </w:r>
            <w:r>
              <w:rPr>
                <w:sz w:val="21"/>
                <w:szCs w:val="21"/>
              </w:rPr>
              <w:t>km</w:t>
            </w:r>
            <w:r>
              <w:rPr>
                <w:spacing w:val="1"/>
                <w:sz w:val="21"/>
                <w:szCs w:val="21"/>
              </w:rPr>
              <w:t>,</w:t>
            </w:r>
            <w:r>
              <w:rPr>
                <w:sz w:val="21"/>
                <w:szCs w:val="21"/>
              </w:rPr>
              <w:t xml:space="preserve"> </w:t>
            </w:r>
            <w:r>
              <w:rPr>
                <w:spacing w:val="1"/>
                <w:sz w:val="21"/>
                <w:szCs w:val="21"/>
              </w:rPr>
              <w:t>场内新建及硬化道路0.40</w:t>
            </w:r>
            <w:r>
              <w:rPr>
                <w:sz w:val="21"/>
                <w:szCs w:val="21"/>
              </w:rPr>
              <w:t>km</w:t>
            </w:r>
            <w:r>
              <w:rPr>
                <w:spacing w:val="1"/>
                <w:sz w:val="21"/>
                <w:szCs w:val="21"/>
              </w:rPr>
              <w:t>。在较长施工道路末端设置</w:t>
            </w:r>
            <w:r>
              <w:rPr>
                <w:sz w:val="21"/>
                <w:szCs w:val="21"/>
              </w:rPr>
              <w:t>16m×16m的  调车平台，在较长且没有支线的路段设置错车道。升压</w:t>
            </w:r>
            <w:r>
              <w:rPr>
                <w:spacing w:val="-1"/>
                <w:sz w:val="21"/>
                <w:szCs w:val="21"/>
              </w:rPr>
              <w:t>站站内道路：</w:t>
            </w:r>
            <w:r>
              <w:rPr>
                <w:sz w:val="21"/>
                <w:szCs w:val="21"/>
              </w:rPr>
              <w:t xml:space="preserve"> </w:t>
            </w:r>
            <w:r>
              <w:rPr>
                <w:spacing w:val="1"/>
                <w:sz w:val="21"/>
                <w:szCs w:val="21"/>
              </w:rPr>
              <w:t>站内道路为混凝土路面，主干道宽4.5m,转</w:t>
            </w:r>
            <w:r>
              <w:rPr>
                <w:sz w:val="21"/>
                <w:szCs w:val="21"/>
              </w:rPr>
              <w:t>弯半径为9m,道路呈环</w:t>
            </w:r>
          </w:p>
          <w:p w14:paraId="192A73E7">
            <w:pPr>
              <w:pStyle w:val="6"/>
              <w:spacing w:line="191" w:lineRule="auto"/>
              <w:ind w:left="12"/>
              <w:rPr>
                <w:sz w:val="21"/>
                <w:szCs w:val="21"/>
              </w:rPr>
            </w:pPr>
            <w:r>
              <w:rPr>
                <w:spacing w:val="-1"/>
                <w:sz w:val="21"/>
                <w:szCs w:val="21"/>
              </w:rPr>
              <w:t>形布置。</w:t>
            </w:r>
          </w:p>
        </w:tc>
      </w:tr>
      <w:tr w14:paraId="7D67A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694" w:type="dxa"/>
            <w:vMerge w:val="continue"/>
            <w:tcBorders>
              <w:top w:val="nil"/>
              <w:bottom w:val="nil"/>
            </w:tcBorders>
            <w:vAlign w:val="top"/>
          </w:tcPr>
          <w:p w14:paraId="05EEEEB6">
            <w:pPr>
              <w:rPr>
                <w:rFonts w:ascii="Arial"/>
                <w:sz w:val="21"/>
              </w:rPr>
            </w:pPr>
          </w:p>
        </w:tc>
        <w:tc>
          <w:tcPr>
            <w:tcW w:w="140" w:type="dxa"/>
            <w:tcBorders>
              <w:top w:val="nil"/>
              <w:bottom w:val="nil"/>
            </w:tcBorders>
            <w:vAlign w:val="top"/>
          </w:tcPr>
          <w:p w14:paraId="23893FEC">
            <w:pPr>
              <w:rPr>
                <w:rFonts w:ascii="Arial"/>
                <w:sz w:val="21"/>
              </w:rPr>
            </w:pPr>
          </w:p>
        </w:tc>
        <w:tc>
          <w:tcPr>
            <w:tcW w:w="689" w:type="dxa"/>
            <w:vMerge w:val="continue"/>
            <w:tcBorders>
              <w:top w:val="nil"/>
              <w:bottom w:val="nil"/>
            </w:tcBorders>
            <w:vAlign w:val="top"/>
          </w:tcPr>
          <w:p w14:paraId="1EA38942">
            <w:pPr>
              <w:rPr>
                <w:rFonts w:ascii="Arial"/>
                <w:sz w:val="21"/>
              </w:rPr>
            </w:pPr>
          </w:p>
        </w:tc>
        <w:tc>
          <w:tcPr>
            <w:tcW w:w="1079" w:type="dxa"/>
            <w:vAlign w:val="top"/>
          </w:tcPr>
          <w:p w14:paraId="4CD4300B">
            <w:pPr>
              <w:pStyle w:val="6"/>
              <w:spacing w:before="82" w:line="216" w:lineRule="auto"/>
              <w:ind w:left="211"/>
              <w:rPr>
                <w:sz w:val="21"/>
                <w:szCs w:val="21"/>
              </w:rPr>
            </w:pPr>
            <w:r>
              <w:rPr>
                <w:spacing w:val="4"/>
                <w:sz w:val="21"/>
                <w:szCs w:val="21"/>
              </w:rPr>
              <w:t>弃渣场</w:t>
            </w:r>
          </w:p>
        </w:tc>
        <w:tc>
          <w:tcPr>
            <w:tcW w:w="6477" w:type="dxa"/>
            <w:gridSpan w:val="2"/>
            <w:vAlign w:val="top"/>
          </w:tcPr>
          <w:p w14:paraId="72ADF7F9">
            <w:pPr>
              <w:pStyle w:val="6"/>
              <w:spacing w:before="82" w:line="216" w:lineRule="auto"/>
              <w:ind w:left="2262"/>
              <w:rPr>
                <w:sz w:val="21"/>
                <w:szCs w:val="21"/>
              </w:rPr>
            </w:pPr>
            <w:r>
              <w:rPr>
                <w:spacing w:val="-1"/>
                <w:sz w:val="21"/>
                <w:szCs w:val="21"/>
              </w:rPr>
              <w:t>项目不设置弃渣场。</w:t>
            </w:r>
          </w:p>
        </w:tc>
      </w:tr>
      <w:tr w14:paraId="4A544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694" w:type="dxa"/>
            <w:vMerge w:val="continue"/>
            <w:tcBorders>
              <w:top w:val="nil"/>
              <w:bottom w:val="nil"/>
            </w:tcBorders>
            <w:vAlign w:val="top"/>
          </w:tcPr>
          <w:p w14:paraId="40F3B9BF">
            <w:pPr>
              <w:rPr>
                <w:rFonts w:ascii="Arial"/>
                <w:sz w:val="21"/>
              </w:rPr>
            </w:pPr>
          </w:p>
        </w:tc>
        <w:tc>
          <w:tcPr>
            <w:tcW w:w="140" w:type="dxa"/>
            <w:tcBorders>
              <w:top w:val="nil"/>
              <w:bottom w:val="nil"/>
            </w:tcBorders>
            <w:vAlign w:val="top"/>
          </w:tcPr>
          <w:p w14:paraId="496EBF6D">
            <w:pPr>
              <w:rPr>
                <w:rFonts w:ascii="Arial"/>
                <w:sz w:val="21"/>
              </w:rPr>
            </w:pPr>
          </w:p>
        </w:tc>
        <w:tc>
          <w:tcPr>
            <w:tcW w:w="689" w:type="dxa"/>
            <w:vMerge w:val="continue"/>
            <w:tcBorders>
              <w:top w:val="nil"/>
              <w:bottom w:val="nil"/>
            </w:tcBorders>
            <w:vAlign w:val="top"/>
          </w:tcPr>
          <w:p w14:paraId="25ADF967">
            <w:pPr>
              <w:rPr>
                <w:rFonts w:ascii="Arial"/>
                <w:sz w:val="21"/>
              </w:rPr>
            </w:pPr>
          </w:p>
        </w:tc>
        <w:tc>
          <w:tcPr>
            <w:tcW w:w="1079" w:type="dxa"/>
            <w:vAlign w:val="top"/>
          </w:tcPr>
          <w:p w14:paraId="7CFF7228">
            <w:pPr>
              <w:spacing w:line="255" w:lineRule="auto"/>
              <w:rPr>
                <w:rFonts w:ascii="Arial"/>
                <w:sz w:val="21"/>
              </w:rPr>
            </w:pPr>
          </w:p>
          <w:p w14:paraId="05BDC268">
            <w:pPr>
              <w:pStyle w:val="6"/>
              <w:spacing w:before="68" w:line="249" w:lineRule="auto"/>
              <w:ind w:left="321" w:right="124" w:hanging="209"/>
              <w:rPr>
                <w:sz w:val="21"/>
                <w:szCs w:val="21"/>
              </w:rPr>
            </w:pPr>
            <w:r>
              <w:rPr>
                <w:spacing w:val="-2"/>
                <w:sz w:val="21"/>
                <w:szCs w:val="21"/>
              </w:rPr>
              <w:t>表土临时</w:t>
            </w:r>
            <w:r>
              <w:rPr>
                <w:sz w:val="21"/>
                <w:szCs w:val="21"/>
              </w:rPr>
              <w:t xml:space="preserve"> </w:t>
            </w:r>
            <w:r>
              <w:rPr>
                <w:spacing w:val="6"/>
                <w:sz w:val="21"/>
                <w:szCs w:val="21"/>
              </w:rPr>
              <w:t>堆场</w:t>
            </w:r>
          </w:p>
        </w:tc>
        <w:tc>
          <w:tcPr>
            <w:tcW w:w="6477" w:type="dxa"/>
            <w:gridSpan w:val="2"/>
            <w:vAlign w:val="top"/>
          </w:tcPr>
          <w:p w14:paraId="4828F787">
            <w:pPr>
              <w:pStyle w:val="6"/>
              <w:spacing w:before="53" w:line="241" w:lineRule="auto"/>
              <w:ind w:left="52" w:right="35" w:hanging="10"/>
              <w:rPr>
                <w:sz w:val="21"/>
                <w:szCs w:val="21"/>
              </w:rPr>
            </w:pPr>
            <w:r>
              <w:rPr>
                <w:spacing w:val="-7"/>
                <w:sz w:val="21"/>
                <w:szCs w:val="21"/>
              </w:rPr>
              <w:t>本项目依据就近堆置的原则，临时表土堆场规划如下：共设置7</w:t>
            </w:r>
            <w:r>
              <w:rPr>
                <w:spacing w:val="-8"/>
                <w:sz w:val="21"/>
                <w:szCs w:val="21"/>
              </w:rPr>
              <w:t>个表土堆</w:t>
            </w:r>
            <w:r>
              <w:rPr>
                <w:sz w:val="21"/>
                <w:szCs w:val="21"/>
              </w:rPr>
              <w:t xml:space="preserve"> </w:t>
            </w:r>
            <w:r>
              <w:rPr>
                <w:spacing w:val="3"/>
                <w:sz w:val="21"/>
                <w:szCs w:val="21"/>
              </w:rPr>
              <w:t>场，表土堆场堆平均堆存高度为3m,规划容量为1.62万m³,实际堆</w:t>
            </w:r>
          </w:p>
          <w:p w14:paraId="2F04D51D">
            <w:pPr>
              <w:pStyle w:val="6"/>
              <w:spacing w:before="1" w:line="212" w:lineRule="auto"/>
              <w:ind w:left="52" w:right="324" w:hanging="10"/>
              <w:rPr>
                <w:sz w:val="21"/>
                <w:szCs w:val="21"/>
              </w:rPr>
            </w:pPr>
            <w:r>
              <w:rPr>
                <w:spacing w:val="3"/>
                <w:sz w:val="21"/>
                <w:szCs w:val="21"/>
              </w:rPr>
              <w:t>存1.08万m³(自然方),后期回采堆存表土后对堆场区域进行撒草恢</w:t>
            </w:r>
            <w:r>
              <w:rPr>
                <w:spacing w:val="14"/>
                <w:sz w:val="21"/>
                <w:szCs w:val="21"/>
              </w:rPr>
              <w:t xml:space="preserve"> </w:t>
            </w:r>
            <w:r>
              <w:rPr>
                <w:spacing w:val="-1"/>
                <w:sz w:val="21"/>
                <w:szCs w:val="21"/>
              </w:rPr>
              <w:t>复，均位于方阵的空地上，不新增占地。</w:t>
            </w:r>
          </w:p>
        </w:tc>
      </w:tr>
      <w:tr w14:paraId="0E497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4" w:hRule="atLeast"/>
        </w:trPr>
        <w:tc>
          <w:tcPr>
            <w:tcW w:w="694" w:type="dxa"/>
            <w:vMerge w:val="continue"/>
            <w:tcBorders>
              <w:top w:val="nil"/>
              <w:bottom w:val="nil"/>
            </w:tcBorders>
            <w:vAlign w:val="top"/>
          </w:tcPr>
          <w:p w14:paraId="2A3653AD">
            <w:pPr>
              <w:rPr>
                <w:rFonts w:ascii="Arial"/>
                <w:sz w:val="21"/>
              </w:rPr>
            </w:pPr>
          </w:p>
        </w:tc>
        <w:tc>
          <w:tcPr>
            <w:tcW w:w="140" w:type="dxa"/>
            <w:tcBorders>
              <w:top w:val="nil"/>
              <w:bottom w:val="nil"/>
            </w:tcBorders>
            <w:vAlign w:val="top"/>
          </w:tcPr>
          <w:p w14:paraId="5737F608">
            <w:pPr>
              <w:rPr>
                <w:rFonts w:ascii="Arial"/>
                <w:sz w:val="21"/>
              </w:rPr>
            </w:pPr>
          </w:p>
        </w:tc>
        <w:tc>
          <w:tcPr>
            <w:tcW w:w="689" w:type="dxa"/>
            <w:vMerge w:val="continue"/>
            <w:tcBorders>
              <w:top w:val="nil"/>
              <w:bottom w:val="nil"/>
            </w:tcBorders>
            <w:vAlign w:val="top"/>
          </w:tcPr>
          <w:p w14:paraId="7FE1C7D9">
            <w:pPr>
              <w:rPr>
                <w:rFonts w:ascii="Arial"/>
                <w:sz w:val="21"/>
              </w:rPr>
            </w:pPr>
          </w:p>
        </w:tc>
        <w:tc>
          <w:tcPr>
            <w:tcW w:w="1079" w:type="dxa"/>
            <w:vAlign w:val="top"/>
          </w:tcPr>
          <w:p w14:paraId="1BB9097C">
            <w:pPr>
              <w:spacing w:line="333" w:lineRule="auto"/>
              <w:rPr>
                <w:rFonts w:ascii="Arial"/>
                <w:sz w:val="21"/>
              </w:rPr>
            </w:pPr>
          </w:p>
          <w:p w14:paraId="2A242B5B">
            <w:pPr>
              <w:spacing w:line="334" w:lineRule="auto"/>
              <w:rPr>
                <w:rFonts w:ascii="Arial"/>
                <w:sz w:val="21"/>
              </w:rPr>
            </w:pPr>
          </w:p>
          <w:p w14:paraId="1DDCF039">
            <w:pPr>
              <w:pStyle w:val="6"/>
              <w:spacing w:before="68" w:line="219" w:lineRule="auto"/>
              <w:ind w:left="112"/>
              <w:rPr>
                <w:sz w:val="21"/>
                <w:szCs w:val="21"/>
              </w:rPr>
            </w:pPr>
            <w:r>
              <w:rPr>
                <w:spacing w:val="-2"/>
                <w:sz w:val="21"/>
                <w:szCs w:val="21"/>
              </w:rPr>
              <w:t>施工临时</w:t>
            </w:r>
          </w:p>
          <w:p w14:paraId="4B813A50">
            <w:pPr>
              <w:pStyle w:val="6"/>
              <w:spacing w:before="11" w:line="220" w:lineRule="auto"/>
              <w:ind w:left="321"/>
              <w:rPr>
                <w:sz w:val="21"/>
                <w:szCs w:val="21"/>
              </w:rPr>
            </w:pPr>
            <w:r>
              <w:rPr>
                <w:spacing w:val="4"/>
                <w:sz w:val="21"/>
                <w:szCs w:val="21"/>
              </w:rPr>
              <w:t>营地</w:t>
            </w:r>
          </w:p>
        </w:tc>
        <w:tc>
          <w:tcPr>
            <w:tcW w:w="6477" w:type="dxa"/>
            <w:gridSpan w:val="2"/>
            <w:vAlign w:val="top"/>
          </w:tcPr>
          <w:p w14:paraId="15B835C6">
            <w:pPr>
              <w:pStyle w:val="6"/>
              <w:spacing w:before="69" w:line="221" w:lineRule="auto"/>
              <w:ind w:left="12" w:firstLine="19"/>
              <w:rPr>
                <w:sz w:val="21"/>
                <w:szCs w:val="21"/>
              </w:rPr>
            </w:pPr>
            <w:r>
              <w:rPr>
                <w:spacing w:val="-3"/>
                <w:sz w:val="21"/>
                <w:szCs w:val="21"/>
              </w:rPr>
              <w:t>工程离村庄较近，交通方便，不考虑在现场设业主营地、承包商营地、</w:t>
            </w:r>
            <w:r>
              <w:rPr>
                <w:spacing w:val="16"/>
                <w:sz w:val="21"/>
                <w:szCs w:val="21"/>
              </w:rPr>
              <w:t xml:space="preserve"> </w:t>
            </w:r>
            <w:r>
              <w:rPr>
                <w:spacing w:val="-2"/>
                <w:sz w:val="21"/>
                <w:szCs w:val="21"/>
              </w:rPr>
              <w:t>机械修配间等施工营地，施工营地均租用附近现有的居民空</w:t>
            </w:r>
            <w:r>
              <w:rPr>
                <w:spacing w:val="-3"/>
                <w:sz w:val="21"/>
                <w:szCs w:val="21"/>
              </w:rPr>
              <w:t>房。</w:t>
            </w:r>
          </w:p>
          <w:p w14:paraId="1F0EBF17">
            <w:pPr>
              <w:pStyle w:val="6"/>
              <w:spacing w:before="5" w:line="219" w:lineRule="auto"/>
              <w:ind w:left="32"/>
              <w:rPr>
                <w:sz w:val="21"/>
                <w:szCs w:val="21"/>
              </w:rPr>
            </w:pPr>
            <w:r>
              <w:rPr>
                <w:sz w:val="21"/>
                <w:szCs w:val="21"/>
              </w:rPr>
              <w:t>场址内共设置1处施工临时营地，设置在项目区中部光伏方阵区中，</w:t>
            </w:r>
          </w:p>
          <w:p w14:paraId="513A8EE1">
            <w:pPr>
              <w:pStyle w:val="6"/>
              <w:spacing w:before="28" w:line="226" w:lineRule="auto"/>
              <w:ind w:left="21" w:hanging="9"/>
              <w:rPr>
                <w:sz w:val="21"/>
                <w:szCs w:val="21"/>
              </w:rPr>
            </w:pPr>
            <w:r>
              <w:rPr>
                <w:spacing w:val="5"/>
                <w:sz w:val="21"/>
                <w:szCs w:val="21"/>
              </w:rPr>
              <w:t>主要设置的临建设施有：综合加工厂、综合仓库，共计占</w:t>
            </w:r>
            <w:r>
              <w:rPr>
                <w:spacing w:val="4"/>
                <w:sz w:val="21"/>
                <w:szCs w:val="21"/>
              </w:rPr>
              <w:t>地0.45</w:t>
            </w:r>
            <w:r>
              <w:rPr>
                <w:sz w:val="21"/>
                <w:szCs w:val="21"/>
              </w:rPr>
              <w:t>hm</w:t>
            </w:r>
            <w:r>
              <w:rPr>
                <w:spacing w:val="4"/>
                <w:sz w:val="21"/>
                <w:szCs w:val="21"/>
              </w:rPr>
              <w:t>²,</w:t>
            </w:r>
            <w:r>
              <w:rPr>
                <w:sz w:val="21"/>
                <w:szCs w:val="21"/>
              </w:rPr>
              <w:t xml:space="preserve"> </w:t>
            </w:r>
            <w:r>
              <w:rPr>
                <w:spacing w:val="-1"/>
                <w:sz w:val="21"/>
                <w:szCs w:val="21"/>
              </w:rPr>
              <w:t>均设在光伏方阵区用地范围内。本工程集电线路工程规模较小，塔基</w:t>
            </w:r>
            <w:r>
              <w:rPr>
                <w:spacing w:val="4"/>
                <w:sz w:val="21"/>
                <w:szCs w:val="21"/>
              </w:rPr>
              <w:t xml:space="preserve">  </w:t>
            </w:r>
            <w:r>
              <w:rPr>
                <w:sz w:val="21"/>
                <w:szCs w:val="21"/>
              </w:rPr>
              <w:t>基础开挖以人工为主，施工场地布置在塔基平台占地范围内，不另设  置施工场地。位于9#方阵内。</w:t>
            </w:r>
          </w:p>
        </w:tc>
      </w:tr>
      <w:tr w14:paraId="5CC2F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694" w:type="dxa"/>
            <w:vMerge w:val="continue"/>
            <w:tcBorders>
              <w:top w:val="nil"/>
              <w:bottom w:val="nil"/>
            </w:tcBorders>
            <w:vAlign w:val="top"/>
          </w:tcPr>
          <w:p w14:paraId="78AC3072">
            <w:pPr>
              <w:rPr>
                <w:rFonts w:ascii="Arial"/>
                <w:sz w:val="21"/>
              </w:rPr>
            </w:pPr>
          </w:p>
        </w:tc>
        <w:tc>
          <w:tcPr>
            <w:tcW w:w="140" w:type="dxa"/>
            <w:tcBorders>
              <w:top w:val="nil"/>
              <w:bottom w:val="nil"/>
            </w:tcBorders>
            <w:vAlign w:val="top"/>
          </w:tcPr>
          <w:p w14:paraId="7A0F1273">
            <w:pPr>
              <w:rPr>
                <w:rFonts w:ascii="Arial"/>
                <w:sz w:val="21"/>
              </w:rPr>
            </w:pPr>
          </w:p>
        </w:tc>
        <w:tc>
          <w:tcPr>
            <w:tcW w:w="689" w:type="dxa"/>
            <w:vMerge w:val="continue"/>
            <w:tcBorders>
              <w:top w:val="nil"/>
            </w:tcBorders>
            <w:vAlign w:val="top"/>
          </w:tcPr>
          <w:p w14:paraId="7E45C980">
            <w:pPr>
              <w:rPr>
                <w:rFonts w:ascii="Arial"/>
                <w:sz w:val="21"/>
              </w:rPr>
            </w:pPr>
          </w:p>
        </w:tc>
        <w:tc>
          <w:tcPr>
            <w:tcW w:w="1079" w:type="dxa"/>
            <w:vAlign w:val="top"/>
          </w:tcPr>
          <w:p w14:paraId="36ADA318">
            <w:pPr>
              <w:pStyle w:val="6"/>
              <w:spacing w:before="65" w:line="214" w:lineRule="auto"/>
              <w:ind w:left="321" w:right="127" w:hanging="209"/>
              <w:rPr>
                <w:sz w:val="21"/>
                <w:szCs w:val="21"/>
              </w:rPr>
            </w:pPr>
            <w:r>
              <w:rPr>
                <w:spacing w:val="-3"/>
                <w:sz w:val="21"/>
                <w:szCs w:val="21"/>
              </w:rPr>
              <w:t>混凝土拌</w:t>
            </w:r>
            <w:r>
              <w:rPr>
                <w:sz w:val="21"/>
                <w:szCs w:val="21"/>
              </w:rPr>
              <w:t xml:space="preserve"> </w:t>
            </w:r>
            <w:r>
              <w:rPr>
                <w:spacing w:val="5"/>
                <w:sz w:val="21"/>
                <w:szCs w:val="21"/>
              </w:rPr>
              <w:t>合站</w:t>
            </w:r>
          </w:p>
        </w:tc>
        <w:tc>
          <w:tcPr>
            <w:tcW w:w="6477" w:type="dxa"/>
            <w:gridSpan w:val="2"/>
            <w:vAlign w:val="top"/>
          </w:tcPr>
          <w:p w14:paraId="1A9F60A7">
            <w:pPr>
              <w:pStyle w:val="6"/>
              <w:spacing w:before="184" w:line="219" w:lineRule="auto"/>
              <w:ind w:left="42"/>
              <w:rPr>
                <w:sz w:val="21"/>
                <w:szCs w:val="21"/>
              </w:rPr>
            </w:pPr>
            <w:r>
              <w:rPr>
                <w:sz w:val="21"/>
                <w:szCs w:val="21"/>
              </w:rPr>
              <w:t>本项目使用商品混凝土，不设混凝土拌合站</w:t>
            </w:r>
          </w:p>
        </w:tc>
      </w:tr>
      <w:tr w14:paraId="4FEF5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694" w:type="dxa"/>
            <w:vMerge w:val="continue"/>
            <w:tcBorders>
              <w:top w:val="nil"/>
              <w:bottom w:val="nil"/>
            </w:tcBorders>
            <w:vAlign w:val="top"/>
          </w:tcPr>
          <w:p w14:paraId="48480AF5">
            <w:pPr>
              <w:rPr>
                <w:rFonts w:ascii="Arial"/>
                <w:sz w:val="21"/>
              </w:rPr>
            </w:pPr>
          </w:p>
        </w:tc>
        <w:tc>
          <w:tcPr>
            <w:tcW w:w="140" w:type="dxa"/>
            <w:tcBorders>
              <w:top w:val="nil"/>
              <w:bottom w:val="nil"/>
            </w:tcBorders>
            <w:vAlign w:val="top"/>
          </w:tcPr>
          <w:p w14:paraId="2932D72C">
            <w:pPr>
              <w:rPr>
                <w:rFonts w:ascii="Arial"/>
                <w:sz w:val="21"/>
              </w:rPr>
            </w:pPr>
          </w:p>
        </w:tc>
        <w:tc>
          <w:tcPr>
            <w:tcW w:w="689" w:type="dxa"/>
            <w:vMerge w:val="restart"/>
            <w:tcBorders>
              <w:bottom w:val="nil"/>
            </w:tcBorders>
            <w:vAlign w:val="top"/>
          </w:tcPr>
          <w:p w14:paraId="42A41934">
            <w:pPr>
              <w:spacing w:line="267" w:lineRule="auto"/>
              <w:rPr>
                <w:rFonts w:ascii="Arial"/>
                <w:sz w:val="21"/>
              </w:rPr>
            </w:pPr>
          </w:p>
          <w:p w14:paraId="1238A125">
            <w:pPr>
              <w:spacing w:line="268" w:lineRule="auto"/>
              <w:rPr>
                <w:rFonts w:ascii="Arial"/>
                <w:sz w:val="21"/>
              </w:rPr>
            </w:pPr>
          </w:p>
          <w:p w14:paraId="23340A97">
            <w:pPr>
              <w:spacing w:line="268" w:lineRule="auto"/>
              <w:rPr>
                <w:rFonts w:ascii="Arial"/>
                <w:sz w:val="21"/>
              </w:rPr>
            </w:pPr>
          </w:p>
          <w:p w14:paraId="4E91ED0B">
            <w:pPr>
              <w:spacing w:line="268" w:lineRule="auto"/>
              <w:rPr>
                <w:rFonts w:ascii="Arial"/>
                <w:sz w:val="21"/>
              </w:rPr>
            </w:pPr>
          </w:p>
          <w:p w14:paraId="321D4387">
            <w:pPr>
              <w:spacing w:line="268" w:lineRule="auto"/>
              <w:rPr>
                <w:rFonts w:ascii="Arial"/>
                <w:sz w:val="21"/>
              </w:rPr>
            </w:pPr>
          </w:p>
          <w:p w14:paraId="106A1D9F">
            <w:pPr>
              <w:pStyle w:val="6"/>
              <w:spacing w:before="68" w:line="230" w:lineRule="auto"/>
              <w:ind w:left="120" w:right="112"/>
              <w:rPr>
                <w:sz w:val="21"/>
                <w:szCs w:val="21"/>
              </w:rPr>
            </w:pPr>
            <w:r>
              <w:rPr>
                <w:spacing w:val="12"/>
                <w:sz w:val="21"/>
                <w:szCs w:val="21"/>
              </w:rPr>
              <w:t>公用</w:t>
            </w:r>
            <w:r>
              <w:rPr>
                <w:sz w:val="21"/>
                <w:szCs w:val="21"/>
              </w:rPr>
              <w:t xml:space="preserve"> </w:t>
            </w:r>
            <w:r>
              <w:rPr>
                <w:spacing w:val="-3"/>
                <w:sz w:val="21"/>
                <w:szCs w:val="21"/>
              </w:rPr>
              <w:t>工程</w:t>
            </w:r>
          </w:p>
        </w:tc>
        <w:tc>
          <w:tcPr>
            <w:tcW w:w="1079" w:type="dxa"/>
            <w:vMerge w:val="restart"/>
            <w:tcBorders>
              <w:bottom w:val="nil"/>
            </w:tcBorders>
            <w:vAlign w:val="top"/>
          </w:tcPr>
          <w:p w14:paraId="38D067F9">
            <w:pPr>
              <w:spacing w:line="306" w:lineRule="auto"/>
              <w:rPr>
                <w:rFonts w:ascii="Arial"/>
                <w:sz w:val="21"/>
              </w:rPr>
            </w:pPr>
          </w:p>
          <w:p w14:paraId="3BF36140">
            <w:pPr>
              <w:spacing w:line="306" w:lineRule="auto"/>
              <w:rPr>
                <w:rFonts w:ascii="Arial"/>
                <w:sz w:val="21"/>
              </w:rPr>
            </w:pPr>
          </w:p>
          <w:p w14:paraId="250FA1E1">
            <w:pPr>
              <w:spacing w:line="306" w:lineRule="auto"/>
              <w:rPr>
                <w:rFonts w:ascii="Arial"/>
                <w:sz w:val="21"/>
              </w:rPr>
            </w:pPr>
          </w:p>
          <w:p w14:paraId="67E5320D">
            <w:pPr>
              <w:pStyle w:val="6"/>
              <w:spacing w:before="68" w:line="219" w:lineRule="auto"/>
              <w:ind w:left="321"/>
              <w:rPr>
                <w:sz w:val="21"/>
                <w:szCs w:val="21"/>
              </w:rPr>
            </w:pPr>
            <w:r>
              <w:rPr>
                <w:spacing w:val="-3"/>
                <w:sz w:val="21"/>
                <w:szCs w:val="21"/>
              </w:rPr>
              <w:t>供水</w:t>
            </w:r>
          </w:p>
        </w:tc>
        <w:tc>
          <w:tcPr>
            <w:tcW w:w="6477" w:type="dxa"/>
            <w:gridSpan w:val="2"/>
            <w:vAlign w:val="top"/>
          </w:tcPr>
          <w:p w14:paraId="63351BD5">
            <w:pPr>
              <w:pStyle w:val="6"/>
              <w:spacing w:before="53" w:line="211" w:lineRule="auto"/>
              <w:ind w:left="12" w:right="121" w:firstLine="459"/>
              <w:rPr>
                <w:sz w:val="21"/>
                <w:szCs w:val="21"/>
              </w:rPr>
            </w:pPr>
            <w:r>
              <w:rPr>
                <w:sz w:val="21"/>
                <w:szCs w:val="21"/>
              </w:rPr>
              <w:t>施工期供水：施工用水均取自项目区附近的</w:t>
            </w:r>
            <w:r>
              <w:rPr>
                <w:spacing w:val="-1"/>
                <w:sz w:val="21"/>
                <w:szCs w:val="21"/>
              </w:rPr>
              <w:t>水库，施工场地内设</w:t>
            </w:r>
            <w:r>
              <w:rPr>
                <w:sz w:val="21"/>
                <w:szCs w:val="21"/>
              </w:rPr>
              <w:t xml:space="preserve"> </w:t>
            </w:r>
            <w:r>
              <w:rPr>
                <w:spacing w:val="5"/>
                <w:sz w:val="21"/>
                <w:szCs w:val="21"/>
              </w:rPr>
              <w:t>容积为150m³临时水池1座，供施工用</w:t>
            </w:r>
            <w:r>
              <w:rPr>
                <w:spacing w:val="4"/>
                <w:sz w:val="21"/>
                <w:szCs w:val="21"/>
              </w:rPr>
              <w:t>水。</w:t>
            </w:r>
          </w:p>
        </w:tc>
      </w:tr>
      <w:tr w14:paraId="79282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4" w:hRule="atLeast"/>
        </w:trPr>
        <w:tc>
          <w:tcPr>
            <w:tcW w:w="694" w:type="dxa"/>
            <w:vMerge w:val="continue"/>
            <w:tcBorders>
              <w:top w:val="nil"/>
              <w:bottom w:val="nil"/>
            </w:tcBorders>
            <w:vAlign w:val="top"/>
          </w:tcPr>
          <w:p w14:paraId="56E6FA31">
            <w:pPr>
              <w:rPr>
                <w:rFonts w:ascii="Arial"/>
                <w:sz w:val="21"/>
              </w:rPr>
            </w:pPr>
          </w:p>
        </w:tc>
        <w:tc>
          <w:tcPr>
            <w:tcW w:w="140" w:type="dxa"/>
            <w:tcBorders>
              <w:top w:val="nil"/>
              <w:bottom w:val="nil"/>
            </w:tcBorders>
            <w:vAlign w:val="top"/>
          </w:tcPr>
          <w:p w14:paraId="2BD6B787">
            <w:pPr>
              <w:rPr>
                <w:rFonts w:ascii="Arial"/>
                <w:sz w:val="21"/>
              </w:rPr>
            </w:pPr>
          </w:p>
        </w:tc>
        <w:tc>
          <w:tcPr>
            <w:tcW w:w="689" w:type="dxa"/>
            <w:vMerge w:val="continue"/>
            <w:tcBorders>
              <w:top w:val="nil"/>
              <w:bottom w:val="nil"/>
            </w:tcBorders>
            <w:vAlign w:val="top"/>
          </w:tcPr>
          <w:p w14:paraId="7F3E1A36">
            <w:pPr>
              <w:rPr>
                <w:rFonts w:ascii="Arial"/>
                <w:sz w:val="21"/>
              </w:rPr>
            </w:pPr>
          </w:p>
        </w:tc>
        <w:tc>
          <w:tcPr>
            <w:tcW w:w="1079" w:type="dxa"/>
            <w:vMerge w:val="continue"/>
            <w:tcBorders>
              <w:top w:val="nil"/>
            </w:tcBorders>
            <w:vAlign w:val="top"/>
          </w:tcPr>
          <w:p w14:paraId="36C0E7B9">
            <w:pPr>
              <w:rPr>
                <w:rFonts w:ascii="Arial"/>
                <w:sz w:val="21"/>
              </w:rPr>
            </w:pPr>
          </w:p>
        </w:tc>
        <w:tc>
          <w:tcPr>
            <w:tcW w:w="6477" w:type="dxa"/>
            <w:gridSpan w:val="2"/>
            <w:vAlign w:val="top"/>
          </w:tcPr>
          <w:p w14:paraId="7F41D7DA">
            <w:pPr>
              <w:pStyle w:val="6"/>
              <w:spacing w:before="58" w:line="233" w:lineRule="auto"/>
              <w:ind w:left="12" w:right="126" w:firstLine="459"/>
              <w:jc w:val="both"/>
              <w:rPr>
                <w:sz w:val="21"/>
                <w:szCs w:val="21"/>
              </w:rPr>
            </w:pPr>
            <w:r>
              <w:rPr>
                <w:sz w:val="21"/>
                <w:szCs w:val="21"/>
              </w:rPr>
              <w:t>运营期供水：升压站暂定采用打井取水，在站内适当位置设置1</w:t>
            </w:r>
            <w:r>
              <w:rPr>
                <w:spacing w:val="15"/>
                <w:sz w:val="21"/>
                <w:szCs w:val="21"/>
              </w:rPr>
              <w:t xml:space="preserve"> </w:t>
            </w:r>
            <w:r>
              <w:rPr>
                <w:spacing w:val="1"/>
                <w:sz w:val="21"/>
                <w:szCs w:val="21"/>
              </w:rPr>
              <w:t>口取水井。水源水质不能满足变电站用水水质要求时，设置</w:t>
            </w:r>
            <w:r>
              <w:rPr>
                <w:sz w:val="21"/>
                <w:szCs w:val="21"/>
              </w:rPr>
              <w:t>给水处理 设备。站内设置生活水箱、采用变频泵加压将生活用水输送至站内生</w:t>
            </w:r>
            <w:r>
              <w:rPr>
                <w:spacing w:val="8"/>
                <w:sz w:val="21"/>
                <w:szCs w:val="21"/>
              </w:rPr>
              <w:t xml:space="preserve"> </w:t>
            </w:r>
            <w:r>
              <w:rPr>
                <w:spacing w:val="1"/>
                <w:sz w:val="21"/>
                <w:szCs w:val="21"/>
              </w:rPr>
              <w:t>活用水点。</w:t>
            </w:r>
          </w:p>
          <w:p w14:paraId="5C85419B">
            <w:pPr>
              <w:pStyle w:val="6"/>
              <w:spacing w:line="213" w:lineRule="auto"/>
              <w:ind w:left="32" w:right="104" w:firstLine="439"/>
              <w:rPr>
                <w:sz w:val="21"/>
                <w:szCs w:val="21"/>
              </w:rPr>
            </w:pPr>
            <w:r>
              <w:rPr>
                <w:sz w:val="21"/>
                <w:szCs w:val="21"/>
              </w:rPr>
              <w:t>电池组件清洗水源：清洗用水采用罐车从周边水库运水至各用水</w:t>
            </w:r>
            <w:r>
              <w:rPr>
                <w:spacing w:val="8"/>
                <w:sz w:val="21"/>
                <w:szCs w:val="21"/>
              </w:rPr>
              <w:t xml:space="preserve"> </w:t>
            </w:r>
            <w:r>
              <w:rPr>
                <w:spacing w:val="-1"/>
                <w:sz w:val="21"/>
                <w:szCs w:val="21"/>
              </w:rPr>
              <w:t>点区域。</w:t>
            </w:r>
          </w:p>
        </w:tc>
      </w:tr>
      <w:tr w14:paraId="3E893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694" w:type="dxa"/>
            <w:vMerge w:val="continue"/>
            <w:tcBorders>
              <w:top w:val="nil"/>
              <w:bottom w:val="nil"/>
            </w:tcBorders>
            <w:vAlign w:val="top"/>
          </w:tcPr>
          <w:p w14:paraId="79D4A1CA">
            <w:pPr>
              <w:rPr>
                <w:rFonts w:ascii="Arial"/>
                <w:sz w:val="21"/>
              </w:rPr>
            </w:pPr>
          </w:p>
        </w:tc>
        <w:tc>
          <w:tcPr>
            <w:tcW w:w="140" w:type="dxa"/>
            <w:tcBorders>
              <w:top w:val="nil"/>
              <w:bottom w:val="nil"/>
            </w:tcBorders>
            <w:vAlign w:val="top"/>
          </w:tcPr>
          <w:p w14:paraId="543FFBF9">
            <w:pPr>
              <w:rPr>
                <w:rFonts w:ascii="Arial"/>
                <w:sz w:val="21"/>
              </w:rPr>
            </w:pPr>
          </w:p>
        </w:tc>
        <w:tc>
          <w:tcPr>
            <w:tcW w:w="689" w:type="dxa"/>
            <w:vMerge w:val="continue"/>
            <w:tcBorders>
              <w:top w:val="nil"/>
            </w:tcBorders>
            <w:vAlign w:val="top"/>
          </w:tcPr>
          <w:p w14:paraId="2754C433">
            <w:pPr>
              <w:rPr>
                <w:rFonts w:ascii="Arial"/>
                <w:sz w:val="21"/>
              </w:rPr>
            </w:pPr>
          </w:p>
        </w:tc>
        <w:tc>
          <w:tcPr>
            <w:tcW w:w="1079" w:type="dxa"/>
            <w:vAlign w:val="top"/>
          </w:tcPr>
          <w:p w14:paraId="6B208979">
            <w:pPr>
              <w:spacing w:line="403" w:lineRule="auto"/>
              <w:rPr>
                <w:rFonts w:ascii="Arial"/>
                <w:sz w:val="21"/>
              </w:rPr>
            </w:pPr>
          </w:p>
          <w:p w14:paraId="5F2AFF3B">
            <w:pPr>
              <w:pStyle w:val="6"/>
              <w:spacing w:before="68" w:line="219" w:lineRule="auto"/>
              <w:ind w:left="321"/>
              <w:rPr>
                <w:sz w:val="21"/>
                <w:szCs w:val="21"/>
              </w:rPr>
            </w:pPr>
            <w:r>
              <w:rPr>
                <w:spacing w:val="6"/>
                <w:sz w:val="21"/>
                <w:szCs w:val="21"/>
              </w:rPr>
              <w:t>供电</w:t>
            </w:r>
          </w:p>
        </w:tc>
        <w:tc>
          <w:tcPr>
            <w:tcW w:w="6477" w:type="dxa"/>
            <w:gridSpan w:val="2"/>
            <w:vAlign w:val="top"/>
          </w:tcPr>
          <w:p w14:paraId="1F188813">
            <w:pPr>
              <w:pStyle w:val="6"/>
              <w:spacing w:before="43" w:line="251" w:lineRule="auto"/>
              <w:ind w:left="32" w:right="118" w:firstLine="429"/>
              <w:rPr>
                <w:sz w:val="21"/>
                <w:szCs w:val="21"/>
              </w:rPr>
            </w:pPr>
            <w:r>
              <w:rPr>
                <w:sz w:val="21"/>
                <w:szCs w:val="21"/>
              </w:rPr>
              <w:t>电站施工用电：场址附近有农网10kV线路，施工用电可由该10kV</w:t>
            </w:r>
            <w:r>
              <w:rPr>
                <w:spacing w:val="4"/>
                <w:sz w:val="21"/>
                <w:szCs w:val="21"/>
              </w:rPr>
              <w:t xml:space="preserve"> </w:t>
            </w:r>
            <w:r>
              <w:rPr>
                <w:sz w:val="21"/>
                <w:szCs w:val="21"/>
              </w:rPr>
              <w:t>线路引接作为电源，长度约1.8km,距离</w:t>
            </w:r>
            <w:r>
              <w:rPr>
                <w:spacing w:val="-1"/>
                <w:sz w:val="21"/>
                <w:szCs w:val="21"/>
              </w:rPr>
              <w:t>较远处施工及紧急备用电源</w:t>
            </w:r>
          </w:p>
          <w:p w14:paraId="4202F303">
            <w:pPr>
              <w:pStyle w:val="6"/>
              <w:spacing w:line="218" w:lineRule="auto"/>
              <w:ind w:left="32"/>
              <w:rPr>
                <w:sz w:val="21"/>
                <w:szCs w:val="21"/>
              </w:rPr>
            </w:pPr>
            <w:r>
              <w:rPr>
                <w:spacing w:val="-1"/>
                <w:sz w:val="21"/>
                <w:szCs w:val="21"/>
              </w:rPr>
              <w:t>采用柴油发电机供电。</w:t>
            </w:r>
          </w:p>
          <w:p w14:paraId="6DD32AA6">
            <w:pPr>
              <w:pStyle w:val="6"/>
              <w:spacing w:before="21" w:line="197" w:lineRule="auto"/>
              <w:ind w:left="482"/>
              <w:rPr>
                <w:sz w:val="21"/>
                <w:szCs w:val="21"/>
              </w:rPr>
            </w:pPr>
            <w:r>
              <w:rPr>
                <w:spacing w:val="-1"/>
                <w:sz w:val="21"/>
                <w:szCs w:val="21"/>
              </w:rPr>
              <w:t>项目升压站运营期用电采用项目光伏自主供电。</w:t>
            </w:r>
          </w:p>
        </w:tc>
      </w:tr>
      <w:tr w14:paraId="18F72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694" w:type="dxa"/>
            <w:vMerge w:val="continue"/>
            <w:tcBorders>
              <w:top w:val="nil"/>
              <w:bottom w:val="nil"/>
            </w:tcBorders>
            <w:vAlign w:val="top"/>
          </w:tcPr>
          <w:p w14:paraId="53FD46BE">
            <w:pPr>
              <w:rPr>
                <w:rFonts w:ascii="Arial"/>
                <w:sz w:val="21"/>
              </w:rPr>
            </w:pPr>
          </w:p>
        </w:tc>
        <w:tc>
          <w:tcPr>
            <w:tcW w:w="140" w:type="dxa"/>
            <w:tcBorders>
              <w:top w:val="nil"/>
              <w:bottom w:val="nil"/>
            </w:tcBorders>
            <w:vAlign w:val="top"/>
          </w:tcPr>
          <w:p w14:paraId="482ADAC2">
            <w:pPr>
              <w:rPr>
                <w:rFonts w:ascii="Arial"/>
                <w:sz w:val="21"/>
              </w:rPr>
            </w:pPr>
          </w:p>
        </w:tc>
        <w:tc>
          <w:tcPr>
            <w:tcW w:w="689" w:type="dxa"/>
            <w:vMerge w:val="restart"/>
            <w:tcBorders>
              <w:bottom w:val="nil"/>
            </w:tcBorders>
            <w:vAlign w:val="top"/>
          </w:tcPr>
          <w:p w14:paraId="71DB0680">
            <w:pPr>
              <w:spacing w:line="252" w:lineRule="auto"/>
              <w:rPr>
                <w:rFonts w:ascii="Arial"/>
                <w:sz w:val="21"/>
              </w:rPr>
            </w:pPr>
          </w:p>
          <w:p w14:paraId="2259309E">
            <w:pPr>
              <w:spacing w:line="252" w:lineRule="auto"/>
              <w:rPr>
                <w:rFonts w:ascii="Arial"/>
                <w:sz w:val="21"/>
              </w:rPr>
            </w:pPr>
          </w:p>
          <w:p w14:paraId="5A2E8520">
            <w:pPr>
              <w:spacing w:line="252" w:lineRule="auto"/>
              <w:rPr>
                <w:rFonts w:ascii="Arial"/>
                <w:sz w:val="21"/>
              </w:rPr>
            </w:pPr>
          </w:p>
          <w:p w14:paraId="30424791">
            <w:pPr>
              <w:spacing w:line="253" w:lineRule="auto"/>
              <w:rPr>
                <w:rFonts w:ascii="Arial"/>
                <w:sz w:val="21"/>
              </w:rPr>
            </w:pPr>
          </w:p>
          <w:p w14:paraId="79486506">
            <w:pPr>
              <w:spacing w:line="253" w:lineRule="auto"/>
              <w:rPr>
                <w:rFonts w:ascii="Arial"/>
                <w:sz w:val="21"/>
              </w:rPr>
            </w:pPr>
          </w:p>
          <w:p w14:paraId="2D8ADB9A">
            <w:pPr>
              <w:spacing w:line="253" w:lineRule="auto"/>
              <w:rPr>
                <w:rFonts w:ascii="Arial"/>
                <w:sz w:val="21"/>
              </w:rPr>
            </w:pPr>
          </w:p>
          <w:p w14:paraId="646CBC78">
            <w:pPr>
              <w:spacing w:line="253" w:lineRule="auto"/>
              <w:rPr>
                <w:rFonts w:ascii="Arial"/>
                <w:sz w:val="21"/>
              </w:rPr>
            </w:pPr>
          </w:p>
          <w:p w14:paraId="438B9B75">
            <w:pPr>
              <w:pStyle w:val="6"/>
              <w:spacing w:before="68" w:line="220" w:lineRule="auto"/>
              <w:ind w:left="120"/>
              <w:rPr>
                <w:sz w:val="21"/>
                <w:szCs w:val="21"/>
              </w:rPr>
            </w:pPr>
            <w:r>
              <w:rPr>
                <w:spacing w:val="-3"/>
                <w:sz w:val="21"/>
                <w:szCs w:val="21"/>
              </w:rPr>
              <w:t>环保</w:t>
            </w:r>
          </w:p>
          <w:p w14:paraId="7A20DECC">
            <w:pPr>
              <w:pStyle w:val="6"/>
              <w:spacing w:before="19" w:line="220" w:lineRule="auto"/>
              <w:ind w:left="120"/>
              <w:rPr>
                <w:sz w:val="21"/>
                <w:szCs w:val="21"/>
              </w:rPr>
            </w:pPr>
            <w:r>
              <w:rPr>
                <w:spacing w:val="-3"/>
                <w:sz w:val="21"/>
                <w:szCs w:val="21"/>
              </w:rPr>
              <w:t>工程</w:t>
            </w:r>
          </w:p>
        </w:tc>
        <w:tc>
          <w:tcPr>
            <w:tcW w:w="1079" w:type="dxa"/>
            <w:vMerge w:val="restart"/>
            <w:tcBorders>
              <w:bottom w:val="nil"/>
            </w:tcBorders>
            <w:vAlign w:val="top"/>
          </w:tcPr>
          <w:p w14:paraId="1DA16B0E">
            <w:pPr>
              <w:spacing w:line="287" w:lineRule="auto"/>
              <w:rPr>
                <w:rFonts w:ascii="Arial"/>
                <w:sz w:val="21"/>
              </w:rPr>
            </w:pPr>
          </w:p>
          <w:p w14:paraId="5FE95A05">
            <w:pPr>
              <w:spacing w:line="288" w:lineRule="auto"/>
              <w:rPr>
                <w:rFonts w:ascii="Arial"/>
                <w:sz w:val="21"/>
              </w:rPr>
            </w:pPr>
          </w:p>
          <w:p w14:paraId="2A592FD0">
            <w:pPr>
              <w:spacing w:line="288" w:lineRule="auto"/>
              <w:rPr>
                <w:rFonts w:ascii="Arial"/>
                <w:sz w:val="21"/>
              </w:rPr>
            </w:pPr>
          </w:p>
          <w:p w14:paraId="266F53BC">
            <w:pPr>
              <w:spacing w:line="288" w:lineRule="auto"/>
              <w:rPr>
                <w:rFonts w:ascii="Arial"/>
                <w:sz w:val="21"/>
              </w:rPr>
            </w:pPr>
          </w:p>
          <w:p w14:paraId="7CB1FA0F">
            <w:pPr>
              <w:spacing w:line="288" w:lineRule="auto"/>
              <w:rPr>
                <w:rFonts w:ascii="Arial"/>
                <w:sz w:val="21"/>
              </w:rPr>
            </w:pPr>
          </w:p>
          <w:p w14:paraId="43F6B371">
            <w:pPr>
              <w:pStyle w:val="6"/>
              <w:spacing w:before="68" w:line="219" w:lineRule="auto"/>
              <w:ind w:left="321"/>
              <w:rPr>
                <w:sz w:val="21"/>
                <w:szCs w:val="21"/>
              </w:rPr>
            </w:pPr>
            <w:r>
              <w:rPr>
                <w:spacing w:val="-2"/>
                <w:sz w:val="21"/>
                <w:szCs w:val="21"/>
              </w:rPr>
              <w:t>废水</w:t>
            </w:r>
          </w:p>
        </w:tc>
        <w:tc>
          <w:tcPr>
            <w:tcW w:w="6477" w:type="dxa"/>
            <w:gridSpan w:val="2"/>
            <w:vAlign w:val="top"/>
          </w:tcPr>
          <w:p w14:paraId="77C36CA5">
            <w:pPr>
              <w:pStyle w:val="6"/>
              <w:spacing w:before="76" w:line="208" w:lineRule="auto"/>
              <w:ind w:left="472"/>
              <w:rPr>
                <w:sz w:val="21"/>
                <w:szCs w:val="21"/>
              </w:rPr>
            </w:pPr>
            <w:r>
              <w:rPr>
                <w:spacing w:val="-1"/>
                <w:sz w:val="21"/>
                <w:szCs w:val="21"/>
              </w:rPr>
              <w:t>升压站采用雨污分流，雨水经截排水沟排出站外。</w:t>
            </w:r>
          </w:p>
        </w:tc>
      </w:tr>
      <w:tr w14:paraId="79A9B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694" w:type="dxa"/>
            <w:vMerge w:val="continue"/>
            <w:tcBorders>
              <w:top w:val="nil"/>
              <w:bottom w:val="nil"/>
            </w:tcBorders>
            <w:vAlign w:val="top"/>
          </w:tcPr>
          <w:p w14:paraId="6DCF1062">
            <w:pPr>
              <w:rPr>
                <w:rFonts w:ascii="Arial"/>
                <w:sz w:val="21"/>
              </w:rPr>
            </w:pPr>
          </w:p>
        </w:tc>
        <w:tc>
          <w:tcPr>
            <w:tcW w:w="140" w:type="dxa"/>
            <w:tcBorders>
              <w:top w:val="nil"/>
              <w:bottom w:val="nil"/>
            </w:tcBorders>
            <w:vAlign w:val="top"/>
          </w:tcPr>
          <w:p w14:paraId="0A3FDF4F">
            <w:pPr>
              <w:rPr>
                <w:rFonts w:ascii="Arial"/>
                <w:sz w:val="21"/>
              </w:rPr>
            </w:pPr>
          </w:p>
        </w:tc>
        <w:tc>
          <w:tcPr>
            <w:tcW w:w="689" w:type="dxa"/>
            <w:vMerge w:val="continue"/>
            <w:tcBorders>
              <w:top w:val="nil"/>
              <w:bottom w:val="nil"/>
            </w:tcBorders>
            <w:vAlign w:val="top"/>
          </w:tcPr>
          <w:p w14:paraId="2FF28639">
            <w:pPr>
              <w:rPr>
                <w:rFonts w:ascii="Arial"/>
                <w:sz w:val="21"/>
              </w:rPr>
            </w:pPr>
          </w:p>
        </w:tc>
        <w:tc>
          <w:tcPr>
            <w:tcW w:w="1079" w:type="dxa"/>
            <w:vMerge w:val="continue"/>
            <w:tcBorders>
              <w:top w:val="nil"/>
              <w:bottom w:val="nil"/>
            </w:tcBorders>
            <w:vAlign w:val="top"/>
          </w:tcPr>
          <w:p w14:paraId="2BF208C3">
            <w:pPr>
              <w:rPr>
                <w:rFonts w:ascii="Arial"/>
                <w:sz w:val="21"/>
              </w:rPr>
            </w:pPr>
          </w:p>
        </w:tc>
        <w:tc>
          <w:tcPr>
            <w:tcW w:w="6477" w:type="dxa"/>
            <w:gridSpan w:val="2"/>
            <w:vAlign w:val="top"/>
          </w:tcPr>
          <w:p w14:paraId="166C7770">
            <w:pPr>
              <w:pStyle w:val="6"/>
              <w:spacing w:before="72" w:line="231" w:lineRule="auto"/>
              <w:ind w:left="22" w:right="133" w:firstLine="439"/>
              <w:rPr>
                <w:sz w:val="21"/>
                <w:szCs w:val="21"/>
              </w:rPr>
            </w:pPr>
            <w:r>
              <w:rPr>
                <w:spacing w:val="-1"/>
                <w:sz w:val="21"/>
                <w:szCs w:val="21"/>
              </w:rPr>
              <w:t>生活污水经隔油池、化粪池预处理后，进入一体化污水处理站处</w:t>
            </w:r>
            <w:r>
              <w:rPr>
                <w:spacing w:val="17"/>
                <w:sz w:val="21"/>
                <w:szCs w:val="21"/>
              </w:rPr>
              <w:t xml:space="preserve"> </w:t>
            </w:r>
            <w:r>
              <w:rPr>
                <w:spacing w:val="-1"/>
                <w:sz w:val="21"/>
                <w:szCs w:val="21"/>
              </w:rPr>
              <w:t>理，废水处理后全部回用于场地绿化，不外排。</w:t>
            </w:r>
          </w:p>
          <w:p w14:paraId="4F055E06">
            <w:pPr>
              <w:pStyle w:val="6"/>
              <w:spacing w:before="24" w:line="203" w:lineRule="auto"/>
              <w:ind w:left="22" w:right="238" w:firstLine="439"/>
              <w:rPr>
                <w:sz w:val="21"/>
                <w:szCs w:val="21"/>
              </w:rPr>
            </w:pPr>
            <w:r>
              <w:rPr>
                <w:spacing w:val="-1"/>
                <w:sz w:val="21"/>
                <w:szCs w:val="21"/>
              </w:rPr>
              <w:t>光伏板清洗废水直接作为草地灌溉补充水，不外排(项目太阳能</w:t>
            </w:r>
            <w:r>
              <w:rPr>
                <w:spacing w:val="17"/>
                <w:sz w:val="21"/>
                <w:szCs w:val="21"/>
              </w:rPr>
              <w:t xml:space="preserve"> </w:t>
            </w:r>
            <w:r>
              <w:rPr>
                <w:spacing w:val="-1"/>
                <w:sz w:val="21"/>
                <w:szCs w:val="21"/>
              </w:rPr>
              <w:t>光伏板清洗频率为每年1次)。</w:t>
            </w:r>
          </w:p>
        </w:tc>
      </w:tr>
      <w:tr w14:paraId="6B408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94" w:type="dxa"/>
            <w:vMerge w:val="continue"/>
            <w:tcBorders>
              <w:top w:val="nil"/>
              <w:bottom w:val="nil"/>
            </w:tcBorders>
            <w:vAlign w:val="top"/>
          </w:tcPr>
          <w:p w14:paraId="593F6E24">
            <w:pPr>
              <w:rPr>
                <w:rFonts w:ascii="Arial"/>
                <w:sz w:val="21"/>
              </w:rPr>
            </w:pPr>
          </w:p>
        </w:tc>
        <w:tc>
          <w:tcPr>
            <w:tcW w:w="140" w:type="dxa"/>
            <w:tcBorders>
              <w:top w:val="nil"/>
              <w:bottom w:val="nil"/>
            </w:tcBorders>
            <w:vAlign w:val="top"/>
          </w:tcPr>
          <w:p w14:paraId="403F8A60">
            <w:pPr>
              <w:rPr>
                <w:rFonts w:ascii="Arial"/>
                <w:sz w:val="21"/>
              </w:rPr>
            </w:pPr>
          </w:p>
        </w:tc>
        <w:tc>
          <w:tcPr>
            <w:tcW w:w="689" w:type="dxa"/>
            <w:vMerge w:val="continue"/>
            <w:tcBorders>
              <w:top w:val="nil"/>
              <w:bottom w:val="nil"/>
            </w:tcBorders>
            <w:vAlign w:val="top"/>
          </w:tcPr>
          <w:p w14:paraId="6C4A6587">
            <w:pPr>
              <w:rPr>
                <w:rFonts w:ascii="Arial"/>
                <w:sz w:val="21"/>
              </w:rPr>
            </w:pPr>
          </w:p>
        </w:tc>
        <w:tc>
          <w:tcPr>
            <w:tcW w:w="1079" w:type="dxa"/>
            <w:vMerge w:val="continue"/>
            <w:tcBorders>
              <w:top w:val="nil"/>
              <w:bottom w:val="nil"/>
            </w:tcBorders>
            <w:vAlign w:val="top"/>
          </w:tcPr>
          <w:p w14:paraId="7C8335C0">
            <w:pPr>
              <w:rPr>
                <w:rFonts w:ascii="Arial"/>
                <w:sz w:val="21"/>
              </w:rPr>
            </w:pPr>
          </w:p>
        </w:tc>
        <w:tc>
          <w:tcPr>
            <w:tcW w:w="1218" w:type="dxa"/>
            <w:vAlign w:val="top"/>
          </w:tcPr>
          <w:p w14:paraId="27046EE3">
            <w:pPr>
              <w:pStyle w:val="6"/>
              <w:spacing w:before="81" w:line="214" w:lineRule="auto"/>
              <w:ind w:left="282"/>
              <w:rPr>
                <w:sz w:val="21"/>
                <w:szCs w:val="21"/>
              </w:rPr>
            </w:pPr>
            <w:r>
              <w:rPr>
                <w:spacing w:val="3"/>
                <w:sz w:val="21"/>
                <w:szCs w:val="21"/>
              </w:rPr>
              <w:t>隔油池</w:t>
            </w:r>
          </w:p>
        </w:tc>
        <w:tc>
          <w:tcPr>
            <w:tcW w:w="5259" w:type="dxa"/>
            <w:vAlign w:val="top"/>
          </w:tcPr>
          <w:p w14:paraId="0969C48C">
            <w:pPr>
              <w:pStyle w:val="6"/>
              <w:spacing w:before="76" w:line="216" w:lineRule="auto"/>
              <w:ind w:left="444"/>
              <w:rPr>
                <w:sz w:val="21"/>
                <w:szCs w:val="21"/>
              </w:rPr>
            </w:pPr>
            <w:r>
              <w:rPr>
                <w:spacing w:val="4"/>
                <w:sz w:val="21"/>
                <w:szCs w:val="21"/>
              </w:rPr>
              <w:t>1个，容积不小于0.2m³,用于预处理食堂废水。</w:t>
            </w:r>
          </w:p>
        </w:tc>
      </w:tr>
      <w:tr w14:paraId="56276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94" w:type="dxa"/>
            <w:vMerge w:val="continue"/>
            <w:tcBorders>
              <w:top w:val="nil"/>
              <w:bottom w:val="nil"/>
            </w:tcBorders>
            <w:vAlign w:val="top"/>
          </w:tcPr>
          <w:p w14:paraId="36FE658E">
            <w:pPr>
              <w:rPr>
                <w:rFonts w:ascii="Arial"/>
                <w:sz w:val="21"/>
              </w:rPr>
            </w:pPr>
          </w:p>
        </w:tc>
        <w:tc>
          <w:tcPr>
            <w:tcW w:w="140" w:type="dxa"/>
            <w:tcBorders>
              <w:top w:val="nil"/>
              <w:bottom w:val="nil"/>
            </w:tcBorders>
            <w:vAlign w:val="top"/>
          </w:tcPr>
          <w:p w14:paraId="4A37C048">
            <w:pPr>
              <w:rPr>
                <w:rFonts w:ascii="Arial"/>
                <w:sz w:val="21"/>
              </w:rPr>
            </w:pPr>
          </w:p>
        </w:tc>
        <w:tc>
          <w:tcPr>
            <w:tcW w:w="689" w:type="dxa"/>
            <w:vMerge w:val="continue"/>
            <w:tcBorders>
              <w:top w:val="nil"/>
              <w:bottom w:val="nil"/>
            </w:tcBorders>
            <w:vAlign w:val="top"/>
          </w:tcPr>
          <w:p w14:paraId="32F70BA8">
            <w:pPr>
              <w:rPr>
                <w:rFonts w:ascii="Arial"/>
                <w:sz w:val="21"/>
              </w:rPr>
            </w:pPr>
          </w:p>
        </w:tc>
        <w:tc>
          <w:tcPr>
            <w:tcW w:w="1079" w:type="dxa"/>
            <w:vMerge w:val="continue"/>
            <w:tcBorders>
              <w:top w:val="nil"/>
              <w:bottom w:val="nil"/>
            </w:tcBorders>
            <w:vAlign w:val="top"/>
          </w:tcPr>
          <w:p w14:paraId="4871A9E4">
            <w:pPr>
              <w:rPr>
                <w:rFonts w:ascii="Arial"/>
                <w:sz w:val="21"/>
              </w:rPr>
            </w:pPr>
          </w:p>
        </w:tc>
        <w:tc>
          <w:tcPr>
            <w:tcW w:w="1218" w:type="dxa"/>
            <w:vAlign w:val="top"/>
          </w:tcPr>
          <w:p w14:paraId="009B593D">
            <w:pPr>
              <w:pStyle w:val="6"/>
              <w:spacing w:before="84" w:line="194" w:lineRule="auto"/>
              <w:ind w:left="282"/>
              <w:rPr>
                <w:sz w:val="21"/>
                <w:szCs w:val="21"/>
              </w:rPr>
            </w:pPr>
            <w:r>
              <w:rPr>
                <w:spacing w:val="-3"/>
                <w:sz w:val="21"/>
                <w:szCs w:val="21"/>
              </w:rPr>
              <w:t>化粪池</w:t>
            </w:r>
          </w:p>
        </w:tc>
        <w:tc>
          <w:tcPr>
            <w:tcW w:w="5259" w:type="dxa"/>
            <w:vAlign w:val="top"/>
          </w:tcPr>
          <w:p w14:paraId="13641A59">
            <w:pPr>
              <w:pStyle w:val="6"/>
              <w:spacing w:before="80" w:line="197" w:lineRule="auto"/>
              <w:ind w:left="134"/>
              <w:rPr>
                <w:sz w:val="21"/>
                <w:szCs w:val="21"/>
              </w:rPr>
            </w:pPr>
            <w:r>
              <w:rPr>
                <w:spacing w:val="3"/>
                <w:sz w:val="21"/>
                <w:szCs w:val="21"/>
              </w:rPr>
              <w:t>1个，容积为不小于1.0m³,用于收集预处理生活废水。</w:t>
            </w:r>
          </w:p>
        </w:tc>
      </w:tr>
      <w:tr w14:paraId="36E68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94" w:type="dxa"/>
            <w:vMerge w:val="continue"/>
            <w:tcBorders>
              <w:top w:val="nil"/>
              <w:bottom w:val="nil"/>
            </w:tcBorders>
            <w:vAlign w:val="top"/>
          </w:tcPr>
          <w:p w14:paraId="50EA58F8">
            <w:pPr>
              <w:rPr>
                <w:rFonts w:ascii="Arial"/>
                <w:sz w:val="21"/>
              </w:rPr>
            </w:pPr>
          </w:p>
        </w:tc>
        <w:tc>
          <w:tcPr>
            <w:tcW w:w="140" w:type="dxa"/>
            <w:tcBorders>
              <w:top w:val="nil"/>
              <w:bottom w:val="nil"/>
            </w:tcBorders>
            <w:vAlign w:val="top"/>
          </w:tcPr>
          <w:p w14:paraId="66686F11">
            <w:pPr>
              <w:rPr>
                <w:rFonts w:ascii="Arial"/>
                <w:sz w:val="21"/>
              </w:rPr>
            </w:pPr>
          </w:p>
        </w:tc>
        <w:tc>
          <w:tcPr>
            <w:tcW w:w="689" w:type="dxa"/>
            <w:vMerge w:val="continue"/>
            <w:tcBorders>
              <w:top w:val="nil"/>
              <w:bottom w:val="nil"/>
            </w:tcBorders>
            <w:vAlign w:val="top"/>
          </w:tcPr>
          <w:p w14:paraId="42656A54">
            <w:pPr>
              <w:rPr>
                <w:rFonts w:ascii="Arial"/>
                <w:sz w:val="21"/>
              </w:rPr>
            </w:pPr>
          </w:p>
        </w:tc>
        <w:tc>
          <w:tcPr>
            <w:tcW w:w="1079" w:type="dxa"/>
            <w:vMerge w:val="continue"/>
            <w:tcBorders>
              <w:top w:val="nil"/>
              <w:bottom w:val="nil"/>
            </w:tcBorders>
            <w:vAlign w:val="top"/>
          </w:tcPr>
          <w:p w14:paraId="4E7F7828">
            <w:pPr>
              <w:rPr>
                <w:rFonts w:ascii="Arial"/>
                <w:sz w:val="21"/>
              </w:rPr>
            </w:pPr>
          </w:p>
        </w:tc>
        <w:tc>
          <w:tcPr>
            <w:tcW w:w="1218" w:type="dxa"/>
            <w:vAlign w:val="top"/>
          </w:tcPr>
          <w:p w14:paraId="0415A25C">
            <w:pPr>
              <w:pStyle w:val="6"/>
              <w:spacing w:before="80" w:line="220" w:lineRule="auto"/>
              <w:ind w:left="72"/>
              <w:rPr>
                <w:sz w:val="21"/>
                <w:szCs w:val="21"/>
              </w:rPr>
            </w:pPr>
            <w:r>
              <w:rPr>
                <w:spacing w:val="-3"/>
                <w:sz w:val="21"/>
                <w:szCs w:val="21"/>
              </w:rPr>
              <w:t>一体化生活</w:t>
            </w:r>
          </w:p>
          <w:p w14:paraId="05F7DDD0">
            <w:pPr>
              <w:pStyle w:val="6"/>
              <w:spacing w:before="8" w:line="166" w:lineRule="auto"/>
              <w:ind w:left="72"/>
              <w:rPr>
                <w:sz w:val="21"/>
                <w:szCs w:val="21"/>
              </w:rPr>
            </w:pPr>
            <w:r>
              <w:rPr>
                <w:spacing w:val="-2"/>
                <w:sz w:val="21"/>
                <w:szCs w:val="21"/>
              </w:rPr>
              <w:t>废水处理站</w:t>
            </w:r>
          </w:p>
        </w:tc>
        <w:tc>
          <w:tcPr>
            <w:tcW w:w="5259" w:type="dxa"/>
            <w:vAlign w:val="top"/>
          </w:tcPr>
          <w:p w14:paraId="719D3C2B">
            <w:pPr>
              <w:pStyle w:val="6"/>
              <w:spacing w:before="196" w:line="216" w:lineRule="auto"/>
              <w:ind w:left="654"/>
              <w:rPr>
                <w:sz w:val="21"/>
                <w:szCs w:val="21"/>
              </w:rPr>
            </w:pPr>
            <w:r>
              <w:rPr>
                <w:spacing w:val="5"/>
                <w:sz w:val="21"/>
                <w:szCs w:val="21"/>
              </w:rPr>
              <w:t>1套，处理能力为1m³/d,采用生物法工艺。</w:t>
            </w:r>
          </w:p>
        </w:tc>
      </w:tr>
      <w:tr w14:paraId="566B9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94" w:type="dxa"/>
            <w:vMerge w:val="continue"/>
            <w:tcBorders>
              <w:top w:val="nil"/>
              <w:bottom w:val="nil"/>
            </w:tcBorders>
            <w:vAlign w:val="top"/>
          </w:tcPr>
          <w:p w14:paraId="216539C4">
            <w:pPr>
              <w:rPr>
                <w:rFonts w:ascii="Arial"/>
                <w:sz w:val="21"/>
              </w:rPr>
            </w:pPr>
          </w:p>
        </w:tc>
        <w:tc>
          <w:tcPr>
            <w:tcW w:w="140" w:type="dxa"/>
            <w:tcBorders>
              <w:top w:val="nil"/>
              <w:bottom w:val="nil"/>
            </w:tcBorders>
            <w:vAlign w:val="top"/>
          </w:tcPr>
          <w:p w14:paraId="74CD9C07">
            <w:pPr>
              <w:rPr>
                <w:rFonts w:ascii="Arial"/>
                <w:sz w:val="21"/>
              </w:rPr>
            </w:pPr>
          </w:p>
        </w:tc>
        <w:tc>
          <w:tcPr>
            <w:tcW w:w="689" w:type="dxa"/>
            <w:vMerge w:val="continue"/>
            <w:tcBorders>
              <w:top w:val="nil"/>
              <w:bottom w:val="nil"/>
            </w:tcBorders>
            <w:vAlign w:val="top"/>
          </w:tcPr>
          <w:p w14:paraId="32B2C2EF">
            <w:pPr>
              <w:rPr>
                <w:rFonts w:ascii="Arial"/>
                <w:sz w:val="21"/>
              </w:rPr>
            </w:pPr>
          </w:p>
        </w:tc>
        <w:tc>
          <w:tcPr>
            <w:tcW w:w="1079" w:type="dxa"/>
            <w:vMerge w:val="continue"/>
            <w:tcBorders>
              <w:top w:val="nil"/>
            </w:tcBorders>
            <w:vAlign w:val="top"/>
          </w:tcPr>
          <w:p w14:paraId="08F121F6">
            <w:pPr>
              <w:rPr>
                <w:rFonts w:ascii="Arial"/>
                <w:sz w:val="21"/>
              </w:rPr>
            </w:pPr>
          </w:p>
        </w:tc>
        <w:tc>
          <w:tcPr>
            <w:tcW w:w="1218" w:type="dxa"/>
            <w:vAlign w:val="top"/>
          </w:tcPr>
          <w:p w14:paraId="007E5440">
            <w:pPr>
              <w:pStyle w:val="6"/>
              <w:spacing w:before="81" w:line="193" w:lineRule="auto"/>
              <w:ind w:left="72"/>
              <w:rPr>
                <w:sz w:val="21"/>
                <w:szCs w:val="21"/>
              </w:rPr>
            </w:pPr>
            <w:r>
              <w:rPr>
                <w:spacing w:val="-2"/>
                <w:sz w:val="21"/>
                <w:szCs w:val="21"/>
              </w:rPr>
              <w:t>生活废水收</w:t>
            </w:r>
          </w:p>
          <w:p w14:paraId="5459FA3A">
            <w:pPr>
              <w:pStyle w:val="6"/>
              <w:spacing w:line="219" w:lineRule="auto"/>
              <w:ind w:left="393"/>
              <w:rPr>
                <w:sz w:val="21"/>
                <w:szCs w:val="21"/>
              </w:rPr>
            </w:pPr>
            <w:r>
              <w:rPr>
                <w:spacing w:val="-3"/>
                <w:sz w:val="21"/>
                <w:szCs w:val="21"/>
              </w:rPr>
              <w:t>集池</w:t>
            </w:r>
          </w:p>
        </w:tc>
        <w:tc>
          <w:tcPr>
            <w:tcW w:w="5259" w:type="dxa"/>
            <w:vAlign w:val="top"/>
          </w:tcPr>
          <w:p w14:paraId="1AB1C79C">
            <w:pPr>
              <w:pStyle w:val="6"/>
              <w:spacing w:before="107" w:line="207" w:lineRule="auto"/>
              <w:ind w:left="84"/>
              <w:rPr>
                <w:sz w:val="21"/>
                <w:szCs w:val="21"/>
              </w:rPr>
            </w:pPr>
            <w:r>
              <w:rPr>
                <w:spacing w:val="4"/>
                <w:sz w:val="21"/>
                <w:szCs w:val="21"/>
              </w:rPr>
              <w:t>1个，容积为4m³,收集雨天经处理后的废水，待天晴后</w:t>
            </w:r>
          </w:p>
          <w:p w14:paraId="43259577">
            <w:pPr>
              <w:pStyle w:val="6"/>
              <w:spacing w:line="188" w:lineRule="auto"/>
              <w:ind w:left="2334"/>
              <w:rPr>
                <w:sz w:val="21"/>
                <w:szCs w:val="21"/>
              </w:rPr>
            </w:pPr>
            <w:r>
              <w:rPr>
                <w:spacing w:val="1"/>
                <w:sz w:val="21"/>
                <w:szCs w:val="21"/>
              </w:rPr>
              <w:t>回用。</w:t>
            </w:r>
          </w:p>
        </w:tc>
      </w:tr>
      <w:tr w14:paraId="517B7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694" w:type="dxa"/>
            <w:vMerge w:val="continue"/>
            <w:tcBorders>
              <w:top w:val="nil"/>
              <w:bottom w:val="nil"/>
            </w:tcBorders>
            <w:vAlign w:val="top"/>
          </w:tcPr>
          <w:p w14:paraId="59B10297">
            <w:pPr>
              <w:rPr>
                <w:rFonts w:ascii="Arial"/>
                <w:sz w:val="21"/>
              </w:rPr>
            </w:pPr>
          </w:p>
        </w:tc>
        <w:tc>
          <w:tcPr>
            <w:tcW w:w="140" w:type="dxa"/>
            <w:tcBorders>
              <w:top w:val="nil"/>
              <w:bottom w:val="nil"/>
            </w:tcBorders>
            <w:vAlign w:val="top"/>
          </w:tcPr>
          <w:p w14:paraId="66663AAE">
            <w:pPr>
              <w:rPr>
                <w:rFonts w:ascii="Arial"/>
                <w:sz w:val="21"/>
              </w:rPr>
            </w:pPr>
          </w:p>
        </w:tc>
        <w:tc>
          <w:tcPr>
            <w:tcW w:w="689" w:type="dxa"/>
            <w:vMerge w:val="continue"/>
            <w:tcBorders>
              <w:top w:val="nil"/>
              <w:bottom w:val="nil"/>
            </w:tcBorders>
            <w:vAlign w:val="top"/>
          </w:tcPr>
          <w:p w14:paraId="4FE29752">
            <w:pPr>
              <w:rPr>
                <w:rFonts w:ascii="Arial"/>
                <w:sz w:val="21"/>
              </w:rPr>
            </w:pPr>
          </w:p>
        </w:tc>
        <w:tc>
          <w:tcPr>
            <w:tcW w:w="1079" w:type="dxa"/>
            <w:vAlign w:val="top"/>
          </w:tcPr>
          <w:p w14:paraId="7F3614BA">
            <w:pPr>
              <w:pStyle w:val="6"/>
              <w:spacing w:before="194" w:line="220" w:lineRule="auto"/>
              <w:ind w:left="321"/>
              <w:rPr>
                <w:sz w:val="21"/>
                <w:szCs w:val="21"/>
              </w:rPr>
            </w:pPr>
            <w:r>
              <w:rPr>
                <w:spacing w:val="6"/>
                <w:sz w:val="21"/>
                <w:szCs w:val="21"/>
              </w:rPr>
              <w:t>废气</w:t>
            </w:r>
          </w:p>
        </w:tc>
        <w:tc>
          <w:tcPr>
            <w:tcW w:w="6477" w:type="dxa"/>
            <w:gridSpan w:val="2"/>
            <w:vAlign w:val="top"/>
          </w:tcPr>
          <w:p w14:paraId="6B72C78D">
            <w:pPr>
              <w:pStyle w:val="6"/>
              <w:spacing w:before="50" w:line="218" w:lineRule="auto"/>
              <w:ind w:left="42" w:right="143" w:firstLine="410"/>
              <w:rPr>
                <w:sz w:val="21"/>
                <w:szCs w:val="21"/>
              </w:rPr>
            </w:pPr>
            <w:r>
              <w:rPr>
                <w:sz w:val="21"/>
                <w:szCs w:val="21"/>
              </w:rPr>
              <w:t>升压站食堂应设置油烟净化设备，净化效率</w:t>
            </w:r>
            <w:r>
              <w:rPr>
                <w:spacing w:val="-1"/>
                <w:sz w:val="21"/>
                <w:szCs w:val="21"/>
              </w:rPr>
              <w:t>应≥60%,烹饪油烟采</w:t>
            </w:r>
            <w:r>
              <w:rPr>
                <w:sz w:val="21"/>
                <w:szCs w:val="21"/>
              </w:rPr>
              <w:t xml:space="preserve"> 用油烟净化设备处理后，经专用烟道引至生活</w:t>
            </w:r>
            <w:r>
              <w:rPr>
                <w:spacing w:val="-1"/>
                <w:sz w:val="21"/>
                <w:szCs w:val="21"/>
              </w:rPr>
              <w:t>楼楼顶排出。</w:t>
            </w:r>
          </w:p>
        </w:tc>
      </w:tr>
      <w:tr w14:paraId="0185B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694" w:type="dxa"/>
            <w:vMerge w:val="continue"/>
            <w:tcBorders>
              <w:top w:val="nil"/>
            </w:tcBorders>
            <w:vAlign w:val="top"/>
          </w:tcPr>
          <w:p w14:paraId="0498B66D">
            <w:pPr>
              <w:rPr>
                <w:rFonts w:ascii="Arial"/>
                <w:sz w:val="21"/>
              </w:rPr>
            </w:pPr>
          </w:p>
        </w:tc>
        <w:tc>
          <w:tcPr>
            <w:tcW w:w="140" w:type="dxa"/>
            <w:tcBorders>
              <w:top w:val="nil"/>
            </w:tcBorders>
            <w:vAlign w:val="top"/>
          </w:tcPr>
          <w:p w14:paraId="199D02F7">
            <w:pPr>
              <w:rPr>
                <w:rFonts w:ascii="Arial"/>
                <w:sz w:val="21"/>
              </w:rPr>
            </w:pPr>
          </w:p>
        </w:tc>
        <w:tc>
          <w:tcPr>
            <w:tcW w:w="689" w:type="dxa"/>
            <w:vMerge w:val="continue"/>
            <w:tcBorders>
              <w:top w:val="nil"/>
            </w:tcBorders>
            <w:vAlign w:val="top"/>
          </w:tcPr>
          <w:p w14:paraId="646CF818">
            <w:pPr>
              <w:rPr>
                <w:rFonts w:ascii="Arial"/>
                <w:sz w:val="21"/>
              </w:rPr>
            </w:pPr>
          </w:p>
        </w:tc>
        <w:tc>
          <w:tcPr>
            <w:tcW w:w="1079" w:type="dxa"/>
            <w:vAlign w:val="top"/>
          </w:tcPr>
          <w:p w14:paraId="7780DD35">
            <w:pPr>
              <w:pStyle w:val="6"/>
              <w:spacing w:before="87" w:line="219" w:lineRule="auto"/>
              <w:ind w:left="112"/>
              <w:rPr>
                <w:sz w:val="21"/>
                <w:szCs w:val="21"/>
              </w:rPr>
            </w:pPr>
            <w:r>
              <w:rPr>
                <w:spacing w:val="2"/>
                <w:sz w:val="21"/>
                <w:szCs w:val="21"/>
              </w:rPr>
              <w:t>固体废弃</w:t>
            </w:r>
          </w:p>
        </w:tc>
        <w:tc>
          <w:tcPr>
            <w:tcW w:w="6477" w:type="dxa"/>
            <w:gridSpan w:val="2"/>
            <w:vAlign w:val="top"/>
          </w:tcPr>
          <w:p w14:paraId="27D82B02">
            <w:pPr>
              <w:pStyle w:val="6"/>
              <w:spacing w:before="87" w:line="219" w:lineRule="auto"/>
              <w:ind w:left="462"/>
              <w:rPr>
                <w:sz w:val="21"/>
                <w:szCs w:val="21"/>
              </w:rPr>
            </w:pPr>
            <w:r>
              <w:rPr>
                <w:spacing w:val="4"/>
                <w:sz w:val="21"/>
                <w:szCs w:val="21"/>
              </w:rPr>
              <w:t>升压站内建设1间建筑面积为32m²的危险废物暂</w:t>
            </w:r>
            <w:r>
              <w:rPr>
                <w:spacing w:val="3"/>
                <w:sz w:val="21"/>
                <w:szCs w:val="21"/>
              </w:rPr>
              <w:t>存间，变压器事</w:t>
            </w:r>
          </w:p>
        </w:tc>
      </w:tr>
    </w:tbl>
    <w:p w14:paraId="5E5168DD">
      <w:pPr>
        <w:pStyle w:val="2"/>
      </w:pPr>
    </w:p>
    <w:p w14:paraId="576DB1E6">
      <w:pPr>
        <w:sectPr>
          <w:footerReference r:id="rId59" w:type="default"/>
          <w:pgSz w:w="11910" w:h="16830"/>
          <w:pgMar w:top="400" w:right="1424" w:bottom="1245" w:left="1395" w:header="0" w:footer="1083" w:gutter="0"/>
          <w:cols w:space="720" w:num="1"/>
        </w:sectPr>
      </w:pPr>
    </w:p>
    <w:p w14:paraId="4E06CA4A">
      <w:pPr>
        <w:spacing w:before="18"/>
      </w:pPr>
    </w:p>
    <w:p w14:paraId="6740DDDF">
      <w:pPr>
        <w:spacing w:before="17"/>
      </w:pPr>
    </w:p>
    <w:p w14:paraId="6526DE29">
      <w:pPr>
        <w:spacing w:before="17"/>
      </w:pPr>
    </w:p>
    <w:p w14:paraId="7271F5E0">
      <w:pPr>
        <w:spacing w:before="17"/>
      </w:pPr>
    </w:p>
    <w:tbl>
      <w:tblPr>
        <w:tblStyle w:val="5"/>
        <w:tblW w:w="9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599"/>
        <w:gridCol w:w="150"/>
        <w:gridCol w:w="1079"/>
        <w:gridCol w:w="439"/>
        <w:gridCol w:w="4485"/>
        <w:gridCol w:w="559"/>
        <w:gridCol w:w="984"/>
      </w:tblGrid>
      <w:tr w14:paraId="7753E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734" w:type="dxa"/>
            <w:vMerge w:val="restart"/>
            <w:tcBorders>
              <w:bottom w:val="nil"/>
            </w:tcBorders>
            <w:vAlign w:val="top"/>
          </w:tcPr>
          <w:p w14:paraId="3983322D">
            <w:pPr>
              <w:rPr>
                <w:rFonts w:ascii="Arial"/>
                <w:sz w:val="21"/>
              </w:rPr>
            </w:pPr>
          </w:p>
        </w:tc>
        <w:tc>
          <w:tcPr>
            <w:tcW w:w="749" w:type="dxa"/>
            <w:gridSpan w:val="2"/>
            <w:vMerge w:val="restart"/>
            <w:tcBorders>
              <w:bottom w:val="nil"/>
            </w:tcBorders>
            <w:vAlign w:val="top"/>
          </w:tcPr>
          <w:p w14:paraId="262E677D">
            <w:pPr>
              <w:rPr>
                <w:rFonts w:ascii="Arial"/>
                <w:sz w:val="21"/>
              </w:rPr>
            </w:pPr>
          </w:p>
        </w:tc>
        <w:tc>
          <w:tcPr>
            <w:tcW w:w="1079" w:type="dxa"/>
            <w:vMerge w:val="restart"/>
            <w:tcBorders>
              <w:bottom w:val="nil"/>
            </w:tcBorders>
            <w:vAlign w:val="top"/>
          </w:tcPr>
          <w:p w14:paraId="67467DD8">
            <w:pPr>
              <w:pStyle w:val="6"/>
              <w:spacing w:before="34" w:line="221" w:lineRule="auto"/>
              <w:ind w:left="422"/>
              <w:rPr>
                <w:sz w:val="21"/>
                <w:szCs w:val="21"/>
              </w:rPr>
            </w:pPr>
            <w:r>
              <w:rPr>
                <w:sz w:val="21"/>
                <w:szCs w:val="21"/>
              </w:rPr>
              <w:t>物</w:t>
            </w:r>
          </w:p>
        </w:tc>
        <w:tc>
          <w:tcPr>
            <w:tcW w:w="6467" w:type="dxa"/>
            <w:gridSpan w:val="4"/>
            <w:vAlign w:val="top"/>
          </w:tcPr>
          <w:p w14:paraId="31DE487D">
            <w:pPr>
              <w:pStyle w:val="6"/>
              <w:spacing w:before="13" w:line="219" w:lineRule="auto"/>
              <w:ind w:left="22"/>
              <w:rPr>
                <w:sz w:val="21"/>
                <w:szCs w:val="21"/>
              </w:rPr>
            </w:pPr>
            <w:r>
              <w:rPr>
                <w:sz w:val="21"/>
                <w:szCs w:val="21"/>
              </w:rPr>
              <w:t>故废油、废铅蓄电池(升压站应急照明使用)等危险废物收集暂存于</w:t>
            </w:r>
          </w:p>
          <w:p w14:paraId="792875E8">
            <w:pPr>
              <w:pStyle w:val="6"/>
              <w:spacing w:before="31" w:line="224" w:lineRule="auto"/>
              <w:ind w:left="12" w:right="92" w:firstLine="40"/>
              <w:rPr>
                <w:sz w:val="21"/>
                <w:szCs w:val="21"/>
              </w:rPr>
            </w:pPr>
            <w:r>
              <w:rPr>
                <w:sz w:val="21"/>
                <w:szCs w:val="21"/>
              </w:rPr>
              <w:t>危险废物暂存间内，定期委托有危险废物处置资质的单位进行清运及</w:t>
            </w:r>
            <w:r>
              <w:rPr>
                <w:spacing w:val="10"/>
                <w:sz w:val="21"/>
                <w:szCs w:val="21"/>
              </w:rPr>
              <w:t xml:space="preserve"> </w:t>
            </w:r>
            <w:r>
              <w:rPr>
                <w:spacing w:val="-2"/>
                <w:sz w:val="21"/>
                <w:szCs w:val="21"/>
              </w:rPr>
              <w:t>处置。</w:t>
            </w:r>
          </w:p>
        </w:tc>
      </w:tr>
      <w:tr w14:paraId="1C7E3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734" w:type="dxa"/>
            <w:vMerge w:val="continue"/>
            <w:tcBorders>
              <w:top w:val="nil"/>
              <w:bottom w:val="nil"/>
            </w:tcBorders>
            <w:vAlign w:val="top"/>
          </w:tcPr>
          <w:p w14:paraId="1A8A713A">
            <w:pPr>
              <w:rPr>
                <w:rFonts w:ascii="Arial"/>
                <w:sz w:val="21"/>
              </w:rPr>
            </w:pPr>
          </w:p>
        </w:tc>
        <w:tc>
          <w:tcPr>
            <w:tcW w:w="749" w:type="dxa"/>
            <w:gridSpan w:val="2"/>
            <w:vMerge w:val="continue"/>
            <w:tcBorders>
              <w:top w:val="nil"/>
              <w:bottom w:val="nil"/>
            </w:tcBorders>
            <w:vAlign w:val="top"/>
          </w:tcPr>
          <w:p w14:paraId="3CDE85E6">
            <w:pPr>
              <w:rPr>
                <w:rFonts w:ascii="Arial"/>
                <w:sz w:val="21"/>
              </w:rPr>
            </w:pPr>
          </w:p>
        </w:tc>
        <w:tc>
          <w:tcPr>
            <w:tcW w:w="1079" w:type="dxa"/>
            <w:vMerge w:val="continue"/>
            <w:tcBorders>
              <w:top w:val="nil"/>
              <w:bottom w:val="nil"/>
            </w:tcBorders>
            <w:vAlign w:val="top"/>
          </w:tcPr>
          <w:p w14:paraId="216B0C2F">
            <w:pPr>
              <w:rPr>
                <w:rFonts w:ascii="Arial"/>
                <w:sz w:val="21"/>
              </w:rPr>
            </w:pPr>
          </w:p>
        </w:tc>
        <w:tc>
          <w:tcPr>
            <w:tcW w:w="6467" w:type="dxa"/>
            <w:gridSpan w:val="4"/>
            <w:vAlign w:val="top"/>
          </w:tcPr>
          <w:p w14:paraId="3826DABD">
            <w:pPr>
              <w:pStyle w:val="6"/>
              <w:spacing w:before="69" w:line="219" w:lineRule="auto"/>
              <w:ind w:left="492"/>
              <w:rPr>
                <w:sz w:val="21"/>
                <w:szCs w:val="21"/>
              </w:rPr>
            </w:pPr>
            <w:r>
              <w:rPr>
                <w:sz w:val="21"/>
                <w:szCs w:val="21"/>
              </w:rPr>
              <w:t>在升压站内设置2~3个移动式带盖生活垃圾</w:t>
            </w:r>
            <w:r>
              <w:rPr>
                <w:spacing w:val="-1"/>
                <w:sz w:val="21"/>
                <w:szCs w:val="21"/>
              </w:rPr>
              <w:t>桶。</w:t>
            </w:r>
          </w:p>
        </w:tc>
      </w:tr>
      <w:tr w14:paraId="73D4E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734" w:type="dxa"/>
            <w:vMerge w:val="continue"/>
            <w:tcBorders>
              <w:top w:val="nil"/>
              <w:bottom w:val="nil"/>
            </w:tcBorders>
            <w:vAlign w:val="top"/>
          </w:tcPr>
          <w:p w14:paraId="25E41B23">
            <w:pPr>
              <w:rPr>
                <w:rFonts w:ascii="Arial"/>
                <w:sz w:val="21"/>
              </w:rPr>
            </w:pPr>
          </w:p>
        </w:tc>
        <w:tc>
          <w:tcPr>
            <w:tcW w:w="749" w:type="dxa"/>
            <w:gridSpan w:val="2"/>
            <w:vMerge w:val="continue"/>
            <w:tcBorders>
              <w:top w:val="nil"/>
              <w:bottom w:val="nil"/>
            </w:tcBorders>
            <w:vAlign w:val="top"/>
          </w:tcPr>
          <w:p w14:paraId="5959B29F">
            <w:pPr>
              <w:rPr>
                <w:rFonts w:ascii="Arial"/>
                <w:sz w:val="21"/>
              </w:rPr>
            </w:pPr>
          </w:p>
        </w:tc>
        <w:tc>
          <w:tcPr>
            <w:tcW w:w="1079" w:type="dxa"/>
            <w:vMerge w:val="continue"/>
            <w:tcBorders>
              <w:top w:val="nil"/>
            </w:tcBorders>
            <w:vAlign w:val="top"/>
          </w:tcPr>
          <w:p w14:paraId="676A1D8A">
            <w:pPr>
              <w:rPr>
                <w:rFonts w:ascii="Arial"/>
                <w:sz w:val="21"/>
              </w:rPr>
            </w:pPr>
          </w:p>
        </w:tc>
        <w:tc>
          <w:tcPr>
            <w:tcW w:w="6467" w:type="dxa"/>
            <w:gridSpan w:val="4"/>
            <w:vAlign w:val="top"/>
          </w:tcPr>
          <w:p w14:paraId="094EFE4D">
            <w:pPr>
              <w:pStyle w:val="6"/>
              <w:spacing w:before="16" w:line="230" w:lineRule="auto"/>
              <w:ind w:left="62" w:right="58" w:firstLine="429"/>
              <w:rPr>
                <w:sz w:val="21"/>
                <w:szCs w:val="21"/>
              </w:rPr>
            </w:pPr>
            <w:r>
              <w:rPr>
                <w:spacing w:val="4"/>
                <w:sz w:val="21"/>
                <w:szCs w:val="21"/>
              </w:rPr>
              <w:t>一般废物储存间：设置于升压站综合楼内，建筑面积为20m²,用</w:t>
            </w:r>
            <w:r>
              <w:rPr>
                <w:spacing w:val="9"/>
                <w:sz w:val="21"/>
                <w:szCs w:val="21"/>
              </w:rPr>
              <w:t xml:space="preserve"> </w:t>
            </w:r>
            <w:r>
              <w:rPr>
                <w:spacing w:val="-1"/>
                <w:sz w:val="21"/>
                <w:szCs w:val="21"/>
              </w:rPr>
              <w:t>于贮存平时如有碎裂的废旧光伏电池板。</w:t>
            </w:r>
          </w:p>
        </w:tc>
      </w:tr>
      <w:tr w14:paraId="29447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9" w:hRule="atLeast"/>
        </w:trPr>
        <w:tc>
          <w:tcPr>
            <w:tcW w:w="734" w:type="dxa"/>
            <w:vMerge w:val="continue"/>
            <w:tcBorders>
              <w:top w:val="nil"/>
              <w:bottom w:val="nil"/>
            </w:tcBorders>
            <w:vAlign w:val="top"/>
          </w:tcPr>
          <w:p w14:paraId="02DBD209">
            <w:pPr>
              <w:rPr>
                <w:rFonts w:ascii="Arial"/>
                <w:sz w:val="21"/>
              </w:rPr>
            </w:pPr>
          </w:p>
        </w:tc>
        <w:tc>
          <w:tcPr>
            <w:tcW w:w="749" w:type="dxa"/>
            <w:gridSpan w:val="2"/>
            <w:vMerge w:val="continue"/>
            <w:tcBorders>
              <w:top w:val="nil"/>
            </w:tcBorders>
            <w:vAlign w:val="top"/>
          </w:tcPr>
          <w:p w14:paraId="367051DC">
            <w:pPr>
              <w:rPr>
                <w:rFonts w:ascii="Arial"/>
                <w:sz w:val="21"/>
              </w:rPr>
            </w:pPr>
          </w:p>
        </w:tc>
        <w:tc>
          <w:tcPr>
            <w:tcW w:w="1079" w:type="dxa"/>
            <w:vAlign w:val="top"/>
          </w:tcPr>
          <w:p w14:paraId="35A1F4A7">
            <w:pPr>
              <w:pStyle w:val="6"/>
              <w:spacing w:before="170" w:line="233" w:lineRule="auto"/>
              <w:ind w:left="1" w:firstLine="109"/>
              <w:rPr>
                <w:sz w:val="21"/>
                <w:szCs w:val="21"/>
              </w:rPr>
            </w:pPr>
            <w:r>
              <w:rPr>
                <w:spacing w:val="-4"/>
                <w:sz w:val="21"/>
                <w:szCs w:val="21"/>
              </w:rPr>
              <w:t>箱变事故</w:t>
            </w:r>
            <w:r>
              <w:rPr>
                <w:sz w:val="21"/>
                <w:szCs w:val="21"/>
              </w:rPr>
              <w:t xml:space="preserve">  </w:t>
            </w:r>
            <w:r>
              <w:rPr>
                <w:spacing w:val="3"/>
                <w:sz w:val="21"/>
                <w:szCs w:val="21"/>
              </w:rPr>
              <w:t>油池、集油</w:t>
            </w:r>
          </w:p>
          <w:p w14:paraId="45599CE8">
            <w:pPr>
              <w:pStyle w:val="6"/>
              <w:spacing w:line="220" w:lineRule="auto"/>
              <w:ind w:left="51"/>
              <w:rPr>
                <w:sz w:val="21"/>
                <w:szCs w:val="21"/>
              </w:rPr>
            </w:pPr>
            <w:r>
              <w:rPr>
                <w:spacing w:val="5"/>
                <w:sz w:val="21"/>
                <w:szCs w:val="21"/>
              </w:rPr>
              <w:t>井+事故油</w:t>
            </w:r>
          </w:p>
          <w:p w14:paraId="34D83A5F">
            <w:pPr>
              <w:pStyle w:val="6"/>
              <w:spacing w:before="29" w:line="220" w:lineRule="auto"/>
              <w:ind w:left="1"/>
              <w:rPr>
                <w:sz w:val="21"/>
                <w:szCs w:val="21"/>
              </w:rPr>
            </w:pPr>
            <w:r>
              <w:rPr>
                <w:spacing w:val="-2"/>
                <w:sz w:val="21"/>
                <w:szCs w:val="21"/>
              </w:rPr>
              <w:t>池、危险废</w:t>
            </w:r>
          </w:p>
          <w:p w14:paraId="5684488F">
            <w:pPr>
              <w:pStyle w:val="6"/>
              <w:spacing w:before="19" w:line="219" w:lineRule="auto"/>
              <w:ind w:left="111"/>
              <w:rPr>
                <w:sz w:val="21"/>
                <w:szCs w:val="21"/>
              </w:rPr>
            </w:pPr>
            <w:r>
              <w:rPr>
                <w:spacing w:val="5"/>
                <w:sz w:val="21"/>
                <w:szCs w:val="21"/>
              </w:rPr>
              <w:t>物暂存间</w:t>
            </w:r>
          </w:p>
          <w:p w14:paraId="1D988567">
            <w:pPr>
              <w:pStyle w:val="6"/>
              <w:spacing w:before="31" w:line="220" w:lineRule="auto"/>
              <w:ind w:left="111"/>
              <w:rPr>
                <w:sz w:val="21"/>
                <w:szCs w:val="21"/>
              </w:rPr>
            </w:pPr>
            <w:r>
              <w:rPr>
                <w:spacing w:val="2"/>
                <w:sz w:val="21"/>
                <w:szCs w:val="21"/>
              </w:rPr>
              <w:t>防渗措施</w:t>
            </w:r>
          </w:p>
        </w:tc>
        <w:tc>
          <w:tcPr>
            <w:tcW w:w="6467" w:type="dxa"/>
            <w:gridSpan w:val="4"/>
            <w:vAlign w:val="top"/>
          </w:tcPr>
          <w:p w14:paraId="46D575A9">
            <w:pPr>
              <w:pStyle w:val="6"/>
              <w:spacing w:before="19" w:line="243" w:lineRule="auto"/>
              <w:ind w:left="32" w:right="67" w:firstLine="10"/>
              <w:rPr>
                <w:sz w:val="21"/>
                <w:szCs w:val="21"/>
              </w:rPr>
            </w:pPr>
            <w:r>
              <w:rPr>
                <w:spacing w:val="1"/>
                <w:sz w:val="21"/>
                <w:szCs w:val="21"/>
              </w:rPr>
              <w:t>危度暂存间严格按照《危险度物贮存污染控制标准》(</w:t>
            </w:r>
            <w:r>
              <w:rPr>
                <w:sz w:val="21"/>
                <w:szCs w:val="21"/>
              </w:rPr>
              <w:t>GB</w:t>
            </w:r>
            <w:r>
              <w:rPr>
                <w:spacing w:val="1"/>
                <w:sz w:val="21"/>
                <w:szCs w:val="21"/>
              </w:rPr>
              <w:t>18597-2023)</w:t>
            </w:r>
            <w:r>
              <w:rPr>
                <w:spacing w:val="10"/>
                <w:sz w:val="21"/>
                <w:szCs w:val="21"/>
              </w:rPr>
              <w:t xml:space="preserve"> </w:t>
            </w:r>
            <w:r>
              <w:rPr>
                <w:sz w:val="21"/>
                <w:szCs w:val="21"/>
              </w:rPr>
              <w:t>设计建设并建立转移联单，完善危险度物记录台账。防渗工程需满足</w:t>
            </w:r>
            <w:r>
              <w:rPr>
                <w:spacing w:val="8"/>
                <w:sz w:val="21"/>
                <w:szCs w:val="21"/>
              </w:rPr>
              <w:t xml:space="preserve"> </w:t>
            </w:r>
            <w:r>
              <w:rPr>
                <w:sz w:val="21"/>
                <w:szCs w:val="21"/>
              </w:rPr>
              <w:t>GB18597-2023要求，即：防渗层为至少1m厚粘土层(渗透系数不大</w:t>
            </w:r>
          </w:p>
          <w:p w14:paraId="7A05F267">
            <w:pPr>
              <w:pStyle w:val="6"/>
              <w:spacing w:before="7" w:line="216" w:lineRule="auto"/>
              <w:ind w:left="42"/>
              <w:rPr>
                <w:sz w:val="21"/>
                <w:szCs w:val="21"/>
              </w:rPr>
            </w:pPr>
            <w:r>
              <w:rPr>
                <w:sz w:val="21"/>
                <w:szCs w:val="21"/>
              </w:rPr>
              <w:t>于10-7cm/s),或至少2mm厚高密度聚</w:t>
            </w:r>
            <w:r>
              <w:rPr>
                <w:spacing w:val="-1"/>
                <w:sz w:val="21"/>
                <w:szCs w:val="21"/>
              </w:rPr>
              <w:t>乙烯膜等人工防渗材料(渗透</w:t>
            </w:r>
          </w:p>
          <w:p w14:paraId="7A5852D2">
            <w:pPr>
              <w:pStyle w:val="6"/>
              <w:spacing w:before="17" w:line="221" w:lineRule="auto"/>
              <w:ind w:left="32" w:firstLine="39"/>
              <w:rPr>
                <w:sz w:val="21"/>
                <w:szCs w:val="21"/>
              </w:rPr>
            </w:pPr>
            <w:r>
              <w:rPr>
                <w:spacing w:val="-1"/>
                <w:sz w:val="21"/>
                <w:szCs w:val="21"/>
              </w:rPr>
              <w:t>系数不大于10-10cm/s)。箱变事故油池、升压站集油井+事故油池严格</w:t>
            </w:r>
            <w:r>
              <w:rPr>
                <w:spacing w:val="14"/>
                <w:sz w:val="21"/>
                <w:szCs w:val="21"/>
              </w:rPr>
              <w:t xml:space="preserve"> </w:t>
            </w:r>
            <w:r>
              <w:rPr>
                <w:sz w:val="21"/>
                <w:szCs w:val="21"/>
              </w:rPr>
              <w:t>按照《环境影响评价技术导则地下水》(HIJ610-2016)重点防渗要求，</w:t>
            </w:r>
            <w:r>
              <w:rPr>
                <w:spacing w:val="18"/>
                <w:sz w:val="21"/>
                <w:szCs w:val="21"/>
              </w:rPr>
              <w:t xml:space="preserve"> </w:t>
            </w:r>
            <w:r>
              <w:rPr>
                <w:spacing w:val="-2"/>
                <w:sz w:val="21"/>
                <w:szCs w:val="21"/>
              </w:rPr>
              <w:t>等。</w:t>
            </w:r>
          </w:p>
        </w:tc>
      </w:tr>
      <w:tr w14:paraId="2FBF7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34" w:type="dxa"/>
            <w:vMerge w:val="continue"/>
            <w:tcBorders>
              <w:top w:val="nil"/>
              <w:bottom w:val="nil"/>
            </w:tcBorders>
            <w:vAlign w:val="top"/>
          </w:tcPr>
          <w:p w14:paraId="6B990441">
            <w:pPr>
              <w:rPr>
                <w:rFonts w:ascii="Arial"/>
                <w:sz w:val="21"/>
              </w:rPr>
            </w:pPr>
          </w:p>
        </w:tc>
        <w:tc>
          <w:tcPr>
            <w:tcW w:w="8295" w:type="dxa"/>
            <w:gridSpan w:val="7"/>
            <w:vAlign w:val="top"/>
          </w:tcPr>
          <w:p w14:paraId="04A4F8A3">
            <w:pPr>
              <w:pStyle w:val="6"/>
              <w:spacing w:before="47" w:line="213" w:lineRule="auto"/>
              <w:ind w:left="2353"/>
              <w:rPr>
                <w:sz w:val="21"/>
                <w:szCs w:val="21"/>
              </w:rPr>
            </w:pPr>
            <w:r>
              <w:rPr>
                <w:b/>
                <w:bCs/>
                <w:spacing w:val="-12"/>
                <w:sz w:val="21"/>
                <w:szCs w:val="21"/>
              </w:rPr>
              <w:t>表</w:t>
            </w:r>
            <w:r>
              <w:rPr>
                <w:spacing w:val="-23"/>
                <w:sz w:val="21"/>
                <w:szCs w:val="21"/>
              </w:rPr>
              <w:t xml:space="preserve"> </w:t>
            </w:r>
            <w:r>
              <w:rPr>
                <w:b/>
                <w:bCs/>
                <w:spacing w:val="-12"/>
                <w:sz w:val="21"/>
                <w:szCs w:val="21"/>
              </w:rPr>
              <w:t>2</w:t>
            </w:r>
            <w:r>
              <w:rPr>
                <w:spacing w:val="-35"/>
                <w:sz w:val="21"/>
                <w:szCs w:val="21"/>
              </w:rPr>
              <w:t xml:space="preserve"> </w:t>
            </w:r>
            <w:r>
              <w:rPr>
                <w:b/>
                <w:bCs/>
                <w:spacing w:val="-12"/>
                <w:sz w:val="21"/>
                <w:szCs w:val="21"/>
              </w:rPr>
              <w:t>-</w:t>
            </w:r>
            <w:r>
              <w:rPr>
                <w:spacing w:val="-29"/>
                <w:sz w:val="21"/>
                <w:szCs w:val="21"/>
              </w:rPr>
              <w:t xml:space="preserve"> </w:t>
            </w:r>
            <w:r>
              <w:rPr>
                <w:b/>
                <w:bCs/>
                <w:spacing w:val="-12"/>
                <w:sz w:val="21"/>
                <w:szCs w:val="21"/>
              </w:rPr>
              <w:t>3</w:t>
            </w:r>
            <w:r>
              <w:rPr>
                <w:spacing w:val="-32"/>
                <w:sz w:val="21"/>
                <w:szCs w:val="21"/>
              </w:rPr>
              <w:t xml:space="preserve"> </w:t>
            </w:r>
            <w:r>
              <w:rPr>
                <w:b/>
                <w:bCs/>
                <w:spacing w:val="-12"/>
                <w:sz w:val="21"/>
                <w:szCs w:val="21"/>
              </w:rPr>
              <w:t>升</w:t>
            </w:r>
            <w:r>
              <w:rPr>
                <w:spacing w:val="-32"/>
                <w:sz w:val="21"/>
                <w:szCs w:val="21"/>
              </w:rPr>
              <w:t xml:space="preserve"> </w:t>
            </w:r>
            <w:r>
              <w:rPr>
                <w:b/>
                <w:bCs/>
                <w:spacing w:val="-12"/>
                <w:sz w:val="21"/>
                <w:szCs w:val="21"/>
              </w:rPr>
              <w:t>压</w:t>
            </w:r>
            <w:r>
              <w:rPr>
                <w:spacing w:val="-33"/>
                <w:sz w:val="21"/>
                <w:szCs w:val="21"/>
              </w:rPr>
              <w:t xml:space="preserve"> </w:t>
            </w:r>
            <w:r>
              <w:rPr>
                <w:b/>
                <w:bCs/>
                <w:spacing w:val="-12"/>
                <w:sz w:val="21"/>
                <w:szCs w:val="21"/>
              </w:rPr>
              <w:t>站</w:t>
            </w:r>
            <w:r>
              <w:rPr>
                <w:spacing w:val="-31"/>
                <w:sz w:val="21"/>
                <w:szCs w:val="21"/>
              </w:rPr>
              <w:t xml:space="preserve"> </w:t>
            </w:r>
            <w:r>
              <w:rPr>
                <w:b/>
                <w:bCs/>
                <w:spacing w:val="-12"/>
                <w:sz w:val="21"/>
                <w:szCs w:val="21"/>
              </w:rPr>
              <w:t>建</w:t>
            </w:r>
            <w:r>
              <w:rPr>
                <w:spacing w:val="-30"/>
                <w:sz w:val="21"/>
                <w:szCs w:val="21"/>
              </w:rPr>
              <w:t xml:space="preserve"> </w:t>
            </w:r>
            <w:r>
              <w:rPr>
                <w:b/>
                <w:bCs/>
                <w:spacing w:val="-12"/>
                <w:sz w:val="21"/>
                <w:szCs w:val="21"/>
              </w:rPr>
              <w:t>构</w:t>
            </w:r>
            <w:r>
              <w:rPr>
                <w:spacing w:val="-32"/>
                <w:sz w:val="21"/>
                <w:szCs w:val="21"/>
              </w:rPr>
              <w:t xml:space="preserve"> </w:t>
            </w:r>
            <w:r>
              <w:rPr>
                <w:b/>
                <w:bCs/>
                <w:spacing w:val="-12"/>
                <w:sz w:val="21"/>
                <w:szCs w:val="21"/>
              </w:rPr>
              <w:t>筑</w:t>
            </w:r>
            <w:r>
              <w:rPr>
                <w:spacing w:val="-33"/>
                <w:sz w:val="21"/>
                <w:szCs w:val="21"/>
              </w:rPr>
              <w:t xml:space="preserve"> </w:t>
            </w:r>
            <w:r>
              <w:rPr>
                <w:b/>
                <w:bCs/>
                <w:spacing w:val="-12"/>
                <w:sz w:val="21"/>
                <w:szCs w:val="21"/>
              </w:rPr>
              <w:t>物</w:t>
            </w:r>
            <w:r>
              <w:rPr>
                <w:spacing w:val="-30"/>
                <w:sz w:val="21"/>
                <w:szCs w:val="21"/>
              </w:rPr>
              <w:t xml:space="preserve"> </w:t>
            </w:r>
            <w:r>
              <w:rPr>
                <w:b/>
                <w:bCs/>
                <w:spacing w:val="-12"/>
                <w:sz w:val="21"/>
                <w:szCs w:val="21"/>
              </w:rPr>
              <w:t>一</w:t>
            </w:r>
            <w:r>
              <w:rPr>
                <w:spacing w:val="-29"/>
                <w:sz w:val="21"/>
                <w:szCs w:val="21"/>
              </w:rPr>
              <w:t xml:space="preserve"> </w:t>
            </w:r>
            <w:r>
              <w:rPr>
                <w:b/>
                <w:bCs/>
                <w:spacing w:val="-12"/>
                <w:sz w:val="21"/>
                <w:szCs w:val="21"/>
              </w:rPr>
              <w:t>览</w:t>
            </w:r>
            <w:r>
              <w:rPr>
                <w:spacing w:val="-34"/>
                <w:sz w:val="21"/>
                <w:szCs w:val="21"/>
              </w:rPr>
              <w:t xml:space="preserve"> </w:t>
            </w:r>
            <w:r>
              <w:rPr>
                <w:b/>
                <w:bCs/>
                <w:spacing w:val="-12"/>
                <w:sz w:val="21"/>
                <w:szCs w:val="21"/>
              </w:rPr>
              <w:t>表</w:t>
            </w:r>
          </w:p>
        </w:tc>
      </w:tr>
      <w:tr w14:paraId="1C6AC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34" w:type="dxa"/>
            <w:vMerge w:val="continue"/>
            <w:tcBorders>
              <w:top w:val="nil"/>
              <w:bottom w:val="nil"/>
            </w:tcBorders>
            <w:vAlign w:val="top"/>
          </w:tcPr>
          <w:p w14:paraId="319306F3">
            <w:pPr>
              <w:rPr>
                <w:rFonts w:ascii="Arial"/>
                <w:sz w:val="21"/>
              </w:rPr>
            </w:pPr>
          </w:p>
        </w:tc>
        <w:tc>
          <w:tcPr>
            <w:tcW w:w="599" w:type="dxa"/>
            <w:vAlign w:val="top"/>
          </w:tcPr>
          <w:p w14:paraId="29A37E3D">
            <w:pPr>
              <w:pStyle w:val="6"/>
              <w:spacing w:before="70" w:line="219" w:lineRule="auto"/>
              <w:ind w:left="81"/>
              <w:rPr>
                <w:sz w:val="21"/>
                <w:szCs w:val="21"/>
              </w:rPr>
            </w:pPr>
            <w:r>
              <w:rPr>
                <w:spacing w:val="6"/>
                <w:sz w:val="21"/>
                <w:szCs w:val="21"/>
              </w:rPr>
              <w:t>编号</w:t>
            </w:r>
          </w:p>
        </w:tc>
        <w:tc>
          <w:tcPr>
            <w:tcW w:w="1668" w:type="dxa"/>
            <w:gridSpan w:val="3"/>
            <w:vAlign w:val="top"/>
          </w:tcPr>
          <w:p w14:paraId="2ABBEA96">
            <w:pPr>
              <w:pStyle w:val="6"/>
              <w:spacing w:before="73" w:line="221" w:lineRule="auto"/>
              <w:ind w:left="612"/>
              <w:rPr>
                <w:sz w:val="21"/>
                <w:szCs w:val="21"/>
              </w:rPr>
            </w:pPr>
            <w:r>
              <w:rPr>
                <w:spacing w:val="5"/>
                <w:sz w:val="21"/>
                <w:szCs w:val="21"/>
              </w:rPr>
              <w:t>名称</w:t>
            </w:r>
          </w:p>
        </w:tc>
        <w:tc>
          <w:tcPr>
            <w:tcW w:w="4485" w:type="dxa"/>
            <w:vAlign w:val="top"/>
          </w:tcPr>
          <w:p w14:paraId="48876B7D">
            <w:pPr>
              <w:pStyle w:val="6"/>
              <w:spacing w:before="70" w:line="219" w:lineRule="auto"/>
              <w:ind w:left="2023"/>
              <w:rPr>
                <w:sz w:val="21"/>
                <w:szCs w:val="21"/>
              </w:rPr>
            </w:pPr>
            <w:r>
              <w:rPr>
                <w:spacing w:val="-3"/>
                <w:sz w:val="21"/>
                <w:szCs w:val="21"/>
              </w:rPr>
              <w:t>规格</w:t>
            </w:r>
          </w:p>
        </w:tc>
        <w:tc>
          <w:tcPr>
            <w:tcW w:w="559" w:type="dxa"/>
            <w:vAlign w:val="top"/>
          </w:tcPr>
          <w:p w14:paraId="09EB936E">
            <w:pPr>
              <w:pStyle w:val="6"/>
              <w:spacing w:before="70" w:line="219" w:lineRule="auto"/>
              <w:ind w:left="68"/>
              <w:rPr>
                <w:sz w:val="21"/>
                <w:szCs w:val="21"/>
              </w:rPr>
            </w:pPr>
            <w:r>
              <w:rPr>
                <w:spacing w:val="-3"/>
                <w:sz w:val="21"/>
                <w:szCs w:val="21"/>
              </w:rPr>
              <w:t>层数</w:t>
            </w:r>
          </w:p>
        </w:tc>
        <w:tc>
          <w:tcPr>
            <w:tcW w:w="984" w:type="dxa"/>
            <w:vAlign w:val="top"/>
          </w:tcPr>
          <w:p w14:paraId="579E2701">
            <w:pPr>
              <w:pStyle w:val="6"/>
              <w:spacing w:before="71" w:line="220" w:lineRule="auto"/>
              <w:ind w:left="69"/>
              <w:rPr>
                <w:sz w:val="21"/>
                <w:szCs w:val="21"/>
              </w:rPr>
            </w:pPr>
            <w:r>
              <w:rPr>
                <w:spacing w:val="2"/>
                <w:sz w:val="21"/>
                <w:szCs w:val="21"/>
              </w:rPr>
              <w:t>结构形式</w:t>
            </w:r>
          </w:p>
        </w:tc>
      </w:tr>
      <w:tr w14:paraId="09431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734" w:type="dxa"/>
            <w:vMerge w:val="continue"/>
            <w:tcBorders>
              <w:top w:val="nil"/>
              <w:bottom w:val="nil"/>
            </w:tcBorders>
            <w:vAlign w:val="top"/>
          </w:tcPr>
          <w:p w14:paraId="083CBC61">
            <w:pPr>
              <w:rPr>
                <w:rFonts w:ascii="Arial"/>
                <w:sz w:val="21"/>
              </w:rPr>
            </w:pPr>
          </w:p>
        </w:tc>
        <w:tc>
          <w:tcPr>
            <w:tcW w:w="599" w:type="dxa"/>
            <w:vAlign w:val="top"/>
          </w:tcPr>
          <w:p w14:paraId="02BAD891">
            <w:pPr>
              <w:spacing w:line="400" w:lineRule="auto"/>
              <w:rPr>
                <w:rFonts w:ascii="Arial"/>
                <w:sz w:val="21"/>
              </w:rPr>
            </w:pPr>
          </w:p>
          <w:p w14:paraId="08541990">
            <w:pPr>
              <w:pStyle w:val="6"/>
              <w:spacing w:before="69" w:line="241" w:lineRule="auto"/>
              <w:ind w:left="230"/>
              <w:rPr>
                <w:sz w:val="21"/>
                <w:szCs w:val="21"/>
              </w:rPr>
            </w:pPr>
            <w:r>
              <w:rPr>
                <w:sz w:val="21"/>
                <w:szCs w:val="21"/>
              </w:rPr>
              <w:t>1</w:t>
            </w:r>
          </w:p>
        </w:tc>
        <w:tc>
          <w:tcPr>
            <w:tcW w:w="1668" w:type="dxa"/>
            <w:gridSpan w:val="3"/>
            <w:vAlign w:val="top"/>
          </w:tcPr>
          <w:p w14:paraId="63497EB3">
            <w:pPr>
              <w:spacing w:line="380" w:lineRule="auto"/>
              <w:rPr>
                <w:rFonts w:ascii="Arial"/>
                <w:sz w:val="21"/>
              </w:rPr>
            </w:pPr>
          </w:p>
          <w:p w14:paraId="15A0141B">
            <w:pPr>
              <w:pStyle w:val="6"/>
              <w:spacing w:before="68" w:line="219" w:lineRule="auto"/>
              <w:ind w:left="511"/>
              <w:rPr>
                <w:sz w:val="21"/>
                <w:szCs w:val="21"/>
              </w:rPr>
            </w:pPr>
            <w:r>
              <w:rPr>
                <w:spacing w:val="3"/>
                <w:sz w:val="21"/>
                <w:szCs w:val="21"/>
              </w:rPr>
              <w:t>综合楼</w:t>
            </w:r>
          </w:p>
        </w:tc>
        <w:tc>
          <w:tcPr>
            <w:tcW w:w="4485" w:type="dxa"/>
            <w:vAlign w:val="top"/>
          </w:tcPr>
          <w:p w14:paraId="2B28328F">
            <w:pPr>
              <w:pStyle w:val="6"/>
              <w:spacing w:before="51" w:line="228" w:lineRule="auto"/>
              <w:ind w:left="14" w:firstLine="116"/>
              <w:rPr>
                <w:sz w:val="21"/>
                <w:szCs w:val="21"/>
              </w:rPr>
            </w:pPr>
            <w:r>
              <w:rPr>
                <w:sz w:val="21"/>
                <w:szCs w:val="21"/>
              </w:rPr>
              <w:t xml:space="preserve">三层框架结构，独立基础，建筑面积为640m2。 </w:t>
            </w:r>
            <w:r>
              <w:rPr>
                <w:spacing w:val="-8"/>
                <w:sz w:val="21"/>
                <w:szCs w:val="21"/>
              </w:rPr>
              <w:t>综合楼一层布置休息室、厨房、备餐间、中控室、</w:t>
            </w:r>
            <w:r>
              <w:rPr>
                <w:spacing w:val="15"/>
                <w:sz w:val="21"/>
                <w:szCs w:val="21"/>
              </w:rPr>
              <w:t xml:space="preserve"> </w:t>
            </w:r>
            <w:r>
              <w:rPr>
                <w:sz w:val="21"/>
                <w:szCs w:val="21"/>
              </w:rPr>
              <w:t>卫生间、接待室，层高3.90m;二层布置资料室、</w:t>
            </w:r>
            <w:r>
              <w:rPr>
                <w:spacing w:val="9"/>
                <w:sz w:val="21"/>
                <w:szCs w:val="21"/>
              </w:rPr>
              <w:t xml:space="preserve"> </w:t>
            </w:r>
            <w:r>
              <w:rPr>
                <w:spacing w:val="-2"/>
                <w:sz w:val="21"/>
                <w:szCs w:val="21"/>
              </w:rPr>
              <w:t>会议室、办公室、工具间、休息室，层高3.90m</w:t>
            </w:r>
          </w:p>
        </w:tc>
        <w:tc>
          <w:tcPr>
            <w:tcW w:w="559" w:type="dxa"/>
            <w:vAlign w:val="top"/>
          </w:tcPr>
          <w:p w14:paraId="522DB250">
            <w:pPr>
              <w:spacing w:line="400" w:lineRule="auto"/>
              <w:rPr>
                <w:rFonts w:ascii="Arial"/>
                <w:sz w:val="21"/>
              </w:rPr>
            </w:pPr>
          </w:p>
          <w:p w14:paraId="1567E678">
            <w:pPr>
              <w:pStyle w:val="6"/>
              <w:spacing w:before="69" w:line="241" w:lineRule="auto"/>
              <w:ind w:left="218"/>
              <w:rPr>
                <w:sz w:val="21"/>
                <w:szCs w:val="21"/>
              </w:rPr>
            </w:pPr>
            <w:r>
              <w:rPr>
                <w:sz w:val="21"/>
                <w:szCs w:val="21"/>
              </w:rPr>
              <w:t>2</w:t>
            </w:r>
          </w:p>
        </w:tc>
        <w:tc>
          <w:tcPr>
            <w:tcW w:w="984" w:type="dxa"/>
            <w:vAlign w:val="top"/>
          </w:tcPr>
          <w:p w14:paraId="15BABB37">
            <w:pPr>
              <w:spacing w:line="380" w:lineRule="auto"/>
              <w:rPr>
                <w:rFonts w:ascii="Arial"/>
                <w:sz w:val="21"/>
              </w:rPr>
            </w:pPr>
          </w:p>
          <w:p w14:paraId="6E91DE79">
            <w:pPr>
              <w:pStyle w:val="6"/>
              <w:spacing w:before="68" w:line="219" w:lineRule="auto"/>
              <w:ind w:left="69"/>
              <w:rPr>
                <w:sz w:val="21"/>
                <w:szCs w:val="21"/>
              </w:rPr>
            </w:pPr>
            <w:r>
              <w:rPr>
                <w:spacing w:val="3"/>
                <w:sz w:val="21"/>
                <w:szCs w:val="21"/>
              </w:rPr>
              <w:t>框架结构</w:t>
            </w:r>
          </w:p>
        </w:tc>
      </w:tr>
      <w:tr w14:paraId="25900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34" w:type="dxa"/>
            <w:vMerge w:val="continue"/>
            <w:tcBorders>
              <w:top w:val="nil"/>
              <w:bottom w:val="nil"/>
            </w:tcBorders>
            <w:vAlign w:val="top"/>
          </w:tcPr>
          <w:p w14:paraId="68E6DB6F">
            <w:pPr>
              <w:rPr>
                <w:rFonts w:ascii="Arial"/>
                <w:sz w:val="21"/>
              </w:rPr>
            </w:pPr>
          </w:p>
        </w:tc>
        <w:tc>
          <w:tcPr>
            <w:tcW w:w="599" w:type="dxa"/>
            <w:vAlign w:val="top"/>
          </w:tcPr>
          <w:p w14:paraId="051DE544">
            <w:pPr>
              <w:pStyle w:val="6"/>
              <w:spacing w:before="182" w:line="241" w:lineRule="auto"/>
              <w:ind w:left="230"/>
              <w:rPr>
                <w:sz w:val="21"/>
                <w:szCs w:val="21"/>
              </w:rPr>
            </w:pPr>
            <w:r>
              <w:rPr>
                <w:sz w:val="21"/>
                <w:szCs w:val="21"/>
              </w:rPr>
              <w:t>2</w:t>
            </w:r>
          </w:p>
        </w:tc>
        <w:tc>
          <w:tcPr>
            <w:tcW w:w="1668" w:type="dxa"/>
            <w:gridSpan w:val="3"/>
            <w:vAlign w:val="top"/>
          </w:tcPr>
          <w:p w14:paraId="3A6FDDBF">
            <w:pPr>
              <w:pStyle w:val="6"/>
              <w:spacing w:before="22" w:line="214" w:lineRule="auto"/>
              <w:ind w:left="611" w:right="96" w:hanging="520"/>
              <w:rPr>
                <w:sz w:val="21"/>
                <w:szCs w:val="21"/>
              </w:rPr>
            </w:pPr>
            <w:r>
              <w:rPr>
                <w:sz w:val="21"/>
                <w:szCs w:val="21"/>
              </w:rPr>
              <w:t xml:space="preserve">一、二次设备预 </w:t>
            </w:r>
            <w:r>
              <w:rPr>
                <w:spacing w:val="-3"/>
                <w:sz w:val="21"/>
                <w:szCs w:val="21"/>
              </w:rPr>
              <w:t>制舱</w:t>
            </w:r>
          </w:p>
        </w:tc>
        <w:tc>
          <w:tcPr>
            <w:tcW w:w="4485" w:type="dxa"/>
            <w:vAlign w:val="top"/>
          </w:tcPr>
          <w:p w14:paraId="23E65E07">
            <w:pPr>
              <w:pStyle w:val="6"/>
              <w:spacing w:before="51" w:line="202" w:lineRule="auto"/>
              <w:ind w:left="33"/>
              <w:rPr>
                <w:sz w:val="21"/>
                <w:szCs w:val="21"/>
              </w:rPr>
            </w:pPr>
            <w:r>
              <w:rPr>
                <w:sz w:val="21"/>
                <w:szCs w:val="21"/>
              </w:rPr>
              <w:t>35KV预制舱(17*6.8*4.3)含配套，二次设备预制</w:t>
            </w:r>
          </w:p>
          <w:p w14:paraId="571231F7">
            <w:pPr>
              <w:pStyle w:val="6"/>
              <w:spacing w:line="200" w:lineRule="auto"/>
              <w:ind w:left="713"/>
              <w:rPr>
                <w:sz w:val="21"/>
                <w:szCs w:val="21"/>
              </w:rPr>
            </w:pPr>
            <w:r>
              <w:rPr>
                <w:spacing w:val="1"/>
                <w:sz w:val="21"/>
                <w:szCs w:val="21"/>
              </w:rPr>
              <w:t>舱23.2m(长)*6.7m(宽)*3.5m(高)</w:t>
            </w:r>
          </w:p>
        </w:tc>
        <w:tc>
          <w:tcPr>
            <w:tcW w:w="559" w:type="dxa"/>
            <w:vAlign w:val="top"/>
          </w:tcPr>
          <w:p w14:paraId="31EEB59E">
            <w:pPr>
              <w:pStyle w:val="6"/>
              <w:spacing w:before="182" w:line="241" w:lineRule="auto"/>
              <w:ind w:left="218"/>
              <w:rPr>
                <w:sz w:val="21"/>
                <w:szCs w:val="21"/>
              </w:rPr>
            </w:pPr>
            <w:r>
              <w:rPr>
                <w:sz w:val="21"/>
                <w:szCs w:val="21"/>
              </w:rPr>
              <w:t>1</w:t>
            </w:r>
          </w:p>
        </w:tc>
        <w:tc>
          <w:tcPr>
            <w:tcW w:w="984" w:type="dxa"/>
            <w:vAlign w:val="top"/>
          </w:tcPr>
          <w:p w14:paraId="654AE15E">
            <w:pPr>
              <w:pStyle w:val="6"/>
              <w:spacing w:before="162" w:line="220" w:lineRule="auto"/>
              <w:ind w:left="169"/>
              <w:rPr>
                <w:sz w:val="21"/>
                <w:szCs w:val="21"/>
              </w:rPr>
            </w:pPr>
            <w:r>
              <w:rPr>
                <w:spacing w:val="-3"/>
                <w:sz w:val="21"/>
                <w:szCs w:val="21"/>
              </w:rPr>
              <w:t>预制舱</w:t>
            </w:r>
          </w:p>
        </w:tc>
      </w:tr>
      <w:tr w14:paraId="7484C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734" w:type="dxa"/>
            <w:vMerge w:val="continue"/>
            <w:tcBorders>
              <w:top w:val="nil"/>
              <w:bottom w:val="nil"/>
            </w:tcBorders>
            <w:vAlign w:val="top"/>
          </w:tcPr>
          <w:p w14:paraId="1F751B82">
            <w:pPr>
              <w:rPr>
                <w:rFonts w:ascii="Arial"/>
                <w:sz w:val="21"/>
              </w:rPr>
            </w:pPr>
          </w:p>
        </w:tc>
        <w:tc>
          <w:tcPr>
            <w:tcW w:w="599" w:type="dxa"/>
            <w:vAlign w:val="top"/>
          </w:tcPr>
          <w:p w14:paraId="4F67A480">
            <w:pPr>
              <w:spacing w:line="263" w:lineRule="auto"/>
              <w:rPr>
                <w:rFonts w:ascii="Arial"/>
                <w:sz w:val="21"/>
              </w:rPr>
            </w:pPr>
          </w:p>
          <w:p w14:paraId="123EEDEE">
            <w:pPr>
              <w:pStyle w:val="6"/>
              <w:spacing w:before="68"/>
              <w:ind w:left="230"/>
              <w:rPr>
                <w:sz w:val="21"/>
                <w:szCs w:val="21"/>
              </w:rPr>
            </w:pPr>
            <w:r>
              <w:rPr>
                <w:sz w:val="21"/>
                <w:szCs w:val="21"/>
              </w:rPr>
              <w:t>3</w:t>
            </w:r>
          </w:p>
        </w:tc>
        <w:tc>
          <w:tcPr>
            <w:tcW w:w="1668" w:type="dxa"/>
            <w:gridSpan w:val="3"/>
            <w:vAlign w:val="top"/>
          </w:tcPr>
          <w:p w14:paraId="08337BC0">
            <w:pPr>
              <w:spacing w:line="242" w:lineRule="auto"/>
              <w:rPr>
                <w:rFonts w:ascii="Arial"/>
                <w:sz w:val="21"/>
              </w:rPr>
            </w:pPr>
          </w:p>
          <w:p w14:paraId="06DFEB03">
            <w:pPr>
              <w:pStyle w:val="6"/>
              <w:spacing w:before="69" w:line="219" w:lineRule="auto"/>
              <w:ind w:left="91"/>
              <w:rPr>
                <w:sz w:val="21"/>
                <w:szCs w:val="21"/>
              </w:rPr>
            </w:pPr>
            <w:r>
              <w:rPr>
                <w:spacing w:val="1"/>
                <w:sz w:val="21"/>
                <w:szCs w:val="21"/>
              </w:rPr>
              <w:t>一体化消防泵站</w:t>
            </w:r>
          </w:p>
        </w:tc>
        <w:tc>
          <w:tcPr>
            <w:tcW w:w="4485" w:type="dxa"/>
            <w:vAlign w:val="top"/>
          </w:tcPr>
          <w:p w14:paraId="1FA579EB">
            <w:pPr>
              <w:pStyle w:val="6"/>
              <w:spacing w:before="52" w:line="219" w:lineRule="auto"/>
              <w:ind w:left="83"/>
              <w:rPr>
                <w:sz w:val="21"/>
                <w:szCs w:val="21"/>
              </w:rPr>
            </w:pPr>
            <w:r>
              <w:rPr>
                <w:spacing w:val="-1"/>
                <w:sz w:val="21"/>
                <w:szCs w:val="21"/>
              </w:rPr>
              <w:t>消防水池有效容积大于216m3。设置一套消火栓</w:t>
            </w:r>
          </w:p>
          <w:p w14:paraId="68B536F5">
            <w:pPr>
              <w:pStyle w:val="6"/>
              <w:spacing w:before="20" w:line="219" w:lineRule="auto"/>
              <w:ind w:left="183"/>
              <w:rPr>
                <w:sz w:val="21"/>
                <w:szCs w:val="21"/>
              </w:rPr>
            </w:pPr>
            <w:r>
              <w:rPr>
                <w:sz w:val="21"/>
                <w:szCs w:val="21"/>
              </w:rPr>
              <w:t>给水设备(含消防泵2台)、一套消防稳压设备</w:t>
            </w:r>
          </w:p>
          <w:p w14:paraId="64685CD4">
            <w:pPr>
              <w:pStyle w:val="6"/>
              <w:spacing w:before="30" w:line="182" w:lineRule="auto"/>
              <w:ind w:left="973"/>
              <w:rPr>
                <w:sz w:val="21"/>
                <w:szCs w:val="21"/>
              </w:rPr>
            </w:pPr>
            <w:r>
              <w:rPr>
                <w:spacing w:val="3"/>
                <w:sz w:val="21"/>
                <w:szCs w:val="21"/>
              </w:rPr>
              <w:t>(含稳压泵2台、稳压罐1个)</w:t>
            </w:r>
          </w:p>
        </w:tc>
        <w:tc>
          <w:tcPr>
            <w:tcW w:w="559" w:type="dxa"/>
            <w:vAlign w:val="top"/>
          </w:tcPr>
          <w:p w14:paraId="0AFF5F34">
            <w:pPr>
              <w:spacing w:line="263" w:lineRule="auto"/>
              <w:rPr>
                <w:rFonts w:ascii="Arial"/>
                <w:sz w:val="21"/>
              </w:rPr>
            </w:pPr>
          </w:p>
          <w:p w14:paraId="38EA8312">
            <w:pPr>
              <w:pStyle w:val="6"/>
              <w:spacing w:before="68" w:line="241" w:lineRule="auto"/>
              <w:ind w:left="218"/>
              <w:rPr>
                <w:sz w:val="21"/>
                <w:szCs w:val="21"/>
              </w:rPr>
            </w:pPr>
            <w:r>
              <w:rPr>
                <w:sz w:val="21"/>
                <w:szCs w:val="21"/>
              </w:rPr>
              <w:t>1</w:t>
            </w:r>
          </w:p>
        </w:tc>
        <w:tc>
          <w:tcPr>
            <w:tcW w:w="984" w:type="dxa"/>
            <w:vAlign w:val="top"/>
          </w:tcPr>
          <w:p w14:paraId="11629CDC">
            <w:pPr>
              <w:spacing w:line="242" w:lineRule="auto"/>
              <w:rPr>
                <w:rFonts w:ascii="Arial"/>
                <w:sz w:val="21"/>
              </w:rPr>
            </w:pPr>
          </w:p>
          <w:p w14:paraId="737EF385">
            <w:pPr>
              <w:pStyle w:val="6"/>
              <w:spacing w:before="69" w:line="219" w:lineRule="auto"/>
              <w:ind w:left="69"/>
              <w:rPr>
                <w:sz w:val="21"/>
                <w:szCs w:val="21"/>
              </w:rPr>
            </w:pPr>
            <w:r>
              <w:rPr>
                <w:spacing w:val="3"/>
                <w:sz w:val="21"/>
                <w:szCs w:val="21"/>
              </w:rPr>
              <w:t>框架结构</w:t>
            </w:r>
          </w:p>
        </w:tc>
      </w:tr>
      <w:tr w14:paraId="132E8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34" w:type="dxa"/>
            <w:vMerge w:val="continue"/>
            <w:tcBorders>
              <w:top w:val="nil"/>
              <w:bottom w:val="nil"/>
            </w:tcBorders>
            <w:vAlign w:val="top"/>
          </w:tcPr>
          <w:p w14:paraId="4C3ACA56">
            <w:pPr>
              <w:rPr>
                <w:rFonts w:ascii="Arial"/>
                <w:sz w:val="21"/>
              </w:rPr>
            </w:pPr>
          </w:p>
        </w:tc>
        <w:tc>
          <w:tcPr>
            <w:tcW w:w="599" w:type="dxa"/>
            <w:vAlign w:val="top"/>
          </w:tcPr>
          <w:p w14:paraId="16789FA0">
            <w:pPr>
              <w:pStyle w:val="6"/>
              <w:spacing w:before="194" w:line="241" w:lineRule="auto"/>
              <w:ind w:left="230"/>
              <w:rPr>
                <w:sz w:val="21"/>
                <w:szCs w:val="21"/>
              </w:rPr>
            </w:pPr>
            <w:r>
              <w:rPr>
                <w:sz w:val="21"/>
                <w:szCs w:val="21"/>
              </w:rPr>
              <w:t>4</w:t>
            </w:r>
          </w:p>
        </w:tc>
        <w:tc>
          <w:tcPr>
            <w:tcW w:w="1668" w:type="dxa"/>
            <w:gridSpan w:val="3"/>
            <w:vAlign w:val="top"/>
          </w:tcPr>
          <w:p w14:paraId="0DF7F14A">
            <w:pPr>
              <w:pStyle w:val="6"/>
              <w:spacing w:before="173" w:line="219" w:lineRule="auto"/>
              <w:ind w:left="302"/>
              <w:rPr>
                <w:sz w:val="21"/>
                <w:szCs w:val="21"/>
              </w:rPr>
            </w:pPr>
            <w:r>
              <w:rPr>
                <w:spacing w:val="4"/>
                <w:sz w:val="21"/>
                <w:szCs w:val="21"/>
              </w:rPr>
              <w:t>危废暂存间</w:t>
            </w:r>
          </w:p>
        </w:tc>
        <w:tc>
          <w:tcPr>
            <w:tcW w:w="4485" w:type="dxa"/>
            <w:vAlign w:val="top"/>
          </w:tcPr>
          <w:p w14:paraId="7AAF93B0">
            <w:pPr>
              <w:pStyle w:val="6"/>
              <w:spacing w:before="50" w:line="216" w:lineRule="auto"/>
              <w:ind w:left="83"/>
              <w:rPr>
                <w:sz w:val="21"/>
                <w:szCs w:val="21"/>
              </w:rPr>
            </w:pPr>
            <w:r>
              <w:rPr>
                <w:spacing w:val="-1"/>
                <w:sz w:val="21"/>
                <w:szCs w:val="21"/>
              </w:rPr>
              <w:t>建筑平面尺寸5.6m×5.6m,共一层，建筑面积为</w:t>
            </w:r>
          </w:p>
          <w:p w14:paraId="418ADAA8">
            <w:pPr>
              <w:pStyle w:val="6"/>
              <w:spacing w:before="3" w:line="201" w:lineRule="auto"/>
              <w:ind w:left="814"/>
              <w:rPr>
                <w:sz w:val="21"/>
                <w:szCs w:val="21"/>
              </w:rPr>
            </w:pPr>
            <w:r>
              <w:rPr>
                <w:spacing w:val="6"/>
                <w:sz w:val="21"/>
                <w:szCs w:val="21"/>
              </w:rPr>
              <w:t>32m²,结构形式采用砖混结构。</w:t>
            </w:r>
          </w:p>
        </w:tc>
        <w:tc>
          <w:tcPr>
            <w:tcW w:w="559" w:type="dxa"/>
            <w:vAlign w:val="top"/>
          </w:tcPr>
          <w:p w14:paraId="6C16BBCD">
            <w:pPr>
              <w:pStyle w:val="6"/>
              <w:spacing w:before="194" w:line="241" w:lineRule="auto"/>
              <w:ind w:left="218"/>
              <w:rPr>
                <w:sz w:val="21"/>
                <w:szCs w:val="21"/>
              </w:rPr>
            </w:pPr>
            <w:r>
              <w:rPr>
                <w:sz w:val="21"/>
                <w:szCs w:val="21"/>
              </w:rPr>
              <w:t>1</w:t>
            </w:r>
          </w:p>
        </w:tc>
        <w:tc>
          <w:tcPr>
            <w:tcW w:w="984" w:type="dxa"/>
            <w:vAlign w:val="top"/>
          </w:tcPr>
          <w:p w14:paraId="4B80B139">
            <w:pPr>
              <w:pStyle w:val="6"/>
              <w:spacing w:before="174" w:line="220" w:lineRule="auto"/>
              <w:ind w:left="69"/>
              <w:rPr>
                <w:sz w:val="21"/>
                <w:szCs w:val="21"/>
              </w:rPr>
            </w:pPr>
            <w:r>
              <w:rPr>
                <w:spacing w:val="3"/>
                <w:sz w:val="21"/>
                <w:szCs w:val="21"/>
              </w:rPr>
              <w:t>砖混结构</w:t>
            </w:r>
          </w:p>
        </w:tc>
      </w:tr>
      <w:tr w14:paraId="3EE91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734" w:type="dxa"/>
            <w:vMerge w:val="continue"/>
            <w:tcBorders>
              <w:top w:val="nil"/>
              <w:bottom w:val="nil"/>
            </w:tcBorders>
            <w:vAlign w:val="top"/>
          </w:tcPr>
          <w:p w14:paraId="397BA5DA">
            <w:pPr>
              <w:rPr>
                <w:rFonts w:ascii="Arial"/>
                <w:sz w:val="21"/>
              </w:rPr>
            </w:pPr>
          </w:p>
        </w:tc>
        <w:tc>
          <w:tcPr>
            <w:tcW w:w="599" w:type="dxa"/>
            <w:vAlign w:val="top"/>
          </w:tcPr>
          <w:p w14:paraId="41A20BF8">
            <w:pPr>
              <w:pStyle w:val="6"/>
              <w:spacing w:before="115" w:line="224" w:lineRule="auto"/>
              <w:ind w:left="230"/>
              <w:rPr>
                <w:sz w:val="21"/>
                <w:szCs w:val="21"/>
              </w:rPr>
            </w:pPr>
            <w:r>
              <w:rPr>
                <w:sz w:val="21"/>
                <w:szCs w:val="21"/>
              </w:rPr>
              <w:t>5</w:t>
            </w:r>
          </w:p>
        </w:tc>
        <w:tc>
          <w:tcPr>
            <w:tcW w:w="1668" w:type="dxa"/>
            <w:gridSpan w:val="3"/>
            <w:vAlign w:val="top"/>
          </w:tcPr>
          <w:p w14:paraId="6336AA4F">
            <w:pPr>
              <w:pStyle w:val="6"/>
              <w:spacing w:before="95" w:line="221" w:lineRule="auto"/>
              <w:ind w:left="351"/>
              <w:rPr>
                <w:sz w:val="21"/>
                <w:szCs w:val="21"/>
              </w:rPr>
            </w:pPr>
            <w:r>
              <w:rPr>
                <w:spacing w:val="6"/>
                <w:sz w:val="21"/>
                <w:szCs w:val="21"/>
              </w:rPr>
              <w:t>主变(1台)</w:t>
            </w:r>
          </w:p>
        </w:tc>
        <w:tc>
          <w:tcPr>
            <w:tcW w:w="4485" w:type="dxa"/>
            <w:vAlign w:val="top"/>
          </w:tcPr>
          <w:p w14:paraId="0F4DAF5E">
            <w:pPr>
              <w:pStyle w:val="6"/>
              <w:spacing w:before="91" w:line="216" w:lineRule="auto"/>
              <w:ind w:left="814"/>
              <w:rPr>
                <w:sz w:val="21"/>
                <w:szCs w:val="21"/>
              </w:rPr>
            </w:pPr>
            <w:r>
              <w:rPr>
                <w:spacing w:val="2"/>
                <w:sz w:val="21"/>
                <w:szCs w:val="21"/>
              </w:rPr>
              <w:t>型号：</w:t>
            </w:r>
            <w:r>
              <w:rPr>
                <w:sz w:val="21"/>
                <w:szCs w:val="21"/>
              </w:rPr>
              <w:t>SZ</w:t>
            </w:r>
            <w:r>
              <w:rPr>
                <w:spacing w:val="2"/>
                <w:sz w:val="21"/>
                <w:szCs w:val="21"/>
              </w:rPr>
              <w:t>18-50000/110,50</w:t>
            </w:r>
            <w:r>
              <w:rPr>
                <w:sz w:val="21"/>
                <w:szCs w:val="21"/>
              </w:rPr>
              <w:t>MVA</w:t>
            </w:r>
            <w:r>
              <w:rPr>
                <w:spacing w:val="2"/>
                <w:sz w:val="21"/>
                <w:szCs w:val="21"/>
              </w:rPr>
              <w:t>;</w:t>
            </w:r>
          </w:p>
        </w:tc>
        <w:tc>
          <w:tcPr>
            <w:tcW w:w="559" w:type="dxa"/>
            <w:vAlign w:val="top"/>
          </w:tcPr>
          <w:p w14:paraId="5FFF5D2F">
            <w:pPr>
              <w:pStyle w:val="6"/>
              <w:spacing w:before="115" w:line="224" w:lineRule="auto"/>
              <w:ind w:left="218"/>
              <w:rPr>
                <w:sz w:val="21"/>
                <w:szCs w:val="21"/>
              </w:rPr>
            </w:pPr>
            <w:r>
              <w:rPr>
                <w:sz w:val="21"/>
                <w:szCs w:val="21"/>
              </w:rPr>
              <w:t>1</w:t>
            </w:r>
          </w:p>
        </w:tc>
        <w:tc>
          <w:tcPr>
            <w:tcW w:w="984" w:type="dxa"/>
            <w:vAlign w:val="top"/>
          </w:tcPr>
          <w:p w14:paraId="6B44FDD3">
            <w:pPr>
              <w:pStyle w:val="6"/>
              <w:spacing w:before="93" w:line="219" w:lineRule="auto"/>
              <w:ind w:left="69"/>
              <w:rPr>
                <w:sz w:val="21"/>
                <w:szCs w:val="21"/>
              </w:rPr>
            </w:pPr>
            <w:r>
              <w:rPr>
                <w:spacing w:val="2"/>
                <w:sz w:val="21"/>
                <w:szCs w:val="21"/>
              </w:rPr>
              <w:t>板式基础</w:t>
            </w:r>
          </w:p>
        </w:tc>
      </w:tr>
      <w:tr w14:paraId="76002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734" w:type="dxa"/>
            <w:vMerge w:val="continue"/>
            <w:tcBorders>
              <w:top w:val="nil"/>
              <w:bottom w:val="nil"/>
            </w:tcBorders>
            <w:vAlign w:val="top"/>
          </w:tcPr>
          <w:p w14:paraId="121A05E3">
            <w:pPr>
              <w:rPr>
                <w:rFonts w:ascii="Arial"/>
                <w:sz w:val="21"/>
              </w:rPr>
            </w:pPr>
          </w:p>
        </w:tc>
        <w:tc>
          <w:tcPr>
            <w:tcW w:w="599" w:type="dxa"/>
            <w:vAlign w:val="top"/>
          </w:tcPr>
          <w:p w14:paraId="305333BD">
            <w:pPr>
              <w:pStyle w:val="6"/>
              <w:spacing w:before="215"/>
              <w:ind w:left="230"/>
              <w:rPr>
                <w:sz w:val="21"/>
                <w:szCs w:val="21"/>
              </w:rPr>
            </w:pPr>
            <w:r>
              <w:rPr>
                <w:sz w:val="21"/>
                <w:szCs w:val="21"/>
              </w:rPr>
              <w:t>6</w:t>
            </w:r>
          </w:p>
        </w:tc>
        <w:tc>
          <w:tcPr>
            <w:tcW w:w="1668" w:type="dxa"/>
            <w:gridSpan w:val="3"/>
            <w:vAlign w:val="top"/>
          </w:tcPr>
          <w:p w14:paraId="4534A6D2">
            <w:pPr>
              <w:pStyle w:val="6"/>
              <w:spacing w:before="248" w:line="183" w:lineRule="auto"/>
              <w:ind w:left="661"/>
              <w:rPr>
                <w:sz w:val="21"/>
                <w:szCs w:val="21"/>
              </w:rPr>
            </w:pPr>
            <w:r>
              <w:rPr>
                <w:spacing w:val="-2"/>
                <w:sz w:val="21"/>
                <w:szCs w:val="21"/>
              </w:rPr>
              <w:t>GIS</w:t>
            </w:r>
          </w:p>
        </w:tc>
        <w:tc>
          <w:tcPr>
            <w:tcW w:w="4485" w:type="dxa"/>
            <w:vAlign w:val="top"/>
          </w:tcPr>
          <w:p w14:paraId="777FA4FD">
            <w:pPr>
              <w:pStyle w:val="6"/>
              <w:spacing w:before="75" w:line="217" w:lineRule="auto"/>
              <w:ind w:left="872" w:right="145" w:hanging="689"/>
              <w:rPr>
                <w:sz w:val="21"/>
                <w:szCs w:val="21"/>
              </w:rPr>
            </w:pPr>
            <w:r>
              <w:rPr>
                <w:spacing w:val="2"/>
                <w:sz w:val="21"/>
                <w:szCs w:val="21"/>
              </w:rPr>
              <w:t>110</w:t>
            </w:r>
            <w:r>
              <w:rPr>
                <w:sz w:val="21"/>
                <w:szCs w:val="21"/>
              </w:rPr>
              <w:t>kV</w:t>
            </w:r>
            <w:r>
              <w:rPr>
                <w:spacing w:val="2"/>
                <w:sz w:val="21"/>
                <w:szCs w:val="21"/>
              </w:rPr>
              <w:t xml:space="preserve"> </w:t>
            </w:r>
            <w:r>
              <w:rPr>
                <w:sz w:val="21"/>
                <w:szCs w:val="21"/>
              </w:rPr>
              <w:t>GIS</w:t>
            </w:r>
            <w:r>
              <w:rPr>
                <w:spacing w:val="2"/>
                <w:sz w:val="21"/>
                <w:szCs w:val="21"/>
              </w:rPr>
              <w:t>组合设备(线变组间隔-主变-出线)</w:t>
            </w:r>
            <w:r>
              <w:rPr>
                <w:spacing w:val="7"/>
                <w:sz w:val="21"/>
                <w:szCs w:val="21"/>
              </w:rPr>
              <w:t xml:space="preserve"> </w:t>
            </w:r>
            <w:r>
              <w:rPr>
                <w:spacing w:val="-1"/>
                <w:sz w:val="21"/>
                <w:szCs w:val="21"/>
              </w:rPr>
              <w:t>126kV,2000A,40kA(4s),100kA</w:t>
            </w:r>
          </w:p>
        </w:tc>
        <w:tc>
          <w:tcPr>
            <w:tcW w:w="559" w:type="dxa"/>
            <w:vAlign w:val="top"/>
          </w:tcPr>
          <w:p w14:paraId="037FD1CC">
            <w:pPr>
              <w:pStyle w:val="6"/>
              <w:spacing w:before="215" w:line="241" w:lineRule="auto"/>
              <w:ind w:left="218"/>
              <w:rPr>
                <w:sz w:val="21"/>
                <w:szCs w:val="21"/>
              </w:rPr>
            </w:pPr>
            <w:r>
              <w:rPr>
                <w:sz w:val="21"/>
                <w:szCs w:val="21"/>
              </w:rPr>
              <w:t>1</w:t>
            </w:r>
          </w:p>
        </w:tc>
        <w:tc>
          <w:tcPr>
            <w:tcW w:w="984" w:type="dxa"/>
            <w:vAlign w:val="top"/>
          </w:tcPr>
          <w:p w14:paraId="67E26869">
            <w:pPr>
              <w:pStyle w:val="6"/>
              <w:spacing w:before="193" w:line="219" w:lineRule="auto"/>
              <w:ind w:left="69"/>
              <w:rPr>
                <w:sz w:val="21"/>
                <w:szCs w:val="21"/>
              </w:rPr>
            </w:pPr>
            <w:r>
              <w:rPr>
                <w:spacing w:val="2"/>
                <w:sz w:val="21"/>
                <w:szCs w:val="21"/>
              </w:rPr>
              <w:t>板式基础</w:t>
            </w:r>
          </w:p>
        </w:tc>
      </w:tr>
      <w:tr w14:paraId="591E2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734" w:type="dxa"/>
            <w:vMerge w:val="continue"/>
            <w:tcBorders>
              <w:top w:val="nil"/>
              <w:bottom w:val="nil"/>
            </w:tcBorders>
            <w:vAlign w:val="top"/>
          </w:tcPr>
          <w:p w14:paraId="6ADAE472">
            <w:pPr>
              <w:rPr>
                <w:rFonts w:ascii="Arial"/>
                <w:sz w:val="21"/>
              </w:rPr>
            </w:pPr>
          </w:p>
        </w:tc>
        <w:tc>
          <w:tcPr>
            <w:tcW w:w="599" w:type="dxa"/>
            <w:vAlign w:val="top"/>
          </w:tcPr>
          <w:p w14:paraId="00A4CD79">
            <w:pPr>
              <w:pStyle w:val="6"/>
              <w:spacing w:before="236"/>
              <w:ind w:left="230"/>
              <w:rPr>
                <w:sz w:val="21"/>
                <w:szCs w:val="21"/>
              </w:rPr>
            </w:pPr>
            <w:r>
              <w:rPr>
                <w:sz w:val="21"/>
                <w:szCs w:val="21"/>
              </w:rPr>
              <w:t>7</w:t>
            </w:r>
          </w:p>
        </w:tc>
        <w:tc>
          <w:tcPr>
            <w:tcW w:w="1668" w:type="dxa"/>
            <w:gridSpan w:val="3"/>
            <w:vAlign w:val="top"/>
          </w:tcPr>
          <w:p w14:paraId="2A1E9375">
            <w:pPr>
              <w:pStyle w:val="6"/>
              <w:spacing w:before="269" w:line="183" w:lineRule="auto"/>
              <w:ind w:left="661"/>
              <w:rPr>
                <w:sz w:val="21"/>
                <w:szCs w:val="21"/>
              </w:rPr>
            </w:pPr>
            <w:r>
              <w:rPr>
                <w:spacing w:val="-3"/>
                <w:sz w:val="21"/>
                <w:szCs w:val="21"/>
              </w:rPr>
              <w:t>SVG</w:t>
            </w:r>
          </w:p>
        </w:tc>
        <w:tc>
          <w:tcPr>
            <w:tcW w:w="4485" w:type="dxa"/>
            <w:vAlign w:val="top"/>
          </w:tcPr>
          <w:p w14:paraId="3B646E14">
            <w:pPr>
              <w:pStyle w:val="6"/>
              <w:spacing w:before="84" w:line="231" w:lineRule="auto"/>
              <w:ind w:left="1392" w:right="94" w:hanging="1259"/>
              <w:rPr>
                <w:sz w:val="21"/>
                <w:szCs w:val="21"/>
              </w:rPr>
            </w:pPr>
            <w:r>
              <w:rPr>
                <w:spacing w:val="2"/>
                <w:sz w:val="21"/>
                <w:szCs w:val="21"/>
              </w:rPr>
              <w:t>35</w:t>
            </w:r>
            <w:r>
              <w:rPr>
                <w:sz w:val="21"/>
                <w:szCs w:val="21"/>
              </w:rPr>
              <w:t>kV</w:t>
            </w:r>
            <w:r>
              <w:rPr>
                <w:spacing w:val="2"/>
                <w:sz w:val="21"/>
                <w:szCs w:val="21"/>
              </w:rPr>
              <w:t xml:space="preserve"> </w:t>
            </w:r>
            <w:r>
              <w:rPr>
                <w:sz w:val="21"/>
                <w:szCs w:val="21"/>
              </w:rPr>
              <w:t>SVG</w:t>
            </w:r>
            <w:r>
              <w:rPr>
                <w:spacing w:val="2"/>
                <w:sz w:val="21"/>
                <w:szCs w:val="21"/>
              </w:rPr>
              <w:t>型动态无功补偿成套装置(直挂水冷)</w:t>
            </w:r>
            <w:r>
              <w:rPr>
                <w:spacing w:val="5"/>
                <w:sz w:val="21"/>
                <w:szCs w:val="21"/>
              </w:rPr>
              <w:t xml:space="preserve"> </w:t>
            </w:r>
            <w:r>
              <w:rPr>
                <w:spacing w:val="-1"/>
                <w:sz w:val="21"/>
                <w:szCs w:val="21"/>
              </w:rPr>
              <w:t>容量：±12.5Mvar</w:t>
            </w:r>
          </w:p>
        </w:tc>
        <w:tc>
          <w:tcPr>
            <w:tcW w:w="559" w:type="dxa"/>
            <w:vAlign w:val="top"/>
          </w:tcPr>
          <w:p w14:paraId="019037CB">
            <w:pPr>
              <w:pStyle w:val="6"/>
              <w:spacing w:before="236" w:line="241" w:lineRule="auto"/>
              <w:ind w:left="218"/>
              <w:rPr>
                <w:sz w:val="21"/>
                <w:szCs w:val="21"/>
              </w:rPr>
            </w:pPr>
            <w:r>
              <w:rPr>
                <w:sz w:val="21"/>
                <w:szCs w:val="21"/>
              </w:rPr>
              <w:t>1</w:t>
            </w:r>
          </w:p>
        </w:tc>
        <w:tc>
          <w:tcPr>
            <w:tcW w:w="984" w:type="dxa"/>
            <w:vAlign w:val="top"/>
          </w:tcPr>
          <w:p w14:paraId="32E84CDE">
            <w:pPr>
              <w:pStyle w:val="6"/>
              <w:spacing w:before="214" w:line="219" w:lineRule="auto"/>
              <w:ind w:left="69"/>
              <w:rPr>
                <w:sz w:val="21"/>
                <w:szCs w:val="21"/>
              </w:rPr>
            </w:pPr>
            <w:r>
              <w:rPr>
                <w:spacing w:val="2"/>
                <w:sz w:val="21"/>
                <w:szCs w:val="21"/>
              </w:rPr>
              <w:t>板式基础</w:t>
            </w:r>
          </w:p>
        </w:tc>
      </w:tr>
      <w:tr w14:paraId="69801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34" w:type="dxa"/>
            <w:vMerge w:val="continue"/>
            <w:tcBorders>
              <w:top w:val="nil"/>
              <w:bottom w:val="nil"/>
            </w:tcBorders>
            <w:vAlign w:val="top"/>
          </w:tcPr>
          <w:p w14:paraId="430A5114">
            <w:pPr>
              <w:rPr>
                <w:rFonts w:ascii="Arial"/>
                <w:sz w:val="21"/>
              </w:rPr>
            </w:pPr>
          </w:p>
        </w:tc>
        <w:tc>
          <w:tcPr>
            <w:tcW w:w="599" w:type="dxa"/>
            <w:vAlign w:val="top"/>
          </w:tcPr>
          <w:p w14:paraId="2704FFCA">
            <w:pPr>
              <w:pStyle w:val="6"/>
              <w:spacing w:before="196"/>
              <w:ind w:left="230"/>
              <w:rPr>
                <w:sz w:val="21"/>
                <w:szCs w:val="21"/>
              </w:rPr>
            </w:pPr>
            <w:r>
              <w:rPr>
                <w:sz w:val="21"/>
                <w:szCs w:val="21"/>
              </w:rPr>
              <w:t>8</w:t>
            </w:r>
          </w:p>
        </w:tc>
        <w:tc>
          <w:tcPr>
            <w:tcW w:w="1668" w:type="dxa"/>
            <w:gridSpan w:val="3"/>
            <w:vAlign w:val="top"/>
          </w:tcPr>
          <w:p w14:paraId="24293F99">
            <w:pPr>
              <w:pStyle w:val="6"/>
              <w:spacing w:before="176" w:line="220" w:lineRule="auto"/>
              <w:ind w:left="302"/>
              <w:rPr>
                <w:sz w:val="21"/>
                <w:szCs w:val="21"/>
              </w:rPr>
            </w:pPr>
            <w:r>
              <w:rPr>
                <w:spacing w:val="1"/>
                <w:sz w:val="21"/>
                <w:szCs w:val="21"/>
              </w:rPr>
              <w:t>总事故油池</w:t>
            </w:r>
          </w:p>
        </w:tc>
        <w:tc>
          <w:tcPr>
            <w:tcW w:w="4485" w:type="dxa"/>
            <w:vAlign w:val="top"/>
          </w:tcPr>
          <w:p w14:paraId="76365D8C">
            <w:pPr>
              <w:pStyle w:val="6"/>
              <w:spacing w:before="54" w:line="213" w:lineRule="auto"/>
              <w:ind w:left="1233" w:right="132" w:hanging="1100"/>
              <w:rPr>
                <w:sz w:val="21"/>
                <w:szCs w:val="21"/>
              </w:rPr>
            </w:pPr>
            <w:r>
              <w:rPr>
                <w:spacing w:val="5"/>
                <w:sz w:val="21"/>
                <w:szCs w:val="21"/>
              </w:rPr>
              <w:t>1座，集油井(不低于30m³)和事故油池</w:t>
            </w:r>
            <w:r>
              <w:rPr>
                <w:spacing w:val="4"/>
                <w:sz w:val="21"/>
                <w:szCs w:val="21"/>
              </w:rPr>
              <w:t>，事故</w:t>
            </w:r>
            <w:r>
              <w:rPr>
                <w:sz w:val="21"/>
                <w:szCs w:val="21"/>
              </w:rPr>
              <w:t xml:space="preserve"> </w:t>
            </w:r>
            <w:r>
              <w:rPr>
                <w:spacing w:val="14"/>
                <w:sz w:val="21"/>
                <w:szCs w:val="21"/>
              </w:rPr>
              <w:t>油池容积不低于50m³</w:t>
            </w:r>
          </w:p>
        </w:tc>
        <w:tc>
          <w:tcPr>
            <w:tcW w:w="559" w:type="dxa"/>
            <w:vAlign w:val="top"/>
          </w:tcPr>
          <w:p w14:paraId="3A871D41">
            <w:pPr>
              <w:pStyle w:val="6"/>
              <w:spacing w:before="196" w:line="241" w:lineRule="auto"/>
              <w:ind w:left="218"/>
              <w:rPr>
                <w:sz w:val="21"/>
                <w:szCs w:val="21"/>
              </w:rPr>
            </w:pPr>
            <w:r>
              <w:rPr>
                <w:sz w:val="21"/>
                <w:szCs w:val="21"/>
              </w:rPr>
              <w:t>1</w:t>
            </w:r>
          </w:p>
        </w:tc>
        <w:tc>
          <w:tcPr>
            <w:tcW w:w="984" w:type="dxa"/>
            <w:vAlign w:val="top"/>
          </w:tcPr>
          <w:p w14:paraId="64F092F8">
            <w:pPr>
              <w:pStyle w:val="6"/>
              <w:spacing w:before="183" w:line="227" w:lineRule="auto"/>
              <w:ind w:left="279"/>
              <w:rPr>
                <w:sz w:val="21"/>
                <w:szCs w:val="21"/>
              </w:rPr>
            </w:pPr>
            <w:r>
              <w:rPr>
                <w:spacing w:val="-3"/>
                <w:sz w:val="21"/>
                <w:szCs w:val="21"/>
              </w:rPr>
              <w:t>地埋</w:t>
            </w:r>
          </w:p>
        </w:tc>
      </w:tr>
      <w:tr w14:paraId="71558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734" w:type="dxa"/>
            <w:vMerge w:val="continue"/>
            <w:tcBorders>
              <w:top w:val="nil"/>
              <w:bottom w:val="nil"/>
            </w:tcBorders>
            <w:vAlign w:val="top"/>
          </w:tcPr>
          <w:p w14:paraId="03715BAC">
            <w:pPr>
              <w:rPr>
                <w:rFonts w:ascii="Arial"/>
                <w:sz w:val="21"/>
              </w:rPr>
            </w:pPr>
          </w:p>
        </w:tc>
        <w:tc>
          <w:tcPr>
            <w:tcW w:w="599" w:type="dxa"/>
            <w:vAlign w:val="top"/>
          </w:tcPr>
          <w:p w14:paraId="36B70A83">
            <w:pPr>
              <w:pStyle w:val="6"/>
              <w:spacing w:before="97" w:line="213" w:lineRule="auto"/>
              <w:ind w:left="230"/>
              <w:rPr>
                <w:sz w:val="21"/>
                <w:szCs w:val="21"/>
              </w:rPr>
            </w:pPr>
            <w:r>
              <w:rPr>
                <w:sz w:val="21"/>
                <w:szCs w:val="21"/>
              </w:rPr>
              <w:t>9</w:t>
            </w:r>
          </w:p>
        </w:tc>
        <w:tc>
          <w:tcPr>
            <w:tcW w:w="1668" w:type="dxa"/>
            <w:gridSpan w:val="3"/>
            <w:vAlign w:val="top"/>
          </w:tcPr>
          <w:p w14:paraId="0FF2D635">
            <w:pPr>
              <w:pStyle w:val="6"/>
              <w:spacing w:before="77" w:line="221" w:lineRule="auto"/>
              <w:ind w:left="511"/>
              <w:rPr>
                <w:sz w:val="21"/>
                <w:szCs w:val="21"/>
              </w:rPr>
            </w:pPr>
            <w:r>
              <w:rPr>
                <w:spacing w:val="3"/>
                <w:sz w:val="21"/>
                <w:szCs w:val="21"/>
              </w:rPr>
              <w:t>隔油池</w:t>
            </w:r>
          </w:p>
        </w:tc>
        <w:tc>
          <w:tcPr>
            <w:tcW w:w="4485" w:type="dxa"/>
            <w:vAlign w:val="top"/>
          </w:tcPr>
          <w:p w14:paraId="1C115907">
            <w:pPr>
              <w:pStyle w:val="6"/>
              <w:spacing w:before="77" w:line="220" w:lineRule="auto"/>
              <w:ind w:left="1344"/>
              <w:rPr>
                <w:sz w:val="21"/>
                <w:szCs w:val="21"/>
              </w:rPr>
            </w:pPr>
            <w:r>
              <w:rPr>
                <w:spacing w:val="13"/>
                <w:sz w:val="21"/>
                <w:szCs w:val="21"/>
              </w:rPr>
              <w:t>1座，容积为0.2m³</w:t>
            </w:r>
          </w:p>
        </w:tc>
        <w:tc>
          <w:tcPr>
            <w:tcW w:w="559" w:type="dxa"/>
            <w:vAlign w:val="top"/>
          </w:tcPr>
          <w:p w14:paraId="720688FE">
            <w:pPr>
              <w:pStyle w:val="6"/>
              <w:spacing w:before="97" w:line="213" w:lineRule="auto"/>
              <w:ind w:left="218"/>
              <w:rPr>
                <w:sz w:val="21"/>
                <w:szCs w:val="21"/>
              </w:rPr>
            </w:pPr>
            <w:r>
              <w:rPr>
                <w:sz w:val="21"/>
                <w:szCs w:val="21"/>
              </w:rPr>
              <w:t>1</w:t>
            </w:r>
          </w:p>
        </w:tc>
        <w:tc>
          <w:tcPr>
            <w:tcW w:w="984" w:type="dxa"/>
            <w:vAlign w:val="top"/>
          </w:tcPr>
          <w:p w14:paraId="5C1B7D85">
            <w:pPr>
              <w:pStyle w:val="6"/>
              <w:spacing w:before="85" w:line="224" w:lineRule="auto"/>
              <w:ind w:left="279"/>
              <w:rPr>
                <w:sz w:val="21"/>
                <w:szCs w:val="21"/>
              </w:rPr>
            </w:pPr>
            <w:r>
              <w:rPr>
                <w:spacing w:val="-3"/>
                <w:sz w:val="21"/>
                <w:szCs w:val="21"/>
              </w:rPr>
              <w:t>地埋</w:t>
            </w:r>
          </w:p>
        </w:tc>
      </w:tr>
      <w:tr w14:paraId="1B2E0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34" w:type="dxa"/>
            <w:vMerge w:val="continue"/>
            <w:tcBorders>
              <w:top w:val="nil"/>
              <w:bottom w:val="nil"/>
            </w:tcBorders>
            <w:vAlign w:val="top"/>
          </w:tcPr>
          <w:p w14:paraId="79DE4902">
            <w:pPr>
              <w:rPr>
                <w:rFonts w:ascii="Arial"/>
                <w:sz w:val="21"/>
              </w:rPr>
            </w:pPr>
          </w:p>
        </w:tc>
        <w:tc>
          <w:tcPr>
            <w:tcW w:w="599" w:type="dxa"/>
            <w:vAlign w:val="top"/>
          </w:tcPr>
          <w:p w14:paraId="78A37765">
            <w:pPr>
              <w:pStyle w:val="6"/>
              <w:spacing w:before="87" w:line="196" w:lineRule="auto"/>
              <w:ind w:left="180"/>
              <w:rPr>
                <w:sz w:val="21"/>
                <w:szCs w:val="21"/>
              </w:rPr>
            </w:pPr>
            <w:r>
              <w:rPr>
                <w:spacing w:val="-6"/>
                <w:sz w:val="21"/>
                <w:szCs w:val="21"/>
              </w:rPr>
              <w:t>10</w:t>
            </w:r>
          </w:p>
        </w:tc>
        <w:tc>
          <w:tcPr>
            <w:tcW w:w="1668" w:type="dxa"/>
            <w:gridSpan w:val="3"/>
            <w:vAlign w:val="top"/>
          </w:tcPr>
          <w:p w14:paraId="1B1DDE55">
            <w:pPr>
              <w:pStyle w:val="6"/>
              <w:spacing w:before="66" w:line="214" w:lineRule="auto"/>
              <w:ind w:left="511"/>
              <w:rPr>
                <w:sz w:val="21"/>
                <w:szCs w:val="21"/>
              </w:rPr>
            </w:pPr>
            <w:r>
              <w:rPr>
                <w:spacing w:val="-3"/>
                <w:sz w:val="21"/>
                <w:szCs w:val="21"/>
              </w:rPr>
              <w:t>化粪池</w:t>
            </w:r>
          </w:p>
        </w:tc>
        <w:tc>
          <w:tcPr>
            <w:tcW w:w="4485" w:type="dxa"/>
            <w:vAlign w:val="top"/>
          </w:tcPr>
          <w:p w14:paraId="7ED5895A">
            <w:pPr>
              <w:pStyle w:val="6"/>
              <w:spacing w:before="67" w:line="213" w:lineRule="auto"/>
              <w:ind w:left="1443"/>
              <w:rPr>
                <w:sz w:val="21"/>
                <w:szCs w:val="21"/>
              </w:rPr>
            </w:pPr>
            <w:r>
              <w:rPr>
                <w:spacing w:val="17"/>
                <w:sz w:val="21"/>
                <w:szCs w:val="21"/>
              </w:rPr>
              <w:t>1座，容积为1m³</w:t>
            </w:r>
          </w:p>
        </w:tc>
        <w:tc>
          <w:tcPr>
            <w:tcW w:w="559" w:type="dxa"/>
            <w:vAlign w:val="top"/>
          </w:tcPr>
          <w:p w14:paraId="407AB890">
            <w:pPr>
              <w:pStyle w:val="6"/>
              <w:spacing w:before="87" w:line="196" w:lineRule="auto"/>
              <w:ind w:left="218"/>
              <w:rPr>
                <w:sz w:val="21"/>
                <w:szCs w:val="21"/>
              </w:rPr>
            </w:pPr>
            <w:r>
              <w:rPr>
                <w:sz w:val="21"/>
                <w:szCs w:val="21"/>
              </w:rPr>
              <w:t>1</w:t>
            </w:r>
          </w:p>
        </w:tc>
        <w:tc>
          <w:tcPr>
            <w:tcW w:w="984" w:type="dxa"/>
            <w:vAlign w:val="top"/>
          </w:tcPr>
          <w:p w14:paraId="1772021E">
            <w:pPr>
              <w:pStyle w:val="6"/>
              <w:spacing w:before="74" w:line="207" w:lineRule="auto"/>
              <w:ind w:left="279"/>
              <w:rPr>
                <w:sz w:val="21"/>
                <w:szCs w:val="21"/>
              </w:rPr>
            </w:pPr>
            <w:r>
              <w:rPr>
                <w:spacing w:val="-3"/>
                <w:sz w:val="21"/>
                <w:szCs w:val="21"/>
              </w:rPr>
              <w:t>地埋</w:t>
            </w:r>
          </w:p>
        </w:tc>
      </w:tr>
      <w:tr w14:paraId="658FE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34" w:type="dxa"/>
            <w:vMerge w:val="continue"/>
            <w:tcBorders>
              <w:top w:val="nil"/>
              <w:bottom w:val="nil"/>
            </w:tcBorders>
            <w:vAlign w:val="top"/>
          </w:tcPr>
          <w:p w14:paraId="304474A1">
            <w:pPr>
              <w:rPr>
                <w:rFonts w:ascii="Arial"/>
                <w:sz w:val="21"/>
              </w:rPr>
            </w:pPr>
          </w:p>
        </w:tc>
        <w:tc>
          <w:tcPr>
            <w:tcW w:w="599" w:type="dxa"/>
            <w:vAlign w:val="top"/>
          </w:tcPr>
          <w:p w14:paraId="395CB9D6">
            <w:pPr>
              <w:pStyle w:val="6"/>
              <w:spacing w:before="197" w:line="241" w:lineRule="auto"/>
              <w:ind w:left="180"/>
              <w:rPr>
                <w:sz w:val="21"/>
                <w:szCs w:val="21"/>
              </w:rPr>
            </w:pPr>
            <w:r>
              <w:rPr>
                <w:spacing w:val="-6"/>
                <w:sz w:val="21"/>
                <w:szCs w:val="21"/>
              </w:rPr>
              <w:t>11</w:t>
            </w:r>
          </w:p>
        </w:tc>
        <w:tc>
          <w:tcPr>
            <w:tcW w:w="1668" w:type="dxa"/>
            <w:gridSpan w:val="3"/>
            <w:vAlign w:val="top"/>
          </w:tcPr>
          <w:p w14:paraId="5A466C7F">
            <w:pPr>
              <w:pStyle w:val="6"/>
              <w:spacing w:before="56" w:line="212" w:lineRule="auto"/>
              <w:ind w:left="511" w:right="86" w:hanging="420"/>
              <w:rPr>
                <w:sz w:val="21"/>
                <w:szCs w:val="21"/>
              </w:rPr>
            </w:pPr>
            <w:r>
              <w:rPr>
                <w:spacing w:val="1"/>
                <w:sz w:val="21"/>
                <w:szCs w:val="21"/>
              </w:rPr>
              <w:t xml:space="preserve">一体化生活废水 </w:t>
            </w:r>
            <w:r>
              <w:rPr>
                <w:spacing w:val="3"/>
                <w:sz w:val="21"/>
                <w:szCs w:val="21"/>
              </w:rPr>
              <w:t>处理站</w:t>
            </w:r>
          </w:p>
        </w:tc>
        <w:tc>
          <w:tcPr>
            <w:tcW w:w="4485" w:type="dxa"/>
            <w:vAlign w:val="top"/>
          </w:tcPr>
          <w:p w14:paraId="31CFD1F4">
            <w:pPr>
              <w:pStyle w:val="6"/>
              <w:spacing w:before="176" w:line="219" w:lineRule="auto"/>
              <w:ind w:left="1133"/>
              <w:rPr>
                <w:sz w:val="21"/>
                <w:szCs w:val="21"/>
              </w:rPr>
            </w:pPr>
            <w:r>
              <w:rPr>
                <w:spacing w:val="8"/>
                <w:sz w:val="21"/>
                <w:szCs w:val="21"/>
              </w:rPr>
              <w:t>1套，处理规模为1m³/d</w:t>
            </w:r>
          </w:p>
        </w:tc>
        <w:tc>
          <w:tcPr>
            <w:tcW w:w="559" w:type="dxa"/>
            <w:vAlign w:val="top"/>
          </w:tcPr>
          <w:p w14:paraId="64C75E0D">
            <w:pPr>
              <w:pStyle w:val="6"/>
              <w:spacing w:before="197" w:line="241" w:lineRule="auto"/>
              <w:ind w:left="218"/>
              <w:rPr>
                <w:sz w:val="21"/>
                <w:szCs w:val="21"/>
              </w:rPr>
            </w:pPr>
            <w:r>
              <w:rPr>
                <w:sz w:val="21"/>
                <w:szCs w:val="21"/>
              </w:rPr>
              <w:t>1</w:t>
            </w:r>
          </w:p>
        </w:tc>
        <w:tc>
          <w:tcPr>
            <w:tcW w:w="984" w:type="dxa"/>
            <w:vAlign w:val="top"/>
          </w:tcPr>
          <w:p w14:paraId="46607BD4">
            <w:pPr>
              <w:pStyle w:val="6"/>
              <w:spacing w:before="184" w:line="227" w:lineRule="auto"/>
              <w:ind w:left="279"/>
              <w:rPr>
                <w:sz w:val="21"/>
                <w:szCs w:val="21"/>
              </w:rPr>
            </w:pPr>
            <w:r>
              <w:rPr>
                <w:spacing w:val="-3"/>
                <w:sz w:val="21"/>
                <w:szCs w:val="21"/>
              </w:rPr>
              <w:t>地埋</w:t>
            </w:r>
          </w:p>
        </w:tc>
      </w:tr>
      <w:tr w14:paraId="5B5D4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734" w:type="dxa"/>
            <w:vMerge w:val="continue"/>
            <w:tcBorders>
              <w:top w:val="nil"/>
              <w:bottom w:val="nil"/>
            </w:tcBorders>
            <w:vAlign w:val="top"/>
          </w:tcPr>
          <w:p w14:paraId="555EE0BE">
            <w:pPr>
              <w:rPr>
                <w:rFonts w:ascii="Arial"/>
                <w:sz w:val="21"/>
              </w:rPr>
            </w:pPr>
          </w:p>
        </w:tc>
        <w:tc>
          <w:tcPr>
            <w:tcW w:w="599" w:type="dxa"/>
            <w:vAlign w:val="top"/>
          </w:tcPr>
          <w:p w14:paraId="180DB69C">
            <w:pPr>
              <w:pStyle w:val="6"/>
              <w:spacing w:before="98" w:line="212" w:lineRule="auto"/>
              <w:ind w:left="180"/>
              <w:rPr>
                <w:sz w:val="21"/>
                <w:szCs w:val="21"/>
              </w:rPr>
            </w:pPr>
            <w:r>
              <w:rPr>
                <w:spacing w:val="-6"/>
                <w:sz w:val="21"/>
                <w:szCs w:val="21"/>
              </w:rPr>
              <w:t>12</w:t>
            </w:r>
          </w:p>
        </w:tc>
        <w:tc>
          <w:tcPr>
            <w:tcW w:w="1668" w:type="dxa"/>
            <w:gridSpan w:val="3"/>
            <w:vAlign w:val="top"/>
          </w:tcPr>
          <w:p w14:paraId="65FF322C">
            <w:pPr>
              <w:pStyle w:val="6"/>
              <w:spacing w:before="77" w:line="219" w:lineRule="auto"/>
              <w:ind w:left="91"/>
              <w:rPr>
                <w:sz w:val="21"/>
                <w:szCs w:val="21"/>
              </w:rPr>
            </w:pPr>
            <w:r>
              <w:rPr>
                <w:spacing w:val="-2"/>
                <w:sz w:val="21"/>
                <w:szCs w:val="21"/>
              </w:rPr>
              <w:t>生活废水收集池</w:t>
            </w:r>
          </w:p>
        </w:tc>
        <w:tc>
          <w:tcPr>
            <w:tcW w:w="4485" w:type="dxa"/>
            <w:vAlign w:val="top"/>
          </w:tcPr>
          <w:p w14:paraId="68202E50">
            <w:pPr>
              <w:pStyle w:val="6"/>
              <w:spacing w:before="78" w:line="220" w:lineRule="auto"/>
              <w:ind w:left="1443"/>
              <w:rPr>
                <w:sz w:val="21"/>
                <w:szCs w:val="21"/>
              </w:rPr>
            </w:pPr>
            <w:r>
              <w:rPr>
                <w:spacing w:val="17"/>
                <w:sz w:val="21"/>
                <w:szCs w:val="21"/>
              </w:rPr>
              <w:t>1座，容积为4m³</w:t>
            </w:r>
          </w:p>
        </w:tc>
        <w:tc>
          <w:tcPr>
            <w:tcW w:w="559" w:type="dxa"/>
            <w:vAlign w:val="top"/>
          </w:tcPr>
          <w:p w14:paraId="74F1937E">
            <w:pPr>
              <w:pStyle w:val="6"/>
              <w:spacing w:before="98" w:line="212" w:lineRule="auto"/>
              <w:ind w:left="218"/>
              <w:rPr>
                <w:sz w:val="21"/>
                <w:szCs w:val="21"/>
              </w:rPr>
            </w:pPr>
            <w:r>
              <w:rPr>
                <w:sz w:val="21"/>
                <w:szCs w:val="21"/>
              </w:rPr>
              <w:t>1</w:t>
            </w:r>
          </w:p>
        </w:tc>
        <w:tc>
          <w:tcPr>
            <w:tcW w:w="984" w:type="dxa"/>
            <w:vAlign w:val="top"/>
          </w:tcPr>
          <w:p w14:paraId="3A00E653">
            <w:pPr>
              <w:pStyle w:val="6"/>
              <w:spacing w:before="85" w:line="224" w:lineRule="auto"/>
              <w:ind w:left="279"/>
              <w:rPr>
                <w:sz w:val="21"/>
                <w:szCs w:val="21"/>
              </w:rPr>
            </w:pPr>
            <w:r>
              <w:rPr>
                <w:spacing w:val="-3"/>
                <w:sz w:val="21"/>
                <w:szCs w:val="21"/>
              </w:rPr>
              <w:t>地埋</w:t>
            </w:r>
          </w:p>
        </w:tc>
      </w:tr>
      <w:tr w14:paraId="5D4EC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34" w:type="dxa"/>
            <w:vMerge w:val="continue"/>
            <w:tcBorders>
              <w:top w:val="nil"/>
              <w:bottom w:val="nil"/>
            </w:tcBorders>
            <w:vAlign w:val="top"/>
          </w:tcPr>
          <w:p w14:paraId="13ACBE86">
            <w:pPr>
              <w:rPr>
                <w:rFonts w:ascii="Arial"/>
                <w:sz w:val="21"/>
              </w:rPr>
            </w:pPr>
          </w:p>
        </w:tc>
        <w:tc>
          <w:tcPr>
            <w:tcW w:w="599" w:type="dxa"/>
            <w:vAlign w:val="top"/>
          </w:tcPr>
          <w:p w14:paraId="66B496DA">
            <w:pPr>
              <w:pStyle w:val="6"/>
              <w:spacing w:before="88" w:line="195" w:lineRule="auto"/>
              <w:ind w:left="180"/>
              <w:rPr>
                <w:sz w:val="21"/>
                <w:szCs w:val="21"/>
              </w:rPr>
            </w:pPr>
            <w:r>
              <w:rPr>
                <w:spacing w:val="-6"/>
                <w:sz w:val="21"/>
                <w:szCs w:val="21"/>
              </w:rPr>
              <w:t>13</w:t>
            </w:r>
          </w:p>
        </w:tc>
        <w:tc>
          <w:tcPr>
            <w:tcW w:w="1668" w:type="dxa"/>
            <w:gridSpan w:val="3"/>
            <w:vAlign w:val="top"/>
          </w:tcPr>
          <w:p w14:paraId="298AED18">
            <w:pPr>
              <w:pStyle w:val="6"/>
              <w:spacing w:before="67" w:line="213" w:lineRule="auto"/>
              <w:ind w:left="401"/>
              <w:rPr>
                <w:sz w:val="21"/>
                <w:szCs w:val="21"/>
              </w:rPr>
            </w:pPr>
            <w:r>
              <w:rPr>
                <w:spacing w:val="3"/>
                <w:sz w:val="21"/>
                <w:szCs w:val="21"/>
              </w:rPr>
              <w:t>生活水箱</w:t>
            </w:r>
          </w:p>
        </w:tc>
        <w:tc>
          <w:tcPr>
            <w:tcW w:w="4485" w:type="dxa"/>
            <w:vAlign w:val="top"/>
          </w:tcPr>
          <w:p w14:paraId="75E4950F">
            <w:pPr>
              <w:pStyle w:val="6"/>
              <w:spacing w:before="67" w:line="213" w:lineRule="auto"/>
              <w:ind w:left="1443"/>
              <w:rPr>
                <w:sz w:val="21"/>
                <w:szCs w:val="21"/>
              </w:rPr>
            </w:pPr>
            <w:r>
              <w:rPr>
                <w:spacing w:val="17"/>
                <w:sz w:val="21"/>
                <w:szCs w:val="21"/>
              </w:rPr>
              <w:t>1座，容积为5m³</w:t>
            </w:r>
          </w:p>
        </w:tc>
        <w:tc>
          <w:tcPr>
            <w:tcW w:w="559" w:type="dxa"/>
            <w:vAlign w:val="top"/>
          </w:tcPr>
          <w:p w14:paraId="49983B07">
            <w:pPr>
              <w:pStyle w:val="6"/>
              <w:spacing w:before="88" w:line="195" w:lineRule="auto"/>
              <w:ind w:left="218"/>
              <w:rPr>
                <w:sz w:val="21"/>
                <w:szCs w:val="21"/>
              </w:rPr>
            </w:pPr>
            <w:r>
              <w:rPr>
                <w:sz w:val="21"/>
                <w:szCs w:val="21"/>
              </w:rPr>
              <w:t>1</w:t>
            </w:r>
          </w:p>
        </w:tc>
        <w:tc>
          <w:tcPr>
            <w:tcW w:w="984" w:type="dxa"/>
            <w:vAlign w:val="top"/>
          </w:tcPr>
          <w:p w14:paraId="44CB83CF">
            <w:pPr>
              <w:pStyle w:val="6"/>
              <w:spacing w:before="67" w:line="213" w:lineRule="auto"/>
              <w:ind w:left="69"/>
              <w:rPr>
                <w:sz w:val="21"/>
                <w:szCs w:val="21"/>
              </w:rPr>
            </w:pPr>
            <w:r>
              <w:rPr>
                <w:spacing w:val="3"/>
                <w:sz w:val="21"/>
                <w:szCs w:val="21"/>
              </w:rPr>
              <w:t>成品水箱</w:t>
            </w:r>
          </w:p>
        </w:tc>
      </w:tr>
      <w:tr w14:paraId="296FB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3" w:hRule="atLeast"/>
        </w:trPr>
        <w:tc>
          <w:tcPr>
            <w:tcW w:w="734" w:type="dxa"/>
            <w:vMerge w:val="continue"/>
            <w:tcBorders>
              <w:top w:val="nil"/>
            </w:tcBorders>
            <w:vAlign w:val="top"/>
          </w:tcPr>
          <w:p w14:paraId="12E27444">
            <w:pPr>
              <w:rPr>
                <w:rFonts w:ascii="Arial"/>
                <w:sz w:val="21"/>
              </w:rPr>
            </w:pPr>
          </w:p>
        </w:tc>
        <w:tc>
          <w:tcPr>
            <w:tcW w:w="8295" w:type="dxa"/>
            <w:gridSpan w:val="7"/>
            <w:vAlign w:val="top"/>
          </w:tcPr>
          <w:p w14:paraId="6DD3D393">
            <w:pPr>
              <w:pStyle w:val="6"/>
              <w:spacing w:before="53" w:line="219" w:lineRule="auto"/>
              <w:ind w:left="94"/>
              <w:rPr>
                <w:sz w:val="21"/>
                <w:szCs w:val="21"/>
              </w:rPr>
            </w:pPr>
            <w:r>
              <w:rPr>
                <w:b/>
                <w:bCs/>
                <w:spacing w:val="-11"/>
                <w:sz w:val="21"/>
                <w:szCs w:val="21"/>
              </w:rPr>
              <w:t>3</w:t>
            </w:r>
            <w:r>
              <w:rPr>
                <w:spacing w:val="-16"/>
                <w:sz w:val="21"/>
                <w:szCs w:val="21"/>
              </w:rPr>
              <w:t xml:space="preserve"> </w:t>
            </w:r>
            <w:r>
              <w:rPr>
                <w:b/>
                <w:bCs/>
                <w:spacing w:val="-11"/>
                <w:sz w:val="21"/>
                <w:szCs w:val="21"/>
              </w:rPr>
              <w:t>光</w:t>
            </w:r>
            <w:r>
              <w:rPr>
                <w:spacing w:val="-19"/>
                <w:sz w:val="21"/>
                <w:szCs w:val="21"/>
              </w:rPr>
              <w:t xml:space="preserve"> </w:t>
            </w:r>
            <w:r>
              <w:rPr>
                <w:b/>
                <w:bCs/>
                <w:spacing w:val="-11"/>
                <w:sz w:val="21"/>
                <w:szCs w:val="21"/>
              </w:rPr>
              <w:t>伏</w:t>
            </w:r>
            <w:r>
              <w:rPr>
                <w:spacing w:val="-17"/>
                <w:sz w:val="21"/>
                <w:szCs w:val="21"/>
              </w:rPr>
              <w:t xml:space="preserve"> </w:t>
            </w:r>
            <w:r>
              <w:rPr>
                <w:b/>
                <w:bCs/>
                <w:spacing w:val="-11"/>
                <w:sz w:val="21"/>
                <w:szCs w:val="21"/>
              </w:rPr>
              <w:t>组</w:t>
            </w:r>
            <w:r>
              <w:rPr>
                <w:spacing w:val="-20"/>
                <w:sz w:val="21"/>
                <w:szCs w:val="21"/>
              </w:rPr>
              <w:t xml:space="preserve"> </w:t>
            </w:r>
            <w:r>
              <w:rPr>
                <w:b/>
                <w:bCs/>
                <w:spacing w:val="-11"/>
                <w:sz w:val="21"/>
                <w:szCs w:val="21"/>
              </w:rPr>
              <w:t>件</w:t>
            </w:r>
          </w:p>
          <w:p w14:paraId="1075BF92">
            <w:pPr>
              <w:pStyle w:val="6"/>
              <w:spacing w:before="223" w:line="219" w:lineRule="auto"/>
              <w:jc w:val="right"/>
              <w:rPr>
                <w:sz w:val="21"/>
                <w:szCs w:val="21"/>
              </w:rPr>
            </w:pPr>
            <w:r>
              <w:rPr>
                <w:spacing w:val="38"/>
                <w:sz w:val="21"/>
                <w:szCs w:val="21"/>
              </w:rPr>
              <w:t>经初步设计对比分析</w:t>
            </w:r>
            <w:r>
              <w:rPr>
                <w:spacing w:val="-16"/>
                <w:sz w:val="21"/>
                <w:szCs w:val="21"/>
              </w:rPr>
              <w:t xml:space="preserve"> </w:t>
            </w:r>
            <w:r>
              <w:rPr>
                <w:spacing w:val="38"/>
                <w:sz w:val="21"/>
                <w:szCs w:val="21"/>
              </w:rPr>
              <w:t>，</w:t>
            </w:r>
            <w:r>
              <w:rPr>
                <w:spacing w:val="-47"/>
                <w:sz w:val="21"/>
                <w:szCs w:val="21"/>
              </w:rPr>
              <w:t xml:space="preserve"> </w:t>
            </w:r>
            <w:r>
              <w:rPr>
                <w:spacing w:val="38"/>
                <w:sz w:val="21"/>
                <w:szCs w:val="21"/>
              </w:rPr>
              <w:t>本工程选用单晶硅光伏组件</w:t>
            </w:r>
            <w:r>
              <w:rPr>
                <w:spacing w:val="-26"/>
                <w:sz w:val="21"/>
                <w:szCs w:val="21"/>
              </w:rPr>
              <w:t xml:space="preserve"> </w:t>
            </w:r>
            <w:r>
              <w:rPr>
                <w:spacing w:val="38"/>
                <w:sz w:val="21"/>
                <w:szCs w:val="21"/>
              </w:rPr>
              <w:t>。</w:t>
            </w:r>
            <w:r>
              <w:rPr>
                <w:spacing w:val="-47"/>
                <w:sz w:val="21"/>
                <w:szCs w:val="21"/>
              </w:rPr>
              <w:t xml:space="preserve"> </w:t>
            </w:r>
            <w:r>
              <w:rPr>
                <w:spacing w:val="38"/>
                <w:sz w:val="21"/>
                <w:szCs w:val="21"/>
              </w:rPr>
              <w:t>本工程推荐采用</w:t>
            </w:r>
          </w:p>
          <w:p w14:paraId="7674F160">
            <w:pPr>
              <w:pStyle w:val="6"/>
              <w:spacing w:before="226" w:line="214" w:lineRule="auto"/>
              <w:ind w:left="91"/>
              <w:rPr>
                <w:sz w:val="21"/>
                <w:szCs w:val="21"/>
              </w:rPr>
            </w:pPr>
            <w:r>
              <w:rPr>
                <w:spacing w:val="-10"/>
                <w:sz w:val="21"/>
                <w:szCs w:val="21"/>
              </w:rPr>
              <w:t>6</w:t>
            </w:r>
            <w:r>
              <w:rPr>
                <w:spacing w:val="-29"/>
                <w:sz w:val="21"/>
                <w:szCs w:val="21"/>
              </w:rPr>
              <w:t xml:space="preserve"> </w:t>
            </w:r>
            <w:r>
              <w:rPr>
                <w:spacing w:val="-10"/>
                <w:sz w:val="21"/>
                <w:szCs w:val="21"/>
              </w:rPr>
              <w:t>1</w:t>
            </w:r>
            <w:r>
              <w:rPr>
                <w:spacing w:val="-45"/>
                <w:sz w:val="21"/>
                <w:szCs w:val="21"/>
              </w:rPr>
              <w:t xml:space="preserve"> </w:t>
            </w:r>
            <w:r>
              <w:rPr>
                <w:spacing w:val="-10"/>
                <w:sz w:val="21"/>
                <w:szCs w:val="21"/>
              </w:rPr>
              <w:t>0</w:t>
            </w:r>
            <w:r>
              <w:rPr>
                <w:spacing w:val="-53"/>
                <w:sz w:val="21"/>
                <w:szCs w:val="21"/>
              </w:rPr>
              <w:t xml:space="preserve"> </w:t>
            </w:r>
            <w:r>
              <w:rPr>
                <w:spacing w:val="-10"/>
                <w:sz w:val="21"/>
                <w:szCs w:val="21"/>
              </w:rPr>
              <w:t>W</w:t>
            </w:r>
            <w:r>
              <w:rPr>
                <w:spacing w:val="-49"/>
                <w:sz w:val="21"/>
                <w:szCs w:val="21"/>
              </w:rPr>
              <w:t xml:space="preserve"> </w:t>
            </w:r>
            <w:r>
              <w:rPr>
                <w:spacing w:val="-10"/>
                <w:sz w:val="21"/>
                <w:szCs w:val="21"/>
              </w:rPr>
              <w:t>p</w:t>
            </w:r>
            <w:r>
              <w:rPr>
                <w:spacing w:val="-45"/>
                <w:sz w:val="21"/>
                <w:szCs w:val="21"/>
              </w:rPr>
              <w:t xml:space="preserve"> </w:t>
            </w:r>
            <w:r>
              <w:rPr>
                <w:spacing w:val="-10"/>
                <w:sz w:val="21"/>
                <w:szCs w:val="21"/>
              </w:rPr>
              <w:t>单</w:t>
            </w:r>
            <w:r>
              <w:rPr>
                <w:spacing w:val="-28"/>
                <w:sz w:val="21"/>
                <w:szCs w:val="21"/>
              </w:rPr>
              <w:t xml:space="preserve"> </w:t>
            </w:r>
            <w:r>
              <w:rPr>
                <w:spacing w:val="-10"/>
                <w:sz w:val="21"/>
                <w:szCs w:val="21"/>
              </w:rPr>
              <w:t>晶</w:t>
            </w:r>
            <w:r>
              <w:rPr>
                <w:spacing w:val="-47"/>
                <w:sz w:val="21"/>
                <w:szCs w:val="21"/>
              </w:rPr>
              <w:t xml:space="preserve"> </w:t>
            </w:r>
            <w:r>
              <w:rPr>
                <w:spacing w:val="-10"/>
                <w:sz w:val="21"/>
                <w:szCs w:val="21"/>
              </w:rPr>
              <w:t>硅</w:t>
            </w:r>
            <w:r>
              <w:rPr>
                <w:spacing w:val="-53"/>
                <w:sz w:val="21"/>
                <w:szCs w:val="21"/>
              </w:rPr>
              <w:t xml:space="preserve"> </w:t>
            </w:r>
            <w:r>
              <w:rPr>
                <w:spacing w:val="-10"/>
                <w:sz w:val="21"/>
                <w:szCs w:val="21"/>
              </w:rPr>
              <w:t>N</w:t>
            </w:r>
            <w:r>
              <w:rPr>
                <w:spacing w:val="-40"/>
                <w:sz w:val="21"/>
                <w:szCs w:val="21"/>
              </w:rPr>
              <w:t xml:space="preserve"> </w:t>
            </w:r>
            <w:r>
              <w:rPr>
                <w:spacing w:val="-10"/>
                <w:sz w:val="21"/>
                <w:szCs w:val="21"/>
              </w:rPr>
              <w:t>型</w:t>
            </w:r>
            <w:r>
              <w:rPr>
                <w:spacing w:val="-45"/>
                <w:sz w:val="21"/>
                <w:szCs w:val="21"/>
              </w:rPr>
              <w:t xml:space="preserve"> </w:t>
            </w:r>
            <w:r>
              <w:rPr>
                <w:spacing w:val="-10"/>
                <w:sz w:val="21"/>
                <w:szCs w:val="21"/>
              </w:rPr>
              <w:t>光</w:t>
            </w:r>
            <w:r>
              <w:rPr>
                <w:spacing w:val="-46"/>
                <w:sz w:val="21"/>
                <w:szCs w:val="21"/>
              </w:rPr>
              <w:t xml:space="preserve"> </w:t>
            </w:r>
            <w:r>
              <w:rPr>
                <w:spacing w:val="-10"/>
                <w:sz w:val="21"/>
                <w:szCs w:val="21"/>
              </w:rPr>
              <w:t>伏</w:t>
            </w:r>
            <w:r>
              <w:rPr>
                <w:spacing w:val="-44"/>
                <w:sz w:val="21"/>
                <w:szCs w:val="21"/>
              </w:rPr>
              <w:t xml:space="preserve"> </w:t>
            </w:r>
            <w:r>
              <w:rPr>
                <w:spacing w:val="-10"/>
                <w:sz w:val="21"/>
                <w:szCs w:val="21"/>
              </w:rPr>
              <w:t>组</w:t>
            </w:r>
            <w:r>
              <w:rPr>
                <w:spacing w:val="-47"/>
                <w:sz w:val="21"/>
                <w:szCs w:val="21"/>
              </w:rPr>
              <w:t xml:space="preserve"> </w:t>
            </w:r>
            <w:r>
              <w:rPr>
                <w:spacing w:val="-10"/>
                <w:sz w:val="21"/>
                <w:szCs w:val="21"/>
              </w:rPr>
              <w:t>件</w:t>
            </w:r>
            <w:r>
              <w:rPr>
                <w:spacing w:val="-55"/>
                <w:sz w:val="21"/>
                <w:szCs w:val="21"/>
              </w:rPr>
              <w:t xml:space="preserve"> </w:t>
            </w:r>
            <w:r>
              <w:rPr>
                <w:spacing w:val="-10"/>
                <w:sz w:val="21"/>
                <w:szCs w:val="21"/>
              </w:rPr>
              <w:t>。</w:t>
            </w:r>
          </w:p>
          <w:p w14:paraId="21FE871A">
            <w:pPr>
              <w:pStyle w:val="6"/>
              <w:spacing w:before="217" w:line="219" w:lineRule="auto"/>
              <w:ind w:left="94"/>
              <w:rPr>
                <w:sz w:val="21"/>
                <w:szCs w:val="21"/>
              </w:rPr>
            </w:pPr>
            <w:r>
              <w:rPr>
                <w:b/>
                <w:bCs/>
                <w:spacing w:val="-12"/>
                <w:sz w:val="21"/>
                <w:szCs w:val="21"/>
              </w:rPr>
              <w:t>4</w:t>
            </w:r>
            <w:r>
              <w:rPr>
                <w:spacing w:val="-42"/>
                <w:sz w:val="21"/>
                <w:szCs w:val="21"/>
              </w:rPr>
              <w:t xml:space="preserve"> </w:t>
            </w:r>
            <w:r>
              <w:rPr>
                <w:b/>
                <w:bCs/>
                <w:spacing w:val="-12"/>
                <w:sz w:val="21"/>
                <w:szCs w:val="21"/>
              </w:rPr>
              <w:t>光</w:t>
            </w:r>
            <w:r>
              <w:rPr>
                <w:spacing w:val="-43"/>
                <w:sz w:val="21"/>
                <w:szCs w:val="21"/>
              </w:rPr>
              <w:t xml:space="preserve"> </w:t>
            </w:r>
            <w:r>
              <w:rPr>
                <w:b/>
                <w:bCs/>
                <w:spacing w:val="-12"/>
                <w:sz w:val="21"/>
                <w:szCs w:val="21"/>
              </w:rPr>
              <w:t>伏</w:t>
            </w:r>
            <w:r>
              <w:rPr>
                <w:spacing w:val="-33"/>
                <w:sz w:val="21"/>
                <w:szCs w:val="21"/>
              </w:rPr>
              <w:t xml:space="preserve"> </w:t>
            </w:r>
            <w:r>
              <w:rPr>
                <w:b/>
                <w:bCs/>
                <w:spacing w:val="-12"/>
                <w:sz w:val="21"/>
                <w:szCs w:val="21"/>
              </w:rPr>
              <w:t>阵</w:t>
            </w:r>
            <w:r>
              <w:rPr>
                <w:spacing w:val="-39"/>
                <w:sz w:val="21"/>
                <w:szCs w:val="21"/>
              </w:rPr>
              <w:t xml:space="preserve"> </w:t>
            </w:r>
            <w:r>
              <w:rPr>
                <w:b/>
                <w:bCs/>
                <w:spacing w:val="-12"/>
                <w:sz w:val="21"/>
                <w:szCs w:val="21"/>
              </w:rPr>
              <w:t>列</w:t>
            </w:r>
            <w:r>
              <w:rPr>
                <w:spacing w:val="-44"/>
                <w:sz w:val="21"/>
                <w:szCs w:val="21"/>
              </w:rPr>
              <w:t xml:space="preserve"> </w:t>
            </w:r>
            <w:r>
              <w:rPr>
                <w:b/>
                <w:bCs/>
                <w:spacing w:val="-12"/>
                <w:sz w:val="21"/>
                <w:szCs w:val="21"/>
              </w:rPr>
              <w:t>运</w:t>
            </w:r>
            <w:r>
              <w:rPr>
                <w:spacing w:val="-40"/>
                <w:sz w:val="21"/>
                <w:szCs w:val="21"/>
              </w:rPr>
              <w:t xml:space="preserve"> </w:t>
            </w:r>
            <w:r>
              <w:rPr>
                <w:b/>
                <w:bCs/>
                <w:spacing w:val="-12"/>
                <w:sz w:val="21"/>
                <w:szCs w:val="21"/>
              </w:rPr>
              <w:t>行</w:t>
            </w:r>
            <w:r>
              <w:rPr>
                <w:spacing w:val="-43"/>
                <w:sz w:val="21"/>
                <w:szCs w:val="21"/>
              </w:rPr>
              <w:t xml:space="preserve"> </w:t>
            </w:r>
            <w:r>
              <w:rPr>
                <w:b/>
                <w:bCs/>
                <w:spacing w:val="-12"/>
                <w:sz w:val="21"/>
                <w:szCs w:val="21"/>
              </w:rPr>
              <w:t>方</w:t>
            </w:r>
            <w:r>
              <w:rPr>
                <w:spacing w:val="-40"/>
                <w:sz w:val="21"/>
                <w:szCs w:val="21"/>
              </w:rPr>
              <w:t xml:space="preserve"> </w:t>
            </w:r>
            <w:r>
              <w:rPr>
                <w:b/>
                <w:bCs/>
                <w:spacing w:val="-12"/>
                <w:sz w:val="21"/>
                <w:szCs w:val="21"/>
              </w:rPr>
              <w:t>式</w:t>
            </w:r>
          </w:p>
          <w:p w14:paraId="4E351586">
            <w:pPr>
              <w:pStyle w:val="6"/>
              <w:spacing w:before="224" w:line="219" w:lineRule="auto"/>
              <w:ind w:left="530"/>
              <w:rPr>
                <w:sz w:val="21"/>
                <w:szCs w:val="21"/>
              </w:rPr>
            </w:pPr>
            <w:r>
              <w:rPr>
                <w:sz w:val="21"/>
                <w:szCs w:val="21"/>
              </w:rPr>
              <w:t>采用固定倾角式的运行方式不仅可以节省占地面积，</w:t>
            </w:r>
            <w:r>
              <w:rPr>
                <w:spacing w:val="-1"/>
                <w:sz w:val="21"/>
                <w:szCs w:val="21"/>
              </w:rPr>
              <w:t>且初始投资和维护成</w:t>
            </w:r>
          </w:p>
        </w:tc>
      </w:tr>
    </w:tbl>
    <w:p w14:paraId="7BE10535">
      <w:pPr>
        <w:pStyle w:val="2"/>
      </w:pPr>
    </w:p>
    <w:p w14:paraId="5315D382">
      <w:pPr>
        <w:sectPr>
          <w:footerReference r:id="rId60" w:type="default"/>
          <w:pgSz w:w="11910" w:h="16830"/>
          <w:pgMar w:top="400" w:right="1445" w:bottom="1245" w:left="1425" w:header="0" w:footer="1083" w:gutter="0"/>
          <w:cols w:space="720" w:num="1"/>
        </w:sectPr>
      </w:pPr>
    </w:p>
    <w:p w14:paraId="0451BAE8">
      <w:pPr>
        <w:spacing w:before="15"/>
      </w:pPr>
    </w:p>
    <w:p w14:paraId="72D1A14F">
      <w:pPr>
        <w:spacing w:before="15"/>
      </w:pPr>
    </w:p>
    <w:p w14:paraId="0FB41598">
      <w:pPr>
        <w:spacing w:before="15"/>
      </w:pPr>
    </w:p>
    <w:p w14:paraId="659ED792">
      <w:pPr>
        <w:spacing w:before="14"/>
      </w:pPr>
    </w:p>
    <w:tbl>
      <w:tblPr>
        <w:tblStyle w:val="5"/>
        <w:tblW w:w="91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8395"/>
      </w:tblGrid>
      <w:tr w14:paraId="51261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714" w:type="dxa"/>
            <w:tcBorders>
              <w:bottom w:val="nil"/>
            </w:tcBorders>
            <w:vAlign w:val="top"/>
          </w:tcPr>
          <w:p w14:paraId="1E439D6F">
            <w:pPr>
              <w:rPr>
                <w:rFonts w:ascii="Arial"/>
                <w:sz w:val="21"/>
              </w:rPr>
            </w:pPr>
          </w:p>
        </w:tc>
        <w:tc>
          <w:tcPr>
            <w:tcW w:w="8395" w:type="dxa"/>
            <w:tcBorders>
              <w:bottom w:val="nil"/>
            </w:tcBorders>
            <w:vAlign w:val="top"/>
          </w:tcPr>
          <w:p w14:paraId="3475D9DD">
            <w:pPr>
              <w:pStyle w:val="6"/>
              <w:spacing w:before="14" w:line="346" w:lineRule="auto"/>
              <w:ind w:left="111" w:right="79" w:firstLine="20"/>
              <w:jc w:val="both"/>
              <w:rPr>
                <w:sz w:val="24"/>
                <w:szCs w:val="24"/>
              </w:rPr>
            </w:pPr>
            <w:r>
              <w:rPr>
                <w:sz w:val="24"/>
                <w:szCs w:val="24"/>
              </w:rPr>
              <w:t>本都较低，运行可靠性较高，同时考虑到国内外绝大多数中高纬度并网光伏电</w:t>
            </w:r>
            <w:r>
              <w:rPr>
                <w:spacing w:val="13"/>
                <w:sz w:val="24"/>
                <w:szCs w:val="24"/>
              </w:rPr>
              <w:t xml:space="preserve"> </w:t>
            </w:r>
            <w:r>
              <w:rPr>
                <w:sz w:val="24"/>
                <w:szCs w:val="24"/>
              </w:rPr>
              <w:t>站工程采用固定式安装方式，因此，本阶段根据项目地形地貌条件、项目</w:t>
            </w:r>
            <w:r>
              <w:rPr>
                <w:spacing w:val="-1"/>
                <w:sz w:val="24"/>
                <w:szCs w:val="24"/>
              </w:rPr>
              <w:t>地理</w:t>
            </w:r>
            <w:r>
              <w:rPr>
                <w:sz w:val="24"/>
                <w:szCs w:val="24"/>
              </w:rPr>
              <w:t xml:space="preserve"> 纬度，推荐本工程采用固定倾角式的运行方式。</w:t>
            </w:r>
          </w:p>
        </w:tc>
      </w:tr>
      <w:tr w14:paraId="3D119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6" w:hRule="atLeast"/>
        </w:trPr>
        <w:tc>
          <w:tcPr>
            <w:tcW w:w="714" w:type="dxa"/>
            <w:tcBorders>
              <w:top w:val="nil"/>
              <w:bottom w:val="nil"/>
            </w:tcBorders>
            <w:vAlign w:val="top"/>
          </w:tcPr>
          <w:p w14:paraId="41E048AF">
            <w:pPr>
              <w:rPr>
                <w:rFonts w:ascii="Arial"/>
                <w:sz w:val="21"/>
              </w:rPr>
            </w:pPr>
          </w:p>
        </w:tc>
        <w:tc>
          <w:tcPr>
            <w:tcW w:w="8395" w:type="dxa"/>
            <w:tcBorders>
              <w:top w:val="nil"/>
              <w:bottom w:val="nil"/>
            </w:tcBorders>
            <w:vAlign w:val="top"/>
          </w:tcPr>
          <w:p w14:paraId="47A05E54">
            <w:pPr>
              <w:spacing w:line="4835" w:lineRule="exact"/>
              <w:ind w:firstLine="90"/>
            </w:pPr>
            <w:r>
              <w:rPr>
                <w:position w:val="-96"/>
              </w:rPr>
              <w:drawing>
                <wp:inline distT="0" distB="0" distL="0" distR="0">
                  <wp:extent cx="5250815" cy="3070225"/>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283"/>
                          <a:stretch>
                            <a:fillRect/>
                          </a:stretch>
                        </pic:blipFill>
                        <pic:spPr>
                          <a:xfrm>
                            <a:off x="0" y="0"/>
                            <a:ext cx="5251415" cy="3070293"/>
                          </a:xfrm>
                          <a:prstGeom prst="rect">
                            <a:avLst/>
                          </a:prstGeom>
                        </pic:spPr>
                      </pic:pic>
                    </a:graphicData>
                  </a:graphic>
                </wp:inline>
              </w:drawing>
            </w:r>
          </w:p>
        </w:tc>
      </w:tr>
      <w:tr w14:paraId="06CB9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0" w:hRule="atLeast"/>
        </w:trPr>
        <w:tc>
          <w:tcPr>
            <w:tcW w:w="714" w:type="dxa"/>
            <w:tcBorders>
              <w:top w:val="nil"/>
            </w:tcBorders>
            <w:vAlign w:val="top"/>
          </w:tcPr>
          <w:p w14:paraId="292B3B87">
            <w:pPr>
              <w:rPr>
                <w:rFonts w:ascii="Arial"/>
                <w:sz w:val="21"/>
              </w:rPr>
            </w:pPr>
          </w:p>
        </w:tc>
        <w:tc>
          <w:tcPr>
            <w:tcW w:w="8395" w:type="dxa"/>
            <w:tcBorders>
              <w:top w:val="nil"/>
            </w:tcBorders>
            <w:vAlign w:val="top"/>
          </w:tcPr>
          <w:p w14:paraId="6B36106E">
            <w:pPr>
              <w:pStyle w:val="6"/>
              <w:spacing w:before="33" w:line="225" w:lineRule="auto"/>
              <w:ind w:left="2194"/>
              <w:rPr>
                <w:sz w:val="24"/>
                <w:szCs w:val="24"/>
              </w:rPr>
            </w:pPr>
            <w:r>
              <w:rPr>
                <w:b/>
                <w:bCs/>
                <w:spacing w:val="-2"/>
                <w:sz w:val="24"/>
                <w:szCs w:val="24"/>
              </w:rPr>
              <w:t>图2-2</w:t>
            </w:r>
            <w:r>
              <w:rPr>
                <w:spacing w:val="3"/>
                <w:sz w:val="24"/>
                <w:szCs w:val="24"/>
              </w:rPr>
              <w:t xml:space="preserve">    </w:t>
            </w:r>
            <w:r>
              <w:rPr>
                <w:b/>
                <w:bCs/>
                <w:spacing w:val="-2"/>
                <w:sz w:val="24"/>
                <w:szCs w:val="24"/>
              </w:rPr>
              <w:t>固定支架太阳能方阵示意图</w:t>
            </w:r>
          </w:p>
          <w:p w14:paraId="073A7AE2">
            <w:pPr>
              <w:pStyle w:val="6"/>
              <w:spacing w:before="23" w:line="219" w:lineRule="auto"/>
              <w:ind w:left="94"/>
              <w:rPr>
                <w:sz w:val="24"/>
                <w:szCs w:val="24"/>
              </w:rPr>
            </w:pPr>
            <w:r>
              <w:rPr>
                <w:b/>
                <w:bCs/>
                <w:spacing w:val="-1"/>
                <w:sz w:val="24"/>
                <w:szCs w:val="24"/>
              </w:rPr>
              <w:t>5光伏阵列的安装方位角和倾角</w:t>
            </w:r>
          </w:p>
          <w:p w14:paraId="7D2B4F06">
            <w:pPr>
              <w:pStyle w:val="6"/>
              <w:spacing w:before="181" w:line="363" w:lineRule="auto"/>
              <w:ind w:left="121" w:firstLine="489"/>
              <w:jc w:val="both"/>
              <w:rPr>
                <w:sz w:val="24"/>
                <w:szCs w:val="24"/>
              </w:rPr>
            </w:pPr>
            <w:r>
              <w:rPr>
                <w:spacing w:val="-1"/>
                <w:sz w:val="24"/>
                <w:szCs w:val="24"/>
              </w:rPr>
              <w:t>本项目固定支架采用方位角按0°进行设置，本项目甘和村部分地块处在军</w:t>
            </w:r>
            <w:r>
              <w:rPr>
                <w:spacing w:val="6"/>
                <w:sz w:val="24"/>
                <w:szCs w:val="24"/>
              </w:rPr>
              <w:t xml:space="preserve"> </w:t>
            </w:r>
            <w:r>
              <w:rPr>
                <w:sz w:val="24"/>
                <w:szCs w:val="24"/>
              </w:rPr>
              <w:t>用机场航道正北或正南朝向，故该区域组件方位角按照90°布置；柔性支架布</w:t>
            </w:r>
            <w:r>
              <w:rPr>
                <w:spacing w:val="6"/>
                <w:sz w:val="24"/>
                <w:szCs w:val="24"/>
              </w:rPr>
              <w:t xml:space="preserve"> </w:t>
            </w:r>
            <w:r>
              <w:rPr>
                <w:sz w:val="24"/>
                <w:szCs w:val="24"/>
              </w:rPr>
              <w:t>置方案需要考虑结构设计，使柔性支架结构设</w:t>
            </w:r>
            <w:r>
              <w:rPr>
                <w:spacing w:val="-1"/>
                <w:sz w:val="24"/>
                <w:szCs w:val="24"/>
              </w:rPr>
              <w:t>计达到结构强度与投资的合理平</w:t>
            </w:r>
            <w:r>
              <w:rPr>
                <w:sz w:val="24"/>
                <w:szCs w:val="24"/>
              </w:rPr>
              <w:t xml:space="preserve">  </w:t>
            </w:r>
            <w:r>
              <w:rPr>
                <w:spacing w:val="-1"/>
                <w:sz w:val="24"/>
                <w:szCs w:val="24"/>
              </w:rPr>
              <w:t>衡，需要随坡就势布置，方位角为根据实际地形坡度布置。</w:t>
            </w:r>
          </w:p>
          <w:p w14:paraId="0149DBCD">
            <w:pPr>
              <w:pStyle w:val="6"/>
              <w:spacing w:line="357" w:lineRule="auto"/>
              <w:ind w:left="121" w:right="83" w:firstLine="489"/>
              <w:jc w:val="both"/>
              <w:rPr>
                <w:sz w:val="24"/>
                <w:szCs w:val="24"/>
              </w:rPr>
            </w:pPr>
            <w:r>
              <w:rPr>
                <w:sz w:val="24"/>
                <w:szCs w:val="24"/>
              </w:rPr>
              <w:t>因此本工程推荐固定支架组件采用25°为最佳倾角布置，柔性支架组件采</w:t>
            </w:r>
            <w:r>
              <w:rPr>
                <w:spacing w:val="9"/>
                <w:sz w:val="24"/>
                <w:szCs w:val="24"/>
              </w:rPr>
              <w:t xml:space="preserve"> </w:t>
            </w:r>
            <w:r>
              <w:rPr>
                <w:sz w:val="24"/>
                <w:szCs w:val="24"/>
              </w:rPr>
              <w:t>用15°倾角布置，使用SolarGIS根据逐小时辐射量计算得到25°倾斜面辐射量</w:t>
            </w:r>
            <w:r>
              <w:rPr>
                <w:spacing w:val="8"/>
                <w:sz w:val="24"/>
                <w:szCs w:val="24"/>
              </w:rPr>
              <w:t xml:space="preserve"> 为6200.8</w:t>
            </w:r>
            <w:r>
              <w:rPr>
                <w:sz w:val="24"/>
                <w:szCs w:val="24"/>
              </w:rPr>
              <w:t>MJ</w:t>
            </w:r>
            <w:r>
              <w:rPr>
                <w:spacing w:val="8"/>
                <w:sz w:val="24"/>
                <w:szCs w:val="24"/>
              </w:rPr>
              <w:t>/m²,15°倾斜面辐射量为</w:t>
            </w:r>
            <w:r>
              <w:rPr>
                <w:spacing w:val="7"/>
                <w:sz w:val="24"/>
                <w:szCs w:val="24"/>
              </w:rPr>
              <w:t>6132.3</w:t>
            </w:r>
            <w:r>
              <w:rPr>
                <w:sz w:val="24"/>
                <w:szCs w:val="24"/>
              </w:rPr>
              <w:t>MJ</w:t>
            </w:r>
            <w:r>
              <w:rPr>
                <w:spacing w:val="7"/>
                <w:sz w:val="24"/>
                <w:szCs w:val="24"/>
              </w:rPr>
              <w:t>/m²。</w:t>
            </w:r>
          </w:p>
          <w:p w14:paraId="04FEAAE9">
            <w:pPr>
              <w:pStyle w:val="6"/>
              <w:spacing w:before="6" w:line="220" w:lineRule="auto"/>
              <w:ind w:left="114"/>
              <w:rPr>
                <w:sz w:val="24"/>
                <w:szCs w:val="24"/>
              </w:rPr>
            </w:pPr>
            <w:r>
              <w:rPr>
                <w:b/>
                <w:bCs/>
                <w:spacing w:val="-4"/>
                <w:sz w:val="24"/>
                <w:szCs w:val="24"/>
              </w:rPr>
              <w:t>6支架系统设计</w:t>
            </w:r>
          </w:p>
          <w:p w14:paraId="3DC98DA5">
            <w:pPr>
              <w:pStyle w:val="6"/>
              <w:spacing w:before="180" w:line="214" w:lineRule="auto"/>
              <w:ind w:left="590"/>
              <w:rPr>
                <w:sz w:val="24"/>
                <w:szCs w:val="24"/>
              </w:rPr>
            </w:pPr>
            <w:r>
              <w:rPr>
                <w:spacing w:val="1"/>
                <w:sz w:val="24"/>
                <w:szCs w:val="24"/>
              </w:rPr>
              <w:t>本工程采用610</w:t>
            </w:r>
            <w:r>
              <w:rPr>
                <w:sz w:val="24"/>
                <w:szCs w:val="24"/>
              </w:rPr>
              <w:t>Wp</w:t>
            </w:r>
            <w:r>
              <w:rPr>
                <w:spacing w:val="1"/>
                <w:sz w:val="24"/>
                <w:szCs w:val="24"/>
              </w:rPr>
              <w:t>单晶硅光伏组件，光伏支架由26块光伏组件按2(行)</w:t>
            </w:r>
          </w:p>
          <w:p w14:paraId="635DE134">
            <w:pPr>
              <w:pStyle w:val="6"/>
              <w:spacing w:before="182" w:line="351" w:lineRule="auto"/>
              <w:ind w:left="131"/>
              <w:rPr>
                <w:sz w:val="24"/>
                <w:szCs w:val="24"/>
              </w:rPr>
            </w:pPr>
            <w:r>
              <w:rPr>
                <w:spacing w:val="-2"/>
                <w:sz w:val="24"/>
                <w:szCs w:val="24"/>
              </w:rPr>
              <w:t>×13(列)的布置方式组成一个支架单元，支架倾角为2</w:t>
            </w:r>
            <w:r>
              <w:rPr>
                <w:spacing w:val="-3"/>
                <w:sz w:val="24"/>
                <w:szCs w:val="24"/>
              </w:rPr>
              <w:t>5°,光伏组件最低端离</w:t>
            </w:r>
            <w:r>
              <w:rPr>
                <w:sz w:val="24"/>
                <w:szCs w:val="24"/>
              </w:rPr>
              <w:t xml:space="preserve">   </w:t>
            </w:r>
            <w:r>
              <w:rPr>
                <w:spacing w:val="-3"/>
                <w:sz w:val="24"/>
                <w:szCs w:val="24"/>
              </w:rPr>
              <w:t>地距离2.5m,满足云南省复合型光伏项目用地要求。该支架形式主要通过架高</w:t>
            </w:r>
            <w:r>
              <w:rPr>
                <w:sz w:val="24"/>
                <w:szCs w:val="24"/>
              </w:rPr>
              <w:t xml:space="preserve">   </w:t>
            </w:r>
            <w:r>
              <w:rPr>
                <w:spacing w:val="-4"/>
                <w:sz w:val="24"/>
                <w:szCs w:val="24"/>
              </w:rPr>
              <w:t>立柱的方式来保证支架下部作业空间，可种植常规露天农业作</w:t>
            </w:r>
            <w:r>
              <w:rPr>
                <w:spacing w:val="-5"/>
                <w:sz w:val="24"/>
                <w:szCs w:val="24"/>
              </w:rPr>
              <w:t>物，适用地形广。</w:t>
            </w:r>
            <w:r>
              <w:rPr>
                <w:sz w:val="24"/>
                <w:szCs w:val="24"/>
              </w:rPr>
              <w:t xml:space="preserve"> </w:t>
            </w:r>
            <w:r>
              <w:rPr>
                <w:spacing w:val="-3"/>
                <w:sz w:val="24"/>
                <w:szCs w:val="24"/>
              </w:rPr>
              <w:t>光伏支架采用单桩支架结构，主要由斜梁、横梁、前斜</w:t>
            </w:r>
            <w:r>
              <w:rPr>
                <w:spacing w:val="-4"/>
                <w:sz w:val="24"/>
                <w:szCs w:val="24"/>
              </w:rPr>
              <w:t>撑、后斜撑、钢柱、抱</w:t>
            </w:r>
            <w:r>
              <w:rPr>
                <w:sz w:val="24"/>
                <w:szCs w:val="24"/>
              </w:rPr>
              <w:t xml:space="preserve">  </w:t>
            </w:r>
            <w:r>
              <w:rPr>
                <w:spacing w:val="1"/>
                <w:sz w:val="24"/>
                <w:szCs w:val="24"/>
              </w:rPr>
              <w:t>箍和单桩基础等关键构件组成。单桩光伏支撑</w:t>
            </w:r>
            <w:r>
              <w:rPr>
                <w:sz w:val="24"/>
                <w:szCs w:val="24"/>
              </w:rPr>
              <w:t>结构采用2个斜支撑支起斜梁、</w:t>
            </w:r>
          </w:p>
        </w:tc>
      </w:tr>
    </w:tbl>
    <w:p w14:paraId="0E1928BB">
      <w:pPr>
        <w:pStyle w:val="2"/>
      </w:pPr>
    </w:p>
    <w:p w14:paraId="2CD9B310">
      <w:pPr>
        <w:sectPr>
          <w:footerReference r:id="rId61" w:type="default"/>
          <w:pgSz w:w="11910" w:h="16830"/>
          <w:pgMar w:top="400" w:right="1415" w:bottom="1245" w:left="1375" w:header="0" w:footer="1083" w:gutter="0"/>
          <w:cols w:space="720" w:num="1"/>
        </w:sectPr>
      </w:pPr>
    </w:p>
    <w:p w14:paraId="099AB30F">
      <w:pPr>
        <w:spacing w:before="18"/>
      </w:pPr>
    </w:p>
    <w:p w14:paraId="105C64AE">
      <w:pPr>
        <w:spacing w:before="17"/>
      </w:pPr>
    </w:p>
    <w:p w14:paraId="4BDB32E7">
      <w:pPr>
        <w:spacing w:before="17"/>
      </w:pPr>
    </w:p>
    <w:p w14:paraId="7797FEEB">
      <w:pPr>
        <w:spacing w:before="17"/>
      </w:pPr>
    </w:p>
    <w:tbl>
      <w:tblPr>
        <w:tblStyle w:val="5"/>
        <w:tblW w:w="90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2114"/>
        <w:gridCol w:w="6261"/>
      </w:tblGrid>
      <w:tr w14:paraId="32D41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4" w:hRule="atLeast"/>
        </w:trPr>
        <w:tc>
          <w:tcPr>
            <w:tcW w:w="704" w:type="dxa"/>
            <w:vMerge w:val="restart"/>
            <w:tcBorders>
              <w:bottom w:val="nil"/>
            </w:tcBorders>
            <w:vAlign w:val="top"/>
          </w:tcPr>
          <w:p w14:paraId="73C36F19">
            <w:pPr>
              <w:rPr>
                <w:rFonts w:ascii="Arial"/>
                <w:sz w:val="21"/>
              </w:rPr>
            </w:pPr>
          </w:p>
        </w:tc>
        <w:tc>
          <w:tcPr>
            <w:tcW w:w="8375" w:type="dxa"/>
            <w:gridSpan w:val="2"/>
            <w:tcBorders>
              <w:bottom w:val="nil"/>
            </w:tcBorders>
            <w:vAlign w:val="top"/>
          </w:tcPr>
          <w:p w14:paraId="43F2F19F">
            <w:pPr>
              <w:pStyle w:val="6"/>
              <w:spacing w:before="15" w:line="361" w:lineRule="auto"/>
              <w:ind w:left="119" w:hanging="19"/>
              <w:rPr>
                <w:sz w:val="24"/>
                <w:szCs w:val="24"/>
              </w:rPr>
            </w:pPr>
            <w:r>
              <w:rPr>
                <w:spacing w:val="-4"/>
                <w:sz w:val="24"/>
                <w:szCs w:val="24"/>
              </w:rPr>
              <w:t>横梁，从而托起光伏电池板，钢斜撑与钢柱之间连接通过抱箍实现，具有简洁、</w:t>
            </w:r>
            <w:r>
              <w:rPr>
                <w:spacing w:val="3"/>
                <w:sz w:val="24"/>
                <w:szCs w:val="24"/>
              </w:rPr>
              <w:t xml:space="preserve"> </w:t>
            </w:r>
            <w:r>
              <w:rPr>
                <w:spacing w:val="-3"/>
                <w:sz w:val="24"/>
                <w:szCs w:val="24"/>
              </w:rPr>
              <w:t>高效的特点。光伏组件与横梁用不锈钢螺栓连接，每块光伏板用4个螺栓固定</w:t>
            </w:r>
            <w:r>
              <w:rPr>
                <w:spacing w:val="5"/>
                <w:sz w:val="24"/>
                <w:szCs w:val="24"/>
              </w:rPr>
              <w:t xml:space="preserve">   </w:t>
            </w:r>
            <w:r>
              <w:rPr>
                <w:spacing w:val="-1"/>
                <w:sz w:val="24"/>
                <w:szCs w:val="24"/>
              </w:rPr>
              <w:t>在横梁上。横梁与斜梁通过螺栓连接。以2X13阵列为例，桩基列间距为4.0m,</w:t>
            </w:r>
            <w:r>
              <w:rPr>
                <w:sz w:val="24"/>
                <w:szCs w:val="24"/>
              </w:rPr>
              <w:t xml:space="preserve">   </w:t>
            </w:r>
            <w:r>
              <w:rPr>
                <w:spacing w:val="-3"/>
                <w:sz w:val="24"/>
                <w:szCs w:val="24"/>
              </w:rPr>
              <w:t>满足云南省农业光伏用地要求。横梁跨度为4.0</w:t>
            </w:r>
            <w:r>
              <w:rPr>
                <w:spacing w:val="-4"/>
                <w:sz w:val="24"/>
                <w:szCs w:val="24"/>
              </w:rPr>
              <w:t>m,斜梁、横梁、斜撑均采用冷</w:t>
            </w:r>
            <w:r>
              <w:rPr>
                <w:sz w:val="24"/>
                <w:szCs w:val="24"/>
              </w:rPr>
              <w:t xml:space="preserve">   </w:t>
            </w:r>
            <w:r>
              <w:rPr>
                <w:spacing w:val="-3"/>
                <w:sz w:val="24"/>
                <w:szCs w:val="24"/>
              </w:rPr>
              <w:t>弯薄壁卷边槽钢，上下立柱采用热镀锌钢管。其中，光伏支架采用Q355B热镀</w:t>
            </w:r>
            <w:r>
              <w:rPr>
                <w:spacing w:val="4"/>
                <w:sz w:val="24"/>
                <w:szCs w:val="24"/>
              </w:rPr>
              <w:t xml:space="preserve">   </w:t>
            </w:r>
            <w:r>
              <w:rPr>
                <w:spacing w:val="-3"/>
                <w:sz w:val="24"/>
                <w:szCs w:val="24"/>
              </w:rPr>
              <w:t>锌钢材，其他部分连接件采用Q235B热镀锌钢材钢材。</w:t>
            </w:r>
          </w:p>
          <w:p w14:paraId="1DD50B30">
            <w:pPr>
              <w:pStyle w:val="6"/>
              <w:spacing w:line="216" w:lineRule="auto"/>
              <w:ind w:left="590"/>
              <w:rPr>
                <w:sz w:val="24"/>
                <w:szCs w:val="24"/>
              </w:rPr>
            </w:pPr>
            <w:r>
              <w:rPr>
                <w:sz w:val="24"/>
                <w:szCs w:val="24"/>
              </w:rPr>
              <w:t>光伏板支架S450GD,380t,逆变器支架Q235B,3t。</w:t>
            </w:r>
          </w:p>
          <w:p w14:paraId="33C64EC4">
            <w:pPr>
              <w:pStyle w:val="6"/>
              <w:spacing w:before="157" w:line="219" w:lineRule="auto"/>
              <w:ind w:left="114"/>
              <w:rPr>
                <w:sz w:val="24"/>
                <w:szCs w:val="24"/>
              </w:rPr>
            </w:pPr>
            <w:r>
              <w:rPr>
                <w:b/>
                <w:bCs/>
                <w:spacing w:val="-5"/>
                <w:sz w:val="24"/>
                <w:szCs w:val="24"/>
              </w:rPr>
              <w:t>7光伏阵列设计</w:t>
            </w:r>
          </w:p>
          <w:p w14:paraId="52E03F98">
            <w:pPr>
              <w:pStyle w:val="6"/>
              <w:spacing w:before="177" w:line="217" w:lineRule="auto"/>
              <w:ind w:left="590"/>
              <w:rPr>
                <w:sz w:val="24"/>
                <w:szCs w:val="24"/>
              </w:rPr>
            </w:pPr>
            <w:r>
              <w:rPr>
                <w:spacing w:val="2"/>
                <w:sz w:val="24"/>
                <w:szCs w:val="24"/>
              </w:rPr>
              <w:t>①光伏方阵布置说明</w:t>
            </w:r>
          </w:p>
          <w:p w14:paraId="6E3DF1FF">
            <w:pPr>
              <w:pStyle w:val="6"/>
              <w:spacing w:before="219" w:line="354" w:lineRule="auto"/>
              <w:ind w:left="121" w:right="70" w:firstLine="479"/>
              <w:rPr>
                <w:sz w:val="24"/>
                <w:szCs w:val="24"/>
              </w:rPr>
            </w:pPr>
            <w:r>
              <w:rPr>
                <w:sz w:val="24"/>
                <w:szCs w:val="24"/>
              </w:rPr>
              <w:t>本项目地处山地，考虑场址地形地貌特点，子方阵设计容量不宜过大也不</w:t>
            </w:r>
            <w:r>
              <w:rPr>
                <w:spacing w:val="12"/>
                <w:sz w:val="24"/>
                <w:szCs w:val="24"/>
              </w:rPr>
              <w:t xml:space="preserve"> </w:t>
            </w:r>
            <w:r>
              <w:rPr>
                <w:sz w:val="24"/>
                <w:szCs w:val="24"/>
              </w:rPr>
              <w:t>宜过小，现阶段根据光伏发电子方阵的布置情况，本工程建设3个1.25MWac</w:t>
            </w:r>
          </w:p>
          <w:p w14:paraId="2D531921">
            <w:pPr>
              <w:pStyle w:val="6"/>
              <w:spacing w:before="1" w:line="347" w:lineRule="auto"/>
              <w:ind w:left="111" w:right="549" w:firstLine="10"/>
              <w:rPr>
                <w:sz w:val="24"/>
                <w:szCs w:val="24"/>
              </w:rPr>
            </w:pPr>
            <w:r>
              <w:rPr>
                <w:sz w:val="24"/>
                <w:szCs w:val="24"/>
              </w:rPr>
              <w:t>光伏子系统、3个1.5MWac光伏子系统、2个1.6MWac光伏子方阵、4个2MWac</w:t>
            </w:r>
            <w:r>
              <w:rPr>
                <w:spacing w:val="13"/>
                <w:sz w:val="24"/>
                <w:szCs w:val="24"/>
              </w:rPr>
              <w:t xml:space="preserve"> </w:t>
            </w:r>
            <w:r>
              <w:rPr>
                <w:sz w:val="24"/>
                <w:szCs w:val="24"/>
              </w:rPr>
              <w:t>光伏子方阵，6个2.5MWac光伏子方阵、6个3.15M</w:t>
            </w:r>
            <w:r>
              <w:rPr>
                <w:spacing w:val="-1"/>
                <w:sz w:val="24"/>
                <w:szCs w:val="24"/>
              </w:rPr>
              <w:t>Wac光伏子方阵。建设24</w:t>
            </w:r>
            <w:r>
              <w:rPr>
                <w:sz w:val="24"/>
                <w:szCs w:val="24"/>
              </w:rPr>
              <w:t xml:space="preserve">  </w:t>
            </w:r>
            <w:r>
              <w:rPr>
                <w:spacing w:val="1"/>
                <w:sz w:val="24"/>
                <w:szCs w:val="24"/>
              </w:rPr>
              <w:t>个光伏子系统。</w:t>
            </w:r>
          </w:p>
          <w:p w14:paraId="629BDD81">
            <w:pPr>
              <w:pStyle w:val="6"/>
              <w:spacing w:before="24" w:line="217" w:lineRule="auto"/>
              <w:ind w:left="590"/>
              <w:rPr>
                <w:sz w:val="24"/>
                <w:szCs w:val="24"/>
              </w:rPr>
            </w:pPr>
            <w:r>
              <w:rPr>
                <w:spacing w:val="-1"/>
                <w:sz w:val="24"/>
                <w:szCs w:val="24"/>
              </w:rPr>
              <w:t>②光伏组串设计</w:t>
            </w:r>
          </w:p>
          <w:p w14:paraId="176A8A42">
            <w:pPr>
              <w:pStyle w:val="6"/>
              <w:spacing w:before="221" w:line="356" w:lineRule="auto"/>
              <w:ind w:left="100" w:right="75" w:firstLine="499"/>
              <w:rPr>
                <w:sz w:val="24"/>
                <w:szCs w:val="24"/>
              </w:rPr>
            </w:pPr>
            <w:r>
              <w:rPr>
                <w:sz w:val="24"/>
                <w:szCs w:val="24"/>
              </w:rPr>
              <w:t>最终确定每组组件串串联数为26块。布置在一个固定支架上的所有光伏组</w:t>
            </w:r>
            <w:r>
              <w:rPr>
                <w:spacing w:val="7"/>
                <w:sz w:val="24"/>
                <w:szCs w:val="24"/>
              </w:rPr>
              <w:t xml:space="preserve"> </w:t>
            </w:r>
            <w:r>
              <w:rPr>
                <w:sz w:val="24"/>
                <w:szCs w:val="24"/>
              </w:rPr>
              <w:t>件串联组成一个光伏组串单元。本工程的组件排列方式</w:t>
            </w:r>
            <w:r>
              <w:rPr>
                <w:spacing w:val="-1"/>
                <w:sz w:val="24"/>
                <w:szCs w:val="24"/>
              </w:rPr>
              <w:t>为纵向排列。本工程单</w:t>
            </w:r>
            <w:r>
              <w:rPr>
                <w:sz w:val="24"/>
                <w:szCs w:val="24"/>
              </w:rPr>
              <w:t xml:space="preserve"> </w:t>
            </w:r>
            <w:r>
              <w:rPr>
                <w:spacing w:val="1"/>
                <w:sz w:val="24"/>
                <w:szCs w:val="24"/>
              </w:rPr>
              <w:t>支架并联组串数目为1串。固定支架光伏组串排列设计：本工程每个支架按2</w:t>
            </w:r>
          </w:p>
          <w:p w14:paraId="646D8422">
            <w:pPr>
              <w:pStyle w:val="6"/>
              <w:spacing w:before="3" w:line="352" w:lineRule="auto"/>
              <w:ind w:left="111" w:right="332" w:firstLine="10"/>
              <w:rPr>
                <w:sz w:val="24"/>
                <w:szCs w:val="24"/>
              </w:rPr>
            </w:pPr>
            <w:r>
              <w:rPr>
                <w:sz w:val="24"/>
                <w:szCs w:val="24"/>
              </w:rPr>
              <w:t>排、每排13块组件进行设计，即：每个支架上安装2</w:t>
            </w:r>
            <w:r>
              <w:rPr>
                <w:spacing w:val="-1"/>
                <w:sz w:val="24"/>
                <w:szCs w:val="24"/>
              </w:rPr>
              <w:t>6块光伏组件构成1个组</w:t>
            </w:r>
            <w:r>
              <w:rPr>
                <w:sz w:val="24"/>
                <w:szCs w:val="24"/>
              </w:rPr>
              <w:t xml:space="preserve">  平面尺寸约为1串。本工程每个支架按1排、每排13块组件进行设计，即：每 两个支架上安装13块光伏组件构成1个组平面尺寸约为1</w:t>
            </w:r>
            <w:r>
              <w:rPr>
                <w:spacing w:val="-1"/>
                <w:sz w:val="24"/>
                <w:szCs w:val="24"/>
              </w:rPr>
              <w:t>串。</w:t>
            </w:r>
          </w:p>
          <w:tbl>
            <w:tblPr>
              <w:tblStyle w:val="5"/>
              <w:tblW w:w="7509" w:type="dxa"/>
              <w:tblInd w:w="5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5"/>
              <w:gridCol w:w="579"/>
              <w:gridCol w:w="579"/>
              <w:gridCol w:w="579"/>
              <w:gridCol w:w="579"/>
              <w:gridCol w:w="589"/>
              <w:gridCol w:w="579"/>
              <w:gridCol w:w="579"/>
              <w:gridCol w:w="579"/>
              <w:gridCol w:w="589"/>
              <w:gridCol w:w="550"/>
              <w:gridCol w:w="589"/>
              <w:gridCol w:w="574"/>
            </w:tblGrid>
            <w:tr w14:paraId="59A0C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565" w:type="dxa"/>
                  <w:tcBorders>
                    <w:top w:val="single" w:color="000000" w:sz="2" w:space="0"/>
                    <w:bottom w:val="single" w:color="000000" w:sz="2" w:space="0"/>
                  </w:tcBorders>
                  <w:vAlign w:val="top"/>
                </w:tcPr>
                <w:p w14:paraId="36E87231">
                  <w:pPr>
                    <w:rPr>
                      <w:rFonts w:ascii="Arial"/>
                      <w:sz w:val="21"/>
                    </w:rPr>
                  </w:pPr>
                </w:p>
              </w:tc>
              <w:tc>
                <w:tcPr>
                  <w:tcW w:w="579" w:type="dxa"/>
                  <w:tcBorders>
                    <w:top w:val="single" w:color="000000" w:sz="2" w:space="0"/>
                    <w:bottom w:val="single" w:color="000000" w:sz="2" w:space="0"/>
                  </w:tcBorders>
                  <w:vAlign w:val="top"/>
                </w:tcPr>
                <w:p w14:paraId="637BAA56">
                  <w:pPr>
                    <w:rPr>
                      <w:rFonts w:ascii="Arial"/>
                      <w:sz w:val="21"/>
                    </w:rPr>
                  </w:pPr>
                </w:p>
              </w:tc>
              <w:tc>
                <w:tcPr>
                  <w:tcW w:w="579" w:type="dxa"/>
                  <w:tcBorders>
                    <w:top w:val="single" w:color="000000" w:sz="2" w:space="0"/>
                    <w:bottom w:val="single" w:color="000000" w:sz="2" w:space="0"/>
                  </w:tcBorders>
                  <w:vAlign w:val="top"/>
                </w:tcPr>
                <w:p w14:paraId="388A29B6">
                  <w:pPr>
                    <w:rPr>
                      <w:rFonts w:ascii="Arial"/>
                      <w:sz w:val="21"/>
                    </w:rPr>
                  </w:pPr>
                </w:p>
              </w:tc>
              <w:tc>
                <w:tcPr>
                  <w:tcW w:w="579" w:type="dxa"/>
                  <w:tcBorders>
                    <w:top w:val="single" w:color="000000" w:sz="2" w:space="0"/>
                    <w:bottom w:val="single" w:color="000000" w:sz="2" w:space="0"/>
                  </w:tcBorders>
                  <w:vAlign w:val="top"/>
                </w:tcPr>
                <w:p w14:paraId="397F46A6">
                  <w:pPr>
                    <w:rPr>
                      <w:rFonts w:ascii="Arial"/>
                      <w:sz w:val="21"/>
                    </w:rPr>
                  </w:pPr>
                </w:p>
              </w:tc>
              <w:tc>
                <w:tcPr>
                  <w:tcW w:w="579" w:type="dxa"/>
                  <w:tcBorders>
                    <w:top w:val="single" w:color="000000" w:sz="2" w:space="0"/>
                    <w:bottom w:val="single" w:color="000000" w:sz="2" w:space="0"/>
                  </w:tcBorders>
                  <w:vAlign w:val="top"/>
                </w:tcPr>
                <w:p w14:paraId="06B95140">
                  <w:pPr>
                    <w:rPr>
                      <w:rFonts w:ascii="Arial"/>
                      <w:sz w:val="21"/>
                    </w:rPr>
                  </w:pPr>
                </w:p>
              </w:tc>
              <w:tc>
                <w:tcPr>
                  <w:tcW w:w="589" w:type="dxa"/>
                  <w:tcBorders>
                    <w:top w:val="single" w:color="000000" w:sz="2" w:space="0"/>
                    <w:bottom w:val="single" w:color="000000" w:sz="2" w:space="0"/>
                  </w:tcBorders>
                  <w:vAlign w:val="top"/>
                </w:tcPr>
                <w:p w14:paraId="13561ECA">
                  <w:pPr>
                    <w:rPr>
                      <w:rFonts w:ascii="Arial"/>
                      <w:sz w:val="21"/>
                    </w:rPr>
                  </w:pPr>
                </w:p>
              </w:tc>
              <w:tc>
                <w:tcPr>
                  <w:tcW w:w="579" w:type="dxa"/>
                  <w:tcBorders>
                    <w:top w:val="single" w:color="000000" w:sz="2" w:space="0"/>
                    <w:bottom w:val="single" w:color="000000" w:sz="2" w:space="0"/>
                  </w:tcBorders>
                  <w:vAlign w:val="top"/>
                </w:tcPr>
                <w:p w14:paraId="6AEB05E5">
                  <w:pPr>
                    <w:rPr>
                      <w:rFonts w:ascii="Arial"/>
                      <w:sz w:val="21"/>
                    </w:rPr>
                  </w:pPr>
                </w:p>
              </w:tc>
              <w:tc>
                <w:tcPr>
                  <w:tcW w:w="579" w:type="dxa"/>
                  <w:tcBorders>
                    <w:top w:val="single" w:color="000000" w:sz="2" w:space="0"/>
                    <w:bottom w:val="single" w:color="000000" w:sz="2" w:space="0"/>
                  </w:tcBorders>
                  <w:vAlign w:val="top"/>
                </w:tcPr>
                <w:p w14:paraId="0F745F3F">
                  <w:pPr>
                    <w:rPr>
                      <w:rFonts w:ascii="Arial"/>
                      <w:sz w:val="21"/>
                    </w:rPr>
                  </w:pPr>
                </w:p>
              </w:tc>
              <w:tc>
                <w:tcPr>
                  <w:tcW w:w="579" w:type="dxa"/>
                  <w:tcBorders>
                    <w:top w:val="single" w:color="000000" w:sz="2" w:space="0"/>
                    <w:bottom w:val="single" w:color="000000" w:sz="2" w:space="0"/>
                  </w:tcBorders>
                  <w:vAlign w:val="top"/>
                </w:tcPr>
                <w:p w14:paraId="4038E3CF">
                  <w:pPr>
                    <w:rPr>
                      <w:rFonts w:ascii="Arial"/>
                      <w:sz w:val="21"/>
                    </w:rPr>
                  </w:pPr>
                </w:p>
              </w:tc>
              <w:tc>
                <w:tcPr>
                  <w:tcW w:w="589" w:type="dxa"/>
                  <w:tcBorders>
                    <w:top w:val="single" w:color="000000" w:sz="2" w:space="0"/>
                    <w:bottom w:val="single" w:color="000000" w:sz="2" w:space="0"/>
                  </w:tcBorders>
                  <w:vAlign w:val="top"/>
                </w:tcPr>
                <w:p w14:paraId="5A5CF723">
                  <w:pPr>
                    <w:rPr>
                      <w:rFonts w:ascii="Arial"/>
                      <w:sz w:val="21"/>
                    </w:rPr>
                  </w:pPr>
                </w:p>
              </w:tc>
              <w:tc>
                <w:tcPr>
                  <w:tcW w:w="550" w:type="dxa"/>
                  <w:tcBorders>
                    <w:top w:val="single" w:color="000000" w:sz="2" w:space="0"/>
                    <w:bottom w:val="single" w:color="000000" w:sz="2" w:space="0"/>
                  </w:tcBorders>
                  <w:vAlign w:val="top"/>
                </w:tcPr>
                <w:p w14:paraId="2F15AAE8">
                  <w:pPr>
                    <w:rPr>
                      <w:rFonts w:ascii="Arial"/>
                      <w:sz w:val="21"/>
                    </w:rPr>
                  </w:pPr>
                </w:p>
              </w:tc>
              <w:tc>
                <w:tcPr>
                  <w:tcW w:w="589" w:type="dxa"/>
                  <w:tcBorders>
                    <w:top w:val="single" w:color="000000" w:sz="2" w:space="0"/>
                    <w:bottom w:val="single" w:color="000000" w:sz="2" w:space="0"/>
                  </w:tcBorders>
                  <w:vAlign w:val="top"/>
                </w:tcPr>
                <w:p w14:paraId="658D81BD">
                  <w:pPr>
                    <w:rPr>
                      <w:rFonts w:ascii="Arial"/>
                      <w:sz w:val="21"/>
                    </w:rPr>
                  </w:pPr>
                </w:p>
              </w:tc>
              <w:tc>
                <w:tcPr>
                  <w:tcW w:w="574" w:type="dxa"/>
                  <w:tcBorders>
                    <w:top w:val="single" w:color="000000" w:sz="2" w:space="0"/>
                    <w:bottom w:val="single" w:color="000000" w:sz="2" w:space="0"/>
                  </w:tcBorders>
                  <w:vAlign w:val="top"/>
                </w:tcPr>
                <w:p w14:paraId="61D97412">
                  <w:pPr>
                    <w:rPr>
                      <w:rFonts w:ascii="Arial"/>
                      <w:sz w:val="21"/>
                    </w:rPr>
                  </w:pPr>
                </w:p>
              </w:tc>
            </w:tr>
            <w:tr w14:paraId="04B56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565" w:type="dxa"/>
                  <w:tcBorders>
                    <w:top w:val="single" w:color="000000" w:sz="2" w:space="0"/>
                    <w:bottom w:val="single" w:color="000000" w:sz="2" w:space="0"/>
                  </w:tcBorders>
                  <w:vAlign w:val="top"/>
                </w:tcPr>
                <w:p w14:paraId="241B80BE">
                  <w:pPr>
                    <w:rPr>
                      <w:rFonts w:ascii="Arial"/>
                      <w:sz w:val="21"/>
                    </w:rPr>
                  </w:pPr>
                </w:p>
              </w:tc>
              <w:tc>
                <w:tcPr>
                  <w:tcW w:w="579" w:type="dxa"/>
                  <w:tcBorders>
                    <w:top w:val="single" w:color="000000" w:sz="2" w:space="0"/>
                    <w:bottom w:val="single" w:color="000000" w:sz="2" w:space="0"/>
                  </w:tcBorders>
                  <w:vAlign w:val="top"/>
                </w:tcPr>
                <w:p w14:paraId="5F157CB8">
                  <w:pPr>
                    <w:rPr>
                      <w:rFonts w:ascii="Arial"/>
                      <w:sz w:val="21"/>
                    </w:rPr>
                  </w:pPr>
                </w:p>
              </w:tc>
              <w:tc>
                <w:tcPr>
                  <w:tcW w:w="579" w:type="dxa"/>
                  <w:tcBorders>
                    <w:top w:val="single" w:color="000000" w:sz="2" w:space="0"/>
                    <w:bottom w:val="single" w:color="000000" w:sz="2" w:space="0"/>
                  </w:tcBorders>
                  <w:vAlign w:val="top"/>
                </w:tcPr>
                <w:p w14:paraId="2ED52F05">
                  <w:pPr>
                    <w:rPr>
                      <w:rFonts w:ascii="Arial"/>
                      <w:sz w:val="21"/>
                    </w:rPr>
                  </w:pPr>
                </w:p>
              </w:tc>
              <w:tc>
                <w:tcPr>
                  <w:tcW w:w="579" w:type="dxa"/>
                  <w:tcBorders>
                    <w:top w:val="single" w:color="000000" w:sz="2" w:space="0"/>
                    <w:bottom w:val="single" w:color="000000" w:sz="2" w:space="0"/>
                  </w:tcBorders>
                  <w:vAlign w:val="top"/>
                </w:tcPr>
                <w:p w14:paraId="5295AB48">
                  <w:pPr>
                    <w:rPr>
                      <w:rFonts w:ascii="Arial"/>
                      <w:sz w:val="21"/>
                    </w:rPr>
                  </w:pPr>
                </w:p>
              </w:tc>
              <w:tc>
                <w:tcPr>
                  <w:tcW w:w="579" w:type="dxa"/>
                  <w:tcBorders>
                    <w:top w:val="single" w:color="000000" w:sz="2" w:space="0"/>
                    <w:bottom w:val="single" w:color="000000" w:sz="2" w:space="0"/>
                  </w:tcBorders>
                  <w:vAlign w:val="top"/>
                </w:tcPr>
                <w:p w14:paraId="0726A124">
                  <w:pPr>
                    <w:rPr>
                      <w:rFonts w:ascii="Arial"/>
                      <w:sz w:val="21"/>
                    </w:rPr>
                  </w:pPr>
                </w:p>
              </w:tc>
              <w:tc>
                <w:tcPr>
                  <w:tcW w:w="589" w:type="dxa"/>
                  <w:tcBorders>
                    <w:top w:val="single" w:color="000000" w:sz="2" w:space="0"/>
                    <w:bottom w:val="single" w:color="000000" w:sz="2" w:space="0"/>
                  </w:tcBorders>
                  <w:vAlign w:val="top"/>
                </w:tcPr>
                <w:p w14:paraId="04F924EF">
                  <w:pPr>
                    <w:rPr>
                      <w:rFonts w:ascii="Arial"/>
                      <w:sz w:val="21"/>
                    </w:rPr>
                  </w:pPr>
                </w:p>
              </w:tc>
              <w:tc>
                <w:tcPr>
                  <w:tcW w:w="579" w:type="dxa"/>
                  <w:tcBorders>
                    <w:top w:val="single" w:color="000000" w:sz="2" w:space="0"/>
                    <w:bottom w:val="single" w:color="000000" w:sz="2" w:space="0"/>
                  </w:tcBorders>
                  <w:vAlign w:val="top"/>
                </w:tcPr>
                <w:p w14:paraId="4F45AF99">
                  <w:pPr>
                    <w:rPr>
                      <w:rFonts w:ascii="Arial"/>
                      <w:sz w:val="21"/>
                    </w:rPr>
                  </w:pPr>
                </w:p>
              </w:tc>
              <w:tc>
                <w:tcPr>
                  <w:tcW w:w="579" w:type="dxa"/>
                  <w:tcBorders>
                    <w:top w:val="single" w:color="000000" w:sz="2" w:space="0"/>
                    <w:bottom w:val="single" w:color="000000" w:sz="2" w:space="0"/>
                  </w:tcBorders>
                  <w:vAlign w:val="top"/>
                </w:tcPr>
                <w:p w14:paraId="485BEE26">
                  <w:pPr>
                    <w:rPr>
                      <w:rFonts w:ascii="Arial"/>
                      <w:sz w:val="21"/>
                    </w:rPr>
                  </w:pPr>
                </w:p>
              </w:tc>
              <w:tc>
                <w:tcPr>
                  <w:tcW w:w="579" w:type="dxa"/>
                  <w:tcBorders>
                    <w:top w:val="single" w:color="000000" w:sz="2" w:space="0"/>
                    <w:bottom w:val="single" w:color="000000" w:sz="2" w:space="0"/>
                  </w:tcBorders>
                  <w:vAlign w:val="top"/>
                </w:tcPr>
                <w:p w14:paraId="78532106">
                  <w:pPr>
                    <w:rPr>
                      <w:rFonts w:ascii="Arial"/>
                      <w:sz w:val="21"/>
                    </w:rPr>
                  </w:pPr>
                </w:p>
              </w:tc>
              <w:tc>
                <w:tcPr>
                  <w:tcW w:w="589" w:type="dxa"/>
                  <w:tcBorders>
                    <w:top w:val="single" w:color="000000" w:sz="2" w:space="0"/>
                    <w:bottom w:val="single" w:color="000000" w:sz="2" w:space="0"/>
                  </w:tcBorders>
                  <w:vAlign w:val="top"/>
                </w:tcPr>
                <w:p w14:paraId="4A5471FA">
                  <w:pPr>
                    <w:rPr>
                      <w:rFonts w:ascii="Arial"/>
                      <w:sz w:val="21"/>
                    </w:rPr>
                  </w:pPr>
                </w:p>
              </w:tc>
              <w:tc>
                <w:tcPr>
                  <w:tcW w:w="550" w:type="dxa"/>
                  <w:tcBorders>
                    <w:top w:val="single" w:color="000000" w:sz="2" w:space="0"/>
                    <w:bottom w:val="single" w:color="000000" w:sz="2" w:space="0"/>
                  </w:tcBorders>
                  <w:vAlign w:val="top"/>
                </w:tcPr>
                <w:p w14:paraId="0B72CD14">
                  <w:pPr>
                    <w:rPr>
                      <w:rFonts w:ascii="Arial"/>
                      <w:sz w:val="21"/>
                    </w:rPr>
                  </w:pPr>
                </w:p>
              </w:tc>
              <w:tc>
                <w:tcPr>
                  <w:tcW w:w="589" w:type="dxa"/>
                  <w:tcBorders>
                    <w:top w:val="single" w:color="000000" w:sz="2" w:space="0"/>
                    <w:bottom w:val="single" w:color="000000" w:sz="2" w:space="0"/>
                  </w:tcBorders>
                  <w:vAlign w:val="top"/>
                </w:tcPr>
                <w:p w14:paraId="1BD1599A">
                  <w:pPr>
                    <w:rPr>
                      <w:rFonts w:ascii="Arial"/>
                      <w:sz w:val="21"/>
                    </w:rPr>
                  </w:pPr>
                </w:p>
              </w:tc>
              <w:tc>
                <w:tcPr>
                  <w:tcW w:w="574" w:type="dxa"/>
                  <w:tcBorders>
                    <w:top w:val="single" w:color="000000" w:sz="2" w:space="0"/>
                    <w:bottom w:val="single" w:color="000000" w:sz="2" w:space="0"/>
                  </w:tcBorders>
                  <w:vAlign w:val="top"/>
                </w:tcPr>
                <w:p w14:paraId="06E75361">
                  <w:pPr>
                    <w:rPr>
                      <w:rFonts w:ascii="Arial"/>
                      <w:sz w:val="21"/>
                    </w:rPr>
                  </w:pPr>
                </w:p>
              </w:tc>
            </w:tr>
          </w:tbl>
          <w:p w14:paraId="39A56760">
            <w:pPr>
              <w:spacing w:line="14" w:lineRule="auto"/>
              <w:rPr>
                <w:rFonts w:ascii="Arial"/>
                <w:sz w:val="2"/>
              </w:rPr>
            </w:pPr>
          </w:p>
        </w:tc>
      </w:tr>
      <w:tr w14:paraId="301E5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0" w:hRule="atLeast"/>
        </w:trPr>
        <w:tc>
          <w:tcPr>
            <w:tcW w:w="704" w:type="dxa"/>
            <w:vMerge w:val="continue"/>
            <w:tcBorders>
              <w:top w:val="nil"/>
            </w:tcBorders>
            <w:vAlign w:val="top"/>
          </w:tcPr>
          <w:p w14:paraId="1279FDB5">
            <w:pPr>
              <w:rPr>
                <w:rFonts w:ascii="Arial"/>
                <w:sz w:val="21"/>
              </w:rPr>
            </w:pPr>
          </w:p>
        </w:tc>
        <w:tc>
          <w:tcPr>
            <w:tcW w:w="2114" w:type="dxa"/>
            <w:tcBorders>
              <w:top w:val="nil"/>
              <w:right w:val="nil"/>
            </w:tcBorders>
            <w:vAlign w:val="top"/>
          </w:tcPr>
          <w:p w14:paraId="7C0DA2A7">
            <w:pPr>
              <w:spacing w:line="359" w:lineRule="auto"/>
              <w:rPr>
                <w:rFonts w:ascii="Arial"/>
                <w:sz w:val="21"/>
              </w:rPr>
            </w:pPr>
          </w:p>
          <w:p w14:paraId="5B10D9C8">
            <w:pPr>
              <w:spacing w:line="360" w:lineRule="auto"/>
              <w:rPr>
                <w:rFonts w:ascii="Arial"/>
                <w:sz w:val="21"/>
              </w:rPr>
            </w:pPr>
          </w:p>
          <w:p w14:paraId="615C85F9">
            <w:pPr>
              <w:pStyle w:val="6"/>
              <w:spacing w:before="78" w:line="220" w:lineRule="auto"/>
              <w:ind w:left="760"/>
              <w:rPr>
                <w:sz w:val="24"/>
                <w:szCs w:val="24"/>
              </w:rPr>
            </w:pPr>
            <w:r>
              <w:rPr>
                <w:color w:val="00F0D0"/>
                <w:spacing w:val="3"/>
                <w:sz w:val="24"/>
                <w:szCs w:val="24"/>
              </w:rPr>
              <w:t>13块</w:t>
            </w:r>
          </w:p>
        </w:tc>
        <w:tc>
          <w:tcPr>
            <w:tcW w:w="6261" w:type="dxa"/>
            <w:tcBorders>
              <w:top w:val="nil"/>
              <w:left w:val="nil"/>
            </w:tcBorders>
            <w:vAlign w:val="top"/>
          </w:tcPr>
          <w:p w14:paraId="2278271B">
            <w:pPr>
              <w:pStyle w:val="6"/>
              <w:spacing w:before="22" w:line="219" w:lineRule="auto"/>
              <w:ind w:left="1211"/>
              <w:rPr>
                <w:sz w:val="24"/>
                <w:szCs w:val="24"/>
              </w:rPr>
            </w:pPr>
            <w:r>
              <w:rPr>
                <w:color w:val="E010F0"/>
                <w:spacing w:val="-4"/>
                <w:position w:val="1"/>
                <w:sz w:val="24"/>
                <w:szCs w:val="24"/>
              </w:rPr>
              <w:t>十</w:t>
            </w:r>
            <w:r>
              <w:rPr>
                <w:color w:val="E010F0"/>
                <w:spacing w:val="-45"/>
                <w:position w:val="1"/>
                <w:sz w:val="24"/>
                <w:szCs w:val="24"/>
              </w:rPr>
              <w:t xml:space="preserve"> </w:t>
            </w:r>
            <w:r>
              <w:rPr>
                <w:color w:val="C020E0"/>
                <w:spacing w:val="-4"/>
                <w:sz w:val="24"/>
                <w:szCs w:val="24"/>
              </w:rPr>
              <w:t>0.</w:t>
            </w:r>
            <w:r>
              <w:rPr>
                <w:color w:val="E030D0"/>
                <w:spacing w:val="-4"/>
                <w:sz w:val="24"/>
                <w:szCs w:val="24"/>
              </w:rPr>
              <w:t>0200</w:t>
            </w:r>
          </w:p>
          <w:p w14:paraId="2ACB07F7">
            <w:pPr>
              <w:pStyle w:val="6"/>
              <w:spacing w:line="219" w:lineRule="auto"/>
              <w:ind w:left="855"/>
              <w:rPr>
                <w:sz w:val="24"/>
                <w:szCs w:val="24"/>
              </w:rPr>
            </w:pPr>
            <w:r>
              <w:rPr>
                <w:b/>
                <w:bCs/>
                <w:spacing w:val="-2"/>
                <w:sz w:val="24"/>
                <w:szCs w:val="24"/>
              </w:rPr>
              <w:t>图2-2固定支架组件排列示意图</w:t>
            </w:r>
          </w:p>
          <w:p w14:paraId="42A22590">
            <w:pPr>
              <w:spacing w:line="279" w:lineRule="auto"/>
              <w:rPr>
                <w:rFonts w:ascii="Arial"/>
                <w:sz w:val="21"/>
              </w:rPr>
            </w:pPr>
          </w:p>
          <w:p w14:paraId="3DF770AF">
            <w:pPr>
              <w:pStyle w:val="6"/>
              <w:spacing w:before="78" w:line="220" w:lineRule="auto"/>
              <w:ind w:left="3081"/>
              <w:rPr>
                <w:sz w:val="24"/>
                <w:szCs w:val="24"/>
              </w:rPr>
            </w:pPr>
            <w:r>
              <w:rPr>
                <w:color w:val="10F0D0"/>
                <w:spacing w:val="3"/>
                <w:sz w:val="24"/>
                <w:szCs w:val="24"/>
              </w:rPr>
              <w:t>13块</w:t>
            </w:r>
          </w:p>
        </w:tc>
      </w:tr>
      <w:tr w14:paraId="4E108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704" w:type="dxa"/>
            <w:tcBorders>
              <w:left w:val="single" w:color="000000" w:sz="2" w:space="0"/>
              <w:right w:val="nil"/>
            </w:tcBorders>
            <w:vAlign w:val="top"/>
          </w:tcPr>
          <w:p w14:paraId="1BB87F89">
            <w:pPr>
              <w:spacing w:line="115" w:lineRule="exact"/>
              <w:rPr>
                <w:rFonts w:ascii="Arial"/>
                <w:sz w:val="10"/>
              </w:rPr>
            </w:pPr>
          </w:p>
        </w:tc>
        <w:tc>
          <w:tcPr>
            <w:tcW w:w="8375" w:type="dxa"/>
            <w:gridSpan w:val="2"/>
            <w:tcBorders>
              <w:left w:val="nil"/>
              <w:right w:val="single" w:color="000000" w:sz="2" w:space="0"/>
            </w:tcBorders>
            <w:vAlign w:val="top"/>
          </w:tcPr>
          <w:p w14:paraId="52961B28">
            <w:pPr>
              <w:spacing w:line="115" w:lineRule="exact"/>
              <w:rPr>
                <w:rFonts w:ascii="Arial"/>
                <w:sz w:val="10"/>
              </w:rPr>
            </w:pPr>
          </w:p>
        </w:tc>
      </w:tr>
    </w:tbl>
    <w:p w14:paraId="52604762">
      <w:pPr>
        <w:pStyle w:val="2"/>
      </w:pPr>
    </w:p>
    <w:p w14:paraId="6295290F">
      <w:pPr>
        <w:sectPr>
          <w:footerReference r:id="rId62" w:type="default"/>
          <w:pgSz w:w="11910" w:h="16830"/>
          <w:pgMar w:top="400" w:right="1425" w:bottom="1224" w:left="1395" w:header="0" w:footer="1089" w:gutter="0"/>
          <w:cols w:space="720" w:num="1"/>
        </w:sectPr>
      </w:pPr>
    </w:p>
    <w:p w14:paraId="001146AB">
      <w:pPr>
        <w:spacing w:before="15"/>
      </w:pPr>
    </w:p>
    <w:p w14:paraId="2A13DB50">
      <w:pPr>
        <w:spacing w:before="15"/>
      </w:pPr>
    </w:p>
    <w:p w14:paraId="439AB525">
      <w:pPr>
        <w:spacing w:before="15"/>
      </w:pPr>
    </w:p>
    <w:p w14:paraId="1CD08AC0">
      <w:pPr>
        <w:spacing w:before="14"/>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8395"/>
      </w:tblGrid>
      <w:tr w14:paraId="1D0CA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79" w:hRule="atLeast"/>
        </w:trPr>
        <w:tc>
          <w:tcPr>
            <w:tcW w:w="704" w:type="dxa"/>
            <w:vAlign w:val="top"/>
          </w:tcPr>
          <w:p w14:paraId="118D3848">
            <w:pPr>
              <w:rPr>
                <w:rFonts w:ascii="Arial"/>
                <w:sz w:val="21"/>
              </w:rPr>
            </w:pPr>
          </w:p>
        </w:tc>
        <w:tc>
          <w:tcPr>
            <w:tcW w:w="8395" w:type="dxa"/>
            <w:vAlign w:val="top"/>
          </w:tcPr>
          <w:p w14:paraId="51A067DD">
            <w:pPr>
              <w:pStyle w:val="6"/>
              <w:spacing w:before="11" w:line="219" w:lineRule="auto"/>
              <w:ind w:left="2944"/>
              <w:rPr>
                <w:sz w:val="24"/>
                <w:szCs w:val="24"/>
              </w:rPr>
            </w:pPr>
            <w:r>
              <w:rPr>
                <w:b/>
                <w:bCs/>
                <w:spacing w:val="-2"/>
                <w:sz w:val="24"/>
                <w:szCs w:val="24"/>
              </w:rPr>
              <w:t>图2-3柔性支架组件排列示意图</w:t>
            </w:r>
          </w:p>
          <w:p w14:paraId="263FBC32">
            <w:pPr>
              <w:pStyle w:val="6"/>
              <w:spacing w:before="125" w:line="217" w:lineRule="auto"/>
              <w:ind w:left="590"/>
              <w:rPr>
                <w:sz w:val="24"/>
                <w:szCs w:val="24"/>
              </w:rPr>
            </w:pPr>
            <w:r>
              <w:rPr>
                <w:spacing w:val="-1"/>
                <w:sz w:val="24"/>
                <w:szCs w:val="24"/>
              </w:rPr>
              <w:t>③光伏组串单元间距设计</w:t>
            </w:r>
          </w:p>
          <w:p w14:paraId="70B7D130">
            <w:pPr>
              <w:pStyle w:val="6"/>
              <w:spacing w:before="199" w:line="219" w:lineRule="auto"/>
              <w:ind w:left="610"/>
              <w:rPr>
                <w:sz w:val="24"/>
                <w:szCs w:val="24"/>
              </w:rPr>
            </w:pPr>
            <w:r>
              <w:rPr>
                <w:sz w:val="24"/>
                <w:szCs w:val="24"/>
              </w:rPr>
              <w:t>固定式支架光伏组件串单元前后排最小间距为3m(阵列间距)。柔性支</w:t>
            </w:r>
          </w:p>
          <w:p w14:paraId="25989CFA">
            <w:pPr>
              <w:pStyle w:val="6"/>
              <w:spacing w:before="174" w:line="358" w:lineRule="auto"/>
              <w:ind w:left="131" w:right="319"/>
              <w:rPr>
                <w:sz w:val="24"/>
                <w:szCs w:val="24"/>
              </w:rPr>
            </w:pPr>
            <w:r>
              <w:rPr>
                <w:sz w:val="24"/>
                <w:szCs w:val="24"/>
              </w:rPr>
              <w:t>架光伏组件串单元前后排最小间距为1.5m(阵列间距)。经计算电池板布置于</w:t>
            </w:r>
            <w:r>
              <w:rPr>
                <w:spacing w:val="13"/>
                <w:sz w:val="24"/>
                <w:szCs w:val="24"/>
              </w:rPr>
              <w:t xml:space="preserve"> </w:t>
            </w:r>
            <w:r>
              <w:rPr>
                <w:sz w:val="24"/>
                <w:szCs w:val="24"/>
              </w:rPr>
              <w:t>平地采用25°或15°布置时，固定式支架光伏组件前后排阵列净间距d为3</w:t>
            </w:r>
          </w:p>
          <w:p w14:paraId="5C97AFD3">
            <w:pPr>
              <w:pStyle w:val="6"/>
              <w:spacing w:before="1" w:line="364" w:lineRule="auto"/>
              <w:ind w:left="100" w:right="332" w:firstLine="20"/>
              <w:rPr>
                <w:sz w:val="24"/>
                <w:szCs w:val="24"/>
              </w:rPr>
            </w:pPr>
            <w:r>
              <w:rPr>
                <w:sz w:val="24"/>
                <w:szCs w:val="24"/>
              </w:rPr>
              <w:t>米。柔性支架光伏组件前后排阵列净间距d为1.5米，场地不同坡度组件间距</w:t>
            </w:r>
            <w:r>
              <w:rPr>
                <w:spacing w:val="10"/>
                <w:sz w:val="24"/>
                <w:szCs w:val="24"/>
              </w:rPr>
              <w:t xml:space="preserve"> </w:t>
            </w:r>
            <w:r>
              <w:rPr>
                <w:spacing w:val="-1"/>
                <w:sz w:val="24"/>
                <w:szCs w:val="24"/>
              </w:rPr>
              <w:t>随之调整。</w:t>
            </w:r>
          </w:p>
          <w:p w14:paraId="25A716A2">
            <w:pPr>
              <w:pStyle w:val="6"/>
              <w:spacing w:before="11" w:line="217" w:lineRule="auto"/>
              <w:ind w:left="590"/>
              <w:rPr>
                <w:sz w:val="24"/>
                <w:szCs w:val="24"/>
              </w:rPr>
            </w:pPr>
            <w:r>
              <w:rPr>
                <w:spacing w:val="-1"/>
                <w:sz w:val="24"/>
                <w:szCs w:val="24"/>
              </w:rPr>
              <w:t>④电缆敷设设计</w:t>
            </w:r>
          </w:p>
          <w:p w14:paraId="1BFAA9E4">
            <w:pPr>
              <w:pStyle w:val="6"/>
              <w:spacing w:before="167" w:line="216" w:lineRule="auto"/>
              <w:ind w:left="590"/>
              <w:rPr>
                <w:sz w:val="24"/>
                <w:szCs w:val="24"/>
              </w:rPr>
            </w:pPr>
            <w:r>
              <w:rPr>
                <w:sz w:val="24"/>
                <w:szCs w:val="24"/>
              </w:rPr>
              <w:t>逆变器输入最高直流电压为1500V,采用1kV阻燃铠装交联聚乙烯绝缘护</w:t>
            </w:r>
          </w:p>
          <w:p w14:paraId="389D0C25">
            <w:pPr>
              <w:pStyle w:val="6"/>
              <w:spacing w:before="200" w:line="356" w:lineRule="auto"/>
              <w:ind w:left="121" w:right="83" w:firstLine="20"/>
              <w:rPr>
                <w:sz w:val="24"/>
                <w:szCs w:val="24"/>
              </w:rPr>
            </w:pPr>
            <w:r>
              <w:rPr>
                <w:sz w:val="24"/>
                <w:szCs w:val="24"/>
              </w:rPr>
              <w:t>套电力电缆连接。根据光伏方阵至组串逆变器的距离及每一路输出电流大小， 使最远处光伏组件电压降控制在2%左右，从而可</w:t>
            </w:r>
            <w:r>
              <w:rPr>
                <w:spacing w:val="-1"/>
                <w:sz w:val="24"/>
                <w:szCs w:val="24"/>
              </w:rPr>
              <w:t>以确定各光伏支架至组串式</w:t>
            </w:r>
            <w:r>
              <w:rPr>
                <w:sz w:val="24"/>
                <w:szCs w:val="24"/>
              </w:rPr>
              <w:t xml:space="preserve">   逆变器的直流电缆型号与规格，采用GF-WDZCEER232*4,DC1500V规格。</w:t>
            </w:r>
          </w:p>
          <w:p w14:paraId="207D4B63">
            <w:pPr>
              <w:pStyle w:val="6"/>
              <w:spacing w:before="2" w:line="359" w:lineRule="auto"/>
              <w:ind w:left="121" w:right="203" w:firstLine="469"/>
              <w:jc w:val="both"/>
              <w:rPr>
                <w:sz w:val="24"/>
                <w:szCs w:val="24"/>
              </w:rPr>
            </w:pPr>
            <w:r>
              <w:rPr>
                <w:sz w:val="24"/>
                <w:szCs w:val="24"/>
              </w:rPr>
              <w:t xml:space="preserve">逆变器输出交流电压为0.8kV,考虑到逆变器需要具有防PID衰减的功能， </w:t>
            </w:r>
            <w:r>
              <w:rPr>
                <w:spacing w:val="1"/>
                <w:sz w:val="24"/>
                <w:szCs w:val="24"/>
              </w:rPr>
              <w:t>因此采用3</w:t>
            </w:r>
            <w:r>
              <w:rPr>
                <w:sz w:val="24"/>
                <w:szCs w:val="24"/>
              </w:rPr>
              <w:t>kV</w:t>
            </w:r>
            <w:r>
              <w:rPr>
                <w:spacing w:val="1"/>
                <w:sz w:val="24"/>
                <w:szCs w:val="24"/>
              </w:rPr>
              <w:t>阻燃铠装交联聚乙烯绝缘护套电</w:t>
            </w:r>
            <w:r>
              <w:rPr>
                <w:sz w:val="24"/>
                <w:szCs w:val="24"/>
              </w:rPr>
              <w:t>力电缆连接至箱变低压侧，经计 算，采用ZC-YJLHV23-1.8/3kV-3×150/185/240/300电缆连接。</w:t>
            </w:r>
          </w:p>
          <w:p w14:paraId="2F3F9C00">
            <w:pPr>
              <w:pStyle w:val="6"/>
              <w:spacing w:line="350" w:lineRule="auto"/>
              <w:ind w:left="121" w:right="104" w:firstLine="479"/>
              <w:rPr>
                <w:sz w:val="24"/>
                <w:szCs w:val="24"/>
              </w:rPr>
            </w:pPr>
            <w:r>
              <w:rPr>
                <w:spacing w:val="39"/>
                <w:sz w:val="24"/>
                <w:szCs w:val="24"/>
              </w:rPr>
              <w:t>35</w:t>
            </w:r>
            <w:r>
              <w:rPr>
                <w:sz w:val="24"/>
                <w:szCs w:val="24"/>
              </w:rPr>
              <w:t>kV</w:t>
            </w:r>
            <w:r>
              <w:rPr>
                <w:spacing w:val="39"/>
                <w:sz w:val="24"/>
                <w:szCs w:val="24"/>
              </w:rPr>
              <w:t>集电线路箱变的接线情况采用</w:t>
            </w:r>
            <w:r>
              <w:rPr>
                <w:sz w:val="24"/>
                <w:szCs w:val="24"/>
              </w:rPr>
              <w:t>ZC</w:t>
            </w:r>
            <w:r>
              <w:rPr>
                <w:spacing w:val="39"/>
                <w:sz w:val="24"/>
                <w:szCs w:val="24"/>
              </w:rPr>
              <w:t>-</w:t>
            </w:r>
            <w:r>
              <w:rPr>
                <w:sz w:val="24"/>
                <w:szCs w:val="24"/>
              </w:rPr>
              <w:t>YJ</w:t>
            </w:r>
            <w:r>
              <w:rPr>
                <w:spacing w:val="-70"/>
                <w:sz w:val="24"/>
                <w:szCs w:val="24"/>
              </w:rPr>
              <w:t xml:space="preserve"> </w:t>
            </w:r>
            <w:r>
              <w:rPr>
                <w:sz w:val="24"/>
                <w:szCs w:val="24"/>
              </w:rPr>
              <w:t>LHV</w:t>
            </w:r>
            <w:r>
              <w:rPr>
                <w:spacing w:val="39"/>
                <w:sz w:val="24"/>
                <w:szCs w:val="24"/>
              </w:rPr>
              <w:t>23-</w:t>
            </w:r>
            <w:r>
              <w:rPr>
                <w:spacing w:val="-72"/>
                <w:sz w:val="24"/>
                <w:szCs w:val="24"/>
              </w:rPr>
              <w:t xml:space="preserve"> </w:t>
            </w:r>
            <w:r>
              <w:rPr>
                <w:spacing w:val="39"/>
                <w:sz w:val="24"/>
                <w:szCs w:val="24"/>
              </w:rPr>
              <w:t>26/35-</w:t>
            </w:r>
            <w:r>
              <w:rPr>
                <w:spacing w:val="-70"/>
                <w:sz w:val="24"/>
                <w:szCs w:val="24"/>
              </w:rPr>
              <w:t xml:space="preserve"> </w:t>
            </w:r>
            <w:r>
              <w:rPr>
                <w:spacing w:val="39"/>
                <w:sz w:val="24"/>
                <w:szCs w:val="24"/>
              </w:rPr>
              <w:t>3x95、</w:t>
            </w:r>
            <w:r>
              <w:rPr>
                <w:sz w:val="24"/>
                <w:szCs w:val="24"/>
              </w:rPr>
              <w:t xml:space="preserve"> </w:t>
            </w:r>
            <w:r>
              <w:rPr>
                <w:position w:val="1"/>
                <w:sz w:val="24"/>
                <w:szCs w:val="24"/>
              </w:rPr>
              <w:t xml:space="preserve">ZC-YJLHV23-26/35-3x120               </w:t>
            </w:r>
            <w:r>
              <w:rPr>
                <w:position w:val="-1"/>
                <w:sz w:val="24"/>
                <w:szCs w:val="24"/>
              </w:rPr>
              <w:t>ZC-YJLHV23-26/35-3x150</w:t>
            </w:r>
          </w:p>
          <w:p w14:paraId="5EFCFCB0">
            <w:pPr>
              <w:pStyle w:val="6"/>
              <w:spacing w:before="3" w:line="361" w:lineRule="auto"/>
              <w:ind w:left="100" w:right="42" w:firstLine="10"/>
              <w:jc w:val="both"/>
              <w:rPr>
                <w:sz w:val="24"/>
                <w:szCs w:val="24"/>
              </w:rPr>
            </w:pPr>
            <w:r>
              <w:rPr>
                <w:sz w:val="24"/>
                <w:szCs w:val="24"/>
              </w:rPr>
              <w:t>ZC</w:t>
            </w:r>
            <w:r>
              <w:rPr>
                <w:spacing w:val="3"/>
                <w:sz w:val="24"/>
                <w:szCs w:val="24"/>
              </w:rPr>
              <w:t>-</w:t>
            </w:r>
            <w:r>
              <w:rPr>
                <w:sz w:val="24"/>
                <w:szCs w:val="24"/>
              </w:rPr>
              <w:t>YJLHV</w:t>
            </w:r>
            <w:r>
              <w:rPr>
                <w:spacing w:val="3"/>
                <w:sz w:val="24"/>
                <w:szCs w:val="24"/>
              </w:rPr>
              <w:t>23-26/35-3x185、</w:t>
            </w:r>
            <w:r>
              <w:rPr>
                <w:sz w:val="24"/>
                <w:szCs w:val="24"/>
              </w:rPr>
              <w:t>ZC</w:t>
            </w:r>
            <w:r>
              <w:rPr>
                <w:spacing w:val="3"/>
                <w:sz w:val="24"/>
                <w:szCs w:val="24"/>
              </w:rPr>
              <w:t>-</w:t>
            </w:r>
            <w:r>
              <w:rPr>
                <w:sz w:val="24"/>
                <w:szCs w:val="24"/>
              </w:rPr>
              <w:t>YJLHV</w:t>
            </w:r>
            <w:r>
              <w:rPr>
                <w:spacing w:val="3"/>
                <w:sz w:val="24"/>
                <w:szCs w:val="24"/>
              </w:rPr>
              <w:t>23-26/35-3x240</w:t>
            </w:r>
            <w:r>
              <w:rPr>
                <w:sz w:val="24"/>
                <w:szCs w:val="24"/>
              </w:rPr>
              <w:t>mm</w:t>
            </w:r>
            <w:r>
              <w:rPr>
                <w:spacing w:val="3"/>
                <w:sz w:val="24"/>
                <w:szCs w:val="24"/>
              </w:rPr>
              <w:t>²铝芯电力电缆进行连</w:t>
            </w:r>
            <w:r>
              <w:rPr>
                <w:spacing w:val="5"/>
                <w:sz w:val="24"/>
                <w:szCs w:val="24"/>
              </w:rPr>
              <w:t xml:space="preserve"> </w:t>
            </w:r>
            <w:r>
              <w:rPr>
                <w:spacing w:val="24"/>
                <w:sz w:val="24"/>
                <w:szCs w:val="24"/>
              </w:rPr>
              <w:t>接，   进</w:t>
            </w:r>
            <w:r>
              <w:rPr>
                <w:spacing w:val="82"/>
                <w:sz w:val="24"/>
                <w:szCs w:val="24"/>
              </w:rPr>
              <w:t xml:space="preserve"> </w:t>
            </w:r>
            <w:r>
              <w:rPr>
                <w:spacing w:val="24"/>
                <w:sz w:val="24"/>
                <w:szCs w:val="24"/>
              </w:rPr>
              <w:t>站</w:t>
            </w:r>
            <w:r>
              <w:rPr>
                <w:spacing w:val="8"/>
                <w:sz w:val="24"/>
                <w:szCs w:val="24"/>
              </w:rPr>
              <w:t xml:space="preserve">   </w:t>
            </w:r>
            <w:r>
              <w:rPr>
                <w:spacing w:val="24"/>
                <w:sz w:val="24"/>
                <w:szCs w:val="24"/>
              </w:rPr>
              <w:t>电</w:t>
            </w:r>
            <w:r>
              <w:rPr>
                <w:spacing w:val="85"/>
                <w:sz w:val="24"/>
                <w:szCs w:val="24"/>
              </w:rPr>
              <w:t xml:space="preserve"> </w:t>
            </w:r>
            <w:r>
              <w:rPr>
                <w:spacing w:val="24"/>
                <w:sz w:val="24"/>
                <w:szCs w:val="24"/>
              </w:rPr>
              <w:t>缆</w:t>
            </w:r>
            <w:r>
              <w:rPr>
                <w:spacing w:val="80"/>
                <w:sz w:val="24"/>
                <w:szCs w:val="24"/>
              </w:rPr>
              <w:t xml:space="preserve"> </w:t>
            </w:r>
            <w:r>
              <w:rPr>
                <w:spacing w:val="24"/>
                <w:sz w:val="24"/>
                <w:szCs w:val="24"/>
              </w:rPr>
              <w:t>采</w:t>
            </w:r>
            <w:r>
              <w:rPr>
                <w:spacing w:val="84"/>
                <w:sz w:val="24"/>
                <w:szCs w:val="24"/>
              </w:rPr>
              <w:t xml:space="preserve"> </w:t>
            </w:r>
            <w:r>
              <w:rPr>
                <w:spacing w:val="24"/>
                <w:sz w:val="24"/>
                <w:szCs w:val="24"/>
              </w:rPr>
              <w:t>用</w:t>
            </w:r>
            <w:r>
              <w:rPr>
                <w:spacing w:val="58"/>
                <w:sz w:val="24"/>
                <w:szCs w:val="24"/>
              </w:rPr>
              <w:t xml:space="preserve">  </w:t>
            </w:r>
            <w:r>
              <w:rPr>
                <w:sz w:val="24"/>
                <w:szCs w:val="24"/>
              </w:rPr>
              <w:t>ZC</w:t>
            </w:r>
            <w:r>
              <w:rPr>
                <w:spacing w:val="24"/>
                <w:sz w:val="24"/>
                <w:szCs w:val="24"/>
              </w:rPr>
              <w:t>-</w:t>
            </w:r>
            <w:r>
              <w:rPr>
                <w:sz w:val="24"/>
                <w:szCs w:val="24"/>
              </w:rPr>
              <w:t>YJ</w:t>
            </w:r>
            <w:r>
              <w:rPr>
                <w:spacing w:val="-77"/>
                <w:sz w:val="24"/>
                <w:szCs w:val="24"/>
              </w:rPr>
              <w:t xml:space="preserve"> </w:t>
            </w:r>
            <w:r>
              <w:rPr>
                <w:sz w:val="24"/>
                <w:szCs w:val="24"/>
              </w:rPr>
              <w:t>LHV</w:t>
            </w:r>
            <w:r>
              <w:rPr>
                <w:spacing w:val="24"/>
                <w:sz w:val="24"/>
                <w:szCs w:val="24"/>
              </w:rPr>
              <w:t>23-</w:t>
            </w:r>
            <w:r>
              <w:rPr>
                <w:spacing w:val="-71"/>
                <w:sz w:val="24"/>
                <w:szCs w:val="24"/>
              </w:rPr>
              <w:t xml:space="preserve"> </w:t>
            </w:r>
            <w:r>
              <w:rPr>
                <w:spacing w:val="24"/>
                <w:sz w:val="24"/>
                <w:szCs w:val="24"/>
              </w:rPr>
              <w:t>26/35-</w:t>
            </w:r>
            <w:r>
              <w:rPr>
                <w:spacing w:val="-70"/>
                <w:sz w:val="24"/>
                <w:szCs w:val="24"/>
              </w:rPr>
              <w:t xml:space="preserve"> </w:t>
            </w:r>
            <w:r>
              <w:rPr>
                <w:spacing w:val="24"/>
                <w:sz w:val="24"/>
                <w:szCs w:val="24"/>
              </w:rPr>
              <w:t>3x</w:t>
            </w:r>
            <w:r>
              <w:rPr>
                <w:spacing w:val="23"/>
                <w:sz w:val="24"/>
                <w:szCs w:val="24"/>
              </w:rPr>
              <w:t>300</w:t>
            </w:r>
            <w:r>
              <w:rPr>
                <w:sz w:val="24"/>
                <w:szCs w:val="24"/>
              </w:rPr>
              <w:t>mm</w:t>
            </w:r>
            <w:r>
              <w:rPr>
                <w:spacing w:val="23"/>
                <w:sz w:val="24"/>
                <w:szCs w:val="24"/>
              </w:rPr>
              <w:t>2</w:t>
            </w:r>
            <w:r>
              <w:rPr>
                <w:sz w:val="24"/>
                <w:szCs w:val="24"/>
              </w:rPr>
              <w:t xml:space="preserve">   </w:t>
            </w:r>
            <w:r>
              <w:rPr>
                <w:spacing w:val="23"/>
                <w:sz w:val="24"/>
                <w:szCs w:val="24"/>
              </w:rPr>
              <w:t>或</w:t>
            </w:r>
            <w:r>
              <w:rPr>
                <w:sz w:val="24"/>
                <w:szCs w:val="24"/>
              </w:rPr>
              <w:t xml:space="preserve"> ZC</w:t>
            </w:r>
            <w:r>
              <w:rPr>
                <w:spacing w:val="5"/>
                <w:sz w:val="24"/>
                <w:szCs w:val="24"/>
              </w:rPr>
              <w:t>-</w:t>
            </w:r>
            <w:r>
              <w:rPr>
                <w:sz w:val="24"/>
                <w:szCs w:val="24"/>
              </w:rPr>
              <w:t>YJLHV</w:t>
            </w:r>
            <w:r>
              <w:rPr>
                <w:spacing w:val="5"/>
                <w:sz w:val="24"/>
                <w:szCs w:val="24"/>
              </w:rPr>
              <w:t>23-26/35-3x400</w:t>
            </w:r>
            <w:r>
              <w:rPr>
                <w:sz w:val="24"/>
                <w:szCs w:val="24"/>
              </w:rPr>
              <w:t>mm</w:t>
            </w:r>
            <w:r>
              <w:rPr>
                <w:spacing w:val="5"/>
                <w:sz w:val="24"/>
                <w:szCs w:val="24"/>
              </w:rPr>
              <w:t>²铝芯电力电缆。</w:t>
            </w:r>
          </w:p>
          <w:p w14:paraId="51C80A87">
            <w:pPr>
              <w:pStyle w:val="6"/>
              <w:spacing w:before="4" w:line="358" w:lineRule="auto"/>
              <w:ind w:left="131" w:firstLine="458"/>
              <w:jc w:val="both"/>
              <w:rPr>
                <w:sz w:val="24"/>
                <w:szCs w:val="24"/>
              </w:rPr>
            </w:pPr>
            <w:r>
              <w:rPr>
                <w:sz w:val="24"/>
                <w:szCs w:val="24"/>
              </w:rPr>
              <w:t>光伏场区均采用阻燃交联聚乙烯绝缘护套电力电</w:t>
            </w:r>
            <w:r>
              <w:rPr>
                <w:spacing w:val="-1"/>
                <w:sz w:val="24"/>
                <w:szCs w:val="24"/>
              </w:rPr>
              <w:t>缆，35kV集电线路采用架</w:t>
            </w:r>
            <w:r>
              <w:rPr>
                <w:sz w:val="24"/>
                <w:szCs w:val="24"/>
              </w:rPr>
              <w:t xml:space="preserve">  </w:t>
            </w:r>
            <w:r>
              <w:rPr>
                <w:spacing w:val="-1"/>
                <w:sz w:val="24"/>
                <w:szCs w:val="24"/>
              </w:rPr>
              <w:t>空+电缆方式，电缆除过道路部分采用埋管敷设外，其余采用直埋或槽盒敷设。</w:t>
            </w:r>
            <w:r>
              <w:rPr>
                <w:spacing w:val="7"/>
                <w:sz w:val="24"/>
                <w:szCs w:val="24"/>
              </w:rPr>
              <w:t xml:space="preserve"> </w:t>
            </w:r>
            <w:r>
              <w:rPr>
                <w:sz w:val="24"/>
                <w:szCs w:val="24"/>
              </w:rPr>
              <w:t>本工程共采用3回集电线路的方式连接到升压</w:t>
            </w:r>
            <w:r>
              <w:rPr>
                <w:spacing w:val="-1"/>
                <w:sz w:val="24"/>
                <w:szCs w:val="24"/>
              </w:rPr>
              <w:t>站附近进入升压站35kV开关柜。</w:t>
            </w:r>
          </w:p>
          <w:p w14:paraId="53A9FFDE">
            <w:pPr>
              <w:pStyle w:val="6"/>
              <w:spacing w:line="360" w:lineRule="auto"/>
              <w:ind w:left="121" w:right="79" w:firstLine="469"/>
              <w:jc w:val="both"/>
              <w:rPr>
                <w:sz w:val="24"/>
                <w:szCs w:val="24"/>
              </w:rPr>
            </w:pPr>
            <w:r>
              <w:rPr>
                <w:sz w:val="24"/>
                <w:szCs w:val="24"/>
              </w:rPr>
              <w:t>光伏方阵组串的直流输出电缆铺设方式分为两种，东西方向的电缆沿光伏</w:t>
            </w:r>
            <w:r>
              <w:rPr>
                <w:spacing w:val="11"/>
                <w:sz w:val="24"/>
                <w:szCs w:val="24"/>
              </w:rPr>
              <w:t xml:space="preserve"> </w:t>
            </w:r>
            <w:r>
              <w:rPr>
                <w:spacing w:val="1"/>
                <w:sz w:val="24"/>
                <w:szCs w:val="24"/>
              </w:rPr>
              <w:t>组件安装支架直接进入组串式逆变器，南北</w:t>
            </w:r>
            <w:r>
              <w:rPr>
                <w:sz w:val="24"/>
                <w:szCs w:val="24"/>
              </w:rPr>
              <w:t xml:space="preserve">向电缆采用电缆槽盒方式敷设进入 </w:t>
            </w:r>
            <w:r>
              <w:rPr>
                <w:spacing w:val="1"/>
                <w:sz w:val="24"/>
                <w:szCs w:val="24"/>
              </w:rPr>
              <w:t>组串式逆变器。组串式逆变器交流输出电缆采用电缆</w:t>
            </w:r>
            <w:r>
              <w:rPr>
                <w:sz w:val="24"/>
                <w:szCs w:val="24"/>
              </w:rPr>
              <w:t>槽盒或直埋的方式接至箱 变低压母线侧，箱变输出电缆沿电缆壕沟或电缆槽盒</w:t>
            </w:r>
            <w:r>
              <w:rPr>
                <w:spacing w:val="-1"/>
                <w:sz w:val="24"/>
                <w:szCs w:val="24"/>
              </w:rPr>
              <w:t>接至集电线路。电缆槽盒</w:t>
            </w:r>
            <w:r>
              <w:rPr>
                <w:sz w:val="24"/>
                <w:szCs w:val="24"/>
              </w:rPr>
              <w:t xml:space="preserve"> 可就近利用光伏方阵组串的支架、地面基础作为支</w:t>
            </w:r>
            <w:r>
              <w:rPr>
                <w:spacing w:val="-1"/>
                <w:sz w:val="24"/>
                <w:szCs w:val="24"/>
              </w:rPr>
              <w:t>撑。</w:t>
            </w:r>
          </w:p>
          <w:p w14:paraId="312F007D">
            <w:pPr>
              <w:pStyle w:val="6"/>
              <w:spacing w:before="1" w:line="218" w:lineRule="auto"/>
              <w:ind w:left="590"/>
              <w:rPr>
                <w:sz w:val="24"/>
                <w:szCs w:val="24"/>
              </w:rPr>
            </w:pPr>
            <w:r>
              <w:rPr>
                <w:sz w:val="24"/>
                <w:szCs w:val="24"/>
              </w:rPr>
              <w:t>控制室、保护室内设防静电地板，防静电地板设电</w:t>
            </w:r>
            <w:r>
              <w:rPr>
                <w:spacing w:val="-1"/>
                <w:sz w:val="24"/>
                <w:szCs w:val="24"/>
              </w:rPr>
              <w:t>缆支架。此外，电缆通</w:t>
            </w:r>
          </w:p>
        </w:tc>
      </w:tr>
    </w:tbl>
    <w:p w14:paraId="1C1E96BE">
      <w:pPr>
        <w:pStyle w:val="2"/>
      </w:pPr>
    </w:p>
    <w:p w14:paraId="58D630A3">
      <w:pPr>
        <w:sectPr>
          <w:footerReference r:id="rId63" w:type="default"/>
          <w:pgSz w:w="11910" w:h="16830"/>
          <w:pgMar w:top="400" w:right="1415" w:bottom="1243" w:left="1385" w:header="0" w:footer="1083" w:gutter="0"/>
          <w:cols w:space="720" w:num="1"/>
        </w:sectPr>
      </w:pPr>
    </w:p>
    <w:p w14:paraId="3AFB2273">
      <w:pPr>
        <w:spacing w:before="18"/>
      </w:pPr>
      <w:r>
        <w:pict>
          <v:shape id="_x0000_s1056" o:spid="_x0000_s1056" o:spt="202" type="#_x0000_t202" style="position:absolute;left:0pt;margin-left:507.95pt;margin-top:127.6pt;height:7.55pt;width:9.9pt;mso-position-horizontal-relative:page;mso-position-vertical-relative:page;z-index:251679744;mso-width-relative:page;mso-height-relative:page;" filled="f" stroked="f" coordsize="21600,21600" o:allowincell="f">
            <v:path/>
            <v:fill on="f" focussize="0,0"/>
            <v:stroke on="f"/>
            <v:imagedata o:title=""/>
            <o:lock v:ext="edit" aspectratio="f"/>
            <v:textbox inset="0mm,0mm,0mm,0mm">
              <w:txbxContent>
                <w:p w14:paraId="69DE9EB1">
                  <w:pPr>
                    <w:spacing w:before="20" w:line="110" w:lineRule="exact"/>
                    <w:jc w:val="right"/>
                    <w:rPr>
                      <w:rFonts w:ascii="宋体" w:hAnsi="宋体" w:eastAsia="宋体" w:cs="宋体"/>
                      <w:sz w:val="22"/>
                      <w:szCs w:val="22"/>
                    </w:rPr>
                  </w:pPr>
                  <w:r>
                    <w:rPr>
                      <w:rFonts w:ascii="宋体" w:hAnsi="宋体" w:eastAsia="宋体" w:cs="宋体"/>
                      <w:spacing w:val="-59"/>
                      <w:w w:val="98"/>
                      <w:position w:val="1"/>
                      <w:sz w:val="22"/>
                      <w:szCs w:val="22"/>
                    </w:rPr>
                    <w:t>。</w:t>
                  </w:r>
                </w:p>
              </w:txbxContent>
            </v:textbox>
          </v:shape>
        </w:pict>
      </w:r>
      <w:r>
        <w:pict>
          <v:shape id="_x0000_s1057" o:spid="_x0000_s1057" o:spt="202" type="#_x0000_t202" style="position:absolute;left:0pt;margin-left:508.95pt;margin-top:169.35pt;height:36.25pt;width:13.1pt;mso-position-horizontal-relative:page;mso-position-vertical-relative:page;z-index:251678720;mso-width-relative:page;mso-height-relative:page;" filled="f" stroked="f" coordsize="21600,21600" o:allowincell="f">
            <v:path/>
            <v:fill on="f" focussize="0,0"/>
            <v:stroke on="f"/>
            <v:imagedata o:title=""/>
            <o:lock v:ext="edit" aspectratio="f"/>
            <v:textbox inset="0mm,0mm,0mm,0mm">
              <w:txbxContent>
                <w:p w14:paraId="59D3987B">
                  <w:pPr>
                    <w:spacing w:before="19" w:line="182" w:lineRule="auto"/>
                    <w:ind w:left="20"/>
                    <w:rPr>
                      <w:rFonts w:ascii="宋体" w:hAnsi="宋体" w:eastAsia="宋体" w:cs="宋体"/>
                      <w:sz w:val="22"/>
                      <w:szCs w:val="22"/>
                    </w:rPr>
                  </w:pPr>
                  <w:r>
                    <w:rPr>
                      <w:rFonts w:ascii="宋体" w:hAnsi="宋体" w:eastAsia="宋体" w:cs="宋体"/>
                      <w:sz w:val="22"/>
                      <w:szCs w:val="22"/>
                    </w:rPr>
                    <w:t>W</w:t>
                  </w:r>
                </w:p>
                <w:p w14:paraId="75569869">
                  <w:pPr>
                    <w:spacing w:before="201" w:line="224" w:lineRule="auto"/>
                    <w:ind w:left="30"/>
                    <w:rPr>
                      <w:rFonts w:ascii="宋体" w:hAnsi="宋体" w:eastAsia="宋体" w:cs="宋体"/>
                      <w:sz w:val="22"/>
                      <w:szCs w:val="22"/>
                    </w:rPr>
                  </w:pPr>
                  <w:r>
                    <w:rPr>
                      <w:rFonts w:ascii="宋体" w:hAnsi="宋体" w:eastAsia="宋体" w:cs="宋体"/>
                      <w:sz w:val="22"/>
                      <w:szCs w:val="22"/>
                    </w:rPr>
                    <w:t>器</w:t>
                  </w:r>
                </w:p>
              </w:txbxContent>
            </v:textbox>
          </v:shape>
        </w:pict>
      </w:r>
    </w:p>
    <w:p w14:paraId="2E1BCE57">
      <w:pPr>
        <w:spacing w:before="17"/>
      </w:pPr>
    </w:p>
    <w:p w14:paraId="01D9AF8F">
      <w:pPr>
        <w:spacing w:before="17"/>
      </w:pPr>
    </w:p>
    <w:p w14:paraId="5D147EE9">
      <w:pPr>
        <w:spacing w:before="17"/>
      </w:pPr>
    </w:p>
    <w:tbl>
      <w:tblPr>
        <w:tblStyle w:val="5"/>
        <w:tblW w:w="87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609"/>
        <w:gridCol w:w="1538"/>
        <w:gridCol w:w="1768"/>
        <w:gridCol w:w="1768"/>
        <w:gridCol w:w="2322"/>
      </w:tblGrid>
      <w:tr w14:paraId="27267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2" w:hRule="atLeast"/>
        </w:trPr>
        <w:tc>
          <w:tcPr>
            <w:tcW w:w="764" w:type="dxa"/>
            <w:vMerge w:val="restart"/>
            <w:tcBorders>
              <w:bottom w:val="nil"/>
            </w:tcBorders>
            <w:vAlign w:val="top"/>
          </w:tcPr>
          <w:p w14:paraId="5D83C50C">
            <w:pPr>
              <w:rPr>
                <w:rFonts w:ascii="Arial"/>
                <w:sz w:val="21"/>
              </w:rPr>
            </w:pPr>
          </w:p>
        </w:tc>
        <w:tc>
          <w:tcPr>
            <w:tcW w:w="8005" w:type="dxa"/>
            <w:gridSpan w:val="5"/>
            <w:vAlign w:val="top"/>
          </w:tcPr>
          <w:p w14:paraId="5857CDDA">
            <w:pPr>
              <w:pStyle w:val="6"/>
              <w:spacing w:before="14" w:line="374" w:lineRule="auto"/>
              <w:ind w:left="10" w:right="84" w:firstLine="70"/>
              <w:jc w:val="both"/>
              <w:rPr>
                <w:sz w:val="23"/>
                <w:szCs w:val="23"/>
              </w:rPr>
            </w:pPr>
            <w:r>
              <w:rPr>
                <w:sz w:val="23"/>
                <w:szCs w:val="23"/>
              </w:rPr>
              <w:t>道可根据光伏方阵的布置位置和间隔距离等，灵活敷设</w:t>
            </w:r>
            <w:r>
              <w:rPr>
                <w:spacing w:val="-1"/>
                <w:sz w:val="23"/>
                <w:szCs w:val="23"/>
              </w:rPr>
              <w:t>，也可设置小型电缆槽</w:t>
            </w:r>
            <w:r>
              <w:rPr>
                <w:sz w:val="23"/>
                <w:szCs w:val="23"/>
              </w:rPr>
              <w:t xml:space="preserve"> </w:t>
            </w:r>
            <w:r>
              <w:rPr>
                <w:spacing w:val="2"/>
                <w:sz w:val="23"/>
                <w:szCs w:val="23"/>
              </w:rPr>
              <w:t>盒、电缆桥架支路或主电缆桥架等。电缆槽盒和电缆桥架可就近利用光伏方阵</w:t>
            </w:r>
            <w:r>
              <w:rPr>
                <w:spacing w:val="10"/>
                <w:sz w:val="23"/>
                <w:szCs w:val="23"/>
              </w:rPr>
              <w:t xml:space="preserve"> </w:t>
            </w:r>
            <w:r>
              <w:rPr>
                <w:sz w:val="23"/>
                <w:szCs w:val="23"/>
              </w:rPr>
              <w:t>组串的支架、地面基础作为支撑，需过道路的电缆可埋管敷设或架空桥架敷设</w:t>
            </w:r>
          </w:p>
          <w:p w14:paraId="178AD580">
            <w:pPr>
              <w:pStyle w:val="6"/>
              <w:spacing w:line="220" w:lineRule="auto"/>
              <w:ind w:left="34"/>
              <w:rPr>
                <w:sz w:val="23"/>
                <w:szCs w:val="23"/>
              </w:rPr>
            </w:pPr>
            <w:r>
              <w:rPr>
                <w:b/>
                <w:bCs/>
                <w:spacing w:val="-10"/>
                <w:sz w:val="23"/>
                <w:szCs w:val="23"/>
              </w:rPr>
              <w:t>8</w:t>
            </w:r>
            <w:r>
              <w:rPr>
                <w:spacing w:val="-52"/>
                <w:sz w:val="23"/>
                <w:szCs w:val="23"/>
              </w:rPr>
              <w:t xml:space="preserve"> </w:t>
            </w:r>
            <w:r>
              <w:rPr>
                <w:b/>
                <w:bCs/>
                <w:spacing w:val="-10"/>
                <w:sz w:val="23"/>
                <w:szCs w:val="23"/>
              </w:rPr>
              <w:t>逆</w:t>
            </w:r>
            <w:r>
              <w:rPr>
                <w:spacing w:val="-51"/>
                <w:sz w:val="23"/>
                <w:szCs w:val="23"/>
              </w:rPr>
              <w:t xml:space="preserve"> </w:t>
            </w:r>
            <w:r>
              <w:rPr>
                <w:b/>
                <w:bCs/>
                <w:spacing w:val="-10"/>
                <w:sz w:val="23"/>
                <w:szCs w:val="23"/>
              </w:rPr>
              <w:t>变</w:t>
            </w:r>
            <w:r>
              <w:rPr>
                <w:spacing w:val="-50"/>
                <w:sz w:val="23"/>
                <w:szCs w:val="23"/>
              </w:rPr>
              <w:t xml:space="preserve"> </w:t>
            </w:r>
            <w:r>
              <w:rPr>
                <w:b/>
                <w:bCs/>
                <w:spacing w:val="-10"/>
                <w:sz w:val="23"/>
                <w:szCs w:val="23"/>
              </w:rPr>
              <w:t>方</w:t>
            </w:r>
            <w:r>
              <w:rPr>
                <w:spacing w:val="-50"/>
                <w:sz w:val="23"/>
                <w:szCs w:val="23"/>
              </w:rPr>
              <w:t xml:space="preserve"> </w:t>
            </w:r>
            <w:r>
              <w:rPr>
                <w:b/>
                <w:bCs/>
                <w:spacing w:val="-10"/>
                <w:sz w:val="23"/>
                <w:szCs w:val="23"/>
              </w:rPr>
              <w:t>案</w:t>
            </w:r>
          </w:p>
          <w:p w14:paraId="5DE7EB11">
            <w:pPr>
              <w:pStyle w:val="6"/>
              <w:spacing w:before="194" w:line="383" w:lineRule="auto"/>
              <w:ind w:left="111" w:right="576" w:firstLine="419"/>
              <w:rPr>
                <w:sz w:val="23"/>
                <w:szCs w:val="23"/>
              </w:rPr>
            </w:pPr>
            <w:r>
              <w:rPr>
                <w:sz w:val="23"/>
                <w:szCs w:val="23"/>
              </w:rPr>
              <w:t>该光伏项目选择组串式逆变器。根据地形情况，</w:t>
            </w:r>
            <w:r>
              <w:rPr>
                <w:spacing w:val="-1"/>
                <w:sz w:val="23"/>
                <w:szCs w:val="23"/>
              </w:rPr>
              <w:t>选用使用300kW,250k</w:t>
            </w:r>
            <w:r>
              <w:rPr>
                <w:sz w:val="23"/>
                <w:szCs w:val="23"/>
              </w:rPr>
              <w:t xml:space="preserve"> 和196kW组串式逆变器。300kW组串式逆变器130台</w:t>
            </w:r>
            <w:r>
              <w:rPr>
                <w:spacing w:val="-1"/>
                <w:sz w:val="23"/>
                <w:szCs w:val="23"/>
              </w:rPr>
              <w:t>，250kW组串式逆变</w:t>
            </w:r>
          </w:p>
          <w:p w14:paraId="26087308">
            <w:pPr>
              <w:pStyle w:val="6"/>
              <w:spacing w:line="220" w:lineRule="auto"/>
              <w:ind w:left="61"/>
              <w:rPr>
                <w:sz w:val="23"/>
                <w:szCs w:val="23"/>
              </w:rPr>
            </w:pPr>
            <w:r>
              <w:rPr>
                <w:spacing w:val="-1"/>
                <w:sz w:val="23"/>
                <w:szCs w:val="23"/>
              </w:rPr>
              <w:t>30台，196kW组串式逆变器19台。</w:t>
            </w:r>
          </w:p>
          <w:p w14:paraId="1362B58E">
            <w:pPr>
              <w:pStyle w:val="6"/>
              <w:spacing w:before="171" w:line="210" w:lineRule="auto"/>
              <w:ind w:left="3174"/>
              <w:rPr>
                <w:sz w:val="23"/>
                <w:szCs w:val="23"/>
              </w:rPr>
            </w:pPr>
            <w:r>
              <w:rPr>
                <w:b/>
                <w:bCs/>
                <w:spacing w:val="-3"/>
                <w:sz w:val="23"/>
                <w:szCs w:val="23"/>
              </w:rPr>
              <w:t>表2-2组串式逆变器主要参数</w:t>
            </w:r>
          </w:p>
        </w:tc>
      </w:tr>
      <w:tr w14:paraId="7C884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64" w:type="dxa"/>
            <w:vMerge w:val="continue"/>
            <w:tcBorders>
              <w:top w:val="nil"/>
              <w:bottom w:val="nil"/>
            </w:tcBorders>
            <w:vAlign w:val="top"/>
          </w:tcPr>
          <w:p w14:paraId="22CD34F8">
            <w:pPr>
              <w:rPr>
                <w:rFonts w:ascii="Arial"/>
                <w:sz w:val="21"/>
              </w:rPr>
            </w:pPr>
          </w:p>
        </w:tc>
        <w:tc>
          <w:tcPr>
            <w:tcW w:w="2147" w:type="dxa"/>
            <w:gridSpan w:val="2"/>
            <w:vAlign w:val="top"/>
          </w:tcPr>
          <w:p w14:paraId="635FEA47">
            <w:pPr>
              <w:pStyle w:val="6"/>
              <w:spacing w:before="73" w:line="220" w:lineRule="auto"/>
              <w:ind w:left="740"/>
              <w:rPr>
                <w:sz w:val="23"/>
                <w:szCs w:val="23"/>
              </w:rPr>
            </w:pPr>
            <w:r>
              <w:rPr>
                <w:spacing w:val="-7"/>
                <w:sz w:val="23"/>
                <w:szCs w:val="23"/>
              </w:rPr>
              <w:t>项</w:t>
            </w:r>
            <w:r>
              <w:rPr>
                <w:spacing w:val="104"/>
                <w:sz w:val="23"/>
                <w:szCs w:val="23"/>
              </w:rPr>
              <w:t xml:space="preserve"> </w:t>
            </w:r>
            <w:r>
              <w:rPr>
                <w:spacing w:val="-7"/>
                <w:sz w:val="23"/>
                <w:szCs w:val="23"/>
              </w:rPr>
              <w:t>目</w:t>
            </w:r>
          </w:p>
        </w:tc>
        <w:tc>
          <w:tcPr>
            <w:tcW w:w="1768" w:type="dxa"/>
            <w:vAlign w:val="top"/>
          </w:tcPr>
          <w:p w14:paraId="4D1B156C">
            <w:pPr>
              <w:pStyle w:val="6"/>
              <w:spacing w:before="73" w:line="221" w:lineRule="auto"/>
              <w:ind w:left="243"/>
              <w:rPr>
                <w:sz w:val="23"/>
                <w:szCs w:val="23"/>
              </w:rPr>
            </w:pPr>
            <w:r>
              <w:rPr>
                <w:spacing w:val="-2"/>
                <w:sz w:val="23"/>
                <w:szCs w:val="23"/>
              </w:rPr>
              <w:t>300kW逆变器</w:t>
            </w:r>
          </w:p>
        </w:tc>
        <w:tc>
          <w:tcPr>
            <w:tcW w:w="1768" w:type="dxa"/>
            <w:vAlign w:val="top"/>
          </w:tcPr>
          <w:p w14:paraId="18AF4E52">
            <w:pPr>
              <w:pStyle w:val="6"/>
              <w:spacing w:before="73" w:line="221" w:lineRule="auto"/>
              <w:ind w:left="246"/>
              <w:rPr>
                <w:sz w:val="23"/>
                <w:szCs w:val="23"/>
              </w:rPr>
            </w:pPr>
            <w:r>
              <w:rPr>
                <w:spacing w:val="-2"/>
                <w:sz w:val="23"/>
                <w:szCs w:val="23"/>
              </w:rPr>
              <w:t>250kW逆变器</w:t>
            </w:r>
          </w:p>
        </w:tc>
        <w:tc>
          <w:tcPr>
            <w:tcW w:w="2322" w:type="dxa"/>
            <w:vAlign w:val="top"/>
          </w:tcPr>
          <w:p w14:paraId="1E26FA1A">
            <w:pPr>
              <w:pStyle w:val="6"/>
              <w:spacing w:before="73" w:line="221" w:lineRule="auto"/>
              <w:ind w:left="517"/>
              <w:rPr>
                <w:sz w:val="23"/>
                <w:szCs w:val="23"/>
              </w:rPr>
            </w:pPr>
            <w:r>
              <w:rPr>
                <w:spacing w:val="2"/>
                <w:sz w:val="23"/>
                <w:szCs w:val="23"/>
              </w:rPr>
              <w:t>196</w:t>
            </w:r>
            <w:r>
              <w:rPr>
                <w:sz w:val="23"/>
                <w:szCs w:val="23"/>
              </w:rPr>
              <w:t>kW</w:t>
            </w:r>
            <w:r>
              <w:rPr>
                <w:spacing w:val="2"/>
                <w:sz w:val="23"/>
                <w:szCs w:val="23"/>
              </w:rPr>
              <w:t>逆变器</w:t>
            </w:r>
          </w:p>
        </w:tc>
      </w:tr>
      <w:tr w14:paraId="72868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64" w:type="dxa"/>
            <w:vMerge w:val="continue"/>
            <w:tcBorders>
              <w:top w:val="nil"/>
              <w:bottom w:val="nil"/>
            </w:tcBorders>
            <w:vAlign w:val="top"/>
          </w:tcPr>
          <w:p w14:paraId="28AB3F86">
            <w:pPr>
              <w:rPr>
                <w:rFonts w:ascii="Arial"/>
                <w:sz w:val="21"/>
              </w:rPr>
            </w:pPr>
          </w:p>
        </w:tc>
        <w:tc>
          <w:tcPr>
            <w:tcW w:w="609" w:type="dxa"/>
            <w:vMerge w:val="restart"/>
            <w:tcBorders>
              <w:bottom w:val="nil"/>
            </w:tcBorders>
            <w:vAlign w:val="top"/>
          </w:tcPr>
          <w:p w14:paraId="2D98017D">
            <w:pPr>
              <w:spacing w:line="271" w:lineRule="auto"/>
              <w:rPr>
                <w:rFonts w:ascii="Arial"/>
                <w:sz w:val="21"/>
              </w:rPr>
            </w:pPr>
          </w:p>
          <w:p w14:paraId="3D7D7ABB">
            <w:pPr>
              <w:spacing w:line="272" w:lineRule="auto"/>
              <w:rPr>
                <w:rFonts w:ascii="Arial"/>
                <w:sz w:val="21"/>
              </w:rPr>
            </w:pPr>
          </w:p>
          <w:p w14:paraId="46EE00D4">
            <w:pPr>
              <w:spacing w:line="272" w:lineRule="auto"/>
              <w:rPr>
                <w:rFonts w:ascii="Arial"/>
                <w:sz w:val="21"/>
              </w:rPr>
            </w:pPr>
          </w:p>
          <w:p w14:paraId="08E92ACE">
            <w:pPr>
              <w:spacing w:line="272" w:lineRule="auto"/>
              <w:rPr>
                <w:rFonts w:ascii="Arial"/>
                <w:sz w:val="21"/>
              </w:rPr>
            </w:pPr>
          </w:p>
          <w:p w14:paraId="31F8DEF9">
            <w:pPr>
              <w:spacing w:line="272" w:lineRule="auto"/>
              <w:rPr>
                <w:rFonts w:ascii="Arial"/>
                <w:sz w:val="21"/>
              </w:rPr>
            </w:pPr>
          </w:p>
          <w:p w14:paraId="15622129">
            <w:pPr>
              <w:pStyle w:val="6"/>
              <w:spacing w:before="74" w:line="210" w:lineRule="auto"/>
              <w:ind w:left="81" w:right="48" w:hanging="20"/>
              <w:rPr>
                <w:sz w:val="23"/>
                <w:szCs w:val="23"/>
              </w:rPr>
            </w:pPr>
            <w:r>
              <w:rPr>
                <w:spacing w:val="-5"/>
                <w:sz w:val="23"/>
                <w:szCs w:val="23"/>
              </w:rPr>
              <w:t>输入</w:t>
            </w:r>
            <w:r>
              <w:rPr>
                <w:sz w:val="23"/>
                <w:szCs w:val="23"/>
              </w:rPr>
              <w:t xml:space="preserve"> </w:t>
            </w:r>
            <w:r>
              <w:rPr>
                <w:spacing w:val="4"/>
                <w:sz w:val="23"/>
                <w:szCs w:val="23"/>
              </w:rPr>
              <w:t>参数</w:t>
            </w:r>
          </w:p>
        </w:tc>
        <w:tc>
          <w:tcPr>
            <w:tcW w:w="1538" w:type="dxa"/>
            <w:vAlign w:val="top"/>
          </w:tcPr>
          <w:p w14:paraId="62E0A69D">
            <w:pPr>
              <w:pStyle w:val="6"/>
              <w:spacing w:before="32" w:line="219" w:lineRule="auto"/>
              <w:ind w:left="71"/>
              <w:rPr>
                <w:sz w:val="23"/>
                <w:szCs w:val="23"/>
              </w:rPr>
            </w:pPr>
            <w:r>
              <w:rPr>
                <w:spacing w:val="1"/>
                <w:sz w:val="23"/>
                <w:szCs w:val="23"/>
              </w:rPr>
              <w:t>最大输入电压</w:t>
            </w:r>
          </w:p>
          <w:p w14:paraId="3AB0196C">
            <w:pPr>
              <w:pStyle w:val="6"/>
              <w:spacing w:line="179" w:lineRule="auto"/>
              <w:ind w:left="471"/>
              <w:rPr>
                <w:sz w:val="23"/>
                <w:szCs w:val="23"/>
              </w:rPr>
            </w:pPr>
            <w:r>
              <w:rPr>
                <w:spacing w:val="-10"/>
                <w:sz w:val="23"/>
                <w:szCs w:val="23"/>
              </w:rPr>
              <w:t>(Vdc)</w:t>
            </w:r>
          </w:p>
        </w:tc>
        <w:tc>
          <w:tcPr>
            <w:tcW w:w="1768" w:type="dxa"/>
            <w:vAlign w:val="top"/>
          </w:tcPr>
          <w:p w14:paraId="5D15CE3E">
            <w:pPr>
              <w:pStyle w:val="6"/>
              <w:spacing w:before="184"/>
              <w:ind w:left="644"/>
              <w:rPr>
                <w:sz w:val="23"/>
                <w:szCs w:val="23"/>
              </w:rPr>
            </w:pPr>
            <w:r>
              <w:rPr>
                <w:spacing w:val="-5"/>
                <w:sz w:val="23"/>
                <w:szCs w:val="23"/>
              </w:rPr>
              <w:t>1500</w:t>
            </w:r>
          </w:p>
        </w:tc>
        <w:tc>
          <w:tcPr>
            <w:tcW w:w="1768" w:type="dxa"/>
            <w:vAlign w:val="top"/>
          </w:tcPr>
          <w:p w14:paraId="2AEE6171">
            <w:pPr>
              <w:pStyle w:val="6"/>
              <w:spacing w:before="184"/>
              <w:ind w:left="645"/>
              <w:rPr>
                <w:sz w:val="23"/>
                <w:szCs w:val="23"/>
              </w:rPr>
            </w:pPr>
            <w:r>
              <w:rPr>
                <w:spacing w:val="-5"/>
                <w:sz w:val="23"/>
                <w:szCs w:val="23"/>
              </w:rPr>
              <w:t>1500</w:t>
            </w:r>
          </w:p>
        </w:tc>
        <w:tc>
          <w:tcPr>
            <w:tcW w:w="2322" w:type="dxa"/>
            <w:vAlign w:val="top"/>
          </w:tcPr>
          <w:p w14:paraId="24418596">
            <w:pPr>
              <w:pStyle w:val="6"/>
              <w:spacing w:before="184"/>
              <w:ind w:left="928"/>
              <w:rPr>
                <w:sz w:val="23"/>
                <w:szCs w:val="23"/>
              </w:rPr>
            </w:pPr>
            <w:r>
              <w:rPr>
                <w:spacing w:val="-5"/>
                <w:sz w:val="23"/>
                <w:szCs w:val="23"/>
              </w:rPr>
              <w:t>1500</w:t>
            </w:r>
          </w:p>
        </w:tc>
      </w:tr>
      <w:tr w14:paraId="06D14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764" w:type="dxa"/>
            <w:vMerge w:val="continue"/>
            <w:tcBorders>
              <w:top w:val="nil"/>
              <w:bottom w:val="nil"/>
            </w:tcBorders>
            <w:vAlign w:val="top"/>
          </w:tcPr>
          <w:p w14:paraId="4857C02E">
            <w:pPr>
              <w:rPr>
                <w:rFonts w:ascii="Arial"/>
                <w:sz w:val="21"/>
              </w:rPr>
            </w:pPr>
          </w:p>
        </w:tc>
        <w:tc>
          <w:tcPr>
            <w:tcW w:w="609" w:type="dxa"/>
            <w:vMerge w:val="continue"/>
            <w:tcBorders>
              <w:top w:val="nil"/>
              <w:bottom w:val="nil"/>
            </w:tcBorders>
            <w:vAlign w:val="top"/>
          </w:tcPr>
          <w:p w14:paraId="4D4A0F97">
            <w:pPr>
              <w:rPr>
                <w:rFonts w:ascii="Arial"/>
                <w:sz w:val="21"/>
              </w:rPr>
            </w:pPr>
          </w:p>
        </w:tc>
        <w:tc>
          <w:tcPr>
            <w:tcW w:w="1538" w:type="dxa"/>
            <w:vAlign w:val="top"/>
          </w:tcPr>
          <w:p w14:paraId="24474EB4">
            <w:pPr>
              <w:pStyle w:val="6"/>
              <w:spacing w:before="83" w:line="219" w:lineRule="auto"/>
              <w:jc w:val="right"/>
              <w:rPr>
                <w:sz w:val="23"/>
                <w:szCs w:val="23"/>
              </w:rPr>
            </w:pPr>
            <w:r>
              <w:rPr>
                <w:spacing w:val="-15"/>
                <w:sz w:val="23"/>
                <w:szCs w:val="23"/>
              </w:rPr>
              <w:t>直流输入</w:t>
            </w:r>
            <w:r>
              <w:rPr>
                <w:spacing w:val="-14"/>
                <w:sz w:val="23"/>
                <w:szCs w:val="23"/>
              </w:rPr>
              <w:t>支路</w:t>
            </w:r>
            <w:r>
              <w:rPr>
                <w:spacing w:val="-10"/>
                <w:sz w:val="23"/>
                <w:szCs w:val="23"/>
              </w:rPr>
              <w:t>数</w:t>
            </w:r>
          </w:p>
        </w:tc>
        <w:tc>
          <w:tcPr>
            <w:tcW w:w="1768" w:type="dxa"/>
            <w:vAlign w:val="top"/>
          </w:tcPr>
          <w:p w14:paraId="5185995B">
            <w:pPr>
              <w:pStyle w:val="6"/>
              <w:spacing w:before="107" w:line="211" w:lineRule="auto"/>
              <w:ind w:left="763"/>
              <w:rPr>
                <w:sz w:val="23"/>
                <w:szCs w:val="23"/>
              </w:rPr>
            </w:pPr>
            <w:r>
              <w:rPr>
                <w:spacing w:val="-3"/>
                <w:sz w:val="23"/>
                <w:szCs w:val="23"/>
              </w:rPr>
              <w:t>28</w:t>
            </w:r>
          </w:p>
        </w:tc>
        <w:tc>
          <w:tcPr>
            <w:tcW w:w="1768" w:type="dxa"/>
            <w:vAlign w:val="top"/>
          </w:tcPr>
          <w:p w14:paraId="37EB70ED">
            <w:pPr>
              <w:pStyle w:val="6"/>
              <w:spacing w:before="107" w:line="211" w:lineRule="auto"/>
              <w:ind w:left="766"/>
              <w:rPr>
                <w:sz w:val="23"/>
                <w:szCs w:val="23"/>
              </w:rPr>
            </w:pPr>
            <w:r>
              <w:rPr>
                <w:spacing w:val="-3"/>
                <w:sz w:val="23"/>
                <w:szCs w:val="23"/>
              </w:rPr>
              <w:t>28</w:t>
            </w:r>
          </w:p>
        </w:tc>
        <w:tc>
          <w:tcPr>
            <w:tcW w:w="2322" w:type="dxa"/>
            <w:vAlign w:val="top"/>
          </w:tcPr>
          <w:p w14:paraId="020E4DD4">
            <w:pPr>
              <w:pStyle w:val="6"/>
              <w:spacing w:before="107" w:line="211" w:lineRule="auto"/>
              <w:ind w:left="1037"/>
              <w:rPr>
                <w:sz w:val="23"/>
                <w:szCs w:val="23"/>
              </w:rPr>
            </w:pPr>
            <w:r>
              <w:rPr>
                <w:spacing w:val="-7"/>
                <w:sz w:val="23"/>
                <w:szCs w:val="23"/>
              </w:rPr>
              <w:t>18</w:t>
            </w:r>
          </w:p>
        </w:tc>
      </w:tr>
      <w:tr w14:paraId="2693B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64" w:type="dxa"/>
            <w:vMerge w:val="continue"/>
            <w:tcBorders>
              <w:top w:val="nil"/>
              <w:bottom w:val="nil"/>
            </w:tcBorders>
            <w:vAlign w:val="top"/>
          </w:tcPr>
          <w:p w14:paraId="0CA26AA5">
            <w:pPr>
              <w:rPr>
                <w:rFonts w:ascii="Arial"/>
                <w:sz w:val="21"/>
              </w:rPr>
            </w:pPr>
          </w:p>
        </w:tc>
        <w:tc>
          <w:tcPr>
            <w:tcW w:w="609" w:type="dxa"/>
            <w:vMerge w:val="continue"/>
            <w:tcBorders>
              <w:top w:val="nil"/>
              <w:bottom w:val="nil"/>
            </w:tcBorders>
            <w:vAlign w:val="top"/>
          </w:tcPr>
          <w:p w14:paraId="719DED5F">
            <w:pPr>
              <w:rPr>
                <w:rFonts w:ascii="Arial"/>
                <w:sz w:val="21"/>
              </w:rPr>
            </w:pPr>
          </w:p>
        </w:tc>
        <w:tc>
          <w:tcPr>
            <w:tcW w:w="1538" w:type="dxa"/>
            <w:vAlign w:val="top"/>
          </w:tcPr>
          <w:p w14:paraId="0706BED4">
            <w:pPr>
              <w:pStyle w:val="6"/>
              <w:spacing w:before="143" w:line="219" w:lineRule="auto"/>
              <w:ind w:left="302"/>
              <w:rPr>
                <w:sz w:val="23"/>
                <w:szCs w:val="23"/>
              </w:rPr>
            </w:pPr>
            <w:r>
              <w:rPr>
                <w:spacing w:val="-1"/>
                <w:sz w:val="23"/>
                <w:szCs w:val="23"/>
              </w:rPr>
              <w:t>MPPT路数</w:t>
            </w:r>
          </w:p>
        </w:tc>
        <w:tc>
          <w:tcPr>
            <w:tcW w:w="1768" w:type="dxa"/>
            <w:vAlign w:val="top"/>
          </w:tcPr>
          <w:p w14:paraId="21AD11CA">
            <w:pPr>
              <w:pStyle w:val="6"/>
              <w:spacing w:before="165"/>
              <w:ind w:left="813"/>
              <w:rPr>
                <w:sz w:val="23"/>
                <w:szCs w:val="23"/>
              </w:rPr>
            </w:pPr>
            <w:r>
              <w:rPr>
                <w:sz w:val="23"/>
                <w:szCs w:val="23"/>
              </w:rPr>
              <w:t>6</w:t>
            </w:r>
          </w:p>
        </w:tc>
        <w:tc>
          <w:tcPr>
            <w:tcW w:w="1768" w:type="dxa"/>
            <w:vAlign w:val="top"/>
          </w:tcPr>
          <w:p w14:paraId="7669D145">
            <w:pPr>
              <w:pStyle w:val="6"/>
              <w:spacing w:before="165"/>
              <w:ind w:left="816"/>
              <w:rPr>
                <w:sz w:val="23"/>
                <w:szCs w:val="23"/>
              </w:rPr>
            </w:pPr>
            <w:r>
              <w:rPr>
                <w:sz w:val="23"/>
                <w:szCs w:val="23"/>
              </w:rPr>
              <w:t>6</w:t>
            </w:r>
          </w:p>
        </w:tc>
        <w:tc>
          <w:tcPr>
            <w:tcW w:w="2322" w:type="dxa"/>
            <w:vAlign w:val="top"/>
          </w:tcPr>
          <w:p w14:paraId="2B6A3855">
            <w:pPr>
              <w:pStyle w:val="6"/>
              <w:spacing w:before="165"/>
              <w:ind w:left="1097"/>
              <w:rPr>
                <w:sz w:val="23"/>
                <w:szCs w:val="23"/>
              </w:rPr>
            </w:pPr>
            <w:r>
              <w:rPr>
                <w:sz w:val="23"/>
                <w:szCs w:val="23"/>
              </w:rPr>
              <w:t>9</w:t>
            </w:r>
          </w:p>
        </w:tc>
      </w:tr>
      <w:tr w14:paraId="4AB82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64" w:type="dxa"/>
            <w:vMerge w:val="continue"/>
            <w:tcBorders>
              <w:top w:val="nil"/>
              <w:bottom w:val="nil"/>
            </w:tcBorders>
            <w:vAlign w:val="top"/>
          </w:tcPr>
          <w:p w14:paraId="23439366">
            <w:pPr>
              <w:rPr>
                <w:rFonts w:ascii="Arial"/>
                <w:sz w:val="21"/>
              </w:rPr>
            </w:pPr>
          </w:p>
        </w:tc>
        <w:tc>
          <w:tcPr>
            <w:tcW w:w="609" w:type="dxa"/>
            <w:vMerge w:val="continue"/>
            <w:tcBorders>
              <w:top w:val="nil"/>
              <w:bottom w:val="nil"/>
            </w:tcBorders>
            <w:vAlign w:val="top"/>
          </w:tcPr>
          <w:p w14:paraId="240FBC24">
            <w:pPr>
              <w:rPr>
                <w:rFonts w:ascii="Arial"/>
                <w:sz w:val="21"/>
              </w:rPr>
            </w:pPr>
          </w:p>
        </w:tc>
        <w:tc>
          <w:tcPr>
            <w:tcW w:w="1538" w:type="dxa"/>
            <w:vAlign w:val="top"/>
          </w:tcPr>
          <w:p w14:paraId="5965BC49">
            <w:pPr>
              <w:pStyle w:val="6"/>
              <w:spacing w:before="53" w:line="219" w:lineRule="auto"/>
              <w:ind w:left="71"/>
              <w:rPr>
                <w:sz w:val="23"/>
                <w:szCs w:val="23"/>
              </w:rPr>
            </w:pPr>
            <w:r>
              <w:rPr>
                <w:spacing w:val="3"/>
                <w:sz w:val="23"/>
                <w:szCs w:val="23"/>
              </w:rPr>
              <w:t>允许电压范围</w:t>
            </w:r>
          </w:p>
          <w:p w14:paraId="500F5D10">
            <w:pPr>
              <w:pStyle w:val="6"/>
              <w:spacing w:before="10" w:line="178" w:lineRule="auto"/>
              <w:ind w:left="471"/>
              <w:rPr>
                <w:sz w:val="23"/>
                <w:szCs w:val="23"/>
              </w:rPr>
            </w:pPr>
            <w:r>
              <w:rPr>
                <w:spacing w:val="-8"/>
                <w:sz w:val="23"/>
                <w:szCs w:val="23"/>
              </w:rPr>
              <w:t>(Vac)</w:t>
            </w:r>
          </w:p>
        </w:tc>
        <w:tc>
          <w:tcPr>
            <w:tcW w:w="1768" w:type="dxa"/>
            <w:vAlign w:val="top"/>
          </w:tcPr>
          <w:p w14:paraId="4176EA42">
            <w:pPr>
              <w:pStyle w:val="6"/>
              <w:spacing w:before="217"/>
              <w:ind w:left="493"/>
              <w:rPr>
                <w:sz w:val="17"/>
                <w:szCs w:val="17"/>
              </w:rPr>
            </w:pPr>
            <w:r>
              <w:rPr>
                <w:spacing w:val="-2"/>
                <w:sz w:val="17"/>
                <w:szCs w:val="17"/>
              </w:rPr>
              <w:t>500～1500</w:t>
            </w:r>
          </w:p>
        </w:tc>
        <w:tc>
          <w:tcPr>
            <w:tcW w:w="1768" w:type="dxa"/>
            <w:vAlign w:val="top"/>
          </w:tcPr>
          <w:p w14:paraId="77BA98C0">
            <w:pPr>
              <w:pStyle w:val="6"/>
              <w:spacing w:before="195"/>
              <w:ind w:left="355"/>
              <w:rPr>
                <w:sz w:val="23"/>
                <w:szCs w:val="23"/>
              </w:rPr>
            </w:pPr>
            <w:r>
              <w:rPr>
                <w:spacing w:val="-2"/>
                <w:sz w:val="23"/>
                <w:szCs w:val="23"/>
              </w:rPr>
              <w:t>500～1500</w:t>
            </w:r>
          </w:p>
        </w:tc>
        <w:tc>
          <w:tcPr>
            <w:tcW w:w="2322" w:type="dxa"/>
            <w:vAlign w:val="top"/>
          </w:tcPr>
          <w:p w14:paraId="5B361B58">
            <w:pPr>
              <w:pStyle w:val="6"/>
              <w:spacing w:before="217"/>
              <w:ind w:left="767"/>
              <w:rPr>
                <w:sz w:val="17"/>
                <w:szCs w:val="17"/>
              </w:rPr>
            </w:pPr>
            <w:r>
              <w:rPr>
                <w:spacing w:val="-2"/>
                <w:sz w:val="17"/>
                <w:szCs w:val="17"/>
              </w:rPr>
              <w:t>500～1500</w:t>
            </w:r>
          </w:p>
        </w:tc>
      </w:tr>
      <w:tr w14:paraId="4C724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64" w:type="dxa"/>
            <w:vMerge w:val="continue"/>
            <w:tcBorders>
              <w:top w:val="nil"/>
              <w:bottom w:val="nil"/>
            </w:tcBorders>
            <w:vAlign w:val="top"/>
          </w:tcPr>
          <w:p w14:paraId="7C40109B">
            <w:pPr>
              <w:rPr>
                <w:rFonts w:ascii="Arial"/>
                <w:sz w:val="21"/>
              </w:rPr>
            </w:pPr>
          </w:p>
        </w:tc>
        <w:tc>
          <w:tcPr>
            <w:tcW w:w="609" w:type="dxa"/>
            <w:vMerge w:val="continue"/>
            <w:tcBorders>
              <w:top w:val="nil"/>
            </w:tcBorders>
            <w:vAlign w:val="top"/>
          </w:tcPr>
          <w:p w14:paraId="4D811A5C">
            <w:pPr>
              <w:rPr>
                <w:rFonts w:ascii="Arial"/>
                <w:sz w:val="21"/>
              </w:rPr>
            </w:pPr>
          </w:p>
        </w:tc>
        <w:tc>
          <w:tcPr>
            <w:tcW w:w="1538" w:type="dxa"/>
            <w:vAlign w:val="top"/>
          </w:tcPr>
          <w:p w14:paraId="0751FC60">
            <w:pPr>
              <w:pStyle w:val="6"/>
              <w:spacing w:before="73" w:line="215" w:lineRule="auto"/>
              <w:ind w:left="12" w:firstLine="58"/>
              <w:rPr>
                <w:sz w:val="23"/>
                <w:szCs w:val="23"/>
              </w:rPr>
            </w:pPr>
            <w:r>
              <w:rPr>
                <w:spacing w:val="-4"/>
                <w:sz w:val="23"/>
                <w:szCs w:val="23"/>
              </w:rPr>
              <w:t>每路MPPT最大</w:t>
            </w:r>
            <w:r>
              <w:rPr>
                <w:sz w:val="23"/>
                <w:szCs w:val="23"/>
              </w:rPr>
              <w:t xml:space="preserve">  </w:t>
            </w:r>
            <w:r>
              <w:rPr>
                <w:spacing w:val="3"/>
                <w:sz w:val="23"/>
                <w:szCs w:val="23"/>
              </w:rPr>
              <w:t>输入电流(</w:t>
            </w:r>
            <w:r>
              <w:rPr>
                <w:sz w:val="23"/>
                <w:szCs w:val="23"/>
              </w:rPr>
              <w:t>Adc</w:t>
            </w:r>
            <w:r>
              <w:rPr>
                <w:spacing w:val="3"/>
                <w:sz w:val="23"/>
                <w:szCs w:val="23"/>
              </w:rPr>
              <w:t>)</w:t>
            </w:r>
          </w:p>
        </w:tc>
        <w:tc>
          <w:tcPr>
            <w:tcW w:w="1768" w:type="dxa"/>
            <w:vAlign w:val="top"/>
          </w:tcPr>
          <w:p w14:paraId="73E8EEC1">
            <w:pPr>
              <w:pStyle w:val="6"/>
              <w:spacing w:before="226"/>
              <w:ind w:left="763"/>
              <w:rPr>
                <w:sz w:val="23"/>
                <w:szCs w:val="23"/>
              </w:rPr>
            </w:pPr>
            <w:r>
              <w:rPr>
                <w:spacing w:val="-3"/>
                <w:sz w:val="23"/>
                <w:szCs w:val="23"/>
              </w:rPr>
              <w:t>65</w:t>
            </w:r>
          </w:p>
        </w:tc>
        <w:tc>
          <w:tcPr>
            <w:tcW w:w="1768" w:type="dxa"/>
            <w:vAlign w:val="top"/>
          </w:tcPr>
          <w:p w14:paraId="0991DBDE">
            <w:pPr>
              <w:pStyle w:val="6"/>
              <w:spacing w:before="226"/>
              <w:ind w:left="766"/>
              <w:rPr>
                <w:sz w:val="23"/>
                <w:szCs w:val="23"/>
              </w:rPr>
            </w:pPr>
            <w:r>
              <w:rPr>
                <w:spacing w:val="-3"/>
                <w:sz w:val="23"/>
                <w:szCs w:val="23"/>
              </w:rPr>
              <w:t>65</w:t>
            </w:r>
          </w:p>
        </w:tc>
        <w:tc>
          <w:tcPr>
            <w:tcW w:w="2322" w:type="dxa"/>
            <w:vAlign w:val="top"/>
          </w:tcPr>
          <w:p w14:paraId="0A2CD697">
            <w:pPr>
              <w:pStyle w:val="6"/>
              <w:spacing w:before="226"/>
              <w:ind w:left="1037"/>
              <w:rPr>
                <w:sz w:val="23"/>
                <w:szCs w:val="23"/>
              </w:rPr>
            </w:pPr>
            <w:r>
              <w:rPr>
                <w:spacing w:val="-4"/>
                <w:sz w:val="23"/>
                <w:szCs w:val="23"/>
              </w:rPr>
              <w:t>30</w:t>
            </w:r>
          </w:p>
        </w:tc>
      </w:tr>
      <w:tr w14:paraId="7EC56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764" w:type="dxa"/>
            <w:vMerge w:val="continue"/>
            <w:tcBorders>
              <w:top w:val="nil"/>
              <w:bottom w:val="nil"/>
            </w:tcBorders>
            <w:vAlign w:val="top"/>
          </w:tcPr>
          <w:p w14:paraId="3D891DCC">
            <w:pPr>
              <w:rPr>
                <w:rFonts w:ascii="Arial"/>
                <w:sz w:val="21"/>
              </w:rPr>
            </w:pPr>
          </w:p>
        </w:tc>
        <w:tc>
          <w:tcPr>
            <w:tcW w:w="609" w:type="dxa"/>
            <w:vMerge w:val="restart"/>
            <w:tcBorders>
              <w:bottom w:val="nil"/>
            </w:tcBorders>
            <w:vAlign w:val="top"/>
          </w:tcPr>
          <w:p w14:paraId="202E523F">
            <w:pPr>
              <w:spacing w:line="248" w:lineRule="auto"/>
              <w:rPr>
                <w:rFonts w:ascii="Arial"/>
                <w:sz w:val="21"/>
              </w:rPr>
            </w:pPr>
          </w:p>
          <w:p w14:paraId="0FEA7749">
            <w:pPr>
              <w:spacing w:line="248" w:lineRule="auto"/>
              <w:rPr>
                <w:rFonts w:ascii="Arial"/>
                <w:sz w:val="21"/>
              </w:rPr>
            </w:pPr>
          </w:p>
          <w:p w14:paraId="6A559A6B">
            <w:pPr>
              <w:spacing w:line="248" w:lineRule="auto"/>
              <w:rPr>
                <w:rFonts w:ascii="Arial"/>
                <w:sz w:val="21"/>
              </w:rPr>
            </w:pPr>
          </w:p>
          <w:p w14:paraId="7BF7FA11">
            <w:pPr>
              <w:spacing w:line="248" w:lineRule="auto"/>
              <w:rPr>
                <w:rFonts w:ascii="Arial"/>
                <w:sz w:val="21"/>
              </w:rPr>
            </w:pPr>
          </w:p>
          <w:p w14:paraId="28925EFE">
            <w:pPr>
              <w:spacing w:line="248" w:lineRule="auto"/>
              <w:rPr>
                <w:rFonts w:ascii="Arial"/>
                <w:sz w:val="21"/>
              </w:rPr>
            </w:pPr>
          </w:p>
          <w:p w14:paraId="319B46F0">
            <w:pPr>
              <w:spacing w:line="249" w:lineRule="auto"/>
              <w:rPr>
                <w:rFonts w:ascii="Arial"/>
                <w:sz w:val="21"/>
              </w:rPr>
            </w:pPr>
          </w:p>
          <w:p w14:paraId="149A9E62">
            <w:pPr>
              <w:spacing w:line="249" w:lineRule="auto"/>
              <w:rPr>
                <w:rFonts w:ascii="Arial"/>
                <w:sz w:val="21"/>
              </w:rPr>
            </w:pPr>
          </w:p>
          <w:p w14:paraId="43A213F3">
            <w:pPr>
              <w:spacing w:line="249" w:lineRule="auto"/>
              <w:rPr>
                <w:rFonts w:ascii="Arial"/>
                <w:sz w:val="21"/>
              </w:rPr>
            </w:pPr>
          </w:p>
          <w:p w14:paraId="01485A5A">
            <w:pPr>
              <w:pStyle w:val="6"/>
              <w:spacing w:before="75" w:line="209" w:lineRule="auto"/>
              <w:ind w:left="61"/>
              <w:rPr>
                <w:sz w:val="23"/>
                <w:szCs w:val="23"/>
              </w:rPr>
            </w:pPr>
            <w:r>
              <w:rPr>
                <w:spacing w:val="13"/>
                <w:sz w:val="23"/>
                <w:szCs w:val="23"/>
              </w:rPr>
              <w:t>输出</w:t>
            </w:r>
          </w:p>
          <w:p w14:paraId="5B09CD40">
            <w:pPr>
              <w:pStyle w:val="6"/>
              <w:spacing w:line="219" w:lineRule="auto"/>
              <w:ind w:left="61"/>
              <w:rPr>
                <w:sz w:val="23"/>
                <w:szCs w:val="23"/>
              </w:rPr>
            </w:pPr>
            <w:r>
              <w:rPr>
                <w:spacing w:val="4"/>
                <w:sz w:val="23"/>
                <w:szCs w:val="23"/>
              </w:rPr>
              <w:t>参数</w:t>
            </w:r>
          </w:p>
        </w:tc>
        <w:tc>
          <w:tcPr>
            <w:tcW w:w="1538" w:type="dxa"/>
            <w:vAlign w:val="top"/>
          </w:tcPr>
          <w:p w14:paraId="02FF24B8">
            <w:pPr>
              <w:pStyle w:val="6"/>
              <w:spacing w:before="15" w:line="219" w:lineRule="auto"/>
              <w:jc w:val="right"/>
              <w:rPr>
                <w:sz w:val="23"/>
                <w:szCs w:val="23"/>
              </w:rPr>
            </w:pPr>
            <w:r>
              <w:rPr>
                <w:spacing w:val="-14"/>
                <w:sz w:val="23"/>
                <w:szCs w:val="23"/>
              </w:rPr>
              <w:t>额定交流输出功</w:t>
            </w:r>
          </w:p>
          <w:p w14:paraId="332A4216">
            <w:pPr>
              <w:pStyle w:val="6"/>
              <w:spacing w:before="27" w:line="180" w:lineRule="auto"/>
              <w:ind w:left="411"/>
              <w:rPr>
                <w:sz w:val="23"/>
                <w:szCs w:val="23"/>
              </w:rPr>
            </w:pPr>
            <w:r>
              <w:rPr>
                <w:spacing w:val="16"/>
                <w:sz w:val="23"/>
                <w:szCs w:val="23"/>
              </w:rPr>
              <w:t>率(</w:t>
            </w:r>
            <w:r>
              <w:rPr>
                <w:sz w:val="23"/>
                <w:szCs w:val="23"/>
              </w:rPr>
              <w:t>kW</w:t>
            </w:r>
            <w:r>
              <w:rPr>
                <w:spacing w:val="16"/>
                <w:sz w:val="23"/>
                <w:szCs w:val="23"/>
              </w:rPr>
              <w:t>)</w:t>
            </w:r>
          </w:p>
        </w:tc>
        <w:tc>
          <w:tcPr>
            <w:tcW w:w="1768" w:type="dxa"/>
            <w:vAlign w:val="top"/>
          </w:tcPr>
          <w:p w14:paraId="56E9C8BD">
            <w:pPr>
              <w:pStyle w:val="6"/>
              <w:spacing w:before="187"/>
              <w:ind w:left="703"/>
              <w:rPr>
                <w:sz w:val="23"/>
                <w:szCs w:val="23"/>
              </w:rPr>
            </w:pPr>
            <w:r>
              <w:rPr>
                <w:spacing w:val="-4"/>
                <w:sz w:val="23"/>
                <w:szCs w:val="23"/>
              </w:rPr>
              <w:t>300</w:t>
            </w:r>
          </w:p>
        </w:tc>
        <w:tc>
          <w:tcPr>
            <w:tcW w:w="1768" w:type="dxa"/>
            <w:vAlign w:val="top"/>
          </w:tcPr>
          <w:p w14:paraId="16E12059">
            <w:pPr>
              <w:pStyle w:val="6"/>
              <w:spacing w:before="187"/>
              <w:ind w:left="705"/>
              <w:rPr>
                <w:sz w:val="23"/>
                <w:szCs w:val="23"/>
              </w:rPr>
            </w:pPr>
            <w:r>
              <w:rPr>
                <w:spacing w:val="-3"/>
                <w:sz w:val="23"/>
                <w:szCs w:val="23"/>
              </w:rPr>
              <w:t>250</w:t>
            </w:r>
          </w:p>
        </w:tc>
        <w:tc>
          <w:tcPr>
            <w:tcW w:w="2322" w:type="dxa"/>
            <w:vAlign w:val="top"/>
          </w:tcPr>
          <w:p w14:paraId="2F308EA1">
            <w:pPr>
              <w:pStyle w:val="6"/>
              <w:spacing w:before="187"/>
              <w:ind w:left="977"/>
              <w:rPr>
                <w:sz w:val="23"/>
                <w:szCs w:val="23"/>
              </w:rPr>
            </w:pPr>
            <w:r>
              <w:rPr>
                <w:spacing w:val="-6"/>
                <w:sz w:val="23"/>
                <w:szCs w:val="23"/>
              </w:rPr>
              <w:t>196</w:t>
            </w:r>
          </w:p>
        </w:tc>
      </w:tr>
      <w:tr w14:paraId="5B702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64" w:type="dxa"/>
            <w:vMerge w:val="continue"/>
            <w:tcBorders>
              <w:top w:val="nil"/>
              <w:bottom w:val="nil"/>
            </w:tcBorders>
            <w:vAlign w:val="top"/>
          </w:tcPr>
          <w:p w14:paraId="3BF9B678">
            <w:pPr>
              <w:rPr>
                <w:rFonts w:ascii="Arial"/>
                <w:sz w:val="21"/>
              </w:rPr>
            </w:pPr>
          </w:p>
        </w:tc>
        <w:tc>
          <w:tcPr>
            <w:tcW w:w="609" w:type="dxa"/>
            <w:vMerge w:val="continue"/>
            <w:tcBorders>
              <w:top w:val="nil"/>
              <w:bottom w:val="nil"/>
            </w:tcBorders>
            <w:vAlign w:val="top"/>
          </w:tcPr>
          <w:p w14:paraId="1D2AD6EE">
            <w:pPr>
              <w:rPr>
                <w:rFonts w:ascii="Arial"/>
                <w:sz w:val="21"/>
              </w:rPr>
            </w:pPr>
          </w:p>
        </w:tc>
        <w:tc>
          <w:tcPr>
            <w:tcW w:w="1538" w:type="dxa"/>
            <w:vAlign w:val="top"/>
          </w:tcPr>
          <w:p w14:paraId="0B5D70E7">
            <w:pPr>
              <w:pStyle w:val="6"/>
              <w:spacing w:before="35" w:line="219" w:lineRule="auto"/>
              <w:ind w:left="71"/>
              <w:rPr>
                <w:sz w:val="23"/>
                <w:szCs w:val="23"/>
              </w:rPr>
            </w:pPr>
            <w:r>
              <w:rPr>
                <w:spacing w:val="1"/>
                <w:sz w:val="23"/>
                <w:szCs w:val="23"/>
              </w:rPr>
              <w:t>最大输出功率</w:t>
            </w:r>
          </w:p>
          <w:p w14:paraId="213A7346">
            <w:pPr>
              <w:pStyle w:val="6"/>
              <w:spacing w:before="1" w:line="176" w:lineRule="auto"/>
              <w:ind w:left="471"/>
              <w:rPr>
                <w:sz w:val="23"/>
                <w:szCs w:val="23"/>
              </w:rPr>
            </w:pPr>
            <w:r>
              <w:rPr>
                <w:spacing w:val="-10"/>
                <w:sz w:val="23"/>
                <w:szCs w:val="23"/>
              </w:rPr>
              <w:t>(kVA)</w:t>
            </w:r>
          </w:p>
        </w:tc>
        <w:tc>
          <w:tcPr>
            <w:tcW w:w="1768" w:type="dxa"/>
            <w:vAlign w:val="top"/>
          </w:tcPr>
          <w:p w14:paraId="7057F2E8">
            <w:pPr>
              <w:pStyle w:val="6"/>
              <w:spacing w:before="187"/>
              <w:ind w:left="703"/>
              <w:rPr>
                <w:sz w:val="23"/>
                <w:szCs w:val="23"/>
              </w:rPr>
            </w:pPr>
            <w:r>
              <w:rPr>
                <w:spacing w:val="-4"/>
                <w:sz w:val="23"/>
                <w:szCs w:val="23"/>
              </w:rPr>
              <w:t>330</w:t>
            </w:r>
          </w:p>
        </w:tc>
        <w:tc>
          <w:tcPr>
            <w:tcW w:w="1768" w:type="dxa"/>
            <w:vAlign w:val="top"/>
          </w:tcPr>
          <w:p w14:paraId="666FCB32">
            <w:pPr>
              <w:pStyle w:val="6"/>
              <w:spacing w:before="187"/>
              <w:ind w:left="705"/>
              <w:rPr>
                <w:sz w:val="23"/>
                <w:szCs w:val="23"/>
              </w:rPr>
            </w:pPr>
            <w:r>
              <w:rPr>
                <w:spacing w:val="-3"/>
                <w:sz w:val="23"/>
                <w:szCs w:val="23"/>
              </w:rPr>
              <w:t>275</w:t>
            </w:r>
          </w:p>
        </w:tc>
        <w:tc>
          <w:tcPr>
            <w:tcW w:w="2322" w:type="dxa"/>
            <w:vAlign w:val="top"/>
          </w:tcPr>
          <w:p w14:paraId="62962602">
            <w:pPr>
              <w:pStyle w:val="6"/>
              <w:spacing w:before="187"/>
              <w:ind w:left="977"/>
              <w:rPr>
                <w:sz w:val="23"/>
                <w:szCs w:val="23"/>
              </w:rPr>
            </w:pPr>
            <w:r>
              <w:rPr>
                <w:spacing w:val="-3"/>
                <w:sz w:val="23"/>
                <w:szCs w:val="23"/>
              </w:rPr>
              <w:t>216</w:t>
            </w:r>
          </w:p>
        </w:tc>
      </w:tr>
      <w:tr w14:paraId="3A006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64" w:type="dxa"/>
            <w:vMerge w:val="continue"/>
            <w:tcBorders>
              <w:top w:val="nil"/>
              <w:bottom w:val="nil"/>
            </w:tcBorders>
            <w:vAlign w:val="top"/>
          </w:tcPr>
          <w:p w14:paraId="01FAAACE">
            <w:pPr>
              <w:rPr>
                <w:rFonts w:ascii="Arial"/>
                <w:sz w:val="21"/>
              </w:rPr>
            </w:pPr>
          </w:p>
        </w:tc>
        <w:tc>
          <w:tcPr>
            <w:tcW w:w="609" w:type="dxa"/>
            <w:vMerge w:val="continue"/>
            <w:tcBorders>
              <w:top w:val="nil"/>
              <w:bottom w:val="nil"/>
            </w:tcBorders>
            <w:vAlign w:val="top"/>
          </w:tcPr>
          <w:p w14:paraId="4AFB5452">
            <w:pPr>
              <w:rPr>
                <w:rFonts w:ascii="Arial"/>
                <w:sz w:val="21"/>
              </w:rPr>
            </w:pPr>
          </w:p>
        </w:tc>
        <w:tc>
          <w:tcPr>
            <w:tcW w:w="1538" w:type="dxa"/>
            <w:vAlign w:val="top"/>
          </w:tcPr>
          <w:p w14:paraId="63890AD5">
            <w:pPr>
              <w:pStyle w:val="6"/>
              <w:spacing w:before="36" w:line="219" w:lineRule="auto"/>
              <w:ind w:left="71"/>
              <w:rPr>
                <w:sz w:val="23"/>
                <w:szCs w:val="23"/>
              </w:rPr>
            </w:pPr>
            <w:r>
              <w:rPr>
                <w:spacing w:val="1"/>
                <w:sz w:val="23"/>
                <w:szCs w:val="23"/>
              </w:rPr>
              <w:t>最大输出电流</w:t>
            </w:r>
          </w:p>
          <w:p w14:paraId="26030A9F">
            <w:pPr>
              <w:pStyle w:val="6"/>
              <w:spacing w:line="177" w:lineRule="auto"/>
              <w:ind w:left="471"/>
              <w:rPr>
                <w:sz w:val="23"/>
                <w:szCs w:val="23"/>
              </w:rPr>
            </w:pPr>
            <w:r>
              <w:rPr>
                <w:spacing w:val="-8"/>
                <w:sz w:val="23"/>
                <w:szCs w:val="23"/>
              </w:rPr>
              <w:t>(Aac)</w:t>
            </w:r>
          </w:p>
        </w:tc>
        <w:tc>
          <w:tcPr>
            <w:tcW w:w="1768" w:type="dxa"/>
            <w:vAlign w:val="top"/>
          </w:tcPr>
          <w:p w14:paraId="03E0416A">
            <w:pPr>
              <w:pStyle w:val="6"/>
              <w:spacing w:before="189" w:line="239" w:lineRule="auto"/>
              <w:ind w:left="583"/>
              <w:rPr>
                <w:sz w:val="23"/>
                <w:szCs w:val="23"/>
              </w:rPr>
            </w:pPr>
            <w:r>
              <w:rPr>
                <w:spacing w:val="-2"/>
                <w:sz w:val="23"/>
                <w:szCs w:val="23"/>
              </w:rPr>
              <w:t>238.2</w:t>
            </w:r>
          </w:p>
        </w:tc>
        <w:tc>
          <w:tcPr>
            <w:tcW w:w="1768" w:type="dxa"/>
            <w:vAlign w:val="top"/>
          </w:tcPr>
          <w:p w14:paraId="6DAD1A91">
            <w:pPr>
              <w:pStyle w:val="6"/>
              <w:spacing w:before="189" w:line="239" w:lineRule="auto"/>
              <w:ind w:left="585"/>
              <w:rPr>
                <w:sz w:val="23"/>
                <w:szCs w:val="23"/>
              </w:rPr>
            </w:pPr>
            <w:r>
              <w:rPr>
                <w:spacing w:val="-5"/>
                <w:sz w:val="23"/>
                <w:szCs w:val="23"/>
              </w:rPr>
              <w:t>198.5</w:t>
            </w:r>
          </w:p>
        </w:tc>
        <w:tc>
          <w:tcPr>
            <w:tcW w:w="2322" w:type="dxa"/>
            <w:vAlign w:val="top"/>
          </w:tcPr>
          <w:p w14:paraId="6DA73C54">
            <w:pPr>
              <w:pStyle w:val="6"/>
              <w:spacing w:before="189" w:line="239" w:lineRule="auto"/>
              <w:ind w:left="868"/>
              <w:rPr>
                <w:sz w:val="23"/>
                <w:szCs w:val="23"/>
              </w:rPr>
            </w:pPr>
            <w:r>
              <w:rPr>
                <w:spacing w:val="-5"/>
                <w:sz w:val="23"/>
                <w:szCs w:val="23"/>
              </w:rPr>
              <w:t>155.9</w:t>
            </w:r>
          </w:p>
        </w:tc>
      </w:tr>
      <w:tr w14:paraId="283EC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64" w:type="dxa"/>
            <w:vMerge w:val="continue"/>
            <w:tcBorders>
              <w:top w:val="nil"/>
              <w:bottom w:val="nil"/>
            </w:tcBorders>
            <w:vAlign w:val="top"/>
          </w:tcPr>
          <w:p w14:paraId="13B5FBE5">
            <w:pPr>
              <w:rPr>
                <w:rFonts w:ascii="Arial"/>
                <w:sz w:val="21"/>
              </w:rPr>
            </w:pPr>
          </w:p>
        </w:tc>
        <w:tc>
          <w:tcPr>
            <w:tcW w:w="609" w:type="dxa"/>
            <w:vMerge w:val="continue"/>
            <w:tcBorders>
              <w:top w:val="nil"/>
              <w:bottom w:val="nil"/>
            </w:tcBorders>
            <w:vAlign w:val="top"/>
          </w:tcPr>
          <w:p w14:paraId="7D09413A">
            <w:pPr>
              <w:rPr>
                <w:rFonts w:ascii="Arial"/>
                <w:sz w:val="21"/>
              </w:rPr>
            </w:pPr>
          </w:p>
        </w:tc>
        <w:tc>
          <w:tcPr>
            <w:tcW w:w="1538" w:type="dxa"/>
            <w:vAlign w:val="top"/>
          </w:tcPr>
          <w:p w14:paraId="699F44B6">
            <w:pPr>
              <w:pStyle w:val="6"/>
              <w:spacing w:before="45" w:line="212" w:lineRule="auto"/>
              <w:ind w:left="71"/>
              <w:rPr>
                <w:sz w:val="23"/>
                <w:szCs w:val="23"/>
              </w:rPr>
            </w:pPr>
            <w:r>
              <w:rPr>
                <w:spacing w:val="-2"/>
                <w:sz w:val="23"/>
                <w:szCs w:val="23"/>
              </w:rPr>
              <w:t>额定电网频率</w:t>
            </w:r>
          </w:p>
          <w:p w14:paraId="0A97D342">
            <w:pPr>
              <w:pStyle w:val="6"/>
              <w:spacing w:line="176" w:lineRule="auto"/>
              <w:ind w:left="532"/>
              <w:rPr>
                <w:sz w:val="23"/>
                <w:szCs w:val="23"/>
              </w:rPr>
            </w:pPr>
            <w:r>
              <w:rPr>
                <w:spacing w:val="-10"/>
                <w:sz w:val="23"/>
                <w:szCs w:val="23"/>
              </w:rPr>
              <w:t>(Hz)</w:t>
            </w:r>
          </w:p>
        </w:tc>
        <w:tc>
          <w:tcPr>
            <w:tcW w:w="1768" w:type="dxa"/>
            <w:vAlign w:val="top"/>
          </w:tcPr>
          <w:p w14:paraId="5B3DB5DE">
            <w:pPr>
              <w:pStyle w:val="6"/>
              <w:spacing w:before="188"/>
              <w:ind w:left="763"/>
              <w:rPr>
                <w:sz w:val="23"/>
                <w:szCs w:val="23"/>
              </w:rPr>
            </w:pPr>
            <w:r>
              <w:rPr>
                <w:spacing w:val="-4"/>
                <w:sz w:val="23"/>
                <w:szCs w:val="23"/>
              </w:rPr>
              <w:t>50</w:t>
            </w:r>
          </w:p>
        </w:tc>
        <w:tc>
          <w:tcPr>
            <w:tcW w:w="1768" w:type="dxa"/>
            <w:vAlign w:val="top"/>
          </w:tcPr>
          <w:p w14:paraId="1D9D2210">
            <w:pPr>
              <w:pStyle w:val="6"/>
              <w:spacing w:before="188"/>
              <w:ind w:left="766"/>
              <w:rPr>
                <w:sz w:val="23"/>
                <w:szCs w:val="23"/>
              </w:rPr>
            </w:pPr>
            <w:r>
              <w:rPr>
                <w:spacing w:val="-4"/>
                <w:sz w:val="23"/>
                <w:szCs w:val="23"/>
              </w:rPr>
              <w:t>50</w:t>
            </w:r>
          </w:p>
        </w:tc>
        <w:tc>
          <w:tcPr>
            <w:tcW w:w="2322" w:type="dxa"/>
            <w:vAlign w:val="top"/>
          </w:tcPr>
          <w:p w14:paraId="23B8929A">
            <w:pPr>
              <w:pStyle w:val="6"/>
              <w:spacing w:before="188"/>
              <w:ind w:left="1037"/>
              <w:rPr>
                <w:sz w:val="23"/>
                <w:szCs w:val="23"/>
              </w:rPr>
            </w:pPr>
            <w:r>
              <w:rPr>
                <w:spacing w:val="-4"/>
                <w:sz w:val="23"/>
                <w:szCs w:val="23"/>
              </w:rPr>
              <w:t>50</w:t>
            </w:r>
          </w:p>
        </w:tc>
      </w:tr>
      <w:tr w14:paraId="7AA29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64" w:type="dxa"/>
            <w:vMerge w:val="continue"/>
            <w:tcBorders>
              <w:top w:val="nil"/>
              <w:bottom w:val="nil"/>
            </w:tcBorders>
            <w:vAlign w:val="top"/>
          </w:tcPr>
          <w:p w14:paraId="5A833D55">
            <w:pPr>
              <w:rPr>
                <w:rFonts w:ascii="Arial"/>
                <w:sz w:val="21"/>
              </w:rPr>
            </w:pPr>
          </w:p>
        </w:tc>
        <w:tc>
          <w:tcPr>
            <w:tcW w:w="609" w:type="dxa"/>
            <w:vMerge w:val="continue"/>
            <w:tcBorders>
              <w:top w:val="nil"/>
              <w:bottom w:val="nil"/>
            </w:tcBorders>
            <w:vAlign w:val="top"/>
          </w:tcPr>
          <w:p w14:paraId="10C8EFEC">
            <w:pPr>
              <w:rPr>
                <w:rFonts w:ascii="Arial"/>
                <w:sz w:val="21"/>
              </w:rPr>
            </w:pPr>
          </w:p>
        </w:tc>
        <w:tc>
          <w:tcPr>
            <w:tcW w:w="1538" w:type="dxa"/>
            <w:vAlign w:val="top"/>
          </w:tcPr>
          <w:p w14:paraId="32A2E09D">
            <w:pPr>
              <w:pStyle w:val="6"/>
              <w:spacing w:before="35" w:line="204" w:lineRule="auto"/>
              <w:ind w:left="71"/>
              <w:rPr>
                <w:sz w:val="23"/>
                <w:szCs w:val="23"/>
              </w:rPr>
            </w:pPr>
            <w:r>
              <w:rPr>
                <w:spacing w:val="-2"/>
                <w:sz w:val="23"/>
                <w:szCs w:val="23"/>
              </w:rPr>
              <w:t>额定输出电压</w:t>
            </w:r>
          </w:p>
          <w:p w14:paraId="4A3D6779">
            <w:pPr>
              <w:pStyle w:val="6"/>
              <w:spacing w:line="192" w:lineRule="auto"/>
              <w:ind w:left="582"/>
              <w:rPr>
                <w:sz w:val="23"/>
                <w:szCs w:val="23"/>
              </w:rPr>
            </w:pPr>
            <w:r>
              <w:rPr>
                <w:spacing w:val="-11"/>
                <w:sz w:val="23"/>
                <w:szCs w:val="23"/>
              </w:rPr>
              <w:t>(V)</w:t>
            </w:r>
          </w:p>
        </w:tc>
        <w:tc>
          <w:tcPr>
            <w:tcW w:w="1768" w:type="dxa"/>
            <w:vAlign w:val="top"/>
          </w:tcPr>
          <w:p w14:paraId="78BEFB13">
            <w:pPr>
              <w:pStyle w:val="6"/>
              <w:spacing w:before="188"/>
              <w:ind w:left="703"/>
              <w:rPr>
                <w:sz w:val="23"/>
                <w:szCs w:val="23"/>
              </w:rPr>
            </w:pPr>
            <w:r>
              <w:rPr>
                <w:spacing w:val="-3"/>
                <w:sz w:val="23"/>
                <w:szCs w:val="23"/>
              </w:rPr>
              <w:t>800</w:t>
            </w:r>
          </w:p>
        </w:tc>
        <w:tc>
          <w:tcPr>
            <w:tcW w:w="1768" w:type="dxa"/>
            <w:vAlign w:val="top"/>
          </w:tcPr>
          <w:p w14:paraId="26704A40">
            <w:pPr>
              <w:pStyle w:val="6"/>
              <w:spacing w:before="188"/>
              <w:ind w:left="705"/>
              <w:rPr>
                <w:sz w:val="23"/>
                <w:szCs w:val="23"/>
              </w:rPr>
            </w:pPr>
            <w:r>
              <w:rPr>
                <w:spacing w:val="-3"/>
                <w:sz w:val="23"/>
                <w:szCs w:val="23"/>
              </w:rPr>
              <w:t>800</w:t>
            </w:r>
          </w:p>
        </w:tc>
        <w:tc>
          <w:tcPr>
            <w:tcW w:w="2322" w:type="dxa"/>
            <w:vAlign w:val="top"/>
          </w:tcPr>
          <w:p w14:paraId="469C4C10">
            <w:pPr>
              <w:pStyle w:val="6"/>
              <w:spacing w:before="188"/>
              <w:ind w:left="977"/>
              <w:rPr>
                <w:sz w:val="23"/>
                <w:szCs w:val="23"/>
              </w:rPr>
            </w:pPr>
            <w:r>
              <w:rPr>
                <w:spacing w:val="-3"/>
                <w:sz w:val="23"/>
                <w:szCs w:val="23"/>
              </w:rPr>
              <w:t>800</w:t>
            </w:r>
          </w:p>
        </w:tc>
      </w:tr>
      <w:tr w14:paraId="6650A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64" w:type="dxa"/>
            <w:vMerge w:val="continue"/>
            <w:tcBorders>
              <w:top w:val="nil"/>
              <w:bottom w:val="nil"/>
            </w:tcBorders>
            <w:vAlign w:val="top"/>
          </w:tcPr>
          <w:p w14:paraId="54BFCA64">
            <w:pPr>
              <w:rPr>
                <w:rFonts w:ascii="Arial"/>
                <w:sz w:val="21"/>
              </w:rPr>
            </w:pPr>
          </w:p>
        </w:tc>
        <w:tc>
          <w:tcPr>
            <w:tcW w:w="609" w:type="dxa"/>
            <w:vMerge w:val="continue"/>
            <w:tcBorders>
              <w:top w:val="nil"/>
              <w:bottom w:val="nil"/>
            </w:tcBorders>
            <w:vAlign w:val="top"/>
          </w:tcPr>
          <w:p w14:paraId="1CD13FE5">
            <w:pPr>
              <w:rPr>
                <w:rFonts w:ascii="Arial"/>
                <w:sz w:val="21"/>
              </w:rPr>
            </w:pPr>
          </w:p>
        </w:tc>
        <w:tc>
          <w:tcPr>
            <w:tcW w:w="1538" w:type="dxa"/>
            <w:vAlign w:val="top"/>
          </w:tcPr>
          <w:p w14:paraId="7830E2C4">
            <w:pPr>
              <w:pStyle w:val="6"/>
              <w:spacing w:before="166" w:line="219" w:lineRule="auto"/>
              <w:ind w:left="302"/>
              <w:rPr>
                <w:sz w:val="23"/>
                <w:szCs w:val="23"/>
              </w:rPr>
            </w:pPr>
            <w:r>
              <w:rPr>
                <w:spacing w:val="2"/>
                <w:sz w:val="23"/>
                <w:szCs w:val="23"/>
              </w:rPr>
              <w:t>功率因数</w:t>
            </w:r>
          </w:p>
        </w:tc>
        <w:tc>
          <w:tcPr>
            <w:tcW w:w="1768" w:type="dxa"/>
            <w:vAlign w:val="top"/>
          </w:tcPr>
          <w:p w14:paraId="3677E446">
            <w:pPr>
              <w:pStyle w:val="6"/>
              <w:spacing w:before="47" w:line="200" w:lineRule="auto"/>
              <w:jc w:val="right"/>
              <w:rPr>
                <w:sz w:val="23"/>
                <w:szCs w:val="23"/>
              </w:rPr>
            </w:pPr>
            <w:r>
              <w:rPr>
                <w:spacing w:val="-18"/>
                <w:sz w:val="23"/>
                <w:szCs w:val="23"/>
              </w:rPr>
              <w:t>0.8(超</w:t>
            </w:r>
            <w:r>
              <w:rPr>
                <w:spacing w:val="-17"/>
                <w:sz w:val="23"/>
                <w:szCs w:val="23"/>
              </w:rPr>
              <w:t>前)～0.8(</w:t>
            </w:r>
            <w:r>
              <w:rPr>
                <w:spacing w:val="-12"/>
                <w:sz w:val="23"/>
                <w:szCs w:val="23"/>
              </w:rPr>
              <w:t>滞</w:t>
            </w:r>
          </w:p>
          <w:p w14:paraId="6440AFBF">
            <w:pPr>
              <w:pStyle w:val="6"/>
              <w:spacing w:line="194" w:lineRule="auto"/>
              <w:ind w:left="703"/>
              <w:rPr>
                <w:sz w:val="23"/>
                <w:szCs w:val="23"/>
              </w:rPr>
            </w:pPr>
            <w:r>
              <w:rPr>
                <w:spacing w:val="-6"/>
                <w:sz w:val="23"/>
                <w:szCs w:val="23"/>
              </w:rPr>
              <w:t>后</w:t>
            </w:r>
            <w:r>
              <w:rPr>
                <w:spacing w:val="-49"/>
                <w:sz w:val="23"/>
                <w:szCs w:val="23"/>
              </w:rPr>
              <w:t xml:space="preserve"> </w:t>
            </w:r>
            <w:r>
              <w:rPr>
                <w:spacing w:val="-6"/>
                <w:sz w:val="23"/>
                <w:szCs w:val="23"/>
              </w:rPr>
              <w:t>)</w:t>
            </w:r>
          </w:p>
        </w:tc>
        <w:tc>
          <w:tcPr>
            <w:tcW w:w="1768" w:type="dxa"/>
            <w:vAlign w:val="top"/>
          </w:tcPr>
          <w:p w14:paraId="18873D8F">
            <w:pPr>
              <w:pStyle w:val="6"/>
              <w:spacing w:before="47" w:line="200" w:lineRule="auto"/>
              <w:jc w:val="right"/>
              <w:rPr>
                <w:sz w:val="23"/>
                <w:szCs w:val="23"/>
              </w:rPr>
            </w:pPr>
            <w:r>
              <w:rPr>
                <w:spacing w:val="-18"/>
                <w:sz w:val="23"/>
                <w:szCs w:val="23"/>
              </w:rPr>
              <w:t>0.8(超</w:t>
            </w:r>
            <w:r>
              <w:rPr>
                <w:spacing w:val="-17"/>
                <w:sz w:val="23"/>
                <w:szCs w:val="23"/>
              </w:rPr>
              <w:t>前)～0.8(</w:t>
            </w:r>
            <w:r>
              <w:rPr>
                <w:spacing w:val="-12"/>
                <w:sz w:val="23"/>
                <w:szCs w:val="23"/>
              </w:rPr>
              <w:t>滞</w:t>
            </w:r>
          </w:p>
          <w:p w14:paraId="25DC0873">
            <w:pPr>
              <w:pStyle w:val="6"/>
              <w:spacing w:line="194" w:lineRule="auto"/>
              <w:ind w:left="705"/>
              <w:rPr>
                <w:sz w:val="23"/>
                <w:szCs w:val="23"/>
              </w:rPr>
            </w:pPr>
            <w:r>
              <w:rPr>
                <w:spacing w:val="-6"/>
                <w:sz w:val="23"/>
                <w:szCs w:val="23"/>
              </w:rPr>
              <w:t>后</w:t>
            </w:r>
            <w:r>
              <w:rPr>
                <w:spacing w:val="-49"/>
                <w:sz w:val="23"/>
                <w:szCs w:val="23"/>
              </w:rPr>
              <w:t xml:space="preserve"> </w:t>
            </w:r>
            <w:r>
              <w:rPr>
                <w:spacing w:val="-6"/>
                <w:sz w:val="23"/>
                <w:szCs w:val="23"/>
              </w:rPr>
              <w:t>)</w:t>
            </w:r>
          </w:p>
        </w:tc>
        <w:tc>
          <w:tcPr>
            <w:tcW w:w="2322" w:type="dxa"/>
            <w:vAlign w:val="top"/>
          </w:tcPr>
          <w:p w14:paraId="4F1DB84D">
            <w:pPr>
              <w:pStyle w:val="6"/>
              <w:spacing w:before="47" w:line="200" w:lineRule="auto"/>
              <w:ind w:left="177"/>
              <w:rPr>
                <w:sz w:val="23"/>
                <w:szCs w:val="23"/>
              </w:rPr>
            </w:pPr>
            <w:r>
              <w:rPr>
                <w:spacing w:val="-1"/>
                <w:sz w:val="23"/>
                <w:szCs w:val="23"/>
              </w:rPr>
              <w:t>0.8(超前)～0.8(滞</w:t>
            </w:r>
          </w:p>
          <w:p w14:paraId="38F38A3D">
            <w:pPr>
              <w:pStyle w:val="6"/>
              <w:spacing w:line="194" w:lineRule="auto"/>
              <w:ind w:left="977"/>
              <w:rPr>
                <w:sz w:val="23"/>
                <w:szCs w:val="23"/>
              </w:rPr>
            </w:pPr>
            <w:r>
              <w:rPr>
                <w:spacing w:val="-6"/>
                <w:sz w:val="23"/>
                <w:szCs w:val="23"/>
              </w:rPr>
              <w:t>后</w:t>
            </w:r>
            <w:r>
              <w:rPr>
                <w:spacing w:val="-39"/>
                <w:sz w:val="23"/>
                <w:szCs w:val="23"/>
              </w:rPr>
              <w:t xml:space="preserve"> </w:t>
            </w:r>
            <w:r>
              <w:rPr>
                <w:spacing w:val="-6"/>
                <w:sz w:val="23"/>
                <w:szCs w:val="23"/>
              </w:rPr>
              <w:t>)</w:t>
            </w:r>
          </w:p>
        </w:tc>
      </w:tr>
      <w:tr w14:paraId="3A765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64" w:type="dxa"/>
            <w:vMerge w:val="continue"/>
            <w:tcBorders>
              <w:top w:val="nil"/>
              <w:bottom w:val="nil"/>
            </w:tcBorders>
            <w:vAlign w:val="top"/>
          </w:tcPr>
          <w:p w14:paraId="48F48614">
            <w:pPr>
              <w:rPr>
                <w:rFonts w:ascii="Arial"/>
                <w:sz w:val="21"/>
              </w:rPr>
            </w:pPr>
          </w:p>
        </w:tc>
        <w:tc>
          <w:tcPr>
            <w:tcW w:w="609" w:type="dxa"/>
            <w:vMerge w:val="continue"/>
            <w:tcBorders>
              <w:top w:val="nil"/>
            </w:tcBorders>
            <w:vAlign w:val="top"/>
          </w:tcPr>
          <w:p w14:paraId="4B7A85E2">
            <w:pPr>
              <w:rPr>
                <w:rFonts w:ascii="Arial"/>
                <w:sz w:val="21"/>
              </w:rPr>
            </w:pPr>
          </w:p>
        </w:tc>
        <w:tc>
          <w:tcPr>
            <w:tcW w:w="1538" w:type="dxa"/>
            <w:vAlign w:val="top"/>
          </w:tcPr>
          <w:p w14:paraId="04A54778">
            <w:pPr>
              <w:pStyle w:val="6"/>
              <w:spacing w:before="67" w:line="211" w:lineRule="auto"/>
              <w:jc w:val="right"/>
              <w:rPr>
                <w:sz w:val="23"/>
                <w:szCs w:val="23"/>
              </w:rPr>
            </w:pPr>
            <w:r>
              <w:rPr>
                <w:spacing w:val="-15"/>
                <w:sz w:val="23"/>
                <w:szCs w:val="23"/>
              </w:rPr>
              <w:t>最大总谐</w:t>
            </w:r>
            <w:r>
              <w:rPr>
                <w:spacing w:val="-14"/>
                <w:sz w:val="23"/>
                <w:szCs w:val="23"/>
              </w:rPr>
              <w:t>波失</w:t>
            </w:r>
            <w:r>
              <w:rPr>
                <w:spacing w:val="-10"/>
                <w:sz w:val="23"/>
                <w:szCs w:val="23"/>
              </w:rPr>
              <w:t>真</w:t>
            </w:r>
          </w:p>
        </w:tc>
        <w:tc>
          <w:tcPr>
            <w:tcW w:w="1768" w:type="dxa"/>
            <w:vAlign w:val="top"/>
          </w:tcPr>
          <w:p w14:paraId="5BC5BA6F">
            <w:pPr>
              <w:pStyle w:val="6"/>
              <w:spacing w:before="90" w:line="192" w:lineRule="auto"/>
              <w:ind w:left="703"/>
              <w:rPr>
                <w:sz w:val="23"/>
                <w:szCs w:val="23"/>
              </w:rPr>
            </w:pPr>
            <w:r>
              <w:rPr>
                <w:spacing w:val="-4"/>
                <w:sz w:val="23"/>
                <w:szCs w:val="23"/>
              </w:rPr>
              <w:t>&lt;1%</w:t>
            </w:r>
          </w:p>
        </w:tc>
        <w:tc>
          <w:tcPr>
            <w:tcW w:w="1768" w:type="dxa"/>
            <w:vAlign w:val="top"/>
          </w:tcPr>
          <w:p w14:paraId="020BF2DE">
            <w:pPr>
              <w:pStyle w:val="6"/>
              <w:spacing w:before="90" w:line="192" w:lineRule="auto"/>
              <w:ind w:left="705"/>
              <w:rPr>
                <w:sz w:val="23"/>
                <w:szCs w:val="23"/>
              </w:rPr>
            </w:pPr>
            <w:r>
              <w:rPr>
                <w:spacing w:val="-4"/>
                <w:sz w:val="23"/>
                <w:szCs w:val="23"/>
              </w:rPr>
              <w:t>&lt;1%</w:t>
            </w:r>
          </w:p>
        </w:tc>
        <w:tc>
          <w:tcPr>
            <w:tcW w:w="2322" w:type="dxa"/>
            <w:vAlign w:val="top"/>
          </w:tcPr>
          <w:p w14:paraId="3E61570E">
            <w:pPr>
              <w:pStyle w:val="6"/>
              <w:spacing w:before="90" w:line="192" w:lineRule="auto"/>
              <w:ind w:left="977"/>
              <w:rPr>
                <w:sz w:val="23"/>
                <w:szCs w:val="23"/>
              </w:rPr>
            </w:pPr>
            <w:r>
              <w:rPr>
                <w:spacing w:val="-4"/>
                <w:sz w:val="23"/>
                <w:szCs w:val="23"/>
              </w:rPr>
              <w:t>&lt;1%</w:t>
            </w:r>
          </w:p>
        </w:tc>
      </w:tr>
      <w:tr w14:paraId="50DF1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64" w:type="dxa"/>
            <w:vMerge w:val="continue"/>
            <w:tcBorders>
              <w:top w:val="nil"/>
              <w:bottom w:val="nil"/>
            </w:tcBorders>
            <w:vAlign w:val="top"/>
          </w:tcPr>
          <w:p w14:paraId="1831F94B">
            <w:pPr>
              <w:rPr>
                <w:rFonts w:ascii="Arial"/>
                <w:sz w:val="21"/>
              </w:rPr>
            </w:pPr>
          </w:p>
        </w:tc>
        <w:tc>
          <w:tcPr>
            <w:tcW w:w="609" w:type="dxa"/>
            <w:vMerge w:val="restart"/>
            <w:tcBorders>
              <w:bottom w:val="nil"/>
            </w:tcBorders>
            <w:vAlign w:val="top"/>
          </w:tcPr>
          <w:p w14:paraId="6B096395">
            <w:pPr>
              <w:spacing w:line="244" w:lineRule="auto"/>
              <w:rPr>
                <w:rFonts w:ascii="Arial"/>
                <w:sz w:val="21"/>
              </w:rPr>
            </w:pPr>
          </w:p>
          <w:p w14:paraId="5D546C9C">
            <w:pPr>
              <w:spacing w:line="244" w:lineRule="auto"/>
              <w:rPr>
                <w:rFonts w:ascii="Arial"/>
                <w:sz w:val="21"/>
              </w:rPr>
            </w:pPr>
          </w:p>
          <w:p w14:paraId="2247D507">
            <w:pPr>
              <w:spacing w:line="245" w:lineRule="auto"/>
              <w:rPr>
                <w:rFonts w:ascii="Arial"/>
                <w:sz w:val="21"/>
              </w:rPr>
            </w:pPr>
          </w:p>
          <w:p w14:paraId="79EB7A44">
            <w:pPr>
              <w:spacing w:line="245" w:lineRule="auto"/>
              <w:rPr>
                <w:rFonts w:ascii="Arial"/>
                <w:sz w:val="21"/>
              </w:rPr>
            </w:pPr>
          </w:p>
          <w:p w14:paraId="6B9CC72C">
            <w:pPr>
              <w:spacing w:line="245" w:lineRule="auto"/>
              <w:rPr>
                <w:rFonts w:ascii="Arial"/>
                <w:sz w:val="21"/>
              </w:rPr>
            </w:pPr>
          </w:p>
          <w:p w14:paraId="0943F7BC">
            <w:pPr>
              <w:spacing w:line="245" w:lineRule="auto"/>
              <w:rPr>
                <w:rFonts w:ascii="Arial"/>
                <w:sz w:val="21"/>
              </w:rPr>
            </w:pPr>
          </w:p>
          <w:p w14:paraId="49749D25">
            <w:pPr>
              <w:spacing w:line="245" w:lineRule="auto"/>
              <w:rPr>
                <w:rFonts w:ascii="Arial"/>
                <w:sz w:val="21"/>
              </w:rPr>
            </w:pPr>
          </w:p>
          <w:p w14:paraId="4FB7A020">
            <w:pPr>
              <w:pStyle w:val="6"/>
              <w:spacing w:before="75" w:line="221" w:lineRule="auto"/>
              <w:ind w:left="61"/>
              <w:rPr>
                <w:sz w:val="23"/>
                <w:szCs w:val="23"/>
              </w:rPr>
            </w:pPr>
            <w:r>
              <w:rPr>
                <w:spacing w:val="5"/>
                <w:sz w:val="23"/>
                <w:szCs w:val="23"/>
              </w:rPr>
              <w:t>系统</w:t>
            </w:r>
          </w:p>
          <w:p w14:paraId="61561AEC">
            <w:pPr>
              <w:pStyle w:val="6"/>
              <w:spacing w:before="4" w:line="221" w:lineRule="auto"/>
              <w:ind w:left="61"/>
              <w:rPr>
                <w:sz w:val="23"/>
                <w:szCs w:val="23"/>
              </w:rPr>
            </w:pPr>
            <w:r>
              <w:rPr>
                <w:spacing w:val="5"/>
                <w:sz w:val="23"/>
                <w:szCs w:val="23"/>
              </w:rPr>
              <w:t>性能</w:t>
            </w:r>
          </w:p>
        </w:tc>
        <w:tc>
          <w:tcPr>
            <w:tcW w:w="1538" w:type="dxa"/>
            <w:vAlign w:val="top"/>
          </w:tcPr>
          <w:p w14:paraId="5AAB50EF">
            <w:pPr>
              <w:pStyle w:val="6"/>
              <w:spacing w:before="66" w:line="212" w:lineRule="auto"/>
              <w:jc w:val="right"/>
              <w:rPr>
                <w:sz w:val="23"/>
                <w:szCs w:val="23"/>
              </w:rPr>
            </w:pPr>
            <w:r>
              <w:rPr>
                <w:spacing w:val="-15"/>
                <w:sz w:val="23"/>
                <w:szCs w:val="23"/>
              </w:rPr>
              <w:t>最大逆</w:t>
            </w:r>
            <w:r>
              <w:rPr>
                <w:spacing w:val="-14"/>
                <w:sz w:val="23"/>
                <w:szCs w:val="23"/>
              </w:rPr>
              <w:t>变器效</w:t>
            </w:r>
            <w:r>
              <w:rPr>
                <w:spacing w:val="-11"/>
                <w:sz w:val="23"/>
                <w:szCs w:val="23"/>
              </w:rPr>
              <w:t>率</w:t>
            </w:r>
          </w:p>
          <w:p w14:paraId="181996FE">
            <w:pPr>
              <w:pStyle w:val="6"/>
              <w:spacing w:line="183" w:lineRule="auto"/>
              <w:ind w:left="582"/>
              <w:rPr>
                <w:sz w:val="23"/>
                <w:szCs w:val="23"/>
              </w:rPr>
            </w:pPr>
            <w:r>
              <w:rPr>
                <w:spacing w:val="-11"/>
                <w:sz w:val="23"/>
                <w:szCs w:val="23"/>
              </w:rPr>
              <w:t>(%)</w:t>
            </w:r>
          </w:p>
        </w:tc>
        <w:tc>
          <w:tcPr>
            <w:tcW w:w="1768" w:type="dxa"/>
            <w:vAlign w:val="top"/>
          </w:tcPr>
          <w:p w14:paraId="3311B076">
            <w:pPr>
              <w:pStyle w:val="6"/>
              <w:spacing w:before="200" w:line="239" w:lineRule="auto"/>
              <w:ind w:left="583"/>
              <w:rPr>
                <w:sz w:val="23"/>
                <w:szCs w:val="23"/>
              </w:rPr>
            </w:pPr>
            <w:r>
              <w:rPr>
                <w:spacing w:val="-2"/>
                <w:sz w:val="23"/>
                <w:szCs w:val="23"/>
              </w:rPr>
              <w:t>99.04</w:t>
            </w:r>
          </w:p>
        </w:tc>
        <w:tc>
          <w:tcPr>
            <w:tcW w:w="1768" w:type="dxa"/>
            <w:vAlign w:val="top"/>
          </w:tcPr>
          <w:p w14:paraId="2EFF093E">
            <w:pPr>
              <w:pStyle w:val="6"/>
              <w:spacing w:before="200" w:line="239" w:lineRule="auto"/>
              <w:ind w:left="585"/>
              <w:rPr>
                <w:sz w:val="23"/>
                <w:szCs w:val="23"/>
              </w:rPr>
            </w:pPr>
            <w:r>
              <w:rPr>
                <w:spacing w:val="-2"/>
                <w:sz w:val="23"/>
                <w:szCs w:val="23"/>
              </w:rPr>
              <w:t>99.04</w:t>
            </w:r>
          </w:p>
        </w:tc>
        <w:tc>
          <w:tcPr>
            <w:tcW w:w="2322" w:type="dxa"/>
            <w:vAlign w:val="top"/>
          </w:tcPr>
          <w:p w14:paraId="0AFF45EE">
            <w:pPr>
              <w:pStyle w:val="6"/>
              <w:spacing w:before="199"/>
              <w:ind w:left="1037"/>
              <w:rPr>
                <w:sz w:val="23"/>
                <w:szCs w:val="23"/>
              </w:rPr>
            </w:pPr>
            <w:r>
              <w:rPr>
                <w:spacing w:val="-3"/>
                <w:sz w:val="23"/>
                <w:szCs w:val="23"/>
              </w:rPr>
              <w:t>99</w:t>
            </w:r>
          </w:p>
        </w:tc>
      </w:tr>
      <w:tr w14:paraId="7FB85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764" w:type="dxa"/>
            <w:vMerge w:val="continue"/>
            <w:tcBorders>
              <w:top w:val="nil"/>
              <w:bottom w:val="nil"/>
            </w:tcBorders>
            <w:vAlign w:val="top"/>
          </w:tcPr>
          <w:p w14:paraId="5DEF5808">
            <w:pPr>
              <w:rPr>
                <w:rFonts w:ascii="Arial"/>
                <w:sz w:val="21"/>
              </w:rPr>
            </w:pPr>
          </w:p>
        </w:tc>
        <w:tc>
          <w:tcPr>
            <w:tcW w:w="609" w:type="dxa"/>
            <w:vMerge w:val="continue"/>
            <w:tcBorders>
              <w:top w:val="nil"/>
              <w:bottom w:val="nil"/>
            </w:tcBorders>
            <w:vAlign w:val="top"/>
          </w:tcPr>
          <w:p w14:paraId="533D3DAB">
            <w:pPr>
              <w:rPr>
                <w:rFonts w:ascii="Arial"/>
                <w:sz w:val="21"/>
              </w:rPr>
            </w:pPr>
          </w:p>
        </w:tc>
        <w:tc>
          <w:tcPr>
            <w:tcW w:w="1538" w:type="dxa"/>
            <w:vAlign w:val="top"/>
          </w:tcPr>
          <w:p w14:paraId="7479D190">
            <w:pPr>
              <w:pStyle w:val="6"/>
              <w:spacing w:before="88" w:line="219" w:lineRule="auto"/>
              <w:ind w:left="121"/>
              <w:rPr>
                <w:sz w:val="23"/>
                <w:szCs w:val="23"/>
              </w:rPr>
            </w:pPr>
            <w:r>
              <w:rPr>
                <w:spacing w:val="7"/>
                <w:sz w:val="23"/>
                <w:szCs w:val="23"/>
              </w:rPr>
              <w:t>中国效率(%)</w:t>
            </w:r>
          </w:p>
        </w:tc>
        <w:tc>
          <w:tcPr>
            <w:tcW w:w="1768" w:type="dxa"/>
            <w:vAlign w:val="top"/>
          </w:tcPr>
          <w:p w14:paraId="53894BC0">
            <w:pPr>
              <w:pStyle w:val="6"/>
              <w:spacing w:before="112" w:line="207" w:lineRule="auto"/>
              <w:ind w:left="583"/>
              <w:rPr>
                <w:sz w:val="23"/>
                <w:szCs w:val="23"/>
              </w:rPr>
            </w:pPr>
            <w:r>
              <w:rPr>
                <w:spacing w:val="-2"/>
                <w:sz w:val="23"/>
                <w:szCs w:val="23"/>
              </w:rPr>
              <w:t>98.55</w:t>
            </w:r>
          </w:p>
        </w:tc>
        <w:tc>
          <w:tcPr>
            <w:tcW w:w="1768" w:type="dxa"/>
            <w:vAlign w:val="top"/>
          </w:tcPr>
          <w:p w14:paraId="5B8E0BF4">
            <w:pPr>
              <w:pStyle w:val="6"/>
              <w:spacing w:before="112" w:line="207" w:lineRule="auto"/>
              <w:ind w:left="585"/>
              <w:rPr>
                <w:sz w:val="23"/>
                <w:szCs w:val="23"/>
              </w:rPr>
            </w:pPr>
            <w:r>
              <w:rPr>
                <w:spacing w:val="-2"/>
                <w:sz w:val="23"/>
                <w:szCs w:val="23"/>
              </w:rPr>
              <w:t>98.55</w:t>
            </w:r>
          </w:p>
        </w:tc>
        <w:tc>
          <w:tcPr>
            <w:tcW w:w="2322" w:type="dxa"/>
            <w:vAlign w:val="top"/>
          </w:tcPr>
          <w:p w14:paraId="33153059">
            <w:pPr>
              <w:pStyle w:val="6"/>
              <w:spacing w:before="112" w:line="207" w:lineRule="auto"/>
              <w:ind w:left="928"/>
              <w:rPr>
                <w:sz w:val="23"/>
                <w:szCs w:val="23"/>
              </w:rPr>
            </w:pPr>
            <w:r>
              <w:rPr>
                <w:spacing w:val="-2"/>
                <w:sz w:val="23"/>
                <w:szCs w:val="23"/>
              </w:rPr>
              <w:t>98.4</w:t>
            </w:r>
          </w:p>
        </w:tc>
      </w:tr>
      <w:tr w14:paraId="06922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764" w:type="dxa"/>
            <w:vMerge w:val="continue"/>
            <w:tcBorders>
              <w:top w:val="nil"/>
              <w:bottom w:val="nil"/>
            </w:tcBorders>
            <w:vAlign w:val="top"/>
          </w:tcPr>
          <w:p w14:paraId="39A9A078">
            <w:pPr>
              <w:rPr>
                <w:rFonts w:ascii="Arial"/>
                <w:sz w:val="21"/>
              </w:rPr>
            </w:pPr>
          </w:p>
        </w:tc>
        <w:tc>
          <w:tcPr>
            <w:tcW w:w="609" w:type="dxa"/>
            <w:vMerge w:val="continue"/>
            <w:tcBorders>
              <w:top w:val="nil"/>
              <w:bottom w:val="nil"/>
            </w:tcBorders>
            <w:vAlign w:val="top"/>
          </w:tcPr>
          <w:p w14:paraId="50638997">
            <w:pPr>
              <w:rPr>
                <w:rFonts w:ascii="Arial"/>
                <w:sz w:val="21"/>
              </w:rPr>
            </w:pPr>
          </w:p>
        </w:tc>
        <w:tc>
          <w:tcPr>
            <w:tcW w:w="1538" w:type="dxa"/>
            <w:vAlign w:val="top"/>
          </w:tcPr>
          <w:p w14:paraId="5C538062">
            <w:pPr>
              <w:pStyle w:val="6"/>
              <w:spacing w:before="88" w:line="219" w:lineRule="auto"/>
              <w:ind w:left="71"/>
              <w:rPr>
                <w:sz w:val="23"/>
                <w:szCs w:val="23"/>
              </w:rPr>
            </w:pPr>
            <w:r>
              <w:rPr>
                <w:spacing w:val="2"/>
                <w:sz w:val="23"/>
                <w:szCs w:val="23"/>
              </w:rPr>
              <w:t>外壳防护等级</w:t>
            </w:r>
          </w:p>
        </w:tc>
        <w:tc>
          <w:tcPr>
            <w:tcW w:w="1768" w:type="dxa"/>
            <w:vAlign w:val="top"/>
          </w:tcPr>
          <w:p w14:paraId="580FEE1B">
            <w:pPr>
              <w:pStyle w:val="6"/>
              <w:spacing w:before="148" w:line="178" w:lineRule="auto"/>
              <w:ind w:left="644"/>
              <w:rPr>
                <w:sz w:val="23"/>
                <w:szCs w:val="23"/>
              </w:rPr>
            </w:pPr>
            <w:r>
              <w:rPr>
                <w:spacing w:val="-5"/>
                <w:sz w:val="23"/>
                <w:szCs w:val="23"/>
              </w:rPr>
              <w:t>IP66</w:t>
            </w:r>
          </w:p>
        </w:tc>
        <w:tc>
          <w:tcPr>
            <w:tcW w:w="1768" w:type="dxa"/>
            <w:vAlign w:val="top"/>
          </w:tcPr>
          <w:p w14:paraId="641AD986">
            <w:pPr>
              <w:pStyle w:val="6"/>
              <w:spacing w:before="148" w:line="178" w:lineRule="auto"/>
              <w:ind w:left="645"/>
              <w:rPr>
                <w:sz w:val="23"/>
                <w:szCs w:val="23"/>
              </w:rPr>
            </w:pPr>
            <w:r>
              <w:rPr>
                <w:spacing w:val="-5"/>
                <w:sz w:val="23"/>
                <w:szCs w:val="23"/>
              </w:rPr>
              <w:t>IP66</w:t>
            </w:r>
          </w:p>
        </w:tc>
        <w:tc>
          <w:tcPr>
            <w:tcW w:w="2322" w:type="dxa"/>
            <w:vAlign w:val="top"/>
          </w:tcPr>
          <w:p w14:paraId="40654858">
            <w:pPr>
              <w:pStyle w:val="6"/>
              <w:spacing w:before="148" w:line="178" w:lineRule="auto"/>
              <w:ind w:left="928"/>
              <w:rPr>
                <w:sz w:val="23"/>
                <w:szCs w:val="23"/>
              </w:rPr>
            </w:pPr>
            <w:r>
              <w:rPr>
                <w:spacing w:val="-5"/>
                <w:sz w:val="23"/>
                <w:szCs w:val="23"/>
              </w:rPr>
              <w:t>IP66</w:t>
            </w:r>
          </w:p>
        </w:tc>
      </w:tr>
      <w:tr w14:paraId="32271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64" w:type="dxa"/>
            <w:vMerge w:val="continue"/>
            <w:tcBorders>
              <w:top w:val="nil"/>
              <w:bottom w:val="nil"/>
            </w:tcBorders>
            <w:vAlign w:val="top"/>
          </w:tcPr>
          <w:p w14:paraId="363992FD">
            <w:pPr>
              <w:rPr>
                <w:rFonts w:ascii="Arial"/>
                <w:sz w:val="21"/>
              </w:rPr>
            </w:pPr>
          </w:p>
        </w:tc>
        <w:tc>
          <w:tcPr>
            <w:tcW w:w="609" w:type="dxa"/>
            <w:vMerge w:val="continue"/>
            <w:tcBorders>
              <w:top w:val="nil"/>
              <w:bottom w:val="nil"/>
            </w:tcBorders>
            <w:vAlign w:val="top"/>
          </w:tcPr>
          <w:p w14:paraId="526637E4">
            <w:pPr>
              <w:rPr>
                <w:rFonts w:ascii="Arial"/>
                <w:sz w:val="21"/>
              </w:rPr>
            </w:pPr>
          </w:p>
        </w:tc>
        <w:tc>
          <w:tcPr>
            <w:tcW w:w="1538" w:type="dxa"/>
            <w:vAlign w:val="top"/>
          </w:tcPr>
          <w:p w14:paraId="2B8AA257">
            <w:pPr>
              <w:pStyle w:val="6"/>
              <w:spacing w:before="79" w:line="220" w:lineRule="auto"/>
              <w:ind w:left="71"/>
              <w:rPr>
                <w:sz w:val="23"/>
                <w:szCs w:val="23"/>
              </w:rPr>
            </w:pPr>
            <w:r>
              <w:rPr>
                <w:spacing w:val="7"/>
                <w:sz w:val="23"/>
                <w:szCs w:val="23"/>
              </w:rPr>
              <w:t>环境温度(℃)</w:t>
            </w:r>
          </w:p>
        </w:tc>
        <w:tc>
          <w:tcPr>
            <w:tcW w:w="1768" w:type="dxa"/>
            <w:vAlign w:val="top"/>
          </w:tcPr>
          <w:p w14:paraId="51C2D2C9">
            <w:pPr>
              <w:pStyle w:val="6"/>
              <w:spacing w:before="131"/>
              <w:ind w:left="593"/>
              <w:rPr>
                <w:sz w:val="16"/>
                <w:szCs w:val="16"/>
              </w:rPr>
            </w:pPr>
            <w:r>
              <w:rPr>
                <w:spacing w:val="-1"/>
                <w:sz w:val="16"/>
                <w:szCs w:val="16"/>
              </w:rPr>
              <w:t>-30～60</w:t>
            </w:r>
          </w:p>
        </w:tc>
        <w:tc>
          <w:tcPr>
            <w:tcW w:w="1768" w:type="dxa"/>
            <w:vAlign w:val="top"/>
          </w:tcPr>
          <w:p w14:paraId="5FA9D6DE">
            <w:pPr>
              <w:pStyle w:val="6"/>
              <w:spacing w:before="100" w:line="208" w:lineRule="auto"/>
              <w:ind w:left="476"/>
              <w:rPr>
                <w:sz w:val="23"/>
                <w:szCs w:val="23"/>
              </w:rPr>
            </w:pPr>
            <w:r>
              <w:rPr>
                <w:spacing w:val="-2"/>
                <w:sz w:val="23"/>
                <w:szCs w:val="23"/>
              </w:rPr>
              <w:t>-30～60</w:t>
            </w:r>
          </w:p>
        </w:tc>
        <w:tc>
          <w:tcPr>
            <w:tcW w:w="2322" w:type="dxa"/>
            <w:vAlign w:val="top"/>
          </w:tcPr>
          <w:p w14:paraId="435EEE56">
            <w:pPr>
              <w:pStyle w:val="6"/>
              <w:spacing w:before="131"/>
              <w:ind w:left="878"/>
              <w:rPr>
                <w:sz w:val="16"/>
                <w:szCs w:val="16"/>
              </w:rPr>
            </w:pPr>
            <w:r>
              <w:rPr>
                <w:spacing w:val="-1"/>
                <w:sz w:val="16"/>
                <w:szCs w:val="16"/>
              </w:rPr>
              <w:t>-25～60</w:t>
            </w:r>
          </w:p>
        </w:tc>
      </w:tr>
      <w:tr w14:paraId="21EAC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764" w:type="dxa"/>
            <w:vMerge w:val="continue"/>
            <w:tcBorders>
              <w:top w:val="nil"/>
              <w:bottom w:val="nil"/>
            </w:tcBorders>
            <w:vAlign w:val="top"/>
          </w:tcPr>
          <w:p w14:paraId="326C7D37">
            <w:pPr>
              <w:rPr>
                <w:rFonts w:ascii="Arial"/>
                <w:sz w:val="21"/>
              </w:rPr>
            </w:pPr>
          </w:p>
        </w:tc>
        <w:tc>
          <w:tcPr>
            <w:tcW w:w="609" w:type="dxa"/>
            <w:vMerge w:val="continue"/>
            <w:tcBorders>
              <w:top w:val="nil"/>
              <w:bottom w:val="nil"/>
            </w:tcBorders>
            <w:vAlign w:val="top"/>
          </w:tcPr>
          <w:p w14:paraId="1B0D3143">
            <w:pPr>
              <w:rPr>
                <w:rFonts w:ascii="Arial"/>
                <w:sz w:val="21"/>
              </w:rPr>
            </w:pPr>
          </w:p>
        </w:tc>
        <w:tc>
          <w:tcPr>
            <w:tcW w:w="1538" w:type="dxa"/>
            <w:vAlign w:val="top"/>
          </w:tcPr>
          <w:p w14:paraId="43602165">
            <w:pPr>
              <w:pStyle w:val="6"/>
              <w:spacing w:before="89" w:line="221" w:lineRule="auto"/>
              <w:ind w:left="302"/>
              <w:rPr>
                <w:sz w:val="23"/>
                <w:szCs w:val="23"/>
              </w:rPr>
            </w:pPr>
            <w:r>
              <w:rPr>
                <w:spacing w:val="-3"/>
                <w:sz w:val="23"/>
                <w:szCs w:val="23"/>
              </w:rPr>
              <w:t>冷却方式</w:t>
            </w:r>
          </w:p>
        </w:tc>
        <w:tc>
          <w:tcPr>
            <w:tcW w:w="1768" w:type="dxa"/>
            <w:vAlign w:val="top"/>
          </w:tcPr>
          <w:p w14:paraId="3776B8B8">
            <w:pPr>
              <w:pStyle w:val="6"/>
              <w:spacing w:before="89" w:line="220" w:lineRule="auto"/>
              <w:ind w:left="414"/>
              <w:rPr>
                <w:sz w:val="23"/>
                <w:szCs w:val="23"/>
              </w:rPr>
            </w:pPr>
            <w:r>
              <w:rPr>
                <w:spacing w:val="2"/>
                <w:sz w:val="23"/>
                <w:szCs w:val="23"/>
              </w:rPr>
              <w:t>智能风冷</w:t>
            </w:r>
          </w:p>
        </w:tc>
        <w:tc>
          <w:tcPr>
            <w:tcW w:w="1768" w:type="dxa"/>
            <w:vAlign w:val="top"/>
          </w:tcPr>
          <w:p w14:paraId="5C0B5355">
            <w:pPr>
              <w:pStyle w:val="6"/>
              <w:spacing w:before="89" w:line="220" w:lineRule="auto"/>
              <w:ind w:left="415"/>
              <w:rPr>
                <w:sz w:val="23"/>
                <w:szCs w:val="23"/>
              </w:rPr>
            </w:pPr>
            <w:r>
              <w:rPr>
                <w:spacing w:val="2"/>
                <w:sz w:val="23"/>
                <w:szCs w:val="23"/>
              </w:rPr>
              <w:t>智能风冷</w:t>
            </w:r>
          </w:p>
        </w:tc>
        <w:tc>
          <w:tcPr>
            <w:tcW w:w="2322" w:type="dxa"/>
            <w:vAlign w:val="top"/>
          </w:tcPr>
          <w:p w14:paraId="79407427">
            <w:pPr>
              <w:pStyle w:val="6"/>
              <w:spacing w:before="89" w:line="220" w:lineRule="auto"/>
              <w:ind w:left="697"/>
              <w:rPr>
                <w:sz w:val="23"/>
                <w:szCs w:val="23"/>
              </w:rPr>
            </w:pPr>
            <w:r>
              <w:rPr>
                <w:spacing w:val="2"/>
                <w:sz w:val="23"/>
                <w:szCs w:val="23"/>
              </w:rPr>
              <w:t>智能风冷</w:t>
            </w:r>
          </w:p>
        </w:tc>
      </w:tr>
      <w:tr w14:paraId="3A8E7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764" w:type="dxa"/>
            <w:vMerge w:val="continue"/>
            <w:tcBorders>
              <w:top w:val="nil"/>
              <w:bottom w:val="nil"/>
            </w:tcBorders>
            <w:vAlign w:val="top"/>
          </w:tcPr>
          <w:p w14:paraId="7832F85E">
            <w:pPr>
              <w:rPr>
                <w:rFonts w:ascii="Arial"/>
                <w:sz w:val="21"/>
              </w:rPr>
            </w:pPr>
          </w:p>
        </w:tc>
        <w:tc>
          <w:tcPr>
            <w:tcW w:w="609" w:type="dxa"/>
            <w:vMerge w:val="continue"/>
            <w:tcBorders>
              <w:top w:val="nil"/>
              <w:bottom w:val="nil"/>
            </w:tcBorders>
            <w:vAlign w:val="top"/>
          </w:tcPr>
          <w:p w14:paraId="02923FEB">
            <w:pPr>
              <w:rPr>
                <w:rFonts w:ascii="Arial"/>
                <w:sz w:val="21"/>
              </w:rPr>
            </w:pPr>
          </w:p>
        </w:tc>
        <w:tc>
          <w:tcPr>
            <w:tcW w:w="1538" w:type="dxa"/>
            <w:vAlign w:val="top"/>
          </w:tcPr>
          <w:p w14:paraId="3668035B">
            <w:pPr>
              <w:pStyle w:val="6"/>
              <w:spacing w:before="89" w:line="220" w:lineRule="auto"/>
              <w:ind w:left="121"/>
              <w:rPr>
                <w:sz w:val="23"/>
                <w:szCs w:val="23"/>
              </w:rPr>
            </w:pPr>
            <w:r>
              <w:rPr>
                <w:spacing w:val="7"/>
                <w:sz w:val="23"/>
                <w:szCs w:val="23"/>
              </w:rPr>
              <w:t>相对湿度(%)</w:t>
            </w:r>
          </w:p>
        </w:tc>
        <w:tc>
          <w:tcPr>
            <w:tcW w:w="1768" w:type="dxa"/>
            <w:vAlign w:val="top"/>
          </w:tcPr>
          <w:p w14:paraId="4CB9FED8">
            <w:pPr>
              <w:pStyle w:val="6"/>
              <w:spacing w:before="132"/>
              <w:ind w:left="533"/>
              <w:rPr>
                <w:sz w:val="17"/>
                <w:szCs w:val="17"/>
              </w:rPr>
            </w:pPr>
            <w:r>
              <w:rPr>
                <w:spacing w:val="-1"/>
                <w:sz w:val="17"/>
                <w:szCs w:val="17"/>
              </w:rPr>
              <w:t>0%～100%</w:t>
            </w:r>
          </w:p>
        </w:tc>
        <w:tc>
          <w:tcPr>
            <w:tcW w:w="1768" w:type="dxa"/>
            <w:vAlign w:val="top"/>
          </w:tcPr>
          <w:p w14:paraId="79BA071B">
            <w:pPr>
              <w:pStyle w:val="6"/>
              <w:spacing w:before="110" w:line="208" w:lineRule="auto"/>
              <w:ind w:left="415"/>
              <w:rPr>
                <w:sz w:val="23"/>
                <w:szCs w:val="23"/>
              </w:rPr>
            </w:pPr>
            <w:r>
              <w:rPr>
                <w:spacing w:val="-2"/>
                <w:sz w:val="23"/>
                <w:szCs w:val="23"/>
              </w:rPr>
              <w:t>0%～100%</w:t>
            </w:r>
          </w:p>
        </w:tc>
        <w:tc>
          <w:tcPr>
            <w:tcW w:w="2322" w:type="dxa"/>
            <w:vAlign w:val="top"/>
          </w:tcPr>
          <w:p w14:paraId="2F3A9150">
            <w:pPr>
              <w:pStyle w:val="6"/>
              <w:spacing w:before="132"/>
              <w:ind w:left="817"/>
              <w:rPr>
                <w:sz w:val="17"/>
                <w:szCs w:val="17"/>
              </w:rPr>
            </w:pPr>
            <w:r>
              <w:rPr>
                <w:spacing w:val="-1"/>
                <w:sz w:val="17"/>
                <w:szCs w:val="17"/>
              </w:rPr>
              <w:t>0%～100%</w:t>
            </w:r>
          </w:p>
        </w:tc>
      </w:tr>
      <w:tr w14:paraId="4B250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64" w:type="dxa"/>
            <w:vMerge w:val="continue"/>
            <w:tcBorders>
              <w:top w:val="nil"/>
              <w:bottom w:val="nil"/>
            </w:tcBorders>
            <w:vAlign w:val="top"/>
          </w:tcPr>
          <w:p w14:paraId="45BBF026">
            <w:pPr>
              <w:rPr>
                <w:rFonts w:ascii="Arial"/>
                <w:sz w:val="21"/>
              </w:rPr>
            </w:pPr>
          </w:p>
        </w:tc>
        <w:tc>
          <w:tcPr>
            <w:tcW w:w="609" w:type="dxa"/>
            <w:vMerge w:val="continue"/>
            <w:tcBorders>
              <w:top w:val="nil"/>
            </w:tcBorders>
            <w:vAlign w:val="top"/>
          </w:tcPr>
          <w:p w14:paraId="6E496242">
            <w:pPr>
              <w:rPr>
                <w:rFonts w:ascii="Arial"/>
                <w:sz w:val="21"/>
              </w:rPr>
            </w:pPr>
          </w:p>
        </w:tc>
        <w:tc>
          <w:tcPr>
            <w:tcW w:w="1538" w:type="dxa"/>
            <w:vAlign w:val="top"/>
          </w:tcPr>
          <w:p w14:paraId="3550960F">
            <w:pPr>
              <w:pStyle w:val="6"/>
              <w:spacing w:before="58" w:line="201" w:lineRule="auto"/>
              <w:ind w:left="411" w:hanging="399"/>
              <w:rPr>
                <w:sz w:val="23"/>
                <w:szCs w:val="23"/>
              </w:rPr>
            </w:pPr>
            <w:r>
              <w:rPr>
                <w:spacing w:val="-15"/>
                <w:sz w:val="23"/>
                <w:szCs w:val="23"/>
              </w:rPr>
              <w:t>允许最高</w:t>
            </w:r>
            <w:r>
              <w:rPr>
                <w:spacing w:val="-14"/>
                <w:sz w:val="23"/>
                <w:szCs w:val="23"/>
              </w:rPr>
              <w:t>安装</w:t>
            </w:r>
            <w:r>
              <w:rPr>
                <w:spacing w:val="-10"/>
                <w:sz w:val="23"/>
                <w:szCs w:val="23"/>
              </w:rPr>
              <w:t>海</w:t>
            </w:r>
            <w:r>
              <w:rPr>
                <w:spacing w:val="2"/>
                <w:sz w:val="23"/>
                <w:szCs w:val="23"/>
              </w:rPr>
              <w:t xml:space="preserve"> </w:t>
            </w:r>
            <w:r>
              <w:rPr>
                <w:spacing w:val="4"/>
                <w:sz w:val="23"/>
                <w:szCs w:val="23"/>
              </w:rPr>
              <w:t>拔高度</w:t>
            </w:r>
          </w:p>
        </w:tc>
        <w:tc>
          <w:tcPr>
            <w:tcW w:w="1768" w:type="dxa"/>
            <w:vAlign w:val="top"/>
          </w:tcPr>
          <w:p w14:paraId="3E458C3E">
            <w:pPr>
              <w:pStyle w:val="6"/>
              <w:spacing w:before="101" w:line="187" w:lineRule="auto"/>
              <w:ind w:left="74"/>
              <w:rPr>
                <w:sz w:val="23"/>
                <w:szCs w:val="23"/>
              </w:rPr>
            </w:pPr>
            <w:r>
              <w:rPr>
                <w:spacing w:val="-6"/>
                <w:sz w:val="23"/>
                <w:szCs w:val="23"/>
              </w:rPr>
              <w:t>5000</w:t>
            </w:r>
            <w:r>
              <w:rPr>
                <w:spacing w:val="4"/>
                <w:sz w:val="23"/>
                <w:szCs w:val="23"/>
              </w:rPr>
              <w:t xml:space="preserve">    </w:t>
            </w:r>
            <w:r>
              <w:rPr>
                <w:spacing w:val="-6"/>
                <w:sz w:val="23"/>
                <w:szCs w:val="23"/>
              </w:rPr>
              <w:t>(&gt;4000</w:t>
            </w:r>
          </w:p>
          <w:p w14:paraId="1A196B80">
            <w:pPr>
              <w:pStyle w:val="6"/>
              <w:spacing w:before="1" w:line="179" w:lineRule="auto"/>
              <w:ind w:left="583"/>
              <w:rPr>
                <w:sz w:val="23"/>
                <w:szCs w:val="23"/>
              </w:rPr>
            </w:pPr>
            <w:r>
              <w:rPr>
                <w:spacing w:val="18"/>
                <w:sz w:val="23"/>
                <w:szCs w:val="23"/>
              </w:rPr>
              <w:t>降额)</w:t>
            </w:r>
          </w:p>
        </w:tc>
        <w:tc>
          <w:tcPr>
            <w:tcW w:w="1768" w:type="dxa"/>
            <w:vAlign w:val="top"/>
          </w:tcPr>
          <w:p w14:paraId="0A96C88E">
            <w:pPr>
              <w:pStyle w:val="6"/>
              <w:spacing w:before="81" w:line="191" w:lineRule="auto"/>
              <w:ind w:left="65"/>
              <w:rPr>
                <w:sz w:val="23"/>
                <w:szCs w:val="23"/>
              </w:rPr>
            </w:pPr>
            <w:r>
              <w:rPr>
                <w:spacing w:val="-6"/>
                <w:position w:val="-1"/>
                <w:sz w:val="23"/>
                <w:szCs w:val="23"/>
              </w:rPr>
              <w:t>5000</w:t>
            </w:r>
            <w:r>
              <w:rPr>
                <w:spacing w:val="14"/>
                <w:position w:val="-1"/>
                <w:sz w:val="23"/>
                <w:szCs w:val="23"/>
              </w:rPr>
              <w:t xml:space="preserve">    </w:t>
            </w:r>
            <w:r>
              <w:rPr>
                <w:spacing w:val="-6"/>
                <w:sz w:val="23"/>
                <w:szCs w:val="23"/>
              </w:rPr>
              <w:t>(&gt;4000</w:t>
            </w:r>
          </w:p>
          <w:p w14:paraId="799C4FCF">
            <w:pPr>
              <w:pStyle w:val="6"/>
              <w:spacing w:line="184" w:lineRule="auto"/>
              <w:ind w:left="585"/>
              <w:rPr>
                <w:sz w:val="23"/>
                <w:szCs w:val="23"/>
              </w:rPr>
            </w:pPr>
            <w:r>
              <w:rPr>
                <w:spacing w:val="18"/>
                <w:sz w:val="23"/>
                <w:szCs w:val="23"/>
              </w:rPr>
              <w:t>降额)</w:t>
            </w:r>
          </w:p>
        </w:tc>
        <w:tc>
          <w:tcPr>
            <w:tcW w:w="2322" w:type="dxa"/>
            <w:vAlign w:val="top"/>
          </w:tcPr>
          <w:p w14:paraId="08C3CEBC">
            <w:pPr>
              <w:pStyle w:val="6"/>
              <w:spacing w:before="58" w:line="190" w:lineRule="auto"/>
              <w:ind w:left="128"/>
              <w:rPr>
                <w:sz w:val="23"/>
                <w:szCs w:val="23"/>
              </w:rPr>
            </w:pPr>
            <w:r>
              <w:rPr>
                <w:spacing w:val="-1"/>
                <w:position w:val="-3"/>
                <w:sz w:val="23"/>
                <w:szCs w:val="23"/>
              </w:rPr>
              <w:t>5000</w:t>
            </w:r>
            <w:r>
              <w:rPr>
                <w:spacing w:val="21"/>
                <w:position w:val="-3"/>
                <w:sz w:val="23"/>
                <w:szCs w:val="23"/>
              </w:rPr>
              <w:t xml:space="preserve">     </w:t>
            </w:r>
            <w:r>
              <w:rPr>
                <w:spacing w:val="-1"/>
                <w:position w:val="1"/>
                <w:sz w:val="23"/>
                <w:szCs w:val="23"/>
              </w:rPr>
              <w:t>(&gt;4000降</w:t>
            </w:r>
          </w:p>
          <w:p w14:paraId="3F5DAE0E">
            <w:pPr>
              <w:pStyle w:val="6"/>
              <w:spacing w:before="1" w:line="179" w:lineRule="auto"/>
              <w:ind w:left="977"/>
              <w:rPr>
                <w:sz w:val="23"/>
                <w:szCs w:val="23"/>
              </w:rPr>
            </w:pPr>
            <w:r>
              <w:rPr>
                <w:spacing w:val="-5"/>
                <w:sz w:val="23"/>
                <w:szCs w:val="23"/>
              </w:rPr>
              <w:t>额</w:t>
            </w:r>
            <w:r>
              <w:rPr>
                <w:spacing w:val="-41"/>
                <w:sz w:val="23"/>
                <w:szCs w:val="23"/>
              </w:rPr>
              <w:t xml:space="preserve"> </w:t>
            </w:r>
            <w:r>
              <w:rPr>
                <w:spacing w:val="-5"/>
                <w:sz w:val="23"/>
                <w:szCs w:val="23"/>
              </w:rPr>
              <w:t>)</w:t>
            </w:r>
          </w:p>
        </w:tc>
      </w:tr>
      <w:tr w14:paraId="1733D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764" w:type="dxa"/>
            <w:vMerge w:val="continue"/>
            <w:tcBorders>
              <w:top w:val="nil"/>
            </w:tcBorders>
            <w:vAlign w:val="top"/>
          </w:tcPr>
          <w:p w14:paraId="0646E5BB">
            <w:pPr>
              <w:rPr>
                <w:rFonts w:ascii="Arial"/>
                <w:sz w:val="21"/>
              </w:rPr>
            </w:pPr>
          </w:p>
        </w:tc>
        <w:tc>
          <w:tcPr>
            <w:tcW w:w="2147" w:type="dxa"/>
            <w:gridSpan w:val="2"/>
            <w:vAlign w:val="top"/>
          </w:tcPr>
          <w:p w14:paraId="78975742">
            <w:pPr>
              <w:pStyle w:val="6"/>
              <w:spacing w:before="80" w:line="220" w:lineRule="auto"/>
              <w:ind w:left="10"/>
              <w:rPr>
                <w:sz w:val="23"/>
                <w:szCs w:val="23"/>
              </w:rPr>
            </w:pPr>
            <w:r>
              <w:rPr>
                <w:spacing w:val="-7"/>
                <w:sz w:val="23"/>
                <w:szCs w:val="23"/>
              </w:rPr>
              <w:t>项</w:t>
            </w:r>
            <w:r>
              <w:rPr>
                <w:spacing w:val="104"/>
                <w:sz w:val="23"/>
                <w:szCs w:val="23"/>
              </w:rPr>
              <w:t xml:space="preserve"> </w:t>
            </w:r>
            <w:r>
              <w:rPr>
                <w:spacing w:val="-7"/>
                <w:sz w:val="23"/>
                <w:szCs w:val="23"/>
              </w:rPr>
              <w:t>目</w:t>
            </w:r>
          </w:p>
        </w:tc>
        <w:tc>
          <w:tcPr>
            <w:tcW w:w="1768" w:type="dxa"/>
            <w:vAlign w:val="top"/>
          </w:tcPr>
          <w:p w14:paraId="3CD676EB">
            <w:pPr>
              <w:pStyle w:val="6"/>
              <w:spacing w:before="80" w:line="221" w:lineRule="auto"/>
              <w:ind w:left="13"/>
              <w:rPr>
                <w:sz w:val="23"/>
                <w:szCs w:val="23"/>
              </w:rPr>
            </w:pPr>
            <w:r>
              <w:rPr>
                <w:spacing w:val="-2"/>
                <w:sz w:val="23"/>
                <w:szCs w:val="23"/>
              </w:rPr>
              <w:t>300kW逆变器</w:t>
            </w:r>
          </w:p>
        </w:tc>
        <w:tc>
          <w:tcPr>
            <w:tcW w:w="1768" w:type="dxa"/>
            <w:vAlign w:val="top"/>
          </w:tcPr>
          <w:p w14:paraId="0F64D75F">
            <w:pPr>
              <w:pStyle w:val="6"/>
              <w:spacing w:before="80" w:line="221" w:lineRule="auto"/>
              <w:ind w:left="15"/>
              <w:rPr>
                <w:sz w:val="23"/>
                <w:szCs w:val="23"/>
              </w:rPr>
            </w:pPr>
            <w:r>
              <w:rPr>
                <w:spacing w:val="-2"/>
                <w:sz w:val="23"/>
                <w:szCs w:val="23"/>
              </w:rPr>
              <w:t>250kW逆变器</w:t>
            </w:r>
          </w:p>
        </w:tc>
        <w:tc>
          <w:tcPr>
            <w:tcW w:w="2322" w:type="dxa"/>
            <w:vAlign w:val="top"/>
          </w:tcPr>
          <w:p w14:paraId="6F24D966">
            <w:pPr>
              <w:pStyle w:val="6"/>
              <w:spacing w:before="80" w:line="221" w:lineRule="auto"/>
              <w:ind w:left="517"/>
              <w:rPr>
                <w:sz w:val="23"/>
                <w:szCs w:val="23"/>
              </w:rPr>
            </w:pPr>
            <w:r>
              <w:rPr>
                <w:spacing w:val="2"/>
                <w:sz w:val="23"/>
                <w:szCs w:val="23"/>
              </w:rPr>
              <w:t>196</w:t>
            </w:r>
            <w:r>
              <w:rPr>
                <w:sz w:val="23"/>
                <w:szCs w:val="23"/>
              </w:rPr>
              <w:t>kW</w:t>
            </w:r>
            <w:r>
              <w:rPr>
                <w:spacing w:val="2"/>
                <w:sz w:val="23"/>
                <w:szCs w:val="23"/>
              </w:rPr>
              <w:t>逆变器</w:t>
            </w:r>
          </w:p>
        </w:tc>
      </w:tr>
    </w:tbl>
    <w:p w14:paraId="544DE238">
      <w:pPr>
        <w:pStyle w:val="2"/>
      </w:pPr>
    </w:p>
    <w:p w14:paraId="43358AC1">
      <w:pPr>
        <w:sectPr>
          <w:footerReference r:id="rId64" w:type="default"/>
          <w:pgSz w:w="11910" w:h="16830"/>
          <w:pgMar w:top="400" w:right="1488" w:bottom="1245" w:left="1395" w:header="0" w:footer="1083" w:gutter="0"/>
          <w:cols w:space="720" w:num="1"/>
        </w:sectPr>
      </w:pPr>
    </w:p>
    <w:p w14:paraId="3FD74978">
      <w:pPr>
        <w:spacing w:before="15"/>
      </w:pPr>
    </w:p>
    <w:p w14:paraId="5D251A75">
      <w:pPr>
        <w:spacing w:before="15"/>
      </w:pPr>
    </w:p>
    <w:p w14:paraId="57C4C110">
      <w:pPr>
        <w:spacing w:before="15"/>
      </w:pPr>
    </w:p>
    <w:p w14:paraId="5202C859">
      <w:pPr>
        <w:spacing w:before="14"/>
      </w:pPr>
    </w:p>
    <w:tbl>
      <w:tblPr>
        <w:tblStyle w:val="5"/>
        <w:tblW w:w="910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140"/>
        <w:gridCol w:w="539"/>
        <w:gridCol w:w="1538"/>
        <w:gridCol w:w="1748"/>
        <w:gridCol w:w="1798"/>
        <w:gridCol w:w="1998"/>
        <w:gridCol w:w="629"/>
      </w:tblGrid>
      <w:tr w14:paraId="1A6F2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714" w:type="dxa"/>
            <w:vMerge w:val="restart"/>
            <w:tcBorders>
              <w:bottom w:val="nil"/>
            </w:tcBorders>
            <w:vAlign w:val="top"/>
          </w:tcPr>
          <w:p w14:paraId="32C0DC51">
            <w:pPr>
              <w:rPr>
                <w:rFonts w:ascii="Arial"/>
                <w:sz w:val="21"/>
              </w:rPr>
            </w:pPr>
          </w:p>
        </w:tc>
        <w:tc>
          <w:tcPr>
            <w:tcW w:w="140" w:type="dxa"/>
            <w:tcBorders>
              <w:bottom w:val="nil"/>
            </w:tcBorders>
            <w:vAlign w:val="top"/>
          </w:tcPr>
          <w:p w14:paraId="3AE388B0">
            <w:pPr>
              <w:rPr>
                <w:rFonts w:ascii="Arial"/>
                <w:sz w:val="21"/>
              </w:rPr>
            </w:pPr>
          </w:p>
        </w:tc>
        <w:tc>
          <w:tcPr>
            <w:tcW w:w="539" w:type="dxa"/>
            <w:vMerge w:val="restart"/>
            <w:tcBorders>
              <w:bottom w:val="nil"/>
            </w:tcBorders>
            <w:vAlign w:val="top"/>
          </w:tcPr>
          <w:p w14:paraId="68BDB9FB">
            <w:pPr>
              <w:rPr>
                <w:rFonts w:ascii="Arial"/>
                <w:sz w:val="21"/>
              </w:rPr>
            </w:pPr>
          </w:p>
        </w:tc>
        <w:tc>
          <w:tcPr>
            <w:tcW w:w="1538" w:type="dxa"/>
            <w:vAlign w:val="top"/>
          </w:tcPr>
          <w:p w14:paraId="3F7E11E6">
            <w:pPr>
              <w:pStyle w:val="6"/>
              <w:spacing w:before="59" w:line="188" w:lineRule="auto"/>
              <w:ind w:left="12"/>
              <w:rPr>
                <w:sz w:val="25"/>
                <w:szCs w:val="25"/>
              </w:rPr>
            </w:pPr>
            <w:r>
              <w:rPr>
                <w:spacing w:val="-12"/>
                <w:sz w:val="25"/>
                <w:szCs w:val="25"/>
              </w:rPr>
              <w:t>(m)</w:t>
            </w:r>
          </w:p>
        </w:tc>
        <w:tc>
          <w:tcPr>
            <w:tcW w:w="1748" w:type="dxa"/>
            <w:vAlign w:val="top"/>
          </w:tcPr>
          <w:p w14:paraId="12D339C1">
            <w:pPr>
              <w:rPr>
                <w:rFonts w:ascii="Arial"/>
                <w:sz w:val="21"/>
              </w:rPr>
            </w:pPr>
          </w:p>
        </w:tc>
        <w:tc>
          <w:tcPr>
            <w:tcW w:w="1798" w:type="dxa"/>
            <w:vAlign w:val="top"/>
          </w:tcPr>
          <w:p w14:paraId="5C54E712">
            <w:pPr>
              <w:rPr>
                <w:rFonts w:ascii="Arial"/>
                <w:sz w:val="21"/>
              </w:rPr>
            </w:pPr>
          </w:p>
        </w:tc>
        <w:tc>
          <w:tcPr>
            <w:tcW w:w="1998" w:type="dxa"/>
            <w:vAlign w:val="top"/>
          </w:tcPr>
          <w:p w14:paraId="14E6357F">
            <w:pPr>
              <w:rPr>
                <w:rFonts w:ascii="Arial"/>
                <w:sz w:val="21"/>
              </w:rPr>
            </w:pPr>
          </w:p>
        </w:tc>
        <w:tc>
          <w:tcPr>
            <w:tcW w:w="629" w:type="dxa"/>
            <w:vMerge w:val="restart"/>
            <w:tcBorders>
              <w:bottom w:val="nil"/>
            </w:tcBorders>
            <w:vAlign w:val="top"/>
          </w:tcPr>
          <w:p w14:paraId="53B62F7C">
            <w:pPr>
              <w:rPr>
                <w:rFonts w:ascii="Arial"/>
                <w:sz w:val="21"/>
              </w:rPr>
            </w:pPr>
          </w:p>
        </w:tc>
      </w:tr>
      <w:tr w14:paraId="69587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14" w:type="dxa"/>
            <w:vMerge w:val="continue"/>
            <w:tcBorders>
              <w:top w:val="nil"/>
              <w:bottom w:val="nil"/>
            </w:tcBorders>
            <w:vAlign w:val="top"/>
          </w:tcPr>
          <w:p w14:paraId="31329BA4">
            <w:pPr>
              <w:rPr>
                <w:rFonts w:ascii="Arial"/>
                <w:sz w:val="21"/>
              </w:rPr>
            </w:pPr>
          </w:p>
        </w:tc>
        <w:tc>
          <w:tcPr>
            <w:tcW w:w="140" w:type="dxa"/>
            <w:tcBorders>
              <w:top w:val="nil"/>
              <w:bottom w:val="nil"/>
            </w:tcBorders>
            <w:vAlign w:val="top"/>
          </w:tcPr>
          <w:p w14:paraId="156B97BE">
            <w:pPr>
              <w:rPr>
                <w:rFonts w:ascii="Arial"/>
                <w:sz w:val="21"/>
              </w:rPr>
            </w:pPr>
          </w:p>
        </w:tc>
        <w:tc>
          <w:tcPr>
            <w:tcW w:w="539" w:type="dxa"/>
            <w:vMerge w:val="continue"/>
            <w:tcBorders>
              <w:top w:val="nil"/>
              <w:bottom w:val="nil"/>
            </w:tcBorders>
            <w:vAlign w:val="top"/>
          </w:tcPr>
          <w:p w14:paraId="2E143FBB">
            <w:pPr>
              <w:rPr>
                <w:rFonts w:ascii="Arial"/>
                <w:sz w:val="21"/>
              </w:rPr>
            </w:pPr>
          </w:p>
        </w:tc>
        <w:tc>
          <w:tcPr>
            <w:tcW w:w="1538" w:type="dxa"/>
            <w:vAlign w:val="top"/>
          </w:tcPr>
          <w:p w14:paraId="36239124">
            <w:pPr>
              <w:pStyle w:val="6"/>
              <w:spacing w:before="92" w:line="221" w:lineRule="auto"/>
              <w:ind w:left="12"/>
              <w:rPr>
                <w:sz w:val="25"/>
                <w:szCs w:val="25"/>
              </w:rPr>
            </w:pPr>
            <w:r>
              <w:rPr>
                <w:spacing w:val="-2"/>
                <w:sz w:val="25"/>
                <w:szCs w:val="25"/>
              </w:rPr>
              <w:t>通讯方式</w:t>
            </w:r>
          </w:p>
        </w:tc>
        <w:tc>
          <w:tcPr>
            <w:tcW w:w="1748" w:type="dxa"/>
            <w:vAlign w:val="top"/>
          </w:tcPr>
          <w:p w14:paraId="668D09A8">
            <w:pPr>
              <w:pStyle w:val="6"/>
              <w:spacing w:before="164" w:line="167" w:lineRule="auto"/>
              <w:ind w:left="13" w:right="337"/>
              <w:rPr>
                <w:sz w:val="21"/>
                <w:szCs w:val="21"/>
              </w:rPr>
            </w:pPr>
            <w:r>
              <w:rPr>
                <w:spacing w:val="-1"/>
                <w:sz w:val="21"/>
                <w:szCs w:val="21"/>
              </w:rPr>
              <w:t>RS485;</w:t>
            </w:r>
            <w:r>
              <w:rPr>
                <w:spacing w:val="10"/>
                <w:sz w:val="21"/>
                <w:szCs w:val="21"/>
              </w:rPr>
              <w:t xml:space="preserve">   </w:t>
            </w:r>
            <w:r>
              <w:rPr>
                <w:spacing w:val="-1"/>
                <w:sz w:val="21"/>
                <w:szCs w:val="21"/>
              </w:rPr>
              <w:t>USB;</w:t>
            </w:r>
            <w:r>
              <w:rPr>
                <w:sz w:val="21"/>
                <w:szCs w:val="21"/>
              </w:rPr>
              <w:t xml:space="preserve"> </w:t>
            </w:r>
            <w:r>
              <w:rPr>
                <w:spacing w:val="-1"/>
                <w:sz w:val="21"/>
                <w:szCs w:val="21"/>
              </w:rPr>
              <w:t>MBUS</w:t>
            </w:r>
          </w:p>
        </w:tc>
        <w:tc>
          <w:tcPr>
            <w:tcW w:w="1798" w:type="dxa"/>
            <w:vAlign w:val="top"/>
          </w:tcPr>
          <w:p w14:paraId="282AE5F1">
            <w:pPr>
              <w:pStyle w:val="6"/>
              <w:spacing w:before="142" w:line="161" w:lineRule="auto"/>
              <w:ind w:left="16" w:right="99"/>
              <w:rPr>
                <w:sz w:val="21"/>
                <w:szCs w:val="21"/>
              </w:rPr>
            </w:pPr>
            <w:r>
              <w:rPr>
                <w:spacing w:val="-2"/>
                <w:sz w:val="25"/>
                <w:szCs w:val="25"/>
              </w:rPr>
              <w:t>RS485;</w:t>
            </w:r>
            <w:r>
              <w:rPr>
                <w:spacing w:val="22"/>
                <w:sz w:val="25"/>
                <w:szCs w:val="25"/>
              </w:rPr>
              <w:t xml:space="preserve">   </w:t>
            </w:r>
            <w:r>
              <w:rPr>
                <w:spacing w:val="-2"/>
                <w:sz w:val="25"/>
                <w:szCs w:val="25"/>
              </w:rPr>
              <w:t>USB;</w:t>
            </w:r>
            <w:r>
              <w:rPr>
                <w:sz w:val="25"/>
                <w:szCs w:val="25"/>
              </w:rPr>
              <w:t xml:space="preserve"> </w:t>
            </w:r>
            <w:r>
              <w:rPr>
                <w:spacing w:val="-1"/>
                <w:sz w:val="21"/>
                <w:szCs w:val="21"/>
              </w:rPr>
              <w:t>MBUS</w:t>
            </w:r>
          </w:p>
        </w:tc>
        <w:tc>
          <w:tcPr>
            <w:tcW w:w="1998" w:type="dxa"/>
            <w:vAlign w:val="top"/>
          </w:tcPr>
          <w:p w14:paraId="5BEB4D3E">
            <w:pPr>
              <w:pStyle w:val="6"/>
              <w:spacing w:before="163" w:line="183" w:lineRule="auto"/>
              <w:ind w:left="117"/>
              <w:rPr>
                <w:sz w:val="25"/>
                <w:szCs w:val="25"/>
              </w:rPr>
            </w:pPr>
            <w:r>
              <w:rPr>
                <w:spacing w:val="-1"/>
                <w:sz w:val="25"/>
                <w:szCs w:val="25"/>
              </w:rPr>
              <w:t>RS485;USB;MBUS</w:t>
            </w:r>
          </w:p>
        </w:tc>
        <w:tc>
          <w:tcPr>
            <w:tcW w:w="629" w:type="dxa"/>
            <w:vMerge w:val="continue"/>
            <w:tcBorders>
              <w:top w:val="nil"/>
              <w:bottom w:val="nil"/>
            </w:tcBorders>
            <w:vAlign w:val="top"/>
          </w:tcPr>
          <w:p w14:paraId="71DAE0E6">
            <w:pPr>
              <w:rPr>
                <w:rFonts w:ascii="Arial"/>
                <w:sz w:val="21"/>
              </w:rPr>
            </w:pPr>
          </w:p>
        </w:tc>
      </w:tr>
      <w:tr w14:paraId="183F8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714" w:type="dxa"/>
            <w:vMerge w:val="continue"/>
            <w:tcBorders>
              <w:top w:val="nil"/>
              <w:bottom w:val="nil"/>
            </w:tcBorders>
            <w:vAlign w:val="top"/>
          </w:tcPr>
          <w:p w14:paraId="59E5E595">
            <w:pPr>
              <w:rPr>
                <w:rFonts w:ascii="Arial"/>
                <w:sz w:val="21"/>
              </w:rPr>
            </w:pPr>
          </w:p>
        </w:tc>
        <w:tc>
          <w:tcPr>
            <w:tcW w:w="140" w:type="dxa"/>
            <w:tcBorders>
              <w:top w:val="nil"/>
              <w:bottom w:val="nil"/>
            </w:tcBorders>
            <w:vAlign w:val="top"/>
          </w:tcPr>
          <w:p w14:paraId="35296864">
            <w:pPr>
              <w:rPr>
                <w:rFonts w:ascii="Arial"/>
                <w:sz w:val="21"/>
              </w:rPr>
            </w:pPr>
          </w:p>
        </w:tc>
        <w:tc>
          <w:tcPr>
            <w:tcW w:w="539" w:type="dxa"/>
            <w:vMerge w:val="continue"/>
            <w:tcBorders>
              <w:top w:val="nil"/>
              <w:bottom w:val="nil"/>
            </w:tcBorders>
            <w:vAlign w:val="top"/>
          </w:tcPr>
          <w:p w14:paraId="10D0796B">
            <w:pPr>
              <w:rPr>
                <w:rFonts w:ascii="Arial"/>
                <w:sz w:val="21"/>
              </w:rPr>
            </w:pPr>
          </w:p>
        </w:tc>
        <w:tc>
          <w:tcPr>
            <w:tcW w:w="1538" w:type="dxa"/>
            <w:vAlign w:val="top"/>
          </w:tcPr>
          <w:p w14:paraId="77BA21CA">
            <w:pPr>
              <w:pStyle w:val="6"/>
              <w:spacing w:before="86" w:line="219" w:lineRule="auto"/>
              <w:jc w:val="right"/>
              <w:rPr>
                <w:sz w:val="25"/>
                <w:szCs w:val="25"/>
              </w:rPr>
            </w:pPr>
            <w:r>
              <w:rPr>
                <w:spacing w:val="-27"/>
                <w:sz w:val="25"/>
                <w:szCs w:val="25"/>
              </w:rPr>
              <w:t>宽×高×深(mm)</w:t>
            </w:r>
          </w:p>
        </w:tc>
        <w:tc>
          <w:tcPr>
            <w:tcW w:w="1748" w:type="dxa"/>
            <w:vAlign w:val="top"/>
          </w:tcPr>
          <w:p w14:paraId="05C9392B">
            <w:pPr>
              <w:pStyle w:val="6"/>
              <w:spacing w:before="112" w:line="200" w:lineRule="auto"/>
              <w:jc w:val="right"/>
              <w:rPr>
                <w:sz w:val="25"/>
                <w:szCs w:val="25"/>
              </w:rPr>
            </w:pPr>
            <w:r>
              <w:rPr>
                <w:spacing w:val="-3"/>
                <w:sz w:val="25"/>
                <w:szCs w:val="25"/>
              </w:rPr>
              <w:t>1048×732×395</w:t>
            </w:r>
          </w:p>
        </w:tc>
        <w:tc>
          <w:tcPr>
            <w:tcW w:w="1798" w:type="dxa"/>
            <w:vAlign w:val="top"/>
          </w:tcPr>
          <w:p w14:paraId="377D1FEC">
            <w:pPr>
              <w:pStyle w:val="6"/>
              <w:spacing w:before="112" w:line="200" w:lineRule="auto"/>
              <w:ind w:left="16"/>
              <w:rPr>
                <w:sz w:val="25"/>
                <w:szCs w:val="25"/>
              </w:rPr>
            </w:pPr>
            <w:r>
              <w:rPr>
                <w:spacing w:val="-3"/>
                <w:sz w:val="25"/>
                <w:szCs w:val="25"/>
              </w:rPr>
              <w:t>1048×732×395</w:t>
            </w:r>
          </w:p>
        </w:tc>
        <w:tc>
          <w:tcPr>
            <w:tcW w:w="1998" w:type="dxa"/>
            <w:vAlign w:val="top"/>
          </w:tcPr>
          <w:p w14:paraId="7534E568">
            <w:pPr>
              <w:pStyle w:val="6"/>
              <w:spacing w:before="112" w:line="200" w:lineRule="auto"/>
              <w:ind w:left="117"/>
              <w:rPr>
                <w:sz w:val="25"/>
                <w:szCs w:val="25"/>
              </w:rPr>
            </w:pPr>
            <w:r>
              <w:rPr>
                <w:spacing w:val="-3"/>
                <w:sz w:val="25"/>
                <w:szCs w:val="25"/>
              </w:rPr>
              <w:t>1035×700×365</w:t>
            </w:r>
          </w:p>
        </w:tc>
        <w:tc>
          <w:tcPr>
            <w:tcW w:w="629" w:type="dxa"/>
            <w:vMerge w:val="continue"/>
            <w:tcBorders>
              <w:top w:val="nil"/>
              <w:bottom w:val="nil"/>
            </w:tcBorders>
            <w:vAlign w:val="top"/>
          </w:tcPr>
          <w:p w14:paraId="76912378">
            <w:pPr>
              <w:rPr>
                <w:rFonts w:ascii="Arial"/>
                <w:sz w:val="21"/>
              </w:rPr>
            </w:pPr>
          </w:p>
        </w:tc>
      </w:tr>
      <w:tr w14:paraId="6FE25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714" w:type="dxa"/>
            <w:vMerge w:val="continue"/>
            <w:tcBorders>
              <w:top w:val="nil"/>
              <w:bottom w:val="nil"/>
            </w:tcBorders>
            <w:vAlign w:val="top"/>
          </w:tcPr>
          <w:p w14:paraId="07F21404">
            <w:pPr>
              <w:rPr>
                <w:rFonts w:ascii="Arial"/>
                <w:sz w:val="21"/>
              </w:rPr>
            </w:pPr>
          </w:p>
        </w:tc>
        <w:tc>
          <w:tcPr>
            <w:tcW w:w="140" w:type="dxa"/>
            <w:tcBorders>
              <w:top w:val="nil"/>
            </w:tcBorders>
            <w:vAlign w:val="top"/>
          </w:tcPr>
          <w:p w14:paraId="2CCA8846">
            <w:pPr>
              <w:rPr>
                <w:rFonts w:ascii="Arial"/>
                <w:sz w:val="21"/>
              </w:rPr>
            </w:pPr>
          </w:p>
        </w:tc>
        <w:tc>
          <w:tcPr>
            <w:tcW w:w="539" w:type="dxa"/>
            <w:vMerge w:val="continue"/>
            <w:tcBorders>
              <w:top w:val="nil"/>
            </w:tcBorders>
            <w:vAlign w:val="top"/>
          </w:tcPr>
          <w:p w14:paraId="58EFDC91">
            <w:pPr>
              <w:rPr>
                <w:rFonts w:ascii="Arial"/>
                <w:sz w:val="21"/>
              </w:rPr>
            </w:pPr>
          </w:p>
        </w:tc>
        <w:tc>
          <w:tcPr>
            <w:tcW w:w="1538" w:type="dxa"/>
            <w:vAlign w:val="top"/>
          </w:tcPr>
          <w:p w14:paraId="786533DF">
            <w:pPr>
              <w:pStyle w:val="6"/>
              <w:spacing w:before="23" w:line="195" w:lineRule="auto"/>
              <w:ind w:left="12"/>
              <w:rPr>
                <w:sz w:val="25"/>
                <w:szCs w:val="25"/>
              </w:rPr>
            </w:pPr>
            <w:r>
              <w:rPr>
                <w:spacing w:val="-16"/>
                <w:sz w:val="25"/>
                <w:szCs w:val="25"/>
              </w:rPr>
              <w:t>重量(含挂架，</w:t>
            </w:r>
            <w:r>
              <w:rPr>
                <w:spacing w:val="1"/>
                <w:sz w:val="25"/>
                <w:szCs w:val="25"/>
              </w:rPr>
              <w:t xml:space="preserve"> </w:t>
            </w:r>
            <w:r>
              <w:rPr>
                <w:spacing w:val="-8"/>
                <w:sz w:val="25"/>
                <w:szCs w:val="25"/>
              </w:rPr>
              <w:t>kg)</w:t>
            </w:r>
          </w:p>
        </w:tc>
        <w:tc>
          <w:tcPr>
            <w:tcW w:w="1748" w:type="dxa"/>
            <w:vAlign w:val="top"/>
          </w:tcPr>
          <w:p w14:paraId="5C863C0A">
            <w:pPr>
              <w:pStyle w:val="6"/>
              <w:spacing w:before="99" w:line="241" w:lineRule="auto"/>
              <w:ind w:left="13"/>
              <w:rPr>
                <w:sz w:val="25"/>
                <w:szCs w:val="25"/>
              </w:rPr>
            </w:pPr>
            <w:r>
              <w:rPr>
                <w:spacing w:val="-7"/>
                <w:sz w:val="25"/>
                <w:szCs w:val="25"/>
              </w:rPr>
              <w:t>112</w:t>
            </w:r>
          </w:p>
        </w:tc>
        <w:tc>
          <w:tcPr>
            <w:tcW w:w="1798" w:type="dxa"/>
            <w:vAlign w:val="top"/>
          </w:tcPr>
          <w:p w14:paraId="4318EA96">
            <w:pPr>
              <w:pStyle w:val="6"/>
              <w:spacing w:before="99" w:line="241" w:lineRule="auto"/>
              <w:ind w:left="16"/>
              <w:rPr>
                <w:sz w:val="25"/>
                <w:szCs w:val="25"/>
              </w:rPr>
            </w:pPr>
            <w:r>
              <w:rPr>
                <w:spacing w:val="-7"/>
                <w:sz w:val="25"/>
                <w:szCs w:val="25"/>
              </w:rPr>
              <w:t>112</w:t>
            </w:r>
          </w:p>
        </w:tc>
        <w:tc>
          <w:tcPr>
            <w:tcW w:w="1998" w:type="dxa"/>
            <w:vAlign w:val="top"/>
          </w:tcPr>
          <w:p w14:paraId="3D2BCFD9">
            <w:pPr>
              <w:pStyle w:val="6"/>
              <w:spacing w:before="98"/>
              <w:ind w:left="868"/>
              <w:rPr>
                <w:sz w:val="25"/>
                <w:szCs w:val="25"/>
              </w:rPr>
            </w:pPr>
            <w:r>
              <w:rPr>
                <w:spacing w:val="-3"/>
                <w:sz w:val="25"/>
                <w:szCs w:val="25"/>
              </w:rPr>
              <w:t>86</w:t>
            </w:r>
          </w:p>
        </w:tc>
        <w:tc>
          <w:tcPr>
            <w:tcW w:w="629" w:type="dxa"/>
            <w:vMerge w:val="continue"/>
            <w:tcBorders>
              <w:top w:val="nil"/>
            </w:tcBorders>
            <w:vAlign w:val="top"/>
          </w:tcPr>
          <w:p w14:paraId="3101FCC9">
            <w:pPr>
              <w:rPr>
                <w:rFonts w:ascii="Arial"/>
                <w:sz w:val="21"/>
              </w:rPr>
            </w:pPr>
          </w:p>
        </w:tc>
      </w:tr>
      <w:tr w14:paraId="106D4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6" w:hRule="atLeast"/>
        </w:trPr>
        <w:tc>
          <w:tcPr>
            <w:tcW w:w="714" w:type="dxa"/>
            <w:vMerge w:val="continue"/>
            <w:tcBorders>
              <w:top w:val="nil"/>
            </w:tcBorders>
            <w:vAlign w:val="top"/>
          </w:tcPr>
          <w:p w14:paraId="305DA345">
            <w:pPr>
              <w:rPr>
                <w:rFonts w:ascii="Arial"/>
                <w:sz w:val="21"/>
              </w:rPr>
            </w:pPr>
          </w:p>
        </w:tc>
        <w:tc>
          <w:tcPr>
            <w:tcW w:w="8390" w:type="dxa"/>
            <w:gridSpan w:val="7"/>
            <w:vAlign w:val="top"/>
          </w:tcPr>
          <w:p w14:paraId="67E18189">
            <w:pPr>
              <w:pStyle w:val="6"/>
              <w:spacing w:before="44" w:line="349" w:lineRule="auto"/>
              <w:ind w:left="90" w:right="536" w:firstLine="489"/>
              <w:rPr>
                <w:sz w:val="25"/>
                <w:szCs w:val="25"/>
              </w:rPr>
            </w:pPr>
            <w:r>
              <w:rPr>
                <w:sz w:val="25"/>
                <w:szCs w:val="25"/>
              </w:rPr>
              <w:t>直流侧装机容量为58.16MWp,交流侧逆变器容量为50MW,经计算，设</w:t>
            </w:r>
            <w:r>
              <w:rPr>
                <w:spacing w:val="11"/>
                <w:sz w:val="25"/>
                <w:szCs w:val="25"/>
              </w:rPr>
              <w:t xml:space="preserve"> </w:t>
            </w:r>
            <w:r>
              <w:rPr>
                <w:spacing w:val="2"/>
                <w:sz w:val="25"/>
                <w:szCs w:val="25"/>
              </w:rPr>
              <w:t>计容配比1.16。</w:t>
            </w:r>
          </w:p>
          <w:p w14:paraId="4AAEF0B3">
            <w:pPr>
              <w:pStyle w:val="6"/>
              <w:spacing w:line="220" w:lineRule="auto"/>
              <w:ind w:left="84"/>
              <w:rPr>
                <w:sz w:val="25"/>
                <w:szCs w:val="25"/>
              </w:rPr>
            </w:pPr>
            <w:r>
              <w:rPr>
                <w:b/>
                <w:bCs/>
                <w:color w:val="C0C0B0"/>
                <w:spacing w:val="-6"/>
                <w:sz w:val="25"/>
                <w:szCs w:val="25"/>
              </w:rPr>
              <w:t>9</w:t>
            </w:r>
            <w:r>
              <w:rPr>
                <w:b/>
                <w:bCs/>
                <w:spacing w:val="-6"/>
                <w:sz w:val="25"/>
                <w:szCs w:val="25"/>
              </w:rPr>
              <w:t>箱式变压器</w:t>
            </w:r>
          </w:p>
          <w:p w14:paraId="72319540">
            <w:pPr>
              <w:pStyle w:val="6"/>
              <w:spacing w:before="173" w:line="345" w:lineRule="auto"/>
              <w:ind w:left="101" w:right="24" w:firstLine="469"/>
              <w:rPr>
                <w:sz w:val="25"/>
                <w:szCs w:val="25"/>
              </w:rPr>
            </w:pPr>
            <w:r>
              <w:rPr>
                <w:sz w:val="25"/>
                <w:szCs w:val="25"/>
              </w:rPr>
              <w:t>每个方阵布置35kV箱式变压器一台，共设置24台箱式变压器本并网光伏</w:t>
            </w:r>
            <w:r>
              <w:rPr>
                <w:spacing w:val="11"/>
                <w:sz w:val="25"/>
                <w:szCs w:val="25"/>
              </w:rPr>
              <w:t xml:space="preserve"> </w:t>
            </w:r>
            <w:r>
              <w:rPr>
                <w:spacing w:val="-6"/>
                <w:sz w:val="25"/>
                <w:szCs w:val="25"/>
              </w:rPr>
              <w:t>电站光伏方阵经逆变、汇集、箱式变压器升压后输出电压为</w:t>
            </w:r>
            <w:r>
              <w:rPr>
                <w:spacing w:val="-7"/>
                <w:sz w:val="25"/>
                <w:szCs w:val="25"/>
              </w:rPr>
              <w:t>35kV。其中900kVA</w:t>
            </w:r>
            <w:r>
              <w:rPr>
                <w:sz w:val="25"/>
                <w:szCs w:val="25"/>
              </w:rPr>
              <w:t xml:space="preserve"> 箱变1台，1250kVA箱变2台，1400kVA箱变1台，1500kV</w:t>
            </w:r>
            <w:r>
              <w:rPr>
                <w:spacing w:val="-1"/>
                <w:sz w:val="25"/>
                <w:szCs w:val="25"/>
              </w:rPr>
              <w:t>A箱变2台，1600kVA</w:t>
            </w:r>
          </w:p>
          <w:p w14:paraId="5E12030B">
            <w:pPr>
              <w:pStyle w:val="6"/>
              <w:spacing w:before="2" w:line="337" w:lineRule="auto"/>
              <w:ind w:left="111" w:right="290" w:hanging="10"/>
              <w:rPr>
                <w:sz w:val="25"/>
                <w:szCs w:val="25"/>
              </w:rPr>
            </w:pPr>
            <w:r>
              <w:rPr>
                <w:sz w:val="25"/>
                <w:szCs w:val="25"/>
              </w:rPr>
              <w:t>箱变3台，1800kVA箱变3台，2200kVA箱变1台，2400kV</w:t>
            </w:r>
            <w:r>
              <w:rPr>
                <w:spacing w:val="-1"/>
                <w:sz w:val="25"/>
                <w:szCs w:val="25"/>
              </w:rPr>
              <w:t>A箱变4台，2500kVA</w:t>
            </w:r>
            <w:r>
              <w:rPr>
                <w:sz w:val="25"/>
                <w:szCs w:val="25"/>
              </w:rPr>
              <w:t xml:space="preserve"> 箱变1台，2700kVA箱变1台，3000kVA箱变3台，3150kVA箱变2台。</w:t>
            </w:r>
          </w:p>
          <w:p w14:paraId="7C733EBA">
            <w:pPr>
              <w:pStyle w:val="6"/>
              <w:spacing w:line="219" w:lineRule="auto"/>
              <w:ind w:left="114"/>
              <w:rPr>
                <w:sz w:val="25"/>
                <w:szCs w:val="25"/>
              </w:rPr>
            </w:pPr>
            <w:r>
              <w:rPr>
                <w:b/>
                <w:bCs/>
                <w:spacing w:val="-3"/>
                <w:sz w:val="25"/>
                <w:szCs w:val="25"/>
              </w:rPr>
              <w:t>10集电线路</w:t>
            </w:r>
          </w:p>
          <w:p w14:paraId="1229C157">
            <w:pPr>
              <w:pStyle w:val="6"/>
              <w:spacing w:before="176" w:line="347" w:lineRule="auto"/>
              <w:ind w:left="111" w:firstLine="454"/>
              <w:jc w:val="both"/>
              <w:rPr>
                <w:sz w:val="25"/>
                <w:szCs w:val="25"/>
              </w:rPr>
            </w:pPr>
            <w:r>
              <w:rPr>
                <w:spacing w:val="-9"/>
                <w:sz w:val="25"/>
                <w:szCs w:val="25"/>
              </w:rPr>
              <w:t>本工程场址较为分散，升压站选址在光伏场</w:t>
            </w:r>
            <w:r>
              <w:rPr>
                <w:spacing w:val="-10"/>
                <w:sz w:val="25"/>
                <w:szCs w:val="25"/>
              </w:rPr>
              <w:t>区中部，光伏组件布置成区块</w:t>
            </w:r>
            <w:r>
              <w:rPr>
                <w:sz w:val="25"/>
                <w:szCs w:val="25"/>
              </w:rPr>
              <w:t xml:space="preserve">  </w:t>
            </w:r>
            <w:r>
              <w:rPr>
                <w:spacing w:val="-10"/>
                <w:sz w:val="25"/>
                <w:szCs w:val="25"/>
              </w:rPr>
              <w:t>布置，集电线路长度相对较长，现阶段推荐采用架空线和电缆</w:t>
            </w:r>
            <w:r>
              <w:rPr>
                <w:spacing w:val="-11"/>
                <w:sz w:val="25"/>
                <w:szCs w:val="25"/>
              </w:rPr>
              <w:t>直埋的方式。考</w:t>
            </w:r>
            <w:r>
              <w:rPr>
                <w:sz w:val="25"/>
                <w:szCs w:val="25"/>
              </w:rPr>
              <w:t xml:space="preserve">  </w:t>
            </w:r>
            <w:r>
              <w:rPr>
                <w:spacing w:val="-14"/>
                <w:sz w:val="25"/>
                <w:szCs w:val="25"/>
              </w:rPr>
              <w:t>虑运行安全可靠又节约投资的情况下，本工程目前阶段电缆推荐采用铝芯电缆。</w:t>
            </w:r>
          </w:p>
          <w:p w14:paraId="386A3B78">
            <w:pPr>
              <w:pStyle w:val="6"/>
              <w:spacing w:before="1" w:line="218" w:lineRule="auto"/>
              <w:ind w:left="570"/>
              <w:rPr>
                <w:sz w:val="25"/>
                <w:szCs w:val="25"/>
              </w:rPr>
            </w:pPr>
            <w:r>
              <w:rPr>
                <w:sz w:val="25"/>
                <w:szCs w:val="25"/>
              </w:rPr>
              <w:t>本工程共拟新建3条35kV集电线路，分别命名为A线、B线、C线；本</w:t>
            </w:r>
          </w:p>
          <w:p w14:paraId="1AABB3F2">
            <w:pPr>
              <w:pStyle w:val="6"/>
              <w:spacing w:before="181" w:line="343" w:lineRule="auto"/>
              <w:ind w:left="111" w:right="9" w:firstLine="10"/>
              <w:rPr>
                <w:sz w:val="25"/>
                <w:szCs w:val="25"/>
              </w:rPr>
            </w:pPr>
            <w:r>
              <w:rPr>
                <w:sz w:val="25"/>
                <w:szCs w:val="25"/>
              </w:rPr>
              <w:t>工程共新建35kKV集电线路路径总长25.326km,因地块分散且光伏距离较</w:t>
            </w:r>
            <w:r>
              <w:rPr>
                <w:spacing w:val="-1"/>
                <w:sz w:val="25"/>
                <w:szCs w:val="25"/>
              </w:rPr>
              <w:t>远，</w:t>
            </w:r>
            <w:r>
              <w:rPr>
                <w:sz w:val="25"/>
                <w:szCs w:val="25"/>
              </w:rPr>
              <w:t xml:space="preserve"> 因此本线路路径较长。35kV集电线路全线共新建93基铁塔，其中新建双回铁</w:t>
            </w:r>
            <w:r>
              <w:rPr>
                <w:spacing w:val="8"/>
                <w:sz w:val="25"/>
                <w:szCs w:val="25"/>
              </w:rPr>
              <w:t xml:space="preserve"> </w:t>
            </w:r>
            <w:r>
              <w:rPr>
                <w:sz w:val="25"/>
                <w:szCs w:val="25"/>
              </w:rPr>
              <w:t>塔17基(其中6基直线、2基T接塔、9基耐张塔),单回路76基(其中32</w:t>
            </w:r>
          </w:p>
          <w:p w14:paraId="3550314F">
            <w:pPr>
              <w:pStyle w:val="6"/>
              <w:spacing w:before="1" w:line="219" w:lineRule="auto"/>
              <w:ind w:left="111"/>
              <w:rPr>
                <w:sz w:val="25"/>
                <w:szCs w:val="25"/>
              </w:rPr>
            </w:pPr>
            <w:r>
              <w:rPr>
                <w:sz w:val="25"/>
                <w:szCs w:val="25"/>
              </w:rPr>
              <w:t>基直线、3基T接塔、41基耐张塔);集电线路路路径总长25.</w:t>
            </w:r>
            <w:r>
              <w:rPr>
                <w:spacing w:val="-1"/>
                <w:sz w:val="25"/>
                <w:szCs w:val="25"/>
              </w:rPr>
              <w:t>326km(其中含</w:t>
            </w:r>
          </w:p>
          <w:p w14:paraId="4CFBAB18">
            <w:pPr>
              <w:pStyle w:val="6"/>
              <w:spacing w:before="169" w:line="216" w:lineRule="auto"/>
              <w:ind w:left="90"/>
              <w:rPr>
                <w:sz w:val="25"/>
                <w:szCs w:val="25"/>
              </w:rPr>
            </w:pPr>
            <w:r>
              <w:rPr>
                <w:spacing w:val="1"/>
                <w:sz w:val="25"/>
                <w:szCs w:val="25"/>
              </w:rPr>
              <w:t>3.135</w:t>
            </w:r>
            <w:r>
              <w:rPr>
                <w:sz w:val="25"/>
                <w:szCs w:val="25"/>
              </w:rPr>
              <w:t>km</w:t>
            </w:r>
            <w:r>
              <w:rPr>
                <w:spacing w:val="1"/>
                <w:sz w:val="25"/>
                <w:szCs w:val="25"/>
              </w:rPr>
              <w:t>同塔双回架空路径)新建A线12.459</w:t>
            </w:r>
            <w:r>
              <w:rPr>
                <w:sz w:val="25"/>
                <w:szCs w:val="25"/>
              </w:rPr>
              <w:t>km</w:t>
            </w:r>
            <w:r>
              <w:rPr>
                <w:spacing w:val="1"/>
                <w:sz w:val="25"/>
                <w:szCs w:val="25"/>
              </w:rPr>
              <w:t>,B线7.810</w:t>
            </w:r>
            <w:r>
              <w:rPr>
                <w:sz w:val="25"/>
                <w:szCs w:val="25"/>
              </w:rPr>
              <w:t>km</w:t>
            </w:r>
            <w:r>
              <w:rPr>
                <w:spacing w:val="1"/>
                <w:sz w:val="25"/>
                <w:szCs w:val="25"/>
              </w:rPr>
              <w:t>,C线5.057</w:t>
            </w:r>
            <w:r>
              <w:rPr>
                <w:sz w:val="25"/>
                <w:szCs w:val="25"/>
              </w:rPr>
              <w:t>km</w:t>
            </w:r>
            <w:r>
              <w:rPr>
                <w:spacing w:val="1"/>
                <w:sz w:val="25"/>
                <w:szCs w:val="25"/>
              </w:rPr>
              <w:t>)</w:t>
            </w:r>
          </w:p>
          <w:p w14:paraId="67B47B82">
            <w:pPr>
              <w:pStyle w:val="6"/>
              <w:spacing w:before="178" w:line="345" w:lineRule="auto"/>
              <w:ind w:left="90" w:firstLine="19"/>
              <w:rPr>
                <w:sz w:val="25"/>
                <w:szCs w:val="25"/>
              </w:rPr>
            </w:pPr>
            <w:r>
              <w:rPr>
                <w:spacing w:val="-1"/>
                <w:sz w:val="25"/>
                <w:szCs w:val="25"/>
              </w:rPr>
              <w:t>架空导线采用JL/G1A-240/30型钢芯铝</w:t>
            </w:r>
            <w:r>
              <w:rPr>
                <w:spacing w:val="-2"/>
                <w:sz w:val="25"/>
                <w:szCs w:val="25"/>
              </w:rPr>
              <w:t>绞线；B线因主线线路较远，导线采用</w:t>
            </w:r>
            <w:r>
              <w:rPr>
                <w:sz w:val="25"/>
                <w:szCs w:val="25"/>
              </w:rPr>
              <w:t xml:space="preserve"> </w:t>
            </w:r>
            <w:r>
              <w:rPr>
                <w:spacing w:val="-2"/>
                <w:sz w:val="25"/>
                <w:szCs w:val="25"/>
              </w:rPr>
              <w:t>JL/G1A-300/40的型钢芯铝绞线；T接线采用JL/G1A-150/25的型钢芯铝绞线。</w:t>
            </w:r>
            <w:r>
              <w:rPr>
                <w:spacing w:val="7"/>
                <w:sz w:val="25"/>
                <w:szCs w:val="25"/>
              </w:rPr>
              <w:t xml:space="preserve"> </w:t>
            </w:r>
            <w:r>
              <w:rPr>
                <w:spacing w:val="-2"/>
                <w:sz w:val="25"/>
                <w:szCs w:val="25"/>
              </w:rPr>
              <w:t>双回架空地线采用1根48芯OPGW-50的光缆；单回地线采用1根24芯</w:t>
            </w:r>
          </w:p>
          <w:p w14:paraId="47C66C76">
            <w:pPr>
              <w:pStyle w:val="6"/>
              <w:spacing w:before="2" w:line="342" w:lineRule="auto"/>
              <w:ind w:left="120" w:right="399" w:hanging="30"/>
              <w:rPr>
                <w:sz w:val="25"/>
                <w:szCs w:val="25"/>
              </w:rPr>
            </w:pPr>
            <w:r>
              <w:rPr>
                <w:sz w:val="25"/>
                <w:szCs w:val="25"/>
              </w:rPr>
              <w:t>OPGW</w:t>
            </w:r>
            <w:r>
              <w:rPr>
                <w:spacing w:val="4"/>
                <w:sz w:val="25"/>
                <w:szCs w:val="25"/>
              </w:rPr>
              <w:t>-50的光缆。35</w:t>
            </w:r>
            <w:r>
              <w:rPr>
                <w:sz w:val="25"/>
                <w:szCs w:val="25"/>
              </w:rPr>
              <w:t>kV</w:t>
            </w:r>
            <w:r>
              <w:rPr>
                <w:spacing w:val="4"/>
                <w:sz w:val="25"/>
                <w:szCs w:val="25"/>
              </w:rPr>
              <w:t>集电线路采用</w:t>
            </w:r>
            <w:r>
              <w:rPr>
                <w:sz w:val="25"/>
                <w:szCs w:val="25"/>
              </w:rPr>
              <w:t>ZRC</w:t>
            </w:r>
            <w:r>
              <w:rPr>
                <w:spacing w:val="4"/>
                <w:sz w:val="25"/>
                <w:szCs w:val="25"/>
              </w:rPr>
              <w:t>-</w:t>
            </w:r>
            <w:r>
              <w:rPr>
                <w:sz w:val="25"/>
                <w:szCs w:val="25"/>
              </w:rPr>
              <w:t>YJLHV</w:t>
            </w:r>
            <w:r>
              <w:rPr>
                <w:spacing w:val="4"/>
                <w:sz w:val="25"/>
                <w:szCs w:val="25"/>
              </w:rPr>
              <w:t>22-26/35</w:t>
            </w:r>
            <w:r>
              <w:rPr>
                <w:sz w:val="25"/>
                <w:szCs w:val="25"/>
              </w:rPr>
              <w:t>kV</w:t>
            </w:r>
            <w:r>
              <w:rPr>
                <w:spacing w:val="4"/>
                <w:sz w:val="25"/>
                <w:szCs w:val="25"/>
              </w:rPr>
              <w:t>-3×400</w:t>
            </w:r>
            <w:r>
              <w:rPr>
                <w:sz w:val="25"/>
                <w:szCs w:val="25"/>
              </w:rPr>
              <w:t>mm</w:t>
            </w:r>
            <w:r>
              <w:rPr>
                <w:spacing w:val="4"/>
                <w:sz w:val="25"/>
                <w:szCs w:val="25"/>
              </w:rPr>
              <w:t>²的</w:t>
            </w:r>
            <w:r>
              <w:rPr>
                <w:spacing w:val="10"/>
                <w:sz w:val="25"/>
                <w:szCs w:val="25"/>
              </w:rPr>
              <w:t xml:space="preserve"> </w:t>
            </w:r>
            <w:r>
              <w:rPr>
                <w:sz w:val="25"/>
                <w:szCs w:val="25"/>
              </w:rPr>
              <w:t>主电缆，电缆路径总长约为14.630km。</w:t>
            </w:r>
          </w:p>
          <w:p w14:paraId="35E2FAC6">
            <w:pPr>
              <w:pStyle w:val="6"/>
              <w:spacing w:line="219" w:lineRule="auto"/>
              <w:ind w:left="114"/>
              <w:rPr>
                <w:sz w:val="25"/>
                <w:szCs w:val="25"/>
              </w:rPr>
            </w:pPr>
            <w:r>
              <w:rPr>
                <w:b/>
                <w:bCs/>
                <w:spacing w:val="-3"/>
                <w:sz w:val="25"/>
                <w:szCs w:val="25"/>
              </w:rPr>
              <w:t>1135kV集电线路杆塔设计</w:t>
            </w:r>
          </w:p>
          <w:p w14:paraId="1997B6EF">
            <w:pPr>
              <w:pStyle w:val="6"/>
              <w:spacing w:before="188" w:line="221" w:lineRule="auto"/>
              <w:ind w:left="711"/>
              <w:rPr>
                <w:sz w:val="25"/>
                <w:szCs w:val="25"/>
              </w:rPr>
            </w:pPr>
            <w:r>
              <w:rPr>
                <w:spacing w:val="1"/>
                <w:sz w:val="25"/>
                <w:szCs w:val="25"/>
              </w:rPr>
              <w:t>(1)铁塔规划</w:t>
            </w:r>
          </w:p>
        </w:tc>
      </w:tr>
    </w:tbl>
    <w:p w14:paraId="2F373105">
      <w:pPr>
        <w:pStyle w:val="2"/>
      </w:pPr>
    </w:p>
    <w:p w14:paraId="4C0FF662">
      <w:pPr>
        <w:sectPr>
          <w:footerReference r:id="rId65" w:type="default"/>
          <w:pgSz w:w="11910" w:h="16830"/>
          <w:pgMar w:top="400" w:right="1410" w:bottom="1243" w:left="1385" w:header="0" w:footer="1083" w:gutter="0"/>
          <w:cols w:space="720" w:num="1"/>
        </w:sectPr>
      </w:pPr>
    </w:p>
    <w:p w14:paraId="02325462">
      <w:pPr>
        <w:spacing w:before="15"/>
      </w:pPr>
    </w:p>
    <w:p w14:paraId="7DD05550">
      <w:pPr>
        <w:spacing w:before="15"/>
      </w:pPr>
    </w:p>
    <w:p w14:paraId="002B113D">
      <w:pPr>
        <w:spacing w:before="15"/>
      </w:pPr>
    </w:p>
    <w:p w14:paraId="515FD34F">
      <w:pPr>
        <w:spacing w:before="14"/>
      </w:pPr>
    </w:p>
    <w:tbl>
      <w:tblPr>
        <w:tblStyle w:val="5"/>
        <w:tblW w:w="91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8391"/>
      </w:tblGrid>
      <w:tr w14:paraId="25CA9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714" w:type="dxa"/>
            <w:vAlign w:val="top"/>
          </w:tcPr>
          <w:p w14:paraId="7F80C8B6">
            <w:pPr>
              <w:rPr>
                <w:rFonts w:ascii="Arial"/>
                <w:sz w:val="21"/>
              </w:rPr>
            </w:pPr>
          </w:p>
        </w:tc>
        <w:tc>
          <w:tcPr>
            <w:tcW w:w="8391" w:type="dxa"/>
            <w:vAlign w:val="top"/>
          </w:tcPr>
          <w:p w14:paraId="6AA200C3">
            <w:pPr>
              <w:pStyle w:val="6"/>
              <w:spacing w:before="13" w:line="219" w:lineRule="auto"/>
              <w:ind w:left="580"/>
              <w:rPr>
                <w:sz w:val="24"/>
                <w:szCs w:val="24"/>
              </w:rPr>
            </w:pPr>
            <w:r>
              <w:rPr>
                <w:sz w:val="24"/>
                <w:szCs w:val="24"/>
              </w:rPr>
              <w:t>新建单回路35kV铁塔采用典型设计35B08模块</w:t>
            </w:r>
            <w:r>
              <w:rPr>
                <w:spacing w:val="-1"/>
                <w:sz w:val="24"/>
                <w:szCs w:val="24"/>
              </w:rPr>
              <w:t>系列铁塔，该模块为海拔</w:t>
            </w:r>
          </w:p>
          <w:p w14:paraId="7B17A3FD">
            <w:pPr>
              <w:pStyle w:val="6"/>
              <w:spacing w:before="184" w:line="362" w:lineRule="auto"/>
              <w:ind w:left="119" w:hanging="29"/>
              <w:rPr>
                <w:sz w:val="24"/>
                <w:szCs w:val="24"/>
              </w:rPr>
            </w:pPr>
            <w:r>
              <w:rPr>
                <w:sz w:val="24"/>
                <w:szCs w:val="24"/>
              </w:rPr>
              <w:t>0～2000m、基本风速30m/s(离地面10m)、覆冰厚度10mm、导线JL/G1A-240/30、</w:t>
            </w:r>
            <w:r>
              <w:rPr>
                <w:spacing w:val="8"/>
                <w:sz w:val="24"/>
                <w:szCs w:val="24"/>
              </w:rPr>
              <w:t xml:space="preserve"> </w:t>
            </w:r>
            <w:r>
              <w:rPr>
                <w:spacing w:val="-3"/>
                <w:sz w:val="24"/>
                <w:szCs w:val="24"/>
              </w:rPr>
              <w:t>地线OPGW-24B1-50的单回路铁塔，基本符合本工程所需塔型使用条件。</w:t>
            </w:r>
          </w:p>
          <w:p w14:paraId="02BE0EE3">
            <w:pPr>
              <w:pStyle w:val="6"/>
              <w:spacing w:line="218" w:lineRule="auto"/>
              <w:ind w:left="580"/>
              <w:rPr>
                <w:sz w:val="24"/>
                <w:szCs w:val="24"/>
              </w:rPr>
            </w:pPr>
            <w:r>
              <w:rPr>
                <w:sz w:val="24"/>
                <w:szCs w:val="24"/>
              </w:rPr>
              <w:t>新建双回路35KV铁塔采用典型设计35B05模块</w:t>
            </w:r>
            <w:r>
              <w:rPr>
                <w:spacing w:val="-1"/>
                <w:sz w:val="24"/>
                <w:szCs w:val="24"/>
              </w:rPr>
              <w:t>系列铁塔，该模块为海拔</w:t>
            </w:r>
          </w:p>
          <w:p w14:paraId="5CE0E10B">
            <w:pPr>
              <w:pStyle w:val="6"/>
              <w:spacing w:before="185" w:line="358" w:lineRule="auto"/>
              <w:ind w:left="119" w:hanging="29"/>
              <w:rPr>
                <w:sz w:val="24"/>
                <w:szCs w:val="24"/>
              </w:rPr>
            </w:pPr>
            <w:r>
              <w:rPr>
                <w:sz w:val="24"/>
                <w:szCs w:val="24"/>
              </w:rPr>
              <w:t>0～1000m、基本风速25m/s(离地面10m)、覆冰厚度10mm、导线JL/G1A-240/30、</w:t>
            </w:r>
            <w:r>
              <w:rPr>
                <w:spacing w:val="8"/>
                <w:sz w:val="24"/>
                <w:szCs w:val="24"/>
              </w:rPr>
              <w:t xml:space="preserve"> </w:t>
            </w:r>
            <w:r>
              <w:rPr>
                <w:spacing w:val="-3"/>
                <w:sz w:val="24"/>
                <w:szCs w:val="24"/>
              </w:rPr>
              <w:t>地线OPGW-24B1-50的单回路铁塔，基本符合本工程所需塔型使用条件。</w:t>
            </w:r>
          </w:p>
          <w:p w14:paraId="48E47A8E">
            <w:pPr>
              <w:pStyle w:val="6"/>
              <w:spacing w:line="218" w:lineRule="auto"/>
              <w:ind w:left="580"/>
              <w:rPr>
                <w:sz w:val="24"/>
                <w:szCs w:val="24"/>
              </w:rPr>
            </w:pPr>
            <w:r>
              <w:rPr>
                <w:sz w:val="24"/>
                <w:szCs w:val="24"/>
              </w:rPr>
              <w:t>新建双回路35kV铁塔采用典型设计35B16模块</w:t>
            </w:r>
            <w:r>
              <w:rPr>
                <w:spacing w:val="-1"/>
                <w:sz w:val="24"/>
                <w:szCs w:val="24"/>
              </w:rPr>
              <w:t>系列铁塔，该模块为海拔</w:t>
            </w:r>
          </w:p>
          <w:p w14:paraId="1D848A3D">
            <w:pPr>
              <w:pStyle w:val="6"/>
              <w:spacing w:before="204" w:line="349" w:lineRule="auto"/>
              <w:ind w:left="119" w:hanging="29"/>
              <w:rPr>
                <w:sz w:val="24"/>
                <w:szCs w:val="24"/>
              </w:rPr>
            </w:pPr>
            <w:r>
              <w:rPr>
                <w:sz w:val="24"/>
                <w:szCs w:val="24"/>
              </w:rPr>
              <w:t>0～2000m、基本风速30m/s(离地面10m)、覆冰厚度10mm、导线JL/G1A-300/40、</w:t>
            </w:r>
            <w:r>
              <w:rPr>
                <w:spacing w:val="8"/>
                <w:sz w:val="24"/>
                <w:szCs w:val="24"/>
              </w:rPr>
              <w:t xml:space="preserve"> </w:t>
            </w:r>
            <w:r>
              <w:rPr>
                <w:spacing w:val="-3"/>
                <w:sz w:val="24"/>
                <w:szCs w:val="24"/>
              </w:rPr>
              <w:t>地线OPGW-24B1-50的单回路铁塔，基本符合本工程所需塔型使用条件。</w:t>
            </w:r>
          </w:p>
          <w:p w14:paraId="5DD9D02F">
            <w:pPr>
              <w:pStyle w:val="6"/>
              <w:spacing w:before="24" w:line="219" w:lineRule="auto"/>
              <w:ind w:left="711"/>
              <w:rPr>
                <w:sz w:val="24"/>
                <w:szCs w:val="24"/>
              </w:rPr>
            </w:pPr>
            <w:r>
              <w:rPr>
                <w:spacing w:val="1"/>
                <w:sz w:val="24"/>
                <w:szCs w:val="24"/>
              </w:rPr>
              <w:t>(2)杆塔材料</w:t>
            </w:r>
          </w:p>
          <w:p w14:paraId="3A97A3EA">
            <w:pPr>
              <w:pStyle w:val="6"/>
              <w:spacing w:before="174" w:line="217" w:lineRule="auto"/>
              <w:ind w:left="590"/>
              <w:rPr>
                <w:sz w:val="24"/>
                <w:szCs w:val="24"/>
              </w:rPr>
            </w:pPr>
            <w:r>
              <w:rPr>
                <w:sz w:val="24"/>
                <w:szCs w:val="24"/>
              </w:rPr>
              <w:t>①全部铁塔的结构部件，均采用热镀锌防腐。</w:t>
            </w:r>
          </w:p>
          <w:p w14:paraId="4A459AF7">
            <w:pPr>
              <w:pStyle w:val="6"/>
              <w:spacing w:before="177" w:line="295" w:lineRule="auto"/>
              <w:ind w:left="90" w:right="560" w:firstLine="499"/>
              <w:rPr>
                <w:sz w:val="24"/>
                <w:szCs w:val="24"/>
              </w:rPr>
            </w:pPr>
            <w:r>
              <w:rPr>
                <w:spacing w:val="1"/>
                <w:sz w:val="24"/>
                <w:szCs w:val="24"/>
              </w:rPr>
              <w:t>②本工程使用铁塔主材和部分斜材采用Q345等边角钢，其它</w:t>
            </w:r>
            <w:r>
              <w:rPr>
                <w:sz w:val="24"/>
                <w:szCs w:val="24"/>
              </w:rPr>
              <w:t>材料采用 Q235等边角钢。节点板一般采用Q235钢板，重要节点采用Q345钢板。</w:t>
            </w:r>
          </w:p>
          <w:p w14:paraId="3D52390C">
            <w:pPr>
              <w:pStyle w:val="6"/>
              <w:spacing w:before="174" w:line="287" w:lineRule="auto"/>
              <w:ind w:left="121" w:right="117" w:firstLine="469"/>
              <w:rPr>
                <w:sz w:val="24"/>
                <w:szCs w:val="24"/>
              </w:rPr>
            </w:pPr>
            <w:r>
              <w:rPr>
                <w:sz w:val="24"/>
                <w:szCs w:val="24"/>
              </w:rPr>
              <w:t>③铁塔除底脚板等局部构件采用焊接以外，一般均采</w:t>
            </w:r>
            <w:r>
              <w:rPr>
                <w:spacing w:val="-1"/>
                <w:sz w:val="24"/>
                <w:szCs w:val="24"/>
              </w:rPr>
              <w:t>用螺栓连接。本工程</w:t>
            </w:r>
            <w:r>
              <w:rPr>
                <w:sz w:val="24"/>
                <w:szCs w:val="24"/>
              </w:rPr>
              <w:t xml:space="preserve"> 的M16螺栓采用4.8级，M20、M24螺栓采用6.8级。</w:t>
            </w:r>
          </w:p>
          <w:p w14:paraId="33183F05">
            <w:pPr>
              <w:pStyle w:val="6"/>
              <w:spacing w:before="185" w:line="291" w:lineRule="auto"/>
              <w:ind w:left="101" w:right="367" w:firstLine="479"/>
              <w:rPr>
                <w:sz w:val="24"/>
                <w:szCs w:val="24"/>
              </w:rPr>
            </w:pPr>
            <w:r>
              <w:rPr>
                <w:sz w:val="24"/>
                <w:szCs w:val="24"/>
              </w:rPr>
              <w:t>④从基础面算起铁塔8m以内加装防盗装置，铁塔下</w:t>
            </w:r>
            <w:r>
              <w:rPr>
                <w:spacing w:val="-1"/>
                <w:sz w:val="24"/>
                <w:szCs w:val="24"/>
              </w:rPr>
              <w:t>层横担底以上部分采</w:t>
            </w:r>
            <w:r>
              <w:rPr>
                <w:sz w:val="24"/>
                <w:szCs w:val="24"/>
              </w:rPr>
              <w:t xml:space="preserve"> 用防松装置。</w:t>
            </w:r>
          </w:p>
          <w:p w14:paraId="0F266D3F">
            <w:pPr>
              <w:pStyle w:val="6"/>
              <w:spacing w:before="172" w:line="220" w:lineRule="auto"/>
              <w:ind w:left="124"/>
              <w:rPr>
                <w:sz w:val="24"/>
                <w:szCs w:val="24"/>
              </w:rPr>
            </w:pPr>
            <w:r>
              <w:rPr>
                <w:b/>
                <w:bCs/>
                <w:spacing w:val="-2"/>
                <w:sz w:val="24"/>
                <w:szCs w:val="24"/>
              </w:rPr>
              <w:t>12储能系统</w:t>
            </w:r>
          </w:p>
          <w:p w14:paraId="75750FC6">
            <w:pPr>
              <w:pStyle w:val="6"/>
              <w:spacing w:before="184" w:line="216" w:lineRule="auto"/>
              <w:ind w:left="590"/>
              <w:rPr>
                <w:sz w:val="24"/>
                <w:szCs w:val="24"/>
              </w:rPr>
            </w:pPr>
            <w:r>
              <w:rPr>
                <w:spacing w:val="-2"/>
                <w:sz w:val="24"/>
                <w:szCs w:val="24"/>
              </w:rPr>
              <w:t>本期配置储能容量为5MW/10MW</w:t>
            </w:r>
            <w:r>
              <w:rPr>
                <w:spacing w:val="-22"/>
                <w:sz w:val="24"/>
                <w:szCs w:val="24"/>
              </w:rPr>
              <w:t xml:space="preserve"> </w:t>
            </w:r>
            <w:r>
              <w:rPr>
                <w:spacing w:val="-2"/>
                <w:sz w:val="24"/>
                <w:szCs w:val="24"/>
              </w:rPr>
              <w:t>·h,位于升压站的西侧，储能系统采用</w:t>
            </w:r>
          </w:p>
          <w:p w14:paraId="49F358A0">
            <w:pPr>
              <w:pStyle w:val="6"/>
              <w:spacing w:before="181" w:line="219" w:lineRule="auto"/>
              <w:jc w:val="right"/>
              <w:rPr>
                <w:sz w:val="24"/>
                <w:szCs w:val="24"/>
              </w:rPr>
            </w:pPr>
            <w:r>
              <w:rPr>
                <w:spacing w:val="-1"/>
                <w:sz w:val="24"/>
                <w:szCs w:val="24"/>
              </w:rPr>
              <w:t>集装箱一体化设计方案，单套储能单元由1台“逆变”一体储能变流器户外机和</w:t>
            </w:r>
          </w:p>
          <w:p w14:paraId="1D85C8AE">
            <w:pPr>
              <w:pStyle w:val="6"/>
              <w:spacing w:before="195" w:line="219" w:lineRule="auto"/>
              <w:ind w:left="131"/>
              <w:rPr>
                <w:sz w:val="24"/>
                <w:szCs w:val="24"/>
              </w:rPr>
            </w:pPr>
            <w:r>
              <w:rPr>
                <w:spacing w:val="37"/>
                <w:sz w:val="24"/>
                <w:szCs w:val="24"/>
              </w:rPr>
              <w:t>1台磷酸铁锂电池集装箱组成，5</w:t>
            </w:r>
            <w:r>
              <w:rPr>
                <w:sz w:val="24"/>
                <w:szCs w:val="24"/>
              </w:rPr>
              <w:t>MW</w:t>
            </w:r>
            <w:r>
              <w:rPr>
                <w:spacing w:val="37"/>
                <w:sz w:val="24"/>
                <w:szCs w:val="24"/>
              </w:rPr>
              <w:t>/10</w:t>
            </w:r>
            <w:r>
              <w:rPr>
                <w:sz w:val="24"/>
                <w:szCs w:val="24"/>
              </w:rPr>
              <w:t>MW</w:t>
            </w:r>
            <w:r>
              <w:rPr>
                <w:spacing w:val="37"/>
                <w:sz w:val="24"/>
                <w:szCs w:val="24"/>
              </w:rPr>
              <w:t xml:space="preserve"> ·</w:t>
            </w:r>
            <w:r>
              <w:rPr>
                <w:spacing w:val="-56"/>
                <w:sz w:val="24"/>
                <w:szCs w:val="24"/>
              </w:rPr>
              <w:t xml:space="preserve"> </w:t>
            </w:r>
            <w:r>
              <w:rPr>
                <w:spacing w:val="37"/>
                <w:sz w:val="24"/>
                <w:szCs w:val="24"/>
              </w:rPr>
              <w:t>h储能系统初拟采用2套</w:t>
            </w:r>
          </w:p>
          <w:p w14:paraId="3762FE82">
            <w:pPr>
              <w:pStyle w:val="6"/>
              <w:spacing w:before="195" w:line="219" w:lineRule="auto"/>
              <w:ind w:left="101"/>
              <w:rPr>
                <w:sz w:val="24"/>
                <w:szCs w:val="24"/>
              </w:rPr>
            </w:pPr>
            <w:r>
              <w:rPr>
                <w:spacing w:val="-2"/>
                <w:sz w:val="24"/>
                <w:szCs w:val="24"/>
              </w:rPr>
              <w:t>2.5MW/5.0MW</w:t>
            </w:r>
            <w:r>
              <w:rPr>
                <w:spacing w:val="-27"/>
                <w:sz w:val="24"/>
                <w:szCs w:val="24"/>
              </w:rPr>
              <w:t xml:space="preserve"> </w:t>
            </w:r>
            <w:r>
              <w:rPr>
                <w:spacing w:val="-2"/>
                <w:sz w:val="24"/>
                <w:szCs w:val="24"/>
              </w:rPr>
              <w:t>·h储能单元组成。电池单元采用模块化设计，每套</w:t>
            </w:r>
            <w:r>
              <w:rPr>
                <w:spacing w:val="-3"/>
                <w:sz w:val="24"/>
                <w:szCs w:val="24"/>
              </w:rPr>
              <w:t>储能单元包</w:t>
            </w:r>
          </w:p>
          <w:p w14:paraId="6271B701">
            <w:pPr>
              <w:pStyle w:val="6"/>
              <w:spacing w:before="185" w:line="356" w:lineRule="auto"/>
              <w:ind w:left="121" w:right="437" w:firstLine="10"/>
              <w:rPr>
                <w:sz w:val="24"/>
                <w:szCs w:val="24"/>
              </w:rPr>
            </w:pPr>
            <w:r>
              <w:rPr>
                <w:sz w:val="24"/>
                <w:szCs w:val="24"/>
              </w:rPr>
              <w:t>含1套储能电池和1套储能集成系统(变流-升压一体化装置)。预制舱内具有</w:t>
            </w:r>
            <w:r>
              <w:rPr>
                <w:spacing w:val="11"/>
                <w:sz w:val="24"/>
                <w:szCs w:val="24"/>
              </w:rPr>
              <w:t xml:space="preserve"> </w:t>
            </w:r>
            <w:r>
              <w:rPr>
                <w:spacing w:val="-2"/>
                <w:sz w:val="24"/>
                <w:szCs w:val="24"/>
              </w:rPr>
              <w:t>温控、消防、照明、视频监控等保护系统。5MW/10MW</w:t>
            </w:r>
            <w:r>
              <w:rPr>
                <w:spacing w:val="-27"/>
                <w:sz w:val="24"/>
                <w:szCs w:val="24"/>
              </w:rPr>
              <w:t xml:space="preserve"> </w:t>
            </w:r>
            <w:r>
              <w:rPr>
                <w:spacing w:val="-3"/>
                <w:sz w:val="24"/>
                <w:szCs w:val="24"/>
              </w:rPr>
              <w:t>·h储能系统通过1个</w:t>
            </w:r>
            <w:r>
              <w:rPr>
                <w:sz w:val="24"/>
                <w:szCs w:val="24"/>
              </w:rPr>
              <w:t xml:space="preserve">  </w:t>
            </w:r>
            <w:r>
              <w:rPr>
                <w:spacing w:val="-1"/>
                <w:sz w:val="24"/>
                <w:szCs w:val="24"/>
              </w:rPr>
              <w:t>回路接入升压站35kV母线。</w:t>
            </w:r>
          </w:p>
          <w:p w14:paraId="42CBDDAF">
            <w:pPr>
              <w:pStyle w:val="6"/>
              <w:spacing w:line="219" w:lineRule="auto"/>
              <w:ind w:left="124"/>
              <w:rPr>
                <w:sz w:val="24"/>
                <w:szCs w:val="24"/>
              </w:rPr>
            </w:pPr>
            <w:r>
              <w:rPr>
                <w:b/>
                <w:bCs/>
                <w:spacing w:val="-3"/>
                <w:sz w:val="24"/>
                <w:szCs w:val="24"/>
              </w:rPr>
              <w:t>13进场及场内道路</w:t>
            </w:r>
          </w:p>
          <w:p w14:paraId="4FBFC02A">
            <w:pPr>
              <w:pStyle w:val="6"/>
              <w:spacing w:before="189" w:line="345" w:lineRule="auto"/>
              <w:ind w:left="121" w:firstLine="459"/>
              <w:rPr>
                <w:sz w:val="24"/>
                <w:szCs w:val="24"/>
              </w:rPr>
            </w:pPr>
            <w:r>
              <w:rPr>
                <w:sz w:val="24"/>
                <w:szCs w:val="24"/>
              </w:rPr>
              <w:t>场区设置2个以上出入口。场区内的道路根据地形及光伏板矩阵布置设置， 尽量利用现有道路，其它道路设置满足场区交通运输需求，且坡度不宜过</w:t>
            </w:r>
            <w:r>
              <w:rPr>
                <w:spacing w:val="-1"/>
                <w:sz w:val="24"/>
                <w:szCs w:val="24"/>
              </w:rPr>
              <w:t>大。</w:t>
            </w:r>
            <w:r>
              <w:rPr>
                <w:sz w:val="24"/>
                <w:szCs w:val="24"/>
              </w:rPr>
              <w:t xml:space="preserve">  考虑到光伏设备组件整体尺寸不大，对运输道路要求不高，为节约投资，对道</w:t>
            </w:r>
          </w:p>
        </w:tc>
      </w:tr>
    </w:tbl>
    <w:p w14:paraId="6851C3B9">
      <w:pPr>
        <w:pStyle w:val="2"/>
      </w:pPr>
    </w:p>
    <w:p w14:paraId="3588BE60">
      <w:pPr>
        <w:sectPr>
          <w:footerReference r:id="rId66" w:type="default"/>
          <w:pgSz w:w="11910" w:h="16830"/>
          <w:pgMar w:top="400" w:right="1409" w:bottom="1245" w:left="1385" w:header="0" w:footer="1083" w:gutter="0"/>
          <w:cols w:space="720" w:num="1"/>
        </w:sectPr>
      </w:pPr>
    </w:p>
    <w:p w14:paraId="41F3D522">
      <w:pPr>
        <w:spacing w:before="47" w:line="354" w:lineRule="auto"/>
        <w:ind w:left="850" w:right="118"/>
        <w:rPr>
          <w:rFonts w:ascii="宋体" w:hAnsi="宋体" w:eastAsia="宋体" w:cs="宋体"/>
          <w:sz w:val="24"/>
          <w:szCs w:val="24"/>
        </w:rPr>
      </w:pPr>
      <w:r>
        <w:rPr>
          <w:rFonts w:ascii="宋体" w:hAnsi="宋体" w:eastAsia="宋体" w:cs="宋体"/>
          <w:spacing w:val="7"/>
          <w:sz w:val="24"/>
          <w:szCs w:val="24"/>
        </w:rPr>
        <w:t>路范围内的场地稍作平整硬化处理，场区内道路纵坡坡度不大于15%,横向坡</w:t>
      </w:r>
      <w:r>
        <w:rPr>
          <w:rFonts w:ascii="宋体" w:hAnsi="宋体" w:eastAsia="宋体" w:cs="宋体"/>
          <w:spacing w:val="15"/>
          <w:sz w:val="24"/>
          <w:szCs w:val="24"/>
        </w:rPr>
        <w:t xml:space="preserve"> </w:t>
      </w:r>
      <w:r>
        <w:rPr>
          <w:rFonts w:ascii="宋体" w:hAnsi="宋体" w:eastAsia="宋体" w:cs="宋体"/>
          <w:spacing w:val="9"/>
          <w:sz w:val="24"/>
          <w:szCs w:val="24"/>
        </w:rPr>
        <w:t>度为2%～3%,道路路基宽度为4.0</w:t>
      </w:r>
      <w:r>
        <w:rPr>
          <w:rFonts w:ascii="Times New Roman" w:hAnsi="Times New Roman" w:eastAsia="Times New Roman" w:cs="Times New Roman"/>
          <w:spacing w:val="9"/>
          <w:sz w:val="24"/>
          <w:szCs w:val="24"/>
        </w:rPr>
        <w:t xml:space="preserve">m,  </w:t>
      </w:r>
      <w:r>
        <w:rPr>
          <w:rFonts w:ascii="宋体" w:hAnsi="宋体" w:eastAsia="宋体" w:cs="宋体"/>
          <w:spacing w:val="9"/>
          <w:sz w:val="24"/>
          <w:szCs w:val="24"/>
        </w:rPr>
        <w:t>路面宽度为3.5</w:t>
      </w:r>
      <w:r>
        <w:rPr>
          <w:rFonts w:ascii="Times New Roman" w:hAnsi="Times New Roman" w:eastAsia="Times New Roman" w:cs="Times New Roman"/>
          <w:spacing w:val="9"/>
          <w:sz w:val="24"/>
          <w:szCs w:val="24"/>
        </w:rPr>
        <w:t xml:space="preserve">m,  </w:t>
      </w:r>
      <w:r>
        <w:rPr>
          <w:rFonts w:ascii="宋体" w:hAnsi="宋体" w:eastAsia="宋体" w:cs="宋体"/>
          <w:spacing w:val="9"/>
          <w:sz w:val="24"/>
          <w:szCs w:val="24"/>
        </w:rPr>
        <w:t>转弯半径为12</w:t>
      </w:r>
      <w:r>
        <w:rPr>
          <w:rFonts w:ascii="Times New Roman" w:hAnsi="Times New Roman" w:eastAsia="Times New Roman" w:cs="Times New Roman"/>
          <w:spacing w:val="9"/>
          <w:sz w:val="24"/>
          <w:szCs w:val="24"/>
        </w:rPr>
        <w:t xml:space="preserve">m,  </w:t>
      </w:r>
      <w:r>
        <w:rPr>
          <w:rFonts w:ascii="宋体" w:hAnsi="宋体" w:eastAsia="宋体" w:cs="宋体"/>
          <w:spacing w:val="9"/>
          <w:sz w:val="24"/>
          <w:szCs w:val="24"/>
        </w:rPr>
        <w:t>路</w:t>
      </w:r>
      <w:r>
        <w:rPr>
          <w:rFonts w:ascii="宋体" w:hAnsi="宋体" w:eastAsia="宋体" w:cs="宋体"/>
          <w:spacing w:val="13"/>
          <w:sz w:val="24"/>
          <w:szCs w:val="24"/>
        </w:rPr>
        <w:t xml:space="preserve"> </w:t>
      </w:r>
      <w:r>
        <w:rPr>
          <w:rFonts w:ascii="宋体" w:hAnsi="宋体" w:eastAsia="宋体" w:cs="宋体"/>
          <w:spacing w:val="1"/>
          <w:sz w:val="24"/>
          <w:szCs w:val="24"/>
        </w:rPr>
        <w:t>面采用20</w:t>
      </w:r>
      <w:r>
        <w:rPr>
          <w:rFonts w:ascii="Times New Roman" w:hAnsi="Times New Roman" w:eastAsia="Times New Roman" w:cs="Times New Roman"/>
          <w:sz w:val="24"/>
          <w:szCs w:val="24"/>
        </w:rPr>
        <w:t>cm</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山皮石面层。变电站进站道路：路基宽度6.0</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27"/>
          <w:w w:val="101"/>
          <w:sz w:val="24"/>
          <w:szCs w:val="24"/>
        </w:rPr>
        <w:t xml:space="preserve">  </w:t>
      </w:r>
      <w:r>
        <w:rPr>
          <w:rFonts w:ascii="宋体" w:hAnsi="宋体" w:eastAsia="宋体" w:cs="宋体"/>
          <w:spacing w:val="1"/>
          <w:sz w:val="24"/>
          <w:szCs w:val="24"/>
        </w:rPr>
        <w:t>路面宽度4.5</w:t>
      </w:r>
      <w:r>
        <w:rPr>
          <w:rFonts w:ascii="Times New Roman" w:hAnsi="Times New Roman" w:eastAsia="Times New Roman" w:cs="Times New Roman"/>
          <w:spacing w:val="1"/>
          <w:sz w:val="24"/>
          <w:szCs w:val="24"/>
        </w:rPr>
        <w:t>m,</w:t>
      </w:r>
      <w:r>
        <w:rPr>
          <w:rFonts w:ascii="Times New Roman" w:hAnsi="Times New Roman" w:eastAsia="Times New Roman" w:cs="Times New Roman"/>
          <w:sz w:val="24"/>
          <w:szCs w:val="24"/>
        </w:rPr>
        <w:t xml:space="preserve">   </w:t>
      </w:r>
      <w:r>
        <w:rPr>
          <w:rFonts w:ascii="宋体" w:hAnsi="宋体" w:eastAsia="宋体" w:cs="宋体"/>
          <w:spacing w:val="3"/>
          <w:sz w:val="24"/>
          <w:szCs w:val="24"/>
        </w:rPr>
        <w:t>为20</w:t>
      </w:r>
      <w:r>
        <w:rPr>
          <w:rFonts w:ascii="Times New Roman" w:hAnsi="Times New Roman" w:eastAsia="Times New Roman" w:cs="Times New Roman"/>
          <w:sz w:val="24"/>
          <w:szCs w:val="24"/>
        </w:rPr>
        <w:t>cm</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混凝土面层+20</w:t>
      </w:r>
      <w:r>
        <w:rPr>
          <w:rFonts w:ascii="Times New Roman" w:hAnsi="Times New Roman" w:eastAsia="Times New Roman" w:cs="Times New Roman"/>
          <w:sz w:val="24"/>
          <w:szCs w:val="24"/>
        </w:rPr>
        <w:t>cm</w:t>
      </w:r>
      <w:r>
        <w:rPr>
          <w:rFonts w:ascii="Times New Roman" w:hAnsi="Times New Roman" w:eastAsia="Times New Roman" w:cs="Times New Roman"/>
          <w:spacing w:val="-9"/>
          <w:sz w:val="24"/>
          <w:szCs w:val="24"/>
        </w:rPr>
        <w:t xml:space="preserve"> </w:t>
      </w:r>
      <w:r>
        <w:rPr>
          <w:rFonts w:ascii="宋体" w:hAnsi="宋体" w:eastAsia="宋体" w:cs="宋体"/>
          <w:spacing w:val="3"/>
          <w:sz w:val="24"/>
          <w:szCs w:val="24"/>
        </w:rPr>
        <w:t>碎石基层。</w:t>
      </w:r>
    </w:p>
    <w:p w14:paraId="506C6CE7">
      <w:pPr>
        <w:spacing w:before="6" w:line="353" w:lineRule="auto"/>
        <w:ind w:left="850" w:right="137" w:firstLine="489"/>
        <w:jc w:val="both"/>
        <w:rPr>
          <w:rFonts w:ascii="宋体" w:hAnsi="宋体" w:eastAsia="宋体" w:cs="宋体"/>
          <w:sz w:val="24"/>
          <w:szCs w:val="24"/>
        </w:rPr>
      </w:pPr>
      <w:r>
        <w:rPr>
          <w:rFonts w:ascii="宋体" w:hAnsi="宋体" w:eastAsia="宋体" w:cs="宋体"/>
          <w:spacing w:val="4"/>
          <w:sz w:val="24"/>
          <w:szCs w:val="24"/>
        </w:rPr>
        <w:t>本工程进场道路(改扩建)12.6</w:t>
      </w:r>
      <w:r>
        <w:rPr>
          <w:rFonts w:ascii="Times New Roman" w:hAnsi="Times New Roman" w:eastAsia="Times New Roman" w:cs="Times New Roman"/>
          <w:sz w:val="24"/>
          <w:szCs w:val="24"/>
        </w:rPr>
        <w:t>km</w:t>
      </w:r>
      <w:r>
        <w:rPr>
          <w:rFonts w:ascii="Times New Roman" w:hAnsi="Times New Roman" w:eastAsia="Times New Roman" w:cs="Times New Roman"/>
          <w:spacing w:val="4"/>
          <w:sz w:val="24"/>
          <w:szCs w:val="24"/>
        </w:rPr>
        <w:t>,</w:t>
      </w:r>
      <w:r>
        <w:rPr>
          <w:rFonts w:ascii="Times New Roman" w:hAnsi="Times New Roman" w:eastAsia="Times New Roman" w:cs="Times New Roman"/>
          <w:spacing w:val="18"/>
          <w:sz w:val="24"/>
          <w:szCs w:val="24"/>
        </w:rPr>
        <w:t xml:space="preserve">  </w:t>
      </w:r>
      <w:r>
        <w:rPr>
          <w:rFonts w:ascii="宋体" w:hAnsi="宋体" w:eastAsia="宋体" w:cs="宋体"/>
          <w:spacing w:val="4"/>
          <w:sz w:val="24"/>
          <w:szCs w:val="24"/>
        </w:rPr>
        <w:t xml:space="preserve">光伏区场内改扩建道路5.6 </w:t>
      </w:r>
      <w:r>
        <w:rPr>
          <w:rFonts w:ascii="Times New Roman" w:hAnsi="Times New Roman" w:eastAsia="Times New Roman" w:cs="Times New Roman"/>
          <w:sz w:val="24"/>
          <w:szCs w:val="24"/>
        </w:rPr>
        <w:t>km</w:t>
      </w:r>
      <w:r>
        <w:rPr>
          <w:rFonts w:ascii="Times New Roman" w:hAnsi="Times New Roman" w:eastAsia="Times New Roman" w:cs="Times New Roman"/>
          <w:spacing w:val="4"/>
          <w:sz w:val="24"/>
          <w:szCs w:val="24"/>
        </w:rPr>
        <w:t>,</w:t>
      </w:r>
      <w:r>
        <w:rPr>
          <w:rFonts w:ascii="Times New Roman" w:hAnsi="Times New Roman" w:eastAsia="Times New Roman" w:cs="Times New Roman"/>
          <w:spacing w:val="22"/>
          <w:w w:val="101"/>
          <w:sz w:val="24"/>
          <w:szCs w:val="24"/>
        </w:rPr>
        <w:t xml:space="preserve">  </w:t>
      </w:r>
      <w:r>
        <w:rPr>
          <w:rFonts w:ascii="宋体" w:hAnsi="宋体" w:eastAsia="宋体" w:cs="宋体"/>
          <w:spacing w:val="4"/>
          <w:sz w:val="24"/>
          <w:szCs w:val="24"/>
        </w:rPr>
        <w:t>光伏</w:t>
      </w:r>
      <w:r>
        <w:rPr>
          <w:rFonts w:ascii="宋体" w:hAnsi="宋体" w:eastAsia="宋体" w:cs="宋体"/>
          <w:sz w:val="24"/>
          <w:szCs w:val="24"/>
        </w:rPr>
        <w:t xml:space="preserve"> </w:t>
      </w:r>
      <w:r>
        <w:rPr>
          <w:rFonts w:ascii="宋体" w:hAnsi="宋体" w:eastAsia="宋体" w:cs="宋体"/>
          <w:spacing w:val="2"/>
          <w:sz w:val="24"/>
          <w:szCs w:val="24"/>
        </w:rPr>
        <w:t>区场内新建及硬化道路0.40</w:t>
      </w:r>
      <w:r>
        <w:rPr>
          <w:rFonts w:ascii="Times New Roman" w:hAnsi="Times New Roman" w:eastAsia="Times New Roman" w:cs="Times New Roman"/>
          <w:sz w:val="24"/>
          <w:szCs w:val="24"/>
        </w:rPr>
        <w:t>km</w:t>
      </w:r>
      <w:r>
        <w:rPr>
          <w:rFonts w:ascii="宋体" w:hAnsi="宋体" w:eastAsia="宋体" w:cs="宋体"/>
          <w:spacing w:val="2"/>
          <w:sz w:val="24"/>
          <w:szCs w:val="24"/>
        </w:rPr>
        <w:t>。在较长施工道路末端设置16</w:t>
      </w:r>
      <w:r>
        <w:rPr>
          <w:rFonts w:ascii="Times New Roman" w:hAnsi="Times New Roman" w:eastAsia="Times New Roman" w:cs="Times New Roman"/>
          <w:spacing w:val="2"/>
          <w:sz w:val="24"/>
          <w:szCs w:val="24"/>
        </w:rPr>
        <w:t xml:space="preserve">m×16m </w:t>
      </w:r>
      <w:r>
        <w:rPr>
          <w:rFonts w:ascii="宋体" w:hAnsi="宋体" w:eastAsia="宋体" w:cs="宋体"/>
          <w:spacing w:val="2"/>
          <w:sz w:val="24"/>
          <w:szCs w:val="24"/>
        </w:rPr>
        <w:t>的调车平</w:t>
      </w:r>
      <w:r>
        <w:rPr>
          <w:rFonts w:ascii="宋体" w:hAnsi="宋体" w:eastAsia="宋体" w:cs="宋体"/>
          <w:spacing w:val="8"/>
          <w:sz w:val="24"/>
          <w:szCs w:val="24"/>
        </w:rPr>
        <w:t xml:space="preserve"> </w:t>
      </w:r>
      <w:r>
        <w:rPr>
          <w:rFonts w:ascii="宋体" w:hAnsi="宋体" w:eastAsia="宋体" w:cs="宋体"/>
          <w:sz w:val="24"/>
          <w:szCs w:val="24"/>
        </w:rPr>
        <w:t>台，在较长且没有支线的路段设置错车道。升压站站内道路：站内道路为</w:t>
      </w:r>
      <w:r>
        <w:rPr>
          <w:rFonts w:ascii="宋体" w:hAnsi="宋体" w:eastAsia="宋体" w:cs="宋体"/>
          <w:spacing w:val="-1"/>
          <w:sz w:val="24"/>
          <w:szCs w:val="24"/>
        </w:rPr>
        <w:t>混凝</w:t>
      </w:r>
      <w:r>
        <w:rPr>
          <w:rFonts w:ascii="宋体" w:hAnsi="宋体" w:eastAsia="宋体" w:cs="宋体"/>
          <w:sz w:val="24"/>
          <w:szCs w:val="24"/>
        </w:rPr>
        <w:t xml:space="preserve"> </w:t>
      </w:r>
      <w:r>
        <w:rPr>
          <w:rFonts w:ascii="宋体" w:hAnsi="宋体" w:eastAsia="宋体" w:cs="宋体"/>
          <w:spacing w:val="1"/>
          <w:sz w:val="24"/>
          <w:szCs w:val="24"/>
        </w:rPr>
        <w:t>土路面，主干道宽4.5</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31"/>
          <w:w w:val="101"/>
          <w:sz w:val="24"/>
          <w:szCs w:val="24"/>
        </w:rPr>
        <w:t xml:space="preserve">  </w:t>
      </w:r>
      <w:r>
        <w:rPr>
          <w:rFonts w:ascii="宋体" w:hAnsi="宋体" w:eastAsia="宋体" w:cs="宋体"/>
          <w:spacing w:val="1"/>
          <w:sz w:val="24"/>
          <w:szCs w:val="24"/>
        </w:rPr>
        <w:t>转弯半径为9</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22"/>
          <w:w w:val="101"/>
          <w:sz w:val="24"/>
          <w:szCs w:val="24"/>
        </w:rPr>
        <w:t xml:space="preserve">  </w:t>
      </w:r>
      <w:r>
        <w:rPr>
          <w:rFonts w:ascii="宋体" w:hAnsi="宋体" w:eastAsia="宋体" w:cs="宋体"/>
          <w:spacing w:val="1"/>
          <w:sz w:val="24"/>
          <w:szCs w:val="24"/>
        </w:rPr>
        <w:t>道路呈环形布置。</w:t>
      </w:r>
    </w:p>
    <w:p w14:paraId="0C8E03C1">
      <w:pPr>
        <w:spacing w:before="27" w:line="220" w:lineRule="auto"/>
        <w:ind w:left="850"/>
        <w:rPr>
          <w:rFonts w:ascii="宋体" w:hAnsi="宋体" w:eastAsia="宋体" w:cs="宋体"/>
          <w:sz w:val="26"/>
          <w:szCs w:val="26"/>
        </w:rPr>
      </w:pPr>
      <w:r>
        <w:rPr>
          <w:rFonts w:ascii="宋体" w:hAnsi="宋体" w:eastAsia="宋体" w:cs="宋体"/>
          <w:spacing w:val="-16"/>
          <w:sz w:val="26"/>
          <w:szCs w:val="26"/>
        </w:rPr>
        <w:t>14</w:t>
      </w:r>
      <w:r>
        <w:rPr>
          <w:rFonts w:ascii="宋体" w:hAnsi="宋体" w:eastAsia="宋体" w:cs="宋体"/>
          <w:spacing w:val="-22"/>
          <w:sz w:val="26"/>
          <w:szCs w:val="26"/>
        </w:rPr>
        <w:t xml:space="preserve"> </w:t>
      </w:r>
      <w:r>
        <w:rPr>
          <w:rFonts w:ascii="宋体" w:hAnsi="宋体" w:eastAsia="宋体" w:cs="宋体"/>
          <w:b/>
          <w:bCs/>
          <w:spacing w:val="-16"/>
          <w:sz w:val="26"/>
          <w:szCs w:val="26"/>
        </w:rPr>
        <w:t>大门和围栏</w:t>
      </w:r>
    </w:p>
    <w:p w14:paraId="4DA2822E">
      <w:pPr>
        <w:spacing w:before="164" w:line="357" w:lineRule="auto"/>
        <w:ind w:left="850" w:right="97" w:firstLine="489"/>
        <w:jc w:val="both"/>
        <w:rPr>
          <w:rFonts w:ascii="宋体" w:hAnsi="宋体" w:eastAsia="宋体" w:cs="宋体"/>
          <w:sz w:val="24"/>
          <w:szCs w:val="24"/>
        </w:rPr>
      </w:pPr>
      <w:r>
        <w:rPr>
          <w:rFonts w:ascii="宋体" w:hAnsi="宋体" w:eastAsia="宋体" w:cs="宋体"/>
          <w:spacing w:val="5"/>
          <w:sz w:val="24"/>
          <w:szCs w:val="24"/>
        </w:rPr>
        <w:t>沿光伏发电场阵列外侧设置钢丝网围栏，围栏高度1.8</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4"/>
          <w:sz w:val="24"/>
          <w:szCs w:val="24"/>
        </w:rPr>
        <w:t>,</w:t>
      </w:r>
      <w:r>
        <w:rPr>
          <w:rFonts w:ascii="Times New Roman" w:hAnsi="Times New Roman" w:eastAsia="Times New Roman" w:cs="Times New Roman"/>
          <w:spacing w:val="27"/>
          <w:w w:val="101"/>
          <w:sz w:val="24"/>
          <w:szCs w:val="24"/>
        </w:rPr>
        <w:t xml:space="preserve">  </w:t>
      </w:r>
      <w:r>
        <w:rPr>
          <w:rFonts w:ascii="宋体" w:hAnsi="宋体" w:eastAsia="宋体" w:cs="宋体"/>
          <w:spacing w:val="4"/>
          <w:sz w:val="24"/>
          <w:szCs w:val="24"/>
        </w:rPr>
        <w:t>采用直径4</w:t>
      </w:r>
      <w:r>
        <w:rPr>
          <w:rFonts w:ascii="Times New Roman" w:hAnsi="Times New Roman" w:eastAsia="Times New Roman" w:cs="Times New Roman"/>
          <w:sz w:val="24"/>
          <w:szCs w:val="24"/>
        </w:rPr>
        <w:t xml:space="preserve">mm  </w:t>
      </w:r>
      <w:r>
        <w:rPr>
          <w:rFonts w:ascii="宋体" w:hAnsi="宋体" w:eastAsia="宋体" w:cs="宋体"/>
          <w:spacing w:val="3"/>
          <w:sz w:val="24"/>
          <w:szCs w:val="24"/>
        </w:rPr>
        <w:t>的浸塑钢丝，网片间距为150</w:t>
      </w:r>
      <w:r>
        <w:rPr>
          <w:rFonts w:ascii="Times New Roman" w:hAnsi="Times New Roman" w:eastAsia="Times New Roman" w:cs="Times New Roman"/>
          <w:sz w:val="24"/>
          <w:szCs w:val="24"/>
        </w:rPr>
        <w:t>mm</w:t>
      </w:r>
      <w:r>
        <w:rPr>
          <w:rFonts w:ascii="Times New Roman" w:hAnsi="Times New Roman" w:eastAsia="Times New Roman" w:cs="Times New Roman"/>
          <w:spacing w:val="3"/>
          <w:sz w:val="24"/>
          <w:szCs w:val="24"/>
        </w:rPr>
        <w:t>×75</w:t>
      </w:r>
      <w:r>
        <w:rPr>
          <w:rFonts w:ascii="Times New Roman" w:hAnsi="Times New Roman" w:eastAsia="Times New Roman" w:cs="Times New Roman"/>
          <w:sz w:val="24"/>
          <w:szCs w:val="24"/>
        </w:rPr>
        <w:t>mm</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1"/>
          <w:sz w:val="24"/>
          <w:szCs w:val="24"/>
        </w:rPr>
        <w:t xml:space="preserve"> </w:t>
      </w:r>
      <w:r>
        <w:rPr>
          <w:rFonts w:ascii="宋体" w:hAnsi="宋体" w:eastAsia="宋体" w:cs="宋体"/>
          <w:spacing w:val="3"/>
          <w:sz w:val="24"/>
          <w:szCs w:val="24"/>
        </w:rPr>
        <w:t>立柱采用直径50</w:t>
      </w:r>
      <w:r>
        <w:rPr>
          <w:rFonts w:ascii="Times New Roman" w:hAnsi="Times New Roman" w:eastAsia="Times New Roman" w:cs="Times New Roman"/>
          <w:sz w:val="24"/>
          <w:szCs w:val="24"/>
        </w:rPr>
        <w:t>mm</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的浸</w:t>
      </w:r>
      <w:r>
        <w:rPr>
          <w:rFonts w:ascii="宋体" w:hAnsi="宋体" w:eastAsia="宋体" w:cs="宋体"/>
          <w:spacing w:val="2"/>
          <w:sz w:val="24"/>
          <w:szCs w:val="24"/>
        </w:rPr>
        <w:t>塑钢管，立</w:t>
      </w:r>
      <w:r>
        <w:rPr>
          <w:rFonts w:ascii="宋体" w:hAnsi="宋体" w:eastAsia="宋体" w:cs="宋体"/>
          <w:sz w:val="24"/>
          <w:szCs w:val="24"/>
        </w:rPr>
        <w:t xml:space="preserve"> </w:t>
      </w:r>
      <w:r>
        <w:rPr>
          <w:rFonts w:ascii="宋体" w:hAnsi="宋体" w:eastAsia="宋体" w:cs="宋体"/>
          <w:spacing w:val="6"/>
          <w:sz w:val="24"/>
          <w:szCs w:val="24"/>
        </w:rPr>
        <w:t>柱布置间距为3</w:t>
      </w:r>
      <w:r>
        <w:rPr>
          <w:rFonts w:ascii="Times New Roman" w:hAnsi="Times New Roman" w:eastAsia="Times New Roman" w:cs="Times New Roman"/>
          <w:spacing w:val="6"/>
          <w:sz w:val="24"/>
          <w:szCs w:val="24"/>
        </w:rPr>
        <w:t>m,</w:t>
      </w:r>
      <w:r>
        <w:rPr>
          <w:rFonts w:ascii="Times New Roman" w:hAnsi="Times New Roman" w:eastAsia="Times New Roman" w:cs="Times New Roman"/>
          <w:spacing w:val="32"/>
          <w:sz w:val="24"/>
          <w:szCs w:val="24"/>
        </w:rPr>
        <w:t xml:space="preserve">  </w:t>
      </w:r>
      <w:r>
        <w:rPr>
          <w:rFonts w:ascii="宋体" w:hAnsi="宋体" w:eastAsia="宋体" w:cs="宋体"/>
          <w:spacing w:val="6"/>
          <w:sz w:val="24"/>
          <w:szCs w:val="24"/>
        </w:rPr>
        <w:t>其上布置安全监控设备。在入口处(场内施工道路接入点)</w:t>
      </w:r>
      <w:r>
        <w:rPr>
          <w:rFonts w:ascii="宋体" w:hAnsi="宋体" w:eastAsia="宋体" w:cs="宋体"/>
          <w:sz w:val="24"/>
          <w:szCs w:val="24"/>
        </w:rPr>
        <w:t xml:space="preserve"> </w:t>
      </w:r>
      <w:r>
        <w:rPr>
          <w:rFonts w:ascii="宋体" w:hAnsi="宋体" w:eastAsia="宋体" w:cs="宋体"/>
          <w:spacing w:val="-6"/>
          <w:sz w:val="24"/>
          <w:szCs w:val="24"/>
        </w:rPr>
        <w:t>设置对开钢大门。</w:t>
      </w:r>
    </w:p>
    <w:p w14:paraId="4628FC3D">
      <w:pPr>
        <w:spacing w:before="1" w:line="220" w:lineRule="auto"/>
        <w:ind w:left="850"/>
        <w:rPr>
          <w:rFonts w:ascii="宋体" w:hAnsi="宋体" w:eastAsia="宋体" w:cs="宋体"/>
          <w:sz w:val="26"/>
          <w:szCs w:val="26"/>
        </w:rPr>
      </w:pPr>
      <w:r>
        <w:rPr>
          <w:rFonts w:ascii="宋体" w:hAnsi="宋体" w:eastAsia="宋体" w:cs="宋体"/>
          <w:spacing w:val="-17"/>
          <w:sz w:val="26"/>
          <w:szCs w:val="26"/>
        </w:rPr>
        <w:t>15</w:t>
      </w:r>
      <w:r>
        <w:rPr>
          <w:rFonts w:ascii="宋体" w:hAnsi="宋体" w:eastAsia="宋体" w:cs="宋体"/>
          <w:spacing w:val="-24"/>
          <w:sz w:val="26"/>
          <w:szCs w:val="26"/>
        </w:rPr>
        <w:t xml:space="preserve"> </w:t>
      </w:r>
      <w:r>
        <w:rPr>
          <w:rFonts w:ascii="宋体" w:hAnsi="宋体" w:eastAsia="宋体" w:cs="宋体"/>
          <w:b/>
          <w:bCs/>
          <w:spacing w:val="-17"/>
          <w:sz w:val="26"/>
          <w:szCs w:val="26"/>
        </w:rPr>
        <w:t>主要设备</w:t>
      </w:r>
    </w:p>
    <w:p w14:paraId="4C99E65D">
      <w:pPr>
        <w:spacing w:before="178" w:line="219" w:lineRule="auto"/>
        <w:ind w:left="1339"/>
        <w:rPr>
          <w:rFonts w:ascii="宋体" w:hAnsi="宋体" w:eastAsia="宋体" w:cs="宋体"/>
          <w:sz w:val="24"/>
          <w:szCs w:val="24"/>
        </w:rPr>
      </w:pPr>
      <w:r>
        <w:rPr>
          <w:rFonts w:ascii="宋体" w:hAnsi="宋体" w:eastAsia="宋体" w:cs="宋体"/>
          <w:spacing w:val="-2"/>
          <w:sz w:val="24"/>
          <w:szCs w:val="24"/>
        </w:rPr>
        <w:t>本项目主要设备清单见表2-3。</w:t>
      </w:r>
    </w:p>
    <w:p w14:paraId="360935BE">
      <w:pPr>
        <w:spacing w:line="172" w:lineRule="exact"/>
      </w:pPr>
    </w:p>
    <w:tbl>
      <w:tblPr>
        <w:tblStyle w:val="5"/>
        <w:tblW w:w="9079" w:type="dxa"/>
        <w:tblInd w:w="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340"/>
        <w:gridCol w:w="939"/>
        <w:gridCol w:w="4625"/>
        <w:gridCol w:w="659"/>
        <w:gridCol w:w="949"/>
        <w:gridCol w:w="509"/>
        <w:gridCol w:w="334"/>
      </w:tblGrid>
      <w:tr w14:paraId="41BC4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724" w:type="dxa"/>
            <w:vMerge w:val="restart"/>
            <w:tcBorders>
              <w:bottom w:val="nil"/>
            </w:tcBorders>
            <w:vAlign w:val="top"/>
          </w:tcPr>
          <w:p w14:paraId="74F58ADA">
            <w:pPr>
              <w:rPr>
                <w:rFonts w:ascii="Arial"/>
                <w:sz w:val="21"/>
              </w:rPr>
            </w:pPr>
          </w:p>
        </w:tc>
        <w:tc>
          <w:tcPr>
            <w:tcW w:w="8355" w:type="dxa"/>
            <w:gridSpan w:val="7"/>
            <w:vAlign w:val="top"/>
          </w:tcPr>
          <w:p w14:paraId="0E26B098">
            <w:pPr>
              <w:pStyle w:val="6"/>
              <w:spacing w:before="39" w:line="206" w:lineRule="auto"/>
              <w:ind w:left="1303"/>
              <w:rPr>
                <w:sz w:val="21"/>
                <w:szCs w:val="21"/>
              </w:rPr>
            </w:pPr>
            <w:r>
              <w:rPr>
                <w:b/>
                <w:bCs/>
                <w:spacing w:val="-3"/>
                <w:sz w:val="21"/>
                <w:szCs w:val="21"/>
              </w:rPr>
              <w:t>表2-3光伏场区及升压站主要电气设备及安装材料清单</w:t>
            </w:r>
          </w:p>
        </w:tc>
      </w:tr>
      <w:tr w14:paraId="7635E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724" w:type="dxa"/>
            <w:vMerge w:val="continue"/>
            <w:tcBorders>
              <w:top w:val="nil"/>
              <w:bottom w:val="nil"/>
            </w:tcBorders>
            <w:vAlign w:val="top"/>
          </w:tcPr>
          <w:p w14:paraId="79D2F866">
            <w:pPr>
              <w:rPr>
                <w:rFonts w:ascii="Arial"/>
                <w:sz w:val="21"/>
              </w:rPr>
            </w:pPr>
          </w:p>
        </w:tc>
        <w:tc>
          <w:tcPr>
            <w:tcW w:w="340" w:type="dxa"/>
            <w:vMerge w:val="restart"/>
            <w:tcBorders>
              <w:bottom w:val="nil"/>
            </w:tcBorders>
            <w:vAlign w:val="top"/>
          </w:tcPr>
          <w:p w14:paraId="3D75469F">
            <w:pPr>
              <w:rPr>
                <w:rFonts w:ascii="Arial"/>
                <w:sz w:val="21"/>
              </w:rPr>
            </w:pPr>
          </w:p>
        </w:tc>
        <w:tc>
          <w:tcPr>
            <w:tcW w:w="939" w:type="dxa"/>
            <w:vAlign w:val="top"/>
          </w:tcPr>
          <w:p w14:paraId="3F2DA6B9">
            <w:pPr>
              <w:pStyle w:val="6"/>
              <w:spacing w:before="209" w:line="219" w:lineRule="auto"/>
              <w:ind w:left="91"/>
              <w:rPr>
                <w:sz w:val="21"/>
                <w:szCs w:val="21"/>
              </w:rPr>
            </w:pPr>
            <w:r>
              <w:rPr>
                <w:spacing w:val="6"/>
                <w:sz w:val="21"/>
                <w:szCs w:val="21"/>
              </w:rPr>
              <w:t>编号</w:t>
            </w:r>
          </w:p>
        </w:tc>
        <w:tc>
          <w:tcPr>
            <w:tcW w:w="4625" w:type="dxa"/>
            <w:vAlign w:val="top"/>
          </w:tcPr>
          <w:p w14:paraId="6F3A3E35">
            <w:pPr>
              <w:pStyle w:val="6"/>
              <w:spacing w:before="209" w:line="219" w:lineRule="auto"/>
              <w:ind w:left="91"/>
              <w:rPr>
                <w:sz w:val="21"/>
                <w:szCs w:val="21"/>
              </w:rPr>
            </w:pPr>
            <w:r>
              <w:rPr>
                <w:spacing w:val="-2"/>
                <w:sz w:val="21"/>
                <w:szCs w:val="21"/>
              </w:rPr>
              <w:t>名称及规格</w:t>
            </w:r>
          </w:p>
        </w:tc>
        <w:tc>
          <w:tcPr>
            <w:tcW w:w="659" w:type="dxa"/>
            <w:vAlign w:val="top"/>
          </w:tcPr>
          <w:p w14:paraId="3051C0C8">
            <w:pPr>
              <w:pStyle w:val="6"/>
              <w:spacing w:before="210" w:line="220" w:lineRule="auto"/>
              <w:ind w:left="96"/>
              <w:rPr>
                <w:sz w:val="21"/>
                <w:szCs w:val="21"/>
              </w:rPr>
            </w:pPr>
            <w:r>
              <w:rPr>
                <w:spacing w:val="-3"/>
                <w:sz w:val="21"/>
                <w:szCs w:val="21"/>
              </w:rPr>
              <w:t>单位</w:t>
            </w:r>
          </w:p>
        </w:tc>
        <w:tc>
          <w:tcPr>
            <w:tcW w:w="949" w:type="dxa"/>
            <w:vAlign w:val="top"/>
          </w:tcPr>
          <w:p w14:paraId="70BB1978">
            <w:pPr>
              <w:pStyle w:val="6"/>
              <w:spacing w:before="209" w:line="219" w:lineRule="auto"/>
              <w:ind w:left="98"/>
              <w:rPr>
                <w:sz w:val="21"/>
                <w:szCs w:val="21"/>
              </w:rPr>
            </w:pPr>
            <w:r>
              <w:rPr>
                <w:spacing w:val="-3"/>
                <w:sz w:val="21"/>
                <w:szCs w:val="21"/>
              </w:rPr>
              <w:t>数量</w:t>
            </w:r>
          </w:p>
        </w:tc>
        <w:tc>
          <w:tcPr>
            <w:tcW w:w="509" w:type="dxa"/>
            <w:textDirection w:val="tbRlV"/>
            <w:vAlign w:val="top"/>
          </w:tcPr>
          <w:p w14:paraId="54920579">
            <w:pPr>
              <w:pStyle w:val="6"/>
              <w:spacing w:before="229" w:line="201" w:lineRule="auto"/>
              <w:ind w:left="90"/>
              <w:rPr>
                <w:sz w:val="21"/>
                <w:szCs w:val="21"/>
              </w:rPr>
            </w:pPr>
            <w:r>
              <w:rPr>
                <w:sz w:val="21"/>
                <w:szCs w:val="21"/>
              </w:rPr>
              <w:t>备注</w:t>
            </w:r>
          </w:p>
        </w:tc>
        <w:tc>
          <w:tcPr>
            <w:tcW w:w="334" w:type="dxa"/>
            <w:vMerge w:val="restart"/>
            <w:tcBorders>
              <w:bottom w:val="nil"/>
            </w:tcBorders>
            <w:vAlign w:val="top"/>
          </w:tcPr>
          <w:p w14:paraId="6A0C5269">
            <w:pPr>
              <w:rPr>
                <w:rFonts w:ascii="Arial"/>
                <w:sz w:val="21"/>
              </w:rPr>
            </w:pPr>
          </w:p>
        </w:tc>
      </w:tr>
      <w:tr w14:paraId="469F3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724" w:type="dxa"/>
            <w:vMerge w:val="continue"/>
            <w:tcBorders>
              <w:top w:val="nil"/>
              <w:bottom w:val="nil"/>
            </w:tcBorders>
            <w:vAlign w:val="top"/>
          </w:tcPr>
          <w:p w14:paraId="6E6B1F92">
            <w:pPr>
              <w:rPr>
                <w:rFonts w:ascii="Arial"/>
                <w:sz w:val="21"/>
              </w:rPr>
            </w:pPr>
          </w:p>
        </w:tc>
        <w:tc>
          <w:tcPr>
            <w:tcW w:w="340" w:type="dxa"/>
            <w:vMerge w:val="continue"/>
            <w:tcBorders>
              <w:top w:val="nil"/>
              <w:bottom w:val="nil"/>
            </w:tcBorders>
            <w:vAlign w:val="top"/>
          </w:tcPr>
          <w:p w14:paraId="55BE7E57">
            <w:pPr>
              <w:rPr>
                <w:rFonts w:ascii="Arial"/>
                <w:sz w:val="21"/>
              </w:rPr>
            </w:pPr>
          </w:p>
        </w:tc>
        <w:tc>
          <w:tcPr>
            <w:tcW w:w="939" w:type="dxa"/>
            <w:vAlign w:val="top"/>
          </w:tcPr>
          <w:p w14:paraId="3B987504">
            <w:pPr>
              <w:pStyle w:val="6"/>
              <w:spacing w:before="130" w:line="119" w:lineRule="exact"/>
              <w:ind w:left="91"/>
              <w:rPr>
                <w:sz w:val="21"/>
                <w:szCs w:val="21"/>
              </w:rPr>
            </w:pPr>
            <w:r>
              <w:rPr>
                <w:position w:val="-5"/>
                <w:sz w:val="21"/>
                <w:szCs w:val="21"/>
              </w:rPr>
              <w:t>一</w:t>
            </w:r>
          </w:p>
        </w:tc>
        <w:tc>
          <w:tcPr>
            <w:tcW w:w="4625" w:type="dxa"/>
            <w:vAlign w:val="top"/>
          </w:tcPr>
          <w:p w14:paraId="21E5A822">
            <w:pPr>
              <w:pStyle w:val="6"/>
              <w:spacing w:before="31" w:line="191" w:lineRule="auto"/>
              <w:ind w:left="91"/>
              <w:rPr>
                <w:sz w:val="21"/>
                <w:szCs w:val="21"/>
              </w:rPr>
            </w:pPr>
            <w:r>
              <w:rPr>
                <w:spacing w:val="-2"/>
                <w:sz w:val="21"/>
                <w:szCs w:val="21"/>
              </w:rPr>
              <w:t>设备及安装工程</w:t>
            </w:r>
          </w:p>
        </w:tc>
        <w:tc>
          <w:tcPr>
            <w:tcW w:w="659" w:type="dxa"/>
            <w:vAlign w:val="top"/>
          </w:tcPr>
          <w:p w14:paraId="0FF71B8C">
            <w:pPr>
              <w:rPr>
                <w:rFonts w:ascii="Arial"/>
                <w:sz w:val="21"/>
              </w:rPr>
            </w:pPr>
          </w:p>
        </w:tc>
        <w:tc>
          <w:tcPr>
            <w:tcW w:w="949" w:type="dxa"/>
            <w:vAlign w:val="top"/>
          </w:tcPr>
          <w:p w14:paraId="7A07DDEE">
            <w:pPr>
              <w:rPr>
                <w:rFonts w:ascii="Arial"/>
                <w:sz w:val="21"/>
              </w:rPr>
            </w:pPr>
          </w:p>
        </w:tc>
        <w:tc>
          <w:tcPr>
            <w:tcW w:w="509" w:type="dxa"/>
            <w:vAlign w:val="top"/>
          </w:tcPr>
          <w:p w14:paraId="6638BF16">
            <w:pPr>
              <w:rPr>
                <w:rFonts w:ascii="Arial"/>
                <w:sz w:val="21"/>
              </w:rPr>
            </w:pPr>
          </w:p>
        </w:tc>
        <w:tc>
          <w:tcPr>
            <w:tcW w:w="334" w:type="dxa"/>
            <w:vMerge w:val="continue"/>
            <w:tcBorders>
              <w:top w:val="nil"/>
              <w:bottom w:val="nil"/>
            </w:tcBorders>
            <w:vAlign w:val="top"/>
          </w:tcPr>
          <w:p w14:paraId="182BC6FC">
            <w:pPr>
              <w:rPr>
                <w:rFonts w:ascii="Arial"/>
                <w:sz w:val="21"/>
              </w:rPr>
            </w:pPr>
          </w:p>
        </w:tc>
      </w:tr>
      <w:tr w14:paraId="123B9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24" w:type="dxa"/>
            <w:vMerge w:val="continue"/>
            <w:tcBorders>
              <w:top w:val="nil"/>
              <w:bottom w:val="nil"/>
            </w:tcBorders>
            <w:vAlign w:val="top"/>
          </w:tcPr>
          <w:p w14:paraId="56B69F7E">
            <w:pPr>
              <w:rPr>
                <w:rFonts w:ascii="Arial"/>
                <w:sz w:val="21"/>
              </w:rPr>
            </w:pPr>
          </w:p>
        </w:tc>
        <w:tc>
          <w:tcPr>
            <w:tcW w:w="340" w:type="dxa"/>
            <w:vMerge w:val="continue"/>
            <w:tcBorders>
              <w:top w:val="nil"/>
              <w:bottom w:val="nil"/>
            </w:tcBorders>
            <w:vAlign w:val="top"/>
          </w:tcPr>
          <w:p w14:paraId="653A1709">
            <w:pPr>
              <w:rPr>
                <w:rFonts w:ascii="Arial"/>
                <w:sz w:val="21"/>
              </w:rPr>
            </w:pPr>
          </w:p>
        </w:tc>
        <w:tc>
          <w:tcPr>
            <w:tcW w:w="939" w:type="dxa"/>
            <w:vAlign w:val="top"/>
          </w:tcPr>
          <w:p w14:paraId="145A4133">
            <w:pPr>
              <w:pStyle w:val="6"/>
              <w:spacing w:before="61" w:line="182" w:lineRule="auto"/>
              <w:ind w:left="91"/>
              <w:rPr>
                <w:sz w:val="21"/>
                <w:szCs w:val="21"/>
              </w:rPr>
            </w:pPr>
            <w:r>
              <w:rPr>
                <w:sz w:val="21"/>
                <w:szCs w:val="21"/>
              </w:rPr>
              <w:t>1</w:t>
            </w:r>
          </w:p>
        </w:tc>
        <w:tc>
          <w:tcPr>
            <w:tcW w:w="4625" w:type="dxa"/>
            <w:vAlign w:val="top"/>
          </w:tcPr>
          <w:p w14:paraId="5C37F0D5">
            <w:pPr>
              <w:pStyle w:val="6"/>
              <w:spacing w:before="42" w:line="199" w:lineRule="auto"/>
              <w:ind w:left="91"/>
              <w:rPr>
                <w:sz w:val="21"/>
                <w:szCs w:val="21"/>
              </w:rPr>
            </w:pPr>
            <w:r>
              <w:rPr>
                <w:spacing w:val="-2"/>
                <w:sz w:val="21"/>
                <w:szCs w:val="21"/>
              </w:rPr>
              <w:t>发电设备及安装工程</w:t>
            </w:r>
          </w:p>
        </w:tc>
        <w:tc>
          <w:tcPr>
            <w:tcW w:w="659" w:type="dxa"/>
            <w:vAlign w:val="top"/>
          </w:tcPr>
          <w:p w14:paraId="5EFA9A71">
            <w:pPr>
              <w:rPr>
                <w:rFonts w:ascii="Arial"/>
                <w:sz w:val="21"/>
              </w:rPr>
            </w:pPr>
          </w:p>
        </w:tc>
        <w:tc>
          <w:tcPr>
            <w:tcW w:w="949" w:type="dxa"/>
            <w:vAlign w:val="top"/>
          </w:tcPr>
          <w:p w14:paraId="45A1E806">
            <w:pPr>
              <w:rPr>
                <w:rFonts w:ascii="Arial"/>
                <w:sz w:val="21"/>
              </w:rPr>
            </w:pPr>
          </w:p>
        </w:tc>
        <w:tc>
          <w:tcPr>
            <w:tcW w:w="509" w:type="dxa"/>
            <w:vAlign w:val="top"/>
          </w:tcPr>
          <w:p w14:paraId="1F1CF847">
            <w:pPr>
              <w:rPr>
                <w:rFonts w:ascii="Arial"/>
                <w:sz w:val="21"/>
              </w:rPr>
            </w:pPr>
          </w:p>
        </w:tc>
        <w:tc>
          <w:tcPr>
            <w:tcW w:w="334" w:type="dxa"/>
            <w:vMerge w:val="continue"/>
            <w:tcBorders>
              <w:top w:val="nil"/>
              <w:bottom w:val="nil"/>
            </w:tcBorders>
            <w:vAlign w:val="top"/>
          </w:tcPr>
          <w:p w14:paraId="2D6B3FC3">
            <w:pPr>
              <w:rPr>
                <w:rFonts w:ascii="Arial"/>
                <w:sz w:val="21"/>
              </w:rPr>
            </w:pPr>
          </w:p>
        </w:tc>
      </w:tr>
      <w:tr w14:paraId="49417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24" w:type="dxa"/>
            <w:vMerge w:val="continue"/>
            <w:tcBorders>
              <w:top w:val="nil"/>
              <w:bottom w:val="nil"/>
            </w:tcBorders>
            <w:vAlign w:val="top"/>
          </w:tcPr>
          <w:p w14:paraId="04825161">
            <w:pPr>
              <w:rPr>
                <w:rFonts w:ascii="Arial"/>
                <w:sz w:val="21"/>
              </w:rPr>
            </w:pPr>
          </w:p>
        </w:tc>
        <w:tc>
          <w:tcPr>
            <w:tcW w:w="340" w:type="dxa"/>
            <w:vMerge w:val="continue"/>
            <w:tcBorders>
              <w:top w:val="nil"/>
              <w:bottom w:val="nil"/>
            </w:tcBorders>
            <w:vAlign w:val="top"/>
          </w:tcPr>
          <w:p w14:paraId="31543A38">
            <w:pPr>
              <w:rPr>
                <w:rFonts w:ascii="Arial"/>
                <w:sz w:val="21"/>
              </w:rPr>
            </w:pPr>
          </w:p>
        </w:tc>
        <w:tc>
          <w:tcPr>
            <w:tcW w:w="939" w:type="dxa"/>
            <w:vAlign w:val="top"/>
          </w:tcPr>
          <w:p w14:paraId="6D4B9FB9">
            <w:pPr>
              <w:pStyle w:val="6"/>
              <w:spacing w:before="54" w:line="181" w:lineRule="auto"/>
              <w:ind w:left="91"/>
              <w:rPr>
                <w:sz w:val="21"/>
                <w:szCs w:val="21"/>
              </w:rPr>
            </w:pPr>
            <w:r>
              <w:rPr>
                <w:spacing w:val="-6"/>
                <w:sz w:val="21"/>
                <w:szCs w:val="21"/>
              </w:rPr>
              <w:t>1.1</w:t>
            </w:r>
          </w:p>
        </w:tc>
        <w:tc>
          <w:tcPr>
            <w:tcW w:w="4625" w:type="dxa"/>
            <w:vAlign w:val="top"/>
          </w:tcPr>
          <w:p w14:paraId="46B5D808">
            <w:pPr>
              <w:pStyle w:val="6"/>
              <w:spacing w:before="31" w:line="201" w:lineRule="auto"/>
              <w:ind w:left="91"/>
              <w:rPr>
                <w:sz w:val="21"/>
                <w:szCs w:val="21"/>
              </w:rPr>
            </w:pPr>
            <w:r>
              <w:rPr>
                <w:spacing w:val="-2"/>
                <w:sz w:val="21"/>
                <w:szCs w:val="21"/>
              </w:rPr>
              <w:t>光伏发电设备</w:t>
            </w:r>
          </w:p>
        </w:tc>
        <w:tc>
          <w:tcPr>
            <w:tcW w:w="659" w:type="dxa"/>
            <w:vAlign w:val="top"/>
          </w:tcPr>
          <w:p w14:paraId="4920C557">
            <w:pPr>
              <w:rPr>
                <w:rFonts w:ascii="Arial"/>
                <w:sz w:val="21"/>
              </w:rPr>
            </w:pPr>
          </w:p>
        </w:tc>
        <w:tc>
          <w:tcPr>
            <w:tcW w:w="949" w:type="dxa"/>
            <w:vAlign w:val="top"/>
          </w:tcPr>
          <w:p w14:paraId="2DEF392D">
            <w:pPr>
              <w:rPr>
                <w:rFonts w:ascii="Arial"/>
                <w:sz w:val="21"/>
              </w:rPr>
            </w:pPr>
          </w:p>
        </w:tc>
        <w:tc>
          <w:tcPr>
            <w:tcW w:w="509" w:type="dxa"/>
            <w:vAlign w:val="top"/>
          </w:tcPr>
          <w:p w14:paraId="3A78654B">
            <w:pPr>
              <w:rPr>
                <w:rFonts w:ascii="Arial"/>
                <w:sz w:val="21"/>
              </w:rPr>
            </w:pPr>
          </w:p>
        </w:tc>
        <w:tc>
          <w:tcPr>
            <w:tcW w:w="334" w:type="dxa"/>
            <w:vMerge w:val="continue"/>
            <w:tcBorders>
              <w:top w:val="nil"/>
              <w:bottom w:val="nil"/>
            </w:tcBorders>
            <w:vAlign w:val="top"/>
          </w:tcPr>
          <w:p w14:paraId="4E8268B6">
            <w:pPr>
              <w:rPr>
                <w:rFonts w:ascii="Arial"/>
                <w:sz w:val="21"/>
              </w:rPr>
            </w:pPr>
          </w:p>
        </w:tc>
      </w:tr>
      <w:tr w14:paraId="63C2E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24" w:type="dxa"/>
            <w:vMerge w:val="continue"/>
            <w:tcBorders>
              <w:top w:val="nil"/>
              <w:bottom w:val="nil"/>
            </w:tcBorders>
            <w:vAlign w:val="top"/>
          </w:tcPr>
          <w:p w14:paraId="052F2BD0">
            <w:pPr>
              <w:rPr>
                <w:rFonts w:ascii="Arial"/>
                <w:sz w:val="21"/>
              </w:rPr>
            </w:pPr>
          </w:p>
        </w:tc>
        <w:tc>
          <w:tcPr>
            <w:tcW w:w="340" w:type="dxa"/>
            <w:vMerge w:val="continue"/>
            <w:tcBorders>
              <w:top w:val="nil"/>
              <w:bottom w:val="nil"/>
            </w:tcBorders>
            <w:vAlign w:val="top"/>
          </w:tcPr>
          <w:p w14:paraId="3E086A72">
            <w:pPr>
              <w:rPr>
                <w:rFonts w:ascii="Arial"/>
                <w:sz w:val="21"/>
              </w:rPr>
            </w:pPr>
          </w:p>
        </w:tc>
        <w:tc>
          <w:tcPr>
            <w:tcW w:w="939" w:type="dxa"/>
            <w:vAlign w:val="top"/>
          </w:tcPr>
          <w:p w14:paraId="6A1BA630">
            <w:pPr>
              <w:pStyle w:val="6"/>
              <w:spacing w:before="163" w:line="239" w:lineRule="auto"/>
              <w:ind w:left="91"/>
              <w:rPr>
                <w:sz w:val="21"/>
                <w:szCs w:val="21"/>
              </w:rPr>
            </w:pPr>
            <w:r>
              <w:rPr>
                <w:spacing w:val="-4"/>
                <w:sz w:val="21"/>
                <w:szCs w:val="21"/>
              </w:rPr>
              <w:t>1.1.1</w:t>
            </w:r>
          </w:p>
        </w:tc>
        <w:tc>
          <w:tcPr>
            <w:tcW w:w="4625" w:type="dxa"/>
            <w:vAlign w:val="top"/>
          </w:tcPr>
          <w:p w14:paraId="2116F175">
            <w:pPr>
              <w:pStyle w:val="6"/>
              <w:spacing w:before="136" w:line="214" w:lineRule="auto"/>
              <w:ind w:left="91"/>
              <w:rPr>
                <w:sz w:val="21"/>
                <w:szCs w:val="21"/>
              </w:rPr>
            </w:pPr>
            <w:r>
              <w:rPr>
                <w:spacing w:val="1"/>
                <w:sz w:val="21"/>
                <w:szCs w:val="21"/>
              </w:rPr>
              <w:t>光伏组件双面双玻610</w:t>
            </w:r>
            <w:r>
              <w:rPr>
                <w:sz w:val="21"/>
                <w:szCs w:val="21"/>
              </w:rPr>
              <w:t>Wp</w:t>
            </w:r>
          </w:p>
        </w:tc>
        <w:tc>
          <w:tcPr>
            <w:tcW w:w="659" w:type="dxa"/>
            <w:vAlign w:val="top"/>
          </w:tcPr>
          <w:p w14:paraId="2EDD044D">
            <w:pPr>
              <w:pStyle w:val="6"/>
              <w:spacing w:before="143" w:line="220" w:lineRule="auto"/>
              <w:ind w:left="96"/>
              <w:rPr>
                <w:sz w:val="21"/>
                <w:szCs w:val="21"/>
              </w:rPr>
            </w:pPr>
            <w:r>
              <w:rPr>
                <w:sz w:val="21"/>
                <w:szCs w:val="21"/>
              </w:rPr>
              <w:t>块</w:t>
            </w:r>
          </w:p>
        </w:tc>
        <w:tc>
          <w:tcPr>
            <w:tcW w:w="949" w:type="dxa"/>
            <w:vAlign w:val="top"/>
          </w:tcPr>
          <w:p w14:paraId="71FCE2D8">
            <w:pPr>
              <w:pStyle w:val="6"/>
              <w:spacing w:before="73" w:line="202" w:lineRule="auto"/>
              <w:ind w:left="98"/>
              <w:rPr>
                <w:sz w:val="21"/>
                <w:szCs w:val="21"/>
              </w:rPr>
            </w:pPr>
            <w:r>
              <w:rPr>
                <w:spacing w:val="-2"/>
                <w:sz w:val="21"/>
                <w:szCs w:val="21"/>
              </w:rPr>
              <w:t>95348.0</w:t>
            </w:r>
          </w:p>
          <w:p w14:paraId="57B38AA0">
            <w:pPr>
              <w:pStyle w:val="6"/>
              <w:spacing w:line="165" w:lineRule="exact"/>
              <w:ind w:left="98"/>
              <w:rPr>
                <w:sz w:val="21"/>
                <w:szCs w:val="21"/>
              </w:rPr>
            </w:pPr>
            <w:r>
              <w:rPr>
                <w:position w:val="-2"/>
                <w:sz w:val="21"/>
                <w:szCs w:val="21"/>
              </w:rPr>
              <w:t>0</w:t>
            </w:r>
          </w:p>
        </w:tc>
        <w:tc>
          <w:tcPr>
            <w:tcW w:w="509" w:type="dxa"/>
            <w:vAlign w:val="top"/>
          </w:tcPr>
          <w:p w14:paraId="0AA93390">
            <w:pPr>
              <w:rPr>
                <w:rFonts w:ascii="Arial"/>
                <w:sz w:val="21"/>
              </w:rPr>
            </w:pPr>
          </w:p>
        </w:tc>
        <w:tc>
          <w:tcPr>
            <w:tcW w:w="334" w:type="dxa"/>
            <w:vMerge w:val="continue"/>
            <w:tcBorders>
              <w:top w:val="nil"/>
              <w:bottom w:val="nil"/>
            </w:tcBorders>
            <w:vAlign w:val="top"/>
          </w:tcPr>
          <w:p w14:paraId="43F82BCC">
            <w:pPr>
              <w:rPr>
                <w:rFonts w:ascii="Arial"/>
                <w:sz w:val="21"/>
              </w:rPr>
            </w:pPr>
          </w:p>
        </w:tc>
      </w:tr>
      <w:tr w14:paraId="3BF06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24" w:type="dxa"/>
            <w:vMerge w:val="continue"/>
            <w:tcBorders>
              <w:top w:val="nil"/>
              <w:bottom w:val="nil"/>
            </w:tcBorders>
            <w:vAlign w:val="top"/>
          </w:tcPr>
          <w:p w14:paraId="0849C1D3">
            <w:pPr>
              <w:rPr>
                <w:rFonts w:ascii="Arial"/>
                <w:sz w:val="21"/>
              </w:rPr>
            </w:pPr>
          </w:p>
        </w:tc>
        <w:tc>
          <w:tcPr>
            <w:tcW w:w="340" w:type="dxa"/>
            <w:vMerge w:val="continue"/>
            <w:tcBorders>
              <w:top w:val="nil"/>
              <w:bottom w:val="nil"/>
            </w:tcBorders>
            <w:vAlign w:val="top"/>
          </w:tcPr>
          <w:p w14:paraId="3849AC81">
            <w:pPr>
              <w:rPr>
                <w:rFonts w:ascii="Arial"/>
                <w:sz w:val="21"/>
              </w:rPr>
            </w:pPr>
          </w:p>
        </w:tc>
        <w:tc>
          <w:tcPr>
            <w:tcW w:w="939" w:type="dxa"/>
            <w:vAlign w:val="top"/>
          </w:tcPr>
          <w:p w14:paraId="4DBD8E63">
            <w:pPr>
              <w:pStyle w:val="6"/>
              <w:spacing w:before="54" w:line="181" w:lineRule="auto"/>
              <w:ind w:left="91"/>
              <w:rPr>
                <w:sz w:val="21"/>
                <w:szCs w:val="21"/>
              </w:rPr>
            </w:pPr>
            <w:r>
              <w:rPr>
                <w:spacing w:val="-4"/>
                <w:sz w:val="21"/>
                <w:szCs w:val="21"/>
              </w:rPr>
              <w:t>1.1.2</w:t>
            </w:r>
          </w:p>
        </w:tc>
        <w:tc>
          <w:tcPr>
            <w:tcW w:w="4625" w:type="dxa"/>
            <w:vAlign w:val="top"/>
          </w:tcPr>
          <w:p w14:paraId="4E3EC9E0">
            <w:pPr>
              <w:pStyle w:val="6"/>
              <w:spacing w:before="30" w:line="202" w:lineRule="auto"/>
              <w:ind w:left="91"/>
              <w:rPr>
                <w:sz w:val="21"/>
                <w:szCs w:val="21"/>
              </w:rPr>
            </w:pPr>
            <w:r>
              <w:rPr>
                <w:spacing w:val="2"/>
                <w:sz w:val="21"/>
                <w:szCs w:val="21"/>
              </w:rPr>
              <w:t>光伏板支架(镀镁铝锌S350</w:t>
            </w:r>
            <w:r>
              <w:rPr>
                <w:sz w:val="21"/>
                <w:szCs w:val="21"/>
              </w:rPr>
              <w:t>GD</w:t>
            </w:r>
            <w:r>
              <w:rPr>
                <w:spacing w:val="2"/>
                <w:sz w:val="21"/>
                <w:szCs w:val="21"/>
              </w:rPr>
              <w:t>,S420</w:t>
            </w:r>
            <w:r>
              <w:rPr>
                <w:sz w:val="21"/>
                <w:szCs w:val="21"/>
              </w:rPr>
              <w:t>GD</w:t>
            </w:r>
            <w:r>
              <w:rPr>
                <w:spacing w:val="2"/>
                <w:sz w:val="21"/>
                <w:szCs w:val="21"/>
              </w:rPr>
              <w:t>)</w:t>
            </w:r>
          </w:p>
        </w:tc>
        <w:tc>
          <w:tcPr>
            <w:tcW w:w="659" w:type="dxa"/>
            <w:vAlign w:val="top"/>
          </w:tcPr>
          <w:p w14:paraId="0BC58902">
            <w:pPr>
              <w:pStyle w:val="6"/>
              <w:spacing w:before="54" w:line="181" w:lineRule="auto"/>
              <w:ind w:left="96"/>
              <w:rPr>
                <w:sz w:val="21"/>
                <w:szCs w:val="21"/>
              </w:rPr>
            </w:pPr>
            <w:r>
              <w:rPr>
                <w:sz w:val="21"/>
                <w:szCs w:val="21"/>
              </w:rPr>
              <w:t>t</w:t>
            </w:r>
          </w:p>
        </w:tc>
        <w:tc>
          <w:tcPr>
            <w:tcW w:w="949" w:type="dxa"/>
            <w:vAlign w:val="top"/>
          </w:tcPr>
          <w:p w14:paraId="05F8E9E5">
            <w:pPr>
              <w:pStyle w:val="6"/>
              <w:spacing w:before="54" w:line="181" w:lineRule="auto"/>
              <w:ind w:left="98"/>
              <w:rPr>
                <w:sz w:val="21"/>
                <w:szCs w:val="21"/>
              </w:rPr>
            </w:pPr>
            <w:r>
              <w:rPr>
                <w:spacing w:val="-5"/>
                <w:sz w:val="21"/>
                <w:szCs w:val="21"/>
              </w:rPr>
              <w:t>1120</w:t>
            </w:r>
          </w:p>
        </w:tc>
        <w:tc>
          <w:tcPr>
            <w:tcW w:w="509" w:type="dxa"/>
            <w:vAlign w:val="top"/>
          </w:tcPr>
          <w:p w14:paraId="28D39581">
            <w:pPr>
              <w:rPr>
                <w:rFonts w:ascii="Arial"/>
                <w:sz w:val="21"/>
              </w:rPr>
            </w:pPr>
          </w:p>
        </w:tc>
        <w:tc>
          <w:tcPr>
            <w:tcW w:w="334" w:type="dxa"/>
            <w:vMerge w:val="continue"/>
            <w:tcBorders>
              <w:top w:val="nil"/>
              <w:bottom w:val="nil"/>
            </w:tcBorders>
            <w:vAlign w:val="top"/>
          </w:tcPr>
          <w:p w14:paraId="17B90C82">
            <w:pPr>
              <w:rPr>
                <w:rFonts w:ascii="Arial"/>
                <w:sz w:val="21"/>
              </w:rPr>
            </w:pPr>
          </w:p>
        </w:tc>
      </w:tr>
      <w:tr w14:paraId="48304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24" w:type="dxa"/>
            <w:vMerge w:val="continue"/>
            <w:tcBorders>
              <w:top w:val="nil"/>
              <w:bottom w:val="nil"/>
            </w:tcBorders>
            <w:vAlign w:val="top"/>
          </w:tcPr>
          <w:p w14:paraId="44F9AD7D">
            <w:pPr>
              <w:rPr>
                <w:rFonts w:ascii="Arial"/>
                <w:sz w:val="21"/>
              </w:rPr>
            </w:pPr>
          </w:p>
        </w:tc>
        <w:tc>
          <w:tcPr>
            <w:tcW w:w="340" w:type="dxa"/>
            <w:vMerge w:val="continue"/>
            <w:tcBorders>
              <w:top w:val="nil"/>
              <w:bottom w:val="nil"/>
            </w:tcBorders>
            <w:vAlign w:val="top"/>
          </w:tcPr>
          <w:p w14:paraId="6842CE7C">
            <w:pPr>
              <w:rPr>
                <w:rFonts w:ascii="Arial"/>
                <w:sz w:val="21"/>
              </w:rPr>
            </w:pPr>
          </w:p>
        </w:tc>
        <w:tc>
          <w:tcPr>
            <w:tcW w:w="939" w:type="dxa"/>
            <w:vAlign w:val="top"/>
          </w:tcPr>
          <w:p w14:paraId="52EB1208">
            <w:pPr>
              <w:pStyle w:val="6"/>
              <w:spacing w:before="64" w:line="180" w:lineRule="auto"/>
              <w:ind w:left="91"/>
              <w:rPr>
                <w:sz w:val="21"/>
                <w:szCs w:val="21"/>
              </w:rPr>
            </w:pPr>
            <w:r>
              <w:rPr>
                <w:spacing w:val="-4"/>
                <w:sz w:val="21"/>
                <w:szCs w:val="21"/>
              </w:rPr>
              <w:t>1.1.3</w:t>
            </w:r>
          </w:p>
        </w:tc>
        <w:tc>
          <w:tcPr>
            <w:tcW w:w="4625" w:type="dxa"/>
            <w:vAlign w:val="top"/>
          </w:tcPr>
          <w:p w14:paraId="128A2D69">
            <w:pPr>
              <w:pStyle w:val="6"/>
              <w:spacing w:before="42" w:line="199" w:lineRule="auto"/>
              <w:ind w:left="91"/>
              <w:rPr>
                <w:sz w:val="21"/>
                <w:szCs w:val="21"/>
              </w:rPr>
            </w:pPr>
            <w:r>
              <w:rPr>
                <w:spacing w:val="1"/>
                <w:sz w:val="21"/>
                <w:szCs w:val="21"/>
              </w:rPr>
              <w:t>光伏板支架Q235B</w:t>
            </w:r>
          </w:p>
        </w:tc>
        <w:tc>
          <w:tcPr>
            <w:tcW w:w="659" w:type="dxa"/>
            <w:vAlign w:val="top"/>
          </w:tcPr>
          <w:p w14:paraId="0EC5D8A3">
            <w:pPr>
              <w:pStyle w:val="6"/>
              <w:spacing w:before="64" w:line="180" w:lineRule="auto"/>
              <w:ind w:left="96"/>
              <w:rPr>
                <w:sz w:val="21"/>
                <w:szCs w:val="21"/>
              </w:rPr>
            </w:pPr>
            <w:r>
              <w:rPr>
                <w:sz w:val="21"/>
                <w:szCs w:val="21"/>
              </w:rPr>
              <w:t>t</w:t>
            </w:r>
          </w:p>
        </w:tc>
        <w:tc>
          <w:tcPr>
            <w:tcW w:w="949" w:type="dxa"/>
            <w:vAlign w:val="top"/>
          </w:tcPr>
          <w:p w14:paraId="7B3A8250">
            <w:pPr>
              <w:pStyle w:val="6"/>
              <w:spacing w:before="64" w:line="180" w:lineRule="auto"/>
              <w:ind w:left="98"/>
              <w:rPr>
                <w:sz w:val="21"/>
                <w:szCs w:val="21"/>
              </w:rPr>
            </w:pPr>
            <w:r>
              <w:rPr>
                <w:spacing w:val="-2"/>
                <w:sz w:val="21"/>
                <w:szCs w:val="21"/>
              </w:rPr>
              <w:t>480</w:t>
            </w:r>
          </w:p>
        </w:tc>
        <w:tc>
          <w:tcPr>
            <w:tcW w:w="509" w:type="dxa"/>
            <w:vAlign w:val="top"/>
          </w:tcPr>
          <w:p w14:paraId="031C141F">
            <w:pPr>
              <w:rPr>
                <w:rFonts w:ascii="Arial"/>
                <w:sz w:val="21"/>
              </w:rPr>
            </w:pPr>
          </w:p>
        </w:tc>
        <w:tc>
          <w:tcPr>
            <w:tcW w:w="334" w:type="dxa"/>
            <w:vMerge w:val="continue"/>
            <w:tcBorders>
              <w:top w:val="nil"/>
              <w:bottom w:val="nil"/>
            </w:tcBorders>
            <w:vAlign w:val="top"/>
          </w:tcPr>
          <w:p w14:paraId="3519F6FF">
            <w:pPr>
              <w:rPr>
                <w:rFonts w:ascii="Arial"/>
                <w:sz w:val="21"/>
              </w:rPr>
            </w:pPr>
          </w:p>
        </w:tc>
      </w:tr>
      <w:tr w14:paraId="09134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24" w:type="dxa"/>
            <w:vMerge w:val="continue"/>
            <w:tcBorders>
              <w:top w:val="nil"/>
              <w:bottom w:val="nil"/>
            </w:tcBorders>
            <w:vAlign w:val="top"/>
          </w:tcPr>
          <w:p w14:paraId="009BF616">
            <w:pPr>
              <w:rPr>
                <w:rFonts w:ascii="Arial"/>
                <w:sz w:val="21"/>
              </w:rPr>
            </w:pPr>
          </w:p>
        </w:tc>
        <w:tc>
          <w:tcPr>
            <w:tcW w:w="340" w:type="dxa"/>
            <w:vMerge w:val="continue"/>
            <w:tcBorders>
              <w:top w:val="nil"/>
              <w:bottom w:val="nil"/>
            </w:tcBorders>
            <w:vAlign w:val="top"/>
          </w:tcPr>
          <w:p w14:paraId="14967AD0">
            <w:pPr>
              <w:rPr>
                <w:rFonts w:ascii="Arial"/>
                <w:sz w:val="21"/>
              </w:rPr>
            </w:pPr>
          </w:p>
        </w:tc>
        <w:tc>
          <w:tcPr>
            <w:tcW w:w="939" w:type="dxa"/>
            <w:vAlign w:val="top"/>
          </w:tcPr>
          <w:p w14:paraId="73A76CED">
            <w:pPr>
              <w:pStyle w:val="6"/>
              <w:spacing w:before="55" w:line="180" w:lineRule="auto"/>
              <w:ind w:left="91"/>
              <w:rPr>
                <w:sz w:val="21"/>
                <w:szCs w:val="21"/>
              </w:rPr>
            </w:pPr>
            <w:r>
              <w:rPr>
                <w:spacing w:val="-6"/>
                <w:sz w:val="21"/>
                <w:szCs w:val="21"/>
              </w:rPr>
              <w:t>1.2</w:t>
            </w:r>
          </w:p>
        </w:tc>
        <w:tc>
          <w:tcPr>
            <w:tcW w:w="4625" w:type="dxa"/>
            <w:vAlign w:val="top"/>
          </w:tcPr>
          <w:p w14:paraId="136EAD40">
            <w:pPr>
              <w:pStyle w:val="6"/>
              <w:spacing w:before="35" w:line="197" w:lineRule="auto"/>
              <w:ind w:left="91"/>
              <w:rPr>
                <w:sz w:val="21"/>
                <w:szCs w:val="21"/>
              </w:rPr>
            </w:pPr>
            <w:r>
              <w:rPr>
                <w:spacing w:val="-1"/>
                <w:sz w:val="21"/>
                <w:szCs w:val="21"/>
              </w:rPr>
              <w:t>汇流及变配电设备</w:t>
            </w:r>
          </w:p>
        </w:tc>
        <w:tc>
          <w:tcPr>
            <w:tcW w:w="659" w:type="dxa"/>
            <w:vAlign w:val="top"/>
          </w:tcPr>
          <w:p w14:paraId="1544EE87">
            <w:pPr>
              <w:rPr>
                <w:rFonts w:ascii="Arial"/>
                <w:sz w:val="21"/>
              </w:rPr>
            </w:pPr>
          </w:p>
        </w:tc>
        <w:tc>
          <w:tcPr>
            <w:tcW w:w="949" w:type="dxa"/>
            <w:vAlign w:val="top"/>
          </w:tcPr>
          <w:p w14:paraId="1B727B60">
            <w:pPr>
              <w:rPr>
                <w:rFonts w:ascii="Arial"/>
                <w:sz w:val="21"/>
              </w:rPr>
            </w:pPr>
          </w:p>
        </w:tc>
        <w:tc>
          <w:tcPr>
            <w:tcW w:w="509" w:type="dxa"/>
            <w:vAlign w:val="top"/>
          </w:tcPr>
          <w:p w14:paraId="533DD0FD">
            <w:pPr>
              <w:rPr>
                <w:rFonts w:ascii="Arial"/>
                <w:sz w:val="21"/>
              </w:rPr>
            </w:pPr>
          </w:p>
        </w:tc>
        <w:tc>
          <w:tcPr>
            <w:tcW w:w="334" w:type="dxa"/>
            <w:vMerge w:val="continue"/>
            <w:tcBorders>
              <w:top w:val="nil"/>
              <w:bottom w:val="nil"/>
            </w:tcBorders>
            <w:vAlign w:val="top"/>
          </w:tcPr>
          <w:p w14:paraId="7000D766">
            <w:pPr>
              <w:rPr>
                <w:rFonts w:ascii="Arial"/>
                <w:sz w:val="21"/>
              </w:rPr>
            </w:pPr>
          </w:p>
        </w:tc>
      </w:tr>
      <w:tr w14:paraId="41E8D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24" w:type="dxa"/>
            <w:vMerge w:val="continue"/>
            <w:tcBorders>
              <w:top w:val="nil"/>
              <w:bottom w:val="nil"/>
            </w:tcBorders>
            <w:vAlign w:val="top"/>
          </w:tcPr>
          <w:p w14:paraId="10B0DB09">
            <w:pPr>
              <w:rPr>
                <w:rFonts w:ascii="Arial"/>
                <w:sz w:val="21"/>
              </w:rPr>
            </w:pPr>
          </w:p>
        </w:tc>
        <w:tc>
          <w:tcPr>
            <w:tcW w:w="340" w:type="dxa"/>
            <w:vMerge w:val="continue"/>
            <w:tcBorders>
              <w:top w:val="nil"/>
              <w:bottom w:val="nil"/>
            </w:tcBorders>
            <w:vAlign w:val="top"/>
          </w:tcPr>
          <w:p w14:paraId="5FB17E72">
            <w:pPr>
              <w:rPr>
                <w:rFonts w:ascii="Arial"/>
                <w:sz w:val="21"/>
              </w:rPr>
            </w:pPr>
          </w:p>
        </w:tc>
        <w:tc>
          <w:tcPr>
            <w:tcW w:w="939" w:type="dxa"/>
            <w:vAlign w:val="top"/>
          </w:tcPr>
          <w:p w14:paraId="370BB741">
            <w:pPr>
              <w:pStyle w:val="6"/>
              <w:spacing w:before="165" w:line="239" w:lineRule="auto"/>
              <w:ind w:left="91"/>
              <w:rPr>
                <w:sz w:val="21"/>
                <w:szCs w:val="21"/>
              </w:rPr>
            </w:pPr>
            <w:r>
              <w:rPr>
                <w:spacing w:val="-4"/>
                <w:sz w:val="21"/>
                <w:szCs w:val="21"/>
              </w:rPr>
              <w:t>1.2.1</w:t>
            </w:r>
          </w:p>
        </w:tc>
        <w:tc>
          <w:tcPr>
            <w:tcW w:w="4625" w:type="dxa"/>
            <w:vAlign w:val="top"/>
          </w:tcPr>
          <w:p w14:paraId="4C9D1A2B">
            <w:pPr>
              <w:pStyle w:val="6"/>
              <w:spacing w:before="205" w:line="220" w:lineRule="auto"/>
              <w:ind w:left="91"/>
              <w:rPr>
                <w:sz w:val="21"/>
                <w:szCs w:val="21"/>
              </w:rPr>
            </w:pPr>
            <w:r>
              <w:rPr>
                <w:spacing w:val="-3"/>
                <w:sz w:val="21"/>
                <w:szCs w:val="21"/>
              </w:rPr>
              <w:t>箱变</w:t>
            </w:r>
          </w:p>
        </w:tc>
        <w:tc>
          <w:tcPr>
            <w:tcW w:w="659" w:type="dxa"/>
            <w:vAlign w:val="top"/>
          </w:tcPr>
          <w:p w14:paraId="4194DA2E">
            <w:pPr>
              <w:rPr>
                <w:rFonts w:ascii="Arial"/>
                <w:sz w:val="21"/>
              </w:rPr>
            </w:pPr>
          </w:p>
        </w:tc>
        <w:tc>
          <w:tcPr>
            <w:tcW w:w="949" w:type="dxa"/>
            <w:vAlign w:val="top"/>
          </w:tcPr>
          <w:p w14:paraId="24164C12">
            <w:pPr>
              <w:rPr>
                <w:rFonts w:ascii="Arial"/>
                <w:sz w:val="21"/>
              </w:rPr>
            </w:pPr>
          </w:p>
        </w:tc>
        <w:tc>
          <w:tcPr>
            <w:tcW w:w="509" w:type="dxa"/>
            <w:vAlign w:val="top"/>
          </w:tcPr>
          <w:p w14:paraId="3269FAE8">
            <w:pPr>
              <w:rPr>
                <w:rFonts w:ascii="Arial"/>
                <w:sz w:val="21"/>
              </w:rPr>
            </w:pPr>
          </w:p>
        </w:tc>
        <w:tc>
          <w:tcPr>
            <w:tcW w:w="334" w:type="dxa"/>
            <w:vMerge w:val="continue"/>
            <w:tcBorders>
              <w:top w:val="nil"/>
              <w:bottom w:val="nil"/>
            </w:tcBorders>
            <w:vAlign w:val="top"/>
          </w:tcPr>
          <w:p w14:paraId="5246967C">
            <w:pPr>
              <w:rPr>
                <w:rFonts w:ascii="Arial"/>
                <w:sz w:val="21"/>
              </w:rPr>
            </w:pPr>
          </w:p>
        </w:tc>
      </w:tr>
      <w:tr w14:paraId="30D64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24" w:type="dxa"/>
            <w:vMerge w:val="continue"/>
            <w:tcBorders>
              <w:top w:val="nil"/>
              <w:bottom w:val="nil"/>
            </w:tcBorders>
            <w:vAlign w:val="top"/>
          </w:tcPr>
          <w:p w14:paraId="7A746A55">
            <w:pPr>
              <w:rPr>
                <w:rFonts w:ascii="Arial"/>
                <w:sz w:val="21"/>
              </w:rPr>
            </w:pPr>
          </w:p>
        </w:tc>
        <w:tc>
          <w:tcPr>
            <w:tcW w:w="340" w:type="dxa"/>
            <w:vMerge w:val="continue"/>
            <w:tcBorders>
              <w:top w:val="nil"/>
              <w:bottom w:val="nil"/>
            </w:tcBorders>
            <w:vAlign w:val="top"/>
          </w:tcPr>
          <w:p w14:paraId="5D7440E2">
            <w:pPr>
              <w:rPr>
                <w:rFonts w:ascii="Arial"/>
                <w:sz w:val="21"/>
              </w:rPr>
            </w:pPr>
          </w:p>
        </w:tc>
        <w:tc>
          <w:tcPr>
            <w:tcW w:w="939" w:type="dxa"/>
            <w:vAlign w:val="top"/>
          </w:tcPr>
          <w:p w14:paraId="48ABC7DC">
            <w:pPr>
              <w:pStyle w:val="6"/>
              <w:spacing w:before="66" w:line="178" w:lineRule="auto"/>
              <w:ind w:left="91"/>
              <w:rPr>
                <w:sz w:val="21"/>
                <w:szCs w:val="21"/>
              </w:rPr>
            </w:pPr>
            <w:r>
              <w:rPr>
                <w:spacing w:val="-3"/>
                <w:sz w:val="21"/>
                <w:szCs w:val="21"/>
              </w:rPr>
              <w:t>1.2.1.1</w:t>
            </w:r>
          </w:p>
        </w:tc>
        <w:tc>
          <w:tcPr>
            <w:tcW w:w="4625" w:type="dxa"/>
            <w:vAlign w:val="top"/>
          </w:tcPr>
          <w:p w14:paraId="1B9EF368">
            <w:pPr>
              <w:pStyle w:val="6"/>
              <w:spacing w:before="46" w:line="196" w:lineRule="auto"/>
              <w:ind w:left="91"/>
              <w:rPr>
                <w:sz w:val="21"/>
                <w:szCs w:val="21"/>
              </w:rPr>
            </w:pPr>
            <w:r>
              <w:rPr>
                <w:spacing w:val="1"/>
                <w:sz w:val="21"/>
                <w:szCs w:val="21"/>
              </w:rPr>
              <w:t>箱变900</w:t>
            </w:r>
            <w:r>
              <w:rPr>
                <w:sz w:val="21"/>
                <w:szCs w:val="21"/>
              </w:rPr>
              <w:t>kw</w:t>
            </w:r>
            <w:r>
              <w:rPr>
                <w:spacing w:val="1"/>
                <w:sz w:val="21"/>
                <w:szCs w:val="21"/>
              </w:rPr>
              <w:t>华变</w:t>
            </w:r>
          </w:p>
        </w:tc>
        <w:tc>
          <w:tcPr>
            <w:tcW w:w="659" w:type="dxa"/>
            <w:vAlign w:val="top"/>
          </w:tcPr>
          <w:p w14:paraId="5E5A6B61">
            <w:pPr>
              <w:pStyle w:val="6"/>
              <w:spacing w:before="48" w:line="194" w:lineRule="auto"/>
              <w:ind w:left="96"/>
              <w:rPr>
                <w:sz w:val="21"/>
                <w:szCs w:val="21"/>
              </w:rPr>
            </w:pPr>
            <w:r>
              <w:rPr>
                <w:sz w:val="21"/>
                <w:szCs w:val="21"/>
              </w:rPr>
              <w:t>台</w:t>
            </w:r>
          </w:p>
        </w:tc>
        <w:tc>
          <w:tcPr>
            <w:tcW w:w="949" w:type="dxa"/>
            <w:vAlign w:val="top"/>
          </w:tcPr>
          <w:p w14:paraId="738E058E">
            <w:pPr>
              <w:pStyle w:val="6"/>
              <w:spacing w:before="66" w:line="178" w:lineRule="auto"/>
              <w:ind w:left="98"/>
              <w:rPr>
                <w:sz w:val="21"/>
                <w:szCs w:val="21"/>
              </w:rPr>
            </w:pPr>
            <w:r>
              <w:rPr>
                <w:spacing w:val="-5"/>
                <w:sz w:val="21"/>
                <w:szCs w:val="21"/>
              </w:rPr>
              <w:t>1.00</w:t>
            </w:r>
          </w:p>
        </w:tc>
        <w:tc>
          <w:tcPr>
            <w:tcW w:w="509" w:type="dxa"/>
            <w:vAlign w:val="top"/>
          </w:tcPr>
          <w:p w14:paraId="4201E460">
            <w:pPr>
              <w:rPr>
                <w:rFonts w:ascii="Arial"/>
                <w:sz w:val="21"/>
              </w:rPr>
            </w:pPr>
          </w:p>
        </w:tc>
        <w:tc>
          <w:tcPr>
            <w:tcW w:w="334" w:type="dxa"/>
            <w:vMerge w:val="continue"/>
            <w:tcBorders>
              <w:top w:val="nil"/>
              <w:bottom w:val="nil"/>
            </w:tcBorders>
            <w:vAlign w:val="top"/>
          </w:tcPr>
          <w:p w14:paraId="68F0722C">
            <w:pPr>
              <w:rPr>
                <w:rFonts w:ascii="Arial"/>
                <w:sz w:val="21"/>
              </w:rPr>
            </w:pPr>
          </w:p>
        </w:tc>
      </w:tr>
      <w:tr w14:paraId="55F17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24" w:type="dxa"/>
            <w:vMerge w:val="continue"/>
            <w:tcBorders>
              <w:top w:val="nil"/>
              <w:bottom w:val="nil"/>
            </w:tcBorders>
            <w:vAlign w:val="top"/>
          </w:tcPr>
          <w:p w14:paraId="60993A3B">
            <w:pPr>
              <w:rPr>
                <w:rFonts w:ascii="Arial"/>
                <w:sz w:val="21"/>
              </w:rPr>
            </w:pPr>
          </w:p>
        </w:tc>
        <w:tc>
          <w:tcPr>
            <w:tcW w:w="340" w:type="dxa"/>
            <w:vMerge w:val="continue"/>
            <w:tcBorders>
              <w:top w:val="nil"/>
              <w:bottom w:val="nil"/>
            </w:tcBorders>
            <w:vAlign w:val="top"/>
          </w:tcPr>
          <w:p w14:paraId="10AECCBC">
            <w:pPr>
              <w:rPr>
                <w:rFonts w:ascii="Arial"/>
                <w:sz w:val="21"/>
              </w:rPr>
            </w:pPr>
          </w:p>
        </w:tc>
        <w:tc>
          <w:tcPr>
            <w:tcW w:w="939" w:type="dxa"/>
            <w:vAlign w:val="top"/>
          </w:tcPr>
          <w:p w14:paraId="192A6E7E">
            <w:pPr>
              <w:pStyle w:val="6"/>
              <w:spacing w:before="57" w:line="178" w:lineRule="auto"/>
              <w:ind w:left="91"/>
              <w:rPr>
                <w:sz w:val="21"/>
                <w:szCs w:val="21"/>
              </w:rPr>
            </w:pPr>
            <w:r>
              <w:rPr>
                <w:spacing w:val="-3"/>
                <w:sz w:val="21"/>
                <w:szCs w:val="21"/>
              </w:rPr>
              <w:t>1.2.1.2</w:t>
            </w:r>
          </w:p>
        </w:tc>
        <w:tc>
          <w:tcPr>
            <w:tcW w:w="4625" w:type="dxa"/>
            <w:vAlign w:val="top"/>
          </w:tcPr>
          <w:p w14:paraId="12EB79DC">
            <w:pPr>
              <w:pStyle w:val="6"/>
              <w:spacing w:before="37" w:line="196" w:lineRule="auto"/>
              <w:ind w:left="91"/>
              <w:rPr>
                <w:sz w:val="21"/>
                <w:szCs w:val="21"/>
              </w:rPr>
            </w:pPr>
            <w:r>
              <w:rPr>
                <w:spacing w:val="-1"/>
                <w:sz w:val="21"/>
                <w:szCs w:val="21"/>
              </w:rPr>
              <w:t>箱变1250kw华变</w:t>
            </w:r>
          </w:p>
        </w:tc>
        <w:tc>
          <w:tcPr>
            <w:tcW w:w="659" w:type="dxa"/>
            <w:vAlign w:val="top"/>
          </w:tcPr>
          <w:p w14:paraId="0CAB4717">
            <w:pPr>
              <w:pStyle w:val="6"/>
              <w:spacing w:before="39" w:line="194" w:lineRule="auto"/>
              <w:ind w:left="96"/>
              <w:rPr>
                <w:sz w:val="21"/>
                <w:szCs w:val="21"/>
              </w:rPr>
            </w:pPr>
            <w:r>
              <w:rPr>
                <w:sz w:val="21"/>
                <w:szCs w:val="21"/>
              </w:rPr>
              <w:t>台</w:t>
            </w:r>
          </w:p>
        </w:tc>
        <w:tc>
          <w:tcPr>
            <w:tcW w:w="949" w:type="dxa"/>
            <w:vAlign w:val="top"/>
          </w:tcPr>
          <w:p w14:paraId="4AF28E08">
            <w:pPr>
              <w:pStyle w:val="6"/>
              <w:spacing w:before="57" w:line="178" w:lineRule="auto"/>
              <w:ind w:left="98"/>
              <w:rPr>
                <w:sz w:val="21"/>
                <w:szCs w:val="21"/>
              </w:rPr>
            </w:pPr>
            <w:r>
              <w:rPr>
                <w:spacing w:val="-3"/>
                <w:sz w:val="21"/>
                <w:szCs w:val="21"/>
              </w:rPr>
              <w:t>2.00</w:t>
            </w:r>
          </w:p>
        </w:tc>
        <w:tc>
          <w:tcPr>
            <w:tcW w:w="509" w:type="dxa"/>
            <w:vAlign w:val="top"/>
          </w:tcPr>
          <w:p w14:paraId="12E40003">
            <w:pPr>
              <w:rPr>
                <w:rFonts w:ascii="Arial"/>
                <w:sz w:val="21"/>
              </w:rPr>
            </w:pPr>
          </w:p>
        </w:tc>
        <w:tc>
          <w:tcPr>
            <w:tcW w:w="334" w:type="dxa"/>
            <w:vMerge w:val="continue"/>
            <w:tcBorders>
              <w:top w:val="nil"/>
              <w:bottom w:val="nil"/>
            </w:tcBorders>
            <w:vAlign w:val="top"/>
          </w:tcPr>
          <w:p w14:paraId="08DF2BB0">
            <w:pPr>
              <w:rPr>
                <w:rFonts w:ascii="Arial"/>
                <w:sz w:val="21"/>
              </w:rPr>
            </w:pPr>
          </w:p>
        </w:tc>
      </w:tr>
      <w:tr w14:paraId="78C5D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24" w:type="dxa"/>
            <w:vMerge w:val="continue"/>
            <w:tcBorders>
              <w:top w:val="nil"/>
              <w:bottom w:val="nil"/>
            </w:tcBorders>
            <w:vAlign w:val="top"/>
          </w:tcPr>
          <w:p w14:paraId="64FCD06C">
            <w:pPr>
              <w:rPr>
                <w:rFonts w:ascii="Arial"/>
                <w:sz w:val="21"/>
              </w:rPr>
            </w:pPr>
          </w:p>
        </w:tc>
        <w:tc>
          <w:tcPr>
            <w:tcW w:w="340" w:type="dxa"/>
            <w:vMerge w:val="continue"/>
            <w:tcBorders>
              <w:top w:val="nil"/>
              <w:bottom w:val="nil"/>
            </w:tcBorders>
            <w:vAlign w:val="top"/>
          </w:tcPr>
          <w:p w14:paraId="3BAE606B">
            <w:pPr>
              <w:rPr>
                <w:rFonts w:ascii="Arial"/>
                <w:sz w:val="21"/>
              </w:rPr>
            </w:pPr>
          </w:p>
        </w:tc>
        <w:tc>
          <w:tcPr>
            <w:tcW w:w="939" w:type="dxa"/>
            <w:vAlign w:val="top"/>
          </w:tcPr>
          <w:p w14:paraId="3BA04846">
            <w:pPr>
              <w:pStyle w:val="6"/>
              <w:spacing w:before="67" w:line="177" w:lineRule="auto"/>
              <w:ind w:left="91"/>
              <w:rPr>
                <w:sz w:val="21"/>
                <w:szCs w:val="21"/>
              </w:rPr>
            </w:pPr>
            <w:r>
              <w:rPr>
                <w:spacing w:val="-3"/>
                <w:sz w:val="21"/>
                <w:szCs w:val="21"/>
              </w:rPr>
              <w:t>1.2.1.3</w:t>
            </w:r>
          </w:p>
        </w:tc>
        <w:tc>
          <w:tcPr>
            <w:tcW w:w="4625" w:type="dxa"/>
            <w:vAlign w:val="top"/>
          </w:tcPr>
          <w:p w14:paraId="0BD860DC">
            <w:pPr>
              <w:pStyle w:val="6"/>
              <w:spacing w:before="47" w:line="195" w:lineRule="auto"/>
              <w:ind w:left="91"/>
              <w:rPr>
                <w:sz w:val="21"/>
                <w:szCs w:val="21"/>
              </w:rPr>
            </w:pPr>
            <w:r>
              <w:rPr>
                <w:spacing w:val="-1"/>
                <w:sz w:val="21"/>
                <w:szCs w:val="21"/>
              </w:rPr>
              <w:t>箱变1400kw华变</w:t>
            </w:r>
          </w:p>
        </w:tc>
        <w:tc>
          <w:tcPr>
            <w:tcW w:w="659" w:type="dxa"/>
            <w:vAlign w:val="top"/>
          </w:tcPr>
          <w:p w14:paraId="7EDE5022">
            <w:pPr>
              <w:pStyle w:val="6"/>
              <w:spacing w:before="48" w:line="194" w:lineRule="auto"/>
              <w:ind w:left="96"/>
              <w:rPr>
                <w:sz w:val="21"/>
                <w:szCs w:val="21"/>
              </w:rPr>
            </w:pPr>
            <w:r>
              <w:rPr>
                <w:sz w:val="21"/>
                <w:szCs w:val="21"/>
              </w:rPr>
              <w:t>台</w:t>
            </w:r>
          </w:p>
        </w:tc>
        <w:tc>
          <w:tcPr>
            <w:tcW w:w="949" w:type="dxa"/>
            <w:vAlign w:val="top"/>
          </w:tcPr>
          <w:p w14:paraId="50F71CF9">
            <w:pPr>
              <w:pStyle w:val="6"/>
              <w:spacing w:before="67" w:line="177" w:lineRule="auto"/>
              <w:ind w:left="98"/>
              <w:rPr>
                <w:sz w:val="21"/>
                <w:szCs w:val="21"/>
              </w:rPr>
            </w:pPr>
            <w:r>
              <w:rPr>
                <w:spacing w:val="-5"/>
                <w:sz w:val="21"/>
                <w:szCs w:val="21"/>
              </w:rPr>
              <w:t>1.00</w:t>
            </w:r>
          </w:p>
        </w:tc>
        <w:tc>
          <w:tcPr>
            <w:tcW w:w="509" w:type="dxa"/>
            <w:vAlign w:val="top"/>
          </w:tcPr>
          <w:p w14:paraId="2EDB37AA">
            <w:pPr>
              <w:rPr>
                <w:rFonts w:ascii="Arial"/>
                <w:sz w:val="21"/>
              </w:rPr>
            </w:pPr>
          </w:p>
        </w:tc>
        <w:tc>
          <w:tcPr>
            <w:tcW w:w="334" w:type="dxa"/>
            <w:vMerge w:val="continue"/>
            <w:tcBorders>
              <w:top w:val="nil"/>
              <w:bottom w:val="nil"/>
            </w:tcBorders>
            <w:vAlign w:val="top"/>
          </w:tcPr>
          <w:p w14:paraId="64D2F4E8">
            <w:pPr>
              <w:rPr>
                <w:rFonts w:ascii="Arial"/>
                <w:sz w:val="21"/>
              </w:rPr>
            </w:pPr>
          </w:p>
        </w:tc>
      </w:tr>
      <w:tr w14:paraId="07CD6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24" w:type="dxa"/>
            <w:vMerge w:val="continue"/>
            <w:tcBorders>
              <w:top w:val="nil"/>
              <w:bottom w:val="nil"/>
            </w:tcBorders>
            <w:vAlign w:val="top"/>
          </w:tcPr>
          <w:p w14:paraId="1B851637">
            <w:pPr>
              <w:rPr>
                <w:rFonts w:ascii="Arial"/>
                <w:sz w:val="21"/>
              </w:rPr>
            </w:pPr>
          </w:p>
        </w:tc>
        <w:tc>
          <w:tcPr>
            <w:tcW w:w="340" w:type="dxa"/>
            <w:vMerge w:val="continue"/>
            <w:tcBorders>
              <w:top w:val="nil"/>
              <w:bottom w:val="nil"/>
            </w:tcBorders>
            <w:vAlign w:val="top"/>
          </w:tcPr>
          <w:p w14:paraId="3AB20A0B">
            <w:pPr>
              <w:rPr>
                <w:rFonts w:ascii="Arial"/>
                <w:sz w:val="21"/>
              </w:rPr>
            </w:pPr>
          </w:p>
        </w:tc>
        <w:tc>
          <w:tcPr>
            <w:tcW w:w="939" w:type="dxa"/>
            <w:vAlign w:val="top"/>
          </w:tcPr>
          <w:p w14:paraId="03D13292">
            <w:pPr>
              <w:pStyle w:val="6"/>
              <w:spacing w:before="58" w:line="177" w:lineRule="auto"/>
              <w:ind w:left="91"/>
              <w:rPr>
                <w:sz w:val="21"/>
                <w:szCs w:val="21"/>
              </w:rPr>
            </w:pPr>
            <w:r>
              <w:rPr>
                <w:spacing w:val="-3"/>
                <w:sz w:val="21"/>
                <w:szCs w:val="21"/>
              </w:rPr>
              <w:t>1.2.1.4</w:t>
            </w:r>
          </w:p>
        </w:tc>
        <w:tc>
          <w:tcPr>
            <w:tcW w:w="4625" w:type="dxa"/>
            <w:vAlign w:val="top"/>
          </w:tcPr>
          <w:p w14:paraId="1BDABE7F">
            <w:pPr>
              <w:pStyle w:val="6"/>
              <w:spacing w:before="38" w:line="195" w:lineRule="auto"/>
              <w:ind w:left="91"/>
              <w:rPr>
                <w:sz w:val="21"/>
                <w:szCs w:val="21"/>
              </w:rPr>
            </w:pPr>
            <w:r>
              <w:rPr>
                <w:spacing w:val="-1"/>
                <w:sz w:val="21"/>
                <w:szCs w:val="21"/>
              </w:rPr>
              <w:t>箱变1500kw华变</w:t>
            </w:r>
          </w:p>
        </w:tc>
        <w:tc>
          <w:tcPr>
            <w:tcW w:w="659" w:type="dxa"/>
            <w:vAlign w:val="top"/>
          </w:tcPr>
          <w:p w14:paraId="7D567260">
            <w:pPr>
              <w:pStyle w:val="6"/>
              <w:spacing w:before="39" w:line="194" w:lineRule="auto"/>
              <w:ind w:left="96"/>
              <w:rPr>
                <w:sz w:val="21"/>
                <w:szCs w:val="21"/>
              </w:rPr>
            </w:pPr>
            <w:r>
              <w:rPr>
                <w:sz w:val="21"/>
                <w:szCs w:val="21"/>
              </w:rPr>
              <w:t>台</w:t>
            </w:r>
          </w:p>
        </w:tc>
        <w:tc>
          <w:tcPr>
            <w:tcW w:w="949" w:type="dxa"/>
            <w:vAlign w:val="top"/>
          </w:tcPr>
          <w:p w14:paraId="2C87F94A">
            <w:pPr>
              <w:pStyle w:val="6"/>
              <w:spacing w:before="58" w:line="177" w:lineRule="auto"/>
              <w:ind w:left="98"/>
              <w:rPr>
                <w:sz w:val="21"/>
                <w:szCs w:val="21"/>
              </w:rPr>
            </w:pPr>
            <w:r>
              <w:rPr>
                <w:spacing w:val="-3"/>
                <w:sz w:val="21"/>
                <w:szCs w:val="21"/>
              </w:rPr>
              <w:t>2.00</w:t>
            </w:r>
          </w:p>
        </w:tc>
        <w:tc>
          <w:tcPr>
            <w:tcW w:w="509" w:type="dxa"/>
            <w:vAlign w:val="top"/>
          </w:tcPr>
          <w:p w14:paraId="49397B81">
            <w:pPr>
              <w:rPr>
                <w:rFonts w:ascii="Arial"/>
                <w:sz w:val="21"/>
              </w:rPr>
            </w:pPr>
          </w:p>
        </w:tc>
        <w:tc>
          <w:tcPr>
            <w:tcW w:w="334" w:type="dxa"/>
            <w:vMerge w:val="continue"/>
            <w:tcBorders>
              <w:top w:val="nil"/>
              <w:bottom w:val="nil"/>
            </w:tcBorders>
            <w:vAlign w:val="top"/>
          </w:tcPr>
          <w:p w14:paraId="56AB2EBB">
            <w:pPr>
              <w:rPr>
                <w:rFonts w:ascii="Arial"/>
                <w:sz w:val="21"/>
              </w:rPr>
            </w:pPr>
          </w:p>
        </w:tc>
      </w:tr>
      <w:tr w14:paraId="32800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724" w:type="dxa"/>
            <w:vMerge w:val="continue"/>
            <w:tcBorders>
              <w:top w:val="nil"/>
              <w:bottom w:val="nil"/>
            </w:tcBorders>
            <w:vAlign w:val="top"/>
          </w:tcPr>
          <w:p w14:paraId="6038FEEA">
            <w:pPr>
              <w:rPr>
                <w:rFonts w:ascii="Arial"/>
                <w:sz w:val="21"/>
              </w:rPr>
            </w:pPr>
          </w:p>
        </w:tc>
        <w:tc>
          <w:tcPr>
            <w:tcW w:w="340" w:type="dxa"/>
            <w:vMerge w:val="continue"/>
            <w:tcBorders>
              <w:top w:val="nil"/>
              <w:bottom w:val="nil"/>
            </w:tcBorders>
            <w:vAlign w:val="top"/>
          </w:tcPr>
          <w:p w14:paraId="48FC0406">
            <w:pPr>
              <w:rPr>
                <w:rFonts w:ascii="Arial"/>
                <w:sz w:val="21"/>
              </w:rPr>
            </w:pPr>
          </w:p>
        </w:tc>
        <w:tc>
          <w:tcPr>
            <w:tcW w:w="939" w:type="dxa"/>
            <w:vAlign w:val="top"/>
          </w:tcPr>
          <w:p w14:paraId="6AC615BD">
            <w:pPr>
              <w:pStyle w:val="6"/>
              <w:spacing w:before="59" w:line="167" w:lineRule="auto"/>
              <w:ind w:left="91"/>
              <w:rPr>
                <w:sz w:val="21"/>
                <w:szCs w:val="21"/>
              </w:rPr>
            </w:pPr>
            <w:r>
              <w:rPr>
                <w:spacing w:val="-3"/>
                <w:sz w:val="21"/>
                <w:szCs w:val="21"/>
              </w:rPr>
              <w:t>1.2.1.5</w:t>
            </w:r>
          </w:p>
        </w:tc>
        <w:tc>
          <w:tcPr>
            <w:tcW w:w="4625" w:type="dxa"/>
            <w:vAlign w:val="top"/>
          </w:tcPr>
          <w:p w14:paraId="581BC873">
            <w:pPr>
              <w:pStyle w:val="6"/>
              <w:spacing w:before="38" w:line="185" w:lineRule="auto"/>
              <w:ind w:left="91"/>
              <w:rPr>
                <w:sz w:val="21"/>
                <w:szCs w:val="21"/>
              </w:rPr>
            </w:pPr>
            <w:r>
              <w:rPr>
                <w:spacing w:val="-1"/>
                <w:sz w:val="21"/>
                <w:szCs w:val="21"/>
              </w:rPr>
              <w:t>箱变1600kw华变</w:t>
            </w:r>
          </w:p>
        </w:tc>
        <w:tc>
          <w:tcPr>
            <w:tcW w:w="659" w:type="dxa"/>
            <w:vAlign w:val="top"/>
          </w:tcPr>
          <w:p w14:paraId="7D139862">
            <w:pPr>
              <w:pStyle w:val="6"/>
              <w:spacing w:before="39" w:line="184" w:lineRule="auto"/>
              <w:ind w:left="96"/>
              <w:rPr>
                <w:sz w:val="21"/>
                <w:szCs w:val="21"/>
              </w:rPr>
            </w:pPr>
            <w:r>
              <w:rPr>
                <w:sz w:val="21"/>
                <w:szCs w:val="21"/>
              </w:rPr>
              <w:t>台</w:t>
            </w:r>
          </w:p>
        </w:tc>
        <w:tc>
          <w:tcPr>
            <w:tcW w:w="949" w:type="dxa"/>
            <w:vAlign w:val="top"/>
          </w:tcPr>
          <w:p w14:paraId="5E53A100">
            <w:pPr>
              <w:pStyle w:val="6"/>
              <w:spacing w:before="59" w:line="167" w:lineRule="auto"/>
              <w:ind w:left="98"/>
              <w:rPr>
                <w:sz w:val="21"/>
                <w:szCs w:val="21"/>
              </w:rPr>
            </w:pPr>
            <w:r>
              <w:rPr>
                <w:spacing w:val="-3"/>
                <w:sz w:val="21"/>
                <w:szCs w:val="21"/>
              </w:rPr>
              <w:t>3.00</w:t>
            </w:r>
          </w:p>
        </w:tc>
        <w:tc>
          <w:tcPr>
            <w:tcW w:w="509" w:type="dxa"/>
            <w:vAlign w:val="top"/>
          </w:tcPr>
          <w:p w14:paraId="1F7E4171">
            <w:pPr>
              <w:rPr>
                <w:rFonts w:ascii="Arial"/>
                <w:sz w:val="21"/>
              </w:rPr>
            </w:pPr>
          </w:p>
        </w:tc>
        <w:tc>
          <w:tcPr>
            <w:tcW w:w="334" w:type="dxa"/>
            <w:vMerge w:val="continue"/>
            <w:tcBorders>
              <w:top w:val="nil"/>
              <w:bottom w:val="nil"/>
            </w:tcBorders>
            <w:vAlign w:val="top"/>
          </w:tcPr>
          <w:p w14:paraId="678A4C26">
            <w:pPr>
              <w:rPr>
                <w:rFonts w:ascii="Arial"/>
                <w:sz w:val="21"/>
              </w:rPr>
            </w:pPr>
          </w:p>
        </w:tc>
      </w:tr>
      <w:tr w14:paraId="6E3BE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24" w:type="dxa"/>
            <w:vMerge w:val="continue"/>
            <w:tcBorders>
              <w:top w:val="nil"/>
              <w:bottom w:val="nil"/>
            </w:tcBorders>
            <w:vAlign w:val="top"/>
          </w:tcPr>
          <w:p w14:paraId="43C0263A">
            <w:pPr>
              <w:rPr>
                <w:rFonts w:ascii="Arial"/>
                <w:sz w:val="21"/>
              </w:rPr>
            </w:pPr>
          </w:p>
        </w:tc>
        <w:tc>
          <w:tcPr>
            <w:tcW w:w="340" w:type="dxa"/>
            <w:vMerge w:val="continue"/>
            <w:tcBorders>
              <w:top w:val="nil"/>
              <w:bottom w:val="nil"/>
            </w:tcBorders>
            <w:vAlign w:val="top"/>
          </w:tcPr>
          <w:p w14:paraId="3F8318CB">
            <w:pPr>
              <w:rPr>
                <w:rFonts w:ascii="Arial"/>
                <w:sz w:val="21"/>
              </w:rPr>
            </w:pPr>
          </w:p>
        </w:tc>
        <w:tc>
          <w:tcPr>
            <w:tcW w:w="939" w:type="dxa"/>
            <w:vAlign w:val="top"/>
          </w:tcPr>
          <w:p w14:paraId="7599D9F5">
            <w:pPr>
              <w:pStyle w:val="6"/>
              <w:spacing w:before="69" w:line="176" w:lineRule="auto"/>
              <w:ind w:left="91"/>
              <w:rPr>
                <w:sz w:val="21"/>
                <w:szCs w:val="21"/>
              </w:rPr>
            </w:pPr>
            <w:r>
              <w:rPr>
                <w:spacing w:val="-3"/>
                <w:sz w:val="21"/>
                <w:szCs w:val="21"/>
              </w:rPr>
              <w:t>1.2.1.6</w:t>
            </w:r>
          </w:p>
        </w:tc>
        <w:tc>
          <w:tcPr>
            <w:tcW w:w="4625" w:type="dxa"/>
            <w:vAlign w:val="top"/>
          </w:tcPr>
          <w:p w14:paraId="5805B40C">
            <w:pPr>
              <w:pStyle w:val="6"/>
              <w:spacing w:before="49" w:line="194" w:lineRule="auto"/>
              <w:ind w:left="91"/>
              <w:rPr>
                <w:sz w:val="21"/>
                <w:szCs w:val="21"/>
              </w:rPr>
            </w:pPr>
            <w:r>
              <w:rPr>
                <w:spacing w:val="-1"/>
                <w:sz w:val="21"/>
                <w:szCs w:val="21"/>
              </w:rPr>
              <w:t>箱变1800kw华变</w:t>
            </w:r>
          </w:p>
        </w:tc>
        <w:tc>
          <w:tcPr>
            <w:tcW w:w="659" w:type="dxa"/>
            <w:vAlign w:val="top"/>
          </w:tcPr>
          <w:p w14:paraId="4DC6C33C">
            <w:pPr>
              <w:pStyle w:val="6"/>
              <w:spacing w:before="50" w:line="193" w:lineRule="auto"/>
              <w:ind w:left="96"/>
              <w:rPr>
                <w:sz w:val="21"/>
                <w:szCs w:val="21"/>
              </w:rPr>
            </w:pPr>
            <w:r>
              <w:rPr>
                <w:sz w:val="21"/>
                <w:szCs w:val="21"/>
              </w:rPr>
              <w:t>台</w:t>
            </w:r>
          </w:p>
        </w:tc>
        <w:tc>
          <w:tcPr>
            <w:tcW w:w="949" w:type="dxa"/>
            <w:vAlign w:val="top"/>
          </w:tcPr>
          <w:p w14:paraId="439DEADA">
            <w:pPr>
              <w:pStyle w:val="6"/>
              <w:spacing w:before="69" w:line="176" w:lineRule="auto"/>
              <w:ind w:left="98"/>
              <w:rPr>
                <w:sz w:val="21"/>
                <w:szCs w:val="21"/>
              </w:rPr>
            </w:pPr>
            <w:r>
              <w:rPr>
                <w:spacing w:val="-3"/>
                <w:sz w:val="21"/>
                <w:szCs w:val="21"/>
              </w:rPr>
              <w:t>3.00</w:t>
            </w:r>
          </w:p>
        </w:tc>
        <w:tc>
          <w:tcPr>
            <w:tcW w:w="509" w:type="dxa"/>
            <w:vAlign w:val="top"/>
          </w:tcPr>
          <w:p w14:paraId="478357C2">
            <w:pPr>
              <w:rPr>
                <w:rFonts w:ascii="Arial"/>
                <w:sz w:val="21"/>
              </w:rPr>
            </w:pPr>
          </w:p>
        </w:tc>
        <w:tc>
          <w:tcPr>
            <w:tcW w:w="334" w:type="dxa"/>
            <w:vMerge w:val="continue"/>
            <w:tcBorders>
              <w:top w:val="nil"/>
              <w:bottom w:val="nil"/>
            </w:tcBorders>
            <w:vAlign w:val="top"/>
          </w:tcPr>
          <w:p w14:paraId="11934A9D">
            <w:pPr>
              <w:rPr>
                <w:rFonts w:ascii="Arial"/>
                <w:sz w:val="21"/>
              </w:rPr>
            </w:pPr>
          </w:p>
        </w:tc>
      </w:tr>
      <w:tr w14:paraId="040BC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24" w:type="dxa"/>
            <w:vMerge w:val="continue"/>
            <w:tcBorders>
              <w:top w:val="nil"/>
              <w:bottom w:val="nil"/>
            </w:tcBorders>
            <w:vAlign w:val="top"/>
          </w:tcPr>
          <w:p w14:paraId="78E6C75E">
            <w:pPr>
              <w:rPr>
                <w:rFonts w:ascii="Arial"/>
                <w:sz w:val="21"/>
              </w:rPr>
            </w:pPr>
          </w:p>
        </w:tc>
        <w:tc>
          <w:tcPr>
            <w:tcW w:w="340" w:type="dxa"/>
            <w:vMerge w:val="continue"/>
            <w:tcBorders>
              <w:top w:val="nil"/>
              <w:bottom w:val="nil"/>
            </w:tcBorders>
            <w:vAlign w:val="top"/>
          </w:tcPr>
          <w:p w14:paraId="52713AA9">
            <w:pPr>
              <w:rPr>
                <w:rFonts w:ascii="Arial"/>
                <w:sz w:val="21"/>
              </w:rPr>
            </w:pPr>
          </w:p>
        </w:tc>
        <w:tc>
          <w:tcPr>
            <w:tcW w:w="939" w:type="dxa"/>
            <w:vAlign w:val="top"/>
          </w:tcPr>
          <w:p w14:paraId="5FD9FB23">
            <w:pPr>
              <w:pStyle w:val="6"/>
              <w:spacing w:before="59" w:line="176" w:lineRule="auto"/>
              <w:ind w:left="91"/>
              <w:rPr>
                <w:sz w:val="21"/>
                <w:szCs w:val="21"/>
              </w:rPr>
            </w:pPr>
            <w:r>
              <w:rPr>
                <w:spacing w:val="-3"/>
                <w:sz w:val="21"/>
                <w:szCs w:val="21"/>
              </w:rPr>
              <w:t>1.2.1.7</w:t>
            </w:r>
          </w:p>
        </w:tc>
        <w:tc>
          <w:tcPr>
            <w:tcW w:w="4625" w:type="dxa"/>
            <w:vAlign w:val="top"/>
          </w:tcPr>
          <w:p w14:paraId="7CD9797F">
            <w:pPr>
              <w:pStyle w:val="6"/>
              <w:spacing w:before="39" w:line="194" w:lineRule="auto"/>
              <w:ind w:left="91"/>
              <w:rPr>
                <w:sz w:val="21"/>
                <w:szCs w:val="21"/>
              </w:rPr>
            </w:pPr>
            <w:r>
              <w:rPr>
                <w:spacing w:val="-1"/>
                <w:sz w:val="21"/>
                <w:szCs w:val="21"/>
              </w:rPr>
              <w:t>箱变2200kw华变</w:t>
            </w:r>
          </w:p>
        </w:tc>
        <w:tc>
          <w:tcPr>
            <w:tcW w:w="659" w:type="dxa"/>
            <w:vAlign w:val="top"/>
          </w:tcPr>
          <w:p w14:paraId="5D5753FC">
            <w:pPr>
              <w:pStyle w:val="6"/>
              <w:spacing w:before="40" w:line="193" w:lineRule="auto"/>
              <w:ind w:left="96"/>
              <w:rPr>
                <w:sz w:val="21"/>
                <w:szCs w:val="21"/>
              </w:rPr>
            </w:pPr>
            <w:r>
              <w:rPr>
                <w:sz w:val="21"/>
                <w:szCs w:val="21"/>
              </w:rPr>
              <w:t>台</w:t>
            </w:r>
          </w:p>
        </w:tc>
        <w:tc>
          <w:tcPr>
            <w:tcW w:w="949" w:type="dxa"/>
            <w:vAlign w:val="top"/>
          </w:tcPr>
          <w:p w14:paraId="4964D23D">
            <w:pPr>
              <w:pStyle w:val="6"/>
              <w:spacing w:before="59" w:line="176" w:lineRule="auto"/>
              <w:ind w:left="98"/>
              <w:rPr>
                <w:sz w:val="21"/>
                <w:szCs w:val="21"/>
              </w:rPr>
            </w:pPr>
            <w:r>
              <w:rPr>
                <w:spacing w:val="-5"/>
                <w:sz w:val="21"/>
                <w:szCs w:val="21"/>
              </w:rPr>
              <w:t>1.00</w:t>
            </w:r>
          </w:p>
        </w:tc>
        <w:tc>
          <w:tcPr>
            <w:tcW w:w="509" w:type="dxa"/>
            <w:vAlign w:val="top"/>
          </w:tcPr>
          <w:p w14:paraId="63FA7004">
            <w:pPr>
              <w:rPr>
                <w:rFonts w:ascii="Arial"/>
                <w:sz w:val="21"/>
              </w:rPr>
            </w:pPr>
          </w:p>
        </w:tc>
        <w:tc>
          <w:tcPr>
            <w:tcW w:w="334" w:type="dxa"/>
            <w:vMerge w:val="continue"/>
            <w:tcBorders>
              <w:top w:val="nil"/>
              <w:bottom w:val="nil"/>
            </w:tcBorders>
            <w:vAlign w:val="top"/>
          </w:tcPr>
          <w:p w14:paraId="0FE4C608">
            <w:pPr>
              <w:rPr>
                <w:rFonts w:ascii="Arial"/>
                <w:sz w:val="21"/>
              </w:rPr>
            </w:pPr>
          </w:p>
        </w:tc>
      </w:tr>
      <w:tr w14:paraId="52332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24" w:type="dxa"/>
            <w:vMerge w:val="continue"/>
            <w:tcBorders>
              <w:top w:val="nil"/>
              <w:bottom w:val="nil"/>
            </w:tcBorders>
            <w:vAlign w:val="top"/>
          </w:tcPr>
          <w:p w14:paraId="5DB289EA">
            <w:pPr>
              <w:rPr>
                <w:rFonts w:ascii="Arial"/>
                <w:sz w:val="21"/>
              </w:rPr>
            </w:pPr>
          </w:p>
        </w:tc>
        <w:tc>
          <w:tcPr>
            <w:tcW w:w="340" w:type="dxa"/>
            <w:vMerge w:val="continue"/>
            <w:tcBorders>
              <w:top w:val="nil"/>
              <w:bottom w:val="nil"/>
            </w:tcBorders>
            <w:vAlign w:val="top"/>
          </w:tcPr>
          <w:p w14:paraId="0B85DE58">
            <w:pPr>
              <w:rPr>
                <w:rFonts w:ascii="Arial"/>
                <w:sz w:val="21"/>
              </w:rPr>
            </w:pPr>
          </w:p>
        </w:tc>
        <w:tc>
          <w:tcPr>
            <w:tcW w:w="939" w:type="dxa"/>
            <w:vAlign w:val="top"/>
          </w:tcPr>
          <w:p w14:paraId="076ADF22">
            <w:pPr>
              <w:pStyle w:val="6"/>
              <w:spacing w:before="69" w:line="176" w:lineRule="auto"/>
              <w:ind w:left="91"/>
              <w:rPr>
                <w:sz w:val="21"/>
                <w:szCs w:val="21"/>
              </w:rPr>
            </w:pPr>
            <w:r>
              <w:rPr>
                <w:spacing w:val="-3"/>
                <w:sz w:val="21"/>
                <w:szCs w:val="21"/>
              </w:rPr>
              <w:t>1.2.1.8</w:t>
            </w:r>
          </w:p>
        </w:tc>
        <w:tc>
          <w:tcPr>
            <w:tcW w:w="4625" w:type="dxa"/>
            <w:vAlign w:val="top"/>
          </w:tcPr>
          <w:p w14:paraId="69AB55F5">
            <w:pPr>
              <w:pStyle w:val="6"/>
              <w:spacing w:before="49" w:line="194" w:lineRule="auto"/>
              <w:ind w:left="91"/>
              <w:rPr>
                <w:sz w:val="21"/>
                <w:szCs w:val="21"/>
              </w:rPr>
            </w:pPr>
            <w:r>
              <w:rPr>
                <w:spacing w:val="-1"/>
                <w:sz w:val="21"/>
                <w:szCs w:val="21"/>
              </w:rPr>
              <w:t>箱变2400kw华变</w:t>
            </w:r>
          </w:p>
        </w:tc>
        <w:tc>
          <w:tcPr>
            <w:tcW w:w="659" w:type="dxa"/>
            <w:vAlign w:val="top"/>
          </w:tcPr>
          <w:p w14:paraId="7514F187">
            <w:pPr>
              <w:pStyle w:val="6"/>
              <w:spacing w:before="50" w:line="193" w:lineRule="auto"/>
              <w:ind w:left="96"/>
              <w:rPr>
                <w:sz w:val="21"/>
                <w:szCs w:val="21"/>
              </w:rPr>
            </w:pPr>
            <w:r>
              <w:rPr>
                <w:sz w:val="21"/>
                <w:szCs w:val="21"/>
              </w:rPr>
              <w:t>台</w:t>
            </w:r>
          </w:p>
        </w:tc>
        <w:tc>
          <w:tcPr>
            <w:tcW w:w="949" w:type="dxa"/>
            <w:vAlign w:val="top"/>
          </w:tcPr>
          <w:p w14:paraId="36FC1B09">
            <w:pPr>
              <w:pStyle w:val="6"/>
              <w:spacing w:before="69" w:line="176" w:lineRule="auto"/>
              <w:ind w:left="98"/>
              <w:rPr>
                <w:sz w:val="21"/>
                <w:szCs w:val="21"/>
              </w:rPr>
            </w:pPr>
            <w:r>
              <w:rPr>
                <w:spacing w:val="-2"/>
                <w:sz w:val="21"/>
                <w:szCs w:val="21"/>
              </w:rPr>
              <w:t>4.00</w:t>
            </w:r>
          </w:p>
        </w:tc>
        <w:tc>
          <w:tcPr>
            <w:tcW w:w="509" w:type="dxa"/>
            <w:vAlign w:val="top"/>
          </w:tcPr>
          <w:p w14:paraId="6CF3F27F">
            <w:pPr>
              <w:rPr>
                <w:rFonts w:ascii="Arial"/>
                <w:sz w:val="21"/>
              </w:rPr>
            </w:pPr>
          </w:p>
        </w:tc>
        <w:tc>
          <w:tcPr>
            <w:tcW w:w="334" w:type="dxa"/>
            <w:vMerge w:val="continue"/>
            <w:tcBorders>
              <w:top w:val="nil"/>
              <w:bottom w:val="nil"/>
            </w:tcBorders>
            <w:vAlign w:val="top"/>
          </w:tcPr>
          <w:p w14:paraId="28A415D6">
            <w:pPr>
              <w:rPr>
                <w:rFonts w:ascii="Arial"/>
                <w:sz w:val="21"/>
              </w:rPr>
            </w:pPr>
          </w:p>
        </w:tc>
      </w:tr>
      <w:tr w14:paraId="4C003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24" w:type="dxa"/>
            <w:vMerge w:val="continue"/>
            <w:tcBorders>
              <w:top w:val="nil"/>
              <w:bottom w:val="nil"/>
            </w:tcBorders>
            <w:vAlign w:val="top"/>
          </w:tcPr>
          <w:p w14:paraId="78249A29">
            <w:pPr>
              <w:rPr>
                <w:rFonts w:ascii="Arial"/>
                <w:sz w:val="21"/>
              </w:rPr>
            </w:pPr>
          </w:p>
        </w:tc>
        <w:tc>
          <w:tcPr>
            <w:tcW w:w="340" w:type="dxa"/>
            <w:vMerge w:val="continue"/>
            <w:tcBorders>
              <w:top w:val="nil"/>
              <w:bottom w:val="nil"/>
            </w:tcBorders>
            <w:vAlign w:val="top"/>
          </w:tcPr>
          <w:p w14:paraId="23EBEA78">
            <w:pPr>
              <w:rPr>
                <w:rFonts w:ascii="Arial"/>
                <w:sz w:val="21"/>
              </w:rPr>
            </w:pPr>
          </w:p>
        </w:tc>
        <w:tc>
          <w:tcPr>
            <w:tcW w:w="939" w:type="dxa"/>
            <w:vAlign w:val="top"/>
          </w:tcPr>
          <w:p w14:paraId="52CB1A5F">
            <w:pPr>
              <w:pStyle w:val="6"/>
              <w:spacing w:before="59" w:line="176" w:lineRule="auto"/>
              <w:ind w:left="91"/>
              <w:rPr>
                <w:sz w:val="21"/>
                <w:szCs w:val="21"/>
              </w:rPr>
            </w:pPr>
            <w:r>
              <w:rPr>
                <w:spacing w:val="-3"/>
                <w:sz w:val="21"/>
                <w:szCs w:val="21"/>
              </w:rPr>
              <w:t>1.2.1.9</w:t>
            </w:r>
          </w:p>
        </w:tc>
        <w:tc>
          <w:tcPr>
            <w:tcW w:w="4625" w:type="dxa"/>
            <w:vAlign w:val="top"/>
          </w:tcPr>
          <w:p w14:paraId="05053DCA">
            <w:pPr>
              <w:pStyle w:val="6"/>
              <w:spacing w:before="39" w:line="194" w:lineRule="auto"/>
              <w:ind w:left="91"/>
              <w:rPr>
                <w:sz w:val="21"/>
                <w:szCs w:val="21"/>
              </w:rPr>
            </w:pPr>
            <w:r>
              <w:rPr>
                <w:spacing w:val="-1"/>
                <w:sz w:val="21"/>
                <w:szCs w:val="21"/>
              </w:rPr>
              <w:t>箱变2500kw华变</w:t>
            </w:r>
          </w:p>
        </w:tc>
        <w:tc>
          <w:tcPr>
            <w:tcW w:w="659" w:type="dxa"/>
            <w:vAlign w:val="top"/>
          </w:tcPr>
          <w:p w14:paraId="5EFEC78D">
            <w:pPr>
              <w:pStyle w:val="6"/>
              <w:spacing w:before="40" w:line="193" w:lineRule="auto"/>
              <w:ind w:left="96"/>
              <w:rPr>
                <w:sz w:val="21"/>
                <w:szCs w:val="21"/>
              </w:rPr>
            </w:pPr>
            <w:r>
              <w:rPr>
                <w:sz w:val="21"/>
                <w:szCs w:val="21"/>
              </w:rPr>
              <w:t>台</w:t>
            </w:r>
          </w:p>
        </w:tc>
        <w:tc>
          <w:tcPr>
            <w:tcW w:w="949" w:type="dxa"/>
            <w:vAlign w:val="top"/>
          </w:tcPr>
          <w:p w14:paraId="554927C2">
            <w:pPr>
              <w:pStyle w:val="6"/>
              <w:spacing w:before="59" w:line="176" w:lineRule="auto"/>
              <w:ind w:left="98"/>
              <w:rPr>
                <w:sz w:val="21"/>
                <w:szCs w:val="21"/>
              </w:rPr>
            </w:pPr>
            <w:r>
              <w:rPr>
                <w:spacing w:val="-5"/>
                <w:sz w:val="21"/>
                <w:szCs w:val="21"/>
              </w:rPr>
              <w:t>1.00</w:t>
            </w:r>
          </w:p>
        </w:tc>
        <w:tc>
          <w:tcPr>
            <w:tcW w:w="509" w:type="dxa"/>
            <w:vAlign w:val="top"/>
          </w:tcPr>
          <w:p w14:paraId="1549BF35">
            <w:pPr>
              <w:rPr>
                <w:rFonts w:ascii="Arial"/>
                <w:sz w:val="21"/>
              </w:rPr>
            </w:pPr>
          </w:p>
        </w:tc>
        <w:tc>
          <w:tcPr>
            <w:tcW w:w="334" w:type="dxa"/>
            <w:vMerge w:val="continue"/>
            <w:tcBorders>
              <w:top w:val="nil"/>
              <w:bottom w:val="nil"/>
            </w:tcBorders>
            <w:vAlign w:val="top"/>
          </w:tcPr>
          <w:p w14:paraId="11AC75FA">
            <w:pPr>
              <w:rPr>
                <w:rFonts w:ascii="Arial"/>
                <w:sz w:val="21"/>
              </w:rPr>
            </w:pPr>
          </w:p>
        </w:tc>
      </w:tr>
      <w:tr w14:paraId="6BB7E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24" w:type="dxa"/>
            <w:vMerge w:val="continue"/>
            <w:tcBorders>
              <w:top w:val="nil"/>
              <w:bottom w:val="nil"/>
            </w:tcBorders>
            <w:vAlign w:val="top"/>
          </w:tcPr>
          <w:p w14:paraId="3360C13A">
            <w:pPr>
              <w:rPr>
                <w:rFonts w:ascii="Arial"/>
                <w:sz w:val="21"/>
              </w:rPr>
            </w:pPr>
          </w:p>
        </w:tc>
        <w:tc>
          <w:tcPr>
            <w:tcW w:w="340" w:type="dxa"/>
            <w:vMerge w:val="continue"/>
            <w:tcBorders>
              <w:top w:val="nil"/>
              <w:bottom w:val="nil"/>
            </w:tcBorders>
            <w:vAlign w:val="top"/>
          </w:tcPr>
          <w:p w14:paraId="7F8FE6D3">
            <w:pPr>
              <w:rPr>
                <w:rFonts w:ascii="Arial"/>
                <w:sz w:val="21"/>
              </w:rPr>
            </w:pPr>
          </w:p>
        </w:tc>
        <w:tc>
          <w:tcPr>
            <w:tcW w:w="939" w:type="dxa"/>
            <w:vAlign w:val="top"/>
          </w:tcPr>
          <w:p w14:paraId="58EC3F40">
            <w:pPr>
              <w:pStyle w:val="6"/>
              <w:spacing w:before="60" w:line="167" w:lineRule="auto"/>
              <w:ind w:left="91"/>
              <w:rPr>
                <w:sz w:val="21"/>
                <w:szCs w:val="21"/>
              </w:rPr>
            </w:pPr>
            <w:r>
              <w:fldChar w:fldCharType="begin"/>
            </w:r>
            <w:r>
              <w:instrText xml:space="preserve"> HYPERLINK "1.2.1.10" </w:instrText>
            </w:r>
            <w:r>
              <w:fldChar w:fldCharType="separate"/>
            </w:r>
            <w:r>
              <w:rPr>
                <w:spacing w:val="-3"/>
                <w:sz w:val="21"/>
                <w:szCs w:val="21"/>
              </w:rPr>
              <w:t>1.2.1.10</w:t>
            </w:r>
            <w:r>
              <w:rPr>
                <w:spacing w:val="-3"/>
                <w:sz w:val="21"/>
                <w:szCs w:val="21"/>
              </w:rPr>
              <w:fldChar w:fldCharType="end"/>
            </w:r>
          </w:p>
        </w:tc>
        <w:tc>
          <w:tcPr>
            <w:tcW w:w="4625" w:type="dxa"/>
            <w:vAlign w:val="top"/>
          </w:tcPr>
          <w:p w14:paraId="660A2F89">
            <w:pPr>
              <w:pStyle w:val="6"/>
              <w:spacing w:before="39" w:line="185" w:lineRule="auto"/>
              <w:ind w:left="91"/>
              <w:rPr>
                <w:sz w:val="21"/>
                <w:szCs w:val="21"/>
              </w:rPr>
            </w:pPr>
            <w:r>
              <w:rPr>
                <w:spacing w:val="-1"/>
                <w:sz w:val="21"/>
                <w:szCs w:val="21"/>
              </w:rPr>
              <w:t>箱变2700kw华变</w:t>
            </w:r>
          </w:p>
        </w:tc>
        <w:tc>
          <w:tcPr>
            <w:tcW w:w="659" w:type="dxa"/>
            <w:vAlign w:val="top"/>
          </w:tcPr>
          <w:p w14:paraId="3F93827B">
            <w:pPr>
              <w:pStyle w:val="6"/>
              <w:spacing w:before="40" w:line="184" w:lineRule="auto"/>
              <w:ind w:left="96"/>
              <w:rPr>
                <w:sz w:val="21"/>
                <w:szCs w:val="21"/>
              </w:rPr>
            </w:pPr>
            <w:r>
              <w:rPr>
                <w:sz w:val="21"/>
                <w:szCs w:val="21"/>
              </w:rPr>
              <w:t>台</w:t>
            </w:r>
          </w:p>
        </w:tc>
        <w:tc>
          <w:tcPr>
            <w:tcW w:w="949" w:type="dxa"/>
            <w:vAlign w:val="top"/>
          </w:tcPr>
          <w:p w14:paraId="126E1CE5">
            <w:pPr>
              <w:pStyle w:val="6"/>
              <w:spacing w:before="60" w:line="167" w:lineRule="auto"/>
              <w:ind w:left="98"/>
              <w:rPr>
                <w:sz w:val="21"/>
                <w:szCs w:val="21"/>
              </w:rPr>
            </w:pPr>
            <w:r>
              <w:rPr>
                <w:spacing w:val="-5"/>
                <w:sz w:val="21"/>
                <w:szCs w:val="21"/>
              </w:rPr>
              <w:t>1.00</w:t>
            </w:r>
          </w:p>
        </w:tc>
        <w:tc>
          <w:tcPr>
            <w:tcW w:w="509" w:type="dxa"/>
            <w:vAlign w:val="top"/>
          </w:tcPr>
          <w:p w14:paraId="07D8929E">
            <w:pPr>
              <w:rPr>
                <w:rFonts w:ascii="Arial"/>
                <w:sz w:val="21"/>
              </w:rPr>
            </w:pPr>
          </w:p>
        </w:tc>
        <w:tc>
          <w:tcPr>
            <w:tcW w:w="334" w:type="dxa"/>
            <w:vMerge w:val="continue"/>
            <w:tcBorders>
              <w:top w:val="nil"/>
              <w:bottom w:val="nil"/>
            </w:tcBorders>
            <w:vAlign w:val="top"/>
          </w:tcPr>
          <w:p w14:paraId="7C2C69ED">
            <w:pPr>
              <w:rPr>
                <w:rFonts w:ascii="Arial"/>
                <w:sz w:val="21"/>
              </w:rPr>
            </w:pPr>
          </w:p>
        </w:tc>
      </w:tr>
      <w:tr w14:paraId="2346F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724" w:type="dxa"/>
            <w:vMerge w:val="continue"/>
            <w:tcBorders>
              <w:top w:val="nil"/>
            </w:tcBorders>
            <w:vAlign w:val="top"/>
          </w:tcPr>
          <w:p w14:paraId="50BF2E4F">
            <w:pPr>
              <w:rPr>
                <w:rFonts w:ascii="Arial"/>
                <w:sz w:val="21"/>
              </w:rPr>
            </w:pPr>
          </w:p>
        </w:tc>
        <w:tc>
          <w:tcPr>
            <w:tcW w:w="340" w:type="dxa"/>
            <w:vMerge w:val="continue"/>
            <w:tcBorders>
              <w:top w:val="nil"/>
            </w:tcBorders>
            <w:vAlign w:val="top"/>
          </w:tcPr>
          <w:p w14:paraId="1C9215BE">
            <w:pPr>
              <w:rPr>
                <w:rFonts w:ascii="Arial"/>
                <w:sz w:val="21"/>
              </w:rPr>
            </w:pPr>
          </w:p>
        </w:tc>
        <w:tc>
          <w:tcPr>
            <w:tcW w:w="939" w:type="dxa"/>
            <w:vAlign w:val="top"/>
          </w:tcPr>
          <w:p w14:paraId="0268C03F">
            <w:pPr>
              <w:pStyle w:val="6"/>
              <w:spacing w:before="69" w:line="180" w:lineRule="auto"/>
              <w:ind w:left="91"/>
              <w:rPr>
                <w:sz w:val="21"/>
                <w:szCs w:val="21"/>
              </w:rPr>
            </w:pPr>
            <w:r>
              <w:fldChar w:fldCharType="begin"/>
            </w:r>
            <w:r>
              <w:instrText xml:space="preserve"> HYPERLINK "1.2.1.11" </w:instrText>
            </w:r>
            <w:r>
              <w:fldChar w:fldCharType="separate"/>
            </w:r>
            <w:r>
              <w:rPr>
                <w:spacing w:val="-3"/>
                <w:sz w:val="21"/>
                <w:szCs w:val="21"/>
              </w:rPr>
              <w:t>1.2.1.11</w:t>
            </w:r>
            <w:r>
              <w:rPr>
                <w:spacing w:val="-3"/>
                <w:sz w:val="21"/>
                <w:szCs w:val="21"/>
              </w:rPr>
              <w:fldChar w:fldCharType="end"/>
            </w:r>
          </w:p>
        </w:tc>
        <w:tc>
          <w:tcPr>
            <w:tcW w:w="4625" w:type="dxa"/>
            <w:vAlign w:val="top"/>
          </w:tcPr>
          <w:p w14:paraId="4C7FADC9">
            <w:pPr>
              <w:pStyle w:val="6"/>
              <w:spacing w:before="48" w:line="198" w:lineRule="auto"/>
              <w:ind w:left="91"/>
              <w:rPr>
                <w:sz w:val="21"/>
                <w:szCs w:val="21"/>
              </w:rPr>
            </w:pPr>
            <w:r>
              <w:rPr>
                <w:spacing w:val="-1"/>
                <w:sz w:val="21"/>
                <w:szCs w:val="21"/>
              </w:rPr>
              <w:t>箱变3000kw华变</w:t>
            </w:r>
          </w:p>
        </w:tc>
        <w:tc>
          <w:tcPr>
            <w:tcW w:w="659" w:type="dxa"/>
            <w:vAlign w:val="top"/>
          </w:tcPr>
          <w:p w14:paraId="79906A47">
            <w:pPr>
              <w:pStyle w:val="6"/>
              <w:spacing w:before="51" w:line="196" w:lineRule="auto"/>
              <w:ind w:left="96"/>
              <w:rPr>
                <w:sz w:val="21"/>
                <w:szCs w:val="21"/>
              </w:rPr>
            </w:pPr>
            <w:r>
              <w:rPr>
                <w:sz w:val="21"/>
                <w:szCs w:val="21"/>
              </w:rPr>
              <w:t>台</w:t>
            </w:r>
          </w:p>
        </w:tc>
        <w:tc>
          <w:tcPr>
            <w:tcW w:w="949" w:type="dxa"/>
            <w:vAlign w:val="top"/>
          </w:tcPr>
          <w:p w14:paraId="4960F546">
            <w:pPr>
              <w:pStyle w:val="6"/>
              <w:spacing w:before="69" w:line="180" w:lineRule="auto"/>
              <w:ind w:left="98"/>
              <w:rPr>
                <w:sz w:val="21"/>
                <w:szCs w:val="21"/>
              </w:rPr>
            </w:pPr>
            <w:r>
              <w:rPr>
                <w:spacing w:val="-3"/>
                <w:sz w:val="21"/>
                <w:szCs w:val="21"/>
              </w:rPr>
              <w:t>3.00</w:t>
            </w:r>
          </w:p>
        </w:tc>
        <w:tc>
          <w:tcPr>
            <w:tcW w:w="509" w:type="dxa"/>
            <w:vAlign w:val="top"/>
          </w:tcPr>
          <w:p w14:paraId="16FD7E5B">
            <w:pPr>
              <w:rPr>
                <w:rFonts w:ascii="Arial"/>
                <w:sz w:val="21"/>
              </w:rPr>
            </w:pPr>
          </w:p>
        </w:tc>
        <w:tc>
          <w:tcPr>
            <w:tcW w:w="334" w:type="dxa"/>
            <w:vMerge w:val="continue"/>
            <w:tcBorders>
              <w:top w:val="nil"/>
            </w:tcBorders>
            <w:vAlign w:val="top"/>
          </w:tcPr>
          <w:p w14:paraId="11CE0860">
            <w:pPr>
              <w:rPr>
                <w:rFonts w:ascii="Arial"/>
                <w:sz w:val="21"/>
              </w:rPr>
            </w:pPr>
          </w:p>
        </w:tc>
      </w:tr>
    </w:tbl>
    <w:p w14:paraId="7CCC0603">
      <w:pPr>
        <w:pStyle w:val="2"/>
      </w:pPr>
    </w:p>
    <w:p w14:paraId="5F6B8317">
      <w:pPr>
        <w:sectPr>
          <w:headerReference r:id="rId67" w:type="default"/>
          <w:footerReference r:id="rId68" w:type="default"/>
          <w:pgSz w:w="11910" w:h="16830"/>
          <w:pgMar w:top="1430" w:right="1410" w:bottom="1245" w:left="1349" w:header="1419" w:footer="1083" w:gutter="0"/>
          <w:cols w:space="720" w:num="1"/>
        </w:sectPr>
      </w:pPr>
    </w:p>
    <w:p w14:paraId="2E4B7B22">
      <w:pPr>
        <w:spacing w:before="18"/>
      </w:pPr>
    </w:p>
    <w:p w14:paraId="42592958">
      <w:pPr>
        <w:spacing w:before="17"/>
      </w:pPr>
    </w:p>
    <w:p w14:paraId="3F104A98">
      <w:pPr>
        <w:spacing w:before="17"/>
      </w:pPr>
    </w:p>
    <w:p w14:paraId="69B675A0">
      <w:pPr>
        <w:spacing w:before="17"/>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370"/>
        <w:gridCol w:w="909"/>
        <w:gridCol w:w="4625"/>
        <w:gridCol w:w="669"/>
        <w:gridCol w:w="949"/>
        <w:gridCol w:w="519"/>
        <w:gridCol w:w="354"/>
      </w:tblGrid>
      <w:tr w14:paraId="7915E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74" w:type="dxa"/>
            <w:vMerge w:val="restart"/>
            <w:tcBorders>
              <w:bottom w:val="nil"/>
            </w:tcBorders>
            <w:vAlign w:val="top"/>
          </w:tcPr>
          <w:p w14:paraId="114C07AF">
            <w:pPr>
              <w:rPr>
                <w:rFonts w:ascii="Arial"/>
                <w:sz w:val="21"/>
              </w:rPr>
            </w:pPr>
          </w:p>
        </w:tc>
        <w:tc>
          <w:tcPr>
            <w:tcW w:w="370" w:type="dxa"/>
            <w:vMerge w:val="restart"/>
            <w:tcBorders>
              <w:bottom w:val="nil"/>
            </w:tcBorders>
            <w:vAlign w:val="top"/>
          </w:tcPr>
          <w:p w14:paraId="63B92E80">
            <w:pPr>
              <w:rPr>
                <w:rFonts w:ascii="Arial"/>
                <w:sz w:val="21"/>
              </w:rPr>
            </w:pPr>
          </w:p>
        </w:tc>
        <w:tc>
          <w:tcPr>
            <w:tcW w:w="909" w:type="dxa"/>
            <w:vAlign w:val="top"/>
          </w:tcPr>
          <w:p w14:paraId="0780C9BE">
            <w:pPr>
              <w:pStyle w:val="6"/>
              <w:spacing w:before="54" w:line="176" w:lineRule="auto"/>
              <w:ind w:right="8"/>
              <w:jc w:val="right"/>
              <w:rPr>
                <w:sz w:val="21"/>
                <w:szCs w:val="21"/>
              </w:rPr>
            </w:pPr>
            <w:r>
              <w:fldChar w:fldCharType="begin"/>
            </w:r>
            <w:r>
              <w:instrText xml:space="preserve"> HYPERLINK "1.2.1.12" </w:instrText>
            </w:r>
            <w:r>
              <w:fldChar w:fldCharType="separate"/>
            </w:r>
            <w:r>
              <w:rPr>
                <w:spacing w:val="-3"/>
                <w:sz w:val="21"/>
                <w:szCs w:val="21"/>
              </w:rPr>
              <w:t>1.2.1.12</w:t>
            </w:r>
            <w:r>
              <w:rPr>
                <w:spacing w:val="-3"/>
                <w:sz w:val="21"/>
                <w:szCs w:val="21"/>
              </w:rPr>
              <w:fldChar w:fldCharType="end"/>
            </w:r>
          </w:p>
        </w:tc>
        <w:tc>
          <w:tcPr>
            <w:tcW w:w="4625" w:type="dxa"/>
            <w:vAlign w:val="top"/>
          </w:tcPr>
          <w:p w14:paraId="57BF7800">
            <w:pPr>
              <w:pStyle w:val="6"/>
              <w:spacing w:before="34" w:line="194" w:lineRule="auto"/>
              <w:ind w:left="141"/>
              <w:rPr>
                <w:sz w:val="21"/>
                <w:szCs w:val="21"/>
              </w:rPr>
            </w:pPr>
            <w:r>
              <w:rPr>
                <w:spacing w:val="-1"/>
                <w:sz w:val="21"/>
                <w:szCs w:val="21"/>
              </w:rPr>
              <w:t>箱变3150kw华变</w:t>
            </w:r>
          </w:p>
        </w:tc>
        <w:tc>
          <w:tcPr>
            <w:tcW w:w="669" w:type="dxa"/>
            <w:vAlign w:val="top"/>
          </w:tcPr>
          <w:p w14:paraId="5CEF81FF">
            <w:pPr>
              <w:pStyle w:val="6"/>
              <w:spacing w:before="35" w:line="193" w:lineRule="auto"/>
              <w:ind w:left="126"/>
              <w:rPr>
                <w:sz w:val="21"/>
                <w:szCs w:val="21"/>
              </w:rPr>
            </w:pPr>
            <w:r>
              <w:rPr>
                <w:sz w:val="21"/>
                <w:szCs w:val="21"/>
              </w:rPr>
              <w:t>台</w:t>
            </w:r>
          </w:p>
        </w:tc>
        <w:tc>
          <w:tcPr>
            <w:tcW w:w="949" w:type="dxa"/>
            <w:vAlign w:val="top"/>
          </w:tcPr>
          <w:p w14:paraId="6D858CBF">
            <w:pPr>
              <w:pStyle w:val="6"/>
              <w:spacing w:before="54" w:line="176" w:lineRule="auto"/>
              <w:ind w:left="98"/>
              <w:rPr>
                <w:sz w:val="21"/>
                <w:szCs w:val="21"/>
              </w:rPr>
            </w:pPr>
            <w:r>
              <w:rPr>
                <w:spacing w:val="-3"/>
                <w:sz w:val="21"/>
                <w:szCs w:val="21"/>
              </w:rPr>
              <w:t>2.00</w:t>
            </w:r>
          </w:p>
        </w:tc>
        <w:tc>
          <w:tcPr>
            <w:tcW w:w="519" w:type="dxa"/>
            <w:vAlign w:val="top"/>
          </w:tcPr>
          <w:p w14:paraId="631917C1">
            <w:pPr>
              <w:rPr>
                <w:rFonts w:ascii="Arial"/>
                <w:sz w:val="21"/>
              </w:rPr>
            </w:pPr>
          </w:p>
        </w:tc>
        <w:tc>
          <w:tcPr>
            <w:tcW w:w="354" w:type="dxa"/>
            <w:vMerge w:val="restart"/>
            <w:tcBorders>
              <w:bottom w:val="nil"/>
            </w:tcBorders>
            <w:vAlign w:val="top"/>
          </w:tcPr>
          <w:p w14:paraId="295D53BD">
            <w:pPr>
              <w:rPr>
                <w:rFonts w:ascii="Arial"/>
                <w:sz w:val="21"/>
              </w:rPr>
            </w:pPr>
          </w:p>
        </w:tc>
      </w:tr>
      <w:tr w14:paraId="5CF23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74" w:type="dxa"/>
            <w:vMerge w:val="continue"/>
            <w:tcBorders>
              <w:top w:val="nil"/>
              <w:bottom w:val="nil"/>
            </w:tcBorders>
            <w:vAlign w:val="top"/>
          </w:tcPr>
          <w:p w14:paraId="268B10F8">
            <w:pPr>
              <w:rPr>
                <w:rFonts w:ascii="Arial"/>
                <w:sz w:val="21"/>
              </w:rPr>
            </w:pPr>
          </w:p>
        </w:tc>
        <w:tc>
          <w:tcPr>
            <w:tcW w:w="370" w:type="dxa"/>
            <w:vMerge w:val="continue"/>
            <w:tcBorders>
              <w:top w:val="nil"/>
              <w:bottom w:val="nil"/>
            </w:tcBorders>
            <w:vAlign w:val="top"/>
          </w:tcPr>
          <w:p w14:paraId="18E5F863">
            <w:pPr>
              <w:rPr>
                <w:rFonts w:ascii="Arial"/>
                <w:sz w:val="21"/>
              </w:rPr>
            </w:pPr>
          </w:p>
        </w:tc>
        <w:tc>
          <w:tcPr>
            <w:tcW w:w="909" w:type="dxa"/>
            <w:vAlign w:val="top"/>
          </w:tcPr>
          <w:p w14:paraId="185CC435">
            <w:pPr>
              <w:pStyle w:val="6"/>
              <w:spacing w:before="59" w:line="194" w:lineRule="auto"/>
              <w:ind w:left="81"/>
              <w:rPr>
                <w:sz w:val="21"/>
                <w:szCs w:val="21"/>
              </w:rPr>
            </w:pPr>
            <w:r>
              <w:rPr>
                <w:spacing w:val="-4"/>
                <w:sz w:val="21"/>
                <w:szCs w:val="21"/>
              </w:rPr>
              <w:t>1.2.2</w:t>
            </w:r>
          </w:p>
        </w:tc>
        <w:tc>
          <w:tcPr>
            <w:tcW w:w="4625" w:type="dxa"/>
            <w:vAlign w:val="top"/>
          </w:tcPr>
          <w:p w14:paraId="53A5141D">
            <w:pPr>
              <w:pStyle w:val="6"/>
              <w:spacing w:before="38" w:line="212" w:lineRule="auto"/>
              <w:ind w:left="141"/>
              <w:rPr>
                <w:sz w:val="21"/>
                <w:szCs w:val="21"/>
              </w:rPr>
            </w:pPr>
            <w:r>
              <w:rPr>
                <w:spacing w:val="1"/>
                <w:sz w:val="21"/>
                <w:szCs w:val="21"/>
              </w:rPr>
              <w:t>300</w:t>
            </w:r>
            <w:r>
              <w:rPr>
                <w:sz w:val="21"/>
                <w:szCs w:val="21"/>
              </w:rPr>
              <w:t>KW</w:t>
            </w:r>
            <w:r>
              <w:rPr>
                <w:spacing w:val="1"/>
                <w:sz w:val="21"/>
                <w:szCs w:val="21"/>
              </w:rPr>
              <w:t>组串式逆变器</w:t>
            </w:r>
          </w:p>
        </w:tc>
        <w:tc>
          <w:tcPr>
            <w:tcW w:w="669" w:type="dxa"/>
            <w:vAlign w:val="top"/>
          </w:tcPr>
          <w:p w14:paraId="1DF10391">
            <w:pPr>
              <w:pStyle w:val="6"/>
              <w:spacing w:before="41" w:line="210" w:lineRule="auto"/>
              <w:ind w:left="126"/>
              <w:rPr>
                <w:sz w:val="21"/>
                <w:szCs w:val="21"/>
              </w:rPr>
            </w:pPr>
            <w:r>
              <w:rPr>
                <w:sz w:val="21"/>
                <w:szCs w:val="21"/>
              </w:rPr>
              <w:t>台</w:t>
            </w:r>
          </w:p>
        </w:tc>
        <w:tc>
          <w:tcPr>
            <w:tcW w:w="949" w:type="dxa"/>
            <w:vAlign w:val="top"/>
          </w:tcPr>
          <w:p w14:paraId="0D8183CE">
            <w:pPr>
              <w:pStyle w:val="6"/>
              <w:spacing w:before="59" w:line="194" w:lineRule="auto"/>
              <w:ind w:left="98"/>
              <w:rPr>
                <w:sz w:val="21"/>
                <w:szCs w:val="21"/>
              </w:rPr>
            </w:pPr>
            <w:r>
              <w:rPr>
                <w:spacing w:val="-4"/>
                <w:sz w:val="21"/>
                <w:szCs w:val="21"/>
              </w:rPr>
              <w:t>130.00</w:t>
            </w:r>
          </w:p>
        </w:tc>
        <w:tc>
          <w:tcPr>
            <w:tcW w:w="519" w:type="dxa"/>
            <w:vAlign w:val="top"/>
          </w:tcPr>
          <w:p w14:paraId="544CF945">
            <w:pPr>
              <w:rPr>
                <w:rFonts w:ascii="Arial"/>
                <w:sz w:val="21"/>
              </w:rPr>
            </w:pPr>
          </w:p>
        </w:tc>
        <w:tc>
          <w:tcPr>
            <w:tcW w:w="354" w:type="dxa"/>
            <w:vMerge w:val="continue"/>
            <w:tcBorders>
              <w:top w:val="nil"/>
              <w:bottom w:val="nil"/>
            </w:tcBorders>
            <w:vAlign w:val="top"/>
          </w:tcPr>
          <w:p w14:paraId="63F5CFCD">
            <w:pPr>
              <w:rPr>
                <w:rFonts w:ascii="Arial"/>
                <w:sz w:val="21"/>
              </w:rPr>
            </w:pPr>
          </w:p>
        </w:tc>
      </w:tr>
      <w:tr w14:paraId="16676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74" w:type="dxa"/>
            <w:vMerge w:val="continue"/>
            <w:tcBorders>
              <w:top w:val="nil"/>
              <w:bottom w:val="nil"/>
            </w:tcBorders>
            <w:vAlign w:val="top"/>
          </w:tcPr>
          <w:p w14:paraId="4956338E">
            <w:pPr>
              <w:rPr>
                <w:rFonts w:ascii="Arial"/>
                <w:sz w:val="21"/>
              </w:rPr>
            </w:pPr>
          </w:p>
        </w:tc>
        <w:tc>
          <w:tcPr>
            <w:tcW w:w="370" w:type="dxa"/>
            <w:vMerge w:val="continue"/>
            <w:tcBorders>
              <w:top w:val="nil"/>
              <w:bottom w:val="nil"/>
            </w:tcBorders>
            <w:vAlign w:val="top"/>
          </w:tcPr>
          <w:p w14:paraId="5959EA41">
            <w:pPr>
              <w:rPr>
                <w:rFonts w:ascii="Arial"/>
                <w:sz w:val="21"/>
              </w:rPr>
            </w:pPr>
          </w:p>
        </w:tc>
        <w:tc>
          <w:tcPr>
            <w:tcW w:w="909" w:type="dxa"/>
            <w:vAlign w:val="top"/>
          </w:tcPr>
          <w:p w14:paraId="071E7ECD">
            <w:pPr>
              <w:pStyle w:val="6"/>
              <w:spacing w:before="49" w:line="176" w:lineRule="auto"/>
              <w:ind w:left="81"/>
              <w:rPr>
                <w:sz w:val="21"/>
                <w:szCs w:val="21"/>
              </w:rPr>
            </w:pPr>
            <w:r>
              <w:rPr>
                <w:spacing w:val="-4"/>
                <w:sz w:val="21"/>
                <w:szCs w:val="21"/>
              </w:rPr>
              <w:t>1.2.3</w:t>
            </w:r>
          </w:p>
        </w:tc>
        <w:tc>
          <w:tcPr>
            <w:tcW w:w="4625" w:type="dxa"/>
            <w:vAlign w:val="top"/>
          </w:tcPr>
          <w:p w14:paraId="4D5BD5FA">
            <w:pPr>
              <w:pStyle w:val="6"/>
              <w:spacing w:before="29" w:line="194" w:lineRule="auto"/>
              <w:ind w:left="141"/>
              <w:rPr>
                <w:sz w:val="21"/>
                <w:szCs w:val="21"/>
              </w:rPr>
            </w:pPr>
            <w:r>
              <w:rPr>
                <w:spacing w:val="1"/>
                <w:sz w:val="21"/>
                <w:szCs w:val="21"/>
              </w:rPr>
              <w:t>250</w:t>
            </w:r>
            <w:r>
              <w:rPr>
                <w:sz w:val="21"/>
                <w:szCs w:val="21"/>
              </w:rPr>
              <w:t>KW</w:t>
            </w:r>
            <w:r>
              <w:rPr>
                <w:spacing w:val="1"/>
                <w:sz w:val="21"/>
                <w:szCs w:val="21"/>
              </w:rPr>
              <w:t>组串式逆变器</w:t>
            </w:r>
          </w:p>
        </w:tc>
        <w:tc>
          <w:tcPr>
            <w:tcW w:w="669" w:type="dxa"/>
            <w:vAlign w:val="top"/>
          </w:tcPr>
          <w:p w14:paraId="1E4EE041">
            <w:pPr>
              <w:pStyle w:val="6"/>
              <w:spacing w:before="30" w:line="193" w:lineRule="auto"/>
              <w:ind w:left="126"/>
              <w:rPr>
                <w:sz w:val="21"/>
                <w:szCs w:val="21"/>
              </w:rPr>
            </w:pPr>
            <w:r>
              <w:rPr>
                <w:sz w:val="21"/>
                <w:szCs w:val="21"/>
              </w:rPr>
              <w:t>台</w:t>
            </w:r>
          </w:p>
        </w:tc>
        <w:tc>
          <w:tcPr>
            <w:tcW w:w="949" w:type="dxa"/>
            <w:vAlign w:val="top"/>
          </w:tcPr>
          <w:p w14:paraId="63F80F45">
            <w:pPr>
              <w:pStyle w:val="6"/>
              <w:spacing w:before="49" w:line="176" w:lineRule="auto"/>
              <w:ind w:left="98"/>
              <w:rPr>
                <w:sz w:val="21"/>
                <w:szCs w:val="21"/>
              </w:rPr>
            </w:pPr>
            <w:r>
              <w:rPr>
                <w:spacing w:val="-2"/>
                <w:sz w:val="21"/>
                <w:szCs w:val="21"/>
              </w:rPr>
              <w:t>30.00</w:t>
            </w:r>
          </w:p>
        </w:tc>
        <w:tc>
          <w:tcPr>
            <w:tcW w:w="519" w:type="dxa"/>
            <w:vAlign w:val="top"/>
          </w:tcPr>
          <w:p w14:paraId="001219F8">
            <w:pPr>
              <w:rPr>
                <w:rFonts w:ascii="Arial"/>
                <w:sz w:val="21"/>
              </w:rPr>
            </w:pPr>
          </w:p>
        </w:tc>
        <w:tc>
          <w:tcPr>
            <w:tcW w:w="354" w:type="dxa"/>
            <w:vMerge w:val="continue"/>
            <w:tcBorders>
              <w:top w:val="nil"/>
              <w:bottom w:val="nil"/>
            </w:tcBorders>
            <w:vAlign w:val="top"/>
          </w:tcPr>
          <w:p w14:paraId="6E30CB3B">
            <w:pPr>
              <w:rPr>
                <w:rFonts w:ascii="Arial"/>
                <w:sz w:val="21"/>
              </w:rPr>
            </w:pPr>
          </w:p>
        </w:tc>
      </w:tr>
      <w:tr w14:paraId="6F01C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74" w:type="dxa"/>
            <w:vMerge w:val="continue"/>
            <w:tcBorders>
              <w:top w:val="nil"/>
              <w:bottom w:val="nil"/>
            </w:tcBorders>
            <w:vAlign w:val="top"/>
          </w:tcPr>
          <w:p w14:paraId="2CAB1D36">
            <w:pPr>
              <w:rPr>
                <w:rFonts w:ascii="Arial"/>
                <w:sz w:val="21"/>
              </w:rPr>
            </w:pPr>
          </w:p>
        </w:tc>
        <w:tc>
          <w:tcPr>
            <w:tcW w:w="370" w:type="dxa"/>
            <w:vMerge w:val="continue"/>
            <w:tcBorders>
              <w:top w:val="nil"/>
              <w:bottom w:val="nil"/>
            </w:tcBorders>
            <w:vAlign w:val="top"/>
          </w:tcPr>
          <w:p w14:paraId="4B928CCF">
            <w:pPr>
              <w:rPr>
                <w:rFonts w:ascii="Arial"/>
                <w:sz w:val="21"/>
              </w:rPr>
            </w:pPr>
          </w:p>
        </w:tc>
        <w:tc>
          <w:tcPr>
            <w:tcW w:w="909" w:type="dxa"/>
            <w:vAlign w:val="top"/>
          </w:tcPr>
          <w:p w14:paraId="787D3247">
            <w:pPr>
              <w:pStyle w:val="6"/>
              <w:spacing w:before="59" w:line="185" w:lineRule="auto"/>
              <w:ind w:left="81"/>
              <w:rPr>
                <w:sz w:val="21"/>
                <w:szCs w:val="21"/>
              </w:rPr>
            </w:pPr>
            <w:r>
              <w:rPr>
                <w:spacing w:val="-4"/>
                <w:sz w:val="21"/>
                <w:szCs w:val="21"/>
              </w:rPr>
              <w:t>1.2.4</w:t>
            </w:r>
          </w:p>
        </w:tc>
        <w:tc>
          <w:tcPr>
            <w:tcW w:w="4625" w:type="dxa"/>
            <w:vAlign w:val="top"/>
          </w:tcPr>
          <w:p w14:paraId="1909C7C5">
            <w:pPr>
              <w:pStyle w:val="6"/>
              <w:spacing w:before="39" w:line="203" w:lineRule="auto"/>
              <w:ind w:left="141"/>
              <w:rPr>
                <w:sz w:val="21"/>
                <w:szCs w:val="21"/>
              </w:rPr>
            </w:pPr>
            <w:r>
              <w:rPr>
                <w:spacing w:val="1"/>
                <w:sz w:val="21"/>
                <w:szCs w:val="21"/>
              </w:rPr>
              <w:t>196</w:t>
            </w:r>
            <w:r>
              <w:rPr>
                <w:sz w:val="21"/>
                <w:szCs w:val="21"/>
              </w:rPr>
              <w:t>KW</w:t>
            </w:r>
            <w:r>
              <w:rPr>
                <w:spacing w:val="1"/>
                <w:sz w:val="21"/>
                <w:szCs w:val="21"/>
              </w:rPr>
              <w:t>组串式逆变器</w:t>
            </w:r>
          </w:p>
        </w:tc>
        <w:tc>
          <w:tcPr>
            <w:tcW w:w="669" w:type="dxa"/>
            <w:vAlign w:val="top"/>
          </w:tcPr>
          <w:p w14:paraId="024B51AC">
            <w:pPr>
              <w:pStyle w:val="6"/>
              <w:spacing w:before="41" w:line="201" w:lineRule="auto"/>
              <w:ind w:left="126"/>
              <w:rPr>
                <w:sz w:val="21"/>
                <w:szCs w:val="21"/>
              </w:rPr>
            </w:pPr>
            <w:r>
              <w:rPr>
                <w:sz w:val="21"/>
                <w:szCs w:val="21"/>
              </w:rPr>
              <w:t>台</w:t>
            </w:r>
          </w:p>
        </w:tc>
        <w:tc>
          <w:tcPr>
            <w:tcW w:w="949" w:type="dxa"/>
            <w:vAlign w:val="top"/>
          </w:tcPr>
          <w:p w14:paraId="6A838243">
            <w:pPr>
              <w:pStyle w:val="6"/>
              <w:spacing w:before="59" w:line="185" w:lineRule="auto"/>
              <w:ind w:left="98"/>
              <w:rPr>
                <w:sz w:val="21"/>
                <w:szCs w:val="21"/>
              </w:rPr>
            </w:pPr>
            <w:r>
              <w:rPr>
                <w:spacing w:val="-4"/>
                <w:sz w:val="21"/>
                <w:szCs w:val="21"/>
              </w:rPr>
              <w:t>19.00</w:t>
            </w:r>
          </w:p>
        </w:tc>
        <w:tc>
          <w:tcPr>
            <w:tcW w:w="519" w:type="dxa"/>
            <w:vAlign w:val="top"/>
          </w:tcPr>
          <w:p w14:paraId="35D8487A">
            <w:pPr>
              <w:rPr>
                <w:rFonts w:ascii="Arial"/>
                <w:sz w:val="21"/>
              </w:rPr>
            </w:pPr>
          </w:p>
        </w:tc>
        <w:tc>
          <w:tcPr>
            <w:tcW w:w="354" w:type="dxa"/>
            <w:vMerge w:val="continue"/>
            <w:tcBorders>
              <w:top w:val="nil"/>
              <w:bottom w:val="nil"/>
            </w:tcBorders>
            <w:vAlign w:val="top"/>
          </w:tcPr>
          <w:p w14:paraId="4F1E5275">
            <w:pPr>
              <w:rPr>
                <w:rFonts w:ascii="Arial"/>
                <w:sz w:val="21"/>
              </w:rPr>
            </w:pPr>
          </w:p>
        </w:tc>
      </w:tr>
      <w:tr w14:paraId="23AA3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6FE66FD3">
            <w:pPr>
              <w:rPr>
                <w:rFonts w:ascii="Arial"/>
                <w:sz w:val="21"/>
              </w:rPr>
            </w:pPr>
          </w:p>
        </w:tc>
        <w:tc>
          <w:tcPr>
            <w:tcW w:w="370" w:type="dxa"/>
            <w:vMerge w:val="continue"/>
            <w:tcBorders>
              <w:top w:val="nil"/>
              <w:bottom w:val="nil"/>
            </w:tcBorders>
            <w:vAlign w:val="top"/>
          </w:tcPr>
          <w:p w14:paraId="3EA63DD9">
            <w:pPr>
              <w:rPr>
                <w:rFonts w:ascii="Arial"/>
                <w:sz w:val="21"/>
              </w:rPr>
            </w:pPr>
          </w:p>
        </w:tc>
        <w:tc>
          <w:tcPr>
            <w:tcW w:w="909" w:type="dxa"/>
            <w:vAlign w:val="top"/>
          </w:tcPr>
          <w:p w14:paraId="22C31F5F">
            <w:pPr>
              <w:pStyle w:val="6"/>
              <w:spacing w:before="49" w:line="185" w:lineRule="auto"/>
              <w:ind w:left="81"/>
              <w:rPr>
                <w:sz w:val="21"/>
                <w:szCs w:val="21"/>
              </w:rPr>
            </w:pPr>
            <w:r>
              <w:rPr>
                <w:spacing w:val="-6"/>
                <w:sz w:val="21"/>
                <w:szCs w:val="21"/>
              </w:rPr>
              <w:t>1.3</w:t>
            </w:r>
          </w:p>
        </w:tc>
        <w:tc>
          <w:tcPr>
            <w:tcW w:w="4625" w:type="dxa"/>
            <w:vAlign w:val="top"/>
          </w:tcPr>
          <w:p w14:paraId="1ACF8C55">
            <w:pPr>
              <w:pStyle w:val="6"/>
              <w:spacing w:before="27" w:line="204" w:lineRule="auto"/>
              <w:ind w:left="141"/>
              <w:rPr>
                <w:sz w:val="21"/>
                <w:szCs w:val="21"/>
              </w:rPr>
            </w:pPr>
            <w:r>
              <w:rPr>
                <w:sz w:val="21"/>
                <w:szCs w:val="21"/>
              </w:rPr>
              <w:t>电缆、集电线路及附件</w:t>
            </w:r>
          </w:p>
        </w:tc>
        <w:tc>
          <w:tcPr>
            <w:tcW w:w="669" w:type="dxa"/>
            <w:vAlign w:val="top"/>
          </w:tcPr>
          <w:p w14:paraId="73A5BEE8">
            <w:pPr>
              <w:rPr>
                <w:rFonts w:ascii="Arial"/>
                <w:sz w:val="21"/>
              </w:rPr>
            </w:pPr>
          </w:p>
        </w:tc>
        <w:tc>
          <w:tcPr>
            <w:tcW w:w="949" w:type="dxa"/>
            <w:vAlign w:val="top"/>
          </w:tcPr>
          <w:p w14:paraId="63998FE3">
            <w:pPr>
              <w:rPr>
                <w:rFonts w:ascii="Arial"/>
                <w:sz w:val="21"/>
              </w:rPr>
            </w:pPr>
          </w:p>
        </w:tc>
        <w:tc>
          <w:tcPr>
            <w:tcW w:w="519" w:type="dxa"/>
            <w:vAlign w:val="top"/>
          </w:tcPr>
          <w:p w14:paraId="3078E2F0">
            <w:pPr>
              <w:rPr>
                <w:rFonts w:ascii="Arial"/>
                <w:sz w:val="21"/>
              </w:rPr>
            </w:pPr>
          </w:p>
        </w:tc>
        <w:tc>
          <w:tcPr>
            <w:tcW w:w="354" w:type="dxa"/>
            <w:vMerge w:val="continue"/>
            <w:tcBorders>
              <w:top w:val="nil"/>
              <w:bottom w:val="nil"/>
            </w:tcBorders>
            <w:vAlign w:val="top"/>
          </w:tcPr>
          <w:p w14:paraId="1310CC5D">
            <w:pPr>
              <w:rPr>
                <w:rFonts w:ascii="Arial"/>
                <w:sz w:val="21"/>
              </w:rPr>
            </w:pPr>
          </w:p>
        </w:tc>
      </w:tr>
      <w:tr w14:paraId="6F7E6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3B9CFF16">
            <w:pPr>
              <w:rPr>
                <w:rFonts w:ascii="Arial"/>
                <w:sz w:val="21"/>
              </w:rPr>
            </w:pPr>
          </w:p>
        </w:tc>
        <w:tc>
          <w:tcPr>
            <w:tcW w:w="370" w:type="dxa"/>
            <w:vMerge w:val="continue"/>
            <w:tcBorders>
              <w:top w:val="nil"/>
              <w:bottom w:val="nil"/>
            </w:tcBorders>
            <w:vAlign w:val="top"/>
          </w:tcPr>
          <w:p w14:paraId="346572B5">
            <w:pPr>
              <w:rPr>
                <w:rFonts w:ascii="Arial"/>
                <w:sz w:val="21"/>
              </w:rPr>
            </w:pPr>
          </w:p>
        </w:tc>
        <w:tc>
          <w:tcPr>
            <w:tcW w:w="909" w:type="dxa"/>
            <w:vAlign w:val="top"/>
          </w:tcPr>
          <w:p w14:paraId="3703801B">
            <w:pPr>
              <w:pStyle w:val="6"/>
              <w:spacing w:before="49" w:line="185" w:lineRule="auto"/>
              <w:ind w:left="81"/>
              <w:rPr>
                <w:sz w:val="21"/>
                <w:szCs w:val="21"/>
              </w:rPr>
            </w:pPr>
            <w:r>
              <w:rPr>
                <w:spacing w:val="-4"/>
                <w:sz w:val="21"/>
                <w:szCs w:val="21"/>
              </w:rPr>
              <w:t>1.3.1</w:t>
            </w:r>
          </w:p>
        </w:tc>
        <w:tc>
          <w:tcPr>
            <w:tcW w:w="4625" w:type="dxa"/>
            <w:vAlign w:val="top"/>
          </w:tcPr>
          <w:p w14:paraId="110C92EC">
            <w:pPr>
              <w:pStyle w:val="6"/>
              <w:spacing w:before="27" w:line="204" w:lineRule="auto"/>
              <w:ind w:left="141"/>
              <w:rPr>
                <w:sz w:val="21"/>
                <w:szCs w:val="21"/>
              </w:rPr>
            </w:pPr>
            <w:r>
              <w:rPr>
                <w:spacing w:val="1"/>
                <w:sz w:val="21"/>
                <w:szCs w:val="21"/>
              </w:rPr>
              <w:t>直流电缆</w:t>
            </w:r>
            <w:r>
              <w:rPr>
                <w:sz w:val="21"/>
                <w:szCs w:val="21"/>
              </w:rPr>
              <w:t>GF</w:t>
            </w:r>
            <w:r>
              <w:rPr>
                <w:spacing w:val="1"/>
                <w:sz w:val="21"/>
                <w:szCs w:val="21"/>
              </w:rPr>
              <w:t>-</w:t>
            </w:r>
            <w:r>
              <w:rPr>
                <w:sz w:val="21"/>
                <w:szCs w:val="21"/>
              </w:rPr>
              <w:t>WDZCEER</w:t>
            </w:r>
            <w:r>
              <w:rPr>
                <w:spacing w:val="1"/>
                <w:sz w:val="21"/>
                <w:szCs w:val="21"/>
              </w:rPr>
              <w:t>232*4</w:t>
            </w:r>
          </w:p>
        </w:tc>
        <w:tc>
          <w:tcPr>
            <w:tcW w:w="669" w:type="dxa"/>
            <w:vAlign w:val="top"/>
          </w:tcPr>
          <w:p w14:paraId="26117721">
            <w:pPr>
              <w:pStyle w:val="6"/>
              <w:spacing w:before="49" w:line="185" w:lineRule="auto"/>
              <w:ind w:left="116"/>
              <w:rPr>
                <w:sz w:val="21"/>
                <w:szCs w:val="21"/>
              </w:rPr>
            </w:pPr>
            <w:r>
              <w:rPr>
                <w:spacing w:val="-2"/>
                <w:sz w:val="21"/>
                <w:szCs w:val="21"/>
              </w:rPr>
              <w:t>km</w:t>
            </w:r>
          </w:p>
        </w:tc>
        <w:tc>
          <w:tcPr>
            <w:tcW w:w="949" w:type="dxa"/>
            <w:vAlign w:val="top"/>
          </w:tcPr>
          <w:p w14:paraId="5CAB38D4">
            <w:pPr>
              <w:pStyle w:val="6"/>
              <w:spacing w:before="49" w:line="185" w:lineRule="auto"/>
              <w:ind w:left="98"/>
              <w:rPr>
                <w:sz w:val="21"/>
                <w:szCs w:val="21"/>
              </w:rPr>
            </w:pPr>
            <w:r>
              <w:rPr>
                <w:spacing w:val="-2"/>
                <w:sz w:val="21"/>
                <w:szCs w:val="21"/>
              </w:rPr>
              <w:t>260.00</w:t>
            </w:r>
          </w:p>
        </w:tc>
        <w:tc>
          <w:tcPr>
            <w:tcW w:w="519" w:type="dxa"/>
            <w:vAlign w:val="top"/>
          </w:tcPr>
          <w:p w14:paraId="7BC9BEFD">
            <w:pPr>
              <w:rPr>
                <w:rFonts w:ascii="Arial"/>
                <w:sz w:val="21"/>
              </w:rPr>
            </w:pPr>
          </w:p>
        </w:tc>
        <w:tc>
          <w:tcPr>
            <w:tcW w:w="354" w:type="dxa"/>
            <w:vMerge w:val="continue"/>
            <w:tcBorders>
              <w:top w:val="nil"/>
              <w:bottom w:val="nil"/>
            </w:tcBorders>
            <w:vAlign w:val="top"/>
          </w:tcPr>
          <w:p w14:paraId="132F6E4C">
            <w:pPr>
              <w:rPr>
                <w:rFonts w:ascii="Arial"/>
                <w:sz w:val="21"/>
              </w:rPr>
            </w:pPr>
          </w:p>
        </w:tc>
      </w:tr>
      <w:tr w14:paraId="7C96C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74" w:type="dxa"/>
            <w:vMerge w:val="continue"/>
            <w:tcBorders>
              <w:top w:val="nil"/>
              <w:bottom w:val="nil"/>
            </w:tcBorders>
            <w:vAlign w:val="top"/>
          </w:tcPr>
          <w:p w14:paraId="0CFE633A">
            <w:pPr>
              <w:rPr>
                <w:rFonts w:ascii="Arial"/>
                <w:sz w:val="21"/>
              </w:rPr>
            </w:pPr>
          </w:p>
        </w:tc>
        <w:tc>
          <w:tcPr>
            <w:tcW w:w="370" w:type="dxa"/>
            <w:vMerge w:val="continue"/>
            <w:tcBorders>
              <w:top w:val="nil"/>
              <w:bottom w:val="nil"/>
            </w:tcBorders>
            <w:vAlign w:val="top"/>
          </w:tcPr>
          <w:p w14:paraId="47234640">
            <w:pPr>
              <w:rPr>
                <w:rFonts w:ascii="Arial"/>
                <w:sz w:val="21"/>
              </w:rPr>
            </w:pPr>
          </w:p>
        </w:tc>
        <w:tc>
          <w:tcPr>
            <w:tcW w:w="909" w:type="dxa"/>
            <w:vAlign w:val="top"/>
          </w:tcPr>
          <w:p w14:paraId="154200D4">
            <w:pPr>
              <w:pStyle w:val="6"/>
              <w:spacing w:before="49" w:line="184" w:lineRule="auto"/>
              <w:ind w:left="81"/>
              <w:rPr>
                <w:sz w:val="21"/>
                <w:szCs w:val="21"/>
              </w:rPr>
            </w:pPr>
            <w:r>
              <w:rPr>
                <w:spacing w:val="-4"/>
                <w:sz w:val="21"/>
                <w:szCs w:val="21"/>
              </w:rPr>
              <w:t>1.3.2</w:t>
            </w:r>
          </w:p>
        </w:tc>
        <w:tc>
          <w:tcPr>
            <w:tcW w:w="4625" w:type="dxa"/>
            <w:vAlign w:val="top"/>
          </w:tcPr>
          <w:p w14:paraId="4D4C10CA">
            <w:pPr>
              <w:pStyle w:val="6"/>
              <w:spacing w:before="28" w:line="203" w:lineRule="auto"/>
              <w:ind w:left="141"/>
              <w:rPr>
                <w:sz w:val="21"/>
                <w:szCs w:val="21"/>
              </w:rPr>
            </w:pPr>
            <w:r>
              <w:rPr>
                <w:spacing w:val="2"/>
                <w:sz w:val="21"/>
                <w:szCs w:val="21"/>
              </w:rPr>
              <w:t>光伏专用接头</w:t>
            </w:r>
          </w:p>
        </w:tc>
        <w:tc>
          <w:tcPr>
            <w:tcW w:w="669" w:type="dxa"/>
            <w:vAlign w:val="top"/>
          </w:tcPr>
          <w:p w14:paraId="0A5584CB">
            <w:pPr>
              <w:pStyle w:val="6"/>
              <w:spacing w:before="29" w:line="202" w:lineRule="auto"/>
              <w:ind w:left="106"/>
              <w:rPr>
                <w:sz w:val="21"/>
                <w:szCs w:val="21"/>
              </w:rPr>
            </w:pPr>
            <w:r>
              <w:rPr>
                <w:sz w:val="21"/>
                <w:szCs w:val="21"/>
              </w:rPr>
              <w:t>套</w:t>
            </w:r>
          </w:p>
        </w:tc>
        <w:tc>
          <w:tcPr>
            <w:tcW w:w="949" w:type="dxa"/>
            <w:vAlign w:val="top"/>
          </w:tcPr>
          <w:p w14:paraId="178028BB">
            <w:pPr>
              <w:pStyle w:val="6"/>
              <w:spacing w:before="49" w:line="184" w:lineRule="auto"/>
              <w:ind w:left="98"/>
              <w:rPr>
                <w:sz w:val="21"/>
                <w:szCs w:val="21"/>
              </w:rPr>
            </w:pPr>
            <w:r>
              <w:rPr>
                <w:spacing w:val="-2"/>
                <w:sz w:val="21"/>
                <w:szCs w:val="21"/>
              </w:rPr>
              <w:t>7500.00</w:t>
            </w:r>
          </w:p>
        </w:tc>
        <w:tc>
          <w:tcPr>
            <w:tcW w:w="519" w:type="dxa"/>
            <w:vAlign w:val="top"/>
          </w:tcPr>
          <w:p w14:paraId="6A3BE73B">
            <w:pPr>
              <w:rPr>
                <w:rFonts w:ascii="Arial"/>
                <w:sz w:val="21"/>
              </w:rPr>
            </w:pPr>
          </w:p>
        </w:tc>
        <w:tc>
          <w:tcPr>
            <w:tcW w:w="354" w:type="dxa"/>
            <w:vMerge w:val="continue"/>
            <w:tcBorders>
              <w:top w:val="nil"/>
              <w:bottom w:val="nil"/>
            </w:tcBorders>
            <w:vAlign w:val="top"/>
          </w:tcPr>
          <w:p w14:paraId="68284F1C">
            <w:pPr>
              <w:rPr>
                <w:rFonts w:ascii="Arial"/>
                <w:sz w:val="21"/>
              </w:rPr>
            </w:pPr>
          </w:p>
        </w:tc>
      </w:tr>
      <w:tr w14:paraId="7BCD6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674" w:type="dxa"/>
            <w:vMerge w:val="continue"/>
            <w:tcBorders>
              <w:top w:val="nil"/>
              <w:bottom w:val="nil"/>
            </w:tcBorders>
            <w:vAlign w:val="top"/>
          </w:tcPr>
          <w:p w14:paraId="4A8B5F61">
            <w:pPr>
              <w:rPr>
                <w:rFonts w:ascii="Arial"/>
                <w:sz w:val="21"/>
              </w:rPr>
            </w:pPr>
          </w:p>
        </w:tc>
        <w:tc>
          <w:tcPr>
            <w:tcW w:w="370" w:type="dxa"/>
            <w:vMerge w:val="continue"/>
            <w:tcBorders>
              <w:top w:val="nil"/>
              <w:bottom w:val="nil"/>
            </w:tcBorders>
            <w:vAlign w:val="top"/>
          </w:tcPr>
          <w:p w14:paraId="6C9309F3">
            <w:pPr>
              <w:rPr>
                <w:rFonts w:ascii="Arial"/>
                <w:sz w:val="21"/>
              </w:rPr>
            </w:pPr>
          </w:p>
        </w:tc>
        <w:tc>
          <w:tcPr>
            <w:tcW w:w="909" w:type="dxa"/>
            <w:vAlign w:val="top"/>
          </w:tcPr>
          <w:p w14:paraId="0FE8624F">
            <w:pPr>
              <w:pStyle w:val="6"/>
              <w:spacing w:before="41" w:line="166" w:lineRule="auto"/>
              <w:ind w:left="81"/>
              <w:rPr>
                <w:sz w:val="21"/>
                <w:szCs w:val="21"/>
              </w:rPr>
            </w:pPr>
            <w:r>
              <w:rPr>
                <w:spacing w:val="-4"/>
                <w:sz w:val="21"/>
                <w:szCs w:val="21"/>
              </w:rPr>
              <w:t>1.3.3</w:t>
            </w:r>
          </w:p>
        </w:tc>
        <w:tc>
          <w:tcPr>
            <w:tcW w:w="4625" w:type="dxa"/>
            <w:vAlign w:val="top"/>
          </w:tcPr>
          <w:p w14:paraId="0DD07D24">
            <w:pPr>
              <w:pStyle w:val="6"/>
              <w:spacing w:before="18" w:line="186" w:lineRule="auto"/>
              <w:ind w:left="141"/>
              <w:rPr>
                <w:sz w:val="21"/>
                <w:szCs w:val="21"/>
              </w:rPr>
            </w:pPr>
            <w:r>
              <w:rPr>
                <w:spacing w:val="-1"/>
                <w:sz w:val="21"/>
                <w:szCs w:val="21"/>
              </w:rPr>
              <w:t>ZA-YJV23-0.6/1kV-4X4mm2</w:t>
            </w:r>
          </w:p>
        </w:tc>
        <w:tc>
          <w:tcPr>
            <w:tcW w:w="669" w:type="dxa"/>
            <w:vAlign w:val="top"/>
          </w:tcPr>
          <w:p w14:paraId="228ACD6E">
            <w:pPr>
              <w:pStyle w:val="6"/>
              <w:spacing w:before="53" w:line="204" w:lineRule="auto"/>
              <w:ind w:left="86"/>
              <w:rPr>
                <w:sz w:val="16"/>
                <w:szCs w:val="16"/>
              </w:rPr>
            </w:pPr>
            <w:r>
              <w:rPr>
                <w:sz w:val="16"/>
                <w:szCs w:val="16"/>
              </w:rPr>
              <w:t>m</w:t>
            </w:r>
          </w:p>
        </w:tc>
        <w:tc>
          <w:tcPr>
            <w:tcW w:w="949" w:type="dxa"/>
            <w:vAlign w:val="top"/>
          </w:tcPr>
          <w:p w14:paraId="3E9D6C86">
            <w:pPr>
              <w:pStyle w:val="6"/>
              <w:spacing w:before="41" w:line="166" w:lineRule="auto"/>
              <w:ind w:left="98"/>
              <w:rPr>
                <w:sz w:val="21"/>
                <w:szCs w:val="21"/>
              </w:rPr>
            </w:pPr>
            <w:r>
              <w:rPr>
                <w:spacing w:val="-3"/>
                <w:sz w:val="21"/>
                <w:szCs w:val="21"/>
              </w:rPr>
              <w:t>3600</w:t>
            </w:r>
          </w:p>
        </w:tc>
        <w:tc>
          <w:tcPr>
            <w:tcW w:w="519" w:type="dxa"/>
            <w:vAlign w:val="top"/>
          </w:tcPr>
          <w:p w14:paraId="42ECFB81">
            <w:pPr>
              <w:spacing w:line="230" w:lineRule="exact"/>
              <w:rPr>
                <w:rFonts w:ascii="Arial"/>
                <w:sz w:val="20"/>
              </w:rPr>
            </w:pPr>
          </w:p>
        </w:tc>
        <w:tc>
          <w:tcPr>
            <w:tcW w:w="354" w:type="dxa"/>
            <w:vMerge w:val="continue"/>
            <w:tcBorders>
              <w:top w:val="nil"/>
              <w:bottom w:val="nil"/>
            </w:tcBorders>
            <w:vAlign w:val="top"/>
          </w:tcPr>
          <w:p w14:paraId="35DB64C3">
            <w:pPr>
              <w:rPr>
                <w:rFonts w:ascii="Arial"/>
                <w:sz w:val="21"/>
              </w:rPr>
            </w:pPr>
          </w:p>
        </w:tc>
      </w:tr>
      <w:tr w14:paraId="22F19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674" w:type="dxa"/>
            <w:vMerge w:val="continue"/>
            <w:tcBorders>
              <w:top w:val="nil"/>
              <w:bottom w:val="nil"/>
            </w:tcBorders>
            <w:vAlign w:val="top"/>
          </w:tcPr>
          <w:p w14:paraId="6A74F725">
            <w:pPr>
              <w:rPr>
                <w:rFonts w:ascii="Arial"/>
                <w:sz w:val="21"/>
              </w:rPr>
            </w:pPr>
          </w:p>
        </w:tc>
        <w:tc>
          <w:tcPr>
            <w:tcW w:w="370" w:type="dxa"/>
            <w:vMerge w:val="continue"/>
            <w:tcBorders>
              <w:top w:val="nil"/>
              <w:bottom w:val="nil"/>
            </w:tcBorders>
            <w:vAlign w:val="top"/>
          </w:tcPr>
          <w:p w14:paraId="5C15D073">
            <w:pPr>
              <w:rPr>
                <w:rFonts w:ascii="Arial"/>
                <w:sz w:val="21"/>
              </w:rPr>
            </w:pPr>
          </w:p>
        </w:tc>
        <w:tc>
          <w:tcPr>
            <w:tcW w:w="909" w:type="dxa"/>
            <w:vAlign w:val="top"/>
          </w:tcPr>
          <w:p w14:paraId="0CD355F0">
            <w:pPr>
              <w:pStyle w:val="6"/>
              <w:spacing w:before="40" w:line="167" w:lineRule="auto"/>
              <w:ind w:left="81"/>
              <w:rPr>
                <w:sz w:val="21"/>
                <w:szCs w:val="21"/>
              </w:rPr>
            </w:pPr>
            <w:r>
              <w:rPr>
                <w:spacing w:val="-4"/>
                <w:sz w:val="21"/>
                <w:szCs w:val="21"/>
              </w:rPr>
              <w:t>1.3.4</w:t>
            </w:r>
          </w:p>
        </w:tc>
        <w:tc>
          <w:tcPr>
            <w:tcW w:w="4625" w:type="dxa"/>
            <w:vAlign w:val="top"/>
          </w:tcPr>
          <w:p w14:paraId="5F3A0F22">
            <w:pPr>
              <w:pStyle w:val="6"/>
              <w:spacing w:before="18" w:line="186" w:lineRule="auto"/>
              <w:ind w:left="141"/>
              <w:rPr>
                <w:sz w:val="21"/>
                <w:szCs w:val="21"/>
              </w:rPr>
            </w:pPr>
            <w:r>
              <w:rPr>
                <w:spacing w:val="-1"/>
                <w:sz w:val="21"/>
                <w:szCs w:val="21"/>
              </w:rPr>
              <w:t>ZA-YJV23-1.8/3kV-4X6mm2</w:t>
            </w:r>
          </w:p>
        </w:tc>
        <w:tc>
          <w:tcPr>
            <w:tcW w:w="669" w:type="dxa"/>
            <w:vAlign w:val="top"/>
          </w:tcPr>
          <w:p w14:paraId="05DCE655">
            <w:pPr>
              <w:pStyle w:val="6"/>
              <w:spacing w:before="53" w:line="204" w:lineRule="auto"/>
              <w:ind w:left="86"/>
              <w:rPr>
                <w:sz w:val="16"/>
                <w:szCs w:val="16"/>
              </w:rPr>
            </w:pPr>
            <w:r>
              <w:rPr>
                <w:sz w:val="16"/>
                <w:szCs w:val="16"/>
              </w:rPr>
              <w:t>m</w:t>
            </w:r>
          </w:p>
        </w:tc>
        <w:tc>
          <w:tcPr>
            <w:tcW w:w="949" w:type="dxa"/>
            <w:vAlign w:val="top"/>
          </w:tcPr>
          <w:p w14:paraId="5F986634">
            <w:pPr>
              <w:pStyle w:val="6"/>
              <w:spacing w:before="40" w:line="167" w:lineRule="auto"/>
              <w:ind w:left="98"/>
              <w:rPr>
                <w:sz w:val="21"/>
                <w:szCs w:val="21"/>
              </w:rPr>
            </w:pPr>
            <w:r>
              <w:rPr>
                <w:spacing w:val="-3"/>
                <w:sz w:val="21"/>
                <w:szCs w:val="21"/>
              </w:rPr>
              <w:t>3600</w:t>
            </w:r>
          </w:p>
        </w:tc>
        <w:tc>
          <w:tcPr>
            <w:tcW w:w="519" w:type="dxa"/>
            <w:vAlign w:val="top"/>
          </w:tcPr>
          <w:p w14:paraId="2FBB770E">
            <w:pPr>
              <w:spacing w:line="230" w:lineRule="exact"/>
              <w:rPr>
                <w:rFonts w:ascii="Arial"/>
                <w:sz w:val="20"/>
              </w:rPr>
            </w:pPr>
          </w:p>
        </w:tc>
        <w:tc>
          <w:tcPr>
            <w:tcW w:w="354" w:type="dxa"/>
            <w:vMerge w:val="continue"/>
            <w:tcBorders>
              <w:top w:val="nil"/>
              <w:bottom w:val="nil"/>
            </w:tcBorders>
            <w:vAlign w:val="top"/>
          </w:tcPr>
          <w:p w14:paraId="62232EFF">
            <w:pPr>
              <w:rPr>
                <w:rFonts w:ascii="Arial"/>
                <w:sz w:val="21"/>
              </w:rPr>
            </w:pPr>
          </w:p>
        </w:tc>
      </w:tr>
      <w:tr w14:paraId="145F9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674" w:type="dxa"/>
            <w:vMerge w:val="continue"/>
            <w:tcBorders>
              <w:top w:val="nil"/>
              <w:bottom w:val="nil"/>
            </w:tcBorders>
            <w:vAlign w:val="top"/>
          </w:tcPr>
          <w:p w14:paraId="10D5B42C">
            <w:pPr>
              <w:rPr>
                <w:rFonts w:ascii="Arial"/>
                <w:sz w:val="21"/>
              </w:rPr>
            </w:pPr>
          </w:p>
        </w:tc>
        <w:tc>
          <w:tcPr>
            <w:tcW w:w="370" w:type="dxa"/>
            <w:vMerge w:val="continue"/>
            <w:tcBorders>
              <w:top w:val="nil"/>
              <w:bottom w:val="nil"/>
            </w:tcBorders>
            <w:vAlign w:val="top"/>
          </w:tcPr>
          <w:p w14:paraId="030529BA">
            <w:pPr>
              <w:rPr>
                <w:rFonts w:ascii="Arial"/>
                <w:sz w:val="21"/>
              </w:rPr>
            </w:pPr>
          </w:p>
        </w:tc>
        <w:tc>
          <w:tcPr>
            <w:tcW w:w="909" w:type="dxa"/>
            <w:vAlign w:val="top"/>
          </w:tcPr>
          <w:p w14:paraId="148580E1">
            <w:pPr>
              <w:pStyle w:val="6"/>
              <w:spacing w:before="40" w:line="175" w:lineRule="auto"/>
              <w:ind w:left="81"/>
              <w:rPr>
                <w:sz w:val="21"/>
                <w:szCs w:val="21"/>
              </w:rPr>
            </w:pPr>
            <w:r>
              <w:rPr>
                <w:spacing w:val="-4"/>
                <w:sz w:val="21"/>
                <w:szCs w:val="21"/>
              </w:rPr>
              <w:t>1.3.5</w:t>
            </w:r>
          </w:p>
        </w:tc>
        <w:tc>
          <w:tcPr>
            <w:tcW w:w="4625" w:type="dxa"/>
            <w:vAlign w:val="top"/>
          </w:tcPr>
          <w:p w14:paraId="3142E298">
            <w:pPr>
              <w:pStyle w:val="6"/>
              <w:spacing w:before="18" w:line="195" w:lineRule="auto"/>
              <w:ind w:left="141"/>
              <w:rPr>
                <w:sz w:val="21"/>
                <w:szCs w:val="21"/>
              </w:rPr>
            </w:pPr>
            <w:r>
              <w:rPr>
                <w:spacing w:val="-1"/>
                <w:sz w:val="21"/>
                <w:szCs w:val="21"/>
              </w:rPr>
              <w:t>ZC-YJV23-0.6/1kV-4X16mm2</w:t>
            </w:r>
          </w:p>
        </w:tc>
        <w:tc>
          <w:tcPr>
            <w:tcW w:w="669" w:type="dxa"/>
            <w:vAlign w:val="top"/>
          </w:tcPr>
          <w:p w14:paraId="5521584F">
            <w:pPr>
              <w:pStyle w:val="6"/>
              <w:spacing w:before="63" w:line="204" w:lineRule="auto"/>
              <w:ind w:left="86"/>
              <w:rPr>
                <w:sz w:val="16"/>
                <w:szCs w:val="16"/>
              </w:rPr>
            </w:pPr>
            <w:r>
              <w:rPr>
                <w:sz w:val="16"/>
                <w:szCs w:val="16"/>
              </w:rPr>
              <w:t>m</w:t>
            </w:r>
          </w:p>
        </w:tc>
        <w:tc>
          <w:tcPr>
            <w:tcW w:w="949" w:type="dxa"/>
            <w:vAlign w:val="top"/>
          </w:tcPr>
          <w:p w14:paraId="668F19D9">
            <w:pPr>
              <w:pStyle w:val="6"/>
              <w:spacing w:before="40" w:line="175" w:lineRule="auto"/>
              <w:ind w:left="98"/>
              <w:rPr>
                <w:sz w:val="21"/>
                <w:szCs w:val="21"/>
              </w:rPr>
            </w:pPr>
            <w:r>
              <w:rPr>
                <w:spacing w:val="-4"/>
                <w:sz w:val="21"/>
                <w:szCs w:val="21"/>
              </w:rPr>
              <w:t>17000</w:t>
            </w:r>
          </w:p>
        </w:tc>
        <w:tc>
          <w:tcPr>
            <w:tcW w:w="519" w:type="dxa"/>
            <w:vAlign w:val="top"/>
          </w:tcPr>
          <w:p w14:paraId="328C9412">
            <w:pPr>
              <w:spacing w:line="240" w:lineRule="exact"/>
              <w:rPr>
                <w:rFonts w:ascii="Arial"/>
                <w:sz w:val="20"/>
              </w:rPr>
            </w:pPr>
          </w:p>
        </w:tc>
        <w:tc>
          <w:tcPr>
            <w:tcW w:w="354" w:type="dxa"/>
            <w:vMerge w:val="continue"/>
            <w:tcBorders>
              <w:top w:val="nil"/>
              <w:bottom w:val="nil"/>
            </w:tcBorders>
            <w:vAlign w:val="top"/>
          </w:tcPr>
          <w:p w14:paraId="7C94753E">
            <w:pPr>
              <w:rPr>
                <w:rFonts w:ascii="Arial"/>
                <w:sz w:val="21"/>
              </w:rPr>
            </w:pPr>
          </w:p>
        </w:tc>
      </w:tr>
      <w:tr w14:paraId="1E193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74" w:type="dxa"/>
            <w:vMerge w:val="continue"/>
            <w:tcBorders>
              <w:top w:val="nil"/>
              <w:bottom w:val="nil"/>
            </w:tcBorders>
            <w:vAlign w:val="top"/>
          </w:tcPr>
          <w:p w14:paraId="683FE309">
            <w:pPr>
              <w:rPr>
                <w:rFonts w:ascii="Arial"/>
                <w:sz w:val="21"/>
              </w:rPr>
            </w:pPr>
          </w:p>
        </w:tc>
        <w:tc>
          <w:tcPr>
            <w:tcW w:w="370" w:type="dxa"/>
            <w:vMerge w:val="continue"/>
            <w:tcBorders>
              <w:top w:val="nil"/>
              <w:bottom w:val="nil"/>
            </w:tcBorders>
            <w:vAlign w:val="top"/>
          </w:tcPr>
          <w:p w14:paraId="03236CEB">
            <w:pPr>
              <w:rPr>
                <w:rFonts w:ascii="Arial"/>
                <w:sz w:val="21"/>
              </w:rPr>
            </w:pPr>
          </w:p>
        </w:tc>
        <w:tc>
          <w:tcPr>
            <w:tcW w:w="909" w:type="dxa"/>
            <w:vAlign w:val="top"/>
          </w:tcPr>
          <w:p w14:paraId="7DE7F2D7">
            <w:pPr>
              <w:pStyle w:val="6"/>
              <w:spacing w:before="50" w:line="170" w:lineRule="exact"/>
              <w:ind w:left="81"/>
              <w:rPr>
                <w:sz w:val="21"/>
                <w:szCs w:val="21"/>
              </w:rPr>
            </w:pPr>
            <w:r>
              <w:rPr>
                <w:spacing w:val="-4"/>
                <w:position w:val="-2"/>
                <w:sz w:val="21"/>
                <w:szCs w:val="21"/>
              </w:rPr>
              <w:t>1.3.6</w:t>
            </w:r>
          </w:p>
        </w:tc>
        <w:tc>
          <w:tcPr>
            <w:tcW w:w="4625" w:type="dxa"/>
            <w:vAlign w:val="top"/>
          </w:tcPr>
          <w:p w14:paraId="707C64AA">
            <w:pPr>
              <w:pStyle w:val="6"/>
              <w:spacing w:before="27" w:line="169" w:lineRule="auto"/>
              <w:ind w:left="141"/>
              <w:rPr>
                <w:sz w:val="21"/>
                <w:szCs w:val="21"/>
              </w:rPr>
            </w:pPr>
            <w:r>
              <w:rPr>
                <w:spacing w:val="-1"/>
                <w:sz w:val="21"/>
                <w:szCs w:val="21"/>
              </w:rPr>
              <w:t>ZC-YJLHV23-1.8/3kV-3*150mm2</w:t>
            </w:r>
          </w:p>
        </w:tc>
        <w:tc>
          <w:tcPr>
            <w:tcW w:w="669" w:type="dxa"/>
            <w:vAlign w:val="top"/>
          </w:tcPr>
          <w:p w14:paraId="31FF192D">
            <w:pPr>
              <w:pStyle w:val="6"/>
              <w:spacing w:before="50" w:line="170" w:lineRule="exact"/>
              <w:ind w:left="116"/>
              <w:rPr>
                <w:sz w:val="21"/>
                <w:szCs w:val="21"/>
              </w:rPr>
            </w:pPr>
            <w:r>
              <w:rPr>
                <w:spacing w:val="-2"/>
                <w:position w:val="-3"/>
                <w:sz w:val="21"/>
                <w:szCs w:val="21"/>
              </w:rPr>
              <w:t>km</w:t>
            </w:r>
          </w:p>
        </w:tc>
        <w:tc>
          <w:tcPr>
            <w:tcW w:w="949" w:type="dxa"/>
            <w:vAlign w:val="top"/>
          </w:tcPr>
          <w:p w14:paraId="5A8D16A9">
            <w:pPr>
              <w:pStyle w:val="6"/>
              <w:spacing w:before="50" w:line="170" w:lineRule="exact"/>
              <w:ind w:left="98"/>
              <w:rPr>
                <w:sz w:val="21"/>
                <w:szCs w:val="21"/>
              </w:rPr>
            </w:pPr>
            <w:r>
              <w:rPr>
                <w:spacing w:val="-3"/>
                <w:position w:val="-2"/>
                <w:sz w:val="21"/>
                <w:szCs w:val="21"/>
              </w:rPr>
              <w:t>6.8</w:t>
            </w:r>
          </w:p>
        </w:tc>
        <w:tc>
          <w:tcPr>
            <w:tcW w:w="519" w:type="dxa"/>
            <w:vAlign w:val="top"/>
          </w:tcPr>
          <w:p w14:paraId="2547D8AD">
            <w:pPr>
              <w:spacing w:line="220" w:lineRule="exact"/>
              <w:rPr>
                <w:rFonts w:ascii="Arial"/>
                <w:sz w:val="19"/>
              </w:rPr>
            </w:pPr>
          </w:p>
        </w:tc>
        <w:tc>
          <w:tcPr>
            <w:tcW w:w="354" w:type="dxa"/>
            <w:vMerge w:val="continue"/>
            <w:tcBorders>
              <w:top w:val="nil"/>
              <w:bottom w:val="nil"/>
            </w:tcBorders>
            <w:vAlign w:val="top"/>
          </w:tcPr>
          <w:p w14:paraId="1A3A6B62">
            <w:pPr>
              <w:rPr>
                <w:rFonts w:ascii="Arial"/>
                <w:sz w:val="21"/>
              </w:rPr>
            </w:pPr>
          </w:p>
        </w:tc>
      </w:tr>
      <w:tr w14:paraId="71FC2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674" w:type="dxa"/>
            <w:vMerge w:val="continue"/>
            <w:tcBorders>
              <w:top w:val="nil"/>
              <w:bottom w:val="nil"/>
            </w:tcBorders>
            <w:vAlign w:val="top"/>
          </w:tcPr>
          <w:p w14:paraId="1B1816EA">
            <w:pPr>
              <w:rPr>
                <w:rFonts w:ascii="Arial"/>
                <w:sz w:val="21"/>
              </w:rPr>
            </w:pPr>
          </w:p>
        </w:tc>
        <w:tc>
          <w:tcPr>
            <w:tcW w:w="370" w:type="dxa"/>
            <w:vMerge w:val="continue"/>
            <w:tcBorders>
              <w:top w:val="nil"/>
              <w:bottom w:val="nil"/>
            </w:tcBorders>
            <w:vAlign w:val="top"/>
          </w:tcPr>
          <w:p w14:paraId="1EFC062F">
            <w:pPr>
              <w:rPr>
                <w:rFonts w:ascii="Arial"/>
                <w:sz w:val="21"/>
              </w:rPr>
            </w:pPr>
          </w:p>
        </w:tc>
        <w:tc>
          <w:tcPr>
            <w:tcW w:w="909" w:type="dxa"/>
            <w:vAlign w:val="top"/>
          </w:tcPr>
          <w:p w14:paraId="5026E7D8">
            <w:pPr>
              <w:pStyle w:val="6"/>
              <w:spacing w:before="41" w:line="166" w:lineRule="auto"/>
              <w:ind w:left="81"/>
              <w:rPr>
                <w:sz w:val="21"/>
                <w:szCs w:val="21"/>
              </w:rPr>
            </w:pPr>
            <w:r>
              <w:rPr>
                <w:spacing w:val="-4"/>
                <w:sz w:val="21"/>
                <w:szCs w:val="21"/>
              </w:rPr>
              <w:t>1.3.7</w:t>
            </w:r>
          </w:p>
        </w:tc>
        <w:tc>
          <w:tcPr>
            <w:tcW w:w="4625" w:type="dxa"/>
            <w:vAlign w:val="top"/>
          </w:tcPr>
          <w:p w14:paraId="5A13E3F4">
            <w:pPr>
              <w:pStyle w:val="6"/>
              <w:spacing w:before="18" w:line="186" w:lineRule="auto"/>
              <w:ind w:left="141"/>
              <w:rPr>
                <w:sz w:val="21"/>
                <w:szCs w:val="21"/>
              </w:rPr>
            </w:pPr>
            <w:r>
              <w:rPr>
                <w:spacing w:val="-1"/>
                <w:sz w:val="21"/>
                <w:szCs w:val="21"/>
              </w:rPr>
              <w:t>ZC-YJLHV23-1.8/3kV-3*185mm2</w:t>
            </w:r>
          </w:p>
        </w:tc>
        <w:tc>
          <w:tcPr>
            <w:tcW w:w="669" w:type="dxa"/>
            <w:vAlign w:val="top"/>
          </w:tcPr>
          <w:p w14:paraId="6D31777B">
            <w:pPr>
              <w:pStyle w:val="6"/>
              <w:spacing w:before="41" w:line="166" w:lineRule="auto"/>
              <w:ind w:left="116"/>
              <w:rPr>
                <w:sz w:val="21"/>
                <w:szCs w:val="21"/>
              </w:rPr>
            </w:pPr>
            <w:r>
              <w:rPr>
                <w:spacing w:val="-2"/>
                <w:sz w:val="21"/>
                <w:szCs w:val="21"/>
              </w:rPr>
              <w:t>km</w:t>
            </w:r>
          </w:p>
        </w:tc>
        <w:tc>
          <w:tcPr>
            <w:tcW w:w="949" w:type="dxa"/>
            <w:vAlign w:val="top"/>
          </w:tcPr>
          <w:p w14:paraId="55A0B99D">
            <w:pPr>
              <w:pStyle w:val="6"/>
              <w:spacing w:before="41" w:line="166" w:lineRule="auto"/>
              <w:ind w:left="98"/>
              <w:rPr>
                <w:sz w:val="21"/>
                <w:szCs w:val="21"/>
              </w:rPr>
            </w:pPr>
            <w:r>
              <w:rPr>
                <w:spacing w:val="-3"/>
                <w:sz w:val="21"/>
                <w:szCs w:val="21"/>
              </w:rPr>
              <w:t>6.4</w:t>
            </w:r>
          </w:p>
        </w:tc>
        <w:tc>
          <w:tcPr>
            <w:tcW w:w="519" w:type="dxa"/>
            <w:vAlign w:val="top"/>
          </w:tcPr>
          <w:p w14:paraId="619929D4">
            <w:pPr>
              <w:spacing w:line="230" w:lineRule="exact"/>
              <w:rPr>
                <w:rFonts w:ascii="Arial"/>
                <w:sz w:val="20"/>
              </w:rPr>
            </w:pPr>
          </w:p>
        </w:tc>
        <w:tc>
          <w:tcPr>
            <w:tcW w:w="354" w:type="dxa"/>
            <w:vMerge w:val="continue"/>
            <w:tcBorders>
              <w:top w:val="nil"/>
              <w:bottom w:val="nil"/>
            </w:tcBorders>
            <w:vAlign w:val="top"/>
          </w:tcPr>
          <w:p w14:paraId="0AEFA83B">
            <w:pPr>
              <w:rPr>
                <w:rFonts w:ascii="Arial"/>
                <w:sz w:val="21"/>
              </w:rPr>
            </w:pPr>
          </w:p>
        </w:tc>
      </w:tr>
      <w:tr w14:paraId="1C66E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674" w:type="dxa"/>
            <w:vMerge w:val="continue"/>
            <w:tcBorders>
              <w:top w:val="nil"/>
              <w:bottom w:val="nil"/>
            </w:tcBorders>
            <w:vAlign w:val="top"/>
          </w:tcPr>
          <w:p w14:paraId="69C6C5B8">
            <w:pPr>
              <w:rPr>
                <w:rFonts w:ascii="Arial"/>
                <w:sz w:val="21"/>
              </w:rPr>
            </w:pPr>
          </w:p>
        </w:tc>
        <w:tc>
          <w:tcPr>
            <w:tcW w:w="370" w:type="dxa"/>
            <w:vMerge w:val="continue"/>
            <w:tcBorders>
              <w:top w:val="nil"/>
              <w:bottom w:val="nil"/>
            </w:tcBorders>
            <w:vAlign w:val="top"/>
          </w:tcPr>
          <w:p w14:paraId="6F317085">
            <w:pPr>
              <w:rPr>
                <w:rFonts w:ascii="Arial"/>
                <w:sz w:val="21"/>
              </w:rPr>
            </w:pPr>
          </w:p>
        </w:tc>
        <w:tc>
          <w:tcPr>
            <w:tcW w:w="909" w:type="dxa"/>
            <w:vAlign w:val="top"/>
          </w:tcPr>
          <w:p w14:paraId="0E331192">
            <w:pPr>
              <w:pStyle w:val="6"/>
              <w:spacing w:before="40" w:line="167" w:lineRule="auto"/>
              <w:ind w:left="81"/>
              <w:rPr>
                <w:sz w:val="21"/>
                <w:szCs w:val="21"/>
              </w:rPr>
            </w:pPr>
            <w:r>
              <w:rPr>
                <w:spacing w:val="-4"/>
                <w:sz w:val="21"/>
                <w:szCs w:val="21"/>
              </w:rPr>
              <w:t>1.3.8</w:t>
            </w:r>
          </w:p>
        </w:tc>
        <w:tc>
          <w:tcPr>
            <w:tcW w:w="4625" w:type="dxa"/>
            <w:vAlign w:val="top"/>
          </w:tcPr>
          <w:p w14:paraId="71937807">
            <w:pPr>
              <w:pStyle w:val="6"/>
              <w:spacing w:before="18" w:line="186" w:lineRule="auto"/>
              <w:ind w:left="141"/>
              <w:rPr>
                <w:sz w:val="21"/>
                <w:szCs w:val="21"/>
              </w:rPr>
            </w:pPr>
            <w:r>
              <w:rPr>
                <w:spacing w:val="-1"/>
                <w:sz w:val="21"/>
                <w:szCs w:val="21"/>
              </w:rPr>
              <w:t>ZC-YJLHV23-1.8/3kV-3*240mm2</w:t>
            </w:r>
          </w:p>
        </w:tc>
        <w:tc>
          <w:tcPr>
            <w:tcW w:w="669" w:type="dxa"/>
            <w:vAlign w:val="top"/>
          </w:tcPr>
          <w:p w14:paraId="0EE4B558">
            <w:pPr>
              <w:pStyle w:val="6"/>
              <w:spacing w:before="40" w:line="167" w:lineRule="auto"/>
              <w:ind w:left="116"/>
              <w:rPr>
                <w:sz w:val="21"/>
                <w:szCs w:val="21"/>
              </w:rPr>
            </w:pPr>
            <w:r>
              <w:rPr>
                <w:spacing w:val="-2"/>
                <w:sz w:val="21"/>
                <w:szCs w:val="21"/>
              </w:rPr>
              <w:t>km</w:t>
            </w:r>
          </w:p>
        </w:tc>
        <w:tc>
          <w:tcPr>
            <w:tcW w:w="949" w:type="dxa"/>
            <w:vAlign w:val="top"/>
          </w:tcPr>
          <w:p w14:paraId="443AC4B8">
            <w:pPr>
              <w:pStyle w:val="6"/>
              <w:spacing w:before="40" w:line="167" w:lineRule="auto"/>
              <w:ind w:left="98"/>
              <w:rPr>
                <w:sz w:val="21"/>
                <w:szCs w:val="21"/>
              </w:rPr>
            </w:pPr>
            <w:r>
              <w:rPr>
                <w:spacing w:val="-4"/>
                <w:sz w:val="21"/>
                <w:szCs w:val="21"/>
              </w:rPr>
              <w:t>10.00</w:t>
            </w:r>
          </w:p>
        </w:tc>
        <w:tc>
          <w:tcPr>
            <w:tcW w:w="519" w:type="dxa"/>
            <w:vAlign w:val="top"/>
          </w:tcPr>
          <w:p w14:paraId="73B5AE6F">
            <w:pPr>
              <w:spacing w:line="230" w:lineRule="exact"/>
              <w:rPr>
                <w:rFonts w:ascii="Arial"/>
                <w:sz w:val="20"/>
              </w:rPr>
            </w:pPr>
          </w:p>
        </w:tc>
        <w:tc>
          <w:tcPr>
            <w:tcW w:w="354" w:type="dxa"/>
            <w:vMerge w:val="continue"/>
            <w:tcBorders>
              <w:top w:val="nil"/>
              <w:bottom w:val="nil"/>
            </w:tcBorders>
            <w:vAlign w:val="top"/>
          </w:tcPr>
          <w:p w14:paraId="13D3798D">
            <w:pPr>
              <w:rPr>
                <w:rFonts w:ascii="Arial"/>
                <w:sz w:val="21"/>
              </w:rPr>
            </w:pPr>
          </w:p>
        </w:tc>
      </w:tr>
      <w:tr w14:paraId="7EB94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674" w:type="dxa"/>
            <w:vMerge w:val="continue"/>
            <w:tcBorders>
              <w:top w:val="nil"/>
              <w:bottom w:val="nil"/>
            </w:tcBorders>
            <w:vAlign w:val="top"/>
          </w:tcPr>
          <w:p w14:paraId="76708A81">
            <w:pPr>
              <w:rPr>
                <w:rFonts w:ascii="Arial"/>
                <w:sz w:val="21"/>
              </w:rPr>
            </w:pPr>
          </w:p>
        </w:tc>
        <w:tc>
          <w:tcPr>
            <w:tcW w:w="370" w:type="dxa"/>
            <w:vMerge w:val="continue"/>
            <w:tcBorders>
              <w:top w:val="nil"/>
              <w:bottom w:val="nil"/>
            </w:tcBorders>
            <w:vAlign w:val="top"/>
          </w:tcPr>
          <w:p w14:paraId="23706C23">
            <w:pPr>
              <w:rPr>
                <w:rFonts w:ascii="Arial"/>
                <w:sz w:val="21"/>
              </w:rPr>
            </w:pPr>
          </w:p>
        </w:tc>
        <w:tc>
          <w:tcPr>
            <w:tcW w:w="909" w:type="dxa"/>
            <w:vAlign w:val="top"/>
          </w:tcPr>
          <w:p w14:paraId="4533BA14">
            <w:pPr>
              <w:pStyle w:val="6"/>
              <w:spacing w:before="41" w:line="166" w:lineRule="auto"/>
              <w:ind w:left="81"/>
              <w:rPr>
                <w:sz w:val="21"/>
                <w:szCs w:val="21"/>
              </w:rPr>
            </w:pPr>
            <w:r>
              <w:rPr>
                <w:spacing w:val="-4"/>
                <w:sz w:val="21"/>
                <w:szCs w:val="21"/>
              </w:rPr>
              <w:t>1.3.9</w:t>
            </w:r>
          </w:p>
        </w:tc>
        <w:tc>
          <w:tcPr>
            <w:tcW w:w="4625" w:type="dxa"/>
            <w:vAlign w:val="top"/>
          </w:tcPr>
          <w:p w14:paraId="599C6107">
            <w:pPr>
              <w:pStyle w:val="6"/>
              <w:spacing w:before="18" w:line="186" w:lineRule="auto"/>
              <w:ind w:left="141"/>
              <w:rPr>
                <w:sz w:val="21"/>
                <w:szCs w:val="21"/>
              </w:rPr>
            </w:pPr>
            <w:r>
              <w:rPr>
                <w:spacing w:val="-1"/>
                <w:sz w:val="21"/>
                <w:szCs w:val="21"/>
              </w:rPr>
              <w:t>ZC-YJLHV23-1.8/3kV-3*300mm2</w:t>
            </w:r>
          </w:p>
        </w:tc>
        <w:tc>
          <w:tcPr>
            <w:tcW w:w="669" w:type="dxa"/>
            <w:vAlign w:val="top"/>
          </w:tcPr>
          <w:p w14:paraId="1251F6B9">
            <w:pPr>
              <w:pStyle w:val="6"/>
              <w:spacing w:before="41" w:line="166" w:lineRule="auto"/>
              <w:ind w:left="116"/>
              <w:rPr>
                <w:sz w:val="21"/>
                <w:szCs w:val="21"/>
              </w:rPr>
            </w:pPr>
            <w:r>
              <w:rPr>
                <w:spacing w:val="-2"/>
                <w:sz w:val="21"/>
                <w:szCs w:val="21"/>
              </w:rPr>
              <w:t>km</w:t>
            </w:r>
          </w:p>
        </w:tc>
        <w:tc>
          <w:tcPr>
            <w:tcW w:w="949" w:type="dxa"/>
            <w:vAlign w:val="top"/>
          </w:tcPr>
          <w:p w14:paraId="233FDB6A">
            <w:pPr>
              <w:pStyle w:val="6"/>
              <w:spacing w:before="41" w:line="166" w:lineRule="auto"/>
              <w:ind w:left="98"/>
              <w:rPr>
                <w:sz w:val="21"/>
                <w:szCs w:val="21"/>
              </w:rPr>
            </w:pPr>
            <w:r>
              <w:rPr>
                <w:spacing w:val="-4"/>
                <w:sz w:val="21"/>
                <w:szCs w:val="21"/>
              </w:rPr>
              <w:t>11.00</w:t>
            </w:r>
          </w:p>
        </w:tc>
        <w:tc>
          <w:tcPr>
            <w:tcW w:w="519" w:type="dxa"/>
            <w:vAlign w:val="top"/>
          </w:tcPr>
          <w:p w14:paraId="57AA8203">
            <w:pPr>
              <w:spacing w:line="230" w:lineRule="exact"/>
              <w:rPr>
                <w:rFonts w:ascii="Arial"/>
                <w:sz w:val="20"/>
              </w:rPr>
            </w:pPr>
          </w:p>
        </w:tc>
        <w:tc>
          <w:tcPr>
            <w:tcW w:w="354" w:type="dxa"/>
            <w:vMerge w:val="continue"/>
            <w:tcBorders>
              <w:top w:val="nil"/>
              <w:bottom w:val="nil"/>
            </w:tcBorders>
            <w:vAlign w:val="top"/>
          </w:tcPr>
          <w:p w14:paraId="0B5E84F0">
            <w:pPr>
              <w:rPr>
                <w:rFonts w:ascii="Arial"/>
                <w:sz w:val="21"/>
              </w:rPr>
            </w:pPr>
          </w:p>
        </w:tc>
      </w:tr>
      <w:tr w14:paraId="7B704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74" w:type="dxa"/>
            <w:vMerge w:val="continue"/>
            <w:tcBorders>
              <w:top w:val="nil"/>
              <w:bottom w:val="nil"/>
            </w:tcBorders>
            <w:vAlign w:val="top"/>
          </w:tcPr>
          <w:p w14:paraId="28892E95">
            <w:pPr>
              <w:rPr>
                <w:rFonts w:ascii="Arial"/>
                <w:sz w:val="21"/>
              </w:rPr>
            </w:pPr>
          </w:p>
        </w:tc>
        <w:tc>
          <w:tcPr>
            <w:tcW w:w="370" w:type="dxa"/>
            <w:vMerge w:val="continue"/>
            <w:tcBorders>
              <w:top w:val="nil"/>
              <w:bottom w:val="nil"/>
            </w:tcBorders>
            <w:vAlign w:val="top"/>
          </w:tcPr>
          <w:p w14:paraId="65825E4E">
            <w:pPr>
              <w:rPr>
                <w:rFonts w:ascii="Arial"/>
                <w:sz w:val="21"/>
              </w:rPr>
            </w:pPr>
          </w:p>
        </w:tc>
        <w:tc>
          <w:tcPr>
            <w:tcW w:w="909" w:type="dxa"/>
            <w:vAlign w:val="top"/>
          </w:tcPr>
          <w:p w14:paraId="1945094B">
            <w:pPr>
              <w:pStyle w:val="6"/>
              <w:spacing w:before="70" w:line="192" w:lineRule="auto"/>
              <w:ind w:left="81"/>
              <w:rPr>
                <w:sz w:val="21"/>
                <w:szCs w:val="21"/>
              </w:rPr>
            </w:pPr>
            <w:r>
              <w:rPr>
                <w:spacing w:val="-4"/>
                <w:sz w:val="21"/>
                <w:szCs w:val="21"/>
              </w:rPr>
              <w:t>1.3.10</w:t>
            </w:r>
          </w:p>
        </w:tc>
        <w:tc>
          <w:tcPr>
            <w:tcW w:w="4625" w:type="dxa"/>
            <w:vAlign w:val="top"/>
          </w:tcPr>
          <w:p w14:paraId="3E29D471">
            <w:pPr>
              <w:pStyle w:val="6"/>
              <w:spacing w:before="47" w:line="212" w:lineRule="auto"/>
              <w:ind w:left="141"/>
              <w:rPr>
                <w:sz w:val="21"/>
                <w:szCs w:val="21"/>
              </w:rPr>
            </w:pPr>
            <w:r>
              <w:rPr>
                <w:spacing w:val="1"/>
                <w:sz w:val="21"/>
                <w:szCs w:val="21"/>
              </w:rPr>
              <w:t>集电线路</w:t>
            </w:r>
            <w:r>
              <w:rPr>
                <w:sz w:val="21"/>
                <w:szCs w:val="21"/>
              </w:rPr>
              <w:t>ZR</w:t>
            </w:r>
            <w:r>
              <w:rPr>
                <w:spacing w:val="1"/>
                <w:sz w:val="21"/>
                <w:szCs w:val="21"/>
              </w:rPr>
              <w:t>-</w:t>
            </w:r>
            <w:r>
              <w:rPr>
                <w:sz w:val="21"/>
                <w:szCs w:val="21"/>
              </w:rPr>
              <w:t>YJLHV</w:t>
            </w:r>
            <w:r>
              <w:rPr>
                <w:spacing w:val="1"/>
                <w:sz w:val="21"/>
                <w:szCs w:val="21"/>
              </w:rPr>
              <w:t>23-26/35-3x95</w:t>
            </w:r>
          </w:p>
        </w:tc>
        <w:tc>
          <w:tcPr>
            <w:tcW w:w="669" w:type="dxa"/>
            <w:vAlign w:val="top"/>
          </w:tcPr>
          <w:p w14:paraId="5F895F51">
            <w:pPr>
              <w:pStyle w:val="6"/>
              <w:spacing w:before="92" w:line="241" w:lineRule="auto"/>
              <w:ind w:left="96"/>
              <w:rPr>
                <w:sz w:val="15"/>
                <w:szCs w:val="15"/>
              </w:rPr>
            </w:pPr>
            <w:r>
              <w:rPr>
                <w:sz w:val="15"/>
                <w:szCs w:val="15"/>
              </w:rPr>
              <w:t>m</w:t>
            </w:r>
          </w:p>
        </w:tc>
        <w:tc>
          <w:tcPr>
            <w:tcW w:w="949" w:type="dxa"/>
            <w:vAlign w:val="top"/>
          </w:tcPr>
          <w:p w14:paraId="6A2EA404">
            <w:pPr>
              <w:pStyle w:val="6"/>
              <w:spacing w:before="70" w:line="192" w:lineRule="auto"/>
              <w:ind w:left="108"/>
              <w:rPr>
                <w:sz w:val="21"/>
                <w:szCs w:val="21"/>
              </w:rPr>
            </w:pPr>
            <w:r>
              <w:rPr>
                <w:spacing w:val="-2"/>
                <w:sz w:val="21"/>
                <w:szCs w:val="21"/>
              </w:rPr>
              <w:t>5504.00</w:t>
            </w:r>
          </w:p>
        </w:tc>
        <w:tc>
          <w:tcPr>
            <w:tcW w:w="519" w:type="dxa"/>
            <w:vAlign w:val="top"/>
          </w:tcPr>
          <w:p w14:paraId="3ADC13AE">
            <w:pPr>
              <w:rPr>
                <w:rFonts w:ascii="Arial"/>
                <w:sz w:val="21"/>
              </w:rPr>
            </w:pPr>
          </w:p>
        </w:tc>
        <w:tc>
          <w:tcPr>
            <w:tcW w:w="354" w:type="dxa"/>
            <w:vMerge w:val="continue"/>
            <w:tcBorders>
              <w:top w:val="nil"/>
              <w:bottom w:val="nil"/>
            </w:tcBorders>
            <w:vAlign w:val="top"/>
          </w:tcPr>
          <w:p w14:paraId="47C62B10">
            <w:pPr>
              <w:rPr>
                <w:rFonts w:ascii="Arial"/>
                <w:sz w:val="21"/>
              </w:rPr>
            </w:pPr>
          </w:p>
        </w:tc>
      </w:tr>
      <w:tr w14:paraId="2BB28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74" w:type="dxa"/>
            <w:vMerge w:val="continue"/>
            <w:tcBorders>
              <w:top w:val="nil"/>
              <w:bottom w:val="nil"/>
            </w:tcBorders>
            <w:vAlign w:val="top"/>
          </w:tcPr>
          <w:p w14:paraId="12DEA186">
            <w:pPr>
              <w:rPr>
                <w:rFonts w:ascii="Arial"/>
                <w:sz w:val="21"/>
              </w:rPr>
            </w:pPr>
          </w:p>
        </w:tc>
        <w:tc>
          <w:tcPr>
            <w:tcW w:w="370" w:type="dxa"/>
            <w:vMerge w:val="continue"/>
            <w:tcBorders>
              <w:top w:val="nil"/>
              <w:bottom w:val="nil"/>
            </w:tcBorders>
            <w:vAlign w:val="top"/>
          </w:tcPr>
          <w:p w14:paraId="55634FF5">
            <w:pPr>
              <w:rPr>
                <w:rFonts w:ascii="Arial"/>
                <w:sz w:val="21"/>
              </w:rPr>
            </w:pPr>
          </w:p>
        </w:tc>
        <w:tc>
          <w:tcPr>
            <w:tcW w:w="909" w:type="dxa"/>
            <w:vAlign w:val="top"/>
          </w:tcPr>
          <w:p w14:paraId="7E996DEC">
            <w:pPr>
              <w:pStyle w:val="6"/>
              <w:spacing w:before="61" w:line="192" w:lineRule="auto"/>
              <w:ind w:left="81"/>
              <w:rPr>
                <w:sz w:val="21"/>
                <w:szCs w:val="21"/>
              </w:rPr>
            </w:pPr>
            <w:r>
              <w:rPr>
                <w:spacing w:val="-4"/>
                <w:sz w:val="21"/>
                <w:szCs w:val="21"/>
              </w:rPr>
              <w:t>1.3.11</w:t>
            </w:r>
          </w:p>
        </w:tc>
        <w:tc>
          <w:tcPr>
            <w:tcW w:w="4625" w:type="dxa"/>
            <w:vAlign w:val="top"/>
          </w:tcPr>
          <w:p w14:paraId="45A1030C">
            <w:pPr>
              <w:pStyle w:val="6"/>
              <w:spacing w:before="38" w:line="212" w:lineRule="auto"/>
              <w:ind w:left="141"/>
              <w:rPr>
                <w:sz w:val="21"/>
                <w:szCs w:val="21"/>
              </w:rPr>
            </w:pPr>
            <w:r>
              <w:rPr>
                <w:spacing w:val="-1"/>
                <w:sz w:val="21"/>
                <w:szCs w:val="21"/>
              </w:rPr>
              <w:t>集电线路ZC-YJLHV23-26/35kV-3*120</w:t>
            </w:r>
          </w:p>
        </w:tc>
        <w:tc>
          <w:tcPr>
            <w:tcW w:w="669" w:type="dxa"/>
            <w:vAlign w:val="top"/>
          </w:tcPr>
          <w:p w14:paraId="1380C397">
            <w:pPr>
              <w:pStyle w:val="6"/>
              <w:spacing w:before="85" w:line="225" w:lineRule="auto"/>
              <w:ind w:left="86"/>
              <w:rPr>
                <w:sz w:val="16"/>
                <w:szCs w:val="16"/>
              </w:rPr>
            </w:pPr>
            <w:r>
              <w:rPr>
                <w:sz w:val="16"/>
                <w:szCs w:val="16"/>
              </w:rPr>
              <w:t>m</w:t>
            </w:r>
          </w:p>
        </w:tc>
        <w:tc>
          <w:tcPr>
            <w:tcW w:w="949" w:type="dxa"/>
            <w:vAlign w:val="top"/>
          </w:tcPr>
          <w:p w14:paraId="2FA62F66">
            <w:pPr>
              <w:pStyle w:val="6"/>
              <w:spacing w:before="61" w:line="192" w:lineRule="auto"/>
              <w:ind w:left="98"/>
              <w:rPr>
                <w:sz w:val="21"/>
                <w:szCs w:val="21"/>
              </w:rPr>
            </w:pPr>
            <w:r>
              <w:rPr>
                <w:spacing w:val="-3"/>
                <w:sz w:val="21"/>
                <w:szCs w:val="21"/>
              </w:rPr>
              <w:t>1966.00</w:t>
            </w:r>
          </w:p>
        </w:tc>
        <w:tc>
          <w:tcPr>
            <w:tcW w:w="519" w:type="dxa"/>
            <w:vAlign w:val="top"/>
          </w:tcPr>
          <w:p w14:paraId="23CAE082">
            <w:pPr>
              <w:rPr>
                <w:rFonts w:ascii="Arial"/>
                <w:sz w:val="21"/>
              </w:rPr>
            </w:pPr>
          </w:p>
        </w:tc>
        <w:tc>
          <w:tcPr>
            <w:tcW w:w="354" w:type="dxa"/>
            <w:vMerge w:val="continue"/>
            <w:tcBorders>
              <w:top w:val="nil"/>
              <w:bottom w:val="nil"/>
            </w:tcBorders>
            <w:vAlign w:val="top"/>
          </w:tcPr>
          <w:p w14:paraId="45A7DD00">
            <w:pPr>
              <w:rPr>
                <w:rFonts w:ascii="Arial"/>
                <w:sz w:val="21"/>
              </w:rPr>
            </w:pPr>
          </w:p>
        </w:tc>
      </w:tr>
      <w:tr w14:paraId="43019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1CFB1533">
            <w:pPr>
              <w:rPr>
                <w:rFonts w:ascii="Arial"/>
                <w:sz w:val="21"/>
              </w:rPr>
            </w:pPr>
          </w:p>
        </w:tc>
        <w:tc>
          <w:tcPr>
            <w:tcW w:w="370" w:type="dxa"/>
            <w:vMerge w:val="continue"/>
            <w:tcBorders>
              <w:top w:val="nil"/>
              <w:bottom w:val="nil"/>
            </w:tcBorders>
            <w:vAlign w:val="top"/>
          </w:tcPr>
          <w:p w14:paraId="1CAEBC02">
            <w:pPr>
              <w:rPr>
                <w:rFonts w:ascii="Arial"/>
                <w:sz w:val="21"/>
              </w:rPr>
            </w:pPr>
          </w:p>
        </w:tc>
        <w:tc>
          <w:tcPr>
            <w:tcW w:w="909" w:type="dxa"/>
            <w:vAlign w:val="top"/>
          </w:tcPr>
          <w:p w14:paraId="30918AFA">
            <w:pPr>
              <w:pStyle w:val="6"/>
              <w:spacing w:before="51" w:line="183" w:lineRule="auto"/>
              <w:ind w:left="81"/>
              <w:rPr>
                <w:sz w:val="21"/>
                <w:szCs w:val="21"/>
              </w:rPr>
            </w:pPr>
            <w:r>
              <w:rPr>
                <w:spacing w:val="-4"/>
                <w:sz w:val="21"/>
                <w:szCs w:val="21"/>
              </w:rPr>
              <w:t>1.3.12</w:t>
            </w:r>
          </w:p>
        </w:tc>
        <w:tc>
          <w:tcPr>
            <w:tcW w:w="4625" w:type="dxa"/>
            <w:vAlign w:val="top"/>
          </w:tcPr>
          <w:p w14:paraId="28095E91">
            <w:pPr>
              <w:pStyle w:val="6"/>
              <w:spacing w:before="29" w:line="203" w:lineRule="auto"/>
              <w:ind w:left="141"/>
              <w:rPr>
                <w:sz w:val="21"/>
                <w:szCs w:val="21"/>
              </w:rPr>
            </w:pPr>
            <w:r>
              <w:rPr>
                <w:spacing w:val="-1"/>
                <w:sz w:val="21"/>
                <w:szCs w:val="21"/>
              </w:rPr>
              <w:t>集电线路ZC-YJLHV23-26/35-3x240</w:t>
            </w:r>
          </w:p>
        </w:tc>
        <w:tc>
          <w:tcPr>
            <w:tcW w:w="669" w:type="dxa"/>
            <w:vAlign w:val="top"/>
          </w:tcPr>
          <w:p w14:paraId="4B5181DB">
            <w:pPr>
              <w:pStyle w:val="6"/>
              <w:spacing w:before="74" w:line="214" w:lineRule="auto"/>
              <w:ind w:left="86"/>
              <w:rPr>
                <w:sz w:val="16"/>
                <w:szCs w:val="16"/>
              </w:rPr>
            </w:pPr>
            <w:r>
              <w:rPr>
                <w:sz w:val="16"/>
                <w:szCs w:val="16"/>
              </w:rPr>
              <w:t>m</w:t>
            </w:r>
          </w:p>
        </w:tc>
        <w:tc>
          <w:tcPr>
            <w:tcW w:w="949" w:type="dxa"/>
            <w:vAlign w:val="top"/>
          </w:tcPr>
          <w:p w14:paraId="0CED7C94">
            <w:pPr>
              <w:pStyle w:val="6"/>
              <w:spacing w:before="51" w:line="183" w:lineRule="auto"/>
              <w:ind w:left="108"/>
              <w:rPr>
                <w:sz w:val="21"/>
                <w:szCs w:val="21"/>
              </w:rPr>
            </w:pPr>
            <w:r>
              <w:rPr>
                <w:spacing w:val="-2"/>
                <w:sz w:val="21"/>
                <w:szCs w:val="21"/>
              </w:rPr>
              <w:t>6360.00</w:t>
            </w:r>
          </w:p>
        </w:tc>
        <w:tc>
          <w:tcPr>
            <w:tcW w:w="519" w:type="dxa"/>
            <w:vAlign w:val="top"/>
          </w:tcPr>
          <w:p w14:paraId="61DEBA6C">
            <w:pPr>
              <w:rPr>
                <w:rFonts w:ascii="Arial"/>
                <w:sz w:val="21"/>
              </w:rPr>
            </w:pPr>
          </w:p>
        </w:tc>
        <w:tc>
          <w:tcPr>
            <w:tcW w:w="354" w:type="dxa"/>
            <w:vMerge w:val="continue"/>
            <w:tcBorders>
              <w:top w:val="nil"/>
              <w:bottom w:val="nil"/>
            </w:tcBorders>
            <w:vAlign w:val="top"/>
          </w:tcPr>
          <w:p w14:paraId="24D69471">
            <w:pPr>
              <w:rPr>
                <w:rFonts w:ascii="Arial"/>
                <w:sz w:val="21"/>
              </w:rPr>
            </w:pPr>
          </w:p>
        </w:tc>
      </w:tr>
      <w:tr w14:paraId="1D017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4E2BB081">
            <w:pPr>
              <w:rPr>
                <w:rFonts w:ascii="Arial"/>
                <w:sz w:val="21"/>
              </w:rPr>
            </w:pPr>
          </w:p>
        </w:tc>
        <w:tc>
          <w:tcPr>
            <w:tcW w:w="370" w:type="dxa"/>
            <w:vMerge w:val="continue"/>
            <w:tcBorders>
              <w:top w:val="nil"/>
              <w:bottom w:val="nil"/>
            </w:tcBorders>
            <w:vAlign w:val="top"/>
          </w:tcPr>
          <w:p w14:paraId="565C04A1">
            <w:pPr>
              <w:rPr>
                <w:rFonts w:ascii="Arial"/>
                <w:sz w:val="21"/>
              </w:rPr>
            </w:pPr>
          </w:p>
        </w:tc>
        <w:tc>
          <w:tcPr>
            <w:tcW w:w="909" w:type="dxa"/>
            <w:vAlign w:val="top"/>
          </w:tcPr>
          <w:p w14:paraId="11E96711">
            <w:pPr>
              <w:pStyle w:val="6"/>
              <w:spacing w:before="51" w:line="183" w:lineRule="auto"/>
              <w:ind w:left="81"/>
              <w:rPr>
                <w:sz w:val="21"/>
                <w:szCs w:val="21"/>
              </w:rPr>
            </w:pPr>
            <w:r>
              <w:rPr>
                <w:spacing w:val="-4"/>
                <w:sz w:val="21"/>
                <w:szCs w:val="21"/>
              </w:rPr>
              <w:t>1.3.13</w:t>
            </w:r>
          </w:p>
        </w:tc>
        <w:tc>
          <w:tcPr>
            <w:tcW w:w="4625" w:type="dxa"/>
            <w:vAlign w:val="top"/>
          </w:tcPr>
          <w:p w14:paraId="0271F502">
            <w:pPr>
              <w:pStyle w:val="6"/>
              <w:spacing w:before="29" w:line="203" w:lineRule="auto"/>
              <w:ind w:left="141"/>
              <w:rPr>
                <w:sz w:val="21"/>
                <w:szCs w:val="21"/>
              </w:rPr>
            </w:pPr>
            <w:r>
              <w:rPr>
                <w:spacing w:val="-1"/>
                <w:sz w:val="21"/>
                <w:szCs w:val="21"/>
              </w:rPr>
              <w:t>集电线路ZC-YJLHV23-26/35-3x400</w:t>
            </w:r>
          </w:p>
        </w:tc>
        <w:tc>
          <w:tcPr>
            <w:tcW w:w="669" w:type="dxa"/>
            <w:vAlign w:val="top"/>
          </w:tcPr>
          <w:p w14:paraId="48394034">
            <w:pPr>
              <w:pStyle w:val="6"/>
              <w:spacing w:before="74" w:line="214" w:lineRule="auto"/>
              <w:ind w:left="86"/>
              <w:rPr>
                <w:sz w:val="16"/>
                <w:szCs w:val="16"/>
              </w:rPr>
            </w:pPr>
            <w:r>
              <w:rPr>
                <w:sz w:val="16"/>
                <w:szCs w:val="16"/>
              </w:rPr>
              <w:t>m</w:t>
            </w:r>
          </w:p>
        </w:tc>
        <w:tc>
          <w:tcPr>
            <w:tcW w:w="949" w:type="dxa"/>
            <w:vAlign w:val="top"/>
          </w:tcPr>
          <w:p w14:paraId="1A873FB0">
            <w:pPr>
              <w:pStyle w:val="6"/>
              <w:spacing w:before="51" w:line="183" w:lineRule="auto"/>
              <w:ind w:left="98"/>
              <w:rPr>
                <w:sz w:val="21"/>
                <w:szCs w:val="21"/>
              </w:rPr>
            </w:pPr>
            <w:r>
              <w:rPr>
                <w:spacing w:val="-2"/>
                <w:sz w:val="21"/>
                <w:szCs w:val="21"/>
              </w:rPr>
              <w:t>800.00</w:t>
            </w:r>
          </w:p>
        </w:tc>
        <w:tc>
          <w:tcPr>
            <w:tcW w:w="519" w:type="dxa"/>
            <w:vAlign w:val="top"/>
          </w:tcPr>
          <w:p w14:paraId="1D9A5AE6">
            <w:pPr>
              <w:rPr>
                <w:rFonts w:ascii="Arial"/>
                <w:sz w:val="21"/>
              </w:rPr>
            </w:pPr>
          </w:p>
        </w:tc>
        <w:tc>
          <w:tcPr>
            <w:tcW w:w="354" w:type="dxa"/>
            <w:vMerge w:val="continue"/>
            <w:tcBorders>
              <w:top w:val="nil"/>
              <w:bottom w:val="nil"/>
            </w:tcBorders>
            <w:vAlign w:val="top"/>
          </w:tcPr>
          <w:p w14:paraId="38A5EE42">
            <w:pPr>
              <w:rPr>
                <w:rFonts w:ascii="Arial"/>
                <w:sz w:val="21"/>
              </w:rPr>
            </w:pPr>
          </w:p>
        </w:tc>
      </w:tr>
      <w:tr w14:paraId="56936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7E9C0CB1">
            <w:pPr>
              <w:rPr>
                <w:rFonts w:ascii="Arial"/>
                <w:sz w:val="21"/>
              </w:rPr>
            </w:pPr>
          </w:p>
        </w:tc>
        <w:tc>
          <w:tcPr>
            <w:tcW w:w="370" w:type="dxa"/>
            <w:vMerge w:val="continue"/>
            <w:tcBorders>
              <w:top w:val="nil"/>
              <w:bottom w:val="nil"/>
            </w:tcBorders>
            <w:vAlign w:val="top"/>
          </w:tcPr>
          <w:p w14:paraId="16F30991">
            <w:pPr>
              <w:rPr>
                <w:rFonts w:ascii="Arial"/>
                <w:sz w:val="21"/>
              </w:rPr>
            </w:pPr>
          </w:p>
        </w:tc>
        <w:tc>
          <w:tcPr>
            <w:tcW w:w="909" w:type="dxa"/>
            <w:vAlign w:val="top"/>
          </w:tcPr>
          <w:p w14:paraId="45335E14">
            <w:pPr>
              <w:pStyle w:val="6"/>
              <w:spacing w:before="51" w:line="183" w:lineRule="auto"/>
              <w:ind w:left="81"/>
              <w:rPr>
                <w:sz w:val="21"/>
                <w:szCs w:val="21"/>
              </w:rPr>
            </w:pPr>
            <w:r>
              <w:rPr>
                <w:spacing w:val="-4"/>
                <w:sz w:val="21"/>
                <w:szCs w:val="21"/>
              </w:rPr>
              <w:t>1.3.14</w:t>
            </w:r>
          </w:p>
        </w:tc>
        <w:tc>
          <w:tcPr>
            <w:tcW w:w="4625" w:type="dxa"/>
            <w:vAlign w:val="top"/>
          </w:tcPr>
          <w:p w14:paraId="377E6CD4">
            <w:pPr>
              <w:pStyle w:val="6"/>
              <w:spacing w:before="30" w:line="202" w:lineRule="auto"/>
              <w:ind w:left="141"/>
              <w:rPr>
                <w:sz w:val="21"/>
                <w:szCs w:val="21"/>
              </w:rPr>
            </w:pPr>
            <w:r>
              <w:rPr>
                <w:sz w:val="21"/>
                <w:szCs w:val="21"/>
              </w:rPr>
              <w:t>3kV电缆终端接头3X150户内冷缩型</w:t>
            </w:r>
          </w:p>
        </w:tc>
        <w:tc>
          <w:tcPr>
            <w:tcW w:w="669" w:type="dxa"/>
            <w:vAlign w:val="top"/>
          </w:tcPr>
          <w:p w14:paraId="34C53CBA">
            <w:pPr>
              <w:pStyle w:val="6"/>
              <w:spacing w:before="31" w:line="201" w:lineRule="auto"/>
              <w:ind w:left="106"/>
              <w:rPr>
                <w:sz w:val="21"/>
                <w:szCs w:val="21"/>
              </w:rPr>
            </w:pPr>
            <w:r>
              <w:rPr>
                <w:sz w:val="21"/>
                <w:szCs w:val="21"/>
              </w:rPr>
              <w:t>套</w:t>
            </w:r>
          </w:p>
        </w:tc>
        <w:tc>
          <w:tcPr>
            <w:tcW w:w="949" w:type="dxa"/>
            <w:vAlign w:val="top"/>
          </w:tcPr>
          <w:p w14:paraId="3B5817D8">
            <w:pPr>
              <w:pStyle w:val="6"/>
              <w:spacing w:before="51" w:line="183" w:lineRule="auto"/>
              <w:ind w:left="98"/>
              <w:rPr>
                <w:sz w:val="21"/>
                <w:szCs w:val="21"/>
              </w:rPr>
            </w:pPr>
            <w:r>
              <w:rPr>
                <w:spacing w:val="-2"/>
                <w:sz w:val="21"/>
                <w:szCs w:val="21"/>
              </w:rPr>
              <w:t>98.00</w:t>
            </w:r>
          </w:p>
        </w:tc>
        <w:tc>
          <w:tcPr>
            <w:tcW w:w="519" w:type="dxa"/>
            <w:vAlign w:val="top"/>
          </w:tcPr>
          <w:p w14:paraId="3FFAC6D2">
            <w:pPr>
              <w:rPr>
                <w:rFonts w:ascii="Arial"/>
                <w:sz w:val="21"/>
              </w:rPr>
            </w:pPr>
          </w:p>
        </w:tc>
        <w:tc>
          <w:tcPr>
            <w:tcW w:w="354" w:type="dxa"/>
            <w:vMerge w:val="continue"/>
            <w:tcBorders>
              <w:top w:val="nil"/>
              <w:bottom w:val="nil"/>
            </w:tcBorders>
            <w:vAlign w:val="top"/>
          </w:tcPr>
          <w:p w14:paraId="6F8E63A1">
            <w:pPr>
              <w:rPr>
                <w:rFonts w:ascii="Arial"/>
                <w:sz w:val="21"/>
              </w:rPr>
            </w:pPr>
          </w:p>
        </w:tc>
      </w:tr>
      <w:tr w14:paraId="2D674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74" w:type="dxa"/>
            <w:vMerge w:val="continue"/>
            <w:tcBorders>
              <w:top w:val="nil"/>
              <w:bottom w:val="nil"/>
            </w:tcBorders>
            <w:vAlign w:val="top"/>
          </w:tcPr>
          <w:p w14:paraId="6B4AE637">
            <w:pPr>
              <w:rPr>
                <w:rFonts w:ascii="Arial"/>
                <w:sz w:val="21"/>
              </w:rPr>
            </w:pPr>
          </w:p>
        </w:tc>
        <w:tc>
          <w:tcPr>
            <w:tcW w:w="370" w:type="dxa"/>
            <w:vMerge w:val="continue"/>
            <w:tcBorders>
              <w:top w:val="nil"/>
              <w:bottom w:val="nil"/>
            </w:tcBorders>
            <w:vAlign w:val="top"/>
          </w:tcPr>
          <w:p w14:paraId="71E84155">
            <w:pPr>
              <w:rPr>
                <w:rFonts w:ascii="Arial"/>
                <w:sz w:val="21"/>
              </w:rPr>
            </w:pPr>
          </w:p>
        </w:tc>
        <w:tc>
          <w:tcPr>
            <w:tcW w:w="909" w:type="dxa"/>
            <w:vAlign w:val="top"/>
          </w:tcPr>
          <w:p w14:paraId="7CB4D7C9">
            <w:pPr>
              <w:pStyle w:val="6"/>
              <w:spacing w:before="61" w:line="192" w:lineRule="auto"/>
              <w:ind w:left="81"/>
              <w:rPr>
                <w:sz w:val="21"/>
                <w:szCs w:val="21"/>
              </w:rPr>
            </w:pPr>
            <w:r>
              <w:rPr>
                <w:spacing w:val="-4"/>
                <w:sz w:val="21"/>
                <w:szCs w:val="21"/>
              </w:rPr>
              <w:t>1.3.15</w:t>
            </w:r>
          </w:p>
        </w:tc>
        <w:tc>
          <w:tcPr>
            <w:tcW w:w="4625" w:type="dxa"/>
            <w:vAlign w:val="top"/>
          </w:tcPr>
          <w:p w14:paraId="6BD9B530">
            <w:pPr>
              <w:pStyle w:val="6"/>
              <w:spacing w:before="39" w:line="211" w:lineRule="auto"/>
              <w:ind w:left="141"/>
              <w:rPr>
                <w:sz w:val="21"/>
                <w:szCs w:val="21"/>
              </w:rPr>
            </w:pPr>
            <w:r>
              <w:rPr>
                <w:sz w:val="21"/>
                <w:szCs w:val="21"/>
              </w:rPr>
              <w:t>3kV电缆终端接头3X185户内冷缩型</w:t>
            </w:r>
          </w:p>
        </w:tc>
        <w:tc>
          <w:tcPr>
            <w:tcW w:w="669" w:type="dxa"/>
            <w:vAlign w:val="top"/>
          </w:tcPr>
          <w:p w14:paraId="301171B4">
            <w:pPr>
              <w:pStyle w:val="6"/>
              <w:spacing w:before="41" w:line="210" w:lineRule="auto"/>
              <w:ind w:left="126"/>
              <w:rPr>
                <w:sz w:val="21"/>
                <w:szCs w:val="21"/>
              </w:rPr>
            </w:pPr>
            <w:r>
              <w:rPr>
                <w:sz w:val="21"/>
                <w:szCs w:val="21"/>
              </w:rPr>
              <w:t>套</w:t>
            </w:r>
          </w:p>
        </w:tc>
        <w:tc>
          <w:tcPr>
            <w:tcW w:w="949" w:type="dxa"/>
            <w:vAlign w:val="top"/>
          </w:tcPr>
          <w:p w14:paraId="2B257722">
            <w:pPr>
              <w:pStyle w:val="6"/>
              <w:spacing w:before="61" w:line="192" w:lineRule="auto"/>
              <w:ind w:left="98"/>
              <w:rPr>
                <w:sz w:val="21"/>
                <w:szCs w:val="21"/>
              </w:rPr>
            </w:pPr>
            <w:r>
              <w:rPr>
                <w:spacing w:val="-2"/>
                <w:sz w:val="21"/>
                <w:szCs w:val="21"/>
              </w:rPr>
              <w:t>80.00</w:t>
            </w:r>
          </w:p>
        </w:tc>
        <w:tc>
          <w:tcPr>
            <w:tcW w:w="519" w:type="dxa"/>
            <w:vAlign w:val="top"/>
          </w:tcPr>
          <w:p w14:paraId="0E7D9C6D">
            <w:pPr>
              <w:rPr>
                <w:rFonts w:ascii="Arial"/>
                <w:sz w:val="21"/>
              </w:rPr>
            </w:pPr>
          </w:p>
        </w:tc>
        <w:tc>
          <w:tcPr>
            <w:tcW w:w="354" w:type="dxa"/>
            <w:vMerge w:val="continue"/>
            <w:tcBorders>
              <w:top w:val="nil"/>
              <w:bottom w:val="nil"/>
            </w:tcBorders>
            <w:vAlign w:val="top"/>
          </w:tcPr>
          <w:p w14:paraId="4DC35BE0">
            <w:pPr>
              <w:rPr>
                <w:rFonts w:ascii="Arial"/>
                <w:sz w:val="21"/>
              </w:rPr>
            </w:pPr>
          </w:p>
        </w:tc>
      </w:tr>
      <w:tr w14:paraId="48EFB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74" w:type="dxa"/>
            <w:vMerge w:val="continue"/>
            <w:tcBorders>
              <w:top w:val="nil"/>
              <w:bottom w:val="nil"/>
            </w:tcBorders>
            <w:vAlign w:val="top"/>
          </w:tcPr>
          <w:p w14:paraId="12C6E735">
            <w:pPr>
              <w:rPr>
                <w:rFonts w:ascii="Arial"/>
                <w:sz w:val="21"/>
              </w:rPr>
            </w:pPr>
          </w:p>
        </w:tc>
        <w:tc>
          <w:tcPr>
            <w:tcW w:w="370" w:type="dxa"/>
            <w:vMerge w:val="continue"/>
            <w:tcBorders>
              <w:top w:val="nil"/>
              <w:bottom w:val="nil"/>
            </w:tcBorders>
            <w:vAlign w:val="top"/>
          </w:tcPr>
          <w:p w14:paraId="7CEAE67F">
            <w:pPr>
              <w:rPr>
                <w:rFonts w:ascii="Arial"/>
                <w:sz w:val="21"/>
              </w:rPr>
            </w:pPr>
          </w:p>
        </w:tc>
        <w:tc>
          <w:tcPr>
            <w:tcW w:w="909" w:type="dxa"/>
            <w:vAlign w:val="top"/>
          </w:tcPr>
          <w:p w14:paraId="7462B2A9">
            <w:pPr>
              <w:pStyle w:val="6"/>
              <w:spacing w:before="51" w:line="182" w:lineRule="auto"/>
              <w:ind w:left="81"/>
              <w:rPr>
                <w:sz w:val="21"/>
                <w:szCs w:val="21"/>
              </w:rPr>
            </w:pPr>
            <w:r>
              <w:rPr>
                <w:spacing w:val="-4"/>
                <w:sz w:val="21"/>
                <w:szCs w:val="21"/>
              </w:rPr>
              <w:t>1.3.16</w:t>
            </w:r>
          </w:p>
        </w:tc>
        <w:tc>
          <w:tcPr>
            <w:tcW w:w="4625" w:type="dxa"/>
            <w:vAlign w:val="top"/>
          </w:tcPr>
          <w:p w14:paraId="626D852D">
            <w:pPr>
              <w:pStyle w:val="6"/>
              <w:spacing w:before="30" w:line="201" w:lineRule="auto"/>
              <w:ind w:left="141"/>
              <w:rPr>
                <w:sz w:val="21"/>
                <w:szCs w:val="21"/>
              </w:rPr>
            </w:pPr>
            <w:r>
              <w:rPr>
                <w:sz w:val="21"/>
                <w:szCs w:val="21"/>
              </w:rPr>
              <w:t>3kV电缆终端接头3X240户内冷缩型</w:t>
            </w:r>
          </w:p>
        </w:tc>
        <w:tc>
          <w:tcPr>
            <w:tcW w:w="669" w:type="dxa"/>
            <w:vAlign w:val="top"/>
          </w:tcPr>
          <w:p w14:paraId="39763F1A">
            <w:pPr>
              <w:pStyle w:val="6"/>
              <w:spacing w:before="31" w:line="200" w:lineRule="auto"/>
              <w:ind w:left="126"/>
              <w:rPr>
                <w:sz w:val="21"/>
                <w:szCs w:val="21"/>
              </w:rPr>
            </w:pPr>
            <w:r>
              <w:rPr>
                <w:sz w:val="21"/>
                <w:szCs w:val="21"/>
              </w:rPr>
              <w:t>套</w:t>
            </w:r>
          </w:p>
        </w:tc>
        <w:tc>
          <w:tcPr>
            <w:tcW w:w="949" w:type="dxa"/>
            <w:vAlign w:val="top"/>
          </w:tcPr>
          <w:p w14:paraId="2E99E466">
            <w:pPr>
              <w:pStyle w:val="6"/>
              <w:spacing w:before="51" w:line="182" w:lineRule="auto"/>
              <w:ind w:left="98"/>
              <w:rPr>
                <w:sz w:val="21"/>
                <w:szCs w:val="21"/>
              </w:rPr>
            </w:pPr>
            <w:r>
              <w:rPr>
                <w:spacing w:val="-4"/>
                <w:sz w:val="21"/>
                <w:szCs w:val="21"/>
              </w:rPr>
              <w:t>100.00</w:t>
            </w:r>
          </w:p>
        </w:tc>
        <w:tc>
          <w:tcPr>
            <w:tcW w:w="519" w:type="dxa"/>
            <w:vAlign w:val="top"/>
          </w:tcPr>
          <w:p w14:paraId="30B29096">
            <w:pPr>
              <w:rPr>
                <w:rFonts w:ascii="Arial"/>
                <w:sz w:val="21"/>
              </w:rPr>
            </w:pPr>
          </w:p>
        </w:tc>
        <w:tc>
          <w:tcPr>
            <w:tcW w:w="354" w:type="dxa"/>
            <w:vMerge w:val="continue"/>
            <w:tcBorders>
              <w:top w:val="nil"/>
              <w:bottom w:val="nil"/>
            </w:tcBorders>
            <w:vAlign w:val="top"/>
          </w:tcPr>
          <w:p w14:paraId="6FDAE23A">
            <w:pPr>
              <w:rPr>
                <w:rFonts w:ascii="Arial"/>
                <w:sz w:val="21"/>
              </w:rPr>
            </w:pPr>
          </w:p>
        </w:tc>
      </w:tr>
      <w:tr w14:paraId="45DEC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328AF0C7">
            <w:pPr>
              <w:rPr>
                <w:rFonts w:ascii="Arial"/>
                <w:sz w:val="21"/>
              </w:rPr>
            </w:pPr>
          </w:p>
        </w:tc>
        <w:tc>
          <w:tcPr>
            <w:tcW w:w="370" w:type="dxa"/>
            <w:vMerge w:val="continue"/>
            <w:tcBorders>
              <w:top w:val="nil"/>
              <w:bottom w:val="nil"/>
            </w:tcBorders>
            <w:vAlign w:val="top"/>
          </w:tcPr>
          <w:p w14:paraId="614C54AF">
            <w:pPr>
              <w:rPr>
                <w:rFonts w:ascii="Arial"/>
                <w:sz w:val="21"/>
              </w:rPr>
            </w:pPr>
          </w:p>
        </w:tc>
        <w:tc>
          <w:tcPr>
            <w:tcW w:w="909" w:type="dxa"/>
            <w:vAlign w:val="top"/>
          </w:tcPr>
          <w:p w14:paraId="04217D64">
            <w:pPr>
              <w:pStyle w:val="6"/>
              <w:spacing w:before="52" w:line="182" w:lineRule="auto"/>
              <w:ind w:left="81"/>
              <w:rPr>
                <w:sz w:val="21"/>
                <w:szCs w:val="21"/>
              </w:rPr>
            </w:pPr>
            <w:r>
              <w:rPr>
                <w:spacing w:val="-4"/>
                <w:sz w:val="21"/>
                <w:szCs w:val="21"/>
              </w:rPr>
              <w:t>1.3.17</w:t>
            </w:r>
          </w:p>
        </w:tc>
        <w:tc>
          <w:tcPr>
            <w:tcW w:w="4625" w:type="dxa"/>
            <w:vAlign w:val="top"/>
          </w:tcPr>
          <w:p w14:paraId="37094B36">
            <w:pPr>
              <w:pStyle w:val="6"/>
              <w:spacing w:before="30" w:line="202" w:lineRule="auto"/>
              <w:ind w:left="141"/>
              <w:rPr>
                <w:sz w:val="21"/>
                <w:szCs w:val="21"/>
              </w:rPr>
            </w:pPr>
            <w:r>
              <w:rPr>
                <w:sz w:val="21"/>
                <w:szCs w:val="21"/>
              </w:rPr>
              <w:t>3kV电缆终端接头3X300户内冷缩型</w:t>
            </w:r>
          </w:p>
        </w:tc>
        <w:tc>
          <w:tcPr>
            <w:tcW w:w="669" w:type="dxa"/>
            <w:vAlign w:val="top"/>
          </w:tcPr>
          <w:p w14:paraId="4207AA3A">
            <w:pPr>
              <w:pStyle w:val="6"/>
              <w:spacing w:before="32" w:line="200" w:lineRule="auto"/>
              <w:ind w:left="126"/>
              <w:rPr>
                <w:sz w:val="21"/>
                <w:szCs w:val="21"/>
              </w:rPr>
            </w:pPr>
            <w:r>
              <w:rPr>
                <w:sz w:val="21"/>
                <w:szCs w:val="21"/>
              </w:rPr>
              <w:t>套</w:t>
            </w:r>
          </w:p>
        </w:tc>
        <w:tc>
          <w:tcPr>
            <w:tcW w:w="949" w:type="dxa"/>
            <w:vAlign w:val="top"/>
          </w:tcPr>
          <w:p w14:paraId="7898F0EF">
            <w:pPr>
              <w:pStyle w:val="6"/>
              <w:spacing w:before="52" w:line="182" w:lineRule="auto"/>
              <w:ind w:left="98"/>
              <w:rPr>
                <w:sz w:val="21"/>
                <w:szCs w:val="21"/>
              </w:rPr>
            </w:pPr>
            <w:r>
              <w:rPr>
                <w:spacing w:val="-2"/>
                <w:sz w:val="21"/>
                <w:szCs w:val="21"/>
              </w:rPr>
              <w:t>80.00</w:t>
            </w:r>
          </w:p>
        </w:tc>
        <w:tc>
          <w:tcPr>
            <w:tcW w:w="519" w:type="dxa"/>
            <w:vAlign w:val="top"/>
          </w:tcPr>
          <w:p w14:paraId="7ADC31DB">
            <w:pPr>
              <w:rPr>
                <w:rFonts w:ascii="Arial"/>
                <w:sz w:val="21"/>
              </w:rPr>
            </w:pPr>
          </w:p>
        </w:tc>
        <w:tc>
          <w:tcPr>
            <w:tcW w:w="354" w:type="dxa"/>
            <w:vMerge w:val="continue"/>
            <w:tcBorders>
              <w:top w:val="nil"/>
              <w:bottom w:val="nil"/>
            </w:tcBorders>
            <w:vAlign w:val="top"/>
          </w:tcPr>
          <w:p w14:paraId="24DAB58E">
            <w:pPr>
              <w:rPr>
                <w:rFonts w:ascii="Arial"/>
                <w:sz w:val="21"/>
              </w:rPr>
            </w:pPr>
          </w:p>
        </w:tc>
      </w:tr>
      <w:tr w14:paraId="57430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 w:hRule="atLeast"/>
        </w:trPr>
        <w:tc>
          <w:tcPr>
            <w:tcW w:w="674" w:type="dxa"/>
            <w:vMerge w:val="continue"/>
            <w:tcBorders>
              <w:top w:val="nil"/>
              <w:bottom w:val="nil"/>
            </w:tcBorders>
            <w:vAlign w:val="top"/>
          </w:tcPr>
          <w:p w14:paraId="03BB54F9">
            <w:pPr>
              <w:rPr>
                <w:rFonts w:ascii="Arial"/>
                <w:sz w:val="21"/>
              </w:rPr>
            </w:pPr>
          </w:p>
        </w:tc>
        <w:tc>
          <w:tcPr>
            <w:tcW w:w="370" w:type="dxa"/>
            <w:vMerge w:val="continue"/>
            <w:tcBorders>
              <w:top w:val="nil"/>
              <w:bottom w:val="nil"/>
            </w:tcBorders>
            <w:vAlign w:val="top"/>
          </w:tcPr>
          <w:p w14:paraId="6705EE79">
            <w:pPr>
              <w:rPr>
                <w:rFonts w:ascii="Arial"/>
                <w:sz w:val="21"/>
              </w:rPr>
            </w:pPr>
          </w:p>
        </w:tc>
        <w:tc>
          <w:tcPr>
            <w:tcW w:w="909" w:type="dxa"/>
            <w:vAlign w:val="top"/>
          </w:tcPr>
          <w:p w14:paraId="5AB78EA1">
            <w:pPr>
              <w:pStyle w:val="6"/>
              <w:spacing w:before="52" w:line="182" w:lineRule="auto"/>
              <w:ind w:left="81"/>
              <w:rPr>
                <w:sz w:val="21"/>
                <w:szCs w:val="21"/>
              </w:rPr>
            </w:pPr>
            <w:r>
              <w:rPr>
                <w:spacing w:val="-4"/>
                <w:sz w:val="21"/>
                <w:szCs w:val="21"/>
              </w:rPr>
              <w:t>1.3.18</w:t>
            </w:r>
          </w:p>
        </w:tc>
        <w:tc>
          <w:tcPr>
            <w:tcW w:w="4625" w:type="dxa"/>
            <w:vAlign w:val="top"/>
          </w:tcPr>
          <w:p w14:paraId="7DB3CF8B">
            <w:pPr>
              <w:pStyle w:val="6"/>
              <w:spacing w:before="30" w:line="202" w:lineRule="auto"/>
              <w:ind w:left="141"/>
              <w:rPr>
                <w:sz w:val="21"/>
                <w:szCs w:val="21"/>
              </w:rPr>
            </w:pPr>
            <w:r>
              <w:rPr>
                <w:spacing w:val="2"/>
                <w:sz w:val="21"/>
                <w:szCs w:val="21"/>
              </w:rPr>
              <w:t>电缆终端(配套</w:t>
            </w:r>
            <w:r>
              <w:rPr>
                <w:sz w:val="21"/>
                <w:szCs w:val="21"/>
              </w:rPr>
              <w:t>ZR</w:t>
            </w:r>
            <w:r>
              <w:rPr>
                <w:spacing w:val="2"/>
                <w:sz w:val="21"/>
                <w:szCs w:val="21"/>
              </w:rPr>
              <w:t>-</w:t>
            </w:r>
            <w:r>
              <w:rPr>
                <w:sz w:val="21"/>
                <w:szCs w:val="21"/>
              </w:rPr>
              <w:t>YJLHV</w:t>
            </w:r>
            <w:r>
              <w:rPr>
                <w:spacing w:val="2"/>
                <w:sz w:val="21"/>
                <w:szCs w:val="21"/>
              </w:rPr>
              <w:t>23-26/35-3x95)</w:t>
            </w:r>
          </w:p>
        </w:tc>
        <w:tc>
          <w:tcPr>
            <w:tcW w:w="669" w:type="dxa"/>
            <w:vAlign w:val="top"/>
          </w:tcPr>
          <w:p w14:paraId="21BAB976">
            <w:pPr>
              <w:pStyle w:val="6"/>
              <w:spacing w:before="32" w:line="200" w:lineRule="auto"/>
              <w:ind w:left="126"/>
              <w:rPr>
                <w:sz w:val="21"/>
                <w:szCs w:val="21"/>
              </w:rPr>
            </w:pPr>
            <w:r>
              <w:rPr>
                <w:sz w:val="21"/>
                <w:szCs w:val="21"/>
              </w:rPr>
              <w:t>套</w:t>
            </w:r>
          </w:p>
        </w:tc>
        <w:tc>
          <w:tcPr>
            <w:tcW w:w="949" w:type="dxa"/>
            <w:vAlign w:val="top"/>
          </w:tcPr>
          <w:p w14:paraId="7727797A">
            <w:pPr>
              <w:pStyle w:val="6"/>
              <w:spacing w:before="52" w:line="182" w:lineRule="auto"/>
              <w:ind w:left="98"/>
              <w:rPr>
                <w:sz w:val="21"/>
                <w:szCs w:val="21"/>
              </w:rPr>
            </w:pPr>
            <w:r>
              <w:rPr>
                <w:spacing w:val="-2"/>
                <w:sz w:val="21"/>
                <w:szCs w:val="21"/>
              </w:rPr>
              <w:t>42.00</w:t>
            </w:r>
          </w:p>
        </w:tc>
        <w:tc>
          <w:tcPr>
            <w:tcW w:w="519" w:type="dxa"/>
            <w:vAlign w:val="top"/>
          </w:tcPr>
          <w:p w14:paraId="0B61C8D5">
            <w:pPr>
              <w:rPr>
                <w:rFonts w:ascii="Arial"/>
                <w:sz w:val="21"/>
              </w:rPr>
            </w:pPr>
          </w:p>
        </w:tc>
        <w:tc>
          <w:tcPr>
            <w:tcW w:w="354" w:type="dxa"/>
            <w:vMerge w:val="continue"/>
            <w:tcBorders>
              <w:top w:val="nil"/>
              <w:bottom w:val="nil"/>
            </w:tcBorders>
            <w:vAlign w:val="top"/>
          </w:tcPr>
          <w:p w14:paraId="5A57265C">
            <w:pPr>
              <w:rPr>
                <w:rFonts w:ascii="Arial"/>
                <w:sz w:val="21"/>
              </w:rPr>
            </w:pPr>
          </w:p>
        </w:tc>
      </w:tr>
      <w:tr w14:paraId="3176C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74" w:type="dxa"/>
            <w:vMerge w:val="continue"/>
            <w:tcBorders>
              <w:top w:val="nil"/>
              <w:bottom w:val="nil"/>
            </w:tcBorders>
            <w:vAlign w:val="top"/>
          </w:tcPr>
          <w:p w14:paraId="1EC96F36">
            <w:pPr>
              <w:rPr>
                <w:rFonts w:ascii="Arial"/>
                <w:sz w:val="21"/>
              </w:rPr>
            </w:pPr>
          </w:p>
        </w:tc>
        <w:tc>
          <w:tcPr>
            <w:tcW w:w="370" w:type="dxa"/>
            <w:vMerge w:val="continue"/>
            <w:tcBorders>
              <w:top w:val="nil"/>
              <w:bottom w:val="nil"/>
            </w:tcBorders>
            <w:vAlign w:val="top"/>
          </w:tcPr>
          <w:p w14:paraId="5DC50F1E">
            <w:pPr>
              <w:rPr>
                <w:rFonts w:ascii="Arial"/>
                <w:sz w:val="21"/>
              </w:rPr>
            </w:pPr>
          </w:p>
        </w:tc>
        <w:tc>
          <w:tcPr>
            <w:tcW w:w="909" w:type="dxa"/>
            <w:vAlign w:val="top"/>
          </w:tcPr>
          <w:p w14:paraId="10853CDE">
            <w:pPr>
              <w:pStyle w:val="6"/>
              <w:spacing w:before="82" w:line="200" w:lineRule="auto"/>
              <w:ind w:left="81"/>
              <w:rPr>
                <w:sz w:val="21"/>
                <w:szCs w:val="21"/>
              </w:rPr>
            </w:pPr>
            <w:r>
              <w:rPr>
                <w:spacing w:val="-4"/>
                <w:sz w:val="21"/>
                <w:szCs w:val="21"/>
              </w:rPr>
              <w:t>1.3.19</w:t>
            </w:r>
          </w:p>
        </w:tc>
        <w:tc>
          <w:tcPr>
            <w:tcW w:w="4625" w:type="dxa"/>
            <w:vAlign w:val="top"/>
          </w:tcPr>
          <w:p w14:paraId="44DF9BD0">
            <w:pPr>
              <w:pStyle w:val="6"/>
              <w:spacing w:before="59" w:line="218" w:lineRule="auto"/>
              <w:ind w:left="141"/>
              <w:rPr>
                <w:sz w:val="21"/>
                <w:szCs w:val="21"/>
              </w:rPr>
            </w:pPr>
            <w:r>
              <w:rPr>
                <w:spacing w:val="2"/>
                <w:sz w:val="21"/>
                <w:szCs w:val="21"/>
              </w:rPr>
              <w:t>电缆终端(配套</w:t>
            </w:r>
            <w:r>
              <w:rPr>
                <w:sz w:val="21"/>
                <w:szCs w:val="21"/>
              </w:rPr>
              <w:t>ZR</w:t>
            </w:r>
            <w:r>
              <w:rPr>
                <w:spacing w:val="2"/>
                <w:sz w:val="21"/>
                <w:szCs w:val="21"/>
              </w:rPr>
              <w:t>-</w:t>
            </w:r>
            <w:r>
              <w:rPr>
                <w:sz w:val="21"/>
                <w:szCs w:val="21"/>
              </w:rPr>
              <w:t>YJLHV</w:t>
            </w:r>
            <w:r>
              <w:rPr>
                <w:spacing w:val="2"/>
                <w:sz w:val="21"/>
                <w:szCs w:val="21"/>
              </w:rPr>
              <w:t>23-26/35-3x120)</w:t>
            </w:r>
          </w:p>
        </w:tc>
        <w:tc>
          <w:tcPr>
            <w:tcW w:w="669" w:type="dxa"/>
            <w:vAlign w:val="top"/>
          </w:tcPr>
          <w:p w14:paraId="2490BA57">
            <w:pPr>
              <w:pStyle w:val="6"/>
              <w:spacing w:before="62" w:line="218" w:lineRule="auto"/>
              <w:ind w:left="126"/>
              <w:rPr>
                <w:sz w:val="21"/>
                <w:szCs w:val="21"/>
              </w:rPr>
            </w:pPr>
            <w:r>
              <w:rPr>
                <w:sz w:val="21"/>
                <w:szCs w:val="21"/>
              </w:rPr>
              <w:t>套</w:t>
            </w:r>
          </w:p>
        </w:tc>
        <w:tc>
          <w:tcPr>
            <w:tcW w:w="949" w:type="dxa"/>
            <w:vAlign w:val="top"/>
          </w:tcPr>
          <w:p w14:paraId="1823C67F">
            <w:pPr>
              <w:pStyle w:val="6"/>
              <w:spacing w:before="82" w:line="200" w:lineRule="auto"/>
              <w:ind w:left="98"/>
              <w:rPr>
                <w:sz w:val="21"/>
                <w:szCs w:val="21"/>
              </w:rPr>
            </w:pPr>
            <w:r>
              <w:rPr>
                <w:spacing w:val="-2"/>
                <w:sz w:val="21"/>
                <w:szCs w:val="21"/>
              </w:rPr>
              <w:t>30.00</w:t>
            </w:r>
          </w:p>
        </w:tc>
        <w:tc>
          <w:tcPr>
            <w:tcW w:w="519" w:type="dxa"/>
            <w:vAlign w:val="top"/>
          </w:tcPr>
          <w:p w14:paraId="3F571FD9">
            <w:pPr>
              <w:rPr>
                <w:rFonts w:ascii="Arial"/>
                <w:sz w:val="21"/>
              </w:rPr>
            </w:pPr>
          </w:p>
        </w:tc>
        <w:tc>
          <w:tcPr>
            <w:tcW w:w="354" w:type="dxa"/>
            <w:vMerge w:val="continue"/>
            <w:tcBorders>
              <w:top w:val="nil"/>
              <w:bottom w:val="nil"/>
            </w:tcBorders>
            <w:vAlign w:val="top"/>
          </w:tcPr>
          <w:p w14:paraId="6DAD234E">
            <w:pPr>
              <w:rPr>
                <w:rFonts w:ascii="Arial"/>
                <w:sz w:val="21"/>
              </w:rPr>
            </w:pPr>
          </w:p>
        </w:tc>
      </w:tr>
      <w:tr w14:paraId="6EB30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74" w:type="dxa"/>
            <w:vMerge w:val="continue"/>
            <w:tcBorders>
              <w:top w:val="nil"/>
              <w:bottom w:val="nil"/>
            </w:tcBorders>
            <w:vAlign w:val="top"/>
          </w:tcPr>
          <w:p w14:paraId="1204B839">
            <w:pPr>
              <w:rPr>
                <w:rFonts w:ascii="Arial"/>
                <w:sz w:val="21"/>
              </w:rPr>
            </w:pPr>
          </w:p>
        </w:tc>
        <w:tc>
          <w:tcPr>
            <w:tcW w:w="370" w:type="dxa"/>
            <w:vMerge w:val="continue"/>
            <w:tcBorders>
              <w:top w:val="nil"/>
              <w:bottom w:val="nil"/>
            </w:tcBorders>
            <w:vAlign w:val="top"/>
          </w:tcPr>
          <w:p w14:paraId="0A979B95">
            <w:pPr>
              <w:rPr>
                <w:rFonts w:ascii="Arial"/>
                <w:sz w:val="21"/>
              </w:rPr>
            </w:pPr>
          </w:p>
        </w:tc>
        <w:tc>
          <w:tcPr>
            <w:tcW w:w="909" w:type="dxa"/>
            <w:vAlign w:val="top"/>
          </w:tcPr>
          <w:p w14:paraId="50E1707C">
            <w:pPr>
              <w:pStyle w:val="6"/>
              <w:spacing w:before="53" w:line="181" w:lineRule="auto"/>
              <w:ind w:left="81"/>
              <w:rPr>
                <w:sz w:val="21"/>
                <w:szCs w:val="21"/>
              </w:rPr>
            </w:pPr>
            <w:r>
              <w:rPr>
                <w:spacing w:val="-4"/>
                <w:sz w:val="21"/>
                <w:szCs w:val="21"/>
              </w:rPr>
              <w:t>1.3.20</w:t>
            </w:r>
          </w:p>
        </w:tc>
        <w:tc>
          <w:tcPr>
            <w:tcW w:w="4625" w:type="dxa"/>
            <w:vAlign w:val="top"/>
          </w:tcPr>
          <w:p w14:paraId="1A379891">
            <w:pPr>
              <w:pStyle w:val="6"/>
              <w:spacing w:before="30" w:line="201" w:lineRule="auto"/>
              <w:ind w:left="141"/>
              <w:rPr>
                <w:sz w:val="21"/>
                <w:szCs w:val="21"/>
              </w:rPr>
            </w:pPr>
            <w:r>
              <w:rPr>
                <w:spacing w:val="2"/>
                <w:sz w:val="21"/>
                <w:szCs w:val="21"/>
              </w:rPr>
              <w:t>电缆终端(配套</w:t>
            </w:r>
            <w:r>
              <w:rPr>
                <w:sz w:val="21"/>
                <w:szCs w:val="21"/>
              </w:rPr>
              <w:t>ZR</w:t>
            </w:r>
            <w:r>
              <w:rPr>
                <w:spacing w:val="2"/>
                <w:sz w:val="21"/>
                <w:szCs w:val="21"/>
              </w:rPr>
              <w:t>-</w:t>
            </w:r>
            <w:r>
              <w:rPr>
                <w:sz w:val="21"/>
                <w:szCs w:val="21"/>
              </w:rPr>
              <w:t>YJLHV</w:t>
            </w:r>
            <w:r>
              <w:rPr>
                <w:spacing w:val="2"/>
                <w:sz w:val="21"/>
                <w:szCs w:val="21"/>
              </w:rPr>
              <w:t>23-26/35-3x240)</w:t>
            </w:r>
          </w:p>
        </w:tc>
        <w:tc>
          <w:tcPr>
            <w:tcW w:w="669" w:type="dxa"/>
            <w:vAlign w:val="top"/>
          </w:tcPr>
          <w:p w14:paraId="6A6E7729">
            <w:pPr>
              <w:pStyle w:val="6"/>
              <w:spacing w:before="32" w:line="199" w:lineRule="auto"/>
              <w:ind w:left="126"/>
              <w:rPr>
                <w:sz w:val="21"/>
                <w:szCs w:val="21"/>
              </w:rPr>
            </w:pPr>
            <w:r>
              <w:rPr>
                <w:sz w:val="21"/>
                <w:szCs w:val="21"/>
              </w:rPr>
              <w:t>套</w:t>
            </w:r>
          </w:p>
        </w:tc>
        <w:tc>
          <w:tcPr>
            <w:tcW w:w="949" w:type="dxa"/>
            <w:vAlign w:val="top"/>
          </w:tcPr>
          <w:p w14:paraId="1B020AE8">
            <w:pPr>
              <w:pStyle w:val="6"/>
              <w:spacing w:before="53" w:line="181" w:lineRule="auto"/>
              <w:ind w:left="98"/>
              <w:rPr>
                <w:sz w:val="21"/>
                <w:szCs w:val="21"/>
              </w:rPr>
            </w:pPr>
            <w:r>
              <w:rPr>
                <w:spacing w:val="-3"/>
                <w:sz w:val="21"/>
                <w:szCs w:val="21"/>
              </w:rPr>
              <w:t>2.00</w:t>
            </w:r>
          </w:p>
        </w:tc>
        <w:tc>
          <w:tcPr>
            <w:tcW w:w="519" w:type="dxa"/>
            <w:vAlign w:val="top"/>
          </w:tcPr>
          <w:p w14:paraId="3F43881F">
            <w:pPr>
              <w:rPr>
                <w:rFonts w:ascii="Arial"/>
                <w:sz w:val="21"/>
              </w:rPr>
            </w:pPr>
          </w:p>
        </w:tc>
        <w:tc>
          <w:tcPr>
            <w:tcW w:w="354" w:type="dxa"/>
            <w:vMerge w:val="continue"/>
            <w:tcBorders>
              <w:top w:val="nil"/>
              <w:bottom w:val="nil"/>
            </w:tcBorders>
            <w:vAlign w:val="top"/>
          </w:tcPr>
          <w:p w14:paraId="5A7457E4">
            <w:pPr>
              <w:rPr>
                <w:rFonts w:ascii="Arial"/>
                <w:sz w:val="21"/>
              </w:rPr>
            </w:pPr>
          </w:p>
        </w:tc>
      </w:tr>
      <w:tr w14:paraId="72935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74" w:type="dxa"/>
            <w:vMerge w:val="continue"/>
            <w:tcBorders>
              <w:top w:val="nil"/>
              <w:bottom w:val="nil"/>
            </w:tcBorders>
            <w:vAlign w:val="top"/>
          </w:tcPr>
          <w:p w14:paraId="5E447D63">
            <w:pPr>
              <w:rPr>
                <w:rFonts w:ascii="Arial"/>
                <w:sz w:val="21"/>
              </w:rPr>
            </w:pPr>
          </w:p>
        </w:tc>
        <w:tc>
          <w:tcPr>
            <w:tcW w:w="370" w:type="dxa"/>
            <w:vMerge w:val="continue"/>
            <w:tcBorders>
              <w:top w:val="nil"/>
              <w:bottom w:val="nil"/>
            </w:tcBorders>
            <w:vAlign w:val="top"/>
          </w:tcPr>
          <w:p w14:paraId="65D9E343">
            <w:pPr>
              <w:rPr>
                <w:rFonts w:ascii="Arial"/>
                <w:sz w:val="21"/>
              </w:rPr>
            </w:pPr>
          </w:p>
        </w:tc>
        <w:tc>
          <w:tcPr>
            <w:tcW w:w="909" w:type="dxa"/>
            <w:vAlign w:val="top"/>
          </w:tcPr>
          <w:p w14:paraId="04F27A63">
            <w:pPr>
              <w:pStyle w:val="6"/>
              <w:spacing w:before="83" w:line="208" w:lineRule="auto"/>
              <w:ind w:left="81"/>
              <w:rPr>
                <w:sz w:val="21"/>
                <w:szCs w:val="21"/>
              </w:rPr>
            </w:pPr>
            <w:r>
              <w:rPr>
                <w:spacing w:val="-4"/>
                <w:sz w:val="21"/>
                <w:szCs w:val="21"/>
              </w:rPr>
              <w:t>1.3.21</w:t>
            </w:r>
          </w:p>
        </w:tc>
        <w:tc>
          <w:tcPr>
            <w:tcW w:w="4625" w:type="dxa"/>
            <w:vAlign w:val="top"/>
          </w:tcPr>
          <w:p w14:paraId="5D88DA4F">
            <w:pPr>
              <w:pStyle w:val="6"/>
              <w:spacing w:before="60" w:line="218" w:lineRule="auto"/>
              <w:ind w:left="141"/>
              <w:rPr>
                <w:sz w:val="21"/>
                <w:szCs w:val="21"/>
              </w:rPr>
            </w:pPr>
            <w:r>
              <w:rPr>
                <w:spacing w:val="2"/>
                <w:sz w:val="21"/>
                <w:szCs w:val="21"/>
              </w:rPr>
              <w:t>电缆终端(配套</w:t>
            </w:r>
            <w:r>
              <w:rPr>
                <w:sz w:val="21"/>
                <w:szCs w:val="21"/>
              </w:rPr>
              <w:t>ZR</w:t>
            </w:r>
            <w:r>
              <w:rPr>
                <w:spacing w:val="2"/>
                <w:sz w:val="21"/>
                <w:szCs w:val="21"/>
              </w:rPr>
              <w:t>-</w:t>
            </w:r>
            <w:r>
              <w:rPr>
                <w:sz w:val="21"/>
                <w:szCs w:val="21"/>
              </w:rPr>
              <w:t>YJLHV</w:t>
            </w:r>
            <w:r>
              <w:rPr>
                <w:spacing w:val="2"/>
                <w:sz w:val="21"/>
                <w:szCs w:val="21"/>
              </w:rPr>
              <w:t>23-26/35-3x400)</w:t>
            </w:r>
          </w:p>
        </w:tc>
        <w:tc>
          <w:tcPr>
            <w:tcW w:w="669" w:type="dxa"/>
            <w:vAlign w:val="top"/>
          </w:tcPr>
          <w:p w14:paraId="0F5E3DDE">
            <w:pPr>
              <w:pStyle w:val="6"/>
              <w:spacing w:before="63" w:line="220" w:lineRule="auto"/>
              <w:ind w:left="126"/>
              <w:rPr>
                <w:sz w:val="21"/>
                <w:szCs w:val="21"/>
              </w:rPr>
            </w:pPr>
            <w:r>
              <w:rPr>
                <w:sz w:val="21"/>
                <w:szCs w:val="21"/>
              </w:rPr>
              <w:t>套</w:t>
            </w:r>
          </w:p>
        </w:tc>
        <w:tc>
          <w:tcPr>
            <w:tcW w:w="949" w:type="dxa"/>
            <w:vAlign w:val="top"/>
          </w:tcPr>
          <w:p w14:paraId="3F0BC1AD">
            <w:pPr>
              <w:pStyle w:val="6"/>
              <w:spacing w:before="83" w:line="208" w:lineRule="auto"/>
              <w:ind w:left="98"/>
              <w:rPr>
                <w:sz w:val="21"/>
                <w:szCs w:val="21"/>
              </w:rPr>
            </w:pPr>
            <w:r>
              <w:rPr>
                <w:spacing w:val="-2"/>
                <w:sz w:val="21"/>
                <w:szCs w:val="21"/>
              </w:rPr>
              <w:t>4.00</w:t>
            </w:r>
          </w:p>
        </w:tc>
        <w:tc>
          <w:tcPr>
            <w:tcW w:w="519" w:type="dxa"/>
            <w:vAlign w:val="top"/>
          </w:tcPr>
          <w:p w14:paraId="3A6D698A">
            <w:pPr>
              <w:rPr>
                <w:rFonts w:ascii="Arial"/>
                <w:sz w:val="21"/>
              </w:rPr>
            </w:pPr>
          </w:p>
        </w:tc>
        <w:tc>
          <w:tcPr>
            <w:tcW w:w="354" w:type="dxa"/>
            <w:vMerge w:val="continue"/>
            <w:tcBorders>
              <w:top w:val="nil"/>
              <w:bottom w:val="nil"/>
            </w:tcBorders>
            <w:vAlign w:val="top"/>
          </w:tcPr>
          <w:p w14:paraId="401B2579">
            <w:pPr>
              <w:rPr>
                <w:rFonts w:ascii="Arial"/>
                <w:sz w:val="21"/>
              </w:rPr>
            </w:pPr>
          </w:p>
        </w:tc>
      </w:tr>
      <w:tr w14:paraId="609D6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74" w:type="dxa"/>
            <w:vMerge w:val="continue"/>
            <w:tcBorders>
              <w:top w:val="nil"/>
              <w:bottom w:val="nil"/>
            </w:tcBorders>
            <w:vAlign w:val="top"/>
          </w:tcPr>
          <w:p w14:paraId="30C2F489">
            <w:pPr>
              <w:rPr>
                <w:rFonts w:ascii="Arial"/>
                <w:sz w:val="21"/>
              </w:rPr>
            </w:pPr>
          </w:p>
        </w:tc>
        <w:tc>
          <w:tcPr>
            <w:tcW w:w="370" w:type="dxa"/>
            <w:vMerge w:val="continue"/>
            <w:tcBorders>
              <w:top w:val="nil"/>
              <w:bottom w:val="nil"/>
            </w:tcBorders>
            <w:vAlign w:val="top"/>
          </w:tcPr>
          <w:p w14:paraId="052CDF95">
            <w:pPr>
              <w:rPr>
                <w:rFonts w:ascii="Arial"/>
                <w:sz w:val="21"/>
              </w:rPr>
            </w:pPr>
          </w:p>
        </w:tc>
        <w:tc>
          <w:tcPr>
            <w:tcW w:w="909" w:type="dxa"/>
            <w:vAlign w:val="top"/>
          </w:tcPr>
          <w:p w14:paraId="238B41BE">
            <w:pPr>
              <w:pStyle w:val="6"/>
              <w:spacing w:before="53" w:line="173" w:lineRule="auto"/>
              <w:ind w:left="81"/>
              <w:rPr>
                <w:sz w:val="21"/>
                <w:szCs w:val="21"/>
              </w:rPr>
            </w:pPr>
            <w:r>
              <w:rPr>
                <w:spacing w:val="-4"/>
                <w:sz w:val="21"/>
                <w:szCs w:val="21"/>
              </w:rPr>
              <w:t>1.3.22</w:t>
            </w:r>
          </w:p>
        </w:tc>
        <w:tc>
          <w:tcPr>
            <w:tcW w:w="4625" w:type="dxa"/>
            <w:vAlign w:val="top"/>
          </w:tcPr>
          <w:p w14:paraId="1D40A85E">
            <w:pPr>
              <w:pStyle w:val="6"/>
              <w:spacing w:before="31" w:line="192" w:lineRule="auto"/>
              <w:ind w:left="141"/>
              <w:rPr>
                <w:sz w:val="21"/>
                <w:szCs w:val="21"/>
              </w:rPr>
            </w:pPr>
            <w:r>
              <w:rPr>
                <w:spacing w:val="1"/>
                <w:sz w:val="21"/>
                <w:szCs w:val="21"/>
              </w:rPr>
              <w:t>35</w:t>
            </w:r>
            <w:r>
              <w:rPr>
                <w:sz w:val="21"/>
                <w:szCs w:val="21"/>
              </w:rPr>
              <w:t>kV</w:t>
            </w:r>
            <w:r>
              <w:rPr>
                <w:spacing w:val="1"/>
                <w:sz w:val="21"/>
                <w:szCs w:val="21"/>
              </w:rPr>
              <w:t>电缆中间接头冷缩型3×95</w:t>
            </w:r>
          </w:p>
        </w:tc>
        <w:tc>
          <w:tcPr>
            <w:tcW w:w="669" w:type="dxa"/>
            <w:vAlign w:val="top"/>
          </w:tcPr>
          <w:p w14:paraId="11D3574B">
            <w:pPr>
              <w:pStyle w:val="6"/>
              <w:spacing w:before="32" w:line="191" w:lineRule="auto"/>
              <w:ind w:left="126"/>
              <w:rPr>
                <w:sz w:val="21"/>
                <w:szCs w:val="21"/>
              </w:rPr>
            </w:pPr>
            <w:r>
              <w:rPr>
                <w:sz w:val="21"/>
                <w:szCs w:val="21"/>
              </w:rPr>
              <w:t>套</w:t>
            </w:r>
          </w:p>
        </w:tc>
        <w:tc>
          <w:tcPr>
            <w:tcW w:w="949" w:type="dxa"/>
            <w:vAlign w:val="top"/>
          </w:tcPr>
          <w:p w14:paraId="34DDF242">
            <w:pPr>
              <w:pStyle w:val="6"/>
              <w:spacing w:before="53" w:line="173" w:lineRule="auto"/>
              <w:ind w:left="98"/>
              <w:rPr>
                <w:sz w:val="21"/>
                <w:szCs w:val="21"/>
              </w:rPr>
            </w:pPr>
            <w:r>
              <w:rPr>
                <w:spacing w:val="-3"/>
                <w:sz w:val="21"/>
                <w:szCs w:val="21"/>
              </w:rPr>
              <w:t>2.00</w:t>
            </w:r>
          </w:p>
        </w:tc>
        <w:tc>
          <w:tcPr>
            <w:tcW w:w="519" w:type="dxa"/>
            <w:vAlign w:val="top"/>
          </w:tcPr>
          <w:p w14:paraId="0F4D80B5">
            <w:pPr>
              <w:rPr>
                <w:rFonts w:ascii="Arial"/>
                <w:sz w:val="21"/>
              </w:rPr>
            </w:pPr>
          </w:p>
        </w:tc>
        <w:tc>
          <w:tcPr>
            <w:tcW w:w="354" w:type="dxa"/>
            <w:vMerge w:val="continue"/>
            <w:tcBorders>
              <w:top w:val="nil"/>
              <w:bottom w:val="nil"/>
            </w:tcBorders>
            <w:vAlign w:val="top"/>
          </w:tcPr>
          <w:p w14:paraId="5A7368D3">
            <w:pPr>
              <w:rPr>
                <w:rFonts w:ascii="Arial"/>
                <w:sz w:val="21"/>
              </w:rPr>
            </w:pPr>
          </w:p>
        </w:tc>
      </w:tr>
      <w:tr w14:paraId="5E78E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74" w:type="dxa"/>
            <w:vMerge w:val="continue"/>
            <w:tcBorders>
              <w:top w:val="nil"/>
              <w:bottom w:val="nil"/>
            </w:tcBorders>
            <w:vAlign w:val="top"/>
          </w:tcPr>
          <w:p w14:paraId="00D28849">
            <w:pPr>
              <w:rPr>
                <w:rFonts w:ascii="Arial"/>
                <w:sz w:val="21"/>
              </w:rPr>
            </w:pPr>
          </w:p>
        </w:tc>
        <w:tc>
          <w:tcPr>
            <w:tcW w:w="370" w:type="dxa"/>
            <w:vMerge w:val="continue"/>
            <w:tcBorders>
              <w:top w:val="nil"/>
              <w:bottom w:val="nil"/>
            </w:tcBorders>
            <w:vAlign w:val="top"/>
          </w:tcPr>
          <w:p w14:paraId="7B6BD4FF">
            <w:pPr>
              <w:rPr>
                <w:rFonts w:ascii="Arial"/>
                <w:sz w:val="21"/>
              </w:rPr>
            </w:pPr>
          </w:p>
        </w:tc>
        <w:tc>
          <w:tcPr>
            <w:tcW w:w="909" w:type="dxa"/>
            <w:vAlign w:val="top"/>
          </w:tcPr>
          <w:p w14:paraId="7193F446">
            <w:pPr>
              <w:pStyle w:val="6"/>
              <w:spacing w:before="54" w:line="180" w:lineRule="auto"/>
              <w:ind w:left="81"/>
              <w:rPr>
                <w:sz w:val="21"/>
                <w:szCs w:val="21"/>
              </w:rPr>
            </w:pPr>
            <w:r>
              <w:rPr>
                <w:spacing w:val="-4"/>
                <w:sz w:val="21"/>
                <w:szCs w:val="21"/>
              </w:rPr>
              <w:t>1.3.23</w:t>
            </w:r>
          </w:p>
        </w:tc>
        <w:tc>
          <w:tcPr>
            <w:tcW w:w="4625" w:type="dxa"/>
            <w:vAlign w:val="top"/>
          </w:tcPr>
          <w:p w14:paraId="51C33DD6">
            <w:pPr>
              <w:pStyle w:val="6"/>
              <w:spacing w:before="31" w:line="200" w:lineRule="auto"/>
              <w:ind w:left="141"/>
              <w:rPr>
                <w:sz w:val="21"/>
                <w:szCs w:val="21"/>
              </w:rPr>
            </w:pPr>
            <w:r>
              <w:rPr>
                <w:sz w:val="21"/>
                <w:szCs w:val="21"/>
              </w:rPr>
              <w:t>35kV电缆中间接头冷缩型3×400</w:t>
            </w:r>
          </w:p>
        </w:tc>
        <w:tc>
          <w:tcPr>
            <w:tcW w:w="669" w:type="dxa"/>
            <w:vAlign w:val="top"/>
          </w:tcPr>
          <w:p w14:paraId="6B318974">
            <w:pPr>
              <w:pStyle w:val="6"/>
              <w:spacing w:before="33" w:line="198" w:lineRule="auto"/>
              <w:ind w:left="126"/>
              <w:rPr>
                <w:sz w:val="21"/>
                <w:szCs w:val="21"/>
              </w:rPr>
            </w:pPr>
            <w:r>
              <w:rPr>
                <w:sz w:val="21"/>
                <w:szCs w:val="21"/>
              </w:rPr>
              <w:t>套</w:t>
            </w:r>
          </w:p>
        </w:tc>
        <w:tc>
          <w:tcPr>
            <w:tcW w:w="949" w:type="dxa"/>
            <w:vAlign w:val="top"/>
          </w:tcPr>
          <w:p w14:paraId="147A8766">
            <w:pPr>
              <w:pStyle w:val="6"/>
              <w:spacing w:before="54" w:line="180" w:lineRule="auto"/>
              <w:ind w:left="98"/>
              <w:rPr>
                <w:sz w:val="21"/>
                <w:szCs w:val="21"/>
              </w:rPr>
            </w:pPr>
            <w:r>
              <w:rPr>
                <w:spacing w:val="-5"/>
                <w:sz w:val="21"/>
                <w:szCs w:val="21"/>
              </w:rPr>
              <w:t>1.00</w:t>
            </w:r>
          </w:p>
        </w:tc>
        <w:tc>
          <w:tcPr>
            <w:tcW w:w="519" w:type="dxa"/>
            <w:vAlign w:val="top"/>
          </w:tcPr>
          <w:p w14:paraId="72AED73A">
            <w:pPr>
              <w:rPr>
                <w:rFonts w:ascii="Arial"/>
                <w:sz w:val="21"/>
              </w:rPr>
            </w:pPr>
          </w:p>
        </w:tc>
        <w:tc>
          <w:tcPr>
            <w:tcW w:w="354" w:type="dxa"/>
            <w:vMerge w:val="continue"/>
            <w:tcBorders>
              <w:top w:val="nil"/>
              <w:bottom w:val="nil"/>
            </w:tcBorders>
            <w:vAlign w:val="top"/>
          </w:tcPr>
          <w:p w14:paraId="20CFF80E">
            <w:pPr>
              <w:rPr>
                <w:rFonts w:ascii="Arial"/>
                <w:sz w:val="21"/>
              </w:rPr>
            </w:pPr>
          </w:p>
        </w:tc>
      </w:tr>
      <w:tr w14:paraId="6BD51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12D9E6CB">
            <w:pPr>
              <w:rPr>
                <w:rFonts w:ascii="Arial"/>
                <w:sz w:val="21"/>
              </w:rPr>
            </w:pPr>
          </w:p>
        </w:tc>
        <w:tc>
          <w:tcPr>
            <w:tcW w:w="370" w:type="dxa"/>
            <w:vMerge w:val="continue"/>
            <w:tcBorders>
              <w:top w:val="nil"/>
              <w:bottom w:val="nil"/>
            </w:tcBorders>
            <w:vAlign w:val="top"/>
          </w:tcPr>
          <w:p w14:paraId="50FA02E8">
            <w:pPr>
              <w:rPr>
                <w:rFonts w:ascii="Arial"/>
                <w:sz w:val="21"/>
              </w:rPr>
            </w:pPr>
          </w:p>
        </w:tc>
        <w:tc>
          <w:tcPr>
            <w:tcW w:w="909" w:type="dxa"/>
            <w:vAlign w:val="top"/>
          </w:tcPr>
          <w:p w14:paraId="69DC520C">
            <w:pPr>
              <w:pStyle w:val="6"/>
              <w:spacing w:before="54" w:line="181" w:lineRule="auto"/>
              <w:ind w:left="81"/>
              <w:rPr>
                <w:sz w:val="21"/>
                <w:szCs w:val="21"/>
              </w:rPr>
            </w:pPr>
            <w:r>
              <w:rPr>
                <w:spacing w:val="-4"/>
                <w:sz w:val="21"/>
                <w:szCs w:val="21"/>
              </w:rPr>
              <w:t>1.3.24</w:t>
            </w:r>
          </w:p>
        </w:tc>
        <w:tc>
          <w:tcPr>
            <w:tcW w:w="4625" w:type="dxa"/>
            <w:vAlign w:val="top"/>
          </w:tcPr>
          <w:p w14:paraId="63F74942">
            <w:pPr>
              <w:pStyle w:val="6"/>
              <w:spacing w:before="31" w:line="201" w:lineRule="auto"/>
              <w:ind w:left="141"/>
              <w:rPr>
                <w:sz w:val="21"/>
                <w:szCs w:val="21"/>
              </w:rPr>
            </w:pPr>
            <w:r>
              <w:rPr>
                <w:sz w:val="21"/>
                <w:szCs w:val="21"/>
              </w:rPr>
              <w:t>集电线路单回JL/G1A-240/30</w:t>
            </w:r>
          </w:p>
        </w:tc>
        <w:tc>
          <w:tcPr>
            <w:tcW w:w="669" w:type="dxa"/>
            <w:vAlign w:val="top"/>
          </w:tcPr>
          <w:p w14:paraId="3F18EBB0">
            <w:pPr>
              <w:pStyle w:val="6"/>
              <w:spacing w:before="54" w:line="181" w:lineRule="auto"/>
              <w:ind w:left="116"/>
              <w:rPr>
                <w:sz w:val="21"/>
                <w:szCs w:val="21"/>
              </w:rPr>
            </w:pPr>
            <w:r>
              <w:rPr>
                <w:spacing w:val="-2"/>
                <w:sz w:val="21"/>
                <w:szCs w:val="21"/>
              </w:rPr>
              <w:t>km</w:t>
            </w:r>
          </w:p>
        </w:tc>
        <w:tc>
          <w:tcPr>
            <w:tcW w:w="949" w:type="dxa"/>
            <w:vAlign w:val="top"/>
          </w:tcPr>
          <w:p w14:paraId="2C4BB079">
            <w:pPr>
              <w:pStyle w:val="6"/>
              <w:spacing w:before="54" w:line="181" w:lineRule="auto"/>
              <w:ind w:left="98"/>
              <w:rPr>
                <w:sz w:val="21"/>
                <w:szCs w:val="21"/>
              </w:rPr>
            </w:pPr>
            <w:r>
              <w:rPr>
                <w:spacing w:val="-2"/>
                <w:sz w:val="21"/>
                <w:szCs w:val="21"/>
              </w:rPr>
              <w:t>25.33</w:t>
            </w:r>
          </w:p>
        </w:tc>
        <w:tc>
          <w:tcPr>
            <w:tcW w:w="519" w:type="dxa"/>
            <w:vAlign w:val="top"/>
          </w:tcPr>
          <w:p w14:paraId="1DB56ECA">
            <w:pPr>
              <w:rPr>
                <w:rFonts w:ascii="Arial"/>
                <w:sz w:val="21"/>
              </w:rPr>
            </w:pPr>
          </w:p>
        </w:tc>
        <w:tc>
          <w:tcPr>
            <w:tcW w:w="354" w:type="dxa"/>
            <w:vMerge w:val="continue"/>
            <w:tcBorders>
              <w:top w:val="nil"/>
              <w:bottom w:val="nil"/>
            </w:tcBorders>
            <w:vAlign w:val="top"/>
          </w:tcPr>
          <w:p w14:paraId="54ECB4C8">
            <w:pPr>
              <w:rPr>
                <w:rFonts w:ascii="Arial"/>
                <w:sz w:val="21"/>
              </w:rPr>
            </w:pPr>
          </w:p>
        </w:tc>
      </w:tr>
      <w:tr w14:paraId="5B8FC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7523DE0E">
            <w:pPr>
              <w:rPr>
                <w:rFonts w:ascii="Arial"/>
                <w:sz w:val="21"/>
              </w:rPr>
            </w:pPr>
          </w:p>
        </w:tc>
        <w:tc>
          <w:tcPr>
            <w:tcW w:w="370" w:type="dxa"/>
            <w:vMerge w:val="continue"/>
            <w:tcBorders>
              <w:top w:val="nil"/>
              <w:bottom w:val="nil"/>
            </w:tcBorders>
            <w:vAlign w:val="top"/>
          </w:tcPr>
          <w:p w14:paraId="7E466DA0">
            <w:pPr>
              <w:rPr>
                <w:rFonts w:ascii="Arial"/>
                <w:sz w:val="21"/>
              </w:rPr>
            </w:pPr>
          </w:p>
        </w:tc>
        <w:tc>
          <w:tcPr>
            <w:tcW w:w="909" w:type="dxa"/>
            <w:vAlign w:val="top"/>
          </w:tcPr>
          <w:p w14:paraId="79AB54FC">
            <w:pPr>
              <w:pStyle w:val="6"/>
              <w:spacing w:before="54" w:line="181" w:lineRule="auto"/>
              <w:ind w:left="81"/>
              <w:rPr>
                <w:sz w:val="21"/>
                <w:szCs w:val="21"/>
              </w:rPr>
            </w:pPr>
            <w:r>
              <w:rPr>
                <w:spacing w:val="-6"/>
                <w:sz w:val="21"/>
                <w:szCs w:val="21"/>
              </w:rPr>
              <w:t>1.4</w:t>
            </w:r>
          </w:p>
        </w:tc>
        <w:tc>
          <w:tcPr>
            <w:tcW w:w="4625" w:type="dxa"/>
            <w:vAlign w:val="top"/>
          </w:tcPr>
          <w:p w14:paraId="55DD6196">
            <w:pPr>
              <w:pStyle w:val="6"/>
              <w:spacing w:before="33" w:line="199" w:lineRule="auto"/>
              <w:ind w:left="141"/>
              <w:rPr>
                <w:sz w:val="21"/>
                <w:szCs w:val="21"/>
              </w:rPr>
            </w:pPr>
            <w:r>
              <w:rPr>
                <w:spacing w:val="1"/>
                <w:sz w:val="21"/>
                <w:szCs w:val="21"/>
              </w:rPr>
              <w:t>电缆桥架与电缆管</w:t>
            </w:r>
          </w:p>
        </w:tc>
        <w:tc>
          <w:tcPr>
            <w:tcW w:w="669" w:type="dxa"/>
            <w:vAlign w:val="top"/>
          </w:tcPr>
          <w:p w14:paraId="22FA7DEA">
            <w:pPr>
              <w:rPr>
                <w:rFonts w:ascii="Arial"/>
                <w:sz w:val="21"/>
              </w:rPr>
            </w:pPr>
          </w:p>
        </w:tc>
        <w:tc>
          <w:tcPr>
            <w:tcW w:w="949" w:type="dxa"/>
            <w:vAlign w:val="top"/>
          </w:tcPr>
          <w:p w14:paraId="2236ECD4">
            <w:pPr>
              <w:rPr>
                <w:rFonts w:ascii="Arial"/>
                <w:sz w:val="21"/>
              </w:rPr>
            </w:pPr>
          </w:p>
        </w:tc>
        <w:tc>
          <w:tcPr>
            <w:tcW w:w="519" w:type="dxa"/>
            <w:vAlign w:val="top"/>
          </w:tcPr>
          <w:p w14:paraId="1AD9998F">
            <w:pPr>
              <w:rPr>
                <w:rFonts w:ascii="Arial"/>
                <w:sz w:val="21"/>
              </w:rPr>
            </w:pPr>
          </w:p>
        </w:tc>
        <w:tc>
          <w:tcPr>
            <w:tcW w:w="354" w:type="dxa"/>
            <w:vMerge w:val="continue"/>
            <w:tcBorders>
              <w:top w:val="nil"/>
              <w:bottom w:val="nil"/>
            </w:tcBorders>
            <w:vAlign w:val="top"/>
          </w:tcPr>
          <w:p w14:paraId="0E0BC3C8">
            <w:pPr>
              <w:rPr>
                <w:rFonts w:ascii="Arial"/>
                <w:sz w:val="21"/>
              </w:rPr>
            </w:pPr>
          </w:p>
        </w:tc>
      </w:tr>
      <w:tr w14:paraId="77AC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674" w:type="dxa"/>
            <w:vMerge w:val="continue"/>
            <w:tcBorders>
              <w:top w:val="nil"/>
              <w:bottom w:val="nil"/>
            </w:tcBorders>
            <w:vAlign w:val="top"/>
          </w:tcPr>
          <w:p w14:paraId="3BEECC36">
            <w:pPr>
              <w:rPr>
                <w:rFonts w:ascii="Arial"/>
                <w:sz w:val="21"/>
              </w:rPr>
            </w:pPr>
          </w:p>
        </w:tc>
        <w:tc>
          <w:tcPr>
            <w:tcW w:w="370" w:type="dxa"/>
            <w:vMerge w:val="continue"/>
            <w:tcBorders>
              <w:top w:val="nil"/>
              <w:bottom w:val="nil"/>
            </w:tcBorders>
            <w:vAlign w:val="top"/>
          </w:tcPr>
          <w:p w14:paraId="761A15AC">
            <w:pPr>
              <w:rPr>
                <w:rFonts w:ascii="Arial"/>
                <w:sz w:val="21"/>
              </w:rPr>
            </w:pPr>
          </w:p>
        </w:tc>
        <w:tc>
          <w:tcPr>
            <w:tcW w:w="909" w:type="dxa"/>
            <w:vAlign w:val="top"/>
          </w:tcPr>
          <w:p w14:paraId="691448DD">
            <w:pPr>
              <w:pStyle w:val="6"/>
              <w:spacing w:before="164" w:line="239" w:lineRule="auto"/>
              <w:ind w:left="81"/>
              <w:rPr>
                <w:sz w:val="21"/>
                <w:szCs w:val="21"/>
              </w:rPr>
            </w:pPr>
            <w:r>
              <w:rPr>
                <w:spacing w:val="-4"/>
                <w:sz w:val="21"/>
                <w:szCs w:val="21"/>
              </w:rPr>
              <w:t>1.4.2</w:t>
            </w:r>
          </w:p>
        </w:tc>
        <w:tc>
          <w:tcPr>
            <w:tcW w:w="4625" w:type="dxa"/>
            <w:vAlign w:val="top"/>
          </w:tcPr>
          <w:p w14:paraId="5EC3169F">
            <w:pPr>
              <w:pStyle w:val="6"/>
              <w:spacing w:before="143" w:line="219" w:lineRule="auto"/>
              <w:ind w:left="141"/>
              <w:rPr>
                <w:sz w:val="21"/>
                <w:szCs w:val="21"/>
              </w:rPr>
            </w:pPr>
            <w:r>
              <w:rPr>
                <w:spacing w:val="-1"/>
                <w:sz w:val="21"/>
                <w:szCs w:val="21"/>
              </w:rPr>
              <w:t>PE管φ50</w:t>
            </w:r>
          </w:p>
        </w:tc>
        <w:tc>
          <w:tcPr>
            <w:tcW w:w="669" w:type="dxa"/>
            <w:vAlign w:val="top"/>
          </w:tcPr>
          <w:p w14:paraId="67851D12">
            <w:pPr>
              <w:pStyle w:val="6"/>
              <w:spacing w:before="226" w:line="241" w:lineRule="auto"/>
              <w:ind w:left="86"/>
              <w:rPr>
                <w:sz w:val="15"/>
                <w:szCs w:val="15"/>
              </w:rPr>
            </w:pPr>
            <w:r>
              <w:rPr>
                <w:sz w:val="15"/>
                <w:szCs w:val="15"/>
              </w:rPr>
              <w:t>m</w:t>
            </w:r>
          </w:p>
        </w:tc>
        <w:tc>
          <w:tcPr>
            <w:tcW w:w="949" w:type="dxa"/>
            <w:vAlign w:val="top"/>
          </w:tcPr>
          <w:p w14:paraId="6C5B663D">
            <w:pPr>
              <w:pStyle w:val="6"/>
              <w:spacing w:before="84" w:line="202" w:lineRule="auto"/>
              <w:ind w:left="98"/>
              <w:rPr>
                <w:sz w:val="21"/>
                <w:szCs w:val="21"/>
              </w:rPr>
            </w:pPr>
            <w:r>
              <w:rPr>
                <w:spacing w:val="-3"/>
                <w:sz w:val="21"/>
                <w:szCs w:val="21"/>
              </w:rPr>
              <w:t>10000.0</w:t>
            </w:r>
          </w:p>
          <w:p w14:paraId="3844F705">
            <w:pPr>
              <w:pStyle w:val="6"/>
              <w:spacing w:line="164" w:lineRule="exact"/>
              <w:ind w:left="98"/>
              <w:rPr>
                <w:sz w:val="21"/>
                <w:szCs w:val="21"/>
              </w:rPr>
            </w:pPr>
            <w:r>
              <w:rPr>
                <w:position w:val="-2"/>
                <w:sz w:val="21"/>
                <w:szCs w:val="21"/>
              </w:rPr>
              <w:t>0</w:t>
            </w:r>
          </w:p>
        </w:tc>
        <w:tc>
          <w:tcPr>
            <w:tcW w:w="519" w:type="dxa"/>
            <w:vAlign w:val="top"/>
          </w:tcPr>
          <w:p w14:paraId="20B6EC63">
            <w:pPr>
              <w:rPr>
                <w:rFonts w:ascii="Arial"/>
                <w:sz w:val="21"/>
              </w:rPr>
            </w:pPr>
          </w:p>
        </w:tc>
        <w:tc>
          <w:tcPr>
            <w:tcW w:w="354" w:type="dxa"/>
            <w:vMerge w:val="continue"/>
            <w:tcBorders>
              <w:top w:val="nil"/>
              <w:bottom w:val="nil"/>
            </w:tcBorders>
            <w:vAlign w:val="top"/>
          </w:tcPr>
          <w:p w14:paraId="666DFF3D">
            <w:pPr>
              <w:rPr>
                <w:rFonts w:ascii="Arial"/>
                <w:sz w:val="21"/>
              </w:rPr>
            </w:pPr>
          </w:p>
        </w:tc>
      </w:tr>
      <w:tr w14:paraId="1214A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74" w:type="dxa"/>
            <w:vMerge w:val="continue"/>
            <w:tcBorders>
              <w:top w:val="nil"/>
              <w:bottom w:val="nil"/>
            </w:tcBorders>
            <w:vAlign w:val="top"/>
          </w:tcPr>
          <w:p w14:paraId="75E5F7BF">
            <w:pPr>
              <w:rPr>
                <w:rFonts w:ascii="Arial"/>
                <w:sz w:val="21"/>
              </w:rPr>
            </w:pPr>
          </w:p>
        </w:tc>
        <w:tc>
          <w:tcPr>
            <w:tcW w:w="370" w:type="dxa"/>
            <w:vMerge w:val="continue"/>
            <w:tcBorders>
              <w:top w:val="nil"/>
              <w:bottom w:val="nil"/>
            </w:tcBorders>
            <w:vAlign w:val="top"/>
          </w:tcPr>
          <w:p w14:paraId="71A10ECF">
            <w:pPr>
              <w:rPr>
                <w:rFonts w:ascii="Arial"/>
                <w:sz w:val="21"/>
              </w:rPr>
            </w:pPr>
          </w:p>
        </w:tc>
        <w:tc>
          <w:tcPr>
            <w:tcW w:w="909" w:type="dxa"/>
            <w:vAlign w:val="top"/>
          </w:tcPr>
          <w:p w14:paraId="717FEE2F">
            <w:pPr>
              <w:pStyle w:val="6"/>
              <w:spacing w:before="55" w:line="179" w:lineRule="auto"/>
              <w:ind w:left="81"/>
              <w:rPr>
                <w:sz w:val="21"/>
                <w:szCs w:val="21"/>
              </w:rPr>
            </w:pPr>
            <w:r>
              <w:rPr>
                <w:spacing w:val="-4"/>
                <w:sz w:val="21"/>
                <w:szCs w:val="21"/>
              </w:rPr>
              <w:t>1.4.3</w:t>
            </w:r>
          </w:p>
        </w:tc>
        <w:tc>
          <w:tcPr>
            <w:tcW w:w="4625" w:type="dxa"/>
            <w:vAlign w:val="top"/>
          </w:tcPr>
          <w:p w14:paraId="1A11856E">
            <w:pPr>
              <w:pStyle w:val="6"/>
              <w:spacing w:before="34" w:line="197" w:lineRule="auto"/>
              <w:ind w:left="141"/>
              <w:rPr>
                <w:sz w:val="21"/>
                <w:szCs w:val="21"/>
              </w:rPr>
            </w:pPr>
            <w:r>
              <w:rPr>
                <w:sz w:val="21"/>
                <w:szCs w:val="21"/>
              </w:rPr>
              <w:t>PE</w:t>
            </w:r>
            <w:r>
              <w:rPr>
                <w:spacing w:val="3"/>
                <w:sz w:val="21"/>
                <w:szCs w:val="21"/>
              </w:rPr>
              <w:t>管φ110</w:t>
            </w:r>
          </w:p>
        </w:tc>
        <w:tc>
          <w:tcPr>
            <w:tcW w:w="669" w:type="dxa"/>
            <w:vAlign w:val="top"/>
          </w:tcPr>
          <w:p w14:paraId="5C71121C">
            <w:pPr>
              <w:pStyle w:val="6"/>
              <w:spacing w:before="78" w:line="208" w:lineRule="auto"/>
              <w:ind w:left="86"/>
              <w:rPr>
                <w:sz w:val="16"/>
                <w:szCs w:val="16"/>
              </w:rPr>
            </w:pPr>
            <w:r>
              <w:rPr>
                <w:sz w:val="16"/>
                <w:szCs w:val="16"/>
              </w:rPr>
              <w:t>m</w:t>
            </w:r>
          </w:p>
        </w:tc>
        <w:tc>
          <w:tcPr>
            <w:tcW w:w="949" w:type="dxa"/>
            <w:vAlign w:val="top"/>
          </w:tcPr>
          <w:p w14:paraId="0BCD0B41">
            <w:pPr>
              <w:pStyle w:val="6"/>
              <w:spacing w:before="55" w:line="179" w:lineRule="auto"/>
              <w:ind w:left="108"/>
              <w:rPr>
                <w:sz w:val="21"/>
                <w:szCs w:val="21"/>
              </w:rPr>
            </w:pPr>
            <w:r>
              <w:rPr>
                <w:spacing w:val="-2"/>
                <w:sz w:val="21"/>
                <w:szCs w:val="21"/>
              </w:rPr>
              <w:t>2000.00</w:t>
            </w:r>
          </w:p>
        </w:tc>
        <w:tc>
          <w:tcPr>
            <w:tcW w:w="519" w:type="dxa"/>
            <w:vAlign w:val="top"/>
          </w:tcPr>
          <w:p w14:paraId="5633570C">
            <w:pPr>
              <w:rPr>
                <w:rFonts w:ascii="Arial"/>
                <w:sz w:val="21"/>
              </w:rPr>
            </w:pPr>
          </w:p>
        </w:tc>
        <w:tc>
          <w:tcPr>
            <w:tcW w:w="354" w:type="dxa"/>
            <w:vMerge w:val="continue"/>
            <w:tcBorders>
              <w:top w:val="nil"/>
              <w:bottom w:val="nil"/>
            </w:tcBorders>
            <w:vAlign w:val="top"/>
          </w:tcPr>
          <w:p w14:paraId="144223B2">
            <w:pPr>
              <w:rPr>
                <w:rFonts w:ascii="Arial"/>
                <w:sz w:val="21"/>
              </w:rPr>
            </w:pPr>
          </w:p>
        </w:tc>
      </w:tr>
      <w:tr w14:paraId="13AA9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55E3F3D3">
            <w:pPr>
              <w:rPr>
                <w:rFonts w:ascii="Arial"/>
                <w:sz w:val="21"/>
              </w:rPr>
            </w:pPr>
          </w:p>
        </w:tc>
        <w:tc>
          <w:tcPr>
            <w:tcW w:w="370" w:type="dxa"/>
            <w:vMerge w:val="continue"/>
            <w:tcBorders>
              <w:top w:val="nil"/>
              <w:bottom w:val="nil"/>
            </w:tcBorders>
            <w:vAlign w:val="top"/>
          </w:tcPr>
          <w:p w14:paraId="192EFFE6">
            <w:pPr>
              <w:rPr>
                <w:rFonts w:ascii="Arial"/>
                <w:sz w:val="21"/>
              </w:rPr>
            </w:pPr>
          </w:p>
        </w:tc>
        <w:tc>
          <w:tcPr>
            <w:tcW w:w="909" w:type="dxa"/>
            <w:vAlign w:val="top"/>
          </w:tcPr>
          <w:p w14:paraId="37FE9F82">
            <w:pPr>
              <w:pStyle w:val="6"/>
              <w:spacing w:before="56" w:line="179" w:lineRule="auto"/>
              <w:ind w:left="81"/>
              <w:rPr>
                <w:sz w:val="21"/>
                <w:szCs w:val="21"/>
              </w:rPr>
            </w:pPr>
            <w:r>
              <w:rPr>
                <w:spacing w:val="-6"/>
                <w:sz w:val="21"/>
                <w:szCs w:val="21"/>
              </w:rPr>
              <w:t>1.7</w:t>
            </w:r>
          </w:p>
        </w:tc>
        <w:tc>
          <w:tcPr>
            <w:tcW w:w="4625" w:type="dxa"/>
            <w:vAlign w:val="top"/>
          </w:tcPr>
          <w:p w14:paraId="48A98382">
            <w:pPr>
              <w:pStyle w:val="6"/>
              <w:spacing w:before="35" w:line="197" w:lineRule="auto"/>
              <w:ind w:left="141"/>
              <w:rPr>
                <w:sz w:val="21"/>
                <w:szCs w:val="21"/>
              </w:rPr>
            </w:pPr>
            <w:r>
              <w:rPr>
                <w:spacing w:val="-2"/>
                <w:sz w:val="21"/>
                <w:szCs w:val="21"/>
              </w:rPr>
              <w:t>场区接地</w:t>
            </w:r>
          </w:p>
        </w:tc>
        <w:tc>
          <w:tcPr>
            <w:tcW w:w="669" w:type="dxa"/>
            <w:vAlign w:val="top"/>
          </w:tcPr>
          <w:p w14:paraId="613912C2">
            <w:pPr>
              <w:rPr>
                <w:rFonts w:ascii="Arial"/>
                <w:sz w:val="21"/>
              </w:rPr>
            </w:pPr>
          </w:p>
        </w:tc>
        <w:tc>
          <w:tcPr>
            <w:tcW w:w="949" w:type="dxa"/>
            <w:vAlign w:val="top"/>
          </w:tcPr>
          <w:p w14:paraId="3135114A">
            <w:pPr>
              <w:rPr>
                <w:rFonts w:ascii="Arial"/>
                <w:sz w:val="21"/>
              </w:rPr>
            </w:pPr>
          </w:p>
        </w:tc>
        <w:tc>
          <w:tcPr>
            <w:tcW w:w="519" w:type="dxa"/>
            <w:vAlign w:val="top"/>
          </w:tcPr>
          <w:p w14:paraId="7E5C2B5E">
            <w:pPr>
              <w:rPr>
                <w:rFonts w:ascii="Arial"/>
                <w:sz w:val="21"/>
              </w:rPr>
            </w:pPr>
          </w:p>
        </w:tc>
        <w:tc>
          <w:tcPr>
            <w:tcW w:w="354" w:type="dxa"/>
            <w:vMerge w:val="continue"/>
            <w:tcBorders>
              <w:top w:val="nil"/>
              <w:bottom w:val="nil"/>
            </w:tcBorders>
            <w:vAlign w:val="top"/>
          </w:tcPr>
          <w:p w14:paraId="74548666">
            <w:pPr>
              <w:rPr>
                <w:rFonts w:ascii="Arial"/>
                <w:sz w:val="21"/>
              </w:rPr>
            </w:pPr>
          </w:p>
        </w:tc>
      </w:tr>
      <w:tr w14:paraId="25055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674" w:type="dxa"/>
            <w:vMerge w:val="continue"/>
            <w:tcBorders>
              <w:top w:val="nil"/>
              <w:bottom w:val="nil"/>
            </w:tcBorders>
            <w:vAlign w:val="top"/>
          </w:tcPr>
          <w:p w14:paraId="754373F0">
            <w:pPr>
              <w:rPr>
                <w:rFonts w:ascii="Arial"/>
                <w:sz w:val="21"/>
              </w:rPr>
            </w:pPr>
          </w:p>
        </w:tc>
        <w:tc>
          <w:tcPr>
            <w:tcW w:w="370" w:type="dxa"/>
            <w:vMerge w:val="continue"/>
            <w:tcBorders>
              <w:top w:val="nil"/>
              <w:bottom w:val="nil"/>
            </w:tcBorders>
            <w:vAlign w:val="top"/>
          </w:tcPr>
          <w:p w14:paraId="3C038A33">
            <w:pPr>
              <w:rPr>
                <w:rFonts w:ascii="Arial"/>
                <w:sz w:val="21"/>
              </w:rPr>
            </w:pPr>
          </w:p>
        </w:tc>
        <w:tc>
          <w:tcPr>
            <w:tcW w:w="909" w:type="dxa"/>
            <w:vAlign w:val="top"/>
          </w:tcPr>
          <w:p w14:paraId="6C369A96">
            <w:pPr>
              <w:pStyle w:val="6"/>
              <w:spacing w:before="166" w:line="239" w:lineRule="auto"/>
              <w:ind w:left="81"/>
              <w:rPr>
                <w:sz w:val="21"/>
                <w:szCs w:val="21"/>
              </w:rPr>
            </w:pPr>
            <w:r>
              <w:rPr>
                <w:spacing w:val="-4"/>
                <w:sz w:val="21"/>
                <w:szCs w:val="21"/>
              </w:rPr>
              <w:t>1.7.1</w:t>
            </w:r>
          </w:p>
        </w:tc>
        <w:tc>
          <w:tcPr>
            <w:tcW w:w="4625" w:type="dxa"/>
            <w:vAlign w:val="top"/>
          </w:tcPr>
          <w:p w14:paraId="6DFF3E7F">
            <w:pPr>
              <w:pStyle w:val="6"/>
              <w:spacing w:before="144" w:line="219" w:lineRule="auto"/>
              <w:ind w:left="141"/>
              <w:rPr>
                <w:sz w:val="21"/>
                <w:szCs w:val="21"/>
              </w:rPr>
            </w:pPr>
            <w:r>
              <w:rPr>
                <w:spacing w:val="1"/>
                <w:sz w:val="21"/>
                <w:szCs w:val="21"/>
              </w:rPr>
              <w:t>热镀锌扁钢接地-50*5</w:t>
            </w:r>
          </w:p>
        </w:tc>
        <w:tc>
          <w:tcPr>
            <w:tcW w:w="669" w:type="dxa"/>
            <w:vAlign w:val="top"/>
          </w:tcPr>
          <w:p w14:paraId="69DA92C1">
            <w:pPr>
              <w:pStyle w:val="6"/>
              <w:spacing w:before="239" w:line="241" w:lineRule="auto"/>
              <w:ind w:left="86"/>
              <w:rPr>
                <w:sz w:val="16"/>
                <w:szCs w:val="16"/>
              </w:rPr>
            </w:pPr>
            <w:r>
              <w:rPr>
                <w:sz w:val="16"/>
                <w:szCs w:val="16"/>
              </w:rPr>
              <w:t>m</w:t>
            </w:r>
          </w:p>
        </w:tc>
        <w:tc>
          <w:tcPr>
            <w:tcW w:w="949" w:type="dxa"/>
            <w:vAlign w:val="top"/>
          </w:tcPr>
          <w:p w14:paraId="45D5ADC7">
            <w:pPr>
              <w:pStyle w:val="6"/>
              <w:spacing w:before="77" w:line="193" w:lineRule="auto"/>
              <w:ind w:left="98"/>
              <w:rPr>
                <w:sz w:val="21"/>
                <w:szCs w:val="21"/>
              </w:rPr>
            </w:pPr>
            <w:r>
              <w:rPr>
                <w:spacing w:val="-2"/>
                <w:sz w:val="21"/>
                <w:szCs w:val="21"/>
              </w:rPr>
              <w:t>33800.0</w:t>
            </w:r>
          </w:p>
          <w:p w14:paraId="38DB0D05">
            <w:pPr>
              <w:pStyle w:val="6"/>
              <w:spacing w:line="160" w:lineRule="auto"/>
              <w:ind w:left="98"/>
              <w:rPr>
                <w:sz w:val="21"/>
                <w:szCs w:val="21"/>
              </w:rPr>
            </w:pPr>
            <w:r>
              <w:rPr>
                <w:sz w:val="21"/>
                <w:szCs w:val="21"/>
              </w:rPr>
              <w:t>0</w:t>
            </w:r>
          </w:p>
        </w:tc>
        <w:tc>
          <w:tcPr>
            <w:tcW w:w="519" w:type="dxa"/>
            <w:vAlign w:val="top"/>
          </w:tcPr>
          <w:p w14:paraId="026FC5BF">
            <w:pPr>
              <w:rPr>
                <w:rFonts w:ascii="Arial"/>
                <w:sz w:val="21"/>
              </w:rPr>
            </w:pPr>
          </w:p>
        </w:tc>
        <w:tc>
          <w:tcPr>
            <w:tcW w:w="354" w:type="dxa"/>
            <w:vMerge w:val="continue"/>
            <w:tcBorders>
              <w:top w:val="nil"/>
              <w:bottom w:val="nil"/>
            </w:tcBorders>
            <w:vAlign w:val="top"/>
          </w:tcPr>
          <w:p w14:paraId="3BE191BB">
            <w:pPr>
              <w:rPr>
                <w:rFonts w:ascii="Arial"/>
                <w:sz w:val="21"/>
              </w:rPr>
            </w:pPr>
          </w:p>
        </w:tc>
      </w:tr>
      <w:tr w14:paraId="6C836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348D7F1E">
            <w:pPr>
              <w:rPr>
                <w:rFonts w:ascii="Arial"/>
                <w:sz w:val="21"/>
              </w:rPr>
            </w:pPr>
          </w:p>
        </w:tc>
        <w:tc>
          <w:tcPr>
            <w:tcW w:w="370" w:type="dxa"/>
            <w:vMerge w:val="continue"/>
            <w:tcBorders>
              <w:top w:val="nil"/>
              <w:bottom w:val="nil"/>
            </w:tcBorders>
            <w:vAlign w:val="top"/>
          </w:tcPr>
          <w:p w14:paraId="53C1277E">
            <w:pPr>
              <w:rPr>
                <w:rFonts w:ascii="Arial"/>
                <w:sz w:val="21"/>
              </w:rPr>
            </w:pPr>
          </w:p>
        </w:tc>
        <w:tc>
          <w:tcPr>
            <w:tcW w:w="909" w:type="dxa"/>
            <w:vAlign w:val="top"/>
          </w:tcPr>
          <w:p w14:paraId="78275ACA">
            <w:pPr>
              <w:pStyle w:val="6"/>
              <w:spacing w:before="57" w:line="178" w:lineRule="auto"/>
              <w:ind w:left="81"/>
              <w:rPr>
                <w:sz w:val="21"/>
                <w:szCs w:val="21"/>
              </w:rPr>
            </w:pPr>
            <w:r>
              <w:rPr>
                <w:spacing w:val="-4"/>
                <w:sz w:val="21"/>
                <w:szCs w:val="21"/>
              </w:rPr>
              <w:t>1.7.2</w:t>
            </w:r>
          </w:p>
        </w:tc>
        <w:tc>
          <w:tcPr>
            <w:tcW w:w="4625" w:type="dxa"/>
            <w:vAlign w:val="top"/>
          </w:tcPr>
          <w:p w14:paraId="045D2667">
            <w:pPr>
              <w:pStyle w:val="6"/>
              <w:spacing w:before="35" w:line="197" w:lineRule="auto"/>
              <w:ind w:left="141"/>
              <w:rPr>
                <w:sz w:val="21"/>
                <w:szCs w:val="21"/>
              </w:rPr>
            </w:pPr>
            <w:r>
              <w:rPr>
                <w:spacing w:val="1"/>
                <w:sz w:val="21"/>
                <w:szCs w:val="21"/>
              </w:rPr>
              <w:t>热镀锌角钢L50×50×5</w:t>
            </w:r>
          </w:p>
        </w:tc>
        <w:tc>
          <w:tcPr>
            <w:tcW w:w="669" w:type="dxa"/>
            <w:vAlign w:val="top"/>
          </w:tcPr>
          <w:p w14:paraId="3E2744E3">
            <w:pPr>
              <w:pStyle w:val="6"/>
              <w:spacing w:before="37" w:line="196" w:lineRule="auto"/>
              <w:ind w:left="106"/>
              <w:rPr>
                <w:sz w:val="21"/>
                <w:szCs w:val="21"/>
              </w:rPr>
            </w:pPr>
            <w:r>
              <w:rPr>
                <w:sz w:val="21"/>
                <w:szCs w:val="21"/>
              </w:rPr>
              <w:t>根</w:t>
            </w:r>
          </w:p>
        </w:tc>
        <w:tc>
          <w:tcPr>
            <w:tcW w:w="949" w:type="dxa"/>
            <w:vAlign w:val="top"/>
          </w:tcPr>
          <w:p w14:paraId="01B9A420">
            <w:pPr>
              <w:pStyle w:val="6"/>
              <w:spacing w:before="57" w:line="178" w:lineRule="auto"/>
              <w:ind w:left="98"/>
              <w:rPr>
                <w:sz w:val="21"/>
                <w:szCs w:val="21"/>
              </w:rPr>
            </w:pPr>
            <w:r>
              <w:rPr>
                <w:spacing w:val="-3"/>
                <w:sz w:val="21"/>
                <w:szCs w:val="21"/>
              </w:rPr>
              <w:t>1500.00</w:t>
            </w:r>
          </w:p>
        </w:tc>
        <w:tc>
          <w:tcPr>
            <w:tcW w:w="519" w:type="dxa"/>
            <w:vAlign w:val="top"/>
          </w:tcPr>
          <w:p w14:paraId="7345E5A7">
            <w:pPr>
              <w:rPr>
                <w:rFonts w:ascii="Arial"/>
                <w:sz w:val="21"/>
              </w:rPr>
            </w:pPr>
          </w:p>
        </w:tc>
        <w:tc>
          <w:tcPr>
            <w:tcW w:w="354" w:type="dxa"/>
            <w:vMerge w:val="continue"/>
            <w:tcBorders>
              <w:top w:val="nil"/>
              <w:bottom w:val="nil"/>
            </w:tcBorders>
            <w:vAlign w:val="top"/>
          </w:tcPr>
          <w:p w14:paraId="12F0586F">
            <w:pPr>
              <w:rPr>
                <w:rFonts w:ascii="Arial"/>
                <w:sz w:val="21"/>
              </w:rPr>
            </w:pPr>
          </w:p>
        </w:tc>
      </w:tr>
      <w:tr w14:paraId="12FAE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74" w:type="dxa"/>
            <w:vMerge w:val="continue"/>
            <w:tcBorders>
              <w:top w:val="nil"/>
              <w:bottom w:val="nil"/>
            </w:tcBorders>
            <w:vAlign w:val="top"/>
          </w:tcPr>
          <w:p w14:paraId="47BF391F">
            <w:pPr>
              <w:rPr>
                <w:rFonts w:ascii="Arial"/>
                <w:sz w:val="21"/>
              </w:rPr>
            </w:pPr>
          </w:p>
        </w:tc>
        <w:tc>
          <w:tcPr>
            <w:tcW w:w="370" w:type="dxa"/>
            <w:vMerge w:val="continue"/>
            <w:tcBorders>
              <w:top w:val="nil"/>
              <w:bottom w:val="nil"/>
            </w:tcBorders>
            <w:vAlign w:val="top"/>
          </w:tcPr>
          <w:p w14:paraId="1BE918A9">
            <w:pPr>
              <w:rPr>
                <w:rFonts w:ascii="Arial"/>
                <w:sz w:val="21"/>
              </w:rPr>
            </w:pPr>
          </w:p>
        </w:tc>
        <w:tc>
          <w:tcPr>
            <w:tcW w:w="909" w:type="dxa"/>
            <w:vAlign w:val="top"/>
          </w:tcPr>
          <w:p w14:paraId="4538BACC">
            <w:pPr>
              <w:pStyle w:val="6"/>
              <w:spacing w:before="57" w:line="169" w:lineRule="auto"/>
              <w:ind w:left="81"/>
              <w:rPr>
                <w:sz w:val="21"/>
                <w:szCs w:val="21"/>
              </w:rPr>
            </w:pPr>
            <w:r>
              <w:rPr>
                <w:spacing w:val="-4"/>
                <w:sz w:val="21"/>
                <w:szCs w:val="21"/>
              </w:rPr>
              <w:t>1.7.3</w:t>
            </w:r>
          </w:p>
        </w:tc>
        <w:tc>
          <w:tcPr>
            <w:tcW w:w="4625" w:type="dxa"/>
            <w:vAlign w:val="top"/>
          </w:tcPr>
          <w:p w14:paraId="69E8FA66">
            <w:pPr>
              <w:pStyle w:val="6"/>
              <w:spacing w:before="37" w:line="187" w:lineRule="auto"/>
              <w:ind w:left="141"/>
              <w:rPr>
                <w:sz w:val="21"/>
                <w:szCs w:val="21"/>
              </w:rPr>
            </w:pPr>
            <w:r>
              <w:rPr>
                <w:spacing w:val="5"/>
                <w:sz w:val="21"/>
                <w:szCs w:val="21"/>
              </w:rPr>
              <w:t>铜线(</w:t>
            </w:r>
            <w:r>
              <w:rPr>
                <w:sz w:val="21"/>
                <w:szCs w:val="21"/>
              </w:rPr>
              <w:t>RV</w:t>
            </w:r>
            <w:r>
              <w:rPr>
                <w:spacing w:val="5"/>
                <w:sz w:val="21"/>
                <w:szCs w:val="21"/>
              </w:rPr>
              <w:t>-1x4)</w:t>
            </w:r>
          </w:p>
        </w:tc>
        <w:tc>
          <w:tcPr>
            <w:tcW w:w="669" w:type="dxa"/>
            <w:vAlign w:val="top"/>
          </w:tcPr>
          <w:p w14:paraId="638BC608">
            <w:pPr>
              <w:pStyle w:val="6"/>
              <w:spacing w:before="36" w:line="188" w:lineRule="auto"/>
              <w:ind w:left="106"/>
              <w:rPr>
                <w:sz w:val="21"/>
                <w:szCs w:val="21"/>
              </w:rPr>
            </w:pPr>
            <w:r>
              <w:rPr>
                <w:sz w:val="21"/>
                <w:szCs w:val="21"/>
              </w:rPr>
              <w:t>米</w:t>
            </w:r>
          </w:p>
        </w:tc>
        <w:tc>
          <w:tcPr>
            <w:tcW w:w="949" w:type="dxa"/>
            <w:vAlign w:val="top"/>
          </w:tcPr>
          <w:p w14:paraId="68CEE80B">
            <w:pPr>
              <w:pStyle w:val="6"/>
              <w:spacing w:before="57" w:line="169" w:lineRule="auto"/>
              <w:ind w:left="108"/>
              <w:rPr>
                <w:sz w:val="21"/>
                <w:szCs w:val="21"/>
              </w:rPr>
            </w:pPr>
            <w:r>
              <w:rPr>
                <w:spacing w:val="-2"/>
                <w:sz w:val="21"/>
                <w:szCs w:val="21"/>
              </w:rPr>
              <w:t>8900.00</w:t>
            </w:r>
          </w:p>
        </w:tc>
        <w:tc>
          <w:tcPr>
            <w:tcW w:w="519" w:type="dxa"/>
            <w:vAlign w:val="top"/>
          </w:tcPr>
          <w:p w14:paraId="38BEA8A4">
            <w:pPr>
              <w:rPr>
                <w:rFonts w:ascii="Arial"/>
                <w:sz w:val="21"/>
              </w:rPr>
            </w:pPr>
          </w:p>
        </w:tc>
        <w:tc>
          <w:tcPr>
            <w:tcW w:w="354" w:type="dxa"/>
            <w:vMerge w:val="continue"/>
            <w:tcBorders>
              <w:top w:val="nil"/>
              <w:bottom w:val="nil"/>
            </w:tcBorders>
            <w:vAlign w:val="top"/>
          </w:tcPr>
          <w:p w14:paraId="4096D2F7">
            <w:pPr>
              <w:rPr>
                <w:rFonts w:ascii="Arial"/>
                <w:sz w:val="21"/>
              </w:rPr>
            </w:pPr>
          </w:p>
        </w:tc>
      </w:tr>
      <w:tr w14:paraId="35958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74" w:type="dxa"/>
            <w:vMerge w:val="continue"/>
            <w:tcBorders>
              <w:top w:val="nil"/>
              <w:bottom w:val="nil"/>
            </w:tcBorders>
            <w:vAlign w:val="top"/>
          </w:tcPr>
          <w:p w14:paraId="33529D14">
            <w:pPr>
              <w:rPr>
                <w:rFonts w:ascii="Arial"/>
                <w:sz w:val="21"/>
              </w:rPr>
            </w:pPr>
          </w:p>
        </w:tc>
        <w:tc>
          <w:tcPr>
            <w:tcW w:w="370" w:type="dxa"/>
            <w:vMerge w:val="continue"/>
            <w:tcBorders>
              <w:top w:val="nil"/>
              <w:bottom w:val="nil"/>
            </w:tcBorders>
            <w:vAlign w:val="top"/>
          </w:tcPr>
          <w:p w14:paraId="59E4B930">
            <w:pPr>
              <w:rPr>
                <w:rFonts w:ascii="Arial"/>
                <w:sz w:val="21"/>
              </w:rPr>
            </w:pPr>
          </w:p>
        </w:tc>
        <w:tc>
          <w:tcPr>
            <w:tcW w:w="909" w:type="dxa"/>
            <w:vAlign w:val="top"/>
          </w:tcPr>
          <w:p w14:paraId="2C4ADE23">
            <w:pPr>
              <w:pStyle w:val="6"/>
              <w:spacing w:before="67" w:line="178" w:lineRule="auto"/>
              <w:ind w:left="81"/>
              <w:rPr>
                <w:sz w:val="21"/>
                <w:szCs w:val="21"/>
              </w:rPr>
            </w:pPr>
            <w:r>
              <w:rPr>
                <w:spacing w:val="-4"/>
                <w:sz w:val="21"/>
                <w:szCs w:val="21"/>
              </w:rPr>
              <w:t>1.7.4</w:t>
            </w:r>
          </w:p>
        </w:tc>
        <w:tc>
          <w:tcPr>
            <w:tcW w:w="4625" w:type="dxa"/>
            <w:vAlign w:val="top"/>
          </w:tcPr>
          <w:p w14:paraId="1CDC0112">
            <w:pPr>
              <w:pStyle w:val="6"/>
              <w:spacing w:before="47" w:line="196" w:lineRule="auto"/>
              <w:ind w:left="141"/>
              <w:rPr>
                <w:sz w:val="21"/>
                <w:szCs w:val="21"/>
              </w:rPr>
            </w:pPr>
            <w:r>
              <w:rPr>
                <w:spacing w:val="5"/>
                <w:sz w:val="21"/>
                <w:szCs w:val="21"/>
              </w:rPr>
              <w:t>铜线(</w:t>
            </w:r>
            <w:r>
              <w:rPr>
                <w:sz w:val="21"/>
                <w:szCs w:val="21"/>
              </w:rPr>
              <w:t>RV</w:t>
            </w:r>
            <w:r>
              <w:rPr>
                <w:spacing w:val="5"/>
                <w:sz w:val="21"/>
                <w:szCs w:val="21"/>
              </w:rPr>
              <w:t>-1x16)</w:t>
            </w:r>
          </w:p>
        </w:tc>
        <w:tc>
          <w:tcPr>
            <w:tcW w:w="669" w:type="dxa"/>
            <w:vAlign w:val="top"/>
          </w:tcPr>
          <w:p w14:paraId="0D8F0691">
            <w:pPr>
              <w:pStyle w:val="6"/>
              <w:spacing w:before="45" w:line="197" w:lineRule="auto"/>
              <w:ind w:left="106"/>
              <w:rPr>
                <w:sz w:val="21"/>
                <w:szCs w:val="21"/>
              </w:rPr>
            </w:pPr>
            <w:r>
              <w:rPr>
                <w:sz w:val="21"/>
                <w:szCs w:val="21"/>
              </w:rPr>
              <w:t>米</w:t>
            </w:r>
          </w:p>
        </w:tc>
        <w:tc>
          <w:tcPr>
            <w:tcW w:w="949" w:type="dxa"/>
            <w:vAlign w:val="top"/>
          </w:tcPr>
          <w:p w14:paraId="0D8BEC6B">
            <w:pPr>
              <w:pStyle w:val="6"/>
              <w:spacing w:before="67" w:line="178" w:lineRule="auto"/>
              <w:ind w:left="98"/>
              <w:rPr>
                <w:sz w:val="21"/>
                <w:szCs w:val="21"/>
              </w:rPr>
            </w:pPr>
            <w:r>
              <w:rPr>
                <w:spacing w:val="-2"/>
                <w:sz w:val="21"/>
                <w:szCs w:val="21"/>
              </w:rPr>
              <w:t>600.00</w:t>
            </w:r>
          </w:p>
        </w:tc>
        <w:tc>
          <w:tcPr>
            <w:tcW w:w="519" w:type="dxa"/>
            <w:vAlign w:val="top"/>
          </w:tcPr>
          <w:p w14:paraId="3BC7CA8D">
            <w:pPr>
              <w:rPr>
                <w:rFonts w:ascii="Arial"/>
                <w:sz w:val="21"/>
              </w:rPr>
            </w:pPr>
          </w:p>
        </w:tc>
        <w:tc>
          <w:tcPr>
            <w:tcW w:w="354" w:type="dxa"/>
            <w:vMerge w:val="continue"/>
            <w:tcBorders>
              <w:top w:val="nil"/>
              <w:bottom w:val="nil"/>
            </w:tcBorders>
            <w:vAlign w:val="top"/>
          </w:tcPr>
          <w:p w14:paraId="38918C40">
            <w:pPr>
              <w:rPr>
                <w:rFonts w:ascii="Arial"/>
                <w:sz w:val="21"/>
              </w:rPr>
            </w:pPr>
          </w:p>
        </w:tc>
      </w:tr>
      <w:tr w14:paraId="445B3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74" w:type="dxa"/>
            <w:vMerge w:val="continue"/>
            <w:tcBorders>
              <w:top w:val="nil"/>
              <w:bottom w:val="nil"/>
            </w:tcBorders>
            <w:vAlign w:val="top"/>
          </w:tcPr>
          <w:p w14:paraId="162A088B">
            <w:pPr>
              <w:rPr>
                <w:rFonts w:ascii="Arial"/>
                <w:sz w:val="21"/>
              </w:rPr>
            </w:pPr>
          </w:p>
        </w:tc>
        <w:tc>
          <w:tcPr>
            <w:tcW w:w="370" w:type="dxa"/>
            <w:vMerge w:val="continue"/>
            <w:tcBorders>
              <w:top w:val="nil"/>
              <w:bottom w:val="nil"/>
            </w:tcBorders>
            <w:vAlign w:val="top"/>
          </w:tcPr>
          <w:p w14:paraId="22F1445E">
            <w:pPr>
              <w:rPr>
                <w:rFonts w:ascii="Arial"/>
                <w:sz w:val="21"/>
              </w:rPr>
            </w:pPr>
          </w:p>
        </w:tc>
        <w:tc>
          <w:tcPr>
            <w:tcW w:w="909" w:type="dxa"/>
            <w:vAlign w:val="top"/>
          </w:tcPr>
          <w:p w14:paraId="5E391EE6">
            <w:pPr>
              <w:pStyle w:val="6"/>
              <w:spacing w:before="67" w:line="178" w:lineRule="auto"/>
              <w:ind w:left="81"/>
              <w:rPr>
                <w:sz w:val="21"/>
                <w:szCs w:val="21"/>
              </w:rPr>
            </w:pPr>
            <w:r>
              <w:rPr>
                <w:spacing w:val="-6"/>
                <w:sz w:val="21"/>
                <w:szCs w:val="21"/>
              </w:rPr>
              <w:t>1.8</w:t>
            </w:r>
          </w:p>
        </w:tc>
        <w:tc>
          <w:tcPr>
            <w:tcW w:w="4625" w:type="dxa"/>
            <w:vAlign w:val="top"/>
          </w:tcPr>
          <w:p w14:paraId="5D60CE55">
            <w:pPr>
              <w:pStyle w:val="6"/>
              <w:spacing w:before="47" w:line="196" w:lineRule="auto"/>
              <w:ind w:left="141"/>
              <w:rPr>
                <w:sz w:val="21"/>
                <w:szCs w:val="21"/>
              </w:rPr>
            </w:pPr>
            <w:r>
              <w:rPr>
                <w:spacing w:val="-1"/>
                <w:sz w:val="21"/>
                <w:szCs w:val="21"/>
              </w:rPr>
              <w:t>其他场区设备及安装</w:t>
            </w:r>
          </w:p>
        </w:tc>
        <w:tc>
          <w:tcPr>
            <w:tcW w:w="669" w:type="dxa"/>
            <w:vAlign w:val="top"/>
          </w:tcPr>
          <w:p w14:paraId="28DBD33C">
            <w:pPr>
              <w:rPr>
                <w:rFonts w:ascii="Arial"/>
                <w:sz w:val="21"/>
              </w:rPr>
            </w:pPr>
          </w:p>
        </w:tc>
        <w:tc>
          <w:tcPr>
            <w:tcW w:w="949" w:type="dxa"/>
            <w:vAlign w:val="top"/>
          </w:tcPr>
          <w:p w14:paraId="71C7A43A">
            <w:pPr>
              <w:rPr>
                <w:rFonts w:ascii="Arial"/>
                <w:sz w:val="21"/>
              </w:rPr>
            </w:pPr>
          </w:p>
        </w:tc>
        <w:tc>
          <w:tcPr>
            <w:tcW w:w="519" w:type="dxa"/>
            <w:vAlign w:val="top"/>
          </w:tcPr>
          <w:p w14:paraId="7E23C52D">
            <w:pPr>
              <w:rPr>
                <w:rFonts w:ascii="Arial"/>
                <w:sz w:val="21"/>
              </w:rPr>
            </w:pPr>
          </w:p>
        </w:tc>
        <w:tc>
          <w:tcPr>
            <w:tcW w:w="354" w:type="dxa"/>
            <w:vMerge w:val="continue"/>
            <w:tcBorders>
              <w:top w:val="nil"/>
              <w:bottom w:val="nil"/>
            </w:tcBorders>
            <w:vAlign w:val="top"/>
          </w:tcPr>
          <w:p w14:paraId="63261362">
            <w:pPr>
              <w:rPr>
                <w:rFonts w:ascii="Arial"/>
                <w:sz w:val="21"/>
              </w:rPr>
            </w:pPr>
          </w:p>
        </w:tc>
      </w:tr>
      <w:tr w14:paraId="3D60C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74" w:type="dxa"/>
            <w:vMerge w:val="continue"/>
            <w:tcBorders>
              <w:top w:val="nil"/>
              <w:bottom w:val="nil"/>
            </w:tcBorders>
            <w:vAlign w:val="top"/>
          </w:tcPr>
          <w:p w14:paraId="09D228FD">
            <w:pPr>
              <w:rPr>
                <w:rFonts w:ascii="Arial"/>
                <w:sz w:val="21"/>
              </w:rPr>
            </w:pPr>
          </w:p>
        </w:tc>
        <w:tc>
          <w:tcPr>
            <w:tcW w:w="370" w:type="dxa"/>
            <w:vMerge w:val="continue"/>
            <w:tcBorders>
              <w:top w:val="nil"/>
              <w:bottom w:val="nil"/>
            </w:tcBorders>
            <w:vAlign w:val="top"/>
          </w:tcPr>
          <w:p w14:paraId="196046A7">
            <w:pPr>
              <w:rPr>
                <w:rFonts w:ascii="Arial"/>
                <w:sz w:val="21"/>
              </w:rPr>
            </w:pPr>
          </w:p>
        </w:tc>
        <w:tc>
          <w:tcPr>
            <w:tcW w:w="909" w:type="dxa"/>
            <w:vAlign w:val="top"/>
          </w:tcPr>
          <w:p w14:paraId="43831DAA">
            <w:pPr>
              <w:pStyle w:val="6"/>
              <w:spacing w:before="67" w:line="178" w:lineRule="auto"/>
              <w:ind w:left="81"/>
              <w:rPr>
                <w:sz w:val="21"/>
                <w:szCs w:val="21"/>
              </w:rPr>
            </w:pPr>
            <w:r>
              <w:rPr>
                <w:spacing w:val="-4"/>
                <w:sz w:val="21"/>
                <w:szCs w:val="21"/>
              </w:rPr>
              <w:t>1.8.1</w:t>
            </w:r>
          </w:p>
        </w:tc>
        <w:tc>
          <w:tcPr>
            <w:tcW w:w="4625" w:type="dxa"/>
            <w:vAlign w:val="top"/>
          </w:tcPr>
          <w:p w14:paraId="054321CE">
            <w:pPr>
              <w:pStyle w:val="6"/>
              <w:spacing w:before="45" w:line="197" w:lineRule="auto"/>
              <w:ind w:left="141"/>
              <w:rPr>
                <w:sz w:val="21"/>
                <w:szCs w:val="21"/>
              </w:rPr>
            </w:pPr>
            <w:r>
              <w:rPr>
                <w:spacing w:val="1"/>
                <w:sz w:val="21"/>
                <w:szCs w:val="21"/>
              </w:rPr>
              <w:t>高清网络球机</w:t>
            </w:r>
          </w:p>
        </w:tc>
        <w:tc>
          <w:tcPr>
            <w:tcW w:w="669" w:type="dxa"/>
            <w:vAlign w:val="top"/>
          </w:tcPr>
          <w:p w14:paraId="45CB76AF">
            <w:pPr>
              <w:pStyle w:val="6"/>
              <w:spacing w:before="47" w:line="196" w:lineRule="auto"/>
              <w:ind w:left="126"/>
              <w:rPr>
                <w:sz w:val="21"/>
                <w:szCs w:val="21"/>
              </w:rPr>
            </w:pPr>
            <w:r>
              <w:rPr>
                <w:sz w:val="21"/>
                <w:szCs w:val="21"/>
              </w:rPr>
              <w:t>套</w:t>
            </w:r>
          </w:p>
        </w:tc>
        <w:tc>
          <w:tcPr>
            <w:tcW w:w="949" w:type="dxa"/>
            <w:vAlign w:val="top"/>
          </w:tcPr>
          <w:p w14:paraId="649CE593">
            <w:pPr>
              <w:pStyle w:val="6"/>
              <w:spacing w:before="67" w:line="178" w:lineRule="auto"/>
              <w:ind w:left="98"/>
              <w:rPr>
                <w:sz w:val="21"/>
                <w:szCs w:val="21"/>
              </w:rPr>
            </w:pPr>
            <w:r>
              <w:rPr>
                <w:spacing w:val="-2"/>
                <w:sz w:val="21"/>
                <w:szCs w:val="21"/>
              </w:rPr>
              <w:t>24.00</w:t>
            </w:r>
          </w:p>
        </w:tc>
        <w:tc>
          <w:tcPr>
            <w:tcW w:w="519" w:type="dxa"/>
            <w:vAlign w:val="top"/>
          </w:tcPr>
          <w:p w14:paraId="570A13E6">
            <w:pPr>
              <w:rPr>
                <w:rFonts w:ascii="Arial"/>
                <w:sz w:val="21"/>
              </w:rPr>
            </w:pPr>
          </w:p>
        </w:tc>
        <w:tc>
          <w:tcPr>
            <w:tcW w:w="354" w:type="dxa"/>
            <w:vMerge w:val="continue"/>
            <w:tcBorders>
              <w:top w:val="nil"/>
              <w:bottom w:val="nil"/>
            </w:tcBorders>
            <w:vAlign w:val="top"/>
          </w:tcPr>
          <w:p w14:paraId="7E710F55">
            <w:pPr>
              <w:rPr>
                <w:rFonts w:ascii="Arial"/>
                <w:sz w:val="21"/>
              </w:rPr>
            </w:pPr>
          </w:p>
        </w:tc>
      </w:tr>
      <w:tr w14:paraId="75BCA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71D22584">
            <w:pPr>
              <w:rPr>
                <w:rFonts w:ascii="Arial"/>
                <w:sz w:val="21"/>
              </w:rPr>
            </w:pPr>
          </w:p>
        </w:tc>
        <w:tc>
          <w:tcPr>
            <w:tcW w:w="370" w:type="dxa"/>
            <w:vMerge w:val="continue"/>
            <w:tcBorders>
              <w:top w:val="nil"/>
              <w:bottom w:val="nil"/>
            </w:tcBorders>
            <w:vAlign w:val="top"/>
          </w:tcPr>
          <w:p w14:paraId="044681A1">
            <w:pPr>
              <w:rPr>
                <w:rFonts w:ascii="Arial"/>
                <w:sz w:val="21"/>
              </w:rPr>
            </w:pPr>
          </w:p>
        </w:tc>
        <w:tc>
          <w:tcPr>
            <w:tcW w:w="909" w:type="dxa"/>
            <w:vAlign w:val="top"/>
          </w:tcPr>
          <w:p w14:paraId="524EA063">
            <w:pPr>
              <w:pStyle w:val="6"/>
              <w:spacing w:before="57" w:line="178" w:lineRule="auto"/>
              <w:ind w:left="81"/>
              <w:rPr>
                <w:sz w:val="21"/>
                <w:szCs w:val="21"/>
              </w:rPr>
            </w:pPr>
            <w:r>
              <w:rPr>
                <w:spacing w:val="-4"/>
                <w:sz w:val="21"/>
                <w:szCs w:val="21"/>
              </w:rPr>
              <w:t>1.8.2</w:t>
            </w:r>
          </w:p>
        </w:tc>
        <w:tc>
          <w:tcPr>
            <w:tcW w:w="4625" w:type="dxa"/>
            <w:vAlign w:val="top"/>
          </w:tcPr>
          <w:p w14:paraId="72542D29">
            <w:pPr>
              <w:pStyle w:val="6"/>
              <w:spacing w:before="35" w:line="197" w:lineRule="auto"/>
              <w:ind w:left="141"/>
              <w:rPr>
                <w:sz w:val="21"/>
                <w:szCs w:val="21"/>
              </w:rPr>
            </w:pPr>
            <w:r>
              <w:rPr>
                <w:spacing w:val="1"/>
                <w:sz w:val="21"/>
                <w:szCs w:val="21"/>
              </w:rPr>
              <w:t>高清网络枪机</w:t>
            </w:r>
          </w:p>
        </w:tc>
        <w:tc>
          <w:tcPr>
            <w:tcW w:w="669" w:type="dxa"/>
            <w:vAlign w:val="top"/>
          </w:tcPr>
          <w:p w14:paraId="1C35F9CD">
            <w:pPr>
              <w:pStyle w:val="6"/>
              <w:spacing w:before="37" w:line="196" w:lineRule="auto"/>
              <w:ind w:left="126"/>
              <w:rPr>
                <w:sz w:val="21"/>
                <w:szCs w:val="21"/>
              </w:rPr>
            </w:pPr>
            <w:r>
              <w:rPr>
                <w:sz w:val="21"/>
                <w:szCs w:val="21"/>
              </w:rPr>
              <w:t>套</w:t>
            </w:r>
          </w:p>
        </w:tc>
        <w:tc>
          <w:tcPr>
            <w:tcW w:w="949" w:type="dxa"/>
            <w:vAlign w:val="top"/>
          </w:tcPr>
          <w:p w14:paraId="4212391F">
            <w:pPr>
              <w:pStyle w:val="6"/>
              <w:spacing w:before="57" w:line="178" w:lineRule="auto"/>
              <w:ind w:left="98"/>
              <w:rPr>
                <w:sz w:val="21"/>
                <w:szCs w:val="21"/>
              </w:rPr>
            </w:pPr>
            <w:r>
              <w:rPr>
                <w:spacing w:val="-2"/>
                <w:sz w:val="21"/>
                <w:szCs w:val="21"/>
              </w:rPr>
              <w:t>50.00</w:t>
            </w:r>
          </w:p>
        </w:tc>
        <w:tc>
          <w:tcPr>
            <w:tcW w:w="519" w:type="dxa"/>
            <w:vAlign w:val="top"/>
          </w:tcPr>
          <w:p w14:paraId="5E5410C2">
            <w:pPr>
              <w:rPr>
                <w:rFonts w:ascii="Arial"/>
                <w:sz w:val="21"/>
              </w:rPr>
            </w:pPr>
          </w:p>
        </w:tc>
        <w:tc>
          <w:tcPr>
            <w:tcW w:w="354" w:type="dxa"/>
            <w:vMerge w:val="continue"/>
            <w:tcBorders>
              <w:top w:val="nil"/>
              <w:bottom w:val="nil"/>
            </w:tcBorders>
            <w:vAlign w:val="top"/>
          </w:tcPr>
          <w:p w14:paraId="70FDCC45">
            <w:pPr>
              <w:rPr>
                <w:rFonts w:ascii="Arial"/>
                <w:sz w:val="21"/>
              </w:rPr>
            </w:pPr>
          </w:p>
        </w:tc>
      </w:tr>
      <w:tr w14:paraId="76DCE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74" w:type="dxa"/>
            <w:vMerge w:val="continue"/>
            <w:tcBorders>
              <w:top w:val="nil"/>
              <w:bottom w:val="nil"/>
            </w:tcBorders>
            <w:vAlign w:val="top"/>
          </w:tcPr>
          <w:p w14:paraId="176988B2">
            <w:pPr>
              <w:rPr>
                <w:rFonts w:ascii="Arial"/>
                <w:sz w:val="21"/>
              </w:rPr>
            </w:pPr>
          </w:p>
        </w:tc>
        <w:tc>
          <w:tcPr>
            <w:tcW w:w="370" w:type="dxa"/>
            <w:vMerge w:val="continue"/>
            <w:tcBorders>
              <w:top w:val="nil"/>
              <w:bottom w:val="nil"/>
            </w:tcBorders>
            <w:vAlign w:val="top"/>
          </w:tcPr>
          <w:p w14:paraId="2EC3A053">
            <w:pPr>
              <w:rPr>
                <w:rFonts w:ascii="Arial"/>
                <w:sz w:val="21"/>
              </w:rPr>
            </w:pPr>
          </w:p>
        </w:tc>
        <w:tc>
          <w:tcPr>
            <w:tcW w:w="909" w:type="dxa"/>
            <w:vAlign w:val="top"/>
          </w:tcPr>
          <w:p w14:paraId="6C1E6B46">
            <w:pPr>
              <w:pStyle w:val="6"/>
              <w:spacing w:before="57" w:line="169" w:lineRule="auto"/>
              <w:ind w:left="81"/>
              <w:rPr>
                <w:sz w:val="21"/>
                <w:szCs w:val="21"/>
              </w:rPr>
            </w:pPr>
            <w:r>
              <w:rPr>
                <w:spacing w:val="-4"/>
                <w:sz w:val="21"/>
                <w:szCs w:val="21"/>
              </w:rPr>
              <w:t>1.8.3</w:t>
            </w:r>
          </w:p>
        </w:tc>
        <w:tc>
          <w:tcPr>
            <w:tcW w:w="4625" w:type="dxa"/>
            <w:vAlign w:val="top"/>
          </w:tcPr>
          <w:p w14:paraId="385A6D22">
            <w:pPr>
              <w:pStyle w:val="6"/>
              <w:spacing w:before="36" w:line="188" w:lineRule="auto"/>
              <w:ind w:left="141"/>
              <w:rPr>
                <w:sz w:val="21"/>
                <w:szCs w:val="21"/>
              </w:rPr>
            </w:pPr>
            <w:r>
              <w:rPr>
                <w:spacing w:val="1"/>
                <w:sz w:val="21"/>
                <w:szCs w:val="21"/>
              </w:rPr>
              <w:t>立杆及就地电源箱</w:t>
            </w:r>
          </w:p>
        </w:tc>
        <w:tc>
          <w:tcPr>
            <w:tcW w:w="669" w:type="dxa"/>
            <w:vAlign w:val="top"/>
          </w:tcPr>
          <w:p w14:paraId="48007E85">
            <w:pPr>
              <w:pStyle w:val="6"/>
              <w:spacing w:before="37" w:line="187" w:lineRule="auto"/>
              <w:ind w:left="106"/>
              <w:rPr>
                <w:sz w:val="21"/>
                <w:szCs w:val="21"/>
              </w:rPr>
            </w:pPr>
            <w:r>
              <w:rPr>
                <w:sz w:val="21"/>
                <w:szCs w:val="21"/>
              </w:rPr>
              <w:t>套</w:t>
            </w:r>
          </w:p>
        </w:tc>
        <w:tc>
          <w:tcPr>
            <w:tcW w:w="949" w:type="dxa"/>
            <w:vAlign w:val="top"/>
          </w:tcPr>
          <w:p w14:paraId="22D9D449">
            <w:pPr>
              <w:pStyle w:val="6"/>
              <w:spacing w:before="57" w:line="169" w:lineRule="auto"/>
              <w:ind w:left="98"/>
              <w:rPr>
                <w:sz w:val="21"/>
                <w:szCs w:val="21"/>
              </w:rPr>
            </w:pPr>
            <w:r>
              <w:rPr>
                <w:spacing w:val="-3"/>
                <w:sz w:val="21"/>
                <w:szCs w:val="21"/>
              </w:rPr>
              <w:t>74.00</w:t>
            </w:r>
          </w:p>
        </w:tc>
        <w:tc>
          <w:tcPr>
            <w:tcW w:w="519" w:type="dxa"/>
            <w:vAlign w:val="top"/>
          </w:tcPr>
          <w:p w14:paraId="3BAE7033">
            <w:pPr>
              <w:rPr>
                <w:rFonts w:ascii="Arial"/>
                <w:sz w:val="21"/>
              </w:rPr>
            </w:pPr>
          </w:p>
        </w:tc>
        <w:tc>
          <w:tcPr>
            <w:tcW w:w="354" w:type="dxa"/>
            <w:vMerge w:val="continue"/>
            <w:tcBorders>
              <w:top w:val="nil"/>
              <w:bottom w:val="nil"/>
            </w:tcBorders>
            <w:vAlign w:val="top"/>
          </w:tcPr>
          <w:p w14:paraId="1E634DB5">
            <w:pPr>
              <w:rPr>
                <w:rFonts w:ascii="Arial"/>
                <w:sz w:val="21"/>
              </w:rPr>
            </w:pPr>
          </w:p>
        </w:tc>
      </w:tr>
      <w:tr w14:paraId="7AEF7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1A2F51D0">
            <w:pPr>
              <w:rPr>
                <w:rFonts w:ascii="Arial"/>
                <w:sz w:val="21"/>
              </w:rPr>
            </w:pPr>
          </w:p>
        </w:tc>
        <w:tc>
          <w:tcPr>
            <w:tcW w:w="370" w:type="dxa"/>
            <w:vMerge w:val="continue"/>
            <w:tcBorders>
              <w:top w:val="nil"/>
              <w:bottom w:val="nil"/>
            </w:tcBorders>
            <w:vAlign w:val="top"/>
          </w:tcPr>
          <w:p w14:paraId="26626B89">
            <w:pPr>
              <w:rPr>
                <w:rFonts w:ascii="Arial"/>
                <w:sz w:val="21"/>
              </w:rPr>
            </w:pPr>
          </w:p>
        </w:tc>
        <w:tc>
          <w:tcPr>
            <w:tcW w:w="909" w:type="dxa"/>
            <w:vAlign w:val="top"/>
          </w:tcPr>
          <w:p w14:paraId="68A28519">
            <w:pPr>
              <w:pStyle w:val="6"/>
              <w:spacing w:before="57" w:line="178" w:lineRule="auto"/>
              <w:ind w:left="81"/>
              <w:rPr>
                <w:sz w:val="21"/>
                <w:szCs w:val="21"/>
              </w:rPr>
            </w:pPr>
            <w:r>
              <w:rPr>
                <w:spacing w:val="-4"/>
                <w:sz w:val="21"/>
                <w:szCs w:val="21"/>
              </w:rPr>
              <w:t>1.8.4</w:t>
            </w:r>
          </w:p>
        </w:tc>
        <w:tc>
          <w:tcPr>
            <w:tcW w:w="4625" w:type="dxa"/>
            <w:vAlign w:val="top"/>
          </w:tcPr>
          <w:p w14:paraId="090B0FA1">
            <w:pPr>
              <w:pStyle w:val="6"/>
              <w:spacing w:before="35" w:line="197" w:lineRule="auto"/>
              <w:ind w:left="141"/>
              <w:rPr>
                <w:sz w:val="21"/>
                <w:szCs w:val="21"/>
              </w:rPr>
            </w:pPr>
            <w:r>
              <w:rPr>
                <w:spacing w:val="-2"/>
                <w:sz w:val="21"/>
                <w:szCs w:val="21"/>
              </w:rPr>
              <w:t>光纤交换机</w:t>
            </w:r>
          </w:p>
        </w:tc>
        <w:tc>
          <w:tcPr>
            <w:tcW w:w="669" w:type="dxa"/>
            <w:vAlign w:val="top"/>
          </w:tcPr>
          <w:p w14:paraId="42A9A8B9">
            <w:pPr>
              <w:pStyle w:val="6"/>
              <w:spacing w:before="39" w:line="194" w:lineRule="auto"/>
              <w:ind w:left="126"/>
              <w:rPr>
                <w:sz w:val="21"/>
                <w:szCs w:val="21"/>
              </w:rPr>
            </w:pPr>
            <w:r>
              <w:rPr>
                <w:sz w:val="21"/>
                <w:szCs w:val="21"/>
              </w:rPr>
              <w:t>台</w:t>
            </w:r>
          </w:p>
        </w:tc>
        <w:tc>
          <w:tcPr>
            <w:tcW w:w="949" w:type="dxa"/>
            <w:vAlign w:val="top"/>
          </w:tcPr>
          <w:p w14:paraId="49CC634A">
            <w:pPr>
              <w:pStyle w:val="6"/>
              <w:spacing w:before="57" w:line="178" w:lineRule="auto"/>
              <w:ind w:left="98"/>
              <w:rPr>
                <w:sz w:val="21"/>
                <w:szCs w:val="21"/>
              </w:rPr>
            </w:pPr>
            <w:r>
              <w:rPr>
                <w:spacing w:val="-3"/>
                <w:sz w:val="21"/>
                <w:szCs w:val="21"/>
              </w:rPr>
              <w:t>74.00</w:t>
            </w:r>
          </w:p>
        </w:tc>
        <w:tc>
          <w:tcPr>
            <w:tcW w:w="519" w:type="dxa"/>
            <w:vAlign w:val="top"/>
          </w:tcPr>
          <w:p w14:paraId="266131DA">
            <w:pPr>
              <w:rPr>
                <w:rFonts w:ascii="Arial"/>
                <w:sz w:val="21"/>
              </w:rPr>
            </w:pPr>
          </w:p>
        </w:tc>
        <w:tc>
          <w:tcPr>
            <w:tcW w:w="354" w:type="dxa"/>
            <w:vMerge w:val="continue"/>
            <w:tcBorders>
              <w:top w:val="nil"/>
              <w:bottom w:val="nil"/>
            </w:tcBorders>
            <w:vAlign w:val="top"/>
          </w:tcPr>
          <w:p w14:paraId="63C7511A">
            <w:pPr>
              <w:rPr>
                <w:rFonts w:ascii="Arial"/>
                <w:sz w:val="21"/>
              </w:rPr>
            </w:pPr>
          </w:p>
        </w:tc>
      </w:tr>
      <w:tr w14:paraId="7638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26430622">
            <w:pPr>
              <w:rPr>
                <w:rFonts w:ascii="Arial"/>
                <w:sz w:val="21"/>
              </w:rPr>
            </w:pPr>
          </w:p>
        </w:tc>
        <w:tc>
          <w:tcPr>
            <w:tcW w:w="370" w:type="dxa"/>
            <w:vMerge w:val="continue"/>
            <w:tcBorders>
              <w:top w:val="nil"/>
              <w:bottom w:val="nil"/>
            </w:tcBorders>
            <w:vAlign w:val="top"/>
          </w:tcPr>
          <w:p w14:paraId="1E71D818">
            <w:pPr>
              <w:rPr>
                <w:rFonts w:ascii="Arial"/>
                <w:sz w:val="21"/>
              </w:rPr>
            </w:pPr>
          </w:p>
        </w:tc>
        <w:tc>
          <w:tcPr>
            <w:tcW w:w="909" w:type="dxa"/>
            <w:vAlign w:val="top"/>
          </w:tcPr>
          <w:p w14:paraId="46A473C4">
            <w:pPr>
              <w:pStyle w:val="6"/>
              <w:spacing w:before="57" w:line="178" w:lineRule="auto"/>
              <w:ind w:left="81"/>
              <w:rPr>
                <w:sz w:val="21"/>
                <w:szCs w:val="21"/>
              </w:rPr>
            </w:pPr>
            <w:r>
              <w:rPr>
                <w:spacing w:val="-4"/>
                <w:sz w:val="21"/>
                <w:szCs w:val="21"/>
              </w:rPr>
              <w:t>1.8.5</w:t>
            </w:r>
          </w:p>
        </w:tc>
        <w:tc>
          <w:tcPr>
            <w:tcW w:w="4625" w:type="dxa"/>
            <w:vAlign w:val="top"/>
          </w:tcPr>
          <w:p w14:paraId="6EB8BA1C">
            <w:pPr>
              <w:pStyle w:val="6"/>
              <w:spacing w:before="35" w:line="197" w:lineRule="auto"/>
              <w:ind w:left="141"/>
              <w:rPr>
                <w:sz w:val="21"/>
                <w:szCs w:val="21"/>
              </w:rPr>
            </w:pPr>
            <w:r>
              <w:rPr>
                <w:spacing w:val="3"/>
                <w:sz w:val="21"/>
                <w:szCs w:val="21"/>
              </w:rPr>
              <w:t>光纤跳线</w:t>
            </w:r>
          </w:p>
        </w:tc>
        <w:tc>
          <w:tcPr>
            <w:tcW w:w="669" w:type="dxa"/>
            <w:vAlign w:val="top"/>
          </w:tcPr>
          <w:p w14:paraId="6BA76BF8">
            <w:pPr>
              <w:pStyle w:val="6"/>
              <w:spacing w:before="37" w:line="196" w:lineRule="auto"/>
              <w:ind w:left="106"/>
              <w:rPr>
                <w:sz w:val="21"/>
                <w:szCs w:val="21"/>
              </w:rPr>
            </w:pPr>
            <w:r>
              <w:rPr>
                <w:sz w:val="21"/>
                <w:szCs w:val="21"/>
              </w:rPr>
              <w:t>根</w:t>
            </w:r>
          </w:p>
        </w:tc>
        <w:tc>
          <w:tcPr>
            <w:tcW w:w="949" w:type="dxa"/>
            <w:vAlign w:val="top"/>
          </w:tcPr>
          <w:p w14:paraId="6C0BC83B">
            <w:pPr>
              <w:pStyle w:val="6"/>
              <w:spacing w:before="57" w:line="178" w:lineRule="auto"/>
              <w:ind w:left="98"/>
              <w:rPr>
                <w:sz w:val="21"/>
                <w:szCs w:val="21"/>
              </w:rPr>
            </w:pPr>
            <w:r>
              <w:rPr>
                <w:spacing w:val="-3"/>
                <w:sz w:val="21"/>
                <w:szCs w:val="21"/>
              </w:rPr>
              <w:t>74.00</w:t>
            </w:r>
          </w:p>
        </w:tc>
        <w:tc>
          <w:tcPr>
            <w:tcW w:w="519" w:type="dxa"/>
            <w:vAlign w:val="top"/>
          </w:tcPr>
          <w:p w14:paraId="7FF0D745">
            <w:pPr>
              <w:rPr>
                <w:rFonts w:ascii="Arial"/>
                <w:sz w:val="21"/>
              </w:rPr>
            </w:pPr>
          </w:p>
        </w:tc>
        <w:tc>
          <w:tcPr>
            <w:tcW w:w="354" w:type="dxa"/>
            <w:vMerge w:val="continue"/>
            <w:tcBorders>
              <w:top w:val="nil"/>
              <w:bottom w:val="nil"/>
            </w:tcBorders>
            <w:vAlign w:val="top"/>
          </w:tcPr>
          <w:p w14:paraId="4593629D">
            <w:pPr>
              <w:rPr>
                <w:rFonts w:ascii="Arial"/>
                <w:sz w:val="21"/>
              </w:rPr>
            </w:pPr>
          </w:p>
        </w:tc>
      </w:tr>
      <w:tr w14:paraId="52A21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74" w:type="dxa"/>
            <w:vMerge w:val="continue"/>
            <w:tcBorders>
              <w:top w:val="nil"/>
              <w:bottom w:val="nil"/>
            </w:tcBorders>
            <w:vAlign w:val="top"/>
          </w:tcPr>
          <w:p w14:paraId="7E43C663">
            <w:pPr>
              <w:rPr>
                <w:rFonts w:ascii="Arial"/>
                <w:sz w:val="21"/>
              </w:rPr>
            </w:pPr>
          </w:p>
        </w:tc>
        <w:tc>
          <w:tcPr>
            <w:tcW w:w="370" w:type="dxa"/>
            <w:vMerge w:val="continue"/>
            <w:tcBorders>
              <w:top w:val="nil"/>
              <w:bottom w:val="nil"/>
            </w:tcBorders>
            <w:vAlign w:val="top"/>
          </w:tcPr>
          <w:p w14:paraId="09D1AA31">
            <w:pPr>
              <w:rPr>
                <w:rFonts w:ascii="Arial"/>
                <w:sz w:val="21"/>
              </w:rPr>
            </w:pPr>
          </w:p>
        </w:tc>
        <w:tc>
          <w:tcPr>
            <w:tcW w:w="909" w:type="dxa"/>
            <w:vAlign w:val="top"/>
          </w:tcPr>
          <w:p w14:paraId="75EC3332">
            <w:pPr>
              <w:pStyle w:val="6"/>
              <w:spacing w:before="77" w:line="187" w:lineRule="auto"/>
              <w:ind w:left="81"/>
              <w:rPr>
                <w:sz w:val="21"/>
                <w:szCs w:val="21"/>
              </w:rPr>
            </w:pPr>
            <w:r>
              <w:rPr>
                <w:spacing w:val="-4"/>
                <w:sz w:val="21"/>
                <w:szCs w:val="21"/>
              </w:rPr>
              <w:t>1.8.6</w:t>
            </w:r>
          </w:p>
        </w:tc>
        <w:tc>
          <w:tcPr>
            <w:tcW w:w="4625" w:type="dxa"/>
            <w:vAlign w:val="top"/>
          </w:tcPr>
          <w:p w14:paraId="5AE07CB7">
            <w:pPr>
              <w:pStyle w:val="6"/>
              <w:spacing w:before="55" w:line="206" w:lineRule="auto"/>
              <w:ind w:left="141"/>
              <w:rPr>
                <w:sz w:val="21"/>
                <w:szCs w:val="21"/>
              </w:rPr>
            </w:pPr>
            <w:r>
              <w:rPr>
                <w:spacing w:val="-1"/>
                <w:sz w:val="21"/>
                <w:szCs w:val="21"/>
              </w:rPr>
              <w:t>磷酸铵盐干粉灭火器</w:t>
            </w:r>
          </w:p>
        </w:tc>
        <w:tc>
          <w:tcPr>
            <w:tcW w:w="669" w:type="dxa"/>
            <w:vAlign w:val="top"/>
          </w:tcPr>
          <w:p w14:paraId="38BA5F20">
            <w:pPr>
              <w:pStyle w:val="6"/>
              <w:spacing w:before="56" w:line="205" w:lineRule="auto"/>
              <w:ind w:left="126"/>
              <w:rPr>
                <w:sz w:val="21"/>
                <w:szCs w:val="21"/>
              </w:rPr>
            </w:pPr>
            <w:r>
              <w:rPr>
                <w:sz w:val="21"/>
                <w:szCs w:val="21"/>
              </w:rPr>
              <w:t>套</w:t>
            </w:r>
          </w:p>
        </w:tc>
        <w:tc>
          <w:tcPr>
            <w:tcW w:w="949" w:type="dxa"/>
            <w:vAlign w:val="top"/>
          </w:tcPr>
          <w:p w14:paraId="663D975A">
            <w:pPr>
              <w:pStyle w:val="6"/>
              <w:spacing w:before="77" w:line="187" w:lineRule="auto"/>
              <w:ind w:left="98"/>
              <w:rPr>
                <w:sz w:val="21"/>
                <w:szCs w:val="21"/>
              </w:rPr>
            </w:pPr>
            <w:r>
              <w:rPr>
                <w:spacing w:val="-2"/>
                <w:sz w:val="21"/>
                <w:szCs w:val="21"/>
              </w:rPr>
              <w:t>24.00</w:t>
            </w:r>
          </w:p>
        </w:tc>
        <w:tc>
          <w:tcPr>
            <w:tcW w:w="519" w:type="dxa"/>
            <w:vAlign w:val="top"/>
          </w:tcPr>
          <w:p w14:paraId="18D6AF3A">
            <w:pPr>
              <w:rPr>
                <w:rFonts w:ascii="Arial"/>
                <w:sz w:val="21"/>
              </w:rPr>
            </w:pPr>
          </w:p>
        </w:tc>
        <w:tc>
          <w:tcPr>
            <w:tcW w:w="354" w:type="dxa"/>
            <w:vMerge w:val="continue"/>
            <w:tcBorders>
              <w:top w:val="nil"/>
              <w:bottom w:val="nil"/>
            </w:tcBorders>
            <w:vAlign w:val="top"/>
          </w:tcPr>
          <w:p w14:paraId="7A661A77">
            <w:pPr>
              <w:rPr>
                <w:rFonts w:ascii="Arial"/>
                <w:sz w:val="21"/>
              </w:rPr>
            </w:pPr>
          </w:p>
        </w:tc>
      </w:tr>
      <w:tr w14:paraId="488BB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74" w:type="dxa"/>
            <w:vMerge w:val="continue"/>
            <w:tcBorders>
              <w:top w:val="nil"/>
              <w:bottom w:val="nil"/>
            </w:tcBorders>
            <w:vAlign w:val="top"/>
          </w:tcPr>
          <w:p w14:paraId="781BCB23">
            <w:pPr>
              <w:rPr>
                <w:rFonts w:ascii="Arial"/>
                <w:sz w:val="21"/>
              </w:rPr>
            </w:pPr>
          </w:p>
        </w:tc>
        <w:tc>
          <w:tcPr>
            <w:tcW w:w="370" w:type="dxa"/>
            <w:vMerge w:val="continue"/>
            <w:tcBorders>
              <w:top w:val="nil"/>
              <w:bottom w:val="nil"/>
            </w:tcBorders>
            <w:vAlign w:val="top"/>
          </w:tcPr>
          <w:p w14:paraId="77B5C81C">
            <w:pPr>
              <w:rPr>
                <w:rFonts w:ascii="Arial"/>
                <w:sz w:val="21"/>
              </w:rPr>
            </w:pPr>
          </w:p>
        </w:tc>
        <w:tc>
          <w:tcPr>
            <w:tcW w:w="909" w:type="dxa"/>
            <w:vAlign w:val="top"/>
          </w:tcPr>
          <w:p w14:paraId="7B0F4F46">
            <w:pPr>
              <w:pStyle w:val="6"/>
              <w:spacing w:before="57" w:line="177" w:lineRule="auto"/>
              <w:ind w:left="81"/>
              <w:rPr>
                <w:sz w:val="21"/>
                <w:szCs w:val="21"/>
              </w:rPr>
            </w:pPr>
            <w:r>
              <w:rPr>
                <w:spacing w:val="-4"/>
                <w:sz w:val="21"/>
                <w:szCs w:val="21"/>
              </w:rPr>
              <w:t>1.8.7</w:t>
            </w:r>
          </w:p>
        </w:tc>
        <w:tc>
          <w:tcPr>
            <w:tcW w:w="4625" w:type="dxa"/>
            <w:vAlign w:val="top"/>
          </w:tcPr>
          <w:p w14:paraId="72FE4355">
            <w:pPr>
              <w:pStyle w:val="6"/>
              <w:spacing w:before="30" w:line="201" w:lineRule="auto"/>
              <w:ind w:left="141"/>
              <w:rPr>
                <w:sz w:val="21"/>
                <w:szCs w:val="21"/>
              </w:rPr>
            </w:pPr>
            <w:r>
              <w:rPr>
                <w:spacing w:val="-1"/>
                <w:sz w:val="21"/>
                <w:szCs w:val="21"/>
              </w:rPr>
              <w:t>逆变器电缆保护罩不锈钢材质，0.2kg</w:t>
            </w:r>
          </w:p>
        </w:tc>
        <w:tc>
          <w:tcPr>
            <w:tcW w:w="669" w:type="dxa"/>
            <w:vAlign w:val="top"/>
          </w:tcPr>
          <w:p w14:paraId="7F7DCB17">
            <w:pPr>
              <w:pStyle w:val="6"/>
              <w:spacing w:before="36" w:line="196" w:lineRule="auto"/>
              <w:ind w:left="126"/>
              <w:rPr>
                <w:sz w:val="21"/>
                <w:szCs w:val="21"/>
              </w:rPr>
            </w:pPr>
            <w:r>
              <w:rPr>
                <w:sz w:val="21"/>
                <w:szCs w:val="21"/>
              </w:rPr>
              <w:t>个</w:t>
            </w:r>
          </w:p>
        </w:tc>
        <w:tc>
          <w:tcPr>
            <w:tcW w:w="949" w:type="dxa"/>
            <w:vAlign w:val="top"/>
          </w:tcPr>
          <w:p w14:paraId="0B65C1BB">
            <w:pPr>
              <w:pStyle w:val="6"/>
              <w:spacing w:before="57" w:line="177" w:lineRule="auto"/>
              <w:ind w:left="98"/>
              <w:rPr>
                <w:sz w:val="21"/>
                <w:szCs w:val="21"/>
              </w:rPr>
            </w:pPr>
            <w:r>
              <w:rPr>
                <w:spacing w:val="-4"/>
                <w:sz w:val="21"/>
                <w:szCs w:val="21"/>
              </w:rPr>
              <w:t>179.00</w:t>
            </w:r>
          </w:p>
        </w:tc>
        <w:tc>
          <w:tcPr>
            <w:tcW w:w="519" w:type="dxa"/>
            <w:vAlign w:val="top"/>
          </w:tcPr>
          <w:p w14:paraId="54A20454">
            <w:pPr>
              <w:rPr>
                <w:rFonts w:ascii="Arial"/>
                <w:sz w:val="21"/>
              </w:rPr>
            </w:pPr>
          </w:p>
        </w:tc>
        <w:tc>
          <w:tcPr>
            <w:tcW w:w="354" w:type="dxa"/>
            <w:vMerge w:val="continue"/>
            <w:tcBorders>
              <w:top w:val="nil"/>
              <w:bottom w:val="nil"/>
            </w:tcBorders>
            <w:vAlign w:val="top"/>
          </w:tcPr>
          <w:p w14:paraId="51D08300">
            <w:pPr>
              <w:rPr>
                <w:rFonts w:ascii="Arial"/>
                <w:sz w:val="21"/>
              </w:rPr>
            </w:pPr>
          </w:p>
        </w:tc>
      </w:tr>
      <w:tr w14:paraId="6505A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74" w:type="dxa"/>
            <w:vMerge w:val="continue"/>
            <w:tcBorders>
              <w:top w:val="nil"/>
              <w:bottom w:val="nil"/>
            </w:tcBorders>
            <w:vAlign w:val="top"/>
          </w:tcPr>
          <w:p w14:paraId="6C67F031">
            <w:pPr>
              <w:rPr>
                <w:rFonts w:ascii="Arial"/>
                <w:sz w:val="21"/>
              </w:rPr>
            </w:pPr>
          </w:p>
        </w:tc>
        <w:tc>
          <w:tcPr>
            <w:tcW w:w="370" w:type="dxa"/>
            <w:vMerge w:val="continue"/>
            <w:tcBorders>
              <w:top w:val="nil"/>
              <w:bottom w:val="nil"/>
            </w:tcBorders>
            <w:vAlign w:val="top"/>
          </w:tcPr>
          <w:p w14:paraId="50593F41">
            <w:pPr>
              <w:rPr>
                <w:rFonts w:ascii="Arial"/>
                <w:sz w:val="21"/>
              </w:rPr>
            </w:pPr>
          </w:p>
        </w:tc>
        <w:tc>
          <w:tcPr>
            <w:tcW w:w="909" w:type="dxa"/>
            <w:vAlign w:val="top"/>
          </w:tcPr>
          <w:p w14:paraId="614B10CC">
            <w:pPr>
              <w:pStyle w:val="6"/>
              <w:spacing w:before="58" w:line="168" w:lineRule="auto"/>
              <w:ind w:left="81"/>
              <w:rPr>
                <w:sz w:val="21"/>
                <w:szCs w:val="21"/>
              </w:rPr>
            </w:pPr>
            <w:r>
              <w:rPr>
                <w:sz w:val="21"/>
                <w:szCs w:val="21"/>
              </w:rPr>
              <w:t>2</w:t>
            </w:r>
          </w:p>
        </w:tc>
        <w:tc>
          <w:tcPr>
            <w:tcW w:w="4625" w:type="dxa"/>
            <w:vAlign w:val="top"/>
          </w:tcPr>
          <w:p w14:paraId="7EC06A4A">
            <w:pPr>
              <w:pStyle w:val="6"/>
              <w:spacing w:before="38" w:line="186" w:lineRule="auto"/>
              <w:ind w:left="141"/>
              <w:rPr>
                <w:sz w:val="21"/>
                <w:szCs w:val="21"/>
              </w:rPr>
            </w:pPr>
            <w:r>
              <w:rPr>
                <w:spacing w:val="-1"/>
                <w:sz w:val="21"/>
                <w:szCs w:val="21"/>
              </w:rPr>
              <w:t>升压站变配电设备及安装</w:t>
            </w:r>
          </w:p>
        </w:tc>
        <w:tc>
          <w:tcPr>
            <w:tcW w:w="669" w:type="dxa"/>
            <w:vAlign w:val="top"/>
          </w:tcPr>
          <w:p w14:paraId="335F756B">
            <w:pPr>
              <w:rPr>
                <w:rFonts w:ascii="Arial"/>
                <w:sz w:val="21"/>
              </w:rPr>
            </w:pPr>
          </w:p>
        </w:tc>
        <w:tc>
          <w:tcPr>
            <w:tcW w:w="949" w:type="dxa"/>
            <w:vAlign w:val="top"/>
          </w:tcPr>
          <w:p w14:paraId="75C693C6">
            <w:pPr>
              <w:rPr>
                <w:rFonts w:ascii="Arial"/>
                <w:sz w:val="21"/>
              </w:rPr>
            </w:pPr>
          </w:p>
        </w:tc>
        <w:tc>
          <w:tcPr>
            <w:tcW w:w="519" w:type="dxa"/>
            <w:vAlign w:val="top"/>
          </w:tcPr>
          <w:p w14:paraId="0D6419EF">
            <w:pPr>
              <w:rPr>
                <w:rFonts w:ascii="Arial"/>
                <w:sz w:val="21"/>
              </w:rPr>
            </w:pPr>
          </w:p>
        </w:tc>
        <w:tc>
          <w:tcPr>
            <w:tcW w:w="354" w:type="dxa"/>
            <w:vMerge w:val="continue"/>
            <w:tcBorders>
              <w:top w:val="nil"/>
              <w:bottom w:val="nil"/>
            </w:tcBorders>
            <w:vAlign w:val="top"/>
          </w:tcPr>
          <w:p w14:paraId="5FF483F6">
            <w:pPr>
              <w:rPr>
                <w:rFonts w:ascii="Arial"/>
                <w:sz w:val="21"/>
              </w:rPr>
            </w:pPr>
          </w:p>
        </w:tc>
      </w:tr>
      <w:tr w14:paraId="2EB7B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74" w:type="dxa"/>
            <w:vMerge w:val="continue"/>
            <w:tcBorders>
              <w:top w:val="nil"/>
              <w:bottom w:val="nil"/>
            </w:tcBorders>
            <w:vAlign w:val="top"/>
          </w:tcPr>
          <w:p w14:paraId="6E90C802">
            <w:pPr>
              <w:rPr>
                <w:rFonts w:ascii="Arial"/>
                <w:sz w:val="21"/>
              </w:rPr>
            </w:pPr>
          </w:p>
        </w:tc>
        <w:tc>
          <w:tcPr>
            <w:tcW w:w="370" w:type="dxa"/>
            <w:vMerge w:val="continue"/>
            <w:tcBorders>
              <w:top w:val="nil"/>
              <w:bottom w:val="nil"/>
            </w:tcBorders>
            <w:vAlign w:val="top"/>
          </w:tcPr>
          <w:p w14:paraId="75F81A58">
            <w:pPr>
              <w:rPr>
                <w:rFonts w:ascii="Arial"/>
                <w:sz w:val="21"/>
              </w:rPr>
            </w:pPr>
          </w:p>
        </w:tc>
        <w:tc>
          <w:tcPr>
            <w:tcW w:w="909" w:type="dxa"/>
            <w:vAlign w:val="top"/>
          </w:tcPr>
          <w:p w14:paraId="350B6CFE">
            <w:pPr>
              <w:pStyle w:val="6"/>
              <w:spacing w:before="58" w:line="176" w:lineRule="auto"/>
              <w:ind w:left="81"/>
              <w:rPr>
                <w:sz w:val="21"/>
                <w:szCs w:val="21"/>
              </w:rPr>
            </w:pPr>
            <w:r>
              <w:rPr>
                <w:spacing w:val="-3"/>
                <w:sz w:val="21"/>
                <w:szCs w:val="21"/>
              </w:rPr>
              <w:t>2.1</w:t>
            </w:r>
          </w:p>
        </w:tc>
        <w:tc>
          <w:tcPr>
            <w:tcW w:w="4625" w:type="dxa"/>
            <w:vAlign w:val="top"/>
          </w:tcPr>
          <w:p w14:paraId="46775221">
            <w:pPr>
              <w:pStyle w:val="6"/>
              <w:spacing w:before="39" w:line="193" w:lineRule="auto"/>
              <w:ind w:left="141"/>
              <w:rPr>
                <w:sz w:val="21"/>
                <w:szCs w:val="21"/>
              </w:rPr>
            </w:pPr>
            <w:r>
              <w:rPr>
                <w:spacing w:val="-2"/>
                <w:sz w:val="21"/>
                <w:szCs w:val="21"/>
              </w:rPr>
              <w:t>主变压器</w:t>
            </w:r>
          </w:p>
        </w:tc>
        <w:tc>
          <w:tcPr>
            <w:tcW w:w="669" w:type="dxa"/>
            <w:vAlign w:val="top"/>
          </w:tcPr>
          <w:p w14:paraId="379C1ADA">
            <w:pPr>
              <w:rPr>
                <w:rFonts w:ascii="Arial"/>
                <w:sz w:val="21"/>
              </w:rPr>
            </w:pPr>
          </w:p>
        </w:tc>
        <w:tc>
          <w:tcPr>
            <w:tcW w:w="949" w:type="dxa"/>
            <w:vAlign w:val="top"/>
          </w:tcPr>
          <w:p w14:paraId="4CCE6277">
            <w:pPr>
              <w:rPr>
                <w:rFonts w:ascii="Arial"/>
                <w:sz w:val="21"/>
              </w:rPr>
            </w:pPr>
          </w:p>
        </w:tc>
        <w:tc>
          <w:tcPr>
            <w:tcW w:w="519" w:type="dxa"/>
            <w:vAlign w:val="top"/>
          </w:tcPr>
          <w:p w14:paraId="3F35E797">
            <w:pPr>
              <w:rPr>
                <w:rFonts w:ascii="Arial"/>
                <w:sz w:val="21"/>
              </w:rPr>
            </w:pPr>
          </w:p>
        </w:tc>
        <w:tc>
          <w:tcPr>
            <w:tcW w:w="354" w:type="dxa"/>
            <w:vMerge w:val="continue"/>
            <w:tcBorders>
              <w:top w:val="nil"/>
              <w:bottom w:val="nil"/>
            </w:tcBorders>
            <w:vAlign w:val="top"/>
          </w:tcPr>
          <w:p w14:paraId="5F2A9C26">
            <w:pPr>
              <w:rPr>
                <w:rFonts w:ascii="Arial"/>
                <w:sz w:val="21"/>
              </w:rPr>
            </w:pPr>
          </w:p>
        </w:tc>
      </w:tr>
      <w:tr w14:paraId="28A44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74" w:type="dxa"/>
            <w:vMerge w:val="continue"/>
            <w:tcBorders>
              <w:top w:val="nil"/>
            </w:tcBorders>
            <w:vAlign w:val="top"/>
          </w:tcPr>
          <w:p w14:paraId="26A2F18A">
            <w:pPr>
              <w:rPr>
                <w:rFonts w:ascii="Arial"/>
                <w:sz w:val="21"/>
              </w:rPr>
            </w:pPr>
          </w:p>
        </w:tc>
        <w:tc>
          <w:tcPr>
            <w:tcW w:w="370" w:type="dxa"/>
            <w:vMerge w:val="continue"/>
            <w:tcBorders>
              <w:top w:val="nil"/>
            </w:tcBorders>
            <w:vAlign w:val="top"/>
          </w:tcPr>
          <w:p w14:paraId="7D3B11AD">
            <w:pPr>
              <w:rPr>
                <w:rFonts w:ascii="Arial"/>
                <w:sz w:val="21"/>
              </w:rPr>
            </w:pPr>
          </w:p>
        </w:tc>
        <w:tc>
          <w:tcPr>
            <w:tcW w:w="909" w:type="dxa"/>
            <w:vAlign w:val="top"/>
          </w:tcPr>
          <w:p w14:paraId="0CA76FF8">
            <w:pPr>
              <w:pStyle w:val="6"/>
              <w:spacing w:before="59" w:line="181" w:lineRule="auto"/>
              <w:ind w:left="81"/>
              <w:rPr>
                <w:sz w:val="21"/>
                <w:szCs w:val="21"/>
              </w:rPr>
            </w:pPr>
            <w:r>
              <w:rPr>
                <w:spacing w:val="-2"/>
                <w:sz w:val="21"/>
                <w:szCs w:val="21"/>
              </w:rPr>
              <w:t>2.1.1</w:t>
            </w:r>
          </w:p>
        </w:tc>
        <w:tc>
          <w:tcPr>
            <w:tcW w:w="4625" w:type="dxa"/>
            <w:vAlign w:val="top"/>
          </w:tcPr>
          <w:p w14:paraId="2E3502BB">
            <w:pPr>
              <w:pStyle w:val="6"/>
              <w:spacing w:before="38" w:line="199" w:lineRule="auto"/>
              <w:ind w:left="131"/>
              <w:rPr>
                <w:sz w:val="21"/>
                <w:szCs w:val="21"/>
              </w:rPr>
            </w:pPr>
            <w:r>
              <w:rPr>
                <w:sz w:val="21"/>
                <w:szCs w:val="21"/>
              </w:rPr>
              <w:t>三相双绕组油浸式自冷有载调压电力变压器。型</w:t>
            </w:r>
          </w:p>
        </w:tc>
        <w:tc>
          <w:tcPr>
            <w:tcW w:w="669" w:type="dxa"/>
            <w:vAlign w:val="top"/>
          </w:tcPr>
          <w:p w14:paraId="1AEF3234">
            <w:pPr>
              <w:pStyle w:val="6"/>
              <w:spacing w:before="39" w:line="198" w:lineRule="auto"/>
              <w:ind w:left="126"/>
              <w:rPr>
                <w:sz w:val="21"/>
                <w:szCs w:val="21"/>
              </w:rPr>
            </w:pPr>
            <w:r>
              <w:rPr>
                <w:sz w:val="21"/>
                <w:szCs w:val="21"/>
              </w:rPr>
              <w:t>套</w:t>
            </w:r>
          </w:p>
        </w:tc>
        <w:tc>
          <w:tcPr>
            <w:tcW w:w="949" w:type="dxa"/>
            <w:vAlign w:val="top"/>
          </w:tcPr>
          <w:p w14:paraId="51E58CA1">
            <w:pPr>
              <w:pStyle w:val="6"/>
              <w:spacing w:before="59" w:line="181" w:lineRule="auto"/>
              <w:ind w:left="98"/>
              <w:rPr>
                <w:sz w:val="21"/>
                <w:szCs w:val="21"/>
              </w:rPr>
            </w:pPr>
            <w:r>
              <w:rPr>
                <w:spacing w:val="-5"/>
                <w:sz w:val="21"/>
                <w:szCs w:val="21"/>
              </w:rPr>
              <w:t>1.00</w:t>
            </w:r>
          </w:p>
        </w:tc>
        <w:tc>
          <w:tcPr>
            <w:tcW w:w="519" w:type="dxa"/>
            <w:vAlign w:val="top"/>
          </w:tcPr>
          <w:p w14:paraId="452BEC93">
            <w:pPr>
              <w:rPr>
                <w:rFonts w:ascii="Arial"/>
                <w:sz w:val="21"/>
              </w:rPr>
            </w:pPr>
          </w:p>
        </w:tc>
        <w:tc>
          <w:tcPr>
            <w:tcW w:w="354" w:type="dxa"/>
            <w:vMerge w:val="continue"/>
            <w:tcBorders>
              <w:top w:val="nil"/>
            </w:tcBorders>
            <w:vAlign w:val="top"/>
          </w:tcPr>
          <w:p w14:paraId="781C4DA0">
            <w:pPr>
              <w:rPr>
                <w:rFonts w:ascii="Arial"/>
                <w:sz w:val="21"/>
              </w:rPr>
            </w:pPr>
          </w:p>
        </w:tc>
      </w:tr>
    </w:tbl>
    <w:p w14:paraId="0D476B70">
      <w:pPr>
        <w:pStyle w:val="2"/>
      </w:pPr>
    </w:p>
    <w:p w14:paraId="134F3CE3">
      <w:pPr>
        <w:sectPr>
          <w:headerReference r:id="rId69" w:type="default"/>
          <w:footerReference r:id="rId70" w:type="default"/>
          <w:pgSz w:w="11910" w:h="16830"/>
          <w:pgMar w:top="400" w:right="1415" w:bottom="1245" w:left="1415" w:header="0" w:footer="1083" w:gutter="0"/>
          <w:cols w:space="720" w:num="1"/>
        </w:sectPr>
      </w:pPr>
    </w:p>
    <w:p w14:paraId="6627CBB9">
      <w:pPr>
        <w:spacing w:before="18"/>
      </w:pPr>
    </w:p>
    <w:p w14:paraId="41F1E159">
      <w:pPr>
        <w:spacing w:before="17"/>
      </w:pPr>
    </w:p>
    <w:p w14:paraId="6EB2A24C">
      <w:pPr>
        <w:spacing w:before="17"/>
      </w:pPr>
    </w:p>
    <w:p w14:paraId="226F673B">
      <w:pPr>
        <w:spacing w:before="17"/>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340"/>
        <w:gridCol w:w="929"/>
        <w:gridCol w:w="4635"/>
        <w:gridCol w:w="659"/>
        <w:gridCol w:w="949"/>
        <w:gridCol w:w="509"/>
        <w:gridCol w:w="344"/>
      </w:tblGrid>
      <w:tr w14:paraId="76665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94" w:type="dxa"/>
            <w:vMerge w:val="restart"/>
            <w:tcBorders>
              <w:bottom w:val="nil"/>
            </w:tcBorders>
            <w:vAlign w:val="top"/>
          </w:tcPr>
          <w:p w14:paraId="3EEA3FDF">
            <w:pPr>
              <w:rPr>
                <w:rFonts w:ascii="Arial"/>
                <w:sz w:val="21"/>
              </w:rPr>
            </w:pPr>
          </w:p>
        </w:tc>
        <w:tc>
          <w:tcPr>
            <w:tcW w:w="340" w:type="dxa"/>
            <w:vMerge w:val="restart"/>
            <w:tcBorders>
              <w:bottom w:val="nil"/>
            </w:tcBorders>
            <w:vAlign w:val="top"/>
          </w:tcPr>
          <w:p w14:paraId="7BC28FCF">
            <w:pPr>
              <w:rPr>
                <w:rFonts w:ascii="Arial"/>
                <w:sz w:val="21"/>
              </w:rPr>
            </w:pPr>
          </w:p>
        </w:tc>
        <w:tc>
          <w:tcPr>
            <w:tcW w:w="929" w:type="dxa"/>
            <w:vAlign w:val="top"/>
          </w:tcPr>
          <w:p w14:paraId="151E03AE">
            <w:pPr>
              <w:rPr>
                <w:rFonts w:ascii="Arial"/>
                <w:sz w:val="21"/>
              </w:rPr>
            </w:pPr>
          </w:p>
        </w:tc>
        <w:tc>
          <w:tcPr>
            <w:tcW w:w="4635" w:type="dxa"/>
            <w:vAlign w:val="top"/>
          </w:tcPr>
          <w:p w14:paraId="2FCDAF72">
            <w:pPr>
              <w:pStyle w:val="6"/>
              <w:spacing w:before="35" w:line="193" w:lineRule="auto"/>
              <w:ind w:left="101"/>
              <w:rPr>
                <w:sz w:val="21"/>
                <w:szCs w:val="21"/>
              </w:rPr>
            </w:pPr>
            <w:r>
              <w:rPr>
                <w:spacing w:val="-1"/>
                <w:sz w:val="21"/>
                <w:szCs w:val="21"/>
              </w:rPr>
              <w:t>号：SZ18-50MVA/110kV</w:t>
            </w:r>
          </w:p>
        </w:tc>
        <w:tc>
          <w:tcPr>
            <w:tcW w:w="659" w:type="dxa"/>
            <w:vAlign w:val="top"/>
          </w:tcPr>
          <w:p w14:paraId="6B9E55F5">
            <w:pPr>
              <w:rPr>
                <w:rFonts w:ascii="Arial"/>
                <w:sz w:val="21"/>
              </w:rPr>
            </w:pPr>
          </w:p>
        </w:tc>
        <w:tc>
          <w:tcPr>
            <w:tcW w:w="949" w:type="dxa"/>
            <w:vAlign w:val="top"/>
          </w:tcPr>
          <w:p w14:paraId="2CAC9941">
            <w:pPr>
              <w:rPr>
                <w:rFonts w:ascii="Arial"/>
                <w:sz w:val="21"/>
              </w:rPr>
            </w:pPr>
          </w:p>
        </w:tc>
        <w:tc>
          <w:tcPr>
            <w:tcW w:w="509" w:type="dxa"/>
            <w:vAlign w:val="top"/>
          </w:tcPr>
          <w:p w14:paraId="776149F3">
            <w:pPr>
              <w:rPr>
                <w:rFonts w:ascii="Arial"/>
                <w:sz w:val="21"/>
              </w:rPr>
            </w:pPr>
          </w:p>
        </w:tc>
        <w:tc>
          <w:tcPr>
            <w:tcW w:w="344" w:type="dxa"/>
            <w:vMerge w:val="restart"/>
            <w:tcBorders>
              <w:bottom w:val="nil"/>
            </w:tcBorders>
            <w:vAlign w:val="top"/>
          </w:tcPr>
          <w:p w14:paraId="1D25E9E8">
            <w:pPr>
              <w:rPr>
                <w:rFonts w:ascii="Arial"/>
                <w:sz w:val="21"/>
              </w:rPr>
            </w:pPr>
          </w:p>
        </w:tc>
      </w:tr>
      <w:tr w14:paraId="36DD1849">
        <w:tblPrEx>
          <w:tblCellMar>
            <w:top w:w="0" w:type="dxa"/>
            <w:left w:w="0" w:type="dxa"/>
            <w:bottom w:w="0" w:type="dxa"/>
            <w:right w:w="0" w:type="dxa"/>
          </w:tblCellMar>
        </w:tblPrEx>
        <w:trPr>
          <w:trHeight w:val="290" w:hRule="atLeast"/>
        </w:trPr>
        <w:tc>
          <w:tcPr>
            <w:tcW w:w="694" w:type="dxa"/>
            <w:vMerge w:val="continue"/>
            <w:tcBorders>
              <w:top w:val="nil"/>
              <w:bottom w:val="nil"/>
            </w:tcBorders>
            <w:vAlign w:val="top"/>
          </w:tcPr>
          <w:p w14:paraId="604D20AF">
            <w:pPr>
              <w:rPr>
                <w:rFonts w:ascii="Arial"/>
                <w:sz w:val="21"/>
              </w:rPr>
            </w:pPr>
          </w:p>
        </w:tc>
        <w:tc>
          <w:tcPr>
            <w:tcW w:w="340" w:type="dxa"/>
            <w:vMerge w:val="continue"/>
            <w:tcBorders>
              <w:top w:val="nil"/>
              <w:bottom w:val="nil"/>
            </w:tcBorders>
            <w:vAlign w:val="top"/>
          </w:tcPr>
          <w:p w14:paraId="21BEE3FD">
            <w:pPr>
              <w:rPr>
                <w:rFonts w:ascii="Arial"/>
                <w:sz w:val="21"/>
              </w:rPr>
            </w:pPr>
          </w:p>
        </w:tc>
        <w:tc>
          <w:tcPr>
            <w:tcW w:w="929" w:type="dxa"/>
            <w:vAlign w:val="top"/>
          </w:tcPr>
          <w:p w14:paraId="0D4B40A8">
            <w:pPr>
              <w:pStyle w:val="6"/>
              <w:spacing w:before="59" w:line="194" w:lineRule="auto"/>
              <w:ind w:left="71"/>
              <w:rPr>
                <w:sz w:val="21"/>
                <w:szCs w:val="21"/>
              </w:rPr>
            </w:pPr>
            <w:r>
              <w:rPr>
                <w:spacing w:val="-2"/>
                <w:sz w:val="21"/>
                <w:szCs w:val="21"/>
              </w:rPr>
              <w:t>2.1.2</w:t>
            </w:r>
          </w:p>
        </w:tc>
        <w:tc>
          <w:tcPr>
            <w:tcW w:w="4635" w:type="dxa"/>
            <w:vAlign w:val="top"/>
          </w:tcPr>
          <w:p w14:paraId="45A0D0C7">
            <w:pPr>
              <w:pStyle w:val="6"/>
              <w:spacing w:before="38" w:line="212" w:lineRule="auto"/>
              <w:ind w:left="101"/>
              <w:rPr>
                <w:sz w:val="21"/>
                <w:szCs w:val="21"/>
              </w:rPr>
            </w:pPr>
            <w:r>
              <w:rPr>
                <w:sz w:val="21"/>
                <w:szCs w:val="21"/>
              </w:rPr>
              <w:t>110kV变压器中性点成套装置</w:t>
            </w:r>
          </w:p>
        </w:tc>
        <w:tc>
          <w:tcPr>
            <w:tcW w:w="659" w:type="dxa"/>
            <w:vAlign w:val="top"/>
          </w:tcPr>
          <w:p w14:paraId="205752FD">
            <w:pPr>
              <w:pStyle w:val="6"/>
              <w:spacing w:before="51" w:line="201" w:lineRule="auto"/>
              <w:ind w:left="96"/>
              <w:rPr>
                <w:sz w:val="21"/>
                <w:szCs w:val="21"/>
              </w:rPr>
            </w:pPr>
            <w:r>
              <w:rPr>
                <w:sz w:val="21"/>
                <w:szCs w:val="21"/>
              </w:rPr>
              <w:t>组</w:t>
            </w:r>
          </w:p>
        </w:tc>
        <w:tc>
          <w:tcPr>
            <w:tcW w:w="949" w:type="dxa"/>
            <w:vAlign w:val="top"/>
          </w:tcPr>
          <w:p w14:paraId="33354785">
            <w:pPr>
              <w:pStyle w:val="6"/>
              <w:spacing w:before="59" w:line="194" w:lineRule="auto"/>
              <w:ind w:left="107"/>
              <w:rPr>
                <w:sz w:val="21"/>
                <w:szCs w:val="21"/>
              </w:rPr>
            </w:pPr>
            <w:r>
              <w:rPr>
                <w:spacing w:val="-5"/>
                <w:sz w:val="21"/>
                <w:szCs w:val="21"/>
              </w:rPr>
              <w:t>1.00</w:t>
            </w:r>
          </w:p>
        </w:tc>
        <w:tc>
          <w:tcPr>
            <w:tcW w:w="509" w:type="dxa"/>
            <w:vAlign w:val="top"/>
          </w:tcPr>
          <w:p w14:paraId="1C4A0C12">
            <w:pPr>
              <w:rPr>
                <w:rFonts w:ascii="Arial"/>
                <w:sz w:val="21"/>
              </w:rPr>
            </w:pPr>
          </w:p>
        </w:tc>
        <w:tc>
          <w:tcPr>
            <w:tcW w:w="344" w:type="dxa"/>
            <w:vMerge w:val="continue"/>
            <w:tcBorders>
              <w:top w:val="nil"/>
              <w:bottom w:val="nil"/>
            </w:tcBorders>
            <w:vAlign w:val="top"/>
          </w:tcPr>
          <w:p w14:paraId="674DA60E">
            <w:pPr>
              <w:rPr>
                <w:rFonts w:ascii="Arial"/>
                <w:sz w:val="21"/>
              </w:rPr>
            </w:pPr>
          </w:p>
        </w:tc>
      </w:tr>
      <w:tr w14:paraId="11A41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94" w:type="dxa"/>
            <w:vMerge w:val="continue"/>
            <w:tcBorders>
              <w:top w:val="nil"/>
              <w:bottom w:val="nil"/>
            </w:tcBorders>
            <w:vAlign w:val="top"/>
          </w:tcPr>
          <w:p w14:paraId="57CAFA29">
            <w:pPr>
              <w:rPr>
                <w:rFonts w:ascii="Arial"/>
                <w:sz w:val="21"/>
              </w:rPr>
            </w:pPr>
          </w:p>
        </w:tc>
        <w:tc>
          <w:tcPr>
            <w:tcW w:w="340" w:type="dxa"/>
            <w:vMerge w:val="continue"/>
            <w:tcBorders>
              <w:top w:val="nil"/>
              <w:bottom w:val="nil"/>
            </w:tcBorders>
            <w:vAlign w:val="top"/>
          </w:tcPr>
          <w:p w14:paraId="5FB5A5B6">
            <w:pPr>
              <w:rPr>
                <w:rFonts w:ascii="Arial"/>
                <w:sz w:val="21"/>
              </w:rPr>
            </w:pPr>
          </w:p>
        </w:tc>
        <w:tc>
          <w:tcPr>
            <w:tcW w:w="929" w:type="dxa"/>
            <w:vAlign w:val="top"/>
          </w:tcPr>
          <w:p w14:paraId="2322DD47">
            <w:pPr>
              <w:pStyle w:val="6"/>
              <w:spacing w:before="49" w:line="185" w:lineRule="auto"/>
              <w:ind w:left="71"/>
              <w:rPr>
                <w:sz w:val="21"/>
                <w:szCs w:val="21"/>
              </w:rPr>
            </w:pPr>
            <w:r>
              <w:rPr>
                <w:spacing w:val="-2"/>
                <w:sz w:val="21"/>
                <w:szCs w:val="21"/>
              </w:rPr>
              <w:t>2.1.3</w:t>
            </w:r>
          </w:p>
        </w:tc>
        <w:tc>
          <w:tcPr>
            <w:tcW w:w="4635" w:type="dxa"/>
            <w:vAlign w:val="top"/>
          </w:tcPr>
          <w:p w14:paraId="49B4B930">
            <w:pPr>
              <w:pStyle w:val="6"/>
              <w:spacing w:before="29" w:line="203" w:lineRule="auto"/>
              <w:ind w:left="101"/>
              <w:rPr>
                <w:sz w:val="21"/>
                <w:szCs w:val="21"/>
              </w:rPr>
            </w:pPr>
            <w:r>
              <w:rPr>
                <w:spacing w:val="-1"/>
                <w:sz w:val="21"/>
                <w:szCs w:val="21"/>
              </w:rPr>
              <w:t>铜铝过度设备线夹SYG-240/30</w:t>
            </w:r>
          </w:p>
        </w:tc>
        <w:tc>
          <w:tcPr>
            <w:tcW w:w="659" w:type="dxa"/>
            <w:vAlign w:val="top"/>
          </w:tcPr>
          <w:p w14:paraId="19B0506C">
            <w:pPr>
              <w:pStyle w:val="6"/>
              <w:spacing w:before="29" w:line="203" w:lineRule="auto"/>
              <w:ind w:left="96"/>
              <w:rPr>
                <w:sz w:val="21"/>
                <w:szCs w:val="21"/>
              </w:rPr>
            </w:pPr>
            <w:r>
              <w:rPr>
                <w:sz w:val="21"/>
                <w:szCs w:val="21"/>
              </w:rPr>
              <w:t>套</w:t>
            </w:r>
          </w:p>
        </w:tc>
        <w:tc>
          <w:tcPr>
            <w:tcW w:w="949" w:type="dxa"/>
            <w:vAlign w:val="top"/>
          </w:tcPr>
          <w:p w14:paraId="5196A32A">
            <w:pPr>
              <w:pStyle w:val="6"/>
              <w:spacing w:before="49" w:line="185" w:lineRule="auto"/>
              <w:ind w:left="107"/>
              <w:rPr>
                <w:sz w:val="21"/>
                <w:szCs w:val="21"/>
              </w:rPr>
            </w:pPr>
            <w:r>
              <w:rPr>
                <w:spacing w:val="-2"/>
                <w:sz w:val="21"/>
                <w:szCs w:val="21"/>
              </w:rPr>
              <w:t>4.00</w:t>
            </w:r>
          </w:p>
        </w:tc>
        <w:tc>
          <w:tcPr>
            <w:tcW w:w="509" w:type="dxa"/>
            <w:vAlign w:val="top"/>
          </w:tcPr>
          <w:p w14:paraId="65781E67">
            <w:pPr>
              <w:rPr>
                <w:rFonts w:ascii="Arial"/>
                <w:sz w:val="21"/>
              </w:rPr>
            </w:pPr>
          </w:p>
        </w:tc>
        <w:tc>
          <w:tcPr>
            <w:tcW w:w="344" w:type="dxa"/>
            <w:vMerge w:val="continue"/>
            <w:tcBorders>
              <w:top w:val="nil"/>
              <w:bottom w:val="nil"/>
            </w:tcBorders>
            <w:vAlign w:val="top"/>
          </w:tcPr>
          <w:p w14:paraId="276D8EC4">
            <w:pPr>
              <w:rPr>
                <w:rFonts w:ascii="Arial"/>
                <w:sz w:val="21"/>
              </w:rPr>
            </w:pPr>
          </w:p>
        </w:tc>
      </w:tr>
      <w:tr w14:paraId="710F9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94" w:type="dxa"/>
            <w:vMerge w:val="continue"/>
            <w:tcBorders>
              <w:top w:val="nil"/>
              <w:bottom w:val="nil"/>
            </w:tcBorders>
            <w:vAlign w:val="top"/>
          </w:tcPr>
          <w:p w14:paraId="6DF61053">
            <w:pPr>
              <w:rPr>
                <w:rFonts w:ascii="Arial"/>
                <w:sz w:val="21"/>
              </w:rPr>
            </w:pPr>
          </w:p>
        </w:tc>
        <w:tc>
          <w:tcPr>
            <w:tcW w:w="340" w:type="dxa"/>
            <w:vMerge w:val="continue"/>
            <w:tcBorders>
              <w:top w:val="nil"/>
              <w:bottom w:val="nil"/>
            </w:tcBorders>
            <w:vAlign w:val="top"/>
          </w:tcPr>
          <w:p w14:paraId="117807B8">
            <w:pPr>
              <w:rPr>
                <w:rFonts w:ascii="Arial"/>
                <w:sz w:val="21"/>
              </w:rPr>
            </w:pPr>
          </w:p>
        </w:tc>
        <w:tc>
          <w:tcPr>
            <w:tcW w:w="929" w:type="dxa"/>
            <w:vAlign w:val="top"/>
          </w:tcPr>
          <w:p w14:paraId="214F7268">
            <w:pPr>
              <w:pStyle w:val="6"/>
              <w:spacing w:before="49" w:line="176" w:lineRule="auto"/>
              <w:ind w:left="71"/>
              <w:rPr>
                <w:sz w:val="21"/>
                <w:szCs w:val="21"/>
              </w:rPr>
            </w:pPr>
            <w:r>
              <w:rPr>
                <w:spacing w:val="-2"/>
                <w:sz w:val="21"/>
                <w:szCs w:val="21"/>
              </w:rPr>
              <w:t>2.1.4</w:t>
            </w:r>
          </w:p>
        </w:tc>
        <w:tc>
          <w:tcPr>
            <w:tcW w:w="4635" w:type="dxa"/>
            <w:vAlign w:val="top"/>
          </w:tcPr>
          <w:p w14:paraId="1EBB3C3A">
            <w:pPr>
              <w:pStyle w:val="6"/>
              <w:spacing w:before="29" w:line="194" w:lineRule="auto"/>
              <w:ind w:left="101"/>
              <w:rPr>
                <w:sz w:val="21"/>
                <w:szCs w:val="21"/>
              </w:rPr>
            </w:pPr>
            <w:r>
              <w:rPr>
                <w:spacing w:val="1"/>
                <w:sz w:val="21"/>
                <w:szCs w:val="21"/>
              </w:rPr>
              <w:t>设备线夹</w:t>
            </w:r>
            <w:r>
              <w:rPr>
                <w:sz w:val="21"/>
                <w:szCs w:val="21"/>
              </w:rPr>
              <w:t>SY</w:t>
            </w:r>
            <w:r>
              <w:rPr>
                <w:spacing w:val="1"/>
                <w:sz w:val="21"/>
                <w:szCs w:val="21"/>
              </w:rPr>
              <w:t>-240/30</w:t>
            </w:r>
          </w:p>
        </w:tc>
        <w:tc>
          <w:tcPr>
            <w:tcW w:w="659" w:type="dxa"/>
            <w:vAlign w:val="top"/>
          </w:tcPr>
          <w:p w14:paraId="2C3D0538">
            <w:pPr>
              <w:pStyle w:val="6"/>
              <w:spacing w:before="29" w:line="194" w:lineRule="auto"/>
              <w:ind w:left="96"/>
              <w:rPr>
                <w:sz w:val="21"/>
                <w:szCs w:val="21"/>
              </w:rPr>
            </w:pPr>
            <w:r>
              <w:rPr>
                <w:sz w:val="21"/>
                <w:szCs w:val="21"/>
              </w:rPr>
              <w:t>套</w:t>
            </w:r>
          </w:p>
        </w:tc>
        <w:tc>
          <w:tcPr>
            <w:tcW w:w="949" w:type="dxa"/>
            <w:vAlign w:val="top"/>
          </w:tcPr>
          <w:p w14:paraId="006A47F1">
            <w:pPr>
              <w:pStyle w:val="6"/>
              <w:spacing w:before="49" w:line="176" w:lineRule="auto"/>
              <w:ind w:left="107"/>
              <w:rPr>
                <w:sz w:val="21"/>
                <w:szCs w:val="21"/>
              </w:rPr>
            </w:pPr>
            <w:r>
              <w:rPr>
                <w:spacing w:val="-2"/>
                <w:sz w:val="21"/>
                <w:szCs w:val="21"/>
              </w:rPr>
              <w:t>4.00</w:t>
            </w:r>
          </w:p>
        </w:tc>
        <w:tc>
          <w:tcPr>
            <w:tcW w:w="509" w:type="dxa"/>
            <w:vAlign w:val="top"/>
          </w:tcPr>
          <w:p w14:paraId="54703FC7">
            <w:pPr>
              <w:rPr>
                <w:rFonts w:ascii="Arial"/>
                <w:sz w:val="21"/>
              </w:rPr>
            </w:pPr>
          </w:p>
        </w:tc>
        <w:tc>
          <w:tcPr>
            <w:tcW w:w="344" w:type="dxa"/>
            <w:vMerge w:val="continue"/>
            <w:tcBorders>
              <w:top w:val="nil"/>
              <w:bottom w:val="nil"/>
            </w:tcBorders>
            <w:vAlign w:val="top"/>
          </w:tcPr>
          <w:p w14:paraId="3D5A6F40">
            <w:pPr>
              <w:rPr>
                <w:rFonts w:ascii="Arial"/>
                <w:sz w:val="21"/>
              </w:rPr>
            </w:pPr>
          </w:p>
        </w:tc>
      </w:tr>
      <w:tr w14:paraId="2C05E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94" w:type="dxa"/>
            <w:vMerge w:val="continue"/>
            <w:tcBorders>
              <w:top w:val="nil"/>
              <w:bottom w:val="nil"/>
            </w:tcBorders>
            <w:vAlign w:val="top"/>
          </w:tcPr>
          <w:p w14:paraId="2E43B70E">
            <w:pPr>
              <w:rPr>
                <w:rFonts w:ascii="Arial"/>
                <w:sz w:val="21"/>
              </w:rPr>
            </w:pPr>
          </w:p>
        </w:tc>
        <w:tc>
          <w:tcPr>
            <w:tcW w:w="340" w:type="dxa"/>
            <w:vMerge w:val="continue"/>
            <w:tcBorders>
              <w:top w:val="nil"/>
              <w:bottom w:val="nil"/>
            </w:tcBorders>
            <w:vAlign w:val="top"/>
          </w:tcPr>
          <w:p w14:paraId="4710000C">
            <w:pPr>
              <w:rPr>
                <w:rFonts w:ascii="Arial"/>
                <w:sz w:val="21"/>
              </w:rPr>
            </w:pPr>
          </w:p>
        </w:tc>
        <w:tc>
          <w:tcPr>
            <w:tcW w:w="929" w:type="dxa"/>
            <w:vAlign w:val="top"/>
          </w:tcPr>
          <w:p w14:paraId="539C420B">
            <w:pPr>
              <w:pStyle w:val="6"/>
              <w:spacing w:before="49" w:line="185" w:lineRule="auto"/>
              <w:ind w:left="71"/>
              <w:rPr>
                <w:sz w:val="21"/>
                <w:szCs w:val="21"/>
              </w:rPr>
            </w:pPr>
            <w:r>
              <w:rPr>
                <w:spacing w:val="-2"/>
                <w:sz w:val="21"/>
                <w:szCs w:val="21"/>
              </w:rPr>
              <w:t>2.1.5</w:t>
            </w:r>
          </w:p>
        </w:tc>
        <w:tc>
          <w:tcPr>
            <w:tcW w:w="4635" w:type="dxa"/>
            <w:vAlign w:val="top"/>
          </w:tcPr>
          <w:p w14:paraId="296660A6">
            <w:pPr>
              <w:pStyle w:val="6"/>
              <w:spacing w:before="26" w:line="205" w:lineRule="auto"/>
              <w:ind w:left="101"/>
              <w:rPr>
                <w:sz w:val="21"/>
                <w:szCs w:val="21"/>
              </w:rPr>
            </w:pPr>
            <w:r>
              <w:rPr>
                <w:spacing w:val="1"/>
                <w:sz w:val="21"/>
                <w:szCs w:val="21"/>
              </w:rPr>
              <w:t>钢芯铝绞线</w:t>
            </w:r>
            <w:r>
              <w:rPr>
                <w:sz w:val="21"/>
                <w:szCs w:val="21"/>
              </w:rPr>
              <w:t>JL</w:t>
            </w:r>
            <w:r>
              <w:rPr>
                <w:spacing w:val="1"/>
                <w:sz w:val="21"/>
                <w:szCs w:val="21"/>
              </w:rPr>
              <w:t>/</w:t>
            </w:r>
            <w:r>
              <w:rPr>
                <w:sz w:val="21"/>
                <w:szCs w:val="21"/>
              </w:rPr>
              <w:t>GIA</w:t>
            </w:r>
            <w:r>
              <w:rPr>
                <w:spacing w:val="1"/>
                <w:sz w:val="21"/>
                <w:szCs w:val="21"/>
              </w:rPr>
              <w:t>-240/30</w:t>
            </w:r>
          </w:p>
        </w:tc>
        <w:tc>
          <w:tcPr>
            <w:tcW w:w="659" w:type="dxa"/>
            <w:vAlign w:val="top"/>
          </w:tcPr>
          <w:p w14:paraId="3DC0C413">
            <w:pPr>
              <w:pStyle w:val="6"/>
              <w:spacing w:before="27" w:line="204" w:lineRule="auto"/>
              <w:ind w:left="96"/>
              <w:rPr>
                <w:sz w:val="21"/>
                <w:szCs w:val="21"/>
              </w:rPr>
            </w:pPr>
            <w:r>
              <w:rPr>
                <w:sz w:val="21"/>
                <w:szCs w:val="21"/>
              </w:rPr>
              <w:t>米</w:t>
            </w:r>
          </w:p>
        </w:tc>
        <w:tc>
          <w:tcPr>
            <w:tcW w:w="949" w:type="dxa"/>
            <w:vAlign w:val="top"/>
          </w:tcPr>
          <w:p w14:paraId="3EC0BC96">
            <w:pPr>
              <w:pStyle w:val="6"/>
              <w:spacing w:before="49" w:line="185" w:lineRule="auto"/>
              <w:ind w:left="107"/>
              <w:rPr>
                <w:sz w:val="21"/>
                <w:szCs w:val="21"/>
              </w:rPr>
            </w:pPr>
            <w:r>
              <w:rPr>
                <w:spacing w:val="-2"/>
                <w:sz w:val="21"/>
                <w:szCs w:val="21"/>
              </w:rPr>
              <w:t>40.00</w:t>
            </w:r>
          </w:p>
        </w:tc>
        <w:tc>
          <w:tcPr>
            <w:tcW w:w="509" w:type="dxa"/>
            <w:vAlign w:val="top"/>
          </w:tcPr>
          <w:p w14:paraId="677B1AF2">
            <w:pPr>
              <w:rPr>
                <w:rFonts w:ascii="Arial"/>
                <w:sz w:val="21"/>
              </w:rPr>
            </w:pPr>
          </w:p>
        </w:tc>
        <w:tc>
          <w:tcPr>
            <w:tcW w:w="344" w:type="dxa"/>
            <w:vMerge w:val="continue"/>
            <w:tcBorders>
              <w:top w:val="nil"/>
              <w:bottom w:val="nil"/>
            </w:tcBorders>
            <w:vAlign w:val="top"/>
          </w:tcPr>
          <w:p w14:paraId="7661A072">
            <w:pPr>
              <w:rPr>
                <w:rFonts w:ascii="Arial"/>
                <w:sz w:val="21"/>
              </w:rPr>
            </w:pPr>
          </w:p>
        </w:tc>
      </w:tr>
      <w:tr w14:paraId="26B98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94" w:type="dxa"/>
            <w:vMerge w:val="continue"/>
            <w:tcBorders>
              <w:top w:val="nil"/>
              <w:bottom w:val="nil"/>
            </w:tcBorders>
            <w:vAlign w:val="top"/>
          </w:tcPr>
          <w:p w14:paraId="5D6651C5">
            <w:pPr>
              <w:rPr>
                <w:rFonts w:ascii="Arial"/>
                <w:sz w:val="21"/>
              </w:rPr>
            </w:pPr>
          </w:p>
        </w:tc>
        <w:tc>
          <w:tcPr>
            <w:tcW w:w="340" w:type="dxa"/>
            <w:vMerge w:val="continue"/>
            <w:tcBorders>
              <w:top w:val="nil"/>
              <w:bottom w:val="nil"/>
            </w:tcBorders>
            <w:vAlign w:val="top"/>
          </w:tcPr>
          <w:p w14:paraId="3537F744">
            <w:pPr>
              <w:rPr>
                <w:rFonts w:ascii="Arial"/>
                <w:sz w:val="21"/>
              </w:rPr>
            </w:pPr>
          </w:p>
        </w:tc>
        <w:tc>
          <w:tcPr>
            <w:tcW w:w="929" w:type="dxa"/>
            <w:vAlign w:val="top"/>
          </w:tcPr>
          <w:p w14:paraId="46224137">
            <w:pPr>
              <w:pStyle w:val="6"/>
              <w:spacing w:before="49" w:line="185" w:lineRule="auto"/>
              <w:ind w:left="71"/>
              <w:rPr>
                <w:sz w:val="21"/>
                <w:szCs w:val="21"/>
              </w:rPr>
            </w:pPr>
            <w:r>
              <w:rPr>
                <w:spacing w:val="-2"/>
                <w:sz w:val="21"/>
                <w:szCs w:val="21"/>
              </w:rPr>
              <w:t>2.1.6</w:t>
            </w:r>
          </w:p>
        </w:tc>
        <w:tc>
          <w:tcPr>
            <w:tcW w:w="4635" w:type="dxa"/>
            <w:vAlign w:val="top"/>
          </w:tcPr>
          <w:p w14:paraId="68BC82C0">
            <w:pPr>
              <w:pStyle w:val="6"/>
              <w:spacing w:before="27" w:line="204" w:lineRule="auto"/>
              <w:ind w:left="101"/>
              <w:rPr>
                <w:sz w:val="21"/>
                <w:szCs w:val="21"/>
              </w:rPr>
            </w:pPr>
            <w:r>
              <w:rPr>
                <w:spacing w:val="4"/>
                <w:sz w:val="21"/>
                <w:szCs w:val="21"/>
              </w:rPr>
              <w:t>端子箱</w:t>
            </w:r>
          </w:p>
        </w:tc>
        <w:tc>
          <w:tcPr>
            <w:tcW w:w="659" w:type="dxa"/>
            <w:vAlign w:val="top"/>
          </w:tcPr>
          <w:p w14:paraId="331F4D11">
            <w:pPr>
              <w:pStyle w:val="6"/>
              <w:spacing w:before="27" w:line="204" w:lineRule="auto"/>
              <w:ind w:left="96"/>
              <w:rPr>
                <w:sz w:val="21"/>
                <w:szCs w:val="21"/>
              </w:rPr>
            </w:pPr>
            <w:r>
              <w:rPr>
                <w:sz w:val="21"/>
                <w:szCs w:val="21"/>
              </w:rPr>
              <w:t>个</w:t>
            </w:r>
          </w:p>
        </w:tc>
        <w:tc>
          <w:tcPr>
            <w:tcW w:w="949" w:type="dxa"/>
            <w:vAlign w:val="top"/>
          </w:tcPr>
          <w:p w14:paraId="21694979">
            <w:pPr>
              <w:pStyle w:val="6"/>
              <w:spacing w:before="49" w:line="185" w:lineRule="auto"/>
              <w:ind w:left="107"/>
              <w:rPr>
                <w:sz w:val="21"/>
                <w:szCs w:val="21"/>
              </w:rPr>
            </w:pPr>
            <w:r>
              <w:rPr>
                <w:spacing w:val="-5"/>
                <w:sz w:val="21"/>
                <w:szCs w:val="21"/>
              </w:rPr>
              <w:t>1.00</w:t>
            </w:r>
          </w:p>
        </w:tc>
        <w:tc>
          <w:tcPr>
            <w:tcW w:w="509" w:type="dxa"/>
            <w:vAlign w:val="top"/>
          </w:tcPr>
          <w:p w14:paraId="24075569">
            <w:pPr>
              <w:rPr>
                <w:rFonts w:ascii="Arial"/>
                <w:sz w:val="21"/>
              </w:rPr>
            </w:pPr>
          </w:p>
        </w:tc>
        <w:tc>
          <w:tcPr>
            <w:tcW w:w="344" w:type="dxa"/>
            <w:vMerge w:val="continue"/>
            <w:tcBorders>
              <w:top w:val="nil"/>
              <w:bottom w:val="nil"/>
            </w:tcBorders>
            <w:vAlign w:val="top"/>
          </w:tcPr>
          <w:p w14:paraId="035968CD">
            <w:pPr>
              <w:rPr>
                <w:rFonts w:ascii="Arial"/>
                <w:sz w:val="21"/>
              </w:rPr>
            </w:pPr>
          </w:p>
        </w:tc>
      </w:tr>
      <w:tr w14:paraId="59871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4" w:type="dxa"/>
            <w:vMerge w:val="continue"/>
            <w:tcBorders>
              <w:top w:val="nil"/>
              <w:bottom w:val="nil"/>
            </w:tcBorders>
            <w:vAlign w:val="top"/>
          </w:tcPr>
          <w:p w14:paraId="2130ED2C">
            <w:pPr>
              <w:rPr>
                <w:rFonts w:ascii="Arial"/>
                <w:sz w:val="21"/>
              </w:rPr>
            </w:pPr>
          </w:p>
        </w:tc>
        <w:tc>
          <w:tcPr>
            <w:tcW w:w="340" w:type="dxa"/>
            <w:vMerge w:val="continue"/>
            <w:tcBorders>
              <w:top w:val="nil"/>
              <w:bottom w:val="nil"/>
            </w:tcBorders>
            <w:vAlign w:val="top"/>
          </w:tcPr>
          <w:p w14:paraId="610B9D0A">
            <w:pPr>
              <w:rPr>
                <w:rFonts w:ascii="Arial"/>
                <w:sz w:val="21"/>
              </w:rPr>
            </w:pPr>
          </w:p>
        </w:tc>
        <w:tc>
          <w:tcPr>
            <w:tcW w:w="929" w:type="dxa"/>
            <w:vAlign w:val="top"/>
          </w:tcPr>
          <w:p w14:paraId="44E20763">
            <w:pPr>
              <w:pStyle w:val="6"/>
              <w:spacing w:before="59" w:line="194" w:lineRule="auto"/>
              <w:ind w:left="71"/>
              <w:rPr>
                <w:sz w:val="21"/>
                <w:szCs w:val="21"/>
              </w:rPr>
            </w:pPr>
            <w:r>
              <w:rPr>
                <w:spacing w:val="-3"/>
                <w:sz w:val="21"/>
                <w:szCs w:val="21"/>
              </w:rPr>
              <w:t>2.2</w:t>
            </w:r>
          </w:p>
        </w:tc>
        <w:tc>
          <w:tcPr>
            <w:tcW w:w="4635" w:type="dxa"/>
            <w:vAlign w:val="top"/>
          </w:tcPr>
          <w:p w14:paraId="5D57FC54">
            <w:pPr>
              <w:pStyle w:val="6"/>
              <w:spacing w:before="38" w:line="212" w:lineRule="auto"/>
              <w:ind w:left="101"/>
              <w:rPr>
                <w:sz w:val="21"/>
                <w:szCs w:val="21"/>
              </w:rPr>
            </w:pPr>
            <w:r>
              <w:rPr>
                <w:spacing w:val="1"/>
                <w:sz w:val="21"/>
                <w:szCs w:val="21"/>
              </w:rPr>
              <w:t>110</w:t>
            </w:r>
            <w:r>
              <w:rPr>
                <w:sz w:val="21"/>
                <w:szCs w:val="21"/>
              </w:rPr>
              <w:t>kV</w:t>
            </w:r>
            <w:r>
              <w:rPr>
                <w:spacing w:val="1"/>
                <w:sz w:val="21"/>
                <w:szCs w:val="21"/>
              </w:rPr>
              <w:t>配电装置</w:t>
            </w:r>
          </w:p>
        </w:tc>
        <w:tc>
          <w:tcPr>
            <w:tcW w:w="659" w:type="dxa"/>
            <w:vAlign w:val="top"/>
          </w:tcPr>
          <w:p w14:paraId="3A76BEEC">
            <w:pPr>
              <w:rPr>
                <w:rFonts w:ascii="Arial"/>
                <w:sz w:val="21"/>
              </w:rPr>
            </w:pPr>
          </w:p>
        </w:tc>
        <w:tc>
          <w:tcPr>
            <w:tcW w:w="949" w:type="dxa"/>
            <w:vAlign w:val="top"/>
          </w:tcPr>
          <w:p w14:paraId="76599D19">
            <w:pPr>
              <w:rPr>
                <w:rFonts w:ascii="Arial"/>
                <w:sz w:val="21"/>
              </w:rPr>
            </w:pPr>
          </w:p>
        </w:tc>
        <w:tc>
          <w:tcPr>
            <w:tcW w:w="509" w:type="dxa"/>
            <w:vAlign w:val="top"/>
          </w:tcPr>
          <w:p w14:paraId="7985DF87">
            <w:pPr>
              <w:rPr>
                <w:rFonts w:ascii="Arial"/>
                <w:sz w:val="21"/>
              </w:rPr>
            </w:pPr>
          </w:p>
        </w:tc>
        <w:tc>
          <w:tcPr>
            <w:tcW w:w="344" w:type="dxa"/>
            <w:vMerge w:val="continue"/>
            <w:tcBorders>
              <w:top w:val="nil"/>
              <w:bottom w:val="nil"/>
            </w:tcBorders>
            <w:vAlign w:val="top"/>
          </w:tcPr>
          <w:p w14:paraId="48DFF19C">
            <w:pPr>
              <w:rPr>
                <w:rFonts w:ascii="Arial"/>
                <w:sz w:val="21"/>
              </w:rPr>
            </w:pPr>
          </w:p>
        </w:tc>
      </w:tr>
      <w:tr w14:paraId="74159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694" w:type="dxa"/>
            <w:vMerge w:val="continue"/>
            <w:tcBorders>
              <w:top w:val="nil"/>
              <w:bottom w:val="nil"/>
            </w:tcBorders>
            <w:vAlign w:val="top"/>
          </w:tcPr>
          <w:p w14:paraId="131A10F7">
            <w:pPr>
              <w:rPr>
                <w:rFonts w:ascii="Arial"/>
                <w:sz w:val="21"/>
              </w:rPr>
            </w:pPr>
          </w:p>
        </w:tc>
        <w:tc>
          <w:tcPr>
            <w:tcW w:w="340" w:type="dxa"/>
            <w:vMerge w:val="continue"/>
            <w:tcBorders>
              <w:top w:val="nil"/>
              <w:bottom w:val="nil"/>
            </w:tcBorders>
            <w:vAlign w:val="top"/>
          </w:tcPr>
          <w:p w14:paraId="086A650F">
            <w:pPr>
              <w:rPr>
                <w:rFonts w:ascii="Arial"/>
                <w:sz w:val="21"/>
              </w:rPr>
            </w:pPr>
          </w:p>
        </w:tc>
        <w:tc>
          <w:tcPr>
            <w:tcW w:w="929" w:type="dxa"/>
            <w:vAlign w:val="top"/>
          </w:tcPr>
          <w:p w14:paraId="12595B49">
            <w:pPr>
              <w:pStyle w:val="6"/>
              <w:spacing w:before="299" w:line="239" w:lineRule="auto"/>
              <w:ind w:left="71"/>
              <w:rPr>
                <w:sz w:val="21"/>
                <w:szCs w:val="21"/>
              </w:rPr>
            </w:pPr>
            <w:r>
              <w:rPr>
                <w:spacing w:val="-2"/>
                <w:sz w:val="21"/>
                <w:szCs w:val="21"/>
              </w:rPr>
              <w:t>2.2.1</w:t>
            </w:r>
          </w:p>
        </w:tc>
        <w:tc>
          <w:tcPr>
            <w:tcW w:w="4635" w:type="dxa"/>
            <w:vAlign w:val="top"/>
          </w:tcPr>
          <w:p w14:paraId="4CC38E59">
            <w:pPr>
              <w:pStyle w:val="6"/>
              <w:spacing w:before="18" w:line="224" w:lineRule="auto"/>
              <w:ind w:left="101" w:right="347" w:firstLine="40"/>
              <w:rPr>
                <w:sz w:val="21"/>
                <w:szCs w:val="21"/>
              </w:rPr>
            </w:pPr>
            <w:r>
              <w:rPr>
                <w:spacing w:val="1"/>
                <w:sz w:val="21"/>
                <w:szCs w:val="21"/>
              </w:rPr>
              <w:t>110</w:t>
            </w:r>
            <w:r>
              <w:rPr>
                <w:sz w:val="21"/>
                <w:szCs w:val="21"/>
              </w:rPr>
              <w:t>kV</w:t>
            </w:r>
            <w:r>
              <w:rPr>
                <w:spacing w:val="1"/>
                <w:sz w:val="21"/>
                <w:szCs w:val="21"/>
              </w:rPr>
              <w:t xml:space="preserve"> </w:t>
            </w:r>
            <w:r>
              <w:rPr>
                <w:sz w:val="21"/>
                <w:szCs w:val="21"/>
              </w:rPr>
              <w:t>GIS</w:t>
            </w:r>
            <w:r>
              <w:rPr>
                <w:spacing w:val="1"/>
                <w:sz w:val="21"/>
                <w:szCs w:val="21"/>
              </w:rPr>
              <w:t>组合设备(线变组间隔-主变-出线)</w:t>
            </w:r>
            <w:r>
              <w:rPr>
                <w:spacing w:val="18"/>
                <w:sz w:val="21"/>
                <w:szCs w:val="21"/>
              </w:rPr>
              <w:t xml:space="preserve"> </w:t>
            </w:r>
            <w:r>
              <w:rPr>
                <w:spacing w:val="-1"/>
                <w:sz w:val="21"/>
                <w:szCs w:val="21"/>
              </w:rPr>
              <w:t>126kV,2000A,40kA(4s),100kA</w:t>
            </w:r>
          </w:p>
          <w:p w14:paraId="5AF71343">
            <w:pPr>
              <w:pStyle w:val="6"/>
              <w:spacing w:line="202" w:lineRule="auto"/>
              <w:ind w:left="101"/>
              <w:rPr>
                <w:sz w:val="21"/>
                <w:szCs w:val="21"/>
              </w:rPr>
            </w:pPr>
            <w:r>
              <w:rPr>
                <w:spacing w:val="1"/>
                <w:sz w:val="21"/>
                <w:szCs w:val="21"/>
              </w:rPr>
              <w:t>含带电显示器、</w:t>
            </w:r>
            <w:r>
              <w:rPr>
                <w:sz w:val="21"/>
                <w:szCs w:val="21"/>
              </w:rPr>
              <w:t>GIS</w:t>
            </w:r>
            <w:r>
              <w:rPr>
                <w:spacing w:val="1"/>
                <w:sz w:val="21"/>
                <w:szCs w:val="21"/>
              </w:rPr>
              <w:t>汇控柜等</w:t>
            </w:r>
          </w:p>
        </w:tc>
        <w:tc>
          <w:tcPr>
            <w:tcW w:w="659" w:type="dxa"/>
            <w:vAlign w:val="top"/>
          </w:tcPr>
          <w:p w14:paraId="41B7D560">
            <w:pPr>
              <w:pStyle w:val="6"/>
              <w:spacing w:before="278" w:line="219" w:lineRule="auto"/>
              <w:ind w:left="96"/>
              <w:rPr>
                <w:sz w:val="21"/>
                <w:szCs w:val="21"/>
              </w:rPr>
            </w:pPr>
            <w:r>
              <w:rPr>
                <w:sz w:val="21"/>
                <w:szCs w:val="21"/>
              </w:rPr>
              <w:t>个</w:t>
            </w:r>
          </w:p>
        </w:tc>
        <w:tc>
          <w:tcPr>
            <w:tcW w:w="949" w:type="dxa"/>
            <w:vAlign w:val="top"/>
          </w:tcPr>
          <w:p w14:paraId="51C835AE">
            <w:pPr>
              <w:pStyle w:val="6"/>
              <w:spacing w:before="299" w:line="239" w:lineRule="auto"/>
              <w:ind w:left="107"/>
              <w:rPr>
                <w:sz w:val="21"/>
                <w:szCs w:val="21"/>
              </w:rPr>
            </w:pPr>
            <w:r>
              <w:rPr>
                <w:spacing w:val="-5"/>
                <w:sz w:val="21"/>
                <w:szCs w:val="21"/>
              </w:rPr>
              <w:t>1.00</w:t>
            </w:r>
          </w:p>
        </w:tc>
        <w:tc>
          <w:tcPr>
            <w:tcW w:w="509" w:type="dxa"/>
            <w:vAlign w:val="top"/>
          </w:tcPr>
          <w:p w14:paraId="1C007899">
            <w:pPr>
              <w:rPr>
                <w:rFonts w:ascii="Arial"/>
                <w:sz w:val="21"/>
              </w:rPr>
            </w:pPr>
          </w:p>
        </w:tc>
        <w:tc>
          <w:tcPr>
            <w:tcW w:w="344" w:type="dxa"/>
            <w:vMerge w:val="continue"/>
            <w:tcBorders>
              <w:top w:val="nil"/>
              <w:bottom w:val="nil"/>
            </w:tcBorders>
            <w:vAlign w:val="top"/>
          </w:tcPr>
          <w:p w14:paraId="7539272B">
            <w:pPr>
              <w:rPr>
                <w:rFonts w:ascii="Arial"/>
                <w:sz w:val="21"/>
              </w:rPr>
            </w:pPr>
          </w:p>
        </w:tc>
      </w:tr>
      <w:tr w14:paraId="47660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4" w:type="dxa"/>
            <w:vMerge w:val="continue"/>
            <w:tcBorders>
              <w:top w:val="nil"/>
              <w:bottom w:val="nil"/>
            </w:tcBorders>
            <w:vAlign w:val="top"/>
          </w:tcPr>
          <w:p w14:paraId="61C929D3">
            <w:pPr>
              <w:rPr>
                <w:rFonts w:ascii="Arial"/>
                <w:sz w:val="21"/>
              </w:rPr>
            </w:pPr>
          </w:p>
        </w:tc>
        <w:tc>
          <w:tcPr>
            <w:tcW w:w="340" w:type="dxa"/>
            <w:vMerge w:val="continue"/>
            <w:tcBorders>
              <w:top w:val="nil"/>
              <w:bottom w:val="nil"/>
            </w:tcBorders>
            <w:vAlign w:val="top"/>
          </w:tcPr>
          <w:p w14:paraId="784DA5EF">
            <w:pPr>
              <w:rPr>
                <w:rFonts w:ascii="Arial"/>
                <w:sz w:val="21"/>
              </w:rPr>
            </w:pPr>
          </w:p>
        </w:tc>
        <w:tc>
          <w:tcPr>
            <w:tcW w:w="929" w:type="dxa"/>
            <w:vAlign w:val="top"/>
          </w:tcPr>
          <w:p w14:paraId="56A68427">
            <w:pPr>
              <w:pStyle w:val="6"/>
              <w:spacing w:before="60" w:line="193" w:lineRule="auto"/>
              <w:ind w:left="71"/>
              <w:rPr>
                <w:sz w:val="21"/>
                <w:szCs w:val="21"/>
              </w:rPr>
            </w:pPr>
            <w:r>
              <w:rPr>
                <w:spacing w:val="-2"/>
                <w:sz w:val="21"/>
                <w:szCs w:val="21"/>
              </w:rPr>
              <w:t>2.2.2</w:t>
            </w:r>
          </w:p>
        </w:tc>
        <w:tc>
          <w:tcPr>
            <w:tcW w:w="4635" w:type="dxa"/>
            <w:vAlign w:val="top"/>
          </w:tcPr>
          <w:p w14:paraId="4B835D3B">
            <w:pPr>
              <w:pStyle w:val="6"/>
              <w:spacing w:before="43" w:line="208" w:lineRule="auto"/>
              <w:ind w:left="101"/>
              <w:rPr>
                <w:sz w:val="21"/>
                <w:szCs w:val="21"/>
              </w:rPr>
            </w:pPr>
            <w:r>
              <w:rPr>
                <w:spacing w:val="1"/>
                <w:sz w:val="21"/>
                <w:szCs w:val="21"/>
              </w:rPr>
              <w:t>110</w:t>
            </w:r>
            <w:r>
              <w:rPr>
                <w:sz w:val="21"/>
                <w:szCs w:val="21"/>
              </w:rPr>
              <w:t>kV</w:t>
            </w:r>
            <w:r>
              <w:rPr>
                <w:spacing w:val="1"/>
                <w:sz w:val="21"/>
                <w:szCs w:val="21"/>
              </w:rPr>
              <w:t>电压互感器</w:t>
            </w:r>
          </w:p>
        </w:tc>
        <w:tc>
          <w:tcPr>
            <w:tcW w:w="659" w:type="dxa"/>
            <w:vAlign w:val="top"/>
          </w:tcPr>
          <w:p w14:paraId="593A6C1F">
            <w:pPr>
              <w:pStyle w:val="6"/>
              <w:spacing w:before="42" w:line="209" w:lineRule="auto"/>
              <w:ind w:left="96"/>
              <w:rPr>
                <w:sz w:val="21"/>
                <w:szCs w:val="21"/>
              </w:rPr>
            </w:pPr>
            <w:r>
              <w:rPr>
                <w:sz w:val="21"/>
                <w:szCs w:val="21"/>
              </w:rPr>
              <w:t>台</w:t>
            </w:r>
          </w:p>
        </w:tc>
        <w:tc>
          <w:tcPr>
            <w:tcW w:w="949" w:type="dxa"/>
            <w:vAlign w:val="top"/>
          </w:tcPr>
          <w:p w14:paraId="6991805F">
            <w:pPr>
              <w:pStyle w:val="6"/>
              <w:spacing w:before="60" w:line="193" w:lineRule="auto"/>
              <w:ind w:left="107"/>
              <w:rPr>
                <w:sz w:val="21"/>
                <w:szCs w:val="21"/>
              </w:rPr>
            </w:pPr>
            <w:r>
              <w:rPr>
                <w:spacing w:val="-3"/>
                <w:sz w:val="21"/>
                <w:szCs w:val="21"/>
              </w:rPr>
              <w:t>3.00</w:t>
            </w:r>
          </w:p>
        </w:tc>
        <w:tc>
          <w:tcPr>
            <w:tcW w:w="509" w:type="dxa"/>
            <w:vAlign w:val="top"/>
          </w:tcPr>
          <w:p w14:paraId="67A2076F">
            <w:pPr>
              <w:rPr>
                <w:rFonts w:ascii="Arial"/>
                <w:sz w:val="21"/>
              </w:rPr>
            </w:pPr>
          </w:p>
        </w:tc>
        <w:tc>
          <w:tcPr>
            <w:tcW w:w="344" w:type="dxa"/>
            <w:vMerge w:val="continue"/>
            <w:tcBorders>
              <w:top w:val="nil"/>
              <w:bottom w:val="nil"/>
            </w:tcBorders>
            <w:vAlign w:val="top"/>
          </w:tcPr>
          <w:p w14:paraId="789FE9A2">
            <w:pPr>
              <w:rPr>
                <w:rFonts w:ascii="Arial"/>
                <w:sz w:val="21"/>
              </w:rPr>
            </w:pPr>
          </w:p>
        </w:tc>
      </w:tr>
      <w:tr w14:paraId="17146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94" w:type="dxa"/>
            <w:vMerge w:val="continue"/>
            <w:tcBorders>
              <w:top w:val="nil"/>
              <w:bottom w:val="nil"/>
            </w:tcBorders>
            <w:vAlign w:val="top"/>
          </w:tcPr>
          <w:p w14:paraId="75BB5AB6">
            <w:pPr>
              <w:rPr>
                <w:rFonts w:ascii="Arial"/>
                <w:sz w:val="21"/>
              </w:rPr>
            </w:pPr>
          </w:p>
        </w:tc>
        <w:tc>
          <w:tcPr>
            <w:tcW w:w="340" w:type="dxa"/>
            <w:vMerge w:val="continue"/>
            <w:tcBorders>
              <w:top w:val="nil"/>
              <w:bottom w:val="nil"/>
            </w:tcBorders>
            <w:vAlign w:val="top"/>
          </w:tcPr>
          <w:p w14:paraId="26F3F801">
            <w:pPr>
              <w:rPr>
                <w:rFonts w:ascii="Arial"/>
                <w:sz w:val="21"/>
              </w:rPr>
            </w:pPr>
          </w:p>
        </w:tc>
        <w:tc>
          <w:tcPr>
            <w:tcW w:w="929" w:type="dxa"/>
            <w:vAlign w:val="top"/>
          </w:tcPr>
          <w:p w14:paraId="267F944B">
            <w:pPr>
              <w:pStyle w:val="6"/>
              <w:spacing w:before="50" w:line="184" w:lineRule="auto"/>
              <w:ind w:left="71"/>
              <w:rPr>
                <w:sz w:val="21"/>
                <w:szCs w:val="21"/>
              </w:rPr>
            </w:pPr>
            <w:r>
              <w:rPr>
                <w:spacing w:val="-2"/>
                <w:sz w:val="21"/>
                <w:szCs w:val="21"/>
              </w:rPr>
              <w:t>2.2.3</w:t>
            </w:r>
          </w:p>
        </w:tc>
        <w:tc>
          <w:tcPr>
            <w:tcW w:w="4635" w:type="dxa"/>
            <w:vAlign w:val="top"/>
          </w:tcPr>
          <w:p w14:paraId="3BEA7C19">
            <w:pPr>
              <w:pStyle w:val="6"/>
              <w:spacing w:before="30" w:line="202" w:lineRule="auto"/>
              <w:ind w:left="101"/>
              <w:rPr>
                <w:sz w:val="21"/>
                <w:szCs w:val="21"/>
              </w:rPr>
            </w:pPr>
            <w:r>
              <w:rPr>
                <w:spacing w:val="-1"/>
                <w:sz w:val="21"/>
                <w:szCs w:val="21"/>
              </w:rPr>
              <w:t>T型线夹TY-240/30</w:t>
            </w:r>
          </w:p>
        </w:tc>
        <w:tc>
          <w:tcPr>
            <w:tcW w:w="659" w:type="dxa"/>
            <w:vAlign w:val="top"/>
          </w:tcPr>
          <w:p w14:paraId="7A1060CF">
            <w:pPr>
              <w:pStyle w:val="6"/>
              <w:spacing w:before="30" w:line="202" w:lineRule="auto"/>
              <w:ind w:left="96"/>
              <w:rPr>
                <w:sz w:val="21"/>
                <w:szCs w:val="21"/>
              </w:rPr>
            </w:pPr>
            <w:r>
              <w:rPr>
                <w:sz w:val="21"/>
                <w:szCs w:val="21"/>
              </w:rPr>
              <w:t>套</w:t>
            </w:r>
          </w:p>
        </w:tc>
        <w:tc>
          <w:tcPr>
            <w:tcW w:w="949" w:type="dxa"/>
            <w:vAlign w:val="top"/>
          </w:tcPr>
          <w:p w14:paraId="726EDDA5">
            <w:pPr>
              <w:pStyle w:val="6"/>
              <w:spacing w:before="50" w:line="184" w:lineRule="auto"/>
              <w:ind w:left="107"/>
              <w:rPr>
                <w:sz w:val="21"/>
                <w:szCs w:val="21"/>
              </w:rPr>
            </w:pPr>
            <w:r>
              <w:rPr>
                <w:spacing w:val="-3"/>
                <w:sz w:val="21"/>
                <w:szCs w:val="21"/>
              </w:rPr>
              <w:t>3.00</w:t>
            </w:r>
          </w:p>
        </w:tc>
        <w:tc>
          <w:tcPr>
            <w:tcW w:w="509" w:type="dxa"/>
            <w:vAlign w:val="top"/>
          </w:tcPr>
          <w:p w14:paraId="59E8CBDA">
            <w:pPr>
              <w:rPr>
                <w:rFonts w:ascii="Arial"/>
                <w:sz w:val="21"/>
              </w:rPr>
            </w:pPr>
          </w:p>
        </w:tc>
        <w:tc>
          <w:tcPr>
            <w:tcW w:w="344" w:type="dxa"/>
            <w:vMerge w:val="continue"/>
            <w:tcBorders>
              <w:top w:val="nil"/>
              <w:bottom w:val="nil"/>
            </w:tcBorders>
            <w:vAlign w:val="top"/>
          </w:tcPr>
          <w:p w14:paraId="54A33709">
            <w:pPr>
              <w:rPr>
                <w:rFonts w:ascii="Arial"/>
                <w:sz w:val="21"/>
              </w:rPr>
            </w:pPr>
          </w:p>
        </w:tc>
      </w:tr>
      <w:tr w14:paraId="3C8D8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94" w:type="dxa"/>
            <w:vMerge w:val="continue"/>
            <w:tcBorders>
              <w:top w:val="nil"/>
              <w:bottom w:val="nil"/>
            </w:tcBorders>
            <w:vAlign w:val="top"/>
          </w:tcPr>
          <w:p w14:paraId="1F22B2C2">
            <w:pPr>
              <w:rPr>
                <w:rFonts w:ascii="Arial"/>
                <w:sz w:val="21"/>
              </w:rPr>
            </w:pPr>
          </w:p>
        </w:tc>
        <w:tc>
          <w:tcPr>
            <w:tcW w:w="340" w:type="dxa"/>
            <w:vMerge w:val="continue"/>
            <w:tcBorders>
              <w:top w:val="nil"/>
              <w:bottom w:val="nil"/>
            </w:tcBorders>
            <w:vAlign w:val="top"/>
          </w:tcPr>
          <w:p w14:paraId="7438A844">
            <w:pPr>
              <w:rPr>
                <w:rFonts w:ascii="Arial"/>
                <w:sz w:val="21"/>
              </w:rPr>
            </w:pPr>
          </w:p>
        </w:tc>
        <w:tc>
          <w:tcPr>
            <w:tcW w:w="929" w:type="dxa"/>
            <w:vAlign w:val="top"/>
          </w:tcPr>
          <w:p w14:paraId="4D787F9E">
            <w:pPr>
              <w:pStyle w:val="6"/>
              <w:spacing w:before="50" w:line="175" w:lineRule="auto"/>
              <w:ind w:left="71"/>
              <w:rPr>
                <w:sz w:val="21"/>
                <w:szCs w:val="21"/>
              </w:rPr>
            </w:pPr>
            <w:r>
              <w:rPr>
                <w:spacing w:val="-2"/>
                <w:sz w:val="21"/>
                <w:szCs w:val="21"/>
              </w:rPr>
              <w:t>2.2.4</w:t>
            </w:r>
          </w:p>
        </w:tc>
        <w:tc>
          <w:tcPr>
            <w:tcW w:w="4635" w:type="dxa"/>
            <w:vAlign w:val="top"/>
          </w:tcPr>
          <w:p w14:paraId="49713227">
            <w:pPr>
              <w:pStyle w:val="6"/>
              <w:spacing w:before="30" w:line="193" w:lineRule="auto"/>
              <w:ind w:left="101"/>
              <w:rPr>
                <w:sz w:val="21"/>
                <w:szCs w:val="21"/>
              </w:rPr>
            </w:pPr>
            <w:r>
              <w:rPr>
                <w:spacing w:val="1"/>
                <w:sz w:val="21"/>
                <w:szCs w:val="21"/>
              </w:rPr>
              <w:t>110</w:t>
            </w:r>
            <w:r>
              <w:rPr>
                <w:sz w:val="21"/>
                <w:szCs w:val="21"/>
              </w:rPr>
              <w:t>kV</w:t>
            </w:r>
            <w:r>
              <w:rPr>
                <w:spacing w:val="1"/>
                <w:sz w:val="21"/>
                <w:szCs w:val="21"/>
              </w:rPr>
              <w:t>户外避雷器</w:t>
            </w:r>
            <w:r>
              <w:rPr>
                <w:sz w:val="21"/>
                <w:szCs w:val="21"/>
              </w:rPr>
              <w:t>YH</w:t>
            </w:r>
            <w:r>
              <w:rPr>
                <w:spacing w:val="1"/>
                <w:sz w:val="21"/>
                <w:szCs w:val="21"/>
              </w:rPr>
              <w:t>10W-108/281</w:t>
            </w:r>
          </w:p>
        </w:tc>
        <w:tc>
          <w:tcPr>
            <w:tcW w:w="659" w:type="dxa"/>
            <w:vAlign w:val="top"/>
          </w:tcPr>
          <w:p w14:paraId="2F2CBBC9">
            <w:pPr>
              <w:pStyle w:val="6"/>
              <w:spacing w:before="31" w:line="192" w:lineRule="auto"/>
              <w:ind w:left="96"/>
              <w:rPr>
                <w:sz w:val="21"/>
                <w:szCs w:val="21"/>
              </w:rPr>
            </w:pPr>
            <w:r>
              <w:rPr>
                <w:sz w:val="21"/>
                <w:szCs w:val="21"/>
              </w:rPr>
              <w:t>台</w:t>
            </w:r>
          </w:p>
        </w:tc>
        <w:tc>
          <w:tcPr>
            <w:tcW w:w="949" w:type="dxa"/>
            <w:vAlign w:val="top"/>
          </w:tcPr>
          <w:p w14:paraId="349CAE68">
            <w:pPr>
              <w:pStyle w:val="6"/>
              <w:spacing w:before="50" w:line="175" w:lineRule="auto"/>
              <w:ind w:left="107"/>
              <w:rPr>
                <w:sz w:val="21"/>
                <w:szCs w:val="21"/>
              </w:rPr>
            </w:pPr>
            <w:r>
              <w:rPr>
                <w:spacing w:val="-3"/>
                <w:sz w:val="21"/>
                <w:szCs w:val="21"/>
              </w:rPr>
              <w:t>3.00</w:t>
            </w:r>
          </w:p>
        </w:tc>
        <w:tc>
          <w:tcPr>
            <w:tcW w:w="509" w:type="dxa"/>
            <w:vAlign w:val="top"/>
          </w:tcPr>
          <w:p w14:paraId="02840D31">
            <w:pPr>
              <w:rPr>
                <w:rFonts w:ascii="Arial"/>
                <w:sz w:val="21"/>
              </w:rPr>
            </w:pPr>
          </w:p>
        </w:tc>
        <w:tc>
          <w:tcPr>
            <w:tcW w:w="344" w:type="dxa"/>
            <w:vMerge w:val="continue"/>
            <w:tcBorders>
              <w:top w:val="nil"/>
              <w:bottom w:val="nil"/>
            </w:tcBorders>
            <w:vAlign w:val="top"/>
          </w:tcPr>
          <w:p w14:paraId="6710EA37">
            <w:pPr>
              <w:rPr>
                <w:rFonts w:ascii="Arial"/>
                <w:sz w:val="21"/>
              </w:rPr>
            </w:pPr>
          </w:p>
        </w:tc>
      </w:tr>
      <w:tr w14:paraId="74B66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94" w:type="dxa"/>
            <w:vMerge w:val="continue"/>
            <w:tcBorders>
              <w:top w:val="nil"/>
              <w:bottom w:val="nil"/>
            </w:tcBorders>
            <w:vAlign w:val="top"/>
          </w:tcPr>
          <w:p w14:paraId="22F0C71F">
            <w:pPr>
              <w:rPr>
                <w:rFonts w:ascii="Arial"/>
                <w:sz w:val="21"/>
              </w:rPr>
            </w:pPr>
          </w:p>
        </w:tc>
        <w:tc>
          <w:tcPr>
            <w:tcW w:w="340" w:type="dxa"/>
            <w:vMerge w:val="continue"/>
            <w:tcBorders>
              <w:top w:val="nil"/>
              <w:bottom w:val="nil"/>
            </w:tcBorders>
            <w:vAlign w:val="top"/>
          </w:tcPr>
          <w:p w14:paraId="15152C20">
            <w:pPr>
              <w:rPr>
                <w:rFonts w:ascii="Arial"/>
                <w:sz w:val="21"/>
              </w:rPr>
            </w:pPr>
          </w:p>
        </w:tc>
        <w:tc>
          <w:tcPr>
            <w:tcW w:w="929" w:type="dxa"/>
            <w:vAlign w:val="top"/>
          </w:tcPr>
          <w:p w14:paraId="4F131F19">
            <w:pPr>
              <w:pStyle w:val="6"/>
              <w:spacing w:before="50" w:line="184" w:lineRule="auto"/>
              <w:ind w:left="71"/>
              <w:rPr>
                <w:sz w:val="21"/>
                <w:szCs w:val="21"/>
              </w:rPr>
            </w:pPr>
            <w:r>
              <w:rPr>
                <w:spacing w:val="-2"/>
                <w:sz w:val="21"/>
                <w:szCs w:val="21"/>
              </w:rPr>
              <w:t>2.2.5</w:t>
            </w:r>
          </w:p>
        </w:tc>
        <w:tc>
          <w:tcPr>
            <w:tcW w:w="4635" w:type="dxa"/>
            <w:vAlign w:val="top"/>
          </w:tcPr>
          <w:p w14:paraId="7557A149">
            <w:pPr>
              <w:pStyle w:val="6"/>
              <w:spacing w:before="27" w:line="204" w:lineRule="auto"/>
              <w:ind w:left="101"/>
              <w:rPr>
                <w:sz w:val="21"/>
                <w:szCs w:val="21"/>
              </w:rPr>
            </w:pPr>
            <w:r>
              <w:rPr>
                <w:spacing w:val="1"/>
                <w:sz w:val="21"/>
                <w:szCs w:val="21"/>
              </w:rPr>
              <w:t>钢芯铝绞线</w:t>
            </w:r>
            <w:r>
              <w:rPr>
                <w:sz w:val="21"/>
                <w:szCs w:val="21"/>
              </w:rPr>
              <w:t>JL</w:t>
            </w:r>
            <w:r>
              <w:rPr>
                <w:spacing w:val="1"/>
                <w:sz w:val="21"/>
                <w:szCs w:val="21"/>
              </w:rPr>
              <w:t>/</w:t>
            </w:r>
            <w:r>
              <w:rPr>
                <w:sz w:val="21"/>
                <w:szCs w:val="21"/>
              </w:rPr>
              <w:t>GIA</w:t>
            </w:r>
            <w:r>
              <w:rPr>
                <w:spacing w:val="1"/>
                <w:sz w:val="21"/>
                <w:szCs w:val="21"/>
              </w:rPr>
              <w:t>-240/30</w:t>
            </w:r>
          </w:p>
        </w:tc>
        <w:tc>
          <w:tcPr>
            <w:tcW w:w="659" w:type="dxa"/>
            <w:vAlign w:val="top"/>
          </w:tcPr>
          <w:p w14:paraId="2E610BAB">
            <w:pPr>
              <w:pStyle w:val="6"/>
              <w:spacing w:before="29" w:line="203" w:lineRule="auto"/>
              <w:ind w:left="96"/>
              <w:rPr>
                <w:sz w:val="21"/>
                <w:szCs w:val="21"/>
              </w:rPr>
            </w:pPr>
            <w:r>
              <w:rPr>
                <w:sz w:val="21"/>
                <w:szCs w:val="21"/>
              </w:rPr>
              <w:t>米</w:t>
            </w:r>
          </w:p>
        </w:tc>
        <w:tc>
          <w:tcPr>
            <w:tcW w:w="949" w:type="dxa"/>
            <w:vAlign w:val="top"/>
          </w:tcPr>
          <w:p w14:paraId="1A7489A2">
            <w:pPr>
              <w:pStyle w:val="6"/>
              <w:spacing w:before="50" w:line="184" w:lineRule="auto"/>
              <w:ind w:left="107"/>
              <w:rPr>
                <w:sz w:val="21"/>
                <w:szCs w:val="21"/>
              </w:rPr>
            </w:pPr>
            <w:r>
              <w:rPr>
                <w:spacing w:val="-2"/>
                <w:sz w:val="21"/>
                <w:szCs w:val="21"/>
              </w:rPr>
              <w:t>60.00</w:t>
            </w:r>
          </w:p>
        </w:tc>
        <w:tc>
          <w:tcPr>
            <w:tcW w:w="509" w:type="dxa"/>
            <w:vAlign w:val="top"/>
          </w:tcPr>
          <w:p w14:paraId="30AED2AD">
            <w:pPr>
              <w:rPr>
                <w:rFonts w:ascii="Arial"/>
                <w:sz w:val="21"/>
              </w:rPr>
            </w:pPr>
          </w:p>
        </w:tc>
        <w:tc>
          <w:tcPr>
            <w:tcW w:w="344" w:type="dxa"/>
            <w:vMerge w:val="continue"/>
            <w:tcBorders>
              <w:top w:val="nil"/>
              <w:bottom w:val="nil"/>
            </w:tcBorders>
            <w:vAlign w:val="top"/>
          </w:tcPr>
          <w:p w14:paraId="63F24C95">
            <w:pPr>
              <w:rPr>
                <w:rFonts w:ascii="Arial"/>
                <w:sz w:val="21"/>
              </w:rPr>
            </w:pPr>
          </w:p>
        </w:tc>
      </w:tr>
      <w:tr w14:paraId="6B5CD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4" w:type="dxa"/>
            <w:vMerge w:val="continue"/>
            <w:tcBorders>
              <w:top w:val="nil"/>
              <w:bottom w:val="nil"/>
            </w:tcBorders>
            <w:vAlign w:val="top"/>
          </w:tcPr>
          <w:p w14:paraId="6698F038">
            <w:pPr>
              <w:rPr>
                <w:rFonts w:ascii="Arial"/>
                <w:sz w:val="21"/>
              </w:rPr>
            </w:pPr>
          </w:p>
        </w:tc>
        <w:tc>
          <w:tcPr>
            <w:tcW w:w="340" w:type="dxa"/>
            <w:vMerge w:val="continue"/>
            <w:tcBorders>
              <w:top w:val="nil"/>
              <w:bottom w:val="nil"/>
            </w:tcBorders>
            <w:vAlign w:val="top"/>
          </w:tcPr>
          <w:p w14:paraId="4D3515FD">
            <w:pPr>
              <w:rPr>
                <w:rFonts w:ascii="Arial"/>
                <w:sz w:val="21"/>
              </w:rPr>
            </w:pPr>
          </w:p>
        </w:tc>
        <w:tc>
          <w:tcPr>
            <w:tcW w:w="929" w:type="dxa"/>
            <w:vAlign w:val="top"/>
          </w:tcPr>
          <w:p w14:paraId="0851D63E">
            <w:pPr>
              <w:pStyle w:val="6"/>
              <w:spacing w:before="60" w:line="193" w:lineRule="auto"/>
              <w:ind w:left="71"/>
              <w:rPr>
                <w:sz w:val="21"/>
                <w:szCs w:val="21"/>
              </w:rPr>
            </w:pPr>
            <w:r>
              <w:rPr>
                <w:spacing w:val="-2"/>
                <w:sz w:val="21"/>
                <w:szCs w:val="21"/>
              </w:rPr>
              <w:t>2.2.6</w:t>
            </w:r>
          </w:p>
        </w:tc>
        <w:tc>
          <w:tcPr>
            <w:tcW w:w="4635" w:type="dxa"/>
            <w:vAlign w:val="top"/>
          </w:tcPr>
          <w:p w14:paraId="127B0A98">
            <w:pPr>
              <w:pStyle w:val="6"/>
              <w:spacing w:before="39" w:line="211" w:lineRule="auto"/>
              <w:ind w:left="101"/>
              <w:rPr>
                <w:sz w:val="21"/>
                <w:szCs w:val="21"/>
              </w:rPr>
            </w:pPr>
            <w:r>
              <w:rPr>
                <w:spacing w:val="4"/>
                <w:sz w:val="21"/>
                <w:szCs w:val="21"/>
              </w:rPr>
              <w:t>绝缘子串9(</w:t>
            </w:r>
            <w:r>
              <w:rPr>
                <w:sz w:val="21"/>
                <w:szCs w:val="21"/>
              </w:rPr>
              <w:t>XWP</w:t>
            </w:r>
            <w:r>
              <w:rPr>
                <w:spacing w:val="4"/>
                <w:sz w:val="21"/>
                <w:szCs w:val="21"/>
              </w:rPr>
              <w:t>2-100)</w:t>
            </w:r>
          </w:p>
        </w:tc>
        <w:tc>
          <w:tcPr>
            <w:tcW w:w="659" w:type="dxa"/>
            <w:vAlign w:val="top"/>
          </w:tcPr>
          <w:p w14:paraId="4F152950">
            <w:pPr>
              <w:pStyle w:val="6"/>
              <w:spacing w:before="39" w:line="211" w:lineRule="auto"/>
              <w:ind w:left="96"/>
              <w:rPr>
                <w:sz w:val="21"/>
                <w:szCs w:val="21"/>
              </w:rPr>
            </w:pPr>
            <w:r>
              <w:rPr>
                <w:sz w:val="21"/>
                <w:szCs w:val="21"/>
              </w:rPr>
              <w:t>串</w:t>
            </w:r>
          </w:p>
        </w:tc>
        <w:tc>
          <w:tcPr>
            <w:tcW w:w="949" w:type="dxa"/>
            <w:vAlign w:val="top"/>
          </w:tcPr>
          <w:p w14:paraId="4B160682">
            <w:pPr>
              <w:pStyle w:val="6"/>
              <w:spacing w:before="60" w:line="193" w:lineRule="auto"/>
              <w:ind w:left="107"/>
              <w:rPr>
                <w:sz w:val="21"/>
                <w:szCs w:val="21"/>
              </w:rPr>
            </w:pPr>
            <w:r>
              <w:rPr>
                <w:spacing w:val="-3"/>
                <w:sz w:val="21"/>
                <w:szCs w:val="21"/>
              </w:rPr>
              <w:t>3.00</w:t>
            </w:r>
          </w:p>
        </w:tc>
        <w:tc>
          <w:tcPr>
            <w:tcW w:w="509" w:type="dxa"/>
            <w:vAlign w:val="top"/>
          </w:tcPr>
          <w:p w14:paraId="590F259A">
            <w:pPr>
              <w:rPr>
                <w:rFonts w:ascii="Arial"/>
                <w:sz w:val="21"/>
              </w:rPr>
            </w:pPr>
          </w:p>
        </w:tc>
        <w:tc>
          <w:tcPr>
            <w:tcW w:w="344" w:type="dxa"/>
            <w:vMerge w:val="continue"/>
            <w:tcBorders>
              <w:top w:val="nil"/>
              <w:bottom w:val="nil"/>
            </w:tcBorders>
            <w:vAlign w:val="top"/>
          </w:tcPr>
          <w:p w14:paraId="130FC936">
            <w:pPr>
              <w:rPr>
                <w:rFonts w:ascii="Arial"/>
                <w:sz w:val="21"/>
              </w:rPr>
            </w:pPr>
          </w:p>
        </w:tc>
      </w:tr>
      <w:tr w14:paraId="37EB0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94" w:type="dxa"/>
            <w:vMerge w:val="continue"/>
            <w:tcBorders>
              <w:top w:val="nil"/>
              <w:bottom w:val="nil"/>
            </w:tcBorders>
            <w:vAlign w:val="top"/>
          </w:tcPr>
          <w:p w14:paraId="2C3434E5">
            <w:pPr>
              <w:rPr>
                <w:rFonts w:ascii="Arial"/>
                <w:sz w:val="21"/>
              </w:rPr>
            </w:pPr>
          </w:p>
        </w:tc>
        <w:tc>
          <w:tcPr>
            <w:tcW w:w="340" w:type="dxa"/>
            <w:vMerge w:val="continue"/>
            <w:tcBorders>
              <w:top w:val="nil"/>
              <w:bottom w:val="nil"/>
            </w:tcBorders>
            <w:vAlign w:val="top"/>
          </w:tcPr>
          <w:p w14:paraId="4008B11A">
            <w:pPr>
              <w:rPr>
                <w:rFonts w:ascii="Arial"/>
                <w:sz w:val="21"/>
              </w:rPr>
            </w:pPr>
          </w:p>
        </w:tc>
        <w:tc>
          <w:tcPr>
            <w:tcW w:w="929" w:type="dxa"/>
            <w:vAlign w:val="top"/>
          </w:tcPr>
          <w:p w14:paraId="4309164B">
            <w:pPr>
              <w:pStyle w:val="6"/>
              <w:spacing w:before="50" w:line="184" w:lineRule="auto"/>
              <w:ind w:left="71"/>
              <w:rPr>
                <w:sz w:val="21"/>
                <w:szCs w:val="21"/>
              </w:rPr>
            </w:pPr>
            <w:r>
              <w:rPr>
                <w:spacing w:val="-2"/>
                <w:sz w:val="21"/>
                <w:szCs w:val="21"/>
              </w:rPr>
              <w:t>2.2.7</w:t>
            </w:r>
          </w:p>
        </w:tc>
        <w:tc>
          <w:tcPr>
            <w:tcW w:w="4635" w:type="dxa"/>
            <w:vAlign w:val="top"/>
          </w:tcPr>
          <w:p w14:paraId="7B45FFC3">
            <w:pPr>
              <w:pStyle w:val="6"/>
              <w:spacing w:before="30" w:line="202" w:lineRule="auto"/>
              <w:ind w:left="101"/>
              <w:rPr>
                <w:sz w:val="21"/>
                <w:szCs w:val="21"/>
              </w:rPr>
            </w:pPr>
            <w:r>
              <w:rPr>
                <w:spacing w:val="1"/>
                <w:sz w:val="21"/>
                <w:szCs w:val="21"/>
              </w:rPr>
              <w:t>耐张线夹</w:t>
            </w:r>
            <w:r>
              <w:rPr>
                <w:sz w:val="21"/>
                <w:szCs w:val="21"/>
              </w:rPr>
              <w:t>NY</w:t>
            </w:r>
            <w:r>
              <w:rPr>
                <w:spacing w:val="1"/>
                <w:sz w:val="21"/>
                <w:szCs w:val="21"/>
              </w:rPr>
              <w:t>-240/30</w:t>
            </w:r>
          </w:p>
        </w:tc>
        <w:tc>
          <w:tcPr>
            <w:tcW w:w="659" w:type="dxa"/>
            <w:vAlign w:val="top"/>
          </w:tcPr>
          <w:p w14:paraId="22B754E1">
            <w:pPr>
              <w:pStyle w:val="6"/>
              <w:spacing w:before="30" w:line="202" w:lineRule="auto"/>
              <w:ind w:left="96"/>
              <w:rPr>
                <w:sz w:val="21"/>
                <w:szCs w:val="21"/>
              </w:rPr>
            </w:pPr>
            <w:r>
              <w:rPr>
                <w:sz w:val="21"/>
                <w:szCs w:val="21"/>
              </w:rPr>
              <w:t>套</w:t>
            </w:r>
          </w:p>
        </w:tc>
        <w:tc>
          <w:tcPr>
            <w:tcW w:w="949" w:type="dxa"/>
            <w:vAlign w:val="top"/>
          </w:tcPr>
          <w:p w14:paraId="5F0B11C0">
            <w:pPr>
              <w:pStyle w:val="6"/>
              <w:spacing w:before="50" w:line="184" w:lineRule="auto"/>
              <w:ind w:left="107"/>
              <w:rPr>
                <w:sz w:val="21"/>
                <w:szCs w:val="21"/>
              </w:rPr>
            </w:pPr>
            <w:r>
              <w:rPr>
                <w:spacing w:val="-3"/>
                <w:sz w:val="21"/>
                <w:szCs w:val="21"/>
              </w:rPr>
              <w:t>3.00</w:t>
            </w:r>
          </w:p>
        </w:tc>
        <w:tc>
          <w:tcPr>
            <w:tcW w:w="509" w:type="dxa"/>
            <w:vAlign w:val="top"/>
          </w:tcPr>
          <w:p w14:paraId="0421D1B1">
            <w:pPr>
              <w:rPr>
                <w:rFonts w:ascii="Arial"/>
                <w:sz w:val="21"/>
              </w:rPr>
            </w:pPr>
          </w:p>
        </w:tc>
        <w:tc>
          <w:tcPr>
            <w:tcW w:w="344" w:type="dxa"/>
            <w:vMerge w:val="continue"/>
            <w:tcBorders>
              <w:top w:val="nil"/>
              <w:bottom w:val="nil"/>
            </w:tcBorders>
            <w:vAlign w:val="top"/>
          </w:tcPr>
          <w:p w14:paraId="3E0DF903">
            <w:pPr>
              <w:rPr>
                <w:rFonts w:ascii="Arial"/>
                <w:sz w:val="21"/>
              </w:rPr>
            </w:pPr>
          </w:p>
        </w:tc>
      </w:tr>
      <w:tr w14:paraId="71370C44">
        <w:tblPrEx>
          <w:tblCellMar>
            <w:top w:w="0" w:type="dxa"/>
            <w:left w:w="0" w:type="dxa"/>
            <w:bottom w:w="0" w:type="dxa"/>
            <w:right w:w="0" w:type="dxa"/>
          </w:tblCellMar>
        </w:tblPrEx>
        <w:trPr>
          <w:trHeight w:val="270" w:hRule="atLeast"/>
        </w:trPr>
        <w:tc>
          <w:tcPr>
            <w:tcW w:w="694" w:type="dxa"/>
            <w:vMerge w:val="continue"/>
            <w:tcBorders>
              <w:top w:val="nil"/>
              <w:bottom w:val="nil"/>
            </w:tcBorders>
            <w:vAlign w:val="top"/>
          </w:tcPr>
          <w:p w14:paraId="4656903F">
            <w:pPr>
              <w:rPr>
                <w:rFonts w:ascii="Arial"/>
                <w:sz w:val="21"/>
              </w:rPr>
            </w:pPr>
          </w:p>
        </w:tc>
        <w:tc>
          <w:tcPr>
            <w:tcW w:w="340" w:type="dxa"/>
            <w:vMerge w:val="continue"/>
            <w:tcBorders>
              <w:top w:val="nil"/>
              <w:bottom w:val="nil"/>
            </w:tcBorders>
            <w:vAlign w:val="top"/>
          </w:tcPr>
          <w:p w14:paraId="00204458">
            <w:pPr>
              <w:rPr>
                <w:rFonts w:ascii="Arial"/>
                <w:sz w:val="21"/>
              </w:rPr>
            </w:pPr>
          </w:p>
        </w:tc>
        <w:tc>
          <w:tcPr>
            <w:tcW w:w="929" w:type="dxa"/>
            <w:vAlign w:val="top"/>
          </w:tcPr>
          <w:p w14:paraId="1F3D29EF">
            <w:pPr>
              <w:pStyle w:val="6"/>
              <w:spacing w:before="50" w:line="184" w:lineRule="auto"/>
              <w:ind w:left="71"/>
              <w:rPr>
                <w:sz w:val="21"/>
                <w:szCs w:val="21"/>
              </w:rPr>
            </w:pPr>
            <w:r>
              <w:rPr>
                <w:spacing w:val="-2"/>
                <w:sz w:val="21"/>
                <w:szCs w:val="21"/>
              </w:rPr>
              <w:t>2.2.8</w:t>
            </w:r>
          </w:p>
        </w:tc>
        <w:tc>
          <w:tcPr>
            <w:tcW w:w="4635" w:type="dxa"/>
            <w:vAlign w:val="top"/>
          </w:tcPr>
          <w:p w14:paraId="750FA3F0">
            <w:pPr>
              <w:pStyle w:val="6"/>
              <w:spacing w:before="30" w:line="202" w:lineRule="auto"/>
              <w:ind w:left="101"/>
              <w:rPr>
                <w:sz w:val="21"/>
                <w:szCs w:val="21"/>
              </w:rPr>
            </w:pPr>
            <w:r>
              <w:rPr>
                <w:spacing w:val="1"/>
                <w:sz w:val="21"/>
                <w:szCs w:val="21"/>
              </w:rPr>
              <w:t>设备线夹</w:t>
            </w:r>
            <w:r>
              <w:rPr>
                <w:sz w:val="21"/>
                <w:szCs w:val="21"/>
              </w:rPr>
              <w:t>SY</w:t>
            </w:r>
            <w:r>
              <w:rPr>
                <w:spacing w:val="1"/>
                <w:sz w:val="21"/>
                <w:szCs w:val="21"/>
              </w:rPr>
              <w:t>-240/30</w:t>
            </w:r>
          </w:p>
        </w:tc>
        <w:tc>
          <w:tcPr>
            <w:tcW w:w="659" w:type="dxa"/>
            <w:vAlign w:val="top"/>
          </w:tcPr>
          <w:p w14:paraId="4BC27E04">
            <w:pPr>
              <w:pStyle w:val="6"/>
              <w:spacing w:before="30" w:line="202" w:lineRule="auto"/>
              <w:ind w:left="96"/>
              <w:rPr>
                <w:sz w:val="21"/>
                <w:szCs w:val="21"/>
              </w:rPr>
            </w:pPr>
            <w:r>
              <w:rPr>
                <w:sz w:val="21"/>
                <w:szCs w:val="21"/>
              </w:rPr>
              <w:t>套</w:t>
            </w:r>
          </w:p>
        </w:tc>
        <w:tc>
          <w:tcPr>
            <w:tcW w:w="949" w:type="dxa"/>
            <w:vAlign w:val="top"/>
          </w:tcPr>
          <w:p w14:paraId="0D1482A2">
            <w:pPr>
              <w:pStyle w:val="6"/>
              <w:spacing w:before="50" w:line="184" w:lineRule="auto"/>
              <w:ind w:left="107"/>
              <w:rPr>
                <w:sz w:val="21"/>
                <w:szCs w:val="21"/>
              </w:rPr>
            </w:pPr>
            <w:r>
              <w:rPr>
                <w:spacing w:val="-4"/>
                <w:sz w:val="21"/>
                <w:szCs w:val="21"/>
              </w:rPr>
              <w:t>12.00</w:t>
            </w:r>
          </w:p>
        </w:tc>
        <w:tc>
          <w:tcPr>
            <w:tcW w:w="509" w:type="dxa"/>
            <w:vAlign w:val="top"/>
          </w:tcPr>
          <w:p w14:paraId="1B377021">
            <w:pPr>
              <w:rPr>
                <w:rFonts w:ascii="Arial"/>
                <w:sz w:val="21"/>
              </w:rPr>
            </w:pPr>
          </w:p>
        </w:tc>
        <w:tc>
          <w:tcPr>
            <w:tcW w:w="344" w:type="dxa"/>
            <w:vMerge w:val="continue"/>
            <w:tcBorders>
              <w:top w:val="nil"/>
              <w:bottom w:val="nil"/>
            </w:tcBorders>
            <w:vAlign w:val="top"/>
          </w:tcPr>
          <w:p w14:paraId="56ADB2EE">
            <w:pPr>
              <w:rPr>
                <w:rFonts w:ascii="Arial"/>
                <w:sz w:val="21"/>
              </w:rPr>
            </w:pPr>
          </w:p>
        </w:tc>
      </w:tr>
      <w:tr w14:paraId="6C942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94" w:type="dxa"/>
            <w:vMerge w:val="continue"/>
            <w:tcBorders>
              <w:top w:val="nil"/>
              <w:bottom w:val="nil"/>
            </w:tcBorders>
            <w:vAlign w:val="top"/>
          </w:tcPr>
          <w:p w14:paraId="036D6D16">
            <w:pPr>
              <w:rPr>
                <w:rFonts w:ascii="Arial"/>
                <w:sz w:val="21"/>
              </w:rPr>
            </w:pPr>
          </w:p>
        </w:tc>
        <w:tc>
          <w:tcPr>
            <w:tcW w:w="340" w:type="dxa"/>
            <w:vMerge w:val="continue"/>
            <w:tcBorders>
              <w:top w:val="nil"/>
              <w:bottom w:val="nil"/>
            </w:tcBorders>
            <w:vAlign w:val="top"/>
          </w:tcPr>
          <w:p w14:paraId="5370D560">
            <w:pPr>
              <w:rPr>
                <w:rFonts w:ascii="Arial"/>
                <w:sz w:val="21"/>
              </w:rPr>
            </w:pPr>
          </w:p>
        </w:tc>
        <w:tc>
          <w:tcPr>
            <w:tcW w:w="929" w:type="dxa"/>
            <w:vAlign w:val="top"/>
          </w:tcPr>
          <w:p w14:paraId="6EF0F680">
            <w:pPr>
              <w:pStyle w:val="6"/>
              <w:spacing w:before="50" w:line="175" w:lineRule="auto"/>
              <w:ind w:left="71"/>
              <w:rPr>
                <w:sz w:val="21"/>
                <w:szCs w:val="21"/>
              </w:rPr>
            </w:pPr>
            <w:r>
              <w:rPr>
                <w:spacing w:val="-3"/>
                <w:sz w:val="21"/>
                <w:szCs w:val="21"/>
              </w:rPr>
              <w:t>2.3</w:t>
            </w:r>
          </w:p>
        </w:tc>
        <w:tc>
          <w:tcPr>
            <w:tcW w:w="4635" w:type="dxa"/>
            <w:vAlign w:val="top"/>
          </w:tcPr>
          <w:p w14:paraId="5498B633">
            <w:pPr>
              <w:pStyle w:val="6"/>
              <w:spacing w:before="30" w:line="193" w:lineRule="auto"/>
              <w:ind w:left="101"/>
              <w:rPr>
                <w:sz w:val="21"/>
                <w:szCs w:val="21"/>
              </w:rPr>
            </w:pPr>
            <w:r>
              <w:rPr>
                <w:sz w:val="21"/>
                <w:szCs w:val="21"/>
              </w:rPr>
              <w:t>35KV配电装置设备及安装</w:t>
            </w:r>
          </w:p>
        </w:tc>
        <w:tc>
          <w:tcPr>
            <w:tcW w:w="659" w:type="dxa"/>
            <w:vAlign w:val="top"/>
          </w:tcPr>
          <w:p w14:paraId="7F014B80">
            <w:pPr>
              <w:rPr>
                <w:rFonts w:ascii="Arial"/>
                <w:sz w:val="21"/>
              </w:rPr>
            </w:pPr>
          </w:p>
        </w:tc>
        <w:tc>
          <w:tcPr>
            <w:tcW w:w="949" w:type="dxa"/>
            <w:vAlign w:val="top"/>
          </w:tcPr>
          <w:p w14:paraId="17DCE764">
            <w:pPr>
              <w:rPr>
                <w:rFonts w:ascii="Arial"/>
                <w:sz w:val="21"/>
              </w:rPr>
            </w:pPr>
          </w:p>
        </w:tc>
        <w:tc>
          <w:tcPr>
            <w:tcW w:w="509" w:type="dxa"/>
            <w:vAlign w:val="top"/>
          </w:tcPr>
          <w:p w14:paraId="3CCB1467">
            <w:pPr>
              <w:rPr>
                <w:rFonts w:ascii="Arial"/>
                <w:sz w:val="21"/>
              </w:rPr>
            </w:pPr>
          </w:p>
        </w:tc>
        <w:tc>
          <w:tcPr>
            <w:tcW w:w="344" w:type="dxa"/>
            <w:vMerge w:val="continue"/>
            <w:tcBorders>
              <w:top w:val="nil"/>
              <w:bottom w:val="nil"/>
            </w:tcBorders>
            <w:vAlign w:val="top"/>
          </w:tcPr>
          <w:p w14:paraId="6DF6D825">
            <w:pPr>
              <w:rPr>
                <w:rFonts w:ascii="Arial"/>
                <w:sz w:val="21"/>
              </w:rPr>
            </w:pPr>
          </w:p>
        </w:tc>
      </w:tr>
      <w:tr w14:paraId="2FD21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4" w:type="dxa"/>
            <w:vMerge w:val="continue"/>
            <w:tcBorders>
              <w:top w:val="nil"/>
              <w:bottom w:val="nil"/>
            </w:tcBorders>
            <w:vAlign w:val="top"/>
          </w:tcPr>
          <w:p w14:paraId="5015E24B">
            <w:pPr>
              <w:rPr>
                <w:rFonts w:ascii="Arial"/>
                <w:sz w:val="21"/>
              </w:rPr>
            </w:pPr>
          </w:p>
        </w:tc>
        <w:tc>
          <w:tcPr>
            <w:tcW w:w="340" w:type="dxa"/>
            <w:vMerge w:val="continue"/>
            <w:tcBorders>
              <w:top w:val="nil"/>
              <w:bottom w:val="nil"/>
            </w:tcBorders>
            <w:vAlign w:val="top"/>
          </w:tcPr>
          <w:p w14:paraId="419BF51B">
            <w:pPr>
              <w:rPr>
                <w:rFonts w:ascii="Arial"/>
                <w:sz w:val="21"/>
              </w:rPr>
            </w:pPr>
          </w:p>
        </w:tc>
        <w:tc>
          <w:tcPr>
            <w:tcW w:w="929" w:type="dxa"/>
            <w:vAlign w:val="top"/>
          </w:tcPr>
          <w:p w14:paraId="792C385C">
            <w:pPr>
              <w:pStyle w:val="6"/>
              <w:spacing w:before="60" w:line="193" w:lineRule="auto"/>
              <w:ind w:left="71"/>
              <w:rPr>
                <w:sz w:val="21"/>
                <w:szCs w:val="21"/>
              </w:rPr>
            </w:pPr>
            <w:r>
              <w:rPr>
                <w:spacing w:val="-2"/>
                <w:sz w:val="21"/>
                <w:szCs w:val="21"/>
              </w:rPr>
              <w:t>2.3.1</w:t>
            </w:r>
          </w:p>
        </w:tc>
        <w:tc>
          <w:tcPr>
            <w:tcW w:w="4635" w:type="dxa"/>
            <w:vAlign w:val="top"/>
          </w:tcPr>
          <w:p w14:paraId="518604A5">
            <w:pPr>
              <w:pStyle w:val="6"/>
              <w:spacing w:before="39" w:line="211" w:lineRule="auto"/>
              <w:ind w:left="101"/>
              <w:rPr>
                <w:sz w:val="21"/>
                <w:szCs w:val="21"/>
              </w:rPr>
            </w:pPr>
            <w:r>
              <w:rPr>
                <w:spacing w:val="2"/>
                <w:sz w:val="21"/>
                <w:szCs w:val="21"/>
              </w:rPr>
              <w:t>35</w:t>
            </w:r>
            <w:r>
              <w:rPr>
                <w:sz w:val="21"/>
                <w:szCs w:val="21"/>
              </w:rPr>
              <w:t>kV</w:t>
            </w:r>
            <w:r>
              <w:rPr>
                <w:spacing w:val="2"/>
                <w:sz w:val="21"/>
                <w:szCs w:val="21"/>
              </w:rPr>
              <w:t>开关柜(1600A主变进线柜)</w:t>
            </w:r>
          </w:p>
        </w:tc>
        <w:tc>
          <w:tcPr>
            <w:tcW w:w="659" w:type="dxa"/>
            <w:vAlign w:val="top"/>
          </w:tcPr>
          <w:p w14:paraId="1BA13A13">
            <w:pPr>
              <w:pStyle w:val="6"/>
              <w:spacing w:before="41" w:line="210" w:lineRule="auto"/>
              <w:ind w:left="96"/>
              <w:rPr>
                <w:sz w:val="21"/>
                <w:szCs w:val="21"/>
              </w:rPr>
            </w:pPr>
            <w:r>
              <w:rPr>
                <w:sz w:val="21"/>
                <w:szCs w:val="21"/>
              </w:rPr>
              <w:t>面</w:t>
            </w:r>
          </w:p>
        </w:tc>
        <w:tc>
          <w:tcPr>
            <w:tcW w:w="949" w:type="dxa"/>
            <w:vAlign w:val="top"/>
          </w:tcPr>
          <w:p w14:paraId="295F2404">
            <w:pPr>
              <w:pStyle w:val="6"/>
              <w:spacing w:before="60" w:line="193" w:lineRule="auto"/>
              <w:ind w:left="107"/>
              <w:rPr>
                <w:sz w:val="21"/>
                <w:szCs w:val="21"/>
              </w:rPr>
            </w:pPr>
            <w:r>
              <w:rPr>
                <w:spacing w:val="-5"/>
                <w:sz w:val="21"/>
                <w:szCs w:val="21"/>
              </w:rPr>
              <w:t>1.00</w:t>
            </w:r>
          </w:p>
        </w:tc>
        <w:tc>
          <w:tcPr>
            <w:tcW w:w="509" w:type="dxa"/>
            <w:vAlign w:val="top"/>
          </w:tcPr>
          <w:p w14:paraId="659488F4">
            <w:pPr>
              <w:rPr>
                <w:rFonts w:ascii="Arial"/>
                <w:sz w:val="21"/>
              </w:rPr>
            </w:pPr>
          </w:p>
        </w:tc>
        <w:tc>
          <w:tcPr>
            <w:tcW w:w="344" w:type="dxa"/>
            <w:vMerge w:val="continue"/>
            <w:tcBorders>
              <w:top w:val="nil"/>
              <w:bottom w:val="nil"/>
            </w:tcBorders>
            <w:vAlign w:val="top"/>
          </w:tcPr>
          <w:p w14:paraId="2C3F9531">
            <w:pPr>
              <w:rPr>
                <w:rFonts w:ascii="Arial"/>
                <w:sz w:val="21"/>
              </w:rPr>
            </w:pPr>
          </w:p>
        </w:tc>
      </w:tr>
      <w:tr w14:paraId="6E36E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94" w:type="dxa"/>
            <w:vMerge w:val="continue"/>
            <w:tcBorders>
              <w:top w:val="nil"/>
              <w:bottom w:val="nil"/>
            </w:tcBorders>
            <w:vAlign w:val="top"/>
          </w:tcPr>
          <w:p w14:paraId="19409985">
            <w:pPr>
              <w:rPr>
                <w:rFonts w:ascii="Arial"/>
                <w:sz w:val="21"/>
              </w:rPr>
            </w:pPr>
          </w:p>
        </w:tc>
        <w:tc>
          <w:tcPr>
            <w:tcW w:w="340" w:type="dxa"/>
            <w:vMerge w:val="continue"/>
            <w:tcBorders>
              <w:top w:val="nil"/>
              <w:bottom w:val="nil"/>
            </w:tcBorders>
            <w:vAlign w:val="top"/>
          </w:tcPr>
          <w:p w14:paraId="6EB215E8">
            <w:pPr>
              <w:rPr>
                <w:rFonts w:ascii="Arial"/>
                <w:sz w:val="21"/>
              </w:rPr>
            </w:pPr>
          </w:p>
        </w:tc>
        <w:tc>
          <w:tcPr>
            <w:tcW w:w="929" w:type="dxa"/>
            <w:vAlign w:val="top"/>
          </w:tcPr>
          <w:p w14:paraId="54022757">
            <w:pPr>
              <w:pStyle w:val="6"/>
              <w:spacing w:before="50" w:line="184" w:lineRule="auto"/>
              <w:ind w:left="71"/>
              <w:rPr>
                <w:sz w:val="21"/>
                <w:szCs w:val="21"/>
              </w:rPr>
            </w:pPr>
            <w:r>
              <w:rPr>
                <w:spacing w:val="-2"/>
                <w:sz w:val="21"/>
                <w:szCs w:val="21"/>
              </w:rPr>
              <w:t>2.3.2</w:t>
            </w:r>
          </w:p>
        </w:tc>
        <w:tc>
          <w:tcPr>
            <w:tcW w:w="4635" w:type="dxa"/>
            <w:vAlign w:val="top"/>
          </w:tcPr>
          <w:p w14:paraId="3A2CB740">
            <w:pPr>
              <w:pStyle w:val="6"/>
              <w:spacing w:before="29" w:line="203" w:lineRule="auto"/>
              <w:ind w:left="101"/>
              <w:rPr>
                <w:sz w:val="21"/>
                <w:szCs w:val="21"/>
              </w:rPr>
            </w:pPr>
            <w:r>
              <w:rPr>
                <w:spacing w:val="2"/>
                <w:sz w:val="21"/>
                <w:szCs w:val="21"/>
              </w:rPr>
              <w:t>35</w:t>
            </w:r>
            <w:r>
              <w:rPr>
                <w:sz w:val="21"/>
                <w:szCs w:val="21"/>
              </w:rPr>
              <w:t>kV</w:t>
            </w:r>
            <w:r>
              <w:rPr>
                <w:spacing w:val="2"/>
                <w:sz w:val="21"/>
                <w:szCs w:val="21"/>
              </w:rPr>
              <w:t>开关柜(1250A集电线路柜)</w:t>
            </w:r>
          </w:p>
        </w:tc>
        <w:tc>
          <w:tcPr>
            <w:tcW w:w="659" w:type="dxa"/>
            <w:vAlign w:val="top"/>
          </w:tcPr>
          <w:p w14:paraId="33E4E9AE">
            <w:pPr>
              <w:pStyle w:val="6"/>
              <w:spacing w:before="31" w:line="201" w:lineRule="auto"/>
              <w:ind w:left="96"/>
              <w:rPr>
                <w:sz w:val="21"/>
                <w:szCs w:val="21"/>
              </w:rPr>
            </w:pPr>
            <w:r>
              <w:rPr>
                <w:sz w:val="21"/>
                <w:szCs w:val="21"/>
              </w:rPr>
              <w:t>面</w:t>
            </w:r>
          </w:p>
        </w:tc>
        <w:tc>
          <w:tcPr>
            <w:tcW w:w="949" w:type="dxa"/>
            <w:vAlign w:val="top"/>
          </w:tcPr>
          <w:p w14:paraId="1EFBC4BD">
            <w:pPr>
              <w:pStyle w:val="6"/>
              <w:spacing w:before="50" w:line="184" w:lineRule="auto"/>
              <w:ind w:left="107"/>
              <w:rPr>
                <w:sz w:val="21"/>
                <w:szCs w:val="21"/>
              </w:rPr>
            </w:pPr>
            <w:r>
              <w:rPr>
                <w:spacing w:val="-3"/>
                <w:sz w:val="21"/>
                <w:szCs w:val="21"/>
              </w:rPr>
              <w:t>3.00</w:t>
            </w:r>
          </w:p>
        </w:tc>
        <w:tc>
          <w:tcPr>
            <w:tcW w:w="509" w:type="dxa"/>
            <w:vAlign w:val="top"/>
          </w:tcPr>
          <w:p w14:paraId="5C513D13">
            <w:pPr>
              <w:rPr>
                <w:rFonts w:ascii="Arial"/>
                <w:sz w:val="21"/>
              </w:rPr>
            </w:pPr>
          </w:p>
        </w:tc>
        <w:tc>
          <w:tcPr>
            <w:tcW w:w="344" w:type="dxa"/>
            <w:vMerge w:val="continue"/>
            <w:tcBorders>
              <w:top w:val="nil"/>
              <w:bottom w:val="nil"/>
            </w:tcBorders>
            <w:vAlign w:val="top"/>
          </w:tcPr>
          <w:p w14:paraId="6457B34E">
            <w:pPr>
              <w:rPr>
                <w:rFonts w:ascii="Arial"/>
                <w:sz w:val="21"/>
              </w:rPr>
            </w:pPr>
          </w:p>
        </w:tc>
      </w:tr>
      <w:tr w14:paraId="34A05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94" w:type="dxa"/>
            <w:vMerge w:val="continue"/>
            <w:tcBorders>
              <w:top w:val="nil"/>
              <w:bottom w:val="nil"/>
            </w:tcBorders>
            <w:vAlign w:val="top"/>
          </w:tcPr>
          <w:p w14:paraId="1C38A91B">
            <w:pPr>
              <w:rPr>
                <w:rFonts w:ascii="Arial"/>
                <w:sz w:val="21"/>
              </w:rPr>
            </w:pPr>
          </w:p>
        </w:tc>
        <w:tc>
          <w:tcPr>
            <w:tcW w:w="340" w:type="dxa"/>
            <w:vMerge w:val="continue"/>
            <w:tcBorders>
              <w:top w:val="nil"/>
              <w:bottom w:val="nil"/>
            </w:tcBorders>
            <w:vAlign w:val="top"/>
          </w:tcPr>
          <w:p w14:paraId="1501A614">
            <w:pPr>
              <w:rPr>
                <w:rFonts w:ascii="Arial"/>
                <w:sz w:val="21"/>
              </w:rPr>
            </w:pPr>
          </w:p>
        </w:tc>
        <w:tc>
          <w:tcPr>
            <w:tcW w:w="929" w:type="dxa"/>
            <w:vAlign w:val="top"/>
          </w:tcPr>
          <w:p w14:paraId="10F6DE7C">
            <w:pPr>
              <w:pStyle w:val="6"/>
              <w:spacing w:before="50" w:line="184" w:lineRule="auto"/>
              <w:ind w:left="71"/>
              <w:rPr>
                <w:sz w:val="21"/>
                <w:szCs w:val="21"/>
              </w:rPr>
            </w:pPr>
            <w:r>
              <w:rPr>
                <w:spacing w:val="-2"/>
                <w:sz w:val="21"/>
                <w:szCs w:val="21"/>
              </w:rPr>
              <w:t>2.3.3</w:t>
            </w:r>
          </w:p>
        </w:tc>
        <w:tc>
          <w:tcPr>
            <w:tcW w:w="4635" w:type="dxa"/>
            <w:vAlign w:val="top"/>
          </w:tcPr>
          <w:p w14:paraId="5208B1B0">
            <w:pPr>
              <w:pStyle w:val="6"/>
              <w:spacing w:before="30" w:line="202" w:lineRule="auto"/>
              <w:ind w:left="101"/>
              <w:rPr>
                <w:sz w:val="21"/>
                <w:szCs w:val="21"/>
              </w:rPr>
            </w:pPr>
            <w:r>
              <w:rPr>
                <w:spacing w:val="2"/>
                <w:sz w:val="21"/>
                <w:szCs w:val="21"/>
              </w:rPr>
              <w:t>35</w:t>
            </w:r>
            <w:r>
              <w:rPr>
                <w:sz w:val="21"/>
                <w:szCs w:val="21"/>
              </w:rPr>
              <w:t>kV</w:t>
            </w:r>
            <w:r>
              <w:rPr>
                <w:spacing w:val="2"/>
                <w:sz w:val="21"/>
                <w:szCs w:val="21"/>
              </w:rPr>
              <w:t>开关柜(1250A无功补偿柜)</w:t>
            </w:r>
          </w:p>
        </w:tc>
        <w:tc>
          <w:tcPr>
            <w:tcW w:w="659" w:type="dxa"/>
            <w:vAlign w:val="top"/>
          </w:tcPr>
          <w:p w14:paraId="6A039511">
            <w:pPr>
              <w:pStyle w:val="6"/>
              <w:spacing w:before="31" w:line="201" w:lineRule="auto"/>
              <w:ind w:left="96"/>
              <w:rPr>
                <w:sz w:val="21"/>
                <w:szCs w:val="21"/>
              </w:rPr>
            </w:pPr>
            <w:r>
              <w:rPr>
                <w:sz w:val="21"/>
                <w:szCs w:val="21"/>
              </w:rPr>
              <w:t>面</w:t>
            </w:r>
          </w:p>
        </w:tc>
        <w:tc>
          <w:tcPr>
            <w:tcW w:w="949" w:type="dxa"/>
            <w:vAlign w:val="top"/>
          </w:tcPr>
          <w:p w14:paraId="35C1C16D">
            <w:pPr>
              <w:pStyle w:val="6"/>
              <w:spacing w:before="50" w:line="184" w:lineRule="auto"/>
              <w:ind w:left="107"/>
              <w:rPr>
                <w:sz w:val="21"/>
                <w:szCs w:val="21"/>
              </w:rPr>
            </w:pPr>
            <w:r>
              <w:rPr>
                <w:spacing w:val="-5"/>
                <w:sz w:val="21"/>
                <w:szCs w:val="21"/>
              </w:rPr>
              <w:t>1.00</w:t>
            </w:r>
          </w:p>
        </w:tc>
        <w:tc>
          <w:tcPr>
            <w:tcW w:w="509" w:type="dxa"/>
            <w:vAlign w:val="top"/>
          </w:tcPr>
          <w:p w14:paraId="59C2C9D9">
            <w:pPr>
              <w:rPr>
                <w:rFonts w:ascii="Arial"/>
                <w:sz w:val="21"/>
              </w:rPr>
            </w:pPr>
          </w:p>
        </w:tc>
        <w:tc>
          <w:tcPr>
            <w:tcW w:w="344" w:type="dxa"/>
            <w:vMerge w:val="continue"/>
            <w:tcBorders>
              <w:top w:val="nil"/>
              <w:bottom w:val="nil"/>
            </w:tcBorders>
            <w:vAlign w:val="top"/>
          </w:tcPr>
          <w:p w14:paraId="437D6469">
            <w:pPr>
              <w:rPr>
                <w:rFonts w:ascii="Arial"/>
                <w:sz w:val="21"/>
              </w:rPr>
            </w:pPr>
          </w:p>
        </w:tc>
      </w:tr>
      <w:tr w14:paraId="3D0B4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94" w:type="dxa"/>
            <w:vMerge w:val="continue"/>
            <w:tcBorders>
              <w:top w:val="nil"/>
              <w:bottom w:val="nil"/>
            </w:tcBorders>
            <w:vAlign w:val="top"/>
          </w:tcPr>
          <w:p w14:paraId="66530A31">
            <w:pPr>
              <w:rPr>
                <w:rFonts w:ascii="Arial"/>
                <w:sz w:val="21"/>
              </w:rPr>
            </w:pPr>
          </w:p>
        </w:tc>
        <w:tc>
          <w:tcPr>
            <w:tcW w:w="340" w:type="dxa"/>
            <w:vMerge w:val="continue"/>
            <w:tcBorders>
              <w:top w:val="nil"/>
              <w:bottom w:val="nil"/>
            </w:tcBorders>
            <w:vAlign w:val="top"/>
          </w:tcPr>
          <w:p w14:paraId="3BCD5844">
            <w:pPr>
              <w:rPr>
                <w:rFonts w:ascii="Arial"/>
                <w:sz w:val="21"/>
              </w:rPr>
            </w:pPr>
          </w:p>
        </w:tc>
        <w:tc>
          <w:tcPr>
            <w:tcW w:w="929" w:type="dxa"/>
            <w:vAlign w:val="top"/>
          </w:tcPr>
          <w:p w14:paraId="1488BC84">
            <w:pPr>
              <w:pStyle w:val="6"/>
              <w:spacing w:before="50" w:line="183" w:lineRule="auto"/>
              <w:ind w:left="71"/>
              <w:rPr>
                <w:sz w:val="21"/>
                <w:szCs w:val="21"/>
              </w:rPr>
            </w:pPr>
            <w:r>
              <w:rPr>
                <w:spacing w:val="-2"/>
                <w:sz w:val="21"/>
                <w:szCs w:val="21"/>
              </w:rPr>
              <w:t>2.3.4</w:t>
            </w:r>
          </w:p>
        </w:tc>
        <w:tc>
          <w:tcPr>
            <w:tcW w:w="4635" w:type="dxa"/>
            <w:vAlign w:val="top"/>
          </w:tcPr>
          <w:p w14:paraId="3776A55B">
            <w:pPr>
              <w:pStyle w:val="6"/>
              <w:spacing w:before="30" w:line="201" w:lineRule="auto"/>
              <w:ind w:left="101"/>
              <w:rPr>
                <w:sz w:val="21"/>
                <w:szCs w:val="21"/>
              </w:rPr>
            </w:pPr>
            <w:r>
              <w:rPr>
                <w:spacing w:val="2"/>
                <w:sz w:val="21"/>
                <w:szCs w:val="21"/>
              </w:rPr>
              <w:t>35</w:t>
            </w:r>
            <w:r>
              <w:rPr>
                <w:sz w:val="21"/>
                <w:szCs w:val="21"/>
              </w:rPr>
              <w:t>kV</w:t>
            </w:r>
            <w:r>
              <w:rPr>
                <w:spacing w:val="2"/>
                <w:sz w:val="21"/>
                <w:szCs w:val="21"/>
              </w:rPr>
              <w:t>开关柜(1250A站用接地变柜)</w:t>
            </w:r>
          </w:p>
        </w:tc>
        <w:tc>
          <w:tcPr>
            <w:tcW w:w="659" w:type="dxa"/>
            <w:vAlign w:val="top"/>
          </w:tcPr>
          <w:p w14:paraId="1D6C6565">
            <w:pPr>
              <w:pStyle w:val="6"/>
              <w:spacing w:before="31" w:line="200" w:lineRule="auto"/>
              <w:ind w:left="96"/>
              <w:rPr>
                <w:sz w:val="21"/>
                <w:szCs w:val="21"/>
              </w:rPr>
            </w:pPr>
            <w:r>
              <w:rPr>
                <w:sz w:val="21"/>
                <w:szCs w:val="21"/>
              </w:rPr>
              <w:t>面</w:t>
            </w:r>
          </w:p>
        </w:tc>
        <w:tc>
          <w:tcPr>
            <w:tcW w:w="949" w:type="dxa"/>
            <w:vAlign w:val="top"/>
          </w:tcPr>
          <w:p w14:paraId="13998D42">
            <w:pPr>
              <w:pStyle w:val="6"/>
              <w:spacing w:before="50" w:line="183" w:lineRule="auto"/>
              <w:ind w:left="107"/>
              <w:rPr>
                <w:sz w:val="21"/>
                <w:szCs w:val="21"/>
              </w:rPr>
            </w:pPr>
            <w:r>
              <w:rPr>
                <w:spacing w:val="-5"/>
                <w:sz w:val="21"/>
                <w:szCs w:val="21"/>
              </w:rPr>
              <w:t>1.00</w:t>
            </w:r>
          </w:p>
        </w:tc>
        <w:tc>
          <w:tcPr>
            <w:tcW w:w="509" w:type="dxa"/>
            <w:vAlign w:val="top"/>
          </w:tcPr>
          <w:p w14:paraId="3A3B181F">
            <w:pPr>
              <w:rPr>
                <w:rFonts w:ascii="Arial"/>
                <w:sz w:val="21"/>
              </w:rPr>
            </w:pPr>
          </w:p>
        </w:tc>
        <w:tc>
          <w:tcPr>
            <w:tcW w:w="344" w:type="dxa"/>
            <w:vMerge w:val="continue"/>
            <w:tcBorders>
              <w:top w:val="nil"/>
              <w:bottom w:val="nil"/>
            </w:tcBorders>
            <w:vAlign w:val="top"/>
          </w:tcPr>
          <w:p w14:paraId="63A13889">
            <w:pPr>
              <w:rPr>
                <w:rFonts w:ascii="Arial"/>
                <w:sz w:val="21"/>
              </w:rPr>
            </w:pPr>
          </w:p>
        </w:tc>
      </w:tr>
      <w:tr w14:paraId="63224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94" w:type="dxa"/>
            <w:vMerge w:val="continue"/>
            <w:tcBorders>
              <w:top w:val="nil"/>
              <w:bottom w:val="nil"/>
            </w:tcBorders>
            <w:vAlign w:val="top"/>
          </w:tcPr>
          <w:p w14:paraId="62FA3AF2">
            <w:pPr>
              <w:rPr>
                <w:rFonts w:ascii="Arial"/>
                <w:sz w:val="21"/>
              </w:rPr>
            </w:pPr>
          </w:p>
        </w:tc>
        <w:tc>
          <w:tcPr>
            <w:tcW w:w="340" w:type="dxa"/>
            <w:vMerge w:val="continue"/>
            <w:tcBorders>
              <w:top w:val="nil"/>
              <w:bottom w:val="nil"/>
            </w:tcBorders>
            <w:vAlign w:val="top"/>
          </w:tcPr>
          <w:p w14:paraId="209EADE9">
            <w:pPr>
              <w:rPr>
                <w:rFonts w:ascii="Arial"/>
                <w:sz w:val="21"/>
              </w:rPr>
            </w:pPr>
          </w:p>
        </w:tc>
        <w:tc>
          <w:tcPr>
            <w:tcW w:w="929" w:type="dxa"/>
            <w:vAlign w:val="top"/>
          </w:tcPr>
          <w:p w14:paraId="309D79B4">
            <w:pPr>
              <w:pStyle w:val="6"/>
              <w:spacing w:before="52" w:line="174" w:lineRule="auto"/>
              <w:ind w:left="71"/>
              <w:rPr>
                <w:sz w:val="21"/>
                <w:szCs w:val="21"/>
              </w:rPr>
            </w:pPr>
            <w:r>
              <w:rPr>
                <w:spacing w:val="-2"/>
                <w:sz w:val="21"/>
                <w:szCs w:val="21"/>
              </w:rPr>
              <w:t>2.3.5</w:t>
            </w:r>
          </w:p>
        </w:tc>
        <w:tc>
          <w:tcPr>
            <w:tcW w:w="4635" w:type="dxa"/>
            <w:vAlign w:val="top"/>
          </w:tcPr>
          <w:p w14:paraId="17D4A71A">
            <w:pPr>
              <w:pStyle w:val="6"/>
              <w:spacing w:before="31" w:line="192" w:lineRule="auto"/>
              <w:ind w:left="101"/>
              <w:rPr>
                <w:sz w:val="21"/>
                <w:szCs w:val="21"/>
              </w:rPr>
            </w:pPr>
            <w:r>
              <w:rPr>
                <w:spacing w:val="3"/>
                <w:sz w:val="21"/>
                <w:szCs w:val="21"/>
              </w:rPr>
              <w:t>35</w:t>
            </w:r>
            <w:r>
              <w:rPr>
                <w:sz w:val="21"/>
                <w:szCs w:val="21"/>
              </w:rPr>
              <w:t>kV</w:t>
            </w:r>
            <w:r>
              <w:rPr>
                <w:spacing w:val="3"/>
                <w:sz w:val="21"/>
                <w:szCs w:val="21"/>
              </w:rPr>
              <w:t>开关柜(1250A储能柜)</w:t>
            </w:r>
          </w:p>
        </w:tc>
        <w:tc>
          <w:tcPr>
            <w:tcW w:w="659" w:type="dxa"/>
            <w:vAlign w:val="top"/>
          </w:tcPr>
          <w:p w14:paraId="598ABF01">
            <w:pPr>
              <w:pStyle w:val="6"/>
              <w:spacing w:before="31" w:line="192" w:lineRule="auto"/>
              <w:ind w:left="96"/>
              <w:rPr>
                <w:sz w:val="21"/>
                <w:szCs w:val="21"/>
              </w:rPr>
            </w:pPr>
            <w:r>
              <w:rPr>
                <w:sz w:val="21"/>
                <w:szCs w:val="21"/>
              </w:rPr>
              <w:t>面</w:t>
            </w:r>
          </w:p>
        </w:tc>
        <w:tc>
          <w:tcPr>
            <w:tcW w:w="949" w:type="dxa"/>
            <w:vAlign w:val="top"/>
          </w:tcPr>
          <w:p w14:paraId="34257964">
            <w:pPr>
              <w:pStyle w:val="6"/>
              <w:spacing w:before="52" w:line="174" w:lineRule="auto"/>
              <w:ind w:left="107"/>
              <w:rPr>
                <w:sz w:val="21"/>
                <w:szCs w:val="21"/>
              </w:rPr>
            </w:pPr>
            <w:r>
              <w:rPr>
                <w:spacing w:val="-5"/>
                <w:sz w:val="21"/>
                <w:szCs w:val="21"/>
              </w:rPr>
              <w:t>1.00</w:t>
            </w:r>
          </w:p>
        </w:tc>
        <w:tc>
          <w:tcPr>
            <w:tcW w:w="509" w:type="dxa"/>
            <w:vAlign w:val="top"/>
          </w:tcPr>
          <w:p w14:paraId="2A40B62E">
            <w:pPr>
              <w:rPr>
                <w:rFonts w:ascii="Arial"/>
                <w:sz w:val="21"/>
              </w:rPr>
            </w:pPr>
          </w:p>
        </w:tc>
        <w:tc>
          <w:tcPr>
            <w:tcW w:w="344" w:type="dxa"/>
            <w:vMerge w:val="continue"/>
            <w:tcBorders>
              <w:top w:val="nil"/>
              <w:bottom w:val="nil"/>
            </w:tcBorders>
            <w:vAlign w:val="top"/>
          </w:tcPr>
          <w:p w14:paraId="2CA568DF">
            <w:pPr>
              <w:rPr>
                <w:rFonts w:ascii="Arial"/>
                <w:sz w:val="21"/>
              </w:rPr>
            </w:pPr>
          </w:p>
        </w:tc>
      </w:tr>
      <w:tr w14:paraId="7569E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94" w:type="dxa"/>
            <w:vMerge w:val="continue"/>
            <w:tcBorders>
              <w:top w:val="nil"/>
              <w:bottom w:val="nil"/>
            </w:tcBorders>
            <w:vAlign w:val="top"/>
          </w:tcPr>
          <w:p w14:paraId="43361F73">
            <w:pPr>
              <w:rPr>
                <w:rFonts w:ascii="Arial"/>
                <w:sz w:val="21"/>
              </w:rPr>
            </w:pPr>
          </w:p>
        </w:tc>
        <w:tc>
          <w:tcPr>
            <w:tcW w:w="340" w:type="dxa"/>
            <w:vMerge w:val="continue"/>
            <w:tcBorders>
              <w:top w:val="nil"/>
              <w:bottom w:val="nil"/>
            </w:tcBorders>
            <w:vAlign w:val="top"/>
          </w:tcPr>
          <w:p w14:paraId="7AE504DA">
            <w:pPr>
              <w:rPr>
                <w:rFonts w:ascii="Arial"/>
                <w:sz w:val="21"/>
              </w:rPr>
            </w:pPr>
          </w:p>
        </w:tc>
        <w:tc>
          <w:tcPr>
            <w:tcW w:w="929" w:type="dxa"/>
            <w:vAlign w:val="top"/>
          </w:tcPr>
          <w:p w14:paraId="69FEDE06">
            <w:pPr>
              <w:pStyle w:val="6"/>
              <w:spacing w:before="71" w:line="192" w:lineRule="auto"/>
              <w:ind w:left="71"/>
              <w:rPr>
                <w:sz w:val="21"/>
                <w:szCs w:val="21"/>
              </w:rPr>
            </w:pPr>
            <w:r>
              <w:rPr>
                <w:spacing w:val="-2"/>
                <w:sz w:val="21"/>
                <w:szCs w:val="21"/>
              </w:rPr>
              <w:t>2.3.6</w:t>
            </w:r>
          </w:p>
        </w:tc>
        <w:tc>
          <w:tcPr>
            <w:tcW w:w="4635" w:type="dxa"/>
            <w:vAlign w:val="top"/>
          </w:tcPr>
          <w:p w14:paraId="160930A7">
            <w:pPr>
              <w:pStyle w:val="6"/>
              <w:spacing w:before="51" w:line="210" w:lineRule="auto"/>
              <w:ind w:left="101"/>
              <w:rPr>
                <w:sz w:val="21"/>
                <w:szCs w:val="21"/>
              </w:rPr>
            </w:pPr>
            <w:r>
              <w:rPr>
                <w:spacing w:val="45"/>
                <w:sz w:val="21"/>
                <w:szCs w:val="21"/>
              </w:rPr>
              <w:t>35</w:t>
            </w:r>
            <w:r>
              <w:rPr>
                <w:sz w:val="21"/>
                <w:szCs w:val="21"/>
              </w:rPr>
              <w:t>kV</w:t>
            </w:r>
            <w:r>
              <w:rPr>
                <w:spacing w:val="45"/>
                <w:sz w:val="21"/>
                <w:szCs w:val="21"/>
              </w:rPr>
              <w:t>开关柜(</w:t>
            </w:r>
            <w:r>
              <w:rPr>
                <w:sz w:val="21"/>
                <w:szCs w:val="21"/>
              </w:rPr>
              <w:t>PT</w:t>
            </w:r>
            <w:r>
              <w:rPr>
                <w:spacing w:val="45"/>
                <w:sz w:val="21"/>
                <w:szCs w:val="21"/>
              </w:rPr>
              <w:t>柜)</w:t>
            </w:r>
          </w:p>
        </w:tc>
        <w:tc>
          <w:tcPr>
            <w:tcW w:w="659" w:type="dxa"/>
            <w:vAlign w:val="top"/>
          </w:tcPr>
          <w:p w14:paraId="019A0852">
            <w:pPr>
              <w:pStyle w:val="6"/>
              <w:spacing w:before="52" w:line="209" w:lineRule="auto"/>
              <w:ind w:left="96"/>
              <w:rPr>
                <w:sz w:val="21"/>
                <w:szCs w:val="21"/>
              </w:rPr>
            </w:pPr>
            <w:r>
              <w:rPr>
                <w:sz w:val="21"/>
                <w:szCs w:val="21"/>
              </w:rPr>
              <w:t>面</w:t>
            </w:r>
          </w:p>
        </w:tc>
        <w:tc>
          <w:tcPr>
            <w:tcW w:w="949" w:type="dxa"/>
            <w:vAlign w:val="top"/>
          </w:tcPr>
          <w:p w14:paraId="52F829E1">
            <w:pPr>
              <w:pStyle w:val="6"/>
              <w:spacing w:before="71" w:line="192" w:lineRule="auto"/>
              <w:ind w:left="107"/>
              <w:rPr>
                <w:sz w:val="21"/>
                <w:szCs w:val="21"/>
              </w:rPr>
            </w:pPr>
            <w:r>
              <w:rPr>
                <w:spacing w:val="-5"/>
                <w:sz w:val="21"/>
                <w:szCs w:val="21"/>
              </w:rPr>
              <w:t>1.00</w:t>
            </w:r>
          </w:p>
        </w:tc>
        <w:tc>
          <w:tcPr>
            <w:tcW w:w="509" w:type="dxa"/>
            <w:vAlign w:val="top"/>
          </w:tcPr>
          <w:p w14:paraId="1BFE57E0">
            <w:pPr>
              <w:rPr>
                <w:rFonts w:ascii="Arial"/>
                <w:sz w:val="21"/>
              </w:rPr>
            </w:pPr>
          </w:p>
        </w:tc>
        <w:tc>
          <w:tcPr>
            <w:tcW w:w="344" w:type="dxa"/>
            <w:vMerge w:val="continue"/>
            <w:tcBorders>
              <w:top w:val="nil"/>
              <w:bottom w:val="nil"/>
            </w:tcBorders>
            <w:vAlign w:val="top"/>
          </w:tcPr>
          <w:p w14:paraId="2B009C14">
            <w:pPr>
              <w:rPr>
                <w:rFonts w:ascii="Arial"/>
                <w:sz w:val="21"/>
              </w:rPr>
            </w:pPr>
          </w:p>
        </w:tc>
      </w:tr>
      <w:tr w14:paraId="0E74E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94" w:type="dxa"/>
            <w:vMerge w:val="continue"/>
            <w:tcBorders>
              <w:top w:val="nil"/>
              <w:bottom w:val="nil"/>
            </w:tcBorders>
            <w:vAlign w:val="top"/>
          </w:tcPr>
          <w:p w14:paraId="020A01C3">
            <w:pPr>
              <w:rPr>
                <w:rFonts w:ascii="Arial"/>
                <w:sz w:val="21"/>
              </w:rPr>
            </w:pPr>
          </w:p>
        </w:tc>
        <w:tc>
          <w:tcPr>
            <w:tcW w:w="340" w:type="dxa"/>
            <w:vMerge w:val="continue"/>
            <w:tcBorders>
              <w:top w:val="nil"/>
              <w:bottom w:val="nil"/>
            </w:tcBorders>
            <w:vAlign w:val="top"/>
          </w:tcPr>
          <w:p w14:paraId="0FB2A2C9">
            <w:pPr>
              <w:rPr>
                <w:rFonts w:ascii="Arial"/>
                <w:sz w:val="21"/>
              </w:rPr>
            </w:pPr>
          </w:p>
        </w:tc>
        <w:tc>
          <w:tcPr>
            <w:tcW w:w="929" w:type="dxa"/>
            <w:vAlign w:val="top"/>
          </w:tcPr>
          <w:p w14:paraId="1E9B0BAE">
            <w:pPr>
              <w:pStyle w:val="6"/>
              <w:spacing w:before="171" w:line="239" w:lineRule="auto"/>
              <w:ind w:left="71"/>
              <w:rPr>
                <w:sz w:val="21"/>
                <w:szCs w:val="21"/>
              </w:rPr>
            </w:pPr>
            <w:r>
              <w:rPr>
                <w:spacing w:val="-2"/>
                <w:sz w:val="21"/>
                <w:szCs w:val="21"/>
              </w:rPr>
              <w:t>2.3.10</w:t>
            </w:r>
          </w:p>
        </w:tc>
        <w:tc>
          <w:tcPr>
            <w:tcW w:w="4635" w:type="dxa"/>
            <w:vAlign w:val="top"/>
          </w:tcPr>
          <w:p w14:paraId="6611012A">
            <w:pPr>
              <w:pStyle w:val="6"/>
              <w:spacing w:before="39" w:line="202" w:lineRule="auto"/>
              <w:ind w:left="101"/>
              <w:rPr>
                <w:sz w:val="21"/>
                <w:szCs w:val="21"/>
              </w:rPr>
            </w:pPr>
            <w:r>
              <w:rPr>
                <w:sz w:val="21"/>
                <w:szCs w:val="21"/>
              </w:rPr>
              <w:t>全绝缘管母-2000A(含支架、绝缘子、避雷器等成</w:t>
            </w:r>
            <w:r>
              <w:rPr>
                <w:spacing w:val="7"/>
                <w:sz w:val="21"/>
                <w:szCs w:val="21"/>
              </w:rPr>
              <w:t xml:space="preserve"> </w:t>
            </w:r>
            <w:r>
              <w:rPr>
                <w:spacing w:val="12"/>
                <w:sz w:val="21"/>
                <w:szCs w:val="21"/>
              </w:rPr>
              <w:t>套附件)</w:t>
            </w:r>
          </w:p>
        </w:tc>
        <w:tc>
          <w:tcPr>
            <w:tcW w:w="659" w:type="dxa"/>
            <w:vAlign w:val="top"/>
          </w:tcPr>
          <w:p w14:paraId="37CA98B2">
            <w:pPr>
              <w:pStyle w:val="6"/>
              <w:spacing w:before="150" w:line="219" w:lineRule="auto"/>
              <w:ind w:left="96"/>
              <w:rPr>
                <w:sz w:val="21"/>
                <w:szCs w:val="21"/>
              </w:rPr>
            </w:pPr>
            <w:r>
              <w:rPr>
                <w:sz w:val="21"/>
                <w:szCs w:val="21"/>
              </w:rPr>
              <w:t>米</w:t>
            </w:r>
          </w:p>
        </w:tc>
        <w:tc>
          <w:tcPr>
            <w:tcW w:w="949" w:type="dxa"/>
            <w:vAlign w:val="top"/>
          </w:tcPr>
          <w:p w14:paraId="123516B6">
            <w:pPr>
              <w:pStyle w:val="6"/>
              <w:spacing w:before="171" w:line="239" w:lineRule="auto"/>
              <w:ind w:left="107"/>
              <w:rPr>
                <w:sz w:val="21"/>
                <w:szCs w:val="21"/>
              </w:rPr>
            </w:pPr>
            <w:r>
              <w:rPr>
                <w:spacing w:val="-2"/>
                <w:sz w:val="21"/>
                <w:szCs w:val="21"/>
              </w:rPr>
              <w:t>45.00</w:t>
            </w:r>
          </w:p>
        </w:tc>
        <w:tc>
          <w:tcPr>
            <w:tcW w:w="509" w:type="dxa"/>
            <w:vAlign w:val="top"/>
          </w:tcPr>
          <w:p w14:paraId="0E54AC4A">
            <w:pPr>
              <w:rPr>
                <w:rFonts w:ascii="Arial"/>
                <w:sz w:val="21"/>
              </w:rPr>
            </w:pPr>
          </w:p>
        </w:tc>
        <w:tc>
          <w:tcPr>
            <w:tcW w:w="344" w:type="dxa"/>
            <w:vMerge w:val="continue"/>
            <w:tcBorders>
              <w:top w:val="nil"/>
              <w:bottom w:val="nil"/>
            </w:tcBorders>
            <w:vAlign w:val="top"/>
          </w:tcPr>
          <w:p w14:paraId="08536F5D">
            <w:pPr>
              <w:rPr>
                <w:rFonts w:ascii="Arial"/>
                <w:sz w:val="21"/>
              </w:rPr>
            </w:pPr>
          </w:p>
        </w:tc>
      </w:tr>
      <w:tr w14:paraId="78D72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94" w:type="dxa"/>
            <w:vMerge w:val="continue"/>
            <w:tcBorders>
              <w:top w:val="nil"/>
              <w:bottom w:val="nil"/>
            </w:tcBorders>
            <w:vAlign w:val="top"/>
          </w:tcPr>
          <w:p w14:paraId="2E6A5E8C">
            <w:pPr>
              <w:rPr>
                <w:rFonts w:ascii="Arial"/>
                <w:sz w:val="21"/>
              </w:rPr>
            </w:pPr>
          </w:p>
        </w:tc>
        <w:tc>
          <w:tcPr>
            <w:tcW w:w="340" w:type="dxa"/>
            <w:vMerge w:val="continue"/>
            <w:tcBorders>
              <w:top w:val="nil"/>
              <w:bottom w:val="nil"/>
            </w:tcBorders>
            <w:vAlign w:val="top"/>
          </w:tcPr>
          <w:p w14:paraId="64BCEAB5">
            <w:pPr>
              <w:rPr>
                <w:rFonts w:ascii="Arial"/>
                <w:sz w:val="21"/>
              </w:rPr>
            </w:pPr>
          </w:p>
        </w:tc>
        <w:tc>
          <w:tcPr>
            <w:tcW w:w="929" w:type="dxa"/>
            <w:vAlign w:val="top"/>
          </w:tcPr>
          <w:p w14:paraId="7EBB8549">
            <w:pPr>
              <w:pStyle w:val="6"/>
              <w:spacing w:before="72" w:line="191" w:lineRule="auto"/>
              <w:ind w:left="71"/>
              <w:rPr>
                <w:sz w:val="21"/>
                <w:szCs w:val="21"/>
              </w:rPr>
            </w:pPr>
            <w:r>
              <w:rPr>
                <w:spacing w:val="-2"/>
                <w:sz w:val="21"/>
                <w:szCs w:val="21"/>
              </w:rPr>
              <w:t>2.3.11</w:t>
            </w:r>
          </w:p>
        </w:tc>
        <w:tc>
          <w:tcPr>
            <w:tcW w:w="4635" w:type="dxa"/>
            <w:vAlign w:val="top"/>
          </w:tcPr>
          <w:p w14:paraId="52FE461D">
            <w:pPr>
              <w:pStyle w:val="6"/>
              <w:spacing w:before="51" w:line="210" w:lineRule="auto"/>
              <w:ind w:left="101"/>
              <w:rPr>
                <w:sz w:val="21"/>
                <w:szCs w:val="21"/>
              </w:rPr>
            </w:pPr>
            <w:r>
              <w:rPr>
                <w:sz w:val="21"/>
                <w:szCs w:val="21"/>
              </w:rPr>
              <w:t>35kV预制舱(17*6.8*4.3)含配套</w:t>
            </w:r>
          </w:p>
        </w:tc>
        <w:tc>
          <w:tcPr>
            <w:tcW w:w="659" w:type="dxa"/>
            <w:vAlign w:val="top"/>
          </w:tcPr>
          <w:p w14:paraId="5A7569B5">
            <w:pPr>
              <w:pStyle w:val="6"/>
              <w:spacing w:before="52" w:line="209" w:lineRule="auto"/>
              <w:ind w:left="96"/>
              <w:rPr>
                <w:sz w:val="21"/>
                <w:szCs w:val="21"/>
              </w:rPr>
            </w:pPr>
            <w:r>
              <w:rPr>
                <w:sz w:val="21"/>
                <w:szCs w:val="21"/>
              </w:rPr>
              <w:t>套</w:t>
            </w:r>
          </w:p>
        </w:tc>
        <w:tc>
          <w:tcPr>
            <w:tcW w:w="949" w:type="dxa"/>
            <w:vAlign w:val="top"/>
          </w:tcPr>
          <w:p w14:paraId="6DD84FF8">
            <w:pPr>
              <w:pStyle w:val="6"/>
              <w:spacing w:before="72" w:line="191" w:lineRule="auto"/>
              <w:ind w:left="107"/>
              <w:rPr>
                <w:sz w:val="21"/>
                <w:szCs w:val="21"/>
              </w:rPr>
            </w:pPr>
            <w:r>
              <w:rPr>
                <w:spacing w:val="-5"/>
                <w:sz w:val="21"/>
                <w:szCs w:val="21"/>
              </w:rPr>
              <w:t>1.00</w:t>
            </w:r>
          </w:p>
        </w:tc>
        <w:tc>
          <w:tcPr>
            <w:tcW w:w="509" w:type="dxa"/>
            <w:vAlign w:val="top"/>
          </w:tcPr>
          <w:p w14:paraId="51ECADF1">
            <w:pPr>
              <w:rPr>
                <w:rFonts w:ascii="Arial"/>
                <w:sz w:val="21"/>
              </w:rPr>
            </w:pPr>
          </w:p>
        </w:tc>
        <w:tc>
          <w:tcPr>
            <w:tcW w:w="344" w:type="dxa"/>
            <w:vMerge w:val="continue"/>
            <w:tcBorders>
              <w:top w:val="nil"/>
              <w:bottom w:val="nil"/>
            </w:tcBorders>
            <w:vAlign w:val="top"/>
          </w:tcPr>
          <w:p w14:paraId="637424C2">
            <w:pPr>
              <w:rPr>
                <w:rFonts w:ascii="Arial"/>
                <w:sz w:val="21"/>
              </w:rPr>
            </w:pPr>
          </w:p>
        </w:tc>
      </w:tr>
      <w:tr w14:paraId="6262D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94" w:type="dxa"/>
            <w:vMerge w:val="continue"/>
            <w:tcBorders>
              <w:top w:val="nil"/>
              <w:bottom w:val="nil"/>
            </w:tcBorders>
            <w:vAlign w:val="top"/>
          </w:tcPr>
          <w:p w14:paraId="4711D2FB">
            <w:pPr>
              <w:rPr>
                <w:rFonts w:ascii="Arial"/>
                <w:sz w:val="21"/>
              </w:rPr>
            </w:pPr>
          </w:p>
        </w:tc>
        <w:tc>
          <w:tcPr>
            <w:tcW w:w="340" w:type="dxa"/>
            <w:vMerge w:val="continue"/>
            <w:tcBorders>
              <w:top w:val="nil"/>
              <w:bottom w:val="nil"/>
            </w:tcBorders>
            <w:vAlign w:val="top"/>
          </w:tcPr>
          <w:p w14:paraId="23E52966">
            <w:pPr>
              <w:rPr>
                <w:rFonts w:ascii="Arial"/>
                <w:sz w:val="21"/>
              </w:rPr>
            </w:pPr>
          </w:p>
        </w:tc>
        <w:tc>
          <w:tcPr>
            <w:tcW w:w="929" w:type="dxa"/>
            <w:vAlign w:val="top"/>
          </w:tcPr>
          <w:p w14:paraId="2B4E677C">
            <w:pPr>
              <w:pStyle w:val="6"/>
              <w:spacing w:before="52" w:line="174" w:lineRule="auto"/>
              <w:ind w:left="71"/>
              <w:rPr>
                <w:sz w:val="21"/>
                <w:szCs w:val="21"/>
              </w:rPr>
            </w:pPr>
            <w:r>
              <w:rPr>
                <w:spacing w:val="-3"/>
                <w:sz w:val="21"/>
                <w:szCs w:val="21"/>
              </w:rPr>
              <w:t>2.4</w:t>
            </w:r>
          </w:p>
        </w:tc>
        <w:tc>
          <w:tcPr>
            <w:tcW w:w="4635" w:type="dxa"/>
            <w:vAlign w:val="top"/>
          </w:tcPr>
          <w:p w14:paraId="52B956D6">
            <w:pPr>
              <w:pStyle w:val="6"/>
              <w:spacing w:before="32" w:line="191" w:lineRule="auto"/>
              <w:ind w:left="101"/>
              <w:rPr>
                <w:sz w:val="21"/>
                <w:szCs w:val="21"/>
              </w:rPr>
            </w:pPr>
            <w:r>
              <w:rPr>
                <w:spacing w:val="-1"/>
                <w:sz w:val="21"/>
                <w:szCs w:val="21"/>
              </w:rPr>
              <w:t>无功补偿系统设备及安装</w:t>
            </w:r>
          </w:p>
        </w:tc>
        <w:tc>
          <w:tcPr>
            <w:tcW w:w="659" w:type="dxa"/>
            <w:vAlign w:val="top"/>
          </w:tcPr>
          <w:p w14:paraId="006AE816">
            <w:pPr>
              <w:rPr>
                <w:rFonts w:ascii="Arial"/>
                <w:sz w:val="21"/>
              </w:rPr>
            </w:pPr>
          </w:p>
        </w:tc>
        <w:tc>
          <w:tcPr>
            <w:tcW w:w="949" w:type="dxa"/>
            <w:vAlign w:val="top"/>
          </w:tcPr>
          <w:p w14:paraId="48C678DE">
            <w:pPr>
              <w:rPr>
                <w:rFonts w:ascii="Arial"/>
                <w:sz w:val="21"/>
              </w:rPr>
            </w:pPr>
          </w:p>
        </w:tc>
        <w:tc>
          <w:tcPr>
            <w:tcW w:w="509" w:type="dxa"/>
            <w:vAlign w:val="top"/>
          </w:tcPr>
          <w:p w14:paraId="2299EBC2">
            <w:pPr>
              <w:rPr>
                <w:rFonts w:ascii="Arial"/>
                <w:sz w:val="21"/>
              </w:rPr>
            </w:pPr>
          </w:p>
        </w:tc>
        <w:tc>
          <w:tcPr>
            <w:tcW w:w="344" w:type="dxa"/>
            <w:vMerge w:val="continue"/>
            <w:tcBorders>
              <w:top w:val="nil"/>
              <w:bottom w:val="nil"/>
            </w:tcBorders>
            <w:vAlign w:val="top"/>
          </w:tcPr>
          <w:p w14:paraId="1B2429DB">
            <w:pPr>
              <w:rPr>
                <w:rFonts w:ascii="Arial"/>
                <w:sz w:val="21"/>
              </w:rPr>
            </w:pPr>
          </w:p>
        </w:tc>
      </w:tr>
      <w:tr w14:paraId="16E4F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94" w:type="dxa"/>
            <w:vMerge w:val="continue"/>
            <w:tcBorders>
              <w:top w:val="nil"/>
              <w:bottom w:val="nil"/>
            </w:tcBorders>
            <w:vAlign w:val="top"/>
          </w:tcPr>
          <w:p w14:paraId="4A65C95E">
            <w:pPr>
              <w:rPr>
                <w:rFonts w:ascii="Arial"/>
                <w:sz w:val="21"/>
              </w:rPr>
            </w:pPr>
          </w:p>
        </w:tc>
        <w:tc>
          <w:tcPr>
            <w:tcW w:w="340" w:type="dxa"/>
            <w:vMerge w:val="continue"/>
            <w:tcBorders>
              <w:top w:val="nil"/>
              <w:bottom w:val="nil"/>
            </w:tcBorders>
            <w:vAlign w:val="top"/>
          </w:tcPr>
          <w:p w14:paraId="31C9C436">
            <w:pPr>
              <w:rPr>
                <w:rFonts w:ascii="Arial"/>
                <w:sz w:val="21"/>
              </w:rPr>
            </w:pPr>
          </w:p>
        </w:tc>
        <w:tc>
          <w:tcPr>
            <w:tcW w:w="929" w:type="dxa"/>
            <w:vAlign w:val="top"/>
          </w:tcPr>
          <w:p w14:paraId="512206C8">
            <w:pPr>
              <w:pStyle w:val="6"/>
              <w:spacing w:before="192" w:line="239" w:lineRule="auto"/>
              <w:ind w:left="71"/>
              <w:rPr>
                <w:sz w:val="21"/>
                <w:szCs w:val="21"/>
              </w:rPr>
            </w:pPr>
            <w:r>
              <w:rPr>
                <w:spacing w:val="-2"/>
                <w:sz w:val="21"/>
                <w:szCs w:val="21"/>
              </w:rPr>
              <w:t>2.4.1</w:t>
            </w:r>
          </w:p>
        </w:tc>
        <w:tc>
          <w:tcPr>
            <w:tcW w:w="4635" w:type="dxa"/>
            <w:vAlign w:val="top"/>
          </w:tcPr>
          <w:p w14:paraId="4B33F034">
            <w:pPr>
              <w:pStyle w:val="6"/>
              <w:spacing w:before="40" w:line="219" w:lineRule="auto"/>
              <w:ind w:left="101" w:right="276"/>
              <w:rPr>
                <w:sz w:val="21"/>
                <w:szCs w:val="21"/>
              </w:rPr>
            </w:pPr>
            <w:r>
              <w:rPr>
                <w:spacing w:val="2"/>
                <w:sz w:val="21"/>
                <w:szCs w:val="21"/>
              </w:rPr>
              <w:t>35</w:t>
            </w:r>
            <w:r>
              <w:rPr>
                <w:sz w:val="21"/>
                <w:szCs w:val="21"/>
              </w:rPr>
              <w:t>kV</w:t>
            </w:r>
            <w:r>
              <w:rPr>
                <w:spacing w:val="2"/>
                <w:sz w:val="21"/>
                <w:szCs w:val="21"/>
              </w:rPr>
              <w:t xml:space="preserve"> </w:t>
            </w:r>
            <w:r>
              <w:rPr>
                <w:sz w:val="21"/>
                <w:szCs w:val="21"/>
              </w:rPr>
              <w:t>SVG</w:t>
            </w:r>
            <w:r>
              <w:rPr>
                <w:spacing w:val="2"/>
                <w:sz w:val="21"/>
                <w:szCs w:val="21"/>
              </w:rPr>
              <w:t>型动态无功补偿成套装置(直挂水冷)</w:t>
            </w:r>
            <w:r>
              <w:rPr>
                <w:spacing w:val="5"/>
                <w:sz w:val="21"/>
                <w:szCs w:val="21"/>
              </w:rPr>
              <w:t xml:space="preserve"> </w:t>
            </w:r>
            <w:r>
              <w:rPr>
                <w:spacing w:val="-1"/>
                <w:sz w:val="21"/>
                <w:szCs w:val="21"/>
              </w:rPr>
              <w:t>容量：±12.5Mvar</w:t>
            </w:r>
          </w:p>
        </w:tc>
        <w:tc>
          <w:tcPr>
            <w:tcW w:w="659" w:type="dxa"/>
            <w:vAlign w:val="top"/>
          </w:tcPr>
          <w:p w14:paraId="5141B3B1">
            <w:pPr>
              <w:pStyle w:val="6"/>
              <w:spacing w:before="172" w:line="220" w:lineRule="auto"/>
              <w:ind w:left="96"/>
              <w:rPr>
                <w:sz w:val="21"/>
                <w:szCs w:val="21"/>
              </w:rPr>
            </w:pPr>
            <w:r>
              <w:rPr>
                <w:sz w:val="21"/>
                <w:szCs w:val="21"/>
              </w:rPr>
              <w:t>套</w:t>
            </w:r>
          </w:p>
        </w:tc>
        <w:tc>
          <w:tcPr>
            <w:tcW w:w="949" w:type="dxa"/>
            <w:vAlign w:val="top"/>
          </w:tcPr>
          <w:p w14:paraId="7D893F3C">
            <w:pPr>
              <w:pStyle w:val="6"/>
              <w:spacing w:before="192" w:line="239" w:lineRule="auto"/>
              <w:ind w:left="107"/>
              <w:rPr>
                <w:sz w:val="21"/>
                <w:szCs w:val="21"/>
              </w:rPr>
            </w:pPr>
            <w:r>
              <w:rPr>
                <w:spacing w:val="-5"/>
                <w:sz w:val="21"/>
                <w:szCs w:val="21"/>
              </w:rPr>
              <w:t>1.00</w:t>
            </w:r>
          </w:p>
        </w:tc>
        <w:tc>
          <w:tcPr>
            <w:tcW w:w="509" w:type="dxa"/>
            <w:vAlign w:val="top"/>
          </w:tcPr>
          <w:p w14:paraId="17C01C0A">
            <w:pPr>
              <w:rPr>
                <w:rFonts w:ascii="Arial"/>
                <w:sz w:val="21"/>
              </w:rPr>
            </w:pPr>
          </w:p>
        </w:tc>
        <w:tc>
          <w:tcPr>
            <w:tcW w:w="344" w:type="dxa"/>
            <w:vMerge w:val="continue"/>
            <w:tcBorders>
              <w:top w:val="nil"/>
              <w:bottom w:val="nil"/>
            </w:tcBorders>
            <w:vAlign w:val="top"/>
          </w:tcPr>
          <w:p w14:paraId="0A67BFE1">
            <w:pPr>
              <w:rPr>
                <w:rFonts w:ascii="Arial"/>
                <w:sz w:val="21"/>
              </w:rPr>
            </w:pPr>
          </w:p>
        </w:tc>
      </w:tr>
      <w:tr w14:paraId="4EA7F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94" w:type="dxa"/>
            <w:vMerge w:val="continue"/>
            <w:tcBorders>
              <w:top w:val="nil"/>
              <w:bottom w:val="nil"/>
            </w:tcBorders>
            <w:vAlign w:val="top"/>
          </w:tcPr>
          <w:p w14:paraId="0D04F346">
            <w:pPr>
              <w:rPr>
                <w:rFonts w:ascii="Arial"/>
                <w:sz w:val="21"/>
              </w:rPr>
            </w:pPr>
          </w:p>
        </w:tc>
        <w:tc>
          <w:tcPr>
            <w:tcW w:w="340" w:type="dxa"/>
            <w:vMerge w:val="continue"/>
            <w:tcBorders>
              <w:top w:val="nil"/>
              <w:bottom w:val="nil"/>
            </w:tcBorders>
            <w:vAlign w:val="top"/>
          </w:tcPr>
          <w:p w14:paraId="6DECCDC8">
            <w:pPr>
              <w:rPr>
                <w:rFonts w:ascii="Arial"/>
                <w:sz w:val="21"/>
              </w:rPr>
            </w:pPr>
          </w:p>
        </w:tc>
        <w:tc>
          <w:tcPr>
            <w:tcW w:w="929" w:type="dxa"/>
            <w:vAlign w:val="top"/>
          </w:tcPr>
          <w:p w14:paraId="0DE6E48A">
            <w:pPr>
              <w:pStyle w:val="6"/>
              <w:spacing w:before="53" w:line="173" w:lineRule="auto"/>
              <w:ind w:left="71"/>
              <w:rPr>
                <w:sz w:val="21"/>
                <w:szCs w:val="21"/>
              </w:rPr>
            </w:pPr>
            <w:r>
              <w:rPr>
                <w:spacing w:val="-3"/>
                <w:sz w:val="21"/>
                <w:szCs w:val="21"/>
              </w:rPr>
              <w:t>2.5</w:t>
            </w:r>
          </w:p>
        </w:tc>
        <w:tc>
          <w:tcPr>
            <w:tcW w:w="4635" w:type="dxa"/>
            <w:vAlign w:val="top"/>
          </w:tcPr>
          <w:p w14:paraId="3379E3FF">
            <w:pPr>
              <w:pStyle w:val="6"/>
              <w:spacing w:before="32" w:line="191" w:lineRule="auto"/>
              <w:ind w:left="101"/>
              <w:rPr>
                <w:sz w:val="21"/>
                <w:szCs w:val="21"/>
              </w:rPr>
            </w:pPr>
            <w:r>
              <w:rPr>
                <w:spacing w:val="-1"/>
                <w:sz w:val="21"/>
                <w:szCs w:val="21"/>
              </w:rPr>
              <w:t>站用电设备及安装</w:t>
            </w:r>
          </w:p>
        </w:tc>
        <w:tc>
          <w:tcPr>
            <w:tcW w:w="659" w:type="dxa"/>
            <w:vAlign w:val="top"/>
          </w:tcPr>
          <w:p w14:paraId="03C25FC3">
            <w:pPr>
              <w:rPr>
                <w:rFonts w:ascii="Arial"/>
                <w:sz w:val="21"/>
              </w:rPr>
            </w:pPr>
          </w:p>
        </w:tc>
        <w:tc>
          <w:tcPr>
            <w:tcW w:w="949" w:type="dxa"/>
            <w:vAlign w:val="top"/>
          </w:tcPr>
          <w:p w14:paraId="537A32E1">
            <w:pPr>
              <w:rPr>
                <w:rFonts w:ascii="Arial"/>
                <w:sz w:val="21"/>
              </w:rPr>
            </w:pPr>
          </w:p>
        </w:tc>
        <w:tc>
          <w:tcPr>
            <w:tcW w:w="509" w:type="dxa"/>
            <w:vAlign w:val="top"/>
          </w:tcPr>
          <w:p w14:paraId="74C02CBF">
            <w:pPr>
              <w:rPr>
                <w:rFonts w:ascii="Arial"/>
                <w:sz w:val="21"/>
              </w:rPr>
            </w:pPr>
          </w:p>
        </w:tc>
        <w:tc>
          <w:tcPr>
            <w:tcW w:w="344" w:type="dxa"/>
            <w:vMerge w:val="continue"/>
            <w:tcBorders>
              <w:top w:val="nil"/>
              <w:bottom w:val="nil"/>
            </w:tcBorders>
            <w:vAlign w:val="top"/>
          </w:tcPr>
          <w:p w14:paraId="07A7822E">
            <w:pPr>
              <w:rPr>
                <w:rFonts w:ascii="Arial"/>
                <w:sz w:val="21"/>
              </w:rPr>
            </w:pPr>
          </w:p>
        </w:tc>
      </w:tr>
      <w:tr w14:paraId="0444C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694" w:type="dxa"/>
            <w:vMerge w:val="continue"/>
            <w:tcBorders>
              <w:top w:val="nil"/>
              <w:bottom w:val="nil"/>
            </w:tcBorders>
            <w:vAlign w:val="top"/>
          </w:tcPr>
          <w:p w14:paraId="47FD5660">
            <w:pPr>
              <w:rPr>
                <w:rFonts w:ascii="Arial"/>
                <w:sz w:val="21"/>
              </w:rPr>
            </w:pPr>
          </w:p>
        </w:tc>
        <w:tc>
          <w:tcPr>
            <w:tcW w:w="340" w:type="dxa"/>
            <w:vMerge w:val="continue"/>
            <w:tcBorders>
              <w:top w:val="nil"/>
              <w:bottom w:val="nil"/>
            </w:tcBorders>
            <w:vAlign w:val="top"/>
          </w:tcPr>
          <w:p w14:paraId="7006E0BC">
            <w:pPr>
              <w:rPr>
                <w:rFonts w:ascii="Arial"/>
                <w:sz w:val="21"/>
              </w:rPr>
            </w:pPr>
          </w:p>
        </w:tc>
        <w:tc>
          <w:tcPr>
            <w:tcW w:w="929" w:type="dxa"/>
            <w:vAlign w:val="top"/>
          </w:tcPr>
          <w:p w14:paraId="701E89C6">
            <w:pPr>
              <w:spacing w:line="263" w:lineRule="auto"/>
              <w:rPr>
                <w:rFonts w:ascii="Arial"/>
                <w:sz w:val="21"/>
              </w:rPr>
            </w:pPr>
          </w:p>
          <w:p w14:paraId="3FBA2FED">
            <w:pPr>
              <w:pStyle w:val="6"/>
              <w:spacing w:before="68" w:line="239" w:lineRule="auto"/>
              <w:ind w:left="71"/>
              <w:rPr>
                <w:sz w:val="21"/>
                <w:szCs w:val="21"/>
              </w:rPr>
            </w:pPr>
            <w:r>
              <w:rPr>
                <w:spacing w:val="-2"/>
                <w:sz w:val="21"/>
                <w:szCs w:val="21"/>
              </w:rPr>
              <w:t>2.5.2</w:t>
            </w:r>
          </w:p>
        </w:tc>
        <w:tc>
          <w:tcPr>
            <w:tcW w:w="4635" w:type="dxa"/>
            <w:vAlign w:val="top"/>
          </w:tcPr>
          <w:p w14:paraId="453B4B38">
            <w:pPr>
              <w:pStyle w:val="6"/>
              <w:spacing w:before="44" w:line="218" w:lineRule="auto"/>
              <w:ind w:left="101" w:right="95"/>
              <w:jc w:val="both"/>
              <w:rPr>
                <w:sz w:val="21"/>
                <w:szCs w:val="21"/>
              </w:rPr>
            </w:pPr>
            <w:r>
              <w:rPr>
                <w:spacing w:val="-10"/>
                <w:sz w:val="21"/>
                <w:szCs w:val="21"/>
              </w:rPr>
              <w:t>3 5 k V</w:t>
            </w:r>
            <w:r>
              <w:rPr>
                <w:spacing w:val="20"/>
                <w:sz w:val="21"/>
                <w:szCs w:val="21"/>
              </w:rPr>
              <w:t xml:space="preserve"> </w:t>
            </w:r>
            <w:r>
              <w:rPr>
                <w:spacing w:val="-10"/>
                <w:sz w:val="21"/>
                <w:szCs w:val="21"/>
              </w:rPr>
              <w:t>站</w:t>
            </w:r>
            <w:r>
              <w:rPr>
                <w:spacing w:val="5"/>
                <w:sz w:val="21"/>
                <w:szCs w:val="21"/>
              </w:rPr>
              <w:t xml:space="preserve"> </w:t>
            </w:r>
            <w:r>
              <w:rPr>
                <w:spacing w:val="-10"/>
                <w:sz w:val="21"/>
                <w:szCs w:val="21"/>
              </w:rPr>
              <w:t>用</w:t>
            </w:r>
            <w:r>
              <w:rPr>
                <w:spacing w:val="2"/>
                <w:sz w:val="21"/>
                <w:szCs w:val="21"/>
              </w:rPr>
              <w:t xml:space="preserve"> </w:t>
            </w:r>
            <w:r>
              <w:rPr>
                <w:spacing w:val="-10"/>
                <w:sz w:val="21"/>
                <w:szCs w:val="21"/>
              </w:rPr>
              <w:t>接</w:t>
            </w:r>
            <w:r>
              <w:rPr>
                <w:spacing w:val="4"/>
                <w:sz w:val="21"/>
                <w:szCs w:val="21"/>
              </w:rPr>
              <w:t xml:space="preserve"> </w:t>
            </w:r>
            <w:r>
              <w:rPr>
                <w:spacing w:val="-10"/>
                <w:sz w:val="21"/>
                <w:szCs w:val="21"/>
              </w:rPr>
              <w:t>地</w:t>
            </w:r>
            <w:r>
              <w:rPr>
                <w:spacing w:val="3"/>
                <w:sz w:val="21"/>
                <w:szCs w:val="21"/>
              </w:rPr>
              <w:t xml:space="preserve"> </w:t>
            </w:r>
            <w:r>
              <w:rPr>
                <w:spacing w:val="-10"/>
                <w:sz w:val="21"/>
                <w:szCs w:val="21"/>
              </w:rPr>
              <w:t>变</w:t>
            </w:r>
            <w:r>
              <w:rPr>
                <w:spacing w:val="9"/>
                <w:sz w:val="21"/>
                <w:szCs w:val="21"/>
              </w:rPr>
              <w:t xml:space="preserve"> </w:t>
            </w:r>
            <w:r>
              <w:rPr>
                <w:spacing w:val="-10"/>
                <w:sz w:val="21"/>
                <w:szCs w:val="21"/>
              </w:rPr>
              <w:t>小</w:t>
            </w:r>
            <w:r>
              <w:rPr>
                <w:spacing w:val="27"/>
                <w:sz w:val="21"/>
                <w:szCs w:val="21"/>
              </w:rPr>
              <w:t xml:space="preserve"> </w:t>
            </w:r>
            <w:r>
              <w:rPr>
                <w:spacing w:val="-10"/>
                <w:sz w:val="21"/>
                <w:szCs w:val="21"/>
              </w:rPr>
              <w:t>电</w:t>
            </w:r>
            <w:r>
              <w:rPr>
                <w:spacing w:val="17"/>
                <w:sz w:val="21"/>
                <w:szCs w:val="21"/>
              </w:rPr>
              <w:t xml:space="preserve"> </w:t>
            </w:r>
            <w:r>
              <w:rPr>
                <w:spacing w:val="-10"/>
                <w:sz w:val="21"/>
                <w:szCs w:val="21"/>
              </w:rPr>
              <w:t>阻</w:t>
            </w:r>
            <w:r>
              <w:rPr>
                <w:spacing w:val="5"/>
                <w:sz w:val="21"/>
                <w:szCs w:val="21"/>
              </w:rPr>
              <w:t xml:space="preserve"> </w:t>
            </w:r>
            <w:r>
              <w:rPr>
                <w:spacing w:val="-10"/>
                <w:sz w:val="21"/>
                <w:szCs w:val="21"/>
              </w:rPr>
              <w:t>成</w:t>
            </w:r>
            <w:r>
              <w:rPr>
                <w:spacing w:val="4"/>
                <w:sz w:val="21"/>
                <w:szCs w:val="21"/>
              </w:rPr>
              <w:t xml:space="preserve"> </w:t>
            </w:r>
            <w:r>
              <w:rPr>
                <w:spacing w:val="-10"/>
                <w:sz w:val="21"/>
                <w:szCs w:val="21"/>
              </w:rPr>
              <w:t>套</w:t>
            </w:r>
            <w:r>
              <w:rPr>
                <w:spacing w:val="3"/>
                <w:sz w:val="21"/>
                <w:szCs w:val="21"/>
              </w:rPr>
              <w:t xml:space="preserve"> </w:t>
            </w:r>
            <w:r>
              <w:rPr>
                <w:spacing w:val="-10"/>
                <w:sz w:val="21"/>
                <w:szCs w:val="21"/>
              </w:rPr>
              <w:t>装</w:t>
            </w:r>
            <w:r>
              <w:rPr>
                <w:spacing w:val="2"/>
                <w:sz w:val="21"/>
                <w:szCs w:val="21"/>
              </w:rPr>
              <w:t xml:space="preserve"> </w:t>
            </w:r>
            <w:r>
              <w:rPr>
                <w:spacing w:val="-10"/>
                <w:sz w:val="21"/>
                <w:szCs w:val="21"/>
              </w:rPr>
              <w:t>置</w:t>
            </w:r>
            <w:r>
              <w:rPr>
                <w:sz w:val="21"/>
                <w:szCs w:val="21"/>
              </w:rPr>
              <w:t xml:space="preserve"> DKSC-700/35-400/0.4kV,37±2×2.5%/0</w:t>
            </w:r>
            <w:r>
              <w:rPr>
                <w:spacing w:val="-1"/>
                <w:sz w:val="21"/>
                <w:szCs w:val="21"/>
              </w:rPr>
              <w:t>.4kV;电</w:t>
            </w:r>
            <w:r>
              <w:rPr>
                <w:sz w:val="21"/>
                <w:szCs w:val="21"/>
              </w:rPr>
              <w:t xml:space="preserve"> </w:t>
            </w:r>
            <w:r>
              <w:rPr>
                <w:spacing w:val="2"/>
                <w:sz w:val="21"/>
                <w:szCs w:val="21"/>
              </w:rPr>
              <w:t>阻器</w:t>
            </w:r>
            <w:r>
              <w:rPr>
                <w:sz w:val="21"/>
                <w:szCs w:val="21"/>
              </w:rPr>
              <w:t>THT</w:t>
            </w:r>
            <w:r>
              <w:rPr>
                <w:spacing w:val="2"/>
                <w:sz w:val="21"/>
                <w:szCs w:val="21"/>
              </w:rPr>
              <w:t>-</w:t>
            </w:r>
            <w:r>
              <w:rPr>
                <w:sz w:val="21"/>
                <w:szCs w:val="21"/>
              </w:rPr>
              <w:t>ZT</w:t>
            </w:r>
            <w:r>
              <w:rPr>
                <w:spacing w:val="2"/>
                <w:sz w:val="21"/>
                <w:szCs w:val="21"/>
              </w:rPr>
              <w:t>-37/71.2,112A(10s)</w:t>
            </w:r>
          </w:p>
        </w:tc>
        <w:tc>
          <w:tcPr>
            <w:tcW w:w="659" w:type="dxa"/>
            <w:vAlign w:val="top"/>
          </w:tcPr>
          <w:p w14:paraId="165E3EB3">
            <w:pPr>
              <w:spacing w:line="243" w:lineRule="auto"/>
              <w:rPr>
                <w:rFonts w:ascii="Arial"/>
                <w:sz w:val="21"/>
              </w:rPr>
            </w:pPr>
          </w:p>
          <w:p w14:paraId="73C2FA1E">
            <w:pPr>
              <w:pStyle w:val="6"/>
              <w:spacing w:before="68" w:line="220" w:lineRule="auto"/>
              <w:ind w:left="96"/>
              <w:rPr>
                <w:sz w:val="21"/>
                <w:szCs w:val="21"/>
              </w:rPr>
            </w:pPr>
            <w:r>
              <w:rPr>
                <w:sz w:val="21"/>
                <w:szCs w:val="21"/>
              </w:rPr>
              <w:t>套</w:t>
            </w:r>
          </w:p>
        </w:tc>
        <w:tc>
          <w:tcPr>
            <w:tcW w:w="949" w:type="dxa"/>
            <w:vAlign w:val="top"/>
          </w:tcPr>
          <w:p w14:paraId="7B3F7852">
            <w:pPr>
              <w:spacing w:line="263" w:lineRule="auto"/>
              <w:rPr>
                <w:rFonts w:ascii="Arial"/>
                <w:sz w:val="21"/>
              </w:rPr>
            </w:pPr>
          </w:p>
          <w:p w14:paraId="71F853C5">
            <w:pPr>
              <w:pStyle w:val="6"/>
              <w:spacing w:before="68" w:line="239" w:lineRule="auto"/>
              <w:ind w:left="107"/>
              <w:rPr>
                <w:sz w:val="21"/>
                <w:szCs w:val="21"/>
              </w:rPr>
            </w:pPr>
            <w:r>
              <w:rPr>
                <w:spacing w:val="-5"/>
                <w:sz w:val="21"/>
                <w:szCs w:val="21"/>
              </w:rPr>
              <w:t>1.00</w:t>
            </w:r>
          </w:p>
        </w:tc>
        <w:tc>
          <w:tcPr>
            <w:tcW w:w="509" w:type="dxa"/>
            <w:vAlign w:val="top"/>
          </w:tcPr>
          <w:p w14:paraId="2B52A643">
            <w:pPr>
              <w:rPr>
                <w:rFonts w:ascii="Arial"/>
                <w:sz w:val="21"/>
              </w:rPr>
            </w:pPr>
          </w:p>
        </w:tc>
        <w:tc>
          <w:tcPr>
            <w:tcW w:w="344" w:type="dxa"/>
            <w:vMerge w:val="continue"/>
            <w:tcBorders>
              <w:top w:val="nil"/>
              <w:bottom w:val="nil"/>
            </w:tcBorders>
            <w:vAlign w:val="top"/>
          </w:tcPr>
          <w:p w14:paraId="2872068C">
            <w:pPr>
              <w:rPr>
                <w:rFonts w:ascii="Arial"/>
                <w:sz w:val="21"/>
              </w:rPr>
            </w:pPr>
          </w:p>
        </w:tc>
      </w:tr>
      <w:tr w14:paraId="129B2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94" w:type="dxa"/>
            <w:vMerge w:val="continue"/>
            <w:tcBorders>
              <w:top w:val="nil"/>
              <w:bottom w:val="nil"/>
            </w:tcBorders>
            <w:vAlign w:val="top"/>
          </w:tcPr>
          <w:p w14:paraId="067A20CF">
            <w:pPr>
              <w:rPr>
                <w:rFonts w:ascii="Arial"/>
                <w:sz w:val="21"/>
              </w:rPr>
            </w:pPr>
          </w:p>
        </w:tc>
        <w:tc>
          <w:tcPr>
            <w:tcW w:w="340" w:type="dxa"/>
            <w:vMerge w:val="continue"/>
            <w:tcBorders>
              <w:top w:val="nil"/>
              <w:bottom w:val="nil"/>
            </w:tcBorders>
            <w:vAlign w:val="top"/>
          </w:tcPr>
          <w:p w14:paraId="13B0844D">
            <w:pPr>
              <w:rPr>
                <w:rFonts w:ascii="Arial"/>
                <w:sz w:val="21"/>
              </w:rPr>
            </w:pPr>
          </w:p>
        </w:tc>
        <w:tc>
          <w:tcPr>
            <w:tcW w:w="929" w:type="dxa"/>
            <w:vAlign w:val="top"/>
          </w:tcPr>
          <w:p w14:paraId="59AF84D1">
            <w:pPr>
              <w:pStyle w:val="6"/>
              <w:spacing w:before="194" w:line="239" w:lineRule="auto"/>
              <w:ind w:left="71"/>
              <w:rPr>
                <w:sz w:val="21"/>
                <w:szCs w:val="21"/>
              </w:rPr>
            </w:pPr>
            <w:r>
              <w:rPr>
                <w:spacing w:val="-2"/>
                <w:sz w:val="21"/>
                <w:szCs w:val="21"/>
              </w:rPr>
              <w:t>2.5.3</w:t>
            </w:r>
          </w:p>
        </w:tc>
        <w:tc>
          <w:tcPr>
            <w:tcW w:w="4635" w:type="dxa"/>
            <w:vAlign w:val="top"/>
          </w:tcPr>
          <w:p w14:paraId="09B8505A">
            <w:pPr>
              <w:pStyle w:val="6"/>
              <w:spacing w:before="40" w:line="219" w:lineRule="auto"/>
              <w:ind w:left="101" w:right="330"/>
              <w:rPr>
                <w:sz w:val="21"/>
                <w:szCs w:val="21"/>
              </w:rPr>
            </w:pPr>
            <w:r>
              <w:rPr>
                <w:sz w:val="21"/>
                <w:szCs w:val="21"/>
              </w:rPr>
              <w:t>施工变压器S13-10kV/400kV</w:t>
            </w:r>
            <w:r>
              <w:rPr>
                <w:spacing w:val="-1"/>
                <w:sz w:val="21"/>
                <w:szCs w:val="21"/>
              </w:rPr>
              <w:t>A,含断路器，隔离</w:t>
            </w:r>
            <w:r>
              <w:rPr>
                <w:sz w:val="21"/>
                <w:szCs w:val="21"/>
              </w:rPr>
              <w:t xml:space="preserve"> </w:t>
            </w:r>
            <w:r>
              <w:rPr>
                <w:spacing w:val="3"/>
                <w:sz w:val="21"/>
                <w:szCs w:val="21"/>
              </w:rPr>
              <w:t>开关，避雷器各3只</w:t>
            </w:r>
          </w:p>
        </w:tc>
        <w:tc>
          <w:tcPr>
            <w:tcW w:w="659" w:type="dxa"/>
            <w:vAlign w:val="top"/>
          </w:tcPr>
          <w:p w14:paraId="6720F5FA">
            <w:pPr>
              <w:pStyle w:val="6"/>
              <w:spacing w:before="174" w:line="220" w:lineRule="auto"/>
              <w:ind w:left="96"/>
              <w:rPr>
                <w:sz w:val="21"/>
                <w:szCs w:val="21"/>
              </w:rPr>
            </w:pPr>
            <w:r>
              <w:rPr>
                <w:sz w:val="21"/>
                <w:szCs w:val="21"/>
              </w:rPr>
              <w:t>套</w:t>
            </w:r>
          </w:p>
        </w:tc>
        <w:tc>
          <w:tcPr>
            <w:tcW w:w="949" w:type="dxa"/>
            <w:vAlign w:val="top"/>
          </w:tcPr>
          <w:p w14:paraId="10D3B9CB">
            <w:pPr>
              <w:pStyle w:val="6"/>
              <w:spacing w:before="194" w:line="239" w:lineRule="auto"/>
              <w:ind w:left="107"/>
              <w:rPr>
                <w:sz w:val="21"/>
                <w:szCs w:val="21"/>
              </w:rPr>
            </w:pPr>
            <w:r>
              <w:rPr>
                <w:spacing w:val="-5"/>
                <w:sz w:val="21"/>
                <w:szCs w:val="21"/>
              </w:rPr>
              <w:t>1.00</w:t>
            </w:r>
          </w:p>
        </w:tc>
        <w:tc>
          <w:tcPr>
            <w:tcW w:w="509" w:type="dxa"/>
            <w:vAlign w:val="top"/>
          </w:tcPr>
          <w:p w14:paraId="7B67A83A">
            <w:pPr>
              <w:rPr>
                <w:rFonts w:ascii="Arial"/>
                <w:sz w:val="21"/>
              </w:rPr>
            </w:pPr>
          </w:p>
        </w:tc>
        <w:tc>
          <w:tcPr>
            <w:tcW w:w="344" w:type="dxa"/>
            <w:vMerge w:val="continue"/>
            <w:tcBorders>
              <w:top w:val="nil"/>
              <w:bottom w:val="nil"/>
            </w:tcBorders>
            <w:vAlign w:val="top"/>
          </w:tcPr>
          <w:p w14:paraId="3F0DAEEA">
            <w:pPr>
              <w:rPr>
                <w:rFonts w:ascii="Arial"/>
                <w:sz w:val="21"/>
              </w:rPr>
            </w:pPr>
          </w:p>
        </w:tc>
      </w:tr>
      <w:tr w14:paraId="5FDAA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94" w:type="dxa"/>
            <w:vMerge w:val="continue"/>
            <w:tcBorders>
              <w:top w:val="nil"/>
              <w:bottom w:val="nil"/>
            </w:tcBorders>
            <w:vAlign w:val="top"/>
          </w:tcPr>
          <w:p w14:paraId="61F40D6B">
            <w:pPr>
              <w:rPr>
                <w:rFonts w:ascii="Arial"/>
                <w:sz w:val="21"/>
              </w:rPr>
            </w:pPr>
          </w:p>
        </w:tc>
        <w:tc>
          <w:tcPr>
            <w:tcW w:w="340" w:type="dxa"/>
            <w:vMerge w:val="continue"/>
            <w:tcBorders>
              <w:top w:val="nil"/>
              <w:bottom w:val="nil"/>
            </w:tcBorders>
            <w:vAlign w:val="top"/>
          </w:tcPr>
          <w:p w14:paraId="10422F41">
            <w:pPr>
              <w:rPr>
                <w:rFonts w:ascii="Arial"/>
                <w:sz w:val="21"/>
              </w:rPr>
            </w:pPr>
          </w:p>
        </w:tc>
        <w:tc>
          <w:tcPr>
            <w:tcW w:w="929" w:type="dxa"/>
            <w:vAlign w:val="top"/>
          </w:tcPr>
          <w:p w14:paraId="3C813BDB">
            <w:pPr>
              <w:pStyle w:val="6"/>
              <w:spacing w:before="55" w:line="171" w:lineRule="auto"/>
              <w:ind w:left="71"/>
              <w:rPr>
                <w:sz w:val="21"/>
                <w:szCs w:val="21"/>
              </w:rPr>
            </w:pPr>
            <w:r>
              <w:rPr>
                <w:spacing w:val="-3"/>
                <w:sz w:val="21"/>
                <w:szCs w:val="21"/>
              </w:rPr>
              <w:t>2.6</w:t>
            </w:r>
          </w:p>
        </w:tc>
        <w:tc>
          <w:tcPr>
            <w:tcW w:w="4635" w:type="dxa"/>
            <w:vAlign w:val="top"/>
          </w:tcPr>
          <w:p w14:paraId="6A376CA0">
            <w:pPr>
              <w:pStyle w:val="6"/>
              <w:spacing w:before="33" w:line="190" w:lineRule="auto"/>
              <w:ind w:left="101"/>
              <w:rPr>
                <w:sz w:val="21"/>
                <w:szCs w:val="21"/>
              </w:rPr>
            </w:pPr>
            <w:r>
              <w:rPr>
                <w:sz w:val="21"/>
                <w:szCs w:val="21"/>
              </w:rPr>
              <w:t>电力电缆敷设及防火</w:t>
            </w:r>
          </w:p>
        </w:tc>
        <w:tc>
          <w:tcPr>
            <w:tcW w:w="659" w:type="dxa"/>
            <w:vAlign w:val="top"/>
          </w:tcPr>
          <w:p w14:paraId="677F6554">
            <w:pPr>
              <w:rPr>
                <w:rFonts w:ascii="Arial"/>
                <w:sz w:val="21"/>
              </w:rPr>
            </w:pPr>
          </w:p>
        </w:tc>
        <w:tc>
          <w:tcPr>
            <w:tcW w:w="949" w:type="dxa"/>
            <w:vAlign w:val="top"/>
          </w:tcPr>
          <w:p w14:paraId="33335617">
            <w:pPr>
              <w:rPr>
                <w:rFonts w:ascii="Arial"/>
                <w:sz w:val="21"/>
              </w:rPr>
            </w:pPr>
          </w:p>
        </w:tc>
        <w:tc>
          <w:tcPr>
            <w:tcW w:w="509" w:type="dxa"/>
            <w:vAlign w:val="top"/>
          </w:tcPr>
          <w:p w14:paraId="0B96526D">
            <w:pPr>
              <w:rPr>
                <w:rFonts w:ascii="Arial"/>
                <w:sz w:val="21"/>
              </w:rPr>
            </w:pPr>
          </w:p>
        </w:tc>
        <w:tc>
          <w:tcPr>
            <w:tcW w:w="344" w:type="dxa"/>
            <w:vMerge w:val="continue"/>
            <w:tcBorders>
              <w:top w:val="nil"/>
              <w:bottom w:val="nil"/>
            </w:tcBorders>
            <w:vAlign w:val="top"/>
          </w:tcPr>
          <w:p w14:paraId="6B2221B4">
            <w:pPr>
              <w:rPr>
                <w:rFonts w:ascii="Arial"/>
                <w:sz w:val="21"/>
              </w:rPr>
            </w:pPr>
          </w:p>
        </w:tc>
      </w:tr>
      <w:tr w14:paraId="08B3F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94" w:type="dxa"/>
            <w:vMerge w:val="continue"/>
            <w:tcBorders>
              <w:top w:val="nil"/>
              <w:bottom w:val="nil"/>
            </w:tcBorders>
            <w:vAlign w:val="top"/>
          </w:tcPr>
          <w:p w14:paraId="7A9503EB">
            <w:pPr>
              <w:rPr>
                <w:rFonts w:ascii="Arial"/>
                <w:sz w:val="21"/>
              </w:rPr>
            </w:pPr>
          </w:p>
        </w:tc>
        <w:tc>
          <w:tcPr>
            <w:tcW w:w="340" w:type="dxa"/>
            <w:vMerge w:val="continue"/>
            <w:tcBorders>
              <w:top w:val="nil"/>
              <w:bottom w:val="nil"/>
            </w:tcBorders>
            <w:vAlign w:val="top"/>
          </w:tcPr>
          <w:p w14:paraId="0C14AC73">
            <w:pPr>
              <w:rPr>
                <w:rFonts w:ascii="Arial"/>
                <w:sz w:val="21"/>
              </w:rPr>
            </w:pPr>
          </w:p>
        </w:tc>
        <w:tc>
          <w:tcPr>
            <w:tcW w:w="929" w:type="dxa"/>
            <w:vAlign w:val="top"/>
          </w:tcPr>
          <w:p w14:paraId="58C6A8D6">
            <w:pPr>
              <w:pStyle w:val="6"/>
              <w:spacing w:before="55" w:line="179" w:lineRule="auto"/>
              <w:ind w:left="71"/>
              <w:rPr>
                <w:sz w:val="21"/>
                <w:szCs w:val="21"/>
              </w:rPr>
            </w:pPr>
            <w:r>
              <w:rPr>
                <w:spacing w:val="-2"/>
                <w:sz w:val="21"/>
                <w:szCs w:val="21"/>
              </w:rPr>
              <w:t>2.6.1</w:t>
            </w:r>
          </w:p>
        </w:tc>
        <w:tc>
          <w:tcPr>
            <w:tcW w:w="4635" w:type="dxa"/>
            <w:vAlign w:val="top"/>
          </w:tcPr>
          <w:p w14:paraId="107F8E7E">
            <w:pPr>
              <w:pStyle w:val="6"/>
              <w:spacing w:before="32" w:line="199" w:lineRule="auto"/>
              <w:ind w:left="101"/>
              <w:rPr>
                <w:sz w:val="21"/>
                <w:szCs w:val="21"/>
              </w:rPr>
            </w:pPr>
            <w:r>
              <w:rPr>
                <w:spacing w:val="6"/>
                <w:sz w:val="21"/>
                <w:szCs w:val="21"/>
              </w:rPr>
              <w:t>高压电力电缆</w:t>
            </w:r>
            <w:r>
              <w:rPr>
                <w:sz w:val="21"/>
                <w:szCs w:val="21"/>
              </w:rPr>
              <w:t>ZRA</w:t>
            </w:r>
            <w:r>
              <w:rPr>
                <w:spacing w:val="6"/>
                <w:sz w:val="21"/>
                <w:szCs w:val="21"/>
              </w:rPr>
              <w:t>-</w:t>
            </w:r>
            <w:r>
              <w:rPr>
                <w:sz w:val="21"/>
                <w:szCs w:val="21"/>
              </w:rPr>
              <w:t>YJV</w:t>
            </w:r>
            <w:r>
              <w:rPr>
                <w:spacing w:val="6"/>
                <w:sz w:val="21"/>
                <w:szCs w:val="21"/>
              </w:rPr>
              <w:t>22-26/35</w:t>
            </w:r>
            <w:r>
              <w:rPr>
                <w:sz w:val="21"/>
                <w:szCs w:val="21"/>
              </w:rPr>
              <w:t>kV</w:t>
            </w:r>
            <w:r>
              <w:rPr>
                <w:spacing w:val="6"/>
                <w:sz w:val="21"/>
                <w:szCs w:val="21"/>
              </w:rPr>
              <w:t>-3×185</w:t>
            </w:r>
            <w:r>
              <w:rPr>
                <w:sz w:val="21"/>
                <w:szCs w:val="21"/>
              </w:rPr>
              <w:t>mm</w:t>
            </w:r>
            <w:r>
              <w:rPr>
                <w:spacing w:val="6"/>
                <w:sz w:val="21"/>
                <w:szCs w:val="21"/>
              </w:rPr>
              <w:t>²</w:t>
            </w:r>
          </w:p>
        </w:tc>
        <w:tc>
          <w:tcPr>
            <w:tcW w:w="659" w:type="dxa"/>
            <w:vAlign w:val="top"/>
          </w:tcPr>
          <w:p w14:paraId="591DAC9C">
            <w:pPr>
              <w:pStyle w:val="6"/>
              <w:spacing w:before="34" w:line="197" w:lineRule="auto"/>
              <w:ind w:left="96"/>
              <w:rPr>
                <w:sz w:val="21"/>
                <w:szCs w:val="21"/>
              </w:rPr>
            </w:pPr>
            <w:r>
              <w:rPr>
                <w:sz w:val="21"/>
                <w:szCs w:val="21"/>
              </w:rPr>
              <w:t>米</w:t>
            </w:r>
          </w:p>
        </w:tc>
        <w:tc>
          <w:tcPr>
            <w:tcW w:w="949" w:type="dxa"/>
            <w:vAlign w:val="top"/>
          </w:tcPr>
          <w:p w14:paraId="15CA417C">
            <w:pPr>
              <w:pStyle w:val="6"/>
              <w:spacing w:before="55" w:line="179" w:lineRule="auto"/>
              <w:ind w:left="107"/>
              <w:rPr>
                <w:sz w:val="21"/>
                <w:szCs w:val="21"/>
              </w:rPr>
            </w:pPr>
            <w:r>
              <w:rPr>
                <w:spacing w:val="-2"/>
                <w:sz w:val="21"/>
                <w:szCs w:val="21"/>
              </w:rPr>
              <w:t>50.00</w:t>
            </w:r>
          </w:p>
        </w:tc>
        <w:tc>
          <w:tcPr>
            <w:tcW w:w="509" w:type="dxa"/>
            <w:vAlign w:val="top"/>
          </w:tcPr>
          <w:p w14:paraId="5D67D84F">
            <w:pPr>
              <w:rPr>
                <w:rFonts w:ascii="Arial"/>
                <w:sz w:val="21"/>
              </w:rPr>
            </w:pPr>
          </w:p>
        </w:tc>
        <w:tc>
          <w:tcPr>
            <w:tcW w:w="344" w:type="dxa"/>
            <w:vMerge w:val="continue"/>
            <w:tcBorders>
              <w:top w:val="nil"/>
              <w:bottom w:val="nil"/>
            </w:tcBorders>
            <w:vAlign w:val="top"/>
          </w:tcPr>
          <w:p w14:paraId="627B5531">
            <w:pPr>
              <w:rPr>
                <w:rFonts w:ascii="Arial"/>
                <w:sz w:val="21"/>
              </w:rPr>
            </w:pPr>
          </w:p>
        </w:tc>
      </w:tr>
      <w:tr w14:paraId="7C4E5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694" w:type="dxa"/>
            <w:vMerge w:val="continue"/>
            <w:tcBorders>
              <w:top w:val="nil"/>
              <w:bottom w:val="nil"/>
            </w:tcBorders>
            <w:vAlign w:val="top"/>
          </w:tcPr>
          <w:p w14:paraId="6037C657">
            <w:pPr>
              <w:rPr>
                <w:rFonts w:ascii="Arial"/>
                <w:sz w:val="21"/>
              </w:rPr>
            </w:pPr>
          </w:p>
        </w:tc>
        <w:tc>
          <w:tcPr>
            <w:tcW w:w="340" w:type="dxa"/>
            <w:vMerge w:val="continue"/>
            <w:tcBorders>
              <w:top w:val="nil"/>
              <w:bottom w:val="nil"/>
            </w:tcBorders>
            <w:vAlign w:val="top"/>
          </w:tcPr>
          <w:p w14:paraId="6ADE5F1B">
            <w:pPr>
              <w:rPr>
                <w:rFonts w:ascii="Arial"/>
                <w:sz w:val="21"/>
              </w:rPr>
            </w:pPr>
          </w:p>
        </w:tc>
        <w:tc>
          <w:tcPr>
            <w:tcW w:w="929" w:type="dxa"/>
            <w:vAlign w:val="top"/>
          </w:tcPr>
          <w:p w14:paraId="412EA1E8">
            <w:pPr>
              <w:spacing w:line="266" w:lineRule="auto"/>
              <w:rPr>
                <w:rFonts w:ascii="Arial"/>
                <w:sz w:val="21"/>
              </w:rPr>
            </w:pPr>
          </w:p>
          <w:p w14:paraId="700564E8">
            <w:pPr>
              <w:pStyle w:val="6"/>
              <w:spacing w:before="68" w:line="239" w:lineRule="auto"/>
              <w:ind w:left="71"/>
              <w:rPr>
                <w:sz w:val="21"/>
                <w:szCs w:val="21"/>
              </w:rPr>
            </w:pPr>
            <w:r>
              <w:rPr>
                <w:spacing w:val="-2"/>
                <w:sz w:val="21"/>
                <w:szCs w:val="21"/>
              </w:rPr>
              <w:t>2.6.2</w:t>
            </w:r>
          </w:p>
        </w:tc>
        <w:tc>
          <w:tcPr>
            <w:tcW w:w="4635" w:type="dxa"/>
            <w:vAlign w:val="top"/>
          </w:tcPr>
          <w:p w14:paraId="6F536C4E">
            <w:pPr>
              <w:pStyle w:val="6"/>
              <w:spacing w:before="54" w:line="221" w:lineRule="auto"/>
              <w:ind w:left="101" w:right="105"/>
              <w:jc w:val="both"/>
              <w:rPr>
                <w:sz w:val="21"/>
                <w:szCs w:val="21"/>
              </w:rPr>
            </w:pPr>
            <w:r>
              <w:rPr>
                <w:spacing w:val="-16"/>
                <w:sz w:val="21"/>
                <w:szCs w:val="21"/>
              </w:rPr>
              <w:t>高</w:t>
            </w:r>
            <w:r>
              <w:rPr>
                <w:spacing w:val="3"/>
                <w:sz w:val="21"/>
                <w:szCs w:val="21"/>
              </w:rPr>
              <w:t xml:space="preserve">   </w:t>
            </w:r>
            <w:r>
              <w:rPr>
                <w:spacing w:val="-16"/>
                <w:sz w:val="21"/>
                <w:szCs w:val="21"/>
              </w:rPr>
              <w:t>压</w:t>
            </w:r>
            <w:r>
              <w:rPr>
                <w:spacing w:val="12"/>
                <w:sz w:val="21"/>
                <w:szCs w:val="21"/>
              </w:rPr>
              <w:t xml:space="preserve">   </w:t>
            </w:r>
            <w:r>
              <w:rPr>
                <w:spacing w:val="-16"/>
                <w:sz w:val="21"/>
                <w:szCs w:val="21"/>
              </w:rPr>
              <w:t>电</w:t>
            </w:r>
            <w:r>
              <w:rPr>
                <w:spacing w:val="5"/>
                <w:sz w:val="21"/>
                <w:szCs w:val="21"/>
              </w:rPr>
              <w:t xml:space="preserve">   </w:t>
            </w:r>
            <w:r>
              <w:rPr>
                <w:spacing w:val="-16"/>
                <w:sz w:val="21"/>
                <w:szCs w:val="21"/>
              </w:rPr>
              <w:t>力</w:t>
            </w:r>
            <w:r>
              <w:rPr>
                <w:spacing w:val="12"/>
                <w:sz w:val="21"/>
                <w:szCs w:val="21"/>
              </w:rPr>
              <w:t xml:space="preserve">   </w:t>
            </w:r>
            <w:r>
              <w:rPr>
                <w:spacing w:val="-16"/>
                <w:sz w:val="21"/>
                <w:szCs w:val="21"/>
              </w:rPr>
              <w:t>电</w:t>
            </w:r>
            <w:r>
              <w:rPr>
                <w:spacing w:val="4"/>
                <w:sz w:val="21"/>
                <w:szCs w:val="21"/>
              </w:rPr>
              <w:t xml:space="preserve">   </w:t>
            </w:r>
            <w:r>
              <w:rPr>
                <w:spacing w:val="-16"/>
                <w:sz w:val="21"/>
                <w:szCs w:val="21"/>
              </w:rPr>
              <w:t>缆</w:t>
            </w:r>
            <w:r>
              <w:rPr>
                <w:spacing w:val="5"/>
                <w:sz w:val="21"/>
                <w:szCs w:val="21"/>
              </w:rPr>
              <w:t xml:space="preserve">   </w:t>
            </w:r>
            <w:r>
              <w:rPr>
                <w:spacing w:val="-16"/>
                <w:sz w:val="21"/>
                <w:szCs w:val="21"/>
              </w:rPr>
              <w:t>终</w:t>
            </w:r>
            <w:r>
              <w:rPr>
                <w:spacing w:val="4"/>
                <w:sz w:val="21"/>
                <w:szCs w:val="21"/>
              </w:rPr>
              <w:t xml:space="preserve">   </w:t>
            </w:r>
            <w:r>
              <w:rPr>
                <w:spacing w:val="-16"/>
                <w:sz w:val="21"/>
                <w:szCs w:val="21"/>
              </w:rPr>
              <w:t>端</w:t>
            </w:r>
            <w:r>
              <w:rPr>
                <w:spacing w:val="5"/>
                <w:sz w:val="21"/>
                <w:szCs w:val="21"/>
              </w:rPr>
              <w:t xml:space="preserve">   </w:t>
            </w:r>
            <w:r>
              <w:rPr>
                <w:spacing w:val="-16"/>
                <w:sz w:val="21"/>
                <w:szCs w:val="21"/>
              </w:rPr>
              <w:t>与</w:t>
            </w:r>
            <w:r>
              <w:rPr>
                <w:sz w:val="21"/>
                <w:szCs w:val="21"/>
              </w:rPr>
              <w:t xml:space="preserve"> ZRA</w:t>
            </w:r>
            <w:r>
              <w:rPr>
                <w:spacing w:val="4"/>
                <w:sz w:val="21"/>
                <w:szCs w:val="21"/>
              </w:rPr>
              <w:t>-</w:t>
            </w:r>
            <w:r>
              <w:rPr>
                <w:sz w:val="21"/>
                <w:szCs w:val="21"/>
              </w:rPr>
              <w:t>YJV</w:t>
            </w:r>
            <w:r>
              <w:rPr>
                <w:spacing w:val="4"/>
                <w:sz w:val="21"/>
                <w:szCs w:val="21"/>
              </w:rPr>
              <w:t>22-26/35</w:t>
            </w:r>
            <w:r>
              <w:rPr>
                <w:sz w:val="21"/>
                <w:szCs w:val="21"/>
              </w:rPr>
              <w:t>kV</w:t>
            </w:r>
            <w:r>
              <w:rPr>
                <w:spacing w:val="4"/>
                <w:sz w:val="21"/>
                <w:szCs w:val="21"/>
              </w:rPr>
              <w:t>-3×185</w:t>
            </w:r>
            <w:r>
              <w:rPr>
                <w:sz w:val="21"/>
                <w:szCs w:val="21"/>
              </w:rPr>
              <w:t>mm</w:t>
            </w:r>
            <w:r>
              <w:rPr>
                <w:spacing w:val="4"/>
                <w:sz w:val="21"/>
                <w:szCs w:val="21"/>
              </w:rPr>
              <w:t>²电力电缆配套，</w:t>
            </w:r>
            <w:r>
              <w:rPr>
                <w:spacing w:val="17"/>
                <w:sz w:val="21"/>
                <w:szCs w:val="21"/>
              </w:rPr>
              <w:t xml:space="preserve"> </w:t>
            </w:r>
            <w:r>
              <w:rPr>
                <w:spacing w:val="4"/>
                <w:sz w:val="21"/>
                <w:szCs w:val="21"/>
              </w:rPr>
              <w:t>户外型</w:t>
            </w:r>
          </w:p>
        </w:tc>
        <w:tc>
          <w:tcPr>
            <w:tcW w:w="659" w:type="dxa"/>
            <w:vAlign w:val="top"/>
          </w:tcPr>
          <w:p w14:paraId="3ADBE102">
            <w:pPr>
              <w:spacing w:line="258" w:lineRule="auto"/>
              <w:rPr>
                <w:rFonts w:ascii="Arial"/>
                <w:sz w:val="21"/>
              </w:rPr>
            </w:pPr>
          </w:p>
          <w:p w14:paraId="7EB143C6">
            <w:pPr>
              <w:pStyle w:val="6"/>
              <w:spacing w:before="68" w:line="230" w:lineRule="auto"/>
              <w:ind w:left="96"/>
              <w:rPr>
                <w:sz w:val="21"/>
                <w:szCs w:val="21"/>
              </w:rPr>
            </w:pPr>
            <w:r>
              <w:rPr>
                <w:sz w:val="21"/>
                <w:szCs w:val="21"/>
              </w:rPr>
              <w:t>组</w:t>
            </w:r>
          </w:p>
        </w:tc>
        <w:tc>
          <w:tcPr>
            <w:tcW w:w="949" w:type="dxa"/>
            <w:vAlign w:val="top"/>
          </w:tcPr>
          <w:p w14:paraId="5D8520C7">
            <w:pPr>
              <w:spacing w:line="266" w:lineRule="auto"/>
              <w:rPr>
                <w:rFonts w:ascii="Arial"/>
                <w:sz w:val="21"/>
              </w:rPr>
            </w:pPr>
          </w:p>
          <w:p w14:paraId="1D09B1F4">
            <w:pPr>
              <w:pStyle w:val="6"/>
              <w:spacing w:before="68" w:line="239" w:lineRule="auto"/>
              <w:ind w:left="107"/>
              <w:rPr>
                <w:sz w:val="21"/>
                <w:szCs w:val="21"/>
              </w:rPr>
            </w:pPr>
            <w:r>
              <w:rPr>
                <w:spacing w:val="-5"/>
                <w:sz w:val="21"/>
                <w:szCs w:val="21"/>
              </w:rPr>
              <w:t>1.00</w:t>
            </w:r>
          </w:p>
        </w:tc>
        <w:tc>
          <w:tcPr>
            <w:tcW w:w="509" w:type="dxa"/>
            <w:vAlign w:val="top"/>
          </w:tcPr>
          <w:p w14:paraId="47AA60EB">
            <w:pPr>
              <w:rPr>
                <w:rFonts w:ascii="Arial"/>
                <w:sz w:val="21"/>
              </w:rPr>
            </w:pPr>
          </w:p>
        </w:tc>
        <w:tc>
          <w:tcPr>
            <w:tcW w:w="344" w:type="dxa"/>
            <w:vMerge w:val="continue"/>
            <w:tcBorders>
              <w:top w:val="nil"/>
              <w:bottom w:val="nil"/>
            </w:tcBorders>
            <w:vAlign w:val="top"/>
          </w:tcPr>
          <w:p w14:paraId="5FBB933D">
            <w:pPr>
              <w:rPr>
                <w:rFonts w:ascii="Arial"/>
                <w:sz w:val="21"/>
              </w:rPr>
            </w:pPr>
          </w:p>
        </w:tc>
      </w:tr>
      <w:tr w14:paraId="0BDCE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694" w:type="dxa"/>
            <w:vMerge w:val="continue"/>
            <w:tcBorders>
              <w:top w:val="nil"/>
              <w:bottom w:val="nil"/>
            </w:tcBorders>
            <w:vAlign w:val="top"/>
          </w:tcPr>
          <w:p w14:paraId="6F877928">
            <w:pPr>
              <w:rPr>
                <w:rFonts w:ascii="Arial"/>
                <w:sz w:val="21"/>
              </w:rPr>
            </w:pPr>
          </w:p>
        </w:tc>
        <w:tc>
          <w:tcPr>
            <w:tcW w:w="340" w:type="dxa"/>
            <w:vMerge w:val="continue"/>
            <w:tcBorders>
              <w:top w:val="nil"/>
              <w:bottom w:val="nil"/>
            </w:tcBorders>
            <w:vAlign w:val="top"/>
          </w:tcPr>
          <w:p w14:paraId="71DC7890">
            <w:pPr>
              <w:rPr>
                <w:rFonts w:ascii="Arial"/>
                <w:sz w:val="21"/>
              </w:rPr>
            </w:pPr>
          </w:p>
        </w:tc>
        <w:tc>
          <w:tcPr>
            <w:tcW w:w="929" w:type="dxa"/>
            <w:vAlign w:val="top"/>
          </w:tcPr>
          <w:p w14:paraId="7A1547E3">
            <w:pPr>
              <w:spacing w:line="267" w:lineRule="auto"/>
              <w:rPr>
                <w:rFonts w:ascii="Arial"/>
                <w:sz w:val="21"/>
              </w:rPr>
            </w:pPr>
          </w:p>
          <w:p w14:paraId="1BA32671">
            <w:pPr>
              <w:pStyle w:val="6"/>
              <w:spacing w:before="68" w:line="239" w:lineRule="auto"/>
              <w:ind w:left="71"/>
              <w:rPr>
                <w:sz w:val="21"/>
                <w:szCs w:val="21"/>
              </w:rPr>
            </w:pPr>
            <w:r>
              <w:rPr>
                <w:spacing w:val="-2"/>
                <w:sz w:val="21"/>
                <w:szCs w:val="21"/>
              </w:rPr>
              <w:t>2.6.3</w:t>
            </w:r>
          </w:p>
        </w:tc>
        <w:tc>
          <w:tcPr>
            <w:tcW w:w="4635" w:type="dxa"/>
            <w:vAlign w:val="top"/>
          </w:tcPr>
          <w:p w14:paraId="3C625265">
            <w:pPr>
              <w:pStyle w:val="6"/>
              <w:spacing w:before="48" w:line="223" w:lineRule="auto"/>
              <w:ind w:left="101" w:right="105"/>
              <w:jc w:val="both"/>
              <w:rPr>
                <w:sz w:val="21"/>
                <w:szCs w:val="21"/>
              </w:rPr>
            </w:pPr>
            <w:r>
              <w:rPr>
                <w:spacing w:val="-16"/>
                <w:sz w:val="21"/>
                <w:szCs w:val="21"/>
              </w:rPr>
              <w:t>高</w:t>
            </w:r>
            <w:r>
              <w:rPr>
                <w:spacing w:val="3"/>
                <w:sz w:val="21"/>
                <w:szCs w:val="21"/>
              </w:rPr>
              <w:t xml:space="preserve">   </w:t>
            </w:r>
            <w:r>
              <w:rPr>
                <w:spacing w:val="-16"/>
                <w:sz w:val="21"/>
                <w:szCs w:val="21"/>
              </w:rPr>
              <w:t>压</w:t>
            </w:r>
            <w:r>
              <w:rPr>
                <w:spacing w:val="12"/>
                <w:sz w:val="21"/>
                <w:szCs w:val="21"/>
              </w:rPr>
              <w:t xml:space="preserve">   </w:t>
            </w:r>
            <w:r>
              <w:rPr>
                <w:spacing w:val="-16"/>
                <w:sz w:val="21"/>
                <w:szCs w:val="21"/>
              </w:rPr>
              <w:t>电</w:t>
            </w:r>
            <w:r>
              <w:rPr>
                <w:spacing w:val="5"/>
                <w:sz w:val="21"/>
                <w:szCs w:val="21"/>
              </w:rPr>
              <w:t xml:space="preserve">   </w:t>
            </w:r>
            <w:r>
              <w:rPr>
                <w:spacing w:val="-16"/>
                <w:sz w:val="21"/>
                <w:szCs w:val="21"/>
              </w:rPr>
              <w:t>力</w:t>
            </w:r>
            <w:r>
              <w:rPr>
                <w:spacing w:val="12"/>
                <w:sz w:val="21"/>
                <w:szCs w:val="21"/>
              </w:rPr>
              <w:t xml:space="preserve">   </w:t>
            </w:r>
            <w:r>
              <w:rPr>
                <w:spacing w:val="-16"/>
                <w:sz w:val="21"/>
                <w:szCs w:val="21"/>
              </w:rPr>
              <w:t>电</w:t>
            </w:r>
            <w:r>
              <w:rPr>
                <w:spacing w:val="4"/>
                <w:sz w:val="21"/>
                <w:szCs w:val="21"/>
              </w:rPr>
              <w:t xml:space="preserve">   </w:t>
            </w:r>
            <w:r>
              <w:rPr>
                <w:spacing w:val="-16"/>
                <w:sz w:val="21"/>
                <w:szCs w:val="21"/>
              </w:rPr>
              <w:t>缆</w:t>
            </w:r>
            <w:r>
              <w:rPr>
                <w:spacing w:val="5"/>
                <w:sz w:val="21"/>
                <w:szCs w:val="21"/>
              </w:rPr>
              <w:t xml:space="preserve">   </w:t>
            </w:r>
            <w:r>
              <w:rPr>
                <w:spacing w:val="-16"/>
                <w:sz w:val="21"/>
                <w:szCs w:val="21"/>
              </w:rPr>
              <w:t>终</w:t>
            </w:r>
            <w:r>
              <w:rPr>
                <w:spacing w:val="4"/>
                <w:sz w:val="21"/>
                <w:szCs w:val="21"/>
              </w:rPr>
              <w:t xml:space="preserve">   </w:t>
            </w:r>
            <w:r>
              <w:rPr>
                <w:spacing w:val="-16"/>
                <w:sz w:val="21"/>
                <w:szCs w:val="21"/>
              </w:rPr>
              <w:t>端</w:t>
            </w:r>
            <w:r>
              <w:rPr>
                <w:spacing w:val="5"/>
                <w:sz w:val="21"/>
                <w:szCs w:val="21"/>
              </w:rPr>
              <w:t xml:space="preserve">   </w:t>
            </w:r>
            <w:r>
              <w:rPr>
                <w:spacing w:val="-16"/>
                <w:sz w:val="21"/>
                <w:szCs w:val="21"/>
              </w:rPr>
              <w:t>与</w:t>
            </w:r>
            <w:r>
              <w:rPr>
                <w:sz w:val="21"/>
                <w:szCs w:val="21"/>
              </w:rPr>
              <w:t xml:space="preserve"> ZRA</w:t>
            </w:r>
            <w:r>
              <w:rPr>
                <w:spacing w:val="4"/>
                <w:sz w:val="21"/>
                <w:szCs w:val="21"/>
              </w:rPr>
              <w:t>-</w:t>
            </w:r>
            <w:r>
              <w:rPr>
                <w:sz w:val="21"/>
                <w:szCs w:val="21"/>
              </w:rPr>
              <w:t>YJV</w:t>
            </w:r>
            <w:r>
              <w:rPr>
                <w:spacing w:val="4"/>
                <w:sz w:val="21"/>
                <w:szCs w:val="21"/>
              </w:rPr>
              <w:t>22-26/35</w:t>
            </w:r>
            <w:r>
              <w:rPr>
                <w:sz w:val="21"/>
                <w:szCs w:val="21"/>
              </w:rPr>
              <w:t>KV</w:t>
            </w:r>
            <w:r>
              <w:rPr>
                <w:spacing w:val="4"/>
                <w:sz w:val="21"/>
                <w:szCs w:val="21"/>
              </w:rPr>
              <w:t>-3×185</w:t>
            </w:r>
            <w:r>
              <w:rPr>
                <w:sz w:val="21"/>
                <w:szCs w:val="21"/>
              </w:rPr>
              <w:t>mm</w:t>
            </w:r>
            <w:r>
              <w:rPr>
                <w:spacing w:val="4"/>
                <w:sz w:val="21"/>
                <w:szCs w:val="21"/>
              </w:rPr>
              <w:t>²电力电缆配套，</w:t>
            </w:r>
            <w:r>
              <w:rPr>
                <w:spacing w:val="17"/>
                <w:sz w:val="21"/>
                <w:szCs w:val="21"/>
              </w:rPr>
              <w:t xml:space="preserve"> </w:t>
            </w:r>
            <w:r>
              <w:rPr>
                <w:spacing w:val="4"/>
                <w:sz w:val="21"/>
                <w:szCs w:val="21"/>
              </w:rPr>
              <w:t>户内型</w:t>
            </w:r>
          </w:p>
        </w:tc>
        <w:tc>
          <w:tcPr>
            <w:tcW w:w="659" w:type="dxa"/>
            <w:vAlign w:val="top"/>
          </w:tcPr>
          <w:p w14:paraId="1FB999C8">
            <w:pPr>
              <w:spacing w:line="259" w:lineRule="auto"/>
              <w:rPr>
                <w:rFonts w:ascii="Arial"/>
                <w:sz w:val="21"/>
              </w:rPr>
            </w:pPr>
          </w:p>
          <w:p w14:paraId="5C91AE38">
            <w:pPr>
              <w:pStyle w:val="6"/>
              <w:spacing w:before="68" w:line="230" w:lineRule="auto"/>
              <w:ind w:left="96"/>
              <w:rPr>
                <w:sz w:val="21"/>
                <w:szCs w:val="21"/>
              </w:rPr>
            </w:pPr>
            <w:r>
              <w:rPr>
                <w:sz w:val="21"/>
                <w:szCs w:val="21"/>
              </w:rPr>
              <w:t>组</w:t>
            </w:r>
          </w:p>
        </w:tc>
        <w:tc>
          <w:tcPr>
            <w:tcW w:w="949" w:type="dxa"/>
            <w:vAlign w:val="top"/>
          </w:tcPr>
          <w:p w14:paraId="3FE3034C">
            <w:pPr>
              <w:spacing w:line="267" w:lineRule="auto"/>
              <w:rPr>
                <w:rFonts w:ascii="Arial"/>
                <w:sz w:val="21"/>
              </w:rPr>
            </w:pPr>
          </w:p>
          <w:p w14:paraId="3ABD12E1">
            <w:pPr>
              <w:pStyle w:val="6"/>
              <w:spacing w:before="68" w:line="239" w:lineRule="auto"/>
              <w:ind w:left="107"/>
              <w:rPr>
                <w:sz w:val="21"/>
                <w:szCs w:val="21"/>
              </w:rPr>
            </w:pPr>
            <w:r>
              <w:rPr>
                <w:spacing w:val="-5"/>
                <w:sz w:val="21"/>
                <w:szCs w:val="21"/>
              </w:rPr>
              <w:t>1.00</w:t>
            </w:r>
          </w:p>
        </w:tc>
        <w:tc>
          <w:tcPr>
            <w:tcW w:w="509" w:type="dxa"/>
            <w:vAlign w:val="top"/>
          </w:tcPr>
          <w:p w14:paraId="7489739D">
            <w:pPr>
              <w:rPr>
                <w:rFonts w:ascii="Arial"/>
                <w:sz w:val="21"/>
              </w:rPr>
            </w:pPr>
          </w:p>
        </w:tc>
        <w:tc>
          <w:tcPr>
            <w:tcW w:w="344" w:type="dxa"/>
            <w:vMerge w:val="continue"/>
            <w:tcBorders>
              <w:top w:val="nil"/>
              <w:bottom w:val="nil"/>
            </w:tcBorders>
            <w:vAlign w:val="top"/>
          </w:tcPr>
          <w:p w14:paraId="02F06FD7">
            <w:pPr>
              <w:rPr>
                <w:rFonts w:ascii="Arial"/>
                <w:sz w:val="21"/>
              </w:rPr>
            </w:pPr>
          </w:p>
        </w:tc>
      </w:tr>
      <w:tr w14:paraId="25E45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94" w:type="dxa"/>
            <w:vMerge w:val="continue"/>
            <w:tcBorders>
              <w:top w:val="nil"/>
              <w:bottom w:val="nil"/>
            </w:tcBorders>
            <w:vAlign w:val="top"/>
          </w:tcPr>
          <w:p w14:paraId="6E87C081">
            <w:pPr>
              <w:rPr>
                <w:rFonts w:ascii="Arial"/>
                <w:sz w:val="21"/>
              </w:rPr>
            </w:pPr>
          </w:p>
        </w:tc>
        <w:tc>
          <w:tcPr>
            <w:tcW w:w="340" w:type="dxa"/>
            <w:vMerge w:val="continue"/>
            <w:tcBorders>
              <w:top w:val="nil"/>
              <w:bottom w:val="nil"/>
            </w:tcBorders>
            <w:vAlign w:val="top"/>
          </w:tcPr>
          <w:p w14:paraId="794B1C3D">
            <w:pPr>
              <w:rPr>
                <w:rFonts w:ascii="Arial"/>
                <w:sz w:val="21"/>
              </w:rPr>
            </w:pPr>
          </w:p>
        </w:tc>
        <w:tc>
          <w:tcPr>
            <w:tcW w:w="929" w:type="dxa"/>
            <w:vAlign w:val="top"/>
          </w:tcPr>
          <w:p w14:paraId="1D8B765A">
            <w:pPr>
              <w:pStyle w:val="6"/>
              <w:spacing w:before="68" w:line="186" w:lineRule="auto"/>
              <w:ind w:left="71"/>
              <w:rPr>
                <w:sz w:val="21"/>
                <w:szCs w:val="21"/>
              </w:rPr>
            </w:pPr>
            <w:r>
              <w:rPr>
                <w:spacing w:val="-2"/>
                <w:sz w:val="21"/>
                <w:szCs w:val="21"/>
              </w:rPr>
              <w:t>2.6.4</w:t>
            </w:r>
          </w:p>
        </w:tc>
        <w:tc>
          <w:tcPr>
            <w:tcW w:w="4635" w:type="dxa"/>
            <w:vAlign w:val="top"/>
          </w:tcPr>
          <w:p w14:paraId="42AE1C38">
            <w:pPr>
              <w:pStyle w:val="6"/>
              <w:spacing w:before="45" w:line="206" w:lineRule="auto"/>
              <w:ind w:left="101"/>
              <w:rPr>
                <w:sz w:val="21"/>
                <w:szCs w:val="21"/>
              </w:rPr>
            </w:pPr>
            <w:r>
              <w:rPr>
                <w:spacing w:val="6"/>
                <w:sz w:val="21"/>
                <w:szCs w:val="21"/>
              </w:rPr>
              <w:t>高压电力电缆</w:t>
            </w:r>
            <w:r>
              <w:rPr>
                <w:sz w:val="21"/>
                <w:szCs w:val="21"/>
              </w:rPr>
              <w:t>ZRA</w:t>
            </w:r>
            <w:r>
              <w:rPr>
                <w:spacing w:val="6"/>
                <w:sz w:val="21"/>
                <w:szCs w:val="21"/>
              </w:rPr>
              <w:t>-</w:t>
            </w:r>
            <w:r>
              <w:rPr>
                <w:sz w:val="21"/>
                <w:szCs w:val="21"/>
              </w:rPr>
              <w:t>YJV</w:t>
            </w:r>
            <w:r>
              <w:rPr>
                <w:spacing w:val="6"/>
                <w:sz w:val="21"/>
                <w:szCs w:val="21"/>
              </w:rPr>
              <w:t>22-26/35</w:t>
            </w:r>
            <w:r>
              <w:rPr>
                <w:sz w:val="21"/>
                <w:szCs w:val="21"/>
              </w:rPr>
              <w:t>KV</w:t>
            </w:r>
            <w:r>
              <w:rPr>
                <w:spacing w:val="6"/>
                <w:sz w:val="21"/>
                <w:szCs w:val="21"/>
              </w:rPr>
              <w:t>-3×120</w:t>
            </w:r>
            <w:r>
              <w:rPr>
                <w:sz w:val="21"/>
                <w:szCs w:val="21"/>
              </w:rPr>
              <w:t>mm</w:t>
            </w:r>
            <w:r>
              <w:rPr>
                <w:spacing w:val="6"/>
                <w:sz w:val="21"/>
                <w:szCs w:val="21"/>
              </w:rPr>
              <w:t>²</w:t>
            </w:r>
          </w:p>
        </w:tc>
        <w:tc>
          <w:tcPr>
            <w:tcW w:w="659" w:type="dxa"/>
            <w:vAlign w:val="top"/>
          </w:tcPr>
          <w:p w14:paraId="26582435">
            <w:pPr>
              <w:pStyle w:val="6"/>
              <w:spacing w:before="47" w:line="204" w:lineRule="auto"/>
              <w:ind w:left="96"/>
              <w:rPr>
                <w:sz w:val="21"/>
                <w:szCs w:val="21"/>
              </w:rPr>
            </w:pPr>
            <w:r>
              <w:rPr>
                <w:sz w:val="21"/>
                <w:szCs w:val="21"/>
              </w:rPr>
              <w:t>米</w:t>
            </w:r>
          </w:p>
        </w:tc>
        <w:tc>
          <w:tcPr>
            <w:tcW w:w="949" w:type="dxa"/>
            <w:vAlign w:val="top"/>
          </w:tcPr>
          <w:p w14:paraId="01F5EA2E">
            <w:pPr>
              <w:pStyle w:val="6"/>
              <w:spacing w:before="68" w:line="186" w:lineRule="auto"/>
              <w:ind w:left="107"/>
              <w:rPr>
                <w:sz w:val="21"/>
                <w:szCs w:val="21"/>
              </w:rPr>
            </w:pPr>
            <w:r>
              <w:rPr>
                <w:spacing w:val="-4"/>
                <w:sz w:val="21"/>
                <w:szCs w:val="21"/>
              </w:rPr>
              <w:t>100.00</w:t>
            </w:r>
          </w:p>
        </w:tc>
        <w:tc>
          <w:tcPr>
            <w:tcW w:w="509" w:type="dxa"/>
            <w:vAlign w:val="top"/>
          </w:tcPr>
          <w:p w14:paraId="0802FDE5">
            <w:pPr>
              <w:rPr>
                <w:rFonts w:ascii="Arial"/>
                <w:sz w:val="21"/>
              </w:rPr>
            </w:pPr>
          </w:p>
        </w:tc>
        <w:tc>
          <w:tcPr>
            <w:tcW w:w="344" w:type="dxa"/>
            <w:vMerge w:val="continue"/>
            <w:tcBorders>
              <w:top w:val="nil"/>
              <w:bottom w:val="nil"/>
            </w:tcBorders>
            <w:vAlign w:val="top"/>
          </w:tcPr>
          <w:p w14:paraId="676FCC4C">
            <w:pPr>
              <w:rPr>
                <w:rFonts w:ascii="Arial"/>
                <w:sz w:val="21"/>
              </w:rPr>
            </w:pPr>
          </w:p>
        </w:tc>
      </w:tr>
      <w:tr w14:paraId="78514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694" w:type="dxa"/>
            <w:vMerge w:val="continue"/>
            <w:tcBorders>
              <w:top w:val="nil"/>
              <w:bottom w:val="nil"/>
            </w:tcBorders>
            <w:vAlign w:val="top"/>
          </w:tcPr>
          <w:p w14:paraId="02EABB0A">
            <w:pPr>
              <w:rPr>
                <w:rFonts w:ascii="Arial"/>
                <w:sz w:val="21"/>
              </w:rPr>
            </w:pPr>
          </w:p>
        </w:tc>
        <w:tc>
          <w:tcPr>
            <w:tcW w:w="340" w:type="dxa"/>
            <w:vMerge w:val="continue"/>
            <w:tcBorders>
              <w:top w:val="nil"/>
              <w:bottom w:val="nil"/>
            </w:tcBorders>
            <w:vAlign w:val="top"/>
          </w:tcPr>
          <w:p w14:paraId="38E44431">
            <w:pPr>
              <w:rPr>
                <w:rFonts w:ascii="Arial"/>
                <w:sz w:val="21"/>
              </w:rPr>
            </w:pPr>
          </w:p>
        </w:tc>
        <w:tc>
          <w:tcPr>
            <w:tcW w:w="929" w:type="dxa"/>
            <w:vAlign w:val="top"/>
          </w:tcPr>
          <w:p w14:paraId="54757100">
            <w:pPr>
              <w:spacing w:line="258" w:lineRule="auto"/>
              <w:rPr>
                <w:rFonts w:ascii="Arial"/>
                <w:sz w:val="21"/>
              </w:rPr>
            </w:pPr>
          </w:p>
          <w:p w14:paraId="58D92F10">
            <w:pPr>
              <w:pStyle w:val="6"/>
              <w:spacing w:before="68" w:line="239" w:lineRule="auto"/>
              <w:ind w:left="71"/>
              <w:rPr>
                <w:sz w:val="21"/>
                <w:szCs w:val="21"/>
              </w:rPr>
            </w:pPr>
            <w:r>
              <w:rPr>
                <w:spacing w:val="-2"/>
                <w:sz w:val="21"/>
                <w:szCs w:val="21"/>
              </w:rPr>
              <w:t>2.6.5</w:t>
            </w:r>
          </w:p>
        </w:tc>
        <w:tc>
          <w:tcPr>
            <w:tcW w:w="4635" w:type="dxa"/>
            <w:vAlign w:val="top"/>
          </w:tcPr>
          <w:p w14:paraId="37942A85">
            <w:pPr>
              <w:pStyle w:val="6"/>
              <w:spacing w:before="28" w:line="223" w:lineRule="auto"/>
              <w:ind w:left="101" w:right="8"/>
              <w:jc w:val="both"/>
              <w:rPr>
                <w:sz w:val="21"/>
                <w:szCs w:val="21"/>
              </w:rPr>
            </w:pPr>
            <w:r>
              <w:rPr>
                <w:spacing w:val="-16"/>
                <w:sz w:val="21"/>
                <w:szCs w:val="21"/>
              </w:rPr>
              <w:t>高</w:t>
            </w:r>
            <w:r>
              <w:rPr>
                <w:spacing w:val="3"/>
                <w:sz w:val="21"/>
                <w:szCs w:val="21"/>
              </w:rPr>
              <w:t xml:space="preserve">   </w:t>
            </w:r>
            <w:r>
              <w:rPr>
                <w:spacing w:val="-16"/>
                <w:sz w:val="21"/>
                <w:szCs w:val="21"/>
              </w:rPr>
              <w:t>压</w:t>
            </w:r>
            <w:r>
              <w:rPr>
                <w:spacing w:val="12"/>
                <w:sz w:val="21"/>
                <w:szCs w:val="21"/>
              </w:rPr>
              <w:t xml:space="preserve">   </w:t>
            </w:r>
            <w:r>
              <w:rPr>
                <w:spacing w:val="-16"/>
                <w:sz w:val="21"/>
                <w:szCs w:val="21"/>
              </w:rPr>
              <w:t>电</w:t>
            </w:r>
            <w:r>
              <w:rPr>
                <w:spacing w:val="5"/>
                <w:sz w:val="21"/>
                <w:szCs w:val="21"/>
              </w:rPr>
              <w:t xml:space="preserve">   </w:t>
            </w:r>
            <w:r>
              <w:rPr>
                <w:spacing w:val="-16"/>
                <w:sz w:val="21"/>
                <w:szCs w:val="21"/>
              </w:rPr>
              <w:t>力</w:t>
            </w:r>
            <w:r>
              <w:rPr>
                <w:spacing w:val="12"/>
                <w:sz w:val="21"/>
                <w:szCs w:val="21"/>
              </w:rPr>
              <w:t xml:space="preserve">   </w:t>
            </w:r>
            <w:r>
              <w:rPr>
                <w:spacing w:val="-16"/>
                <w:sz w:val="21"/>
                <w:szCs w:val="21"/>
              </w:rPr>
              <w:t>电</w:t>
            </w:r>
            <w:r>
              <w:rPr>
                <w:spacing w:val="4"/>
                <w:sz w:val="21"/>
                <w:szCs w:val="21"/>
              </w:rPr>
              <w:t xml:space="preserve">   </w:t>
            </w:r>
            <w:r>
              <w:rPr>
                <w:spacing w:val="-16"/>
                <w:sz w:val="21"/>
                <w:szCs w:val="21"/>
              </w:rPr>
              <w:t>缆</w:t>
            </w:r>
            <w:r>
              <w:rPr>
                <w:spacing w:val="5"/>
                <w:sz w:val="21"/>
                <w:szCs w:val="21"/>
              </w:rPr>
              <w:t xml:space="preserve">   </w:t>
            </w:r>
            <w:r>
              <w:rPr>
                <w:spacing w:val="-16"/>
                <w:sz w:val="21"/>
                <w:szCs w:val="21"/>
              </w:rPr>
              <w:t>终</w:t>
            </w:r>
            <w:r>
              <w:rPr>
                <w:spacing w:val="4"/>
                <w:sz w:val="21"/>
                <w:szCs w:val="21"/>
              </w:rPr>
              <w:t xml:space="preserve">   </w:t>
            </w:r>
            <w:r>
              <w:rPr>
                <w:spacing w:val="-16"/>
                <w:sz w:val="21"/>
                <w:szCs w:val="21"/>
              </w:rPr>
              <w:t>端</w:t>
            </w:r>
            <w:r>
              <w:rPr>
                <w:spacing w:val="5"/>
                <w:sz w:val="21"/>
                <w:szCs w:val="21"/>
              </w:rPr>
              <w:t xml:space="preserve">   </w:t>
            </w:r>
            <w:r>
              <w:rPr>
                <w:spacing w:val="-16"/>
                <w:sz w:val="21"/>
                <w:szCs w:val="21"/>
              </w:rPr>
              <w:t>与</w:t>
            </w:r>
            <w:r>
              <w:rPr>
                <w:sz w:val="21"/>
                <w:szCs w:val="21"/>
              </w:rPr>
              <w:t xml:space="preserve">  ZRA</w:t>
            </w:r>
            <w:r>
              <w:rPr>
                <w:spacing w:val="4"/>
                <w:sz w:val="21"/>
                <w:szCs w:val="21"/>
              </w:rPr>
              <w:t>-</w:t>
            </w:r>
            <w:r>
              <w:rPr>
                <w:sz w:val="21"/>
                <w:szCs w:val="21"/>
              </w:rPr>
              <w:t>YJV</w:t>
            </w:r>
            <w:r>
              <w:rPr>
                <w:spacing w:val="4"/>
                <w:sz w:val="21"/>
                <w:szCs w:val="21"/>
              </w:rPr>
              <w:t>22-26/35</w:t>
            </w:r>
            <w:r>
              <w:rPr>
                <w:sz w:val="21"/>
                <w:szCs w:val="21"/>
              </w:rPr>
              <w:t>kV</w:t>
            </w:r>
            <w:r>
              <w:rPr>
                <w:spacing w:val="4"/>
                <w:sz w:val="21"/>
                <w:szCs w:val="21"/>
              </w:rPr>
              <w:t>-3×1205</w:t>
            </w:r>
            <w:r>
              <w:rPr>
                <w:sz w:val="21"/>
                <w:szCs w:val="21"/>
              </w:rPr>
              <w:t>mm</w:t>
            </w:r>
            <w:r>
              <w:rPr>
                <w:spacing w:val="4"/>
                <w:sz w:val="21"/>
                <w:szCs w:val="21"/>
              </w:rPr>
              <w:t>²电力电缆配套，</w:t>
            </w:r>
            <w:r>
              <w:rPr>
                <w:spacing w:val="7"/>
                <w:sz w:val="21"/>
                <w:szCs w:val="21"/>
              </w:rPr>
              <w:t xml:space="preserve"> </w:t>
            </w:r>
            <w:r>
              <w:rPr>
                <w:spacing w:val="4"/>
                <w:sz w:val="21"/>
                <w:szCs w:val="21"/>
              </w:rPr>
              <w:t>户外型</w:t>
            </w:r>
          </w:p>
        </w:tc>
        <w:tc>
          <w:tcPr>
            <w:tcW w:w="659" w:type="dxa"/>
            <w:vAlign w:val="top"/>
          </w:tcPr>
          <w:p w14:paraId="1ABE0534">
            <w:pPr>
              <w:spacing w:line="250" w:lineRule="auto"/>
              <w:rPr>
                <w:rFonts w:ascii="Arial"/>
                <w:sz w:val="21"/>
              </w:rPr>
            </w:pPr>
          </w:p>
          <w:p w14:paraId="2E34F303">
            <w:pPr>
              <w:pStyle w:val="6"/>
              <w:spacing w:before="68" w:line="230" w:lineRule="auto"/>
              <w:ind w:left="96"/>
              <w:rPr>
                <w:sz w:val="21"/>
                <w:szCs w:val="21"/>
              </w:rPr>
            </w:pPr>
            <w:r>
              <w:rPr>
                <w:sz w:val="21"/>
                <w:szCs w:val="21"/>
              </w:rPr>
              <w:t>组</w:t>
            </w:r>
          </w:p>
        </w:tc>
        <w:tc>
          <w:tcPr>
            <w:tcW w:w="949" w:type="dxa"/>
            <w:vAlign w:val="top"/>
          </w:tcPr>
          <w:p w14:paraId="2272516D">
            <w:pPr>
              <w:spacing w:line="258" w:lineRule="auto"/>
              <w:rPr>
                <w:rFonts w:ascii="Arial"/>
                <w:sz w:val="21"/>
              </w:rPr>
            </w:pPr>
          </w:p>
          <w:p w14:paraId="61B42DF7">
            <w:pPr>
              <w:pStyle w:val="6"/>
              <w:spacing w:before="68" w:line="239" w:lineRule="auto"/>
              <w:ind w:left="107"/>
              <w:rPr>
                <w:sz w:val="21"/>
                <w:szCs w:val="21"/>
              </w:rPr>
            </w:pPr>
            <w:r>
              <w:rPr>
                <w:spacing w:val="-5"/>
                <w:sz w:val="21"/>
                <w:szCs w:val="21"/>
              </w:rPr>
              <w:t>1.00</w:t>
            </w:r>
          </w:p>
        </w:tc>
        <w:tc>
          <w:tcPr>
            <w:tcW w:w="509" w:type="dxa"/>
            <w:vAlign w:val="top"/>
          </w:tcPr>
          <w:p w14:paraId="72B93F99">
            <w:pPr>
              <w:rPr>
                <w:rFonts w:ascii="Arial"/>
                <w:sz w:val="21"/>
              </w:rPr>
            </w:pPr>
          </w:p>
        </w:tc>
        <w:tc>
          <w:tcPr>
            <w:tcW w:w="344" w:type="dxa"/>
            <w:vMerge w:val="continue"/>
            <w:tcBorders>
              <w:top w:val="nil"/>
              <w:bottom w:val="nil"/>
            </w:tcBorders>
            <w:vAlign w:val="top"/>
          </w:tcPr>
          <w:p w14:paraId="79CB6032">
            <w:pPr>
              <w:rPr>
                <w:rFonts w:ascii="Arial"/>
                <w:sz w:val="21"/>
              </w:rPr>
            </w:pPr>
          </w:p>
        </w:tc>
      </w:tr>
      <w:tr w14:paraId="283A4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694" w:type="dxa"/>
            <w:vMerge w:val="continue"/>
            <w:tcBorders>
              <w:top w:val="nil"/>
            </w:tcBorders>
            <w:vAlign w:val="top"/>
          </w:tcPr>
          <w:p w14:paraId="54F6156C">
            <w:pPr>
              <w:rPr>
                <w:rFonts w:ascii="Arial"/>
                <w:sz w:val="21"/>
              </w:rPr>
            </w:pPr>
          </w:p>
        </w:tc>
        <w:tc>
          <w:tcPr>
            <w:tcW w:w="340" w:type="dxa"/>
            <w:vMerge w:val="continue"/>
            <w:tcBorders>
              <w:top w:val="nil"/>
            </w:tcBorders>
            <w:vAlign w:val="top"/>
          </w:tcPr>
          <w:p w14:paraId="15B48141">
            <w:pPr>
              <w:rPr>
                <w:rFonts w:ascii="Arial"/>
                <w:sz w:val="21"/>
              </w:rPr>
            </w:pPr>
          </w:p>
        </w:tc>
        <w:tc>
          <w:tcPr>
            <w:tcW w:w="929" w:type="dxa"/>
            <w:vAlign w:val="top"/>
          </w:tcPr>
          <w:p w14:paraId="0244B000">
            <w:pPr>
              <w:pStyle w:val="6"/>
              <w:spacing w:before="130" w:line="232" w:lineRule="auto"/>
              <w:ind w:left="71"/>
              <w:rPr>
                <w:sz w:val="21"/>
                <w:szCs w:val="21"/>
              </w:rPr>
            </w:pPr>
            <w:r>
              <w:rPr>
                <w:spacing w:val="-2"/>
                <w:sz w:val="21"/>
                <w:szCs w:val="21"/>
              </w:rPr>
              <w:t>2.6.6</w:t>
            </w:r>
          </w:p>
        </w:tc>
        <w:tc>
          <w:tcPr>
            <w:tcW w:w="4635" w:type="dxa"/>
            <w:vAlign w:val="top"/>
          </w:tcPr>
          <w:p w14:paraId="7EDBFFED">
            <w:pPr>
              <w:pStyle w:val="6"/>
              <w:spacing w:before="108" w:line="219" w:lineRule="auto"/>
              <w:ind w:left="101"/>
              <w:rPr>
                <w:sz w:val="21"/>
                <w:szCs w:val="21"/>
              </w:rPr>
            </w:pPr>
            <w:r>
              <w:rPr>
                <w:spacing w:val="-15"/>
                <w:sz w:val="21"/>
                <w:szCs w:val="21"/>
              </w:rPr>
              <w:t>高</w:t>
            </w:r>
            <w:r>
              <w:rPr>
                <w:spacing w:val="5"/>
                <w:sz w:val="21"/>
                <w:szCs w:val="21"/>
              </w:rPr>
              <w:t xml:space="preserve">   </w:t>
            </w:r>
            <w:r>
              <w:rPr>
                <w:spacing w:val="-15"/>
                <w:sz w:val="21"/>
                <w:szCs w:val="21"/>
              </w:rPr>
              <w:t>压</w:t>
            </w:r>
            <w:r>
              <w:rPr>
                <w:spacing w:val="13"/>
                <w:sz w:val="21"/>
                <w:szCs w:val="21"/>
              </w:rPr>
              <w:t xml:space="preserve">   </w:t>
            </w:r>
            <w:r>
              <w:rPr>
                <w:spacing w:val="-15"/>
                <w:sz w:val="21"/>
                <w:szCs w:val="21"/>
              </w:rPr>
              <w:t>电</w:t>
            </w:r>
            <w:r>
              <w:rPr>
                <w:spacing w:val="6"/>
                <w:sz w:val="21"/>
                <w:szCs w:val="21"/>
              </w:rPr>
              <w:t xml:space="preserve">   </w:t>
            </w:r>
            <w:r>
              <w:rPr>
                <w:spacing w:val="-15"/>
                <w:sz w:val="21"/>
                <w:szCs w:val="21"/>
              </w:rPr>
              <w:t>力</w:t>
            </w:r>
            <w:r>
              <w:rPr>
                <w:spacing w:val="12"/>
                <w:sz w:val="21"/>
                <w:szCs w:val="21"/>
              </w:rPr>
              <w:t xml:space="preserve">   </w:t>
            </w:r>
            <w:r>
              <w:rPr>
                <w:spacing w:val="-15"/>
                <w:sz w:val="21"/>
                <w:szCs w:val="21"/>
              </w:rPr>
              <w:t>电</w:t>
            </w:r>
            <w:r>
              <w:rPr>
                <w:spacing w:val="5"/>
                <w:sz w:val="21"/>
                <w:szCs w:val="21"/>
              </w:rPr>
              <w:t xml:space="preserve">   </w:t>
            </w:r>
            <w:r>
              <w:rPr>
                <w:spacing w:val="-15"/>
                <w:sz w:val="21"/>
                <w:szCs w:val="21"/>
              </w:rPr>
              <w:t>缆</w:t>
            </w:r>
            <w:r>
              <w:rPr>
                <w:spacing w:val="6"/>
                <w:sz w:val="21"/>
                <w:szCs w:val="21"/>
              </w:rPr>
              <w:t xml:space="preserve">   </w:t>
            </w:r>
            <w:r>
              <w:rPr>
                <w:spacing w:val="-15"/>
                <w:sz w:val="21"/>
                <w:szCs w:val="21"/>
              </w:rPr>
              <w:t>终</w:t>
            </w:r>
            <w:r>
              <w:rPr>
                <w:spacing w:val="5"/>
                <w:sz w:val="21"/>
                <w:szCs w:val="21"/>
              </w:rPr>
              <w:t xml:space="preserve">   </w:t>
            </w:r>
            <w:r>
              <w:rPr>
                <w:spacing w:val="-15"/>
                <w:sz w:val="21"/>
                <w:szCs w:val="21"/>
              </w:rPr>
              <w:t>端</w:t>
            </w:r>
            <w:r>
              <w:rPr>
                <w:spacing w:val="5"/>
                <w:sz w:val="21"/>
                <w:szCs w:val="21"/>
              </w:rPr>
              <w:t xml:space="preserve">   </w:t>
            </w:r>
            <w:r>
              <w:rPr>
                <w:spacing w:val="-15"/>
                <w:sz w:val="21"/>
                <w:szCs w:val="21"/>
              </w:rPr>
              <w:t>与</w:t>
            </w:r>
          </w:p>
        </w:tc>
        <w:tc>
          <w:tcPr>
            <w:tcW w:w="659" w:type="dxa"/>
            <w:vAlign w:val="top"/>
          </w:tcPr>
          <w:p w14:paraId="5991B0C5">
            <w:pPr>
              <w:pStyle w:val="6"/>
              <w:spacing w:before="120" w:line="230" w:lineRule="auto"/>
              <w:ind w:left="96"/>
              <w:rPr>
                <w:sz w:val="21"/>
                <w:szCs w:val="21"/>
              </w:rPr>
            </w:pPr>
            <w:r>
              <w:rPr>
                <w:sz w:val="21"/>
                <w:szCs w:val="21"/>
              </w:rPr>
              <w:t>组</w:t>
            </w:r>
          </w:p>
        </w:tc>
        <w:tc>
          <w:tcPr>
            <w:tcW w:w="949" w:type="dxa"/>
            <w:vAlign w:val="top"/>
          </w:tcPr>
          <w:p w14:paraId="4266A6A5">
            <w:pPr>
              <w:pStyle w:val="6"/>
              <w:spacing w:before="130" w:line="232" w:lineRule="auto"/>
              <w:ind w:left="107"/>
              <w:rPr>
                <w:sz w:val="21"/>
                <w:szCs w:val="21"/>
              </w:rPr>
            </w:pPr>
            <w:r>
              <w:rPr>
                <w:spacing w:val="-5"/>
                <w:sz w:val="21"/>
                <w:szCs w:val="21"/>
              </w:rPr>
              <w:t>1.00</w:t>
            </w:r>
          </w:p>
        </w:tc>
        <w:tc>
          <w:tcPr>
            <w:tcW w:w="509" w:type="dxa"/>
            <w:vAlign w:val="top"/>
          </w:tcPr>
          <w:p w14:paraId="4EFEADC9">
            <w:pPr>
              <w:rPr>
                <w:rFonts w:ascii="Arial"/>
                <w:sz w:val="21"/>
              </w:rPr>
            </w:pPr>
          </w:p>
        </w:tc>
        <w:tc>
          <w:tcPr>
            <w:tcW w:w="344" w:type="dxa"/>
            <w:vMerge w:val="continue"/>
            <w:tcBorders>
              <w:top w:val="nil"/>
            </w:tcBorders>
            <w:vAlign w:val="top"/>
          </w:tcPr>
          <w:p w14:paraId="1B6D73F6">
            <w:pPr>
              <w:rPr>
                <w:rFonts w:ascii="Arial"/>
                <w:sz w:val="21"/>
              </w:rPr>
            </w:pPr>
          </w:p>
        </w:tc>
      </w:tr>
    </w:tbl>
    <w:p w14:paraId="5F014A9C">
      <w:pPr>
        <w:pStyle w:val="2"/>
      </w:pPr>
    </w:p>
    <w:p w14:paraId="06B19A1B">
      <w:pPr>
        <w:sectPr>
          <w:footerReference r:id="rId71" w:type="default"/>
          <w:pgSz w:w="11910" w:h="16830"/>
          <w:pgMar w:top="400" w:right="1415" w:bottom="1245" w:left="1425" w:header="0" w:footer="1083" w:gutter="0"/>
          <w:cols w:space="720" w:num="1"/>
        </w:sectPr>
      </w:pPr>
    </w:p>
    <w:p w14:paraId="304CEA8C">
      <w:pPr>
        <w:spacing w:before="15"/>
      </w:pPr>
    </w:p>
    <w:p w14:paraId="70F4C676">
      <w:pPr>
        <w:spacing w:before="15"/>
      </w:pPr>
    </w:p>
    <w:p w14:paraId="5FA250ED">
      <w:pPr>
        <w:spacing w:before="15"/>
      </w:pPr>
    </w:p>
    <w:p w14:paraId="495C7A7D">
      <w:pPr>
        <w:spacing w:before="14"/>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30"/>
        <w:gridCol w:w="949"/>
        <w:gridCol w:w="4615"/>
        <w:gridCol w:w="659"/>
        <w:gridCol w:w="939"/>
        <w:gridCol w:w="529"/>
        <w:gridCol w:w="334"/>
      </w:tblGrid>
      <w:tr w14:paraId="2078F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04" w:type="dxa"/>
            <w:vMerge w:val="restart"/>
            <w:tcBorders>
              <w:bottom w:val="nil"/>
            </w:tcBorders>
            <w:vAlign w:val="top"/>
          </w:tcPr>
          <w:p w14:paraId="14B31E17">
            <w:pPr>
              <w:rPr>
                <w:rFonts w:ascii="Arial"/>
                <w:sz w:val="21"/>
              </w:rPr>
            </w:pPr>
          </w:p>
        </w:tc>
        <w:tc>
          <w:tcPr>
            <w:tcW w:w="330" w:type="dxa"/>
            <w:vMerge w:val="restart"/>
            <w:tcBorders>
              <w:bottom w:val="nil"/>
            </w:tcBorders>
            <w:vAlign w:val="top"/>
          </w:tcPr>
          <w:p w14:paraId="13382624">
            <w:pPr>
              <w:rPr>
                <w:rFonts w:ascii="Arial"/>
                <w:sz w:val="21"/>
              </w:rPr>
            </w:pPr>
          </w:p>
        </w:tc>
        <w:tc>
          <w:tcPr>
            <w:tcW w:w="949" w:type="dxa"/>
            <w:vAlign w:val="top"/>
          </w:tcPr>
          <w:p w14:paraId="695D4111">
            <w:pPr>
              <w:rPr>
                <w:rFonts w:ascii="Arial"/>
                <w:sz w:val="21"/>
              </w:rPr>
            </w:pPr>
          </w:p>
        </w:tc>
        <w:tc>
          <w:tcPr>
            <w:tcW w:w="4615" w:type="dxa"/>
            <w:vAlign w:val="top"/>
          </w:tcPr>
          <w:p w14:paraId="4915A188">
            <w:pPr>
              <w:pStyle w:val="6"/>
              <w:spacing w:before="41" w:line="211" w:lineRule="auto"/>
              <w:ind w:left="101" w:right="2" w:hanging="10"/>
            </w:pPr>
            <w:r>
              <w:t xml:space="preserve">ZRA-YJV22-26/35kV-3×120mm2电力电缆配套， </w:t>
            </w:r>
            <w:r>
              <w:rPr>
                <w:spacing w:val="4"/>
              </w:rPr>
              <w:t>户内型</w:t>
            </w:r>
          </w:p>
        </w:tc>
        <w:tc>
          <w:tcPr>
            <w:tcW w:w="659" w:type="dxa"/>
            <w:vAlign w:val="top"/>
          </w:tcPr>
          <w:p w14:paraId="0847D683">
            <w:pPr>
              <w:rPr>
                <w:rFonts w:ascii="Arial"/>
                <w:sz w:val="21"/>
              </w:rPr>
            </w:pPr>
          </w:p>
        </w:tc>
        <w:tc>
          <w:tcPr>
            <w:tcW w:w="939" w:type="dxa"/>
            <w:vAlign w:val="top"/>
          </w:tcPr>
          <w:p w14:paraId="11C129CB">
            <w:pPr>
              <w:rPr>
                <w:rFonts w:ascii="Arial"/>
                <w:sz w:val="21"/>
              </w:rPr>
            </w:pPr>
          </w:p>
        </w:tc>
        <w:tc>
          <w:tcPr>
            <w:tcW w:w="529" w:type="dxa"/>
            <w:vAlign w:val="top"/>
          </w:tcPr>
          <w:p w14:paraId="7E2E5D6C">
            <w:pPr>
              <w:rPr>
                <w:rFonts w:ascii="Arial"/>
                <w:sz w:val="21"/>
              </w:rPr>
            </w:pPr>
          </w:p>
        </w:tc>
        <w:tc>
          <w:tcPr>
            <w:tcW w:w="334" w:type="dxa"/>
            <w:vMerge w:val="restart"/>
            <w:tcBorders>
              <w:bottom w:val="nil"/>
            </w:tcBorders>
            <w:vAlign w:val="top"/>
          </w:tcPr>
          <w:p w14:paraId="4984BED4">
            <w:pPr>
              <w:rPr>
                <w:rFonts w:ascii="Arial"/>
                <w:sz w:val="21"/>
              </w:rPr>
            </w:pPr>
          </w:p>
        </w:tc>
      </w:tr>
      <w:tr w14:paraId="4FD78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04" w:type="dxa"/>
            <w:vMerge w:val="continue"/>
            <w:tcBorders>
              <w:top w:val="nil"/>
              <w:bottom w:val="nil"/>
            </w:tcBorders>
            <w:vAlign w:val="top"/>
          </w:tcPr>
          <w:p w14:paraId="272A4A41">
            <w:pPr>
              <w:rPr>
                <w:rFonts w:ascii="Arial"/>
                <w:sz w:val="21"/>
              </w:rPr>
            </w:pPr>
          </w:p>
        </w:tc>
        <w:tc>
          <w:tcPr>
            <w:tcW w:w="330" w:type="dxa"/>
            <w:vMerge w:val="continue"/>
            <w:tcBorders>
              <w:top w:val="nil"/>
              <w:bottom w:val="nil"/>
            </w:tcBorders>
            <w:vAlign w:val="top"/>
          </w:tcPr>
          <w:p w14:paraId="79F370B9">
            <w:pPr>
              <w:rPr>
                <w:rFonts w:ascii="Arial"/>
                <w:sz w:val="21"/>
              </w:rPr>
            </w:pPr>
          </w:p>
        </w:tc>
        <w:tc>
          <w:tcPr>
            <w:tcW w:w="949" w:type="dxa"/>
            <w:vAlign w:val="top"/>
          </w:tcPr>
          <w:p w14:paraId="0D33B3FE">
            <w:pPr>
              <w:pStyle w:val="6"/>
              <w:spacing w:before="51" w:line="183" w:lineRule="auto"/>
              <w:ind w:left="81"/>
            </w:pPr>
            <w:r>
              <w:rPr>
                <w:spacing w:val="-2"/>
              </w:rPr>
              <w:t>2.6.7</w:t>
            </w:r>
          </w:p>
        </w:tc>
        <w:tc>
          <w:tcPr>
            <w:tcW w:w="4615" w:type="dxa"/>
            <w:vAlign w:val="top"/>
          </w:tcPr>
          <w:p w14:paraId="2121F050">
            <w:pPr>
              <w:pStyle w:val="6"/>
              <w:spacing w:before="28" w:line="203" w:lineRule="auto"/>
              <w:ind w:left="101"/>
            </w:pPr>
            <w:r>
              <w:rPr>
                <w:spacing w:val="7"/>
              </w:rPr>
              <w:t>高压电力电缆</w:t>
            </w:r>
            <w:r>
              <w:t>ZRA</w:t>
            </w:r>
            <w:r>
              <w:rPr>
                <w:spacing w:val="7"/>
              </w:rPr>
              <w:t>-</w:t>
            </w:r>
            <w:r>
              <w:t>YJV</w:t>
            </w:r>
            <w:r>
              <w:rPr>
                <w:spacing w:val="7"/>
              </w:rPr>
              <w:t>22-8.7/15</w:t>
            </w:r>
            <w:r>
              <w:t>kV</w:t>
            </w:r>
            <w:r>
              <w:rPr>
                <w:spacing w:val="7"/>
              </w:rPr>
              <w:t>-3×95</w:t>
            </w:r>
            <w:r>
              <w:t>mm</w:t>
            </w:r>
            <w:r>
              <w:rPr>
                <w:spacing w:val="7"/>
              </w:rPr>
              <w:t>²</w:t>
            </w:r>
          </w:p>
        </w:tc>
        <w:tc>
          <w:tcPr>
            <w:tcW w:w="659" w:type="dxa"/>
            <w:vAlign w:val="top"/>
          </w:tcPr>
          <w:p w14:paraId="0BA57D73">
            <w:pPr>
              <w:pStyle w:val="6"/>
              <w:spacing w:before="29" w:line="202" w:lineRule="auto"/>
              <w:ind w:left="106"/>
            </w:pPr>
            <w:r>
              <w:t>米</w:t>
            </w:r>
          </w:p>
        </w:tc>
        <w:tc>
          <w:tcPr>
            <w:tcW w:w="939" w:type="dxa"/>
            <w:vAlign w:val="top"/>
          </w:tcPr>
          <w:p w14:paraId="2368BA15">
            <w:pPr>
              <w:pStyle w:val="6"/>
              <w:spacing w:before="51" w:line="183" w:lineRule="auto"/>
              <w:ind w:left="118"/>
            </w:pPr>
            <w:r>
              <w:rPr>
                <w:spacing w:val="-4"/>
              </w:rPr>
              <w:t>150.00</w:t>
            </w:r>
          </w:p>
        </w:tc>
        <w:tc>
          <w:tcPr>
            <w:tcW w:w="529" w:type="dxa"/>
            <w:vAlign w:val="top"/>
          </w:tcPr>
          <w:p w14:paraId="14DBBF2B">
            <w:pPr>
              <w:rPr>
                <w:rFonts w:ascii="Arial"/>
                <w:sz w:val="21"/>
              </w:rPr>
            </w:pPr>
          </w:p>
        </w:tc>
        <w:tc>
          <w:tcPr>
            <w:tcW w:w="334" w:type="dxa"/>
            <w:vMerge w:val="continue"/>
            <w:tcBorders>
              <w:top w:val="nil"/>
              <w:bottom w:val="nil"/>
            </w:tcBorders>
            <w:vAlign w:val="top"/>
          </w:tcPr>
          <w:p w14:paraId="560C7316">
            <w:pPr>
              <w:rPr>
                <w:rFonts w:ascii="Arial"/>
                <w:sz w:val="21"/>
              </w:rPr>
            </w:pPr>
          </w:p>
        </w:tc>
      </w:tr>
      <w:tr w14:paraId="317D9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704" w:type="dxa"/>
            <w:vMerge w:val="continue"/>
            <w:tcBorders>
              <w:top w:val="nil"/>
              <w:bottom w:val="nil"/>
            </w:tcBorders>
            <w:vAlign w:val="top"/>
          </w:tcPr>
          <w:p w14:paraId="6371A2A8">
            <w:pPr>
              <w:rPr>
                <w:rFonts w:ascii="Arial"/>
                <w:sz w:val="21"/>
              </w:rPr>
            </w:pPr>
          </w:p>
        </w:tc>
        <w:tc>
          <w:tcPr>
            <w:tcW w:w="330" w:type="dxa"/>
            <w:vMerge w:val="continue"/>
            <w:tcBorders>
              <w:top w:val="nil"/>
              <w:bottom w:val="nil"/>
            </w:tcBorders>
            <w:vAlign w:val="top"/>
          </w:tcPr>
          <w:p w14:paraId="078DBBE0">
            <w:pPr>
              <w:rPr>
                <w:rFonts w:ascii="Arial"/>
                <w:sz w:val="21"/>
              </w:rPr>
            </w:pPr>
          </w:p>
        </w:tc>
        <w:tc>
          <w:tcPr>
            <w:tcW w:w="949" w:type="dxa"/>
            <w:vAlign w:val="top"/>
          </w:tcPr>
          <w:p w14:paraId="7ABBDE8B">
            <w:pPr>
              <w:spacing w:line="248" w:lineRule="auto"/>
              <w:rPr>
                <w:rFonts w:ascii="Arial"/>
                <w:sz w:val="21"/>
              </w:rPr>
            </w:pPr>
          </w:p>
          <w:p w14:paraId="173C24EA">
            <w:pPr>
              <w:pStyle w:val="6"/>
              <w:spacing w:before="72" w:line="239" w:lineRule="auto"/>
              <w:ind w:left="81"/>
            </w:pPr>
            <w:r>
              <w:rPr>
                <w:spacing w:val="-2"/>
              </w:rPr>
              <w:t>2.6.8</w:t>
            </w:r>
          </w:p>
        </w:tc>
        <w:tc>
          <w:tcPr>
            <w:tcW w:w="4615" w:type="dxa"/>
            <w:vAlign w:val="top"/>
          </w:tcPr>
          <w:p w14:paraId="6D30FA8E">
            <w:pPr>
              <w:pStyle w:val="6"/>
              <w:spacing w:before="8" w:line="221" w:lineRule="auto"/>
              <w:ind w:left="100" w:hanging="9"/>
              <w:jc w:val="both"/>
            </w:pPr>
            <w:r>
              <w:rPr>
                <w:spacing w:val="-14"/>
              </w:rPr>
              <w:t>高</w:t>
            </w:r>
            <w:r>
              <w:rPr>
                <w:spacing w:val="17"/>
              </w:rPr>
              <w:t xml:space="preserve">   </w:t>
            </w:r>
            <w:r>
              <w:rPr>
                <w:spacing w:val="-14"/>
              </w:rPr>
              <w:t>压</w:t>
            </w:r>
            <w:r>
              <w:rPr>
                <w:spacing w:val="25"/>
              </w:rPr>
              <w:t xml:space="preserve">   </w:t>
            </w:r>
            <w:r>
              <w:rPr>
                <w:spacing w:val="-14"/>
              </w:rPr>
              <w:t>电</w:t>
            </w:r>
            <w:r>
              <w:rPr>
                <w:spacing w:val="2"/>
              </w:rPr>
              <w:t xml:space="preserve">  </w:t>
            </w:r>
            <w:r>
              <w:rPr>
                <w:spacing w:val="-14"/>
              </w:rPr>
              <w:t>力</w:t>
            </w:r>
            <w:r>
              <w:rPr>
                <w:spacing w:val="25"/>
              </w:rPr>
              <w:t xml:space="preserve">   </w:t>
            </w:r>
            <w:r>
              <w:rPr>
                <w:spacing w:val="-14"/>
              </w:rPr>
              <w:t>电  缆</w:t>
            </w:r>
            <w:r>
              <w:rPr>
                <w:spacing w:val="2"/>
              </w:rPr>
              <w:t xml:space="preserve">  </w:t>
            </w:r>
            <w:r>
              <w:rPr>
                <w:spacing w:val="-14"/>
              </w:rPr>
              <w:t>终</w:t>
            </w:r>
            <w:r>
              <w:rPr>
                <w:spacing w:val="16"/>
              </w:rPr>
              <w:t xml:space="preserve">   </w:t>
            </w:r>
            <w:r>
              <w:rPr>
                <w:spacing w:val="-14"/>
              </w:rPr>
              <w:t>端</w:t>
            </w:r>
            <w:r>
              <w:rPr>
                <w:spacing w:val="19"/>
              </w:rPr>
              <w:t xml:space="preserve">   </w:t>
            </w:r>
            <w:r>
              <w:rPr>
                <w:spacing w:val="-14"/>
              </w:rPr>
              <w:t>与</w:t>
            </w:r>
            <w:r>
              <w:t xml:space="preserve"> ZRA-YJV22-8.7/15kV-3×95mm</w:t>
            </w:r>
            <w:r>
              <w:rPr>
                <w:spacing w:val="-1"/>
              </w:rPr>
              <w:t>2电力电缆配套，</w:t>
            </w:r>
            <w:r>
              <w:t xml:space="preserve"> </w:t>
            </w:r>
            <w:r>
              <w:rPr>
                <w:spacing w:val="4"/>
              </w:rPr>
              <w:t>户外型</w:t>
            </w:r>
          </w:p>
        </w:tc>
        <w:tc>
          <w:tcPr>
            <w:tcW w:w="659" w:type="dxa"/>
            <w:vAlign w:val="top"/>
          </w:tcPr>
          <w:p w14:paraId="3D535BF6">
            <w:pPr>
              <w:pStyle w:val="6"/>
              <w:spacing w:before="312" w:line="230" w:lineRule="auto"/>
              <w:ind w:left="106"/>
            </w:pPr>
            <w:r>
              <w:t>组</w:t>
            </w:r>
          </w:p>
        </w:tc>
        <w:tc>
          <w:tcPr>
            <w:tcW w:w="939" w:type="dxa"/>
            <w:vAlign w:val="top"/>
          </w:tcPr>
          <w:p w14:paraId="3114326A">
            <w:pPr>
              <w:spacing w:line="248" w:lineRule="auto"/>
              <w:rPr>
                <w:rFonts w:ascii="Arial"/>
                <w:sz w:val="21"/>
              </w:rPr>
            </w:pPr>
          </w:p>
          <w:p w14:paraId="57B5AB2E">
            <w:pPr>
              <w:pStyle w:val="6"/>
              <w:spacing w:before="72" w:line="239" w:lineRule="auto"/>
              <w:ind w:left="88"/>
            </w:pPr>
            <w:r>
              <w:rPr>
                <w:spacing w:val="-3"/>
              </w:rPr>
              <w:t>2.00</w:t>
            </w:r>
          </w:p>
        </w:tc>
        <w:tc>
          <w:tcPr>
            <w:tcW w:w="529" w:type="dxa"/>
            <w:vAlign w:val="top"/>
          </w:tcPr>
          <w:p w14:paraId="05C1EC6E">
            <w:pPr>
              <w:rPr>
                <w:rFonts w:ascii="Arial"/>
                <w:sz w:val="21"/>
              </w:rPr>
            </w:pPr>
          </w:p>
        </w:tc>
        <w:tc>
          <w:tcPr>
            <w:tcW w:w="334" w:type="dxa"/>
            <w:vMerge w:val="continue"/>
            <w:tcBorders>
              <w:top w:val="nil"/>
              <w:bottom w:val="nil"/>
            </w:tcBorders>
            <w:vAlign w:val="top"/>
          </w:tcPr>
          <w:p w14:paraId="3A616A6E">
            <w:pPr>
              <w:rPr>
                <w:rFonts w:ascii="Arial"/>
                <w:sz w:val="21"/>
              </w:rPr>
            </w:pPr>
          </w:p>
        </w:tc>
      </w:tr>
      <w:tr w14:paraId="62C8B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704" w:type="dxa"/>
            <w:vMerge w:val="continue"/>
            <w:tcBorders>
              <w:top w:val="nil"/>
              <w:bottom w:val="nil"/>
            </w:tcBorders>
            <w:vAlign w:val="top"/>
          </w:tcPr>
          <w:p w14:paraId="087AA467">
            <w:pPr>
              <w:rPr>
                <w:rFonts w:ascii="Arial"/>
                <w:sz w:val="21"/>
              </w:rPr>
            </w:pPr>
          </w:p>
        </w:tc>
        <w:tc>
          <w:tcPr>
            <w:tcW w:w="330" w:type="dxa"/>
            <w:vMerge w:val="continue"/>
            <w:tcBorders>
              <w:top w:val="nil"/>
              <w:bottom w:val="nil"/>
            </w:tcBorders>
            <w:vAlign w:val="top"/>
          </w:tcPr>
          <w:p w14:paraId="748E9208">
            <w:pPr>
              <w:rPr>
                <w:rFonts w:ascii="Arial"/>
                <w:sz w:val="21"/>
              </w:rPr>
            </w:pPr>
          </w:p>
        </w:tc>
        <w:tc>
          <w:tcPr>
            <w:tcW w:w="949" w:type="dxa"/>
            <w:vAlign w:val="top"/>
          </w:tcPr>
          <w:p w14:paraId="4CEB4CF3">
            <w:pPr>
              <w:spacing w:line="249" w:lineRule="auto"/>
              <w:rPr>
                <w:rFonts w:ascii="Arial"/>
                <w:sz w:val="21"/>
              </w:rPr>
            </w:pPr>
          </w:p>
          <w:p w14:paraId="72BF5386">
            <w:pPr>
              <w:pStyle w:val="6"/>
              <w:spacing w:before="72" w:line="239" w:lineRule="auto"/>
              <w:ind w:left="81"/>
            </w:pPr>
            <w:r>
              <w:rPr>
                <w:spacing w:val="-2"/>
              </w:rPr>
              <w:t>2.6.9</w:t>
            </w:r>
          </w:p>
        </w:tc>
        <w:tc>
          <w:tcPr>
            <w:tcW w:w="4615" w:type="dxa"/>
            <w:vAlign w:val="top"/>
          </w:tcPr>
          <w:p w14:paraId="07A98F04">
            <w:pPr>
              <w:pStyle w:val="6"/>
              <w:spacing w:before="40" w:line="217" w:lineRule="auto"/>
              <w:ind w:left="111"/>
            </w:pPr>
            <w:r>
              <w:rPr>
                <w:spacing w:val="-16"/>
              </w:rPr>
              <w:t>高</w:t>
            </w:r>
            <w:r>
              <w:rPr>
                <w:spacing w:val="9"/>
              </w:rPr>
              <w:t xml:space="preserve">  </w:t>
            </w:r>
            <w:r>
              <w:rPr>
                <w:spacing w:val="-16"/>
              </w:rPr>
              <w:t>压</w:t>
            </w:r>
            <w:r>
              <w:rPr>
                <w:spacing w:val="20"/>
              </w:rPr>
              <w:t xml:space="preserve">  </w:t>
            </w:r>
            <w:r>
              <w:rPr>
                <w:spacing w:val="-16"/>
              </w:rPr>
              <w:t>电</w:t>
            </w:r>
            <w:r>
              <w:rPr>
                <w:spacing w:val="8"/>
              </w:rPr>
              <w:t xml:space="preserve">  </w:t>
            </w:r>
            <w:r>
              <w:rPr>
                <w:spacing w:val="-16"/>
              </w:rPr>
              <w:t>力</w:t>
            </w:r>
            <w:r>
              <w:rPr>
                <w:spacing w:val="19"/>
              </w:rPr>
              <w:t xml:space="preserve">  </w:t>
            </w:r>
            <w:r>
              <w:rPr>
                <w:spacing w:val="-16"/>
              </w:rPr>
              <w:t>电</w:t>
            </w:r>
            <w:r>
              <w:rPr>
                <w:spacing w:val="7"/>
              </w:rPr>
              <w:t xml:space="preserve">  </w:t>
            </w:r>
            <w:r>
              <w:rPr>
                <w:spacing w:val="-16"/>
              </w:rPr>
              <w:t>缆</w:t>
            </w:r>
            <w:r>
              <w:rPr>
                <w:spacing w:val="8"/>
              </w:rPr>
              <w:t xml:space="preserve">  </w:t>
            </w:r>
            <w:r>
              <w:rPr>
                <w:spacing w:val="-16"/>
              </w:rPr>
              <w:t>终</w:t>
            </w:r>
            <w:r>
              <w:rPr>
                <w:spacing w:val="7"/>
              </w:rPr>
              <w:t xml:space="preserve">  </w:t>
            </w:r>
            <w:r>
              <w:rPr>
                <w:spacing w:val="-16"/>
              </w:rPr>
              <w:t>端</w:t>
            </w:r>
            <w:r>
              <w:rPr>
                <w:spacing w:val="9"/>
              </w:rPr>
              <w:t xml:space="preserve">  </w:t>
            </w:r>
            <w:r>
              <w:rPr>
                <w:spacing w:val="-16"/>
              </w:rPr>
              <w:t>与</w:t>
            </w:r>
          </w:p>
          <w:p w14:paraId="20B85BFD">
            <w:pPr>
              <w:pStyle w:val="6"/>
              <w:spacing w:before="2" w:line="213" w:lineRule="auto"/>
              <w:ind w:left="101"/>
            </w:pPr>
            <w:r>
              <w:t>ZRA-YJV22-8.7/15kV-3×95mm</w:t>
            </w:r>
            <w:r>
              <w:rPr>
                <w:spacing w:val="-1"/>
              </w:rPr>
              <w:t>2电力电缆配套，</w:t>
            </w:r>
            <w:r>
              <w:t xml:space="preserve"> </w:t>
            </w:r>
            <w:r>
              <w:rPr>
                <w:spacing w:val="4"/>
              </w:rPr>
              <w:t>户内型</w:t>
            </w:r>
          </w:p>
        </w:tc>
        <w:tc>
          <w:tcPr>
            <w:tcW w:w="659" w:type="dxa"/>
            <w:vAlign w:val="top"/>
          </w:tcPr>
          <w:p w14:paraId="23CC1AE5">
            <w:pPr>
              <w:rPr>
                <w:rFonts w:ascii="Arial"/>
                <w:sz w:val="21"/>
              </w:rPr>
            </w:pPr>
          </w:p>
          <w:p w14:paraId="6133E771">
            <w:pPr>
              <w:pStyle w:val="6"/>
              <w:spacing w:before="72" w:line="230" w:lineRule="auto"/>
              <w:ind w:left="76"/>
            </w:pPr>
            <w:r>
              <w:t>组</w:t>
            </w:r>
          </w:p>
        </w:tc>
        <w:tc>
          <w:tcPr>
            <w:tcW w:w="939" w:type="dxa"/>
            <w:vAlign w:val="top"/>
          </w:tcPr>
          <w:p w14:paraId="404D5F6B">
            <w:pPr>
              <w:spacing w:line="249" w:lineRule="auto"/>
              <w:rPr>
                <w:rFonts w:ascii="Arial"/>
                <w:sz w:val="21"/>
              </w:rPr>
            </w:pPr>
          </w:p>
          <w:p w14:paraId="32C4C733">
            <w:pPr>
              <w:pStyle w:val="6"/>
              <w:spacing w:before="72" w:line="239" w:lineRule="auto"/>
              <w:ind w:left="108"/>
            </w:pPr>
            <w:r>
              <w:rPr>
                <w:spacing w:val="-3"/>
              </w:rPr>
              <w:t>2.00</w:t>
            </w:r>
          </w:p>
        </w:tc>
        <w:tc>
          <w:tcPr>
            <w:tcW w:w="529" w:type="dxa"/>
            <w:vAlign w:val="top"/>
          </w:tcPr>
          <w:p w14:paraId="4E816827">
            <w:pPr>
              <w:rPr>
                <w:rFonts w:ascii="Arial"/>
                <w:sz w:val="21"/>
              </w:rPr>
            </w:pPr>
          </w:p>
        </w:tc>
        <w:tc>
          <w:tcPr>
            <w:tcW w:w="334" w:type="dxa"/>
            <w:vMerge w:val="continue"/>
            <w:tcBorders>
              <w:top w:val="nil"/>
              <w:bottom w:val="nil"/>
            </w:tcBorders>
            <w:vAlign w:val="top"/>
          </w:tcPr>
          <w:p w14:paraId="40804864">
            <w:pPr>
              <w:rPr>
                <w:rFonts w:ascii="Arial"/>
                <w:sz w:val="21"/>
              </w:rPr>
            </w:pPr>
          </w:p>
        </w:tc>
      </w:tr>
      <w:tr w14:paraId="7E477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04" w:type="dxa"/>
            <w:vMerge w:val="continue"/>
            <w:tcBorders>
              <w:top w:val="nil"/>
              <w:bottom w:val="nil"/>
            </w:tcBorders>
            <w:vAlign w:val="top"/>
          </w:tcPr>
          <w:p w14:paraId="0D92C280">
            <w:pPr>
              <w:rPr>
                <w:rFonts w:ascii="Arial"/>
                <w:sz w:val="21"/>
              </w:rPr>
            </w:pPr>
          </w:p>
        </w:tc>
        <w:tc>
          <w:tcPr>
            <w:tcW w:w="330" w:type="dxa"/>
            <w:vMerge w:val="continue"/>
            <w:tcBorders>
              <w:top w:val="nil"/>
              <w:bottom w:val="nil"/>
            </w:tcBorders>
            <w:vAlign w:val="top"/>
          </w:tcPr>
          <w:p w14:paraId="1C51F28E">
            <w:pPr>
              <w:rPr>
                <w:rFonts w:ascii="Arial"/>
                <w:sz w:val="21"/>
              </w:rPr>
            </w:pPr>
          </w:p>
        </w:tc>
        <w:tc>
          <w:tcPr>
            <w:tcW w:w="949" w:type="dxa"/>
            <w:vAlign w:val="top"/>
          </w:tcPr>
          <w:p w14:paraId="17E40D3C">
            <w:pPr>
              <w:pStyle w:val="6"/>
              <w:spacing w:before="43" w:line="173" w:lineRule="auto"/>
              <w:ind w:left="81"/>
            </w:pPr>
            <w:r>
              <w:rPr>
                <w:spacing w:val="-3"/>
              </w:rPr>
              <w:t>2.7</w:t>
            </w:r>
          </w:p>
        </w:tc>
        <w:tc>
          <w:tcPr>
            <w:tcW w:w="4615" w:type="dxa"/>
            <w:vAlign w:val="top"/>
          </w:tcPr>
          <w:p w14:paraId="21EB6664">
            <w:pPr>
              <w:pStyle w:val="6"/>
              <w:spacing w:before="23" w:line="190" w:lineRule="auto"/>
              <w:ind w:left="101"/>
            </w:pPr>
            <w:r>
              <w:rPr>
                <w:spacing w:val="-2"/>
              </w:rPr>
              <w:t>升压站接地</w:t>
            </w:r>
          </w:p>
        </w:tc>
        <w:tc>
          <w:tcPr>
            <w:tcW w:w="659" w:type="dxa"/>
            <w:vAlign w:val="top"/>
          </w:tcPr>
          <w:p w14:paraId="41982CF0">
            <w:pPr>
              <w:rPr>
                <w:rFonts w:ascii="Arial"/>
                <w:sz w:val="21"/>
              </w:rPr>
            </w:pPr>
          </w:p>
        </w:tc>
        <w:tc>
          <w:tcPr>
            <w:tcW w:w="939" w:type="dxa"/>
            <w:vAlign w:val="top"/>
          </w:tcPr>
          <w:p w14:paraId="33A92428">
            <w:pPr>
              <w:rPr>
                <w:rFonts w:ascii="Arial"/>
                <w:sz w:val="21"/>
              </w:rPr>
            </w:pPr>
          </w:p>
        </w:tc>
        <w:tc>
          <w:tcPr>
            <w:tcW w:w="529" w:type="dxa"/>
            <w:vAlign w:val="top"/>
          </w:tcPr>
          <w:p w14:paraId="01B1C8DD">
            <w:pPr>
              <w:rPr>
                <w:rFonts w:ascii="Arial"/>
                <w:sz w:val="21"/>
              </w:rPr>
            </w:pPr>
          </w:p>
        </w:tc>
        <w:tc>
          <w:tcPr>
            <w:tcW w:w="334" w:type="dxa"/>
            <w:vMerge w:val="continue"/>
            <w:tcBorders>
              <w:top w:val="nil"/>
              <w:bottom w:val="nil"/>
            </w:tcBorders>
            <w:vAlign w:val="top"/>
          </w:tcPr>
          <w:p w14:paraId="7563197C">
            <w:pPr>
              <w:rPr>
                <w:rFonts w:ascii="Arial"/>
                <w:sz w:val="21"/>
              </w:rPr>
            </w:pPr>
          </w:p>
        </w:tc>
      </w:tr>
      <w:tr w14:paraId="31B33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04" w:type="dxa"/>
            <w:vMerge w:val="continue"/>
            <w:tcBorders>
              <w:top w:val="nil"/>
              <w:bottom w:val="nil"/>
            </w:tcBorders>
            <w:vAlign w:val="top"/>
          </w:tcPr>
          <w:p w14:paraId="0B7113E0">
            <w:pPr>
              <w:rPr>
                <w:rFonts w:ascii="Arial"/>
                <w:sz w:val="21"/>
              </w:rPr>
            </w:pPr>
          </w:p>
        </w:tc>
        <w:tc>
          <w:tcPr>
            <w:tcW w:w="330" w:type="dxa"/>
            <w:vMerge w:val="continue"/>
            <w:tcBorders>
              <w:top w:val="nil"/>
              <w:bottom w:val="nil"/>
            </w:tcBorders>
            <w:vAlign w:val="top"/>
          </w:tcPr>
          <w:p w14:paraId="00249426">
            <w:pPr>
              <w:rPr>
                <w:rFonts w:ascii="Arial"/>
                <w:sz w:val="21"/>
              </w:rPr>
            </w:pPr>
          </w:p>
        </w:tc>
        <w:tc>
          <w:tcPr>
            <w:tcW w:w="949" w:type="dxa"/>
            <w:vAlign w:val="top"/>
          </w:tcPr>
          <w:p w14:paraId="3B6FB038">
            <w:pPr>
              <w:pStyle w:val="6"/>
              <w:spacing w:before="53" w:line="173" w:lineRule="auto"/>
              <w:ind w:left="81"/>
            </w:pPr>
            <w:r>
              <w:rPr>
                <w:spacing w:val="-2"/>
              </w:rPr>
              <w:t>2.7.1</w:t>
            </w:r>
          </w:p>
        </w:tc>
        <w:tc>
          <w:tcPr>
            <w:tcW w:w="4615" w:type="dxa"/>
            <w:vAlign w:val="top"/>
          </w:tcPr>
          <w:p w14:paraId="09B64704">
            <w:pPr>
              <w:pStyle w:val="6"/>
              <w:spacing w:before="31" w:line="192" w:lineRule="auto"/>
              <w:ind w:left="101"/>
            </w:pPr>
            <w:r>
              <w:rPr>
                <w:spacing w:val="1"/>
              </w:rPr>
              <w:t>热镀锌扁钢-60×6</w:t>
            </w:r>
          </w:p>
        </w:tc>
        <w:tc>
          <w:tcPr>
            <w:tcW w:w="659" w:type="dxa"/>
            <w:vAlign w:val="top"/>
          </w:tcPr>
          <w:p w14:paraId="69596069">
            <w:pPr>
              <w:pStyle w:val="6"/>
              <w:spacing w:before="31" w:line="192" w:lineRule="auto"/>
              <w:ind w:left="106"/>
            </w:pPr>
            <w:r>
              <w:t>米</w:t>
            </w:r>
          </w:p>
        </w:tc>
        <w:tc>
          <w:tcPr>
            <w:tcW w:w="939" w:type="dxa"/>
            <w:vAlign w:val="top"/>
          </w:tcPr>
          <w:p w14:paraId="21AE4772">
            <w:pPr>
              <w:pStyle w:val="6"/>
              <w:spacing w:before="53" w:line="173" w:lineRule="auto"/>
              <w:ind w:left="118"/>
            </w:pPr>
            <w:r>
              <w:rPr>
                <w:spacing w:val="-2"/>
              </w:rPr>
              <w:t>3000.00</w:t>
            </w:r>
          </w:p>
        </w:tc>
        <w:tc>
          <w:tcPr>
            <w:tcW w:w="529" w:type="dxa"/>
            <w:vAlign w:val="top"/>
          </w:tcPr>
          <w:p w14:paraId="2F57F021">
            <w:pPr>
              <w:rPr>
                <w:rFonts w:ascii="Arial"/>
                <w:sz w:val="21"/>
              </w:rPr>
            </w:pPr>
          </w:p>
        </w:tc>
        <w:tc>
          <w:tcPr>
            <w:tcW w:w="334" w:type="dxa"/>
            <w:vMerge w:val="continue"/>
            <w:tcBorders>
              <w:top w:val="nil"/>
              <w:bottom w:val="nil"/>
            </w:tcBorders>
            <w:vAlign w:val="top"/>
          </w:tcPr>
          <w:p w14:paraId="22CB506B">
            <w:pPr>
              <w:rPr>
                <w:rFonts w:ascii="Arial"/>
                <w:sz w:val="21"/>
              </w:rPr>
            </w:pPr>
          </w:p>
        </w:tc>
      </w:tr>
      <w:tr w14:paraId="60467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4" w:type="dxa"/>
            <w:vMerge w:val="continue"/>
            <w:tcBorders>
              <w:top w:val="nil"/>
              <w:bottom w:val="nil"/>
            </w:tcBorders>
            <w:vAlign w:val="top"/>
          </w:tcPr>
          <w:p w14:paraId="004851CA">
            <w:pPr>
              <w:rPr>
                <w:rFonts w:ascii="Arial"/>
                <w:sz w:val="21"/>
              </w:rPr>
            </w:pPr>
          </w:p>
        </w:tc>
        <w:tc>
          <w:tcPr>
            <w:tcW w:w="330" w:type="dxa"/>
            <w:vMerge w:val="continue"/>
            <w:tcBorders>
              <w:top w:val="nil"/>
              <w:bottom w:val="nil"/>
            </w:tcBorders>
            <w:vAlign w:val="top"/>
          </w:tcPr>
          <w:p w14:paraId="2626A786">
            <w:pPr>
              <w:rPr>
                <w:rFonts w:ascii="Arial"/>
                <w:sz w:val="21"/>
              </w:rPr>
            </w:pPr>
          </w:p>
        </w:tc>
        <w:tc>
          <w:tcPr>
            <w:tcW w:w="949" w:type="dxa"/>
            <w:vAlign w:val="top"/>
          </w:tcPr>
          <w:p w14:paraId="20293A5A">
            <w:pPr>
              <w:pStyle w:val="6"/>
              <w:spacing w:before="64" w:line="181" w:lineRule="auto"/>
              <w:ind w:left="81"/>
            </w:pPr>
            <w:r>
              <w:rPr>
                <w:spacing w:val="-2"/>
              </w:rPr>
              <w:t>2.7.2</w:t>
            </w:r>
          </w:p>
        </w:tc>
        <w:tc>
          <w:tcPr>
            <w:tcW w:w="4615" w:type="dxa"/>
            <w:vAlign w:val="top"/>
          </w:tcPr>
          <w:p w14:paraId="205A09F9">
            <w:pPr>
              <w:pStyle w:val="6"/>
              <w:spacing w:before="41" w:line="200" w:lineRule="auto"/>
              <w:ind w:left="101"/>
            </w:pPr>
            <w:r>
              <w:rPr>
                <w:spacing w:val="1"/>
              </w:rPr>
              <w:t>接地引下线热镀锌-50×5</w:t>
            </w:r>
          </w:p>
        </w:tc>
        <w:tc>
          <w:tcPr>
            <w:tcW w:w="659" w:type="dxa"/>
            <w:vAlign w:val="top"/>
          </w:tcPr>
          <w:p w14:paraId="4EFF1E8B">
            <w:pPr>
              <w:pStyle w:val="6"/>
              <w:spacing w:before="41" w:line="200" w:lineRule="auto"/>
              <w:ind w:left="96"/>
            </w:pPr>
            <w:r>
              <w:t>米</w:t>
            </w:r>
          </w:p>
        </w:tc>
        <w:tc>
          <w:tcPr>
            <w:tcW w:w="939" w:type="dxa"/>
            <w:vAlign w:val="top"/>
          </w:tcPr>
          <w:p w14:paraId="6E0D60B1">
            <w:pPr>
              <w:pStyle w:val="6"/>
              <w:spacing w:before="64" w:line="181" w:lineRule="auto"/>
              <w:ind w:left="118"/>
            </w:pPr>
            <w:r>
              <w:rPr>
                <w:spacing w:val="-4"/>
              </w:rPr>
              <w:t>1000.00</w:t>
            </w:r>
          </w:p>
        </w:tc>
        <w:tc>
          <w:tcPr>
            <w:tcW w:w="529" w:type="dxa"/>
            <w:vAlign w:val="top"/>
          </w:tcPr>
          <w:p w14:paraId="3B453B19">
            <w:pPr>
              <w:rPr>
                <w:rFonts w:ascii="Arial"/>
                <w:sz w:val="21"/>
              </w:rPr>
            </w:pPr>
          </w:p>
        </w:tc>
        <w:tc>
          <w:tcPr>
            <w:tcW w:w="334" w:type="dxa"/>
            <w:vMerge w:val="continue"/>
            <w:tcBorders>
              <w:top w:val="nil"/>
              <w:bottom w:val="nil"/>
            </w:tcBorders>
            <w:vAlign w:val="top"/>
          </w:tcPr>
          <w:p w14:paraId="53322255">
            <w:pPr>
              <w:rPr>
                <w:rFonts w:ascii="Arial"/>
                <w:sz w:val="21"/>
              </w:rPr>
            </w:pPr>
          </w:p>
        </w:tc>
      </w:tr>
      <w:tr w14:paraId="3A475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704" w:type="dxa"/>
            <w:vMerge w:val="continue"/>
            <w:tcBorders>
              <w:top w:val="nil"/>
              <w:bottom w:val="nil"/>
            </w:tcBorders>
            <w:vAlign w:val="top"/>
          </w:tcPr>
          <w:p w14:paraId="7505B535">
            <w:pPr>
              <w:rPr>
                <w:rFonts w:ascii="Arial"/>
                <w:sz w:val="21"/>
              </w:rPr>
            </w:pPr>
          </w:p>
        </w:tc>
        <w:tc>
          <w:tcPr>
            <w:tcW w:w="330" w:type="dxa"/>
            <w:vMerge w:val="continue"/>
            <w:tcBorders>
              <w:top w:val="nil"/>
              <w:bottom w:val="nil"/>
            </w:tcBorders>
            <w:vAlign w:val="top"/>
          </w:tcPr>
          <w:p w14:paraId="1BEB322B">
            <w:pPr>
              <w:rPr>
                <w:rFonts w:ascii="Arial"/>
                <w:sz w:val="21"/>
              </w:rPr>
            </w:pPr>
          </w:p>
        </w:tc>
        <w:tc>
          <w:tcPr>
            <w:tcW w:w="949" w:type="dxa"/>
            <w:vAlign w:val="top"/>
          </w:tcPr>
          <w:p w14:paraId="593306E0">
            <w:pPr>
              <w:pStyle w:val="6"/>
              <w:spacing w:before="54" w:line="172" w:lineRule="auto"/>
              <w:ind w:left="81"/>
            </w:pPr>
            <w:r>
              <w:rPr>
                <w:spacing w:val="-2"/>
              </w:rPr>
              <w:t>2.7.3</w:t>
            </w:r>
          </w:p>
        </w:tc>
        <w:tc>
          <w:tcPr>
            <w:tcW w:w="4615" w:type="dxa"/>
            <w:vAlign w:val="top"/>
          </w:tcPr>
          <w:p w14:paraId="4A90CED6">
            <w:pPr>
              <w:pStyle w:val="6"/>
              <w:spacing w:before="31" w:line="191" w:lineRule="auto"/>
              <w:ind w:left="101"/>
            </w:pPr>
            <w:r>
              <w:rPr>
                <w:spacing w:val="1"/>
              </w:rPr>
              <w:t>避雷带热镀锌圆钢Φ12</w:t>
            </w:r>
          </w:p>
        </w:tc>
        <w:tc>
          <w:tcPr>
            <w:tcW w:w="659" w:type="dxa"/>
            <w:vAlign w:val="top"/>
          </w:tcPr>
          <w:p w14:paraId="5C5A29D6">
            <w:pPr>
              <w:pStyle w:val="6"/>
              <w:spacing w:before="31" w:line="191" w:lineRule="auto"/>
              <w:ind w:left="96"/>
            </w:pPr>
            <w:r>
              <w:t>米</w:t>
            </w:r>
          </w:p>
        </w:tc>
        <w:tc>
          <w:tcPr>
            <w:tcW w:w="939" w:type="dxa"/>
            <w:vAlign w:val="top"/>
          </w:tcPr>
          <w:p w14:paraId="5C4FFABD">
            <w:pPr>
              <w:pStyle w:val="6"/>
              <w:spacing w:before="54" w:line="172" w:lineRule="auto"/>
              <w:ind w:left="118"/>
            </w:pPr>
            <w:r>
              <w:rPr>
                <w:spacing w:val="-2"/>
              </w:rPr>
              <w:t>300.00</w:t>
            </w:r>
          </w:p>
        </w:tc>
        <w:tc>
          <w:tcPr>
            <w:tcW w:w="529" w:type="dxa"/>
            <w:vAlign w:val="top"/>
          </w:tcPr>
          <w:p w14:paraId="22012B2E">
            <w:pPr>
              <w:rPr>
                <w:rFonts w:ascii="Arial"/>
                <w:sz w:val="21"/>
              </w:rPr>
            </w:pPr>
          </w:p>
        </w:tc>
        <w:tc>
          <w:tcPr>
            <w:tcW w:w="334" w:type="dxa"/>
            <w:vMerge w:val="continue"/>
            <w:tcBorders>
              <w:top w:val="nil"/>
              <w:bottom w:val="nil"/>
            </w:tcBorders>
            <w:vAlign w:val="top"/>
          </w:tcPr>
          <w:p w14:paraId="0DC7E61B">
            <w:pPr>
              <w:rPr>
                <w:rFonts w:ascii="Arial"/>
                <w:sz w:val="21"/>
              </w:rPr>
            </w:pPr>
          </w:p>
        </w:tc>
      </w:tr>
      <w:tr w14:paraId="4861E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04" w:type="dxa"/>
            <w:vMerge w:val="continue"/>
            <w:tcBorders>
              <w:top w:val="nil"/>
              <w:bottom w:val="nil"/>
            </w:tcBorders>
            <w:vAlign w:val="top"/>
          </w:tcPr>
          <w:p w14:paraId="46848B27">
            <w:pPr>
              <w:rPr>
                <w:rFonts w:ascii="Arial"/>
                <w:sz w:val="21"/>
              </w:rPr>
            </w:pPr>
          </w:p>
        </w:tc>
        <w:tc>
          <w:tcPr>
            <w:tcW w:w="330" w:type="dxa"/>
            <w:vMerge w:val="continue"/>
            <w:tcBorders>
              <w:top w:val="nil"/>
              <w:bottom w:val="nil"/>
            </w:tcBorders>
            <w:vAlign w:val="top"/>
          </w:tcPr>
          <w:p w14:paraId="5B995914">
            <w:pPr>
              <w:rPr>
                <w:rFonts w:ascii="Arial"/>
                <w:sz w:val="21"/>
              </w:rPr>
            </w:pPr>
          </w:p>
        </w:tc>
        <w:tc>
          <w:tcPr>
            <w:tcW w:w="949" w:type="dxa"/>
            <w:vAlign w:val="top"/>
          </w:tcPr>
          <w:p w14:paraId="32F639CC">
            <w:pPr>
              <w:pStyle w:val="6"/>
              <w:spacing w:before="45" w:line="172" w:lineRule="auto"/>
              <w:ind w:left="81"/>
            </w:pPr>
            <w:r>
              <w:rPr>
                <w:spacing w:val="-2"/>
              </w:rPr>
              <w:t>2.7.4</w:t>
            </w:r>
          </w:p>
        </w:tc>
        <w:tc>
          <w:tcPr>
            <w:tcW w:w="4615" w:type="dxa"/>
            <w:vAlign w:val="top"/>
          </w:tcPr>
          <w:p w14:paraId="702BE971">
            <w:pPr>
              <w:pStyle w:val="6"/>
              <w:spacing w:before="18" w:line="194" w:lineRule="auto"/>
              <w:ind w:left="101"/>
            </w:pPr>
            <w:r>
              <w:rPr>
                <w:spacing w:val="-1"/>
              </w:rPr>
              <w:t>热镀锌钢管φ50×5,L=2500mm</w:t>
            </w:r>
          </w:p>
        </w:tc>
        <w:tc>
          <w:tcPr>
            <w:tcW w:w="659" w:type="dxa"/>
            <w:vAlign w:val="top"/>
          </w:tcPr>
          <w:p w14:paraId="0EAEDF60">
            <w:pPr>
              <w:pStyle w:val="6"/>
              <w:spacing w:before="23" w:line="190" w:lineRule="auto"/>
              <w:ind w:left="96"/>
            </w:pPr>
            <w:r>
              <w:t>根</w:t>
            </w:r>
          </w:p>
        </w:tc>
        <w:tc>
          <w:tcPr>
            <w:tcW w:w="939" w:type="dxa"/>
            <w:vAlign w:val="top"/>
          </w:tcPr>
          <w:p w14:paraId="5B6DB875">
            <w:pPr>
              <w:pStyle w:val="6"/>
              <w:spacing w:before="45" w:line="172" w:lineRule="auto"/>
              <w:ind w:left="118"/>
            </w:pPr>
            <w:r>
              <w:rPr>
                <w:spacing w:val="-4"/>
              </w:rPr>
              <w:t>150.00</w:t>
            </w:r>
          </w:p>
        </w:tc>
        <w:tc>
          <w:tcPr>
            <w:tcW w:w="529" w:type="dxa"/>
            <w:vAlign w:val="top"/>
          </w:tcPr>
          <w:p w14:paraId="3E309477">
            <w:pPr>
              <w:rPr>
                <w:rFonts w:ascii="Arial"/>
                <w:sz w:val="21"/>
              </w:rPr>
            </w:pPr>
          </w:p>
        </w:tc>
        <w:tc>
          <w:tcPr>
            <w:tcW w:w="334" w:type="dxa"/>
            <w:vMerge w:val="continue"/>
            <w:tcBorders>
              <w:top w:val="nil"/>
              <w:bottom w:val="nil"/>
            </w:tcBorders>
            <w:vAlign w:val="top"/>
          </w:tcPr>
          <w:p w14:paraId="450A2662">
            <w:pPr>
              <w:rPr>
                <w:rFonts w:ascii="Arial"/>
                <w:sz w:val="21"/>
              </w:rPr>
            </w:pPr>
          </w:p>
        </w:tc>
      </w:tr>
      <w:tr w14:paraId="1B41988C">
        <w:tblPrEx>
          <w:tblCellMar>
            <w:top w:w="0" w:type="dxa"/>
            <w:left w:w="0" w:type="dxa"/>
            <w:bottom w:w="0" w:type="dxa"/>
            <w:right w:w="0" w:type="dxa"/>
          </w:tblCellMar>
        </w:tblPrEx>
        <w:trPr>
          <w:trHeight w:val="289" w:hRule="atLeast"/>
        </w:trPr>
        <w:tc>
          <w:tcPr>
            <w:tcW w:w="704" w:type="dxa"/>
            <w:vMerge w:val="continue"/>
            <w:tcBorders>
              <w:top w:val="nil"/>
              <w:bottom w:val="nil"/>
            </w:tcBorders>
            <w:vAlign w:val="top"/>
          </w:tcPr>
          <w:p w14:paraId="1A17F3F4">
            <w:pPr>
              <w:rPr>
                <w:rFonts w:ascii="Arial"/>
                <w:sz w:val="21"/>
              </w:rPr>
            </w:pPr>
          </w:p>
        </w:tc>
        <w:tc>
          <w:tcPr>
            <w:tcW w:w="330" w:type="dxa"/>
            <w:vMerge w:val="continue"/>
            <w:tcBorders>
              <w:top w:val="nil"/>
              <w:bottom w:val="nil"/>
            </w:tcBorders>
            <w:vAlign w:val="top"/>
          </w:tcPr>
          <w:p w14:paraId="2DD06CC3">
            <w:pPr>
              <w:rPr>
                <w:rFonts w:ascii="Arial"/>
                <w:sz w:val="21"/>
              </w:rPr>
            </w:pPr>
          </w:p>
        </w:tc>
        <w:tc>
          <w:tcPr>
            <w:tcW w:w="949" w:type="dxa"/>
            <w:vAlign w:val="top"/>
          </w:tcPr>
          <w:p w14:paraId="2C49B262">
            <w:pPr>
              <w:pStyle w:val="6"/>
              <w:spacing w:before="64" w:line="180" w:lineRule="auto"/>
              <w:ind w:left="81"/>
            </w:pPr>
            <w:r>
              <w:rPr>
                <w:spacing w:val="-2"/>
              </w:rPr>
              <w:t>2.7.5</w:t>
            </w:r>
          </w:p>
        </w:tc>
        <w:tc>
          <w:tcPr>
            <w:tcW w:w="4615" w:type="dxa"/>
            <w:vAlign w:val="top"/>
          </w:tcPr>
          <w:p w14:paraId="52A4601F">
            <w:pPr>
              <w:pStyle w:val="6"/>
              <w:spacing w:before="43" w:line="198" w:lineRule="auto"/>
              <w:ind w:left="101"/>
            </w:pPr>
            <w:r>
              <w:rPr>
                <w:spacing w:val="-2"/>
              </w:rPr>
              <w:t>等离子接地极</w:t>
            </w:r>
          </w:p>
        </w:tc>
        <w:tc>
          <w:tcPr>
            <w:tcW w:w="659" w:type="dxa"/>
            <w:vAlign w:val="top"/>
          </w:tcPr>
          <w:p w14:paraId="16E18522">
            <w:pPr>
              <w:pStyle w:val="6"/>
              <w:spacing w:before="46" w:line="195" w:lineRule="auto"/>
              <w:ind w:left="116"/>
            </w:pPr>
            <w:r>
              <w:t>只</w:t>
            </w:r>
          </w:p>
        </w:tc>
        <w:tc>
          <w:tcPr>
            <w:tcW w:w="939" w:type="dxa"/>
            <w:vAlign w:val="top"/>
          </w:tcPr>
          <w:p w14:paraId="350794A2">
            <w:pPr>
              <w:pStyle w:val="6"/>
              <w:spacing w:before="64" w:line="180" w:lineRule="auto"/>
              <w:ind w:left="108"/>
            </w:pPr>
            <w:r>
              <w:rPr>
                <w:spacing w:val="-3"/>
              </w:rPr>
              <w:t>30.00</w:t>
            </w:r>
          </w:p>
        </w:tc>
        <w:tc>
          <w:tcPr>
            <w:tcW w:w="529" w:type="dxa"/>
            <w:vAlign w:val="top"/>
          </w:tcPr>
          <w:p w14:paraId="2B86E2B6">
            <w:pPr>
              <w:rPr>
                <w:rFonts w:ascii="Arial"/>
                <w:sz w:val="21"/>
              </w:rPr>
            </w:pPr>
          </w:p>
        </w:tc>
        <w:tc>
          <w:tcPr>
            <w:tcW w:w="334" w:type="dxa"/>
            <w:vMerge w:val="continue"/>
            <w:tcBorders>
              <w:top w:val="nil"/>
              <w:bottom w:val="nil"/>
            </w:tcBorders>
            <w:vAlign w:val="top"/>
          </w:tcPr>
          <w:p w14:paraId="21186788">
            <w:pPr>
              <w:rPr>
                <w:rFonts w:ascii="Arial"/>
                <w:sz w:val="21"/>
              </w:rPr>
            </w:pPr>
          </w:p>
        </w:tc>
      </w:tr>
      <w:tr w14:paraId="73033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04" w:type="dxa"/>
            <w:vMerge w:val="continue"/>
            <w:tcBorders>
              <w:top w:val="nil"/>
              <w:bottom w:val="nil"/>
            </w:tcBorders>
            <w:vAlign w:val="top"/>
          </w:tcPr>
          <w:p w14:paraId="49B13A1E">
            <w:pPr>
              <w:rPr>
                <w:rFonts w:ascii="Arial"/>
                <w:sz w:val="21"/>
              </w:rPr>
            </w:pPr>
          </w:p>
        </w:tc>
        <w:tc>
          <w:tcPr>
            <w:tcW w:w="330" w:type="dxa"/>
            <w:vMerge w:val="continue"/>
            <w:tcBorders>
              <w:top w:val="nil"/>
              <w:bottom w:val="nil"/>
            </w:tcBorders>
            <w:vAlign w:val="top"/>
          </w:tcPr>
          <w:p w14:paraId="1B32E105">
            <w:pPr>
              <w:rPr>
                <w:rFonts w:ascii="Arial"/>
                <w:sz w:val="21"/>
              </w:rPr>
            </w:pPr>
          </w:p>
        </w:tc>
        <w:tc>
          <w:tcPr>
            <w:tcW w:w="949" w:type="dxa"/>
            <w:vAlign w:val="top"/>
          </w:tcPr>
          <w:p w14:paraId="33C976EA">
            <w:pPr>
              <w:pStyle w:val="6"/>
              <w:spacing w:before="56" w:line="171" w:lineRule="auto"/>
              <w:ind w:left="81"/>
            </w:pPr>
            <w:r>
              <w:rPr>
                <w:spacing w:val="-2"/>
              </w:rPr>
              <w:t>2.7.6</w:t>
            </w:r>
          </w:p>
        </w:tc>
        <w:tc>
          <w:tcPr>
            <w:tcW w:w="4615" w:type="dxa"/>
            <w:vAlign w:val="top"/>
          </w:tcPr>
          <w:p w14:paraId="361E16F4">
            <w:pPr>
              <w:pStyle w:val="6"/>
              <w:spacing w:before="33" w:line="190" w:lineRule="auto"/>
              <w:ind w:left="101"/>
            </w:pPr>
            <w:r>
              <w:rPr>
                <w:spacing w:val="-2"/>
              </w:rPr>
              <w:t>接地模块</w:t>
            </w:r>
          </w:p>
        </w:tc>
        <w:tc>
          <w:tcPr>
            <w:tcW w:w="659" w:type="dxa"/>
            <w:vAlign w:val="top"/>
          </w:tcPr>
          <w:p w14:paraId="485521B0">
            <w:pPr>
              <w:pStyle w:val="6"/>
              <w:spacing w:before="34" w:line="189" w:lineRule="auto"/>
              <w:ind w:left="96"/>
            </w:pPr>
            <w:r>
              <w:t>块</w:t>
            </w:r>
          </w:p>
        </w:tc>
        <w:tc>
          <w:tcPr>
            <w:tcW w:w="939" w:type="dxa"/>
            <w:vAlign w:val="top"/>
          </w:tcPr>
          <w:p w14:paraId="53262C0A">
            <w:pPr>
              <w:pStyle w:val="6"/>
              <w:spacing w:before="56" w:line="171" w:lineRule="auto"/>
              <w:ind w:left="147"/>
            </w:pPr>
            <w:r>
              <w:rPr>
                <w:spacing w:val="-4"/>
              </w:rPr>
              <w:t>100.00</w:t>
            </w:r>
          </w:p>
        </w:tc>
        <w:tc>
          <w:tcPr>
            <w:tcW w:w="529" w:type="dxa"/>
            <w:vAlign w:val="top"/>
          </w:tcPr>
          <w:p w14:paraId="2FA5DA28">
            <w:pPr>
              <w:rPr>
                <w:rFonts w:ascii="Arial"/>
                <w:sz w:val="21"/>
              </w:rPr>
            </w:pPr>
          </w:p>
        </w:tc>
        <w:tc>
          <w:tcPr>
            <w:tcW w:w="334" w:type="dxa"/>
            <w:vMerge w:val="continue"/>
            <w:tcBorders>
              <w:top w:val="nil"/>
              <w:bottom w:val="nil"/>
            </w:tcBorders>
            <w:vAlign w:val="top"/>
          </w:tcPr>
          <w:p w14:paraId="70FF25D3">
            <w:pPr>
              <w:rPr>
                <w:rFonts w:ascii="Arial"/>
                <w:sz w:val="21"/>
              </w:rPr>
            </w:pPr>
          </w:p>
        </w:tc>
      </w:tr>
      <w:tr w14:paraId="5CB4D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04" w:type="dxa"/>
            <w:vMerge w:val="continue"/>
            <w:tcBorders>
              <w:top w:val="nil"/>
              <w:bottom w:val="nil"/>
            </w:tcBorders>
            <w:vAlign w:val="top"/>
          </w:tcPr>
          <w:p w14:paraId="7450C22B">
            <w:pPr>
              <w:rPr>
                <w:rFonts w:ascii="Arial"/>
                <w:sz w:val="21"/>
              </w:rPr>
            </w:pPr>
          </w:p>
        </w:tc>
        <w:tc>
          <w:tcPr>
            <w:tcW w:w="330" w:type="dxa"/>
            <w:vMerge w:val="continue"/>
            <w:tcBorders>
              <w:top w:val="nil"/>
              <w:bottom w:val="nil"/>
            </w:tcBorders>
            <w:vAlign w:val="top"/>
          </w:tcPr>
          <w:p w14:paraId="483B0B4C">
            <w:pPr>
              <w:rPr>
                <w:rFonts w:ascii="Arial"/>
                <w:sz w:val="21"/>
              </w:rPr>
            </w:pPr>
          </w:p>
        </w:tc>
        <w:tc>
          <w:tcPr>
            <w:tcW w:w="949" w:type="dxa"/>
            <w:vAlign w:val="top"/>
          </w:tcPr>
          <w:p w14:paraId="5D94D019">
            <w:pPr>
              <w:pStyle w:val="6"/>
              <w:spacing w:before="46" w:line="171" w:lineRule="auto"/>
              <w:ind w:left="81"/>
            </w:pPr>
            <w:r>
              <w:rPr>
                <w:spacing w:val="-2"/>
              </w:rPr>
              <w:t>2.7.7</w:t>
            </w:r>
          </w:p>
        </w:tc>
        <w:tc>
          <w:tcPr>
            <w:tcW w:w="4615" w:type="dxa"/>
            <w:vAlign w:val="top"/>
          </w:tcPr>
          <w:p w14:paraId="55EE1B7A">
            <w:pPr>
              <w:pStyle w:val="6"/>
              <w:spacing w:before="23" w:line="190" w:lineRule="auto"/>
              <w:ind w:left="101"/>
            </w:pPr>
            <w:r>
              <w:rPr>
                <w:spacing w:val="2"/>
              </w:rPr>
              <w:t>物理降阻剂</w:t>
            </w:r>
          </w:p>
        </w:tc>
        <w:tc>
          <w:tcPr>
            <w:tcW w:w="659" w:type="dxa"/>
            <w:vAlign w:val="top"/>
          </w:tcPr>
          <w:p w14:paraId="131C76C5">
            <w:pPr>
              <w:pStyle w:val="6"/>
              <w:spacing w:before="35" w:line="180" w:lineRule="auto"/>
              <w:ind w:left="106"/>
            </w:pPr>
            <w:r>
              <w:t>吨</w:t>
            </w:r>
          </w:p>
        </w:tc>
        <w:tc>
          <w:tcPr>
            <w:tcW w:w="939" w:type="dxa"/>
            <w:vAlign w:val="top"/>
          </w:tcPr>
          <w:p w14:paraId="0CAD5EBD">
            <w:pPr>
              <w:pStyle w:val="6"/>
              <w:spacing w:before="46" w:line="171" w:lineRule="auto"/>
              <w:ind w:left="147"/>
            </w:pPr>
            <w:r>
              <w:rPr>
                <w:spacing w:val="-4"/>
              </w:rPr>
              <w:t>10.00</w:t>
            </w:r>
          </w:p>
        </w:tc>
        <w:tc>
          <w:tcPr>
            <w:tcW w:w="529" w:type="dxa"/>
            <w:vAlign w:val="top"/>
          </w:tcPr>
          <w:p w14:paraId="60FD1D50">
            <w:pPr>
              <w:rPr>
                <w:rFonts w:ascii="Arial"/>
                <w:sz w:val="21"/>
              </w:rPr>
            </w:pPr>
          </w:p>
        </w:tc>
        <w:tc>
          <w:tcPr>
            <w:tcW w:w="334" w:type="dxa"/>
            <w:vMerge w:val="continue"/>
            <w:tcBorders>
              <w:top w:val="nil"/>
              <w:bottom w:val="nil"/>
            </w:tcBorders>
            <w:vAlign w:val="top"/>
          </w:tcPr>
          <w:p w14:paraId="0F469E88">
            <w:pPr>
              <w:rPr>
                <w:rFonts w:ascii="Arial"/>
                <w:sz w:val="21"/>
              </w:rPr>
            </w:pPr>
          </w:p>
        </w:tc>
      </w:tr>
      <w:tr w14:paraId="740B1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04" w:type="dxa"/>
            <w:vMerge w:val="continue"/>
            <w:tcBorders>
              <w:top w:val="nil"/>
              <w:bottom w:val="nil"/>
            </w:tcBorders>
            <w:vAlign w:val="top"/>
          </w:tcPr>
          <w:p w14:paraId="57BF9BC4">
            <w:pPr>
              <w:rPr>
                <w:rFonts w:ascii="Arial"/>
                <w:sz w:val="21"/>
              </w:rPr>
            </w:pPr>
          </w:p>
        </w:tc>
        <w:tc>
          <w:tcPr>
            <w:tcW w:w="330" w:type="dxa"/>
            <w:vMerge w:val="continue"/>
            <w:tcBorders>
              <w:top w:val="nil"/>
              <w:bottom w:val="nil"/>
            </w:tcBorders>
            <w:vAlign w:val="top"/>
          </w:tcPr>
          <w:p w14:paraId="57B2553D">
            <w:pPr>
              <w:rPr>
                <w:rFonts w:ascii="Arial"/>
                <w:sz w:val="21"/>
              </w:rPr>
            </w:pPr>
          </w:p>
        </w:tc>
        <w:tc>
          <w:tcPr>
            <w:tcW w:w="949" w:type="dxa"/>
            <w:vAlign w:val="top"/>
          </w:tcPr>
          <w:p w14:paraId="76F64778">
            <w:pPr>
              <w:pStyle w:val="6"/>
              <w:spacing w:before="56" w:line="171" w:lineRule="auto"/>
              <w:ind w:left="81"/>
            </w:pPr>
            <w:r>
              <w:rPr>
                <w:spacing w:val="-2"/>
              </w:rPr>
              <w:t>2.7.8</w:t>
            </w:r>
          </w:p>
        </w:tc>
        <w:tc>
          <w:tcPr>
            <w:tcW w:w="4615" w:type="dxa"/>
            <w:vAlign w:val="top"/>
          </w:tcPr>
          <w:p w14:paraId="5EA0F027">
            <w:pPr>
              <w:pStyle w:val="6"/>
              <w:spacing w:before="33" w:line="190" w:lineRule="auto"/>
              <w:ind w:left="101"/>
            </w:pPr>
            <w:r>
              <w:rPr>
                <w:spacing w:val="1"/>
              </w:rPr>
              <w:t>导电防腐漆</w:t>
            </w:r>
          </w:p>
        </w:tc>
        <w:tc>
          <w:tcPr>
            <w:tcW w:w="659" w:type="dxa"/>
            <w:vAlign w:val="top"/>
          </w:tcPr>
          <w:p w14:paraId="4BFE9E0F">
            <w:pPr>
              <w:pStyle w:val="6"/>
              <w:spacing w:before="26" w:line="196" w:lineRule="auto"/>
              <w:ind w:left="106"/>
            </w:pPr>
            <w:r>
              <w:rPr>
                <w:spacing w:val="-2"/>
              </w:rPr>
              <w:t>kg</w:t>
            </w:r>
          </w:p>
        </w:tc>
        <w:tc>
          <w:tcPr>
            <w:tcW w:w="939" w:type="dxa"/>
            <w:vAlign w:val="top"/>
          </w:tcPr>
          <w:p w14:paraId="5BF293EA">
            <w:pPr>
              <w:pStyle w:val="6"/>
              <w:spacing w:before="56" w:line="171" w:lineRule="auto"/>
              <w:ind w:left="118"/>
            </w:pPr>
            <w:r>
              <w:rPr>
                <w:spacing w:val="-2"/>
              </w:rPr>
              <w:t>300.00</w:t>
            </w:r>
          </w:p>
        </w:tc>
        <w:tc>
          <w:tcPr>
            <w:tcW w:w="529" w:type="dxa"/>
            <w:vAlign w:val="top"/>
          </w:tcPr>
          <w:p w14:paraId="206A6157">
            <w:pPr>
              <w:rPr>
                <w:rFonts w:ascii="Arial"/>
                <w:sz w:val="21"/>
              </w:rPr>
            </w:pPr>
          </w:p>
        </w:tc>
        <w:tc>
          <w:tcPr>
            <w:tcW w:w="334" w:type="dxa"/>
            <w:vMerge w:val="continue"/>
            <w:tcBorders>
              <w:top w:val="nil"/>
              <w:bottom w:val="nil"/>
            </w:tcBorders>
            <w:vAlign w:val="top"/>
          </w:tcPr>
          <w:p w14:paraId="5064AAEB">
            <w:pPr>
              <w:rPr>
                <w:rFonts w:ascii="Arial"/>
                <w:sz w:val="21"/>
              </w:rPr>
            </w:pPr>
          </w:p>
        </w:tc>
      </w:tr>
      <w:tr w14:paraId="1CF4C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4" w:type="dxa"/>
            <w:vMerge w:val="continue"/>
            <w:tcBorders>
              <w:top w:val="nil"/>
              <w:bottom w:val="nil"/>
            </w:tcBorders>
            <w:vAlign w:val="top"/>
          </w:tcPr>
          <w:p w14:paraId="32CAF7B8">
            <w:pPr>
              <w:rPr>
                <w:rFonts w:ascii="Arial"/>
                <w:sz w:val="21"/>
              </w:rPr>
            </w:pPr>
          </w:p>
        </w:tc>
        <w:tc>
          <w:tcPr>
            <w:tcW w:w="330" w:type="dxa"/>
            <w:vMerge w:val="continue"/>
            <w:tcBorders>
              <w:top w:val="nil"/>
              <w:bottom w:val="nil"/>
            </w:tcBorders>
            <w:vAlign w:val="top"/>
          </w:tcPr>
          <w:p w14:paraId="08A18DAE">
            <w:pPr>
              <w:rPr>
                <w:rFonts w:ascii="Arial"/>
                <w:sz w:val="21"/>
              </w:rPr>
            </w:pPr>
          </w:p>
        </w:tc>
        <w:tc>
          <w:tcPr>
            <w:tcW w:w="949" w:type="dxa"/>
            <w:vAlign w:val="top"/>
          </w:tcPr>
          <w:p w14:paraId="117429ED">
            <w:pPr>
              <w:pStyle w:val="6"/>
              <w:spacing w:before="65" w:line="180" w:lineRule="auto"/>
              <w:ind w:left="81"/>
            </w:pPr>
            <w:r>
              <w:rPr>
                <w:spacing w:val="-2"/>
              </w:rPr>
              <w:t>2.7.9</w:t>
            </w:r>
          </w:p>
        </w:tc>
        <w:tc>
          <w:tcPr>
            <w:tcW w:w="4615" w:type="dxa"/>
            <w:vAlign w:val="top"/>
          </w:tcPr>
          <w:p w14:paraId="5E2C5338">
            <w:pPr>
              <w:pStyle w:val="6"/>
              <w:spacing w:before="44" w:line="198" w:lineRule="auto"/>
              <w:ind w:left="101"/>
            </w:pPr>
            <w:r>
              <w:rPr>
                <w:spacing w:val="1"/>
              </w:rPr>
              <w:t>等电位铜排支撑绝缘子</w:t>
            </w:r>
          </w:p>
        </w:tc>
        <w:tc>
          <w:tcPr>
            <w:tcW w:w="659" w:type="dxa"/>
            <w:vAlign w:val="top"/>
          </w:tcPr>
          <w:p w14:paraId="1ECB618C">
            <w:pPr>
              <w:pStyle w:val="6"/>
              <w:spacing w:before="44" w:line="198" w:lineRule="auto"/>
              <w:ind w:left="116"/>
            </w:pPr>
            <w:r>
              <w:t>个</w:t>
            </w:r>
          </w:p>
        </w:tc>
        <w:tc>
          <w:tcPr>
            <w:tcW w:w="939" w:type="dxa"/>
            <w:vAlign w:val="top"/>
          </w:tcPr>
          <w:p w14:paraId="25BC8693">
            <w:pPr>
              <w:pStyle w:val="6"/>
              <w:spacing w:before="65" w:line="180" w:lineRule="auto"/>
              <w:ind w:left="118"/>
            </w:pPr>
            <w:r>
              <w:rPr>
                <w:spacing w:val="-2"/>
              </w:rPr>
              <w:t>400.00</w:t>
            </w:r>
          </w:p>
        </w:tc>
        <w:tc>
          <w:tcPr>
            <w:tcW w:w="529" w:type="dxa"/>
            <w:vAlign w:val="top"/>
          </w:tcPr>
          <w:p w14:paraId="5F2AA125">
            <w:pPr>
              <w:rPr>
                <w:rFonts w:ascii="Arial"/>
                <w:sz w:val="21"/>
              </w:rPr>
            </w:pPr>
          </w:p>
        </w:tc>
        <w:tc>
          <w:tcPr>
            <w:tcW w:w="334" w:type="dxa"/>
            <w:vMerge w:val="continue"/>
            <w:tcBorders>
              <w:top w:val="nil"/>
              <w:bottom w:val="nil"/>
            </w:tcBorders>
            <w:vAlign w:val="top"/>
          </w:tcPr>
          <w:p w14:paraId="729B889F">
            <w:pPr>
              <w:rPr>
                <w:rFonts w:ascii="Arial"/>
                <w:sz w:val="21"/>
              </w:rPr>
            </w:pPr>
          </w:p>
        </w:tc>
      </w:tr>
      <w:tr w14:paraId="23B6B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04" w:type="dxa"/>
            <w:vMerge w:val="continue"/>
            <w:tcBorders>
              <w:top w:val="nil"/>
              <w:bottom w:val="nil"/>
            </w:tcBorders>
            <w:vAlign w:val="top"/>
          </w:tcPr>
          <w:p w14:paraId="40F553BD">
            <w:pPr>
              <w:rPr>
                <w:rFonts w:ascii="Arial"/>
                <w:sz w:val="21"/>
              </w:rPr>
            </w:pPr>
          </w:p>
        </w:tc>
        <w:tc>
          <w:tcPr>
            <w:tcW w:w="330" w:type="dxa"/>
            <w:vMerge w:val="continue"/>
            <w:tcBorders>
              <w:top w:val="nil"/>
              <w:bottom w:val="nil"/>
            </w:tcBorders>
            <w:vAlign w:val="top"/>
          </w:tcPr>
          <w:p w14:paraId="39C36CCF">
            <w:pPr>
              <w:rPr>
                <w:rFonts w:ascii="Arial"/>
                <w:sz w:val="21"/>
              </w:rPr>
            </w:pPr>
          </w:p>
        </w:tc>
        <w:tc>
          <w:tcPr>
            <w:tcW w:w="949" w:type="dxa"/>
            <w:vAlign w:val="top"/>
          </w:tcPr>
          <w:p w14:paraId="38909075">
            <w:pPr>
              <w:pStyle w:val="6"/>
              <w:spacing w:before="46" w:line="171" w:lineRule="auto"/>
              <w:ind w:left="81"/>
            </w:pPr>
            <w:r>
              <w:rPr>
                <w:spacing w:val="-2"/>
              </w:rPr>
              <w:t>2.7.10</w:t>
            </w:r>
          </w:p>
        </w:tc>
        <w:tc>
          <w:tcPr>
            <w:tcW w:w="4615" w:type="dxa"/>
            <w:vAlign w:val="top"/>
          </w:tcPr>
          <w:p w14:paraId="09DB20AE">
            <w:pPr>
              <w:pStyle w:val="6"/>
              <w:spacing w:before="23" w:line="190" w:lineRule="auto"/>
              <w:ind w:left="101"/>
            </w:pPr>
            <w:r>
              <w:rPr>
                <w:spacing w:val="1"/>
              </w:rPr>
              <w:t>总等电位端子箱</w:t>
            </w:r>
          </w:p>
        </w:tc>
        <w:tc>
          <w:tcPr>
            <w:tcW w:w="659" w:type="dxa"/>
            <w:vAlign w:val="top"/>
          </w:tcPr>
          <w:p w14:paraId="702A59AB">
            <w:pPr>
              <w:pStyle w:val="6"/>
              <w:spacing w:before="24" w:line="189" w:lineRule="auto"/>
              <w:ind w:left="116"/>
            </w:pPr>
            <w:r>
              <w:t>套</w:t>
            </w:r>
          </w:p>
        </w:tc>
        <w:tc>
          <w:tcPr>
            <w:tcW w:w="939" w:type="dxa"/>
            <w:vAlign w:val="top"/>
          </w:tcPr>
          <w:p w14:paraId="15BEBE60">
            <w:pPr>
              <w:pStyle w:val="6"/>
              <w:spacing w:before="46" w:line="171" w:lineRule="auto"/>
              <w:ind w:left="118"/>
            </w:pPr>
            <w:r>
              <w:rPr>
                <w:spacing w:val="-5"/>
              </w:rPr>
              <w:t>1.00</w:t>
            </w:r>
          </w:p>
        </w:tc>
        <w:tc>
          <w:tcPr>
            <w:tcW w:w="529" w:type="dxa"/>
            <w:vAlign w:val="top"/>
          </w:tcPr>
          <w:p w14:paraId="6FDFDB5B">
            <w:pPr>
              <w:rPr>
                <w:rFonts w:ascii="Arial"/>
                <w:sz w:val="21"/>
              </w:rPr>
            </w:pPr>
          </w:p>
        </w:tc>
        <w:tc>
          <w:tcPr>
            <w:tcW w:w="334" w:type="dxa"/>
            <w:vMerge w:val="continue"/>
            <w:tcBorders>
              <w:top w:val="nil"/>
              <w:bottom w:val="nil"/>
            </w:tcBorders>
            <w:vAlign w:val="top"/>
          </w:tcPr>
          <w:p w14:paraId="0DFBC910">
            <w:pPr>
              <w:rPr>
                <w:rFonts w:ascii="Arial"/>
                <w:sz w:val="21"/>
              </w:rPr>
            </w:pPr>
          </w:p>
        </w:tc>
      </w:tr>
      <w:tr w14:paraId="21752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704" w:type="dxa"/>
            <w:vMerge w:val="continue"/>
            <w:tcBorders>
              <w:top w:val="nil"/>
              <w:bottom w:val="nil"/>
            </w:tcBorders>
            <w:vAlign w:val="top"/>
          </w:tcPr>
          <w:p w14:paraId="60688E1D">
            <w:pPr>
              <w:rPr>
                <w:rFonts w:ascii="Arial"/>
                <w:sz w:val="21"/>
              </w:rPr>
            </w:pPr>
          </w:p>
        </w:tc>
        <w:tc>
          <w:tcPr>
            <w:tcW w:w="330" w:type="dxa"/>
            <w:vMerge w:val="continue"/>
            <w:tcBorders>
              <w:top w:val="nil"/>
              <w:bottom w:val="nil"/>
            </w:tcBorders>
            <w:vAlign w:val="top"/>
          </w:tcPr>
          <w:p w14:paraId="3B1AD67E">
            <w:pPr>
              <w:rPr>
                <w:rFonts w:ascii="Arial"/>
                <w:sz w:val="21"/>
              </w:rPr>
            </w:pPr>
          </w:p>
        </w:tc>
        <w:tc>
          <w:tcPr>
            <w:tcW w:w="949" w:type="dxa"/>
            <w:vAlign w:val="top"/>
          </w:tcPr>
          <w:p w14:paraId="28887B83">
            <w:pPr>
              <w:pStyle w:val="6"/>
              <w:spacing w:before="56" w:line="170" w:lineRule="auto"/>
              <w:ind w:left="81"/>
            </w:pPr>
            <w:r>
              <w:rPr>
                <w:spacing w:val="-2"/>
              </w:rPr>
              <w:t>2.7.11</w:t>
            </w:r>
          </w:p>
        </w:tc>
        <w:tc>
          <w:tcPr>
            <w:tcW w:w="4615" w:type="dxa"/>
            <w:vAlign w:val="top"/>
          </w:tcPr>
          <w:p w14:paraId="147ED756">
            <w:pPr>
              <w:pStyle w:val="6"/>
              <w:spacing w:before="33" w:line="189" w:lineRule="auto"/>
              <w:ind w:left="101"/>
            </w:pPr>
            <w:r>
              <w:rPr>
                <w:spacing w:val="1"/>
              </w:rPr>
              <w:t>局部等电位端子箱</w:t>
            </w:r>
          </w:p>
        </w:tc>
        <w:tc>
          <w:tcPr>
            <w:tcW w:w="659" w:type="dxa"/>
            <w:vAlign w:val="top"/>
          </w:tcPr>
          <w:p w14:paraId="7A6C8C6B">
            <w:pPr>
              <w:pStyle w:val="6"/>
              <w:spacing w:before="34" w:line="188" w:lineRule="auto"/>
              <w:ind w:left="96"/>
            </w:pPr>
            <w:r>
              <w:t>套</w:t>
            </w:r>
          </w:p>
        </w:tc>
        <w:tc>
          <w:tcPr>
            <w:tcW w:w="939" w:type="dxa"/>
            <w:vAlign w:val="top"/>
          </w:tcPr>
          <w:p w14:paraId="0E6B05C9">
            <w:pPr>
              <w:pStyle w:val="6"/>
              <w:spacing w:before="56" w:line="170" w:lineRule="auto"/>
              <w:ind w:left="118"/>
            </w:pPr>
            <w:r>
              <w:rPr>
                <w:spacing w:val="-3"/>
              </w:rPr>
              <w:t>3.00</w:t>
            </w:r>
          </w:p>
        </w:tc>
        <w:tc>
          <w:tcPr>
            <w:tcW w:w="529" w:type="dxa"/>
            <w:vAlign w:val="top"/>
          </w:tcPr>
          <w:p w14:paraId="1236F059">
            <w:pPr>
              <w:rPr>
                <w:rFonts w:ascii="Arial"/>
                <w:sz w:val="21"/>
              </w:rPr>
            </w:pPr>
          </w:p>
        </w:tc>
        <w:tc>
          <w:tcPr>
            <w:tcW w:w="334" w:type="dxa"/>
            <w:vMerge w:val="continue"/>
            <w:tcBorders>
              <w:top w:val="nil"/>
              <w:bottom w:val="nil"/>
            </w:tcBorders>
            <w:vAlign w:val="top"/>
          </w:tcPr>
          <w:p w14:paraId="01BE0329">
            <w:pPr>
              <w:rPr>
                <w:rFonts w:ascii="Arial"/>
                <w:sz w:val="21"/>
              </w:rPr>
            </w:pPr>
          </w:p>
        </w:tc>
      </w:tr>
      <w:tr w14:paraId="3CD87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04" w:type="dxa"/>
            <w:vMerge w:val="continue"/>
            <w:tcBorders>
              <w:top w:val="nil"/>
              <w:bottom w:val="nil"/>
            </w:tcBorders>
            <w:vAlign w:val="top"/>
          </w:tcPr>
          <w:p w14:paraId="5BFBB419">
            <w:pPr>
              <w:rPr>
                <w:rFonts w:ascii="Arial"/>
                <w:sz w:val="21"/>
              </w:rPr>
            </w:pPr>
          </w:p>
        </w:tc>
        <w:tc>
          <w:tcPr>
            <w:tcW w:w="330" w:type="dxa"/>
            <w:vMerge w:val="continue"/>
            <w:tcBorders>
              <w:top w:val="nil"/>
              <w:bottom w:val="nil"/>
            </w:tcBorders>
            <w:vAlign w:val="top"/>
          </w:tcPr>
          <w:p w14:paraId="06521608">
            <w:pPr>
              <w:rPr>
                <w:rFonts w:ascii="Arial"/>
                <w:sz w:val="21"/>
              </w:rPr>
            </w:pPr>
          </w:p>
        </w:tc>
        <w:tc>
          <w:tcPr>
            <w:tcW w:w="949" w:type="dxa"/>
            <w:vAlign w:val="top"/>
          </w:tcPr>
          <w:p w14:paraId="07576FBA">
            <w:pPr>
              <w:pStyle w:val="6"/>
              <w:spacing w:before="57" w:line="170" w:lineRule="auto"/>
              <w:ind w:left="81"/>
            </w:pPr>
            <w:r>
              <w:rPr>
                <w:spacing w:val="-3"/>
              </w:rPr>
              <w:t>2.8</w:t>
            </w:r>
          </w:p>
        </w:tc>
        <w:tc>
          <w:tcPr>
            <w:tcW w:w="4615" w:type="dxa"/>
            <w:vAlign w:val="top"/>
          </w:tcPr>
          <w:p w14:paraId="61BDDF77">
            <w:pPr>
              <w:pStyle w:val="6"/>
              <w:spacing w:before="34" w:line="189" w:lineRule="auto"/>
              <w:ind w:left="101"/>
            </w:pPr>
            <w:r>
              <w:rPr>
                <w:spacing w:val="4"/>
              </w:rPr>
              <w:t>升压站照明</w:t>
            </w:r>
          </w:p>
        </w:tc>
        <w:tc>
          <w:tcPr>
            <w:tcW w:w="659" w:type="dxa"/>
            <w:vAlign w:val="top"/>
          </w:tcPr>
          <w:p w14:paraId="26CC7FC0">
            <w:pPr>
              <w:rPr>
                <w:rFonts w:ascii="Arial"/>
                <w:sz w:val="21"/>
              </w:rPr>
            </w:pPr>
          </w:p>
        </w:tc>
        <w:tc>
          <w:tcPr>
            <w:tcW w:w="939" w:type="dxa"/>
            <w:vAlign w:val="top"/>
          </w:tcPr>
          <w:p w14:paraId="582B95ED">
            <w:pPr>
              <w:rPr>
                <w:rFonts w:ascii="Arial"/>
                <w:sz w:val="21"/>
              </w:rPr>
            </w:pPr>
          </w:p>
        </w:tc>
        <w:tc>
          <w:tcPr>
            <w:tcW w:w="529" w:type="dxa"/>
            <w:vAlign w:val="top"/>
          </w:tcPr>
          <w:p w14:paraId="11C6123A">
            <w:pPr>
              <w:rPr>
                <w:rFonts w:ascii="Arial"/>
                <w:sz w:val="21"/>
              </w:rPr>
            </w:pPr>
          </w:p>
        </w:tc>
        <w:tc>
          <w:tcPr>
            <w:tcW w:w="334" w:type="dxa"/>
            <w:vMerge w:val="continue"/>
            <w:tcBorders>
              <w:top w:val="nil"/>
              <w:bottom w:val="nil"/>
            </w:tcBorders>
            <w:vAlign w:val="top"/>
          </w:tcPr>
          <w:p w14:paraId="332A5B42">
            <w:pPr>
              <w:rPr>
                <w:rFonts w:ascii="Arial"/>
                <w:sz w:val="21"/>
              </w:rPr>
            </w:pPr>
          </w:p>
        </w:tc>
      </w:tr>
      <w:tr w14:paraId="111B7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4" w:type="dxa"/>
            <w:vMerge w:val="continue"/>
            <w:tcBorders>
              <w:top w:val="nil"/>
              <w:bottom w:val="nil"/>
            </w:tcBorders>
            <w:vAlign w:val="top"/>
          </w:tcPr>
          <w:p w14:paraId="240F3781">
            <w:pPr>
              <w:rPr>
                <w:rFonts w:ascii="Arial"/>
                <w:sz w:val="21"/>
              </w:rPr>
            </w:pPr>
          </w:p>
        </w:tc>
        <w:tc>
          <w:tcPr>
            <w:tcW w:w="330" w:type="dxa"/>
            <w:vMerge w:val="continue"/>
            <w:tcBorders>
              <w:top w:val="nil"/>
              <w:bottom w:val="nil"/>
            </w:tcBorders>
            <w:vAlign w:val="top"/>
          </w:tcPr>
          <w:p w14:paraId="5A00B907">
            <w:pPr>
              <w:rPr>
                <w:rFonts w:ascii="Arial"/>
                <w:sz w:val="21"/>
              </w:rPr>
            </w:pPr>
          </w:p>
        </w:tc>
        <w:tc>
          <w:tcPr>
            <w:tcW w:w="949" w:type="dxa"/>
            <w:vAlign w:val="top"/>
          </w:tcPr>
          <w:p w14:paraId="3573AE58">
            <w:pPr>
              <w:pStyle w:val="6"/>
              <w:spacing w:before="66" w:line="179" w:lineRule="auto"/>
              <w:ind w:left="81"/>
            </w:pPr>
            <w:r>
              <w:rPr>
                <w:spacing w:val="-2"/>
              </w:rPr>
              <w:t>2.8.1</w:t>
            </w:r>
          </w:p>
        </w:tc>
        <w:tc>
          <w:tcPr>
            <w:tcW w:w="4615" w:type="dxa"/>
            <w:vAlign w:val="top"/>
          </w:tcPr>
          <w:p w14:paraId="1BF4A28C">
            <w:pPr>
              <w:pStyle w:val="6"/>
              <w:spacing w:before="45" w:line="197" w:lineRule="auto"/>
              <w:ind w:left="101"/>
            </w:pPr>
            <w:r>
              <w:rPr>
                <w:spacing w:val="1"/>
              </w:rPr>
              <w:t>照明动力配电箱</w:t>
            </w:r>
          </w:p>
        </w:tc>
        <w:tc>
          <w:tcPr>
            <w:tcW w:w="659" w:type="dxa"/>
            <w:vAlign w:val="top"/>
          </w:tcPr>
          <w:p w14:paraId="60CC3D0A">
            <w:pPr>
              <w:pStyle w:val="6"/>
              <w:spacing w:before="47" w:line="195" w:lineRule="auto"/>
              <w:ind w:left="116"/>
            </w:pPr>
            <w:r>
              <w:t>台</w:t>
            </w:r>
          </w:p>
        </w:tc>
        <w:tc>
          <w:tcPr>
            <w:tcW w:w="939" w:type="dxa"/>
            <w:vAlign w:val="top"/>
          </w:tcPr>
          <w:p w14:paraId="66BFCF14">
            <w:pPr>
              <w:pStyle w:val="6"/>
              <w:spacing w:before="66" w:line="179" w:lineRule="auto"/>
              <w:ind w:left="118"/>
            </w:pPr>
            <w:r>
              <w:rPr>
                <w:spacing w:val="-3"/>
              </w:rPr>
              <w:t>5.00</w:t>
            </w:r>
          </w:p>
        </w:tc>
        <w:tc>
          <w:tcPr>
            <w:tcW w:w="529" w:type="dxa"/>
            <w:vAlign w:val="top"/>
          </w:tcPr>
          <w:p w14:paraId="4F61838B">
            <w:pPr>
              <w:rPr>
                <w:rFonts w:ascii="Arial"/>
                <w:sz w:val="21"/>
              </w:rPr>
            </w:pPr>
          </w:p>
        </w:tc>
        <w:tc>
          <w:tcPr>
            <w:tcW w:w="334" w:type="dxa"/>
            <w:vMerge w:val="continue"/>
            <w:tcBorders>
              <w:top w:val="nil"/>
              <w:bottom w:val="nil"/>
            </w:tcBorders>
            <w:vAlign w:val="top"/>
          </w:tcPr>
          <w:p w14:paraId="457C9C1F">
            <w:pPr>
              <w:rPr>
                <w:rFonts w:ascii="Arial"/>
                <w:sz w:val="21"/>
              </w:rPr>
            </w:pPr>
          </w:p>
        </w:tc>
      </w:tr>
      <w:tr w14:paraId="0480E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04" w:type="dxa"/>
            <w:vMerge w:val="continue"/>
            <w:tcBorders>
              <w:top w:val="nil"/>
              <w:bottom w:val="nil"/>
            </w:tcBorders>
            <w:vAlign w:val="top"/>
          </w:tcPr>
          <w:p w14:paraId="38C47318">
            <w:pPr>
              <w:rPr>
                <w:rFonts w:ascii="Arial"/>
                <w:sz w:val="21"/>
              </w:rPr>
            </w:pPr>
          </w:p>
        </w:tc>
        <w:tc>
          <w:tcPr>
            <w:tcW w:w="330" w:type="dxa"/>
            <w:vMerge w:val="continue"/>
            <w:tcBorders>
              <w:top w:val="nil"/>
              <w:bottom w:val="nil"/>
            </w:tcBorders>
            <w:vAlign w:val="top"/>
          </w:tcPr>
          <w:p w14:paraId="5AF3B6CF">
            <w:pPr>
              <w:rPr>
                <w:rFonts w:ascii="Arial"/>
                <w:sz w:val="21"/>
              </w:rPr>
            </w:pPr>
          </w:p>
        </w:tc>
        <w:tc>
          <w:tcPr>
            <w:tcW w:w="949" w:type="dxa"/>
            <w:vAlign w:val="top"/>
          </w:tcPr>
          <w:p w14:paraId="4E1BB2C9">
            <w:pPr>
              <w:pStyle w:val="6"/>
              <w:spacing w:before="47" w:line="170" w:lineRule="auto"/>
              <w:ind w:left="81"/>
            </w:pPr>
            <w:r>
              <w:rPr>
                <w:spacing w:val="-2"/>
              </w:rPr>
              <w:t>2.8.2</w:t>
            </w:r>
          </w:p>
        </w:tc>
        <w:tc>
          <w:tcPr>
            <w:tcW w:w="4615" w:type="dxa"/>
            <w:vAlign w:val="top"/>
          </w:tcPr>
          <w:p w14:paraId="1CABCECB">
            <w:pPr>
              <w:pStyle w:val="6"/>
              <w:spacing w:before="24" w:line="189" w:lineRule="auto"/>
              <w:ind w:left="101"/>
            </w:pPr>
            <w:r>
              <w:rPr>
                <w:spacing w:val="2"/>
              </w:rPr>
              <w:t>检修电源箱</w:t>
            </w:r>
          </w:p>
        </w:tc>
        <w:tc>
          <w:tcPr>
            <w:tcW w:w="659" w:type="dxa"/>
            <w:vAlign w:val="top"/>
          </w:tcPr>
          <w:p w14:paraId="352B9253">
            <w:pPr>
              <w:pStyle w:val="6"/>
              <w:spacing w:before="27" w:line="187" w:lineRule="auto"/>
              <w:ind w:left="116"/>
            </w:pPr>
            <w:r>
              <w:t>台</w:t>
            </w:r>
          </w:p>
        </w:tc>
        <w:tc>
          <w:tcPr>
            <w:tcW w:w="939" w:type="dxa"/>
            <w:vAlign w:val="top"/>
          </w:tcPr>
          <w:p w14:paraId="3D3A9F19">
            <w:pPr>
              <w:pStyle w:val="6"/>
              <w:spacing w:before="47" w:line="170" w:lineRule="auto"/>
              <w:ind w:left="118"/>
            </w:pPr>
            <w:r>
              <w:rPr>
                <w:spacing w:val="-2"/>
              </w:rPr>
              <w:t>4.00</w:t>
            </w:r>
          </w:p>
        </w:tc>
        <w:tc>
          <w:tcPr>
            <w:tcW w:w="529" w:type="dxa"/>
            <w:vAlign w:val="top"/>
          </w:tcPr>
          <w:p w14:paraId="3724CC6E">
            <w:pPr>
              <w:rPr>
                <w:rFonts w:ascii="Arial"/>
                <w:sz w:val="21"/>
              </w:rPr>
            </w:pPr>
          </w:p>
        </w:tc>
        <w:tc>
          <w:tcPr>
            <w:tcW w:w="334" w:type="dxa"/>
            <w:vMerge w:val="continue"/>
            <w:tcBorders>
              <w:top w:val="nil"/>
              <w:bottom w:val="nil"/>
            </w:tcBorders>
            <w:vAlign w:val="top"/>
          </w:tcPr>
          <w:p w14:paraId="0A35900B">
            <w:pPr>
              <w:rPr>
                <w:rFonts w:ascii="Arial"/>
                <w:sz w:val="21"/>
              </w:rPr>
            </w:pPr>
          </w:p>
        </w:tc>
      </w:tr>
      <w:tr w14:paraId="72E04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04" w:type="dxa"/>
            <w:vMerge w:val="continue"/>
            <w:tcBorders>
              <w:top w:val="nil"/>
              <w:bottom w:val="nil"/>
            </w:tcBorders>
            <w:vAlign w:val="top"/>
          </w:tcPr>
          <w:p w14:paraId="0DEF06EA">
            <w:pPr>
              <w:rPr>
                <w:rFonts w:ascii="Arial"/>
                <w:sz w:val="21"/>
              </w:rPr>
            </w:pPr>
          </w:p>
        </w:tc>
        <w:tc>
          <w:tcPr>
            <w:tcW w:w="330" w:type="dxa"/>
            <w:vMerge w:val="continue"/>
            <w:tcBorders>
              <w:top w:val="nil"/>
              <w:bottom w:val="nil"/>
            </w:tcBorders>
            <w:vAlign w:val="top"/>
          </w:tcPr>
          <w:p w14:paraId="14CD687C">
            <w:pPr>
              <w:rPr>
                <w:rFonts w:ascii="Arial"/>
                <w:sz w:val="21"/>
              </w:rPr>
            </w:pPr>
          </w:p>
        </w:tc>
        <w:tc>
          <w:tcPr>
            <w:tcW w:w="949" w:type="dxa"/>
            <w:vAlign w:val="top"/>
          </w:tcPr>
          <w:p w14:paraId="1F8775D4">
            <w:pPr>
              <w:pStyle w:val="6"/>
              <w:spacing w:before="57" w:line="170" w:lineRule="auto"/>
              <w:ind w:left="81"/>
            </w:pPr>
            <w:r>
              <w:rPr>
                <w:spacing w:val="-2"/>
              </w:rPr>
              <w:t>2.8.3</w:t>
            </w:r>
          </w:p>
        </w:tc>
        <w:tc>
          <w:tcPr>
            <w:tcW w:w="4615" w:type="dxa"/>
            <w:vAlign w:val="top"/>
          </w:tcPr>
          <w:p w14:paraId="00093765">
            <w:pPr>
              <w:pStyle w:val="6"/>
              <w:spacing w:before="34" w:line="189" w:lineRule="auto"/>
              <w:ind w:left="101"/>
            </w:pPr>
            <w:r>
              <w:rPr>
                <w:spacing w:val="1"/>
              </w:rPr>
              <w:t>事故照明配电箱</w:t>
            </w:r>
          </w:p>
        </w:tc>
        <w:tc>
          <w:tcPr>
            <w:tcW w:w="659" w:type="dxa"/>
            <w:vAlign w:val="top"/>
          </w:tcPr>
          <w:p w14:paraId="5E802759">
            <w:pPr>
              <w:pStyle w:val="6"/>
              <w:spacing w:before="37" w:line="187" w:lineRule="auto"/>
              <w:ind w:left="116"/>
            </w:pPr>
            <w:r>
              <w:t>台</w:t>
            </w:r>
          </w:p>
        </w:tc>
        <w:tc>
          <w:tcPr>
            <w:tcW w:w="939" w:type="dxa"/>
            <w:vAlign w:val="top"/>
          </w:tcPr>
          <w:p w14:paraId="21476581">
            <w:pPr>
              <w:pStyle w:val="6"/>
              <w:spacing w:before="57" w:line="170" w:lineRule="auto"/>
              <w:ind w:left="118"/>
            </w:pPr>
            <w:r>
              <w:rPr>
                <w:spacing w:val="-5"/>
              </w:rPr>
              <w:t>1.00</w:t>
            </w:r>
          </w:p>
        </w:tc>
        <w:tc>
          <w:tcPr>
            <w:tcW w:w="529" w:type="dxa"/>
            <w:vAlign w:val="top"/>
          </w:tcPr>
          <w:p w14:paraId="0D186B5A">
            <w:pPr>
              <w:rPr>
                <w:rFonts w:ascii="Arial"/>
                <w:sz w:val="21"/>
              </w:rPr>
            </w:pPr>
          </w:p>
        </w:tc>
        <w:tc>
          <w:tcPr>
            <w:tcW w:w="334" w:type="dxa"/>
            <w:vMerge w:val="continue"/>
            <w:tcBorders>
              <w:top w:val="nil"/>
              <w:bottom w:val="nil"/>
            </w:tcBorders>
            <w:vAlign w:val="top"/>
          </w:tcPr>
          <w:p w14:paraId="21D10B60">
            <w:pPr>
              <w:rPr>
                <w:rFonts w:ascii="Arial"/>
                <w:sz w:val="21"/>
              </w:rPr>
            </w:pPr>
          </w:p>
        </w:tc>
      </w:tr>
      <w:tr w14:paraId="3AEF4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4" w:type="dxa"/>
            <w:vMerge w:val="continue"/>
            <w:tcBorders>
              <w:top w:val="nil"/>
              <w:bottom w:val="nil"/>
            </w:tcBorders>
            <w:vAlign w:val="top"/>
          </w:tcPr>
          <w:p w14:paraId="2A8F9386">
            <w:pPr>
              <w:rPr>
                <w:rFonts w:ascii="Arial"/>
                <w:sz w:val="21"/>
              </w:rPr>
            </w:pPr>
          </w:p>
        </w:tc>
        <w:tc>
          <w:tcPr>
            <w:tcW w:w="330" w:type="dxa"/>
            <w:vMerge w:val="continue"/>
            <w:tcBorders>
              <w:top w:val="nil"/>
              <w:bottom w:val="nil"/>
            </w:tcBorders>
            <w:vAlign w:val="top"/>
          </w:tcPr>
          <w:p w14:paraId="2E3E279B">
            <w:pPr>
              <w:rPr>
                <w:rFonts w:ascii="Arial"/>
                <w:sz w:val="21"/>
              </w:rPr>
            </w:pPr>
          </w:p>
        </w:tc>
        <w:tc>
          <w:tcPr>
            <w:tcW w:w="949" w:type="dxa"/>
            <w:vAlign w:val="top"/>
          </w:tcPr>
          <w:p w14:paraId="6535EB19">
            <w:pPr>
              <w:pStyle w:val="6"/>
              <w:spacing w:before="66" w:line="179" w:lineRule="auto"/>
              <w:ind w:left="81"/>
            </w:pPr>
            <w:r>
              <w:rPr>
                <w:spacing w:val="-2"/>
              </w:rPr>
              <w:t>2.8.4</w:t>
            </w:r>
          </w:p>
        </w:tc>
        <w:tc>
          <w:tcPr>
            <w:tcW w:w="4615" w:type="dxa"/>
            <w:vAlign w:val="top"/>
          </w:tcPr>
          <w:p w14:paraId="7753346A">
            <w:pPr>
              <w:pStyle w:val="6"/>
              <w:spacing w:before="45" w:line="197" w:lineRule="auto"/>
              <w:ind w:left="101"/>
            </w:pPr>
            <w:r>
              <w:rPr>
                <w:spacing w:val="-1"/>
              </w:rPr>
              <w:t>各种灯具栅格灯、管灯、路灯、壁灯等220V</w:t>
            </w:r>
          </w:p>
        </w:tc>
        <w:tc>
          <w:tcPr>
            <w:tcW w:w="659" w:type="dxa"/>
            <w:vAlign w:val="top"/>
          </w:tcPr>
          <w:p w14:paraId="32EB6978">
            <w:pPr>
              <w:pStyle w:val="6"/>
              <w:spacing w:before="45" w:line="197" w:lineRule="auto"/>
              <w:ind w:left="116"/>
            </w:pPr>
            <w:r>
              <w:t>套</w:t>
            </w:r>
          </w:p>
        </w:tc>
        <w:tc>
          <w:tcPr>
            <w:tcW w:w="939" w:type="dxa"/>
            <w:vAlign w:val="top"/>
          </w:tcPr>
          <w:p w14:paraId="74F45EC4">
            <w:pPr>
              <w:pStyle w:val="6"/>
              <w:spacing w:before="66" w:line="179" w:lineRule="auto"/>
              <w:ind w:left="128"/>
            </w:pPr>
            <w:r>
              <w:rPr>
                <w:spacing w:val="-3"/>
              </w:rPr>
              <w:t>75.00</w:t>
            </w:r>
          </w:p>
        </w:tc>
        <w:tc>
          <w:tcPr>
            <w:tcW w:w="529" w:type="dxa"/>
            <w:vAlign w:val="top"/>
          </w:tcPr>
          <w:p w14:paraId="3A710DC3">
            <w:pPr>
              <w:rPr>
                <w:rFonts w:ascii="Arial"/>
                <w:sz w:val="21"/>
              </w:rPr>
            </w:pPr>
          </w:p>
        </w:tc>
        <w:tc>
          <w:tcPr>
            <w:tcW w:w="334" w:type="dxa"/>
            <w:vMerge w:val="continue"/>
            <w:tcBorders>
              <w:top w:val="nil"/>
              <w:bottom w:val="nil"/>
            </w:tcBorders>
            <w:vAlign w:val="top"/>
          </w:tcPr>
          <w:p w14:paraId="17658DF9">
            <w:pPr>
              <w:rPr>
                <w:rFonts w:ascii="Arial"/>
                <w:sz w:val="21"/>
              </w:rPr>
            </w:pPr>
          </w:p>
        </w:tc>
      </w:tr>
      <w:tr w14:paraId="24981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04" w:type="dxa"/>
            <w:vMerge w:val="continue"/>
            <w:tcBorders>
              <w:top w:val="nil"/>
              <w:bottom w:val="nil"/>
            </w:tcBorders>
            <w:vAlign w:val="top"/>
          </w:tcPr>
          <w:p w14:paraId="7AEB7E79">
            <w:pPr>
              <w:rPr>
                <w:rFonts w:ascii="Arial"/>
                <w:sz w:val="21"/>
              </w:rPr>
            </w:pPr>
          </w:p>
        </w:tc>
        <w:tc>
          <w:tcPr>
            <w:tcW w:w="330" w:type="dxa"/>
            <w:vMerge w:val="continue"/>
            <w:tcBorders>
              <w:top w:val="nil"/>
              <w:bottom w:val="nil"/>
            </w:tcBorders>
            <w:vAlign w:val="top"/>
          </w:tcPr>
          <w:p w14:paraId="1FA78909">
            <w:pPr>
              <w:rPr>
                <w:rFonts w:ascii="Arial"/>
                <w:sz w:val="21"/>
              </w:rPr>
            </w:pPr>
          </w:p>
        </w:tc>
        <w:tc>
          <w:tcPr>
            <w:tcW w:w="949" w:type="dxa"/>
            <w:vAlign w:val="top"/>
          </w:tcPr>
          <w:p w14:paraId="24439D81">
            <w:pPr>
              <w:pStyle w:val="6"/>
              <w:spacing w:before="47" w:line="170" w:lineRule="auto"/>
              <w:ind w:left="81"/>
            </w:pPr>
            <w:r>
              <w:rPr>
                <w:spacing w:val="-2"/>
              </w:rPr>
              <w:t>2.8.5</w:t>
            </w:r>
          </w:p>
        </w:tc>
        <w:tc>
          <w:tcPr>
            <w:tcW w:w="4615" w:type="dxa"/>
            <w:vAlign w:val="top"/>
          </w:tcPr>
          <w:p w14:paraId="7CA4CB64">
            <w:pPr>
              <w:pStyle w:val="6"/>
              <w:spacing w:before="25" w:line="188" w:lineRule="auto"/>
              <w:ind w:left="101"/>
            </w:pPr>
            <w:r>
              <w:rPr>
                <w:spacing w:val="-1"/>
              </w:rPr>
              <w:t>灯具开关单联、双联、三联开关10A</w:t>
            </w:r>
          </w:p>
        </w:tc>
        <w:tc>
          <w:tcPr>
            <w:tcW w:w="659" w:type="dxa"/>
            <w:vAlign w:val="top"/>
          </w:tcPr>
          <w:p w14:paraId="1CE60AAD">
            <w:pPr>
              <w:pStyle w:val="6"/>
              <w:spacing w:before="24" w:line="189" w:lineRule="auto"/>
              <w:ind w:left="96"/>
            </w:pPr>
            <w:r>
              <w:t>个</w:t>
            </w:r>
          </w:p>
        </w:tc>
        <w:tc>
          <w:tcPr>
            <w:tcW w:w="939" w:type="dxa"/>
            <w:vAlign w:val="top"/>
          </w:tcPr>
          <w:p w14:paraId="468EE2C6">
            <w:pPr>
              <w:pStyle w:val="6"/>
              <w:spacing w:before="47" w:line="170" w:lineRule="auto"/>
              <w:ind w:left="118"/>
            </w:pPr>
            <w:r>
              <w:rPr>
                <w:spacing w:val="-3"/>
              </w:rPr>
              <w:t>30.00</w:t>
            </w:r>
          </w:p>
        </w:tc>
        <w:tc>
          <w:tcPr>
            <w:tcW w:w="529" w:type="dxa"/>
            <w:vAlign w:val="top"/>
          </w:tcPr>
          <w:p w14:paraId="41FDF90E">
            <w:pPr>
              <w:rPr>
                <w:rFonts w:ascii="Arial"/>
                <w:sz w:val="21"/>
              </w:rPr>
            </w:pPr>
          </w:p>
        </w:tc>
        <w:tc>
          <w:tcPr>
            <w:tcW w:w="334" w:type="dxa"/>
            <w:vMerge w:val="continue"/>
            <w:tcBorders>
              <w:top w:val="nil"/>
              <w:bottom w:val="nil"/>
            </w:tcBorders>
            <w:vAlign w:val="top"/>
          </w:tcPr>
          <w:p w14:paraId="21BF577E">
            <w:pPr>
              <w:rPr>
                <w:rFonts w:ascii="Arial"/>
                <w:sz w:val="21"/>
              </w:rPr>
            </w:pPr>
          </w:p>
        </w:tc>
      </w:tr>
      <w:tr w14:paraId="72F6E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04" w:type="dxa"/>
            <w:vMerge w:val="continue"/>
            <w:tcBorders>
              <w:top w:val="nil"/>
              <w:bottom w:val="nil"/>
            </w:tcBorders>
            <w:vAlign w:val="top"/>
          </w:tcPr>
          <w:p w14:paraId="3E8F1ABD">
            <w:pPr>
              <w:rPr>
                <w:rFonts w:ascii="Arial"/>
                <w:sz w:val="21"/>
              </w:rPr>
            </w:pPr>
          </w:p>
        </w:tc>
        <w:tc>
          <w:tcPr>
            <w:tcW w:w="330" w:type="dxa"/>
            <w:vMerge w:val="continue"/>
            <w:tcBorders>
              <w:top w:val="nil"/>
              <w:bottom w:val="nil"/>
            </w:tcBorders>
            <w:vAlign w:val="top"/>
          </w:tcPr>
          <w:p w14:paraId="46BA4A7D">
            <w:pPr>
              <w:rPr>
                <w:rFonts w:ascii="Arial"/>
                <w:sz w:val="21"/>
              </w:rPr>
            </w:pPr>
          </w:p>
        </w:tc>
        <w:tc>
          <w:tcPr>
            <w:tcW w:w="949" w:type="dxa"/>
            <w:vAlign w:val="top"/>
          </w:tcPr>
          <w:p w14:paraId="7F921F8B">
            <w:pPr>
              <w:pStyle w:val="6"/>
              <w:spacing w:before="57" w:line="170" w:lineRule="auto"/>
              <w:ind w:left="81"/>
            </w:pPr>
            <w:r>
              <w:rPr>
                <w:spacing w:val="-2"/>
              </w:rPr>
              <w:t>2.8.6</w:t>
            </w:r>
          </w:p>
        </w:tc>
        <w:tc>
          <w:tcPr>
            <w:tcW w:w="4615" w:type="dxa"/>
            <w:vAlign w:val="top"/>
          </w:tcPr>
          <w:p w14:paraId="2715A75A">
            <w:pPr>
              <w:pStyle w:val="6"/>
              <w:spacing w:before="35" w:line="188" w:lineRule="auto"/>
              <w:ind w:left="101"/>
            </w:pPr>
            <w:r>
              <w:rPr>
                <w:spacing w:val="3"/>
              </w:rPr>
              <w:t>消防灯具</w:t>
            </w:r>
          </w:p>
        </w:tc>
        <w:tc>
          <w:tcPr>
            <w:tcW w:w="659" w:type="dxa"/>
            <w:vAlign w:val="top"/>
          </w:tcPr>
          <w:p w14:paraId="4C80B3AB">
            <w:pPr>
              <w:pStyle w:val="6"/>
              <w:spacing w:before="34" w:line="189" w:lineRule="auto"/>
              <w:ind w:left="96"/>
            </w:pPr>
            <w:r>
              <w:t>个</w:t>
            </w:r>
          </w:p>
        </w:tc>
        <w:tc>
          <w:tcPr>
            <w:tcW w:w="939" w:type="dxa"/>
            <w:vAlign w:val="top"/>
          </w:tcPr>
          <w:p w14:paraId="63015FD3">
            <w:pPr>
              <w:pStyle w:val="6"/>
              <w:spacing w:before="57" w:line="170" w:lineRule="auto"/>
              <w:ind w:left="108"/>
            </w:pPr>
            <w:r>
              <w:rPr>
                <w:spacing w:val="-2"/>
              </w:rPr>
              <w:t>25.00</w:t>
            </w:r>
          </w:p>
        </w:tc>
        <w:tc>
          <w:tcPr>
            <w:tcW w:w="529" w:type="dxa"/>
            <w:vAlign w:val="top"/>
          </w:tcPr>
          <w:p w14:paraId="16939D00">
            <w:pPr>
              <w:rPr>
                <w:rFonts w:ascii="Arial"/>
                <w:sz w:val="21"/>
              </w:rPr>
            </w:pPr>
          </w:p>
        </w:tc>
        <w:tc>
          <w:tcPr>
            <w:tcW w:w="334" w:type="dxa"/>
            <w:vMerge w:val="continue"/>
            <w:tcBorders>
              <w:top w:val="nil"/>
              <w:bottom w:val="nil"/>
            </w:tcBorders>
            <w:vAlign w:val="top"/>
          </w:tcPr>
          <w:p w14:paraId="6FF6E94A">
            <w:pPr>
              <w:rPr>
                <w:rFonts w:ascii="Arial"/>
                <w:sz w:val="21"/>
              </w:rPr>
            </w:pPr>
          </w:p>
        </w:tc>
      </w:tr>
      <w:tr w14:paraId="584B0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04" w:type="dxa"/>
            <w:vMerge w:val="continue"/>
            <w:tcBorders>
              <w:top w:val="nil"/>
              <w:bottom w:val="nil"/>
            </w:tcBorders>
            <w:vAlign w:val="top"/>
          </w:tcPr>
          <w:p w14:paraId="5B3BFA00">
            <w:pPr>
              <w:rPr>
                <w:rFonts w:ascii="Arial"/>
                <w:sz w:val="21"/>
              </w:rPr>
            </w:pPr>
          </w:p>
        </w:tc>
        <w:tc>
          <w:tcPr>
            <w:tcW w:w="330" w:type="dxa"/>
            <w:vMerge w:val="continue"/>
            <w:tcBorders>
              <w:top w:val="nil"/>
              <w:bottom w:val="nil"/>
            </w:tcBorders>
            <w:vAlign w:val="top"/>
          </w:tcPr>
          <w:p w14:paraId="7C6867C3">
            <w:pPr>
              <w:rPr>
                <w:rFonts w:ascii="Arial"/>
                <w:sz w:val="21"/>
              </w:rPr>
            </w:pPr>
          </w:p>
        </w:tc>
        <w:tc>
          <w:tcPr>
            <w:tcW w:w="949" w:type="dxa"/>
            <w:vAlign w:val="top"/>
          </w:tcPr>
          <w:p w14:paraId="4B3EE8FB">
            <w:pPr>
              <w:pStyle w:val="6"/>
              <w:spacing w:before="47" w:line="170" w:lineRule="auto"/>
              <w:ind w:left="81"/>
            </w:pPr>
            <w:r>
              <w:rPr>
                <w:spacing w:val="-2"/>
              </w:rPr>
              <w:t>2.8.7</w:t>
            </w:r>
          </w:p>
        </w:tc>
        <w:tc>
          <w:tcPr>
            <w:tcW w:w="4615" w:type="dxa"/>
            <w:vAlign w:val="top"/>
          </w:tcPr>
          <w:p w14:paraId="2361261D">
            <w:pPr>
              <w:pStyle w:val="6"/>
              <w:spacing w:before="25" w:line="188" w:lineRule="auto"/>
              <w:ind w:left="101"/>
            </w:pPr>
            <w:r>
              <w:rPr>
                <w:spacing w:val="-3"/>
              </w:rPr>
              <w:t>插座250V</w:t>
            </w:r>
            <w:r>
              <w:rPr>
                <w:spacing w:val="26"/>
              </w:rPr>
              <w:t xml:space="preserve"> </w:t>
            </w:r>
            <w:r>
              <w:rPr>
                <w:spacing w:val="-3"/>
              </w:rPr>
              <w:t>16A</w:t>
            </w:r>
          </w:p>
        </w:tc>
        <w:tc>
          <w:tcPr>
            <w:tcW w:w="659" w:type="dxa"/>
            <w:vAlign w:val="top"/>
          </w:tcPr>
          <w:p w14:paraId="12BF700B">
            <w:pPr>
              <w:pStyle w:val="6"/>
              <w:spacing w:before="24" w:line="189" w:lineRule="auto"/>
              <w:ind w:left="96"/>
            </w:pPr>
            <w:r>
              <w:t>个</w:t>
            </w:r>
          </w:p>
        </w:tc>
        <w:tc>
          <w:tcPr>
            <w:tcW w:w="939" w:type="dxa"/>
            <w:vAlign w:val="top"/>
          </w:tcPr>
          <w:p w14:paraId="42C54F53">
            <w:pPr>
              <w:pStyle w:val="6"/>
              <w:spacing w:before="47" w:line="170" w:lineRule="auto"/>
              <w:ind w:left="108"/>
            </w:pPr>
            <w:r>
              <w:rPr>
                <w:spacing w:val="-3"/>
              </w:rPr>
              <w:t>50.00</w:t>
            </w:r>
          </w:p>
        </w:tc>
        <w:tc>
          <w:tcPr>
            <w:tcW w:w="529" w:type="dxa"/>
            <w:vAlign w:val="top"/>
          </w:tcPr>
          <w:p w14:paraId="5D9FB0CE">
            <w:pPr>
              <w:rPr>
                <w:rFonts w:ascii="Arial"/>
                <w:sz w:val="21"/>
              </w:rPr>
            </w:pPr>
          </w:p>
        </w:tc>
        <w:tc>
          <w:tcPr>
            <w:tcW w:w="334" w:type="dxa"/>
            <w:vMerge w:val="continue"/>
            <w:tcBorders>
              <w:top w:val="nil"/>
              <w:bottom w:val="nil"/>
            </w:tcBorders>
            <w:vAlign w:val="top"/>
          </w:tcPr>
          <w:p w14:paraId="043C2977">
            <w:pPr>
              <w:rPr>
                <w:rFonts w:ascii="Arial"/>
                <w:sz w:val="21"/>
              </w:rPr>
            </w:pPr>
          </w:p>
        </w:tc>
      </w:tr>
      <w:tr w14:paraId="61DA9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4" w:type="dxa"/>
            <w:vMerge w:val="continue"/>
            <w:tcBorders>
              <w:top w:val="nil"/>
              <w:bottom w:val="nil"/>
            </w:tcBorders>
            <w:vAlign w:val="top"/>
          </w:tcPr>
          <w:p w14:paraId="05AC6DB4">
            <w:pPr>
              <w:rPr>
                <w:rFonts w:ascii="Arial"/>
                <w:sz w:val="21"/>
              </w:rPr>
            </w:pPr>
          </w:p>
        </w:tc>
        <w:tc>
          <w:tcPr>
            <w:tcW w:w="330" w:type="dxa"/>
            <w:vMerge w:val="continue"/>
            <w:tcBorders>
              <w:top w:val="nil"/>
              <w:bottom w:val="nil"/>
            </w:tcBorders>
            <w:vAlign w:val="top"/>
          </w:tcPr>
          <w:p w14:paraId="040920FE">
            <w:pPr>
              <w:rPr>
                <w:rFonts w:ascii="Arial"/>
                <w:sz w:val="21"/>
              </w:rPr>
            </w:pPr>
          </w:p>
        </w:tc>
        <w:tc>
          <w:tcPr>
            <w:tcW w:w="949" w:type="dxa"/>
            <w:vAlign w:val="top"/>
          </w:tcPr>
          <w:p w14:paraId="78AF446B">
            <w:pPr>
              <w:pStyle w:val="6"/>
              <w:spacing w:before="66" w:line="179" w:lineRule="auto"/>
              <w:ind w:left="81"/>
            </w:pPr>
            <w:r>
              <w:t>3</w:t>
            </w:r>
          </w:p>
        </w:tc>
        <w:tc>
          <w:tcPr>
            <w:tcW w:w="4615" w:type="dxa"/>
            <w:vAlign w:val="top"/>
          </w:tcPr>
          <w:p w14:paraId="59295785">
            <w:pPr>
              <w:pStyle w:val="6"/>
              <w:spacing w:before="45" w:line="197" w:lineRule="auto"/>
              <w:ind w:left="101"/>
            </w:pPr>
            <w:r>
              <w:rPr>
                <w:spacing w:val="4"/>
              </w:rPr>
              <w:t>储能系统(5</w:t>
            </w:r>
            <w:r>
              <w:t>MW</w:t>
            </w:r>
            <w:r>
              <w:rPr>
                <w:spacing w:val="4"/>
              </w:rPr>
              <w:t>/10</w:t>
            </w:r>
            <w:r>
              <w:t>MWh</w:t>
            </w:r>
            <w:r>
              <w:rPr>
                <w:spacing w:val="4"/>
              </w:rPr>
              <w:t>)</w:t>
            </w:r>
          </w:p>
        </w:tc>
        <w:tc>
          <w:tcPr>
            <w:tcW w:w="659" w:type="dxa"/>
            <w:vAlign w:val="top"/>
          </w:tcPr>
          <w:p w14:paraId="46082B35">
            <w:pPr>
              <w:rPr>
                <w:rFonts w:ascii="Arial"/>
                <w:sz w:val="21"/>
              </w:rPr>
            </w:pPr>
          </w:p>
        </w:tc>
        <w:tc>
          <w:tcPr>
            <w:tcW w:w="939" w:type="dxa"/>
            <w:vAlign w:val="top"/>
          </w:tcPr>
          <w:p w14:paraId="50506C00">
            <w:pPr>
              <w:rPr>
                <w:rFonts w:ascii="Arial"/>
                <w:sz w:val="21"/>
              </w:rPr>
            </w:pPr>
          </w:p>
        </w:tc>
        <w:tc>
          <w:tcPr>
            <w:tcW w:w="529" w:type="dxa"/>
            <w:vAlign w:val="top"/>
          </w:tcPr>
          <w:p w14:paraId="7B3B3C57">
            <w:pPr>
              <w:rPr>
                <w:rFonts w:ascii="Arial"/>
                <w:sz w:val="21"/>
              </w:rPr>
            </w:pPr>
          </w:p>
        </w:tc>
        <w:tc>
          <w:tcPr>
            <w:tcW w:w="334" w:type="dxa"/>
            <w:vMerge w:val="continue"/>
            <w:tcBorders>
              <w:top w:val="nil"/>
              <w:bottom w:val="nil"/>
            </w:tcBorders>
            <w:vAlign w:val="top"/>
          </w:tcPr>
          <w:p w14:paraId="35936240">
            <w:pPr>
              <w:rPr>
                <w:rFonts w:ascii="Arial"/>
                <w:sz w:val="21"/>
              </w:rPr>
            </w:pPr>
          </w:p>
        </w:tc>
      </w:tr>
      <w:tr w14:paraId="357BD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704" w:type="dxa"/>
            <w:vMerge w:val="continue"/>
            <w:tcBorders>
              <w:top w:val="nil"/>
              <w:bottom w:val="nil"/>
            </w:tcBorders>
            <w:vAlign w:val="top"/>
          </w:tcPr>
          <w:p w14:paraId="7CBDA107">
            <w:pPr>
              <w:rPr>
                <w:rFonts w:ascii="Arial"/>
                <w:sz w:val="21"/>
              </w:rPr>
            </w:pPr>
          </w:p>
        </w:tc>
        <w:tc>
          <w:tcPr>
            <w:tcW w:w="330" w:type="dxa"/>
            <w:vMerge w:val="continue"/>
            <w:tcBorders>
              <w:top w:val="nil"/>
            </w:tcBorders>
            <w:vAlign w:val="top"/>
          </w:tcPr>
          <w:p w14:paraId="0591B9B8">
            <w:pPr>
              <w:rPr>
                <w:rFonts w:ascii="Arial"/>
                <w:sz w:val="21"/>
              </w:rPr>
            </w:pPr>
          </w:p>
        </w:tc>
        <w:tc>
          <w:tcPr>
            <w:tcW w:w="949" w:type="dxa"/>
            <w:vAlign w:val="top"/>
          </w:tcPr>
          <w:p w14:paraId="583D5DB5">
            <w:pPr>
              <w:spacing w:line="261" w:lineRule="auto"/>
              <w:rPr>
                <w:rFonts w:ascii="Arial"/>
                <w:sz w:val="21"/>
              </w:rPr>
            </w:pPr>
          </w:p>
          <w:p w14:paraId="65EC1460">
            <w:pPr>
              <w:spacing w:line="261" w:lineRule="auto"/>
              <w:rPr>
                <w:rFonts w:ascii="Arial"/>
                <w:sz w:val="21"/>
              </w:rPr>
            </w:pPr>
          </w:p>
          <w:p w14:paraId="2D96B23A">
            <w:pPr>
              <w:pStyle w:val="6"/>
              <w:spacing w:before="71" w:line="239" w:lineRule="auto"/>
              <w:ind w:left="81"/>
            </w:pPr>
            <w:r>
              <w:rPr>
                <w:spacing w:val="-3"/>
              </w:rPr>
              <w:t>3.1</w:t>
            </w:r>
          </w:p>
        </w:tc>
        <w:tc>
          <w:tcPr>
            <w:tcW w:w="4615" w:type="dxa"/>
            <w:vAlign w:val="top"/>
          </w:tcPr>
          <w:p w14:paraId="7EB3E7BA">
            <w:pPr>
              <w:pStyle w:val="6"/>
              <w:spacing w:before="55" w:line="219" w:lineRule="auto"/>
              <w:ind w:left="111"/>
            </w:pPr>
            <w:r>
              <w:rPr>
                <w:spacing w:val="1"/>
              </w:rPr>
              <w:t>额定容量2.5/5</w:t>
            </w:r>
            <w:r>
              <w:t>MWh</w:t>
            </w:r>
            <w:r>
              <w:rPr>
                <w:spacing w:val="1"/>
              </w:rPr>
              <w:t>(含35</w:t>
            </w:r>
            <w:r>
              <w:t>KV</w:t>
            </w:r>
            <w:r>
              <w:rPr>
                <w:spacing w:val="1"/>
              </w:rPr>
              <w:t xml:space="preserve"> 2.5</w:t>
            </w:r>
            <w:r>
              <w:t>MW</w:t>
            </w:r>
            <w:r>
              <w:rPr>
                <w:spacing w:val="1"/>
              </w:rPr>
              <w:t>储能升压一</w:t>
            </w:r>
          </w:p>
          <w:p w14:paraId="7F602DE9">
            <w:pPr>
              <w:pStyle w:val="6"/>
              <w:spacing w:before="7" w:line="220" w:lineRule="auto"/>
              <w:ind w:left="101" w:right="81" w:firstLine="10"/>
            </w:pPr>
            <w:r>
              <w:t>体机，5MWh电池集装箱。其中每套储能升压一</w:t>
            </w:r>
            <w:r>
              <w:rPr>
                <w:spacing w:val="10"/>
              </w:rPr>
              <w:t xml:space="preserve"> </w:t>
            </w:r>
            <w:r>
              <w:t>体机需配置2台1250kWPCS、一台3</w:t>
            </w:r>
            <w:r>
              <w:rPr>
                <w:spacing w:val="-1"/>
              </w:rPr>
              <w:t>5KV2500kVA</w:t>
            </w:r>
          </w:p>
          <w:p w14:paraId="25FE7B90">
            <w:pPr>
              <w:pStyle w:val="6"/>
              <w:spacing w:before="17" w:line="203" w:lineRule="auto"/>
              <w:ind w:left="111"/>
            </w:pPr>
            <w:r>
              <w:rPr>
                <w:spacing w:val="-8"/>
              </w:rPr>
              <w:t>双绕组干式变压器及配套的高压环网柜、通讯动</w:t>
            </w:r>
            <w:r>
              <w:rPr>
                <w:spacing w:val="7"/>
              </w:rPr>
              <w:t xml:space="preserve"> </w:t>
            </w:r>
            <w:r>
              <w:rPr>
                <w:spacing w:val="-1"/>
              </w:rPr>
              <w:t>力柜、集装箱壳体、电缆及相关配套设备等。)</w:t>
            </w:r>
          </w:p>
        </w:tc>
        <w:tc>
          <w:tcPr>
            <w:tcW w:w="659" w:type="dxa"/>
            <w:vAlign w:val="top"/>
          </w:tcPr>
          <w:p w14:paraId="7E91E586">
            <w:pPr>
              <w:spacing w:line="250" w:lineRule="auto"/>
              <w:rPr>
                <w:rFonts w:ascii="Arial"/>
                <w:sz w:val="21"/>
              </w:rPr>
            </w:pPr>
          </w:p>
          <w:p w14:paraId="313B8779">
            <w:pPr>
              <w:spacing w:line="251" w:lineRule="auto"/>
              <w:rPr>
                <w:rFonts w:ascii="Arial"/>
                <w:sz w:val="21"/>
              </w:rPr>
            </w:pPr>
          </w:p>
          <w:p w14:paraId="794D9040">
            <w:pPr>
              <w:pStyle w:val="6"/>
              <w:spacing w:before="71" w:line="220" w:lineRule="auto"/>
              <w:ind w:left="96"/>
            </w:pPr>
            <w:r>
              <w:t>套</w:t>
            </w:r>
          </w:p>
        </w:tc>
        <w:tc>
          <w:tcPr>
            <w:tcW w:w="939" w:type="dxa"/>
            <w:vAlign w:val="top"/>
          </w:tcPr>
          <w:p w14:paraId="0641C23C">
            <w:pPr>
              <w:spacing w:line="261" w:lineRule="auto"/>
              <w:rPr>
                <w:rFonts w:ascii="Arial"/>
                <w:sz w:val="21"/>
              </w:rPr>
            </w:pPr>
          </w:p>
          <w:p w14:paraId="0CAA7070">
            <w:pPr>
              <w:spacing w:line="261" w:lineRule="auto"/>
              <w:rPr>
                <w:rFonts w:ascii="Arial"/>
                <w:sz w:val="21"/>
              </w:rPr>
            </w:pPr>
          </w:p>
          <w:p w14:paraId="16175580">
            <w:pPr>
              <w:pStyle w:val="6"/>
              <w:spacing w:before="71" w:line="239" w:lineRule="auto"/>
              <w:ind w:left="88"/>
            </w:pPr>
            <w:r>
              <w:rPr>
                <w:spacing w:val="-3"/>
              </w:rPr>
              <w:t>2.00</w:t>
            </w:r>
          </w:p>
        </w:tc>
        <w:tc>
          <w:tcPr>
            <w:tcW w:w="529" w:type="dxa"/>
            <w:vAlign w:val="top"/>
          </w:tcPr>
          <w:p w14:paraId="4BE73A2E">
            <w:pPr>
              <w:rPr>
                <w:rFonts w:ascii="Arial"/>
                <w:sz w:val="21"/>
              </w:rPr>
            </w:pPr>
          </w:p>
        </w:tc>
        <w:tc>
          <w:tcPr>
            <w:tcW w:w="334" w:type="dxa"/>
            <w:vMerge w:val="continue"/>
            <w:tcBorders>
              <w:top w:val="nil"/>
            </w:tcBorders>
            <w:vAlign w:val="top"/>
          </w:tcPr>
          <w:p w14:paraId="27352516">
            <w:pPr>
              <w:rPr>
                <w:rFonts w:ascii="Arial"/>
                <w:sz w:val="21"/>
              </w:rPr>
            </w:pPr>
          </w:p>
        </w:tc>
      </w:tr>
      <w:tr w14:paraId="1F781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7" w:hRule="atLeast"/>
        </w:trPr>
        <w:tc>
          <w:tcPr>
            <w:tcW w:w="704" w:type="dxa"/>
            <w:vMerge w:val="continue"/>
            <w:tcBorders>
              <w:top w:val="nil"/>
            </w:tcBorders>
            <w:vAlign w:val="top"/>
          </w:tcPr>
          <w:p w14:paraId="1A147D90">
            <w:pPr>
              <w:rPr>
                <w:rFonts w:ascii="Arial"/>
                <w:sz w:val="21"/>
              </w:rPr>
            </w:pPr>
          </w:p>
        </w:tc>
        <w:tc>
          <w:tcPr>
            <w:tcW w:w="8355" w:type="dxa"/>
            <w:gridSpan w:val="7"/>
            <w:vAlign w:val="top"/>
          </w:tcPr>
          <w:p w14:paraId="67908DB7">
            <w:pPr>
              <w:pStyle w:val="6"/>
              <w:spacing w:before="52" w:line="219" w:lineRule="auto"/>
              <w:ind w:left="104"/>
            </w:pPr>
            <w:r>
              <w:rPr>
                <w:b/>
                <w:bCs/>
                <w:spacing w:val="-17"/>
              </w:rPr>
              <w:t>1</w:t>
            </w:r>
            <w:r>
              <w:rPr>
                <w:spacing w:val="-42"/>
              </w:rPr>
              <w:t xml:space="preserve"> </w:t>
            </w:r>
            <w:r>
              <w:rPr>
                <w:b/>
                <w:bCs/>
                <w:spacing w:val="-17"/>
              </w:rPr>
              <w:t>6</w:t>
            </w:r>
            <w:r>
              <w:rPr>
                <w:spacing w:val="-49"/>
              </w:rPr>
              <w:t xml:space="preserve"> </w:t>
            </w:r>
            <w:r>
              <w:rPr>
                <w:b/>
                <w:bCs/>
                <w:spacing w:val="-17"/>
              </w:rPr>
              <w:t>拆</w:t>
            </w:r>
            <w:r>
              <w:rPr>
                <w:spacing w:val="-49"/>
              </w:rPr>
              <w:t xml:space="preserve"> </w:t>
            </w:r>
            <w:r>
              <w:rPr>
                <w:b/>
                <w:bCs/>
                <w:spacing w:val="-17"/>
              </w:rPr>
              <w:t>迁</w:t>
            </w:r>
            <w:r>
              <w:rPr>
                <w:spacing w:val="-17"/>
              </w:rPr>
              <w:t xml:space="preserve"> </w:t>
            </w:r>
            <w:r>
              <w:rPr>
                <w:b/>
                <w:bCs/>
                <w:spacing w:val="-17"/>
              </w:rPr>
              <w:t>(</w:t>
            </w:r>
            <w:r>
              <w:rPr>
                <w:spacing w:val="-47"/>
              </w:rPr>
              <w:t xml:space="preserve"> </w:t>
            </w:r>
            <w:r>
              <w:rPr>
                <w:b/>
                <w:bCs/>
                <w:spacing w:val="-17"/>
              </w:rPr>
              <w:t>移</w:t>
            </w:r>
            <w:r>
              <w:rPr>
                <w:spacing w:val="-27"/>
              </w:rPr>
              <w:t xml:space="preserve"> </w:t>
            </w:r>
            <w:r>
              <w:rPr>
                <w:b/>
                <w:bCs/>
                <w:spacing w:val="-17"/>
              </w:rPr>
              <w:t>民</w:t>
            </w:r>
            <w:r>
              <w:rPr>
                <w:spacing w:val="-48"/>
              </w:rPr>
              <w:t xml:space="preserve"> </w:t>
            </w:r>
            <w:r>
              <w:rPr>
                <w:b/>
                <w:bCs/>
                <w:spacing w:val="-17"/>
              </w:rPr>
              <w:t>)</w:t>
            </w:r>
            <w:r>
              <w:rPr>
                <w:spacing w:val="-44"/>
              </w:rPr>
              <w:t xml:space="preserve"> </w:t>
            </w:r>
            <w:r>
              <w:rPr>
                <w:b/>
                <w:bCs/>
                <w:spacing w:val="-17"/>
              </w:rPr>
              <w:t>安</w:t>
            </w:r>
            <w:r>
              <w:rPr>
                <w:spacing w:val="-50"/>
              </w:rPr>
              <w:t xml:space="preserve"> </w:t>
            </w:r>
            <w:r>
              <w:rPr>
                <w:b/>
                <w:bCs/>
                <w:spacing w:val="-17"/>
              </w:rPr>
              <w:t>置</w:t>
            </w:r>
            <w:r>
              <w:rPr>
                <w:spacing w:val="-44"/>
              </w:rPr>
              <w:t xml:space="preserve"> </w:t>
            </w:r>
            <w:r>
              <w:rPr>
                <w:b/>
                <w:bCs/>
                <w:spacing w:val="-17"/>
              </w:rPr>
              <w:t>与</w:t>
            </w:r>
            <w:r>
              <w:rPr>
                <w:spacing w:val="-47"/>
              </w:rPr>
              <w:t xml:space="preserve"> </w:t>
            </w:r>
            <w:r>
              <w:rPr>
                <w:b/>
                <w:bCs/>
                <w:spacing w:val="-17"/>
              </w:rPr>
              <w:t>专</w:t>
            </w:r>
            <w:r>
              <w:rPr>
                <w:spacing w:val="-45"/>
              </w:rPr>
              <w:t xml:space="preserve"> </w:t>
            </w:r>
            <w:r>
              <w:rPr>
                <w:b/>
                <w:bCs/>
                <w:spacing w:val="-17"/>
              </w:rPr>
              <w:t>项</w:t>
            </w:r>
            <w:r>
              <w:rPr>
                <w:spacing w:val="-45"/>
              </w:rPr>
              <w:t xml:space="preserve"> </w:t>
            </w:r>
            <w:r>
              <w:rPr>
                <w:b/>
                <w:bCs/>
                <w:spacing w:val="-17"/>
              </w:rPr>
              <w:t>设</w:t>
            </w:r>
            <w:r>
              <w:rPr>
                <w:spacing w:val="-49"/>
              </w:rPr>
              <w:t xml:space="preserve"> </w:t>
            </w:r>
            <w:r>
              <w:rPr>
                <w:b/>
                <w:bCs/>
                <w:spacing w:val="-17"/>
              </w:rPr>
              <w:t>施</w:t>
            </w:r>
            <w:r>
              <w:rPr>
                <w:spacing w:val="-41"/>
              </w:rPr>
              <w:t xml:space="preserve"> </w:t>
            </w:r>
            <w:r>
              <w:rPr>
                <w:b/>
                <w:bCs/>
                <w:spacing w:val="-17"/>
              </w:rPr>
              <w:t>改</w:t>
            </w:r>
            <w:r>
              <w:rPr>
                <w:spacing w:val="-17"/>
              </w:rPr>
              <w:t xml:space="preserve"> </w:t>
            </w:r>
            <w:r>
              <w:rPr>
                <w:b/>
                <w:bCs/>
                <w:spacing w:val="-17"/>
              </w:rPr>
              <w:t>(</w:t>
            </w:r>
            <w:r>
              <w:rPr>
                <w:spacing w:val="-49"/>
              </w:rPr>
              <w:t xml:space="preserve"> </w:t>
            </w:r>
            <w:r>
              <w:rPr>
                <w:b/>
                <w:bCs/>
                <w:spacing w:val="-17"/>
              </w:rPr>
              <w:t>迁</w:t>
            </w:r>
            <w:r>
              <w:rPr>
                <w:spacing w:val="-47"/>
              </w:rPr>
              <w:t xml:space="preserve"> </w:t>
            </w:r>
            <w:r>
              <w:rPr>
                <w:b/>
                <w:bCs/>
                <w:spacing w:val="-17"/>
              </w:rPr>
              <w:t>)</w:t>
            </w:r>
            <w:r>
              <w:rPr>
                <w:spacing w:val="-46"/>
              </w:rPr>
              <w:t xml:space="preserve"> </w:t>
            </w:r>
            <w:r>
              <w:rPr>
                <w:b/>
                <w:bCs/>
                <w:spacing w:val="-17"/>
              </w:rPr>
              <w:t>建</w:t>
            </w:r>
          </w:p>
          <w:p w14:paraId="54B6CD99">
            <w:pPr>
              <w:pStyle w:val="6"/>
              <w:spacing w:before="211" w:line="379" w:lineRule="auto"/>
              <w:ind w:left="100" w:right="742" w:firstLine="469"/>
            </w:pPr>
            <w:r>
              <w:t>根据项目建设区域占地情况，建设区域内不涉及农</w:t>
            </w:r>
            <w:r>
              <w:rPr>
                <w:spacing w:val="-1"/>
              </w:rPr>
              <w:t>户房屋拆除及专项设施</w:t>
            </w:r>
            <w:r>
              <w:t xml:space="preserve"> 改(迁)建，故本项目不考虑移民安置问题。</w:t>
            </w:r>
          </w:p>
          <w:p w14:paraId="30BD0828">
            <w:pPr>
              <w:pStyle w:val="6"/>
              <w:spacing w:before="4" w:line="219" w:lineRule="auto"/>
              <w:ind w:left="104"/>
            </w:pPr>
            <w:r>
              <w:rPr>
                <w:b/>
                <w:bCs/>
                <w:spacing w:val="-2"/>
              </w:rPr>
              <w:t>17劳动定员和工作制度</w:t>
            </w:r>
          </w:p>
          <w:p w14:paraId="38EAAB88">
            <w:pPr>
              <w:pStyle w:val="6"/>
              <w:spacing w:before="209" w:line="219" w:lineRule="auto"/>
              <w:ind w:left="574"/>
            </w:pPr>
            <w:r>
              <w:rPr>
                <w:b/>
                <w:bCs/>
                <w:spacing w:val="-1"/>
              </w:rPr>
              <w:t>职工人数：</w:t>
            </w:r>
            <w:r>
              <w:rPr>
                <w:spacing w:val="-1"/>
              </w:rPr>
              <w:t>升压站值班人员设置6人，员工均在升压站内就餐及住宿。</w:t>
            </w:r>
          </w:p>
          <w:p w14:paraId="7095E6AD">
            <w:pPr>
              <w:pStyle w:val="6"/>
              <w:spacing w:before="208" w:line="367" w:lineRule="auto"/>
              <w:ind w:left="100" w:right="944" w:firstLine="483"/>
            </w:pPr>
            <w:r>
              <w:rPr>
                <w:b/>
                <w:bCs/>
                <w:spacing w:val="-1"/>
              </w:rPr>
              <w:t>工作制度：</w:t>
            </w:r>
            <w:r>
              <w:rPr>
                <w:spacing w:val="-1"/>
              </w:rPr>
              <w:t>项目全年进行生产，年工作时间365天，升压站实行3班制，</w:t>
            </w:r>
            <w:r>
              <w:rPr>
                <w:spacing w:val="17"/>
              </w:rPr>
              <w:t xml:space="preserve"> </w:t>
            </w:r>
            <w:r>
              <w:t>光伏场区实行2班制，每班8小时。</w:t>
            </w:r>
          </w:p>
        </w:tc>
      </w:tr>
      <w:tr w14:paraId="09670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04" w:type="dxa"/>
            <w:vAlign w:val="top"/>
          </w:tcPr>
          <w:p w14:paraId="039A29BC">
            <w:pPr>
              <w:pStyle w:val="6"/>
              <w:spacing w:before="43" w:line="223" w:lineRule="auto"/>
              <w:ind w:left="124"/>
            </w:pPr>
            <w:r>
              <w:rPr>
                <w:spacing w:val="5"/>
              </w:rPr>
              <w:t>总平</w:t>
            </w:r>
          </w:p>
          <w:p w14:paraId="6D9BD495">
            <w:pPr>
              <w:pStyle w:val="6"/>
              <w:spacing w:before="41" w:line="221" w:lineRule="auto"/>
              <w:ind w:left="124"/>
            </w:pPr>
            <w:r>
              <w:rPr>
                <w:spacing w:val="6"/>
              </w:rPr>
              <w:t>面及</w:t>
            </w:r>
          </w:p>
        </w:tc>
        <w:tc>
          <w:tcPr>
            <w:tcW w:w="8355" w:type="dxa"/>
            <w:gridSpan w:val="7"/>
            <w:vAlign w:val="top"/>
          </w:tcPr>
          <w:p w14:paraId="55446D59">
            <w:pPr>
              <w:pStyle w:val="6"/>
              <w:spacing w:before="106" w:line="220" w:lineRule="auto"/>
              <w:ind w:left="104"/>
            </w:pPr>
            <w:r>
              <w:rPr>
                <w:b/>
                <w:bCs/>
                <w:spacing w:val="-20"/>
              </w:rPr>
              <w:t>1</w:t>
            </w:r>
            <w:r>
              <w:rPr>
                <w:spacing w:val="-30"/>
              </w:rPr>
              <w:t xml:space="preserve"> </w:t>
            </w:r>
            <w:r>
              <w:rPr>
                <w:b/>
                <w:bCs/>
                <w:spacing w:val="-20"/>
              </w:rPr>
              <w:t>工</w:t>
            </w:r>
            <w:r>
              <w:rPr>
                <w:spacing w:val="-34"/>
              </w:rPr>
              <w:t xml:space="preserve"> </w:t>
            </w:r>
            <w:r>
              <w:rPr>
                <w:b/>
                <w:bCs/>
                <w:spacing w:val="-20"/>
              </w:rPr>
              <w:t>程</w:t>
            </w:r>
            <w:r>
              <w:rPr>
                <w:spacing w:val="4"/>
              </w:rPr>
              <w:t xml:space="preserve"> </w:t>
            </w:r>
            <w:r>
              <w:rPr>
                <w:b/>
                <w:bCs/>
                <w:spacing w:val="-20"/>
              </w:rPr>
              <w:t>占</w:t>
            </w:r>
            <w:r>
              <w:rPr>
                <w:spacing w:val="-32"/>
              </w:rPr>
              <w:t xml:space="preserve"> </w:t>
            </w:r>
            <w:r>
              <w:rPr>
                <w:b/>
                <w:bCs/>
                <w:spacing w:val="-20"/>
              </w:rPr>
              <w:t>地</w:t>
            </w:r>
          </w:p>
        </w:tc>
      </w:tr>
    </w:tbl>
    <w:p w14:paraId="67DDC3B5">
      <w:pPr>
        <w:pStyle w:val="2"/>
      </w:pPr>
    </w:p>
    <w:p w14:paraId="7F47C5A9">
      <w:pPr>
        <w:sectPr>
          <w:footerReference r:id="rId72" w:type="default"/>
          <w:pgSz w:w="11910" w:h="16830"/>
          <w:pgMar w:top="400" w:right="1455" w:bottom="1259" w:left="1385" w:header="0" w:footer="1079" w:gutter="0"/>
          <w:cols w:space="720" w:num="1"/>
        </w:sectPr>
      </w:pPr>
    </w:p>
    <w:p w14:paraId="565E3542">
      <w:pPr>
        <w:spacing w:before="18"/>
      </w:pPr>
    </w:p>
    <w:p w14:paraId="3DDC99CB">
      <w:pPr>
        <w:spacing w:before="17"/>
      </w:pPr>
    </w:p>
    <w:p w14:paraId="670043F7">
      <w:pPr>
        <w:spacing w:before="17"/>
      </w:pPr>
    </w:p>
    <w:p w14:paraId="512D6B82">
      <w:pPr>
        <w:spacing w:before="17"/>
      </w:pPr>
    </w:p>
    <w:tbl>
      <w:tblPr>
        <w:tblStyle w:val="5"/>
        <w:tblW w:w="90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8385"/>
      </w:tblGrid>
      <w:tr w14:paraId="47CE8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50" w:hRule="atLeast"/>
        </w:trPr>
        <w:tc>
          <w:tcPr>
            <w:tcW w:w="694" w:type="dxa"/>
            <w:vAlign w:val="top"/>
          </w:tcPr>
          <w:p w14:paraId="3F2808C4">
            <w:pPr>
              <w:pStyle w:val="6"/>
              <w:spacing w:before="25" w:line="239" w:lineRule="auto"/>
              <w:ind w:left="94" w:right="94"/>
              <w:rPr>
                <w:sz w:val="24"/>
                <w:szCs w:val="24"/>
              </w:rPr>
            </w:pPr>
            <w:r>
              <w:rPr>
                <w:spacing w:val="7"/>
                <w:sz w:val="24"/>
                <w:szCs w:val="24"/>
              </w:rPr>
              <w:t>现场</w:t>
            </w:r>
            <w:r>
              <w:rPr>
                <w:sz w:val="24"/>
                <w:szCs w:val="24"/>
              </w:rPr>
              <w:t xml:space="preserve"> </w:t>
            </w:r>
            <w:r>
              <w:rPr>
                <w:spacing w:val="-3"/>
                <w:sz w:val="24"/>
                <w:szCs w:val="24"/>
              </w:rPr>
              <w:t>布置</w:t>
            </w:r>
          </w:p>
        </w:tc>
        <w:tc>
          <w:tcPr>
            <w:tcW w:w="8385" w:type="dxa"/>
            <w:vAlign w:val="top"/>
          </w:tcPr>
          <w:p w14:paraId="2801943C">
            <w:pPr>
              <w:pStyle w:val="6"/>
              <w:spacing w:before="131" w:line="219" w:lineRule="auto"/>
              <w:ind w:left="1714"/>
              <w:rPr>
                <w:sz w:val="24"/>
                <w:szCs w:val="24"/>
              </w:rPr>
            </w:pPr>
            <w:r>
              <w:rPr>
                <w:b/>
                <w:bCs/>
                <w:spacing w:val="5"/>
                <w:sz w:val="24"/>
                <w:szCs w:val="24"/>
              </w:rPr>
              <w:t>表2-4项目占地类型及面积统计表</w:t>
            </w:r>
            <w:r>
              <w:rPr>
                <w:spacing w:val="5"/>
                <w:sz w:val="24"/>
                <w:szCs w:val="24"/>
              </w:rPr>
              <w:t xml:space="preserve"> </w:t>
            </w:r>
            <w:r>
              <w:rPr>
                <w:b/>
                <w:bCs/>
                <w:spacing w:val="5"/>
                <w:sz w:val="24"/>
                <w:szCs w:val="24"/>
              </w:rPr>
              <w:t>单位：</w:t>
            </w:r>
            <w:r>
              <w:rPr>
                <w:b/>
                <w:bCs/>
                <w:sz w:val="24"/>
                <w:szCs w:val="24"/>
              </w:rPr>
              <w:t>hm</w:t>
            </w:r>
            <w:r>
              <w:rPr>
                <w:b/>
                <w:bCs/>
                <w:spacing w:val="5"/>
                <w:sz w:val="24"/>
                <w:szCs w:val="24"/>
              </w:rPr>
              <w:t>²</w:t>
            </w:r>
          </w:p>
          <w:p w14:paraId="5DA5A962">
            <w:pPr>
              <w:spacing w:line="73" w:lineRule="exact"/>
            </w:pPr>
          </w:p>
          <w:tbl>
            <w:tblPr>
              <w:tblStyle w:val="5"/>
              <w:tblW w:w="8130" w:type="dxa"/>
              <w:tblInd w:w="1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919"/>
              <w:gridCol w:w="889"/>
              <w:gridCol w:w="918"/>
              <w:gridCol w:w="899"/>
              <w:gridCol w:w="899"/>
              <w:gridCol w:w="919"/>
              <w:gridCol w:w="919"/>
              <w:gridCol w:w="884"/>
            </w:tblGrid>
            <w:tr w14:paraId="130BB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884" w:type="dxa"/>
                  <w:vAlign w:val="top"/>
                </w:tcPr>
                <w:p w14:paraId="0F809277">
                  <w:pPr>
                    <w:pStyle w:val="6"/>
                    <w:spacing w:before="14" w:line="220" w:lineRule="auto"/>
                    <w:ind w:left="65"/>
                    <w:rPr>
                      <w:sz w:val="21"/>
                      <w:szCs w:val="21"/>
                    </w:rPr>
                  </w:pPr>
                  <w:r>
                    <w:rPr>
                      <w:spacing w:val="-6"/>
                      <w:sz w:val="21"/>
                      <w:szCs w:val="21"/>
                    </w:rPr>
                    <w:t>项 目</w:t>
                  </w:r>
                </w:p>
              </w:tc>
              <w:tc>
                <w:tcPr>
                  <w:tcW w:w="919" w:type="dxa"/>
                  <w:vAlign w:val="top"/>
                </w:tcPr>
                <w:p w14:paraId="533501C6">
                  <w:pPr>
                    <w:pStyle w:val="6"/>
                    <w:spacing w:before="13" w:line="229" w:lineRule="auto"/>
                    <w:ind w:left="70" w:right="217"/>
                    <w:rPr>
                      <w:sz w:val="21"/>
                      <w:szCs w:val="21"/>
                    </w:rPr>
                  </w:pPr>
                  <w:r>
                    <w:rPr>
                      <w:spacing w:val="-4"/>
                      <w:sz w:val="21"/>
                      <w:szCs w:val="21"/>
                    </w:rPr>
                    <w:t>乔木林</w:t>
                  </w:r>
                  <w:r>
                    <w:rPr>
                      <w:spacing w:val="1"/>
                      <w:sz w:val="21"/>
                      <w:szCs w:val="21"/>
                    </w:rPr>
                    <w:t xml:space="preserve"> </w:t>
                  </w:r>
                  <w:r>
                    <w:rPr>
                      <w:sz w:val="21"/>
                      <w:szCs w:val="21"/>
                    </w:rPr>
                    <w:t>地</w:t>
                  </w:r>
                </w:p>
              </w:tc>
              <w:tc>
                <w:tcPr>
                  <w:tcW w:w="889" w:type="dxa"/>
                  <w:vAlign w:val="top"/>
                </w:tcPr>
                <w:p w14:paraId="3D6DF459">
                  <w:pPr>
                    <w:pStyle w:val="6"/>
                    <w:spacing w:before="13" w:line="229" w:lineRule="auto"/>
                    <w:ind w:left="61" w:right="197"/>
                    <w:rPr>
                      <w:sz w:val="21"/>
                      <w:szCs w:val="21"/>
                    </w:rPr>
                  </w:pPr>
                  <w:r>
                    <w:rPr>
                      <w:spacing w:val="-4"/>
                      <w:sz w:val="21"/>
                      <w:szCs w:val="21"/>
                    </w:rPr>
                    <w:t>灌木林</w:t>
                  </w:r>
                  <w:r>
                    <w:rPr>
                      <w:sz w:val="21"/>
                      <w:szCs w:val="21"/>
                    </w:rPr>
                    <w:t xml:space="preserve"> 地</w:t>
                  </w:r>
                </w:p>
              </w:tc>
              <w:tc>
                <w:tcPr>
                  <w:tcW w:w="918" w:type="dxa"/>
                  <w:vAlign w:val="top"/>
                </w:tcPr>
                <w:p w14:paraId="2364BC5B">
                  <w:pPr>
                    <w:pStyle w:val="6"/>
                    <w:spacing w:before="13" w:line="219" w:lineRule="auto"/>
                    <w:ind w:left="122"/>
                    <w:rPr>
                      <w:sz w:val="21"/>
                      <w:szCs w:val="21"/>
                    </w:rPr>
                  </w:pPr>
                  <w:r>
                    <w:rPr>
                      <w:spacing w:val="-3"/>
                      <w:sz w:val="21"/>
                      <w:szCs w:val="21"/>
                    </w:rPr>
                    <w:t>草地</w:t>
                  </w:r>
                </w:p>
              </w:tc>
              <w:tc>
                <w:tcPr>
                  <w:tcW w:w="899" w:type="dxa"/>
                  <w:vAlign w:val="top"/>
                </w:tcPr>
                <w:p w14:paraId="722E3E0B">
                  <w:pPr>
                    <w:pStyle w:val="6"/>
                    <w:spacing w:before="12" w:line="219" w:lineRule="auto"/>
                    <w:ind w:left="74"/>
                    <w:rPr>
                      <w:sz w:val="21"/>
                      <w:szCs w:val="21"/>
                    </w:rPr>
                  </w:pPr>
                  <w:r>
                    <w:rPr>
                      <w:spacing w:val="-3"/>
                      <w:sz w:val="21"/>
                      <w:szCs w:val="21"/>
                    </w:rPr>
                    <w:t>耕地</w:t>
                  </w:r>
                </w:p>
              </w:tc>
              <w:tc>
                <w:tcPr>
                  <w:tcW w:w="899" w:type="dxa"/>
                  <w:vAlign w:val="top"/>
                </w:tcPr>
                <w:p w14:paraId="149B2091">
                  <w:pPr>
                    <w:pStyle w:val="6"/>
                    <w:spacing w:before="14" w:line="221" w:lineRule="auto"/>
                    <w:ind w:left="126"/>
                    <w:rPr>
                      <w:sz w:val="21"/>
                      <w:szCs w:val="21"/>
                    </w:rPr>
                  </w:pPr>
                  <w:r>
                    <w:rPr>
                      <w:spacing w:val="2"/>
                      <w:sz w:val="21"/>
                      <w:szCs w:val="21"/>
                    </w:rPr>
                    <w:t>交通运</w:t>
                  </w:r>
                </w:p>
                <w:p w14:paraId="5C1E137F">
                  <w:pPr>
                    <w:pStyle w:val="6"/>
                    <w:spacing w:before="27" w:line="211" w:lineRule="auto"/>
                    <w:ind w:left="126"/>
                    <w:rPr>
                      <w:sz w:val="21"/>
                      <w:szCs w:val="21"/>
                    </w:rPr>
                  </w:pPr>
                  <w:r>
                    <w:rPr>
                      <w:spacing w:val="-2"/>
                      <w:sz w:val="21"/>
                      <w:szCs w:val="21"/>
                    </w:rPr>
                    <w:t>输用地</w:t>
                  </w:r>
                </w:p>
              </w:tc>
              <w:tc>
                <w:tcPr>
                  <w:tcW w:w="919" w:type="dxa"/>
                  <w:vAlign w:val="top"/>
                </w:tcPr>
                <w:p w14:paraId="2C7BBC31">
                  <w:pPr>
                    <w:pStyle w:val="6"/>
                    <w:spacing w:before="24" w:line="224" w:lineRule="auto"/>
                    <w:ind w:left="86" w:right="126" w:firstLine="40"/>
                    <w:rPr>
                      <w:sz w:val="21"/>
                      <w:szCs w:val="21"/>
                    </w:rPr>
                  </w:pPr>
                  <w:r>
                    <w:rPr>
                      <w:spacing w:val="8"/>
                      <w:sz w:val="21"/>
                      <w:szCs w:val="21"/>
                    </w:rPr>
                    <w:t>工矿用</w:t>
                  </w:r>
                  <w:r>
                    <w:rPr>
                      <w:sz w:val="21"/>
                      <w:szCs w:val="21"/>
                    </w:rPr>
                    <w:t xml:space="preserve"> 地</w:t>
                  </w:r>
                </w:p>
              </w:tc>
              <w:tc>
                <w:tcPr>
                  <w:tcW w:w="919" w:type="dxa"/>
                  <w:vAlign w:val="top"/>
                </w:tcPr>
                <w:p w14:paraId="799C928F">
                  <w:pPr>
                    <w:pStyle w:val="6"/>
                    <w:spacing w:before="14" w:line="221" w:lineRule="auto"/>
                    <w:ind w:left="77"/>
                    <w:rPr>
                      <w:sz w:val="21"/>
                      <w:szCs w:val="21"/>
                    </w:rPr>
                  </w:pPr>
                  <w:r>
                    <w:rPr>
                      <w:spacing w:val="-3"/>
                      <w:sz w:val="21"/>
                      <w:szCs w:val="21"/>
                    </w:rPr>
                    <w:t>合计</w:t>
                  </w:r>
                </w:p>
              </w:tc>
              <w:tc>
                <w:tcPr>
                  <w:tcW w:w="884" w:type="dxa"/>
                  <w:vAlign w:val="top"/>
                </w:tcPr>
                <w:p w14:paraId="308FC035">
                  <w:pPr>
                    <w:pStyle w:val="6"/>
                    <w:spacing w:before="14" w:line="221" w:lineRule="auto"/>
                    <w:ind w:left="89"/>
                    <w:rPr>
                      <w:sz w:val="21"/>
                      <w:szCs w:val="21"/>
                    </w:rPr>
                  </w:pPr>
                  <w:r>
                    <w:rPr>
                      <w:spacing w:val="5"/>
                      <w:sz w:val="21"/>
                      <w:szCs w:val="21"/>
                    </w:rPr>
                    <w:t>备注</w:t>
                  </w:r>
                </w:p>
              </w:tc>
            </w:tr>
            <w:tr w14:paraId="71798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84" w:type="dxa"/>
                  <w:vAlign w:val="top"/>
                </w:tcPr>
                <w:p w14:paraId="34BF734C">
                  <w:pPr>
                    <w:pStyle w:val="6"/>
                    <w:spacing w:before="28" w:line="220" w:lineRule="auto"/>
                    <w:ind w:left="84" w:right="138" w:firstLine="30"/>
                    <w:rPr>
                      <w:sz w:val="21"/>
                      <w:szCs w:val="21"/>
                    </w:rPr>
                  </w:pPr>
                  <w:r>
                    <w:rPr>
                      <w:spacing w:val="-4"/>
                      <w:sz w:val="21"/>
                      <w:szCs w:val="21"/>
                    </w:rPr>
                    <w:t>光伏阵</w:t>
                  </w:r>
                  <w:r>
                    <w:rPr>
                      <w:spacing w:val="1"/>
                      <w:sz w:val="21"/>
                      <w:szCs w:val="21"/>
                    </w:rPr>
                    <w:t xml:space="preserve"> </w:t>
                  </w:r>
                  <w:r>
                    <w:rPr>
                      <w:sz w:val="21"/>
                      <w:szCs w:val="21"/>
                    </w:rPr>
                    <w:t>列</w:t>
                  </w:r>
                </w:p>
              </w:tc>
              <w:tc>
                <w:tcPr>
                  <w:tcW w:w="919" w:type="dxa"/>
                  <w:vAlign w:val="top"/>
                </w:tcPr>
                <w:p w14:paraId="29B3A67B">
                  <w:pPr>
                    <w:pStyle w:val="6"/>
                    <w:spacing w:before="70"/>
                    <w:ind w:left="70"/>
                    <w:rPr>
                      <w:sz w:val="21"/>
                      <w:szCs w:val="21"/>
                    </w:rPr>
                  </w:pPr>
                  <w:r>
                    <w:rPr>
                      <w:sz w:val="21"/>
                      <w:szCs w:val="21"/>
                    </w:rPr>
                    <w:t>0</w:t>
                  </w:r>
                </w:p>
              </w:tc>
              <w:tc>
                <w:tcPr>
                  <w:tcW w:w="889" w:type="dxa"/>
                  <w:vAlign w:val="top"/>
                </w:tcPr>
                <w:p w14:paraId="3A9A6FBC">
                  <w:pPr>
                    <w:pStyle w:val="6"/>
                    <w:spacing w:before="60"/>
                    <w:ind w:left="61"/>
                    <w:rPr>
                      <w:sz w:val="21"/>
                      <w:szCs w:val="21"/>
                    </w:rPr>
                  </w:pPr>
                  <w:r>
                    <w:rPr>
                      <w:sz w:val="21"/>
                      <w:szCs w:val="21"/>
                    </w:rPr>
                    <w:t>0</w:t>
                  </w:r>
                </w:p>
              </w:tc>
              <w:tc>
                <w:tcPr>
                  <w:tcW w:w="918" w:type="dxa"/>
                  <w:vAlign w:val="top"/>
                </w:tcPr>
                <w:p w14:paraId="4154109C">
                  <w:pPr>
                    <w:pStyle w:val="6"/>
                    <w:spacing w:before="60" w:line="239" w:lineRule="auto"/>
                    <w:ind w:left="82"/>
                    <w:rPr>
                      <w:sz w:val="21"/>
                      <w:szCs w:val="21"/>
                    </w:rPr>
                  </w:pPr>
                  <w:r>
                    <w:rPr>
                      <w:spacing w:val="-2"/>
                      <w:sz w:val="21"/>
                      <w:szCs w:val="21"/>
                    </w:rPr>
                    <w:t>92.3029</w:t>
                  </w:r>
                </w:p>
              </w:tc>
              <w:tc>
                <w:tcPr>
                  <w:tcW w:w="899" w:type="dxa"/>
                  <w:vAlign w:val="top"/>
                </w:tcPr>
                <w:p w14:paraId="4906FF18">
                  <w:pPr>
                    <w:pStyle w:val="6"/>
                    <w:spacing w:before="50"/>
                    <w:ind w:left="74"/>
                    <w:rPr>
                      <w:sz w:val="21"/>
                      <w:szCs w:val="21"/>
                    </w:rPr>
                  </w:pPr>
                  <w:r>
                    <w:rPr>
                      <w:sz w:val="21"/>
                      <w:szCs w:val="21"/>
                    </w:rPr>
                    <w:t>0</w:t>
                  </w:r>
                </w:p>
              </w:tc>
              <w:tc>
                <w:tcPr>
                  <w:tcW w:w="899" w:type="dxa"/>
                  <w:vAlign w:val="top"/>
                </w:tcPr>
                <w:p w14:paraId="6306571C">
                  <w:pPr>
                    <w:pStyle w:val="6"/>
                    <w:spacing w:before="50" w:line="239" w:lineRule="auto"/>
                    <w:ind w:left="126"/>
                    <w:rPr>
                      <w:sz w:val="21"/>
                      <w:szCs w:val="21"/>
                    </w:rPr>
                  </w:pPr>
                  <w:r>
                    <w:rPr>
                      <w:spacing w:val="-2"/>
                      <w:sz w:val="21"/>
                      <w:szCs w:val="21"/>
                    </w:rPr>
                    <w:t>0.0673</w:t>
                  </w:r>
                </w:p>
              </w:tc>
              <w:tc>
                <w:tcPr>
                  <w:tcW w:w="919" w:type="dxa"/>
                  <w:vAlign w:val="top"/>
                </w:tcPr>
                <w:p w14:paraId="1F4E2688">
                  <w:pPr>
                    <w:pStyle w:val="6"/>
                    <w:spacing w:before="60" w:line="239" w:lineRule="auto"/>
                    <w:ind w:left="86"/>
                    <w:rPr>
                      <w:sz w:val="21"/>
                      <w:szCs w:val="21"/>
                    </w:rPr>
                  </w:pPr>
                  <w:r>
                    <w:rPr>
                      <w:spacing w:val="-2"/>
                      <w:sz w:val="21"/>
                      <w:szCs w:val="21"/>
                    </w:rPr>
                    <w:t>5.0707</w:t>
                  </w:r>
                </w:p>
              </w:tc>
              <w:tc>
                <w:tcPr>
                  <w:tcW w:w="919" w:type="dxa"/>
                  <w:vAlign w:val="top"/>
                </w:tcPr>
                <w:p w14:paraId="501C3F45">
                  <w:pPr>
                    <w:pStyle w:val="6"/>
                    <w:spacing w:before="60" w:line="239" w:lineRule="auto"/>
                    <w:ind w:left="87"/>
                    <w:rPr>
                      <w:sz w:val="21"/>
                      <w:szCs w:val="21"/>
                    </w:rPr>
                  </w:pPr>
                  <w:r>
                    <w:rPr>
                      <w:spacing w:val="-2"/>
                      <w:sz w:val="21"/>
                      <w:szCs w:val="21"/>
                    </w:rPr>
                    <w:t>97.4409</w:t>
                  </w:r>
                </w:p>
              </w:tc>
              <w:tc>
                <w:tcPr>
                  <w:tcW w:w="884" w:type="dxa"/>
                  <w:vAlign w:val="top"/>
                </w:tcPr>
                <w:p w14:paraId="7F5B4FBB">
                  <w:pPr>
                    <w:pStyle w:val="6"/>
                    <w:spacing w:before="39" w:line="215" w:lineRule="auto"/>
                    <w:ind w:left="89" w:right="137"/>
                    <w:rPr>
                      <w:sz w:val="21"/>
                      <w:szCs w:val="21"/>
                    </w:rPr>
                  </w:pPr>
                  <w:r>
                    <w:rPr>
                      <w:spacing w:val="5"/>
                      <w:sz w:val="21"/>
                      <w:szCs w:val="21"/>
                    </w:rPr>
                    <w:t>临时占</w:t>
                  </w:r>
                  <w:r>
                    <w:rPr>
                      <w:spacing w:val="1"/>
                      <w:sz w:val="21"/>
                      <w:szCs w:val="21"/>
                    </w:rPr>
                    <w:t xml:space="preserve"> </w:t>
                  </w:r>
                  <w:r>
                    <w:rPr>
                      <w:sz w:val="21"/>
                      <w:szCs w:val="21"/>
                    </w:rPr>
                    <w:t>地</w:t>
                  </w:r>
                </w:p>
              </w:tc>
            </w:tr>
            <w:tr w14:paraId="2BB9D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84" w:type="dxa"/>
                  <w:vAlign w:val="top"/>
                </w:tcPr>
                <w:p w14:paraId="2ACB9343">
                  <w:pPr>
                    <w:pStyle w:val="6"/>
                    <w:spacing w:before="21" w:line="221" w:lineRule="auto"/>
                    <w:ind w:left="114"/>
                    <w:rPr>
                      <w:sz w:val="21"/>
                      <w:szCs w:val="21"/>
                    </w:rPr>
                  </w:pPr>
                  <w:r>
                    <w:rPr>
                      <w:spacing w:val="3"/>
                      <w:sz w:val="21"/>
                      <w:szCs w:val="21"/>
                    </w:rPr>
                    <w:t>升压站</w:t>
                  </w:r>
                </w:p>
                <w:p w14:paraId="592DB47C">
                  <w:pPr>
                    <w:pStyle w:val="6"/>
                    <w:spacing w:before="27" w:line="209" w:lineRule="auto"/>
                    <w:ind w:left="114"/>
                    <w:rPr>
                      <w:sz w:val="21"/>
                      <w:szCs w:val="21"/>
                    </w:rPr>
                  </w:pPr>
                  <w:r>
                    <w:rPr>
                      <w:spacing w:val="-2"/>
                      <w:sz w:val="21"/>
                      <w:szCs w:val="21"/>
                    </w:rPr>
                    <w:t>及箱变</w:t>
                  </w:r>
                </w:p>
              </w:tc>
              <w:tc>
                <w:tcPr>
                  <w:tcW w:w="919" w:type="dxa"/>
                  <w:vAlign w:val="top"/>
                </w:tcPr>
                <w:p w14:paraId="597BD824">
                  <w:pPr>
                    <w:pStyle w:val="6"/>
                    <w:spacing w:before="31" w:line="239" w:lineRule="auto"/>
                    <w:ind w:left="70"/>
                    <w:rPr>
                      <w:sz w:val="21"/>
                      <w:szCs w:val="21"/>
                    </w:rPr>
                  </w:pPr>
                  <w:r>
                    <w:rPr>
                      <w:spacing w:val="-2"/>
                      <w:sz w:val="21"/>
                      <w:szCs w:val="21"/>
                    </w:rPr>
                    <w:t>0.4813</w:t>
                  </w:r>
                </w:p>
              </w:tc>
              <w:tc>
                <w:tcPr>
                  <w:tcW w:w="889" w:type="dxa"/>
                  <w:vAlign w:val="top"/>
                </w:tcPr>
                <w:p w14:paraId="186B7175">
                  <w:pPr>
                    <w:pStyle w:val="6"/>
                    <w:spacing w:before="31"/>
                    <w:ind w:left="61"/>
                    <w:rPr>
                      <w:sz w:val="21"/>
                      <w:szCs w:val="21"/>
                    </w:rPr>
                  </w:pPr>
                  <w:r>
                    <w:rPr>
                      <w:sz w:val="21"/>
                      <w:szCs w:val="21"/>
                    </w:rPr>
                    <w:t>0</w:t>
                  </w:r>
                </w:p>
              </w:tc>
              <w:tc>
                <w:tcPr>
                  <w:tcW w:w="918" w:type="dxa"/>
                  <w:vAlign w:val="top"/>
                </w:tcPr>
                <w:p w14:paraId="16FF77DC">
                  <w:pPr>
                    <w:pStyle w:val="6"/>
                    <w:spacing w:before="61" w:line="239" w:lineRule="auto"/>
                    <w:ind w:left="132"/>
                    <w:rPr>
                      <w:sz w:val="21"/>
                      <w:szCs w:val="21"/>
                    </w:rPr>
                  </w:pPr>
                  <w:r>
                    <w:rPr>
                      <w:spacing w:val="-2"/>
                      <w:sz w:val="21"/>
                      <w:szCs w:val="21"/>
                    </w:rPr>
                    <w:t>0.0418</w:t>
                  </w:r>
                </w:p>
              </w:tc>
              <w:tc>
                <w:tcPr>
                  <w:tcW w:w="899" w:type="dxa"/>
                  <w:vAlign w:val="top"/>
                </w:tcPr>
                <w:p w14:paraId="64ABC510">
                  <w:pPr>
                    <w:pStyle w:val="6"/>
                    <w:spacing w:before="61"/>
                    <w:ind w:left="74"/>
                    <w:rPr>
                      <w:sz w:val="21"/>
                      <w:szCs w:val="21"/>
                    </w:rPr>
                  </w:pPr>
                  <w:r>
                    <w:rPr>
                      <w:sz w:val="21"/>
                      <w:szCs w:val="21"/>
                    </w:rPr>
                    <w:t>0</w:t>
                  </w:r>
                </w:p>
              </w:tc>
              <w:tc>
                <w:tcPr>
                  <w:tcW w:w="899" w:type="dxa"/>
                  <w:vAlign w:val="top"/>
                </w:tcPr>
                <w:p w14:paraId="7171C4BF">
                  <w:pPr>
                    <w:pStyle w:val="6"/>
                    <w:spacing w:before="61"/>
                    <w:ind w:left="85"/>
                    <w:rPr>
                      <w:sz w:val="21"/>
                      <w:szCs w:val="21"/>
                    </w:rPr>
                  </w:pPr>
                  <w:r>
                    <w:rPr>
                      <w:sz w:val="21"/>
                      <w:szCs w:val="21"/>
                    </w:rPr>
                    <w:t>0</w:t>
                  </w:r>
                </w:p>
              </w:tc>
              <w:tc>
                <w:tcPr>
                  <w:tcW w:w="919" w:type="dxa"/>
                  <w:vAlign w:val="top"/>
                </w:tcPr>
                <w:p w14:paraId="3CFE784D">
                  <w:pPr>
                    <w:pStyle w:val="6"/>
                    <w:spacing w:before="61" w:line="239" w:lineRule="auto"/>
                    <w:ind w:left="86"/>
                    <w:rPr>
                      <w:sz w:val="21"/>
                      <w:szCs w:val="21"/>
                    </w:rPr>
                  </w:pPr>
                  <w:r>
                    <w:rPr>
                      <w:spacing w:val="-2"/>
                      <w:sz w:val="21"/>
                      <w:szCs w:val="21"/>
                    </w:rPr>
                    <w:t>0.0019</w:t>
                  </w:r>
                </w:p>
              </w:tc>
              <w:tc>
                <w:tcPr>
                  <w:tcW w:w="919" w:type="dxa"/>
                  <w:vAlign w:val="top"/>
                </w:tcPr>
                <w:p w14:paraId="10CC5B1F">
                  <w:pPr>
                    <w:pStyle w:val="6"/>
                    <w:spacing w:before="31" w:line="239" w:lineRule="auto"/>
                    <w:ind w:left="77"/>
                    <w:rPr>
                      <w:sz w:val="21"/>
                      <w:szCs w:val="21"/>
                    </w:rPr>
                  </w:pPr>
                  <w:r>
                    <w:rPr>
                      <w:spacing w:val="-2"/>
                      <w:sz w:val="21"/>
                      <w:szCs w:val="21"/>
                    </w:rPr>
                    <w:t>0.525</w:t>
                  </w:r>
                </w:p>
              </w:tc>
              <w:tc>
                <w:tcPr>
                  <w:tcW w:w="884" w:type="dxa"/>
                  <w:vAlign w:val="top"/>
                </w:tcPr>
                <w:p w14:paraId="57C217AD">
                  <w:pPr>
                    <w:pStyle w:val="6"/>
                    <w:spacing w:before="31" w:line="223" w:lineRule="auto"/>
                    <w:ind w:left="89" w:right="137"/>
                    <w:rPr>
                      <w:sz w:val="21"/>
                      <w:szCs w:val="21"/>
                    </w:rPr>
                  </w:pPr>
                  <w:r>
                    <w:rPr>
                      <w:spacing w:val="5"/>
                      <w:sz w:val="21"/>
                      <w:szCs w:val="21"/>
                    </w:rPr>
                    <w:t>永久占</w:t>
                  </w:r>
                  <w:r>
                    <w:rPr>
                      <w:spacing w:val="1"/>
                      <w:sz w:val="21"/>
                      <w:szCs w:val="21"/>
                    </w:rPr>
                    <w:t xml:space="preserve"> </w:t>
                  </w:r>
                  <w:r>
                    <w:rPr>
                      <w:sz w:val="21"/>
                      <w:szCs w:val="21"/>
                    </w:rPr>
                    <w:t>地</w:t>
                  </w:r>
                </w:p>
              </w:tc>
            </w:tr>
            <w:tr w14:paraId="0D331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84" w:type="dxa"/>
                  <w:vAlign w:val="top"/>
                </w:tcPr>
                <w:p w14:paraId="2A1F6B7E">
                  <w:pPr>
                    <w:pStyle w:val="6"/>
                    <w:spacing w:before="23" w:line="222" w:lineRule="auto"/>
                    <w:ind w:left="84" w:right="119" w:firstLine="30"/>
                    <w:rPr>
                      <w:sz w:val="21"/>
                      <w:szCs w:val="21"/>
                    </w:rPr>
                  </w:pPr>
                  <w:r>
                    <w:rPr>
                      <w:spacing w:val="3"/>
                      <w:sz w:val="21"/>
                      <w:szCs w:val="21"/>
                    </w:rPr>
                    <w:t>交通道</w:t>
                  </w:r>
                  <w:r>
                    <w:rPr>
                      <w:sz w:val="21"/>
                      <w:szCs w:val="21"/>
                    </w:rPr>
                    <w:t xml:space="preserve"> 路</w:t>
                  </w:r>
                </w:p>
              </w:tc>
              <w:tc>
                <w:tcPr>
                  <w:tcW w:w="919" w:type="dxa"/>
                  <w:vAlign w:val="top"/>
                </w:tcPr>
                <w:p w14:paraId="5A45315E">
                  <w:pPr>
                    <w:pStyle w:val="6"/>
                    <w:spacing w:before="52"/>
                    <w:ind w:left="70"/>
                    <w:rPr>
                      <w:sz w:val="21"/>
                      <w:szCs w:val="21"/>
                    </w:rPr>
                  </w:pPr>
                  <w:r>
                    <w:rPr>
                      <w:sz w:val="21"/>
                      <w:szCs w:val="21"/>
                    </w:rPr>
                    <w:t>0</w:t>
                  </w:r>
                </w:p>
              </w:tc>
              <w:tc>
                <w:tcPr>
                  <w:tcW w:w="889" w:type="dxa"/>
                  <w:vAlign w:val="top"/>
                </w:tcPr>
                <w:p w14:paraId="34FD3FB7">
                  <w:pPr>
                    <w:pStyle w:val="6"/>
                    <w:spacing w:before="52"/>
                    <w:ind w:left="61"/>
                    <w:rPr>
                      <w:sz w:val="21"/>
                      <w:szCs w:val="21"/>
                    </w:rPr>
                  </w:pPr>
                  <w:r>
                    <w:rPr>
                      <w:sz w:val="21"/>
                      <w:szCs w:val="21"/>
                    </w:rPr>
                    <w:t>0</w:t>
                  </w:r>
                </w:p>
              </w:tc>
              <w:tc>
                <w:tcPr>
                  <w:tcW w:w="918" w:type="dxa"/>
                  <w:vAlign w:val="top"/>
                </w:tcPr>
                <w:p w14:paraId="7296DADA">
                  <w:pPr>
                    <w:pStyle w:val="6"/>
                    <w:spacing w:before="52" w:line="239" w:lineRule="auto"/>
                    <w:ind w:left="132"/>
                    <w:rPr>
                      <w:sz w:val="21"/>
                      <w:szCs w:val="21"/>
                    </w:rPr>
                  </w:pPr>
                  <w:r>
                    <w:rPr>
                      <w:spacing w:val="-2"/>
                      <w:sz w:val="21"/>
                      <w:szCs w:val="21"/>
                    </w:rPr>
                    <w:t>0.0234</w:t>
                  </w:r>
                </w:p>
              </w:tc>
              <w:tc>
                <w:tcPr>
                  <w:tcW w:w="899" w:type="dxa"/>
                  <w:vAlign w:val="top"/>
                </w:tcPr>
                <w:p w14:paraId="1922A5CA">
                  <w:pPr>
                    <w:pStyle w:val="6"/>
                    <w:spacing w:before="52"/>
                    <w:ind w:left="74"/>
                    <w:rPr>
                      <w:sz w:val="21"/>
                      <w:szCs w:val="21"/>
                    </w:rPr>
                  </w:pPr>
                  <w:r>
                    <w:rPr>
                      <w:sz w:val="21"/>
                      <w:szCs w:val="21"/>
                    </w:rPr>
                    <w:t>0</w:t>
                  </w:r>
                </w:p>
              </w:tc>
              <w:tc>
                <w:tcPr>
                  <w:tcW w:w="899" w:type="dxa"/>
                  <w:vAlign w:val="top"/>
                </w:tcPr>
                <w:p w14:paraId="0200E908">
                  <w:pPr>
                    <w:pStyle w:val="6"/>
                    <w:spacing w:before="52"/>
                    <w:ind w:left="85"/>
                    <w:rPr>
                      <w:sz w:val="21"/>
                      <w:szCs w:val="21"/>
                    </w:rPr>
                  </w:pPr>
                  <w:r>
                    <w:rPr>
                      <w:sz w:val="21"/>
                      <w:szCs w:val="21"/>
                    </w:rPr>
                    <w:t>0</w:t>
                  </w:r>
                </w:p>
              </w:tc>
              <w:tc>
                <w:tcPr>
                  <w:tcW w:w="919" w:type="dxa"/>
                  <w:vAlign w:val="top"/>
                </w:tcPr>
                <w:p w14:paraId="6EAE507D">
                  <w:pPr>
                    <w:pStyle w:val="6"/>
                    <w:spacing w:before="52"/>
                    <w:ind w:left="86"/>
                    <w:rPr>
                      <w:sz w:val="21"/>
                      <w:szCs w:val="21"/>
                    </w:rPr>
                  </w:pPr>
                  <w:r>
                    <w:rPr>
                      <w:sz w:val="21"/>
                      <w:szCs w:val="21"/>
                    </w:rPr>
                    <w:t>0</w:t>
                  </w:r>
                </w:p>
              </w:tc>
              <w:tc>
                <w:tcPr>
                  <w:tcW w:w="919" w:type="dxa"/>
                  <w:vAlign w:val="top"/>
                </w:tcPr>
                <w:p w14:paraId="1103AEB9">
                  <w:pPr>
                    <w:pStyle w:val="6"/>
                    <w:spacing w:before="32" w:line="239" w:lineRule="auto"/>
                    <w:ind w:left="77"/>
                    <w:rPr>
                      <w:sz w:val="21"/>
                      <w:szCs w:val="21"/>
                    </w:rPr>
                  </w:pPr>
                  <w:r>
                    <w:rPr>
                      <w:spacing w:val="-2"/>
                      <w:sz w:val="21"/>
                      <w:szCs w:val="21"/>
                    </w:rPr>
                    <w:t>0.0234</w:t>
                  </w:r>
                </w:p>
              </w:tc>
              <w:tc>
                <w:tcPr>
                  <w:tcW w:w="884" w:type="dxa"/>
                  <w:vAlign w:val="top"/>
                </w:tcPr>
                <w:p w14:paraId="03E5C8DA">
                  <w:pPr>
                    <w:pStyle w:val="6"/>
                    <w:spacing w:before="33" w:line="218" w:lineRule="auto"/>
                    <w:ind w:left="89" w:right="127" w:firstLine="10"/>
                    <w:rPr>
                      <w:sz w:val="21"/>
                      <w:szCs w:val="21"/>
                    </w:rPr>
                  </w:pPr>
                  <w:r>
                    <w:rPr>
                      <w:spacing w:val="5"/>
                      <w:sz w:val="21"/>
                      <w:szCs w:val="21"/>
                    </w:rPr>
                    <w:t>永久占</w:t>
                  </w:r>
                  <w:r>
                    <w:rPr>
                      <w:spacing w:val="1"/>
                      <w:sz w:val="21"/>
                      <w:szCs w:val="21"/>
                    </w:rPr>
                    <w:t xml:space="preserve"> </w:t>
                  </w:r>
                  <w:r>
                    <w:rPr>
                      <w:sz w:val="21"/>
                      <w:szCs w:val="21"/>
                    </w:rPr>
                    <w:t>地</w:t>
                  </w:r>
                </w:p>
              </w:tc>
            </w:tr>
            <w:tr w14:paraId="55BCA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84" w:type="dxa"/>
                  <w:vAlign w:val="top"/>
                </w:tcPr>
                <w:p w14:paraId="01C212C2">
                  <w:pPr>
                    <w:pStyle w:val="6"/>
                    <w:spacing w:before="31" w:line="222" w:lineRule="auto"/>
                    <w:ind w:left="84" w:right="114" w:firstLine="30"/>
                    <w:jc w:val="both"/>
                    <w:rPr>
                      <w:sz w:val="21"/>
                      <w:szCs w:val="21"/>
                    </w:rPr>
                  </w:pPr>
                  <w:r>
                    <w:rPr>
                      <w:spacing w:val="4"/>
                      <w:sz w:val="21"/>
                      <w:szCs w:val="21"/>
                    </w:rPr>
                    <w:t>集电线</w:t>
                  </w:r>
                  <w:r>
                    <w:rPr>
                      <w:spacing w:val="1"/>
                      <w:sz w:val="21"/>
                      <w:szCs w:val="21"/>
                    </w:rPr>
                    <w:t xml:space="preserve"> </w:t>
                  </w:r>
                  <w:r>
                    <w:rPr>
                      <w:spacing w:val="6"/>
                      <w:sz w:val="21"/>
                      <w:szCs w:val="21"/>
                    </w:rPr>
                    <w:t>路：塔</w:t>
                  </w:r>
                  <w:r>
                    <w:rPr>
                      <w:spacing w:val="1"/>
                      <w:sz w:val="21"/>
                      <w:szCs w:val="21"/>
                    </w:rPr>
                    <w:t xml:space="preserve"> </w:t>
                  </w:r>
                  <w:r>
                    <w:rPr>
                      <w:sz w:val="21"/>
                      <w:szCs w:val="21"/>
                    </w:rPr>
                    <w:t>基</w:t>
                  </w:r>
                </w:p>
              </w:tc>
              <w:tc>
                <w:tcPr>
                  <w:tcW w:w="919" w:type="dxa"/>
                  <w:vAlign w:val="top"/>
                </w:tcPr>
                <w:p w14:paraId="691D3F49">
                  <w:pPr>
                    <w:pStyle w:val="6"/>
                    <w:spacing w:before="63" w:line="239" w:lineRule="auto"/>
                    <w:ind w:left="70"/>
                    <w:rPr>
                      <w:sz w:val="21"/>
                      <w:szCs w:val="21"/>
                    </w:rPr>
                  </w:pPr>
                  <w:r>
                    <w:rPr>
                      <w:spacing w:val="-2"/>
                      <w:sz w:val="21"/>
                      <w:szCs w:val="21"/>
                    </w:rPr>
                    <w:t>0.0912</w:t>
                  </w:r>
                </w:p>
              </w:tc>
              <w:tc>
                <w:tcPr>
                  <w:tcW w:w="889" w:type="dxa"/>
                  <w:vAlign w:val="top"/>
                </w:tcPr>
                <w:p w14:paraId="5C95935F">
                  <w:pPr>
                    <w:pStyle w:val="6"/>
                    <w:spacing w:before="63" w:line="239" w:lineRule="auto"/>
                    <w:ind w:left="61"/>
                    <w:rPr>
                      <w:sz w:val="21"/>
                      <w:szCs w:val="21"/>
                    </w:rPr>
                  </w:pPr>
                  <w:r>
                    <w:rPr>
                      <w:spacing w:val="-2"/>
                      <w:sz w:val="21"/>
                      <w:szCs w:val="21"/>
                    </w:rPr>
                    <w:t>0.0199</w:t>
                  </w:r>
                </w:p>
              </w:tc>
              <w:tc>
                <w:tcPr>
                  <w:tcW w:w="918" w:type="dxa"/>
                  <w:vAlign w:val="top"/>
                </w:tcPr>
                <w:p w14:paraId="4E3D01DB">
                  <w:pPr>
                    <w:pStyle w:val="6"/>
                    <w:spacing w:before="63" w:line="239" w:lineRule="auto"/>
                    <w:ind w:left="132"/>
                    <w:rPr>
                      <w:sz w:val="21"/>
                      <w:szCs w:val="21"/>
                    </w:rPr>
                  </w:pPr>
                  <w:r>
                    <w:rPr>
                      <w:spacing w:val="-2"/>
                      <w:sz w:val="21"/>
                      <w:szCs w:val="21"/>
                    </w:rPr>
                    <w:t>0.0259</w:t>
                  </w:r>
                </w:p>
              </w:tc>
              <w:tc>
                <w:tcPr>
                  <w:tcW w:w="899" w:type="dxa"/>
                  <w:vAlign w:val="top"/>
                </w:tcPr>
                <w:p w14:paraId="2929CB7E">
                  <w:pPr>
                    <w:pStyle w:val="6"/>
                    <w:spacing w:before="63" w:line="239" w:lineRule="auto"/>
                    <w:ind w:left="74"/>
                    <w:rPr>
                      <w:sz w:val="21"/>
                      <w:szCs w:val="21"/>
                    </w:rPr>
                  </w:pPr>
                  <w:r>
                    <w:rPr>
                      <w:spacing w:val="-2"/>
                      <w:sz w:val="21"/>
                      <w:szCs w:val="21"/>
                    </w:rPr>
                    <w:t>0.1545</w:t>
                  </w:r>
                </w:p>
              </w:tc>
              <w:tc>
                <w:tcPr>
                  <w:tcW w:w="899" w:type="dxa"/>
                  <w:vAlign w:val="top"/>
                </w:tcPr>
                <w:p w14:paraId="7686EA36">
                  <w:pPr>
                    <w:pStyle w:val="6"/>
                    <w:spacing w:before="63" w:line="239" w:lineRule="auto"/>
                    <w:ind w:left="126"/>
                    <w:rPr>
                      <w:sz w:val="21"/>
                      <w:szCs w:val="21"/>
                    </w:rPr>
                  </w:pPr>
                  <w:r>
                    <w:rPr>
                      <w:spacing w:val="-2"/>
                      <w:sz w:val="21"/>
                      <w:szCs w:val="21"/>
                    </w:rPr>
                    <w:t>0.0051</w:t>
                  </w:r>
                </w:p>
              </w:tc>
              <w:tc>
                <w:tcPr>
                  <w:tcW w:w="919" w:type="dxa"/>
                  <w:vAlign w:val="top"/>
                </w:tcPr>
                <w:p w14:paraId="0EB850E0">
                  <w:pPr>
                    <w:pStyle w:val="6"/>
                    <w:spacing w:before="53" w:line="239" w:lineRule="auto"/>
                    <w:ind w:left="86"/>
                    <w:rPr>
                      <w:sz w:val="21"/>
                      <w:szCs w:val="21"/>
                    </w:rPr>
                  </w:pPr>
                  <w:r>
                    <w:rPr>
                      <w:spacing w:val="-2"/>
                      <w:sz w:val="21"/>
                      <w:szCs w:val="21"/>
                    </w:rPr>
                    <w:t>0.005</w:t>
                  </w:r>
                </w:p>
              </w:tc>
              <w:tc>
                <w:tcPr>
                  <w:tcW w:w="919" w:type="dxa"/>
                  <w:vAlign w:val="top"/>
                </w:tcPr>
                <w:p w14:paraId="1B600C23">
                  <w:pPr>
                    <w:pStyle w:val="6"/>
                    <w:spacing w:before="53" w:line="239" w:lineRule="auto"/>
                    <w:ind w:left="77"/>
                    <w:rPr>
                      <w:sz w:val="21"/>
                      <w:szCs w:val="21"/>
                    </w:rPr>
                  </w:pPr>
                  <w:r>
                    <w:rPr>
                      <w:spacing w:val="-2"/>
                      <w:sz w:val="21"/>
                      <w:szCs w:val="21"/>
                    </w:rPr>
                    <w:t>0.3016</w:t>
                  </w:r>
                </w:p>
              </w:tc>
              <w:tc>
                <w:tcPr>
                  <w:tcW w:w="884" w:type="dxa"/>
                  <w:vAlign w:val="top"/>
                </w:tcPr>
                <w:p w14:paraId="79E6A581">
                  <w:pPr>
                    <w:pStyle w:val="6"/>
                    <w:spacing w:before="34" w:line="252" w:lineRule="auto"/>
                    <w:ind w:left="89" w:right="127" w:firstLine="10"/>
                    <w:rPr>
                      <w:sz w:val="21"/>
                      <w:szCs w:val="21"/>
                    </w:rPr>
                  </w:pPr>
                  <w:r>
                    <w:rPr>
                      <w:spacing w:val="5"/>
                      <w:sz w:val="21"/>
                      <w:szCs w:val="21"/>
                    </w:rPr>
                    <w:t>永久占</w:t>
                  </w:r>
                  <w:r>
                    <w:rPr>
                      <w:spacing w:val="1"/>
                      <w:sz w:val="21"/>
                      <w:szCs w:val="21"/>
                    </w:rPr>
                    <w:t xml:space="preserve"> </w:t>
                  </w:r>
                  <w:r>
                    <w:rPr>
                      <w:sz w:val="21"/>
                      <w:szCs w:val="21"/>
                    </w:rPr>
                    <w:t>地</w:t>
                  </w:r>
                </w:p>
              </w:tc>
            </w:tr>
            <w:tr w14:paraId="2EE03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884" w:type="dxa"/>
                  <w:vAlign w:val="top"/>
                </w:tcPr>
                <w:p w14:paraId="10AB577E">
                  <w:pPr>
                    <w:pStyle w:val="6"/>
                    <w:spacing w:before="53" w:line="224" w:lineRule="auto"/>
                    <w:ind w:left="84" w:right="114" w:firstLine="30"/>
                    <w:jc w:val="both"/>
                    <w:rPr>
                      <w:sz w:val="21"/>
                      <w:szCs w:val="21"/>
                    </w:rPr>
                  </w:pPr>
                  <w:r>
                    <w:rPr>
                      <w:spacing w:val="4"/>
                      <w:sz w:val="21"/>
                      <w:szCs w:val="21"/>
                    </w:rPr>
                    <w:t>集电线</w:t>
                  </w:r>
                  <w:r>
                    <w:rPr>
                      <w:spacing w:val="1"/>
                      <w:sz w:val="21"/>
                      <w:szCs w:val="21"/>
                    </w:rPr>
                    <w:t xml:space="preserve"> </w:t>
                  </w:r>
                  <w:r>
                    <w:rPr>
                      <w:spacing w:val="14"/>
                      <w:sz w:val="21"/>
                      <w:szCs w:val="21"/>
                    </w:rPr>
                    <w:t>路：电</w:t>
                  </w:r>
                  <w:r>
                    <w:rPr>
                      <w:sz w:val="21"/>
                      <w:szCs w:val="21"/>
                    </w:rPr>
                    <w:t xml:space="preserve"> 缆</w:t>
                  </w:r>
                </w:p>
              </w:tc>
              <w:tc>
                <w:tcPr>
                  <w:tcW w:w="919" w:type="dxa"/>
                  <w:vAlign w:val="top"/>
                </w:tcPr>
                <w:p w14:paraId="02D51468">
                  <w:pPr>
                    <w:pStyle w:val="6"/>
                    <w:spacing w:before="74"/>
                    <w:ind w:left="70"/>
                    <w:rPr>
                      <w:sz w:val="21"/>
                      <w:szCs w:val="21"/>
                    </w:rPr>
                  </w:pPr>
                  <w:r>
                    <w:rPr>
                      <w:sz w:val="21"/>
                      <w:szCs w:val="21"/>
                    </w:rPr>
                    <w:t>0</w:t>
                  </w:r>
                </w:p>
              </w:tc>
              <w:tc>
                <w:tcPr>
                  <w:tcW w:w="889" w:type="dxa"/>
                  <w:vAlign w:val="top"/>
                </w:tcPr>
                <w:p w14:paraId="04D9B09C">
                  <w:pPr>
                    <w:pStyle w:val="6"/>
                    <w:spacing w:before="74" w:line="239" w:lineRule="auto"/>
                    <w:ind w:left="61"/>
                    <w:rPr>
                      <w:sz w:val="21"/>
                      <w:szCs w:val="21"/>
                    </w:rPr>
                  </w:pPr>
                  <w:r>
                    <w:rPr>
                      <w:spacing w:val="-2"/>
                      <w:sz w:val="21"/>
                      <w:szCs w:val="21"/>
                    </w:rPr>
                    <w:t>0.5154</w:t>
                  </w:r>
                </w:p>
              </w:tc>
              <w:tc>
                <w:tcPr>
                  <w:tcW w:w="918" w:type="dxa"/>
                  <w:vAlign w:val="top"/>
                </w:tcPr>
                <w:p w14:paraId="1CEE6BA3">
                  <w:pPr>
                    <w:pStyle w:val="6"/>
                    <w:spacing w:before="74" w:line="239" w:lineRule="auto"/>
                    <w:ind w:left="82"/>
                    <w:rPr>
                      <w:sz w:val="21"/>
                      <w:szCs w:val="21"/>
                    </w:rPr>
                  </w:pPr>
                  <w:r>
                    <w:rPr>
                      <w:spacing w:val="-3"/>
                      <w:sz w:val="21"/>
                      <w:szCs w:val="21"/>
                    </w:rPr>
                    <w:t>14.1284</w:t>
                  </w:r>
                </w:p>
              </w:tc>
              <w:tc>
                <w:tcPr>
                  <w:tcW w:w="899" w:type="dxa"/>
                  <w:vAlign w:val="top"/>
                </w:tcPr>
                <w:p w14:paraId="2BB5C9CB">
                  <w:pPr>
                    <w:pStyle w:val="6"/>
                    <w:spacing w:before="74"/>
                    <w:ind w:left="74"/>
                    <w:rPr>
                      <w:sz w:val="21"/>
                      <w:szCs w:val="21"/>
                    </w:rPr>
                  </w:pPr>
                  <w:r>
                    <w:rPr>
                      <w:sz w:val="21"/>
                      <w:szCs w:val="21"/>
                    </w:rPr>
                    <w:t>0</w:t>
                  </w:r>
                </w:p>
              </w:tc>
              <w:tc>
                <w:tcPr>
                  <w:tcW w:w="899" w:type="dxa"/>
                  <w:vAlign w:val="top"/>
                </w:tcPr>
                <w:p w14:paraId="72B4F19C">
                  <w:pPr>
                    <w:pStyle w:val="6"/>
                    <w:spacing w:before="64" w:line="239" w:lineRule="auto"/>
                    <w:ind w:left="126"/>
                    <w:rPr>
                      <w:sz w:val="21"/>
                      <w:szCs w:val="21"/>
                    </w:rPr>
                  </w:pPr>
                  <w:r>
                    <w:rPr>
                      <w:spacing w:val="-2"/>
                      <w:sz w:val="21"/>
                      <w:szCs w:val="21"/>
                    </w:rPr>
                    <w:t>2.1605</w:t>
                  </w:r>
                </w:p>
              </w:tc>
              <w:tc>
                <w:tcPr>
                  <w:tcW w:w="919" w:type="dxa"/>
                  <w:vAlign w:val="top"/>
                </w:tcPr>
                <w:p w14:paraId="44C5FE82">
                  <w:pPr>
                    <w:pStyle w:val="6"/>
                    <w:spacing w:before="74" w:line="239" w:lineRule="auto"/>
                    <w:ind w:left="86"/>
                    <w:rPr>
                      <w:sz w:val="21"/>
                      <w:szCs w:val="21"/>
                    </w:rPr>
                  </w:pPr>
                  <w:r>
                    <w:rPr>
                      <w:spacing w:val="-2"/>
                      <w:sz w:val="21"/>
                      <w:szCs w:val="21"/>
                    </w:rPr>
                    <w:t>0.5748</w:t>
                  </w:r>
                </w:p>
              </w:tc>
              <w:tc>
                <w:tcPr>
                  <w:tcW w:w="919" w:type="dxa"/>
                  <w:vAlign w:val="top"/>
                </w:tcPr>
                <w:p w14:paraId="04D94748">
                  <w:pPr>
                    <w:pStyle w:val="6"/>
                    <w:spacing w:before="74" w:line="239" w:lineRule="auto"/>
                    <w:ind w:left="77"/>
                    <w:rPr>
                      <w:sz w:val="21"/>
                      <w:szCs w:val="21"/>
                    </w:rPr>
                  </w:pPr>
                  <w:r>
                    <w:rPr>
                      <w:spacing w:val="-3"/>
                      <w:sz w:val="21"/>
                      <w:szCs w:val="21"/>
                    </w:rPr>
                    <w:t>17.3791</w:t>
                  </w:r>
                </w:p>
              </w:tc>
              <w:tc>
                <w:tcPr>
                  <w:tcW w:w="884" w:type="dxa"/>
                  <w:vAlign w:val="top"/>
                </w:tcPr>
                <w:p w14:paraId="540114A6">
                  <w:pPr>
                    <w:pStyle w:val="6"/>
                    <w:spacing w:before="52" w:line="254" w:lineRule="auto"/>
                    <w:ind w:left="89" w:right="137"/>
                    <w:rPr>
                      <w:sz w:val="21"/>
                      <w:szCs w:val="21"/>
                    </w:rPr>
                  </w:pPr>
                  <w:r>
                    <w:rPr>
                      <w:spacing w:val="5"/>
                      <w:sz w:val="21"/>
                      <w:szCs w:val="21"/>
                    </w:rPr>
                    <w:t>临时占</w:t>
                  </w:r>
                  <w:r>
                    <w:rPr>
                      <w:spacing w:val="1"/>
                      <w:sz w:val="21"/>
                      <w:szCs w:val="21"/>
                    </w:rPr>
                    <w:t xml:space="preserve"> </w:t>
                  </w:r>
                  <w:r>
                    <w:rPr>
                      <w:sz w:val="21"/>
                      <w:szCs w:val="21"/>
                    </w:rPr>
                    <w:t>地</w:t>
                  </w:r>
                </w:p>
              </w:tc>
            </w:tr>
            <w:tr w14:paraId="4E450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84" w:type="dxa"/>
                  <w:vAlign w:val="top"/>
                </w:tcPr>
                <w:p w14:paraId="2EF3C34B">
                  <w:pPr>
                    <w:pStyle w:val="6"/>
                    <w:spacing w:before="46" w:line="212" w:lineRule="auto"/>
                    <w:ind w:left="84" w:right="115" w:firstLine="30"/>
                    <w:rPr>
                      <w:sz w:val="21"/>
                      <w:szCs w:val="21"/>
                    </w:rPr>
                  </w:pPr>
                  <w:r>
                    <w:rPr>
                      <w:spacing w:val="4"/>
                      <w:sz w:val="21"/>
                      <w:szCs w:val="21"/>
                    </w:rPr>
                    <w:t>施工营</w:t>
                  </w:r>
                  <w:r>
                    <w:rPr>
                      <w:sz w:val="21"/>
                      <w:szCs w:val="21"/>
                    </w:rPr>
                    <w:t xml:space="preserve"> 地</w:t>
                  </w:r>
                </w:p>
              </w:tc>
              <w:tc>
                <w:tcPr>
                  <w:tcW w:w="919" w:type="dxa"/>
                  <w:vAlign w:val="top"/>
                </w:tcPr>
                <w:p w14:paraId="070E0B63">
                  <w:pPr>
                    <w:pStyle w:val="6"/>
                    <w:spacing w:before="76"/>
                    <w:ind w:left="70"/>
                    <w:rPr>
                      <w:sz w:val="21"/>
                      <w:szCs w:val="21"/>
                    </w:rPr>
                  </w:pPr>
                  <w:r>
                    <w:rPr>
                      <w:sz w:val="21"/>
                      <w:szCs w:val="21"/>
                    </w:rPr>
                    <w:t>0</w:t>
                  </w:r>
                </w:p>
              </w:tc>
              <w:tc>
                <w:tcPr>
                  <w:tcW w:w="889" w:type="dxa"/>
                  <w:vAlign w:val="top"/>
                </w:tcPr>
                <w:p w14:paraId="719C0FB6">
                  <w:pPr>
                    <w:pStyle w:val="6"/>
                    <w:spacing w:before="76"/>
                    <w:ind w:left="61"/>
                    <w:rPr>
                      <w:sz w:val="21"/>
                      <w:szCs w:val="21"/>
                    </w:rPr>
                  </w:pPr>
                  <w:r>
                    <w:rPr>
                      <w:sz w:val="21"/>
                      <w:szCs w:val="21"/>
                    </w:rPr>
                    <w:t>0</w:t>
                  </w:r>
                </w:p>
              </w:tc>
              <w:tc>
                <w:tcPr>
                  <w:tcW w:w="918" w:type="dxa"/>
                  <w:vAlign w:val="top"/>
                </w:tcPr>
                <w:p w14:paraId="5D3FD8E7">
                  <w:pPr>
                    <w:pStyle w:val="6"/>
                    <w:spacing w:before="178" w:line="222" w:lineRule="auto"/>
                    <w:ind w:left="212"/>
                    <w:rPr>
                      <w:sz w:val="21"/>
                      <w:szCs w:val="21"/>
                    </w:rPr>
                  </w:pPr>
                  <w:r>
                    <w:rPr>
                      <w:spacing w:val="-8"/>
                      <w:sz w:val="21"/>
                      <w:szCs w:val="21"/>
                    </w:rPr>
                    <w:t>(0.45)</w:t>
                  </w:r>
                </w:p>
              </w:tc>
              <w:tc>
                <w:tcPr>
                  <w:tcW w:w="899" w:type="dxa"/>
                  <w:vAlign w:val="top"/>
                </w:tcPr>
                <w:p w14:paraId="4747E811">
                  <w:pPr>
                    <w:pStyle w:val="6"/>
                    <w:spacing w:before="86"/>
                    <w:ind w:left="74"/>
                    <w:rPr>
                      <w:sz w:val="21"/>
                      <w:szCs w:val="21"/>
                    </w:rPr>
                  </w:pPr>
                  <w:r>
                    <w:rPr>
                      <w:sz w:val="21"/>
                      <w:szCs w:val="21"/>
                    </w:rPr>
                    <w:t>0</w:t>
                  </w:r>
                </w:p>
              </w:tc>
              <w:tc>
                <w:tcPr>
                  <w:tcW w:w="899" w:type="dxa"/>
                  <w:vAlign w:val="top"/>
                </w:tcPr>
                <w:p w14:paraId="0B848745">
                  <w:pPr>
                    <w:pStyle w:val="6"/>
                    <w:spacing w:before="86"/>
                    <w:ind w:left="116"/>
                    <w:rPr>
                      <w:sz w:val="21"/>
                      <w:szCs w:val="21"/>
                    </w:rPr>
                  </w:pPr>
                  <w:r>
                    <w:rPr>
                      <w:sz w:val="21"/>
                      <w:szCs w:val="21"/>
                    </w:rPr>
                    <w:t>0</w:t>
                  </w:r>
                </w:p>
              </w:tc>
              <w:tc>
                <w:tcPr>
                  <w:tcW w:w="919" w:type="dxa"/>
                  <w:vAlign w:val="top"/>
                </w:tcPr>
                <w:p w14:paraId="3BFB939D">
                  <w:pPr>
                    <w:pStyle w:val="6"/>
                    <w:spacing w:before="86"/>
                    <w:ind w:left="86"/>
                    <w:rPr>
                      <w:sz w:val="21"/>
                      <w:szCs w:val="21"/>
                    </w:rPr>
                  </w:pPr>
                  <w:r>
                    <w:rPr>
                      <w:sz w:val="21"/>
                      <w:szCs w:val="21"/>
                    </w:rPr>
                    <w:t>0</w:t>
                  </w:r>
                </w:p>
              </w:tc>
              <w:tc>
                <w:tcPr>
                  <w:tcW w:w="919" w:type="dxa"/>
                  <w:vAlign w:val="top"/>
                </w:tcPr>
                <w:p w14:paraId="22122915">
                  <w:pPr>
                    <w:pStyle w:val="6"/>
                    <w:spacing w:before="76"/>
                    <w:ind w:left="77"/>
                    <w:rPr>
                      <w:sz w:val="21"/>
                      <w:szCs w:val="21"/>
                    </w:rPr>
                  </w:pPr>
                  <w:r>
                    <w:rPr>
                      <w:sz w:val="21"/>
                      <w:szCs w:val="21"/>
                    </w:rPr>
                    <w:t>0</w:t>
                  </w:r>
                </w:p>
              </w:tc>
              <w:tc>
                <w:tcPr>
                  <w:tcW w:w="884" w:type="dxa"/>
                  <w:vAlign w:val="top"/>
                </w:tcPr>
                <w:p w14:paraId="76E11C5C">
                  <w:pPr>
                    <w:pStyle w:val="6"/>
                    <w:spacing w:before="44" w:line="213" w:lineRule="auto"/>
                    <w:ind w:left="89" w:right="137"/>
                    <w:rPr>
                      <w:sz w:val="21"/>
                      <w:szCs w:val="21"/>
                    </w:rPr>
                  </w:pPr>
                  <w:r>
                    <w:rPr>
                      <w:spacing w:val="5"/>
                      <w:sz w:val="21"/>
                      <w:szCs w:val="21"/>
                    </w:rPr>
                    <w:t>临时占</w:t>
                  </w:r>
                  <w:r>
                    <w:rPr>
                      <w:spacing w:val="1"/>
                      <w:sz w:val="21"/>
                      <w:szCs w:val="21"/>
                    </w:rPr>
                    <w:t xml:space="preserve"> </w:t>
                  </w:r>
                  <w:r>
                    <w:rPr>
                      <w:sz w:val="21"/>
                      <w:szCs w:val="21"/>
                    </w:rPr>
                    <w:t>地</w:t>
                  </w:r>
                </w:p>
              </w:tc>
            </w:tr>
            <w:tr w14:paraId="71FA9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84" w:type="dxa"/>
                  <w:vAlign w:val="top"/>
                </w:tcPr>
                <w:p w14:paraId="024985D5">
                  <w:pPr>
                    <w:pStyle w:val="6"/>
                    <w:spacing w:before="45" w:line="217" w:lineRule="auto"/>
                    <w:ind w:left="84" w:right="136" w:firstLine="30"/>
                    <w:rPr>
                      <w:sz w:val="21"/>
                      <w:szCs w:val="21"/>
                    </w:rPr>
                  </w:pPr>
                  <w:r>
                    <w:rPr>
                      <w:spacing w:val="-3"/>
                      <w:sz w:val="21"/>
                      <w:szCs w:val="21"/>
                    </w:rPr>
                    <w:t>施工便</w:t>
                  </w:r>
                  <w:r>
                    <w:rPr>
                      <w:sz w:val="21"/>
                      <w:szCs w:val="21"/>
                    </w:rPr>
                    <w:t xml:space="preserve"> 道</w:t>
                  </w:r>
                </w:p>
              </w:tc>
              <w:tc>
                <w:tcPr>
                  <w:tcW w:w="919" w:type="dxa"/>
                  <w:vAlign w:val="top"/>
                </w:tcPr>
                <w:p w14:paraId="34685D59">
                  <w:pPr>
                    <w:pStyle w:val="6"/>
                    <w:spacing w:before="67"/>
                    <w:ind w:left="70"/>
                    <w:rPr>
                      <w:sz w:val="21"/>
                      <w:szCs w:val="21"/>
                    </w:rPr>
                  </w:pPr>
                  <w:r>
                    <w:rPr>
                      <w:sz w:val="21"/>
                      <w:szCs w:val="21"/>
                    </w:rPr>
                    <w:t>0</w:t>
                  </w:r>
                </w:p>
              </w:tc>
              <w:tc>
                <w:tcPr>
                  <w:tcW w:w="889" w:type="dxa"/>
                  <w:vAlign w:val="top"/>
                </w:tcPr>
                <w:p w14:paraId="0E950183">
                  <w:pPr>
                    <w:pStyle w:val="6"/>
                    <w:spacing w:before="67"/>
                    <w:ind w:left="61"/>
                    <w:rPr>
                      <w:sz w:val="21"/>
                      <w:szCs w:val="21"/>
                    </w:rPr>
                  </w:pPr>
                  <w:r>
                    <w:rPr>
                      <w:sz w:val="21"/>
                      <w:szCs w:val="21"/>
                    </w:rPr>
                    <w:t>0</w:t>
                  </w:r>
                </w:p>
              </w:tc>
              <w:tc>
                <w:tcPr>
                  <w:tcW w:w="918" w:type="dxa"/>
                  <w:vAlign w:val="top"/>
                </w:tcPr>
                <w:p w14:paraId="190D970F">
                  <w:pPr>
                    <w:pStyle w:val="6"/>
                    <w:spacing w:before="179" w:line="222" w:lineRule="auto"/>
                    <w:ind w:left="222"/>
                    <w:rPr>
                      <w:sz w:val="21"/>
                      <w:szCs w:val="21"/>
                    </w:rPr>
                  </w:pPr>
                  <w:r>
                    <w:rPr>
                      <w:spacing w:val="-7"/>
                      <w:sz w:val="21"/>
                      <w:szCs w:val="21"/>
                    </w:rPr>
                    <w:t>(1.60)</w:t>
                  </w:r>
                </w:p>
              </w:tc>
              <w:tc>
                <w:tcPr>
                  <w:tcW w:w="899" w:type="dxa"/>
                  <w:vAlign w:val="top"/>
                </w:tcPr>
                <w:p w14:paraId="31E6D660">
                  <w:pPr>
                    <w:pStyle w:val="6"/>
                    <w:spacing w:before="77"/>
                    <w:ind w:left="74"/>
                    <w:rPr>
                      <w:sz w:val="21"/>
                      <w:szCs w:val="21"/>
                    </w:rPr>
                  </w:pPr>
                  <w:r>
                    <w:rPr>
                      <w:sz w:val="21"/>
                      <w:szCs w:val="21"/>
                    </w:rPr>
                    <w:t>0</w:t>
                  </w:r>
                </w:p>
              </w:tc>
              <w:tc>
                <w:tcPr>
                  <w:tcW w:w="899" w:type="dxa"/>
                  <w:vAlign w:val="top"/>
                </w:tcPr>
                <w:p w14:paraId="2D53958E">
                  <w:pPr>
                    <w:pStyle w:val="6"/>
                    <w:spacing w:before="67"/>
                    <w:ind w:left="85"/>
                    <w:rPr>
                      <w:sz w:val="21"/>
                      <w:szCs w:val="21"/>
                    </w:rPr>
                  </w:pPr>
                  <w:r>
                    <w:rPr>
                      <w:sz w:val="21"/>
                      <w:szCs w:val="21"/>
                    </w:rPr>
                    <w:t>0</w:t>
                  </w:r>
                </w:p>
              </w:tc>
              <w:tc>
                <w:tcPr>
                  <w:tcW w:w="919" w:type="dxa"/>
                  <w:vAlign w:val="top"/>
                </w:tcPr>
                <w:p w14:paraId="6A4BD74A">
                  <w:pPr>
                    <w:pStyle w:val="6"/>
                    <w:spacing w:before="77"/>
                    <w:ind w:left="86"/>
                    <w:rPr>
                      <w:sz w:val="21"/>
                      <w:szCs w:val="21"/>
                    </w:rPr>
                  </w:pPr>
                  <w:r>
                    <w:rPr>
                      <w:sz w:val="21"/>
                      <w:szCs w:val="21"/>
                    </w:rPr>
                    <w:t>0</w:t>
                  </w:r>
                </w:p>
              </w:tc>
              <w:tc>
                <w:tcPr>
                  <w:tcW w:w="919" w:type="dxa"/>
                  <w:vAlign w:val="top"/>
                </w:tcPr>
                <w:p w14:paraId="0AF1663D">
                  <w:pPr>
                    <w:pStyle w:val="6"/>
                    <w:spacing w:before="77"/>
                    <w:ind w:left="77"/>
                    <w:rPr>
                      <w:sz w:val="21"/>
                      <w:szCs w:val="21"/>
                    </w:rPr>
                  </w:pPr>
                  <w:r>
                    <w:rPr>
                      <w:sz w:val="21"/>
                      <w:szCs w:val="21"/>
                    </w:rPr>
                    <w:t>0</w:t>
                  </w:r>
                </w:p>
              </w:tc>
              <w:tc>
                <w:tcPr>
                  <w:tcW w:w="884" w:type="dxa"/>
                  <w:vAlign w:val="top"/>
                </w:tcPr>
                <w:p w14:paraId="644FC106">
                  <w:pPr>
                    <w:pStyle w:val="6"/>
                    <w:spacing w:before="45" w:line="217" w:lineRule="auto"/>
                    <w:ind w:left="89" w:right="137"/>
                    <w:rPr>
                      <w:sz w:val="21"/>
                      <w:szCs w:val="21"/>
                    </w:rPr>
                  </w:pPr>
                  <w:r>
                    <w:rPr>
                      <w:spacing w:val="5"/>
                      <w:sz w:val="21"/>
                      <w:szCs w:val="21"/>
                    </w:rPr>
                    <w:t>临时占</w:t>
                  </w:r>
                  <w:r>
                    <w:rPr>
                      <w:spacing w:val="1"/>
                      <w:sz w:val="21"/>
                      <w:szCs w:val="21"/>
                    </w:rPr>
                    <w:t xml:space="preserve"> </w:t>
                  </w:r>
                  <w:r>
                    <w:rPr>
                      <w:sz w:val="21"/>
                      <w:szCs w:val="21"/>
                    </w:rPr>
                    <w:t>地</w:t>
                  </w:r>
                </w:p>
              </w:tc>
            </w:tr>
            <w:tr w14:paraId="6F280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884" w:type="dxa"/>
                  <w:vAlign w:val="top"/>
                </w:tcPr>
                <w:p w14:paraId="151CF781">
                  <w:pPr>
                    <w:pStyle w:val="6"/>
                    <w:spacing w:before="18" w:line="221" w:lineRule="auto"/>
                    <w:ind w:left="84"/>
                    <w:rPr>
                      <w:sz w:val="21"/>
                      <w:szCs w:val="21"/>
                    </w:rPr>
                  </w:pPr>
                  <w:r>
                    <w:rPr>
                      <w:spacing w:val="-3"/>
                      <w:sz w:val="21"/>
                      <w:szCs w:val="21"/>
                    </w:rPr>
                    <w:t>合计</w:t>
                  </w:r>
                </w:p>
              </w:tc>
              <w:tc>
                <w:tcPr>
                  <w:tcW w:w="919" w:type="dxa"/>
                  <w:vAlign w:val="top"/>
                </w:tcPr>
                <w:p w14:paraId="1A0C717D">
                  <w:pPr>
                    <w:pStyle w:val="6"/>
                    <w:spacing w:before="68" w:line="239" w:lineRule="auto"/>
                    <w:ind w:left="70"/>
                    <w:rPr>
                      <w:sz w:val="21"/>
                      <w:szCs w:val="21"/>
                    </w:rPr>
                  </w:pPr>
                  <w:r>
                    <w:rPr>
                      <w:spacing w:val="-2"/>
                      <w:sz w:val="21"/>
                      <w:szCs w:val="21"/>
                    </w:rPr>
                    <w:t>0.5725</w:t>
                  </w:r>
                </w:p>
              </w:tc>
              <w:tc>
                <w:tcPr>
                  <w:tcW w:w="889" w:type="dxa"/>
                  <w:vAlign w:val="top"/>
                </w:tcPr>
                <w:p w14:paraId="67DEB093">
                  <w:pPr>
                    <w:pStyle w:val="6"/>
                    <w:spacing w:before="68" w:line="239" w:lineRule="auto"/>
                    <w:ind w:left="61"/>
                    <w:rPr>
                      <w:sz w:val="21"/>
                      <w:szCs w:val="21"/>
                    </w:rPr>
                  </w:pPr>
                  <w:r>
                    <w:rPr>
                      <w:spacing w:val="-2"/>
                      <w:sz w:val="21"/>
                      <w:szCs w:val="21"/>
                    </w:rPr>
                    <w:t>0.5353</w:t>
                  </w:r>
                </w:p>
              </w:tc>
              <w:tc>
                <w:tcPr>
                  <w:tcW w:w="918" w:type="dxa"/>
                  <w:vAlign w:val="top"/>
                </w:tcPr>
                <w:p w14:paraId="37A6DF52">
                  <w:pPr>
                    <w:pStyle w:val="6"/>
                    <w:spacing w:before="78" w:line="211" w:lineRule="auto"/>
                    <w:ind w:left="82"/>
                    <w:rPr>
                      <w:sz w:val="21"/>
                      <w:szCs w:val="21"/>
                    </w:rPr>
                  </w:pPr>
                  <w:r>
                    <w:rPr>
                      <w:spacing w:val="-3"/>
                      <w:sz w:val="21"/>
                      <w:szCs w:val="21"/>
                    </w:rPr>
                    <w:t>106.522</w:t>
                  </w:r>
                </w:p>
                <w:p w14:paraId="27C04E1B">
                  <w:pPr>
                    <w:pStyle w:val="6"/>
                    <w:spacing w:line="166" w:lineRule="auto"/>
                    <w:ind w:left="392"/>
                    <w:rPr>
                      <w:sz w:val="21"/>
                      <w:szCs w:val="21"/>
                    </w:rPr>
                  </w:pPr>
                  <w:r>
                    <w:rPr>
                      <w:sz w:val="21"/>
                      <w:szCs w:val="21"/>
                    </w:rPr>
                    <w:t>4</w:t>
                  </w:r>
                </w:p>
              </w:tc>
              <w:tc>
                <w:tcPr>
                  <w:tcW w:w="899" w:type="dxa"/>
                  <w:vAlign w:val="top"/>
                </w:tcPr>
                <w:p w14:paraId="1792779F">
                  <w:pPr>
                    <w:pStyle w:val="6"/>
                    <w:spacing w:before="68" w:line="239" w:lineRule="auto"/>
                    <w:ind w:left="74"/>
                    <w:rPr>
                      <w:sz w:val="21"/>
                      <w:szCs w:val="21"/>
                    </w:rPr>
                  </w:pPr>
                  <w:r>
                    <w:rPr>
                      <w:spacing w:val="-2"/>
                      <w:sz w:val="21"/>
                      <w:szCs w:val="21"/>
                    </w:rPr>
                    <w:t>0.1545</w:t>
                  </w:r>
                </w:p>
              </w:tc>
              <w:tc>
                <w:tcPr>
                  <w:tcW w:w="899" w:type="dxa"/>
                  <w:vAlign w:val="top"/>
                </w:tcPr>
                <w:p w14:paraId="7EC6E6FB">
                  <w:pPr>
                    <w:pStyle w:val="6"/>
                    <w:spacing w:before="68" w:line="239" w:lineRule="auto"/>
                    <w:ind w:left="126"/>
                    <w:rPr>
                      <w:sz w:val="21"/>
                      <w:szCs w:val="21"/>
                    </w:rPr>
                  </w:pPr>
                  <w:r>
                    <w:rPr>
                      <w:spacing w:val="-2"/>
                      <w:sz w:val="21"/>
                      <w:szCs w:val="21"/>
                    </w:rPr>
                    <w:t>2.2329</w:t>
                  </w:r>
                </w:p>
              </w:tc>
              <w:tc>
                <w:tcPr>
                  <w:tcW w:w="919" w:type="dxa"/>
                  <w:vAlign w:val="top"/>
                </w:tcPr>
                <w:p w14:paraId="54928A8A">
                  <w:pPr>
                    <w:pStyle w:val="6"/>
                    <w:spacing w:before="68" w:line="239" w:lineRule="auto"/>
                    <w:ind w:left="86"/>
                    <w:rPr>
                      <w:sz w:val="21"/>
                      <w:szCs w:val="21"/>
                    </w:rPr>
                  </w:pPr>
                  <w:r>
                    <w:rPr>
                      <w:spacing w:val="-2"/>
                      <w:sz w:val="21"/>
                      <w:szCs w:val="21"/>
                    </w:rPr>
                    <w:t>5.6524</w:t>
                  </w:r>
                </w:p>
              </w:tc>
              <w:tc>
                <w:tcPr>
                  <w:tcW w:w="1803" w:type="dxa"/>
                  <w:gridSpan w:val="2"/>
                  <w:vAlign w:val="top"/>
                </w:tcPr>
                <w:p w14:paraId="6385E339">
                  <w:pPr>
                    <w:pStyle w:val="6"/>
                    <w:spacing w:before="48" w:line="202" w:lineRule="auto"/>
                    <w:ind w:left="107" w:right="119"/>
                    <w:rPr>
                      <w:sz w:val="21"/>
                      <w:szCs w:val="21"/>
                    </w:rPr>
                  </w:pPr>
                  <w:r>
                    <w:rPr>
                      <w:spacing w:val="-1"/>
                      <w:sz w:val="21"/>
                      <w:szCs w:val="21"/>
                    </w:rPr>
                    <w:t>永久：0.85;临时</w:t>
                  </w:r>
                  <w:r>
                    <w:rPr>
                      <w:sz w:val="21"/>
                      <w:szCs w:val="21"/>
                    </w:rPr>
                    <w:t xml:space="preserve"> </w:t>
                  </w:r>
                  <w:r>
                    <w:rPr>
                      <w:spacing w:val="-4"/>
                      <w:sz w:val="21"/>
                      <w:szCs w:val="21"/>
                    </w:rPr>
                    <w:t>114.82</w:t>
                  </w:r>
                </w:p>
              </w:tc>
            </w:tr>
          </w:tbl>
          <w:p w14:paraId="6747666A">
            <w:pPr>
              <w:pStyle w:val="6"/>
              <w:spacing w:before="28" w:line="216" w:lineRule="auto"/>
              <w:ind w:left="114" w:right="324" w:firstLine="16"/>
              <w:rPr>
                <w:sz w:val="24"/>
                <w:szCs w:val="24"/>
              </w:rPr>
            </w:pPr>
            <w:r>
              <w:rPr>
                <w:sz w:val="24"/>
                <w:szCs w:val="24"/>
              </w:rPr>
              <w:t>备注：施工营场地、施工便道布设在光伏方阵空地内，不再重复计列面</w:t>
            </w:r>
            <w:r>
              <w:rPr>
                <w:spacing w:val="-1"/>
                <w:sz w:val="24"/>
                <w:szCs w:val="24"/>
              </w:rPr>
              <w:t>积。</w:t>
            </w:r>
            <w:r>
              <w:rPr>
                <w:sz w:val="24"/>
                <w:szCs w:val="24"/>
              </w:rPr>
              <w:t xml:space="preserve"> </w:t>
            </w:r>
            <w:r>
              <w:rPr>
                <w:b/>
                <w:bCs/>
                <w:spacing w:val="-4"/>
                <w:sz w:val="24"/>
                <w:szCs w:val="24"/>
              </w:rPr>
              <w:t>2项目总平面布置一光伏发电系统布置</w:t>
            </w:r>
          </w:p>
          <w:p w14:paraId="537B05A7">
            <w:pPr>
              <w:pStyle w:val="6"/>
              <w:spacing w:before="178" w:line="219" w:lineRule="auto"/>
              <w:ind w:left="580"/>
              <w:rPr>
                <w:sz w:val="24"/>
                <w:szCs w:val="24"/>
              </w:rPr>
            </w:pPr>
            <w:r>
              <w:rPr>
                <w:sz w:val="24"/>
                <w:szCs w:val="24"/>
              </w:rPr>
              <w:t>陆良光伏发电项目总平面布置图详见附图，升压站总平面布置见附图5。</w:t>
            </w:r>
          </w:p>
          <w:p w14:paraId="4DCFE863">
            <w:pPr>
              <w:pStyle w:val="6"/>
              <w:spacing w:before="184" w:line="360" w:lineRule="auto"/>
              <w:ind w:left="121" w:right="78" w:firstLine="473"/>
              <w:rPr>
                <w:sz w:val="24"/>
                <w:szCs w:val="24"/>
              </w:rPr>
            </w:pPr>
            <w:r>
              <w:rPr>
                <w:b/>
                <w:bCs/>
                <w:sz w:val="24"/>
                <w:szCs w:val="24"/>
              </w:rPr>
              <w:t>阵列区布置：</w:t>
            </w:r>
            <w:r>
              <w:rPr>
                <w:sz w:val="24"/>
                <w:szCs w:val="24"/>
              </w:rPr>
              <w:t>本工程固定支架组件按照支架长边平行于</w:t>
            </w:r>
            <w:r>
              <w:rPr>
                <w:spacing w:val="-1"/>
                <w:sz w:val="24"/>
                <w:szCs w:val="24"/>
              </w:rPr>
              <w:t>坡面呈东西走向布</w:t>
            </w:r>
            <w:r>
              <w:rPr>
                <w:sz w:val="24"/>
                <w:szCs w:val="24"/>
              </w:rPr>
              <w:t xml:space="preserve"> 置以及组件南北向倾角为25°进行安装建设。柔性支架按照随坡就势的朝向，</w:t>
            </w:r>
            <w:r>
              <w:rPr>
                <w:spacing w:val="9"/>
                <w:sz w:val="24"/>
                <w:szCs w:val="24"/>
              </w:rPr>
              <w:t xml:space="preserve"> </w:t>
            </w:r>
            <w:r>
              <w:rPr>
                <w:sz w:val="24"/>
                <w:szCs w:val="24"/>
              </w:rPr>
              <w:t>倾角15°安装建设。在支架安装时，必须保证不同地形条件下的支架满足确定</w:t>
            </w:r>
            <w:r>
              <w:rPr>
                <w:spacing w:val="14"/>
                <w:sz w:val="24"/>
                <w:szCs w:val="24"/>
              </w:rPr>
              <w:t xml:space="preserve"> </w:t>
            </w:r>
            <w:r>
              <w:rPr>
                <w:sz w:val="24"/>
                <w:szCs w:val="24"/>
              </w:rPr>
              <w:t>的方位角和倾角，可以采用调整土建基础或者支架高度来完成。</w:t>
            </w:r>
          </w:p>
          <w:p w14:paraId="1873765A">
            <w:pPr>
              <w:pStyle w:val="6"/>
              <w:spacing w:line="357" w:lineRule="auto"/>
              <w:ind w:left="110" w:right="202" w:firstLine="489"/>
              <w:rPr>
                <w:sz w:val="24"/>
                <w:szCs w:val="24"/>
              </w:rPr>
            </w:pPr>
            <w:r>
              <w:rPr>
                <w:sz w:val="24"/>
                <w:szCs w:val="24"/>
              </w:rPr>
              <w:t>本项目除了设置的24个光伏方阵，为了后续项目的推进，还设置了3块备</w:t>
            </w:r>
            <w:r>
              <w:rPr>
                <w:spacing w:val="10"/>
                <w:sz w:val="24"/>
                <w:szCs w:val="24"/>
              </w:rPr>
              <w:t xml:space="preserve"> </w:t>
            </w:r>
            <w:r>
              <w:rPr>
                <w:sz w:val="24"/>
                <w:szCs w:val="24"/>
              </w:rPr>
              <w:t>用地，本项目前期查询相关意见均包括了3块备用地，本次评价将三块备用地</w:t>
            </w:r>
            <w:r>
              <w:rPr>
                <w:spacing w:val="8"/>
                <w:sz w:val="24"/>
                <w:szCs w:val="24"/>
              </w:rPr>
              <w:t xml:space="preserve"> </w:t>
            </w:r>
            <w:r>
              <w:rPr>
                <w:sz w:val="24"/>
                <w:szCs w:val="24"/>
              </w:rPr>
              <w:t>包括在本次评价范围内。其中1#备用地块位于升压站南侧232m,2#备用地块</w:t>
            </w:r>
          </w:p>
          <w:p w14:paraId="40577482">
            <w:pPr>
              <w:pStyle w:val="6"/>
              <w:spacing w:before="15" w:line="216" w:lineRule="auto"/>
              <w:ind w:left="121"/>
              <w:rPr>
                <w:sz w:val="24"/>
                <w:szCs w:val="24"/>
              </w:rPr>
            </w:pPr>
            <w:r>
              <w:rPr>
                <w:sz w:val="24"/>
                <w:szCs w:val="24"/>
              </w:rPr>
              <w:t>位于12#光伏方阵东南侧1151m,3#备用地块位于20#光伏方阵东南侧1647m。</w:t>
            </w:r>
          </w:p>
          <w:p w14:paraId="6E263003">
            <w:pPr>
              <w:pStyle w:val="6"/>
              <w:spacing w:before="308" w:line="219" w:lineRule="auto"/>
              <w:ind w:left="114"/>
              <w:rPr>
                <w:sz w:val="24"/>
                <w:szCs w:val="24"/>
              </w:rPr>
            </w:pPr>
            <w:r>
              <w:rPr>
                <w:b/>
                <w:bCs/>
                <w:spacing w:val="-4"/>
                <w:sz w:val="24"/>
                <w:szCs w:val="24"/>
              </w:rPr>
              <w:t>3项目总平面布置一升压站总平面布置</w:t>
            </w:r>
          </w:p>
          <w:p w14:paraId="04EABE17">
            <w:pPr>
              <w:pStyle w:val="6"/>
              <w:spacing w:before="177" w:line="216" w:lineRule="auto"/>
              <w:ind w:left="590"/>
              <w:rPr>
                <w:sz w:val="24"/>
                <w:szCs w:val="24"/>
              </w:rPr>
            </w:pPr>
            <w:r>
              <w:rPr>
                <w:spacing w:val="1"/>
                <w:sz w:val="24"/>
                <w:szCs w:val="24"/>
              </w:rPr>
              <w:t>升压站生产区围墙长82m,宽52m。35</w:t>
            </w:r>
            <w:r>
              <w:rPr>
                <w:sz w:val="24"/>
                <w:szCs w:val="24"/>
              </w:rPr>
              <w:t>kV</w:t>
            </w:r>
            <w:r>
              <w:rPr>
                <w:spacing w:val="1"/>
                <w:sz w:val="24"/>
                <w:szCs w:val="24"/>
              </w:rPr>
              <w:t>进线由光伏场区经35</w:t>
            </w:r>
            <w:r>
              <w:rPr>
                <w:sz w:val="24"/>
                <w:szCs w:val="24"/>
              </w:rPr>
              <w:t>KV</w:t>
            </w:r>
            <w:r>
              <w:rPr>
                <w:spacing w:val="1"/>
                <w:sz w:val="24"/>
                <w:szCs w:val="24"/>
              </w:rPr>
              <w:t>电缆引</w:t>
            </w:r>
          </w:p>
          <w:p w14:paraId="6578A3DA">
            <w:pPr>
              <w:pStyle w:val="6"/>
              <w:spacing w:before="181" w:line="359" w:lineRule="auto"/>
              <w:ind w:left="100" w:right="317" w:firstLine="20"/>
              <w:rPr>
                <w:sz w:val="24"/>
                <w:szCs w:val="24"/>
              </w:rPr>
            </w:pPr>
            <w:r>
              <w:rPr>
                <w:sz w:val="24"/>
                <w:szCs w:val="24"/>
              </w:rPr>
              <w:t>入。主变压器露天布置于35kV配电室与高压户外配电装置之间。主变高压侧</w:t>
            </w:r>
            <w:r>
              <w:rPr>
                <w:spacing w:val="15"/>
                <w:sz w:val="24"/>
                <w:szCs w:val="24"/>
              </w:rPr>
              <w:t xml:space="preserve"> </w:t>
            </w:r>
            <w:r>
              <w:rPr>
                <w:spacing w:val="1"/>
                <w:sz w:val="24"/>
                <w:szCs w:val="24"/>
              </w:rPr>
              <w:t>用</w:t>
            </w:r>
            <w:r>
              <w:rPr>
                <w:sz w:val="24"/>
                <w:szCs w:val="24"/>
              </w:rPr>
              <w:t>JL</w:t>
            </w:r>
            <w:r>
              <w:rPr>
                <w:spacing w:val="1"/>
                <w:sz w:val="24"/>
                <w:szCs w:val="24"/>
              </w:rPr>
              <w:t>/G1A-300钢芯铝绞线引上至高压户</w:t>
            </w:r>
            <w:r>
              <w:rPr>
                <w:sz w:val="24"/>
                <w:szCs w:val="24"/>
              </w:rPr>
              <w:t>外配电装置，35KV侧用全绝缘管型母 线引至35kV配电室主变进线柜。主变中性点设备安装于变压器旁边。升压站</w:t>
            </w:r>
          </w:p>
          <w:p w14:paraId="364891E6">
            <w:pPr>
              <w:pStyle w:val="6"/>
              <w:spacing w:before="1" w:line="218" w:lineRule="auto"/>
              <w:ind w:left="131"/>
              <w:rPr>
                <w:sz w:val="24"/>
                <w:szCs w:val="24"/>
              </w:rPr>
            </w:pPr>
            <w:r>
              <w:rPr>
                <w:sz w:val="24"/>
                <w:szCs w:val="24"/>
              </w:rPr>
              <w:t>电气二次设备及光伏电站微机监控设备、通讯设备均布置于继电保护室、中控</w:t>
            </w:r>
          </w:p>
        </w:tc>
      </w:tr>
    </w:tbl>
    <w:p w14:paraId="463A0A70">
      <w:pPr>
        <w:pStyle w:val="2"/>
      </w:pPr>
    </w:p>
    <w:p w14:paraId="2DE79034">
      <w:pPr>
        <w:sectPr>
          <w:footerReference r:id="rId73" w:type="default"/>
          <w:pgSz w:w="11910" w:h="16830"/>
          <w:pgMar w:top="400" w:right="1425" w:bottom="1245" w:left="1395" w:header="0" w:footer="1083" w:gutter="0"/>
          <w:cols w:space="720" w:num="1"/>
        </w:sectPr>
      </w:pPr>
    </w:p>
    <w:p w14:paraId="53FF5F72">
      <w:pPr>
        <w:spacing w:before="15"/>
      </w:pPr>
    </w:p>
    <w:p w14:paraId="59A66180">
      <w:pPr>
        <w:spacing w:before="15"/>
      </w:pPr>
    </w:p>
    <w:p w14:paraId="409E67C6">
      <w:pPr>
        <w:spacing w:before="15"/>
      </w:pPr>
    </w:p>
    <w:p w14:paraId="517B8E19">
      <w:pPr>
        <w:spacing w:before="14"/>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8385"/>
      </w:tblGrid>
      <w:tr w14:paraId="3E0D9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714" w:type="dxa"/>
            <w:vAlign w:val="top"/>
          </w:tcPr>
          <w:p w14:paraId="57AA25A9">
            <w:pPr>
              <w:rPr>
                <w:rFonts w:ascii="Arial"/>
                <w:sz w:val="21"/>
              </w:rPr>
            </w:pPr>
          </w:p>
        </w:tc>
        <w:tc>
          <w:tcPr>
            <w:tcW w:w="8385" w:type="dxa"/>
            <w:vAlign w:val="top"/>
          </w:tcPr>
          <w:p w14:paraId="19D837C5">
            <w:pPr>
              <w:pStyle w:val="6"/>
              <w:spacing w:before="15" w:line="361" w:lineRule="auto"/>
              <w:ind w:left="121" w:right="321"/>
              <w:rPr>
                <w:sz w:val="24"/>
                <w:szCs w:val="24"/>
              </w:rPr>
            </w:pPr>
            <w:r>
              <w:rPr>
                <w:sz w:val="24"/>
                <w:szCs w:val="24"/>
              </w:rPr>
              <w:t>室内。A线从双回路进入升压站南侧，C线单回路进入升压站南侧，出线由升</w:t>
            </w:r>
            <w:r>
              <w:rPr>
                <w:spacing w:val="11"/>
                <w:sz w:val="24"/>
                <w:szCs w:val="24"/>
              </w:rPr>
              <w:t xml:space="preserve"> </w:t>
            </w:r>
            <w:r>
              <w:rPr>
                <w:spacing w:val="-1"/>
                <w:sz w:val="24"/>
                <w:szCs w:val="24"/>
              </w:rPr>
              <w:t>压站北侧单回路出线。</w:t>
            </w:r>
          </w:p>
          <w:p w14:paraId="753262E7">
            <w:pPr>
              <w:pStyle w:val="6"/>
              <w:spacing w:line="357" w:lineRule="auto"/>
              <w:ind w:left="121" w:right="100" w:firstLine="459"/>
              <w:rPr>
                <w:sz w:val="24"/>
                <w:szCs w:val="24"/>
              </w:rPr>
            </w:pPr>
            <w:r>
              <w:rPr>
                <w:sz w:val="24"/>
                <w:szCs w:val="24"/>
              </w:rPr>
              <w:t>整个场区分为生产区、生活办公区两部分。站内布置综合楼、一体化消防</w:t>
            </w:r>
            <w:r>
              <w:rPr>
                <w:spacing w:val="12"/>
                <w:sz w:val="24"/>
                <w:szCs w:val="24"/>
              </w:rPr>
              <w:t xml:space="preserve"> </w:t>
            </w:r>
            <w:r>
              <w:rPr>
                <w:spacing w:val="1"/>
                <w:sz w:val="24"/>
                <w:szCs w:val="24"/>
              </w:rPr>
              <w:t>泵站、污水处理装置、主变压器、事故油池、出线架构等建(构)筑物。</w:t>
            </w:r>
            <w:r>
              <w:rPr>
                <w:sz w:val="24"/>
                <w:szCs w:val="24"/>
              </w:rPr>
              <w:t>站内  道路为混凝土路面，主干道宽4.5m,转弯半径为9m,道路呈环形布置，消防</w:t>
            </w:r>
          </w:p>
          <w:p w14:paraId="442220C6">
            <w:pPr>
              <w:pStyle w:val="6"/>
              <w:spacing w:before="17" w:line="362" w:lineRule="auto"/>
              <w:ind w:left="131" w:right="94" w:hanging="20"/>
              <w:rPr>
                <w:sz w:val="24"/>
                <w:szCs w:val="24"/>
              </w:rPr>
            </w:pPr>
            <w:r>
              <w:rPr>
                <w:sz w:val="24"/>
                <w:szCs w:val="24"/>
              </w:rPr>
              <w:t>车可直达站内各建筑物。站区内生产区内铺设碎石，其余未利用空地规划为绿</w:t>
            </w:r>
            <w:r>
              <w:rPr>
                <w:spacing w:val="8"/>
                <w:sz w:val="24"/>
                <w:szCs w:val="24"/>
              </w:rPr>
              <w:t xml:space="preserve"> </w:t>
            </w:r>
            <w:r>
              <w:rPr>
                <w:sz w:val="24"/>
                <w:szCs w:val="24"/>
              </w:rPr>
              <w:t>地。站区设置一个出入口进站道路相接。</w:t>
            </w:r>
          </w:p>
          <w:p w14:paraId="393AF716">
            <w:pPr>
              <w:pStyle w:val="6"/>
              <w:spacing w:before="1" w:line="360" w:lineRule="auto"/>
              <w:ind w:left="121" w:right="65" w:firstLine="479"/>
              <w:jc w:val="both"/>
              <w:rPr>
                <w:sz w:val="24"/>
                <w:szCs w:val="24"/>
              </w:rPr>
            </w:pPr>
            <w:r>
              <w:rPr>
                <w:sz w:val="24"/>
                <w:szCs w:val="24"/>
              </w:rPr>
              <w:t>为便于施工安装、维护检修及消防，主变场地、配电装置间均设有环形道</w:t>
            </w:r>
            <w:r>
              <w:rPr>
                <w:spacing w:val="10"/>
                <w:sz w:val="24"/>
                <w:szCs w:val="24"/>
              </w:rPr>
              <w:t xml:space="preserve"> </w:t>
            </w:r>
            <w:r>
              <w:rPr>
                <w:spacing w:val="1"/>
                <w:sz w:val="24"/>
                <w:szCs w:val="24"/>
              </w:rPr>
              <w:t>路。在充分考虑使用合理、工艺系统顺畅的前提下，站用电配</w:t>
            </w:r>
            <w:r>
              <w:rPr>
                <w:sz w:val="24"/>
                <w:szCs w:val="24"/>
              </w:rPr>
              <w:t>电装置、水工用 房分别布置在各级电压配电装置的空闲场地上。</w:t>
            </w:r>
          </w:p>
          <w:p w14:paraId="6525FA00">
            <w:pPr>
              <w:pStyle w:val="6"/>
              <w:spacing w:line="218" w:lineRule="auto"/>
              <w:ind w:left="94"/>
              <w:rPr>
                <w:sz w:val="24"/>
                <w:szCs w:val="24"/>
              </w:rPr>
            </w:pPr>
            <w:r>
              <w:rPr>
                <w:b/>
                <w:bCs/>
                <w:color w:val="A0C0A0"/>
                <w:spacing w:val="-4"/>
                <w:sz w:val="24"/>
                <w:szCs w:val="24"/>
              </w:rPr>
              <w:t>4</w:t>
            </w:r>
            <w:r>
              <w:rPr>
                <w:b/>
                <w:bCs/>
                <w:spacing w:val="-4"/>
                <w:sz w:val="24"/>
                <w:szCs w:val="24"/>
              </w:rPr>
              <w:t>道路区布置</w:t>
            </w:r>
          </w:p>
          <w:p w14:paraId="08E5966D">
            <w:pPr>
              <w:pStyle w:val="6"/>
              <w:spacing w:before="167" w:line="361" w:lineRule="auto"/>
              <w:ind w:left="101" w:right="100" w:firstLine="479"/>
              <w:rPr>
                <w:sz w:val="24"/>
                <w:szCs w:val="24"/>
              </w:rPr>
            </w:pPr>
            <w:r>
              <w:rPr>
                <w:sz w:val="24"/>
                <w:szCs w:val="24"/>
              </w:rPr>
              <w:t>场内道路设计标准参考露天矿山三级，设计时速15公里，并综合考虑本工</w:t>
            </w:r>
            <w:r>
              <w:rPr>
                <w:spacing w:val="12"/>
                <w:sz w:val="24"/>
                <w:szCs w:val="24"/>
              </w:rPr>
              <w:t xml:space="preserve"> </w:t>
            </w:r>
            <w:r>
              <w:rPr>
                <w:sz w:val="24"/>
                <w:szCs w:val="24"/>
              </w:rPr>
              <w:t>程实际地形条件，设计最大纵坡度不大于15%。路基与路面按以下设计原则设</w:t>
            </w:r>
            <w:r>
              <w:rPr>
                <w:spacing w:val="5"/>
                <w:sz w:val="24"/>
                <w:szCs w:val="24"/>
              </w:rPr>
              <w:t xml:space="preserve">  </w:t>
            </w:r>
            <w:r>
              <w:rPr>
                <w:sz w:val="24"/>
                <w:szCs w:val="24"/>
              </w:rPr>
              <w:t>计。</w:t>
            </w:r>
          </w:p>
          <w:p w14:paraId="381B2C3F">
            <w:pPr>
              <w:pStyle w:val="6"/>
              <w:spacing w:before="5" w:line="219" w:lineRule="auto"/>
              <w:ind w:left="210"/>
              <w:rPr>
                <w:sz w:val="24"/>
                <w:szCs w:val="24"/>
              </w:rPr>
            </w:pPr>
            <w:r>
              <w:rPr>
                <w:spacing w:val="2"/>
                <w:sz w:val="24"/>
                <w:szCs w:val="24"/>
              </w:rPr>
              <w:t>(1)路基</w:t>
            </w:r>
          </w:p>
          <w:p w14:paraId="06911BB4">
            <w:pPr>
              <w:pStyle w:val="6"/>
              <w:spacing w:before="174" w:line="358" w:lineRule="auto"/>
              <w:ind w:left="121" w:right="903" w:firstLine="459"/>
              <w:rPr>
                <w:sz w:val="24"/>
                <w:szCs w:val="24"/>
              </w:rPr>
            </w:pPr>
            <w:r>
              <w:rPr>
                <w:spacing w:val="1"/>
                <w:sz w:val="24"/>
                <w:szCs w:val="24"/>
              </w:rPr>
              <w:t>场内道路路基横断面为0.25m(路肩)+3.5m(车行道)+0.25m(路肩);</w:t>
            </w:r>
            <w:r>
              <w:rPr>
                <w:spacing w:val="9"/>
                <w:sz w:val="24"/>
                <w:szCs w:val="24"/>
              </w:rPr>
              <w:t xml:space="preserve"> </w:t>
            </w:r>
            <w:r>
              <w:rPr>
                <w:sz w:val="24"/>
                <w:szCs w:val="24"/>
              </w:rPr>
              <w:t>进站道路路基横断面为0.75m(路肩)+4.5m(车行道)+0.75m</w:t>
            </w:r>
            <w:r>
              <w:rPr>
                <w:spacing w:val="-1"/>
                <w:sz w:val="24"/>
                <w:szCs w:val="24"/>
              </w:rPr>
              <w:t>(路肩);路基</w:t>
            </w:r>
          </w:p>
          <w:p w14:paraId="4C6E4A9E">
            <w:pPr>
              <w:pStyle w:val="6"/>
              <w:spacing w:before="1" w:line="219" w:lineRule="auto"/>
              <w:ind w:left="131"/>
              <w:rPr>
                <w:sz w:val="24"/>
                <w:szCs w:val="24"/>
              </w:rPr>
            </w:pPr>
            <w:r>
              <w:rPr>
                <w:sz w:val="24"/>
                <w:szCs w:val="24"/>
              </w:rPr>
              <w:t>设计标高：为路基中心标高；路拱坡度：2%;路肩横向坡度：3%;路基填方</w:t>
            </w:r>
          </w:p>
          <w:p w14:paraId="49648328">
            <w:pPr>
              <w:pStyle w:val="6"/>
              <w:spacing w:before="184" w:line="356" w:lineRule="auto"/>
              <w:ind w:left="111" w:right="102" w:firstLine="10"/>
              <w:rPr>
                <w:sz w:val="24"/>
                <w:szCs w:val="24"/>
              </w:rPr>
            </w:pPr>
            <w:r>
              <w:rPr>
                <w:sz w:val="24"/>
                <w:szCs w:val="24"/>
              </w:rPr>
              <w:t>边坡：1:1.5;路基挖方边坡：1:0.5。填方地段土质基底横</w:t>
            </w:r>
            <w:r>
              <w:rPr>
                <w:spacing w:val="-1"/>
                <w:sz w:val="24"/>
                <w:szCs w:val="24"/>
              </w:rPr>
              <w:t>坡大于1:5者，路基</w:t>
            </w:r>
            <w:r>
              <w:rPr>
                <w:sz w:val="24"/>
                <w:szCs w:val="24"/>
              </w:rPr>
              <w:t xml:space="preserve"> 基底应挖台阶，台阶应设置内倾斜坡度，以保证路基稳</w:t>
            </w:r>
            <w:r>
              <w:rPr>
                <w:spacing w:val="-1"/>
                <w:sz w:val="24"/>
                <w:szCs w:val="24"/>
              </w:rPr>
              <w:t>定。</w:t>
            </w:r>
          </w:p>
          <w:p w14:paraId="317F32FD">
            <w:pPr>
              <w:pStyle w:val="6"/>
              <w:spacing w:before="5" w:line="219" w:lineRule="auto"/>
              <w:ind w:left="220"/>
              <w:rPr>
                <w:sz w:val="24"/>
                <w:szCs w:val="24"/>
              </w:rPr>
            </w:pPr>
            <w:r>
              <w:rPr>
                <w:spacing w:val="2"/>
                <w:sz w:val="24"/>
                <w:szCs w:val="24"/>
              </w:rPr>
              <w:t>(2)路面</w:t>
            </w:r>
          </w:p>
          <w:p w14:paraId="3FF437F6">
            <w:pPr>
              <w:pStyle w:val="6"/>
              <w:spacing w:before="204" w:line="219" w:lineRule="auto"/>
              <w:ind w:left="461"/>
              <w:rPr>
                <w:sz w:val="24"/>
                <w:szCs w:val="24"/>
              </w:rPr>
            </w:pPr>
            <w:r>
              <w:rPr>
                <w:sz w:val="24"/>
                <w:szCs w:val="24"/>
              </w:rPr>
              <w:t>根据当地的建筑材料实际供应条件，拟采用20cm山皮石面层。</w:t>
            </w:r>
          </w:p>
          <w:p w14:paraId="559644F6">
            <w:pPr>
              <w:pStyle w:val="6"/>
              <w:spacing w:before="177" w:line="219" w:lineRule="auto"/>
              <w:ind w:left="210"/>
              <w:rPr>
                <w:sz w:val="24"/>
                <w:szCs w:val="24"/>
              </w:rPr>
            </w:pPr>
            <w:r>
              <w:rPr>
                <w:spacing w:val="1"/>
                <w:sz w:val="24"/>
                <w:szCs w:val="24"/>
              </w:rPr>
              <w:t>(3)道路排水</w:t>
            </w:r>
          </w:p>
          <w:p w14:paraId="04AA1E88">
            <w:pPr>
              <w:pStyle w:val="6"/>
              <w:spacing w:before="184" w:line="219" w:lineRule="auto"/>
              <w:ind w:left="590"/>
              <w:rPr>
                <w:sz w:val="24"/>
                <w:szCs w:val="24"/>
              </w:rPr>
            </w:pPr>
            <w:r>
              <w:rPr>
                <w:sz w:val="24"/>
                <w:szCs w:val="24"/>
              </w:rPr>
              <w:t>道路边沟采用30cm×30cm浆砌石形式。在地形较陡地段，为防止路面被雨</w:t>
            </w:r>
          </w:p>
          <w:p w14:paraId="46B96A54">
            <w:pPr>
              <w:pStyle w:val="6"/>
              <w:spacing w:before="196" w:line="344" w:lineRule="auto"/>
              <w:ind w:left="131" w:right="321" w:hanging="10"/>
              <w:rPr>
                <w:sz w:val="24"/>
                <w:szCs w:val="24"/>
              </w:rPr>
            </w:pPr>
            <w:r>
              <w:rPr>
                <w:sz w:val="24"/>
                <w:szCs w:val="24"/>
              </w:rPr>
              <w:t>水冲刷而产生的破坏，在运维期加强路面维护，在施工时将路面每300m做横</w:t>
            </w:r>
            <w:r>
              <w:rPr>
                <w:spacing w:val="11"/>
                <w:sz w:val="24"/>
                <w:szCs w:val="24"/>
              </w:rPr>
              <w:t xml:space="preserve"> </w:t>
            </w:r>
            <w:r>
              <w:rPr>
                <w:sz w:val="24"/>
                <w:szCs w:val="24"/>
              </w:rPr>
              <w:t>向浆砌石截水沟，尺寸为底宽0.5m,深0.5m,厚0.25m,边坡1:1,并在截水</w:t>
            </w:r>
          </w:p>
          <w:p w14:paraId="3A197AF0">
            <w:pPr>
              <w:pStyle w:val="6"/>
              <w:spacing w:before="26" w:line="219" w:lineRule="auto"/>
              <w:ind w:left="111"/>
              <w:rPr>
                <w:sz w:val="24"/>
                <w:szCs w:val="24"/>
              </w:rPr>
            </w:pPr>
            <w:r>
              <w:rPr>
                <w:sz w:val="24"/>
                <w:szCs w:val="24"/>
              </w:rPr>
              <w:t>沟上面铺筑铸铁篦子，水引至道路边沟。</w:t>
            </w:r>
          </w:p>
          <w:p w14:paraId="002690E2">
            <w:pPr>
              <w:pStyle w:val="6"/>
              <w:spacing w:before="174" w:line="341" w:lineRule="auto"/>
              <w:ind w:left="121" w:right="96" w:firstLine="459"/>
              <w:rPr>
                <w:sz w:val="24"/>
                <w:szCs w:val="24"/>
              </w:rPr>
            </w:pPr>
            <w:r>
              <w:rPr>
                <w:sz w:val="24"/>
                <w:szCs w:val="24"/>
              </w:rPr>
              <w:t>场区内的道路根据地形及光伏板矩阵布置设置，尽量利用现有道路，其它</w:t>
            </w:r>
            <w:r>
              <w:rPr>
                <w:spacing w:val="16"/>
                <w:sz w:val="24"/>
                <w:szCs w:val="24"/>
              </w:rPr>
              <w:t xml:space="preserve"> </w:t>
            </w:r>
            <w:r>
              <w:rPr>
                <w:sz w:val="24"/>
                <w:szCs w:val="24"/>
              </w:rPr>
              <w:t>道路设置满足场区交通运输需求，且坡度不宜过大。考</w:t>
            </w:r>
            <w:r>
              <w:rPr>
                <w:spacing w:val="-1"/>
                <w:sz w:val="24"/>
                <w:szCs w:val="24"/>
              </w:rPr>
              <w:t>虑到光伏设备组件整体</w:t>
            </w:r>
          </w:p>
        </w:tc>
      </w:tr>
    </w:tbl>
    <w:p w14:paraId="40F3C4A8">
      <w:pPr>
        <w:pStyle w:val="2"/>
      </w:pPr>
    </w:p>
    <w:p w14:paraId="18A52736">
      <w:pPr>
        <w:sectPr>
          <w:footerReference r:id="rId74" w:type="default"/>
          <w:pgSz w:w="11910" w:h="16830"/>
          <w:pgMar w:top="400" w:right="1415" w:bottom="1224" w:left="1385" w:header="0" w:footer="1089" w:gutter="0"/>
          <w:cols w:space="720" w:num="1"/>
        </w:sectPr>
      </w:pPr>
    </w:p>
    <w:p w14:paraId="79A0EF54">
      <w:pPr>
        <w:spacing w:before="15"/>
      </w:pPr>
    </w:p>
    <w:p w14:paraId="0363CE91">
      <w:pPr>
        <w:spacing w:before="15"/>
      </w:pPr>
    </w:p>
    <w:p w14:paraId="4A7CFE8C">
      <w:pPr>
        <w:spacing w:before="15"/>
      </w:pPr>
    </w:p>
    <w:p w14:paraId="7FC7C2AD">
      <w:pPr>
        <w:spacing w:before="14"/>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8385"/>
      </w:tblGrid>
      <w:tr w14:paraId="4A6EA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2" w:hRule="atLeast"/>
        </w:trPr>
        <w:tc>
          <w:tcPr>
            <w:tcW w:w="714" w:type="dxa"/>
            <w:vAlign w:val="top"/>
          </w:tcPr>
          <w:p w14:paraId="7788BD04">
            <w:pPr>
              <w:rPr>
                <w:rFonts w:ascii="Arial"/>
                <w:sz w:val="21"/>
              </w:rPr>
            </w:pPr>
          </w:p>
        </w:tc>
        <w:tc>
          <w:tcPr>
            <w:tcW w:w="8385" w:type="dxa"/>
            <w:vAlign w:val="top"/>
          </w:tcPr>
          <w:p w14:paraId="5BA9E79B">
            <w:pPr>
              <w:pStyle w:val="6"/>
              <w:spacing w:before="23" w:line="219" w:lineRule="auto"/>
              <w:ind w:left="101"/>
              <w:rPr>
                <w:sz w:val="24"/>
                <w:szCs w:val="24"/>
              </w:rPr>
            </w:pPr>
            <w:r>
              <w:rPr>
                <w:sz w:val="24"/>
                <w:szCs w:val="24"/>
              </w:rPr>
              <w:t>尺寸不大，对运输道路要求不高，为节约投资，对道路范围内的场地稍作平整</w:t>
            </w:r>
          </w:p>
          <w:p w14:paraId="7D17C36D">
            <w:pPr>
              <w:pStyle w:val="6"/>
              <w:spacing w:before="175" w:line="363" w:lineRule="auto"/>
              <w:ind w:left="101" w:right="564" w:firstLine="20"/>
              <w:jc w:val="both"/>
              <w:rPr>
                <w:sz w:val="24"/>
                <w:szCs w:val="24"/>
              </w:rPr>
            </w:pPr>
            <w:r>
              <w:rPr>
                <w:sz w:val="24"/>
                <w:szCs w:val="24"/>
              </w:rPr>
              <w:t>硬化处理，场区内道路纵坡坡度不大于15%,横向坡度</w:t>
            </w:r>
            <w:r>
              <w:rPr>
                <w:spacing w:val="-1"/>
                <w:sz w:val="24"/>
                <w:szCs w:val="24"/>
              </w:rPr>
              <w:t>为2%～3%,道路路基</w:t>
            </w:r>
            <w:r>
              <w:rPr>
                <w:sz w:val="24"/>
                <w:szCs w:val="24"/>
              </w:rPr>
              <w:t xml:space="preserve">  </w:t>
            </w:r>
            <w:r>
              <w:rPr>
                <w:spacing w:val="1"/>
                <w:sz w:val="24"/>
                <w:szCs w:val="24"/>
              </w:rPr>
              <w:t>宽度为4.0m,路面宽度为3.5m,转弯半径为12m,路</w:t>
            </w:r>
            <w:r>
              <w:rPr>
                <w:sz w:val="24"/>
                <w:szCs w:val="24"/>
              </w:rPr>
              <w:t>面采用20cm山皮石面层。 变电站进站道路：路基宽度6.0m,路面宽度4.5m,为20cm混凝土面层+20cm  碎石基层。</w:t>
            </w:r>
          </w:p>
          <w:p w14:paraId="7B6698E9">
            <w:pPr>
              <w:pStyle w:val="6"/>
              <w:spacing w:line="216" w:lineRule="auto"/>
              <w:ind w:left="580"/>
              <w:rPr>
                <w:sz w:val="24"/>
                <w:szCs w:val="24"/>
              </w:rPr>
            </w:pPr>
            <w:r>
              <w:rPr>
                <w:sz w:val="24"/>
                <w:szCs w:val="24"/>
              </w:rPr>
              <w:t>本工程进场道路(改扩建)12.6km,光伏区场内改扩建道路5.6km,光伏</w:t>
            </w:r>
          </w:p>
          <w:p w14:paraId="2135F914">
            <w:pPr>
              <w:pStyle w:val="6"/>
              <w:spacing w:before="183" w:line="337" w:lineRule="auto"/>
              <w:ind w:left="121" w:right="313" w:firstLine="10"/>
              <w:rPr>
                <w:sz w:val="24"/>
                <w:szCs w:val="24"/>
              </w:rPr>
            </w:pPr>
            <w:r>
              <w:rPr>
                <w:sz w:val="24"/>
                <w:szCs w:val="24"/>
              </w:rPr>
              <w:t>区场内新建及硬化道路0.40km。在较长施工道路末端设置16m×16m的调车平</w:t>
            </w:r>
            <w:r>
              <w:rPr>
                <w:spacing w:val="9"/>
                <w:sz w:val="24"/>
                <w:szCs w:val="24"/>
              </w:rPr>
              <w:t xml:space="preserve"> </w:t>
            </w:r>
            <w:r>
              <w:rPr>
                <w:spacing w:val="-1"/>
                <w:sz w:val="24"/>
                <w:szCs w:val="24"/>
              </w:rPr>
              <w:t>台，在较长且没有支线的路段设置错车道。</w:t>
            </w:r>
          </w:p>
        </w:tc>
      </w:tr>
      <w:tr w14:paraId="787A5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7" w:hRule="atLeast"/>
        </w:trPr>
        <w:tc>
          <w:tcPr>
            <w:tcW w:w="714" w:type="dxa"/>
            <w:vAlign w:val="top"/>
          </w:tcPr>
          <w:p w14:paraId="63A7C072">
            <w:pPr>
              <w:spacing w:line="251" w:lineRule="auto"/>
              <w:rPr>
                <w:rFonts w:ascii="Arial"/>
                <w:sz w:val="21"/>
              </w:rPr>
            </w:pPr>
          </w:p>
          <w:p w14:paraId="56774A5E">
            <w:pPr>
              <w:spacing w:line="251" w:lineRule="auto"/>
              <w:rPr>
                <w:rFonts w:ascii="Arial"/>
                <w:sz w:val="21"/>
              </w:rPr>
            </w:pPr>
          </w:p>
          <w:p w14:paraId="0CA00A84">
            <w:pPr>
              <w:spacing w:line="251" w:lineRule="auto"/>
              <w:rPr>
                <w:rFonts w:ascii="Arial"/>
                <w:sz w:val="21"/>
              </w:rPr>
            </w:pPr>
          </w:p>
          <w:p w14:paraId="40595BC6">
            <w:pPr>
              <w:spacing w:line="251" w:lineRule="auto"/>
              <w:rPr>
                <w:rFonts w:ascii="Arial"/>
                <w:sz w:val="21"/>
              </w:rPr>
            </w:pPr>
          </w:p>
          <w:p w14:paraId="6610ED3E">
            <w:pPr>
              <w:spacing w:line="251" w:lineRule="auto"/>
              <w:rPr>
                <w:rFonts w:ascii="Arial"/>
                <w:sz w:val="21"/>
              </w:rPr>
            </w:pPr>
          </w:p>
          <w:p w14:paraId="5273FDCD">
            <w:pPr>
              <w:spacing w:line="251" w:lineRule="auto"/>
              <w:rPr>
                <w:rFonts w:ascii="Arial"/>
                <w:sz w:val="21"/>
              </w:rPr>
            </w:pPr>
          </w:p>
          <w:p w14:paraId="31241292">
            <w:pPr>
              <w:spacing w:line="252" w:lineRule="auto"/>
              <w:rPr>
                <w:rFonts w:ascii="Arial"/>
                <w:sz w:val="21"/>
              </w:rPr>
            </w:pPr>
          </w:p>
          <w:p w14:paraId="71772A77">
            <w:pPr>
              <w:spacing w:line="252" w:lineRule="auto"/>
              <w:rPr>
                <w:rFonts w:ascii="Arial"/>
                <w:sz w:val="21"/>
              </w:rPr>
            </w:pPr>
          </w:p>
          <w:p w14:paraId="5372AAAF">
            <w:pPr>
              <w:spacing w:line="252" w:lineRule="auto"/>
              <w:rPr>
                <w:rFonts w:ascii="Arial"/>
                <w:sz w:val="21"/>
              </w:rPr>
            </w:pPr>
          </w:p>
          <w:p w14:paraId="3EC45EC9">
            <w:pPr>
              <w:spacing w:line="252" w:lineRule="auto"/>
              <w:rPr>
                <w:rFonts w:ascii="Arial"/>
                <w:sz w:val="21"/>
              </w:rPr>
            </w:pPr>
          </w:p>
          <w:p w14:paraId="24184841">
            <w:pPr>
              <w:spacing w:line="252" w:lineRule="auto"/>
              <w:rPr>
                <w:rFonts w:ascii="Arial"/>
                <w:sz w:val="21"/>
              </w:rPr>
            </w:pPr>
          </w:p>
          <w:p w14:paraId="06CB186D">
            <w:pPr>
              <w:spacing w:line="252" w:lineRule="auto"/>
              <w:rPr>
                <w:rFonts w:ascii="Arial"/>
                <w:sz w:val="21"/>
              </w:rPr>
            </w:pPr>
          </w:p>
          <w:p w14:paraId="3A238411">
            <w:pPr>
              <w:spacing w:line="252" w:lineRule="auto"/>
              <w:rPr>
                <w:rFonts w:ascii="Arial"/>
                <w:sz w:val="21"/>
              </w:rPr>
            </w:pPr>
          </w:p>
          <w:p w14:paraId="2DF56894">
            <w:pPr>
              <w:spacing w:line="252" w:lineRule="auto"/>
              <w:rPr>
                <w:rFonts w:ascii="Arial"/>
                <w:sz w:val="21"/>
              </w:rPr>
            </w:pPr>
          </w:p>
          <w:p w14:paraId="7628A751">
            <w:pPr>
              <w:spacing w:line="252" w:lineRule="auto"/>
              <w:rPr>
                <w:rFonts w:ascii="Arial"/>
                <w:sz w:val="21"/>
              </w:rPr>
            </w:pPr>
          </w:p>
          <w:p w14:paraId="0771066F">
            <w:pPr>
              <w:spacing w:line="252" w:lineRule="auto"/>
              <w:rPr>
                <w:rFonts w:ascii="Arial"/>
                <w:sz w:val="21"/>
              </w:rPr>
            </w:pPr>
          </w:p>
          <w:p w14:paraId="613B986A">
            <w:pPr>
              <w:spacing w:line="252" w:lineRule="auto"/>
              <w:rPr>
                <w:rFonts w:ascii="Arial"/>
                <w:sz w:val="21"/>
              </w:rPr>
            </w:pPr>
          </w:p>
          <w:p w14:paraId="699F74FF">
            <w:pPr>
              <w:spacing w:line="252" w:lineRule="auto"/>
              <w:rPr>
                <w:rFonts w:ascii="Arial"/>
                <w:sz w:val="21"/>
              </w:rPr>
            </w:pPr>
          </w:p>
          <w:p w14:paraId="0D41DE00">
            <w:pPr>
              <w:pStyle w:val="6"/>
              <w:spacing w:before="78" w:line="222" w:lineRule="auto"/>
              <w:ind w:left="104"/>
              <w:rPr>
                <w:sz w:val="24"/>
                <w:szCs w:val="24"/>
              </w:rPr>
            </w:pPr>
            <w:r>
              <w:rPr>
                <w:spacing w:val="6"/>
                <w:sz w:val="24"/>
                <w:szCs w:val="24"/>
              </w:rPr>
              <w:t>施工</w:t>
            </w:r>
          </w:p>
          <w:p w14:paraId="4CE3222B">
            <w:pPr>
              <w:pStyle w:val="6"/>
              <w:spacing w:before="38" w:line="220" w:lineRule="auto"/>
              <w:ind w:left="104"/>
              <w:rPr>
                <w:sz w:val="24"/>
                <w:szCs w:val="24"/>
              </w:rPr>
            </w:pPr>
            <w:r>
              <w:rPr>
                <w:spacing w:val="6"/>
                <w:sz w:val="24"/>
                <w:szCs w:val="24"/>
              </w:rPr>
              <w:t>方案</w:t>
            </w:r>
          </w:p>
        </w:tc>
        <w:tc>
          <w:tcPr>
            <w:tcW w:w="8385" w:type="dxa"/>
            <w:vAlign w:val="top"/>
          </w:tcPr>
          <w:p w14:paraId="62D7BBD6">
            <w:pPr>
              <w:pStyle w:val="6"/>
              <w:spacing w:before="39" w:line="219" w:lineRule="auto"/>
              <w:ind w:left="114"/>
              <w:rPr>
                <w:sz w:val="24"/>
                <w:szCs w:val="24"/>
              </w:rPr>
            </w:pPr>
            <w:r>
              <w:rPr>
                <w:b/>
                <w:bCs/>
                <w:spacing w:val="-2"/>
                <w:sz w:val="24"/>
                <w:szCs w:val="24"/>
              </w:rPr>
              <w:t>1施工条件</w:t>
            </w:r>
          </w:p>
          <w:p w14:paraId="5C5EA2E3">
            <w:pPr>
              <w:pStyle w:val="6"/>
              <w:spacing w:before="188" w:line="219" w:lineRule="auto"/>
              <w:ind w:left="691"/>
              <w:rPr>
                <w:sz w:val="24"/>
                <w:szCs w:val="24"/>
              </w:rPr>
            </w:pPr>
            <w:r>
              <w:rPr>
                <w:spacing w:val="1"/>
                <w:sz w:val="24"/>
                <w:szCs w:val="24"/>
              </w:rPr>
              <w:t>(1)地形、地质条件</w:t>
            </w:r>
          </w:p>
          <w:p w14:paraId="67B44676">
            <w:pPr>
              <w:pStyle w:val="6"/>
              <w:spacing w:before="193" w:line="356" w:lineRule="auto"/>
              <w:ind w:left="121" w:right="82" w:firstLine="479"/>
              <w:rPr>
                <w:sz w:val="24"/>
                <w:szCs w:val="24"/>
              </w:rPr>
            </w:pPr>
            <w:r>
              <w:rPr>
                <w:sz w:val="24"/>
                <w:szCs w:val="24"/>
              </w:rPr>
              <w:t>整体上属于岩溶地貌，地势在南北方向上差异不明显，在东西方向上场址</w:t>
            </w:r>
            <w:r>
              <w:rPr>
                <w:spacing w:val="10"/>
                <w:sz w:val="24"/>
                <w:szCs w:val="24"/>
              </w:rPr>
              <w:t xml:space="preserve"> </w:t>
            </w:r>
            <w:r>
              <w:rPr>
                <w:spacing w:val="2"/>
                <w:sz w:val="24"/>
                <w:szCs w:val="24"/>
              </w:rPr>
              <w:t>中部地势高于周围地势，海拔高程在1800m～1920m之间，南北向长约2.4</w:t>
            </w:r>
            <w:r>
              <w:rPr>
                <w:sz w:val="24"/>
                <w:szCs w:val="24"/>
              </w:rPr>
              <w:t>km</w:t>
            </w:r>
            <w:r>
              <w:rPr>
                <w:spacing w:val="2"/>
                <w:sz w:val="24"/>
                <w:szCs w:val="24"/>
              </w:rPr>
              <w:t xml:space="preserve">,  </w:t>
            </w:r>
            <w:r>
              <w:rPr>
                <w:spacing w:val="1"/>
                <w:sz w:val="24"/>
                <w:szCs w:val="24"/>
              </w:rPr>
              <w:t>东西向长约1.6</w:t>
            </w:r>
            <w:r>
              <w:rPr>
                <w:sz w:val="24"/>
                <w:szCs w:val="24"/>
              </w:rPr>
              <w:t>km</w:t>
            </w:r>
            <w:r>
              <w:rPr>
                <w:spacing w:val="1"/>
                <w:sz w:val="24"/>
                <w:szCs w:val="24"/>
              </w:rPr>
              <w:t>。场址内冲沟较为发育，一般为季</w:t>
            </w:r>
            <w:r>
              <w:rPr>
                <w:sz w:val="24"/>
                <w:szCs w:val="24"/>
              </w:rPr>
              <w:t>节性冲沟。局部基岩零星  出露，场址植被发育一般，以灌木林和荒草地为</w:t>
            </w:r>
            <w:r>
              <w:rPr>
                <w:spacing w:val="-1"/>
                <w:sz w:val="24"/>
                <w:szCs w:val="24"/>
              </w:rPr>
              <w:t>主。</w:t>
            </w:r>
          </w:p>
          <w:p w14:paraId="14F3146F">
            <w:pPr>
              <w:pStyle w:val="6"/>
              <w:spacing w:line="219" w:lineRule="auto"/>
              <w:ind w:left="580"/>
              <w:rPr>
                <w:sz w:val="24"/>
                <w:szCs w:val="24"/>
              </w:rPr>
            </w:pPr>
            <w:r>
              <w:rPr>
                <w:sz w:val="24"/>
                <w:szCs w:val="24"/>
              </w:rPr>
              <w:t>场址区岩(土)层地表主要以第四系碎石质粉土、粉质黏土为主，中下部</w:t>
            </w:r>
          </w:p>
          <w:p w14:paraId="72823C66">
            <w:pPr>
              <w:pStyle w:val="6"/>
              <w:spacing w:before="194" w:line="356" w:lineRule="auto"/>
              <w:ind w:left="131" w:right="67"/>
              <w:rPr>
                <w:sz w:val="24"/>
                <w:szCs w:val="24"/>
              </w:rPr>
            </w:pPr>
            <w:r>
              <w:rPr>
                <w:sz w:val="24"/>
                <w:szCs w:val="24"/>
              </w:rPr>
              <w:t>以下元古界石炭系和泥盆系的灰岩、白云岩为主，夹煤和页岩等。地层由新到</w:t>
            </w:r>
            <w:r>
              <w:rPr>
                <w:spacing w:val="15"/>
                <w:sz w:val="24"/>
                <w:szCs w:val="24"/>
              </w:rPr>
              <w:t xml:space="preserve"> </w:t>
            </w:r>
            <w:r>
              <w:rPr>
                <w:sz w:val="24"/>
                <w:szCs w:val="24"/>
              </w:rPr>
              <w:t>老详述如下：第四系(Q)、石炭系(C)、泥盆系(D)、泥盆系上统一打得</w:t>
            </w:r>
          </w:p>
          <w:p w14:paraId="7BB4F941">
            <w:pPr>
              <w:pStyle w:val="6"/>
              <w:spacing w:before="14" w:line="352" w:lineRule="auto"/>
              <w:ind w:left="121"/>
              <w:rPr>
                <w:sz w:val="24"/>
                <w:szCs w:val="24"/>
              </w:rPr>
            </w:pPr>
            <w:r>
              <w:rPr>
                <w:spacing w:val="-1"/>
                <w:sz w:val="24"/>
                <w:szCs w:val="24"/>
              </w:rPr>
              <w:t>群(D3i)。场地内局部出露的基岩节理裂隙较发育，裂隙中多充填黏土、岩屑。</w:t>
            </w:r>
            <w:r>
              <w:rPr>
                <w:spacing w:val="9"/>
                <w:sz w:val="24"/>
                <w:szCs w:val="24"/>
              </w:rPr>
              <w:t xml:space="preserve"> </w:t>
            </w:r>
            <w:r>
              <w:rPr>
                <w:sz w:val="24"/>
                <w:szCs w:val="24"/>
              </w:rPr>
              <w:t>裂隙宽度一般0.1cm～0.3cm,延伸长度一般0.1m～</w:t>
            </w:r>
            <w:r>
              <w:rPr>
                <w:spacing w:val="-1"/>
                <w:sz w:val="24"/>
                <w:szCs w:val="24"/>
              </w:rPr>
              <w:t>0.5m不等。总体上，场址</w:t>
            </w:r>
          </w:p>
          <w:p w14:paraId="38DD81CA">
            <w:pPr>
              <w:pStyle w:val="6"/>
              <w:spacing w:before="16" w:line="219" w:lineRule="auto"/>
              <w:ind w:left="131"/>
              <w:rPr>
                <w:sz w:val="24"/>
                <w:szCs w:val="24"/>
              </w:rPr>
            </w:pPr>
            <w:r>
              <w:rPr>
                <w:sz w:val="24"/>
                <w:szCs w:val="24"/>
              </w:rPr>
              <w:t>内构造不发育。场地整体稳定性较好，适宜工程的建</w:t>
            </w:r>
            <w:r>
              <w:rPr>
                <w:spacing w:val="-1"/>
                <w:sz w:val="24"/>
                <w:szCs w:val="24"/>
              </w:rPr>
              <w:t>设。</w:t>
            </w:r>
          </w:p>
          <w:p w14:paraId="6EA1463E">
            <w:pPr>
              <w:pStyle w:val="6"/>
              <w:spacing w:before="206" w:line="219" w:lineRule="auto"/>
              <w:ind w:left="731"/>
              <w:rPr>
                <w:sz w:val="24"/>
                <w:szCs w:val="24"/>
              </w:rPr>
            </w:pPr>
            <w:r>
              <w:rPr>
                <w:sz w:val="24"/>
                <w:szCs w:val="24"/>
              </w:rPr>
              <w:t>(2)对外交通运输条件</w:t>
            </w:r>
          </w:p>
          <w:p w14:paraId="61502A85">
            <w:pPr>
              <w:pStyle w:val="6"/>
              <w:spacing w:before="153" w:line="362" w:lineRule="auto"/>
              <w:ind w:left="121" w:right="101" w:firstLine="459"/>
              <w:rPr>
                <w:sz w:val="24"/>
                <w:szCs w:val="24"/>
              </w:rPr>
            </w:pPr>
            <w:r>
              <w:rPr>
                <w:sz w:val="24"/>
                <w:szCs w:val="24"/>
              </w:rPr>
              <w:t>栗树园村光伏电站项目位于云南省曲靖市陆良县大莫古镇西部栗树园村南</w:t>
            </w:r>
            <w:r>
              <w:rPr>
                <w:spacing w:val="11"/>
                <w:sz w:val="24"/>
                <w:szCs w:val="24"/>
              </w:rPr>
              <w:t xml:space="preserve"> </w:t>
            </w:r>
            <w:r>
              <w:rPr>
                <w:sz w:val="24"/>
                <w:szCs w:val="24"/>
              </w:rPr>
              <w:t>侧及北侧，距离陆良县直线距离约为20km。场址及其周边有多条公路通过，</w:t>
            </w:r>
          </w:p>
          <w:p w14:paraId="010ECD70">
            <w:pPr>
              <w:pStyle w:val="6"/>
              <w:spacing w:before="1" w:line="356" w:lineRule="auto"/>
              <w:ind w:left="101" w:right="83" w:firstLine="20"/>
              <w:rPr>
                <w:sz w:val="24"/>
                <w:szCs w:val="24"/>
              </w:rPr>
            </w:pPr>
            <w:r>
              <w:rPr>
                <w:sz w:val="24"/>
                <w:szCs w:val="24"/>
              </w:rPr>
              <w:t>交通运输条件较为便利。可通过场址周边的乡村道路进入场内，交通运输条件</w:t>
            </w:r>
            <w:r>
              <w:rPr>
                <w:spacing w:val="9"/>
                <w:sz w:val="24"/>
                <w:szCs w:val="24"/>
              </w:rPr>
              <w:t xml:space="preserve"> </w:t>
            </w:r>
            <w:r>
              <w:rPr>
                <w:sz w:val="24"/>
                <w:szCs w:val="24"/>
              </w:rPr>
              <w:t>较好。</w:t>
            </w:r>
          </w:p>
          <w:p w14:paraId="3A01A2E4">
            <w:pPr>
              <w:pStyle w:val="6"/>
              <w:spacing w:before="13" w:line="219" w:lineRule="auto"/>
              <w:ind w:left="600"/>
              <w:rPr>
                <w:sz w:val="24"/>
                <w:szCs w:val="24"/>
              </w:rPr>
            </w:pPr>
            <w:r>
              <w:rPr>
                <w:sz w:val="24"/>
                <w:szCs w:val="24"/>
              </w:rPr>
              <w:t>本工程对外交通运输拟采用公路运输，具体线路如</w:t>
            </w:r>
            <w:r>
              <w:rPr>
                <w:spacing w:val="-1"/>
                <w:sz w:val="24"/>
                <w:szCs w:val="24"/>
              </w:rPr>
              <w:t>下：</w:t>
            </w:r>
          </w:p>
          <w:p w14:paraId="29FC3B03">
            <w:pPr>
              <w:pStyle w:val="6"/>
              <w:spacing w:before="174" w:line="356" w:lineRule="auto"/>
              <w:ind w:left="90" w:right="192" w:firstLine="519"/>
              <w:rPr>
                <w:sz w:val="24"/>
                <w:szCs w:val="24"/>
              </w:rPr>
            </w:pPr>
            <w:r>
              <w:rPr>
                <w:sz w:val="24"/>
                <w:szCs w:val="24"/>
              </w:rPr>
              <w:t>昆明市→G78汕昆高速→沙林收费站→兰马线、北召公路→栗树园村→村</w:t>
            </w:r>
            <w:r>
              <w:rPr>
                <w:spacing w:val="10"/>
                <w:sz w:val="24"/>
                <w:szCs w:val="24"/>
              </w:rPr>
              <w:t xml:space="preserve"> </w:t>
            </w:r>
            <w:r>
              <w:rPr>
                <w:spacing w:val="1"/>
                <w:sz w:val="24"/>
                <w:szCs w:val="24"/>
              </w:rPr>
              <w:t>道→光伏场区。全程约174.3</w:t>
            </w:r>
            <w:r>
              <w:rPr>
                <w:sz w:val="24"/>
                <w:szCs w:val="24"/>
              </w:rPr>
              <w:t>km</w:t>
            </w:r>
            <w:r>
              <w:rPr>
                <w:spacing w:val="1"/>
                <w:sz w:val="24"/>
                <w:szCs w:val="24"/>
              </w:rPr>
              <w:t>。</w:t>
            </w:r>
          </w:p>
          <w:p w14:paraId="132133D2">
            <w:pPr>
              <w:pStyle w:val="6"/>
              <w:spacing w:before="7" w:line="219" w:lineRule="auto"/>
              <w:ind w:left="691"/>
              <w:rPr>
                <w:sz w:val="24"/>
                <w:szCs w:val="24"/>
              </w:rPr>
            </w:pPr>
            <w:r>
              <w:rPr>
                <w:spacing w:val="1"/>
                <w:sz w:val="24"/>
                <w:szCs w:val="24"/>
              </w:rPr>
              <w:t>(3)施工条件</w:t>
            </w:r>
          </w:p>
        </w:tc>
      </w:tr>
    </w:tbl>
    <w:p w14:paraId="2C72C4C8">
      <w:pPr>
        <w:pStyle w:val="2"/>
      </w:pPr>
    </w:p>
    <w:p w14:paraId="7317FF85">
      <w:pPr>
        <w:sectPr>
          <w:footerReference r:id="rId75" w:type="default"/>
          <w:pgSz w:w="11910" w:h="16830"/>
          <w:pgMar w:top="400" w:right="1415" w:bottom="1245" w:left="1385" w:header="0" w:footer="1083" w:gutter="0"/>
          <w:cols w:space="720" w:num="1"/>
        </w:sectPr>
      </w:pPr>
    </w:p>
    <w:p w14:paraId="07A8471B">
      <w:pPr>
        <w:spacing w:before="15"/>
      </w:pPr>
      <w:r>
        <w:pict>
          <v:shape id="_x0000_s1058" o:spid="_x0000_s1058" style="position:absolute;left:0pt;margin-left:518.25pt;margin-top:685.5pt;height:67.05pt;width:0.5pt;mso-position-horizontal-relative:page;mso-position-vertical-relative:page;z-index:-251634688;mso-width-relative:page;mso-height-relative:page;" filled="f" stroked="t" coordsize="10,1341" o:allowincell="f" path="m5,0l5,1340e">
            <v:fill on="f" focussize="0,0"/>
            <v:stroke weight="0.5pt" color="#000000" miterlimit="10" joinstyle="miter"/>
            <v:imagedata o:title=""/>
            <o:lock v:ext="edit"/>
          </v:shape>
        </w:pict>
      </w:r>
      <w:r>
        <w:drawing>
          <wp:anchor distT="0" distB="0" distL="0" distR="0" simplePos="0" relativeHeight="251680768" behindDoc="1" locked="0" layoutInCell="0" allowOverlap="1">
            <wp:simplePos x="0" y="0"/>
            <wp:positionH relativeFrom="page">
              <wp:posOffset>1339215</wp:posOffset>
            </wp:positionH>
            <wp:positionV relativeFrom="page">
              <wp:posOffset>8705850</wp:posOffset>
            </wp:positionV>
            <wp:extent cx="63500" cy="85090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284"/>
                    <a:stretch>
                      <a:fillRect/>
                    </a:stretch>
                  </pic:blipFill>
                  <pic:spPr>
                    <a:xfrm>
                      <a:off x="0" y="0"/>
                      <a:ext cx="63527" cy="850902"/>
                    </a:xfrm>
                    <a:prstGeom prst="rect">
                      <a:avLst/>
                    </a:prstGeom>
                  </pic:spPr>
                </pic:pic>
              </a:graphicData>
            </a:graphic>
          </wp:anchor>
        </w:drawing>
      </w:r>
    </w:p>
    <w:p w14:paraId="65A13D60">
      <w:pPr>
        <w:spacing w:before="15"/>
      </w:pPr>
    </w:p>
    <w:p w14:paraId="4D411B7C">
      <w:pPr>
        <w:spacing w:before="15"/>
      </w:pPr>
    </w:p>
    <w:p w14:paraId="4D8899E9">
      <w:pPr>
        <w:spacing w:before="14"/>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1378"/>
        <w:gridCol w:w="1758"/>
        <w:gridCol w:w="1778"/>
        <w:gridCol w:w="3461"/>
      </w:tblGrid>
      <w:tr w14:paraId="4B437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66" w:hRule="atLeast"/>
        </w:trPr>
        <w:tc>
          <w:tcPr>
            <w:tcW w:w="724" w:type="dxa"/>
            <w:vMerge w:val="restart"/>
            <w:tcBorders>
              <w:bottom w:val="nil"/>
            </w:tcBorders>
            <w:vAlign w:val="top"/>
          </w:tcPr>
          <w:p w14:paraId="36BCE5FE">
            <w:pPr>
              <w:rPr>
                <w:rFonts w:ascii="Arial"/>
                <w:sz w:val="21"/>
              </w:rPr>
            </w:pPr>
          </w:p>
        </w:tc>
        <w:tc>
          <w:tcPr>
            <w:tcW w:w="8375" w:type="dxa"/>
            <w:gridSpan w:val="4"/>
            <w:vAlign w:val="top"/>
          </w:tcPr>
          <w:p w14:paraId="090C0A39">
            <w:pPr>
              <w:pStyle w:val="6"/>
              <w:spacing w:before="22" w:line="356" w:lineRule="auto"/>
              <w:ind w:left="111" w:firstLine="463"/>
              <w:rPr>
                <w:sz w:val="24"/>
                <w:szCs w:val="24"/>
              </w:rPr>
            </w:pPr>
            <w:bookmarkStart w:id="4" w:name="bookmark10"/>
            <w:bookmarkEnd w:id="4"/>
            <w:r>
              <w:rPr>
                <w:spacing w:val="-4"/>
                <w:sz w:val="24"/>
                <w:szCs w:val="24"/>
              </w:rPr>
              <w:t>本工程所需的主要材料为砌石料、砂石骨料、水泥、混凝土、钢材、木材、</w:t>
            </w:r>
            <w:r>
              <w:rPr>
                <w:spacing w:val="1"/>
                <w:sz w:val="24"/>
                <w:szCs w:val="24"/>
              </w:rPr>
              <w:t xml:space="preserve"> </w:t>
            </w:r>
            <w:r>
              <w:rPr>
                <w:spacing w:val="-3"/>
                <w:sz w:val="24"/>
                <w:szCs w:val="24"/>
              </w:rPr>
              <w:t>油料等，拟采用以下方式供应：</w:t>
            </w:r>
          </w:p>
          <w:p w14:paraId="1D552940">
            <w:pPr>
              <w:pStyle w:val="6"/>
              <w:spacing w:before="4" w:line="219" w:lineRule="auto"/>
              <w:ind w:left="570"/>
              <w:rPr>
                <w:sz w:val="24"/>
                <w:szCs w:val="24"/>
              </w:rPr>
            </w:pPr>
            <w:r>
              <w:rPr>
                <w:spacing w:val="1"/>
                <w:sz w:val="24"/>
                <w:szCs w:val="24"/>
              </w:rPr>
              <w:t>1)主要建筑材料</w:t>
            </w:r>
          </w:p>
          <w:p w14:paraId="2B859695">
            <w:pPr>
              <w:pStyle w:val="6"/>
              <w:spacing w:before="184" w:line="217" w:lineRule="auto"/>
              <w:ind w:left="570"/>
              <w:rPr>
                <w:sz w:val="24"/>
                <w:szCs w:val="24"/>
              </w:rPr>
            </w:pPr>
            <w:r>
              <w:rPr>
                <w:spacing w:val="-1"/>
                <w:sz w:val="24"/>
                <w:szCs w:val="24"/>
              </w:rPr>
              <w:t>①砌石料、砂石骨料</w:t>
            </w:r>
          </w:p>
          <w:p w14:paraId="59428B85">
            <w:pPr>
              <w:pStyle w:val="6"/>
              <w:spacing w:before="179" w:line="219" w:lineRule="auto"/>
              <w:ind w:left="570"/>
              <w:rPr>
                <w:sz w:val="24"/>
                <w:szCs w:val="24"/>
              </w:rPr>
            </w:pPr>
            <w:r>
              <w:rPr>
                <w:sz w:val="24"/>
                <w:szCs w:val="24"/>
              </w:rPr>
              <w:t>本工程所需的砌石料、砂石骨料初步考虑从场址附近砂石料场采购。</w:t>
            </w:r>
          </w:p>
          <w:p w14:paraId="35AE3A3C">
            <w:pPr>
              <w:pStyle w:val="6"/>
              <w:spacing w:before="194" w:line="217" w:lineRule="auto"/>
              <w:ind w:left="570"/>
              <w:rPr>
                <w:sz w:val="24"/>
                <w:szCs w:val="24"/>
              </w:rPr>
            </w:pPr>
            <w:r>
              <w:rPr>
                <w:spacing w:val="4"/>
                <w:sz w:val="24"/>
                <w:szCs w:val="24"/>
              </w:rPr>
              <w:t>②水泥</w:t>
            </w:r>
          </w:p>
          <w:p w14:paraId="1A5DD5AE">
            <w:pPr>
              <w:pStyle w:val="6"/>
              <w:spacing w:before="179" w:line="219" w:lineRule="auto"/>
              <w:ind w:left="570"/>
              <w:rPr>
                <w:sz w:val="24"/>
                <w:szCs w:val="24"/>
              </w:rPr>
            </w:pPr>
            <w:r>
              <w:rPr>
                <w:sz w:val="24"/>
                <w:szCs w:val="24"/>
              </w:rPr>
              <w:t>从陆良县采购。</w:t>
            </w:r>
          </w:p>
          <w:p w14:paraId="5182434B">
            <w:pPr>
              <w:pStyle w:val="6"/>
              <w:spacing w:before="184" w:line="217" w:lineRule="auto"/>
              <w:ind w:left="570"/>
              <w:rPr>
                <w:sz w:val="24"/>
                <w:szCs w:val="24"/>
              </w:rPr>
            </w:pPr>
            <w:r>
              <w:rPr>
                <w:spacing w:val="-2"/>
                <w:sz w:val="24"/>
                <w:szCs w:val="24"/>
              </w:rPr>
              <w:t>③混凝土</w:t>
            </w:r>
          </w:p>
          <w:p w14:paraId="3571A441">
            <w:pPr>
              <w:pStyle w:val="6"/>
              <w:spacing w:before="179" w:line="361" w:lineRule="auto"/>
              <w:ind w:left="101" w:right="82" w:firstLine="489"/>
              <w:rPr>
                <w:sz w:val="24"/>
                <w:szCs w:val="24"/>
              </w:rPr>
            </w:pPr>
            <w:r>
              <w:rPr>
                <w:sz w:val="24"/>
                <w:szCs w:val="24"/>
              </w:rPr>
              <w:t>本工程混凝土主要为升压站、箱式变压器、电缆分接箱基础、场内硬化道</w:t>
            </w:r>
            <w:r>
              <w:rPr>
                <w:spacing w:val="10"/>
                <w:sz w:val="24"/>
                <w:szCs w:val="24"/>
              </w:rPr>
              <w:t xml:space="preserve"> </w:t>
            </w:r>
            <w:r>
              <w:rPr>
                <w:sz w:val="24"/>
                <w:szCs w:val="24"/>
              </w:rPr>
              <w:t>路路面及施工临时设施等混凝土，拟采用商品混凝土，从陆良县采购。</w:t>
            </w:r>
          </w:p>
          <w:p w14:paraId="583C059E">
            <w:pPr>
              <w:pStyle w:val="6"/>
              <w:spacing w:line="217" w:lineRule="auto"/>
              <w:ind w:left="570"/>
              <w:rPr>
                <w:sz w:val="24"/>
                <w:szCs w:val="24"/>
              </w:rPr>
            </w:pPr>
            <w:r>
              <w:rPr>
                <w:sz w:val="24"/>
                <w:szCs w:val="24"/>
              </w:rPr>
              <w:t>④钢材、木材、油料从陆良县采购。</w:t>
            </w:r>
          </w:p>
          <w:p w14:paraId="41D798B7">
            <w:pPr>
              <w:pStyle w:val="6"/>
              <w:spacing w:before="201" w:line="219" w:lineRule="auto"/>
              <w:ind w:left="570"/>
              <w:rPr>
                <w:sz w:val="24"/>
                <w:szCs w:val="24"/>
              </w:rPr>
            </w:pPr>
            <w:r>
              <w:rPr>
                <w:spacing w:val="1"/>
                <w:sz w:val="24"/>
                <w:szCs w:val="24"/>
              </w:rPr>
              <w:t>2)施工用水</w:t>
            </w:r>
          </w:p>
          <w:p w14:paraId="477A69F4">
            <w:pPr>
              <w:pStyle w:val="6"/>
              <w:spacing w:before="173" w:line="356" w:lineRule="auto"/>
              <w:ind w:left="91" w:right="199" w:firstLine="489"/>
              <w:rPr>
                <w:sz w:val="24"/>
                <w:szCs w:val="24"/>
              </w:rPr>
            </w:pPr>
            <w:r>
              <w:rPr>
                <w:spacing w:val="4"/>
                <w:sz w:val="24"/>
                <w:szCs w:val="24"/>
              </w:rPr>
              <w:t>施工用水均取自站址附近的水库，施工场地内设容积为150m³临时水池1</w:t>
            </w:r>
            <w:r>
              <w:rPr>
                <w:spacing w:val="7"/>
                <w:sz w:val="24"/>
                <w:szCs w:val="24"/>
              </w:rPr>
              <w:t xml:space="preserve"> </w:t>
            </w:r>
            <w:r>
              <w:rPr>
                <w:spacing w:val="-1"/>
                <w:sz w:val="24"/>
                <w:szCs w:val="24"/>
              </w:rPr>
              <w:t>座，供施工用水。</w:t>
            </w:r>
          </w:p>
          <w:p w14:paraId="1F98AEAE">
            <w:pPr>
              <w:pStyle w:val="6"/>
              <w:spacing w:before="8" w:line="221" w:lineRule="auto"/>
              <w:ind w:left="570"/>
              <w:rPr>
                <w:sz w:val="24"/>
                <w:szCs w:val="24"/>
              </w:rPr>
            </w:pPr>
            <w:r>
              <w:rPr>
                <w:spacing w:val="2"/>
                <w:sz w:val="24"/>
                <w:szCs w:val="24"/>
              </w:rPr>
              <w:t>3)施工用电</w:t>
            </w:r>
          </w:p>
          <w:p w14:paraId="5A393788">
            <w:pPr>
              <w:pStyle w:val="6"/>
              <w:spacing w:before="179" w:line="353" w:lineRule="auto"/>
              <w:ind w:left="111" w:right="362" w:firstLine="459"/>
              <w:rPr>
                <w:sz w:val="24"/>
                <w:szCs w:val="24"/>
              </w:rPr>
            </w:pPr>
            <w:r>
              <w:rPr>
                <w:sz w:val="24"/>
                <w:szCs w:val="24"/>
              </w:rPr>
              <w:t>场址附近有农网10kV线路，施工用电可由该10kV</w:t>
            </w:r>
            <w:r>
              <w:rPr>
                <w:spacing w:val="-1"/>
                <w:sz w:val="24"/>
                <w:szCs w:val="24"/>
              </w:rPr>
              <w:t>线路引接作为电源，长</w:t>
            </w:r>
            <w:r>
              <w:rPr>
                <w:sz w:val="24"/>
                <w:szCs w:val="24"/>
              </w:rPr>
              <w:t xml:space="preserve"> 度约1.8km,距离较远处施工及紧急备用电源采用柴油发电机供电。</w:t>
            </w:r>
          </w:p>
          <w:p w14:paraId="3FCD26D1">
            <w:pPr>
              <w:pStyle w:val="6"/>
              <w:spacing w:before="1" w:line="218" w:lineRule="auto"/>
              <w:ind w:left="84"/>
              <w:rPr>
                <w:sz w:val="24"/>
                <w:szCs w:val="24"/>
              </w:rPr>
            </w:pPr>
            <w:r>
              <w:rPr>
                <w:b/>
                <w:bCs/>
                <w:color w:val="C0D0B0"/>
                <w:spacing w:val="-4"/>
                <w:sz w:val="24"/>
                <w:szCs w:val="24"/>
              </w:rPr>
              <w:t>2</w:t>
            </w:r>
            <w:r>
              <w:rPr>
                <w:b/>
                <w:bCs/>
                <w:spacing w:val="-4"/>
                <w:sz w:val="24"/>
                <w:szCs w:val="24"/>
              </w:rPr>
              <w:t>施工总布置</w:t>
            </w:r>
          </w:p>
          <w:p w14:paraId="10172686">
            <w:pPr>
              <w:pStyle w:val="6"/>
              <w:spacing w:before="198" w:line="359" w:lineRule="auto"/>
              <w:ind w:left="80" w:firstLine="482"/>
              <w:jc w:val="both"/>
              <w:rPr>
                <w:sz w:val="24"/>
                <w:szCs w:val="24"/>
              </w:rPr>
            </w:pPr>
            <w:r>
              <w:rPr>
                <w:spacing w:val="-4"/>
                <w:sz w:val="24"/>
                <w:szCs w:val="24"/>
              </w:rPr>
              <w:t>本工程工期较短，且工程区距离陆良县较近，附近有多个乡镇，交通方便，</w:t>
            </w:r>
            <w:r>
              <w:rPr>
                <w:spacing w:val="12"/>
                <w:sz w:val="24"/>
                <w:szCs w:val="24"/>
              </w:rPr>
              <w:t xml:space="preserve"> </w:t>
            </w:r>
            <w:r>
              <w:rPr>
                <w:spacing w:val="-3"/>
                <w:sz w:val="24"/>
                <w:szCs w:val="24"/>
              </w:rPr>
              <w:t>不考虑在现场设业主营地、承包商营地、机械修配间</w:t>
            </w:r>
            <w:r>
              <w:rPr>
                <w:spacing w:val="-4"/>
                <w:sz w:val="24"/>
                <w:szCs w:val="24"/>
              </w:rPr>
              <w:t>等。施工所需的这些设施，</w:t>
            </w:r>
            <w:r>
              <w:rPr>
                <w:sz w:val="24"/>
                <w:szCs w:val="24"/>
              </w:rPr>
              <w:t xml:space="preserve"> </w:t>
            </w:r>
            <w:r>
              <w:rPr>
                <w:spacing w:val="-3"/>
                <w:sz w:val="24"/>
                <w:szCs w:val="24"/>
              </w:rPr>
              <w:t>拟利用当地资源。</w:t>
            </w:r>
          </w:p>
          <w:p w14:paraId="70A3CF43">
            <w:pPr>
              <w:pStyle w:val="6"/>
              <w:spacing w:before="4" w:line="357" w:lineRule="auto"/>
              <w:ind w:left="101" w:right="79" w:firstLine="469"/>
              <w:rPr>
                <w:sz w:val="24"/>
                <w:szCs w:val="24"/>
              </w:rPr>
            </w:pPr>
            <w:r>
              <w:rPr>
                <w:sz w:val="24"/>
                <w:szCs w:val="24"/>
              </w:rPr>
              <w:t>场址内共设置1处施工生产生活区，设置在项目区</w:t>
            </w:r>
            <w:r>
              <w:rPr>
                <w:spacing w:val="-1"/>
                <w:sz w:val="24"/>
                <w:szCs w:val="24"/>
              </w:rPr>
              <w:t>中部光伏方阵区中，生</w:t>
            </w:r>
            <w:r>
              <w:rPr>
                <w:sz w:val="24"/>
                <w:szCs w:val="24"/>
              </w:rPr>
              <w:t xml:space="preserve">  </w:t>
            </w:r>
            <w:r>
              <w:rPr>
                <w:spacing w:val="1"/>
                <w:sz w:val="24"/>
                <w:szCs w:val="24"/>
              </w:rPr>
              <w:t>产生活区主要设置的临建设施有：综合加工厂、综合</w:t>
            </w:r>
            <w:r>
              <w:rPr>
                <w:sz w:val="24"/>
                <w:szCs w:val="24"/>
              </w:rPr>
              <w:t>仓库，从安全及环保角度 出发，在与光伏电池组件相邻的地势较平坦区域设置，同时生活区靠近仓库。</w:t>
            </w:r>
            <w:r>
              <w:rPr>
                <w:spacing w:val="8"/>
                <w:sz w:val="24"/>
                <w:szCs w:val="24"/>
              </w:rPr>
              <w:t xml:space="preserve"> </w:t>
            </w:r>
            <w:r>
              <w:rPr>
                <w:spacing w:val="12"/>
                <w:sz w:val="24"/>
                <w:szCs w:val="24"/>
              </w:rPr>
              <w:t>共计占地0.45</w:t>
            </w:r>
            <w:r>
              <w:rPr>
                <w:sz w:val="24"/>
                <w:szCs w:val="24"/>
              </w:rPr>
              <w:t>hm</w:t>
            </w:r>
            <w:r>
              <w:rPr>
                <w:spacing w:val="12"/>
                <w:sz w:val="24"/>
                <w:szCs w:val="24"/>
              </w:rPr>
              <w:t>²。</w:t>
            </w:r>
          </w:p>
          <w:p w14:paraId="0FBEDAA9">
            <w:pPr>
              <w:pStyle w:val="6"/>
              <w:spacing w:before="297" w:line="204" w:lineRule="auto"/>
              <w:ind w:left="1724"/>
              <w:rPr>
                <w:sz w:val="24"/>
                <w:szCs w:val="24"/>
              </w:rPr>
            </w:pPr>
            <w:r>
              <w:rPr>
                <w:b/>
                <w:bCs/>
                <w:spacing w:val="-3"/>
                <w:sz w:val="24"/>
                <w:szCs w:val="24"/>
              </w:rPr>
              <w:t>表2-5</w:t>
            </w:r>
            <w:r>
              <w:rPr>
                <w:spacing w:val="-3"/>
                <w:sz w:val="24"/>
                <w:szCs w:val="24"/>
              </w:rPr>
              <w:t xml:space="preserve">   </w:t>
            </w:r>
            <w:r>
              <w:rPr>
                <w:b/>
                <w:bCs/>
                <w:spacing w:val="-3"/>
                <w:sz w:val="24"/>
                <w:szCs w:val="24"/>
              </w:rPr>
              <w:t>施工临建设施建筑面积及占地面积表</w:t>
            </w:r>
          </w:p>
        </w:tc>
      </w:tr>
      <w:tr w14:paraId="102F2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24" w:type="dxa"/>
            <w:vMerge w:val="continue"/>
            <w:tcBorders>
              <w:top w:val="nil"/>
              <w:bottom w:val="nil"/>
            </w:tcBorders>
            <w:vAlign w:val="top"/>
          </w:tcPr>
          <w:p w14:paraId="7348DD6B">
            <w:pPr>
              <w:rPr>
                <w:rFonts w:ascii="Arial"/>
                <w:sz w:val="21"/>
              </w:rPr>
            </w:pPr>
          </w:p>
        </w:tc>
        <w:tc>
          <w:tcPr>
            <w:tcW w:w="1378" w:type="dxa"/>
            <w:vAlign w:val="top"/>
          </w:tcPr>
          <w:p w14:paraId="59BCD051">
            <w:pPr>
              <w:pStyle w:val="6"/>
              <w:spacing w:before="78" w:line="221" w:lineRule="auto"/>
              <w:ind w:left="550"/>
              <w:rPr>
                <w:sz w:val="18"/>
                <w:szCs w:val="18"/>
              </w:rPr>
            </w:pPr>
            <w:r>
              <w:rPr>
                <w:spacing w:val="-3"/>
                <w:sz w:val="18"/>
                <w:szCs w:val="18"/>
              </w:rPr>
              <w:t>名称</w:t>
            </w:r>
          </w:p>
        </w:tc>
        <w:tc>
          <w:tcPr>
            <w:tcW w:w="1758" w:type="dxa"/>
            <w:vAlign w:val="top"/>
          </w:tcPr>
          <w:p w14:paraId="68EE9F91">
            <w:pPr>
              <w:pStyle w:val="6"/>
              <w:spacing w:before="76" w:line="220" w:lineRule="auto"/>
              <w:ind w:left="282"/>
              <w:rPr>
                <w:sz w:val="18"/>
                <w:szCs w:val="18"/>
              </w:rPr>
            </w:pPr>
            <w:r>
              <w:rPr>
                <w:spacing w:val="16"/>
                <w:sz w:val="18"/>
                <w:szCs w:val="18"/>
              </w:rPr>
              <w:t>建筑面积(m²)</w:t>
            </w:r>
          </w:p>
        </w:tc>
        <w:tc>
          <w:tcPr>
            <w:tcW w:w="1778" w:type="dxa"/>
            <w:vAlign w:val="top"/>
          </w:tcPr>
          <w:p w14:paraId="737F5524">
            <w:pPr>
              <w:pStyle w:val="6"/>
              <w:spacing w:before="76" w:line="220" w:lineRule="auto"/>
              <w:ind w:left="294"/>
              <w:rPr>
                <w:sz w:val="18"/>
                <w:szCs w:val="18"/>
              </w:rPr>
            </w:pPr>
            <w:r>
              <w:rPr>
                <w:spacing w:val="16"/>
                <w:sz w:val="18"/>
                <w:szCs w:val="18"/>
              </w:rPr>
              <w:t>占地面积(m²)</w:t>
            </w:r>
          </w:p>
        </w:tc>
        <w:tc>
          <w:tcPr>
            <w:tcW w:w="3461" w:type="dxa"/>
            <w:vAlign w:val="top"/>
          </w:tcPr>
          <w:p w14:paraId="5AC2B486">
            <w:pPr>
              <w:pStyle w:val="6"/>
              <w:spacing w:before="77" w:line="221" w:lineRule="auto"/>
              <w:ind w:left="1487"/>
              <w:rPr>
                <w:sz w:val="18"/>
                <w:szCs w:val="18"/>
              </w:rPr>
            </w:pPr>
            <w:r>
              <w:rPr>
                <w:spacing w:val="-3"/>
                <w:sz w:val="18"/>
                <w:szCs w:val="18"/>
              </w:rPr>
              <w:t>备注</w:t>
            </w:r>
          </w:p>
        </w:tc>
      </w:tr>
      <w:tr w14:paraId="434CC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724" w:type="dxa"/>
            <w:vMerge w:val="continue"/>
            <w:tcBorders>
              <w:top w:val="nil"/>
              <w:bottom w:val="nil"/>
            </w:tcBorders>
            <w:vAlign w:val="top"/>
          </w:tcPr>
          <w:p w14:paraId="1C51EFE0">
            <w:pPr>
              <w:rPr>
                <w:rFonts w:ascii="Arial"/>
                <w:sz w:val="21"/>
              </w:rPr>
            </w:pPr>
          </w:p>
        </w:tc>
        <w:tc>
          <w:tcPr>
            <w:tcW w:w="1378" w:type="dxa"/>
            <w:vAlign w:val="top"/>
          </w:tcPr>
          <w:p w14:paraId="1391FDAD">
            <w:pPr>
              <w:pStyle w:val="6"/>
              <w:spacing w:before="97" w:line="219" w:lineRule="auto"/>
              <w:ind w:left="371"/>
              <w:rPr>
                <w:sz w:val="18"/>
                <w:szCs w:val="18"/>
              </w:rPr>
            </w:pPr>
            <w:r>
              <w:rPr>
                <w:spacing w:val="2"/>
                <w:sz w:val="18"/>
                <w:szCs w:val="18"/>
              </w:rPr>
              <w:t>综合仓库</w:t>
            </w:r>
          </w:p>
        </w:tc>
        <w:tc>
          <w:tcPr>
            <w:tcW w:w="1758" w:type="dxa"/>
            <w:vAlign w:val="top"/>
          </w:tcPr>
          <w:p w14:paraId="509F915D">
            <w:pPr>
              <w:pStyle w:val="6"/>
              <w:spacing w:before="115" w:line="230" w:lineRule="auto"/>
              <w:ind w:left="693"/>
              <w:rPr>
                <w:sz w:val="18"/>
                <w:szCs w:val="18"/>
              </w:rPr>
            </w:pPr>
            <w:r>
              <w:rPr>
                <w:spacing w:val="-2"/>
                <w:sz w:val="18"/>
                <w:szCs w:val="18"/>
              </w:rPr>
              <w:t>2500</w:t>
            </w:r>
          </w:p>
        </w:tc>
        <w:tc>
          <w:tcPr>
            <w:tcW w:w="1778" w:type="dxa"/>
            <w:vAlign w:val="top"/>
          </w:tcPr>
          <w:p w14:paraId="35F9896A">
            <w:pPr>
              <w:pStyle w:val="6"/>
              <w:spacing w:before="115" w:line="230" w:lineRule="auto"/>
              <w:ind w:left="704"/>
              <w:rPr>
                <w:sz w:val="18"/>
                <w:szCs w:val="18"/>
              </w:rPr>
            </w:pPr>
            <w:r>
              <w:rPr>
                <w:spacing w:val="-2"/>
                <w:sz w:val="18"/>
                <w:szCs w:val="18"/>
              </w:rPr>
              <w:t>3000</w:t>
            </w:r>
          </w:p>
        </w:tc>
        <w:tc>
          <w:tcPr>
            <w:tcW w:w="3461" w:type="dxa"/>
            <w:vAlign w:val="top"/>
          </w:tcPr>
          <w:p w14:paraId="027B3112">
            <w:pPr>
              <w:pStyle w:val="6"/>
              <w:spacing w:before="96" w:line="219" w:lineRule="auto"/>
              <w:ind w:left="317"/>
              <w:rPr>
                <w:sz w:val="18"/>
                <w:szCs w:val="18"/>
              </w:rPr>
            </w:pPr>
            <w:r>
              <w:rPr>
                <w:sz w:val="18"/>
                <w:szCs w:val="18"/>
              </w:rPr>
              <w:t>电池组件、支架、机电设备等堆放</w:t>
            </w:r>
          </w:p>
        </w:tc>
      </w:tr>
      <w:tr w14:paraId="5D40A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24" w:type="dxa"/>
            <w:vMerge w:val="continue"/>
            <w:tcBorders>
              <w:top w:val="nil"/>
              <w:bottom w:val="nil"/>
            </w:tcBorders>
            <w:vAlign w:val="top"/>
          </w:tcPr>
          <w:p w14:paraId="2B4D11CD">
            <w:pPr>
              <w:rPr>
                <w:rFonts w:ascii="Arial"/>
                <w:sz w:val="21"/>
              </w:rPr>
            </w:pPr>
          </w:p>
        </w:tc>
        <w:tc>
          <w:tcPr>
            <w:tcW w:w="1378" w:type="dxa"/>
            <w:vAlign w:val="top"/>
          </w:tcPr>
          <w:p w14:paraId="06313C40">
            <w:pPr>
              <w:pStyle w:val="6"/>
              <w:spacing w:before="78" w:line="220" w:lineRule="auto"/>
              <w:ind w:left="280"/>
              <w:rPr>
                <w:sz w:val="18"/>
                <w:szCs w:val="18"/>
              </w:rPr>
            </w:pPr>
            <w:r>
              <w:rPr>
                <w:spacing w:val="-2"/>
                <w:sz w:val="18"/>
                <w:szCs w:val="18"/>
              </w:rPr>
              <w:t>综合加工厂</w:t>
            </w:r>
          </w:p>
        </w:tc>
        <w:tc>
          <w:tcPr>
            <w:tcW w:w="1758" w:type="dxa"/>
            <w:vAlign w:val="top"/>
          </w:tcPr>
          <w:p w14:paraId="55CC6F91">
            <w:pPr>
              <w:pStyle w:val="6"/>
              <w:spacing w:before="95" w:line="210" w:lineRule="auto"/>
              <w:ind w:left="693"/>
              <w:rPr>
                <w:sz w:val="18"/>
                <w:szCs w:val="18"/>
              </w:rPr>
            </w:pPr>
            <w:r>
              <w:rPr>
                <w:spacing w:val="-4"/>
                <w:sz w:val="18"/>
                <w:szCs w:val="18"/>
              </w:rPr>
              <w:t>1200</w:t>
            </w:r>
          </w:p>
        </w:tc>
        <w:tc>
          <w:tcPr>
            <w:tcW w:w="1778" w:type="dxa"/>
            <w:vAlign w:val="top"/>
          </w:tcPr>
          <w:p w14:paraId="0397B6AE">
            <w:pPr>
              <w:pStyle w:val="6"/>
              <w:spacing w:before="95" w:line="210" w:lineRule="auto"/>
              <w:ind w:left="704"/>
              <w:rPr>
                <w:sz w:val="18"/>
                <w:szCs w:val="18"/>
              </w:rPr>
            </w:pPr>
            <w:r>
              <w:rPr>
                <w:spacing w:val="-4"/>
                <w:sz w:val="18"/>
                <w:szCs w:val="18"/>
              </w:rPr>
              <w:t>1500</w:t>
            </w:r>
          </w:p>
        </w:tc>
        <w:tc>
          <w:tcPr>
            <w:tcW w:w="3461" w:type="dxa"/>
            <w:vAlign w:val="top"/>
          </w:tcPr>
          <w:p w14:paraId="1DE3A2ED">
            <w:pPr>
              <w:pStyle w:val="6"/>
              <w:spacing w:before="76" w:line="219" w:lineRule="auto"/>
              <w:ind w:left="317"/>
              <w:rPr>
                <w:sz w:val="18"/>
                <w:szCs w:val="18"/>
              </w:rPr>
            </w:pPr>
            <w:r>
              <w:rPr>
                <w:spacing w:val="-1"/>
                <w:sz w:val="18"/>
                <w:szCs w:val="18"/>
              </w:rPr>
              <w:t>钢结构加工、机械修配、机械停放</w:t>
            </w:r>
          </w:p>
        </w:tc>
      </w:tr>
      <w:tr w14:paraId="26C73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724" w:type="dxa"/>
            <w:vMerge w:val="continue"/>
            <w:tcBorders>
              <w:top w:val="nil"/>
            </w:tcBorders>
            <w:vAlign w:val="top"/>
          </w:tcPr>
          <w:p w14:paraId="15E5A31E">
            <w:pPr>
              <w:rPr>
                <w:rFonts w:ascii="Arial"/>
                <w:sz w:val="21"/>
              </w:rPr>
            </w:pPr>
          </w:p>
        </w:tc>
        <w:tc>
          <w:tcPr>
            <w:tcW w:w="1378" w:type="dxa"/>
            <w:vAlign w:val="top"/>
          </w:tcPr>
          <w:p w14:paraId="4055A878">
            <w:pPr>
              <w:pStyle w:val="6"/>
              <w:spacing w:before="88" w:line="221" w:lineRule="auto"/>
              <w:ind w:left="550"/>
              <w:rPr>
                <w:sz w:val="18"/>
                <w:szCs w:val="18"/>
              </w:rPr>
            </w:pPr>
            <w:r>
              <w:rPr>
                <w:spacing w:val="-2"/>
                <w:sz w:val="18"/>
                <w:szCs w:val="18"/>
              </w:rPr>
              <w:t>合计</w:t>
            </w:r>
          </w:p>
        </w:tc>
        <w:tc>
          <w:tcPr>
            <w:tcW w:w="1758" w:type="dxa"/>
            <w:vAlign w:val="top"/>
          </w:tcPr>
          <w:p w14:paraId="00C8FEE1">
            <w:pPr>
              <w:pStyle w:val="6"/>
              <w:spacing w:before="105" w:line="225" w:lineRule="auto"/>
              <w:ind w:left="693"/>
              <w:rPr>
                <w:sz w:val="18"/>
                <w:szCs w:val="18"/>
              </w:rPr>
            </w:pPr>
            <w:r>
              <w:rPr>
                <w:spacing w:val="-2"/>
                <w:sz w:val="18"/>
                <w:szCs w:val="18"/>
              </w:rPr>
              <w:t>3700</w:t>
            </w:r>
          </w:p>
        </w:tc>
        <w:tc>
          <w:tcPr>
            <w:tcW w:w="1778" w:type="dxa"/>
            <w:vAlign w:val="top"/>
          </w:tcPr>
          <w:p w14:paraId="61EEE6E4">
            <w:pPr>
              <w:pStyle w:val="6"/>
              <w:spacing w:before="105" w:line="225" w:lineRule="auto"/>
              <w:ind w:left="704"/>
              <w:rPr>
                <w:sz w:val="18"/>
                <w:szCs w:val="18"/>
              </w:rPr>
            </w:pPr>
            <w:r>
              <w:rPr>
                <w:spacing w:val="-2"/>
                <w:sz w:val="18"/>
                <w:szCs w:val="18"/>
              </w:rPr>
              <w:t>4500</w:t>
            </w:r>
          </w:p>
        </w:tc>
        <w:tc>
          <w:tcPr>
            <w:tcW w:w="3461" w:type="dxa"/>
            <w:vAlign w:val="top"/>
          </w:tcPr>
          <w:p w14:paraId="2F67462F">
            <w:pPr>
              <w:rPr>
                <w:rFonts w:ascii="Arial"/>
                <w:sz w:val="21"/>
              </w:rPr>
            </w:pPr>
          </w:p>
        </w:tc>
      </w:tr>
    </w:tbl>
    <w:p w14:paraId="535228FD">
      <w:pPr>
        <w:pStyle w:val="2"/>
      </w:pPr>
    </w:p>
    <w:p w14:paraId="4D864E15">
      <w:pPr>
        <w:sectPr>
          <w:footerReference r:id="rId76" w:type="default"/>
          <w:pgSz w:w="11910" w:h="16830"/>
          <w:pgMar w:top="400" w:right="1415" w:bottom="1245" w:left="1385" w:header="0" w:footer="1083" w:gutter="0"/>
          <w:cols w:space="720" w:num="1"/>
        </w:sectPr>
      </w:pPr>
    </w:p>
    <w:p w14:paraId="7C95DC23">
      <w:pPr>
        <w:spacing w:before="15"/>
      </w:pPr>
    </w:p>
    <w:p w14:paraId="0C5ECA78">
      <w:pPr>
        <w:spacing w:before="15"/>
      </w:pPr>
    </w:p>
    <w:p w14:paraId="573D57C4">
      <w:pPr>
        <w:spacing w:before="15"/>
      </w:pPr>
    </w:p>
    <w:p w14:paraId="56B239DA">
      <w:pPr>
        <w:spacing w:before="14"/>
      </w:pPr>
    </w:p>
    <w:tbl>
      <w:tblPr>
        <w:tblStyle w:val="5"/>
        <w:tblW w:w="90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199"/>
        <w:gridCol w:w="1918"/>
        <w:gridCol w:w="889"/>
        <w:gridCol w:w="899"/>
        <w:gridCol w:w="939"/>
        <w:gridCol w:w="1029"/>
        <w:gridCol w:w="789"/>
        <w:gridCol w:w="644"/>
      </w:tblGrid>
      <w:tr w14:paraId="28DD3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0" w:hRule="atLeast"/>
        </w:trPr>
        <w:tc>
          <w:tcPr>
            <w:tcW w:w="704" w:type="dxa"/>
            <w:vMerge w:val="restart"/>
            <w:tcBorders>
              <w:bottom w:val="nil"/>
            </w:tcBorders>
            <w:vAlign w:val="top"/>
          </w:tcPr>
          <w:p w14:paraId="0D750192">
            <w:pPr>
              <w:rPr>
                <w:rFonts w:ascii="Arial"/>
                <w:sz w:val="21"/>
              </w:rPr>
            </w:pPr>
          </w:p>
        </w:tc>
        <w:tc>
          <w:tcPr>
            <w:tcW w:w="8306" w:type="dxa"/>
            <w:gridSpan w:val="8"/>
            <w:vAlign w:val="top"/>
          </w:tcPr>
          <w:p w14:paraId="63C238D4">
            <w:pPr>
              <w:pStyle w:val="6"/>
              <w:spacing w:before="14" w:line="219" w:lineRule="auto"/>
              <w:ind w:left="570"/>
              <w:rPr>
                <w:sz w:val="24"/>
                <w:szCs w:val="24"/>
              </w:rPr>
            </w:pPr>
            <w:r>
              <w:rPr>
                <w:spacing w:val="2"/>
                <w:sz w:val="24"/>
                <w:szCs w:val="24"/>
              </w:rPr>
              <w:t>(2)弃渣场</w:t>
            </w:r>
          </w:p>
          <w:p w14:paraId="0C32D573">
            <w:pPr>
              <w:pStyle w:val="6"/>
              <w:spacing w:before="180" w:line="362" w:lineRule="auto"/>
              <w:ind w:left="80" w:right="294" w:firstLine="469"/>
              <w:rPr>
                <w:sz w:val="24"/>
                <w:szCs w:val="24"/>
              </w:rPr>
            </w:pPr>
            <w:r>
              <w:rPr>
                <w:spacing w:val="7"/>
                <w:sz w:val="24"/>
                <w:szCs w:val="24"/>
              </w:rPr>
              <w:t>本项目建设共计开挖土石方总量为3.88万m³(其中表土</w:t>
            </w:r>
            <w:r>
              <w:rPr>
                <w:spacing w:val="6"/>
                <w:sz w:val="24"/>
                <w:szCs w:val="24"/>
              </w:rPr>
              <w:t>1.08万m³,一般</w:t>
            </w:r>
            <w:r>
              <w:rPr>
                <w:sz w:val="24"/>
                <w:szCs w:val="24"/>
              </w:rPr>
              <w:t xml:space="preserve"> </w:t>
            </w:r>
            <w:r>
              <w:rPr>
                <w:spacing w:val="9"/>
                <w:sz w:val="24"/>
                <w:szCs w:val="24"/>
              </w:rPr>
              <w:t>土石方2.80万m³),回填一般土石方3.88万m³(其中表土1.08万m³,一般</w:t>
            </w:r>
          </w:p>
          <w:p w14:paraId="69FC5FB3">
            <w:pPr>
              <w:pStyle w:val="6"/>
              <w:spacing w:line="216" w:lineRule="auto"/>
              <w:ind w:left="90"/>
              <w:rPr>
                <w:sz w:val="24"/>
                <w:szCs w:val="24"/>
              </w:rPr>
            </w:pPr>
            <w:r>
              <w:rPr>
                <w:spacing w:val="4"/>
                <w:sz w:val="24"/>
                <w:szCs w:val="24"/>
              </w:rPr>
              <w:t>土石方2.80万m³),项目建设不产生</w:t>
            </w:r>
            <w:r>
              <w:rPr>
                <w:spacing w:val="3"/>
                <w:sz w:val="24"/>
                <w:szCs w:val="24"/>
              </w:rPr>
              <w:t>余方。故本项目不设置弃渣场。</w:t>
            </w:r>
          </w:p>
          <w:p w14:paraId="7C6C04E7">
            <w:pPr>
              <w:pStyle w:val="6"/>
              <w:spacing w:before="192" w:line="219" w:lineRule="auto"/>
              <w:ind w:left="570"/>
              <w:rPr>
                <w:sz w:val="24"/>
                <w:szCs w:val="24"/>
              </w:rPr>
            </w:pPr>
            <w:r>
              <w:rPr>
                <w:spacing w:val="1"/>
                <w:sz w:val="24"/>
                <w:szCs w:val="24"/>
              </w:rPr>
              <w:t>(3)表土临时堆场</w:t>
            </w:r>
          </w:p>
          <w:p w14:paraId="19A9AB0F">
            <w:pPr>
              <w:pStyle w:val="6"/>
              <w:spacing w:before="193" w:line="357" w:lineRule="auto"/>
              <w:ind w:left="100" w:right="85" w:firstLine="439"/>
              <w:rPr>
                <w:sz w:val="24"/>
                <w:szCs w:val="24"/>
              </w:rPr>
            </w:pPr>
            <w:r>
              <w:rPr>
                <w:sz w:val="24"/>
                <w:szCs w:val="24"/>
              </w:rPr>
              <w:t>本项目可研阶段未考虑表土堆存，水土保持方</w:t>
            </w:r>
            <w:r>
              <w:rPr>
                <w:spacing w:val="-1"/>
                <w:sz w:val="24"/>
                <w:szCs w:val="24"/>
              </w:rPr>
              <w:t>案提出表土临时堆场建设方</w:t>
            </w:r>
            <w:r>
              <w:rPr>
                <w:sz w:val="24"/>
                <w:szCs w:val="24"/>
              </w:rPr>
              <w:t xml:space="preserve"> 案，具体如下：</w:t>
            </w:r>
          </w:p>
          <w:p w14:paraId="33783817">
            <w:pPr>
              <w:pStyle w:val="6"/>
              <w:spacing w:before="3" w:line="357" w:lineRule="auto"/>
              <w:ind w:left="10" w:right="230" w:firstLine="499"/>
              <w:rPr>
                <w:sz w:val="24"/>
                <w:szCs w:val="24"/>
              </w:rPr>
            </w:pPr>
            <w:r>
              <w:rPr>
                <w:spacing w:val="4"/>
                <w:sz w:val="24"/>
                <w:szCs w:val="24"/>
              </w:rPr>
              <w:t>根据表土分布情况，项目区共剥离表土1.08万m³,根据项目特点</w:t>
            </w:r>
            <w:r>
              <w:rPr>
                <w:spacing w:val="3"/>
                <w:sz w:val="24"/>
                <w:szCs w:val="24"/>
              </w:rPr>
              <w:t>，由于</w:t>
            </w:r>
            <w:r>
              <w:rPr>
                <w:sz w:val="24"/>
                <w:szCs w:val="24"/>
              </w:rPr>
              <w:t xml:space="preserve">  项目分部交广，为堆存这些表土，方案考虑在项目区分布新增布设表土堆场7</w:t>
            </w:r>
            <w:r>
              <w:rPr>
                <w:spacing w:val="13"/>
                <w:sz w:val="24"/>
                <w:szCs w:val="24"/>
              </w:rPr>
              <w:t xml:space="preserve"> </w:t>
            </w:r>
            <w:r>
              <w:rPr>
                <w:spacing w:val="4"/>
                <w:sz w:val="24"/>
                <w:szCs w:val="24"/>
              </w:rPr>
              <w:t>个，共计占地0.60</w:t>
            </w:r>
            <w:r>
              <w:rPr>
                <w:sz w:val="24"/>
                <w:szCs w:val="24"/>
              </w:rPr>
              <w:t>hm</w:t>
            </w:r>
            <w:r>
              <w:rPr>
                <w:spacing w:val="4"/>
                <w:sz w:val="24"/>
                <w:szCs w:val="24"/>
              </w:rPr>
              <w:t>²,均位于光伏发电区红线范围内</w:t>
            </w:r>
            <w:r>
              <w:rPr>
                <w:spacing w:val="3"/>
                <w:sz w:val="24"/>
                <w:szCs w:val="24"/>
              </w:rPr>
              <w:t>，为重复占地，不重复</w:t>
            </w:r>
            <w:r>
              <w:rPr>
                <w:sz w:val="24"/>
                <w:szCs w:val="24"/>
              </w:rPr>
              <w:t xml:space="preserve"> </w:t>
            </w:r>
            <w:r>
              <w:rPr>
                <w:spacing w:val="3"/>
                <w:sz w:val="24"/>
                <w:szCs w:val="24"/>
              </w:rPr>
              <w:t>计列。表土堆场堆平均堆存高度为3m,规划容量为1.62万m³,实际堆存1.08</w:t>
            </w:r>
          </w:p>
          <w:p w14:paraId="5A36BB03">
            <w:pPr>
              <w:pStyle w:val="6"/>
              <w:spacing w:before="1" w:line="216" w:lineRule="auto"/>
              <w:ind w:left="10"/>
              <w:rPr>
                <w:sz w:val="24"/>
                <w:szCs w:val="24"/>
              </w:rPr>
            </w:pPr>
            <w:r>
              <w:rPr>
                <w:spacing w:val="4"/>
                <w:sz w:val="24"/>
                <w:szCs w:val="24"/>
              </w:rPr>
              <w:t>万m³(自然方),后期回采堆存表土后对堆场区域进行撒草恢复。</w:t>
            </w:r>
          </w:p>
          <w:p w14:paraId="6BDA6C11">
            <w:pPr>
              <w:pStyle w:val="6"/>
              <w:spacing w:before="199" w:line="219" w:lineRule="auto"/>
              <w:ind w:left="2954"/>
              <w:rPr>
                <w:sz w:val="24"/>
                <w:szCs w:val="24"/>
              </w:rPr>
            </w:pPr>
            <w:r>
              <w:rPr>
                <w:b/>
                <w:bCs/>
                <w:spacing w:val="-4"/>
                <w:sz w:val="24"/>
                <w:szCs w:val="24"/>
              </w:rPr>
              <w:t>表2-6表土堆场特性表</w:t>
            </w:r>
          </w:p>
        </w:tc>
      </w:tr>
      <w:tr w14:paraId="707D6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4" w:type="dxa"/>
            <w:vMerge w:val="continue"/>
            <w:tcBorders>
              <w:top w:val="nil"/>
              <w:bottom w:val="nil"/>
            </w:tcBorders>
            <w:vAlign w:val="top"/>
          </w:tcPr>
          <w:p w14:paraId="158C83B1">
            <w:pPr>
              <w:rPr>
                <w:rFonts w:ascii="Arial"/>
                <w:sz w:val="21"/>
              </w:rPr>
            </w:pPr>
          </w:p>
        </w:tc>
        <w:tc>
          <w:tcPr>
            <w:tcW w:w="1199" w:type="dxa"/>
            <w:vMerge w:val="restart"/>
            <w:tcBorders>
              <w:bottom w:val="nil"/>
            </w:tcBorders>
            <w:vAlign w:val="top"/>
          </w:tcPr>
          <w:p w14:paraId="16880F7D">
            <w:pPr>
              <w:pStyle w:val="6"/>
              <w:spacing w:before="292" w:line="219" w:lineRule="auto"/>
              <w:ind w:left="401"/>
              <w:rPr>
                <w:sz w:val="19"/>
                <w:szCs w:val="19"/>
              </w:rPr>
            </w:pPr>
            <w:r>
              <w:rPr>
                <w:spacing w:val="5"/>
                <w:sz w:val="19"/>
                <w:szCs w:val="19"/>
              </w:rPr>
              <w:t>编号</w:t>
            </w:r>
          </w:p>
        </w:tc>
        <w:tc>
          <w:tcPr>
            <w:tcW w:w="1918" w:type="dxa"/>
            <w:vMerge w:val="restart"/>
            <w:tcBorders>
              <w:bottom w:val="nil"/>
            </w:tcBorders>
            <w:vAlign w:val="top"/>
          </w:tcPr>
          <w:p w14:paraId="08D1EDDB">
            <w:pPr>
              <w:pStyle w:val="6"/>
              <w:spacing w:before="293" w:line="221" w:lineRule="auto"/>
              <w:ind w:left="761"/>
              <w:rPr>
                <w:sz w:val="19"/>
                <w:szCs w:val="19"/>
              </w:rPr>
            </w:pPr>
            <w:r>
              <w:rPr>
                <w:spacing w:val="-2"/>
                <w:sz w:val="19"/>
                <w:szCs w:val="19"/>
              </w:rPr>
              <w:t>位置</w:t>
            </w:r>
          </w:p>
        </w:tc>
        <w:tc>
          <w:tcPr>
            <w:tcW w:w="889" w:type="dxa"/>
            <w:vAlign w:val="top"/>
          </w:tcPr>
          <w:p w14:paraId="4400A0E0">
            <w:pPr>
              <w:pStyle w:val="6"/>
              <w:spacing w:before="24" w:line="203" w:lineRule="auto"/>
              <w:ind w:left="153"/>
              <w:rPr>
                <w:sz w:val="19"/>
                <w:szCs w:val="19"/>
              </w:rPr>
            </w:pPr>
            <w:r>
              <w:rPr>
                <w:spacing w:val="2"/>
                <w:sz w:val="19"/>
                <w:szCs w:val="19"/>
              </w:rPr>
              <w:t>占地面</w:t>
            </w:r>
          </w:p>
          <w:p w14:paraId="6EEC036E">
            <w:pPr>
              <w:pStyle w:val="6"/>
              <w:spacing w:line="220" w:lineRule="auto"/>
              <w:ind w:left="343"/>
              <w:rPr>
                <w:sz w:val="19"/>
                <w:szCs w:val="19"/>
              </w:rPr>
            </w:pPr>
            <w:r>
              <w:rPr>
                <w:sz w:val="19"/>
                <w:szCs w:val="19"/>
              </w:rPr>
              <w:t>积</w:t>
            </w:r>
          </w:p>
        </w:tc>
        <w:tc>
          <w:tcPr>
            <w:tcW w:w="899" w:type="dxa"/>
            <w:vAlign w:val="top"/>
          </w:tcPr>
          <w:p w14:paraId="6542F466">
            <w:pPr>
              <w:pStyle w:val="6"/>
              <w:spacing w:before="23" w:line="203" w:lineRule="auto"/>
              <w:ind w:left="154"/>
              <w:rPr>
                <w:sz w:val="19"/>
                <w:szCs w:val="19"/>
              </w:rPr>
            </w:pPr>
            <w:r>
              <w:rPr>
                <w:spacing w:val="-2"/>
                <w:sz w:val="19"/>
                <w:szCs w:val="19"/>
              </w:rPr>
              <w:t>平均堆</w:t>
            </w:r>
          </w:p>
          <w:p w14:paraId="0C430AB5">
            <w:pPr>
              <w:pStyle w:val="6"/>
              <w:spacing w:line="219" w:lineRule="auto"/>
              <w:ind w:left="344"/>
              <w:rPr>
                <w:sz w:val="19"/>
                <w:szCs w:val="19"/>
              </w:rPr>
            </w:pPr>
            <w:r>
              <w:rPr>
                <w:sz w:val="19"/>
                <w:szCs w:val="19"/>
              </w:rPr>
              <w:t>高</w:t>
            </w:r>
          </w:p>
        </w:tc>
        <w:tc>
          <w:tcPr>
            <w:tcW w:w="939" w:type="dxa"/>
            <w:vAlign w:val="top"/>
          </w:tcPr>
          <w:p w14:paraId="185DE787">
            <w:pPr>
              <w:pStyle w:val="6"/>
              <w:spacing w:before="143" w:line="220" w:lineRule="auto"/>
              <w:ind w:left="86"/>
              <w:rPr>
                <w:sz w:val="19"/>
                <w:szCs w:val="19"/>
              </w:rPr>
            </w:pPr>
            <w:r>
              <w:rPr>
                <w:spacing w:val="-2"/>
                <w:sz w:val="19"/>
                <w:szCs w:val="19"/>
              </w:rPr>
              <w:t>规划容量</w:t>
            </w:r>
          </w:p>
        </w:tc>
        <w:tc>
          <w:tcPr>
            <w:tcW w:w="1818" w:type="dxa"/>
            <w:gridSpan w:val="2"/>
            <w:vAlign w:val="top"/>
          </w:tcPr>
          <w:p w14:paraId="384BAF9D">
            <w:pPr>
              <w:pStyle w:val="6"/>
              <w:spacing w:before="142" w:line="219" w:lineRule="auto"/>
              <w:ind w:left="106"/>
              <w:rPr>
                <w:sz w:val="19"/>
                <w:szCs w:val="19"/>
              </w:rPr>
            </w:pPr>
            <w:r>
              <w:rPr>
                <w:spacing w:val="13"/>
                <w:sz w:val="19"/>
                <w:szCs w:val="19"/>
              </w:rPr>
              <w:t>实际堆存量(万m³)</w:t>
            </w:r>
          </w:p>
        </w:tc>
        <w:tc>
          <w:tcPr>
            <w:tcW w:w="644" w:type="dxa"/>
            <w:vAlign w:val="top"/>
          </w:tcPr>
          <w:p w14:paraId="4E4F4A74">
            <w:pPr>
              <w:pStyle w:val="6"/>
              <w:spacing w:before="42" w:line="203" w:lineRule="auto"/>
              <w:ind w:left="128" w:right="112"/>
              <w:rPr>
                <w:sz w:val="19"/>
                <w:szCs w:val="19"/>
              </w:rPr>
            </w:pPr>
            <w:r>
              <w:rPr>
                <w:spacing w:val="-5"/>
                <w:sz w:val="19"/>
                <w:szCs w:val="19"/>
              </w:rPr>
              <w:t>堆存</w:t>
            </w:r>
            <w:r>
              <w:rPr>
                <w:sz w:val="19"/>
                <w:szCs w:val="19"/>
              </w:rPr>
              <w:t xml:space="preserve"> </w:t>
            </w:r>
            <w:r>
              <w:rPr>
                <w:spacing w:val="6"/>
                <w:sz w:val="19"/>
                <w:szCs w:val="19"/>
              </w:rPr>
              <w:t>周期</w:t>
            </w:r>
          </w:p>
        </w:tc>
      </w:tr>
      <w:tr w14:paraId="6A05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4" w:type="dxa"/>
            <w:vMerge w:val="continue"/>
            <w:tcBorders>
              <w:top w:val="nil"/>
              <w:bottom w:val="nil"/>
            </w:tcBorders>
            <w:vAlign w:val="top"/>
          </w:tcPr>
          <w:p w14:paraId="0DA487EA">
            <w:pPr>
              <w:rPr>
                <w:rFonts w:ascii="Arial"/>
                <w:sz w:val="21"/>
              </w:rPr>
            </w:pPr>
          </w:p>
        </w:tc>
        <w:tc>
          <w:tcPr>
            <w:tcW w:w="1199" w:type="dxa"/>
            <w:vMerge w:val="continue"/>
            <w:tcBorders>
              <w:top w:val="nil"/>
            </w:tcBorders>
            <w:vAlign w:val="top"/>
          </w:tcPr>
          <w:p w14:paraId="6D2AE3B4">
            <w:pPr>
              <w:rPr>
                <w:rFonts w:ascii="Arial"/>
                <w:sz w:val="21"/>
              </w:rPr>
            </w:pPr>
          </w:p>
        </w:tc>
        <w:tc>
          <w:tcPr>
            <w:tcW w:w="1918" w:type="dxa"/>
            <w:vMerge w:val="continue"/>
            <w:tcBorders>
              <w:top w:val="nil"/>
            </w:tcBorders>
            <w:vAlign w:val="top"/>
          </w:tcPr>
          <w:p w14:paraId="12053240">
            <w:pPr>
              <w:rPr>
                <w:rFonts w:ascii="Arial"/>
                <w:sz w:val="21"/>
              </w:rPr>
            </w:pPr>
          </w:p>
        </w:tc>
        <w:tc>
          <w:tcPr>
            <w:tcW w:w="889" w:type="dxa"/>
            <w:vAlign w:val="top"/>
          </w:tcPr>
          <w:p w14:paraId="301000B0">
            <w:pPr>
              <w:pStyle w:val="6"/>
              <w:spacing w:before="55" w:line="218" w:lineRule="auto"/>
              <w:ind w:left="153"/>
              <w:rPr>
                <w:sz w:val="19"/>
                <w:szCs w:val="19"/>
              </w:rPr>
            </w:pPr>
            <w:r>
              <w:rPr>
                <w:spacing w:val="-7"/>
                <w:sz w:val="19"/>
                <w:szCs w:val="19"/>
              </w:rPr>
              <w:t>(hm²)</w:t>
            </w:r>
          </w:p>
        </w:tc>
        <w:tc>
          <w:tcPr>
            <w:tcW w:w="899" w:type="dxa"/>
            <w:vAlign w:val="top"/>
          </w:tcPr>
          <w:p w14:paraId="5C14657C">
            <w:pPr>
              <w:pStyle w:val="6"/>
              <w:spacing w:before="55" w:line="218" w:lineRule="auto"/>
              <w:ind w:left="294"/>
              <w:rPr>
                <w:sz w:val="19"/>
                <w:szCs w:val="19"/>
              </w:rPr>
            </w:pPr>
            <w:r>
              <w:rPr>
                <w:spacing w:val="-10"/>
                <w:sz w:val="19"/>
                <w:szCs w:val="19"/>
              </w:rPr>
              <w:t>(m)</w:t>
            </w:r>
          </w:p>
        </w:tc>
        <w:tc>
          <w:tcPr>
            <w:tcW w:w="939" w:type="dxa"/>
            <w:vAlign w:val="top"/>
          </w:tcPr>
          <w:p w14:paraId="2A9B0AE9">
            <w:pPr>
              <w:pStyle w:val="6"/>
              <w:spacing w:before="53" w:line="220" w:lineRule="auto"/>
              <w:ind w:left="126"/>
              <w:rPr>
                <w:sz w:val="19"/>
                <w:szCs w:val="19"/>
              </w:rPr>
            </w:pPr>
            <w:r>
              <w:rPr>
                <w:spacing w:val="-12"/>
                <w:sz w:val="19"/>
                <w:szCs w:val="19"/>
              </w:rPr>
              <w:t>(</w:t>
            </w:r>
            <w:r>
              <w:rPr>
                <w:spacing w:val="-38"/>
                <w:sz w:val="19"/>
                <w:szCs w:val="19"/>
              </w:rPr>
              <w:t xml:space="preserve"> </w:t>
            </w:r>
            <w:r>
              <w:rPr>
                <w:spacing w:val="-12"/>
                <w:sz w:val="19"/>
                <w:szCs w:val="19"/>
              </w:rPr>
              <w:t>万</w:t>
            </w:r>
            <w:r>
              <w:rPr>
                <w:spacing w:val="-48"/>
                <w:sz w:val="19"/>
                <w:szCs w:val="19"/>
              </w:rPr>
              <w:t xml:space="preserve"> </w:t>
            </w:r>
            <w:r>
              <w:rPr>
                <w:spacing w:val="-12"/>
                <w:sz w:val="19"/>
                <w:szCs w:val="19"/>
              </w:rPr>
              <w:t>m</w:t>
            </w:r>
            <w:r>
              <w:rPr>
                <w:spacing w:val="-45"/>
                <w:sz w:val="19"/>
                <w:szCs w:val="19"/>
              </w:rPr>
              <w:t xml:space="preserve"> </w:t>
            </w:r>
            <w:r>
              <w:rPr>
                <w:spacing w:val="-12"/>
                <w:sz w:val="19"/>
                <w:szCs w:val="19"/>
              </w:rPr>
              <w:t>³</w:t>
            </w:r>
            <w:r>
              <w:rPr>
                <w:spacing w:val="-41"/>
                <w:sz w:val="19"/>
                <w:szCs w:val="19"/>
              </w:rPr>
              <w:t xml:space="preserve"> </w:t>
            </w:r>
            <w:r>
              <w:rPr>
                <w:spacing w:val="-12"/>
                <w:sz w:val="19"/>
                <w:szCs w:val="19"/>
              </w:rPr>
              <w:t>)</w:t>
            </w:r>
          </w:p>
        </w:tc>
        <w:tc>
          <w:tcPr>
            <w:tcW w:w="1029" w:type="dxa"/>
            <w:vAlign w:val="top"/>
          </w:tcPr>
          <w:p w14:paraId="6F2492E1">
            <w:pPr>
              <w:pStyle w:val="6"/>
              <w:spacing w:before="53" w:line="220" w:lineRule="auto"/>
              <w:ind w:left="227"/>
              <w:rPr>
                <w:sz w:val="19"/>
                <w:szCs w:val="19"/>
              </w:rPr>
            </w:pPr>
            <w:r>
              <w:rPr>
                <w:spacing w:val="2"/>
                <w:sz w:val="19"/>
                <w:szCs w:val="19"/>
              </w:rPr>
              <w:t>自然方</w:t>
            </w:r>
          </w:p>
        </w:tc>
        <w:tc>
          <w:tcPr>
            <w:tcW w:w="789" w:type="dxa"/>
            <w:vAlign w:val="top"/>
          </w:tcPr>
          <w:p w14:paraId="7A013F47">
            <w:pPr>
              <w:pStyle w:val="6"/>
              <w:spacing w:before="52" w:line="219" w:lineRule="auto"/>
              <w:ind w:left="197"/>
              <w:rPr>
                <w:sz w:val="19"/>
                <w:szCs w:val="19"/>
              </w:rPr>
            </w:pPr>
            <w:r>
              <w:rPr>
                <w:spacing w:val="-3"/>
                <w:sz w:val="19"/>
                <w:szCs w:val="19"/>
              </w:rPr>
              <w:t>松方</w:t>
            </w:r>
          </w:p>
        </w:tc>
        <w:tc>
          <w:tcPr>
            <w:tcW w:w="644" w:type="dxa"/>
            <w:vAlign w:val="top"/>
          </w:tcPr>
          <w:p w14:paraId="4B1FB940">
            <w:pPr>
              <w:pStyle w:val="6"/>
              <w:spacing w:before="55" w:line="218" w:lineRule="auto"/>
              <w:ind w:left="168"/>
              <w:rPr>
                <w:sz w:val="19"/>
                <w:szCs w:val="19"/>
              </w:rPr>
            </w:pPr>
            <w:r>
              <w:rPr>
                <w:spacing w:val="-10"/>
                <w:sz w:val="19"/>
                <w:szCs w:val="19"/>
              </w:rPr>
              <w:t>(a)</w:t>
            </w:r>
          </w:p>
        </w:tc>
      </w:tr>
      <w:tr w14:paraId="21EE2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04" w:type="dxa"/>
            <w:vMerge w:val="continue"/>
            <w:tcBorders>
              <w:top w:val="nil"/>
              <w:bottom w:val="nil"/>
            </w:tcBorders>
            <w:vAlign w:val="top"/>
          </w:tcPr>
          <w:p w14:paraId="1B78CAE2">
            <w:pPr>
              <w:rPr>
                <w:rFonts w:ascii="Arial"/>
                <w:sz w:val="21"/>
              </w:rPr>
            </w:pPr>
          </w:p>
        </w:tc>
        <w:tc>
          <w:tcPr>
            <w:tcW w:w="1199" w:type="dxa"/>
            <w:vAlign w:val="top"/>
          </w:tcPr>
          <w:p w14:paraId="74146A41">
            <w:pPr>
              <w:pStyle w:val="6"/>
              <w:spacing w:before="42" w:line="211" w:lineRule="auto"/>
              <w:ind w:left="111"/>
              <w:rPr>
                <w:sz w:val="19"/>
                <w:szCs w:val="19"/>
              </w:rPr>
            </w:pPr>
            <w:r>
              <w:rPr>
                <w:spacing w:val="1"/>
                <w:sz w:val="19"/>
                <w:szCs w:val="19"/>
              </w:rPr>
              <w:t>1#表土堆场</w:t>
            </w:r>
          </w:p>
        </w:tc>
        <w:tc>
          <w:tcPr>
            <w:tcW w:w="1918" w:type="dxa"/>
            <w:vAlign w:val="top"/>
          </w:tcPr>
          <w:p w14:paraId="0CA14A56">
            <w:pPr>
              <w:pStyle w:val="6"/>
              <w:spacing w:before="42" w:line="211" w:lineRule="auto"/>
              <w:ind w:left="191"/>
              <w:rPr>
                <w:sz w:val="19"/>
                <w:szCs w:val="19"/>
              </w:rPr>
            </w:pPr>
            <w:r>
              <w:rPr>
                <w:spacing w:val="1"/>
                <w:sz w:val="19"/>
                <w:szCs w:val="19"/>
              </w:rPr>
              <w:t>升压站场地内西侧</w:t>
            </w:r>
          </w:p>
        </w:tc>
        <w:tc>
          <w:tcPr>
            <w:tcW w:w="889" w:type="dxa"/>
            <w:vAlign w:val="top"/>
          </w:tcPr>
          <w:p w14:paraId="7C3D57E2">
            <w:pPr>
              <w:pStyle w:val="6"/>
              <w:spacing w:before="61" w:line="193" w:lineRule="auto"/>
              <w:ind w:left="244"/>
              <w:rPr>
                <w:sz w:val="19"/>
                <w:szCs w:val="19"/>
              </w:rPr>
            </w:pPr>
            <w:r>
              <w:rPr>
                <w:spacing w:val="-2"/>
                <w:sz w:val="19"/>
                <w:szCs w:val="19"/>
              </w:rPr>
              <w:t>0.04</w:t>
            </w:r>
          </w:p>
        </w:tc>
        <w:tc>
          <w:tcPr>
            <w:tcW w:w="899" w:type="dxa"/>
            <w:vAlign w:val="top"/>
          </w:tcPr>
          <w:p w14:paraId="105BD91E">
            <w:pPr>
              <w:pStyle w:val="6"/>
              <w:spacing w:before="61" w:line="193" w:lineRule="auto"/>
              <w:ind w:left="394"/>
              <w:rPr>
                <w:sz w:val="19"/>
                <w:szCs w:val="19"/>
              </w:rPr>
            </w:pPr>
            <w:r>
              <w:rPr>
                <w:sz w:val="19"/>
                <w:szCs w:val="19"/>
              </w:rPr>
              <w:t>3</w:t>
            </w:r>
          </w:p>
        </w:tc>
        <w:tc>
          <w:tcPr>
            <w:tcW w:w="939" w:type="dxa"/>
            <w:vAlign w:val="top"/>
          </w:tcPr>
          <w:p w14:paraId="7CD3ABED">
            <w:pPr>
              <w:pStyle w:val="6"/>
              <w:spacing w:before="61" w:line="193" w:lineRule="auto"/>
              <w:ind w:left="315"/>
              <w:rPr>
                <w:sz w:val="19"/>
                <w:szCs w:val="19"/>
              </w:rPr>
            </w:pPr>
            <w:r>
              <w:rPr>
                <w:spacing w:val="-2"/>
                <w:sz w:val="19"/>
                <w:szCs w:val="19"/>
              </w:rPr>
              <w:t>0.1</w:t>
            </w:r>
          </w:p>
        </w:tc>
        <w:tc>
          <w:tcPr>
            <w:tcW w:w="1029" w:type="dxa"/>
            <w:vAlign w:val="top"/>
          </w:tcPr>
          <w:p w14:paraId="1AD2A171">
            <w:pPr>
              <w:pStyle w:val="6"/>
              <w:spacing w:before="61" w:line="193" w:lineRule="auto"/>
              <w:ind w:left="316"/>
              <w:rPr>
                <w:sz w:val="19"/>
                <w:szCs w:val="19"/>
              </w:rPr>
            </w:pPr>
            <w:r>
              <w:rPr>
                <w:spacing w:val="-2"/>
                <w:sz w:val="19"/>
                <w:szCs w:val="19"/>
              </w:rPr>
              <w:t>0.07</w:t>
            </w:r>
          </w:p>
        </w:tc>
        <w:tc>
          <w:tcPr>
            <w:tcW w:w="789" w:type="dxa"/>
            <w:vAlign w:val="top"/>
          </w:tcPr>
          <w:p w14:paraId="1812A8A3">
            <w:pPr>
              <w:pStyle w:val="6"/>
              <w:spacing w:before="61" w:line="193" w:lineRule="auto"/>
              <w:ind w:left="197"/>
              <w:rPr>
                <w:sz w:val="19"/>
                <w:szCs w:val="19"/>
              </w:rPr>
            </w:pPr>
            <w:r>
              <w:rPr>
                <w:spacing w:val="-2"/>
                <w:sz w:val="19"/>
                <w:szCs w:val="19"/>
              </w:rPr>
              <w:t>0.09</w:t>
            </w:r>
          </w:p>
        </w:tc>
        <w:tc>
          <w:tcPr>
            <w:tcW w:w="644" w:type="dxa"/>
            <w:vAlign w:val="top"/>
          </w:tcPr>
          <w:p w14:paraId="006976D9">
            <w:pPr>
              <w:pStyle w:val="6"/>
              <w:spacing w:before="61" w:line="193" w:lineRule="auto"/>
              <w:ind w:left="128"/>
              <w:rPr>
                <w:sz w:val="19"/>
                <w:szCs w:val="19"/>
              </w:rPr>
            </w:pPr>
            <w:r>
              <w:rPr>
                <w:spacing w:val="-2"/>
                <w:sz w:val="19"/>
                <w:szCs w:val="19"/>
              </w:rPr>
              <w:t>0.42</w:t>
            </w:r>
          </w:p>
        </w:tc>
      </w:tr>
      <w:tr w14:paraId="11891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4" w:type="dxa"/>
            <w:vMerge w:val="continue"/>
            <w:tcBorders>
              <w:top w:val="nil"/>
              <w:bottom w:val="nil"/>
            </w:tcBorders>
            <w:vAlign w:val="top"/>
          </w:tcPr>
          <w:p w14:paraId="445F8835">
            <w:pPr>
              <w:rPr>
                <w:rFonts w:ascii="Arial"/>
                <w:sz w:val="21"/>
              </w:rPr>
            </w:pPr>
          </w:p>
        </w:tc>
        <w:tc>
          <w:tcPr>
            <w:tcW w:w="1199" w:type="dxa"/>
            <w:vAlign w:val="top"/>
          </w:tcPr>
          <w:p w14:paraId="0F24255E">
            <w:pPr>
              <w:pStyle w:val="6"/>
              <w:spacing w:before="143" w:line="220" w:lineRule="auto"/>
              <w:ind w:left="111"/>
              <w:rPr>
                <w:sz w:val="19"/>
                <w:szCs w:val="19"/>
              </w:rPr>
            </w:pPr>
            <w:r>
              <w:rPr>
                <w:spacing w:val="1"/>
                <w:sz w:val="19"/>
                <w:szCs w:val="19"/>
              </w:rPr>
              <w:t>2#表土堆场</w:t>
            </w:r>
          </w:p>
        </w:tc>
        <w:tc>
          <w:tcPr>
            <w:tcW w:w="1918" w:type="dxa"/>
            <w:vAlign w:val="top"/>
          </w:tcPr>
          <w:p w14:paraId="45ADCDE2">
            <w:pPr>
              <w:pStyle w:val="6"/>
              <w:spacing w:before="42" w:line="203" w:lineRule="auto"/>
              <w:ind w:left="571" w:right="111" w:hanging="480"/>
              <w:rPr>
                <w:sz w:val="19"/>
                <w:szCs w:val="19"/>
              </w:rPr>
            </w:pPr>
            <w:r>
              <w:rPr>
                <w:spacing w:val="-1"/>
                <w:sz w:val="19"/>
                <w:szCs w:val="19"/>
              </w:rPr>
              <w:t>T2箱变北侧方阵空地</w:t>
            </w:r>
            <w:r>
              <w:rPr>
                <w:spacing w:val="3"/>
                <w:sz w:val="19"/>
                <w:szCs w:val="19"/>
              </w:rPr>
              <w:t xml:space="preserve"> </w:t>
            </w:r>
            <w:r>
              <w:rPr>
                <w:spacing w:val="5"/>
                <w:sz w:val="19"/>
                <w:szCs w:val="19"/>
              </w:rPr>
              <w:t>2#方阵内</w:t>
            </w:r>
          </w:p>
        </w:tc>
        <w:tc>
          <w:tcPr>
            <w:tcW w:w="889" w:type="dxa"/>
            <w:vAlign w:val="top"/>
          </w:tcPr>
          <w:p w14:paraId="6915050F">
            <w:pPr>
              <w:pStyle w:val="6"/>
              <w:spacing w:before="161" w:line="239" w:lineRule="auto"/>
              <w:ind w:left="244"/>
              <w:rPr>
                <w:sz w:val="19"/>
                <w:szCs w:val="19"/>
              </w:rPr>
            </w:pPr>
            <w:r>
              <w:rPr>
                <w:spacing w:val="-2"/>
                <w:sz w:val="19"/>
                <w:szCs w:val="19"/>
              </w:rPr>
              <w:t>0.09</w:t>
            </w:r>
          </w:p>
        </w:tc>
        <w:tc>
          <w:tcPr>
            <w:tcW w:w="899" w:type="dxa"/>
            <w:vAlign w:val="top"/>
          </w:tcPr>
          <w:p w14:paraId="591F6FB3">
            <w:pPr>
              <w:pStyle w:val="6"/>
              <w:spacing w:before="161"/>
              <w:ind w:left="394"/>
              <w:rPr>
                <w:sz w:val="19"/>
                <w:szCs w:val="19"/>
              </w:rPr>
            </w:pPr>
            <w:r>
              <w:rPr>
                <w:sz w:val="19"/>
                <w:szCs w:val="19"/>
              </w:rPr>
              <w:t>3</w:t>
            </w:r>
          </w:p>
        </w:tc>
        <w:tc>
          <w:tcPr>
            <w:tcW w:w="939" w:type="dxa"/>
            <w:vAlign w:val="top"/>
          </w:tcPr>
          <w:p w14:paraId="2357EF02">
            <w:pPr>
              <w:pStyle w:val="6"/>
              <w:spacing w:before="161" w:line="239" w:lineRule="auto"/>
              <w:ind w:left="275"/>
              <w:rPr>
                <w:sz w:val="19"/>
                <w:szCs w:val="19"/>
              </w:rPr>
            </w:pPr>
            <w:r>
              <w:rPr>
                <w:spacing w:val="-2"/>
                <w:sz w:val="19"/>
                <w:szCs w:val="19"/>
              </w:rPr>
              <w:t>0.24</w:t>
            </w:r>
          </w:p>
        </w:tc>
        <w:tc>
          <w:tcPr>
            <w:tcW w:w="1029" w:type="dxa"/>
            <w:vAlign w:val="top"/>
          </w:tcPr>
          <w:p w14:paraId="4830BB0E">
            <w:pPr>
              <w:pStyle w:val="6"/>
              <w:spacing w:before="161" w:line="239" w:lineRule="auto"/>
              <w:ind w:left="316"/>
              <w:rPr>
                <w:sz w:val="19"/>
                <w:szCs w:val="19"/>
              </w:rPr>
            </w:pPr>
            <w:r>
              <w:rPr>
                <w:spacing w:val="-2"/>
                <w:sz w:val="19"/>
                <w:szCs w:val="19"/>
              </w:rPr>
              <w:t>0.16</w:t>
            </w:r>
          </w:p>
        </w:tc>
        <w:tc>
          <w:tcPr>
            <w:tcW w:w="789" w:type="dxa"/>
            <w:vAlign w:val="top"/>
          </w:tcPr>
          <w:p w14:paraId="4C571F6E">
            <w:pPr>
              <w:pStyle w:val="6"/>
              <w:spacing w:before="161" w:line="239" w:lineRule="auto"/>
              <w:ind w:left="197"/>
              <w:rPr>
                <w:sz w:val="19"/>
                <w:szCs w:val="19"/>
              </w:rPr>
            </w:pPr>
            <w:r>
              <w:rPr>
                <w:spacing w:val="-2"/>
                <w:sz w:val="19"/>
                <w:szCs w:val="19"/>
              </w:rPr>
              <w:t>0.21</w:t>
            </w:r>
          </w:p>
        </w:tc>
        <w:tc>
          <w:tcPr>
            <w:tcW w:w="644" w:type="dxa"/>
            <w:vAlign w:val="top"/>
          </w:tcPr>
          <w:p w14:paraId="616302AE">
            <w:pPr>
              <w:pStyle w:val="6"/>
              <w:spacing w:before="161" w:line="239" w:lineRule="auto"/>
              <w:ind w:left="128"/>
              <w:rPr>
                <w:sz w:val="19"/>
                <w:szCs w:val="19"/>
              </w:rPr>
            </w:pPr>
            <w:r>
              <w:rPr>
                <w:spacing w:val="-2"/>
                <w:sz w:val="19"/>
                <w:szCs w:val="19"/>
              </w:rPr>
              <w:t>0.42</w:t>
            </w:r>
          </w:p>
        </w:tc>
      </w:tr>
      <w:tr w14:paraId="6E77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04" w:type="dxa"/>
            <w:vMerge w:val="continue"/>
            <w:tcBorders>
              <w:top w:val="nil"/>
              <w:bottom w:val="nil"/>
            </w:tcBorders>
            <w:vAlign w:val="top"/>
          </w:tcPr>
          <w:p w14:paraId="78BF1DA8">
            <w:pPr>
              <w:rPr>
                <w:rFonts w:ascii="Arial"/>
                <w:sz w:val="21"/>
              </w:rPr>
            </w:pPr>
          </w:p>
        </w:tc>
        <w:tc>
          <w:tcPr>
            <w:tcW w:w="1199" w:type="dxa"/>
            <w:vAlign w:val="top"/>
          </w:tcPr>
          <w:p w14:paraId="450AC908">
            <w:pPr>
              <w:pStyle w:val="6"/>
              <w:spacing w:before="143" w:line="220" w:lineRule="auto"/>
              <w:ind w:left="111"/>
              <w:rPr>
                <w:sz w:val="19"/>
                <w:szCs w:val="19"/>
              </w:rPr>
            </w:pPr>
            <w:r>
              <w:rPr>
                <w:spacing w:val="1"/>
                <w:sz w:val="19"/>
                <w:szCs w:val="19"/>
              </w:rPr>
              <w:t>3#表土堆场</w:t>
            </w:r>
          </w:p>
        </w:tc>
        <w:tc>
          <w:tcPr>
            <w:tcW w:w="1918" w:type="dxa"/>
            <w:vAlign w:val="top"/>
          </w:tcPr>
          <w:p w14:paraId="3A6224AD">
            <w:pPr>
              <w:pStyle w:val="6"/>
              <w:spacing w:before="32" w:line="207" w:lineRule="auto"/>
              <w:ind w:left="380" w:right="201" w:hanging="189"/>
              <w:rPr>
                <w:sz w:val="19"/>
                <w:szCs w:val="19"/>
              </w:rPr>
            </w:pPr>
            <w:r>
              <w:rPr>
                <w:spacing w:val="-1"/>
                <w:sz w:val="19"/>
                <w:szCs w:val="19"/>
              </w:rPr>
              <w:t>T5箱变西侧方阵空</w:t>
            </w:r>
            <w:r>
              <w:rPr>
                <w:spacing w:val="2"/>
                <w:sz w:val="19"/>
                <w:szCs w:val="19"/>
              </w:rPr>
              <w:t xml:space="preserve"> </w:t>
            </w:r>
            <w:r>
              <w:rPr>
                <w:spacing w:val="3"/>
                <w:sz w:val="19"/>
                <w:szCs w:val="19"/>
              </w:rPr>
              <w:t>地，5#方阵内</w:t>
            </w:r>
          </w:p>
        </w:tc>
        <w:tc>
          <w:tcPr>
            <w:tcW w:w="889" w:type="dxa"/>
            <w:vAlign w:val="top"/>
          </w:tcPr>
          <w:p w14:paraId="344A5A4B">
            <w:pPr>
              <w:pStyle w:val="6"/>
              <w:spacing w:before="161" w:line="239" w:lineRule="auto"/>
              <w:ind w:left="244"/>
              <w:rPr>
                <w:sz w:val="19"/>
                <w:szCs w:val="19"/>
              </w:rPr>
            </w:pPr>
            <w:r>
              <w:rPr>
                <w:spacing w:val="-2"/>
                <w:sz w:val="19"/>
                <w:szCs w:val="19"/>
              </w:rPr>
              <w:t>0.10</w:t>
            </w:r>
          </w:p>
        </w:tc>
        <w:tc>
          <w:tcPr>
            <w:tcW w:w="899" w:type="dxa"/>
            <w:vAlign w:val="top"/>
          </w:tcPr>
          <w:p w14:paraId="1DEA9587">
            <w:pPr>
              <w:pStyle w:val="6"/>
              <w:spacing w:before="161"/>
              <w:ind w:left="394"/>
              <w:rPr>
                <w:sz w:val="19"/>
                <w:szCs w:val="19"/>
              </w:rPr>
            </w:pPr>
            <w:r>
              <w:rPr>
                <w:sz w:val="19"/>
                <w:szCs w:val="19"/>
              </w:rPr>
              <w:t>3</w:t>
            </w:r>
          </w:p>
        </w:tc>
        <w:tc>
          <w:tcPr>
            <w:tcW w:w="939" w:type="dxa"/>
            <w:vAlign w:val="top"/>
          </w:tcPr>
          <w:p w14:paraId="04C04236">
            <w:pPr>
              <w:pStyle w:val="6"/>
              <w:spacing w:before="161" w:line="239" w:lineRule="auto"/>
              <w:ind w:left="275"/>
              <w:rPr>
                <w:sz w:val="19"/>
                <w:szCs w:val="19"/>
              </w:rPr>
            </w:pPr>
            <w:r>
              <w:rPr>
                <w:spacing w:val="-2"/>
                <w:sz w:val="19"/>
                <w:szCs w:val="19"/>
              </w:rPr>
              <w:t>0.27</w:t>
            </w:r>
          </w:p>
        </w:tc>
        <w:tc>
          <w:tcPr>
            <w:tcW w:w="1029" w:type="dxa"/>
            <w:vAlign w:val="top"/>
          </w:tcPr>
          <w:p w14:paraId="2CD3CCC8">
            <w:pPr>
              <w:pStyle w:val="6"/>
              <w:spacing w:before="161" w:line="239" w:lineRule="auto"/>
              <w:ind w:left="316"/>
              <w:rPr>
                <w:sz w:val="19"/>
                <w:szCs w:val="19"/>
              </w:rPr>
            </w:pPr>
            <w:r>
              <w:rPr>
                <w:spacing w:val="-2"/>
                <w:sz w:val="19"/>
                <w:szCs w:val="19"/>
              </w:rPr>
              <w:t>0.18</w:t>
            </w:r>
          </w:p>
        </w:tc>
        <w:tc>
          <w:tcPr>
            <w:tcW w:w="789" w:type="dxa"/>
            <w:vAlign w:val="top"/>
          </w:tcPr>
          <w:p w14:paraId="72B8F37E">
            <w:pPr>
              <w:pStyle w:val="6"/>
              <w:spacing w:before="161" w:line="239" w:lineRule="auto"/>
              <w:ind w:left="197"/>
              <w:rPr>
                <w:sz w:val="19"/>
                <w:szCs w:val="19"/>
              </w:rPr>
            </w:pPr>
            <w:r>
              <w:rPr>
                <w:spacing w:val="-2"/>
                <w:sz w:val="19"/>
                <w:szCs w:val="19"/>
              </w:rPr>
              <w:t>0.24</w:t>
            </w:r>
          </w:p>
        </w:tc>
        <w:tc>
          <w:tcPr>
            <w:tcW w:w="644" w:type="dxa"/>
            <w:vAlign w:val="top"/>
          </w:tcPr>
          <w:p w14:paraId="025349EA">
            <w:pPr>
              <w:pStyle w:val="6"/>
              <w:spacing w:before="161" w:line="239" w:lineRule="auto"/>
              <w:ind w:left="128"/>
              <w:rPr>
                <w:sz w:val="19"/>
                <w:szCs w:val="19"/>
              </w:rPr>
            </w:pPr>
            <w:r>
              <w:rPr>
                <w:spacing w:val="-2"/>
                <w:sz w:val="19"/>
                <w:szCs w:val="19"/>
              </w:rPr>
              <w:t>0.42</w:t>
            </w:r>
          </w:p>
        </w:tc>
      </w:tr>
      <w:tr w14:paraId="6D33B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04" w:type="dxa"/>
            <w:vMerge w:val="continue"/>
            <w:tcBorders>
              <w:top w:val="nil"/>
              <w:bottom w:val="nil"/>
            </w:tcBorders>
            <w:vAlign w:val="top"/>
          </w:tcPr>
          <w:p w14:paraId="708BFBE7">
            <w:pPr>
              <w:rPr>
                <w:rFonts w:ascii="Arial"/>
                <w:sz w:val="21"/>
              </w:rPr>
            </w:pPr>
          </w:p>
        </w:tc>
        <w:tc>
          <w:tcPr>
            <w:tcW w:w="1199" w:type="dxa"/>
            <w:vAlign w:val="top"/>
          </w:tcPr>
          <w:p w14:paraId="3FAAA415">
            <w:pPr>
              <w:pStyle w:val="6"/>
              <w:spacing w:before="134" w:line="220" w:lineRule="auto"/>
              <w:ind w:left="111"/>
              <w:rPr>
                <w:sz w:val="19"/>
                <w:szCs w:val="19"/>
              </w:rPr>
            </w:pPr>
            <w:r>
              <w:rPr>
                <w:spacing w:val="-1"/>
                <w:sz w:val="19"/>
                <w:szCs w:val="19"/>
              </w:rPr>
              <w:t>4#表土堆场</w:t>
            </w:r>
          </w:p>
        </w:tc>
        <w:tc>
          <w:tcPr>
            <w:tcW w:w="1918" w:type="dxa"/>
            <w:vAlign w:val="top"/>
          </w:tcPr>
          <w:p w14:paraId="4A99F484">
            <w:pPr>
              <w:pStyle w:val="6"/>
              <w:spacing w:before="34" w:line="197" w:lineRule="auto"/>
              <w:ind w:left="661" w:right="112" w:hanging="570"/>
              <w:rPr>
                <w:sz w:val="19"/>
                <w:szCs w:val="19"/>
              </w:rPr>
            </w:pPr>
            <w:r>
              <w:rPr>
                <w:spacing w:val="-1"/>
                <w:sz w:val="19"/>
                <w:szCs w:val="19"/>
              </w:rPr>
              <w:t>施工营场地南侧，9#</w:t>
            </w:r>
            <w:r>
              <w:rPr>
                <w:spacing w:val="2"/>
                <w:sz w:val="19"/>
                <w:szCs w:val="19"/>
              </w:rPr>
              <w:t xml:space="preserve"> </w:t>
            </w:r>
            <w:r>
              <w:rPr>
                <w:spacing w:val="8"/>
                <w:sz w:val="19"/>
                <w:szCs w:val="19"/>
              </w:rPr>
              <w:t>方阵内</w:t>
            </w:r>
          </w:p>
        </w:tc>
        <w:tc>
          <w:tcPr>
            <w:tcW w:w="889" w:type="dxa"/>
            <w:vAlign w:val="top"/>
          </w:tcPr>
          <w:p w14:paraId="38816701">
            <w:pPr>
              <w:pStyle w:val="6"/>
              <w:spacing w:before="152" w:line="239" w:lineRule="auto"/>
              <w:ind w:left="244"/>
              <w:rPr>
                <w:sz w:val="19"/>
                <w:szCs w:val="19"/>
              </w:rPr>
            </w:pPr>
            <w:r>
              <w:rPr>
                <w:spacing w:val="-2"/>
                <w:sz w:val="19"/>
                <w:szCs w:val="19"/>
              </w:rPr>
              <w:t>0.05</w:t>
            </w:r>
          </w:p>
        </w:tc>
        <w:tc>
          <w:tcPr>
            <w:tcW w:w="899" w:type="dxa"/>
            <w:vAlign w:val="top"/>
          </w:tcPr>
          <w:p w14:paraId="430A28FA">
            <w:pPr>
              <w:pStyle w:val="6"/>
              <w:spacing w:before="152"/>
              <w:ind w:left="394"/>
              <w:rPr>
                <w:sz w:val="19"/>
                <w:szCs w:val="19"/>
              </w:rPr>
            </w:pPr>
            <w:r>
              <w:rPr>
                <w:sz w:val="19"/>
                <w:szCs w:val="19"/>
              </w:rPr>
              <w:t>3</w:t>
            </w:r>
          </w:p>
        </w:tc>
        <w:tc>
          <w:tcPr>
            <w:tcW w:w="939" w:type="dxa"/>
            <w:vAlign w:val="top"/>
          </w:tcPr>
          <w:p w14:paraId="68E2ED0A">
            <w:pPr>
              <w:pStyle w:val="6"/>
              <w:spacing w:before="152" w:line="239" w:lineRule="auto"/>
              <w:ind w:left="275"/>
              <w:rPr>
                <w:sz w:val="19"/>
                <w:szCs w:val="19"/>
              </w:rPr>
            </w:pPr>
            <w:r>
              <w:rPr>
                <w:spacing w:val="-2"/>
                <w:sz w:val="19"/>
                <w:szCs w:val="19"/>
              </w:rPr>
              <w:t>0.14</w:t>
            </w:r>
          </w:p>
        </w:tc>
        <w:tc>
          <w:tcPr>
            <w:tcW w:w="1029" w:type="dxa"/>
            <w:vAlign w:val="top"/>
          </w:tcPr>
          <w:p w14:paraId="1EE6C29B">
            <w:pPr>
              <w:pStyle w:val="6"/>
              <w:spacing w:before="152" w:line="239" w:lineRule="auto"/>
              <w:ind w:left="316"/>
              <w:rPr>
                <w:sz w:val="19"/>
                <w:szCs w:val="19"/>
              </w:rPr>
            </w:pPr>
            <w:r>
              <w:rPr>
                <w:spacing w:val="-2"/>
                <w:sz w:val="19"/>
                <w:szCs w:val="19"/>
              </w:rPr>
              <w:t>0.09</w:t>
            </w:r>
          </w:p>
        </w:tc>
        <w:tc>
          <w:tcPr>
            <w:tcW w:w="789" w:type="dxa"/>
            <w:vAlign w:val="top"/>
          </w:tcPr>
          <w:p w14:paraId="60D54C2C">
            <w:pPr>
              <w:pStyle w:val="6"/>
              <w:spacing w:before="152" w:line="239" w:lineRule="auto"/>
              <w:ind w:left="197"/>
              <w:rPr>
                <w:sz w:val="19"/>
                <w:szCs w:val="19"/>
              </w:rPr>
            </w:pPr>
            <w:r>
              <w:rPr>
                <w:spacing w:val="-2"/>
                <w:sz w:val="19"/>
                <w:szCs w:val="19"/>
              </w:rPr>
              <w:t>0.12</w:t>
            </w:r>
          </w:p>
        </w:tc>
        <w:tc>
          <w:tcPr>
            <w:tcW w:w="644" w:type="dxa"/>
            <w:vAlign w:val="top"/>
          </w:tcPr>
          <w:p w14:paraId="4B490E22">
            <w:pPr>
              <w:pStyle w:val="6"/>
              <w:spacing w:before="152" w:line="239" w:lineRule="auto"/>
              <w:ind w:left="128"/>
              <w:rPr>
                <w:sz w:val="19"/>
                <w:szCs w:val="19"/>
              </w:rPr>
            </w:pPr>
            <w:r>
              <w:rPr>
                <w:spacing w:val="-2"/>
                <w:sz w:val="19"/>
                <w:szCs w:val="19"/>
              </w:rPr>
              <w:t>0.42</w:t>
            </w:r>
          </w:p>
        </w:tc>
      </w:tr>
      <w:tr w14:paraId="1A5F3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04" w:type="dxa"/>
            <w:vMerge w:val="continue"/>
            <w:tcBorders>
              <w:top w:val="nil"/>
              <w:bottom w:val="nil"/>
            </w:tcBorders>
            <w:vAlign w:val="top"/>
          </w:tcPr>
          <w:p w14:paraId="310622E8">
            <w:pPr>
              <w:rPr>
                <w:rFonts w:ascii="Arial"/>
                <w:sz w:val="21"/>
              </w:rPr>
            </w:pPr>
          </w:p>
        </w:tc>
        <w:tc>
          <w:tcPr>
            <w:tcW w:w="1199" w:type="dxa"/>
            <w:vAlign w:val="top"/>
          </w:tcPr>
          <w:p w14:paraId="5FAA63EB">
            <w:pPr>
              <w:pStyle w:val="6"/>
              <w:spacing w:before="154" w:line="220" w:lineRule="auto"/>
              <w:ind w:left="111"/>
              <w:rPr>
                <w:sz w:val="19"/>
                <w:szCs w:val="19"/>
              </w:rPr>
            </w:pPr>
            <w:r>
              <w:rPr>
                <w:spacing w:val="1"/>
                <w:sz w:val="19"/>
                <w:szCs w:val="19"/>
              </w:rPr>
              <w:t>5#表土堆场</w:t>
            </w:r>
          </w:p>
        </w:tc>
        <w:tc>
          <w:tcPr>
            <w:tcW w:w="1918" w:type="dxa"/>
            <w:vAlign w:val="top"/>
          </w:tcPr>
          <w:p w14:paraId="7E8140E0">
            <w:pPr>
              <w:pStyle w:val="6"/>
              <w:spacing w:before="63" w:line="197" w:lineRule="auto"/>
              <w:ind w:left="331" w:right="156" w:hanging="190"/>
              <w:rPr>
                <w:sz w:val="19"/>
                <w:szCs w:val="19"/>
              </w:rPr>
            </w:pPr>
            <w:r>
              <w:rPr>
                <w:spacing w:val="-1"/>
                <w:sz w:val="19"/>
                <w:szCs w:val="19"/>
              </w:rPr>
              <w:t>T14箱变南侧方阵空</w:t>
            </w:r>
            <w:r>
              <w:rPr>
                <w:spacing w:val="3"/>
                <w:sz w:val="19"/>
                <w:szCs w:val="19"/>
              </w:rPr>
              <w:t xml:space="preserve"> </w:t>
            </w:r>
            <w:r>
              <w:rPr>
                <w:spacing w:val="2"/>
                <w:sz w:val="19"/>
                <w:szCs w:val="19"/>
              </w:rPr>
              <w:t>地，14#方阵内</w:t>
            </w:r>
          </w:p>
        </w:tc>
        <w:tc>
          <w:tcPr>
            <w:tcW w:w="889" w:type="dxa"/>
            <w:vAlign w:val="top"/>
          </w:tcPr>
          <w:p w14:paraId="1251B217">
            <w:pPr>
              <w:pStyle w:val="6"/>
              <w:spacing w:before="172" w:line="239" w:lineRule="auto"/>
              <w:ind w:left="244"/>
              <w:rPr>
                <w:sz w:val="19"/>
                <w:szCs w:val="19"/>
              </w:rPr>
            </w:pPr>
            <w:r>
              <w:rPr>
                <w:spacing w:val="-2"/>
                <w:sz w:val="19"/>
                <w:szCs w:val="19"/>
              </w:rPr>
              <w:t>0.09</w:t>
            </w:r>
          </w:p>
        </w:tc>
        <w:tc>
          <w:tcPr>
            <w:tcW w:w="899" w:type="dxa"/>
            <w:vAlign w:val="top"/>
          </w:tcPr>
          <w:p w14:paraId="1001855C">
            <w:pPr>
              <w:pStyle w:val="6"/>
              <w:spacing w:before="172"/>
              <w:ind w:left="394"/>
              <w:rPr>
                <w:sz w:val="19"/>
                <w:szCs w:val="19"/>
              </w:rPr>
            </w:pPr>
            <w:r>
              <w:rPr>
                <w:sz w:val="19"/>
                <w:szCs w:val="19"/>
              </w:rPr>
              <w:t>3</w:t>
            </w:r>
          </w:p>
        </w:tc>
        <w:tc>
          <w:tcPr>
            <w:tcW w:w="939" w:type="dxa"/>
            <w:vAlign w:val="top"/>
          </w:tcPr>
          <w:p w14:paraId="73CB6F97">
            <w:pPr>
              <w:pStyle w:val="6"/>
              <w:spacing w:before="172" w:line="239" w:lineRule="auto"/>
              <w:ind w:left="275"/>
              <w:rPr>
                <w:sz w:val="19"/>
                <w:szCs w:val="19"/>
              </w:rPr>
            </w:pPr>
            <w:r>
              <w:rPr>
                <w:spacing w:val="-2"/>
                <w:sz w:val="19"/>
                <w:szCs w:val="19"/>
              </w:rPr>
              <w:t>0.24</w:t>
            </w:r>
          </w:p>
        </w:tc>
        <w:tc>
          <w:tcPr>
            <w:tcW w:w="1029" w:type="dxa"/>
            <w:vAlign w:val="top"/>
          </w:tcPr>
          <w:p w14:paraId="719ED4CE">
            <w:pPr>
              <w:pStyle w:val="6"/>
              <w:spacing w:before="172" w:line="239" w:lineRule="auto"/>
              <w:ind w:left="316"/>
              <w:rPr>
                <w:sz w:val="19"/>
                <w:szCs w:val="19"/>
              </w:rPr>
            </w:pPr>
            <w:r>
              <w:rPr>
                <w:spacing w:val="-2"/>
                <w:sz w:val="19"/>
                <w:szCs w:val="19"/>
              </w:rPr>
              <w:t>0.16</w:t>
            </w:r>
          </w:p>
        </w:tc>
        <w:tc>
          <w:tcPr>
            <w:tcW w:w="789" w:type="dxa"/>
            <w:vAlign w:val="top"/>
          </w:tcPr>
          <w:p w14:paraId="45B8A7D6">
            <w:pPr>
              <w:pStyle w:val="6"/>
              <w:spacing w:before="172" w:line="239" w:lineRule="auto"/>
              <w:ind w:left="197"/>
              <w:rPr>
                <w:sz w:val="19"/>
                <w:szCs w:val="19"/>
              </w:rPr>
            </w:pPr>
            <w:r>
              <w:rPr>
                <w:spacing w:val="-2"/>
                <w:sz w:val="19"/>
                <w:szCs w:val="19"/>
              </w:rPr>
              <w:t>0.21</w:t>
            </w:r>
          </w:p>
        </w:tc>
        <w:tc>
          <w:tcPr>
            <w:tcW w:w="644" w:type="dxa"/>
            <w:vAlign w:val="top"/>
          </w:tcPr>
          <w:p w14:paraId="5C371CC9">
            <w:pPr>
              <w:pStyle w:val="6"/>
              <w:spacing w:before="172" w:line="239" w:lineRule="auto"/>
              <w:ind w:left="128"/>
              <w:rPr>
                <w:sz w:val="19"/>
                <w:szCs w:val="19"/>
              </w:rPr>
            </w:pPr>
            <w:r>
              <w:rPr>
                <w:spacing w:val="-2"/>
                <w:sz w:val="19"/>
                <w:szCs w:val="19"/>
              </w:rPr>
              <w:t>0.42</w:t>
            </w:r>
          </w:p>
        </w:tc>
      </w:tr>
      <w:tr w14:paraId="18144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04" w:type="dxa"/>
            <w:vMerge w:val="continue"/>
            <w:tcBorders>
              <w:top w:val="nil"/>
              <w:bottom w:val="nil"/>
            </w:tcBorders>
            <w:vAlign w:val="top"/>
          </w:tcPr>
          <w:p w14:paraId="78B0FCA8">
            <w:pPr>
              <w:rPr>
                <w:rFonts w:ascii="Arial"/>
                <w:sz w:val="21"/>
              </w:rPr>
            </w:pPr>
          </w:p>
        </w:tc>
        <w:tc>
          <w:tcPr>
            <w:tcW w:w="1199" w:type="dxa"/>
            <w:vAlign w:val="top"/>
          </w:tcPr>
          <w:p w14:paraId="42F827E3">
            <w:pPr>
              <w:pStyle w:val="6"/>
              <w:spacing w:before="155" w:line="220" w:lineRule="auto"/>
              <w:ind w:left="111"/>
              <w:rPr>
                <w:sz w:val="19"/>
                <w:szCs w:val="19"/>
              </w:rPr>
            </w:pPr>
            <w:r>
              <w:rPr>
                <w:spacing w:val="1"/>
                <w:sz w:val="19"/>
                <w:szCs w:val="19"/>
              </w:rPr>
              <w:t>6#表土堆场</w:t>
            </w:r>
          </w:p>
        </w:tc>
        <w:tc>
          <w:tcPr>
            <w:tcW w:w="1918" w:type="dxa"/>
            <w:vAlign w:val="top"/>
          </w:tcPr>
          <w:p w14:paraId="118C3A4F">
            <w:pPr>
              <w:pStyle w:val="6"/>
              <w:spacing w:before="43" w:line="207" w:lineRule="auto"/>
              <w:ind w:left="331" w:right="156" w:hanging="190"/>
              <w:rPr>
                <w:sz w:val="19"/>
                <w:szCs w:val="19"/>
              </w:rPr>
            </w:pPr>
            <w:r>
              <w:rPr>
                <w:spacing w:val="-1"/>
                <w:sz w:val="19"/>
                <w:szCs w:val="19"/>
              </w:rPr>
              <w:t>T19箱变东侧方阵空</w:t>
            </w:r>
            <w:r>
              <w:rPr>
                <w:spacing w:val="3"/>
                <w:sz w:val="19"/>
                <w:szCs w:val="19"/>
              </w:rPr>
              <w:t xml:space="preserve"> </w:t>
            </w:r>
            <w:r>
              <w:rPr>
                <w:spacing w:val="2"/>
                <w:sz w:val="19"/>
                <w:szCs w:val="19"/>
              </w:rPr>
              <w:t>地，19#方阵内</w:t>
            </w:r>
          </w:p>
        </w:tc>
        <w:tc>
          <w:tcPr>
            <w:tcW w:w="889" w:type="dxa"/>
            <w:vAlign w:val="top"/>
          </w:tcPr>
          <w:p w14:paraId="5040BA76">
            <w:pPr>
              <w:pStyle w:val="6"/>
              <w:spacing w:before="173" w:line="239" w:lineRule="auto"/>
              <w:ind w:left="244"/>
              <w:rPr>
                <w:sz w:val="19"/>
                <w:szCs w:val="19"/>
              </w:rPr>
            </w:pPr>
            <w:r>
              <w:rPr>
                <w:spacing w:val="-2"/>
                <w:sz w:val="19"/>
                <w:szCs w:val="19"/>
              </w:rPr>
              <w:t>0.09</w:t>
            </w:r>
          </w:p>
        </w:tc>
        <w:tc>
          <w:tcPr>
            <w:tcW w:w="899" w:type="dxa"/>
            <w:vAlign w:val="top"/>
          </w:tcPr>
          <w:p w14:paraId="0EDB3FAD">
            <w:pPr>
              <w:pStyle w:val="6"/>
              <w:spacing w:before="173"/>
              <w:ind w:left="394"/>
              <w:rPr>
                <w:sz w:val="19"/>
                <w:szCs w:val="19"/>
              </w:rPr>
            </w:pPr>
            <w:r>
              <w:rPr>
                <w:sz w:val="19"/>
                <w:szCs w:val="19"/>
              </w:rPr>
              <w:t>3</w:t>
            </w:r>
          </w:p>
        </w:tc>
        <w:tc>
          <w:tcPr>
            <w:tcW w:w="939" w:type="dxa"/>
            <w:vAlign w:val="top"/>
          </w:tcPr>
          <w:p w14:paraId="76C7919F">
            <w:pPr>
              <w:pStyle w:val="6"/>
              <w:spacing w:before="173" w:line="239" w:lineRule="auto"/>
              <w:ind w:left="275"/>
              <w:rPr>
                <w:sz w:val="19"/>
                <w:szCs w:val="19"/>
              </w:rPr>
            </w:pPr>
            <w:r>
              <w:rPr>
                <w:spacing w:val="-2"/>
                <w:sz w:val="19"/>
                <w:szCs w:val="19"/>
              </w:rPr>
              <w:t>0.24</w:t>
            </w:r>
          </w:p>
        </w:tc>
        <w:tc>
          <w:tcPr>
            <w:tcW w:w="1029" w:type="dxa"/>
            <w:vAlign w:val="top"/>
          </w:tcPr>
          <w:p w14:paraId="107CE616">
            <w:pPr>
              <w:pStyle w:val="6"/>
              <w:spacing w:before="173" w:line="239" w:lineRule="auto"/>
              <w:ind w:left="316"/>
              <w:rPr>
                <w:sz w:val="19"/>
                <w:szCs w:val="19"/>
              </w:rPr>
            </w:pPr>
            <w:r>
              <w:rPr>
                <w:spacing w:val="-2"/>
                <w:sz w:val="19"/>
                <w:szCs w:val="19"/>
              </w:rPr>
              <w:t>0.16</w:t>
            </w:r>
          </w:p>
        </w:tc>
        <w:tc>
          <w:tcPr>
            <w:tcW w:w="789" w:type="dxa"/>
            <w:vAlign w:val="top"/>
          </w:tcPr>
          <w:p w14:paraId="1179CD99">
            <w:pPr>
              <w:pStyle w:val="6"/>
              <w:spacing w:before="173" w:line="239" w:lineRule="auto"/>
              <w:ind w:left="197"/>
              <w:rPr>
                <w:sz w:val="19"/>
                <w:szCs w:val="19"/>
              </w:rPr>
            </w:pPr>
            <w:r>
              <w:rPr>
                <w:spacing w:val="-2"/>
                <w:sz w:val="19"/>
                <w:szCs w:val="19"/>
              </w:rPr>
              <w:t>0.21</w:t>
            </w:r>
          </w:p>
        </w:tc>
        <w:tc>
          <w:tcPr>
            <w:tcW w:w="644" w:type="dxa"/>
            <w:vAlign w:val="top"/>
          </w:tcPr>
          <w:p w14:paraId="001F5644">
            <w:pPr>
              <w:pStyle w:val="6"/>
              <w:spacing w:before="173" w:line="239" w:lineRule="auto"/>
              <w:ind w:left="128"/>
              <w:rPr>
                <w:sz w:val="19"/>
                <w:szCs w:val="19"/>
              </w:rPr>
            </w:pPr>
            <w:r>
              <w:rPr>
                <w:spacing w:val="-2"/>
                <w:sz w:val="19"/>
                <w:szCs w:val="19"/>
              </w:rPr>
              <w:t>0.42</w:t>
            </w:r>
          </w:p>
        </w:tc>
      </w:tr>
      <w:tr w14:paraId="1F1C9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704" w:type="dxa"/>
            <w:vMerge w:val="continue"/>
            <w:tcBorders>
              <w:top w:val="nil"/>
              <w:bottom w:val="nil"/>
            </w:tcBorders>
            <w:vAlign w:val="top"/>
          </w:tcPr>
          <w:p w14:paraId="151FC08A">
            <w:pPr>
              <w:rPr>
                <w:rFonts w:ascii="Arial"/>
                <w:sz w:val="21"/>
              </w:rPr>
            </w:pPr>
          </w:p>
        </w:tc>
        <w:tc>
          <w:tcPr>
            <w:tcW w:w="1199" w:type="dxa"/>
            <w:vAlign w:val="top"/>
          </w:tcPr>
          <w:p w14:paraId="557F6751">
            <w:pPr>
              <w:pStyle w:val="6"/>
              <w:spacing w:before="135" w:line="220" w:lineRule="auto"/>
              <w:ind w:left="111"/>
              <w:rPr>
                <w:sz w:val="19"/>
                <w:szCs w:val="19"/>
              </w:rPr>
            </w:pPr>
            <w:r>
              <w:rPr>
                <w:spacing w:val="1"/>
                <w:sz w:val="19"/>
                <w:szCs w:val="19"/>
              </w:rPr>
              <w:t>7#表土堆场</w:t>
            </w:r>
          </w:p>
        </w:tc>
        <w:tc>
          <w:tcPr>
            <w:tcW w:w="1918" w:type="dxa"/>
            <w:vAlign w:val="top"/>
          </w:tcPr>
          <w:p w14:paraId="07F641C4">
            <w:pPr>
              <w:pStyle w:val="6"/>
              <w:spacing w:before="25" w:line="201" w:lineRule="auto"/>
              <w:ind w:left="331" w:right="156" w:hanging="190"/>
              <w:rPr>
                <w:sz w:val="19"/>
                <w:szCs w:val="19"/>
              </w:rPr>
            </w:pPr>
            <w:r>
              <w:rPr>
                <w:spacing w:val="-1"/>
                <w:sz w:val="19"/>
                <w:szCs w:val="19"/>
              </w:rPr>
              <w:t>T22箱变南侧方阵空</w:t>
            </w:r>
            <w:r>
              <w:rPr>
                <w:spacing w:val="3"/>
                <w:sz w:val="19"/>
                <w:szCs w:val="19"/>
              </w:rPr>
              <w:t xml:space="preserve"> </w:t>
            </w:r>
            <w:r>
              <w:rPr>
                <w:spacing w:val="2"/>
                <w:sz w:val="19"/>
                <w:szCs w:val="19"/>
              </w:rPr>
              <w:t>地，22#方阵内</w:t>
            </w:r>
          </w:p>
        </w:tc>
        <w:tc>
          <w:tcPr>
            <w:tcW w:w="889" w:type="dxa"/>
            <w:vAlign w:val="top"/>
          </w:tcPr>
          <w:p w14:paraId="45B6AE55">
            <w:pPr>
              <w:pStyle w:val="6"/>
              <w:spacing w:before="153" w:line="239" w:lineRule="auto"/>
              <w:ind w:left="244"/>
              <w:rPr>
                <w:sz w:val="19"/>
                <w:szCs w:val="19"/>
              </w:rPr>
            </w:pPr>
            <w:r>
              <w:rPr>
                <w:spacing w:val="-2"/>
                <w:sz w:val="19"/>
                <w:szCs w:val="19"/>
              </w:rPr>
              <w:t>0.14</w:t>
            </w:r>
          </w:p>
        </w:tc>
        <w:tc>
          <w:tcPr>
            <w:tcW w:w="899" w:type="dxa"/>
            <w:vAlign w:val="top"/>
          </w:tcPr>
          <w:p w14:paraId="3BB235EF">
            <w:pPr>
              <w:pStyle w:val="6"/>
              <w:spacing w:before="153"/>
              <w:ind w:left="394"/>
              <w:rPr>
                <w:sz w:val="19"/>
                <w:szCs w:val="19"/>
              </w:rPr>
            </w:pPr>
            <w:r>
              <w:rPr>
                <w:sz w:val="19"/>
                <w:szCs w:val="19"/>
              </w:rPr>
              <w:t>3</w:t>
            </w:r>
          </w:p>
        </w:tc>
        <w:tc>
          <w:tcPr>
            <w:tcW w:w="939" w:type="dxa"/>
            <w:vAlign w:val="top"/>
          </w:tcPr>
          <w:p w14:paraId="68B1D5D0">
            <w:pPr>
              <w:pStyle w:val="6"/>
              <w:spacing w:before="153" w:line="239" w:lineRule="auto"/>
              <w:ind w:left="275"/>
              <w:rPr>
                <w:sz w:val="19"/>
                <w:szCs w:val="19"/>
              </w:rPr>
            </w:pPr>
            <w:r>
              <w:rPr>
                <w:spacing w:val="-2"/>
                <w:sz w:val="19"/>
                <w:szCs w:val="19"/>
              </w:rPr>
              <w:t>0.39</w:t>
            </w:r>
          </w:p>
        </w:tc>
        <w:tc>
          <w:tcPr>
            <w:tcW w:w="1029" w:type="dxa"/>
            <w:vAlign w:val="top"/>
          </w:tcPr>
          <w:p w14:paraId="28C7FB69">
            <w:pPr>
              <w:pStyle w:val="6"/>
              <w:spacing w:before="153" w:line="239" w:lineRule="auto"/>
              <w:ind w:left="316"/>
              <w:rPr>
                <w:sz w:val="19"/>
                <w:szCs w:val="19"/>
              </w:rPr>
            </w:pPr>
            <w:r>
              <w:rPr>
                <w:spacing w:val="-2"/>
                <w:sz w:val="19"/>
                <w:szCs w:val="19"/>
              </w:rPr>
              <w:t>0.26</w:t>
            </w:r>
          </w:p>
        </w:tc>
        <w:tc>
          <w:tcPr>
            <w:tcW w:w="789" w:type="dxa"/>
            <w:vAlign w:val="top"/>
          </w:tcPr>
          <w:p w14:paraId="43AE6324">
            <w:pPr>
              <w:pStyle w:val="6"/>
              <w:spacing w:before="153" w:line="239" w:lineRule="auto"/>
              <w:ind w:left="197"/>
              <w:rPr>
                <w:sz w:val="19"/>
                <w:szCs w:val="19"/>
              </w:rPr>
            </w:pPr>
            <w:r>
              <w:rPr>
                <w:spacing w:val="-2"/>
                <w:sz w:val="19"/>
                <w:szCs w:val="19"/>
              </w:rPr>
              <w:t>0.35</w:t>
            </w:r>
          </w:p>
        </w:tc>
        <w:tc>
          <w:tcPr>
            <w:tcW w:w="644" w:type="dxa"/>
            <w:vAlign w:val="top"/>
          </w:tcPr>
          <w:p w14:paraId="22ED4B7E">
            <w:pPr>
              <w:pStyle w:val="6"/>
              <w:spacing w:before="153" w:line="239" w:lineRule="auto"/>
              <w:ind w:left="128"/>
              <w:rPr>
                <w:sz w:val="19"/>
                <w:szCs w:val="19"/>
              </w:rPr>
            </w:pPr>
            <w:r>
              <w:rPr>
                <w:spacing w:val="-2"/>
                <w:sz w:val="19"/>
                <w:szCs w:val="19"/>
              </w:rPr>
              <w:t>0.42</w:t>
            </w:r>
          </w:p>
        </w:tc>
      </w:tr>
      <w:tr w14:paraId="4DB0A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04" w:type="dxa"/>
            <w:vMerge w:val="continue"/>
            <w:tcBorders>
              <w:top w:val="nil"/>
              <w:bottom w:val="nil"/>
            </w:tcBorders>
            <w:vAlign w:val="top"/>
          </w:tcPr>
          <w:p w14:paraId="2095634A">
            <w:pPr>
              <w:rPr>
                <w:rFonts w:ascii="Arial"/>
                <w:sz w:val="21"/>
              </w:rPr>
            </w:pPr>
          </w:p>
        </w:tc>
        <w:tc>
          <w:tcPr>
            <w:tcW w:w="3117" w:type="dxa"/>
            <w:gridSpan w:val="2"/>
            <w:vAlign w:val="top"/>
          </w:tcPr>
          <w:p w14:paraId="13FBA3C4">
            <w:pPr>
              <w:pStyle w:val="6"/>
              <w:spacing w:before="66" w:line="217" w:lineRule="auto"/>
              <w:ind w:left="1380"/>
              <w:rPr>
                <w:sz w:val="19"/>
                <w:szCs w:val="19"/>
              </w:rPr>
            </w:pPr>
            <w:r>
              <w:rPr>
                <w:spacing w:val="-3"/>
                <w:sz w:val="19"/>
                <w:szCs w:val="19"/>
              </w:rPr>
              <w:t>合计</w:t>
            </w:r>
          </w:p>
        </w:tc>
        <w:tc>
          <w:tcPr>
            <w:tcW w:w="889" w:type="dxa"/>
            <w:vAlign w:val="top"/>
          </w:tcPr>
          <w:p w14:paraId="1DC96471">
            <w:pPr>
              <w:pStyle w:val="6"/>
              <w:spacing w:before="85" w:line="199" w:lineRule="auto"/>
              <w:ind w:left="244"/>
              <w:rPr>
                <w:sz w:val="19"/>
                <w:szCs w:val="19"/>
              </w:rPr>
            </w:pPr>
            <w:r>
              <w:rPr>
                <w:spacing w:val="-2"/>
                <w:sz w:val="19"/>
                <w:szCs w:val="19"/>
              </w:rPr>
              <w:t>0.60</w:t>
            </w:r>
          </w:p>
        </w:tc>
        <w:tc>
          <w:tcPr>
            <w:tcW w:w="899" w:type="dxa"/>
            <w:vAlign w:val="top"/>
          </w:tcPr>
          <w:p w14:paraId="6277E34A">
            <w:pPr>
              <w:rPr>
                <w:rFonts w:ascii="Arial"/>
                <w:sz w:val="21"/>
              </w:rPr>
            </w:pPr>
          </w:p>
        </w:tc>
        <w:tc>
          <w:tcPr>
            <w:tcW w:w="939" w:type="dxa"/>
            <w:vAlign w:val="top"/>
          </w:tcPr>
          <w:p w14:paraId="28336F9D">
            <w:pPr>
              <w:pStyle w:val="6"/>
              <w:spacing w:before="85" w:line="199" w:lineRule="auto"/>
              <w:ind w:left="275"/>
              <w:rPr>
                <w:sz w:val="19"/>
                <w:szCs w:val="19"/>
              </w:rPr>
            </w:pPr>
            <w:r>
              <w:rPr>
                <w:spacing w:val="-5"/>
                <w:sz w:val="19"/>
                <w:szCs w:val="19"/>
              </w:rPr>
              <w:t>1.62</w:t>
            </w:r>
          </w:p>
        </w:tc>
        <w:tc>
          <w:tcPr>
            <w:tcW w:w="1029" w:type="dxa"/>
            <w:vAlign w:val="top"/>
          </w:tcPr>
          <w:p w14:paraId="5E00D951">
            <w:pPr>
              <w:pStyle w:val="6"/>
              <w:spacing w:before="85" w:line="199" w:lineRule="auto"/>
              <w:ind w:left="316"/>
              <w:rPr>
                <w:sz w:val="19"/>
                <w:szCs w:val="19"/>
              </w:rPr>
            </w:pPr>
            <w:r>
              <w:rPr>
                <w:spacing w:val="-5"/>
                <w:sz w:val="19"/>
                <w:szCs w:val="19"/>
              </w:rPr>
              <w:t>1.08</w:t>
            </w:r>
          </w:p>
        </w:tc>
        <w:tc>
          <w:tcPr>
            <w:tcW w:w="789" w:type="dxa"/>
            <w:vAlign w:val="top"/>
          </w:tcPr>
          <w:p w14:paraId="0480E09E">
            <w:pPr>
              <w:pStyle w:val="6"/>
              <w:spacing w:before="85" w:line="199" w:lineRule="auto"/>
              <w:ind w:left="197"/>
              <w:rPr>
                <w:sz w:val="19"/>
                <w:szCs w:val="19"/>
              </w:rPr>
            </w:pPr>
            <w:r>
              <w:rPr>
                <w:spacing w:val="-5"/>
                <w:sz w:val="19"/>
                <w:szCs w:val="19"/>
              </w:rPr>
              <w:t>1.43</w:t>
            </w:r>
          </w:p>
        </w:tc>
        <w:tc>
          <w:tcPr>
            <w:tcW w:w="644" w:type="dxa"/>
            <w:vAlign w:val="top"/>
          </w:tcPr>
          <w:p w14:paraId="02F9216E">
            <w:pPr>
              <w:rPr>
                <w:rFonts w:ascii="Arial"/>
                <w:sz w:val="21"/>
              </w:rPr>
            </w:pPr>
          </w:p>
        </w:tc>
      </w:tr>
      <w:tr w14:paraId="38C6D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2" w:hRule="atLeast"/>
        </w:trPr>
        <w:tc>
          <w:tcPr>
            <w:tcW w:w="704" w:type="dxa"/>
            <w:vMerge w:val="continue"/>
            <w:tcBorders>
              <w:top w:val="nil"/>
            </w:tcBorders>
            <w:vAlign w:val="top"/>
          </w:tcPr>
          <w:p w14:paraId="4D162F25">
            <w:pPr>
              <w:rPr>
                <w:rFonts w:ascii="Arial"/>
                <w:sz w:val="21"/>
              </w:rPr>
            </w:pPr>
          </w:p>
        </w:tc>
        <w:tc>
          <w:tcPr>
            <w:tcW w:w="8306" w:type="dxa"/>
            <w:gridSpan w:val="8"/>
            <w:vAlign w:val="top"/>
          </w:tcPr>
          <w:p w14:paraId="3DFA4650">
            <w:pPr>
              <w:pStyle w:val="6"/>
              <w:spacing w:before="25" w:line="306" w:lineRule="auto"/>
              <w:ind w:left="64" w:right="238" w:firstLine="320"/>
              <w:rPr>
                <w:sz w:val="24"/>
                <w:szCs w:val="24"/>
              </w:rPr>
            </w:pPr>
            <w:r>
              <w:rPr>
                <w:b/>
                <w:bCs/>
                <w:spacing w:val="-3"/>
                <w:sz w:val="24"/>
                <w:szCs w:val="24"/>
              </w:rPr>
              <w:t>注：表土堆场位于项目红线范围内，因此，表土堆场占地不再单独计列。</w:t>
            </w:r>
            <w:r>
              <w:rPr>
                <w:spacing w:val="7"/>
                <w:sz w:val="24"/>
                <w:szCs w:val="24"/>
              </w:rPr>
              <w:t xml:space="preserve"> </w:t>
            </w:r>
            <w:r>
              <w:rPr>
                <w:b/>
                <w:bCs/>
                <w:spacing w:val="-1"/>
                <w:sz w:val="24"/>
                <w:szCs w:val="24"/>
              </w:rPr>
              <w:t>3施工工艺</w:t>
            </w:r>
          </w:p>
          <w:p w14:paraId="2E9F5D05">
            <w:pPr>
              <w:pStyle w:val="6"/>
              <w:spacing w:before="57" w:line="219" w:lineRule="auto"/>
              <w:ind w:left="570"/>
              <w:rPr>
                <w:sz w:val="24"/>
                <w:szCs w:val="24"/>
              </w:rPr>
            </w:pPr>
            <w:r>
              <w:rPr>
                <w:spacing w:val="-1"/>
                <w:sz w:val="24"/>
                <w:szCs w:val="24"/>
              </w:rPr>
              <w:t>主体工程施工按以下施工顺序进行：</w:t>
            </w:r>
          </w:p>
          <w:p w14:paraId="39DDBFBC">
            <w:pPr>
              <w:pStyle w:val="6"/>
              <w:spacing w:before="174" w:line="358" w:lineRule="auto"/>
              <w:ind w:left="80" w:right="83" w:firstLine="459"/>
              <w:rPr>
                <w:sz w:val="24"/>
                <w:szCs w:val="24"/>
              </w:rPr>
            </w:pPr>
            <w:r>
              <w:rPr>
                <w:sz w:val="24"/>
                <w:szCs w:val="24"/>
              </w:rPr>
              <w:t>道路施工→变电站施工、光伏支架基础基槽开挖→</w:t>
            </w:r>
            <w:r>
              <w:rPr>
                <w:spacing w:val="-1"/>
                <w:sz w:val="24"/>
                <w:szCs w:val="24"/>
              </w:rPr>
              <w:t>光伏支架基础施工→光</w:t>
            </w:r>
            <w:r>
              <w:rPr>
                <w:sz w:val="24"/>
                <w:szCs w:val="24"/>
              </w:rPr>
              <w:t xml:space="preserve"> 伏支架安装→光伏组件安装及电缆敷设。</w:t>
            </w:r>
          </w:p>
          <w:p w14:paraId="072323AF">
            <w:pPr>
              <w:pStyle w:val="6"/>
              <w:spacing w:line="219" w:lineRule="auto"/>
              <w:ind w:left="570"/>
              <w:rPr>
                <w:sz w:val="24"/>
                <w:szCs w:val="24"/>
              </w:rPr>
            </w:pPr>
            <w:r>
              <w:rPr>
                <w:sz w:val="24"/>
                <w:szCs w:val="24"/>
              </w:rPr>
              <w:t>一、道路施工</w:t>
            </w:r>
          </w:p>
          <w:p w14:paraId="2E50A5BD">
            <w:pPr>
              <w:pStyle w:val="6"/>
              <w:spacing w:before="185" w:line="219" w:lineRule="auto"/>
              <w:ind w:left="570"/>
              <w:rPr>
                <w:sz w:val="24"/>
                <w:szCs w:val="24"/>
              </w:rPr>
            </w:pPr>
            <w:r>
              <w:rPr>
                <w:sz w:val="24"/>
                <w:szCs w:val="24"/>
              </w:rPr>
              <w:t>场内道路的施工主要以土石方开挖为主，填筑其次，具体方案如下：</w:t>
            </w:r>
          </w:p>
        </w:tc>
      </w:tr>
    </w:tbl>
    <w:p w14:paraId="1C7ABF37">
      <w:pPr>
        <w:pStyle w:val="2"/>
      </w:pPr>
    </w:p>
    <w:p w14:paraId="47ABD5ED">
      <w:pPr>
        <w:sectPr>
          <w:footerReference r:id="rId77" w:type="default"/>
          <w:pgSz w:w="11910" w:h="16830"/>
          <w:pgMar w:top="400" w:right="1504" w:bottom="1245" w:left="1385" w:header="0" w:footer="1083" w:gutter="0"/>
          <w:cols w:space="720" w:num="1"/>
        </w:sectPr>
      </w:pPr>
    </w:p>
    <w:p w14:paraId="41020446">
      <w:pPr>
        <w:spacing w:before="15"/>
      </w:pPr>
    </w:p>
    <w:p w14:paraId="78EABE67">
      <w:pPr>
        <w:spacing w:before="15"/>
      </w:pPr>
    </w:p>
    <w:p w14:paraId="18EFCA26">
      <w:pPr>
        <w:spacing w:before="15"/>
      </w:pPr>
    </w:p>
    <w:p w14:paraId="6C954DDA">
      <w:pPr>
        <w:spacing w:before="14"/>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8385"/>
      </w:tblGrid>
      <w:tr w14:paraId="12F10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714" w:type="dxa"/>
            <w:vAlign w:val="top"/>
          </w:tcPr>
          <w:p w14:paraId="3007995A">
            <w:pPr>
              <w:rPr>
                <w:rFonts w:ascii="Arial"/>
                <w:sz w:val="21"/>
              </w:rPr>
            </w:pPr>
          </w:p>
        </w:tc>
        <w:tc>
          <w:tcPr>
            <w:tcW w:w="8385" w:type="dxa"/>
            <w:vAlign w:val="top"/>
          </w:tcPr>
          <w:p w14:paraId="3BD95573">
            <w:pPr>
              <w:pStyle w:val="6"/>
              <w:spacing w:before="8" w:line="361" w:lineRule="auto"/>
              <w:ind w:left="111" w:firstLine="466"/>
              <w:jc w:val="both"/>
              <w:rPr>
                <w:sz w:val="24"/>
                <w:szCs w:val="24"/>
              </w:rPr>
            </w:pPr>
            <w:r>
              <w:rPr>
                <w:b/>
                <w:bCs/>
                <w:spacing w:val="-4"/>
                <w:sz w:val="24"/>
                <w:szCs w:val="24"/>
              </w:rPr>
              <w:t>路基土石方工程：</w:t>
            </w:r>
            <w:r>
              <w:rPr>
                <w:spacing w:val="-4"/>
                <w:sz w:val="24"/>
                <w:szCs w:val="24"/>
              </w:rPr>
              <w:t>a、土方开挖：采用挖掘机或推土机配合挖掘机开挖，人</w:t>
            </w:r>
            <w:r>
              <w:rPr>
                <w:spacing w:val="9"/>
                <w:sz w:val="24"/>
                <w:szCs w:val="24"/>
              </w:rPr>
              <w:t xml:space="preserve"> </w:t>
            </w:r>
            <w:r>
              <w:rPr>
                <w:spacing w:val="-3"/>
                <w:sz w:val="24"/>
                <w:szCs w:val="24"/>
              </w:rPr>
              <w:t>工配合挖掘机修整边坡。当土方开挖接近路基标高时，鉴别校对土质，然后按</w:t>
            </w:r>
            <w:r>
              <w:rPr>
                <w:spacing w:val="5"/>
                <w:sz w:val="24"/>
                <w:szCs w:val="24"/>
              </w:rPr>
              <w:t xml:space="preserve">  </w:t>
            </w:r>
            <w:r>
              <w:rPr>
                <w:spacing w:val="-2"/>
                <w:sz w:val="24"/>
                <w:szCs w:val="24"/>
              </w:rPr>
              <w:t>基床设计断面测量放样，开挖修整或按设计采取压实、换填</w:t>
            </w:r>
            <w:r>
              <w:rPr>
                <w:spacing w:val="-3"/>
                <w:sz w:val="24"/>
                <w:szCs w:val="24"/>
              </w:rPr>
              <w:t>等措施。土方采用</w:t>
            </w:r>
            <w:r>
              <w:rPr>
                <w:sz w:val="24"/>
                <w:szCs w:val="24"/>
              </w:rPr>
              <w:t xml:space="preserve">  </w:t>
            </w:r>
            <w:r>
              <w:rPr>
                <w:spacing w:val="-4"/>
                <w:sz w:val="24"/>
                <w:szCs w:val="24"/>
              </w:rPr>
              <w:t>挖掘机开挖，大型推土机配合推运土，分段自上而下地进行。对于高边坡地段，</w:t>
            </w:r>
            <w:r>
              <w:rPr>
                <w:spacing w:val="2"/>
                <w:sz w:val="24"/>
                <w:szCs w:val="24"/>
              </w:rPr>
              <w:t xml:space="preserve"> </w:t>
            </w:r>
            <w:r>
              <w:rPr>
                <w:spacing w:val="-3"/>
                <w:sz w:val="24"/>
                <w:szCs w:val="24"/>
              </w:rPr>
              <w:t>开挖要与防护紧密地结合起来，开挖一台，防护一台，地质特别破碎地段，必</w:t>
            </w:r>
            <w:r>
              <w:rPr>
                <w:spacing w:val="8"/>
                <w:sz w:val="24"/>
                <w:szCs w:val="24"/>
              </w:rPr>
              <w:t xml:space="preserve">  </w:t>
            </w:r>
            <w:r>
              <w:rPr>
                <w:spacing w:val="-3"/>
                <w:sz w:val="24"/>
                <w:szCs w:val="24"/>
              </w:rPr>
              <w:t>须采用跳槽开挖、分块防护的方法施工，以确保</w:t>
            </w:r>
            <w:r>
              <w:rPr>
                <w:spacing w:val="-4"/>
                <w:sz w:val="24"/>
                <w:szCs w:val="24"/>
              </w:rPr>
              <w:t>边坡稳定。</w:t>
            </w:r>
          </w:p>
          <w:p w14:paraId="56E4C8B1">
            <w:pPr>
              <w:pStyle w:val="6"/>
              <w:spacing w:before="1" w:line="361" w:lineRule="auto"/>
              <w:ind w:left="121" w:firstLine="448"/>
              <w:rPr>
                <w:sz w:val="24"/>
                <w:szCs w:val="24"/>
              </w:rPr>
            </w:pPr>
            <w:r>
              <w:rPr>
                <w:sz w:val="24"/>
                <w:szCs w:val="24"/>
              </w:rPr>
              <w:t>b、石方开挖：本工程石方单块强度高，但节理、裂隙十分发育。软石采用</w:t>
            </w:r>
            <w:r>
              <w:rPr>
                <w:spacing w:val="4"/>
                <w:sz w:val="24"/>
                <w:szCs w:val="24"/>
              </w:rPr>
              <w:t xml:space="preserve"> </w:t>
            </w:r>
            <w:r>
              <w:rPr>
                <w:sz w:val="24"/>
                <w:szCs w:val="24"/>
              </w:rPr>
              <w:t>大马力推土机松动，其施工方法及工艺与土方基本相同。对于</w:t>
            </w:r>
            <w:r>
              <w:rPr>
                <w:spacing w:val="-1"/>
                <w:sz w:val="24"/>
                <w:szCs w:val="24"/>
              </w:rPr>
              <w:t>机械无法松动的</w:t>
            </w:r>
            <w:r>
              <w:rPr>
                <w:sz w:val="24"/>
                <w:szCs w:val="24"/>
              </w:rPr>
              <w:t xml:space="preserve"> 坚石，采用小型控制爆破的方法开挖。爆破开挖</w:t>
            </w:r>
            <w:r>
              <w:rPr>
                <w:spacing w:val="-1"/>
                <w:sz w:val="24"/>
                <w:szCs w:val="24"/>
              </w:rPr>
              <w:t>方法可采用两种，第一种是在</w:t>
            </w:r>
            <w:r>
              <w:rPr>
                <w:sz w:val="24"/>
                <w:szCs w:val="24"/>
              </w:rPr>
              <w:t xml:space="preserve">  开挖坡面处首先实行4m～5m孔深的预裂光面控制爆破，使需开挖的石方与山</w:t>
            </w:r>
          </w:p>
          <w:p w14:paraId="4C596AAA">
            <w:pPr>
              <w:pStyle w:val="6"/>
              <w:spacing w:before="1" w:line="357" w:lineRule="auto"/>
              <w:ind w:left="111" w:right="65" w:firstLine="10"/>
              <w:rPr>
                <w:sz w:val="24"/>
                <w:szCs w:val="24"/>
              </w:rPr>
            </w:pPr>
            <w:r>
              <w:rPr>
                <w:spacing w:val="1"/>
                <w:sz w:val="24"/>
                <w:szCs w:val="24"/>
              </w:rPr>
              <w:t>体分离，再实行普通方法爆破进行开挖；第二种开挖为分层剥</w:t>
            </w:r>
            <w:r>
              <w:rPr>
                <w:sz w:val="24"/>
                <w:szCs w:val="24"/>
              </w:rPr>
              <w:t xml:space="preserve">离开挖法，采用 </w:t>
            </w:r>
            <w:r>
              <w:rPr>
                <w:spacing w:val="1"/>
                <w:sz w:val="24"/>
                <w:szCs w:val="24"/>
              </w:rPr>
              <w:t>宽孔距，小抵抗线炮孔布置，起爆采用非电起爆，用普8#火雷管和导火索现场</w:t>
            </w:r>
            <w:r>
              <w:rPr>
                <w:sz w:val="24"/>
                <w:szCs w:val="24"/>
              </w:rPr>
              <w:t xml:space="preserve"> 加工而成。对于次坚石、坚石，采用浅孔微差爆破、大型推土机推运土石、人 工配合整修边坡的方法施工，严禁大中型爆破。</w:t>
            </w:r>
          </w:p>
          <w:p w14:paraId="0F8A5165">
            <w:pPr>
              <w:pStyle w:val="6"/>
              <w:spacing w:before="6" w:line="361" w:lineRule="auto"/>
              <w:ind w:left="80" w:right="82" w:firstLine="503"/>
              <w:jc w:val="both"/>
              <w:rPr>
                <w:sz w:val="24"/>
                <w:szCs w:val="24"/>
              </w:rPr>
            </w:pPr>
            <w:r>
              <w:rPr>
                <w:b/>
                <w:bCs/>
                <w:sz w:val="24"/>
                <w:szCs w:val="24"/>
              </w:rPr>
              <w:t>路基填筑：</w:t>
            </w:r>
            <w:r>
              <w:rPr>
                <w:sz w:val="24"/>
                <w:szCs w:val="24"/>
              </w:rPr>
              <w:t>采用挖掘机或装载机装土，自卸汽车运土，推土机摊</w:t>
            </w:r>
            <w:r>
              <w:rPr>
                <w:spacing w:val="-1"/>
                <w:sz w:val="24"/>
                <w:szCs w:val="24"/>
              </w:rPr>
              <w:t>铺，人工</w:t>
            </w:r>
            <w:r>
              <w:rPr>
                <w:sz w:val="24"/>
                <w:szCs w:val="24"/>
              </w:rPr>
              <w:t xml:space="preserve"> </w:t>
            </w:r>
            <w:r>
              <w:rPr>
                <w:spacing w:val="5"/>
                <w:sz w:val="24"/>
                <w:szCs w:val="24"/>
              </w:rPr>
              <w:t>配合平地机整平，振动压路机碾压密实。在路堤填筑前，填方材料每5000m³</w:t>
            </w:r>
            <w:r>
              <w:rPr>
                <w:spacing w:val="17"/>
                <w:sz w:val="24"/>
                <w:szCs w:val="24"/>
              </w:rPr>
              <w:t xml:space="preserve"> </w:t>
            </w:r>
            <w:r>
              <w:rPr>
                <w:spacing w:val="2"/>
                <w:sz w:val="24"/>
                <w:szCs w:val="24"/>
              </w:rPr>
              <w:t>以及在土质变化时取样，按</w:t>
            </w:r>
            <w:r>
              <w:rPr>
                <w:sz w:val="24"/>
                <w:szCs w:val="24"/>
              </w:rPr>
              <w:t>JTJE</w:t>
            </w:r>
            <w:r>
              <w:rPr>
                <w:spacing w:val="2"/>
                <w:sz w:val="24"/>
                <w:szCs w:val="24"/>
              </w:rPr>
              <w:t>40-2007标准方法进行一次颗粒分析、液</w:t>
            </w:r>
            <w:r>
              <w:rPr>
                <w:spacing w:val="1"/>
                <w:sz w:val="24"/>
                <w:szCs w:val="24"/>
              </w:rPr>
              <w:t>限和</w:t>
            </w:r>
            <w:r>
              <w:rPr>
                <w:sz w:val="24"/>
                <w:szCs w:val="24"/>
              </w:rPr>
              <w:t xml:space="preserve">  </w:t>
            </w:r>
            <w:r>
              <w:rPr>
                <w:spacing w:val="1"/>
                <w:sz w:val="24"/>
                <w:szCs w:val="24"/>
              </w:rPr>
              <w:t>塑限、有机质含量和击实试验；用重型击实仪确定土的最大干密度和最佳含水</w:t>
            </w:r>
            <w:r>
              <w:rPr>
                <w:spacing w:val="16"/>
                <w:sz w:val="24"/>
                <w:szCs w:val="24"/>
              </w:rPr>
              <w:t xml:space="preserve"> </w:t>
            </w:r>
            <w:r>
              <w:rPr>
                <w:sz w:val="24"/>
                <w:szCs w:val="24"/>
              </w:rPr>
              <w:t>量。</w:t>
            </w:r>
          </w:p>
          <w:p w14:paraId="45744DFC">
            <w:pPr>
              <w:pStyle w:val="6"/>
              <w:spacing w:line="218" w:lineRule="auto"/>
              <w:ind w:left="590"/>
              <w:rPr>
                <w:sz w:val="24"/>
                <w:szCs w:val="24"/>
              </w:rPr>
            </w:pPr>
            <w:r>
              <w:rPr>
                <w:sz w:val="24"/>
                <w:szCs w:val="24"/>
              </w:rPr>
              <w:t>二、光伏阵列基础施工和支架安装</w:t>
            </w:r>
          </w:p>
          <w:p w14:paraId="7FB21A93">
            <w:pPr>
              <w:pStyle w:val="6"/>
              <w:spacing w:before="177" w:line="356" w:lineRule="auto"/>
              <w:ind w:left="121" w:firstLine="469"/>
              <w:rPr>
                <w:sz w:val="24"/>
                <w:szCs w:val="24"/>
              </w:rPr>
            </w:pPr>
            <w:r>
              <w:rPr>
                <w:spacing w:val="3"/>
                <w:sz w:val="24"/>
                <w:szCs w:val="24"/>
              </w:rPr>
              <w:t>光伏阵列基础均采用钻孔灌注桩形式，混凝土灌注桩基础施工包括钻孔、</w:t>
            </w:r>
            <w:r>
              <w:rPr>
                <w:spacing w:val="7"/>
                <w:sz w:val="24"/>
                <w:szCs w:val="24"/>
              </w:rPr>
              <w:t xml:space="preserve"> </w:t>
            </w:r>
            <w:r>
              <w:rPr>
                <w:spacing w:val="-1"/>
                <w:sz w:val="24"/>
                <w:szCs w:val="24"/>
              </w:rPr>
              <w:t>钢筋笼制作与安装、混凝土浇筑。</w:t>
            </w:r>
          </w:p>
          <w:p w14:paraId="2BD06FA2">
            <w:pPr>
              <w:pStyle w:val="6"/>
              <w:spacing w:before="26" w:line="221" w:lineRule="auto"/>
              <w:ind w:left="600"/>
              <w:rPr>
                <w:sz w:val="24"/>
                <w:szCs w:val="24"/>
              </w:rPr>
            </w:pPr>
            <w:r>
              <w:rPr>
                <w:spacing w:val="2"/>
                <w:sz w:val="24"/>
                <w:szCs w:val="24"/>
              </w:rPr>
              <w:t>1、钻孔</w:t>
            </w:r>
          </w:p>
          <w:p w14:paraId="0BCB11F4">
            <w:pPr>
              <w:pStyle w:val="6"/>
              <w:spacing w:before="169" w:line="288" w:lineRule="auto"/>
              <w:ind w:left="80" w:right="122" w:firstLine="499"/>
              <w:rPr>
                <w:sz w:val="24"/>
                <w:szCs w:val="24"/>
              </w:rPr>
            </w:pPr>
            <w:r>
              <w:rPr>
                <w:sz w:val="24"/>
                <w:szCs w:val="24"/>
              </w:rPr>
              <w:t>①根据施工现场坐标控制点首先建立该区测量控制</w:t>
            </w:r>
            <w:r>
              <w:rPr>
                <w:spacing w:val="-1"/>
                <w:sz w:val="24"/>
                <w:szCs w:val="24"/>
              </w:rPr>
              <w:t>网，对桩位准确定位放</w:t>
            </w:r>
            <w:r>
              <w:rPr>
                <w:sz w:val="24"/>
                <w:szCs w:val="24"/>
              </w:rPr>
              <w:t xml:space="preserve"> 线。</w:t>
            </w:r>
          </w:p>
          <w:p w14:paraId="52351829">
            <w:pPr>
              <w:pStyle w:val="6"/>
              <w:spacing w:before="201" w:line="217" w:lineRule="auto"/>
              <w:ind w:left="600"/>
              <w:rPr>
                <w:sz w:val="24"/>
                <w:szCs w:val="24"/>
              </w:rPr>
            </w:pPr>
            <w:r>
              <w:rPr>
                <w:sz w:val="24"/>
                <w:szCs w:val="24"/>
              </w:rPr>
              <w:t>②采用钻孔机械进行钻孔，钻孔应保证桩孔竖直。</w:t>
            </w:r>
          </w:p>
          <w:p w14:paraId="47EDA767">
            <w:pPr>
              <w:pStyle w:val="6"/>
              <w:spacing w:before="168" w:line="217" w:lineRule="auto"/>
              <w:ind w:left="590"/>
              <w:rPr>
                <w:sz w:val="24"/>
                <w:szCs w:val="24"/>
              </w:rPr>
            </w:pPr>
            <w:r>
              <w:rPr>
                <w:sz w:val="24"/>
                <w:szCs w:val="24"/>
              </w:rPr>
              <w:t>③钻孔完成后，进行钻孔验收，验收合格后方可进行下道工序施工。</w:t>
            </w:r>
          </w:p>
          <w:p w14:paraId="68079E55">
            <w:pPr>
              <w:pStyle w:val="6"/>
              <w:spacing w:before="180" w:line="219" w:lineRule="auto"/>
              <w:ind w:left="580"/>
              <w:rPr>
                <w:sz w:val="24"/>
                <w:szCs w:val="24"/>
              </w:rPr>
            </w:pPr>
            <w:r>
              <w:rPr>
                <w:spacing w:val="1"/>
                <w:sz w:val="24"/>
                <w:szCs w:val="24"/>
              </w:rPr>
              <w:t>2、钢筋笼制作与安装</w:t>
            </w:r>
          </w:p>
          <w:p w14:paraId="7056A3A7">
            <w:pPr>
              <w:pStyle w:val="6"/>
              <w:spacing w:before="184" w:line="219" w:lineRule="auto"/>
              <w:ind w:left="580"/>
              <w:rPr>
                <w:sz w:val="24"/>
                <w:szCs w:val="24"/>
              </w:rPr>
            </w:pPr>
            <w:r>
              <w:rPr>
                <w:sz w:val="24"/>
                <w:szCs w:val="24"/>
              </w:rPr>
              <w:t>通过计算拟定桩长和桩基础埋深，通过实验验证</w:t>
            </w:r>
            <w:r>
              <w:rPr>
                <w:spacing w:val="-1"/>
                <w:sz w:val="24"/>
                <w:szCs w:val="24"/>
              </w:rPr>
              <w:t>后确定；安装时应严格把</w:t>
            </w:r>
          </w:p>
        </w:tc>
      </w:tr>
    </w:tbl>
    <w:p w14:paraId="5F429684">
      <w:pPr>
        <w:pStyle w:val="2"/>
      </w:pPr>
    </w:p>
    <w:p w14:paraId="6D33F9E0">
      <w:pPr>
        <w:sectPr>
          <w:footerReference r:id="rId78" w:type="default"/>
          <w:pgSz w:w="11910" w:h="16830"/>
          <w:pgMar w:top="400" w:right="1415" w:bottom="1245" w:left="1385" w:header="0" w:footer="1083" w:gutter="0"/>
          <w:cols w:space="720" w:num="1"/>
        </w:sectPr>
      </w:pPr>
    </w:p>
    <w:p w14:paraId="5AE85E60">
      <w:pPr>
        <w:spacing w:before="18"/>
      </w:pPr>
    </w:p>
    <w:p w14:paraId="49B2F445">
      <w:pPr>
        <w:spacing w:before="17"/>
      </w:pPr>
    </w:p>
    <w:p w14:paraId="745137C3">
      <w:pPr>
        <w:spacing w:before="17"/>
      </w:pPr>
    </w:p>
    <w:p w14:paraId="6B26311B">
      <w:pPr>
        <w:spacing w:before="17"/>
      </w:pPr>
    </w:p>
    <w:tbl>
      <w:tblPr>
        <w:tblStyle w:val="5"/>
        <w:tblW w:w="90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8395"/>
      </w:tblGrid>
      <w:tr w14:paraId="28EA4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5" w:hRule="atLeast"/>
        </w:trPr>
        <w:tc>
          <w:tcPr>
            <w:tcW w:w="694" w:type="dxa"/>
            <w:vMerge w:val="restart"/>
            <w:tcBorders>
              <w:bottom w:val="nil"/>
            </w:tcBorders>
            <w:vAlign w:val="top"/>
          </w:tcPr>
          <w:p w14:paraId="1CE58593">
            <w:pPr>
              <w:rPr>
                <w:rFonts w:ascii="Arial"/>
                <w:sz w:val="21"/>
              </w:rPr>
            </w:pPr>
          </w:p>
        </w:tc>
        <w:tc>
          <w:tcPr>
            <w:tcW w:w="8395" w:type="dxa"/>
            <w:tcBorders>
              <w:bottom w:val="nil"/>
            </w:tcBorders>
            <w:vAlign w:val="top"/>
          </w:tcPr>
          <w:p w14:paraId="4B592108">
            <w:pPr>
              <w:pStyle w:val="6"/>
              <w:spacing w:before="15" w:line="219" w:lineRule="auto"/>
              <w:ind w:left="110"/>
              <w:rPr>
                <w:sz w:val="24"/>
                <w:szCs w:val="24"/>
              </w:rPr>
            </w:pPr>
            <w:r>
              <w:rPr>
                <w:sz w:val="24"/>
                <w:szCs w:val="24"/>
              </w:rPr>
              <w:t>控钢筋笼放入，使钢筋笼位于钻孔中心位置。</w:t>
            </w:r>
          </w:p>
          <w:p w14:paraId="122DDDB7">
            <w:pPr>
              <w:pStyle w:val="6"/>
              <w:spacing w:before="185" w:line="220" w:lineRule="auto"/>
              <w:ind w:left="590"/>
              <w:rPr>
                <w:sz w:val="24"/>
                <w:szCs w:val="24"/>
              </w:rPr>
            </w:pPr>
            <w:r>
              <w:rPr>
                <w:spacing w:val="1"/>
                <w:sz w:val="24"/>
                <w:szCs w:val="24"/>
              </w:rPr>
              <w:t>3、混凝土浇筑</w:t>
            </w:r>
          </w:p>
          <w:p w14:paraId="1D5EFB60">
            <w:pPr>
              <w:pStyle w:val="6"/>
              <w:spacing w:before="183" w:line="219" w:lineRule="auto"/>
              <w:jc w:val="right"/>
              <w:rPr>
                <w:sz w:val="24"/>
                <w:szCs w:val="24"/>
              </w:rPr>
            </w:pPr>
            <w:r>
              <w:rPr>
                <w:spacing w:val="-4"/>
                <w:sz w:val="24"/>
                <w:szCs w:val="24"/>
              </w:rPr>
              <w:t>应严格把控混凝土浇筑质量，浇筑时速度不宜过快，防止集料离</w:t>
            </w:r>
            <w:r>
              <w:rPr>
                <w:spacing w:val="-5"/>
                <w:sz w:val="24"/>
                <w:szCs w:val="24"/>
              </w:rPr>
              <w:t>析、分离。</w:t>
            </w:r>
          </w:p>
          <w:p w14:paraId="4B033FDA">
            <w:pPr>
              <w:pStyle w:val="6"/>
              <w:spacing w:before="183" w:line="219" w:lineRule="auto"/>
              <w:ind w:left="600"/>
              <w:rPr>
                <w:sz w:val="24"/>
                <w:szCs w:val="24"/>
              </w:rPr>
            </w:pPr>
            <w:r>
              <w:rPr>
                <w:sz w:val="24"/>
                <w:szCs w:val="24"/>
              </w:rPr>
              <w:t>三、光伏阵列组件和支架安装</w:t>
            </w:r>
          </w:p>
          <w:p w14:paraId="1C21DD33">
            <w:pPr>
              <w:pStyle w:val="6"/>
              <w:spacing w:before="174" w:line="362" w:lineRule="auto"/>
              <w:ind w:left="121" w:right="100" w:firstLine="469"/>
              <w:rPr>
                <w:sz w:val="24"/>
                <w:szCs w:val="24"/>
              </w:rPr>
            </w:pPr>
            <w:r>
              <w:rPr>
                <w:sz w:val="24"/>
                <w:szCs w:val="24"/>
              </w:rPr>
              <w:t>支架和光伏组件进场前应做好质量验收，存放时应做好防潮、防腐蚀等防</w:t>
            </w:r>
            <w:r>
              <w:rPr>
                <w:spacing w:val="12"/>
                <w:sz w:val="24"/>
                <w:szCs w:val="24"/>
              </w:rPr>
              <w:t xml:space="preserve"> </w:t>
            </w:r>
            <w:r>
              <w:rPr>
                <w:sz w:val="24"/>
                <w:szCs w:val="24"/>
              </w:rPr>
              <w:t>护工作。光伏组件的安装分为两部分：支架安装、光伏组件安装。</w:t>
            </w:r>
          </w:p>
          <w:p w14:paraId="06123731">
            <w:pPr>
              <w:pStyle w:val="6"/>
              <w:spacing w:before="4" w:line="358" w:lineRule="auto"/>
              <w:ind w:left="121" w:right="81" w:firstLine="469"/>
              <w:jc w:val="both"/>
              <w:rPr>
                <w:sz w:val="24"/>
                <w:szCs w:val="24"/>
              </w:rPr>
            </w:pPr>
            <w:r>
              <w:rPr>
                <w:sz w:val="24"/>
                <w:szCs w:val="24"/>
              </w:rPr>
              <w:t xml:space="preserve">支架的安装：支架安装前应对基础的水平偏差和定位轴线偏差进行查验， </w:t>
            </w:r>
            <w:r>
              <w:rPr>
                <w:spacing w:val="1"/>
                <w:sz w:val="24"/>
                <w:szCs w:val="24"/>
              </w:rPr>
              <w:t>不合格的项目应进行整改后再进行安装。支架的</w:t>
            </w:r>
            <w:r>
              <w:rPr>
                <w:sz w:val="24"/>
                <w:szCs w:val="24"/>
              </w:rPr>
              <w:t xml:space="preserve">安装要满足紧固度和偏差度要 </w:t>
            </w:r>
            <w:r>
              <w:rPr>
                <w:spacing w:val="-1"/>
                <w:sz w:val="24"/>
                <w:szCs w:val="24"/>
              </w:rPr>
              <w:t>求。支架的焊接部位应做防腐处理。</w:t>
            </w:r>
          </w:p>
          <w:p w14:paraId="1C9C2674">
            <w:pPr>
              <w:pStyle w:val="6"/>
              <w:spacing w:before="2" w:line="356" w:lineRule="auto"/>
              <w:ind w:left="121" w:right="93" w:firstLine="469"/>
              <w:jc w:val="both"/>
              <w:rPr>
                <w:sz w:val="24"/>
                <w:szCs w:val="24"/>
              </w:rPr>
            </w:pPr>
            <w:r>
              <w:rPr>
                <w:sz w:val="24"/>
                <w:szCs w:val="24"/>
              </w:rPr>
              <w:t>光伏组件的安装：挑选工作参数接近的组件在同一子方阵内，额定工作电</w:t>
            </w:r>
            <w:r>
              <w:rPr>
                <w:spacing w:val="13"/>
                <w:sz w:val="24"/>
                <w:szCs w:val="24"/>
              </w:rPr>
              <w:t xml:space="preserve"> </w:t>
            </w:r>
            <w:r>
              <w:rPr>
                <w:sz w:val="24"/>
                <w:szCs w:val="24"/>
              </w:rPr>
              <w:t>流相等或相接近的组件进行串连，其安装角度、组件边缘高差和组件平整度应</w:t>
            </w:r>
            <w:r>
              <w:rPr>
                <w:spacing w:val="9"/>
                <w:sz w:val="24"/>
                <w:szCs w:val="24"/>
              </w:rPr>
              <w:t xml:space="preserve"> </w:t>
            </w:r>
            <w:r>
              <w:rPr>
                <w:sz w:val="24"/>
                <w:szCs w:val="24"/>
              </w:rPr>
              <w:t>严格遵守设计文件或生产厂家的要求。严禁在雷、雨天进行组件的连线工作。</w:t>
            </w:r>
          </w:p>
          <w:p w14:paraId="6A1C3556">
            <w:pPr>
              <w:pStyle w:val="6"/>
              <w:spacing w:before="1" w:line="219" w:lineRule="auto"/>
              <w:ind w:left="590"/>
              <w:rPr>
                <w:sz w:val="24"/>
                <w:szCs w:val="24"/>
              </w:rPr>
            </w:pPr>
            <w:r>
              <w:rPr>
                <w:sz w:val="24"/>
                <w:szCs w:val="24"/>
              </w:rPr>
              <w:t>太阳电池组件支架安装工艺如图2-8所示：</w:t>
            </w:r>
          </w:p>
        </w:tc>
      </w:tr>
      <w:tr w14:paraId="36D4D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1" w:hRule="atLeast"/>
        </w:trPr>
        <w:tc>
          <w:tcPr>
            <w:tcW w:w="694" w:type="dxa"/>
            <w:vMerge w:val="continue"/>
            <w:tcBorders>
              <w:top w:val="nil"/>
              <w:bottom w:val="nil"/>
            </w:tcBorders>
            <w:vAlign w:val="top"/>
          </w:tcPr>
          <w:p w14:paraId="15F0D10E">
            <w:pPr>
              <w:rPr>
                <w:rFonts w:ascii="Arial"/>
                <w:sz w:val="21"/>
              </w:rPr>
            </w:pPr>
          </w:p>
        </w:tc>
        <w:tc>
          <w:tcPr>
            <w:tcW w:w="8395" w:type="dxa"/>
            <w:tcBorders>
              <w:top w:val="nil"/>
              <w:bottom w:val="nil"/>
            </w:tcBorders>
            <w:vAlign w:val="top"/>
          </w:tcPr>
          <w:p w14:paraId="5ED206C4">
            <w:pPr>
              <w:pStyle w:val="6"/>
              <w:spacing w:before="90" w:line="2650" w:lineRule="exact"/>
              <w:ind w:firstLine="1120"/>
            </w:pPr>
            <w:r>
              <w:rPr>
                <w:position w:val="-53"/>
              </w:rPr>
              <w:pict>
                <v:group id="_x0000_s1059" o:spid="_x0000_s1059" o:spt="203" style="height:132.55pt;width:307.5pt;" coordsize="6150,2651">
                  <o:lock v:ext="edit"/>
                  <v:shape id="_x0000_s1060" o:spid="_x0000_s1060" o:spt="75" type="#_x0000_t75" style="position:absolute;left:0;top:0;height:2651;width:6150;" filled="f" stroked="f" coordsize="21600,21600">
                    <v:path/>
                    <v:fill on="f" focussize="0,0"/>
                    <v:stroke on="f"/>
                    <v:imagedata r:id="rId285" o:title=""/>
                    <o:lock v:ext="edit" aspectratio="t"/>
                  </v:shape>
                  <v:shape id="_x0000_s1061" o:spid="_x0000_s1061" o:spt="202" type="#_x0000_t202" style="position:absolute;left:60;top:239;height:2290;width:6070;" filled="f" stroked="f" coordsize="21600,21600">
                    <v:path/>
                    <v:fill on="f" focussize="0,0"/>
                    <v:stroke on="f"/>
                    <v:imagedata o:title=""/>
                    <o:lock v:ext="edit" aspectratio="f"/>
                    <v:textbox inset="0mm,0mm,0mm,0mm">
                      <w:txbxContent>
                        <w:p w14:paraId="167CEB5F">
                          <w:pPr>
                            <w:spacing w:before="19" w:line="229" w:lineRule="auto"/>
                            <w:ind w:left="20"/>
                            <w:rPr>
                              <w:rFonts w:ascii="宋体" w:hAnsi="宋体" w:eastAsia="宋体" w:cs="宋体"/>
                              <w:sz w:val="24"/>
                              <w:szCs w:val="24"/>
                            </w:rPr>
                          </w:pPr>
                          <w:r>
                            <w:rPr>
                              <w:rFonts w:ascii="宋体" w:hAnsi="宋体" w:eastAsia="宋体" w:cs="宋体"/>
                              <w:spacing w:val="3"/>
                              <w:position w:val="1"/>
                              <w:sz w:val="24"/>
                              <w:szCs w:val="24"/>
                            </w:rPr>
                            <w:t>前期准备工作    安装斜支架</w:t>
                          </w:r>
                          <w:r>
                            <w:rPr>
                              <w:rFonts w:ascii="宋体" w:hAnsi="宋体" w:eastAsia="宋体" w:cs="宋体"/>
                              <w:spacing w:val="14"/>
                              <w:position w:val="1"/>
                              <w:sz w:val="24"/>
                              <w:szCs w:val="24"/>
                            </w:rPr>
                            <w:t xml:space="preserve">      </w:t>
                          </w:r>
                          <w:r>
                            <w:rPr>
                              <w:rFonts w:ascii="宋体" w:hAnsi="宋体" w:eastAsia="宋体" w:cs="宋体"/>
                              <w:spacing w:val="3"/>
                              <w:position w:val="-9"/>
                              <w:sz w:val="24"/>
                              <w:szCs w:val="24"/>
                            </w:rPr>
                            <w:t>螺栓</w:t>
                          </w:r>
                          <w:r>
                            <w:rPr>
                              <w:rFonts w:ascii="宋体" w:hAnsi="宋体" w:eastAsia="宋体" w:cs="宋体"/>
                              <w:spacing w:val="10"/>
                              <w:position w:val="-9"/>
                              <w:sz w:val="24"/>
                              <w:szCs w:val="24"/>
                            </w:rPr>
                            <w:t xml:space="preserve">    </w:t>
                          </w:r>
                          <w:r>
                            <w:rPr>
                              <w:rFonts w:ascii="宋体" w:hAnsi="宋体" w:eastAsia="宋体" w:cs="宋体"/>
                              <w:strike/>
                              <w:position w:val="-9"/>
                              <w:sz w:val="24"/>
                              <w:szCs w:val="24"/>
                            </w:rPr>
                            <w:t xml:space="preserve">        </w:t>
                          </w:r>
                        </w:p>
                        <w:p w14:paraId="3C1B717E">
                          <w:pPr>
                            <w:rPr>
                              <w:rFonts w:ascii="Arial"/>
                              <w:sz w:val="21"/>
                            </w:rPr>
                          </w:pPr>
                        </w:p>
                        <w:p w14:paraId="09A6E6BB">
                          <w:pPr>
                            <w:rPr>
                              <w:rFonts w:ascii="Arial"/>
                              <w:sz w:val="21"/>
                            </w:rPr>
                          </w:pPr>
                        </w:p>
                        <w:p w14:paraId="2D763AF8">
                          <w:pPr>
                            <w:spacing w:before="78" w:line="219" w:lineRule="auto"/>
                            <w:ind w:right="20"/>
                            <w:jc w:val="right"/>
                            <w:rPr>
                              <w:rFonts w:ascii="宋体" w:hAnsi="宋体" w:eastAsia="宋体" w:cs="宋体"/>
                              <w:sz w:val="24"/>
                              <w:szCs w:val="24"/>
                            </w:rPr>
                          </w:pPr>
                          <w:r>
                            <w:rPr>
                              <w:rFonts w:ascii="宋体" w:hAnsi="宋体" w:eastAsia="宋体" w:cs="宋体"/>
                              <w:spacing w:val="2"/>
                              <w:sz w:val="24"/>
                              <w:szCs w:val="24"/>
                            </w:rPr>
                            <w:t>安装檩条</w:t>
                          </w:r>
                        </w:p>
                        <w:p w14:paraId="3F5A40BA">
                          <w:pPr>
                            <w:spacing w:line="292" w:lineRule="auto"/>
                            <w:rPr>
                              <w:rFonts w:ascii="Arial"/>
                              <w:sz w:val="21"/>
                            </w:rPr>
                          </w:pPr>
                        </w:p>
                        <w:p w14:paraId="2148D55E">
                          <w:pPr>
                            <w:spacing w:line="292" w:lineRule="auto"/>
                            <w:rPr>
                              <w:rFonts w:ascii="Arial"/>
                              <w:sz w:val="21"/>
                            </w:rPr>
                          </w:pPr>
                        </w:p>
                        <w:p w14:paraId="4FABBE9E">
                          <w:pPr>
                            <w:spacing w:before="78" w:line="227" w:lineRule="auto"/>
                            <w:ind w:left="169"/>
                            <w:rPr>
                              <w:rFonts w:ascii="宋体" w:hAnsi="宋体" w:eastAsia="宋体" w:cs="宋体"/>
                              <w:sz w:val="24"/>
                              <w:szCs w:val="24"/>
                            </w:rPr>
                          </w:pPr>
                          <w:r>
                            <w:rPr>
                              <w:rFonts w:ascii="宋体" w:hAnsi="宋体" w:eastAsia="宋体" w:cs="宋体"/>
                              <w:position w:val="-5"/>
                              <w:sz w:val="24"/>
                              <w:szCs w:val="24"/>
                            </w:rPr>
                            <w:t>组件孔位</w:t>
                          </w:r>
                          <w:r>
                            <w:rPr>
                              <w:rFonts w:ascii="宋体" w:hAnsi="宋体" w:eastAsia="宋体" w:cs="宋体"/>
                              <w:spacing w:val="22"/>
                              <w:position w:val="-5"/>
                              <w:sz w:val="24"/>
                              <w:szCs w:val="24"/>
                            </w:rPr>
                            <w:t xml:space="preserve">     </w:t>
                          </w:r>
                          <w:r>
                            <w:rPr>
                              <w:rFonts w:ascii="宋体" w:hAnsi="宋体" w:eastAsia="宋体" w:cs="宋体"/>
                              <w:position w:val="4"/>
                              <w:sz w:val="24"/>
                              <w:szCs w:val="24"/>
                            </w:rPr>
                            <w:t>紧固所有螺栓</w:t>
                          </w:r>
                          <w:r>
                            <w:rPr>
                              <w:rFonts w:ascii="宋体" w:hAnsi="宋体" w:eastAsia="宋体" w:cs="宋体"/>
                              <w:spacing w:val="19"/>
                              <w:position w:val="4"/>
                              <w:sz w:val="24"/>
                              <w:szCs w:val="24"/>
                            </w:rPr>
                            <w:t xml:space="preserve">  </w:t>
                          </w:r>
                          <w:r>
                            <w:rPr>
                              <w:rFonts w:ascii="宋体" w:hAnsi="宋体" w:eastAsia="宋体" w:cs="宋体"/>
                              <w:spacing w:val="23"/>
                              <w:position w:val="-4"/>
                              <w:sz w:val="24"/>
                              <w:szCs w:val="24"/>
                              <w:u w:val="single" w:color="auto"/>
                            </w:rPr>
                            <w:t xml:space="preserve">   </w:t>
                          </w:r>
                          <w:r>
                            <w:rPr>
                              <w:rFonts w:ascii="宋体" w:hAnsi="宋体" w:eastAsia="宋体" w:cs="宋体"/>
                              <w:position w:val="-4"/>
                              <w:sz w:val="24"/>
                              <w:szCs w:val="24"/>
                              <w:u w:val="single" w:color="auto"/>
                            </w:rPr>
                            <w:t>孔位</w:t>
                          </w:r>
                          <w:r>
                            <w:rPr>
                              <w:rFonts w:ascii="宋体" w:hAnsi="宋体" w:eastAsia="宋体" w:cs="宋体"/>
                              <w:spacing w:val="-109"/>
                              <w:position w:val="-4"/>
                              <w:sz w:val="24"/>
                              <w:szCs w:val="24"/>
                            </w:rPr>
                            <w:t xml:space="preserve"> </w:t>
                          </w:r>
                          <w:r>
                            <w:rPr>
                              <w:rFonts w:ascii="宋体" w:hAnsi="宋体" w:eastAsia="宋体" w:cs="宋体"/>
                              <w:position w:val="-4"/>
                              <w:sz w:val="24"/>
                              <w:szCs w:val="24"/>
                              <w:u w:val="single" w:color="auto"/>
                            </w:rPr>
                            <w:t xml:space="preserve">    </w:t>
                          </w:r>
                        </w:p>
                      </w:txbxContent>
                    </v:textbox>
                  </v:shape>
                  <v:shape id="_x0000_s1062" o:spid="_x0000_s1062" o:spt="202" type="#_x0000_t202" style="position:absolute;left:120;top:1998;height:290;width:5840;" filled="f" stroked="f" coordsize="21600,21600">
                    <v:path/>
                    <v:fill on="f" focussize="0,0"/>
                    <v:stroke on="f"/>
                    <v:imagedata o:title=""/>
                    <o:lock v:ext="edit" aspectratio="f"/>
                    <v:textbox inset="0mm,0mm,0mm,0mm">
                      <w:txbxContent>
                        <w:p w14:paraId="20540F93">
                          <w:pPr>
                            <w:spacing w:before="20" w:line="192" w:lineRule="auto"/>
                            <w:ind w:left="20"/>
                            <w:rPr>
                              <w:rFonts w:ascii="宋体" w:hAnsi="宋体" w:eastAsia="宋体" w:cs="宋体"/>
                              <w:sz w:val="24"/>
                              <w:szCs w:val="24"/>
                            </w:rPr>
                          </w:pPr>
                          <w:r>
                            <w:rPr>
                              <w:rFonts w:ascii="宋体" w:hAnsi="宋体" w:eastAsia="宋体" w:cs="宋体"/>
                              <w:spacing w:val="3"/>
                              <w:sz w:val="24"/>
                              <w:szCs w:val="24"/>
                            </w:rPr>
                            <w:t>复核檩条上</w:t>
                          </w:r>
                          <w:r>
                            <w:rPr>
                              <w:rFonts w:ascii="宋体" w:hAnsi="宋体" w:eastAsia="宋体" w:cs="宋体"/>
                              <w:spacing w:val="7"/>
                              <w:sz w:val="24"/>
                              <w:szCs w:val="24"/>
                            </w:rPr>
                            <w:t xml:space="preserve">             </w:t>
                          </w:r>
                          <w:r>
                            <w:rPr>
                              <w:rFonts w:ascii="宋体" w:hAnsi="宋体" w:eastAsia="宋体" w:cs="宋体"/>
                              <w:spacing w:val="21"/>
                              <w:sz w:val="24"/>
                              <w:szCs w:val="24"/>
                              <w:u w:val="single" w:color="auto"/>
                            </w:rPr>
                            <w:t xml:space="preserve">     </w:t>
                          </w:r>
                          <w:r>
                            <w:rPr>
                              <w:rFonts w:ascii="宋体" w:hAnsi="宋体" w:eastAsia="宋体" w:cs="宋体"/>
                              <w:spacing w:val="-48"/>
                              <w:sz w:val="24"/>
                              <w:szCs w:val="24"/>
                            </w:rPr>
                            <w:t xml:space="preserve"> </w:t>
                          </w:r>
                          <w:r>
                            <w:rPr>
                              <w:rFonts w:ascii="宋体" w:hAnsi="宋体" w:eastAsia="宋体" w:cs="宋体"/>
                              <w:spacing w:val="3"/>
                              <w:sz w:val="24"/>
                              <w:szCs w:val="24"/>
                            </w:rPr>
                            <w:t>校正檩条和</w:t>
                          </w:r>
                          <w:r>
                            <w:rPr>
                              <w:rFonts w:ascii="宋体" w:hAnsi="宋体" w:eastAsia="宋体" w:cs="宋体"/>
                              <w:spacing w:val="-40"/>
                              <w:sz w:val="24"/>
                              <w:szCs w:val="24"/>
                            </w:rPr>
                            <w:t xml:space="preserve"> </w:t>
                          </w:r>
                          <w:r>
                            <w:rPr>
                              <w:rFonts w:ascii="宋体" w:hAnsi="宋体" w:eastAsia="宋体" w:cs="宋体"/>
                              <w:sz w:val="24"/>
                              <w:szCs w:val="24"/>
                              <w:u w:val="single" w:color="auto"/>
                            </w:rPr>
                            <w:t xml:space="preserve">        </w:t>
                          </w:r>
                        </w:p>
                      </w:txbxContent>
                    </v:textbox>
                  </v:shape>
                  <v:shape id="_x0000_s1063" o:spid="_x0000_s1063" o:spt="202" type="#_x0000_t202" style="position:absolute;left:3749;top:109;height:280;width:1254;" filled="f" stroked="f" coordsize="21600,21600">
                    <v:path/>
                    <v:fill on="f" focussize="0,0"/>
                    <v:stroke on="f"/>
                    <v:imagedata o:title=""/>
                    <o:lock v:ext="edit" aspectratio="f"/>
                    <v:textbox inset="0mm,0mm,0mm,0mm">
                      <w:txbxContent>
                        <w:p w14:paraId="6C02F9D6">
                          <w:pPr>
                            <w:spacing w:before="20" w:line="184" w:lineRule="auto"/>
                            <w:ind w:left="20"/>
                            <w:rPr>
                              <w:rFonts w:ascii="宋体" w:hAnsi="宋体" w:eastAsia="宋体" w:cs="宋体"/>
                              <w:sz w:val="24"/>
                              <w:szCs w:val="24"/>
                            </w:rPr>
                          </w:pPr>
                          <w:r>
                            <w:rPr>
                              <w:rFonts w:ascii="宋体" w:hAnsi="宋体" w:eastAsia="宋体" w:cs="宋体"/>
                              <w:spacing w:val="2"/>
                              <w:sz w:val="24"/>
                              <w:szCs w:val="24"/>
                            </w:rPr>
                            <w:t>连接斜支架</w:t>
                          </w:r>
                        </w:p>
                      </w:txbxContent>
                    </v:textbox>
                  </v:shape>
                  <w10:wrap type="none"/>
                  <w10:anchorlock/>
                </v:group>
              </w:pict>
            </w:r>
          </w:p>
        </w:tc>
      </w:tr>
      <w:tr w14:paraId="6338A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3" w:hRule="atLeast"/>
        </w:trPr>
        <w:tc>
          <w:tcPr>
            <w:tcW w:w="694" w:type="dxa"/>
            <w:vMerge w:val="continue"/>
            <w:tcBorders>
              <w:top w:val="nil"/>
            </w:tcBorders>
            <w:vAlign w:val="top"/>
          </w:tcPr>
          <w:p w14:paraId="410B4091">
            <w:pPr>
              <w:rPr>
                <w:rFonts w:ascii="Arial"/>
                <w:sz w:val="21"/>
              </w:rPr>
            </w:pPr>
          </w:p>
        </w:tc>
        <w:tc>
          <w:tcPr>
            <w:tcW w:w="8395" w:type="dxa"/>
            <w:tcBorders>
              <w:top w:val="nil"/>
            </w:tcBorders>
            <w:vAlign w:val="top"/>
          </w:tcPr>
          <w:p w14:paraId="7EC7BA58">
            <w:pPr>
              <w:pStyle w:val="6"/>
              <w:spacing w:before="75" w:line="219" w:lineRule="auto"/>
              <w:ind w:left="2174"/>
              <w:rPr>
                <w:sz w:val="24"/>
                <w:szCs w:val="24"/>
              </w:rPr>
            </w:pPr>
            <w:r>
              <w:rPr>
                <w:b/>
                <w:bCs/>
                <w:spacing w:val="-3"/>
                <w:sz w:val="24"/>
                <w:szCs w:val="24"/>
              </w:rPr>
              <w:t>图2-8</w:t>
            </w:r>
            <w:r>
              <w:rPr>
                <w:spacing w:val="39"/>
                <w:sz w:val="24"/>
                <w:szCs w:val="24"/>
              </w:rPr>
              <w:t xml:space="preserve">   </w:t>
            </w:r>
            <w:r>
              <w:rPr>
                <w:b/>
                <w:bCs/>
                <w:spacing w:val="-3"/>
                <w:sz w:val="24"/>
                <w:szCs w:val="24"/>
              </w:rPr>
              <w:t>太阳电池组件支架安装工艺</w:t>
            </w:r>
          </w:p>
          <w:p w14:paraId="1A553F57">
            <w:pPr>
              <w:pStyle w:val="6"/>
              <w:spacing w:before="158" w:line="219" w:lineRule="auto"/>
              <w:ind w:left="600"/>
              <w:rPr>
                <w:sz w:val="24"/>
                <w:szCs w:val="24"/>
              </w:rPr>
            </w:pPr>
            <w:r>
              <w:rPr>
                <w:spacing w:val="1"/>
                <w:sz w:val="24"/>
                <w:szCs w:val="24"/>
              </w:rPr>
              <w:t>四、集电线路施工</w:t>
            </w:r>
          </w:p>
          <w:p w14:paraId="5C87FECB">
            <w:pPr>
              <w:pStyle w:val="6"/>
              <w:spacing w:before="183" w:line="219" w:lineRule="auto"/>
              <w:ind w:left="600"/>
              <w:rPr>
                <w:sz w:val="24"/>
                <w:szCs w:val="24"/>
              </w:rPr>
            </w:pPr>
            <w:r>
              <w:rPr>
                <w:sz w:val="24"/>
                <w:szCs w:val="24"/>
              </w:rPr>
              <w:t>本项目集电线路采用地埋电缆及架空电缆相结</w:t>
            </w:r>
            <w:r>
              <w:rPr>
                <w:spacing w:val="-1"/>
                <w:sz w:val="24"/>
                <w:szCs w:val="24"/>
              </w:rPr>
              <w:t>合。</w:t>
            </w:r>
          </w:p>
          <w:p w14:paraId="0D1D9DE1">
            <w:pPr>
              <w:pStyle w:val="6"/>
              <w:spacing w:before="187" w:line="219" w:lineRule="auto"/>
              <w:ind w:left="600"/>
              <w:rPr>
                <w:sz w:val="24"/>
                <w:szCs w:val="24"/>
              </w:rPr>
            </w:pPr>
            <w:r>
              <w:rPr>
                <w:spacing w:val="1"/>
                <w:sz w:val="24"/>
                <w:szCs w:val="24"/>
              </w:rPr>
              <w:t>1、地埋式电缆</w:t>
            </w:r>
          </w:p>
          <w:p w14:paraId="59F5A066">
            <w:pPr>
              <w:pStyle w:val="6"/>
              <w:spacing w:before="174" w:line="361" w:lineRule="auto"/>
              <w:ind w:left="131" w:right="85" w:firstLine="459"/>
              <w:rPr>
                <w:sz w:val="24"/>
                <w:szCs w:val="24"/>
              </w:rPr>
            </w:pPr>
            <w:r>
              <w:rPr>
                <w:sz w:val="24"/>
                <w:szCs w:val="24"/>
              </w:rPr>
              <w:t>地埋式电缆施工分四个阶段：一是沟槽开挖；二</w:t>
            </w:r>
            <w:r>
              <w:rPr>
                <w:spacing w:val="-1"/>
                <w:sz w:val="24"/>
                <w:szCs w:val="24"/>
              </w:rPr>
              <w:t>是基底处理；三是电缆埋</w:t>
            </w:r>
            <w:r>
              <w:rPr>
                <w:sz w:val="24"/>
                <w:szCs w:val="24"/>
              </w:rPr>
              <w:t xml:space="preserve"> 设；四是电缆沟回填。与水土保持相关的施工阶段主要为沟槽开挖、基底处理</w:t>
            </w:r>
            <w:r>
              <w:rPr>
                <w:spacing w:val="7"/>
                <w:sz w:val="24"/>
                <w:szCs w:val="24"/>
              </w:rPr>
              <w:t xml:space="preserve"> </w:t>
            </w:r>
            <w:r>
              <w:rPr>
                <w:sz w:val="24"/>
                <w:szCs w:val="24"/>
              </w:rPr>
              <w:t>及电缆沟回填。</w:t>
            </w:r>
          </w:p>
          <w:p w14:paraId="27C66C19">
            <w:pPr>
              <w:pStyle w:val="6"/>
              <w:spacing w:line="217" w:lineRule="auto"/>
              <w:ind w:left="590"/>
              <w:rPr>
                <w:sz w:val="24"/>
                <w:szCs w:val="24"/>
              </w:rPr>
            </w:pPr>
            <w:r>
              <w:rPr>
                <w:spacing w:val="2"/>
                <w:sz w:val="24"/>
                <w:szCs w:val="24"/>
              </w:rPr>
              <w:t>①沟槽开挖</w:t>
            </w:r>
          </w:p>
          <w:p w14:paraId="48BA1C99">
            <w:pPr>
              <w:pStyle w:val="6"/>
              <w:spacing w:before="191" w:line="342" w:lineRule="auto"/>
              <w:ind w:left="131" w:right="93" w:firstLine="479"/>
              <w:rPr>
                <w:sz w:val="24"/>
                <w:szCs w:val="24"/>
              </w:rPr>
            </w:pPr>
            <w:r>
              <w:rPr>
                <w:sz w:val="24"/>
                <w:szCs w:val="24"/>
              </w:rPr>
              <w:t>电缆沟埋深在1m左右，计划采用机械开挖，然后预留20cm进行人工清底， 以防超挖，沟槽开挖宽度应比设计宽度每侧加宽0.5m,以便于模板安装和基槽</w:t>
            </w:r>
            <w:r>
              <w:rPr>
                <w:spacing w:val="9"/>
                <w:sz w:val="24"/>
                <w:szCs w:val="24"/>
              </w:rPr>
              <w:t xml:space="preserve">  </w:t>
            </w:r>
            <w:r>
              <w:rPr>
                <w:sz w:val="24"/>
                <w:szCs w:val="24"/>
              </w:rPr>
              <w:t>底部排水；边坡放坡系数视现场土质情况而定。必要时应加挡土板进行支护，</w:t>
            </w:r>
          </w:p>
        </w:tc>
      </w:tr>
    </w:tbl>
    <w:p w14:paraId="0C34BC95">
      <w:pPr>
        <w:pStyle w:val="2"/>
        <w:spacing w:line="239" w:lineRule="exact"/>
        <w:rPr>
          <w:sz w:val="20"/>
        </w:rPr>
      </w:pPr>
    </w:p>
    <w:p w14:paraId="0A17475C">
      <w:pPr>
        <w:spacing w:line="239" w:lineRule="exact"/>
        <w:rPr>
          <w:sz w:val="20"/>
          <w:szCs w:val="20"/>
        </w:rPr>
        <w:sectPr>
          <w:footerReference r:id="rId79" w:type="default"/>
          <w:pgSz w:w="11910" w:h="16830"/>
          <w:pgMar w:top="400" w:right="1415" w:bottom="1245" w:left="1395" w:header="0" w:footer="1083" w:gutter="0"/>
          <w:cols w:space="720" w:num="1"/>
        </w:sectPr>
      </w:pPr>
    </w:p>
    <w:p w14:paraId="7680BF98">
      <w:pPr>
        <w:spacing w:before="15"/>
      </w:pPr>
    </w:p>
    <w:p w14:paraId="79169CB4">
      <w:pPr>
        <w:spacing w:before="15"/>
      </w:pPr>
    </w:p>
    <w:p w14:paraId="174E4554">
      <w:pPr>
        <w:spacing w:before="15"/>
      </w:pPr>
    </w:p>
    <w:p w14:paraId="3B00B97A">
      <w:pPr>
        <w:spacing w:before="14"/>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8385"/>
      </w:tblGrid>
      <w:tr w14:paraId="132DB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714" w:type="dxa"/>
            <w:vAlign w:val="top"/>
          </w:tcPr>
          <w:p w14:paraId="2842F7FB">
            <w:pPr>
              <w:rPr>
                <w:rFonts w:ascii="Arial"/>
                <w:sz w:val="21"/>
              </w:rPr>
            </w:pPr>
          </w:p>
        </w:tc>
        <w:tc>
          <w:tcPr>
            <w:tcW w:w="8385" w:type="dxa"/>
            <w:vAlign w:val="top"/>
          </w:tcPr>
          <w:p w14:paraId="5DFF4F91">
            <w:pPr>
              <w:pStyle w:val="6"/>
              <w:spacing w:before="25" w:line="219" w:lineRule="auto"/>
              <w:ind w:left="111"/>
              <w:rPr>
                <w:sz w:val="24"/>
                <w:szCs w:val="24"/>
              </w:rPr>
            </w:pPr>
            <w:r>
              <w:rPr>
                <w:sz w:val="24"/>
                <w:szCs w:val="24"/>
              </w:rPr>
              <w:t>堆放在沟槽两侧的堆土高度应控制在1.5m以内。</w:t>
            </w:r>
          </w:p>
          <w:p w14:paraId="6B84207D">
            <w:pPr>
              <w:pStyle w:val="6"/>
              <w:spacing w:before="172" w:line="217" w:lineRule="auto"/>
              <w:ind w:left="580"/>
              <w:rPr>
                <w:sz w:val="24"/>
                <w:szCs w:val="24"/>
              </w:rPr>
            </w:pPr>
            <w:r>
              <w:rPr>
                <w:spacing w:val="-2"/>
                <w:sz w:val="24"/>
                <w:szCs w:val="24"/>
              </w:rPr>
              <w:t>②基底处理</w:t>
            </w:r>
          </w:p>
          <w:p w14:paraId="53BDCFAC">
            <w:pPr>
              <w:pStyle w:val="6"/>
              <w:spacing w:before="189" w:line="361" w:lineRule="auto"/>
              <w:ind w:left="111" w:right="194" w:firstLine="489"/>
              <w:rPr>
                <w:sz w:val="24"/>
                <w:szCs w:val="24"/>
              </w:rPr>
            </w:pPr>
            <w:r>
              <w:rPr>
                <w:sz w:val="24"/>
                <w:szCs w:val="24"/>
              </w:rPr>
              <w:t>在基底开挖后，视地下水情况应预留10cm~15cm的深度采用人工修整，必</w:t>
            </w:r>
            <w:r>
              <w:rPr>
                <w:spacing w:val="18"/>
                <w:sz w:val="24"/>
                <w:szCs w:val="24"/>
              </w:rPr>
              <w:t xml:space="preserve"> </w:t>
            </w:r>
            <w:r>
              <w:rPr>
                <w:sz w:val="24"/>
                <w:szCs w:val="24"/>
              </w:rPr>
              <w:t>要时在浇筑垫层砼之前用碎石或石粉渣铺填一层后再施工垫层砼。</w:t>
            </w:r>
          </w:p>
          <w:p w14:paraId="51FD4A6F">
            <w:pPr>
              <w:pStyle w:val="6"/>
              <w:spacing w:line="217" w:lineRule="auto"/>
              <w:ind w:left="580"/>
              <w:rPr>
                <w:sz w:val="24"/>
                <w:szCs w:val="24"/>
              </w:rPr>
            </w:pPr>
            <w:r>
              <w:rPr>
                <w:spacing w:val="-2"/>
                <w:sz w:val="24"/>
                <w:szCs w:val="24"/>
              </w:rPr>
              <w:t>③电缆沟回填</w:t>
            </w:r>
          </w:p>
          <w:p w14:paraId="4C7EFA5F">
            <w:pPr>
              <w:pStyle w:val="6"/>
              <w:spacing w:before="188" w:line="357" w:lineRule="auto"/>
              <w:ind w:left="111" w:right="100" w:firstLine="469"/>
              <w:rPr>
                <w:sz w:val="24"/>
                <w:szCs w:val="24"/>
              </w:rPr>
            </w:pPr>
            <w:r>
              <w:rPr>
                <w:sz w:val="24"/>
                <w:szCs w:val="24"/>
              </w:rPr>
              <w:t>在进行各项试验合格后，可对电缆沟进行回填，回填时，先将干砂填至电</w:t>
            </w:r>
            <w:r>
              <w:rPr>
                <w:spacing w:val="12"/>
                <w:sz w:val="24"/>
                <w:szCs w:val="24"/>
              </w:rPr>
              <w:t xml:space="preserve"> </w:t>
            </w:r>
            <w:r>
              <w:rPr>
                <w:sz w:val="24"/>
                <w:szCs w:val="24"/>
              </w:rPr>
              <w:t>缆沟上部100mm处，用人工打夯、密实后方可开始填土。填土应分层进</w:t>
            </w:r>
            <w:r>
              <w:rPr>
                <w:spacing w:val="-1"/>
                <w:sz w:val="24"/>
                <w:szCs w:val="24"/>
              </w:rPr>
              <w:t>行，</w:t>
            </w:r>
          </w:p>
          <w:p w14:paraId="11DAED8C">
            <w:pPr>
              <w:pStyle w:val="6"/>
              <w:spacing w:before="10" w:line="216" w:lineRule="auto"/>
              <w:ind w:left="121"/>
              <w:rPr>
                <w:sz w:val="24"/>
                <w:szCs w:val="24"/>
              </w:rPr>
            </w:pPr>
            <w:r>
              <w:rPr>
                <w:sz w:val="24"/>
                <w:szCs w:val="24"/>
              </w:rPr>
              <w:t>每层松填厚度不超过300mm,电缆沟顶部400mm内采用人工拍打密实，密实</w:t>
            </w:r>
          </w:p>
          <w:p w14:paraId="78BDB577">
            <w:pPr>
              <w:pStyle w:val="6"/>
              <w:spacing w:before="180" w:line="219" w:lineRule="auto"/>
              <w:ind w:left="121"/>
              <w:rPr>
                <w:sz w:val="24"/>
                <w:szCs w:val="24"/>
              </w:rPr>
            </w:pPr>
            <w:r>
              <w:rPr>
                <w:sz w:val="24"/>
                <w:szCs w:val="24"/>
              </w:rPr>
              <w:t>度需达到85%以上，方可进行蛙式打夯机打夯密实，密实度需达到95%以上。</w:t>
            </w:r>
          </w:p>
          <w:p w14:paraId="7609F7A4">
            <w:pPr>
              <w:pStyle w:val="6"/>
              <w:spacing w:before="187" w:line="219" w:lineRule="auto"/>
              <w:ind w:left="580"/>
              <w:rPr>
                <w:sz w:val="24"/>
                <w:szCs w:val="24"/>
              </w:rPr>
            </w:pPr>
            <w:r>
              <w:rPr>
                <w:spacing w:val="1"/>
                <w:sz w:val="24"/>
                <w:szCs w:val="24"/>
              </w:rPr>
              <w:t>2、架空线路施工工艺</w:t>
            </w:r>
          </w:p>
          <w:p w14:paraId="70E5F136">
            <w:pPr>
              <w:pStyle w:val="6"/>
              <w:spacing w:before="206" w:line="220" w:lineRule="auto"/>
              <w:ind w:left="711"/>
              <w:rPr>
                <w:sz w:val="24"/>
                <w:szCs w:val="24"/>
              </w:rPr>
            </w:pPr>
            <w:r>
              <w:rPr>
                <w:spacing w:val="1"/>
                <w:sz w:val="24"/>
                <w:szCs w:val="24"/>
              </w:rPr>
              <w:t>(1)分坑测量</w:t>
            </w:r>
          </w:p>
          <w:p w14:paraId="74E13B29">
            <w:pPr>
              <w:pStyle w:val="6"/>
              <w:spacing w:before="154" w:line="220" w:lineRule="auto"/>
              <w:ind w:left="600"/>
              <w:rPr>
                <w:sz w:val="24"/>
                <w:szCs w:val="24"/>
              </w:rPr>
            </w:pPr>
            <w:r>
              <w:rPr>
                <w:spacing w:val="1"/>
                <w:sz w:val="24"/>
                <w:szCs w:val="24"/>
              </w:rPr>
              <w:t>1)直线塔分坑</w:t>
            </w:r>
          </w:p>
          <w:p w14:paraId="0638A631">
            <w:pPr>
              <w:pStyle w:val="6"/>
              <w:spacing w:before="174" w:line="361" w:lineRule="auto"/>
              <w:ind w:left="111" w:firstLine="488"/>
              <w:rPr>
                <w:sz w:val="24"/>
                <w:szCs w:val="24"/>
              </w:rPr>
            </w:pPr>
            <w:r>
              <w:rPr>
                <w:spacing w:val="-1"/>
                <w:sz w:val="24"/>
                <w:szCs w:val="24"/>
              </w:rPr>
              <w:t>在塔位中心点安置经纬仪，水平度盘对0度，前视或后视相邻杆塔中心桩，</w:t>
            </w:r>
            <w:r>
              <w:rPr>
                <w:spacing w:val="7"/>
                <w:sz w:val="24"/>
                <w:szCs w:val="24"/>
              </w:rPr>
              <w:t xml:space="preserve"> </w:t>
            </w:r>
            <w:r>
              <w:rPr>
                <w:spacing w:val="-1"/>
                <w:sz w:val="24"/>
                <w:szCs w:val="24"/>
              </w:rPr>
              <w:t>然后仪器转90度，左右各定一个辅助桩，供底盘找正用。根据坑口边长和双杆</w:t>
            </w:r>
            <w:r>
              <w:rPr>
                <w:spacing w:val="3"/>
                <w:sz w:val="24"/>
                <w:szCs w:val="24"/>
              </w:rPr>
              <w:t xml:space="preserve">  </w:t>
            </w:r>
            <w:r>
              <w:rPr>
                <w:spacing w:val="-1"/>
                <w:sz w:val="24"/>
                <w:szCs w:val="24"/>
              </w:rPr>
              <w:t>开档确定坑口位置。</w:t>
            </w:r>
          </w:p>
          <w:p w14:paraId="2A2BB6F4">
            <w:pPr>
              <w:pStyle w:val="6"/>
              <w:spacing w:before="1" w:line="218" w:lineRule="auto"/>
              <w:ind w:left="560"/>
              <w:rPr>
                <w:sz w:val="24"/>
                <w:szCs w:val="24"/>
              </w:rPr>
            </w:pPr>
            <w:r>
              <w:rPr>
                <w:spacing w:val="1"/>
                <w:sz w:val="24"/>
                <w:szCs w:val="24"/>
              </w:rPr>
              <w:t>2)转角塔分坑</w:t>
            </w:r>
          </w:p>
          <w:p w14:paraId="6634CC5E">
            <w:pPr>
              <w:pStyle w:val="6"/>
              <w:spacing w:before="186" w:line="359" w:lineRule="auto"/>
              <w:ind w:left="111" w:firstLine="462"/>
              <w:rPr>
                <w:sz w:val="24"/>
                <w:szCs w:val="24"/>
              </w:rPr>
            </w:pPr>
            <w:r>
              <w:rPr>
                <w:spacing w:val="-4"/>
                <w:sz w:val="24"/>
                <w:szCs w:val="24"/>
              </w:rPr>
              <w:t>分坑时，必须找出线路转角处内角平分线方向，根据塔型计算出位移距离，</w:t>
            </w:r>
            <w:r>
              <w:rPr>
                <w:spacing w:val="12"/>
                <w:sz w:val="24"/>
                <w:szCs w:val="24"/>
              </w:rPr>
              <w:t xml:space="preserve"> </w:t>
            </w:r>
            <w:r>
              <w:rPr>
                <w:spacing w:val="-4"/>
                <w:sz w:val="24"/>
                <w:szCs w:val="24"/>
              </w:rPr>
              <w:t>定出位移桩；然后以位移桩作为杆塔中心桩安置仪器，以内角平分线为基准线，</w:t>
            </w:r>
            <w:r>
              <w:rPr>
                <w:spacing w:val="2"/>
                <w:sz w:val="24"/>
                <w:szCs w:val="24"/>
              </w:rPr>
              <w:t xml:space="preserve"> </w:t>
            </w:r>
            <w:r>
              <w:rPr>
                <w:spacing w:val="-4"/>
                <w:sz w:val="24"/>
                <w:szCs w:val="24"/>
              </w:rPr>
              <w:t>转角杆在基准线上进行分坑。</w:t>
            </w:r>
          </w:p>
          <w:p w14:paraId="4C9C201C">
            <w:pPr>
              <w:pStyle w:val="6"/>
              <w:spacing w:before="12" w:line="221" w:lineRule="auto"/>
              <w:ind w:left="711"/>
              <w:rPr>
                <w:sz w:val="24"/>
                <w:szCs w:val="24"/>
              </w:rPr>
            </w:pPr>
            <w:r>
              <w:rPr>
                <w:spacing w:val="2"/>
                <w:sz w:val="24"/>
                <w:szCs w:val="24"/>
              </w:rPr>
              <w:t>(2)平台开挖</w:t>
            </w:r>
          </w:p>
          <w:p w14:paraId="230273D6">
            <w:pPr>
              <w:pStyle w:val="6"/>
              <w:spacing w:before="161" w:line="364" w:lineRule="auto"/>
              <w:ind w:left="101" w:right="4" w:firstLine="489"/>
              <w:rPr>
                <w:sz w:val="24"/>
                <w:szCs w:val="24"/>
              </w:rPr>
            </w:pPr>
            <w:r>
              <w:rPr>
                <w:sz w:val="24"/>
                <w:szCs w:val="24"/>
              </w:rPr>
              <w:t>铁塔基础开挖前需降基面的必须全部降至符合设计要求。基坑的四周必须</w:t>
            </w:r>
            <w:r>
              <w:rPr>
                <w:spacing w:val="11"/>
                <w:sz w:val="24"/>
                <w:szCs w:val="24"/>
              </w:rPr>
              <w:t xml:space="preserve"> </w:t>
            </w:r>
            <w:r>
              <w:rPr>
                <w:sz w:val="24"/>
                <w:szCs w:val="24"/>
              </w:rPr>
              <w:t>操平。同时各坑之间应尽量操平，如遇泥水等特殊困难时</w:t>
            </w:r>
            <w:r>
              <w:rPr>
                <w:spacing w:val="-1"/>
                <w:sz w:val="24"/>
                <w:szCs w:val="24"/>
              </w:rPr>
              <w:t>，其操平度可在+100~</w:t>
            </w:r>
            <w:r>
              <w:rPr>
                <w:sz w:val="24"/>
                <w:szCs w:val="24"/>
              </w:rPr>
              <w:t xml:space="preserve"> -50mm之间，并作好记录。基坑开挖至接近设计深度时，</w:t>
            </w:r>
            <w:r>
              <w:rPr>
                <w:spacing w:val="-1"/>
                <w:sz w:val="24"/>
                <w:szCs w:val="24"/>
              </w:rPr>
              <w:t>在基坑底部钉立基坑</w:t>
            </w:r>
          </w:p>
          <w:p w14:paraId="1FF3C593">
            <w:pPr>
              <w:pStyle w:val="6"/>
              <w:spacing w:before="1" w:line="218" w:lineRule="auto"/>
              <w:ind w:left="111"/>
              <w:rPr>
                <w:sz w:val="24"/>
                <w:szCs w:val="24"/>
              </w:rPr>
            </w:pPr>
            <w:r>
              <w:rPr>
                <w:sz w:val="24"/>
                <w:szCs w:val="24"/>
              </w:rPr>
              <w:t>中心桩，边挖边检查尺寸，其与设计值的允许偏差为+100mm～-50mm。</w:t>
            </w:r>
          </w:p>
          <w:p w14:paraId="67D4B370">
            <w:pPr>
              <w:pStyle w:val="6"/>
              <w:spacing w:before="177" w:line="362" w:lineRule="auto"/>
              <w:ind w:left="111" w:right="122" w:firstLine="469"/>
              <w:rPr>
                <w:sz w:val="24"/>
                <w:szCs w:val="24"/>
              </w:rPr>
            </w:pPr>
            <w:r>
              <w:rPr>
                <w:sz w:val="24"/>
                <w:szCs w:val="24"/>
              </w:rPr>
              <w:t>铁塔基础平台开挖前，首先由测量初步放出开挖边</w:t>
            </w:r>
            <w:r>
              <w:rPr>
                <w:spacing w:val="-1"/>
                <w:sz w:val="24"/>
                <w:szCs w:val="24"/>
              </w:rPr>
              <w:t>线，再预留一定距离保</w:t>
            </w:r>
            <w:r>
              <w:rPr>
                <w:sz w:val="24"/>
                <w:szCs w:val="24"/>
              </w:rPr>
              <w:t xml:space="preserve"> 护开挖面。铁塔基础平台采用人工配合小型挖机进</w:t>
            </w:r>
            <w:r>
              <w:rPr>
                <w:spacing w:val="-1"/>
                <w:sz w:val="24"/>
                <w:szCs w:val="24"/>
              </w:rPr>
              <w:t>行。</w:t>
            </w:r>
          </w:p>
          <w:p w14:paraId="4AE967EC">
            <w:pPr>
              <w:pStyle w:val="6"/>
              <w:spacing w:before="1" w:line="220" w:lineRule="auto"/>
              <w:ind w:left="691"/>
              <w:rPr>
                <w:sz w:val="24"/>
                <w:szCs w:val="24"/>
              </w:rPr>
            </w:pPr>
            <w:r>
              <w:rPr>
                <w:spacing w:val="1"/>
                <w:sz w:val="24"/>
                <w:szCs w:val="24"/>
              </w:rPr>
              <w:t>(3)铁塔基础开挖</w:t>
            </w:r>
          </w:p>
          <w:p w14:paraId="1F9334B2">
            <w:pPr>
              <w:pStyle w:val="6"/>
              <w:spacing w:before="173" w:line="221" w:lineRule="auto"/>
              <w:ind w:left="580"/>
              <w:rPr>
                <w:sz w:val="24"/>
                <w:szCs w:val="24"/>
              </w:rPr>
            </w:pPr>
            <w:r>
              <w:rPr>
                <w:spacing w:val="1"/>
                <w:sz w:val="24"/>
                <w:szCs w:val="24"/>
              </w:rPr>
              <w:t>1)基面处理</w:t>
            </w:r>
          </w:p>
          <w:p w14:paraId="5F35B383">
            <w:pPr>
              <w:pStyle w:val="6"/>
              <w:spacing w:before="181" w:line="219" w:lineRule="auto"/>
              <w:ind w:left="590"/>
              <w:rPr>
                <w:sz w:val="24"/>
                <w:szCs w:val="24"/>
              </w:rPr>
            </w:pPr>
            <w:r>
              <w:rPr>
                <w:sz w:val="24"/>
                <w:szCs w:val="24"/>
              </w:rPr>
              <w:t>全线基础，不开基面的，分坑后直接开挖；需开基面的，按前述平台开挖</w:t>
            </w:r>
          </w:p>
        </w:tc>
      </w:tr>
    </w:tbl>
    <w:p w14:paraId="47D968FB">
      <w:pPr>
        <w:pStyle w:val="2"/>
      </w:pPr>
    </w:p>
    <w:p w14:paraId="6E240F2C">
      <w:pPr>
        <w:sectPr>
          <w:footerReference r:id="rId80" w:type="default"/>
          <w:pgSz w:w="11910" w:h="16830"/>
          <w:pgMar w:top="400" w:right="1415" w:bottom="1259" w:left="1385" w:header="0" w:footer="1079" w:gutter="0"/>
          <w:cols w:space="720" w:num="1"/>
        </w:sectPr>
      </w:pPr>
    </w:p>
    <w:p w14:paraId="6E7093FE">
      <w:pPr>
        <w:spacing w:before="15"/>
      </w:pPr>
    </w:p>
    <w:p w14:paraId="707B5447">
      <w:pPr>
        <w:spacing w:before="15"/>
      </w:pPr>
    </w:p>
    <w:p w14:paraId="5B1EC94B">
      <w:pPr>
        <w:spacing w:before="15"/>
      </w:pPr>
    </w:p>
    <w:p w14:paraId="4A838CB6">
      <w:pPr>
        <w:spacing w:before="14"/>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8385"/>
      </w:tblGrid>
      <w:tr w14:paraId="7432C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714" w:type="dxa"/>
            <w:vAlign w:val="top"/>
          </w:tcPr>
          <w:p w14:paraId="64ADB372">
            <w:pPr>
              <w:rPr>
                <w:rFonts w:ascii="Arial"/>
                <w:sz w:val="21"/>
              </w:rPr>
            </w:pPr>
          </w:p>
        </w:tc>
        <w:tc>
          <w:tcPr>
            <w:tcW w:w="8385" w:type="dxa"/>
            <w:vAlign w:val="top"/>
          </w:tcPr>
          <w:p w14:paraId="7BD72EDA">
            <w:pPr>
              <w:pStyle w:val="6"/>
              <w:spacing w:before="25" w:line="219" w:lineRule="auto"/>
              <w:ind w:left="101"/>
              <w:rPr>
                <w:sz w:val="24"/>
                <w:szCs w:val="24"/>
              </w:rPr>
            </w:pPr>
            <w:r>
              <w:rPr>
                <w:sz w:val="24"/>
                <w:szCs w:val="24"/>
              </w:rPr>
              <w:t>要求完成基面开挖后再分坑开挖基础。</w:t>
            </w:r>
          </w:p>
          <w:p w14:paraId="7A428300">
            <w:pPr>
              <w:pStyle w:val="6"/>
              <w:spacing w:before="176" w:line="221" w:lineRule="auto"/>
              <w:ind w:left="560"/>
              <w:rPr>
                <w:sz w:val="24"/>
                <w:szCs w:val="24"/>
              </w:rPr>
            </w:pPr>
            <w:r>
              <w:rPr>
                <w:spacing w:val="2"/>
                <w:sz w:val="24"/>
                <w:szCs w:val="24"/>
              </w:rPr>
              <w:t>2)土方开挖</w:t>
            </w:r>
          </w:p>
          <w:p w14:paraId="7303F03D">
            <w:pPr>
              <w:pStyle w:val="6"/>
              <w:spacing w:before="179" w:line="219" w:lineRule="auto"/>
              <w:ind w:left="580"/>
              <w:rPr>
                <w:sz w:val="24"/>
                <w:szCs w:val="24"/>
              </w:rPr>
            </w:pPr>
            <w:r>
              <w:rPr>
                <w:sz w:val="24"/>
                <w:szCs w:val="24"/>
              </w:rPr>
              <w:t>掏挖式基础采用人工开挖，多余弃土采用0.8m3挖机配合20t自卸车及时</w:t>
            </w:r>
          </w:p>
          <w:p w14:paraId="1552AC42">
            <w:pPr>
              <w:pStyle w:val="6"/>
              <w:spacing w:before="187" w:line="360" w:lineRule="auto"/>
              <w:ind w:left="111" w:firstLine="9"/>
              <w:rPr>
                <w:sz w:val="24"/>
                <w:szCs w:val="24"/>
              </w:rPr>
            </w:pPr>
            <w:r>
              <w:rPr>
                <w:spacing w:val="-1"/>
                <w:sz w:val="24"/>
                <w:szCs w:val="24"/>
              </w:rPr>
              <w:t>清运。基础开挖过程中地基出水时，首先考虑用集水井明排，在基坑边挖集水</w:t>
            </w:r>
            <w:r>
              <w:rPr>
                <w:spacing w:val="9"/>
                <w:sz w:val="24"/>
                <w:szCs w:val="24"/>
              </w:rPr>
              <w:t xml:space="preserve">  </w:t>
            </w:r>
            <w:r>
              <w:rPr>
                <w:sz w:val="24"/>
                <w:szCs w:val="24"/>
              </w:rPr>
              <w:t>井至开挖面以下0.5m,再用污水泵将地</w:t>
            </w:r>
            <w:r>
              <w:rPr>
                <w:spacing w:val="-1"/>
                <w:sz w:val="24"/>
                <w:szCs w:val="24"/>
              </w:rPr>
              <w:t>下水排到基坑外。基础土体为碎石土质，</w:t>
            </w:r>
            <w:r>
              <w:rPr>
                <w:sz w:val="24"/>
                <w:szCs w:val="24"/>
              </w:rPr>
              <w:t xml:space="preserve"> 渗水性较强、水汇集较快时，应边挖边排水，基坑开挖时基坑底部时，放一定  </w:t>
            </w:r>
            <w:r>
              <w:rPr>
                <w:spacing w:val="-1"/>
                <w:sz w:val="24"/>
                <w:szCs w:val="24"/>
              </w:rPr>
              <w:t>的坡度便于渗水汇集到集水井，基坑也根据土质情况适当放坡，防止塌方。</w:t>
            </w:r>
          </w:p>
          <w:p w14:paraId="512201E4">
            <w:pPr>
              <w:pStyle w:val="6"/>
              <w:spacing w:before="29" w:line="221" w:lineRule="auto"/>
              <w:ind w:left="711"/>
              <w:rPr>
                <w:sz w:val="24"/>
                <w:szCs w:val="24"/>
              </w:rPr>
            </w:pPr>
            <w:r>
              <w:rPr>
                <w:spacing w:val="1"/>
                <w:sz w:val="24"/>
                <w:szCs w:val="24"/>
              </w:rPr>
              <w:t>(4)铁塔基础施工</w:t>
            </w:r>
          </w:p>
          <w:p w14:paraId="41DA5BEF">
            <w:pPr>
              <w:pStyle w:val="6"/>
              <w:spacing w:before="171" w:line="219" w:lineRule="auto"/>
              <w:ind w:left="610"/>
              <w:rPr>
                <w:sz w:val="24"/>
                <w:szCs w:val="24"/>
              </w:rPr>
            </w:pPr>
            <w:r>
              <w:rPr>
                <w:spacing w:val="1"/>
                <w:sz w:val="24"/>
                <w:szCs w:val="24"/>
              </w:rPr>
              <w:t>1)垫层浇筑</w:t>
            </w:r>
          </w:p>
          <w:p w14:paraId="17746C8C">
            <w:pPr>
              <w:pStyle w:val="6"/>
              <w:spacing w:before="166" w:line="362" w:lineRule="auto"/>
              <w:ind w:left="121" w:right="102" w:firstLine="459"/>
              <w:rPr>
                <w:sz w:val="24"/>
                <w:szCs w:val="24"/>
              </w:rPr>
            </w:pPr>
            <w:r>
              <w:rPr>
                <w:sz w:val="24"/>
                <w:szCs w:val="24"/>
              </w:rPr>
              <w:t>基坑经验收合格后，及时采用木模支立基础垫层混凝土模板，并进行可靠</w:t>
            </w:r>
            <w:r>
              <w:rPr>
                <w:spacing w:val="10"/>
                <w:sz w:val="24"/>
                <w:szCs w:val="24"/>
              </w:rPr>
              <w:t xml:space="preserve"> </w:t>
            </w:r>
            <w:r>
              <w:rPr>
                <w:sz w:val="24"/>
                <w:szCs w:val="24"/>
              </w:rPr>
              <w:t>固定，基础垫层混凝土采用C15混凝土，对于搅拌车能够到达的基础，混凝土</w:t>
            </w:r>
            <w:r>
              <w:rPr>
                <w:spacing w:val="5"/>
                <w:sz w:val="24"/>
                <w:szCs w:val="24"/>
              </w:rPr>
              <w:t xml:space="preserve">  </w:t>
            </w:r>
            <w:r>
              <w:rPr>
                <w:sz w:val="24"/>
                <w:szCs w:val="24"/>
              </w:rPr>
              <w:t>采用拌合站集中拌制，混凝土罐车运至现场自流入仓，</w:t>
            </w:r>
            <w:r>
              <w:rPr>
                <w:spacing w:val="-1"/>
                <w:sz w:val="24"/>
                <w:szCs w:val="24"/>
              </w:rPr>
              <w:t>人工整平。搅拌车无法</w:t>
            </w:r>
            <w:r>
              <w:rPr>
                <w:sz w:val="24"/>
                <w:szCs w:val="24"/>
              </w:rPr>
              <w:t xml:space="preserve"> 到达的基础，采用人工配合牲畜搬运混凝土材料现场拌拌浇筑。</w:t>
            </w:r>
          </w:p>
          <w:p w14:paraId="10D57815">
            <w:pPr>
              <w:pStyle w:val="6"/>
              <w:spacing w:before="6" w:line="219" w:lineRule="auto"/>
              <w:ind w:left="580"/>
              <w:rPr>
                <w:sz w:val="24"/>
                <w:szCs w:val="24"/>
              </w:rPr>
            </w:pPr>
            <w:r>
              <w:rPr>
                <w:spacing w:val="2"/>
                <w:sz w:val="24"/>
                <w:szCs w:val="24"/>
              </w:rPr>
              <w:t>2)钢筋绑扎</w:t>
            </w:r>
          </w:p>
          <w:p w14:paraId="7CBC54CC">
            <w:pPr>
              <w:pStyle w:val="6"/>
              <w:spacing w:before="154" w:line="362" w:lineRule="auto"/>
              <w:ind w:left="121" w:right="98" w:firstLine="459"/>
              <w:rPr>
                <w:sz w:val="24"/>
                <w:szCs w:val="24"/>
              </w:rPr>
            </w:pPr>
            <w:r>
              <w:rPr>
                <w:sz w:val="24"/>
                <w:szCs w:val="24"/>
              </w:rPr>
              <w:t>垫层浇筑24小时以后，可拆除模板，测量进行基础放样定位，立即组织钢</w:t>
            </w:r>
            <w:r>
              <w:rPr>
                <w:spacing w:val="14"/>
                <w:sz w:val="24"/>
                <w:szCs w:val="24"/>
              </w:rPr>
              <w:t xml:space="preserve"> </w:t>
            </w:r>
            <w:r>
              <w:rPr>
                <w:spacing w:val="-1"/>
                <w:sz w:val="24"/>
                <w:szCs w:val="24"/>
              </w:rPr>
              <w:t>筋工进行铁塔基础钢筋绑扎施工。</w:t>
            </w:r>
          </w:p>
          <w:p w14:paraId="3E3F2855">
            <w:pPr>
              <w:pStyle w:val="6"/>
              <w:spacing w:line="219" w:lineRule="auto"/>
              <w:ind w:left="590"/>
              <w:rPr>
                <w:sz w:val="24"/>
                <w:szCs w:val="24"/>
              </w:rPr>
            </w:pPr>
            <w:r>
              <w:rPr>
                <w:sz w:val="24"/>
                <w:szCs w:val="24"/>
              </w:rPr>
              <w:t>扎筋与装模前，应清除坑内垫层表面浮土，测量放出点</w:t>
            </w:r>
            <w:r>
              <w:rPr>
                <w:spacing w:val="-1"/>
                <w:sz w:val="24"/>
                <w:szCs w:val="24"/>
              </w:rPr>
              <w:t>位。</w:t>
            </w:r>
          </w:p>
          <w:p w14:paraId="4797311C">
            <w:pPr>
              <w:pStyle w:val="6"/>
              <w:spacing w:before="176" w:line="357" w:lineRule="auto"/>
              <w:ind w:left="101" w:right="79" w:firstLine="499"/>
              <w:rPr>
                <w:sz w:val="24"/>
                <w:szCs w:val="24"/>
              </w:rPr>
            </w:pPr>
            <w:r>
              <w:rPr>
                <w:sz w:val="24"/>
                <w:szCs w:val="24"/>
              </w:rPr>
              <w:t>基础钢筋在钢筋厂集中加工制作，完成后按需运至各个施工点进行现场绑</w:t>
            </w:r>
            <w:r>
              <w:rPr>
                <w:spacing w:val="13"/>
                <w:sz w:val="24"/>
                <w:szCs w:val="24"/>
              </w:rPr>
              <w:t xml:space="preserve"> </w:t>
            </w:r>
            <w:r>
              <w:rPr>
                <w:sz w:val="24"/>
                <w:szCs w:val="24"/>
              </w:rPr>
              <w:t>扎和安装。</w:t>
            </w:r>
          </w:p>
          <w:p w14:paraId="57FBBAD6">
            <w:pPr>
              <w:pStyle w:val="6"/>
              <w:spacing w:before="3" w:line="362" w:lineRule="auto"/>
              <w:ind w:left="121" w:right="74" w:firstLine="459"/>
              <w:rPr>
                <w:sz w:val="24"/>
                <w:szCs w:val="24"/>
              </w:rPr>
            </w:pPr>
            <w:r>
              <w:rPr>
                <w:sz w:val="24"/>
                <w:szCs w:val="24"/>
              </w:rPr>
              <w:t>根据基础配筋情况安排绑扎钢筋与支模的操作顺序。一般顺序是：将底板</w:t>
            </w:r>
            <w:r>
              <w:rPr>
                <w:spacing w:val="10"/>
                <w:sz w:val="24"/>
                <w:szCs w:val="24"/>
              </w:rPr>
              <w:t xml:space="preserve"> </w:t>
            </w:r>
            <w:r>
              <w:rPr>
                <w:sz w:val="24"/>
                <w:szCs w:val="24"/>
              </w:rPr>
              <w:t>钢筋扎好，同时留出主柱主筋的插入位置→将主柱钢筋均匀插入并进行绑扎→</w:t>
            </w:r>
            <w:r>
              <w:rPr>
                <w:spacing w:val="18"/>
                <w:sz w:val="24"/>
                <w:szCs w:val="24"/>
              </w:rPr>
              <w:t xml:space="preserve"> </w:t>
            </w:r>
            <w:r>
              <w:rPr>
                <w:spacing w:val="1"/>
                <w:sz w:val="24"/>
                <w:szCs w:val="24"/>
              </w:rPr>
              <w:t>安装铁支架，支撑立柱模板(铁支架由加工厂统一加工)→安装</w:t>
            </w:r>
            <w:r>
              <w:rPr>
                <w:sz w:val="24"/>
                <w:szCs w:val="24"/>
              </w:rPr>
              <w:t>主柱模板→调</w:t>
            </w:r>
          </w:p>
          <w:p w14:paraId="0EAE3E60">
            <w:pPr>
              <w:pStyle w:val="6"/>
              <w:spacing w:before="25" w:line="219" w:lineRule="auto"/>
              <w:ind w:left="131"/>
              <w:rPr>
                <w:sz w:val="24"/>
                <w:szCs w:val="24"/>
              </w:rPr>
            </w:pPr>
            <w:r>
              <w:rPr>
                <w:sz w:val="24"/>
                <w:szCs w:val="24"/>
              </w:rPr>
              <w:t>整主柱模板→安装地脚螺栓。</w:t>
            </w:r>
          </w:p>
          <w:p w14:paraId="29C2E3F6">
            <w:pPr>
              <w:pStyle w:val="6"/>
              <w:spacing w:before="167" w:line="356" w:lineRule="auto"/>
              <w:ind w:left="111" w:right="463" w:firstLine="479"/>
              <w:rPr>
                <w:sz w:val="24"/>
                <w:szCs w:val="24"/>
              </w:rPr>
            </w:pPr>
            <w:r>
              <w:rPr>
                <w:sz w:val="24"/>
                <w:szCs w:val="24"/>
              </w:rPr>
              <w:t>本项目集电线路采用架空线路的方式穿越G78汕昆高速和G324福昆线， 穿越国道和高速公路的架空线路施工方案需办理相关手续方可施</w:t>
            </w:r>
            <w:r>
              <w:rPr>
                <w:spacing w:val="-1"/>
                <w:sz w:val="24"/>
                <w:szCs w:val="24"/>
              </w:rPr>
              <w:t>工。</w:t>
            </w:r>
          </w:p>
          <w:p w14:paraId="53B75272">
            <w:pPr>
              <w:pStyle w:val="6"/>
              <w:spacing w:before="5" w:line="220" w:lineRule="auto"/>
              <w:ind w:left="600"/>
              <w:rPr>
                <w:sz w:val="24"/>
                <w:szCs w:val="24"/>
              </w:rPr>
            </w:pPr>
            <w:r>
              <w:rPr>
                <w:spacing w:val="1"/>
                <w:sz w:val="24"/>
                <w:szCs w:val="24"/>
              </w:rPr>
              <w:t>五、箱变、逆变器安装</w:t>
            </w:r>
          </w:p>
          <w:p w14:paraId="3E2C898D">
            <w:pPr>
              <w:pStyle w:val="6"/>
              <w:spacing w:before="182" w:line="359" w:lineRule="auto"/>
              <w:ind w:left="111" w:right="82" w:firstLine="489"/>
              <w:rPr>
                <w:sz w:val="24"/>
                <w:szCs w:val="24"/>
              </w:rPr>
            </w:pPr>
            <w:r>
              <w:rPr>
                <w:sz w:val="24"/>
                <w:szCs w:val="24"/>
              </w:rPr>
              <w:t>箱变器采用吊车进行就位安装，安装前检查基础槽钢的水平度，满足要求</w:t>
            </w:r>
            <w:r>
              <w:rPr>
                <w:spacing w:val="10"/>
                <w:sz w:val="24"/>
                <w:szCs w:val="24"/>
              </w:rPr>
              <w:t xml:space="preserve"> </w:t>
            </w:r>
            <w:r>
              <w:rPr>
                <w:sz w:val="24"/>
                <w:szCs w:val="24"/>
              </w:rPr>
              <w:t>后就位并焊接在预埋槽钢上。</w:t>
            </w:r>
          </w:p>
          <w:p w14:paraId="6FEE9963">
            <w:pPr>
              <w:pStyle w:val="6"/>
              <w:spacing w:before="1" w:line="213" w:lineRule="auto"/>
              <w:ind w:left="580"/>
              <w:rPr>
                <w:sz w:val="24"/>
                <w:szCs w:val="24"/>
              </w:rPr>
            </w:pPr>
            <w:r>
              <w:rPr>
                <w:sz w:val="24"/>
                <w:szCs w:val="24"/>
              </w:rPr>
              <w:t>逆变器单台重量约99kg、采用人工安装，先将挂板用紧固螺栓固定至支架</w:t>
            </w:r>
          </w:p>
        </w:tc>
      </w:tr>
    </w:tbl>
    <w:p w14:paraId="48B7B06C">
      <w:pPr>
        <w:pStyle w:val="2"/>
      </w:pPr>
    </w:p>
    <w:p w14:paraId="7885D922">
      <w:pPr>
        <w:sectPr>
          <w:footerReference r:id="rId81" w:type="default"/>
          <w:pgSz w:w="11910" w:h="16830"/>
          <w:pgMar w:top="400" w:right="1415" w:bottom="1259" w:left="1385" w:header="0" w:footer="1079" w:gutter="0"/>
          <w:cols w:space="720" w:num="1"/>
        </w:sectPr>
      </w:pPr>
    </w:p>
    <w:p w14:paraId="57A36B40">
      <w:pPr>
        <w:spacing w:before="15"/>
      </w:pPr>
    </w:p>
    <w:p w14:paraId="3A12DCDE">
      <w:pPr>
        <w:spacing w:before="15"/>
      </w:pPr>
    </w:p>
    <w:p w14:paraId="630C761B">
      <w:pPr>
        <w:spacing w:before="15"/>
      </w:pPr>
    </w:p>
    <w:p w14:paraId="62827DE6">
      <w:pPr>
        <w:spacing w:before="14"/>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8385"/>
      </w:tblGrid>
      <w:tr w14:paraId="6ED50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714" w:type="dxa"/>
            <w:vAlign w:val="top"/>
          </w:tcPr>
          <w:p w14:paraId="5A176C82">
            <w:pPr>
              <w:rPr>
                <w:rFonts w:ascii="Arial"/>
                <w:sz w:val="21"/>
              </w:rPr>
            </w:pPr>
          </w:p>
        </w:tc>
        <w:tc>
          <w:tcPr>
            <w:tcW w:w="8385" w:type="dxa"/>
            <w:vAlign w:val="top"/>
          </w:tcPr>
          <w:p w14:paraId="1B160371">
            <w:pPr>
              <w:pStyle w:val="6"/>
              <w:spacing w:before="22" w:line="358" w:lineRule="auto"/>
              <w:ind w:left="101" w:firstLine="19"/>
              <w:rPr>
                <w:sz w:val="24"/>
                <w:szCs w:val="24"/>
              </w:rPr>
            </w:pPr>
            <w:r>
              <w:rPr>
                <w:spacing w:val="3"/>
                <w:sz w:val="24"/>
                <w:szCs w:val="24"/>
              </w:rPr>
              <w:t>上，接着将逆变器挂至挂板上并与螺钉紧固，并进行地线</w:t>
            </w:r>
            <w:r>
              <w:rPr>
                <w:spacing w:val="2"/>
                <w:sz w:val="24"/>
                <w:szCs w:val="24"/>
              </w:rPr>
              <w:t>连接和交直流电缆、</w:t>
            </w:r>
            <w:r>
              <w:rPr>
                <w:sz w:val="24"/>
                <w:szCs w:val="24"/>
              </w:rPr>
              <w:t xml:space="preserve"> </w:t>
            </w:r>
            <w:r>
              <w:rPr>
                <w:spacing w:val="-1"/>
                <w:sz w:val="24"/>
                <w:szCs w:val="24"/>
              </w:rPr>
              <w:t>通讯接线。</w:t>
            </w:r>
          </w:p>
          <w:p w14:paraId="7517FD96">
            <w:pPr>
              <w:pStyle w:val="6"/>
              <w:spacing w:before="2" w:line="221" w:lineRule="auto"/>
              <w:ind w:left="580"/>
              <w:rPr>
                <w:sz w:val="24"/>
                <w:szCs w:val="24"/>
              </w:rPr>
            </w:pPr>
            <w:r>
              <w:rPr>
                <w:spacing w:val="1"/>
                <w:sz w:val="24"/>
                <w:szCs w:val="24"/>
              </w:rPr>
              <w:t>六、升压站施工</w:t>
            </w:r>
          </w:p>
          <w:p w14:paraId="4E6B8313">
            <w:pPr>
              <w:pStyle w:val="6"/>
              <w:spacing w:before="181" w:line="219" w:lineRule="auto"/>
              <w:ind w:left="600"/>
              <w:rPr>
                <w:sz w:val="24"/>
                <w:szCs w:val="24"/>
              </w:rPr>
            </w:pPr>
            <w:r>
              <w:rPr>
                <w:spacing w:val="1"/>
                <w:sz w:val="24"/>
                <w:szCs w:val="24"/>
              </w:rPr>
              <w:t>1)升压站内建筑物</w:t>
            </w:r>
          </w:p>
          <w:p w14:paraId="2D3F0C49">
            <w:pPr>
              <w:pStyle w:val="6"/>
              <w:spacing w:before="173" w:line="362" w:lineRule="auto"/>
              <w:ind w:left="121" w:right="115" w:firstLine="469"/>
              <w:rPr>
                <w:sz w:val="24"/>
                <w:szCs w:val="24"/>
              </w:rPr>
            </w:pPr>
            <w:r>
              <w:rPr>
                <w:sz w:val="24"/>
                <w:szCs w:val="24"/>
              </w:rPr>
              <w:t>升压站内建构筑物除预制舱外其余基本均为</w:t>
            </w:r>
            <w:r>
              <w:rPr>
                <w:spacing w:val="-1"/>
                <w:sz w:val="24"/>
                <w:szCs w:val="24"/>
              </w:rPr>
              <w:t>框架结构，框架结构施工流程</w:t>
            </w:r>
            <w:r>
              <w:rPr>
                <w:sz w:val="24"/>
                <w:szCs w:val="24"/>
              </w:rPr>
              <w:t xml:space="preserve"> </w:t>
            </w:r>
            <w:r>
              <w:rPr>
                <w:spacing w:val="3"/>
                <w:sz w:val="24"/>
                <w:szCs w:val="24"/>
              </w:rPr>
              <w:t>为：施工准备(定位放线)→基础开挖→基础混凝土浇筑→框架柱、梁、板、</w:t>
            </w:r>
          </w:p>
          <w:p w14:paraId="3E23AC27">
            <w:pPr>
              <w:pStyle w:val="6"/>
              <w:spacing w:before="1" w:line="361" w:lineRule="auto"/>
              <w:ind w:left="121" w:right="82"/>
              <w:rPr>
                <w:sz w:val="24"/>
                <w:szCs w:val="24"/>
              </w:rPr>
            </w:pPr>
            <w:r>
              <w:rPr>
                <w:spacing w:val="-1"/>
                <w:sz w:val="24"/>
                <w:szCs w:val="24"/>
              </w:rPr>
              <w:t>屋盖混凝土浇筑→砖墙垒砌→</w:t>
            </w:r>
            <w:r>
              <w:rPr>
                <w:spacing w:val="-76"/>
                <w:sz w:val="24"/>
                <w:szCs w:val="24"/>
              </w:rPr>
              <w:t xml:space="preserve"> </w:t>
            </w:r>
            <w:r>
              <w:rPr>
                <w:spacing w:val="-1"/>
                <w:sz w:val="24"/>
                <w:szCs w:val="24"/>
              </w:rPr>
              <w:t>电气管线敷设及电气设备入室安装→给排水系统</w:t>
            </w:r>
            <w:r>
              <w:rPr>
                <w:sz w:val="24"/>
                <w:szCs w:val="24"/>
              </w:rPr>
              <w:t xml:space="preserve"> 室内外装修。</w:t>
            </w:r>
          </w:p>
          <w:p w14:paraId="2ABB1ACD">
            <w:pPr>
              <w:pStyle w:val="6"/>
              <w:spacing w:before="1" w:line="218" w:lineRule="auto"/>
              <w:jc w:val="right"/>
              <w:rPr>
                <w:sz w:val="24"/>
                <w:szCs w:val="24"/>
              </w:rPr>
            </w:pPr>
            <w:r>
              <w:rPr>
                <w:spacing w:val="-4"/>
                <w:sz w:val="24"/>
                <w:szCs w:val="24"/>
              </w:rPr>
              <w:t>结构施工设钢脚手架，柱、梁、楼板、屋盖施工采用满堂脚手架立模浇筑，</w:t>
            </w:r>
          </w:p>
          <w:p w14:paraId="1A2B5C42">
            <w:pPr>
              <w:pStyle w:val="6"/>
              <w:spacing w:before="187" w:line="359" w:lineRule="auto"/>
              <w:ind w:left="121" w:firstLine="463"/>
              <w:rPr>
                <w:sz w:val="24"/>
                <w:szCs w:val="24"/>
              </w:rPr>
            </w:pPr>
            <w:r>
              <w:rPr>
                <w:spacing w:val="-4"/>
                <w:sz w:val="24"/>
                <w:szCs w:val="24"/>
              </w:rPr>
              <w:t>混凝土振捣采用插入式振捣器振捣。混凝土施工过程中，应对模板、支架、</w:t>
            </w:r>
            <w:r>
              <w:rPr>
                <w:spacing w:val="1"/>
                <w:sz w:val="24"/>
                <w:szCs w:val="24"/>
              </w:rPr>
              <w:t xml:space="preserve"> </w:t>
            </w:r>
            <w:r>
              <w:rPr>
                <w:spacing w:val="-3"/>
                <w:sz w:val="24"/>
                <w:szCs w:val="24"/>
              </w:rPr>
              <w:t>预埋件及预留孔洞进行观察，如发现变形、移位时应及时进行处理，以保证质</w:t>
            </w:r>
            <w:r>
              <w:rPr>
                <w:spacing w:val="7"/>
                <w:sz w:val="24"/>
                <w:szCs w:val="24"/>
              </w:rPr>
              <w:t xml:space="preserve">  </w:t>
            </w:r>
            <w:r>
              <w:rPr>
                <w:spacing w:val="1"/>
                <w:sz w:val="24"/>
                <w:szCs w:val="24"/>
              </w:rPr>
              <w:t>量。浇筑完毕后12h内应对其进行养护，在其强</w:t>
            </w:r>
            <w:r>
              <w:rPr>
                <w:sz w:val="24"/>
                <w:szCs w:val="24"/>
              </w:rPr>
              <w:t>度未达到1.2N/mm²以前，不</w:t>
            </w:r>
          </w:p>
          <w:p w14:paraId="165063E2">
            <w:pPr>
              <w:pStyle w:val="6"/>
              <w:spacing w:before="18" w:line="219" w:lineRule="auto"/>
              <w:ind w:left="131"/>
              <w:rPr>
                <w:sz w:val="24"/>
                <w:szCs w:val="24"/>
              </w:rPr>
            </w:pPr>
            <w:r>
              <w:rPr>
                <w:spacing w:val="-1"/>
                <w:sz w:val="24"/>
                <w:szCs w:val="24"/>
              </w:rPr>
              <w:t>得在其上踩踏板或安装模架及支架。</w:t>
            </w:r>
          </w:p>
          <w:p w14:paraId="2483CEF9">
            <w:pPr>
              <w:pStyle w:val="6"/>
              <w:spacing w:before="188" w:line="221" w:lineRule="auto"/>
              <w:ind w:left="580"/>
              <w:rPr>
                <w:sz w:val="24"/>
                <w:szCs w:val="24"/>
              </w:rPr>
            </w:pPr>
            <w:r>
              <w:rPr>
                <w:spacing w:val="1"/>
                <w:sz w:val="24"/>
                <w:szCs w:val="24"/>
              </w:rPr>
              <w:t>2)电气设备</w:t>
            </w:r>
          </w:p>
          <w:p w14:paraId="19DBF5CE">
            <w:pPr>
              <w:pStyle w:val="6"/>
              <w:spacing w:before="165" w:line="359" w:lineRule="auto"/>
              <w:ind w:left="111" w:firstLine="485"/>
              <w:rPr>
                <w:sz w:val="24"/>
                <w:szCs w:val="24"/>
              </w:rPr>
            </w:pPr>
            <w:r>
              <w:rPr>
                <w:spacing w:val="-1"/>
                <w:sz w:val="24"/>
                <w:szCs w:val="24"/>
              </w:rPr>
              <w:t>本站电气设备为主变、无功补偿设备等，吊装前基础混凝土强度达到100%,</w:t>
            </w:r>
            <w:r>
              <w:rPr>
                <w:spacing w:val="12"/>
                <w:sz w:val="24"/>
                <w:szCs w:val="24"/>
              </w:rPr>
              <w:t xml:space="preserve"> </w:t>
            </w:r>
            <w:r>
              <w:rPr>
                <w:spacing w:val="-1"/>
                <w:sz w:val="24"/>
                <w:szCs w:val="24"/>
              </w:rPr>
              <w:t>设备运至现场后，采用130T/30T吊车将设备吊装就位，保证设备水平，设备水</w:t>
            </w:r>
            <w:r>
              <w:rPr>
                <w:sz w:val="24"/>
                <w:szCs w:val="24"/>
              </w:rPr>
              <w:t xml:space="preserve">  </w:t>
            </w:r>
            <w:r>
              <w:rPr>
                <w:spacing w:val="-2"/>
                <w:sz w:val="24"/>
                <w:szCs w:val="24"/>
              </w:rPr>
              <w:t>平后方可进行电气接线。变压器就位时，变压器基础轨</w:t>
            </w:r>
            <w:r>
              <w:rPr>
                <w:spacing w:val="-3"/>
                <w:sz w:val="24"/>
                <w:szCs w:val="24"/>
              </w:rPr>
              <w:t>道应水平；密封处理法</w:t>
            </w:r>
            <w:r>
              <w:rPr>
                <w:sz w:val="24"/>
                <w:szCs w:val="24"/>
              </w:rPr>
              <w:t xml:space="preserve">  </w:t>
            </w:r>
            <w:r>
              <w:rPr>
                <w:spacing w:val="-2"/>
                <w:sz w:val="24"/>
                <w:szCs w:val="24"/>
              </w:rPr>
              <w:t>兰连接处应用耐油密封垫密封，法兰连接面应平整、清洁；有载调压切换装置</w:t>
            </w:r>
            <w:r>
              <w:rPr>
                <w:sz w:val="24"/>
                <w:szCs w:val="24"/>
              </w:rPr>
              <w:t xml:space="preserve">  </w:t>
            </w:r>
            <w:r>
              <w:rPr>
                <w:spacing w:val="-1"/>
                <w:sz w:val="24"/>
                <w:szCs w:val="24"/>
              </w:rPr>
              <w:t>安装时传动机构应固定牢靠，连接准确，操作灵活，无卡阻现象，摩擦</w:t>
            </w:r>
            <w:r>
              <w:rPr>
                <w:spacing w:val="-2"/>
                <w:sz w:val="24"/>
                <w:szCs w:val="24"/>
              </w:rPr>
              <w:t>部分涂</w:t>
            </w:r>
            <w:r>
              <w:rPr>
                <w:sz w:val="24"/>
                <w:szCs w:val="24"/>
              </w:rPr>
              <w:t xml:space="preserve">  </w:t>
            </w:r>
            <w:r>
              <w:rPr>
                <w:spacing w:val="-1"/>
                <w:sz w:val="24"/>
                <w:szCs w:val="24"/>
              </w:rPr>
              <w:t>以润滑油；屏、箱、柜以及可开启的门，都应用裸铜线与接地的金</w:t>
            </w:r>
            <w:r>
              <w:rPr>
                <w:spacing w:val="-2"/>
                <w:sz w:val="24"/>
                <w:szCs w:val="24"/>
              </w:rPr>
              <w:t>属构架可靠</w:t>
            </w:r>
            <w:r>
              <w:rPr>
                <w:sz w:val="24"/>
                <w:szCs w:val="24"/>
              </w:rPr>
              <w:t xml:space="preserve">  </w:t>
            </w:r>
            <w:r>
              <w:rPr>
                <w:spacing w:val="-2"/>
                <w:sz w:val="24"/>
                <w:szCs w:val="24"/>
              </w:rPr>
              <w:t>接地。接地闸刀下端可通过扁钢或铜排与地网直接相连接。</w:t>
            </w:r>
          </w:p>
          <w:p w14:paraId="7B30064E">
            <w:pPr>
              <w:pStyle w:val="6"/>
              <w:spacing w:before="20" w:line="220" w:lineRule="auto"/>
              <w:ind w:left="590"/>
              <w:rPr>
                <w:sz w:val="24"/>
                <w:szCs w:val="24"/>
              </w:rPr>
            </w:pPr>
            <w:r>
              <w:rPr>
                <w:spacing w:val="1"/>
                <w:sz w:val="24"/>
                <w:szCs w:val="24"/>
              </w:rPr>
              <w:t>3)储能区施工</w:t>
            </w:r>
          </w:p>
          <w:p w14:paraId="0CA2DD84">
            <w:pPr>
              <w:pStyle w:val="6"/>
              <w:spacing w:before="174" w:line="219" w:lineRule="auto"/>
              <w:ind w:left="590"/>
              <w:rPr>
                <w:sz w:val="24"/>
                <w:szCs w:val="24"/>
              </w:rPr>
            </w:pPr>
            <w:r>
              <w:rPr>
                <w:sz w:val="24"/>
                <w:szCs w:val="24"/>
              </w:rPr>
              <w:t>储能区的施工包括蓄电池集装箱、PCS集装箱、二次预制仓的安</w:t>
            </w:r>
            <w:r>
              <w:rPr>
                <w:spacing w:val="-1"/>
                <w:sz w:val="24"/>
                <w:szCs w:val="24"/>
              </w:rPr>
              <w:t>装。</w:t>
            </w:r>
          </w:p>
          <w:p w14:paraId="3CFEAAD9">
            <w:pPr>
              <w:pStyle w:val="6"/>
              <w:spacing w:before="175" w:line="358" w:lineRule="auto"/>
              <w:ind w:left="111" w:right="102" w:firstLine="469"/>
              <w:rPr>
                <w:sz w:val="24"/>
                <w:szCs w:val="24"/>
              </w:rPr>
            </w:pPr>
            <w:r>
              <w:rPr>
                <w:sz w:val="24"/>
                <w:szCs w:val="24"/>
              </w:rPr>
              <w:t>集装箱及预制仓内设备由厂家安装到位，设备之间接线由厂家负责；集装</w:t>
            </w:r>
            <w:r>
              <w:rPr>
                <w:spacing w:val="10"/>
                <w:sz w:val="24"/>
                <w:szCs w:val="24"/>
              </w:rPr>
              <w:t xml:space="preserve"> </w:t>
            </w:r>
            <w:r>
              <w:rPr>
                <w:sz w:val="24"/>
                <w:szCs w:val="24"/>
              </w:rPr>
              <w:t>箱及预制仓吊装卸货、外部接线与电气试验由施工方负</w:t>
            </w:r>
            <w:r>
              <w:rPr>
                <w:spacing w:val="-1"/>
                <w:sz w:val="24"/>
                <w:szCs w:val="24"/>
              </w:rPr>
              <w:t>责。</w:t>
            </w:r>
          </w:p>
          <w:p w14:paraId="5B5FE5FF">
            <w:pPr>
              <w:pStyle w:val="6"/>
              <w:spacing w:line="220" w:lineRule="auto"/>
              <w:ind w:left="691"/>
              <w:rPr>
                <w:sz w:val="24"/>
                <w:szCs w:val="24"/>
              </w:rPr>
            </w:pPr>
            <w:r>
              <w:rPr>
                <w:spacing w:val="1"/>
                <w:sz w:val="24"/>
                <w:szCs w:val="24"/>
              </w:rPr>
              <w:t>(一)、安装前准备</w:t>
            </w:r>
          </w:p>
          <w:p w14:paraId="08B0E2E1">
            <w:pPr>
              <w:pStyle w:val="6"/>
              <w:spacing w:before="183" w:line="219" w:lineRule="auto"/>
              <w:ind w:left="590"/>
              <w:rPr>
                <w:sz w:val="24"/>
                <w:szCs w:val="24"/>
              </w:rPr>
            </w:pPr>
            <w:r>
              <w:rPr>
                <w:sz w:val="24"/>
                <w:szCs w:val="24"/>
              </w:rPr>
              <w:t>为保证安装质量与进度，在安装工作开始前作好下列准备工</w:t>
            </w:r>
            <w:r>
              <w:rPr>
                <w:spacing w:val="-1"/>
                <w:sz w:val="24"/>
                <w:szCs w:val="24"/>
              </w:rPr>
              <w:t>作。</w:t>
            </w:r>
          </w:p>
          <w:p w14:paraId="2EF2F2A9">
            <w:pPr>
              <w:pStyle w:val="6"/>
              <w:spacing w:before="195" w:line="333" w:lineRule="auto"/>
              <w:ind w:left="101" w:right="1" w:firstLine="499"/>
              <w:rPr>
                <w:sz w:val="24"/>
                <w:szCs w:val="24"/>
              </w:rPr>
            </w:pPr>
            <w:r>
              <w:rPr>
                <w:spacing w:val="-1"/>
                <w:sz w:val="24"/>
                <w:szCs w:val="24"/>
              </w:rPr>
              <w:t>1、根据设计单位提供的地基图检查安装现场的基础建造是否则符合图纸要</w:t>
            </w:r>
            <w:r>
              <w:rPr>
                <w:spacing w:val="4"/>
                <w:sz w:val="24"/>
                <w:szCs w:val="24"/>
              </w:rPr>
              <w:t xml:space="preserve"> </w:t>
            </w:r>
            <w:r>
              <w:rPr>
                <w:sz w:val="24"/>
                <w:szCs w:val="24"/>
              </w:rPr>
              <w:t>求。</w:t>
            </w:r>
          </w:p>
        </w:tc>
      </w:tr>
    </w:tbl>
    <w:p w14:paraId="4252A987">
      <w:pPr>
        <w:pStyle w:val="2"/>
      </w:pPr>
    </w:p>
    <w:p w14:paraId="4F86613C">
      <w:pPr>
        <w:sectPr>
          <w:footerReference r:id="rId82" w:type="default"/>
          <w:pgSz w:w="11910" w:h="16830"/>
          <w:pgMar w:top="400" w:right="1415" w:bottom="1245" w:left="1385" w:header="0" w:footer="1083" w:gutter="0"/>
          <w:cols w:space="720" w:num="1"/>
        </w:sectPr>
      </w:pPr>
    </w:p>
    <w:p w14:paraId="09436D67">
      <w:pPr>
        <w:spacing w:before="15"/>
      </w:pPr>
    </w:p>
    <w:p w14:paraId="6B85CA47">
      <w:pPr>
        <w:spacing w:before="15"/>
      </w:pPr>
    </w:p>
    <w:p w14:paraId="5ABCAA84">
      <w:pPr>
        <w:spacing w:before="15"/>
      </w:pPr>
    </w:p>
    <w:p w14:paraId="6E51F0BD">
      <w:pPr>
        <w:spacing w:before="14"/>
      </w:pPr>
    </w:p>
    <w:tbl>
      <w:tblPr>
        <w:tblStyle w:val="5"/>
        <w:tblW w:w="9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8375"/>
      </w:tblGrid>
      <w:tr w14:paraId="64D06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59" w:hRule="atLeast"/>
        </w:trPr>
        <w:tc>
          <w:tcPr>
            <w:tcW w:w="724" w:type="dxa"/>
            <w:vAlign w:val="top"/>
          </w:tcPr>
          <w:p w14:paraId="4A8A7100">
            <w:pPr>
              <w:rPr>
                <w:rFonts w:ascii="Arial"/>
                <w:sz w:val="21"/>
              </w:rPr>
            </w:pPr>
          </w:p>
        </w:tc>
        <w:tc>
          <w:tcPr>
            <w:tcW w:w="8375" w:type="dxa"/>
            <w:vAlign w:val="top"/>
          </w:tcPr>
          <w:p w14:paraId="1CC022F7">
            <w:pPr>
              <w:pStyle w:val="6"/>
              <w:spacing w:before="55" w:line="220" w:lineRule="auto"/>
              <w:ind w:left="570"/>
              <w:rPr>
                <w:sz w:val="24"/>
                <w:szCs w:val="24"/>
              </w:rPr>
            </w:pPr>
            <w:r>
              <w:rPr>
                <w:spacing w:val="-1"/>
                <w:sz w:val="24"/>
                <w:szCs w:val="24"/>
              </w:rPr>
              <w:t>2、安装现场应配备必要的设备，包括：</w:t>
            </w:r>
          </w:p>
          <w:p w14:paraId="504E6226">
            <w:pPr>
              <w:pStyle w:val="6"/>
              <w:spacing w:before="151" w:line="219" w:lineRule="auto"/>
              <w:ind w:left="570"/>
              <w:rPr>
                <w:sz w:val="24"/>
                <w:szCs w:val="24"/>
              </w:rPr>
            </w:pPr>
            <w:r>
              <w:rPr>
                <w:spacing w:val="4"/>
                <w:sz w:val="24"/>
                <w:szCs w:val="24"/>
              </w:rPr>
              <w:t>a.大型运输与起吊设备，以及钢丝绳等工具，供设备就位用；</w:t>
            </w:r>
          </w:p>
          <w:p w14:paraId="4610268C">
            <w:pPr>
              <w:pStyle w:val="6"/>
              <w:spacing w:before="185" w:line="219" w:lineRule="auto"/>
              <w:ind w:left="570"/>
              <w:rPr>
                <w:sz w:val="24"/>
                <w:szCs w:val="24"/>
              </w:rPr>
            </w:pPr>
            <w:r>
              <w:rPr>
                <w:spacing w:val="5"/>
                <w:sz w:val="24"/>
                <w:szCs w:val="24"/>
              </w:rPr>
              <w:t>b.电焊机一台，用于焊接底架与预埋基础；</w:t>
            </w:r>
          </w:p>
          <w:p w14:paraId="704A81E7">
            <w:pPr>
              <w:pStyle w:val="6"/>
              <w:spacing w:before="185" w:line="219" w:lineRule="auto"/>
              <w:ind w:left="570"/>
              <w:rPr>
                <w:sz w:val="24"/>
                <w:szCs w:val="24"/>
              </w:rPr>
            </w:pPr>
            <w:r>
              <w:rPr>
                <w:spacing w:val="8"/>
                <w:sz w:val="24"/>
                <w:szCs w:val="24"/>
              </w:rPr>
              <w:t>c.钳工工作台一个，供装配用；</w:t>
            </w:r>
          </w:p>
          <w:p w14:paraId="1F5F1B04">
            <w:pPr>
              <w:pStyle w:val="6"/>
              <w:spacing w:before="205" w:line="219" w:lineRule="auto"/>
              <w:ind w:left="570"/>
              <w:rPr>
                <w:sz w:val="24"/>
                <w:szCs w:val="24"/>
              </w:rPr>
            </w:pPr>
            <w:r>
              <w:rPr>
                <w:spacing w:val="7"/>
                <w:sz w:val="24"/>
                <w:szCs w:val="24"/>
              </w:rPr>
              <w:t>d.吸尘器一台，供清理产品内部；</w:t>
            </w:r>
          </w:p>
          <w:p w14:paraId="051DB8A3">
            <w:pPr>
              <w:pStyle w:val="6"/>
              <w:spacing w:before="165" w:line="219" w:lineRule="auto"/>
              <w:ind w:left="570"/>
              <w:rPr>
                <w:sz w:val="24"/>
                <w:szCs w:val="24"/>
              </w:rPr>
            </w:pPr>
            <w:r>
              <w:rPr>
                <w:spacing w:val="7"/>
                <w:sz w:val="24"/>
                <w:szCs w:val="24"/>
              </w:rPr>
              <w:t>e.试验设备一套，供绝缘试验用；</w:t>
            </w:r>
          </w:p>
          <w:p w14:paraId="1970921D">
            <w:pPr>
              <w:pStyle w:val="6"/>
              <w:spacing w:before="178" w:line="220" w:lineRule="auto"/>
              <w:ind w:left="570"/>
              <w:rPr>
                <w:sz w:val="24"/>
                <w:szCs w:val="24"/>
              </w:rPr>
            </w:pPr>
            <w:r>
              <w:rPr>
                <w:spacing w:val="7"/>
                <w:sz w:val="24"/>
                <w:szCs w:val="24"/>
              </w:rPr>
              <w:t>f.现场安装必备的直流、交流电源；</w:t>
            </w:r>
          </w:p>
          <w:p w14:paraId="3CF64150">
            <w:pPr>
              <w:pStyle w:val="6"/>
              <w:spacing w:before="185" w:line="214" w:lineRule="auto"/>
              <w:ind w:left="570"/>
              <w:rPr>
                <w:sz w:val="24"/>
                <w:szCs w:val="24"/>
              </w:rPr>
            </w:pPr>
            <w:r>
              <w:rPr>
                <w:spacing w:val="7"/>
                <w:sz w:val="24"/>
                <w:szCs w:val="24"/>
              </w:rPr>
              <w:t>g.必要的安装工具及安全措施；</w:t>
            </w:r>
          </w:p>
          <w:p w14:paraId="0AF8F89D">
            <w:pPr>
              <w:pStyle w:val="6"/>
              <w:spacing w:before="178" w:line="219" w:lineRule="auto"/>
              <w:ind w:left="570"/>
              <w:rPr>
                <w:sz w:val="24"/>
                <w:szCs w:val="24"/>
              </w:rPr>
            </w:pPr>
            <w:r>
              <w:rPr>
                <w:sz w:val="24"/>
                <w:szCs w:val="24"/>
              </w:rPr>
              <w:t>上述设备应处于良好的待用状态，必要时可以通电试</w:t>
            </w:r>
            <w:r>
              <w:rPr>
                <w:spacing w:val="-1"/>
                <w:sz w:val="24"/>
                <w:szCs w:val="24"/>
              </w:rPr>
              <w:t>机。</w:t>
            </w:r>
          </w:p>
          <w:p w14:paraId="6FB472D4">
            <w:pPr>
              <w:pStyle w:val="6"/>
              <w:spacing w:before="208" w:line="220" w:lineRule="auto"/>
              <w:ind w:left="701"/>
              <w:rPr>
                <w:sz w:val="24"/>
                <w:szCs w:val="24"/>
              </w:rPr>
            </w:pPr>
            <w:r>
              <w:rPr>
                <w:sz w:val="24"/>
                <w:szCs w:val="24"/>
              </w:rPr>
              <w:t>(二)、安装过程中需注意的事项</w:t>
            </w:r>
          </w:p>
          <w:p w14:paraId="2301638A">
            <w:pPr>
              <w:pStyle w:val="6"/>
              <w:spacing w:before="161" w:line="353" w:lineRule="auto"/>
              <w:ind w:left="101" w:firstLine="499"/>
              <w:rPr>
                <w:sz w:val="24"/>
                <w:szCs w:val="24"/>
              </w:rPr>
            </w:pPr>
            <w:r>
              <w:rPr>
                <w:spacing w:val="-1"/>
                <w:sz w:val="24"/>
                <w:szCs w:val="24"/>
              </w:rPr>
              <w:t>1、用经纬仪、钢尺复测基础槽钢的长度/宽度/标高及相对位置是否</w:t>
            </w:r>
            <w:r>
              <w:rPr>
                <w:spacing w:val="-2"/>
                <w:sz w:val="24"/>
                <w:szCs w:val="24"/>
              </w:rPr>
              <w:t>符合设</w:t>
            </w:r>
            <w:r>
              <w:rPr>
                <w:sz w:val="24"/>
                <w:szCs w:val="24"/>
              </w:rPr>
              <w:t xml:space="preserve"> 计要求，以及检查基础槽钢的直线度和水平度，误</w:t>
            </w:r>
            <w:r>
              <w:rPr>
                <w:spacing w:val="-1"/>
                <w:sz w:val="24"/>
                <w:szCs w:val="24"/>
              </w:rPr>
              <w:t>差不得超过允许值。</w:t>
            </w:r>
          </w:p>
          <w:p w14:paraId="294CFA79">
            <w:pPr>
              <w:pStyle w:val="6"/>
              <w:spacing w:before="3" w:line="362" w:lineRule="auto"/>
              <w:ind w:left="91" w:right="979" w:firstLine="499"/>
              <w:rPr>
                <w:sz w:val="24"/>
                <w:szCs w:val="24"/>
              </w:rPr>
            </w:pPr>
            <w:r>
              <w:rPr>
                <w:spacing w:val="2"/>
                <w:sz w:val="24"/>
                <w:szCs w:val="24"/>
              </w:rPr>
              <w:t>基础槽钢质量标准：直线度：每米1</w:t>
            </w:r>
            <w:r>
              <w:rPr>
                <w:sz w:val="24"/>
                <w:szCs w:val="24"/>
              </w:rPr>
              <w:t>mm</w:t>
            </w:r>
            <w:r>
              <w:rPr>
                <w:spacing w:val="2"/>
                <w:sz w:val="24"/>
                <w:szCs w:val="24"/>
              </w:rPr>
              <w:t>,全长3</w:t>
            </w:r>
            <w:r>
              <w:rPr>
                <w:sz w:val="24"/>
                <w:szCs w:val="24"/>
              </w:rPr>
              <w:t>mm</w:t>
            </w:r>
            <w:r>
              <w:rPr>
                <w:spacing w:val="2"/>
                <w:sz w:val="24"/>
                <w:szCs w:val="24"/>
              </w:rPr>
              <w:t>;平度：每米1</w:t>
            </w:r>
            <w:r>
              <w:rPr>
                <w:sz w:val="24"/>
                <w:szCs w:val="24"/>
              </w:rPr>
              <w:t>mm</w:t>
            </w:r>
            <w:r>
              <w:rPr>
                <w:spacing w:val="2"/>
                <w:sz w:val="24"/>
                <w:szCs w:val="24"/>
              </w:rPr>
              <w:t>,</w:t>
            </w:r>
            <w:r>
              <w:rPr>
                <w:spacing w:val="17"/>
                <w:sz w:val="24"/>
                <w:szCs w:val="24"/>
              </w:rPr>
              <w:t xml:space="preserve"> </w:t>
            </w:r>
            <w:r>
              <w:rPr>
                <w:spacing w:val="54"/>
                <w:sz w:val="24"/>
                <w:szCs w:val="24"/>
              </w:rPr>
              <w:t>全长3</w:t>
            </w:r>
            <w:r>
              <w:rPr>
                <w:sz w:val="24"/>
                <w:szCs w:val="24"/>
              </w:rPr>
              <w:t>mm</w:t>
            </w:r>
            <w:r>
              <w:rPr>
                <w:spacing w:val="54"/>
                <w:sz w:val="24"/>
                <w:szCs w:val="24"/>
              </w:rPr>
              <w:t>。</w:t>
            </w:r>
          </w:p>
          <w:p w14:paraId="0B9AF8FF">
            <w:pPr>
              <w:pStyle w:val="6"/>
              <w:spacing w:line="219" w:lineRule="auto"/>
              <w:ind w:left="580"/>
              <w:rPr>
                <w:sz w:val="24"/>
                <w:szCs w:val="24"/>
              </w:rPr>
            </w:pPr>
            <w:r>
              <w:rPr>
                <w:sz w:val="24"/>
                <w:szCs w:val="24"/>
              </w:rPr>
              <w:t>在将预制仓吊上基础前应清除在运输、贮存过程中累积的灰尘和水迹。</w:t>
            </w:r>
          </w:p>
          <w:p w14:paraId="6019D884">
            <w:pPr>
              <w:pStyle w:val="6"/>
              <w:spacing w:before="186" w:line="220" w:lineRule="auto"/>
              <w:ind w:left="570"/>
              <w:rPr>
                <w:sz w:val="24"/>
                <w:szCs w:val="24"/>
              </w:rPr>
            </w:pPr>
            <w:r>
              <w:rPr>
                <w:spacing w:val="1"/>
                <w:sz w:val="24"/>
                <w:szCs w:val="24"/>
              </w:rPr>
              <w:t>2、现场安装一般要求</w:t>
            </w:r>
          </w:p>
          <w:p w14:paraId="0552FFED">
            <w:pPr>
              <w:pStyle w:val="6"/>
              <w:spacing w:before="183" w:line="219" w:lineRule="auto"/>
              <w:ind w:left="570"/>
              <w:rPr>
                <w:sz w:val="24"/>
                <w:szCs w:val="24"/>
              </w:rPr>
            </w:pPr>
            <w:r>
              <w:rPr>
                <w:sz w:val="24"/>
                <w:szCs w:val="24"/>
              </w:rPr>
              <w:t>1)设备周围及进出路面应硬化，满足承载要</w:t>
            </w:r>
            <w:r>
              <w:rPr>
                <w:spacing w:val="-1"/>
                <w:sz w:val="24"/>
                <w:szCs w:val="24"/>
              </w:rPr>
              <w:t>求。</w:t>
            </w:r>
          </w:p>
          <w:p w14:paraId="26952811">
            <w:pPr>
              <w:pStyle w:val="6"/>
              <w:spacing w:before="174" w:line="287" w:lineRule="auto"/>
              <w:ind w:left="91" w:right="103" w:firstLine="479"/>
              <w:rPr>
                <w:sz w:val="24"/>
                <w:szCs w:val="24"/>
              </w:rPr>
            </w:pPr>
            <w:r>
              <w:rPr>
                <w:sz w:val="24"/>
                <w:szCs w:val="24"/>
              </w:rPr>
              <w:t>2)所有人员进入工地应按要求戴安全帽，穿戴干净的工作服，现场禁止吸</w:t>
            </w:r>
            <w:r>
              <w:rPr>
                <w:spacing w:val="9"/>
                <w:sz w:val="24"/>
                <w:szCs w:val="24"/>
              </w:rPr>
              <w:t xml:space="preserve"> </w:t>
            </w:r>
            <w:r>
              <w:rPr>
                <w:sz w:val="24"/>
                <w:szCs w:val="24"/>
              </w:rPr>
              <w:t>烟，闲杂人员禁止入内。</w:t>
            </w:r>
          </w:p>
          <w:p w14:paraId="58B68690">
            <w:pPr>
              <w:pStyle w:val="6"/>
              <w:spacing w:before="203" w:line="281" w:lineRule="auto"/>
              <w:ind w:left="91" w:right="100" w:firstLine="479"/>
              <w:rPr>
                <w:sz w:val="24"/>
                <w:szCs w:val="24"/>
              </w:rPr>
            </w:pPr>
            <w:r>
              <w:rPr>
                <w:sz w:val="24"/>
                <w:szCs w:val="24"/>
              </w:rPr>
              <w:t>3)根据每天的工作计划准备零件、工具、辅件和耗材，以免误装、漏装及</w:t>
            </w:r>
            <w:r>
              <w:rPr>
                <w:spacing w:val="12"/>
                <w:sz w:val="24"/>
                <w:szCs w:val="24"/>
              </w:rPr>
              <w:t xml:space="preserve"> </w:t>
            </w:r>
            <w:r>
              <w:rPr>
                <w:sz w:val="24"/>
                <w:szCs w:val="24"/>
              </w:rPr>
              <w:t>物品丢失。</w:t>
            </w:r>
          </w:p>
          <w:p w14:paraId="4D01CAB2">
            <w:pPr>
              <w:pStyle w:val="6"/>
              <w:spacing w:before="211" w:line="283" w:lineRule="auto"/>
              <w:ind w:left="101" w:right="101" w:firstLine="469"/>
              <w:rPr>
                <w:sz w:val="24"/>
                <w:szCs w:val="24"/>
              </w:rPr>
            </w:pPr>
            <w:r>
              <w:rPr>
                <w:sz w:val="24"/>
                <w:szCs w:val="24"/>
              </w:rPr>
              <w:t>4)每个工作点完工后应及时清理周围的杂物，清点零部件，每天完工后清</w:t>
            </w:r>
            <w:r>
              <w:rPr>
                <w:spacing w:val="11"/>
                <w:sz w:val="24"/>
                <w:szCs w:val="24"/>
              </w:rPr>
              <w:t xml:space="preserve"> </w:t>
            </w:r>
            <w:r>
              <w:rPr>
                <w:spacing w:val="-1"/>
                <w:sz w:val="24"/>
                <w:szCs w:val="24"/>
              </w:rPr>
              <w:t>理现场秩序，保持文明生产。</w:t>
            </w:r>
          </w:p>
          <w:p w14:paraId="28527F24">
            <w:pPr>
              <w:pStyle w:val="6"/>
              <w:spacing w:before="185" w:line="294" w:lineRule="auto"/>
              <w:ind w:left="570" w:firstLine="9"/>
              <w:rPr>
                <w:sz w:val="24"/>
                <w:szCs w:val="24"/>
              </w:rPr>
            </w:pPr>
            <w:r>
              <w:rPr>
                <w:spacing w:val="-4"/>
                <w:sz w:val="24"/>
                <w:szCs w:val="24"/>
              </w:rPr>
              <w:t>5)在安装工作开始前，要确认辅助设备的准备情况，进行必要的技术交底。</w:t>
            </w:r>
            <w:r>
              <w:rPr>
                <w:sz w:val="24"/>
                <w:szCs w:val="24"/>
              </w:rPr>
              <w:t xml:space="preserve"> </w:t>
            </w:r>
            <w:r>
              <w:rPr>
                <w:spacing w:val="-2"/>
                <w:sz w:val="24"/>
                <w:szCs w:val="24"/>
              </w:rPr>
              <w:t>施工期工艺流程及产污节点见图2-9。</w:t>
            </w:r>
          </w:p>
        </w:tc>
      </w:tr>
    </w:tbl>
    <w:p w14:paraId="768FA196">
      <w:pPr>
        <w:pStyle w:val="2"/>
      </w:pPr>
    </w:p>
    <w:p w14:paraId="2711B3EC">
      <w:pPr>
        <w:sectPr>
          <w:footerReference r:id="rId83" w:type="default"/>
          <w:pgSz w:w="11910" w:h="16830"/>
          <w:pgMar w:top="400" w:right="1415" w:bottom="1259" w:left="1385" w:header="0" w:footer="1079" w:gutter="0"/>
          <w:cols w:space="720" w:num="1"/>
        </w:sectPr>
      </w:pPr>
    </w:p>
    <w:p w14:paraId="439B9FAC">
      <w:pPr>
        <w:spacing w:before="18"/>
      </w:pPr>
      <w:r>
        <w:drawing>
          <wp:anchor distT="0" distB="0" distL="0" distR="0" simplePos="0" relativeHeight="251682816" behindDoc="1" locked="0" layoutInCell="0" allowOverlap="1">
            <wp:simplePos x="0" y="0"/>
            <wp:positionH relativeFrom="page">
              <wp:posOffset>843915</wp:posOffset>
            </wp:positionH>
            <wp:positionV relativeFrom="page">
              <wp:posOffset>869315</wp:posOffset>
            </wp:positionV>
            <wp:extent cx="5848350" cy="355600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286"/>
                    <a:stretch>
                      <a:fillRect/>
                    </a:stretch>
                  </pic:blipFill>
                  <pic:spPr>
                    <a:xfrm>
                      <a:off x="0" y="0"/>
                      <a:ext cx="5848351" cy="3556008"/>
                    </a:xfrm>
                    <a:prstGeom prst="rect">
                      <a:avLst/>
                    </a:prstGeom>
                  </pic:spPr>
                </pic:pic>
              </a:graphicData>
            </a:graphic>
          </wp:anchor>
        </w:drawing>
      </w:r>
    </w:p>
    <w:p w14:paraId="3B0AB439">
      <w:pPr>
        <w:spacing w:before="17"/>
      </w:pPr>
    </w:p>
    <w:p w14:paraId="7D371CD2">
      <w:pPr>
        <w:spacing w:before="17"/>
      </w:pPr>
    </w:p>
    <w:p w14:paraId="32DAF0F0">
      <w:pPr>
        <w:spacing w:before="17"/>
      </w:pPr>
    </w:p>
    <w:tbl>
      <w:tblPr>
        <w:tblStyle w:val="5"/>
        <w:tblW w:w="9079" w:type="dxa"/>
        <w:tblInd w:w="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420"/>
        <w:gridCol w:w="559"/>
        <w:gridCol w:w="1648"/>
        <w:gridCol w:w="2567"/>
        <w:gridCol w:w="1648"/>
        <w:gridCol w:w="949"/>
        <w:gridCol w:w="574"/>
      </w:tblGrid>
      <w:tr w14:paraId="2F326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3" w:hRule="atLeast"/>
        </w:trPr>
        <w:tc>
          <w:tcPr>
            <w:tcW w:w="714" w:type="dxa"/>
            <w:vMerge w:val="restart"/>
            <w:tcBorders>
              <w:bottom w:val="nil"/>
            </w:tcBorders>
            <w:vAlign w:val="top"/>
          </w:tcPr>
          <w:p w14:paraId="762C6945">
            <w:pPr>
              <w:rPr>
                <w:rFonts w:ascii="Arial"/>
                <w:sz w:val="21"/>
              </w:rPr>
            </w:pPr>
          </w:p>
        </w:tc>
        <w:tc>
          <w:tcPr>
            <w:tcW w:w="8365" w:type="dxa"/>
            <w:gridSpan w:val="7"/>
            <w:tcBorders>
              <w:bottom w:val="nil"/>
            </w:tcBorders>
            <w:shd w:val="clear" w:color="auto" w:fill="FFFFFF"/>
            <w:vAlign w:val="top"/>
          </w:tcPr>
          <w:p w14:paraId="66D20CE2">
            <w:pPr>
              <w:pStyle w:val="6"/>
              <w:spacing w:before="15" w:line="5510" w:lineRule="exact"/>
              <w:ind w:firstLine="30"/>
            </w:pPr>
            <w:r>
              <w:rPr>
                <w:position w:val="-110"/>
              </w:rPr>
              <w:pict>
                <v:group id="_x0000_s1064" o:spid="_x0000_s1064" o:spt="203" style="height:275.5pt;width:414.5pt;" coordsize="8290,5510">
                  <o:lock v:ext="edit"/>
                  <v:shape id="_x0000_s1065" o:spid="_x0000_s1065" o:spt="75" type="#_x0000_t75" style="position:absolute;left:0;top:0;height:5510;width:8290;" filled="f" stroked="f" coordsize="21600,21600">
                    <v:path/>
                    <v:fill on="f" focussize="0,0"/>
                    <v:stroke on="f"/>
                    <v:imagedata r:id="rId287" o:title=""/>
                    <o:lock v:ext="edit" aspectratio="t"/>
                  </v:shape>
                  <v:shape id="_x0000_s1066" o:spid="_x0000_s1066" o:spt="202" type="#_x0000_t202" style="position:absolute;left:1059;top:4;height:5290;width:2987;" filled="f" stroked="f" coordsize="21600,21600">
                    <v:path/>
                    <v:fill on="f" focussize="0,0"/>
                    <v:stroke on="f"/>
                    <v:imagedata o:title=""/>
                    <o:lock v:ext="edit" aspectratio="f"/>
                    <v:textbox inset="0mm,0mm,0mm,0mm">
                      <w:txbxContent>
                        <w:p w14:paraId="4BF2F3EE">
                          <w:pPr>
                            <w:tabs>
                              <w:tab w:val="left" w:pos="1720"/>
                            </w:tabs>
                            <w:spacing w:before="20" w:line="236" w:lineRule="auto"/>
                            <w:ind w:left="580" w:right="506" w:firstLine="950"/>
                            <w:rPr>
                              <w:rFonts w:ascii="宋体" w:hAnsi="宋体" w:eastAsia="宋体" w:cs="宋体"/>
                              <w:sz w:val="13"/>
                              <w:szCs w:val="13"/>
                            </w:rPr>
                          </w:pPr>
                          <w:r>
                            <w:rPr>
                              <w:rFonts w:ascii="宋体" w:hAnsi="宋体" w:eastAsia="宋体" w:cs="宋体"/>
                              <w:spacing w:val="5"/>
                              <w:sz w:val="10"/>
                              <w:szCs w:val="10"/>
                            </w:rPr>
                            <w:t>扬尘、废气、噪声、</w:t>
                          </w:r>
                          <w:r>
                            <w:rPr>
                              <w:rFonts w:ascii="宋体" w:hAnsi="宋体" w:eastAsia="宋体" w:cs="宋体"/>
                              <w:spacing w:val="3"/>
                              <w:sz w:val="10"/>
                              <w:szCs w:val="10"/>
                            </w:rPr>
                            <w:t xml:space="preserve"> </w:t>
                          </w:r>
                          <w:r>
                            <w:rPr>
                              <w:rFonts w:ascii="宋体" w:hAnsi="宋体" w:eastAsia="宋体" w:cs="宋体"/>
                              <w:sz w:val="13"/>
                              <w:szCs w:val="13"/>
                              <w:u w:val="single" w:color="auto"/>
                            </w:rPr>
                            <w:tab/>
                          </w:r>
                          <w:r>
                            <w:rPr>
                              <w:rFonts w:ascii="宋体" w:hAnsi="宋体" w:eastAsia="宋体" w:cs="宋体"/>
                              <w:spacing w:val="1"/>
                              <w:sz w:val="13"/>
                              <w:szCs w:val="13"/>
                            </w:rPr>
                            <w:t>固废、生态</w:t>
                          </w:r>
                        </w:p>
                        <w:p w14:paraId="757D215A">
                          <w:pPr>
                            <w:spacing w:before="65" w:line="219" w:lineRule="auto"/>
                            <w:ind w:left="900"/>
                            <w:rPr>
                              <w:rFonts w:ascii="宋体" w:hAnsi="宋体" w:eastAsia="宋体" w:cs="宋体"/>
                              <w:sz w:val="13"/>
                              <w:szCs w:val="13"/>
                            </w:rPr>
                          </w:pPr>
                          <w:r>
                            <w:rPr>
                              <w:rFonts w:ascii="宋体" w:hAnsi="宋体" w:eastAsia="宋体" w:cs="宋体"/>
                              <w:spacing w:val="-1"/>
                              <w:sz w:val="13"/>
                              <w:szCs w:val="13"/>
                            </w:rPr>
                            <w:t>光伏基础开挖</w:t>
                          </w:r>
                        </w:p>
                        <w:p w14:paraId="40C5D2F2">
                          <w:pPr>
                            <w:spacing w:before="25" w:line="220" w:lineRule="auto"/>
                            <w:ind w:left="2149"/>
                            <w:rPr>
                              <w:rFonts w:ascii="宋体" w:hAnsi="宋体" w:eastAsia="宋体" w:cs="宋体"/>
                              <w:sz w:val="10"/>
                              <w:szCs w:val="10"/>
                            </w:rPr>
                          </w:pPr>
                          <w:r>
                            <w:rPr>
                              <w:rFonts w:ascii="宋体" w:hAnsi="宋体" w:eastAsia="宋体" w:cs="宋体"/>
                              <w:spacing w:val="-1"/>
                              <w:sz w:val="10"/>
                              <w:szCs w:val="10"/>
                            </w:rPr>
                            <w:t>扬尘、废气、噪声</w:t>
                          </w:r>
                        </w:p>
                        <w:p w14:paraId="775417EA">
                          <w:pPr>
                            <w:spacing w:line="297" w:lineRule="auto"/>
                            <w:rPr>
                              <w:rFonts w:ascii="Arial"/>
                              <w:sz w:val="21"/>
                            </w:rPr>
                          </w:pPr>
                        </w:p>
                        <w:p w14:paraId="423594CE">
                          <w:pPr>
                            <w:spacing w:before="43" w:line="220" w:lineRule="auto"/>
                            <w:ind w:left="950"/>
                            <w:rPr>
                              <w:rFonts w:ascii="宋体" w:hAnsi="宋体" w:eastAsia="宋体" w:cs="宋体"/>
                              <w:sz w:val="13"/>
                              <w:szCs w:val="13"/>
                            </w:rPr>
                          </w:pPr>
                          <w:r>
                            <w:rPr>
                              <w:rFonts w:ascii="宋体" w:hAnsi="宋体" w:eastAsia="宋体" w:cs="宋体"/>
                              <w:sz w:val="13"/>
                              <w:szCs w:val="13"/>
                            </w:rPr>
                            <w:t>混凝土浇筑           回填</w:t>
                          </w:r>
                        </w:p>
                        <w:p w14:paraId="7A70A27A">
                          <w:pPr>
                            <w:spacing w:before="143" w:line="210" w:lineRule="auto"/>
                            <w:ind w:left="1828" w:right="416" w:hanging="209"/>
                            <w:rPr>
                              <w:rFonts w:ascii="宋体" w:hAnsi="宋体" w:eastAsia="宋体" w:cs="宋体"/>
                              <w:sz w:val="13"/>
                              <w:szCs w:val="13"/>
                            </w:rPr>
                          </w:pPr>
                          <w:r>
                            <w:rPr>
                              <w:rFonts w:ascii="宋体" w:hAnsi="宋体" w:eastAsia="宋体" w:cs="宋体"/>
                              <w:spacing w:val="5"/>
                              <w:sz w:val="10"/>
                              <w:szCs w:val="10"/>
                            </w:rPr>
                            <w:t>扬尘、废气、噪声、</w:t>
                          </w:r>
                          <w:r>
                            <w:rPr>
                              <w:rFonts w:ascii="宋体" w:hAnsi="宋体" w:eastAsia="宋体" w:cs="宋体"/>
                              <w:spacing w:val="3"/>
                              <w:sz w:val="10"/>
                              <w:szCs w:val="10"/>
                            </w:rPr>
                            <w:t xml:space="preserve"> </w:t>
                          </w:r>
                          <w:r>
                            <w:rPr>
                              <w:rFonts w:ascii="宋体" w:hAnsi="宋体" w:eastAsia="宋体" w:cs="宋体"/>
                              <w:spacing w:val="1"/>
                              <w:sz w:val="13"/>
                              <w:szCs w:val="13"/>
                            </w:rPr>
                            <w:t>固庞、生态</w:t>
                          </w:r>
                        </w:p>
                        <w:p w14:paraId="6D61AFC4">
                          <w:pPr>
                            <w:spacing w:line="220" w:lineRule="auto"/>
                            <w:ind w:left="950"/>
                            <w:rPr>
                              <w:rFonts w:ascii="宋体" w:hAnsi="宋体" w:eastAsia="宋体" w:cs="宋体"/>
                              <w:sz w:val="13"/>
                              <w:szCs w:val="13"/>
                            </w:rPr>
                          </w:pPr>
                          <w:r>
                            <w:rPr>
                              <w:rFonts w:ascii="宋体" w:hAnsi="宋体" w:eastAsia="宋体" w:cs="宋体"/>
                              <w:spacing w:val="-1"/>
                              <w:sz w:val="13"/>
                              <w:szCs w:val="13"/>
                            </w:rPr>
                            <w:t>箱式变压器</w:t>
                          </w:r>
                        </w:p>
                        <w:p w14:paraId="6D51CAF0">
                          <w:pPr>
                            <w:tabs>
                              <w:tab w:val="left" w:pos="1029"/>
                            </w:tabs>
                            <w:spacing w:before="104" w:line="220" w:lineRule="auto"/>
                            <w:ind w:left="819"/>
                            <w:rPr>
                              <w:rFonts w:ascii="宋体" w:hAnsi="宋体" w:eastAsia="宋体" w:cs="宋体"/>
                              <w:sz w:val="10"/>
                              <w:szCs w:val="10"/>
                            </w:rPr>
                          </w:pPr>
                          <w:r>
                            <w:rPr>
                              <w:rFonts w:ascii="宋体" w:hAnsi="宋体" w:eastAsia="宋体" w:cs="宋体"/>
                              <w:strike/>
                              <w:sz w:val="10"/>
                              <w:szCs w:val="10"/>
                            </w:rPr>
                            <w:tab/>
                          </w:r>
                          <w:r>
                            <w:rPr>
                              <w:rFonts w:ascii="宋体" w:hAnsi="宋体" w:eastAsia="宋体" w:cs="宋体"/>
                              <w:spacing w:val="2"/>
                              <w:sz w:val="10"/>
                              <w:szCs w:val="10"/>
                            </w:rPr>
                            <w:t xml:space="preserve">          </w:t>
                          </w:r>
                          <w:r>
                            <w:rPr>
                              <w:rFonts w:ascii="宋体" w:hAnsi="宋体" w:eastAsia="宋体" w:cs="宋体"/>
                              <w:strike/>
                              <w:spacing w:val="1"/>
                              <w:sz w:val="10"/>
                              <w:szCs w:val="10"/>
                            </w:rPr>
                            <w:t xml:space="preserve">    </w:t>
                          </w:r>
                          <w:r>
                            <w:rPr>
                              <w:rFonts w:ascii="宋体" w:hAnsi="宋体" w:eastAsia="宋体" w:cs="宋体"/>
                              <w:spacing w:val="2"/>
                              <w:sz w:val="10"/>
                              <w:szCs w:val="10"/>
                            </w:rPr>
                            <w:t xml:space="preserve">        </w:t>
                          </w:r>
                          <w:r>
                            <w:rPr>
                              <w:rFonts w:ascii="宋体" w:hAnsi="宋体" w:eastAsia="宋体" w:cs="宋体"/>
                              <w:spacing w:val="-1"/>
                              <w:sz w:val="10"/>
                              <w:szCs w:val="10"/>
                            </w:rPr>
                            <w:t>扬尘、废气、噪声</w:t>
                          </w:r>
                        </w:p>
                        <w:p w14:paraId="619D20DD">
                          <w:pPr>
                            <w:spacing w:line="297" w:lineRule="auto"/>
                            <w:rPr>
                              <w:rFonts w:ascii="Arial"/>
                              <w:sz w:val="21"/>
                            </w:rPr>
                          </w:pPr>
                        </w:p>
                        <w:p w14:paraId="44E966CB">
                          <w:pPr>
                            <w:spacing w:before="43" w:line="220" w:lineRule="auto"/>
                            <w:ind w:left="950"/>
                            <w:rPr>
                              <w:rFonts w:ascii="宋体" w:hAnsi="宋体" w:eastAsia="宋体" w:cs="宋体"/>
                              <w:sz w:val="13"/>
                              <w:szCs w:val="13"/>
                            </w:rPr>
                          </w:pPr>
                          <w:r>
                            <w:rPr>
                              <w:rFonts w:ascii="宋体" w:hAnsi="宋体" w:eastAsia="宋体" w:cs="宋体"/>
                              <w:sz w:val="13"/>
                              <w:szCs w:val="13"/>
                            </w:rPr>
                            <w:t>混凝土浇筑           回填</w:t>
                          </w:r>
                        </w:p>
                        <w:p w14:paraId="2DA39CE7">
                          <w:pPr>
                            <w:spacing w:before="144" w:line="206" w:lineRule="auto"/>
                            <w:ind w:left="20" w:right="416" w:firstLine="1599"/>
                            <w:rPr>
                              <w:rFonts w:ascii="宋体" w:hAnsi="宋体" w:eastAsia="宋体" w:cs="宋体"/>
                              <w:sz w:val="13"/>
                              <w:szCs w:val="13"/>
                            </w:rPr>
                          </w:pPr>
                          <w:r>
                            <w:rPr>
                              <w:rFonts w:ascii="宋体" w:hAnsi="宋体" w:eastAsia="宋体" w:cs="宋体"/>
                              <w:spacing w:val="5"/>
                              <w:sz w:val="10"/>
                              <w:szCs w:val="10"/>
                            </w:rPr>
                            <w:t>扬尘，废气、噪声、</w:t>
                          </w:r>
                          <w:r>
                            <w:rPr>
                              <w:rFonts w:ascii="宋体" w:hAnsi="宋体" w:eastAsia="宋体" w:cs="宋体"/>
                              <w:spacing w:val="3"/>
                              <w:sz w:val="10"/>
                              <w:szCs w:val="10"/>
                            </w:rPr>
                            <w:t xml:space="preserve"> </w:t>
                          </w:r>
                          <w:r>
                            <w:rPr>
                              <w:rFonts w:ascii="宋体" w:hAnsi="宋体" w:eastAsia="宋体" w:cs="宋体"/>
                              <w:position w:val="1"/>
                              <w:sz w:val="13"/>
                              <w:szCs w:val="13"/>
                              <w:u w:val="single" w:color="auto"/>
                            </w:rPr>
                            <w:t>混凝</w:t>
                          </w:r>
                          <w:r>
                            <w:rPr>
                              <w:rFonts w:ascii="宋体" w:hAnsi="宋体" w:eastAsia="宋体" w:cs="宋体"/>
                              <w:position w:val="1"/>
                              <w:sz w:val="13"/>
                              <w:szCs w:val="13"/>
                            </w:rPr>
                            <w:t xml:space="preserve">土                      </w:t>
                          </w:r>
                          <w:r>
                            <w:rPr>
                              <w:rFonts w:ascii="宋体" w:hAnsi="宋体" w:eastAsia="宋体" w:cs="宋体"/>
                              <w:position w:val="-1"/>
                              <w:sz w:val="13"/>
                              <w:szCs w:val="13"/>
                            </w:rPr>
                            <w:t>固废、生态</w:t>
                          </w:r>
                        </w:p>
                        <w:p w14:paraId="669B4959">
                          <w:pPr>
                            <w:spacing w:line="198" w:lineRule="auto"/>
                            <w:ind w:left="910"/>
                            <w:rPr>
                              <w:rFonts w:ascii="宋体" w:hAnsi="宋体" w:eastAsia="宋体" w:cs="宋体"/>
                              <w:sz w:val="13"/>
                              <w:szCs w:val="13"/>
                            </w:rPr>
                          </w:pPr>
                          <w:r>
                            <w:rPr>
                              <w:rFonts w:ascii="宋体" w:hAnsi="宋体" w:eastAsia="宋体" w:cs="宋体"/>
                              <w:spacing w:val="-1"/>
                              <w:sz w:val="13"/>
                              <w:szCs w:val="13"/>
                            </w:rPr>
                            <w:t>升压站场地平</w:t>
                          </w:r>
                        </w:p>
                        <w:p w14:paraId="5088E24F">
                          <w:pPr>
                            <w:spacing w:before="6" w:line="170" w:lineRule="auto"/>
                            <w:ind w:left="910"/>
                            <w:rPr>
                              <w:rFonts w:ascii="宋体" w:hAnsi="宋体" w:eastAsia="宋体" w:cs="宋体"/>
                              <w:sz w:val="13"/>
                              <w:szCs w:val="13"/>
                            </w:rPr>
                          </w:pPr>
                          <w:r>
                            <w:rPr>
                              <w:rFonts w:ascii="宋体" w:hAnsi="宋体" w:eastAsia="宋体" w:cs="宋体"/>
                              <w:spacing w:val="-1"/>
                              <w:sz w:val="13"/>
                              <w:szCs w:val="13"/>
                              <w:u w:val="single" w:color="auto"/>
                            </w:rPr>
                            <w:t>整、基础开挖</w:t>
                          </w:r>
                        </w:p>
                        <w:p w14:paraId="6376D63B">
                          <w:pPr>
                            <w:spacing w:line="205" w:lineRule="auto"/>
                            <w:ind w:left="2570"/>
                            <w:rPr>
                              <w:rFonts w:ascii="宋体" w:hAnsi="宋体" w:eastAsia="宋体" w:cs="宋体"/>
                              <w:sz w:val="13"/>
                              <w:szCs w:val="13"/>
                            </w:rPr>
                          </w:pPr>
                          <w:r>
                            <w:rPr>
                              <w:rFonts w:ascii="宋体" w:hAnsi="宋体" w:eastAsia="宋体" w:cs="宋体"/>
                              <w:spacing w:val="-3"/>
                              <w:sz w:val="13"/>
                              <w:szCs w:val="13"/>
                            </w:rPr>
                            <w:t>噪声</w:t>
                          </w:r>
                        </w:p>
                        <w:p w14:paraId="249DC60B">
                          <w:pPr>
                            <w:spacing w:line="241" w:lineRule="auto"/>
                            <w:rPr>
                              <w:rFonts w:ascii="Arial"/>
                              <w:sz w:val="21"/>
                            </w:rPr>
                          </w:pPr>
                        </w:p>
                        <w:p w14:paraId="5DC355DF">
                          <w:pPr>
                            <w:spacing w:before="43" w:line="220" w:lineRule="auto"/>
                            <w:ind w:left="960"/>
                            <w:rPr>
                              <w:rFonts w:ascii="宋体" w:hAnsi="宋体" w:eastAsia="宋体" w:cs="宋体"/>
                              <w:sz w:val="13"/>
                              <w:szCs w:val="13"/>
                            </w:rPr>
                          </w:pPr>
                          <w:r>
                            <w:rPr>
                              <w:rFonts w:ascii="宋体" w:hAnsi="宋体" w:eastAsia="宋体" w:cs="宋体"/>
                              <w:spacing w:val="-1"/>
                              <w:sz w:val="13"/>
                              <w:szCs w:val="13"/>
                            </w:rPr>
                            <w:t>混凝土浇筑</w:t>
                          </w:r>
                          <w:r>
                            <w:rPr>
                              <w:rFonts w:ascii="宋体" w:hAnsi="宋体" w:eastAsia="宋体" w:cs="宋体"/>
                              <w:spacing w:val="3"/>
                              <w:sz w:val="13"/>
                              <w:szCs w:val="13"/>
                            </w:rPr>
                            <w:t xml:space="preserve">         </w:t>
                          </w:r>
                          <w:r>
                            <w:rPr>
                              <w:rFonts w:ascii="宋体" w:hAnsi="宋体" w:eastAsia="宋体" w:cs="宋体"/>
                              <w:spacing w:val="-1"/>
                              <w:sz w:val="13"/>
                              <w:szCs w:val="13"/>
                            </w:rPr>
                            <w:t>电气工程</w:t>
                          </w:r>
                        </w:p>
                        <w:p w14:paraId="13F02BD9">
                          <w:pPr>
                            <w:spacing w:before="225" w:line="202" w:lineRule="auto"/>
                            <w:ind w:left="1288" w:right="651" w:hanging="189"/>
                            <w:rPr>
                              <w:rFonts w:ascii="宋体" w:hAnsi="宋体" w:eastAsia="宋体" w:cs="宋体"/>
                              <w:sz w:val="13"/>
                              <w:szCs w:val="13"/>
                            </w:rPr>
                          </w:pPr>
                          <w:r>
                            <w:rPr>
                              <w:rFonts w:ascii="宋体" w:hAnsi="宋体" w:eastAsia="宋体" w:cs="宋体"/>
                              <w:spacing w:val="7"/>
                              <w:sz w:val="13"/>
                              <w:szCs w:val="13"/>
                            </w:rPr>
                            <w:t>扬尘、废气、噪声、</w:t>
                          </w:r>
                          <w:r>
                            <w:rPr>
                              <w:rFonts w:ascii="宋体" w:hAnsi="宋体" w:eastAsia="宋体" w:cs="宋体"/>
                              <w:spacing w:val="1"/>
                              <w:sz w:val="13"/>
                              <w:szCs w:val="13"/>
                            </w:rPr>
                            <w:t xml:space="preserve"> 固废、生态</w:t>
                          </w:r>
                        </w:p>
                        <w:p w14:paraId="01D554DD">
                          <w:pPr>
                            <w:spacing w:before="135" w:line="184" w:lineRule="auto"/>
                            <w:ind w:left="910"/>
                            <w:rPr>
                              <w:rFonts w:ascii="宋体" w:hAnsi="宋体" w:eastAsia="宋体" w:cs="宋体"/>
                              <w:sz w:val="13"/>
                              <w:szCs w:val="13"/>
                            </w:rPr>
                          </w:pPr>
                          <w:r>
                            <w:rPr>
                              <w:rFonts w:ascii="宋体" w:hAnsi="宋体" w:eastAsia="宋体" w:cs="宋体"/>
                              <w:spacing w:val="-2"/>
                              <w:sz w:val="13"/>
                              <w:szCs w:val="13"/>
                            </w:rPr>
                            <w:t>直埋电缆线路</w:t>
                          </w:r>
                          <w:r>
                            <w:rPr>
                              <w:rFonts w:ascii="宋体" w:hAnsi="宋体" w:eastAsia="宋体" w:cs="宋体"/>
                              <w:spacing w:val="-24"/>
                              <w:sz w:val="13"/>
                              <w:szCs w:val="13"/>
                            </w:rPr>
                            <w:t xml:space="preserve"> </w:t>
                          </w:r>
                          <w:r>
                            <w:rPr>
                              <w:rFonts w:ascii="宋体" w:hAnsi="宋体" w:eastAsia="宋体" w:cs="宋体"/>
                              <w:sz w:val="13"/>
                              <w:szCs w:val="13"/>
                              <w:u w:val="single" w:color="auto"/>
                            </w:rPr>
                            <w:t xml:space="preserve">         </w:t>
                          </w:r>
                        </w:p>
                        <w:p w14:paraId="429C4DE3">
                          <w:pPr>
                            <w:spacing w:before="41" w:line="221" w:lineRule="auto"/>
                            <w:ind w:left="1039"/>
                            <w:rPr>
                              <w:rFonts w:ascii="宋体" w:hAnsi="宋体" w:eastAsia="宋体" w:cs="宋体"/>
                              <w:sz w:val="13"/>
                              <w:szCs w:val="13"/>
                            </w:rPr>
                          </w:pPr>
                          <w:r>
                            <w:rPr>
                              <w:rFonts w:ascii="宋体" w:hAnsi="宋体" w:eastAsia="宋体" w:cs="宋体"/>
                              <w:spacing w:val="-1"/>
                              <w:sz w:val="13"/>
                              <w:szCs w:val="13"/>
                            </w:rPr>
                            <w:t>基础开挖</w:t>
                          </w:r>
                        </w:p>
                        <w:p w14:paraId="64492551">
                          <w:pPr>
                            <w:spacing w:before="174" w:line="219" w:lineRule="auto"/>
                            <w:ind w:left="1859"/>
                            <w:rPr>
                              <w:rFonts w:ascii="宋体" w:hAnsi="宋体" w:eastAsia="宋体" w:cs="宋体"/>
                              <w:sz w:val="13"/>
                              <w:szCs w:val="13"/>
                            </w:rPr>
                          </w:pPr>
                          <w:r>
                            <w:rPr>
                              <w:rFonts w:ascii="宋体" w:hAnsi="宋体" w:eastAsia="宋体" w:cs="宋体"/>
                              <w:spacing w:val="-1"/>
                              <w:sz w:val="13"/>
                              <w:szCs w:val="13"/>
                            </w:rPr>
                            <w:t>废水、固废</w:t>
                          </w:r>
                        </w:p>
                        <w:p w14:paraId="0C84570F">
                          <w:pPr>
                            <w:spacing w:before="116" w:line="219" w:lineRule="auto"/>
                            <w:ind w:left="930"/>
                            <w:rPr>
                              <w:rFonts w:ascii="宋体" w:hAnsi="宋体" w:eastAsia="宋体" w:cs="宋体"/>
                              <w:sz w:val="13"/>
                              <w:szCs w:val="13"/>
                            </w:rPr>
                          </w:pPr>
                          <w:r>
                            <w:rPr>
                              <w:rFonts w:ascii="宋体" w:hAnsi="宋体" w:eastAsia="宋体" w:cs="宋体"/>
                              <w:spacing w:val="-2"/>
                              <w:sz w:val="13"/>
                              <w:szCs w:val="13"/>
                            </w:rPr>
                            <w:t>办公生活场地</w:t>
                          </w:r>
                        </w:p>
                      </w:txbxContent>
                    </v:textbox>
                  </v:shape>
                  <v:shape id="_x0000_s1067" o:spid="_x0000_s1067" o:spt="202" type="#_x0000_t202" style="position:absolute;left:4380;top:3115;height:1009;width:1898;" filled="f" stroked="f" coordsize="21600,21600">
                    <v:path/>
                    <v:fill on="f" focussize="0,0"/>
                    <v:stroke on="f"/>
                    <v:imagedata o:title=""/>
                    <o:lock v:ext="edit" aspectratio="f"/>
                    <v:textbox inset="0mm,0mm,0mm,0mm">
                      <w:txbxContent>
                        <w:p w14:paraId="5E7525E3">
                          <w:pPr>
                            <w:spacing w:before="20" w:line="220" w:lineRule="auto"/>
                            <w:ind w:right="14"/>
                            <w:jc w:val="right"/>
                            <w:rPr>
                              <w:rFonts w:ascii="宋体" w:hAnsi="宋体" w:eastAsia="宋体" w:cs="宋体"/>
                              <w:sz w:val="13"/>
                              <w:szCs w:val="13"/>
                            </w:rPr>
                          </w:pPr>
                          <w:r>
                            <w:rPr>
                              <w:rFonts w:ascii="宋体" w:hAnsi="宋体" w:eastAsia="宋体" w:cs="宋体"/>
                              <w:spacing w:val="-5"/>
                              <w:sz w:val="13"/>
                              <w:szCs w:val="13"/>
                            </w:rPr>
                            <w:t>噪声</w:t>
                          </w:r>
                          <w:r>
                            <w:rPr>
                              <w:rFonts w:ascii="宋体" w:hAnsi="宋体" w:eastAsia="宋体" w:cs="宋体"/>
                              <w:spacing w:val="3"/>
                              <w:sz w:val="13"/>
                              <w:szCs w:val="13"/>
                            </w:rPr>
                            <w:t xml:space="preserve">               </w:t>
                          </w:r>
                          <w:r>
                            <w:rPr>
                              <w:rFonts w:ascii="宋体" w:hAnsi="宋体" w:eastAsia="宋体" w:cs="宋体"/>
                              <w:spacing w:val="-5"/>
                              <w:sz w:val="13"/>
                              <w:szCs w:val="13"/>
                            </w:rPr>
                            <w:t>噪声</w:t>
                          </w:r>
                        </w:p>
                        <w:p w14:paraId="14C5428F">
                          <w:pPr>
                            <w:rPr>
                              <w:rFonts w:ascii="Arial"/>
                              <w:sz w:val="21"/>
                            </w:rPr>
                          </w:pPr>
                        </w:p>
                        <w:p w14:paraId="33C33BAD">
                          <w:pPr>
                            <w:spacing w:before="43" w:line="220" w:lineRule="auto"/>
                            <w:ind w:left="20"/>
                            <w:rPr>
                              <w:rFonts w:ascii="宋体" w:hAnsi="宋体" w:eastAsia="宋体" w:cs="宋体"/>
                              <w:sz w:val="13"/>
                              <w:szCs w:val="13"/>
                            </w:rPr>
                          </w:pPr>
                          <w:r>
                            <w:rPr>
                              <w:rFonts w:ascii="宋体" w:hAnsi="宋体" w:eastAsia="宋体" w:cs="宋体"/>
                              <w:spacing w:val="-2"/>
                              <w:sz w:val="13"/>
                              <w:szCs w:val="13"/>
                            </w:rPr>
                            <w:t>设备安装</w:t>
                          </w:r>
                          <w:r>
                            <w:rPr>
                              <w:rFonts w:ascii="宋体" w:hAnsi="宋体" w:eastAsia="宋体" w:cs="宋体"/>
                              <w:spacing w:val="3"/>
                              <w:sz w:val="13"/>
                              <w:szCs w:val="13"/>
                            </w:rPr>
                            <w:t xml:space="preserve">           </w:t>
                          </w:r>
                          <w:r>
                            <w:rPr>
                              <w:rFonts w:ascii="宋体" w:hAnsi="宋体" w:eastAsia="宋体" w:cs="宋体"/>
                              <w:spacing w:val="-2"/>
                              <w:sz w:val="13"/>
                              <w:szCs w:val="13"/>
                            </w:rPr>
                            <w:t>装修工程</w:t>
                          </w:r>
                        </w:p>
                        <w:p w14:paraId="527B353D">
                          <w:pPr>
                            <w:rPr>
                              <w:rFonts w:ascii="Arial"/>
                              <w:sz w:val="21"/>
                            </w:rPr>
                          </w:pPr>
                        </w:p>
                        <w:p w14:paraId="0DA496B3">
                          <w:pPr>
                            <w:spacing w:before="32" w:line="220" w:lineRule="auto"/>
                            <w:ind w:left="239"/>
                            <w:rPr>
                              <w:rFonts w:ascii="宋体" w:hAnsi="宋体" w:eastAsia="宋体" w:cs="宋体"/>
                              <w:sz w:val="10"/>
                              <w:szCs w:val="10"/>
                            </w:rPr>
                          </w:pPr>
                          <w:r>
                            <w:rPr>
                              <w:rFonts w:ascii="宋体" w:hAnsi="宋体" w:eastAsia="宋体" w:cs="宋体"/>
                              <w:spacing w:val="-1"/>
                              <w:sz w:val="10"/>
                              <w:szCs w:val="10"/>
                            </w:rPr>
                            <w:t>扬尘、废气、噪声</w:t>
                          </w:r>
                        </w:p>
                      </w:txbxContent>
                    </v:textbox>
                  </v:shape>
                  <v:shape id="_x0000_s1068" o:spid="_x0000_s1068" o:spt="202" type="#_x0000_t202" style="position:absolute;left:4229;top:535;height:640;width:1678;" filled="f" stroked="f" coordsize="21600,21600">
                    <v:path/>
                    <v:fill on="f" focussize="0,0"/>
                    <v:stroke on="f"/>
                    <v:imagedata o:title=""/>
                    <o:lock v:ext="edit" aspectratio="f"/>
                    <v:textbox inset="0mm,0mm,0mm,0mm">
                      <w:txbxContent>
                        <w:p w14:paraId="603655EA">
                          <w:pPr>
                            <w:spacing w:before="20" w:line="220" w:lineRule="auto"/>
                            <w:ind w:right="14"/>
                            <w:jc w:val="right"/>
                            <w:rPr>
                              <w:rFonts w:ascii="宋体" w:hAnsi="宋体" w:eastAsia="宋体" w:cs="宋体"/>
                              <w:sz w:val="13"/>
                              <w:szCs w:val="13"/>
                            </w:rPr>
                          </w:pPr>
                          <w:r>
                            <w:rPr>
                              <w:rFonts w:ascii="宋体" w:hAnsi="宋体" w:eastAsia="宋体" w:cs="宋体"/>
                              <w:spacing w:val="-5"/>
                              <w:sz w:val="13"/>
                              <w:szCs w:val="13"/>
                            </w:rPr>
                            <w:t>噪声</w:t>
                          </w:r>
                          <w:r>
                            <w:rPr>
                              <w:rFonts w:ascii="宋体" w:hAnsi="宋体" w:eastAsia="宋体" w:cs="宋体"/>
                              <w:spacing w:val="1"/>
                              <w:sz w:val="13"/>
                              <w:szCs w:val="13"/>
                            </w:rPr>
                            <w:t xml:space="preserve">            </w:t>
                          </w:r>
                          <w:r>
                            <w:rPr>
                              <w:rFonts w:ascii="宋体" w:hAnsi="宋体" w:eastAsia="宋体" w:cs="宋体"/>
                              <w:spacing w:val="-5"/>
                              <w:sz w:val="13"/>
                              <w:szCs w:val="13"/>
                            </w:rPr>
                            <w:t>噪声</w:t>
                          </w:r>
                        </w:p>
                        <w:p w14:paraId="12996A5A">
                          <w:pPr>
                            <w:spacing w:line="270" w:lineRule="auto"/>
                            <w:rPr>
                              <w:rFonts w:ascii="Arial"/>
                              <w:sz w:val="21"/>
                            </w:rPr>
                          </w:pPr>
                        </w:p>
                        <w:p w14:paraId="26A49568">
                          <w:pPr>
                            <w:spacing w:before="42" w:line="220" w:lineRule="auto"/>
                            <w:ind w:left="20"/>
                            <w:rPr>
                              <w:rFonts w:ascii="宋体" w:hAnsi="宋体" w:eastAsia="宋体" w:cs="宋体"/>
                              <w:sz w:val="13"/>
                              <w:szCs w:val="13"/>
                            </w:rPr>
                          </w:pPr>
                          <w:r>
                            <w:rPr>
                              <w:rFonts w:ascii="宋体" w:hAnsi="宋体" w:eastAsia="宋体" w:cs="宋体"/>
                              <w:spacing w:val="-1"/>
                              <w:sz w:val="13"/>
                              <w:szCs w:val="13"/>
                            </w:rPr>
                            <w:t>支架安装        组件安装</w:t>
                          </w:r>
                        </w:p>
                      </w:txbxContent>
                    </v:textbox>
                  </v:shape>
                  <v:shape id="_x0000_s1069" o:spid="_x0000_s1069" o:spt="202" type="#_x0000_t202" style="position:absolute;left:4190;top:1825;height:710;width:890;" filled="f" stroked="f" coordsize="21600,21600">
                    <v:path/>
                    <v:fill on="f" focussize="0,0"/>
                    <v:stroke on="f"/>
                    <v:imagedata o:title=""/>
                    <o:lock v:ext="edit" aspectratio="f"/>
                    <v:textbox inset="0mm,0mm,0mm,0mm">
                      <w:txbxContent>
                        <w:p w14:paraId="14505AD5">
                          <w:pPr>
                            <w:spacing w:before="20" w:line="220" w:lineRule="auto"/>
                            <w:ind w:left="539"/>
                            <w:rPr>
                              <w:rFonts w:ascii="宋体" w:hAnsi="宋体" w:eastAsia="宋体" w:cs="宋体"/>
                              <w:sz w:val="13"/>
                              <w:szCs w:val="13"/>
                            </w:rPr>
                          </w:pPr>
                          <w:r>
                            <w:rPr>
                              <w:rFonts w:ascii="宋体" w:hAnsi="宋体" w:eastAsia="宋体" w:cs="宋体"/>
                              <w:spacing w:val="-3"/>
                              <w:sz w:val="13"/>
                              <w:szCs w:val="13"/>
                            </w:rPr>
                            <w:t>噪声</w:t>
                          </w:r>
                        </w:p>
                        <w:p w14:paraId="49B20CF9">
                          <w:pPr>
                            <w:tabs>
                              <w:tab w:val="left" w:pos="298"/>
                            </w:tabs>
                            <w:spacing w:before="224" w:line="230" w:lineRule="auto"/>
                            <w:ind w:left="20" w:right="20" w:firstLine="99"/>
                            <w:rPr>
                              <w:rFonts w:ascii="宋体" w:hAnsi="宋体" w:eastAsia="宋体" w:cs="宋体"/>
                              <w:sz w:val="13"/>
                              <w:szCs w:val="13"/>
                            </w:rPr>
                          </w:pPr>
                          <w:r>
                            <w:rPr>
                              <w:rFonts w:ascii="宋体" w:hAnsi="宋体" w:eastAsia="宋体" w:cs="宋体"/>
                              <w:spacing w:val="-2"/>
                              <w:sz w:val="13"/>
                              <w:szCs w:val="13"/>
                            </w:rPr>
                            <w:t>箱式变压器</w:t>
                          </w:r>
                          <w:r>
                            <w:rPr>
                              <w:rFonts w:ascii="宋体" w:hAnsi="宋体" w:eastAsia="宋体" w:cs="宋体"/>
                              <w:spacing w:val="1"/>
                              <w:sz w:val="13"/>
                              <w:szCs w:val="13"/>
                            </w:rPr>
                            <w:t xml:space="preserve">  </w:t>
                          </w:r>
                          <w:r>
                            <w:rPr>
                              <w:rFonts w:ascii="宋体" w:hAnsi="宋体" w:eastAsia="宋体" w:cs="宋体"/>
                              <w:sz w:val="13"/>
                              <w:szCs w:val="13"/>
                              <w:u w:val="single" w:color="auto"/>
                            </w:rPr>
                            <w:tab/>
                          </w:r>
                          <w:r>
                            <w:rPr>
                              <w:rFonts w:ascii="宋体" w:hAnsi="宋体" w:eastAsia="宋体" w:cs="宋体"/>
                              <w:spacing w:val="-45"/>
                              <w:sz w:val="13"/>
                              <w:szCs w:val="13"/>
                              <w:u w:val="single" w:color="auto"/>
                            </w:rPr>
                            <w:t xml:space="preserve"> </w:t>
                          </w:r>
                          <w:r>
                            <w:rPr>
                              <w:rFonts w:ascii="宋体" w:hAnsi="宋体" w:eastAsia="宋体" w:cs="宋体"/>
                              <w:spacing w:val="3"/>
                              <w:sz w:val="13"/>
                              <w:szCs w:val="13"/>
                              <w:u w:val="single" w:color="auto"/>
                            </w:rPr>
                            <w:t>吊装</w:t>
                          </w:r>
                          <w:r>
                            <w:rPr>
                              <w:rFonts w:ascii="宋体" w:hAnsi="宋体" w:eastAsia="宋体" w:cs="宋体"/>
                              <w:sz w:val="13"/>
                              <w:szCs w:val="13"/>
                              <w:u w:val="single" w:color="auto"/>
                            </w:rPr>
                            <w:t xml:space="preserve">     </w:t>
                          </w:r>
                        </w:p>
                      </w:txbxContent>
                    </v:textbox>
                  </v:shape>
                  <v:shape id="_x0000_s1070" o:spid="_x0000_s1070" o:spt="202" type="#_x0000_t202" style="position:absolute;left:110;top:2835;height:170;width:814;" filled="f" stroked="f" coordsize="21600,21600">
                    <v:path/>
                    <v:fill on="f" focussize="0,0"/>
                    <v:stroke on="f"/>
                    <v:imagedata o:title=""/>
                    <o:lock v:ext="edit" aspectratio="f"/>
                    <v:textbox inset="0mm,0mm,0mm,0mm">
                      <w:txbxContent>
                        <w:p w14:paraId="61BD2CCB">
                          <w:pPr>
                            <w:spacing w:before="20" w:line="220" w:lineRule="auto"/>
                            <w:ind w:left="20"/>
                            <w:rPr>
                              <w:rFonts w:ascii="宋体" w:hAnsi="宋体" w:eastAsia="宋体" w:cs="宋体"/>
                              <w:sz w:val="13"/>
                              <w:szCs w:val="13"/>
                            </w:rPr>
                          </w:pPr>
                          <w:r>
                            <w:rPr>
                              <w:rFonts w:ascii="宋体" w:hAnsi="宋体" w:eastAsia="宋体" w:cs="宋体"/>
                              <w:spacing w:val="-1"/>
                              <w:sz w:val="13"/>
                              <w:szCs w:val="13"/>
                            </w:rPr>
                            <w:t>混凝土拌合站</w:t>
                          </w:r>
                        </w:p>
                      </w:txbxContent>
                    </v:textbox>
                  </v:shape>
                  <v:shape id="_x0000_s1071" o:spid="_x0000_s1071" o:spt="202" type="#_x0000_t202" style="position:absolute;left:4559;top:4435;height:170;width:567;" filled="f" stroked="f" coordsize="21600,21600">
                    <v:path/>
                    <v:fill on="f" focussize="0,0"/>
                    <v:stroke on="f"/>
                    <v:imagedata o:title=""/>
                    <o:lock v:ext="edit" aspectratio="f"/>
                    <v:textbox inset="0mm,0mm,0mm,0mm">
                      <w:txbxContent>
                        <w:p w14:paraId="2668B514">
                          <w:pPr>
                            <w:spacing w:before="20" w:line="220" w:lineRule="auto"/>
                            <w:ind w:left="20"/>
                            <w:rPr>
                              <w:rFonts w:ascii="宋体" w:hAnsi="宋体" w:eastAsia="宋体" w:cs="宋体"/>
                              <w:sz w:val="13"/>
                              <w:szCs w:val="13"/>
                            </w:rPr>
                          </w:pPr>
                          <w:r>
                            <w:rPr>
                              <w:rFonts w:ascii="宋体" w:hAnsi="宋体" w:eastAsia="宋体" w:cs="宋体"/>
                              <w:spacing w:val="1"/>
                              <w:sz w:val="13"/>
                              <w:szCs w:val="13"/>
                            </w:rPr>
                            <w:t>回填夯实</w:t>
                          </w:r>
                        </w:p>
                      </w:txbxContent>
                    </v:textbox>
                  </v:shape>
                  <v:shape id="_x0000_s1072" o:spid="_x0000_s1072" o:spt="202" type="#_x0000_t202" style="position:absolute;left:3429;top:4435;height:170;width:555;" filled="f" stroked="f" coordsize="21600,21600">
                    <v:path/>
                    <v:fill on="f" focussize="0,0"/>
                    <v:stroke on="f"/>
                    <v:imagedata o:title=""/>
                    <o:lock v:ext="edit" aspectratio="f"/>
                    <v:textbox inset="0mm,0mm,0mm,0mm">
                      <w:txbxContent>
                        <w:p w14:paraId="38623E95">
                          <w:pPr>
                            <w:spacing w:before="20" w:line="184" w:lineRule="auto"/>
                            <w:ind w:left="20"/>
                            <w:rPr>
                              <w:rFonts w:ascii="宋体" w:hAnsi="宋体" w:eastAsia="宋体" w:cs="宋体"/>
                              <w:sz w:val="13"/>
                              <w:szCs w:val="13"/>
                            </w:rPr>
                          </w:pPr>
                          <w:r>
                            <w:rPr>
                              <w:rFonts w:ascii="宋体" w:hAnsi="宋体" w:eastAsia="宋体" w:cs="宋体"/>
                              <w:spacing w:val="-1"/>
                              <w:sz w:val="13"/>
                              <w:szCs w:val="13"/>
                            </w:rPr>
                            <w:t>施放线缆</w:t>
                          </w:r>
                        </w:p>
                      </w:txbxContent>
                    </v:textbox>
                  </v:shape>
                  <v:shape id="_x0000_s1073" o:spid="_x0000_s1073" o:spt="202" type="#_x0000_t202" style="position:absolute;left:2069;top:1726;height:170;width:555;" filled="f" stroked="f" coordsize="21600,21600">
                    <v:path/>
                    <v:fill on="f" focussize="0,0"/>
                    <v:stroke on="f"/>
                    <v:imagedata o:title=""/>
                    <o:lock v:ext="edit" aspectratio="f"/>
                    <v:textbox inset="0mm,0mm,0mm,0mm">
                      <w:txbxContent>
                        <w:p w14:paraId="24A1EAAD">
                          <w:pPr>
                            <w:spacing w:before="20" w:line="184" w:lineRule="auto"/>
                            <w:ind w:left="20"/>
                            <w:rPr>
                              <w:rFonts w:ascii="宋体" w:hAnsi="宋体" w:eastAsia="宋体" w:cs="宋体"/>
                              <w:sz w:val="13"/>
                              <w:szCs w:val="13"/>
                            </w:rPr>
                          </w:pPr>
                          <w:r>
                            <w:rPr>
                              <w:rFonts w:ascii="宋体" w:hAnsi="宋体" w:eastAsia="宋体" w:cs="宋体"/>
                              <w:spacing w:val="-1"/>
                              <w:sz w:val="13"/>
                              <w:szCs w:val="13"/>
                              <w:u w:val="single" w:color="auto"/>
                            </w:rPr>
                            <w:t>基础开挖</w:t>
                          </w:r>
                        </w:p>
                      </w:txbxContent>
                    </v:textbox>
                  </v:shape>
                  <v:shape id="_x0000_s1074" o:spid="_x0000_s1074" o:spt="75" type="#_x0000_t75" style="position:absolute;left:1900;top:4669;height:18;width:930;" filled="f" stroked="f" coordsize="21600,21600">
                    <v:path/>
                    <v:fill on="f" focussize="0,0"/>
                    <v:stroke on="f"/>
                    <v:imagedata r:id="rId288" o:title=""/>
                    <o:lock v:ext="edit" aspectratio="t"/>
                  </v:shape>
                  <w10:wrap type="none"/>
                  <w10:anchorlock/>
                </v:group>
              </w:pict>
            </w:r>
          </w:p>
        </w:tc>
      </w:tr>
      <w:tr w14:paraId="7DCA6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3" w:hRule="atLeast"/>
        </w:trPr>
        <w:tc>
          <w:tcPr>
            <w:tcW w:w="714" w:type="dxa"/>
            <w:vMerge w:val="continue"/>
            <w:tcBorders>
              <w:top w:val="nil"/>
              <w:bottom w:val="nil"/>
            </w:tcBorders>
            <w:vAlign w:val="top"/>
          </w:tcPr>
          <w:p w14:paraId="434D4DAE">
            <w:pPr>
              <w:rPr>
                <w:rFonts w:ascii="Arial"/>
                <w:sz w:val="21"/>
              </w:rPr>
            </w:pPr>
          </w:p>
        </w:tc>
        <w:tc>
          <w:tcPr>
            <w:tcW w:w="8365" w:type="dxa"/>
            <w:gridSpan w:val="7"/>
            <w:tcBorders>
              <w:top w:val="nil"/>
            </w:tcBorders>
            <w:shd w:val="clear" w:color="auto" w:fill="FFFFFF"/>
            <w:vAlign w:val="top"/>
          </w:tcPr>
          <w:p w14:paraId="5CF8EF3B">
            <w:pPr>
              <w:pStyle w:val="6"/>
              <w:spacing w:before="257" w:line="220" w:lineRule="auto"/>
              <w:ind w:left="1030"/>
              <w:rPr>
                <w:sz w:val="13"/>
                <w:szCs w:val="13"/>
              </w:rPr>
            </w:pPr>
            <w:r>
              <w:drawing>
                <wp:anchor distT="0" distB="0" distL="0" distR="0" simplePos="0" relativeHeight="251683840" behindDoc="0" locked="0" layoutInCell="1" allowOverlap="1">
                  <wp:simplePos x="0" y="0"/>
                  <wp:positionH relativeFrom="column">
                    <wp:posOffset>654050</wp:posOffset>
                  </wp:positionH>
                  <wp:positionV relativeFrom="paragraph">
                    <wp:posOffset>121920</wp:posOffset>
                  </wp:positionV>
                  <wp:extent cx="4184650" cy="74295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289"/>
                          <a:stretch>
                            <a:fillRect/>
                          </a:stretch>
                        </pic:blipFill>
                        <pic:spPr>
                          <a:xfrm>
                            <a:off x="0" y="0"/>
                            <a:ext cx="4184676" cy="742856"/>
                          </a:xfrm>
                          <a:prstGeom prst="rect">
                            <a:avLst/>
                          </a:prstGeom>
                        </pic:spPr>
                      </pic:pic>
                    </a:graphicData>
                  </a:graphic>
                </wp:anchor>
              </w:drawing>
            </w:r>
            <w:r>
              <w:rPr>
                <w:position w:val="2"/>
                <w:sz w:val="13"/>
                <w:szCs w:val="13"/>
              </w:rPr>
              <w:t xml:space="preserve">扬尘、噪声、固废、生态、废气        </w:t>
            </w:r>
            <w:r>
              <w:rPr>
                <w:position w:val="-3"/>
                <w:sz w:val="13"/>
                <w:szCs w:val="13"/>
              </w:rPr>
              <w:t xml:space="preserve">扬尘、噪声、固废、生态、废气       </w:t>
            </w:r>
            <w:r>
              <w:rPr>
                <w:sz w:val="13"/>
                <w:szCs w:val="13"/>
              </w:rPr>
              <w:t>扬尘、</w:t>
            </w:r>
            <w:r>
              <w:rPr>
                <w:spacing w:val="-1"/>
                <w:sz w:val="13"/>
                <w:szCs w:val="13"/>
              </w:rPr>
              <w:t>噪声、固废、生态、废气</w:t>
            </w:r>
          </w:p>
          <w:p w14:paraId="07F38BB7">
            <w:pPr>
              <w:spacing w:line="242" w:lineRule="auto"/>
              <w:rPr>
                <w:rFonts w:ascii="Arial"/>
                <w:sz w:val="21"/>
              </w:rPr>
            </w:pPr>
          </w:p>
          <w:p w14:paraId="2C265C55">
            <w:pPr>
              <w:spacing w:line="242" w:lineRule="auto"/>
              <w:rPr>
                <w:rFonts w:ascii="Arial"/>
                <w:sz w:val="21"/>
              </w:rPr>
            </w:pPr>
          </w:p>
          <w:p w14:paraId="22F7E9D2">
            <w:pPr>
              <w:pStyle w:val="6"/>
              <w:spacing w:before="95" w:line="220" w:lineRule="auto"/>
              <w:ind w:left="1620"/>
              <w:rPr>
                <w:sz w:val="29"/>
                <w:szCs w:val="29"/>
              </w:rPr>
            </w:pPr>
            <w:r>
              <w:rPr>
                <w:spacing w:val="2"/>
                <w:position w:val="-1"/>
                <w:sz w:val="26"/>
                <w:szCs w:val="26"/>
                <w:u w:val="single" w:color="auto"/>
              </w:rPr>
              <w:t>基础施工</w:t>
            </w:r>
            <w:r>
              <w:rPr>
                <w:position w:val="-1"/>
                <w:sz w:val="26"/>
                <w:szCs w:val="26"/>
              </w:rPr>
              <w:t xml:space="preserve">  </w:t>
            </w:r>
            <w:r>
              <w:rPr>
                <w:strike/>
                <w:spacing w:val="-59"/>
                <w:position w:val="9"/>
                <w:sz w:val="13"/>
                <w:szCs w:val="13"/>
              </w:rPr>
              <w:t xml:space="preserve"> </w:t>
            </w:r>
            <w:r>
              <w:rPr>
                <w:strike/>
                <w:spacing w:val="2"/>
                <w:position w:val="9"/>
                <w:sz w:val="13"/>
                <w:szCs w:val="13"/>
              </w:rPr>
              <w:t>肝塔组立、土石方回填</w:t>
            </w:r>
            <w:r>
              <w:rPr>
                <w:spacing w:val="2"/>
                <w:position w:val="9"/>
                <w:sz w:val="13"/>
                <w:szCs w:val="13"/>
              </w:rPr>
              <w:t xml:space="preserve">             </w:t>
            </w:r>
            <w:r>
              <w:rPr>
                <w:spacing w:val="-126"/>
                <w:position w:val="-3"/>
                <w:sz w:val="29"/>
                <w:szCs w:val="29"/>
                <w:u w:val="single" w:color="auto"/>
              </w:rPr>
              <w:t xml:space="preserve"> </w:t>
            </w:r>
            <w:r>
              <w:rPr>
                <w:spacing w:val="2"/>
                <w:position w:val="-3"/>
                <w:sz w:val="29"/>
                <w:szCs w:val="29"/>
                <w:u w:val="single" w:color="auto"/>
              </w:rPr>
              <w:t>导线架设</w:t>
            </w:r>
          </w:p>
          <w:p w14:paraId="6926C16D">
            <w:pPr>
              <w:spacing w:line="288" w:lineRule="auto"/>
              <w:rPr>
                <w:rFonts w:ascii="Arial"/>
                <w:sz w:val="21"/>
              </w:rPr>
            </w:pPr>
          </w:p>
          <w:p w14:paraId="57F14AEB">
            <w:pPr>
              <w:pStyle w:val="6"/>
              <w:spacing w:before="78" w:line="219" w:lineRule="auto"/>
              <w:ind w:left="2484"/>
              <w:rPr>
                <w:sz w:val="24"/>
                <w:szCs w:val="24"/>
              </w:rPr>
            </w:pPr>
            <w:r>
              <w:rPr>
                <w:b/>
                <w:bCs/>
                <w:spacing w:val="-2"/>
                <w:sz w:val="24"/>
                <w:szCs w:val="24"/>
              </w:rPr>
              <w:t>图2-9</w:t>
            </w:r>
            <w:r>
              <w:rPr>
                <w:spacing w:val="-2"/>
                <w:sz w:val="24"/>
                <w:szCs w:val="24"/>
              </w:rPr>
              <w:t xml:space="preserve">  </w:t>
            </w:r>
            <w:r>
              <w:rPr>
                <w:b/>
                <w:bCs/>
                <w:spacing w:val="-2"/>
                <w:sz w:val="24"/>
                <w:szCs w:val="24"/>
              </w:rPr>
              <w:t>施工期工艺流程及产污节点</w:t>
            </w:r>
          </w:p>
          <w:p w14:paraId="2CB78E06">
            <w:pPr>
              <w:pStyle w:val="6"/>
              <w:spacing w:before="196" w:line="220" w:lineRule="auto"/>
              <w:ind w:left="74"/>
              <w:rPr>
                <w:sz w:val="26"/>
                <w:szCs w:val="26"/>
              </w:rPr>
            </w:pPr>
            <w:r>
              <w:rPr>
                <w:b/>
                <w:bCs/>
                <w:color w:val="C0B0B0"/>
                <w:spacing w:val="-5"/>
                <w:sz w:val="26"/>
                <w:szCs w:val="26"/>
              </w:rPr>
              <w:t>4</w:t>
            </w:r>
            <w:r>
              <w:rPr>
                <w:b/>
                <w:bCs/>
                <w:spacing w:val="-5"/>
                <w:sz w:val="26"/>
                <w:szCs w:val="26"/>
              </w:rPr>
              <w:t>施工总进度</w:t>
            </w:r>
          </w:p>
          <w:p w14:paraId="6FDCC85A">
            <w:pPr>
              <w:pStyle w:val="6"/>
              <w:spacing w:before="150" w:line="362" w:lineRule="auto"/>
              <w:ind w:left="101" w:right="100" w:firstLine="459"/>
              <w:rPr>
                <w:sz w:val="24"/>
                <w:szCs w:val="24"/>
              </w:rPr>
            </w:pPr>
            <w:r>
              <w:rPr>
                <w:sz w:val="24"/>
                <w:szCs w:val="24"/>
              </w:rPr>
              <w:t>本工程施工进度的制约因素主要为升压站土建、光伏阵列基础和支架施工</w:t>
            </w:r>
            <w:r>
              <w:rPr>
                <w:spacing w:val="12"/>
                <w:sz w:val="24"/>
                <w:szCs w:val="24"/>
              </w:rPr>
              <w:t xml:space="preserve"> </w:t>
            </w:r>
            <w:r>
              <w:rPr>
                <w:spacing w:val="1"/>
                <w:sz w:val="24"/>
                <w:szCs w:val="24"/>
              </w:rPr>
              <w:t>以及光伏组件安装。经工程类比，结合本工</w:t>
            </w:r>
            <w:r>
              <w:rPr>
                <w:sz w:val="24"/>
                <w:szCs w:val="24"/>
              </w:rPr>
              <w:t>程实际，项目施工期7个月，预计 从2024年11月开工进行建设，于2025年5月竣工，项目施工期的施工人员高</w:t>
            </w:r>
          </w:p>
          <w:p w14:paraId="15C5F355">
            <w:pPr>
              <w:pStyle w:val="6"/>
              <w:spacing w:line="219" w:lineRule="auto"/>
              <w:ind w:left="80"/>
              <w:rPr>
                <w:sz w:val="24"/>
                <w:szCs w:val="24"/>
              </w:rPr>
            </w:pPr>
            <w:r>
              <w:rPr>
                <w:sz w:val="24"/>
                <w:szCs w:val="24"/>
              </w:rPr>
              <w:t>峰人数约200人。</w:t>
            </w:r>
          </w:p>
          <w:p w14:paraId="6F37ABE6">
            <w:pPr>
              <w:pStyle w:val="6"/>
              <w:spacing w:before="183" w:line="221" w:lineRule="auto"/>
              <w:ind w:left="74"/>
              <w:rPr>
                <w:sz w:val="24"/>
                <w:szCs w:val="24"/>
              </w:rPr>
            </w:pPr>
            <w:r>
              <w:rPr>
                <w:b/>
                <w:bCs/>
                <w:spacing w:val="-5"/>
                <w:sz w:val="24"/>
                <w:szCs w:val="24"/>
              </w:rPr>
              <w:t>5主要施工设备</w:t>
            </w:r>
          </w:p>
          <w:p w14:paraId="020F5B92">
            <w:pPr>
              <w:pStyle w:val="6"/>
              <w:spacing w:before="163" w:line="219" w:lineRule="auto"/>
              <w:ind w:left="570"/>
              <w:rPr>
                <w:sz w:val="24"/>
                <w:szCs w:val="24"/>
              </w:rPr>
            </w:pPr>
            <w:r>
              <w:rPr>
                <w:spacing w:val="1"/>
                <w:sz w:val="24"/>
                <w:szCs w:val="24"/>
              </w:rPr>
              <w:t>施工期主要施工机械设备汇总见表2-7。</w:t>
            </w:r>
          </w:p>
          <w:p w14:paraId="0F3A20F3">
            <w:pPr>
              <w:pStyle w:val="6"/>
              <w:spacing w:before="195" w:line="195" w:lineRule="auto"/>
              <w:ind w:left="2494"/>
              <w:rPr>
                <w:sz w:val="24"/>
                <w:szCs w:val="24"/>
              </w:rPr>
            </w:pPr>
            <w:r>
              <w:rPr>
                <w:b/>
                <w:bCs/>
                <w:spacing w:val="-3"/>
                <w:sz w:val="24"/>
                <w:szCs w:val="24"/>
              </w:rPr>
              <w:t>表2-7</w:t>
            </w:r>
            <w:r>
              <w:rPr>
                <w:spacing w:val="-3"/>
                <w:sz w:val="24"/>
                <w:szCs w:val="24"/>
              </w:rPr>
              <w:t xml:space="preserve">    </w:t>
            </w:r>
            <w:r>
              <w:rPr>
                <w:b/>
                <w:bCs/>
                <w:spacing w:val="-3"/>
                <w:sz w:val="24"/>
                <w:szCs w:val="24"/>
              </w:rPr>
              <w:t>主要施工设备汇总表</w:t>
            </w:r>
          </w:p>
        </w:tc>
      </w:tr>
      <w:tr w14:paraId="726DE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714" w:type="dxa"/>
            <w:vMerge w:val="continue"/>
            <w:tcBorders>
              <w:top w:val="nil"/>
              <w:bottom w:val="nil"/>
            </w:tcBorders>
            <w:vAlign w:val="top"/>
          </w:tcPr>
          <w:p w14:paraId="67C45CAF">
            <w:pPr>
              <w:rPr>
                <w:rFonts w:ascii="Arial"/>
                <w:sz w:val="21"/>
              </w:rPr>
            </w:pPr>
          </w:p>
        </w:tc>
        <w:tc>
          <w:tcPr>
            <w:tcW w:w="420" w:type="dxa"/>
            <w:vMerge w:val="restart"/>
            <w:tcBorders>
              <w:bottom w:val="nil"/>
            </w:tcBorders>
            <w:vAlign w:val="top"/>
          </w:tcPr>
          <w:p w14:paraId="75C93714">
            <w:pPr>
              <w:rPr>
                <w:rFonts w:ascii="Arial"/>
                <w:sz w:val="21"/>
              </w:rPr>
            </w:pPr>
          </w:p>
        </w:tc>
        <w:tc>
          <w:tcPr>
            <w:tcW w:w="559" w:type="dxa"/>
            <w:vAlign w:val="top"/>
          </w:tcPr>
          <w:p w14:paraId="7EA9C570">
            <w:pPr>
              <w:pStyle w:val="6"/>
              <w:spacing w:before="108" w:line="221" w:lineRule="auto"/>
              <w:ind w:left="70"/>
              <w:rPr>
                <w:sz w:val="20"/>
                <w:szCs w:val="20"/>
              </w:rPr>
            </w:pPr>
            <w:r>
              <w:rPr>
                <w:spacing w:val="-2"/>
                <w:sz w:val="20"/>
                <w:szCs w:val="20"/>
              </w:rPr>
              <w:t>序号</w:t>
            </w:r>
          </w:p>
        </w:tc>
        <w:tc>
          <w:tcPr>
            <w:tcW w:w="1648" w:type="dxa"/>
            <w:vAlign w:val="top"/>
          </w:tcPr>
          <w:p w14:paraId="63091ED3">
            <w:pPr>
              <w:pStyle w:val="6"/>
              <w:spacing w:before="106" w:line="219" w:lineRule="auto"/>
              <w:ind w:left="212"/>
              <w:rPr>
                <w:sz w:val="20"/>
                <w:szCs w:val="20"/>
              </w:rPr>
            </w:pPr>
            <w:r>
              <w:rPr>
                <w:spacing w:val="-1"/>
                <w:sz w:val="20"/>
                <w:szCs w:val="20"/>
              </w:rPr>
              <w:t>施工机械名称</w:t>
            </w:r>
          </w:p>
        </w:tc>
        <w:tc>
          <w:tcPr>
            <w:tcW w:w="2567" w:type="dxa"/>
            <w:vAlign w:val="top"/>
          </w:tcPr>
          <w:p w14:paraId="1C39844F">
            <w:pPr>
              <w:pStyle w:val="6"/>
              <w:spacing w:before="107" w:line="219" w:lineRule="auto"/>
              <w:ind w:left="873"/>
              <w:rPr>
                <w:sz w:val="20"/>
                <w:szCs w:val="20"/>
              </w:rPr>
            </w:pPr>
            <w:r>
              <w:rPr>
                <w:spacing w:val="3"/>
                <w:sz w:val="20"/>
                <w:szCs w:val="20"/>
              </w:rPr>
              <w:t>参考型号</w:t>
            </w:r>
          </w:p>
        </w:tc>
        <w:tc>
          <w:tcPr>
            <w:tcW w:w="1648" w:type="dxa"/>
            <w:vAlign w:val="top"/>
          </w:tcPr>
          <w:p w14:paraId="7F987FF7">
            <w:pPr>
              <w:pStyle w:val="6"/>
              <w:spacing w:before="107" w:line="220" w:lineRule="auto"/>
              <w:ind w:left="617"/>
              <w:rPr>
                <w:sz w:val="20"/>
                <w:szCs w:val="20"/>
              </w:rPr>
            </w:pPr>
            <w:r>
              <w:rPr>
                <w:spacing w:val="-3"/>
                <w:sz w:val="20"/>
                <w:szCs w:val="20"/>
              </w:rPr>
              <w:t>单位</w:t>
            </w:r>
          </w:p>
        </w:tc>
        <w:tc>
          <w:tcPr>
            <w:tcW w:w="949" w:type="dxa"/>
            <w:vAlign w:val="top"/>
          </w:tcPr>
          <w:p w14:paraId="41239411">
            <w:pPr>
              <w:pStyle w:val="6"/>
              <w:spacing w:before="107" w:line="219" w:lineRule="auto"/>
              <w:ind w:left="268"/>
              <w:rPr>
                <w:sz w:val="20"/>
                <w:szCs w:val="20"/>
              </w:rPr>
            </w:pPr>
            <w:r>
              <w:rPr>
                <w:spacing w:val="-3"/>
                <w:sz w:val="20"/>
                <w:szCs w:val="20"/>
              </w:rPr>
              <w:t>数量</w:t>
            </w:r>
          </w:p>
        </w:tc>
        <w:tc>
          <w:tcPr>
            <w:tcW w:w="574" w:type="dxa"/>
            <w:vMerge w:val="restart"/>
            <w:tcBorders>
              <w:bottom w:val="nil"/>
            </w:tcBorders>
            <w:vAlign w:val="top"/>
          </w:tcPr>
          <w:p w14:paraId="7A152427">
            <w:pPr>
              <w:rPr>
                <w:rFonts w:ascii="Arial"/>
                <w:sz w:val="21"/>
              </w:rPr>
            </w:pPr>
          </w:p>
        </w:tc>
      </w:tr>
      <w:tr w14:paraId="74B6F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714" w:type="dxa"/>
            <w:vMerge w:val="continue"/>
            <w:tcBorders>
              <w:top w:val="nil"/>
              <w:bottom w:val="nil"/>
            </w:tcBorders>
            <w:vAlign w:val="top"/>
          </w:tcPr>
          <w:p w14:paraId="595224BA">
            <w:pPr>
              <w:rPr>
                <w:rFonts w:ascii="Arial"/>
                <w:sz w:val="21"/>
              </w:rPr>
            </w:pPr>
          </w:p>
        </w:tc>
        <w:tc>
          <w:tcPr>
            <w:tcW w:w="420" w:type="dxa"/>
            <w:vMerge w:val="continue"/>
            <w:tcBorders>
              <w:top w:val="nil"/>
              <w:bottom w:val="nil"/>
            </w:tcBorders>
            <w:vAlign w:val="top"/>
          </w:tcPr>
          <w:p w14:paraId="4DD1206F">
            <w:pPr>
              <w:rPr>
                <w:rFonts w:ascii="Arial"/>
                <w:sz w:val="21"/>
              </w:rPr>
            </w:pPr>
          </w:p>
        </w:tc>
        <w:tc>
          <w:tcPr>
            <w:tcW w:w="559" w:type="dxa"/>
            <w:vMerge w:val="restart"/>
            <w:tcBorders>
              <w:bottom w:val="nil"/>
            </w:tcBorders>
            <w:vAlign w:val="top"/>
          </w:tcPr>
          <w:p w14:paraId="181B24F4">
            <w:pPr>
              <w:spacing w:line="252" w:lineRule="auto"/>
              <w:rPr>
                <w:rFonts w:ascii="Arial"/>
                <w:sz w:val="21"/>
              </w:rPr>
            </w:pPr>
          </w:p>
          <w:p w14:paraId="26814526">
            <w:pPr>
              <w:spacing w:line="252" w:lineRule="auto"/>
              <w:rPr>
                <w:rFonts w:ascii="Arial"/>
                <w:sz w:val="21"/>
              </w:rPr>
            </w:pPr>
          </w:p>
          <w:p w14:paraId="6A6F9483">
            <w:pPr>
              <w:spacing w:line="253" w:lineRule="auto"/>
              <w:rPr>
                <w:rFonts w:ascii="Arial"/>
                <w:sz w:val="21"/>
              </w:rPr>
            </w:pPr>
          </w:p>
          <w:p w14:paraId="12AF0E25">
            <w:pPr>
              <w:pStyle w:val="6"/>
              <w:spacing w:before="65" w:line="241" w:lineRule="auto"/>
              <w:ind w:left="221"/>
              <w:rPr>
                <w:sz w:val="20"/>
                <w:szCs w:val="20"/>
              </w:rPr>
            </w:pPr>
            <w:r>
              <w:rPr>
                <w:sz w:val="20"/>
                <w:szCs w:val="20"/>
              </w:rPr>
              <w:t>1</w:t>
            </w:r>
          </w:p>
        </w:tc>
        <w:tc>
          <w:tcPr>
            <w:tcW w:w="1648" w:type="dxa"/>
            <w:vMerge w:val="restart"/>
            <w:tcBorders>
              <w:bottom w:val="nil"/>
            </w:tcBorders>
            <w:vAlign w:val="top"/>
          </w:tcPr>
          <w:p w14:paraId="263FC8EF">
            <w:pPr>
              <w:spacing w:line="242" w:lineRule="auto"/>
              <w:rPr>
                <w:rFonts w:ascii="Arial"/>
                <w:sz w:val="21"/>
              </w:rPr>
            </w:pPr>
          </w:p>
          <w:p w14:paraId="09B332F4">
            <w:pPr>
              <w:spacing w:line="242" w:lineRule="auto"/>
              <w:rPr>
                <w:rFonts w:ascii="Arial"/>
                <w:sz w:val="21"/>
              </w:rPr>
            </w:pPr>
          </w:p>
          <w:p w14:paraId="65319923">
            <w:pPr>
              <w:spacing w:line="242" w:lineRule="auto"/>
              <w:rPr>
                <w:rFonts w:ascii="Arial"/>
                <w:sz w:val="21"/>
              </w:rPr>
            </w:pPr>
          </w:p>
          <w:p w14:paraId="29B6B7FF">
            <w:pPr>
              <w:pStyle w:val="6"/>
              <w:spacing w:before="65" w:line="219" w:lineRule="auto"/>
              <w:ind w:left="512"/>
              <w:rPr>
                <w:sz w:val="20"/>
                <w:szCs w:val="20"/>
              </w:rPr>
            </w:pPr>
            <w:r>
              <w:rPr>
                <w:spacing w:val="-2"/>
                <w:sz w:val="20"/>
                <w:szCs w:val="20"/>
              </w:rPr>
              <w:t>挖掘机</w:t>
            </w:r>
          </w:p>
        </w:tc>
        <w:tc>
          <w:tcPr>
            <w:tcW w:w="2567" w:type="dxa"/>
            <w:vAlign w:val="top"/>
          </w:tcPr>
          <w:p w14:paraId="228235A8">
            <w:pPr>
              <w:pStyle w:val="6"/>
              <w:spacing w:before="237" w:line="219" w:lineRule="auto"/>
              <w:ind w:left="73"/>
              <w:rPr>
                <w:sz w:val="20"/>
                <w:szCs w:val="20"/>
              </w:rPr>
            </w:pPr>
            <w:r>
              <w:rPr>
                <w:spacing w:val="8"/>
                <w:sz w:val="20"/>
                <w:szCs w:val="20"/>
              </w:rPr>
              <w:t>小松</w:t>
            </w:r>
            <w:r>
              <w:rPr>
                <w:sz w:val="20"/>
                <w:szCs w:val="20"/>
              </w:rPr>
              <w:t>PC</w:t>
            </w:r>
            <w:r>
              <w:rPr>
                <w:spacing w:val="8"/>
                <w:sz w:val="20"/>
                <w:szCs w:val="20"/>
              </w:rPr>
              <w:t>110-7(斗容0.48m³)</w:t>
            </w:r>
          </w:p>
        </w:tc>
        <w:tc>
          <w:tcPr>
            <w:tcW w:w="1648" w:type="dxa"/>
            <w:vAlign w:val="top"/>
          </w:tcPr>
          <w:p w14:paraId="0999B75B">
            <w:pPr>
              <w:pStyle w:val="6"/>
              <w:spacing w:before="240" w:line="221" w:lineRule="auto"/>
              <w:ind w:left="716"/>
              <w:rPr>
                <w:sz w:val="20"/>
                <w:szCs w:val="20"/>
              </w:rPr>
            </w:pPr>
            <w:r>
              <w:rPr>
                <w:sz w:val="20"/>
                <w:szCs w:val="20"/>
              </w:rPr>
              <w:t>台</w:t>
            </w:r>
          </w:p>
        </w:tc>
        <w:tc>
          <w:tcPr>
            <w:tcW w:w="949" w:type="dxa"/>
            <w:vAlign w:val="top"/>
          </w:tcPr>
          <w:p w14:paraId="3A07BA8B">
            <w:pPr>
              <w:pStyle w:val="6"/>
              <w:spacing w:before="256"/>
              <w:ind w:left="418"/>
              <w:rPr>
                <w:sz w:val="20"/>
                <w:szCs w:val="20"/>
              </w:rPr>
            </w:pPr>
            <w:r>
              <w:rPr>
                <w:sz w:val="20"/>
                <w:szCs w:val="20"/>
              </w:rPr>
              <w:t>3</w:t>
            </w:r>
          </w:p>
        </w:tc>
        <w:tc>
          <w:tcPr>
            <w:tcW w:w="574" w:type="dxa"/>
            <w:vMerge w:val="continue"/>
            <w:tcBorders>
              <w:top w:val="nil"/>
              <w:bottom w:val="nil"/>
            </w:tcBorders>
            <w:vAlign w:val="top"/>
          </w:tcPr>
          <w:p w14:paraId="1293EE5C">
            <w:pPr>
              <w:rPr>
                <w:rFonts w:ascii="Arial"/>
                <w:sz w:val="21"/>
              </w:rPr>
            </w:pPr>
          </w:p>
        </w:tc>
      </w:tr>
      <w:tr w14:paraId="204EB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714" w:type="dxa"/>
            <w:vMerge w:val="continue"/>
            <w:tcBorders>
              <w:top w:val="nil"/>
              <w:bottom w:val="nil"/>
            </w:tcBorders>
            <w:vAlign w:val="top"/>
          </w:tcPr>
          <w:p w14:paraId="33596FB3">
            <w:pPr>
              <w:rPr>
                <w:rFonts w:ascii="Arial"/>
                <w:sz w:val="21"/>
              </w:rPr>
            </w:pPr>
          </w:p>
        </w:tc>
        <w:tc>
          <w:tcPr>
            <w:tcW w:w="420" w:type="dxa"/>
            <w:vMerge w:val="continue"/>
            <w:tcBorders>
              <w:top w:val="nil"/>
              <w:bottom w:val="nil"/>
            </w:tcBorders>
            <w:vAlign w:val="top"/>
          </w:tcPr>
          <w:p w14:paraId="38EC5182">
            <w:pPr>
              <w:rPr>
                <w:rFonts w:ascii="Arial"/>
                <w:sz w:val="21"/>
              </w:rPr>
            </w:pPr>
          </w:p>
        </w:tc>
        <w:tc>
          <w:tcPr>
            <w:tcW w:w="559" w:type="dxa"/>
            <w:vMerge w:val="continue"/>
            <w:tcBorders>
              <w:top w:val="nil"/>
            </w:tcBorders>
            <w:vAlign w:val="top"/>
          </w:tcPr>
          <w:p w14:paraId="4C9C1DDE">
            <w:pPr>
              <w:rPr>
                <w:rFonts w:ascii="Arial"/>
                <w:sz w:val="21"/>
              </w:rPr>
            </w:pPr>
          </w:p>
        </w:tc>
        <w:tc>
          <w:tcPr>
            <w:tcW w:w="1648" w:type="dxa"/>
            <w:vMerge w:val="continue"/>
            <w:tcBorders>
              <w:top w:val="nil"/>
            </w:tcBorders>
            <w:vAlign w:val="top"/>
          </w:tcPr>
          <w:p w14:paraId="7E8BBB91">
            <w:pPr>
              <w:rPr>
                <w:rFonts w:ascii="Arial"/>
                <w:sz w:val="21"/>
              </w:rPr>
            </w:pPr>
          </w:p>
        </w:tc>
        <w:tc>
          <w:tcPr>
            <w:tcW w:w="2567" w:type="dxa"/>
            <w:vAlign w:val="top"/>
          </w:tcPr>
          <w:p w14:paraId="063BF3FF">
            <w:pPr>
              <w:pStyle w:val="6"/>
              <w:spacing w:before="98" w:line="219" w:lineRule="auto"/>
              <w:ind w:left="13"/>
              <w:rPr>
                <w:sz w:val="20"/>
                <w:szCs w:val="20"/>
              </w:rPr>
            </w:pPr>
            <w:r>
              <w:rPr>
                <w:spacing w:val="29"/>
                <w:sz w:val="20"/>
                <w:szCs w:val="20"/>
              </w:rPr>
              <w:t>小松</w:t>
            </w:r>
            <w:r>
              <w:rPr>
                <w:sz w:val="20"/>
                <w:szCs w:val="20"/>
              </w:rPr>
              <w:t>PC</w:t>
            </w:r>
            <w:r>
              <w:rPr>
                <w:spacing w:val="29"/>
                <w:sz w:val="20"/>
                <w:szCs w:val="20"/>
              </w:rPr>
              <w:t>300-</w:t>
            </w:r>
            <w:r>
              <w:rPr>
                <w:spacing w:val="-53"/>
                <w:sz w:val="20"/>
                <w:szCs w:val="20"/>
              </w:rPr>
              <w:t xml:space="preserve"> </w:t>
            </w:r>
            <w:r>
              <w:rPr>
                <w:spacing w:val="29"/>
                <w:sz w:val="20"/>
                <w:szCs w:val="20"/>
              </w:rPr>
              <w:t>7(斗容1</w:t>
            </w:r>
            <w:r>
              <w:rPr>
                <w:spacing w:val="-55"/>
                <w:sz w:val="20"/>
                <w:szCs w:val="20"/>
              </w:rPr>
              <w:t xml:space="preserve"> </w:t>
            </w:r>
            <w:r>
              <w:rPr>
                <w:spacing w:val="29"/>
                <w:sz w:val="20"/>
                <w:szCs w:val="20"/>
              </w:rPr>
              <w:t>.</w:t>
            </w:r>
            <w:r>
              <w:rPr>
                <w:spacing w:val="-60"/>
                <w:sz w:val="20"/>
                <w:szCs w:val="20"/>
              </w:rPr>
              <w:t xml:space="preserve"> </w:t>
            </w:r>
            <w:r>
              <w:rPr>
                <w:spacing w:val="29"/>
                <w:sz w:val="20"/>
                <w:szCs w:val="20"/>
              </w:rPr>
              <w:t>0~</w:t>
            </w:r>
          </w:p>
          <w:p w14:paraId="56E8CAC8">
            <w:pPr>
              <w:pStyle w:val="6"/>
              <w:spacing w:before="35" w:line="222" w:lineRule="auto"/>
              <w:ind w:left="923"/>
              <w:rPr>
                <w:sz w:val="20"/>
                <w:szCs w:val="20"/>
              </w:rPr>
            </w:pPr>
            <w:r>
              <w:rPr>
                <w:spacing w:val="-4"/>
                <w:sz w:val="20"/>
                <w:szCs w:val="20"/>
              </w:rPr>
              <w:t>1.4m³)</w:t>
            </w:r>
          </w:p>
        </w:tc>
        <w:tc>
          <w:tcPr>
            <w:tcW w:w="1648" w:type="dxa"/>
            <w:vAlign w:val="top"/>
          </w:tcPr>
          <w:p w14:paraId="417E4BB8">
            <w:pPr>
              <w:pStyle w:val="6"/>
              <w:spacing w:before="240" w:line="221" w:lineRule="auto"/>
              <w:ind w:left="716"/>
              <w:rPr>
                <w:sz w:val="20"/>
                <w:szCs w:val="20"/>
              </w:rPr>
            </w:pPr>
            <w:r>
              <w:rPr>
                <w:sz w:val="20"/>
                <w:szCs w:val="20"/>
              </w:rPr>
              <w:t>台</w:t>
            </w:r>
          </w:p>
        </w:tc>
        <w:tc>
          <w:tcPr>
            <w:tcW w:w="949" w:type="dxa"/>
            <w:vAlign w:val="top"/>
          </w:tcPr>
          <w:p w14:paraId="26D4BB51">
            <w:pPr>
              <w:pStyle w:val="6"/>
              <w:spacing w:before="257"/>
              <w:ind w:left="418"/>
              <w:rPr>
                <w:sz w:val="20"/>
                <w:szCs w:val="20"/>
              </w:rPr>
            </w:pPr>
            <w:r>
              <w:rPr>
                <w:sz w:val="20"/>
                <w:szCs w:val="20"/>
              </w:rPr>
              <w:t>6</w:t>
            </w:r>
          </w:p>
        </w:tc>
        <w:tc>
          <w:tcPr>
            <w:tcW w:w="574" w:type="dxa"/>
            <w:vMerge w:val="continue"/>
            <w:tcBorders>
              <w:top w:val="nil"/>
              <w:bottom w:val="nil"/>
            </w:tcBorders>
            <w:vAlign w:val="top"/>
          </w:tcPr>
          <w:p w14:paraId="5C671B7B">
            <w:pPr>
              <w:rPr>
                <w:rFonts w:ascii="Arial"/>
                <w:sz w:val="21"/>
              </w:rPr>
            </w:pPr>
          </w:p>
        </w:tc>
      </w:tr>
      <w:tr w14:paraId="2C9F5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14" w:type="dxa"/>
            <w:vMerge w:val="continue"/>
            <w:tcBorders>
              <w:top w:val="nil"/>
            </w:tcBorders>
            <w:vAlign w:val="top"/>
          </w:tcPr>
          <w:p w14:paraId="3AB0CE19">
            <w:pPr>
              <w:rPr>
                <w:rFonts w:ascii="Arial"/>
                <w:sz w:val="21"/>
              </w:rPr>
            </w:pPr>
          </w:p>
        </w:tc>
        <w:tc>
          <w:tcPr>
            <w:tcW w:w="420" w:type="dxa"/>
            <w:vMerge w:val="continue"/>
            <w:tcBorders>
              <w:top w:val="nil"/>
            </w:tcBorders>
            <w:vAlign w:val="top"/>
          </w:tcPr>
          <w:p w14:paraId="1FD80EE7">
            <w:pPr>
              <w:rPr>
                <w:rFonts w:ascii="Arial"/>
                <w:sz w:val="21"/>
              </w:rPr>
            </w:pPr>
          </w:p>
        </w:tc>
        <w:tc>
          <w:tcPr>
            <w:tcW w:w="559" w:type="dxa"/>
            <w:vAlign w:val="top"/>
          </w:tcPr>
          <w:p w14:paraId="4DE18D45">
            <w:pPr>
              <w:pStyle w:val="6"/>
              <w:spacing w:before="98" w:line="218" w:lineRule="auto"/>
              <w:ind w:left="221"/>
              <w:rPr>
                <w:sz w:val="20"/>
                <w:szCs w:val="20"/>
              </w:rPr>
            </w:pPr>
            <w:r>
              <w:rPr>
                <w:sz w:val="20"/>
                <w:szCs w:val="20"/>
              </w:rPr>
              <w:t>2</w:t>
            </w:r>
          </w:p>
        </w:tc>
        <w:tc>
          <w:tcPr>
            <w:tcW w:w="1648" w:type="dxa"/>
            <w:vAlign w:val="top"/>
          </w:tcPr>
          <w:p w14:paraId="1A1C67FB">
            <w:pPr>
              <w:pStyle w:val="6"/>
              <w:spacing w:before="77" w:line="219" w:lineRule="auto"/>
              <w:ind w:left="512"/>
              <w:rPr>
                <w:sz w:val="20"/>
                <w:szCs w:val="20"/>
              </w:rPr>
            </w:pPr>
            <w:r>
              <w:rPr>
                <w:spacing w:val="-2"/>
                <w:sz w:val="20"/>
                <w:szCs w:val="20"/>
              </w:rPr>
              <w:t>推土机</w:t>
            </w:r>
          </w:p>
        </w:tc>
        <w:tc>
          <w:tcPr>
            <w:tcW w:w="2567" w:type="dxa"/>
            <w:vAlign w:val="top"/>
          </w:tcPr>
          <w:p w14:paraId="1157791C">
            <w:pPr>
              <w:pStyle w:val="6"/>
              <w:spacing w:before="79" w:line="219" w:lineRule="auto"/>
              <w:ind w:left="734"/>
              <w:rPr>
                <w:sz w:val="20"/>
                <w:szCs w:val="20"/>
              </w:rPr>
            </w:pPr>
            <w:r>
              <w:rPr>
                <w:spacing w:val="38"/>
                <w:sz w:val="20"/>
                <w:szCs w:val="20"/>
              </w:rPr>
              <w:t>国产</w:t>
            </w:r>
            <w:r>
              <w:rPr>
                <w:sz w:val="20"/>
                <w:szCs w:val="20"/>
              </w:rPr>
              <w:t>TY</w:t>
            </w:r>
            <w:r>
              <w:rPr>
                <w:spacing w:val="38"/>
                <w:sz w:val="20"/>
                <w:szCs w:val="20"/>
              </w:rPr>
              <w:t>200</w:t>
            </w:r>
          </w:p>
        </w:tc>
        <w:tc>
          <w:tcPr>
            <w:tcW w:w="1648" w:type="dxa"/>
            <w:vAlign w:val="top"/>
          </w:tcPr>
          <w:p w14:paraId="2419CA87">
            <w:pPr>
              <w:pStyle w:val="6"/>
              <w:spacing w:before="79" w:line="219" w:lineRule="auto"/>
              <w:ind w:left="716"/>
              <w:rPr>
                <w:sz w:val="20"/>
                <w:szCs w:val="20"/>
              </w:rPr>
            </w:pPr>
            <w:r>
              <w:rPr>
                <w:sz w:val="20"/>
                <w:szCs w:val="20"/>
              </w:rPr>
              <w:t>辆</w:t>
            </w:r>
          </w:p>
        </w:tc>
        <w:tc>
          <w:tcPr>
            <w:tcW w:w="949" w:type="dxa"/>
            <w:vAlign w:val="top"/>
          </w:tcPr>
          <w:p w14:paraId="632F1610">
            <w:pPr>
              <w:pStyle w:val="6"/>
              <w:spacing w:before="98" w:line="218" w:lineRule="auto"/>
              <w:ind w:left="418"/>
              <w:rPr>
                <w:sz w:val="20"/>
                <w:szCs w:val="20"/>
              </w:rPr>
            </w:pPr>
            <w:r>
              <w:rPr>
                <w:sz w:val="20"/>
                <w:szCs w:val="20"/>
              </w:rPr>
              <w:t>4</w:t>
            </w:r>
          </w:p>
        </w:tc>
        <w:tc>
          <w:tcPr>
            <w:tcW w:w="574" w:type="dxa"/>
            <w:vMerge w:val="continue"/>
            <w:tcBorders>
              <w:top w:val="nil"/>
            </w:tcBorders>
            <w:vAlign w:val="top"/>
          </w:tcPr>
          <w:p w14:paraId="602CA08E">
            <w:pPr>
              <w:rPr>
                <w:rFonts w:ascii="Arial"/>
                <w:sz w:val="21"/>
              </w:rPr>
            </w:pPr>
          </w:p>
        </w:tc>
      </w:tr>
    </w:tbl>
    <w:p w14:paraId="3F3F0FB9">
      <w:pPr>
        <w:pStyle w:val="2"/>
      </w:pPr>
    </w:p>
    <w:p w14:paraId="73AB43C9">
      <w:pPr>
        <w:sectPr>
          <w:footerReference r:id="rId84" w:type="default"/>
          <w:pgSz w:w="11910" w:h="16830"/>
          <w:pgMar w:top="400" w:right="1370" w:bottom="1243" w:left="1329" w:header="0" w:footer="1084" w:gutter="0"/>
          <w:cols w:space="720" w:num="1"/>
        </w:sectPr>
      </w:pPr>
    </w:p>
    <w:p w14:paraId="1444463B">
      <w:pPr>
        <w:spacing w:before="15"/>
      </w:pPr>
    </w:p>
    <w:p w14:paraId="33C266B2">
      <w:pPr>
        <w:spacing w:before="15"/>
      </w:pPr>
    </w:p>
    <w:p w14:paraId="66ECF1C6">
      <w:pPr>
        <w:spacing w:before="15"/>
      </w:pPr>
    </w:p>
    <w:p w14:paraId="4F863D8A">
      <w:pPr>
        <w:spacing w:before="14"/>
      </w:pPr>
    </w:p>
    <w:tbl>
      <w:tblPr>
        <w:tblStyle w:val="5"/>
        <w:tblW w:w="90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430"/>
        <w:gridCol w:w="569"/>
        <w:gridCol w:w="1628"/>
        <w:gridCol w:w="2577"/>
        <w:gridCol w:w="1658"/>
        <w:gridCol w:w="939"/>
        <w:gridCol w:w="574"/>
      </w:tblGrid>
      <w:tr w14:paraId="10392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714" w:type="dxa"/>
            <w:vMerge w:val="restart"/>
            <w:tcBorders>
              <w:bottom w:val="nil"/>
            </w:tcBorders>
            <w:vAlign w:val="top"/>
          </w:tcPr>
          <w:p w14:paraId="7FAF9227">
            <w:pPr>
              <w:rPr>
                <w:rFonts w:ascii="Arial"/>
                <w:sz w:val="21"/>
              </w:rPr>
            </w:pPr>
          </w:p>
        </w:tc>
        <w:tc>
          <w:tcPr>
            <w:tcW w:w="430" w:type="dxa"/>
            <w:vMerge w:val="restart"/>
            <w:tcBorders>
              <w:bottom w:val="nil"/>
            </w:tcBorders>
            <w:vAlign w:val="top"/>
          </w:tcPr>
          <w:p w14:paraId="4B1E54CD">
            <w:pPr>
              <w:rPr>
                <w:rFonts w:ascii="Arial"/>
                <w:sz w:val="21"/>
              </w:rPr>
            </w:pPr>
          </w:p>
        </w:tc>
        <w:tc>
          <w:tcPr>
            <w:tcW w:w="569" w:type="dxa"/>
            <w:vAlign w:val="top"/>
          </w:tcPr>
          <w:p w14:paraId="24519190">
            <w:pPr>
              <w:spacing w:line="302" w:lineRule="auto"/>
              <w:rPr>
                <w:rFonts w:ascii="Arial"/>
                <w:sz w:val="21"/>
              </w:rPr>
            </w:pPr>
          </w:p>
          <w:p w14:paraId="1CE52D59">
            <w:pPr>
              <w:pStyle w:val="6"/>
              <w:spacing w:before="72" w:line="225" w:lineRule="auto"/>
              <w:ind w:left="221"/>
            </w:pPr>
            <w:r>
              <w:t>3</w:t>
            </w:r>
          </w:p>
        </w:tc>
        <w:tc>
          <w:tcPr>
            <w:tcW w:w="1628" w:type="dxa"/>
            <w:vAlign w:val="top"/>
          </w:tcPr>
          <w:p w14:paraId="4479576A">
            <w:pPr>
              <w:spacing w:line="290" w:lineRule="auto"/>
              <w:rPr>
                <w:rFonts w:ascii="Arial"/>
                <w:sz w:val="21"/>
              </w:rPr>
            </w:pPr>
          </w:p>
          <w:p w14:paraId="252EC4F3">
            <w:pPr>
              <w:pStyle w:val="6"/>
              <w:spacing w:before="72" w:line="219" w:lineRule="auto"/>
              <w:ind w:left="141"/>
            </w:pPr>
            <w:r>
              <w:rPr>
                <w:spacing w:val="1"/>
              </w:rPr>
              <w:t>自卸式运输车</w:t>
            </w:r>
          </w:p>
        </w:tc>
        <w:tc>
          <w:tcPr>
            <w:tcW w:w="2577" w:type="dxa"/>
            <w:vAlign w:val="top"/>
          </w:tcPr>
          <w:p w14:paraId="0B28CE87">
            <w:pPr>
              <w:pStyle w:val="6"/>
              <w:spacing w:before="224" w:line="219" w:lineRule="auto"/>
              <w:ind w:left="73"/>
            </w:pPr>
            <w:r>
              <w:rPr>
                <w:spacing w:val="3"/>
              </w:rPr>
              <w:t>国产</w:t>
            </w:r>
            <w:r>
              <w:t>CQ</w:t>
            </w:r>
            <w:r>
              <w:rPr>
                <w:spacing w:val="3"/>
              </w:rPr>
              <w:t>30290(载重量17T)</w:t>
            </w:r>
          </w:p>
        </w:tc>
        <w:tc>
          <w:tcPr>
            <w:tcW w:w="1658" w:type="dxa"/>
            <w:vAlign w:val="top"/>
          </w:tcPr>
          <w:p w14:paraId="638F2A85">
            <w:pPr>
              <w:spacing w:line="290" w:lineRule="auto"/>
              <w:rPr>
                <w:rFonts w:ascii="Arial"/>
                <w:sz w:val="21"/>
              </w:rPr>
            </w:pPr>
          </w:p>
          <w:p w14:paraId="382844D8">
            <w:pPr>
              <w:pStyle w:val="6"/>
              <w:spacing w:before="72" w:line="219" w:lineRule="auto"/>
              <w:ind w:left="716"/>
            </w:pPr>
            <w:r>
              <w:t>辆</w:t>
            </w:r>
          </w:p>
        </w:tc>
        <w:tc>
          <w:tcPr>
            <w:tcW w:w="939" w:type="dxa"/>
            <w:vAlign w:val="top"/>
          </w:tcPr>
          <w:p w14:paraId="694A5EE8">
            <w:pPr>
              <w:spacing w:line="311" w:lineRule="auto"/>
              <w:rPr>
                <w:rFonts w:ascii="Arial"/>
                <w:sz w:val="21"/>
              </w:rPr>
            </w:pPr>
          </w:p>
          <w:p w14:paraId="789D37EE">
            <w:pPr>
              <w:pStyle w:val="6"/>
              <w:spacing w:before="72" w:line="217" w:lineRule="auto"/>
              <w:ind w:left="359"/>
            </w:pPr>
            <w:r>
              <w:rPr>
                <w:spacing w:val="-7"/>
              </w:rPr>
              <w:t>11</w:t>
            </w:r>
          </w:p>
        </w:tc>
        <w:tc>
          <w:tcPr>
            <w:tcW w:w="574" w:type="dxa"/>
            <w:vMerge w:val="restart"/>
            <w:tcBorders>
              <w:bottom w:val="nil"/>
            </w:tcBorders>
            <w:vAlign w:val="top"/>
          </w:tcPr>
          <w:p w14:paraId="0FB0EE5F">
            <w:pPr>
              <w:rPr>
                <w:rFonts w:ascii="Arial"/>
                <w:sz w:val="21"/>
              </w:rPr>
            </w:pPr>
          </w:p>
        </w:tc>
      </w:tr>
      <w:tr w14:paraId="1F58E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14" w:type="dxa"/>
            <w:vMerge w:val="continue"/>
            <w:tcBorders>
              <w:top w:val="nil"/>
              <w:bottom w:val="nil"/>
            </w:tcBorders>
            <w:vAlign w:val="top"/>
          </w:tcPr>
          <w:p w14:paraId="773B8043">
            <w:pPr>
              <w:rPr>
                <w:rFonts w:ascii="Arial"/>
                <w:sz w:val="21"/>
              </w:rPr>
            </w:pPr>
          </w:p>
        </w:tc>
        <w:tc>
          <w:tcPr>
            <w:tcW w:w="430" w:type="dxa"/>
            <w:vMerge w:val="continue"/>
            <w:tcBorders>
              <w:top w:val="nil"/>
              <w:bottom w:val="nil"/>
            </w:tcBorders>
            <w:vAlign w:val="top"/>
          </w:tcPr>
          <w:p w14:paraId="1AF24460">
            <w:pPr>
              <w:rPr>
                <w:rFonts w:ascii="Arial"/>
                <w:sz w:val="21"/>
              </w:rPr>
            </w:pPr>
          </w:p>
        </w:tc>
        <w:tc>
          <w:tcPr>
            <w:tcW w:w="569" w:type="dxa"/>
            <w:vAlign w:val="top"/>
          </w:tcPr>
          <w:p w14:paraId="3459F295">
            <w:pPr>
              <w:pStyle w:val="6"/>
              <w:spacing w:before="101" w:line="216" w:lineRule="auto"/>
              <w:ind w:left="221"/>
            </w:pPr>
            <w:r>
              <w:t>4</w:t>
            </w:r>
          </w:p>
        </w:tc>
        <w:tc>
          <w:tcPr>
            <w:tcW w:w="1628" w:type="dxa"/>
            <w:vAlign w:val="top"/>
          </w:tcPr>
          <w:p w14:paraId="2927F49B">
            <w:pPr>
              <w:pStyle w:val="6"/>
              <w:spacing w:before="78" w:line="219" w:lineRule="auto"/>
              <w:ind w:left="472"/>
            </w:pPr>
            <w:r>
              <w:rPr>
                <w:spacing w:val="-3"/>
              </w:rPr>
              <w:t>压路机</w:t>
            </w:r>
          </w:p>
        </w:tc>
        <w:tc>
          <w:tcPr>
            <w:tcW w:w="2577" w:type="dxa"/>
            <w:vAlign w:val="top"/>
          </w:tcPr>
          <w:p w14:paraId="4FC8D907">
            <w:pPr>
              <w:pStyle w:val="6"/>
              <w:spacing w:before="80" w:line="219" w:lineRule="auto"/>
              <w:ind w:left="454"/>
            </w:pPr>
            <w:r>
              <w:rPr>
                <w:spacing w:val="2"/>
              </w:rPr>
              <w:t>国产</w:t>
            </w:r>
            <w:r>
              <w:t>YZF</w:t>
            </w:r>
            <w:r>
              <w:rPr>
                <w:spacing w:val="2"/>
              </w:rPr>
              <w:t>14震动型</w:t>
            </w:r>
          </w:p>
        </w:tc>
        <w:tc>
          <w:tcPr>
            <w:tcW w:w="1658" w:type="dxa"/>
            <w:vAlign w:val="top"/>
          </w:tcPr>
          <w:p w14:paraId="41F77B39">
            <w:pPr>
              <w:pStyle w:val="6"/>
              <w:spacing w:before="80" w:line="219" w:lineRule="auto"/>
              <w:ind w:left="716"/>
            </w:pPr>
            <w:r>
              <w:t>辆</w:t>
            </w:r>
          </w:p>
        </w:tc>
        <w:tc>
          <w:tcPr>
            <w:tcW w:w="939" w:type="dxa"/>
            <w:vAlign w:val="top"/>
          </w:tcPr>
          <w:p w14:paraId="47A8E2B7">
            <w:pPr>
              <w:pStyle w:val="6"/>
              <w:spacing w:before="101" w:line="216" w:lineRule="auto"/>
              <w:ind w:left="408"/>
            </w:pPr>
            <w:r>
              <w:t>4</w:t>
            </w:r>
          </w:p>
        </w:tc>
        <w:tc>
          <w:tcPr>
            <w:tcW w:w="574" w:type="dxa"/>
            <w:vMerge w:val="continue"/>
            <w:tcBorders>
              <w:top w:val="nil"/>
              <w:bottom w:val="nil"/>
            </w:tcBorders>
            <w:vAlign w:val="top"/>
          </w:tcPr>
          <w:p w14:paraId="3E173029">
            <w:pPr>
              <w:rPr>
                <w:rFonts w:ascii="Arial"/>
                <w:sz w:val="21"/>
              </w:rPr>
            </w:pPr>
          </w:p>
        </w:tc>
      </w:tr>
      <w:tr w14:paraId="63DE8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714" w:type="dxa"/>
            <w:vMerge w:val="continue"/>
            <w:tcBorders>
              <w:top w:val="nil"/>
              <w:bottom w:val="nil"/>
            </w:tcBorders>
            <w:vAlign w:val="top"/>
          </w:tcPr>
          <w:p w14:paraId="2062892B">
            <w:pPr>
              <w:rPr>
                <w:rFonts w:ascii="Arial"/>
                <w:sz w:val="21"/>
              </w:rPr>
            </w:pPr>
          </w:p>
        </w:tc>
        <w:tc>
          <w:tcPr>
            <w:tcW w:w="430" w:type="dxa"/>
            <w:vMerge w:val="continue"/>
            <w:tcBorders>
              <w:top w:val="nil"/>
              <w:bottom w:val="nil"/>
            </w:tcBorders>
            <w:vAlign w:val="top"/>
          </w:tcPr>
          <w:p w14:paraId="55CF8DB0">
            <w:pPr>
              <w:rPr>
                <w:rFonts w:ascii="Arial"/>
                <w:sz w:val="21"/>
              </w:rPr>
            </w:pPr>
          </w:p>
        </w:tc>
        <w:tc>
          <w:tcPr>
            <w:tcW w:w="569" w:type="dxa"/>
            <w:vAlign w:val="top"/>
          </w:tcPr>
          <w:p w14:paraId="014D8BA4">
            <w:pPr>
              <w:pStyle w:val="6"/>
              <w:spacing w:before="92" w:line="216" w:lineRule="auto"/>
              <w:ind w:left="221"/>
            </w:pPr>
            <w:r>
              <w:t>5</w:t>
            </w:r>
          </w:p>
        </w:tc>
        <w:tc>
          <w:tcPr>
            <w:tcW w:w="1628" w:type="dxa"/>
            <w:vAlign w:val="top"/>
          </w:tcPr>
          <w:p w14:paraId="103E30D8">
            <w:pPr>
              <w:pStyle w:val="6"/>
              <w:spacing w:before="71" w:line="220" w:lineRule="auto"/>
              <w:ind w:left="141"/>
            </w:pPr>
            <w:r>
              <w:rPr>
                <w:spacing w:val="1"/>
              </w:rPr>
              <w:t>一体式潜孔钻</w:t>
            </w:r>
          </w:p>
        </w:tc>
        <w:tc>
          <w:tcPr>
            <w:tcW w:w="2577" w:type="dxa"/>
            <w:vAlign w:val="top"/>
          </w:tcPr>
          <w:p w14:paraId="12CE2D23">
            <w:pPr>
              <w:pStyle w:val="6"/>
              <w:spacing w:before="126" w:line="184" w:lineRule="auto"/>
              <w:ind w:left="1004"/>
            </w:pPr>
            <w:r>
              <w:rPr>
                <w:spacing w:val="-1"/>
              </w:rPr>
              <w:t>KT11S</w:t>
            </w:r>
          </w:p>
        </w:tc>
        <w:tc>
          <w:tcPr>
            <w:tcW w:w="1658" w:type="dxa"/>
            <w:vAlign w:val="top"/>
          </w:tcPr>
          <w:p w14:paraId="2CCA2AF7">
            <w:pPr>
              <w:pStyle w:val="6"/>
              <w:spacing w:before="73" w:line="221" w:lineRule="auto"/>
              <w:ind w:left="716"/>
            </w:pPr>
            <w:r>
              <w:t>台</w:t>
            </w:r>
          </w:p>
        </w:tc>
        <w:tc>
          <w:tcPr>
            <w:tcW w:w="939" w:type="dxa"/>
            <w:vAlign w:val="top"/>
          </w:tcPr>
          <w:p w14:paraId="2FF9747E">
            <w:pPr>
              <w:pStyle w:val="6"/>
              <w:spacing w:before="92" w:line="216" w:lineRule="auto"/>
              <w:ind w:left="408"/>
            </w:pPr>
            <w:r>
              <w:t>6</w:t>
            </w:r>
          </w:p>
        </w:tc>
        <w:tc>
          <w:tcPr>
            <w:tcW w:w="574" w:type="dxa"/>
            <w:vMerge w:val="continue"/>
            <w:tcBorders>
              <w:top w:val="nil"/>
              <w:bottom w:val="nil"/>
            </w:tcBorders>
            <w:vAlign w:val="top"/>
          </w:tcPr>
          <w:p w14:paraId="71B3CEB8">
            <w:pPr>
              <w:rPr>
                <w:rFonts w:ascii="Arial"/>
                <w:sz w:val="21"/>
              </w:rPr>
            </w:pPr>
          </w:p>
        </w:tc>
      </w:tr>
      <w:tr w14:paraId="6C273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14" w:type="dxa"/>
            <w:vMerge w:val="continue"/>
            <w:tcBorders>
              <w:top w:val="nil"/>
              <w:bottom w:val="nil"/>
            </w:tcBorders>
            <w:vAlign w:val="top"/>
          </w:tcPr>
          <w:p w14:paraId="1BB7429E">
            <w:pPr>
              <w:rPr>
                <w:rFonts w:ascii="Arial"/>
                <w:sz w:val="21"/>
              </w:rPr>
            </w:pPr>
          </w:p>
        </w:tc>
        <w:tc>
          <w:tcPr>
            <w:tcW w:w="430" w:type="dxa"/>
            <w:vMerge w:val="continue"/>
            <w:tcBorders>
              <w:top w:val="nil"/>
              <w:bottom w:val="nil"/>
            </w:tcBorders>
            <w:vAlign w:val="top"/>
          </w:tcPr>
          <w:p w14:paraId="6A135E6E">
            <w:pPr>
              <w:rPr>
                <w:rFonts w:ascii="Arial"/>
                <w:sz w:val="21"/>
              </w:rPr>
            </w:pPr>
          </w:p>
        </w:tc>
        <w:tc>
          <w:tcPr>
            <w:tcW w:w="569" w:type="dxa"/>
            <w:vAlign w:val="top"/>
          </w:tcPr>
          <w:p w14:paraId="089E1C42">
            <w:pPr>
              <w:pStyle w:val="6"/>
              <w:spacing w:before="102" w:line="216" w:lineRule="auto"/>
              <w:ind w:left="221"/>
            </w:pPr>
            <w:r>
              <w:t>6</w:t>
            </w:r>
          </w:p>
        </w:tc>
        <w:tc>
          <w:tcPr>
            <w:tcW w:w="1628" w:type="dxa"/>
            <w:vAlign w:val="top"/>
          </w:tcPr>
          <w:p w14:paraId="62763381">
            <w:pPr>
              <w:pStyle w:val="6"/>
              <w:spacing w:before="79" w:line="219" w:lineRule="auto"/>
              <w:ind w:left="31"/>
            </w:pPr>
            <w:r>
              <w:rPr>
                <w:spacing w:val="1"/>
              </w:rPr>
              <w:t>履带式潜孔钻机</w:t>
            </w:r>
          </w:p>
        </w:tc>
        <w:tc>
          <w:tcPr>
            <w:tcW w:w="2577" w:type="dxa"/>
            <w:vAlign w:val="top"/>
          </w:tcPr>
          <w:p w14:paraId="220605B9">
            <w:pPr>
              <w:pStyle w:val="6"/>
              <w:spacing w:before="137" w:line="183" w:lineRule="auto"/>
              <w:ind w:left="1004"/>
            </w:pPr>
            <w:r>
              <w:rPr>
                <w:spacing w:val="-1"/>
              </w:rPr>
              <w:t>HC728</w:t>
            </w:r>
          </w:p>
        </w:tc>
        <w:tc>
          <w:tcPr>
            <w:tcW w:w="1658" w:type="dxa"/>
            <w:vAlign w:val="top"/>
          </w:tcPr>
          <w:p w14:paraId="768F08DC">
            <w:pPr>
              <w:pStyle w:val="6"/>
              <w:spacing w:before="83" w:line="221" w:lineRule="auto"/>
              <w:ind w:left="716"/>
            </w:pPr>
            <w:r>
              <w:t>台</w:t>
            </w:r>
          </w:p>
        </w:tc>
        <w:tc>
          <w:tcPr>
            <w:tcW w:w="939" w:type="dxa"/>
            <w:vAlign w:val="top"/>
          </w:tcPr>
          <w:p w14:paraId="76543BD0">
            <w:pPr>
              <w:pStyle w:val="6"/>
              <w:spacing w:before="102" w:line="216" w:lineRule="auto"/>
              <w:ind w:left="408"/>
            </w:pPr>
            <w:r>
              <w:t>6</w:t>
            </w:r>
          </w:p>
        </w:tc>
        <w:tc>
          <w:tcPr>
            <w:tcW w:w="574" w:type="dxa"/>
            <w:vMerge w:val="continue"/>
            <w:tcBorders>
              <w:top w:val="nil"/>
              <w:bottom w:val="nil"/>
            </w:tcBorders>
            <w:vAlign w:val="top"/>
          </w:tcPr>
          <w:p w14:paraId="6CD972F1">
            <w:pPr>
              <w:rPr>
                <w:rFonts w:ascii="Arial"/>
                <w:sz w:val="21"/>
              </w:rPr>
            </w:pPr>
          </w:p>
        </w:tc>
      </w:tr>
      <w:tr w14:paraId="6753B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714" w:type="dxa"/>
            <w:vMerge w:val="continue"/>
            <w:tcBorders>
              <w:top w:val="nil"/>
              <w:bottom w:val="nil"/>
            </w:tcBorders>
            <w:vAlign w:val="top"/>
          </w:tcPr>
          <w:p w14:paraId="32CB81BC">
            <w:pPr>
              <w:rPr>
                <w:rFonts w:ascii="Arial"/>
                <w:sz w:val="21"/>
              </w:rPr>
            </w:pPr>
          </w:p>
        </w:tc>
        <w:tc>
          <w:tcPr>
            <w:tcW w:w="430" w:type="dxa"/>
            <w:vMerge w:val="continue"/>
            <w:tcBorders>
              <w:top w:val="nil"/>
              <w:bottom w:val="nil"/>
            </w:tcBorders>
            <w:vAlign w:val="top"/>
          </w:tcPr>
          <w:p w14:paraId="01966AF0">
            <w:pPr>
              <w:rPr>
                <w:rFonts w:ascii="Arial"/>
                <w:sz w:val="21"/>
              </w:rPr>
            </w:pPr>
          </w:p>
        </w:tc>
        <w:tc>
          <w:tcPr>
            <w:tcW w:w="569" w:type="dxa"/>
            <w:vAlign w:val="top"/>
          </w:tcPr>
          <w:p w14:paraId="6EC4E58E">
            <w:pPr>
              <w:pStyle w:val="6"/>
              <w:spacing w:before="103" w:line="223" w:lineRule="auto"/>
              <w:ind w:left="221"/>
            </w:pPr>
            <w:r>
              <w:t>7</w:t>
            </w:r>
          </w:p>
        </w:tc>
        <w:tc>
          <w:tcPr>
            <w:tcW w:w="1628" w:type="dxa"/>
            <w:vAlign w:val="top"/>
          </w:tcPr>
          <w:p w14:paraId="4508E67E">
            <w:pPr>
              <w:pStyle w:val="6"/>
              <w:spacing w:before="79" w:line="219" w:lineRule="auto"/>
              <w:ind w:left="472"/>
            </w:pPr>
            <w:r>
              <w:rPr>
                <w:spacing w:val="2"/>
              </w:rPr>
              <w:t>空压机</w:t>
            </w:r>
          </w:p>
        </w:tc>
        <w:tc>
          <w:tcPr>
            <w:tcW w:w="2577" w:type="dxa"/>
            <w:vAlign w:val="top"/>
          </w:tcPr>
          <w:p w14:paraId="7E5CDB5E">
            <w:pPr>
              <w:pStyle w:val="6"/>
              <w:spacing w:before="87" w:line="224" w:lineRule="auto"/>
              <w:ind w:left="623"/>
            </w:pPr>
            <w:r>
              <w:rPr>
                <w:spacing w:val="-3"/>
              </w:rPr>
              <w:t>10m³/0.8MPa</w:t>
            </w:r>
          </w:p>
        </w:tc>
        <w:tc>
          <w:tcPr>
            <w:tcW w:w="1658" w:type="dxa"/>
            <w:vAlign w:val="top"/>
          </w:tcPr>
          <w:p w14:paraId="562094C1">
            <w:pPr>
              <w:pStyle w:val="6"/>
              <w:spacing w:before="83" w:line="221" w:lineRule="auto"/>
              <w:ind w:left="716"/>
            </w:pPr>
            <w:r>
              <w:t>台</w:t>
            </w:r>
          </w:p>
        </w:tc>
        <w:tc>
          <w:tcPr>
            <w:tcW w:w="939" w:type="dxa"/>
            <w:vAlign w:val="top"/>
          </w:tcPr>
          <w:p w14:paraId="0A71AB92">
            <w:pPr>
              <w:pStyle w:val="6"/>
              <w:spacing w:before="103" w:line="223" w:lineRule="auto"/>
              <w:ind w:left="359"/>
            </w:pPr>
            <w:r>
              <w:rPr>
                <w:spacing w:val="-7"/>
              </w:rPr>
              <w:t>13</w:t>
            </w:r>
          </w:p>
        </w:tc>
        <w:tc>
          <w:tcPr>
            <w:tcW w:w="574" w:type="dxa"/>
            <w:vMerge w:val="continue"/>
            <w:tcBorders>
              <w:top w:val="nil"/>
              <w:bottom w:val="nil"/>
            </w:tcBorders>
            <w:vAlign w:val="top"/>
          </w:tcPr>
          <w:p w14:paraId="0D898303">
            <w:pPr>
              <w:rPr>
                <w:rFonts w:ascii="Arial"/>
                <w:sz w:val="21"/>
              </w:rPr>
            </w:pPr>
          </w:p>
        </w:tc>
      </w:tr>
      <w:tr w14:paraId="4E372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714" w:type="dxa"/>
            <w:vMerge w:val="continue"/>
            <w:tcBorders>
              <w:top w:val="nil"/>
              <w:bottom w:val="nil"/>
            </w:tcBorders>
            <w:vAlign w:val="top"/>
          </w:tcPr>
          <w:p w14:paraId="2FE32E58">
            <w:pPr>
              <w:rPr>
                <w:rFonts w:ascii="Arial"/>
                <w:sz w:val="21"/>
              </w:rPr>
            </w:pPr>
          </w:p>
        </w:tc>
        <w:tc>
          <w:tcPr>
            <w:tcW w:w="430" w:type="dxa"/>
            <w:vMerge w:val="continue"/>
            <w:tcBorders>
              <w:top w:val="nil"/>
              <w:bottom w:val="nil"/>
            </w:tcBorders>
            <w:vAlign w:val="top"/>
          </w:tcPr>
          <w:p w14:paraId="4554DE5B">
            <w:pPr>
              <w:rPr>
                <w:rFonts w:ascii="Arial"/>
                <w:sz w:val="21"/>
              </w:rPr>
            </w:pPr>
          </w:p>
        </w:tc>
        <w:tc>
          <w:tcPr>
            <w:tcW w:w="569" w:type="dxa"/>
            <w:vAlign w:val="top"/>
          </w:tcPr>
          <w:p w14:paraId="68E7FE01">
            <w:pPr>
              <w:pStyle w:val="6"/>
              <w:spacing w:before="93" w:line="206" w:lineRule="auto"/>
              <w:ind w:left="221"/>
            </w:pPr>
            <w:r>
              <w:t>8</w:t>
            </w:r>
          </w:p>
        </w:tc>
        <w:tc>
          <w:tcPr>
            <w:tcW w:w="1628" w:type="dxa"/>
            <w:vAlign w:val="top"/>
          </w:tcPr>
          <w:p w14:paraId="25A7A0BD">
            <w:pPr>
              <w:pStyle w:val="6"/>
              <w:spacing w:before="72" w:line="220" w:lineRule="auto"/>
              <w:ind w:left="472"/>
            </w:pPr>
            <w:r>
              <w:rPr>
                <w:spacing w:val="-2"/>
              </w:rPr>
              <w:t>手风钻</w:t>
            </w:r>
          </w:p>
        </w:tc>
        <w:tc>
          <w:tcPr>
            <w:tcW w:w="2577" w:type="dxa"/>
            <w:vAlign w:val="top"/>
          </w:tcPr>
          <w:p w14:paraId="7F4ABABD">
            <w:pPr>
              <w:pStyle w:val="6"/>
              <w:spacing w:before="89" w:line="209" w:lineRule="auto"/>
              <w:ind w:left="1064"/>
            </w:pPr>
            <w:r>
              <w:rPr>
                <w:spacing w:val="-14"/>
              </w:rPr>
              <w:t>φ50</w:t>
            </w:r>
          </w:p>
        </w:tc>
        <w:tc>
          <w:tcPr>
            <w:tcW w:w="1658" w:type="dxa"/>
            <w:vAlign w:val="top"/>
          </w:tcPr>
          <w:p w14:paraId="51956A2A">
            <w:pPr>
              <w:pStyle w:val="6"/>
              <w:spacing w:before="75" w:line="221" w:lineRule="auto"/>
              <w:ind w:left="716"/>
            </w:pPr>
            <w:r>
              <w:t>台</w:t>
            </w:r>
          </w:p>
        </w:tc>
        <w:tc>
          <w:tcPr>
            <w:tcW w:w="939" w:type="dxa"/>
            <w:vAlign w:val="top"/>
          </w:tcPr>
          <w:p w14:paraId="1AF07FA1">
            <w:pPr>
              <w:pStyle w:val="6"/>
              <w:spacing w:before="93" w:line="206" w:lineRule="auto"/>
              <w:ind w:left="359"/>
            </w:pPr>
            <w:r>
              <w:rPr>
                <w:spacing w:val="-7"/>
              </w:rPr>
              <w:t>16</w:t>
            </w:r>
          </w:p>
        </w:tc>
        <w:tc>
          <w:tcPr>
            <w:tcW w:w="574" w:type="dxa"/>
            <w:vMerge w:val="continue"/>
            <w:tcBorders>
              <w:top w:val="nil"/>
              <w:bottom w:val="nil"/>
            </w:tcBorders>
            <w:vAlign w:val="top"/>
          </w:tcPr>
          <w:p w14:paraId="18F2294F">
            <w:pPr>
              <w:rPr>
                <w:rFonts w:ascii="Arial"/>
                <w:sz w:val="21"/>
              </w:rPr>
            </w:pPr>
          </w:p>
        </w:tc>
      </w:tr>
      <w:tr w14:paraId="3C6FB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714" w:type="dxa"/>
            <w:vMerge w:val="continue"/>
            <w:tcBorders>
              <w:top w:val="nil"/>
              <w:bottom w:val="nil"/>
            </w:tcBorders>
            <w:vAlign w:val="top"/>
          </w:tcPr>
          <w:p w14:paraId="754AF61B">
            <w:pPr>
              <w:rPr>
                <w:rFonts w:ascii="Arial"/>
                <w:sz w:val="21"/>
              </w:rPr>
            </w:pPr>
          </w:p>
        </w:tc>
        <w:tc>
          <w:tcPr>
            <w:tcW w:w="430" w:type="dxa"/>
            <w:vMerge w:val="continue"/>
            <w:tcBorders>
              <w:top w:val="nil"/>
              <w:bottom w:val="nil"/>
            </w:tcBorders>
            <w:vAlign w:val="top"/>
          </w:tcPr>
          <w:p w14:paraId="2062EED5">
            <w:pPr>
              <w:rPr>
                <w:rFonts w:ascii="Arial"/>
                <w:sz w:val="21"/>
              </w:rPr>
            </w:pPr>
          </w:p>
        </w:tc>
        <w:tc>
          <w:tcPr>
            <w:tcW w:w="569" w:type="dxa"/>
            <w:vAlign w:val="top"/>
          </w:tcPr>
          <w:p w14:paraId="4DC7C841">
            <w:pPr>
              <w:pStyle w:val="6"/>
              <w:spacing w:before="104" w:line="222" w:lineRule="auto"/>
              <w:ind w:left="221"/>
            </w:pPr>
            <w:r>
              <w:t>9</w:t>
            </w:r>
          </w:p>
        </w:tc>
        <w:tc>
          <w:tcPr>
            <w:tcW w:w="1628" w:type="dxa"/>
            <w:vAlign w:val="top"/>
          </w:tcPr>
          <w:p w14:paraId="13BDD594">
            <w:pPr>
              <w:pStyle w:val="6"/>
              <w:spacing w:before="81" w:line="219" w:lineRule="auto"/>
              <w:ind w:left="141"/>
            </w:pPr>
            <w:r>
              <w:rPr>
                <w:spacing w:val="-2"/>
              </w:rPr>
              <w:t>混凝土搅拌机</w:t>
            </w:r>
          </w:p>
        </w:tc>
        <w:tc>
          <w:tcPr>
            <w:tcW w:w="2577" w:type="dxa"/>
            <w:vAlign w:val="top"/>
          </w:tcPr>
          <w:p w14:paraId="48A99620">
            <w:pPr>
              <w:pStyle w:val="6"/>
              <w:spacing w:before="139" w:line="183" w:lineRule="auto"/>
              <w:ind w:left="1064"/>
            </w:pPr>
            <w:r>
              <w:rPr>
                <w:spacing w:val="-2"/>
              </w:rPr>
              <w:t>400L</w:t>
            </w:r>
          </w:p>
        </w:tc>
        <w:tc>
          <w:tcPr>
            <w:tcW w:w="1658" w:type="dxa"/>
            <w:vAlign w:val="top"/>
          </w:tcPr>
          <w:p w14:paraId="1745CF55">
            <w:pPr>
              <w:pStyle w:val="6"/>
              <w:spacing w:before="85" w:line="221" w:lineRule="auto"/>
              <w:ind w:left="716"/>
            </w:pPr>
            <w:r>
              <w:t>台</w:t>
            </w:r>
          </w:p>
        </w:tc>
        <w:tc>
          <w:tcPr>
            <w:tcW w:w="939" w:type="dxa"/>
            <w:vAlign w:val="top"/>
          </w:tcPr>
          <w:p w14:paraId="1956CE1F">
            <w:pPr>
              <w:pStyle w:val="6"/>
              <w:spacing w:before="104" w:line="222" w:lineRule="auto"/>
              <w:ind w:left="408"/>
            </w:pPr>
            <w:r>
              <w:t>6</w:t>
            </w:r>
          </w:p>
        </w:tc>
        <w:tc>
          <w:tcPr>
            <w:tcW w:w="574" w:type="dxa"/>
            <w:vMerge w:val="continue"/>
            <w:tcBorders>
              <w:top w:val="nil"/>
              <w:bottom w:val="nil"/>
            </w:tcBorders>
            <w:vAlign w:val="top"/>
          </w:tcPr>
          <w:p w14:paraId="60BD95F7">
            <w:pPr>
              <w:rPr>
                <w:rFonts w:ascii="Arial"/>
                <w:sz w:val="21"/>
              </w:rPr>
            </w:pPr>
          </w:p>
        </w:tc>
      </w:tr>
      <w:tr w14:paraId="2437E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714" w:type="dxa"/>
            <w:vMerge w:val="continue"/>
            <w:tcBorders>
              <w:top w:val="nil"/>
              <w:bottom w:val="nil"/>
            </w:tcBorders>
            <w:vAlign w:val="top"/>
          </w:tcPr>
          <w:p w14:paraId="17B54B3B">
            <w:pPr>
              <w:rPr>
                <w:rFonts w:ascii="Arial"/>
                <w:sz w:val="21"/>
              </w:rPr>
            </w:pPr>
          </w:p>
        </w:tc>
        <w:tc>
          <w:tcPr>
            <w:tcW w:w="430" w:type="dxa"/>
            <w:vMerge w:val="continue"/>
            <w:tcBorders>
              <w:top w:val="nil"/>
              <w:bottom w:val="nil"/>
            </w:tcBorders>
            <w:vAlign w:val="top"/>
          </w:tcPr>
          <w:p w14:paraId="631C84CD">
            <w:pPr>
              <w:rPr>
                <w:rFonts w:ascii="Arial"/>
                <w:sz w:val="21"/>
              </w:rPr>
            </w:pPr>
          </w:p>
        </w:tc>
        <w:tc>
          <w:tcPr>
            <w:tcW w:w="569" w:type="dxa"/>
            <w:vAlign w:val="top"/>
          </w:tcPr>
          <w:p w14:paraId="1ADD19EA">
            <w:pPr>
              <w:pStyle w:val="6"/>
              <w:spacing w:before="95" w:line="204" w:lineRule="auto"/>
              <w:ind w:left="160"/>
            </w:pPr>
            <w:r>
              <w:rPr>
                <w:spacing w:val="-7"/>
              </w:rPr>
              <w:t>10</w:t>
            </w:r>
          </w:p>
        </w:tc>
        <w:tc>
          <w:tcPr>
            <w:tcW w:w="1628" w:type="dxa"/>
            <w:vAlign w:val="top"/>
          </w:tcPr>
          <w:p w14:paraId="4A98072F">
            <w:pPr>
              <w:pStyle w:val="6"/>
              <w:spacing w:before="72" w:line="219" w:lineRule="auto"/>
              <w:ind w:left="252"/>
            </w:pPr>
            <w:r>
              <w:rPr>
                <w:spacing w:val="-2"/>
              </w:rPr>
              <w:t>砂浆搅拌机</w:t>
            </w:r>
          </w:p>
        </w:tc>
        <w:tc>
          <w:tcPr>
            <w:tcW w:w="2577" w:type="dxa"/>
            <w:vAlign w:val="top"/>
          </w:tcPr>
          <w:p w14:paraId="2B0CF847">
            <w:pPr>
              <w:pStyle w:val="6"/>
              <w:spacing w:before="74" w:line="220" w:lineRule="auto"/>
              <w:ind w:left="843"/>
            </w:pPr>
            <w:r>
              <w:rPr>
                <w:spacing w:val="-2"/>
              </w:rPr>
              <w:t>容量200L</w:t>
            </w:r>
          </w:p>
        </w:tc>
        <w:tc>
          <w:tcPr>
            <w:tcW w:w="1658" w:type="dxa"/>
            <w:vAlign w:val="top"/>
          </w:tcPr>
          <w:p w14:paraId="198FACEB">
            <w:pPr>
              <w:pStyle w:val="6"/>
              <w:spacing w:before="76" w:line="220" w:lineRule="auto"/>
              <w:ind w:left="716"/>
            </w:pPr>
            <w:r>
              <w:t>台</w:t>
            </w:r>
          </w:p>
        </w:tc>
        <w:tc>
          <w:tcPr>
            <w:tcW w:w="939" w:type="dxa"/>
            <w:vAlign w:val="top"/>
          </w:tcPr>
          <w:p w14:paraId="4C8CA432">
            <w:pPr>
              <w:pStyle w:val="6"/>
              <w:spacing w:before="95" w:line="204" w:lineRule="auto"/>
              <w:ind w:left="408"/>
            </w:pPr>
            <w:r>
              <w:t>8</w:t>
            </w:r>
          </w:p>
        </w:tc>
        <w:tc>
          <w:tcPr>
            <w:tcW w:w="574" w:type="dxa"/>
            <w:vMerge w:val="continue"/>
            <w:tcBorders>
              <w:top w:val="nil"/>
              <w:bottom w:val="nil"/>
            </w:tcBorders>
            <w:vAlign w:val="top"/>
          </w:tcPr>
          <w:p w14:paraId="0670BBEF">
            <w:pPr>
              <w:rPr>
                <w:rFonts w:ascii="Arial"/>
                <w:sz w:val="21"/>
              </w:rPr>
            </w:pPr>
          </w:p>
        </w:tc>
      </w:tr>
      <w:tr w14:paraId="2A424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14" w:type="dxa"/>
            <w:vMerge w:val="continue"/>
            <w:tcBorders>
              <w:top w:val="nil"/>
              <w:bottom w:val="nil"/>
            </w:tcBorders>
            <w:vAlign w:val="top"/>
          </w:tcPr>
          <w:p w14:paraId="53313C71">
            <w:pPr>
              <w:rPr>
                <w:rFonts w:ascii="Arial"/>
                <w:sz w:val="21"/>
              </w:rPr>
            </w:pPr>
          </w:p>
        </w:tc>
        <w:tc>
          <w:tcPr>
            <w:tcW w:w="430" w:type="dxa"/>
            <w:vMerge w:val="continue"/>
            <w:tcBorders>
              <w:top w:val="nil"/>
              <w:bottom w:val="nil"/>
            </w:tcBorders>
            <w:vAlign w:val="top"/>
          </w:tcPr>
          <w:p w14:paraId="21DA854A">
            <w:pPr>
              <w:rPr>
                <w:rFonts w:ascii="Arial"/>
                <w:sz w:val="21"/>
              </w:rPr>
            </w:pPr>
          </w:p>
        </w:tc>
        <w:tc>
          <w:tcPr>
            <w:tcW w:w="569" w:type="dxa"/>
            <w:vAlign w:val="top"/>
          </w:tcPr>
          <w:p w14:paraId="317A29ED">
            <w:pPr>
              <w:pStyle w:val="6"/>
              <w:spacing w:before="107" w:line="212" w:lineRule="auto"/>
              <w:ind w:left="160"/>
            </w:pPr>
            <w:r>
              <w:rPr>
                <w:spacing w:val="-7"/>
              </w:rPr>
              <w:t>11</w:t>
            </w:r>
          </w:p>
        </w:tc>
        <w:tc>
          <w:tcPr>
            <w:tcW w:w="1628" w:type="dxa"/>
            <w:vAlign w:val="top"/>
          </w:tcPr>
          <w:p w14:paraId="4F4B2BE8">
            <w:pPr>
              <w:pStyle w:val="6"/>
              <w:spacing w:before="83" w:line="219" w:lineRule="auto"/>
              <w:ind w:left="252"/>
            </w:pPr>
            <w:r>
              <w:rPr>
                <w:spacing w:val="-2"/>
              </w:rPr>
              <w:t>振动打夯机</w:t>
            </w:r>
          </w:p>
        </w:tc>
        <w:tc>
          <w:tcPr>
            <w:tcW w:w="2577" w:type="dxa"/>
            <w:vAlign w:val="top"/>
          </w:tcPr>
          <w:p w14:paraId="739F93BA">
            <w:pPr>
              <w:pStyle w:val="6"/>
              <w:spacing w:before="141" w:line="183" w:lineRule="auto"/>
              <w:ind w:left="953"/>
            </w:pPr>
            <w:r>
              <w:rPr>
                <w:spacing w:val="-1"/>
              </w:rPr>
              <w:t>HZR400</w:t>
            </w:r>
          </w:p>
        </w:tc>
        <w:tc>
          <w:tcPr>
            <w:tcW w:w="1658" w:type="dxa"/>
            <w:vAlign w:val="top"/>
          </w:tcPr>
          <w:p w14:paraId="77498767">
            <w:pPr>
              <w:pStyle w:val="6"/>
              <w:spacing w:before="88" w:line="221" w:lineRule="auto"/>
              <w:ind w:left="716"/>
            </w:pPr>
            <w:r>
              <w:t>台</w:t>
            </w:r>
          </w:p>
        </w:tc>
        <w:tc>
          <w:tcPr>
            <w:tcW w:w="939" w:type="dxa"/>
            <w:vAlign w:val="top"/>
          </w:tcPr>
          <w:p w14:paraId="7058ACED">
            <w:pPr>
              <w:pStyle w:val="6"/>
              <w:spacing w:before="107" w:line="212" w:lineRule="auto"/>
              <w:ind w:left="408"/>
            </w:pPr>
            <w:r>
              <w:t>4</w:t>
            </w:r>
          </w:p>
        </w:tc>
        <w:tc>
          <w:tcPr>
            <w:tcW w:w="574" w:type="dxa"/>
            <w:vMerge w:val="continue"/>
            <w:tcBorders>
              <w:top w:val="nil"/>
              <w:bottom w:val="nil"/>
            </w:tcBorders>
            <w:vAlign w:val="top"/>
          </w:tcPr>
          <w:p w14:paraId="2D650BF6">
            <w:pPr>
              <w:rPr>
                <w:rFonts w:ascii="Arial"/>
                <w:sz w:val="21"/>
              </w:rPr>
            </w:pPr>
          </w:p>
        </w:tc>
      </w:tr>
      <w:tr w14:paraId="38C18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714" w:type="dxa"/>
            <w:vMerge w:val="continue"/>
            <w:tcBorders>
              <w:top w:val="nil"/>
              <w:bottom w:val="nil"/>
            </w:tcBorders>
            <w:vAlign w:val="top"/>
          </w:tcPr>
          <w:p w14:paraId="42D3B0A9">
            <w:pPr>
              <w:rPr>
                <w:rFonts w:ascii="Arial"/>
                <w:sz w:val="21"/>
              </w:rPr>
            </w:pPr>
          </w:p>
        </w:tc>
        <w:tc>
          <w:tcPr>
            <w:tcW w:w="430" w:type="dxa"/>
            <w:vMerge w:val="continue"/>
            <w:tcBorders>
              <w:top w:val="nil"/>
              <w:bottom w:val="nil"/>
            </w:tcBorders>
            <w:vAlign w:val="top"/>
          </w:tcPr>
          <w:p w14:paraId="0D49B8BB">
            <w:pPr>
              <w:rPr>
                <w:rFonts w:ascii="Arial"/>
                <w:sz w:val="21"/>
              </w:rPr>
            </w:pPr>
          </w:p>
        </w:tc>
        <w:tc>
          <w:tcPr>
            <w:tcW w:w="569" w:type="dxa"/>
            <w:vAlign w:val="top"/>
          </w:tcPr>
          <w:p w14:paraId="1373C102">
            <w:pPr>
              <w:pStyle w:val="6"/>
              <w:spacing w:before="96" w:line="212" w:lineRule="auto"/>
              <w:ind w:left="160"/>
            </w:pPr>
            <w:r>
              <w:rPr>
                <w:spacing w:val="-7"/>
              </w:rPr>
              <w:t>12</w:t>
            </w:r>
          </w:p>
        </w:tc>
        <w:tc>
          <w:tcPr>
            <w:tcW w:w="1628" w:type="dxa"/>
            <w:vAlign w:val="top"/>
          </w:tcPr>
          <w:p w14:paraId="68948105">
            <w:pPr>
              <w:pStyle w:val="6"/>
              <w:spacing w:before="75" w:line="219" w:lineRule="auto"/>
              <w:ind w:left="472"/>
            </w:pPr>
            <w:r>
              <w:rPr>
                <w:spacing w:val="-2"/>
              </w:rPr>
              <w:t>运水车</w:t>
            </w:r>
          </w:p>
        </w:tc>
        <w:tc>
          <w:tcPr>
            <w:tcW w:w="2577" w:type="dxa"/>
            <w:vAlign w:val="top"/>
          </w:tcPr>
          <w:p w14:paraId="053248A8">
            <w:pPr>
              <w:pStyle w:val="6"/>
              <w:spacing w:before="75" w:line="219" w:lineRule="auto"/>
              <w:ind w:left="184"/>
            </w:pPr>
            <w:r>
              <w:rPr>
                <w:spacing w:val="12"/>
              </w:rPr>
              <w:t>东风</w:t>
            </w:r>
            <w:r>
              <w:t>EQ</w:t>
            </w:r>
            <w:r>
              <w:rPr>
                <w:spacing w:val="12"/>
              </w:rPr>
              <w:t>145(容积10m³)</w:t>
            </w:r>
          </w:p>
        </w:tc>
        <w:tc>
          <w:tcPr>
            <w:tcW w:w="1658" w:type="dxa"/>
            <w:vAlign w:val="top"/>
          </w:tcPr>
          <w:p w14:paraId="402B4991">
            <w:pPr>
              <w:pStyle w:val="6"/>
              <w:spacing w:before="75" w:line="219" w:lineRule="auto"/>
              <w:ind w:left="716"/>
            </w:pPr>
            <w:r>
              <w:t>辆</w:t>
            </w:r>
          </w:p>
        </w:tc>
        <w:tc>
          <w:tcPr>
            <w:tcW w:w="939" w:type="dxa"/>
            <w:vAlign w:val="top"/>
          </w:tcPr>
          <w:p w14:paraId="4F58D4BF">
            <w:pPr>
              <w:pStyle w:val="6"/>
              <w:spacing w:before="96" w:line="212" w:lineRule="auto"/>
              <w:ind w:left="408"/>
            </w:pPr>
            <w:r>
              <w:t>3</w:t>
            </w:r>
          </w:p>
        </w:tc>
        <w:tc>
          <w:tcPr>
            <w:tcW w:w="574" w:type="dxa"/>
            <w:vMerge w:val="continue"/>
            <w:tcBorders>
              <w:top w:val="nil"/>
              <w:bottom w:val="nil"/>
            </w:tcBorders>
            <w:vAlign w:val="top"/>
          </w:tcPr>
          <w:p w14:paraId="793FBB94">
            <w:pPr>
              <w:rPr>
                <w:rFonts w:ascii="Arial"/>
                <w:sz w:val="21"/>
              </w:rPr>
            </w:pPr>
          </w:p>
        </w:tc>
      </w:tr>
      <w:tr w14:paraId="33B7A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14" w:type="dxa"/>
            <w:vMerge w:val="continue"/>
            <w:tcBorders>
              <w:top w:val="nil"/>
              <w:bottom w:val="nil"/>
            </w:tcBorders>
            <w:vAlign w:val="top"/>
          </w:tcPr>
          <w:p w14:paraId="05FC028B">
            <w:pPr>
              <w:rPr>
                <w:rFonts w:ascii="Arial"/>
                <w:sz w:val="21"/>
              </w:rPr>
            </w:pPr>
          </w:p>
        </w:tc>
        <w:tc>
          <w:tcPr>
            <w:tcW w:w="430" w:type="dxa"/>
            <w:vMerge w:val="continue"/>
            <w:tcBorders>
              <w:top w:val="nil"/>
              <w:bottom w:val="nil"/>
            </w:tcBorders>
            <w:vAlign w:val="top"/>
          </w:tcPr>
          <w:p w14:paraId="385D0B03">
            <w:pPr>
              <w:rPr>
                <w:rFonts w:ascii="Arial"/>
                <w:sz w:val="21"/>
              </w:rPr>
            </w:pPr>
          </w:p>
        </w:tc>
        <w:tc>
          <w:tcPr>
            <w:tcW w:w="569" w:type="dxa"/>
            <w:vAlign w:val="top"/>
          </w:tcPr>
          <w:p w14:paraId="1D20E0D0">
            <w:pPr>
              <w:pStyle w:val="6"/>
              <w:spacing w:before="108" w:line="211" w:lineRule="auto"/>
              <w:ind w:left="160"/>
            </w:pPr>
            <w:r>
              <w:rPr>
                <w:spacing w:val="-7"/>
              </w:rPr>
              <w:t>13</w:t>
            </w:r>
          </w:p>
        </w:tc>
        <w:tc>
          <w:tcPr>
            <w:tcW w:w="1628" w:type="dxa"/>
            <w:vAlign w:val="top"/>
          </w:tcPr>
          <w:p w14:paraId="513F4594">
            <w:pPr>
              <w:pStyle w:val="6"/>
              <w:spacing w:before="86" w:line="219" w:lineRule="auto"/>
              <w:ind w:left="311"/>
            </w:pPr>
            <w:r>
              <w:rPr>
                <w:spacing w:val="4"/>
              </w:rPr>
              <w:t>30T汽车吊</w:t>
            </w:r>
          </w:p>
        </w:tc>
        <w:tc>
          <w:tcPr>
            <w:tcW w:w="2577" w:type="dxa"/>
            <w:vAlign w:val="top"/>
          </w:tcPr>
          <w:p w14:paraId="7E6C9F67">
            <w:pPr>
              <w:pStyle w:val="6"/>
              <w:spacing w:before="108" w:line="211" w:lineRule="auto"/>
              <w:ind w:left="673"/>
            </w:pPr>
            <w:r>
              <w:rPr>
                <w:spacing w:val="-1"/>
              </w:rPr>
              <w:t>LTM1030-2.1</w:t>
            </w:r>
          </w:p>
        </w:tc>
        <w:tc>
          <w:tcPr>
            <w:tcW w:w="1658" w:type="dxa"/>
            <w:vAlign w:val="top"/>
          </w:tcPr>
          <w:p w14:paraId="3E270D47">
            <w:pPr>
              <w:pStyle w:val="6"/>
              <w:spacing w:before="86" w:line="219" w:lineRule="auto"/>
              <w:ind w:left="716"/>
            </w:pPr>
            <w:r>
              <w:t>辆</w:t>
            </w:r>
          </w:p>
        </w:tc>
        <w:tc>
          <w:tcPr>
            <w:tcW w:w="939" w:type="dxa"/>
            <w:vAlign w:val="top"/>
          </w:tcPr>
          <w:p w14:paraId="7A8CC080">
            <w:pPr>
              <w:pStyle w:val="6"/>
              <w:spacing w:before="108" w:line="211" w:lineRule="auto"/>
              <w:ind w:left="408"/>
            </w:pPr>
            <w:r>
              <w:t>3</w:t>
            </w:r>
          </w:p>
        </w:tc>
        <w:tc>
          <w:tcPr>
            <w:tcW w:w="574" w:type="dxa"/>
            <w:vMerge w:val="continue"/>
            <w:tcBorders>
              <w:top w:val="nil"/>
              <w:bottom w:val="nil"/>
            </w:tcBorders>
            <w:vAlign w:val="top"/>
          </w:tcPr>
          <w:p w14:paraId="0A0F4423">
            <w:pPr>
              <w:rPr>
                <w:rFonts w:ascii="Arial"/>
                <w:sz w:val="21"/>
              </w:rPr>
            </w:pPr>
          </w:p>
        </w:tc>
      </w:tr>
      <w:tr w14:paraId="3349D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714" w:type="dxa"/>
            <w:vMerge w:val="continue"/>
            <w:tcBorders>
              <w:top w:val="nil"/>
              <w:bottom w:val="nil"/>
            </w:tcBorders>
            <w:vAlign w:val="top"/>
          </w:tcPr>
          <w:p w14:paraId="3DE88160">
            <w:pPr>
              <w:rPr>
                <w:rFonts w:ascii="Arial"/>
                <w:sz w:val="21"/>
              </w:rPr>
            </w:pPr>
          </w:p>
        </w:tc>
        <w:tc>
          <w:tcPr>
            <w:tcW w:w="430" w:type="dxa"/>
            <w:vMerge w:val="continue"/>
            <w:tcBorders>
              <w:top w:val="nil"/>
              <w:bottom w:val="nil"/>
            </w:tcBorders>
            <w:vAlign w:val="top"/>
          </w:tcPr>
          <w:p w14:paraId="44478DEC">
            <w:pPr>
              <w:rPr>
                <w:rFonts w:ascii="Arial"/>
                <w:sz w:val="21"/>
              </w:rPr>
            </w:pPr>
          </w:p>
        </w:tc>
        <w:tc>
          <w:tcPr>
            <w:tcW w:w="569" w:type="dxa"/>
            <w:vAlign w:val="top"/>
          </w:tcPr>
          <w:p w14:paraId="3933B4F1">
            <w:pPr>
              <w:pStyle w:val="6"/>
              <w:spacing w:before="107" w:line="220" w:lineRule="auto"/>
              <w:ind w:left="160"/>
            </w:pPr>
            <w:r>
              <w:rPr>
                <w:spacing w:val="-7"/>
              </w:rPr>
              <w:t>14</w:t>
            </w:r>
          </w:p>
        </w:tc>
        <w:tc>
          <w:tcPr>
            <w:tcW w:w="1628" w:type="dxa"/>
            <w:vAlign w:val="top"/>
          </w:tcPr>
          <w:p w14:paraId="66B389A3">
            <w:pPr>
              <w:pStyle w:val="6"/>
              <w:spacing w:before="86" w:line="219" w:lineRule="auto"/>
              <w:ind w:left="252"/>
            </w:pPr>
            <w:r>
              <w:rPr>
                <w:spacing w:val="3"/>
              </w:rPr>
              <w:t>130T汽车吊</w:t>
            </w:r>
          </w:p>
        </w:tc>
        <w:tc>
          <w:tcPr>
            <w:tcW w:w="2577" w:type="dxa"/>
            <w:vAlign w:val="top"/>
          </w:tcPr>
          <w:p w14:paraId="60DC1013">
            <w:pPr>
              <w:pStyle w:val="6"/>
              <w:spacing w:before="141" w:line="184" w:lineRule="auto"/>
              <w:ind w:left="893"/>
            </w:pPr>
            <w:r>
              <w:rPr>
                <w:spacing w:val="-1"/>
              </w:rPr>
              <w:t>LMT1130</w:t>
            </w:r>
          </w:p>
        </w:tc>
        <w:tc>
          <w:tcPr>
            <w:tcW w:w="1658" w:type="dxa"/>
            <w:vAlign w:val="top"/>
          </w:tcPr>
          <w:p w14:paraId="46634245">
            <w:pPr>
              <w:pStyle w:val="6"/>
              <w:spacing w:before="86" w:line="219" w:lineRule="auto"/>
              <w:ind w:left="716"/>
            </w:pPr>
            <w:r>
              <w:t>辆</w:t>
            </w:r>
          </w:p>
        </w:tc>
        <w:tc>
          <w:tcPr>
            <w:tcW w:w="939" w:type="dxa"/>
            <w:vAlign w:val="top"/>
          </w:tcPr>
          <w:p w14:paraId="4F6F0539">
            <w:pPr>
              <w:rPr>
                <w:rFonts w:ascii="Arial"/>
                <w:sz w:val="21"/>
              </w:rPr>
            </w:pPr>
          </w:p>
        </w:tc>
        <w:tc>
          <w:tcPr>
            <w:tcW w:w="574" w:type="dxa"/>
            <w:vMerge w:val="continue"/>
            <w:tcBorders>
              <w:top w:val="nil"/>
              <w:bottom w:val="nil"/>
            </w:tcBorders>
            <w:vAlign w:val="top"/>
          </w:tcPr>
          <w:p w14:paraId="32808C51">
            <w:pPr>
              <w:rPr>
                <w:rFonts w:ascii="Arial"/>
                <w:sz w:val="21"/>
              </w:rPr>
            </w:pPr>
          </w:p>
        </w:tc>
      </w:tr>
      <w:tr w14:paraId="2D52E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714" w:type="dxa"/>
            <w:vMerge w:val="continue"/>
            <w:tcBorders>
              <w:top w:val="nil"/>
              <w:bottom w:val="nil"/>
            </w:tcBorders>
            <w:vAlign w:val="top"/>
          </w:tcPr>
          <w:p w14:paraId="522EEAD9">
            <w:pPr>
              <w:rPr>
                <w:rFonts w:ascii="Arial"/>
                <w:sz w:val="21"/>
              </w:rPr>
            </w:pPr>
          </w:p>
        </w:tc>
        <w:tc>
          <w:tcPr>
            <w:tcW w:w="430" w:type="dxa"/>
            <w:vMerge w:val="continue"/>
            <w:tcBorders>
              <w:top w:val="nil"/>
              <w:bottom w:val="nil"/>
            </w:tcBorders>
            <w:vAlign w:val="top"/>
          </w:tcPr>
          <w:p w14:paraId="650F59C1">
            <w:pPr>
              <w:rPr>
                <w:rFonts w:ascii="Arial"/>
                <w:sz w:val="21"/>
              </w:rPr>
            </w:pPr>
          </w:p>
        </w:tc>
        <w:tc>
          <w:tcPr>
            <w:tcW w:w="569" w:type="dxa"/>
            <w:vAlign w:val="top"/>
          </w:tcPr>
          <w:p w14:paraId="2045A5B0">
            <w:pPr>
              <w:pStyle w:val="6"/>
              <w:spacing w:before="98" w:line="203" w:lineRule="auto"/>
              <w:ind w:left="160"/>
            </w:pPr>
            <w:r>
              <w:rPr>
                <w:spacing w:val="-7"/>
              </w:rPr>
              <w:t>14</w:t>
            </w:r>
          </w:p>
        </w:tc>
        <w:tc>
          <w:tcPr>
            <w:tcW w:w="1628" w:type="dxa"/>
            <w:vAlign w:val="top"/>
          </w:tcPr>
          <w:p w14:paraId="03E9D920">
            <w:pPr>
              <w:pStyle w:val="6"/>
              <w:spacing w:before="76" w:line="219" w:lineRule="auto"/>
              <w:ind w:left="141"/>
            </w:pPr>
            <w:r>
              <w:rPr>
                <w:spacing w:val="-2"/>
              </w:rPr>
              <w:t>液压升降小车</w:t>
            </w:r>
          </w:p>
        </w:tc>
        <w:tc>
          <w:tcPr>
            <w:tcW w:w="2577" w:type="dxa"/>
            <w:vAlign w:val="top"/>
          </w:tcPr>
          <w:p w14:paraId="2032D9D6">
            <w:pPr>
              <w:pStyle w:val="6"/>
              <w:spacing w:before="132" w:line="174" w:lineRule="auto"/>
              <w:ind w:left="1173"/>
            </w:pPr>
            <w:r>
              <w:rPr>
                <w:spacing w:val="-3"/>
              </w:rPr>
              <w:t>9T</w:t>
            </w:r>
          </w:p>
        </w:tc>
        <w:tc>
          <w:tcPr>
            <w:tcW w:w="1658" w:type="dxa"/>
            <w:vAlign w:val="top"/>
          </w:tcPr>
          <w:p w14:paraId="67EDBBB6">
            <w:pPr>
              <w:pStyle w:val="6"/>
              <w:spacing w:before="76" w:line="219" w:lineRule="auto"/>
              <w:ind w:left="716"/>
            </w:pPr>
            <w:r>
              <w:t>辆</w:t>
            </w:r>
          </w:p>
        </w:tc>
        <w:tc>
          <w:tcPr>
            <w:tcW w:w="939" w:type="dxa"/>
            <w:vAlign w:val="top"/>
          </w:tcPr>
          <w:p w14:paraId="62453DF1">
            <w:pPr>
              <w:pStyle w:val="6"/>
              <w:spacing w:before="98" w:line="203" w:lineRule="auto"/>
              <w:ind w:left="408"/>
            </w:pPr>
            <w:r>
              <w:t>4</w:t>
            </w:r>
          </w:p>
        </w:tc>
        <w:tc>
          <w:tcPr>
            <w:tcW w:w="574" w:type="dxa"/>
            <w:vMerge w:val="continue"/>
            <w:tcBorders>
              <w:top w:val="nil"/>
              <w:bottom w:val="nil"/>
            </w:tcBorders>
            <w:vAlign w:val="top"/>
          </w:tcPr>
          <w:p w14:paraId="47D9B52D">
            <w:pPr>
              <w:rPr>
                <w:rFonts w:ascii="Arial"/>
                <w:sz w:val="21"/>
              </w:rPr>
            </w:pPr>
          </w:p>
        </w:tc>
      </w:tr>
      <w:tr w14:paraId="5BA74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714" w:type="dxa"/>
            <w:vMerge w:val="continue"/>
            <w:tcBorders>
              <w:top w:val="nil"/>
              <w:bottom w:val="nil"/>
            </w:tcBorders>
            <w:vAlign w:val="top"/>
          </w:tcPr>
          <w:p w14:paraId="716AC175">
            <w:pPr>
              <w:rPr>
                <w:rFonts w:ascii="Arial"/>
                <w:sz w:val="21"/>
              </w:rPr>
            </w:pPr>
          </w:p>
        </w:tc>
        <w:tc>
          <w:tcPr>
            <w:tcW w:w="430" w:type="dxa"/>
            <w:vMerge w:val="continue"/>
            <w:tcBorders>
              <w:top w:val="nil"/>
              <w:bottom w:val="nil"/>
            </w:tcBorders>
            <w:vAlign w:val="top"/>
          </w:tcPr>
          <w:p w14:paraId="53D0A675">
            <w:pPr>
              <w:rPr>
                <w:rFonts w:ascii="Arial"/>
                <w:sz w:val="21"/>
              </w:rPr>
            </w:pPr>
          </w:p>
        </w:tc>
        <w:tc>
          <w:tcPr>
            <w:tcW w:w="569" w:type="dxa"/>
            <w:vAlign w:val="top"/>
          </w:tcPr>
          <w:p w14:paraId="38DC74A9">
            <w:pPr>
              <w:pStyle w:val="6"/>
              <w:spacing w:before="108" w:line="219" w:lineRule="auto"/>
              <w:ind w:left="160"/>
            </w:pPr>
            <w:r>
              <w:rPr>
                <w:spacing w:val="-7"/>
              </w:rPr>
              <w:t>15</w:t>
            </w:r>
          </w:p>
        </w:tc>
        <w:tc>
          <w:tcPr>
            <w:tcW w:w="1628" w:type="dxa"/>
            <w:vAlign w:val="top"/>
          </w:tcPr>
          <w:p w14:paraId="4E6122BC">
            <w:pPr>
              <w:pStyle w:val="6"/>
              <w:spacing w:before="84" w:line="219" w:lineRule="auto"/>
              <w:ind w:left="141"/>
            </w:pPr>
            <w:r>
              <w:rPr>
                <w:spacing w:val="-2"/>
              </w:rPr>
              <w:t>手工电弧焊机</w:t>
            </w:r>
          </w:p>
        </w:tc>
        <w:tc>
          <w:tcPr>
            <w:tcW w:w="2577" w:type="dxa"/>
            <w:vAlign w:val="top"/>
          </w:tcPr>
          <w:p w14:paraId="010A72D1">
            <w:pPr>
              <w:pStyle w:val="6"/>
              <w:spacing w:before="108" w:line="219" w:lineRule="auto"/>
              <w:ind w:left="893"/>
            </w:pPr>
            <w:r>
              <w:rPr>
                <w:spacing w:val="-2"/>
              </w:rPr>
              <w:t>ZX7-315</w:t>
            </w:r>
          </w:p>
        </w:tc>
        <w:tc>
          <w:tcPr>
            <w:tcW w:w="1658" w:type="dxa"/>
            <w:vAlign w:val="top"/>
          </w:tcPr>
          <w:p w14:paraId="27CEEA3F">
            <w:pPr>
              <w:pStyle w:val="6"/>
              <w:spacing w:before="88" w:line="221" w:lineRule="auto"/>
              <w:ind w:left="716"/>
            </w:pPr>
            <w:r>
              <w:t>台</w:t>
            </w:r>
          </w:p>
        </w:tc>
        <w:tc>
          <w:tcPr>
            <w:tcW w:w="939" w:type="dxa"/>
            <w:vAlign w:val="top"/>
          </w:tcPr>
          <w:p w14:paraId="42BFA164">
            <w:pPr>
              <w:pStyle w:val="6"/>
              <w:spacing w:before="108" w:line="219" w:lineRule="auto"/>
              <w:ind w:left="359"/>
            </w:pPr>
            <w:r>
              <w:rPr>
                <w:spacing w:val="-7"/>
              </w:rPr>
              <w:t>11</w:t>
            </w:r>
          </w:p>
        </w:tc>
        <w:tc>
          <w:tcPr>
            <w:tcW w:w="574" w:type="dxa"/>
            <w:vMerge w:val="continue"/>
            <w:tcBorders>
              <w:top w:val="nil"/>
              <w:bottom w:val="nil"/>
            </w:tcBorders>
            <w:vAlign w:val="top"/>
          </w:tcPr>
          <w:p w14:paraId="1090368E">
            <w:pPr>
              <w:rPr>
                <w:rFonts w:ascii="Arial"/>
                <w:sz w:val="21"/>
              </w:rPr>
            </w:pPr>
          </w:p>
        </w:tc>
      </w:tr>
      <w:tr w14:paraId="3DF16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14" w:type="dxa"/>
            <w:vMerge w:val="continue"/>
            <w:tcBorders>
              <w:top w:val="nil"/>
              <w:bottom w:val="nil"/>
            </w:tcBorders>
            <w:vAlign w:val="top"/>
          </w:tcPr>
          <w:p w14:paraId="5A650711">
            <w:pPr>
              <w:rPr>
                <w:rFonts w:ascii="Arial"/>
                <w:sz w:val="21"/>
              </w:rPr>
            </w:pPr>
          </w:p>
        </w:tc>
        <w:tc>
          <w:tcPr>
            <w:tcW w:w="430" w:type="dxa"/>
            <w:vMerge w:val="continue"/>
            <w:tcBorders>
              <w:top w:val="nil"/>
              <w:bottom w:val="nil"/>
            </w:tcBorders>
            <w:vAlign w:val="top"/>
          </w:tcPr>
          <w:p w14:paraId="205B1014">
            <w:pPr>
              <w:rPr>
                <w:rFonts w:ascii="Arial"/>
                <w:sz w:val="21"/>
              </w:rPr>
            </w:pPr>
          </w:p>
        </w:tc>
        <w:tc>
          <w:tcPr>
            <w:tcW w:w="569" w:type="dxa"/>
            <w:vAlign w:val="top"/>
          </w:tcPr>
          <w:p w14:paraId="76701172">
            <w:pPr>
              <w:pStyle w:val="6"/>
              <w:spacing w:before="188"/>
              <w:ind w:left="160"/>
            </w:pPr>
            <w:r>
              <w:rPr>
                <w:spacing w:val="-7"/>
              </w:rPr>
              <w:t>16</w:t>
            </w:r>
          </w:p>
        </w:tc>
        <w:tc>
          <w:tcPr>
            <w:tcW w:w="1628" w:type="dxa"/>
            <w:vAlign w:val="top"/>
          </w:tcPr>
          <w:p w14:paraId="505BAC52">
            <w:pPr>
              <w:pStyle w:val="6"/>
              <w:spacing w:before="38" w:line="206" w:lineRule="auto"/>
              <w:ind w:left="581" w:right="36" w:hanging="550"/>
            </w:pPr>
            <w:r>
              <w:rPr>
                <w:spacing w:val="1"/>
              </w:rPr>
              <w:t xml:space="preserve">混凝土插入式振 </w:t>
            </w:r>
            <w:r>
              <w:rPr>
                <w:spacing w:val="-3"/>
              </w:rPr>
              <w:t>动器</w:t>
            </w:r>
          </w:p>
        </w:tc>
        <w:tc>
          <w:tcPr>
            <w:tcW w:w="2577" w:type="dxa"/>
            <w:vAlign w:val="top"/>
          </w:tcPr>
          <w:p w14:paraId="73D74ACF">
            <w:pPr>
              <w:pStyle w:val="6"/>
              <w:spacing w:before="188"/>
              <w:ind w:left="1004"/>
            </w:pPr>
            <w:r>
              <w:rPr>
                <w:spacing w:val="-2"/>
              </w:rPr>
              <w:t>ZX-70</w:t>
            </w:r>
          </w:p>
        </w:tc>
        <w:tc>
          <w:tcPr>
            <w:tcW w:w="1658" w:type="dxa"/>
            <w:vAlign w:val="top"/>
          </w:tcPr>
          <w:p w14:paraId="24E3DB88">
            <w:pPr>
              <w:pStyle w:val="6"/>
              <w:spacing w:before="170" w:line="221" w:lineRule="auto"/>
              <w:ind w:left="716"/>
            </w:pPr>
            <w:r>
              <w:t>台</w:t>
            </w:r>
          </w:p>
        </w:tc>
        <w:tc>
          <w:tcPr>
            <w:tcW w:w="939" w:type="dxa"/>
            <w:vAlign w:val="top"/>
          </w:tcPr>
          <w:p w14:paraId="7A0A6E25">
            <w:pPr>
              <w:pStyle w:val="6"/>
              <w:spacing w:before="188"/>
              <w:ind w:left="408"/>
            </w:pPr>
            <w:r>
              <w:t>8</w:t>
            </w:r>
          </w:p>
        </w:tc>
        <w:tc>
          <w:tcPr>
            <w:tcW w:w="574" w:type="dxa"/>
            <w:vMerge w:val="continue"/>
            <w:tcBorders>
              <w:top w:val="nil"/>
              <w:bottom w:val="nil"/>
            </w:tcBorders>
            <w:vAlign w:val="top"/>
          </w:tcPr>
          <w:p w14:paraId="23FAF967">
            <w:pPr>
              <w:rPr>
                <w:rFonts w:ascii="Arial"/>
                <w:sz w:val="21"/>
              </w:rPr>
            </w:pPr>
          </w:p>
        </w:tc>
      </w:tr>
      <w:tr w14:paraId="5F6C1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14" w:type="dxa"/>
            <w:vMerge w:val="continue"/>
            <w:tcBorders>
              <w:top w:val="nil"/>
              <w:bottom w:val="nil"/>
            </w:tcBorders>
            <w:vAlign w:val="top"/>
          </w:tcPr>
          <w:p w14:paraId="21AE7E3A">
            <w:pPr>
              <w:rPr>
                <w:rFonts w:ascii="Arial"/>
                <w:sz w:val="21"/>
              </w:rPr>
            </w:pPr>
          </w:p>
        </w:tc>
        <w:tc>
          <w:tcPr>
            <w:tcW w:w="430" w:type="dxa"/>
            <w:vMerge w:val="continue"/>
            <w:tcBorders>
              <w:top w:val="nil"/>
              <w:bottom w:val="nil"/>
            </w:tcBorders>
            <w:vAlign w:val="top"/>
          </w:tcPr>
          <w:p w14:paraId="0836D413">
            <w:pPr>
              <w:rPr>
                <w:rFonts w:ascii="Arial"/>
                <w:sz w:val="21"/>
              </w:rPr>
            </w:pPr>
          </w:p>
        </w:tc>
        <w:tc>
          <w:tcPr>
            <w:tcW w:w="569" w:type="dxa"/>
            <w:vAlign w:val="top"/>
          </w:tcPr>
          <w:p w14:paraId="6450B62F">
            <w:pPr>
              <w:pStyle w:val="6"/>
              <w:spacing w:before="109" w:line="210" w:lineRule="auto"/>
              <w:ind w:left="160"/>
            </w:pPr>
            <w:r>
              <w:rPr>
                <w:spacing w:val="-7"/>
              </w:rPr>
              <w:t>17</w:t>
            </w:r>
          </w:p>
        </w:tc>
        <w:tc>
          <w:tcPr>
            <w:tcW w:w="1628" w:type="dxa"/>
            <w:vAlign w:val="top"/>
          </w:tcPr>
          <w:p w14:paraId="272E9003">
            <w:pPr>
              <w:pStyle w:val="6"/>
              <w:spacing w:before="86" w:line="219" w:lineRule="auto"/>
              <w:ind w:left="252"/>
            </w:pPr>
            <w:r>
              <w:rPr>
                <w:spacing w:val="-2"/>
              </w:rPr>
              <w:t>柴油发电机</w:t>
            </w:r>
          </w:p>
        </w:tc>
        <w:tc>
          <w:tcPr>
            <w:tcW w:w="2577" w:type="dxa"/>
            <w:vAlign w:val="top"/>
          </w:tcPr>
          <w:p w14:paraId="74493E3D">
            <w:pPr>
              <w:pStyle w:val="6"/>
              <w:spacing w:before="109" w:line="210" w:lineRule="auto"/>
              <w:ind w:left="1064"/>
            </w:pPr>
            <w:r>
              <w:rPr>
                <w:spacing w:val="-5"/>
              </w:rPr>
              <w:t>15kW</w:t>
            </w:r>
          </w:p>
        </w:tc>
        <w:tc>
          <w:tcPr>
            <w:tcW w:w="1658" w:type="dxa"/>
            <w:vAlign w:val="top"/>
          </w:tcPr>
          <w:p w14:paraId="55E3DB4C">
            <w:pPr>
              <w:pStyle w:val="6"/>
              <w:spacing w:before="90" w:line="221" w:lineRule="auto"/>
              <w:ind w:left="716"/>
            </w:pPr>
            <w:r>
              <w:t>台</w:t>
            </w:r>
          </w:p>
        </w:tc>
        <w:tc>
          <w:tcPr>
            <w:tcW w:w="939" w:type="dxa"/>
            <w:vAlign w:val="top"/>
          </w:tcPr>
          <w:p w14:paraId="6039628F">
            <w:pPr>
              <w:pStyle w:val="6"/>
              <w:spacing w:before="109" w:line="210" w:lineRule="auto"/>
              <w:ind w:left="359"/>
            </w:pPr>
            <w:r>
              <w:rPr>
                <w:spacing w:val="-7"/>
              </w:rPr>
              <w:t>11</w:t>
            </w:r>
          </w:p>
        </w:tc>
        <w:tc>
          <w:tcPr>
            <w:tcW w:w="574" w:type="dxa"/>
            <w:vMerge w:val="continue"/>
            <w:tcBorders>
              <w:top w:val="nil"/>
              <w:bottom w:val="nil"/>
            </w:tcBorders>
            <w:vAlign w:val="top"/>
          </w:tcPr>
          <w:p w14:paraId="182796CA">
            <w:pPr>
              <w:rPr>
                <w:rFonts w:ascii="Arial"/>
                <w:sz w:val="21"/>
              </w:rPr>
            </w:pPr>
          </w:p>
        </w:tc>
      </w:tr>
      <w:tr w14:paraId="402DF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14" w:type="dxa"/>
            <w:vMerge w:val="continue"/>
            <w:tcBorders>
              <w:top w:val="nil"/>
              <w:bottom w:val="nil"/>
            </w:tcBorders>
            <w:vAlign w:val="top"/>
          </w:tcPr>
          <w:p w14:paraId="1073EBCA">
            <w:pPr>
              <w:rPr>
                <w:rFonts w:ascii="Arial"/>
                <w:sz w:val="21"/>
              </w:rPr>
            </w:pPr>
          </w:p>
        </w:tc>
        <w:tc>
          <w:tcPr>
            <w:tcW w:w="430" w:type="dxa"/>
            <w:vMerge w:val="continue"/>
            <w:tcBorders>
              <w:top w:val="nil"/>
              <w:bottom w:val="nil"/>
            </w:tcBorders>
            <w:vAlign w:val="top"/>
          </w:tcPr>
          <w:p w14:paraId="1AE24A74">
            <w:pPr>
              <w:rPr>
                <w:rFonts w:ascii="Arial"/>
                <w:sz w:val="21"/>
              </w:rPr>
            </w:pPr>
          </w:p>
        </w:tc>
        <w:tc>
          <w:tcPr>
            <w:tcW w:w="569" w:type="dxa"/>
            <w:vAlign w:val="top"/>
          </w:tcPr>
          <w:p w14:paraId="156DE79C">
            <w:pPr>
              <w:pStyle w:val="6"/>
              <w:spacing w:before="109" w:line="210" w:lineRule="auto"/>
              <w:ind w:left="160"/>
            </w:pPr>
            <w:r>
              <w:rPr>
                <w:spacing w:val="-7"/>
              </w:rPr>
              <w:t>18</w:t>
            </w:r>
          </w:p>
        </w:tc>
        <w:tc>
          <w:tcPr>
            <w:tcW w:w="1628" w:type="dxa"/>
            <w:vAlign w:val="top"/>
          </w:tcPr>
          <w:p w14:paraId="7BC401C4">
            <w:pPr>
              <w:pStyle w:val="6"/>
              <w:spacing w:before="86" w:line="219" w:lineRule="auto"/>
              <w:ind w:left="31"/>
            </w:pPr>
            <w:r>
              <w:rPr>
                <w:spacing w:val="-1"/>
              </w:rPr>
              <w:t>钢筋调直切断机</w:t>
            </w:r>
          </w:p>
        </w:tc>
        <w:tc>
          <w:tcPr>
            <w:tcW w:w="2577" w:type="dxa"/>
            <w:vAlign w:val="top"/>
          </w:tcPr>
          <w:p w14:paraId="5219E519">
            <w:pPr>
              <w:pStyle w:val="6"/>
              <w:spacing w:before="109" w:line="210" w:lineRule="auto"/>
              <w:ind w:left="953"/>
            </w:pPr>
            <w:r>
              <w:rPr>
                <w:spacing w:val="-1"/>
              </w:rPr>
              <w:t>GT5-12</w:t>
            </w:r>
          </w:p>
        </w:tc>
        <w:tc>
          <w:tcPr>
            <w:tcW w:w="1658" w:type="dxa"/>
            <w:vAlign w:val="top"/>
          </w:tcPr>
          <w:p w14:paraId="278569EE">
            <w:pPr>
              <w:pStyle w:val="6"/>
              <w:spacing w:before="90" w:line="221" w:lineRule="auto"/>
              <w:ind w:left="716"/>
            </w:pPr>
            <w:r>
              <w:t>台</w:t>
            </w:r>
          </w:p>
        </w:tc>
        <w:tc>
          <w:tcPr>
            <w:tcW w:w="939" w:type="dxa"/>
            <w:vAlign w:val="top"/>
          </w:tcPr>
          <w:p w14:paraId="1C5353E7">
            <w:pPr>
              <w:pStyle w:val="6"/>
              <w:spacing w:before="109" w:line="210" w:lineRule="auto"/>
              <w:ind w:left="408"/>
            </w:pPr>
            <w:r>
              <w:t>6</w:t>
            </w:r>
          </w:p>
        </w:tc>
        <w:tc>
          <w:tcPr>
            <w:tcW w:w="574" w:type="dxa"/>
            <w:vMerge w:val="continue"/>
            <w:tcBorders>
              <w:top w:val="nil"/>
              <w:bottom w:val="nil"/>
            </w:tcBorders>
            <w:vAlign w:val="top"/>
          </w:tcPr>
          <w:p w14:paraId="4BCE5F24">
            <w:pPr>
              <w:rPr>
                <w:rFonts w:ascii="Arial"/>
                <w:sz w:val="21"/>
              </w:rPr>
            </w:pPr>
          </w:p>
        </w:tc>
      </w:tr>
      <w:tr w14:paraId="74054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714" w:type="dxa"/>
            <w:vMerge w:val="continue"/>
            <w:tcBorders>
              <w:top w:val="nil"/>
            </w:tcBorders>
            <w:vAlign w:val="top"/>
          </w:tcPr>
          <w:p w14:paraId="04E9E613">
            <w:pPr>
              <w:rPr>
                <w:rFonts w:ascii="Arial"/>
                <w:sz w:val="21"/>
              </w:rPr>
            </w:pPr>
          </w:p>
        </w:tc>
        <w:tc>
          <w:tcPr>
            <w:tcW w:w="430" w:type="dxa"/>
            <w:vMerge w:val="continue"/>
            <w:tcBorders>
              <w:top w:val="nil"/>
            </w:tcBorders>
            <w:vAlign w:val="top"/>
          </w:tcPr>
          <w:p w14:paraId="6FEE9E0C">
            <w:pPr>
              <w:rPr>
                <w:rFonts w:ascii="Arial"/>
                <w:sz w:val="21"/>
              </w:rPr>
            </w:pPr>
          </w:p>
        </w:tc>
        <w:tc>
          <w:tcPr>
            <w:tcW w:w="569" w:type="dxa"/>
            <w:vAlign w:val="top"/>
          </w:tcPr>
          <w:p w14:paraId="5FF9DA5A">
            <w:pPr>
              <w:pStyle w:val="6"/>
              <w:spacing w:before="120" w:line="217" w:lineRule="auto"/>
              <w:ind w:left="160"/>
            </w:pPr>
            <w:r>
              <w:rPr>
                <w:spacing w:val="-7"/>
              </w:rPr>
              <w:t>19</w:t>
            </w:r>
          </w:p>
        </w:tc>
        <w:tc>
          <w:tcPr>
            <w:tcW w:w="1628" w:type="dxa"/>
            <w:vAlign w:val="top"/>
          </w:tcPr>
          <w:p w14:paraId="00B8A58A">
            <w:pPr>
              <w:pStyle w:val="6"/>
              <w:spacing w:before="96" w:line="219" w:lineRule="auto"/>
              <w:ind w:left="31"/>
            </w:pPr>
            <w:r>
              <w:rPr>
                <w:spacing w:val="-1"/>
              </w:rPr>
              <w:t>钢筋调直切断机</w:t>
            </w:r>
          </w:p>
        </w:tc>
        <w:tc>
          <w:tcPr>
            <w:tcW w:w="2577" w:type="dxa"/>
            <w:vAlign w:val="top"/>
          </w:tcPr>
          <w:p w14:paraId="0A9D72C7">
            <w:pPr>
              <w:pStyle w:val="6"/>
              <w:spacing w:before="120" w:line="217" w:lineRule="auto"/>
              <w:ind w:left="893"/>
            </w:pPr>
            <w:r>
              <w:rPr>
                <w:spacing w:val="-1"/>
              </w:rPr>
              <w:t>GY12-22</w:t>
            </w:r>
          </w:p>
        </w:tc>
        <w:tc>
          <w:tcPr>
            <w:tcW w:w="1658" w:type="dxa"/>
            <w:vAlign w:val="top"/>
          </w:tcPr>
          <w:p w14:paraId="08F6180C">
            <w:pPr>
              <w:pStyle w:val="6"/>
              <w:spacing w:before="101" w:line="221" w:lineRule="auto"/>
              <w:ind w:left="716"/>
            </w:pPr>
            <w:r>
              <w:t>台</w:t>
            </w:r>
          </w:p>
        </w:tc>
        <w:tc>
          <w:tcPr>
            <w:tcW w:w="939" w:type="dxa"/>
            <w:vAlign w:val="top"/>
          </w:tcPr>
          <w:p w14:paraId="5F42FA81">
            <w:pPr>
              <w:pStyle w:val="6"/>
              <w:spacing w:before="120" w:line="217" w:lineRule="auto"/>
              <w:ind w:left="408"/>
            </w:pPr>
            <w:r>
              <w:t>3</w:t>
            </w:r>
          </w:p>
        </w:tc>
        <w:tc>
          <w:tcPr>
            <w:tcW w:w="574" w:type="dxa"/>
            <w:vMerge w:val="continue"/>
            <w:tcBorders>
              <w:top w:val="nil"/>
            </w:tcBorders>
            <w:vAlign w:val="top"/>
          </w:tcPr>
          <w:p w14:paraId="3B044782">
            <w:pPr>
              <w:rPr>
                <w:rFonts w:ascii="Arial"/>
                <w:sz w:val="21"/>
              </w:rPr>
            </w:pPr>
          </w:p>
        </w:tc>
      </w:tr>
      <w:tr w14:paraId="666F8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14" w:type="dxa"/>
            <w:vAlign w:val="top"/>
          </w:tcPr>
          <w:p w14:paraId="4217FDBF">
            <w:pPr>
              <w:pStyle w:val="6"/>
              <w:spacing w:before="179" w:line="220" w:lineRule="auto"/>
              <w:ind w:left="104"/>
            </w:pPr>
            <w:r>
              <w:rPr>
                <w:spacing w:val="-3"/>
              </w:rPr>
              <w:t>其他</w:t>
            </w:r>
          </w:p>
        </w:tc>
        <w:tc>
          <w:tcPr>
            <w:tcW w:w="8375" w:type="dxa"/>
            <w:gridSpan w:val="7"/>
            <w:vAlign w:val="top"/>
          </w:tcPr>
          <w:p w14:paraId="5B701162">
            <w:pPr>
              <w:pStyle w:val="6"/>
              <w:spacing w:before="179" w:line="220" w:lineRule="auto"/>
              <w:ind w:left="4030"/>
            </w:pPr>
            <w:r>
              <w:t>无</w:t>
            </w:r>
          </w:p>
        </w:tc>
      </w:tr>
    </w:tbl>
    <w:p w14:paraId="6FD299E7">
      <w:pPr>
        <w:pStyle w:val="2"/>
      </w:pPr>
    </w:p>
    <w:p w14:paraId="7368A68F">
      <w:pPr>
        <w:sectPr>
          <w:footerReference r:id="rId85" w:type="default"/>
          <w:pgSz w:w="11910" w:h="16830"/>
          <w:pgMar w:top="400" w:right="1425" w:bottom="1243" w:left="1385" w:header="0" w:footer="1083" w:gutter="0"/>
          <w:cols w:space="720" w:num="1"/>
        </w:sectPr>
      </w:pPr>
    </w:p>
    <w:p w14:paraId="504A0566">
      <w:pPr>
        <w:pStyle w:val="2"/>
        <w:spacing w:line="241" w:lineRule="auto"/>
      </w:pPr>
    </w:p>
    <w:p w14:paraId="67B2DFB4">
      <w:pPr>
        <w:pStyle w:val="2"/>
        <w:spacing w:line="241" w:lineRule="auto"/>
      </w:pPr>
    </w:p>
    <w:p w14:paraId="7A8F14AC">
      <w:pPr>
        <w:pStyle w:val="2"/>
        <w:spacing w:line="241" w:lineRule="auto"/>
      </w:pPr>
    </w:p>
    <w:p w14:paraId="6BAA8DBB">
      <w:pPr>
        <w:pStyle w:val="2"/>
        <w:spacing w:line="241" w:lineRule="auto"/>
      </w:pPr>
    </w:p>
    <w:p w14:paraId="3F716DCF">
      <w:pPr>
        <w:pStyle w:val="2"/>
        <w:spacing w:line="241" w:lineRule="auto"/>
      </w:pPr>
    </w:p>
    <w:p w14:paraId="58BCE789">
      <w:pPr>
        <w:spacing w:before="108" w:line="218" w:lineRule="auto"/>
        <w:ind w:left="2004"/>
        <w:outlineLvl w:val="0"/>
        <w:rPr>
          <w:rFonts w:ascii="宋体" w:hAnsi="宋体" w:eastAsia="宋体" w:cs="宋体"/>
          <w:sz w:val="33"/>
          <w:szCs w:val="33"/>
        </w:rPr>
      </w:pPr>
      <w:bookmarkStart w:id="5" w:name="bookmark3"/>
      <w:bookmarkEnd w:id="5"/>
      <w:r>
        <w:rPr>
          <w:rFonts w:ascii="宋体" w:hAnsi="宋体" w:eastAsia="宋体" w:cs="宋体"/>
          <w:spacing w:val="-27"/>
          <w:sz w:val="33"/>
          <w:szCs w:val="33"/>
        </w:rPr>
        <w:t>三、生态环境现状、保护目标及评价标准</w:t>
      </w:r>
    </w:p>
    <w:p w14:paraId="5A617CBE">
      <w:pPr>
        <w:spacing w:before="23"/>
      </w:pPr>
    </w:p>
    <w:tbl>
      <w:tblPr>
        <w:tblStyle w:val="5"/>
        <w:tblW w:w="93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380"/>
        <w:gridCol w:w="809"/>
        <w:gridCol w:w="749"/>
        <w:gridCol w:w="799"/>
        <w:gridCol w:w="5134"/>
        <w:gridCol w:w="794"/>
      </w:tblGrid>
      <w:tr w14:paraId="16A6A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4" w:hRule="atLeast"/>
        </w:trPr>
        <w:tc>
          <w:tcPr>
            <w:tcW w:w="684" w:type="dxa"/>
            <w:vMerge w:val="restart"/>
            <w:tcBorders>
              <w:bottom w:val="nil"/>
            </w:tcBorders>
            <w:textDirection w:val="tbRlV"/>
            <w:vAlign w:val="top"/>
          </w:tcPr>
          <w:p w14:paraId="59C9F677">
            <w:pPr>
              <w:pStyle w:val="6"/>
              <w:spacing w:before="227" w:line="201" w:lineRule="auto"/>
              <w:ind w:left="5513"/>
              <w:rPr>
                <w:sz w:val="23"/>
                <w:szCs w:val="23"/>
              </w:rPr>
            </w:pPr>
            <w:r>
              <w:rPr>
                <w:sz w:val="23"/>
                <w:szCs w:val="23"/>
              </w:rPr>
              <w:t>生</w:t>
            </w:r>
            <w:r>
              <w:rPr>
                <w:spacing w:val="-24"/>
                <w:sz w:val="23"/>
                <w:szCs w:val="23"/>
              </w:rPr>
              <w:t xml:space="preserve"> </w:t>
            </w:r>
            <w:r>
              <w:rPr>
                <w:sz w:val="23"/>
                <w:szCs w:val="23"/>
              </w:rPr>
              <w:t>态</w:t>
            </w:r>
            <w:r>
              <w:rPr>
                <w:spacing w:val="-24"/>
                <w:sz w:val="23"/>
                <w:szCs w:val="23"/>
              </w:rPr>
              <w:t xml:space="preserve"> </w:t>
            </w:r>
            <w:r>
              <w:rPr>
                <w:sz w:val="23"/>
                <w:szCs w:val="23"/>
              </w:rPr>
              <w:t>环</w:t>
            </w:r>
            <w:r>
              <w:rPr>
                <w:spacing w:val="-24"/>
                <w:sz w:val="23"/>
                <w:szCs w:val="23"/>
              </w:rPr>
              <w:t xml:space="preserve"> </w:t>
            </w:r>
            <w:r>
              <w:rPr>
                <w:sz w:val="23"/>
                <w:szCs w:val="23"/>
              </w:rPr>
              <w:t>境</w:t>
            </w:r>
            <w:r>
              <w:rPr>
                <w:spacing w:val="-24"/>
                <w:sz w:val="23"/>
                <w:szCs w:val="23"/>
              </w:rPr>
              <w:t xml:space="preserve"> </w:t>
            </w:r>
            <w:r>
              <w:rPr>
                <w:sz w:val="23"/>
                <w:szCs w:val="23"/>
              </w:rPr>
              <w:t>现</w:t>
            </w:r>
            <w:r>
              <w:rPr>
                <w:spacing w:val="-24"/>
                <w:sz w:val="23"/>
                <w:szCs w:val="23"/>
              </w:rPr>
              <w:t xml:space="preserve"> </w:t>
            </w:r>
            <w:r>
              <w:rPr>
                <w:sz w:val="23"/>
                <w:szCs w:val="23"/>
              </w:rPr>
              <w:t>状</w:t>
            </w:r>
          </w:p>
        </w:tc>
        <w:tc>
          <w:tcPr>
            <w:tcW w:w="8665" w:type="dxa"/>
            <w:gridSpan w:val="6"/>
            <w:vAlign w:val="top"/>
          </w:tcPr>
          <w:p w14:paraId="2C4DB659">
            <w:pPr>
              <w:pStyle w:val="6"/>
              <w:spacing w:before="49" w:line="219" w:lineRule="auto"/>
              <w:ind w:left="104"/>
              <w:rPr>
                <w:sz w:val="23"/>
                <w:szCs w:val="23"/>
              </w:rPr>
            </w:pPr>
            <w:r>
              <w:rPr>
                <w:b/>
                <w:bCs/>
                <w:spacing w:val="-3"/>
                <w:sz w:val="23"/>
                <w:szCs w:val="23"/>
              </w:rPr>
              <w:t>1、项目区域生态敏感区分布情况</w:t>
            </w:r>
          </w:p>
          <w:p w14:paraId="2C70FD55">
            <w:pPr>
              <w:pStyle w:val="6"/>
              <w:spacing w:before="180" w:line="376" w:lineRule="auto"/>
              <w:ind w:left="60" w:right="637" w:firstLine="469"/>
              <w:rPr>
                <w:sz w:val="23"/>
                <w:szCs w:val="23"/>
              </w:rPr>
            </w:pPr>
            <w:r>
              <w:rPr>
                <w:sz w:val="23"/>
                <w:szCs w:val="23"/>
              </w:rPr>
              <w:t>本工程评价区周边分布的敏感区主要有1处，为大莫古集镇水厂水源地保护</w:t>
            </w:r>
            <w:r>
              <w:rPr>
                <w:spacing w:val="10"/>
                <w:sz w:val="23"/>
                <w:szCs w:val="23"/>
              </w:rPr>
              <w:t xml:space="preserve"> </w:t>
            </w:r>
            <w:r>
              <w:rPr>
                <w:sz w:val="23"/>
                <w:szCs w:val="23"/>
              </w:rPr>
              <w:t>区。项目与生态敏感区位置关系一览表详见表3-1。</w:t>
            </w:r>
          </w:p>
          <w:p w14:paraId="6F1963A0">
            <w:pPr>
              <w:pStyle w:val="6"/>
              <w:spacing w:line="218" w:lineRule="auto"/>
              <w:ind w:left="1274"/>
              <w:rPr>
                <w:sz w:val="23"/>
                <w:szCs w:val="23"/>
              </w:rPr>
            </w:pPr>
            <w:r>
              <w:rPr>
                <w:b/>
                <w:bCs/>
                <w:spacing w:val="-3"/>
                <w:sz w:val="23"/>
                <w:szCs w:val="23"/>
              </w:rPr>
              <w:t>表3-1</w:t>
            </w:r>
            <w:r>
              <w:rPr>
                <w:spacing w:val="-3"/>
                <w:sz w:val="23"/>
                <w:szCs w:val="23"/>
              </w:rPr>
              <w:t xml:space="preserve">  </w:t>
            </w:r>
            <w:r>
              <w:rPr>
                <w:b/>
                <w:bCs/>
                <w:spacing w:val="-3"/>
                <w:sz w:val="23"/>
                <w:szCs w:val="23"/>
              </w:rPr>
              <w:t>拟建项目与所在区域生态敏感区位置关系一览表</w:t>
            </w:r>
          </w:p>
        </w:tc>
      </w:tr>
      <w:tr w14:paraId="1C53B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84" w:type="dxa"/>
            <w:vMerge w:val="continue"/>
            <w:tcBorders>
              <w:top w:val="nil"/>
              <w:bottom w:val="nil"/>
            </w:tcBorders>
            <w:textDirection w:val="tbRlV"/>
            <w:vAlign w:val="top"/>
          </w:tcPr>
          <w:p w14:paraId="53F994FC">
            <w:pPr>
              <w:rPr>
                <w:rFonts w:ascii="Arial"/>
                <w:sz w:val="21"/>
              </w:rPr>
            </w:pPr>
          </w:p>
        </w:tc>
        <w:tc>
          <w:tcPr>
            <w:tcW w:w="380" w:type="dxa"/>
            <w:textDirection w:val="tbRlV"/>
            <w:vAlign w:val="top"/>
          </w:tcPr>
          <w:p w14:paraId="01BDCBD2">
            <w:pPr>
              <w:pStyle w:val="6"/>
              <w:spacing w:before="93" w:line="199" w:lineRule="auto"/>
              <w:ind w:left="19"/>
              <w:rPr>
                <w:sz w:val="23"/>
                <w:szCs w:val="23"/>
              </w:rPr>
            </w:pPr>
            <w:r>
              <w:rPr>
                <w:sz w:val="23"/>
                <w:szCs w:val="23"/>
              </w:rPr>
              <w:t>序号</w:t>
            </w:r>
          </w:p>
        </w:tc>
        <w:tc>
          <w:tcPr>
            <w:tcW w:w="809" w:type="dxa"/>
            <w:vAlign w:val="top"/>
          </w:tcPr>
          <w:p w14:paraId="0B2EBFD6">
            <w:pPr>
              <w:pStyle w:val="6"/>
              <w:spacing w:before="153" w:line="221" w:lineRule="auto"/>
              <w:ind w:left="160"/>
              <w:rPr>
                <w:sz w:val="23"/>
                <w:szCs w:val="23"/>
              </w:rPr>
            </w:pPr>
            <w:r>
              <w:rPr>
                <w:spacing w:val="5"/>
                <w:sz w:val="23"/>
                <w:szCs w:val="23"/>
              </w:rPr>
              <w:t>名称</w:t>
            </w:r>
          </w:p>
        </w:tc>
        <w:tc>
          <w:tcPr>
            <w:tcW w:w="749" w:type="dxa"/>
            <w:vAlign w:val="top"/>
          </w:tcPr>
          <w:p w14:paraId="3E83C9AA">
            <w:pPr>
              <w:pStyle w:val="6"/>
              <w:spacing w:before="30" w:line="196" w:lineRule="auto"/>
              <w:ind w:left="251" w:right="12" w:hanging="229"/>
              <w:rPr>
                <w:sz w:val="23"/>
                <w:szCs w:val="23"/>
              </w:rPr>
            </w:pPr>
            <w:r>
              <w:rPr>
                <w:spacing w:val="4"/>
                <w:sz w:val="23"/>
                <w:szCs w:val="23"/>
              </w:rPr>
              <w:t>保护级</w:t>
            </w:r>
            <w:r>
              <w:rPr>
                <w:spacing w:val="1"/>
                <w:sz w:val="23"/>
                <w:szCs w:val="23"/>
              </w:rPr>
              <w:t xml:space="preserve"> </w:t>
            </w:r>
            <w:r>
              <w:rPr>
                <w:sz w:val="23"/>
                <w:szCs w:val="23"/>
              </w:rPr>
              <w:t>别</w:t>
            </w:r>
          </w:p>
        </w:tc>
        <w:tc>
          <w:tcPr>
            <w:tcW w:w="799" w:type="dxa"/>
            <w:vAlign w:val="top"/>
          </w:tcPr>
          <w:p w14:paraId="78EA734B">
            <w:pPr>
              <w:pStyle w:val="6"/>
              <w:spacing w:before="31" w:line="192" w:lineRule="auto"/>
              <w:ind w:left="42"/>
              <w:rPr>
                <w:sz w:val="23"/>
                <w:szCs w:val="23"/>
              </w:rPr>
            </w:pPr>
            <w:r>
              <w:rPr>
                <w:spacing w:val="-3"/>
                <w:sz w:val="23"/>
                <w:szCs w:val="23"/>
              </w:rPr>
              <w:t>保护对</w:t>
            </w:r>
          </w:p>
          <w:p w14:paraId="6CF68FE5">
            <w:pPr>
              <w:pStyle w:val="6"/>
              <w:spacing w:line="199" w:lineRule="auto"/>
              <w:ind w:left="272"/>
              <w:rPr>
                <w:sz w:val="23"/>
                <w:szCs w:val="23"/>
              </w:rPr>
            </w:pPr>
            <w:r>
              <w:rPr>
                <w:sz w:val="23"/>
                <w:szCs w:val="23"/>
              </w:rPr>
              <w:t>象</w:t>
            </w:r>
          </w:p>
        </w:tc>
        <w:tc>
          <w:tcPr>
            <w:tcW w:w="5134" w:type="dxa"/>
            <w:vAlign w:val="top"/>
          </w:tcPr>
          <w:p w14:paraId="2429E7CD">
            <w:pPr>
              <w:pStyle w:val="6"/>
              <w:spacing w:before="149" w:line="219" w:lineRule="auto"/>
              <w:ind w:left="1523"/>
              <w:rPr>
                <w:sz w:val="23"/>
                <w:szCs w:val="23"/>
              </w:rPr>
            </w:pPr>
            <w:r>
              <w:rPr>
                <w:spacing w:val="2"/>
                <w:sz w:val="23"/>
                <w:szCs w:val="23"/>
              </w:rPr>
              <w:t>与拟建项目位置关系</w:t>
            </w:r>
          </w:p>
        </w:tc>
        <w:tc>
          <w:tcPr>
            <w:tcW w:w="794" w:type="dxa"/>
            <w:vAlign w:val="top"/>
          </w:tcPr>
          <w:p w14:paraId="372E6060">
            <w:pPr>
              <w:pStyle w:val="6"/>
              <w:spacing w:before="30" w:line="209" w:lineRule="auto"/>
              <w:ind w:left="49"/>
              <w:rPr>
                <w:sz w:val="23"/>
                <w:szCs w:val="23"/>
              </w:rPr>
            </w:pPr>
            <w:r>
              <w:rPr>
                <w:spacing w:val="-2"/>
                <w:sz w:val="23"/>
                <w:szCs w:val="23"/>
              </w:rPr>
              <w:t>影响程</w:t>
            </w:r>
          </w:p>
          <w:p w14:paraId="2DE54826">
            <w:pPr>
              <w:pStyle w:val="6"/>
              <w:spacing w:before="1" w:line="182" w:lineRule="auto"/>
              <w:ind w:left="279"/>
              <w:rPr>
                <w:sz w:val="23"/>
                <w:szCs w:val="23"/>
              </w:rPr>
            </w:pPr>
            <w:r>
              <w:rPr>
                <w:sz w:val="23"/>
                <w:szCs w:val="23"/>
              </w:rPr>
              <w:t>度</w:t>
            </w:r>
          </w:p>
        </w:tc>
      </w:tr>
      <w:tr w14:paraId="4AEC0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7" w:hRule="atLeast"/>
        </w:trPr>
        <w:tc>
          <w:tcPr>
            <w:tcW w:w="684" w:type="dxa"/>
            <w:vMerge w:val="continue"/>
            <w:tcBorders>
              <w:top w:val="nil"/>
              <w:bottom w:val="nil"/>
            </w:tcBorders>
            <w:textDirection w:val="tbRlV"/>
            <w:vAlign w:val="top"/>
          </w:tcPr>
          <w:p w14:paraId="2FF4D91D">
            <w:pPr>
              <w:rPr>
                <w:rFonts w:ascii="Arial"/>
                <w:sz w:val="21"/>
              </w:rPr>
            </w:pPr>
          </w:p>
        </w:tc>
        <w:tc>
          <w:tcPr>
            <w:tcW w:w="380" w:type="dxa"/>
            <w:vAlign w:val="top"/>
          </w:tcPr>
          <w:p w14:paraId="460495B6">
            <w:pPr>
              <w:spacing w:line="277" w:lineRule="auto"/>
              <w:rPr>
                <w:rFonts w:ascii="Arial"/>
                <w:sz w:val="21"/>
              </w:rPr>
            </w:pPr>
          </w:p>
          <w:p w14:paraId="564F12F3">
            <w:pPr>
              <w:spacing w:line="277" w:lineRule="auto"/>
              <w:rPr>
                <w:rFonts w:ascii="Arial"/>
                <w:sz w:val="21"/>
              </w:rPr>
            </w:pPr>
          </w:p>
          <w:p w14:paraId="53649D8B">
            <w:pPr>
              <w:spacing w:line="277" w:lineRule="auto"/>
              <w:rPr>
                <w:rFonts w:ascii="Arial"/>
                <w:sz w:val="21"/>
              </w:rPr>
            </w:pPr>
          </w:p>
          <w:p w14:paraId="078D8606">
            <w:pPr>
              <w:spacing w:line="277" w:lineRule="auto"/>
              <w:rPr>
                <w:rFonts w:ascii="Arial"/>
                <w:sz w:val="21"/>
              </w:rPr>
            </w:pPr>
          </w:p>
          <w:p w14:paraId="3222DC65">
            <w:pPr>
              <w:spacing w:line="277" w:lineRule="auto"/>
              <w:rPr>
                <w:rFonts w:ascii="Arial"/>
                <w:sz w:val="21"/>
              </w:rPr>
            </w:pPr>
          </w:p>
          <w:p w14:paraId="178A8DC6">
            <w:pPr>
              <w:spacing w:line="277" w:lineRule="auto"/>
              <w:rPr>
                <w:rFonts w:ascii="Arial"/>
                <w:sz w:val="21"/>
              </w:rPr>
            </w:pPr>
          </w:p>
          <w:p w14:paraId="26509030">
            <w:pPr>
              <w:pStyle w:val="6"/>
              <w:spacing w:before="52" w:line="241" w:lineRule="auto"/>
              <w:ind w:left="140"/>
              <w:rPr>
                <w:sz w:val="16"/>
                <w:szCs w:val="16"/>
              </w:rPr>
            </w:pPr>
            <w:r>
              <w:rPr>
                <w:sz w:val="16"/>
                <w:szCs w:val="16"/>
              </w:rPr>
              <w:t>1</w:t>
            </w:r>
          </w:p>
        </w:tc>
        <w:tc>
          <w:tcPr>
            <w:tcW w:w="809" w:type="dxa"/>
            <w:vAlign w:val="top"/>
          </w:tcPr>
          <w:p w14:paraId="04D0A59B">
            <w:pPr>
              <w:spacing w:line="269" w:lineRule="auto"/>
              <w:rPr>
                <w:rFonts w:ascii="Arial"/>
                <w:sz w:val="21"/>
              </w:rPr>
            </w:pPr>
          </w:p>
          <w:p w14:paraId="21B1D2E8">
            <w:pPr>
              <w:spacing w:line="270" w:lineRule="auto"/>
              <w:rPr>
                <w:rFonts w:ascii="Arial"/>
                <w:sz w:val="21"/>
              </w:rPr>
            </w:pPr>
          </w:p>
          <w:p w14:paraId="1765AEE6">
            <w:pPr>
              <w:spacing w:line="270" w:lineRule="auto"/>
              <w:rPr>
                <w:rFonts w:ascii="Arial"/>
                <w:sz w:val="21"/>
              </w:rPr>
            </w:pPr>
          </w:p>
          <w:p w14:paraId="548C3603">
            <w:pPr>
              <w:spacing w:line="270" w:lineRule="auto"/>
              <w:rPr>
                <w:rFonts w:ascii="Arial"/>
                <w:sz w:val="21"/>
              </w:rPr>
            </w:pPr>
          </w:p>
          <w:p w14:paraId="41E4678A">
            <w:pPr>
              <w:pStyle w:val="6"/>
              <w:spacing w:before="75" w:line="217" w:lineRule="auto"/>
              <w:ind w:left="50" w:right="44"/>
              <w:jc w:val="both"/>
              <w:rPr>
                <w:sz w:val="23"/>
                <w:szCs w:val="23"/>
              </w:rPr>
            </w:pPr>
            <w:r>
              <w:rPr>
                <w:spacing w:val="4"/>
                <w:sz w:val="23"/>
                <w:szCs w:val="23"/>
              </w:rPr>
              <w:t>大莫古</w:t>
            </w:r>
            <w:r>
              <w:rPr>
                <w:sz w:val="23"/>
                <w:szCs w:val="23"/>
              </w:rPr>
              <w:t xml:space="preserve"> </w:t>
            </w:r>
            <w:r>
              <w:rPr>
                <w:spacing w:val="-3"/>
                <w:sz w:val="23"/>
                <w:szCs w:val="23"/>
              </w:rPr>
              <w:t>集镇水</w:t>
            </w:r>
            <w:r>
              <w:rPr>
                <w:sz w:val="23"/>
                <w:szCs w:val="23"/>
              </w:rPr>
              <w:t xml:space="preserve"> </w:t>
            </w:r>
            <w:r>
              <w:rPr>
                <w:spacing w:val="3"/>
                <w:sz w:val="23"/>
                <w:szCs w:val="23"/>
              </w:rPr>
              <w:t>厂水源</w:t>
            </w:r>
          </w:p>
          <w:p w14:paraId="03A353B1">
            <w:pPr>
              <w:pStyle w:val="6"/>
              <w:spacing w:before="1" w:line="241" w:lineRule="auto"/>
              <w:ind w:left="280" w:right="41" w:hanging="230"/>
              <w:rPr>
                <w:sz w:val="23"/>
                <w:szCs w:val="23"/>
              </w:rPr>
            </w:pPr>
            <w:r>
              <w:rPr>
                <w:spacing w:val="5"/>
                <w:sz w:val="23"/>
                <w:szCs w:val="23"/>
              </w:rPr>
              <w:t>地保护</w:t>
            </w:r>
            <w:r>
              <w:rPr>
                <w:spacing w:val="1"/>
                <w:sz w:val="23"/>
                <w:szCs w:val="23"/>
              </w:rPr>
              <w:t xml:space="preserve"> </w:t>
            </w:r>
            <w:r>
              <w:rPr>
                <w:sz w:val="23"/>
                <w:szCs w:val="23"/>
              </w:rPr>
              <w:t>区</w:t>
            </w:r>
          </w:p>
        </w:tc>
        <w:tc>
          <w:tcPr>
            <w:tcW w:w="749" w:type="dxa"/>
            <w:vAlign w:val="top"/>
          </w:tcPr>
          <w:p w14:paraId="51AFBD55">
            <w:pPr>
              <w:spacing w:line="266" w:lineRule="auto"/>
              <w:rPr>
                <w:rFonts w:ascii="Arial"/>
                <w:sz w:val="21"/>
              </w:rPr>
            </w:pPr>
          </w:p>
          <w:p w14:paraId="12B5A641">
            <w:pPr>
              <w:spacing w:line="266" w:lineRule="auto"/>
              <w:rPr>
                <w:rFonts w:ascii="Arial"/>
                <w:sz w:val="21"/>
              </w:rPr>
            </w:pPr>
          </w:p>
          <w:p w14:paraId="78C0480C">
            <w:pPr>
              <w:spacing w:line="266" w:lineRule="auto"/>
              <w:rPr>
                <w:rFonts w:ascii="Arial"/>
                <w:sz w:val="21"/>
              </w:rPr>
            </w:pPr>
          </w:p>
          <w:p w14:paraId="607A2EE8">
            <w:pPr>
              <w:spacing w:line="266" w:lineRule="auto"/>
              <w:rPr>
                <w:rFonts w:ascii="Arial"/>
                <w:sz w:val="21"/>
              </w:rPr>
            </w:pPr>
          </w:p>
          <w:p w14:paraId="17B34063">
            <w:pPr>
              <w:spacing w:line="266" w:lineRule="auto"/>
              <w:rPr>
                <w:rFonts w:ascii="Arial"/>
                <w:sz w:val="21"/>
              </w:rPr>
            </w:pPr>
          </w:p>
          <w:p w14:paraId="04470FE5">
            <w:pPr>
              <w:spacing w:line="267" w:lineRule="auto"/>
              <w:rPr>
                <w:rFonts w:ascii="Arial"/>
                <w:sz w:val="21"/>
              </w:rPr>
            </w:pPr>
          </w:p>
          <w:p w14:paraId="6148C74F">
            <w:pPr>
              <w:pStyle w:val="6"/>
              <w:spacing w:before="74" w:line="219" w:lineRule="auto"/>
              <w:ind w:left="22"/>
              <w:rPr>
                <w:sz w:val="23"/>
                <w:szCs w:val="23"/>
              </w:rPr>
            </w:pPr>
            <w:r>
              <w:rPr>
                <w:spacing w:val="4"/>
                <w:sz w:val="23"/>
                <w:szCs w:val="23"/>
              </w:rPr>
              <w:t>乡镇级</w:t>
            </w:r>
          </w:p>
        </w:tc>
        <w:tc>
          <w:tcPr>
            <w:tcW w:w="799" w:type="dxa"/>
            <w:vAlign w:val="top"/>
          </w:tcPr>
          <w:p w14:paraId="206F1CC3">
            <w:pPr>
              <w:spacing w:line="247" w:lineRule="auto"/>
              <w:rPr>
                <w:rFonts w:ascii="Arial"/>
                <w:sz w:val="21"/>
              </w:rPr>
            </w:pPr>
          </w:p>
          <w:p w14:paraId="68138523">
            <w:pPr>
              <w:spacing w:line="248" w:lineRule="auto"/>
              <w:rPr>
                <w:rFonts w:ascii="Arial"/>
                <w:sz w:val="21"/>
              </w:rPr>
            </w:pPr>
          </w:p>
          <w:p w14:paraId="378E07CE">
            <w:pPr>
              <w:spacing w:line="248" w:lineRule="auto"/>
              <w:rPr>
                <w:rFonts w:ascii="Arial"/>
                <w:sz w:val="21"/>
              </w:rPr>
            </w:pPr>
          </w:p>
          <w:p w14:paraId="7471B125">
            <w:pPr>
              <w:spacing w:line="248" w:lineRule="auto"/>
              <w:rPr>
                <w:rFonts w:ascii="Arial"/>
                <w:sz w:val="21"/>
              </w:rPr>
            </w:pPr>
          </w:p>
          <w:p w14:paraId="6BEB29AB">
            <w:pPr>
              <w:spacing w:line="248" w:lineRule="auto"/>
              <w:rPr>
                <w:rFonts w:ascii="Arial"/>
                <w:sz w:val="21"/>
              </w:rPr>
            </w:pPr>
          </w:p>
          <w:p w14:paraId="17AFA7C9">
            <w:pPr>
              <w:spacing w:line="248" w:lineRule="auto"/>
              <w:rPr>
                <w:rFonts w:ascii="Arial"/>
                <w:sz w:val="21"/>
              </w:rPr>
            </w:pPr>
          </w:p>
          <w:p w14:paraId="02CA14F8">
            <w:pPr>
              <w:pStyle w:val="6"/>
              <w:spacing w:before="75" w:line="219" w:lineRule="auto"/>
              <w:ind w:left="42"/>
              <w:rPr>
                <w:sz w:val="23"/>
                <w:szCs w:val="23"/>
              </w:rPr>
            </w:pPr>
            <w:r>
              <w:rPr>
                <w:spacing w:val="-2"/>
                <w:sz w:val="23"/>
                <w:szCs w:val="23"/>
              </w:rPr>
              <w:t>饮用水</w:t>
            </w:r>
          </w:p>
          <w:p w14:paraId="52E7C424">
            <w:pPr>
              <w:pStyle w:val="6"/>
              <w:spacing w:line="222" w:lineRule="auto"/>
              <w:ind w:left="272"/>
              <w:rPr>
                <w:sz w:val="23"/>
                <w:szCs w:val="23"/>
              </w:rPr>
            </w:pPr>
            <w:r>
              <w:rPr>
                <w:sz w:val="23"/>
                <w:szCs w:val="23"/>
              </w:rPr>
              <w:t>源</w:t>
            </w:r>
          </w:p>
        </w:tc>
        <w:tc>
          <w:tcPr>
            <w:tcW w:w="5134" w:type="dxa"/>
            <w:vAlign w:val="top"/>
          </w:tcPr>
          <w:p w14:paraId="1490D9E4">
            <w:pPr>
              <w:pStyle w:val="6"/>
              <w:tabs>
                <w:tab w:val="left" w:pos="257"/>
              </w:tabs>
              <w:spacing w:before="75" w:line="220" w:lineRule="auto"/>
              <w:ind w:left="13" w:firstLine="68"/>
              <w:jc w:val="right"/>
              <w:rPr>
                <w:sz w:val="23"/>
                <w:szCs w:val="23"/>
              </w:rPr>
            </w:pPr>
            <w:r>
              <w:rPr>
                <w:spacing w:val="-19"/>
                <w:sz w:val="23"/>
                <w:szCs w:val="23"/>
              </w:rPr>
              <w:t>本项目11#光伏阵列区位于大莫古集镇水厂水源地二级</w:t>
            </w:r>
            <w:r>
              <w:rPr>
                <w:spacing w:val="5"/>
                <w:sz w:val="23"/>
                <w:szCs w:val="23"/>
              </w:rPr>
              <w:t xml:space="preserve">  </w:t>
            </w:r>
            <w:r>
              <w:rPr>
                <w:spacing w:val="-11"/>
                <w:sz w:val="23"/>
                <w:szCs w:val="23"/>
              </w:rPr>
              <w:t>保护区西北侧35m,中间间隔汕昆高速。本项目8#光伏</w:t>
            </w:r>
            <w:r>
              <w:rPr>
                <w:spacing w:val="1"/>
                <w:sz w:val="23"/>
                <w:szCs w:val="23"/>
              </w:rPr>
              <w:t xml:space="preserve">  </w:t>
            </w:r>
            <w:r>
              <w:rPr>
                <w:sz w:val="23"/>
                <w:szCs w:val="23"/>
              </w:rPr>
              <w:tab/>
            </w:r>
            <w:r>
              <w:rPr>
                <w:spacing w:val="-14"/>
                <w:sz w:val="23"/>
                <w:szCs w:val="23"/>
              </w:rPr>
              <w:t>阵列区位于大莫古集镇水厂水源地二级保护区北侧</w:t>
            </w:r>
            <w:r>
              <w:rPr>
                <w:spacing w:val="7"/>
                <w:sz w:val="23"/>
                <w:szCs w:val="23"/>
              </w:rPr>
              <w:t xml:space="preserve">  </w:t>
            </w:r>
            <w:r>
              <w:rPr>
                <w:spacing w:val="-7"/>
                <w:sz w:val="23"/>
                <w:szCs w:val="23"/>
              </w:rPr>
              <w:t>268m,中间间隔汕昆高速。本项目2#备用地距离大莫</w:t>
            </w:r>
            <w:r>
              <w:rPr>
                <w:spacing w:val="7"/>
                <w:sz w:val="23"/>
                <w:szCs w:val="23"/>
              </w:rPr>
              <w:t xml:space="preserve">  </w:t>
            </w:r>
            <w:r>
              <w:rPr>
                <w:spacing w:val="-15"/>
                <w:sz w:val="23"/>
                <w:szCs w:val="23"/>
              </w:rPr>
              <w:t>古集镇水厂水源地准保护区西侧最近距离44m。本项目</w:t>
            </w:r>
            <w:r>
              <w:rPr>
                <w:spacing w:val="7"/>
                <w:sz w:val="23"/>
                <w:szCs w:val="23"/>
              </w:rPr>
              <w:t xml:space="preserve"> </w:t>
            </w:r>
            <w:r>
              <w:rPr>
                <w:spacing w:val="-16"/>
                <w:sz w:val="23"/>
                <w:szCs w:val="23"/>
              </w:rPr>
              <w:t>14#光伏阵列区距离大莫古集镇水厂水源地准保护区西</w:t>
            </w:r>
            <w:r>
              <w:rPr>
                <w:spacing w:val="3"/>
                <w:sz w:val="23"/>
                <w:szCs w:val="23"/>
              </w:rPr>
              <w:t xml:space="preserve">  </w:t>
            </w:r>
            <w:r>
              <w:rPr>
                <w:spacing w:val="-11"/>
                <w:sz w:val="23"/>
                <w:szCs w:val="23"/>
              </w:rPr>
              <w:t>南侧最近距离49m。本项目19#光伏阵列区距离大莫古</w:t>
            </w:r>
            <w:r>
              <w:rPr>
                <w:spacing w:val="2"/>
                <w:sz w:val="23"/>
                <w:szCs w:val="23"/>
              </w:rPr>
              <w:t xml:space="preserve">  </w:t>
            </w:r>
            <w:r>
              <w:rPr>
                <w:spacing w:val="-15"/>
                <w:sz w:val="23"/>
                <w:szCs w:val="23"/>
              </w:rPr>
              <w:t>集镇水厂水源地准保护区东南侧最近距离83m。本项目</w:t>
            </w:r>
            <w:r>
              <w:rPr>
                <w:spacing w:val="7"/>
                <w:sz w:val="23"/>
                <w:szCs w:val="23"/>
              </w:rPr>
              <w:t xml:space="preserve"> </w:t>
            </w:r>
            <w:r>
              <w:rPr>
                <w:spacing w:val="-12"/>
                <w:sz w:val="23"/>
                <w:szCs w:val="23"/>
              </w:rPr>
              <w:t>35kV集电线路采用架空线路的方式穿越大莫古集镇水</w:t>
            </w:r>
            <w:r>
              <w:rPr>
                <w:spacing w:val="8"/>
                <w:sz w:val="23"/>
                <w:szCs w:val="23"/>
              </w:rPr>
              <w:t xml:space="preserve">  </w:t>
            </w:r>
            <w:r>
              <w:rPr>
                <w:spacing w:val="-22"/>
                <w:sz w:val="23"/>
                <w:szCs w:val="23"/>
              </w:rPr>
              <w:t>厂水源地准保护区，其中位于大莫古集镇水厂水源地准</w:t>
            </w:r>
            <w:r>
              <w:rPr>
                <w:spacing w:val="7"/>
                <w:sz w:val="23"/>
                <w:szCs w:val="23"/>
              </w:rPr>
              <w:t xml:space="preserve">  </w:t>
            </w:r>
            <w:r>
              <w:rPr>
                <w:spacing w:val="-11"/>
                <w:sz w:val="23"/>
                <w:szCs w:val="23"/>
              </w:rPr>
              <w:t>保护区内的塔基数量为12座，架空线路长度为3105m。</w:t>
            </w:r>
          </w:p>
          <w:p w14:paraId="6274F4B9">
            <w:pPr>
              <w:pStyle w:val="6"/>
              <w:spacing w:line="203" w:lineRule="auto"/>
              <w:jc w:val="right"/>
              <w:rPr>
                <w:sz w:val="23"/>
                <w:szCs w:val="23"/>
              </w:rPr>
            </w:pPr>
            <w:r>
              <w:rPr>
                <w:spacing w:val="-5"/>
                <w:sz w:val="23"/>
                <w:szCs w:val="23"/>
              </w:rPr>
              <w:t>本项目集电线路(埋地)穿越饮用水水源准保护区约</w:t>
            </w:r>
          </w:p>
          <w:p w14:paraId="60552D0C">
            <w:pPr>
              <w:pStyle w:val="6"/>
              <w:spacing w:line="179" w:lineRule="auto"/>
              <w:ind w:left="2273"/>
              <w:rPr>
                <w:sz w:val="23"/>
                <w:szCs w:val="23"/>
              </w:rPr>
            </w:pPr>
            <w:r>
              <w:rPr>
                <w:spacing w:val="-6"/>
                <w:sz w:val="23"/>
                <w:szCs w:val="23"/>
              </w:rPr>
              <w:t>450m。</w:t>
            </w:r>
          </w:p>
        </w:tc>
        <w:tc>
          <w:tcPr>
            <w:tcW w:w="794" w:type="dxa"/>
            <w:vAlign w:val="top"/>
          </w:tcPr>
          <w:p w14:paraId="6EC98BFC">
            <w:pPr>
              <w:spacing w:line="246" w:lineRule="auto"/>
              <w:rPr>
                <w:rFonts w:ascii="Arial"/>
                <w:sz w:val="21"/>
              </w:rPr>
            </w:pPr>
          </w:p>
          <w:p w14:paraId="3B9362F5">
            <w:pPr>
              <w:spacing w:line="246" w:lineRule="auto"/>
              <w:rPr>
                <w:rFonts w:ascii="Arial"/>
                <w:sz w:val="21"/>
              </w:rPr>
            </w:pPr>
          </w:p>
          <w:p w14:paraId="20D32EDA">
            <w:pPr>
              <w:spacing w:line="246" w:lineRule="auto"/>
              <w:rPr>
                <w:rFonts w:ascii="Arial"/>
                <w:sz w:val="21"/>
              </w:rPr>
            </w:pPr>
          </w:p>
          <w:p w14:paraId="3804F6AE">
            <w:pPr>
              <w:spacing w:line="247" w:lineRule="auto"/>
              <w:rPr>
                <w:rFonts w:ascii="Arial"/>
                <w:sz w:val="21"/>
              </w:rPr>
            </w:pPr>
          </w:p>
          <w:p w14:paraId="3A24C50A">
            <w:pPr>
              <w:spacing w:line="247" w:lineRule="auto"/>
              <w:rPr>
                <w:rFonts w:ascii="Arial"/>
                <w:sz w:val="21"/>
              </w:rPr>
            </w:pPr>
          </w:p>
          <w:p w14:paraId="1DF62DC2">
            <w:pPr>
              <w:spacing w:line="247" w:lineRule="auto"/>
              <w:rPr>
                <w:rFonts w:ascii="Arial"/>
                <w:sz w:val="21"/>
              </w:rPr>
            </w:pPr>
          </w:p>
          <w:p w14:paraId="7CA58B19">
            <w:pPr>
              <w:pStyle w:val="6"/>
              <w:spacing w:before="75" w:line="217" w:lineRule="auto"/>
              <w:ind w:left="49"/>
              <w:rPr>
                <w:sz w:val="23"/>
                <w:szCs w:val="23"/>
              </w:rPr>
            </w:pPr>
            <w:r>
              <w:rPr>
                <w:spacing w:val="-2"/>
                <w:sz w:val="23"/>
                <w:szCs w:val="23"/>
              </w:rPr>
              <w:t>影响较</w:t>
            </w:r>
          </w:p>
          <w:p w14:paraId="0FEFE6D5">
            <w:pPr>
              <w:pStyle w:val="6"/>
              <w:spacing w:line="221" w:lineRule="auto"/>
              <w:ind w:left="279"/>
              <w:rPr>
                <w:sz w:val="23"/>
                <w:szCs w:val="23"/>
              </w:rPr>
            </w:pPr>
            <w:r>
              <w:rPr>
                <w:sz w:val="23"/>
                <w:szCs w:val="23"/>
              </w:rPr>
              <w:t>小</w:t>
            </w:r>
          </w:p>
        </w:tc>
      </w:tr>
      <w:tr w14:paraId="4D4B7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9" w:hRule="atLeast"/>
        </w:trPr>
        <w:tc>
          <w:tcPr>
            <w:tcW w:w="684" w:type="dxa"/>
            <w:vMerge w:val="continue"/>
            <w:tcBorders>
              <w:top w:val="nil"/>
            </w:tcBorders>
            <w:textDirection w:val="tbRlV"/>
            <w:vAlign w:val="top"/>
          </w:tcPr>
          <w:p w14:paraId="2286F477">
            <w:pPr>
              <w:rPr>
                <w:rFonts w:ascii="Arial"/>
                <w:sz w:val="21"/>
              </w:rPr>
            </w:pPr>
          </w:p>
        </w:tc>
        <w:tc>
          <w:tcPr>
            <w:tcW w:w="8665" w:type="dxa"/>
            <w:gridSpan w:val="6"/>
            <w:vAlign w:val="top"/>
          </w:tcPr>
          <w:p w14:paraId="5EECB980">
            <w:pPr>
              <w:pStyle w:val="6"/>
              <w:spacing w:before="41" w:line="219" w:lineRule="auto"/>
              <w:ind w:left="84"/>
              <w:rPr>
                <w:sz w:val="23"/>
                <w:szCs w:val="23"/>
              </w:rPr>
            </w:pPr>
            <w:r>
              <w:rPr>
                <w:b/>
                <w:bCs/>
                <w:spacing w:val="-2"/>
                <w:sz w:val="23"/>
                <w:szCs w:val="23"/>
              </w:rPr>
              <w:t>1.1大莫古集镇水厂水源地保护区</w:t>
            </w:r>
          </w:p>
          <w:p w14:paraId="24AFE328">
            <w:pPr>
              <w:pStyle w:val="6"/>
              <w:spacing w:before="198" w:line="219" w:lineRule="auto"/>
              <w:ind w:left="550"/>
              <w:rPr>
                <w:sz w:val="23"/>
                <w:szCs w:val="23"/>
              </w:rPr>
            </w:pPr>
            <w:r>
              <w:rPr>
                <w:sz w:val="23"/>
                <w:szCs w:val="23"/>
              </w:rPr>
              <w:t>大莫古镇自来水厂于2002年3月28日正式开工，于</w:t>
            </w:r>
            <w:r>
              <w:rPr>
                <w:spacing w:val="-1"/>
                <w:sz w:val="23"/>
                <w:szCs w:val="23"/>
              </w:rPr>
              <w:t>2002年12月竣工，供水</w:t>
            </w:r>
          </w:p>
          <w:p w14:paraId="5735D4D4">
            <w:pPr>
              <w:pStyle w:val="6"/>
              <w:spacing w:before="198" w:line="219" w:lineRule="auto"/>
              <w:ind w:left="80"/>
              <w:rPr>
                <w:sz w:val="23"/>
                <w:szCs w:val="23"/>
              </w:rPr>
            </w:pPr>
            <w:r>
              <w:rPr>
                <w:sz w:val="23"/>
                <w:szCs w:val="23"/>
              </w:rPr>
              <w:t>区域位于大莫古镇集镇，距陆良县城22公里，该水厂自建成以来，主要用于大莫</w:t>
            </w:r>
          </w:p>
          <w:p w14:paraId="5C7B8B08">
            <w:pPr>
              <w:pStyle w:val="6"/>
              <w:spacing w:before="187" w:line="219" w:lineRule="auto"/>
              <w:ind w:left="80"/>
              <w:rPr>
                <w:sz w:val="23"/>
                <w:szCs w:val="23"/>
              </w:rPr>
            </w:pPr>
            <w:r>
              <w:rPr>
                <w:sz w:val="23"/>
                <w:szCs w:val="23"/>
              </w:rPr>
              <w:t>古人饮项目投资近90余万元对大莫古镇集镇人饮项目进行了改造提升。大莫古镇</w:t>
            </w:r>
          </w:p>
          <w:p w14:paraId="7728EE2F">
            <w:pPr>
              <w:pStyle w:val="6"/>
              <w:spacing w:before="198" w:line="375" w:lineRule="auto"/>
              <w:ind w:left="70" w:right="190" w:firstLine="10"/>
              <w:rPr>
                <w:sz w:val="23"/>
                <w:szCs w:val="23"/>
              </w:rPr>
            </w:pPr>
            <w:r>
              <w:rPr>
                <w:sz w:val="23"/>
                <w:szCs w:val="23"/>
              </w:rPr>
              <w:t>集镇自来水厂共有5名专职人员进行抽水、消毒、维修、水质监测、水费收交等相</w:t>
            </w:r>
            <w:r>
              <w:rPr>
                <w:spacing w:val="6"/>
                <w:sz w:val="23"/>
                <w:szCs w:val="23"/>
              </w:rPr>
              <w:t xml:space="preserve">  </w:t>
            </w:r>
            <w:r>
              <w:rPr>
                <w:spacing w:val="2"/>
                <w:sz w:val="23"/>
                <w:szCs w:val="23"/>
              </w:rPr>
              <w:t>关事宜。大莫古镇集镇水源点是一口深238米的机井，机井水位为地面以下约8</w:t>
            </w:r>
            <w:r>
              <w:rPr>
                <w:spacing w:val="1"/>
                <w:sz w:val="23"/>
                <w:szCs w:val="23"/>
              </w:rPr>
              <w:t>0m,</w:t>
            </w:r>
            <w:r>
              <w:rPr>
                <w:sz w:val="23"/>
                <w:szCs w:val="23"/>
              </w:rPr>
              <w:t xml:space="preserve">  水处理工艺为：深井--------(消毒)高位水池-----用户。目前水源点及水池</w:t>
            </w:r>
            <w:r>
              <w:rPr>
                <w:spacing w:val="-1"/>
                <w:sz w:val="23"/>
                <w:szCs w:val="23"/>
              </w:rPr>
              <w:t>周围无</w:t>
            </w:r>
            <w:r>
              <w:rPr>
                <w:sz w:val="23"/>
                <w:szCs w:val="23"/>
              </w:rPr>
              <w:t xml:space="preserve"> 污染源。集镇水厂目前供水人口近6000人，日供水量约50</w:t>
            </w:r>
            <w:r>
              <w:rPr>
                <w:spacing w:val="-1"/>
                <w:sz w:val="23"/>
                <w:szCs w:val="23"/>
              </w:rPr>
              <w:t>0方。2020年划定为饮</w:t>
            </w:r>
          </w:p>
          <w:p w14:paraId="0CAA4B3D">
            <w:pPr>
              <w:pStyle w:val="6"/>
              <w:spacing w:before="10" w:line="219" w:lineRule="auto"/>
              <w:ind w:left="100"/>
              <w:rPr>
                <w:sz w:val="23"/>
                <w:szCs w:val="23"/>
              </w:rPr>
            </w:pPr>
            <w:r>
              <w:rPr>
                <w:spacing w:val="-1"/>
                <w:sz w:val="23"/>
                <w:szCs w:val="23"/>
              </w:rPr>
              <w:t>用水水源保护区。</w:t>
            </w:r>
          </w:p>
          <w:p w14:paraId="76534E04">
            <w:pPr>
              <w:pStyle w:val="6"/>
              <w:spacing w:before="174" w:line="216" w:lineRule="auto"/>
              <w:ind w:left="540"/>
              <w:rPr>
                <w:sz w:val="23"/>
                <w:szCs w:val="23"/>
              </w:rPr>
            </w:pPr>
            <w:r>
              <w:rPr>
                <w:spacing w:val="3"/>
                <w:sz w:val="23"/>
                <w:szCs w:val="23"/>
              </w:rPr>
              <w:t>一级保护区面积约0.001</w:t>
            </w:r>
            <w:r>
              <w:rPr>
                <w:sz w:val="23"/>
                <w:szCs w:val="23"/>
              </w:rPr>
              <w:t>km</w:t>
            </w:r>
            <w:r>
              <w:rPr>
                <w:spacing w:val="3"/>
                <w:sz w:val="23"/>
                <w:szCs w:val="23"/>
              </w:rPr>
              <w:t>²,以现状的围墙为界，围墙以内为一级保护区。</w:t>
            </w:r>
          </w:p>
          <w:p w14:paraId="26AC8440">
            <w:pPr>
              <w:pStyle w:val="6"/>
              <w:spacing w:before="191" w:line="216" w:lineRule="auto"/>
              <w:ind w:left="560"/>
              <w:rPr>
                <w:sz w:val="23"/>
                <w:szCs w:val="23"/>
              </w:rPr>
            </w:pPr>
            <w:r>
              <w:rPr>
                <w:spacing w:val="4"/>
                <w:sz w:val="23"/>
                <w:szCs w:val="23"/>
              </w:rPr>
              <w:t>二级保护区面积约0.524</w:t>
            </w:r>
            <w:r>
              <w:rPr>
                <w:sz w:val="23"/>
                <w:szCs w:val="23"/>
              </w:rPr>
              <w:t>km</w:t>
            </w:r>
            <w:r>
              <w:rPr>
                <w:spacing w:val="4"/>
                <w:sz w:val="23"/>
                <w:szCs w:val="23"/>
              </w:rPr>
              <w:t>²,水源东北部以</w:t>
            </w:r>
            <w:r>
              <w:rPr>
                <w:spacing w:val="3"/>
                <w:sz w:val="23"/>
                <w:szCs w:val="23"/>
              </w:rPr>
              <w:t>为小新线公路为界，沿小新线至</w:t>
            </w:r>
          </w:p>
          <w:p w14:paraId="3B35C331">
            <w:pPr>
              <w:pStyle w:val="6"/>
              <w:spacing w:before="212" w:line="374" w:lineRule="auto"/>
              <w:ind w:left="70" w:right="282" w:firstLine="10"/>
              <w:rPr>
                <w:sz w:val="23"/>
                <w:szCs w:val="23"/>
              </w:rPr>
            </w:pPr>
            <w:r>
              <w:rPr>
                <w:sz w:val="23"/>
                <w:szCs w:val="23"/>
              </w:rPr>
              <w:t>水源点东南边的乡村道路，沿乡村公路至水源点西南边的机耕道路，沿机耕道路至</w:t>
            </w:r>
            <w:r>
              <w:rPr>
                <w:spacing w:val="10"/>
                <w:sz w:val="23"/>
                <w:szCs w:val="23"/>
              </w:rPr>
              <w:t xml:space="preserve"> </w:t>
            </w:r>
            <w:r>
              <w:rPr>
                <w:sz w:val="23"/>
                <w:szCs w:val="23"/>
              </w:rPr>
              <w:t>G78汕昆高速，沿汕昆高速向东北至小新线形成一个闭合的保护</w:t>
            </w:r>
            <w:r>
              <w:rPr>
                <w:spacing w:val="-1"/>
                <w:sz w:val="23"/>
                <w:szCs w:val="23"/>
              </w:rPr>
              <w:t>区，距离水源中心</w:t>
            </w:r>
            <w:r>
              <w:rPr>
                <w:sz w:val="23"/>
                <w:szCs w:val="23"/>
              </w:rPr>
              <w:t xml:space="preserve">  </w:t>
            </w:r>
            <w:r>
              <w:rPr>
                <w:spacing w:val="3"/>
                <w:sz w:val="23"/>
                <w:szCs w:val="23"/>
              </w:rPr>
              <w:t>点230～623m左右。</w:t>
            </w:r>
          </w:p>
          <w:p w14:paraId="3412CF25">
            <w:pPr>
              <w:pStyle w:val="6"/>
              <w:spacing w:before="1" w:line="216" w:lineRule="auto"/>
              <w:ind w:left="560"/>
              <w:rPr>
                <w:sz w:val="23"/>
                <w:szCs w:val="23"/>
              </w:rPr>
            </w:pPr>
            <w:r>
              <w:rPr>
                <w:spacing w:val="4"/>
                <w:sz w:val="23"/>
                <w:szCs w:val="23"/>
              </w:rPr>
              <w:t>准保护区面积约3.346</w:t>
            </w:r>
            <w:r>
              <w:rPr>
                <w:sz w:val="23"/>
                <w:szCs w:val="23"/>
              </w:rPr>
              <w:t>km</w:t>
            </w:r>
            <w:r>
              <w:rPr>
                <w:spacing w:val="4"/>
                <w:sz w:val="23"/>
                <w:szCs w:val="23"/>
              </w:rPr>
              <w:t>²,从小莫古村</w:t>
            </w:r>
            <w:r>
              <w:rPr>
                <w:spacing w:val="3"/>
                <w:sz w:val="23"/>
                <w:szCs w:val="23"/>
              </w:rPr>
              <w:t>的乡村公路起，沿乡村道路至大地村</w:t>
            </w:r>
          </w:p>
        </w:tc>
      </w:tr>
    </w:tbl>
    <w:p w14:paraId="0D622849">
      <w:pPr>
        <w:pStyle w:val="2"/>
      </w:pPr>
    </w:p>
    <w:p w14:paraId="04EBF7DC">
      <w:pPr>
        <w:sectPr>
          <w:footerReference r:id="rId86" w:type="default"/>
          <w:pgSz w:w="11910" w:h="16830"/>
          <w:pgMar w:top="400" w:right="1344" w:bottom="1231" w:left="1205" w:header="0" w:footer="1087" w:gutter="0"/>
          <w:cols w:space="720" w:num="1"/>
        </w:sectPr>
      </w:pPr>
    </w:p>
    <w:p w14:paraId="3E78E5D4">
      <w:pPr>
        <w:spacing w:before="18"/>
      </w:pPr>
    </w:p>
    <w:p w14:paraId="2330B4BD">
      <w:pPr>
        <w:spacing w:before="17"/>
      </w:pPr>
    </w:p>
    <w:p w14:paraId="0AB365B9">
      <w:pPr>
        <w:spacing w:before="17"/>
      </w:pPr>
    </w:p>
    <w:p w14:paraId="2E4642E2">
      <w:pPr>
        <w:spacing w:before="17"/>
      </w:pPr>
    </w:p>
    <w:tbl>
      <w:tblPr>
        <w:tblStyle w:val="5"/>
        <w:tblW w:w="9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8756"/>
      </w:tblGrid>
      <w:tr w14:paraId="339F0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70" w:hRule="atLeast"/>
        </w:trPr>
        <w:tc>
          <w:tcPr>
            <w:tcW w:w="674" w:type="dxa"/>
            <w:vAlign w:val="top"/>
          </w:tcPr>
          <w:p w14:paraId="624E09E1">
            <w:pPr>
              <w:rPr>
                <w:rFonts w:ascii="Arial"/>
                <w:sz w:val="21"/>
              </w:rPr>
            </w:pPr>
          </w:p>
        </w:tc>
        <w:tc>
          <w:tcPr>
            <w:tcW w:w="8756" w:type="dxa"/>
            <w:vAlign w:val="top"/>
          </w:tcPr>
          <w:p w14:paraId="2FEAC214">
            <w:pPr>
              <w:pStyle w:val="6"/>
              <w:spacing w:before="22" w:line="362" w:lineRule="auto"/>
              <w:ind w:left="101" w:right="53" w:hanging="60"/>
              <w:rPr>
                <w:sz w:val="24"/>
                <w:szCs w:val="24"/>
              </w:rPr>
            </w:pPr>
            <w:r>
              <w:rPr>
                <w:sz w:val="24"/>
                <w:szCs w:val="24"/>
              </w:rPr>
              <w:t>南边机耕路与乡村路的交叉口，从交叉口沿机耕路至大地村北边的山脚，从山脚沿</w:t>
            </w:r>
            <w:r>
              <w:rPr>
                <w:spacing w:val="10"/>
                <w:sz w:val="24"/>
                <w:szCs w:val="24"/>
              </w:rPr>
              <w:t xml:space="preserve"> </w:t>
            </w:r>
            <w:r>
              <w:rPr>
                <w:sz w:val="24"/>
                <w:szCs w:val="24"/>
              </w:rPr>
              <w:t>机耕路穿过，G78汕昆高速至326国道，沿326国道至栗树园村南边的机耕道</w:t>
            </w:r>
            <w:r>
              <w:rPr>
                <w:spacing w:val="-1"/>
                <w:sz w:val="24"/>
                <w:szCs w:val="24"/>
              </w:rPr>
              <w:t>路，</w:t>
            </w:r>
          </w:p>
          <w:p w14:paraId="7944F6DC">
            <w:pPr>
              <w:pStyle w:val="6"/>
              <w:spacing w:line="218" w:lineRule="auto"/>
              <w:ind w:left="111"/>
              <w:rPr>
                <w:sz w:val="24"/>
                <w:szCs w:val="24"/>
              </w:rPr>
            </w:pPr>
            <w:r>
              <w:rPr>
                <w:sz w:val="24"/>
                <w:szCs w:val="24"/>
              </w:rPr>
              <w:t>沿机耕道路至二级保护区西南边的拐点，最终形成一个闭合的保护区。</w:t>
            </w:r>
          </w:p>
          <w:p w14:paraId="0F2B5A39">
            <w:pPr>
              <w:pStyle w:val="6"/>
              <w:spacing w:before="186" w:line="352" w:lineRule="auto"/>
              <w:ind w:left="121" w:right="44" w:firstLine="519"/>
              <w:rPr>
                <w:sz w:val="24"/>
                <w:szCs w:val="24"/>
              </w:rPr>
            </w:pPr>
            <w:r>
              <w:rPr>
                <w:spacing w:val="1"/>
                <w:sz w:val="24"/>
                <w:szCs w:val="24"/>
              </w:rPr>
              <w:t>根据叠图分析，本项目11#光伏阵列区位</w:t>
            </w:r>
            <w:r>
              <w:rPr>
                <w:sz w:val="24"/>
                <w:szCs w:val="24"/>
              </w:rPr>
              <w:t>于大莫古集镇水厂水源地二级保护区 西北侧35m,中间间隔汕昆高速。本项目8#光伏阵列区位于大莫古集镇水厂水源</w:t>
            </w:r>
          </w:p>
          <w:p w14:paraId="1C3BEC84">
            <w:pPr>
              <w:pStyle w:val="6"/>
              <w:spacing w:before="11" w:line="216" w:lineRule="auto"/>
              <w:ind w:left="111"/>
              <w:rPr>
                <w:sz w:val="24"/>
                <w:szCs w:val="24"/>
              </w:rPr>
            </w:pPr>
            <w:r>
              <w:rPr>
                <w:sz w:val="24"/>
                <w:szCs w:val="24"/>
              </w:rPr>
              <w:t>地二级保护区北侧268m,中间间隔汕昆高速。本项目光伏阵列区备用表地2距离</w:t>
            </w:r>
          </w:p>
          <w:p w14:paraId="7BFFF285">
            <w:pPr>
              <w:pStyle w:val="6"/>
              <w:spacing w:before="191" w:line="356" w:lineRule="auto"/>
              <w:ind w:left="121" w:right="53" w:firstLine="159"/>
              <w:rPr>
                <w:sz w:val="24"/>
                <w:szCs w:val="24"/>
              </w:rPr>
            </w:pPr>
            <w:r>
              <w:rPr>
                <w:sz w:val="24"/>
                <w:szCs w:val="24"/>
              </w:rPr>
              <w:t>大莫古集镇水厂水源地准保护区西侧最近距离44m。本项目14#光伏阵列区距离大</w:t>
            </w:r>
            <w:r>
              <w:rPr>
                <w:spacing w:val="10"/>
                <w:sz w:val="24"/>
                <w:szCs w:val="24"/>
              </w:rPr>
              <w:t xml:space="preserve"> </w:t>
            </w:r>
            <w:r>
              <w:rPr>
                <w:sz w:val="24"/>
                <w:szCs w:val="24"/>
              </w:rPr>
              <w:t>莫古集镇水厂水源地准保护区西南侧最近距离631m。本项目19#光伏阵列区距离</w:t>
            </w:r>
          </w:p>
          <w:p w14:paraId="050AEDE8">
            <w:pPr>
              <w:pStyle w:val="6"/>
              <w:spacing w:before="16" w:line="356" w:lineRule="auto"/>
              <w:ind w:left="111" w:right="86"/>
              <w:rPr>
                <w:sz w:val="24"/>
                <w:szCs w:val="24"/>
              </w:rPr>
            </w:pPr>
            <w:r>
              <w:rPr>
                <w:spacing w:val="1"/>
                <w:sz w:val="24"/>
                <w:szCs w:val="24"/>
              </w:rPr>
              <w:t>大莫古集镇水厂水源地准保护区东南侧最近距离83m。本项</w:t>
            </w:r>
            <w:r>
              <w:rPr>
                <w:sz w:val="24"/>
                <w:szCs w:val="24"/>
              </w:rPr>
              <w:t xml:space="preserve">目光伏占地不涉及饮用 </w:t>
            </w:r>
            <w:r>
              <w:rPr>
                <w:spacing w:val="-1"/>
                <w:sz w:val="24"/>
                <w:szCs w:val="24"/>
              </w:rPr>
              <w:t>水水源保护区以及准保护区。</w:t>
            </w:r>
          </w:p>
          <w:p w14:paraId="5B70E848">
            <w:pPr>
              <w:pStyle w:val="6"/>
              <w:spacing w:before="16" w:line="358" w:lineRule="auto"/>
              <w:ind w:left="41" w:right="47" w:firstLine="479"/>
              <w:rPr>
                <w:sz w:val="24"/>
                <w:szCs w:val="24"/>
              </w:rPr>
            </w:pPr>
            <w:r>
              <w:rPr>
                <w:sz w:val="24"/>
                <w:szCs w:val="24"/>
              </w:rPr>
              <w:t>本项目设计经过线路和选址的比选，光伏板布设已经避开大莫古集镇水厂水源</w:t>
            </w:r>
            <w:r>
              <w:rPr>
                <w:spacing w:val="9"/>
                <w:sz w:val="24"/>
                <w:szCs w:val="24"/>
              </w:rPr>
              <w:t xml:space="preserve"> </w:t>
            </w:r>
            <w:r>
              <w:rPr>
                <w:spacing w:val="2"/>
                <w:sz w:val="24"/>
                <w:szCs w:val="24"/>
              </w:rPr>
              <w:t>地保护区，但是35</w:t>
            </w:r>
            <w:r>
              <w:rPr>
                <w:sz w:val="24"/>
                <w:szCs w:val="24"/>
              </w:rPr>
              <w:t>KV</w:t>
            </w:r>
            <w:r>
              <w:rPr>
                <w:spacing w:val="2"/>
                <w:sz w:val="24"/>
                <w:szCs w:val="24"/>
              </w:rPr>
              <w:t>集电线路经过设计的线路比选，由于周边基本农田较多，已</w:t>
            </w:r>
            <w:r>
              <w:rPr>
                <w:spacing w:val="7"/>
                <w:sz w:val="24"/>
                <w:szCs w:val="24"/>
              </w:rPr>
              <w:t xml:space="preserve">  </w:t>
            </w:r>
            <w:r>
              <w:rPr>
                <w:spacing w:val="2"/>
                <w:sz w:val="24"/>
                <w:szCs w:val="24"/>
              </w:rPr>
              <w:t>经无法避开大莫古集镇水厂水源地保护区，本项目35</w:t>
            </w:r>
            <w:r>
              <w:rPr>
                <w:sz w:val="24"/>
                <w:szCs w:val="24"/>
              </w:rPr>
              <w:t>kV</w:t>
            </w:r>
            <w:r>
              <w:rPr>
                <w:spacing w:val="2"/>
                <w:sz w:val="24"/>
                <w:szCs w:val="24"/>
              </w:rPr>
              <w:t>集电线路采用架空线路的</w:t>
            </w:r>
            <w:r>
              <w:rPr>
                <w:spacing w:val="8"/>
                <w:sz w:val="24"/>
                <w:szCs w:val="24"/>
              </w:rPr>
              <w:t xml:space="preserve">  </w:t>
            </w:r>
            <w:r>
              <w:rPr>
                <w:sz w:val="24"/>
                <w:szCs w:val="24"/>
              </w:rPr>
              <w:t>方式穿越大莫古集镇水厂水源地准保护区，其中位于大莫古集镇水厂水源地准保护</w:t>
            </w:r>
            <w:r>
              <w:rPr>
                <w:spacing w:val="16"/>
                <w:sz w:val="24"/>
                <w:szCs w:val="24"/>
              </w:rPr>
              <w:t xml:space="preserve"> </w:t>
            </w:r>
            <w:r>
              <w:rPr>
                <w:spacing w:val="2"/>
                <w:sz w:val="24"/>
                <w:szCs w:val="24"/>
              </w:rPr>
              <w:t>区内的塔基数量为12座，架空线路长度为3105m。本项目集电线路穿越大莫古集</w:t>
            </w:r>
          </w:p>
          <w:p w14:paraId="1D84BCC5">
            <w:pPr>
              <w:pStyle w:val="6"/>
              <w:spacing w:before="1" w:line="218" w:lineRule="auto"/>
              <w:ind w:left="111"/>
              <w:rPr>
                <w:sz w:val="24"/>
                <w:szCs w:val="24"/>
              </w:rPr>
            </w:pPr>
            <w:r>
              <w:rPr>
                <w:sz w:val="24"/>
                <w:szCs w:val="24"/>
              </w:rPr>
              <w:t>镇水厂水源地准保护区路径已经取得陆良人民政府同意。</w:t>
            </w:r>
          </w:p>
          <w:p w14:paraId="410CBEFD">
            <w:pPr>
              <w:pStyle w:val="6"/>
              <w:spacing w:before="184" w:line="359" w:lineRule="auto"/>
              <w:ind w:left="41" w:right="49" w:firstLine="560"/>
              <w:rPr>
                <w:sz w:val="24"/>
                <w:szCs w:val="24"/>
              </w:rPr>
            </w:pPr>
            <w:r>
              <w:rPr>
                <w:sz w:val="24"/>
                <w:szCs w:val="24"/>
              </w:rPr>
              <w:t>项目光伏占地不涉及大莫古集镇水厂水源地，本项目35KV集电线路采用架空</w:t>
            </w:r>
            <w:r>
              <w:rPr>
                <w:spacing w:val="6"/>
                <w:sz w:val="24"/>
                <w:szCs w:val="24"/>
              </w:rPr>
              <w:t xml:space="preserve">  </w:t>
            </w:r>
            <w:r>
              <w:rPr>
                <w:sz w:val="24"/>
                <w:szCs w:val="24"/>
              </w:rPr>
              <w:t>线路的方式穿越大莫古集镇水厂水源地准保护区。由于该水源地为地下水型，本项</w:t>
            </w:r>
            <w:r>
              <w:rPr>
                <w:spacing w:val="14"/>
                <w:sz w:val="24"/>
                <w:szCs w:val="24"/>
              </w:rPr>
              <w:t xml:space="preserve"> </w:t>
            </w:r>
            <w:r>
              <w:rPr>
                <w:sz w:val="24"/>
                <w:szCs w:val="24"/>
              </w:rPr>
              <w:t>目的建设不涉及地下水污染型，运营期升压站生活污水采用一体化污水处理设施处</w:t>
            </w:r>
            <w:r>
              <w:rPr>
                <w:spacing w:val="9"/>
                <w:sz w:val="24"/>
                <w:szCs w:val="24"/>
              </w:rPr>
              <w:t xml:space="preserve"> </w:t>
            </w:r>
            <w:r>
              <w:rPr>
                <w:spacing w:val="2"/>
                <w:sz w:val="24"/>
                <w:szCs w:val="24"/>
              </w:rPr>
              <w:t>理后回用于洒水降尘，运营期光伏板清洗废水主要含有</w:t>
            </w:r>
            <w:r>
              <w:rPr>
                <w:sz w:val="24"/>
                <w:szCs w:val="24"/>
              </w:rPr>
              <w:t>SS</w:t>
            </w:r>
            <w:r>
              <w:rPr>
                <w:spacing w:val="2"/>
                <w:sz w:val="24"/>
                <w:szCs w:val="24"/>
              </w:rPr>
              <w:t>,回用于光伏板下的草</w:t>
            </w:r>
          </w:p>
          <w:p w14:paraId="6D7881A2">
            <w:pPr>
              <w:pStyle w:val="6"/>
              <w:spacing w:before="16" w:line="333" w:lineRule="auto"/>
              <w:ind w:left="111" w:right="74" w:hanging="70"/>
              <w:rPr>
                <w:sz w:val="24"/>
                <w:szCs w:val="24"/>
              </w:rPr>
            </w:pPr>
            <w:r>
              <w:rPr>
                <w:sz w:val="24"/>
                <w:szCs w:val="24"/>
              </w:rPr>
              <w:t>地浇灌。项目施工期废水回用于场地洒水降尘。项目运营</w:t>
            </w:r>
            <w:r>
              <w:rPr>
                <w:spacing w:val="-1"/>
                <w:sz w:val="24"/>
                <w:szCs w:val="24"/>
              </w:rPr>
              <w:t>期对大莫古集镇水厂水源</w:t>
            </w:r>
            <w:r>
              <w:rPr>
                <w:sz w:val="24"/>
                <w:szCs w:val="24"/>
              </w:rPr>
              <w:t xml:space="preserve"> </w:t>
            </w:r>
            <w:r>
              <w:rPr>
                <w:spacing w:val="-1"/>
                <w:sz w:val="24"/>
                <w:szCs w:val="24"/>
              </w:rPr>
              <w:t>地影响较小。</w:t>
            </w:r>
          </w:p>
        </w:tc>
      </w:tr>
    </w:tbl>
    <w:p w14:paraId="5F0E8959">
      <w:pPr>
        <w:pStyle w:val="2"/>
      </w:pPr>
    </w:p>
    <w:p w14:paraId="1D1F4FD1">
      <w:pPr>
        <w:sectPr>
          <w:footerReference r:id="rId87" w:type="default"/>
          <w:pgSz w:w="11910" w:h="16830"/>
          <w:pgMar w:top="400" w:right="1244" w:bottom="1243" w:left="1224" w:header="0" w:footer="1083" w:gutter="0"/>
          <w:cols w:space="720" w:num="1"/>
        </w:sectPr>
      </w:pPr>
    </w:p>
    <w:p w14:paraId="67B65794">
      <w:pPr>
        <w:spacing w:before="4"/>
      </w:pPr>
      <w:r>
        <w:drawing>
          <wp:anchor distT="0" distB="0" distL="0" distR="0" simplePos="0" relativeHeight="251684864" behindDoc="1" locked="0" layoutInCell="0" allowOverlap="1">
            <wp:simplePos x="0" y="0"/>
            <wp:positionH relativeFrom="page">
              <wp:posOffset>1250950</wp:posOffset>
            </wp:positionH>
            <wp:positionV relativeFrom="page">
              <wp:posOffset>876300</wp:posOffset>
            </wp:positionV>
            <wp:extent cx="5549900" cy="323215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290"/>
                    <a:stretch>
                      <a:fillRect/>
                    </a:stretch>
                  </pic:blipFill>
                  <pic:spPr>
                    <a:xfrm>
                      <a:off x="0" y="0"/>
                      <a:ext cx="5549846" cy="3232084"/>
                    </a:xfrm>
                    <a:prstGeom prst="rect">
                      <a:avLst/>
                    </a:prstGeom>
                  </pic:spPr>
                </pic:pic>
              </a:graphicData>
            </a:graphic>
          </wp:anchor>
        </w:drawing>
      </w:r>
    </w:p>
    <w:p w14:paraId="53A70422">
      <w:pPr>
        <w:spacing w:before="4"/>
      </w:pPr>
    </w:p>
    <w:p w14:paraId="440BDCCB">
      <w:pPr>
        <w:spacing w:before="3"/>
      </w:pPr>
    </w:p>
    <w:p w14:paraId="5280B3F8">
      <w:pPr>
        <w:spacing w:before="3"/>
      </w:pPr>
    </w:p>
    <w:tbl>
      <w:tblPr>
        <w:tblStyle w:val="5"/>
        <w:tblW w:w="947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799"/>
        <w:gridCol w:w="859"/>
        <w:gridCol w:w="779"/>
        <w:gridCol w:w="1898"/>
        <w:gridCol w:w="909"/>
        <w:gridCol w:w="869"/>
        <w:gridCol w:w="919"/>
        <w:gridCol w:w="1499"/>
        <w:gridCol w:w="280"/>
      </w:tblGrid>
      <w:tr w14:paraId="5224C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10" w:hRule="atLeast"/>
        </w:trPr>
        <w:tc>
          <w:tcPr>
            <w:tcW w:w="664" w:type="dxa"/>
            <w:vMerge w:val="restart"/>
            <w:tcBorders>
              <w:bottom w:val="nil"/>
            </w:tcBorders>
            <w:vAlign w:val="top"/>
          </w:tcPr>
          <w:p w14:paraId="5DC7B0C2">
            <w:pPr>
              <w:rPr>
                <w:rFonts w:ascii="Arial"/>
                <w:sz w:val="21"/>
              </w:rPr>
            </w:pPr>
          </w:p>
        </w:tc>
        <w:tc>
          <w:tcPr>
            <w:tcW w:w="8531" w:type="dxa"/>
            <w:gridSpan w:val="8"/>
            <w:tcBorders>
              <w:bottom w:val="nil"/>
            </w:tcBorders>
            <w:shd w:val="clear" w:color="auto" w:fill="FFFFFF"/>
            <w:vAlign w:val="top"/>
          </w:tcPr>
          <w:p w14:paraId="37489CC8">
            <w:pPr>
              <w:pStyle w:val="6"/>
              <w:spacing w:before="89" w:line="10241" w:lineRule="exact"/>
              <w:ind w:firstLine="91"/>
            </w:pPr>
            <w:r>
              <w:rPr>
                <w:position w:val="-204"/>
              </w:rPr>
              <w:pict>
                <v:group id="_x0000_s1075" o:spid="_x0000_s1075" o:spt="203" style="height:512.05pt;width:426.3pt;" coordsize="8525,10240">
                  <o:lock v:ext="edit"/>
                  <v:shape id="_x0000_s1076" o:spid="_x0000_s1076" o:spt="75" type="#_x0000_t75" style="position:absolute;left:0;top:0;height:10240;width:8390;" filled="f" stroked="f" coordsize="21600,21600">
                    <v:path/>
                    <v:fill on="f" focussize="0,0"/>
                    <v:stroke on="f"/>
                    <v:imagedata r:id="rId291" o:title=""/>
                    <o:lock v:ext="edit" aspectratio="t"/>
                  </v:shape>
                  <v:shape id="_x0000_s1077" o:spid="_x0000_s1077" o:spt="202" type="#_x0000_t202" style="position:absolute;left:-20;top:-20;height:10280;width:8565;" filled="f" stroked="f" coordsize="21600,21600">
                    <v:path/>
                    <v:fill on="f" focussize="0,0"/>
                    <v:stroke on="f"/>
                    <v:imagedata o:title=""/>
                    <o:lock v:ext="edit" aspectratio="f"/>
                    <v:textbox inset="0mm,0mm,0mm,0mm">
                      <w:txbxContent>
                        <w:p w14:paraId="0925E837">
                          <w:pPr>
                            <w:spacing w:line="292" w:lineRule="auto"/>
                            <w:rPr>
                              <w:rFonts w:ascii="Arial"/>
                              <w:sz w:val="21"/>
                            </w:rPr>
                          </w:pPr>
                        </w:p>
                        <w:p w14:paraId="6DB275F1">
                          <w:pPr>
                            <w:spacing w:line="292" w:lineRule="auto"/>
                            <w:rPr>
                              <w:rFonts w:ascii="Arial"/>
                              <w:sz w:val="21"/>
                            </w:rPr>
                          </w:pPr>
                        </w:p>
                        <w:p w14:paraId="088B23DF">
                          <w:pPr>
                            <w:spacing w:line="292" w:lineRule="auto"/>
                            <w:rPr>
                              <w:rFonts w:ascii="Arial"/>
                              <w:sz w:val="21"/>
                            </w:rPr>
                          </w:pPr>
                        </w:p>
                        <w:p w14:paraId="0D641835">
                          <w:pPr>
                            <w:spacing w:before="78" w:line="219" w:lineRule="auto"/>
                            <w:ind w:left="6399"/>
                            <w:rPr>
                              <w:rFonts w:ascii="宋体" w:hAnsi="宋体" w:eastAsia="宋体" w:cs="宋体"/>
                              <w:sz w:val="24"/>
                              <w:szCs w:val="24"/>
                            </w:rPr>
                          </w:pPr>
                          <w:r>
                            <w:rPr>
                              <w:rFonts w:ascii="宋体" w:hAnsi="宋体" w:eastAsia="宋体" w:cs="宋体"/>
                              <w:spacing w:val="-10"/>
                              <w:sz w:val="24"/>
                              <w:szCs w:val="24"/>
                            </w:rPr>
                            <w:t>饮用水水源二级保护</w:t>
                          </w:r>
                        </w:p>
                        <w:p w14:paraId="67B7837C">
                          <w:pPr>
                            <w:spacing w:line="341" w:lineRule="auto"/>
                            <w:rPr>
                              <w:rFonts w:ascii="Arial"/>
                              <w:sz w:val="21"/>
                            </w:rPr>
                          </w:pPr>
                        </w:p>
                        <w:p w14:paraId="3866DC74">
                          <w:pPr>
                            <w:spacing w:line="342" w:lineRule="auto"/>
                            <w:rPr>
                              <w:rFonts w:ascii="Arial"/>
                              <w:sz w:val="21"/>
                            </w:rPr>
                          </w:pPr>
                        </w:p>
                        <w:p w14:paraId="687DFD51">
                          <w:pPr>
                            <w:spacing w:before="78" w:line="219" w:lineRule="auto"/>
                            <w:ind w:left="5879"/>
                            <w:rPr>
                              <w:rFonts w:ascii="宋体" w:hAnsi="宋体" w:eastAsia="宋体" w:cs="宋体"/>
                              <w:sz w:val="24"/>
                              <w:szCs w:val="24"/>
                            </w:rPr>
                          </w:pPr>
                          <w:r>
                            <w:rPr>
                              <w:rFonts w:ascii="宋体" w:hAnsi="宋体" w:eastAsia="宋体" w:cs="宋体"/>
                              <w:spacing w:val="2"/>
                              <w:sz w:val="24"/>
                              <w:szCs w:val="24"/>
                            </w:rPr>
                            <w:t>饮用水水源准保护区</w:t>
                          </w:r>
                        </w:p>
                        <w:p w14:paraId="620DBC45">
                          <w:pPr>
                            <w:spacing w:line="244" w:lineRule="auto"/>
                            <w:rPr>
                              <w:rFonts w:ascii="Arial"/>
                              <w:sz w:val="21"/>
                            </w:rPr>
                          </w:pPr>
                        </w:p>
                        <w:p w14:paraId="0F0076AD">
                          <w:pPr>
                            <w:spacing w:line="244" w:lineRule="auto"/>
                            <w:rPr>
                              <w:rFonts w:ascii="Arial"/>
                              <w:sz w:val="21"/>
                            </w:rPr>
                          </w:pPr>
                        </w:p>
                        <w:p w14:paraId="6F40FB8C">
                          <w:pPr>
                            <w:spacing w:line="244" w:lineRule="auto"/>
                            <w:rPr>
                              <w:rFonts w:ascii="Arial"/>
                              <w:sz w:val="21"/>
                            </w:rPr>
                          </w:pPr>
                        </w:p>
                        <w:p w14:paraId="2237241E">
                          <w:pPr>
                            <w:spacing w:before="78" w:line="219" w:lineRule="auto"/>
                            <w:ind w:left="6059"/>
                            <w:rPr>
                              <w:rFonts w:ascii="宋体" w:hAnsi="宋体" w:eastAsia="宋体" w:cs="宋体"/>
                              <w:sz w:val="24"/>
                              <w:szCs w:val="24"/>
                            </w:rPr>
                          </w:pPr>
                          <w:r>
                            <w:rPr>
                              <w:rFonts w:ascii="宋体" w:hAnsi="宋体" w:eastAsia="宋体" w:cs="宋体"/>
                              <w:spacing w:val="1"/>
                              <w:sz w:val="24"/>
                              <w:szCs w:val="24"/>
                            </w:rPr>
                            <w:t>饮用水水源一级保护</w:t>
                          </w:r>
                        </w:p>
                        <w:p w14:paraId="659BE062">
                          <w:pPr>
                            <w:spacing w:before="67" w:line="239" w:lineRule="auto"/>
                            <w:ind w:right="8"/>
                            <w:jc w:val="right"/>
                            <w:rPr>
                              <w:rFonts w:ascii="宋体" w:hAnsi="宋体" w:eastAsia="宋体" w:cs="宋体"/>
                              <w:sz w:val="16"/>
                              <w:szCs w:val="16"/>
                            </w:rPr>
                          </w:pPr>
                          <w:r>
                            <w:rPr>
                              <w:rFonts w:ascii="宋体" w:hAnsi="宋体" w:eastAsia="宋体" w:cs="宋体"/>
                              <w:color w:val="E06060"/>
                              <w:spacing w:val="-13"/>
                              <w:sz w:val="16"/>
                              <w:szCs w:val="16"/>
                            </w:rPr>
                            <w:t>100°31'35</w:t>
                          </w:r>
                          <w:r>
                            <w:rPr>
                              <w:rFonts w:ascii="宋体" w:hAnsi="宋体" w:eastAsia="宋体" w:cs="宋体"/>
                              <w:color w:val="E05060"/>
                              <w:spacing w:val="-13"/>
                              <w:sz w:val="16"/>
                              <w:szCs w:val="16"/>
                            </w:rPr>
                            <w:t>.85430</w:t>
                          </w:r>
                          <w:r>
                            <w:rPr>
                              <w:rFonts w:ascii="宋体" w:hAnsi="宋体" w:eastAsia="宋体" w:cs="宋体"/>
                              <w:color w:val="E05060"/>
                              <w:spacing w:val="-48"/>
                              <w:sz w:val="16"/>
                              <w:szCs w:val="16"/>
                            </w:rPr>
                            <w:t xml:space="preserve"> </w:t>
                          </w:r>
                          <w:r>
                            <w:rPr>
                              <w:rFonts w:ascii="宋体" w:hAnsi="宋体" w:eastAsia="宋体" w:cs="宋体"/>
                              <w:color w:val="E05060"/>
                              <w:spacing w:val="-13"/>
                              <w:sz w:val="16"/>
                              <w:szCs w:val="16"/>
                            </w:rPr>
                            <w:t>°</w:t>
                          </w:r>
                          <w:r>
                            <w:rPr>
                              <w:rFonts w:ascii="宋体" w:hAnsi="宋体" w:eastAsia="宋体" w:cs="宋体"/>
                              <w:color w:val="E04040"/>
                              <w:spacing w:val="-13"/>
                              <w:sz w:val="16"/>
                              <w:szCs w:val="16"/>
                            </w:rPr>
                            <w:t>.24°</w:t>
                          </w:r>
                          <w:r>
                            <w:rPr>
                              <w:rFonts w:ascii="宋体" w:hAnsi="宋体" w:eastAsia="宋体" w:cs="宋体"/>
                              <w:color w:val="E06060"/>
                              <w:spacing w:val="-13"/>
                              <w:sz w:val="16"/>
                              <w:szCs w:val="16"/>
                            </w:rPr>
                            <w:t>52'59.94959°</w:t>
                          </w:r>
                        </w:p>
                        <w:p w14:paraId="1AC9DEAF">
                          <w:pPr>
                            <w:spacing w:line="263" w:lineRule="auto"/>
                            <w:rPr>
                              <w:rFonts w:ascii="Arial"/>
                              <w:sz w:val="21"/>
                            </w:rPr>
                          </w:pPr>
                        </w:p>
                        <w:p w14:paraId="6D574F0B">
                          <w:pPr>
                            <w:spacing w:line="263" w:lineRule="auto"/>
                            <w:rPr>
                              <w:rFonts w:ascii="Arial"/>
                              <w:sz w:val="21"/>
                            </w:rPr>
                          </w:pPr>
                        </w:p>
                        <w:p w14:paraId="3EDB993A">
                          <w:pPr>
                            <w:spacing w:line="263" w:lineRule="auto"/>
                            <w:rPr>
                              <w:rFonts w:ascii="Arial"/>
                              <w:sz w:val="21"/>
                            </w:rPr>
                          </w:pPr>
                        </w:p>
                        <w:p w14:paraId="1847ADCB">
                          <w:pPr>
                            <w:spacing w:line="263" w:lineRule="auto"/>
                            <w:rPr>
                              <w:rFonts w:ascii="Arial"/>
                              <w:sz w:val="21"/>
                            </w:rPr>
                          </w:pPr>
                        </w:p>
                        <w:p w14:paraId="3E030F48">
                          <w:pPr>
                            <w:spacing w:line="264" w:lineRule="auto"/>
                            <w:rPr>
                              <w:rFonts w:ascii="Arial"/>
                              <w:sz w:val="21"/>
                            </w:rPr>
                          </w:pPr>
                        </w:p>
                        <w:p w14:paraId="4EC15259">
                          <w:pPr>
                            <w:spacing w:line="264" w:lineRule="auto"/>
                            <w:rPr>
                              <w:rFonts w:ascii="Arial"/>
                              <w:sz w:val="21"/>
                            </w:rPr>
                          </w:pPr>
                        </w:p>
                        <w:p w14:paraId="3496CA31">
                          <w:pPr>
                            <w:spacing w:line="264" w:lineRule="auto"/>
                            <w:rPr>
                              <w:rFonts w:ascii="Arial"/>
                              <w:sz w:val="21"/>
                            </w:rPr>
                          </w:pPr>
                        </w:p>
                        <w:p w14:paraId="387D7CB1">
                          <w:pPr>
                            <w:spacing w:line="264" w:lineRule="auto"/>
                            <w:rPr>
                              <w:rFonts w:ascii="Arial"/>
                              <w:sz w:val="21"/>
                            </w:rPr>
                          </w:pPr>
                        </w:p>
                        <w:p w14:paraId="45D7FA82">
                          <w:pPr>
                            <w:spacing w:line="264" w:lineRule="auto"/>
                            <w:rPr>
                              <w:rFonts w:ascii="Arial"/>
                              <w:sz w:val="21"/>
                            </w:rPr>
                          </w:pPr>
                        </w:p>
                        <w:p w14:paraId="0344615E">
                          <w:pPr>
                            <w:spacing w:line="264" w:lineRule="auto"/>
                            <w:rPr>
                              <w:rFonts w:ascii="Arial"/>
                              <w:sz w:val="21"/>
                            </w:rPr>
                          </w:pPr>
                        </w:p>
                        <w:p w14:paraId="37233E54">
                          <w:pPr>
                            <w:spacing w:before="78" w:line="219" w:lineRule="auto"/>
                            <w:ind w:left="5170"/>
                            <w:rPr>
                              <w:rFonts w:ascii="宋体" w:hAnsi="宋体" w:eastAsia="宋体" w:cs="宋体"/>
                              <w:sz w:val="24"/>
                              <w:szCs w:val="24"/>
                            </w:rPr>
                          </w:pPr>
                          <w:r>
                            <w:rPr>
                              <w:rFonts w:ascii="宋体" w:hAnsi="宋体" w:eastAsia="宋体" w:cs="宋体"/>
                              <w:spacing w:val="-2"/>
                              <w:sz w:val="24"/>
                              <w:szCs w:val="24"/>
                            </w:rPr>
                            <w:t>集电线路</w:t>
                          </w:r>
                        </w:p>
                      </w:txbxContent>
                    </v:textbox>
                  </v:shape>
                  <w10:wrap type="none"/>
                  <w10:anchorlock/>
                </v:group>
              </w:pict>
            </w:r>
          </w:p>
        </w:tc>
        <w:tc>
          <w:tcPr>
            <w:tcW w:w="280" w:type="dxa"/>
            <w:vMerge w:val="restart"/>
            <w:tcBorders>
              <w:bottom w:val="nil"/>
            </w:tcBorders>
            <w:shd w:val="clear" w:color="auto" w:fill="FFFFFF"/>
            <w:vAlign w:val="top"/>
          </w:tcPr>
          <w:p w14:paraId="314071CC">
            <w:pPr>
              <w:rPr>
                <w:rFonts w:ascii="Arial"/>
                <w:sz w:val="21"/>
              </w:rPr>
            </w:pPr>
          </w:p>
          <w:p w14:paraId="5261A538">
            <w:pPr>
              <w:rPr>
                <w:rFonts w:ascii="Arial"/>
                <w:sz w:val="21"/>
              </w:rPr>
            </w:pPr>
          </w:p>
          <w:p w14:paraId="36ED6B88">
            <w:pPr>
              <w:rPr>
                <w:rFonts w:ascii="Arial"/>
                <w:sz w:val="21"/>
              </w:rPr>
            </w:pPr>
          </w:p>
          <w:p w14:paraId="4E3E7272">
            <w:pPr>
              <w:rPr>
                <w:rFonts w:ascii="Arial"/>
                <w:sz w:val="21"/>
              </w:rPr>
            </w:pPr>
          </w:p>
          <w:p w14:paraId="3B4C4078">
            <w:pPr>
              <w:rPr>
                <w:rFonts w:ascii="Arial"/>
                <w:sz w:val="21"/>
              </w:rPr>
            </w:pPr>
          </w:p>
          <w:p w14:paraId="5F92D778">
            <w:pPr>
              <w:rPr>
                <w:rFonts w:ascii="Arial"/>
                <w:sz w:val="21"/>
              </w:rPr>
            </w:pPr>
          </w:p>
          <w:p w14:paraId="190DB255">
            <w:pPr>
              <w:rPr>
                <w:rFonts w:ascii="Arial"/>
                <w:sz w:val="21"/>
              </w:rPr>
            </w:pPr>
          </w:p>
          <w:p w14:paraId="61CA74A8">
            <w:pPr>
              <w:rPr>
                <w:rFonts w:ascii="Arial"/>
                <w:sz w:val="21"/>
              </w:rPr>
            </w:pPr>
          </w:p>
          <w:p w14:paraId="67B1DB3D">
            <w:pPr>
              <w:rPr>
                <w:rFonts w:ascii="Arial"/>
                <w:sz w:val="21"/>
              </w:rPr>
            </w:pPr>
          </w:p>
          <w:p w14:paraId="1177FDED">
            <w:pPr>
              <w:rPr>
                <w:rFonts w:ascii="Arial"/>
                <w:sz w:val="21"/>
              </w:rPr>
            </w:pPr>
          </w:p>
          <w:p w14:paraId="461681B9">
            <w:pPr>
              <w:rPr>
                <w:rFonts w:ascii="Arial"/>
                <w:sz w:val="21"/>
              </w:rPr>
            </w:pPr>
          </w:p>
          <w:p w14:paraId="0144359F">
            <w:pPr>
              <w:rPr>
                <w:rFonts w:ascii="Arial"/>
                <w:sz w:val="21"/>
              </w:rPr>
            </w:pPr>
          </w:p>
          <w:p w14:paraId="3CDB2FFE">
            <w:pPr>
              <w:rPr>
                <w:rFonts w:ascii="Arial"/>
                <w:sz w:val="21"/>
              </w:rPr>
            </w:pPr>
          </w:p>
          <w:p w14:paraId="5259E266">
            <w:pPr>
              <w:rPr>
                <w:rFonts w:ascii="Arial"/>
                <w:sz w:val="21"/>
              </w:rPr>
            </w:pPr>
          </w:p>
          <w:p w14:paraId="4B763CCE">
            <w:pPr>
              <w:rPr>
                <w:rFonts w:ascii="Arial"/>
                <w:sz w:val="21"/>
              </w:rPr>
            </w:pPr>
          </w:p>
          <w:p w14:paraId="036F074D">
            <w:pPr>
              <w:rPr>
                <w:rFonts w:ascii="Arial"/>
                <w:sz w:val="21"/>
              </w:rPr>
            </w:pPr>
          </w:p>
          <w:p w14:paraId="3AAB34B9">
            <w:pPr>
              <w:rPr>
                <w:rFonts w:ascii="Arial"/>
                <w:sz w:val="21"/>
              </w:rPr>
            </w:pPr>
          </w:p>
          <w:p w14:paraId="3CCA9FB2">
            <w:pPr>
              <w:rPr>
                <w:rFonts w:ascii="Arial"/>
                <w:sz w:val="21"/>
              </w:rPr>
            </w:pPr>
          </w:p>
          <w:p w14:paraId="3D9283FA">
            <w:pPr>
              <w:rPr>
                <w:rFonts w:ascii="Arial"/>
                <w:sz w:val="21"/>
              </w:rPr>
            </w:pPr>
          </w:p>
          <w:p w14:paraId="4B2F3AC6">
            <w:pPr>
              <w:rPr>
                <w:rFonts w:ascii="Arial"/>
                <w:sz w:val="21"/>
              </w:rPr>
            </w:pPr>
          </w:p>
          <w:p w14:paraId="6F5EA5B8">
            <w:pPr>
              <w:rPr>
                <w:rFonts w:ascii="Arial"/>
                <w:sz w:val="21"/>
              </w:rPr>
            </w:pPr>
          </w:p>
          <w:p w14:paraId="78569EDA">
            <w:pPr>
              <w:rPr>
                <w:rFonts w:ascii="Arial"/>
                <w:sz w:val="21"/>
              </w:rPr>
            </w:pPr>
          </w:p>
          <w:p w14:paraId="4ABFE4A5">
            <w:pPr>
              <w:rPr>
                <w:rFonts w:ascii="Arial"/>
                <w:sz w:val="21"/>
              </w:rPr>
            </w:pPr>
          </w:p>
          <w:p w14:paraId="0769A917">
            <w:pPr>
              <w:rPr>
                <w:rFonts w:ascii="Arial"/>
                <w:sz w:val="21"/>
              </w:rPr>
            </w:pPr>
          </w:p>
          <w:p w14:paraId="6C065096">
            <w:pPr>
              <w:rPr>
                <w:rFonts w:ascii="Arial"/>
                <w:sz w:val="21"/>
              </w:rPr>
            </w:pPr>
          </w:p>
          <w:p w14:paraId="3991F78D">
            <w:pPr>
              <w:rPr>
                <w:rFonts w:ascii="Arial"/>
                <w:sz w:val="21"/>
              </w:rPr>
            </w:pPr>
          </w:p>
          <w:p w14:paraId="733BA31D">
            <w:pPr>
              <w:rPr>
                <w:rFonts w:ascii="Arial"/>
                <w:sz w:val="21"/>
              </w:rPr>
            </w:pPr>
          </w:p>
          <w:p w14:paraId="1A45EA9B">
            <w:pPr>
              <w:rPr>
                <w:rFonts w:ascii="Arial"/>
                <w:sz w:val="21"/>
              </w:rPr>
            </w:pPr>
          </w:p>
          <w:p w14:paraId="745A74FB">
            <w:pPr>
              <w:rPr>
                <w:rFonts w:ascii="Arial"/>
                <w:sz w:val="21"/>
              </w:rPr>
            </w:pPr>
          </w:p>
          <w:p w14:paraId="403A70CA">
            <w:pPr>
              <w:rPr>
                <w:rFonts w:ascii="Arial"/>
                <w:sz w:val="21"/>
              </w:rPr>
            </w:pPr>
          </w:p>
          <w:p w14:paraId="004FD8C0">
            <w:pPr>
              <w:rPr>
                <w:rFonts w:ascii="Arial"/>
                <w:sz w:val="21"/>
              </w:rPr>
            </w:pPr>
          </w:p>
          <w:p w14:paraId="40ABFAB5">
            <w:pPr>
              <w:rPr>
                <w:rFonts w:ascii="Arial"/>
                <w:sz w:val="21"/>
              </w:rPr>
            </w:pPr>
          </w:p>
          <w:p w14:paraId="4771ABA4">
            <w:pPr>
              <w:rPr>
                <w:rFonts w:ascii="Arial"/>
                <w:sz w:val="21"/>
              </w:rPr>
            </w:pPr>
          </w:p>
          <w:p w14:paraId="72D697E3">
            <w:pPr>
              <w:rPr>
                <w:rFonts w:ascii="Arial"/>
                <w:sz w:val="21"/>
              </w:rPr>
            </w:pPr>
          </w:p>
          <w:p w14:paraId="40AB07D1">
            <w:pPr>
              <w:rPr>
                <w:rFonts w:ascii="Arial"/>
                <w:sz w:val="21"/>
              </w:rPr>
            </w:pPr>
          </w:p>
          <w:p w14:paraId="440F533D">
            <w:pPr>
              <w:rPr>
                <w:rFonts w:ascii="Arial"/>
                <w:sz w:val="21"/>
              </w:rPr>
            </w:pPr>
          </w:p>
          <w:p w14:paraId="3E42282D">
            <w:pPr>
              <w:rPr>
                <w:rFonts w:ascii="Arial"/>
                <w:sz w:val="21"/>
              </w:rPr>
            </w:pPr>
          </w:p>
          <w:p w14:paraId="4A512C35">
            <w:pPr>
              <w:spacing w:line="241" w:lineRule="auto"/>
              <w:rPr>
                <w:rFonts w:ascii="Arial"/>
                <w:sz w:val="21"/>
              </w:rPr>
            </w:pPr>
          </w:p>
          <w:p w14:paraId="76C0460E">
            <w:pPr>
              <w:spacing w:line="241" w:lineRule="auto"/>
              <w:rPr>
                <w:rFonts w:ascii="Arial"/>
                <w:sz w:val="21"/>
              </w:rPr>
            </w:pPr>
          </w:p>
          <w:p w14:paraId="06486896">
            <w:pPr>
              <w:spacing w:line="241" w:lineRule="auto"/>
              <w:rPr>
                <w:rFonts w:ascii="Arial"/>
                <w:sz w:val="21"/>
              </w:rPr>
            </w:pPr>
          </w:p>
          <w:p w14:paraId="10DA768E">
            <w:pPr>
              <w:spacing w:line="241" w:lineRule="auto"/>
              <w:rPr>
                <w:rFonts w:ascii="Arial"/>
                <w:sz w:val="21"/>
              </w:rPr>
            </w:pPr>
          </w:p>
          <w:p w14:paraId="3906F804">
            <w:pPr>
              <w:spacing w:line="241" w:lineRule="auto"/>
              <w:rPr>
                <w:rFonts w:ascii="Arial"/>
                <w:sz w:val="21"/>
              </w:rPr>
            </w:pPr>
          </w:p>
          <w:p w14:paraId="5F0E1332">
            <w:pPr>
              <w:spacing w:line="241" w:lineRule="auto"/>
              <w:rPr>
                <w:rFonts w:ascii="Arial"/>
                <w:sz w:val="21"/>
              </w:rPr>
            </w:pPr>
          </w:p>
          <w:p w14:paraId="5A6B349F">
            <w:pPr>
              <w:spacing w:line="241" w:lineRule="auto"/>
              <w:rPr>
                <w:rFonts w:ascii="Arial"/>
                <w:sz w:val="21"/>
              </w:rPr>
            </w:pPr>
          </w:p>
          <w:p w14:paraId="4600E2BF">
            <w:pPr>
              <w:spacing w:line="241" w:lineRule="auto"/>
              <w:rPr>
                <w:rFonts w:ascii="Arial"/>
                <w:sz w:val="21"/>
              </w:rPr>
            </w:pPr>
          </w:p>
          <w:p w14:paraId="61677441">
            <w:pPr>
              <w:spacing w:line="241" w:lineRule="auto"/>
              <w:rPr>
                <w:rFonts w:ascii="Arial"/>
                <w:sz w:val="21"/>
              </w:rPr>
            </w:pPr>
          </w:p>
          <w:p w14:paraId="177EF72C">
            <w:pPr>
              <w:spacing w:line="241" w:lineRule="auto"/>
              <w:rPr>
                <w:rFonts w:ascii="Arial"/>
                <w:sz w:val="21"/>
              </w:rPr>
            </w:pPr>
          </w:p>
          <w:p w14:paraId="6FA05A53">
            <w:pPr>
              <w:spacing w:line="241" w:lineRule="auto"/>
              <w:rPr>
                <w:rFonts w:ascii="Arial"/>
                <w:sz w:val="21"/>
              </w:rPr>
            </w:pPr>
          </w:p>
          <w:p w14:paraId="3484DF7B">
            <w:pPr>
              <w:spacing w:line="241" w:lineRule="auto"/>
              <w:rPr>
                <w:rFonts w:ascii="Arial"/>
                <w:sz w:val="21"/>
              </w:rPr>
            </w:pPr>
          </w:p>
          <w:p w14:paraId="0A977E69">
            <w:pPr>
              <w:pStyle w:val="6"/>
              <w:spacing w:before="74" w:line="227" w:lineRule="auto"/>
              <w:ind w:left="20"/>
              <w:rPr>
                <w:sz w:val="23"/>
                <w:szCs w:val="23"/>
              </w:rPr>
            </w:pPr>
            <w:r>
              <w:rPr>
                <w:sz w:val="23"/>
                <w:szCs w:val="23"/>
              </w:rPr>
              <w:t>山</w:t>
            </w:r>
          </w:p>
        </w:tc>
      </w:tr>
      <w:tr w14:paraId="79F82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0" w:hRule="atLeast"/>
        </w:trPr>
        <w:tc>
          <w:tcPr>
            <w:tcW w:w="664" w:type="dxa"/>
            <w:vMerge w:val="continue"/>
            <w:tcBorders>
              <w:top w:val="nil"/>
              <w:bottom w:val="nil"/>
            </w:tcBorders>
            <w:vAlign w:val="top"/>
          </w:tcPr>
          <w:p w14:paraId="2E0D20F1">
            <w:pPr>
              <w:rPr>
                <w:rFonts w:ascii="Arial"/>
                <w:sz w:val="21"/>
              </w:rPr>
            </w:pPr>
          </w:p>
        </w:tc>
        <w:tc>
          <w:tcPr>
            <w:tcW w:w="8531" w:type="dxa"/>
            <w:gridSpan w:val="8"/>
            <w:tcBorders>
              <w:top w:val="nil"/>
            </w:tcBorders>
            <w:shd w:val="clear" w:color="auto" w:fill="FFFFFF"/>
            <w:vAlign w:val="top"/>
          </w:tcPr>
          <w:p w14:paraId="4117A404">
            <w:pPr>
              <w:pStyle w:val="6"/>
              <w:spacing w:before="94" w:line="219" w:lineRule="auto"/>
              <w:ind w:left="1104"/>
              <w:rPr>
                <w:sz w:val="24"/>
                <w:szCs w:val="24"/>
              </w:rPr>
            </w:pPr>
            <w:r>
              <w:rPr>
                <w:b/>
                <w:bCs/>
                <w:spacing w:val="-2"/>
                <w:sz w:val="24"/>
                <w:szCs w:val="24"/>
              </w:rPr>
              <w:t>图3-1项目光伏占地与大莫古集镇水厂水源地保护区的位置关系</w:t>
            </w:r>
          </w:p>
          <w:p w14:paraId="4881AB18">
            <w:pPr>
              <w:pStyle w:val="6"/>
              <w:spacing w:before="186" w:line="219" w:lineRule="auto"/>
              <w:ind w:left="104"/>
              <w:rPr>
                <w:sz w:val="24"/>
                <w:szCs w:val="24"/>
              </w:rPr>
            </w:pPr>
            <w:r>
              <w:rPr>
                <w:b/>
                <w:bCs/>
                <w:spacing w:val="-4"/>
                <w:sz w:val="24"/>
                <w:szCs w:val="24"/>
              </w:rPr>
              <w:t>2、与《云南省生态功能区划》的相符性分析</w:t>
            </w:r>
          </w:p>
          <w:p w14:paraId="60FC9120">
            <w:pPr>
              <w:pStyle w:val="6"/>
              <w:spacing w:before="165" w:line="216" w:lineRule="auto"/>
              <w:ind w:left="521"/>
              <w:rPr>
                <w:sz w:val="24"/>
                <w:szCs w:val="24"/>
              </w:rPr>
            </w:pPr>
            <w:r>
              <w:rPr>
                <w:sz w:val="24"/>
                <w:szCs w:val="24"/>
              </w:rPr>
              <w:t>云南省环境保护厅于2009年11月17日印发了《云南省生态功能区划》,陆</w:t>
            </w:r>
          </w:p>
          <w:p w14:paraId="59CB0F51">
            <w:pPr>
              <w:pStyle w:val="6"/>
              <w:spacing w:before="202" w:line="364" w:lineRule="auto"/>
              <w:ind w:left="111" w:firstLine="39"/>
              <w:rPr>
                <w:sz w:val="24"/>
                <w:szCs w:val="24"/>
              </w:rPr>
            </w:pPr>
            <w:r>
              <w:rPr>
                <w:spacing w:val="-1"/>
                <w:sz w:val="24"/>
                <w:szCs w:val="24"/>
              </w:rPr>
              <w:t>良栗树园光伏发电项目工程所在地属于该区划中“项目区位于Ⅲ1-11曲靖、陆良</w:t>
            </w:r>
            <w:r>
              <w:rPr>
                <w:spacing w:val="6"/>
                <w:sz w:val="24"/>
                <w:szCs w:val="24"/>
              </w:rPr>
              <w:t xml:space="preserve"> </w:t>
            </w:r>
            <w:r>
              <w:rPr>
                <w:spacing w:val="-1"/>
                <w:sz w:val="24"/>
                <w:szCs w:val="24"/>
              </w:rPr>
              <w:t>原盆地城镇与农业生态功能区”。</w:t>
            </w:r>
          </w:p>
          <w:p w14:paraId="5D7955E7">
            <w:pPr>
              <w:pStyle w:val="6"/>
              <w:spacing w:before="1" w:line="202" w:lineRule="auto"/>
              <w:ind w:left="2664"/>
              <w:rPr>
                <w:sz w:val="24"/>
                <w:szCs w:val="24"/>
              </w:rPr>
            </w:pPr>
            <w:r>
              <w:rPr>
                <w:b/>
                <w:bCs/>
                <w:spacing w:val="-3"/>
                <w:sz w:val="24"/>
                <w:szCs w:val="24"/>
              </w:rPr>
              <w:t>表3-2</w:t>
            </w:r>
            <w:r>
              <w:rPr>
                <w:spacing w:val="-3"/>
                <w:sz w:val="24"/>
                <w:szCs w:val="24"/>
              </w:rPr>
              <w:t xml:space="preserve">   </w:t>
            </w:r>
            <w:r>
              <w:rPr>
                <w:b/>
                <w:bCs/>
                <w:spacing w:val="-3"/>
                <w:sz w:val="24"/>
                <w:szCs w:val="24"/>
              </w:rPr>
              <w:t>项目区域生态功能区划</w:t>
            </w:r>
          </w:p>
        </w:tc>
        <w:tc>
          <w:tcPr>
            <w:tcW w:w="280" w:type="dxa"/>
            <w:vMerge w:val="continue"/>
            <w:tcBorders>
              <w:top w:val="nil"/>
              <w:bottom w:val="nil"/>
            </w:tcBorders>
            <w:vAlign w:val="top"/>
          </w:tcPr>
          <w:p w14:paraId="0B7438E8">
            <w:pPr>
              <w:rPr>
                <w:rFonts w:ascii="Arial"/>
                <w:sz w:val="21"/>
              </w:rPr>
            </w:pPr>
          </w:p>
        </w:tc>
      </w:tr>
      <w:tr w14:paraId="3F1DC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64" w:type="dxa"/>
            <w:vMerge w:val="continue"/>
            <w:tcBorders>
              <w:top w:val="nil"/>
              <w:bottom w:val="nil"/>
            </w:tcBorders>
            <w:vAlign w:val="top"/>
          </w:tcPr>
          <w:p w14:paraId="5C0A1BA4">
            <w:pPr>
              <w:rPr>
                <w:rFonts w:ascii="Arial"/>
                <w:sz w:val="21"/>
              </w:rPr>
            </w:pPr>
          </w:p>
        </w:tc>
        <w:tc>
          <w:tcPr>
            <w:tcW w:w="2437" w:type="dxa"/>
            <w:gridSpan w:val="3"/>
            <w:vAlign w:val="top"/>
          </w:tcPr>
          <w:p w14:paraId="1F085E25">
            <w:pPr>
              <w:pStyle w:val="6"/>
              <w:spacing w:before="97" w:line="220" w:lineRule="auto"/>
              <w:ind w:left="541"/>
              <w:rPr>
                <w:sz w:val="17"/>
                <w:szCs w:val="17"/>
              </w:rPr>
            </w:pPr>
            <w:r>
              <w:rPr>
                <w:spacing w:val="-1"/>
                <w:sz w:val="17"/>
                <w:szCs w:val="17"/>
              </w:rPr>
              <w:t>生态功能分区单元</w:t>
            </w:r>
          </w:p>
        </w:tc>
        <w:tc>
          <w:tcPr>
            <w:tcW w:w="1898" w:type="dxa"/>
            <w:vMerge w:val="restart"/>
            <w:tcBorders>
              <w:bottom w:val="nil"/>
            </w:tcBorders>
            <w:vAlign w:val="top"/>
          </w:tcPr>
          <w:p w14:paraId="095A57AA">
            <w:pPr>
              <w:pStyle w:val="6"/>
              <w:spacing w:before="199" w:line="222" w:lineRule="auto"/>
              <w:ind w:left="604"/>
              <w:rPr>
                <w:sz w:val="17"/>
                <w:szCs w:val="17"/>
              </w:rPr>
            </w:pPr>
            <w:r>
              <w:rPr>
                <w:spacing w:val="-2"/>
                <w:sz w:val="17"/>
                <w:szCs w:val="17"/>
              </w:rPr>
              <w:t>主要生态</w:t>
            </w:r>
          </w:p>
          <w:p w14:paraId="2AEA86B2">
            <w:pPr>
              <w:pStyle w:val="6"/>
              <w:spacing w:before="23" w:line="219" w:lineRule="auto"/>
              <w:ind w:left="774"/>
              <w:rPr>
                <w:sz w:val="17"/>
                <w:szCs w:val="17"/>
              </w:rPr>
            </w:pPr>
            <w:r>
              <w:rPr>
                <w:spacing w:val="-2"/>
                <w:sz w:val="17"/>
                <w:szCs w:val="17"/>
              </w:rPr>
              <w:t>特征</w:t>
            </w:r>
          </w:p>
        </w:tc>
        <w:tc>
          <w:tcPr>
            <w:tcW w:w="909" w:type="dxa"/>
            <w:vMerge w:val="restart"/>
            <w:tcBorders>
              <w:bottom w:val="nil"/>
            </w:tcBorders>
            <w:vAlign w:val="top"/>
          </w:tcPr>
          <w:p w14:paraId="33ED24C4">
            <w:pPr>
              <w:pStyle w:val="6"/>
              <w:spacing w:before="189" w:line="222" w:lineRule="auto"/>
              <w:ind w:left="106"/>
              <w:rPr>
                <w:sz w:val="17"/>
                <w:szCs w:val="17"/>
              </w:rPr>
            </w:pPr>
            <w:r>
              <w:rPr>
                <w:spacing w:val="-2"/>
                <w:sz w:val="17"/>
                <w:szCs w:val="17"/>
              </w:rPr>
              <w:t>主要生态</w:t>
            </w:r>
          </w:p>
          <w:p w14:paraId="5FB37AC0">
            <w:pPr>
              <w:pStyle w:val="6"/>
              <w:spacing w:before="23" w:line="220" w:lineRule="auto"/>
              <w:ind w:left="106"/>
              <w:rPr>
                <w:sz w:val="17"/>
                <w:szCs w:val="17"/>
              </w:rPr>
            </w:pPr>
            <w:r>
              <w:rPr>
                <w:spacing w:val="-2"/>
                <w:sz w:val="17"/>
                <w:szCs w:val="17"/>
              </w:rPr>
              <w:t>环境问题</w:t>
            </w:r>
          </w:p>
        </w:tc>
        <w:tc>
          <w:tcPr>
            <w:tcW w:w="869" w:type="dxa"/>
            <w:vMerge w:val="restart"/>
            <w:tcBorders>
              <w:bottom w:val="nil"/>
            </w:tcBorders>
            <w:vAlign w:val="top"/>
          </w:tcPr>
          <w:p w14:paraId="70E1E306">
            <w:pPr>
              <w:pStyle w:val="6"/>
              <w:spacing w:before="187" w:line="220" w:lineRule="auto"/>
              <w:ind w:left="87"/>
              <w:rPr>
                <w:sz w:val="17"/>
                <w:szCs w:val="17"/>
              </w:rPr>
            </w:pPr>
            <w:r>
              <w:rPr>
                <w:spacing w:val="-2"/>
                <w:sz w:val="17"/>
                <w:szCs w:val="17"/>
              </w:rPr>
              <w:t>生态环境</w:t>
            </w:r>
          </w:p>
          <w:p w14:paraId="5D55F439">
            <w:pPr>
              <w:pStyle w:val="6"/>
              <w:spacing w:before="26" w:line="219" w:lineRule="auto"/>
              <w:ind w:left="87"/>
              <w:rPr>
                <w:sz w:val="17"/>
                <w:szCs w:val="17"/>
              </w:rPr>
            </w:pPr>
            <w:r>
              <w:rPr>
                <w:spacing w:val="-2"/>
                <w:sz w:val="17"/>
                <w:szCs w:val="17"/>
              </w:rPr>
              <w:t>现状问题</w:t>
            </w:r>
          </w:p>
        </w:tc>
        <w:tc>
          <w:tcPr>
            <w:tcW w:w="919" w:type="dxa"/>
            <w:vMerge w:val="restart"/>
            <w:tcBorders>
              <w:bottom w:val="nil"/>
            </w:tcBorders>
            <w:vAlign w:val="top"/>
          </w:tcPr>
          <w:p w14:paraId="54A75D14">
            <w:pPr>
              <w:pStyle w:val="6"/>
              <w:spacing w:before="59" w:line="222" w:lineRule="auto"/>
              <w:ind w:left="118"/>
              <w:rPr>
                <w:sz w:val="17"/>
                <w:szCs w:val="17"/>
              </w:rPr>
            </w:pPr>
            <w:r>
              <w:rPr>
                <w:spacing w:val="-2"/>
                <w:sz w:val="17"/>
                <w:szCs w:val="17"/>
              </w:rPr>
              <w:t>主要生态</w:t>
            </w:r>
          </w:p>
          <w:p w14:paraId="0AB5F5EB">
            <w:pPr>
              <w:pStyle w:val="6"/>
              <w:spacing w:before="43" w:line="219" w:lineRule="auto"/>
              <w:ind w:left="118"/>
              <w:rPr>
                <w:sz w:val="17"/>
                <w:szCs w:val="17"/>
              </w:rPr>
            </w:pPr>
            <w:r>
              <w:rPr>
                <w:spacing w:val="-2"/>
                <w:sz w:val="17"/>
                <w:szCs w:val="17"/>
              </w:rPr>
              <w:t>系统服务</w:t>
            </w:r>
          </w:p>
          <w:p w14:paraId="1191987A">
            <w:pPr>
              <w:pStyle w:val="6"/>
              <w:spacing w:before="49" w:line="221" w:lineRule="auto"/>
              <w:ind w:left="288"/>
              <w:rPr>
                <w:sz w:val="17"/>
                <w:szCs w:val="17"/>
              </w:rPr>
            </w:pPr>
            <w:r>
              <w:rPr>
                <w:spacing w:val="-3"/>
                <w:sz w:val="17"/>
                <w:szCs w:val="17"/>
              </w:rPr>
              <w:t>功能</w:t>
            </w:r>
          </w:p>
        </w:tc>
        <w:tc>
          <w:tcPr>
            <w:tcW w:w="1499" w:type="dxa"/>
            <w:vMerge w:val="restart"/>
            <w:tcBorders>
              <w:bottom w:val="nil"/>
            </w:tcBorders>
            <w:vAlign w:val="top"/>
          </w:tcPr>
          <w:p w14:paraId="6E043B13">
            <w:pPr>
              <w:pStyle w:val="6"/>
              <w:spacing w:before="207" w:line="264" w:lineRule="auto"/>
              <w:ind w:left="569" w:right="67" w:hanging="330"/>
              <w:rPr>
                <w:sz w:val="17"/>
                <w:szCs w:val="17"/>
              </w:rPr>
            </w:pPr>
            <w:r>
              <w:rPr>
                <w:spacing w:val="-2"/>
                <w:sz w:val="17"/>
                <w:szCs w:val="17"/>
              </w:rPr>
              <w:t>保护措施与发展</w:t>
            </w:r>
            <w:r>
              <w:rPr>
                <w:spacing w:val="5"/>
                <w:sz w:val="17"/>
                <w:szCs w:val="17"/>
              </w:rPr>
              <w:t xml:space="preserve"> </w:t>
            </w:r>
            <w:r>
              <w:rPr>
                <w:spacing w:val="8"/>
                <w:sz w:val="17"/>
                <w:szCs w:val="17"/>
              </w:rPr>
              <w:t>方向</w:t>
            </w:r>
          </w:p>
        </w:tc>
        <w:tc>
          <w:tcPr>
            <w:tcW w:w="280" w:type="dxa"/>
            <w:vMerge w:val="continue"/>
            <w:tcBorders>
              <w:top w:val="nil"/>
              <w:bottom w:val="nil"/>
            </w:tcBorders>
            <w:vAlign w:val="top"/>
          </w:tcPr>
          <w:p w14:paraId="702D4FDE">
            <w:pPr>
              <w:rPr>
                <w:rFonts w:ascii="Arial"/>
                <w:sz w:val="21"/>
              </w:rPr>
            </w:pPr>
          </w:p>
        </w:tc>
      </w:tr>
      <w:tr w14:paraId="37B64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64" w:type="dxa"/>
            <w:vMerge w:val="continue"/>
            <w:tcBorders>
              <w:top w:val="nil"/>
            </w:tcBorders>
            <w:vAlign w:val="top"/>
          </w:tcPr>
          <w:p w14:paraId="15DC1D06">
            <w:pPr>
              <w:rPr>
                <w:rFonts w:ascii="Arial"/>
                <w:sz w:val="21"/>
              </w:rPr>
            </w:pPr>
          </w:p>
        </w:tc>
        <w:tc>
          <w:tcPr>
            <w:tcW w:w="799" w:type="dxa"/>
            <w:vAlign w:val="top"/>
          </w:tcPr>
          <w:p w14:paraId="63838CC2">
            <w:pPr>
              <w:pStyle w:val="6"/>
              <w:spacing w:before="40" w:line="219" w:lineRule="auto"/>
              <w:ind w:left="361" w:right="185" w:hanging="90"/>
              <w:rPr>
                <w:sz w:val="17"/>
                <w:szCs w:val="17"/>
              </w:rPr>
            </w:pPr>
            <w:r>
              <w:rPr>
                <w:spacing w:val="-4"/>
                <w:sz w:val="17"/>
                <w:szCs w:val="17"/>
              </w:rPr>
              <w:t>生态</w:t>
            </w:r>
            <w:r>
              <w:rPr>
                <w:sz w:val="17"/>
                <w:szCs w:val="17"/>
              </w:rPr>
              <w:t xml:space="preserve"> 区</w:t>
            </w:r>
          </w:p>
        </w:tc>
        <w:tc>
          <w:tcPr>
            <w:tcW w:w="859" w:type="dxa"/>
            <w:vAlign w:val="top"/>
          </w:tcPr>
          <w:p w14:paraId="0C97B0BA">
            <w:pPr>
              <w:pStyle w:val="6"/>
              <w:spacing w:before="31" w:line="224" w:lineRule="auto"/>
              <w:ind w:left="252" w:right="242"/>
              <w:rPr>
                <w:sz w:val="17"/>
                <w:szCs w:val="17"/>
              </w:rPr>
            </w:pPr>
            <w:r>
              <w:rPr>
                <w:spacing w:val="-4"/>
                <w:sz w:val="17"/>
                <w:szCs w:val="17"/>
              </w:rPr>
              <w:t>生态</w:t>
            </w:r>
            <w:r>
              <w:rPr>
                <w:sz w:val="17"/>
                <w:szCs w:val="17"/>
              </w:rPr>
              <w:t xml:space="preserve"> </w:t>
            </w:r>
            <w:r>
              <w:rPr>
                <w:spacing w:val="7"/>
                <w:sz w:val="17"/>
                <w:szCs w:val="17"/>
              </w:rPr>
              <w:t>亚区</w:t>
            </w:r>
          </w:p>
        </w:tc>
        <w:tc>
          <w:tcPr>
            <w:tcW w:w="779" w:type="dxa"/>
            <w:vAlign w:val="top"/>
          </w:tcPr>
          <w:p w14:paraId="3E2744B0">
            <w:pPr>
              <w:pStyle w:val="6"/>
              <w:spacing w:before="42" w:line="206" w:lineRule="auto"/>
              <w:ind w:left="123" w:right="121" w:firstLine="90"/>
              <w:rPr>
                <w:sz w:val="17"/>
                <w:szCs w:val="17"/>
              </w:rPr>
            </w:pPr>
            <w:r>
              <w:rPr>
                <w:spacing w:val="-4"/>
                <w:sz w:val="17"/>
                <w:szCs w:val="17"/>
              </w:rPr>
              <w:t>生态</w:t>
            </w:r>
            <w:r>
              <w:rPr>
                <w:sz w:val="17"/>
                <w:szCs w:val="17"/>
              </w:rPr>
              <w:t xml:space="preserve">  </w:t>
            </w:r>
            <w:r>
              <w:rPr>
                <w:spacing w:val="4"/>
                <w:sz w:val="17"/>
                <w:szCs w:val="17"/>
              </w:rPr>
              <w:t>功能区</w:t>
            </w:r>
          </w:p>
        </w:tc>
        <w:tc>
          <w:tcPr>
            <w:tcW w:w="1898" w:type="dxa"/>
            <w:vMerge w:val="continue"/>
            <w:tcBorders>
              <w:top w:val="nil"/>
            </w:tcBorders>
            <w:vAlign w:val="top"/>
          </w:tcPr>
          <w:p w14:paraId="0E78B2A9">
            <w:pPr>
              <w:rPr>
                <w:rFonts w:ascii="Arial"/>
                <w:sz w:val="21"/>
              </w:rPr>
            </w:pPr>
          </w:p>
        </w:tc>
        <w:tc>
          <w:tcPr>
            <w:tcW w:w="909" w:type="dxa"/>
            <w:vMerge w:val="continue"/>
            <w:tcBorders>
              <w:top w:val="nil"/>
            </w:tcBorders>
            <w:vAlign w:val="top"/>
          </w:tcPr>
          <w:p w14:paraId="1EE2E4DD">
            <w:pPr>
              <w:rPr>
                <w:rFonts w:ascii="Arial"/>
                <w:sz w:val="21"/>
              </w:rPr>
            </w:pPr>
          </w:p>
        </w:tc>
        <w:tc>
          <w:tcPr>
            <w:tcW w:w="869" w:type="dxa"/>
            <w:vMerge w:val="continue"/>
            <w:tcBorders>
              <w:top w:val="nil"/>
            </w:tcBorders>
            <w:vAlign w:val="top"/>
          </w:tcPr>
          <w:p w14:paraId="09207FD8">
            <w:pPr>
              <w:rPr>
                <w:rFonts w:ascii="Arial"/>
                <w:sz w:val="21"/>
              </w:rPr>
            </w:pPr>
          </w:p>
        </w:tc>
        <w:tc>
          <w:tcPr>
            <w:tcW w:w="919" w:type="dxa"/>
            <w:vMerge w:val="continue"/>
            <w:tcBorders>
              <w:top w:val="nil"/>
            </w:tcBorders>
            <w:vAlign w:val="top"/>
          </w:tcPr>
          <w:p w14:paraId="3E0EF7FA">
            <w:pPr>
              <w:rPr>
                <w:rFonts w:ascii="Arial"/>
                <w:sz w:val="21"/>
              </w:rPr>
            </w:pPr>
          </w:p>
        </w:tc>
        <w:tc>
          <w:tcPr>
            <w:tcW w:w="1499" w:type="dxa"/>
            <w:vMerge w:val="continue"/>
            <w:tcBorders>
              <w:top w:val="nil"/>
            </w:tcBorders>
            <w:vAlign w:val="top"/>
          </w:tcPr>
          <w:p w14:paraId="6239DDAF">
            <w:pPr>
              <w:rPr>
                <w:rFonts w:ascii="Arial"/>
                <w:sz w:val="21"/>
              </w:rPr>
            </w:pPr>
          </w:p>
        </w:tc>
        <w:tc>
          <w:tcPr>
            <w:tcW w:w="280" w:type="dxa"/>
            <w:vMerge w:val="continue"/>
            <w:tcBorders>
              <w:top w:val="nil"/>
            </w:tcBorders>
            <w:vAlign w:val="top"/>
          </w:tcPr>
          <w:p w14:paraId="01F6708E">
            <w:pPr>
              <w:rPr>
                <w:rFonts w:ascii="Arial"/>
                <w:sz w:val="21"/>
              </w:rPr>
            </w:pPr>
          </w:p>
        </w:tc>
      </w:tr>
    </w:tbl>
    <w:p w14:paraId="280D7D3A">
      <w:pPr>
        <w:pStyle w:val="2"/>
        <w:spacing w:line="219" w:lineRule="exact"/>
        <w:rPr>
          <w:sz w:val="19"/>
        </w:rPr>
      </w:pPr>
    </w:p>
    <w:p w14:paraId="4046743D">
      <w:pPr>
        <w:spacing w:line="219" w:lineRule="exact"/>
        <w:rPr>
          <w:sz w:val="19"/>
          <w:szCs w:val="19"/>
        </w:rPr>
        <w:sectPr>
          <w:footerReference r:id="rId88" w:type="default"/>
          <w:pgSz w:w="11910" w:h="16830"/>
          <w:pgMar w:top="400" w:right="1200" w:bottom="1245" w:left="1224" w:header="0" w:footer="1083" w:gutter="0"/>
          <w:cols w:space="720" w:num="1"/>
        </w:sectPr>
      </w:pPr>
    </w:p>
    <w:p w14:paraId="03A56187">
      <w:pPr>
        <w:spacing w:before="15"/>
      </w:pPr>
    </w:p>
    <w:p w14:paraId="1E5600A0">
      <w:pPr>
        <w:spacing w:before="15"/>
      </w:pPr>
    </w:p>
    <w:p w14:paraId="16141655">
      <w:pPr>
        <w:spacing w:before="15"/>
      </w:pPr>
    </w:p>
    <w:p w14:paraId="6ABA078E">
      <w:pPr>
        <w:spacing w:before="14"/>
      </w:pPr>
    </w:p>
    <w:tbl>
      <w:tblPr>
        <w:tblStyle w:val="5"/>
        <w:tblW w:w="95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50"/>
        <w:gridCol w:w="669"/>
        <w:gridCol w:w="869"/>
        <w:gridCol w:w="789"/>
        <w:gridCol w:w="646"/>
        <w:gridCol w:w="900"/>
        <w:gridCol w:w="342"/>
        <w:gridCol w:w="830"/>
        <w:gridCol w:w="89"/>
        <w:gridCol w:w="839"/>
        <w:gridCol w:w="240"/>
        <w:gridCol w:w="749"/>
        <w:gridCol w:w="1489"/>
        <w:gridCol w:w="241"/>
      </w:tblGrid>
      <w:tr w14:paraId="61688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3" w:hRule="atLeast"/>
        </w:trPr>
        <w:tc>
          <w:tcPr>
            <w:tcW w:w="664" w:type="dxa"/>
            <w:vMerge w:val="restart"/>
            <w:tcBorders>
              <w:bottom w:val="nil"/>
            </w:tcBorders>
            <w:vAlign w:val="top"/>
          </w:tcPr>
          <w:p w14:paraId="59EE3AEA">
            <w:pPr>
              <w:rPr>
                <w:rFonts w:ascii="Arial"/>
                <w:sz w:val="21"/>
              </w:rPr>
            </w:pPr>
          </w:p>
        </w:tc>
        <w:tc>
          <w:tcPr>
            <w:tcW w:w="150" w:type="dxa"/>
            <w:vMerge w:val="restart"/>
            <w:tcBorders>
              <w:bottom w:val="nil"/>
            </w:tcBorders>
            <w:vAlign w:val="top"/>
          </w:tcPr>
          <w:p w14:paraId="6E8C5CDA">
            <w:pPr>
              <w:rPr>
                <w:rFonts w:ascii="Arial"/>
                <w:sz w:val="21"/>
              </w:rPr>
            </w:pPr>
          </w:p>
        </w:tc>
        <w:tc>
          <w:tcPr>
            <w:tcW w:w="669" w:type="dxa"/>
            <w:vAlign w:val="top"/>
          </w:tcPr>
          <w:p w14:paraId="72651CC4">
            <w:pPr>
              <w:pStyle w:val="6"/>
              <w:spacing w:before="162" w:line="219" w:lineRule="auto"/>
              <w:ind w:left="50"/>
              <w:rPr>
                <w:sz w:val="18"/>
                <w:szCs w:val="18"/>
              </w:rPr>
            </w:pPr>
            <w:r>
              <w:rPr>
                <w:spacing w:val="4"/>
                <w:sz w:val="18"/>
                <w:szCs w:val="18"/>
              </w:rPr>
              <w:t>Ⅲ高原</w:t>
            </w:r>
          </w:p>
          <w:p w14:paraId="0DBF9009">
            <w:pPr>
              <w:pStyle w:val="6"/>
              <w:spacing w:before="26" w:line="219" w:lineRule="auto"/>
              <w:ind w:left="50"/>
              <w:rPr>
                <w:sz w:val="18"/>
                <w:szCs w:val="18"/>
              </w:rPr>
            </w:pPr>
            <w:r>
              <w:rPr>
                <w:spacing w:val="-2"/>
                <w:sz w:val="18"/>
                <w:szCs w:val="18"/>
              </w:rPr>
              <w:t>亚热带</w:t>
            </w:r>
          </w:p>
          <w:p w14:paraId="4BA16389">
            <w:pPr>
              <w:pStyle w:val="6"/>
              <w:spacing w:before="6" w:line="219" w:lineRule="auto"/>
              <w:ind w:left="50"/>
              <w:rPr>
                <w:sz w:val="18"/>
                <w:szCs w:val="18"/>
              </w:rPr>
            </w:pPr>
            <w:r>
              <w:rPr>
                <w:spacing w:val="-3"/>
                <w:sz w:val="18"/>
                <w:szCs w:val="18"/>
              </w:rPr>
              <w:t>北部常</w:t>
            </w:r>
          </w:p>
          <w:p w14:paraId="332A66FA">
            <w:pPr>
              <w:pStyle w:val="6"/>
              <w:spacing w:before="36" w:line="219" w:lineRule="auto"/>
              <w:ind w:left="50"/>
              <w:rPr>
                <w:sz w:val="18"/>
                <w:szCs w:val="18"/>
              </w:rPr>
            </w:pPr>
            <w:r>
              <w:rPr>
                <w:spacing w:val="-2"/>
                <w:sz w:val="18"/>
                <w:szCs w:val="18"/>
              </w:rPr>
              <w:t>绿阔叶</w:t>
            </w:r>
          </w:p>
          <w:p w14:paraId="310D82B4">
            <w:pPr>
              <w:pStyle w:val="6"/>
              <w:spacing w:before="36" w:line="219" w:lineRule="auto"/>
              <w:ind w:left="50"/>
              <w:rPr>
                <w:sz w:val="18"/>
                <w:szCs w:val="18"/>
              </w:rPr>
            </w:pPr>
            <w:r>
              <w:rPr>
                <w:spacing w:val="-2"/>
                <w:sz w:val="18"/>
                <w:szCs w:val="18"/>
              </w:rPr>
              <w:t>林生态</w:t>
            </w:r>
          </w:p>
          <w:p w14:paraId="6DADC392">
            <w:pPr>
              <w:pStyle w:val="6"/>
              <w:spacing w:before="22" w:line="224" w:lineRule="auto"/>
              <w:ind w:left="230"/>
              <w:rPr>
                <w:sz w:val="18"/>
                <w:szCs w:val="18"/>
              </w:rPr>
            </w:pPr>
            <w:r>
              <w:rPr>
                <w:sz w:val="18"/>
                <w:szCs w:val="18"/>
              </w:rPr>
              <w:t>区</w:t>
            </w:r>
          </w:p>
        </w:tc>
        <w:tc>
          <w:tcPr>
            <w:tcW w:w="869" w:type="dxa"/>
            <w:vAlign w:val="top"/>
          </w:tcPr>
          <w:p w14:paraId="59DB9817">
            <w:pPr>
              <w:pStyle w:val="6"/>
              <w:spacing w:before="42" w:line="238" w:lineRule="auto"/>
              <w:ind w:left="61" w:right="88" w:firstLine="50"/>
              <w:rPr>
                <w:sz w:val="18"/>
                <w:szCs w:val="18"/>
              </w:rPr>
            </w:pPr>
            <w:r>
              <w:rPr>
                <w:spacing w:val="4"/>
                <w:sz w:val="18"/>
                <w:szCs w:val="18"/>
              </w:rPr>
              <w:t>Ⅲ1滇中</w:t>
            </w:r>
            <w:r>
              <w:rPr>
                <w:spacing w:val="2"/>
                <w:sz w:val="18"/>
                <w:szCs w:val="18"/>
              </w:rPr>
              <w:t xml:space="preserve"> </w:t>
            </w:r>
            <w:r>
              <w:rPr>
                <w:spacing w:val="-3"/>
                <w:sz w:val="18"/>
                <w:szCs w:val="18"/>
              </w:rPr>
              <w:t>高原谷盆</w:t>
            </w:r>
          </w:p>
          <w:p w14:paraId="51DF176B">
            <w:pPr>
              <w:pStyle w:val="6"/>
              <w:spacing w:before="26" w:line="220" w:lineRule="auto"/>
              <w:ind w:left="61"/>
              <w:rPr>
                <w:sz w:val="18"/>
                <w:szCs w:val="18"/>
              </w:rPr>
            </w:pPr>
            <w:r>
              <w:rPr>
                <w:spacing w:val="-2"/>
                <w:sz w:val="18"/>
                <w:szCs w:val="18"/>
              </w:rPr>
              <w:t>半湿润常</w:t>
            </w:r>
          </w:p>
          <w:p w14:paraId="58B17C49">
            <w:pPr>
              <w:pStyle w:val="6"/>
              <w:spacing w:before="25" w:line="219" w:lineRule="auto"/>
              <w:ind w:left="152"/>
              <w:rPr>
                <w:sz w:val="18"/>
                <w:szCs w:val="18"/>
              </w:rPr>
            </w:pPr>
            <w:r>
              <w:rPr>
                <w:spacing w:val="-2"/>
                <w:sz w:val="18"/>
                <w:szCs w:val="18"/>
              </w:rPr>
              <w:t>绿阔叶</w:t>
            </w:r>
          </w:p>
          <w:p w14:paraId="0BCAAAC5">
            <w:pPr>
              <w:pStyle w:val="6"/>
              <w:spacing w:before="16" w:line="219" w:lineRule="auto"/>
              <w:ind w:left="61"/>
              <w:rPr>
                <w:sz w:val="18"/>
                <w:szCs w:val="18"/>
              </w:rPr>
            </w:pPr>
            <w:r>
              <w:rPr>
                <w:spacing w:val="-2"/>
                <w:sz w:val="18"/>
                <w:szCs w:val="18"/>
              </w:rPr>
              <w:t>林、暖性</w:t>
            </w:r>
          </w:p>
          <w:p w14:paraId="260BB907">
            <w:pPr>
              <w:pStyle w:val="6"/>
              <w:spacing w:before="46" w:line="221" w:lineRule="auto"/>
              <w:ind w:left="151" w:right="84" w:hanging="90"/>
              <w:rPr>
                <w:sz w:val="18"/>
                <w:szCs w:val="18"/>
              </w:rPr>
            </w:pPr>
            <w:r>
              <w:rPr>
                <w:spacing w:val="-2"/>
                <w:sz w:val="18"/>
                <w:szCs w:val="18"/>
              </w:rPr>
              <w:t>针叶林生</w:t>
            </w:r>
            <w:r>
              <w:rPr>
                <w:sz w:val="18"/>
                <w:szCs w:val="18"/>
              </w:rPr>
              <w:t xml:space="preserve"> </w:t>
            </w:r>
            <w:r>
              <w:rPr>
                <w:spacing w:val="5"/>
                <w:sz w:val="18"/>
                <w:szCs w:val="18"/>
              </w:rPr>
              <w:t>态亚区</w:t>
            </w:r>
          </w:p>
        </w:tc>
        <w:tc>
          <w:tcPr>
            <w:tcW w:w="789" w:type="dxa"/>
            <w:vAlign w:val="top"/>
          </w:tcPr>
          <w:p w14:paraId="75789D69">
            <w:pPr>
              <w:pStyle w:val="6"/>
              <w:spacing w:before="57" w:line="220" w:lineRule="auto"/>
              <w:ind w:left="112"/>
              <w:rPr>
                <w:sz w:val="18"/>
                <w:szCs w:val="18"/>
              </w:rPr>
            </w:pPr>
            <w:r>
              <w:rPr>
                <w:spacing w:val="-2"/>
                <w:sz w:val="18"/>
                <w:szCs w:val="18"/>
              </w:rPr>
              <w:t>Ⅲ1-11</w:t>
            </w:r>
          </w:p>
          <w:p w14:paraId="32ABE138">
            <w:pPr>
              <w:pStyle w:val="6"/>
              <w:spacing w:line="218" w:lineRule="auto"/>
              <w:ind w:left="22"/>
              <w:rPr>
                <w:sz w:val="18"/>
                <w:szCs w:val="18"/>
              </w:rPr>
            </w:pPr>
            <w:r>
              <w:rPr>
                <w:spacing w:val="2"/>
                <w:sz w:val="18"/>
                <w:szCs w:val="18"/>
              </w:rPr>
              <w:t>曲靖、陆</w:t>
            </w:r>
          </w:p>
          <w:p w14:paraId="6CA9B0C6">
            <w:pPr>
              <w:pStyle w:val="6"/>
              <w:spacing w:before="50" w:line="222" w:lineRule="auto"/>
              <w:ind w:left="112"/>
              <w:rPr>
                <w:sz w:val="18"/>
                <w:szCs w:val="18"/>
              </w:rPr>
            </w:pPr>
            <w:r>
              <w:rPr>
                <w:spacing w:val="4"/>
                <w:sz w:val="18"/>
                <w:szCs w:val="18"/>
              </w:rPr>
              <w:t>良山原</w:t>
            </w:r>
          </w:p>
          <w:p w14:paraId="11F2D8E7">
            <w:pPr>
              <w:pStyle w:val="6"/>
              <w:spacing w:before="20" w:line="219" w:lineRule="auto"/>
              <w:ind w:left="112"/>
              <w:rPr>
                <w:sz w:val="18"/>
                <w:szCs w:val="18"/>
              </w:rPr>
            </w:pPr>
            <w:r>
              <w:rPr>
                <w:spacing w:val="-2"/>
                <w:sz w:val="18"/>
                <w:szCs w:val="18"/>
              </w:rPr>
              <w:t>盆地城</w:t>
            </w:r>
          </w:p>
          <w:p w14:paraId="5067AAB3">
            <w:pPr>
              <w:pStyle w:val="6"/>
              <w:spacing w:before="16" w:line="219" w:lineRule="auto"/>
              <w:ind w:left="112"/>
              <w:rPr>
                <w:sz w:val="18"/>
                <w:szCs w:val="18"/>
              </w:rPr>
            </w:pPr>
            <w:r>
              <w:rPr>
                <w:spacing w:val="-2"/>
                <w:sz w:val="18"/>
                <w:szCs w:val="18"/>
              </w:rPr>
              <w:t>镇与农</w:t>
            </w:r>
          </w:p>
          <w:p w14:paraId="6151309A">
            <w:pPr>
              <w:pStyle w:val="6"/>
              <w:spacing w:before="41" w:line="224" w:lineRule="auto"/>
              <w:ind w:left="112"/>
              <w:rPr>
                <w:sz w:val="18"/>
                <w:szCs w:val="18"/>
              </w:rPr>
            </w:pPr>
            <w:r>
              <w:rPr>
                <w:spacing w:val="-2"/>
                <w:sz w:val="18"/>
                <w:szCs w:val="18"/>
              </w:rPr>
              <w:t>业生态</w:t>
            </w:r>
          </w:p>
          <w:p w14:paraId="1C7DE456">
            <w:pPr>
              <w:pStyle w:val="6"/>
              <w:spacing w:before="8" w:line="215" w:lineRule="auto"/>
              <w:ind w:left="112"/>
              <w:rPr>
                <w:sz w:val="18"/>
                <w:szCs w:val="18"/>
              </w:rPr>
            </w:pPr>
            <w:r>
              <w:rPr>
                <w:spacing w:val="5"/>
                <w:sz w:val="18"/>
                <w:szCs w:val="18"/>
              </w:rPr>
              <w:t>功能区</w:t>
            </w:r>
          </w:p>
        </w:tc>
        <w:tc>
          <w:tcPr>
            <w:tcW w:w="1888" w:type="dxa"/>
            <w:gridSpan w:val="3"/>
            <w:vAlign w:val="top"/>
          </w:tcPr>
          <w:p w14:paraId="5703E8C9">
            <w:pPr>
              <w:pStyle w:val="6"/>
              <w:spacing w:before="161" w:line="219" w:lineRule="auto"/>
              <w:ind w:left="3"/>
              <w:rPr>
                <w:sz w:val="18"/>
                <w:szCs w:val="18"/>
              </w:rPr>
            </w:pPr>
            <w:r>
              <w:rPr>
                <w:spacing w:val="1"/>
                <w:sz w:val="18"/>
                <w:szCs w:val="18"/>
              </w:rPr>
              <w:t>以石灰岩盆地地貌为</w:t>
            </w:r>
          </w:p>
          <w:p w14:paraId="3A082824">
            <w:pPr>
              <w:pStyle w:val="6"/>
              <w:spacing w:before="37" w:line="219" w:lineRule="auto"/>
              <w:ind w:left="3"/>
              <w:rPr>
                <w:sz w:val="18"/>
                <w:szCs w:val="18"/>
              </w:rPr>
            </w:pPr>
            <w:r>
              <w:rPr>
                <w:spacing w:val="-1"/>
                <w:sz w:val="18"/>
                <w:szCs w:val="18"/>
              </w:rPr>
              <w:t>主，降雨量900-1000</w:t>
            </w:r>
          </w:p>
          <w:p w14:paraId="718A111E">
            <w:pPr>
              <w:pStyle w:val="6"/>
              <w:spacing w:before="17" w:line="251" w:lineRule="auto"/>
              <w:ind w:left="3" w:right="51" w:firstLine="30"/>
              <w:rPr>
                <w:sz w:val="18"/>
                <w:szCs w:val="18"/>
              </w:rPr>
            </w:pPr>
            <w:r>
              <w:rPr>
                <w:spacing w:val="-1"/>
                <w:sz w:val="18"/>
                <w:szCs w:val="18"/>
              </w:rPr>
              <w:t>毫米。地带性植被为半</w:t>
            </w:r>
            <w:r>
              <w:rPr>
                <w:sz w:val="18"/>
                <w:szCs w:val="18"/>
              </w:rPr>
              <w:t xml:space="preserve"> </w:t>
            </w:r>
            <w:r>
              <w:rPr>
                <w:spacing w:val="2"/>
                <w:sz w:val="18"/>
                <w:szCs w:val="18"/>
              </w:rPr>
              <w:t>湿润常绿阔叶，现存植</w:t>
            </w:r>
            <w:r>
              <w:rPr>
                <w:spacing w:val="1"/>
                <w:sz w:val="18"/>
                <w:szCs w:val="18"/>
              </w:rPr>
              <w:t xml:space="preserve"> </w:t>
            </w:r>
            <w:r>
              <w:rPr>
                <w:sz w:val="18"/>
                <w:szCs w:val="18"/>
              </w:rPr>
              <w:t>被主要为云南松林，土</w:t>
            </w:r>
            <w:r>
              <w:rPr>
                <w:spacing w:val="1"/>
                <w:sz w:val="18"/>
                <w:szCs w:val="18"/>
              </w:rPr>
              <w:t xml:space="preserve"> </w:t>
            </w:r>
            <w:r>
              <w:rPr>
                <w:spacing w:val="-1"/>
                <w:sz w:val="18"/>
                <w:szCs w:val="18"/>
              </w:rPr>
              <w:t>壤以红壤为主</w:t>
            </w:r>
          </w:p>
        </w:tc>
        <w:tc>
          <w:tcPr>
            <w:tcW w:w="919" w:type="dxa"/>
            <w:gridSpan w:val="2"/>
            <w:vAlign w:val="top"/>
          </w:tcPr>
          <w:p w14:paraId="18237161">
            <w:pPr>
              <w:spacing w:line="342" w:lineRule="auto"/>
              <w:rPr>
                <w:rFonts w:ascii="Arial"/>
                <w:sz w:val="21"/>
              </w:rPr>
            </w:pPr>
          </w:p>
          <w:p w14:paraId="6D5621A0">
            <w:pPr>
              <w:pStyle w:val="6"/>
              <w:spacing w:before="59" w:line="221" w:lineRule="auto"/>
              <w:ind w:left="95"/>
              <w:rPr>
                <w:sz w:val="18"/>
                <w:szCs w:val="18"/>
              </w:rPr>
            </w:pPr>
            <w:r>
              <w:rPr>
                <w:spacing w:val="5"/>
                <w:sz w:val="18"/>
                <w:szCs w:val="18"/>
              </w:rPr>
              <w:t>土地利用</w:t>
            </w:r>
          </w:p>
          <w:p w14:paraId="5E5D09D5">
            <w:pPr>
              <w:pStyle w:val="6"/>
              <w:spacing w:before="25" w:line="221" w:lineRule="auto"/>
              <w:ind w:left="95"/>
              <w:rPr>
                <w:sz w:val="18"/>
                <w:szCs w:val="18"/>
              </w:rPr>
            </w:pPr>
            <w:r>
              <w:rPr>
                <w:spacing w:val="2"/>
                <w:sz w:val="18"/>
                <w:szCs w:val="18"/>
              </w:rPr>
              <w:t>不合理导</w:t>
            </w:r>
          </w:p>
          <w:p w14:paraId="163BC2E3">
            <w:pPr>
              <w:pStyle w:val="6"/>
              <w:spacing w:before="32" w:line="220" w:lineRule="auto"/>
              <w:ind w:left="95"/>
              <w:rPr>
                <w:sz w:val="18"/>
                <w:szCs w:val="18"/>
              </w:rPr>
            </w:pPr>
            <w:r>
              <w:rPr>
                <w:spacing w:val="-2"/>
                <w:sz w:val="18"/>
                <w:szCs w:val="18"/>
              </w:rPr>
              <w:t>致土地石</w:t>
            </w:r>
          </w:p>
          <w:p w14:paraId="0FF34E24">
            <w:pPr>
              <w:pStyle w:val="6"/>
              <w:spacing w:before="45" w:line="220" w:lineRule="auto"/>
              <w:ind w:left="275"/>
              <w:rPr>
                <w:sz w:val="18"/>
                <w:szCs w:val="18"/>
              </w:rPr>
            </w:pPr>
            <w:r>
              <w:rPr>
                <w:spacing w:val="-2"/>
                <w:sz w:val="18"/>
                <w:szCs w:val="18"/>
              </w:rPr>
              <w:t>漠化</w:t>
            </w:r>
          </w:p>
        </w:tc>
        <w:tc>
          <w:tcPr>
            <w:tcW w:w="839" w:type="dxa"/>
            <w:vAlign w:val="top"/>
          </w:tcPr>
          <w:p w14:paraId="12E7A176">
            <w:pPr>
              <w:spacing w:line="290" w:lineRule="auto"/>
              <w:rPr>
                <w:rFonts w:ascii="Arial"/>
                <w:sz w:val="21"/>
              </w:rPr>
            </w:pPr>
          </w:p>
          <w:p w14:paraId="7E3F4B48">
            <w:pPr>
              <w:spacing w:line="290" w:lineRule="auto"/>
              <w:rPr>
                <w:rFonts w:ascii="Arial"/>
                <w:sz w:val="21"/>
              </w:rPr>
            </w:pPr>
          </w:p>
          <w:p w14:paraId="61F23FA5">
            <w:pPr>
              <w:pStyle w:val="6"/>
              <w:spacing w:before="58" w:line="219" w:lineRule="auto"/>
              <w:ind w:left="56"/>
              <w:rPr>
                <w:sz w:val="18"/>
                <w:szCs w:val="18"/>
              </w:rPr>
            </w:pPr>
            <w:r>
              <w:rPr>
                <w:spacing w:val="-2"/>
                <w:sz w:val="18"/>
                <w:szCs w:val="18"/>
              </w:rPr>
              <w:t>石漠化高</w:t>
            </w:r>
          </w:p>
          <w:p w14:paraId="0863AD10">
            <w:pPr>
              <w:pStyle w:val="6"/>
              <w:spacing w:before="36" w:line="219" w:lineRule="auto"/>
              <w:ind w:left="56"/>
              <w:rPr>
                <w:sz w:val="18"/>
                <w:szCs w:val="18"/>
              </w:rPr>
            </w:pPr>
            <w:r>
              <w:rPr>
                <w:spacing w:val="2"/>
                <w:sz w:val="18"/>
                <w:szCs w:val="18"/>
              </w:rPr>
              <w:t>中度敏感</w:t>
            </w:r>
          </w:p>
        </w:tc>
        <w:tc>
          <w:tcPr>
            <w:tcW w:w="989" w:type="dxa"/>
            <w:gridSpan w:val="2"/>
            <w:vAlign w:val="top"/>
          </w:tcPr>
          <w:p w14:paraId="73D95C73">
            <w:pPr>
              <w:pStyle w:val="6"/>
              <w:spacing w:before="42" w:line="220" w:lineRule="auto"/>
              <w:ind w:left="7"/>
              <w:rPr>
                <w:sz w:val="18"/>
                <w:szCs w:val="18"/>
              </w:rPr>
            </w:pPr>
            <w:r>
              <w:rPr>
                <w:spacing w:val="1"/>
                <w:sz w:val="18"/>
                <w:szCs w:val="18"/>
              </w:rPr>
              <w:t>以岩溶地</w:t>
            </w:r>
          </w:p>
          <w:p w14:paraId="0B587DDE">
            <w:pPr>
              <w:pStyle w:val="6"/>
              <w:spacing w:before="14" w:line="243" w:lineRule="auto"/>
              <w:ind w:left="7" w:right="237"/>
              <w:jc w:val="both"/>
              <w:rPr>
                <w:sz w:val="18"/>
                <w:szCs w:val="18"/>
              </w:rPr>
            </w:pPr>
            <w:r>
              <w:rPr>
                <w:spacing w:val="3"/>
                <w:sz w:val="18"/>
                <w:szCs w:val="18"/>
              </w:rPr>
              <w:t>貌为主的</w:t>
            </w:r>
            <w:r>
              <w:rPr>
                <w:spacing w:val="1"/>
                <w:sz w:val="18"/>
                <w:szCs w:val="18"/>
              </w:rPr>
              <w:t xml:space="preserve"> </w:t>
            </w:r>
            <w:r>
              <w:rPr>
                <w:spacing w:val="-3"/>
                <w:sz w:val="18"/>
                <w:szCs w:val="18"/>
              </w:rPr>
              <w:t>生态旅游</w:t>
            </w:r>
            <w:r>
              <w:rPr>
                <w:spacing w:val="2"/>
                <w:sz w:val="18"/>
                <w:szCs w:val="18"/>
              </w:rPr>
              <w:t xml:space="preserve"> </w:t>
            </w:r>
            <w:r>
              <w:rPr>
                <w:spacing w:val="-2"/>
                <w:sz w:val="18"/>
                <w:szCs w:val="18"/>
              </w:rPr>
              <w:t>和以粮食</w:t>
            </w:r>
            <w:r>
              <w:rPr>
                <w:sz w:val="18"/>
                <w:szCs w:val="18"/>
              </w:rPr>
              <w:t xml:space="preserve"> </w:t>
            </w:r>
            <w:r>
              <w:rPr>
                <w:spacing w:val="-3"/>
                <w:sz w:val="18"/>
                <w:szCs w:val="18"/>
              </w:rPr>
              <w:t>生产为主</w:t>
            </w:r>
            <w:r>
              <w:rPr>
                <w:spacing w:val="2"/>
                <w:sz w:val="18"/>
                <w:szCs w:val="18"/>
              </w:rPr>
              <w:t xml:space="preserve"> 的生态农</w:t>
            </w:r>
            <w:r>
              <w:rPr>
                <w:spacing w:val="1"/>
                <w:sz w:val="18"/>
                <w:szCs w:val="18"/>
              </w:rPr>
              <w:t xml:space="preserve"> </w:t>
            </w:r>
            <w:r>
              <w:rPr>
                <w:sz w:val="18"/>
                <w:szCs w:val="18"/>
              </w:rPr>
              <w:t>业</w:t>
            </w:r>
          </w:p>
        </w:tc>
        <w:tc>
          <w:tcPr>
            <w:tcW w:w="1489" w:type="dxa"/>
            <w:vAlign w:val="top"/>
          </w:tcPr>
          <w:p w14:paraId="1568ABF3">
            <w:pPr>
              <w:pStyle w:val="6"/>
              <w:spacing w:before="44" w:line="250" w:lineRule="auto"/>
              <w:ind w:left="18" w:right="27"/>
              <w:rPr>
                <w:sz w:val="18"/>
                <w:szCs w:val="18"/>
              </w:rPr>
            </w:pPr>
            <w:r>
              <w:rPr>
                <w:spacing w:val="-1"/>
                <w:sz w:val="18"/>
                <w:szCs w:val="18"/>
              </w:rPr>
              <w:t>开展生态旅游，合</w:t>
            </w:r>
            <w:r>
              <w:rPr>
                <w:sz w:val="18"/>
                <w:szCs w:val="18"/>
              </w:rPr>
              <w:t xml:space="preserve"> </w:t>
            </w:r>
            <w:r>
              <w:rPr>
                <w:spacing w:val="-2"/>
                <w:sz w:val="18"/>
                <w:szCs w:val="18"/>
              </w:rPr>
              <w:t>理利用土地，推行</w:t>
            </w:r>
            <w:r>
              <w:rPr>
                <w:spacing w:val="5"/>
                <w:sz w:val="18"/>
                <w:szCs w:val="18"/>
              </w:rPr>
              <w:t xml:space="preserve"> </w:t>
            </w:r>
            <w:r>
              <w:rPr>
                <w:spacing w:val="-1"/>
                <w:sz w:val="18"/>
                <w:szCs w:val="18"/>
              </w:rPr>
              <w:t>清洁生产，改善森</w:t>
            </w:r>
            <w:r>
              <w:rPr>
                <w:sz w:val="18"/>
                <w:szCs w:val="18"/>
              </w:rPr>
              <w:t xml:space="preserve"> </w:t>
            </w:r>
            <w:r>
              <w:rPr>
                <w:spacing w:val="-1"/>
                <w:sz w:val="18"/>
                <w:szCs w:val="18"/>
              </w:rPr>
              <w:t>林的数量，保护岩</w:t>
            </w:r>
            <w:r>
              <w:rPr>
                <w:sz w:val="18"/>
                <w:szCs w:val="18"/>
              </w:rPr>
              <w:t xml:space="preserve"> </w:t>
            </w:r>
            <w:r>
              <w:rPr>
                <w:spacing w:val="-2"/>
                <w:sz w:val="18"/>
                <w:szCs w:val="18"/>
              </w:rPr>
              <w:t>溶地貌环境和农</w:t>
            </w:r>
          </w:p>
          <w:p w14:paraId="3B1E94B1">
            <w:pPr>
              <w:pStyle w:val="6"/>
              <w:spacing w:before="1" w:line="220" w:lineRule="auto"/>
              <w:ind w:left="18" w:right="11"/>
              <w:rPr>
                <w:sz w:val="18"/>
                <w:szCs w:val="18"/>
              </w:rPr>
            </w:pPr>
            <w:r>
              <w:rPr>
                <w:spacing w:val="1"/>
                <w:sz w:val="18"/>
                <w:szCs w:val="18"/>
              </w:rPr>
              <w:t>田生态环境，防止</w:t>
            </w:r>
            <w:r>
              <w:rPr>
                <w:sz w:val="18"/>
                <w:szCs w:val="18"/>
              </w:rPr>
              <w:t xml:space="preserve"> </w:t>
            </w:r>
            <w:r>
              <w:rPr>
                <w:spacing w:val="-2"/>
                <w:sz w:val="18"/>
                <w:szCs w:val="18"/>
              </w:rPr>
              <w:t>石漠化</w:t>
            </w:r>
          </w:p>
        </w:tc>
        <w:tc>
          <w:tcPr>
            <w:tcW w:w="241" w:type="dxa"/>
            <w:vMerge w:val="restart"/>
            <w:tcBorders>
              <w:bottom w:val="nil"/>
            </w:tcBorders>
            <w:vAlign w:val="top"/>
          </w:tcPr>
          <w:p w14:paraId="6406DD27">
            <w:pPr>
              <w:rPr>
                <w:rFonts w:ascii="Arial"/>
                <w:sz w:val="21"/>
              </w:rPr>
            </w:pPr>
          </w:p>
        </w:tc>
      </w:tr>
      <w:tr w14:paraId="4770E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1" w:hRule="atLeast"/>
        </w:trPr>
        <w:tc>
          <w:tcPr>
            <w:tcW w:w="664" w:type="dxa"/>
            <w:vMerge w:val="continue"/>
            <w:tcBorders>
              <w:top w:val="nil"/>
              <w:bottom w:val="nil"/>
            </w:tcBorders>
            <w:vAlign w:val="top"/>
          </w:tcPr>
          <w:p w14:paraId="47D351A1">
            <w:pPr>
              <w:rPr>
                <w:rFonts w:ascii="Arial"/>
                <w:sz w:val="21"/>
              </w:rPr>
            </w:pPr>
          </w:p>
        </w:tc>
        <w:tc>
          <w:tcPr>
            <w:tcW w:w="150" w:type="dxa"/>
            <w:vMerge w:val="continue"/>
            <w:tcBorders>
              <w:top w:val="nil"/>
              <w:bottom w:val="nil"/>
            </w:tcBorders>
            <w:vAlign w:val="top"/>
          </w:tcPr>
          <w:p w14:paraId="5F918C58">
            <w:pPr>
              <w:rPr>
                <w:rFonts w:ascii="Arial"/>
                <w:sz w:val="21"/>
              </w:rPr>
            </w:pPr>
          </w:p>
        </w:tc>
        <w:tc>
          <w:tcPr>
            <w:tcW w:w="6213" w:type="dxa"/>
            <w:gridSpan w:val="10"/>
            <w:tcBorders>
              <w:bottom w:val="nil"/>
            </w:tcBorders>
            <w:vAlign w:val="top"/>
          </w:tcPr>
          <w:p w14:paraId="2D5AFA8E">
            <w:pPr>
              <w:pStyle w:val="6"/>
              <w:spacing w:before="249" w:line="219" w:lineRule="auto"/>
              <w:ind w:left="1705"/>
              <w:rPr>
                <w:sz w:val="29"/>
                <w:szCs w:val="29"/>
              </w:rPr>
            </w:pPr>
            <w:r>
              <w:drawing>
                <wp:anchor distT="0" distB="0" distL="0" distR="0" simplePos="0" relativeHeight="251686912" behindDoc="1" locked="0" layoutInCell="1" allowOverlap="1">
                  <wp:simplePos x="0" y="0"/>
                  <wp:positionH relativeFrom="column">
                    <wp:posOffset>114300</wp:posOffset>
                  </wp:positionH>
                  <wp:positionV relativeFrom="paragraph">
                    <wp:posOffset>109220</wp:posOffset>
                  </wp:positionV>
                  <wp:extent cx="3778250" cy="367030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292"/>
                          <a:stretch>
                            <a:fillRect/>
                          </a:stretch>
                        </pic:blipFill>
                        <pic:spPr>
                          <a:xfrm>
                            <a:off x="0" y="0"/>
                            <a:ext cx="3778248" cy="3670254"/>
                          </a:xfrm>
                          <a:prstGeom prst="rect">
                            <a:avLst/>
                          </a:prstGeom>
                        </pic:spPr>
                      </pic:pic>
                    </a:graphicData>
                  </a:graphic>
                </wp:anchor>
              </w:drawing>
            </w:r>
            <w:r>
              <w:rPr>
                <w:b/>
                <w:bCs/>
                <w:spacing w:val="-2"/>
                <w:sz w:val="29"/>
                <w:szCs w:val="29"/>
              </w:rPr>
              <w:t>云南省生态功能类型区</w:t>
            </w:r>
          </w:p>
          <w:p w14:paraId="72C36E9D">
            <w:pPr>
              <w:spacing w:line="276" w:lineRule="auto"/>
              <w:rPr>
                <w:rFonts w:ascii="Arial"/>
                <w:sz w:val="21"/>
              </w:rPr>
            </w:pPr>
          </w:p>
          <w:p w14:paraId="76489634">
            <w:pPr>
              <w:spacing w:line="277" w:lineRule="auto"/>
              <w:rPr>
                <w:rFonts w:ascii="Arial"/>
                <w:sz w:val="21"/>
              </w:rPr>
            </w:pPr>
          </w:p>
          <w:p w14:paraId="37E1C772">
            <w:pPr>
              <w:spacing w:line="277" w:lineRule="auto"/>
              <w:rPr>
                <w:rFonts w:ascii="Arial"/>
                <w:sz w:val="21"/>
              </w:rPr>
            </w:pPr>
          </w:p>
          <w:p w14:paraId="3DEE95A6">
            <w:pPr>
              <w:spacing w:line="277" w:lineRule="auto"/>
              <w:rPr>
                <w:rFonts w:ascii="Arial"/>
                <w:sz w:val="21"/>
              </w:rPr>
            </w:pPr>
          </w:p>
          <w:p w14:paraId="4F15A399">
            <w:pPr>
              <w:pStyle w:val="6"/>
              <w:spacing w:before="55" w:line="182" w:lineRule="auto"/>
              <w:ind w:left="3990"/>
              <w:rPr>
                <w:sz w:val="17"/>
                <w:szCs w:val="17"/>
              </w:rPr>
            </w:pPr>
            <w:r>
              <w:rPr>
                <w:color w:val="C08020"/>
                <w:sz w:val="17"/>
                <w:szCs w:val="17"/>
              </w:rPr>
              <w:t>M</w:t>
            </w:r>
          </w:p>
          <w:p w14:paraId="3E63B025">
            <w:pPr>
              <w:pStyle w:val="6"/>
              <w:spacing w:before="53" w:line="235" w:lineRule="auto"/>
              <w:ind w:left="2420"/>
              <w:rPr>
                <w:sz w:val="10"/>
                <w:szCs w:val="10"/>
              </w:rPr>
            </w:pPr>
            <w:r>
              <w:rPr>
                <w:spacing w:val="-1"/>
                <w:sz w:val="10"/>
                <w:szCs w:val="10"/>
              </w:rPr>
              <w:t>Ⅲ2-1</w:t>
            </w:r>
          </w:p>
        </w:tc>
        <w:tc>
          <w:tcPr>
            <w:tcW w:w="2238" w:type="dxa"/>
            <w:gridSpan w:val="2"/>
            <w:vMerge w:val="restart"/>
            <w:tcBorders>
              <w:bottom w:val="nil"/>
            </w:tcBorders>
            <w:vAlign w:val="top"/>
          </w:tcPr>
          <w:p w14:paraId="64870D1B">
            <w:pPr>
              <w:spacing w:line="263" w:lineRule="auto"/>
              <w:rPr>
                <w:rFonts w:ascii="Arial"/>
                <w:sz w:val="21"/>
              </w:rPr>
            </w:pPr>
          </w:p>
          <w:p w14:paraId="00C2F22E">
            <w:pPr>
              <w:spacing w:line="263" w:lineRule="auto"/>
              <w:rPr>
                <w:rFonts w:ascii="Arial"/>
                <w:sz w:val="21"/>
              </w:rPr>
            </w:pPr>
          </w:p>
          <w:p w14:paraId="565880EB">
            <w:pPr>
              <w:spacing w:line="264" w:lineRule="auto"/>
              <w:rPr>
                <w:rFonts w:ascii="Arial"/>
                <w:sz w:val="21"/>
              </w:rPr>
            </w:pPr>
          </w:p>
          <w:p w14:paraId="49C0F0A8">
            <w:pPr>
              <w:spacing w:line="264" w:lineRule="auto"/>
              <w:rPr>
                <w:rFonts w:ascii="Arial"/>
                <w:sz w:val="21"/>
              </w:rPr>
            </w:pPr>
          </w:p>
          <w:p w14:paraId="2398429F">
            <w:pPr>
              <w:pStyle w:val="6"/>
              <w:spacing w:before="36" w:line="219" w:lineRule="auto"/>
              <w:ind w:left="207"/>
              <w:rPr>
                <w:sz w:val="11"/>
                <w:szCs w:val="11"/>
              </w:rPr>
            </w:pPr>
            <w:r>
              <w:drawing>
                <wp:anchor distT="0" distB="0" distL="0" distR="0" simplePos="0" relativeHeight="251685888" behindDoc="1" locked="0" layoutInCell="1" allowOverlap="1">
                  <wp:simplePos x="0" y="0"/>
                  <wp:positionH relativeFrom="column">
                    <wp:posOffset>86995</wp:posOffset>
                  </wp:positionH>
                  <wp:positionV relativeFrom="paragraph">
                    <wp:posOffset>-627380</wp:posOffset>
                  </wp:positionV>
                  <wp:extent cx="1231900" cy="373380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293"/>
                          <a:stretch>
                            <a:fillRect/>
                          </a:stretch>
                        </pic:blipFill>
                        <pic:spPr>
                          <a:xfrm>
                            <a:off x="0" y="0"/>
                            <a:ext cx="1231912" cy="3733734"/>
                          </a:xfrm>
                          <a:prstGeom prst="rect">
                            <a:avLst/>
                          </a:prstGeom>
                        </pic:spPr>
                      </pic:pic>
                    </a:graphicData>
                  </a:graphic>
                </wp:anchor>
              </w:drawing>
            </w:r>
            <w:r>
              <w:rPr>
                <w:spacing w:val="-7"/>
                <w:sz w:val="11"/>
                <w:szCs w:val="11"/>
              </w:rPr>
              <w:t>1</w:t>
            </w:r>
            <w:r>
              <w:rPr>
                <w:spacing w:val="1"/>
                <w:sz w:val="11"/>
                <w:szCs w:val="11"/>
              </w:rPr>
              <w:t xml:space="preserve"> </w:t>
            </w:r>
            <w:r>
              <w:rPr>
                <w:spacing w:val="-7"/>
                <w:sz w:val="11"/>
                <w:szCs w:val="11"/>
              </w:rPr>
              <w:t>- 3</w:t>
            </w:r>
            <w:r>
              <w:rPr>
                <w:spacing w:val="-8"/>
                <w:sz w:val="11"/>
                <w:szCs w:val="11"/>
              </w:rPr>
              <w:t xml:space="preserve"> </w:t>
            </w:r>
            <w:r>
              <w:rPr>
                <w:spacing w:val="-7"/>
                <w:sz w:val="11"/>
                <w:szCs w:val="11"/>
              </w:rPr>
              <w:t>者</w:t>
            </w:r>
            <w:r>
              <w:rPr>
                <w:spacing w:val="-10"/>
                <w:sz w:val="11"/>
                <w:szCs w:val="11"/>
              </w:rPr>
              <w:t xml:space="preserve"> </w:t>
            </w:r>
            <w:r>
              <w:rPr>
                <w:spacing w:val="-7"/>
                <w:sz w:val="11"/>
                <w:szCs w:val="11"/>
              </w:rPr>
              <w:t>城 i</w:t>
            </w:r>
            <w:r>
              <w:rPr>
                <w:spacing w:val="-9"/>
                <w:sz w:val="11"/>
                <w:szCs w:val="11"/>
              </w:rPr>
              <w:t xml:space="preserve"> </w:t>
            </w:r>
            <w:r>
              <w:rPr>
                <w:spacing w:val="-7"/>
                <w:sz w:val="11"/>
                <w:szCs w:val="11"/>
              </w:rPr>
              <w:t>o</w:t>
            </w:r>
            <w:r>
              <w:rPr>
                <w:spacing w:val="-9"/>
                <w:sz w:val="11"/>
                <w:szCs w:val="11"/>
              </w:rPr>
              <w:t xml:space="preserve"> </w:t>
            </w:r>
            <w:r>
              <w:rPr>
                <w:spacing w:val="-7"/>
                <w:sz w:val="11"/>
                <w:szCs w:val="11"/>
              </w:rPr>
              <w:t>0 1 6</w:t>
            </w:r>
            <w:r>
              <w:rPr>
                <w:spacing w:val="-9"/>
                <w:sz w:val="11"/>
                <w:szCs w:val="11"/>
              </w:rPr>
              <w:t xml:space="preserve"> </w:t>
            </w:r>
            <w:r>
              <w:rPr>
                <w:spacing w:val="-7"/>
                <w:sz w:val="11"/>
                <w:szCs w:val="11"/>
              </w:rPr>
              <w:t>动</w:t>
            </w:r>
          </w:p>
        </w:tc>
        <w:tc>
          <w:tcPr>
            <w:tcW w:w="241" w:type="dxa"/>
            <w:vMerge w:val="continue"/>
            <w:tcBorders>
              <w:top w:val="nil"/>
              <w:bottom w:val="nil"/>
            </w:tcBorders>
            <w:vAlign w:val="top"/>
          </w:tcPr>
          <w:p w14:paraId="3F4C0A78">
            <w:pPr>
              <w:rPr>
                <w:rFonts w:ascii="Arial"/>
                <w:sz w:val="21"/>
              </w:rPr>
            </w:pPr>
          </w:p>
        </w:tc>
      </w:tr>
      <w:tr w14:paraId="54302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9" w:hRule="atLeast"/>
        </w:trPr>
        <w:tc>
          <w:tcPr>
            <w:tcW w:w="664" w:type="dxa"/>
            <w:vMerge w:val="continue"/>
            <w:tcBorders>
              <w:top w:val="nil"/>
              <w:bottom w:val="nil"/>
            </w:tcBorders>
            <w:vAlign w:val="top"/>
          </w:tcPr>
          <w:p w14:paraId="36B17477">
            <w:pPr>
              <w:rPr>
                <w:rFonts w:ascii="Arial"/>
                <w:sz w:val="21"/>
              </w:rPr>
            </w:pPr>
          </w:p>
        </w:tc>
        <w:tc>
          <w:tcPr>
            <w:tcW w:w="150" w:type="dxa"/>
            <w:vMerge w:val="continue"/>
            <w:tcBorders>
              <w:top w:val="nil"/>
              <w:bottom w:val="nil"/>
            </w:tcBorders>
            <w:vAlign w:val="top"/>
          </w:tcPr>
          <w:p w14:paraId="44B4B8D2">
            <w:pPr>
              <w:rPr>
                <w:rFonts w:ascii="Arial"/>
                <w:sz w:val="21"/>
              </w:rPr>
            </w:pPr>
          </w:p>
        </w:tc>
        <w:tc>
          <w:tcPr>
            <w:tcW w:w="2327" w:type="dxa"/>
            <w:gridSpan w:val="3"/>
            <w:tcBorders>
              <w:top w:val="nil"/>
              <w:bottom w:val="nil"/>
              <w:right w:val="nil"/>
            </w:tcBorders>
            <w:vAlign w:val="top"/>
          </w:tcPr>
          <w:p w14:paraId="2C0E02E6">
            <w:pPr>
              <w:spacing w:line="349" w:lineRule="auto"/>
              <w:rPr>
                <w:rFonts w:ascii="Arial"/>
                <w:sz w:val="21"/>
              </w:rPr>
            </w:pPr>
          </w:p>
          <w:p w14:paraId="7E52D397">
            <w:pPr>
              <w:spacing w:line="349" w:lineRule="auto"/>
              <w:rPr>
                <w:rFonts w:ascii="Arial"/>
                <w:sz w:val="21"/>
              </w:rPr>
            </w:pPr>
          </w:p>
          <w:p w14:paraId="455A1C3D">
            <w:pPr>
              <w:pStyle w:val="6"/>
              <w:spacing w:before="55" w:line="219" w:lineRule="auto"/>
              <w:ind w:left="1120"/>
              <w:rPr>
                <w:sz w:val="17"/>
                <w:szCs w:val="17"/>
              </w:rPr>
            </w:pPr>
            <w:r>
              <w:pict>
                <v:shape id="_x0000_s1078" o:spid="_x0000_s1078" o:spt="202" type="#_x0000_t202" style="position:absolute;left:0pt;margin-left:35pt;margin-top:-2.85pt;height:10.5pt;width:13.3pt;z-index:251687936;mso-width-relative:page;mso-height-relative:page;" filled="f" stroked="f" coordsize="21600,21600">
                  <v:path/>
                  <v:fill on="f" focussize="0,0"/>
                  <v:stroke on="f"/>
                  <v:imagedata o:title=""/>
                  <o:lock v:ext="edit" aspectratio="f"/>
                  <v:textbox inset="0mm,0mm,0mm,0mm">
                    <w:txbxContent>
                      <w:p w14:paraId="208ED80B">
                        <w:pPr>
                          <w:pStyle w:val="6"/>
                          <w:spacing w:before="20" w:line="184" w:lineRule="auto"/>
                          <w:ind w:left="20"/>
                          <w:rPr>
                            <w:sz w:val="17"/>
                            <w:szCs w:val="17"/>
                          </w:rPr>
                        </w:pPr>
                        <w:r>
                          <w:rPr>
                            <w:spacing w:val="-6"/>
                            <w:sz w:val="17"/>
                            <w:szCs w:val="17"/>
                          </w:rPr>
                          <w:t>I-</w:t>
                        </w:r>
                        <w:r>
                          <w:rPr>
                            <w:color w:val="103010"/>
                            <w:spacing w:val="-6"/>
                            <w:sz w:val="17"/>
                            <w:szCs w:val="17"/>
                          </w:rPr>
                          <w:t>1</w:t>
                        </w:r>
                      </w:p>
                    </w:txbxContent>
                  </v:textbox>
                </v:shape>
              </w:pict>
            </w:r>
            <w:r>
              <w:rPr>
                <w:spacing w:val="-2"/>
                <w:sz w:val="17"/>
                <w:szCs w:val="17"/>
              </w:rPr>
              <w:t>保山市-3</w:t>
            </w:r>
          </w:p>
          <w:p w14:paraId="2042FD8E">
            <w:pPr>
              <w:spacing w:line="320" w:lineRule="auto"/>
              <w:rPr>
                <w:rFonts w:ascii="Arial"/>
                <w:sz w:val="21"/>
              </w:rPr>
            </w:pPr>
          </w:p>
          <w:p w14:paraId="00846C20">
            <w:pPr>
              <w:pStyle w:val="6"/>
              <w:spacing w:before="33" w:line="241" w:lineRule="auto"/>
              <w:ind w:left="1290"/>
              <w:rPr>
                <w:sz w:val="10"/>
                <w:szCs w:val="10"/>
              </w:rPr>
            </w:pPr>
            <w:r>
              <w:rPr>
                <w:spacing w:val="-3"/>
                <w:sz w:val="10"/>
                <w:szCs w:val="10"/>
              </w:rPr>
              <w:t>112-1</w:t>
            </w:r>
          </w:p>
          <w:p w14:paraId="140EED8E">
            <w:pPr>
              <w:pStyle w:val="6"/>
              <w:spacing w:before="39" w:line="184" w:lineRule="auto"/>
              <w:ind w:left="1680"/>
              <w:rPr>
                <w:sz w:val="10"/>
                <w:szCs w:val="10"/>
              </w:rPr>
            </w:pPr>
            <w:r>
              <w:rPr>
                <w:spacing w:val="-3"/>
                <w:sz w:val="10"/>
                <w:szCs w:val="10"/>
              </w:rPr>
              <w:t>12-2</w:t>
            </w:r>
          </w:p>
          <w:p w14:paraId="29B99BBB">
            <w:pPr>
              <w:pStyle w:val="6"/>
              <w:spacing w:line="219" w:lineRule="auto"/>
              <w:ind w:left="1820"/>
              <w:rPr>
                <w:sz w:val="10"/>
                <w:szCs w:val="10"/>
              </w:rPr>
            </w:pPr>
            <w:r>
              <w:rPr>
                <w:spacing w:val="-3"/>
                <w:sz w:val="10"/>
                <w:szCs w:val="10"/>
              </w:rPr>
              <w:t>临沧市</w:t>
            </w:r>
          </w:p>
        </w:tc>
        <w:tc>
          <w:tcPr>
            <w:tcW w:w="1546" w:type="dxa"/>
            <w:gridSpan w:val="2"/>
            <w:tcBorders>
              <w:top w:val="nil"/>
              <w:left w:val="nil"/>
              <w:bottom w:val="nil"/>
              <w:right w:val="nil"/>
            </w:tcBorders>
            <w:vAlign w:val="top"/>
          </w:tcPr>
          <w:p w14:paraId="0A5ABB7B">
            <w:pPr>
              <w:spacing w:line="290" w:lineRule="auto"/>
              <w:rPr>
                <w:rFonts w:ascii="Arial"/>
                <w:sz w:val="21"/>
              </w:rPr>
            </w:pPr>
          </w:p>
          <w:p w14:paraId="0C7F2B86">
            <w:pPr>
              <w:pStyle w:val="6"/>
              <w:spacing w:before="33" w:line="241" w:lineRule="auto"/>
              <w:ind w:left="618"/>
              <w:rPr>
                <w:sz w:val="10"/>
                <w:szCs w:val="10"/>
              </w:rPr>
            </w:pPr>
            <w:r>
              <w:rPr>
                <w:spacing w:val="-1"/>
                <w:sz w:val="10"/>
                <w:szCs w:val="10"/>
              </w:rPr>
              <w:t>m2-</w:t>
            </w:r>
            <w:r>
              <w:rPr>
                <w:color w:val="204040"/>
                <w:spacing w:val="-1"/>
                <w:sz w:val="10"/>
                <w:szCs w:val="10"/>
              </w:rPr>
              <w:t>4</w:t>
            </w:r>
          </w:p>
          <w:p w14:paraId="05BC4976">
            <w:pPr>
              <w:pStyle w:val="6"/>
              <w:spacing w:before="178" w:line="235" w:lineRule="auto"/>
              <w:ind w:left="338"/>
              <w:rPr>
                <w:sz w:val="10"/>
                <w:szCs w:val="10"/>
              </w:rPr>
            </w:pPr>
            <w:r>
              <w:rPr>
                <w:spacing w:val="-2"/>
                <w:sz w:val="10"/>
                <w:szCs w:val="10"/>
              </w:rPr>
              <w:t>Ⅲ-4</w:t>
            </w:r>
          </w:p>
          <w:p w14:paraId="6CF08601">
            <w:pPr>
              <w:pStyle w:val="6"/>
              <w:spacing w:before="46" w:line="183" w:lineRule="auto"/>
              <w:ind w:left="418"/>
              <w:rPr>
                <w:sz w:val="17"/>
                <w:szCs w:val="17"/>
              </w:rPr>
            </w:pPr>
            <w:r>
              <w:rPr>
                <w:spacing w:val="2"/>
                <w:sz w:val="17"/>
                <w:szCs w:val="17"/>
              </w:rPr>
              <w:t>楚练枣</w:t>
            </w:r>
          </w:p>
          <w:p w14:paraId="0C9AF32B">
            <w:pPr>
              <w:pStyle w:val="6"/>
              <w:spacing w:line="197" w:lineRule="auto"/>
              <w:ind w:left="188"/>
              <w:rPr>
                <w:sz w:val="10"/>
                <w:szCs w:val="10"/>
              </w:rPr>
            </w:pPr>
            <w:r>
              <w:rPr>
                <w:spacing w:val="-1"/>
                <w:sz w:val="10"/>
                <w:szCs w:val="10"/>
              </w:rPr>
              <w:t>m-</w:t>
            </w:r>
            <w:r>
              <w:rPr>
                <w:color w:val="B03050"/>
                <w:spacing w:val="-1"/>
                <w:sz w:val="10"/>
                <w:szCs w:val="10"/>
              </w:rPr>
              <w:t>2</w:t>
            </w:r>
          </w:p>
          <w:p w14:paraId="05D3C871">
            <w:pPr>
              <w:pStyle w:val="6"/>
              <w:spacing w:line="235" w:lineRule="auto"/>
              <w:ind w:left="1199"/>
              <w:rPr>
                <w:sz w:val="10"/>
                <w:szCs w:val="10"/>
              </w:rPr>
            </w:pPr>
            <w:r>
              <w:rPr>
                <w:spacing w:val="-1"/>
                <w:sz w:val="10"/>
                <w:szCs w:val="10"/>
              </w:rPr>
              <w:t>ⅢL-46</w:t>
            </w:r>
          </w:p>
          <w:p w14:paraId="3ED9FA6C">
            <w:pPr>
              <w:pStyle w:val="6"/>
              <w:spacing w:before="37" w:line="219" w:lineRule="auto"/>
              <w:ind w:left="1058"/>
              <w:rPr>
                <w:sz w:val="17"/>
                <w:szCs w:val="17"/>
              </w:rPr>
            </w:pPr>
            <w:r>
              <w:rPr>
                <w:sz w:val="17"/>
                <w:szCs w:val="17"/>
              </w:rPr>
              <w:t>市</w:t>
            </w:r>
          </w:p>
        </w:tc>
        <w:tc>
          <w:tcPr>
            <w:tcW w:w="1172" w:type="dxa"/>
            <w:gridSpan w:val="2"/>
            <w:tcBorders>
              <w:top w:val="nil"/>
              <w:left w:val="nil"/>
              <w:bottom w:val="nil"/>
              <w:right w:val="nil"/>
            </w:tcBorders>
            <w:vAlign w:val="top"/>
          </w:tcPr>
          <w:p w14:paraId="253D41CC">
            <w:pPr>
              <w:pStyle w:val="6"/>
              <w:spacing w:before="112"/>
              <w:jc w:val="right"/>
              <w:rPr>
                <w:sz w:val="23"/>
                <w:szCs w:val="23"/>
              </w:rPr>
            </w:pPr>
            <w:r>
              <w:rPr>
                <w:color w:val="306040"/>
                <w:spacing w:val="-4"/>
                <w:position w:val="4"/>
                <w:sz w:val="10"/>
                <w:szCs w:val="10"/>
              </w:rPr>
              <w:t>Ⅲ</w:t>
            </w:r>
            <w:r>
              <w:rPr>
                <w:spacing w:val="-4"/>
                <w:position w:val="4"/>
                <w:sz w:val="10"/>
                <w:szCs w:val="10"/>
              </w:rPr>
              <w:t>-</w:t>
            </w:r>
            <w:r>
              <w:rPr>
                <w:spacing w:val="1"/>
                <w:position w:val="4"/>
                <w:sz w:val="10"/>
                <w:szCs w:val="10"/>
              </w:rPr>
              <w:t xml:space="preserve">    </w:t>
            </w:r>
            <w:r>
              <w:rPr>
                <w:color w:val="708050"/>
                <w:spacing w:val="-4"/>
                <w:sz w:val="23"/>
                <w:szCs w:val="23"/>
              </w:rPr>
              <w:t>m+-</w:t>
            </w:r>
            <w:r>
              <w:rPr>
                <w:color w:val="301020"/>
                <w:spacing w:val="-4"/>
                <w:sz w:val="23"/>
                <w:szCs w:val="23"/>
              </w:rPr>
              <w:t>5</w:t>
            </w:r>
          </w:p>
          <w:p w14:paraId="73963499">
            <w:pPr>
              <w:pStyle w:val="6"/>
              <w:spacing w:before="93" w:line="270" w:lineRule="auto"/>
              <w:ind w:left="52" w:right="511" w:firstLine="320"/>
              <w:rPr>
                <w:sz w:val="10"/>
                <w:szCs w:val="10"/>
              </w:rPr>
            </w:pPr>
            <w:r>
              <w:rPr>
                <w:spacing w:val="-5"/>
                <w:sz w:val="10"/>
                <w:szCs w:val="10"/>
              </w:rPr>
              <w:t>的请液</w:t>
            </w:r>
            <w:r>
              <w:rPr>
                <w:spacing w:val="1"/>
                <w:sz w:val="10"/>
                <w:szCs w:val="10"/>
              </w:rPr>
              <w:t xml:space="preserve"> </w:t>
            </w:r>
            <w:r>
              <w:rPr>
                <w:spacing w:val="-1"/>
                <w:sz w:val="10"/>
                <w:szCs w:val="10"/>
              </w:rPr>
              <w:t>m-10</w:t>
            </w:r>
          </w:p>
          <w:p w14:paraId="7B18E769">
            <w:pPr>
              <w:spacing w:line="301" w:lineRule="auto"/>
              <w:rPr>
                <w:rFonts w:ascii="Arial"/>
                <w:sz w:val="21"/>
              </w:rPr>
            </w:pPr>
          </w:p>
          <w:p w14:paraId="586C874A">
            <w:pPr>
              <w:pStyle w:val="6"/>
              <w:spacing w:before="32" w:line="235" w:lineRule="auto"/>
              <w:ind w:left="312"/>
              <w:rPr>
                <w:sz w:val="10"/>
                <w:szCs w:val="10"/>
              </w:rPr>
            </w:pPr>
            <w:r>
              <w:rPr>
                <w:spacing w:val="-1"/>
                <w:sz w:val="10"/>
                <w:szCs w:val="10"/>
              </w:rPr>
              <w:t>Ⅲ1-12</w:t>
            </w:r>
          </w:p>
          <w:p w14:paraId="5E0708A5">
            <w:pPr>
              <w:pStyle w:val="6"/>
              <w:spacing w:before="34"/>
              <w:ind w:left="652"/>
              <w:rPr>
                <w:sz w:val="10"/>
                <w:szCs w:val="10"/>
              </w:rPr>
            </w:pPr>
            <w:r>
              <w:rPr>
                <w:color w:val="306030"/>
                <w:spacing w:val="-2"/>
                <w:sz w:val="10"/>
                <w:szCs w:val="10"/>
              </w:rPr>
              <w:t>m-</w:t>
            </w:r>
            <w:r>
              <w:rPr>
                <w:spacing w:val="-2"/>
                <w:sz w:val="10"/>
                <w:szCs w:val="10"/>
              </w:rPr>
              <w:t>13</w:t>
            </w:r>
          </w:p>
          <w:p w14:paraId="271415A4">
            <w:pPr>
              <w:pStyle w:val="6"/>
              <w:spacing w:before="209" w:line="235" w:lineRule="auto"/>
              <w:ind w:left="702"/>
              <w:rPr>
                <w:sz w:val="10"/>
                <w:szCs w:val="10"/>
              </w:rPr>
            </w:pPr>
            <w:r>
              <w:rPr>
                <w:spacing w:val="-1"/>
                <w:sz w:val="10"/>
                <w:szCs w:val="10"/>
              </w:rPr>
              <w:t>ⅢL-13</w:t>
            </w:r>
          </w:p>
        </w:tc>
        <w:tc>
          <w:tcPr>
            <w:tcW w:w="1168" w:type="dxa"/>
            <w:gridSpan w:val="3"/>
            <w:tcBorders>
              <w:top w:val="nil"/>
              <w:left w:val="nil"/>
              <w:bottom w:val="nil"/>
            </w:tcBorders>
            <w:vAlign w:val="top"/>
          </w:tcPr>
          <w:p w14:paraId="33312329">
            <w:pPr>
              <w:pStyle w:val="6"/>
              <w:spacing w:before="218" w:line="220" w:lineRule="auto"/>
              <w:ind w:left="10"/>
              <w:rPr>
                <w:sz w:val="17"/>
                <w:szCs w:val="17"/>
              </w:rPr>
            </w:pPr>
            <w:r>
              <w:rPr>
                <w:color w:val="FF0000"/>
                <w:spacing w:val="-14"/>
                <w:sz w:val="17"/>
                <w:szCs w:val="17"/>
              </w:rPr>
              <w:t>项</w:t>
            </w:r>
            <w:r>
              <w:rPr>
                <w:color w:val="FF0000"/>
                <w:spacing w:val="10"/>
                <w:sz w:val="17"/>
                <w:szCs w:val="17"/>
              </w:rPr>
              <w:t xml:space="preserve"> </w:t>
            </w:r>
            <w:r>
              <w:rPr>
                <w:color w:val="FF0000"/>
                <w:spacing w:val="-14"/>
                <w:sz w:val="17"/>
                <w:szCs w:val="17"/>
              </w:rPr>
              <w:t>目 区</w:t>
            </w:r>
            <w:r>
              <w:rPr>
                <w:color w:val="FF0000"/>
                <w:spacing w:val="-23"/>
                <w:sz w:val="17"/>
                <w:szCs w:val="17"/>
              </w:rPr>
              <w:t xml:space="preserve"> </w:t>
            </w:r>
            <w:r>
              <w:rPr>
                <w:color w:val="FF0000"/>
                <w:spacing w:val="-14"/>
                <w:sz w:val="17"/>
                <w:szCs w:val="17"/>
              </w:rPr>
              <w:t>位</w:t>
            </w:r>
            <w:r>
              <w:rPr>
                <w:color w:val="FF0000"/>
                <w:spacing w:val="-23"/>
                <w:sz w:val="17"/>
                <w:szCs w:val="17"/>
              </w:rPr>
              <w:t xml:space="preserve"> </w:t>
            </w:r>
            <w:r>
              <w:rPr>
                <w:color w:val="FF0000"/>
                <w:spacing w:val="-14"/>
                <w:sz w:val="17"/>
                <w:szCs w:val="17"/>
              </w:rPr>
              <w:t>置</w:t>
            </w:r>
          </w:p>
        </w:tc>
        <w:tc>
          <w:tcPr>
            <w:tcW w:w="2238" w:type="dxa"/>
            <w:gridSpan w:val="2"/>
            <w:vMerge w:val="continue"/>
            <w:tcBorders>
              <w:top w:val="nil"/>
              <w:bottom w:val="nil"/>
            </w:tcBorders>
            <w:vAlign w:val="top"/>
          </w:tcPr>
          <w:p w14:paraId="2D4EA0B3">
            <w:pPr>
              <w:rPr>
                <w:rFonts w:ascii="Arial"/>
                <w:sz w:val="21"/>
              </w:rPr>
            </w:pPr>
          </w:p>
        </w:tc>
        <w:tc>
          <w:tcPr>
            <w:tcW w:w="241" w:type="dxa"/>
            <w:vMerge w:val="continue"/>
            <w:tcBorders>
              <w:top w:val="nil"/>
              <w:bottom w:val="nil"/>
            </w:tcBorders>
            <w:vAlign w:val="top"/>
          </w:tcPr>
          <w:p w14:paraId="42E2408A">
            <w:pPr>
              <w:rPr>
                <w:rFonts w:ascii="Arial"/>
                <w:sz w:val="21"/>
              </w:rPr>
            </w:pPr>
          </w:p>
        </w:tc>
      </w:tr>
      <w:tr w14:paraId="0D174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0" w:hRule="atLeast"/>
        </w:trPr>
        <w:tc>
          <w:tcPr>
            <w:tcW w:w="664" w:type="dxa"/>
            <w:vMerge w:val="continue"/>
            <w:tcBorders>
              <w:top w:val="nil"/>
              <w:bottom w:val="nil"/>
            </w:tcBorders>
            <w:vAlign w:val="top"/>
          </w:tcPr>
          <w:p w14:paraId="3176E3EB">
            <w:pPr>
              <w:rPr>
                <w:rFonts w:ascii="Arial"/>
                <w:sz w:val="21"/>
              </w:rPr>
            </w:pPr>
          </w:p>
        </w:tc>
        <w:tc>
          <w:tcPr>
            <w:tcW w:w="150" w:type="dxa"/>
            <w:vMerge w:val="continue"/>
            <w:tcBorders>
              <w:top w:val="nil"/>
              <w:bottom w:val="nil"/>
            </w:tcBorders>
            <w:vAlign w:val="top"/>
          </w:tcPr>
          <w:p w14:paraId="545C9850">
            <w:pPr>
              <w:rPr>
                <w:rFonts w:ascii="Arial"/>
                <w:sz w:val="21"/>
              </w:rPr>
            </w:pPr>
          </w:p>
        </w:tc>
        <w:tc>
          <w:tcPr>
            <w:tcW w:w="2973" w:type="dxa"/>
            <w:gridSpan w:val="4"/>
            <w:tcBorders>
              <w:top w:val="nil"/>
              <w:bottom w:val="nil"/>
              <w:right w:val="nil"/>
            </w:tcBorders>
            <w:vAlign w:val="top"/>
          </w:tcPr>
          <w:p w14:paraId="3B74AB88">
            <w:pPr>
              <w:pStyle w:val="6"/>
              <w:spacing w:before="165"/>
              <w:ind w:left="2300"/>
              <w:rPr>
                <w:sz w:val="10"/>
                <w:szCs w:val="10"/>
              </w:rPr>
            </w:pPr>
            <w:r>
              <w:rPr>
                <w:spacing w:val="-3"/>
                <w:sz w:val="10"/>
                <w:szCs w:val="10"/>
              </w:rPr>
              <w:t>113-3</w:t>
            </w:r>
          </w:p>
          <w:p w14:paraId="45795CF8">
            <w:pPr>
              <w:pStyle w:val="6"/>
              <w:spacing w:before="233" w:line="220" w:lineRule="auto"/>
              <w:ind w:left="2300"/>
              <w:rPr>
                <w:sz w:val="17"/>
                <w:szCs w:val="17"/>
              </w:rPr>
            </w:pPr>
            <w:r>
              <w:rPr>
                <w:color w:val="B0C0D0"/>
                <w:spacing w:val="-1"/>
                <w:sz w:val="17"/>
                <w:szCs w:val="17"/>
              </w:rPr>
              <w:t>→</w:t>
            </w:r>
            <w:r>
              <w:rPr>
                <w:color w:val="FFFFFF"/>
                <w:spacing w:val="-1"/>
                <w:sz w:val="17"/>
                <w:szCs w:val="17"/>
              </w:rPr>
              <w:t>似</w:t>
            </w:r>
          </w:p>
          <w:p w14:paraId="65FF9352">
            <w:pPr>
              <w:pStyle w:val="6"/>
              <w:spacing w:before="224" w:line="241" w:lineRule="auto"/>
              <w:ind w:left="1700"/>
              <w:rPr>
                <w:sz w:val="10"/>
                <w:szCs w:val="10"/>
              </w:rPr>
            </w:pPr>
            <w:r>
              <w:rPr>
                <w:spacing w:val="-3"/>
                <w:sz w:val="10"/>
                <w:szCs w:val="10"/>
              </w:rPr>
              <w:t>121</w:t>
            </w:r>
          </w:p>
        </w:tc>
        <w:tc>
          <w:tcPr>
            <w:tcW w:w="1242" w:type="dxa"/>
            <w:gridSpan w:val="2"/>
            <w:tcBorders>
              <w:top w:val="nil"/>
              <w:left w:val="nil"/>
              <w:bottom w:val="nil"/>
              <w:right w:val="nil"/>
            </w:tcBorders>
            <w:vAlign w:val="top"/>
          </w:tcPr>
          <w:p w14:paraId="0381EDF9">
            <w:pPr>
              <w:pStyle w:val="6"/>
              <w:spacing w:before="56" w:line="201" w:lineRule="auto"/>
              <w:ind w:left="882" w:right="142" w:firstLine="20"/>
              <w:rPr>
                <w:sz w:val="10"/>
                <w:szCs w:val="10"/>
              </w:rPr>
            </w:pPr>
            <w:r>
              <w:rPr>
                <w:spacing w:val="-3"/>
                <w:sz w:val="10"/>
                <w:szCs w:val="10"/>
              </w:rPr>
              <w:t>14-4</w:t>
            </w:r>
            <w:r>
              <w:rPr>
                <w:sz w:val="10"/>
                <w:szCs w:val="10"/>
              </w:rPr>
              <w:t xml:space="preserve"> </w:t>
            </w:r>
            <w:r>
              <w:rPr>
                <w:spacing w:val="-12"/>
                <w:sz w:val="10"/>
                <w:szCs w:val="10"/>
              </w:rPr>
              <w:t>章 自</w:t>
            </w:r>
          </w:p>
          <w:p w14:paraId="72138DBF">
            <w:pPr>
              <w:pStyle w:val="6"/>
              <w:spacing w:before="131" w:line="241" w:lineRule="auto"/>
              <w:ind w:left="332"/>
              <w:rPr>
                <w:sz w:val="17"/>
                <w:szCs w:val="17"/>
              </w:rPr>
            </w:pPr>
            <w:r>
              <w:rPr>
                <w:spacing w:val="-5"/>
                <w:sz w:val="17"/>
                <w:szCs w:val="17"/>
              </w:rPr>
              <w:t>I</w:t>
            </w:r>
            <w:r>
              <w:rPr>
                <w:color w:val="207080"/>
                <w:spacing w:val="-5"/>
                <w:sz w:val="17"/>
                <w:szCs w:val="17"/>
              </w:rPr>
              <w:t>+</w:t>
            </w:r>
            <w:r>
              <w:rPr>
                <w:color w:val="208070"/>
                <w:spacing w:val="-5"/>
                <w:sz w:val="17"/>
                <w:szCs w:val="17"/>
              </w:rPr>
              <w:t>1</w:t>
            </w:r>
          </w:p>
        </w:tc>
        <w:tc>
          <w:tcPr>
            <w:tcW w:w="1998" w:type="dxa"/>
            <w:gridSpan w:val="4"/>
            <w:tcBorders>
              <w:top w:val="nil"/>
              <w:left w:val="nil"/>
              <w:bottom w:val="nil"/>
            </w:tcBorders>
            <w:vAlign w:val="top"/>
          </w:tcPr>
          <w:p w14:paraId="7AD7F245">
            <w:pPr>
              <w:pStyle w:val="6"/>
              <w:spacing w:before="135"/>
              <w:ind w:left="740"/>
              <w:rPr>
                <w:sz w:val="10"/>
                <w:szCs w:val="10"/>
              </w:rPr>
            </w:pPr>
            <w:r>
              <w:rPr>
                <w:spacing w:val="-3"/>
                <w:sz w:val="10"/>
                <w:szCs w:val="10"/>
              </w:rPr>
              <w:t>15-2</w:t>
            </w:r>
          </w:p>
          <w:p w14:paraId="1C0184A8">
            <w:pPr>
              <w:spacing w:line="405" w:lineRule="auto"/>
              <w:rPr>
                <w:rFonts w:ascii="Arial"/>
                <w:sz w:val="21"/>
              </w:rPr>
            </w:pPr>
          </w:p>
          <w:p w14:paraId="73403552">
            <w:pPr>
              <w:pStyle w:val="6"/>
              <w:spacing w:before="32" w:line="219" w:lineRule="auto"/>
              <w:ind w:left="1180"/>
              <w:rPr>
                <w:sz w:val="10"/>
                <w:szCs w:val="10"/>
              </w:rPr>
            </w:pPr>
            <w:r>
              <w:rPr>
                <w:spacing w:val="-1"/>
                <w:sz w:val="10"/>
                <w:szCs w:val="10"/>
              </w:rPr>
              <w:t>功能区类型</w:t>
            </w:r>
          </w:p>
        </w:tc>
        <w:tc>
          <w:tcPr>
            <w:tcW w:w="2238" w:type="dxa"/>
            <w:gridSpan w:val="2"/>
            <w:vMerge w:val="continue"/>
            <w:tcBorders>
              <w:top w:val="nil"/>
              <w:bottom w:val="nil"/>
            </w:tcBorders>
            <w:vAlign w:val="top"/>
          </w:tcPr>
          <w:p w14:paraId="07670A02">
            <w:pPr>
              <w:rPr>
                <w:rFonts w:ascii="Arial"/>
                <w:sz w:val="21"/>
              </w:rPr>
            </w:pPr>
          </w:p>
        </w:tc>
        <w:tc>
          <w:tcPr>
            <w:tcW w:w="241" w:type="dxa"/>
            <w:vMerge w:val="continue"/>
            <w:tcBorders>
              <w:top w:val="nil"/>
              <w:bottom w:val="nil"/>
            </w:tcBorders>
            <w:vAlign w:val="top"/>
          </w:tcPr>
          <w:p w14:paraId="5E98CA8A">
            <w:pPr>
              <w:rPr>
                <w:rFonts w:ascii="Arial"/>
                <w:sz w:val="21"/>
              </w:rPr>
            </w:pPr>
          </w:p>
        </w:tc>
      </w:tr>
      <w:tr w14:paraId="4C8E6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664" w:type="dxa"/>
            <w:vMerge w:val="continue"/>
            <w:tcBorders>
              <w:top w:val="nil"/>
              <w:bottom w:val="nil"/>
            </w:tcBorders>
            <w:vAlign w:val="top"/>
          </w:tcPr>
          <w:p w14:paraId="1429E503">
            <w:pPr>
              <w:rPr>
                <w:rFonts w:ascii="Arial"/>
                <w:sz w:val="21"/>
              </w:rPr>
            </w:pPr>
          </w:p>
        </w:tc>
        <w:tc>
          <w:tcPr>
            <w:tcW w:w="150" w:type="dxa"/>
            <w:vMerge w:val="continue"/>
            <w:tcBorders>
              <w:top w:val="nil"/>
            </w:tcBorders>
            <w:vAlign w:val="top"/>
          </w:tcPr>
          <w:p w14:paraId="3BB34154">
            <w:pPr>
              <w:rPr>
                <w:rFonts w:ascii="Arial"/>
                <w:sz w:val="21"/>
              </w:rPr>
            </w:pPr>
          </w:p>
        </w:tc>
        <w:tc>
          <w:tcPr>
            <w:tcW w:w="6213" w:type="dxa"/>
            <w:gridSpan w:val="10"/>
            <w:tcBorders>
              <w:top w:val="nil"/>
            </w:tcBorders>
            <w:vAlign w:val="top"/>
          </w:tcPr>
          <w:p w14:paraId="08CA7B0A">
            <w:pPr>
              <w:pStyle w:val="6"/>
              <w:tabs>
                <w:tab w:val="left" w:pos="1296"/>
              </w:tabs>
              <w:spacing w:before="145"/>
              <w:rPr>
                <w:sz w:val="17"/>
                <w:szCs w:val="17"/>
              </w:rPr>
            </w:pPr>
            <w:r>
              <w:rPr>
                <w:sz w:val="17"/>
                <w:szCs w:val="17"/>
                <w:u w:val="single" w:color="auto"/>
              </w:rPr>
              <w:tab/>
            </w:r>
            <w:r>
              <w:rPr>
                <w:spacing w:val="-6"/>
                <w:sz w:val="17"/>
                <w:szCs w:val="17"/>
                <w:u w:val="single" w:color="auto"/>
              </w:rPr>
              <w:t>20</w:t>
            </w:r>
            <w:r>
              <w:rPr>
                <w:spacing w:val="-6"/>
                <w:sz w:val="17"/>
                <w:szCs w:val="17"/>
              </w:rPr>
              <w:t>0km</w:t>
            </w:r>
          </w:p>
          <w:p w14:paraId="64E18A28">
            <w:pPr>
              <w:pStyle w:val="6"/>
              <w:spacing w:before="258" w:line="219" w:lineRule="auto"/>
              <w:ind w:left="110"/>
              <w:rPr>
                <w:sz w:val="10"/>
                <w:szCs w:val="10"/>
              </w:rPr>
            </w:pPr>
            <w:r>
              <w:rPr>
                <w:spacing w:val="1"/>
                <w:sz w:val="10"/>
                <w:szCs w:val="10"/>
              </w:rPr>
              <w:t>云南大学生态学与地植物学研究所2007</w:t>
            </w:r>
            <w:r>
              <w:rPr>
                <w:sz w:val="10"/>
                <w:szCs w:val="10"/>
              </w:rPr>
              <w:t>年3月</w:t>
            </w:r>
          </w:p>
        </w:tc>
        <w:tc>
          <w:tcPr>
            <w:tcW w:w="2238" w:type="dxa"/>
            <w:gridSpan w:val="2"/>
            <w:vMerge w:val="continue"/>
            <w:tcBorders>
              <w:top w:val="nil"/>
            </w:tcBorders>
            <w:vAlign w:val="top"/>
          </w:tcPr>
          <w:p w14:paraId="2BBED4B5">
            <w:pPr>
              <w:rPr>
                <w:rFonts w:ascii="Arial"/>
                <w:sz w:val="21"/>
              </w:rPr>
            </w:pPr>
          </w:p>
        </w:tc>
        <w:tc>
          <w:tcPr>
            <w:tcW w:w="241" w:type="dxa"/>
            <w:vMerge w:val="continue"/>
            <w:tcBorders>
              <w:top w:val="nil"/>
            </w:tcBorders>
            <w:vAlign w:val="top"/>
          </w:tcPr>
          <w:p w14:paraId="34FB3581">
            <w:pPr>
              <w:rPr>
                <w:rFonts w:ascii="Arial"/>
                <w:sz w:val="21"/>
              </w:rPr>
            </w:pPr>
          </w:p>
        </w:tc>
      </w:tr>
      <w:tr w14:paraId="39BDB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1" w:hRule="atLeast"/>
        </w:trPr>
        <w:tc>
          <w:tcPr>
            <w:tcW w:w="664" w:type="dxa"/>
            <w:vMerge w:val="continue"/>
            <w:tcBorders>
              <w:top w:val="nil"/>
            </w:tcBorders>
            <w:vAlign w:val="top"/>
          </w:tcPr>
          <w:p w14:paraId="4698CB29">
            <w:pPr>
              <w:rPr>
                <w:rFonts w:ascii="Arial"/>
                <w:sz w:val="21"/>
              </w:rPr>
            </w:pPr>
          </w:p>
        </w:tc>
        <w:tc>
          <w:tcPr>
            <w:tcW w:w="8842" w:type="dxa"/>
            <w:gridSpan w:val="14"/>
            <w:vAlign w:val="top"/>
          </w:tcPr>
          <w:p w14:paraId="2FB6A703">
            <w:pPr>
              <w:pStyle w:val="6"/>
              <w:spacing w:before="233" w:line="219" w:lineRule="auto"/>
              <w:ind w:left="2424"/>
              <w:rPr>
                <w:sz w:val="24"/>
                <w:szCs w:val="24"/>
              </w:rPr>
            </w:pPr>
            <w:r>
              <w:rPr>
                <w:b/>
                <w:bCs/>
                <w:spacing w:val="-2"/>
                <w:sz w:val="24"/>
                <w:szCs w:val="24"/>
              </w:rPr>
              <w:t>图3-1</w:t>
            </w:r>
            <w:r>
              <w:rPr>
                <w:spacing w:val="-2"/>
                <w:sz w:val="24"/>
                <w:szCs w:val="24"/>
              </w:rPr>
              <w:t xml:space="preserve">  </w:t>
            </w:r>
            <w:r>
              <w:rPr>
                <w:b/>
                <w:bCs/>
                <w:spacing w:val="-2"/>
                <w:sz w:val="24"/>
                <w:szCs w:val="24"/>
              </w:rPr>
              <w:t>项目所属的生态功能区类型图</w:t>
            </w:r>
          </w:p>
          <w:p w14:paraId="42F1786D">
            <w:pPr>
              <w:pStyle w:val="6"/>
              <w:spacing w:before="180" w:line="359" w:lineRule="auto"/>
              <w:ind w:left="80" w:firstLine="629"/>
              <w:rPr>
                <w:sz w:val="24"/>
                <w:szCs w:val="24"/>
              </w:rPr>
            </w:pPr>
            <w:r>
              <w:rPr>
                <w:spacing w:val="-2"/>
                <w:sz w:val="24"/>
                <w:szCs w:val="24"/>
              </w:rPr>
              <w:t>就目前情况来看，本光伏发电场施工期对环境的影响相对较大，电站建设虽然</w:t>
            </w:r>
            <w:r>
              <w:rPr>
                <w:spacing w:val="9"/>
                <w:sz w:val="24"/>
                <w:szCs w:val="24"/>
              </w:rPr>
              <w:t xml:space="preserve"> </w:t>
            </w:r>
            <w:r>
              <w:rPr>
                <w:spacing w:val="3"/>
                <w:sz w:val="24"/>
                <w:szCs w:val="24"/>
              </w:rPr>
              <w:t>会改变土地使用功能，导致一定的水土流失，通过环境保护及水保措施的实施，减</w:t>
            </w:r>
            <w:r>
              <w:rPr>
                <w:spacing w:val="2"/>
                <w:sz w:val="24"/>
                <w:szCs w:val="24"/>
              </w:rPr>
              <w:t xml:space="preserve"> </w:t>
            </w:r>
            <w:r>
              <w:rPr>
                <w:sz w:val="24"/>
                <w:szCs w:val="24"/>
              </w:rPr>
              <w:t>轻对区域植被的影响和水土流失程度，施工结束后及时采取生态恢复措施，在永久</w:t>
            </w:r>
            <w:r>
              <w:rPr>
                <w:spacing w:val="1"/>
                <w:sz w:val="24"/>
                <w:szCs w:val="24"/>
              </w:rPr>
              <w:t xml:space="preserve">  </w:t>
            </w:r>
            <w:r>
              <w:rPr>
                <w:spacing w:val="3"/>
                <w:sz w:val="24"/>
                <w:szCs w:val="24"/>
              </w:rPr>
              <w:t>设施周边进行绿化，对区域生态环境不会造成较大影响。且电站建成后，通</w:t>
            </w:r>
            <w:r>
              <w:rPr>
                <w:spacing w:val="2"/>
                <w:sz w:val="24"/>
                <w:szCs w:val="24"/>
              </w:rPr>
              <w:t>过积极</w:t>
            </w:r>
            <w:r>
              <w:rPr>
                <w:sz w:val="24"/>
                <w:szCs w:val="24"/>
              </w:rPr>
              <w:t xml:space="preserve"> 采取生态修复、水土保持措施，不会对水土保持生态功能区造成明显不利影响。另</w:t>
            </w:r>
            <w:r>
              <w:rPr>
                <w:spacing w:val="17"/>
                <w:sz w:val="24"/>
                <w:szCs w:val="24"/>
              </w:rPr>
              <w:t xml:space="preserve"> </w:t>
            </w:r>
            <w:r>
              <w:rPr>
                <w:sz w:val="24"/>
                <w:szCs w:val="24"/>
              </w:rPr>
              <w:t xml:space="preserve">一方面，本项目属于清洁新能源开发项目，开发当地丰富的太阳能资源，有助于节  </w:t>
            </w:r>
            <w:r>
              <w:rPr>
                <w:spacing w:val="1"/>
                <w:sz w:val="24"/>
                <w:szCs w:val="24"/>
              </w:rPr>
              <w:t>能减排，减少发电时煤炭的使用量和空气污染程度，对保护环境有一定积极作用。</w:t>
            </w:r>
            <w:r>
              <w:rPr>
                <w:spacing w:val="12"/>
                <w:sz w:val="24"/>
                <w:szCs w:val="24"/>
              </w:rPr>
              <w:t xml:space="preserve"> </w:t>
            </w:r>
            <w:r>
              <w:rPr>
                <w:sz w:val="24"/>
                <w:szCs w:val="24"/>
              </w:rPr>
              <w:t>本项目的光伏阵列的占地以及集电线路塔基占地不涉及占用基本农田，临时用地占</w:t>
            </w:r>
            <w:r>
              <w:rPr>
                <w:spacing w:val="4"/>
                <w:sz w:val="24"/>
                <w:szCs w:val="24"/>
              </w:rPr>
              <w:t xml:space="preserve">  </w:t>
            </w:r>
            <w:r>
              <w:rPr>
                <w:sz w:val="24"/>
                <w:szCs w:val="24"/>
              </w:rPr>
              <w:t xml:space="preserve">地不涉及占用基本农田，本项目的建设，不会导致周边基本农田种植作物减产，不  </w:t>
            </w:r>
            <w:r>
              <w:rPr>
                <w:spacing w:val="3"/>
                <w:sz w:val="24"/>
                <w:szCs w:val="24"/>
              </w:rPr>
              <w:t>会影响区域以岩溶地貌为主的生态旅游和以粮食生产为主的生态农业的主要生态</w:t>
            </w:r>
          </w:p>
          <w:p w14:paraId="220C515D">
            <w:pPr>
              <w:pStyle w:val="6"/>
              <w:spacing w:line="218" w:lineRule="auto"/>
              <w:ind w:left="80"/>
              <w:rPr>
                <w:sz w:val="24"/>
                <w:szCs w:val="24"/>
              </w:rPr>
            </w:pPr>
            <w:r>
              <w:rPr>
                <w:sz w:val="24"/>
                <w:szCs w:val="24"/>
              </w:rPr>
              <w:t>系统服务功能。此外，在光伏方阵区利用阵间空地及在方阵面下部空间种植合适生</w:t>
            </w:r>
          </w:p>
        </w:tc>
      </w:tr>
    </w:tbl>
    <w:p w14:paraId="3DEF2EF0">
      <w:pPr>
        <w:pStyle w:val="2"/>
      </w:pPr>
    </w:p>
    <w:p w14:paraId="2391961F">
      <w:pPr>
        <w:sectPr>
          <w:footerReference r:id="rId89" w:type="default"/>
          <w:pgSz w:w="11910" w:h="16830"/>
          <w:pgMar w:top="400" w:right="1198" w:bottom="1245" w:left="1195" w:header="0" w:footer="1083" w:gutter="0"/>
          <w:cols w:space="720" w:num="1"/>
        </w:sectPr>
      </w:pPr>
    </w:p>
    <w:p w14:paraId="56BF69F9">
      <w:pPr>
        <w:spacing w:before="15"/>
      </w:pPr>
    </w:p>
    <w:p w14:paraId="576A1BB9">
      <w:pPr>
        <w:spacing w:before="15"/>
      </w:pPr>
    </w:p>
    <w:p w14:paraId="7F2848AE">
      <w:pPr>
        <w:spacing w:before="15"/>
      </w:pPr>
    </w:p>
    <w:p w14:paraId="1A1801D9">
      <w:pPr>
        <w:spacing w:before="14"/>
      </w:pPr>
    </w:p>
    <w:tbl>
      <w:tblPr>
        <w:tblStyle w:val="5"/>
        <w:tblW w:w="9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8756"/>
      </w:tblGrid>
      <w:tr w14:paraId="600F3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684" w:type="dxa"/>
            <w:vAlign w:val="top"/>
          </w:tcPr>
          <w:p w14:paraId="32E15E98">
            <w:pPr>
              <w:rPr>
                <w:rFonts w:ascii="Arial"/>
                <w:sz w:val="21"/>
              </w:rPr>
            </w:pPr>
          </w:p>
        </w:tc>
        <w:tc>
          <w:tcPr>
            <w:tcW w:w="8756" w:type="dxa"/>
            <w:vAlign w:val="top"/>
          </w:tcPr>
          <w:p w14:paraId="576EA751">
            <w:pPr>
              <w:pStyle w:val="6"/>
              <w:spacing w:before="22" w:line="362" w:lineRule="auto"/>
              <w:ind w:left="230" w:hanging="119"/>
              <w:rPr>
                <w:sz w:val="24"/>
                <w:szCs w:val="24"/>
              </w:rPr>
            </w:pPr>
            <w:r>
              <w:rPr>
                <w:sz w:val="24"/>
                <w:szCs w:val="24"/>
              </w:rPr>
              <w:t>长的草地，提高土地利用价值，且项目未占用基本农田，未占用天</w:t>
            </w:r>
            <w:r>
              <w:rPr>
                <w:spacing w:val="-1"/>
                <w:sz w:val="24"/>
                <w:szCs w:val="24"/>
              </w:rPr>
              <w:t>然林、公益林。</w:t>
            </w:r>
            <w:r>
              <w:rPr>
                <w:sz w:val="24"/>
                <w:szCs w:val="24"/>
              </w:rPr>
              <w:t xml:space="preserve"> 符合区域保护措施与发展方向保护岩溶地貌环境和农田生态环境，</w:t>
            </w:r>
            <w:r>
              <w:rPr>
                <w:spacing w:val="-1"/>
                <w:sz w:val="24"/>
                <w:szCs w:val="24"/>
              </w:rPr>
              <w:t>防止石漠化。</w:t>
            </w:r>
          </w:p>
          <w:p w14:paraId="1AC439AD">
            <w:pPr>
              <w:pStyle w:val="6"/>
              <w:spacing w:before="3" w:line="360" w:lineRule="auto"/>
              <w:ind w:left="51" w:right="39"/>
              <w:jc w:val="both"/>
              <w:rPr>
                <w:sz w:val="24"/>
                <w:szCs w:val="24"/>
              </w:rPr>
            </w:pPr>
            <w:r>
              <w:rPr>
                <w:sz w:val="24"/>
                <w:szCs w:val="24"/>
              </w:rPr>
              <w:t>因此，本光伏发电场实施不会对以岩溶地貌为主的生态旅游和以粮食生产为主的生</w:t>
            </w:r>
            <w:r>
              <w:rPr>
                <w:spacing w:val="10"/>
                <w:sz w:val="24"/>
                <w:szCs w:val="24"/>
              </w:rPr>
              <w:t xml:space="preserve"> </w:t>
            </w:r>
            <w:r>
              <w:rPr>
                <w:sz w:val="24"/>
                <w:szCs w:val="24"/>
              </w:rPr>
              <w:t>态农业生态功能区造成影响。总体而言，本项目与《云南省生态功能区划》没有冲</w:t>
            </w:r>
            <w:r>
              <w:rPr>
                <w:spacing w:val="14"/>
                <w:sz w:val="24"/>
                <w:szCs w:val="24"/>
              </w:rPr>
              <w:t xml:space="preserve"> </w:t>
            </w:r>
            <w:r>
              <w:rPr>
                <w:spacing w:val="24"/>
                <w:sz w:val="24"/>
                <w:szCs w:val="24"/>
              </w:rPr>
              <w:t>突。</w:t>
            </w:r>
          </w:p>
          <w:p w14:paraId="3C165A8F">
            <w:pPr>
              <w:pStyle w:val="6"/>
              <w:spacing w:line="219" w:lineRule="auto"/>
              <w:ind w:left="104"/>
              <w:rPr>
                <w:sz w:val="24"/>
                <w:szCs w:val="24"/>
              </w:rPr>
            </w:pPr>
            <w:r>
              <w:rPr>
                <w:b/>
                <w:bCs/>
                <w:spacing w:val="-4"/>
                <w:sz w:val="24"/>
                <w:szCs w:val="24"/>
              </w:rPr>
              <w:t>3与《云南省主体功能区规划》的相符性分析</w:t>
            </w:r>
          </w:p>
          <w:p w14:paraId="22631099">
            <w:pPr>
              <w:pStyle w:val="6"/>
              <w:spacing w:before="177" w:line="219" w:lineRule="auto"/>
              <w:ind w:left="601"/>
              <w:rPr>
                <w:sz w:val="24"/>
                <w:szCs w:val="24"/>
              </w:rPr>
            </w:pPr>
            <w:r>
              <w:rPr>
                <w:sz w:val="24"/>
                <w:szCs w:val="24"/>
              </w:rPr>
              <w:t>云南省人民政府于2014年1月6日印发了《云南省主体功能区规划》(云政发</w:t>
            </w:r>
          </w:p>
          <w:p w14:paraId="700C0DAE">
            <w:pPr>
              <w:pStyle w:val="6"/>
              <w:spacing w:before="203" w:line="216" w:lineRule="auto"/>
              <w:ind w:left="111"/>
              <w:rPr>
                <w:sz w:val="24"/>
                <w:szCs w:val="24"/>
              </w:rPr>
            </w:pPr>
            <w:r>
              <w:rPr>
                <w:spacing w:val="3"/>
                <w:sz w:val="24"/>
                <w:szCs w:val="24"/>
              </w:rPr>
              <w:t>〔2014〕1号文),根据规划，将云南省国土空间分为重点开发区域、限制开发区</w:t>
            </w:r>
          </w:p>
          <w:p w14:paraId="7DFF7766">
            <w:pPr>
              <w:pStyle w:val="6"/>
              <w:spacing w:before="179" w:line="216" w:lineRule="auto"/>
              <w:jc w:val="right"/>
              <w:rPr>
                <w:sz w:val="24"/>
                <w:szCs w:val="24"/>
              </w:rPr>
            </w:pPr>
            <w:r>
              <w:rPr>
                <w:spacing w:val="-10"/>
                <w:sz w:val="24"/>
                <w:szCs w:val="24"/>
              </w:rPr>
              <w:t>域和禁止开发区域三种区域。拟建项目位于陆良县，根据《云南省主体功能区规划》,</w:t>
            </w:r>
          </w:p>
          <w:p w14:paraId="19C33CF8">
            <w:pPr>
              <w:pStyle w:val="6"/>
              <w:spacing w:before="182" w:line="219" w:lineRule="auto"/>
              <w:ind w:left="51"/>
              <w:rPr>
                <w:sz w:val="24"/>
                <w:szCs w:val="24"/>
              </w:rPr>
            </w:pPr>
            <w:r>
              <w:rPr>
                <w:spacing w:val="1"/>
                <w:sz w:val="24"/>
                <w:szCs w:val="24"/>
              </w:rPr>
              <w:t>陆良县大部分被划定为国家农产品主产区，少部分被</w:t>
            </w:r>
            <w:r>
              <w:rPr>
                <w:sz w:val="24"/>
                <w:szCs w:val="24"/>
              </w:rPr>
              <w:t>划定为国家重点开发区域。国</w:t>
            </w:r>
          </w:p>
          <w:p w14:paraId="6ACFB7A8">
            <w:pPr>
              <w:pStyle w:val="6"/>
              <w:spacing w:before="184" w:line="219" w:lineRule="auto"/>
              <w:ind w:left="51"/>
              <w:rPr>
                <w:sz w:val="24"/>
                <w:szCs w:val="24"/>
              </w:rPr>
            </w:pPr>
            <w:r>
              <w:rPr>
                <w:sz w:val="24"/>
                <w:szCs w:val="24"/>
              </w:rPr>
              <w:t>家农产品主产区功能定位是保障粮食产品和主要农产品</w:t>
            </w:r>
            <w:r>
              <w:rPr>
                <w:spacing w:val="-1"/>
                <w:sz w:val="24"/>
                <w:szCs w:val="24"/>
              </w:rPr>
              <w:t>供给安全的基地，全省农业</w:t>
            </w:r>
          </w:p>
          <w:p w14:paraId="2B92B638">
            <w:pPr>
              <w:pStyle w:val="6"/>
              <w:spacing w:before="175" w:line="219" w:lineRule="auto"/>
              <w:ind w:left="51"/>
              <w:rPr>
                <w:sz w:val="24"/>
                <w:szCs w:val="24"/>
              </w:rPr>
            </w:pPr>
            <w:r>
              <w:rPr>
                <w:sz w:val="24"/>
                <w:szCs w:val="24"/>
              </w:rPr>
              <w:t>产业化的重要地区，现代农业的示范基地，农村居民安居乐业的美好家园，社会主</w:t>
            </w:r>
          </w:p>
          <w:p w14:paraId="37E90F0A">
            <w:pPr>
              <w:pStyle w:val="6"/>
              <w:spacing w:before="185" w:line="219" w:lineRule="auto"/>
              <w:ind w:left="51"/>
              <w:rPr>
                <w:sz w:val="24"/>
                <w:szCs w:val="24"/>
              </w:rPr>
            </w:pPr>
            <w:r>
              <w:rPr>
                <w:sz w:val="24"/>
                <w:szCs w:val="24"/>
              </w:rPr>
              <w:t>义新农村建设的示范区。农产品主产区要以大力发展高原特色农业为重点，切实保</w:t>
            </w:r>
          </w:p>
          <w:p w14:paraId="20CA5225">
            <w:pPr>
              <w:pStyle w:val="6"/>
              <w:spacing w:before="196" w:line="219" w:lineRule="auto"/>
              <w:jc w:val="right"/>
              <w:rPr>
                <w:sz w:val="24"/>
                <w:szCs w:val="24"/>
              </w:rPr>
            </w:pPr>
            <w:r>
              <w:rPr>
                <w:sz w:val="24"/>
                <w:szCs w:val="24"/>
              </w:rPr>
              <w:t>护耕地，稳定粮食生产，发展现代农业，增强农业综合生产能力，</w:t>
            </w:r>
            <w:r>
              <w:rPr>
                <w:spacing w:val="-1"/>
                <w:sz w:val="24"/>
                <w:szCs w:val="24"/>
              </w:rPr>
              <w:t>增加农民收入，</w:t>
            </w:r>
          </w:p>
          <w:p w14:paraId="697D04B3">
            <w:pPr>
              <w:pStyle w:val="6"/>
              <w:spacing w:before="165" w:line="219" w:lineRule="auto"/>
              <w:ind w:left="51"/>
              <w:rPr>
                <w:sz w:val="24"/>
                <w:szCs w:val="24"/>
              </w:rPr>
            </w:pPr>
            <w:r>
              <w:rPr>
                <w:sz w:val="24"/>
                <w:szCs w:val="24"/>
              </w:rPr>
              <w:t>加快建设社会主义新农村，有效增强农产品供给保障能力，确保国家粮食安全和食</w:t>
            </w:r>
          </w:p>
          <w:p w14:paraId="10772124">
            <w:pPr>
              <w:pStyle w:val="6"/>
              <w:spacing w:before="197" w:line="219" w:lineRule="auto"/>
              <w:ind w:left="51"/>
              <w:rPr>
                <w:sz w:val="24"/>
                <w:szCs w:val="24"/>
              </w:rPr>
            </w:pPr>
            <w:r>
              <w:rPr>
                <w:sz w:val="24"/>
                <w:szCs w:val="24"/>
              </w:rPr>
              <w:t>品安全。根据项目与云南省主体功能区划分总图进行叠图分析可知，项目区域位于</w:t>
            </w:r>
          </w:p>
          <w:p w14:paraId="04B582DF">
            <w:pPr>
              <w:pStyle w:val="6"/>
              <w:spacing w:before="174" w:line="219" w:lineRule="auto"/>
              <w:ind w:left="51"/>
              <w:rPr>
                <w:sz w:val="24"/>
                <w:szCs w:val="24"/>
              </w:rPr>
            </w:pPr>
            <w:r>
              <w:rPr>
                <w:sz w:val="24"/>
                <w:szCs w:val="24"/>
              </w:rPr>
              <w:t>国家农产品主产区。本项目的光伏阵列的占地以及集电线路塔基占地不涉及占用基</w:t>
            </w:r>
          </w:p>
          <w:p w14:paraId="100CCECD">
            <w:pPr>
              <w:pStyle w:val="6"/>
              <w:spacing w:before="195" w:line="219" w:lineRule="auto"/>
              <w:jc w:val="right"/>
              <w:rPr>
                <w:sz w:val="24"/>
                <w:szCs w:val="24"/>
              </w:rPr>
            </w:pPr>
            <w:r>
              <w:rPr>
                <w:sz w:val="24"/>
                <w:szCs w:val="24"/>
              </w:rPr>
              <w:t>本农田，临时用地占地不涉及占用基本农田，且项目不涉及耕地，</w:t>
            </w:r>
            <w:r>
              <w:rPr>
                <w:spacing w:val="-1"/>
                <w:sz w:val="24"/>
                <w:szCs w:val="24"/>
              </w:rPr>
              <w:t>本项目的建设，</w:t>
            </w:r>
          </w:p>
          <w:p w14:paraId="1F596CD8">
            <w:pPr>
              <w:pStyle w:val="6"/>
              <w:spacing w:before="175" w:line="356" w:lineRule="auto"/>
              <w:ind w:left="51" w:right="39"/>
              <w:jc w:val="both"/>
              <w:rPr>
                <w:sz w:val="24"/>
                <w:szCs w:val="24"/>
              </w:rPr>
            </w:pPr>
            <w:r>
              <w:rPr>
                <w:sz w:val="24"/>
                <w:szCs w:val="24"/>
              </w:rPr>
              <w:t>不会导致周边基本农田种植作物减产。因此，本项目工程的建设与《云南省主体功</w:t>
            </w:r>
            <w:r>
              <w:rPr>
                <w:spacing w:val="14"/>
                <w:sz w:val="24"/>
                <w:szCs w:val="24"/>
              </w:rPr>
              <w:t xml:space="preserve"> </w:t>
            </w:r>
            <w:r>
              <w:rPr>
                <w:sz w:val="24"/>
                <w:szCs w:val="24"/>
              </w:rPr>
              <w:t>能区规划》的相关要求不冲突，可以达到《云南省主体功能区规划》提出的保护要</w:t>
            </w:r>
            <w:r>
              <w:rPr>
                <w:spacing w:val="11"/>
                <w:sz w:val="24"/>
                <w:szCs w:val="24"/>
              </w:rPr>
              <w:t xml:space="preserve"> </w:t>
            </w:r>
            <w:r>
              <w:rPr>
                <w:spacing w:val="24"/>
                <w:sz w:val="24"/>
                <w:szCs w:val="24"/>
              </w:rPr>
              <w:t>求。</w:t>
            </w:r>
          </w:p>
          <w:p w14:paraId="4EEDBB3C">
            <w:pPr>
              <w:pStyle w:val="6"/>
              <w:spacing w:line="219" w:lineRule="auto"/>
              <w:ind w:left="104"/>
              <w:rPr>
                <w:sz w:val="24"/>
                <w:szCs w:val="24"/>
              </w:rPr>
            </w:pPr>
            <w:r>
              <w:rPr>
                <w:b/>
                <w:bCs/>
                <w:spacing w:val="-4"/>
                <w:sz w:val="24"/>
                <w:szCs w:val="24"/>
              </w:rPr>
              <w:t>4生态环境现状</w:t>
            </w:r>
          </w:p>
          <w:p w14:paraId="3E68AED0">
            <w:pPr>
              <w:pStyle w:val="6"/>
              <w:spacing w:before="193" w:line="218" w:lineRule="auto"/>
              <w:ind w:left="104"/>
              <w:rPr>
                <w:sz w:val="24"/>
                <w:szCs w:val="24"/>
              </w:rPr>
            </w:pPr>
            <w:r>
              <w:rPr>
                <w:b/>
                <w:bCs/>
                <w:sz w:val="24"/>
                <w:szCs w:val="24"/>
              </w:rPr>
              <w:t>4.1评价范围</w:t>
            </w:r>
          </w:p>
          <w:p w14:paraId="01CB1DFF">
            <w:pPr>
              <w:pStyle w:val="6"/>
              <w:spacing w:before="191" w:line="356" w:lineRule="auto"/>
              <w:ind w:left="101" w:right="544" w:firstLine="429"/>
              <w:jc w:val="both"/>
              <w:rPr>
                <w:sz w:val="24"/>
                <w:szCs w:val="24"/>
              </w:rPr>
            </w:pPr>
            <w:r>
              <w:rPr>
                <w:sz w:val="24"/>
                <w:szCs w:val="24"/>
              </w:rPr>
              <w:t>根据《环境影响评价技术导则 生态影响》(HJ19-20</w:t>
            </w:r>
            <w:r>
              <w:rPr>
                <w:spacing w:val="-1"/>
                <w:sz w:val="24"/>
                <w:szCs w:val="24"/>
              </w:rPr>
              <w:t>22)和《环境影响评价</w:t>
            </w:r>
            <w:r>
              <w:rPr>
                <w:sz w:val="24"/>
                <w:szCs w:val="24"/>
              </w:rPr>
              <w:t xml:space="preserve"> 技术导则 输变电》(HJ24-2020)的有关要求，我单位组织专业人员于2024年8</w:t>
            </w:r>
            <w:r>
              <w:rPr>
                <w:spacing w:val="13"/>
                <w:sz w:val="24"/>
                <w:szCs w:val="24"/>
              </w:rPr>
              <w:t xml:space="preserve"> </w:t>
            </w:r>
            <w:r>
              <w:rPr>
                <w:sz w:val="24"/>
                <w:szCs w:val="24"/>
              </w:rPr>
              <w:t>月对本项目环境影响评价区范围内的生态环境现状进行了野外调查工作。</w:t>
            </w:r>
          </w:p>
          <w:p w14:paraId="02045DA9">
            <w:pPr>
              <w:pStyle w:val="6"/>
              <w:spacing w:line="217" w:lineRule="auto"/>
              <w:ind w:left="581"/>
              <w:rPr>
                <w:sz w:val="24"/>
                <w:szCs w:val="24"/>
              </w:rPr>
            </w:pPr>
            <w:r>
              <w:rPr>
                <w:spacing w:val="-2"/>
                <w:sz w:val="24"/>
                <w:szCs w:val="24"/>
              </w:rPr>
              <w:t>①调查方法</w:t>
            </w:r>
          </w:p>
          <w:p w14:paraId="14079CA3">
            <w:pPr>
              <w:pStyle w:val="6"/>
              <w:spacing w:before="188" w:line="341" w:lineRule="auto"/>
              <w:ind w:left="51" w:firstLine="549"/>
              <w:rPr>
                <w:sz w:val="24"/>
                <w:szCs w:val="24"/>
              </w:rPr>
            </w:pPr>
            <w:r>
              <w:rPr>
                <w:spacing w:val="-1"/>
                <w:sz w:val="24"/>
                <w:szCs w:val="24"/>
              </w:rPr>
              <w:t>野外调查中，主要采用线路调查法；对评价区域的植被和植物种类进行拍照，</w:t>
            </w:r>
            <w:r>
              <w:rPr>
                <w:spacing w:val="18"/>
                <w:sz w:val="24"/>
                <w:szCs w:val="24"/>
              </w:rPr>
              <w:t xml:space="preserve"> </w:t>
            </w:r>
            <w:r>
              <w:rPr>
                <w:sz w:val="24"/>
                <w:szCs w:val="24"/>
              </w:rPr>
              <w:t>并采集部分疑难植物标本带回室内鉴定；对评价区域的植被类型和</w:t>
            </w:r>
            <w:r>
              <w:rPr>
                <w:spacing w:val="-1"/>
                <w:sz w:val="24"/>
                <w:szCs w:val="24"/>
              </w:rPr>
              <w:t>野生重点珍稀保</w:t>
            </w:r>
          </w:p>
        </w:tc>
      </w:tr>
    </w:tbl>
    <w:p w14:paraId="7DC9A37A">
      <w:pPr>
        <w:pStyle w:val="2"/>
      </w:pPr>
    </w:p>
    <w:p w14:paraId="76817ADA">
      <w:pPr>
        <w:sectPr>
          <w:footerReference r:id="rId90" w:type="default"/>
          <w:pgSz w:w="11910" w:h="16830"/>
          <w:pgMar w:top="400" w:right="1244" w:bottom="1245" w:left="1214" w:header="0" w:footer="1083" w:gutter="0"/>
          <w:cols w:space="720" w:num="1"/>
        </w:sectPr>
      </w:pPr>
    </w:p>
    <w:p w14:paraId="1AC637FD">
      <w:pPr>
        <w:spacing w:before="18"/>
      </w:pPr>
      <w:r>
        <w:pict>
          <v:shape id="_x0000_s1079" o:spid="_x0000_s1079" style="position:absolute;left:0pt;margin-left:99.75pt;margin-top:719pt;height:45.5pt;width:0.5pt;mso-position-horizontal-relative:page;mso-position-vertical-relative:page;z-index:-251627520;mso-width-relative:page;mso-height-relative:page;" filled="f" stroked="t" coordsize="10,910" o:allowincell="f" path="m5,0l5,909e">
            <v:fill on="f" focussize="0,0"/>
            <v:stroke weight="0.5pt" color="#000000" miterlimit="10" joinstyle="miter"/>
            <v:imagedata o:title=""/>
            <o:lock v:ext="edit"/>
          </v:shape>
        </w:pict>
      </w:r>
    </w:p>
    <w:p w14:paraId="55AABEB1">
      <w:pPr>
        <w:spacing w:before="17"/>
      </w:pPr>
    </w:p>
    <w:p w14:paraId="33856086">
      <w:pPr>
        <w:spacing w:before="17"/>
      </w:pPr>
    </w:p>
    <w:p w14:paraId="25E870C7">
      <w:pPr>
        <w:spacing w:before="17"/>
      </w:pPr>
    </w:p>
    <w:tbl>
      <w:tblPr>
        <w:tblStyle w:val="5"/>
        <w:tblW w:w="941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8631"/>
        <w:gridCol w:w="120"/>
      </w:tblGrid>
      <w:tr w14:paraId="25D32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26" w:hRule="atLeast"/>
        </w:trPr>
        <w:tc>
          <w:tcPr>
            <w:tcW w:w="664" w:type="dxa"/>
            <w:vMerge w:val="restart"/>
            <w:tcBorders>
              <w:bottom w:val="nil"/>
            </w:tcBorders>
            <w:vAlign w:val="top"/>
          </w:tcPr>
          <w:p w14:paraId="24D24907">
            <w:pPr>
              <w:rPr>
                <w:rFonts w:ascii="Arial"/>
                <w:sz w:val="21"/>
              </w:rPr>
            </w:pPr>
          </w:p>
        </w:tc>
        <w:tc>
          <w:tcPr>
            <w:tcW w:w="8751" w:type="dxa"/>
            <w:gridSpan w:val="2"/>
            <w:vAlign w:val="top"/>
          </w:tcPr>
          <w:p w14:paraId="68A430CE">
            <w:pPr>
              <w:pStyle w:val="6"/>
              <w:spacing w:before="24" w:line="361" w:lineRule="auto"/>
              <w:ind w:left="131" w:right="196" w:hanging="20"/>
              <w:rPr>
                <w:sz w:val="24"/>
                <w:szCs w:val="24"/>
              </w:rPr>
            </w:pPr>
            <w:r>
              <w:rPr>
                <w:spacing w:val="1"/>
                <w:sz w:val="24"/>
                <w:szCs w:val="24"/>
              </w:rPr>
              <w:t>护植物的空间分布进行</w:t>
            </w:r>
            <w:r>
              <w:rPr>
                <w:sz w:val="24"/>
                <w:szCs w:val="24"/>
              </w:rPr>
              <w:t>GPS</w:t>
            </w:r>
            <w:r>
              <w:rPr>
                <w:spacing w:val="1"/>
                <w:sz w:val="24"/>
                <w:szCs w:val="24"/>
              </w:rPr>
              <w:t>定位；考察并记录了</w:t>
            </w:r>
            <w:r>
              <w:rPr>
                <w:sz w:val="24"/>
                <w:szCs w:val="24"/>
              </w:rPr>
              <w:t>评价区内的植被和植物资源及区  系状况，同时收集了相关植物和植被调查资料，结合咨询当地林业部门，利用3S</w:t>
            </w:r>
            <w:r>
              <w:rPr>
                <w:spacing w:val="12"/>
                <w:sz w:val="24"/>
                <w:szCs w:val="24"/>
              </w:rPr>
              <w:t xml:space="preserve"> </w:t>
            </w:r>
            <w:r>
              <w:rPr>
                <w:sz w:val="24"/>
                <w:szCs w:val="24"/>
              </w:rPr>
              <w:t>系统制图分析获得了陆生植被类型的现状分布及相关数据。</w:t>
            </w:r>
          </w:p>
          <w:p w14:paraId="094FBCE4">
            <w:pPr>
              <w:pStyle w:val="6"/>
              <w:spacing w:line="217" w:lineRule="auto"/>
              <w:ind w:left="591"/>
              <w:rPr>
                <w:sz w:val="24"/>
                <w:szCs w:val="24"/>
              </w:rPr>
            </w:pPr>
            <w:r>
              <w:rPr>
                <w:spacing w:val="4"/>
                <w:sz w:val="24"/>
                <w:szCs w:val="24"/>
              </w:rPr>
              <w:t>②调查范围</w:t>
            </w:r>
          </w:p>
          <w:p w14:paraId="7D3634B6">
            <w:pPr>
              <w:pStyle w:val="6"/>
              <w:spacing w:before="179" w:line="362" w:lineRule="auto"/>
              <w:ind w:left="101" w:firstLine="499"/>
              <w:rPr>
                <w:sz w:val="24"/>
                <w:szCs w:val="24"/>
              </w:rPr>
            </w:pPr>
            <w:r>
              <w:rPr>
                <w:spacing w:val="-1"/>
                <w:sz w:val="24"/>
                <w:szCs w:val="24"/>
              </w:rPr>
              <w:t>调查工作重点为光伏布设区域、基塔占地、集电线路线路穿越等区域及周边影</w:t>
            </w:r>
            <w:r>
              <w:rPr>
                <w:spacing w:val="13"/>
                <w:sz w:val="24"/>
                <w:szCs w:val="24"/>
              </w:rPr>
              <w:t xml:space="preserve"> </w:t>
            </w:r>
            <w:r>
              <w:rPr>
                <w:spacing w:val="1"/>
                <w:sz w:val="24"/>
                <w:szCs w:val="24"/>
              </w:rPr>
              <w:t>响区域，其次是与工程直接影响相邻的地区；调查区为</w:t>
            </w:r>
            <w:r>
              <w:rPr>
                <w:sz w:val="24"/>
                <w:szCs w:val="24"/>
              </w:rPr>
              <w:t>工程占地及集电线路外延  300m及升压站外延500m范围，调查的海拔范围在1821~1985m左右。调查区面</w:t>
            </w:r>
          </w:p>
          <w:p w14:paraId="7B54AD91">
            <w:pPr>
              <w:pStyle w:val="6"/>
              <w:spacing w:line="220" w:lineRule="auto"/>
              <w:ind w:left="101"/>
              <w:rPr>
                <w:sz w:val="24"/>
                <w:szCs w:val="24"/>
              </w:rPr>
            </w:pPr>
            <w:r>
              <w:rPr>
                <w:spacing w:val="10"/>
                <w:sz w:val="24"/>
                <w:szCs w:val="24"/>
              </w:rPr>
              <w:t>积2418.086</w:t>
            </w:r>
            <w:r>
              <w:rPr>
                <w:sz w:val="24"/>
                <w:szCs w:val="24"/>
              </w:rPr>
              <w:t>hm</w:t>
            </w:r>
            <w:r>
              <w:rPr>
                <w:spacing w:val="10"/>
                <w:sz w:val="24"/>
                <w:szCs w:val="24"/>
              </w:rPr>
              <w:t>²。</w:t>
            </w:r>
          </w:p>
          <w:p w14:paraId="219E6DBA">
            <w:pPr>
              <w:pStyle w:val="6"/>
              <w:spacing w:before="170" w:line="217" w:lineRule="auto"/>
              <w:ind w:left="601"/>
              <w:rPr>
                <w:sz w:val="24"/>
                <w:szCs w:val="24"/>
              </w:rPr>
            </w:pPr>
            <w:r>
              <w:rPr>
                <w:spacing w:val="-2"/>
                <w:sz w:val="24"/>
                <w:szCs w:val="24"/>
              </w:rPr>
              <w:t>③调查内容</w:t>
            </w:r>
          </w:p>
          <w:p w14:paraId="54433BD2">
            <w:pPr>
              <w:pStyle w:val="6"/>
              <w:spacing w:before="186" w:line="359" w:lineRule="auto"/>
              <w:ind w:left="111" w:firstLine="479"/>
              <w:rPr>
                <w:sz w:val="24"/>
                <w:szCs w:val="24"/>
              </w:rPr>
            </w:pPr>
            <w:r>
              <w:rPr>
                <w:spacing w:val="-1"/>
                <w:sz w:val="24"/>
                <w:szCs w:val="24"/>
              </w:rPr>
              <w:t>陆生植被和植物调查的主要内容是评价区植被类型及分布特征，评价区植物资</w:t>
            </w:r>
            <w:r>
              <w:rPr>
                <w:spacing w:val="9"/>
                <w:sz w:val="24"/>
                <w:szCs w:val="24"/>
              </w:rPr>
              <w:t xml:space="preserve"> </w:t>
            </w:r>
            <w:r>
              <w:rPr>
                <w:sz w:val="24"/>
                <w:szCs w:val="24"/>
              </w:rPr>
              <w:t>源现状，国家重点保护野生植物数量及分布情况，云南</w:t>
            </w:r>
            <w:r>
              <w:rPr>
                <w:spacing w:val="-1"/>
                <w:sz w:val="24"/>
                <w:szCs w:val="24"/>
              </w:rPr>
              <w:t>省重点保护野生植物数量及</w:t>
            </w:r>
            <w:r>
              <w:rPr>
                <w:sz w:val="24"/>
                <w:szCs w:val="24"/>
              </w:rPr>
              <w:t xml:space="preserve"> </w:t>
            </w:r>
            <w:r>
              <w:rPr>
                <w:spacing w:val="-1"/>
                <w:sz w:val="24"/>
                <w:szCs w:val="24"/>
              </w:rPr>
              <w:t>分布情况，名木古树数量及分布情况等。</w:t>
            </w:r>
          </w:p>
          <w:p w14:paraId="2818B5A8">
            <w:pPr>
              <w:pStyle w:val="6"/>
              <w:spacing w:line="219" w:lineRule="auto"/>
              <w:ind w:left="114"/>
              <w:rPr>
                <w:sz w:val="24"/>
                <w:szCs w:val="24"/>
              </w:rPr>
            </w:pPr>
            <w:r>
              <w:rPr>
                <w:b/>
                <w:bCs/>
                <w:spacing w:val="-4"/>
                <w:sz w:val="24"/>
                <w:szCs w:val="24"/>
              </w:rPr>
              <w:t>4.2陆生植被和植物资源</w:t>
            </w:r>
          </w:p>
          <w:p w14:paraId="0E4AFC86">
            <w:pPr>
              <w:pStyle w:val="6"/>
              <w:spacing w:before="184" w:line="219" w:lineRule="auto"/>
              <w:ind w:left="114"/>
              <w:rPr>
                <w:sz w:val="24"/>
                <w:szCs w:val="24"/>
              </w:rPr>
            </w:pPr>
            <w:r>
              <w:rPr>
                <w:b/>
                <w:bCs/>
                <w:spacing w:val="-3"/>
                <w:sz w:val="24"/>
                <w:szCs w:val="24"/>
              </w:rPr>
              <w:t>4.2.1植被分类系统及分布特征</w:t>
            </w:r>
          </w:p>
          <w:p w14:paraId="6B407BC4">
            <w:pPr>
              <w:pStyle w:val="6"/>
              <w:spacing w:before="177" w:line="219" w:lineRule="auto"/>
              <w:ind w:left="114"/>
              <w:rPr>
                <w:sz w:val="24"/>
                <w:szCs w:val="24"/>
              </w:rPr>
            </w:pPr>
            <w:r>
              <w:rPr>
                <w:b/>
                <w:bCs/>
                <w:spacing w:val="-3"/>
                <w:sz w:val="24"/>
                <w:szCs w:val="24"/>
              </w:rPr>
              <w:t>4.2.1.1植被分类系统</w:t>
            </w:r>
          </w:p>
          <w:p w14:paraId="6A6844E6">
            <w:pPr>
              <w:pStyle w:val="6"/>
              <w:spacing w:before="197" w:line="219" w:lineRule="auto"/>
              <w:jc w:val="right"/>
              <w:rPr>
                <w:sz w:val="24"/>
                <w:szCs w:val="24"/>
              </w:rPr>
            </w:pPr>
            <w:r>
              <w:rPr>
                <w:spacing w:val="-1"/>
                <w:sz w:val="24"/>
                <w:szCs w:val="24"/>
              </w:rPr>
              <w:t>项目区位于陆良县范围内。依据《云南植被》区划，该区域属于亚热带常绿阔</w:t>
            </w:r>
          </w:p>
          <w:p w14:paraId="254C8679">
            <w:pPr>
              <w:pStyle w:val="6"/>
              <w:spacing w:before="173" w:line="216" w:lineRule="auto"/>
              <w:ind w:left="111"/>
              <w:rPr>
                <w:sz w:val="24"/>
                <w:szCs w:val="24"/>
              </w:rPr>
            </w:pPr>
            <w:r>
              <w:rPr>
                <w:sz w:val="24"/>
                <w:szCs w:val="24"/>
              </w:rPr>
              <w:t>叶林区域(Ⅱ),西部(半湿润常绿阔叶林)亚区域(IIA),高原亚热带北部常绿</w:t>
            </w:r>
          </w:p>
          <w:p w14:paraId="186C73E9">
            <w:pPr>
              <w:pStyle w:val="6"/>
              <w:spacing w:before="180" w:line="362" w:lineRule="auto"/>
              <w:ind w:left="111" w:right="395"/>
              <w:rPr>
                <w:sz w:val="24"/>
                <w:szCs w:val="24"/>
              </w:rPr>
            </w:pPr>
            <w:r>
              <w:rPr>
                <w:spacing w:val="2"/>
                <w:sz w:val="24"/>
                <w:szCs w:val="24"/>
              </w:rPr>
              <w:t>阔叶林地带(</w:t>
            </w:r>
            <w:r>
              <w:rPr>
                <w:sz w:val="24"/>
                <w:szCs w:val="24"/>
              </w:rPr>
              <w:t>IIAii</w:t>
            </w:r>
            <w:r>
              <w:rPr>
                <w:spacing w:val="2"/>
                <w:sz w:val="24"/>
                <w:szCs w:val="24"/>
              </w:rPr>
              <w:t>),滇中、滇东高原半湿润常绿阔叶林、云南松林区(</w:t>
            </w:r>
            <w:r>
              <w:rPr>
                <w:sz w:val="24"/>
                <w:szCs w:val="24"/>
              </w:rPr>
              <w:t>IAi</w:t>
            </w:r>
            <w:r>
              <w:rPr>
                <w:spacing w:val="2"/>
                <w:sz w:val="24"/>
                <w:szCs w:val="24"/>
              </w:rPr>
              <w:t>-1),</w:t>
            </w:r>
            <w:r>
              <w:rPr>
                <w:spacing w:val="5"/>
                <w:sz w:val="24"/>
                <w:szCs w:val="24"/>
              </w:rPr>
              <w:t xml:space="preserve"> </w:t>
            </w:r>
            <w:r>
              <w:rPr>
                <w:sz w:val="24"/>
                <w:szCs w:val="24"/>
              </w:rPr>
              <w:t>滇中高原盆谷滇青冈、元江栲林、云南松林亚区(IIAii-1a)。</w:t>
            </w:r>
          </w:p>
          <w:p w14:paraId="27EC56DF">
            <w:pPr>
              <w:pStyle w:val="6"/>
              <w:spacing w:before="3" w:line="359" w:lineRule="auto"/>
              <w:ind w:left="101" w:firstLine="493"/>
              <w:jc w:val="both"/>
              <w:rPr>
                <w:sz w:val="24"/>
                <w:szCs w:val="24"/>
              </w:rPr>
            </w:pPr>
            <w:r>
              <w:rPr>
                <w:spacing w:val="-3"/>
                <w:sz w:val="24"/>
                <w:szCs w:val="24"/>
              </w:rPr>
              <w:t>根据野外实地考察，评价区的植被可以分为自然植被</w:t>
            </w:r>
            <w:r>
              <w:rPr>
                <w:spacing w:val="-4"/>
                <w:sz w:val="24"/>
                <w:szCs w:val="24"/>
              </w:rPr>
              <w:t>和人工植被两大类。评价</w:t>
            </w:r>
            <w:r>
              <w:rPr>
                <w:sz w:val="24"/>
                <w:szCs w:val="24"/>
              </w:rPr>
              <w:t xml:space="preserve"> </w:t>
            </w:r>
            <w:r>
              <w:rPr>
                <w:spacing w:val="-3"/>
                <w:sz w:val="24"/>
                <w:szCs w:val="24"/>
              </w:rPr>
              <w:t>区水平地带性植被为半湿润常绿阔叶林，由于人类长期生产生</w:t>
            </w:r>
            <w:r>
              <w:rPr>
                <w:spacing w:val="-4"/>
                <w:sz w:val="24"/>
                <w:szCs w:val="24"/>
              </w:rPr>
              <w:t>活，且评价区呈狭窄</w:t>
            </w:r>
            <w:r>
              <w:rPr>
                <w:sz w:val="24"/>
                <w:szCs w:val="24"/>
              </w:rPr>
              <w:t xml:space="preserve">  </w:t>
            </w:r>
            <w:r>
              <w:rPr>
                <w:spacing w:val="-3"/>
                <w:sz w:val="24"/>
                <w:szCs w:val="24"/>
              </w:rPr>
              <w:t>的条带状分布，半湿润常绿阔叶林在评价区内已不可见。</w:t>
            </w:r>
            <w:r>
              <w:rPr>
                <w:spacing w:val="-4"/>
                <w:sz w:val="24"/>
                <w:szCs w:val="24"/>
              </w:rPr>
              <w:t>评价区内自然植被主要为</w:t>
            </w:r>
            <w:r>
              <w:rPr>
                <w:sz w:val="24"/>
                <w:szCs w:val="24"/>
              </w:rPr>
              <w:t xml:space="preserve">  </w:t>
            </w:r>
            <w:r>
              <w:rPr>
                <w:spacing w:val="-3"/>
                <w:sz w:val="24"/>
                <w:szCs w:val="24"/>
              </w:rPr>
              <w:t>暖温性针叶林、次生性常绿阔叶林、暖温性稀树灌草丛、</w:t>
            </w:r>
            <w:r>
              <w:rPr>
                <w:spacing w:val="-4"/>
                <w:sz w:val="24"/>
                <w:szCs w:val="24"/>
              </w:rPr>
              <w:t>和石灰岩灌丛等；人工植</w:t>
            </w:r>
            <w:r>
              <w:rPr>
                <w:sz w:val="24"/>
                <w:szCs w:val="24"/>
              </w:rPr>
              <w:t xml:space="preserve">  </w:t>
            </w:r>
            <w:r>
              <w:rPr>
                <w:spacing w:val="-7"/>
                <w:sz w:val="24"/>
                <w:szCs w:val="24"/>
              </w:rPr>
              <w:t>被主要为耕地农作物植被、人工林植被等，人工林主要种植柳杉、杉木、直杆蓝桉、</w:t>
            </w:r>
            <w:r>
              <w:rPr>
                <w:spacing w:val="17"/>
                <w:sz w:val="24"/>
                <w:szCs w:val="24"/>
              </w:rPr>
              <w:t xml:space="preserve"> </w:t>
            </w:r>
            <w:r>
              <w:rPr>
                <w:spacing w:val="-3"/>
                <w:sz w:val="24"/>
                <w:szCs w:val="24"/>
              </w:rPr>
              <w:t>云南松等。</w:t>
            </w:r>
          </w:p>
          <w:p w14:paraId="75D9415D">
            <w:pPr>
              <w:pStyle w:val="6"/>
              <w:spacing w:before="5" w:line="348" w:lineRule="auto"/>
              <w:ind w:left="101" w:right="349" w:firstLine="499"/>
              <w:rPr>
                <w:sz w:val="24"/>
                <w:szCs w:val="24"/>
              </w:rPr>
            </w:pPr>
            <w:r>
              <w:rPr>
                <w:sz w:val="24"/>
                <w:szCs w:val="24"/>
              </w:rPr>
              <w:t>根据野外实地考察，项目评价区的自然植被类型大</w:t>
            </w:r>
            <w:r>
              <w:rPr>
                <w:spacing w:val="-1"/>
                <w:sz w:val="24"/>
                <w:szCs w:val="24"/>
              </w:rPr>
              <w:t>致可划分为以下3个植被</w:t>
            </w:r>
            <w:r>
              <w:rPr>
                <w:sz w:val="24"/>
                <w:szCs w:val="24"/>
              </w:rPr>
              <w:t xml:space="preserve"> 型、3个群系和3个群落(具体分布情况见评价区植被图</w:t>
            </w:r>
            <w:r>
              <w:rPr>
                <w:spacing w:val="-1"/>
                <w:sz w:val="24"/>
                <w:szCs w:val="24"/>
              </w:rPr>
              <w:t>)。</w:t>
            </w:r>
          </w:p>
          <w:p w14:paraId="48432BD5">
            <w:pPr>
              <w:pStyle w:val="6"/>
              <w:spacing w:before="13" w:line="218" w:lineRule="auto"/>
              <w:ind w:left="2974"/>
              <w:rPr>
                <w:sz w:val="24"/>
                <w:szCs w:val="24"/>
              </w:rPr>
            </w:pPr>
            <w:r>
              <w:rPr>
                <w:b/>
                <w:bCs/>
                <w:spacing w:val="-4"/>
                <w:sz w:val="24"/>
                <w:szCs w:val="24"/>
              </w:rPr>
              <w:t>表3-3评价区植被类型统计表</w:t>
            </w:r>
          </w:p>
        </w:tc>
      </w:tr>
      <w:tr w14:paraId="2671D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64" w:type="dxa"/>
            <w:vMerge w:val="continue"/>
            <w:tcBorders>
              <w:top w:val="nil"/>
              <w:bottom w:val="nil"/>
            </w:tcBorders>
            <w:vAlign w:val="top"/>
          </w:tcPr>
          <w:p w14:paraId="361CCF8F">
            <w:pPr>
              <w:rPr>
                <w:rFonts w:ascii="Arial"/>
                <w:sz w:val="21"/>
              </w:rPr>
            </w:pPr>
          </w:p>
        </w:tc>
        <w:tc>
          <w:tcPr>
            <w:tcW w:w="8751" w:type="dxa"/>
            <w:gridSpan w:val="2"/>
            <w:vAlign w:val="top"/>
          </w:tcPr>
          <w:p w14:paraId="78DE3EE6">
            <w:pPr>
              <w:pStyle w:val="6"/>
              <w:spacing w:line="199" w:lineRule="auto"/>
              <w:ind w:left="611"/>
              <w:rPr>
                <w:sz w:val="24"/>
                <w:szCs w:val="24"/>
              </w:rPr>
            </w:pPr>
            <w:r>
              <w:pict>
                <v:shape id="_x0000_s1080" o:spid="_x0000_s1080" style="position:absolute;left:0pt;margin-left:431.3pt;margin-top:0pt;height:45.5pt;width:0.5pt;z-index:-251626496;mso-width-relative:page;mso-height-relative:page;" filled="f" stroked="t" coordsize="10,910" path="m5,0l5,909e">
                  <v:fill on="f" focussize="0,0"/>
                  <v:stroke weight="0.5pt" color="#000000" miterlimit="10" joinstyle="miter"/>
                  <v:imagedata o:title=""/>
                  <o:lock v:ext="edit"/>
                </v:shape>
              </w:pict>
            </w:r>
            <w:r>
              <w:rPr>
                <w:spacing w:val="2"/>
                <w:sz w:val="24"/>
                <w:szCs w:val="24"/>
              </w:rPr>
              <w:t xml:space="preserve">自然植被                           </w:t>
            </w:r>
            <w:r>
              <w:rPr>
                <w:spacing w:val="1"/>
                <w:sz w:val="24"/>
                <w:szCs w:val="24"/>
              </w:rPr>
              <w:t xml:space="preserve">                               </w:t>
            </w:r>
            <w:r>
              <w:rPr>
                <w:position w:val="-3"/>
                <w:sz w:val="24"/>
                <w:szCs w:val="24"/>
              </w:rPr>
              <w:drawing>
                <wp:inline distT="0" distB="0" distL="0" distR="0">
                  <wp:extent cx="6350" cy="16383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294"/>
                          <a:stretch>
                            <a:fillRect/>
                          </a:stretch>
                        </pic:blipFill>
                        <pic:spPr>
                          <a:xfrm>
                            <a:off x="0" y="0"/>
                            <a:ext cx="6350" cy="164464"/>
                          </a:xfrm>
                          <a:prstGeom prst="rect">
                            <a:avLst/>
                          </a:prstGeom>
                        </pic:spPr>
                      </pic:pic>
                    </a:graphicData>
                  </a:graphic>
                </wp:inline>
              </w:drawing>
            </w:r>
          </w:p>
        </w:tc>
      </w:tr>
      <w:tr w14:paraId="5E484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64" w:type="dxa"/>
            <w:vMerge w:val="continue"/>
            <w:tcBorders>
              <w:top w:val="nil"/>
              <w:bottom w:val="nil"/>
            </w:tcBorders>
            <w:vAlign w:val="top"/>
          </w:tcPr>
          <w:p w14:paraId="3A6DDBC6">
            <w:pPr>
              <w:rPr>
                <w:rFonts w:ascii="Arial"/>
                <w:sz w:val="21"/>
              </w:rPr>
            </w:pPr>
          </w:p>
        </w:tc>
        <w:tc>
          <w:tcPr>
            <w:tcW w:w="8631" w:type="dxa"/>
            <w:vAlign w:val="top"/>
          </w:tcPr>
          <w:p w14:paraId="46F37271">
            <w:pPr>
              <w:pStyle w:val="6"/>
              <w:spacing w:before="50" w:line="200" w:lineRule="auto"/>
              <w:ind w:left="611"/>
              <w:rPr>
                <w:sz w:val="24"/>
                <w:szCs w:val="24"/>
              </w:rPr>
            </w:pPr>
            <w:r>
              <w:rPr>
                <w:spacing w:val="1"/>
                <w:sz w:val="24"/>
                <w:szCs w:val="24"/>
              </w:rPr>
              <w:t>I.暖性针叶林</w:t>
            </w:r>
          </w:p>
        </w:tc>
        <w:tc>
          <w:tcPr>
            <w:tcW w:w="120" w:type="dxa"/>
            <w:vAlign w:val="top"/>
          </w:tcPr>
          <w:p w14:paraId="334067F0">
            <w:pPr>
              <w:rPr>
                <w:rFonts w:ascii="Arial"/>
                <w:sz w:val="21"/>
              </w:rPr>
            </w:pPr>
          </w:p>
        </w:tc>
      </w:tr>
      <w:tr w14:paraId="23C2C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664" w:type="dxa"/>
            <w:vMerge w:val="continue"/>
            <w:tcBorders>
              <w:top w:val="nil"/>
            </w:tcBorders>
            <w:vAlign w:val="top"/>
          </w:tcPr>
          <w:p w14:paraId="0B52306C">
            <w:pPr>
              <w:rPr>
                <w:rFonts w:ascii="Arial"/>
                <w:sz w:val="21"/>
              </w:rPr>
            </w:pPr>
          </w:p>
        </w:tc>
        <w:tc>
          <w:tcPr>
            <w:tcW w:w="8631" w:type="dxa"/>
            <w:vAlign w:val="top"/>
          </w:tcPr>
          <w:p w14:paraId="45362A0D">
            <w:pPr>
              <w:pStyle w:val="6"/>
              <w:spacing w:before="39" w:line="189" w:lineRule="auto"/>
              <w:ind w:left="611"/>
              <w:rPr>
                <w:sz w:val="24"/>
                <w:szCs w:val="24"/>
              </w:rPr>
            </w:pPr>
            <w:r>
              <w:rPr>
                <w:spacing w:val="1"/>
                <w:sz w:val="24"/>
                <w:szCs w:val="24"/>
              </w:rPr>
              <w:t>(I)暖温性针叶林</w:t>
            </w:r>
          </w:p>
        </w:tc>
        <w:tc>
          <w:tcPr>
            <w:tcW w:w="120" w:type="dxa"/>
            <w:vAlign w:val="top"/>
          </w:tcPr>
          <w:p w14:paraId="0B2BCBB1">
            <w:pPr>
              <w:rPr>
                <w:rFonts w:ascii="Arial"/>
                <w:sz w:val="21"/>
              </w:rPr>
            </w:pPr>
          </w:p>
        </w:tc>
      </w:tr>
    </w:tbl>
    <w:p w14:paraId="72D72CCF">
      <w:pPr>
        <w:pStyle w:val="2"/>
      </w:pPr>
    </w:p>
    <w:p w14:paraId="7CDCDE28">
      <w:pPr>
        <w:sectPr>
          <w:footerReference r:id="rId91" w:type="default"/>
          <w:pgSz w:w="11910" w:h="16830"/>
          <w:pgMar w:top="400" w:right="1259" w:bottom="1245" w:left="1224" w:header="0" w:footer="1083" w:gutter="0"/>
          <w:cols w:space="720" w:num="1"/>
        </w:sectPr>
      </w:pPr>
    </w:p>
    <w:p w14:paraId="11FE1C79">
      <w:pPr>
        <w:spacing w:before="18"/>
      </w:pPr>
    </w:p>
    <w:p w14:paraId="5AF4F57C">
      <w:pPr>
        <w:spacing w:before="17"/>
      </w:pPr>
    </w:p>
    <w:p w14:paraId="2ED24B7B">
      <w:pPr>
        <w:spacing w:before="17"/>
      </w:pPr>
    </w:p>
    <w:p w14:paraId="57A83C06">
      <w:pPr>
        <w:spacing w:before="17"/>
      </w:pPr>
    </w:p>
    <w:tbl>
      <w:tblPr>
        <w:tblStyle w:val="5"/>
        <w:tblW w:w="94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10"/>
        <w:gridCol w:w="8511"/>
        <w:gridCol w:w="121"/>
      </w:tblGrid>
      <w:tr w14:paraId="55D5F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664" w:type="dxa"/>
            <w:vMerge w:val="restart"/>
            <w:tcBorders>
              <w:bottom w:val="nil"/>
            </w:tcBorders>
            <w:vAlign w:val="top"/>
          </w:tcPr>
          <w:p w14:paraId="1200787C">
            <w:pPr>
              <w:rPr>
                <w:rFonts w:ascii="Arial"/>
                <w:sz w:val="21"/>
              </w:rPr>
            </w:pPr>
          </w:p>
        </w:tc>
        <w:tc>
          <w:tcPr>
            <w:tcW w:w="110" w:type="dxa"/>
            <w:tcBorders>
              <w:bottom w:val="nil"/>
            </w:tcBorders>
            <w:vAlign w:val="top"/>
          </w:tcPr>
          <w:p w14:paraId="2308D61A">
            <w:pPr>
              <w:rPr>
                <w:rFonts w:ascii="Arial"/>
                <w:sz w:val="21"/>
              </w:rPr>
            </w:pPr>
          </w:p>
        </w:tc>
        <w:tc>
          <w:tcPr>
            <w:tcW w:w="8511" w:type="dxa"/>
            <w:vAlign w:val="top"/>
          </w:tcPr>
          <w:p w14:paraId="1F3EA3C9">
            <w:pPr>
              <w:pStyle w:val="6"/>
              <w:spacing w:before="34" w:line="193" w:lineRule="auto"/>
              <w:ind w:left="1051"/>
              <w:rPr>
                <w:sz w:val="24"/>
                <w:szCs w:val="24"/>
              </w:rPr>
            </w:pPr>
            <w:r>
              <w:rPr>
                <w:spacing w:val="-1"/>
                <w:sz w:val="24"/>
                <w:szCs w:val="24"/>
              </w:rPr>
              <w:t>一、云南松林</w:t>
            </w:r>
          </w:p>
        </w:tc>
        <w:tc>
          <w:tcPr>
            <w:tcW w:w="121" w:type="dxa"/>
            <w:tcBorders>
              <w:bottom w:val="nil"/>
            </w:tcBorders>
            <w:shd w:val="clear" w:color="auto" w:fill="FFFFFF"/>
            <w:vAlign w:val="top"/>
          </w:tcPr>
          <w:p w14:paraId="35CFCEFF">
            <w:pPr>
              <w:rPr>
                <w:rFonts w:ascii="Arial"/>
                <w:sz w:val="21"/>
              </w:rPr>
            </w:pPr>
          </w:p>
        </w:tc>
      </w:tr>
      <w:tr w14:paraId="0B1FF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64" w:type="dxa"/>
            <w:vMerge w:val="continue"/>
            <w:tcBorders>
              <w:top w:val="nil"/>
              <w:bottom w:val="nil"/>
            </w:tcBorders>
            <w:vAlign w:val="top"/>
          </w:tcPr>
          <w:p w14:paraId="03ED160B">
            <w:pPr>
              <w:rPr>
                <w:rFonts w:ascii="Arial"/>
                <w:sz w:val="21"/>
              </w:rPr>
            </w:pPr>
          </w:p>
        </w:tc>
        <w:tc>
          <w:tcPr>
            <w:tcW w:w="110" w:type="dxa"/>
            <w:tcBorders>
              <w:top w:val="nil"/>
              <w:bottom w:val="nil"/>
            </w:tcBorders>
            <w:vAlign w:val="top"/>
          </w:tcPr>
          <w:p w14:paraId="58D9353F">
            <w:pPr>
              <w:rPr>
                <w:rFonts w:ascii="Arial"/>
                <w:sz w:val="21"/>
              </w:rPr>
            </w:pPr>
          </w:p>
        </w:tc>
        <w:tc>
          <w:tcPr>
            <w:tcW w:w="8511" w:type="dxa"/>
            <w:vAlign w:val="top"/>
          </w:tcPr>
          <w:p w14:paraId="22E0C2E9">
            <w:pPr>
              <w:pStyle w:val="6"/>
              <w:spacing w:before="18" w:line="185" w:lineRule="auto"/>
              <w:ind w:left="1141"/>
              <w:rPr>
                <w:sz w:val="24"/>
                <w:szCs w:val="24"/>
              </w:rPr>
            </w:pPr>
            <w:r>
              <w:rPr>
                <w:sz w:val="24"/>
                <w:szCs w:val="24"/>
              </w:rPr>
              <w:t>1、云南松、高山栲、紫荆泽兰群落</w:t>
            </w:r>
          </w:p>
        </w:tc>
        <w:tc>
          <w:tcPr>
            <w:tcW w:w="121" w:type="dxa"/>
            <w:tcBorders>
              <w:top w:val="nil"/>
              <w:bottom w:val="nil"/>
            </w:tcBorders>
            <w:shd w:val="clear" w:color="auto" w:fill="FFFFFF"/>
            <w:vAlign w:val="top"/>
          </w:tcPr>
          <w:p w14:paraId="7126FB78">
            <w:pPr>
              <w:rPr>
                <w:rFonts w:ascii="Arial"/>
                <w:sz w:val="21"/>
              </w:rPr>
            </w:pPr>
          </w:p>
        </w:tc>
      </w:tr>
      <w:tr w14:paraId="4D321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64" w:type="dxa"/>
            <w:vMerge w:val="continue"/>
            <w:tcBorders>
              <w:top w:val="nil"/>
              <w:bottom w:val="nil"/>
            </w:tcBorders>
            <w:vAlign w:val="top"/>
          </w:tcPr>
          <w:p w14:paraId="25F92E14">
            <w:pPr>
              <w:rPr>
                <w:rFonts w:ascii="Arial"/>
                <w:sz w:val="21"/>
              </w:rPr>
            </w:pPr>
          </w:p>
        </w:tc>
        <w:tc>
          <w:tcPr>
            <w:tcW w:w="110" w:type="dxa"/>
            <w:tcBorders>
              <w:top w:val="nil"/>
              <w:bottom w:val="nil"/>
            </w:tcBorders>
            <w:vAlign w:val="top"/>
          </w:tcPr>
          <w:p w14:paraId="5CDD6CC2">
            <w:pPr>
              <w:rPr>
                <w:rFonts w:ascii="Arial"/>
                <w:sz w:val="21"/>
              </w:rPr>
            </w:pPr>
          </w:p>
        </w:tc>
        <w:tc>
          <w:tcPr>
            <w:tcW w:w="8511" w:type="dxa"/>
            <w:vAlign w:val="top"/>
          </w:tcPr>
          <w:p w14:paraId="7D45BD6B">
            <w:pPr>
              <w:pStyle w:val="6"/>
              <w:spacing w:before="30" w:line="192" w:lineRule="auto"/>
              <w:ind w:left="531"/>
              <w:rPr>
                <w:sz w:val="24"/>
                <w:szCs w:val="24"/>
              </w:rPr>
            </w:pPr>
            <w:r>
              <w:rPr>
                <w:sz w:val="24"/>
                <w:szCs w:val="24"/>
              </w:rPr>
              <w:t>II</w:t>
            </w:r>
            <w:r>
              <w:rPr>
                <w:spacing w:val="1"/>
                <w:sz w:val="24"/>
                <w:szCs w:val="24"/>
              </w:rPr>
              <w:t>.稀树灌木草丛</w:t>
            </w:r>
          </w:p>
        </w:tc>
        <w:tc>
          <w:tcPr>
            <w:tcW w:w="121" w:type="dxa"/>
            <w:tcBorders>
              <w:top w:val="nil"/>
              <w:bottom w:val="nil"/>
            </w:tcBorders>
            <w:shd w:val="clear" w:color="auto" w:fill="FFFFFF"/>
            <w:vAlign w:val="top"/>
          </w:tcPr>
          <w:p w14:paraId="4E462135">
            <w:pPr>
              <w:rPr>
                <w:rFonts w:ascii="Arial"/>
                <w:sz w:val="21"/>
              </w:rPr>
            </w:pPr>
          </w:p>
        </w:tc>
      </w:tr>
      <w:tr w14:paraId="33F80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64" w:type="dxa"/>
            <w:vMerge w:val="continue"/>
            <w:tcBorders>
              <w:top w:val="nil"/>
              <w:bottom w:val="nil"/>
            </w:tcBorders>
            <w:vAlign w:val="top"/>
          </w:tcPr>
          <w:p w14:paraId="56D26638">
            <w:pPr>
              <w:rPr>
                <w:rFonts w:ascii="Arial"/>
                <w:sz w:val="21"/>
              </w:rPr>
            </w:pPr>
          </w:p>
        </w:tc>
        <w:tc>
          <w:tcPr>
            <w:tcW w:w="110" w:type="dxa"/>
            <w:tcBorders>
              <w:top w:val="nil"/>
              <w:bottom w:val="nil"/>
            </w:tcBorders>
            <w:vAlign w:val="top"/>
          </w:tcPr>
          <w:p w14:paraId="07DCFF2A">
            <w:pPr>
              <w:rPr>
                <w:rFonts w:ascii="Arial"/>
                <w:sz w:val="21"/>
              </w:rPr>
            </w:pPr>
          </w:p>
        </w:tc>
        <w:tc>
          <w:tcPr>
            <w:tcW w:w="8511" w:type="dxa"/>
            <w:vAlign w:val="top"/>
          </w:tcPr>
          <w:p w14:paraId="4607A15D">
            <w:pPr>
              <w:pStyle w:val="6"/>
              <w:spacing w:before="50" w:line="207" w:lineRule="auto"/>
              <w:ind w:left="531"/>
              <w:rPr>
                <w:sz w:val="24"/>
                <w:szCs w:val="24"/>
              </w:rPr>
            </w:pPr>
            <w:r>
              <w:rPr>
                <w:sz w:val="24"/>
                <w:szCs w:val="24"/>
              </w:rPr>
              <w:t>(II)暖温性稀树灌木草丛</w:t>
            </w:r>
          </w:p>
        </w:tc>
        <w:tc>
          <w:tcPr>
            <w:tcW w:w="121" w:type="dxa"/>
            <w:tcBorders>
              <w:top w:val="nil"/>
              <w:bottom w:val="nil"/>
            </w:tcBorders>
            <w:shd w:val="clear" w:color="auto" w:fill="FFFFFF"/>
            <w:vAlign w:val="top"/>
          </w:tcPr>
          <w:p w14:paraId="0DA1FC4D">
            <w:pPr>
              <w:rPr>
                <w:rFonts w:ascii="Arial"/>
                <w:sz w:val="21"/>
              </w:rPr>
            </w:pPr>
          </w:p>
        </w:tc>
      </w:tr>
      <w:tr w14:paraId="3C894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64" w:type="dxa"/>
            <w:vMerge w:val="continue"/>
            <w:tcBorders>
              <w:top w:val="nil"/>
              <w:bottom w:val="nil"/>
            </w:tcBorders>
            <w:vAlign w:val="top"/>
          </w:tcPr>
          <w:p w14:paraId="2EA80517">
            <w:pPr>
              <w:rPr>
                <w:rFonts w:ascii="Arial"/>
                <w:sz w:val="21"/>
              </w:rPr>
            </w:pPr>
          </w:p>
        </w:tc>
        <w:tc>
          <w:tcPr>
            <w:tcW w:w="110" w:type="dxa"/>
            <w:tcBorders>
              <w:top w:val="nil"/>
              <w:bottom w:val="nil"/>
            </w:tcBorders>
            <w:vAlign w:val="top"/>
          </w:tcPr>
          <w:p w14:paraId="1EC6E093">
            <w:pPr>
              <w:rPr>
                <w:rFonts w:ascii="Arial"/>
                <w:sz w:val="21"/>
              </w:rPr>
            </w:pPr>
          </w:p>
        </w:tc>
        <w:tc>
          <w:tcPr>
            <w:tcW w:w="8511" w:type="dxa"/>
            <w:vAlign w:val="top"/>
          </w:tcPr>
          <w:p w14:paraId="7B1B11F5">
            <w:pPr>
              <w:pStyle w:val="6"/>
              <w:spacing w:before="30" w:line="169" w:lineRule="auto"/>
              <w:ind w:left="531"/>
              <w:rPr>
                <w:sz w:val="24"/>
                <w:szCs w:val="24"/>
              </w:rPr>
            </w:pPr>
            <w:r>
              <w:rPr>
                <w:spacing w:val="1"/>
                <w:sz w:val="24"/>
                <w:szCs w:val="24"/>
              </w:rPr>
              <w:t>二、含云南松的中草群落</w:t>
            </w:r>
          </w:p>
        </w:tc>
        <w:tc>
          <w:tcPr>
            <w:tcW w:w="121" w:type="dxa"/>
            <w:tcBorders>
              <w:top w:val="nil"/>
              <w:bottom w:val="nil"/>
            </w:tcBorders>
            <w:shd w:val="clear" w:color="auto" w:fill="FFFFFF"/>
            <w:vAlign w:val="top"/>
          </w:tcPr>
          <w:p w14:paraId="2A8D5AF5">
            <w:pPr>
              <w:rPr>
                <w:rFonts w:ascii="Arial"/>
                <w:sz w:val="21"/>
              </w:rPr>
            </w:pPr>
          </w:p>
        </w:tc>
      </w:tr>
      <w:tr w14:paraId="60482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64" w:type="dxa"/>
            <w:vMerge w:val="continue"/>
            <w:tcBorders>
              <w:top w:val="nil"/>
              <w:bottom w:val="nil"/>
            </w:tcBorders>
            <w:vAlign w:val="top"/>
          </w:tcPr>
          <w:p w14:paraId="00F48E0A">
            <w:pPr>
              <w:rPr>
                <w:rFonts w:ascii="Arial"/>
                <w:sz w:val="21"/>
              </w:rPr>
            </w:pPr>
          </w:p>
        </w:tc>
        <w:tc>
          <w:tcPr>
            <w:tcW w:w="110" w:type="dxa"/>
            <w:tcBorders>
              <w:top w:val="nil"/>
              <w:bottom w:val="nil"/>
            </w:tcBorders>
            <w:vAlign w:val="top"/>
          </w:tcPr>
          <w:p w14:paraId="4E749122">
            <w:pPr>
              <w:rPr>
                <w:rFonts w:ascii="Arial"/>
                <w:sz w:val="21"/>
              </w:rPr>
            </w:pPr>
          </w:p>
        </w:tc>
        <w:tc>
          <w:tcPr>
            <w:tcW w:w="8511" w:type="dxa"/>
            <w:vAlign w:val="top"/>
          </w:tcPr>
          <w:p w14:paraId="19593021">
            <w:pPr>
              <w:pStyle w:val="6"/>
              <w:spacing w:before="20" w:line="184" w:lineRule="auto"/>
              <w:ind w:left="1131"/>
              <w:rPr>
                <w:sz w:val="24"/>
                <w:szCs w:val="24"/>
              </w:rPr>
            </w:pPr>
            <w:r>
              <w:rPr>
                <w:sz w:val="24"/>
                <w:szCs w:val="24"/>
              </w:rPr>
              <w:t>2、云南松、珍珠花、刺芒野古草群落</w:t>
            </w:r>
          </w:p>
        </w:tc>
        <w:tc>
          <w:tcPr>
            <w:tcW w:w="121" w:type="dxa"/>
            <w:tcBorders>
              <w:top w:val="nil"/>
              <w:bottom w:val="nil"/>
            </w:tcBorders>
            <w:shd w:val="clear" w:color="auto" w:fill="FFFFFF"/>
            <w:vAlign w:val="top"/>
          </w:tcPr>
          <w:p w14:paraId="38486BCC">
            <w:pPr>
              <w:rPr>
                <w:rFonts w:ascii="Arial"/>
                <w:sz w:val="21"/>
              </w:rPr>
            </w:pPr>
          </w:p>
        </w:tc>
      </w:tr>
      <w:tr w14:paraId="5DF10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64" w:type="dxa"/>
            <w:vMerge w:val="continue"/>
            <w:tcBorders>
              <w:top w:val="nil"/>
              <w:bottom w:val="nil"/>
            </w:tcBorders>
            <w:vAlign w:val="top"/>
          </w:tcPr>
          <w:p w14:paraId="38B4307B">
            <w:pPr>
              <w:rPr>
                <w:rFonts w:ascii="Arial"/>
                <w:sz w:val="21"/>
              </w:rPr>
            </w:pPr>
          </w:p>
        </w:tc>
        <w:tc>
          <w:tcPr>
            <w:tcW w:w="110" w:type="dxa"/>
            <w:tcBorders>
              <w:top w:val="nil"/>
              <w:bottom w:val="nil"/>
            </w:tcBorders>
            <w:vAlign w:val="top"/>
          </w:tcPr>
          <w:p w14:paraId="3182CB17">
            <w:pPr>
              <w:rPr>
                <w:rFonts w:ascii="Arial"/>
                <w:sz w:val="21"/>
              </w:rPr>
            </w:pPr>
          </w:p>
        </w:tc>
        <w:tc>
          <w:tcPr>
            <w:tcW w:w="8511" w:type="dxa"/>
            <w:vAlign w:val="top"/>
          </w:tcPr>
          <w:p w14:paraId="038B7445">
            <w:pPr>
              <w:pStyle w:val="6"/>
              <w:spacing w:before="20" w:line="184" w:lineRule="auto"/>
              <w:ind w:left="531"/>
              <w:rPr>
                <w:sz w:val="24"/>
                <w:szCs w:val="24"/>
              </w:rPr>
            </w:pPr>
            <w:r>
              <w:rPr>
                <w:sz w:val="24"/>
                <w:szCs w:val="24"/>
              </w:rPr>
              <w:t>III</w:t>
            </w:r>
            <w:r>
              <w:rPr>
                <w:spacing w:val="4"/>
                <w:sz w:val="24"/>
                <w:szCs w:val="24"/>
              </w:rPr>
              <w:t>.灌丛</w:t>
            </w:r>
          </w:p>
        </w:tc>
        <w:tc>
          <w:tcPr>
            <w:tcW w:w="121" w:type="dxa"/>
            <w:tcBorders>
              <w:top w:val="nil"/>
              <w:bottom w:val="nil"/>
            </w:tcBorders>
            <w:shd w:val="clear" w:color="auto" w:fill="FFFFFF"/>
            <w:vAlign w:val="top"/>
          </w:tcPr>
          <w:p w14:paraId="7E404BCD">
            <w:pPr>
              <w:rPr>
                <w:rFonts w:ascii="Arial"/>
                <w:sz w:val="21"/>
              </w:rPr>
            </w:pPr>
          </w:p>
        </w:tc>
      </w:tr>
      <w:tr w14:paraId="0BE57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64" w:type="dxa"/>
            <w:vMerge w:val="continue"/>
            <w:tcBorders>
              <w:top w:val="nil"/>
              <w:bottom w:val="nil"/>
            </w:tcBorders>
            <w:vAlign w:val="top"/>
          </w:tcPr>
          <w:p w14:paraId="5331C831">
            <w:pPr>
              <w:rPr>
                <w:rFonts w:ascii="Arial"/>
                <w:sz w:val="21"/>
              </w:rPr>
            </w:pPr>
          </w:p>
        </w:tc>
        <w:tc>
          <w:tcPr>
            <w:tcW w:w="110" w:type="dxa"/>
            <w:tcBorders>
              <w:top w:val="nil"/>
              <w:bottom w:val="nil"/>
            </w:tcBorders>
            <w:vAlign w:val="top"/>
          </w:tcPr>
          <w:p w14:paraId="35E06C1D">
            <w:pPr>
              <w:rPr>
                <w:rFonts w:ascii="Arial"/>
                <w:sz w:val="21"/>
              </w:rPr>
            </w:pPr>
          </w:p>
        </w:tc>
        <w:tc>
          <w:tcPr>
            <w:tcW w:w="8511" w:type="dxa"/>
            <w:vAlign w:val="top"/>
          </w:tcPr>
          <w:p w14:paraId="703DD639">
            <w:pPr>
              <w:pStyle w:val="6"/>
              <w:spacing w:before="30" w:line="192" w:lineRule="auto"/>
              <w:ind w:left="531"/>
              <w:rPr>
                <w:sz w:val="24"/>
                <w:szCs w:val="24"/>
              </w:rPr>
            </w:pPr>
            <w:r>
              <w:rPr>
                <w:spacing w:val="1"/>
                <w:sz w:val="24"/>
                <w:szCs w:val="24"/>
              </w:rPr>
              <w:t>(</w:t>
            </w:r>
            <w:r>
              <w:rPr>
                <w:sz w:val="24"/>
                <w:szCs w:val="24"/>
              </w:rPr>
              <w:t>III</w:t>
            </w:r>
            <w:r>
              <w:rPr>
                <w:spacing w:val="1"/>
                <w:sz w:val="24"/>
                <w:szCs w:val="24"/>
              </w:rPr>
              <w:t>)暖性石灰岩灌丛</w:t>
            </w:r>
          </w:p>
        </w:tc>
        <w:tc>
          <w:tcPr>
            <w:tcW w:w="121" w:type="dxa"/>
            <w:tcBorders>
              <w:top w:val="nil"/>
              <w:bottom w:val="nil"/>
            </w:tcBorders>
            <w:shd w:val="clear" w:color="auto" w:fill="FFFFFF"/>
            <w:vAlign w:val="top"/>
          </w:tcPr>
          <w:p w14:paraId="51D0887B">
            <w:pPr>
              <w:rPr>
                <w:rFonts w:ascii="Arial"/>
                <w:sz w:val="21"/>
              </w:rPr>
            </w:pPr>
          </w:p>
        </w:tc>
      </w:tr>
      <w:tr w14:paraId="3D2A7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64" w:type="dxa"/>
            <w:vMerge w:val="continue"/>
            <w:tcBorders>
              <w:top w:val="nil"/>
              <w:bottom w:val="nil"/>
            </w:tcBorders>
            <w:vAlign w:val="top"/>
          </w:tcPr>
          <w:p w14:paraId="33509A4D">
            <w:pPr>
              <w:rPr>
                <w:rFonts w:ascii="Arial"/>
                <w:sz w:val="21"/>
              </w:rPr>
            </w:pPr>
          </w:p>
        </w:tc>
        <w:tc>
          <w:tcPr>
            <w:tcW w:w="110" w:type="dxa"/>
            <w:tcBorders>
              <w:top w:val="nil"/>
              <w:bottom w:val="nil"/>
            </w:tcBorders>
            <w:vAlign w:val="top"/>
          </w:tcPr>
          <w:p w14:paraId="3C811272">
            <w:pPr>
              <w:rPr>
                <w:rFonts w:ascii="Arial"/>
                <w:sz w:val="21"/>
              </w:rPr>
            </w:pPr>
          </w:p>
        </w:tc>
        <w:tc>
          <w:tcPr>
            <w:tcW w:w="8511" w:type="dxa"/>
            <w:vAlign w:val="top"/>
          </w:tcPr>
          <w:p w14:paraId="6A0E4EE1">
            <w:pPr>
              <w:pStyle w:val="6"/>
              <w:spacing w:before="20" w:line="184" w:lineRule="auto"/>
              <w:ind w:left="531"/>
              <w:rPr>
                <w:sz w:val="24"/>
                <w:szCs w:val="24"/>
              </w:rPr>
            </w:pPr>
            <w:r>
              <w:rPr>
                <w:spacing w:val="-2"/>
                <w:sz w:val="24"/>
                <w:szCs w:val="24"/>
              </w:rPr>
              <w:t>三、小铁仔灌丛</w:t>
            </w:r>
          </w:p>
        </w:tc>
        <w:tc>
          <w:tcPr>
            <w:tcW w:w="121" w:type="dxa"/>
            <w:tcBorders>
              <w:top w:val="nil"/>
              <w:bottom w:val="nil"/>
            </w:tcBorders>
            <w:shd w:val="clear" w:color="auto" w:fill="FFFFFF"/>
            <w:vAlign w:val="top"/>
          </w:tcPr>
          <w:p w14:paraId="27D22DF6">
            <w:pPr>
              <w:rPr>
                <w:rFonts w:ascii="Arial"/>
                <w:sz w:val="21"/>
              </w:rPr>
            </w:pPr>
          </w:p>
        </w:tc>
      </w:tr>
      <w:tr w14:paraId="5BD66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64" w:type="dxa"/>
            <w:vMerge w:val="continue"/>
            <w:tcBorders>
              <w:top w:val="nil"/>
              <w:bottom w:val="nil"/>
            </w:tcBorders>
            <w:vAlign w:val="top"/>
          </w:tcPr>
          <w:p w14:paraId="7235F740">
            <w:pPr>
              <w:rPr>
                <w:rFonts w:ascii="Arial"/>
                <w:sz w:val="21"/>
              </w:rPr>
            </w:pPr>
          </w:p>
        </w:tc>
        <w:tc>
          <w:tcPr>
            <w:tcW w:w="110" w:type="dxa"/>
            <w:tcBorders>
              <w:top w:val="nil"/>
              <w:bottom w:val="nil"/>
            </w:tcBorders>
            <w:vAlign w:val="top"/>
          </w:tcPr>
          <w:p w14:paraId="290E51CF">
            <w:pPr>
              <w:rPr>
                <w:rFonts w:ascii="Arial"/>
                <w:sz w:val="21"/>
              </w:rPr>
            </w:pPr>
          </w:p>
        </w:tc>
        <w:tc>
          <w:tcPr>
            <w:tcW w:w="8511" w:type="dxa"/>
            <w:vAlign w:val="top"/>
          </w:tcPr>
          <w:p w14:paraId="5A1A6EE2">
            <w:pPr>
              <w:pStyle w:val="6"/>
              <w:spacing w:before="20" w:line="184" w:lineRule="auto"/>
              <w:ind w:left="1141"/>
              <w:rPr>
                <w:sz w:val="24"/>
                <w:szCs w:val="24"/>
              </w:rPr>
            </w:pPr>
            <w:r>
              <w:rPr>
                <w:sz w:val="24"/>
                <w:szCs w:val="24"/>
              </w:rPr>
              <w:t>3、小铁仔、华西小石积、短柄草群落</w:t>
            </w:r>
          </w:p>
        </w:tc>
        <w:tc>
          <w:tcPr>
            <w:tcW w:w="121" w:type="dxa"/>
            <w:tcBorders>
              <w:top w:val="nil"/>
              <w:bottom w:val="nil"/>
            </w:tcBorders>
            <w:shd w:val="clear" w:color="auto" w:fill="FFFFFF"/>
            <w:vAlign w:val="top"/>
          </w:tcPr>
          <w:p w14:paraId="79582652">
            <w:pPr>
              <w:rPr>
                <w:rFonts w:ascii="Arial"/>
                <w:sz w:val="21"/>
              </w:rPr>
            </w:pPr>
          </w:p>
        </w:tc>
      </w:tr>
      <w:tr w14:paraId="136C4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664" w:type="dxa"/>
            <w:vMerge w:val="continue"/>
            <w:tcBorders>
              <w:top w:val="nil"/>
              <w:bottom w:val="nil"/>
            </w:tcBorders>
            <w:vAlign w:val="top"/>
          </w:tcPr>
          <w:p w14:paraId="60A4C74A">
            <w:pPr>
              <w:rPr>
                <w:rFonts w:ascii="Arial"/>
                <w:sz w:val="21"/>
              </w:rPr>
            </w:pPr>
          </w:p>
        </w:tc>
        <w:tc>
          <w:tcPr>
            <w:tcW w:w="110" w:type="dxa"/>
            <w:tcBorders>
              <w:top w:val="nil"/>
              <w:bottom w:val="nil"/>
            </w:tcBorders>
            <w:vAlign w:val="top"/>
          </w:tcPr>
          <w:p w14:paraId="7ED4C9C5">
            <w:pPr>
              <w:rPr>
                <w:rFonts w:ascii="Arial"/>
                <w:sz w:val="21"/>
              </w:rPr>
            </w:pPr>
          </w:p>
        </w:tc>
        <w:tc>
          <w:tcPr>
            <w:tcW w:w="8511" w:type="dxa"/>
            <w:vAlign w:val="top"/>
          </w:tcPr>
          <w:p w14:paraId="2EED2E4A">
            <w:pPr>
              <w:pStyle w:val="6"/>
              <w:spacing w:before="21" w:line="183" w:lineRule="auto"/>
              <w:ind w:left="531"/>
              <w:rPr>
                <w:sz w:val="24"/>
                <w:szCs w:val="24"/>
              </w:rPr>
            </w:pPr>
            <w:r>
              <w:rPr>
                <w:spacing w:val="2"/>
                <w:sz w:val="24"/>
                <w:szCs w:val="24"/>
              </w:rPr>
              <w:t>人工植被</w:t>
            </w:r>
          </w:p>
        </w:tc>
        <w:tc>
          <w:tcPr>
            <w:tcW w:w="121" w:type="dxa"/>
            <w:tcBorders>
              <w:top w:val="nil"/>
              <w:bottom w:val="nil"/>
            </w:tcBorders>
            <w:shd w:val="clear" w:color="auto" w:fill="FFFFFF"/>
            <w:vAlign w:val="top"/>
          </w:tcPr>
          <w:p w14:paraId="418070DD">
            <w:pPr>
              <w:rPr>
                <w:rFonts w:ascii="Arial"/>
                <w:sz w:val="21"/>
              </w:rPr>
            </w:pPr>
          </w:p>
        </w:tc>
      </w:tr>
      <w:tr w14:paraId="49071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64" w:type="dxa"/>
            <w:vMerge w:val="continue"/>
            <w:tcBorders>
              <w:top w:val="nil"/>
              <w:bottom w:val="nil"/>
            </w:tcBorders>
            <w:vAlign w:val="top"/>
          </w:tcPr>
          <w:p w14:paraId="097B38F5">
            <w:pPr>
              <w:rPr>
                <w:rFonts w:ascii="Arial"/>
                <w:sz w:val="21"/>
              </w:rPr>
            </w:pPr>
          </w:p>
        </w:tc>
        <w:tc>
          <w:tcPr>
            <w:tcW w:w="110" w:type="dxa"/>
            <w:tcBorders>
              <w:top w:val="nil"/>
              <w:bottom w:val="nil"/>
            </w:tcBorders>
            <w:vAlign w:val="top"/>
          </w:tcPr>
          <w:p w14:paraId="1AB59AE2">
            <w:pPr>
              <w:rPr>
                <w:rFonts w:ascii="Arial"/>
                <w:sz w:val="21"/>
              </w:rPr>
            </w:pPr>
          </w:p>
        </w:tc>
        <w:tc>
          <w:tcPr>
            <w:tcW w:w="8511" w:type="dxa"/>
            <w:vAlign w:val="top"/>
          </w:tcPr>
          <w:p w14:paraId="07BA2527">
            <w:pPr>
              <w:pStyle w:val="6"/>
              <w:spacing w:before="22" w:line="183" w:lineRule="auto"/>
              <w:ind w:left="531"/>
              <w:rPr>
                <w:sz w:val="24"/>
                <w:szCs w:val="24"/>
              </w:rPr>
            </w:pPr>
            <w:r>
              <w:rPr>
                <w:spacing w:val="2"/>
                <w:sz w:val="24"/>
                <w:szCs w:val="24"/>
              </w:rPr>
              <w:t>I农田植被</w:t>
            </w:r>
          </w:p>
        </w:tc>
        <w:tc>
          <w:tcPr>
            <w:tcW w:w="121" w:type="dxa"/>
            <w:tcBorders>
              <w:top w:val="nil"/>
              <w:bottom w:val="nil"/>
            </w:tcBorders>
            <w:shd w:val="clear" w:color="auto" w:fill="FFFFFF"/>
            <w:vAlign w:val="top"/>
          </w:tcPr>
          <w:p w14:paraId="5184C9C1">
            <w:pPr>
              <w:rPr>
                <w:rFonts w:ascii="Arial"/>
                <w:sz w:val="21"/>
              </w:rPr>
            </w:pPr>
          </w:p>
        </w:tc>
      </w:tr>
      <w:tr w14:paraId="4411A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664" w:type="dxa"/>
            <w:vMerge w:val="continue"/>
            <w:tcBorders>
              <w:top w:val="nil"/>
              <w:bottom w:val="nil"/>
            </w:tcBorders>
            <w:vAlign w:val="top"/>
          </w:tcPr>
          <w:p w14:paraId="56B12AE1">
            <w:pPr>
              <w:rPr>
                <w:rFonts w:ascii="Arial"/>
                <w:sz w:val="21"/>
              </w:rPr>
            </w:pPr>
          </w:p>
        </w:tc>
        <w:tc>
          <w:tcPr>
            <w:tcW w:w="110" w:type="dxa"/>
            <w:tcBorders>
              <w:top w:val="nil"/>
            </w:tcBorders>
            <w:vAlign w:val="top"/>
          </w:tcPr>
          <w:p w14:paraId="6CACD579">
            <w:pPr>
              <w:rPr>
                <w:rFonts w:ascii="Arial"/>
                <w:sz w:val="21"/>
              </w:rPr>
            </w:pPr>
          </w:p>
        </w:tc>
        <w:tc>
          <w:tcPr>
            <w:tcW w:w="8511" w:type="dxa"/>
            <w:vAlign w:val="top"/>
          </w:tcPr>
          <w:p w14:paraId="3E810433">
            <w:pPr>
              <w:pStyle w:val="6"/>
              <w:spacing w:before="40" w:line="188" w:lineRule="auto"/>
              <w:ind w:left="531" w:firstLine="299"/>
              <w:rPr>
                <w:sz w:val="24"/>
                <w:szCs w:val="24"/>
              </w:rPr>
            </w:pPr>
            <w:r>
              <w:rPr>
                <w:spacing w:val="-21"/>
                <w:sz w:val="24"/>
                <w:szCs w:val="24"/>
              </w:rPr>
              <w:t>I人工林植被(人工直杆</w:t>
            </w:r>
            <w:r>
              <w:rPr>
                <w:spacing w:val="-20"/>
                <w:sz w:val="24"/>
                <w:szCs w:val="24"/>
              </w:rPr>
              <w:t>蓝桉林、人工柏木林、人工杉木</w:t>
            </w:r>
            <w:r>
              <w:rPr>
                <w:spacing w:val="-21"/>
                <w:sz w:val="24"/>
                <w:szCs w:val="24"/>
              </w:rPr>
              <w:t>林、人工柳杉林、人工</w:t>
            </w:r>
            <w:r>
              <w:rPr>
                <w:spacing w:val="-10"/>
                <w:sz w:val="24"/>
                <w:szCs w:val="24"/>
              </w:rPr>
              <w:t>银</w:t>
            </w:r>
            <w:r>
              <w:rPr>
                <w:sz w:val="24"/>
                <w:szCs w:val="24"/>
              </w:rPr>
              <w:t xml:space="preserve"> </w:t>
            </w:r>
            <w:r>
              <w:rPr>
                <w:spacing w:val="17"/>
                <w:sz w:val="24"/>
                <w:szCs w:val="24"/>
              </w:rPr>
              <w:t>荆林)</w:t>
            </w:r>
          </w:p>
        </w:tc>
        <w:tc>
          <w:tcPr>
            <w:tcW w:w="121" w:type="dxa"/>
            <w:tcBorders>
              <w:top w:val="nil"/>
            </w:tcBorders>
            <w:shd w:val="clear" w:color="auto" w:fill="FFFFFF"/>
            <w:vAlign w:val="top"/>
          </w:tcPr>
          <w:p w14:paraId="2BC2CACB">
            <w:pPr>
              <w:rPr>
                <w:rFonts w:ascii="Arial"/>
                <w:sz w:val="21"/>
              </w:rPr>
            </w:pPr>
          </w:p>
        </w:tc>
      </w:tr>
      <w:tr w14:paraId="51CEE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8" w:hRule="atLeast"/>
        </w:trPr>
        <w:tc>
          <w:tcPr>
            <w:tcW w:w="664" w:type="dxa"/>
            <w:vMerge w:val="continue"/>
            <w:tcBorders>
              <w:top w:val="nil"/>
            </w:tcBorders>
            <w:vAlign w:val="top"/>
          </w:tcPr>
          <w:p w14:paraId="377BF45E">
            <w:pPr>
              <w:rPr>
                <w:rFonts w:ascii="Arial"/>
                <w:sz w:val="21"/>
              </w:rPr>
            </w:pPr>
          </w:p>
        </w:tc>
        <w:tc>
          <w:tcPr>
            <w:tcW w:w="8742" w:type="dxa"/>
            <w:gridSpan w:val="3"/>
            <w:vAlign w:val="top"/>
          </w:tcPr>
          <w:p w14:paraId="745894E2">
            <w:pPr>
              <w:pStyle w:val="6"/>
              <w:spacing w:before="22" w:line="209" w:lineRule="auto"/>
              <w:jc w:val="right"/>
              <w:rPr>
                <w:sz w:val="23"/>
                <w:szCs w:val="23"/>
              </w:rPr>
            </w:pPr>
            <w:r>
              <w:rPr>
                <w:spacing w:val="-22"/>
                <w:sz w:val="23"/>
                <w:szCs w:val="23"/>
              </w:rPr>
              <w:t>注：I、Ⅱ、IⅢ.植被型；(1)、(IⅡ)、(IⅢI)…植被亚型；(一)、(二)、(三)…群系；(1)、</w:t>
            </w:r>
          </w:p>
          <w:p w14:paraId="4E74441D">
            <w:pPr>
              <w:pStyle w:val="6"/>
              <w:spacing w:before="1" w:line="190" w:lineRule="auto"/>
              <w:ind w:left="181"/>
              <w:rPr>
                <w:sz w:val="24"/>
                <w:szCs w:val="24"/>
              </w:rPr>
            </w:pPr>
            <w:r>
              <w:rPr>
                <w:sz w:val="24"/>
                <w:szCs w:val="24"/>
              </w:rPr>
              <w:t>(2)、(3).….群丛。</w:t>
            </w:r>
          </w:p>
          <w:p w14:paraId="6262AA63">
            <w:pPr>
              <w:pStyle w:val="6"/>
              <w:spacing w:before="1" w:line="359" w:lineRule="auto"/>
              <w:ind w:left="101" w:firstLine="484"/>
              <w:jc w:val="both"/>
              <w:rPr>
                <w:sz w:val="24"/>
                <w:szCs w:val="24"/>
              </w:rPr>
            </w:pPr>
            <w:r>
              <w:rPr>
                <w:spacing w:val="-3"/>
                <w:sz w:val="24"/>
                <w:szCs w:val="24"/>
              </w:rPr>
              <w:t>评价区位于陆良坝区边缘区域，由于评价区内人类活动影响较早，较频繁，原</w:t>
            </w:r>
            <w:r>
              <w:rPr>
                <w:sz w:val="24"/>
                <w:szCs w:val="24"/>
              </w:rPr>
              <w:t xml:space="preserve"> </w:t>
            </w:r>
            <w:r>
              <w:rPr>
                <w:spacing w:val="-7"/>
                <w:sz w:val="24"/>
                <w:szCs w:val="24"/>
              </w:rPr>
              <w:t>生植被基本被破坏，改造成为耕地。天然植被主要分布在评价区北部区域山丘上部；</w:t>
            </w:r>
            <w:r>
              <w:rPr>
                <w:spacing w:val="8"/>
                <w:sz w:val="24"/>
                <w:szCs w:val="24"/>
              </w:rPr>
              <w:t xml:space="preserve"> </w:t>
            </w:r>
            <w:r>
              <w:rPr>
                <w:spacing w:val="-3"/>
                <w:sz w:val="24"/>
                <w:szCs w:val="24"/>
              </w:rPr>
              <w:t>森林资源主要分布在因地形及坡度的原因难以改造的山坡，得到了一定的保存，成</w:t>
            </w:r>
            <w:r>
              <w:rPr>
                <w:sz w:val="24"/>
                <w:szCs w:val="24"/>
              </w:rPr>
              <w:t xml:space="preserve"> </w:t>
            </w:r>
            <w:r>
              <w:rPr>
                <w:spacing w:val="-2"/>
                <w:sz w:val="24"/>
                <w:szCs w:val="24"/>
              </w:rPr>
              <w:t>小面积的团状分布。</w:t>
            </w:r>
          </w:p>
          <w:p w14:paraId="031F13A7">
            <w:pPr>
              <w:pStyle w:val="6"/>
              <w:spacing w:line="219" w:lineRule="auto"/>
              <w:ind w:left="94"/>
              <w:rPr>
                <w:sz w:val="24"/>
                <w:szCs w:val="24"/>
              </w:rPr>
            </w:pPr>
            <w:r>
              <w:rPr>
                <w:b/>
                <w:bCs/>
                <w:spacing w:val="-3"/>
                <w:sz w:val="24"/>
                <w:szCs w:val="24"/>
              </w:rPr>
              <w:t>4.2.1.2天然植被类型及其特征</w:t>
            </w:r>
          </w:p>
          <w:p w14:paraId="7EEC954F">
            <w:pPr>
              <w:pStyle w:val="6"/>
              <w:spacing w:before="188" w:line="219" w:lineRule="auto"/>
              <w:ind w:left="561"/>
              <w:rPr>
                <w:sz w:val="24"/>
                <w:szCs w:val="24"/>
              </w:rPr>
            </w:pPr>
            <w:r>
              <w:rPr>
                <w:sz w:val="24"/>
                <w:szCs w:val="24"/>
              </w:rPr>
              <w:t>一、暖性针叶林</w:t>
            </w:r>
          </w:p>
          <w:p w14:paraId="004DA9A7">
            <w:pPr>
              <w:pStyle w:val="6"/>
              <w:spacing w:before="163" w:line="219" w:lineRule="auto"/>
              <w:ind w:left="591"/>
              <w:rPr>
                <w:sz w:val="24"/>
                <w:szCs w:val="24"/>
              </w:rPr>
            </w:pPr>
            <w:r>
              <w:rPr>
                <w:sz w:val="24"/>
                <w:szCs w:val="24"/>
              </w:rPr>
              <w:t>暖性针叶林在云南主要分布在除干热河谷和亚高山中部以上的山地以外的大</w:t>
            </w:r>
          </w:p>
          <w:p w14:paraId="7E62741F">
            <w:pPr>
              <w:pStyle w:val="6"/>
              <w:spacing w:before="195" w:line="356" w:lineRule="auto"/>
              <w:ind w:left="91" w:firstLine="19"/>
              <w:rPr>
                <w:sz w:val="24"/>
                <w:szCs w:val="24"/>
              </w:rPr>
            </w:pPr>
            <w:r>
              <w:rPr>
                <w:sz w:val="24"/>
                <w:szCs w:val="24"/>
              </w:rPr>
              <w:t>部分区域，其分布的海拔范围主要为800~2800m。暖性针叶林在本项目评价区内主</w:t>
            </w:r>
            <w:r>
              <w:rPr>
                <w:spacing w:val="3"/>
                <w:sz w:val="24"/>
                <w:szCs w:val="24"/>
              </w:rPr>
              <w:t xml:space="preserve"> </w:t>
            </w:r>
            <w:r>
              <w:rPr>
                <w:sz w:val="24"/>
                <w:szCs w:val="24"/>
              </w:rPr>
              <w:t xml:space="preserve">要分布暖温性针叶林亚型的云南松林，在评价区内记录有云南松、高山栲、滇油杉 </w:t>
            </w:r>
            <w:r>
              <w:rPr>
                <w:spacing w:val="-1"/>
                <w:sz w:val="24"/>
                <w:szCs w:val="24"/>
              </w:rPr>
              <w:t>群落。</w:t>
            </w:r>
          </w:p>
          <w:p w14:paraId="19BB46AD">
            <w:pPr>
              <w:pStyle w:val="6"/>
              <w:spacing w:line="219" w:lineRule="auto"/>
              <w:ind w:left="694"/>
              <w:rPr>
                <w:sz w:val="24"/>
                <w:szCs w:val="24"/>
              </w:rPr>
            </w:pPr>
            <w:r>
              <w:rPr>
                <w:b/>
                <w:bCs/>
                <w:spacing w:val="-3"/>
                <w:sz w:val="24"/>
                <w:szCs w:val="24"/>
              </w:rPr>
              <w:t>(一)、云南松林</w:t>
            </w:r>
          </w:p>
          <w:p w14:paraId="53817ABF">
            <w:pPr>
              <w:pStyle w:val="6"/>
              <w:spacing w:before="179" w:line="356" w:lineRule="auto"/>
              <w:ind w:left="101" w:right="206" w:firstLine="489"/>
              <w:rPr>
                <w:sz w:val="24"/>
                <w:szCs w:val="24"/>
              </w:rPr>
            </w:pPr>
            <w:r>
              <w:rPr>
                <w:sz w:val="24"/>
                <w:szCs w:val="24"/>
              </w:rPr>
              <w:t>云南松林在滇中高原的山地分布极广，主要集中分布在1500~2800m的海拔范</w:t>
            </w:r>
            <w:r>
              <w:rPr>
                <w:spacing w:val="13"/>
                <w:sz w:val="24"/>
                <w:szCs w:val="24"/>
              </w:rPr>
              <w:t xml:space="preserve"> </w:t>
            </w:r>
            <w:r>
              <w:rPr>
                <w:spacing w:val="-1"/>
                <w:sz w:val="24"/>
                <w:szCs w:val="24"/>
              </w:rPr>
              <w:t>围内。评价区内集中分布在山坡中上部。</w:t>
            </w:r>
          </w:p>
          <w:p w14:paraId="78DD678B">
            <w:pPr>
              <w:pStyle w:val="6"/>
              <w:spacing w:before="1" w:line="218" w:lineRule="auto"/>
              <w:ind w:left="604"/>
              <w:rPr>
                <w:sz w:val="24"/>
                <w:szCs w:val="24"/>
              </w:rPr>
            </w:pPr>
            <w:r>
              <w:rPr>
                <w:b/>
                <w:bCs/>
                <w:spacing w:val="-3"/>
                <w:sz w:val="24"/>
                <w:szCs w:val="24"/>
              </w:rPr>
              <w:t>1、云南松、高山栲、紫荆泽兰群落</w:t>
            </w:r>
          </w:p>
          <w:p w14:paraId="0656887F">
            <w:pPr>
              <w:pStyle w:val="6"/>
              <w:spacing w:before="197" w:line="216" w:lineRule="auto"/>
              <w:ind w:left="591"/>
              <w:rPr>
                <w:sz w:val="24"/>
                <w:szCs w:val="24"/>
              </w:rPr>
            </w:pPr>
            <w:r>
              <w:rPr>
                <w:sz w:val="24"/>
                <w:szCs w:val="24"/>
              </w:rPr>
              <w:t>该群落最高8m,建群种为云南松，群落位于评价北部区山坡中上部。由于项</w:t>
            </w:r>
          </w:p>
          <w:p w14:paraId="24214C4D">
            <w:pPr>
              <w:pStyle w:val="6"/>
              <w:spacing w:before="178" w:line="359" w:lineRule="auto"/>
              <w:ind w:left="101" w:firstLine="9"/>
              <w:rPr>
                <w:sz w:val="24"/>
                <w:szCs w:val="24"/>
              </w:rPr>
            </w:pPr>
            <w:r>
              <w:rPr>
                <w:spacing w:val="-1"/>
                <w:sz w:val="24"/>
                <w:szCs w:val="24"/>
              </w:rPr>
              <w:t>目评价区内云南松林为次生林，受人工扰动明显，本群落结构较简单，乔木</w:t>
            </w:r>
            <w:r>
              <w:rPr>
                <w:spacing w:val="-2"/>
                <w:sz w:val="24"/>
                <w:szCs w:val="24"/>
              </w:rPr>
              <w:t>层和草</w:t>
            </w:r>
            <w:r>
              <w:rPr>
                <w:sz w:val="24"/>
                <w:szCs w:val="24"/>
              </w:rPr>
              <w:t xml:space="preserve"> 本层较发达，灌木层不明显，仅含有少量高山栲，藤本植</w:t>
            </w:r>
            <w:r>
              <w:rPr>
                <w:spacing w:val="-1"/>
                <w:sz w:val="24"/>
                <w:szCs w:val="24"/>
              </w:rPr>
              <w:t>物不发达，群落郁闭度较</w:t>
            </w:r>
            <w:r>
              <w:rPr>
                <w:sz w:val="24"/>
                <w:szCs w:val="24"/>
              </w:rPr>
              <w:t xml:space="preserve"> 低，疏散透光，为单层林，群落林冠较整齐，同时林下有</w:t>
            </w:r>
            <w:r>
              <w:rPr>
                <w:spacing w:val="-1"/>
                <w:sz w:val="24"/>
                <w:szCs w:val="24"/>
              </w:rPr>
              <w:t>明显的采伐和放牧痕迹。</w:t>
            </w:r>
          </w:p>
          <w:p w14:paraId="2C375CB5">
            <w:pPr>
              <w:pStyle w:val="6"/>
              <w:spacing w:before="1" w:line="216" w:lineRule="auto"/>
              <w:ind w:left="581"/>
              <w:rPr>
                <w:sz w:val="24"/>
                <w:szCs w:val="24"/>
              </w:rPr>
            </w:pPr>
            <w:r>
              <w:rPr>
                <w:sz w:val="24"/>
                <w:szCs w:val="24"/>
              </w:rPr>
              <w:t>群落可分为3层。乔木层高10m,最高可达15m,层盖度60%,建群种为云</w:t>
            </w:r>
          </w:p>
          <w:p w14:paraId="7E2C4F99">
            <w:pPr>
              <w:pStyle w:val="6"/>
              <w:spacing w:before="186" w:line="214" w:lineRule="auto"/>
              <w:ind w:left="111"/>
              <w:rPr>
                <w:sz w:val="24"/>
                <w:szCs w:val="24"/>
              </w:rPr>
            </w:pPr>
            <w:r>
              <w:rPr>
                <w:sz w:val="24"/>
                <w:szCs w:val="24"/>
              </w:rPr>
              <w:t>南松Pinus yunnanensis,乔木层还分布有高山栲Castanopsis delavayi、滇油杉</w:t>
            </w:r>
          </w:p>
        </w:tc>
      </w:tr>
    </w:tbl>
    <w:p w14:paraId="5B9283D8">
      <w:pPr>
        <w:pStyle w:val="2"/>
      </w:pPr>
    </w:p>
    <w:p w14:paraId="0DB477F7">
      <w:pPr>
        <w:sectPr>
          <w:footerReference r:id="rId92" w:type="default"/>
          <w:pgSz w:w="11910" w:h="16830"/>
          <w:pgMar w:top="400" w:right="1268" w:bottom="1245" w:left="1224" w:header="0" w:footer="1083" w:gutter="0"/>
          <w:cols w:space="720" w:num="1"/>
        </w:sectPr>
      </w:pPr>
    </w:p>
    <w:p w14:paraId="00B5F61B">
      <w:pPr>
        <w:spacing w:before="15"/>
      </w:pPr>
    </w:p>
    <w:p w14:paraId="18BD5B1C">
      <w:pPr>
        <w:spacing w:before="15"/>
      </w:pPr>
    </w:p>
    <w:p w14:paraId="07CFF19E">
      <w:pPr>
        <w:spacing w:before="15"/>
      </w:pPr>
    </w:p>
    <w:p w14:paraId="4F6F5119">
      <w:pPr>
        <w:spacing w:before="14"/>
      </w:pPr>
    </w:p>
    <w:tbl>
      <w:tblPr>
        <w:tblStyle w:val="5"/>
        <w:tblW w:w="94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8771"/>
      </w:tblGrid>
      <w:tr w14:paraId="5C5D8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69" w:hRule="atLeast"/>
        </w:trPr>
        <w:tc>
          <w:tcPr>
            <w:tcW w:w="694" w:type="dxa"/>
            <w:vAlign w:val="top"/>
          </w:tcPr>
          <w:p w14:paraId="317A6FD5">
            <w:pPr>
              <w:rPr>
                <w:rFonts w:ascii="Arial"/>
                <w:sz w:val="21"/>
              </w:rPr>
            </w:pPr>
          </w:p>
        </w:tc>
        <w:tc>
          <w:tcPr>
            <w:tcW w:w="8771" w:type="dxa"/>
            <w:vAlign w:val="top"/>
          </w:tcPr>
          <w:p w14:paraId="0A156413">
            <w:pPr>
              <w:pStyle w:val="6"/>
              <w:spacing w:before="29" w:line="215" w:lineRule="auto"/>
              <w:ind w:left="100"/>
              <w:rPr>
                <w:sz w:val="24"/>
                <w:szCs w:val="24"/>
              </w:rPr>
            </w:pPr>
            <w:r>
              <w:rPr>
                <w:sz w:val="24"/>
                <w:szCs w:val="24"/>
              </w:rPr>
              <w:t>Keteleeria</w:t>
            </w:r>
            <w:r>
              <w:rPr>
                <w:spacing w:val="2"/>
                <w:sz w:val="24"/>
                <w:szCs w:val="24"/>
              </w:rPr>
              <w:t xml:space="preserve"> </w:t>
            </w:r>
            <w:r>
              <w:rPr>
                <w:sz w:val="24"/>
                <w:szCs w:val="24"/>
              </w:rPr>
              <w:t>evelyniana</w:t>
            </w:r>
            <w:r>
              <w:rPr>
                <w:spacing w:val="2"/>
                <w:sz w:val="24"/>
                <w:szCs w:val="24"/>
              </w:rPr>
              <w:t>等。</w:t>
            </w:r>
          </w:p>
          <w:p w14:paraId="3FBCCF46">
            <w:pPr>
              <w:pStyle w:val="6"/>
              <w:spacing w:before="190" w:line="354" w:lineRule="auto"/>
              <w:ind w:left="110" w:firstLine="479"/>
              <w:rPr>
                <w:sz w:val="24"/>
                <w:szCs w:val="24"/>
              </w:rPr>
            </w:pPr>
            <w:r>
              <w:rPr>
                <w:spacing w:val="-5"/>
                <w:sz w:val="24"/>
                <w:szCs w:val="24"/>
              </w:rPr>
              <w:t>灌木层不发达，除高山栲Castanopsis delavayi等乔木层幼树外仅</w:t>
            </w:r>
            <w:r>
              <w:rPr>
                <w:spacing w:val="-6"/>
                <w:sz w:val="24"/>
                <w:szCs w:val="24"/>
              </w:rPr>
              <w:t>分布少量大白</w:t>
            </w:r>
            <w:r>
              <w:rPr>
                <w:sz w:val="24"/>
                <w:szCs w:val="24"/>
              </w:rPr>
              <w:t xml:space="preserve"> 花杜鹃Rhododendron decorum、马缨杜鹃Rhododendron delavayi、小叶枸子</w:t>
            </w:r>
          </w:p>
          <w:p w14:paraId="67953E57">
            <w:pPr>
              <w:pStyle w:val="6"/>
              <w:spacing w:before="18" w:line="349" w:lineRule="auto"/>
              <w:ind w:left="120" w:right="15" w:hanging="10"/>
              <w:rPr>
                <w:sz w:val="24"/>
                <w:szCs w:val="24"/>
              </w:rPr>
            </w:pPr>
            <w:r>
              <w:rPr>
                <w:spacing w:val="-12"/>
                <w:sz w:val="24"/>
                <w:szCs w:val="24"/>
              </w:rPr>
              <w:t>Cotoneaster microphyllus、矮生胡枝子Lespedeza forrestii,珍珠花Lyonia ova</w:t>
            </w:r>
            <w:r>
              <w:rPr>
                <w:spacing w:val="-13"/>
                <w:sz w:val="24"/>
                <w:szCs w:val="24"/>
              </w:rPr>
              <w:t>lifolia</w:t>
            </w:r>
            <w:r>
              <w:rPr>
                <w:sz w:val="24"/>
                <w:szCs w:val="24"/>
              </w:rPr>
              <w:t xml:space="preserve"> 等，灌木层层高0.5m~1.5m,层盖度约为30%。</w:t>
            </w:r>
          </w:p>
          <w:p w14:paraId="532186DA">
            <w:pPr>
              <w:pStyle w:val="6"/>
              <w:spacing w:before="15" w:line="216" w:lineRule="auto"/>
              <w:ind w:left="600"/>
              <w:rPr>
                <w:sz w:val="24"/>
                <w:szCs w:val="24"/>
              </w:rPr>
            </w:pPr>
            <w:r>
              <w:rPr>
                <w:sz w:val="24"/>
                <w:szCs w:val="24"/>
              </w:rPr>
              <w:t>群落草本层较发达，草本层高可达1.5m,层盖度60%,多分布紫茎泽兰</w:t>
            </w:r>
          </w:p>
          <w:p w14:paraId="63EB8384">
            <w:pPr>
              <w:pStyle w:val="6"/>
              <w:spacing w:before="205" w:line="358" w:lineRule="auto"/>
              <w:ind w:left="100"/>
              <w:rPr>
                <w:sz w:val="24"/>
                <w:szCs w:val="24"/>
              </w:rPr>
            </w:pPr>
            <w:r>
              <w:rPr>
                <w:spacing w:val="-10"/>
                <w:sz w:val="24"/>
                <w:szCs w:val="24"/>
              </w:rPr>
              <w:t>Eupatorium adenophora、杏叶防风Pimpinell</w:t>
            </w:r>
            <w:r>
              <w:rPr>
                <w:spacing w:val="-11"/>
                <w:sz w:val="24"/>
                <w:szCs w:val="24"/>
              </w:rPr>
              <w:t>a candolleana、黄花堇Vida biflora、火</w:t>
            </w:r>
            <w:r>
              <w:rPr>
                <w:sz w:val="24"/>
                <w:szCs w:val="24"/>
              </w:rPr>
              <w:t xml:space="preserve">  </w:t>
            </w:r>
            <w:r>
              <w:rPr>
                <w:spacing w:val="-13"/>
                <w:sz w:val="24"/>
                <w:szCs w:val="24"/>
              </w:rPr>
              <w:t>绒草Leontopodium alpinum、三花兔儿风Ainsliaea latifolia、刺芒野古草Arundinella</w:t>
            </w:r>
            <w:r>
              <w:rPr>
                <w:spacing w:val="8"/>
                <w:sz w:val="24"/>
                <w:szCs w:val="24"/>
              </w:rPr>
              <w:t xml:space="preserve">  </w:t>
            </w:r>
            <w:r>
              <w:rPr>
                <w:spacing w:val="-5"/>
                <w:sz w:val="24"/>
                <w:szCs w:val="24"/>
              </w:rPr>
              <w:t>setosa、毛蕨菜Cyclosorus interruptus、西南萎陵菜Pot</w:t>
            </w:r>
            <w:r>
              <w:rPr>
                <w:spacing w:val="-6"/>
                <w:sz w:val="24"/>
                <w:szCs w:val="24"/>
              </w:rPr>
              <w:t>entilla fulgens、糯米团</w:t>
            </w:r>
            <w:r>
              <w:rPr>
                <w:sz w:val="24"/>
                <w:szCs w:val="24"/>
              </w:rPr>
              <w:t xml:space="preserve"> </w:t>
            </w:r>
            <w:r>
              <w:rPr>
                <w:spacing w:val="-12"/>
                <w:sz w:val="24"/>
                <w:szCs w:val="24"/>
              </w:rPr>
              <w:t>Memorialis hirta、滇假银莲花Anemonopsis macrophylla、洱源瓦草</w:t>
            </w:r>
            <w:r>
              <w:rPr>
                <w:spacing w:val="-13"/>
                <w:sz w:val="24"/>
                <w:szCs w:val="24"/>
              </w:rPr>
              <w:t>Silene viscidula、</w:t>
            </w:r>
            <w:r>
              <w:rPr>
                <w:sz w:val="24"/>
                <w:szCs w:val="24"/>
              </w:rPr>
              <w:t xml:space="preserve"> </w:t>
            </w:r>
            <w:r>
              <w:rPr>
                <w:spacing w:val="-1"/>
                <w:sz w:val="24"/>
                <w:szCs w:val="24"/>
              </w:rPr>
              <w:t>灰岩黄芩Scutellaria forrestii等。</w:t>
            </w:r>
          </w:p>
          <w:p w14:paraId="7F7E0968">
            <w:pPr>
              <w:pStyle w:val="6"/>
              <w:spacing w:line="219" w:lineRule="auto"/>
              <w:ind w:left="570"/>
              <w:rPr>
                <w:sz w:val="24"/>
                <w:szCs w:val="24"/>
              </w:rPr>
            </w:pPr>
            <w:r>
              <w:rPr>
                <w:spacing w:val="1"/>
                <w:sz w:val="24"/>
                <w:szCs w:val="24"/>
              </w:rPr>
              <w:t>二、稀树灌木草丛</w:t>
            </w:r>
          </w:p>
          <w:p w14:paraId="025AD1F9">
            <w:pPr>
              <w:pStyle w:val="6"/>
              <w:spacing w:before="186" w:line="359" w:lineRule="auto"/>
              <w:ind w:left="110" w:firstLine="489"/>
              <w:jc w:val="both"/>
              <w:rPr>
                <w:sz w:val="24"/>
                <w:szCs w:val="24"/>
              </w:rPr>
            </w:pPr>
            <w:r>
              <w:rPr>
                <w:sz w:val="24"/>
                <w:szCs w:val="24"/>
              </w:rPr>
              <w:t>稀树灌木草丛的群落类型以草丛为主，其间散生灌木和乔木，灌木一般低矮， 散生的乔木一般生长不良，不规则在成片草丛上散布。本项</w:t>
            </w:r>
            <w:r>
              <w:rPr>
                <w:spacing w:val="-1"/>
                <w:sz w:val="24"/>
                <w:szCs w:val="24"/>
              </w:rPr>
              <w:t>目内的稀树灌木草丛植</w:t>
            </w:r>
            <w:r>
              <w:rPr>
                <w:sz w:val="24"/>
                <w:szCs w:val="24"/>
              </w:rPr>
              <w:t xml:space="preserve"> 被型主要表现为暖温性稀树灌木草丛。</w:t>
            </w:r>
          </w:p>
          <w:p w14:paraId="2BED643F">
            <w:pPr>
              <w:pStyle w:val="6"/>
              <w:spacing w:before="116" w:line="219" w:lineRule="auto"/>
              <w:ind w:left="714"/>
              <w:rPr>
                <w:sz w:val="24"/>
                <w:szCs w:val="24"/>
              </w:rPr>
            </w:pPr>
            <w:r>
              <w:rPr>
                <w:b/>
                <w:bCs/>
                <w:spacing w:val="-3"/>
                <w:sz w:val="24"/>
                <w:szCs w:val="24"/>
              </w:rPr>
              <w:t>(一)、含云南松的中草草丛</w:t>
            </w:r>
          </w:p>
          <w:p w14:paraId="47B85C0C">
            <w:pPr>
              <w:pStyle w:val="6"/>
              <w:spacing w:before="195" w:line="219" w:lineRule="auto"/>
              <w:ind w:left="614"/>
              <w:rPr>
                <w:sz w:val="24"/>
                <w:szCs w:val="24"/>
              </w:rPr>
            </w:pPr>
            <w:r>
              <w:rPr>
                <w:b/>
                <w:bCs/>
                <w:spacing w:val="-3"/>
                <w:sz w:val="24"/>
                <w:szCs w:val="24"/>
              </w:rPr>
              <w:t>1、云南松、珍珠花、刺芒野古草群落</w:t>
            </w:r>
          </w:p>
          <w:p w14:paraId="4866915A">
            <w:pPr>
              <w:pStyle w:val="6"/>
              <w:spacing w:before="175" w:line="359" w:lineRule="auto"/>
              <w:ind w:left="110" w:firstLine="489"/>
              <w:jc w:val="both"/>
              <w:rPr>
                <w:sz w:val="24"/>
                <w:szCs w:val="24"/>
              </w:rPr>
            </w:pPr>
            <w:r>
              <w:rPr>
                <w:spacing w:val="-1"/>
                <w:sz w:val="24"/>
                <w:szCs w:val="24"/>
              </w:rPr>
              <w:t>本群落在评价区内主要分布在人为活动较为频繁的区域，原生植被为半湿润常</w:t>
            </w:r>
            <w:r>
              <w:rPr>
                <w:spacing w:val="13"/>
                <w:sz w:val="24"/>
                <w:szCs w:val="24"/>
              </w:rPr>
              <w:t xml:space="preserve"> </w:t>
            </w:r>
            <w:r>
              <w:rPr>
                <w:sz w:val="24"/>
                <w:szCs w:val="24"/>
              </w:rPr>
              <w:t>绿阔叶林，为半湿润常绿阔叶林被反复砍烧破坏后演替形成的次生植被，且在演替</w:t>
            </w:r>
            <w:r>
              <w:rPr>
                <w:spacing w:val="8"/>
                <w:sz w:val="24"/>
                <w:szCs w:val="24"/>
              </w:rPr>
              <w:t xml:space="preserve"> </w:t>
            </w:r>
            <w:r>
              <w:rPr>
                <w:spacing w:val="-1"/>
                <w:sz w:val="24"/>
                <w:szCs w:val="24"/>
              </w:rPr>
              <w:t>过程中联系最为密切的为高山栲林。</w:t>
            </w:r>
          </w:p>
          <w:p w14:paraId="3B28AA20">
            <w:pPr>
              <w:pStyle w:val="6"/>
              <w:spacing w:before="2" w:line="364" w:lineRule="auto"/>
              <w:ind w:left="100" w:right="567" w:firstLine="519"/>
              <w:rPr>
                <w:sz w:val="24"/>
                <w:szCs w:val="24"/>
              </w:rPr>
            </w:pPr>
            <w:r>
              <w:rPr>
                <w:sz w:val="24"/>
                <w:szCs w:val="24"/>
              </w:rPr>
              <w:t>本群落内有明显的樵采与放牧痕迹。群落最高8m,郁闭度低，总盖度约为</w:t>
            </w:r>
            <w:r>
              <w:rPr>
                <w:spacing w:val="11"/>
                <w:sz w:val="24"/>
                <w:szCs w:val="24"/>
              </w:rPr>
              <w:t xml:space="preserve"> </w:t>
            </w:r>
            <w:r>
              <w:rPr>
                <w:spacing w:val="-1"/>
                <w:sz w:val="24"/>
                <w:szCs w:val="24"/>
              </w:rPr>
              <w:t>60%,草本层发达。</w:t>
            </w:r>
          </w:p>
          <w:p w14:paraId="704CD93B">
            <w:pPr>
              <w:pStyle w:val="6"/>
              <w:spacing w:line="215" w:lineRule="auto"/>
              <w:ind w:left="600"/>
              <w:rPr>
                <w:sz w:val="24"/>
                <w:szCs w:val="24"/>
              </w:rPr>
            </w:pPr>
            <w:r>
              <w:rPr>
                <w:sz w:val="24"/>
                <w:szCs w:val="24"/>
              </w:rPr>
              <w:t>群落乔木层不发达，仅分布有少量的云南松Pinus yunnanensis、清香木</w:t>
            </w:r>
          </w:p>
          <w:p w14:paraId="3D313567">
            <w:pPr>
              <w:pStyle w:val="6"/>
              <w:spacing w:before="190" w:line="354" w:lineRule="auto"/>
              <w:ind w:left="110" w:right="6"/>
              <w:rPr>
                <w:sz w:val="24"/>
                <w:szCs w:val="24"/>
              </w:rPr>
            </w:pPr>
            <w:r>
              <w:rPr>
                <w:spacing w:val="-4"/>
                <w:sz w:val="24"/>
                <w:szCs w:val="24"/>
              </w:rPr>
              <w:t>Pistacia weinmanniifolia和化香树Platycarya strobilacea,乔木层层高6m,层盖度</w:t>
            </w:r>
            <w:r>
              <w:rPr>
                <w:spacing w:val="10"/>
                <w:sz w:val="24"/>
                <w:szCs w:val="24"/>
              </w:rPr>
              <w:t xml:space="preserve"> </w:t>
            </w:r>
            <w:r>
              <w:rPr>
                <w:sz w:val="24"/>
                <w:szCs w:val="24"/>
              </w:rPr>
              <w:t>约为3%,乔木层有明显的樵采痕迹。</w:t>
            </w:r>
          </w:p>
          <w:p w14:paraId="1A526B2D">
            <w:pPr>
              <w:pStyle w:val="6"/>
              <w:spacing w:line="215" w:lineRule="auto"/>
              <w:ind w:left="600"/>
              <w:rPr>
                <w:sz w:val="24"/>
                <w:szCs w:val="24"/>
              </w:rPr>
            </w:pPr>
            <w:r>
              <w:rPr>
                <w:sz w:val="24"/>
                <w:szCs w:val="24"/>
              </w:rPr>
              <w:t>群落灌木层稀少且不显著,层高0.5~0.8m,层盖度15%,主要</w:t>
            </w:r>
            <w:r>
              <w:rPr>
                <w:spacing w:val="-1"/>
                <w:sz w:val="24"/>
                <w:szCs w:val="24"/>
              </w:rPr>
              <w:t>分布珍珠花Lyonia</w:t>
            </w:r>
          </w:p>
          <w:p w14:paraId="328AC9AF">
            <w:pPr>
              <w:pStyle w:val="6"/>
              <w:spacing w:before="198" w:line="355" w:lineRule="auto"/>
              <w:ind w:left="100" w:right="2" w:firstLine="10"/>
              <w:rPr>
                <w:sz w:val="24"/>
                <w:szCs w:val="24"/>
              </w:rPr>
            </w:pPr>
            <w:r>
              <w:rPr>
                <w:spacing w:val="-3"/>
                <w:sz w:val="24"/>
                <w:szCs w:val="24"/>
              </w:rPr>
              <w:t>ovalifolia、金丝桃Hypericu</w:t>
            </w:r>
            <w:r>
              <w:rPr>
                <w:spacing w:val="-4"/>
                <w:sz w:val="24"/>
                <w:szCs w:val="24"/>
              </w:rPr>
              <w:t>m forrestii、马桑Coriaria nepalensis、沙针Osyris</w:t>
            </w:r>
            <w:r>
              <w:rPr>
                <w:sz w:val="24"/>
                <w:szCs w:val="24"/>
              </w:rPr>
              <w:t xml:space="preserve"> lanceolata、小铁仔Myrsine african、火棘Pyracantha fortuneana、西南枸子</w:t>
            </w:r>
          </w:p>
          <w:p w14:paraId="3B9A9934">
            <w:pPr>
              <w:pStyle w:val="6"/>
              <w:spacing w:before="25" w:line="219" w:lineRule="auto"/>
              <w:ind w:left="110"/>
              <w:rPr>
                <w:sz w:val="24"/>
                <w:szCs w:val="24"/>
              </w:rPr>
            </w:pPr>
            <w:r>
              <w:rPr>
                <w:sz w:val="24"/>
                <w:szCs w:val="24"/>
              </w:rPr>
              <w:t>Cotoneaster</w:t>
            </w:r>
            <w:r>
              <w:rPr>
                <w:spacing w:val="2"/>
                <w:sz w:val="24"/>
                <w:szCs w:val="24"/>
              </w:rPr>
              <w:t xml:space="preserve"> </w:t>
            </w:r>
            <w:r>
              <w:rPr>
                <w:sz w:val="24"/>
                <w:szCs w:val="24"/>
              </w:rPr>
              <w:t>franchetii</w:t>
            </w:r>
            <w:r>
              <w:rPr>
                <w:spacing w:val="2"/>
                <w:sz w:val="24"/>
                <w:szCs w:val="24"/>
              </w:rPr>
              <w:t>等。</w:t>
            </w:r>
          </w:p>
        </w:tc>
      </w:tr>
    </w:tbl>
    <w:p w14:paraId="0585F5B7">
      <w:pPr>
        <w:pStyle w:val="2"/>
      </w:pPr>
    </w:p>
    <w:p w14:paraId="3257E115">
      <w:pPr>
        <w:sectPr>
          <w:footerReference r:id="rId93" w:type="default"/>
          <w:pgSz w:w="11910" w:h="16830"/>
          <w:pgMar w:top="400" w:right="1229" w:bottom="1245" w:left="1205" w:header="0" w:footer="1083" w:gutter="0"/>
          <w:cols w:space="720" w:num="1"/>
        </w:sectPr>
      </w:pPr>
    </w:p>
    <w:p w14:paraId="264B2231">
      <w:pPr>
        <w:spacing w:before="15"/>
      </w:pPr>
    </w:p>
    <w:p w14:paraId="118B8DC2">
      <w:pPr>
        <w:spacing w:before="15"/>
      </w:pPr>
    </w:p>
    <w:p w14:paraId="4EB5F0EF">
      <w:pPr>
        <w:spacing w:before="15"/>
      </w:pPr>
    </w:p>
    <w:p w14:paraId="0108C30A">
      <w:pPr>
        <w:spacing w:before="14"/>
      </w:pPr>
    </w:p>
    <w:tbl>
      <w:tblPr>
        <w:tblStyle w:val="5"/>
        <w:tblW w:w="94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8758"/>
      </w:tblGrid>
      <w:tr w14:paraId="7911E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684" w:type="dxa"/>
            <w:vAlign w:val="top"/>
          </w:tcPr>
          <w:p w14:paraId="7D239386">
            <w:pPr>
              <w:rPr>
                <w:rFonts w:ascii="Arial"/>
                <w:sz w:val="21"/>
              </w:rPr>
            </w:pPr>
          </w:p>
        </w:tc>
        <w:tc>
          <w:tcPr>
            <w:tcW w:w="8758" w:type="dxa"/>
            <w:vAlign w:val="top"/>
          </w:tcPr>
          <w:p w14:paraId="1B9061D4">
            <w:pPr>
              <w:pStyle w:val="6"/>
              <w:spacing w:before="22" w:line="360" w:lineRule="auto"/>
              <w:ind w:left="81" w:firstLine="523"/>
              <w:rPr>
                <w:sz w:val="24"/>
                <w:szCs w:val="24"/>
              </w:rPr>
            </w:pPr>
            <w:r>
              <w:rPr>
                <w:spacing w:val="45"/>
                <w:sz w:val="24"/>
                <w:szCs w:val="24"/>
              </w:rPr>
              <w:t>草本层层高0</w:t>
            </w:r>
            <w:r>
              <w:rPr>
                <w:spacing w:val="-58"/>
                <w:sz w:val="24"/>
                <w:szCs w:val="24"/>
              </w:rPr>
              <w:t xml:space="preserve"> </w:t>
            </w:r>
            <w:r>
              <w:rPr>
                <w:spacing w:val="45"/>
                <w:sz w:val="24"/>
                <w:szCs w:val="24"/>
              </w:rPr>
              <w:t>.</w:t>
            </w:r>
            <w:r>
              <w:rPr>
                <w:spacing w:val="-66"/>
                <w:sz w:val="24"/>
                <w:szCs w:val="24"/>
              </w:rPr>
              <w:t xml:space="preserve"> </w:t>
            </w:r>
            <w:r>
              <w:rPr>
                <w:spacing w:val="45"/>
                <w:sz w:val="24"/>
                <w:szCs w:val="24"/>
              </w:rPr>
              <w:t>5~1m,层盖度40%,主要分布有紫茎泽兰</w:t>
            </w:r>
            <w:r>
              <w:rPr>
                <w:sz w:val="24"/>
                <w:szCs w:val="24"/>
              </w:rPr>
              <w:t xml:space="preserve">Eupatorium  </w:t>
            </w:r>
            <w:r>
              <w:rPr>
                <w:spacing w:val="-2"/>
                <w:sz w:val="24"/>
                <w:szCs w:val="24"/>
              </w:rPr>
              <w:t>adenophorum、白花鬼针草Bidens alba、穗序野古草Arundinella hookeri、白健</w:t>
            </w:r>
            <w:r>
              <w:rPr>
                <w:spacing w:val="3"/>
                <w:sz w:val="24"/>
                <w:szCs w:val="24"/>
              </w:rPr>
              <w:t xml:space="preserve">   </w:t>
            </w:r>
            <w:r>
              <w:rPr>
                <w:spacing w:val="-5"/>
                <w:sz w:val="24"/>
                <w:szCs w:val="24"/>
              </w:rPr>
              <w:t>杆Eulalia pallens、西南萎陵菜Potentilla fulge</w:t>
            </w:r>
            <w:r>
              <w:rPr>
                <w:spacing w:val="-6"/>
                <w:sz w:val="24"/>
                <w:szCs w:val="24"/>
              </w:rPr>
              <w:t>ns、飞蓬Erigeron acer、细柄草</w:t>
            </w:r>
            <w:r>
              <w:rPr>
                <w:sz w:val="24"/>
                <w:szCs w:val="24"/>
              </w:rPr>
              <w:t xml:space="preserve">  </w:t>
            </w:r>
            <w:r>
              <w:rPr>
                <w:spacing w:val="-3"/>
                <w:sz w:val="24"/>
                <w:szCs w:val="24"/>
              </w:rPr>
              <w:t>Capillipedium parviflorum、牛至Origanum vulgare、青葙Celosia argentea</w:t>
            </w:r>
            <w:r>
              <w:rPr>
                <w:spacing w:val="-4"/>
                <w:sz w:val="24"/>
                <w:szCs w:val="24"/>
              </w:rPr>
              <w:t>、蒿</w:t>
            </w:r>
            <w:r>
              <w:rPr>
                <w:sz w:val="24"/>
                <w:szCs w:val="24"/>
              </w:rPr>
              <w:t xml:space="preserve">  </w:t>
            </w:r>
            <w:r>
              <w:rPr>
                <w:spacing w:val="-10"/>
                <w:sz w:val="24"/>
                <w:szCs w:val="24"/>
              </w:rPr>
              <w:t>Artemisia annua、猪秧秧Galium aparine、香薷Elsholtzia soti</w:t>
            </w:r>
            <w:r>
              <w:rPr>
                <w:spacing w:val="-11"/>
                <w:sz w:val="24"/>
                <w:szCs w:val="24"/>
              </w:rPr>
              <w:t>llei、蒽草Arthraxon</w:t>
            </w:r>
            <w:r>
              <w:rPr>
                <w:sz w:val="24"/>
                <w:szCs w:val="24"/>
              </w:rPr>
              <w:t xml:space="preserve">  </w:t>
            </w:r>
            <w:r>
              <w:rPr>
                <w:spacing w:val="-5"/>
                <w:sz w:val="24"/>
                <w:szCs w:val="24"/>
              </w:rPr>
              <w:t>hispidus、云南翻白草Potentilla griffithii、川续断Dipsa</w:t>
            </w:r>
            <w:r>
              <w:rPr>
                <w:spacing w:val="-6"/>
                <w:sz w:val="24"/>
                <w:szCs w:val="24"/>
              </w:rPr>
              <w:t>cus asperoides、旱茅</w:t>
            </w:r>
            <w:r>
              <w:rPr>
                <w:sz w:val="24"/>
                <w:szCs w:val="24"/>
              </w:rPr>
              <w:t xml:space="preserve">  </w:t>
            </w:r>
            <w:r>
              <w:rPr>
                <w:spacing w:val="-5"/>
                <w:sz w:val="24"/>
                <w:szCs w:val="24"/>
              </w:rPr>
              <w:t xml:space="preserve">Eramopogon delavayi、扭黄茅Heteropogon contortus、巴天酸模Rumex </w:t>
            </w:r>
            <w:r>
              <w:rPr>
                <w:spacing w:val="-6"/>
                <w:sz w:val="24"/>
                <w:szCs w:val="24"/>
              </w:rPr>
              <w:t>patientia、</w:t>
            </w:r>
            <w:r>
              <w:rPr>
                <w:sz w:val="24"/>
                <w:szCs w:val="24"/>
              </w:rPr>
              <w:t xml:space="preserve"> </w:t>
            </w:r>
            <w:r>
              <w:rPr>
                <w:spacing w:val="-3"/>
                <w:sz w:val="24"/>
                <w:szCs w:val="24"/>
              </w:rPr>
              <w:t>珠光香青Anaphalis margaritacea 、香薷Elshol</w:t>
            </w:r>
            <w:r>
              <w:rPr>
                <w:spacing w:val="-4"/>
                <w:sz w:val="24"/>
                <w:szCs w:val="24"/>
              </w:rPr>
              <w:t>tzia sotillei、毛蕨菜Pteridium</w:t>
            </w:r>
            <w:r>
              <w:rPr>
                <w:sz w:val="24"/>
                <w:szCs w:val="24"/>
              </w:rPr>
              <w:t xml:space="preserve">  revolutum</w:t>
            </w:r>
            <w:r>
              <w:rPr>
                <w:spacing w:val="4"/>
                <w:sz w:val="24"/>
                <w:szCs w:val="24"/>
              </w:rPr>
              <w:t>等。</w:t>
            </w:r>
          </w:p>
          <w:p w14:paraId="2259CF13">
            <w:pPr>
              <w:pStyle w:val="6"/>
              <w:spacing w:line="219" w:lineRule="auto"/>
              <w:ind w:left="581"/>
              <w:rPr>
                <w:sz w:val="24"/>
                <w:szCs w:val="24"/>
              </w:rPr>
            </w:pPr>
            <w:r>
              <w:rPr>
                <w:spacing w:val="-2"/>
                <w:sz w:val="24"/>
                <w:szCs w:val="24"/>
              </w:rPr>
              <w:t>三、灌丛</w:t>
            </w:r>
          </w:p>
          <w:p w14:paraId="6906E6DD">
            <w:pPr>
              <w:pStyle w:val="6"/>
              <w:spacing w:before="191" w:line="219" w:lineRule="auto"/>
              <w:ind w:left="584"/>
              <w:rPr>
                <w:sz w:val="24"/>
                <w:szCs w:val="24"/>
              </w:rPr>
            </w:pPr>
            <w:r>
              <w:rPr>
                <w:b/>
                <w:bCs/>
                <w:spacing w:val="-3"/>
                <w:sz w:val="24"/>
                <w:szCs w:val="24"/>
              </w:rPr>
              <w:t>(一)、小铁仔灌丛</w:t>
            </w:r>
          </w:p>
          <w:p w14:paraId="1711783C">
            <w:pPr>
              <w:pStyle w:val="6"/>
              <w:spacing w:before="175" w:line="219" w:lineRule="auto"/>
              <w:ind w:left="614"/>
              <w:rPr>
                <w:sz w:val="24"/>
                <w:szCs w:val="24"/>
              </w:rPr>
            </w:pPr>
            <w:r>
              <w:rPr>
                <w:b/>
                <w:bCs/>
                <w:spacing w:val="-3"/>
                <w:sz w:val="24"/>
                <w:szCs w:val="24"/>
              </w:rPr>
              <w:t>1、小铁仔、华西小石积、短柄草群落</w:t>
            </w:r>
          </w:p>
          <w:p w14:paraId="1BEC8C25">
            <w:pPr>
              <w:pStyle w:val="6"/>
              <w:spacing w:before="186" w:line="358" w:lineRule="auto"/>
              <w:ind w:left="111" w:right="214" w:firstLine="489"/>
              <w:rPr>
                <w:sz w:val="24"/>
                <w:szCs w:val="24"/>
              </w:rPr>
            </w:pPr>
            <w:r>
              <w:rPr>
                <w:sz w:val="24"/>
                <w:szCs w:val="24"/>
              </w:rPr>
              <w:t>该群落在云南省主要分布在1800-2200m石灰岩裸露山地。在本评价区内主要</w:t>
            </w:r>
            <w:r>
              <w:rPr>
                <w:spacing w:val="10"/>
                <w:sz w:val="24"/>
                <w:szCs w:val="24"/>
              </w:rPr>
              <w:t xml:space="preserve"> </w:t>
            </w:r>
            <w:r>
              <w:rPr>
                <w:sz w:val="24"/>
                <w:szCs w:val="24"/>
              </w:rPr>
              <w:t>分布在评价区东部、北部石灰岩发育的石灰岩山地。</w:t>
            </w:r>
          </w:p>
          <w:p w14:paraId="6EDEC51B">
            <w:pPr>
              <w:pStyle w:val="6"/>
              <w:spacing w:before="1" w:line="218" w:lineRule="auto"/>
              <w:ind w:left="601"/>
              <w:rPr>
                <w:sz w:val="24"/>
                <w:szCs w:val="24"/>
              </w:rPr>
            </w:pPr>
            <w:r>
              <w:rPr>
                <w:sz w:val="24"/>
                <w:szCs w:val="24"/>
              </w:rPr>
              <w:t>群落整体由灌木层和草本层组成。</w:t>
            </w:r>
          </w:p>
          <w:p w14:paraId="36F07575">
            <w:pPr>
              <w:pStyle w:val="6"/>
              <w:spacing w:before="191" w:line="357" w:lineRule="auto"/>
              <w:ind w:left="71" w:firstLine="529"/>
              <w:rPr>
                <w:sz w:val="24"/>
                <w:szCs w:val="24"/>
              </w:rPr>
            </w:pPr>
            <w:r>
              <w:rPr>
                <w:sz w:val="24"/>
                <w:szCs w:val="24"/>
              </w:rPr>
              <w:t>灌木层盖度约为30%,主要由小铁仔Myrsine africana</w:t>
            </w:r>
            <w:r>
              <w:rPr>
                <w:spacing w:val="-1"/>
                <w:sz w:val="24"/>
                <w:szCs w:val="24"/>
              </w:rPr>
              <w:t>、华西小石积Osteomeles</w:t>
            </w:r>
            <w:r>
              <w:rPr>
                <w:sz w:val="24"/>
                <w:szCs w:val="24"/>
              </w:rPr>
              <w:t xml:space="preserve"> </w:t>
            </w:r>
            <w:r>
              <w:rPr>
                <w:spacing w:val="-10"/>
                <w:sz w:val="24"/>
                <w:szCs w:val="24"/>
              </w:rPr>
              <w:t>schwerinae、沙针Osyris lanceolata</w:t>
            </w:r>
            <w:r>
              <w:rPr>
                <w:spacing w:val="-11"/>
                <w:sz w:val="24"/>
                <w:szCs w:val="24"/>
              </w:rPr>
              <w:t>、烟管荚蓬Viburnum utile、毡毛枸子Cotoneaster</w:t>
            </w:r>
            <w:r>
              <w:rPr>
                <w:sz w:val="24"/>
                <w:szCs w:val="24"/>
              </w:rPr>
              <w:t xml:space="preserve"> pannosus</w:t>
            </w:r>
            <w:r>
              <w:rPr>
                <w:spacing w:val="1"/>
                <w:sz w:val="24"/>
                <w:szCs w:val="24"/>
              </w:rPr>
              <w:t>等组成，层高约为2.5m。</w:t>
            </w:r>
          </w:p>
          <w:p w14:paraId="0AB94B76">
            <w:pPr>
              <w:pStyle w:val="6"/>
              <w:spacing w:before="7" w:line="214" w:lineRule="auto"/>
              <w:ind w:left="601"/>
              <w:rPr>
                <w:sz w:val="24"/>
                <w:szCs w:val="24"/>
              </w:rPr>
            </w:pPr>
            <w:r>
              <w:rPr>
                <w:sz w:val="24"/>
                <w:szCs w:val="24"/>
              </w:rPr>
              <w:t>草本层层盖度约为25%,层高约为1.5m,主要可见短柄</w:t>
            </w:r>
            <w:r>
              <w:rPr>
                <w:spacing w:val="-1"/>
                <w:sz w:val="24"/>
                <w:szCs w:val="24"/>
              </w:rPr>
              <w:t>草Brachypodium</w:t>
            </w:r>
          </w:p>
          <w:p w14:paraId="10B4471C">
            <w:pPr>
              <w:pStyle w:val="6"/>
              <w:spacing w:before="180" w:line="361" w:lineRule="auto"/>
              <w:ind w:left="110" w:hanging="9"/>
              <w:rPr>
                <w:sz w:val="24"/>
                <w:szCs w:val="24"/>
              </w:rPr>
            </w:pPr>
            <w:r>
              <w:rPr>
                <w:spacing w:val="-2"/>
                <w:sz w:val="24"/>
                <w:szCs w:val="24"/>
              </w:rPr>
              <w:t>sylvaticum、紫茎泽兰Eupatorium adenophorum、白花鬼针草Bidens alba、黄茅</w:t>
            </w:r>
            <w:r>
              <w:rPr>
                <w:spacing w:val="4"/>
                <w:sz w:val="24"/>
                <w:szCs w:val="24"/>
              </w:rPr>
              <w:t xml:space="preserve">   </w:t>
            </w:r>
            <w:r>
              <w:rPr>
                <w:spacing w:val="-16"/>
                <w:sz w:val="24"/>
                <w:szCs w:val="24"/>
              </w:rPr>
              <w:t>Heteropogon contortu</w:t>
            </w:r>
            <w:r>
              <w:rPr>
                <w:spacing w:val="-17"/>
                <w:sz w:val="24"/>
                <w:szCs w:val="24"/>
              </w:rPr>
              <w:t>s、旱茅Schizachyrium delavayi、三花兔儿风Ainsliaea latifolia、</w:t>
            </w:r>
            <w:r>
              <w:rPr>
                <w:sz w:val="24"/>
                <w:szCs w:val="24"/>
              </w:rPr>
              <w:t xml:space="preserve"> </w:t>
            </w:r>
            <w:r>
              <w:rPr>
                <w:spacing w:val="-11"/>
                <w:sz w:val="24"/>
                <w:szCs w:val="24"/>
              </w:rPr>
              <w:t>铁线莲Clematis.sp、唐松草Thalictrum aquilegiifolium、蕨Pteridium aquilinum等。</w:t>
            </w:r>
          </w:p>
          <w:p w14:paraId="02EB57C4">
            <w:pPr>
              <w:pStyle w:val="6"/>
              <w:spacing w:before="7" w:line="219" w:lineRule="auto"/>
              <w:ind w:left="104"/>
              <w:rPr>
                <w:sz w:val="24"/>
                <w:szCs w:val="24"/>
              </w:rPr>
            </w:pPr>
            <w:r>
              <w:rPr>
                <w:b/>
                <w:bCs/>
                <w:spacing w:val="-3"/>
                <w:sz w:val="24"/>
                <w:szCs w:val="24"/>
              </w:rPr>
              <w:t>4.2.1.3人工植被</w:t>
            </w:r>
          </w:p>
          <w:p w14:paraId="66F94FC0">
            <w:pPr>
              <w:pStyle w:val="6"/>
              <w:spacing w:before="197" w:line="219" w:lineRule="auto"/>
              <w:ind w:left="601"/>
              <w:rPr>
                <w:sz w:val="24"/>
                <w:szCs w:val="24"/>
              </w:rPr>
            </w:pPr>
            <w:r>
              <w:rPr>
                <w:spacing w:val="2"/>
                <w:sz w:val="24"/>
                <w:szCs w:val="24"/>
              </w:rPr>
              <w:t>1)耕地</w:t>
            </w:r>
          </w:p>
          <w:p w14:paraId="3265CEC1">
            <w:pPr>
              <w:pStyle w:val="6"/>
              <w:spacing w:before="166" w:line="356" w:lineRule="auto"/>
              <w:ind w:left="101" w:firstLine="493"/>
              <w:rPr>
                <w:sz w:val="24"/>
                <w:szCs w:val="24"/>
              </w:rPr>
            </w:pPr>
            <w:r>
              <w:rPr>
                <w:spacing w:val="-3"/>
                <w:sz w:val="24"/>
                <w:szCs w:val="24"/>
              </w:rPr>
              <w:t>评价区内的耕地包括旱地和水田，分布广泛。水</w:t>
            </w:r>
            <w:r>
              <w:rPr>
                <w:spacing w:val="-4"/>
                <w:sz w:val="24"/>
                <w:szCs w:val="24"/>
              </w:rPr>
              <w:t>田多分布于评价区海拔较低的</w:t>
            </w:r>
            <w:r>
              <w:rPr>
                <w:sz w:val="24"/>
                <w:szCs w:val="24"/>
              </w:rPr>
              <w:t xml:space="preserve">  </w:t>
            </w:r>
            <w:r>
              <w:rPr>
                <w:spacing w:val="-5"/>
                <w:sz w:val="24"/>
                <w:szCs w:val="24"/>
              </w:rPr>
              <w:t>坝区地区，主要种植水稻Oryza sativa</w:t>
            </w:r>
            <w:r>
              <w:rPr>
                <w:spacing w:val="-6"/>
                <w:sz w:val="24"/>
                <w:szCs w:val="24"/>
              </w:rPr>
              <w:t>。旱地是评价区内分布最广的人工植被类型，</w:t>
            </w:r>
            <w:r>
              <w:rPr>
                <w:sz w:val="24"/>
                <w:szCs w:val="24"/>
              </w:rPr>
              <w:t xml:space="preserve"> </w:t>
            </w:r>
            <w:r>
              <w:rPr>
                <w:spacing w:val="-1"/>
                <w:sz w:val="24"/>
                <w:szCs w:val="24"/>
              </w:rPr>
              <w:t>主要种植玉米Zea mays、阳芋Sol</w:t>
            </w:r>
            <w:r>
              <w:rPr>
                <w:spacing w:val="-2"/>
                <w:sz w:val="24"/>
                <w:szCs w:val="24"/>
              </w:rPr>
              <w:t>anum tuberosum等。</w:t>
            </w:r>
          </w:p>
          <w:p w14:paraId="2E07E7D5">
            <w:pPr>
              <w:pStyle w:val="6"/>
              <w:spacing w:before="23" w:line="219" w:lineRule="auto"/>
              <w:ind w:left="571"/>
              <w:rPr>
                <w:sz w:val="24"/>
                <w:szCs w:val="24"/>
              </w:rPr>
            </w:pPr>
            <w:r>
              <w:rPr>
                <w:spacing w:val="1"/>
                <w:sz w:val="24"/>
                <w:szCs w:val="24"/>
              </w:rPr>
              <w:t>2)人工林</w:t>
            </w:r>
          </w:p>
          <w:p w14:paraId="226CCF42">
            <w:pPr>
              <w:pStyle w:val="6"/>
              <w:spacing w:before="179" w:line="214" w:lineRule="auto"/>
              <w:jc w:val="right"/>
              <w:rPr>
                <w:sz w:val="24"/>
                <w:szCs w:val="24"/>
              </w:rPr>
            </w:pPr>
            <w:r>
              <w:rPr>
                <w:spacing w:val="-8"/>
                <w:sz w:val="24"/>
                <w:szCs w:val="24"/>
              </w:rPr>
              <w:t>评价区内分布有少量的人工林，包括银荆Acacia dealbata、直杆蓝桉Eucalyptus</w:t>
            </w:r>
          </w:p>
        </w:tc>
      </w:tr>
    </w:tbl>
    <w:p w14:paraId="51FE6123">
      <w:pPr>
        <w:pStyle w:val="2"/>
      </w:pPr>
    </w:p>
    <w:p w14:paraId="5C605150">
      <w:pPr>
        <w:sectPr>
          <w:footerReference r:id="rId94" w:type="default"/>
          <w:pgSz w:w="11910" w:h="16830"/>
          <w:pgMar w:top="400" w:right="1242" w:bottom="1224" w:left="1214" w:header="0" w:footer="1089" w:gutter="0"/>
          <w:cols w:space="720" w:num="1"/>
        </w:sectPr>
      </w:pPr>
    </w:p>
    <w:p w14:paraId="6E6096DB">
      <w:pPr>
        <w:spacing w:before="9"/>
      </w:pPr>
    </w:p>
    <w:p w14:paraId="52DD5022">
      <w:pPr>
        <w:spacing w:before="9"/>
      </w:pPr>
    </w:p>
    <w:p w14:paraId="6F0A0980">
      <w:pPr>
        <w:spacing w:before="8"/>
      </w:pPr>
    </w:p>
    <w:p w14:paraId="32C92120">
      <w:pPr>
        <w:spacing w:before="8"/>
      </w:pPr>
    </w:p>
    <w:tbl>
      <w:tblPr>
        <w:tblStyle w:val="5"/>
        <w:tblW w:w="949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9"/>
        <w:gridCol w:w="2728"/>
        <w:gridCol w:w="2358"/>
        <w:gridCol w:w="1698"/>
        <w:gridCol w:w="1699"/>
        <w:gridCol w:w="150"/>
      </w:tblGrid>
      <w:tr w14:paraId="3BE8F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9" w:hRule="atLeast"/>
        </w:trPr>
        <w:tc>
          <w:tcPr>
            <w:tcW w:w="9492" w:type="dxa"/>
            <w:gridSpan w:val="6"/>
            <w:tcBorders>
              <w:left w:val="single" w:color="000000" w:sz="2" w:space="0"/>
            </w:tcBorders>
            <w:vAlign w:val="top"/>
          </w:tcPr>
          <w:p w14:paraId="40F840BE">
            <w:pPr>
              <w:pStyle w:val="6"/>
              <w:spacing w:before="15" w:line="379" w:lineRule="auto"/>
              <w:ind w:left="794" w:right="228"/>
              <w:rPr>
                <w:sz w:val="23"/>
                <w:szCs w:val="23"/>
              </w:rPr>
            </w:pPr>
            <w:r>
              <w:rPr>
                <w:rFonts w:ascii="Times New Roman" w:hAnsi="Times New Roman" w:eastAsia="Times New Roman" w:cs="Times New Roman"/>
                <w:i/>
                <w:iCs/>
                <w:spacing w:val="-2"/>
                <w:sz w:val="23"/>
                <w:szCs w:val="23"/>
              </w:rPr>
              <w:t>maideni</w:t>
            </w:r>
            <w:r>
              <w:rPr>
                <w:rFonts w:ascii="Times New Roman" w:hAnsi="Times New Roman" w:eastAsia="Times New Roman" w:cs="Times New Roman"/>
                <w:i/>
                <w:iCs/>
                <w:spacing w:val="-25"/>
                <w:sz w:val="23"/>
                <w:szCs w:val="23"/>
              </w:rPr>
              <w:t xml:space="preserve"> </w:t>
            </w:r>
            <w:r>
              <w:rPr>
                <w:i/>
                <w:iCs/>
                <w:spacing w:val="-2"/>
                <w:sz w:val="24"/>
                <w:szCs w:val="24"/>
              </w:rPr>
              <w:t>、</w:t>
            </w:r>
            <w:r>
              <w:rPr>
                <w:spacing w:val="-2"/>
                <w:sz w:val="23"/>
                <w:szCs w:val="23"/>
              </w:rPr>
              <w:t>柏</w:t>
            </w:r>
            <w:r>
              <w:rPr>
                <w:spacing w:val="-35"/>
                <w:sz w:val="23"/>
                <w:szCs w:val="23"/>
              </w:rPr>
              <w:t xml:space="preserve"> </w:t>
            </w:r>
            <w:r>
              <w:rPr>
                <w:spacing w:val="-2"/>
                <w:sz w:val="23"/>
                <w:szCs w:val="23"/>
              </w:rPr>
              <w:t>木</w:t>
            </w:r>
            <w:r>
              <w:rPr>
                <w:spacing w:val="-66"/>
                <w:sz w:val="23"/>
                <w:szCs w:val="23"/>
              </w:rPr>
              <w:t xml:space="preserve"> </w:t>
            </w:r>
            <w:r>
              <w:rPr>
                <w:rFonts w:ascii="Times New Roman" w:hAnsi="Times New Roman" w:eastAsia="Times New Roman" w:cs="Times New Roman"/>
                <w:spacing w:val="-2"/>
                <w:sz w:val="23"/>
                <w:szCs w:val="23"/>
              </w:rPr>
              <w:t>Cupressus    funebris</w:t>
            </w:r>
            <w:r>
              <w:rPr>
                <w:spacing w:val="-2"/>
                <w:sz w:val="23"/>
                <w:szCs w:val="23"/>
              </w:rPr>
              <w:t>、</w:t>
            </w:r>
            <w:r>
              <w:rPr>
                <w:i/>
                <w:iCs/>
                <w:spacing w:val="-2"/>
                <w:sz w:val="24"/>
                <w:szCs w:val="24"/>
              </w:rPr>
              <w:t>柳杉</w:t>
            </w:r>
            <w:r>
              <w:rPr>
                <w:spacing w:val="-44"/>
                <w:sz w:val="24"/>
                <w:szCs w:val="24"/>
              </w:rPr>
              <w:t xml:space="preserve"> </w:t>
            </w:r>
            <w:r>
              <w:rPr>
                <w:rFonts w:ascii="Times New Roman" w:hAnsi="Times New Roman" w:eastAsia="Times New Roman" w:cs="Times New Roman"/>
                <w:i/>
                <w:iCs/>
                <w:spacing w:val="-2"/>
                <w:sz w:val="23"/>
                <w:szCs w:val="23"/>
              </w:rPr>
              <w:t>Cryptomeria</w:t>
            </w:r>
            <w:r>
              <w:rPr>
                <w:rFonts w:ascii="Times New Roman" w:hAnsi="Times New Roman" w:eastAsia="Times New Roman" w:cs="Times New Roman"/>
                <w:i/>
                <w:iCs/>
                <w:spacing w:val="14"/>
                <w:w w:val="101"/>
                <w:sz w:val="23"/>
                <w:szCs w:val="23"/>
              </w:rPr>
              <w:t xml:space="preserve">   </w:t>
            </w:r>
            <w:r>
              <w:rPr>
                <w:rFonts w:ascii="Times New Roman" w:hAnsi="Times New Roman" w:eastAsia="Times New Roman" w:cs="Times New Roman"/>
                <w:i/>
                <w:iCs/>
                <w:spacing w:val="-2"/>
                <w:sz w:val="23"/>
                <w:szCs w:val="23"/>
              </w:rPr>
              <w:t>fort</w:t>
            </w:r>
            <w:r>
              <w:rPr>
                <w:rFonts w:ascii="Times New Roman" w:hAnsi="Times New Roman" w:eastAsia="Times New Roman" w:cs="Times New Roman"/>
                <w:i/>
                <w:iCs/>
                <w:spacing w:val="-3"/>
                <w:sz w:val="23"/>
                <w:szCs w:val="23"/>
              </w:rPr>
              <w:t>unei</w:t>
            </w:r>
            <w:r>
              <w:rPr>
                <w:rFonts w:ascii="Times New Roman" w:hAnsi="Times New Roman" w:eastAsia="Times New Roman" w:cs="Times New Roman"/>
                <w:i/>
                <w:iCs/>
                <w:spacing w:val="-26"/>
                <w:sz w:val="23"/>
                <w:szCs w:val="23"/>
              </w:rPr>
              <w:t xml:space="preserve"> </w:t>
            </w:r>
            <w:r>
              <w:rPr>
                <w:i/>
                <w:iCs/>
                <w:spacing w:val="-3"/>
                <w:sz w:val="24"/>
                <w:szCs w:val="24"/>
              </w:rPr>
              <w:t>、杉木</w:t>
            </w:r>
            <w:r>
              <w:rPr>
                <w:spacing w:val="-62"/>
                <w:sz w:val="24"/>
                <w:szCs w:val="24"/>
              </w:rPr>
              <w:t xml:space="preserve"> </w:t>
            </w:r>
            <w:r>
              <w:rPr>
                <w:rFonts w:ascii="Times New Roman" w:hAnsi="Times New Roman" w:eastAsia="Times New Roman" w:cs="Times New Roman"/>
                <w:i/>
                <w:iCs/>
                <w:spacing w:val="-3"/>
                <w:sz w:val="23"/>
                <w:szCs w:val="23"/>
              </w:rPr>
              <w:t>Cunninghamia</w:t>
            </w:r>
            <w:r>
              <w:rPr>
                <w:rFonts w:ascii="Times New Roman" w:hAnsi="Times New Roman" w:eastAsia="Times New Roman" w:cs="Times New Roman"/>
                <w:i/>
                <w:iCs/>
                <w:sz w:val="23"/>
                <w:szCs w:val="23"/>
              </w:rPr>
              <w:t xml:space="preserve"> </w:t>
            </w:r>
            <w:r>
              <w:rPr>
                <w:rFonts w:ascii="Times New Roman" w:hAnsi="Times New Roman" w:eastAsia="Times New Roman" w:cs="Times New Roman"/>
                <w:i/>
                <w:iCs/>
                <w:spacing w:val="-1"/>
                <w:sz w:val="23"/>
                <w:szCs w:val="23"/>
              </w:rPr>
              <w:t>lanceolata</w:t>
            </w:r>
            <w:r>
              <w:rPr>
                <w:rFonts w:ascii="Times New Roman" w:hAnsi="Times New Roman" w:eastAsia="Times New Roman" w:cs="Times New Roman"/>
                <w:i/>
                <w:iCs/>
                <w:spacing w:val="37"/>
                <w:w w:val="101"/>
                <w:sz w:val="23"/>
                <w:szCs w:val="23"/>
              </w:rPr>
              <w:t xml:space="preserve"> </w:t>
            </w:r>
            <w:r>
              <w:rPr>
                <w:spacing w:val="-1"/>
                <w:sz w:val="23"/>
                <w:szCs w:val="23"/>
              </w:rPr>
              <w:t>等。</w:t>
            </w:r>
          </w:p>
          <w:p w14:paraId="0FA12F49">
            <w:pPr>
              <w:pStyle w:val="6"/>
              <w:spacing w:before="17" w:line="218" w:lineRule="auto"/>
              <w:ind w:left="794"/>
              <w:rPr>
                <w:sz w:val="24"/>
                <w:szCs w:val="24"/>
              </w:rPr>
            </w:pPr>
            <w:r>
              <w:rPr>
                <w:rFonts w:ascii="Times New Roman" w:hAnsi="Times New Roman" w:eastAsia="Times New Roman" w:cs="Times New Roman"/>
                <w:spacing w:val="2"/>
                <w:sz w:val="24"/>
                <w:szCs w:val="24"/>
              </w:rPr>
              <w:t>4.2.1.4</w:t>
            </w:r>
            <w:r>
              <w:rPr>
                <w:rFonts w:ascii="Times New Roman" w:hAnsi="Times New Roman" w:eastAsia="Times New Roman" w:cs="Times New Roman"/>
                <w:spacing w:val="52"/>
                <w:w w:val="101"/>
                <w:sz w:val="24"/>
                <w:szCs w:val="24"/>
              </w:rPr>
              <w:t xml:space="preserve"> </w:t>
            </w:r>
            <w:r>
              <w:rPr>
                <w:spacing w:val="2"/>
                <w:sz w:val="24"/>
                <w:szCs w:val="24"/>
              </w:rPr>
              <w:t>评价区植被类型面积</w:t>
            </w:r>
          </w:p>
          <w:p w14:paraId="68995E83">
            <w:pPr>
              <w:pStyle w:val="6"/>
              <w:spacing w:before="161" w:line="359" w:lineRule="auto"/>
              <w:ind w:left="794" w:right="129" w:firstLine="509"/>
              <w:jc w:val="both"/>
              <w:rPr>
                <w:sz w:val="24"/>
                <w:szCs w:val="24"/>
              </w:rPr>
            </w:pPr>
            <w:r>
              <w:rPr>
                <w:spacing w:val="2"/>
                <w:sz w:val="24"/>
                <w:szCs w:val="24"/>
              </w:rPr>
              <w:t>评价区总面积为2418.086</w:t>
            </w:r>
            <w:r>
              <w:rPr>
                <w:rFonts w:ascii="Times New Roman" w:hAnsi="Times New Roman" w:eastAsia="Times New Roman" w:cs="Times New Roman"/>
                <w:sz w:val="24"/>
                <w:szCs w:val="24"/>
              </w:rPr>
              <w:t>hm</w:t>
            </w:r>
            <w:r>
              <w:rPr>
                <w:rFonts w:ascii="Times New Roman" w:hAnsi="Times New Roman" w:eastAsia="Times New Roman" w:cs="Times New Roman"/>
                <w:spacing w:val="2"/>
                <w:sz w:val="24"/>
                <w:szCs w:val="24"/>
              </w:rPr>
              <w:t xml:space="preserve">²,   </w:t>
            </w:r>
            <w:r>
              <w:rPr>
                <w:spacing w:val="2"/>
                <w:sz w:val="24"/>
                <w:szCs w:val="24"/>
              </w:rPr>
              <w:t>其中有植被覆盖面积为2264.038</w:t>
            </w:r>
            <w:r>
              <w:rPr>
                <w:rFonts w:ascii="Times New Roman" w:hAnsi="Times New Roman" w:eastAsia="Times New Roman" w:cs="Times New Roman"/>
                <w:sz w:val="24"/>
                <w:szCs w:val="24"/>
              </w:rPr>
              <w:t>hm</w:t>
            </w:r>
            <w:r>
              <w:rPr>
                <w:rFonts w:ascii="Times New Roman" w:hAnsi="Times New Roman" w:eastAsia="Times New Roman" w:cs="Times New Roman"/>
                <w:spacing w:val="2"/>
                <w:sz w:val="24"/>
                <w:szCs w:val="24"/>
              </w:rPr>
              <w:t xml:space="preserve">²,   </w:t>
            </w:r>
            <w:r>
              <w:rPr>
                <w:spacing w:val="2"/>
                <w:sz w:val="24"/>
                <w:szCs w:val="24"/>
              </w:rPr>
              <w:t>天然植</w:t>
            </w:r>
            <w:r>
              <w:rPr>
                <w:sz w:val="24"/>
                <w:szCs w:val="24"/>
              </w:rPr>
              <w:t xml:space="preserve"> </w:t>
            </w:r>
            <w:r>
              <w:rPr>
                <w:spacing w:val="2"/>
                <w:sz w:val="24"/>
                <w:szCs w:val="24"/>
              </w:rPr>
              <w:t>被面积为430.020</w:t>
            </w:r>
            <w:r>
              <w:rPr>
                <w:rFonts w:ascii="Times New Roman" w:hAnsi="Times New Roman" w:eastAsia="Times New Roman" w:cs="Times New Roman"/>
                <w:sz w:val="24"/>
                <w:szCs w:val="24"/>
              </w:rPr>
              <w:t>hm</w:t>
            </w:r>
            <w:r>
              <w:rPr>
                <w:rFonts w:ascii="Times New Roman" w:hAnsi="Times New Roman" w:eastAsia="Times New Roman" w:cs="Times New Roman"/>
                <w:spacing w:val="2"/>
                <w:sz w:val="24"/>
                <w:szCs w:val="24"/>
              </w:rPr>
              <w:t>²;</w:t>
            </w:r>
            <w:r>
              <w:rPr>
                <w:rFonts w:ascii="Times New Roman" w:hAnsi="Times New Roman" w:eastAsia="Times New Roman" w:cs="Times New Roman"/>
                <w:spacing w:val="32"/>
                <w:w w:val="101"/>
                <w:sz w:val="24"/>
                <w:szCs w:val="24"/>
              </w:rPr>
              <w:t xml:space="preserve">  </w:t>
            </w:r>
            <w:r>
              <w:rPr>
                <w:spacing w:val="2"/>
                <w:sz w:val="24"/>
                <w:szCs w:val="24"/>
              </w:rPr>
              <w:t>人工植被面积为1834.018</w:t>
            </w:r>
            <w:r>
              <w:rPr>
                <w:rFonts w:ascii="Times New Roman" w:hAnsi="Times New Roman" w:eastAsia="Times New Roman" w:cs="Times New Roman"/>
                <w:spacing w:val="2"/>
                <w:sz w:val="24"/>
                <w:szCs w:val="24"/>
              </w:rPr>
              <w:t>m²;</w:t>
            </w:r>
            <w:r>
              <w:rPr>
                <w:rFonts w:ascii="Times New Roman" w:hAnsi="Times New Roman" w:eastAsia="Times New Roman" w:cs="Times New Roman"/>
                <w:spacing w:val="18"/>
                <w:w w:val="101"/>
                <w:sz w:val="24"/>
                <w:szCs w:val="24"/>
              </w:rPr>
              <w:t xml:space="preserve">  </w:t>
            </w:r>
            <w:r>
              <w:rPr>
                <w:spacing w:val="2"/>
                <w:sz w:val="24"/>
                <w:szCs w:val="24"/>
              </w:rPr>
              <w:t>天然植被中面积最大的为稀</w:t>
            </w:r>
            <w:r>
              <w:rPr>
                <w:sz w:val="24"/>
                <w:szCs w:val="24"/>
              </w:rPr>
              <w:t xml:space="preserve"> 树灌木草丛，面积为294.442</w:t>
            </w:r>
            <w:r>
              <w:rPr>
                <w:rFonts w:ascii="Times New Roman" w:hAnsi="Times New Roman" w:eastAsia="Times New Roman" w:cs="Times New Roman"/>
                <w:sz w:val="24"/>
                <w:szCs w:val="24"/>
              </w:rPr>
              <w:t>hm²,</w:t>
            </w:r>
            <w:r>
              <w:rPr>
                <w:rFonts w:ascii="Times New Roman" w:hAnsi="Times New Roman" w:eastAsia="Times New Roman" w:cs="Times New Roman"/>
                <w:spacing w:val="17"/>
                <w:sz w:val="24"/>
                <w:szCs w:val="24"/>
              </w:rPr>
              <w:t xml:space="preserve">  </w:t>
            </w:r>
            <w:r>
              <w:rPr>
                <w:sz w:val="24"/>
                <w:szCs w:val="24"/>
              </w:rPr>
              <w:t>其次为石灰岩灌丛，面积为119.</w:t>
            </w:r>
            <w:r>
              <w:rPr>
                <w:spacing w:val="-1"/>
                <w:sz w:val="24"/>
                <w:szCs w:val="24"/>
              </w:rPr>
              <w:t>358</w:t>
            </w:r>
            <w:r>
              <w:rPr>
                <w:rFonts w:ascii="Times New Roman" w:hAnsi="Times New Roman" w:eastAsia="Times New Roman" w:cs="Times New Roman"/>
                <w:spacing w:val="-1"/>
                <w:sz w:val="24"/>
                <w:szCs w:val="24"/>
              </w:rPr>
              <w:t>m²</w:t>
            </w:r>
            <w:r>
              <w:rPr>
                <w:spacing w:val="-1"/>
                <w:sz w:val="24"/>
                <w:szCs w:val="24"/>
              </w:rPr>
              <w:t>。</w:t>
            </w:r>
          </w:p>
          <w:p w14:paraId="734132F7">
            <w:pPr>
              <w:pStyle w:val="6"/>
              <w:spacing w:before="15" w:line="218" w:lineRule="auto"/>
              <w:ind w:left="3785"/>
              <w:rPr>
                <w:sz w:val="26"/>
                <w:szCs w:val="26"/>
              </w:rPr>
            </w:pPr>
            <w:r>
              <w:rPr>
                <w:spacing w:val="-10"/>
                <w:sz w:val="26"/>
                <w:szCs w:val="26"/>
              </w:rPr>
              <w:t>表3-4评价区植被面积统计表</w:t>
            </w:r>
          </w:p>
        </w:tc>
      </w:tr>
      <w:tr w14:paraId="5EDA0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859" w:type="dxa"/>
            <w:vMerge w:val="restart"/>
            <w:tcBorders>
              <w:top w:val="nil"/>
              <w:left w:val="single" w:color="000000" w:sz="2" w:space="0"/>
              <w:bottom w:val="nil"/>
            </w:tcBorders>
            <w:vAlign w:val="top"/>
          </w:tcPr>
          <w:p w14:paraId="02AF0636">
            <w:pPr>
              <w:rPr>
                <w:rFonts w:ascii="Arial"/>
                <w:sz w:val="21"/>
              </w:rPr>
            </w:pPr>
          </w:p>
        </w:tc>
        <w:tc>
          <w:tcPr>
            <w:tcW w:w="5086" w:type="dxa"/>
            <w:gridSpan w:val="2"/>
            <w:vAlign w:val="top"/>
          </w:tcPr>
          <w:p w14:paraId="1BCA3236">
            <w:pPr>
              <w:pStyle w:val="6"/>
              <w:spacing w:before="189" w:line="219" w:lineRule="auto"/>
              <w:ind w:left="573"/>
              <w:rPr>
                <w:sz w:val="21"/>
                <w:szCs w:val="21"/>
              </w:rPr>
            </w:pPr>
            <w:r>
              <w:rPr>
                <w:spacing w:val="3"/>
                <w:sz w:val="21"/>
                <w:szCs w:val="21"/>
              </w:rPr>
              <w:t>植被类型</w:t>
            </w:r>
          </w:p>
        </w:tc>
        <w:tc>
          <w:tcPr>
            <w:tcW w:w="1698" w:type="dxa"/>
            <w:vAlign w:val="top"/>
          </w:tcPr>
          <w:p w14:paraId="050461D6">
            <w:pPr>
              <w:pStyle w:val="6"/>
              <w:spacing w:before="190" w:line="220" w:lineRule="auto"/>
              <w:ind w:left="317"/>
              <w:rPr>
                <w:sz w:val="21"/>
                <w:szCs w:val="21"/>
              </w:rPr>
            </w:pPr>
            <w:r>
              <w:rPr>
                <w:spacing w:val="30"/>
                <w:sz w:val="21"/>
                <w:szCs w:val="21"/>
              </w:rPr>
              <w:t>面积(</w:t>
            </w:r>
            <w:r>
              <w:rPr>
                <w:sz w:val="21"/>
                <w:szCs w:val="21"/>
              </w:rPr>
              <w:t>hm</w:t>
            </w:r>
            <w:r>
              <w:rPr>
                <w:spacing w:val="30"/>
                <w:sz w:val="21"/>
                <w:szCs w:val="21"/>
              </w:rPr>
              <w:t>²)</w:t>
            </w:r>
          </w:p>
        </w:tc>
        <w:tc>
          <w:tcPr>
            <w:tcW w:w="1699" w:type="dxa"/>
            <w:vAlign w:val="top"/>
          </w:tcPr>
          <w:p w14:paraId="30A9589B">
            <w:pPr>
              <w:pStyle w:val="6"/>
              <w:spacing w:before="58" w:line="225" w:lineRule="auto"/>
              <w:ind w:left="268" w:right="100" w:hanging="159"/>
              <w:rPr>
                <w:sz w:val="21"/>
                <w:szCs w:val="21"/>
              </w:rPr>
            </w:pPr>
            <w:r>
              <w:rPr>
                <w:spacing w:val="1"/>
                <w:sz w:val="21"/>
                <w:szCs w:val="21"/>
              </w:rPr>
              <w:t xml:space="preserve">占评价区植被面 </w:t>
            </w:r>
            <w:r>
              <w:rPr>
                <w:spacing w:val="5"/>
                <w:sz w:val="21"/>
                <w:szCs w:val="21"/>
              </w:rPr>
              <w:t>积百分比(%)</w:t>
            </w:r>
          </w:p>
        </w:tc>
        <w:tc>
          <w:tcPr>
            <w:tcW w:w="150" w:type="dxa"/>
            <w:tcBorders>
              <w:top w:val="nil"/>
              <w:bottom w:val="nil"/>
            </w:tcBorders>
            <w:vAlign w:val="top"/>
          </w:tcPr>
          <w:p w14:paraId="3E484E5F">
            <w:pPr>
              <w:rPr>
                <w:rFonts w:ascii="Arial"/>
                <w:sz w:val="21"/>
              </w:rPr>
            </w:pPr>
          </w:p>
        </w:tc>
      </w:tr>
      <w:tr w14:paraId="53CA1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59" w:type="dxa"/>
            <w:vMerge w:val="continue"/>
            <w:tcBorders>
              <w:top w:val="nil"/>
              <w:left w:val="single" w:color="000000" w:sz="2" w:space="0"/>
              <w:bottom w:val="nil"/>
            </w:tcBorders>
            <w:vAlign w:val="top"/>
          </w:tcPr>
          <w:p w14:paraId="56F29866">
            <w:pPr>
              <w:rPr>
                <w:rFonts w:ascii="Arial"/>
                <w:sz w:val="21"/>
              </w:rPr>
            </w:pPr>
          </w:p>
        </w:tc>
        <w:tc>
          <w:tcPr>
            <w:tcW w:w="8483" w:type="dxa"/>
            <w:gridSpan w:val="4"/>
            <w:vAlign w:val="top"/>
          </w:tcPr>
          <w:p w14:paraId="0978A11F">
            <w:pPr>
              <w:pStyle w:val="6"/>
              <w:spacing w:before="69" w:line="219" w:lineRule="auto"/>
              <w:ind w:left="3713"/>
              <w:rPr>
                <w:sz w:val="21"/>
                <w:szCs w:val="21"/>
              </w:rPr>
            </w:pPr>
            <w:r>
              <w:rPr>
                <w:spacing w:val="-2"/>
                <w:sz w:val="21"/>
                <w:szCs w:val="21"/>
              </w:rPr>
              <w:t>有植被覆盖</w:t>
            </w:r>
          </w:p>
        </w:tc>
        <w:tc>
          <w:tcPr>
            <w:tcW w:w="150" w:type="dxa"/>
            <w:tcBorders>
              <w:top w:val="nil"/>
              <w:bottom w:val="nil"/>
            </w:tcBorders>
            <w:vAlign w:val="top"/>
          </w:tcPr>
          <w:p w14:paraId="743D42E8">
            <w:pPr>
              <w:rPr>
                <w:rFonts w:ascii="Arial"/>
                <w:sz w:val="21"/>
              </w:rPr>
            </w:pPr>
          </w:p>
        </w:tc>
      </w:tr>
      <w:tr w14:paraId="2E6F5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59" w:type="dxa"/>
            <w:vMerge w:val="continue"/>
            <w:tcBorders>
              <w:top w:val="nil"/>
              <w:left w:val="single" w:color="000000" w:sz="2" w:space="0"/>
              <w:bottom w:val="nil"/>
            </w:tcBorders>
            <w:vAlign w:val="top"/>
          </w:tcPr>
          <w:p w14:paraId="05F759B3">
            <w:pPr>
              <w:rPr>
                <w:rFonts w:ascii="Arial"/>
                <w:sz w:val="21"/>
              </w:rPr>
            </w:pPr>
          </w:p>
        </w:tc>
        <w:tc>
          <w:tcPr>
            <w:tcW w:w="8483" w:type="dxa"/>
            <w:gridSpan w:val="4"/>
            <w:vAlign w:val="top"/>
          </w:tcPr>
          <w:p w14:paraId="4E1FFC0F">
            <w:pPr>
              <w:pStyle w:val="6"/>
              <w:spacing w:before="79" w:line="219" w:lineRule="auto"/>
              <w:ind w:left="3813"/>
              <w:rPr>
                <w:sz w:val="21"/>
                <w:szCs w:val="21"/>
              </w:rPr>
            </w:pPr>
            <w:r>
              <w:rPr>
                <w:spacing w:val="2"/>
                <w:sz w:val="21"/>
                <w:szCs w:val="21"/>
              </w:rPr>
              <w:t>天然植被</w:t>
            </w:r>
          </w:p>
        </w:tc>
        <w:tc>
          <w:tcPr>
            <w:tcW w:w="150" w:type="dxa"/>
            <w:tcBorders>
              <w:top w:val="nil"/>
              <w:bottom w:val="nil"/>
            </w:tcBorders>
            <w:vAlign w:val="top"/>
          </w:tcPr>
          <w:p w14:paraId="3241C904">
            <w:pPr>
              <w:rPr>
                <w:rFonts w:ascii="Arial"/>
                <w:sz w:val="21"/>
              </w:rPr>
            </w:pPr>
          </w:p>
        </w:tc>
      </w:tr>
      <w:tr w14:paraId="62EBB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59" w:type="dxa"/>
            <w:vMerge w:val="continue"/>
            <w:tcBorders>
              <w:top w:val="nil"/>
              <w:left w:val="single" w:color="000000" w:sz="2" w:space="0"/>
              <w:bottom w:val="nil"/>
            </w:tcBorders>
            <w:vAlign w:val="top"/>
          </w:tcPr>
          <w:p w14:paraId="6601CED5">
            <w:pPr>
              <w:rPr>
                <w:rFonts w:ascii="Arial"/>
                <w:sz w:val="21"/>
              </w:rPr>
            </w:pPr>
          </w:p>
        </w:tc>
        <w:tc>
          <w:tcPr>
            <w:tcW w:w="2728" w:type="dxa"/>
            <w:vAlign w:val="top"/>
          </w:tcPr>
          <w:p w14:paraId="4865146D">
            <w:pPr>
              <w:pStyle w:val="6"/>
              <w:spacing w:before="69" w:line="219" w:lineRule="auto"/>
              <w:ind w:left="723"/>
              <w:rPr>
                <w:sz w:val="21"/>
                <w:szCs w:val="21"/>
              </w:rPr>
            </w:pPr>
            <w:r>
              <w:rPr>
                <w:spacing w:val="1"/>
                <w:sz w:val="21"/>
                <w:szCs w:val="21"/>
              </w:rPr>
              <w:t>暖温性针叶林</w:t>
            </w:r>
          </w:p>
        </w:tc>
        <w:tc>
          <w:tcPr>
            <w:tcW w:w="2358" w:type="dxa"/>
            <w:vAlign w:val="top"/>
          </w:tcPr>
          <w:p w14:paraId="363EA3F4">
            <w:pPr>
              <w:pStyle w:val="6"/>
              <w:spacing w:before="69" w:line="219" w:lineRule="auto"/>
              <w:ind w:left="755"/>
              <w:rPr>
                <w:sz w:val="21"/>
                <w:szCs w:val="21"/>
              </w:rPr>
            </w:pPr>
            <w:r>
              <w:rPr>
                <w:spacing w:val="2"/>
                <w:sz w:val="21"/>
                <w:szCs w:val="21"/>
              </w:rPr>
              <w:t>云南松林</w:t>
            </w:r>
          </w:p>
        </w:tc>
        <w:tc>
          <w:tcPr>
            <w:tcW w:w="1698" w:type="dxa"/>
            <w:vAlign w:val="top"/>
          </w:tcPr>
          <w:p w14:paraId="7D5DE653">
            <w:pPr>
              <w:pStyle w:val="6"/>
              <w:spacing w:before="90" w:line="219" w:lineRule="auto"/>
              <w:ind w:left="577"/>
              <w:rPr>
                <w:sz w:val="21"/>
                <w:szCs w:val="21"/>
              </w:rPr>
            </w:pPr>
            <w:r>
              <w:rPr>
                <w:spacing w:val="-4"/>
                <w:sz w:val="21"/>
                <w:szCs w:val="21"/>
              </w:rPr>
              <w:t>16.22</w:t>
            </w:r>
          </w:p>
        </w:tc>
        <w:tc>
          <w:tcPr>
            <w:tcW w:w="1699" w:type="dxa"/>
            <w:vAlign w:val="top"/>
          </w:tcPr>
          <w:p w14:paraId="31B087B6">
            <w:pPr>
              <w:pStyle w:val="6"/>
              <w:spacing w:before="90" w:line="219" w:lineRule="auto"/>
              <w:ind w:left="579"/>
              <w:rPr>
                <w:sz w:val="21"/>
                <w:szCs w:val="21"/>
              </w:rPr>
            </w:pPr>
            <w:r>
              <w:rPr>
                <w:spacing w:val="-2"/>
                <w:sz w:val="21"/>
                <w:szCs w:val="21"/>
              </w:rPr>
              <w:t>0.699</w:t>
            </w:r>
          </w:p>
        </w:tc>
        <w:tc>
          <w:tcPr>
            <w:tcW w:w="150" w:type="dxa"/>
            <w:tcBorders>
              <w:top w:val="nil"/>
              <w:bottom w:val="nil"/>
            </w:tcBorders>
            <w:vAlign w:val="top"/>
          </w:tcPr>
          <w:p w14:paraId="79488EA8">
            <w:pPr>
              <w:rPr>
                <w:rFonts w:ascii="Arial"/>
                <w:sz w:val="21"/>
              </w:rPr>
            </w:pPr>
          </w:p>
        </w:tc>
      </w:tr>
      <w:tr w14:paraId="24B45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59" w:type="dxa"/>
            <w:vMerge w:val="continue"/>
            <w:tcBorders>
              <w:top w:val="nil"/>
              <w:left w:val="single" w:color="000000" w:sz="2" w:space="0"/>
              <w:bottom w:val="nil"/>
            </w:tcBorders>
            <w:vAlign w:val="top"/>
          </w:tcPr>
          <w:p w14:paraId="4484DB9C">
            <w:pPr>
              <w:rPr>
                <w:rFonts w:ascii="Arial"/>
                <w:sz w:val="21"/>
              </w:rPr>
            </w:pPr>
          </w:p>
        </w:tc>
        <w:tc>
          <w:tcPr>
            <w:tcW w:w="5086" w:type="dxa"/>
            <w:gridSpan w:val="2"/>
            <w:vAlign w:val="top"/>
          </w:tcPr>
          <w:p w14:paraId="789252E2">
            <w:pPr>
              <w:pStyle w:val="6"/>
              <w:spacing w:before="69" w:line="219" w:lineRule="auto"/>
              <w:ind w:left="2013"/>
              <w:rPr>
                <w:rFonts w:hint="eastAsia" w:eastAsia="宋体"/>
                <w:sz w:val="21"/>
                <w:szCs w:val="21"/>
                <w:lang w:eastAsia="zh-CN"/>
              </w:rPr>
            </w:pPr>
            <w:r>
              <w:rPr>
                <w:spacing w:val="-2"/>
                <w:sz w:val="21"/>
                <w:szCs w:val="21"/>
              </w:rPr>
              <w:t>石灰岩</w:t>
            </w:r>
            <w:r>
              <w:rPr>
                <w:rFonts w:hint="eastAsia"/>
                <w:spacing w:val="-2"/>
                <w:sz w:val="21"/>
                <w:szCs w:val="21"/>
                <w:lang w:eastAsia="zh-CN"/>
              </w:rPr>
              <w:t>灌丛</w:t>
            </w:r>
          </w:p>
        </w:tc>
        <w:tc>
          <w:tcPr>
            <w:tcW w:w="1698" w:type="dxa"/>
            <w:vAlign w:val="top"/>
          </w:tcPr>
          <w:p w14:paraId="2C3C4347">
            <w:pPr>
              <w:pStyle w:val="6"/>
              <w:spacing w:before="90" w:line="219" w:lineRule="auto"/>
              <w:ind w:left="477"/>
              <w:rPr>
                <w:sz w:val="21"/>
                <w:szCs w:val="21"/>
              </w:rPr>
            </w:pPr>
            <w:r>
              <w:rPr>
                <w:spacing w:val="-3"/>
                <w:sz w:val="21"/>
                <w:szCs w:val="21"/>
              </w:rPr>
              <w:t>119.358</w:t>
            </w:r>
          </w:p>
        </w:tc>
        <w:tc>
          <w:tcPr>
            <w:tcW w:w="1699" w:type="dxa"/>
            <w:vAlign w:val="top"/>
          </w:tcPr>
          <w:p w14:paraId="7BC3115C">
            <w:pPr>
              <w:pStyle w:val="6"/>
              <w:spacing w:before="90" w:line="219" w:lineRule="auto"/>
              <w:ind w:left="579"/>
              <w:rPr>
                <w:sz w:val="21"/>
                <w:szCs w:val="21"/>
              </w:rPr>
            </w:pPr>
            <w:r>
              <w:rPr>
                <w:spacing w:val="-2"/>
                <w:sz w:val="21"/>
                <w:szCs w:val="21"/>
              </w:rPr>
              <w:t>4.936</w:t>
            </w:r>
          </w:p>
        </w:tc>
        <w:tc>
          <w:tcPr>
            <w:tcW w:w="150" w:type="dxa"/>
            <w:tcBorders>
              <w:top w:val="nil"/>
              <w:bottom w:val="nil"/>
            </w:tcBorders>
            <w:vAlign w:val="top"/>
          </w:tcPr>
          <w:p w14:paraId="7A494234">
            <w:pPr>
              <w:rPr>
                <w:rFonts w:ascii="Arial"/>
                <w:sz w:val="21"/>
              </w:rPr>
            </w:pPr>
          </w:p>
        </w:tc>
      </w:tr>
      <w:tr w14:paraId="52EAE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59" w:type="dxa"/>
            <w:vMerge w:val="continue"/>
            <w:tcBorders>
              <w:top w:val="nil"/>
              <w:left w:val="single" w:color="000000" w:sz="2" w:space="0"/>
              <w:bottom w:val="nil"/>
            </w:tcBorders>
            <w:vAlign w:val="top"/>
          </w:tcPr>
          <w:p w14:paraId="4413D1D1">
            <w:pPr>
              <w:rPr>
                <w:rFonts w:ascii="Arial"/>
                <w:sz w:val="21"/>
              </w:rPr>
            </w:pPr>
          </w:p>
        </w:tc>
        <w:tc>
          <w:tcPr>
            <w:tcW w:w="2728" w:type="dxa"/>
            <w:vAlign w:val="top"/>
          </w:tcPr>
          <w:p w14:paraId="31597FEC">
            <w:pPr>
              <w:pStyle w:val="6"/>
              <w:spacing w:before="39" w:line="211" w:lineRule="auto"/>
              <w:ind w:left="833"/>
              <w:rPr>
                <w:sz w:val="21"/>
                <w:szCs w:val="21"/>
              </w:rPr>
            </w:pPr>
            <w:r>
              <w:rPr>
                <w:spacing w:val="-2"/>
                <w:sz w:val="21"/>
                <w:szCs w:val="21"/>
              </w:rPr>
              <w:t>稀树灌草丛</w:t>
            </w:r>
          </w:p>
        </w:tc>
        <w:tc>
          <w:tcPr>
            <w:tcW w:w="2358" w:type="dxa"/>
            <w:vAlign w:val="top"/>
          </w:tcPr>
          <w:p w14:paraId="5764E415">
            <w:pPr>
              <w:pStyle w:val="6"/>
              <w:spacing w:before="39" w:line="211" w:lineRule="auto"/>
              <w:ind w:left="335"/>
              <w:rPr>
                <w:sz w:val="21"/>
                <w:szCs w:val="21"/>
              </w:rPr>
            </w:pPr>
            <w:r>
              <w:rPr>
                <w:spacing w:val="1"/>
                <w:sz w:val="21"/>
                <w:szCs w:val="21"/>
              </w:rPr>
              <w:t>暖温性稀树灌草丛</w:t>
            </w:r>
          </w:p>
        </w:tc>
        <w:tc>
          <w:tcPr>
            <w:tcW w:w="1698" w:type="dxa"/>
            <w:vAlign w:val="top"/>
          </w:tcPr>
          <w:p w14:paraId="01020BE6">
            <w:pPr>
              <w:pStyle w:val="6"/>
              <w:spacing w:before="60" w:line="193" w:lineRule="auto"/>
              <w:ind w:left="477"/>
              <w:rPr>
                <w:sz w:val="21"/>
                <w:szCs w:val="21"/>
              </w:rPr>
            </w:pPr>
            <w:r>
              <w:rPr>
                <w:spacing w:val="-2"/>
                <w:sz w:val="21"/>
                <w:szCs w:val="21"/>
              </w:rPr>
              <w:t>294.442</w:t>
            </w:r>
          </w:p>
        </w:tc>
        <w:tc>
          <w:tcPr>
            <w:tcW w:w="1699" w:type="dxa"/>
            <w:vAlign w:val="top"/>
          </w:tcPr>
          <w:p w14:paraId="562BCA94">
            <w:pPr>
              <w:pStyle w:val="6"/>
              <w:spacing w:before="60" w:line="193" w:lineRule="auto"/>
              <w:ind w:left="529"/>
              <w:rPr>
                <w:sz w:val="21"/>
                <w:szCs w:val="21"/>
              </w:rPr>
            </w:pPr>
            <w:r>
              <w:rPr>
                <w:spacing w:val="-4"/>
                <w:sz w:val="21"/>
                <w:szCs w:val="21"/>
              </w:rPr>
              <w:t>12.177</w:t>
            </w:r>
          </w:p>
        </w:tc>
        <w:tc>
          <w:tcPr>
            <w:tcW w:w="150" w:type="dxa"/>
            <w:tcBorders>
              <w:top w:val="nil"/>
              <w:bottom w:val="nil"/>
            </w:tcBorders>
            <w:vAlign w:val="top"/>
          </w:tcPr>
          <w:p w14:paraId="1EF6E9F6">
            <w:pPr>
              <w:rPr>
                <w:rFonts w:ascii="Arial"/>
                <w:sz w:val="21"/>
              </w:rPr>
            </w:pPr>
          </w:p>
        </w:tc>
      </w:tr>
      <w:tr w14:paraId="149C7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59" w:type="dxa"/>
            <w:vMerge w:val="continue"/>
            <w:tcBorders>
              <w:top w:val="nil"/>
              <w:left w:val="single" w:color="000000" w:sz="2" w:space="0"/>
              <w:bottom w:val="nil"/>
            </w:tcBorders>
            <w:vAlign w:val="top"/>
          </w:tcPr>
          <w:p w14:paraId="3ABD14C7">
            <w:pPr>
              <w:rPr>
                <w:rFonts w:ascii="Arial"/>
                <w:sz w:val="21"/>
              </w:rPr>
            </w:pPr>
          </w:p>
        </w:tc>
        <w:tc>
          <w:tcPr>
            <w:tcW w:w="5086" w:type="dxa"/>
            <w:gridSpan w:val="2"/>
            <w:vAlign w:val="top"/>
          </w:tcPr>
          <w:p w14:paraId="40FCBB40">
            <w:pPr>
              <w:pStyle w:val="6"/>
              <w:spacing w:before="70" w:line="221" w:lineRule="auto"/>
              <w:ind w:left="2323"/>
              <w:rPr>
                <w:sz w:val="21"/>
                <w:szCs w:val="21"/>
              </w:rPr>
            </w:pPr>
            <w:r>
              <w:rPr>
                <w:spacing w:val="4"/>
                <w:sz w:val="21"/>
                <w:szCs w:val="21"/>
              </w:rPr>
              <w:t>小计</w:t>
            </w:r>
          </w:p>
        </w:tc>
        <w:tc>
          <w:tcPr>
            <w:tcW w:w="1698" w:type="dxa"/>
            <w:vAlign w:val="top"/>
          </w:tcPr>
          <w:p w14:paraId="4486E943">
            <w:pPr>
              <w:pStyle w:val="6"/>
              <w:spacing w:before="90" w:line="219" w:lineRule="auto"/>
              <w:ind w:left="477"/>
              <w:rPr>
                <w:sz w:val="21"/>
                <w:szCs w:val="21"/>
              </w:rPr>
            </w:pPr>
            <w:r>
              <w:rPr>
                <w:spacing w:val="-1"/>
                <w:sz w:val="21"/>
                <w:szCs w:val="21"/>
              </w:rPr>
              <w:t>430.020</w:t>
            </w:r>
          </w:p>
        </w:tc>
        <w:tc>
          <w:tcPr>
            <w:tcW w:w="1699" w:type="dxa"/>
            <w:vAlign w:val="top"/>
          </w:tcPr>
          <w:p w14:paraId="4A843994">
            <w:pPr>
              <w:pStyle w:val="6"/>
              <w:spacing w:before="90" w:line="219" w:lineRule="auto"/>
              <w:ind w:left="529"/>
              <w:rPr>
                <w:sz w:val="21"/>
                <w:szCs w:val="21"/>
              </w:rPr>
            </w:pPr>
            <w:r>
              <w:rPr>
                <w:spacing w:val="-4"/>
                <w:sz w:val="21"/>
                <w:szCs w:val="21"/>
              </w:rPr>
              <w:t>17.783</w:t>
            </w:r>
          </w:p>
        </w:tc>
        <w:tc>
          <w:tcPr>
            <w:tcW w:w="150" w:type="dxa"/>
            <w:tcBorders>
              <w:top w:val="nil"/>
              <w:bottom w:val="nil"/>
            </w:tcBorders>
            <w:vAlign w:val="top"/>
          </w:tcPr>
          <w:p w14:paraId="0B845B4C">
            <w:pPr>
              <w:rPr>
                <w:rFonts w:ascii="Arial"/>
                <w:sz w:val="21"/>
              </w:rPr>
            </w:pPr>
          </w:p>
        </w:tc>
      </w:tr>
      <w:tr w14:paraId="6B942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859" w:type="dxa"/>
            <w:vMerge w:val="continue"/>
            <w:tcBorders>
              <w:top w:val="nil"/>
              <w:left w:val="single" w:color="000000" w:sz="2" w:space="0"/>
              <w:bottom w:val="nil"/>
            </w:tcBorders>
            <w:vAlign w:val="top"/>
          </w:tcPr>
          <w:p w14:paraId="2829D4AB">
            <w:pPr>
              <w:rPr>
                <w:rFonts w:ascii="Arial"/>
                <w:sz w:val="21"/>
              </w:rPr>
            </w:pPr>
          </w:p>
        </w:tc>
        <w:tc>
          <w:tcPr>
            <w:tcW w:w="8483" w:type="dxa"/>
            <w:gridSpan w:val="4"/>
            <w:vAlign w:val="top"/>
          </w:tcPr>
          <w:p w14:paraId="52185A0F">
            <w:pPr>
              <w:pStyle w:val="6"/>
              <w:spacing w:before="79" w:line="219" w:lineRule="auto"/>
              <w:ind w:left="3813"/>
              <w:rPr>
                <w:sz w:val="21"/>
                <w:szCs w:val="21"/>
              </w:rPr>
            </w:pPr>
            <w:r>
              <w:rPr>
                <w:spacing w:val="-2"/>
                <w:sz w:val="21"/>
                <w:szCs w:val="21"/>
              </w:rPr>
              <w:t>人工植被</w:t>
            </w:r>
          </w:p>
        </w:tc>
        <w:tc>
          <w:tcPr>
            <w:tcW w:w="150" w:type="dxa"/>
            <w:tcBorders>
              <w:top w:val="nil"/>
              <w:bottom w:val="nil"/>
            </w:tcBorders>
            <w:vAlign w:val="top"/>
          </w:tcPr>
          <w:p w14:paraId="73A61121">
            <w:pPr>
              <w:rPr>
                <w:rFonts w:ascii="Arial"/>
                <w:sz w:val="21"/>
              </w:rPr>
            </w:pPr>
          </w:p>
        </w:tc>
      </w:tr>
      <w:tr w14:paraId="2623F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59" w:type="dxa"/>
            <w:vMerge w:val="continue"/>
            <w:tcBorders>
              <w:top w:val="nil"/>
              <w:left w:val="single" w:color="000000" w:sz="2" w:space="0"/>
              <w:bottom w:val="nil"/>
            </w:tcBorders>
            <w:vAlign w:val="top"/>
          </w:tcPr>
          <w:p w14:paraId="62C6BE50">
            <w:pPr>
              <w:rPr>
                <w:rFonts w:ascii="Arial"/>
                <w:sz w:val="21"/>
              </w:rPr>
            </w:pPr>
          </w:p>
        </w:tc>
        <w:tc>
          <w:tcPr>
            <w:tcW w:w="5086" w:type="dxa"/>
            <w:gridSpan w:val="2"/>
            <w:vAlign w:val="top"/>
          </w:tcPr>
          <w:p w14:paraId="34674D78">
            <w:pPr>
              <w:pStyle w:val="6"/>
              <w:spacing w:before="70" w:line="219" w:lineRule="auto"/>
              <w:ind w:left="2013"/>
              <w:rPr>
                <w:sz w:val="21"/>
                <w:szCs w:val="21"/>
              </w:rPr>
            </w:pPr>
            <w:r>
              <w:rPr>
                <w:spacing w:val="-2"/>
                <w:sz w:val="21"/>
                <w:szCs w:val="21"/>
              </w:rPr>
              <w:t>人工林植被</w:t>
            </w:r>
          </w:p>
        </w:tc>
        <w:tc>
          <w:tcPr>
            <w:tcW w:w="1698" w:type="dxa"/>
            <w:vAlign w:val="top"/>
          </w:tcPr>
          <w:p w14:paraId="1377A033">
            <w:pPr>
              <w:pStyle w:val="6"/>
              <w:spacing w:before="92" w:line="218" w:lineRule="auto"/>
              <w:ind w:left="477"/>
              <w:rPr>
                <w:sz w:val="21"/>
                <w:szCs w:val="21"/>
              </w:rPr>
            </w:pPr>
            <w:r>
              <w:rPr>
                <w:spacing w:val="-2"/>
                <w:sz w:val="21"/>
                <w:szCs w:val="21"/>
              </w:rPr>
              <w:t>215.072</w:t>
            </w:r>
          </w:p>
        </w:tc>
        <w:tc>
          <w:tcPr>
            <w:tcW w:w="1699" w:type="dxa"/>
            <w:vAlign w:val="top"/>
          </w:tcPr>
          <w:p w14:paraId="12F7B1BD">
            <w:pPr>
              <w:pStyle w:val="6"/>
              <w:spacing w:before="92" w:line="218" w:lineRule="auto"/>
              <w:ind w:left="579"/>
              <w:rPr>
                <w:sz w:val="21"/>
                <w:szCs w:val="21"/>
              </w:rPr>
            </w:pPr>
            <w:r>
              <w:rPr>
                <w:spacing w:val="-2"/>
                <w:sz w:val="21"/>
                <w:szCs w:val="21"/>
              </w:rPr>
              <w:t>8.894</w:t>
            </w:r>
          </w:p>
        </w:tc>
        <w:tc>
          <w:tcPr>
            <w:tcW w:w="150" w:type="dxa"/>
            <w:tcBorders>
              <w:top w:val="nil"/>
              <w:bottom w:val="nil"/>
            </w:tcBorders>
            <w:vAlign w:val="top"/>
          </w:tcPr>
          <w:p w14:paraId="2ECA83C0">
            <w:pPr>
              <w:rPr>
                <w:rFonts w:ascii="Arial"/>
                <w:sz w:val="21"/>
              </w:rPr>
            </w:pPr>
          </w:p>
        </w:tc>
      </w:tr>
      <w:tr w14:paraId="359A8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59" w:type="dxa"/>
            <w:vMerge w:val="continue"/>
            <w:tcBorders>
              <w:top w:val="nil"/>
              <w:left w:val="single" w:color="000000" w:sz="2" w:space="0"/>
              <w:bottom w:val="nil"/>
            </w:tcBorders>
            <w:vAlign w:val="top"/>
          </w:tcPr>
          <w:p w14:paraId="1C3D03D4">
            <w:pPr>
              <w:rPr>
                <w:rFonts w:ascii="Arial"/>
                <w:sz w:val="21"/>
              </w:rPr>
            </w:pPr>
          </w:p>
        </w:tc>
        <w:tc>
          <w:tcPr>
            <w:tcW w:w="5086" w:type="dxa"/>
            <w:gridSpan w:val="2"/>
            <w:vAlign w:val="top"/>
          </w:tcPr>
          <w:p w14:paraId="59395F64">
            <w:pPr>
              <w:pStyle w:val="6"/>
              <w:spacing w:before="69" w:line="219" w:lineRule="auto"/>
              <w:ind w:left="1803"/>
              <w:rPr>
                <w:sz w:val="21"/>
                <w:szCs w:val="21"/>
              </w:rPr>
            </w:pPr>
            <w:r>
              <w:rPr>
                <w:spacing w:val="-2"/>
                <w:sz w:val="21"/>
                <w:szCs w:val="21"/>
              </w:rPr>
              <w:t>耕地农作物植被</w:t>
            </w:r>
          </w:p>
        </w:tc>
        <w:tc>
          <w:tcPr>
            <w:tcW w:w="1698" w:type="dxa"/>
            <w:vAlign w:val="top"/>
          </w:tcPr>
          <w:p w14:paraId="1D458DE2">
            <w:pPr>
              <w:pStyle w:val="6"/>
              <w:spacing w:before="92" w:line="218" w:lineRule="auto"/>
              <w:ind w:left="427"/>
              <w:rPr>
                <w:sz w:val="21"/>
                <w:szCs w:val="21"/>
              </w:rPr>
            </w:pPr>
            <w:r>
              <w:rPr>
                <w:spacing w:val="-3"/>
                <w:sz w:val="21"/>
                <w:szCs w:val="21"/>
              </w:rPr>
              <w:t>1618.946</w:t>
            </w:r>
          </w:p>
        </w:tc>
        <w:tc>
          <w:tcPr>
            <w:tcW w:w="1699" w:type="dxa"/>
            <w:vAlign w:val="top"/>
          </w:tcPr>
          <w:p w14:paraId="239AB2EB">
            <w:pPr>
              <w:pStyle w:val="6"/>
              <w:spacing w:before="92" w:line="218" w:lineRule="auto"/>
              <w:ind w:left="529"/>
              <w:rPr>
                <w:sz w:val="21"/>
                <w:szCs w:val="21"/>
              </w:rPr>
            </w:pPr>
            <w:r>
              <w:rPr>
                <w:spacing w:val="-2"/>
                <w:sz w:val="21"/>
                <w:szCs w:val="21"/>
              </w:rPr>
              <w:t>66.952</w:t>
            </w:r>
          </w:p>
        </w:tc>
        <w:tc>
          <w:tcPr>
            <w:tcW w:w="150" w:type="dxa"/>
            <w:tcBorders>
              <w:top w:val="nil"/>
              <w:bottom w:val="nil"/>
            </w:tcBorders>
            <w:vAlign w:val="top"/>
          </w:tcPr>
          <w:p w14:paraId="54AFD712">
            <w:pPr>
              <w:rPr>
                <w:rFonts w:ascii="Arial"/>
                <w:sz w:val="21"/>
              </w:rPr>
            </w:pPr>
          </w:p>
        </w:tc>
      </w:tr>
      <w:tr w14:paraId="0F7D2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59" w:type="dxa"/>
            <w:vMerge w:val="continue"/>
            <w:tcBorders>
              <w:top w:val="nil"/>
              <w:left w:val="single" w:color="000000" w:sz="2" w:space="0"/>
              <w:bottom w:val="nil"/>
            </w:tcBorders>
            <w:vAlign w:val="top"/>
          </w:tcPr>
          <w:p w14:paraId="61E10C84">
            <w:pPr>
              <w:rPr>
                <w:rFonts w:ascii="Arial"/>
                <w:sz w:val="21"/>
              </w:rPr>
            </w:pPr>
          </w:p>
        </w:tc>
        <w:tc>
          <w:tcPr>
            <w:tcW w:w="5086" w:type="dxa"/>
            <w:gridSpan w:val="2"/>
            <w:vAlign w:val="top"/>
          </w:tcPr>
          <w:p w14:paraId="2BF5CFDD">
            <w:pPr>
              <w:pStyle w:val="6"/>
              <w:spacing w:before="81" w:line="221" w:lineRule="auto"/>
              <w:ind w:left="2323"/>
              <w:rPr>
                <w:sz w:val="21"/>
                <w:szCs w:val="21"/>
              </w:rPr>
            </w:pPr>
            <w:r>
              <w:rPr>
                <w:spacing w:val="4"/>
                <w:sz w:val="21"/>
                <w:szCs w:val="21"/>
              </w:rPr>
              <w:t>小计</w:t>
            </w:r>
          </w:p>
        </w:tc>
        <w:tc>
          <w:tcPr>
            <w:tcW w:w="1698" w:type="dxa"/>
            <w:vAlign w:val="top"/>
          </w:tcPr>
          <w:p w14:paraId="7572C7D8">
            <w:pPr>
              <w:pStyle w:val="6"/>
              <w:spacing w:before="102" w:line="218" w:lineRule="auto"/>
              <w:ind w:left="427"/>
              <w:rPr>
                <w:sz w:val="21"/>
                <w:szCs w:val="21"/>
              </w:rPr>
            </w:pPr>
            <w:r>
              <w:rPr>
                <w:spacing w:val="-3"/>
                <w:sz w:val="21"/>
                <w:szCs w:val="21"/>
              </w:rPr>
              <w:t>1834.018</w:t>
            </w:r>
          </w:p>
        </w:tc>
        <w:tc>
          <w:tcPr>
            <w:tcW w:w="1699" w:type="dxa"/>
            <w:vAlign w:val="top"/>
          </w:tcPr>
          <w:p w14:paraId="4E66A652">
            <w:pPr>
              <w:pStyle w:val="6"/>
              <w:spacing w:before="102" w:line="218" w:lineRule="auto"/>
              <w:ind w:left="529"/>
              <w:rPr>
                <w:sz w:val="21"/>
                <w:szCs w:val="21"/>
              </w:rPr>
            </w:pPr>
            <w:r>
              <w:rPr>
                <w:spacing w:val="-2"/>
                <w:sz w:val="21"/>
                <w:szCs w:val="21"/>
              </w:rPr>
              <w:t>75.846</w:t>
            </w:r>
          </w:p>
        </w:tc>
        <w:tc>
          <w:tcPr>
            <w:tcW w:w="150" w:type="dxa"/>
            <w:tcBorders>
              <w:top w:val="nil"/>
              <w:bottom w:val="nil"/>
            </w:tcBorders>
            <w:vAlign w:val="top"/>
          </w:tcPr>
          <w:p w14:paraId="569E1FED">
            <w:pPr>
              <w:rPr>
                <w:rFonts w:ascii="Arial"/>
                <w:sz w:val="21"/>
              </w:rPr>
            </w:pPr>
          </w:p>
        </w:tc>
      </w:tr>
      <w:tr w14:paraId="5D6FD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59" w:type="dxa"/>
            <w:vMerge w:val="continue"/>
            <w:tcBorders>
              <w:top w:val="nil"/>
              <w:left w:val="single" w:color="000000" w:sz="2" w:space="0"/>
              <w:bottom w:val="nil"/>
            </w:tcBorders>
            <w:vAlign w:val="top"/>
          </w:tcPr>
          <w:p w14:paraId="7C6DB0C7">
            <w:pPr>
              <w:rPr>
                <w:rFonts w:ascii="Arial"/>
                <w:sz w:val="21"/>
              </w:rPr>
            </w:pPr>
          </w:p>
        </w:tc>
        <w:tc>
          <w:tcPr>
            <w:tcW w:w="5086" w:type="dxa"/>
            <w:gridSpan w:val="2"/>
            <w:vAlign w:val="top"/>
          </w:tcPr>
          <w:p w14:paraId="4D2A093A">
            <w:pPr>
              <w:pStyle w:val="6"/>
              <w:spacing w:before="71" w:line="221" w:lineRule="auto"/>
              <w:ind w:left="2323"/>
              <w:rPr>
                <w:sz w:val="21"/>
                <w:szCs w:val="21"/>
              </w:rPr>
            </w:pPr>
            <w:r>
              <w:rPr>
                <w:spacing w:val="-3"/>
                <w:sz w:val="21"/>
                <w:szCs w:val="21"/>
              </w:rPr>
              <w:t>合计</w:t>
            </w:r>
          </w:p>
        </w:tc>
        <w:tc>
          <w:tcPr>
            <w:tcW w:w="1698" w:type="dxa"/>
            <w:vAlign w:val="top"/>
          </w:tcPr>
          <w:p w14:paraId="6D08D732">
            <w:pPr>
              <w:pStyle w:val="6"/>
              <w:spacing w:before="92" w:line="218" w:lineRule="auto"/>
              <w:ind w:left="427"/>
              <w:rPr>
                <w:sz w:val="21"/>
                <w:szCs w:val="21"/>
              </w:rPr>
            </w:pPr>
            <w:r>
              <w:rPr>
                <w:spacing w:val="-2"/>
                <w:sz w:val="21"/>
                <w:szCs w:val="21"/>
              </w:rPr>
              <w:t>2264.038</w:t>
            </w:r>
          </w:p>
        </w:tc>
        <w:tc>
          <w:tcPr>
            <w:tcW w:w="1699" w:type="dxa"/>
            <w:vAlign w:val="top"/>
          </w:tcPr>
          <w:p w14:paraId="1BCF23F4">
            <w:pPr>
              <w:pStyle w:val="6"/>
              <w:spacing w:before="92" w:line="218" w:lineRule="auto"/>
              <w:ind w:left="749"/>
              <w:rPr>
                <w:sz w:val="21"/>
                <w:szCs w:val="21"/>
              </w:rPr>
            </w:pPr>
            <w:r>
              <w:rPr>
                <w:spacing w:val="-2"/>
                <w:sz w:val="21"/>
                <w:szCs w:val="21"/>
              </w:rPr>
              <w:t>93.629</w:t>
            </w:r>
          </w:p>
        </w:tc>
        <w:tc>
          <w:tcPr>
            <w:tcW w:w="150" w:type="dxa"/>
            <w:tcBorders>
              <w:top w:val="nil"/>
              <w:bottom w:val="nil"/>
            </w:tcBorders>
            <w:vAlign w:val="top"/>
          </w:tcPr>
          <w:p w14:paraId="6C03D79F">
            <w:pPr>
              <w:rPr>
                <w:rFonts w:ascii="Arial"/>
                <w:sz w:val="21"/>
              </w:rPr>
            </w:pPr>
          </w:p>
        </w:tc>
      </w:tr>
      <w:tr w14:paraId="2F827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59" w:type="dxa"/>
            <w:vMerge w:val="continue"/>
            <w:tcBorders>
              <w:top w:val="nil"/>
              <w:left w:val="single" w:color="000000" w:sz="2" w:space="0"/>
              <w:bottom w:val="nil"/>
            </w:tcBorders>
            <w:vAlign w:val="top"/>
          </w:tcPr>
          <w:p w14:paraId="7E6DCA46">
            <w:pPr>
              <w:rPr>
                <w:rFonts w:ascii="Arial"/>
                <w:sz w:val="21"/>
              </w:rPr>
            </w:pPr>
          </w:p>
        </w:tc>
        <w:tc>
          <w:tcPr>
            <w:tcW w:w="8483" w:type="dxa"/>
            <w:gridSpan w:val="4"/>
            <w:vAlign w:val="top"/>
          </w:tcPr>
          <w:p w14:paraId="5064FDAE">
            <w:pPr>
              <w:pStyle w:val="6"/>
              <w:spacing w:before="80" w:line="219" w:lineRule="auto"/>
              <w:ind w:left="3503"/>
              <w:rPr>
                <w:sz w:val="21"/>
                <w:szCs w:val="21"/>
              </w:rPr>
            </w:pPr>
            <w:r>
              <w:rPr>
                <w:spacing w:val="1"/>
                <w:sz w:val="21"/>
                <w:szCs w:val="21"/>
              </w:rPr>
              <w:t>无植被覆盖类型</w:t>
            </w:r>
          </w:p>
        </w:tc>
        <w:tc>
          <w:tcPr>
            <w:tcW w:w="150" w:type="dxa"/>
            <w:tcBorders>
              <w:top w:val="nil"/>
              <w:bottom w:val="nil"/>
            </w:tcBorders>
            <w:vAlign w:val="top"/>
          </w:tcPr>
          <w:p w14:paraId="4D09C814">
            <w:pPr>
              <w:rPr>
                <w:rFonts w:ascii="Arial"/>
                <w:sz w:val="21"/>
              </w:rPr>
            </w:pPr>
          </w:p>
        </w:tc>
      </w:tr>
      <w:tr w14:paraId="50D38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59" w:type="dxa"/>
            <w:vMerge w:val="continue"/>
            <w:tcBorders>
              <w:top w:val="nil"/>
              <w:left w:val="single" w:color="000000" w:sz="2" w:space="0"/>
              <w:bottom w:val="nil"/>
            </w:tcBorders>
            <w:vAlign w:val="top"/>
          </w:tcPr>
          <w:p w14:paraId="19018475">
            <w:pPr>
              <w:rPr>
                <w:rFonts w:ascii="Arial"/>
                <w:sz w:val="21"/>
              </w:rPr>
            </w:pPr>
          </w:p>
        </w:tc>
        <w:tc>
          <w:tcPr>
            <w:tcW w:w="5086" w:type="dxa"/>
            <w:gridSpan w:val="2"/>
            <w:vAlign w:val="top"/>
          </w:tcPr>
          <w:p w14:paraId="569FD124">
            <w:pPr>
              <w:pStyle w:val="6"/>
              <w:spacing w:before="69" w:line="219" w:lineRule="auto"/>
              <w:ind w:left="1903"/>
              <w:rPr>
                <w:sz w:val="21"/>
                <w:szCs w:val="21"/>
              </w:rPr>
            </w:pPr>
            <w:r>
              <w:rPr>
                <w:spacing w:val="-2"/>
                <w:sz w:val="21"/>
                <w:szCs w:val="21"/>
              </w:rPr>
              <w:t>村庄建设用地</w:t>
            </w:r>
          </w:p>
        </w:tc>
        <w:tc>
          <w:tcPr>
            <w:tcW w:w="1698" w:type="dxa"/>
            <w:vAlign w:val="top"/>
          </w:tcPr>
          <w:p w14:paraId="14948819">
            <w:pPr>
              <w:pStyle w:val="6"/>
              <w:spacing w:before="92" w:line="218" w:lineRule="auto"/>
              <w:ind w:left="527"/>
              <w:rPr>
                <w:sz w:val="21"/>
                <w:szCs w:val="21"/>
              </w:rPr>
            </w:pPr>
            <w:r>
              <w:rPr>
                <w:spacing w:val="-2"/>
                <w:sz w:val="21"/>
                <w:szCs w:val="21"/>
              </w:rPr>
              <w:t>80.598</w:t>
            </w:r>
          </w:p>
        </w:tc>
        <w:tc>
          <w:tcPr>
            <w:tcW w:w="1699" w:type="dxa"/>
            <w:vAlign w:val="top"/>
          </w:tcPr>
          <w:p w14:paraId="5D0F1321">
            <w:pPr>
              <w:pStyle w:val="6"/>
              <w:spacing w:before="92" w:line="218" w:lineRule="auto"/>
              <w:ind w:left="579"/>
              <w:rPr>
                <w:sz w:val="21"/>
                <w:szCs w:val="21"/>
              </w:rPr>
            </w:pPr>
            <w:r>
              <w:rPr>
                <w:spacing w:val="-2"/>
                <w:sz w:val="21"/>
                <w:szCs w:val="21"/>
              </w:rPr>
              <w:t>3.333</w:t>
            </w:r>
          </w:p>
        </w:tc>
        <w:tc>
          <w:tcPr>
            <w:tcW w:w="150" w:type="dxa"/>
            <w:tcBorders>
              <w:top w:val="nil"/>
              <w:bottom w:val="nil"/>
            </w:tcBorders>
            <w:vAlign w:val="top"/>
          </w:tcPr>
          <w:p w14:paraId="11CBF904">
            <w:pPr>
              <w:rPr>
                <w:rFonts w:ascii="Arial"/>
                <w:sz w:val="21"/>
              </w:rPr>
            </w:pPr>
          </w:p>
        </w:tc>
      </w:tr>
      <w:tr w14:paraId="1BF07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59" w:type="dxa"/>
            <w:vMerge w:val="continue"/>
            <w:tcBorders>
              <w:top w:val="nil"/>
              <w:left w:val="single" w:color="000000" w:sz="2" w:space="0"/>
              <w:bottom w:val="nil"/>
            </w:tcBorders>
            <w:vAlign w:val="top"/>
          </w:tcPr>
          <w:p w14:paraId="1FAF7463">
            <w:pPr>
              <w:rPr>
                <w:rFonts w:ascii="Arial"/>
                <w:sz w:val="21"/>
              </w:rPr>
            </w:pPr>
          </w:p>
        </w:tc>
        <w:tc>
          <w:tcPr>
            <w:tcW w:w="5086" w:type="dxa"/>
            <w:gridSpan w:val="2"/>
            <w:vAlign w:val="top"/>
          </w:tcPr>
          <w:p w14:paraId="3B1F6B09">
            <w:pPr>
              <w:pStyle w:val="6"/>
              <w:spacing w:before="80" w:line="219" w:lineRule="auto"/>
              <w:ind w:left="1903"/>
              <w:rPr>
                <w:sz w:val="21"/>
                <w:szCs w:val="21"/>
              </w:rPr>
            </w:pPr>
            <w:r>
              <w:rPr>
                <w:spacing w:val="-2"/>
                <w:sz w:val="21"/>
                <w:szCs w:val="21"/>
              </w:rPr>
              <w:t>工矿企业用地</w:t>
            </w:r>
          </w:p>
        </w:tc>
        <w:tc>
          <w:tcPr>
            <w:tcW w:w="1698" w:type="dxa"/>
            <w:vAlign w:val="top"/>
          </w:tcPr>
          <w:p w14:paraId="3F6BB2CC">
            <w:pPr>
              <w:pStyle w:val="6"/>
              <w:spacing w:before="102" w:line="218" w:lineRule="auto"/>
              <w:ind w:left="527"/>
              <w:rPr>
                <w:sz w:val="21"/>
                <w:szCs w:val="21"/>
              </w:rPr>
            </w:pPr>
            <w:r>
              <w:rPr>
                <w:spacing w:val="-2"/>
                <w:sz w:val="21"/>
                <w:szCs w:val="21"/>
              </w:rPr>
              <w:t>31.934</w:t>
            </w:r>
          </w:p>
        </w:tc>
        <w:tc>
          <w:tcPr>
            <w:tcW w:w="1699" w:type="dxa"/>
            <w:vAlign w:val="top"/>
          </w:tcPr>
          <w:p w14:paraId="6020FCD9">
            <w:pPr>
              <w:pStyle w:val="6"/>
              <w:spacing w:before="102" w:line="218" w:lineRule="auto"/>
              <w:ind w:left="849"/>
              <w:rPr>
                <w:sz w:val="21"/>
                <w:szCs w:val="21"/>
              </w:rPr>
            </w:pPr>
            <w:r>
              <w:rPr>
                <w:spacing w:val="-4"/>
                <w:sz w:val="21"/>
                <w:szCs w:val="21"/>
              </w:rPr>
              <w:t>1.321</w:t>
            </w:r>
          </w:p>
        </w:tc>
        <w:tc>
          <w:tcPr>
            <w:tcW w:w="150" w:type="dxa"/>
            <w:tcBorders>
              <w:top w:val="nil"/>
              <w:bottom w:val="nil"/>
            </w:tcBorders>
            <w:vAlign w:val="top"/>
          </w:tcPr>
          <w:p w14:paraId="7065AB20">
            <w:pPr>
              <w:rPr>
                <w:rFonts w:ascii="Arial"/>
                <w:sz w:val="21"/>
              </w:rPr>
            </w:pPr>
          </w:p>
        </w:tc>
      </w:tr>
      <w:tr w14:paraId="509D1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59" w:type="dxa"/>
            <w:vMerge w:val="continue"/>
            <w:tcBorders>
              <w:top w:val="nil"/>
              <w:left w:val="single" w:color="000000" w:sz="2" w:space="0"/>
              <w:bottom w:val="nil"/>
            </w:tcBorders>
            <w:vAlign w:val="top"/>
          </w:tcPr>
          <w:p w14:paraId="5866F064">
            <w:pPr>
              <w:rPr>
                <w:rFonts w:ascii="Arial"/>
                <w:sz w:val="21"/>
              </w:rPr>
            </w:pPr>
          </w:p>
        </w:tc>
        <w:tc>
          <w:tcPr>
            <w:tcW w:w="5086" w:type="dxa"/>
            <w:gridSpan w:val="2"/>
            <w:vAlign w:val="top"/>
          </w:tcPr>
          <w:p w14:paraId="2694DC32">
            <w:pPr>
              <w:pStyle w:val="6"/>
              <w:spacing w:before="70" w:line="219" w:lineRule="auto"/>
              <w:ind w:left="2323"/>
              <w:rPr>
                <w:sz w:val="21"/>
                <w:szCs w:val="21"/>
              </w:rPr>
            </w:pPr>
            <w:r>
              <w:rPr>
                <w:spacing w:val="-2"/>
                <w:sz w:val="21"/>
                <w:szCs w:val="21"/>
              </w:rPr>
              <w:t>道路</w:t>
            </w:r>
          </w:p>
        </w:tc>
        <w:tc>
          <w:tcPr>
            <w:tcW w:w="1698" w:type="dxa"/>
            <w:vAlign w:val="top"/>
          </w:tcPr>
          <w:p w14:paraId="169C801E">
            <w:pPr>
              <w:pStyle w:val="6"/>
              <w:spacing w:before="92" w:line="218" w:lineRule="auto"/>
              <w:ind w:left="527"/>
              <w:rPr>
                <w:sz w:val="21"/>
                <w:szCs w:val="21"/>
              </w:rPr>
            </w:pPr>
            <w:r>
              <w:rPr>
                <w:spacing w:val="-2"/>
                <w:sz w:val="21"/>
                <w:szCs w:val="21"/>
              </w:rPr>
              <w:t>28.037</w:t>
            </w:r>
          </w:p>
        </w:tc>
        <w:tc>
          <w:tcPr>
            <w:tcW w:w="1699" w:type="dxa"/>
            <w:vAlign w:val="top"/>
          </w:tcPr>
          <w:p w14:paraId="402AAF52">
            <w:pPr>
              <w:pStyle w:val="6"/>
              <w:spacing w:before="92" w:line="218" w:lineRule="auto"/>
              <w:ind w:left="839"/>
              <w:rPr>
                <w:sz w:val="21"/>
                <w:szCs w:val="21"/>
              </w:rPr>
            </w:pPr>
            <w:r>
              <w:rPr>
                <w:spacing w:val="-4"/>
                <w:sz w:val="21"/>
                <w:szCs w:val="21"/>
              </w:rPr>
              <w:t>1.159</w:t>
            </w:r>
          </w:p>
        </w:tc>
        <w:tc>
          <w:tcPr>
            <w:tcW w:w="150" w:type="dxa"/>
            <w:tcBorders>
              <w:top w:val="nil"/>
              <w:bottom w:val="nil"/>
            </w:tcBorders>
            <w:vAlign w:val="top"/>
          </w:tcPr>
          <w:p w14:paraId="7C89CD5B">
            <w:pPr>
              <w:rPr>
                <w:rFonts w:ascii="Arial"/>
                <w:sz w:val="21"/>
              </w:rPr>
            </w:pPr>
          </w:p>
        </w:tc>
      </w:tr>
      <w:tr w14:paraId="74AA5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859" w:type="dxa"/>
            <w:vMerge w:val="continue"/>
            <w:tcBorders>
              <w:top w:val="nil"/>
              <w:left w:val="single" w:color="000000" w:sz="2" w:space="0"/>
              <w:bottom w:val="nil"/>
            </w:tcBorders>
            <w:vAlign w:val="top"/>
          </w:tcPr>
          <w:p w14:paraId="07B05D38">
            <w:pPr>
              <w:rPr>
                <w:rFonts w:ascii="Arial"/>
                <w:sz w:val="21"/>
              </w:rPr>
            </w:pPr>
          </w:p>
        </w:tc>
        <w:tc>
          <w:tcPr>
            <w:tcW w:w="5086" w:type="dxa"/>
            <w:gridSpan w:val="2"/>
            <w:vAlign w:val="top"/>
          </w:tcPr>
          <w:p w14:paraId="43ADD7AB">
            <w:pPr>
              <w:pStyle w:val="6"/>
              <w:spacing w:before="80" w:line="219" w:lineRule="auto"/>
              <w:ind w:left="2323"/>
              <w:rPr>
                <w:sz w:val="21"/>
                <w:szCs w:val="21"/>
              </w:rPr>
            </w:pPr>
            <w:r>
              <w:rPr>
                <w:spacing w:val="-3"/>
                <w:sz w:val="21"/>
                <w:szCs w:val="21"/>
              </w:rPr>
              <w:t>水域</w:t>
            </w:r>
          </w:p>
        </w:tc>
        <w:tc>
          <w:tcPr>
            <w:tcW w:w="1698" w:type="dxa"/>
            <w:vAlign w:val="top"/>
          </w:tcPr>
          <w:p w14:paraId="4152F542">
            <w:pPr>
              <w:pStyle w:val="6"/>
              <w:spacing w:before="102" w:line="217" w:lineRule="auto"/>
              <w:ind w:left="527"/>
              <w:rPr>
                <w:sz w:val="21"/>
                <w:szCs w:val="21"/>
              </w:rPr>
            </w:pPr>
            <w:r>
              <w:rPr>
                <w:spacing w:val="-4"/>
                <w:sz w:val="21"/>
                <w:szCs w:val="21"/>
              </w:rPr>
              <w:t>13.479</w:t>
            </w:r>
          </w:p>
        </w:tc>
        <w:tc>
          <w:tcPr>
            <w:tcW w:w="1699" w:type="dxa"/>
            <w:vAlign w:val="top"/>
          </w:tcPr>
          <w:p w14:paraId="19F2D5BD">
            <w:pPr>
              <w:pStyle w:val="6"/>
              <w:spacing w:before="102" w:line="217" w:lineRule="auto"/>
              <w:ind w:left="809"/>
              <w:rPr>
                <w:sz w:val="21"/>
                <w:szCs w:val="21"/>
              </w:rPr>
            </w:pPr>
            <w:r>
              <w:rPr>
                <w:spacing w:val="-2"/>
                <w:sz w:val="21"/>
                <w:szCs w:val="21"/>
              </w:rPr>
              <w:t>0.557</w:t>
            </w:r>
          </w:p>
        </w:tc>
        <w:tc>
          <w:tcPr>
            <w:tcW w:w="150" w:type="dxa"/>
            <w:tcBorders>
              <w:top w:val="nil"/>
              <w:bottom w:val="nil"/>
            </w:tcBorders>
            <w:vAlign w:val="top"/>
          </w:tcPr>
          <w:p w14:paraId="30659F6B">
            <w:pPr>
              <w:rPr>
                <w:rFonts w:ascii="Arial"/>
                <w:sz w:val="21"/>
              </w:rPr>
            </w:pPr>
          </w:p>
        </w:tc>
      </w:tr>
      <w:tr w14:paraId="7210A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59" w:type="dxa"/>
            <w:vMerge w:val="continue"/>
            <w:tcBorders>
              <w:top w:val="nil"/>
              <w:left w:val="single" w:color="000000" w:sz="2" w:space="0"/>
              <w:bottom w:val="nil"/>
            </w:tcBorders>
            <w:vAlign w:val="top"/>
          </w:tcPr>
          <w:p w14:paraId="2CFCB568">
            <w:pPr>
              <w:rPr>
                <w:rFonts w:ascii="Arial"/>
                <w:sz w:val="21"/>
              </w:rPr>
            </w:pPr>
          </w:p>
        </w:tc>
        <w:tc>
          <w:tcPr>
            <w:tcW w:w="5086" w:type="dxa"/>
            <w:gridSpan w:val="2"/>
            <w:vAlign w:val="top"/>
          </w:tcPr>
          <w:p w14:paraId="575137E4">
            <w:pPr>
              <w:pStyle w:val="6"/>
              <w:spacing w:before="72" w:line="221" w:lineRule="auto"/>
              <w:ind w:left="2323"/>
              <w:rPr>
                <w:sz w:val="21"/>
                <w:szCs w:val="21"/>
              </w:rPr>
            </w:pPr>
            <w:r>
              <w:rPr>
                <w:spacing w:val="4"/>
                <w:sz w:val="21"/>
                <w:szCs w:val="21"/>
              </w:rPr>
              <w:t>小计</w:t>
            </w:r>
          </w:p>
        </w:tc>
        <w:tc>
          <w:tcPr>
            <w:tcW w:w="1698" w:type="dxa"/>
            <w:vAlign w:val="top"/>
          </w:tcPr>
          <w:p w14:paraId="379E13C0">
            <w:pPr>
              <w:pStyle w:val="6"/>
              <w:spacing w:before="93" w:line="217" w:lineRule="auto"/>
              <w:ind w:left="477"/>
              <w:rPr>
                <w:sz w:val="21"/>
                <w:szCs w:val="21"/>
              </w:rPr>
            </w:pPr>
            <w:r>
              <w:rPr>
                <w:spacing w:val="-3"/>
                <w:sz w:val="21"/>
                <w:szCs w:val="21"/>
              </w:rPr>
              <w:t>154.048</w:t>
            </w:r>
          </w:p>
        </w:tc>
        <w:tc>
          <w:tcPr>
            <w:tcW w:w="1699" w:type="dxa"/>
            <w:vAlign w:val="top"/>
          </w:tcPr>
          <w:p w14:paraId="3405836C">
            <w:pPr>
              <w:pStyle w:val="6"/>
              <w:spacing w:before="93" w:line="217" w:lineRule="auto"/>
              <w:ind w:left="829"/>
              <w:rPr>
                <w:sz w:val="21"/>
                <w:szCs w:val="21"/>
              </w:rPr>
            </w:pPr>
            <w:r>
              <w:rPr>
                <w:spacing w:val="-2"/>
                <w:sz w:val="21"/>
                <w:szCs w:val="21"/>
              </w:rPr>
              <w:t>6.371</w:t>
            </w:r>
          </w:p>
        </w:tc>
        <w:tc>
          <w:tcPr>
            <w:tcW w:w="150" w:type="dxa"/>
            <w:tcBorders>
              <w:top w:val="nil"/>
              <w:bottom w:val="nil"/>
            </w:tcBorders>
            <w:vAlign w:val="top"/>
          </w:tcPr>
          <w:p w14:paraId="2F5B5422">
            <w:pPr>
              <w:rPr>
                <w:rFonts w:ascii="Arial"/>
                <w:sz w:val="21"/>
              </w:rPr>
            </w:pPr>
          </w:p>
        </w:tc>
      </w:tr>
      <w:tr w14:paraId="11ABD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59" w:type="dxa"/>
            <w:vMerge w:val="continue"/>
            <w:tcBorders>
              <w:top w:val="nil"/>
              <w:left w:val="single" w:color="000000" w:sz="2" w:space="0"/>
              <w:bottom w:val="nil"/>
            </w:tcBorders>
            <w:vAlign w:val="top"/>
          </w:tcPr>
          <w:p w14:paraId="59A9C751">
            <w:pPr>
              <w:rPr>
                <w:rFonts w:ascii="Arial"/>
                <w:sz w:val="21"/>
              </w:rPr>
            </w:pPr>
          </w:p>
        </w:tc>
        <w:tc>
          <w:tcPr>
            <w:tcW w:w="5086" w:type="dxa"/>
            <w:gridSpan w:val="2"/>
            <w:vAlign w:val="top"/>
          </w:tcPr>
          <w:p w14:paraId="4AE14133">
            <w:pPr>
              <w:pStyle w:val="6"/>
              <w:spacing w:before="82" w:line="221" w:lineRule="auto"/>
              <w:ind w:left="2323"/>
              <w:rPr>
                <w:sz w:val="21"/>
                <w:szCs w:val="21"/>
              </w:rPr>
            </w:pPr>
            <w:r>
              <w:rPr>
                <w:spacing w:val="4"/>
                <w:sz w:val="21"/>
                <w:szCs w:val="21"/>
              </w:rPr>
              <w:t>总计</w:t>
            </w:r>
          </w:p>
        </w:tc>
        <w:tc>
          <w:tcPr>
            <w:tcW w:w="1698" w:type="dxa"/>
            <w:vAlign w:val="top"/>
          </w:tcPr>
          <w:p w14:paraId="5366556B">
            <w:pPr>
              <w:pStyle w:val="6"/>
              <w:spacing w:before="103" w:line="217" w:lineRule="auto"/>
              <w:ind w:left="427"/>
              <w:rPr>
                <w:sz w:val="21"/>
                <w:szCs w:val="21"/>
              </w:rPr>
            </w:pPr>
            <w:r>
              <w:rPr>
                <w:spacing w:val="-2"/>
                <w:sz w:val="21"/>
                <w:szCs w:val="21"/>
              </w:rPr>
              <w:t>2418.086</w:t>
            </w:r>
          </w:p>
        </w:tc>
        <w:tc>
          <w:tcPr>
            <w:tcW w:w="1699" w:type="dxa"/>
            <w:vAlign w:val="top"/>
          </w:tcPr>
          <w:p w14:paraId="04D799D2">
            <w:pPr>
              <w:pStyle w:val="6"/>
              <w:spacing w:before="103" w:line="217" w:lineRule="auto"/>
              <w:ind w:left="929"/>
              <w:rPr>
                <w:sz w:val="21"/>
                <w:szCs w:val="21"/>
              </w:rPr>
            </w:pPr>
            <w:r>
              <w:rPr>
                <w:spacing w:val="-6"/>
                <w:sz w:val="21"/>
                <w:szCs w:val="21"/>
              </w:rPr>
              <w:t>100</w:t>
            </w:r>
          </w:p>
        </w:tc>
        <w:tc>
          <w:tcPr>
            <w:tcW w:w="150" w:type="dxa"/>
            <w:tcBorders>
              <w:top w:val="nil"/>
              <w:bottom w:val="nil"/>
            </w:tcBorders>
            <w:vAlign w:val="top"/>
          </w:tcPr>
          <w:p w14:paraId="555A814D">
            <w:pPr>
              <w:rPr>
                <w:rFonts w:ascii="Arial"/>
                <w:sz w:val="21"/>
              </w:rPr>
            </w:pPr>
          </w:p>
        </w:tc>
      </w:tr>
      <w:tr w14:paraId="6C670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8" w:hRule="atLeast"/>
        </w:trPr>
        <w:tc>
          <w:tcPr>
            <w:tcW w:w="9492" w:type="dxa"/>
            <w:gridSpan w:val="6"/>
            <w:tcBorders>
              <w:left w:val="single" w:color="000000" w:sz="2" w:space="0"/>
              <w:bottom w:val="single" w:color="000000" w:sz="2" w:space="0"/>
            </w:tcBorders>
            <w:vAlign w:val="top"/>
          </w:tcPr>
          <w:p w14:paraId="00D7A167">
            <w:pPr>
              <w:pStyle w:val="6"/>
              <w:spacing w:before="47" w:line="218" w:lineRule="auto"/>
              <w:ind w:left="828"/>
              <w:rPr>
                <w:sz w:val="24"/>
                <w:szCs w:val="24"/>
              </w:rPr>
            </w:pPr>
            <w:r>
              <w:rPr>
                <w:b/>
                <w:bCs/>
                <w:spacing w:val="-4"/>
                <w:sz w:val="24"/>
                <w:szCs w:val="24"/>
              </w:rPr>
              <w:t>4.2.2评价区植被分布特征</w:t>
            </w:r>
          </w:p>
          <w:p w14:paraId="419BDE17">
            <w:pPr>
              <w:pStyle w:val="6"/>
              <w:spacing w:before="189" w:line="358" w:lineRule="auto"/>
              <w:ind w:left="794" w:right="141" w:firstLine="509"/>
              <w:rPr>
                <w:sz w:val="24"/>
                <w:szCs w:val="24"/>
              </w:rPr>
            </w:pPr>
            <w:r>
              <w:rPr>
                <w:spacing w:val="-4"/>
                <w:sz w:val="24"/>
                <w:szCs w:val="24"/>
              </w:rPr>
              <w:t>由于评价区整体呈狭窄的条带状分布，评价区植被类型不丰富，且没有明显的</w:t>
            </w:r>
            <w:r>
              <w:rPr>
                <w:spacing w:val="13"/>
                <w:sz w:val="24"/>
                <w:szCs w:val="24"/>
              </w:rPr>
              <w:t xml:space="preserve"> </w:t>
            </w:r>
            <w:r>
              <w:rPr>
                <w:spacing w:val="-5"/>
                <w:sz w:val="24"/>
                <w:szCs w:val="24"/>
              </w:rPr>
              <w:t>水平、垂直分布特征。</w:t>
            </w:r>
          </w:p>
          <w:p w14:paraId="1E9C25E2">
            <w:pPr>
              <w:pStyle w:val="6"/>
              <w:spacing w:before="1" w:line="217" w:lineRule="auto"/>
              <w:ind w:left="794"/>
              <w:rPr>
                <w:sz w:val="24"/>
                <w:szCs w:val="24"/>
              </w:rPr>
            </w:pPr>
            <w:r>
              <w:rPr>
                <w:spacing w:val="-2"/>
                <w:sz w:val="24"/>
                <w:szCs w:val="24"/>
              </w:rPr>
              <w:t>4.2.3评价区植物资源及保护物种现状</w:t>
            </w:r>
          </w:p>
          <w:p w14:paraId="58C90800">
            <w:pPr>
              <w:pStyle w:val="6"/>
              <w:spacing w:before="188" w:line="219" w:lineRule="auto"/>
              <w:ind w:left="1304"/>
              <w:rPr>
                <w:sz w:val="24"/>
                <w:szCs w:val="24"/>
              </w:rPr>
            </w:pPr>
            <w:r>
              <w:rPr>
                <w:spacing w:val="16"/>
                <w:sz w:val="24"/>
                <w:szCs w:val="24"/>
              </w:rPr>
              <w:t>1)种类组成</w:t>
            </w:r>
          </w:p>
          <w:p w14:paraId="16E6290E">
            <w:pPr>
              <w:pStyle w:val="6"/>
              <w:spacing w:before="182" w:line="353" w:lineRule="auto"/>
              <w:ind w:left="794" w:right="128" w:firstLine="509"/>
              <w:rPr>
                <w:sz w:val="24"/>
                <w:szCs w:val="24"/>
              </w:rPr>
            </w:pPr>
            <w:r>
              <w:rPr>
                <w:spacing w:val="-3"/>
                <w:sz w:val="24"/>
                <w:szCs w:val="24"/>
              </w:rPr>
              <w:t>评价区的地带性植被为半湿润常绿阔叶林，由于人为干扰较</w:t>
            </w:r>
            <w:r>
              <w:rPr>
                <w:spacing w:val="-4"/>
                <w:sz w:val="24"/>
                <w:szCs w:val="24"/>
              </w:rPr>
              <w:t>严重，区域内原生</w:t>
            </w:r>
            <w:r>
              <w:rPr>
                <w:sz w:val="24"/>
                <w:szCs w:val="24"/>
              </w:rPr>
              <w:t xml:space="preserve"> </w:t>
            </w:r>
            <w:r>
              <w:rPr>
                <w:spacing w:val="-3"/>
                <w:sz w:val="24"/>
                <w:szCs w:val="24"/>
              </w:rPr>
              <w:t>植被不可见，大部分地段形成了以人为活动为主导的次生性森林植被景观。根据野</w:t>
            </w:r>
          </w:p>
        </w:tc>
      </w:tr>
    </w:tbl>
    <w:p w14:paraId="6245A6B1">
      <w:pPr>
        <w:pStyle w:val="2"/>
      </w:pPr>
    </w:p>
    <w:p w14:paraId="194CB4B1">
      <w:pPr>
        <w:sectPr>
          <w:footerReference r:id="rId95" w:type="default"/>
          <w:pgSz w:w="11910" w:h="16830"/>
          <w:pgMar w:top="400" w:right="1229" w:bottom="1245" w:left="1180" w:header="0" w:footer="1083" w:gutter="0"/>
          <w:cols w:space="720" w:num="1"/>
        </w:sectPr>
      </w:pPr>
    </w:p>
    <w:p w14:paraId="69F3E621">
      <w:pPr>
        <w:spacing w:before="15"/>
      </w:pPr>
    </w:p>
    <w:p w14:paraId="4FF39740">
      <w:pPr>
        <w:spacing w:before="15"/>
      </w:pPr>
    </w:p>
    <w:p w14:paraId="3F4FCFA9">
      <w:pPr>
        <w:spacing w:before="15"/>
      </w:pPr>
    </w:p>
    <w:p w14:paraId="5D4B65AC">
      <w:pPr>
        <w:spacing w:before="14"/>
      </w:pPr>
    </w:p>
    <w:tbl>
      <w:tblPr>
        <w:tblStyle w:val="5"/>
        <w:tblW w:w="945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8761"/>
      </w:tblGrid>
      <w:tr w14:paraId="00F25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69" w:hRule="atLeast"/>
        </w:trPr>
        <w:tc>
          <w:tcPr>
            <w:tcW w:w="694" w:type="dxa"/>
            <w:vAlign w:val="top"/>
          </w:tcPr>
          <w:p w14:paraId="062A7B22">
            <w:pPr>
              <w:rPr>
                <w:rFonts w:ascii="Arial"/>
                <w:sz w:val="21"/>
              </w:rPr>
            </w:pPr>
          </w:p>
        </w:tc>
        <w:tc>
          <w:tcPr>
            <w:tcW w:w="8761" w:type="dxa"/>
            <w:vAlign w:val="top"/>
          </w:tcPr>
          <w:p w14:paraId="182F5E29">
            <w:pPr>
              <w:pStyle w:val="6"/>
              <w:spacing w:before="22" w:line="218" w:lineRule="auto"/>
              <w:ind w:left="91"/>
              <w:rPr>
                <w:sz w:val="24"/>
                <w:szCs w:val="24"/>
              </w:rPr>
            </w:pPr>
            <w:r>
              <w:rPr>
                <w:sz w:val="24"/>
                <w:szCs w:val="24"/>
              </w:rPr>
              <w:t>外考察、室内标本整理鉴定以及相关文献资料查阅，评价区共记录有维管植物524</w:t>
            </w:r>
          </w:p>
          <w:p w14:paraId="2E6653CE">
            <w:pPr>
              <w:pStyle w:val="6"/>
              <w:spacing w:before="194" w:line="358" w:lineRule="auto"/>
              <w:ind w:left="101" w:right="845" w:hanging="10"/>
              <w:rPr>
                <w:sz w:val="24"/>
                <w:szCs w:val="24"/>
              </w:rPr>
            </w:pPr>
            <w:r>
              <w:rPr>
                <w:sz w:val="24"/>
                <w:szCs w:val="24"/>
              </w:rPr>
              <w:t>种(包含种下等级),隶属于112科、385属。其中蕨类植物有13科、19属、23</w:t>
            </w:r>
            <w:r>
              <w:rPr>
                <w:spacing w:val="13"/>
                <w:sz w:val="24"/>
                <w:szCs w:val="24"/>
              </w:rPr>
              <w:t xml:space="preserve"> </w:t>
            </w:r>
            <w:r>
              <w:rPr>
                <w:sz w:val="24"/>
                <w:szCs w:val="24"/>
              </w:rPr>
              <w:t>种；裸子植物有3科、5属、6种；被子植物有96科、362属、495种。</w:t>
            </w:r>
          </w:p>
          <w:p w14:paraId="1097FECB">
            <w:pPr>
              <w:pStyle w:val="6"/>
              <w:spacing w:before="3" w:line="219" w:lineRule="auto"/>
              <w:ind w:left="561"/>
              <w:rPr>
                <w:sz w:val="24"/>
                <w:szCs w:val="24"/>
              </w:rPr>
            </w:pPr>
            <w:r>
              <w:rPr>
                <w:spacing w:val="1"/>
                <w:sz w:val="24"/>
                <w:szCs w:val="24"/>
              </w:rPr>
              <w:t>2)珍稀濒危保护植物与特有物种</w:t>
            </w:r>
          </w:p>
          <w:p w14:paraId="5151ADE1">
            <w:pPr>
              <w:pStyle w:val="6"/>
              <w:spacing w:before="171" w:line="365" w:lineRule="auto"/>
              <w:ind w:left="111" w:right="28" w:firstLine="469"/>
              <w:rPr>
                <w:sz w:val="24"/>
                <w:szCs w:val="24"/>
              </w:rPr>
            </w:pPr>
            <w:r>
              <w:rPr>
                <w:spacing w:val="-1"/>
                <w:sz w:val="24"/>
                <w:szCs w:val="24"/>
              </w:rPr>
              <w:t>根据野外实地踏查结果，本项目评价范围内无《国家重点保护野生植物名录》</w:t>
            </w:r>
            <w:r>
              <w:rPr>
                <w:spacing w:val="14"/>
                <w:sz w:val="24"/>
                <w:szCs w:val="24"/>
              </w:rPr>
              <w:t xml:space="preserve"> </w:t>
            </w:r>
            <w:r>
              <w:rPr>
                <w:spacing w:val="3"/>
                <w:sz w:val="24"/>
                <w:szCs w:val="24"/>
              </w:rPr>
              <w:t>(2021年9月)记载的保护植物分布；无《云南省重点保护野生植物名录》(2023</w:t>
            </w:r>
            <w:r>
              <w:rPr>
                <w:spacing w:val="1"/>
                <w:sz w:val="24"/>
                <w:szCs w:val="24"/>
              </w:rPr>
              <w:t xml:space="preserve">   </w:t>
            </w:r>
            <w:r>
              <w:rPr>
                <w:sz w:val="24"/>
                <w:szCs w:val="24"/>
              </w:rPr>
              <w:t>年12月)记载的云南省保护植物。野外调查未发现区域局域分布的物</w:t>
            </w:r>
            <w:r>
              <w:rPr>
                <w:spacing w:val="-1"/>
                <w:sz w:val="24"/>
                <w:szCs w:val="24"/>
              </w:rPr>
              <w:t>种。</w:t>
            </w:r>
          </w:p>
          <w:p w14:paraId="6AD800B3">
            <w:pPr>
              <w:pStyle w:val="6"/>
              <w:spacing w:line="219" w:lineRule="auto"/>
              <w:ind w:left="561"/>
              <w:rPr>
                <w:sz w:val="24"/>
                <w:szCs w:val="24"/>
              </w:rPr>
            </w:pPr>
            <w:r>
              <w:rPr>
                <w:spacing w:val="1"/>
                <w:sz w:val="24"/>
                <w:szCs w:val="24"/>
              </w:rPr>
              <w:t>3)名木古树</w:t>
            </w:r>
          </w:p>
          <w:p w14:paraId="6B88883D">
            <w:pPr>
              <w:pStyle w:val="6"/>
              <w:spacing w:before="185" w:line="354" w:lineRule="auto"/>
              <w:ind w:left="101" w:right="218" w:firstLine="479"/>
              <w:rPr>
                <w:sz w:val="24"/>
                <w:szCs w:val="24"/>
              </w:rPr>
            </w:pPr>
            <w:r>
              <w:rPr>
                <w:spacing w:val="1"/>
                <w:sz w:val="24"/>
                <w:szCs w:val="24"/>
              </w:rPr>
              <w:t>据云南省林业厅文件云林保护字(1996)第65号“关于印发云</w:t>
            </w:r>
            <w:r>
              <w:rPr>
                <w:sz w:val="24"/>
                <w:szCs w:val="24"/>
              </w:rPr>
              <w:t>南省古树名木名 录的通知”和实地踏查，在评价区内没有发现古树名</w:t>
            </w:r>
            <w:r>
              <w:rPr>
                <w:spacing w:val="-1"/>
                <w:sz w:val="24"/>
                <w:szCs w:val="24"/>
              </w:rPr>
              <w:t>木。</w:t>
            </w:r>
          </w:p>
          <w:p w14:paraId="42D01D0E">
            <w:pPr>
              <w:pStyle w:val="6"/>
              <w:spacing w:before="10" w:line="219" w:lineRule="auto"/>
              <w:ind w:left="561"/>
              <w:rPr>
                <w:sz w:val="24"/>
                <w:szCs w:val="24"/>
              </w:rPr>
            </w:pPr>
            <w:r>
              <w:rPr>
                <w:spacing w:val="2"/>
                <w:sz w:val="24"/>
                <w:szCs w:val="24"/>
              </w:rPr>
              <w:t>4)资源植物</w:t>
            </w:r>
          </w:p>
          <w:p w14:paraId="6CE3D657">
            <w:pPr>
              <w:pStyle w:val="6"/>
              <w:spacing w:before="172" w:line="359" w:lineRule="auto"/>
              <w:ind w:left="101" w:firstLine="484"/>
              <w:rPr>
                <w:sz w:val="24"/>
                <w:szCs w:val="24"/>
              </w:rPr>
            </w:pPr>
            <w:r>
              <w:rPr>
                <w:spacing w:val="-1"/>
                <w:sz w:val="24"/>
                <w:szCs w:val="24"/>
              </w:rPr>
              <w:t>评价区内分布有一定数量的资源植物，但大多数的资源植物资源蕴藏量不高，</w:t>
            </w:r>
            <w:r>
              <w:rPr>
                <w:spacing w:val="15"/>
                <w:sz w:val="24"/>
                <w:szCs w:val="24"/>
              </w:rPr>
              <w:t xml:space="preserve"> </w:t>
            </w:r>
            <w:r>
              <w:rPr>
                <w:spacing w:val="-2"/>
                <w:sz w:val="24"/>
                <w:szCs w:val="24"/>
              </w:rPr>
              <w:t>没有深加工和大规模开发的条件，很多的资源植物仅限于当地居</w:t>
            </w:r>
            <w:r>
              <w:rPr>
                <w:spacing w:val="-3"/>
                <w:sz w:val="24"/>
                <w:szCs w:val="24"/>
              </w:rPr>
              <w:t>民在日常生活中少</w:t>
            </w:r>
            <w:r>
              <w:rPr>
                <w:sz w:val="24"/>
                <w:szCs w:val="24"/>
              </w:rPr>
              <w:t xml:space="preserve"> </w:t>
            </w:r>
            <w:r>
              <w:rPr>
                <w:spacing w:val="-6"/>
                <w:sz w:val="24"/>
                <w:szCs w:val="24"/>
              </w:rPr>
              <w:t>量采集利用，或者仅仅记载于一些文献。评价区内分布的主要</w:t>
            </w:r>
            <w:r>
              <w:rPr>
                <w:spacing w:val="-7"/>
                <w:sz w:val="24"/>
                <w:szCs w:val="24"/>
              </w:rPr>
              <w:t>资源植物有以下种类：</w:t>
            </w:r>
          </w:p>
          <w:p w14:paraId="279943A1">
            <w:pPr>
              <w:pStyle w:val="6"/>
              <w:spacing w:line="217" w:lineRule="auto"/>
              <w:ind w:left="591"/>
              <w:rPr>
                <w:sz w:val="24"/>
                <w:szCs w:val="24"/>
              </w:rPr>
            </w:pPr>
            <w:r>
              <w:rPr>
                <w:sz w:val="24"/>
                <w:szCs w:val="24"/>
              </w:rPr>
              <w:t>①用材植物常见的材用植物有以下种类：云南松、旱冬瓜、华山松等。</w:t>
            </w:r>
          </w:p>
          <w:p w14:paraId="5DAA7660">
            <w:pPr>
              <w:pStyle w:val="6"/>
              <w:spacing w:before="189" w:line="328" w:lineRule="auto"/>
              <w:ind w:left="91" w:firstLine="479"/>
              <w:rPr>
                <w:sz w:val="24"/>
                <w:szCs w:val="24"/>
              </w:rPr>
            </w:pPr>
            <w:r>
              <w:rPr>
                <w:sz w:val="24"/>
                <w:szCs w:val="24"/>
              </w:rPr>
              <w:t>②药用植物该地区由于气候干旱，现存植被多为干旱灌丛等为单优种的</w:t>
            </w:r>
            <w:r>
              <w:rPr>
                <w:spacing w:val="-1"/>
                <w:sz w:val="24"/>
                <w:szCs w:val="24"/>
              </w:rPr>
              <w:t>草丛，</w:t>
            </w:r>
            <w:r>
              <w:rPr>
                <w:sz w:val="24"/>
                <w:szCs w:val="24"/>
              </w:rPr>
              <w:t xml:space="preserve"> 药用植物种类稀少，仅有少数耐旱的种类，常见的有凤尾蕨、葛等。这些常见的药</w:t>
            </w:r>
            <w:r>
              <w:rPr>
                <w:spacing w:val="18"/>
                <w:sz w:val="24"/>
                <w:szCs w:val="24"/>
              </w:rPr>
              <w:t xml:space="preserve"> </w:t>
            </w:r>
            <w:r>
              <w:rPr>
                <w:sz w:val="24"/>
                <w:szCs w:val="24"/>
              </w:rPr>
              <w:t>用植物均呈零星散布，考察中未发现集中成规模分布的种类；另一方面，这些种类</w:t>
            </w:r>
            <w:r>
              <w:rPr>
                <w:spacing w:val="7"/>
                <w:sz w:val="24"/>
                <w:szCs w:val="24"/>
              </w:rPr>
              <w:t xml:space="preserve"> </w:t>
            </w:r>
            <w:r>
              <w:rPr>
                <w:sz w:val="24"/>
                <w:szCs w:val="24"/>
              </w:rPr>
              <w:t>在云南省其他多数地区均有分布。</w:t>
            </w:r>
          </w:p>
          <w:p w14:paraId="5E0D70FB">
            <w:pPr>
              <w:pStyle w:val="6"/>
              <w:spacing w:before="174" w:line="217" w:lineRule="auto"/>
              <w:ind w:left="581"/>
              <w:rPr>
                <w:sz w:val="24"/>
                <w:szCs w:val="24"/>
              </w:rPr>
            </w:pPr>
            <w:r>
              <w:rPr>
                <w:sz w:val="24"/>
                <w:szCs w:val="24"/>
              </w:rPr>
              <w:t>③淀粉植物淀粉植物多为栽培植物，如玉米等。</w:t>
            </w:r>
          </w:p>
          <w:p w14:paraId="5AD27469">
            <w:pPr>
              <w:pStyle w:val="6"/>
              <w:spacing w:before="178" w:line="291" w:lineRule="auto"/>
              <w:ind w:left="91" w:right="7" w:firstLine="499"/>
              <w:rPr>
                <w:sz w:val="24"/>
                <w:szCs w:val="24"/>
              </w:rPr>
            </w:pPr>
            <w:r>
              <w:rPr>
                <w:sz w:val="24"/>
                <w:szCs w:val="24"/>
              </w:rPr>
              <w:t>④花卉及绿化植物多为一些在石灰岩发育区域常见种类，</w:t>
            </w:r>
            <w:r>
              <w:rPr>
                <w:spacing w:val="-1"/>
                <w:sz w:val="24"/>
                <w:szCs w:val="24"/>
              </w:rPr>
              <w:t>这些种类分布范围较</w:t>
            </w:r>
            <w:r>
              <w:rPr>
                <w:sz w:val="24"/>
                <w:szCs w:val="24"/>
              </w:rPr>
              <w:t xml:space="preserve"> 广。种类相对较少。</w:t>
            </w:r>
          </w:p>
          <w:p w14:paraId="03F52E1F">
            <w:pPr>
              <w:pStyle w:val="6"/>
              <w:spacing w:before="184" w:line="295" w:lineRule="auto"/>
              <w:ind w:left="111" w:right="27" w:firstLine="459"/>
              <w:rPr>
                <w:sz w:val="24"/>
                <w:szCs w:val="24"/>
              </w:rPr>
            </w:pPr>
            <w:r>
              <w:rPr>
                <w:sz w:val="24"/>
                <w:szCs w:val="24"/>
              </w:rPr>
              <w:t>⑤油脂和香料植物此两类资源植物种类少，多为栽培植物</w:t>
            </w:r>
            <w:r>
              <w:rPr>
                <w:spacing w:val="-1"/>
                <w:sz w:val="24"/>
                <w:szCs w:val="24"/>
              </w:rPr>
              <w:t>。常见的香料植物有</w:t>
            </w:r>
            <w:r>
              <w:rPr>
                <w:sz w:val="24"/>
                <w:szCs w:val="24"/>
              </w:rPr>
              <w:t xml:space="preserve"> </w:t>
            </w:r>
            <w:r>
              <w:rPr>
                <w:spacing w:val="-1"/>
                <w:sz w:val="24"/>
                <w:szCs w:val="24"/>
              </w:rPr>
              <w:t>香薷等。</w:t>
            </w:r>
          </w:p>
          <w:p w14:paraId="2B8B26E4">
            <w:pPr>
              <w:pStyle w:val="6"/>
              <w:spacing w:before="162" w:line="217" w:lineRule="auto"/>
              <w:ind w:left="581"/>
              <w:rPr>
                <w:sz w:val="24"/>
                <w:szCs w:val="24"/>
              </w:rPr>
            </w:pPr>
            <w:r>
              <w:rPr>
                <w:sz w:val="24"/>
                <w:szCs w:val="24"/>
              </w:rPr>
              <w:t>⑥野生蔬菜及水果种类较少，常见的有蛇葡萄、野草莓</w:t>
            </w:r>
            <w:r>
              <w:rPr>
                <w:spacing w:val="-1"/>
                <w:sz w:val="24"/>
                <w:szCs w:val="24"/>
              </w:rPr>
              <w:t>等。</w:t>
            </w:r>
          </w:p>
          <w:p w14:paraId="01A9A949">
            <w:pPr>
              <w:pStyle w:val="6"/>
              <w:spacing w:before="188" w:line="295" w:lineRule="auto"/>
              <w:ind w:left="101" w:right="19" w:firstLine="469"/>
              <w:rPr>
                <w:sz w:val="24"/>
                <w:szCs w:val="24"/>
              </w:rPr>
            </w:pPr>
            <w:r>
              <w:rPr>
                <w:sz w:val="24"/>
                <w:szCs w:val="24"/>
              </w:rPr>
              <w:t>⑦工业原料资源植物主要指鞣料植物、树脂植物、树胶植物等三类资源植</w:t>
            </w:r>
            <w:r>
              <w:rPr>
                <w:spacing w:val="-1"/>
                <w:sz w:val="24"/>
                <w:szCs w:val="24"/>
              </w:rPr>
              <w:t>物。</w:t>
            </w:r>
            <w:r>
              <w:rPr>
                <w:sz w:val="24"/>
                <w:szCs w:val="24"/>
              </w:rPr>
              <w:t xml:space="preserve"> </w:t>
            </w:r>
            <w:r>
              <w:rPr>
                <w:spacing w:val="-1"/>
                <w:sz w:val="24"/>
                <w:szCs w:val="24"/>
              </w:rPr>
              <w:t>常见种类有苎麻等。</w:t>
            </w:r>
          </w:p>
          <w:p w14:paraId="346C034D">
            <w:pPr>
              <w:pStyle w:val="6"/>
              <w:spacing w:before="176" w:line="219" w:lineRule="auto"/>
              <w:ind w:left="571"/>
              <w:rPr>
                <w:sz w:val="24"/>
                <w:szCs w:val="24"/>
              </w:rPr>
            </w:pPr>
            <w:r>
              <w:rPr>
                <w:spacing w:val="2"/>
                <w:sz w:val="24"/>
                <w:szCs w:val="24"/>
              </w:rPr>
              <w:t>5)外来入侵物种</w:t>
            </w:r>
          </w:p>
          <w:p w14:paraId="6280ADDB">
            <w:pPr>
              <w:pStyle w:val="6"/>
              <w:spacing w:before="293" w:line="218" w:lineRule="auto"/>
              <w:ind w:left="591"/>
              <w:rPr>
                <w:sz w:val="24"/>
                <w:szCs w:val="24"/>
              </w:rPr>
            </w:pPr>
            <w:r>
              <w:rPr>
                <w:sz w:val="24"/>
                <w:szCs w:val="24"/>
              </w:rPr>
              <w:t>现场调查表明，评价区列入环保部公布的第一批(2003)和第二批(2010)外</w:t>
            </w:r>
          </w:p>
        </w:tc>
      </w:tr>
    </w:tbl>
    <w:p w14:paraId="5EAF4A20">
      <w:pPr>
        <w:pStyle w:val="2"/>
      </w:pPr>
    </w:p>
    <w:p w14:paraId="7465B6E5">
      <w:pPr>
        <w:sectPr>
          <w:footerReference r:id="rId96" w:type="default"/>
          <w:pgSz w:w="11910" w:h="16830"/>
          <w:pgMar w:top="400" w:right="1229" w:bottom="1245" w:left="1214" w:header="0" w:footer="1083" w:gutter="0"/>
          <w:cols w:space="720" w:num="1"/>
        </w:sectPr>
      </w:pPr>
    </w:p>
    <w:p w14:paraId="543E1815">
      <w:pPr>
        <w:spacing w:before="15"/>
      </w:pPr>
    </w:p>
    <w:p w14:paraId="090FC78B">
      <w:pPr>
        <w:spacing w:before="15"/>
      </w:pPr>
    </w:p>
    <w:p w14:paraId="49B1C25A">
      <w:pPr>
        <w:spacing w:before="15"/>
      </w:pPr>
    </w:p>
    <w:p w14:paraId="5CD07C2D">
      <w:pPr>
        <w:spacing w:before="14"/>
      </w:pPr>
    </w:p>
    <w:tbl>
      <w:tblPr>
        <w:tblStyle w:val="5"/>
        <w:tblW w:w="942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8741"/>
      </w:tblGrid>
      <w:tr w14:paraId="0B2D6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0" w:hRule="atLeast"/>
        </w:trPr>
        <w:tc>
          <w:tcPr>
            <w:tcW w:w="684" w:type="dxa"/>
            <w:vAlign w:val="top"/>
          </w:tcPr>
          <w:p w14:paraId="5528B261">
            <w:pPr>
              <w:rPr>
                <w:rFonts w:ascii="Arial"/>
                <w:sz w:val="21"/>
              </w:rPr>
            </w:pPr>
          </w:p>
        </w:tc>
        <w:tc>
          <w:tcPr>
            <w:tcW w:w="8741" w:type="dxa"/>
            <w:vAlign w:val="top"/>
          </w:tcPr>
          <w:p w14:paraId="4FAE4112">
            <w:pPr>
              <w:pStyle w:val="6"/>
              <w:spacing w:before="33" w:line="219" w:lineRule="auto"/>
              <w:ind w:left="91"/>
              <w:rPr>
                <w:sz w:val="24"/>
                <w:szCs w:val="24"/>
              </w:rPr>
            </w:pPr>
            <w:r>
              <w:rPr>
                <w:sz w:val="24"/>
                <w:szCs w:val="24"/>
              </w:rPr>
              <w:t>来入侵物种名单有白花鬼针草、紫茎泽兰、红花月见草、</w:t>
            </w:r>
            <w:r>
              <w:rPr>
                <w:spacing w:val="-1"/>
                <w:sz w:val="24"/>
                <w:szCs w:val="24"/>
              </w:rPr>
              <w:t>辣子草、银荆Acacia</w:t>
            </w:r>
          </w:p>
          <w:p w14:paraId="65F0E91F">
            <w:pPr>
              <w:pStyle w:val="6"/>
              <w:spacing w:before="193" w:line="349" w:lineRule="auto"/>
              <w:ind w:left="100" w:hanging="9"/>
              <w:rPr>
                <w:sz w:val="24"/>
                <w:szCs w:val="24"/>
              </w:rPr>
            </w:pPr>
            <w:r>
              <w:rPr>
                <w:sz w:val="24"/>
                <w:szCs w:val="24"/>
              </w:rPr>
              <w:t>dealbata 5种。在评价区的数量均较多，特别是紫茎泽兰，在评价区云南松林</w:t>
            </w:r>
            <w:r>
              <w:rPr>
                <w:spacing w:val="-1"/>
                <w:sz w:val="24"/>
                <w:szCs w:val="24"/>
              </w:rPr>
              <w:t>、稀</w:t>
            </w:r>
            <w:r>
              <w:rPr>
                <w:sz w:val="24"/>
                <w:szCs w:val="24"/>
              </w:rPr>
              <w:t xml:space="preserve"> </w:t>
            </w:r>
            <w:r>
              <w:rPr>
                <w:spacing w:val="-1"/>
                <w:sz w:val="24"/>
                <w:szCs w:val="24"/>
              </w:rPr>
              <w:t>树灌木草丛中在草本层占据了优势地位。</w:t>
            </w:r>
          </w:p>
          <w:p w14:paraId="537A32D5">
            <w:pPr>
              <w:pStyle w:val="6"/>
              <w:spacing w:before="9" w:line="218" w:lineRule="auto"/>
              <w:ind w:left="104"/>
              <w:rPr>
                <w:sz w:val="24"/>
                <w:szCs w:val="24"/>
              </w:rPr>
            </w:pPr>
            <w:r>
              <w:rPr>
                <w:b/>
                <w:bCs/>
                <w:spacing w:val="-4"/>
                <w:sz w:val="24"/>
                <w:szCs w:val="24"/>
              </w:rPr>
              <w:t>4.2.4评价区植物群落调查结论</w:t>
            </w:r>
          </w:p>
          <w:p w14:paraId="4462A740">
            <w:pPr>
              <w:pStyle w:val="6"/>
              <w:spacing w:before="199" w:line="214" w:lineRule="auto"/>
              <w:ind w:left="2064"/>
              <w:rPr>
                <w:sz w:val="24"/>
                <w:szCs w:val="24"/>
              </w:rPr>
            </w:pPr>
            <w:r>
              <w:rPr>
                <w:b/>
                <w:bCs/>
                <w:spacing w:val="6"/>
                <w:sz w:val="24"/>
                <w:szCs w:val="24"/>
              </w:rPr>
              <w:t>表3-5植物群落调查一览表</w:t>
            </w:r>
            <w:r>
              <w:rPr>
                <w:spacing w:val="6"/>
                <w:sz w:val="24"/>
                <w:szCs w:val="24"/>
              </w:rPr>
              <w:t xml:space="preserve"> </w:t>
            </w:r>
            <w:r>
              <w:rPr>
                <w:b/>
                <w:bCs/>
                <w:spacing w:val="6"/>
                <w:sz w:val="24"/>
                <w:szCs w:val="24"/>
              </w:rPr>
              <w:t>单位：</w:t>
            </w:r>
            <w:r>
              <w:rPr>
                <w:b/>
                <w:bCs/>
                <w:sz w:val="24"/>
                <w:szCs w:val="24"/>
              </w:rPr>
              <w:t>hm</w:t>
            </w:r>
            <w:r>
              <w:rPr>
                <w:b/>
                <w:bCs/>
                <w:spacing w:val="6"/>
                <w:sz w:val="24"/>
                <w:szCs w:val="24"/>
              </w:rPr>
              <w:t>²</w:t>
            </w:r>
          </w:p>
          <w:tbl>
            <w:tblPr>
              <w:tblStyle w:val="5"/>
              <w:tblW w:w="8359" w:type="dxa"/>
              <w:tblInd w:w="1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4"/>
              <w:gridCol w:w="1078"/>
              <w:gridCol w:w="1059"/>
              <w:gridCol w:w="1059"/>
              <w:gridCol w:w="1788"/>
              <w:gridCol w:w="1158"/>
              <w:gridCol w:w="1163"/>
            </w:tblGrid>
            <w:tr w14:paraId="3DB1D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1054" w:type="dxa"/>
                  <w:vMerge w:val="restart"/>
                  <w:tcBorders>
                    <w:bottom w:val="nil"/>
                  </w:tcBorders>
                  <w:vAlign w:val="top"/>
                </w:tcPr>
                <w:p w14:paraId="4208C32D">
                  <w:pPr>
                    <w:pStyle w:val="6"/>
                    <w:spacing w:before="12" w:line="219" w:lineRule="auto"/>
                    <w:ind w:left="135"/>
                    <w:rPr>
                      <w:sz w:val="19"/>
                      <w:szCs w:val="19"/>
                    </w:rPr>
                  </w:pPr>
                  <w:r>
                    <w:rPr>
                      <w:spacing w:val="-2"/>
                      <w:sz w:val="19"/>
                      <w:szCs w:val="19"/>
                    </w:rPr>
                    <w:t>植被型组</w:t>
                  </w:r>
                </w:p>
              </w:tc>
              <w:tc>
                <w:tcPr>
                  <w:tcW w:w="1078" w:type="dxa"/>
                  <w:vMerge w:val="restart"/>
                  <w:tcBorders>
                    <w:bottom w:val="nil"/>
                  </w:tcBorders>
                  <w:vAlign w:val="top"/>
                </w:tcPr>
                <w:p w14:paraId="63EDA38A">
                  <w:pPr>
                    <w:pStyle w:val="6"/>
                    <w:spacing w:before="12" w:line="219" w:lineRule="auto"/>
                    <w:ind w:left="240"/>
                    <w:rPr>
                      <w:sz w:val="19"/>
                      <w:szCs w:val="19"/>
                    </w:rPr>
                  </w:pPr>
                  <w:r>
                    <w:rPr>
                      <w:spacing w:val="4"/>
                      <w:sz w:val="19"/>
                      <w:szCs w:val="19"/>
                    </w:rPr>
                    <w:t>植被型</w:t>
                  </w:r>
                </w:p>
              </w:tc>
              <w:tc>
                <w:tcPr>
                  <w:tcW w:w="1059" w:type="dxa"/>
                  <w:vMerge w:val="restart"/>
                  <w:tcBorders>
                    <w:bottom w:val="nil"/>
                  </w:tcBorders>
                  <w:vAlign w:val="top"/>
                </w:tcPr>
                <w:p w14:paraId="3E25F7C0">
                  <w:pPr>
                    <w:pStyle w:val="6"/>
                    <w:spacing w:before="12" w:line="219" w:lineRule="auto"/>
                    <w:ind w:left="143"/>
                    <w:rPr>
                      <w:sz w:val="19"/>
                      <w:szCs w:val="19"/>
                    </w:rPr>
                  </w:pPr>
                  <w:r>
                    <w:rPr>
                      <w:spacing w:val="3"/>
                      <w:sz w:val="19"/>
                      <w:szCs w:val="19"/>
                    </w:rPr>
                    <w:t>植被亚型</w:t>
                  </w:r>
                </w:p>
              </w:tc>
              <w:tc>
                <w:tcPr>
                  <w:tcW w:w="1059" w:type="dxa"/>
                  <w:vMerge w:val="restart"/>
                  <w:tcBorders>
                    <w:bottom w:val="nil"/>
                  </w:tcBorders>
                  <w:vAlign w:val="top"/>
                </w:tcPr>
                <w:p w14:paraId="0B573A76">
                  <w:pPr>
                    <w:pStyle w:val="6"/>
                    <w:spacing w:before="22" w:line="219" w:lineRule="auto"/>
                    <w:ind w:left="344"/>
                    <w:rPr>
                      <w:sz w:val="19"/>
                      <w:szCs w:val="19"/>
                    </w:rPr>
                  </w:pPr>
                  <w:r>
                    <w:rPr>
                      <w:spacing w:val="8"/>
                      <w:sz w:val="19"/>
                      <w:szCs w:val="19"/>
                    </w:rPr>
                    <w:t>群系</w:t>
                  </w:r>
                </w:p>
              </w:tc>
              <w:tc>
                <w:tcPr>
                  <w:tcW w:w="1788" w:type="dxa"/>
                  <w:vMerge w:val="restart"/>
                  <w:tcBorders>
                    <w:bottom w:val="nil"/>
                  </w:tcBorders>
                  <w:vAlign w:val="top"/>
                </w:tcPr>
                <w:p w14:paraId="58E0AA98">
                  <w:pPr>
                    <w:pStyle w:val="6"/>
                    <w:spacing w:before="11" w:line="219" w:lineRule="auto"/>
                    <w:ind w:left="505"/>
                    <w:rPr>
                      <w:sz w:val="19"/>
                      <w:szCs w:val="19"/>
                    </w:rPr>
                  </w:pPr>
                  <w:r>
                    <w:rPr>
                      <w:spacing w:val="-2"/>
                      <w:sz w:val="19"/>
                      <w:szCs w:val="19"/>
                    </w:rPr>
                    <w:t>分布区域</w:t>
                  </w:r>
                </w:p>
              </w:tc>
              <w:tc>
                <w:tcPr>
                  <w:tcW w:w="2321" w:type="dxa"/>
                  <w:gridSpan w:val="2"/>
                  <w:vAlign w:val="top"/>
                </w:tcPr>
                <w:p w14:paraId="3A6EE28E">
                  <w:pPr>
                    <w:pStyle w:val="6"/>
                    <w:spacing w:before="23" w:line="195" w:lineRule="auto"/>
                    <w:ind w:left="607"/>
                    <w:rPr>
                      <w:sz w:val="19"/>
                      <w:szCs w:val="19"/>
                    </w:rPr>
                  </w:pPr>
                  <w:r>
                    <w:rPr>
                      <w:spacing w:val="-2"/>
                      <w:sz w:val="19"/>
                      <w:szCs w:val="19"/>
                    </w:rPr>
                    <w:t>工程占用情况</w:t>
                  </w:r>
                </w:p>
              </w:tc>
            </w:tr>
            <w:tr w14:paraId="08579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54" w:type="dxa"/>
                  <w:vMerge w:val="continue"/>
                  <w:tcBorders>
                    <w:top w:val="nil"/>
                  </w:tcBorders>
                  <w:vAlign w:val="top"/>
                </w:tcPr>
                <w:p w14:paraId="34BAF870">
                  <w:pPr>
                    <w:rPr>
                      <w:rFonts w:ascii="Arial"/>
                      <w:sz w:val="21"/>
                    </w:rPr>
                  </w:pPr>
                </w:p>
              </w:tc>
              <w:tc>
                <w:tcPr>
                  <w:tcW w:w="1078" w:type="dxa"/>
                  <w:vMerge w:val="continue"/>
                  <w:tcBorders>
                    <w:top w:val="nil"/>
                  </w:tcBorders>
                  <w:vAlign w:val="top"/>
                </w:tcPr>
                <w:p w14:paraId="5BED052B">
                  <w:pPr>
                    <w:rPr>
                      <w:rFonts w:ascii="Arial"/>
                      <w:sz w:val="21"/>
                    </w:rPr>
                  </w:pPr>
                </w:p>
              </w:tc>
              <w:tc>
                <w:tcPr>
                  <w:tcW w:w="1059" w:type="dxa"/>
                  <w:vMerge w:val="continue"/>
                  <w:tcBorders>
                    <w:top w:val="nil"/>
                  </w:tcBorders>
                  <w:vAlign w:val="top"/>
                </w:tcPr>
                <w:p w14:paraId="7E6F732E">
                  <w:pPr>
                    <w:rPr>
                      <w:rFonts w:ascii="Arial"/>
                      <w:sz w:val="21"/>
                    </w:rPr>
                  </w:pPr>
                </w:p>
              </w:tc>
              <w:tc>
                <w:tcPr>
                  <w:tcW w:w="1059" w:type="dxa"/>
                  <w:vMerge w:val="continue"/>
                  <w:tcBorders>
                    <w:top w:val="nil"/>
                  </w:tcBorders>
                  <w:vAlign w:val="top"/>
                </w:tcPr>
                <w:p w14:paraId="3D8491CF">
                  <w:pPr>
                    <w:rPr>
                      <w:rFonts w:ascii="Arial"/>
                      <w:sz w:val="21"/>
                    </w:rPr>
                  </w:pPr>
                </w:p>
              </w:tc>
              <w:tc>
                <w:tcPr>
                  <w:tcW w:w="1788" w:type="dxa"/>
                  <w:vMerge w:val="continue"/>
                  <w:tcBorders>
                    <w:top w:val="nil"/>
                  </w:tcBorders>
                  <w:vAlign w:val="top"/>
                </w:tcPr>
                <w:p w14:paraId="66D994DD">
                  <w:pPr>
                    <w:rPr>
                      <w:rFonts w:ascii="Arial"/>
                      <w:sz w:val="21"/>
                    </w:rPr>
                  </w:pPr>
                </w:p>
              </w:tc>
              <w:tc>
                <w:tcPr>
                  <w:tcW w:w="1158" w:type="dxa"/>
                  <w:vAlign w:val="top"/>
                </w:tcPr>
                <w:p w14:paraId="338284C8">
                  <w:pPr>
                    <w:pStyle w:val="6"/>
                    <w:spacing w:before="12" w:line="186" w:lineRule="auto"/>
                    <w:ind w:left="97"/>
                    <w:rPr>
                      <w:sz w:val="24"/>
                      <w:szCs w:val="24"/>
                    </w:rPr>
                  </w:pPr>
                  <w:r>
                    <w:rPr>
                      <w:spacing w:val="3"/>
                      <w:sz w:val="24"/>
                      <w:szCs w:val="24"/>
                    </w:rPr>
                    <w:t>占用面积</w:t>
                  </w:r>
                </w:p>
                <w:p w14:paraId="603155F9">
                  <w:pPr>
                    <w:pStyle w:val="6"/>
                    <w:spacing w:line="164" w:lineRule="auto"/>
                    <w:ind w:left="217"/>
                    <w:rPr>
                      <w:sz w:val="23"/>
                      <w:szCs w:val="23"/>
                    </w:rPr>
                  </w:pPr>
                  <w:r>
                    <w:rPr>
                      <w:spacing w:val="-8"/>
                      <w:sz w:val="23"/>
                      <w:szCs w:val="23"/>
                    </w:rPr>
                    <w:t>(hm²)</w:t>
                  </w:r>
                </w:p>
              </w:tc>
              <w:tc>
                <w:tcPr>
                  <w:tcW w:w="1163" w:type="dxa"/>
                  <w:vAlign w:val="top"/>
                </w:tcPr>
                <w:p w14:paraId="1C6AD75B">
                  <w:pPr>
                    <w:pStyle w:val="6"/>
                    <w:spacing w:before="23" w:line="192" w:lineRule="auto"/>
                    <w:ind w:left="98"/>
                    <w:rPr>
                      <w:sz w:val="24"/>
                      <w:szCs w:val="24"/>
                    </w:rPr>
                  </w:pPr>
                  <w:r>
                    <w:rPr>
                      <w:spacing w:val="4"/>
                      <w:sz w:val="24"/>
                      <w:szCs w:val="24"/>
                    </w:rPr>
                    <w:t>占用比例</w:t>
                  </w:r>
                </w:p>
                <w:p w14:paraId="769802F6">
                  <w:pPr>
                    <w:pStyle w:val="6"/>
                    <w:spacing w:line="163" w:lineRule="auto"/>
                    <w:ind w:left="399"/>
                    <w:rPr>
                      <w:sz w:val="21"/>
                      <w:szCs w:val="21"/>
                    </w:rPr>
                  </w:pPr>
                  <w:r>
                    <w:rPr>
                      <w:spacing w:val="-11"/>
                      <w:sz w:val="21"/>
                      <w:szCs w:val="21"/>
                    </w:rPr>
                    <w:t>(%)</w:t>
                  </w:r>
                </w:p>
              </w:tc>
            </w:tr>
            <w:tr w14:paraId="592C5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54" w:type="dxa"/>
                  <w:vMerge w:val="restart"/>
                  <w:tcBorders>
                    <w:bottom w:val="nil"/>
                  </w:tcBorders>
                  <w:vAlign w:val="top"/>
                </w:tcPr>
                <w:p w14:paraId="5CBAEDDD">
                  <w:pPr>
                    <w:pStyle w:val="6"/>
                    <w:spacing w:before="9" w:line="219" w:lineRule="auto"/>
                    <w:ind w:left="135"/>
                    <w:rPr>
                      <w:sz w:val="19"/>
                      <w:szCs w:val="19"/>
                    </w:rPr>
                  </w:pPr>
                  <w:r>
                    <w:rPr>
                      <w:sz w:val="19"/>
                      <w:szCs w:val="19"/>
                    </w:rPr>
                    <w:t>A.天然植</w:t>
                  </w:r>
                </w:p>
                <w:p w14:paraId="6B86444C">
                  <w:pPr>
                    <w:pStyle w:val="6"/>
                    <w:spacing w:before="4" w:line="219" w:lineRule="auto"/>
                    <w:ind w:left="425"/>
                    <w:rPr>
                      <w:sz w:val="19"/>
                      <w:szCs w:val="19"/>
                    </w:rPr>
                  </w:pPr>
                  <w:r>
                    <w:rPr>
                      <w:sz w:val="19"/>
                      <w:szCs w:val="19"/>
                    </w:rPr>
                    <w:t>被</w:t>
                  </w:r>
                </w:p>
              </w:tc>
              <w:tc>
                <w:tcPr>
                  <w:tcW w:w="1078" w:type="dxa"/>
                  <w:vAlign w:val="top"/>
                </w:tcPr>
                <w:p w14:paraId="4740A490">
                  <w:pPr>
                    <w:pStyle w:val="6"/>
                    <w:spacing w:before="8" w:line="217" w:lineRule="auto"/>
                    <w:ind w:left="421" w:right="57" w:hanging="370"/>
                    <w:rPr>
                      <w:sz w:val="19"/>
                      <w:szCs w:val="19"/>
                    </w:rPr>
                  </w:pPr>
                  <w:r>
                    <w:rPr>
                      <w:spacing w:val="1"/>
                      <w:sz w:val="19"/>
                      <w:szCs w:val="19"/>
                    </w:rPr>
                    <w:t>I.暖性针叶</w:t>
                  </w:r>
                  <w:r>
                    <w:rPr>
                      <w:spacing w:val="2"/>
                      <w:sz w:val="19"/>
                      <w:szCs w:val="19"/>
                    </w:rPr>
                    <w:t xml:space="preserve"> </w:t>
                  </w:r>
                  <w:r>
                    <w:rPr>
                      <w:sz w:val="19"/>
                      <w:szCs w:val="19"/>
                    </w:rPr>
                    <w:t>林</w:t>
                  </w:r>
                </w:p>
              </w:tc>
              <w:tc>
                <w:tcPr>
                  <w:tcW w:w="1059" w:type="dxa"/>
                  <w:vAlign w:val="top"/>
                </w:tcPr>
                <w:p w14:paraId="179E48D4">
                  <w:pPr>
                    <w:pStyle w:val="6"/>
                    <w:spacing w:before="31" w:line="206" w:lineRule="auto"/>
                    <w:ind w:left="143" w:right="155" w:firstLine="40"/>
                    <w:rPr>
                      <w:sz w:val="19"/>
                      <w:szCs w:val="19"/>
                    </w:rPr>
                  </w:pPr>
                  <w:r>
                    <w:rPr>
                      <w:spacing w:val="2"/>
                      <w:sz w:val="19"/>
                      <w:szCs w:val="19"/>
                    </w:rPr>
                    <w:t>(I)暖温</w:t>
                  </w:r>
                  <w:r>
                    <w:rPr>
                      <w:sz w:val="19"/>
                      <w:szCs w:val="19"/>
                    </w:rPr>
                    <w:t xml:space="preserve"> </w:t>
                  </w:r>
                  <w:r>
                    <w:rPr>
                      <w:spacing w:val="-3"/>
                      <w:sz w:val="19"/>
                      <w:szCs w:val="19"/>
                    </w:rPr>
                    <w:t>性针叶林</w:t>
                  </w:r>
                </w:p>
              </w:tc>
              <w:tc>
                <w:tcPr>
                  <w:tcW w:w="1059" w:type="dxa"/>
                  <w:vAlign w:val="top"/>
                </w:tcPr>
                <w:p w14:paraId="0E8AF2F1">
                  <w:pPr>
                    <w:pStyle w:val="6"/>
                    <w:spacing w:before="33" w:line="205" w:lineRule="auto"/>
                    <w:ind w:left="94" w:right="193" w:firstLine="90"/>
                    <w:rPr>
                      <w:sz w:val="19"/>
                      <w:szCs w:val="19"/>
                    </w:rPr>
                  </w:pPr>
                  <w:r>
                    <w:rPr>
                      <w:spacing w:val="1"/>
                      <w:sz w:val="19"/>
                      <w:szCs w:val="19"/>
                    </w:rPr>
                    <w:t>(一).云</w:t>
                  </w:r>
                  <w:r>
                    <w:rPr>
                      <w:sz w:val="19"/>
                      <w:szCs w:val="19"/>
                    </w:rPr>
                    <w:t xml:space="preserve"> </w:t>
                  </w:r>
                  <w:r>
                    <w:rPr>
                      <w:spacing w:val="-3"/>
                      <w:sz w:val="19"/>
                      <w:szCs w:val="19"/>
                    </w:rPr>
                    <w:t>南松林</w:t>
                  </w:r>
                </w:p>
              </w:tc>
              <w:tc>
                <w:tcPr>
                  <w:tcW w:w="1788" w:type="dxa"/>
                  <w:vAlign w:val="top"/>
                </w:tcPr>
                <w:p w14:paraId="28A5F425">
                  <w:pPr>
                    <w:pStyle w:val="6"/>
                    <w:spacing w:before="28" w:line="209" w:lineRule="auto"/>
                    <w:ind w:left="74" w:firstLine="49"/>
                    <w:rPr>
                      <w:sz w:val="19"/>
                      <w:szCs w:val="19"/>
                    </w:rPr>
                  </w:pPr>
                  <w:r>
                    <w:rPr>
                      <w:spacing w:val="-3"/>
                      <w:sz w:val="19"/>
                      <w:szCs w:val="19"/>
                    </w:rPr>
                    <w:t>评价区内该群落主</w:t>
                  </w:r>
                  <w:r>
                    <w:rPr>
                      <w:spacing w:val="2"/>
                      <w:sz w:val="19"/>
                      <w:szCs w:val="19"/>
                    </w:rPr>
                    <w:t xml:space="preserve">  </w:t>
                  </w:r>
                  <w:r>
                    <w:rPr>
                      <w:spacing w:val="-1"/>
                      <w:sz w:val="19"/>
                      <w:szCs w:val="19"/>
                    </w:rPr>
                    <w:t>要分布于北部山坡。</w:t>
                  </w:r>
                </w:p>
              </w:tc>
              <w:tc>
                <w:tcPr>
                  <w:tcW w:w="1158" w:type="dxa"/>
                  <w:vAlign w:val="top"/>
                </w:tcPr>
                <w:p w14:paraId="5CD15687">
                  <w:pPr>
                    <w:pStyle w:val="6"/>
                    <w:spacing w:before="145"/>
                    <w:ind w:left="517"/>
                    <w:rPr>
                      <w:sz w:val="24"/>
                      <w:szCs w:val="24"/>
                    </w:rPr>
                  </w:pPr>
                  <w:r>
                    <w:rPr>
                      <w:sz w:val="24"/>
                      <w:szCs w:val="24"/>
                    </w:rPr>
                    <w:t>0</w:t>
                  </w:r>
                </w:p>
              </w:tc>
              <w:tc>
                <w:tcPr>
                  <w:tcW w:w="1163" w:type="dxa"/>
                  <w:vAlign w:val="top"/>
                </w:tcPr>
                <w:p w14:paraId="4DFDC21C">
                  <w:pPr>
                    <w:pStyle w:val="6"/>
                    <w:spacing w:before="145"/>
                    <w:ind w:left="749"/>
                    <w:rPr>
                      <w:sz w:val="24"/>
                      <w:szCs w:val="24"/>
                    </w:rPr>
                  </w:pPr>
                  <w:r>
                    <w:rPr>
                      <w:sz w:val="24"/>
                      <w:szCs w:val="24"/>
                    </w:rPr>
                    <w:t>0</w:t>
                  </w:r>
                </w:p>
              </w:tc>
            </w:tr>
            <w:tr w14:paraId="45CEC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6" w:hRule="atLeast"/>
              </w:trPr>
              <w:tc>
                <w:tcPr>
                  <w:tcW w:w="1054" w:type="dxa"/>
                  <w:vMerge w:val="continue"/>
                  <w:tcBorders>
                    <w:top w:val="nil"/>
                    <w:bottom w:val="nil"/>
                  </w:tcBorders>
                  <w:vAlign w:val="top"/>
                </w:tcPr>
                <w:p w14:paraId="69D58FF8">
                  <w:pPr>
                    <w:rPr>
                      <w:rFonts w:ascii="Arial"/>
                      <w:sz w:val="21"/>
                    </w:rPr>
                  </w:pPr>
                </w:p>
              </w:tc>
              <w:tc>
                <w:tcPr>
                  <w:tcW w:w="1078" w:type="dxa"/>
                  <w:vAlign w:val="top"/>
                </w:tcPr>
                <w:p w14:paraId="0D67E7E5">
                  <w:pPr>
                    <w:pStyle w:val="6"/>
                    <w:spacing w:before="19" w:line="212" w:lineRule="auto"/>
                    <w:ind w:left="240" w:right="145" w:hanging="89"/>
                    <w:rPr>
                      <w:sz w:val="19"/>
                      <w:szCs w:val="19"/>
                    </w:rPr>
                  </w:pPr>
                  <w:r>
                    <w:rPr>
                      <w:sz w:val="19"/>
                      <w:szCs w:val="19"/>
                    </w:rPr>
                    <w:t>II</w:t>
                  </w:r>
                  <w:r>
                    <w:rPr>
                      <w:spacing w:val="3"/>
                      <w:sz w:val="19"/>
                      <w:szCs w:val="19"/>
                    </w:rPr>
                    <w:t>稀树灌</w:t>
                  </w:r>
                  <w:r>
                    <w:rPr>
                      <w:spacing w:val="1"/>
                      <w:sz w:val="19"/>
                      <w:szCs w:val="19"/>
                    </w:rPr>
                    <w:t xml:space="preserve"> </w:t>
                  </w:r>
                  <w:r>
                    <w:rPr>
                      <w:spacing w:val="-2"/>
                      <w:sz w:val="19"/>
                      <w:szCs w:val="19"/>
                    </w:rPr>
                    <w:t>木草丛</w:t>
                  </w:r>
                </w:p>
              </w:tc>
              <w:tc>
                <w:tcPr>
                  <w:tcW w:w="1059" w:type="dxa"/>
                  <w:vAlign w:val="top"/>
                </w:tcPr>
                <w:p w14:paraId="79800D9C">
                  <w:pPr>
                    <w:pStyle w:val="6"/>
                    <w:spacing w:before="21" w:line="211" w:lineRule="auto"/>
                    <w:ind w:left="163" w:right="135" w:hanging="20"/>
                    <w:rPr>
                      <w:sz w:val="19"/>
                      <w:szCs w:val="19"/>
                    </w:rPr>
                  </w:pPr>
                  <w:r>
                    <w:rPr>
                      <w:spacing w:val="1"/>
                      <w:sz w:val="19"/>
                      <w:szCs w:val="19"/>
                    </w:rPr>
                    <w:t>(</w:t>
                  </w:r>
                  <w:r>
                    <w:rPr>
                      <w:sz w:val="19"/>
                      <w:szCs w:val="19"/>
                    </w:rPr>
                    <w:t>II</w:t>
                  </w:r>
                  <w:r>
                    <w:rPr>
                      <w:spacing w:val="1"/>
                      <w:sz w:val="19"/>
                      <w:szCs w:val="19"/>
                    </w:rPr>
                    <w:t xml:space="preserve">)暖温 </w:t>
                  </w:r>
                  <w:r>
                    <w:rPr>
                      <w:spacing w:val="-3"/>
                      <w:sz w:val="19"/>
                      <w:szCs w:val="19"/>
                    </w:rPr>
                    <w:t>性灌草丛</w:t>
                  </w:r>
                </w:p>
              </w:tc>
              <w:tc>
                <w:tcPr>
                  <w:tcW w:w="1059" w:type="dxa"/>
                  <w:vAlign w:val="top"/>
                </w:tcPr>
                <w:p w14:paraId="76E6D770">
                  <w:pPr>
                    <w:pStyle w:val="6"/>
                    <w:spacing w:before="20" w:line="204" w:lineRule="auto"/>
                    <w:ind w:left="194"/>
                    <w:rPr>
                      <w:sz w:val="19"/>
                      <w:szCs w:val="19"/>
                    </w:rPr>
                  </w:pPr>
                  <w:r>
                    <w:rPr>
                      <w:spacing w:val="2"/>
                      <w:sz w:val="19"/>
                      <w:szCs w:val="19"/>
                    </w:rPr>
                    <w:t>(二).含</w:t>
                  </w:r>
                </w:p>
                <w:p w14:paraId="503771C3">
                  <w:pPr>
                    <w:pStyle w:val="6"/>
                    <w:spacing w:before="2" w:line="229" w:lineRule="auto"/>
                    <w:ind w:left="94" w:firstLine="19"/>
                    <w:rPr>
                      <w:sz w:val="19"/>
                      <w:szCs w:val="19"/>
                    </w:rPr>
                  </w:pPr>
                  <w:r>
                    <w:rPr>
                      <w:spacing w:val="-3"/>
                      <w:sz w:val="19"/>
                      <w:szCs w:val="19"/>
                    </w:rPr>
                    <w:t>云南松、珍</w:t>
                  </w:r>
                  <w:r>
                    <w:rPr>
                      <w:sz w:val="19"/>
                      <w:szCs w:val="19"/>
                    </w:rPr>
                    <w:t xml:space="preserve"> </w:t>
                  </w:r>
                  <w:r>
                    <w:rPr>
                      <w:spacing w:val="7"/>
                      <w:sz w:val="19"/>
                      <w:szCs w:val="19"/>
                    </w:rPr>
                    <w:t>珠花的中</w:t>
                  </w:r>
                  <w:r>
                    <w:rPr>
                      <w:sz w:val="19"/>
                      <w:szCs w:val="19"/>
                    </w:rPr>
                    <w:t xml:space="preserve">  </w:t>
                  </w:r>
                  <w:r>
                    <w:rPr>
                      <w:spacing w:val="-3"/>
                      <w:sz w:val="19"/>
                      <w:szCs w:val="19"/>
                    </w:rPr>
                    <w:t>草草丛</w:t>
                  </w:r>
                </w:p>
              </w:tc>
              <w:tc>
                <w:tcPr>
                  <w:tcW w:w="1788" w:type="dxa"/>
                  <w:vAlign w:val="top"/>
                </w:tcPr>
                <w:p w14:paraId="4509D043">
                  <w:pPr>
                    <w:pStyle w:val="6"/>
                    <w:spacing w:before="21" w:line="229" w:lineRule="auto"/>
                    <w:ind w:left="74" w:firstLine="49"/>
                    <w:jc w:val="both"/>
                    <w:rPr>
                      <w:sz w:val="19"/>
                      <w:szCs w:val="19"/>
                    </w:rPr>
                  </w:pPr>
                  <w:r>
                    <w:rPr>
                      <w:spacing w:val="1"/>
                      <w:sz w:val="19"/>
                      <w:szCs w:val="19"/>
                    </w:rPr>
                    <w:t>本群落在评价区内</w:t>
                  </w:r>
                  <w:r>
                    <w:rPr>
                      <w:spacing w:val="3"/>
                      <w:sz w:val="19"/>
                      <w:szCs w:val="19"/>
                    </w:rPr>
                    <w:t xml:space="preserve">  主要分布在人为活</w:t>
                  </w:r>
                  <w:r>
                    <w:rPr>
                      <w:spacing w:val="2"/>
                      <w:sz w:val="19"/>
                      <w:szCs w:val="19"/>
                    </w:rPr>
                    <w:t xml:space="preserve">  </w:t>
                  </w:r>
                  <w:r>
                    <w:rPr>
                      <w:spacing w:val="-1"/>
                      <w:sz w:val="19"/>
                      <w:szCs w:val="19"/>
                    </w:rPr>
                    <w:t>动较为频繁的区域，</w:t>
                  </w:r>
                  <w:r>
                    <w:rPr>
                      <w:spacing w:val="1"/>
                      <w:sz w:val="19"/>
                      <w:szCs w:val="19"/>
                    </w:rPr>
                    <w:t xml:space="preserve"> </w:t>
                  </w:r>
                  <w:r>
                    <w:rPr>
                      <w:spacing w:val="4"/>
                      <w:sz w:val="19"/>
                      <w:szCs w:val="19"/>
                    </w:rPr>
                    <w:t>在人口密集的村庄</w:t>
                  </w:r>
                  <w:r>
                    <w:rPr>
                      <w:sz w:val="19"/>
                      <w:szCs w:val="19"/>
                    </w:rPr>
                    <w:t xml:space="preserve">  </w:t>
                  </w:r>
                  <w:r>
                    <w:rPr>
                      <w:spacing w:val="3"/>
                      <w:sz w:val="19"/>
                      <w:szCs w:val="19"/>
                    </w:rPr>
                    <w:t>周边尤为常见</w:t>
                  </w:r>
                </w:p>
              </w:tc>
              <w:tc>
                <w:tcPr>
                  <w:tcW w:w="1158" w:type="dxa"/>
                  <w:vAlign w:val="top"/>
                </w:tcPr>
                <w:p w14:paraId="016D955E">
                  <w:pPr>
                    <w:spacing w:line="262" w:lineRule="auto"/>
                    <w:rPr>
                      <w:rFonts w:ascii="Arial"/>
                      <w:sz w:val="21"/>
                    </w:rPr>
                  </w:pPr>
                </w:p>
                <w:p w14:paraId="4F0FD67F">
                  <w:pPr>
                    <w:spacing w:line="263" w:lineRule="auto"/>
                    <w:rPr>
                      <w:rFonts w:ascii="Arial"/>
                      <w:sz w:val="21"/>
                    </w:rPr>
                  </w:pPr>
                </w:p>
                <w:p w14:paraId="2B1C4B34">
                  <w:pPr>
                    <w:pStyle w:val="6"/>
                    <w:spacing w:before="78" w:line="239" w:lineRule="auto"/>
                    <w:ind w:left="337"/>
                    <w:rPr>
                      <w:sz w:val="24"/>
                      <w:szCs w:val="24"/>
                    </w:rPr>
                  </w:pPr>
                  <w:r>
                    <w:rPr>
                      <w:spacing w:val="-3"/>
                      <w:sz w:val="24"/>
                      <w:szCs w:val="24"/>
                    </w:rPr>
                    <w:t>0.79</w:t>
                  </w:r>
                </w:p>
              </w:tc>
              <w:tc>
                <w:tcPr>
                  <w:tcW w:w="1163" w:type="dxa"/>
                  <w:vAlign w:val="top"/>
                </w:tcPr>
                <w:p w14:paraId="48736EAD">
                  <w:pPr>
                    <w:spacing w:line="262" w:lineRule="auto"/>
                    <w:rPr>
                      <w:rFonts w:ascii="Arial"/>
                      <w:sz w:val="21"/>
                    </w:rPr>
                  </w:pPr>
                </w:p>
                <w:p w14:paraId="266BD445">
                  <w:pPr>
                    <w:spacing w:line="263" w:lineRule="auto"/>
                    <w:rPr>
                      <w:rFonts w:ascii="Arial"/>
                      <w:sz w:val="21"/>
                    </w:rPr>
                  </w:pPr>
                </w:p>
                <w:p w14:paraId="355F8577">
                  <w:pPr>
                    <w:pStyle w:val="6"/>
                    <w:spacing w:before="78" w:line="239" w:lineRule="auto"/>
                    <w:ind w:left="279"/>
                    <w:rPr>
                      <w:sz w:val="24"/>
                      <w:szCs w:val="24"/>
                    </w:rPr>
                  </w:pPr>
                  <w:r>
                    <w:rPr>
                      <w:spacing w:val="-2"/>
                      <w:sz w:val="24"/>
                      <w:szCs w:val="24"/>
                    </w:rPr>
                    <w:t>0.268</w:t>
                  </w:r>
                </w:p>
              </w:tc>
            </w:tr>
            <w:tr w14:paraId="677E1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trPr>
              <w:tc>
                <w:tcPr>
                  <w:tcW w:w="1054" w:type="dxa"/>
                  <w:vMerge w:val="continue"/>
                  <w:tcBorders>
                    <w:top w:val="nil"/>
                  </w:tcBorders>
                  <w:vAlign w:val="top"/>
                </w:tcPr>
                <w:p w14:paraId="2DD593F6">
                  <w:pPr>
                    <w:rPr>
                      <w:rFonts w:ascii="Arial"/>
                      <w:sz w:val="21"/>
                    </w:rPr>
                  </w:pPr>
                </w:p>
              </w:tc>
              <w:tc>
                <w:tcPr>
                  <w:tcW w:w="1078" w:type="dxa"/>
                  <w:vAlign w:val="top"/>
                </w:tcPr>
                <w:p w14:paraId="51187887">
                  <w:pPr>
                    <w:pStyle w:val="6"/>
                    <w:spacing w:before="54" w:line="219" w:lineRule="auto"/>
                    <w:ind w:left="111"/>
                    <w:rPr>
                      <w:sz w:val="19"/>
                      <w:szCs w:val="19"/>
                    </w:rPr>
                  </w:pPr>
                  <w:r>
                    <w:rPr>
                      <w:sz w:val="19"/>
                      <w:szCs w:val="19"/>
                    </w:rPr>
                    <w:t>II</w:t>
                  </w:r>
                  <w:r>
                    <w:rPr>
                      <w:spacing w:val="1"/>
                      <w:sz w:val="19"/>
                      <w:szCs w:val="19"/>
                    </w:rPr>
                    <w:t>.灌丛</w:t>
                  </w:r>
                </w:p>
              </w:tc>
              <w:tc>
                <w:tcPr>
                  <w:tcW w:w="1059" w:type="dxa"/>
                  <w:vAlign w:val="top"/>
                </w:tcPr>
                <w:p w14:paraId="0F3580FF">
                  <w:pPr>
                    <w:pStyle w:val="6"/>
                    <w:spacing w:before="54" w:line="215" w:lineRule="auto"/>
                    <w:ind w:left="93" w:right="154" w:firstLine="90"/>
                    <w:jc w:val="both"/>
                    <w:rPr>
                      <w:sz w:val="19"/>
                      <w:szCs w:val="19"/>
                    </w:rPr>
                  </w:pPr>
                  <w:r>
                    <w:rPr>
                      <w:spacing w:val="2"/>
                      <w:sz w:val="19"/>
                      <w:szCs w:val="19"/>
                    </w:rPr>
                    <w:t>(I)暖性</w:t>
                  </w:r>
                  <w:r>
                    <w:rPr>
                      <w:spacing w:val="1"/>
                      <w:sz w:val="19"/>
                      <w:szCs w:val="19"/>
                    </w:rPr>
                    <w:t xml:space="preserve"> </w:t>
                  </w:r>
                  <w:r>
                    <w:rPr>
                      <w:spacing w:val="10"/>
                      <w:sz w:val="19"/>
                      <w:szCs w:val="19"/>
                    </w:rPr>
                    <w:t>石灰岩灌</w:t>
                  </w:r>
                  <w:r>
                    <w:rPr>
                      <w:sz w:val="19"/>
                      <w:szCs w:val="19"/>
                    </w:rPr>
                    <w:t xml:space="preserve"> 丛</w:t>
                  </w:r>
                </w:p>
              </w:tc>
              <w:tc>
                <w:tcPr>
                  <w:tcW w:w="1059" w:type="dxa"/>
                  <w:vAlign w:val="top"/>
                </w:tcPr>
                <w:p w14:paraId="03E4AF8B">
                  <w:pPr>
                    <w:pStyle w:val="6"/>
                    <w:spacing w:before="56" w:line="224" w:lineRule="auto"/>
                    <w:ind w:left="104" w:right="87" w:firstLine="90"/>
                    <w:rPr>
                      <w:sz w:val="19"/>
                      <w:szCs w:val="19"/>
                    </w:rPr>
                  </w:pPr>
                  <w:r>
                    <w:rPr>
                      <w:spacing w:val="1"/>
                      <w:sz w:val="19"/>
                      <w:szCs w:val="19"/>
                    </w:rPr>
                    <w:t xml:space="preserve">(三)小铁 </w:t>
                  </w:r>
                  <w:r>
                    <w:rPr>
                      <w:spacing w:val="-2"/>
                      <w:sz w:val="19"/>
                      <w:szCs w:val="19"/>
                    </w:rPr>
                    <w:t>仔灌丛</w:t>
                  </w:r>
                </w:p>
              </w:tc>
              <w:tc>
                <w:tcPr>
                  <w:tcW w:w="1788" w:type="dxa"/>
                  <w:vAlign w:val="top"/>
                </w:tcPr>
                <w:p w14:paraId="0C8DB04E">
                  <w:pPr>
                    <w:pStyle w:val="6"/>
                    <w:spacing w:before="55" w:line="236" w:lineRule="auto"/>
                    <w:ind w:left="105" w:right="117" w:firstLine="20"/>
                    <w:rPr>
                      <w:sz w:val="19"/>
                      <w:szCs w:val="19"/>
                    </w:rPr>
                  </w:pPr>
                  <w:r>
                    <w:rPr>
                      <w:spacing w:val="1"/>
                      <w:sz w:val="19"/>
                      <w:szCs w:val="19"/>
                    </w:rPr>
                    <w:t>东南部石灰岩发育</w:t>
                  </w:r>
                  <w:r>
                    <w:rPr>
                      <w:spacing w:val="6"/>
                      <w:sz w:val="19"/>
                      <w:szCs w:val="19"/>
                    </w:rPr>
                    <w:t xml:space="preserve"> </w:t>
                  </w:r>
                  <w:r>
                    <w:rPr>
                      <w:spacing w:val="4"/>
                      <w:sz w:val="19"/>
                      <w:szCs w:val="19"/>
                    </w:rPr>
                    <w:t>区域</w:t>
                  </w:r>
                </w:p>
              </w:tc>
              <w:tc>
                <w:tcPr>
                  <w:tcW w:w="1158" w:type="dxa"/>
                  <w:vAlign w:val="top"/>
                </w:tcPr>
                <w:p w14:paraId="7A068DFC">
                  <w:pPr>
                    <w:pStyle w:val="6"/>
                    <w:spacing w:before="280"/>
                    <w:ind w:left="517"/>
                    <w:rPr>
                      <w:sz w:val="24"/>
                      <w:szCs w:val="24"/>
                    </w:rPr>
                  </w:pPr>
                  <w:r>
                    <w:rPr>
                      <w:sz w:val="24"/>
                      <w:szCs w:val="24"/>
                    </w:rPr>
                    <w:t>0</w:t>
                  </w:r>
                </w:p>
              </w:tc>
              <w:tc>
                <w:tcPr>
                  <w:tcW w:w="1163" w:type="dxa"/>
                  <w:vAlign w:val="top"/>
                </w:tcPr>
                <w:p w14:paraId="3F8B06F7">
                  <w:pPr>
                    <w:pStyle w:val="6"/>
                    <w:spacing w:before="280"/>
                    <w:ind w:left="519"/>
                    <w:rPr>
                      <w:sz w:val="24"/>
                      <w:szCs w:val="24"/>
                    </w:rPr>
                  </w:pPr>
                  <w:r>
                    <w:rPr>
                      <w:sz w:val="24"/>
                      <w:szCs w:val="24"/>
                    </w:rPr>
                    <w:t>0</w:t>
                  </w:r>
                </w:p>
              </w:tc>
            </w:tr>
            <w:tr w14:paraId="618E6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054" w:type="dxa"/>
                  <w:vMerge w:val="restart"/>
                  <w:tcBorders>
                    <w:bottom w:val="nil"/>
                  </w:tcBorders>
                  <w:vAlign w:val="top"/>
                </w:tcPr>
                <w:p w14:paraId="60BC7552">
                  <w:pPr>
                    <w:pStyle w:val="6"/>
                    <w:spacing w:before="36" w:line="214" w:lineRule="auto"/>
                    <w:ind w:left="135"/>
                    <w:rPr>
                      <w:sz w:val="19"/>
                      <w:szCs w:val="19"/>
                    </w:rPr>
                  </w:pPr>
                  <w:r>
                    <w:rPr>
                      <w:spacing w:val="-1"/>
                      <w:sz w:val="19"/>
                      <w:szCs w:val="19"/>
                    </w:rPr>
                    <w:t>B.人工植</w:t>
                  </w:r>
                </w:p>
                <w:p w14:paraId="012F214E">
                  <w:pPr>
                    <w:pStyle w:val="6"/>
                    <w:spacing w:line="219" w:lineRule="auto"/>
                    <w:ind w:left="425"/>
                    <w:rPr>
                      <w:sz w:val="19"/>
                      <w:szCs w:val="19"/>
                    </w:rPr>
                  </w:pPr>
                  <w:r>
                    <w:rPr>
                      <w:sz w:val="19"/>
                      <w:szCs w:val="19"/>
                    </w:rPr>
                    <w:t>被</w:t>
                  </w:r>
                </w:p>
              </w:tc>
              <w:tc>
                <w:tcPr>
                  <w:tcW w:w="1078" w:type="dxa"/>
                  <w:vAlign w:val="top"/>
                </w:tcPr>
                <w:p w14:paraId="6251D784">
                  <w:pPr>
                    <w:pStyle w:val="6"/>
                    <w:spacing w:before="42" w:line="224" w:lineRule="auto"/>
                    <w:ind w:left="481"/>
                    <w:rPr>
                      <w:sz w:val="19"/>
                      <w:szCs w:val="19"/>
                    </w:rPr>
                  </w:pPr>
                  <w:r>
                    <w:rPr>
                      <w:sz w:val="19"/>
                      <w:szCs w:val="19"/>
                    </w:rPr>
                    <w:t>/</w:t>
                  </w:r>
                </w:p>
              </w:tc>
              <w:tc>
                <w:tcPr>
                  <w:tcW w:w="1059" w:type="dxa"/>
                  <w:vAlign w:val="top"/>
                </w:tcPr>
                <w:p w14:paraId="18F9D547">
                  <w:pPr>
                    <w:pStyle w:val="6"/>
                    <w:spacing w:before="42" w:line="224" w:lineRule="auto"/>
                    <w:ind w:left="473"/>
                    <w:rPr>
                      <w:sz w:val="19"/>
                      <w:szCs w:val="19"/>
                    </w:rPr>
                  </w:pPr>
                  <w:r>
                    <w:rPr>
                      <w:sz w:val="19"/>
                      <w:szCs w:val="19"/>
                    </w:rPr>
                    <w:t>/</w:t>
                  </w:r>
                </w:p>
              </w:tc>
              <w:tc>
                <w:tcPr>
                  <w:tcW w:w="1059" w:type="dxa"/>
                  <w:vAlign w:val="top"/>
                </w:tcPr>
                <w:p w14:paraId="7593AEBA">
                  <w:pPr>
                    <w:pStyle w:val="6"/>
                    <w:spacing w:before="14" w:line="206" w:lineRule="auto"/>
                    <w:ind w:left="254" w:right="112" w:hanging="70"/>
                    <w:rPr>
                      <w:sz w:val="19"/>
                      <w:szCs w:val="19"/>
                    </w:rPr>
                  </w:pPr>
                  <w:r>
                    <w:rPr>
                      <w:spacing w:val="-2"/>
                      <w:sz w:val="19"/>
                      <w:szCs w:val="19"/>
                    </w:rPr>
                    <w:t>耕地农作</w:t>
                  </w:r>
                  <w:r>
                    <w:rPr>
                      <w:sz w:val="19"/>
                      <w:szCs w:val="19"/>
                    </w:rPr>
                    <w:t xml:space="preserve"> </w:t>
                  </w:r>
                  <w:r>
                    <w:rPr>
                      <w:spacing w:val="-2"/>
                      <w:sz w:val="19"/>
                      <w:szCs w:val="19"/>
                    </w:rPr>
                    <w:t>物植被</w:t>
                  </w:r>
                </w:p>
              </w:tc>
              <w:tc>
                <w:tcPr>
                  <w:tcW w:w="1788" w:type="dxa"/>
                  <w:vAlign w:val="top"/>
                </w:tcPr>
                <w:p w14:paraId="3FD0BDBE">
                  <w:pPr>
                    <w:pStyle w:val="6"/>
                    <w:spacing w:before="14" w:line="206" w:lineRule="auto"/>
                    <w:ind w:left="125" w:right="139"/>
                    <w:rPr>
                      <w:sz w:val="19"/>
                      <w:szCs w:val="19"/>
                    </w:rPr>
                  </w:pPr>
                  <w:r>
                    <w:rPr>
                      <w:spacing w:val="-2"/>
                      <w:sz w:val="19"/>
                      <w:szCs w:val="19"/>
                    </w:rPr>
                    <w:t>主要在评价区城镇</w:t>
                  </w:r>
                  <w:r>
                    <w:rPr>
                      <w:spacing w:val="6"/>
                      <w:sz w:val="19"/>
                      <w:szCs w:val="19"/>
                    </w:rPr>
                    <w:t xml:space="preserve"> </w:t>
                  </w:r>
                  <w:r>
                    <w:rPr>
                      <w:spacing w:val="-1"/>
                      <w:sz w:val="19"/>
                      <w:szCs w:val="19"/>
                    </w:rPr>
                    <w:t>边界区域大量分布</w:t>
                  </w:r>
                </w:p>
              </w:tc>
              <w:tc>
                <w:tcPr>
                  <w:tcW w:w="1158" w:type="dxa"/>
                  <w:vAlign w:val="top"/>
                </w:tcPr>
                <w:p w14:paraId="03C64FAC">
                  <w:pPr>
                    <w:pStyle w:val="6"/>
                    <w:spacing w:before="142" w:line="228" w:lineRule="auto"/>
                    <w:ind w:left="517"/>
                    <w:rPr>
                      <w:sz w:val="24"/>
                      <w:szCs w:val="24"/>
                    </w:rPr>
                  </w:pPr>
                  <w:r>
                    <w:rPr>
                      <w:sz w:val="24"/>
                      <w:szCs w:val="24"/>
                    </w:rPr>
                    <w:t>0</w:t>
                  </w:r>
                </w:p>
              </w:tc>
              <w:tc>
                <w:tcPr>
                  <w:tcW w:w="1163" w:type="dxa"/>
                  <w:vAlign w:val="top"/>
                </w:tcPr>
                <w:p w14:paraId="5762F99E">
                  <w:pPr>
                    <w:pStyle w:val="6"/>
                    <w:spacing w:before="142" w:line="228" w:lineRule="auto"/>
                    <w:ind w:left="519"/>
                    <w:rPr>
                      <w:sz w:val="24"/>
                      <w:szCs w:val="24"/>
                    </w:rPr>
                  </w:pPr>
                  <w:r>
                    <w:rPr>
                      <w:sz w:val="24"/>
                      <w:szCs w:val="24"/>
                    </w:rPr>
                    <w:t>0</w:t>
                  </w:r>
                </w:p>
              </w:tc>
            </w:tr>
            <w:tr w14:paraId="771F5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54" w:type="dxa"/>
                  <w:vMerge w:val="continue"/>
                  <w:tcBorders>
                    <w:top w:val="nil"/>
                  </w:tcBorders>
                  <w:vAlign w:val="top"/>
                </w:tcPr>
                <w:p w14:paraId="6C3B08F3">
                  <w:pPr>
                    <w:rPr>
                      <w:rFonts w:ascii="Arial"/>
                      <w:sz w:val="21"/>
                    </w:rPr>
                  </w:pPr>
                </w:p>
              </w:tc>
              <w:tc>
                <w:tcPr>
                  <w:tcW w:w="1078" w:type="dxa"/>
                  <w:vAlign w:val="top"/>
                </w:tcPr>
                <w:p w14:paraId="565D54EF">
                  <w:pPr>
                    <w:pStyle w:val="6"/>
                    <w:spacing w:before="66" w:line="241" w:lineRule="auto"/>
                    <w:ind w:left="481"/>
                    <w:rPr>
                      <w:sz w:val="19"/>
                      <w:szCs w:val="19"/>
                    </w:rPr>
                  </w:pPr>
                  <w:r>
                    <w:rPr>
                      <w:sz w:val="19"/>
                      <w:szCs w:val="19"/>
                    </w:rPr>
                    <w:t>1</w:t>
                  </w:r>
                </w:p>
              </w:tc>
              <w:tc>
                <w:tcPr>
                  <w:tcW w:w="1059" w:type="dxa"/>
                  <w:vAlign w:val="top"/>
                </w:tcPr>
                <w:p w14:paraId="45EB83A8">
                  <w:pPr>
                    <w:pStyle w:val="6"/>
                    <w:spacing w:before="56" w:line="241" w:lineRule="auto"/>
                    <w:ind w:left="473"/>
                    <w:rPr>
                      <w:sz w:val="19"/>
                      <w:szCs w:val="19"/>
                    </w:rPr>
                  </w:pPr>
                  <w:r>
                    <w:rPr>
                      <w:sz w:val="19"/>
                      <w:szCs w:val="19"/>
                    </w:rPr>
                    <w:t>1</w:t>
                  </w:r>
                </w:p>
              </w:tc>
              <w:tc>
                <w:tcPr>
                  <w:tcW w:w="1059" w:type="dxa"/>
                  <w:vAlign w:val="top"/>
                </w:tcPr>
                <w:p w14:paraId="3D44A489">
                  <w:pPr>
                    <w:pStyle w:val="6"/>
                    <w:spacing w:before="37" w:line="207" w:lineRule="auto"/>
                    <w:ind w:left="443" w:right="113" w:hanging="259"/>
                    <w:rPr>
                      <w:sz w:val="19"/>
                      <w:szCs w:val="19"/>
                    </w:rPr>
                  </w:pPr>
                  <w:r>
                    <w:rPr>
                      <w:spacing w:val="-3"/>
                      <w:sz w:val="19"/>
                      <w:szCs w:val="19"/>
                    </w:rPr>
                    <w:t>人工林植</w:t>
                  </w:r>
                  <w:r>
                    <w:rPr>
                      <w:spacing w:val="2"/>
                      <w:sz w:val="19"/>
                      <w:szCs w:val="19"/>
                    </w:rPr>
                    <w:t xml:space="preserve"> </w:t>
                  </w:r>
                  <w:r>
                    <w:rPr>
                      <w:sz w:val="19"/>
                      <w:szCs w:val="19"/>
                    </w:rPr>
                    <w:t>被</w:t>
                  </w:r>
                </w:p>
              </w:tc>
              <w:tc>
                <w:tcPr>
                  <w:tcW w:w="1788" w:type="dxa"/>
                  <w:vAlign w:val="top"/>
                </w:tcPr>
                <w:p w14:paraId="338751D7">
                  <w:pPr>
                    <w:pStyle w:val="6"/>
                    <w:spacing w:before="36" w:line="219" w:lineRule="auto"/>
                    <w:ind w:left="505"/>
                    <w:rPr>
                      <w:sz w:val="19"/>
                      <w:szCs w:val="19"/>
                    </w:rPr>
                  </w:pPr>
                  <w:r>
                    <w:rPr>
                      <w:spacing w:val="-2"/>
                      <w:sz w:val="19"/>
                      <w:szCs w:val="19"/>
                    </w:rPr>
                    <w:t>村落周边</w:t>
                  </w:r>
                </w:p>
              </w:tc>
              <w:tc>
                <w:tcPr>
                  <w:tcW w:w="1158" w:type="dxa"/>
                  <w:vAlign w:val="top"/>
                </w:tcPr>
                <w:p w14:paraId="2EA93304">
                  <w:pPr>
                    <w:pStyle w:val="6"/>
                    <w:spacing w:before="153" w:line="239" w:lineRule="auto"/>
                    <w:ind w:left="337"/>
                    <w:rPr>
                      <w:sz w:val="24"/>
                      <w:szCs w:val="24"/>
                    </w:rPr>
                  </w:pPr>
                  <w:r>
                    <w:rPr>
                      <w:spacing w:val="-3"/>
                      <w:sz w:val="24"/>
                      <w:szCs w:val="24"/>
                    </w:rPr>
                    <w:t>0.06</w:t>
                  </w:r>
                </w:p>
              </w:tc>
              <w:tc>
                <w:tcPr>
                  <w:tcW w:w="1163" w:type="dxa"/>
                  <w:vAlign w:val="top"/>
                </w:tcPr>
                <w:p w14:paraId="070AD629">
                  <w:pPr>
                    <w:pStyle w:val="6"/>
                    <w:spacing w:before="153" w:line="239" w:lineRule="auto"/>
                    <w:ind w:left="279"/>
                    <w:rPr>
                      <w:sz w:val="24"/>
                      <w:szCs w:val="24"/>
                    </w:rPr>
                  </w:pPr>
                  <w:r>
                    <w:rPr>
                      <w:spacing w:val="-2"/>
                      <w:sz w:val="24"/>
                      <w:szCs w:val="24"/>
                    </w:rPr>
                    <w:t>0.028</w:t>
                  </w:r>
                </w:p>
              </w:tc>
            </w:tr>
          </w:tbl>
          <w:p w14:paraId="661086C5">
            <w:pPr>
              <w:pStyle w:val="6"/>
              <w:spacing w:before="40" w:line="219" w:lineRule="auto"/>
              <w:ind w:left="104"/>
              <w:rPr>
                <w:sz w:val="24"/>
                <w:szCs w:val="24"/>
              </w:rPr>
            </w:pPr>
            <w:r>
              <w:rPr>
                <w:b/>
                <w:bCs/>
                <w:spacing w:val="-4"/>
                <w:sz w:val="24"/>
                <w:szCs w:val="24"/>
              </w:rPr>
              <w:t>4.3陆生脊椎动物</w:t>
            </w:r>
          </w:p>
          <w:p w14:paraId="09B861CF">
            <w:pPr>
              <w:pStyle w:val="6"/>
              <w:spacing w:before="187" w:line="219" w:lineRule="auto"/>
              <w:ind w:left="104"/>
              <w:rPr>
                <w:sz w:val="24"/>
                <w:szCs w:val="24"/>
              </w:rPr>
            </w:pPr>
            <w:r>
              <w:rPr>
                <w:b/>
                <w:bCs/>
                <w:spacing w:val="-3"/>
                <w:sz w:val="24"/>
                <w:szCs w:val="24"/>
              </w:rPr>
              <w:t>4.3.1调查方法、范围及内容</w:t>
            </w:r>
          </w:p>
          <w:p w14:paraId="11CBF5D1">
            <w:pPr>
              <w:pStyle w:val="6"/>
              <w:spacing w:before="200" w:line="221" w:lineRule="auto"/>
              <w:ind w:left="721"/>
              <w:rPr>
                <w:sz w:val="24"/>
                <w:szCs w:val="24"/>
              </w:rPr>
            </w:pPr>
            <w:r>
              <w:rPr>
                <w:spacing w:val="1"/>
                <w:sz w:val="24"/>
                <w:szCs w:val="24"/>
              </w:rPr>
              <w:t>(1)调查方法</w:t>
            </w:r>
          </w:p>
          <w:p w14:paraId="3B6DE089">
            <w:pPr>
              <w:pStyle w:val="6"/>
              <w:spacing w:before="149" w:line="218" w:lineRule="auto"/>
              <w:ind w:left="581"/>
              <w:rPr>
                <w:sz w:val="24"/>
                <w:szCs w:val="24"/>
              </w:rPr>
            </w:pPr>
            <w:r>
              <w:rPr>
                <w:sz w:val="24"/>
                <w:szCs w:val="24"/>
              </w:rPr>
              <w:t>课题组于2024年8月对环境影响评价区及邻近地区的陆栖脊椎动物种类及资</w:t>
            </w:r>
          </w:p>
          <w:p w14:paraId="3361CF75">
            <w:pPr>
              <w:pStyle w:val="6"/>
              <w:spacing w:before="199" w:line="360" w:lineRule="auto"/>
              <w:ind w:left="100" w:hanging="9"/>
              <w:rPr>
                <w:sz w:val="24"/>
                <w:szCs w:val="24"/>
              </w:rPr>
            </w:pPr>
            <w:r>
              <w:rPr>
                <w:sz w:val="24"/>
                <w:szCs w:val="24"/>
              </w:rPr>
              <w:t>源现状进行了专业调查。野外调查中，主要观察记录了陆</w:t>
            </w:r>
            <w:r>
              <w:rPr>
                <w:spacing w:val="-1"/>
                <w:sz w:val="24"/>
                <w:szCs w:val="24"/>
              </w:rPr>
              <w:t>栖脊椎动物的生境状况，</w:t>
            </w:r>
            <w:r>
              <w:rPr>
                <w:sz w:val="24"/>
                <w:szCs w:val="24"/>
              </w:rPr>
              <w:t xml:space="preserve"> </w:t>
            </w:r>
            <w:r>
              <w:rPr>
                <w:spacing w:val="-1"/>
                <w:sz w:val="24"/>
                <w:szCs w:val="24"/>
              </w:rPr>
              <w:t>询问当地居民及工程相关人员有关野生脊椎动物的情况，收集并查阅了有关该地区</w:t>
            </w:r>
            <w:r>
              <w:rPr>
                <w:spacing w:val="16"/>
                <w:sz w:val="24"/>
                <w:szCs w:val="24"/>
              </w:rPr>
              <w:t xml:space="preserve"> </w:t>
            </w:r>
            <w:r>
              <w:rPr>
                <w:sz w:val="24"/>
                <w:szCs w:val="24"/>
              </w:rPr>
              <w:t>的相关资料；鸟类调查主要使用双筒望远镜观察记录，</w:t>
            </w:r>
            <w:r>
              <w:rPr>
                <w:spacing w:val="-1"/>
                <w:sz w:val="24"/>
                <w:szCs w:val="24"/>
              </w:rPr>
              <w:t>对于一些大型、特征明显的</w:t>
            </w:r>
            <w:r>
              <w:rPr>
                <w:sz w:val="24"/>
                <w:szCs w:val="24"/>
              </w:rPr>
              <w:t xml:space="preserve"> 种类向当地人员进行了访谈。</w:t>
            </w:r>
          </w:p>
          <w:p w14:paraId="1C72F36C">
            <w:pPr>
              <w:pStyle w:val="6"/>
              <w:spacing w:before="8" w:line="220" w:lineRule="auto"/>
              <w:ind w:left="721"/>
              <w:rPr>
                <w:sz w:val="24"/>
                <w:szCs w:val="24"/>
              </w:rPr>
            </w:pPr>
            <w:r>
              <w:rPr>
                <w:spacing w:val="3"/>
                <w:sz w:val="24"/>
                <w:szCs w:val="24"/>
              </w:rPr>
              <w:t>(2)调查范围</w:t>
            </w:r>
          </w:p>
          <w:p w14:paraId="69BEC5FC">
            <w:pPr>
              <w:pStyle w:val="6"/>
              <w:spacing w:before="182" w:line="349" w:lineRule="auto"/>
              <w:ind w:left="101" w:firstLine="489"/>
              <w:rPr>
                <w:sz w:val="24"/>
                <w:szCs w:val="24"/>
              </w:rPr>
            </w:pPr>
            <w:r>
              <w:rPr>
                <w:spacing w:val="-1"/>
                <w:sz w:val="24"/>
                <w:szCs w:val="24"/>
              </w:rPr>
              <w:t>调查工作重点为光伏布设区域、基塔占地、集电线路线路穿越等区域及周边影</w:t>
            </w:r>
            <w:r>
              <w:rPr>
                <w:spacing w:val="13"/>
                <w:sz w:val="24"/>
                <w:szCs w:val="24"/>
              </w:rPr>
              <w:t xml:space="preserve"> </w:t>
            </w:r>
            <w:r>
              <w:rPr>
                <w:sz w:val="24"/>
                <w:szCs w:val="24"/>
              </w:rPr>
              <w:t>响区域，其次是与工程直接影响相邻的地区；调查区为工程占地及集电线路外延</w:t>
            </w:r>
          </w:p>
          <w:p w14:paraId="17FC4FC7">
            <w:pPr>
              <w:pStyle w:val="6"/>
              <w:spacing w:before="5" w:line="369" w:lineRule="auto"/>
              <w:ind w:left="101" w:right="709" w:hanging="10"/>
              <w:rPr>
                <w:sz w:val="24"/>
                <w:szCs w:val="24"/>
              </w:rPr>
            </w:pPr>
            <w:r>
              <w:rPr>
                <w:sz w:val="24"/>
                <w:szCs w:val="24"/>
              </w:rPr>
              <w:t>300m及升压站外延500m范围，调查的海拔范围在1821~1985m左右。调查区面</w:t>
            </w:r>
            <w:r>
              <w:rPr>
                <w:spacing w:val="9"/>
                <w:sz w:val="24"/>
                <w:szCs w:val="24"/>
              </w:rPr>
              <w:t xml:space="preserve"> </w:t>
            </w:r>
            <w:r>
              <w:rPr>
                <w:spacing w:val="10"/>
                <w:sz w:val="24"/>
                <w:szCs w:val="24"/>
              </w:rPr>
              <w:t>积2418.086</w:t>
            </w:r>
            <w:r>
              <w:rPr>
                <w:sz w:val="24"/>
                <w:szCs w:val="24"/>
              </w:rPr>
              <w:t>hm</w:t>
            </w:r>
            <w:r>
              <w:rPr>
                <w:spacing w:val="10"/>
                <w:sz w:val="24"/>
                <w:szCs w:val="24"/>
              </w:rPr>
              <w:t>²。</w:t>
            </w:r>
          </w:p>
          <w:p w14:paraId="130A6F0D">
            <w:pPr>
              <w:pStyle w:val="6"/>
              <w:spacing w:line="219" w:lineRule="auto"/>
              <w:ind w:left="721"/>
              <w:rPr>
                <w:sz w:val="24"/>
                <w:szCs w:val="24"/>
              </w:rPr>
            </w:pPr>
            <w:r>
              <w:rPr>
                <w:spacing w:val="1"/>
                <w:sz w:val="24"/>
                <w:szCs w:val="24"/>
              </w:rPr>
              <w:t>(3)调查内容</w:t>
            </w:r>
          </w:p>
          <w:p w14:paraId="6A05E3B1">
            <w:pPr>
              <w:pStyle w:val="6"/>
              <w:spacing w:before="173" w:line="218" w:lineRule="auto"/>
              <w:jc w:val="right"/>
              <w:rPr>
                <w:sz w:val="24"/>
                <w:szCs w:val="24"/>
              </w:rPr>
            </w:pPr>
            <w:r>
              <w:rPr>
                <w:spacing w:val="-1"/>
                <w:sz w:val="24"/>
                <w:szCs w:val="24"/>
              </w:rPr>
              <w:t>主要调查评价区内的两栖类、爬行类、鸟类、兽类的种类，国家重点保护野生</w:t>
            </w:r>
          </w:p>
        </w:tc>
      </w:tr>
    </w:tbl>
    <w:p w14:paraId="6DBBBB2E">
      <w:pPr>
        <w:pStyle w:val="2"/>
      </w:pPr>
    </w:p>
    <w:p w14:paraId="5E5FA116">
      <w:pPr>
        <w:sectPr>
          <w:footerReference r:id="rId97" w:type="default"/>
          <w:pgSz w:w="11910" w:h="16830"/>
          <w:pgMar w:top="400" w:right="1259" w:bottom="1245" w:left="1214" w:header="0" w:footer="1083" w:gutter="0"/>
          <w:cols w:space="720" w:num="1"/>
        </w:sectPr>
      </w:pPr>
    </w:p>
    <w:p w14:paraId="79217C7B">
      <w:pPr>
        <w:spacing w:before="15"/>
      </w:pPr>
    </w:p>
    <w:p w14:paraId="0F184CCC">
      <w:pPr>
        <w:spacing w:before="15"/>
      </w:pPr>
    </w:p>
    <w:p w14:paraId="615B5228">
      <w:pPr>
        <w:spacing w:before="15"/>
      </w:pPr>
    </w:p>
    <w:p w14:paraId="38BACDE9">
      <w:pPr>
        <w:spacing w:before="14"/>
      </w:pPr>
    </w:p>
    <w:tbl>
      <w:tblPr>
        <w:tblStyle w:val="5"/>
        <w:tblW w:w="9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8745"/>
      </w:tblGrid>
      <w:tr w14:paraId="2DA64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9" w:hRule="atLeast"/>
        </w:trPr>
        <w:tc>
          <w:tcPr>
            <w:tcW w:w="674" w:type="dxa"/>
            <w:vAlign w:val="top"/>
          </w:tcPr>
          <w:p w14:paraId="5528A3AF">
            <w:pPr>
              <w:rPr>
                <w:rFonts w:ascii="Arial"/>
                <w:sz w:val="21"/>
              </w:rPr>
            </w:pPr>
          </w:p>
        </w:tc>
        <w:tc>
          <w:tcPr>
            <w:tcW w:w="8745" w:type="dxa"/>
            <w:vAlign w:val="top"/>
          </w:tcPr>
          <w:p w14:paraId="4EB9A644">
            <w:pPr>
              <w:pStyle w:val="6"/>
              <w:spacing w:before="23" w:line="219" w:lineRule="auto"/>
              <w:ind w:left="100"/>
              <w:rPr>
                <w:sz w:val="24"/>
                <w:szCs w:val="24"/>
              </w:rPr>
            </w:pPr>
            <w:r>
              <w:rPr>
                <w:sz w:val="24"/>
                <w:szCs w:val="24"/>
              </w:rPr>
              <w:t>动物分布，云南省级重点保护野生动物分布情</w:t>
            </w:r>
            <w:r>
              <w:rPr>
                <w:spacing w:val="-1"/>
                <w:sz w:val="24"/>
                <w:szCs w:val="24"/>
              </w:rPr>
              <w:t>况。</w:t>
            </w:r>
          </w:p>
          <w:p w14:paraId="6AEC4090">
            <w:pPr>
              <w:pStyle w:val="6"/>
              <w:spacing w:before="193" w:line="219" w:lineRule="auto"/>
              <w:ind w:left="104"/>
              <w:rPr>
                <w:sz w:val="24"/>
                <w:szCs w:val="24"/>
              </w:rPr>
            </w:pPr>
            <w:r>
              <w:rPr>
                <w:b/>
                <w:bCs/>
                <w:spacing w:val="-4"/>
                <w:sz w:val="24"/>
                <w:szCs w:val="24"/>
              </w:rPr>
              <w:t>4.3.2动物资源现状</w:t>
            </w:r>
          </w:p>
          <w:p w14:paraId="39FDB44A">
            <w:pPr>
              <w:pStyle w:val="6"/>
              <w:spacing w:before="287" w:line="321" w:lineRule="auto"/>
              <w:ind w:left="10" w:firstLine="572"/>
              <w:rPr>
                <w:sz w:val="24"/>
                <w:szCs w:val="24"/>
              </w:rPr>
            </w:pPr>
            <w:r>
              <w:rPr>
                <w:spacing w:val="-4"/>
                <w:sz w:val="24"/>
                <w:szCs w:val="24"/>
              </w:rPr>
              <w:t>项目区位于陆良县范围内。属中山山源亚区，地势东部、北部高，西部、南部</w:t>
            </w:r>
            <w:r>
              <w:rPr>
                <w:spacing w:val="8"/>
                <w:sz w:val="24"/>
                <w:szCs w:val="24"/>
              </w:rPr>
              <w:t xml:space="preserve">  </w:t>
            </w:r>
            <w:r>
              <w:rPr>
                <w:spacing w:val="-4"/>
                <w:sz w:val="24"/>
                <w:szCs w:val="24"/>
              </w:rPr>
              <w:t>低，西部为陆良坝区。评价区东部中山散布针叶林、阔叶林，谷</w:t>
            </w:r>
            <w:r>
              <w:rPr>
                <w:spacing w:val="-5"/>
                <w:sz w:val="24"/>
                <w:szCs w:val="24"/>
              </w:rPr>
              <w:t>地基本开垦为耕地。</w:t>
            </w:r>
            <w:r>
              <w:rPr>
                <w:sz w:val="24"/>
                <w:szCs w:val="24"/>
              </w:rPr>
              <w:t xml:space="preserve"> </w:t>
            </w:r>
            <w:r>
              <w:rPr>
                <w:spacing w:val="-2"/>
                <w:sz w:val="24"/>
                <w:szCs w:val="24"/>
              </w:rPr>
              <w:t>陆栖脊椎动物栖息环境相对不丰富，且受评价区狭窄条带状分布的影响，评价区陆</w:t>
            </w:r>
            <w:r>
              <w:rPr>
                <w:spacing w:val="1"/>
                <w:sz w:val="24"/>
                <w:szCs w:val="24"/>
              </w:rPr>
              <w:t xml:space="preserve">  栖脊椎动物种类和数量均较周边地区更低，经统计，评价区分布有陆栖脊椎动物</w:t>
            </w:r>
            <w:r>
              <w:rPr>
                <w:spacing w:val="5"/>
                <w:sz w:val="24"/>
                <w:szCs w:val="24"/>
              </w:rPr>
              <w:t xml:space="preserve">   </w:t>
            </w:r>
            <w:r>
              <w:rPr>
                <w:spacing w:val="7"/>
                <w:sz w:val="24"/>
                <w:szCs w:val="24"/>
              </w:rPr>
              <w:t>81种，见下表。</w:t>
            </w:r>
          </w:p>
          <w:p w14:paraId="1FDA42DE">
            <w:pPr>
              <w:pStyle w:val="6"/>
              <w:spacing w:line="218" w:lineRule="auto"/>
              <w:ind w:left="2944"/>
              <w:rPr>
                <w:sz w:val="24"/>
                <w:szCs w:val="24"/>
              </w:rPr>
            </w:pPr>
            <w:r>
              <w:rPr>
                <w:b/>
                <w:bCs/>
                <w:spacing w:val="-4"/>
                <w:sz w:val="24"/>
                <w:szCs w:val="24"/>
              </w:rPr>
              <w:t>表3-6陆栖脊椎动物各纲下分类</w:t>
            </w:r>
          </w:p>
          <w:p w14:paraId="02C47916">
            <w:pPr>
              <w:spacing w:line="15" w:lineRule="exact"/>
            </w:pPr>
          </w:p>
          <w:tbl>
            <w:tblPr>
              <w:tblStyle w:val="5"/>
              <w:tblW w:w="8479"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83"/>
              <w:gridCol w:w="1698"/>
              <w:gridCol w:w="1718"/>
              <w:gridCol w:w="1687"/>
              <w:gridCol w:w="1693"/>
            </w:tblGrid>
            <w:tr w14:paraId="049DE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683" w:type="dxa"/>
                  <w:vAlign w:val="top"/>
                </w:tcPr>
                <w:p w14:paraId="7BAB9D34">
                  <w:pPr>
                    <w:pStyle w:val="6"/>
                    <w:spacing w:before="43" w:line="212" w:lineRule="auto"/>
                    <w:ind w:left="634"/>
                    <w:rPr>
                      <w:sz w:val="20"/>
                      <w:szCs w:val="20"/>
                    </w:rPr>
                  </w:pPr>
                  <w:r>
                    <w:rPr>
                      <w:spacing w:val="-2"/>
                      <w:sz w:val="20"/>
                      <w:szCs w:val="20"/>
                    </w:rPr>
                    <w:t>种类</w:t>
                  </w:r>
                </w:p>
              </w:tc>
              <w:tc>
                <w:tcPr>
                  <w:tcW w:w="1698" w:type="dxa"/>
                  <w:vAlign w:val="top"/>
                </w:tcPr>
                <w:p w14:paraId="2D97EC36">
                  <w:pPr>
                    <w:pStyle w:val="6"/>
                    <w:spacing w:before="46" w:line="209" w:lineRule="auto"/>
                    <w:ind w:left="771"/>
                    <w:rPr>
                      <w:sz w:val="20"/>
                      <w:szCs w:val="20"/>
                    </w:rPr>
                  </w:pPr>
                  <w:r>
                    <w:rPr>
                      <w:sz w:val="20"/>
                      <w:szCs w:val="20"/>
                    </w:rPr>
                    <w:t>目</w:t>
                  </w:r>
                </w:p>
              </w:tc>
              <w:tc>
                <w:tcPr>
                  <w:tcW w:w="1718" w:type="dxa"/>
                  <w:vAlign w:val="top"/>
                </w:tcPr>
                <w:p w14:paraId="114D5459">
                  <w:pPr>
                    <w:pStyle w:val="6"/>
                    <w:spacing w:before="42" w:line="213" w:lineRule="auto"/>
                    <w:ind w:left="743"/>
                    <w:rPr>
                      <w:sz w:val="20"/>
                      <w:szCs w:val="20"/>
                    </w:rPr>
                  </w:pPr>
                  <w:r>
                    <w:rPr>
                      <w:sz w:val="20"/>
                      <w:szCs w:val="20"/>
                    </w:rPr>
                    <w:t>科</w:t>
                  </w:r>
                </w:p>
              </w:tc>
              <w:tc>
                <w:tcPr>
                  <w:tcW w:w="1687" w:type="dxa"/>
                  <w:vAlign w:val="top"/>
                </w:tcPr>
                <w:p w14:paraId="637CBA90">
                  <w:pPr>
                    <w:pStyle w:val="6"/>
                    <w:spacing w:before="44" w:line="211" w:lineRule="auto"/>
                    <w:ind w:left="725"/>
                    <w:rPr>
                      <w:sz w:val="20"/>
                      <w:szCs w:val="20"/>
                    </w:rPr>
                  </w:pPr>
                  <w:r>
                    <w:rPr>
                      <w:sz w:val="20"/>
                      <w:szCs w:val="20"/>
                    </w:rPr>
                    <w:t>属</w:t>
                  </w:r>
                </w:p>
              </w:tc>
              <w:tc>
                <w:tcPr>
                  <w:tcW w:w="1693" w:type="dxa"/>
                  <w:vAlign w:val="top"/>
                </w:tcPr>
                <w:p w14:paraId="444208F5">
                  <w:pPr>
                    <w:pStyle w:val="6"/>
                    <w:spacing w:before="43" w:line="212" w:lineRule="auto"/>
                    <w:ind w:left="758"/>
                    <w:rPr>
                      <w:sz w:val="20"/>
                      <w:szCs w:val="20"/>
                    </w:rPr>
                  </w:pPr>
                  <w:r>
                    <w:rPr>
                      <w:sz w:val="20"/>
                      <w:szCs w:val="20"/>
                    </w:rPr>
                    <w:t>种</w:t>
                  </w:r>
                </w:p>
              </w:tc>
            </w:tr>
            <w:tr w14:paraId="3220D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683" w:type="dxa"/>
                  <w:vAlign w:val="top"/>
                </w:tcPr>
                <w:p w14:paraId="50B99A1E">
                  <w:pPr>
                    <w:pStyle w:val="6"/>
                    <w:spacing w:before="49" w:line="211" w:lineRule="auto"/>
                    <w:ind w:left="535"/>
                    <w:rPr>
                      <w:sz w:val="20"/>
                      <w:szCs w:val="20"/>
                    </w:rPr>
                  </w:pPr>
                  <w:r>
                    <w:rPr>
                      <w:spacing w:val="-2"/>
                      <w:sz w:val="20"/>
                      <w:szCs w:val="20"/>
                    </w:rPr>
                    <w:t>两栖类</w:t>
                  </w:r>
                </w:p>
              </w:tc>
              <w:tc>
                <w:tcPr>
                  <w:tcW w:w="1698" w:type="dxa"/>
                  <w:vAlign w:val="top"/>
                </w:tcPr>
                <w:p w14:paraId="2ABC7B67">
                  <w:pPr>
                    <w:pStyle w:val="6"/>
                    <w:spacing w:before="70" w:line="192" w:lineRule="auto"/>
                    <w:ind w:left="1001"/>
                    <w:rPr>
                      <w:sz w:val="20"/>
                      <w:szCs w:val="20"/>
                    </w:rPr>
                  </w:pPr>
                  <w:r>
                    <w:rPr>
                      <w:sz w:val="20"/>
                      <w:szCs w:val="20"/>
                    </w:rPr>
                    <w:t>1</w:t>
                  </w:r>
                </w:p>
              </w:tc>
              <w:tc>
                <w:tcPr>
                  <w:tcW w:w="1718" w:type="dxa"/>
                  <w:vAlign w:val="top"/>
                </w:tcPr>
                <w:p w14:paraId="57138E44">
                  <w:pPr>
                    <w:pStyle w:val="6"/>
                    <w:spacing w:before="70" w:line="192" w:lineRule="auto"/>
                    <w:ind w:left="973"/>
                    <w:rPr>
                      <w:sz w:val="20"/>
                      <w:szCs w:val="20"/>
                    </w:rPr>
                  </w:pPr>
                  <w:r>
                    <w:rPr>
                      <w:sz w:val="20"/>
                      <w:szCs w:val="20"/>
                    </w:rPr>
                    <w:t>4</w:t>
                  </w:r>
                </w:p>
              </w:tc>
              <w:tc>
                <w:tcPr>
                  <w:tcW w:w="1687" w:type="dxa"/>
                  <w:vAlign w:val="top"/>
                </w:tcPr>
                <w:p w14:paraId="26E29080">
                  <w:pPr>
                    <w:pStyle w:val="6"/>
                    <w:spacing w:before="70" w:line="192" w:lineRule="auto"/>
                    <w:ind w:left="965"/>
                    <w:rPr>
                      <w:sz w:val="20"/>
                      <w:szCs w:val="20"/>
                    </w:rPr>
                  </w:pPr>
                  <w:r>
                    <w:rPr>
                      <w:sz w:val="20"/>
                      <w:szCs w:val="20"/>
                    </w:rPr>
                    <w:t>5</w:t>
                  </w:r>
                </w:p>
              </w:tc>
              <w:tc>
                <w:tcPr>
                  <w:tcW w:w="1693" w:type="dxa"/>
                  <w:vAlign w:val="top"/>
                </w:tcPr>
                <w:p w14:paraId="53B314AC">
                  <w:pPr>
                    <w:pStyle w:val="6"/>
                    <w:spacing w:before="70" w:line="192" w:lineRule="auto"/>
                    <w:ind w:left="998"/>
                    <w:rPr>
                      <w:sz w:val="20"/>
                      <w:szCs w:val="20"/>
                    </w:rPr>
                  </w:pPr>
                  <w:r>
                    <w:rPr>
                      <w:sz w:val="20"/>
                      <w:szCs w:val="20"/>
                    </w:rPr>
                    <w:t>5</w:t>
                  </w:r>
                </w:p>
              </w:tc>
            </w:tr>
            <w:tr w14:paraId="21EDA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683" w:type="dxa"/>
                  <w:vAlign w:val="top"/>
                </w:tcPr>
                <w:p w14:paraId="12A46702">
                  <w:pPr>
                    <w:pStyle w:val="6"/>
                    <w:spacing w:before="51" w:line="209" w:lineRule="auto"/>
                    <w:ind w:left="535"/>
                    <w:rPr>
                      <w:sz w:val="20"/>
                      <w:szCs w:val="20"/>
                    </w:rPr>
                  </w:pPr>
                  <w:r>
                    <w:rPr>
                      <w:spacing w:val="-2"/>
                      <w:sz w:val="20"/>
                      <w:szCs w:val="20"/>
                    </w:rPr>
                    <w:t>爬行类</w:t>
                  </w:r>
                </w:p>
              </w:tc>
              <w:tc>
                <w:tcPr>
                  <w:tcW w:w="1698" w:type="dxa"/>
                  <w:vAlign w:val="top"/>
                </w:tcPr>
                <w:p w14:paraId="520D0AEB">
                  <w:pPr>
                    <w:pStyle w:val="6"/>
                    <w:spacing w:before="72" w:line="190" w:lineRule="auto"/>
                    <w:ind w:left="981"/>
                    <w:rPr>
                      <w:sz w:val="20"/>
                      <w:szCs w:val="20"/>
                    </w:rPr>
                  </w:pPr>
                  <w:r>
                    <w:rPr>
                      <w:sz w:val="20"/>
                      <w:szCs w:val="20"/>
                    </w:rPr>
                    <w:t>2</w:t>
                  </w:r>
                </w:p>
              </w:tc>
              <w:tc>
                <w:tcPr>
                  <w:tcW w:w="1718" w:type="dxa"/>
                  <w:vAlign w:val="top"/>
                </w:tcPr>
                <w:p w14:paraId="352F526A">
                  <w:pPr>
                    <w:pStyle w:val="6"/>
                    <w:spacing w:before="72" w:line="190" w:lineRule="auto"/>
                    <w:ind w:left="993"/>
                    <w:rPr>
                      <w:sz w:val="20"/>
                      <w:szCs w:val="20"/>
                    </w:rPr>
                  </w:pPr>
                  <w:r>
                    <w:rPr>
                      <w:sz w:val="20"/>
                      <w:szCs w:val="20"/>
                    </w:rPr>
                    <w:t>5</w:t>
                  </w:r>
                </w:p>
              </w:tc>
              <w:tc>
                <w:tcPr>
                  <w:tcW w:w="1687" w:type="dxa"/>
                  <w:vAlign w:val="top"/>
                </w:tcPr>
                <w:p w14:paraId="39AC0A02">
                  <w:pPr>
                    <w:pStyle w:val="6"/>
                    <w:spacing w:before="72" w:line="190" w:lineRule="auto"/>
                    <w:ind w:left="965"/>
                    <w:rPr>
                      <w:sz w:val="20"/>
                      <w:szCs w:val="20"/>
                    </w:rPr>
                  </w:pPr>
                  <w:r>
                    <w:rPr>
                      <w:sz w:val="20"/>
                      <w:szCs w:val="20"/>
                    </w:rPr>
                    <w:t>8</w:t>
                  </w:r>
                </w:p>
              </w:tc>
              <w:tc>
                <w:tcPr>
                  <w:tcW w:w="1693" w:type="dxa"/>
                  <w:vAlign w:val="top"/>
                </w:tcPr>
                <w:p w14:paraId="578F769A">
                  <w:pPr>
                    <w:pStyle w:val="6"/>
                    <w:spacing w:before="72" w:line="190" w:lineRule="auto"/>
                    <w:ind w:left="988"/>
                    <w:rPr>
                      <w:sz w:val="20"/>
                      <w:szCs w:val="20"/>
                    </w:rPr>
                  </w:pPr>
                  <w:r>
                    <w:rPr>
                      <w:spacing w:val="-6"/>
                      <w:sz w:val="20"/>
                      <w:szCs w:val="20"/>
                    </w:rPr>
                    <w:t>10</w:t>
                  </w:r>
                </w:p>
              </w:tc>
            </w:tr>
            <w:tr w14:paraId="1DA5A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683" w:type="dxa"/>
                  <w:vAlign w:val="top"/>
                </w:tcPr>
                <w:p w14:paraId="5CDE3BEE">
                  <w:pPr>
                    <w:pStyle w:val="6"/>
                    <w:spacing w:before="53" w:line="207" w:lineRule="auto"/>
                    <w:ind w:left="634"/>
                    <w:rPr>
                      <w:sz w:val="20"/>
                      <w:szCs w:val="20"/>
                    </w:rPr>
                  </w:pPr>
                  <w:r>
                    <w:rPr>
                      <w:spacing w:val="4"/>
                      <w:sz w:val="20"/>
                      <w:szCs w:val="20"/>
                    </w:rPr>
                    <w:t>鸟类</w:t>
                  </w:r>
                </w:p>
              </w:tc>
              <w:tc>
                <w:tcPr>
                  <w:tcW w:w="1698" w:type="dxa"/>
                  <w:vAlign w:val="top"/>
                </w:tcPr>
                <w:p w14:paraId="4D366D70">
                  <w:pPr>
                    <w:pStyle w:val="6"/>
                    <w:spacing w:before="74" w:line="188" w:lineRule="auto"/>
                    <w:ind w:left="1011"/>
                    <w:rPr>
                      <w:sz w:val="20"/>
                      <w:szCs w:val="20"/>
                    </w:rPr>
                  </w:pPr>
                  <w:r>
                    <w:rPr>
                      <w:sz w:val="20"/>
                      <w:szCs w:val="20"/>
                    </w:rPr>
                    <w:t>8</w:t>
                  </w:r>
                </w:p>
              </w:tc>
              <w:tc>
                <w:tcPr>
                  <w:tcW w:w="1718" w:type="dxa"/>
                  <w:vAlign w:val="top"/>
                </w:tcPr>
                <w:p w14:paraId="6C153660">
                  <w:pPr>
                    <w:pStyle w:val="6"/>
                    <w:spacing w:before="74" w:line="188" w:lineRule="auto"/>
                    <w:ind w:left="954"/>
                    <w:rPr>
                      <w:sz w:val="20"/>
                      <w:szCs w:val="20"/>
                    </w:rPr>
                  </w:pPr>
                  <w:r>
                    <w:rPr>
                      <w:spacing w:val="-3"/>
                      <w:sz w:val="20"/>
                      <w:szCs w:val="20"/>
                    </w:rPr>
                    <w:t>23</w:t>
                  </w:r>
                </w:p>
              </w:tc>
              <w:tc>
                <w:tcPr>
                  <w:tcW w:w="1687" w:type="dxa"/>
                  <w:vAlign w:val="top"/>
                </w:tcPr>
                <w:p w14:paraId="46AB90EF">
                  <w:pPr>
                    <w:pStyle w:val="6"/>
                    <w:spacing w:before="74" w:line="188" w:lineRule="auto"/>
                    <w:ind w:left="915"/>
                    <w:rPr>
                      <w:sz w:val="20"/>
                      <w:szCs w:val="20"/>
                    </w:rPr>
                  </w:pPr>
                  <w:r>
                    <w:rPr>
                      <w:spacing w:val="-2"/>
                      <w:sz w:val="20"/>
                      <w:szCs w:val="20"/>
                    </w:rPr>
                    <w:t>46</w:t>
                  </w:r>
                </w:p>
              </w:tc>
              <w:tc>
                <w:tcPr>
                  <w:tcW w:w="1693" w:type="dxa"/>
                  <w:vAlign w:val="top"/>
                </w:tcPr>
                <w:p w14:paraId="17CF9C51">
                  <w:pPr>
                    <w:pStyle w:val="6"/>
                    <w:spacing w:before="74" w:line="188" w:lineRule="auto"/>
                    <w:ind w:left="958"/>
                    <w:rPr>
                      <w:sz w:val="20"/>
                      <w:szCs w:val="20"/>
                    </w:rPr>
                  </w:pPr>
                  <w:r>
                    <w:rPr>
                      <w:spacing w:val="-3"/>
                      <w:sz w:val="20"/>
                      <w:szCs w:val="20"/>
                    </w:rPr>
                    <w:t>59</w:t>
                  </w:r>
                </w:p>
              </w:tc>
            </w:tr>
            <w:tr w14:paraId="3740B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683" w:type="dxa"/>
                  <w:vAlign w:val="top"/>
                </w:tcPr>
                <w:p w14:paraId="35927515">
                  <w:pPr>
                    <w:pStyle w:val="6"/>
                    <w:spacing w:before="55" w:line="206" w:lineRule="auto"/>
                    <w:ind w:left="535"/>
                    <w:rPr>
                      <w:sz w:val="20"/>
                      <w:szCs w:val="20"/>
                    </w:rPr>
                  </w:pPr>
                  <w:r>
                    <w:rPr>
                      <w:spacing w:val="2"/>
                      <w:sz w:val="20"/>
                      <w:szCs w:val="20"/>
                    </w:rPr>
                    <w:t>哺乳类</w:t>
                  </w:r>
                </w:p>
              </w:tc>
              <w:tc>
                <w:tcPr>
                  <w:tcW w:w="1698" w:type="dxa"/>
                  <w:vAlign w:val="top"/>
                </w:tcPr>
                <w:p w14:paraId="375DD489">
                  <w:pPr>
                    <w:pStyle w:val="6"/>
                    <w:spacing w:before="76" w:line="187" w:lineRule="auto"/>
                    <w:ind w:left="981"/>
                    <w:rPr>
                      <w:sz w:val="20"/>
                      <w:szCs w:val="20"/>
                    </w:rPr>
                  </w:pPr>
                  <w:r>
                    <w:rPr>
                      <w:sz w:val="20"/>
                      <w:szCs w:val="20"/>
                    </w:rPr>
                    <w:t>4</w:t>
                  </w:r>
                </w:p>
              </w:tc>
              <w:tc>
                <w:tcPr>
                  <w:tcW w:w="1718" w:type="dxa"/>
                  <w:vAlign w:val="top"/>
                </w:tcPr>
                <w:p w14:paraId="23E1A148">
                  <w:pPr>
                    <w:pStyle w:val="6"/>
                    <w:spacing w:before="76" w:line="187" w:lineRule="auto"/>
                    <w:ind w:left="993"/>
                    <w:rPr>
                      <w:sz w:val="20"/>
                      <w:szCs w:val="20"/>
                    </w:rPr>
                  </w:pPr>
                  <w:r>
                    <w:rPr>
                      <w:sz w:val="20"/>
                      <w:szCs w:val="20"/>
                    </w:rPr>
                    <w:t>5</w:t>
                  </w:r>
                </w:p>
              </w:tc>
              <w:tc>
                <w:tcPr>
                  <w:tcW w:w="1687" w:type="dxa"/>
                  <w:vAlign w:val="top"/>
                </w:tcPr>
                <w:p w14:paraId="537F2687">
                  <w:pPr>
                    <w:pStyle w:val="6"/>
                    <w:spacing w:before="76" w:line="187" w:lineRule="auto"/>
                    <w:ind w:left="965"/>
                    <w:rPr>
                      <w:sz w:val="20"/>
                      <w:szCs w:val="20"/>
                    </w:rPr>
                  </w:pPr>
                  <w:r>
                    <w:rPr>
                      <w:sz w:val="20"/>
                      <w:szCs w:val="20"/>
                    </w:rPr>
                    <w:t>5</w:t>
                  </w:r>
                </w:p>
              </w:tc>
              <w:tc>
                <w:tcPr>
                  <w:tcW w:w="1693" w:type="dxa"/>
                  <w:vAlign w:val="top"/>
                </w:tcPr>
                <w:p w14:paraId="0AAFBA7D">
                  <w:pPr>
                    <w:pStyle w:val="6"/>
                    <w:spacing w:before="76" w:line="187" w:lineRule="auto"/>
                    <w:ind w:left="998"/>
                    <w:rPr>
                      <w:sz w:val="20"/>
                      <w:szCs w:val="20"/>
                    </w:rPr>
                  </w:pPr>
                  <w:r>
                    <w:rPr>
                      <w:sz w:val="20"/>
                      <w:szCs w:val="20"/>
                    </w:rPr>
                    <w:t>7</w:t>
                  </w:r>
                </w:p>
              </w:tc>
            </w:tr>
            <w:tr w14:paraId="0CE92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1683" w:type="dxa"/>
                  <w:vAlign w:val="top"/>
                </w:tcPr>
                <w:p w14:paraId="3808E0AA">
                  <w:pPr>
                    <w:pStyle w:val="6"/>
                    <w:spacing w:before="58" w:line="207" w:lineRule="auto"/>
                    <w:ind w:left="634"/>
                    <w:rPr>
                      <w:sz w:val="20"/>
                      <w:szCs w:val="20"/>
                    </w:rPr>
                  </w:pPr>
                  <w:r>
                    <w:rPr>
                      <w:spacing w:val="4"/>
                      <w:sz w:val="20"/>
                      <w:szCs w:val="20"/>
                    </w:rPr>
                    <w:t>小计</w:t>
                  </w:r>
                </w:p>
              </w:tc>
              <w:tc>
                <w:tcPr>
                  <w:tcW w:w="1698" w:type="dxa"/>
                  <w:vAlign w:val="top"/>
                </w:tcPr>
                <w:p w14:paraId="4C1633B5">
                  <w:pPr>
                    <w:pStyle w:val="6"/>
                    <w:spacing w:before="76" w:line="191" w:lineRule="auto"/>
                    <w:ind w:left="964"/>
                    <w:rPr>
                      <w:sz w:val="20"/>
                      <w:szCs w:val="20"/>
                    </w:rPr>
                  </w:pPr>
                  <w:r>
                    <w:rPr>
                      <w:b/>
                      <w:bCs/>
                      <w:spacing w:val="-8"/>
                      <w:sz w:val="20"/>
                      <w:szCs w:val="20"/>
                    </w:rPr>
                    <w:t>15</w:t>
                  </w:r>
                </w:p>
              </w:tc>
              <w:tc>
                <w:tcPr>
                  <w:tcW w:w="1718" w:type="dxa"/>
                  <w:vAlign w:val="top"/>
                </w:tcPr>
                <w:p w14:paraId="2AB4195E">
                  <w:pPr>
                    <w:pStyle w:val="6"/>
                    <w:spacing w:before="77" w:line="190" w:lineRule="auto"/>
                    <w:ind w:left="954"/>
                    <w:rPr>
                      <w:sz w:val="20"/>
                      <w:szCs w:val="20"/>
                    </w:rPr>
                  </w:pPr>
                  <w:r>
                    <w:rPr>
                      <w:spacing w:val="-3"/>
                      <w:sz w:val="20"/>
                      <w:szCs w:val="20"/>
                    </w:rPr>
                    <w:t>37</w:t>
                  </w:r>
                </w:p>
              </w:tc>
              <w:tc>
                <w:tcPr>
                  <w:tcW w:w="1687" w:type="dxa"/>
                  <w:vAlign w:val="top"/>
                </w:tcPr>
                <w:p w14:paraId="3F695CB6">
                  <w:pPr>
                    <w:pStyle w:val="6"/>
                    <w:spacing w:before="76" w:line="191" w:lineRule="auto"/>
                    <w:ind w:left="918"/>
                    <w:rPr>
                      <w:sz w:val="20"/>
                      <w:szCs w:val="20"/>
                    </w:rPr>
                  </w:pPr>
                  <w:r>
                    <w:rPr>
                      <w:b/>
                      <w:bCs/>
                      <w:spacing w:val="-5"/>
                      <w:sz w:val="20"/>
                      <w:szCs w:val="20"/>
                    </w:rPr>
                    <w:t>64</w:t>
                  </w:r>
                </w:p>
              </w:tc>
              <w:tc>
                <w:tcPr>
                  <w:tcW w:w="1693" w:type="dxa"/>
                  <w:vAlign w:val="top"/>
                </w:tcPr>
                <w:p w14:paraId="4C2CEE97">
                  <w:pPr>
                    <w:pStyle w:val="6"/>
                    <w:spacing w:before="76" w:line="191" w:lineRule="auto"/>
                    <w:ind w:left="961"/>
                    <w:rPr>
                      <w:sz w:val="20"/>
                      <w:szCs w:val="20"/>
                    </w:rPr>
                  </w:pPr>
                  <w:r>
                    <w:rPr>
                      <w:b/>
                      <w:bCs/>
                      <w:spacing w:val="-5"/>
                      <w:sz w:val="20"/>
                      <w:szCs w:val="20"/>
                    </w:rPr>
                    <w:t>81</w:t>
                  </w:r>
                </w:p>
              </w:tc>
            </w:tr>
          </w:tbl>
          <w:p w14:paraId="3B897A88">
            <w:pPr>
              <w:pStyle w:val="6"/>
              <w:spacing w:before="53" w:line="220" w:lineRule="auto"/>
              <w:ind w:left="714"/>
              <w:rPr>
                <w:sz w:val="24"/>
                <w:szCs w:val="24"/>
              </w:rPr>
            </w:pPr>
            <w:r>
              <w:rPr>
                <w:b/>
                <w:bCs/>
                <w:spacing w:val="-3"/>
                <w:sz w:val="24"/>
                <w:szCs w:val="24"/>
              </w:rPr>
              <w:t>(一)区系分析</w:t>
            </w:r>
          </w:p>
          <w:p w14:paraId="102F6FAA">
            <w:pPr>
              <w:pStyle w:val="6"/>
              <w:spacing w:before="173" w:line="219" w:lineRule="auto"/>
              <w:ind w:left="704"/>
              <w:rPr>
                <w:sz w:val="24"/>
                <w:szCs w:val="24"/>
              </w:rPr>
            </w:pPr>
            <w:r>
              <w:rPr>
                <w:b/>
                <w:bCs/>
                <w:spacing w:val="-2"/>
                <w:sz w:val="24"/>
                <w:szCs w:val="24"/>
              </w:rPr>
              <w:t>(1)两栖类</w:t>
            </w:r>
          </w:p>
          <w:p w14:paraId="7FB66114">
            <w:pPr>
              <w:pStyle w:val="6"/>
              <w:spacing w:before="206" w:line="218" w:lineRule="auto"/>
              <w:ind w:left="580"/>
              <w:rPr>
                <w:sz w:val="24"/>
                <w:szCs w:val="24"/>
              </w:rPr>
            </w:pPr>
            <w:r>
              <w:rPr>
                <w:sz w:val="24"/>
                <w:szCs w:val="24"/>
              </w:rPr>
              <w:t>评价区内分布的两栖动物有5种，隶属1目4科5属。由于评价区范围较小，</w:t>
            </w:r>
          </w:p>
          <w:p w14:paraId="21F2EDE5">
            <w:pPr>
              <w:pStyle w:val="6"/>
              <w:spacing w:before="178" w:line="359" w:lineRule="auto"/>
              <w:ind w:left="40" w:firstLine="69"/>
              <w:rPr>
                <w:sz w:val="24"/>
                <w:szCs w:val="24"/>
              </w:rPr>
            </w:pPr>
            <w:r>
              <w:rPr>
                <w:spacing w:val="-4"/>
                <w:sz w:val="24"/>
                <w:szCs w:val="24"/>
              </w:rPr>
              <w:t>两栖动物种类较少。评价区两栖动物区系特点：(1)全部种类为东洋界种类，未发现</w:t>
            </w:r>
            <w:r>
              <w:rPr>
                <w:spacing w:val="15"/>
                <w:sz w:val="24"/>
                <w:szCs w:val="24"/>
              </w:rPr>
              <w:t xml:space="preserve"> </w:t>
            </w:r>
            <w:r>
              <w:rPr>
                <w:sz w:val="24"/>
                <w:szCs w:val="24"/>
              </w:rPr>
              <w:t>古北界及古北东洋两界的种类分布；(2)在东洋界种类中，西南区种类有3种，占全</w:t>
            </w:r>
            <w:r>
              <w:rPr>
                <w:spacing w:val="5"/>
                <w:sz w:val="24"/>
                <w:szCs w:val="24"/>
              </w:rPr>
              <w:t xml:space="preserve"> </w:t>
            </w:r>
            <w:r>
              <w:rPr>
                <w:spacing w:val="-1"/>
                <w:sz w:val="24"/>
                <w:szCs w:val="24"/>
              </w:rPr>
              <w:t>部两栖动物种数的60%;华中—华南区种类次之，有2种，约占全部</w:t>
            </w:r>
            <w:r>
              <w:rPr>
                <w:spacing w:val="-2"/>
                <w:sz w:val="24"/>
                <w:szCs w:val="24"/>
              </w:rPr>
              <w:t>两栖动物种数</w:t>
            </w:r>
          </w:p>
          <w:p w14:paraId="7266BACA">
            <w:pPr>
              <w:pStyle w:val="6"/>
              <w:spacing w:before="1" w:line="218" w:lineRule="auto"/>
              <w:ind w:left="120"/>
              <w:rPr>
                <w:sz w:val="24"/>
                <w:szCs w:val="24"/>
              </w:rPr>
            </w:pPr>
            <w:r>
              <w:rPr>
                <w:sz w:val="24"/>
                <w:szCs w:val="24"/>
              </w:rPr>
              <w:t>的40%;无东洋界广布种和华中区种类分</w:t>
            </w:r>
            <w:r>
              <w:rPr>
                <w:spacing w:val="-1"/>
                <w:sz w:val="24"/>
                <w:szCs w:val="24"/>
              </w:rPr>
              <w:t>布。</w:t>
            </w:r>
          </w:p>
          <w:p w14:paraId="25530545">
            <w:pPr>
              <w:pStyle w:val="6"/>
              <w:spacing w:before="171" w:line="218" w:lineRule="auto"/>
              <w:ind w:left="2714"/>
              <w:rPr>
                <w:sz w:val="24"/>
                <w:szCs w:val="24"/>
              </w:rPr>
            </w:pPr>
            <w:r>
              <w:rPr>
                <w:b/>
                <w:bCs/>
                <w:spacing w:val="-4"/>
                <w:sz w:val="24"/>
                <w:szCs w:val="24"/>
              </w:rPr>
              <w:t>表3-7环境影响评价区两栖动物组成</w:t>
            </w:r>
          </w:p>
          <w:p w14:paraId="668A3ACB">
            <w:pPr>
              <w:spacing w:line="17" w:lineRule="exact"/>
            </w:pPr>
          </w:p>
          <w:tbl>
            <w:tblPr>
              <w:tblStyle w:val="5"/>
              <w:tblW w:w="8479"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4414"/>
              <w:gridCol w:w="1933"/>
            </w:tblGrid>
            <w:tr w14:paraId="6D710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2132" w:type="dxa"/>
                  <w:vAlign w:val="top"/>
                </w:tcPr>
                <w:p w14:paraId="23244B53">
                  <w:pPr>
                    <w:pStyle w:val="6"/>
                    <w:spacing w:before="36" w:line="190" w:lineRule="auto"/>
                    <w:ind w:left="954"/>
                    <w:rPr>
                      <w:sz w:val="21"/>
                      <w:szCs w:val="21"/>
                    </w:rPr>
                  </w:pPr>
                  <w:r>
                    <w:rPr>
                      <w:sz w:val="21"/>
                      <w:szCs w:val="21"/>
                    </w:rPr>
                    <w:t>目</w:t>
                  </w:r>
                </w:p>
              </w:tc>
              <w:tc>
                <w:tcPr>
                  <w:tcW w:w="4414" w:type="dxa"/>
                  <w:vAlign w:val="top"/>
                </w:tcPr>
                <w:p w14:paraId="7CF7C69E">
                  <w:pPr>
                    <w:pStyle w:val="6"/>
                    <w:spacing w:before="32" w:line="194" w:lineRule="auto"/>
                    <w:ind w:left="2092"/>
                    <w:rPr>
                      <w:sz w:val="21"/>
                      <w:szCs w:val="21"/>
                    </w:rPr>
                  </w:pPr>
                  <w:r>
                    <w:rPr>
                      <w:sz w:val="21"/>
                      <w:szCs w:val="21"/>
                    </w:rPr>
                    <w:t>科</w:t>
                  </w:r>
                </w:p>
              </w:tc>
              <w:tc>
                <w:tcPr>
                  <w:tcW w:w="1933" w:type="dxa"/>
                  <w:vAlign w:val="top"/>
                </w:tcPr>
                <w:p w14:paraId="1ECFB94F">
                  <w:pPr>
                    <w:pStyle w:val="6"/>
                    <w:spacing w:before="33" w:line="193" w:lineRule="auto"/>
                    <w:ind w:left="748"/>
                    <w:rPr>
                      <w:sz w:val="21"/>
                      <w:szCs w:val="21"/>
                    </w:rPr>
                  </w:pPr>
                  <w:r>
                    <w:rPr>
                      <w:spacing w:val="-3"/>
                      <w:sz w:val="21"/>
                      <w:szCs w:val="21"/>
                    </w:rPr>
                    <w:t>种数</w:t>
                  </w:r>
                </w:p>
              </w:tc>
            </w:tr>
            <w:tr w14:paraId="5E176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132" w:type="dxa"/>
                  <w:vMerge w:val="restart"/>
                  <w:tcBorders>
                    <w:bottom w:val="nil"/>
                  </w:tcBorders>
                  <w:vAlign w:val="top"/>
                </w:tcPr>
                <w:p w14:paraId="55F1B8F0">
                  <w:pPr>
                    <w:spacing w:line="390" w:lineRule="auto"/>
                    <w:rPr>
                      <w:rFonts w:ascii="Arial"/>
                      <w:sz w:val="21"/>
                    </w:rPr>
                  </w:pPr>
                </w:p>
                <w:p w14:paraId="5886E1B1">
                  <w:pPr>
                    <w:pStyle w:val="6"/>
                    <w:spacing w:before="68" w:line="220" w:lineRule="auto"/>
                    <w:ind w:left="334"/>
                    <w:rPr>
                      <w:sz w:val="21"/>
                      <w:szCs w:val="21"/>
                    </w:rPr>
                  </w:pPr>
                  <w:r>
                    <w:rPr>
                      <w:spacing w:val="18"/>
                      <w:w w:val="112"/>
                      <w:sz w:val="21"/>
                      <w:szCs w:val="21"/>
                    </w:rPr>
                    <w:t>无尾目ANURA</w:t>
                  </w:r>
                </w:p>
              </w:tc>
              <w:tc>
                <w:tcPr>
                  <w:tcW w:w="4414" w:type="dxa"/>
                  <w:vAlign w:val="top"/>
                </w:tcPr>
                <w:p w14:paraId="0C137BE6">
                  <w:pPr>
                    <w:pStyle w:val="6"/>
                    <w:spacing w:before="33" w:line="214" w:lineRule="auto"/>
                    <w:ind w:left="1252"/>
                    <w:rPr>
                      <w:sz w:val="21"/>
                      <w:szCs w:val="21"/>
                    </w:rPr>
                  </w:pPr>
                  <w:r>
                    <w:rPr>
                      <w:spacing w:val="4"/>
                      <w:sz w:val="21"/>
                      <w:szCs w:val="21"/>
                    </w:rPr>
                    <w:t>角蟾科</w:t>
                  </w:r>
                  <w:r>
                    <w:rPr>
                      <w:sz w:val="21"/>
                      <w:szCs w:val="21"/>
                    </w:rPr>
                    <w:t>Megophryidae</w:t>
                  </w:r>
                </w:p>
              </w:tc>
              <w:tc>
                <w:tcPr>
                  <w:tcW w:w="1933" w:type="dxa"/>
                  <w:vAlign w:val="top"/>
                </w:tcPr>
                <w:p w14:paraId="511B5AB9">
                  <w:pPr>
                    <w:pStyle w:val="6"/>
                    <w:spacing w:before="61" w:line="190" w:lineRule="auto"/>
                    <w:ind w:left="908"/>
                    <w:rPr>
                      <w:sz w:val="21"/>
                      <w:szCs w:val="21"/>
                    </w:rPr>
                  </w:pPr>
                  <w:r>
                    <w:rPr>
                      <w:sz w:val="21"/>
                      <w:szCs w:val="21"/>
                    </w:rPr>
                    <w:t>2</w:t>
                  </w:r>
                </w:p>
              </w:tc>
            </w:tr>
            <w:tr w14:paraId="0D154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2132" w:type="dxa"/>
                  <w:vMerge w:val="continue"/>
                  <w:tcBorders>
                    <w:top w:val="nil"/>
                    <w:bottom w:val="nil"/>
                  </w:tcBorders>
                  <w:vAlign w:val="top"/>
                </w:tcPr>
                <w:p w14:paraId="1D8CAF99">
                  <w:pPr>
                    <w:rPr>
                      <w:rFonts w:ascii="Arial"/>
                      <w:sz w:val="21"/>
                    </w:rPr>
                  </w:pPr>
                </w:p>
              </w:tc>
              <w:tc>
                <w:tcPr>
                  <w:tcW w:w="4414" w:type="dxa"/>
                  <w:vAlign w:val="top"/>
                </w:tcPr>
                <w:p w14:paraId="793FA078">
                  <w:pPr>
                    <w:pStyle w:val="6"/>
                    <w:spacing w:before="31" w:line="190" w:lineRule="auto"/>
                    <w:ind w:left="1412"/>
                    <w:rPr>
                      <w:sz w:val="21"/>
                      <w:szCs w:val="21"/>
                    </w:rPr>
                  </w:pPr>
                  <w:r>
                    <w:rPr>
                      <w:spacing w:val="-1"/>
                      <w:sz w:val="21"/>
                      <w:szCs w:val="21"/>
                    </w:rPr>
                    <w:t>蟾蜍科Bufonidae</w:t>
                  </w:r>
                </w:p>
              </w:tc>
              <w:tc>
                <w:tcPr>
                  <w:tcW w:w="1933" w:type="dxa"/>
                  <w:vAlign w:val="top"/>
                </w:tcPr>
                <w:p w14:paraId="0FF11C38">
                  <w:pPr>
                    <w:pStyle w:val="6"/>
                    <w:spacing w:before="53" w:line="171" w:lineRule="auto"/>
                    <w:ind w:left="908"/>
                    <w:rPr>
                      <w:sz w:val="21"/>
                      <w:szCs w:val="21"/>
                    </w:rPr>
                  </w:pPr>
                  <w:r>
                    <w:rPr>
                      <w:sz w:val="21"/>
                      <w:szCs w:val="21"/>
                    </w:rPr>
                    <w:t>1</w:t>
                  </w:r>
                </w:p>
              </w:tc>
            </w:tr>
            <w:tr w14:paraId="6782C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132" w:type="dxa"/>
                  <w:vMerge w:val="continue"/>
                  <w:tcBorders>
                    <w:top w:val="nil"/>
                    <w:bottom w:val="nil"/>
                  </w:tcBorders>
                  <w:vAlign w:val="top"/>
                </w:tcPr>
                <w:p w14:paraId="058B20DC">
                  <w:pPr>
                    <w:rPr>
                      <w:rFonts w:ascii="Arial"/>
                      <w:sz w:val="21"/>
                    </w:rPr>
                  </w:pPr>
                </w:p>
              </w:tc>
              <w:tc>
                <w:tcPr>
                  <w:tcW w:w="4414" w:type="dxa"/>
                  <w:vAlign w:val="top"/>
                </w:tcPr>
                <w:p w14:paraId="29881E61">
                  <w:pPr>
                    <w:pStyle w:val="6"/>
                    <w:spacing w:before="43" w:line="206" w:lineRule="auto"/>
                    <w:ind w:left="1622"/>
                    <w:rPr>
                      <w:sz w:val="21"/>
                      <w:szCs w:val="21"/>
                    </w:rPr>
                  </w:pPr>
                  <w:r>
                    <w:rPr>
                      <w:spacing w:val="-1"/>
                      <w:sz w:val="21"/>
                      <w:szCs w:val="21"/>
                    </w:rPr>
                    <w:t>蛙科Ranidae</w:t>
                  </w:r>
                </w:p>
              </w:tc>
              <w:tc>
                <w:tcPr>
                  <w:tcW w:w="1933" w:type="dxa"/>
                  <w:vAlign w:val="top"/>
                </w:tcPr>
                <w:p w14:paraId="68A62BDC">
                  <w:pPr>
                    <w:pStyle w:val="6"/>
                    <w:spacing w:before="65" w:line="187" w:lineRule="auto"/>
                    <w:ind w:left="908"/>
                    <w:rPr>
                      <w:sz w:val="21"/>
                      <w:szCs w:val="21"/>
                    </w:rPr>
                  </w:pPr>
                  <w:r>
                    <w:rPr>
                      <w:sz w:val="21"/>
                      <w:szCs w:val="21"/>
                    </w:rPr>
                    <w:t>1</w:t>
                  </w:r>
                </w:p>
              </w:tc>
            </w:tr>
            <w:tr w14:paraId="6BB49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2132" w:type="dxa"/>
                  <w:vMerge w:val="continue"/>
                  <w:tcBorders>
                    <w:top w:val="nil"/>
                  </w:tcBorders>
                  <w:vAlign w:val="top"/>
                </w:tcPr>
                <w:p w14:paraId="78F50488">
                  <w:pPr>
                    <w:rPr>
                      <w:rFonts w:ascii="Arial"/>
                      <w:sz w:val="21"/>
                    </w:rPr>
                  </w:pPr>
                </w:p>
              </w:tc>
              <w:tc>
                <w:tcPr>
                  <w:tcW w:w="4414" w:type="dxa"/>
                  <w:vAlign w:val="top"/>
                </w:tcPr>
                <w:p w14:paraId="0E70054C">
                  <w:pPr>
                    <w:pStyle w:val="6"/>
                    <w:spacing w:before="31" w:line="195" w:lineRule="auto"/>
                    <w:ind w:left="1252"/>
                    <w:rPr>
                      <w:sz w:val="21"/>
                      <w:szCs w:val="21"/>
                    </w:rPr>
                  </w:pPr>
                  <w:r>
                    <w:rPr>
                      <w:spacing w:val="4"/>
                      <w:sz w:val="21"/>
                      <w:szCs w:val="21"/>
                    </w:rPr>
                    <w:t>姬蛙科</w:t>
                  </w:r>
                  <w:r>
                    <w:rPr>
                      <w:sz w:val="21"/>
                      <w:szCs w:val="21"/>
                    </w:rPr>
                    <w:t>Microhylidae</w:t>
                  </w:r>
                </w:p>
              </w:tc>
              <w:tc>
                <w:tcPr>
                  <w:tcW w:w="1933" w:type="dxa"/>
                  <w:vAlign w:val="top"/>
                </w:tcPr>
                <w:p w14:paraId="6322F7F1">
                  <w:pPr>
                    <w:pStyle w:val="6"/>
                    <w:spacing w:before="57" w:line="172" w:lineRule="auto"/>
                    <w:ind w:left="908"/>
                    <w:rPr>
                      <w:sz w:val="21"/>
                      <w:szCs w:val="21"/>
                    </w:rPr>
                  </w:pPr>
                  <w:r>
                    <w:rPr>
                      <w:sz w:val="21"/>
                      <w:szCs w:val="21"/>
                    </w:rPr>
                    <w:t>1</w:t>
                  </w:r>
                </w:p>
              </w:tc>
            </w:tr>
          </w:tbl>
          <w:p w14:paraId="360F5D14">
            <w:pPr>
              <w:pStyle w:val="6"/>
              <w:spacing w:before="62" w:line="219" w:lineRule="auto"/>
              <w:ind w:left="704"/>
              <w:rPr>
                <w:sz w:val="24"/>
                <w:szCs w:val="24"/>
              </w:rPr>
            </w:pPr>
            <w:r>
              <w:rPr>
                <w:b/>
                <w:bCs/>
                <w:spacing w:val="-2"/>
                <w:sz w:val="24"/>
                <w:szCs w:val="24"/>
              </w:rPr>
              <w:t>(2)爬行类</w:t>
            </w:r>
          </w:p>
          <w:p w14:paraId="458BC7A5">
            <w:pPr>
              <w:pStyle w:val="6"/>
              <w:spacing w:before="186" w:line="218" w:lineRule="auto"/>
              <w:ind w:left="520"/>
              <w:rPr>
                <w:sz w:val="24"/>
                <w:szCs w:val="24"/>
              </w:rPr>
            </w:pPr>
            <w:r>
              <w:rPr>
                <w:spacing w:val="1"/>
                <w:sz w:val="24"/>
                <w:szCs w:val="24"/>
              </w:rPr>
              <w:t>评价区内分布的爬行动物有10种，隶属2</w:t>
            </w:r>
            <w:r>
              <w:rPr>
                <w:sz w:val="24"/>
                <w:szCs w:val="24"/>
              </w:rPr>
              <w:t>目5科8属。区系特点：(1)评价区</w:t>
            </w:r>
          </w:p>
          <w:p w14:paraId="04F6130A">
            <w:pPr>
              <w:pStyle w:val="6"/>
              <w:spacing w:before="177" w:line="219" w:lineRule="auto"/>
              <w:ind w:left="100"/>
              <w:rPr>
                <w:sz w:val="24"/>
                <w:szCs w:val="24"/>
              </w:rPr>
            </w:pPr>
            <w:r>
              <w:rPr>
                <w:sz w:val="24"/>
                <w:szCs w:val="24"/>
              </w:rPr>
              <w:t>爬行动物东洋界种类9种，古北-东洋广布种1种，尚未发现古北界成分。(2)在9</w:t>
            </w:r>
          </w:p>
          <w:p w14:paraId="78033149">
            <w:pPr>
              <w:pStyle w:val="6"/>
              <w:spacing w:before="197" w:line="356" w:lineRule="auto"/>
              <w:ind w:left="100" w:right="123"/>
              <w:rPr>
                <w:sz w:val="24"/>
                <w:szCs w:val="24"/>
              </w:rPr>
            </w:pPr>
            <w:r>
              <w:rPr>
                <w:sz w:val="24"/>
                <w:szCs w:val="24"/>
              </w:rPr>
              <w:t>种东洋界种类中，西南区种类占优势。西南区种类有6种</w:t>
            </w:r>
            <w:r>
              <w:rPr>
                <w:spacing w:val="-1"/>
                <w:sz w:val="24"/>
                <w:szCs w:val="24"/>
              </w:rPr>
              <w:t>，约占全部爬行动物种数</w:t>
            </w:r>
            <w:r>
              <w:rPr>
                <w:sz w:val="24"/>
                <w:szCs w:val="24"/>
              </w:rPr>
              <w:t xml:space="preserve"> 的66.67%;华南区种类有2种，约占全部爬行动物种数的22.22%;华中华南区种</w:t>
            </w:r>
          </w:p>
          <w:p w14:paraId="062F045F">
            <w:pPr>
              <w:pStyle w:val="6"/>
              <w:spacing w:before="13" w:line="219" w:lineRule="auto"/>
              <w:ind w:left="110"/>
              <w:rPr>
                <w:sz w:val="24"/>
                <w:szCs w:val="24"/>
              </w:rPr>
            </w:pPr>
            <w:r>
              <w:rPr>
                <w:sz w:val="24"/>
                <w:szCs w:val="24"/>
              </w:rPr>
              <w:t>类有1种，约占全部爬行动物种数的11.11%;无华中区种类分布。</w:t>
            </w:r>
          </w:p>
          <w:p w14:paraId="5615ED70">
            <w:pPr>
              <w:pStyle w:val="6"/>
              <w:spacing w:before="181" w:line="218" w:lineRule="auto"/>
              <w:ind w:left="3194"/>
              <w:rPr>
                <w:sz w:val="24"/>
                <w:szCs w:val="24"/>
              </w:rPr>
            </w:pPr>
            <w:r>
              <w:rPr>
                <w:b/>
                <w:bCs/>
                <w:spacing w:val="-4"/>
                <w:sz w:val="24"/>
                <w:szCs w:val="24"/>
              </w:rPr>
              <w:t>表3-8评价区爬行动物组成</w:t>
            </w:r>
          </w:p>
        </w:tc>
      </w:tr>
    </w:tbl>
    <w:p w14:paraId="66D84974">
      <w:pPr>
        <w:pStyle w:val="2"/>
      </w:pPr>
    </w:p>
    <w:p w14:paraId="05FE1E28">
      <w:pPr>
        <w:sectPr>
          <w:footerReference r:id="rId98" w:type="default"/>
          <w:pgSz w:w="11910" w:h="16830"/>
          <w:pgMar w:top="400" w:right="1274" w:bottom="1245" w:left="1205" w:header="0" w:footer="1083" w:gutter="0"/>
          <w:cols w:space="720" w:num="1"/>
        </w:sectPr>
      </w:pPr>
    </w:p>
    <w:p w14:paraId="07A89366">
      <w:pPr>
        <w:spacing w:before="23"/>
      </w:pPr>
    </w:p>
    <w:p w14:paraId="72EB4178">
      <w:pPr>
        <w:spacing w:before="22"/>
      </w:pPr>
    </w:p>
    <w:p w14:paraId="6C2E51DF">
      <w:pPr>
        <w:spacing w:before="22"/>
      </w:pPr>
    </w:p>
    <w:p w14:paraId="0301030F">
      <w:pPr>
        <w:spacing w:before="22"/>
      </w:pPr>
    </w:p>
    <w:tbl>
      <w:tblPr>
        <w:tblStyle w:val="5"/>
        <w:tblW w:w="94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20"/>
        <w:gridCol w:w="2198"/>
        <w:gridCol w:w="4355"/>
        <w:gridCol w:w="1948"/>
        <w:gridCol w:w="115"/>
      </w:tblGrid>
      <w:tr w14:paraId="0FA7E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684" w:type="dxa"/>
            <w:vMerge w:val="restart"/>
            <w:tcBorders>
              <w:bottom w:val="nil"/>
            </w:tcBorders>
            <w:vAlign w:val="top"/>
          </w:tcPr>
          <w:p w14:paraId="77E81837">
            <w:pPr>
              <w:rPr>
                <w:rFonts w:ascii="Arial"/>
                <w:sz w:val="21"/>
              </w:rPr>
            </w:pPr>
          </w:p>
        </w:tc>
        <w:tc>
          <w:tcPr>
            <w:tcW w:w="120" w:type="dxa"/>
            <w:tcBorders>
              <w:bottom w:val="nil"/>
            </w:tcBorders>
            <w:vAlign w:val="top"/>
          </w:tcPr>
          <w:p w14:paraId="4095BB8D">
            <w:pPr>
              <w:rPr>
                <w:rFonts w:ascii="Arial"/>
                <w:sz w:val="21"/>
              </w:rPr>
            </w:pPr>
          </w:p>
        </w:tc>
        <w:tc>
          <w:tcPr>
            <w:tcW w:w="2198" w:type="dxa"/>
            <w:vAlign w:val="top"/>
          </w:tcPr>
          <w:p w14:paraId="147728A6">
            <w:pPr>
              <w:pStyle w:val="6"/>
              <w:spacing w:before="46" w:line="199" w:lineRule="auto"/>
              <w:ind w:left="981"/>
            </w:pPr>
            <w:r>
              <w:t>目</w:t>
            </w:r>
          </w:p>
        </w:tc>
        <w:tc>
          <w:tcPr>
            <w:tcW w:w="4355" w:type="dxa"/>
            <w:vAlign w:val="top"/>
          </w:tcPr>
          <w:p w14:paraId="1BDFDD14">
            <w:pPr>
              <w:pStyle w:val="6"/>
              <w:spacing w:before="43" w:line="202" w:lineRule="auto"/>
              <w:ind w:left="2063"/>
            </w:pPr>
            <w:r>
              <w:t>科</w:t>
            </w:r>
          </w:p>
        </w:tc>
        <w:tc>
          <w:tcPr>
            <w:tcW w:w="1948" w:type="dxa"/>
            <w:vAlign w:val="top"/>
          </w:tcPr>
          <w:p w14:paraId="2F18476B">
            <w:pPr>
              <w:pStyle w:val="6"/>
              <w:spacing w:before="43" w:line="202" w:lineRule="auto"/>
              <w:ind w:left="747"/>
            </w:pPr>
            <w:r>
              <w:rPr>
                <w:spacing w:val="-3"/>
              </w:rPr>
              <w:t>种数</w:t>
            </w:r>
          </w:p>
        </w:tc>
        <w:tc>
          <w:tcPr>
            <w:tcW w:w="115" w:type="dxa"/>
            <w:tcBorders>
              <w:bottom w:val="nil"/>
            </w:tcBorders>
            <w:vAlign w:val="top"/>
          </w:tcPr>
          <w:p w14:paraId="5DC5628C">
            <w:pPr>
              <w:rPr>
                <w:rFonts w:ascii="Arial"/>
                <w:sz w:val="21"/>
              </w:rPr>
            </w:pPr>
          </w:p>
        </w:tc>
      </w:tr>
      <w:tr w14:paraId="5253A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684" w:type="dxa"/>
            <w:vMerge w:val="continue"/>
            <w:tcBorders>
              <w:top w:val="nil"/>
              <w:bottom w:val="nil"/>
            </w:tcBorders>
            <w:vAlign w:val="top"/>
          </w:tcPr>
          <w:p w14:paraId="1109B500">
            <w:pPr>
              <w:rPr>
                <w:rFonts w:ascii="Arial"/>
                <w:sz w:val="21"/>
              </w:rPr>
            </w:pPr>
          </w:p>
        </w:tc>
        <w:tc>
          <w:tcPr>
            <w:tcW w:w="120" w:type="dxa"/>
            <w:tcBorders>
              <w:top w:val="nil"/>
              <w:bottom w:val="nil"/>
            </w:tcBorders>
            <w:vAlign w:val="top"/>
          </w:tcPr>
          <w:p w14:paraId="68E7973C">
            <w:pPr>
              <w:rPr>
                <w:rFonts w:ascii="Arial"/>
                <w:sz w:val="21"/>
              </w:rPr>
            </w:pPr>
          </w:p>
        </w:tc>
        <w:tc>
          <w:tcPr>
            <w:tcW w:w="2198" w:type="dxa"/>
            <w:vMerge w:val="restart"/>
            <w:tcBorders>
              <w:bottom w:val="nil"/>
            </w:tcBorders>
            <w:vAlign w:val="top"/>
          </w:tcPr>
          <w:p w14:paraId="60CB88B2">
            <w:pPr>
              <w:pStyle w:val="6"/>
              <w:spacing w:before="310" w:line="220" w:lineRule="auto"/>
              <w:ind w:left="371"/>
            </w:pPr>
            <w:r>
              <w:rPr>
                <w:spacing w:val="-1"/>
              </w:rPr>
              <w:t>蜥蜴目ACETILA</w:t>
            </w:r>
          </w:p>
        </w:tc>
        <w:tc>
          <w:tcPr>
            <w:tcW w:w="4355" w:type="dxa"/>
            <w:vAlign w:val="top"/>
          </w:tcPr>
          <w:p w14:paraId="67DAB36C">
            <w:pPr>
              <w:pStyle w:val="6"/>
              <w:spacing w:before="29" w:line="191" w:lineRule="auto"/>
              <w:ind w:left="1293"/>
            </w:pPr>
            <w:r>
              <w:rPr>
                <w:spacing w:val="4"/>
              </w:rPr>
              <w:t>壁虎科</w:t>
            </w:r>
            <w:r>
              <w:t>Gekkondiae</w:t>
            </w:r>
          </w:p>
        </w:tc>
        <w:tc>
          <w:tcPr>
            <w:tcW w:w="1948" w:type="dxa"/>
            <w:vAlign w:val="top"/>
          </w:tcPr>
          <w:p w14:paraId="4AC157AF">
            <w:pPr>
              <w:pStyle w:val="6"/>
              <w:spacing w:before="52" w:line="172" w:lineRule="auto"/>
              <w:ind w:left="918"/>
            </w:pPr>
            <w:r>
              <w:t>1</w:t>
            </w:r>
          </w:p>
        </w:tc>
        <w:tc>
          <w:tcPr>
            <w:tcW w:w="115" w:type="dxa"/>
            <w:tcBorders>
              <w:top w:val="nil"/>
              <w:bottom w:val="nil"/>
            </w:tcBorders>
            <w:vAlign w:val="top"/>
          </w:tcPr>
          <w:p w14:paraId="34635872">
            <w:pPr>
              <w:rPr>
                <w:rFonts w:ascii="Arial"/>
                <w:sz w:val="21"/>
              </w:rPr>
            </w:pPr>
          </w:p>
        </w:tc>
      </w:tr>
      <w:tr w14:paraId="79B25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684" w:type="dxa"/>
            <w:vMerge w:val="continue"/>
            <w:tcBorders>
              <w:top w:val="nil"/>
              <w:bottom w:val="nil"/>
            </w:tcBorders>
            <w:vAlign w:val="top"/>
          </w:tcPr>
          <w:p w14:paraId="2EF60934">
            <w:pPr>
              <w:rPr>
                <w:rFonts w:ascii="Arial"/>
                <w:sz w:val="21"/>
              </w:rPr>
            </w:pPr>
          </w:p>
        </w:tc>
        <w:tc>
          <w:tcPr>
            <w:tcW w:w="120" w:type="dxa"/>
            <w:tcBorders>
              <w:top w:val="nil"/>
              <w:bottom w:val="nil"/>
            </w:tcBorders>
            <w:vAlign w:val="top"/>
          </w:tcPr>
          <w:p w14:paraId="6684A15A">
            <w:pPr>
              <w:spacing w:line="235" w:lineRule="exact"/>
              <w:rPr>
                <w:rFonts w:ascii="Arial"/>
                <w:sz w:val="20"/>
              </w:rPr>
            </w:pPr>
          </w:p>
        </w:tc>
        <w:tc>
          <w:tcPr>
            <w:tcW w:w="2198" w:type="dxa"/>
            <w:vMerge w:val="continue"/>
            <w:tcBorders>
              <w:top w:val="nil"/>
              <w:bottom w:val="nil"/>
            </w:tcBorders>
            <w:vAlign w:val="top"/>
          </w:tcPr>
          <w:p w14:paraId="1ACDEDF7">
            <w:pPr>
              <w:rPr>
                <w:rFonts w:ascii="Arial"/>
                <w:sz w:val="21"/>
              </w:rPr>
            </w:pPr>
          </w:p>
        </w:tc>
        <w:tc>
          <w:tcPr>
            <w:tcW w:w="4355" w:type="dxa"/>
            <w:vAlign w:val="top"/>
          </w:tcPr>
          <w:p w14:paraId="17256310">
            <w:pPr>
              <w:pStyle w:val="6"/>
              <w:spacing w:before="32" w:line="171" w:lineRule="auto"/>
              <w:ind w:left="1233"/>
            </w:pPr>
            <w:r>
              <w:rPr>
                <w:spacing w:val="3"/>
              </w:rPr>
              <w:t>石龙子科</w:t>
            </w:r>
            <w:r>
              <w:t>Scincidae</w:t>
            </w:r>
          </w:p>
        </w:tc>
        <w:tc>
          <w:tcPr>
            <w:tcW w:w="1948" w:type="dxa"/>
            <w:vAlign w:val="top"/>
          </w:tcPr>
          <w:p w14:paraId="340FDE8A">
            <w:pPr>
              <w:pStyle w:val="6"/>
              <w:spacing w:before="55" w:line="180" w:lineRule="exact"/>
              <w:ind w:left="918"/>
            </w:pPr>
            <w:r>
              <w:rPr>
                <w:position w:val="-2"/>
              </w:rPr>
              <w:t>1</w:t>
            </w:r>
          </w:p>
        </w:tc>
        <w:tc>
          <w:tcPr>
            <w:tcW w:w="115" w:type="dxa"/>
            <w:tcBorders>
              <w:top w:val="nil"/>
              <w:bottom w:val="nil"/>
            </w:tcBorders>
            <w:vAlign w:val="top"/>
          </w:tcPr>
          <w:p w14:paraId="0FA93577">
            <w:pPr>
              <w:spacing w:line="235" w:lineRule="exact"/>
              <w:rPr>
                <w:rFonts w:ascii="Arial"/>
                <w:sz w:val="20"/>
              </w:rPr>
            </w:pPr>
          </w:p>
        </w:tc>
      </w:tr>
      <w:tr w14:paraId="26874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684" w:type="dxa"/>
            <w:vMerge w:val="continue"/>
            <w:tcBorders>
              <w:top w:val="nil"/>
              <w:bottom w:val="nil"/>
            </w:tcBorders>
            <w:vAlign w:val="top"/>
          </w:tcPr>
          <w:p w14:paraId="44B6B198">
            <w:pPr>
              <w:rPr>
                <w:rFonts w:ascii="Arial"/>
                <w:sz w:val="21"/>
              </w:rPr>
            </w:pPr>
          </w:p>
        </w:tc>
        <w:tc>
          <w:tcPr>
            <w:tcW w:w="120" w:type="dxa"/>
            <w:tcBorders>
              <w:top w:val="nil"/>
              <w:bottom w:val="nil"/>
            </w:tcBorders>
            <w:vAlign w:val="top"/>
          </w:tcPr>
          <w:p w14:paraId="0EA30790">
            <w:pPr>
              <w:rPr>
                <w:rFonts w:ascii="Arial"/>
                <w:sz w:val="21"/>
              </w:rPr>
            </w:pPr>
          </w:p>
        </w:tc>
        <w:tc>
          <w:tcPr>
            <w:tcW w:w="2198" w:type="dxa"/>
            <w:vMerge w:val="continue"/>
            <w:tcBorders>
              <w:top w:val="nil"/>
            </w:tcBorders>
            <w:vAlign w:val="top"/>
          </w:tcPr>
          <w:p w14:paraId="3E9B77EB">
            <w:pPr>
              <w:rPr>
                <w:rFonts w:ascii="Arial"/>
                <w:sz w:val="21"/>
              </w:rPr>
            </w:pPr>
          </w:p>
        </w:tc>
        <w:tc>
          <w:tcPr>
            <w:tcW w:w="4355" w:type="dxa"/>
            <w:vAlign w:val="top"/>
          </w:tcPr>
          <w:p w14:paraId="5AB6CF51">
            <w:pPr>
              <w:pStyle w:val="6"/>
              <w:spacing w:before="49" w:line="195" w:lineRule="auto"/>
              <w:ind w:left="1403"/>
            </w:pPr>
            <w:r>
              <w:rPr>
                <w:spacing w:val="4"/>
              </w:rPr>
              <w:t>鬣蜥科</w:t>
            </w:r>
            <w:r>
              <w:t>Agamidae</w:t>
            </w:r>
          </w:p>
        </w:tc>
        <w:tc>
          <w:tcPr>
            <w:tcW w:w="1948" w:type="dxa"/>
            <w:vAlign w:val="top"/>
          </w:tcPr>
          <w:p w14:paraId="55D2A9A9">
            <w:pPr>
              <w:pStyle w:val="6"/>
              <w:spacing w:before="79" w:line="170" w:lineRule="auto"/>
              <w:ind w:left="918"/>
            </w:pPr>
            <w:r>
              <w:t>1</w:t>
            </w:r>
          </w:p>
        </w:tc>
        <w:tc>
          <w:tcPr>
            <w:tcW w:w="115" w:type="dxa"/>
            <w:tcBorders>
              <w:top w:val="nil"/>
              <w:bottom w:val="nil"/>
            </w:tcBorders>
            <w:vAlign w:val="top"/>
          </w:tcPr>
          <w:p w14:paraId="3DB8BD32">
            <w:pPr>
              <w:rPr>
                <w:rFonts w:ascii="Arial"/>
                <w:sz w:val="21"/>
              </w:rPr>
            </w:pPr>
          </w:p>
        </w:tc>
      </w:tr>
      <w:tr w14:paraId="1D0EC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84" w:type="dxa"/>
            <w:vMerge w:val="continue"/>
            <w:tcBorders>
              <w:top w:val="nil"/>
              <w:bottom w:val="nil"/>
            </w:tcBorders>
            <w:vAlign w:val="top"/>
          </w:tcPr>
          <w:p w14:paraId="27A166B8">
            <w:pPr>
              <w:rPr>
                <w:rFonts w:ascii="Arial"/>
                <w:sz w:val="21"/>
              </w:rPr>
            </w:pPr>
          </w:p>
        </w:tc>
        <w:tc>
          <w:tcPr>
            <w:tcW w:w="120" w:type="dxa"/>
            <w:tcBorders>
              <w:top w:val="nil"/>
              <w:bottom w:val="nil"/>
            </w:tcBorders>
            <w:vAlign w:val="top"/>
          </w:tcPr>
          <w:p w14:paraId="1F8246D1">
            <w:pPr>
              <w:rPr>
                <w:rFonts w:ascii="Arial"/>
                <w:sz w:val="21"/>
              </w:rPr>
            </w:pPr>
          </w:p>
        </w:tc>
        <w:tc>
          <w:tcPr>
            <w:tcW w:w="2198" w:type="dxa"/>
            <w:vMerge w:val="restart"/>
            <w:tcBorders>
              <w:bottom w:val="nil"/>
            </w:tcBorders>
            <w:vAlign w:val="top"/>
          </w:tcPr>
          <w:p w14:paraId="6FDC9585">
            <w:pPr>
              <w:pStyle w:val="6"/>
              <w:spacing w:before="188" w:line="222" w:lineRule="auto"/>
              <w:ind w:left="371"/>
            </w:pPr>
            <w:r>
              <w:rPr>
                <w:spacing w:val="6"/>
              </w:rPr>
              <w:t>蛇目</w:t>
            </w:r>
            <w:r>
              <w:t>SERPENTES</w:t>
            </w:r>
          </w:p>
        </w:tc>
        <w:tc>
          <w:tcPr>
            <w:tcW w:w="4355" w:type="dxa"/>
            <w:vAlign w:val="top"/>
          </w:tcPr>
          <w:p w14:paraId="7F1E4CD6">
            <w:pPr>
              <w:pStyle w:val="6"/>
              <w:spacing w:before="34" w:line="195" w:lineRule="auto"/>
              <w:ind w:left="1293"/>
            </w:pPr>
            <w:r>
              <w:rPr>
                <w:spacing w:val="4"/>
              </w:rPr>
              <w:t>游蛇科</w:t>
            </w:r>
            <w:r>
              <w:t>Colubridae</w:t>
            </w:r>
          </w:p>
        </w:tc>
        <w:tc>
          <w:tcPr>
            <w:tcW w:w="1948" w:type="dxa"/>
            <w:vAlign w:val="top"/>
          </w:tcPr>
          <w:p w14:paraId="5501D531">
            <w:pPr>
              <w:pStyle w:val="6"/>
              <w:spacing w:before="57" w:line="176" w:lineRule="auto"/>
              <w:ind w:left="918"/>
            </w:pPr>
            <w:r>
              <w:t>5</w:t>
            </w:r>
          </w:p>
        </w:tc>
        <w:tc>
          <w:tcPr>
            <w:tcW w:w="115" w:type="dxa"/>
            <w:tcBorders>
              <w:top w:val="nil"/>
              <w:bottom w:val="nil"/>
            </w:tcBorders>
            <w:vAlign w:val="top"/>
          </w:tcPr>
          <w:p w14:paraId="358C0A2D">
            <w:pPr>
              <w:rPr>
                <w:rFonts w:ascii="Arial"/>
                <w:sz w:val="21"/>
              </w:rPr>
            </w:pPr>
          </w:p>
        </w:tc>
      </w:tr>
      <w:tr w14:paraId="65744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84" w:type="dxa"/>
            <w:vMerge w:val="continue"/>
            <w:tcBorders>
              <w:top w:val="nil"/>
              <w:bottom w:val="nil"/>
            </w:tcBorders>
            <w:vAlign w:val="top"/>
          </w:tcPr>
          <w:p w14:paraId="0B2BD1E6">
            <w:pPr>
              <w:rPr>
                <w:rFonts w:ascii="Arial"/>
                <w:sz w:val="21"/>
              </w:rPr>
            </w:pPr>
          </w:p>
        </w:tc>
        <w:tc>
          <w:tcPr>
            <w:tcW w:w="120" w:type="dxa"/>
            <w:tcBorders>
              <w:top w:val="nil"/>
            </w:tcBorders>
            <w:vAlign w:val="top"/>
          </w:tcPr>
          <w:p w14:paraId="575E1389">
            <w:pPr>
              <w:rPr>
                <w:rFonts w:ascii="Arial"/>
                <w:sz w:val="21"/>
              </w:rPr>
            </w:pPr>
          </w:p>
        </w:tc>
        <w:tc>
          <w:tcPr>
            <w:tcW w:w="2198" w:type="dxa"/>
            <w:vMerge w:val="continue"/>
            <w:tcBorders>
              <w:top w:val="nil"/>
            </w:tcBorders>
            <w:vAlign w:val="top"/>
          </w:tcPr>
          <w:p w14:paraId="351392B1">
            <w:pPr>
              <w:rPr>
                <w:rFonts w:ascii="Arial"/>
                <w:sz w:val="21"/>
              </w:rPr>
            </w:pPr>
          </w:p>
        </w:tc>
        <w:tc>
          <w:tcPr>
            <w:tcW w:w="4355" w:type="dxa"/>
            <w:vAlign w:val="top"/>
          </w:tcPr>
          <w:p w14:paraId="46EC7DC8">
            <w:pPr>
              <w:pStyle w:val="6"/>
              <w:spacing w:before="31" w:line="200" w:lineRule="auto"/>
              <w:ind w:left="1453"/>
            </w:pPr>
            <w:r>
              <w:rPr>
                <w:spacing w:val="6"/>
              </w:rPr>
              <w:t>蜂科</w:t>
            </w:r>
            <w:r>
              <w:t>Viperidae</w:t>
            </w:r>
          </w:p>
        </w:tc>
        <w:tc>
          <w:tcPr>
            <w:tcW w:w="1948" w:type="dxa"/>
            <w:vAlign w:val="top"/>
          </w:tcPr>
          <w:p w14:paraId="392514C8">
            <w:pPr>
              <w:pStyle w:val="6"/>
              <w:spacing w:before="60" w:line="176" w:lineRule="auto"/>
              <w:ind w:left="918"/>
            </w:pPr>
            <w:r>
              <w:t>2</w:t>
            </w:r>
          </w:p>
        </w:tc>
        <w:tc>
          <w:tcPr>
            <w:tcW w:w="115" w:type="dxa"/>
            <w:tcBorders>
              <w:top w:val="nil"/>
            </w:tcBorders>
            <w:vAlign w:val="top"/>
          </w:tcPr>
          <w:p w14:paraId="0C819053">
            <w:pPr>
              <w:rPr>
                <w:rFonts w:ascii="Arial"/>
                <w:sz w:val="21"/>
              </w:rPr>
            </w:pPr>
          </w:p>
        </w:tc>
      </w:tr>
      <w:tr w14:paraId="5DA5B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84" w:type="dxa"/>
            <w:vMerge w:val="continue"/>
            <w:tcBorders>
              <w:top w:val="nil"/>
            </w:tcBorders>
            <w:vAlign w:val="top"/>
          </w:tcPr>
          <w:p w14:paraId="2AF4B4C2">
            <w:pPr>
              <w:rPr>
                <w:rFonts w:ascii="Arial"/>
                <w:sz w:val="21"/>
              </w:rPr>
            </w:pPr>
          </w:p>
        </w:tc>
        <w:tc>
          <w:tcPr>
            <w:tcW w:w="8736" w:type="dxa"/>
            <w:gridSpan w:val="5"/>
            <w:vAlign w:val="top"/>
          </w:tcPr>
          <w:p w14:paraId="171A1CC0">
            <w:pPr>
              <w:pStyle w:val="6"/>
              <w:spacing w:before="54" w:line="218" w:lineRule="auto"/>
              <w:ind w:left="714"/>
            </w:pPr>
            <w:r>
              <w:rPr>
                <w:b/>
                <w:bCs/>
                <w:spacing w:val="-19"/>
              </w:rPr>
              <w:t>(</w:t>
            </w:r>
            <w:r>
              <w:rPr>
                <w:spacing w:val="-27"/>
              </w:rPr>
              <w:t xml:space="preserve"> </w:t>
            </w:r>
            <w:r>
              <w:rPr>
                <w:b/>
                <w:bCs/>
                <w:spacing w:val="-19"/>
              </w:rPr>
              <w:t>3</w:t>
            </w:r>
            <w:r>
              <w:rPr>
                <w:spacing w:val="-31"/>
              </w:rPr>
              <w:t xml:space="preserve"> </w:t>
            </w:r>
            <w:r>
              <w:rPr>
                <w:b/>
                <w:bCs/>
                <w:spacing w:val="-19"/>
              </w:rPr>
              <w:t>)</w:t>
            </w:r>
            <w:r>
              <w:rPr>
                <w:spacing w:val="-27"/>
              </w:rPr>
              <w:t xml:space="preserve"> </w:t>
            </w:r>
            <w:r>
              <w:rPr>
                <w:b/>
                <w:bCs/>
                <w:spacing w:val="-19"/>
              </w:rPr>
              <w:t>鸟</w:t>
            </w:r>
            <w:r>
              <w:rPr>
                <w:spacing w:val="-31"/>
              </w:rPr>
              <w:t xml:space="preserve"> </w:t>
            </w:r>
            <w:r>
              <w:rPr>
                <w:b/>
                <w:bCs/>
                <w:spacing w:val="-19"/>
              </w:rPr>
              <w:t>类</w:t>
            </w:r>
          </w:p>
        </w:tc>
      </w:tr>
    </w:tbl>
    <w:p w14:paraId="4C1D9015">
      <w:pPr>
        <w:spacing w:before="181" w:line="356" w:lineRule="auto"/>
        <w:ind w:left="785" w:right="49" w:firstLine="479"/>
        <w:jc w:val="both"/>
        <w:rPr>
          <w:rFonts w:ascii="宋体" w:hAnsi="宋体" w:eastAsia="宋体" w:cs="宋体"/>
          <w:sz w:val="24"/>
          <w:szCs w:val="24"/>
        </w:rPr>
      </w:pPr>
      <w:r>
        <w:rPr>
          <w:rFonts w:ascii="宋体" w:hAnsi="宋体" w:eastAsia="宋体" w:cs="宋体"/>
          <w:spacing w:val="10"/>
          <w:sz w:val="24"/>
          <w:szCs w:val="24"/>
        </w:rPr>
        <w:t>调查表明评价区及周边分布有鸟类59种，隶属于8目、23科、46属(云南鸟</w:t>
      </w:r>
      <w:r>
        <w:rPr>
          <w:rFonts w:ascii="宋体" w:hAnsi="宋体" w:eastAsia="宋体" w:cs="宋体"/>
          <w:spacing w:val="9"/>
          <w:sz w:val="24"/>
          <w:szCs w:val="24"/>
        </w:rPr>
        <w:t xml:space="preserve"> </w:t>
      </w:r>
      <w:r>
        <w:rPr>
          <w:rFonts w:ascii="宋体" w:hAnsi="宋体" w:eastAsia="宋体" w:cs="宋体"/>
          <w:spacing w:val="4"/>
          <w:sz w:val="24"/>
          <w:szCs w:val="24"/>
        </w:rPr>
        <w:t>类志分类系统),见表3-10。评价区受到人为活动的影响，</w:t>
      </w:r>
      <w:r>
        <w:rPr>
          <w:rFonts w:ascii="宋体" w:hAnsi="宋体" w:eastAsia="宋体" w:cs="宋体"/>
          <w:spacing w:val="3"/>
          <w:sz w:val="24"/>
          <w:szCs w:val="24"/>
        </w:rPr>
        <w:t>评价区鸟类分布种类不</w:t>
      </w:r>
      <w:r>
        <w:rPr>
          <w:rFonts w:ascii="宋体" w:hAnsi="宋体" w:eastAsia="宋体" w:cs="宋体"/>
          <w:sz w:val="24"/>
          <w:szCs w:val="24"/>
        </w:rPr>
        <w:t xml:space="preserve"> </w:t>
      </w:r>
      <w:r>
        <w:rPr>
          <w:rFonts w:ascii="宋体" w:hAnsi="宋体" w:eastAsia="宋体" w:cs="宋体"/>
          <w:spacing w:val="-3"/>
          <w:sz w:val="24"/>
          <w:szCs w:val="24"/>
        </w:rPr>
        <w:t>多。实际调查中见到红隼、戴胜、白鹡鸰、黄臀鹎、</w:t>
      </w:r>
      <w:r>
        <w:rPr>
          <w:rFonts w:ascii="宋体" w:hAnsi="宋体" w:eastAsia="宋体" w:cs="宋体"/>
          <w:spacing w:val="-4"/>
          <w:sz w:val="24"/>
          <w:szCs w:val="24"/>
        </w:rPr>
        <w:t>黑卷尾、喜鹊、红尾水鸽、白</w:t>
      </w:r>
      <w:r>
        <w:rPr>
          <w:rFonts w:ascii="宋体" w:hAnsi="宋体" w:eastAsia="宋体" w:cs="宋体"/>
          <w:sz w:val="24"/>
          <w:szCs w:val="24"/>
        </w:rPr>
        <w:t xml:space="preserve"> </w:t>
      </w:r>
      <w:r>
        <w:rPr>
          <w:rFonts w:ascii="宋体" w:hAnsi="宋体" w:eastAsia="宋体" w:cs="宋体"/>
          <w:spacing w:val="-1"/>
          <w:sz w:val="24"/>
          <w:szCs w:val="24"/>
        </w:rPr>
        <w:t>颊噪鹏、黄腹柳莺、大山雀、树麻雀，其中红尾水够、白鹡</w:t>
      </w:r>
      <w:r>
        <w:rPr>
          <w:rFonts w:ascii="宋体" w:hAnsi="宋体" w:eastAsia="宋体" w:cs="宋体"/>
          <w:spacing w:val="-2"/>
          <w:sz w:val="24"/>
          <w:szCs w:val="24"/>
        </w:rPr>
        <w:t>鸰、黄臀鹎为优势种。</w:t>
      </w:r>
      <w:r>
        <w:rPr>
          <w:rFonts w:ascii="宋体" w:hAnsi="宋体" w:eastAsia="宋体" w:cs="宋体"/>
          <w:sz w:val="24"/>
          <w:szCs w:val="24"/>
        </w:rPr>
        <w:t xml:space="preserve"> </w:t>
      </w:r>
      <w:r>
        <w:rPr>
          <w:rFonts w:ascii="宋体" w:hAnsi="宋体" w:eastAsia="宋体" w:cs="宋体"/>
          <w:spacing w:val="-3"/>
          <w:sz w:val="24"/>
          <w:szCs w:val="24"/>
        </w:rPr>
        <w:t>红隼等猛禽由于其活动范围大，有可能在评价区内出现；鹡鸰类、鹎类、鹏类、鸫</w:t>
      </w:r>
      <w:r>
        <w:rPr>
          <w:rFonts w:ascii="宋体" w:hAnsi="宋体" w:eastAsia="宋体" w:cs="宋体"/>
          <w:spacing w:val="9"/>
          <w:sz w:val="24"/>
          <w:szCs w:val="24"/>
        </w:rPr>
        <w:t xml:space="preserve"> </w:t>
      </w:r>
      <w:r>
        <w:rPr>
          <w:rFonts w:ascii="宋体" w:hAnsi="宋体" w:eastAsia="宋体" w:cs="宋体"/>
          <w:spacing w:val="-4"/>
          <w:sz w:val="24"/>
          <w:szCs w:val="24"/>
        </w:rPr>
        <w:t>亚科等种类在评价区常见。</w:t>
      </w:r>
    </w:p>
    <w:p w14:paraId="6AE53383">
      <w:pPr>
        <w:spacing w:before="24" w:line="218" w:lineRule="auto"/>
        <w:ind w:left="3625"/>
        <w:rPr>
          <w:rFonts w:ascii="宋体" w:hAnsi="宋体" w:eastAsia="宋体" w:cs="宋体"/>
          <w:sz w:val="24"/>
          <w:szCs w:val="24"/>
        </w:rPr>
      </w:pPr>
      <w:r>
        <w:rPr>
          <w:rFonts w:ascii="宋体" w:hAnsi="宋体" w:eastAsia="宋体" w:cs="宋体"/>
          <w:spacing w:val="7"/>
          <w:sz w:val="24"/>
          <w:szCs w:val="24"/>
        </w:rPr>
        <w:t>表3-9环境影响评价区鸟类组成</w:t>
      </w:r>
    </w:p>
    <w:p w14:paraId="787DFB50">
      <w:pPr>
        <w:spacing w:line="153" w:lineRule="exact"/>
      </w:pPr>
    </w:p>
    <w:tbl>
      <w:tblPr>
        <w:tblStyle w:val="5"/>
        <w:tblW w:w="93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240"/>
        <w:gridCol w:w="3217"/>
        <w:gridCol w:w="1848"/>
        <w:gridCol w:w="2497"/>
        <w:gridCol w:w="679"/>
        <w:gridCol w:w="225"/>
      </w:tblGrid>
      <w:tr w14:paraId="0F019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684" w:type="dxa"/>
            <w:vMerge w:val="restart"/>
            <w:tcBorders>
              <w:bottom w:val="nil"/>
            </w:tcBorders>
            <w:vAlign w:val="top"/>
          </w:tcPr>
          <w:p w14:paraId="6E667D5A">
            <w:pPr>
              <w:rPr>
                <w:rFonts w:ascii="Arial"/>
                <w:sz w:val="21"/>
              </w:rPr>
            </w:pPr>
          </w:p>
        </w:tc>
        <w:tc>
          <w:tcPr>
            <w:tcW w:w="240" w:type="dxa"/>
            <w:vMerge w:val="restart"/>
            <w:tcBorders>
              <w:bottom w:val="nil"/>
            </w:tcBorders>
            <w:vAlign w:val="top"/>
          </w:tcPr>
          <w:p w14:paraId="487112D7">
            <w:pPr>
              <w:rPr>
                <w:rFonts w:ascii="Arial"/>
                <w:sz w:val="21"/>
              </w:rPr>
            </w:pPr>
          </w:p>
        </w:tc>
        <w:tc>
          <w:tcPr>
            <w:tcW w:w="3217" w:type="dxa"/>
            <w:vAlign w:val="top"/>
          </w:tcPr>
          <w:p w14:paraId="67561299">
            <w:pPr>
              <w:pStyle w:val="6"/>
              <w:spacing w:before="216" w:line="222" w:lineRule="auto"/>
              <w:ind w:left="1491"/>
              <w:rPr>
                <w:sz w:val="21"/>
                <w:szCs w:val="21"/>
              </w:rPr>
            </w:pPr>
            <w:r>
              <w:rPr>
                <w:sz w:val="21"/>
                <w:szCs w:val="21"/>
              </w:rPr>
              <w:t>目</w:t>
            </w:r>
          </w:p>
        </w:tc>
        <w:tc>
          <w:tcPr>
            <w:tcW w:w="4345" w:type="dxa"/>
            <w:gridSpan w:val="2"/>
            <w:vAlign w:val="top"/>
          </w:tcPr>
          <w:p w14:paraId="7467535E">
            <w:pPr>
              <w:pStyle w:val="6"/>
              <w:spacing w:before="212" w:line="219" w:lineRule="auto"/>
              <w:ind w:left="2064"/>
              <w:rPr>
                <w:sz w:val="21"/>
                <w:szCs w:val="21"/>
              </w:rPr>
            </w:pPr>
            <w:r>
              <w:rPr>
                <w:sz w:val="21"/>
                <w:szCs w:val="21"/>
              </w:rPr>
              <w:t>科</w:t>
            </w:r>
          </w:p>
        </w:tc>
        <w:tc>
          <w:tcPr>
            <w:tcW w:w="679" w:type="dxa"/>
            <w:vAlign w:val="top"/>
          </w:tcPr>
          <w:p w14:paraId="124183EF">
            <w:pPr>
              <w:pStyle w:val="6"/>
              <w:spacing w:before="213" w:line="219" w:lineRule="auto"/>
              <w:ind w:left="129"/>
              <w:rPr>
                <w:sz w:val="21"/>
                <w:szCs w:val="21"/>
              </w:rPr>
            </w:pPr>
            <w:r>
              <w:rPr>
                <w:spacing w:val="-3"/>
                <w:sz w:val="21"/>
                <w:szCs w:val="21"/>
              </w:rPr>
              <w:t>种数</w:t>
            </w:r>
          </w:p>
        </w:tc>
        <w:tc>
          <w:tcPr>
            <w:tcW w:w="225" w:type="dxa"/>
            <w:vMerge w:val="restart"/>
            <w:tcBorders>
              <w:bottom w:val="nil"/>
            </w:tcBorders>
            <w:vAlign w:val="top"/>
          </w:tcPr>
          <w:p w14:paraId="4697E078">
            <w:pPr>
              <w:rPr>
                <w:rFonts w:ascii="Arial"/>
                <w:sz w:val="21"/>
              </w:rPr>
            </w:pPr>
          </w:p>
        </w:tc>
      </w:tr>
      <w:tr w14:paraId="7CAAA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84" w:type="dxa"/>
            <w:vMerge w:val="continue"/>
            <w:tcBorders>
              <w:top w:val="nil"/>
              <w:bottom w:val="nil"/>
            </w:tcBorders>
            <w:vAlign w:val="top"/>
          </w:tcPr>
          <w:p w14:paraId="300F2A94">
            <w:pPr>
              <w:rPr>
                <w:rFonts w:ascii="Arial"/>
                <w:sz w:val="21"/>
              </w:rPr>
            </w:pPr>
          </w:p>
        </w:tc>
        <w:tc>
          <w:tcPr>
            <w:tcW w:w="240" w:type="dxa"/>
            <w:vMerge w:val="continue"/>
            <w:tcBorders>
              <w:top w:val="nil"/>
              <w:bottom w:val="nil"/>
            </w:tcBorders>
            <w:vAlign w:val="top"/>
          </w:tcPr>
          <w:p w14:paraId="62670ED6">
            <w:pPr>
              <w:rPr>
                <w:rFonts w:ascii="Arial"/>
                <w:sz w:val="21"/>
              </w:rPr>
            </w:pPr>
          </w:p>
        </w:tc>
        <w:tc>
          <w:tcPr>
            <w:tcW w:w="3217" w:type="dxa"/>
            <w:vMerge w:val="restart"/>
            <w:tcBorders>
              <w:bottom w:val="nil"/>
            </w:tcBorders>
            <w:vAlign w:val="top"/>
          </w:tcPr>
          <w:p w14:paraId="3ECB206B">
            <w:pPr>
              <w:pStyle w:val="6"/>
              <w:spacing w:before="198" w:line="219" w:lineRule="auto"/>
              <w:ind w:left="381"/>
              <w:rPr>
                <w:sz w:val="21"/>
                <w:szCs w:val="21"/>
              </w:rPr>
            </w:pPr>
            <w:r>
              <w:rPr>
                <w:spacing w:val="28"/>
                <w:sz w:val="21"/>
                <w:szCs w:val="21"/>
              </w:rPr>
              <w:t>隼形目FALCONIFORMES</w:t>
            </w:r>
          </w:p>
        </w:tc>
        <w:tc>
          <w:tcPr>
            <w:tcW w:w="4345" w:type="dxa"/>
            <w:gridSpan w:val="2"/>
            <w:vAlign w:val="top"/>
          </w:tcPr>
          <w:p w14:paraId="57DA71A0">
            <w:pPr>
              <w:pStyle w:val="6"/>
              <w:spacing w:before="34" w:line="214" w:lineRule="auto"/>
              <w:ind w:left="1324"/>
              <w:rPr>
                <w:sz w:val="21"/>
                <w:szCs w:val="21"/>
              </w:rPr>
            </w:pPr>
            <w:r>
              <w:rPr>
                <w:spacing w:val="6"/>
                <w:sz w:val="21"/>
                <w:szCs w:val="21"/>
              </w:rPr>
              <w:t>鹰科</w:t>
            </w:r>
            <w:r>
              <w:rPr>
                <w:sz w:val="21"/>
                <w:szCs w:val="21"/>
              </w:rPr>
              <w:t>Accipitridae</w:t>
            </w:r>
          </w:p>
        </w:tc>
        <w:tc>
          <w:tcPr>
            <w:tcW w:w="679" w:type="dxa"/>
            <w:vAlign w:val="top"/>
          </w:tcPr>
          <w:p w14:paraId="38ED7A65">
            <w:pPr>
              <w:pStyle w:val="6"/>
              <w:spacing w:before="60" w:line="192" w:lineRule="auto"/>
              <w:ind w:left="279"/>
              <w:rPr>
                <w:sz w:val="21"/>
                <w:szCs w:val="21"/>
              </w:rPr>
            </w:pPr>
            <w:r>
              <w:rPr>
                <w:sz w:val="21"/>
                <w:szCs w:val="21"/>
              </w:rPr>
              <w:t>2</w:t>
            </w:r>
          </w:p>
        </w:tc>
        <w:tc>
          <w:tcPr>
            <w:tcW w:w="225" w:type="dxa"/>
            <w:vMerge w:val="continue"/>
            <w:tcBorders>
              <w:top w:val="nil"/>
              <w:bottom w:val="nil"/>
            </w:tcBorders>
            <w:vAlign w:val="top"/>
          </w:tcPr>
          <w:p w14:paraId="5F3A71ED">
            <w:pPr>
              <w:rPr>
                <w:rFonts w:ascii="Arial"/>
                <w:sz w:val="21"/>
              </w:rPr>
            </w:pPr>
          </w:p>
        </w:tc>
      </w:tr>
      <w:tr w14:paraId="6F4E4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84" w:type="dxa"/>
            <w:vMerge w:val="continue"/>
            <w:tcBorders>
              <w:top w:val="nil"/>
              <w:bottom w:val="nil"/>
            </w:tcBorders>
            <w:vAlign w:val="top"/>
          </w:tcPr>
          <w:p w14:paraId="32060D65">
            <w:pPr>
              <w:rPr>
                <w:rFonts w:ascii="Arial"/>
                <w:sz w:val="21"/>
              </w:rPr>
            </w:pPr>
          </w:p>
        </w:tc>
        <w:tc>
          <w:tcPr>
            <w:tcW w:w="240" w:type="dxa"/>
            <w:vMerge w:val="continue"/>
            <w:tcBorders>
              <w:top w:val="nil"/>
              <w:bottom w:val="nil"/>
            </w:tcBorders>
            <w:vAlign w:val="top"/>
          </w:tcPr>
          <w:p w14:paraId="47256606">
            <w:pPr>
              <w:rPr>
                <w:rFonts w:ascii="Arial"/>
                <w:sz w:val="21"/>
              </w:rPr>
            </w:pPr>
          </w:p>
        </w:tc>
        <w:tc>
          <w:tcPr>
            <w:tcW w:w="3217" w:type="dxa"/>
            <w:vMerge w:val="continue"/>
            <w:tcBorders>
              <w:top w:val="nil"/>
            </w:tcBorders>
            <w:vAlign w:val="top"/>
          </w:tcPr>
          <w:p w14:paraId="6410339C">
            <w:pPr>
              <w:rPr>
                <w:rFonts w:ascii="Arial"/>
                <w:sz w:val="21"/>
              </w:rPr>
            </w:pPr>
          </w:p>
        </w:tc>
        <w:tc>
          <w:tcPr>
            <w:tcW w:w="4345" w:type="dxa"/>
            <w:gridSpan w:val="2"/>
            <w:vAlign w:val="top"/>
          </w:tcPr>
          <w:p w14:paraId="2348BF44">
            <w:pPr>
              <w:pStyle w:val="6"/>
              <w:spacing w:before="49" w:line="211" w:lineRule="auto"/>
              <w:ind w:left="1434"/>
              <w:rPr>
                <w:sz w:val="21"/>
                <w:szCs w:val="21"/>
              </w:rPr>
            </w:pPr>
            <w:r>
              <w:rPr>
                <w:spacing w:val="6"/>
                <w:sz w:val="21"/>
                <w:szCs w:val="21"/>
              </w:rPr>
              <w:t>隼科</w:t>
            </w:r>
            <w:r>
              <w:rPr>
                <w:sz w:val="21"/>
                <w:szCs w:val="21"/>
              </w:rPr>
              <w:t>Falconidae</w:t>
            </w:r>
          </w:p>
        </w:tc>
        <w:tc>
          <w:tcPr>
            <w:tcW w:w="679" w:type="dxa"/>
            <w:vAlign w:val="top"/>
          </w:tcPr>
          <w:p w14:paraId="1DB1D5C0">
            <w:pPr>
              <w:pStyle w:val="6"/>
              <w:spacing w:before="71" w:line="192" w:lineRule="auto"/>
              <w:ind w:left="279"/>
              <w:rPr>
                <w:sz w:val="21"/>
                <w:szCs w:val="21"/>
              </w:rPr>
            </w:pPr>
            <w:r>
              <w:rPr>
                <w:sz w:val="21"/>
                <w:szCs w:val="21"/>
              </w:rPr>
              <w:t>1</w:t>
            </w:r>
          </w:p>
        </w:tc>
        <w:tc>
          <w:tcPr>
            <w:tcW w:w="225" w:type="dxa"/>
            <w:vMerge w:val="continue"/>
            <w:tcBorders>
              <w:top w:val="nil"/>
              <w:bottom w:val="nil"/>
            </w:tcBorders>
            <w:vAlign w:val="top"/>
          </w:tcPr>
          <w:p w14:paraId="6A7A62FD">
            <w:pPr>
              <w:rPr>
                <w:rFonts w:ascii="Arial"/>
                <w:sz w:val="21"/>
              </w:rPr>
            </w:pPr>
          </w:p>
        </w:tc>
      </w:tr>
      <w:tr w14:paraId="7F21E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84" w:type="dxa"/>
            <w:vMerge w:val="continue"/>
            <w:tcBorders>
              <w:top w:val="nil"/>
              <w:bottom w:val="nil"/>
            </w:tcBorders>
            <w:vAlign w:val="top"/>
          </w:tcPr>
          <w:p w14:paraId="7310885A">
            <w:pPr>
              <w:rPr>
                <w:rFonts w:ascii="Arial"/>
                <w:sz w:val="21"/>
              </w:rPr>
            </w:pPr>
          </w:p>
        </w:tc>
        <w:tc>
          <w:tcPr>
            <w:tcW w:w="240" w:type="dxa"/>
            <w:vMerge w:val="continue"/>
            <w:tcBorders>
              <w:top w:val="nil"/>
              <w:bottom w:val="nil"/>
            </w:tcBorders>
            <w:vAlign w:val="top"/>
          </w:tcPr>
          <w:p w14:paraId="20BE7FE4">
            <w:pPr>
              <w:rPr>
                <w:rFonts w:ascii="Arial"/>
                <w:sz w:val="21"/>
              </w:rPr>
            </w:pPr>
          </w:p>
        </w:tc>
        <w:tc>
          <w:tcPr>
            <w:tcW w:w="3217" w:type="dxa"/>
            <w:vAlign w:val="top"/>
          </w:tcPr>
          <w:p w14:paraId="1EF06926">
            <w:pPr>
              <w:pStyle w:val="6"/>
              <w:spacing w:before="52" w:line="217" w:lineRule="auto"/>
              <w:ind w:left="521"/>
              <w:rPr>
                <w:sz w:val="21"/>
                <w:szCs w:val="21"/>
              </w:rPr>
            </w:pPr>
            <w:r>
              <w:rPr>
                <w:spacing w:val="27"/>
                <w:sz w:val="21"/>
                <w:szCs w:val="21"/>
              </w:rPr>
              <w:t>鸡形目GALLIFORMES</w:t>
            </w:r>
          </w:p>
        </w:tc>
        <w:tc>
          <w:tcPr>
            <w:tcW w:w="4345" w:type="dxa"/>
            <w:gridSpan w:val="2"/>
            <w:vAlign w:val="top"/>
          </w:tcPr>
          <w:p w14:paraId="0D30DB1A">
            <w:pPr>
              <w:pStyle w:val="6"/>
              <w:spacing w:before="49" w:line="219" w:lineRule="auto"/>
              <w:ind w:left="1374"/>
              <w:rPr>
                <w:sz w:val="21"/>
                <w:szCs w:val="21"/>
              </w:rPr>
            </w:pPr>
            <w:r>
              <w:rPr>
                <w:spacing w:val="8"/>
                <w:sz w:val="21"/>
                <w:szCs w:val="21"/>
              </w:rPr>
              <w:t>雉科</w:t>
            </w:r>
            <w:r>
              <w:rPr>
                <w:sz w:val="21"/>
                <w:szCs w:val="21"/>
              </w:rPr>
              <w:t>Phasianidae</w:t>
            </w:r>
          </w:p>
        </w:tc>
        <w:tc>
          <w:tcPr>
            <w:tcW w:w="679" w:type="dxa"/>
            <w:vAlign w:val="top"/>
          </w:tcPr>
          <w:p w14:paraId="4D2CA009">
            <w:pPr>
              <w:pStyle w:val="6"/>
              <w:spacing w:before="71" w:line="200" w:lineRule="auto"/>
              <w:ind w:left="279"/>
              <w:rPr>
                <w:sz w:val="21"/>
                <w:szCs w:val="21"/>
              </w:rPr>
            </w:pPr>
            <w:r>
              <w:rPr>
                <w:sz w:val="21"/>
                <w:szCs w:val="21"/>
              </w:rPr>
              <w:t>2</w:t>
            </w:r>
          </w:p>
        </w:tc>
        <w:tc>
          <w:tcPr>
            <w:tcW w:w="225" w:type="dxa"/>
            <w:vMerge w:val="continue"/>
            <w:tcBorders>
              <w:top w:val="nil"/>
              <w:bottom w:val="nil"/>
            </w:tcBorders>
            <w:vAlign w:val="top"/>
          </w:tcPr>
          <w:p w14:paraId="6DF2F4C5">
            <w:pPr>
              <w:rPr>
                <w:rFonts w:ascii="Arial"/>
                <w:sz w:val="21"/>
              </w:rPr>
            </w:pPr>
          </w:p>
        </w:tc>
      </w:tr>
      <w:tr w14:paraId="0FBEC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84" w:type="dxa"/>
            <w:vMerge w:val="continue"/>
            <w:tcBorders>
              <w:top w:val="nil"/>
              <w:bottom w:val="nil"/>
            </w:tcBorders>
            <w:vAlign w:val="top"/>
          </w:tcPr>
          <w:p w14:paraId="62121743">
            <w:pPr>
              <w:rPr>
                <w:rFonts w:ascii="Arial"/>
                <w:sz w:val="21"/>
              </w:rPr>
            </w:pPr>
          </w:p>
        </w:tc>
        <w:tc>
          <w:tcPr>
            <w:tcW w:w="240" w:type="dxa"/>
            <w:vMerge w:val="continue"/>
            <w:tcBorders>
              <w:top w:val="nil"/>
              <w:bottom w:val="nil"/>
            </w:tcBorders>
            <w:vAlign w:val="top"/>
          </w:tcPr>
          <w:p w14:paraId="4E0E2EF7">
            <w:pPr>
              <w:rPr>
                <w:rFonts w:ascii="Arial"/>
                <w:sz w:val="21"/>
              </w:rPr>
            </w:pPr>
          </w:p>
        </w:tc>
        <w:tc>
          <w:tcPr>
            <w:tcW w:w="3217" w:type="dxa"/>
            <w:vAlign w:val="top"/>
          </w:tcPr>
          <w:p w14:paraId="456CE827">
            <w:pPr>
              <w:pStyle w:val="6"/>
              <w:spacing w:before="41" w:line="210" w:lineRule="auto"/>
              <w:ind w:left="351"/>
              <w:rPr>
                <w:sz w:val="21"/>
                <w:szCs w:val="21"/>
              </w:rPr>
            </w:pPr>
            <w:r>
              <w:rPr>
                <w:spacing w:val="18"/>
                <w:w w:val="111"/>
                <w:sz w:val="21"/>
                <w:szCs w:val="21"/>
              </w:rPr>
              <w:t>鸽形目COLUMBIFORMES</w:t>
            </w:r>
          </w:p>
        </w:tc>
        <w:tc>
          <w:tcPr>
            <w:tcW w:w="4345" w:type="dxa"/>
            <w:gridSpan w:val="2"/>
            <w:vAlign w:val="top"/>
          </w:tcPr>
          <w:p w14:paraId="4DA9C23F">
            <w:pPr>
              <w:pStyle w:val="6"/>
              <w:spacing w:before="41" w:line="210" w:lineRule="auto"/>
              <w:ind w:left="1324"/>
              <w:rPr>
                <w:sz w:val="21"/>
                <w:szCs w:val="21"/>
              </w:rPr>
            </w:pPr>
            <w:r>
              <w:rPr>
                <w:spacing w:val="4"/>
                <w:sz w:val="21"/>
                <w:szCs w:val="21"/>
              </w:rPr>
              <w:t>鸠鸽科</w:t>
            </w:r>
            <w:r>
              <w:rPr>
                <w:sz w:val="21"/>
                <w:szCs w:val="21"/>
              </w:rPr>
              <w:t>Columbidae</w:t>
            </w:r>
          </w:p>
        </w:tc>
        <w:tc>
          <w:tcPr>
            <w:tcW w:w="679" w:type="dxa"/>
            <w:vAlign w:val="top"/>
          </w:tcPr>
          <w:p w14:paraId="16DEBB0F">
            <w:pPr>
              <w:pStyle w:val="6"/>
              <w:spacing w:before="62" w:line="191" w:lineRule="auto"/>
              <w:ind w:left="279"/>
              <w:rPr>
                <w:sz w:val="21"/>
                <w:szCs w:val="21"/>
              </w:rPr>
            </w:pPr>
            <w:r>
              <w:rPr>
                <w:sz w:val="21"/>
                <w:szCs w:val="21"/>
              </w:rPr>
              <w:t>2</w:t>
            </w:r>
          </w:p>
        </w:tc>
        <w:tc>
          <w:tcPr>
            <w:tcW w:w="225" w:type="dxa"/>
            <w:vMerge w:val="continue"/>
            <w:tcBorders>
              <w:top w:val="nil"/>
              <w:bottom w:val="nil"/>
            </w:tcBorders>
            <w:vAlign w:val="top"/>
          </w:tcPr>
          <w:p w14:paraId="5F791321">
            <w:pPr>
              <w:rPr>
                <w:rFonts w:ascii="Arial"/>
                <w:sz w:val="21"/>
              </w:rPr>
            </w:pPr>
          </w:p>
        </w:tc>
      </w:tr>
      <w:tr w14:paraId="4448D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84" w:type="dxa"/>
            <w:vMerge w:val="continue"/>
            <w:tcBorders>
              <w:top w:val="nil"/>
              <w:bottom w:val="nil"/>
            </w:tcBorders>
            <w:vAlign w:val="top"/>
          </w:tcPr>
          <w:p w14:paraId="2032984D">
            <w:pPr>
              <w:rPr>
                <w:rFonts w:ascii="Arial"/>
                <w:sz w:val="21"/>
              </w:rPr>
            </w:pPr>
          </w:p>
        </w:tc>
        <w:tc>
          <w:tcPr>
            <w:tcW w:w="240" w:type="dxa"/>
            <w:vMerge w:val="continue"/>
            <w:tcBorders>
              <w:top w:val="nil"/>
              <w:bottom w:val="nil"/>
            </w:tcBorders>
            <w:vAlign w:val="top"/>
          </w:tcPr>
          <w:p w14:paraId="6B39EB63">
            <w:pPr>
              <w:rPr>
                <w:rFonts w:ascii="Arial"/>
                <w:sz w:val="21"/>
              </w:rPr>
            </w:pPr>
          </w:p>
        </w:tc>
        <w:tc>
          <w:tcPr>
            <w:tcW w:w="3217" w:type="dxa"/>
            <w:vAlign w:val="top"/>
          </w:tcPr>
          <w:p w14:paraId="17F4D216">
            <w:pPr>
              <w:pStyle w:val="6"/>
              <w:spacing w:before="51" w:line="210" w:lineRule="auto"/>
              <w:ind w:left="441"/>
              <w:rPr>
                <w:sz w:val="21"/>
                <w:szCs w:val="21"/>
              </w:rPr>
            </w:pPr>
            <w:r>
              <w:rPr>
                <w:spacing w:val="21"/>
                <w:sz w:val="21"/>
                <w:szCs w:val="21"/>
              </w:rPr>
              <w:t>鹃形目CU</w:t>
            </w:r>
            <w:r>
              <w:rPr>
                <w:spacing w:val="-56"/>
                <w:sz w:val="21"/>
                <w:szCs w:val="21"/>
              </w:rPr>
              <w:t xml:space="preserve"> </w:t>
            </w:r>
            <w:r>
              <w:rPr>
                <w:spacing w:val="21"/>
                <w:sz w:val="21"/>
                <w:szCs w:val="21"/>
              </w:rPr>
              <w:t>CU</w:t>
            </w:r>
            <w:r>
              <w:rPr>
                <w:spacing w:val="-66"/>
                <w:sz w:val="21"/>
                <w:szCs w:val="21"/>
              </w:rPr>
              <w:t xml:space="preserve"> </w:t>
            </w:r>
            <w:r>
              <w:rPr>
                <w:spacing w:val="21"/>
                <w:sz w:val="21"/>
                <w:szCs w:val="21"/>
              </w:rPr>
              <w:t>LI</w:t>
            </w:r>
            <w:r>
              <w:rPr>
                <w:spacing w:val="-67"/>
                <w:sz w:val="21"/>
                <w:szCs w:val="21"/>
              </w:rPr>
              <w:t xml:space="preserve"> </w:t>
            </w:r>
            <w:r>
              <w:rPr>
                <w:spacing w:val="21"/>
                <w:sz w:val="21"/>
                <w:szCs w:val="21"/>
              </w:rPr>
              <w:t>FORMES</w:t>
            </w:r>
          </w:p>
        </w:tc>
        <w:tc>
          <w:tcPr>
            <w:tcW w:w="4345" w:type="dxa"/>
            <w:gridSpan w:val="2"/>
            <w:vAlign w:val="top"/>
          </w:tcPr>
          <w:p w14:paraId="12C96939">
            <w:pPr>
              <w:pStyle w:val="6"/>
              <w:spacing w:before="51" w:line="210" w:lineRule="auto"/>
              <w:ind w:left="1374"/>
              <w:rPr>
                <w:sz w:val="21"/>
                <w:szCs w:val="21"/>
              </w:rPr>
            </w:pPr>
            <w:r>
              <w:rPr>
                <w:spacing w:val="5"/>
                <w:sz w:val="21"/>
                <w:szCs w:val="21"/>
              </w:rPr>
              <w:t>杜鹃科</w:t>
            </w:r>
            <w:r>
              <w:rPr>
                <w:sz w:val="21"/>
                <w:szCs w:val="21"/>
              </w:rPr>
              <w:t>Cuculidae</w:t>
            </w:r>
          </w:p>
        </w:tc>
        <w:tc>
          <w:tcPr>
            <w:tcW w:w="679" w:type="dxa"/>
            <w:vAlign w:val="top"/>
          </w:tcPr>
          <w:p w14:paraId="5907A8AA">
            <w:pPr>
              <w:pStyle w:val="6"/>
              <w:spacing w:before="72" w:line="191" w:lineRule="auto"/>
              <w:ind w:left="279"/>
              <w:rPr>
                <w:sz w:val="21"/>
                <w:szCs w:val="21"/>
              </w:rPr>
            </w:pPr>
            <w:r>
              <w:rPr>
                <w:sz w:val="21"/>
                <w:szCs w:val="21"/>
              </w:rPr>
              <w:t>3</w:t>
            </w:r>
          </w:p>
        </w:tc>
        <w:tc>
          <w:tcPr>
            <w:tcW w:w="225" w:type="dxa"/>
            <w:vMerge w:val="continue"/>
            <w:tcBorders>
              <w:top w:val="nil"/>
              <w:bottom w:val="nil"/>
            </w:tcBorders>
            <w:vAlign w:val="top"/>
          </w:tcPr>
          <w:p w14:paraId="21E6CC80">
            <w:pPr>
              <w:rPr>
                <w:rFonts w:ascii="Arial"/>
                <w:sz w:val="21"/>
              </w:rPr>
            </w:pPr>
          </w:p>
        </w:tc>
      </w:tr>
      <w:tr w14:paraId="60336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84" w:type="dxa"/>
            <w:vMerge w:val="continue"/>
            <w:tcBorders>
              <w:top w:val="nil"/>
              <w:bottom w:val="nil"/>
            </w:tcBorders>
            <w:vAlign w:val="top"/>
          </w:tcPr>
          <w:p w14:paraId="70C047C5">
            <w:pPr>
              <w:rPr>
                <w:rFonts w:ascii="Arial"/>
                <w:sz w:val="21"/>
              </w:rPr>
            </w:pPr>
          </w:p>
        </w:tc>
        <w:tc>
          <w:tcPr>
            <w:tcW w:w="240" w:type="dxa"/>
            <w:vMerge w:val="continue"/>
            <w:tcBorders>
              <w:top w:val="nil"/>
              <w:bottom w:val="nil"/>
            </w:tcBorders>
            <w:vAlign w:val="top"/>
          </w:tcPr>
          <w:p w14:paraId="0947B69B">
            <w:pPr>
              <w:rPr>
                <w:rFonts w:ascii="Arial"/>
                <w:sz w:val="21"/>
              </w:rPr>
            </w:pPr>
          </w:p>
        </w:tc>
        <w:tc>
          <w:tcPr>
            <w:tcW w:w="3217" w:type="dxa"/>
            <w:vAlign w:val="top"/>
          </w:tcPr>
          <w:p w14:paraId="66BC59AA">
            <w:pPr>
              <w:pStyle w:val="6"/>
              <w:spacing w:before="51" w:line="218" w:lineRule="auto"/>
              <w:ind w:left="181"/>
              <w:rPr>
                <w:sz w:val="21"/>
                <w:szCs w:val="21"/>
              </w:rPr>
            </w:pPr>
            <w:r>
              <w:rPr>
                <w:spacing w:val="26"/>
                <w:sz w:val="21"/>
                <w:szCs w:val="21"/>
              </w:rPr>
              <w:t>夜鹰目CAPRIMUL</w:t>
            </w:r>
            <w:r>
              <w:rPr>
                <w:spacing w:val="-58"/>
                <w:sz w:val="21"/>
                <w:szCs w:val="21"/>
              </w:rPr>
              <w:t xml:space="preserve"> </w:t>
            </w:r>
            <w:r>
              <w:rPr>
                <w:spacing w:val="26"/>
                <w:sz w:val="21"/>
                <w:szCs w:val="21"/>
              </w:rPr>
              <w:t>GIFORMES</w:t>
            </w:r>
          </w:p>
        </w:tc>
        <w:tc>
          <w:tcPr>
            <w:tcW w:w="4345" w:type="dxa"/>
            <w:gridSpan w:val="2"/>
            <w:vAlign w:val="top"/>
          </w:tcPr>
          <w:p w14:paraId="20D873FA">
            <w:pPr>
              <w:pStyle w:val="6"/>
              <w:spacing w:before="44" w:line="214" w:lineRule="auto"/>
              <w:ind w:left="1164"/>
              <w:rPr>
                <w:sz w:val="21"/>
                <w:szCs w:val="21"/>
              </w:rPr>
            </w:pPr>
            <w:r>
              <w:rPr>
                <w:spacing w:val="5"/>
                <w:sz w:val="21"/>
                <w:szCs w:val="21"/>
              </w:rPr>
              <w:t>夜鹰科</w:t>
            </w:r>
            <w:r>
              <w:rPr>
                <w:sz w:val="21"/>
                <w:szCs w:val="21"/>
              </w:rPr>
              <w:t>Caprimulgidae</w:t>
            </w:r>
          </w:p>
        </w:tc>
        <w:tc>
          <w:tcPr>
            <w:tcW w:w="679" w:type="dxa"/>
            <w:vAlign w:val="top"/>
          </w:tcPr>
          <w:p w14:paraId="64B989C5">
            <w:pPr>
              <w:pStyle w:val="6"/>
              <w:spacing w:before="72" w:line="199" w:lineRule="auto"/>
              <w:ind w:left="279"/>
              <w:rPr>
                <w:sz w:val="21"/>
                <w:szCs w:val="21"/>
              </w:rPr>
            </w:pPr>
            <w:r>
              <w:rPr>
                <w:sz w:val="21"/>
                <w:szCs w:val="21"/>
              </w:rPr>
              <w:t>1</w:t>
            </w:r>
          </w:p>
        </w:tc>
        <w:tc>
          <w:tcPr>
            <w:tcW w:w="225" w:type="dxa"/>
            <w:vMerge w:val="continue"/>
            <w:tcBorders>
              <w:top w:val="nil"/>
              <w:bottom w:val="nil"/>
            </w:tcBorders>
            <w:vAlign w:val="top"/>
          </w:tcPr>
          <w:p w14:paraId="4FFAC13C">
            <w:pPr>
              <w:rPr>
                <w:rFonts w:ascii="Arial"/>
                <w:sz w:val="21"/>
              </w:rPr>
            </w:pPr>
          </w:p>
        </w:tc>
      </w:tr>
      <w:tr w14:paraId="18F30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84" w:type="dxa"/>
            <w:vMerge w:val="continue"/>
            <w:tcBorders>
              <w:top w:val="nil"/>
              <w:bottom w:val="nil"/>
            </w:tcBorders>
            <w:vAlign w:val="top"/>
          </w:tcPr>
          <w:p w14:paraId="37077B78">
            <w:pPr>
              <w:rPr>
                <w:rFonts w:ascii="Arial"/>
                <w:sz w:val="21"/>
              </w:rPr>
            </w:pPr>
          </w:p>
        </w:tc>
        <w:tc>
          <w:tcPr>
            <w:tcW w:w="240" w:type="dxa"/>
            <w:vMerge w:val="continue"/>
            <w:tcBorders>
              <w:top w:val="nil"/>
              <w:bottom w:val="nil"/>
            </w:tcBorders>
            <w:vAlign w:val="top"/>
          </w:tcPr>
          <w:p w14:paraId="34476C04">
            <w:pPr>
              <w:rPr>
                <w:rFonts w:ascii="Arial"/>
                <w:sz w:val="21"/>
              </w:rPr>
            </w:pPr>
          </w:p>
        </w:tc>
        <w:tc>
          <w:tcPr>
            <w:tcW w:w="3217" w:type="dxa"/>
            <w:vAlign w:val="top"/>
          </w:tcPr>
          <w:p w14:paraId="6EAB043A">
            <w:pPr>
              <w:pStyle w:val="6"/>
              <w:spacing w:before="42" w:line="209" w:lineRule="auto"/>
              <w:ind w:left="491"/>
              <w:rPr>
                <w:sz w:val="21"/>
                <w:szCs w:val="21"/>
              </w:rPr>
            </w:pPr>
            <w:r>
              <w:rPr>
                <w:spacing w:val="4"/>
                <w:sz w:val="21"/>
                <w:szCs w:val="21"/>
              </w:rPr>
              <w:t>佛法僧目</w:t>
            </w:r>
            <w:r>
              <w:rPr>
                <w:sz w:val="21"/>
                <w:szCs w:val="21"/>
              </w:rPr>
              <w:t>CORACIIFORMES</w:t>
            </w:r>
          </w:p>
        </w:tc>
        <w:tc>
          <w:tcPr>
            <w:tcW w:w="4345" w:type="dxa"/>
            <w:gridSpan w:val="2"/>
            <w:vAlign w:val="top"/>
          </w:tcPr>
          <w:p w14:paraId="6A52D128">
            <w:pPr>
              <w:pStyle w:val="6"/>
              <w:spacing w:before="36" w:line="214" w:lineRule="auto"/>
              <w:ind w:left="1434"/>
              <w:rPr>
                <w:sz w:val="21"/>
                <w:szCs w:val="21"/>
              </w:rPr>
            </w:pPr>
            <w:r>
              <w:rPr>
                <w:spacing w:val="4"/>
                <w:sz w:val="21"/>
                <w:szCs w:val="21"/>
              </w:rPr>
              <w:t>戴胜科</w:t>
            </w:r>
            <w:r>
              <w:rPr>
                <w:sz w:val="21"/>
                <w:szCs w:val="21"/>
              </w:rPr>
              <w:t>Upupidae</w:t>
            </w:r>
          </w:p>
        </w:tc>
        <w:tc>
          <w:tcPr>
            <w:tcW w:w="679" w:type="dxa"/>
            <w:vAlign w:val="top"/>
          </w:tcPr>
          <w:p w14:paraId="0321017D">
            <w:pPr>
              <w:pStyle w:val="6"/>
              <w:spacing w:before="63" w:line="190" w:lineRule="auto"/>
              <w:ind w:left="279"/>
              <w:rPr>
                <w:sz w:val="21"/>
                <w:szCs w:val="21"/>
              </w:rPr>
            </w:pPr>
            <w:r>
              <w:rPr>
                <w:sz w:val="21"/>
                <w:szCs w:val="21"/>
              </w:rPr>
              <w:t>1</w:t>
            </w:r>
          </w:p>
        </w:tc>
        <w:tc>
          <w:tcPr>
            <w:tcW w:w="225" w:type="dxa"/>
            <w:vMerge w:val="continue"/>
            <w:tcBorders>
              <w:top w:val="nil"/>
              <w:bottom w:val="nil"/>
            </w:tcBorders>
            <w:vAlign w:val="top"/>
          </w:tcPr>
          <w:p w14:paraId="3EB71854">
            <w:pPr>
              <w:rPr>
                <w:rFonts w:ascii="Arial"/>
                <w:sz w:val="21"/>
              </w:rPr>
            </w:pPr>
          </w:p>
        </w:tc>
      </w:tr>
      <w:tr w14:paraId="1E947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84" w:type="dxa"/>
            <w:vMerge w:val="continue"/>
            <w:tcBorders>
              <w:top w:val="nil"/>
              <w:bottom w:val="nil"/>
            </w:tcBorders>
            <w:vAlign w:val="top"/>
          </w:tcPr>
          <w:p w14:paraId="32F014AA">
            <w:pPr>
              <w:rPr>
                <w:rFonts w:ascii="Arial"/>
                <w:sz w:val="21"/>
              </w:rPr>
            </w:pPr>
          </w:p>
        </w:tc>
        <w:tc>
          <w:tcPr>
            <w:tcW w:w="240" w:type="dxa"/>
            <w:vMerge w:val="continue"/>
            <w:tcBorders>
              <w:top w:val="nil"/>
              <w:bottom w:val="nil"/>
            </w:tcBorders>
            <w:vAlign w:val="top"/>
          </w:tcPr>
          <w:p w14:paraId="32DEFCC3">
            <w:pPr>
              <w:rPr>
                <w:rFonts w:ascii="Arial"/>
                <w:sz w:val="21"/>
              </w:rPr>
            </w:pPr>
          </w:p>
        </w:tc>
        <w:tc>
          <w:tcPr>
            <w:tcW w:w="3217" w:type="dxa"/>
            <w:vAlign w:val="top"/>
          </w:tcPr>
          <w:p w14:paraId="681A5CFE">
            <w:pPr>
              <w:pStyle w:val="6"/>
              <w:spacing w:before="54" w:line="215" w:lineRule="auto"/>
              <w:ind w:left="761"/>
              <w:rPr>
                <w:sz w:val="21"/>
                <w:szCs w:val="21"/>
              </w:rPr>
            </w:pPr>
            <w:r>
              <w:rPr>
                <w:spacing w:val="4"/>
                <w:sz w:val="21"/>
                <w:szCs w:val="21"/>
              </w:rPr>
              <w:t>烈形目</w:t>
            </w:r>
            <w:r>
              <w:rPr>
                <w:sz w:val="21"/>
                <w:szCs w:val="21"/>
              </w:rPr>
              <w:t>PICIFORMES</w:t>
            </w:r>
          </w:p>
        </w:tc>
        <w:tc>
          <w:tcPr>
            <w:tcW w:w="4345" w:type="dxa"/>
            <w:gridSpan w:val="2"/>
            <w:vAlign w:val="top"/>
          </w:tcPr>
          <w:p w14:paraId="343E7130">
            <w:pPr>
              <w:pStyle w:val="6"/>
              <w:spacing w:before="52" w:line="217" w:lineRule="auto"/>
              <w:ind w:left="1374"/>
              <w:rPr>
                <w:sz w:val="21"/>
                <w:szCs w:val="21"/>
              </w:rPr>
            </w:pPr>
            <w:r>
              <w:rPr>
                <w:spacing w:val="4"/>
                <w:sz w:val="21"/>
                <w:szCs w:val="21"/>
              </w:rPr>
              <w:t>啄木鸟科</w:t>
            </w:r>
            <w:r>
              <w:rPr>
                <w:sz w:val="21"/>
                <w:szCs w:val="21"/>
              </w:rPr>
              <w:t>Picidae</w:t>
            </w:r>
          </w:p>
        </w:tc>
        <w:tc>
          <w:tcPr>
            <w:tcW w:w="679" w:type="dxa"/>
            <w:vAlign w:val="top"/>
          </w:tcPr>
          <w:p w14:paraId="6617A840">
            <w:pPr>
              <w:pStyle w:val="6"/>
              <w:spacing w:before="73" w:line="198" w:lineRule="auto"/>
              <w:ind w:left="279"/>
              <w:rPr>
                <w:sz w:val="21"/>
                <w:szCs w:val="21"/>
              </w:rPr>
            </w:pPr>
            <w:r>
              <w:rPr>
                <w:sz w:val="21"/>
                <w:szCs w:val="21"/>
              </w:rPr>
              <w:t>2</w:t>
            </w:r>
          </w:p>
        </w:tc>
        <w:tc>
          <w:tcPr>
            <w:tcW w:w="225" w:type="dxa"/>
            <w:vMerge w:val="continue"/>
            <w:tcBorders>
              <w:top w:val="nil"/>
              <w:bottom w:val="nil"/>
            </w:tcBorders>
            <w:vAlign w:val="top"/>
          </w:tcPr>
          <w:p w14:paraId="7FC01743">
            <w:pPr>
              <w:rPr>
                <w:rFonts w:ascii="Arial"/>
                <w:sz w:val="21"/>
              </w:rPr>
            </w:pPr>
          </w:p>
        </w:tc>
      </w:tr>
      <w:tr w14:paraId="07CE0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84" w:type="dxa"/>
            <w:vMerge w:val="continue"/>
            <w:tcBorders>
              <w:top w:val="nil"/>
              <w:bottom w:val="nil"/>
            </w:tcBorders>
            <w:vAlign w:val="top"/>
          </w:tcPr>
          <w:p w14:paraId="6BA90055">
            <w:pPr>
              <w:rPr>
                <w:rFonts w:ascii="Arial"/>
                <w:sz w:val="21"/>
              </w:rPr>
            </w:pPr>
          </w:p>
        </w:tc>
        <w:tc>
          <w:tcPr>
            <w:tcW w:w="240" w:type="dxa"/>
            <w:vMerge w:val="continue"/>
            <w:tcBorders>
              <w:top w:val="nil"/>
              <w:bottom w:val="nil"/>
            </w:tcBorders>
            <w:vAlign w:val="top"/>
          </w:tcPr>
          <w:p w14:paraId="13E4BF93">
            <w:pPr>
              <w:rPr>
                <w:rFonts w:ascii="Arial"/>
                <w:sz w:val="21"/>
              </w:rPr>
            </w:pPr>
          </w:p>
        </w:tc>
        <w:tc>
          <w:tcPr>
            <w:tcW w:w="3217" w:type="dxa"/>
            <w:vMerge w:val="restart"/>
            <w:tcBorders>
              <w:bottom w:val="nil"/>
            </w:tcBorders>
            <w:vAlign w:val="top"/>
          </w:tcPr>
          <w:p w14:paraId="41F74DC8">
            <w:pPr>
              <w:spacing w:line="245" w:lineRule="auto"/>
              <w:rPr>
                <w:rFonts w:ascii="Arial"/>
                <w:sz w:val="21"/>
              </w:rPr>
            </w:pPr>
          </w:p>
          <w:p w14:paraId="5AF9264A">
            <w:pPr>
              <w:spacing w:line="245" w:lineRule="auto"/>
              <w:rPr>
                <w:rFonts w:ascii="Arial"/>
                <w:sz w:val="21"/>
              </w:rPr>
            </w:pPr>
          </w:p>
          <w:p w14:paraId="1991DC32">
            <w:pPr>
              <w:spacing w:line="245" w:lineRule="auto"/>
              <w:rPr>
                <w:rFonts w:ascii="Arial"/>
                <w:sz w:val="21"/>
              </w:rPr>
            </w:pPr>
          </w:p>
          <w:p w14:paraId="5601F583">
            <w:pPr>
              <w:spacing w:line="245" w:lineRule="auto"/>
              <w:rPr>
                <w:rFonts w:ascii="Arial"/>
                <w:sz w:val="21"/>
              </w:rPr>
            </w:pPr>
          </w:p>
          <w:p w14:paraId="48FC971C">
            <w:pPr>
              <w:spacing w:line="245" w:lineRule="auto"/>
              <w:rPr>
                <w:rFonts w:ascii="Arial"/>
                <w:sz w:val="21"/>
              </w:rPr>
            </w:pPr>
          </w:p>
          <w:p w14:paraId="5DEEE772">
            <w:pPr>
              <w:spacing w:line="245" w:lineRule="auto"/>
              <w:rPr>
                <w:rFonts w:ascii="Arial"/>
                <w:sz w:val="21"/>
              </w:rPr>
            </w:pPr>
          </w:p>
          <w:p w14:paraId="022A6887">
            <w:pPr>
              <w:spacing w:line="245" w:lineRule="auto"/>
              <w:rPr>
                <w:rFonts w:ascii="Arial"/>
                <w:sz w:val="21"/>
              </w:rPr>
            </w:pPr>
          </w:p>
          <w:p w14:paraId="6B39EC35">
            <w:pPr>
              <w:spacing w:line="245" w:lineRule="auto"/>
              <w:rPr>
                <w:rFonts w:ascii="Arial"/>
                <w:sz w:val="21"/>
              </w:rPr>
            </w:pPr>
          </w:p>
          <w:p w14:paraId="56E557E3">
            <w:pPr>
              <w:spacing w:line="245" w:lineRule="auto"/>
              <w:rPr>
                <w:rFonts w:ascii="Arial"/>
                <w:sz w:val="21"/>
              </w:rPr>
            </w:pPr>
          </w:p>
          <w:p w14:paraId="74E9FD46">
            <w:pPr>
              <w:spacing w:line="245" w:lineRule="auto"/>
              <w:rPr>
                <w:rFonts w:ascii="Arial"/>
                <w:sz w:val="21"/>
              </w:rPr>
            </w:pPr>
          </w:p>
          <w:p w14:paraId="6B10AF4C">
            <w:pPr>
              <w:pStyle w:val="6"/>
              <w:spacing w:before="69" w:line="220" w:lineRule="auto"/>
              <w:ind w:left="601"/>
              <w:rPr>
                <w:sz w:val="21"/>
                <w:szCs w:val="21"/>
              </w:rPr>
            </w:pPr>
            <w:r>
              <w:rPr>
                <w:spacing w:val="-1"/>
                <w:sz w:val="21"/>
                <w:szCs w:val="21"/>
              </w:rPr>
              <w:t>雀形目PASSERIFORMES</w:t>
            </w:r>
          </w:p>
        </w:tc>
        <w:tc>
          <w:tcPr>
            <w:tcW w:w="4345" w:type="dxa"/>
            <w:gridSpan w:val="2"/>
            <w:vAlign w:val="top"/>
          </w:tcPr>
          <w:p w14:paraId="1B5F66F0">
            <w:pPr>
              <w:pStyle w:val="6"/>
              <w:spacing w:before="52" w:line="209" w:lineRule="auto"/>
              <w:ind w:left="1374"/>
              <w:rPr>
                <w:sz w:val="21"/>
                <w:szCs w:val="21"/>
              </w:rPr>
            </w:pPr>
            <w:r>
              <w:rPr>
                <w:spacing w:val="5"/>
                <w:sz w:val="21"/>
                <w:szCs w:val="21"/>
              </w:rPr>
              <w:t>百灵科</w:t>
            </w:r>
            <w:r>
              <w:rPr>
                <w:sz w:val="21"/>
                <w:szCs w:val="21"/>
              </w:rPr>
              <w:t>Alaudidae</w:t>
            </w:r>
          </w:p>
        </w:tc>
        <w:tc>
          <w:tcPr>
            <w:tcW w:w="679" w:type="dxa"/>
            <w:vAlign w:val="top"/>
          </w:tcPr>
          <w:p w14:paraId="548EDA52">
            <w:pPr>
              <w:pStyle w:val="6"/>
              <w:spacing w:before="75" w:line="189" w:lineRule="auto"/>
              <w:ind w:left="279"/>
              <w:rPr>
                <w:sz w:val="21"/>
                <w:szCs w:val="21"/>
              </w:rPr>
            </w:pPr>
            <w:r>
              <w:rPr>
                <w:sz w:val="21"/>
                <w:szCs w:val="21"/>
              </w:rPr>
              <w:t>1</w:t>
            </w:r>
          </w:p>
        </w:tc>
        <w:tc>
          <w:tcPr>
            <w:tcW w:w="225" w:type="dxa"/>
            <w:vMerge w:val="continue"/>
            <w:tcBorders>
              <w:top w:val="nil"/>
              <w:bottom w:val="nil"/>
            </w:tcBorders>
            <w:vAlign w:val="top"/>
          </w:tcPr>
          <w:p w14:paraId="433B2C8C">
            <w:pPr>
              <w:rPr>
                <w:rFonts w:ascii="Arial"/>
                <w:sz w:val="21"/>
              </w:rPr>
            </w:pPr>
          </w:p>
        </w:tc>
      </w:tr>
      <w:tr w14:paraId="36386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84" w:type="dxa"/>
            <w:vMerge w:val="continue"/>
            <w:tcBorders>
              <w:top w:val="nil"/>
              <w:bottom w:val="nil"/>
            </w:tcBorders>
            <w:vAlign w:val="top"/>
          </w:tcPr>
          <w:p w14:paraId="7F6FDBCC">
            <w:pPr>
              <w:rPr>
                <w:rFonts w:ascii="Arial"/>
                <w:sz w:val="21"/>
              </w:rPr>
            </w:pPr>
          </w:p>
        </w:tc>
        <w:tc>
          <w:tcPr>
            <w:tcW w:w="240" w:type="dxa"/>
            <w:vMerge w:val="continue"/>
            <w:tcBorders>
              <w:top w:val="nil"/>
              <w:bottom w:val="nil"/>
            </w:tcBorders>
            <w:vAlign w:val="top"/>
          </w:tcPr>
          <w:p w14:paraId="4A54A0BC">
            <w:pPr>
              <w:rPr>
                <w:rFonts w:ascii="Arial"/>
                <w:sz w:val="21"/>
              </w:rPr>
            </w:pPr>
          </w:p>
        </w:tc>
        <w:tc>
          <w:tcPr>
            <w:tcW w:w="3217" w:type="dxa"/>
            <w:vMerge w:val="continue"/>
            <w:tcBorders>
              <w:top w:val="nil"/>
              <w:bottom w:val="nil"/>
            </w:tcBorders>
            <w:vAlign w:val="top"/>
          </w:tcPr>
          <w:p w14:paraId="16A07B16">
            <w:pPr>
              <w:rPr>
                <w:rFonts w:ascii="Arial"/>
                <w:sz w:val="21"/>
              </w:rPr>
            </w:pPr>
          </w:p>
        </w:tc>
        <w:tc>
          <w:tcPr>
            <w:tcW w:w="4345" w:type="dxa"/>
            <w:gridSpan w:val="2"/>
            <w:vAlign w:val="top"/>
          </w:tcPr>
          <w:p w14:paraId="05E6DF60">
            <w:pPr>
              <w:pStyle w:val="6"/>
              <w:spacing w:before="53" w:line="217" w:lineRule="auto"/>
              <w:ind w:left="1324"/>
              <w:rPr>
                <w:sz w:val="21"/>
                <w:szCs w:val="21"/>
              </w:rPr>
            </w:pPr>
            <w:r>
              <w:rPr>
                <w:spacing w:val="6"/>
                <w:sz w:val="21"/>
                <w:szCs w:val="21"/>
              </w:rPr>
              <w:t>燕科</w:t>
            </w:r>
            <w:r>
              <w:rPr>
                <w:sz w:val="21"/>
                <w:szCs w:val="21"/>
              </w:rPr>
              <w:t>Hirundinidae</w:t>
            </w:r>
          </w:p>
        </w:tc>
        <w:tc>
          <w:tcPr>
            <w:tcW w:w="679" w:type="dxa"/>
            <w:vAlign w:val="top"/>
          </w:tcPr>
          <w:p w14:paraId="316DC59A">
            <w:pPr>
              <w:pStyle w:val="6"/>
              <w:spacing w:before="74" w:line="198" w:lineRule="auto"/>
              <w:ind w:left="279"/>
              <w:rPr>
                <w:sz w:val="21"/>
                <w:szCs w:val="21"/>
              </w:rPr>
            </w:pPr>
            <w:r>
              <w:rPr>
                <w:sz w:val="21"/>
                <w:szCs w:val="21"/>
              </w:rPr>
              <w:t>2</w:t>
            </w:r>
          </w:p>
        </w:tc>
        <w:tc>
          <w:tcPr>
            <w:tcW w:w="225" w:type="dxa"/>
            <w:vMerge w:val="continue"/>
            <w:tcBorders>
              <w:top w:val="nil"/>
              <w:bottom w:val="nil"/>
            </w:tcBorders>
            <w:vAlign w:val="top"/>
          </w:tcPr>
          <w:p w14:paraId="7A3A77A1">
            <w:pPr>
              <w:rPr>
                <w:rFonts w:ascii="Arial"/>
                <w:sz w:val="21"/>
              </w:rPr>
            </w:pPr>
          </w:p>
        </w:tc>
      </w:tr>
      <w:tr w14:paraId="0195D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84" w:type="dxa"/>
            <w:vMerge w:val="continue"/>
            <w:tcBorders>
              <w:top w:val="nil"/>
              <w:bottom w:val="nil"/>
            </w:tcBorders>
            <w:vAlign w:val="top"/>
          </w:tcPr>
          <w:p w14:paraId="69DD43D0">
            <w:pPr>
              <w:rPr>
                <w:rFonts w:ascii="Arial"/>
                <w:sz w:val="21"/>
              </w:rPr>
            </w:pPr>
          </w:p>
        </w:tc>
        <w:tc>
          <w:tcPr>
            <w:tcW w:w="240" w:type="dxa"/>
            <w:vMerge w:val="continue"/>
            <w:tcBorders>
              <w:top w:val="nil"/>
              <w:bottom w:val="nil"/>
            </w:tcBorders>
            <w:vAlign w:val="top"/>
          </w:tcPr>
          <w:p w14:paraId="220BFC5F">
            <w:pPr>
              <w:rPr>
                <w:rFonts w:ascii="Arial"/>
                <w:sz w:val="21"/>
              </w:rPr>
            </w:pPr>
          </w:p>
        </w:tc>
        <w:tc>
          <w:tcPr>
            <w:tcW w:w="3217" w:type="dxa"/>
            <w:vMerge w:val="continue"/>
            <w:tcBorders>
              <w:top w:val="nil"/>
              <w:bottom w:val="nil"/>
            </w:tcBorders>
            <w:vAlign w:val="top"/>
          </w:tcPr>
          <w:p w14:paraId="056DB431">
            <w:pPr>
              <w:rPr>
                <w:rFonts w:ascii="Arial"/>
                <w:sz w:val="21"/>
              </w:rPr>
            </w:pPr>
          </w:p>
        </w:tc>
        <w:tc>
          <w:tcPr>
            <w:tcW w:w="4345" w:type="dxa"/>
            <w:gridSpan w:val="2"/>
            <w:vAlign w:val="top"/>
          </w:tcPr>
          <w:p w14:paraId="398B904B">
            <w:pPr>
              <w:pStyle w:val="6"/>
              <w:spacing w:before="42" w:line="208" w:lineRule="auto"/>
              <w:ind w:left="1224"/>
              <w:rPr>
                <w:sz w:val="21"/>
                <w:szCs w:val="21"/>
              </w:rPr>
            </w:pPr>
            <w:r>
              <w:rPr>
                <w:spacing w:val="-1"/>
                <w:sz w:val="21"/>
                <w:szCs w:val="21"/>
              </w:rPr>
              <w:t>鹡鸰科Motacillidae</w:t>
            </w:r>
          </w:p>
        </w:tc>
        <w:tc>
          <w:tcPr>
            <w:tcW w:w="679" w:type="dxa"/>
            <w:vAlign w:val="top"/>
          </w:tcPr>
          <w:p w14:paraId="781005EC">
            <w:pPr>
              <w:pStyle w:val="6"/>
              <w:spacing w:before="65" w:line="188" w:lineRule="auto"/>
              <w:ind w:left="279"/>
              <w:rPr>
                <w:sz w:val="21"/>
                <w:szCs w:val="21"/>
              </w:rPr>
            </w:pPr>
            <w:r>
              <w:rPr>
                <w:sz w:val="21"/>
                <w:szCs w:val="21"/>
              </w:rPr>
              <w:t>3</w:t>
            </w:r>
          </w:p>
        </w:tc>
        <w:tc>
          <w:tcPr>
            <w:tcW w:w="225" w:type="dxa"/>
            <w:vMerge w:val="continue"/>
            <w:tcBorders>
              <w:top w:val="nil"/>
              <w:bottom w:val="nil"/>
            </w:tcBorders>
            <w:vAlign w:val="top"/>
          </w:tcPr>
          <w:p w14:paraId="4DBE29DC">
            <w:pPr>
              <w:rPr>
                <w:rFonts w:ascii="Arial"/>
                <w:sz w:val="21"/>
              </w:rPr>
            </w:pPr>
          </w:p>
        </w:tc>
      </w:tr>
      <w:tr w14:paraId="613AD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84" w:type="dxa"/>
            <w:vMerge w:val="continue"/>
            <w:tcBorders>
              <w:top w:val="nil"/>
              <w:bottom w:val="nil"/>
            </w:tcBorders>
            <w:vAlign w:val="top"/>
          </w:tcPr>
          <w:p w14:paraId="2307AAD4">
            <w:pPr>
              <w:rPr>
                <w:rFonts w:ascii="Arial"/>
                <w:sz w:val="21"/>
              </w:rPr>
            </w:pPr>
          </w:p>
        </w:tc>
        <w:tc>
          <w:tcPr>
            <w:tcW w:w="240" w:type="dxa"/>
            <w:vMerge w:val="continue"/>
            <w:tcBorders>
              <w:top w:val="nil"/>
              <w:bottom w:val="nil"/>
            </w:tcBorders>
            <w:vAlign w:val="top"/>
          </w:tcPr>
          <w:p w14:paraId="62ADFE68">
            <w:pPr>
              <w:rPr>
                <w:rFonts w:ascii="Arial"/>
                <w:sz w:val="21"/>
              </w:rPr>
            </w:pPr>
          </w:p>
        </w:tc>
        <w:tc>
          <w:tcPr>
            <w:tcW w:w="3217" w:type="dxa"/>
            <w:vMerge w:val="continue"/>
            <w:tcBorders>
              <w:top w:val="nil"/>
              <w:bottom w:val="nil"/>
            </w:tcBorders>
            <w:vAlign w:val="top"/>
          </w:tcPr>
          <w:p w14:paraId="41A51D86">
            <w:pPr>
              <w:rPr>
                <w:rFonts w:ascii="Arial"/>
                <w:sz w:val="21"/>
              </w:rPr>
            </w:pPr>
          </w:p>
        </w:tc>
        <w:tc>
          <w:tcPr>
            <w:tcW w:w="4345" w:type="dxa"/>
            <w:gridSpan w:val="2"/>
            <w:vAlign w:val="top"/>
          </w:tcPr>
          <w:p w14:paraId="22F08EBD">
            <w:pPr>
              <w:pStyle w:val="6"/>
              <w:spacing w:before="39" w:line="211" w:lineRule="auto"/>
              <w:ind w:left="1374"/>
              <w:rPr>
                <w:sz w:val="21"/>
                <w:szCs w:val="21"/>
              </w:rPr>
            </w:pPr>
            <w:r>
              <w:rPr>
                <w:spacing w:val="8"/>
                <w:sz w:val="21"/>
                <w:szCs w:val="21"/>
              </w:rPr>
              <w:t>鹎科</w:t>
            </w:r>
            <w:r>
              <w:rPr>
                <w:sz w:val="21"/>
                <w:szCs w:val="21"/>
              </w:rPr>
              <w:t>Pycnontidae</w:t>
            </w:r>
          </w:p>
        </w:tc>
        <w:tc>
          <w:tcPr>
            <w:tcW w:w="679" w:type="dxa"/>
            <w:vAlign w:val="top"/>
          </w:tcPr>
          <w:p w14:paraId="0EA0676A">
            <w:pPr>
              <w:pStyle w:val="6"/>
              <w:spacing w:before="66" w:line="188" w:lineRule="auto"/>
              <w:ind w:left="279"/>
              <w:rPr>
                <w:sz w:val="21"/>
                <w:szCs w:val="21"/>
              </w:rPr>
            </w:pPr>
            <w:r>
              <w:rPr>
                <w:sz w:val="21"/>
                <w:szCs w:val="21"/>
              </w:rPr>
              <w:t>2</w:t>
            </w:r>
          </w:p>
        </w:tc>
        <w:tc>
          <w:tcPr>
            <w:tcW w:w="225" w:type="dxa"/>
            <w:vMerge w:val="continue"/>
            <w:tcBorders>
              <w:top w:val="nil"/>
              <w:bottom w:val="nil"/>
            </w:tcBorders>
            <w:vAlign w:val="top"/>
          </w:tcPr>
          <w:p w14:paraId="0F1153ED">
            <w:pPr>
              <w:rPr>
                <w:rFonts w:ascii="Arial"/>
                <w:sz w:val="21"/>
              </w:rPr>
            </w:pPr>
          </w:p>
        </w:tc>
      </w:tr>
      <w:tr w14:paraId="7B47B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84" w:type="dxa"/>
            <w:vMerge w:val="continue"/>
            <w:tcBorders>
              <w:top w:val="nil"/>
              <w:bottom w:val="nil"/>
            </w:tcBorders>
            <w:vAlign w:val="top"/>
          </w:tcPr>
          <w:p w14:paraId="18F2BE54">
            <w:pPr>
              <w:rPr>
                <w:rFonts w:ascii="Arial"/>
                <w:sz w:val="21"/>
              </w:rPr>
            </w:pPr>
          </w:p>
        </w:tc>
        <w:tc>
          <w:tcPr>
            <w:tcW w:w="240" w:type="dxa"/>
            <w:vMerge w:val="continue"/>
            <w:tcBorders>
              <w:top w:val="nil"/>
              <w:bottom w:val="nil"/>
            </w:tcBorders>
            <w:vAlign w:val="top"/>
          </w:tcPr>
          <w:p w14:paraId="2AE2F517">
            <w:pPr>
              <w:rPr>
                <w:rFonts w:ascii="Arial"/>
                <w:sz w:val="21"/>
              </w:rPr>
            </w:pPr>
          </w:p>
        </w:tc>
        <w:tc>
          <w:tcPr>
            <w:tcW w:w="3217" w:type="dxa"/>
            <w:vMerge w:val="continue"/>
            <w:tcBorders>
              <w:top w:val="nil"/>
              <w:bottom w:val="nil"/>
            </w:tcBorders>
            <w:vAlign w:val="top"/>
          </w:tcPr>
          <w:p w14:paraId="75472EAD">
            <w:pPr>
              <w:rPr>
                <w:rFonts w:ascii="Arial"/>
                <w:sz w:val="21"/>
              </w:rPr>
            </w:pPr>
          </w:p>
        </w:tc>
        <w:tc>
          <w:tcPr>
            <w:tcW w:w="4345" w:type="dxa"/>
            <w:gridSpan w:val="2"/>
            <w:vAlign w:val="top"/>
          </w:tcPr>
          <w:p w14:paraId="74A7AFBE">
            <w:pPr>
              <w:pStyle w:val="6"/>
              <w:spacing w:before="63" w:line="216" w:lineRule="auto"/>
              <w:ind w:left="1374"/>
              <w:rPr>
                <w:sz w:val="21"/>
                <w:szCs w:val="21"/>
              </w:rPr>
            </w:pPr>
            <w:r>
              <w:rPr>
                <w:spacing w:val="5"/>
                <w:sz w:val="21"/>
                <w:szCs w:val="21"/>
              </w:rPr>
              <w:t>黄鹂科</w:t>
            </w:r>
            <w:r>
              <w:rPr>
                <w:sz w:val="21"/>
                <w:szCs w:val="21"/>
              </w:rPr>
              <w:t>Oriolidae</w:t>
            </w:r>
          </w:p>
        </w:tc>
        <w:tc>
          <w:tcPr>
            <w:tcW w:w="679" w:type="dxa"/>
            <w:vAlign w:val="top"/>
          </w:tcPr>
          <w:p w14:paraId="3A244636">
            <w:pPr>
              <w:pStyle w:val="6"/>
              <w:spacing w:before="86" w:line="196" w:lineRule="auto"/>
              <w:ind w:left="279"/>
              <w:rPr>
                <w:sz w:val="21"/>
                <w:szCs w:val="21"/>
              </w:rPr>
            </w:pPr>
            <w:r>
              <w:rPr>
                <w:sz w:val="21"/>
                <w:szCs w:val="21"/>
              </w:rPr>
              <w:t>1</w:t>
            </w:r>
          </w:p>
        </w:tc>
        <w:tc>
          <w:tcPr>
            <w:tcW w:w="225" w:type="dxa"/>
            <w:vMerge w:val="continue"/>
            <w:tcBorders>
              <w:top w:val="nil"/>
              <w:bottom w:val="nil"/>
            </w:tcBorders>
            <w:vAlign w:val="top"/>
          </w:tcPr>
          <w:p w14:paraId="44B664C2">
            <w:pPr>
              <w:rPr>
                <w:rFonts w:ascii="Arial"/>
                <w:sz w:val="21"/>
              </w:rPr>
            </w:pPr>
          </w:p>
        </w:tc>
      </w:tr>
      <w:tr w14:paraId="786DC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84" w:type="dxa"/>
            <w:vMerge w:val="continue"/>
            <w:tcBorders>
              <w:top w:val="nil"/>
              <w:bottom w:val="nil"/>
            </w:tcBorders>
            <w:vAlign w:val="top"/>
          </w:tcPr>
          <w:p w14:paraId="271519EB">
            <w:pPr>
              <w:rPr>
                <w:rFonts w:ascii="Arial"/>
                <w:sz w:val="21"/>
              </w:rPr>
            </w:pPr>
          </w:p>
        </w:tc>
        <w:tc>
          <w:tcPr>
            <w:tcW w:w="240" w:type="dxa"/>
            <w:vMerge w:val="continue"/>
            <w:tcBorders>
              <w:top w:val="nil"/>
              <w:bottom w:val="nil"/>
            </w:tcBorders>
            <w:vAlign w:val="top"/>
          </w:tcPr>
          <w:p w14:paraId="3A6B6FF1">
            <w:pPr>
              <w:rPr>
                <w:rFonts w:ascii="Arial"/>
                <w:sz w:val="21"/>
              </w:rPr>
            </w:pPr>
          </w:p>
        </w:tc>
        <w:tc>
          <w:tcPr>
            <w:tcW w:w="3217" w:type="dxa"/>
            <w:vMerge w:val="continue"/>
            <w:tcBorders>
              <w:top w:val="nil"/>
              <w:bottom w:val="nil"/>
            </w:tcBorders>
            <w:vAlign w:val="top"/>
          </w:tcPr>
          <w:p w14:paraId="3DD11456">
            <w:pPr>
              <w:rPr>
                <w:rFonts w:ascii="Arial"/>
                <w:sz w:val="21"/>
              </w:rPr>
            </w:pPr>
          </w:p>
        </w:tc>
        <w:tc>
          <w:tcPr>
            <w:tcW w:w="4345" w:type="dxa"/>
            <w:gridSpan w:val="2"/>
            <w:vAlign w:val="top"/>
          </w:tcPr>
          <w:p w14:paraId="6572BEED">
            <w:pPr>
              <w:pStyle w:val="6"/>
              <w:spacing w:before="44" w:line="207" w:lineRule="auto"/>
              <w:ind w:left="1324"/>
              <w:rPr>
                <w:sz w:val="21"/>
                <w:szCs w:val="21"/>
              </w:rPr>
            </w:pPr>
            <w:r>
              <w:rPr>
                <w:spacing w:val="4"/>
                <w:sz w:val="21"/>
                <w:szCs w:val="21"/>
              </w:rPr>
              <w:t>卷尾科</w:t>
            </w:r>
            <w:r>
              <w:rPr>
                <w:sz w:val="21"/>
                <w:szCs w:val="21"/>
              </w:rPr>
              <w:t>Dicruridae</w:t>
            </w:r>
          </w:p>
        </w:tc>
        <w:tc>
          <w:tcPr>
            <w:tcW w:w="679" w:type="dxa"/>
            <w:vAlign w:val="top"/>
          </w:tcPr>
          <w:p w14:paraId="2DE72B57">
            <w:pPr>
              <w:pStyle w:val="6"/>
              <w:spacing w:before="66" w:line="188" w:lineRule="auto"/>
              <w:ind w:left="279"/>
              <w:rPr>
                <w:sz w:val="21"/>
                <w:szCs w:val="21"/>
              </w:rPr>
            </w:pPr>
            <w:r>
              <w:rPr>
                <w:sz w:val="21"/>
                <w:szCs w:val="21"/>
              </w:rPr>
              <w:t>1</w:t>
            </w:r>
          </w:p>
        </w:tc>
        <w:tc>
          <w:tcPr>
            <w:tcW w:w="225" w:type="dxa"/>
            <w:vMerge w:val="continue"/>
            <w:tcBorders>
              <w:top w:val="nil"/>
              <w:bottom w:val="nil"/>
            </w:tcBorders>
            <w:vAlign w:val="top"/>
          </w:tcPr>
          <w:p w14:paraId="723166F4">
            <w:pPr>
              <w:rPr>
                <w:rFonts w:ascii="Arial"/>
                <w:sz w:val="21"/>
              </w:rPr>
            </w:pPr>
          </w:p>
        </w:tc>
      </w:tr>
      <w:tr w14:paraId="02100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84" w:type="dxa"/>
            <w:vMerge w:val="continue"/>
            <w:tcBorders>
              <w:top w:val="nil"/>
              <w:bottom w:val="nil"/>
            </w:tcBorders>
            <w:vAlign w:val="top"/>
          </w:tcPr>
          <w:p w14:paraId="65667CBD">
            <w:pPr>
              <w:rPr>
                <w:rFonts w:ascii="Arial"/>
                <w:sz w:val="21"/>
              </w:rPr>
            </w:pPr>
          </w:p>
        </w:tc>
        <w:tc>
          <w:tcPr>
            <w:tcW w:w="240" w:type="dxa"/>
            <w:vMerge w:val="continue"/>
            <w:tcBorders>
              <w:top w:val="nil"/>
              <w:bottom w:val="nil"/>
            </w:tcBorders>
            <w:vAlign w:val="top"/>
          </w:tcPr>
          <w:p w14:paraId="469733E4">
            <w:pPr>
              <w:rPr>
                <w:rFonts w:ascii="Arial"/>
                <w:sz w:val="21"/>
              </w:rPr>
            </w:pPr>
          </w:p>
        </w:tc>
        <w:tc>
          <w:tcPr>
            <w:tcW w:w="3217" w:type="dxa"/>
            <w:vMerge w:val="continue"/>
            <w:tcBorders>
              <w:top w:val="nil"/>
              <w:bottom w:val="nil"/>
            </w:tcBorders>
            <w:vAlign w:val="top"/>
          </w:tcPr>
          <w:p w14:paraId="11FF4695">
            <w:pPr>
              <w:rPr>
                <w:rFonts w:ascii="Arial"/>
                <w:sz w:val="21"/>
              </w:rPr>
            </w:pPr>
          </w:p>
        </w:tc>
        <w:tc>
          <w:tcPr>
            <w:tcW w:w="4345" w:type="dxa"/>
            <w:gridSpan w:val="2"/>
            <w:vAlign w:val="top"/>
          </w:tcPr>
          <w:p w14:paraId="23F5BC7B">
            <w:pPr>
              <w:pStyle w:val="6"/>
              <w:spacing w:before="44" w:line="206" w:lineRule="auto"/>
              <w:ind w:left="1374"/>
              <w:rPr>
                <w:sz w:val="21"/>
                <w:szCs w:val="21"/>
              </w:rPr>
            </w:pPr>
            <w:r>
              <w:rPr>
                <w:spacing w:val="5"/>
                <w:sz w:val="21"/>
                <w:szCs w:val="21"/>
              </w:rPr>
              <w:t>椋鸟科</w:t>
            </w:r>
            <w:r>
              <w:rPr>
                <w:sz w:val="21"/>
                <w:szCs w:val="21"/>
              </w:rPr>
              <w:t>Sturnidae</w:t>
            </w:r>
          </w:p>
        </w:tc>
        <w:tc>
          <w:tcPr>
            <w:tcW w:w="679" w:type="dxa"/>
            <w:vAlign w:val="top"/>
          </w:tcPr>
          <w:p w14:paraId="724ADC3D">
            <w:pPr>
              <w:pStyle w:val="6"/>
              <w:spacing w:before="66" w:line="187" w:lineRule="auto"/>
              <w:ind w:left="279"/>
              <w:rPr>
                <w:sz w:val="21"/>
                <w:szCs w:val="21"/>
              </w:rPr>
            </w:pPr>
            <w:r>
              <w:rPr>
                <w:sz w:val="21"/>
                <w:szCs w:val="21"/>
              </w:rPr>
              <w:t>1</w:t>
            </w:r>
          </w:p>
        </w:tc>
        <w:tc>
          <w:tcPr>
            <w:tcW w:w="225" w:type="dxa"/>
            <w:vMerge w:val="continue"/>
            <w:tcBorders>
              <w:top w:val="nil"/>
              <w:bottom w:val="nil"/>
            </w:tcBorders>
            <w:vAlign w:val="top"/>
          </w:tcPr>
          <w:p w14:paraId="0E7392E8">
            <w:pPr>
              <w:rPr>
                <w:rFonts w:ascii="Arial"/>
                <w:sz w:val="21"/>
              </w:rPr>
            </w:pPr>
          </w:p>
        </w:tc>
      </w:tr>
      <w:tr w14:paraId="2F4CC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84" w:type="dxa"/>
            <w:vMerge w:val="continue"/>
            <w:tcBorders>
              <w:top w:val="nil"/>
              <w:bottom w:val="nil"/>
            </w:tcBorders>
            <w:vAlign w:val="top"/>
          </w:tcPr>
          <w:p w14:paraId="54E8B706">
            <w:pPr>
              <w:rPr>
                <w:rFonts w:ascii="Arial"/>
                <w:sz w:val="21"/>
              </w:rPr>
            </w:pPr>
          </w:p>
        </w:tc>
        <w:tc>
          <w:tcPr>
            <w:tcW w:w="240" w:type="dxa"/>
            <w:vMerge w:val="continue"/>
            <w:tcBorders>
              <w:top w:val="nil"/>
              <w:bottom w:val="nil"/>
            </w:tcBorders>
            <w:vAlign w:val="top"/>
          </w:tcPr>
          <w:p w14:paraId="0EDCC9B5">
            <w:pPr>
              <w:rPr>
                <w:rFonts w:ascii="Arial"/>
                <w:sz w:val="21"/>
              </w:rPr>
            </w:pPr>
          </w:p>
        </w:tc>
        <w:tc>
          <w:tcPr>
            <w:tcW w:w="3217" w:type="dxa"/>
            <w:vMerge w:val="continue"/>
            <w:tcBorders>
              <w:top w:val="nil"/>
              <w:bottom w:val="nil"/>
            </w:tcBorders>
            <w:vAlign w:val="top"/>
          </w:tcPr>
          <w:p w14:paraId="2C23FB2C">
            <w:pPr>
              <w:rPr>
                <w:rFonts w:ascii="Arial"/>
                <w:sz w:val="21"/>
              </w:rPr>
            </w:pPr>
          </w:p>
        </w:tc>
        <w:tc>
          <w:tcPr>
            <w:tcW w:w="4345" w:type="dxa"/>
            <w:gridSpan w:val="2"/>
            <w:vAlign w:val="top"/>
          </w:tcPr>
          <w:p w14:paraId="71F90F0B">
            <w:pPr>
              <w:pStyle w:val="6"/>
              <w:spacing w:before="65" w:line="215" w:lineRule="auto"/>
              <w:ind w:left="1533"/>
              <w:rPr>
                <w:sz w:val="21"/>
                <w:szCs w:val="21"/>
              </w:rPr>
            </w:pPr>
            <w:r>
              <w:rPr>
                <w:spacing w:val="6"/>
                <w:sz w:val="21"/>
                <w:szCs w:val="21"/>
              </w:rPr>
              <w:t>鸦科</w:t>
            </w:r>
            <w:r>
              <w:rPr>
                <w:sz w:val="21"/>
                <w:szCs w:val="21"/>
              </w:rPr>
              <w:t>Corvidae</w:t>
            </w:r>
          </w:p>
        </w:tc>
        <w:tc>
          <w:tcPr>
            <w:tcW w:w="679" w:type="dxa"/>
            <w:vAlign w:val="top"/>
          </w:tcPr>
          <w:p w14:paraId="279B23DA">
            <w:pPr>
              <w:pStyle w:val="6"/>
              <w:spacing w:before="88" w:line="195" w:lineRule="auto"/>
              <w:ind w:left="279"/>
              <w:rPr>
                <w:sz w:val="21"/>
                <w:szCs w:val="21"/>
              </w:rPr>
            </w:pPr>
            <w:r>
              <w:rPr>
                <w:sz w:val="21"/>
                <w:szCs w:val="21"/>
              </w:rPr>
              <w:t>4</w:t>
            </w:r>
          </w:p>
        </w:tc>
        <w:tc>
          <w:tcPr>
            <w:tcW w:w="225" w:type="dxa"/>
            <w:vMerge w:val="continue"/>
            <w:tcBorders>
              <w:top w:val="nil"/>
              <w:bottom w:val="nil"/>
            </w:tcBorders>
            <w:vAlign w:val="top"/>
          </w:tcPr>
          <w:p w14:paraId="1A894D44">
            <w:pPr>
              <w:rPr>
                <w:rFonts w:ascii="Arial"/>
                <w:sz w:val="21"/>
              </w:rPr>
            </w:pPr>
          </w:p>
        </w:tc>
      </w:tr>
      <w:tr w14:paraId="7A205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84" w:type="dxa"/>
            <w:vMerge w:val="continue"/>
            <w:tcBorders>
              <w:top w:val="nil"/>
              <w:bottom w:val="nil"/>
            </w:tcBorders>
            <w:vAlign w:val="top"/>
          </w:tcPr>
          <w:p w14:paraId="1F0375C0">
            <w:pPr>
              <w:rPr>
                <w:rFonts w:ascii="Arial"/>
                <w:sz w:val="21"/>
              </w:rPr>
            </w:pPr>
          </w:p>
        </w:tc>
        <w:tc>
          <w:tcPr>
            <w:tcW w:w="240" w:type="dxa"/>
            <w:vMerge w:val="continue"/>
            <w:tcBorders>
              <w:top w:val="nil"/>
              <w:bottom w:val="nil"/>
            </w:tcBorders>
            <w:vAlign w:val="top"/>
          </w:tcPr>
          <w:p w14:paraId="3F18E569">
            <w:pPr>
              <w:rPr>
                <w:rFonts w:ascii="Arial"/>
                <w:sz w:val="21"/>
              </w:rPr>
            </w:pPr>
          </w:p>
        </w:tc>
        <w:tc>
          <w:tcPr>
            <w:tcW w:w="3217" w:type="dxa"/>
            <w:vMerge w:val="continue"/>
            <w:tcBorders>
              <w:top w:val="nil"/>
              <w:bottom w:val="nil"/>
            </w:tcBorders>
            <w:vAlign w:val="top"/>
          </w:tcPr>
          <w:p w14:paraId="3C7EFACD">
            <w:pPr>
              <w:rPr>
                <w:rFonts w:ascii="Arial"/>
                <w:sz w:val="21"/>
              </w:rPr>
            </w:pPr>
          </w:p>
        </w:tc>
        <w:tc>
          <w:tcPr>
            <w:tcW w:w="4345" w:type="dxa"/>
            <w:gridSpan w:val="2"/>
            <w:vAlign w:val="top"/>
          </w:tcPr>
          <w:p w14:paraId="1174DD3C">
            <w:pPr>
              <w:pStyle w:val="6"/>
              <w:spacing w:before="45" w:line="206" w:lineRule="auto"/>
              <w:ind w:left="1374"/>
              <w:rPr>
                <w:sz w:val="21"/>
                <w:szCs w:val="21"/>
              </w:rPr>
            </w:pPr>
            <w:r>
              <w:rPr>
                <w:spacing w:val="5"/>
                <w:sz w:val="21"/>
                <w:szCs w:val="21"/>
              </w:rPr>
              <w:t>河乌科</w:t>
            </w:r>
            <w:r>
              <w:rPr>
                <w:sz w:val="21"/>
                <w:szCs w:val="21"/>
              </w:rPr>
              <w:t>Cinclidae</w:t>
            </w:r>
          </w:p>
        </w:tc>
        <w:tc>
          <w:tcPr>
            <w:tcW w:w="679" w:type="dxa"/>
            <w:vAlign w:val="top"/>
          </w:tcPr>
          <w:p w14:paraId="2AA23911">
            <w:pPr>
              <w:pStyle w:val="6"/>
              <w:spacing w:before="67" w:line="187" w:lineRule="auto"/>
              <w:ind w:left="279"/>
              <w:rPr>
                <w:sz w:val="21"/>
                <w:szCs w:val="21"/>
              </w:rPr>
            </w:pPr>
            <w:r>
              <w:rPr>
                <w:sz w:val="21"/>
                <w:szCs w:val="21"/>
              </w:rPr>
              <w:t>1</w:t>
            </w:r>
          </w:p>
        </w:tc>
        <w:tc>
          <w:tcPr>
            <w:tcW w:w="225" w:type="dxa"/>
            <w:vMerge w:val="continue"/>
            <w:tcBorders>
              <w:top w:val="nil"/>
              <w:bottom w:val="nil"/>
            </w:tcBorders>
            <w:vAlign w:val="top"/>
          </w:tcPr>
          <w:p w14:paraId="695E3DA9">
            <w:pPr>
              <w:rPr>
                <w:rFonts w:ascii="Arial"/>
                <w:sz w:val="21"/>
              </w:rPr>
            </w:pPr>
          </w:p>
        </w:tc>
      </w:tr>
      <w:tr w14:paraId="704FB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84" w:type="dxa"/>
            <w:vMerge w:val="continue"/>
            <w:tcBorders>
              <w:top w:val="nil"/>
              <w:bottom w:val="nil"/>
            </w:tcBorders>
            <w:vAlign w:val="top"/>
          </w:tcPr>
          <w:p w14:paraId="6A3F8DBC">
            <w:pPr>
              <w:rPr>
                <w:rFonts w:ascii="Arial"/>
                <w:sz w:val="21"/>
              </w:rPr>
            </w:pPr>
          </w:p>
        </w:tc>
        <w:tc>
          <w:tcPr>
            <w:tcW w:w="240" w:type="dxa"/>
            <w:vMerge w:val="continue"/>
            <w:tcBorders>
              <w:top w:val="nil"/>
              <w:bottom w:val="nil"/>
            </w:tcBorders>
            <w:vAlign w:val="top"/>
          </w:tcPr>
          <w:p w14:paraId="68C575D3">
            <w:pPr>
              <w:rPr>
                <w:rFonts w:ascii="Arial"/>
                <w:sz w:val="21"/>
              </w:rPr>
            </w:pPr>
          </w:p>
        </w:tc>
        <w:tc>
          <w:tcPr>
            <w:tcW w:w="3217" w:type="dxa"/>
            <w:vMerge w:val="continue"/>
            <w:tcBorders>
              <w:top w:val="nil"/>
              <w:bottom w:val="nil"/>
            </w:tcBorders>
            <w:vAlign w:val="top"/>
          </w:tcPr>
          <w:p w14:paraId="08D5C83E">
            <w:pPr>
              <w:rPr>
                <w:rFonts w:ascii="Arial"/>
                <w:sz w:val="21"/>
              </w:rPr>
            </w:pPr>
          </w:p>
        </w:tc>
        <w:tc>
          <w:tcPr>
            <w:tcW w:w="1848" w:type="dxa"/>
            <w:vMerge w:val="restart"/>
            <w:tcBorders>
              <w:bottom w:val="nil"/>
            </w:tcBorders>
            <w:vAlign w:val="top"/>
          </w:tcPr>
          <w:p w14:paraId="23C866CC">
            <w:pPr>
              <w:spacing w:line="440" w:lineRule="auto"/>
              <w:rPr>
                <w:rFonts w:ascii="Arial"/>
                <w:sz w:val="21"/>
              </w:rPr>
            </w:pPr>
          </w:p>
          <w:p w14:paraId="23437C52">
            <w:pPr>
              <w:pStyle w:val="6"/>
              <w:spacing w:before="68" w:line="214" w:lineRule="auto"/>
              <w:ind w:left="94"/>
              <w:rPr>
                <w:sz w:val="21"/>
                <w:szCs w:val="21"/>
              </w:rPr>
            </w:pPr>
            <w:r>
              <w:rPr>
                <w:spacing w:val="6"/>
                <w:sz w:val="21"/>
                <w:szCs w:val="21"/>
              </w:rPr>
              <w:t>鸰科</w:t>
            </w:r>
            <w:r>
              <w:rPr>
                <w:sz w:val="21"/>
                <w:szCs w:val="21"/>
              </w:rPr>
              <w:t>Muscicapidae</w:t>
            </w:r>
          </w:p>
        </w:tc>
        <w:tc>
          <w:tcPr>
            <w:tcW w:w="2497" w:type="dxa"/>
            <w:vAlign w:val="top"/>
          </w:tcPr>
          <w:p w14:paraId="5896B259">
            <w:pPr>
              <w:pStyle w:val="6"/>
              <w:spacing w:before="45" w:line="205" w:lineRule="auto"/>
              <w:ind w:left="506"/>
              <w:rPr>
                <w:sz w:val="21"/>
                <w:szCs w:val="21"/>
              </w:rPr>
            </w:pPr>
            <w:r>
              <w:rPr>
                <w:spacing w:val="4"/>
                <w:sz w:val="21"/>
                <w:szCs w:val="21"/>
              </w:rPr>
              <w:t>鸫亚科</w:t>
            </w:r>
            <w:r>
              <w:rPr>
                <w:sz w:val="21"/>
                <w:szCs w:val="21"/>
              </w:rPr>
              <w:t>Turdinae</w:t>
            </w:r>
          </w:p>
        </w:tc>
        <w:tc>
          <w:tcPr>
            <w:tcW w:w="679" w:type="dxa"/>
            <w:vAlign w:val="top"/>
          </w:tcPr>
          <w:p w14:paraId="26D6839B">
            <w:pPr>
              <w:pStyle w:val="6"/>
              <w:spacing w:before="67" w:line="186" w:lineRule="auto"/>
              <w:ind w:left="279"/>
              <w:rPr>
                <w:sz w:val="21"/>
                <w:szCs w:val="21"/>
              </w:rPr>
            </w:pPr>
            <w:r>
              <w:rPr>
                <w:sz w:val="21"/>
                <w:szCs w:val="21"/>
              </w:rPr>
              <w:t>5</w:t>
            </w:r>
          </w:p>
        </w:tc>
        <w:tc>
          <w:tcPr>
            <w:tcW w:w="225" w:type="dxa"/>
            <w:vMerge w:val="continue"/>
            <w:tcBorders>
              <w:top w:val="nil"/>
              <w:bottom w:val="nil"/>
            </w:tcBorders>
            <w:vAlign w:val="top"/>
          </w:tcPr>
          <w:p w14:paraId="5E41AF40">
            <w:pPr>
              <w:rPr>
                <w:rFonts w:ascii="Arial"/>
                <w:sz w:val="21"/>
              </w:rPr>
            </w:pPr>
          </w:p>
        </w:tc>
      </w:tr>
      <w:tr w14:paraId="1B857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84" w:type="dxa"/>
            <w:vMerge w:val="continue"/>
            <w:tcBorders>
              <w:top w:val="nil"/>
              <w:bottom w:val="nil"/>
            </w:tcBorders>
            <w:vAlign w:val="top"/>
          </w:tcPr>
          <w:p w14:paraId="10175394">
            <w:pPr>
              <w:rPr>
                <w:rFonts w:ascii="Arial"/>
                <w:sz w:val="21"/>
              </w:rPr>
            </w:pPr>
          </w:p>
        </w:tc>
        <w:tc>
          <w:tcPr>
            <w:tcW w:w="240" w:type="dxa"/>
            <w:vMerge w:val="continue"/>
            <w:tcBorders>
              <w:top w:val="nil"/>
              <w:bottom w:val="nil"/>
            </w:tcBorders>
            <w:vAlign w:val="top"/>
          </w:tcPr>
          <w:p w14:paraId="738E284A">
            <w:pPr>
              <w:rPr>
                <w:rFonts w:ascii="Arial"/>
                <w:sz w:val="21"/>
              </w:rPr>
            </w:pPr>
          </w:p>
        </w:tc>
        <w:tc>
          <w:tcPr>
            <w:tcW w:w="3217" w:type="dxa"/>
            <w:vMerge w:val="continue"/>
            <w:tcBorders>
              <w:top w:val="nil"/>
              <w:bottom w:val="nil"/>
            </w:tcBorders>
            <w:vAlign w:val="top"/>
          </w:tcPr>
          <w:p w14:paraId="2FAEB81B">
            <w:pPr>
              <w:rPr>
                <w:rFonts w:ascii="Arial"/>
                <w:sz w:val="21"/>
              </w:rPr>
            </w:pPr>
          </w:p>
        </w:tc>
        <w:tc>
          <w:tcPr>
            <w:tcW w:w="1848" w:type="dxa"/>
            <w:vMerge w:val="continue"/>
            <w:tcBorders>
              <w:top w:val="nil"/>
              <w:bottom w:val="nil"/>
            </w:tcBorders>
            <w:vAlign w:val="top"/>
          </w:tcPr>
          <w:p w14:paraId="025D4E88">
            <w:pPr>
              <w:rPr>
                <w:rFonts w:ascii="Arial"/>
                <w:sz w:val="21"/>
              </w:rPr>
            </w:pPr>
          </w:p>
        </w:tc>
        <w:tc>
          <w:tcPr>
            <w:tcW w:w="2497" w:type="dxa"/>
            <w:vAlign w:val="top"/>
          </w:tcPr>
          <w:p w14:paraId="732116A4">
            <w:pPr>
              <w:pStyle w:val="6"/>
              <w:spacing w:before="46" w:line="205" w:lineRule="auto"/>
              <w:ind w:left="296"/>
              <w:rPr>
                <w:sz w:val="21"/>
                <w:szCs w:val="21"/>
              </w:rPr>
            </w:pPr>
            <w:r>
              <w:rPr>
                <w:spacing w:val="3"/>
                <w:sz w:val="21"/>
                <w:szCs w:val="21"/>
              </w:rPr>
              <w:t>画鹏亚科</w:t>
            </w:r>
            <w:r>
              <w:rPr>
                <w:sz w:val="21"/>
                <w:szCs w:val="21"/>
              </w:rPr>
              <w:t>Timaliinae</w:t>
            </w:r>
          </w:p>
        </w:tc>
        <w:tc>
          <w:tcPr>
            <w:tcW w:w="679" w:type="dxa"/>
            <w:vAlign w:val="top"/>
          </w:tcPr>
          <w:p w14:paraId="45861B67">
            <w:pPr>
              <w:pStyle w:val="6"/>
              <w:spacing w:before="68" w:line="186" w:lineRule="auto"/>
              <w:ind w:left="279"/>
              <w:rPr>
                <w:sz w:val="21"/>
                <w:szCs w:val="21"/>
              </w:rPr>
            </w:pPr>
            <w:r>
              <w:rPr>
                <w:sz w:val="21"/>
                <w:szCs w:val="21"/>
              </w:rPr>
              <w:t>7</w:t>
            </w:r>
          </w:p>
        </w:tc>
        <w:tc>
          <w:tcPr>
            <w:tcW w:w="225" w:type="dxa"/>
            <w:vMerge w:val="continue"/>
            <w:tcBorders>
              <w:top w:val="nil"/>
              <w:bottom w:val="nil"/>
            </w:tcBorders>
            <w:vAlign w:val="top"/>
          </w:tcPr>
          <w:p w14:paraId="1E9BA3F2">
            <w:pPr>
              <w:rPr>
                <w:rFonts w:ascii="Arial"/>
                <w:sz w:val="21"/>
              </w:rPr>
            </w:pPr>
          </w:p>
        </w:tc>
      </w:tr>
      <w:tr w14:paraId="54475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84" w:type="dxa"/>
            <w:vMerge w:val="continue"/>
            <w:tcBorders>
              <w:top w:val="nil"/>
              <w:bottom w:val="nil"/>
            </w:tcBorders>
            <w:vAlign w:val="top"/>
          </w:tcPr>
          <w:p w14:paraId="0CC332FD">
            <w:pPr>
              <w:rPr>
                <w:rFonts w:ascii="Arial"/>
                <w:sz w:val="21"/>
              </w:rPr>
            </w:pPr>
          </w:p>
        </w:tc>
        <w:tc>
          <w:tcPr>
            <w:tcW w:w="240" w:type="dxa"/>
            <w:vMerge w:val="continue"/>
            <w:tcBorders>
              <w:top w:val="nil"/>
              <w:bottom w:val="nil"/>
            </w:tcBorders>
            <w:vAlign w:val="top"/>
          </w:tcPr>
          <w:p w14:paraId="64EF418C">
            <w:pPr>
              <w:rPr>
                <w:rFonts w:ascii="Arial"/>
                <w:sz w:val="21"/>
              </w:rPr>
            </w:pPr>
          </w:p>
        </w:tc>
        <w:tc>
          <w:tcPr>
            <w:tcW w:w="3217" w:type="dxa"/>
            <w:vMerge w:val="continue"/>
            <w:tcBorders>
              <w:top w:val="nil"/>
              <w:bottom w:val="nil"/>
            </w:tcBorders>
            <w:vAlign w:val="top"/>
          </w:tcPr>
          <w:p w14:paraId="393AD10C">
            <w:pPr>
              <w:rPr>
                <w:rFonts w:ascii="Arial"/>
                <w:sz w:val="21"/>
              </w:rPr>
            </w:pPr>
          </w:p>
        </w:tc>
        <w:tc>
          <w:tcPr>
            <w:tcW w:w="1848" w:type="dxa"/>
            <w:vMerge w:val="continue"/>
            <w:tcBorders>
              <w:top w:val="nil"/>
              <w:bottom w:val="nil"/>
            </w:tcBorders>
            <w:vAlign w:val="top"/>
          </w:tcPr>
          <w:p w14:paraId="55EFADC8">
            <w:pPr>
              <w:rPr>
                <w:rFonts w:ascii="Arial"/>
                <w:sz w:val="21"/>
              </w:rPr>
            </w:pPr>
          </w:p>
        </w:tc>
        <w:tc>
          <w:tcPr>
            <w:tcW w:w="2497" w:type="dxa"/>
            <w:vAlign w:val="top"/>
          </w:tcPr>
          <w:p w14:paraId="58C359F8">
            <w:pPr>
              <w:pStyle w:val="6"/>
              <w:spacing w:before="62" w:line="215" w:lineRule="auto"/>
              <w:ind w:left="456"/>
              <w:rPr>
                <w:sz w:val="21"/>
                <w:szCs w:val="21"/>
              </w:rPr>
            </w:pPr>
            <w:r>
              <w:rPr>
                <w:spacing w:val="-1"/>
                <w:sz w:val="21"/>
                <w:szCs w:val="21"/>
              </w:rPr>
              <w:t>莺亚科Sylviinae</w:t>
            </w:r>
          </w:p>
        </w:tc>
        <w:tc>
          <w:tcPr>
            <w:tcW w:w="679" w:type="dxa"/>
            <w:vAlign w:val="top"/>
          </w:tcPr>
          <w:p w14:paraId="04104A8A">
            <w:pPr>
              <w:pStyle w:val="6"/>
              <w:spacing w:before="88" w:line="195" w:lineRule="auto"/>
              <w:ind w:left="279"/>
              <w:rPr>
                <w:sz w:val="21"/>
                <w:szCs w:val="21"/>
              </w:rPr>
            </w:pPr>
            <w:r>
              <w:rPr>
                <w:sz w:val="21"/>
                <w:szCs w:val="21"/>
              </w:rPr>
              <w:t>3</w:t>
            </w:r>
          </w:p>
        </w:tc>
        <w:tc>
          <w:tcPr>
            <w:tcW w:w="225" w:type="dxa"/>
            <w:vMerge w:val="continue"/>
            <w:tcBorders>
              <w:top w:val="nil"/>
              <w:bottom w:val="nil"/>
            </w:tcBorders>
            <w:vAlign w:val="top"/>
          </w:tcPr>
          <w:p w14:paraId="1E21650C">
            <w:pPr>
              <w:rPr>
                <w:rFonts w:ascii="Arial"/>
                <w:sz w:val="21"/>
              </w:rPr>
            </w:pPr>
          </w:p>
        </w:tc>
      </w:tr>
      <w:tr w14:paraId="14630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84" w:type="dxa"/>
            <w:vMerge w:val="continue"/>
            <w:tcBorders>
              <w:top w:val="nil"/>
              <w:bottom w:val="nil"/>
            </w:tcBorders>
            <w:vAlign w:val="top"/>
          </w:tcPr>
          <w:p w14:paraId="5B842474">
            <w:pPr>
              <w:rPr>
                <w:rFonts w:ascii="Arial"/>
                <w:sz w:val="21"/>
              </w:rPr>
            </w:pPr>
          </w:p>
        </w:tc>
        <w:tc>
          <w:tcPr>
            <w:tcW w:w="240" w:type="dxa"/>
            <w:vMerge w:val="continue"/>
            <w:tcBorders>
              <w:top w:val="nil"/>
              <w:bottom w:val="nil"/>
            </w:tcBorders>
            <w:vAlign w:val="top"/>
          </w:tcPr>
          <w:p w14:paraId="312E81B6">
            <w:pPr>
              <w:rPr>
                <w:rFonts w:ascii="Arial"/>
                <w:sz w:val="21"/>
              </w:rPr>
            </w:pPr>
          </w:p>
        </w:tc>
        <w:tc>
          <w:tcPr>
            <w:tcW w:w="3217" w:type="dxa"/>
            <w:vMerge w:val="continue"/>
            <w:tcBorders>
              <w:top w:val="nil"/>
              <w:bottom w:val="nil"/>
            </w:tcBorders>
            <w:vAlign w:val="top"/>
          </w:tcPr>
          <w:p w14:paraId="47F380E4">
            <w:pPr>
              <w:rPr>
                <w:rFonts w:ascii="Arial"/>
                <w:sz w:val="21"/>
              </w:rPr>
            </w:pPr>
          </w:p>
        </w:tc>
        <w:tc>
          <w:tcPr>
            <w:tcW w:w="1848" w:type="dxa"/>
            <w:vMerge w:val="continue"/>
            <w:tcBorders>
              <w:top w:val="nil"/>
            </w:tcBorders>
            <w:vAlign w:val="top"/>
          </w:tcPr>
          <w:p w14:paraId="7538F327">
            <w:pPr>
              <w:rPr>
                <w:rFonts w:ascii="Arial"/>
                <w:sz w:val="21"/>
              </w:rPr>
            </w:pPr>
          </w:p>
        </w:tc>
        <w:tc>
          <w:tcPr>
            <w:tcW w:w="2497" w:type="dxa"/>
            <w:vAlign w:val="top"/>
          </w:tcPr>
          <w:p w14:paraId="389208C5">
            <w:pPr>
              <w:pStyle w:val="6"/>
              <w:spacing w:before="41" w:line="209" w:lineRule="auto"/>
              <w:ind w:left="296"/>
              <w:rPr>
                <w:sz w:val="21"/>
                <w:szCs w:val="21"/>
              </w:rPr>
            </w:pPr>
            <w:r>
              <w:rPr>
                <w:spacing w:val="4"/>
                <w:sz w:val="21"/>
                <w:szCs w:val="21"/>
              </w:rPr>
              <w:t>鸰亚科</w:t>
            </w:r>
            <w:r>
              <w:rPr>
                <w:sz w:val="21"/>
                <w:szCs w:val="21"/>
              </w:rPr>
              <w:t>Muscicapinae</w:t>
            </w:r>
          </w:p>
        </w:tc>
        <w:tc>
          <w:tcPr>
            <w:tcW w:w="679" w:type="dxa"/>
            <w:vAlign w:val="top"/>
          </w:tcPr>
          <w:p w14:paraId="6D75B9BD">
            <w:pPr>
              <w:pStyle w:val="6"/>
              <w:spacing w:before="68" w:line="185" w:lineRule="auto"/>
              <w:ind w:left="279"/>
              <w:rPr>
                <w:sz w:val="21"/>
                <w:szCs w:val="21"/>
              </w:rPr>
            </w:pPr>
            <w:r>
              <w:rPr>
                <w:sz w:val="21"/>
                <w:szCs w:val="21"/>
              </w:rPr>
              <w:t>2</w:t>
            </w:r>
          </w:p>
        </w:tc>
        <w:tc>
          <w:tcPr>
            <w:tcW w:w="225" w:type="dxa"/>
            <w:vMerge w:val="continue"/>
            <w:tcBorders>
              <w:top w:val="nil"/>
              <w:bottom w:val="nil"/>
            </w:tcBorders>
            <w:vAlign w:val="top"/>
          </w:tcPr>
          <w:p w14:paraId="08DA7B6E">
            <w:pPr>
              <w:rPr>
                <w:rFonts w:ascii="Arial"/>
                <w:sz w:val="21"/>
              </w:rPr>
            </w:pPr>
          </w:p>
        </w:tc>
      </w:tr>
      <w:tr w14:paraId="125EF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84" w:type="dxa"/>
            <w:vMerge w:val="continue"/>
            <w:tcBorders>
              <w:top w:val="nil"/>
              <w:bottom w:val="nil"/>
            </w:tcBorders>
            <w:vAlign w:val="top"/>
          </w:tcPr>
          <w:p w14:paraId="3DF2A8EE">
            <w:pPr>
              <w:rPr>
                <w:rFonts w:ascii="Arial"/>
                <w:sz w:val="21"/>
              </w:rPr>
            </w:pPr>
          </w:p>
        </w:tc>
        <w:tc>
          <w:tcPr>
            <w:tcW w:w="240" w:type="dxa"/>
            <w:vMerge w:val="continue"/>
            <w:tcBorders>
              <w:top w:val="nil"/>
              <w:bottom w:val="nil"/>
            </w:tcBorders>
            <w:vAlign w:val="top"/>
          </w:tcPr>
          <w:p w14:paraId="2471BBEF">
            <w:pPr>
              <w:rPr>
                <w:rFonts w:ascii="Arial"/>
                <w:sz w:val="21"/>
              </w:rPr>
            </w:pPr>
          </w:p>
        </w:tc>
        <w:tc>
          <w:tcPr>
            <w:tcW w:w="3217" w:type="dxa"/>
            <w:vMerge w:val="continue"/>
            <w:tcBorders>
              <w:top w:val="nil"/>
              <w:bottom w:val="nil"/>
            </w:tcBorders>
            <w:vAlign w:val="top"/>
          </w:tcPr>
          <w:p w14:paraId="74C2B306">
            <w:pPr>
              <w:rPr>
                <w:rFonts w:ascii="Arial"/>
                <w:sz w:val="21"/>
              </w:rPr>
            </w:pPr>
          </w:p>
        </w:tc>
        <w:tc>
          <w:tcPr>
            <w:tcW w:w="4345" w:type="dxa"/>
            <w:gridSpan w:val="2"/>
            <w:vAlign w:val="top"/>
          </w:tcPr>
          <w:p w14:paraId="02283BA0">
            <w:pPr>
              <w:pStyle w:val="6"/>
              <w:spacing w:before="57" w:line="204" w:lineRule="auto"/>
              <w:ind w:left="1484"/>
              <w:rPr>
                <w:sz w:val="21"/>
                <w:szCs w:val="21"/>
              </w:rPr>
            </w:pPr>
            <w:r>
              <w:rPr>
                <w:spacing w:val="2"/>
                <w:sz w:val="21"/>
                <w:szCs w:val="21"/>
              </w:rPr>
              <w:t>山雀科</w:t>
            </w:r>
            <w:r>
              <w:rPr>
                <w:sz w:val="21"/>
                <w:szCs w:val="21"/>
              </w:rPr>
              <w:t>Paridae</w:t>
            </w:r>
          </w:p>
        </w:tc>
        <w:tc>
          <w:tcPr>
            <w:tcW w:w="679" w:type="dxa"/>
            <w:vAlign w:val="top"/>
          </w:tcPr>
          <w:p w14:paraId="51F4C67D">
            <w:pPr>
              <w:pStyle w:val="6"/>
              <w:spacing w:before="79" w:line="185" w:lineRule="auto"/>
              <w:ind w:left="279"/>
              <w:rPr>
                <w:sz w:val="21"/>
                <w:szCs w:val="21"/>
              </w:rPr>
            </w:pPr>
            <w:r>
              <w:rPr>
                <w:sz w:val="21"/>
                <w:szCs w:val="21"/>
              </w:rPr>
              <w:t>3</w:t>
            </w:r>
          </w:p>
        </w:tc>
        <w:tc>
          <w:tcPr>
            <w:tcW w:w="225" w:type="dxa"/>
            <w:vMerge w:val="continue"/>
            <w:tcBorders>
              <w:top w:val="nil"/>
              <w:bottom w:val="nil"/>
            </w:tcBorders>
            <w:vAlign w:val="top"/>
          </w:tcPr>
          <w:p w14:paraId="4500BF93">
            <w:pPr>
              <w:rPr>
                <w:rFonts w:ascii="Arial"/>
                <w:sz w:val="21"/>
              </w:rPr>
            </w:pPr>
          </w:p>
        </w:tc>
      </w:tr>
      <w:tr w14:paraId="577B4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84" w:type="dxa"/>
            <w:vMerge w:val="continue"/>
            <w:tcBorders>
              <w:top w:val="nil"/>
              <w:bottom w:val="nil"/>
            </w:tcBorders>
            <w:vAlign w:val="top"/>
          </w:tcPr>
          <w:p w14:paraId="47EE1844">
            <w:pPr>
              <w:rPr>
                <w:rFonts w:ascii="Arial"/>
                <w:sz w:val="21"/>
              </w:rPr>
            </w:pPr>
          </w:p>
        </w:tc>
        <w:tc>
          <w:tcPr>
            <w:tcW w:w="240" w:type="dxa"/>
            <w:vMerge w:val="continue"/>
            <w:tcBorders>
              <w:top w:val="nil"/>
              <w:bottom w:val="nil"/>
            </w:tcBorders>
            <w:vAlign w:val="top"/>
          </w:tcPr>
          <w:p w14:paraId="1BB22E4C">
            <w:pPr>
              <w:rPr>
                <w:rFonts w:ascii="Arial"/>
                <w:sz w:val="21"/>
              </w:rPr>
            </w:pPr>
          </w:p>
        </w:tc>
        <w:tc>
          <w:tcPr>
            <w:tcW w:w="3217" w:type="dxa"/>
            <w:vMerge w:val="continue"/>
            <w:tcBorders>
              <w:top w:val="nil"/>
              <w:bottom w:val="nil"/>
            </w:tcBorders>
            <w:vAlign w:val="top"/>
          </w:tcPr>
          <w:p w14:paraId="64EB4BFE">
            <w:pPr>
              <w:rPr>
                <w:rFonts w:ascii="Arial"/>
                <w:sz w:val="21"/>
              </w:rPr>
            </w:pPr>
          </w:p>
        </w:tc>
        <w:tc>
          <w:tcPr>
            <w:tcW w:w="4345" w:type="dxa"/>
            <w:gridSpan w:val="2"/>
            <w:vAlign w:val="top"/>
          </w:tcPr>
          <w:p w14:paraId="21DB3D55">
            <w:pPr>
              <w:pStyle w:val="6"/>
              <w:spacing w:before="57" w:line="204" w:lineRule="auto"/>
              <w:ind w:left="1064"/>
              <w:rPr>
                <w:sz w:val="21"/>
                <w:szCs w:val="21"/>
              </w:rPr>
            </w:pPr>
            <w:r>
              <w:rPr>
                <w:spacing w:val="-1"/>
                <w:sz w:val="21"/>
                <w:szCs w:val="21"/>
              </w:rPr>
              <w:t>太阳鸟科Nectariniidae</w:t>
            </w:r>
          </w:p>
        </w:tc>
        <w:tc>
          <w:tcPr>
            <w:tcW w:w="679" w:type="dxa"/>
            <w:vAlign w:val="top"/>
          </w:tcPr>
          <w:p w14:paraId="7336A4DE">
            <w:pPr>
              <w:pStyle w:val="6"/>
              <w:spacing w:before="79" w:line="185" w:lineRule="auto"/>
              <w:ind w:left="279"/>
              <w:rPr>
                <w:sz w:val="21"/>
                <w:szCs w:val="21"/>
              </w:rPr>
            </w:pPr>
            <w:r>
              <w:rPr>
                <w:sz w:val="21"/>
                <w:szCs w:val="21"/>
              </w:rPr>
              <w:t>1</w:t>
            </w:r>
          </w:p>
        </w:tc>
        <w:tc>
          <w:tcPr>
            <w:tcW w:w="225" w:type="dxa"/>
            <w:vMerge w:val="continue"/>
            <w:tcBorders>
              <w:top w:val="nil"/>
              <w:bottom w:val="nil"/>
            </w:tcBorders>
            <w:vAlign w:val="top"/>
          </w:tcPr>
          <w:p w14:paraId="535F2069">
            <w:pPr>
              <w:rPr>
                <w:rFonts w:ascii="Arial"/>
                <w:sz w:val="21"/>
              </w:rPr>
            </w:pPr>
          </w:p>
        </w:tc>
      </w:tr>
      <w:tr w14:paraId="45EE7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84" w:type="dxa"/>
            <w:vMerge w:val="continue"/>
            <w:tcBorders>
              <w:top w:val="nil"/>
              <w:bottom w:val="nil"/>
            </w:tcBorders>
            <w:vAlign w:val="top"/>
          </w:tcPr>
          <w:p w14:paraId="0D71E6F0">
            <w:pPr>
              <w:rPr>
                <w:rFonts w:ascii="Arial"/>
                <w:sz w:val="21"/>
              </w:rPr>
            </w:pPr>
          </w:p>
        </w:tc>
        <w:tc>
          <w:tcPr>
            <w:tcW w:w="240" w:type="dxa"/>
            <w:vMerge w:val="continue"/>
            <w:tcBorders>
              <w:top w:val="nil"/>
              <w:bottom w:val="nil"/>
            </w:tcBorders>
            <w:vAlign w:val="top"/>
          </w:tcPr>
          <w:p w14:paraId="0F724100">
            <w:pPr>
              <w:rPr>
                <w:rFonts w:ascii="Arial"/>
                <w:sz w:val="21"/>
              </w:rPr>
            </w:pPr>
          </w:p>
        </w:tc>
        <w:tc>
          <w:tcPr>
            <w:tcW w:w="3217" w:type="dxa"/>
            <w:vMerge w:val="continue"/>
            <w:tcBorders>
              <w:top w:val="nil"/>
              <w:bottom w:val="nil"/>
            </w:tcBorders>
            <w:vAlign w:val="top"/>
          </w:tcPr>
          <w:p w14:paraId="00CFB3B8">
            <w:pPr>
              <w:rPr>
                <w:rFonts w:ascii="Arial"/>
                <w:sz w:val="21"/>
              </w:rPr>
            </w:pPr>
          </w:p>
        </w:tc>
        <w:tc>
          <w:tcPr>
            <w:tcW w:w="4345" w:type="dxa"/>
            <w:gridSpan w:val="2"/>
            <w:vAlign w:val="top"/>
          </w:tcPr>
          <w:p w14:paraId="2A1D8325">
            <w:pPr>
              <w:pStyle w:val="6"/>
              <w:spacing w:before="52" w:line="209" w:lineRule="auto"/>
              <w:ind w:left="1114"/>
              <w:rPr>
                <w:sz w:val="21"/>
                <w:szCs w:val="21"/>
              </w:rPr>
            </w:pPr>
            <w:r>
              <w:rPr>
                <w:spacing w:val="3"/>
                <w:sz w:val="21"/>
                <w:szCs w:val="21"/>
              </w:rPr>
              <w:t>绣眼鸟科</w:t>
            </w:r>
            <w:r>
              <w:rPr>
                <w:sz w:val="21"/>
                <w:szCs w:val="21"/>
              </w:rPr>
              <w:t>Zosteropidae</w:t>
            </w:r>
          </w:p>
        </w:tc>
        <w:tc>
          <w:tcPr>
            <w:tcW w:w="679" w:type="dxa"/>
            <w:vAlign w:val="top"/>
          </w:tcPr>
          <w:p w14:paraId="1F4D2726">
            <w:pPr>
              <w:pStyle w:val="6"/>
              <w:spacing w:before="79" w:line="185" w:lineRule="auto"/>
              <w:ind w:left="279"/>
              <w:rPr>
                <w:sz w:val="21"/>
                <w:szCs w:val="21"/>
              </w:rPr>
            </w:pPr>
            <w:r>
              <w:rPr>
                <w:sz w:val="21"/>
                <w:szCs w:val="21"/>
              </w:rPr>
              <w:t>1</w:t>
            </w:r>
          </w:p>
        </w:tc>
        <w:tc>
          <w:tcPr>
            <w:tcW w:w="225" w:type="dxa"/>
            <w:vMerge w:val="continue"/>
            <w:tcBorders>
              <w:top w:val="nil"/>
              <w:bottom w:val="nil"/>
            </w:tcBorders>
            <w:vAlign w:val="top"/>
          </w:tcPr>
          <w:p w14:paraId="1EF3125B">
            <w:pPr>
              <w:rPr>
                <w:rFonts w:ascii="Arial"/>
                <w:sz w:val="21"/>
              </w:rPr>
            </w:pPr>
          </w:p>
        </w:tc>
      </w:tr>
      <w:tr w14:paraId="22E74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84" w:type="dxa"/>
            <w:vMerge w:val="continue"/>
            <w:tcBorders>
              <w:top w:val="nil"/>
            </w:tcBorders>
            <w:vAlign w:val="top"/>
          </w:tcPr>
          <w:p w14:paraId="0ED1C18F">
            <w:pPr>
              <w:rPr>
                <w:rFonts w:ascii="Arial"/>
                <w:sz w:val="21"/>
              </w:rPr>
            </w:pPr>
          </w:p>
        </w:tc>
        <w:tc>
          <w:tcPr>
            <w:tcW w:w="240" w:type="dxa"/>
            <w:vMerge w:val="continue"/>
            <w:tcBorders>
              <w:top w:val="nil"/>
            </w:tcBorders>
            <w:vAlign w:val="top"/>
          </w:tcPr>
          <w:p w14:paraId="30BC3D93">
            <w:pPr>
              <w:rPr>
                <w:rFonts w:ascii="Arial"/>
                <w:sz w:val="21"/>
              </w:rPr>
            </w:pPr>
          </w:p>
        </w:tc>
        <w:tc>
          <w:tcPr>
            <w:tcW w:w="3217" w:type="dxa"/>
            <w:vMerge w:val="continue"/>
            <w:tcBorders>
              <w:top w:val="nil"/>
            </w:tcBorders>
            <w:vAlign w:val="top"/>
          </w:tcPr>
          <w:p w14:paraId="2BF3DE17">
            <w:pPr>
              <w:rPr>
                <w:rFonts w:ascii="Arial"/>
                <w:sz w:val="21"/>
              </w:rPr>
            </w:pPr>
          </w:p>
        </w:tc>
        <w:tc>
          <w:tcPr>
            <w:tcW w:w="4345" w:type="dxa"/>
            <w:gridSpan w:val="2"/>
            <w:vAlign w:val="top"/>
          </w:tcPr>
          <w:p w14:paraId="657E1161">
            <w:pPr>
              <w:pStyle w:val="6"/>
              <w:spacing w:before="58" w:line="216" w:lineRule="auto"/>
              <w:ind w:left="1374"/>
              <w:rPr>
                <w:sz w:val="21"/>
                <w:szCs w:val="21"/>
              </w:rPr>
            </w:pPr>
            <w:r>
              <w:rPr>
                <w:spacing w:val="5"/>
                <w:sz w:val="21"/>
                <w:szCs w:val="21"/>
              </w:rPr>
              <w:t>文鸟科</w:t>
            </w:r>
            <w:r>
              <w:rPr>
                <w:sz w:val="21"/>
                <w:szCs w:val="21"/>
              </w:rPr>
              <w:t>Ploceidae</w:t>
            </w:r>
          </w:p>
        </w:tc>
        <w:tc>
          <w:tcPr>
            <w:tcW w:w="679" w:type="dxa"/>
            <w:vAlign w:val="top"/>
          </w:tcPr>
          <w:p w14:paraId="7F7B9ABD">
            <w:pPr>
              <w:pStyle w:val="6"/>
              <w:spacing w:before="79" w:line="197" w:lineRule="auto"/>
              <w:ind w:left="279"/>
              <w:rPr>
                <w:sz w:val="21"/>
                <w:szCs w:val="21"/>
              </w:rPr>
            </w:pPr>
            <w:r>
              <w:rPr>
                <w:sz w:val="21"/>
                <w:szCs w:val="21"/>
              </w:rPr>
              <w:t>2</w:t>
            </w:r>
          </w:p>
        </w:tc>
        <w:tc>
          <w:tcPr>
            <w:tcW w:w="225" w:type="dxa"/>
            <w:vMerge w:val="continue"/>
            <w:tcBorders>
              <w:top w:val="nil"/>
            </w:tcBorders>
            <w:vAlign w:val="top"/>
          </w:tcPr>
          <w:p w14:paraId="41F9E2D6">
            <w:pPr>
              <w:rPr>
                <w:rFonts w:ascii="Arial"/>
                <w:sz w:val="21"/>
              </w:rPr>
            </w:pPr>
          </w:p>
        </w:tc>
      </w:tr>
    </w:tbl>
    <w:p w14:paraId="793484CE">
      <w:pPr>
        <w:pStyle w:val="2"/>
        <w:spacing w:line="239" w:lineRule="exact"/>
        <w:rPr>
          <w:sz w:val="20"/>
        </w:rPr>
      </w:pPr>
    </w:p>
    <w:p w14:paraId="68BD3355">
      <w:pPr>
        <w:spacing w:line="239" w:lineRule="exact"/>
        <w:rPr>
          <w:sz w:val="20"/>
          <w:szCs w:val="20"/>
        </w:rPr>
        <w:sectPr>
          <w:footerReference r:id="rId99" w:type="default"/>
          <w:pgSz w:w="11910" w:h="16830"/>
          <w:pgMar w:top="400" w:right="1254" w:bottom="1245" w:left="1224" w:header="0" w:footer="1083" w:gutter="0"/>
          <w:cols w:space="720" w:num="1"/>
        </w:sectPr>
      </w:pPr>
    </w:p>
    <w:p w14:paraId="1169B321">
      <w:pPr>
        <w:spacing w:before="18"/>
      </w:pPr>
    </w:p>
    <w:p w14:paraId="4DBB79CE">
      <w:pPr>
        <w:spacing w:before="17"/>
      </w:pPr>
    </w:p>
    <w:p w14:paraId="3A2F98C1">
      <w:pPr>
        <w:spacing w:before="17"/>
      </w:pPr>
    </w:p>
    <w:p w14:paraId="23ECAC35">
      <w:pPr>
        <w:spacing w:before="17"/>
      </w:pPr>
    </w:p>
    <w:tbl>
      <w:tblPr>
        <w:tblStyle w:val="5"/>
        <w:tblW w:w="941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30"/>
        <w:gridCol w:w="709"/>
        <w:gridCol w:w="1478"/>
        <w:gridCol w:w="420"/>
        <w:gridCol w:w="557"/>
        <w:gridCol w:w="672"/>
        <w:gridCol w:w="518"/>
        <w:gridCol w:w="1190"/>
        <w:gridCol w:w="650"/>
        <w:gridCol w:w="459"/>
        <w:gridCol w:w="489"/>
        <w:gridCol w:w="620"/>
        <w:gridCol w:w="519"/>
        <w:gridCol w:w="297"/>
      </w:tblGrid>
      <w:tr w14:paraId="058A9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704" w:type="dxa"/>
            <w:vMerge w:val="restart"/>
            <w:tcBorders>
              <w:bottom w:val="nil"/>
            </w:tcBorders>
            <w:vAlign w:val="top"/>
          </w:tcPr>
          <w:p w14:paraId="04543780">
            <w:pPr>
              <w:rPr>
                <w:rFonts w:ascii="Arial"/>
                <w:sz w:val="21"/>
              </w:rPr>
            </w:pPr>
          </w:p>
        </w:tc>
        <w:tc>
          <w:tcPr>
            <w:tcW w:w="3294" w:type="dxa"/>
            <w:gridSpan w:val="5"/>
            <w:vAlign w:val="top"/>
          </w:tcPr>
          <w:p w14:paraId="41985384">
            <w:pPr>
              <w:rPr>
                <w:rFonts w:ascii="Arial"/>
                <w:sz w:val="21"/>
              </w:rPr>
            </w:pPr>
          </w:p>
        </w:tc>
        <w:tc>
          <w:tcPr>
            <w:tcW w:w="4598" w:type="dxa"/>
            <w:gridSpan w:val="7"/>
            <w:vAlign w:val="top"/>
          </w:tcPr>
          <w:p w14:paraId="58B3639C">
            <w:pPr>
              <w:pStyle w:val="6"/>
              <w:spacing w:before="37" w:line="206" w:lineRule="auto"/>
              <w:ind w:left="1597"/>
              <w:rPr>
                <w:sz w:val="24"/>
                <w:szCs w:val="24"/>
              </w:rPr>
            </w:pPr>
            <w:r>
              <w:rPr>
                <w:spacing w:val="7"/>
                <w:sz w:val="24"/>
                <w:szCs w:val="24"/>
              </w:rPr>
              <w:t>雀科</w:t>
            </w:r>
            <w:r>
              <w:rPr>
                <w:sz w:val="24"/>
                <w:szCs w:val="24"/>
              </w:rPr>
              <w:t>Fringillidae</w:t>
            </w:r>
          </w:p>
        </w:tc>
        <w:tc>
          <w:tcPr>
            <w:tcW w:w="816" w:type="dxa"/>
            <w:gridSpan w:val="2"/>
            <w:vMerge w:val="restart"/>
            <w:tcBorders>
              <w:bottom w:val="nil"/>
            </w:tcBorders>
            <w:vAlign w:val="top"/>
          </w:tcPr>
          <w:p w14:paraId="5573597A">
            <w:pPr>
              <w:pStyle w:val="6"/>
              <w:spacing w:before="99" w:line="212" w:lineRule="auto"/>
              <w:ind w:left="229"/>
              <w:rPr>
                <w:sz w:val="24"/>
                <w:szCs w:val="24"/>
              </w:rPr>
            </w:pPr>
            <w:r>
              <w:rPr>
                <w:sz w:val="24"/>
                <w:szCs w:val="24"/>
              </w:rPr>
              <w:t>5</w:t>
            </w:r>
          </w:p>
          <w:p w14:paraId="2D2ACDEB">
            <w:pPr>
              <w:pStyle w:val="6"/>
              <w:spacing w:line="219" w:lineRule="auto"/>
              <w:ind w:left="18"/>
              <w:rPr>
                <w:sz w:val="24"/>
                <w:szCs w:val="24"/>
              </w:rPr>
            </w:pPr>
            <w:r>
              <w:rPr>
                <w:spacing w:val="6"/>
                <w:sz w:val="24"/>
                <w:szCs w:val="24"/>
              </w:rPr>
              <w:t>冬候鸟</w:t>
            </w:r>
          </w:p>
          <w:p w14:paraId="1ED6AAA2">
            <w:pPr>
              <w:spacing w:line="252" w:lineRule="auto"/>
              <w:rPr>
                <w:rFonts w:ascii="Arial"/>
                <w:sz w:val="21"/>
              </w:rPr>
            </w:pPr>
          </w:p>
          <w:p w14:paraId="14274282">
            <w:pPr>
              <w:spacing w:line="253" w:lineRule="auto"/>
              <w:rPr>
                <w:rFonts w:ascii="Arial"/>
                <w:sz w:val="21"/>
              </w:rPr>
            </w:pPr>
          </w:p>
          <w:p w14:paraId="65757C97">
            <w:pPr>
              <w:spacing w:line="253" w:lineRule="auto"/>
              <w:rPr>
                <w:rFonts w:ascii="Arial"/>
                <w:sz w:val="21"/>
              </w:rPr>
            </w:pPr>
          </w:p>
          <w:p w14:paraId="7A9A4589">
            <w:pPr>
              <w:spacing w:line="253" w:lineRule="auto"/>
              <w:rPr>
                <w:rFonts w:ascii="Arial"/>
                <w:sz w:val="21"/>
              </w:rPr>
            </w:pPr>
          </w:p>
          <w:p w14:paraId="5F1F3675">
            <w:pPr>
              <w:spacing w:line="253" w:lineRule="auto"/>
              <w:rPr>
                <w:rFonts w:ascii="Arial"/>
                <w:sz w:val="21"/>
              </w:rPr>
            </w:pPr>
          </w:p>
          <w:p w14:paraId="4C7DB2CE">
            <w:pPr>
              <w:spacing w:line="253" w:lineRule="auto"/>
              <w:rPr>
                <w:rFonts w:ascii="Arial"/>
                <w:sz w:val="21"/>
              </w:rPr>
            </w:pPr>
          </w:p>
          <w:p w14:paraId="4522B693">
            <w:pPr>
              <w:spacing w:line="253" w:lineRule="auto"/>
              <w:rPr>
                <w:rFonts w:ascii="Arial"/>
                <w:sz w:val="21"/>
              </w:rPr>
            </w:pPr>
          </w:p>
          <w:p w14:paraId="79B79D13">
            <w:pPr>
              <w:spacing w:line="253" w:lineRule="auto"/>
              <w:rPr>
                <w:rFonts w:ascii="Arial"/>
                <w:sz w:val="21"/>
              </w:rPr>
            </w:pPr>
          </w:p>
          <w:p w14:paraId="50E26A93">
            <w:pPr>
              <w:spacing w:line="253" w:lineRule="auto"/>
              <w:rPr>
                <w:rFonts w:ascii="Arial"/>
                <w:sz w:val="21"/>
              </w:rPr>
            </w:pPr>
          </w:p>
          <w:p w14:paraId="5F227721">
            <w:pPr>
              <w:spacing w:line="253" w:lineRule="auto"/>
              <w:rPr>
                <w:rFonts w:ascii="Arial"/>
                <w:sz w:val="21"/>
              </w:rPr>
            </w:pPr>
          </w:p>
          <w:p w14:paraId="542DBA03">
            <w:pPr>
              <w:spacing w:line="253" w:lineRule="auto"/>
              <w:rPr>
                <w:rFonts w:ascii="Arial"/>
                <w:sz w:val="21"/>
              </w:rPr>
            </w:pPr>
          </w:p>
          <w:p w14:paraId="1D237BB0">
            <w:pPr>
              <w:pStyle w:val="6"/>
              <w:spacing w:before="75" w:line="219" w:lineRule="auto"/>
              <w:jc w:val="right"/>
              <w:rPr>
                <w:sz w:val="23"/>
                <w:szCs w:val="23"/>
              </w:rPr>
            </w:pPr>
            <w:r>
              <w:rPr>
                <w:spacing w:val="-22"/>
                <w:w w:val="94"/>
                <w:sz w:val="23"/>
                <w:szCs w:val="23"/>
              </w:rPr>
              <w:t>部</w:t>
            </w:r>
            <w:r>
              <w:rPr>
                <w:spacing w:val="-21"/>
                <w:w w:val="94"/>
                <w:sz w:val="23"/>
                <w:szCs w:val="23"/>
              </w:rPr>
              <w:t>繁殖</w:t>
            </w:r>
            <w:r>
              <w:rPr>
                <w:spacing w:val="-20"/>
                <w:w w:val="94"/>
                <w:sz w:val="23"/>
                <w:szCs w:val="23"/>
              </w:rPr>
              <w:t>鸟</w:t>
            </w:r>
          </w:p>
          <w:p w14:paraId="7B66696F">
            <w:pPr>
              <w:pStyle w:val="6"/>
              <w:spacing w:before="197" w:line="220" w:lineRule="auto"/>
              <w:jc w:val="right"/>
              <w:rPr>
                <w:sz w:val="23"/>
                <w:szCs w:val="23"/>
              </w:rPr>
            </w:pPr>
            <w:r>
              <w:rPr>
                <w:spacing w:val="-38"/>
                <w:w w:val="99"/>
                <w:sz w:val="23"/>
                <w:szCs w:val="23"/>
              </w:rPr>
              <w:t>种，</w:t>
            </w:r>
            <w:r>
              <w:rPr>
                <w:spacing w:val="-37"/>
                <w:w w:val="99"/>
                <w:sz w:val="23"/>
                <w:szCs w:val="23"/>
              </w:rPr>
              <w:t>占</w:t>
            </w:r>
            <w:r>
              <w:rPr>
                <w:spacing w:val="-11"/>
                <w:w w:val="99"/>
                <w:sz w:val="23"/>
                <w:szCs w:val="23"/>
              </w:rPr>
              <w:t>全</w:t>
            </w:r>
          </w:p>
        </w:tc>
      </w:tr>
      <w:tr w14:paraId="07573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8" w:hRule="atLeast"/>
        </w:trPr>
        <w:tc>
          <w:tcPr>
            <w:tcW w:w="704" w:type="dxa"/>
            <w:vMerge w:val="continue"/>
            <w:tcBorders>
              <w:top w:val="nil"/>
              <w:bottom w:val="nil"/>
            </w:tcBorders>
            <w:vAlign w:val="top"/>
          </w:tcPr>
          <w:p w14:paraId="002FC23E">
            <w:pPr>
              <w:rPr>
                <w:rFonts w:ascii="Arial"/>
                <w:sz w:val="21"/>
              </w:rPr>
            </w:pPr>
          </w:p>
        </w:tc>
        <w:tc>
          <w:tcPr>
            <w:tcW w:w="7892" w:type="dxa"/>
            <w:gridSpan w:val="12"/>
            <w:vAlign w:val="top"/>
          </w:tcPr>
          <w:p w14:paraId="5EEB9A88">
            <w:pPr>
              <w:pStyle w:val="6"/>
              <w:spacing w:before="36" w:line="362" w:lineRule="auto"/>
              <w:ind w:left="51" w:right="386" w:firstLine="529"/>
              <w:rPr>
                <w:sz w:val="24"/>
                <w:szCs w:val="24"/>
              </w:rPr>
            </w:pPr>
            <w:r>
              <w:rPr>
                <w:spacing w:val="2"/>
                <w:sz w:val="24"/>
                <w:szCs w:val="24"/>
              </w:rPr>
              <w:t>评价区记录的59种鸟类中，有繁殖鸟48种，占全部鸟类的81.36%,</w:t>
            </w:r>
            <w:r>
              <w:rPr>
                <w:spacing w:val="5"/>
                <w:sz w:val="24"/>
                <w:szCs w:val="24"/>
              </w:rPr>
              <w:t xml:space="preserve"> </w:t>
            </w:r>
            <w:r>
              <w:rPr>
                <w:sz w:val="24"/>
                <w:szCs w:val="24"/>
              </w:rPr>
              <w:t>9种，占全部鸟类的15.25%,旅鸟2种，占全部鸟类的3.39%。</w:t>
            </w:r>
          </w:p>
          <w:p w14:paraId="0B162E2D">
            <w:pPr>
              <w:pStyle w:val="6"/>
              <w:spacing w:before="2" w:line="219" w:lineRule="auto"/>
              <w:ind w:left="571"/>
              <w:rPr>
                <w:sz w:val="24"/>
                <w:szCs w:val="24"/>
              </w:rPr>
            </w:pPr>
            <w:r>
              <w:rPr>
                <w:sz w:val="24"/>
                <w:szCs w:val="24"/>
              </w:rPr>
              <w:t>繁殖鸟中大部分为留鸟，共有41种；夏候鸟7种。</w:t>
            </w:r>
          </w:p>
          <w:p w14:paraId="79D4EBE9">
            <w:pPr>
              <w:pStyle w:val="6"/>
              <w:spacing w:before="159" w:line="218" w:lineRule="auto"/>
              <w:ind w:left="2894"/>
              <w:rPr>
                <w:sz w:val="24"/>
                <w:szCs w:val="24"/>
              </w:rPr>
            </w:pPr>
            <w:r>
              <w:rPr>
                <w:b/>
                <w:bCs/>
                <w:spacing w:val="-4"/>
                <w:sz w:val="24"/>
                <w:szCs w:val="24"/>
              </w:rPr>
              <w:t>表3-10评价区鸟类居留状态</w:t>
            </w:r>
          </w:p>
        </w:tc>
        <w:tc>
          <w:tcPr>
            <w:tcW w:w="816" w:type="dxa"/>
            <w:gridSpan w:val="2"/>
            <w:vMerge w:val="continue"/>
            <w:tcBorders>
              <w:top w:val="nil"/>
              <w:bottom w:val="nil"/>
            </w:tcBorders>
            <w:vAlign w:val="top"/>
          </w:tcPr>
          <w:p w14:paraId="5445289A">
            <w:pPr>
              <w:rPr>
                <w:rFonts w:ascii="Arial"/>
                <w:sz w:val="21"/>
              </w:rPr>
            </w:pPr>
          </w:p>
        </w:tc>
      </w:tr>
      <w:tr w14:paraId="0C6CE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Merge w:val="continue"/>
            <w:tcBorders>
              <w:top w:val="nil"/>
              <w:bottom w:val="nil"/>
            </w:tcBorders>
            <w:vAlign w:val="top"/>
          </w:tcPr>
          <w:p w14:paraId="2461E673">
            <w:pPr>
              <w:rPr>
                <w:rFonts w:ascii="Arial"/>
                <w:sz w:val="21"/>
              </w:rPr>
            </w:pPr>
          </w:p>
        </w:tc>
        <w:tc>
          <w:tcPr>
            <w:tcW w:w="839" w:type="dxa"/>
            <w:gridSpan w:val="2"/>
            <w:vMerge w:val="restart"/>
            <w:tcBorders>
              <w:top w:val="nil"/>
              <w:bottom w:val="nil"/>
            </w:tcBorders>
            <w:vAlign w:val="top"/>
          </w:tcPr>
          <w:p w14:paraId="18E68760">
            <w:pPr>
              <w:rPr>
                <w:rFonts w:ascii="Arial"/>
                <w:sz w:val="21"/>
              </w:rPr>
            </w:pPr>
          </w:p>
        </w:tc>
        <w:tc>
          <w:tcPr>
            <w:tcW w:w="1478" w:type="dxa"/>
            <w:vMerge w:val="restart"/>
            <w:tcBorders>
              <w:bottom w:val="nil"/>
            </w:tcBorders>
            <w:vAlign w:val="top"/>
          </w:tcPr>
          <w:p w14:paraId="193EBB61">
            <w:pPr>
              <w:spacing w:line="241" w:lineRule="auto"/>
              <w:rPr>
                <w:rFonts w:ascii="Arial"/>
                <w:sz w:val="21"/>
              </w:rPr>
            </w:pPr>
          </w:p>
          <w:p w14:paraId="1D89F480">
            <w:pPr>
              <w:pStyle w:val="6"/>
              <w:spacing w:before="68" w:line="219" w:lineRule="auto"/>
              <w:ind w:left="311"/>
              <w:rPr>
                <w:sz w:val="21"/>
                <w:szCs w:val="21"/>
              </w:rPr>
            </w:pPr>
            <w:r>
              <w:rPr>
                <w:spacing w:val="2"/>
                <w:sz w:val="21"/>
                <w:szCs w:val="21"/>
              </w:rPr>
              <w:t>居留状态</w:t>
            </w:r>
          </w:p>
        </w:tc>
        <w:tc>
          <w:tcPr>
            <w:tcW w:w="2167" w:type="dxa"/>
            <w:gridSpan w:val="4"/>
            <w:vAlign w:val="top"/>
          </w:tcPr>
          <w:p w14:paraId="186D532A">
            <w:pPr>
              <w:pStyle w:val="6"/>
              <w:spacing w:before="150" w:line="219" w:lineRule="auto"/>
              <w:ind w:left="463"/>
              <w:rPr>
                <w:sz w:val="21"/>
                <w:szCs w:val="21"/>
              </w:rPr>
            </w:pPr>
            <w:r>
              <w:rPr>
                <w:spacing w:val="6"/>
                <w:sz w:val="21"/>
                <w:szCs w:val="21"/>
              </w:rPr>
              <w:t>繁殖鸟(48)</w:t>
            </w:r>
          </w:p>
        </w:tc>
        <w:tc>
          <w:tcPr>
            <w:tcW w:w="1190" w:type="dxa"/>
            <w:vMerge w:val="restart"/>
            <w:tcBorders>
              <w:bottom w:val="nil"/>
            </w:tcBorders>
            <w:vAlign w:val="top"/>
          </w:tcPr>
          <w:p w14:paraId="2FA578B3">
            <w:pPr>
              <w:spacing w:line="241" w:lineRule="auto"/>
              <w:rPr>
                <w:rFonts w:ascii="Arial"/>
                <w:sz w:val="21"/>
              </w:rPr>
            </w:pPr>
          </w:p>
          <w:p w14:paraId="425F09F2">
            <w:pPr>
              <w:pStyle w:val="6"/>
              <w:spacing w:before="68" w:line="219" w:lineRule="auto"/>
              <w:ind w:left="277"/>
              <w:rPr>
                <w:sz w:val="21"/>
                <w:szCs w:val="21"/>
              </w:rPr>
            </w:pPr>
            <w:r>
              <w:rPr>
                <w:spacing w:val="6"/>
                <w:sz w:val="21"/>
                <w:szCs w:val="21"/>
              </w:rPr>
              <w:t>冬候鸟</w:t>
            </w:r>
          </w:p>
        </w:tc>
        <w:tc>
          <w:tcPr>
            <w:tcW w:w="1109" w:type="dxa"/>
            <w:gridSpan w:val="2"/>
            <w:vMerge w:val="restart"/>
            <w:tcBorders>
              <w:bottom w:val="nil"/>
            </w:tcBorders>
            <w:vAlign w:val="top"/>
          </w:tcPr>
          <w:p w14:paraId="23820FD7">
            <w:pPr>
              <w:spacing w:line="241" w:lineRule="auto"/>
              <w:rPr>
                <w:rFonts w:ascii="Arial"/>
                <w:sz w:val="21"/>
              </w:rPr>
            </w:pPr>
          </w:p>
          <w:p w14:paraId="656D0A28">
            <w:pPr>
              <w:pStyle w:val="6"/>
              <w:spacing w:before="68" w:line="220" w:lineRule="auto"/>
              <w:ind w:left="337"/>
              <w:rPr>
                <w:sz w:val="21"/>
                <w:szCs w:val="21"/>
              </w:rPr>
            </w:pPr>
            <w:r>
              <w:rPr>
                <w:spacing w:val="9"/>
                <w:sz w:val="21"/>
                <w:szCs w:val="21"/>
              </w:rPr>
              <w:t>旅鸟</w:t>
            </w:r>
          </w:p>
        </w:tc>
        <w:tc>
          <w:tcPr>
            <w:tcW w:w="1109" w:type="dxa"/>
            <w:gridSpan w:val="2"/>
            <w:vMerge w:val="restart"/>
            <w:tcBorders>
              <w:bottom w:val="nil"/>
            </w:tcBorders>
            <w:vAlign w:val="top"/>
          </w:tcPr>
          <w:p w14:paraId="311DA5B2">
            <w:pPr>
              <w:spacing w:line="242" w:lineRule="auto"/>
              <w:rPr>
                <w:rFonts w:ascii="Arial"/>
                <w:sz w:val="21"/>
              </w:rPr>
            </w:pPr>
          </w:p>
          <w:p w14:paraId="26602FD2">
            <w:pPr>
              <w:pStyle w:val="6"/>
              <w:spacing w:before="68" w:line="221" w:lineRule="auto"/>
              <w:ind w:left="337"/>
              <w:rPr>
                <w:sz w:val="21"/>
                <w:szCs w:val="21"/>
              </w:rPr>
            </w:pPr>
            <w:r>
              <w:rPr>
                <w:spacing w:val="4"/>
                <w:sz w:val="21"/>
                <w:szCs w:val="21"/>
              </w:rPr>
              <w:t>小计</w:t>
            </w:r>
          </w:p>
        </w:tc>
        <w:tc>
          <w:tcPr>
            <w:tcW w:w="816" w:type="dxa"/>
            <w:gridSpan w:val="2"/>
            <w:vMerge w:val="continue"/>
            <w:tcBorders>
              <w:top w:val="nil"/>
              <w:bottom w:val="nil"/>
            </w:tcBorders>
            <w:vAlign w:val="top"/>
          </w:tcPr>
          <w:p w14:paraId="7DB967EF">
            <w:pPr>
              <w:rPr>
                <w:rFonts w:ascii="Arial"/>
                <w:sz w:val="21"/>
              </w:rPr>
            </w:pPr>
          </w:p>
        </w:tc>
      </w:tr>
      <w:tr w14:paraId="0EBDE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04" w:type="dxa"/>
            <w:vMerge w:val="continue"/>
            <w:tcBorders>
              <w:top w:val="nil"/>
              <w:bottom w:val="nil"/>
            </w:tcBorders>
            <w:vAlign w:val="top"/>
          </w:tcPr>
          <w:p w14:paraId="1F4F879E">
            <w:pPr>
              <w:rPr>
                <w:rFonts w:ascii="Arial"/>
                <w:sz w:val="21"/>
              </w:rPr>
            </w:pPr>
          </w:p>
        </w:tc>
        <w:tc>
          <w:tcPr>
            <w:tcW w:w="839" w:type="dxa"/>
            <w:gridSpan w:val="2"/>
            <w:vMerge w:val="continue"/>
            <w:tcBorders>
              <w:top w:val="nil"/>
              <w:bottom w:val="nil"/>
            </w:tcBorders>
            <w:vAlign w:val="top"/>
          </w:tcPr>
          <w:p w14:paraId="6183E9A1">
            <w:pPr>
              <w:rPr>
                <w:rFonts w:ascii="Arial"/>
                <w:sz w:val="21"/>
              </w:rPr>
            </w:pPr>
          </w:p>
        </w:tc>
        <w:tc>
          <w:tcPr>
            <w:tcW w:w="1478" w:type="dxa"/>
            <w:vMerge w:val="continue"/>
            <w:tcBorders>
              <w:top w:val="nil"/>
            </w:tcBorders>
            <w:vAlign w:val="top"/>
          </w:tcPr>
          <w:p w14:paraId="0224C947">
            <w:pPr>
              <w:rPr>
                <w:rFonts w:ascii="Arial"/>
                <w:sz w:val="21"/>
              </w:rPr>
            </w:pPr>
          </w:p>
        </w:tc>
        <w:tc>
          <w:tcPr>
            <w:tcW w:w="977" w:type="dxa"/>
            <w:gridSpan w:val="2"/>
            <w:vAlign w:val="top"/>
          </w:tcPr>
          <w:p w14:paraId="6407F095">
            <w:pPr>
              <w:pStyle w:val="6"/>
              <w:spacing w:before="52" w:line="209" w:lineRule="auto"/>
              <w:ind w:right="34"/>
              <w:jc w:val="right"/>
              <w:rPr>
                <w:sz w:val="21"/>
                <w:szCs w:val="21"/>
              </w:rPr>
            </w:pPr>
            <w:r>
              <w:rPr>
                <w:spacing w:val="9"/>
                <w:sz w:val="21"/>
                <w:szCs w:val="21"/>
              </w:rPr>
              <w:t>留鸟</w:t>
            </w:r>
          </w:p>
        </w:tc>
        <w:tc>
          <w:tcPr>
            <w:tcW w:w="1190" w:type="dxa"/>
            <w:gridSpan w:val="2"/>
            <w:vAlign w:val="top"/>
          </w:tcPr>
          <w:p w14:paraId="4957281D">
            <w:pPr>
              <w:pStyle w:val="6"/>
              <w:spacing w:before="51" w:line="210" w:lineRule="auto"/>
              <w:ind w:right="34"/>
              <w:jc w:val="right"/>
              <w:rPr>
                <w:sz w:val="21"/>
                <w:szCs w:val="21"/>
              </w:rPr>
            </w:pPr>
            <w:r>
              <w:rPr>
                <w:spacing w:val="5"/>
                <w:sz w:val="21"/>
                <w:szCs w:val="21"/>
              </w:rPr>
              <w:t>夏候鸟</w:t>
            </w:r>
          </w:p>
        </w:tc>
        <w:tc>
          <w:tcPr>
            <w:tcW w:w="1190" w:type="dxa"/>
            <w:vMerge w:val="continue"/>
            <w:tcBorders>
              <w:top w:val="nil"/>
            </w:tcBorders>
            <w:vAlign w:val="top"/>
          </w:tcPr>
          <w:p w14:paraId="3FA9C335">
            <w:pPr>
              <w:rPr>
                <w:rFonts w:ascii="Arial"/>
                <w:sz w:val="21"/>
              </w:rPr>
            </w:pPr>
          </w:p>
        </w:tc>
        <w:tc>
          <w:tcPr>
            <w:tcW w:w="1109" w:type="dxa"/>
            <w:gridSpan w:val="2"/>
            <w:vMerge w:val="continue"/>
            <w:tcBorders>
              <w:top w:val="nil"/>
            </w:tcBorders>
            <w:vAlign w:val="top"/>
          </w:tcPr>
          <w:p w14:paraId="36F4A002">
            <w:pPr>
              <w:rPr>
                <w:rFonts w:ascii="Arial"/>
                <w:sz w:val="21"/>
              </w:rPr>
            </w:pPr>
          </w:p>
        </w:tc>
        <w:tc>
          <w:tcPr>
            <w:tcW w:w="1109" w:type="dxa"/>
            <w:gridSpan w:val="2"/>
            <w:vMerge w:val="continue"/>
            <w:tcBorders>
              <w:top w:val="nil"/>
            </w:tcBorders>
            <w:vAlign w:val="top"/>
          </w:tcPr>
          <w:p w14:paraId="4B0E0EE4">
            <w:pPr>
              <w:rPr>
                <w:rFonts w:ascii="Arial"/>
                <w:sz w:val="21"/>
              </w:rPr>
            </w:pPr>
          </w:p>
        </w:tc>
        <w:tc>
          <w:tcPr>
            <w:tcW w:w="816" w:type="dxa"/>
            <w:gridSpan w:val="2"/>
            <w:vMerge w:val="continue"/>
            <w:tcBorders>
              <w:top w:val="nil"/>
              <w:bottom w:val="nil"/>
            </w:tcBorders>
            <w:vAlign w:val="top"/>
          </w:tcPr>
          <w:p w14:paraId="564D1915">
            <w:pPr>
              <w:rPr>
                <w:rFonts w:ascii="Arial"/>
                <w:sz w:val="21"/>
              </w:rPr>
            </w:pPr>
          </w:p>
        </w:tc>
      </w:tr>
      <w:tr w14:paraId="68C20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704" w:type="dxa"/>
            <w:vMerge w:val="continue"/>
            <w:tcBorders>
              <w:top w:val="nil"/>
              <w:bottom w:val="nil"/>
            </w:tcBorders>
            <w:vAlign w:val="top"/>
          </w:tcPr>
          <w:p w14:paraId="5154E587">
            <w:pPr>
              <w:rPr>
                <w:rFonts w:ascii="Arial"/>
                <w:sz w:val="21"/>
              </w:rPr>
            </w:pPr>
          </w:p>
        </w:tc>
        <w:tc>
          <w:tcPr>
            <w:tcW w:w="839" w:type="dxa"/>
            <w:gridSpan w:val="2"/>
            <w:vMerge w:val="continue"/>
            <w:tcBorders>
              <w:top w:val="nil"/>
              <w:bottom w:val="nil"/>
            </w:tcBorders>
            <w:vAlign w:val="top"/>
          </w:tcPr>
          <w:p w14:paraId="7F47751B">
            <w:pPr>
              <w:rPr>
                <w:rFonts w:ascii="Arial"/>
                <w:sz w:val="21"/>
              </w:rPr>
            </w:pPr>
          </w:p>
        </w:tc>
        <w:tc>
          <w:tcPr>
            <w:tcW w:w="1478" w:type="dxa"/>
            <w:vAlign w:val="top"/>
          </w:tcPr>
          <w:p w14:paraId="5B3B8B7F">
            <w:pPr>
              <w:pStyle w:val="6"/>
              <w:spacing w:before="41" w:line="209" w:lineRule="auto"/>
              <w:ind w:left="522"/>
              <w:rPr>
                <w:sz w:val="21"/>
                <w:szCs w:val="21"/>
              </w:rPr>
            </w:pPr>
            <w:r>
              <w:rPr>
                <w:spacing w:val="-3"/>
                <w:sz w:val="21"/>
                <w:szCs w:val="21"/>
              </w:rPr>
              <w:t>种数</w:t>
            </w:r>
          </w:p>
        </w:tc>
        <w:tc>
          <w:tcPr>
            <w:tcW w:w="977" w:type="dxa"/>
            <w:gridSpan w:val="2"/>
            <w:vAlign w:val="top"/>
          </w:tcPr>
          <w:p w14:paraId="444C77CD">
            <w:pPr>
              <w:pStyle w:val="6"/>
              <w:spacing w:before="62" w:line="190" w:lineRule="auto"/>
              <w:ind w:left="374"/>
              <w:rPr>
                <w:sz w:val="21"/>
                <w:szCs w:val="21"/>
              </w:rPr>
            </w:pPr>
            <w:r>
              <w:rPr>
                <w:spacing w:val="-2"/>
                <w:sz w:val="21"/>
                <w:szCs w:val="21"/>
              </w:rPr>
              <w:t>41</w:t>
            </w:r>
          </w:p>
        </w:tc>
        <w:tc>
          <w:tcPr>
            <w:tcW w:w="1190" w:type="dxa"/>
            <w:gridSpan w:val="2"/>
            <w:vAlign w:val="top"/>
          </w:tcPr>
          <w:p w14:paraId="20933B29">
            <w:pPr>
              <w:pStyle w:val="6"/>
              <w:spacing w:before="62" w:line="190" w:lineRule="auto"/>
              <w:ind w:left="537"/>
              <w:rPr>
                <w:sz w:val="21"/>
                <w:szCs w:val="21"/>
              </w:rPr>
            </w:pPr>
            <w:r>
              <w:rPr>
                <w:sz w:val="21"/>
                <w:szCs w:val="21"/>
              </w:rPr>
              <w:t>7</w:t>
            </w:r>
          </w:p>
        </w:tc>
        <w:tc>
          <w:tcPr>
            <w:tcW w:w="1190" w:type="dxa"/>
            <w:vAlign w:val="top"/>
          </w:tcPr>
          <w:p w14:paraId="22001C62">
            <w:pPr>
              <w:pStyle w:val="6"/>
              <w:spacing w:before="62" w:line="190" w:lineRule="auto"/>
              <w:ind w:left="537"/>
              <w:rPr>
                <w:sz w:val="21"/>
                <w:szCs w:val="21"/>
              </w:rPr>
            </w:pPr>
            <w:r>
              <w:rPr>
                <w:sz w:val="21"/>
                <w:szCs w:val="21"/>
              </w:rPr>
              <w:t>9</w:t>
            </w:r>
          </w:p>
        </w:tc>
        <w:tc>
          <w:tcPr>
            <w:tcW w:w="1109" w:type="dxa"/>
            <w:gridSpan w:val="2"/>
            <w:vAlign w:val="top"/>
          </w:tcPr>
          <w:p w14:paraId="637E1CDC">
            <w:pPr>
              <w:pStyle w:val="6"/>
              <w:spacing w:before="62" w:line="190" w:lineRule="auto"/>
              <w:ind w:left="497"/>
              <w:rPr>
                <w:sz w:val="21"/>
                <w:szCs w:val="21"/>
              </w:rPr>
            </w:pPr>
            <w:r>
              <w:rPr>
                <w:sz w:val="21"/>
                <w:szCs w:val="21"/>
              </w:rPr>
              <w:t>2</w:t>
            </w:r>
          </w:p>
        </w:tc>
        <w:tc>
          <w:tcPr>
            <w:tcW w:w="1109" w:type="dxa"/>
            <w:gridSpan w:val="2"/>
            <w:vAlign w:val="top"/>
          </w:tcPr>
          <w:p w14:paraId="4D81C235">
            <w:pPr>
              <w:pStyle w:val="6"/>
              <w:spacing w:before="62" w:line="190" w:lineRule="auto"/>
              <w:ind w:left="448"/>
              <w:rPr>
                <w:sz w:val="21"/>
                <w:szCs w:val="21"/>
              </w:rPr>
            </w:pPr>
            <w:r>
              <w:rPr>
                <w:spacing w:val="-4"/>
                <w:sz w:val="21"/>
                <w:szCs w:val="21"/>
              </w:rPr>
              <w:t>59</w:t>
            </w:r>
          </w:p>
        </w:tc>
        <w:tc>
          <w:tcPr>
            <w:tcW w:w="816" w:type="dxa"/>
            <w:gridSpan w:val="2"/>
            <w:vMerge w:val="continue"/>
            <w:tcBorders>
              <w:top w:val="nil"/>
              <w:bottom w:val="nil"/>
            </w:tcBorders>
            <w:vAlign w:val="top"/>
          </w:tcPr>
          <w:p w14:paraId="68C720EE">
            <w:pPr>
              <w:rPr>
                <w:rFonts w:ascii="Arial"/>
                <w:sz w:val="21"/>
              </w:rPr>
            </w:pPr>
          </w:p>
        </w:tc>
      </w:tr>
      <w:tr w14:paraId="4CA23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4" w:type="dxa"/>
            <w:vMerge w:val="continue"/>
            <w:tcBorders>
              <w:top w:val="nil"/>
              <w:bottom w:val="nil"/>
            </w:tcBorders>
            <w:vAlign w:val="top"/>
          </w:tcPr>
          <w:p w14:paraId="26B78155">
            <w:pPr>
              <w:rPr>
                <w:rFonts w:ascii="Arial"/>
                <w:sz w:val="21"/>
              </w:rPr>
            </w:pPr>
          </w:p>
        </w:tc>
        <w:tc>
          <w:tcPr>
            <w:tcW w:w="839" w:type="dxa"/>
            <w:gridSpan w:val="2"/>
            <w:vMerge w:val="continue"/>
            <w:tcBorders>
              <w:top w:val="nil"/>
              <w:bottom w:val="nil"/>
            </w:tcBorders>
            <w:vAlign w:val="top"/>
          </w:tcPr>
          <w:p w14:paraId="6748577B">
            <w:pPr>
              <w:rPr>
                <w:rFonts w:ascii="Arial"/>
                <w:sz w:val="21"/>
              </w:rPr>
            </w:pPr>
          </w:p>
        </w:tc>
        <w:tc>
          <w:tcPr>
            <w:tcW w:w="1478" w:type="dxa"/>
            <w:vAlign w:val="top"/>
          </w:tcPr>
          <w:p w14:paraId="01311775">
            <w:pPr>
              <w:pStyle w:val="6"/>
              <w:spacing w:before="63" w:line="190" w:lineRule="auto"/>
              <w:ind w:left="672"/>
              <w:rPr>
                <w:sz w:val="21"/>
                <w:szCs w:val="21"/>
              </w:rPr>
            </w:pPr>
            <w:r>
              <w:rPr>
                <w:sz w:val="21"/>
                <w:szCs w:val="21"/>
              </w:rPr>
              <w:t>%</w:t>
            </w:r>
          </w:p>
        </w:tc>
        <w:tc>
          <w:tcPr>
            <w:tcW w:w="977" w:type="dxa"/>
            <w:gridSpan w:val="2"/>
            <w:vAlign w:val="top"/>
          </w:tcPr>
          <w:p w14:paraId="0DCA884A">
            <w:pPr>
              <w:pStyle w:val="6"/>
              <w:spacing w:before="63" w:line="190" w:lineRule="auto"/>
              <w:ind w:left="213"/>
              <w:rPr>
                <w:sz w:val="21"/>
                <w:szCs w:val="21"/>
              </w:rPr>
            </w:pPr>
            <w:r>
              <w:rPr>
                <w:spacing w:val="-2"/>
                <w:sz w:val="21"/>
                <w:szCs w:val="21"/>
              </w:rPr>
              <w:t>69.49</w:t>
            </w:r>
          </w:p>
        </w:tc>
        <w:tc>
          <w:tcPr>
            <w:tcW w:w="1190" w:type="dxa"/>
            <w:gridSpan w:val="2"/>
            <w:vAlign w:val="top"/>
          </w:tcPr>
          <w:p w14:paraId="3A4C5FAF">
            <w:pPr>
              <w:pStyle w:val="6"/>
              <w:spacing w:before="63" w:line="190" w:lineRule="auto"/>
              <w:ind w:left="327"/>
              <w:rPr>
                <w:sz w:val="21"/>
                <w:szCs w:val="21"/>
              </w:rPr>
            </w:pPr>
            <w:r>
              <w:rPr>
                <w:spacing w:val="-4"/>
                <w:sz w:val="21"/>
                <w:szCs w:val="21"/>
              </w:rPr>
              <w:t>11.87</w:t>
            </w:r>
          </w:p>
        </w:tc>
        <w:tc>
          <w:tcPr>
            <w:tcW w:w="1190" w:type="dxa"/>
            <w:vAlign w:val="top"/>
          </w:tcPr>
          <w:p w14:paraId="492C0433">
            <w:pPr>
              <w:pStyle w:val="6"/>
              <w:spacing w:before="63" w:line="190" w:lineRule="auto"/>
              <w:ind w:left="327"/>
              <w:rPr>
                <w:sz w:val="21"/>
                <w:szCs w:val="21"/>
              </w:rPr>
            </w:pPr>
            <w:r>
              <w:rPr>
                <w:spacing w:val="-4"/>
                <w:sz w:val="21"/>
                <w:szCs w:val="21"/>
              </w:rPr>
              <w:t>15.25</w:t>
            </w:r>
          </w:p>
        </w:tc>
        <w:tc>
          <w:tcPr>
            <w:tcW w:w="1109" w:type="dxa"/>
            <w:gridSpan w:val="2"/>
            <w:vAlign w:val="top"/>
          </w:tcPr>
          <w:p w14:paraId="6EF4DD1F">
            <w:pPr>
              <w:pStyle w:val="6"/>
              <w:spacing w:before="63" w:line="190" w:lineRule="auto"/>
              <w:ind w:left="337"/>
              <w:rPr>
                <w:sz w:val="21"/>
                <w:szCs w:val="21"/>
              </w:rPr>
            </w:pPr>
            <w:r>
              <w:rPr>
                <w:spacing w:val="-3"/>
                <w:sz w:val="21"/>
                <w:szCs w:val="21"/>
              </w:rPr>
              <w:t>3.39</w:t>
            </w:r>
          </w:p>
        </w:tc>
        <w:tc>
          <w:tcPr>
            <w:tcW w:w="1109" w:type="dxa"/>
            <w:gridSpan w:val="2"/>
            <w:vAlign w:val="top"/>
          </w:tcPr>
          <w:p w14:paraId="112465B1">
            <w:pPr>
              <w:pStyle w:val="6"/>
              <w:spacing w:before="63" w:line="190" w:lineRule="auto"/>
              <w:ind w:left="388"/>
              <w:rPr>
                <w:sz w:val="21"/>
                <w:szCs w:val="21"/>
              </w:rPr>
            </w:pPr>
            <w:r>
              <w:rPr>
                <w:spacing w:val="-6"/>
                <w:sz w:val="21"/>
                <w:szCs w:val="21"/>
              </w:rPr>
              <w:t>100</w:t>
            </w:r>
          </w:p>
        </w:tc>
        <w:tc>
          <w:tcPr>
            <w:tcW w:w="816" w:type="dxa"/>
            <w:gridSpan w:val="2"/>
            <w:vMerge w:val="continue"/>
            <w:tcBorders>
              <w:top w:val="nil"/>
              <w:bottom w:val="nil"/>
            </w:tcBorders>
            <w:vAlign w:val="top"/>
          </w:tcPr>
          <w:p w14:paraId="54FBB96E">
            <w:pPr>
              <w:rPr>
                <w:rFonts w:ascii="Arial"/>
                <w:sz w:val="21"/>
              </w:rPr>
            </w:pPr>
          </w:p>
        </w:tc>
      </w:tr>
      <w:tr w14:paraId="30D57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9" w:hRule="atLeast"/>
        </w:trPr>
        <w:tc>
          <w:tcPr>
            <w:tcW w:w="704" w:type="dxa"/>
            <w:vMerge w:val="continue"/>
            <w:tcBorders>
              <w:top w:val="nil"/>
              <w:bottom w:val="nil"/>
            </w:tcBorders>
            <w:vAlign w:val="top"/>
          </w:tcPr>
          <w:p w14:paraId="615E2D81">
            <w:pPr>
              <w:rPr>
                <w:rFonts w:ascii="Arial"/>
                <w:sz w:val="21"/>
              </w:rPr>
            </w:pPr>
          </w:p>
        </w:tc>
        <w:tc>
          <w:tcPr>
            <w:tcW w:w="7892" w:type="dxa"/>
            <w:gridSpan w:val="12"/>
            <w:vAlign w:val="top"/>
          </w:tcPr>
          <w:p w14:paraId="6A752DCC">
            <w:pPr>
              <w:pStyle w:val="6"/>
              <w:spacing w:before="44" w:line="219" w:lineRule="auto"/>
              <w:ind w:left="610"/>
              <w:rPr>
                <w:sz w:val="24"/>
                <w:szCs w:val="24"/>
              </w:rPr>
            </w:pPr>
            <w:r>
              <w:rPr>
                <w:sz w:val="24"/>
                <w:szCs w:val="24"/>
              </w:rPr>
              <w:t>在所记录的48种繁殖鸟中，大部分为东洋界物</w:t>
            </w:r>
            <w:r>
              <w:rPr>
                <w:spacing w:val="-1"/>
                <w:sz w:val="24"/>
                <w:szCs w:val="24"/>
              </w:rPr>
              <w:t>种，共有25种，占全</w:t>
            </w:r>
          </w:p>
          <w:p w14:paraId="255CA654">
            <w:pPr>
              <w:pStyle w:val="6"/>
              <w:spacing w:before="184" w:line="352" w:lineRule="auto"/>
              <w:ind w:left="80" w:right="900" w:firstLine="50"/>
              <w:rPr>
                <w:sz w:val="24"/>
                <w:szCs w:val="24"/>
              </w:rPr>
            </w:pPr>
            <w:r>
              <w:rPr>
                <w:sz w:val="24"/>
                <w:szCs w:val="24"/>
              </w:rPr>
              <w:t>的52.08%;广布种有12种，占全部繁殖鸟的25%;其余11种为古北界</w:t>
            </w:r>
            <w:r>
              <w:rPr>
                <w:spacing w:val="9"/>
                <w:sz w:val="24"/>
                <w:szCs w:val="24"/>
              </w:rPr>
              <w:t xml:space="preserve"> </w:t>
            </w:r>
            <w:r>
              <w:rPr>
                <w:sz w:val="24"/>
                <w:szCs w:val="24"/>
              </w:rPr>
              <w:t>部繁殖鸟的22.92%,详见表3-11。</w:t>
            </w:r>
          </w:p>
          <w:p w14:paraId="42F28434">
            <w:pPr>
              <w:pStyle w:val="6"/>
              <w:spacing w:before="9" w:line="208" w:lineRule="auto"/>
              <w:ind w:left="2684"/>
              <w:rPr>
                <w:sz w:val="24"/>
                <w:szCs w:val="24"/>
              </w:rPr>
            </w:pPr>
            <w:r>
              <w:rPr>
                <w:b/>
                <w:bCs/>
                <w:spacing w:val="-4"/>
                <w:sz w:val="24"/>
                <w:szCs w:val="24"/>
              </w:rPr>
              <w:t>表3-11评价区繁殖鸟类区系成分</w:t>
            </w:r>
          </w:p>
        </w:tc>
        <w:tc>
          <w:tcPr>
            <w:tcW w:w="816" w:type="dxa"/>
            <w:gridSpan w:val="2"/>
            <w:vMerge w:val="continue"/>
            <w:tcBorders>
              <w:top w:val="nil"/>
            </w:tcBorders>
            <w:vAlign w:val="top"/>
          </w:tcPr>
          <w:p w14:paraId="44CEB157">
            <w:pPr>
              <w:rPr>
                <w:rFonts w:ascii="Arial"/>
                <w:sz w:val="21"/>
              </w:rPr>
            </w:pPr>
          </w:p>
        </w:tc>
      </w:tr>
      <w:tr w14:paraId="219EA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4" w:type="dxa"/>
            <w:vMerge w:val="continue"/>
            <w:tcBorders>
              <w:top w:val="nil"/>
              <w:bottom w:val="nil"/>
            </w:tcBorders>
            <w:vAlign w:val="top"/>
          </w:tcPr>
          <w:p w14:paraId="1970DC5B">
            <w:pPr>
              <w:rPr>
                <w:rFonts w:ascii="Arial"/>
                <w:sz w:val="21"/>
              </w:rPr>
            </w:pPr>
          </w:p>
        </w:tc>
        <w:tc>
          <w:tcPr>
            <w:tcW w:w="130" w:type="dxa"/>
            <w:tcBorders>
              <w:top w:val="nil"/>
              <w:bottom w:val="nil"/>
            </w:tcBorders>
            <w:vAlign w:val="top"/>
          </w:tcPr>
          <w:p w14:paraId="2257669C">
            <w:pPr>
              <w:rPr>
                <w:rFonts w:ascii="Arial"/>
                <w:sz w:val="21"/>
              </w:rPr>
            </w:pPr>
          </w:p>
        </w:tc>
        <w:tc>
          <w:tcPr>
            <w:tcW w:w="2187" w:type="dxa"/>
            <w:gridSpan w:val="2"/>
            <w:vAlign w:val="top"/>
          </w:tcPr>
          <w:p w14:paraId="0BBFD914">
            <w:pPr>
              <w:pStyle w:val="6"/>
              <w:spacing w:before="53" w:line="209" w:lineRule="auto"/>
              <w:ind w:left="681"/>
              <w:rPr>
                <w:sz w:val="20"/>
                <w:szCs w:val="20"/>
              </w:rPr>
            </w:pPr>
            <w:r>
              <w:rPr>
                <w:spacing w:val="4"/>
                <w:sz w:val="20"/>
                <w:szCs w:val="20"/>
              </w:rPr>
              <w:t>区系从属</w:t>
            </w:r>
          </w:p>
        </w:tc>
        <w:tc>
          <w:tcPr>
            <w:tcW w:w="1649" w:type="dxa"/>
            <w:gridSpan w:val="3"/>
            <w:vAlign w:val="top"/>
          </w:tcPr>
          <w:p w14:paraId="39B65E07">
            <w:pPr>
              <w:pStyle w:val="6"/>
              <w:spacing w:before="53" w:line="209" w:lineRule="auto"/>
              <w:ind w:left="514"/>
              <w:rPr>
                <w:sz w:val="20"/>
                <w:szCs w:val="20"/>
              </w:rPr>
            </w:pPr>
            <w:r>
              <w:rPr>
                <w:spacing w:val="2"/>
                <w:sz w:val="20"/>
                <w:szCs w:val="20"/>
              </w:rPr>
              <w:t>东洋界</w:t>
            </w:r>
          </w:p>
        </w:tc>
        <w:tc>
          <w:tcPr>
            <w:tcW w:w="1708" w:type="dxa"/>
            <w:gridSpan w:val="2"/>
            <w:vAlign w:val="top"/>
          </w:tcPr>
          <w:p w14:paraId="4200CD02">
            <w:pPr>
              <w:pStyle w:val="6"/>
              <w:spacing w:before="54" w:line="208" w:lineRule="auto"/>
              <w:ind w:left="545"/>
              <w:rPr>
                <w:sz w:val="20"/>
                <w:szCs w:val="20"/>
              </w:rPr>
            </w:pPr>
            <w:r>
              <w:rPr>
                <w:spacing w:val="2"/>
                <w:sz w:val="20"/>
                <w:szCs w:val="20"/>
              </w:rPr>
              <w:t>古北界</w:t>
            </w:r>
          </w:p>
        </w:tc>
        <w:tc>
          <w:tcPr>
            <w:tcW w:w="1598" w:type="dxa"/>
            <w:gridSpan w:val="3"/>
            <w:vAlign w:val="top"/>
          </w:tcPr>
          <w:p w14:paraId="63354EB3">
            <w:pPr>
              <w:pStyle w:val="6"/>
              <w:spacing w:before="52" w:line="210" w:lineRule="auto"/>
              <w:ind w:left="497"/>
              <w:rPr>
                <w:sz w:val="20"/>
                <w:szCs w:val="20"/>
              </w:rPr>
            </w:pPr>
            <w:r>
              <w:rPr>
                <w:spacing w:val="4"/>
                <w:sz w:val="20"/>
                <w:szCs w:val="20"/>
              </w:rPr>
              <w:t>广布种</w:t>
            </w:r>
          </w:p>
        </w:tc>
        <w:tc>
          <w:tcPr>
            <w:tcW w:w="620" w:type="dxa"/>
            <w:vAlign w:val="top"/>
          </w:tcPr>
          <w:p w14:paraId="72A7FD0E">
            <w:pPr>
              <w:rPr>
                <w:rFonts w:ascii="Arial"/>
                <w:sz w:val="21"/>
              </w:rPr>
            </w:pPr>
            <w:r>
              <w:pict>
                <v:shape id="_x0000_s1081" o:spid="_x0000_s1081" o:spt="202" type="#_x0000_t202" style="position:absolute;left:0pt;margin-left:17.7pt;margin-top:1.2pt;height:14pt;width:22.15pt;mso-position-horizontal-relative:page;mso-position-vertical-relative:page;z-index:251694080;mso-width-relative:page;mso-height-relative:page;" filled="f" stroked="f" coordsize="21600,21600">
                  <v:path/>
                  <v:fill on="f" focussize="0,0"/>
                  <v:stroke on="f"/>
                  <v:imagedata o:title=""/>
                  <o:lock v:ext="edit" aspectratio="f"/>
                  <v:textbox inset="0mm,0mm,0mm,0mm">
                    <w:txbxContent>
                      <w:p w14:paraId="11E0DCFC">
                        <w:pPr>
                          <w:pStyle w:val="6"/>
                          <w:spacing w:before="19" w:line="222" w:lineRule="auto"/>
                          <w:ind w:left="20"/>
                          <w:rPr>
                            <w:sz w:val="20"/>
                            <w:szCs w:val="20"/>
                          </w:rPr>
                        </w:pPr>
                        <w:r>
                          <w:rPr>
                            <w:spacing w:val="1"/>
                            <w:sz w:val="20"/>
                            <w:szCs w:val="20"/>
                          </w:rPr>
                          <w:t>小计</w:t>
                        </w:r>
                      </w:p>
                    </w:txbxContent>
                  </v:textbox>
                </v:shape>
              </w:pict>
            </w:r>
          </w:p>
        </w:tc>
        <w:tc>
          <w:tcPr>
            <w:tcW w:w="519" w:type="dxa"/>
            <w:vAlign w:val="top"/>
          </w:tcPr>
          <w:p w14:paraId="1B3D0BFA">
            <w:pPr>
              <w:rPr>
                <w:rFonts w:ascii="Arial"/>
                <w:sz w:val="21"/>
              </w:rPr>
            </w:pPr>
          </w:p>
        </w:tc>
        <w:tc>
          <w:tcPr>
            <w:tcW w:w="297" w:type="dxa"/>
            <w:vMerge w:val="restart"/>
            <w:tcBorders>
              <w:top w:val="nil"/>
              <w:bottom w:val="nil"/>
            </w:tcBorders>
            <w:vAlign w:val="top"/>
          </w:tcPr>
          <w:p w14:paraId="3712100E">
            <w:pPr>
              <w:rPr>
                <w:rFonts w:ascii="Arial"/>
                <w:sz w:val="21"/>
              </w:rPr>
            </w:pPr>
          </w:p>
        </w:tc>
      </w:tr>
      <w:tr w14:paraId="5401C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4" w:type="dxa"/>
            <w:vMerge w:val="continue"/>
            <w:tcBorders>
              <w:top w:val="nil"/>
              <w:bottom w:val="nil"/>
            </w:tcBorders>
            <w:vAlign w:val="top"/>
          </w:tcPr>
          <w:p w14:paraId="69F7427F">
            <w:pPr>
              <w:rPr>
                <w:rFonts w:ascii="Arial"/>
                <w:sz w:val="21"/>
              </w:rPr>
            </w:pPr>
          </w:p>
        </w:tc>
        <w:tc>
          <w:tcPr>
            <w:tcW w:w="130" w:type="dxa"/>
            <w:tcBorders>
              <w:top w:val="nil"/>
              <w:bottom w:val="nil"/>
            </w:tcBorders>
            <w:vAlign w:val="top"/>
          </w:tcPr>
          <w:p w14:paraId="471EB94F">
            <w:pPr>
              <w:rPr>
                <w:rFonts w:ascii="Arial"/>
                <w:sz w:val="21"/>
              </w:rPr>
            </w:pPr>
          </w:p>
        </w:tc>
        <w:tc>
          <w:tcPr>
            <w:tcW w:w="2187" w:type="dxa"/>
            <w:gridSpan w:val="2"/>
            <w:vAlign w:val="top"/>
          </w:tcPr>
          <w:p w14:paraId="7B1A534F">
            <w:pPr>
              <w:pStyle w:val="6"/>
              <w:spacing w:before="52" w:line="210" w:lineRule="auto"/>
              <w:ind w:left="881"/>
              <w:rPr>
                <w:sz w:val="20"/>
                <w:szCs w:val="20"/>
              </w:rPr>
            </w:pPr>
            <w:r>
              <w:rPr>
                <w:spacing w:val="-2"/>
                <w:sz w:val="20"/>
                <w:szCs w:val="20"/>
              </w:rPr>
              <w:t>种数</w:t>
            </w:r>
          </w:p>
        </w:tc>
        <w:tc>
          <w:tcPr>
            <w:tcW w:w="1649" w:type="dxa"/>
            <w:gridSpan w:val="3"/>
            <w:vAlign w:val="top"/>
          </w:tcPr>
          <w:p w14:paraId="33C4A00A">
            <w:pPr>
              <w:pStyle w:val="6"/>
              <w:spacing w:before="73" w:line="191" w:lineRule="auto"/>
              <w:ind w:left="714"/>
              <w:rPr>
                <w:sz w:val="20"/>
                <w:szCs w:val="20"/>
              </w:rPr>
            </w:pPr>
            <w:r>
              <w:rPr>
                <w:spacing w:val="-3"/>
                <w:sz w:val="20"/>
                <w:szCs w:val="20"/>
              </w:rPr>
              <w:t>25</w:t>
            </w:r>
          </w:p>
        </w:tc>
        <w:tc>
          <w:tcPr>
            <w:tcW w:w="1708" w:type="dxa"/>
            <w:gridSpan w:val="2"/>
            <w:vAlign w:val="top"/>
          </w:tcPr>
          <w:p w14:paraId="6D214E8E">
            <w:pPr>
              <w:pStyle w:val="6"/>
              <w:spacing w:before="73" w:line="191" w:lineRule="auto"/>
              <w:ind w:left="745"/>
              <w:rPr>
                <w:sz w:val="20"/>
                <w:szCs w:val="20"/>
              </w:rPr>
            </w:pPr>
            <w:r>
              <w:rPr>
                <w:spacing w:val="-6"/>
                <w:sz w:val="20"/>
                <w:szCs w:val="20"/>
              </w:rPr>
              <w:t>11</w:t>
            </w:r>
          </w:p>
        </w:tc>
        <w:tc>
          <w:tcPr>
            <w:tcW w:w="1598" w:type="dxa"/>
            <w:gridSpan w:val="3"/>
            <w:vAlign w:val="top"/>
          </w:tcPr>
          <w:p w14:paraId="2BBBF916">
            <w:pPr>
              <w:pStyle w:val="6"/>
              <w:spacing w:before="73" w:line="191" w:lineRule="auto"/>
              <w:ind w:left="697"/>
              <w:rPr>
                <w:sz w:val="20"/>
                <w:szCs w:val="20"/>
              </w:rPr>
            </w:pPr>
            <w:r>
              <w:rPr>
                <w:spacing w:val="-6"/>
                <w:sz w:val="20"/>
                <w:szCs w:val="20"/>
              </w:rPr>
              <w:t>12</w:t>
            </w:r>
          </w:p>
        </w:tc>
        <w:tc>
          <w:tcPr>
            <w:tcW w:w="620" w:type="dxa"/>
            <w:vAlign w:val="top"/>
          </w:tcPr>
          <w:p w14:paraId="3F36F1EC">
            <w:pPr>
              <w:pStyle w:val="6"/>
              <w:spacing w:before="73" w:line="191" w:lineRule="auto"/>
              <w:jc w:val="right"/>
              <w:rPr>
                <w:sz w:val="20"/>
                <w:szCs w:val="20"/>
              </w:rPr>
            </w:pPr>
            <w:r>
              <w:rPr>
                <w:spacing w:val="-12"/>
                <w:w w:val="82"/>
                <w:sz w:val="20"/>
                <w:szCs w:val="20"/>
              </w:rPr>
              <w:t>48</w:t>
            </w:r>
          </w:p>
        </w:tc>
        <w:tc>
          <w:tcPr>
            <w:tcW w:w="519" w:type="dxa"/>
            <w:vAlign w:val="top"/>
          </w:tcPr>
          <w:p w14:paraId="7D0FFB59">
            <w:pPr>
              <w:rPr>
                <w:rFonts w:ascii="Arial"/>
                <w:sz w:val="21"/>
              </w:rPr>
            </w:pPr>
          </w:p>
        </w:tc>
        <w:tc>
          <w:tcPr>
            <w:tcW w:w="297" w:type="dxa"/>
            <w:vMerge w:val="continue"/>
            <w:tcBorders>
              <w:top w:val="nil"/>
              <w:bottom w:val="nil"/>
            </w:tcBorders>
            <w:vAlign w:val="top"/>
          </w:tcPr>
          <w:p w14:paraId="03B8DB5D">
            <w:pPr>
              <w:rPr>
                <w:rFonts w:ascii="Arial"/>
                <w:sz w:val="21"/>
              </w:rPr>
            </w:pPr>
          </w:p>
        </w:tc>
      </w:tr>
      <w:tr w14:paraId="32B18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04" w:type="dxa"/>
            <w:vMerge w:val="continue"/>
            <w:tcBorders>
              <w:top w:val="nil"/>
              <w:bottom w:val="nil"/>
            </w:tcBorders>
            <w:vAlign w:val="top"/>
          </w:tcPr>
          <w:p w14:paraId="2A04A104">
            <w:pPr>
              <w:rPr>
                <w:rFonts w:ascii="Arial"/>
                <w:sz w:val="21"/>
              </w:rPr>
            </w:pPr>
          </w:p>
        </w:tc>
        <w:tc>
          <w:tcPr>
            <w:tcW w:w="130" w:type="dxa"/>
            <w:tcBorders>
              <w:top w:val="nil"/>
              <w:bottom w:val="nil"/>
            </w:tcBorders>
            <w:vAlign w:val="top"/>
          </w:tcPr>
          <w:p w14:paraId="4AAB72FA">
            <w:pPr>
              <w:rPr>
                <w:rFonts w:ascii="Arial"/>
                <w:sz w:val="21"/>
              </w:rPr>
            </w:pPr>
          </w:p>
        </w:tc>
        <w:tc>
          <w:tcPr>
            <w:tcW w:w="2187" w:type="dxa"/>
            <w:gridSpan w:val="2"/>
            <w:vAlign w:val="top"/>
          </w:tcPr>
          <w:p w14:paraId="076B0156">
            <w:pPr>
              <w:pStyle w:val="6"/>
              <w:spacing w:before="73" w:line="200" w:lineRule="auto"/>
              <w:ind w:left="1030"/>
              <w:rPr>
                <w:sz w:val="20"/>
                <w:szCs w:val="20"/>
              </w:rPr>
            </w:pPr>
            <w:r>
              <w:rPr>
                <w:sz w:val="20"/>
                <w:szCs w:val="20"/>
              </w:rPr>
              <w:t>%</w:t>
            </w:r>
          </w:p>
        </w:tc>
        <w:tc>
          <w:tcPr>
            <w:tcW w:w="1649" w:type="dxa"/>
            <w:gridSpan w:val="3"/>
            <w:vAlign w:val="top"/>
          </w:tcPr>
          <w:p w14:paraId="743DC02A">
            <w:pPr>
              <w:pStyle w:val="6"/>
              <w:spacing w:before="73" w:line="200" w:lineRule="auto"/>
              <w:ind w:left="564"/>
              <w:rPr>
                <w:sz w:val="20"/>
                <w:szCs w:val="20"/>
              </w:rPr>
            </w:pPr>
            <w:r>
              <w:rPr>
                <w:spacing w:val="-2"/>
                <w:sz w:val="20"/>
                <w:szCs w:val="20"/>
              </w:rPr>
              <w:t>52.08</w:t>
            </w:r>
          </w:p>
        </w:tc>
        <w:tc>
          <w:tcPr>
            <w:tcW w:w="1708" w:type="dxa"/>
            <w:gridSpan w:val="2"/>
            <w:vAlign w:val="top"/>
          </w:tcPr>
          <w:p w14:paraId="1D477EAB">
            <w:pPr>
              <w:pStyle w:val="6"/>
              <w:spacing w:before="73" w:line="200" w:lineRule="auto"/>
              <w:ind w:left="595"/>
              <w:rPr>
                <w:sz w:val="20"/>
                <w:szCs w:val="20"/>
              </w:rPr>
            </w:pPr>
            <w:r>
              <w:rPr>
                <w:spacing w:val="-2"/>
                <w:sz w:val="20"/>
                <w:szCs w:val="20"/>
              </w:rPr>
              <w:t>22.92</w:t>
            </w:r>
          </w:p>
        </w:tc>
        <w:tc>
          <w:tcPr>
            <w:tcW w:w="1598" w:type="dxa"/>
            <w:gridSpan w:val="3"/>
            <w:vAlign w:val="top"/>
          </w:tcPr>
          <w:p w14:paraId="724BAE2B">
            <w:pPr>
              <w:pStyle w:val="6"/>
              <w:spacing w:before="73" w:line="200" w:lineRule="auto"/>
              <w:ind w:left="547"/>
              <w:rPr>
                <w:sz w:val="20"/>
                <w:szCs w:val="20"/>
              </w:rPr>
            </w:pPr>
            <w:r>
              <w:rPr>
                <w:spacing w:val="-2"/>
                <w:sz w:val="20"/>
                <w:szCs w:val="20"/>
              </w:rPr>
              <w:t>25.00</w:t>
            </w:r>
          </w:p>
        </w:tc>
        <w:tc>
          <w:tcPr>
            <w:tcW w:w="620" w:type="dxa"/>
            <w:vAlign w:val="top"/>
          </w:tcPr>
          <w:p w14:paraId="5947C00E">
            <w:pPr>
              <w:pStyle w:val="6"/>
              <w:spacing w:before="73" w:line="200" w:lineRule="auto"/>
              <w:jc w:val="right"/>
              <w:rPr>
                <w:sz w:val="20"/>
                <w:szCs w:val="20"/>
              </w:rPr>
            </w:pPr>
            <w:r>
              <w:rPr>
                <w:spacing w:val="-19"/>
                <w:w w:val="85"/>
                <w:sz w:val="20"/>
                <w:szCs w:val="20"/>
              </w:rPr>
              <w:t>0</w:t>
            </w:r>
            <w:r>
              <w:rPr>
                <w:spacing w:val="-11"/>
                <w:w w:val="85"/>
                <w:sz w:val="20"/>
                <w:szCs w:val="20"/>
              </w:rPr>
              <w:t>0</w:t>
            </w:r>
          </w:p>
        </w:tc>
        <w:tc>
          <w:tcPr>
            <w:tcW w:w="519" w:type="dxa"/>
            <w:vAlign w:val="top"/>
          </w:tcPr>
          <w:p w14:paraId="256D7134">
            <w:pPr>
              <w:rPr>
                <w:rFonts w:ascii="Arial"/>
                <w:sz w:val="21"/>
              </w:rPr>
            </w:pPr>
          </w:p>
        </w:tc>
        <w:tc>
          <w:tcPr>
            <w:tcW w:w="297" w:type="dxa"/>
            <w:vMerge w:val="continue"/>
            <w:tcBorders>
              <w:top w:val="nil"/>
              <w:bottom w:val="nil"/>
            </w:tcBorders>
            <w:vAlign w:val="top"/>
          </w:tcPr>
          <w:p w14:paraId="34DC7706">
            <w:pPr>
              <w:rPr>
                <w:rFonts w:ascii="Arial"/>
                <w:sz w:val="21"/>
              </w:rPr>
            </w:pPr>
          </w:p>
        </w:tc>
      </w:tr>
      <w:tr w14:paraId="622AA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5" w:hRule="atLeast"/>
        </w:trPr>
        <w:tc>
          <w:tcPr>
            <w:tcW w:w="704" w:type="dxa"/>
            <w:vMerge w:val="continue"/>
            <w:tcBorders>
              <w:top w:val="nil"/>
              <w:bottom w:val="nil"/>
            </w:tcBorders>
            <w:vAlign w:val="top"/>
          </w:tcPr>
          <w:p w14:paraId="77F56240">
            <w:pPr>
              <w:rPr>
                <w:rFonts w:ascii="Arial"/>
                <w:sz w:val="21"/>
              </w:rPr>
            </w:pPr>
          </w:p>
        </w:tc>
        <w:tc>
          <w:tcPr>
            <w:tcW w:w="7892" w:type="dxa"/>
            <w:gridSpan w:val="12"/>
            <w:vAlign w:val="top"/>
          </w:tcPr>
          <w:p w14:paraId="6957D031">
            <w:pPr>
              <w:pStyle w:val="6"/>
              <w:spacing w:before="41" w:line="219" w:lineRule="auto"/>
              <w:ind w:left="664"/>
              <w:rPr>
                <w:sz w:val="24"/>
                <w:szCs w:val="24"/>
              </w:rPr>
            </w:pPr>
            <w:r>
              <w:rPr>
                <w:b/>
                <w:bCs/>
                <w:spacing w:val="-2"/>
                <w:sz w:val="24"/>
                <w:szCs w:val="24"/>
              </w:rPr>
              <w:t>(4)哺乳类</w:t>
            </w:r>
          </w:p>
          <w:p w14:paraId="201D4AB0">
            <w:pPr>
              <w:pStyle w:val="6"/>
              <w:spacing w:before="176" w:line="218" w:lineRule="auto"/>
              <w:ind w:left="640"/>
              <w:rPr>
                <w:sz w:val="24"/>
                <w:szCs w:val="24"/>
              </w:rPr>
            </w:pPr>
            <w:r>
              <w:rPr>
                <w:sz w:val="24"/>
                <w:szCs w:val="24"/>
              </w:rPr>
              <w:t>评价区及附近地区分布有哺乳动物7种，分别隶属于4目5科5属。</w:t>
            </w:r>
          </w:p>
          <w:p w14:paraId="2890D1B4">
            <w:pPr>
              <w:pStyle w:val="6"/>
              <w:spacing w:before="186" w:line="356" w:lineRule="auto"/>
              <w:ind w:left="141" w:right="17" w:firstLine="30"/>
              <w:rPr>
                <w:sz w:val="24"/>
                <w:szCs w:val="24"/>
              </w:rPr>
            </w:pPr>
            <w:r>
              <w:rPr>
                <w:sz w:val="24"/>
                <w:szCs w:val="24"/>
              </w:rPr>
              <w:t>受人为干扰影响，哺乳动物栖息环境残存面积较小，区内哺乳动物种类不</w:t>
            </w:r>
            <w:r>
              <w:rPr>
                <w:spacing w:val="12"/>
                <w:sz w:val="24"/>
                <w:szCs w:val="24"/>
              </w:rPr>
              <w:t xml:space="preserve"> </w:t>
            </w:r>
            <w:r>
              <w:rPr>
                <w:sz w:val="24"/>
                <w:szCs w:val="24"/>
              </w:rPr>
              <w:t>群数量较少，大多为偶见种，只有小型啮齿类部分种类常见。</w:t>
            </w:r>
          </w:p>
          <w:p w14:paraId="63BB91B1">
            <w:pPr>
              <w:pStyle w:val="6"/>
              <w:spacing w:before="5" w:line="359" w:lineRule="auto"/>
              <w:ind w:left="191" w:right="240" w:firstLine="479"/>
              <w:rPr>
                <w:sz w:val="24"/>
                <w:szCs w:val="24"/>
              </w:rPr>
            </w:pPr>
            <w:r>
              <w:rPr>
                <w:sz w:val="24"/>
                <w:szCs w:val="24"/>
              </w:rPr>
              <w:t>评价区记录的7种哺乳动物中全部为东洋界种</w:t>
            </w:r>
            <w:r>
              <w:rPr>
                <w:spacing w:val="-1"/>
                <w:sz w:val="24"/>
                <w:szCs w:val="24"/>
              </w:rPr>
              <w:t>类。在7种东洋界种类</w:t>
            </w:r>
            <w:r>
              <w:rPr>
                <w:sz w:val="24"/>
                <w:szCs w:val="24"/>
              </w:rPr>
              <w:t xml:space="preserve"> 界广布种占优势，有4种，约占全部哺乳动物种数的57.14%;西南区种类</w:t>
            </w:r>
            <w:r>
              <w:rPr>
                <w:spacing w:val="9"/>
                <w:sz w:val="24"/>
                <w:szCs w:val="24"/>
              </w:rPr>
              <w:t xml:space="preserve"> </w:t>
            </w:r>
            <w:r>
              <w:rPr>
                <w:spacing w:val="1"/>
                <w:sz w:val="24"/>
                <w:szCs w:val="24"/>
              </w:rPr>
              <w:t>占全部哺乳动物种数的28.57%;华南区种类有1种，占全部哺乳动</w:t>
            </w:r>
          </w:p>
          <w:p w14:paraId="3A11CE56">
            <w:pPr>
              <w:pStyle w:val="6"/>
              <w:spacing w:line="218" w:lineRule="auto"/>
              <w:ind w:left="171"/>
              <w:rPr>
                <w:sz w:val="24"/>
                <w:szCs w:val="24"/>
              </w:rPr>
            </w:pPr>
            <w:r>
              <w:rPr>
                <w:spacing w:val="-4"/>
                <w:sz w:val="24"/>
                <w:szCs w:val="24"/>
              </w:rPr>
              <w:t>14.29%;无华中区种类分布；也无华中—华南区种类分布。</w:t>
            </w:r>
          </w:p>
          <w:p w14:paraId="03B41310">
            <w:pPr>
              <w:pStyle w:val="6"/>
              <w:spacing w:before="185" w:line="220" w:lineRule="auto"/>
              <w:ind w:left="124"/>
              <w:rPr>
                <w:sz w:val="24"/>
                <w:szCs w:val="24"/>
              </w:rPr>
            </w:pPr>
            <w:r>
              <w:rPr>
                <w:b/>
                <w:bCs/>
                <w:spacing w:val="-4"/>
                <w:sz w:val="24"/>
                <w:szCs w:val="24"/>
              </w:rPr>
              <w:t>4.3.3珍稀濒危保护动物</w:t>
            </w:r>
          </w:p>
          <w:p w14:paraId="405BE456">
            <w:pPr>
              <w:pStyle w:val="6"/>
              <w:spacing w:before="173" w:line="219" w:lineRule="auto"/>
              <w:ind w:left="584"/>
              <w:rPr>
                <w:sz w:val="24"/>
                <w:szCs w:val="24"/>
              </w:rPr>
            </w:pPr>
            <w:r>
              <w:rPr>
                <w:b/>
                <w:bCs/>
                <w:spacing w:val="-2"/>
                <w:sz w:val="24"/>
                <w:szCs w:val="24"/>
              </w:rPr>
              <w:t>1、鸟类</w:t>
            </w:r>
          </w:p>
          <w:p w14:paraId="5F58BAF3">
            <w:pPr>
              <w:pStyle w:val="6"/>
              <w:spacing w:before="177" w:line="360" w:lineRule="auto"/>
              <w:ind w:left="90" w:right="86" w:firstLine="610"/>
              <w:rPr>
                <w:sz w:val="24"/>
                <w:szCs w:val="24"/>
              </w:rPr>
            </w:pPr>
            <w:r>
              <w:rPr>
                <w:sz w:val="24"/>
                <w:szCs w:val="24"/>
              </w:rPr>
              <w:t>评价区内分布有国家及云南省重点保护野生动物3种。均为国家二级</w:t>
            </w:r>
            <w:r>
              <w:rPr>
                <w:spacing w:val="13"/>
                <w:sz w:val="24"/>
                <w:szCs w:val="24"/>
              </w:rPr>
              <w:t xml:space="preserve"> </w:t>
            </w:r>
            <w:r>
              <w:rPr>
                <w:sz w:val="24"/>
                <w:szCs w:val="24"/>
              </w:rPr>
              <w:t>野生动物。</w:t>
            </w:r>
          </w:p>
          <w:p w14:paraId="1674032C">
            <w:pPr>
              <w:pStyle w:val="6"/>
              <w:spacing w:before="1" w:line="217" w:lineRule="auto"/>
              <w:ind w:left="1814"/>
              <w:rPr>
                <w:sz w:val="24"/>
                <w:szCs w:val="24"/>
              </w:rPr>
            </w:pPr>
            <w:r>
              <w:rPr>
                <w:b/>
                <w:bCs/>
                <w:spacing w:val="-3"/>
                <w:sz w:val="24"/>
                <w:szCs w:val="24"/>
              </w:rPr>
              <w:t>表3-12环境影响评价区国家及云南省重点保护野生动物</w:t>
            </w:r>
          </w:p>
        </w:tc>
        <w:tc>
          <w:tcPr>
            <w:tcW w:w="816" w:type="dxa"/>
            <w:gridSpan w:val="2"/>
            <w:vMerge w:val="restart"/>
            <w:tcBorders>
              <w:bottom w:val="nil"/>
            </w:tcBorders>
            <w:vAlign w:val="top"/>
          </w:tcPr>
          <w:p w14:paraId="0DB6F1D7">
            <w:pPr>
              <w:spacing w:line="427" w:lineRule="auto"/>
              <w:rPr>
                <w:rFonts w:ascii="Arial"/>
                <w:sz w:val="21"/>
              </w:rPr>
            </w:pPr>
            <w:r>
              <w:pict>
                <v:shape id="_x0000_s1082" o:spid="_x0000_s1082" style="position:absolute;left:0pt;margin-left:35.5pt;margin-top:304.25pt;height:15.05pt;width:0.5pt;mso-position-horizontal-relative:page;mso-position-vertical-relative:page;z-index:-251625472;mso-width-relative:page;mso-height-relative:page;" filled="f" stroked="t" coordsize="10,301" path="m5,0l5,300e">
                  <v:fill on="f" focussize="0,0"/>
                  <v:stroke weight="0.5pt" color="#000000" miterlimit="10" joinstyle="miter"/>
                  <v:imagedata o:title=""/>
                  <o:lock v:ext="edit"/>
                </v:shape>
              </w:pict>
            </w:r>
          </w:p>
          <w:p w14:paraId="499124E9">
            <w:pPr>
              <w:pStyle w:val="6"/>
              <w:spacing w:before="75" w:line="220" w:lineRule="auto"/>
              <w:jc w:val="right"/>
              <w:rPr>
                <w:sz w:val="23"/>
                <w:szCs w:val="23"/>
              </w:rPr>
            </w:pPr>
            <w:r>
              <w:rPr>
                <w:spacing w:val="-42"/>
                <w:sz w:val="23"/>
                <w:szCs w:val="23"/>
              </w:rPr>
              <w:t>项目区</w:t>
            </w:r>
            <w:r>
              <w:rPr>
                <w:spacing w:val="-10"/>
                <w:sz w:val="23"/>
                <w:szCs w:val="23"/>
              </w:rPr>
              <w:t>域</w:t>
            </w:r>
          </w:p>
          <w:p w14:paraId="4989C1B4">
            <w:pPr>
              <w:pStyle w:val="6"/>
              <w:spacing w:before="195" w:line="220" w:lineRule="auto"/>
              <w:jc w:val="right"/>
              <w:rPr>
                <w:sz w:val="23"/>
                <w:szCs w:val="23"/>
              </w:rPr>
            </w:pPr>
            <w:r>
              <w:rPr>
                <w:spacing w:val="-36"/>
                <w:w w:val="99"/>
                <w:sz w:val="23"/>
                <w:szCs w:val="23"/>
              </w:rPr>
              <w:t>丰</w:t>
            </w:r>
            <w:r>
              <w:rPr>
                <w:spacing w:val="-35"/>
                <w:w w:val="99"/>
                <w:sz w:val="23"/>
                <w:szCs w:val="23"/>
              </w:rPr>
              <w:t>富，</w:t>
            </w:r>
            <w:r>
              <w:rPr>
                <w:spacing w:val="-18"/>
                <w:w w:val="99"/>
                <w:sz w:val="23"/>
                <w:szCs w:val="23"/>
              </w:rPr>
              <w:t>种</w:t>
            </w:r>
          </w:p>
          <w:p w14:paraId="61DF1A47">
            <w:pPr>
              <w:spacing w:line="288" w:lineRule="auto"/>
              <w:rPr>
                <w:rFonts w:ascii="Arial"/>
                <w:sz w:val="21"/>
              </w:rPr>
            </w:pPr>
          </w:p>
          <w:p w14:paraId="34262F5C">
            <w:pPr>
              <w:spacing w:line="289" w:lineRule="auto"/>
              <w:rPr>
                <w:rFonts w:ascii="Arial"/>
                <w:sz w:val="21"/>
              </w:rPr>
            </w:pPr>
          </w:p>
          <w:p w14:paraId="1F0D7931">
            <w:pPr>
              <w:pStyle w:val="6"/>
              <w:spacing w:before="74" w:line="219" w:lineRule="auto"/>
              <w:jc w:val="right"/>
              <w:rPr>
                <w:sz w:val="23"/>
                <w:szCs w:val="23"/>
              </w:rPr>
            </w:pPr>
            <w:r>
              <w:rPr>
                <w:spacing w:val="-42"/>
                <w:sz w:val="23"/>
                <w:szCs w:val="23"/>
              </w:rPr>
              <w:t>中</w:t>
            </w:r>
            <w:r>
              <w:rPr>
                <w:spacing w:val="-41"/>
                <w:sz w:val="23"/>
                <w:szCs w:val="23"/>
              </w:rPr>
              <w:t>，东</w:t>
            </w:r>
            <w:r>
              <w:rPr>
                <w:spacing w:val="-12"/>
                <w:sz w:val="23"/>
                <w:szCs w:val="23"/>
              </w:rPr>
              <w:t>洋</w:t>
            </w:r>
          </w:p>
          <w:p w14:paraId="232E018F">
            <w:pPr>
              <w:pStyle w:val="6"/>
              <w:spacing w:before="198" w:line="220" w:lineRule="auto"/>
              <w:jc w:val="right"/>
              <w:rPr>
                <w:sz w:val="24"/>
                <w:szCs w:val="24"/>
              </w:rPr>
            </w:pPr>
            <w:r>
              <w:rPr>
                <w:spacing w:val="-14"/>
                <w:sz w:val="24"/>
                <w:szCs w:val="24"/>
              </w:rPr>
              <w:t>有2种，</w:t>
            </w:r>
          </w:p>
          <w:p w14:paraId="45D2B14D">
            <w:pPr>
              <w:pStyle w:val="6"/>
              <w:spacing w:before="173" w:line="219" w:lineRule="auto"/>
              <w:jc w:val="right"/>
              <w:rPr>
                <w:sz w:val="23"/>
                <w:szCs w:val="23"/>
              </w:rPr>
            </w:pPr>
            <w:r>
              <w:rPr>
                <w:spacing w:val="-22"/>
                <w:w w:val="94"/>
                <w:sz w:val="23"/>
                <w:szCs w:val="23"/>
              </w:rPr>
              <w:t>物种数</w:t>
            </w:r>
            <w:r>
              <w:rPr>
                <w:spacing w:val="-18"/>
                <w:w w:val="94"/>
                <w:sz w:val="23"/>
                <w:szCs w:val="23"/>
              </w:rPr>
              <w:t>的</w:t>
            </w:r>
          </w:p>
          <w:p w14:paraId="39B9752F">
            <w:pPr>
              <w:spacing w:line="250" w:lineRule="auto"/>
              <w:rPr>
                <w:rFonts w:ascii="Arial"/>
                <w:sz w:val="21"/>
              </w:rPr>
            </w:pPr>
          </w:p>
          <w:p w14:paraId="6C824271">
            <w:pPr>
              <w:spacing w:line="250" w:lineRule="auto"/>
              <w:rPr>
                <w:rFonts w:ascii="Arial"/>
                <w:sz w:val="21"/>
              </w:rPr>
            </w:pPr>
          </w:p>
          <w:p w14:paraId="7A6F7240">
            <w:pPr>
              <w:spacing w:line="250" w:lineRule="auto"/>
              <w:rPr>
                <w:rFonts w:ascii="Arial"/>
                <w:sz w:val="21"/>
              </w:rPr>
            </w:pPr>
          </w:p>
          <w:p w14:paraId="3ECAB69A">
            <w:pPr>
              <w:spacing w:line="251" w:lineRule="auto"/>
              <w:rPr>
                <w:rFonts w:ascii="Arial"/>
                <w:sz w:val="21"/>
              </w:rPr>
            </w:pPr>
          </w:p>
          <w:p w14:paraId="4A00467C">
            <w:pPr>
              <w:spacing w:line="251" w:lineRule="auto"/>
              <w:rPr>
                <w:rFonts w:ascii="Arial"/>
                <w:sz w:val="21"/>
              </w:rPr>
            </w:pPr>
          </w:p>
          <w:p w14:paraId="1FF1D397">
            <w:pPr>
              <w:spacing w:line="251" w:lineRule="auto"/>
              <w:rPr>
                <w:rFonts w:ascii="Arial"/>
                <w:sz w:val="21"/>
              </w:rPr>
            </w:pPr>
          </w:p>
          <w:p w14:paraId="5EB90AD1">
            <w:pPr>
              <w:pStyle w:val="6"/>
              <w:spacing w:before="75" w:line="220" w:lineRule="auto"/>
              <w:jc w:val="right"/>
              <w:rPr>
                <w:sz w:val="23"/>
                <w:szCs w:val="23"/>
              </w:rPr>
            </w:pPr>
            <w:r>
              <w:rPr>
                <w:spacing w:val="-25"/>
                <w:w w:val="95"/>
                <w:sz w:val="23"/>
                <w:szCs w:val="23"/>
              </w:rPr>
              <w:t>重点</w:t>
            </w:r>
            <w:r>
              <w:rPr>
                <w:spacing w:val="-24"/>
                <w:w w:val="95"/>
                <w:sz w:val="23"/>
                <w:szCs w:val="23"/>
              </w:rPr>
              <w:t>保</w:t>
            </w:r>
            <w:r>
              <w:rPr>
                <w:spacing w:val="-18"/>
                <w:w w:val="95"/>
                <w:sz w:val="23"/>
                <w:szCs w:val="23"/>
              </w:rPr>
              <w:t>护</w:t>
            </w:r>
          </w:p>
        </w:tc>
      </w:tr>
      <w:tr w14:paraId="1EAEE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4" w:type="dxa"/>
            <w:vMerge w:val="continue"/>
            <w:tcBorders>
              <w:top w:val="nil"/>
              <w:bottom w:val="nil"/>
            </w:tcBorders>
            <w:vAlign w:val="top"/>
          </w:tcPr>
          <w:p w14:paraId="5F81FAAC">
            <w:pPr>
              <w:rPr>
                <w:rFonts w:ascii="Arial"/>
                <w:sz w:val="21"/>
              </w:rPr>
            </w:pPr>
          </w:p>
        </w:tc>
        <w:tc>
          <w:tcPr>
            <w:tcW w:w="130" w:type="dxa"/>
            <w:tcBorders>
              <w:top w:val="nil"/>
              <w:bottom w:val="nil"/>
            </w:tcBorders>
            <w:vAlign w:val="top"/>
          </w:tcPr>
          <w:p w14:paraId="128F1EA0">
            <w:pPr>
              <w:rPr>
                <w:rFonts w:ascii="Arial"/>
                <w:sz w:val="21"/>
              </w:rPr>
            </w:pPr>
          </w:p>
        </w:tc>
        <w:tc>
          <w:tcPr>
            <w:tcW w:w="2607" w:type="dxa"/>
            <w:gridSpan w:val="3"/>
            <w:vAlign w:val="top"/>
          </w:tcPr>
          <w:p w14:paraId="2B2F8B20">
            <w:pPr>
              <w:pStyle w:val="6"/>
              <w:spacing w:before="57" w:line="205" w:lineRule="auto"/>
              <w:ind w:left="1091"/>
              <w:rPr>
                <w:sz w:val="20"/>
                <w:szCs w:val="20"/>
              </w:rPr>
            </w:pPr>
            <w:r>
              <w:rPr>
                <w:spacing w:val="-2"/>
                <w:sz w:val="20"/>
                <w:szCs w:val="20"/>
              </w:rPr>
              <w:t>类群</w:t>
            </w:r>
          </w:p>
        </w:tc>
        <w:tc>
          <w:tcPr>
            <w:tcW w:w="3587" w:type="dxa"/>
            <w:gridSpan w:val="5"/>
            <w:vAlign w:val="top"/>
          </w:tcPr>
          <w:p w14:paraId="38F6A52F">
            <w:pPr>
              <w:pStyle w:val="6"/>
              <w:spacing w:before="58" w:line="204" w:lineRule="auto"/>
              <w:ind w:left="1234"/>
              <w:rPr>
                <w:sz w:val="20"/>
                <w:szCs w:val="20"/>
              </w:rPr>
            </w:pPr>
            <w:r>
              <w:rPr>
                <w:spacing w:val="4"/>
                <w:sz w:val="20"/>
                <w:szCs w:val="20"/>
              </w:rPr>
              <w:t>中文名/学名</w:t>
            </w:r>
          </w:p>
        </w:tc>
        <w:tc>
          <w:tcPr>
            <w:tcW w:w="1568" w:type="dxa"/>
            <w:gridSpan w:val="3"/>
            <w:vAlign w:val="top"/>
          </w:tcPr>
          <w:p w14:paraId="240648D8">
            <w:pPr>
              <w:pStyle w:val="6"/>
              <w:spacing w:before="57" w:line="205" w:lineRule="auto"/>
              <w:ind w:right="1"/>
              <w:jc w:val="right"/>
              <w:rPr>
                <w:sz w:val="20"/>
                <w:szCs w:val="20"/>
              </w:rPr>
            </w:pPr>
            <w:r>
              <w:rPr>
                <w:spacing w:val="4"/>
                <w:sz w:val="20"/>
                <w:szCs w:val="20"/>
              </w:rPr>
              <w:t>保护现状</w:t>
            </w:r>
          </w:p>
        </w:tc>
        <w:tc>
          <w:tcPr>
            <w:tcW w:w="816" w:type="dxa"/>
            <w:gridSpan w:val="2"/>
            <w:vMerge w:val="continue"/>
            <w:tcBorders>
              <w:top w:val="nil"/>
            </w:tcBorders>
            <w:vAlign w:val="top"/>
          </w:tcPr>
          <w:p w14:paraId="58AC9DB5">
            <w:pPr>
              <w:rPr>
                <w:rFonts w:ascii="Arial"/>
                <w:sz w:val="21"/>
              </w:rPr>
            </w:pPr>
          </w:p>
        </w:tc>
      </w:tr>
      <w:tr w14:paraId="4E43F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704" w:type="dxa"/>
            <w:vMerge w:val="continue"/>
            <w:tcBorders>
              <w:top w:val="nil"/>
              <w:bottom w:val="nil"/>
            </w:tcBorders>
            <w:vAlign w:val="top"/>
          </w:tcPr>
          <w:p w14:paraId="5021A485">
            <w:pPr>
              <w:rPr>
                <w:rFonts w:ascii="Arial"/>
                <w:sz w:val="21"/>
              </w:rPr>
            </w:pPr>
          </w:p>
        </w:tc>
        <w:tc>
          <w:tcPr>
            <w:tcW w:w="130" w:type="dxa"/>
            <w:tcBorders>
              <w:top w:val="nil"/>
              <w:bottom w:val="nil"/>
            </w:tcBorders>
            <w:vAlign w:val="top"/>
          </w:tcPr>
          <w:p w14:paraId="154C5BE5">
            <w:pPr>
              <w:rPr>
                <w:rFonts w:ascii="Arial"/>
                <w:sz w:val="21"/>
              </w:rPr>
            </w:pPr>
          </w:p>
        </w:tc>
        <w:tc>
          <w:tcPr>
            <w:tcW w:w="2607" w:type="dxa"/>
            <w:gridSpan w:val="3"/>
            <w:vMerge w:val="restart"/>
            <w:tcBorders>
              <w:bottom w:val="nil"/>
            </w:tcBorders>
            <w:vAlign w:val="top"/>
          </w:tcPr>
          <w:p w14:paraId="558AB06F">
            <w:pPr>
              <w:spacing w:line="272" w:lineRule="auto"/>
              <w:rPr>
                <w:rFonts w:ascii="Arial"/>
                <w:sz w:val="21"/>
              </w:rPr>
            </w:pPr>
          </w:p>
          <w:p w14:paraId="38802AFD">
            <w:pPr>
              <w:pStyle w:val="6"/>
              <w:spacing w:before="65" w:line="220" w:lineRule="auto"/>
              <w:ind w:left="770"/>
              <w:rPr>
                <w:sz w:val="20"/>
                <w:szCs w:val="20"/>
              </w:rPr>
            </w:pPr>
            <w:r>
              <w:rPr>
                <w:spacing w:val="-6"/>
                <w:sz w:val="20"/>
                <w:szCs w:val="20"/>
              </w:rPr>
              <w:t>鸟</w:t>
            </w:r>
            <w:r>
              <w:rPr>
                <w:spacing w:val="-35"/>
                <w:sz w:val="20"/>
                <w:szCs w:val="20"/>
              </w:rPr>
              <w:t xml:space="preserve"> </w:t>
            </w:r>
            <w:r>
              <w:rPr>
                <w:spacing w:val="-6"/>
                <w:sz w:val="20"/>
                <w:szCs w:val="20"/>
              </w:rPr>
              <w:t>纲</w:t>
            </w:r>
            <w:r>
              <w:rPr>
                <w:spacing w:val="-45"/>
                <w:sz w:val="20"/>
                <w:szCs w:val="20"/>
              </w:rPr>
              <w:t xml:space="preserve"> </w:t>
            </w:r>
            <w:r>
              <w:rPr>
                <w:spacing w:val="-6"/>
                <w:sz w:val="20"/>
                <w:szCs w:val="20"/>
              </w:rPr>
              <w:t>A</w:t>
            </w:r>
            <w:r>
              <w:rPr>
                <w:spacing w:val="-44"/>
                <w:sz w:val="20"/>
                <w:szCs w:val="20"/>
              </w:rPr>
              <w:t xml:space="preserve"> </w:t>
            </w:r>
            <w:r>
              <w:rPr>
                <w:spacing w:val="-6"/>
                <w:sz w:val="20"/>
                <w:szCs w:val="20"/>
              </w:rPr>
              <w:t>V</w:t>
            </w:r>
            <w:r>
              <w:rPr>
                <w:spacing w:val="-42"/>
                <w:sz w:val="20"/>
                <w:szCs w:val="20"/>
              </w:rPr>
              <w:t xml:space="preserve"> </w:t>
            </w:r>
            <w:r>
              <w:rPr>
                <w:spacing w:val="-6"/>
                <w:sz w:val="20"/>
                <w:szCs w:val="20"/>
              </w:rPr>
              <w:t>E</w:t>
            </w:r>
            <w:r>
              <w:rPr>
                <w:spacing w:val="-39"/>
                <w:sz w:val="20"/>
                <w:szCs w:val="20"/>
              </w:rPr>
              <w:t xml:space="preserve"> </w:t>
            </w:r>
            <w:r>
              <w:rPr>
                <w:spacing w:val="-6"/>
                <w:sz w:val="20"/>
                <w:szCs w:val="20"/>
              </w:rPr>
              <w:t>S</w:t>
            </w:r>
          </w:p>
        </w:tc>
        <w:tc>
          <w:tcPr>
            <w:tcW w:w="3587" w:type="dxa"/>
            <w:gridSpan w:val="5"/>
            <w:vAlign w:val="top"/>
          </w:tcPr>
          <w:p w14:paraId="48D15200">
            <w:pPr>
              <w:pStyle w:val="6"/>
              <w:spacing w:before="41" w:line="200" w:lineRule="auto"/>
              <w:ind w:left="583"/>
              <w:rPr>
                <w:sz w:val="20"/>
                <w:szCs w:val="20"/>
              </w:rPr>
            </w:pPr>
            <w:r>
              <w:rPr>
                <w:spacing w:val="3"/>
                <w:sz w:val="20"/>
                <w:szCs w:val="20"/>
              </w:rPr>
              <w:t>松雀鹰</w:t>
            </w:r>
            <w:r>
              <w:rPr>
                <w:sz w:val="20"/>
                <w:szCs w:val="20"/>
              </w:rPr>
              <w:t>Accipiter</w:t>
            </w:r>
            <w:r>
              <w:rPr>
                <w:spacing w:val="3"/>
                <w:sz w:val="20"/>
                <w:szCs w:val="20"/>
              </w:rPr>
              <w:t xml:space="preserve"> </w:t>
            </w:r>
            <w:r>
              <w:rPr>
                <w:sz w:val="20"/>
                <w:szCs w:val="20"/>
              </w:rPr>
              <w:t>virgatus</w:t>
            </w:r>
          </w:p>
        </w:tc>
        <w:tc>
          <w:tcPr>
            <w:tcW w:w="1568" w:type="dxa"/>
            <w:gridSpan w:val="3"/>
            <w:vAlign w:val="top"/>
          </w:tcPr>
          <w:p w14:paraId="566EAED2">
            <w:pPr>
              <w:pStyle w:val="6"/>
              <w:spacing w:before="39" w:line="202" w:lineRule="auto"/>
              <w:jc w:val="right"/>
              <w:rPr>
                <w:sz w:val="20"/>
                <w:szCs w:val="20"/>
              </w:rPr>
            </w:pPr>
            <w:r>
              <w:rPr>
                <w:spacing w:val="-1"/>
                <w:sz w:val="20"/>
                <w:szCs w:val="20"/>
              </w:rPr>
              <w:t>国家二级</w:t>
            </w:r>
          </w:p>
        </w:tc>
        <w:tc>
          <w:tcPr>
            <w:tcW w:w="816" w:type="dxa"/>
            <w:gridSpan w:val="2"/>
            <w:vAlign w:val="top"/>
          </w:tcPr>
          <w:p w14:paraId="30FF49D1">
            <w:pPr>
              <w:rPr>
                <w:rFonts w:ascii="Arial"/>
                <w:sz w:val="21"/>
              </w:rPr>
            </w:pPr>
            <w:r>
              <w:pict>
                <v:shape id="_x0000_s1083" o:spid="_x0000_s1083" style="position:absolute;left:0pt;margin-left:35.5pt;margin-top:0.5pt;height:14pt;width:0.5pt;mso-position-horizontal-relative:page;mso-position-vertical-relative:page;z-index:-251624448;mso-width-relative:page;mso-height-relative:page;" filled="f" stroked="t" coordsize="10,280" path="m5,0l5,279e">
                  <v:fill on="f" focussize="0,0"/>
                  <v:stroke weight="0.5pt" color="#000000" miterlimit="10" joinstyle="miter"/>
                  <v:imagedata o:title=""/>
                  <o:lock v:ext="edit"/>
                </v:shape>
              </w:pict>
            </w:r>
          </w:p>
        </w:tc>
      </w:tr>
      <w:tr w14:paraId="040D3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04" w:type="dxa"/>
            <w:vMerge w:val="continue"/>
            <w:tcBorders>
              <w:top w:val="nil"/>
              <w:bottom w:val="nil"/>
            </w:tcBorders>
            <w:vAlign w:val="top"/>
          </w:tcPr>
          <w:p w14:paraId="49122C4F">
            <w:pPr>
              <w:rPr>
                <w:rFonts w:ascii="Arial"/>
                <w:sz w:val="21"/>
              </w:rPr>
            </w:pPr>
          </w:p>
        </w:tc>
        <w:tc>
          <w:tcPr>
            <w:tcW w:w="130" w:type="dxa"/>
            <w:tcBorders>
              <w:top w:val="nil"/>
              <w:bottom w:val="nil"/>
            </w:tcBorders>
            <w:vAlign w:val="top"/>
          </w:tcPr>
          <w:p w14:paraId="5A441DCB">
            <w:pPr>
              <w:rPr>
                <w:rFonts w:ascii="Arial"/>
                <w:sz w:val="21"/>
              </w:rPr>
            </w:pPr>
          </w:p>
        </w:tc>
        <w:tc>
          <w:tcPr>
            <w:tcW w:w="2607" w:type="dxa"/>
            <w:gridSpan w:val="3"/>
            <w:vMerge w:val="continue"/>
            <w:tcBorders>
              <w:top w:val="nil"/>
              <w:bottom w:val="nil"/>
            </w:tcBorders>
            <w:vAlign w:val="top"/>
          </w:tcPr>
          <w:p w14:paraId="441A60BD">
            <w:pPr>
              <w:rPr>
                <w:rFonts w:ascii="Arial"/>
                <w:sz w:val="21"/>
              </w:rPr>
            </w:pPr>
          </w:p>
        </w:tc>
        <w:tc>
          <w:tcPr>
            <w:tcW w:w="3587" w:type="dxa"/>
            <w:gridSpan w:val="5"/>
            <w:vAlign w:val="top"/>
          </w:tcPr>
          <w:p w14:paraId="656BE0DD">
            <w:pPr>
              <w:pStyle w:val="6"/>
              <w:spacing w:before="49" w:line="190" w:lineRule="auto"/>
              <w:ind w:left="734"/>
              <w:rPr>
                <w:sz w:val="20"/>
                <w:szCs w:val="20"/>
              </w:rPr>
            </w:pPr>
            <w:r>
              <w:rPr>
                <w:spacing w:val="4"/>
                <w:sz w:val="20"/>
                <w:szCs w:val="20"/>
              </w:rPr>
              <w:t>红隼</w:t>
            </w:r>
            <w:r>
              <w:rPr>
                <w:sz w:val="20"/>
                <w:szCs w:val="20"/>
              </w:rPr>
              <w:t>Falco</w:t>
            </w:r>
            <w:r>
              <w:rPr>
                <w:spacing w:val="4"/>
                <w:sz w:val="20"/>
                <w:szCs w:val="20"/>
              </w:rPr>
              <w:t xml:space="preserve"> </w:t>
            </w:r>
            <w:r>
              <w:rPr>
                <w:sz w:val="20"/>
                <w:szCs w:val="20"/>
              </w:rPr>
              <w:t>tinnunculus</w:t>
            </w:r>
          </w:p>
        </w:tc>
        <w:tc>
          <w:tcPr>
            <w:tcW w:w="1568" w:type="dxa"/>
            <w:gridSpan w:val="3"/>
            <w:vAlign w:val="top"/>
          </w:tcPr>
          <w:p w14:paraId="354EADE9">
            <w:pPr>
              <w:pStyle w:val="6"/>
              <w:spacing w:before="40" w:line="198" w:lineRule="auto"/>
              <w:jc w:val="right"/>
              <w:rPr>
                <w:sz w:val="20"/>
                <w:szCs w:val="20"/>
              </w:rPr>
            </w:pPr>
            <w:r>
              <w:rPr>
                <w:spacing w:val="-3"/>
                <w:sz w:val="20"/>
                <w:szCs w:val="20"/>
              </w:rPr>
              <w:t>国家二级</w:t>
            </w:r>
          </w:p>
        </w:tc>
        <w:tc>
          <w:tcPr>
            <w:tcW w:w="816" w:type="dxa"/>
            <w:gridSpan w:val="2"/>
            <w:vAlign w:val="top"/>
          </w:tcPr>
          <w:p w14:paraId="5F91D1E8">
            <w:pPr>
              <w:rPr>
                <w:rFonts w:ascii="Arial"/>
                <w:sz w:val="21"/>
              </w:rPr>
            </w:pPr>
            <w:r>
              <w:pict>
                <v:shape id="_x0000_s1084" o:spid="_x0000_s1084" style="position:absolute;left:0pt;margin-left:35.5pt;margin-top:0.55pt;height:14.05pt;width:0.5pt;mso-position-horizontal-relative:page;mso-position-vertical-relative:page;z-index:-251623424;mso-width-relative:page;mso-height-relative:page;" filled="f" stroked="t" coordsize="10,281" path="m5,0l5,280e">
                  <v:fill on="f" focussize="0,0"/>
                  <v:stroke weight="0.5pt" color="#000000" miterlimit="10" joinstyle="miter"/>
                  <v:imagedata o:title=""/>
                  <o:lock v:ext="edit"/>
                </v:shape>
              </w:pict>
            </w:r>
          </w:p>
        </w:tc>
      </w:tr>
      <w:tr w14:paraId="3C12A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704" w:type="dxa"/>
            <w:vMerge w:val="continue"/>
            <w:tcBorders>
              <w:top w:val="nil"/>
              <w:bottom w:val="nil"/>
            </w:tcBorders>
            <w:vAlign w:val="top"/>
          </w:tcPr>
          <w:p w14:paraId="36A62F0B">
            <w:pPr>
              <w:rPr>
                <w:rFonts w:ascii="Arial"/>
                <w:sz w:val="21"/>
              </w:rPr>
            </w:pPr>
          </w:p>
        </w:tc>
        <w:tc>
          <w:tcPr>
            <w:tcW w:w="130" w:type="dxa"/>
            <w:tcBorders>
              <w:top w:val="nil"/>
              <w:bottom w:val="nil"/>
            </w:tcBorders>
            <w:vAlign w:val="top"/>
          </w:tcPr>
          <w:p w14:paraId="2E0AC168">
            <w:pPr>
              <w:rPr>
                <w:rFonts w:ascii="Arial"/>
                <w:sz w:val="21"/>
              </w:rPr>
            </w:pPr>
          </w:p>
        </w:tc>
        <w:tc>
          <w:tcPr>
            <w:tcW w:w="2607" w:type="dxa"/>
            <w:gridSpan w:val="3"/>
            <w:vMerge w:val="continue"/>
            <w:tcBorders>
              <w:top w:val="nil"/>
            </w:tcBorders>
            <w:vAlign w:val="top"/>
          </w:tcPr>
          <w:p w14:paraId="165F3A8C">
            <w:pPr>
              <w:rPr>
                <w:rFonts w:ascii="Arial"/>
                <w:sz w:val="21"/>
              </w:rPr>
            </w:pPr>
          </w:p>
        </w:tc>
        <w:tc>
          <w:tcPr>
            <w:tcW w:w="3587" w:type="dxa"/>
            <w:gridSpan w:val="5"/>
            <w:vAlign w:val="top"/>
          </w:tcPr>
          <w:p w14:paraId="1E3DE65E">
            <w:pPr>
              <w:pStyle w:val="6"/>
              <w:spacing w:before="59" w:line="211" w:lineRule="auto"/>
              <w:ind w:left="984"/>
              <w:rPr>
                <w:sz w:val="20"/>
                <w:szCs w:val="20"/>
              </w:rPr>
            </w:pPr>
            <w:r>
              <w:rPr>
                <w:spacing w:val="-1"/>
                <w:sz w:val="20"/>
                <w:szCs w:val="20"/>
              </w:rPr>
              <w:t>普通鷲 Buteo</w:t>
            </w:r>
            <w:r>
              <w:rPr>
                <w:spacing w:val="32"/>
                <w:sz w:val="20"/>
                <w:szCs w:val="20"/>
              </w:rPr>
              <w:t xml:space="preserve"> </w:t>
            </w:r>
            <w:r>
              <w:rPr>
                <w:spacing w:val="-1"/>
                <w:sz w:val="20"/>
                <w:szCs w:val="20"/>
              </w:rPr>
              <w:t>japonicus</w:t>
            </w:r>
          </w:p>
        </w:tc>
        <w:tc>
          <w:tcPr>
            <w:tcW w:w="1568" w:type="dxa"/>
            <w:gridSpan w:val="3"/>
            <w:vAlign w:val="top"/>
          </w:tcPr>
          <w:p w14:paraId="5F129DA6">
            <w:pPr>
              <w:pStyle w:val="6"/>
              <w:spacing w:before="65" w:line="205" w:lineRule="auto"/>
              <w:jc w:val="right"/>
              <w:rPr>
                <w:sz w:val="20"/>
                <w:szCs w:val="20"/>
              </w:rPr>
            </w:pPr>
            <w:r>
              <w:rPr>
                <w:spacing w:val="-1"/>
                <w:sz w:val="20"/>
                <w:szCs w:val="20"/>
              </w:rPr>
              <w:t>国家二级</w:t>
            </w:r>
          </w:p>
        </w:tc>
        <w:tc>
          <w:tcPr>
            <w:tcW w:w="816" w:type="dxa"/>
            <w:gridSpan w:val="2"/>
            <w:vMerge w:val="restart"/>
            <w:tcBorders>
              <w:bottom w:val="nil"/>
            </w:tcBorders>
            <w:vAlign w:val="top"/>
          </w:tcPr>
          <w:p w14:paraId="2B2AECD8">
            <w:pPr>
              <w:spacing w:before="7" w:line="300" w:lineRule="exact"/>
              <w:ind w:left="704"/>
            </w:pPr>
            <w:r>
              <w:rPr>
                <w:position w:val="-6"/>
              </w:rPr>
              <w:drawing>
                <wp:inline distT="0" distB="0" distL="0" distR="0">
                  <wp:extent cx="6350" cy="19050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295"/>
                          <a:stretch>
                            <a:fillRect/>
                          </a:stretch>
                        </pic:blipFill>
                        <pic:spPr>
                          <a:xfrm>
                            <a:off x="0" y="0"/>
                            <a:ext cx="6350" cy="190550"/>
                          </a:xfrm>
                          <a:prstGeom prst="rect">
                            <a:avLst/>
                          </a:prstGeom>
                        </pic:spPr>
                      </pic:pic>
                    </a:graphicData>
                  </a:graphic>
                </wp:inline>
              </w:drawing>
            </w:r>
          </w:p>
          <w:p w14:paraId="0BF50CBE">
            <w:pPr>
              <w:pStyle w:val="6"/>
              <w:spacing w:before="40" w:line="216" w:lineRule="auto"/>
              <w:jc w:val="right"/>
              <w:rPr>
                <w:sz w:val="24"/>
                <w:szCs w:val="24"/>
              </w:rPr>
            </w:pPr>
            <w:r>
              <w:rPr>
                <w:spacing w:val="-16"/>
                <w:sz w:val="24"/>
                <w:szCs w:val="24"/>
              </w:rPr>
              <w:t>,</w:t>
            </w:r>
            <w:r>
              <w:rPr>
                <w:spacing w:val="-15"/>
                <w:sz w:val="24"/>
                <w:szCs w:val="24"/>
              </w:rPr>
              <w:t>占全</w:t>
            </w:r>
            <w:r>
              <w:rPr>
                <w:spacing w:val="-14"/>
                <w:sz w:val="24"/>
                <w:szCs w:val="24"/>
              </w:rPr>
              <w:t>部</w:t>
            </w:r>
          </w:p>
        </w:tc>
      </w:tr>
      <w:tr w14:paraId="5A51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704" w:type="dxa"/>
            <w:vMerge w:val="continue"/>
            <w:tcBorders>
              <w:top w:val="nil"/>
            </w:tcBorders>
            <w:vAlign w:val="top"/>
          </w:tcPr>
          <w:p w14:paraId="6178BED7">
            <w:pPr>
              <w:rPr>
                <w:rFonts w:ascii="Arial"/>
                <w:sz w:val="21"/>
              </w:rPr>
            </w:pPr>
          </w:p>
        </w:tc>
        <w:tc>
          <w:tcPr>
            <w:tcW w:w="7892" w:type="dxa"/>
            <w:gridSpan w:val="12"/>
            <w:vAlign w:val="top"/>
          </w:tcPr>
          <w:p w14:paraId="28B49014">
            <w:pPr>
              <w:pStyle w:val="6"/>
              <w:spacing w:before="36" w:line="218" w:lineRule="auto"/>
              <w:ind w:left="731"/>
              <w:rPr>
                <w:sz w:val="24"/>
                <w:szCs w:val="24"/>
              </w:rPr>
            </w:pPr>
            <w:r>
              <w:rPr>
                <w:sz w:val="24"/>
                <w:szCs w:val="24"/>
              </w:rPr>
              <w:t>在评价区所记录的59种鸟类中，有国家二级重点保护野生动物3种</w:t>
            </w:r>
          </w:p>
        </w:tc>
        <w:tc>
          <w:tcPr>
            <w:tcW w:w="816" w:type="dxa"/>
            <w:gridSpan w:val="2"/>
            <w:vMerge w:val="continue"/>
            <w:tcBorders>
              <w:top w:val="nil"/>
            </w:tcBorders>
            <w:vAlign w:val="top"/>
          </w:tcPr>
          <w:p w14:paraId="08E04FA3">
            <w:pPr>
              <w:rPr>
                <w:rFonts w:ascii="Arial"/>
                <w:sz w:val="21"/>
              </w:rPr>
            </w:pPr>
          </w:p>
        </w:tc>
      </w:tr>
    </w:tbl>
    <w:p w14:paraId="1D9D32FF">
      <w:pPr>
        <w:pStyle w:val="2"/>
      </w:pPr>
    </w:p>
    <w:p w14:paraId="28A7AF0D">
      <w:pPr>
        <w:sectPr>
          <w:footerReference r:id="rId100" w:type="default"/>
          <w:pgSz w:w="11910" w:h="16830"/>
          <w:pgMar w:top="400" w:right="1232" w:bottom="1245" w:left="1254" w:header="0" w:footer="1083" w:gutter="0"/>
          <w:cols w:space="720" w:num="1"/>
        </w:sectPr>
      </w:pPr>
    </w:p>
    <w:p w14:paraId="560F89BC">
      <w:pPr>
        <w:spacing w:before="15"/>
      </w:pPr>
    </w:p>
    <w:p w14:paraId="77B8CD06">
      <w:pPr>
        <w:spacing w:before="15"/>
      </w:pPr>
    </w:p>
    <w:p w14:paraId="6EB287A4">
      <w:pPr>
        <w:spacing w:before="15"/>
      </w:pPr>
    </w:p>
    <w:p w14:paraId="786005F4">
      <w:pPr>
        <w:spacing w:before="14"/>
      </w:pPr>
    </w:p>
    <w:tbl>
      <w:tblPr>
        <w:tblStyle w:val="5"/>
        <w:tblW w:w="9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8756"/>
      </w:tblGrid>
      <w:tr w14:paraId="1C879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684" w:type="dxa"/>
            <w:vAlign w:val="top"/>
          </w:tcPr>
          <w:p w14:paraId="2AFB5FCE">
            <w:pPr>
              <w:rPr>
                <w:rFonts w:ascii="Arial"/>
                <w:sz w:val="21"/>
              </w:rPr>
            </w:pPr>
          </w:p>
        </w:tc>
        <w:tc>
          <w:tcPr>
            <w:tcW w:w="8756" w:type="dxa"/>
            <w:vAlign w:val="top"/>
          </w:tcPr>
          <w:p w14:paraId="32C38E03">
            <w:pPr>
              <w:pStyle w:val="6"/>
              <w:spacing w:before="33" w:line="219" w:lineRule="auto"/>
              <w:ind w:left="121"/>
              <w:rPr>
                <w:sz w:val="24"/>
                <w:szCs w:val="24"/>
              </w:rPr>
            </w:pPr>
            <w:r>
              <w:rPr>
                <w:sz w:val="24"/>
                <w:szCs w:val="24"/>
              </w:rPr>
              <w:t>鸟类种数的5.08%;其中鹰类2种：普通蔫、松雀鹰；隼类1种：红隼。大多为分</w:t>
            </w:r>
          </w:p>
          <w:p w14:paraId="652CDCD4">
            <w:pPr>
              <w:pStyle w:val="6"/>
              <w:spacing w:before="184" w:line="356" w:lineRule="auto"/>
              <w:ind w:left="121" w:right="42" w:hanging="70"/>
              <w:rPr>
                <w:sz w:val="24"/>
                <w:szCs w:val="24"/>
              </w:rPr>
            </w:pPr>
            <w:r>
              <w:rPr>
                <w:sz w:val="24"/>
                <w:szCs w:val="24"/>
              </w:rPr>
              <w:t>布区常见的留鸟或冬候鸟。调查未发现局限分布于该地区的特有种类。未发现云南</w:t>
            </w:r>
            <w:r>
              <w:rPr>
                <w:spacing w:val="11"/>
                <w:sz w:val="24"/>
                <w:szCs w:val="24"/>
              </w:rPr>
              <w:t xml:space="preserve"> </w:t>
            </w:r>
            <w:r>
              <w:rPr>
                <w:sz w:val="24"/>
                <w:szCs w:val="24"/>
              </w:rPr>
              <w:t>省保护种类、列入《中国濒危动物红皮书》种</w:t>
            </w:r>
            <w:r>
              <w:rPr>
                <w:spacing w:val="-1"/>
                <w:sz w:val="24"/>
                <w:szCs w:val="24"/>
              </w:rPr>
              <w:t>类。</w:t>
            </w:r>
          </w:p>
          <w:p w14:paraId="488A6034">
            <w:pPr>
              <w:pStyle w:val="6"/>
              <w:spacing w:before="9" w:line="359" w:lineRule="auto"/>
              <w:ind w:left="51" w:firstLine="553"/>
              <w:rPr>
                <w:sz w:val="24"/>
                <w:szCs w:val="24"/>
              </w:rPr>
            </w:pPr>
            <w:r>
              <w:rPr>
                <w:b/>
                <w:bCs/>
                <w:spacing w:val="-4"/>
                <w:sz w:val="24"/>
                <w:szCs w:val="24"/>
              </w:rPr>
              <w:t>松雀鹰Accipiter</w:t>
            </w:r>
            <w:r>
              <w:rPr>
                <w:spacing w:val="-4"/>
                <w:sz w:val="24"/>
                <w:szCs w:val="24"/>
              </w:rPr>
              <w:t xml:space="preserve"> </w:t>
            </w:r>
            <w:r>
              <w:rPr>
                <w:b/>
                <w:bCs/>
                <w:spacing w:val="-4"/>
                <w:sz w:val="24"/>
                <w:szCs w:val="24"/>
              </w:rPr>
              <w:t>virgatus,</w:t>
            </w:r>
            <w:r>
              <w:rPr>
                <w:spacing w:val="-4"/>
                <w:sz w:val="24"/>
                <w:szCs w:val="24"/>
              </w:rPr>
              <w:t>俗称鹞鹰，</w:t>
            </w:r>
            <w:r>
              <w:rPr>
                <w:spacing w:val="-5"/>
                <w:sz w:val="24"/>
                <w:szCs w:val="24"/>
              </w:rPr>
              <w:t>中等体型，成年雄鸟：上体深灰色，尾</w:t>
            </w:r>
            <w:r>
              <w:rPr>
                <w:sz w:val="24"/>
                <w:szCs w:val="24"/>
              </w:rPr>
              <w:t xml:space="preserve"> </w:t>
            </w:r>
            <w:r>
              <w:rPr>
                <w:spacing w:val="1"/>
                <w:sz w:val="24"/>
                <w:szCs w:val="24"/>
              </w:rPr>
              <w:t>具粗横斑，下体白，两胁棕色且具褐色横斑，喉白而具黑色喉中线，有黑色髭纹。</w:t>
            </w:r>
            <w:r>
              <w:rPr>
                <w:spacing w:val="17"/>
                <w:sz w:val="24"/>
                <w:szCs w:val="24"/>
              </w:rPr>
              <w:t xml:space="preserve"> </w:t>
            </w:r>
            <w:r>
              <w:rPr>
                <w:sz w:val="24"/>
                <w:szCs w:val="24"/>
              </w:rPr>
              <w:t>雌鸟及亚成鸟：两胁棕色少，下体多具红褐色横斑，背褐，尾褐而具深色横纹。亚</w:t>
            </w:r>
            <w:r>
              <w:rPr>
                <w:spacing w:val="4"/>
                <w:sz w:val="24"/>
                <w:szCs w:val="24"/>
              </w:rPr>
              <w:t xml:space="preserve"> 成鸟胸部具纵纹。虹膜一黄色；嘴一黑色，蜡膜灰</w:t>
            </w:r>
            <w:r>
              <w:rPr>
                <w:spacing w:val="3"/>
                <w:sz w:val="24"/>
                <w:szCs w:val="24"/>
              </w:rPr>
              <w:t>色；腿及脚一黄色。多栖息于</w:t>
            </w:r>
            <w:r>
              <w:rPr>
                <w:sz w:val="24"/>
                <w:szCs w:val="24"/>
              </w:rPr>
              <w:t xml:space="preserve">  山林地带，以小型动物为食物。国家重点保护动物二级。评价区内主要栖息于河谷</w:t>
            </w:r>
            <w:r>
              <w:rPr>
                <w:spacing w:val="6"/>
                <w:sz w:val="24"/>
                <w:szCs w:val="24"/>
              </w:rPr>
              <w:t xml:space="preserve"> </w:t>
            </w:r>
            <w:r>
              <w:rPr>
                <w:spacing w:val="5"/>
                <w:sz w:val="24"/>
                <w:szCs w:val="24"/>
              </w:rPr>
              <w:t>区域，约分布有1-2只。</w:t>
            </w:r>
          </w:p>
          <w:p w14:paraId="3BB473E2">
            <w:pPr>
              <w:pStyle w:val="6"/>
              <w:spacing w:before="3" w:line="359" w:lineRule="auto"/>
              <w:ind w:left="51" w:firstLine="553"/>
              <w:rPr>
                <w:sz w:val="24"/>
                <w:szCs w:val="24"/>
              </w:rPr>
            </w:pPr>
            <w:r>
              <w:rPr>
                <w:b/>
                <w:bCs/>
                <w:sz w:val="24"/>
                <w:szCs w:val="24"/>
              </w:rPr>
              <w:t>红隼Falco</w:t>
            </w:r>
            <w:r>
              <w:rPr>
                <w:sz w:val="24"/>
                <w:szCs w:val="24"/>
              </w:rPr>
              <w:t xml:space="preserve"> </w:t>
            </w:r>
            <w:r>
              <w:rPr>
                <w:b/>
                <w:bCs/>
                <w:sz w:val="24"/>
                <w:szCs w:val="24"/>
              </w:rPr>
              <w:t>tinnunculus,</w:t>
            </w:r>
            <w:r>
              <w:rPr>
                <w:sz w:val="24"/>
                <w:szCs w:val="24"/>
              </w:rPr>
              <w:t>小</w:t>
            </w:r>
            <w:r>
              <w:rPr>
                <w:spacing w:val="-1"/>
                <w:sz w:val="24"/>
                <w:szCs w:val="24"/>
              </w:rPr>
              <w:t>型猛禽，全长在340mm左右。头顶至后颈暗灰色，</w:t>
            </w:r>
            <w:r>
              <w:rPr>
                <w:sz w:val="24"/>
                <w:szCs w:val="24"/>
              </w:rPr>
              <w:t xml:space="preserve">  背部及翅上覆羽砖红色，有暗褐色斑点；腰至尾羽灰色，尾羽具黑色次端斑，先端</w:t>
            </w:r>
            <w:r>
              <w:rPr>
                <w:spacing w:val="5"/>
                <w:sz w:val="24"/>
                <w:szCs w:val="24"/>
              </w:rPr>
              <w:t xml:space="preserve"> </w:t>
            </w:r>
            <w:r>
              <w:rPr>
                <w:spacing w:val="4"/>
                <w:sz w:val="24"/>
                <w:szCs w:val="24"/>
              </w:rPr>
              <w:t>白色。广分布物种，栖息地海拔500～3600m,踪迹几遍及全省。以昆虫、两栖类、</w:t>
            </w:r>
            <w:r>
              <w:rPr>
                <w:spacing w:val="13"/>
                <w:sz w:val="24"/>
                <w:szCs w:val="24"/>
              </w:rPr>
              <w:t xml:space="preserve"> </w:t>
            </w:r>
            <w:r>
              <w:rPr>
                <w:spacing w:val="5"/>
                <w:sz w:val="24"/>
                <w:szCs w:val="24"/>
              </w:rPr>
              <w:t>小型爬行动物、小型鸟类和小型哺乳类为食。常见种类(杨岚，1995),国家二级</w:t>
            </w:r>
            <w:r>
              <w:rPr>
                <w:sz w:val="24"/>
                <w:szCs w:val="24"/>
              </w:rPr>
              <w:t xml:space="preserve">   </w:t>
            </w:r>
            <w:r>
              <w:rPr>
                <w:spacing w:val="3"/>
                <w:sz w:val="24"/>
                <w:szCs w:val="24"/>
              </w:rPr>
              <w:t>重点保护动物。主要分布于坝区边缘周边，约分</w:t>
            </w:r>
            <w:r>
              <w:rPr>
                <w:spacing w:val="2"/>
                <w:sz w:val="24"/>
                <w:szCs w:val="24"/>
              </w:rPr>
              <w:t>布有2-3只。</w:t>
            </w:r>
          </w:p>
          <w:p w14:paraId="2BB343D5">
            <w:pPr>
              <w:pStyle w:val="6"/>
              <w:spacing w:before="6" w:line="359" w:lineRule="auto"/>
              <w:ind w:left="51" w:right="23" w:firstLine="533"/>
              <w:rPr>
                <w:sz w:val="24"/>
                <w:szCs w:val="24"/>
              </w:rPr>
            </w:pPr>
            <w:r>
              <w:rPr>
                <w:b/>
                <w:bCs/>
                <w:spacing w:val="-1"/>
                <w:sz w:val="24"/>
                <w:szCs w:val="24"/>
              </w:rPr>
              <w:t>普通鷲</w:t>
            </w:r>
            <w:r>
              <w:rPr>
                <w:spacing w:val="-1"/>
                <w:sz w:val="24"/>
                <w:szCs w:val="24"/>
              </w:rPr>
              <w:t xml:space="preserve"> </w:t>
            </w:r>
            <w:r>
              <w:rPr>
                <w:b/>
                <w:bCs/>
                <w:spacing w:val="-1"/>
                <w:sz w:val="24"/>
                <w:szCs w:val="24"/>
              </w:rPr>
              <w:t>Buteo</w:t>
            </w:r>
            <w:r>
              <w:rPr>
                <w:spacing w:val="-1"/>
                <w:sz w:val="24"/>
                <w:szCs w:val="24"/>
              </w:rPr>
              <w:t xml:space="preserve"> </w:t>
            </w:r>
            <w:r>
              <w:rPr>
                <w:b/>
                <w:bCs/>
                <w:spacing w:val="-1"/>
                <w:sz w:val="24"/>
                <w:szCs w:val="24"/>
              </w:rPr>
              <w:t>japonicus,</w:t>
            </w:r>
            <w:r>
              <w:rPr>
                <w:spacing w:val="-1"/>
                <w:sz w:val="24"/>
                <w:szCs w:val="24"/>
              </w:rPr>
              <w:t>中型猛禽，全长在540mm左右。脸侧皮黄具近红色</w:t>
            </w:r>
            <w:r>
              <w:rPr>
                <w:spacing w:val="1"/>
                <w:sz w:val="24"/>
                <w:szCs w:val="24"/>
              </w:rPr>
              <w:t xml:space="preserve">   </w:t>
            </w:r>
            <w:r>
              <w:rPr>
                <w:spacing w:val="2"/>
                <w:sz w:val="24"/>
                <w:szCs w:val="24"/>
              </w:rPr>
              <w:t>细纹，栗色的髭纹显著;下体主要为暗褐色或淡褐色，具深棕色横斑或纵纹，尾羽</w:t>
            </w:r>
            <w:r>
              <w:rPr>
                <w:spacing w:val="8"/>
                <w:sz w:val="24"/>
                <w:szCs w:val="24"/>
              </w:rPr>
              <w:t xml:space="preserve"> </w:t>
            </w:r>
            <w:r>
              <w:rPr>
                <w:spacing w:val="1"/>
                <w:sz w:val="24"/>
                <w:szCs w:val="24"/>
              </w:rPr>
              <w:t>为淡灰褐色，具有多道暗色横斑，飞翔时两翼宽阔，在初级飞羽的基</w:t>
            </w:r>
            <w:r>
              <w:rPr>
                <w:sz w:val="24"/>
                <w:szCs w:val="24"/>
              </w:rPr>
              <w:t xml:space="preserve">部有明显的白 </w:t>
            </w:r>
            <w:r>
              <w:rPr>
                <w:spacing w:val="2"/>
                <w:sz w:val="24"/>
                <w:szCs w:val="24"/>
              </w:rPr>
              <w:t>斑，翼下为肉色，仅翼尖、翼角和飞羽的外缘为黑色(淡色型)或者全为黑褐</w:t>
            </w:r>
            <w:r>
              <w:rPr>
                <w:spacing w:val="1"/>
                <w:sz w:val="24"/>
                <w:szCs w:val="24"/>
              </w:rPr>
              <w:t>色(暗</w:t>
            </w:r>
            <w:r>
              <w:rPr>
                <w:sz w:val="24"/>
                <w:szCs w:val="24"/>
              </w:rPr>
              <w:t xml:space="preserve"> </w:t>
            </w:r>
            <w:r>
              <w:rPr>
                <w:spacing w:val="5"/>
                <w:sz w:val="24"/>
                <w:szCs w:val="24"/>
              </w:rPr>
              <w:t>色型),尾羽呈扇形散开。在高空翱翔时两翼略呈"V"形。广分布物种，繁殖期间</w:t>
            </w:r>
            <w:r>
              <w:rPr>
                <w:spacing w:val="8"/>
                <w:sz w:val="24"/>
                <w:szCs w:val="24"/>
              </w:rPr>
              <w:t xml:space="preserve">  </w:t>
            </w:r>
            <w:r>
              <w:rPr>
                <w:spacing w:val="3"/>
                <w:sz w:val="24"/>
                <w:szCs w:val="24"/>
              </w:rPr>
              <w:t>主要栖息于山地森林和林缘地带。从海平面到至少1300米的山脚阔叶林，到2000</w:t>
            </w:r>
            <w:r>
              <w:rPr>
                <w:spacing w:val="7"/>
                <w:sz w:val="24"/>
                <w:szCs w:val="24"/>
              </w:rPr>
              <w:t xml:space="preserve">  </w:t>
            </w:r>
            <w:r>
              <w:rPr>
                <w:spacing w:val="4"/>
                <w:sz w:val="24"/>
                <w:szCs w:val="24"/>
              </w:rPr>
              <w:t>米的混交林和针叶林地带均有分布，有时甚至出现在海拔20</w:t>
            </w:r>
            <w:r>
              <w:rPr>
                <w:spacing w:val="3"/>
                <w:sz w:val="24"/>
                <w:szCs w:val="24"/>
              </w:rPr>
              <w:t>00米以上的山顶苔原</w:t>
            </w:r>
            <w:r>
              <w:rPr>
                <w:sz w:val="24"/>
                <w:szCs w:val="24"/>
              </w:rPr>
              <w:t xml:space="preserve">  带上空，秋冬季节则多出现在低山丘陵和山脚平原地带。以森林鼠类为食，食量甚</w:t>
            </w:r>
            <w:r>
              <w:rPr>
                <w:spacing w:val="8"/>
                <w:sz w:val="24"/>
                <w:szCs w:val="24"/>
              </w:rPr>
              <w:t xml:space="preserve"> </w:t>
            </w:r>
            <w:r>
              <w:rPr>
                <w:sz w:val="24"/>
                <w:szCs w:val="24"/>
              </w:rPr>
              <w:t>大。除啮齿类外，也吃蛙、蜥蜴、蛇、野兔、小鸟和大型昆虫等动物性食物，有时</w:t>
            </w:r>
            <w:r>
              <w:rPr>
                <w:spacing w:val="13"/>
                <w:sz w:val="24"/>
                <w:szCs w:val="24"/>
              </w:rPr>
              <w:t xml:space="preserve"> </w:t>
            </w:r>
            <w:r>
              <w:rPr>
                <w:spacing w:val="5"/>
                <w:sz w:val="24"/>
                <w:szCs w:val="24"/>
              </w:rPr>
              <w:t>亦到村庄捕食鸡等家禽。常见种类(杨岚，1995),国家二级重点保护动物。</w:t>
            </w:r>
            <w:r>
              <w:rPr>
                <w:spacing w:val="4"/>
                <w:sz w:val="24"/>
                <w:szCs w:val="24"/>
              </w:rPr>
              <w:t>评价</w:t>
            </w:r>
            <w:r>
              <w:rPr>
                <w:sz w:val="24"/>
                <w:szCs w:val="24"/>
              </w:rPr>
              <w:t xml:space="preserve">  </w:t>
            </w:r>
            <w:r>
              <w:rPr>
                <w:spacing w:val="2"/>
                <w:sz w:val="24"/>
                <w:szCs w:val="24"/>
              </w:rPr>
              <w:t>区内可见在上空盘旋，约分布有2-3只，踪迹集中在山箐、河谷区域</w:t>
            </w:r>
            <w:r>
              <w:rPr>
                <w:spacing w:val="1"/>
                <w:sz w:val="24"/>
                <w:szCs w:val="24"/>
              </w:rPr>
              <w:t>及农田针叶林</w:t>
            </w:r>
            <w:r>
              <w:rPr>
                <w:sz w:val="24"/>
                <w:szCs w:val="24"/>
              </w:rPr>
              <w:t xml:space="preserve"> </w:t>
            </w:r>
            <w:r>
              <w:rPr>
                <w:spacing w:val="7"/>
                <w:sz w:val="24"/>
                <w:szCs w:val="24"/>
              </w:rPr>
              <w:t>交错地带可见。</w:t>
            </w:r>
          </w:p>
          <w:p w14:paraId="7F34642B">
            <w:pPr>
              <w:pStyle w:val="6"/>
              <w:spacing w:line="219" w:lineRule="auto"/>
              <w:ind w:left="564"/>
              <w:rPr>
                <w:sz w:val="24"/>
                <w:szCs w:val="24"/>
              </w:rPr>
            </w:pPr>
            <w:r>
              <w:rPr>
                <w:b/>
                <w:bCs/>
                <w:spacing w:val="-5"/>
                <w:sz w:val="24"/>
                <w:szCs w:val="24"/>
              </w:rPr>
              <w:t>2、两栖类</w:t>
            </w:r>
          </w:p>
          <w:p w14:paraId="03AED1DD">
            <w:pPr>
              <w:pStyle w:val="6"/>
              <w:spacing w:before="186" w:line="341" w:lineRule="auto"/>
              <w:ind w:left="171" w:right="83" w:firstLine="430"/>
              <w:rPr>
                <w:sz w:val="24"/>
                <w:szCs w:val="24"/>
              </w:rPr>
            </w:pPr>
            <w:r>
              <w:rPr>
                <w:spacing w:val="1"/>
                <w:sz w:val="24"/>
                <w:szCs w:val="24"/>
              </w:rPr>
              <w:t>在评价区分布的5种两栖动物中，无国家级重</w:t>
            </w:r>
            <w:r>
              <w:rPr>
                <w:sz w:val="24"/>
                <w:szCs w:val="24"/>
              </w:rPr>
              <w:t>点保护野生动物。调查未发现局 限分布于该地区的特有种类。未发现云南省保护种类。有1种，即双团棘胸蛙Paa</w:t>
            </w:r>
          </w:p>
        </w:tc>
      </w:tr>
    </w:tbl>
    <w:p w14:paraId="6D4A7000">
      <w:pPr>
        <w:pStyle w:val="2"/>
      </w:pPr>
    </w:p>
    <w:p w14:paraId="140DF4D7">
      <w:pPr>
        <w:sectPr>
          <w:footerReference r:id="rId101" w:type="default"/>
          <w:pgSz w:w="11910" w:h="16830"/>
          <w:pgMar w:top="400" w:right="1244" w:bottom="1245" w:left="1214" w:header="0" w:footer="1083" w:gutter="0"/>
          <w:cols w:space="720" w:num="1"/>
        </w:sectPr>
      </w:pPr>
    </w:p>
    <w:p w14:paraId="07890206">
      <w:pPr>
        <w:spacing w:before="15"/>
      </w:pPr>
    </w:p>
    <w:p w14:paraId="4EB3F06B">
      <w:pPr>
        <w:spacing w:before="15"/>
      </w:pPr>
    </w:p>
    <w:p w14:paraId="0D8D1B09">
      <w:pPr>
        <w:spacing w:before="15"/>
      </w:pPr>
    </w:p>
    <w:p w14:paraId="1393DEF2">
      <w:pPr>
        <w:spacing w:before="14"/>
      </w:pPr>
    </w:p>
    <w:tbl>
      <w:tblPr>
        <w:tblStyle w:val="5"/>
        <w:tblW w:w="945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8758"/>
      </w:tblGrid>
      <w:tr w14:paraId="02946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59" w:hRule="atLeast"/>
        </w:trPr>
        <w:tc>
          <w:tcPr>
            <w:tcW w:w="694" w:type="dxa"/>
            <w:vAlign w:val="top"/>
          </w:tcPr>
          <w:p w14:paraId="58D8DF50">
            <w:pPr>
              <w:rPr>
                <w:rFonts w:ascii="Arial"/>
                <w:sz w:val="21"/>
              </w:rPr>
            </w:pPr>
          </w:p>
        </w:tc>
        <w:tc>
          <w:tcPr>
            <w:tcW w:w="8758" w:type="dxa"/>
            <w:vAlign w:val="top"/>
          </w:tcPr>
          <w:p w14:paraId="01EB3209">
            <w:pPr>
              <w:pStyle w:val="6"/>
              <w:spacing w:before="30" w:line="356" w:lineRule="auto"/>
              <w:ind w:left="101" w:right="9" w:hanging="40"/>
              <w:rPr>
                <w:sz w:val="24"/>
                <w:szCs w:val="24"/>
              </w:rPr>
            </w:pPr>
            <w:r>
              <w:rPr>
                <w:spacing w:val="-10"/>
                <w:sz w:val="24"/>
                <w:szCs w:val="24"/>
              </w:rPr>
              <w:t>yunnanensis,被“中国濒危动物红皮书”列为“易危”动物，仅占全部两栖动</w:t>
            </w:r>
            <w:r>
              <w:rPr>
                <w:spacing w:val="-11"/>
                <w:sz w:val="24"/>
                <w:szCs w:val="24"/>
              </w:rPr>
              <w:t>物种数的</w:t>
            </w:r>
            <w:r>
              <w:rPr>
                <w:sz w:val="24"/>
                <w:szCs w:val="24"/>
              </w:rPr>
              <w:t xml:space="preserve"> 7.1%。该物种在云南省为广分布物种。</w:t>
            </w:r>
          </w:p>
          <w:p w14:paraId="74750BD5">
            <w:pPr>
              <w:pStyle w:val="6"/>
              <w:spacing w:line="215" w:lineRule="auto"/>
              <w:ind w:left="564"/>
              <w:rPr>
                <w:sz w:val="24"/>
                <w:szCs w:val="24"/>
              </w:rPr>
            </w:pPr>
            <w:r>
              <w:rPr>
                <w:b/>
                <w:bCs/>
                <w:spacing w:val="-1"/>
                <w:sz w:val="24"/>
                <w:szCs w:val="24"/>
              </w:rPr>
              <w:t>双团棘胸蛙Paa</w:t>
            </w:r>
            <w:r>
              <w:rPr>
                <w:spacing w:val="-1"/>
                <w:sz w:val="24"/>
                <w:szCs w:val="24"/>
              </w:rPr>
              <w:t xml:space="preserve"> </w:t>
            </w:r>
            <w:r>
              <w:rPr>
                <w:b/>
                <w:bCs/>
                <w:spacing w:val="-1"/>
                <w:sz w:val="24"/>
                <w:szCs w:val="24"/>
              </w:rPr>
              <w:t>yunnanensis</w:t>
            </w:r>
            <w:r>
              <w:rPr>
                <w:spacing w:val="-1"/>
                <w:sz w:val="24"/>
                <w:szCs w:val="24"/>
              </w:rPr>
              <w:t>常栖息于水沟或山间</w:t>
            </w:r>
            <w:r>
              <w:rPr>
                <w:spacing w:val="-2"/>
                <w:sz w:val="24"/>
                <w:szCs w:val="24"/>
              </w:rPr>
              <w:t>溪流内，白天隐伏于石下，</w:t>
            </w:r>
          </w:p>
          <w:p w14:paraId="173CBC34">
            <w:pPr>
              <w:pStyle w:val="6"/>
              <w:spacing w:before="199" w:line="219" w:lineRule="auto"/>
              <w:ind w:left="111"/>
              <w:rPr>
                <w:sz w:val="24"/>
                <w:szCs w:val="24"/>
              </w:rPr>
            </w:pPr>
            <w:r>
              <w:rPr>
                <w:sz w:val="24"/>
                <w:szCs w:val="24"/>
              </w:rPr>
              <w:t>夜晚在岸边或石上活动捕食。其生存海拔范围为1500m-2400m。由于人为的大量</w:t>
            </w:r>
          </w:p>
          <w:p w14:paraId="6FCFE33C">
            <w:pPr>
              <w:pStyle w:val="6"/>
              <w:spacing w:before="173" w:line="218" w:lineRule="auto"/>
              <w:jc w:val="right"/>
              <w:rPr>
                <w:sz w:val="24"/>
                <w:szCs w:val="24"/>
              </w:rPr>
            </w:pPr>
            <w:r>
              <w:rPr>
                <w:spacing w:val="-6"/>
                <w:sz w:val="24"/>
                <w:szCs w:val="24"/>
              </w:rPr>
              <w:t>捕食，该物种目前体型较大的成年蛙数量已大量下降。</w:t>
            </w:r>
            <w:r>
              <w:rPr>
                <w:spacing w:val="-7"/>
                <w:sz w:val="24"/>
                <w:szCs w:val="24"/>
              </w:rPr>
              <w:t>评价区内主要分布于山箐中。</w:t>
            </w:r>
          </w:p>
          <w:p w14:paraId="1D9834FD">
            <w:pPr>
              <w:pStyle w:val="6"/>
              <w:spacing w:before="185" w:line="219" w:lineRule="auto"/>
              <w:ind w:left="564"/>
              <w:rPr>
                <w:sz w:val="24"/>
                <w:szCs w:val="24"/>
              </w:rPr>
            </w:pPr>
            <w:r>
              <w:rPr>
                <w:b/>
                <w:bCs/>
                <w:spacing w:val="-5"/>
                <w:sz w:val="24"/>
                <w:szCs w:val="24"/>
              </w:rPr>
              <w:t>3、爬行类</w:t>
            </w:r>
          </w:p>
          <w:p w14:paraId="3B8A1C9C">
            <w:pPr>
              <w:pStyle w:val="6"/>
              <w:spacing w:before="186" w:line="361" w:lineRule="auto"/>
              <w:ind w:left="121" w:right="237" w:firstLine="470"/>
              <w:rPr>
                <w:sz w:val="24"/>
                <w:szCs w:val="24"/>
              </w:rPr>
            </w:pPr>
            <w:r>
              <w:rPr>
                <w:sz w:val="24"/>
                <w:szCs w:val="24"/>
              </w:rPr>
              <w:t>在评价区分布的10种爬行动物中，无国家级及省级重点保护野生动物分</w:t>
            </w:r>
            <w:r>
              <w:rPr>
                <w:spacing w:val="-1"/>
                <w:sz w:val="24"/>
                <w:szCs w:val="24"/>
              </w:rPr>
              <w:t>布。</w:t>
            </w:r>
            <w:r>
              <w:rPr>
                <w:sz w:val="24"/>
                <w:szCs w:val="24"/>
              </w:rPr>
              <w:t xml:space="preserve"> </w:t>
            </w:r>
            <w:r>
              <w:rPr>
                <w:spacing w:val="-1"/>
                <w:sz w:val="24"/>
                <w:szCs w:val="24"/>
              </w:rPr>
              <w:t>调查也未发现局限分布于该地区的特有种类。</w:t>
            </w:r>
          </w:p>
          <w:p w14:paraId="1B4980D4">
            <w:pPr>
              <w:pStyle w:val="6"/>
              <w:spacing w:line="219" w:lineRule="auto"/>
              <w:ind w:left="554"/>
              <w:rPr>
                <w:sz w:val="24"/>
                <w:szCs w:val="24"/>
              </w:rPr>
            </w:pPr>
            <w:r>
              <w:rPr>
                <w:b/>
                <w:bCs/>
                <w:spacing w:val="-4"/>
                <w:sz w:val="24"/>
                <w:szCs w:val="24"/>
              </w:rPr>
              <w:t>4、哺乳类</w:t>
            </w:r>
          </w:p>
          <w:p w14:paraId="5D275700">
            <w:pPr>
              <w:pStyle w:val="6"/>
              <w:spacing w:before="187" w:line="359" w:lineRule="auto"/>
              <w:ind w:left="101" w:firstLine="489"/>
              <w:rPr>
                <w:sz w:val="24"/>
                <w:szCs w:val="24"/>
              </w:rPr>
            </w:pPr>
            <w:r>
              <w:rPr>
                <w:spacing w:val="-1"/>
                <w:sz w:val="24"/>
                <w:szCs w:val="24"/>
              </w:rPr>
              <w:t>在评价区分布的7种哺乳动物中，无国家级保护动物分布，无云南省级重点保</w:t>
            </w:r>
            <w:r>
              <w:rPr>
                <w:spacing w:val="7"/>
                <w:sz w:val="24"/>
                <w:szCs w:val="24"/>
              </w:rPr>
              <w:t xml:space="preserve">  </w:t>
            </w:r>
            <w:r>
              <w:rPr>
                <w:sz w:val="24"/>
                <w:szCs w:val="24"/>
              </w:rPr>
              <w:t>护野生动物分布；调查也未发现局限分布于该地区的特有种类。未发现云南省保护</w:t>
            </w:r>
            <w:r>
              <w:rPr>
                <w:spacing w:val="5"/>
                <w:sz w:val="24"/>
                <w:szCs w:val="24"/>
              </w:rPr>
              <w:t xml:space="preserve"> </w:t>
            </w:r>
            <w:r>
              <w:rPr>
                <w:spacing w:val="-1"/>
                <w:sz w:val="24"/>
                <w:szCs w:val="24"/>
              </w:rPr>
              <w:t>种类、列入《中国濒危动物红皮书》种类。</w:t>
            </w:r>
          </w:p>
          <w:p w14:paraId="3FC07DCA">
            <w:pPr>
              <w:pStyle w:val="6"/>
              <w:spacing w:before="115" w:line="218" w:lineRule="auto"/>
              <w:ind w:left="94"/>
              <w:rPr>
                <w:sz w:val="24"/>
                <w:szCs w:val="24"/>
              </w:rPr>
            </w:pPr>
            <w:r>
              <w:rPr>
                <w:b/>
                <w:bCs/>
                <w:spacing w:val="-4"/>
                <w:sz w:val="24"/>
                <w:szCs w:val="24"/>
              </w:rPr>
              <w:t>4.3.4脊椎动物资源现状评价</w:t>
            </w:r>
          </w:p>
          <w:p w14:paraId="0BB6BA1B">
            <w:pPr>
              <w:pStyle w:val="6"/>
              <w:spacing w:before="180" w:line="217" w:lineRule="auto"/>
              <w:ind w:left="591"/>
              <w:rPr>
                <w:sz w:val="24"/>
                <w:szCs w:val="24"/>
              </w:rPr>
            </w:pPr>
            <w:r>
              <w:rPr>
                <w:spacing w:val="1"/>
                <w:sz w:val="24"/>
                <w:szCs w:val="24"/>
              </w:rPr>
              <w:t>①种类少种群小无资源优势</w:t>
            </w:r>
          </w:p>
          <w:p w14:paraId="73D40BD5">
            <w:pPr>
              <w:pStyle w:val="6"/>
              <w:spacing w:before="196" w:line="357" w:lineRule="auto"/>
              <w:ind w:left="101" w:right="106" w:firstLine="489"/>
              <w:rPr>
                <w:sz w:val="24"/>
                <w:szCs w:val="24"/>
              </w:rPr>
            </w:pPr>
            <w:r>
              <w:rPr>
                <w:sz w:val="24"/>
                <w:szCs w:val="24"/>
              </w:rPr>
              <w:t>由于受人为活动影响，评价区内陆栖动物活动痕迹不显著,实际分布动物种类</w:t>
            </w:r>
            <w:r>
              <w:rPr>
                <w:spacing w:val="9"/>
                <w:sz w:val="24"/>
                <w:szCs w:val="24"/>
              </w:rPr>
              <w:t xml:space="preserve"> </w:t>
            </w:r>
            <w:r>
              <w:rPr>
                <w:sz w:val="24"/>
                <w:szCs w:val="24"/>
              </w:rPr>
              <w:t>少，种群小，根据调查评价区内陆栖脊椎动物81种，但可供直接经济利用的动物</w:t>
            </w:r>
          </w:p>
          <w:p w14:paraId="75287F2C">
            <w:pPr>
              <w:pStyle w:val="6"/>
              <w:spacing w:before="17" w:line="355" w:lineRule="auto"/>
              <w:ind w:left="91" w:firstLine="19"/>
              <w:rPr>
                <w:sz w:val="24"/>
                <w:szCs w:val="24"/>
              </w:rPr>
            </w:pPr>
            <w:r>
              <w:rPr>
                <w:spacing w:val="-1"/>
                <w:sz w:val="24"/>
                <w:szCs w:val="24"/>
              </w:rPr>
              <w:t>资源，如人们所熟悉的食用、观赏用和药用等种类少，而少数可供直接经济利用的</w:t>
            </w:r>
            <w:r>
              <w:rPr>
                <w:spacing w:val="8"/>
                <w:sz w:val="24"/>
                <w:szCs w:val="24"/>
              </w:rPr>
              <w:t xml:space="preserve"> </w:t>
            </w:r>
            <w:r>
              <w:rPr>
                <w:sz w:val="24"/>
                <w:szCs w:val="24"/>
              </w:rPr>
              <w:t>种类，种类的特点是种群小。资源是以种群数量为基础的，没有一定的数量规模就</w:t>
            </w:r>
            <w:r>
              <w:rPr>
                <w:spacing w:val="3"/>
                <w:sz w:val="24"/>
                <w:szCs w:val="24"/>
              </w:rPr>
              <w:t xml:space="preserve"> </w:t>
            </w:r>
            <w:r>
              <w:rPr>
                <w:sz w:val="24"/>
                <w:szCs w:val="24"/>
              </w:rPr>
              <w:t>难以开发供应市场。由于陆生脊椎动物各个类群均存在种群小数量少，难以形成一</w:t>
            </w:r>
            <w:r>
              <w:rPr>
                <w:spacing w:val="15"/>
                <w:sz w:val="24"/>
                <w:szCs w:val="24"/>
              </w:rPr>
              <w:t xml:space="preserve"> </w:t>
            </w:r>
            <w:r>
              <w:rPr>
                <w:spacing w:val="1"/>
                <w:sz w:val="24"/>
                <w:szCs w:val="24"/>
              </w:rPr>
              <w:t>定的资源规模。</w:t>
            </w:r>
          </w:p>
          <w:p w14:paraId="67E4BC04">
            <w:pPr>
              <w:pStyle w:val="6"/>
              <w:spacing w:before="1" w:line="217" w:lineRule="auto"/>
              <w:ind w:left="591"/>
              <w:rPr>
                <w:sz w:val="24"/>
                <w:szCs w:val="24"/>
              </w:rPr>
            </w:pPr>
            <w:r>
              <w:rPr>
                <w:spacing w:val="-1"/>
                <w:sz w:val="24"/>
                <w:szCs w:val="24"/>
              </w:rPr>
              <w:t>②小型有害兽类种群数量大</w:t>
            </w:r>
          </w:p>
          <w:p w14:paraId="6EA83990">
            <w:pPr>
              <w:pStyle w:val="6"/>
              <w:spacing w:before="189" w:line="361" w:lineRule="auto"/>
              <w:ind w:left="101" w:right="5" w:firstLine="489"/>
              <w:rPr>
                <w:sz w:val="24"/>
                <w:szCs w:val="24"/>
              </w:rPr>
            </w:pPr>
            <w:r>
              <w:rPr>
                <w:sz w:val="24"/>
                <w:szCs w:val="24"/>
              </w:rPr>
              <w:t>在项目评价区内，小型兽类，尤其是啮齿类活动痕迹十</w:t>
            </w:r>
            <w:r>
              <w:rPr>
                <w:spacing w:val="-1"/>
                <w:sz w:val="24"/>
                <w:szCs w:val="24"/>
              </w:rPr>
              <w:t>分多，而且种类和数量</w:t>
            </w:r>
            <w:r>
              <w:rPr>
                <w:sz w:val="24"/>
                <w:szCs w:val="24"/>
              </w:rPr>
              <w:t xml:space="preserve"> 均较丰富，这主要生境主要以农耕景观为主有</w:t>
            </w:r>
            <w:r>
              <w:rPr>
                <w:spacing w:val="-1"/>
                <w:sz w:val="24"/>
                <w:szCs w:val="24"/>
              </w:rPr>
              <w:t>关。</w:t>
            </w:r>
          </w:p>
          <w:p w14:paraId="1BE7600E">
            <w:pPr>
              <w:pStyle w:val="6"/>
              <w:spacing w:line="217" w:lineRule="auto"/>
              <w:ind w:left="591"/>
              <w:rPr>
                <w:sz w:val="24"/>
                <w:szCs w:val="24"/>
              </w:rPr>
            </w:pPr>
            <w:r>
              <w:rPr>
                <w:spacing w:val="-1"/>
                <w:sz w:val="24"/>
                <w:szCs w:val="24"/>
              </w:rPr>
              <w:t>③缺乏重点保护种类、缺乏狭域分布的特有种类</w:t>
            </w:r>
          </w:p>
          <w:p w14:paraId="6B6775B2">
            <w:pPr>
              <w:pStyle w:val="6"/>
              <w:spacing w:before="199" w:line="350" w:lineRule="auto"/>
              <w:ind w:left="71" w:firstLine="513"/>
              <w:rPr>
                <w:sz w:val="24"/>
                <w:szCs w:val="24"/>
              </w:rPr>
            </w:pPr>
            <w:r>
              <w:rPr>
                <w:sz w:val="24"/>
                <w:szCs w:val="24"/>
              </w:rPr>
              <w:t>两栖类、爬行类、鸟类和兽类等类群中均无局限分布于项目范围区的特有属、</w:t>
            </w:r>
            <w:r>
              <w:rPr>
                <w:spacing w:val="2"/>
                <w:sz w:val="24"/>
                <w:szCs w:val="24"/>
              </w:rPr>
              <w:t xml:space="preserve"> </w:t>
            </w:r>
            <w:r>
              <w:rPr>
                <w:spacing w:val="-2"/>
                <w:sz w:val="24"/>
                <w:szCs w:val="24"/>
              </w:rPr>
              <w:t>种。</w:t>
            </w:r>
          </w:p>
          <w:p w14:paraId="77273F27">
            <w:pPr>
              <w:pStyle w:val="6"/>
              <w:spacing w:before="19" w:line="220" w:lineRule="auto"/>
              <w:ind w:left="94"/>
              <w:rPr>
                <w:sz w:val="24"/>
                <w:szCs w:val="24"/>
              </w:rPr>
            </w:pPr>
            <w:r>
              <w:rPr>
                <w:b/>
                <w:bCs/>
                <w:spacing w:val="-4"/>
                <w:sz w:val="24"/>
                <w:szCs w:val="24"/>
              </w:rPr>
              <w:t>4.3.5保护动物适宜生境</w:t>
            </w:r>
          </w:p>
          <w:p w14:paraId="1CEA7C2F">
            <w:pPr>
              <w:pStyle w:val="6"/>
              <w:spacing w:before="175" w:line="337" w:lineRule="auto"/>
              <w:ind w:left="101" w:right="485" w:firstLine="489"/>
              <w:rPr>
                <w:sz w:val="24"/>
                <w:szCs w:val="24"/>
              </w:rPr>
            </w:pPr>
            <w:r>
              <w:rPr>
                <w:sz w:val="24"/>
                <w:szCs w:val="24"/>
              </w:rPr>
              <w:t>评价区内分布有3种保护动物，本次评价采用Maxent</w:t>
            </w:r>
            <w:r>
              <w:rPr>
                <w:spacing w:val="-1"/>
                <w:sz w:val="24"/>
                <w:szCs w:val="24"/>
              </w:rPr>
              <w:t>最大熵值模型对3种保</w:t>
            </w:r>
            <w:r>
              <w:rPr>
                <w:sz w:val="24"/>
                <w:szCs w:val="24"/>
              </w:rPr>
              <w:t xml:space="preserve"> 护动物在评价区内的适宜生境状况进行了分析。</w:t>
            </w:r>
          </w:p>
        </w:tc>
      </w:tr>
    </w:tbl>
    <w:p w14:paraId="09520E58">
      <w:pPr>
        <w:pStyle w:val="2"/>
      </w:pPr>
    </w:p>
    <w:p w14:paraId="4F64D8E5">
      <w:pPr>
        <w:sectPr>
          <w:footerReference r:id="rId102" w:type="default"/>
          <w:pgSz w:w="11910" w:h="16830"/>
          <w:pgMar w:top="400" w:right="1232" w:bottom="1245" w:left="1214" w:header="0" w:footer="1083" w:gutter="0"/>
          <w:cols w:space="720" w:num="1"/>
        </w:sectPr>
      </w:pPr>
    </w:p>
    <w:p w14:paraId="54485B89">
      <w:pPr>
        <w:spacing w:before="18"/>
      </w:pPr>
    </w:p>
    <w:p w14:paraId="4F3CFBAD">
      <w:pPr>
        <w:spacing w:before="17"/>
      </w:pPr>
    </w:p>
    <w:p w14:paraId="56F2CFA9">
      <w:pPr>
        <w:spacing w:before="17"/>
      </w:pPr>
    </w:p>
    <w:p w14:paraId="6653DB21">
      <w:pPr>
        <w:spacing w:before="17"/>
      </w:pPr>
    </w:p>
    <w:tbl>
      <w:tblPr>
        <w:tblStyle w:val="5"/>
        <w:tblW w:w="94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8736"/>
      </w:tblGrid>
      <w:tr w14:paraId="1F262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0" w:hRule="atLeast"/>
        </w:trPr>
        <w:tc>
          <w:tcPr>
            <w:tcW w:w="684" w:type="dxa"/>
            <w:vAlign w:val="top"/>
          </w:tcPr>
          <w:p w14:paraId="52EF6B15">
            <w:pPr>
              <w:rPr>
                <w:rFonts w:ascii="Arial"/>
                <w:sz w:val="21"/>
              </w:rPr>
            </w:pPr>
          </w:p>
        </w:tc>
        <w:tc>
          <w:tcPr>
            <w:tcW w:w="8736" w:type="dxa"/>
            <w:vAlign w:val="top"/>
          </w:tcPr>
          <w:p w14:paraId="7BE017EA">
            <w:pPr>
              <w:pStyle w:val="6"/>
              <w:spacing w:before="45" w:line="358" w:lineRule="auto"/>
              <w:ind w:left="41" w:firstLine="535"/>
              <w:rPr>
                <w:sz w:val="24"/>
                <w:szCs w:val="24"/>
              </w:rPr>
            </w:pPr>
            <w:r>
              <w:rPr>
                <w:spacing w:val="-2"/>
                <w:sz w:val="24"/>
                <w:szCs w:val="24"/>
              </w:rPr>
              <w:t>保护动物分布点位采用本次评价野外调查结果，影响这3种保护动物的主要信</w:t>
            </w:r>
            <w:r>
              <w:rPr>
                <w:spacing w:val="7"/>
                <w:sz w:val="24"/>
                <w:szCs w:val="24"/>
              </w:rPr>
              <w:t xml:space="preserve">  </w:t>
            </w:r>
            <w:r>
              <w:rPr>
                <w:spacing w:val="2"/>
                <w:sz w:val="24"/>
                <w:szCs w:val="24"/>
              </w:rPr>
              <w:t>息包括地形(坡度、坡向、海拔)、植被类型、植被覆盖</w:t>
            </w:r>
            <w:r>
              <w:rPr>
                <w:spacing w:val="1"/>
                <w:sz w:val="24"/>
                <w:szCs w:val="24"/>
              </w:rPr>
              <w:t>度、距离居民点距离、气</w:t>
            </w:r>
            <w:r>
              <w:rPr>
                <w:sz w:val="24"/>
                <w:szCs w:val="24"/>
              </w:rPr>
              <w:t xml:space="preserve">   </w:t>
            </w:r>
            <w:r>
              <w:rPr>
                <w:spacing w:val="-6"/>
                <w:sz w:val="24"/>
                <w:szCs w:val="24"/>
              </w:rPr>
              <w:t>象因子、小型啮齿类动物、两栖动物等小型生物分布范围</w:t>
            </w:r>
            <w:r>
              <w:rPr>
                <w:spacing w:val="-7"/>
                <w:sz w:val="24"/>
                <w:szCs w:val="24"/>
              </w:rPr>
              <w:t>等。本次评价使用landsat8</w:t>
            </w:r>
            <w:r>
              <w:rPr>
                <w:sz w:val="24"/>
                <w:szCs w:val="24"/>
              </w:rPr>
              <w:t xml:space="preserve"> </w:t>
            </w:r>
            <w:r>
              <w:rPr>
                <w:spacing w:val="2"/>
                <w:sz w:val="24"/>
                <w:szCs w:val="24"/>
              </w:rPr>
              <w:t>高清影像提取地形数据、植被类型采用目视解译成果，植被覆盖度采用基于</w:t>
            </w:r>
            <w:r>
              <w:rPr>
                <w:sz w:val="24"/>
                <w:szCs w:val="24"/>
              </w:rPr>
              <w:t xml:space="preserve">NDVI  </w:t>
            </w:r>
            <w:r>
              <w:rPr>
                <w:spacing w:val="1"/>
                <w:sz w:val="24"/>
                <w:szCs w:val="24"/>
              </w:rPr>
              <w:t>植被覆盖度运算成果、距离居民点距离选用数字地图识别结果、小型啮齿类动物、</w:t>
            </w:r>
            <w:r>
              <w:rPr>
                <w:spacing w:val="7"/>
                <w:sz w:val="24"/>
                <w:szCs w:val="24"/>
              </w:rPr>
              <w:t xml:space="preserve"> </w:t>
            </w:r>
            <w:r>
              <w:rPr>
                <w:spacing w:val="1"/>
                <w:sz w:val="24"/>
                <w:szCs w:val="24"/>
              </w:rPr>
              <w:t>两栖动物分布范围采用本次评价调查结果，对19个气象因子进行相关性分析后选</w:t>
            </w:r>
            <w:r>
              <w:rPr>
                <w:sz w:val="24"/>
                <w:szCs w:val="24"/>
              </w:rPr>
              <w:t xml:space="preserve">   用年均降雨量、日均温、风向、风速变化值四个因</w:t>
            </w:r>
            <w:r>
              <w:rPr>
                <w:spacing w:val="-1"/>
                <w:sz w:val="24"/>
                <w:szCs w:val="24"/>
              </w:rPr>
              <w:t>子(来自世界气象数据库数据)。</w:t>
            </w:r>
          </w:p>
          <w:p w14:paraId="587F1936">
            <w:pPr>
              <w:pStyle w:val="6"/>
              <w:spacing w:before="1" w:line="217" w:lineRule="auto"/>
              <w:ind w:left="461"/>
              <w:rPr>
                <w:sz w:val="24"/>
                <w:szCs w:val="24"/>
              </w:rPr>
            </w:pPr>
            <w:r>
              <w:rPr>
                <w:sz w:val="24"/>
                <w:szCs w:val="24"/>
              </w:rPr>
              <w:t>本次评价使用MaxEnt对着3种保护动物生境适宜性进行了分析，使用取相等</w:t>
            </w:r>
          </w:p>
          <w:p w14:paraId="25B9F770">
            <w:pPr>
              <w:pStyle w:val="6"/>
              <w:spacing w:before="197" w:line="352" w:lineRule="auto"/>
              <w:ind w:left="91" w:right="148" w:firstLine="69"/>
              <w:rPr>
                <w:sz w:val="24"/>
                <w:szCs w:val="24"/>
              </w:rPr>
            </w:pPr>
            <w:r>
              <w:rPr>
                <w:sz w:val="24"/>
                <w:szCs w:val="24"/>
              </w:rPr>
              <w:t>灵敏度和特异度阈值作为区分不同类型的生境适宜性标准，根据运行结果，模型</w:t>
            </w:r>
            <w:r>
              <w:rPr>
                <w:spacing w:val="15"/>
                <w:sz w:val="24"/>
                <w:szCs w:val="24"/>
              </w:rPr>
              <w:t xml:space="preserve"> </w:t>
            </w:r>
            <w:r>
              <w:rPr>
                <w:sz w:val="24"/>
                <w:szCs w:val="24"/>
              </w:rPr>
              <w:t>AUC值为0.954,效果较好，对这3种保护动物影响分布最大的环境要素主要为小</w:t>
            </w:r>
          </w:p>
          <w:p w14:paraId="0FC9351F">
            <w:pPr>
              <w:pStyle w:val="6"/>
              <w:spacing w:before="23" w:line="354" w:lineRule="auto"/>
              <w:ind w:left="110" w:hanging="9"/>
              <w:rPr>
                <w:sz w:val="24"/>
                <w:szCs w:val="24"/>
              </w:rPr>
            </w:pPr>
            <w:r>
              <w:rPr>
                <w:spacing w:val="3"/>
                <w:sz w:val="24"/>
                <w:szCs w:val="24"/>
              </w:rPr>
              <w:t>型动物生物分布、植被覆盖度、地形、距离居民点距离，</w:t>
            </w:r>
            <w:r>
              <w:rPr>
                <w:spacing w:val="2"/>
                <w:sz w:val="24"/>
                <w:szCs w:val="24"/>
              </w:rPr>
              <w:t>贡献率分别为27.224%、</w:t>
            </w:r>
            <w:r>
              <w:rPr>
                <w:sz w:val="24"/>
                <w:szCs w:val="24"/>
              </w:rPr>
              <w:t xml:space="preserve"> </w:t>
            </w:r>
            <w:r>
              <w:rPr>
                <w:spacing w:val="-2"/>
                <w:sz w:val="24"/>
                <w:szCs w:val="24"/>
              </w:rPr>
              <w:t>18.374%、12.595、11.104</w:t>
            </w:r>
            <w:r>
              <w:rPr>
                <w:spacing w:val="-3"/>
                <w:sz w:val="24"/>
                <w:szCs w:val="24"/>
              </w:rPr>
              <w:t>%。</w:t>
            </w:r>
          </w:p>
          <w:p w14:paraId="64B97499">
            <w:pPr>
              <w:pStyle w:val="6"/>
              <w:spacing w:before="1" w:line="217" w:lineRule="auto"/>
              <w:ind w:left="591"/>
              <w:rPr>
                <w:sz w:val="24"/>
                <w:szCs w:val="24"/>
              </w:rPr>
            </w:pPr>
            <w:r>
              <w:rPr>
                <w:spacing w:val="-1"/>
                <w:sz w:val="24"/>
                <w:szCs w:val="24"/>
              </w:rPr>
              <w:t>评价区内3种保护动物适宜生境情况见下表：</w:t>
            </w:r>
          </w:p>
          <w:p w14:paraId="730E3459">
            <w:pPr>
              <w:pStyle w:val="6"/>
              <w:spacing w:before="203" w:line="200" w:lineRule="auto"/>
              <w:ind w:left="1904"/>
              <w:rPr>
                <w:sz w:val="24"/>
                <w:szCs w:val="24"/>
              </w:rPr>
            </w:pPr>
            <w:r>
              <w:rPr>
                <w:b/>
                <w:bCs/>
                <w:spacing w:val="4"/>
                <w:sz w:val="24"/>
                <w:szCs w:val="24"/>
              </w:rPr>
              <w:t>表3-13</w:t>
            </w:r>
            <w:r>
              <w:rPr>
                <w:spacing w:val="4"/>
                <w:sz w:val="24"/>
                <w:szCs w:val="24"/>
              </w:rPr>
              <w:t xml:space="preserve">   </w:t>
            </w:r>
            <w:r>
              <w:rPr>
                <w:b/>
                <w:bCs/>
                <w:spacing w:val="4"/>
                <w:sz w:val="24"/>
                <w:szCs w:val="24"/>
              </w:rPr>
              <w:t>保护动物适宜生境分布一览表(</w:t>
            </w:r>
            <w:r>
              <w:rPr>
                <w:b/>
                <w:bCs/>
                <w:sz w:val="24"/>
                <w:szCs w:val="24"/>
              </w:rPr>
              <w:t>hm</w:t>
            </w:r>
            <w:r>
              <w:rPr>
                <w:b/>
                <w:bCs/>
                <w:spacing w:val="4"/>
                <w:sz w:val="24"/>
                <w:szCs w:val="24"/>
              </w:rPr>
              <w:t>²)</w:t>
            </w:r>
          </w:p>
          <w:tbl>
            <w:tblPr>
              <w:tblStyle w:val="5"/>
              <w:tblW w:w="8349" w:type="dxa"/>
              <w:tblInd w:w="1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4"/>
              <w:gridCol w:w="1248"/>
              <w:gridCol w:w="1508"/>
              <w:gridCol w:w="1248"/>
              <w:gridCol w:w="3331"/>
            </w:tblGrid>
            <w:tr w14:paraId="24E54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014" w:type="dxa"/>
                  <w:vMerge w:val="restart"/>
                  <w:tcBorders>
                    <w:bottom w:val="nil"/>
                  </w:tcBorders>
                  <w:vAlign w:val="top"/>
                </w:tcPr>
                <w:p w14:paraId="56C689E7">
                  <w:pPr>
                    <w:pStyle w:val="6"/>
                    <w:spacing w:before="164" w:line="220" w:lineRule="auto"/>
                    <w:ind w:left="185"/>
                    <w:rPr>
                      <w:sz w:val="21"/>
                      <w:szCs w:val="21"/>
                    </w:rPr>
                  </w:pPr>
                  <w:r>
                    <w:rPr>
                      <w:spacing w:val="-3"/>
                      <w:sz w:val="21"/>
                      <w:szCs w:val="21"/>
                    </w:rPr>
                    <w:t>保护物</w:t>
                  </w:r>
                </w:p>
                <w:p w14:paraId="39485587">
                  <w:pPr>
                    <w:pStyle w:val="6"/>
                    <w:spacing w:before="19" w:line="220" w:lineRule="auto"/>
                    <w:ind w:left="395"/>
                    <w:rPr>
                      <w:sz w:val="21"/>
                      <w:szCs w:val="21"/>
                    </w:rPr>
                  </w:pPr>
                  <w:r>
                    <w:rPr>
                      <w:sz w:val="21"/>
                      <w:szCs w:val="21"/>
                    </w:rPr>
                    <w:t>种</w:t>
                  </w:r>
                </w:p>
              </w:tc>
              <w:tc>
                <w:tcPr>
                  <w:tcW w:w="4004" w:type="dxa"/>
                  <w:gridSpan w:val="3"/>
                  <w:vAlign w:val="top"/>
                </w:tcPr>
                <w:p w14:paraId="3337D319">
                  <w:pPr>
                    <w:pStyle w:val="6"/>
                    <w:spacing w:before="34" w:line="193" w:lineRule="auto"/>
                    <w:ind w:left="1551"/>
                    <w:rPr>
                      <w:sz w:val="21"/>
                      <w:szCs w:val="21"/>
                    </w:rPr>
                  </w:pPr>
                  <w:r>
                    <w:rPr>
                      <w:spacing w:val="-2"/>
                      <w:sz w:val="21"/>
                      <w:szCs w:val="21"/>
                    </w:rPr>
                    <w:t>适宜生境</w:t>
                  </w:r>
                </w:p>
              </w:tc>
              <w:tc>
                <w:tcPr>
                  <w:tcW w:w="3331" w:type="dxa"/>
                  <w:vMerge w:val="restart"/>
                  <w:tcBorders>
                    <w:bottom w:val="nil"/>
                  </w:tcBorders>
                  <w:vAlign w:val="top"/>
                </w:tcPr>
                <w:p w14:paraId="093676F2">
                  <w:pPr>
                    <w:pStyle w:val="6"/>
                    <w:spacing w:before="21" w:line="218" w:lineRule="auto"/>
                    <w:ind w:left="557"/>
                    <w:rPr>
                      <w:sz w:val="21"/>
                      <w:szCs w:val="21"/>
                    </w:rPr>
                  </w:pPr>
                  <w:r>
                    <w:rPr>
                      <w:spacing w:val="3"/>
                      <w:sz w:val="21"/>
                      <w:szCs w:val="21"/>
                    </w:rPr>
                    <w:t>占评价区总面积比例(%)</w:t>
                  </w:r>
                </w:p>
              </w:tc>
            </w:tr>
            <w:tr w14:paraId="31192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014" w:type="dxa"/>
                  <w:vMerge w:val="continue"/>
                  <w:tcBorders>
                    <w:top w:val="nil"/>
                  </w:tcBorders>
                  <w:vAlign w:val="top"/>
                </w:tcPr>
                <w:p w14:paraId="359FF863">
                  <w:pPr>
                    <w:rPr>
                      <w:rFonts w:ascii="Arial"/>
                      <w:sz w:val="21"/>
                    </w:rPr>
                  </w:pPr>
                </w:p>
              </w:tc>
              <w:tc>
                <w:tcPr>
                  <w:tcW w:w="1248" w:type="dxa"/>
                  <w:vAlign w:val="top"/>
                </w:tcPr>
                <w:p w14:paraId="333F166C">
                  <w:pPr>
                    <w:pStyle w:val="6"/>
                    <w:spacing w:before="29" w:line="223" w:lineRule="auto"/>
                    <w:ind w:left="400" w:right="215" w:hanging="209"/>
                    <w:rPr>
                      <w:sz w:val="21"/>
                      <w:szCs w:val="21"/>
                    </w:rPr>
                  </w:pPr>
                  <w:r>
                    <w:rPr>
                      <w:spacing w:val="-3"/>
                      <w:sz w:val="21"/>
                      <w:szCs w:val="21"/>
                    </w:rPr>
                    <w:t>适宜生境</w:t>
                  </w:r>
                  <w:r>
                    <w:rPr>
                      <w:spacing w:val="2"/>
                      <w:sz w:val="21"/>
                      <w:szCs w:val="21"/>
                    </w:rPr>
                    <w:t xml:space="preserve"> </w:t>
                  </w:r>
                  <w:r>
                    <w:rPr>
                      <w:spacing w:val="6"/>
                      <w:sz w:val="21"/>
                      <w:szCs w:val="21"/>
                    </w:rPr>
                    <w:t>面积</w:t>
                  </w:r>
                </w:p>
              </w:tc>
              <w:tc>
                <w:tcPr>
                  <w:tcW w:w="1508" w:type="dxa"/>
                  <w:vAlign w:val="top"/>
                </w:tcPr>
                <w:p w14:paraId="40536DC1">
                  <w:pPr>
                    <w:pStyle w:val="6"/>
                    <w:spacing w:before="29" w:line="223" w:lineRule="auto"/>
                    <w:ind w:left="612" w:right="143" w:hanging="510"/>
                    <w:rPr>
                      <w:sz w:val="21"/>
                      <w:szCs w:val="21"/>
                    </w:rPr>
                  </w:pPr>
                  <w:r>
                    <w:rPr>
                      <w:spacing w:val="-2"/>
                      <w:sz w:val="21"/>
                      <w:szCs w:val="21"/>
                    </w:rPr>
                    <w:t>较适宜生境面</w:t>
                  </w:r>
                  <w:r>
                    <w:rPr>
                      <w:spacing w:val="2"/>
                      <w:sz w:val="21"/>
                      <w:szCs w:val="21"/>
                    </w:rPr>
                    <w:t xml:space="preserve"> </w:t>
                  </w:r>
                  <w:r>
                    <w:rPr>
                      <w:sz w:val="21"/>
                      <w:szCs w:val="21"/>
                    </w:rPr>
                    <w:t>积</w:t>
                  </w:r>
                </w:p>
              </w:tc>
              <w:tc>
                <w:tcPr>
                  <w:tcW w:w="1248" w:type="dxa"/>
                  <w:vAlign w:val="top"/>
                </w:tcPr>
                <w:p w14:paraId="09D30C0D">
                  <w:pPr>
                    <w:pStyle w:val="6"/>
                    <w:spacing w:before="170" w:line="221" w:lineRule="auto"/>
                    <w:ind w:left="405"/>
                    <w:rPr>
                      <w:sz w:val="21"/>
                      <w:szCs w:val="21"/>
                    </w:rPr>
                  </w:pPr>
                  <w:r>
                    <w:rPr>
                      <w:spacing w:val="-3"/>
                      <w:sz w:val="21"/>
                      <w:szCs w:val="21"/>
                    </w:rPr>
                    <w:t>合计</w:t>
                  </w:r>
                </w:p>
              </w:tc>
              <w:tc>
                <w:tcPr>
                  <w:tcW w:w="3331" w:type="dxa"/>
                  <w:vMerge w:val="continue"/>
                  <w:tcBorders>
                    <w:top w:val="nil"/>
                  </w:tcBorders>
                  <w:vAlign w:val="top"/>
                </w:tcPr>
                <w:p w14:paraId="3EB12E93">
                  <w:pPr>
                    <w:rPr>
                      <w:rFonts w:ascii="Arial"/>
                      <w:sz w:val="21"/>
                    </w:rPr>
                  </w:pPr>
                </w:p>
              </w:tc>
            </w:tr>
            <w:tr w14:paraId="3F492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14" w:type="dxa"/>
                  <w:vAlign w:val="top"/>
                </w:tcPr>
                <w:p w14:paraId="457CBD2E">
                  <w:pPr>
                    <w:pStyle w:val="6"/>
                    <w:spacing w:before="42" w:line="198" w:lineRule="auto"/>
                    <w:ind w:left="185"/>
                    <w:rPr>
                      <w:sz w:val="21"/>
                      <w:szCs w:val="21"/>
                    </w:rPr>
                  </w:pPr>
                  <w:r>
                    <w:rPr>
                      <w:spacing w:val="4"/>
                      <w:sz w:val="21"/>
                      <w:szCs w:val="21"/>
                    </w:rPr>
                    <w:t>松雀鹰</w:t>
                  </w:r>
                </w:p>
              </w:tc>
              <w:tc>
                <w:tcPr>
                  <w:tcW w:w="1248" w:type="dxa"/>
                  <w:vAlign w:val="top"/>
                </w:tcPr>
                <w:p w14:paraId="7D440DB5">
                  <w:pPr>
                    <w:pStyle w:val="6"/>
                    <w:spacing w:before="63" w:line="180" w:lineRule="auto"/>
                    <w:ind w:left="300"/>
                    <w:rPr>
                      <w:sz w:val="21"/>
                      <w:szCs w:val="21"/>
                    </w:rPr>
                  </w:pPr>
                  <w:r>
                    <w:rPr>
                      <w:spacing w:val="-4"/>
                      <w:sz w:val="21"/>
                      <w:szCs w:val="21"/>
                    </w:rPr>
                    <w:t>14.359</w:t>
                  </w:r>
                </w:p>
              </w:tc>
              <w:tc>
                <w:tcPr>
                  <w:tcW w:w="1508" w:type="dxa"/>
                  <w:vAlign w:val="top"/>
                </w:tcPr>
                <w:p w14:paraId="2E920681">
                  <w:pPr>
                    <w:pStyle w:val="6"/>
                    <w:spacing w:before="63" w:line="180" w:lineRule="auto"/>
                    <w:ind w:left="662"/>
                    <w:rPr>
                      <w:sz w:val="21"/>
                      <w:szCs w:val="21"/>
                    </w:rPr>
                  </w:pPr>
                  <w:r>
                    <w:rPr>
                      <w:spacing w:val="-4"/>
                      <w:sz w:val="21"/>
                      <w:szCs w:val="21"/>
                    </w:rPr>
                    <w:t>18.046</w:t>
                  </w:r>
                </w:p>
              </w:tc>
              <w:tc>
                <w:tcPr>
                  <w:tcW w:w="1248" w:type="dxa"/>
                  <w:vAlign w:val="top"/>
                </w:tcPr>
                <w:p w14:paraId="6FEA296D">
                  <w:pPr>
                    <w:pStyle w:val="6"/>
                    <w:spacing w:before="63" w:line="180" w:lineRule="auto"/>
                    <w:ind w:left="514"/>
                    <w:rPr>
                      <w:sz w:val="21"/>
                      <w:szCs w:val="21"/>
                    </w:rPr>
                  </w:pPr>
                  <w:r>
                    <w:rPr>
                      <w:spacing w:val="-2"/>
                      <w:sz w:val="21"/>
                      <w:szCs w:val="21"/>
                    </w:rPr>
                    <w:t>32.405</w:t>
                  </w:r>
                </w:p>
              </w:tc>
              <w:tc>
                <w:tcPr>
                  <w:tcW w:w="3331" w:type="dxa"/>
                  <w:vAlign w:val="top"/>
                </w:tcPr>
                <w:p w14:paraId="7C48D9B8">
                  <w:pPr>
                    <w:pStyle w:val="6"/>
                    <w:spacing w:before="63" w:line="180" w:lineRule="auto"/>
                    <w:ind w:left="1397"/>
                    <w:rPr>
                      <w:sz w:val="21"/>
                      <w:szCs w:val="21"/>
                    </w:rPr>
                  </w:pPr>
                  <w:r>
                    <w:rPr>
                      <w:spacing w:val="-4"/>
                      <w:sz w:val="21"/>
                      <w:szCs w:val="21"/>
                    </w:rPr>
                    <w:t>1.340</w:t>
                  </w:r>
                </w:p>
              </w:tc>
            </w:tr>
            <w:tr w14:paraId="09900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014" w:type="dxa"/>
                  <w:vAlign w:val="top"/>
                </w:tcPr>
                <w:p w14:paraId="47945D53">
                  <w:pPr>
                    <w:pStyle w:val="6"/>
                    <w:spacing w:before="33" w:line="197" w:lineRule="auto"/>
                    <w:ind w:left="285"/>
                    <w:rPr>
                      <w:sz w:val="21"/>
                      <w:szCs w:val="21"/>
                    </w:rPr>
                  </w:pPr>
                  <w:r>
                    <w:rPr>
                      <w:spacing w:val="5"/>
                      <w:sz w:val="21"/>
                      <w:szCs w:val="21"/>
                    </w:rPr>
                    <w:t>红隼</w:t>
                  </w:r>
                </w:p>
              </w:tc>
              <w:tc>
                <w:tcPr>
                  <w:tcW w:w="1248" w:type="dxa"/>
                  <w:vAlign w:val="top"/>
                </w:tcPr>
                <w:p w14:paraId="5B47998A">
                  <w:pPr>
                    <w:pStyle w:val="6"/>
                    <w:spacing w:before="55" w:line="178" w:lineRule="auto"/>
                    <w:ind w:left="511"/>
                    <w:rPr>
                      <w:sz w:val="21"/>
                      <w:szCs w:val="21"/>
                    </w:rPr>
                  </w:pPr>
                  <w:r>
                    <w:rPr>
                      <w:spacing w:val="-2"/>
                      <w:sz w:val="21"/>
                      <w:szCs w:val="21"/>
                    </w:rPr>
                    <w:t>21.356</w:t>
                  </w:r>
                </w:p>
              </w:tc>
              <w:tc>
                <w:tcPr>
                  <w:tcW w:w="1508" w:type="dxa"/>
                  <w:vAlign w:val="top"/>
                </w:tcPr>
                <w:p w14:paraId="4D301DA8">
                  <w:pPr>
                    <w:pStyle w:val="6"/>
                    <w:spacing w:before="55" w:line="178" w:lineRule="auto"/>
                    <w:ind w:left="633"/>
                    <w:rPr>
                      <w:sz w:val="21"/>
                      <w:szCs w:val="21"/>
                    </w:rPr>
                  </w:pPr>
                  <w:r>
                    <w:rPr>
                      <w:spacing w:val="-2"/>
                      <w:sz w:val="21"/>
                      <w:szCs w:val="21"/>
                    </w:rPr>
                    <w:t>33.379</w:t>
                  </w:r>
                </w:p>
              </w:tc>
              <w:tc>
                <w:tcPr>
                  <w:tcW w:w="1248" w:type="dxa"/>
                  <w:vAlign w:val="top"/>
                </w:tcPr>
                <w:p w14:paraId="7EFD97FF">
                  <w:pPr>
                    <w:pStyle w:val="6"/>
                    <w:spacing w:before="55" w:line="178" w:lineRule="auto"/>
                    <w:ind w:left="514"/>
                    <w:rPr>
                      <w:sz w:val="21"/>
                      <w:szCs w:val="21"/>
                    </w:rPr>
                  </w:pPr>
                  <w:r>
                    <w:rPr>
                      <w:spacing w:val="-2"/>
                      <w:sz w:val="21"/>
                      <w:szCs w:val="21"/>
                    </w:rPr>
                    <w:t>54.735</w:t>
                  </w:r>
                </w:p>
              </w:tc>
              <w:tc>
                <w:tcPr>
                  <w:tcW w:w="3331" w:type="dxa"/>
                  <w:vAlign w:val="top"/>
                </w:tcPr>
                <w:p w14:paraId="586891EA">
                  <w:pPr>
                    <w:pStyle w:val="6"/>
                    <w:spacing w:before="55" w:line="178" w:lineRule="auto"/>
                    <w:ind w:left="1397"/>
                    <w:rPr>
                      <w:sz w:val="21"/>
                      <w:szCs w:val="21"/>
                    </w:rPr>
                  </w:pPr>
                  <w:r>
                    <w:rPr>
                      <w:spacing w:val="-2"/>
                      <w:sz w:val="21"/>
                      <w:szCs w:val="21"/>
                    </w:rPr>
                    <w:t>2.264</w:t>
                  </w:r>
                </w:p>
              </w:tc>
            </w:tr>
            <w:tr w14:paraId="55837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014" w:type="dxa"/>
                  <w:vAlign w:val="top"/>
                </w:tcPr>
                <w:p w14:paraId="41DC1533">
                  <w:pPr>
                    <w:pStyle w:val="6"/>
                    <w:spacing w:before="26" w:line="190" w:lineRule="auto"/>
                    <w:ind w:left="185"/>
                    <w:rPr>
                      <w:sz w:val="21"/>
                      <w:szCs w:val="21"/>
                    </w:rPr>
                  </w:pPr>
                  <w:r>
                    <w:rPr>
                      <w:spacing w:val="-2"/>
                      <w:sz w:val="21"/>
                      <w:szCs w:val="21"/>
                    </w:rPr>
                    <w:t>普通鷲</w:t>
                  </w:r>
                </w:p>
              </w:tc>
              <w:tc>
                <w:tcPr>
                  <w:tcW w:w="1248" w:type="dxa"/>
                  <w:vAlign w:val="top"/>
                </w:tcPr>
                <w:p w14:paraId="3E49E6B2">
                  <w:pPr>
                    <w:pStyle w:val="6"/>
                    <w:spacing w:before="47" w:line="172" w:lineRule="auto"/>
                    <w:ind w:left="511"/>
                    <w:rPr>
                      <w:sz w:val="21"/>
                      <w:szCs w:val="21"/>
                    </w:rPr>
                  </w:pPr>
                  <w:r>
                    <w:rPr>
                      <w:spacing w:val="-2"/>
                      <w:sz w:val="21"/>
                      <w:szCs w:val="21"/>
                    </w:rPr>
                    <w:t>22.447</w:t>
                  </w:r>
                </w:p>
              </w:tc>
              <w:tc>
                <w:tcPr>
                  <w:tcW w:w="1508" w:type="dxa"/>
                  <w:vAlign w:val="top"/>
                </w:tcPr>
                <w:p w14:paraId="6BBD3104">
                  <w:pPr>
                    <w:pStyle w:val="6"/>
                    <w:spacing w:before="47" w:line="172" w:lineRule="auto"/>
                    <w:ind w:left="652"/>
                    <w:rPr>
                      <w:sz w:val="21"/>
                      <w:szCs w:val="21"/>
                    </w:rPr>
                  </w:pPr>
                  <w:r>
                    <w:rPr>
                      <w:spacing w:val="-2"/>
                      <w:sz w:val="21"/>
                      <w:szCs w:val="21"/>
                    </w:rPr>
                    <w:t>35.099</w:t>
                  </w:r>
                </w:p>
              </w:tc>
              <w:tc>
                <w:tcPr>
                  <w:tcW w:w="1248" w:type="dxa"/>
                  <w:vAlign w:val="top"/>
                </w:tcPr>
                <w:p w14:paraId="1D9FC594">
                  <w:pPr>
                    <w:pStyle w:val="6"/>
                    <w:spacing w:before="47" w:line="172" w:lineRule="auto"/>
                    <w:ind w:left="514"/>
                    <w:rPr>
                      <w:sz w:val="21"/>
                      <w:szCs w:val="21"/>
                    </w:rPr>
                  </w:pPr>
                  <w:r>
                    <w:rPr>
                      <w:spacing w:val="-2"/>
                      <w:sz w:val="21"/>
                      <w:szCs w:val="21"/>
                    </w:rPr>
                    <w:t>57.546</w:t>
                  </w:r>
                </w:p>
              </w:tc>
              <w:tc>
                <w:tcPr>
                  <w:tcW w:w="3331" w:type="dxa"/>
                  <w:vAlign w:val="top"/>
                </w:tcPr>
                <w:p w14:paraId="20E121A5">
                  <w:pPr>
                    <w:pStyle w:val="6"/>
                    <w:spacing w:before="47" w:line="172" w:lineRule="auto"/>
                    <w:ind w:left="1397"/>
                    <w:rPr>
                      <w:sz w:val="21"/>
                      <w:szCs w:val="21"/>
                    </w:rPr>
                  </w:pPr>
                  <w:r>
                    <w:rPr>
                      <w:spacing w:val="-2"/>
                      <w:sz w:val="21"/>
                      <w:szCs w:val="21"/>
                    </w:rPr>
                    <w:t>2.379</w:t>
                  </w:r>
                </w:p>
              </w:tc>
            </w:tr>
          </w:tbl>
          <w:p w14:paraId="709D131E">
            <w:pPr>
              <w:pStyle w:val="6"/>
              <w:spacing w:before="61" w:line="219" w:lineRule="auto"/>
              <w:ind w:left="104"/>
              <w:rPr>
                <w:sz w:val="24"/>
                <w:szCs w:val="24"/>
              </w:rPr>
            </w:pPr>
            <w:r>
              <w:rPr>
                <w:b/>
                <w:bCs/>
                <w:spacing w:val="-4"/>
                <w:sz w:val="24"/>
                <w:szCs w:val="24"/>
              </w:rPr>
              <w:t>4.3.6鸟类迁徙</w:t>
            </w:r>
          </w:p>
        </w:tc>
      </w:tr>
    </w:tbl>
    <w:p w14:paraId="2E55A261">
      <w:pPr>
        <w:pStyle w:val="2"/>
      </w:pPr>
    </w:p>
    <w:p w14:paraId="5D9DA83A">
      <w:pPr>
        <w:sectPr>
          <w:footerReference r:id="rId103" w:type="default"/>
          <w:pgSz w:w="11910" w:h="16830"/>
          <w:pgMar w:top="400" w:right="1254" w:bottom="1245" w:left="1224" w:header="0" w:footer="1083" w:gutter="0"/>
          <w:cols w:space="720" w:num="1"/>
        </w:sectPr>
      </w:pPr>
    </w:p>
    <w:p w14:paraId="75802225">
      <w:pPr>
        <w:spacing w:before="18"/>
      </w:pPr>
    </w:p>
    <w:p w14:paraId="6DAEBBE9">
      <w:pPr>
        <w:spacing w:before="17"/>
      </w:pPr>
    </w:p>
    <w:p w14:paraId="147CE89B">
      <w:pPr>
        <w:spacing w:before="17"/>
      </w:pPr>
    </w:p>
    <w:p w14:paraId="47509001">
      <w:pPr>
        <w:spacing w:before="17"/>
      </w:pPr>
    </w:p>
    <w:tbl>
      <w:tblPr>
        <w:tblStyle w:val="5"/>
        <w:tblW w:w="94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10"/>
        <w:gridCol w:w="1019"/>
        <w:gridCol w:w="1379"/>
        <w:gridCol w:w="1029"/>
        <w:gridCol w:w="1019"/>
        <w:gridCol w:w="1049"/>
        <w:gridCol w:w="1388"/>
        <w:gridCol w:w="829"/>
        <w:gridCol w:w="927"/>
      </w:tblGrid>
      <w:tr w14:paraId="1ADCD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8" w:hRule="atLeast"/>
        </w:trPr>
        <w:tc>
          <w:tcPr>
            <w:tcW w:w="684" w:type="dxa"/>
            <w:vMerge w:val="restart"/>
            <w:tcBorders>
              <w:bottom w:val="nil"/>
            </w:tcBorders>
            <w:vAlign w:val="top"/>
          </w:tcPr>
          <w:p w14:paraId="488C3A8B">
            <w:pPr>
              <w:rPr>
                <w:rFonts w:ascii="Arial"/>
                <w:sz w:val="21"/>
              </w:rPr>
            </w:pPr>
          </w:p>
        </w:tc>
        <w:tc>
          <w:tcPr>
            <w:tcW w:w="8749" w:type="dxa"/>
            <w:gridSpan w:val="9"/>
            <w:tcBorders>
              <w:bottom w:val="nil"/>
            </w:tcBorders>
            <w:vAlign w:val="top"/>
          </w:tcPr>
          <w:p w14:paraId="382AE1FE">
            <w:pPr>
              <w:pStyle w:val="6"/>
              <w:spacing w:before="35" w:line="6259" w:lineRule="exact"/>
              <w:ind w:firstLine="1061"/>
            </w:pPr>
            <w:r>
              <w:rPr>
                <w:position w:val="-125"/>
              </w:rPr>
              <w:pict>
                <v:group id="_x0000_s1085" o:spid="_x0000_s1085" o:spt="203" style="height:313pt;width:364.55pt;" coordsize="7290,6260">
                  <o:lock v:ext="edit"/>
                  <v:shape id="_x0000_s1086" o:spid="_x0000_s1086" o:spt="75" type="#_x0000_t75" style="position:absolute;left:0;top:0;height:6260;width:6930;" filled="f" stroked="f" coordsize="21600,21600">
                    <v:path/>
                    <v:fill on="f" focussize="0,0"/>
                    <v:stroke on="f"/>
                    <v:imagedata r:id="rId296" o:title=""/>
                    <o:lock v:ext="edit" aspectratio="t"/>
                  </v:shape>
                  <v:shape id="_x0000_s1087" o:spid="_x0000_s1087" o:spt="202" type="#_x0000_t202" style="position:absolute;left:70;top:6;height:5300;width:5989;" filled="f" stroked="f" coordsize="21600,21600">
                    <v:path/>
                    <v:fill on="f" focussize="0,0"/>
                    <v:stroke on="f"/>
                    <v:imagedata o:title=""/>
                    <o:lock v:ext="edit" aspectratio="f"/>
                    <v:textbox inset="0mm,0mm,0mm,0mm">
                      <w:txbxContent>
                        <w:p w14:paraId="6771AC30">
                          <w:pPr>
                            <w:spacing w:before="19"/>
                            <w:ind w:left="880"/>
                            <w:rPr>
                              <w:rFonts w:ascii="宋体" w:hAnsi="宋体" w:eastAsia="宋体" w:cs="宋体"/>
                              <w:sz w:val="19"/>
                              <w:szCs w:val="19"/>
                            </w:rPr>
                          </w:pPr>
                          <w:r>
                            <w:rPr>
                              <w:rFonts w:ascii="宋体" w:hAnsi="宋体" w:eastAsia="宋体" w:cs="宋体"/>
                              <w:spacing w:val="-2"/>
                              <w:sz w:val="19"/>
                              <w:szCs w:val="19"/>
                            </w:rPr>
                            <w:t>99n</w:t>
                          </w:r>
                        </w:p>
                        <w:p w14:paraId="6745B7A1">
                          <w:pPr>
                            <w:spacing w:line="319" w:lineRule="auto"/>
                            <w:rPr>
                              <w:rFonts w:ascii="Arial"/>
                              <w:sz w:val="21"/>
                            </w:rPr>
                          </w:pPr>
                        </w:p>
                        <w:p w14:paraId="20F2C57D">
                          <w:pPr>
                            <w:spacing w:line="319" w:lineRule="auto"/>
                            <w:rPr>
                              <w:rFonts w:ascii="Arial"/>
                              <w:sz w:val="21"/>
                            </w:rPr>
                          </w:pPr>
                        </w:p>
                        <w:p w14:paraId="0BFF3A7F">
                          <w:pPr>
                            <w:spacing w:before="62" w:line="286" w:lineRule="exact"/>
                            <w:ind w:left="20"/>
                            <w:rPr>
                              <w:rFonts w:ascii="宋体" w:hAnsi="宋体" w:eastAsia="宋体" w:cs="宋体"/>
                              <w:sz w:val="19"/>
                              <w:szCs w:val="19"/>
                            </w:rPr>
                          </w:pPr>
                          <w:r>
                            <w:rPr>
                              <w:rFonts w:ascii="宋体" w:hAnsi="宋体" w:eastAsia="宋体" w:cs="宋体"/>
                              <w:spacing w:val="-1"/>
                              <w:position w:val="-1"/>
                              <w:sz w:val="19"/>
                              <w:szCs w:val="19"/>
                            </w:rPr>
                            <w:t xml:space="preserve">28°00                                           </w:t>
                          </w:r>
                          <w:r>
                            <w:rPr>
                              <w:rFonts w:ascii="宋体" w:hAnsi="宋体" w:eastAsia="宋体" w:cs="宋体"/>
                              <w:spacing w:val="-1"/>
                              <w:position w:val="2"/>
                              <w:sz w:val="19"/>
                              <w:szCs w:val="19"/>
                            </w:rPr>
                            <w:t>考</w:t>
                          </w:r>
                        </w:p>
                        <w:p w14:paraId="1F171A24">
                          <w:pPr>
                            <w:spacing w:line="361" w:lineRule="auto"/>
                            <w:rPr>
                              <w:rFonts w:ascii="Arial"/>
                              <w:sz w:val="21"/>
                            </w:rPr>
                          </w:pPr>
                        </w:p>
                        <w:p w14:paraId="737FCFC4">
                          <w:pPr>
                            <w:spacing w:before="61" w:line="220" w:lineRule="auto"/>
                            <w:ind w:left="3989"/>
                            <w:rPr>
                              <w:rFonts w:ascii="宋体" w:hAnsi="宋体" w:eastAsia="宋体" w:cs="宋体"/>
                              <w:sz w:val="19"/>
                              <w:szCs w:val="19"/>
                            </w:rPr>
                          </w:pPr>
                          <w:r>
                            <w:rPr>
                              <w:rFonts w:ascii="宋体" w:hAnsi="宋体" w:eastAsia="宋体" w:cs="宋体"/>
                              <w:spacing w:val="-2"/>
                              <w:sz w:val="19"/>
                              <w:szCs w:val="19"/>
                            </w:rPr>
                            <w:t>巧家，</w:t>
                          </w:r>
                        </w:p>
                        <w:p w14:paraId="48DFD70B">
                          <w:pPr>
                            <w:spacing w:before="234" w:line="221" w:lineRule="auto"/>
                            <w:ind w:left="1599"/>
                            <w:rPr>
                              <w:rFonts w:ascii="宋体" w:hAnsi="宋体" w:eastAsia="宋体" w:cs="宋体"/>
                              <w:sz w:val="19"/>
                              <w:szCs w:val="19"/>
                            </w:rPr>
                          </w:pPr>
                          <w:r>
                            <w:rPr>
                              <w:rFonts w:ascii="宋体" w:hAnsi="宋体" w:eastAsia="宋体" w:cs="宋体"/>
                              <w:spacing w:val="-3"/>
                              <w:sz w:val="19"/>
                              <w:szCs w:val="19"/>
                            </w:rPr>
                            <w:t>洱源</w:t>
                          </w:r>
                        </w:p>
                        <w:p w14:paraId="632625B0">
                          <w:pPr>
                            <w:spacing w:before="191" w:line="219" w:lineRule="auto"/>
                            <w:ind w:left="3840"/>
                            <w:rPr>
                              <w:rFonts w:ascii="宋体" w:hAnsi="宋体" w:eastAsia="宋体" w:cs="宋体"/>
                              <w:sz w:val="19"/>
                              <w:szCs w:val="19"/>
                            </w:rPr>
                          </w:pPr>
                          <w:r>
                            <w:rPr>
                              <w:rFonts w:ascii="宋体" w:hAnsi="宋体" w:eastAsia="宋体" w:cs="宋体"/>
                              <w:spacing w:val="4"/>
                              <w:sz w:val="19"/>
                              <w:szCs w:val="19"/>
                            </w:rPr>
                            <w:t>东儿</w:t>
                          </w:r>
                        </w:p>
                        <w:p w14:paraId="5B0E63D8">
                          <w:pPr>
                            <w:spacing w:before="274" w:line="219" w:lineRule="auto"/>
                            <w:ind w:left="3719"/>
                            <w:rPr>
                              <w:rFonts w:ascii="宋体" w:hAnsi="宋体" w:eastAsia="宋体" w:cs="宋体"/>
                              <w:sz w:val="19"/>
                              <w:szCs w:val="19"/>
                            </w:rPr>
                          </w:pPr>
                          <w:r>
                            <w:rPr>
                              <w:rFonts w:ascii="宋体" w:hAnsi="宋体" w:eastAsia="宋体" w:cs="宋体"/>
                              <w:spacing w:val="-13"/>
                              <w:sz w:val="19"/>
                              <w:szCs w:val="19"/>
                            </w:rPr>
                            <w:t>昆</w:t>
                          </w:r>
                          <w:r>
                            <w:rPr>
                              <w:rFonts w:ascii="宋体" w:hAnsi="宋体" w:eastAsia="宋体" w:cs="宋体"/>
                              <w:spacing w:val="-13"/>
                              <w:sz w:val="19"/>
                              <w:szCs w:val="19"/>
                              <w:u w:val="single" w:color="auto"/>
                            </w:rPr>
                            <w:t>明</w:t>
                          </w:r>
                          <w:r>
                            <w:rPr>
                              <w:rFonts w:ascii="宋体" w:hAnsi="宋体" w:eastAsia="宋体" w:cs="宋体"/>
                              <w:spacing w:val="-70"/>
                              <w:sz w:val="19"/>
                              <w:szCs w:val="19"/>
                            </w:rPr>
                            <w:t xml:space="preserve"> </w:t>
                          </w:r>
                          <w:r>
                            <w:rPr>
                              <w:rFonts w:ascii="宋体" w:hAnsi="宋体" w:eastAsia="宋体" w:cs="宋体"/>
                              <w:sz w:val="19"/>
                              <w:szCs w:val="19"/>
                              <w:u w:val="single" w:color="auto"/>
                            </w:rPr>
                            <w:t xml:space="preserve">              </w:t>
                          </w:r>
                        </w:p>
                        <w:p w14:paraId="02475C10">
                          <w:pPr>
                            <w:spacing w:line="248" w:lineRule="auto"/>
                            <w:rPr>
                              <w:rFonts w:ascii="Arial"/>
                              <w:sz w:val="21"/>
                            </w:rPr>
                          </w:pPr>
                        </w:p>
                        <w:p w14:paraId="07597144">
                          <w:pPr>
                            <w:spacing w:line="248" w:lineRule="auto"/>
                            <w:rPr>
                              <w:rFonts w:ascii="Arial"/>
                              <w:sz w:val="21"/>
                            </w:rPr>
                          </w:pPr>
                        </w:p>
                        <w:p w14:paraId="3ADFA43D">
                          <w:pPr>
                            <w:spacing w:line="249" w:lineRule="auto"/>
                            <w:rPr>
                              <w:rFonts w:ascii="Arial"/>
                              <w:sz w:val="21"/>
                            </w:rPr>
                          </w:pPr>
                        </w:p>
                        <w:p w14:paraId="0DA2FCA3">
                          <w:pPr>
                            <w:spacing w:line="249" w:lineRule="auto"/>
                            <w:rPr>
                              <w:rFonts w:ascii="Arial"/>
                              <w:sz w:val="21"/>
                            </w:rPr>
                          </w:pPr>
                        </w:p>
                        <w:p w14:paraId="132423AE">
                          <w:pPr>
                            <w:spacing w:line="249" w:lineRule="auto"/>
                            <w:rPr>
                              <w:rFonts w:ascii="Arial"/>
                              <w:sz w:val="21"/>
                            </w:rPr>
                          </w:pPr>
                        </w:p>
                        <w:p w14:paraId="34FDA55F">
                          <w:pPr>
                            <w:tabs>
                              <w:tab w:val="left" w:pos="2688"/>
                            </w:tabs>
                            <w:spacing w:before="62" w:line="232" w:lineRule="auto"/>
                            <w:ind w:left="1690"/>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6"/>
                              <w:sz w:val="19"/>
                              <w:szCs w:val="19"/>
                              <w:u w:val="single" w:color="auto"/>
                            </w:rPr>
                            <w:t>墨江</w:t>
                          </w:r>
                          <w:r>
                            <w:rPr>
                              <w:rFonts w:ascii="宋体" w:hAnsi="宋体" w:eastAsia="宋体" w:cs="宋体"/>
                              <w:spacing w:val="23"/>
                              <w:sz w:val="19"/>
                              <w:szCs w:val="19"/>
                              <w:u w:val="single" w:color="auto"/>
                            </w:rPr>
                            <w:t xml:space="preserve">   </w:t>
                          </w:r>
                          <w:r>
                            <w:rPr>
                              <w:rFonts w:ascii="宋体" w:hAnsi="宋体" w:eastAsia="宋体" w:cs="宋体"/>
                              <w:spacing w:val="-6"/>
                              <w:sz w:val="19"/>
                              <w:szCs w:val="19"/>
                              <w:u w:val="single" w:color="auto"/>
                            </w:rPr>
                            <w:t>绿春</w:t>
                          </w:r>
                          <w:r>
                            <w:rPr>
                              <w:rFonts w:ascii="宋体" w:hAnsi="宋体" w:eastAsia="宋体" w:cs="宋体"/>
                              <w:spacing w:val="-86"/>
                              <w:sz w:val="19"/>
                              <w:szCs w:val="19"/>
                            </w:rPr>
                            <w:t xml:space="preserve"> </w:t>
                          </w:r>
                          <w:r>
                            <w:rPr>
                              <w:rFonts w:ascii="宋体" w:hAnsi="宋体" w:eastAsia="宋体" w:cs="宋体"/>
                              <w:sz w:val="19"/>
                              <w:szCs w:val="19"/>
                              <w:u w:val="single" w:color="auto"/>
                            </w:rPr>
                            <w:t xml:space="preserve">                </w:t>
                          </w:r>
                        </w:p>
                        <w:p w14:paraId="6F9D998C">
                          <w:pPr>
                            <w:spacing w:before="13" w:line="233" w:lineRule="auto"/>
                            <w:ind w:left="880"/>
                            <w:rPr>
                              <w:rFonts w:ascii="宋体" w:hAnsi="宋体" w:eastAsia="宋体" w:cs="宋体"/>
                              <w:sz w:val="19"/>
                              <w:szCs w:val="19"/>
                            </w:rPr>
                          </w:pPr>
                          <w:r>
                            <w:rPr>
                              <w:rFonts w:ascii="宋体" w:hAnsi="宋体" w:eastAsia="宋体" w:cs="宋体"/>
                              <w:spacing w:val="-2"/>
                              <w:sz w:val="19"/>
                              <w:szCs w:val="19"/>
                            </w:rPr>
                            <w:t>9900</w:t>
                          </w:r>
                        </w:p>
                        <w:p w14:paraId="50EAA6B1">
                          <w:pPr>
                            <w:spacing w:line="239" w:lineRule="auto"/>
                            <w:ind w:right="16"/>
                            <w:jc w:val="right"/>
                            <w:rPr>
                              <w:rFonts w:ascii="宋体" w:hAnsi="宋体" w:eastAsia="宋体" w:cs="宋体"/>
                              <w:sz w:val="19"/>
                              <w:szCs w:val="19"/>
                            </w:rPr>
                          </w:pPr>
                          <w:r>
                            <w:rPr>
                              <w:rFonts w:ascii="宋体" w:hAnsi="宋体" w:eastAsia="宋体" w:cs="宋体"/>
                              <w:spacing w:val="-3"/>
                              <w:sz w:val="19"/>
                              <w:szCs w:val="19"/>
                            </w:rPr>
                            <w:t>10500^</w:t>
                          </w:r>
                        </w:p>
                      </w:txbxContent>
                    </v:textbox>
                  </v:shape>
                  <v:shape id="_x0000_s1088" o:spid="_x0000_s1088" o:spt="202" type="#_x0000_t202" style="position:absolute;left:1779;top:2827;height:320;width:1371;" filled="f" stroked="f" coordsize="21600,21600">
                    <v:path/>
                    <v:fill on="f" focussize="0,0"/>
                    <v:stroke on="f"/>
                    <v:imagedata o:title=""/>
                    <o:lock v:ext="edit" aspectratio="f"/>
                    <v:textbox inset="0mm,0mm,0mm,0mm">
                      <w:txbxContent>
                        <w:p w14:paraId="14954742">
                          <w:pPr>
                            <w:spacing w:before="20" w:line="317" w:lineRule="exact"/>
                            <w:ind w:left="20"/>
                            <w:rPr>
                              <w:rFonts w:ascii="宋体" w:hAnsi="宋体" w:eastAsia="宋体" w:cs="宋体"/>
                              <w:sz w:val="19"/>
                              <w:szCs w:val="19"/>
                            </w:rPr>
                          </w:pPr>
                          <w:r>
                            <w:rPr>
                              <w:rFonts w:ascii="宋体" w:hAnsi="宋体" w:eastAsia="宋体" w:cs="宋体"/>
                              <w:spacing w:val="9"/>
                              <w:position w:val="6"/>
                              <w:sz w:val="19"/>
                              <w:szCs w:val="19"/>
                            </w:rPr>
                            <w:t>巍山弥渡</w:t>
                          </w:r>
                          <w:r>
                            <w:rPr>
                              <w:rFonts w:ascii="宋体" w:hAnsi="宋体" w:eastAsia="宋体" w:cs="宋体"/>
                              <w:spacing w:val="46"/>
                              <w:position w:val="6"/>
                              <w:sz w:val="19"/>
                              <w:szCs w:val="19"/>
                            </w:rPr>
                            <w:t xml:space="preserve"> </w:t>
                          </w:r>
                          <w:r>
                            <w:rPr>
                              <w:rFonts w:ascii="宋体" w:hAnsi="宋体" w:eastAsia="宋体" w:cs="宋体"/>
                              <w:spacing w:val="9"/>
                              <w:sz w:val="19"/>
                              <w:szCs w:val="19"/>
                            </w:rPr>
                            <w:t>南华</w:t>
                          </w:r>
                        </w:p>
                      </w:txbxContent>
                    </v:textbox>
                  </v:shape>
                  <v:shape id="_x0000_s1089" o:spid="_x0000_s1089" o:spt="202" type="#_x0000_t202" style="position:absolute;left:3870;top:4317;height:390;width:658;" filled="f" stroked="f" coordsize="21600,21600">
                    <v:path/>
                    <v:fill on="f" focussize="0,0"/>
                    <v:stroke on="f"/>
                    <v:imagedata o:title=""/>
                    <o:lock v:ext="edit" aspectratio="f"/>
                    <v:textbox inset="0mm,0mm,0mm,0mm">
                      <w:txbxContent>
                        <w:p w14:paraId="3A0F461C">
                          <w:pPr>
                            <w:spacing w:before="20" w:line="170" w:lineRule="auto"/>
                            <w:ind w:left="20" w:right="20" w:firstLine="439"/>
                            <w:rPr>
                              <w:rFonts w:ascii="宋体" w:hAnsi="宋体" w:eastAsia="宋体" w:cs="宋体"/>
                              <w:sz w:val="19"/>
                              <w:szCs w:val="19"/>
                            </w:rPr>
                          </w:pPr>
                          <w:r>
                            <w:rPr>
                              <w:rFonts w:ascii="宋体" w:hAnsi="宋体" w:eastAsia="宋体" w:cs="宋体"/>
                              <w:spacing w:val="-13"/>
                              <w:sz w:val="19"/>
                              <w:szCs w:val="19"/>
                            </w:rPr>
                            <w:t>蒙</w:t>
                          </w:r>
                          <w:r>
                            <w:rPr>
                              <w:rFonts w:ascii="宋体" w:hAnsi="宋体" w:eastAsia="宋体" w:cs="宋体"/>
                              <w:sz w:val="19"/>
                              <w:szCs w:val="19"/>
                            </w:rPr>
                            <w:t xml:space="preserve"> </w:t>
                          </w:r>
                          <w:r>
                            <w:rPr>
                              <w:rFonts w:ascii="宋体" w:hAnsi="宋体" w:eastAsia="宋体" w:cs="宋体"/>
                              <w:spacing w:val="10"/>
                              <w:sz w:val="19"/>
                              <w:szCs w:val="19"/>
                            </w:rPr>
                            <w:t>元阳</w:t>
                          </w:r>
                        </w:p>
                      </w:txbxContent>
                    </v:textbox>
                  </v:shape>
                  <v:shape id="_x0000_s1090" o:spid="_x0000_s1090" o:spt="202" type="#_x0000_t202" style="position:absolute;left:5389;top:826;height:230;width:874;" filled="f" stroked="f" coordsize="21600,21600">
                    <v:path/>
                    <v:fill on="f" focussize="0,0"/>
                    <v:stroke on="f"/>
                    <v:imagedata o:title=""/>
                    <o:lock v:ext="edit" aspectratio="f"/>
                    <v:textbox inset="0mm,0mm,0mm,0mm">
                      <w:txbxContent>
                        <w:p w14:paraId="05590695">
                          <w:pPr>
                            <w:spacing w:before="19"/>
                            <w:ind w:left="20"/>
                            <w:rPr>
                              <w:rFonts w:ascii="宋体" w:hAnsi="宋体" w:eastAsia="宋体" w:cs="宋体"/>
                              <w:sz w:val="19"/>
                              <w:szCs w:val="19"/>
                            </w:rPr>
                          </w:pPr>
                          <w:r>
                            <w:rPr>
                              <w:rFonts w:ascii="宋体" w:hAnsi="宋体" w:eastAsia="宋体" w:cs="宋体"/>
                              <w:spacing w:val="-3"/>
                              <w:sz w:val="19"/>
                              <w:szCs w:val="19"/>
                            </w:rPr>
                            <w:t>105°00′</w:t>
                          </w:r>
                        </w:p>
                      </w:txbxContent>
                    </v:textbox>
                  </v:shape>
                  <v:shape id="_x0000_s1091" o:spid="_x0000_s1091" o:spt="202" type="#_x0000_t202" style="position:absolute;left:6520;top:3996;height:230;width:790;" filled="f" stroked="f" coordsize="21600,21600">
                    <v:path/>
                    <v:fill on="f" focussize="0,0"/>
                    <v:stroke on="f"/>
                    <v:imagedata o:title=""/>
                    <o:lock v:ext="edit" aspectratio="f"/>
                    <v:textbox inset="0mm,0mm,0mm,0mm">
                      <w:txbxContent>
                        <w:p w14:paraId="0D312AEB">
                          <w:pPr>
                            <w:spacing w:before="19"/>
                            <w:ind w:left="20"/>
                            <w:rPr>
                              <w:rFonts w:ascii="宋体" w:hAnsi="宋体" w:eastAsia="宋体" w:cs="宋体"/>
                              <w:sz w:val="19"/>
                              <w:szCs w:val="19"/>
                            </w:rPr>
                          </w:pPr>
                          <w:r>
                            <w:rPr>
                              <w:rFonts w:ascii="宋体" w:hAnsi="宋体" w:eastAsia="宋体" w:cs="宋体"/>
                              <w:spacing w:val="-2"/>
                              <w:sz w:val="19"/>
                              <w:szCs w:val="19"/>
                            </w:rPr>
                            <w:t>24°00′</w:t>
                          </w:r>
                        </w:p>
                      </w:txbxContent>
                    </v:textbox>
                  </v:shape>
                  <v:shape id="_x0000_s1092" o:spid="_x0000_s1092" o:spt="202" type="#_x0000_t202" style="position:absolute;left:930;top:2896;height:332;width:320;" filled="f" stroked="f" coordsize="21600,21600">
                    <v:path/>
                    <v:fill on="f" focussize="0,0"/>
                    <v:stroke on="f"/>
                    <v:imagedata o:title=""/>
                    <o:lock v:ext="edit" aspectratio="f"/>
                    <v:textbox inset="0mm,0mm,0mm,0mm">
                      <w:txbxContent>
                        <w:p w14:paraId="3E3289D3">
                          <w:pPr>
                            <w:spacing w:before="19" w:line="222" w:lineRule="auto"/>
                            <w:ind w:left="20"/>
                            <w:rPr>
                              <w:rFonts w:ascii="宋体" w:hAnsi="宋体" w:eastAsia="宋体" w:cs="宋体"/>
                              <w:sz w:val="19"/>
                              <w:szCs w:val="19"/>
                            </w:rPr>
                          </w:pPr>
                          <w:r>
                            <w:rPr>
                              <w:rFonts w:ascii="宋体" w:hAnsi="宋体" w:eastAsia="宋体" w:cs="宋体"/>
                              <w:spacing w:val="-3"/>
                              <w:position w:val="-5"/>
                              <w:sz w:val="19"/>
                              <w:szCs w:val="19"/>
                            </w:rPr>
                            <w:t>保</w:t>
                          </w:r>
                          <w:r>
                            <w:rPr>
                              <w:rFonts w:ascii="宋体" w:hAnsi="宋体" w:eastAsia="宋体" w:cs="宋体"/>
                              <w:spacing w:val="-3"/>
                              <w:position w:val="5"/>
                              <w:sz w:val="19"/>
                              <w:szCs w:val="19"/>
                            </w:rPr>
                            <w:t>h</w:t>
                          </w:r>
                        </w:p>
                      </w:txbxContent>
                    </v:textbox>
                  </v:shape>
                  <v:shape id="_x0000_s1093" o:spid="_x0000_s1093" o:spt="202" type="#_x0000_t202" style="position:absolute;left:5849;top:4118;height:230;width:435;" filled="f" stroked="f" coordsize="21600,21600">
                    <v:path/>
                    <v:fill on="f" focussize="0,0"/>
                    <v:stroke on="f"/>
                    <v:imagedata o:title=""/>
                    <o:lock v:ext="edit" aspectratio="f"/>
                    <v:textbox inset="0mm,0mm,0mm,0mm">
                      <w:txbxContent>
                        <w:p w14:paraId="0AA7EE33">
                          <w:pPr>
                            <w:spacing w:before="20" w:line="220" w:lineRule="auto"/>
                            <w:ind w:left="20"/>
                            <w:rPr>
                              <w:rFonts w:ascii="宋体" w:hAnsi="宋体" w:eastAsia="宋体" w:cs="宋体"/>
                              <w:sz w:val="19"/>
                              <w:szCs w:val="19"/>
                            </w:rPr>
                          </w:pPr>
                          <w:r>
                            <w:rPr>
                              <w:rFonts w:ascii="宋体" w:hAnsi="宋体" w:eastAsia="宋体" w:cs="宋体"/>
                              <w:spacing w:val="7"/>
                              <w:sz w:val="19"/>
                              <w:szCs w:val="19"/>
                            </w:rPr>
                            <w:t>富宁</w:t>
                          </w:r>
                        </w:p>
                      </w:txbxContent>
                    </v:textbox>
                  </v:shape>
                  <v:shape id="_x0000_s1094" o:spid="_x0000_s1094" o:spt="202" type="#_x0000_t202" style="position:absolute;left:2359;top:4187;height:230;width:412;" filled="f" stroked="f" coordsize="21600,21600">
                    <v:path/>
                    <v:fill on="f" focussize="0,0"/>
                    <v:stroke on="f"/>
                    <v:imagedata o:title=""/>
                    <o:lock v:ext="edit" aspectratio="f"/>
                    <v:textbox inset="0mm,0mm,0mm,0mm">
                      <w:txbxContent>
                        <w:p w14:paraId="7BE1C219">
                          <w:pPr>
                            <w:spacing w:before="20" w:line="184" w:lineRule="auto"/>
                            <w:ind w:left="20"/>
                            <w:rPr>
                              <w:rFonts w:ascii="宋体" w:hAnsi="宋体" w:eastAsia="宋体" w:cs="宋体"/>
                              <w:sz w:val="19"/>
                              <w:szCs w:val="19"/>
                            </w:rPr>
                          </w:pPr>
                          <w:r>
                            <w:rPr>
                              <w:rFonts w:ascii="宋体" w:hAnsi="宋体" w:eastAsia="宋体" w:cs="宋体"/>
                              <w:spacing w:val="-2"/>
                              <w:sz w:val="19"/>
                              <w:szCs w:val="19"/>
                            </w:rPr>
                            <w:t>镇沅</w:t>
                          </w:r>
                        </w:p>
                      </w:txbxContent>
                    </v:textbox>
                  </v:shape>
                  <w10:wrap type="none"/>
                  <w10:anchorlock/>
                </v:group>
              </w:pict>
            </w:r>
          </w:p>
        </w:tc>
      </w:tr>
      <w:tr w14:paraId="3CE56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8" w:hRule="atLeast"/>
        </w:trPr>
        <w:tc>
          <w:tcPr>
            <w:tcW w:w="684" w:type="dxa"/>
            <w:vMerge w:val="continue"/>
            <w:tcBorders>
              <w:top w:val="nil"/>
              <w:bottom w:val="nil"/>
            </w:tcBorders>
            <w:vAlign w:val="top"/>
          </w:tcPr>
          <w:p w14:paraId="0C56E8D0">
            <w:pPr>
              <w:rPr>
                <w:rFonts w:ascii="Arial"/>
                <w:sz w:val="21"/>
              </w:rPr>
            </w:pPr>
          </w:p>
        </w:tc>
        <w:tc>
          <w:tcPr>
            <w:tcW w:w="8749" w:type="dxa"/>
            <w:gridSpan w:val="9"/>
            <w:tcBorders>
              <w:top w:val="nil"/>
            </w:tcBorders>
            <w:vAlign w:val="top"/>
          </w:tcPr>
          <w:p w14:paraId="712619C7">
            <w:pPr>
              <w:pStyle w:val="6"/>
              <w:spacing w:before="162" w:line="219" w:lineRule="auto"/>
              <w:ind w:left="1663"/>
              <w:rPr>
                <w:sz w:val="19"/>
                <w:szCs w:val="19"/>
              </w:rPr>
            </w:pPr>
            <w:r>
              <w:rPr>
                <w:b/>
                <w:bCs/>
                <w:spacing w:val="-14"/>
                <w:sz w:val="19"/>
                <w:szCs w:val="19"/>
              </w:rPr>
              <w:t>图</w:t>
            </w:r>
            <w:r>
              <w:rPr>
                <w:spacing w:val="-24"/>
                <w:sz w:val="19"/>
                <w:szCs w:val="19"/>
              </w:rPr>
              <w:t xml:space="preserve"> </w:t>
            </w:r>
            <w:r>
              <w:rPr>
                <w:b/>
                <w:bCs/>
                <w:spacing w:val="-14"/>
                <w:sz w:val="19"/>
                <w:szCs w:val="19"/>
              </w:rPr>
              <w:t>3</w:t>
            </w:r>
            <w:r>
              <w:rPr>
                <w:spacing w:val="-29"/>
                <w:sz w:val="19"/>
                <w:szCs w:val="19"/>
              </w:rPr>
              <w:t xml:space="preserve"> </w:t>
            </w:r>
            <w:r>
              <w:rPr>
                <w:b/>
                <w:bCs/>
                <w:spacing w:val="-14"/>
                <w:sz w:val="19"/>
                <w:szCs w:val="19"/>
              </w:rPr>
              <w:t>-</w:t>
            </w:r>
            <w:r>
              <w:rPr>
                <w:spacing w:val="-25"/>
                <w:sz w:val="19"/>
                <w:szCs w:val="19"/>
              </w:rPr>
              <w:t xml:space="preserve"> </w:t>
            </w:r>
            <w:r>
              <w:rPr>
                <w:b/>
                <w:bCs/>
                <w:spacing w:val="-14"/>
                <w:sz w:val="19"/>
                <w:szCs w:val="19"/>
              </w:rPr>
              <w:t>2</w:t>
            </w:r>
            <w:r>
              <w:rPr>
                <w:spacing w:val="-23"/>
                <w:sz w:val="19"/>
                <w:szCs w:val="19"/>
              </w:rPr>
              <w:t xml:space="preserve"> </w:t>
            </w:r>
            <w:r>
              <w:rPr>
                <w:b/>
                <w:bCs/>
                <w:spacing w:val="-14"/>
                <w:sz w:val="19"/>
                <w:szCs w:val="19"/>
              </w:rPr>
              <w:t>云</w:t>
            </w:r>
            <w:r>
              <w:rPr>
                <w:spacing w:val="-25"/>
                <w:sz w:val="19"/>
                <w:szCs w:val="19"/>
              </w:rPr>
              <w:t xml:space="preserve"> </w:t>
            </w:r>
            <w:r>
              <w:rPr>
                <w:b/>
                <w:bCs/>
                <w:spacing w:val="-14"/>
                <w:sz w:val="19"/>
                <w:szCs w:val="19"/>
              </w:rPr>
              <w:t>南</w:t>
            </w:r>
            <w:r>
              <w:rPr>
                <w:spacing w:val="-25"/>
                <w:sz w:val="19"/>
                <w:szCs w:val="19"/>
              </w:rPr>
              <w:t xml:space="preserve"> </w:t>
            </w:r>
            <w:r>
              <w:rPr>
                <w:b/>
                <w:bCs/>
                <w:spacing w:val="-14"/>
                <w:sz w:val="19"/>
                <w:szCs w:val="19"/>
              </w:rPr>
              <w:t>省</w:t>
            </w:r>
            <w:r>
              <w:rPr>
                <w:spacing w:val="-24"/>
                <w:sz w:val="19"/>
                <w:szCs w:val="19"/>
              </w:rPr>
              <w:t xml:space="preserve"> </w:t>
            </w:r>
            <w:r>
              <w:rPr>
                <w:b/>
                <w:bCs/>
                <w:spacing w:val="-14"/>
                <w:sz w:val="19"/>
                <w:szCs w:val="19"/>
              </w:rPr>
              <w:t>鸟</w:t>
            </w:r>
            <w:r>
              <w:rPr>
                <w:spacing w:val="-28"/>
                <w:sz w:val="19"/>
                <w:szCs w:val="19"/>
              </w:rPr>
              <w:t xml:space="preserve"> </w:t>
            </w:r>
            <w:r>
              <w:rPr>
                <w:b/>
                <w:bCs/>
                <w:spacing w:val="-14"/>
                <w:sz w:val="19"/>
                <w:szCs w:val="19"/>
              </w:rPr>
              <w:t>类</w:t>
            </w:r>
            <w:r>
              <w:rPr>
                <w:spacing w:val="-28"/>
                <w:sz w:val="19"/>
                <w:szCs w:val="19"/>
              </w:rPr>
              <w:t xml:space="preserve"> </w:t>
            </w:r>
            <w:r>
              <w:rPr>
                <w:b/>
                <w:bCs/>
                <w:spacing w:val="-14"/>
                <w:sz w:val="19"/>
                <w:szCs w:val="19"/>
              </w:rPr>
              <w:t>迁</w:t>
            </w:r>
            <w:r>
              <w:rPr>
                <w:spacing w:val="-29"/>
                <w:sz w:val="19"/>
                <w:szCs w:val="19"/>
              </w:rPr>
              <w:t xml:space="preserve"> </w:t>
            </w:r>
            <w:r>
              <w:rPr>
                <w:b/>
                <w:bCs/>
                <w:spacing w:val="-14"/>
                <w:sz w:val="19"/>
                <w:szCs w:val="19"/>
              </w:rPr>
              <w:t>徙</w:t>
            </w:r>
            <w:r>
              <w:rPr>
                <w:spacing w:val="-25"/>
                <w:sz w:val="19"/>
                <w:szCs w:val="19"/>
              </w:rPr>
              <w:t xml:space="preserve"> </w:t>
            </w:r>
            <w:r>
              <w:rPr>
                <w:b/>
                <w:bCs/>
                <w:spacing w:val="-14"/>
                <w:sz w:val="19"/>
                <w:szCs w:val="19"/>
              </w:rPr>
              <w:t>线</w:t>
            </w:r>
            <w:r>
              <w:rPr>
                <w:spacing w:val="-26"/>
                <w:sz w:val="19"/>
                <w:szCs w:val="19"/>
              </w:rPr>
              <w:t xml:space="preserve"> </w:t>
            </w:r>
            <w:r>
              <w:rPr>
                <w:b/>
                <w:bCs/>
                <w:spacing w:val="-14"/>
                <w:sz w:val="19"/>
                <w:szCs w:val="19"/>
              </w:rPr>
              <w:t>路</w:t>
            </w:r>
            <w:r>
              <w:rPr>
                <w:spacing w:val="-14"/>
                <w:sz w:val="19"/>
                <w:szCs w:val="19"/>
              </w:rPr>
              <w:t xml:space="preserve"> </w:t>
            </w:r>
            <w:r>
              <w:rPr>
                <w:b/>
                <w:bCs/>
                <w:spacing w:val="-14"/>
                <w:sz w:val="19"/>
                <w:szCs w:val="19"/>
              </w:rPr>
              <w:t>图</w:t>
            </w:r>
            <w:r>
              <w:rPr>
                <w:spacing w:val="-14"/>
                <w:sz w:val="19"/>
                <w:szCs w:val="19"/>
              </w:rPr>
              <w:t xml:space="preserve"> </w:t>
            </w:r>
            <w:r>
              <w:rPr>
                <w:b/>
                <w:bCs/>
                <w:spacing w:val="-14"/>
                <w:sz w:val="19"/>
                <w:szCs w:val="19"/>
              </w:rPr>
              <w:t>(</w:t>
            </w:r>
            <w:r>
              <w:rPr>
                <w:spacing w:val="-14"/>
                <w:sz w:val="19"/>
                <w:szCs w:val="19"/>
              </w:rPr>
              <w:t xml:space="preserve"> </w:t>
            </w:r>
            <w:r>
              <w:rPr>
                <w:b/>
                <w:bCs/>
                <w:spacing w:val="-14"/>
                <w:sz w:val="19"/>
                <w:szCs w:val="19"/>
              </w:rPr>
              <w:t>引</w:t>
            </w:r>
            <w:r>
              <w:rPr>
                <w:spacing w:val="-26"/>
                <w:sz w:val="19"/>
                <w:szCs w:val="19"/>
              </w:rPr>
              <w:t xml:space="preserve"> </w:t>
            </w:r>
            <w:r>
              <w:rPr>
                <w:b/>
                <w:bCs/>
                <w:spacing w:val="-14"/>
                <w:sz w:val="19"/>
                <w:szCs w:val="19"/>
              </w:rPr>
              <w:t>用</w:t>
            </w:r>
            <w:r>
              <w:rPr>
                <w:spacing w:val="-14"/>
                <w:sz w:val="19"/>
                <w:szCs w:val="19"/>
              </w:rPr>
              <w:t xml:space="preserve"> </w:t>
            </w:r>
            <w:r>
              <w:rPr>
                <w:b/>
                <w:bCs/>
                <w:spacing w:val="-14"/>
                <w:sz w:val="19"/>
                <w:szCs w:val="19"/>
              </w:rPr>
              <w:t>自</w:t>
            </w:r>
            <w:r>
              <w:rPr>
                <w:spacing w:val="-23"/>
                <w:sz w:val="19"/>
                <w:szCs w:val="19"/>
              </w:rPr>
              <w:t xml:space="preserve"> </w:t>
            </w:r>
            <w:r>
              <w:rPr>
                <w:b/>
                <w:bCs/>
                <w:spacing w:val="-14"/>
                <w:sz w:val="19"/>
                <w:szCs w:val="19"/>
              </w:rPr>
              <w:t>云</w:t>
            </w:r>
            <w:r>
              <w:rPr>
                <w:spacing w:val="-25"/>
                <w:sz w:val="19"/>
                <w:szCs w:val="19"/>
              </w:rPr>
              <w:t xml:space="preserve"> </w:t>
            </w:r>
            <w:r>
              <w:rPr>
                <w:b/>
                <w:bCs/>
                <w:spacing w:val="-14"/>
                <w:sz w:val="19"/>
                <w:szCs w:val="19"/>
              </w:rPr>
              <w:t>南</w:t>
            </w:r>
            <w:r>
              <w:rPr>
                <w:spacing w:val="-24"/>
                <w:sz w:val="19"/>
                <w:szCs w:val="19"/>
              </w:rPr>
              <w:t xml:space="preserve"> </w:t>
            </w:r>
            <w:r>
              <w:rPr>
                <w:b/>
                <w:bCs/>
                <w:spacing w:val="-15"/>
                <w:sz w:val="19"/>
                <w:szCs w:val="19"/>
              </w:rPr>
              <w:t>鸟</w:t>
            </w:r>
            <w:r>
              <w:rPr>
                <w:spacing w:val="-28"/>
                <w:sz w:val="19"/>
                <w:szCs w:val="19"/>
              </w:rPr>
              <w:t xml:space="preserve"> </w:t>
            </w:r>
            <w:r>
              <w:rPr>
                <w:b/>
                <w:bCs/>
                <w:spacing w:val="-15"/>
                <w:sz w:val="19"/>
                <w:szCs w:val="19"/>
              </w:rPr>
              <w:t>类</w:t>
            </w:r>
            <w:r>
              <w:rPr>
                <w:spacing w:val="-15"/>
                <w:sz w:val="19"/>
                <w:szCs w:val="19"/>
              </w:rPr>
              <w:t xml:space="preserve"> </w:t>
            </w:r>
            <w:r>
              <w:rPr>
                <w:b/>
                <w:bCs/>
                <w:spacing w:val="-15"/>
                <w:sz w:val="19"/>
                <w:szCs w:val="19"/>
              </w:rPr>
              <w:t>志</w:t>
            </w:r>
            <w:r>
              <w:rPr>
                <w:spacing w:val="-27"/>
                <w:sz w:val="19"/>
                <w:szCs w:val="19"/>
              </w:rPr>
              <w:t xml:space="preserve"> </w:t>
            </w:r>
            <w:r>
              <w:rPr>
                <w:b/>
                <w:bCs/>
                <w:spacing w:val="-15"/>
                <w:sz w:val="19"/>
                <w:szCs w:val="19"/>
              </w:rPr>
              <w:t>)</w:t>
            </w:r>
          </w:p>
          <w:p w14:paraId="2117142B">
            <w:pPr>
              <w:pStyle w:val="6"/>
              <w:spacing w:before="257" w:line="449" w:lineRule="auto"/>
              <w:ind w:left="81" w:right="23" w:firstLine="509"/>
              <w:jc w:val="both"/>
              <w:rPr>
                <w:sz w:val="19"/>
                <w:szCs w:val="19"/>
              </w:rPr>
            </w:pPr>
            <w:r>
              <w:rPr>
                <w:spacing w:val="-13"/>
                <w:sz w:val="19"/>
                <w:szCs w:val="19"/>
              </w:rPr>
              <w:t>根</w:t>
            </w:r>
            <w:r>
              <w:rPr>
                <w:spacing w:val="-25"/>
                <w:sz w:val="19"/>
                <w:szCs w:val="19"/>
              </w:rPr>
              <w:t xml:space="preserve"> </w:t>
            </w:r>
            <w:r>
              <w:rPr>
                <w:spacing w:val="-13"/>
                <w:sz w:val="19"/>
                <w:szCs w:val="19"/>
              </w:rPr>
              <w:t>据</w:t>
            </w:r>
            <w:r>
              <w:rPr>
                <w:spacing w:val="-33"/>
                <w:sz w:val="19"/>
                <w:szCs w:val="19"/>
              </w:rPr>
              <w:t xml:space="preserve"> </w:t>
            </w:r>
            <w:r>
              <w:rPr>
                <w:spacing w:val="-13"/>
                <w:sz w:val="19"/>
                <w:szCs w:val="19"/>
              </w:rPr>
              <w:t>鸟</w:t>
            </w:r>
            <w:r>
              <w:rPr>
                <w:spacing w:val="-36"/>
                <w:sz w:val="19"/>
                <w:szCs w:val="19"/>
              </w:rPr>
              <w:t xml:space="preserve"> </w:t>
            </w:r>
            <w:r>
              <w:rPr>
                <w:spacing w:val="-13"/>
                <w:sz w:val="19"/>
                <w:szCs w:val="19"/>
              </w:rPr>
              <w:t>类</w:t>
            </w:r>
            <w:r>
              <w:rPr>
                <w:spacing w:val="-37"/>
                <w:sz w:val="19"/>
                <w:szCs w:val="19"/>
              </w:rPr>
              <w:t xml:space="preserve"> </w:t>
            </w:r>
            <w:r>
              <w:rPr>
                <w:spacing w:val="-13"/>
                <w:sz w:val="19"/>
                <w:szCs w:val="19"/>
              </w:rPr>
              <w:t>研</w:t>
            </w:r>
            <w:r>
              <w:rPr>
                <w:spacing w:val="-28"/>
                <w:sz w:val="19"/>
                <w:szCs w:val="19"/>
              </w:rPr>
              <w:t xml:space="preserve"> </w:t>
            </w:r>
            <w:r>
              <w:rPr>
                <w:spacing w:val="-13"/>
                <w:sz w:val="19"/>
                <w:szCs w:val="19"/>
              </w:rPr>
              <w:t>究</w:t>
            </w:r>
            <w:r>
              <w:rPr>
                <w:spacing w:val="-33"/>
                <w:sz w:val="19"/>
                <w:szCs w:val="19"/>
              </w:rPr>
              <w:t xml:space="preserve"> </w:t>
            </w:r>
            <w:r>
              <w:rPr>
                <w:spacing w:val="-13"/>
                <w:sz w:val="19"/>
                <w:szCs w:val="19"/>
              </w:rPr>
              <w:t>学</w:t>
            </w:r>
            <w:r>
              <w:rPr>
                <w:spacing w:val="-35"/>
                <w:sz w:val="19"/>
                <w:szCs w:val="19"/>
              </w:rPr>
              <w:t xml:space="preserve"> </w:t>
            </w:r>
            <w:r>
              <w:rPr>
                <w:spacing w:val="-13"/>
                <w:sz w:val="19"/>
                <w:szCs w:val="19"/>
              </w:rPr>
              <w:t>者 的</w:t>
            </w:r>
            <w:r>
              <w:rPr>
                <w:spacing w:val="-35"/>
                <w:sz w:val="19"/>
                <w:szCs w:val="19"/>
              </w:rPr>
              <w:t xml:space="preserve"> </w:t>
            </w:r>
            <w:r>
              <w:rPr>
                <w:spacing w:val="-13"/>
                <w:sz w:val="19"/>
                <w:szCs w:val="19"/>
              </w:rPr>
              <w:t>调</w:t>
            </w:r>
            <w:r>
              <w:rPr>
                <w:spacing w:val="-34"/>
                <w:sz w:val="19"/>
                <w:szCs w:val="19"/>
              </w:rPr>
              <w:t xml:space="preserve"> </w:t>
            </w:r>
            <w:r>
              <w:rPr>
                <w:spacing w:val="-13"/>
                <w:sz w:val="19"/>
                <w:szCs w:val="19"/>
              </w:rPr>
              <w:t>查 ，</w:t>
            </w:r>
            <w:r>
              <w:rPr>
                <w:spacing w:val="-38"/>
                <w:sz w:val="19"/>
                <w:szCs w:val="19"/>
              </w:rPr>
              <w:t xml:space="preserve"> </w:t>
            </w:r>
            <w:r>
              <w:rPr>
                <w:spacing w:val="-13"/>
                <w:sz w:val="19"/>
                <w:szCs w:val="19"/>
              </w:rPr>
              <w:t>在</w:t>
            </w:r>
            <w:r>
              <w:rPr>
                <w:spacing w:val="-31"/>
                <w:sz w:val="19"/>
                <w:szCs w:val="19"/>
              </w:rPr>
              <w:t xml:space="preserve"> </w:t>
            </w:r>
            <w:r>
              <w:rPr>
                <w:spacing w:val="-13"/>
                <w:sz w:val="19"/>
                <w:szCs w:val="19"/>
              </w:rPr>
              <w:t>云</w:t>
            </w:r>
            <w:r>
              <w:rPr>
                <w:spacing w:val="-35"/>
                <w:sz w:val="19"/>
                <w:szCs w:val="19"/>
              </w:rPr>
              <w:t xml:space="preserve"> </w:t>
            </w:r>
            <w:r>
              <w:rPr>
                <w:spacing w:val="-13"/>
                <w:sz w:val="19"/>
                <w:szCs w:val="19"/>
              </w:rPr>
              <w:t>南</w:t>
            </w:r>
            <w:r>
              <w:rPr>
                <w:spacing w:val="-33"/>
                <w:sz w:val="19"/>
                <w:szCs w:val="19"/>
              </w:rPr>
              <w:t xml:space="preserve"> </w:t>
            </w:r>
            <w:r>
              <w:rPr>
                <w:spacing w:val="-13"/>
                <w:sz w:val="19"/>
                <w:szCs w:val="19"/>
              </w:rPr>
              <w:t>省</w:t>
            </w:r>
            <w:r>
              <w:rPr>
                <w:spacing w:val="-36"/>
                <w:sz w:val="19"/>
                <w:szCs w:val="19"/>
              </w:rPr>
              <w:t xml:space="preserve"> </w:t>
            </w:r>
            <w:r>
              <w:rPr>
                <w:spacing w:val="-13"/>
                <w:sz w:val="19"/>
                <w:szCs w:val="19"/>
              </w:rPr>
              <w:t>境</w:t>
            </w:r>
            <w:r>
              <w:rPr>
                <w:spacing w:val="-14"/>
                <w:sz w:val="19"/>
                <w:szCs w:val="19"/>
              </w:rPr>
              <w:t xml:space="preserve"> </w:t>
            </w:r>
            <w:r>
              <w:rPr>
                <w:spacing w:val="-13"/>
                <w:sz w:val="19"/>
                <w:szCs w:val="19"/>
              </w:rPr>
              <w:t>内</w:t>
            </w:r>
            <w:r>
              <w:rPr>
                <w:spacing w:val="-37"/>
                <w:sz w:val="19"/>
                <w:szCs w:val="19"/>
              </w:rPr>
              <w:t xml:space="preserve"> </w:t>
            </w:r>
            <w:r>
              <w:rPr>
                <w:spacing w:val="-13"/>
                <w:sz w:val="19"/>
                <w:szCs w:val="19"/>
              </w:rPr>
              <w:t>共</w:t>
            </w:r>
            <w:r>
              <w:rPr>
                <w:spacing w:val="-34"/>
                <w:sz w:val="19"/>
                <w:szCs w:val="19"/>
              </w:rPr>
              <w:t xml:space="preserve"> </w:t>
            </w:r>
            <w:r>
              <w:rPr>
                <w:spacing w:val="-13"/>
                <w:sz w:val="19"/>
                <w:szCs w:val="19"/>
              </w:rPr>
              <w:t>发</w:t>
            </w:r>
            <w:r>
              <w:rPr>
                <w:spacing w:val="-35"/>
                <w:sz w:val="19"/>
                <w:szCs w:val="19"/>
              </w:rPr>
              <w:t xml:space="preserve"> </w:t>
            </w:r>
            <w:r>
              <w:rPr>
                <w:spacing w:val="-13"/>
                <w:sz w:val="19"/>
                <w:szCs w:val="19"/>
              </w:rPr>
              <w:t>现</w:t>
            </w:r>
            <w:r>
              <w:rPr>
                <w:spacing w:val="-34"/>
                <w:sz w:val="19"/>
                <w:szCs w:val="19"/>
              </w:rPr>
              <w:t xml:space="preserve"> </w:t>
            </w:r>
            <w:r>
              <w:rPr>
                <w:spacing w:val="-13"/>
                <w:sz w:val="19"/>
                <w:szCs w:val="19"/>
              </w:rPr>
              <w:t>夜</w:t>
            </w:r>
            <w:r>
              <w:rPr>
                <w:spacing w:val="-21"/>
                <w:sz w:val="19"/>
                <w:szCs w:val="19"/>
              </w:rPr>
              <w:t xml:space="preserve"> </w:t>
            </w:r>
            <w:r>
              <w:rPr>
                <w:spacing w:val="-13"/>
                <w:sz w:val="19"/>
                <w:szCs w:val="19"/>
              </w:rPr>
              <w:t>间</w:t>
            </w:r>
            <w:r>
              <w:rPr>
                <w:spacing w:val="-33"/>
                <w:sz w:val="19"/>
                <w:szCs w:val="19"/>
              </w:rPr>
              <w:t xml:space="preserve"> </w:t>
            </w:r>
            <w:r>
              <w:rPr>
                <w:spacing w:val="-13"/>
                <w:sz w:val="19"/>
                <w:szCs w:val="19"/>
              </w:rPr>
              <w:t>鸟</w:t>
            </w:r>
            <w:r>
              <w:rPr>
                <w:spacing w:val="-37"/>
                <w:sz w:val="19"/>
                <w:szCs w:val="19"/>
              </w:rPr>
              <w:t xml:space="preserve"> </w:t>
            </w:r>
            <w:r>
              <w:rPr>
                <w:spacing w:val="-13"/>
                <w:sz w:val="19"/>
                <w:szCs w:val="19"/>
              </w:rPr>
              <w:t>类</w:t>
            </w:r>
            <w:r>
              <w:rPr>
                <w:spacing w:val="-37"/>
                <w:sz w:val="19"/>
                <w:szCs w:val="19"/>
              </w:rPr>
              <w:t xml:space="preserve"> </w:t>
            </w:r>
            <w:r>
              <w:rPr>
                <w:spacing w:val="-13"/>
                <w:sz w:val="19"/>
                <w:szCs w:val="19"/>
              </w:rPr>
              <w:t>迁</w:t>
            </w:r>
            <w:r>
              <w:rPr>
                <w:spacing w:val="-38"/>
                <w:sz w:val="19"/>
                <w:szCs w:val="19"/>
              </w:rPr>
              <w:t xml:space="preserve"> </w:t>
            </w:r>
            <w:r>
              <w:rPr>
                <w:spacing w:val="-13"/>
                <w:sz w:val="19"/>
                <w:szCs w:val="19"/>
              </w:rPr>
              <w:t>徙</w:t>
            </w:r>
            <w:r>
              <w:rPr>
                <w:spacing w:val="-29"/>
                <w:sz w:val="19"/>
                <w:szCs w:val="19"/>
              </w:rPr>
              <w:t xml:space="preserve"> </w:t>
            </w:r>
            <w:r>
              <w:rPr>
                <w:spacing w:val="-13"/>
                <w:sz w:val="19"/>
                <w:szCs w:val="19"/>
              </w:rPr>
              <w:t>聚</w:t>
            </w:r>
            <w:r>
              <w:rPr>
                <w:spacing w:val="-37"/>
                <w:sz w:val="19"/>
                <w:szCs w:val="19"/>
              </w:rPr>
              <w:t xml:space="preserve"> </w:t>
            </w:r>
            <w:r>
              <w:rPr>
                <w:spacing w:val="-13"/>
                <w:sz w:val="19"/>
                <w:szCs w:val="19"/>
              </w:rPr>
              <w:t>集</w:t>
            </w:r>
            <w:r>
              <w:rPr>
                <w:spacing w:val="-27"/>
                <w:sz w:val="19"/>
                <w:szCs w:val="19"/>
              </w:rPr>
              <w:t xml:space="preserve"> </w:t>
            </w:r>
            <w:r>
              <w:rPr>
                <w:spacing w:val="-13"/>
                <w:sz w:val="19"/>
                <w:szCs w:val="19"/>
              </w:rPr>
              <w:t>点</w:t>
            </w:r>
            <w:r>
              <w:rPr>
                <w:spacing w:val="-34"/>
                <w:sz w:val="19"/>
                <w:szCs w:val="19"/>
              </w:rPr>
              <w:t xml:space="preserve"> </w:t>
            </w:r>
            <w:r>
              <w:rPr>
                <w:spacing w:val="-13"/>
                <w:sz w:val="19"/>
                <w:szCs w:val="19"/>
              </w:rPr>
              <w:t>2</w:t>
            </w:r>
            <w:r>
              <w:rPr>
                <w:spacing w:val="-23"/>
                <w:sz w:val="19"/>
                <w:szCs w:val="19"/>
              </w:rPr>
              <w:t xml:space="preserve"> </w:t>
            </w:r>
            <w:r>
              <w:rPr>
                <w:spacing w:val="-13"/>
                <w:sz w:val="19"/>
                <w:szCs w:val="19"/>
              </w:rPr>
              <w:t>1</w:t>
            </w:r>
            <w:r>
              <w:rPr>
                <w:spacing w:val="-36"/>
                <w:sz w:val="19"/>
                <w:szCs w:val="19"/>
              </w:rPr>
              <w:t xml:space="preserve"> </w:t>
            </w:r>
            <w:r>
              <w:rPr>
                <w:spacing w:val="-13"/>
                <w:sz w:val="19"/>
                <w:szCs w:val="19"/>
              </w:rPr>
              <w:t>个 (</w:t>
            </w:r>
            <w:r>
              <w:rPr>
                <w:spacing w:val="-39"/>
                <w:sz w:val="19"/>
                <w:szCs w:val="19"/>
              </w:rPr>
              <w:t xml:space="preserve"> </w:t>
            </w:r>
            <w:r>
              <w:rPr>
                <w:spacing w:val="-13"/>
                <w:sz w:val="19"/>
                <w:szCs w:val="19"/>
              </w:rPr>
              <w:t>将</w:t>
            </w:r>
            <w:r>
              <w:rPr>
                <w:sz w:val="19"/>
                <w:szCs w:val="19"/>
              </w:rPr>
              <w:t xml:space="preserve"> </w:t>
            </w:r>
            <w:r>
              <w:rPr>
                <w:spacing w:val="-11"/>
                <w:sz w:val="19"/>
                <w:szCs w:val="19"/>
              </w:rPr>
              <w:t>部 分 相</w:t>
            </w:r>
            <w:r>
              <w:rPr>
                <w:spacing w:val="-22"/>
                <w:sz w:val="19"/>
                <w:szCs w:val="19"/>
              </w:rPr>
              <w:t xml:space="preserve"> </w:t>
            </w:r>
            <w:r>
              <w:rPr>
                <w:spacing w:val="-11"/>
                <w:sz w:val="19"/>
                <w:szCs w:val="19"/>
              </w:rPr>
              <w:t>邻 的 点</w:t>
            </w:r>
            <w:r>
              <w:rPr>
                <w:spacing w:val="-22"/>
                <w:sz w:val="19"/>
                <w:szCs w:val="19"/>
              </w:rPr>
              <w:t xml:space="preserve"> </w:t>
            </w:r>
            <w:r>
              <w:rPr>
                <w:spacing w:val="-11"/>
                <w:sz w:val="19"/>
                <w:szCs w:val="19"/>
              </w:rPr>
              <w:t>位</w:t>
            </w:r>
            <w:r>
              <w:rPr>
                <w:spacing w:val="-21"/>
                <w:sz w:val="19"/>
                <w:szCs w:val="19"/>
              </w:rPr>
              <w:t xml:space="preserve"> </w:t>
            </w:r>
            <w:r>
              <w:rPr>
                <w:spacing w:val="-11"/>
                <w:sz w:val="19"/>
                <w:szCs w:val="19"/>
              </w:rPr>
              <w:t>合</w:t>
            </w:r>
            <w:r>
              <w:rPr>
                <w:spacing w:val="-17"/>
                <w:sz w:val="19"/>
                <w:szCs w:val="19"/>
              </w:rPr>
              <w:t xml:space="preserve"> </w:t>
            </w:r>
            <w:r>
              <w:rPr>
                <w:spacing w:val="-11"/>
                <w:sz w:val="19"/>
                <w:szCs w:val="19"/>
              </w:rPr>
              <w:t>并</w:t>
            </w:r>
            <w:r>
              <w:rPr>
                <w:spacing w:val="-21"/>
                <w:sz w:val="19"/>
                <w:szCs w:val="19"/>
              </w:rPr>
              <w:t xml:space="preserve"> </w:t>
            </w:r>
            <w:r>
              <w:rPr>
                <w:spacing w:val="-11"/>
                <w:sz w:val="19"/>
                <w:szCs w:val="19"/>
              </w:rPr>
              <w:t>)</w:t>
            </w:r>
            <w:r>
              <w:rPr>
                <w:spacing w:val="-18"/>
                <w:sz w:val="19"/>
                <w:szCs w:val="19"/>
              </w:rPr>
              <w:t xml:space="preserve"> </w:t>
            </w:r>
            <w:r>
              <w:rPr>
                <w:spacing w:val="-11"/>
                <w:sz w:val="19"/>
                <w:szCs w:val="19"/>
              </w:rPr>
              <w:t>,</w:t>
            </w:r>
            <w:r>
              <w:rPr>
                <w:spacing w:val="-20"/>
                <w:sz w:val="19"/>
                <w:szCs w:val="19"/>
              </w:rPr>
              <w:t xml:space="preserve"> </w:t>
            </w:r>
            <w:r>
              <w:rPr>
                <w:spacing w:val="-11"/>
                <w:sz w:val="19"/>
                <w:szCs w:val="19"/>
              </w:rPr>
              <w:t>分</w:t>
            </w:r>
            <w:r>
              <w:rPr>
                <w:spacing w:val="-21"/>
                <w:sz w:val="19"/>
                <w:szCs w:val="19"/>
              </w:rPr>
              <w:t xml:space="preserve"> </w:t>
            </w:r>
            <w:r>
              <w:rPr>
                <w:spacing w:val="-11"/>
                <w:sz w:val="19"/>
                <w:szCs w:val="19"/>
              </w:rPr>
              <w:t>布</w:t>
            </w:r>
            <w:r>
              <w:rPr>
                <w:spacing w:val="-19"/>
                <w:sz w:val="19"/>
                <w:szCs w:val="19"/>
              </w:rPr>
              <w:t xml:space="preserve"> </w:t>
            </w:r>
            <w:r>
              <w:rPr>
                <w:spacing w:val="-11"/>
                <w:sz w:val="19"/>
                <w:szCs w:val="19"/>
              </w:rPr>
              <w:t>于</w:t>
            </w:r>
            <w:r>
              <w:rPr>
                <w:spacing w:val="-19"/>
                <w:sz w:val="19"/>
                <w:szCs w:val="19"/>
              </w:rPr>
              <w:t xml:space="preserve"> </w:t>
            </w:r>
            <w:r>
              <w:rPr>
                <w:spacing w:val="-11"/>
                <w:sz w:val="19"/>
                <w:szCs w:val="19"/>
              </w:rPr>
              <w:t>2</w:t>
            </w:r>
            <w:r>
              <w:rPr>
                <w:spacing w:val="-18"/>
                <w:sz w:val="19"/>
                <w:szCs w:val="19"/>
              </w:rPr>
              <w:t xml:space="preserve"> </w:t>
            </w:r>
            <w:r>
              <w:rPr>
                <w:spacing w:val="-12"/>
                <w:sz w:val="19"/>
                <w:szCs w:val="19"/>
              </w:rPr>
              <w:t>3</w:t>
            </w:r>
            <w:r>
              <w:rPr>
                <w:spacing w:val="-21"/>
                <w:sz w:val="19"/>
                <w:szCs w:val="19"/>
              </w:rPr>
              <w:t xml:space="preserve"> </w:t>
            </w:r>
            <w:r>
              <w:rPr>
                <w:spacing w:val="-12"/>
                <w:sz w:val="19"/>
                <w:szCs w:val="19"/>
              </w:rPr>
              <w:t>县 ( 部</w:t>
            </w:r>
            <w:r>
              <w:rPr>
                <w:spacing w:val="-19"/>
                <w:sz w:val="19"/>
                <w:szCs w:val="19"/>
              </w:rPr>
              <w:t xml:space="preserve"> </w:t>
            </w:r>
            <w:r>
              <w:rPr>
                <w:spacing w:val="-12"/>
                <w:sz w:val="19"/>
                <w:szCs w:val="19"/>
              </w:rPr>
              <w:t>分 点</w:t>
            </w:r>
            <w:r>
              <w:rPr>
                <w:spacing w:val="-22"/>
                <w:sz w:val="19"/>
                <w:szCs w:val="19"/>
              </w:rPr>
              <w:t xml:space="preserve"> </w:t>
            </w:r>
            <w:r>
              <w:rPr>
                <w:spacing w:val="-12"/>
                <w:sz w:val="19"/>
                <w:szCs w:val="19"/>
              </w:rPr>
              <w:t>位</w:t>
            </w:r>
            <w:r>
              <w:rPr>
                <w:spacing w:val="-18"/>
                <w:sz w:val="19"/>
                <w:szCs w:val="19"/>
              </w:rPr>
              <w:t xml:space="preserve"> </w:t>
            </w:r>
            <w:r>
              <w:rPr>
                <w:spacing w:val="-12"/>
                <w:sz w:val="19"/>
                <w:szCs w:val="19"/>
              </w:rPr>
              <w:t>处</w:t>
            </w:r>
            <w:r>
              <w:rPr>
                <w:spacing w:val="-18"/>
                <w:sz w:val="19"/>
                <w:szCs w:val="19"/>
              </w:rPr>
              <w:t xml:space="preserve"> </w:t>
            </w:r>
            <w:r>
              <w:rPr>
                <w:spacing w:val="-12"/>
                <w:sz w:val="19"/>
                <w:szCs w:val="19"/>
              </w:rPr>
              <w:t>于</w:t>
            </w:r>
            <w:r>
              <w:rPr>
                <w:spacing w:val="-21"/>
                <w:sz w:val="19"/>
                <w:szCs w:val="19"/>
              </w:rPr>
              <w:t xml:space="preserve"> </w:t>
            </w:r>
            <w:r>
              <w:rPr>
                <w:spacing w:val="-12"/>
                <w:sz w:val="19"/>
                <w:szCs w:val="19"/>
              </w:rPr>
              <w:t>两</w:t>
            </w:r>
            <w:r>
              <w:rPr>
                <w:spacing w:val="-21"/>
                <w:sz w:val="19"/>
                <w:szCs w:val="19"/>
              </w:rPr>
              <w:t xml:space="preserve"> </w:t>
            </w:r>
            <w:r>
              <w:rPr>
                <w:spacing w:val="-12"/>
                <w:sz w:val="19"/>
                <w:szCs w:val="19"/>
              </w:rPr>
              <w:t>县</w:t>
            </w:r>
            <w:r>
              <w:rPr>
                <w:spacing w:val="-18"/>
                <w:sz w:val="19"/>
                <w:szCs w:val="19"/>
              </w:rPr>
              <w:t xml:space="preserve"> </w:t>
            </w:r>
            <w:r>
              <w:rPr>
                <w:spacing w:val="-12"/>
                <w:sz w:val="19"/>
                <w:szCs w:val="19"/>
              </w:rPr>
              <w:t>交</w:t>
            </w:r>
            <w:r>
              <w:rPr>
                <w:spacing w:val="-17"/>
                <w:sz w:val="19"/>
                <w:szCs w:val="19"/>
              </w:rPr>
              <w:t xml:space="preserve"> </w:t>
            </w:r>
            <w:r>
              <w:rPr>
                <w:spacing w:val="-12"/>
                <w:sz w:val="19"/>
                <w:szCs w:val="19"/>
              </w:rPr>
              <w:t>界 区</w:t>
            </w:r>
            <w:r>
              <w:rPr>
                <w:spacing w:val="-21"/>
                <w:sz w:val="19"/>
                <w:szCs w:val="19"/>
              </w:rPr>
              <w:t xml:space="preserve"> </w:t>
            </w:r>
            <w:r>
              <w:rPr>
                <w:spacing w:val="-12"/>
                <w:sz w:val="19"/>
                <w:szCs w:val="19"/>
              </w:rPr>
              <w:t>域</w:t>
            </w:r>
            <w:r>
              <w:rPr>
                <w:spacing w:val="-21"/>
                <w:sz w:val="19"/>
                <w:szCs w:val="19"/>
              </w:rPr>
              <w:t xml:space="preserve"> </w:t>
            </w:r>
            <w:r>
              <w:rPr>
                <w:spacing w:val="-12"/>
                <w:sz w:val="19"/>
                <w:szCs w:val="19"/>
              </w:rPr>
              <w:t>) 。</w:t>
            </w:r>
            <w:r>
              <w:rPr>
                <w:spacing w:val="-21"/>
                <w:sz w:val="19"/>
                <w:szCs w:val="19"/>
              </w:rPr>
              <w:t xml:space="preserve"> </w:t>
            </w:r>
            <w:r>
              <w:rPr>
                <w:spacing w:val="-12"/>
                <w:sz w:val="19"/>
                <w:szCs w:val="19"/>
              </w:rPr>
              <w:t>这</w:t>
            </w:r>
            <w:r>
              <w:rPr>
                <w:spacing w:val="-18"/>
                <w:sz w:val="19"/>
                <w:szCs w:val="19"/>
              </w:rPr>
              <w:t xml:space="preserve"> </w:t>
            </w:r>
            <w:r>
              <w:rPr>
                <w:spacing w:val="-12"/>
                <w:sz w:val="19"/>
                <w:szCs w:val="19"/>
              </w:rPr>
              <w:t>些 区</w:t>
            </w:r>
            <w:r>
              <w:rPr>
                <w:spacing w:val="-21"/>
                <w:sz w:val="19"/>
                <w:szCs w:val="19"/>
              </w:rPr>
              <w:t xml:space="preserve"> </w:t>
            </w:r>
            <w:r>
              <w:rPr>
                <w:spacing w:val="-12"/>
                <w:sz w:val="19"/>
                <w:szCs w:val="19"/>
              </w:rPr>
              <w:t>域</w:t>
            </w:r>
            <w:r>
              <w:rPr>
                <w:sz w:val="19"/>
                <w:szCs w:val="19"/>
              </w:rPr>
              <w:t xml:space="preserve"> </w:t>
            </w:r>
            <w:r>
              <w:rPr>
                <w:spacing w:val="-13"/>
                <w:sz w:val="19"/>
                <w:szCs w:val="19"/>
              </w:rPr>
              <w:t>大</w:t>
            </w:r>
            <w:r>
              <w:rPr>
                <w:spacing w:val="-15"/>
                <w:sz w:val="19"/>
                <w:szCs w:val="19"/>
              </w:rPr>
              <w:t xml:space="preserve"> </w:t>
            </w:r>
            <w:r>
              <w:rPr>
                <w:spacing w:val="-13"/>
                <w:sz w:val="19"/>
                <w:szCs w:val="19"/>
              </w:rPr>
              <w:t>部</w:t>
            </w:r>
            <w:r>
              <w:rPr>
                <w:spacing w:val="-29"/>
                <w:sz w:val="19"/>
                <w:szCs w:val="19"/>
              </w:rPr>
              <w:t xml:space="preserve"> </w:t>
            </w:r>
            <w:r>
              <w:rPr>
                <w:spacing w:val="-13"/>
                <w:sz w:val="19"/>
                <w:szCs w:val="19"/>
              </w:rPr>
              <w:t>分</w:t>
            </w:r>
            <w:r>
              <w:rPr>
                <w:spacing w:val="-29"/>
                <w:sz w:val="19"/>
                <w:szCs w:val="19"/>
              </w:rPr>
              <w:t xml:space="preserve"> </w:t>
            </w:r>
            <w:r>
              <w:rPr>
                <w:spacing w:val="-13"/>
                <w:sz w:val="19"/>
                <w:szCs w:val="19"/>
              </w:rPr>
              <w:t>分</w:t>
            </w:r>
            <w:r>
              <w:rPr>
                <w:spacing w:val="-31"/>
                <w:sz w:val="19"/>
                <w:szCs w:val="19"/>
              </w:rPr>
              <w:t xml:space="preserve"> </w:t>
            </w:r>
            <w:r>
              <w:rPr>
                <w:spacing w:val="-13"/>
                <w:sz w:val="19"/>
                <w:szCs w:val="19"/>
              </w:rPr>
              <w:t>布</w:t>
            </w:r>
            <w:r>
              <w:rPr>
                <w:spacing w:val="-32"/>
                <w:sz w:val="19"/>
                <w:szCs w:val="19"/>
              </w:rPr>
              <w:t xml:space="preserve"> </w:t>
            </w:r>
            <w:r>
              <w:rPr>
                <w:spacing w:val="-13"/>
                <w:sz w:val="19"/>
                <w:szCs w:val="19"/>
              </w:rPr>
              <w:t>在 山 间 ( 山</w:t>
            </w:r>
            <w:r>
              <w:rPr>
                <w:spacing w:val="-30"/>
                <w:sz w:val="19"/>
                <w:szCs w:val="19"/>
              </w:rPr>
              <w:t xml:space="preserve"> </w:t>
            </w:r>
            <w:r>
              <w:rPr>
                <w:spacing w:val="-13"/>
                <w:sz w:val="19"/>
                <w:szCs w:val="19"/>
              </w:rPr>
              <w:t>脊</w:t>
            </w:r>
            <w:r>
              <w:rPr>
                <w:spacing w:val="-30"/>
                <w:sz w:val="19"/>
                <w:szCs w:val="19"/>
              </w:rPr>
              <w:t xml:space="preserve"> </w:t>
            </w:r>
            <w:r>
              <w:rPr>
                <w:spacing w:val="-13"/>
                <w:sz w:val="19"/>
                <w:szCs w:val="19"/>
              </w:rPr>
              <w:t>)</w:t>
            </w:r>
            <w:r>
              <w:rPr>
                <w:spacing w:val="-32"/>
                <w:sz w:val="19"/>
                <w:szCs w:val="19"/>
              </w:rPr>
              <w:t xml:space="preserve"> </w:t>
            </w:r>
            <w:r>
              <w:rPr>
                <w:spacing w:val="-13"/>
                <w:sz w:val="19"/>
                <w:szCs w:val="19"/>
              </w:rPr>
              <w:t>垭 口 的</w:t>
            </w:r>
            <w:r>
              <w:rPr>
                <w:spacing w:val="-31"/>
                <w:sz w:val="19"/>
                <w:szCs w:val="19"/>
              </w:rPr>
              <w:t xml:space="preserve"> </w:t>
            </w:r>
            <w:r>
              <w:rPr>
                <w:spacing w:val="-13"/>
                <w:sz w:val="19"/>
                <w:szCs w:val="19"/>
              </w:rPr>
              <w:t>坡</w:t>
            </w:r>
            <w:r>
              <w:rPr>
                <w:spacing w:val="-31"/>
                <w:sz w:val="19"/>
                <w:szCs w:val="19"/>
              </w:rPr>
              <w:t xml:space="preserve"> </w:t>
            </w:r>
            <w:r>
              <w:rPr>
                <w:spacing w:val="-13"/>
                <w:sz w:val="19"/>
                <w:szCs w:val="19"/>
              </w:rPr>
              <w:t>地</w:t>
            </w:r>
            <w:r>
              <w:rPr>
                <w:spacing w:val="-29"/>
                <w:sz w:val="19"/>
                <w:szCs w:val="19"/>
              </w:rPr>
              <w:t xml:space="preserve"> </w:t>
            </w:r>
            <w:r>
              <w:rPr>
                <w:spacing w:val="-13"/>
                <w:sz w:val="19"/>
                <w:szCs w:val="19"/>
              </w:rPr>
              <w:t>或 台</w:t>
            </w:r>
            <w:r>
              <w:rPr>
                <w:spacing w:val="-31"/>
                <w:sz w:val="19"/>
                <w:szCs w:val="19"/>
              </w:rPr>
              <w:t xml:space="preserve"> </w:t>
            </w:r>
            <w:r>
              <w:rPr>
                <w:spacing w:val="-13"/>
                <w:sz w:val="19"/>
                <w:szCs w:val="19"/>
              </w:rPr>
              <w:t>地 ，</w:t>
            </w:r>
            <w:r>
              <w:rPr>
                <w:spacing w:val="-31"/>
                <w:sz w:val="19"/>
                <w:szCs w:val="19"/>
              </w:rPr>
              <w:t xml:space="preserve"> </w:t>
            </w:r>
            <w:r>
              <w:rPr>
                <w:spacing w:val="-13"/>
                <w:sz w:val="19"/>
                <w:szCs w:val="19"/>
              </w:rPr>
              <w:t>海</w:t>
            </w:r>
            <w:r>
              <w:rPr>
                <w:spacing w:val="-31"/>
                <w:sz w:val="19"/>
                <w:szCs w:val="19"/>
              </w:rPr>
              <w:t xml:space="preserve"> </w:t>
            </w:r>
            <w:r>
              <w:rPr>
                <w:spacing w:val="-13"/>
                <w:sz w:val="19"/>
                <w:szCs w:val="19"/>
              </w:rPr>
              <w:t>拔</w:t>
            </w:r>
            <w:r>
              <w:rPr>
                <w:spacing w:val="-29"/>
                <w:sz w:val="19"/>
                <w:szCs w:val="19"/>
              </w:rPr>
              <w:t xml:space="preserve"> </w:t>
            </w:r>
            <w:r>
              <w:rPr>
                <w:spacing w:val="-13"/>
                <w:sz w:val="19"/>
                <w:szCs w:val="19"/>
              </w:rPr>
              <w:t>从</w:t>
            </w:r>
            <w:r>
              <w:rPr>
                <w:spacing w:val="-17"/>
                <w:sz w:val="19"/>
                <w:szCs w:val="19"/>
              </w:rPr>
              <w:t xml:space="preserve"> </w:t>
            </w:r>
            <w:r>
              <w:rPr>
                <w:spacing w:val="-13"/>
                <w:sz w:val="19"/>
                <w:szCs w:val="19"/>
              </w:rPr>
              <w:t>1</w:t>
            </w:r>
            <w:r>
              <w:rPr>
                <w:spacing w:val="-30"/>
                <w:sz w:val="19"/>
                <w:szCs w:val="19"/>
              </w:rPr>
              <w:t xml:space="preserve"> </w:t>
            </w:r>
            <w:r>
              <w:rPr>
                <w:spacing w:val="-13"/>
                <w:sz w:val="19"/>
                <w:szCs w:val="19"/>
              </w:rPr>
              <w:t>6</w:t>
            </w:r>
            <w:r>
              <w:rPr>
                <w:spacing w:val="-29"/>
                <w:sz w:val="19"/>
                <w:szCs w:val="19"/>
              </w:rPr>
              <w:t xml:space="preserve"> </w:t>
            </w:r>
            <w:r>
              <w:rPr>
                <w:spacing w:val="-13"/>
                <w:sz w:val="19"/>
                <w:szCs w:val="19"/>
              </w:rPr>
              <w:t>0</w:t>
            </w:r>
            <w:r>
              <w:rPr>
                <w:spacing w:val="-30"/>
                <w:sz w:val="19"/>
                <w:szCs w:val="19"/>
              </w:rPr>
              <w:t xml:space="preserve"> </w:t>
            </w:r>
            <w:r>
              <w:rPr>
                <w:spacing w:val="-13"/>
                <w:sz w:val="19"/>
                <w:szCs w:val="19"/>
              </w:rPr>
              <w:t>0</w:t>
            </w:r>
            <w:r>
              <w:rPr>
                <w:spacing w:val="-36"/>
                <w:sz w:val="19"/>
                <w:szCs w:val="19"/>
              </w:rPr>
              <w:t xml:space="preserve"> </w:t>
            </w:r>
            <w:r>
              <w:rPr>
                <w:spacing w:val="-13"/>
                <w:sz w:val="19"/>
                <w:szCs w:val="19"/>
              </w:rPr>
              <w:t>m</w:t>
            </w:r>
            <w:r>
              <w:rPr>
                <w:spacing w:val="-29"/>
                <w:sz w:val="19"/>
                <w:szCs w:val="19"/>
              </w:rPr>
              <w:t xml:space="preserve"> </w:t>
            </w:r>
            <w:r>
              <w:rPr>
                <w:spacing w:val="-13"/>
                <w:sz w:val="19"/>
                <w:szCs w:val="19"/>
              </w:rPr>
              <w:t>至</w:t>
            </w:r>
            <w:r>
              <w:rPr>
                <w:spacing w:val="-27"/>
                <w:sz w:val="19"/>
                <w:szCs w:val="19"/>
              </w:rPr>
              <w:t xml:space="preserve"> </w:t>
            </w:r>
            <w:r>
              <w:rPr>
                <w:spacing w:val="-13"/>
                <w:sz w:val="19"/>
                <w:szCs w:val="19"/>
              </w:rPr>
              <w:t>3</w:t>
            </w:r>
            <w:r>
              <w:rPr>
                <w:spacing w:val="-17"/>
                <w:sz w:val="19"/>
                <w:szCs w:val="19"/>
              </w:rPr>
              <w:t xml:space="preserve"> </w:t>
            </w:r>
            <w:r>
              <w:rPr>
                <w:spacing w:val="-13"/>
                <w:sz w:val="19"/>
                <w:szCs w:val="19"/>
              </w:rPr>
              <w:t>1</w:t>
            </w:r>
            <w:r>
              <w:rPr>
                <w:spacing w:val="-30"/>
                <w:sz w:val="19"/>
                <w:szCs w:val="19"/>
              </w:rPr>
              <w:t xml:space="preserve"> </w:t>
            </w:r>
            <w:r>
              <w:rPr>
                <w:spacing w:val="-13"/>
                <w:sz w:val="19"/>
                <w:szCs w:val="19"/>
              </w:rPr>
              <w:t>0</w:t>
            </w:r>
            <w:r>
              <w:rPr>
                <w:spacing w:val="-29"/>
                <w:sz w:val="19"/>
                <w:szCs w:val="19"/>
              </w:rPr>
              <w:t xml:space="preserve"> </w:t>
            </w:r>
            <w:r>
              <w:rPr>
                <w:spacing w:val="-13"/>
                <w:sz w:val="19"/>
                <w:szCs w:val="19"/>
              </w:rPr>
              <w:t>0</w:t>
            </w:r>
            <w:r>
              <w:rPr>
                <w:spacing w:val="-37"/>
                <w:sz w:val="19"/>
                <w:szCs w:val="19"/>
              </w:rPr>
              <w:t xml:space="preserve"> </w:t>
            </w:r>
            <w:r>
              <w:rPr>
                <w:spacing w:val="-13"/>
                <w:sz w:val="19"/>
                <w:szCs w:val="19"/>
              </w:rPr>
              <w:t>m</w:t>
            </w:r>
            <w:r>
              <w:rPr>
                <w:spacing w:val="-28"/>
                <w:sz w:val="19"/>
                <w:szCs w:val="19"/>
              </w:rPr>
              <w:t xml:space="preserve"> </w:t>
            </w:r>
            <w:r>
              <w:rPr>
                <w:spacing w:val="-13"/>
                <w:sz w:val="19"/>
                <w:szCs w:val="19"/>
              </w:rPr>
              <w:t>都</w:t>
            </w:r>
            <w:r>
              <w:rPr>
                <w:spacing w:val="-30"/>
                <w:sz w:val="19"/>
                <w:szCs w:val="19"/>
              </w:rPr>
              <w:t xml:space="preserve"> </w:t>
            </w:r>
            <w:r>
              <w:rPr>
                <w:spacing w:val="-13"/>
                <w:sz w:val="19"/>
                <w:szCs w:val="19"/>
              </w:rPr>
              <w:t>有</w:t>
            </w:r>
            <w:r>
              <w:rPr>
                <w:spacing w:val="-28"/>
                <w:sz w:val="19"/>
                <w:szCs w:val="19"/>
              </w:rPr>
              <w:t xml:space="preserve"> </w:t>
            </w:r>
            <w:r>
              <w:rPr>
                <w:spacing w:val="-13"/>
                <w:sz w:val="19"/>
                <w:szCs w:val="19"/>
              </w:rPr>
              <w:t>分</w:t>
            </w:r>
            <w:r>
              <w:rPr>
                <w:spacing w:val="-31"/>
                <w:sz w:val="19"/>
                <w:szCs w:val="19"/>
              </w:rPr>
              <w:t xml:space="preserve"> </w:t>
            </w:r>
            <w:r>
              <w:rPr>
                <w:spacing w:val="-13"/>
                <w:sz w:val="19"/>
                <w:szCs w:val="19"/>
              </w:rPr>
              <w:t>布</w:t>
            </w:r>
            <w:r>
              <w:rPr>
                <w:spacing w:val="-39"/>
                <w:sz w:val="19"/>
                <w:szCs w:val="19"/>
              </w:rPr>
              <w:t xml:space="preserve"> </w:t>
            </w:r>
            <w:r>
              <w:rPr>
                <w:spacing w:val="-13"/>
                <w:sz w:val="19"/>
                <w:szCs w:val="19"/>
              </w:rPr>
              <w:t>，</w:t>
            </w:r>
            <w:r>
              <w:rPr>
                <w:sz w:val="19"/>
                <w:szCs w:val="19"/>
              </w:rPr>
              <w:t xml:space="preserve"> </w:t>
            </w:r>
            <w:r>
              <w:rPr>
                <w:spacing w:val="-11"/>
                <w:sz w:val="19"/>
                <w:szCs w:val="19"/>
              </w:rPr>
              <w:t>植</w:t>
            </w:r>
            <w:r>
              <w:rPr>
                <w:spacing w:val="-16"/>
                <w:sz w:val="19"/>
                <w:szCs w:val="19"/>
              </w:rPr>
              <w:t xml:space="preserve"> </w:t>
            </w:r>
            <w:r>
              <w:rPr>
                <w:spacing w:val="-11"/>
                <w:sz w:val="19"/>
                <w:szCs w:val="19"/>
              </w:rPr>
              <w:t>被 以</w:t>
            </w:r>
            <w:r>
              <w:rPr>
                <w:spacing w:val="-36"/>
                <w:sz w:val="19"/>
                <w:szCs w:val="19"/>
              </w:rPr>
              <w:t xml:space="preserve"> </w:t>
            </w:r>
            <w:r>
              <w:rPr>
                <w:spacing w:val="-11"/>
                <w:sz w:val="19"/>
                <w:szCs w:val="19"/>
              </w:rPr>
              <w:t>低</w:t>
            </w:r>
            <w:r>
              <w:rPr>
                <w:spacing w:val="-33"/>
                <w:sz w:val="19"/>
                <w:szCs w:val="19"/>
              </w:rPr>
              <w:t xml:space="preserve"> </w:t>
            </w:r>
            <w:r>
              <w:rPr>
                <w:spacing w:val="-11"/>
                <w:sz w:val="19"/>
                <w:szCs w:val="19"/>
              </w:rPr>
              <w:t>矮 的</w:t>
            </w:r>
            <w:r>
              <w:rPr>
                <w:spacing w:val="-32"/>
                <w:sz w:val="19"/>
                <w:szCs w:val="19"/>
              </w:rPr>
              <w:t xml:space="preserve"> </w:t>
            </w:r>
            <w:r>
              <w:rPr>
                <w:spacing w:val="-11"/>
                <w:sz w:val="19"/>
                <w:szCs w:val="19"/>
              </w:rPr>
              <w:t>灌</w:t>
            </w:r>
            <w:r>
              <w:rPr>
                <w:spacing w:val="-34"/>
                <w:sz w:val="19"/>
                <w:szCs w:val="19"/>
              </w:rPr>
              <w:t xml:space="preserve"> </w:t>
            </w:r>
            <w:r>
              <w:rPr>
                <w:spacing w:val="-11"/>
                <w:sz w:val="19"/>
                <w:szCs w:val="19"/>
              </w:rPr>
              <w:t>丛</w:t>
            </w:r>
            <w:r>
              <w:rPr>
                <w:spacing w:val="-34"/>
                <w:sz w:val="19"/>
                <w:szCs w:val="19"/>
              </w:rPr>
              <w:t xml:space="preserve"> </w:t>
            </w:r>
            <w:r>
              <w:rPr>
                <w:spacing w:val="-11"/>
                <w:sz w:val="19"/>
                <w:szCs w:val="19"/>
              </w:rPr>
              <w:t>和</w:t>
            </w:r>
            <w:r>
              <w:rPr>
                <w:spacing w:val="-33"/>
                <w:sz w:val="19"/>
                <w:szCs w:val="19"/>
              </w:rPr>
              <w:t xml:space="preserve"> </w:t>
            </w:r>
            <w:r>
              <w:rPr>
                <w:spacing w:val="-11"/>
                <w:sz w:val="19"/>
                <w:szCs w:val="19"/>
              </w:rPr>
              <w:t>草</w:t>
            </w:r>
            <w:r>
              <w:rPr>
                <w:spacing w:val="-34"/>
                <w:sz w:val="19"/>
                <w:szCs w:val="19"/>
              </w:rPr>
              <w:t xml:space="preserve"> </w:t>
            </w:r>
            <w:r>
              <w:rPr>
                <w:spacing w:val="-11"/>
                <w:sz w:val="19"/>
                <w:szCs w:val="19"/>
              </w:rPr>
              <w:t>坡</w:t>
            </w:r>
            <w:r>
              <w:rPr>
                <w:spacing w:val="-32"/>
                <w:sz w:val="19"/>
                <w:szCs w:val="19"/>
              </w:rPr>
              <w:t xml:space="preserve"> </w:t>
            </w:r>
            <w:r>
              <w:rPr>
                <w:spacing w:val="-11"/>
                <w:sz w:val="19"/>
                <w:szCs w:val="19"/>
              </w:rPr>
              <w:t>为</w:t>
            </w:r>
            <w:r>
              <w:rPr>
                <w:spacing w:val="-33"/>
                <w:sz w:val="19"/>
                <w:szCs w:val="19"/>
              </w:rPr>
              <w:t xml:space="preserve"> </w:t>
            </w:r>
            <w:r>
              <w:rPr>
                <w:spacing w:val="-11"/>
                <w:sz w:val="19"/>
                <w:szCs w:val="19"/>
              </w:rPr>
              <w:t>主</w:t>
            </w:r>
            <w:r>
              <w:rPr>
                <w:spacing w:val="-19"/>
                <w:sz w:val="19"/>
                <w:szCs w:val="19"/>
              </w:rPr>
              <w:t xml:space="preserve"> </w:t>
            </w:r>
            <w:r>
              <w:rPr>
                <w:spacing w:val="-11"/>
                <w:sz w:val="19"/>
                <w:szCs w:val="19"/>
              </w:rPr>
              <w:t>，</w:t>
            </w:r>
            <w:r>
              <w:rPr>
                <w:spacing w:val="-35"/>
                <w:sz w:val="19"/>
                <w:szCs w:val="19"/>
              </w:rPr>
              <w:t xml:space="preserve"> </w:t>
            </w:r>
            <w:r>
              <w:rPr>
                <w:spacing w:val="-11"/>
                <w:sz w:val="19"/>
                <w:szCs w:val="19"/>
              </w:rPr>
              <w:t>缺</w:t>
            </w:r>
            <w:r>
              <w:rPr>
                <w:spacing w:val="-34"/>
                <w:sz w:val="19"/>
                <w:szCs w:val="19"/>
              </w:rPr>
              <w:t xml:space="preserve"> </w:t>
            </w:r>
            <w:r>
              <w:rPr>
                <w:spacing w:val="-11"/>
                <w:sz w:val="19"/>
                <w:szCs w:val="19"/>
              </w:rPr>
              <w:t>少</w:t>
            </w:r>
            <w:r>
              <w:rPr>
                <w:spacing w:val="-29"/>
                <w:sz w:val="19"/>
                <w:szCs w:val="19"/>
              </w:rPr>
              <w:t xml:space="preserve"> </w:t>
            </w:r>
            <w:r>
              <w:rPr>
                <w:spacing w:val="-11"/>
                <w:sz w:val="19"/>
                <w:szCs w:val="19"/>
              </w:rPr>
              <w:t>高</w:t>
            </w:r>
            <w:r>
              <w:rPr>
                <w:spacing w:val="-32"/>
                <w:sz w:val="19"/>
                <w:szCs w:val="19"/>
              </w:rPr>
              <w:t xml:space="preserve"> </w:t>
            </w:r>
            <w:r>
              <w:rPr>
                <w:spacing w:val="-11"/>
                <w:sz w:val="19"/>
                <w:szCs w:val="19"/>
              </w:rPr>
              <w:t>大</w:t>
            </w:r>
            <w:r>
              <w:rPr>
                <w:spacing w:val="-34"/>
                <w:sz w:val="19"/>
                <w:szCs w:val="19"/>
              </w:rPr>
              <w:t xml:space="preserve"> </w:t>
            </w:r>
            <w:r>
              <w:rPr>
                <w:spacing w:val="-11"/>
                <w:sz w:val="19"/>
                <w:szCs w:val="19"/>
              </w:rPr>
              <w:t>乔</w:t>
            </w:r>
            <w:r>
              <w:rPr>
                <w:spacing w:val="-34"/>
                <w:sz w:val="19"/>
                <w:szCs w:val="19"/>
              </w:rPr>
              <w:t xml:space="preserve"> </w:t>
            </w:r>
            <w:r>
              <w:rPr>
                <w:spacing w:val="-11"/>
                <w:sz w:val="19"/>
                <w:szCs w:val="19"/>
              </w:rPr>
              <w:t>木</w:t>
            </w:r>
            <w:r>
              <w:rPr>
                <w:spacing w:val="-42"/>
                <w:sz w:val="19"/>
                <w:szCs w:val="19"/>
              </w:rPr>
              <w:t xml:space="preserve"> </w:t>
            </w:r>
            <w:r>
              <w:rPr>
                <w:spacing w:val="-11"/>
                <w:sz w:val="19"/>
                <w:szCs w:val="19"/>
              </w:rPr>
              <w:t>。</w:t>
            </w:r>
          </w:p>
          <w:p w14:paraId="0A74BF17">
            <w:pPr>
              <w:pStyle w:val="6"/>
              <w:spacing w:before="1" w:line="453" w:lineRule="auto"/>
              <w:ind w:left="81" w:right="59" w:firstLine="509"/>
              <w:jc w:val="both"/>
              <w:rPr>
                <w:sz w:val="19"/>
                <w:szCs w:val="19"/>
              </w:rPr>
            </w:pPr>
            <w:r>
              <w:rPr>
                <w:spacing w:val="40"/>
                <w:sz w:val="19"/>
                <w:szCs w:val="19"/>
              </w:rPr>
              <w:t>评价区处于云南省迁徙候鸟的迁徙东线区域</w:t>
            </w:r>
            <w:r>
              <w:rPr>
                <w:spacing w:val="-14"/>
                <w:sz w:val="19"/>
                <w:szCs w:val="19"/>
              </w:rPr>
              <w:t xml:space="preserve"> </w:t>
            </w:r>
            <w:r>
              <w:rPr>
                <w:spacing w:val="40"/>
                <w:sz w:val="19"/>
                <w:szCs w:val="19"/>
              </w:rPr>
              <w:t>。</w:t>
            </w:r>
            <w:r>
              <w:rPr>
                <w:spacing w:val="-38"/>
                <w:sz w:val="19"/>
                <w:szCs w:val="19"/>
              </w:rPr>
              <w:t xml:space="preserve"> </w:t>
            </w:r>
            <w:r>
              <w:rPr>
                <w:spacing w:val="40"/>
                <w:sz w:val="19"/>
                <w:szCs w:val="19"/>
              </w:rPr>
              <w:t>根据现有资料</w:t>
            </w:r>
            <w:r>
              <w:rPr>
                <w:spacing w:val="-23"/>
                <w:sz w:val="19"/>
                <w:szCs w:val="19"/>
              </w:rPr>
              <w:t xml:space="preserve"> </w:t>
            </w:r>
            <w:r>
              <w:rPr>
                <w:spacing w:val="40"/>
                <w:sz w:val="19"/>
                <w:szCs w:val="19"/>
              </w:rPr>
              <w:t>，</w:t>
            </w:r>
            <w:r>
              <w:rPr>
                <w:spacing w:val="-38"/>
                <w:sz w:val="19"/>
                <w:szCs w:val="19"/>
              </w:rPr>
              <w:t xml:space="preserve"> </w:t>
            </w:r>
            <w:r>
              <w:rPr>
                <w:spacing w:val="40"/>
                <w:sz w:val="19"/>
                <w:szCs w:val="19"/>
              </w:rPr>
              <w:t>评价区内尚无秋</w:t>
            </w:r>
            <w:r>
              <w:rPr>
                <w:sz w:val="19"/>
                <w:szCs w:val="19"/>
              </w:rPr>
              <w:t xml:space="preserve"> </w:t>
            </w:r>
            <w:r>
              <w:rPr>
                <w:spacing w:val="-11"/>
                <w:sz w:val="19"/>
                <w:szCs w:val="19"/>
              </w:rPr>
              <w:t>季</w:t>
            </w:r>
            <w:r>
              <w:rPr>
                <w:spacing w:val="-39"/>
                <w:sz w:val="19"/>
                <w:szCs w:val="19"/>
              </w:rPr>
              <w:t xml:space="preserve"> </w:t>
            </w:r>
            <w:r>
              <w:rPr>
                <w:spacing w:val="-11"/>
                <w:sz w:val="19"/>
                <w:szCs w:val="19"/>
              </w:rPr>
              <w:t>迁</w:t>
            </w:r>
            <w:r>
              <w:rPr>
                <w:spacing w:val="-38"/>
                <w:sz w:val="19"/>
                <w:szCs w:val="19"/>
              </w:rPr>
              <w:t xml:space="preserve"> </w:t>
            </w:r>
            <w:r>
              <w:rPr>
                <w:spacing w:val="-11"/>
                <w:sz w:val="19"/>
                <w:szCs w:val="19"/>
              </w:rPr>
              <w:t>徙</w:t>
            </w:r>
            <w:r>
              <w:rPr>
                <w:spacing w:val="-38"/>
                <w:sz w:val="19"/>
                <w:szCs w:val="19"/>
              </w:rPr>
              <w:t xml:space="preserve"> </w:t>
            </w:r>
            <w:r>
              <w:rPr>
                <w:spacing w:val="-11"/>
                <w:sz w:val="19"/>
                <w:szCs w:val="19"/>
              </w:rPr>
              <w:t>候</w:t>
            </w:r>
            <w:r>
              <w:rPr>
                <w:spacing w:val="-34"/>
                <w:sz w:val="19"/>
                <w:szCs w:val="19"/>
              </w:rPr>
              <w:t xml:space="preserve"> </w:t>
            </w:r>
            <w:r>
              <w:rPr>
                <w:spacing w:val="-11"/>
                <w:sz w:val="19"/>
                <w:szCs w:val="19"/>
              </w:rPr>
              <w:t>鸟</w:t>
            </w:r>
            <w:r>
              <w:rPr>
                <w:spacing w:val="-22"/>
                <w:sz w:val="19"/>
                <w:szCs w:val="19"/>
              </w:rPr>
              <w:t xml:space="preserve"> </w:t>
            </w:r>
            <w:r>
              <w:rPr>
                <w:spacing w:val="-11"/>
                <w:sz w:val="19"/>
                <w:szCs w:val="19"/>
              </w:rPr>
              <w:t>的</w:t>
            </w:r>
            <w:r>
              <w:rPr>
                <w:spacing w:val="-38"/>
                <w:sz w:val="19"/>
                <w:szCs w:val="19"/>
              </w:rPr>
              <w:t xml:space="preserve"> </w:t>
            </w:r>
            <w:r>
              <w:rPr>
                <w:spacing w:val="-11"/>
                <w:sz w:val="19"/>
                <w:szCs w:val="19"/>
              </w:rPr>
              <w:t>通</w:t>
            </w:r>
            <w:r>
              <w:rPr>
                <w:spacing w:val="-39"/>
                <w:sz w:val="19"/>
                <w:szCs w:val="19"/>
              </w:rPr>
              <w:t xml:space="preserve"> </w:t>
            </w:r>
            <w:r>
              <w:rPr>
                <w:spacing w:val="-11"/>
                <w:sz w:val="19"/>
                <w:szCs w:val="19"/>
              </w:rPr>
              <w:t>道</w:t>
            </w:r>
            <w:r>
              <w:rPr>
                <w:spacing w:val="-39"/>
                <w:sz w:val="19"/>
                <w:szCs w:val="19"/>
              </w:rPr>
              <w:t xml:space="preserve"> </w:t>
            </w:r>
            <w:r>
              <w:rPr>
                <w:spacing w:val="-11"/>
                <w:sz w:val="19"/>
                <w:szCs w:val="19"/>
              </w:rPr>
              <w:t>记</w:t>
            </w:r>
            <w:r>
              <w:rPr>
                <w:spacing w:val="-37"/>
                <w:sz w:val="19"/>
                <w:szCs w:val="19"/>
              </w:rPr>
              <w:t xml:space="preserve"> </w:t>
            </w:r>
            <w:r>
              <w:rPr>
                <w:spacing w:val="-11"/>
                <w:sz w:val="19"/>
                <w:szCs w:val="19"/>
              </w:rPr>
              <w:t>录</w:t>
            </w:r>
            <w:r>
              <w:rPr>
                <w:spacing w:val="-22"/>
                <w:sz w:val="19"/>
                <w:szCs w:val="19"/>
              </w:rPr>
              <w:t xml:space="preserve"> </w:t>
            </w:r>
            <w:r>
              <w:rPr>
                <w:spacing w:val="-11"/>
                <w:sz w:val="19"/>
                <w:szCs w:val="19"/>
              </w:rPr>
              <w:t>，</w:t>
            </w:r>
            <w:r>
              <w:rPr>
                <w:spacing w:val="-39"/>
                <w:sz w:val="19"/>
                <w:szCs w:val="19"/>
              </w:rPr>
              <w:t xml:space="preserve"> </w:t>
            </w:r>
            <w:r>
              <w:rPr>
                <w:spacing w:val="-11"/>
                <w:sz w:val="19"/>
                <w:szCs w:val="19"/>
              </w:rPr>
              <w:t>距</w:t>
            </w:r>
            <w:r>
              <w:rPr>
                <w:spacing w:val="-35"/>
                <w:sz w:val="19"/>
                <w:szCs w:val="19"/>
              </w:rPr>
              <w:t xml:space="preserve"> </w:t>
            </w:r>
            <w:r>
              <w:rPr>
                <w:spacing w:val="-11"/>
                <w:sz w:val="19"/>
                <w:szCs w:val="19"/>
              </w:rPr>
              <w:t>项 目</w:t>
            </w:r>
            <w:r>
              <w:rPr>
                <w:spacing w:val="-24"/>
                <w:sz w:val="19"/>
                <w:szCs w:val="19"/>
              </w:rPr>
              <w:t xml:space="preserve"> </w:t>
            </w:r>
            <w:r>
              <w:rPr>
                <w:spacing w:val="-11"/>
                <w:sz w:val="19"/>
                <w:szCs w:val="19"/>
              </w:rPr>
              <w:t>区</w:t>
            </w:r>
            <w:r>
              <w:rPr>
                <w:spacing w:val="-36"/>
                <w:sz w:val="19"/>
                <w:szCs w:val="19"/>
              </w:rPr>
              <w:t xml:space="preserve"> </w:t>
            </w:r>
            <w:r>
              <w:rPr>
                <w:spacing w:val="-11"/>
                <w:sz w:val="19"/>
                <w:szCs w:val="19"/>
              </w:rPr>
              <w:t>最</w:t>
            </w:r>
            <w:r>
              <w:rPr>
                <w:spacing w:val="-39"/>
                <w:sz w:val="19"/>
                <w:szCs w:val="19"/>
              </w:rPr>
              <w:t xml:space="preserve"> </w:t>
            </w:r>
            <w:r>
              <w:rPr>
                <w:spacing w:val="-11"/>
                <w:sz w:val="19"/>
                <w:szCs w:val="19"/>
              </w:rPr>
              <w:t>近 已</w:t>
            </w:r>
            <w:r>
              <w:rPr>
                <w:spacing w:val="-34"/>
                <w:sz w:val="19"/>
                <w:szCs w:val="19"/>
              </w:rPr>
              <w:t xml:space="preserve"> </w:t>
            </w:r>
            <w:r>
              <w:rPr>
                <w:spacing w:val="-11"/>
                <w:sz w:val="19"/>
                <w:szCs w:val="19"/>
              </w:rPr>
              <w:t>知</w:t>
            </w:r>
            <w:r>
              <w:rPr>
                <w:spacing w:val="-22"/>
                <w:sz w:val="19"/>
                <w:szCs w:val="19"/>
              </w:rPr>
              <w:t xml:space="preserve"> </w:t>
            </w:r>
            <w:r>
              <w:rPr>
                <w:spacing w:val="-11"/>
                <w:sz w:val="19"/>
                <w:szCs w:val="19"/>
              </w:rPr>
              <w:t>的</w:t>
            </w:r>
            <w:r>
              <w:rPr>
                <w:spacing w:val="-37"/>
                <w:sz w:val="19"/>
                <w:szCs w:val="19"/>
              </w:rPr>
              <w:t xml:space="preserve"> </w:t>
            </w:r>
            <w:r>
              <w:rPr>
                <w:spacing w:val="-12"/>
                <w:sz w:val="19"/>
                <w:szCs w:val="19"/>
              </w:rPr>
              <w:t>秋</w:t>
            </w:r>
            <w:r>
              <w:rPr>
                <w:spacing w:val="-37"/>
                <w:sz w:val="19"/>
                <w:szCs w:val="19"/>
              </w:rPr>
              <w:t xml:space="preserve"> </w:t>
            </w:r>
            <w:r>
              <w:rPr>
                <w:spacing w:val="-12"/>
                <w:sz w:val="19"/>
                <w:szCs w:val="19"/>
              </w:rPr>
              <w:t>季</w:t>
            </w:r>
            <w:r>
              <w:rPr>
                <w:spacing w:val="-37"/>
                <w:sz w:val="19"/>
                <w:szCs w:val="19"/>
              </w:rPr>
              <w:t xml:space="preserve"> </w:t>
            </w:r>
            <w:r>
              <w:rPr>
                <w:spacing w:val="-12"/>
                <w:sz w:val="19"/>
                <w:szCs w:val="19"/>
              </w:rPr>
              <w:t>候</w:t>
            </w:r>
            <w:r>
              <w:rPr>
                <w:spacing w:val="-34"/>
                <w:sz w:val="19"/>
                <w:szCs w:val="19"/>
              </w:rPr>
              <w:t xml:space="preserve"> </w:t>
            </w:r>
            <w:r>
              <w:rPr>
                <w:spacing w:val="-12"/>
                <w:sz w:val="19"/>
                <w:szCs w:val="19"/>
              </w:rPr>
              <w:t>鸟</w:t>
            </w:r>
            <w:r>
              <w:rPr>
                <w:spacing w:val="-38"/>
                <w:sz w:val="19"/>
                <w:szCs w:val="19"/>
              </w:rPr>
              <w:t xml:space="preserve"> </w:t>
            </w:r>
            <w:r>
              <w:rPr>
                <w:spacing w:val="-12"/>
                <w:sz w:val="19"/>
                <w:szCs w:val="19"/>
              </w:rPr>
              <w:t>通</w:t>
            </w:r>
            <w:r>
              <w:rPr>
                <w:spacing w:val="-39"/>
                <w:sz w:val="19"/>
                <w:szCs w:val="19"/>
              </w:rPr>
              <w:t xml:space="preserve"> </w:t>
            </w:r>
            <w:r>
              <w:rPr>
                <w:spacing w:val="-12"/>
                <w:sz w:val="19"/>
                <w:szCs w:val="19"/>
              </w:rPr>
              <w:t>道</w:t>
            </w:r>
            <w:r>
              <w:rPr>
                <w:spacing w:val="-36"/>
                <w:sz w:val="19"/>
                <w:szCs w:val="19"/>
              </w:rPr>
              <w:t xml:space="preserve"> </w:t>
            </w:r>
            <w:r>
              <w:rPr>
                <w:spacing w:val="-12"/>
                <w:sz w:val="19"/>
                <w:szCs w:val="19"/>
              </w:rPr>
              <w:t>为</w:t>
            </w:r>
            <w:r>
              <w:rPr>
                <w:spacing w:val="-35"/>
                <w:sz w:val="19"/>
                <w:szCs w:val="19"/>
              </w:rPr>
              <w:t xml:space="preserve"> </w:t>
            </w:r>
            <w:r>
              <w:rPr>
                <w:spacing w:val="-12"/>
                <w:sz w:val="19"/>
                <w:szCs w:val="19"/>
              </w:rPr>
              <w:t>巧</w:t>
            </w:r>
            <w:r>
              <w:rPr>
                <w:spacing w:val="-36"/>
                <w:sz w:val="19"/>
                <w:szCs w:val="19"/>
              </w:rPr>
              <w:t xml:space="preserve"> </w:t>
            </w:r>
            <w:r>
              <w:rPr>
                <w:spacing w:val="-12"/>
                <w:sz w:val="19"/>
                <w:szCs w:val="19"/>
              </w:rPr>
              <w:t>家</w:t>
            </w:r>
            <w:r>
              <w:rPr>
                <w:spacing w:val="-40"/>
                <w:sz w:val="19"/>
                <w:szCs w:val="19"/>
              </w:rPr>
              <w:t xml:space="preserve"> </w:t>
            </w:r>
            <w:r>
              <w:rPr>
                <w:spacing w:val="-12"/>
                <w:sz w:val="19"/>
                <w:szCs w:val="19"/>
              </w:rPr>
              <w:t>—</w:t>
            </w:r>
            <w:r>
              <w:rPr>
                <w:spacing w:val="-39"/>
                <w:sz w:val="19"/>
                <w:szCs w:val="19"/>
              </w:rPr>
              <w:t xml:space="preserve"> </w:t>
            </w:r>
            <w:r>
              <w:rPr>
                <w:spacing w:val="-12"/>
                <w:sz w:val="19"/>
                <w:szCs w:val="19"/>
              </w:rPr>
              <w:t>—</w:t>
            </w:r>
            <w:r>
              <w:rPr>
                <w:spacing w:val="-29"/>
                <w:sz w:val="19"/>
                <w:szCs w:val="19"/>
              </w:rPr>
              <w:t xml:space="preserve"> </w:t>
            </w:r>
            <w:r>
              <w:rPr>
                <w:spacing w:val="-12"/>
                <w:sz w:val="19"/>
                <w:szCs w:val="19"/>
              </w:rPr>
              <w:t>昭</w:t>
            </w:r>
            <w:r>
              <w:rPr>
                <w:spacing w:val="-38"/>
                <w:sz w:val="19"/>
                <w:szCs w:val="19"/>
              </w:rPr>
              <w:t xml:space="preserve"> </w:t>
            </w:r>
            <w:r>
              <w:rPr>
                <w:spacing w:val="-12"/>
                <w:sz w:val="19"/>
                <w:szCs w:val="19"/>
              </w:rPr>
              <w:t>通</w:t>
            </w:r>
            <w:r>
              <w:rPr>
                <w:spacing w:val="-39"/>
                <w:sz w:val="19"/>
                <w:szCs w:val="19"/>
              </w:rPr>
              <w:t xml:space="preserve"> </w:t>
            </w:r>
            <w:r>
              <w:rPr>
                <w:spacing w:val="-12"/>
                <w:sz w:val="19"/>
                <w:szCs w:val="19"/>
              </w:rPr>
              <w:t>迁</w:t>
            </w:r>
            <w:r>
              <w:rPr>
                <w:spacing w:val="-38"/>
                <w:sz w:val="19"/>
                <w:szCs w:val="19"/>
              </w:rPr>
              <w:t xml:space="preserve"> </w:t>
            </w:r>
            <w:r>
              <w:rPr>
                <w:spacing w:val="-12"/>
                <w:sz w:val="19"/>
                <w:szCs w:val="19"/>
              </w:rPr>
              <w:t>徙</w:t>
            </w:r>
            <w:r>
              <w:rPr>
                <w:spacing w:val="-38"/>
                <w:sz w:val="19"/>
                <w:szCs w:val="19"/>
              </w:rPr>
              <w:t xml:space="preserve"> </w:t>
            </w:r>
            <w:r>
              <w:rPr>
                <w:spacing w:val="-12"/>
                <w:sz w:val="19"/>
                <w:szCs w:val="19"/>
              </w:rPr>
              <w:t>通</w:t>
            </w:r>
            <w:r>
              <w:rPr>
                <w:sz w:val="19"/>
                <w:szCs w:val="19"/>
              </w:rPr>
              <w:t xml:space="preserve"> </w:t>
            </w:r>
            <w:r>
              <w:rPr>
                <w:spacing w:val="-11"/>
                <w:sz w:val="19"/>
                <w:szCs w:val="19"/>
              </w:rPr>
              <w:t>道 ，</w:t>
            </w:r>
            <w:r>
              <w:rPr>
                <w:spacing w:val="-21"/>
                <w:sz w:val="19"/>
                <w:szCs w:val="19"/>
              </w:rPr>
              <w:t xml:space="preserve"> </w:t>
            </w:r>
            <w:r>
              <w:rPr>
                <w:spacing w:val="-11"/>
                <w:sz w:val="19"/>
                <w:szCs w:val="19"/>
              </w:rPr>
              <w:t>处</w:t>
            </w:r>
            <w:r>
              <w:rPr>
                <w:spacing w:val="-31"/>
                <w:sz w:val="19"/>
                <w:szCs w:val="19"/>
              </w:rPr>
              <w:t xml:space="preserve"> </w:t>
            </w:r>
            <w:r>
              <w:rPr>
                <w:spacing w:val="-11"/>
                <w:sz w:val="19"/>
                <w:szCs w:val="19"/>
              </w:rPr>
              <w:t>于</w:t>
            </w:r>
            <w:r>
              <w:rPr>
                <w:spacing w:val="-32"/>
                <w:sz w:val="19"/>
                <w:szCs w:val="19"/>
              </w:rPr>
              <w:t xml:space="preserve"> </w:t>
            </w:r>
            <w:r>
              <w:rPr>
                <w:spacing w:val="-11"/>
                <w:sz w:val="19"/>
                <w:szCs w:val="19"/>
              </w:rPr>
              <w:t>项 目 区</w:t>
            </w:r>
            <w:r>
              <w:rPr>
                <w:spacing w:val="-30"/>
                <w:sz w:val="19"/>
                <w:szCs w:val="19"/>
              </w:rPr>
              <w:t xml:space="preserve"> </w:t>
            </w:r>
            <w:r>
              <w:rPr>
                <w:spacing w:val="-11"/>
                <w:sz w:val="19"/>
                <w:szCs w:val="19"/>
              </w:rPr>
              <w:t>西</w:t>
            </w:r>
            <w:r>
              <w:rPr>
                <w:spacing w:val="-34"/>
                <w:sz w:val="19"/>
                <w:szCs w:val="19"/>
              </w:rPr>
              <w:t xml:space="preserve"> </w:t>
            </w:r>
            <w:r>
              <w:rPr>
                <w:spacing w:val="-11"/>
                <w:sz w:val="19"/>
                <w:szCs w:val="19"/>
              </w:rPr>
              <w:t>面 ，</w:t>
            </w:r>
            <w:r>
              <w:rPr>
                <w:spacing w:val="-30"/>
                <w:sz w:val="19"/>
                <w:szCs w:val="19"/>
              </w:rPr>
              <w:t xml:space="preserve"> </w:t>
            </w:r>
            <w:r>
              <w:rPr>
                <w:spacing w:val="-11"/>
                <w:sz w:val="19"/>
                <w:szCs w:val="19"/>
              </w:rPr>
              <w:t>约</w:t>
            </w:r>
            <w:r>
              <w:rPr>
                <w:spacing w:val="-33"/>
                <w:sz w:val="19"/>
                <w:szCs w:val="19"/>
              </w:rPr>
              <w:t xml:space="preserve"> </w:t>
            </w:r>
            <w:r>
              <w:rPr>
                <w:spacing w:val="-11"/>
                <w:sz w:val="19"/>
                <w:szCs w:val="19"/>
              </w:rPr>
              <w:t>6</w:t>
            </w:r>
            <w:r>
              <w:rPr>
                <w:spacing w:val="-33"/>
                <w:sz w:val="19"/>
                <w:szCs w:val="19"/>
              </w:rPr>
              <w:t xml:space="preserve"> </w:t>
            </w:r>
            <w:r>
              <w:rPr>
                <w:spacing w:val="-11"/>
                <w:sz w:val="19"/>
                <w:szCs w:val="19"/>
              </w:rPr>
              <w:t>0</w:t>
            </w:r>
            <w:r>
              <w:rPr>
                <w:spacing w:val="-36"/>
                <w:sz w:val="19"/>
                <w:szCs w:val="19"/>
              </w:rPr>
              <w:t xml:space="preserve"> </w:t>
            </w:r>
            <w:r>
              <w:rPr>
                <w:spacing w:val="-11"/>
                <w:sz w:val="19"/>
                <w:szCs w:val="19"/>
              </w:rPr>
              <w:t>km</w:t>
            </w:r>
            <w:r>
              <w:rPr>
                <w:spacing w:val="-16"/>
                <w:sz w:val="19"/>
                <w:szCs w:val="19"/>
              </w:rPr>
              <w:t xml:space="preserve"> </w:t>
            </w:r>
            <w:r>
              <w:rPr>
                <w:spacing w:val="-11"/>
                <w:sz w:val="19"/>
                <w:szCs w:val="19"/>
              </w:rPr>
              <w:t>。</w:t>
            </w:r>
            <w:r>
              <w:rPr>
                <w:spacing w:val="-34"/>
                <w:sz w:val="19"/>
                <w:szCs w:val="19"/>
              </w:rPr>
              <w:t xml:space="preserve"> </w:t>
            </w:r>
            <w:r>
              <w:rPr>
                <w:spacing w:val="-11"/>
                <w:sz w:val="19"/>
                <w:szCs w:val="19"/>
              </w:rPr>
              <w:t>根</w:t>
            </w:r>
            <w:r>
              <w:rPr>
                <w:spacing w:val="-36"/>
                <w:sz w:val="19"/>
                <w:szCs w:val="19"/>
              </w:rPr>
              <w:t xml:space="preserve"> </w:t>
            </w:r>
            <w:r>
              <w:rPr>
                <w:spacing w:val="-11"/>
                <w:sz w:val="19"/>
                <w:szCs w:val="19"/>
              </w:rPr>
              <w:t>据</w:t>
            </w:r>
            <w:r>
              <w:rPr>
                <w:spacing w:val="-33"/>
                <w:sz w:val="19"/>
                <w:szCs w:val="19"/>
              </w:rPr>
              <w:t xml:space="preserve"> </w:t>
            </w:r>
            <w:r>
              <w:rPr>
                <w:spacing w:val="-11"/>
                <w:sz w:val="19"/>
                <w:szCs w:val="19"/>
              </w:rPr>
              <w:t>调</w:t>
            </w:r>
            <w:r>
              <w:rPr>
                <w:spacing w:val="-32"/>
                <w:sz w:val="19"/>
                <w:szCs w:val="19"/>
              </w:rPr>
              <w:t xml:space="preserve"> </w:t>
            </w:r>
            <w:r>
              <w:rPr>
                <w:spacing w:val="-11"/>
                <w:sz w:val="19"/>
                <w:szCs w:val="19"/>
              </w:rPr>
              <w:t>查</w:t>
            </w:r>
            <w:r>
              <w:rPr>
                <w:spacing w:val="-19"/>
                <w:sz w:val="19"/>
                <w:szCs w:val="19"/>
              </w:rPr>
              <w:t xml:space="preserve"> </w:t>
            </w:r>
            <w:r>
              <w:rPr>
                <w:spacing w:val="-11"/>
                <w:sz w:val="19"/>
                <w:szCs w:val="19"/>
              </w:rPr>
              <w:t>，</w:t>
            </w:r>
            <w:r>
              <w:rPr>
                <w:spacing w:val="-32"/>
                <w:sz w:val="19"/>
                <w:szCs w:val="19"/>
              </w:rPr>
              <w:t xml:space="preserve"> </w:t>
            </w:r>
            <w:r>
              <w:rPr>
                <w:spacing w:val="-11"/>
                <w:sz w:val="19"/>
                <w:szCs w:val="19"/>
              </w:rPr>
              <w:t>项 目</w:t>
            </w:r>
            <w:r>
              <w:rPr>
                <w:spacing w:val="-20"/>
                <w:sz w:val="19"/>
                <w:szCs w:val="19"/>
              </w:rPr>
              <w:t xml:space="preserve"> </w:t>
            </w:r>
            <w:r>
              <w:rPr>
                <w:spacing w:val="-11"/>
                <w:sz w:val="19"/>
                <w:szCs w:val="19"/>
              </w:rPr>
              <w:t>区</w:t>
            </w:r>
            <w:r>
              <w:rPr>
                <w:spacing w:val="-32"/>
                <w:sz w:val="19"/>
                <w:szCs w:val="19"/>
              </w:rPr>
              <w:t xml:space="preserve"> </w:t>
            </w:r>
            <w:r>
              <w:rPr>
                <w:spacing w:val="-11"/>
                <w:sz w:val="19"/>
                <w:szCs w:val="19"/>
              </w:rPr>
              <w:t>不</w:t>
            </w:r>
            <w:r>
              <w:rPr>
                <w:spacing w:val="-33"/>
                <w:sz w:val="19"/>
                <w:szCs w:val="19"/>
              </w:rPr>
              <w:t xml:space="preserve"> </w:t>
            </w:r>
            <w:r>
              <w:rPr>
                <w:spacing w:val="-11"/>
                <w:sz w:val="19"/>
                <w:szCs w:val="19"/>
              </w:rPr>
              <w:t>涉</w:t>
            </w:r>
            <w:r>
              <w:rPr>
                <w:spacing w:val="-35"/>
                <w:sz w:val="19"/>
                <w:szCs w:val="19"/>
              </w:rPr>
              <w:t xml:space="preserve"> </w:t>
            </w:r>
            <w:r>
              <w:rPr>
                <w:spacing w:val="-11"/>
                <w:sz w:val="19"/>
                <w:szCs w:val="19"/>
              </w:rPr>
              <w:t>及</w:t>
            </w:r>
            <w:r>
              <w:rPr>
                <w:spacing w:val="-31"/>
                <w:sz w:val="19"/>
                <w:szCs w:val="19"/>
              </w:rPr>
              <w:t xml:space="preserve"> </w:t>
            </w:r>
            <w:r>
              <w:rPr>
                <w:spacing w:val="-11"/>
                <w:sz w:val="19"/>
                <w:szCs w:val="19"/>
              </w:rPr>
              <w:t>鸟</w:t>
            </w:r>
            <w:r>
              <w:rPr>
                <w:spacing w:val="-35"/>
                <w:sz w:val="19"/>
                <w:szCs w:val="19"/>
              </w:rPr>
              <w:t xml:space="preserve"> </w:t>
            </w:r>
            <w:r>
              <w:rPr>
                <w:spacing w:val="-11"/>
                <w:sz w:val="19"/>
                <w:szCs w:val="19"/>
              </w:rPr>
              <w:t>类</w:t>
            </w:r>
            <w:r>
              <w:rPr>
                <w:spacing w:val="-35"/>
                <w:sz w:val="19"/>
                <w:szCs w:val="19"/>
              </w:rPr>
              <w:t xml:space="preserve"> </w:t>
            </w:r>
            <w:r>
              <w:rPr>
                <w:spacing w:val="-11"/>
                <w:sz w:val="19"/>
                <w:szCs w:val="19"/>
              </w:rPr>
              <w:t>迁</w:t>
            </w:r>
            <w:r>
              <w:rPr>
                <w:spacing w:val="-35"/>
                <w:sz w:val="19"/>
                <w:szCs w:val="19"/>
              </w:rPr>
              <w:t xml:space="preserve"> </w:t>
            </w:r>
            <w:r>
              <w:rPr>
                <w:spacing w:val="-11"/>
                <w:sz w:val="19"/>
                <w:szCs w:val="19"/>
              </w:rPr>
              <w:t>徙</w:t>
            </w:r>
            <w:r>
              <w:rPr>
                <w:spacing w:val="-35"/>
                <w:sz w:val="19"/>
                <w:szCs w:val="19"/>
              </w:rPr>
              <w:t xml:space="preserve"> </w:t>
            </w:r>
            <w:r>
              <w:rPr>
                <w:spacing w:val="-11"/>
                <w:sz w:val="19"/>
                <w:szCs w:val="19"/>
              </w:rPr>
              <w:t>通</w:t>
            </w:r>
            <w:r>
              <w:rPr>
                <w:spacing w:val="-35"/>
                <w:sz w:val="19"/>
                <w:szCs w:val="19"/>
              </w:rPr>
              <w:t xml:space="preserve"> </w:t>
            </w:r>
            <w:r>
              <w:rPr>
                <w:spacing w:val="-11"/>
                <w:sz w:val="19"/>
                <w:szCs w:val="19"/>
              </w:rPr>
              <w:t>道</w:t>
            </w:r>
            <w:r>
              <w:rPr>
                <w:spacing w:val="-42"/>
                <w:sz w:val="19"/>
                <w:szCs w:val="19"/>
              </w:rPr>
              <w:t xml:space="preserve"> </w:t>
            </w:r>
            <w:r>
              <w:rPr>
                <w:spacing w:val="-11"/>
                <w:sz w:val="19"/>
                <w:szCs w:val="19"/>
              </w:rPr>
              <w:t>。</w:t>
            </w:r>
          </w:p>
          <w:p w14:paraId="1283705B">
            <w:pPr>
              <w:pStyle w:val="6"/>
              <w:spacing w:before="2" w:line="458" w:lineRule="auto"/>
              <w:ind w:left="81" w:right="3" w:firstLine="519"/>
              <w:jc w:val="both"/>
              <w:rPr>
                <w:sz w:val="19"/>
                <w:szCs w:val="19"/>
              </w:rPr>
            </w:pPr>
            <w:r>
              <w:rPr>
                <w:spacing w:val="34"/>
                <w:sz w:val="19"/>
                <w:szCs w:val="19"/>
              </w:rPr>
              <w:t>本次评价对周边村民进行了走访调查</w:t>
            </w:r>
            <w:r>
              <w:rPr>
                <w:spacing w:val="-23"/>
                <w:sz w:val="19"/>
                <w:szCs w:val="19"/>
              </w:rPr>
              <w:t xml:space="preserve"> </w:t>
            </w:r>
            <w:r>
              <w:rPr>
                <w:spacing w:val="34"/>
                <w:sz w:val="19"/>
                <w:szCs w:val="19"/>
              </w:rPr>
              <w:t>，</w:t>
            </w:r>
            <w:r>
              <w:rPr>
                <w:spacing w:val="-43"/>
                <w:sz w:val="19"/>
                <w:szCs w:val="19"/>
              </w:rPr>
              <w:t xml:space="preserve"> </w:t>
            </w:r>
            <w:r>
              <w:rPr>
                <w:spacing w:val="34"/>
                <w:sz w:val="19"/>
                <w:szCs w:val="19"/>
              </w:rPr>
              <w:t>根据走访调查</w:t>
            </w:r>
            <w:r>
              <w:rPr>
                <w:spacing w:val="-26"/>
                <w:sz w:val="19"/>
                <w:szCs w:val="19"/>
              </w:rPr>
              <w:t xml:space="preserve"> </w:t>
            </w:r>
            <w:r>
              <w:rPr>
                <w:spacing w:val="34"/>
                <w:sz w:val="19"/>
                <w:szCs w:val="19"/>
              </w:rPr>
              <w:t>，</w:t>
            </w:r>
            <w:r>
              <w:rPr>
                <w:spacing w:val="-40"/>
                <w:sz w:val="19"/>
                <w:szCs w:val="19"/>
              </w:rPr>
              <w:t xml:space="preserve"> </w:t>
            </w:r>
            <w:r>
              <w:rPr>
                <w:spacing w:val="34"/>
                <w:sz w:val="19"/>
                <w:szCs w:val="19"/>
              </w:rPr>
              <w:t>项目区及周边区域没有</w:t>
            </w:r>
            <w:r>
              <w:rPr>
                <w:spacing w:val="-50"/>
                <w:sz w:val="19"/>
                <w:szCs w:val="19"/>
              </w:rPr>
              <w:t xml:space="preserve"> </w:t>
            </w:r>
            <w:r>
              <w:rPr>
                <w:spacing w:val="34"/>
                <w:sz w:val="19"/>
                <w:szCs w:val="19"/>
              </w:rPr>
              <w:t>，</w:t>
            </w:r>
            <w:r>
              <w:rPr>
                <w:sz w:val="19"/>
                <w:szCs w:val="19"/>
              </w:rPr>
              <w:t xml:space="preserve"> </w:t>
            </w:r>
            <w:r>
              <w:rPr>
                <w:spacing w:val="44"/>
                <w:sz w:val="19"/>
                <w:szCs w:val="19"/>
              </w:rPr>
              <w:t>也没有听说过秋季夜间上山采用灯光或火光捕鸟的现象</w:t>
            </w:r>
            <w:r>
              <w:rPr>
                <w:spacing w:val="-3"/>
                <w:sz w:val="19"/>
                <w:szCs w:val="19"/>
              </w:rPr>
              <w:t xml:space="preserve"> </w:t>
            </w:r>
            <w:r>
              <w:rPr>
                <w:spacing w:val="44"/>
                <w:sz w:val="19"/>
                <w:szCs w:val="19"/>
              </w:rPr>
              <w:t>。</w:t>
            </w:r>
            <w:r>
              <w:rPr>
                <w:spacing w:val="-37"/>
                <w:sz w:val="19"/>
                <w:szCs w:val="19"/>
              </w:rPr>
              <w:t xml:space="preserve"> </w:t>
            </w:r>
            <w:r>
              <w:rPr>
                <w:spacing w:val="44"/>
                <w:sz w:val="19"/>
                <w:szCs w:val="19"/>
              </w:rPr>
              <w:t>秋季夜间没有发生夜间鸟</w:t>
            </w:r>
            <w:r>
              <w:rPr>
                <w:sz w:val="19"/>
                <w:szCs w:val="19"/>
              </w:rPr>
              <w:t xml:space="preserve">  </w:t>
            </w:r>
            <w:r>
              <w:rPr>
                <w:spacing w:val="-10"/>
                <w:sz w:val="19"/>
                <w:szCs w:val="19"/>
              </w:rPr>
              <w:t>类</w:t>
            </w:r>
            <w:r>
              <w:rPr>
                <w:spacing w:val="-27"/>
                <w:sz w:val="19"/>
                <w:szCs w:val="19"/>
              </w:rPr>
              <w:t xml:space="preserve"> </w:t>
            </w:r>
            <w:r>
              <w:rPr>
                <w:spacing w:val="-10"/>
                <w:sz w:val="19"/>
                <w:szCs w:val="19"/>
              </w:rPr>
              <w:t>飞</w:t>
            </w:r>
            <w:r>
              <w:rPr>
                <w:spacing w:val="-34"/>
                <w:sz w:val="19"/>
                <w:szCs w:val="19"/>
              </w:rPr>
              <w:t xml:space="preserve"> </w:t>
            </w:r>
            <w:r>
              <w:rPr>
                <w:spacing w:val="-10"/>
                <w:sz w:val="19"/>
                <w:szCs w:val="19"/>
              </w:rPr>
              <w:t>入</w:t>
            </w:r>
            <w:r>
              <w:rPr>
                <w:spacing w:val="-31"/>
                <w:sz w:val="19"/>
                <w:szCs w:val="19"/>
              </w:rPr>
              <w:t xml:space="preserve"> </w:t>
            </w:r>
            <w:r>
              <w:rPr>
                <w:spacing w:val="-10"/>
                <w:sz w:val="19"/>
                <w:szCs w:val="19"/>
              </w:rPr>
              <w:t>有</w:t>
            </w:r>
            <w:r>
              <w:rPr>
                <w:spacing w:val="-32"/>
                <w:sz w:val="19"/>
                <w:szCs w:val="19"/>
              </w:rPr>
              <w:t xml:space="preserve"> </w:t>
            </w:r>
            <w:r>
              <w:rPr>
                <w:spacing w:val="-10"/>
                <w:sz w:val="19"/>
                <w:szCs w:val="19"/>
              </w:rPr>
              <w:t>光</w:t>
            </w:r>
            <w:r>
              <w:rPr>
                <w:spacing w:val="-29"/>
                <w:sz w:val="19"/>
                <w:szCs w:val="19"/>
              </w:rPr>
              <w:t xml:space="preserve"> </w:t>
            </w:r>
            <w:r>
              <w:rPr>
                <w:spacing w:val="-10"/>
                <w:sz w:val="19"/>
                <w:szCs w:val="19"/>
              </w:rPr>
              <w:t>亮 的</w:t>
            </w:r>
            <w:r>
              <w:rPr>
                <w:spacing w:val="-32"/>
                <w:sz w:val="19"/>
                <w:szCs w:val="19"/>
              </w:rPr>
              <w:t xml:space="preserve"> </w:t>
            </w:r>
            <w:r>
              <w:rPr>
                <w:spacing w:val="-10"/>
                <w:sz w:val="19"/>
                <w:szCs w:val="19"/>
              </w:rPr>
              <w:t>房</w:t>
            </w:r>
            <w:r>
              <w:rPr>
                <w:spacing w:val="-31"/>
                <w:sz w:val="19"/>
                <w:szCs w:val="19"/>
              </w:rPr>
              <w:t xml:space="preserve"> </w:t>
            </w:r>
            <w:r>
              <w:rPr>
                <w:spacing w:val="-10"/>
                <w:sz w:val="19"/>
                <w:szCs w:val="19"/>
              </w:rPr>
              <w:t>屋</w:t>
            </w:r>
            <w:r>
              <w:rPr>
                <w:spacing w:val="-17"/>
                <w:sz w:val="19"/>
                <w:szCs w:val="19"/>
              </w:rPr>
              <w:t xml:space="preserve"> </w:t>
            </w:r>
            <w:r>
              <w:rPr>
                <w:spacing w:val="-10"/>
                <w:sz w:val="19"/>
                <w:szCs w:val="19"/>
              </w:rPr>
              <w:t>的</w:t>
            </w:r>
            <w:r>
              <w:rPr>
                <w:spacing w:val="-33"/>
                <w:sz w:val="19"/>
                <w:szCs w:val="19"/>
              </w:rPr>
              <w:t xml:space="preserve"> </w:t>
            </w:r>
            <w:r>
              <w:rPr>
                <w:spacing w:val="-10"/>
                <w:sz w:val="19"/>
                <w:szCs w:val="19"/>
              </w:rPr>
              <w:t>事</w:t>
            </w:r>
            <w:r>
              <w:rPr>
                <w:spacing w:val="-33"/>
                <w:sz w:val="19"/>
                <w:szCs w:val="19"/>
              </w:rPr>
              <w:t xml:space="preserve"> </w:t>
            </w:r>
            <w:r>
              <w:rPr>
                <w:spacing w:val="-10"/>
                <w:sz w:val="19"/>
                <w:szCs w:val="19"/>
              </w:rPr>
              <w:t>件</w:t>
            </w:r>
            <w:r>
              <w:rPr>
                <w:spacing w:val="-40"/>
                <w:sz w:val="19"/>
                <w:szCs w:val="19"/>
              </w:rPr>
              <w:t xml:space="preserve"> </w:t>
            </w:r>
            <w:r>
              <w:rPr>
                <w:spacing w:val="-10"/>
                <w:sz w:val="19"/>
                <w:szCs w:val="19"/>
              </w:rPr>
              <w:t>。</w:t>
            </w:r>
          </w:p>
          <w:p w14:paraId="3E62FDF4">
            <w:pPr>
              <w:pStyle w:val="6"/>
              <w:spacing w:before="5" w:line="219" w:lineRule="auto"/>
              <w:jc w:val="right"/>
              <w:rPr>
                <w:sz w:val="19"/>
                <w:szCs w:val="19"/>
              </w:rPr>
            </w:pPr>
            <w:r>
              <w:rPr>
                <w:spacing w:val="33"/>
                <w:sz w:val="19"/>
                <w:szCs w:val="19"/>
              </w:rPr>
              <w:t>因此</w:t>
            </w:r>
            <w:r>
              <w:rPr>
                <w:spacing w:val="-20"/>
                <w:sz w:val="19"/>
                <w:szCs w:val="19"/>
              </w:rPr>
              <w:t xml:space="preserve"> </w:t>
            </w:r>
            <w:r>
              <w:rPr>
                <w:spacing w:val="33"/>
                <w:sz w:val="19"/>
                <w:szCs w:val="19"/>
              </w:rPr>
              <w:t>，</w:t>
            </w:r>
            <w:r>
              <w:rPr>
                <w:spacing w:val="-42"/>
                <w:sz w:val="19"/>
                <w:szCs w:val="19"/>
              </w:rPr>
              <w:t xml:space="preserve"> </w:t>
            </w:r>
            <w:r>
              <w:rPr>
                <w:spacing w:val="33"/>
                <w:sz w:val="19"/>
                <w:szCs w:val="19"/>
              </w:rPr>
              <w:t>根据查阅文献资料和访问调查</w:t>
            </w:r>
            <w:r>
              <w:rPr>
                <w:spacing w:val="-26"/>
                <w:sz w:val="19"/>
                <w:szCs w:val="19"/>
              </w:rPr>
              <w:t xml:space="preserve"> </w:t>
            </w:r>
            <w:r>
              <w:rPr>
                <w:spacing w:val="33"/>
                <w:sz w:val="19"/>
                <w:szCs w:val="19"/>
              </w:rPr>
              <w:t>，</w:t>
            </w:r>
            <w:r>
              <w:rPr>
                <w:spacing w:val="-6"/>
                <w:sz w:val="19"/>
                <w:szCs w:val="19"/>
              </w:rPr>
              <w:t xml:space="preserve"> </w:t>
            </w:r>
            <w:r>
              <w:rPr>
                <w:spacing w:val="33"/>
                <w:sz w:val="19"/>
                <w:szCs w:val="19"/>
              </w:rPr>
              <w:t>目前项目区无秋季迁徙候鸟迁飞聚集点</w:t>
            </w:r>
            <w:r>
              <w:rPr>
                <w:spacing w:val="-50"/>
                <w:sz w:val="19"/>
                <w:szCs w:val="19"/>
              </w:rPr>
              <w:t xml:space="preserve"> </w:t>
            </w:r>
            <w:r>
              <w:rPr>
                <w:spacing w:val="33"/>
                <w:sz w:val="19"/>
                <w:szCs w:val="19"/>
              </w:rPr>
              <w:t>。</w:t>
            </w:r>
          </w:p>
          <w:p w14:paraId="2D574725">
            <w:pPr>
              <w:pStyle w:val="6"/>
              <w:spacing w:before="230" w:line="218" w:lineRule="auto"/>
              <w:ind w:left="83"/>
              <w:rPr>
                <w:sz w:val="19"/>
                <w:szCs w:val="19"/>
              </w:rPr>
            </w:pPr>
            <w:r>
              <w:rPr>
                <w:b/>
                <w:bCs/>
                <w:spacing w:val="-12"/>
                <w:sz w:val="19"/>
                <w:szCs w:val="19"/>
              </w:rPr>
              <w:t>4</w:t>
            </w:r>
            <w:r>
              <w:rPr>
                <w:spacing w:val="-28"/>
                <w:sz w:val="19"/>
                <w:szCs w:val="19"/>
              </w:rPr>
              <w:t xml:space="preserve"> </w:t>
            </w:r>
            <w:r>
              <w:rPr>
                <w:b/>
                <w:bCs/>
                <w:spacing w:val="-12"/>
                <w:sz w:val="19"/>
                <w:szCs w:val="19"/>
              </w:rPr>
              <w:t>.</w:t>
            </w:r>
            <w:r>
              <w:rPr>
                <w:spacing w:val="-37"/>
                <w:sz w:val="19"/>
                <w:szCs w:val="19"/>
              </w:rPr>
              <w:t xml:space="preserve"> </w:t>
            </w:r>
            <w:r>
              <w:rPr>
                <w:b/>
                <w:bCs/>
                <w:spacing w:val="-12"/>
                <w:sz w:val="19"/>
                <w:szCs w:val="19"/>
              </w:rPr>
              <w:t>3</w:t>
            </w:r>
            <w:r>
              <w:rPr>
                <w:spacing w:val="-37"/>
                <w:sz w:val="19"/>
                <w:szCs w:val="19"/>
              </w:rPr>
              <w:t xml:space="preserve"> </w:t>
            </w:r>
            <w:r>
              <w:rPr>
                <w:b/>
                <w:bCs/>
                <w:spacing w:val="-12"/>
                <w:sz w:val="19"/>
                <w:szCs w:val="19"/>
              </w:rPr>
              <w:t>.</w:t>
            </w:r>
            <w:r>
              <w:rPr>
                <w:spacing w:val="-36"/>
                <w:sz w:val="19"/>
                <w:szCs w:val="19"/>
              </w:rPr>
              <w:t xml:space="preserve"> </w:t>
            </w:r>
            <w:r>
              <w:rPr>
                <w:b/>
                <w:bCs/>
                <w:spacing w:val="-12"/>
                <w:sz w:val="19"/>
                <w:szCs w:val="19"/>
              </w:rPr>
              <w:t>7</w:t>
            </w:r>
            <w:r>
              <w:rPr>
                <w:spacing w:val="-43"/>
                <w:sz w:val="19"/>
                <w:szCs w:val="19"/>
              </w:rPr>
              <w:t xml:space="preserve"> </w:t>
            </w:r>
            <w:r>
              <w:rPr>
                <w:b/>
                <w:bCs/>
                <w:spacing w:val="-12"/>
                <w:sz w:val="19"/>
                <w:szCs w:val="19"/>
              </w:rPr>
              <w:t>评</w:t>
            </w:r>
            <w:r>
              <w:rPr>
                <w:spacing w:val="-40"/>
                <w:sz w:val="19"/>
                <w:szCs w:val="19"/>
              </w:rPr>
              <w:t xml:space="preserve"> </w:t>
            </w:r>
            <w:r>
              <w:rPr>
                <w:b/>
                <w:bCs/>
                <w:spacing w:val="-12"/>
                <w:sz w:val="19"/>
                <w:szCs w:val="19"/>
              </w:rPr>
              <w:t>价</w:t>
            </w:r>
            <w:r>
              <w:rPr>
                <w:spacing w:val="-28"/>
                <w:sz w:val="19"/>
                <w:szCs w:val="19"/>
              </w:rPr>
              <w:t xml:space="preserve"> </w:t>
            </w:r>
            <w:r>
              <w:rPr>
                <w:b/>
                <w:bCs/>
                <w:spacing w:val="-12"/>
                <w:sz w:val="19"/>
                <w:szCs w:val="19"/>
              </w:rPr>
              <w:t>区</w:t>
            </w:r>
            <w:r>
              <w:rPr>
                <w:spacing w:val="-40"/>
                <w:sz w:val="19"/>
                <w:szCs w:val="19"/>
              </w:rPr>
              <w:t xml:space="preserve"> </w:t>
            </w:r>
            <w:r>
              <w:rPr>
                <w:b/>
                <w:bCs/>
                <w:spacing w:val="-12"/>
                <w:sz w:val="19"/>
                <w:szCs w:val="19"/>
              </w:rPr>
              <w:t>重</w:t>
            </w:r>
            <w:r>
              <w:rPr>
                <w:spacing w:val="-41"/>
                <w:sz w:val="19"/>
                <w:szCs w:val="19"/>
              </w:rPr>
              <w:t xml:space="preserve"> </w:t>
            </w:r>
            <w:r>
              <w:rPr>
                <w:b/>
                <w:bCs/>
                <w:spacing w:val="-12"/>
                <w:sz w:val="19"/>
                <w:szCs w:val="19"/>
              </w:rPr>
              <w:t>要</w:t>
            </w:r>
            <w:r>
              <w:rPr>
                <w:spacing w:val="-41"/>
                <w:sz w:val="19"/>
                <w:szCs w:val="19"/>
              </w:rPr>
              <w:t xml:space="preserve"> </w:t>
            </w:r>
            <w:r>
              <w:rPr>
                <w:b/>
                <w:bCs/>
                <w:spacing w:val="-12"/>
                <w:sz w:val="19"/>
                <w:szCs w:val="19"/>
              </w:rPr>
              <w:t>野</w:t>
            </w:r>
            <w:r>
              <w:rPr>
                <w:spacing w:val="-40"/>
                <w:sz w:val="19"/>
                <w:szCs w:val="19"/>
              </w:rPr>
              <w:t xml:space="preserve"> </w:t>
            </w:r>
            <w:r>
              <w:rPr>
                <w:b/>
                <w:bCs/>
                <w:spacing w:val="-12"/>
                <w:sz w:val="19"/>
                <w:szCs w:val="19"/>
              </w:rPr>
              <w:t>生</w:t>
            </w:r>
            <w:r>
              <w:rPr>
                <w:spacing w:val="-41"/>
                <w:sz w:val="19"/>
                <w:szCs w:val="19"/>
              </w:rPr>
              <w:t xml:space="preserve"> </w:t>
            </w:r>
            <w:r>
              <w:rPr>
                <w:b/>
                <w:bCs/>
                <w:spacing w:val="-12"/>
                <w:sz w:val="19"/>
                <w:szCs w:val="19"/>
              </w:rPr>
              <w:t>动</w:t>
            </w:r>
            <w:r>
              <w:rPr>
                <w:spacing w:val="-41"/>
                <w:sz w:val="19"/>
                <w:szCs w:val="19"/>
              </w:rPr>
              <w:t xml:space="preserve"> </w:t>
            </w:r>
            <w:r>
              <w:rPr>
                <w:b/>
                <w:bCs/>
                <w:spacing w:val="-12"/>
                <w:sz w:val="19"/>
                <w:szCs w:val="19"/>
              </w:rPr>
              <w:t>物</w:t>
            </w:r>
            <w:r>
              <w:rPr>
                <w:spacing w:val="-40"/>
                <w:sz w:val="19"/>
                <w:szCs w:val="19"/>
              </w:rPr>
              <w:t xml:space="preserve"> </w:t>
            </w:r>
            <w:r>
              <w:rPr>
                <w:b/>
                <w:bCs/>
                <w:spacing w:val="-12"/>
                <w:sz w:val="19"/>
                <w:szCs w:val="19"/>
              </w:rPr>
              <w:t>调</w:t>
            </w:r>
            <w:r>
              <w:rPr>
                <w:spacing w:val="-39"/>
                <w:sz w:val="19"/>
                <w:szCs w:val="19"/>
              </w:rPr>
              <w:t xml:space="preserve"> </w:t>
            </w:r>
            <w:r>
              <w:rPr>
                <w:b/>
                <w:bCs/>
                <w:spacing w:val="-12"/>
                <w:sz w:val="19"/>
                <w:szCs w:val="19"/>
              </w:rPr>
              <w:t>查</w:t>
            </w:r>
            <w:r>
              <w:rPr>
                <w:spacing w:val="-37"/>
                <w:sz w:val="19"/>
                <w:szCs w:val="19"/>
              </w:rPr>
              <w:t xml:space="preserve"> </w:t>
            </w:r>
            <w:r>
              <w:rPr>
                <w:b/>
                <w:bCs/>
                <w:spacing w:val="-12"/>
                <w:sz w:val="19"/>
                <w:szCs w:val="19"/>
              </w:rPr>
              <w:t>结</w:t>
            </w:r>
            <w:r>
              <w:rPr>
                <w:spacing w:val="-40"/>
                <w:sz w:val="19"/>
                <w:szCs w:val="19"/>
              </w:rPr>
              <w:t xml:space="preserve"> </w:t>
            </w:r>
            <w:r>
              <w:rPr>
                <w:b/>
                <w:bCs/>
                <w:spacing w:val="-12"/>
                <w:sz w:val="19"/>
                <w:szCs w:val="19"/>
              </w:rPr>
              <w:t>论</w:t>
            </w:r>
          </w:p>
          <w:p w14:paraId="6A3A3E48">
            <w:pPr>
              <w:pStyle w:val="6"/>
              <w:spacing w:before="237" w:line="220" w:lineRule="auto"/>
              <w:ind w:left="2253"/>
              <w:rPr>
                <w:sz w:val="19"/>
                <w:szCs w:val="19"/>
              </w:rPr>
            </w:pPr>
            <w:r>
              <w:rPr>
                <w:b/>
                <w:bCs/>
                <w:spacing w:val="-11"/>
                <w:sz w:val="19"/>
                <w:szCs w:val="19"/>
              </w:rPr>
              <w:t>表</w:t>
            </w:r>
            <w:r>
              <w:rPr>
                <w:spacing w:val="-32"/>
                <w:sz w:val="19"/>
                <w:szCs w:val="19"/>
              </w:rPr>
              <w:t xml:space="preserve"> </w:t>
            </w:r>
            <w:r>
              <w:rPr>
                <w:b/>
                <w:bCs/>
                <w:spacing w:val="-11"/>
                <w:sz w:val="19"/>
                <w:szCs w:val="19"/>
              </w:rPr>
              <w:t>3</w:t>
            </w:r>
            <w:r>
              <w:rPr>
                <w:spacing w:val="-36"/>
                <w:sz w:val="19"/>
                <w:szCs w:val="19"/>
              </w:rPr>
              <w:t xml:space="preserve"> </w:t>
            </w:r>
            <w:r>
              <w:rPr>
                <w:b/>
                <w:bCs/>
                <w:spacing w:val="-11"/>
                <w:sz w:val="19"/>
                <w:szCs w:val="19"/>
              </w:rPr>
              <w:t>-</w:t>
            </w:r>
            <w:r>
              <w:rPr>
                <w:spacing w:val="-21"/>
                <w:sz w:val="19"/>
                <w:szCs w:val="19"/>
              </w:rPr>
              <w:t xml:space="preserve"> </w:t>
            </w:r>
            <w:r>
              <w:rPr>
                <w:b/>
                <w:bCs/>
                <w:spacing w:val="-11"/>
                <w:sz w:val="19"/>
                <w:szCs w:val="19"/>
              </w:rPr>
              <w:t>1</w:t>
            </w:r>
            <w:r>
              <w:rPr>
                <w:spacing w:val="-36"/>
                <w:sz w:val="19"/>
                <w:szCs w:val="19"/>
              </w:rPr>
              <w:t xml:space="preserve"> </w:t>
            </w:r>
            <w:r>
              <w:rPr>
                <w:b/>
                <w:bCs/>
                <w:spacing w:val="-11"/>
                <w:sz w:val="19"/>
                <w:szCs w:val="19"/>
              </w:rPr>
              <w:t>4</w:t>
            </w:r>
            <w:r>
              <w:rPr>
                <w:spacing w:val="23"/>
                <w:sz w:val="19"/>
                <w:szCs w:val="19"/>
              </w:rPr>
              <w:t xml:space="preserve">   </w:t>
            </w:r>
            <w:r>
              <w:rPr>
                <w:b/>
                <w:bCs/>
                <w:spacing w:val="-11"/>
                <w:sz w:val="19"/>
                <w:szCs w:val="19"/>
              </w:rPr>
              <w:t>重</w:t>
            </w:r>
            <w:r>
              <w:rPr>
                <w:spacing w:val="-32"/>
                <w:sz w:val="19"/>
                <w:szCs w:val="19"/>
              </w:rPr>
              <w:t xml:space="preserve"> </w:t>
            </w:r>
            <w:r>
              <w:rPr>
                <w:b/>
                <w:bCs/>
                <w:spacing w:val="-11"/>
                <w:sz w:val="19"/>
                <w:szCs w:val="19"/>
              </w:rPr>
              <w:t>要</w:t>
            </w:r>
            <w:r>
              <w:rPr>
                <w:spacing w:val="-35"/>
                <w:sz w:val="19"/>
                <w:szCs w:val="19"/>
              </w:rPr>
              <w:t xml:space="preserve"> </w:t>
            </w:r>
            <w:r>
              <w:rPr>
                <w:b/>
                <w:bCs/>
                <w:spacing w:val="-11"/>
                <w:sz w:val="19"/>
                <w:szCs w:val="19"/>
              </w:rPr>
              <w:t>野</w:t>
            </w:r>
            <w:r>
              <w:rPr>
                <w:spacing w:val="-33"/>
                <w:sz w:val="19"/>
                <w:szCs w:val="19"/>
              </w:rPr>
              <w:t xml:space="preserve"> </w:t>
            </w:r>
            <w:r>
              <w:rPr>
                <w:b/>
                <w:bCs/>
                <w:spacing w:val="-11"/>
                <w:sz w:val="19"/>
                <w:szCs w:val="19"/>
              </w:rPr>
              <w:t>生</w:t>
            </w:r>
            <w:r>
              <w:rPr>
                <w:spacing w:val="-35"/>
                <w:sz w:val="19"/>
                <w:szCs w:val="19"/>
              </w:rPr>
              <w:t xml:space="preserve"> </w:t>
            </w:r>
            <w:r>
              <w:rPr>
                <w:b/>
                <w:bCs/>
                <w:spacing w:val="-11"/>
                <w:sz w:val="19"/>
                <w:szCs w:val="19"/>
              </w:rPr>
              <w:t>动</w:t>
            </w:r>
            <w:r>
              <w:rPr>
                <w:spacing w:val="-35"/>
                <w:sz w:val="19"/>
                <w:szCs w:val="19"/>
              </w:rPr>
              <w:t xml:space="preserve"> </w:t>
            </w:r>
            <w:r>
              <w:rPr>
                <w:b/>
                <w:bCs/>
                <w:spacing w:val="-11"/>
                <w:sz w:val="19"/>
                <w:szCs w:val="19"/>
              </w:rPr>
              <w:t>物</w:t>
            </w:r>
            <w:r>
              <w:rPr>
                <w:spacing w:val="-33"/>
                <w:sz w:val="19"/>
                <w:szCs w:val="19"/>
              </w:rPr>
              <w:t xml:space="preserve"> </w:t>
            </w:r>
            <w:r>
              <w:rPr>
                <w:b/>
                <w:bCs/>
                <w:spacing w:val="-11"/>
                <w:sz w:val="19"/>
                <w:szCs w:val="19"/>
              </w:rPr>
              <w:t>调</w:t>
            </w:r>
            <w:r>
              <w:rPr>
                <w:spacing w:val="-33"/>
                <w:sz w:val="19"/>
                <w:szCs w:val="19"/>
              </w:rPr>
              <w:t xml:space="preserve"> </w:t>
            </w:r>
            <w:r>
              <w:rPr>
                <w:b/>
                <w:bCs/>
                <w:spacing w:val="-11"/>
                <w:sz w:val="19"/>
                <w:szCs w:val="19"/>
              </w:rPr>
              <w:t>查</w:t>
            </w:r>
            <w:r>
              <w:rPr>
                <w:spacing w:val="-30"/>
                <w:sz w:val="19"/>
                <w:szCs w:val="19"/>
              </w:rPr>
              <w:t xml:space="preserve"> </w:t>
            </w:r>
            <w:r>
              <w:rPr>
                <w:b/>
                <w:bCs/>
                <w:spacing w:val="-11"/>
                <w:sz w:val="19"/>
                <w:szCs w:val="19"/>
              </w:rPr>
              <w:t>结</w:t>
            </w:r>
            <w:r>
              <w:rPr>
                <w:spacing w:val="-31"/>
                <w:sz w:val="19"/>
                <w:szCs w:val="19"/>
              </w:rPr>
              <w:t xml:space="preserve"> </w:t>
            </w:r>
            <w:r>
              <w:rPr>
                <w:b/>
                <w:bCs/>
                <w:spacing w:val="-11"/>
                <w:sz w:val="19"/>
                <w:szCs w:val="19"/>
              </w:rPr>
              <w:t>果</w:t>
            </w:r>
            <w:r>
              <w:rPr>
                <w:spacing w:val="-31"/>
                <w:sz w:val="19"/>
                <w:szCs w:val="19"/>
              </w:rPr>
              <w:t xml:space="preserve"> </w:t>
            </w:r>
            <w:r>
              <w:rPr>
                <w:b/>
                <w:bCs/>
                <w:spacing w:val="-11"/>
                <w:sz w:val="19"/>
                <w:szCs w:val="19"/>
              </w:rPr>
              <w:t>统</w:t>
            </w:r>
            <w:r>
              <w:rPr>
                <w:spacing w:val="-35"/>
                <w:sz w:val="19"/>
                <w:szCs w:val="19"/>
              </w:rPr>
              <w:t xml:space="preserve"> </w:t>
            </w:r>
            <w:r>
              <w:rPr>
                <w:b/>
                <w:bCs/>
                <w:spacing w:val="-11"/>
                <w:sz w:val="19"/>
                <w:szCs w:val="19"/>
              </w:rPr>
              <w:t>计</w:t>
            </w:r>
            <w:r>
              <w:rPr>
                <w:spacing w:val="-35"/>
                <w:sz w:val="19"/>
                <w:szCs w:val="19"/>
              </w:rPr>
              <w:t xml:space="preserve"> </w:t>
            </w:r>
            <w:r>
              <w:rPr>
                <w:b/>
                <w:bCs/>
                <w:spacing w:val="-11"/>
                <w:sz w:val="19"/>
                <w:szCs w:val="19"/>
              </w:rPr>
              <w:t>表</w:t>
            </w:r>
          </w:p>
        </w:tc>
      </w:tr>
      <w:tr w14:paraId="22901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684" w:type="dxa"/>
            <w:vMerge w:val="continue"/>
            <w:tcBorders>
              <w:top w:val="nil"/>
              <w:bottom w:val="nil"/>
            </w:tcBorders>
            <w:vAlign w:val="top"/>
          </w:tcPr>
          <w:p w14:paraId="6D29A073">
            <w:pPr>
              <w:rPr>
                <w:rFonts w:ascii="Arial"/>
                <w:sz w:val="21"/>
              </w:rPr>
            </w:pPr>
          </w:p>
        </w:tc>
        <w:tc>
          <w:tcPr>
            <w:tcW w:w="110" w:type="dxa"/>
            <w:vAlign w:val="top"/>
          </w:tcPr>
          <w:p w14:paraId="498F0F13">
            <w:pPr>
              <w:rPr>
                <w:rFonts w:ascii="Arial"/>
                <w:sz w:val="21"/>
              </w:rPr>
            </w:pPr>
          </w:p>
        </w:tc>
        <w:tc>
          <w:tcPr>
            <w:tcW w:w="1019" w:type="dxa"/>
            <w:vAlign w:val="top"/>
          </w:tcPr>
          <w:p w14:paraId="1681C01D">
            <w:pPr>
              <w:pStyle w:val="6"/>
              <w:spacing w:before="19" w:line="221" w:lineRule="auto"/>
              <w:ind w:left="91"/>
              <w:rPr>
                <w:sz w:val="23"/>
                <w:szCs w:val="23"/>
              </w:rPr>
            </w:pPr>
            <w:r>
              <w:rPr>
                <w:spacing w:val="7"/>
                <w:sz w:val="23"/>
                <w:szCs w:val="23"/>
              </w:rPr>
              <w:t>序号</w:t>
            </w:r>
          </w:p>
        </w:tc>
        <w:tc>
          <w:tcPr>
            <w:tcW w:w="1379" w:type="dxa"/>
            <w:vAlign w:val="top"/>
          </w:tcPr>
          <w:p w14:paraId="25D14A60">
            <w:pPr>
              <w:pStyle w:val="6"/>
              <w:spacing w:before="29" w:line="220" w:lineRule="auto"/>
              <w:ind w:left="92"/>
              <w:rPr>
                <w:sz w:val="23"/>
                <w:szCs w:val="23"/>
              </w:rPr>
            </w:pPr>
            <w:r>
              <w:rPr>
                <w:spacing w:val="2"/>
                <w:sz w:val="23"/>
                <w:szCs w:val="23"/>
              </w:rPr>
              <w:t>物种名称</w:t>
            </w:r>
          </w:p>
        </w:tc>
        <w:tc>
          <w:tcPr>
            <w:tcW w:w="1029" w:type="dxa"/>
            <w:vAlign w:val="top"/>
          </w:tcPr>
          <w:p w14:paraId="2EEA177E">
            <w:pPr>
              <w:pStyle w:val="6"/>
              <w:spacing w:before="28" w:line="201" w:lineRule="auto"/>
              <w:ind w:left="113" w:right="201"/>
              <w:rPr>
                <w:sz w:val="23"/>
                <w:szCs w:val="23"/>
              </w:rPr>
            </w:pPr>
            <w:r>
              <w:rPr>
                <w:spacing w:val="4"/>
                <w:sz w:val="23"/>
                <w:szCs w:val="23"/>
              </w:rPr>
              <w:t>保护级</w:t>
            </w:r>
            <w:r>
              <w:rPr>
                <w:spacing w:val="1"/>
                <w:sz w:val="23"/>
                <w:szCs w:val="23"/>
              </w:rPr>
              <w:t xml:space="preserve"> </w:t>
            </w:r>
            <w:r>
              <w:rPr>
                <w:sz w:val="23"/>
                <w:szCs w:val="23"/>
              </w:rPr>
              <w:t>别</w:t>
            </w:r>
          </w:p>
        </w:tc>
        <w:tc>
          <w:tcPr>
            <w:tcW w:w="1019" w:type="dxa"/>
            <w:vAlign w:val="top"/>
          </w:tcPr>
          <w:p w14:paraId="2F50ABD7">
            <w:pPr>
              <w:pStyle w:val="6"/>
              <w:spacing w:before="18" w:line="205" w:lineRule="auto"/>
              <w:ind w:left="103" w:right="223"/>
              <w:rPr>
                <w:sz w:val="23"/>
                <w:szCs w:val="23"/>
              </w:rPr>
            </w:pPr>
            <w:r>
              <w:rPr>
                <w:spacing w:val="-3"/>
                <w:sz w:val="23"/>
                <w:szCs w:val="23"/>
              </w:rPr>
              <w:t>濒危等</w:t>
            </w:r>
            <w:r>
              <w:rPr>
                <w:sz w:val="23"/>
                <w:szCs w:val="23"/>
              </w:rPr>
              <w:t xml:space="preserve"> 级</w:t>
            </w:r>
          </w:p>
        </w:tc>
        <w:tc>
          <w:tcPr>
            <w:tcW w:w="1049" w:type="dxa"/>
            <w:vAlign w:val="top"/>
          </w:tcPr>
          <w:p w14:paraId="55599652">
            <w:pPr>
              <w:pStyle w:val="6"/>
              <w:spacing w:before="28" w:line="219" w:lineRule="auto"/>
              <w:ind w:left="115"/>
              <w:rPr>
                <w:sz w:val="23"/>
                <w:szCs w:val="23"/>
              </w:rPr>
            </w:pPr>
            <w:r>
              <w:rPr>
                <w:spacing w:val="5"/>
                <w:sz w:val="23"/>
                <w:szCs w:val="23"/>
              </w:rPr>
              <w:t>特有种</w:t>
            </w:r>
          </w:p>
        </w:tc>
        <w:tc>
          <w:tcPr>
            <w:tcW w:w="1388" w:type="dxa"/>
            <w:vAlign w:val="top"/>
          </w:tcPr>
          <w:p w14:paraId="5C82C923">
            <w:pPr>
              <w:pStyle w:val="6"/>
              <w:spacing w:before="26" w:line="219" w:lineRule="auto"/>
              <w:ind w:left="96"/>
              <w:rPr>
                <w:sz w:val="23"/>
                <w:szCs w:val="23"/>
              </w:rPr>
            </w:pPr>
            <w:r>
              <w:rPr>
                <w:spacing w:val="2"/>
                <w:sz w:val="23"/>
                <w:szCs w:val="23"/>
              </w:rPr>
              <w:t>分布区域</w:t>
            </w:r>
          </w:p>
        </w:tc>
        <w:tc>
          <w:tcPr>
            <w:tcW w:w="829" w:type="dxa"/>
            <w:vAlign w:val="top"/>
          </w:tcPr>
          <w:p w14:paraId="0E62C72B">
            <w:pPr>
              <w:pStyle w:val="6"/>
              <w:spacing w:before="18" w:line="205" w:lineRule="auto"/>
              <w:ind w:left="108" w:right="52" w:firstLine="10"/>
              <w:rPr>
                <w:sz w:val="23"/>
                <w:szCs w:val="23"/>
              </w:rPr>
            </w:pPr>
            <w:r>
              <w:rPr>
                <w:spacing w:val="-14"/>
                <w:sz w:val="23"/>
                <w:szCs w:val="23"/>
              </w:rPr>
              <w:t>资</w:t>
            </w:r>
            <w:r>
              <w:rPr>
                <w:spacing w:val="100"/>
                <w:sz w:val="23"/>
                <w:szCs w:val="23"/>
              </w:rPr>
              <w:t xml:space="preserve"> </w:t>
            </w:r>
            <w:r>
              <w:rPr>
                <w:spacing w:val="-14"/>
                <w:sz w:val="23"/>
                <w:szCs w:val="23"/>
              </w:rPr>
              <w:t>料</w:t>
            </w:r>
            <w:r>
              <w:rPr>
                <w:sz w:val="23"/>
                <w:szCs w:val="23"/>
              </w:rPr>
              <w:t xml:space="preserve"> </w:t>
            </w:r>
            <w:r>
              <w:rPr>
                <w:spacing w:val="-3"/>
                <w:sz w:val="23"/>
                <w:szCs w:val="23"/>
              </w:rPr>
              <w:t>来源</w:t>
            </w:r>
          </w:p>
        </w:tc>
        <w:tc>
          <w:tcPr>
            <w:tcW w:w="927" w:type="dxa"/>
            <w:vAlign w:val="top"/>
          </w:tcPr>
          <w:p w14:paraId="464454BF">
            <w:pPr>
              <w:pStyle w:val="6"/>
              <w:spacing w:before="39" w:line="220" w:lineRule="auto"/>
              <w:jc w:val="right"/>
              <w:rPr>
                <w:sz w:val="23"/>
                <w:szCs w:val="23"/>
              </w:rPr>
            </w:pPr>
            <w:r>
              <w:rPr>
                <w:spacing w:val="-6"/>
                <w:sz w:val="23"/>
                <w:szCs w:val="23"/>
              </w:rPr>
              <w:t>工程占用</w:t>
            </w:r>
          </w:p>
        </w:tc>
      </w:tr>
      <w:tr w14:paraId="7A2CA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684" w:type="dxa"/>
            <w:vMerge w:val="continue"/>
            <w:tcBorders>
              <w:top w:val="nil"/>
            </w:tcBorders>
            <w:vAlign w:val="top"/>
          </w:tcPr>
          <w:p w14:paraId="251DB1BE">
            <w:pPr>
              <w:rPr>
                <w:rFonts w:ascii="Arial"/>
                <w:sz w:val="21"/>
              </w:rPr>
            </w:pPr>
          </w:p>
        </w:tc>
        <w:tc>
          <w:tcPr>
            <w:tcW w:w="1129" w:type="dxa"/>
            <w:gridSpan w:val="2"/>
            <w:vAlign w:val="top"/>
          </w:tcPr>
          <w:p w14:paraId="2621A309">
            <w:pPr>
              <w:pStyle w:val="6"/>
              <w:spacing w:line="203" w:lineRule="auto"/>
              <w:ind w:left="96"/>
              <w:rPr>
                <w:sz w:val="23"/>
                <w:szCs w:val="23"/>
              </w:rPr>
            </w:pPr>
            <w:r>
              <w:pict>
                <v:shape id="_x0000_s1095" o:spid="_x0000_s1095" style="position:absolute;left:0pt;margin-left:4.8pt;margin-top:-27.45pt;height:41pt;width:0.5pt;z-index:-251621376;mso-width-relative:page;mso-height-relative:page;" filled="f" stroked="t" coordsize="10,820" path="m5,0l5,819e">
                  <v:fill on="f" focussize="0,0"/>
                  <v:stroke weight="0.5pt" color="#000000" miterlimit="10" joinstyle="miter"/>
                  <v:imagedata o:title=""/>
                  <o:lock v:ext="edit"/>
                </v:shape>
              </w:pict>
            </w:r>
            <w:r>
              <w:rPr>
                <w:position w:val="-1"/>
                <w:sz w:val="23"/>
                <w:szCs w:val="23"/>
              </w:rPr>
              <w:drawing>
                <wp:inline distT="0" distB="0" distL="0" distR="0">
                  <wp:extent cx="6350" cy="15875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297"/>
                          <a:stretch>
                            <a:fillRect/>
                          </a:stretch>
                        </pic:blipFill>
                        <pic:spPr>
                          <a:xfrm>
                            <a:off x="0" y="0"/>
                            <a:ext cx="6350" cy="159165"/>
                          </a:xfrm>
                          <a:prstGeom prst="rect">
                            <a:avLst/>
                          </a:prstGeom>
                        </pic:spPr>
                      </pic:pic>
                    </a:graphicData>
                  </a:graphic>
                </wp:inline>
              </w:drawing>
            </w:r>
            <w:r>
              <w:rPr>
                <w:spacing w:val="-21"/>
                <w:sz w:val="23"/>
                <w:szCs w:val="23"/>
              </w:rPr>
              <w:t xml:space="preserve"> </w:t>
            </w:r>
            <w:r>
              <w:rPr>
                <w:sz w:val="23"/>
                <w:szCs w:val="23"/>
              </w:rPr>
              <w:t>1</w:t>
            </w:r>
          </w:p>
        </w:tc>
        <w:tc>
          <w:tcPr>
            <w:tcW w:w="1379" w:type="dxa"/>
            <w:vAlign w:val="top"/>
          </w:tcPr>
          <w:p w14:paraId="220B6752">
            <w:pPr>
              <w:pStyle w:val="6"/>
              <w:spacing w:before="29" w:line="187" w:lineRule="auto"/>
              <w:ind w:left="92"/>
              <w:rPr>
                <w:sz w:val="23"/>
                <w:szCs w:val="23"/>
              </w:rPr>
            </w:pPr>
            <w:r>
              <w:rPr>
                <w:spacing w:val="-8"/>
                <w:sz w:val="23"/>
                <w:szCs w:val="23"/>
              </w:rPr>
              <w:t>松</w:t>
            </w:r>
            <w:r>
              <w:rPr>
                <w:spacing w:val="25"/>
                <w:sz w:val="23"/>
                <w:szCs w:val="23"/>
              </w:rPr>
              <w:t xml:space="preserve">  </w:t>
            </w:r>
            <w:r>
              <w:rPr>
                <w:spacing w:val="-8"/>
                <w:sz w:val="23"/>
                <w:szCs w:val="23"/>
              </w:rPr>
              <w:t>雀</w:t>
            </w:r>
            <w:r>
              <w:rPr>
                <w:spacing w:val="23"/>
                <w:sz w:val="23"/>
                <w:szCs w:val="23"/>
              </w:rPr>
              <w:t xml:space="preserve">  </w:t>
            </w:r>
            <w:r>
              <w:rPr>
                <w:spacing w:val="-8"/>
                <w:sz w:val="23"/>
                <w:szCs w:val="23"/>
              </w:rPr>
              <w:t>鹰</w:t>
            </w:r>
          </w:p>
        </w:tc>
        <w:tc>
          <w:tcPr>
            <w:tcW w:w="1029" w:type="dxa"/>
            <w:vAlign w:val="top"/>
          </w:tcPr>
          <w:p w14:paraId="29A0A8EB">
            <w:pPr>
              <w:pStyle w:val="6"/>
              <w:spacing w:before="30" w:line="186" w:lineRule="auto"/>
              <w:ind w:left="113"/>
              <w:rPr>
                <w:sz w:val="23"/>
                <w:szCs w:val="23"/>
              </w:rPr>
            </w:pPr>
            <w:r>
              <w:rPr>
                <w:spacing w:val="-10"/>
                <w:sz w:val="23"/>
                <w:szCs w:val="23"/>
              </w:rPr>
              <w:t>国</w:t>
            </w:r>
            <w:r>
              <w:rPr>
                <w:spacing w:val="36"/>
                <w:sz w:val="23"/>
                <w:szCs w:val="23"/>
              </w:rPr>
              <w:t xml:space="preserve"> </w:t>
            </w:r>
            <w:r>
              <w:rPr>
                <w:spacing w:val="-10"/>
                <w:sz w:val="23"/>
                <w:szCs w:val="23"/>
              </w:rPr>
              <w:t>家二</w:t>
            </w:r>
          </w:p>
        </w:tc>
        <w:tc>
          <w:tcPr>
            <w:tcW w:w="1019" w:type="dxa"/>
            <w:vAlign w:val="top"/>
          </w:tcPr>
          <w:p w14:paraId="1F421D5E">
            <w:pPr>
              <w:pStyle w:val="6"/>
              <w:spacing w:before="88" w:line="173" w:lineRule="exact"/>
              <w:ind w:left="103"/>
              <w:rPr>
                <w:sz w:val="23"/>
                <w:szCs w:val="23"/>
              </w:rPr>
            </w:pPr>
            <w:r>
              <w:rPr>
                <w:spacing w:val="-2"/>
                <w:position w:val="-3"/>
                <w:sz w:val="23"/>
                <w:szCs w:val="23"/>
              </w:rPr>
              <w:t>LC</w:t>
            </w:r>
          </w:p>
        </w:tc>
        <w:tc>
          <w:tcPr>
            <w:tcW w:w="1049" w:type="dxa"/>
            <w:vAlign w:val="top"/>
          </w:tcPr>
          <w:p w14:paraId="40E60C10">
            <w:pPr>
              <w:pStyle w:val="6"/>
              <w:spacing w:before="30" w:line="186" w:lineRule="auto"/>
              <w:ind w:left="115"/>
              <w:rPr>
                <w:sz w:val="23"/>
                <w:szCs w:val="23"/>
              </w:rPr>
            </w:pPr>
            <w:r>
              <w:rPr>
                <w:sz w:val="23"/>
                <w:szCs w:val="23"/>
              </w:rPr>
              <w:t>否</w:t>
            </w:r>
          </w:p>
        </w:tc>
        <w:tc>
          <w:tcPr>
            <w:tcW w:w="1388" w:type="dxa"/>
            <w:vAlign w:val="top"/>
          </w:tcPr>
          <w:p w14:paraId="5C76FA06">
            <w:pPr>
              <w:pStyle w:val="6"/>
              <w:spacing w:before="27" w:line="188" w:lineRule="auto"/>
              <w:ind w:left="96"/>
              <w:rPr>
                <w:sz w:val="23"/>
                <w:szCs w:val="23"/>
              </w:rPr>
            </w:pPr>
            <w:r>
              <w:rPr>
                <w:spacing w:val="2"/>
                <w:sz w:val="23"/>
                <w:szCs w:val="23"/>
              </w:rPr>
              <w:t>评价区内主</w:t>
            </w:r>
          </w:p>
        </w:tc>
        <w:tc>
          <w:tcPr>
            <w:tcW w:w="829" w:type="dxa"/>
            <w:vAlign w:val="top"/>
          </w:tcPr>
          <w:p w14:paraId="3A0E3B89">
            <w:pPr>
              <w:pStyle w:val="6"/>
              <w:spacing w:before="41" w:line="177" w:lineRule="auto"/>
              <w:ind w:left="83"/>
              <w:rPr>
                <w:sz w:val="23"/>
                <w:szCs w:val="23"/>
              </w:rPr>
            </w:pPr>
            <w:r>
              <w:rPr>
                <w:spacing w:val="-17"/>
                <w:sz w:val="23"/>
                <w:szCs w:val="23"/>
              </w:rPr>
              <w:t>《</w:t>
            </w:r>
            <w:r>
              <w:rPr>
                <w:spacing w:val="23"/>
                <w:sz w:val="23"/>
                <w:szCs w:val="23"/>
              </w:rPr>
              <w:t xml:space="preserve">  </w:t>
            </w:r>
            <w:r>
              <w:rPr>
                <w:spacing w:val="-17"/>
                <w:sz w:val="23"/>
                <w:szCs w:val="23"/>
              </w:rPr>
              <w:t>云</w:t>
            </w:r>
          </w:p>
        </w:tc>
        <w:tc>
          <w:tcPr>
            <w:tcW w:w="927" w:type="dxa"/>
            <w:vAlign w:val="top"/>
          </w:tcPr>
          <w:p w14:paraId="50D6A363">
            <w:pPr>
              <w:pStyle w:val="6"/>
              <w:spacing w:before="31" w:line="185" w:lineRule="auto"/>
              <w:ind w:left="109"/>
              <w:rPr>
                <w:sz w:val="23"/>
                <w:szCs w:val="23"/>
              </w:rPr>
            </w:pPr>
            <w:r>
              <w:rPr>
                <w:spacing w:val="9"/>
                <w:sz w:val="23"/>
                <w:szCs w:val="23"/>
              </w:rPr>
              <w:t>不占用</w:t>
            </w:r>
          </w:p>
        </w:tc>
      </w:tr>
    </w:tbl>
    <w:p w14:paraId="5347E783">
      <w:pPr>
        <w:pStyle w:val="2"/>
      </w:pPr>
    </w:p>
    <w:p w14:paraId="6856AD24">
      <w:pPr>
        <w:sectPr>
          <w:footerReference r:id="rId104" w:type="default"/>
          <w:pgSz w:w="11910" w:h="16830"/>
          <w:pgMar w:top="400" w:right="1251" w:bottom="1245" w:left="1214" w:header="0" w:footer="1083" w:gutter="0"/>
          <w:cols w:space="720" w:num="1"/>
        </w:sectPr>
      </w:pPr>
    </w:p>
    <w:p w14:paraId="193A8C0F">
      <w:pPr>
        <w:spacing w:before="18"/>
      </w:pPr>
    </w:p>
    <w:p w14:paraId="0EA2F886">
      <w:pPr>
        <w:spacing w:before="17"/>
      </w:pPr>
    </w:p>
    <w:p w14:paraId="3F194C6D">
      <w:pPr>
        <w:spacing w:before="17"/>
      </w:pPr>
    </w:p>
    <w:p w14:paraId="2946BD79">
      <w:pPr>
        <w:spacing w:before="17"/>
      </w:pPr>
    </w:p>
    <w:tbl>
      <w:tblPr>
        <w:tblStyle w:val="5"/>
        <w:tblW w:w="94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1079"/>
        <w:gridCol w:w="1379"/>
        <w:gridCol w:w="1019"/>
        <w:gridCol w:w="1029"/>
        <w:gridCol w:w="1069"/>
        <w:gridCol w:w="1388"/>
        <w:gridCol w:w="829"/>
        <w:gridCol w:w="924"/>
      </w:tblGrid>
      <w:tr w14:paraId="7020F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734" w:type="dxa"/>
            <w:vMerge w:val="restart"/>
            <w:tcBorders>
              <w:bottom w:val="nil"/>
            </w:tcBorders>
            <w:vAlign w:val="top"/>
          </w:tcPr>
          <w:p w14:paraId="2B56B9D2">
            <w:pPr>
              <w:rPr>
                <w:rFonts w:ascii="Arial"/>
                <w:sz w:val="21"/>
              </w:rPr>
            </w:pPr>
          </w:p>
        </w:tc>
        <w:tc>
          <w:tcPr>
            <w:tcW w:w="1079" w:type="dxa"/>
            <w:vAlign w:val="top"/>
          </w:tcPr>
          <w:p w14:paraId="79CE291E">
            <w:pPr>
              <w:rPr>
                <w:rFonts w:ascii="Arial"/>
                <w:sz w:val="21"/>
              </w:rPr>
            </w:pPr>
          </w:p>
        </w:tc>
        <w:tc>
          <w:tcPr>
            <w:tcW w:w="1379" w:type="dxa"/>
            <w:vAlign w:val="top"/>
          </w:tcPr>
          <w:p w14:paraId="4CB3BC04">
            <w:pPr>
              <w:pStyle w:val="6"/>
              <w:spacing w:before="82" w:line="193" w:lineRule="auto"/>
              <w:ind w:left="82" w:right="253"/>
              <w:rPr>
                <w:sz w:val="23"/>
                <w:szCs w:val="23"/>
              </w:rPr>
            </w:pPr>
            <w:r>
              <w:rPr>
                <w:spacing w:val="-1"/>
                <w:sz w:val="23"/>
                <w:szCs w:val="23"/>
              </w:rPr>
              <w:t>Accipiter</w:t>
            </w:r>
            <w:r>
              <w:rPr>
                <w:spacing w:val="6"/>
                <w:sz w:val="23"/>
                <w:szCs w:val="23"/>
              </w:rPr>
              <w:t xml:space="preserve"> </w:t>
            </w:r>
            <w:r>
              <w:rPr>
                <w:spacing w:val="-2"/>
                <w:sz w:val="23"/>
                <w:szCs w:val="23"/>
              </w:rPr>
              <w:t>virgatus</w:t>
            </w:r>
          </w:p>
        </w:tc>
        <w:tc>
          <w:tcPr>
            <w:tcW w:w="1019" w:type="dxa"/>
            <w:vAlign w:val="top"/>
          </w:tcPr>
          <w:p w14:paraId="6C8EC987">
            <w:pPr>
              <w:pStyle w:val="6"/>
              <w:spacing w:before="47" w:line="221" w:lineRule="auto"/>
              <w:ind w:left="93"/>
              <w:rPr>
                <w:sz w:val="23"/>
                <w:szCs w:val="23"/>
              </w:rPr>
            </w:pPr>
            <w:r>
              <w:rPr>
                <w:sz w:val="23"/>
                <w:szCs w:val="23"/>
              </w:rPr>
              <w:t>级</w:t>
            </w:r>
          </w:p>
        </w:tc>
        <w:tc>
          <w:tcPr>
            <w:tcW w:w="1029" w:type="dxa"/>
            <w:vAlign w:val="top"/>
          </w:tcPr>
          <w:p w14:paraId="7A11538A">
            <w:pPr>
              <w:rPr>
                <w:rFonts w:ascii="Arial"/>
                <w:sz w:val="21"/>
              </w:rPr>
            </w:pPr>
          </w:p>
        </w:tc>
        <w:tc>
          <w:tcPr>
            <w:tcW w:w="1069" w:type="dxa"/>
            <w:vAlign w:val="top"/>
          </w:tcPr>
          <w:p w14:paraId="5E5DF144">
            <w:pPr>
              <w:rPr>
                <w:rFonts w:ascii="Arial"/>
                <w:sz w:val="21"/>
              </w:rPr>
            </w:pPr>
          </w:p>
        </w:tc>
        <w:tc>
          <w:tcPr>
            <w:tcW w:w="1388" w:type="dxa"/>
            <w:vAlign w:val="top"/>
          </w:tcPr>
          <w:p w14:paraId="78D022FA">
            <w:pPr>
              <w:pStyle w:val="6"/>
              <w:spacing w:before="45" w:line="203" w:lineRule="auto"/>
              <w:ind w:left="16" w:firstLine="99"/>
              <w:jc w:val="both"/>
              <w:rPr>
                <w:sz w:val="23"/>
                <w:szCs w:val="23"/>
              </w:rPr>
            </w:pPr>
            <w:r>
              <w:rPr>
                <w:spacing w:val="1"/>
                <w:sz w:val="23"/>
                <w:szCs w:val="23"/>
              </w:rPr>
              <w:t>要栖息于河</w:t>
            </w:r>
            <w:r>
              <w:rPr>
                <w:sz w:val="23"/>
                <w:szCs w:val="23"/>
              </w:rPr>
              <w:t xml:space="preserve">  </w:t>
            </w:r>
            <w:r>
              <w:rPr>
                <w:spacing w:val="-4"/>
                <w:sz w:val="23"/>
                <w:szCs w:val="23"/>
              </w:rPr>
              <w:t>谷区域，约分</w:t>
            </w:r>
            <w:r>
              <w:rPr>
                <w:spacing w:val="4"/>
                <w:sz w:val="23"/>
                <w:szCs w:val="23"/>
              </w:rPr>
              <w:t xml:space="preserve"> </w:t>
            </w:r>
            <w:r>
              <w:rPr>
                <w:spacing w:val="13"/>
                <w:sz w:val="23"/>
                <w:szCs w:val="23"/>
              </w:rPr>
              <w:t>布有1-2只。</w:t>
            </w:r>
          </w:p>
        </w:tc>
        <w:tc>
          <w:tcPr>
            <w:tcW w:w="829" w:type="dxa"/>
            <w:vAlign w:val="top"/>
          </w:tcPr>
          <w:p w14:paraId="011FDBBF">
            <w:pPr>
              <w:pStyle w:val="6"/>
              <w:spacing w:before="45" w:line="226" w:lineRule="auto"/>
              <w:ind w:left="118" w:right="5"/>
              <w:rPr>
                <w:sz w:val="23"/>
                <w:szCs w:val="23"/>
              </w:rPr>
            </w:pPr>
            <w:r>
              <w:rPr>
                <w:spacing w:val="-13"/>
                <w:sz w:val="23"/>
                <w:szCs w:val="23"/>
              </w:rPr>
              <w:t>南</w:t>
            </w:r>
            <w:r>
              <w:rPr>
                <w:spacing w:val="6"/>
                <w:sz w:val="23"/>
                <w:szCs w:val="23"/>
              </w:rPr>
              <w:t xml:space="preserve"> </w:t>
            </w:r>
            <w:r>
              <w:rPr>
                <w:spacing w:val="-13"/>
                <w:sz w:val="23"/>
                <w:szCs w:val="23"/>
              </w:rPr>
              <w:t>鸟</w:t>
            </w:r>
            <w:r>
              <w:rPr>
                <w:sz w:val="23"/>
                <w:szCs w:val="23"/>
              </w:rPr>
              <w:t xml:space="preserve">  </w:t>
            </w:r>
            <w:r>
              <w:rPr>
                <w:spacing w:val="1"/>
                <w:sz w:val="23"/>
                <w:szCs w:val="23"/>
              </w:rPr>
              <w:t>类志》</w:t>
            </w:r>
          </w:p>
        </w:tc>
        <w:tc>
          <w:tcPr>
            <w:tcW w:w="924" w:type="dxa"/>
            <w:vAlign w:val="top"/>
          </w:tcPr>
          <w:p w14:paraId="1AFCD095">
            <w:pPr>
              <w:rPr>
                <w:rFonts w:ascii="Arial"/>
                <w:sz w:val="21"/>
              </w:rPr>
            </w:pPr>
          </w:p>
        </w:tc>
      </w:tr>
      <w:tr w14:paraId="58F2C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734" w:type="dxa"/>
            <w:vMerge w:val="continue"/>
            <w:tcBorders>
              <w:top w:val="nil"/>
              <w:bottom w:val="nil"/>
            </w:tcBorders>
            <w:vAlign w:val="top"/>
          </w:tcPr>
          <w:p w14:paraId="3EDE57E9">
            <w:pPr>
              <w:rPr>
                <w:rFonts w:ascii="Arial"/>
                <w:sz w:val="21"/>
              </w:rPr>
            </w:pPr>
          </w:p>
        </w:tc>
        <w:tc>
          <w:tcPr>
            <w:tcW w:w="1079" w:type="dxa"/>
            <w:vAlign w:val="top"/>
          </w:tcPr>
          <w:p w14:paraId="4EEB952C">
            <w:pPr>
              <w:pStyle w:val="6"/>
              <w:spacing w:before="63" w:line="241" w:lineRule="auto"/>
              <w:ind w:left="61"/>
              <w:rPr>
                <w:sz w:val="23"/>
                <w:szCs w:val="23"/>
              </w:rPr>
            </w:pPr>
            <w:r>
              <w:rPr>
                <w:sz w:val="23"/>
                <w:szCs w:val="23"/>
              </w:rPr>
              <w:t>2</w:t>
            </w:r>
          </w:p>
        </w:tc>
        <w:tc>
          <w:tcPr>
            <w:tcW w:w="1379" w:type="dxa"/>
            <w:vAlign w:val="top"/>
          </w:tcPr>
          <w:p w14:paraId="2EE86EBF">
            <w:pPr>
              <w:spacing w:line="273" w:lineRule="auto"/>
              <w:rPr>
                <w:rFonts w:ascii="Arial"/>
                <w:sz w:val="21"/>
              </w:rPr>
            </w:pPr>
          </w:p>
          <w:p w14:paraId="49BFDDDE">
            <w:pPr>
              <w:pStyle w:val="6"/>
              <w:spacing w:before="75" w:line="248" w:lineRule="auto"/>
              <w:ind w:left="82" w:right="36" w:firstLine="10"/>
              <w:rPr>
                <w:sz w:val="23"/>
                <w:szCs w:val="23"/>
              </w:rPr>
            </w:pPr>
            <w:r>
              <w:rPr>
                <w:spacing w:val="2"/>
                <w:sz w:val="23"/>
                <w:szCs w:val="23"/>
              </w:rPr>
              <w:t>红隼</w:t>
            </w:r>
            <w:r>
              <w:rPr>
                <w:sz w:val="23"/>
                <w:szCs w:val="23"/>
              </w:rPr>
              <w:t xml:space="preserve">Falco  </w:t>
            </w:r>
            <w:r>
              <w:rPr>
                <w:spacing w:val="-2"/>
                <w:sz w:val="23"/>
                <w:szCs w:val="23"/>
              </w:rPr>
              <w:t>tinnunculus</w:t>
            </w:r>
          </w:p>
        </w:tc>
        <w:tc>
          <w:tcPr>
            <w:tcW w:w="1019" w:type="dxa"/>
            <w:vAlign w:val="top"/>
          </w:tcPr>
          <w:p w14:paraId="6CD9CEDB">
            <w:pPr>
              <w:pStyle w:val="6"/>
              <w:spacing w:before="52" w:line="229" w:lineRule="auto"/>
              <w:ind w:left="93" w:right="203" w:firstLine="10"/>
              <w:rPr>
                <w:sz w:val="23"/>
                <w:szCs w:val="23"/>
              </w:rPr>
            </w:pPr>
            <w:r>
              <w:rPr>
                <w:spacing w:val="4"/>
                <w:sz w:val="23"/>
                <w:szCs w:val="23"/>
              </w:rPr>
              <w:t>国家二</w:t>
            </w:r>
            <w:r>
              <w:rPr>
                <w:sz w:val="23"/>
                <w:szCs w:val="23"/>
              </w:rPr>
              <w:t xml:space="preserve"> 级</w:t>
            </w:r>
          </w:p>
        </w:tc>
        <w:tc>
          <w:tcPr>
            <w:tcW w:w="1029" w:type="dxa"/>
            <w:vAlign w:val="top"/>
          </w:tcPr>
          <w:p w14:paraId="14D62AA8">
            <w:pPr>
              <w:pStyle w:val="6"/>
              <w:spacing w:before="129" w:line="183" w:lineRule="auto"/>
              <w:ind w:left="94"/>
              <w:rPr>
                <w:sz w:val="23"/>
                <w:szCs w:val="23"/>
              </w:rPr>
            </w:pPr>
            <w:r>
              <w:rPr>
                <w:spacing w:val="-2"/>
                <w:sz w:val="23"/>
                <w:szCs w:val="23"/>
              </w:rPr>
              <w:t>LC</w:t>
            </w:r>
          </w:p>
        </w:tc>
        <w:tc>
          <w:tcPr>
            <w:tcW w:w="1069" w:type="dxa"/>
            <w:vAlign w:val="top"/>
          </w:tcPr>
          <w:p w14:paraId="46E55F6F">
            <w:pPr>
              <w:pStyle w:val="6"/>
              <w:spacing w:before="51" w:line="220" w:lineRule="auto"/>
              <w:ind w:left="125"/>
              <w:rPr>
                <w:sz w:val="23"/>
                <w:szCs w:val="23"/>
              </w:rPr>
            </w:pPr>
            <w:r>
              <w:rPr>
                <w:sz w:val="23"/>
                <w:szCs w:val="23"/>
              </w:rPr>
              <w:t>否</w:t>
            </w:r>
          </w:p>
        </w:tc>
        <w:tc>
          <w:tcPr>
            <w:tcW w:w="1388" w:type="dxa"/>
            <w:vAlign w:val="top"/>
          </w:tcPr>
          <w:p w14:paraId="02023DA0">
            <w:pPr>
              <w:pStyle w:val="6"/>
              <w:spacing w:before="67" w:line="203" w:lineRule="auto"/>
              <w:ind w:left="16" w:firstLine="99"/>
              <w:jc w:val="both"/>
              <w:rPr>
                <w:sz w:val="23"/>
                <w:szCs w:val="23"/>
              </w:rPr>
            </w:pPr>
            <w:r>
              <w:rPr>
                <w:spacing w:val="1"/>
                <w:sz w:val="23"/>
                <w:szCs w:val="23"/>
              </w:rPr>
              <w:t>主要分布于</w:t>
            </w:r>
            <w:r>
              <w:rPr>
                <w:sz w:val="23"/>
                <w:szCs w:val="23"/>
              </w:rPr>
              <w:t xml:space="preserve">  </w:t>
            </w:r>
            <w:r>
              <w:rPr>
                <w:spacing w:val="23"/>
                <w:sz w:val="23"/>
                <w:szCs w:val="23"/>
              </w:rPr>
              <w:t>坝区边缘周</w:t>
            </w:r>
            <w:r>
              <w:rPr>
                <w:spacing w:val="1"/>
                <w:sz w:val="23"/>
                <w:szCs w:val="23"/>
              </w:rPr>
              <w:t xml:space="preserve"> </w:t>
            </w:r>
            <w:r>
              <w:rPr>
                <w:spacing w:val="-4"/>
                <w:sz w:val="23"/>
                <w:szCs w:val="23"/>
              </w:rPr>
              <w:t>边，约分布有</w:t>
            </w:r>
            <w:r>
              <w:rPr>
                <w:spacing w:val="4"/>
                <w:sz w:val="23"/>
                <w:szCs w:val="23"/>
              </w:rPr>
              <w:t xml:space="preserve"> </w:t>
            </w:r>
            <w:r>
              <w:rPr>
                <w:spacing w:val="11"/>
                <w:sz w:val="23"/>
                <w:szCs w:val="23"/>
              </w:rPr>
              <w:t>2-3只。</w:t>
            </w:r>
          </w:p>
        </w:tc>
        <w:tc>
          <w:tcPr>
            <w:tcW w:w="829" w:type="dxa"/>
            <w:vAlign w:val="top"/>
          </w:tcPr>
          <w:p w14:paraId="4E8598B4">
            <w:pPr>
              <w:pStyle w:val="6"/>
              <w:spacing w:before="51" w:line="226" w:lineRule="auto"/>
              <w:ind w:left="98" w:right="139" w:firstLine="20"/>
              <w:rPr>
                <w:sz w:val="23"/>
                <w:szCs w:val="23"/>
              </w:rPr>
            </w:pPr>
            <w:r>
              <w:rPr>
                <w:spacing w:val="-10"/>
                <w:sz w:val="23"/>
                <w:szCs w:val="23"/>
              </w:rPr>
              <w:t>现</w:t>
            </w:r>
            <w:r>
              <w:rPr>
                <w:spacing w:val="5"/>
                <w:sz w:val="23"/>
                <w:szCs w:val="23"/>
              </w:rPr>
              <w:t xml:space="preserve"> </w:t>
            </w:r>
            <w:r>
              <w:rPr>
                <w:spacing w:val="-10"/>
                <w:sz w:val="23"/>
                <w:szCs w:val="23"/>
              </w:rPr>
              <w:t>场</w:t>
            </w:r>
            <w:r>
              <w:rPr>
                <w:sz w:val="23"/>
                <w:szCs w:val="23"/>
              </w:rPr>
              <w:t xml:space="preserve"> </w:t>
            </w:r>
            <w:r>
              <w:rPr>
                <w:spacing w:val="7"/>
                <w:sz w:val="23"/>
                <w:szCs w:val="23"/>
              </w:rPr>
              <w:t>踏勘</w:t>
            </w:r>
          </w:p>
        </w:tc>
        <w:tc>
          <w:tcPr>
            <w:tcW w:w="924" w:type="dxa"/>
            <w:vAlign w:val="top"/>
          </w:tcPr>
          <w:p w14:paraId="67FF2A89">
            <w:pPr>
              <w:pStyle w:val="6"/>
              <w:spacing w:before="41" w:line="221" w:lineRule="auto"/>
              <w:ind w:left="109"/>
              <w:rPr>
                <w:sz w:val="23"/>
                <w:szCs w:val="23"/>
              </w:rPr>
            </w:pPr>
            <w:r>
              <w:rPr>
                <w:spacing w:val="9"/>
                <w:sz w:val="23"/>
                <w:szCs w:val="23"/>
              </w:rPr>
              <w:t>不占用</w:t>
            </w:r>
          </w:p>
        </w:tc>
      </w:tr>
      <w:tr w14:paraId="1394B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8" w:hRule="atLeast"/>
        </w:trPr>
        <w:tc>
          <w:tcPr>
            <w:tcW w:w="734" w:type="dxa"/>
            <w:vMerge w:val="continue"/>
            <w:tcBorders>
              <w:top w:val="nil"/>
              <w:bottom w:val="nil"/>
            </w:tcBorders>
            <w:vAlign w:val="top"/>
          </w:tcPr>
          <w:p w14:paraId="05E582A6">
            <w:pPr>
              <w:rPr>
                <w:rFonts w:ascii="Arial"/>
                <w:sz w:val="21"/>
              </w:rPr>
            </w:pPr>
          </w:p>
        </w:tc>
        <w:tc>
          <w:tcPr>
            <w:tcW w:w="1079" w:type="dxa"/>
            <w:vAlign w:val="top"/>
          </w:tcPr>
          <w:p w14:paraId="2641A9EC">
            <w:pPr>
              <w:pStyle w:val="6"/>
              <w:spacing w:before="43"/>
              <w:ind w:left="61"/>
              <w:rPr>
                <w:sz w:val="23"/>
                <w:szCs w:val="23"/>
              </w:rPr>
            </w:pPr>
            <w:r>
              <w:rPr>
                <w:sz w:val="23"/>
                <w:szCs w:val="23"/>
              </w:rPr>
              <w:t>3</w:t>
            </w:r>
          </w:p>
        </w:tc>
        <w:tc>
          <w:tcPr>
            <w:tcW w:w="1379" w:type="dxa"/>
            <w:vAlign w:val="top"/>
          </w:tcPr>
          <w:p w14:paraId="6972368A">
            <w:pPr>
              <w:spacing w:line="313" w:lineRule="auto"/>
              <w:rPr>
                <w:rFonts w:ascii="Arial"/>
                <w:sz w:val="21"/>
              </w:rPr>
            </w:pPr>
          </w:p>
          <w:p w14:paraId="0EE0C8B0">
            <w:pPr>
              <w:spacing w:line="314" w:lineRule="auto"/>
              <w:rPr>
                <w:rFonts w:ascii="Arial"/>
                <w:sz w:val="21"/>
              </w:rPr>
            </w:pPr>
          </w:p>
          <w:p w14:paraId="3F7ACF9C">
            <w:pPr>
              <w:spacing w:line="314" w:lineRule="auto"/>
              <w:rPr>
                <w:rFonts w:ascii="Arial"/>
                <w:sz w:val="21"/>
              </w:rPr>
            </w:pPr>
          </w:p>
          <w:p w14:paraId="23BAA28A">
            <w:pPr>
              <w:pStyle w:val="6"/>
              <w:spacing w:before="75" w:line="227" w:lineRule="auto"/>
              <w:ind w:left="82" w:right="10" w:firstLine="20"/>
              <w:rPr>
                <w:sz w:val="23"/>
                <w:szCs w:val="23"/>
              </w:rPr>
            </w:pPr>
            <w:r>
              <w:rPr>
                <w:spacing w:val="-2"/>
                <w:sz w:val="23"/>
                <w:szCs w:val="23"/>
              </w:rPr>
              <w:t>普通鷲Buteo</w:t>
            </w:r>
            <w:r>
              <w:rPr>
                <w:spacing w:val="6"/>
                <w:sz w:val="23"/>
                <w:szCs w:val="23"/>
              </w:rPr>
              <w:t xml:space="preserve"> </w:t>
            </w:r>
            <w:r>
              <w:rPr>
                <w:spacing w:val="-2"/>
                <w:sz w:val="23"/>
                <w:szCs w:val="23"/>
              </w:rPr>
              <w:t>japonicus</w:t>
            </w:r>
          </w:p>
        </w:tc>
        <w:tc>
          <w:tcPr>
            <w:tcW w:w="1019" w:type="dxa"/>
            <w:vAlign w:val="top"/>
          </w:tcPr>
          <w:p w14:paraId="7774619C">
            <w:pPr>
              <w:pStyle w:val="6"/>
              <w:spacing w:before="42" w:line="229" w:lineRule="auto"/>
              <w:ind w:left="93" w:right="193" w:firstLine="20"/>
              <w:rPr>
                <w:sz w:val="23"/>
                <w:szCs w:val="23"/>
              </w:rPr>
            </w:pPr>
            <w:r>
              <w:rPr>
                <w:spacing w:val="4"/>
                <w:sz w:val="23"/>
                <w:szCs w:val="23"/>
              </w:rPr>
              <w:t>国家二</w:t>
            </w:r>
            <w:r>
              <w:rPr>
                <w:sz w:val="23"/>
                <w:szCs w:val="23"/>
              </w:rPr>
              <w:t xml:space="preserve"> 级</w:t>
            </w:r>
          </w:p>
        </w:tc>
        <w:tc>
          <w:tcPr>
            <w:tcW w:w="1029" w:type="dxa"/>
            <w:vAlign w:val="top"/>
          </w:tcPr>
          <w:p w14:paraId="21A76D88">
            <w:pPr>
              <w:pStyle w:val="6"/>
              <w:spacing w:before="110" w:line="183" w:lineRule="auto"/>
              <w:ind w:left="94"/>
              <w:rPr>
                <w:sz w:val="23"/>
                <w:szCs w:val="23"/>
              </w:rPr>
            </w:pPr>
            <w:r>
              <w:rPr>
                <w:spacing w:val="-2"/>
                <w:sz w:val="23"/>
                <w:szCs w:val="23"/>
              </w:rPr>
              <w:t>LC</w:t>
            </w:r>
          </w:p>
        </w:tc>
        <w:tc>
          <w:tcPr>
            <w:tcW w:w="1069" w:type="dxa"/>
            <w:vAlign w:val="top"/>
          </w:tcPr>
          <w:p w14:paraId="61573D42">
            <w:pPr>
              <w:pStyle w:val="6"/>
              <w:spacing w:before="42" w:line="220" w:lineRule="auto"/>
              <w:ind w:left="125"/>
              <w:rPr>
                <w:sz w:val="23"/>
                <w:szCs w:val="23"/>
              </w:rPr>
            </w:pPr>
            <w:r>
              <w:rPr>
                <w:sz w:val="23"/>
                <w:szCs w:val="23"/>
              </w:rPr>
              <w:t>否</w:t>
            </w:r>
          </w:p>
        </w:tc>
        <w:tc>
          <w:tcPr>
            <w:tcW w:w="1388" w:type="dxa"/>
            <w:vAlign w:val="top"/>
          </w:tcPr>
          <w:p w14:paraId="48C856EB">
            <w:pPr>
              <w:pStyle w:val="6"/>
              <w:spacing w:before="36" w:line="216" w:lineRule="auto"/>
              <w:ind w:left="16" w:firstLine="92"/>
              <w:rPr>
                <w:sz w:val="23"/>
                <w:szCs w:val="23"/>
              </w:rPr>
            </w:pPr>
            <w:r>
              <w:rPr>
                <w:spacing w:val="-20"/>
                <w:sz w:val="23"/>
                <w:szCs w:val="23"/>
              </w:rPr>
              <w:t>评价区内可</w:t>
            </w:r>
            <w:r>
              <w:rPr>
                <w:spacing w:val="1"/>
                <w:sz w:val="23"/>
                <w:szCs w:val="23"/>
              </w:rPr>
              <w:t xml:space="preserve">   </w:t>
            </w:r>
            <w:r>
              <w:rPr>
                <w:spacing w:val="2"/>
                <w:sz w:val="23"/>
                <w:szCs w:val="23"/>
              </w:rPr>
              <w:t>见在上空盘</w:t>
            </w:r>
            <w:r>
              <w:rPr>
                <w:spacing w:val="1"/>
                <w:sz w:val="23"/>
                <w:szCs w:val="23"/>
              </w:rPr>
              <w:t xml:space="preserve">  </w:t>
            </w:r>
            <w:r>
              <w:rPr>
                <w:spacing w:val="-20"/>
                <w:sz w:val="23"/>
                <w:szCs w:val="23"/>
              </w:rPr>
              <w:t>旋，约分布有</w:t>
            </w:r>
            <w:r>
              <w:rPr>
                <w:spacing w:val="1"/>
                <w:sz w:val="23"/>
                <w:szCs w:val="23"/>
              </w:rPr>
              <w:t xml:space="preserve">  </w:t>
            </w:r>
            <w:r>
              <w:rPr>
                <w:spacing w:val="-11"/>
                <w:sz w:val="23"/>
                <w:szCs w:val="23"/>
              </w:rPr>
              <w:t>2-3只，踪迹</w:t>
            </w:r>
            <w:r>
              <w:rPr>
                <w:spacing w:val="2"/>
                <w:sz w:val="23"/>
                <w:szCs w:val="23"/>
              </w:rPr>
              <w:t xml:space="preserve">  </w:t>
            </w:r>
            <w:r>
              <w:rPr>
                <w:spacing w:val="-4"/>
                <w:sz w:val="23"/>
                <w:szCs w:val="23"/>
              </w:rPr>
              <w:t>集中在山箐、</w:t>
            </w:r>
            <w:r>
              <w:rPr>
                <w:spacing w:val="4"/>
                <w:sz w:val="23"/>
                <w:szCs w:val="23"/>
              </w:rPr>
              <w:t xml:space="preserve"> </w:t>
            </w:r>
            <w:r>
              <w:rPr>
                <w:spacing w:val="3"/>
                <w:sz w:val="23"/>
                <w:szCs w:val="23"/>
              </w:rPr>
              <w:t>河谷区域及</w:t>
            </w:r>
            <w:r>
              <w:rPr>
                <w:sz w:val="23"/>
                <w:szCs w:val="23"/>
              </w:rPr>
              <w:t xml:space="preserve">  </w:t>
            </w:r>
            <w:r>
              <w:rPr>
                <w:spacing w:val="-1"/>
                <w:sz w:val="23"/>
                <w:szCs w:val="23"/>
              </w:rPr>
              <w:t>农田针叶林</w:t>
            </w:r>
            <w:r>
              <w:rPr>
                <w:sz w:val="23"/>
                <w:szCs w:val="23"/>
              </w:rPr>
              <w:t xml:space="preserve">   </w:t>
            </w:r>
            <w:r>
              <w:rPr>
                <w:spacing w:val="2"/>
                <w:sz w:val="23"/>
                <w:szCs w:val="23"/>
              </w:rPr>
              <w:t>交错地带可</w:t>
            </w:r>
            <w:r>
              <w:rPr>
                <w:spacing w:val="1"/>
                <w:sz w:val="23"/>
                <w:szCs w:val="23"/>
              </w:rPr>
              <w:t xml:space="preserve">  </w:t>
            </w:r>
            <w:r>
              <w:rPr>
                <w:spacing w:val="30"/>
                <w:sz w:val="23"/>
                <w:szCs w:val="23"/>
              </w:rPr>
              <w:t>见。</w:t>
            </w:r>
          </w:p>
        </w:tc>
        <w:tc>
          <w:tcPr>
            <w:tcW w:w="829" w:type="dxa"/>
            <w:vAlign w:val="top"/>
          </w:tcPr>
          <w:p w14:paraId="1BDC6358">
            <w:pPr>
              <w:pStyle w:val="6"/>
              <w:spacing w:before="42" w:line="226" w:lineRule="auto"/>
              <w:ind w:left="98" w:right="106" w:firstLine="20"/>
              <w:rPr>
                <w:sz w:val="23"/>
                <w:szCs w:val="23"/>
              </w:rPr>
            </w:pPr>
            <w:r>
              <w:rPr>
                <w:spacing w:val="-10"/>
                <w:sz w:val="23"/>
                <w:szCs w:val="23"/>
              </w:rPr>
              <w:t>现</w:t>
            </w:r>
            <w:r>
              <w:rPr>
                <w:spacing w:val="38"/>
                <w:sz w:val="23"/>
                <w:szCs w:val="23"/>
              </w:rPr>
              <w:t xml:space="preserve"> </w:t>
            </w:r>
            <w:r>
              <w:rPr>
                <w:spacing w:val="-10"/>
                <w:sz w:val="23"/>
                <w:szCs w:val="23"/>
              </w:rPr>
              <w:t>场</w:t>
            </w:r>
            <w:r>
              <w:rPr>
                <w:sz w:val="23"/>
                <w:szCs w:val="23"/>
              </w:rPr>
              <w:t xml:space="preserve"> </w:t>
            </w:r>
            <w:r>
              <w:rPr>
                <w:spacing w:val="7"/>
                <w:sz w:val="23"/>
                <w:szCs w:val="23"/>
              </w:rPr>
              <w:t>踏勘</w:t>
            </w:r>
          </w:p>
        </w:tc>
        <w:tc>
          <w:tcPr>
            <w:tcW w:w="924" w:type="dxa"/>
            <w:vAlign w:val="top"/>
          </w:tcPr>
          <w:p w14:paraId="65B260BF">
            <w:pPr>
              <w:pStyle w:val="6"/>
              <w:spacing w:before="42" w:line="221" w:lineRule="auto"/>
              <w:ind w:left="109"/>
              <w:rPr>
                <w:sz w:val="23"/>
                <w:szCs w:val="23"/>
              </w:rPr>
            </w:pPr>
            <w:r>
              <w:rPr>
                <w:spacing w:val="9"/>
                <w:sz w:val="23"/>
                <w:szCs w:val="23"/>
              </w:rPr>
              <w:t>不占用</w:t>
            </w:r>
          </w:p>
        </w:tc>
      </w:tr>
      <w:tr w14:paraId="57A95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8" w:hRule="atLeast"/>
        </w:trPr>
        <w:tc>
          <w:tcPr>
            <w:tcW w:w="734" w:type="dxa"/>
            <w:vMerge w:val="continue"/>
            <w:tcBorders>
              <w:top w:val="nil"/>
            </w:tcBorders>
            <w:vAlign w:val="top"/>
          </w:tcPr>
          <w:p w14:paraId="43EC5B7B">
            <w:pPr>
              <w:rPr>
                <w:rFonts w:ascii="Arial"/>
                <w:sz w:val="21"/>
              </w:rPr>
            </w:pPr>
          </w:p>
        </w:tc>
        <w:tc>
          <w:tcPr>
            <w:tcW w:w="8716" w:type="dxa"/>
            <w:gridSpan w:val="8"/>
            <w:vAlign w:val="top"/>
          </w:tcPr>
          <w:p w14:paraId="3C144B2D">
            <w:pPr>
              <w:pStyle w:val="6"/>
              <w:spacing w:before="40" w:line="219" w:lineRule="auto"/>
              <w:ind w:left="14"/>
              <w:rPr>
                <w:sz w:val="23"/>
                <w:szCs w:val="23"/>
              </w:rPr>
            </w:pPr>
            <w:r>
              <w:rPr>
                <w:b/>
                <w:bCs/>
                <w:spacing w:val="-5"/>
                <w:sz w:val="23"/>
                <w:szCs w:val="23"/>
              </w:rPr>
              <w:t>4.4鱼类</w:t>
            </w:r>
          </w:p>
          <w:p w14:paraId="21E8B577">
            <w:pPr>
              <w:pStyle w:val="6"/>
              <w:spacing w:before="207" w:line="369" w:lineRule="auto"/>
              <w:ind w:left="11" w:right="353" w:firstLine="509"/>
              <w:rPr>
                <w:sz w:val="23"/>
                <w:szCs w:val="23"/>
              </w:rPr>
            </w:pPr>
            <w:r>
              <w:rPr>
                <w:sz w:val="23"/>
                <w:szCs w:val="23"/>
              </w:rPr>
              <w:t>项目无涉水工程，建设也不影响周边地表水，因此本次评价不对鱼类进行调查</w:t>
            </w:r>
            <w:r>
              <w:rPr>
                <w:spacing w:val="10"/>
                <w:sz w:val="23"/>
                <w:szCs w:val="23"/>
              </w:rPr>
              <w:t xml:space="preserve"> </w:t>
            </w:r>
            <w:r>
              <w:rPr>
                <w:spacing w:val="-1"/>
                <w:sz w:val="23"/>
                <w:szCs w:val="23"/>
              </w:rPr>
              <w:t>及评价。</w:t>
            </w:r>
          </w:p>
          <w:p w14:paraId="64B7FB7B">
            <w:pPr>
              <w:pStyle w:val="6"/>
              <w:spacing w:line="219" w:lineRule="auto"/>
              <w:ind w:left="14"/>
              <w:rPr>
                <w:sz w:val="23"/>
                <w:szCs w:val="23"/>
              </w:rPr>
            </w:pPr>
            <w:r>
              <w:rPr>
                <w:b/>
                <w:bCs/>
                <w:spacing w:val="-4"/>
                <w:sz w:val="23"/>
                <w:szCs w:val="23"/>
              </w:rPr>
              <w:t>4.5土地利用现状</w:t>
            </w:r>
          </w:p>
          <w:p w14:paraId="13220359">
            <w:pPr>
              <w:pStyle w:val="6"/>
              <w:spacing w:before="208" w:line="218" w:lineRule="auto"/>
              <w:ind w:left="521"/>
              <w:rPr>
                <w:sz w:val="23"/>
                <w:szCs w:val="23"/>
              </w:rPr>
            </w:pPr>
            <w:r>
              <w:rPr>
                <w:sz w:val="23"/>
                <w:szCs w:val="23"/>
              </w:rPr>
              <w:t>结合卫星遥感判读分析与野外调查的方法，对项目评价区进行土</w:t>
            </w:r>
            <w:r>
              <w:rPr>
                <w:spacing w:val="-1"/>
                <w:sz w:val="23"/>
                <w:szCs w:val="23"/>
              </w:rPr>
              <w:t>地覆被调查。</w:t>
            </w:r>
          </w:p>
          <w:p w14:paraId="0B7CA889">
            <w:pPr>
              <w:pStyle w:val="6"/>
              <w:spacing w:before="177" w:line="216" w:lineRule="auto"/>
              <w:ind w:left="41"/>
              <w:rPr>
                <w:sz w:val="23"/>
                <w:szCs w:val="23"/>
              </w:rPr>
            </w:pPr>
            <w:r>
              <w:rPr>
                <w:spacing w:val="5"/>
                <w:sz w:val="23"/>
                <w:szCs w:val="23"/>
              </w:rPr>
              <w:t>评价区总面积2418.086</w:t>
            </w:r>
            <w:r>
              <w:rPr>
                <w:sz w:val="23"/>
                <w:szCs w:val="23"/>
              </w:rPr>
              <w:t>hm</w:t>
            </w:r>
            <w:r>
              <w:rPr>
                <w:spacing w:val="5"/>
                <w:sz w:val="23"/>
                <w:szCs w:val="23"/>
              </w:rPr>
              <w:t>²,其中土地利用面积最大的为耕地，面积为1618.946</w:t>
            </w:r>
            <w:r>
              <w:rPr>
                <w:sz w:val="23"/>
                <w:szCs w:val="23"/>
              </w:rPr>
              <w:t>hm</w:t>
            </w:r>
            <w:r>
              <w:rPr>
                <w:spacing w:val="5"/>
                <w:sz w:val="23"/>
                <w:szCs w:val="23"/>
              </w:rPr>
              <w:t>²。</w:t>
            </w:r>
          </w:p>
          <w:p w14:paraId="3864D558">
            <w:pPr>
              <w:pStyle w:val="6"/>
              <w:spacing w:before="188" w:line="218" w:lineRule="auto"/>
              <w:ind w:left="1654"/>
              <w:rPr>
                <w:sz w:val="23"/>
                <w:szCs w:val="23"/>
              </w:rPr>
            </w:pPr>
            <w:r>
              <w:rPr>
                <w:b/>
                <w:bCs/>
                <w:spacing w:val="3"/>
                <w:sz w:val="23"/>
                <w:szCs w:val="23"/>
              </w:rPr>
              <w:t>表3-15评价区各土地利用类型面积统计表</w:t>
            </w:r>
            <w:r>
              <w:rPr>
                <w:spacing w:val="3"/>
                <w:sz w:val="23"/>
                <w:szCs w:val="23"/>
              </w:rPr>
              <w:t xml:space="preserve"> </w:t>
            </w:r>
            <w:r>
              <w:rPr>
                <w:b/>
                <w:bCs/>
                <w:spacing w:val="3"/>
                <w:sz w:val="23"/>
                <w:szCs w:val="23"/>
              </w:rPr>
              <w:t>单位：</w:t>
            </w:r>
            <w:r>
              <w:rPr>
                <w:b/>
                <w:bCs/>
                <w:sz w:val="23"/>
                <w:szCs w:val="23"/>
              </w:rPr>
              <w:t>hm</w:t>
            </w:r>
            <w:r>
              <w:rPr>
                <w:b/>
                <w:bCs/>
                <w:spacing w:val="3"/>
                <w:sz w:val="23"/>
                <w:szCs w:val="23"/>
              </w:rPr>
              <w:t>²</w:t>
            </w:r>
          </w:p>
          <w:p w14:paraId="200255FC">
            <w:pPr>
              <w:spacing w:line="139" w:lineRule="exact"/>
            </w:pPr>
          </w:p>
          <w:tbl>
            <w:tblPr>
              <w:tblStyle w:val="5"/>
              <w:tblW w:w="8489" w:type="dxa"/>
              <w:tblInd w:w="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62"/>
              <w:gridCol w:w="2846"/>
              <w:gridCol w:w="2981"/>
            </w:tblGrid>
            <w:tr w14:paraId="08AB5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2662" w:type="dxa"/>
                  <w:vAlign w:val="top"/>
                </w:tcPr>
                <w:p w14:paraId="221B1F2C">
                  <w:pPr>
                    <w:pStyle w:val="6"/>
                    <w:spacing w:before="42" w:line="211" w:lineRule="auto"/>
                    <w:ind w:left="694"/>
                    <w:rPr>
                      <w:sz w:val="21"/>
                      <w:szCs w:val="21"/>
                    </w:rPr>
                  </w:pPr>
                  <w:r>
                    <w:rPr>
                      <w:spacing w:val="2"/>
                      <w:sz w:val="21"/>
                      <w:szCs w:val="21"/>
                    </w:rPr>
                    <w:t>土地利用类型</w:t>
                  </w:r>
                </w:p>
              </w:tc>
              <w:tc>
                <w:tcPr>
                  <w:tcW w:w="2846" w:type="dxa"/>
                  <w:vAlign w:val="top"/>
                </w:tcPr>
                <w:p w14:paraId="0BF50C1E">
                  <w:pPr>
                    <w:pStyle w:val="6"/>
                    <w:spacing w:before="44" w:line="210" w:lineRule="auto"/>
                    <w:ind w:left="892"/>
                    <w:rPr>
                      <w:sz w:val="21"/>
                      <w:szCs w:val="21"/>
                    </w:rPr>
                  </w:pPr>
                  <w:r>
                    <w:rPr>
                      <w:spacing w:val="30"/>
                      <w:sz w:val="21"/>
                      <w:szCs w:val="21"/>
                    </w:rPr>
                    <w:t>面积(</w:t>
                  </w:r>
                  <w:r>
                    <w:rPr>
                      <w:sz w:val="21"/>
                      <w:szCs w:val="21"/>
                    </w:rPr>
                    <w:t>hm</w:t>
                  </w:r>
                  <w:r>
                    <w:rPr>
                      <w:spacing w:val="30"/>
                      <w:sz w:val="21"/>
                      <w:szCs w:val="21"/>
                    </w:rPr>
                    <w:t>²)</w:t>
                  </w:r>
                </w:p>
              </w:tc>
              <w:tc>
                <w:tcPr>
                  <w:tcW w:w="2981" w:type="dxa"/>
                  <w:vAlign w:val="top"/>
                </w:tcPr>
                <w:p w14:paraId="2C957D1D">
                  <w:pPr>
                    <w:pStyle w:val="6"/>
                    <w:spacing w:before="44" w:line="210" w:lineRule="auto"/>
                    <w:ind w:left="926"/>
                    <w:rPr>
                      <w:sz w:val="21"/>
                      <w:szCs w:val="21"/>
                    </w:rPr>
                  </w:pPr>
                  <w:r>
                    <w:rPr>
                      <w:spacing w:val="36"/>
                      <w:sz w:val="21"/>
                      <w:szCs w:val="21"/>
                    </w:rPr>
                    <w:t>百分比(%)</w:t>
                  </w:r>
                </w:p>
              </w:tc>
            </w:tr>
            <w:tr w14:paraId="47313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662" w:type="dxa"/>
                  <w:vAlign w:val="top"/>
                </w:tcPr>
                <w:p w14:paraId="2F86C88C">
                  <w:pPr>
                    <w:pStyle w:val="6"/>
                    <w:spacing w:before="30" w:line="201" w:lineRule="auto"/>
                    <w:ind w:left="584"/>
                    <w:rPr>
                      <w:sz w:val="21"/>
                      <w:szCs w:val="21"/>
                    </w:rPr>
                  </w:pPr>
                  <w:r>
                    <w:rPr>
                      <w:spacing w:val="-14"/>
                      <w:w w:val="96"/>
                      <w:sz w:val="21"/>
                      <w:szCs w:val="21"/>
                    </w:rPr>
                    <w:t>林地——乔木林地</w:t>
                  </w:r>
                </w:p>
              </w:tc>
              <w:tc>
                <w:tcPr>
                  <w:tcW w:w="2846" w:type="dxa"/>
                  <w:vAlign w:val="top"/>
                </w:tcPr>
                <w:p w14:paraId="58957407">
                  <w:pPr>
                    <w:pStyle w:val="6"/>
                    <w:spacing w:before="51" w:line="182" w:lineRule="auto"/>
                    <w:ind w:left="1042"/>
                    <w:rPr>
                      <w:sz w:val="21"/>
                      <w:szCs w:val="21"/>
                    </w:rPr>
                  </w:pPr>
                  <w:r>
                    <w:rPr>
                      <w:spacing w:val="-2"/>
                      <w:sz w:val="21"/>
                      <w:szCs w:val="21"/>
                    </w:rPr>
                    <w:t>231.292</w:t>
                  </w:r>
                </w:p>
              </w:tc>
              <w:tc>
                <w:tcPr>
                  <w:tcW w:w="2981" w:type="dxa"/>
                  <w:vAlign w:val="top"/>
                </w:tcPr>
                <w:p w14:paraId="3041D256">
                  <w:pPr>
                    <w:pStyle w:val="6"/>
                    <w:spacing w:before="51" w:line="182" w:lineRule="auto"/>
                    <w:ind w:left="1216"/>
                    <w:rPr>
                      <w:sz w:val="21"/>
                      <w:szCs w:val="21"/>
                    </w:rPr>
                  </w:pPr>
                  <w:r>
                    <w:rPr>
                      <w:spacing w:val="-2"/>
                      <w:sz w:val="21"/>
                      <w:szCs w:val="21"/>
                    </w:rPr>
                    <w:t>9.565</w:t>
                  </w:r>
                </w:p>
              </w:tc>
            </w:tr>
            <w:tr w14:paraId="1409D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662" w:type="dxa"/>
                  <w:vAlign w:val="top"/>
                </w:tcPr>
                <w:p w14:paraId="3B45DEE6">
                  <w:pPr>
                    <w:pStyle w:val="6"/>
                    <w:spacing w:before="31" w:line="191" w:lineRule="auto"/>
                    <w:ind w:left="584"/>
                    <w:rPr>
                      <w:sz w:val="21"/>
                      <w:szCs w:val="21"/>
                    </w:rPr>
                  </w:pPr>
                  <w:r>
                    <w:rPr>
                      <w:spacing w:val="-15"/>
                      <w:w w:val="96"/>
                      <w:sz w:val="21"/>
                      <w:szCs w:val="21"/>
                    </w:rPr>
                    <w:t>林地——灌木林地</w:t>
                  </w:r>
                </w:p>
              </w:tc>
              <w:tc>
                <w:tcPr>
                  <w:tcW w:w="2846" w:type="dxa"/>
                  <w:vAlign w:val="top"/>
                </w:tcPr>
                <w:p w14:paraId="76F2870F">
                  <w:pPr>
                    <w:pStyle w:val="6"/>
                    <w:spacing w:before="52" w:line="173" w:lineRule="auto"/>
                    <w:ind w:left="1042"/>
                    <w:rPr>
                      <w:sz w:val="21"/>
                      <w:szCs w:val="21"/>
                    </w:rPr>
                  </w:pPr>
                  <w:r>
                    <w:rPr>
                      <w:spacing w:val="-3"/>
                      <w:sz w:val="21"/>
                      <w:szCs w:val="21"/>
                    </w:rPr>
                    <w:t>119.358</w:t>
                  </w:r>
                </w:p>
              </w:tc>
              <w:tc>
                <w:tcPr>
                  <w:tcW w:w="2981" w:type="dxa"/>
                  <w:vAlign w:val="top"/>
                </w:tcPr>
                <w:p w14:paraId="3563220B">
                  <w:pPr>
                    <w:pStyle w:val="6"/>
                    <w:spacing w:before="52" w:line="173" w:lineRule="auto"/>
                    <w:ind w:left="1216"/>
                    <w:rPr>
                      <w:sz w:val="21"/>
                      <w:szCs w:val="21"/>
                    </w:rPr>
                  </w:pPr>
                  <w:r>
                    <w:rPr>
                      <w:spacing w:val="-2"/>
                      <w:sz w:val="21"/>
                      <w:szCs w:val="21"/>
                    </w:rPr>
                    <w:t>4.936</w:t>
                  </w:r>
                </w:p>
              </w:tc>
            </w:tr>
            <w:tr w14:paraId="0FA83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662" w:type="dxa"/>
                  <w:vAlign w:val="top"/>
                </w:tcPr>
                <w:p w14:paraId="452A7B83">
                  <w:pPr>
                    <w:pStyle w:val="6"/>
                    <w:spacing w:before="32" w:line="199" w:lineRule="auto"/>
                    <w:ind w:left="1114"/>
                    <w:rPr>
                      <w:sz w:val="21"/>
                      <w:szCs w:val="21"/>
                    </w:rPr>
                  </w:pPr>
                  <w:r>
                    <w:rPr>
                      <w:spacing w:val="-3"/>
                      <w:sz w:val="21"/>
                      <w:szCs w:val="21"/>
                    </w:rPr>
                    <w:t>草地</w:t>
                  </w:r>
                </w:p>
              </w:tc>
              <w:tc>
                <w:tcPr>
                  <w:tcW w:w="2846" w:type="dxa"/>
                  <w:vAlign w:val="top"/>
                </w:tcPr>
                <w:p w14:paraId="2B954E5B">
                  <w:pPr>
                    <w:pStyle w:val="6"/>
                    <w:spacing w:before="53" w:line="181" w:lineRule="auto"/>
                    <w:ind w:left="1042"/>
                    <w:rPr>
                      <w:sz w:val="21"/>
                      <w:szCs w:val="21"/>
                    </w:rPr>
                  </w:pPr>
                  <w:r>
                    <w:rPr>
                      <w:spacing w:val="-2"/>
                      <w:sz w:val="21"/>
                      <w:szCs w:val="21"/>
                    </w:rPr>
                    <w:t>294.442</w:t>
                  </w:r>
                </w:p>
              </w:tc>
              <w:tc>
                <w:tcPr>
                  <w:tcW w:w="2981" w:type="dxa"/>
                  <w:vAlign w:val="top"/>
                </w:tcPr>
                <w:p w14:paraId="78B5FD93">
                  <w:pPr>
                    <w:pStyle w:val="6"/>
                    <w:spacing w:before="53" w:line="181" w:lineRule="auto"/>
                    <w:ind w:left="1166"/>
                    <w:rPr>
                      <w:sz w:val="21"/>
                      <w:szCs w:val="21"/>
                    </w:rPr>
                  </w:pPr>
                  <w:r>
                    <w:rPr>
                      <w:spacing w:val="-4"/>
                      <w:sz w:val="21"/>
                      <w:szCs w:val="21"/>
                    </w:rPr>
                    <w:t>12.177</w:t>
                  </w:r>
                </w:p>
              </w:tc>
            </w:tr>
            <w:tr w14:paraId="0C513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662" w:type="dxa"/>
                  <w:vAlign w:val="top"/>
                </w:tcPr>
                <w:p w14:paraId="06B2D17D">
                  <w:pPr>
                    <w:pStyle w:val="6"/>
                    <w:spacing w:before="42" w:line="208" w:lineRule="auto"/>
                    <w:ind w:left="1114"/>
                    <w:rPr>
                      <w:sz w:val="21"/>
                      <w:szCs w:val="21"/>
                    </w:rPr>
                  </w:pPr>
                  <w:r>
                    <w:rPr>
                      <w:spacing w:val="-3"/>
                      <w:sz w:val="21"/>
                      <w:szCs w:val="21"/>
                    </w:rPr>
                    <w:t>耕地</w:t>
                  </w:r>
                </w:p>
              </w:tc>
              <w:tc>
                <w:tcPr>
                  <w:tcW w:w="2846" w:type="dxa"/>
                  <w:vAlign w:val="top"/>
                </w:tcPr>
                <w:p w14:paraId="43952CEE">
                  <w:pPr>
                    <w:pStyle w:val="6"/>
                    <w:spacing w:before="64" w:line="189" w:lineRule="auto"/>
                    <w:ind w:left="992"/>
                    <w:rPr>
                      <w:sz w:val="21"/>
                      <w:szCs w:val="21"/>
                    </w:rPr>
                  </w:pPr>
                  <w:r>
                    <w:rPr>
                      <w:spacing w:val="-3"/>
                      <w:sz w:val="21"/>
                      <w:szCs w:val="21"/>
                    </w:rPr>
                    <w:t>1618.946</w:t>
                  </w:r>
                </w:p>
              </w:tc>
              <w:tc>
                <w:tcPr>
                  <w:tcW w:w="2981" w:type="dxa"/>
                  <w:vAlign w:val="top"/>
                </w:tcPr>
                <w:p w14:paraId="22ACCBFB">
                  <w:pPr>
                    <w:pStyle w:val="6"/>
                    <w:spacing w:before="64" w:line="189" w:lineRule="auto"/>
                    <w:ind w:left="1166"/>
                    <w:rPr>
                      <w:sz w:val="21"/>
                      <w:szCs w:val="21"/>
                    </w:rPr>
                  </w:pPr>
                  <w:r>
                    <w:rPr>
                      <w:spacing w:val="-2"/>
                      <w:sz w:val="21"/>
                      <w:szCs w:val="21"/>
                    </w:rPr>
                    <w:t>66.952</w:t>
                  </w:r>
                </w:p>
              </w:tc>
            </w:tr>
            <w:tr w14:paraId="2B064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662" w:type="dxa"/>
                  <w:vAlign w:val="top"/>
                </w:tcPr>
                <w:p w14:paraId="2F987004">
                  <w:pPr>
                    <w:pStyle w:val="6"/>
                    <w:spacing w:before="33" w:line="198" w:lineRule="auto"/>
                    <w:ind w:left="794"/>
                    <w:rPr>
                      <w:sz w:val="21"/>
                      <w:szCs w:val="21"/>
                    </w:rPr>
                  </w:pPr>
                  <w:r>
                    <w:rPr>
                      <w:spacing w:val="-2"/>
                      <w:sz w:val="21"/>
                      <w:szCs w:val="21"/>
                    </w:rPr>
                    <w:t>农村宅基地</w:t>
                  </w:r>
                </w:p>
              </w:tc>
              <w:tc>
                <w:tcPr>
                  <w:tcW w:w="2846" w:type="dxa"/>
                  <w:vAlign w:val="top"/>
                </w:tcPr>
                <w:p w14:paraId="622D4E3F">
                  <w:pPr>
                    <w:pStyle w:val="6"/>
                    <w:spacing w:before="55" w:line="179" w:lineRule="auto"/>
                    <w:ind w:left="1102"/>
                    <w:rPr>
                      <w:sz w:val="21"/>
                      <w:szCs w:val="21"/>
                    </w:rPr>
                  </w:pPr>
                  <w:r>
                    <w:rPr>
                      <w:spacing w:val="-2"/>
                      <w:sz w:val="21"/>
                      <w:szCs w:val="21"/>
                    </w:rPr>
                    <w:t>80.598</w:t>
                  </w:r>
                </w:p>
              </w:tc>
              <w:tc>
                <w:tcPr>
                  <w:tcW w:w="2981" w:type="dxa"/>
                  <w:vAlign w:val="top"/>
                </w:tcPr>
                <w:p w14:paraId="3A42DF1B">
                  <w:pPr>
                    <w:pStyle w:val="6"/>
                    <w:spacing w:before="55" w:line="179" w:lineRule="auto"/>
                    <w:ind w:left="1216"/>
                    <w:rPr>
                      <w:sz w:val="21"/>
                      <w:szCs w:val="21"/>
                    </w:rPr>
                  </w:pPr>
                  <w:r>
                    <w:rPr>
                      <w:spacing w:val="-2"/>
                      <w:sz w:val="21"/>
                      <w:szCs w:val="21"/>
                    </w:rPr>
                    <w:t>3.471</w:t>
                  </w:r>
                </w:p>
              </w:tc>
            </w:tr>
            <w:tr w14:paraId="130C6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662" w:type="dxa"/>
                  <w:vAlign w:val="top"/>
                </w:tcPr>
                <w:p w14:paraId="428389F8">
                  <w:pPr>
                    <w:pStyle w:val="6"/>
                    <w:spacing w:before="34" w:line="197" w:lineRule="auto"/>
                    <w:ind w:left="694"/>
                    <w:rPr>
                      <w:sz w:val="21"/>
                      <w:szCs w:val="21"/>
                    </w:rPr>
                  </w:pPr>
                  <w:r>
                    <w:rPr>
                      <w:spacing w:val="-2"/>
                      <w:sz w:val="21"/>
                      <w:szCs w:val="21"/>
                    </w:rPr>
                    <w:t>工矿企业用地</w:t>
                  </w:r>
                </w:p>
              </w:tc>
              <w:tc>
                <w:tcPr>
                  <w:tcW w:w="2846" w:type="dxa"/>
                  <w:vAlign w:val="top"/>
                </w:tcPr>
                <w:p w14:paraId="31ED8558">
                  <w:pPr>
                    <w:pStyle w:val="6"/>
                    <w:spacing w:before="56" w:line="178" w:lineRule="auto"/>
                    <w:ind w:left="1102"/>
                    <w:rPr>
                      <w:sz w:val="21"/>
                      <w:szCs w:val="21"/>
                    </w:rPr>
                  </w:pPr>
                  <w:r>
                    <w:rPr>
                      <w:spacing w:val="-2"/>
                      <w:sz w:val="21"/>
                      <w:szCs w:val="21"/>
                    </w:rPr>
                    <w:t>31.934</w:t>
                  </w:r>
                </w:p>
              </w:tc>
              <w:tc>
                <w:tcPr>
                  <w:tcW w:w="2981" w:type="dxa"/>
                  <w:vAlign w:val="top"/>
                </w:tcPr>
                <w:p w14:paraId="215B124B">
                  <w:pPr>
                    <w:pStyle w:val="6"/>
                    <w:spacing w:before="56" w:line="178" w:lineRule="auto"/>
                    <w:ind w:left="1216"/>
                    <w:rPr>
                      <w:sz w:val="21"/>
                      <w:szCs w:val="21"/>
                    </w:rPr>
                  </w:pPr>
                  <w:r>
                    <w:rPr>
                      <w:spacing w:val="-4"/>
                      <w:sz w:val="21"/>
                      <w:szCs w:val="21"/>
                    </w:rPr>
                    <w:t>1.321</w:t>
                  </w:r>
                </w:p>
              </w:tc>
            </w:tr>
            <w:tr w14:paraId="59F0C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662" w:type="dxa"/>
                  <w:vAlign w:val="top"/>
                </w:tcPr>
                <w:p w14:paraId="24D7ADD9">
                  <w:pPr>
                    <w:pStyle w:val="6"/>
                    <w:spacing w:before="36" w:line="187" w:lineRule="auto"/>
                    <w:ind w:left="694"/>
                    <w:rPr>
                      <w:sz w:val="21"/>
                      <w:szCs w:val="21"/>
                    </w:rPr>
                  </w:pPr>
                  <w:r>
                    <w:rPr>
                      <w:spacing w:val="1"/>
                      <w:sz w:val="21"/>
                      <w:szCs w:val="21"/>
                    </w:rPr>
                    <w:t>交通运输用地</w:t>
                  </w:r>
                </w:p>
              </w:tc>
              <w:tc>
                <w:tcPr>
                  <w:tcW w:w="2846" w:type="dxa"/>
                  <w:vAlign w:val="top"/>
                </w:tcPr>
                <w:p w14:paraId="1BE9C39D">
                  <w:pPr>
                    <w:pStyle w:val="6"/>
                    <w:spacing w:before="57" w:line="168" w:lineRule="auto"/>
                    <w:ind w:left="1102"/>
                    <w:rPr>
                      <w:sz w:val="21"/>
                      <w:szCs w:val="21"/>
                    </w:rPr>
                  </w:pPr>
                  <w:r>
                    <w:rPr>
                      <w:spacing w:val="-2"/>
                      <w:sz w:val="21"/>
                      <w:szCs w:val="21"/>
                    </w:rPr>
                    <w:t>28.037</w:t>
                  </w:r>
                </w:p>
              </w:tc>
              <w:tc>
                <w:tcPr>
                  <w:tcW w:w="2981" w:type="dxa"/>
                  <w:vAlign w:val="top"/>
                </w:tcPr>
                <w:p w14:paraId="787AF2F1">
                  <w:pPr>
                    <w:pStyle w:val="6"/>
                    <w:spacing w:before="57" w:line="168" w:lineRule="auto"/>
                    <w:ind w:left="1216"/>
                    <w:rPr>
                      <w:sz w:val="21"/>
                      <w:szCs w:val="21"/>
                    </w:rPr>
                  </w:pPr>
                  <w:r>
                    <w:rPr>
                      <w:spacing w:val="-4"/>
                      <w:sz w:val="21"/>
                      <w:szCs w:val="21"/>
                    </w:rPr>
                    <w:t>1.159</w:t>
                  </w:r>
                </w:p>
              </w:tc>
            </w:tr>
            <w:tr w14:paraId="24DA5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662" w:type="dxa"/>
                  <w:vAlign w:val="top"/>
                </w:tcPr>
                <w:p w14:paraId="14E95F20">
                  <w:pPr>
                    <w:pStyle w:val="6"/>
                    <w:spacing w:before="37" w:line="195" w:lineRule="auto"/>
                    <w:ind w:left="374"/>
                    <w:rPr>
                      <w:sz w:val="21"/>
                      <w:szCs w:val="21"/>
                    </w:rPr>
                  </w:pPr>
                  <w:r>
                    <w:rPr>
                      <w:spacing w:val="-2"/>
                      <w:sz w:val="21"/>
                      <w:szCs w:val="21"/>
                    </w:rPr>
                    <w:t>水域及水利设施用地</w:t>
                  </w:r>
                </w:p>
              </w:tc>
              <w:tc>
                <w:tcPr>
                  <w:tcW w:w="2846" w:type="dxa"/>
                  <w:vAlign w:val="top"/>
                </w:tcPr>
                <w:p w14:paraId="30D0D199">
                  <w:pPr>
                    <w:pStyle w:val="6"/>
                    <w:spacing w:before="58" w:line="176" w:lineRule="auto"/>
                    <w:ind w:left="1102"/>
                    <w:rPr>
                      <w:sz w:val="21"/>
                      <w:szCs w:val="21"/>
                    </w:rPr>
                  </w:pPr>
                  <w:r>
                    <w:rPr>
                      <w:spacing w:val="-4"/>
                      <w:sz w:val="21"/>
                      <w:szCs w:val="21"/>
                    </w:rPr>
                    <w:t>13.479</w:t>
                  </w:r>
                </w:p>
              </w:tc>
              <w:tc>
                <w:tcPr>
                  <w:tcW w:w="2981" w:type="dxa"/>
                  <w:vAlign w:val="top"/>
                </w:tcPr>
                <w:p w14:paraId="04FAC492">
                  <w:pPr>
                    <w:pStyle w:val="6"/>
                    <w:spacing w:before="58" w:line="176" w:lineRule="auto"/>
                    <w:ind w:left="1216"/>
                    <w:rPr>
                      <w:sz w:val="21"/>
                      <w:szCs w:val="21"/>
                    </w:rPr>
                  </w:pPr>
                  <w:r>
                    <w:rPr>
                      <w:spacing w:val="-2"/>
                      <w:sz w:val="21"/>
                      <w:szCs w:val="21"/>
                    </w:rPr>
                    <w:t>0.581</w:t>
                  </w:r>
                </w:p>
              </w:tc>
            </w:tr>
            <w:tr w14:paraId="45B46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662" w:type="dxa"/>
                  <w:vAlign w:val="top"/>
                </w:tcPr>
                <w:p w14:paraId="2082266E">
                  <w:pPr>
                    <w:pStyle w:val="6"/>
                    <w:spacing w:before="49" w:line="206" w:lineRule="auto"/>
                    <w:ind w:left="1114"/>
                    <w:rPr>
                      <w:sz w:val="21"/>
                      <w:szCs w:val="21"/>
                    </w:rPr>
                  </w:pPr>
                  <w:r>
                    <w:rPr>
                      <w:spacing w:val="-3"/>
                      <w:sz w:val="21"/>
                      <w:szCs w:val="21"/>
                    </w:rPr>
                    <w:t>合计</w:t>
                  </w:r>
                </w:p>
              </w:tc>
              <w:tc>
                <w:tcPr>
                  <w:tcW w:w="2846" w:type="dxa"/>
                  <w:vAlign w:val="top"/>
                </w:tcPr>
                <w:p w14:paraId="4DB83D9C">
                  <w:pPr>
                    <w:pStyle w:val="6"/>
                    <w:spacing w:before="69" w:line="189" w:lineRule="auto"/>
                    <w:ind w:left="992"/>
                    <w:rPr>
                      <w:sz w:val="21"/>
                      <w:szCs w:val="21"/>
                    </w:rPr>
                  </w:pPr>
                  <w:r>
                    <w:rPr>
                      <w:spacing w:val="-2"/>
                      <w:sz w:val="21"/>
                      <w:szCs w:val="21"/>
                    </w:rPr>
                    <w:t>2418.086</w:t>
                  </w:r>
                </w:p>
              </w:tc>
              <w:tc>
                <w:tcPr>
                  <w:tcW w:w="2981" w:type="dxa"/>
                  <w:vAlign w:val="top"/>
                </w:tcPr>
                <w:p w14:paraId="27B78E6E">
                  <w:pPr>
                    <w:pStyle w:val="6"/>
                    <w:spacing w:before="69" w:line="189" w:lineRule="auto"/>
                    <w:ind w:left="1326"/>
                    <w:rPr>
                      <w:sz w:val="21"/>
                      <w:szCs w:val="21"/>
                    </w:rPr>
                  </w:pPr>
                  <w:r>
                    <w:rPr>
                      <w:spacing w:val="-6"/>
                      <w:sz w:val="21"/>
                      <w:szCs w:val="21"/>
                    </w:rPr>
                    <w:t>100</w:t>
                  </w:r>
                </w:p>
              </w:tc>
            </w:tr>
          </w:tbl>
          <w:p w14:paraId="7F86FDE7">
            <w:pPr>
              <w:pStyle w:val="6"/>
              <w:spacing w:before="52" w:line="219" w:lineRule="auto"/>
              <w:ind w:left="74"/>
              <w:rPr>
                <w:sz w:val="23"/>
                <w:szCs w:val="23"/>
              </w:rPr>
            </w:pPr>
            <w:r>
              <w:rPr>
                <w:b/>
                <w:bCs/>
                <w:spacing w:val="-3"/>
                <w:sz w:val="23"/>
                <w:szCs w:val="23"/>
              </w:rPr>
              <w:t>4.6景观生态系统环境现状</w:t>
            </w:r>
          </w:p>
          <w:p w14:paraId="53FDC9EC">
            <w:pPr>
              <w:pStyle w:val="6"/>
              <w:spacing w:before="179" w:line="366" w:lineRule="auto"/>
              <w:ind w:left="81" w:right="303" w:firstLine="480"/>
              <w:jc w:val="both"/>
              <w:rPr>
                <w:sz w:val="23"/>
                <w:szCs w:val="23"/>
              </w:rPr>
            </w:pPr>
            <w:r>
              <w:rPr>
                <w:spacing w:val="1"/>
                <w:sz w:val="23"/>
                <w:szCs w:val="23"/>
              </w:rPr>
              <w:t>评价区内生态系统可分为森林生态系统、农田</w:t>
            </w:r>
            <w:r>
              <w:rPr>
                <w:sz w:val="23"/>
                <w:szCs w:val="23"/>
              </w:rPr>
              <w:t>生态系统等。这些不同的景观系 统按其内在的规律整合在一起，形成和评价区内统一的景观体系。景观质量的优劣</w:t>
            </w:r>
            <w:r>
              <w:rPr>
                <w:spacing w:val="15"/>
                <w:sz w:val="23"/>
                <w:szCs w:val="23"/>
              </w:rPr>
              <w:t xml:space="preserve"> </w:t>
            </w:r>
            <w:r>
              <w:rPr>
                <w:spacing w:val="1"/>
                <w:sz w:val="23"/>
                <w:szCs w:val="23"/>
              </w:rPr>
              <w:t>取决于景观要素的性质与特征，以及景观的</w:t>
            </w:r>
            <w:r>
              <w:rPr>
                <w:sz w:val="23"/>
                <w:szCs w:val="23"/>
              </w:rPr>
              <w:t xml:space="preserve">结构和时空格局的特征。景观生态系统 </w:t>
            </w:r>
            <w:r>
              <w:rPr>
                <w:spacing w:val="1"/>
                <w:sz w:val="23"/>
                <w:szCs w:val="23"/>
              </w:rPr>
              <w:t>的稳定性取决于景观生态系统稳定程度和系统干扰程度两大方面。若干扰</w:t>
            </w:r>
            <w:r>
              <w:rPr>
                <w:sz w:val="23"/>
                <w:szCs w:val="23"/>
              </w:rPr>
              <w:t xml:space="preserve">程度大于 </w:t>
            </w:r>
            <w:r>
              <w:rPr>
                <w:spacing w:val="1"/>
                <w:sz w:val="23"/>
                <w:szCs w:val="23"/>
              </w:rPr>
              <w:t>稳定程度，景观生态系统趋于非稳定态，景观生态质量</w:t>
            </w:r>
            <w:r>
              <w:rPr>
                <w:sz w:val="23"/>
                <w:szCs w:val="23"/>
              </w:rPr>
              <w:t xml:space="preserve">较低；若干扰程度小于稳定 </w:t>
            </w:r>
            <w:r>
              <w:rPr>
                <w:spacing w:val="1"/>
                <w:sz w:val="23"/>
                <w:szCs w:val="23"/>
              </w:rPr>
              <w:t>程度，景观生态系统趋于稳定态，景观生态质量较高。一般来说，森林比</w:t>
            </w:r>
            <w:r>
              <w:rPr>
                <w:sz w:val="23"/>
                <w:szCs w:val="23"/>
              </w:rPr>
              <w:t>灌丛和灌</w:t>
            </w:r>
          </w:p>
        </w:tc>
      </w:tr>
    </w:tbl>
    <w:p w14:paraId="5B3043FA">
      <w:pPr>
        <w:pStyle w:val="2"/>
      </w:pPr>
    </w:p>
    <w:p w14:paraId="2010D6D5">
      <w:pPr>
        <w:sectPr>
          <w:footerReference r:id="rId105" w:type="default"/>
          <w:pgSz w:w="11910" w:h="16830"/>
          <w:pgMar w:top="400" w:right="1234" w:bottom="1245" w:left="1214" w:header="0" w:footer="1083" w:gutter="0"/>
          <w:cols w:space="720" w:num="1"/>
        </w:sectPr>
      </w:pPr>
    </w:p>
    <w:p w14:paraId="21989F89">
      <w:pPr>
        <w:spacing w:before="18"/>
      </w:pPr>
    </w:p>
    <w:p w14:paraId="32BB2148">
      <w:pPr>
        <w:spacing w:before="17"/>
      </w:pPr>
    </w:p>
    <w:p w14:paraId="0F692C4E">
      <w:pPr>
        <w:spacing w:before="17"/>
      </w:pPr>
    </w:p>
    <w:p w14:paraId="4F9F0623">
      <w:pPr>
        <w:spacing w:before="17"/>
      </w:pPr>
    </w:p>
    <w:tbl>
      <w:tblPr>
        <w:tblStyle w:val="5"/>
        <w:tblW w:w="9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8756"/>
      </w:tblGrid>
      <w:tr w14:paraId="121F7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50" w:hRule="atLeast"/>
        </w:trPr>
        <w:tc>
          <w:tcPr>
            <w:tcW w:w="674" w:type="dxa"/>
            <w:vAlign w:val="top"/>
          </w:tcPr>
          <w:p w14:paraId="0509CCB8">
            <w:pPr>
              <w:rPr>
                <w:rFonts w:ascii="Arial"/>
                <w:sz w:val="21"/>
              </w:rPr>
            </w:pPr>
          </w:p>
        </w:tc>
        <w:tc>
          <w:tcPr>
            <w:tcW w:w="8756" w:type="dxa"/>
            <w:vAlign w:val="top"/>
          </w:tcPr>
          <w:p w14:paraId="68ECDC56">
            <w:pPr>
              <w:pStyle w:val="6"/>
              <w:spacing w:before="27" w:line="359" w:lineRule="auto"/>
              <w:ind w:left="51" w:right="44"/>
              <w:jc w:val="both"/>
              <w:rPr>
                <w:sz w:val="24"/>
                <w:szCs w:val="24"/>
              </w:rPr>
            </w:pPr>
            <w:r>
              <w:rPr>
                <w:sz w:val="24"/>
                <w:szCs w:val="24"/>
              </w:rPr>
              <w:t>草丛有更为复杂的群落结构、更高的生物生产力，同样其生态潜力也较高，对环境</w:t>
            </w:r>
            <w:r>
              <w:rPr>
                <w:spacing w:val="9"/>
                <w:sz w:val="24"/>
                <w:szCs w:val="24"/>
              </w:rPr>
              <w:t xml:space="preserve"> </w:t>
            </w:r>
            <w:r>
              <w:rPr>
                <w:spacing w:val="-1"/>
                <w:sz w:val="24"/>
                <w:szCs w:val="24"/>
              </w:rPr>
              <w:t>质量的影响也更大。农田及其他人工群落，具有结构简单、种类单一、靠人工施肥</w:t>
            </w:r>
            <w:r>
              <w:rPr>
                <w:spacing w:val="16"/>
                <w:sz w:val="24"/>
                <w:szCs w:val="24"/>
              </w:rPr>
              <w:t xml:space="preserve"> </w:t>
            </w:r>
            <w:r>
              <w:rPr>
                <w:sz w:val="24"/>
                <w:szCs w:val="24"/>
              </w:rPr>
              <w:t>和管理维持等特点，因此相对于自然植被来说，自身的</w:t>
            </w:r>
            <w:r>
              <w:rPr>
                <w:spacing w:val="-1"/>
                <w:sz w:val="24"/>
                <w:szCs w:val="24"/>
              </w:rPr>
              <w:t>稳定性与对外界干扰的抵抗</w:t>
            </w:r>
            <w:r>
              <w:rPr>
                <w:sz w:val="24"/>
                <w:szCs w:val="24"/>
              </w:rPr>
              <w:t xml:space="preserve"> </w:t>
            </w:r>
            <w:r>
              <w:rPr>
                <w:spacing w:val="14"/>
                <w:sz w:val="24"/>
                <w:szCs w:val="24"/>
              </w:rPr>
              <w:t>力都较弱。</w:t>
            </w:r>
          </w:p>
          <w:p w14:paraId="1BF62BB7">
            <w:pPr>
              <w:pStyle w:val="6"/>
              <w:spacing w:before="1" w:line="360" w:lineRule="auto"/>
              <w:ind w:left="121" w:firstLine="479"/>
              <w:rPr>
                <w:sz w:val="24"/>
                <w:szCs w:val="24"/>
              </w:rPr>
            </w:pPr>
            <w:r>
              <w:rPr>
                <w:spacing w:val="-1"/>
                <w:sz w:val="24"/>
                <w:szCs w:val="24"/>
              </w:rPr>
              <w:t>耕地景观与稀树灌木草丛景观成为景观的地域背景，是景观结构单元中的主导</w:t>
            </w:r>
            <w:r>
              <w:rPr>
                <w:spacing w:val="18"/>
                <w:sz w:val="24"/>
                <w:szCs w:val="24"/>
              </w:rPr>
              <w:t xml:space="preserve"> </w:t>
            </w:r>
            <w:r>
              <w:rPr>
                <w:sz w:val="24"/>
                <w:szCs w:val="24"/>
              </w:rPr>
              <w:t>类型，在很大程度上决定了评价区景观的性质，对景观的动态</w:t>
            </w:r>
            <w:r>
              <w:rPr>
                <w:spacing w:val="-1"/>
                <w:sz w:val="24"/>
                <w:szCs w:val="24"/>
              </w:rPr>
              <w:t>起着主导作用。</w:t>
            </w:r>
          </w:p>
          <w:p w14:paraId="5E6404D2">
            <w:pPr>
              <w:pStyle w:val="6"/>
              <w:spacing w:line="219" w:lineRule="auto"/>
              <w:ind w:left="114"/>
              <w:rPr>
                <w:sz w:val="24"/>
                <w:szCs w:val="24"/>
              </w:rPr>
            </w:pPr>
            <w:r>
              <w:rPr>
                <w:b/>
                <w:bCs/>
                <w:spacing w:val="-4"/>
                <w:sz w:val="24"/>
                <w:szCs w:val="24"/>
              </w:rPr>
              <w:t>4.7水土流失现状</w:t>
            </w:r>
          </w:p>
          <w:p w14:paraId="7C231FED">
            <w:pPr>
              <w:pStyle w:val="6"/>
              <w:spacing w:before="236" w:line="361" w:lineRule="auto"/>
              <w:ind w:left="121" w:right="208" w:firstLine="479"/>
              <w:rPr>
                <w:sz w:val="24"/>
                <w:szCs w:val="24"/>
              </w:rPr>
            </w:pPr>
            <w:r>
              <w:rPr>
                <w:sz w:val="24"/>
                <w:szCs w:val="24"/>
              </w:rPr>
              <w:t>根据云南江瀚工程咨询有限公司《栗树园村光伏发电项目水土保持方案报告</w:t>
            </w:r>
            <w:r>
              <w:rPr>
                <w:spacing w:val="15"/>
                <w:sz w:val="24"/>
                <w:szCs w:val="24"/>
              </w:rPr>
              <w:t xml:space="preserve"> </w:t>
            </w:r>
            <w:r>
              <w:rPr>
                <w:spacing w:val="4"/>
                <w:sz w:val="24"/>
                <w:szCs w:val="24"/>
              </w:rPr>
              <w:t>书》,据《云南省水土保持公报(2022</w:t>
            </w:r>
            <w:r>
              <w:rPr>
                <w:spacing w:val="3"/>
                <w:sz w:val="24"/>
                <w:szCs w:val="24"/>
              </w:rPr>
              <w:t>年)》,陆良县土地面积2096</w:t>
            </w:r>
            <w:r>
              <w:rPr>
                <w:sz w:val="24"/>
                <w:szCs w:val="24"/>
              </w:rPr>
              <w:t>km</w:t>
            </w:r>
            <w:r>
              <w:rPr>
                <w:spacing w:val="3"/>
                <w:sz w:val="24"/>
                <w:szCs w:val="24"/>
              </w:rPr>
              <w:t>²,微度</w:t>
            </w:r>
          </w:p>
          <w:p w14:paraId="2538E4A8">
            <w:pPr>
              <w:pStyle w:val="6"/>
              <w:spacing w:before="1" w:line="354" w:lineRule="auto"/>
              <w:ind w:left="111" w:right="164" w:firstLine="59"/>
              <w:rPr>
                <w:sz w:val="24"/>
                <w:szCs w:val="24"/>
              </w:rPr>
            </w:pPr>
            <w:r>
              <w:rPr>
                <w:spacing w:val="6"/>
                <w:sz w:val="24"/>
                <w:szCs w:val="24"/>
              </w:rPr>
              <w:t>流失面积1710.06</w:t>
            </w:r>
            <w:r>
              <w:rPr>
                <w:sz w:val="24"/>
                <w:szCs w:val="24"/>
              </w:rPr>
              <w:t>km</w:t>
            </w:r>
            <w:r>
              <w:rPr>
                <w:spacing w:val="6"/>
                <w:sz w:val="24"/>
                <w:szCs w:val="24"/>
              </w:rPr>
              <w:t>²、占土地总面积的81.59%,水土流失面积3</w:t>
            </w:r>
            <w:r>
              <w:rPr>
                <w:spacing w:val="5"/>
                <w:sz w:val="24"/>
                <w:szCs w:val="24"/>
              </w:rPr>
              <w:t>85.94</w:t>
            </w:r>
            <w:r>
              <w:rPr>
                <w:sz w:val="24"/>
                <w:szCs w:val="24"/>
              </w:rPr>
              <w:t>km</w:t>
            </w:r>
            <w:r>
              <w:rPr>
                <w:spacing w:val="5"/>
                <w:sz w:val="24"/>
                <w:szCs w:val="24"/>
              </w:rPr>
              <w:t>²、占土</w:t>
            </w:r>
            <w:r>
              <w:rPr>
                <w:sz w:val="24"/>
                <w:szCs w:val="24"/>
              </w:rPr>
              <w:t xml:space="preserve"> </w:t>
            </w:r>
            <w:r>
              <w:rPr>
                <w:spacing w:val="3"/>
                <w:sz w:val="24"/>
                <w:szCs w:val="24"/>
              </w:rPr>
              <w:t>地总面积的18.41%,其中轻度侵蚀190.48</w:t>
            </w:r>
            <w:r>
              <w:rPr>
                <w:sz w:val="24"/>
                <w:szCs w:val="24"/>
              </w:rPr>
              <w:t>km</w:t>
            </w:r>
            <w:r>
              <w:rPr>
                <w:spacing w:val="3"/>
                <w:sz w:val="24"/>
                <w:szCs w:val="24"/>
              </w:rPr>
              <w:t>²、占水土流失面积的49.36%,中度</w:t>
            </w:r>
          </w:p>
          <w:p w14:paraId="0E618E0F">
            <w:pPr>
              <w:pStyle w:val="6"/>
              <w:spacing w:before="19" w:line="354" w:lineRule="auto"/>
              <w:ind w:left="111" w:right="103"/>
              <w:rPr>
                <w:sz w:val="24"/>
                <w:szCs w:val="24"/>
              </w:rPr>
            </w:pPr>
            <w:r>
              <w:rPr>
                <w:spacing w:val="6"/>
                <w:sz w:val="24"/>
                <w:szCs w:val="24"/>
              </w:rPr>
              <w:t>流失面积92.70</w:t>
            </w:r>
            <w:r>
              <w:rPr>
                <w:sz w:val="24"/>
                <w:szCs w:val="24"/>
              </w:rPr>
              <w:t>km</w:t>
            </w:r>
            <w:r>
              <w:rPr>
                <w:spacing w:val="6"/>
                <w:sz w:val="24"/>
                <w:szCs w:val="24"/>
              </w:rPr>
              <w:t>²、占水土流失面积的24.02%,强烈侵蚀面积49.98</w:t>
            </w:r>
            <w:r>
              <w:rPr>
                <w:sz w:val="24"/>
                <w:szCs w:val="24"/>
              </w:rPr>
              <w:t>km</w:t>
            </w:r>
            <w:r>
              <w:rPr>
                <w:spacing w:val="6"/>
                <w:sz w:val="24"/>
                <w:szCs w:val="24"/>
              </w:rPr>
              <w:t>²、占</w:t>
            </w:r>
            <w:r>
              <w:rPr>
                <w:spacing w:val="5"/>
                <w:sz w:val="24"/>
                <w:szCs w:val="24"/>
              </w:rPr>
              <w:t>水土</w:t>
            </w:r>
            <w:r>
              <w:rPr>
                <w:sz w:val="24"/>
                <w:szCs w:val="24"/>
              </w:rPr>
              <w:t xml:space="preserve"> </w:t>
            </w:r>
            <w:r>
              <w:rPr>
                <w:spacing w:val="3"/>
                <w:sz w:val="24"/>
                <w:szCs w:val="24"/>
              </w:rPr>
              <w:t>流失面积的12.95%,极强烈流失面积43.28</w:t>
            </w:r>
            <w:r>
              <w:rPr>
                <w:sz w:val="24"/>
                <w:szCs w:val="24"/>
              </w:rPr>
              <w:t>km</w:t>
            </w:r>
            <w:r>
              <w:rPr>
                <w:spacing w:val="3"/>
                <w:sz w:val="24"/>
                <w:szCs w:val="24"/>
              </w:rPr>
              <w:t>²、占水土流失面积的11.21%,剧</w:t>
            </w:r>
          </w:p>
          <w:p w14:paraId="18C888B8">
            <w:pPr>
              <w:pStyle w:val="6"/>
              <w:spacing w:before="21" w:line="352" w:lineRule="auto"/>
              <w:ind w:left="111" w:right="1052" w:firstLine="10"/>
              <w:rPr>
                <w:sz w:val="24"/>
                <w:szCs w:val="24"/>
              </w:rPr>
            </w:pPr>
            <w:r>
              <w:rPr>
                <w:spacing w:val="4"/>
                <w:sz w:val="24"/>
                <w:szCs w:val="24"/>
              </w:rPr>
              <w:t>烈流失面积9.50</w:t>
            </w:r>
            <w:r>
              <w:rPr>
                <w:sz w:val="24"/>
                <w:szCs w:val="24"/>
              </w:rPr>
              <w:t>km</w:t>
            </w:r>
            <w:r>
              <w:rPr>
                <w:spacing w:val="4"/>
                <w:sz w:val="24"/>
                <w:szCs w:val="24"/>
              </w:rPr>
              <w:t>²、占水土流失面积的2.46%。项</w:t>
            </w:r>
            <w:r>
              <w:rPr>
                <w:spacing w:val="3"/>
                <w:sz w:val="24"/>
                <w:szCs w:val="24"/>
              </w:rPr>
              <w:t>目区土壤侵蚀模数为</w:t>
            </w:r>
            <w:r>
              <w:rPr>
                <w:sz w:val="24"/>
                <w:szCs w:val="24"/>
              </w:rPr>
              <w:t xml:space="preserve"> </w:t>
            </w:r>
            <w:r>
              <w:rPr>
                <w:spacing w:val="1"/>
                <w:sz w:val="24"/>
                <w:szCs w:val="24"/>
              </w:rPr>
              <w:t>783t/</w:t>
            </w:r>
            <w:r>
              <w:rPr>
                <w:sz w:val="24"/>
                <w:szCs w:val="24"/>
              </w:rPr>
              <w:t>km</w:t>
            </w:r>
            <w:r>
              <w:rPr>
                <w:spacing w:val="1"/>
                <w:sz w:val="24"/>
                <w:szCs w:val="24"/>
              </w:rPr>
              <w:t>²</w:t>
            </w:r>
            <w:r>
              <w:rPr>
                <w:spacing w:val="-21"/>
                <w:sz w:val="24"/>
                <w:szCs w:val="24"/>
              </w:rPr>
              <w:t xml:space="preserve"> </w:t>
            </w:r>
            <w:r>
              <w:rPr>
                <w:spacing w:val="1"/>
                <w:sz w:val="24"/>
                <w:szCs w:val="24"/>
              </w:rPr>
              <w:t>·a,项目水土流失现状强度</w:t>
            </w:r>
            <w:r>
              <w:rPr>
                <w:sz w:val="24"/>
                <w:szCs w:val="24"/>
              </w:rPr>
              <w:t>为轻度。</w:t>
            </w:r>
          </w:p>
          <w:p w14:paraId="45D18002">
            <w:pPr>
              <w:pStyle w:val="6"/>
              <w:spacing w:before="173" w:line="220" w:lineRule="auto"/>
              <w:ind w:left="94"/>
              <w:rPr>
                <w:sz w:val="24"/>
                <w:szCs w:val="24"/>
              </w:rPr>
            </w:pPr>
            <w:r>
              <w:rPr>
                <w:b/>
                <w:bCs/>
                <w:spacing w:val="-4"/>
                <w:sz w:val="24"/>
                <w:szCs w:val="24"/>
              </w:rPr>
              <w:t>4.8生态系统结构</w:t>
            </w:r>
          </w:p>
          <w:p w14:paraId="056D60B8">
            <w:pPr>
              <w:pStyle w:val="6"/>
              <w:spacing w:before="191" w:line="358" w:lineRule="auto"/>
              <w:ind w:left="51" w:right="30" w:firstLine="550"/>
              <w:rPr>
                <w:sz w:val="24"/>
                <w:szCs w:val="24"/>
              </w:rPr>
            </w:pPr>
            <w:r>
              <w:rPr>
                <w:spacing w:val="1"/>
                <w:sz w:val="24"/>
                <w:szCs w:val="24"/>
              </w:rPr>
              <w:t>评价区是一个由多种生态系统系统组成的复合系</w:t>
            </w:r>
            <w:r>
              <w:rPr>
                <w:sz w:val="24"/>
                <w:szCs w:val="24"/>
              </w:rPr>
              <w:t>统，其中包括针叶林生态系  统、灌丛生态系统、草丛生态系统、人工林生态系统、农田生态系统、居民点生态</w:t>
            </w:r>
            <w:r>
              <w:rPr>
                <w:spacing w:val="11"/>
                <w:sz w:val="24"/>
                <w:szCs w:val="24"/>
              </w:rPr>
              <w:t xml:space="preserve"> </w:t>
            </w:r>
            <w:r>
              <w:rPr>
                <w:sz w:val="24"/>
                <w:szCs w:val="24"/>
              </w:rPr>
              <w:t>系统、水域生态系统、道路生态系统等。各生态系统类型相互交织，按自有规律组</w:t>
            </w:r>
            <w:r>
              <w:rPr>
                <w:spacing w:val="7"/>
                <w:sz w:val="24"/>
                <w:szCs w:val="24"/>
              </w:rPr>
              <w:t xml:space="preserve"> </w:t>
            </w:r>
            <w:r>
              <w:rPr>
                <w:sz w:val="24"/>
                <w:szCs w:val="24"/>
              </w:rPr>
              <w:t>合形成整个评价区的统一生态系统。生态系统质量的优</w:t>
            </w:r>
            <w:r>
              <w:rPr>
                <w:spacing w:val="-1"/>
                <w:sz w:val="24"/>
                <w:szCs w:val="24"/>
              </w:rPr>
              <w:t>劣取决于生态系统要素的性</w:t>
            </w:r>
            <w:r>
              <w:rPr>
                <w:sz w:val="24"/>
                <w:szCs w:val="24"/>
              </w:rPr>
              <w:t xml:space="preserve"> 质与特征，以及生态系统的结构和时空格局的特征。在各种生态系统类别中，绿色</w:t>
            </w:r>
            <w:r>
              <w:rPr>
                <w:spacing w:val="8"/>
                <w:sz w:val="24"/>
                <w:szCs w:val="24"/>
              </w:rPr>
              <w:t xml:space="preserve"> </w:t>
            </w:r>
            <w:r>
              <w:rPr>
                <w:sz w:val="24"/>
                <w:szCs w:val="24"/>
              </w:rPr>
              <w:t>植被构成了陆地生态系统的主体，是环境质量好坏最明显的指示物。原生性植被往</w:t>
            </w:r>
            <w:r>
              <w:rPr>
                <w:spacing w:val="8"/>
                <w:sz w:val="24"/>
                <w:szCs w:val="24"/>
              </w:rPr>
              <w:t xml:space="preserve"> </w:t>
            </w:r>
            <w:r>
              <w:rPr>
                <w:spacing w:val="1"/>
                <w:sz w:val="24"/>
                <w:szCs w:val="24"/>
              </w:rPr>
              <w:t>往覆盖度高，群落结构完整，物种组成丰富多样，生</w:t>
            </w:r>
            <w:r>
              <w:rPr>
                <w:sz w:val="24"/>
                <w:szCs w:val="24"/>
              </w:rPr>
              <w:t>物生物量高，更新潜力大，因 此对环境质量的贡献也较大。一般来说，森林比灌丛有更为复杂的群落结构、更高</w:t>
            </w:r>
            <w:r>
              <w:rPr>
                <w:spacing w:val="8"/>
                <w:sz w:val="24"/>
                <w:szCs w:val="24"/>
              </w:rPr>
              <w:t xml:space="preserve"> </w:t>
            </w:r>
            <w:r>
              <w:rPr>
                <w:sz w:val="24"/>
                <w:szCs w:val="24"/>
              </w:rPr>
              <w:t>的生物生物量，同样其生态潜力也较高，对环境质量的影响也更大。农田、城镇及</w:t>
            </w:r>
            <w:r>
              <w:rPr>
                <w:spacing w:val="11"/>
                <w:sz w:val="24"/>
                <w:szCs w:val="24"/>
              </w:rPr>
              <w:t xml:space="preserve"> </w:t>
            </w:r>
            <w:r>
              <w:rPr>
                <w:sz w:val="24"/>
                <w:szCs w:val="24"/>
              </w:rPr>
              <w:t>其它人工配置群落，具有结构简单、种类单一、靠人工维持等特点，因此相对</w:t>
            </w:r>
            <w:r>
              <w:rPr>
                <w:spacing w:val="-1"/>
                <w:sz w:val="24"/>
                <w:szCs w:val="24"/>
              </w:rPr>
              <w:t>于自</w:t>
            </w:r>
            <w:r>
              <w:rPr>
                <w:sz w:val="24"/>
                <w:szCs w:val="24"/>
              </w:rPr>
              <w:t xml:space="preserve"> </w:t>
            </w:r>
            <w:r>
              <w:rPr>
                <w:spacing w:val="2"/>
                <w:sz w:val="24"/>
                <w:szCs w:val="24"/>
              </w:rPr>
              <w:t>然植被来说，自身的稳定性与对外界干扰的抵抗力</w:t>
            </w:r>
            <w:r>
              <w:rPr>
                <w:spacing w:val="1"/>
                <w:sz w:val="24"/>
                <w:szCs w:val="24"/>
              </w:rPr>
              <w:t>都较弱。</w:t>
            </w:r>
          </w:p>
          <w:p w14:paraId="06403054">
            <w:pPr>
              <w:pStyle w:val="6"/>
              <w:spacing w:before="2" w:line="217" w:lineRule="auto"/>
              <w:ind w:left="104"/>
              <w:rPr>
                <w:sz w:val="24"/>
                <w:szCs w:val="24"/>
              </w:rPr>
            </w:pPr>
            <w:r>
              <w:rPr>
                <w:b/>
                <w:bCs/>
                <w:spacing w:val="-4"/>
                <w:sz w:val="24"/>
                <w:szCs w:val="24"/>
              </w:rPr>
              <w:t>4.9评价区域生态环境问题</w:t>
            </w:r>
          </w:p>
          <w:p w14:paraId="7289CF92">
            <w:pPr>
              <w:pStyle w:val="6"/>
              <w:spacing w:before="190" w:line="218" w:lineRule="auto"/>
              <w:ind w:right="4"/>
              <w:jc w:val="right"/>
              <w:rPr>
                <w:sz w:val="24"/>
                <w:szCs w:val="24"/>
              </w:rPr>
            </w:pPr>
            <w:r>
              <w:rPr>
                <w:sz w:val="24"/>
                <w:szCs w:val="24"/>
              </w:rPr>
              <w:t>一、评价区域未发现原生地带性植被，天然植被均为次生植被，区域植被受人</w:t>
            </w:r>
          </w:p>
        </w:tc>
      </w:tr>
    </w:tbl>
    <w:p w14:paraId="232649A9">
      <w:pPr>
        <w:pStyle w:val="2"/>
      </w:pPr>
    </w:p>
    <w:p w14:paraId="13A41A50">
      <w:pPr>
        <w:sectPr>
          <w:footerReference r:id="rId106" w:type="default"/>
          <w:pgSz w:w="11910" w:h="16830"/>
          <w:pgMar w:top="400" w:right="1244" w:bottom="1245" w:left="1224" w:header="0" w:footer="1083" w:gutter="0"/>
          <w:cols w:space="720" w:num="1"/>
        </w:sectPr>
      </w:pPr>
    </w:p>
    <w:p w14:paraId="59D95FF3">
      <w:pPr>
        <w:spacing w:before="15"/>
      </w:pPr>
    </w:p>
    <w:p w14:paraId="5D151630">
      <w:pPr>
        <w:spacing w:before="15"/>
      </w:pPr>
    </w:p>
    <w:p w14:paraId="0CA4EF56">
      <w:pPr>
        <w:spacing w:before="15"/>
      </w:pPr>
    </w:p>
    <w:p w14:paraId="463C9233">
      <w:pPr>
        <w:spacing w:before="14"/>
      </w:pPr>
    </w:p>
    <w:tbl>
      <w:tblPr>
        <w:tblStyle w:val="5"/>
        <w:tblW w:w="945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8773"/>
      </w:tblGrid>
      <w:tr w14:paraId="5F8D4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69" w:hRule="atLeast"/>
        </w:trPr>
        <w:tc>
          <w:tcPr>
            <w:tcW w:w="684" w:type="dxa"/>
            <w:vAlign w:val="top"/>
          </w:tcPr>
          <w:p w14:paraId="4E9D1699">
            <w:pPr>
              <w:rPr>
                <w:rFonts w:ascii="Arial"/>
                <w:sz w:val="21"/>
              </w:rPr>
            </w:pPr>
          </w:p>
        </w:tc>
        <w:tc>
          <w:tcPr>
            <w:tcW w:w="8773" w:type="dxa"/>
            <w:vAlign w:val="top"/>
          </w:tcPr>
          <w:p w14:paraId="7BE2BA44">
            <w:pPr>
              <w:pStyle w:val="6"/>
              <w:spacing w:before="33" w:line="219" w:lineRule="auto"/>
              <w:ind w:left="90"/>
              <w:rPr>
                <w:sz w:val="24"/>
                <w:szCs w:val="24"/>
              </w:rPr>
            </w:pPr>
            <w:r>
              <w:rPr>
                <w:spacing w:val="-1"/>
                <w:sz w:val="24"/>
                <w:szCs w:val="24"/>
              </w:rPr>
              <w:t>为干扰较为明显。</w:t>
            </w:r>
          </w:p>
          <w:p w14:paraId="5A4C43BD">
            <w:pPr>
              <w:pStyle w:val="6"/>
              <w:spacing w:before="185" w:line="322" w:lineRule="auto"/>
              <w:ind w:left="110" w:firstLine="479"/>
              <w:rPr>
                <w:sz w:val="24"/>
                <w:szCs w:val="24"/>
              </w:rPr>
            </w:pPr>
            <w:r>
              <w:rPr>
                <w:spacing w:val="1"/>
                <w:sz w:val="24"/>
                <w:szCs w:val="24"/>
              </w:rPr>
              <w:t>二、现场调查表明，评价区列入环保部公布的第一批(2003)和第二批(2010)</w:t>
            </w:r>
            <w:r>
              <w:rPr>
                <w:spacing w:val="6"/>
                <w:sz w:val="24"/>
                <w:szCs w:val="24"/>
              </w:rPr>
              <w:t xml:space="preserve">  </w:t>
            </w:r>
            <w:r>
              <w:rPr>
                <w:spacing w:val="1"/>
                <w:sz w:val="24"/>
                <w:szCs w:val="24"/>
              </w:rPr>
              <w:t>外来入侵物种名单有白花鬼针草、紫茎泽兰、红花</w:t>
            </w:r>
            <w:r>
              <w:rPr>
                <w:sz w:val="24"/>
                <w:szCs w:val="24"/>
              </w:rPr>
              <w:t>月见草、银荆、辣子草5种。在  评价区的数量均较多，特别是紫茎泽兰，在评价区云南松林、稀树灌木草丛中在草</w:t>
            </w:r>
            <w:r>
              <w:rPr>
                <w:spacing w:val="10"/>
                <w:sz w:val="24"/>
                <w:szCs w:val="24"/>
              </w:rPr>
              <w:t xml:space="preserve"> </w:t>
            </w:r>
            <w:r>
              <w:rPr>
                <w:spacing w:val="-1"/>
                <w:sz w:val="24"/>
                <w:szCs w:val="24"/>
              </w:rPr>
              <w:t>本层占据了优势地位。</w:t>
            </w:r>
          </w:p>
          <w:p w14:paraId="680A6CA9">
            <w:pPr>
              <w:pStyle w:val="6"/>
              <w:spacing w:before="184" w:line="290" w:lineRule="auto"/>
              <w:ind w:left="131" w:firstLine="479"/>
              <w:rPr>
                <w:sz w:val="24"/>
                <w:szCs w:val="24"/>
              </w:rPr>
            </w:pPr>
            <w:r>
              <w:rPr>
                <w:spacing w:val="-1"/>
                <w:sz w:val="24"/>
                <w:szCs w:val="24"/>
              </w:rPr>
              <w:t>三、评价区受人为干扰较为明显，野生动物生境多为破碎化生境，野生动物生</w:t>
            </w:r>
            <w:r>
              <w:rPr>
                <w:spacing w:val="16"/>
                <w:sz w:val="24"/>
                <w:szCs w:val="24"/>
              </w:rPr>
              <w:t xml:space="preserve"> </w:t>
            </w:r>
            <w:r>
              <w:rPr>
                <w:sz w:val="24"/>
                <w:szCs w:val="24"/>
              </w:rPr>
              <w:t>境异质化不高，且评价区呈狭窄条带状分布，野生动物的种</w:t>
            </w:r>
            <w:r>
              <w:rPr>
                <w:spacing w:val="-1"/>
                <w:sz w:val="24"/>
                <w:szCs w:val="24"/>
              </w:rPr>
              <w:t>类及数量均相对较少。</w:t>
            </w:r>
          </w:p>
          <w:p w14:paraId="4E86F803">
            <w:pPr>
              <w:pStyle w:val="6"/>
              <w:spacing w:before="213" w:line="287" w:lineRule="auto"/>
              <w:ind w:left="110" w:right="103" w:firstLine="499"/>
              <w:rPr>
                <w:sz w:val="24"/>
                <w:szCs w:val="24"/>
              </w:rPr>
            </w:pPr>
            <w:r>
              <w:rPr>
                <w:sz w:val="24"/>
                <w:szCs w:val="24"/>
              </w:rPr>
              <w:t>四、根据《云南省生态功能区划》,项目所在地是石漠化高中度敏感。根据现</w:t>
            </w:r>
            <w:r>
              <w:rPr>
                <w:spacing w:val="7"/>
                <w:sz w:val="24"/>
                <w:szCs w:val="24"/>
              </w:rPr>
              <w:t xml:space="preserve"> </w:t>
            </w:r>
            <w:r>
              <w:rPr>
                <w:sz w:val="24"/>
                <w:szCs w:val="24"/>
              </w:rPr>
              <w:t>场的调查，项目评价区内存在石漠化问题。</w:t>
            </w:r>
          </w:p>
          <w:p w14:paraId="2C0A3753">
            <w:pPr>
              <w:pStyle w:val="6"/>
              <w:spacing w:before="185" w:line="219" w:lineRule="auto"/>
              <w:ind w:left="104"/>
              <w:rPr>
                <w:sz w:val="24"/>
                <w:szCs w:val="24"/>
              </w:rPr>
            </w:pPr>
            <w:r>
              <w:rPr>
                <w:b/>
                <w:bCs/>
                <w:spacing w:val="-4"/>
                <w:sz w:val="24"/>
                <w:szCs w:val="24"/>
              </w:rPr>
              <w:t>5环境空气质量现状</w:t>
            </w:r>
          </w:p>
          <w:p w14:paraId="61C6CEED">
            <w:pPr>
              <w:pStyle w:val="6"/>
              <w:spacing w:before="183" w:line="219" w:lineRule="auto"/>
              <w:ind w:left="104"/>
              <w:rPr>
                <w:sz w:val="24"/>
                <w:szCs w:val="24"/>
              </w:rPr>
            </w:pPr>
            <w:r>
              <w:rPr>
                <w:b/>
                <w:bCs/>
                <w:spacing w:val="-4"/>
                <w:sz w:val="24"/>
                <w:szCs w:val="24"/>
              </w:rPr>
              <w:t>5.1基本污染物污染状况</w:t>
            </w:r>
          </w:p>
          <w:p w14:paraId="51B8B09E">
            <w:pPr>
              <w:pStyle w:val="6"/>
              <w:spacing w:before="188" w:line="220" w:lineRule="auto"/>
              <w:ind w:left="104"/>
              <w:rPr>
                <w:sz w:val="24"/>
                <w:szCs w:val="24"/>
              </w:rPr>
            </w:pPr>
            <w:r>
              <w:rPr>
                <w:b/>
                <w:bCs/>
                <w:spacing w:val="-2"/>
                <w:sz w:val="24"/>
                <w:szCs w:val="24"/>
              </w:rPr>
              <w:t>5.1.1陆良县达标区判定</w:t>
            </w:r>
          </w:p>
          <w:p w14:paraId="1274A55A">
            <w:pPr>
              <w:pStyle w:val="6"/>
              <w:spacing w:before="175" w:line="362" w:lineRule="auto"/>
              <w:ind w:left="120" w:right="429" w:firstLine="479"/>
              <w:rPr>
                <w:sz w:val="24"/>
                <w:szCs w:val="24"/>
              </w:rPr>
            </w:pPr>
            <w:r>
              <w:rPr>
                <w:spacing w:val="1"/>
                <w:sz w:val="24"/>
                <w:szCs w:val="24"/>
              </w:rPr>
              <w:t>根据《建设项目环境影响评价报告表编制技术指南(污染影响类)》(试行)</w:t>
            </w:r>
            <w:r>
              <w:rPr>
                <w:spacing w:val="17"/>
                <w:sz w:val="24"/>
                <w:szCs w:val="24"/>
              </w:rPr>
              <w:t xml:space="preserve"> </w:t>
            </w:r>
            <w:r>
              <w:rPr>
                <w:sz w:val="24"/>
                <w:szCs w:val="24"/>
              </w:rPr>
              <w:t>区域大气环境质量现状编制要求：</w:t>
            </w:r>
          </w:p>
          <w:p w14:paraId="66087973">
            <w:pPr>
              <w:pStyle w:val="6"/>
              <w:spacing w:before="4" w:line="357" w:lineRule="auto"/>
              <w:ind w:left="120" w:firstLine="489"/>
              <w:rPr>
                <w:sz w:val="24"/>
                <w:szCs w:val="24"/>
              </w:rPr>
            </w:pPr>
            <w:r>
              <w:rPr>
                <w:sz w:val="24"/>
                <w:szCs w:val="24"/>
              </w:rPr>
              <w:t>常规污染物引用与建设项目距离近的有效数据，包括近3年的规划环境影</w:t>
            </w:r>
            <w:r>
              <w:rPr>
                <w:spacing w:val="-1"/>
                <w:sz w:val="24"/>
                <w:szCs w:val="24"/>
              </w:rPr>
              <w:t>响评</w:t>
            </w:r>
            <w:r>
              <w:rPr>
                <w:sz w:val="24"/>
                <w:szCs w:val="24"/>
              </w:rPr>
              <w:t xml:space="preserve">  价的监测数据，国家、地方环境空气质量监测网数据或生态环境主管部门公开发布</w:t>
            </w:r>
            <w:r>
              <w:rPr>
                <w:spacing w:val="1"/>
                <w:sz w:val="24"/>
                <w:szCs w:val="24"/>
              </w:rPr>
              <w:t xml:space="preserve"> </w:t>
            </w:r>
            <w:r>
              <w:rPr>
                <w:sz w:val="24"/>
                <w:szCs w:val="24"/>
              </w:rPr>
              <w:t>的质量数据等。排放国家、地方环境空气质量标准中有标准</w:t>
            </w:r>
            <w:r>
              <w:rPr>
                <w:spacing w:val="-1"/>
                <w:sz w:val="24"/>
                <w:szCs w:val="24"/>
              </w:rPr>
              <w:t>限值要求的特征污染物</w:t>
            </w:r>
            <w:r>
              <w:rPr>
                <w:sz w:val="24"/>
                <w:szCs w:val="24"/>
              </w:rPr>
              <w:t xml:space="preserve"> 时，引用建设项目周边5千米范围内近3年的现有监测数据，无相关数据的选择当</w:t>
            </w:r>
          </w:p>
          <w:p w14:paraId="626F994D">
            <w:pPr>
              <w:pStyle w:val="6"/>
              <w:spacing w:line="219" w:lineRule="auto"/>
              <w:ind w:left="120"/>
              <w:rPr>
                <w:sz w:val="24"/>
                <w:szCs w:val="24"/>
              </w:rPr>
            </w:pPr>
            <w:r>
              <w:rPr>
                <w:sz w:val="24"/>
                <w:szCs w:val="24"/>
              </w:rPr>
              <w:t>季主导风向下风向1个点位补充不少于3天的监测数据。</w:t>
            </w:r>
          </w:p>
          <w:p w14:paraId="02707C00">
            <w:pPr>
              <w:pStyle w:val="6"/>
              <w:spacing w:before="185" w:line="352" w:lineRule="auto"/>
              <w:ind w:left="240" w:right="250" w:firstLine="370"/>
              <w:rPr>
                <w:sz w:val="24"/>
                <w:szCs w:val="24"/>
              </w:rPr>
            </w:pPr>
            <w:r>
              <w:rPr>
                <w:spacing w:val="-1"/>
                <w:sz w:val="24"/>
                <w:szCs w:val="24"/>
              </w:rPr>
              <w:t>根据云南省生态环境厅驻曲靖市生态环境监测站的《曲靖市环境质量年报》</w:t>
            </w:r>
            <w:r>
              <w:rPr>
                <w:spacing w:val="13"/>
                <w:sz w:val="24"/>
                <w:szCs w:val="24"/>
              </w:rPr>
              <w:t xml:space="preserve"> </w:t>
            </w:r>
            <w:r>
              <w:rPr>
                <w:sz w:val="24"/>
                <w:szCs w:val="24"/>
              </w:rPr>
              <w:t>(2023年),2023年曲靖市中心城区环境空气质量自动监测有效天数365天，其</w:t>
            </w:r>
          </w:p>
          <w:p w14:paraId="530BB985">
            <w:pPr>
              <w:pStyle w:val="6"/>
              <w:spacing w:before="12" w:line="216" w:lineRule="auto"/>
              <w:ind w:left="131"/>
              <w:rPr>
                <w:sz w:val="24"/>
                <w:szCs w:val="24"/>
              </w:rPr>
            </w:pPr>
            <w:r>
              <w:rPr>
                <w:sz w:val="24"/>
                <w:szCs w:val="24"/>
              </w:rPr>
              <w:t>中优181天、良174天、轻度污染10天，环境空气质量优良率97.3%,综合指数</w:t>
            </w:r>
          </w:p>
          <w:p w14:paraId="184EB3FB">
            <w:pPr>
              <w:pStyle w:val="6"/>
              <w:spacing w:before="197" w:line="362" w:lineRule="auto"/>
              <w:ind w:left="120" w:right="1" w:hanging="10"/>
              <w:rPr>
                <w:sz w:val="24"/>
                <w:szCs w:val="24"/>
              </w:rPr>
            </w:pPr>
            <w:r>
              <w:rPr>
                <w:sz w:val="24"/>
                <w:szCs w:val="24"/>
              </w:rPr>
              <w:t>2.70,首要污染物天数O3-8n165天，PM2.516天，PM1o11天，O3-8h、PM2.5天，上年</w:t>
            </w:r>
            <w:r>
              <w:rPr>
                <w:spacing w:val="9"/>
                <w:sz w:val="24"/>
                <w:szCs w:val="24"/>
              </w:rPr>
              <w:t xml:space="preserve"> </w:t>
            </w:r>
            <w:r>
              <w:rPr>
                <w:spacing w:val="1"/>
                <w:sz w:val="24"/>
                <w:szCs w:val="24"/>
              </w:rPr>
              <w:t>同期有效监测天数365天，其中优200天、良159天</w:t>
            </w:r>
            <w:r>
              <w:rPr>
                <w:sz w:val="24"/>
                <w:szCs w:val="24"/>
              </w:rPr>
              <w:t>、轻度污染6天，环境空气质</w:t>
            </w:r>
          </w:p>
          <w:p w14:paraId="481DA20B">
            <w:pPr>
              <w:pStyle w:val="6"/>
              <w:spacing w:before="2" w:line="357" w:lineRule="auto"/>
              <w:ind w:left="110" w:right="356"/>
              <w:rPr>
                <w:sz w:val="24"/>
                <w:szCs w:val="24"/>
              </w:rPr>
            </w:pPr>
            <w:r>
              <w:rPr>
                <w:sz w:val="24"/>
                <w:szCs w:val="24"/>
              </w:rPr>
              <w:t>量优良率98.4%,综合指数2.67,首要污染物天数PM105天，PM2.515天，O3-8h145</w:t>
            </w:r>
            <w:r>
              <w:rPr>
                <w:spacing w:val="14"/>
                <w:sz w:val="24"/>
                <w:szCs w:val="24"/>
              </w:rPr>
              <w:t xml:space="preserve"> </w:t>
            </w:r>
            <w:r>
              <w:rPr>
                <w:sz w:val="24"/>
                <w:szCs w:val="24"/>
              </w:rPr>
              <w:t>天。曲靖市2023年六项污染物年平均浓度稳定达到《环境空气质量标准》</w:t>
            </w:r>
          </w:p>
          <w:p w14:paraId="5D9242DF">
            <w:pPr>
              <w:pStyle w:val="6"/>
              <w:spacing w:before="13" w:line="354" w:lineRule="auto"/>
              <w:ind w:left="100" w:right="232" w:firstLine="139"/>
              <w:rPr>
                <w:sz w:val="24"/>
                <w:szCs w:val="24"/>
              </w:rPr>
            </w:pPr>
            <w:r>
              <w:rPr>
                <w:sz w:val="24"/>
                <w:szCs w:val="24"/>
              </w:rPr>
              <w:t>(GB3095-2012)二类区标准浓度限值要求。由此判定曲靖市为环境空气质量达标</w:t>
            </w:r>
            <w:r>
              <w:rPr>
                <w:spacing w:val="8"/>
                <w:sz w:val="24"/>
                <w:szCs w:val="24"/>
              </w:rPr>
              <w:t xml:space="preserve"> </w:t>
            </w:r>
            <w:r>
              <w:rPr>
                <w:spacing w:val="-14"/>
                <w:sz w:val="24"/>
                <w:szCs w:val="24"/>
              </w:rPr>
              <w:t>区</w:t>
            </w:r>
            <w:r>
              <w:rPr>
                <w:spacing w:val="-59"/>
                <w:sz w:val="24"/>
                <w:szCs w:val="24"/>
              </w:rPr>
              <w:t xml:space="preserve"> </w:t>
            </w:r>
            <w:r>
              <w:rPr>
                <w:spacing w:val="-14"/>
                <w:sz w:val="24"/>
                <w:szCs w:val="24"/>
              </w:rPr>
              <w:t>。</w:t>
            </w:r>
          </w:p>
          <w:p w14:paraId="709682A3">
            <w:pPr>
              <w:pStyle w:val="6"/>
              <w:spacing w:line="218" w:lineRule="auto"/>
              <w:ind w:left="480"/>
              <w:rPr>
                <w:sz w:val="24"/>
                <w:szCs w:val="24"/>
              </w:rPr>
            </w:pPr>
            <w:r>
              <w:rPr>
                <w:sz w:val="24"/>
                <w:szCs w:val="24"/>
              </w:rPr>
              <w:t>根据陆良县人民政府信息公开资料，2023年陆良县中</w:t>
            </w:r>
            <w:r>
              <w:rPr>
                <w:spacing w:val="-1"/>
                <w:sz w:val="24"/>
                <w:szCs w:val="24"/>
              </w:rPr>
              <w:t>心城区环境空气质量综合</w:t>
            </w:r>
          </w:p>
        </w:tc>
      </w:tr>
    </w:tbl>
    <w:p w14:paraId="368C1A09">
      <w:pPr>
        <w:pStyle w:val="2"/>
      </w:pPr>
    </w:p>
    <w:p w14:paraId="09205472">
      <w:pPr>
        <w:sectPr>
          <w:footerReference r:id="rId107" w:type="default"/>
          <w:pgSz w:w="11910" w:h="16830"/>
          <w:pgMar w:top="400" w:right="1237" w:bottom="1245" w:left="1205" w:header="0" w:footer="1083" w:gutter="0"/>
          <w:cols w:space="720" w:num="1"/>
        </w:sectPr>
      </w:pPr>
    </w:p>
    <w:p w14:paraId="6426E9FC">
      <w:pPr>
        <w:spacing w:before="15"/>
      </w:pPr>
    </w:p>
    <w:p w14:paraId="25472F52">
      <w:pPr>
        <w:spacing w:before="15"/>
      </w:pPr>
    </w:p>
    <w:p w14:paraId="5E32A7AB">
      <w:pPr>
        <w:spacing w:before="15"/>
      </w:pPr>
    </w:p>
    <w:p w14:paraId="345B1F17">
      <w:pPr>
        <w:spacing w:before="14"/>
      </w:pPr>
    </w:p>
    <w:tbl>
      <w:tblPr>
        <w:tblStyle w:val="5"/>
        <w:tblW w:w="92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029"/>
        <w:gridCol w:w="1149"/>
        <w:gridCol w:w="1478"/>
        <w:gridCol w:w="1039"/>
        <w:gridCol w:w="1148"/>
        <w:gridCol w:w="1019"/>
        <w:gridCol w:w="959"/>
        <w:gridCol w:w="765"/>
      </w:tblGrid>
      <w:tr w14:paraId="4C241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6" w:hRule="atLeast"/>
        </w:trPr>
        <w:tc>
          <w:tcPr>
            <w:tcW w:w="704" w:type="dxa"/>
            <w:vMerge w:val="restart"/>
            <w:tcBorders>
              <w:bottom w:val="nil"/>
            </w:tcBorders>
            <w:vAlign w:val="top"/>
          </w:tcPr>
          <w:p w14:paraId="6341346E">
            <w:pPr>
              <w:rPr>
                <w:rFonts w:ascii="Arial"/>
                <w:sz w:val="21"/>
              </w:rPr>
            </w:pPr>
          </w:p>
        </w:tc>
        <w:tc>
          <w:tcPr>
            <w:tcW w:w="8586" w:type="dxa"/>
            <w:gridSpan w:val="8"/>
            <w:vAlign w:val="top"/>
          </w:tcPr>
          <w:p w14:paraId="68C767FB">
            <w:pPr>
              <w:pStyle w:val="6"/>
              <w:spacing w:before="20" w:line="363" w:lineRule="auto"/>
              <w:ind w:left="31" w:right="272" w:hanging="20"/>
              <w:rPr>
                <w:sz w:val="24"/>
                <w:szCs w:val="24"/>
              </w:rPr>
            </w:pPr>
            <w:r>
              <w:rPr>
                <w:sz w:val="24"/>
                <w:szCs w:val="24"/>
              </w:rPr>
              <w:t>指数3.33,有效监测天数354天，其中环境空气质量为优良的天数343天，轻度污</w:t>
            </w:r>
            <w:r>
              <w:rPr>
                <w:spacing w:val="10"/>
                <w:sz w:val="24"/>
                <w:szCs w:val="24"/>
              </w:rPr>
              <w:t xml:space="preserve"> </w:t>
            </w:r>
            <w:r>
              <w:rPr>
                <w:sz w:val="24"/>
                <w:szCs w:val="24"/>
              </w:rPr>
              <w:t>染天数11天(污染因子为臭氧日最大8小时)。首要污染物可吸入颗粒物14天，</w:t>
            </w:r>
          </w:p>
          <w:p w14:paraId="6749ED1D">
            <w:pPr>
              <w:pStyle w:val="6"/>
              <w:spacing w:line="352" w:lineRule="auto"/>
              <w:ind w:left="11"/>
              <w:rPr>
                <w:sz w:val="24"/>
                <w:szCs w:val="24"/>
              </w:rPr>
            </w:pPr>
            <w:r>
              <w:rPr>
                <w:spacing w:val="-5"/>
                <w:sz w:val="24"/>
                <w:szCs w:val="24"/>
              </w:rPr>
              <w:t>细颗粒物(PM</w:t>
            </w:r>
            <w:r>
              <w:rPr>
                <w:rFonts w:ascii="Calibri" w:hAnsi="Calibri" w:eastAsia="Calibri" w:cs="Calibri"/>
                <w:spacing w:val="-5"/>
                <w:sz w:val="24"/>
                <w:szCs w:val="24"/>
              </w:rPr>
              <w:t>₂</w:t>
            </w:r>
            <w:r>
              <w:rPr>
                <w:spacing w:val="-5"/>
                <w:sz w:val="24"/>
                <w:szCs w:val="24"/>
              </w:rPr>
              <w:t>.5)12天，臭氧日最大8小时(O</w:t>
            </w:r>
            <w:r>
              <w:rPr>
                <w:rFonts w:ascii="Calibri" w:hAnsi="Calibri" w:eastAsia="Calibri" w:cs="Calibri"/>
                <w:spacing w:val="-5"/>
                <w:sz w:val="24"/>
                <w:szCs w:val="24"/>
              </w:rPr>
              <w:t>₃</w:t>
            </w:r>
            <w:r>
              <w:rPr>
                <w:spacing w:val="-5"/>
                <w:sz w:val="24"/>
                <w:szCs w:val="24"/>
              </w:rPr>
              <w:t>-8h)97天，环境空气质量优良率93.6%。</w:t>
            </w:r>
            <w:r>
              <w:rPr>
                <w:spacing w:val="8"/>
                <w:sz w:val="24"/>
                <w:szCs w:val="24"/>
              </w:rPr>
              <w:t xml:space="preserve"> </w:t>
            </w:r>
            <w:r>
              <w:rPr>
                <w:spacing w:val="-2"/>
                <w:sz w:val="24"/>
                <w:szCs w:val="24"/>
              </w:rPr>
              <w:t>去年同期环境空气质量综合指数3.14,优良率98</w:t>
            </w:r>
            <w:r>
              <w:rPr>
                <w:spacing w:val="-3"/>
                <w:sz w:val="24"/>
                <w:szCs w:val="24"/>
              </w:rPr>
              <w:t>.9%,环境空气质量综合指数上升</w:t>
            </w:r>
          </w:p>
          <w:p w14:paraId="05156993">
            <w:pPr>
              <w:pStyle w:val="6"/>
              <w:spacing w:before="13" w:line="363" w:lineRule="auto"/>
              <w:ind w:left="11" w:right="274"/>
              <w:rPr>
                <w:sz w:val="24"/>
                <w:szCs w:val="24"/>
              </w:rPr>
            </w:pPr>
            <w:r>
              <w:rPr>
                <w:spacing w:val="-3"/>
                <w:sz w:val="24"/>
                <w:szCs w:val="24"/>
              </w:rPr>
              <w:t>6.1个百分点，优良率下降5.3个百分点。1—6月中心城区污染物浓度情况：二氧</w:t>
            </w:r>
            <w:r>
              <w:rPr>
                <w:spacing w:val="6"/>
                <w:sz w:val="24"/>
                <w:szCs w:val="24"/>
              </w:rPr>
              <w:t xml:space="preserve"> </w:t>
            </w:r>
            <w:r>
              <w:rPr>
                <w:spacing w:val="8"/>
                <w:sz w:val="24"/>
                <w:szCs w:val="24"/>
              </w:rPr>
              <w:t>化硫(</w:t>
            </w:r>
            <w:r>
              <w:rPr>
                <w:sz w:val="24"/>
                <w:szCs w:val="24"/>
              </w:rPr>
              <w:t>SO</w:t>
            </w:r>
            <w:r>
              <w:rPr>
                <w:rFonts w:ascii="Calibri" w:hAnsi="Calibri" w:eastAsia="Calibri" w:cs="Calibri"/>
                <w:spacing w:val="8"/>
                <w:sz w:val="24"/>
                <w:szCs w:val="24"/>
              </w:rPr>
              <w:t>₂</w:t>
            </w:r>
            <w:r>
              <w:rPr>
                <w:spacing w:val="8"/>
                <w:sz w:val="24"/>
                <w:szCs w:val="24"/>
              </w:rPr>
              <w:t>)、二氧化氮(</w:t>
            </w:r>
            <w:r>
              <w:rPr>
                <w:sz w:val="24"/>
                <w:szCs w:val="24"/>
              </w:rPr>
              <w:t>NO</w:t>
            </w:r>
            <w:r>
              <w:rPr>
                <w:rFonts w:ascii="Calibri" w:hAnsi="Calibri" w:eastAsia="Calibri" w:cs="Calibri"/>
                <w:spacing w:val="8"/>
                <w:sz w:val="24"/>
                <w:szCs w:val="24"/>
              </w:rPr>
              <w:t>₂</w:t>
            </w:r>
            <w:r>
              <w:rPr>
                <w:spacing w:val="8"/>
                <w:sz w:val="24"/>
                <w:szCs w:val="24"/>
              </w:rPr>
              <w:t>)、可吸入颗粒物(</w:t>
            </w:r>
            <w:r>
              <w:rPr>
                <w:sz w:val="24"/>
                <w:szCs w:val="24"/>
              </w:rPr>
              <w:t>PM</w:t>
            </w:r>
            <w:r>
              <w:rPr>
                <w:spacing w:val="8"/>
                <w:sz w:val="24"/>
                <w:szCs w:val="24"/>
              </w:rPr>
              <w:t>10)、细颗粒物(</w:t>
            </w:r>
            <w:r>
              <w:rPr>
                <w:sz w:val="24"/>
                <w:szCs w:val="24"/>
              </w:rPr>
              <w:t>PM</w:t>
            </w:r>
            <w:r>
              <w:rPr>
                <w:spacing w:val="8"/>
                <w:sz w:val="24"/>
                <w:szCs w:val="24"/>
              </w:rPr>
              <w:t>2.5)平均</w:t>
            </w:r>
          </w:p>
          <w:p w14:paraId="407767AC">
            <w:pPr>
              <w:pStyle w:val="6"/>
              <w:spacing w:line="353" w:lineRule="auto"/>
              <w:ind w:left="30" w:hanging="19"/>
              <w:rPr>
                <w:sz w:val="24"/>
                <w:szCs w:val="24"/>
              </w:rPr>
            </w:pPr>
            <w:r>
              <w:rPr>
                <w:spacing w:val="1"/>
                <w:sz w:val="24"/>
                <w:szCs w:val="24"/>
              </w:rPr>
              <w:t>浓度分别为10μg/m³、14μg/m³、52μg/m³、29μg/m³,一氧化碳(</w:t>
            </w:r>
            <w:r>
              <w:rPr>
                <w:sz w:val="24"/>
                <w:szCs w:val="24"/>
              </w:rPr>
              <w:t>CO</w:t>
            </w:r>
            <w:r>
              <w:rPr>
                <w:spacing w:val="1"/>
                <w:sz w:val="24"/>
                <w:szCs w:val="24"/>
              </w:rPr>
              <w:t>)</w:t>
            </w:r>
            <w:r>
              <w:rPr>
                <w:sz w:val="24"/>
                <w:szCs w:val="24"/>
              </w:rPr>
              <w:t>24小时平均 浓度第95百分位数为1.1mg/m3、臭氧日最大8小时平均浓度第90百分位数为</w:t>
            </w:r>
          </w:p>
          <w:p w14:paraId="0240D421">
            <w:pPr>
              <w:pStyle w:val="6"/>
              <w:spacing w:before="11" w:line="214" w:lineRule="auto"/>
              <w:jc w:val="right"/>
              <w:rPr>
                <w:sz w:val="24"/>
                <w:szCs w:val="24"/>
              </w:rPr>
            </w:pPr>
            <w:r>
              <w:rPr>
                <w:spacing w:val="-5"/>
                <w:sz w:val="24"/>
                <w:szCs w:val="24"/>
              </w:rPr>
              <w:t>154μg/m³。与2022年1-6月同期相比，细颗粒物(PM2.5)、二氧化硫浓度均值下降，</w:t>
            </w:r>
          </w:p>
          <w:p w14:paraId="5C5E4CA5">
            <w:pPr>
              <w:pStyle w:val="6"/>
              <w:spacing w:before="190" w:line="358" w:lineRule="auto"/>
              <w:ind w:left="11" w:right="138" w:firstLine="129"/>
              <w:rPr>
                <w:sz w:val="24"/>
                <w:szCs w:val="24"/>
              </w:rPr>
            </w:pPr>
            <w:r>
              <w:rPr>
                <w:sz w:val="24"/>
                <w:szCs w:val="24"/>
              </w:rPr>
              <w:t>分别下降了3.3、9.1百分点；可吸入颗粒物、臭氧日最大8小时平均浓度第90百</w:t>
            </w:r>
            <w:r>
              <w:rPr>
                <w:spacing w:val="15"/>
                <w:sz w:val="24"/>
                <w:szCs w:val="24"/>
              </w:rPr>
              <w:t xml:space="preserve"> </w:t>
            </w:r>
            <w:r>
              <w:rPr>
                <w:sz w:val="24"/>
                <w:szCs w:val="24"/>
              </w:rPr>
              <w:t>分位数浓度上升，分别上升了6.1、25.2个百分点；二氧化氮、一氧化碳(CO)24</w:t>
            </w:r>
            <w:r>
              <w:rPr>
                <w:spacing w:val="3"/>
                <w:sz w:val="24"/>
                <w:szCs w:val="24"/>
              </w:rPr>
              <w:t xml:space="preserve">  </w:t>
            </w:r>
            <w:r>
              <w:rPr>
                <w:sz w:val="24"/>
                <w:szCs w:val="24"/>
              </w:rPr>
              <w:t>小时平均浓度第95百分位数浓度均值持平。陆良县为环境空气质量较好。</w:t>
            </w:r>
          </w:p>
          <w:p w14:paraId="37D1750A">
            <w:pPr>
              <w:pStyle w:val="6"/>
              <w:spacing w:line="219" w:lineRule="auto"/>
              <w:ind w:left="34"/>
              <w:rPr>
                <w:sz w:val="24"/>
                <w:szCs w:val="24"/>
              </w:rPr>
            </w:pPr>
            <w:r>
              <w:rPr>
                <w:b/>
                <w:bCs/>
                <w:spacing w:val="-2"/>
                <w:sz w:val="24"/>
                <w:szCs w:val="24"/>
              </w:rPr>
              <w:t>5.2.2环境空气质量现状补充监测</w:t>
            </w:r>
          </w:p>
          <w:p w14:paraId="53C5FFF0">
            <w:pPr>
              <w:pStyle w:val="6"/>
              <w:spacing w:before="197" w:line="348" w:lineRule="auto"/>
              <w:ind w:left="21" w:firstLine="485"/>
              <w:rPr>
                <w:sz w:val="24"/>
                <w:szCs w:val="24"/>
              </w:rPr>
            </w:pPr>
            <w:r>
              <w:rPr>
                <w:spacing w:val="-1"/>
                <w:sz w:val="24"/>
                <w:szCs w:val="24"/>
              </w:rPr>
              <w:t>陆良栗树园村发电项目场址位于大莫古镇阿</w:t>
            </w:r>
            <w:r>
              <w:rPr>
                <w:spacing w:val="-2"/>
                <w:sz w:val="24"/>
                <w:szCs w:val="24"/>
              </w:rPr>
              <w:t>油铺村民委员会、大地村民委员</w:t>
            </w:r>
            <w:r>
              <w:rPr>
                <w:sz w:val="24"/>
                <w:szCs w:val="24"/>
              </w:rPr>
              <w:t xml:space="preserve">  </w:t>
            </w:r>
            <w:r>
              <w:rPr>
                <w:spacing w:val="-2"/>
                <w:sz w:val="24"/>
                <w:szCs w:val="24"/>
              </w:rPr>
              <w:t>会、大莫古村民委员会、发峨哨村民委员会、甘</w:t>
            </w:r>
            <w:r>
              <w:rPr>
                <w:spacing w:val="-3"/>
                <w:sz w:val="24"/>
                <w:szCs w:val="24"/>
              </w:rPr>
              <w:t>和村民委员会、新村村民委员会，</w:t>
            </w:r>
          </w:p>
          <w:p w14:paraId="40FC2B1F">
            <w:pPr>
              <w:pStyle w:val="6"/>
              <w:spacing w:before="27" w:line="357" w:lineRule="auto"/>
              <w:ind w:left="51" w:right="629" w:hanging="40"/>
              <w:rPr>
                <w:sz w:val="24"/>
                <w:szCs w:val="24"/>
              </w:rPr>
            </w:pPr>
            <w:r>
              <w:rPr>
                <w:sz w:val="24"/>
                <w:szCs w:val="24"/>
              </w:rPr>
              <w:t>2024年09月07日至09月09日，建设单位委托云南升环检测技术有限公司对项</w:t>
            </w:r>
            <w:r>
              <w:rPr>
                <w:spacing w:val="14"/>
                <w:sz w:val="24"/>
                <w:szCs w:val="24"/>
              </w:rPr>
              <w:t xml:space="preserve"> </w:t>
            </w:r>
            <w:r>
              <w:rPr>
                <w:spacing w:val="-1"/>
                <w:sz w:val="24"/>
                <w:szCs w:val="24"/>
              </w:rPr>
              <w:t>目所在区域颗粒物进行了监测，具体如下：</w:t>
            </w:r>
          </w:p>
          <w:p w14:paraId="73F3BDBD">
            <w:pPr>
              <w:pStyle w:val="6"/>
              <w:spacing w:before="23" w:line="221" w:lineRule="auto"/>
              <w:ind w:left="641"/>
              <w:rPr>
                <w:sz w:val="24"/>
                <w:szCs w:val="24"/>
              </w:rPr>
            </w:pPr>
            <w:r>
              <w:rPr>
                <w:spacing w:val="1"/>
                <w:sz w:val="24"/>
                <w:szCs w:val="24"/>
              </w:rPr>
              <w:t>(1)监测点位</w:t>
            </w:r>
          </w:p>
          <w:p w14:paraId="5ADE53CB">
            <w:pPr>
              <w:pStyle w:val="6"/>
              <w:spacing w:before="160" w:line="219" w:lineRule="auto"/>
              <w:ind w:left="521"/>
              <w:rPr>
                <w:sz w:val="24"/>
                <w:szCs w:val="24"/>
              </w:rPr>
            </w:pPr>
            <w:r>
              <w:rPr>
                <w:sz w:val="24"/>
                <w:szCs w:val="24"/>
              </w:rPr>
              <w:t>布设1个大气环境监测点位：大莫古集镇。</w:t>
            </w:r>
          </w:p>
          <w:p w14:paraId="5274B712">
            <w:pPr>
              <w:pStyle w:val="6"/>
              <w:spacing w:before="172" w:line="219" w:lineRule="auto"/>
              <w:ind w:left="2274"/>
              <w:rPr>
                <w:sz w:val="24"/>
                <w:szCs w:val="24"/>
              </w:rPr>
            </w:pPr>
            <w:r>
              <w:rPr>
                <w:b/>
                <w:bCs/>
                <w:spacing w:val="-4"/>
                <w:sz w:val="24"/>
                <w:szCs w:val="24"/>
              </w:rPr>
              <w:t>表3-16大气环境监测点位布设情况</w:t>
            </w:r>
          </w:p>
          <w:p w14:paraId="7FAF0213">
            <w:pPr>
              <w:spacing w:line="25" w:lineRule="exact"/>
            </w:pPr>
          </w:p>
          <w:tbl>
            <w:tblPr>
              <w:tblStyle w:val="5"/>
              <w:tblW w:w="7640" w:type="dxa"/>
              <w:tblInd w:w="5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2"/>
              <w:gridCol w:w="5288"/>
            </w:tblGrid>
            <w:tr w14:paraId="2070D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2352" w:type="dxa"/>
                  <w:vAlign w:val="top"/>
                </w:tcPr>
                <w:p w14:paraId="7B80F9E5">
                  <w:pPr>
                    <w:pStyle w:val="6"/>
                    <w:spacing w:before="205" w:line="221" w:lineRule="auto"/>
                    <w:ind w:left="754"/>
                  </w:pPr>
                  <w:r>
                    <w:rPr>
                      <w:spacing w:val="2"/>
                    </w:rPr>
                    <w:t>点位名称</w:t>
                  </w:r>
                </w:p>
              </w:tc>
              <w:tc>
                <w:tcPr>
                  <w:tcW w:w="5288" w:type="dxa"/>
                  <w:vAlign w:val="top"/>
                </w:tcPr>
                <w:p w14:paraId="0FB2CDE6">
                  <w:pPr>
                    <w:pStyle w:val="6"/>
                    <w:spacing w:before="202" w:line="219" w:lineRule="auto"/>
                    <w:ind w:left="1822"/>
                  </w:pPr>
                  <w:r>
                    <w:rPr>
                      <w:spacing w:val="2"/>
                    </w:rPr>
                    <w:t>与本项目位置关系</w:t>
                  </w:r>
                </w:p>
              </w:tc>
            </w:tr>
            <w:tr w14:paraId="33CA4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2352" w:type="dxa"/>
                  <w:tcBorders>
                    <w:right w:val="nil"/>
                  </w:tcBorders>
                  <w:vAlign w:val="top"/>
                </w:tcPr>
                <w:p w14:paraId="309321AD">
                  <w:pPr>
                    <w:pStyle w:val="6"/>
                    <w:spacing w:before="66" w:line="198" w:lineRule="auto"/>
                    <w:ind w:left="555"/>
                  </w:pPr>
                  <w:r>
                    <w:rPr>
                      <w:spacing w:val="1"/>
                    </w:rPr>
                    <w:t>1#大莫古集镇</w:t>
                  </w:r>
                </w:p>
              </w:tc>
              <w:tc>
                <w:tcPr>
                  <w:tcW w:w="5288" w:type="dxa"/>
                  <w:tcBorders>
                    <w:left w:val="nil"/>
                  </w:tcBorders>
                  <w:vAlign w:val="top"/>
                </w:tcPr>
                <w:p w14:paraId="7501FAFA">
                  <w:pPr>
                    <w:pStyle w:val="6"/>
                    <w:spacing w:before="62" w:line="201" w:lineRule="auto"/>
                    <w:ind w:left="207"/>
                  </w:pPr>
                  <w:r>
                    <w:rPr>
                      <w:spacing w:val="-1"/>
                    </w:rPr>
                    <w:t>位于8#光伏阵列东侧38m,11#光伏阵列东北侧328m</w:t>
                  </w:r>
                </w:p>
              </w:tc>
            </w:tr>
          </w:tbl>
          <w:p w14:paraId="52D5DDAE">
            <w:pPr>
              <w:pStyle w:val="6"/>
              <w:spacing w:before="26" w:line="220" w:lineRule="auto"/>
              <w:ind w:left="621"/>
              <w:rPr>
                <w:sz w:val="24"/>
                <w:szCs w:val="24"/>
              </w:rPr>
            </w:pPr>
            <w:r>
              <w:rPr>
                <w:spacing w:val="1"/>
                <w:sz w:val="24"/>
                <w:szCs w:val="24"/>
              </w:rPr>
              <w:t>(2)监测指标：颗粒物</w:t>
            </w:r>
          </w:p>
          <w:p w14:paraId="317AB505">
            <w:pPr>
              <w:pStyle w:val="6"/>
              <w:spacing w:before="191" w:line="219" w:lineRule="auto"/>
              <w:ind w:left="621"/>
              <w:rPr>
                <w:sz w:val="24"/>
                <w:szCs w:val="24"/>
              </w:rPr>
            </w:pPr>
            <w:r>
              <w:rPr>
                <w:sz w:val="24"/>
                <w:szCs w:val="24"/>
              </w:rPr>
              <w:t>(3)监测时段及频率：连续监测3天，每天采样24小</w:t>
            </w:r>
            <w:r>
              <w:rPr>
                <w:spacing w:val="-1"/>
                <w:sz w:val="24"/>
                <w:szCs w:val="24"/>
              </w:rPr>
              <w:t>时。</w:t>
            </w:r>
          </w:p>
          <w:p w14:paraId="54F12115">
            <w:pPr>
              <w:pStyle w:val="6"/>
              <w:spacing w:before="198" w:line="220" w:lineRule="auto"/>
              <w:ind w:left="631"/>
              <w:rPr>
                <w:sz w:val="24"/>
                <w:szCs w:val="24"/>
              </w:rPr>
            </w:pPr>
            <w:r>
              <w:rPr>
                <w:spacing w:val="2"/>
                <w:sz w:val="24"/>
                <w:szCs w:val="24"/>
              </w:rPr>
              <w:t>(4)监测结果</w:t>
            </w:r>
          </w:p>
          <w:p w14:paraId="67C6B453">
            <w:pPr>
              <w:pStyle w:val="6"/>
              <w:spacing w:before="182" w:line="219" w:lineRule="auto"/>
              <w:ind w:left="511"/>
              <w:rPr>
                <w:sz w:val="24"/>
                <w:szCs w:val="24"/>
              </w:rPr>
            </w:pPr>
            <w:r>
              <w:rPr>
                <w:sz w:val="24"/>
                <w:szCs w:val="24"/>
              </w:rPr>
              <w:t>本次环境空气质量补充监测结果见表3-26。</w:t>
            </w:r>
          </w:p>
          <w:p w14:paraId="13489E83">
            <w:pPr>
              <w:pStyle w:val="6"/>
              <w:spacing w:before="154" w:line="203" w:lineRule="auto"/>
              <w:ind w:left="2604"/>
              <w:rPr>
                <w:sz w:val="24"/>
                <w:szCs w:val="24"/>
              </w:rPr>
            </w:pPr>
            <w:r>
              <w:rPr>
                <w:b/>
                <w:bCs/>
                <w:spacing w:val="-3"/>
                <w:sz w:val="24"/>
                <w:szCs w:val="24"/>
              </w:rPr>
              <w:t>表3-17</w:t>
            </w:r>
            <w:r>
              <w:rPr>
                <w:spacing w:val="-3"/>
                <w:sz w:val="24"/>
                <w:szCs w:val="24"/>
              </w:rPr>
              <w:t xml:space="preserve">  </w:t>
            </w:r>
            <w:r>
              <w:rPr>
                <w:b/>
                <w:bCs/>
                <w:spacing w:val="-3"/>
                <w:sz w:val="24"/>
                <w:szCs w:val="24"/>
              </w:rPr>
              <w:t>颗粒物监测结果统计表</w:t>
            </w:r>
          </w:p>
        </w:tc>
      </w:tr>
      <w:tr w14:paraId="1C5AA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04" w:type="dxa"/>
            <w:vMerge w:val="continue"/>
            <w:tcBorders>
              <w:top w:val="nil"/>
              <w:bottom w:val="nil"/>
            </w:tcBorders>
            <w:vAlign w:val="top"/>
          </w:tcPr>
          <w:p w14:paraId="7F585EDF">
            <w:pPr>
              <w:rPr>
                <w:rFonts w:ascii="Arial"/>
                <w:sz w:val="21"/>
              </w:rPr>
            </w:pPr>
          </w:p>
        </w:tc>
        <w:tc>
          <w:tcPr>
            <w:tcW w:w="1029" w:type="dxa"/>
            <w:vAlign w:val="top"/>
          </w:tcPr>
          <w:p w14:paraId="6A8BBE1E">
            <w:pPr>
              <w:pStyle w:val="6"/>
              <w:spacing w:before="167" w:line="219" w:lineRule="auto"/>
              <w:ind w:left="21"/>
              <w:rPr>
                <w:sz w:val="24"/>
                <w:szCs w:val="24"/>
              </w:rPr>
            </w:pPr>
            <w:r>
              <w:rPr>
                <w:spacing w:val="-2"/>
                <w:sz w:val="24"/>
                <w:szCs w:val="24"/>
              </w:rPr>
              <w:t>采样点位</w:t>
            </w:r>
          </w:p>
        </w:tc>
        <w:tc>
          <w:tcPr>
            <w:tcW w:w="1149" w:type="dxa"/>
            <w:vAlign w:val="top"/>
          </w:tcPr>
          <w:p w14:paraId="33FE39B1">
            <w:pPr>
              <w:pStyle w:val="6"/>
              <w:spacing w:before="168" w:line="219" w:lineRule="auto"/>
              <w:ind w:left="82"/>
              <w:rPr>
                <w:sz w:val="24"/>
                <w:szCs w:val="24"/>
              </w:rPr>
            </w:pPr>
            <w:r>
              <w:rPr>
                <w:spacing w:val="11"/>
                <w:sz w:val="24"/>
                <w:szCs w:val="24"/>
              </w:rPr>
              <w:t>检测项目</w:t>
            </w:r>
          </w:p>
        </w:tc>
        <w:tc>
          <w:tcPr>
            <w:tcW w:w="1478" w:type="dxa"/>
            <w:vAlign w:val="top"/>
          </w:tcPr>
          <w:p w14:paraId="12E07D04">
            <w:pPr>
              <w:pStyle w:val="6"/>
              <w:spacing w:before="168" w:line="219" w:lineRule="auto"/>
              <w:jc w:val="right"/>
              <w:rPr>
                <w:sz w:val="24"/>
                <w:szCs w:val="24"/>
              </w:rPr>
            </w:pPr>
            <w:r>
              <w:rPr>
                <w:spacing w:val="-26"/>
                <w:sz w:val="24"/>
                <w:szCs w:val="24"/>
              </w:rPr>
              <w:t>检</w:t>
            </w:r>
            <w:r>
              <w:rPr>
                <w:spacing w:val="-25"/>
                <w:sz w:val="24"/>
                <w:szCs w:val="24"/>
              </w:rPr>
              <w:t>测日期/时</w:t>
            </w:r>
            <w:r>
              <w:rPr>
                <w:spacing w:val="-10"/>
                <w:sz w:val="24"/>
                <w:szCs w:val="24"/>
              </w:rPr>
              <w:t>段</w:t>
            </w:r>
          </w:p>
        </w:tc>
        <w:tc>
          <w:tcPr>
            <w:tcW w:w="1039" w:type="dxa"/>
            <w:vAlign w:val="top"/>
          </w:tcPr>
          <w:p w14:paraId="30B0F9CA">
            <w:pPr>
              <w:pStyle w:val="6"/>
              <w:spacing w:before="169" w:line="220" w:lineRule="auto"/>
              <w:ind w:left="275"/>
              <w:rPr>
                <w:sz w:val="24"/>
                <w:szCs w:val="24"/>
              </w:rPr>
            </w:pPr>
            <w:r>
              <w:rPr>
                <w:spacing w:val="4"/>
                <w:sz w:val="24"/>
                <w:szCs w:val="24"/>
              </w:rPr>
              <w:t>单位</w:t>
            </w:r>
          </w:p>
        </w:tc>
        <w:tc>
          <w:tcPr>
            <w:tcW w:w="1148" w:type="dxa"/>
            <w:vAlign w:val="top"/>
          </w:tcPr>
          <w:p w14:paraId="7C7E29F3">
            <w:pPr>
              <w:pStyle w:val="6"/>
              <w:spacing w:before="168" w:line="219" w:lineRule="auto"/>
              <w:ind w:left="86"/>
              <w:rPr>
                <w:sz w:val="24"/>
                <w:szCs w:val="24"/>
              </w:rPr>
            </w:pPr>
            <w:r>
              <w:rPr>
                <w:spacing w:val="3"/>
                <w:sz w:val="24"/>
                <w:szCs w:val="24"/>
              </w:rPr>
              <w:t>检测结果</w:t>
            </w:r>
          </w:p>
        </w:tc>
        <w:tc>
          <w:tcPr>
            <w:tcW w:w="1019" w:type="dxa"/>
            <w:vAlign w:val="top"/>
          </w:tcPr>
          <w:p w14:paraId="25C09566">
            <w:pPr>
              <w:pStyle w:val="6"/>
              <w:spacing w:before="168" w:line="219" w:lineRule="auto"/>
              <w:ind w:left="28"/>
              <w:rPr>
                <w:sz w:val="24"/>
                <w:szCs w:val="24"/>
              </w:rPr>
            </w:pPr>
            <w:r>
              <w:rPr>
                <w:spacing w:val="-2"/>
                <w:sz w:val="24"/>
                <w:szCs w:val="24"/>
              </w:rPr>
              <w:t>标准限值</w:t>
            </w:r>
          </w:p>
        </w:tc>
        <w:tc>
          <w:tcPr>
            <w:tcW w:w="959" w:type="dxa"/>
            <w:vAlign w:val="top"/>
          </w:tcPr>
          <w:p w14:paraId="069A1698">
            <w:pPr>
              <w:pStyle w:val="6"/>
              <w:spacing w:before="28" w:line="203" w:lineRule="auto"/>
              <w:ind w:left="119"/>
              <w:rPr>
                <w:sz w:val="24"/>
                <w:szCs w:val="24"/>
              </w:rPr>
            </w:pPr>
            <w:r>
              <w:rPr>
                <w:spacing w:val="3"/>
                <w:sz w:val="24"/>
                <w:szCs w:val="24"/>
              </w:rPr>
              <w:t>占标率</w:t>
            </w:r>
          </w:p>
          <w:p w14:paraId="058715D6">
            <w:pPr>
              <w:pStyle w:val="6"/>
              <w:spacing w:line="189" w:lineRule="auto"/>
              <w:ind w:left="299"/>
              <w:rPr>
                <w:sz w:val="24"/>
                <w:szCs w:val="24"/>
              </w:rPr>
            </w:pPr>
            <w:r>
              <w:rPr>
                <w:spacing w:val="-12"/>
                <w:sz w:val="24"/>
                <w:szCs w:val="24"/>
              </w:rPr>
              <w:t>(%)</w:t>
            </w:r>
          </w:p>
        </w:tc>
        <w:tc>
          <w:tcPr>
            <w:tcW w:w="765" w:type="dxa"/>
            <w:vAlign w:val="top"/>
          </w:tcPr>
          <w:p w14:paraId="662C1200">
            <w:pPr>
              <w:pStyle w:val="6"/>
              <w:spacing w:before="39" w:line="192" w:lineRule="auto"/>
              <w:ind w:left="20"/>
              <w:rPr>
                <w:sz w:val="24"/>
                <w:szCs w:val="24"/>
              </w:rPr>
            </w:pPr>
            <w:r>
              <w:rPr>
                <w:spacing w:val="-2"/>
                <w:sz w:val="24"/>
                <w:szCs w:val="24"/>
              </w:rPr>
              <w:t>达标情</w:t>
            </w:r>
          </w:p>
          <w:p w14:paraId="451F5BDD">
            <w:pPr>
              <w:pStyle w:val="6"/>
              <w:spacing w:before="1" w:line="191" w:lineRule="auto"/>
              <w:ind w:left="260"/>
              <w:rPr>
                <w:sz w:val="24"/>
                <w:szCs w:val="24"/>
              </w:rPr>
            </w:pPr>
            <w:r>
              <w:rPr>
                <w:sz w:val="24"/>
                <w:szCs w:val="24"/>
              </w:rPr>
              <w:t>况</w:t>
            </w:r>
          </w:p>
        </w:tc>
      </w:tr>
      <w:tr w14:paraId="21697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04" w:type="dxa"/>
            <w:vMerge w:val="continue"/>
            <w:tcBorders>
              <w:top w:val="nil"/>
              <w:bottom w:val="nil"/>
            </w:tcBorders>
            <w:vAlign w:val="top"/>
          </w:tcPr>
          <w:p w14:paraId="489DCDED">
            <w:pPr>
              <w:rPr>
                <w:rFonts w:ascii="Arial"/>
                <w:sz w:val="21"/>
              </w:rPr>
            </w:pPr>
          </w:p>
        </w:tc>
        <w:tc>
          <w:tcPr>
            <w:tcW w:w="1029" w:type="dxa"/>
            <w:vMerge w:val="restart"/>
            <w:tcBorders>
              <w:bottom w:val="nil"/>
            </w:tcBorders>
            <w:vAlign w:val="top"/>
          </w:tcPr>
          <w:p w14:paraId="5C7E9A21">
            <w:pPr>
              <w:pStyle w:val="6"/>
              <w:spacing w:before="150" w:line="213" w:lineRule="auto"/>
              <w:ind w:left="260" w:right="23" w:hanging="239"/>
              <w:rPr>
                <w:sz w:val="24"/>
                <w:szCs w:val="24"/>
              </w:rPr>
            </w:pPr>
            <w:r>
              <w:rPr>
                <w:spacing w:val="2"/>
                <w:sz w:val="24"/>
                <w:szCs w:val="24"/>
              </w:rPr>
              <w:t>1#大莫古</w:t>
            </w:r>
            <w:r>
              <w:rPr>
                <w:spacing w:val="3"/>
                <w:sz w:val="24"/>
                <w:szCs w:val="24"/>
              </w:rPr>
              <w:t xml:space="preserve"> </w:t>
            </w:r>
            <w:r>
              <w:rPr>
                <w:spacing w:val="-3"/>
                <w:sz w:val="24"/>
                <w:szCs w:val="24"/>
              </w:rPr>
              <w:t>集镇</w:t>
            </w:r>
          </w:p>
        </w:tc>
        <w:tc>
          <w:tcPr>
            <w:tcW w:w="1149" w:type="dxa"/>
            <w:vMerge w:val="restart"/>
            <w:tcBorders>
              <w:bottom w:val="nil"/>
            </w:tcBorders>
            <w:vAlign w:val="top"/>
          </w:tcPr>
          <w:p w14:paraId="2EEAD58D">
            <w:pPr>
              <w:pStyle w:val="6"/>
              <w:spacing w:before="151" w:line="207" w:lineRule="auto"/>
              <w:ind w:left="202"/>
              <w:rPr>
                <w:sz w:val="24"/>
                <w:szCs w:val="24"/>
              </w:rPr>
            </w:pPr>
            <w:r>
              <w:rPr>
                <w:spacing w:val="3"/>
                <w:sz w:val="24"/>
                <w:szCs w:val="24"/>
              </w:rPr>
              <w:t>总悬浮</w:t>
            </w:r>
          </w:p>
          <w:p w14:paraId="5E41D7B0">
            <w:pPr>
              <w:pStyle w:val="6"/>
              <w:spacing w:line="220" w:lineRule="auto"/>
              <w:ind w:left="202"/>
              <w:rPr>
                <w:sz w:val="24"/>
                <w:szCs w:val="24"/>
              </w:rPr>
            </w:pPr>
            <w:r>
              <w:rPr>
                <w:spacing w:val="4"/>
                <w:sz w:val="24"/>
                <w:szCs w:val="24"/>
              </w:rPr>
              <w:t>颗粒物</w:t>
            </w:r>
          </w:p>
        </w:tc>
        <w:tc>
          <w:tcPr>
            <w:tcW w:w="1478" w:type="dxa"/>
            <w:vAlign w:val="top"/>
          </w:tcPr>
          <w:p w14:paraId="0E155050">
            <w:pPr>
              <w:pStyle w:val="6"/>
              <w:spacing w:before="103" w:line="197" w:lineRule="auto"/>
              <w:ind w:left="93"/>
              <w:rPr>
                <w:sz w:val="24"/>
                <w:szCs w:val="24"/>
              </w:rPr>
            </w:pPr>
            <w:r>
              <w:rPr>
                <w:spacing w:val="-2"/>
                <w:sz w:val="24"/>
                <w:szCs w:val="24"/>
              </w:rPr>
              <w:t>2024.09.07</w:t>
            </w:r>
          </w:p>
        </w:tc>
        <w:tc>
          <w:tcPr>
            <w:tcW w:w="1039" w:type="dxa"/>
            <w:vAlign w:val="top"/>
          </w:tcPr>
          <w:p w14:paraId="6F0A6DEF">
            <w:pPr>
              <w:pStyle w:val="6"/>
              <w:spacing w:before="71" w:line="214" w:lineRule="auto"/>
              <w:ind w:left="95"/>
              <w:rPr>
                <w:sz w:val="24"/>
                <w:szCs w:val="24"/>
              </w:rPr>
            </w:pPr>
            <w:r>
              <w:rPr>
                <w:spacing w:val="-12"/>
                <w:sz w:val="24"/>
                <w:szCs w:val="24"/>
              </w:rPr>
              <w:t>μg/m³</w:t>
            </w:r>
          </w:p>
        </w:tc>
        <w:tc>
          <w:tcPr>
            <w:tcW w:w="1148" w:type="dxa"/>
            <w:vAlign w:val="top"/>
          </w:tcPr>
          <w:p w14:paraId="53A4C74D">
            <w:pPr>
              <w:pStyle w:val="6"/>
              <w:spacing w:before="103" w:line="197" w:lineRule="auto"/>
              <w:ind w:left="446"/>
              <w:rPr>
                <w:sz w:val="24"/>
                <w:szCs w:val="24"/>
              </w:rPr>
            </w:pPr>
            <w:r>
              <w:rPr>
                <w:spacing w:val="-4"/>
                <w:sz w:val="24"/>
                <w:szCs w:val="24"/>
              </w:rPr>
              <w:t>72</w:t>
            </w:r>
          </w:p>
        </w:tc>
        <w:tc>
          <w:tcPr>
            <w:tcW w:w="1019" w:type="dxa"/>
            <w:vAlign w:val="top"/>
          </w:tcPr>
          <w:p w14:paraId="14CEB6D1">
            <w:pPr>
              <w:pStyle w:val="6"/>
              <w:spacing w:before="103" w:line="197" w:lineRule="auto"/>
              <w:ind w:left="328"/>
              <w:rPr>
                <w:sz w:val="24"/>
                <w:szCs w:val="24"/>
              </w:rPr>
            </w:pPr>
            <w:r>
              <w:rPr>
                <w:spacing w:val="-4"/>
                <w:sz w:val="24"/>
                <w:szCs w:val="24"/>
              </w:rPr>
              <w:t>300</w:t>
            </w:r>
          </w:p>
        </w:tc>
        <w:tc>
          <w:tcPr>
            <w:tcW w:w="959" w:type="dxa"/>
            <w:vAlign w:val="top"/>
          </w:tcPr>
          <w:p w14:paraId="71211641">
            <w:pPr>
              <w:pStyle w:val="6"/>
              <w:spacing w:before="103" w:line="197" w:lineRule="auto"/>
              <w:ind w:left="359"/>
              <w:rPr>
                <w:sz w:val="24"/>
                <w:szCs w:val="24"/>
              </w:rPr>
            </w:pPr>
            <w:r>
              <w:rPr>
                <w:spacing w:val="-4"/>
                <w:sz w:val="24"/>
                <w:szCs w:val="24"/>
              </w:rPr>
              <w:t>24</w:t>
            </w:r>
          </w:p>
        </w:tc>
        <w:tc>
          <w:tcPr>
            <w:tcW w:w="765" w:type="dxa"/>
            <w:vAlign w:val="top"/>
          </w:tcPr>
          <w:p w14:paraId="5F2A857E">
            <w:pPr>
              <w:pStyle w:val="6"/>
              <w:spacing w:before="80" w:line="215" w:lineRule="auto"/>
              <w:ind w:left="140"/>
              <w:rPr>
                <w:sz w:val="24"/>
                <w:szCs w:val="24"/>
              </w:rPr>
            </w:pPr>
            <w:r>
              <w:rPr>
                <w:spacing w:val="-3"/>
                <w:sz w:val="24"/>
                <w:szCs w:val="24"/>
              </w:rPr>
              <w:t>达标</w:t>
            </w:r>
          </w:p>
        </w:tc>
      </w:tr>
      <w:tr w14:paraId="4089C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704" w:type="dxa"/>
            <w:vMerge w:val="continue"/>
            <w:tcBorders>
              <w:top w:val="nil"/>
            </w:tcBorders>
            <w:vAlign w:val="top"/>
          </w:tcPr>
          <w:p w14:paraId="5CEAE577">
            <w:pPr>
              <w:rPr>
                <w:rFonts w:ascii="Arial"/>
                <w:sz w:val="21"/>
              </w:rPr>
            </w:pPr>
          </w:p>
        </w:tc>
        <w:tc>
          <w:tcPr>
            <w:tcW w:w="1029" w:type="dxa"/>
            <w:vMerge w:val="continue"/>
            <w:tcBorders>
              <w:top w:val="nil"/>
            </w:tcBorders>
            <w:vAlign w:val="top"/>
          </w:tcPr>
          <w:p w14:paraId="13CAA65F">
            <w:pPr>
              <w:rPr>
                <w:rFonts w:ascii="Arial"/>
                <w:sz w:val="21"/>
              </w:rPr>
            </w:pPr>
          </w:p>
        </w:tc>
        <w:tc>
          <w:tcPr>
            <w:tcW w:w="1149" w:type="dxa"/>
            <w:vMerge w:val="continue"/>
            <w:tcBorders>
              <w:top w:val="nil"/>
            </w:tcBorders>
            <w:vAlign w:val="top"/>
          </w:tcPr>
          <w:p w14:paraId="52BC78BB">
            <w:pPr>
              <w:rPr>
                <w:rFonts w:ascii="Arial"/>
                <w:sz w:val="21"/>
              </w:rPr>
            </w:pPr>
          </w:p>
        </w:tc>
        <w:tc>
          <w:tcPr>
            <w:tcW w:w="1478" w:type="dxa"/>
            <w:vAlign w:val="top"/>
          </w:tcPr>
          <w:p w14:paraId="7CEE224D">
            <w:pPr>
              <w:pStyle w:val="6"/>
              <w:spacing w:before="103" w:line="200" w:lineRule="auto"/>
              <w:ind w:left="93"/>
              <w:rPr>
                <w:sz w:val="24"/>
                <w:szCs w:val="24"/>
              </w:rPr>
            </w:pPr>
            <w:r>
              <w:rPr>
                <w:spacing w:val="-2"/>
                <w:sz w:val="24"/>
                <w:szCs w:val="24"/>
              </w:rPr>
              <w:t>2024.09.08</w:t>
            </w:r>
          </w:p>
        </w:tc>
        <w:tc>
          <w:tcPr>
            <w:tcW w:w="1039" w:type="dxa"/>
            <w:vAlign w:val="top"/>
          </w:tcPr>
          <w:p w14:paraId="68BD5C97">
            <w:pPr>
              <w:pStyle w:val="6"/>
              <w:spacing w:before="71" w:line="214" w:lineRule="auto"/>
              <w:ind w:left="95"/>
              <w:rPr>
                <w:sz w:val="24"/>
                <w:szCs w:val="24"/>
              </w:rPr>
            </w:pPr>
            <w:r>
              <w:rPr>
                <w:spacing w:val="-12"/>
                <w:sz w:val="24"/>
                <w:szCs w:val="24"/>
              </w:rPr>
              <w:t>μg/m³</w:t>
            </w:r>
          </w:p>
        </w:tc>
        <w:tc>
          <w:tcPr>
            <w:tcW w:w="1148" w:type="dxa"/>
            <w:vAlign w:val="top"/>
          </w:tcPr>
          <w:p w14:paraId="6FC6508D">
            <w:pPr>
              <w:pStyle w:val="6"/>
              <w:spacing w:before="103" w:line="200" w:lineRule="auto"/>
              <w:ind w:left="446"/>
              <w:rPr>
                <w:sz w:val="24"/>
                <w:szCs w:val="24"/>
              </w:rPr>
            </w:pPr>
            <w:r>
              <w:rPr>
                <w:spacing w:val="-4"/>
                <w:sz w:val="24"/>
                <w:szCs w:val="24"/>
              </w:rPr>
              <w:t>76</w:t>
            </w:r>
          </w:p>
        </w:tc>
        <w:tc>
          <w:tcPr>
            <w:tcW w:w="1019" w:type="dxa"/>
            <w:vAlign w:val="top"/>
          </w:tcPr>
          <w:p w14:paraId="23024779">
            <w:pPr>
              <w:pStyle w:val="6"/>
              <w:spacing w:before="103" w:line="200" w:lineRule="auto"/>
              <w:ind w:left="328"/>
              <w:rPr>
                <w:sz w:val="24"/>
                <w:szCs w:val="24"/>
              </w:rPr>
            </w:pPr>
            <w:r>
              <w:rPr>
                <w:spacing w:val="-4"/>
                <w:sz w:val="24"/>
                <w:szCs w:val="24"/>
              </w:rPr>
              <w:t>300</w:t>
            </w:r>
          </w:p>
        </w:tc>
        <w:tc>
          <w:tcPr>
            <w:tcW w:w="959" w:type="dxa"/>
            <w:vAlign w:val="top"/>
          </w:tcPr>
          <w:p w14:paraId="195D2863">
            <w:pPr>
              <w:pStyle w:val="6"/>
              <w:spacing w:before="103" w:line="200" w:lineRule="auto"/>
              <w:ind w:left="179"/>
              <w:rPr>
                <w:sz w:val="24"/>
                <w:szCs w:val="24"/>
              </w:rPr>
            </w:pPr>
            <w:r>
              <w:rPr>
                <w:spacing w:val="-2"/>
                <w:sz w:val="24"/>
                <w:szCs w:val="24"/>
              </w:rPr>
              <w:t>25.33</w:t>
            </w:r>
          </w:p>
        </w:tc>
        <w:tc>
          <w:tcPr>
            <w:tcW w:w="765" w:type="dxa"/>
            <w:vAlign w:val="top"/>
          </w:tcPr>
          <w:p w14:paraId="3373D80E">
            <w:pPr>
              <w:pStyle w:val="6"/>
              <w:spacing w:before="80" w:line="218" w:lineRule="auto"/>
              <w:ind w:left="140"/>
              <w:rPr>
                <w:sz w:val="24"/>
                <w:szCs w:val="24"/>
              </w:rPr>
            </w:pPr>
            <w:r>
              <w:rPr>
                <w:spacing w:val="-3"/>
                <w:sz w:val="24"/>
                <w:szCs w:val="24"/>
              </w:rPr>
              <w:t>达标</w:t>
            </w:r>
          </w:p>
        </w:tc>
      </w:tr>
    </w:tbl>
    <w:p w14:paraId="7A7561BA">
      <w:pPr>
        <w:pStyle w:val="2"/>
      </w:pPr>
    </w:p>
    <w:p w14:paraId="020689D7">
      <w:pPr>
        <w:sectPr>
          <w:footerReference r:id="rId108" w:type="default"/>
          <w:pgSz w:w="11910" w:h="16830"/>
          <w:pgMar w:top="400" w:right="1394" w:bottom="1245" w:left="1214" w:header="0" w:footer="1083" w:gutter="0"/>
          <w:cols w:space="720" w:num="1"/>
        </w:sectPr>
      </w:pPr>
    </w:p>
    <w:p w14:paraId="17D34BED">
      <w:pPr>
        <w:spacing w:before="18"/>
      </w:pPr>
    </w:p>
    <w:p w14:paraId="44A2F27E">
      <w:pPr>
        <w:spacing w:before="17"/>
      </w:pPr>
    </w:p>
    <w:p w14:paraId="64378CEF">
      <w:pPr>
        <w:spacing w:before="17"/>
      </w:pPr>
    </w:p>
    <w:p w14:paraId="47E19587">
      <w:pPr>
        <w:spacing w:before="17"/>
      </w:pPr>
    </w:p>
    <w:tbl>
      <w:tblPr>
        <w:tblStyle w:val="5"/>
        <w:tblW w:w="93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049"/>
        <w:gridCol w:w="1119"/>
        <w:gridCol w:w="1498"/>
        <w:gridCol w:w="1059"/>
        <w:gridCol w:w="1139"/>
        <w:gridCol w:w="1009"/>
        <w:gridCol w:w="969"/>
        <w:gridCol w:w="774"/>
      </w:tblGrid>
      <w:tr w14:paraId="67963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704" w:type="dxa"/>
            <w:vMerge w:val="restart"/>
            <w:tcBorders>
              <w:bottom w:val="nil"/>
            </w:tcBorders>
            <w:vAlign w:val="top"/>
          </w:tcPr>
          <w:p w14:paraId="1EB681BF">
            <w:pPr>
              <w:rPr>
                <w:rFonts w:ascii="Arial"/>
                <w:sz w:val="21"/>
              </w:rPr>
            </w:pPr>
          </w:p>
        </w:tc>
        <w:tc>
          <w:tcPr>
            <w:tcW w:w="1049" w:type="dxa"/>
            <w:vAlign w:val="top"/>
          </w:tcPr>
          <w:p w14:paraId="6D4CC481">
            <w:pPr>
              <w:rPr>
                <w:rFonts w:ascii="Arial"/>
                <w:sz w:val="21"/>
              </w:rPr>
            </w:pPr>
          </w:p>
        </w:tc>
        <w:tc>
          <w:tcPr>
            <w:tcW w:w="1119" w:type="dxa"/>
            <w:vAlign w:val="top"/>
          </w:tcPr>
          <w:p w14:paraId="532C9308">
            <w:pPr>
              <w:rPr>
                <w:rFonts w:ascii="Arial"/>
                <w:sz w:val="21"/>
              </w:rPr>
            </w:pPr>
          </w:p>
        </w:tc>
        <w:tc>
          <w:tcPr>
            <w:tcW w:w="1498" w:type="dxa"/>
            <w:vAlign w:val="top"/>
          </w:tcPr>
          <w:p w14:paraId="3097D706">
            <w:pPr>
              <w:pStyle w:val="6"/>
              <w:spacing w:before="98" w:line="205" w:lineRule="auto"/>
              <w:jc w:val="right"/>
              <w:rPr>
                <w:sz w:val="24"/>
                <w:szCs w:val="24"/>
              </w:rPr>
            </w:pPr>
            <w:r>
              <w:rPr>
                <w:spacing w:val="-2"/>
                <w:sz w:val="24"/>
                <w:szCs w:val="24"/>
              </w:rPr>
              <w:t>2024.09.09</w:t>
            </w:r>
          </w:p>
        </w:tc>
        <w:tc>
          <w:tcPr>
            <w:tcW w:w="1059" w:type="dxa"/>
            <w:vAlign w:val="top"/>
          </w:tcPr>
          <w:p w14:paraId="1ADCE217">
            <w:pPr>
              <w:pStyle w:val="6"/>
              <w:spacing w:before="66" w:line="214" w:lineRule="auto"/>
              <w:ind w:left="245"/>
              <w:rPr>
                <w:sz w:val="24"/>
                <w:szCs w:val="24"/>
              </w:rPr>
            </w:pPr>
            <w:r>
              <w:rPr>
                <w:spacing w:val="-12"/>
                <w:sz w:val="24"/>
                <w:szCs w:val="24"/>
              </w:rPr>
              <w:t>μg/m³</w:t>
            </w:r>
          </w:p>
        </w:tc>
        <w:tc>
          <w:tcPr>
            <w:tcW w:w="1139" w:type="dxa"/>
            <w:vAlign w:val="top"/>
          </w:tcPr>
          <w:p w14:paraId="2816DC6C">
            <w:pPr>
              <w:pStyle w:val="6"/>
              <w:spacing w:before="98" w:line="205" w:lineRule="auto"/>
              <w:ind w:left="496"/>
              <w:rPr>
                <w:sz w:val="24"/>
                <w:szCs w:val="24"/>
              </w:rPr>
            </w:pPr>
            <w:r>
              <w:rPr>
                <w:spacing w:val="-4"/>
                <w:sz w:val="24"/>
                <w:szCs w:val="24"/>
              </w:rPr>
              <w:t>74</w:t>
            </w:r>
          </w:p>
        </w:tc>
        <w:tc>
          <w:tcPr>
            <w:tcW w:w="1009" w:type="dxa"/>
            <w:vAlign w:val="top"/>
          </w:tcPr>
          <w:p w14:paraId="40DC5144">
            <w:pPr>
              <w:pStyle w:val="6"/>
              <w:spacing w:before="98" w:line="205" w:lineRule="auto"/>
              <w:ind w:left="337"/>
              <w:rPr>
                <w:sz w:val="24"/>
                <w:szCs w:val="24"/>
              </w:rPr>
            </w:pPr>
            <w:r>
              <w:rPr>
                <w:spacing w:val="-4"/>
                <w:sz w:val="24"/>
                <w:szCs w:val="24"/>
              </w:rPr>
              <w:t>300</w:t>
            </w:r>
          </w:p>
        </w:tc>
        <w:tc>
          <w:tcPr>
            <w:tcW w:w="969" w:type="dxa"/>
            <w:vAlign w:val="top"/>
          </w:tcPr>
          <w:p w14:paraId="1CCBA2F1">
            <w:pPr>
              <w:pStyle w:val="6"/>
              <w:spacing w:before="98" w:line="205" w:lineRule="auto"/>
              <w:ind w:left="228"/>
              <w:rPr>
                <w:sz w:val="24"/>
                <w:szCs w:val="24"/>
              </w:rPr>
            </w:pPr>
            <w:r>
              <w:rPr>
                <w:spacing w:val="-2"/>
                <w:sz w:val="24"/>
                <w:szCs w:val="24"/>
              </w:rPr>
              <w:t>24.67</w:t>
            </w:r>
          </w:p>
        </w:tc>
        <w:tc>
          <w:tcPr>
            <w:tcW w:w="774" w:type="dxa"/>
            <w:vAlign w:val="top"/>
          </w:tcPr>
          <w:p w14:paraId="3B9F920A">
            <w:pPr>
              <w:pStyle w:val="6"/>
              <w:spacing w:before="75" w:line="220" w:lineRule="auto"/>
              <w:ind w:left="159"/>
              <w:rPr>
                <w:sz w:val="24"/>
                <w:szCs w:val="24"/>
              </w:rPr>
            </w:pPr>
            <w:r>
              <w:rPr>
                <w:spacing w:val="-3"/>
                <w:sz w:val="24"/>
                <w:szCs w:val="24"/>
              </w:rPr>
              <w:t>达标</w:t>
            </w:r>
          </w:p>
        </w:tc>
      </w:tr>
      <w:tr w14:paraId="592EB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04" w:type="dxa"/>
            <w:vMerge w:val="continue"/>
            <w:tcBorders>
              <w:top w:val="nil"/>
              <w:bottom w:val="nil"/>
            </w:tcBorders>
            <w:vAlign w:val="top"/>
          </w:tcPr>
          <w:p w14:paraId="7262213A">
            <w:pPr>
              <w:rPr>
                <w:rFonts w:ascii="Arial"/>
                <w:sz w:val="21"/>
              </w:rPr>
            </w:pPr>
          </w:p>
        </w:tc>
        <w:tc>
          <w:tcPr>
            <w:tcW w:w="8616" w:type="dxa"/>
            <w:gridSpan w:val="8"/>
            <w:vAlign w:val="top"/>
          </w:tcPr>
          <w:p w14:paraId="7AA7FC9C">
            <w:pPr>
              <w:pStyle w:val="6"/>
              <w:spacing w:before="70" w:line="219" w:lineRule="auto"/>
              <w:jc w:val="right"/>
              <w:rPr>
                <w:sz w:val="24"/>
                <w:szCs w:val="24"/>
              </w:rPr>
            </w:pPr>
            <w:r>
              <w:rPr>
                <w:spacing w:val="-7"/>
                <w:sz w:val="24"/>
                <w:szCs w:val="24"/>
              </w:rPr>
              <w:t>注：限值标准执行《环境空气质量标准》(GB 3095-20</w:t>
            </w:r>
            <w:r>
              <w:rPr>
                <w:spacing w:val="-8"/>
                <w:sz w:val="24"/>
                <w:szCs w:val="24"/>
              </w:rPr>
              <w:t>12)中二级标准排放限值。</w:t>
            </w:r>
          </w:p>
        </w:tc>
      </w:tr>
      <w:tr w14:paraId="2FB94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75" w:hRule="atLeast"/>
        </w:trPr>
        <w:tc>
          <w:tcPr>
            <w:tcW w:w="704" w:type="dxa"/>
            <w:vMerge w:val="continue"/>
            <w:tcBorders>
              <w:top w:val="nil"/>
            </w:tcBorders>
            <w:vAlign w:val="top"/>
          </w:tcPr>
          <w:p w14:paraId="751B1B40">
            <w:pPr>
              <w:rPr>
                <w:rFonts w:ascii="Arial"/>
                <w:sz w:val="21"/>
              </w:rPr>
            </w:pPr>
          </w:p>
        </w:tc>
        <w:tc>
          <w:tcPr>
            <w:tcW w:w="8616" w:type="dxa"/>
            <w:gridSpan w:val="8"/>
            <w:vAlign w:val="top"/>
          </w:tcPr>
          <w:p w14:paraId="6714C99E">
            <w:pPr>
              <w:pStyle w:val="6"/>
              <w:spacing w:before="49" w:line="364" w:lineRule="auto"/>
              <w:ind w:left="131" w:right="303" w:firstLine="390"/>
              <w:rPr>
                <w:sz w:val="24"/>
                <w:szCs w:val="24"/>
              </w:rPr>
            </w:pPr>
            <w:r>
              <w:rPr>
                <w:spacing w:val="-1"/>
                <w:sz w:val="24"/>
                <w:szCs w:val="24"/>
              </w:rPr>
              <w:t>根据补充监测结果，大莫古集镇TSP的日均浓度满足《环境空气质量标准》</w:t>
            </w:r>
            <w:r>
              <w:rPr>
                <w:spacing w:val="14"/>
                <w:sz w:val="24"/>
                <w:szCs w:val="24"/>
              </w:rPr>
              <w:t xml:space="preserve"> </w:t>
            </w:r>
            <w:r>
              <w:rPr>
                <w:sz w:val="24"/>
                <w:szCs w:val="24"/>
              </w:rPr>
              <w:t>(GB3095-2012)二级标准要求。</w:t>
            </w:r>
          </w:p>
          <w:p w14:paraId="6DCBBBC5">
            <w:pPr>
              <w:pStyle w:val="6"/>
              <w:spacing w:line="219" w:lineRule="auto"/>
              <w:ind w:left="14"/>
              <w:rPr>
                <w:sz w:val="24"/>
                <w:szCs w:val="24"/>
              </w:rPr>
            </w:pPr>
            <w:r>
              <w:rPr>
                <w:b/>
                <w:bCs/>
                <w:spacing w:val="-4"/>
                <w:sz w:val="24"/>
                <w:szCs w:val="24"/>
              </w:rPr>
              <w:t>6地表水环境质量现状</w:t>
            </w:r>
          </w:p>
          <w:p w14:paraId="7C38B606">
            <w:pPr>
              <w:pStyle w:val="6"/>
              <w:spacing w:before="177" w:line="354" w:lineRule="auto"/>
              <w:ind w:left="21" w:firstLine="499"/>
              <w:rPr>
                <w:sz w:val="24"/>
                <w:szCs w:val="24"/>
              </w:rPr>
            </w:pPr>
            <w:r>
              <w:rPr>
                <w:spacing w:val="-2"/>
                <w:sz w:val="24"/>
                <w:szCs w:val="24"/>
              </w:rPr>
              <w:t>项目汕昆高速以北方阵和升压站周边水系为南盘江陆良段，</w:t>
            </w:r>
            <w:r>
              <w:rPr>
                <w:spacing w:val="-3"/>
                <w:sz w:val="24"/>
                <w:szCs w:val="24"/>
              </w:rPr>
              <w:t>光伏阵列北侧为南</w:t>
            </w:r>
            <w:r>
              <w:rPr>
                <w:sz w:val="24"/>
                <w:szCs w:val="24"/>
              </w:rPr>
              <w:t xml:space="preserve"> </w:t>
            </w:r>
            <w:r>
              <w:rPr>
                <w:spacing w:val="-1"/>
                <w:sz w:val="24"/>
                <w:szCs w:val="24"/>
              </w:rPr>
              <w:t>盘江陆良段，最近距离为1420m。</w:t>
            </w:r>
          </w:p>
          <w:p w14:paraId="06C6755A">
            <w:pPr>
              <w:pStyle w:val="6"/>
              <w:spacing w:line="219" w:lineRule="auto"/>
              <w:ind w:right="35"/>
              <w:jc w:val="right"/>
              <w:rPr>
                <w:sz w:val="24"/>
                <w:szCs w:val="24"/>
              </w:rPr>
            </w:pPr>
            <w:r>
              <w:rPr>
                <w:sz w:val="24"/>
                <w:szCs w:val="24"/>
              </w:rPr>
              <w:t>项目汕昆高速以南方阵周边水系为南盘江陆良段支流，其中中坝河位于18#方</w:t>
            </w:r>
          </w:p>
          <w:p w14:paraId="16020ABF">
            <w:pPr>
              <w:pStyle w:val="6"/>
              <w:spacing w:before="191" w:line="359" w:lineRule="auto"/>
              <w:ind w:left="31" w:right="642"/>
              <w:rPr>
                <w:sz w:val="24"/>
                <w:szCs w:val="24"/>
              </w:rPr>
            </w:pPr>
            <w:r>
              <w:rPr>
                <w:sz w:val="24"/>
                <w:szCs w:val="24"/>
              </w:rPr>
              <w:t>阵西侧30m,由南往北汇入南盘江陆良段，小甘河位于24#方阵东侧117m,由南</w:t>
            </w:r>
            <w:r>
              <w:rPr>
                <w:spacing w:val="11"/>
                <w:sz w:val="24"/>
                <w:szCs w:val="24"/>
              </w:rPr>
              <w:t xml:space="preserve"> </w:t>
            </w:r>
            <w:r>
              <w:rPr>
                <w:sz w:val="24"/>
                <w:szCs w:val="24"/>
              </w:rPr>
              <w:t>往北汇入南盘江陆良段。</w:t>
            </w:r>
          </w:p>
          <w:p w14:paraId="0D74D757">
            <w:pPr>
              <w:pStyle w:val="6"/>
              <w:spacing w:before="11" w:line="355" w:lineRule="auto"/>
              <w:ind w:left="21" w:right="275" w:firstLine="489"/>
              <w:jc w:val="both"/>
              <w:rPr>
                <w:sz w:val="24"/>
                <w:szCs w:val="24"/>
              </w:rPr>
            </w:pPr>
            <w:r>
              <w:rPr>
                <w:sz w:val="24"/>
                <w:szCs w:val="24"/>
              </w:rPr>
              <w:t>项目汕昆高速以南方阵周边有小坝塘，用于农田灌溉，15#方阵北侧482m的</w:t>
            </w:r>
            <w:r>
              <w:rPr>
                <w:spacing w:val="17"/>
                <w:sz w:val="24"/>
                <w:szCs w:val="24"/>
              </w:rPr>
              <w:t xml:space="preserve"> </w:t>
            </w:r>
            <w:r>
              <w:rPr>
                <w:spacing w:val="1"/>
                <w:sz w:val="24"/>
                <w:szCs w:val="24"/>
              </w:rPr>
              <w:t>门前坝，备用方阵3西侧1596m的滥田</w:t>
            </w:r>
            <w:r>
              <w:rPr>
                <w:sz w:val="24"/>
                <w:szCs w:val="24"/>
              </w:rPr>
              <w:t>闸水库，20#方阵东南侧102m的老闸水库， 24#方阵东侧1066m的大石桥水库，均属于南盘江陆良段支</w:t>
            </w:r>
            <w:r>
              <w:rPr>
                <w:spacing w:val="-1"/>
                <w:sz w:val="24"/>
                <w:szCs w:val="24"/>
              </w:rPr>
              <w:t>流。</w:t>
            </w:r>
          </w:p>
          <w:p w14:paraId="19E15B12">
            <w:pPr>
              <w:pStyle w:val="6"/>
              <w:spacing w:before="4" w:line="219" w:lineRule="auto"/>
              <w:jc w:val="right"/>
              <w:rPr>
                <w:sz w:val="24"/>
                <w:szCs w:val="24"/>
              </w:rPr>
            </w:pPr>
            <w:r>
              <w:rPr>
                <w:spacing w:val="-2"/>
                <w:sz w:val="24"/>
                <w:szCs w:val="24"/>
              </w:rPr>
              <w:t>项目光伏阵列周边水系均汇入南盘江，本项目所在区域水</w:t>
            </w:r>
            <w:r>
              <w:rPr>
                <w:spacing w:val="-3"/>
                <w:sz w:val="24"/>
                <w:szCs w:val="24"/>
              </w:rPr>
              <w:t>系属于南盘江水系支</w:t>
            </w:r>
          </w:p>
          <w:p w14:paraId="76039EBF">
            <w:pPr>
              <w:pStyle w:val="6"/>
              <w:spacing w:before="173" w:line="216" w:lineRule="auto"/>
              <w:ind w:left="31"/>
              <w:rPr>
                <w:sz w:val="24"/>
                <w:szCs w:val="24"/>
              </w:rPr>
            </w:pPr>
            <w:r>
              <w:rPr>
                <w:sz w:val="24"/>
                <w:szCs w:val="24"/>
              </w:rPr>
              <w:t>流。根据《云南省水功能区划》(2014年修订),项目所在区域一级功能区为南</w:t>
            </w:r>
          </w:p>
          <w:p w14:paraId="0163C2A8">
            <w:pPr>
              <w:pStyle w:val="6"/>
              <w:spacing w:before="201" w:line="355" w:lineRule="auto"/>
              <w:ind w:left="31"/>
              <w:rPr>
                <w:sz w:val="24"/>
                <w:szCs w:val="24"/>
              </w:rPr>
            </w:pPr>
            <w:r>
              <w:rPr>
                <w:spacing w:val="-1"/>
                <w:sz w:val="24"/>
                <w:szCs w:val="24"/>
              </w:rPr>
              <w:t>盘江沾益一宜良开发利用区，二级功能区为南</w:t>
            </w:r>
            <w:r>
              <w:rPr>
                <w:spacing w:val="-2"/>
                <w:sz w:val="24"/>
                <w:szCs w:val="24"/>
              </w:rPr>
              <w:t>盘江柴石滩水库陆良-宜良农业、工</w:t>
            </w:r>
            <w:r>
              <w:rPr>
                <w:sz w:val="24"/>
                <w:szCs w:val="24"/>
              </w:rPr>
              <w:t xml:space="preserve">  </w:t>
            </w:r>
            <w:r>
              <w:rPr>
                <w:spacing w:val="-2"/>
                <w:sz w:val="24"/>
                <w:szCs w:val="24"/>
              </w:rPr>
              <w:t>业、渔业用水区，起点为古宁大坝，止点为柴石滩水库，水质目标2030年为Ⅲ类。</w:t>
            </w:r>
            <w:r>
              <w:rPr>
                <w:spacing w:val="9"/>
                <w:sz w:val="24"/>
                <w:szCs w:val="24"/>
              </w:rPr>
              <w:t xml:space="preserve"> </w:t>
            </w:r>
            <w:r>
              <w:rPr>
                <w:spacing w:val="-2"/>
                <w:sz w:val="24"/>
                <w:szCs w:val="24"/>
              </w:rPr>
              <w:t>根据云南省生态环境厅驻曲靖市生态环境监测站发布的《2023年</w:t>
            </w:r>
            <w:r>
              <w:rPr>
                <w:spacing w:val="-3"/>
                <w:sz w:val="24"/>
                <w:szCs w:val="24"/>
              </w:rPr>
              <w:t>水环境质量》</w:t>
            </w:r>
          </w:p>
          <w:p w14:paraId="2B2C39FD">
            <w:pPr>
              <w:pStyle w:val="6"/>
              <w:spacing w:before="15" w:line="357" w:lineRule="auto"/>
              <w:ind w:left="41" w:right="64" w:firstLine="99"/>
              <w:rPr>
                <w:sz w:val="24"/>
                <w:szCs w:val="24"/>
              </w:rPr>
            </w:pPr>
            <w:r>
              <w:rPr>
                <w:spacing w:val="3"/>
                <w:sz w:val="24"/>
                <w:szCs w:val="24"/>
              </w:rPr>
              <w:t>(2024-01-30日发布):2023年曲靖市地表水水质状况</w:t>
            </w:r>
            <w:r>
              <w:rPr>
                <w:spacing w:val="2"/>
                <w:sz w:val="24"/>
                <w:szCs w:val="24"/>
              </w:rPr>
              <w:t>总体优。曲靖市39个国控、</w:t>
            </w:r>
            <w:r>
              <w:rPr>
                <w:sz w:val="24"/>
                <w:szCs w:val="24"/>
              </w:rPr>
              <w:t xml:space="preserve"> 省控地表水断面/点位(31个河流、8个湖库)中I类断面5个，占12.8%;Ⅱ类</w:t>
            </w:r>
          </w:p>
          <w:p w14:paraId="1904C70C">
            <w:pPr>
              <w:pStyle w:val="6"/>
              <w:spacing w:before="14" w:line="219" w:lineRule="auto"/>
              <w:ind w:left="41"/>
              <w:rPr>
                <w:sz w:val="24"/>
                <w:szCs w:val="24"/>
              </w:rPr>
            </w:pPr>
            <w:r>
              <w:rPr>
                <w:sz w:val="24"/>
                <w:szCs w:val="24"/>
              </w:rPr>
              <w:t>断面24个，占61.5%;Ⅲ类断面9个，占23.1%;无IV类断面；V类断面1个，</w:t>
            </w:r>
          </w:p>
          <w:p w14:paraId="3E93AA8C">
            <w:pPr>
              <w:pStyle w:val="6"/>
              <w:spacing w:before="156" w:line="219" w:lineRule="auto"/>
              <w:ind w:left="71"/>
              <w:rPr>
                <w:sz w:val="24"/>
                <w:szCs w:val="24"/>
              </w:rPr>
            </w:pPr>
            <w:r>
              <w:rPr>
                <w:spacing w:val="3"/>
                <w:sz w:val="24"/>
                <w:szCs w:val="24"/>
              </w:rPr>
              <w:t>占2.6%;无劣V类断面。优良断面(I~Ⅲ类)38个，优良率97.4%。水功能达</w:t>
            </w:r>
          </w:p>
          <w:p w14:paraId="66D46BF1">
            <w:pPr>
              <w:pStyle w:val="6"/>
              <w:spacing w:before="185" w:line="360" w:lineRule="auto"/>
              <w:ind w:left="71" w:right="44" w:hanging="30"/>
              <w:rPr>
                <w:sz w:val="24"/>
                <w:szCs w:val="24"/>
              </w:rPr>
            </w:pPr>
            <w:r>
              <w:rPr>
                <w:sz w:val="24"/>
                <w:szCs w:val="24"/>
              </w:rPr>
              <w:t>标断面35个，断面达标率89.7%。南盘江陆良境内，天生桥国控断面水质为Ⅲ类， 水质类别Ⅲ类，满足水质目标要求。</w:t>
            </w:r>
          </w:p>
          <w:p w14:paraId="03A00B9C">
            <w:pPr>
              <w:pStyle w:val="6"/>
              <w:spacing w:line="219" w:lineRule="auto"/>
              <w:ind w:left="64"/>
              <w:rPr>
                <w:sz w:val="24"/>
                <w:szCs w:val="24"/>
              </w:rPr>
            </w:pPr>
            <w:r>
              <w:rPr>
                <w:b/>
                <w:bCs/>
                <w:spacing w:val="-5"/>
                <w:sz w:val="24"/>
                <w:szCs w:val="24"/>
              </w:rPr>
              <w:t>7声环境质量现状</w:t>
            </w:r>
          </w:p>
          <w:p w14:paraId="4BEEF34B">
            <w:pPr>
              <w:pStyle w:val="6"/>
              <w:spacing w:before="168" w:line="219" w:lineRule="auto"/>
              <w:ind w:left="511"/>
              <w:rPr>
                <w:sz w:val="24"/>
                <w:szCs w:val="24"/>
              </w:rPr>
            </w:pPr>
            <w:r>
              <w:rPr>
                <w:sz w:val="24"/>
                <w:szCs w:val="24"/>
              </w:rPr>
              <w:t>参考《声环境质量标准》(GB3096-2008)中乡村区域适用的声环境质量要求</w:t>
            </w:r>
          </w:p>
          <w:p w14:paraId="2B91DA11">
            <w:pPr>
              <w:pStyle w:val="6"/>
              <w:spacing w:before="195" w:line="359" w:lineRule="auto"/>
              <w:ind w:left="31"/>
              <w:rPr>
                <w:sz w:val="24"/>
                <w:szCs w:val="24"/>
              </w:rPr>
            </w:pPr>
            <w:r>
              <w:rPr>
                <w:spacing w:val="-1"/>
                <w:sz w:val="24"/>
                <w:szCs w:val="24"/>
              </w:rPr>
              <w:t>划分为1类声功能区，今后区域声功能应随着发展情况再进行具体划分。本项目所</w:t>
            </w:r>
            <w:r>
              <w:rPr>
                <w:spacing w:val="16"/>
                <w:sz w:val="24"/>
                <w:szCs w:val="24"/>
              </w:rPr>
              <w:t xml:space="preserve"> </w:t>
            </w:r>
            <w:r>
              <w:rPr>
                <w:spacing w:val="-8"/>
                <w:sz w:val="24"/>
                <w:szCs w:val="24"/>
              </w:rPr>
              <w:t>在地为一般农村地区，声环境功能区划分声环境功能要求，</w:t>
            </w:r>
            <w:r>
              <w:rPr>
                <w:spacing w:val="-9"/>
                <w:sz w:val="24"/>
                <w:szCs w:val="24"/>
              </w:rPr>
              <w:t>项目区声环境应执行《声</w:t>
            </w:r>
            <w:r>
              <w:rPr>
                <w:sz w:val="24"/>
                <w:szCs w:val="24"/>
              </w:rPr>
              <w:t xml:space="preserve"> </w:t>
            </w:r>
            <w:r>
              <w:rPr>
                <w:spacing w:val="3"/>
                <w:sz w:val="24"/>
                <w:szCs w:val="24"/>
              </w:rPr>
              <w:t>环境质量标准》(</w:t>
            </w:r>
            <w:r>
              <w:rPr>
                <w:sz w:val="24"/>
                <w:szCs w:val="24"/>
              </w:rPr>
              <w:t>GB</w:t>
            </w:r>
            <w:r>
              <w:rPr>
                <w:spacing w:val="3"/>
                <w:sz w:val="24"/>
                <w:szCs w:val="24"/>
              </w:rPr>
              <w:t>3096-2008)1类标准。同时栗</w:t>
            </w:r>
            <w:r>
              <w:rPr>
                <w:spacing w:val="2"/>
                <w:sz w:val="24"/>
                <w:szCs w:val="24"/>
              </w:rPr>
              <w:t>树园村散户4(田间农户看地)、</w:t>
            </w:r>
          </w:p>
          <w:p w14:paraId="0F7D1385">
            <w:pPr>
              <w:pStyle w:val="6"/>
              <w:spacing w:before="1" w:line="218" w:lineRule="auto"/>
              <w:ind w:left="41"/>
              <w:rPr>
                <w:sz w:val="24"/>
                <w:szCs w:val="24"/>
              </w:rPr>
            </w:pPr>
            <w:r>
              <w:rPr>
                <w:spacing w:val="3"/>
                <w:sz w:val="24"/>
                <w:szCs w:val="24"/>
              </w:rPr>
              <w:t>栗树园村散户3(田间农户看地)以及栗树园村在福昆线道路护栏边界55m范围内、</w:t>
            </w:r>
          </w:p>
        </w:tc>
      </w:tr>
    </w:tbl>
    <w:p w14:paraId="146D653E">
      <w:pPr>
        <w:pStyle w:val="2"/>
      </w:pPr>
    </w:p>
    <w:p w14:paraId="7D897006">
      <w:pPr>
        <w:sectPr>
          <w:footerReference r:id="rId109" w:type="default"/>
          <w:pgSz w:w="11910" w:h="16830"/>
          <w:pgMar w:top="400" w:right="1364" w:bottom="1245" w:left="1214" w:header="0" w:footer="1083" w:gutter="0"/>
          <w:cols w:space="720" w:num="1"/>
        </w:sectPr>
      </w:pPr>
    </w:p>
    <w:p w14:paraId="2AC2CE3B">
      <w:pPr>
        <w:spacing w:before="58" w:line="326" w:lineRule="auto"/>
        <w:ind w:left="939" w:right="139" w:hanging="119"/>
        <w:rPr>
          <w:rFonts w:ascii="宋体" w:hAnsi="宋体" w:eastAsia="宋体" w:cs="宋体"/>
          <w:sz w:val="24"/>
          <w:szCs w:val="24"/>
        </w:rPr>
      </w:pPr>
      <w:r>
        <w:rPr>
          <w:rFonts w:ascii="宋体" w:hAnsi="宋体" w:eastAsia="宋体" w:cs="宋体"/>
          <w:spacing w:val="25"/>
          <w:sz w:val="24"/>
          <w:szCs w:val="24"/>
        </w:rPr>
        <w:t>大莫古集镇在汕昆高速道路护栏边界35</w:t>
      </w:r>
      <w:r>
        <w:rPr>
          <w:rFonts w:ascii="Times New Roman" w:hAnsi="Times New Roman" w:eastAsia="Times New Roman" w:cs="Times New Roman"/>
          <w:spacing w:val="25"/>
          <w:sz w:val="24"/>
          <w:szCs w:val="24"/>
        </w:rPr>
        <w:t>m</w:t>
      </w:r>
      <w:r>
        <w:rPr>
          <w:rFonts w:ascii="Times New Roman" w:hAnsi="Times New Roman" w:eastAsia="Times New Roman" w:cs="Times New Roman"/>
          <w:spacing w:val="26"/>
          <w:sz w:val="24"/>
          <w:szCs w:val="24"/>
        </w:rPr>
        <w:t xml:space="preserve"> </w:t>
      </w:r>
      <w:r>
        <w:rPr>
          <w:rFonts w:ascii="宋体" w:hAnsi="宋体" w:eastAsia="宋体" w:cs="宋体"/>
          <w:spacing w:val="25"/>
          <w:sz w:val="24"/>
          <w:szCs w:val="24"/>
        </w:rPr>
        <w:t>范围内执行</w:t>
      </w:r>
      <w:r>
        <w:rPr>
          <w:rFonts w:ascii="宋体" w:hAnsi="宋体" w:eastAsia="宋体" w:cs="宋体"/>
          <w:spacing w:val="24"/>
          <w:sz w:val="24"/>
          <w:szCs w:val="24"/>
        </w:rPr>
        <w:t>《声环境质量标准》</w:t>
      </w:r>
      <w:r>
        <w:rPr>
          <w:rFonts w:ascii="宋体" w:hAnsi="宋体" w:eastAsia="宋体" w:cs="宋体"/>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GB3096-2008)4a</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类标准。</w:t>
      </w:r>
    </w:p>
    <w:p w14:paraId="08BCD35A">
      <w:pPr>
        <w:spacing w:before="83" w:line="348" w:lineRule="auto"/>
        <w:ind w:left="820" w:right="137" w:firstLine="489"/>
        <w:rPr>
          <w:rFonts w:ascii="宋体" w:hAnsi="宋体" w:eastAsia="宋体" w:cs="宋体"/>
          <w:sz w:val="24"/>
          <w:szCs w:val="24"/>
        </w:rPr>
      </w:pPr>
      <w:r>
        <w:rPr>
          <w:rFonts w:ascii="宋体" w:hAnsi="宋体" w:eastAsia="宋体" w:cs="宋体"/>
          <w:spacing w:val="-4"/>
          <w:sz w:val="24"/>
          <w:szCs w:val="24"/>
        </w:rPr>
        <w:t>为了解项目区周边声环境质量状况，建设单位委托云南升环检测技术有限公司</w:t>
      </w:r>
      <w:r>
        <w:rPr>
          <w:rFonts w:ascii="宋体" w:hAnsi="宋体" w:eastAsia="宋体" w:cs="宋体"/>
          <w:spacing w:val="17"/>
          <w:sz w:val="24"/>
          <w:szCs w:val="24"/>
        </w:rPr>
        <w:t xml:space="preserve"> </w:t>
      </w:r>
      <w:r>
        <w:rPr>
          <w:rFonts w:ascii="宋体" w:hAnsi="宋体" w:eastAsia="宋体" w:cs="宋体"/>
          <w:spacing w:val="16"/>
          <w:sz w:val="24"/>
          <w:szCs w:val="24"/>
        </w:rPr>
        <w:t>于2024年09月07日至09月08日对项目所在区域声环境进行了监</w:t>
      </w:r>
      <w:r>
        <w:rPr>
          <w:rFonts w:ascii="宋体" w:hAnsi="宋体" w:eastAsia="宋体" w:cs="宋体"/>
          <w:spacing w:val="15"/>
          <w:sz w:val="24"/>
          <w:szCs w:val="24"/>
        </w:rPr>
        <w:t>测。</w:t>
      </w:r>
    </w:p>
    <w:p w14:paraId="1CC60CDC">
      <w:pPr>
        <w:spacing w:before="16" w:line="221" w:lineRule="auto"/>
        <w:ind w:left="1419"/>
        <w:rPr>
          <w:rFonts w:ascii="宋体" w:hAnsi="宋体" w:eastAsia="宋体" w:cs="宋体"/>
          <w:sz w:val="24"/>
          <w:szCs w:val="24"/>
        </w:rPr>
      </w:pPr>
      <w:r>
        <w:rPr>
          <w:rFonts w:ascii="宋体" w:hAnsi="宋体" w:eastAsia="宋体" w:cs="宋体"/>
          <w:spacing w:val="15"/>
          <w:sz w:val="24"/>
          <w:szCs w:val="24"/>
        </w:rPr>
        <w:t>(1)监测点位</w:t>
      </w:r>
    </w:p>
    <w:p w14:paraId="4B1CC836">
      <w:pPr>
        <w:spacing w:before="190" w:line="354" w:lineRule="auto"/>
        <w:ind w:left="820" w:right="160" w:firstLine="489"/>
        <w:rPr>
          <w:rFonts w:ascii="宋体" w:hAnsi="宋体" w:eastAsia="宋体" w:cs="宋体"/>
          <w:sz w:val="24"/>
          <w:szCs w:val="24"/>
        </w:rPr>
      </w:pPr>
      <w:r>
        <w:rPr>
          <w:rFonts w:ascii="宋体" w:hAnsi="宋体" w:eastAsia="宋体" w:cs="宋体"/>
          <w:spacing w:val="3"/>
          <w:sz w:val="24"/>
          <w:szCs w:val="24"/>
        </w:rPr>
        <w:t>根据现场踏勘，项目光伏区场界50米范围内分布有声环境敏感目标</w:t>
      </w:r>
      <w:r>
        <w:rPr>
          <w:rFonts w:ascii="宋体" w:hAnsi="宋体" w:eastAsia="宋体" w:cs="宋体"/>
          <w:spacing w:val="2"/>
          <w:sz w:val="24"/>
          <w:szCs w:val="24"/>
        </w:rPr>
        <w:t>，故本次</w:t>
      </w:r>
      <w:r>
        <w:rPr>
          <w:rFonts w:ascii="宋体" w:hAnsi="宋体" w:eastAsia="宋体" w:cs="宋体"/>
          <w:sz w:val="24"/>
          <w:szCs w:val="24"/>
        </w:rPr>
        <w:t xml:space="preserve"> 声环境监测对项目拟建升压站及光伏阵列区场界50</w:t>
      </w:r>
      <w:r>
        <w:rPr>
          <w:rFonts w:ascii="Times New Roman" w:hAnsi="Times New Roman" w:eastAsia="Times New Roman" w:cs="Times New Roman"/>
          <w:sz w:val="24"/>
          <w:szCs w:val="24"/>
        </w:rPr>
        <w:t xml:space="preserve">m </w:t>
      </w:r>
      <w:r>
        <w:rPr>
          <w:rFonts w:ascii="宋体" w:hAnsi="宋体" w:eastAsia="宋体" w:cs="宋体"/>
          <w:sz w:val="24"/>
          <w:szCs w:val="24"/>
        </w:rPr>
        <w:t>范围内的关心点进行监测。</w:t>
      </w:r>
    </w:p>
    <w:p w14:paraId="710489B1">
      <w:pPr>
        <w:spacing w:before="1" w:line="356" w:lineRule="auto"/>
        <w:ind w:left="820" w:right="147"/>
        <w:rPr>
          <w:rFonts w:ascii="宋体" w:hAnsi="宋体" w:eastAsia="宋体" w:cs="宋体"/>
          <w:sz w:val="24"/>
          <w:szCs w:val="24"/>
        </w:rPr>
      </w:pPr>
      <w:r>
        <w:rPr>
          <w:rFonts w:ascii="宋体" w:hAnsi="宋体" w:eastAsia="宋体" w:cs="宋体"/>
          <w:spacing w:val="3"/>
          <w:sz w:val="24"/>
          <w:szCs w:val="24"/>
        </w:rPr>
        <w:t>共设置了25个监测点位，由于本次项目在安排现场监测时，是考虑项目红线范围</w:t>
      </w:r>
      <w:r>
        <w:rPr>
          <w:rFonts w:ascii="宋体" w:hAnsi="宋体" w:eastAsia="宋体" w:cs="宋体"/>
          <w:spacing w:val="13"/>
          <w:sz w:val="24"/>
          <w:szCs w:val="24"/>
        </w:rPr>
        <w:t xml:space="preserve"> </w:t>
      </w:r>
      <w:r>
        <w:rPr>
          <w:rFonts w:ascii="宋体" w:hAnsi="宋体" w:eastAsia="宋体" w:cs="宋体"/>
          <w:spacing w:val="1"/>
          <w:sz w:val="24"/>
          <w:szCs w:val="24"/>
        </w:rPr>
        <w:t>内所有地块周边50</w:t>
      </w:r>
      <w:r>
        <w:rPr>
          <w:rFonts w:ascii="Times New Roman" w:hAnsi="Times New Roman" w:eastAsia="Times New Roman" w:cs="Times New Roman"/>
          <w:spacing w:val="1"/>
          <w:sz w:val="24"/>
          <w:szCs w:val="24"/>
        </w:rPr>
        <w:t xml:space="preserve">m </w:t>
      </w:r>
      <w:r>
        <w:rPr>
          <w:rFonts w:ascii="宋体" w:hAnsi="宋体" w:eastAsia="宋体" w:cs="宋体"/>
          <w:spacing w:val="1"/>
          <w:sz w:val="24"/>
          <w:szCs w:val="24"/>
        </w:rPr>
        <w:t>范围内的声环境敏感目标，但是后续随着项目总平面布置图</w:t>
      </w:r>
      <w:r>
        <w:rPr>
          <w:rFonts w:ascii="宋体" w:hAnsi="宋体" w:eastAsia="宋体" w:cs="宋体"/>
          <w:spacing w:val="5"/>
          <w:sz w:val="24"/>
          <w:szCs w:val="24"/>
        </w:rPr>
        <w:t xml:space="preserve"> </w:t>
      </w:r>
      <w:r>
        <w:rPr>
          <w:rFonts w:ascii="宋体" w:hAnsi="宋体" w:eastAsia="宋体" w:cs="宋体"/>
          <w:spacing w:val="1"/>
          <w:sz w:val="24"/>
          <w:szCs w:val="24"/>
        </w:rPr>
        <w:t>的不断完善，实际布设光伏阵列的区域的地块周边50</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4"/>
          <w:sz w:val="24"/>
          <w:szCs w:val="24"/>
        </w:rPr>
        <w:t xml:space="preserve"> </w:t>
      </w:r>
      <w:r>
        <w:rPr>
          <w:rFonts w:ascii="宋体" w:hAnsi="宋体" w:eastAsia="宋体" w:cs="宋体"/>
          <w:spacing w:val="1"/>
          <w:sz w:val="24"/>
          <w:szCs w:val="24"/>
        </w:rPr>
        <w:t>范围内的声环</w:t>
      </w:r>
      <w:r>
        <w:rPr>
          <w:rFonts w:ascii="宋体" w:hAnsi="宋体" w:eastAsia="宋体" w:cs="宋体"/>
          <w:sz w:val="24"/>
          <w:szCs w:val="24"/>
        </w:rPr>
        <w:t xml:space="preserve">境敏感目标 </w:t>
      </w:r>
      <w:r>
        <w:rPr>
          <w:rFonts w:ascii="宋体" w:hAnsi="宋体" w:eastAsia="宋体" w:cs="宋体"/>
          <w:spacing w:val="3"/>
          <w:sz w:val="24"/>
          <w:szCs w:val="24"/>
        </w:rPr>
        <w:t>只有19个，故本报告所附监测报告有24个声环境质量监测点位，本次报告只列与</w:t>
      </w:r>
      <w:r>
        <w:rPr>
          <w:rFonts w:ascii="宋体" w:hAnsi="宋体" w:eastAsia="宋体" w:cs="宋体"/>
          <w:spacing w:val="7"/>
          <w:sz w:val="24"/>
          <w:szCs w:val="24"/>
        </w:rPr>
        <w:t xml:space="preserve"> </w:t>
      </w:r>
      <w:r>
        <w:rPr>
          <w:rFonts w:ascii="宋体" w:hAnsi="宋体" w:eastAsia="宋体" w:cs="宋体"/>
          <w:spacing w:val="9"/>
          <w:sz w:val="24"/>
          <w:szCs w:val="24"/>
        </w:rPr>
        <w:t xml:space="preserve">项目有关的19个监测点位的监测情况。2024年11月13日补充监测升压站中心点 </w:t>
      </w:r>
      <w:r>
        <w:rPr>
          <w:rFonts w:ascii="宋体" w:hAnsi="宋体" w:eastAsia="宋体" w:cs="宋体"/>
          <w:spacing w:val="-6"/>
          <w:sz w:val="24"/>
          <w:szCs w:val="24"/>
        </w:rPr>
        <w:t>位声环境现状。</w:t>
      </w:r>
    </w:p>
    <w:p w14:paraId="5C8C749F">
      <w:pPr>
        <w:spacing w:before="35" w:line="212" w:lineRule="auto"/>
        <w:ind w:left="1419"/>
        <w:rPr>
          <w:rFonts w:ascii="Times New Roman" w:hAnsi="Times New Roman" w:eastAsia="Times New Roman" w:cs="Times New Roman"/>
          <w:sz w:val="24"/>
          <w:szCs w:val="24"/>
        </w:rPr>
      </w:pPr>
      <w:r>
        <w:rPr>
          <w:rFonts w:ascii="宋体" w:hAnsi="宋体" w:eastAsia="宋体" w:cs="宋体"/>
          <w:spacing w:val="-1"/>
          <w:sz w:val="24"/>
          <w:szCs w:val="24"/>
        </w:rPr>
        <w:t>(2)监测指标：</w:t>
      </w:r>
      <w:r>
        <w:rPr>
          <w:rFonts w:ascii="宋体" w:hAnsi="宋体" w:eastAsia="宋体" w:cs="宋体"/>
          <w:spacing w:val="-19"/>
          <w:sz w:val="24"/>
          <w:szCs w:val="24"/>
        </w:rPr>
        <w:t xml:space="preserve"> </w:t>
      </w:r>
      <w:r>
        <w:rPr>
          <w:rFonts w:ascii="Times New Roman" w:hAnsi="Times New Roman" w:eastAsia="Times New Roman" w:cs="Times New Roman"/>
          <w:spacing w:val="-1"/>
          <w:sz w:val="24"/>
          <w:szCs w:val="24"/>
        </w:rPr>
        <w:t>Leq[dB(A)]</w:t>
      </w:r>
    </w:p>
    <w:p w14:paraId="4CA1747C">
      <w:pPr>
        <w:spacing w:before="192" w:line="219" w:lineRule="auto"/>
        <w:ind w:left="1419"/>
        <w:rPr>
          <w:rFonts w:ascii="宋体" w:hAnsi="宋体" w:eastAsia="宋体" w:cs="宋体"/>
          <w:sz w:val="24"/>
          <w:szCs w:val="24"/>
        </w:rPr>
      </w:pPr>
      <w:r>
        <w:rPr>
          <w:rFonts w:ascii="宋体" w:hAnsi="宋体" w:eastAsia="宋体" w:cs="宋体"/>
          <w:spacing w:val="7"/>
          <w:sz w:val="24"/>
          <w:szCs w:val="24"/>
        </w:rPr>
        <w:t>(3)监测频率及时段：监测2天，每天昼间和夜间各监测一次。</w:t>
      </w:r>
    </w:p>
    <w:p w14:paraId="537418B3">
      <w:pPr>
        <w:spacing w:before="186" w:line="220" w:lineRule="auto"/>
        <w:ind w:left="1419"/>
        <w:rPr>
          <w:rFonts w:ascii="宋体" w:hAnsi="宋体" w:eastAsia="宋体" w:cs="宋体"/>
          <w:sz w:val="24"/>
          <w:szCs w:val="24"/>
        </w:rPr>
      </w:pPr>
      <w:r>
        <w:rPr>
          <w:rFonts w:ascii="宋体" w:hAnsi="宋体" w:eastAsia="宋体" w:cs="宋体"/>
          <w:spacing w:val="16"/>
          <w:sz w:val="24"/>
          <w:szCs w:val="24"/>
        </w:rPr>
        <w:t>(4)监测结果</w:t>
      </w:r>
    </w:p>
    <w:p w14:paraId="25D394A6">
      <w:pPr>
        <w:spacing w:before="182" w:line="219" w:lineRule="auto"/>
        <w:ind w:left="1309"/>
        <w:rPr>
          <w:rFonts w:ascii="宋体" w:hAnsi="宋体" w:eastAsia="宋体" w:cs="宋体"/>
          <w:sz w:val="24"/>
          <w:szCs w:val="24"/>
        </w:rPr>
      </w:pPr>
      <w:r>
        <w:rPr>
          <w:rFonts w:ascii="宋体" w:hAnsi="宋体" w:eastAsia="宋体" w:cs="宋体"/>
          <w:sz w:val="24"/>
          <w:szCs w:val="24"/>
        </w:rPr>
        <w:t>本次声环境质量现状监测结果见表3-218。</w:t>
      </w:r>
    </w:p>
    <w:p w14:paraId="493EB98C">
      <w:pPr>
        <w:spacing w:line="171" w:lineRule="exact"/>
      </w:pPr>
    </w:p>
    <w:tbl>
      <w:tblPr>
        <w:tblStyle w:val="5"/>
        <w:tblW w:w="9410" w:type="dxa"/>
        <w:tblInd w:w="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10"/>
        <w:gridCol w:w="619"/>
        <w:gridCol w:w="1169"/>
        <w:gridCol w:w="849"/>
        <w:gridCol w:w="1768"/>
        <w:gridCol w:w="1529"/>
        <w:gridCol w:w="1418"/>
        <w:gridCol w:w="999"/>
        <w:gridCol w:w="265"/>
      </w:tblGrid>
      <w:tr w14:paraId="34C6D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84" w:type="dxa"/>
            <w:vMerge w:val="restart"/>
            <w:tcBorders>
              <w:bottom w:val="nil"/>
            </w:tcBorders>
            <w:vAlign w:val="top"/>
          </w:tcPr>
          <w:p w14:paraId="250ADBAD">
            <w:pPr>
              <w:rPr>
                <w:rFonts w:ascii="Arial"/>
                <w:sz w:val="21"/>
              </w:rPr>
            </w:pPr>
          </w:p>
        </w:tc>
        <w:tc>
          <w:tcPr>
            <w:tcW w:w="8726" w:type="dxa"/>
            <w:gridSpan w:val="9"/>
            <w:vAlign w:val="top"/>
          </w:tcPr>
          <w:p w14:paraId="2CBE697B">
            <w:pPr>
              <w:pStyle w:val="6"/>
              <w:spacing w:before="29" w:line="208" w:lineRule="auto"/>
              <w:ind w:left="1353"/>
              <w:rPr>
                <w:sz w:val="20"/>
                <w:szCs w:val="20"/>
              </w:rPr>
            </w:pPr>
            <w:r>
              <w:rPr>
                <w:b/>
                <w:bCs/>
                <w:spacing w:val="-13"/>
                <w:sz w:val="20"/>
                <w:szCs w:val="20"/>
              </w:rPr>
              <w:t>表</w:t>
            </w:r>
            <w:r>
              <w:rPr>
                <w:spacing w:val="-32"/>
                <w:sz w:val="20"/>
                <w:szCs w:val="20"/>
              </w:rPr>
              <w:t xml:space="preserve"> </w:t>
            </w:r>
            <w:r>
              <w:rPr>
                <w:b/>
                <w:bCs/>
                <w:spacing w:val="-13"/>
                <w:sz w:val="20"/>
                <w:szCs w:val="20"/>
              </w:rPr>
              <w:t>3</w:t>
            </w:r>
            <w:r>
              <w:rPr>
                <w:spacing w:val="-44"/>
                <w:sz w:val="20"/>
                <w:szCs w:val="20"/>
              </w:rPr>
              <w:t xml:space="preserve"> </w:t>
            </w:r>
            <w:r>
              <w:rPr>
                <w:b/>
                <w:bCs/>
                <w:spacing w:val="-13"/>
                <w:sz w:val="20"/>
                <w:szCs w:val="20"/>
              </w:rPr>
              <w:t>-</w:t>
            </w:r>
            <w:r>
              <w:rPr>
                <w:spacing w:val="-27"/>
                <w:sz w:val="20"/>
                <w:szCs w:val="20"/>
              </w:rPr>
              <w:t xml:space="preserve"> </w:t>
            </w:r>
            <w:r>
              <w:rPr>
                <w:b/>
                <w:bCs/>
                <w:spacing w:val="-13"/>
                <w:sz w:val="20"/>
                <w:szCs w:val="20"/>
              </w:rPr>
              <w:t>1</w:t>
            </w:r>
            <w:r>
              <w:rPr>
                <w:spacing w:val="-40"/>
                <w:sz w:val="20"/>
                <w:szCs w:val="20"/>
              </w:rPr>
              <w:t xml:space="preserve"> </w:t>
            </w:r>
            <w:r>
              <w:rPr>
                <w:b/>
                <w:bCs/>
                <w:spacing w:val="-13"/>
                <w:sz w:val="20"/>
                <w:szCs w:val="20"/>
              </w:rPr>
              <w:t>8</w:t>
            </w:r>
            <w:r>
              <w:rPr>
                <w:spacing w:val="2"/>
                <w:sz w:val="20"/>
                <w:szCs w:val="20"/>
              </w:rPr>
              <w:t xml:space="preserve">     </w:t>
            </w:r>
            <w:r>
              <w:rPr>
                <w:b/>
                <w:bCs/>
                <w:spacing w:val="-13"/>
                <w:sz w:val="20"/>
                <w:szCs w:val="20"/>
              </w:rPr>
              <w:t>声</w:t>
            </w:r>
            <w:r>
              <w:rPr>
                <w:spacing w:val="-38"/>
                <w:sz w:val="20"/>
                <w:szCs w:val="20"/>
              </w:rPr>
              <w:t xml:space="preserve"> </w:t>
            </w:r>
            <w:r>
              <w:rPr>
                <w:b/>
                <w:bCs/>
                <w:spacing w:val="-13"/>
                <w:sz w:val="20"/>
                <w:szCs w:val="20"/>
              </w:rPr>
              <w:t>环</w:t>
            </w:r>
            <w:r>
              <w:rPr>
                <w:spacing w:val="-41"/>
                <w:sz w:val="20"/>
                <w:szCs w:val="20"/>
              </w:rPr>
              <w:t xml:space="preserve"> </w:t>
            </w:r>
            <w:r>
              <w:rPr>
                <w:b/>
                <w:bCs/>
                <w:spacing w:val="-13"/>
                <w:sz w:val="20"/>
                <w:szCs w:val="20"/>
              </w:rPr>
              <w:t>境</w:t>
            </w:r>
            <w:r>
              <w:rPr>
                <w:spacing w:val="-41"/>
                <w:sz w:val="20"/>
                <w:szCs w:val="20"/>
              </w:rPr>
              <w:t xml:space="preserve"> </w:t>
            </w:r>
            <w:r>
              <w:rPr>
                <w:b/>
                <w:bCs/>
                <w:spacing w:val="-13"/>
                <w:sz w:val="20"/>
                <w:szCs w:val="20"/>
              </w:rPr>
              <w:t>质</w:t>
            </w:r>
            <w:r>
              <w:rPr>
                <w:spacing w:val="-42"/>
                <w:sz w:val="20"/>
                <w:szCs w:val="20"/>
              </w:rPr>
              <w:t xml:space="preserve"> </w:t>
            </w:r>
            <w:r>
              <w:rPr>
                <w:b/>
                <w:bCs/>
                <w:spacing w:val="-13"/>
                <w:sz w:val="20"/>
                <w:szCs w:val="20"/>
              </w:rPr>
              <w:t>量</w:t>
            </w:r>
            <w:r>
              <w:rPr>
                <w:spacing w:val="-40"/>
                <w:sz w:val="20"/>
                <w:szCs w:val="20"/>
              </w:rPr>
              <w:t xml:space="preserve"> </w:t>
            </w:r>
            <w:r>
              <w:rPr>
                <w:b/>
                <w:bCs/>
                <w:spacing w:val="-13"/>
                <w:sz w:val="20"/>
                <w:szCs w:val="20"/>
              </w:rPr>
              <w:t>现</w:t>
            </w:r>
            <w:r>
              <w:rPr>
                <w:spacing w:val="-41"/>
                <w:sz w:val="20"/>
                <w:szCs w:val="20"/>
              </w:rPr>
              <w:t xml:space="preserve"> </w:t>
            </w:r>
            <w:r>
              <w:rPr>
                <w:b/>
                <w:bCs/>
                <w:spacing w:val="-13"/>
                <w:sz w:val="20"/>
                <w:szCs w:val="20"/>
              </w:rPr>
              <w:t>状</w:t>
            </w:r>
            <w:r>
              <w:rPr>
                <w:spacing w:val="-41"/>
                <w:sz w:val="20"/>
                <w:szCs w:val="20"/>
              </w:rPr>
              <w:t xml:space="preserve"> </w:t>
            </w:r>
            <w:r>
              <w:rPr>
                <w:b/>
                <w:bCs/>
                <w:spacing w:val="-13"/>
                <w:sz w:val="20"/>
                <w:szCs w:val="20"/>
              </w:rPr>
              <w:t>监</w:t>
            </w:r>
            <w:r>
              <w:rPr>
                <w:spacing w:val="-41"/>
                <w:sz w:val="20"/>
                <w:szCs w:val="20"/>
              </w:rPr>
              <w:t xml:space="preserve"> </w:t>
            </w:r>
            <w:r>
              <w:rPr>
                <w:b/>
                <w:bCs/>
                <w:spacing w:val="-13"/>
                <w:sz w:val="20"/>
                <w:szCs w:val="20"/>
              </w:rPr>
              <w:t>测</w:t>
            </w:r>
            <w:r>
              <w:rPr>
                <w:spacing w:val="-37"/>
                <w:sz w:val="20"/>
                <w:szCs w:val="20"/>
              </w:rPr>
              <w:t xml:space="preserve"> </w:t>
            </w:r>
            <w:r>
              <w:rPr>
                <w:b/>
                <w:bCs/>
                <w:spacing w:val="-13"/>
                <w:sz w:val="20"/>
                <w:szCs w:val="20"/>
              </w:rPr>
              <w:t>结</w:t>
            </w:r>
            <w:r>
              <w:rPr>
                <w:spacing w:val="-38"/>
                <w:sz w:val="20"/>
                <w:szCs w:val="20"/>
              </w:rPr>
              <w:t xml:space="preserve"> </w:t>
            </w:r>
            <w:r>
              <w:rPr>
                <w:b/>
                <w:bCs/>
                <w:spacing w:val="-13"/>
                <w:sz w:val="20"/>
                <w:szCs w:val="20"/>
              </w:rPr>
              <w:t>果</w:t>
            </w:r>
            <w:r>
              <w:rPr>
                <w:spacing w:val="2"/>
                <w:sz w:val="20"/>
                <w:szCs w:val="20"/>
              </w:rPr>
              <w:t xml:space="preserve">     </w:t>
            </w:r>
            <w:r>
              <w:rPr>
                <w:b/>
                <w:bCs/>
                <w:spacing w:val="-13"/>
                <w:sz w:val="20"/>
                <w:szCs w:val="20"/>
              </w:rPr>
              <w:t>单</w:t>
            </w:r>
            <w:r>
              <w:rPr>
                <w:spacing w:val="-40"/>
                <w:sz w:val="20"/>
                <w:szCs w:val="20"/>
              </w:rPr>
              <w:t xml:space="preserve"> </w:t>
            </w:r>
            <w:r>
              <w:rPr>
                <w:b/>
                <w:bCs/>
                <w:spacing w:val="-13"/>
                <w:sz w:val="20"/>
                <w:szCs w:val="20"/>
              </w:rPr>
              <w:t>位</w:t>
            </w:r>
            <w:r>
              <w:rPr>
                <w:spacing w:val="-24"/>
                <w:sz w:val="20"/>
                <w:szCs w:val="20"/>
              </w:rPr>
              <w:t xml:space="preserve"> </w:t>
            </w:r>
            <w:r>
              <w:rPr>
                <w:b/>
                <w:bCs/>
                <w:spacing w:val="-13"/>
                <w:sz w:val="20"/>
                <w:szCs w:val="20"/>
              </w:rPr>
              <w:t>：</w:t>
            </w:r>
            <w:r>
              <w:rPr>
                <w:spacing w:val="-38"/>
                <w:sz w:val="20"/>
                <w:szCs w:val="20"/>
              </w:rPr>
              <w:t xml:space="preserve"> </w:t>
            </w:r>
            <w:r>
              <w:rPr>
                <w:b/>
                <w:bCs/>
                <w:spacing w:val="-13"/>
                <w:sz w:val="20"/>
                <w:szCs w:val="20"/>
              </w:rPr>
              <w:t>d</w:t>
            </w:r>
            <w:r>
              <w:rPr>
                <w:spacing w:val="-46"/>
                <w:sz w:val="20"/>
                <w:szCs w:val="20"/>
              </w:rPr>
              <w:t xml:space="preserve"> </w:t>
            </w:r>
            <w:r>
              <w:rPr>
                <w:b/>
                <w:bCs/>
                <w:spacing w:val="-13"/>
                <w:sz w:val="20"/>
                <w:szCs w:val="20"/>
              </w:rPr>
              <w:t>B</w:t>
            </w:r>
            <w:r>
              <w:rPr>
                <w:spacing w:val="-13"/>
                <w:sz w:val="20"/>
                <w:szCs w:val="20"/>
              </w:rPr>
              <w:t xml:space="preserve"> </w:t>
            </w:r>
            <w:r>
              <w:rPr>
                <w:b/>
                <w:bCs/>
                <w:spacing w:val="-13"/>
                <w:sz w:val="20"/>
                <w:szCs w:val="20"/>
              </w:rPr>
              <w:t>(</w:t>
            </w:r>
            <w:r>
              <w:rPr>
                <w:spacing w:val="-48"/>
                <w:sz w:val="20"/>
                <w:szCs w:val="20"/>
              </w:rPr>
              <w:t xml:space="preserve"> </w:t>
            </w:r>
            <w:r>
              <w:rPr>
                <w:b/>
                <w:bCs/>
                <w:spacing w:val="-13"/>
                <w:sz w:val="20"/>
                <w:szCs w:val="20"/>
              </w:rPr>
              <w:t>A</w:t>
            </w:r>
            <w:r>
              <w:rPr>
                <w:spacing w:val="-41"/>
                <w:sz w:val="20"/>
                <w:szCs w:val="20"/>
              </w:rPr>
              <w:t xml:space="preserve"> </w:t>
            </w:r>
            <w:r>
              <w:rPr>
                <w:b/>
                <w:bCs/>
                <w:spacing w:val="-13"/>
                <w:sz w:val="20"/>
                <w:szCs w:val="20"/>
              </w:rPr>
              <w:t>)</w:t>
            </w:r>
          </w:p>
        </w:tc>
      </w:tr>
      <w:tr w14:paraId="7D98A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684" w:type="dxa"/>
            <w:vMerge w:val="continue"/>
            <w:tcBorders>
              <w:top w:val="nil"/>
              <w:bottom w:val="nil"/>
            </w:tcBorders>
            <w:vAlign w:val="top"/>
          </w:tcPr>
          <w:p w14:paraId="1D0B8622">
            <w:pPr>
              <w:rPr>
                <w:rFonts w:ascii="Arial"/>
                <w:sz w:val="21"/>
              </w:rPr>
            </w:pPr>
          </w:p>
        </w:tc>
        <w:tc>
          <w:tcPr>
            <w:tcW w:w="110" w:type="dxa"/>
            <w:tcBorders>
              <w:bottom w:val="nil"/>
            </w:tcBorders>
            <w:vAlign w:val="top"/>
          </w:tcPr>
          <w:p w14:paraId="1BA70AEF">
            <w:pPr>
              <w:rPr>
                <w:rFonts w:ascii="Arial"/>
                <w:sz w:val="21"/>
              </w:rPr>
            </w:pPr>
          </w:p>
        </w:tc>
        <w:tc>
          <w:tcPr>
            <w:tcW w:w="619" w:type="dxa"/>
            <w:vAlign w:val="top"/>
          </w:tcPr>
          <w:p w14:paraId="12680622">
            <w:pPr>
              <w:pStyle w:val="6"/>
              <w:spacing w:before="29" w:line="221" w:lineRule="auto"/>
              <w:ind w:right="21"/>
              <w:jc w:val="right"/>
              <w:rPr>
                <w:sz w:val="20"/>
                <w:szCs w:val="20"/>
              </w:rPr>
            </w:pPr>
            <w:r>
              <w:rPr>
                <w:spacing w:val="8"/>
                <w:sz w:val="20"/>
                <w:szCs w:val="20"/>
              </w:rPr>
              <w:t>监测</w:t>
            </w:r>
          </w:p>
          <w:p w14:paraId="2BAE4DDB">
            <w:pPr>
              <w:pStyle w:val="6"/>
              <w:spacing w:before="40" w:line="221" w:lineRule="auto"/>
              <w:ind w:left="171"/>
              <w:rPr>
                <w:sz w:val="20"/>
                <w:szCs w:val="20"/>
              </w:rPr>
            </w:pPr>
            <w:r>
              <w:rPr>
                <w:spacing w:val="3"/>
                <w:sz w:val="20"/>
                <w:szCs w:val="20"/>
              </w:rPr>
              <w:t>点位</w:t>
            </w:r>
          </w:p>
        </w:tc>
        <w:tc>
          <w:tcPr>
            <w:tcW w:w="1169" w:type="dxa"/>
            <w:vAlign w:val="top"/>
          </w:tcPr>
          <w:p w14:paraId="7B2407C0">
            <w:pPr>
              <w:pStyle w:val="6"/>
              <w:spacing w:before="179" w:line="220" w:lineRule="auto"/>
              <w:ind w:right="33"/>
              <w:jc w:val="right"/>
              <w:rPr>
                <w:sz w:val="20"/>
                <w:szCs w:val="20"/>
              </w:rPr>
            </w:pPr>
            <w:r>
              <w:rPr>
                <w:spacing w:val="3"/>
                <w:sz w:val="20"/>
                <w:szCs w:val="20"/>
              </w:rPr>
              <w:t>监测日期</w:t>
            </w:r>
          </w:p>
        </w:tc>
        <w:tc>
          <w:tcPr>
            <w:tcW w:w="2617" w:type="dxa"/>
            <w:gridSpan w:val="2"/>
            <w:vAlign w:val="top"/>
          </w:tcPr>
          <w:p w14:paraId="35E026E6">
            <w:pPr>
              <w:pStyle w:val="6"/>
              <w:spacing w:before="179" w:line="221" w:lineRule="auto"/>
              <w:ind w:left="953"/>
              <w:rPr>
                <w:sz w:val="20"/>
                <w:szCs w:val="20"/>
              </w:rPr>
            </w:pPr>
            <w:r>
              <w:rPr>
                <w:spacing w:val="-2"/>
                <w:sz w:val="20"/>
                <w:szCs w:val="20"/>
              </w:rPr>
              <w:t>监测时段</w:t>
            </w:r>
          </w:p>
        </w:tc>
        <w:tc>
          <w:tcPr>
            <w:tcW w:w="1529" w:type="dxa"/>
            <w:vAlign w:val="top"/>
          </w:tcPr>
          <w:p w14:paraId="738B0149">
            <w:pPr>
              <w:pStyle w:val="6"/>
              <w:spacing w:before="173" w:line="214" w:lineRule="auto"/>
              <w:ind w:left="256"/>
              <w:rPr>
                <w:sz w:val="20"/>
                <w:szCs w:val="20"/>
              </w:rPr>
            </w:pPr>
            <w:r>
              <w:rPr>
                <w:spacing w:val="-1"/>
                <w:sz w:val="20"/>
                <w:szCs w:val="20"/>
              </w:rPr>
              <w:t>Leq(dB(A))</w:t>
            </w:r>
          </w:p>
        </w:tc>
        <w:tc>
          <w:tcPr>
            <w:tcW w:w="1418" w:type="dxa"/>
            <w:vAlign w:val="top"/>
          </w:tcPr>
          <w:p w14:paraId="1E2F8DE5">
            <w:pPr>
              <w:pStyle w:val="6"/>
              <w:spacing w:before="178" w:line="219" w:lineRule="auto"/>
              <w:ind w:left="407"/>
              <w:rPr>
                <w:sz w:val="20"/>
                <w:szCs w:val="20"/>
              </w:rPr>
            </w:pPr>
            <w:r>
              <w:rPr>
                <w:spacing w:val="-2"/>
                <w:sz w:val="20"/>
                <w:szCs w:val="20"/>
              </w:rPr>
              <w:t>标准值</w:t>
            </w:r>
          </w:p>
        </w:tc>
        <w:tc>
          <w:tcPr>
            <w:tcW w:w="999" w:type="dxa"/>
            <w:vAlign w:val="top"/>
          </w:tcPr>
          <w:p w14:paraId="4E4B5AB9">
            <w:pPr>
              <w:pStyle w:val="6"/>
              <w:spacing w:before="179" w:line="220" w:lineRule="auto"/>
              <w:ind w:left="19"/>
              <w:rPr>
                <w:sz w:val="20"/>
                <w:szCs w:val="20"/>
              </w:rPr>
            </w:pPr>
            <w:r>
              <w:rPr>
                <w:spacing w:val="-2"/>
                <w:sz w:val="20"/>
                <w:szCs w:val="20"/>
              </w:rPr>
              <w:t>达标情况</w:t>
            </w:r>
          </w:p>
        </w:tc>
        <w:tc>
          <w:tcPr>
            <w:tcW w:w="265" w:type="dxa"/>
            <w:vMerge w:val="restart"/>
            <w:tcBorders>
              <w:bottom w:val="nil"/>
            </w:tcBorders>
            <w:vAlign w:val="top"/>
          </w:tcPr>
          <w:p w14:paraId="6F704388">
            <w:pPr>
              <w:rPr>
                <w:rFonts w:ascii="Arial"/>
                <w:sz w:val="21"/>
              </w:rPr>
            </w:pPr>
          </w:p>
        </w:tc>
      </w:tr>
      <w:tr w14:paraId="2315F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684" w:type="dxa"/>
            <w:vMerge w:val="continue"/>
            <w:tcBorders>
              <w:top w:val="nil"/>
              <w:bottom w:val="nil"/>
            </w:tcBorders>
            <w:vAlign w:val="top"/>
          </w:tcPr>
          <w:p w14:paraId="64DF89E2">
            <w:pPr>
              <w:rPr>
                <w:rFonts w:ascii="Arial"/>
                <w:sz w:val="21"/>
              </w:rPr>
            </w:pPr>
          </w:p>
        </w:tc>
        <w:tc>
          <w:tcPr>
            <w:tcW w:w="110" w:type="dxa"/>
            <w:tcBorders>
              <w:top w:val="nil"/>
              <w:bottom w:val="nil"/>
            </w:tcBorders>
            <w:vAlign w:val="top"/>
          </w:tcPr>
          <w:p w14:paraId="5279F6DB">
            <w:pPr>
              <w:spacing w:line="239" w:lineRule="exact"/>
              <w:rPr>
                <w:rFonts w:ascii="Arial"/>
                <w:sz w:val="20"/>
              </w:rPr>
            </w:pPr>
          </w:p>
        </w:tc>
        <w:tc>
          <w:tcPr>
            <w:tcW w:w="619" w:type="dxa"/>
            <w:vMerge w:val="restart"/>
            <w:tcBorders>
              <w:bottom w:val="nil"/>
            </w:tcBorders>
            <w:vAlign w:val="top"/>
          </w:tcPr>
          <w:p w14:paraId="7EA40A83">
            <w:pPr>
              <w:pStyle w:val="6"/>
              <w:spacing w:before="178" w:line="244" w:lineRule="auto"/>
              <w:ind w:left="171" w:right="14"/>
              <w:rPr>
                <w:sz w:val="20"/>
                <w:szCs w:val="20"/>
              </w:rPr>
            </w:pPr>
            <w:r>
              <w:rPr>
                <w:spacing w:val="2"/>
                <w:sz w:val="20"/>
                <w:szCs w:val="20"/>
              </w:rPr>
              <w:t>1#发</w:t>
            </w:r>
            <w:r>
              <w:rPr>
                <w:spacing w:val="1"/>
                <w:sz w:val="20"/>
                <w:szCs w:val="20"/>
              </w:rPr>
              <w:t xml:space="preserve"> </w:t>
            </w:r>
            <w:r>
              <w:rPr>
                <w:spacing w:val="11"/>
                <w:sz w:val="20"/>
                <w:szCs w:val="20"/>
              </w:rPr>
              <w:t>峨哨</w:t>
            </w:r>
          </w:p>
          <w:p w14:paraId="5558AD9D">
            <w:pPr>
              <w:pStyle w:val="6"/>
              <w:spacing w:before="12" w:line="221" w:lineRule="auto"/>
              <w:ind w:right="26"/>
              <w:jc w:val="right"/>
              <w:rPr>
                <w:sz w:val="20"/>
                <w:szCs w:val="20"/>
              </w:rPr>
            </w:pPr>
            <w:r>
              <w:rPr>
                <w:spacing w:val="5"/>
                <w:sz w:val="20"/>
                <w:szCs w:val="20"/>
              </w:rPr>
              <w:t>小学</w:t>
            </w:r>
          </w:p>
        </w:tc>
        <w:tc>
          <w:tcPr>
            <w:tcW w:w="1169" w:type="dxa"/>
            <w:vMerge w:val="restart"/>
            <w:tcBorders>
              <w:bottom w:val="nil"/>
            </w:tcBorders>
            <w:vAlign w:val="top"/>
          </w:tcPr>
          <w:p w14:paraId="06C873B6">
            <w:pPr>
              <w:pStyle w:val="6"/>
              <w:spacing w:before="198" w:line="239" w:lineRule="auto"/>
              <w:ind w:left="112"/>
              <w:rPr>
                <w:sz w:val="20"/>
                <w:szCs w:val="20"/>
              </w:rPr>
            </w:pPr>
            <w:r>
              <w:rPr>
                <w:spacing w:val="-1"/>
                <w:sz w:val="20"/>
                <w:szCs w:val="20"/>
              </w:rPr>
              <w:t>2024.09.07</w:t>
            </w:r>
          </w:p>
        </w:tc>
        <w:tc>
          <w:tcPr>
            <w:tcW w:w="849" w:type="dxa"/>
            <w:vAlign w:val="top"/>
          </w:tcPr>
          <w:p w14:paraId="52420946">
            <w:pPr>
              <w:pStyle w:val="6"/>
              <w:spacing w:before="32" w:line="191" w:lineRule="auto"/>
              <w:ind w:left="263"/>
              <w:rPr>
                <w:sz w:val="20"/>
                <w:szCs w:val="20"/>
              </w:rPr>
            </w:pPr>
            <w:r>
              <w:rPr>
                <w:spacing w:val="9"/>
                <w:sz w:val="20"/>
                <w:szCs w:val="20"/>
              </w:rPr>
              <w:t>昼间</w:t>
            </w:r>
          </w:p>
        </w:tc>
        <w:tc>
          <w:tcPr>
            <w:tcW w:w="1768" w:type="dxa"/>
            <w:vAlign w:val="top"/>
          </w:tcPr>
          <w:p w14:paraId="4B04CF28">
            <w:pPr>
              <w:pStyle w:val="6"/>
              <w:spacing w:before="49" w:line="175" w:lineRule="auto"/>
              <w:ind w:left="324"/>
              <w:rPr>
                <w:sz w:val="20"/>
                <w:szCs w:val="20"/>
              </w:rPr>
            </w:pPr>
            <w:r>
              <w:rPr>
                <w:spacing w:val="-1"/>
                <w:sz w:val="20"/>
                <w:szCs w:val="20"/>
              </w:rPr>
              <w:t>08:34-08:44</w:t>
            </w:r>
          </w:p>
        </w:tc>
        <w:tc>
          <w:tcPr>
            <w:tcW w:w="1529" w:type="dxa"/>
            <w:vAlign w:val="top"/>
          </w:tcPr>
          <w:p w14:paraId="034541AF">
            <w:pPr>
              <w:pStyle w:val="6"/>
              <w:spacing w:before="49" w:line="175" w:lineRule="auto"/>
              <w:ind w:left="656"/>
              <w:rPr>
                <w:sz w:val="20"/>
                <w:szCs w:val="20"/>
              </w:rPr>
            </w:pPr>
            <w:r>
              <w:rPr>
                <w:spacing w:val="-3"/>
                <w:sz w:val="20"/>
                <w:szCs w:val="20"/>
              </w:rPr>
              <w:t>50</w:t>
            </w:r>
          </w:p>
        </w:tc>
        <w:tc>
          <w:tcPr>
            <w:tcW w:w="1418" w:type="dxa"/>
            <w:vAlign w:val="top"/>
          </w:tcPr>
          <w:p w14:paraId="6963F359">
            <w:pPr>
              <w:pStyle w:val="6"/>
              <w:spacing w:before="49" w:line="175" w:lineRule="auto"/>
              <w:ind w:left="607"/>
              <w:rPr>
                <w:sz w:val="20"/>
                <w:szCs w:val="20"/>
              </w:rPr>
            </w:pPr>
            <w:r>
              <w:rPr>
                <w:spacing w:val="-3"/>
                <w:sz w:val="20"/>
                <w:szCs w:val="20"/>
              </w:rPr>
              <w:t>55</w:t>
            </w:r>
          </w:p>
        </w:tc>
        <w:tc>
          <w:tcPr>
            <w:tcW w:w="999" w:type="dxa"/>
            <w:vAlign w:val="top"/>
          </w:tcPr>
          <w:p w14:paraId="11E66148">
            <w:pPr>
              <w:pStyle w:val="6"/>
              <w:spacing w:before="29" w:line="193" w:lineRule="auto"/>
              <w:ind w:left="419"/>
              <w:rPr>
                <w:sz w:val="20"/>
                <w:szCs w:val="20"/>
              </w:rPr>
            </w:pPr>
            <w:r>
              <w:rPr>
                <w:spacing w:val="-2"/>
                <w:sz w:val="20"/>
                <w:szCs w:val="20"/>
              </w:rPr>
              <w:t>达标</w:t>
            </w:r>
          </w:p>
        </w:tc>
        <w:tc>
          <w:tcPr>
            <w:tcW w:w="265" w:type="dxa"/>
            <w:vMerge w:val="continue"/>
            <w:tcBorders>
              <w:top w:val="nil"/>
              <w:bottom w:val="nil"/>
            </w:tcBorders>
            <w:vAlign w:val="top"/>
          </w:tcPr>
          <w:p w14:paraId="07B02E16">
            <w:pPr>
              <w:rPr>
                <w:rFonts w:ascii="Arial"/>
                <w:sz w:val="21"/>
              </w:rPr>
            </w:pPr>
          </w:p>
        </w:tc>
      </w:tr>
      <w:tr w14:paraId="73CB7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684" w:type="dxa"/>
            <w:vMerge w:val="continue"/>
            <w:tcBorders>
              <w:top w:val="nil"/>
              <w:bottom w:val="nil"/>
            </w:tcBorders>
            <w:vAlign w:val="top"/>
          </w:tcPr>
          <w:p w14:paraId="2693428F">
            <w:pPr>
              <w:rPr>
                <w:rFonts w:ascii="Arial"/>
                <w:sz w:val="21"/>
              </w:rPr>
            </w:pPr>
          </w:p>
        </w:tc>
        <w:tc>
          <w:tcPr>
            <w:tcW w:w="110" w:type="dxa"/>
            <w:tcBorders>
              <w:top w:val="nil"/>
              <w:bottom w:val="nil"/>
            </w:tcBorders>
            <w:vAlign w:val="top"/>
          </w:tcPr>
          <w:p w14:paraId="704A24EB">
            <w:pPr>
              <w:rPr>
                <w:rFonts w:ascii="Arial"/>
                <w:sz w:val="21"/>
              </w:rPr>
            </w:pPr>
          </w:p>
        </w:tc>
        <w:tc>
          <w:tcPr>
            <w:tcW w:w="619" w:type="dxa"/>
            <w:vMerge w:val="continue"/>
            <w:tcBorders>
              <w:top w:val="nil"/>
              <w:bottom w:val="nil"/>
            </w:tcBorders>
            <w:vAlign w:val="top"/>
          </w:tcPr>
          <w:p w14:paraId="34720711">
            <w:pPr>
              <w:rPr>
                <w:rFonts w:ascii="Arial"/>
                <w:sz w:val="21"/>
              </w:rPr>
            </w:pPr>
          </w:p>
        </w:tc>
        <w:tc>
          <w:tcPr>
            <w:tcW w:w="1169" w:type="dxa"/>
            <w:vMerge w:val="continue"/>
            <w:tcBorders>
              <w:top w:val="nil"/>
            </w:tcBorders>
            <w:vAlign w:val="top"/>
          </w:tcPr>
          <w:p w14:paraId="7A949009">
            <w:pPr>
              <w:rPr>
                <w:rFonts w:ascii="Arial"/>
                <w:sz w:val="21"/>
              </w:rPr>
            </w:pPr>
          </w:p>
        </w:tc>
        <w:tc>
          <w:tcPr>
            <w:tcW w:w="849" w:type="dxa"/>
            <w:vAlign w:val="top"/>
          </w:tcPr>
          <w:p w14:paraId="3F8BA707">
            <w:pPr>
              <w:pStyle w:val="6"/>
              <w:spacing w:before="50" w:line="219" w:lineRule="auto"/>
              <w:ind w:left="213"/>
              <w:rPr>
                <w:sz w:val="20"/>
                <w:szCs w:val="20"/>
              </w:rPr>
            </w:pPr>
            <w:r>
              <w:rPr>
                <w:spacing w:val="9"/>
                <w:sz w:val="20"/>
                <w:szCs w:val="20"/>
              </w:rPr>
              <w:t>夜间</w:t>
            </w:r>
          </w:p>
        </w:tc>
        <w:tc>
          <w:tcPr>
            <w:tcW w:w="1768" w:type="dxa"/>
            <w:vAlign w:val="top"/>
          </w:tcPr>
          <w:p w14:paraId="06135A97">
            <w:pPr>
              <w:pStyle w:val="6"/>
              <w:spacing w:before="70" w:line="201" w:lineRule="auto"/>
              <w:ind w:left="324"/>
              <w:rPr>
                <w:sz w:val="20"/>
                <w:szCs w:val="20"/>
              </w:rPr>
            </w:pPr>
            <w:r>
              <w:rPr>
                <w:spacing w:val="-1"/>
                <w:sz w:val="20"/>
                <w:szCs w:val="20"/>
              </w:rPr>
              <w:t>22:03-22:13</w:t>
            </w:r>
          </w:p>
        </w:tc>
        <w:tc>
          <w:tcPr>
            <w:tcW w:w="1529" w:type="dxa"/>
            <w:vAlign w:val="top"/>
          </w:tcPr>
          <w:p w14:paraId="34F94288">
            <w:pPr>
              <w:pStyle w:val="6"/>
              <w:spacing w:before="70" w:line="201" w:lineRule="auto"/>
              <w:ind w:left="656"/>
              <w:rPr>
                <w:sz w:val="20"/>
                <w:szCs w:val="20"/>
              </w:rPr>
            </w:pPr>
            <w:r>
              <w:rPr>
                <w:spacing w:val="-2"/>
                <w:sz w:val="20"/>
                <w:szCs w:val="20"/>
              </w:rPr>
              <w:t>43</w:t>
            </w:r>
          </w:p>
        </w:tc>
        <w:tc>
          <w:tcPr>
            <w:tcW w:w="1418" w:type="dxa"/>
            <w:vAlign w:val="top"/>
          </w:tcPr>
          <w:p w14:paraId="37CD4950">
            <w:pPr>
              <w:pStyle w:val="6"/>
              <w:spacing w:before="70" w:line="201" w:lineRule="auto"/>
              <w:ind w:left="607"/>
              <w:rPr>
                <w:sz w:val="20"/>
                <w:szCs w:val="20"/>
              </w:rPr>
            </w:pPr>
            <w:r>
              <w:rPr>
                <w:spacing w:val="-2"/>
                <w:sz w:val="20"/>
                <w:szCs w:val="20"/>
              </w:rPr>
              <w:t>45</w:t>
            </w:r>
          </w:p>
        </w:tc>
        <w:tc>
          <w:tcPr>
            <w:tcW w:w="999" w:type="dxa"/>
            <w:vAlign w:val="top"/>
          </w:tcPr>
          <w:p w14:paraId="559F26BF">
            <w:pPr>
              <w:pStyle w:val="6"/>
              <w:spacing w:before="50" w:line="219" w:lineRule="auto"/>
              <w:ind w:left="419"/>
              <w:rPr>
                <w:sz w:val="20"/>
                <w:szCs w:val="20"/>
              </w:rPr>
            </w:pPr>
            <w:r>
              <w:rPr>
                <w:spacing w:val="-2"/>
                <w:sz w:val="20"/>
                <w:szCs w:val="20"/>
              </w:rPr>
              <w:t>达标</w:t>
            </w:r>
          </w:p>
        </w:tc>
        <w:tc>
          <w:tcPr>
            <w:tcW w:w="265" w:type="dxa"/>
            <w:vMerge w:val="continue"/>
            <w:tcBorders>
              <w:top w:val="nil"/>
              <w:bottom w:val="nil"/>
            </w:tcBorders>
            <w:vAlign w:val="top"/>
          </w:tcPr>
          <w:p w14:paraId="491191CB">
            <w:pPr>
              <w:rPr>
                <w:rFonts w:ascii="Arial"/>
                <w:sz w:val="21"/>
              </w:rPr>
            </w:pPr>
          </w:p>
        </w:tc>
      </w:tr>
      <w:tr w14:paraId="3D647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684" w:type="dxa"/>
            <w:vMerge w:val="continue"/>
            <w:tcBorders>
              <w:top w:val="nil"/>
              <w:bottom w:val="nil"/>
            </w:tcBorders>
            <w:vAlign w:val="top"/>
          </w:tcPr>
          <w:p w14:paraId="6B7BD896">
            <w:pPr>
              <w:rPr>
                <w:rFonts w:ascii="Arial"/>
                <w:sz w:val="21"/>
              </w:rPr>
            </w:pPr>
          </w:p>
        </w:tc>
        <w:tc>
          <w:tcPr>
            <w:tcW w:w="110" w:type="dxa"/>
            <w:tcBorders>
              <w:top w:val="nil"/>
              <w:bottom w:val="nil"/>
            </w:tcBorders>
            <w:vAlign w:val="top"/>
          </w:tcPr>
          <w:p w14:paraId="4CA9A306">
            <w:pPr>
              <w:spacing w:line="230" w:lineRule="exact"/>
              <w:rPr>
                <w:rFonts w:ascii="Arial"/>
                <w:sz w:val="20"/>
              </w:rPr>
            </w:pPr>
          </w:p>
        </w:tc>
        <w:tc>
          <w:tcPr>
            <w:tcW w:w="619" w:type="dxa"/>
            <w:vMerge w:val="continue"/>
            <w:tcBorders>
              <w:top w:val="nil"/>
              <w:bottom w:val="nil"/>
            </w:tcBorders>
            <w:vAlign w:val="top"/>
          </w:tcPr>
          <w:p w14:paraId="485A127A">
            <w:pPr>
              <w:rPr>
                <w:rFonts w:ascii="Arial"/>
                <w:sz w:val="21"/>
              </w:rPr>
            </w:pPr>
          </w:p>
        </w:tc>
        <w:tc>
          <w:tcPr>
            <w:tcW w:w="1169" w:type="dxa"/>
            <w:vMerge w:val="restart"/>
            <w:tcBorders>
              <w:bottom w:val="nil"/>
            </w:tcBorders>
            <w:vAlign w:val="top"/>
          </w:tcPr>
          <w:p w14:paraId="14CFC4E7">
            <w:pPr>
              <w:pStyle w:val="6"/>
              <w:spacing w:before="192" w:line="239" w:lineRule="auto"/>
              <w:ind w:left="112"/>
              <w:rPr>
                <w:sz w:val="20"/>
                <w:szCs w:val="20"/>
              </w:rPr>
            </w:pPr>
            <w:r>
              <w:rPr>
                <w:spacing w:val="-1"/>
                <w:sz w:val="20"/>
                <w:szCs w:val="20"/>
              </w:rPr>
              <w:t>2024.09.08</w:t>
            </w:r>
          </w:p>
        </w:tc>
        <w:tc>
          <w:tcPr>
            <w:tcW w:w="849" w:type="dxa"/>
            <w:vAlign w:val="top"/>
          </w:tcPr>
          <w:p w14:paraId="0893837F">
            <w:pPr>
              <w:pStyle w:val="6"/>
              <w:spacing w:before="35" w:line="180" w:lineRule="auto"/>
              <w:ind w:left="213"/>
              <w:rPr>
                <w:sz w:val="20"/>
                <w:szCs w:val="20"/>
              </w:rPr>
            </w:pPr>
            <w:r>
              <w:rPr>
                <w:spacing w:val="9"/>
                <w:sz w:val="20"/>
                <w:szCs w:val="20"/>
              </w:rPr>
              <w:t>昼间</w:t>
            </w:r>
          </w:p>
        </w:tc>
        <w:tc>
          <w:tcPr>
            <w:tcW w:w="1768" w:type="dxa"/>
            <w:vAlign w:val="top"/>
          </w:tcPr>
          <w:p w14:paraId="2C440290">
            <w:pPr>
              <w:pStyle w:val="6"/>
              <w:spacing w:before="52" w:line="164" w:lineRule="auto"/>
              <w:ind w:left="324"/>
              <w:rPr>
                <w:sz w:val="20"/>
                <w:szCs w:val="20"/>
              </w:rPr>
            </w:pPr>
            <w:r>
              <w:rPr>
                <w:spacing w:val="-1"/>
                <w:sz w:val="20"/>
                <w:szCs w:val="20"/>
              </w:rPr>
              <w:t>09:14-09:24</w:t>
            </w:r>
          </w:p>
        </w:tc>
        <w:tc>
          <w:tcPr>
            <w:tcW w:w="1529" w:type="dxa"/>
            <w:vAlign w:val="top"/>
          </w:tcPr>
          <w:p w14:paraId="3B7C8FC8">
            <w:pPr>
              <w:pStyle w:val="6"/>
              <w:spacing w:before="52" w:line="164" w:lineRule="auto"/>
              <w:ind w:left="656"/>
              <w:rPr>
                <w:sz w:val="20"/>
                <w:szCs w:val="20"/>
              </w:rPr>
            </w:pPr>
            <w:r>
              <w:rPr>
                <w:spacing w:val="-3"/>
                <w:sz w:val="20"/>
                <w:szCs w:val="20"/>
              </w:rPr>
              <w:t>50</w:t>
            </w:r>
          </w:p>
        </w:tc>
        <w:tc>
          <w:tcPr>
            <w:tcW w:w="1418" w:type="dxa"/>
            <w:vAlign w:val="top"/>
          </w:tcPr>
          <w:p w14:paraId="1DE66305">
            <w:pPr>
              <w:pStyle w:val="6"/>
              <w:spacing w:before="52" w:line="164" w:lineRule="auto"/>
              <w:ind w:left="607"/>
              <w:rPr>
                <w:sz w:val="20"/>
                <w:szCs w:val="20"/>
              </w:rPr>
            </w:pPr>
            <w:r>
              <w:rPr>
                <w:spacing w:val="-3"/>
                <w:sz w:val="20"/>
                <w:szCs w:val="20"/>
              </w:rPr>
              <w:t>55</w:t>
            </w:r>
          </w:p>
        </w:tc>
        <w:tc>
          <w:tcPr>
            <w:tcW w:w="999" w:type="dxa"/>
            <w:vAlign w:val="top"/>
          </w:tcPr>
          <w:p w14:paraId="6B42CBB2">
            <w:pPr>
              <w:pStyle w:val="6"/>
              <w:spacing w:before="32" w:line="182" w:lineRule="auto"/>
              <w:ind w:left="419"/>
              <w:rPr>
                <w:sz w:val="20"/>
                <w:szCs w:val="20"/>
              </w:rPr>
            </w:pPr>
            <w:r>
              <w:rPr>
                <w:spacing w:val="-2"/>
                <w:sz w:val="20"/>
                <w:szCs w:val="20"/>
              </w:rPr>
              <w:t>达标</w:t>
            </w:r>
          </w:p>
        </w:tc>
        <w:tc>
          <w:tcPr>
            <w:tcW w:w="265" w:type="dxa"/>
            <w:vMerge w:val="continue"/>
            <w:tcBorders>
              <w:top w:val="nil"/>
              <w:bottom w:val="nil"/>
            </w:tcBorders>
            <w:vAlign w:val="top"/>
          </w:tcPr>
          <w:p w14:paraId="711D07D7">
            <w:pPr>
              <w:rPr>
                <w:rFonts w:ascii="Arial"/>
                <w:sz w:val="21"/>
              </w:rPr>
            </w:pPr>
          </w:p>
        </w:tc>
      </w:tr>
      <w:tr w14:paraId="1DA79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684" w:type="dxa"/>
            <w:vMerge w:val="continue"/>
            <w:tcBorders>
              <w:top w:val="nil"/>
              <w:bottom w:val="nil"/>
            </w:tcBorders>
            <w:vAlign w:val="top"/>
          </w:tcPr>
          <w:p w14:paraId="6F7220E9">
            <w:pPr>
              <w:rPr>
                <w:rFonts w:ascii="Arial"/>
                <w:sz w:val="21"/>
              </w:rPr>
            </w:pPr>
          </w:p>
        </w:tc>
        <w:tc>
          <w:tcPr>
            <w:tcW w:w="110" w:type="dxa"/>
            <w:tcBorders>
              <w:top w:val="nil"/>
              <w:bottom w:val="nil"/>
            </w:tcBorders>
            <w:vAlign w:val="top"/>
          </w:tcPr>
          <w:p w14:paraId="26BFD12B">
            <w:pPr>
              <w:rPr>
                <w:rFonts w:ascii="Arial"/>
                <w:sz w:val="21"/>
              </w:rPr>
            </w:pPr>
          </w:p>
        </w:tc>
        <w:tc>
          <w:tcPr>
            <w:tcW w:w="619" w:type="dxa"/>
            <w:vMerge w:val="continue"/>
            <w:tcBorders>
              <w:top w:val="nil"/>
            </w:tcBorders>
            <w:vAlign w:val="top"/>
          </w:tcPr>
          <w:p w14:paraId="3B488A12">
            <w:pPr>
              <w:rPr>
                <w:rFonts w:ascii="Arial"/>
                <w:sz w:val="21"/>
              </w:rPr>
            </w:pPr>
          </w:p>
        </w:tc>
        <w:tc>
          <w:tcPr>
            <w:tcW w:w="1169" w:type="dxa"/>
            <w:vMerge w:val="continue"/>
            <w:tcBorders>
              <w:top w:val="nil"/>
            </w:tcBorders>
            <w:vAlign w:val="top"/>
          </w:tcPr>
          <w:p w14:paraId="014153BD">
            <w:pPr>
              <w:rPr>
                <w:rFonts w:ascii="Arial"/>
                <w:sz w:val="21"/>
              </w:rPr>
            </w:pPr>
          </w:p>
        </w:tc>
        <w:tc>
          <w:tcPr>
            <w:tcW w:w="849" w:type="dxa"/>
            <w:vAlign w:val="top"/>
          </w:tcPr>
          <w:p w14:paraId="0A591204">
            <w:pPr>
              <w:pStyle w:val="6"/>
              <w:spacing w:before="52" w:line="212" w:lineRule="auto"/>
              <w:ind w:left="263"/>
              <w:rPr>
                <w:sz w:val="20"/>
                <w:szCs w:val="20"/>
              </w:rPr>
            </w:pPr>
            <w:r>
              <w:rPr>
                <w:spacing w:val="9"/>
                <w:sz w:val="20"/>
                <w:szCs w:val="20"/>
              </w:rPr>
              <w:t>夜间</w:t>
            </w:r>
          </w:p>
        </w:tc>
        <w:tc>
          <w:tcPr>
            <w:tcW w:w="1768" w:type="dxa"/>
            <w:vAlign w:val="top"/>
          </w:tcPr>
          <w:p w14:paraId="2F5DE272">
            <w:pPr>
              <w:pStyle w:val="6"/>
              <w:spacing w:before="71" w:line="194" w:lineRule="auto"/>
              <w:ind w:left="324"/>
              <w:rPr>
                <w:sz w:val="20"/>
                <w:szCs w:val="20"/>
              </w:rPr>
            </w:pPr>
            <w:r>
              <w:rPr>
                <w:spacing w:val="-1"/>
                <w:sz w:val="20"/>
                <w:szCs w:val="20"/>
              </w:rPr>
              <w:t>22:04-22:14</w:t>
            </w:r>
          </w:p>
        </w:tc>
        <w:tc>
          <w:tcPr>
            <w:tcW w:w="1529" w:type="dxa"/>
            <w:vAlign w:val="top"/>
          </w:tcPr>
          <w:p w14:paraId="52ADF610">
            <w:pPr>
              <w:pStyle w:val="6"/>
              <w:spacing w:before="71" w:line="194" w:lineRule="auto"/>
              <w:ind w:left="656"/>
              <w:rPr>
                <w:sz w:val="20"/>
                <w:szCs w:val="20"/>
              </w:rPr>
            </w:pPr>
            <w:r>
              <w:rPr>
                <w:spacing w:val="-2"/>
                <w:sz w:val="20"/>
                <w:szCs w:val="20"/>
              </w:rPr>
              <w:t>42</w:t>
            </w:r>
          </w:p>
        </w:tc>
        <w:tc>
          <w:tcPr>
            <w:tcW w:w="1418" w:type="dxa"/>
            <w:vAlign w:val="top"/>
          </w:tcPr>
          <w:p w14:paraId="1EC3248C">
            <w:pPr>
              <w:pStyle w:val="6"/>
              <w:spacing w:before="71" w:line="194" w:lineRule="auto"/>
              <w:ind w:left="607"/>
              <w:rPr>
                <w:sz w:val="20"/>
                <w:szCs w:val="20"/>
              </w:rPr>
            </w:pPr>
            <w:r>
              <w:rPr>
                <w:spacing w:val="-2"/>
                <w:sz w:val="20"/>
                <w:szCs w:val="20"/>
              </w:rPr>
              <w:t>45</w:t>
            </w:r>
          </w:p>
        </w:tc>
        <w:tc>
          <w:tcPr>
            <w:tcW w:w="999" w:type="dxa"/>
            <w:vAlign w:val="top"/>
          </w:tcPr>
          <w:p w14:paraId="7D3363C8">
            <w:pPr>
              <w:pStyle w:val="6"/>
              <w:spacing w:before="52" w:line="212" w:lineRule="auto"/>
              <w:ind w:left="419"/>
              <w:rPr>
                <w:sz w:val="20"/>
                <w:szCs w:val="20"/>
              </w:rPr>
            </w:pPr>
            <w:r>
              <w:rPr>
                <w:spacing w:val="-2"/>
                <w:sz w:val="20"/>
                <w:szCs w:val="20"/>
              </w:rPr>
              <w:t>达标</w:t>
            </w:r>
          </w:p>
        </w:tc>
        <w:tc>
          <w:tcPr>
            <w:tcW w:w="265" w:type="dxa"/>
            <w:vMerge w:val="continue"/>
            <w:tcBorders>
              <w:top w:val="nil"/>
              <w:bottom w:val="nil"/>
            </w:tcBorders>
            <w:vAlign w:val="top"/>
          </w:tcPr>
          <w:p w14:paraId="5C1CA1D0">
            <w:pPr>
              <w:rPr>
                <w:rFonts w:ascii="Arial"/>
                <w:sz w:val="21"/>
              </w:rPr>
            </w:pPr>
          </w:p>
        </w:tc>
      </w:tr>
      <w:tr w14:paraId="5EBDA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684" w:type="dxa"/>
            <w:vMerge w:val="continue"/>
            <w:tcBorders>
              <w:top w:val="nil"/>
              <w:bottom w:val="nil"/>
            </w:tcBorders>
            <w:vAlign w:val="top"/>
          </w:tcPr>
          <w:p w14:paraId="30327A86">
            <w:pPr>
              <w:rPr>
                <w:rFonts w:ascii="Arial"/>
                <w:sz w:val="21"/>
              </w:rPr>
            </w:pPr>
          </w:p>
        </w:tc>
        <w:tc>
          <w:tcPr>
            <w:tcW w:w="110" w:type="dxa"/>
            <w:tcBorders>
              <w:top w:val="nil"/>
              <w:bottom w:val="nil"/>
            </w:tcBorders>
            <w:vAlign w:val="top"/>
          </w:tcPr>
          <w:p w14:paraId="4A4C250F">
            <w:pPr>
              <w:rPr>
                <w:rFonts w:ascii="Arial"/>
                <w:sz w:val="21"/>
              </w:rPr>
            </w:pPr>
          </w:p>
        </w:tc>
        <w:tc>
          <w:tcPr>
            <w:tcW w:w="619" w:type="dxa"/>
            <w:vMerge w:val="restart"/>
            <w:tcBorders>
              <w:bottom w:val="nil"/>
            </w:tcBorders>
            <w:vAlign w:val="top"/>
          </w:tcPr>
          <w:p w14:paraId="471D7270">
            <w:pPr>
              <w:pStyle w:val="6"/>
              <w:spacing w:before="121" w:line="232" w:lineRule="auto"/>
              <w:ind w:left="171" w:right="19" w:firstLine="100"/>
              <w:jc w:val="both"/>
              <w:rPr>
                <w:sz w:val="20"/>
                <w:szCs w:val="20"/>
              </w:rPr>
            </w:pPr>
            <w:r>
              <w:rPr>
                <w:spacing w:val="-8"/>
                <w:sz w:val="20"/>
                <w:szCs w:val="20"/>
              </w:rPr>
              <w:t>10#</w:t>
            </w:r>
            <w:r>
              <w:rPr>
                <w:sz w:val="20"/>
                <w:szCs w:val="20"/>
              </w:rPr>
              <w:t xml:space="preserve"> </w:t>
            </w:r>
            <w:r>
              <w:rPr>
                <w:spacing w:val="9"/>
                <w:sz w:val="20"/>
                <w:szCs w:val="20"/>
              </w:rPr>
              <w:t>放马</w:t>
            </w:r>
            <w:r>
              <w:rPr>
                <w:sz w:val="20"/>
                <w:szCs w:val="20"/>
              </w:rPr>
              <w:t xml:space="preserve"> </w:t>
            </w:r>
            <w:r>
              <w:rPr>
                <w:spacing w:val="-4"/>
                <w:sz w:val="20"/>
                <w:szCs w:val="20"/>
              </w:rPr>
              <w:t>沟散</w:t>
            </w:r>
            <w:r>
              <w:rPr>
                <w:sz w:val="20"/>
                <w:szCs w:val="20"/>
              </w:rPr>
              <w:t xml:space="preserve"> </w:t>
            </w:r>
            <w:r>
              <w:rPr>
                <w:spacing w:val="31"/>
                <w:sz w:val="20"/>
                <w:szCs w:val="20"/>
              </w:rPr>
              <w:t>户</w:t>
            </w:r>
          </w:p>
        </w:tc>
        <w:tc>
          <w:tcPr>
            <w:tcW w:w="1169" w:type="dxa"/>
            <w:vMerge w:val="restart"/>
            <w:tcBorders>
              <w:bottom w:val="nil"/>
            </w:tcBorders>
            <w:vAlign w:val="top"/>
          </w:tcPr>
          <w:p w14:paraId="738095BE">
            <w:pPr>
              <w:pStyle w:val="6"/>
              <w:spacing w:before="200" w:line="239" w:lineRule="auto"/>
              <w:ind w:left="112"/>
              <w:rPr>
                <w:sz w:val="20"/>
                <w:szCs w:val="20"/>
              </w:rPr>
            </w:pPr>
            <w:r>
              <w:rPr>
                <w:spacing w:val="-1"/>
                <w:sz w:val="20"/>
                <w:szCs w:val="20"/>
              </w:rPr>
              <w:t>2024.09.07</w:t>
            </w:r>
          </w:p>
        </w:tc>
        <w:tc>
          <w:tcPr>
            <w:tcW w:w="849" w:type="dxa"/>
            <w:vAlign w:val="top"/>
          </w:tcPr>
          <w:p w14:paraId="2EC270E1">
            <w:pPr>
              <w:pStyle w:val="6"/>
              <w:spacing w:before="42" w:line="193" w:lineRule="auto"/>
              <w:ind w:left="213"/>
              <w:rPr>
                <w:sz w:val="20"/>
                <w:szCs w:val="20"/>
              </w:rPr>
            </w:pPr>
            <w:r>
              <w:rPr>
                <w:spacing w:val="9"/>
                <w:sz w:val="20"/>
                <w:szCs w:val="20"/>
              </w:rPr>
              <w:t>昼间</w:t>
            </w:r>
          </w:p>
        </w:tc>
        <w:tc>
          <w:tcPr>
            <w:tcW w:w="1768" w:type="dxa"/>
            <w:vAlign w:val="top"/>
          </w:tcPr>
          <w:p w14:paraId="60E793DE">
            <w:pPr>
              <w:pStyle w:val="6"/>
              <w:spacing w:before="60" w:line="177" w:lineRule="auto"/>
              <w:ind w:left="324"/>
              <w:rPr>
                <w:sz w:val="20"/>
                <w:szCs w:val="20"/>
              </w:rPr>
            </w:pPr>
            <w:r>
              <w:rPr>
                <w:spacing w:val="-3"/>
                <w:sz w:val="20"/>
                <w:szCs w:val="20"/>
              </w:rPr>
              <w:t>12:04-12:14</w:t>
            </w:r>
          </w:p>
        </w:tc>
        <w:tc>
          <w:tcPr>
            <w:tcW w:w="1529" w:type="dxa"/>
            <w:vAlign w:val="top"/>
          </w:tcPr>
          <w:p w14:paraId="2BE9A8C3">
            <w:pPr>
              <w:pStyle w:val="6"/>
              <w:spacing w:before="60" w:line="177" w:lineRule="auto"/>
              <w:ind w:left="656"/>
              <w:rPr>
                <w:sz w:val="20"/>
                <w:szCs w:val="20"/>
              </w:rPr>
            </w:pPr>
            <w:r>
              <w:rPr>
                <w:spacing w:val="-3"/>
                <w:sz w:val="20"/>
                <w:szCs w:val="20"/>
              </w:rPr>
              <w:t>51</w:t>
            </w:r>
          </w:p>
        </w:tc>
        <w:tc>
          <w:tcPr>
            <w:tcW w:w="1418" w:type="dxa"/>
            <w:vAlign w:val="top"/>
          </w:tcPr>
          <w:p w14:paraId="78F8B3FA">
            <w:pPr>
              <w:pStyle w:val="6"/>
              <w:spacing w:before="60" w:line="177" w:lineRule="auto"/>
              <w:ind w:left="607"/>
              <w:rPr>
                <w:sz w:val="20"/>
                <w:szCs w:val="20"/>
              </w:rPr>
            </w:pPr>
            <w:r>
              <w:rPr>
                <w:spacing w:val="-3"/>
                <w:sz w:val="20"/>
                <w:szCs w:val="20"/>
              </w:rPr>
              <w:t>55</w:t>
            </w:r>
          </w:p>
        </w:tc>
        <w:tc>
          <w:tcPr>
            <w:tcW w:w="999" w:type="dxa"/>
            <w:vAlign w:val="top"/>
          </w:tcPr>
          <w:p w14:paraId="2F5E064C">
            <w:pPr>
              <w:pStyle w:val="6"/>
              <w:spacing w:before="40" w:line="195" w:lineRule="auto"/>
              <w:ind w:left="419"/>
              <w:rPr>
                <w:sz w:val="20"/>
                <w:szCs w:val="20"/>
              </w:rPr>
            </w:pPr>
            <w:r>
              <w:rPr>
                <w:spacing w:val="-2"/>
                <w:sz w:val="20"/>
                <w:szCs w:val="20"/>
              </w:rPr>
              <w:t>达标</w:t>
            </w:r>
          </w:p>
        </w:tc>
        <w:tc>
          <w:tcPr>
            <w:tcW w:w="265" w:type="dxa"/>
            <w:vMerge w:val="continue"/>
            <w:tcBorders>
              <w:top w:val="nil"/>
              <w:bottom w:val="nil"/>
            </w:tcBorders>
            <w:vAlign w:val="top"/>
          </w:tcPr>
          <w:p w14:paraId="6C62960F">
            <w:pPr>
              <w:rPr>
                <w:rFonts w:ascii="Arial"/>
                <w:sz w:val="21"/>
              </w:rPr>
            </w:pPr>
          </w:p>
        </w:tc>
      </w:tr>
      <w:tr w14:paraId="260FA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684" w:type="dxa"/>
            <w:vMerge w:val="continue"/>
            <w:tcBorders>
              <w:top w:val="nil"/>
              <w:bottom w:val="nil"/>
            </w:tcBorders>
            <w:vAlign w:val="top"/>
          </w:tcPr>
          <w:p w14:paraId="096FFCD1">
            <w:pPr>
              <w:rPr>
                <w:rFonts w:ascii="Arial"/>
                <w:sz w:val="21"/>
              </w:rPr>
            </w:pPr>
          </w:p>
        </w:tc>
        <w:tc>
          <w:tcPr>
            <w:tcW w:w="110" w:type="dxa"/>
            <w:tcBorders>
              <w:top w:val="nil"/>
              <w:bottom w:val="nil"/>
            </w:tcBorders>
            <w:vAlign w:val="top"/>
          </w:tcPr>
          <w:p w14:paraId="00B5C1B9">
            <w:pPr>
              <w:rPr>
                <w:rFonts w:ascii="Arial"/>
                <w:sz w:val="21"/>
              </w:rPr>
            </w:pPr>
          </w:p>
        </w:tc>
        <w:tc>
          <w:tcPr>
            <w:tcW w:w="619" w:type="dxa"/>
            <w:vMerge w:val="continue"/>
            <w:tcBorders>
              <w:top w:val="nil"/>
              <w:bottom w:val="nil"/>
            </w:tcBorders>
            <w:vAlign w:val="top"/>
          </w:tcPr>
          <w:p w14:paraId="52CF94E6">
            <w:pPr>
              <w:rPr>
                <w:rFonts w:ascii="Arial"/>
                <w:sz w:val="21"/>
              </w:rPr>
            </w:pPr>
          </w:p>
        </w:tc>
        <w:tc>
          <w:tcPr>
            <w:tcW w:w="1169" w:type="dxa"/>
            <w:vMerge w:val="continue"/>
            <w:tcBorders>
              <w:top w:val="nil"/>
            </w:tcBorders>
            <w:vAlign w:val="top"/>
          </w:tcPr>
          <w:p w14:paraId="33408C00">
            <w:pPr>
              <w:rPr>
                <w:rFonts w:ascii="Arial"/>
                <w:sz w:val="21"/>
              </w:rPr>
            </w:pPr>
          </w:p>
        </w:tc>
        <w:tc>
          <w:tcPr>
            <w:tcW w:w="849" w:type="dxa"/>
            <w:vAlign w:val="top"/>
          </w:tcPr>
          <w:p w14:paraId="4224D21B">
            <w:pPr>
              <w:pStyle w:val="6"/>
              <w:spacing w:before="47" w:line="207" w:lineRule="auto"/>
              <w:ind w:left="213"/>
              <w:rPr>
                <w:sz w:val="20"/>
                <w:szCs w:val="20"/>
              </w:rPr>
            </w:pPr>
            <w:r>
              <w:rPr>
                <w:spacing w:val="9"/>
                <w:sz w:val="20"/>
                <w:szCs w:val="20"/>
              </w:rPr>
              <w:t>夜间</w:t>
            </w:r>
          </w:p>
        </w:tc>
        <w:tc>
          <w:tcPr>
            <w:tcW w:w="1768" w:type="dxa"/>
            <w:vAlign w:val="top"/>
          </w:tcPr>
          <w:p w14:paraId="6064777C">
            <w:pPr>
              <w:pStyle w:val="6"/>
              <w:spacing w:before="47" w:line="207" w:lineRule="auto"/>
              <w:ind w:left="124"/>
              <w:rPr>
                <w:sz w:val="20"/>
                <w:szCs w:val="20"/>
              </w:rPr>
            </w:pPr>
            <w:r>
              <w:rPr>
                <w:sz w:val="20"/>
                <w:szCs w:val="20"/>
              </w:rPr>
              <w:t>次日01:26-01:36</w:t>
            </w:r>
          </w:p>
        </w:tc>
        <w:tc>
          <w:tcPr>
            <w:tcW w:w="1529" w:type="dxa"/>
            <w:vAlign w:val="top"/>
          </w:tcPr>
          <w:p w14:paraId="739242C4">
            <w:pPr>
              <w:pStyle w:val="6"/>
              <w:spacing w:before="68" w:line="188" w:lineRule="auto"/>
              <w:ind w:left="656"/>
              <w:rPr>
                <w:sz w:val="20"/>
                <w:szCs w:val="20"/>
              </w:rPr>
            </w:pPr>
            <w:r>
              <w:rPr>
                <w:spacing w:val="-2"/>
                <w:sz w:val="20"/>
                <w:szCs w:val="20"/>
              </w:rPr>
              <w:t>43</w:t>
            </w:r>
          </w:p>
        </w:tc>
        <w:tc>
          <w:tcPr>
            <w:tcW w:w="1418" w:type="dxa"/>
            <w:vAlign w:val="top"/>
          </w:tcPr>
          <w:p w14:paraId="7E7852D4">
            <w:pPr>
              <w:pStyle w:val="6"/>
              <w:spacing w:before="68" w:line="188" w:lineRule="auto"/>
              <w:ind w:left="607"/>
              <w:rPr>
                <w:sz w:val="20"/>
                <w:szCs w:val="20"/>
              </w:rPr>
            </w:pPr>
            <w:r>
              <w:rPr>
                <w:spacing w:val="-2"/>
                <w:sz w:val="20"/>
                <w:szCs w:val="20"/>
              </w:rPr>
              <w:t>45</w:t>
            </w:r>
          </w:p>
        </w:tc>
        <w:tc>
          <w:tcPr>
            <w:tcW w:w="999" w:type="dxa"/>
            <w:vAlign w:val="top"/>
          </w:tcPr>
          <w:p w14:paraId="7A9BB27C">
            <w:pPr>
              <w:pStyle w:val="6"/>
              <w:spacing w:before="48" w:line="206" w:lineRule="auto"/>
              <w:ind w:left="419"/>
              <w:rPr>
                <w:sz w:val="20"/>
                <w:szCs w:val="20"/>
              </w:rPr>
            </w:pPr>
            <w:r>
              <w:rPr>
                <w:spacing w:val="-2"/>
                <w:sz w:val="20"/>
                <w:szCs w:val="20"/>
              </w:rPr>
              <w:t>达标</w:t>
            </w:r>
          </w:p>
        </w:tc>
        <w:tc>
          <w:tcPr>
            <w:tcW w:w="265" w:type="dxa"/>
            <w:vMerge w:val="continue"/>
            <w:tcBorders>
              <w:top w:val="nil"/>
              <w:bottom w:val="nil"/>
            </w:tcBorders>
            <w:vAlign w:val="top"/>
          </w:tcPr>
          <w:p w14:paraId="6B208841">
            <w:pPr>
              <w:rPr>
                <w:rFonts w:ascii="Arial"/>
                <w:sz w:val="21"/>
              </w:rPr>
            </w:pPr>
          </w:p>
        </w:tc>
      </w:tr>
      <w:tr w14:paraId="5F26A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84" w:type="dxa"/>
            <w:vMerge w:val="continue"/>
            <w:tcBorders>
              <w:top w:val="nil"/>
              <w:bottom w:val="nil"/>
            </w:tcBorders>
            <w:vAlign w:val="top"/>
          </w:tcPr>
          <w:p w14:paraId="1CCF4E09">
            <w:pPr>
              <w:rPr>
                <w:rFonts w:ascii="Arial"/>
                <w:sz w:val="21"/>
              </w:rPr>
            </w:pPr>
          </w:p>
        </w:tc>
        <w:tc>
          <w:tcPr>
            <w:tcW w:w="110" w:type="dxa"/>
            <w:tcBorders>
              <w:top w:val="nil"/>
              <w:bottom w:val="nil"/>
            </w:tcBorders>
            <w:vAlign w:val="top"/>
          </w:tcPr>
          <w:p w14:paraId="23DAB82F">
            <w:pPr>
              <w:rPr>
                <w:rFonts w:ascii="Arial"/>
                <w:sz w:val="21"/>
              </w:rPr>
            </w:pPr>
          </w:p>
        </w:tc>
        <w:tc>
          <w:tcPr>
            <w:tcW w:w="619" w:type="dxa"/>
            <w:vMerge w:val="continue"/>
            <w:tcBorders>
              <w:top w:val="nil"/>
              <w:bottom w:val="nil"/>
            </w:tcBorders>
            <w:vAlign w:val="top"/>
          </w:tcPr>
          <w:p w14:paraId="643A4D6C">
            <w:pPr>
              <w:rPr>
                <w:rFonts w:ascii="Arial"/>
                <w:sz w:val="21"/>
              </w:rPr>
            </w:pPr>
          </w:p>
        </w:tc>
        <w:tc>
          <w:tcPr>
            <w:tcW w:w="1169" w:type="dxa"/>
            <w:vMerge w:val="restart"/>
            <w:tcBorders>
              <w:bottom w:val="nil"/>
            </w:tcBorders>
            <w:vAlign w:val="top"/>
          </w:tcPr>
          <w:p w14:paraId="56FF7A3D">
            <w:pPr>
              <w:pStyle w:val="6"/>
              <w:spacing w:before="215" w:line="239" w:lineRule="auto"/>
              <w:ind w:left="112"/>
              <w:rPr>
                <w:sz w:val="20"/>
                <w:szCs w:val="20"/>
              </w:rPr>
            </w:pPr>
            <w:r>
              <w:rPr>
                <w:spacing w:val="-1"/>
                <w:sz w:val="20"/>
                <w:szCs w:val="20"/>
              </w:rPr>
              <w:t>2024.09.08</w:t>
            </w:r>
          </w:p>
        </w:tc>
        <w:tc>
          <w:tcPr>
            <w:tcW w:w="849" w:type="dxa"/>
            <w:vAlign w:val="top"/>
          </w:tcPr>
          <w:p w14:paraId="71FB3F20">
            <w:pPr>
              <w:pStyle w:val="6"/>
              <w:spacing w:before="49" w:line="197" w:lineRule="auto"/>
              <w:ind w:left="213"/>
              <w:rPr>
                <w:sz w:val="20"/>
                <w:szCs w:val="20"/>
              </w:rPr>
            </w:pPr>
            <w:r>
              <w:rPr>
                <w:spacing w:val="9"/>
                <w:sz w:val="20"/>
                <w:szCs w:val="20"/>
              </w:rPr>
              <w:t>昼间</w:t>
            </w:r>
          </w:p>
        </w:tc>
        <w:tc>
          <w:tcPr>
            <w:tcW w:w="1768" w:type="dxa"/>
            <w:vAlign w:val="top"/>
          </w:tcPr>
          <w:p w14:paraId="54259338">
            <w:pPr>
              <w:pStyle w:val="6"/>
              <w:spacing w:before="65" w:line="182" w:lineRule="auto"/>
              <w:ind w:left="324"/>
              <w:rPr>
                <w:sz w:val="20"/>
                <w:szCs w:val="20"/>
              </w:rPr>
            </w:pPr>
            <w:r>
              <w:rPr>
                <w:spacing w:val="-3"/>
                <w:sz w:val="20"/>
                <w:szCs w:val="20"/>
              </w:rPr>
              <w:t>12:52-13:02</w:t>
            </w:r>
          </w:p>
        </w:tc>
        <w:tc>
          <w:tcPr>
            <w:tcW w:w="1529" w:type="dxa"/>
            <w:vAlign w:val="top"/>
          </w:tcPr>
          <w:p w14:paraId="4EB02CA7">
            <w:pPr>
              <w:pStyle w:val="6"/>
              <w:spacing w:before="65" w:line="182" w:lineRule="auto"/>
              <w:ind w:left="656"/>
              <w:rPr>
                <w:sz w:val="20"/>
                <w:szCs w:val="20"/>
              </w:rPr>
            </w:pPr>
            <w:r>
              <w:rPr>
                <w:spacing w:val="-3"/>
                <w:sz w:val="20"/>
                <w:szCs w:val="20"/>
              </w:rPr>
              <w:t>50</w:t>
            </w:r>
          </w:p>
        </w:tc>
        <w:tc>
          <w:tcPr>
            <w:tcW w:w="1418" w:type="dxa"/>
            <w:vAlign w:val="top"/>
          </w:tcPr>
          <w:p w14:paraId="7FD086EF">
            <w:pPr>
              <w:pStyle w:val="6"/>
              <w:spacing w:before="65" w:line="182" w:lineRule="auto"/>
              <w:ind w:left="607"/>
              <w:rPr>
                <w:sz w:val="20"/>
                <w:szCs w:val="20"/>
              </w:rPr>
            </w:pPr>
            <w:r>
              <w:rPr>
                <w:spacing w:val="-3"/>
                <w:sz w:val="20"/>
                <w:szCs w:val="20"/>
              </w:rPr>
              <w:t>55</w:t>
            </w:r>
          </w:p>
        </w:tc>
        <w:tc>
          <w:tcPr>
            <w:tcW w:w="999" w:type="dxa"/>
            <w:vAlign w:val="top"/>
          </w:tcPr>
          <w:p w14:paraId="7758BFCC">
            <w:pPr>
              <w:pStyle w:val="6"/>
              <w:spacing w:before="46" w:line="200" w:lineRule="auto"/>
              <w:ind w:left="419"/>
              <w:rPr>
                <w:sz w:val="20"/>
                <w:szCs w:val="20"/>
              </w:rPr>
            </w:pPr>
            <w:r>
              <w:rPr>
                <w:spacing w:val="-2"/>
                <w:sz w:val="20"/>
                <w:szCs w:val="20"/>
              </w:rPr>
              <w:t>达标</w:t>
            </w:r>
          </w:p>
        </w:tc>
        <w:tc>
          <w:tcPr>
            <w:tcW w:w="265" w:type="dxa"/>
            <w:vMerge w:val="continue"/>
            <w:tcBorders>
              <w:top w:val="nil"/>
              <w:bottom w:val="nil"/>
            </w:tcBorders>
            <w:vAlign w:val="top"/>
          </w:tcPr>
          <w:p w14:paraId="7BCB4585">
            <w:pPr>
              <w:rPr>
                <w:rFonts w:ascii="Arial"/>
                <w:sz w:val="21"/>
              </w:rPr>
            </w:pPr>
          </w:p>
        </w:tc>
      </w:tr>
      <w:tr w14:paraId="619BD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684" w:type="dxa"/>
            <w:vMerge w:val="continue"/>
            <w:tcBorders>
              <w:top w:val="nil"/>
              <w:bottom w:val="nil"/>
            </w:tcBorders>
            <w:vAlign w:val="top"/>
          </w:tcPr>
          <w:p w14:paraId="51051AAE">
            <w:pPr>
              <w:rPr>
                <w:rFonts w:ascii="Arial"/>
                <w:sz w:val="21"/>
              </w:rPr>
            </w:pPr>
          </w:p>
        </w:tc>
        <w:tc>
          <w:tcPr>
            <w:tcW w:w="110" w:type="dxa"/>
            <w:tcBorders>
              <w:top w:val="nil"/>
              <w:bottom w:val="nil"/>
            </w:tcBorders>
            <w:vAlign w:val="top"/>
          </w:tcPr>
          <w:p w14:paraId="2473270C">
            <w:pPr>
              <w:rPr>
                <w:rFonts w:ascii="Arial"/>
                <w:sz w:val="21"/>
              </w:rPr>
            </w:pPr>
          </w:p>
        </w:tc>
        <w:tc>
          <w:tcPr>
            <w:tcW w:w="619" w:type="dxa"/>
            <w:vMerge w:val="continue"/>
            <w:tcBorders>
              <w:top w:val="nil"/>
            </w:tcBorders>
            <w:vAlign w:val="top"/>
          </w:tcPr>
          <w:p w14:paraId="37598DC8">
            <w:pPr>
              <w:rPr>
                <w:rFonts w:ascii="Arial"/>
                <w:sz w:val="21"/>
              </w:rPr>
            </w:pPr>
          </w:p>
        </w:tc>
        <w:tc>
          <w:tcPr>
            <w:tcW w:w="1169" w:type="dxa"/>
            <w:vMerge w:val="continue"/>
            <w:tcBorders>
              <w:top w:val="nil"/>
            </w:tcBorders>
            <w:vAlign w:val="top"/>
          </w:tcPr>
          <w:p w14:paraId="59D23AFB">
            <w:pPr>
              <w:rPr>
                <w:rFonts w:ascii="Arial"/>
                <w:sz w:val="21"/>
              </w:rPr>
            </w:pPr>
          </w:p>
        </w:tc>
        <w:tc>
          <w:tcPr>
            <w:tcW w:w="849" w:type="dxa"/>
            <w:vAlign w:val="top"/>
          </w:tcPr>
          <w:p w14:paraId="7E7D7DC1">
            <w:pPr>
              <w:pStyle w:val="6"/>
              <w:spacing w:before="53" w:line="219" w:lineRule="auto"/>
              <w:ind w:left="213"/>
              <w:rPr>
                <w:sz w:val="20"/>
                <w:szCs w:val="20"/>
              </w:rPr>
            </w:pPr>
            <w:r>
              <w:rPr>
                <w:spacing w:val="9"/>
                <w:sz w:val="20"/>
                <w:szCs w:val="20"/>
              </w:rPr>
              <w:t>夜间</w:t>
            </w:r>
          </w:p>
        </w:tc>
        <w:tc>
          <w:tcPr>
            <w:tcW w:w="1768" w:type="dxa"/>
            <w:vAlign w:val="top"/>
          </w:tcPr>
          <w:p w14:paraId="131080BB">
            <w:pPr>
              <w:pStyle w:val="6"/>
              <w:spacing w:before="53" w:line="219" w:lineRule="auto"/>
              <w:ind w:left="124"/>
              <w:rPr>
                <w:sz w:val="20"/>
                <w:szCs w:val="20"/>
              </w:rPr>
            </w:pPr>
            <w:r>
              <w:rPr>
                <w:sz w:val="20"/>
                <w:szCs w:val="20"/>
              </w:rPr>
              <w:t>次日01:39-01:49</w:t>
            </w:r>
          </w:p>
        </w:tc>
        <w:tc>
          <w:tcPr>
            <w:tcW w:w="1529" w:type="dxa"/>
            <w:vAlign w:val="top"/>
          </w:tcPr>
          <w:p w14:paraId="33819B7D">
            <w:pPr>
              <w:pStyle w:val="6"/>
              <w:spacing w:before="73" w:line="201" w:lineRule="auto"/>
              <w:ind w:left="656"/>
              <w:rPr>
                <w:sz w:val="20"/>
                <w:szCs w:val="20"/>
              </w:rPr>
            </w:pPr>
            <w:r>
              <w:rPr>
                <w:spacing w:val="-2"/>
                <w:sz w:val="20"/>
                <w:szCs w:val="20"/>
              </w:rPr>
              <w:t>44</w:t>
            </w:r>
          </w:p>
        </w:tc>
        <w:tc>
          <w:tcPr>
            <w:tcW w:w="1418" w:type="dxa"/>
            <w:vAlign w:val="top"/>
          </w:tcPr>
          <w:p w14:paraId="560F4996">
            <w:pPr>
              <w:pStyle w:val="6"/>
              <w:spacing w:before="73" w:line="201" w:lineRule="auto"/>
              <w:ind w:left="607"/>
              <w:rPr>
                <w:sz w:val="20"/>
                <w:szCs w:val="20"/>
              </w:rPr>
            </w:pPr>
            <w:r>
              <w:rPr>
                <w:spacing w:val="-2"/>
                <w:sz w:val="20"/>
                <w:szCs w:val="20"/>
              </w:rPr>
              <w:t>45</w:t>
            </w:r>
          </w:p>
        </w:tc>
        <w:tc>
          <w:tcPr>
            <w:tcW w:w="999" w:type="dxa"/>
            <w:vAlign w:val="top"/>
          </w:tcPr>
          <w:p w14:paraId="0E35E92D">
            <w:pPr>
              <w:pStyle w:val="6"/>
              <w:spacing w:before="53" w:line="219" w:lineRule="auto"/>
              <w:ind w:left="419"/>
              <w:rPr>
                <w:sz w:val="20"/>
                <w:szCs w:val="20"/>
              </w:rPr>
            </w:pPr>
            <w:r>
              <w:rPr>
                <w:spacing w:val="-2"/>
                <w:sz w:val="20"/>
                <w:szCs w:val="20"/>
              </w:rPr>
              <w:t>达标</w:t>
            </w:r>
          </w:p>
        </w:tc>
        <w:tc>
          <w:tcPr>
            <w:tcW w:w="265" w:type="dxa"/>
            <w:vMerge w:val="continue"/>
            <w:tcBorders>
              <w:top w:val="nil"/>
              <w:bottom w:val="nil"/>
            </w:tcBorders>
            <w:vAlign w:val="top"/>
          </w:tcPr>
          <w:p w14:paraId="324BD327">
            <w:pPr>
              <w:rPr>
                <w:rFonts w:ascii="Arial"/>
                <w:sz w:val="21"/>
              </w:rPr>
            </w:pPr>
          </w:p>
        </w:tc>
      </w:tr>
      <w:tr w14:paraId="6ED07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684" w:type="dxa"/>
            <w:vMerge w:val="continue"/>
            <w:tcBorders>
              <w:top w:val="nil"/>
              <w:bottom w:val="nil"/>
            </w:tcBorders>
            <w:vAlign w:val="top"/>
          </w:tcPr>
          <w:p w14:paraId="3C4D8B01">
            <w:pPr>
              <w:rPr>
                <w:rFonts w:ascii="Arial"/>
                <w:sz w:val="21"/>
              </w:rPr>
            </w:pPr>
          </w:p>
        </w:tc>
        <w:tc>
          <w:tcPr>
            <w:tcW w:w="110" w:type="dxa"/>
            <w:tcBorders>
              <w:top w:val="nil"/>
              <w:bottom w:val="nil"/>
            </w:tcBorders>
            <w:vAlign w:val="top"/>
          </w:tcPr>
          <w:p w14:paraId="088A69D2">
            <w:pPr>
              <w:rPr>
                <w:rFonts w:ascii="Arial"/>
                <w:sz w:val="21"/>
              </w:rPr>
            </w:pPr>
          </w:p>
        </w:tc>
        <w:tc>
          <w:tcPr>
            <w:tcW w:w="619" w:type="dxa"/>
            <w:vMerge w:val="restart"/>
            <w:tcBorders>
              <w:bottom w:val="nil"/>
            </w:tcBorders>
            <w:vAlign w:val="top"/>
          </w:tcPr>
          <w:p w14:paraId="0F908738">
            <w:pPr>
              <w:pStyle w:val="6"/>
              <w:spacing w:before="91" w:line="212" w:lineRule="auto"/>
              <w:ind w:left="171" w:right="48" w:firstLine="100"/>
              <w:rPr>
                <w:sz w:val="20"/>
                <w:szCs w:val="20"/>
              </w:rPr>
            </w:pPr>
            <w:r>
              <w:rPr>
                <w:spacing w:val="-8"/>
                <w:sz w:val="20"/>
                <w:szCs w:val="20"/>
              </w:rPr>
              <w:t>15#</w:t>
            </w:r>
            <w:r>
              <w:rPr>
                <w:sz w:val="20"/>
                <w:szCs w:val="20"/>
              </w:rPr>
              <w:t xml:space="preserve"> </w:t>
            </w:r>
            <w:r>
              <w:rPr>
                <w:spacing w:val="-6"/>
                <w:sz w:val="20"/>
                <w:szCs w:val="20"/>
              </w:rPr>
              <w:t>大地</w:t>
            </w:r>
          </w:p>
          <w:p w14:paraId="5E62657F">
            <w:pPr>
              <w:pStyle w:val="6"/>
              <w:spacing w:before="19" w:line="219" w:lineRule="auto"/>
              <w:ind w:left="171"/>
              <w:rPr>
                <w:sz w:val="20"/>
                <w:szCs w:val="20"/>
              </w:rPr>
            </w:pPr>
            <w:r>
              <w:rPr>
                <w:spacing w:val="-3"/>
                <w:sz w:val="20"/>
                <w:szCs w:val="20"/>
              </w:rPr>
              <w:t>村散</w:t>
            </w:r>
          </w:p>
          <w:p w14:paraId="1A0FBB01">
            <w:pPr>
              <w:pStyle w:val="6"/>
              <w:spacing w:before="44" w:line="220" w:lineRule="auto"/>
              <w:ind w:right="13"/>
              <w:jc w:val="right"/>
              <w:rPr>
                <w:sz w:val="20"/>
                <w:szCs w:val="20"/>
              </w:rPr>
            </w:pPr>
            <w:r>
              <w:rPr>
                <w:spacing w:val="-5"/>
                <w:sz w:val="20"/>
                <w:szCs w:val="20"/>
              </w:rPr>
              <w:t>户</w:t>
            </w:r>
            <w:r>
              <w:rPr>
                <w:spacing w:val="73"/>
                <w:sz w:val="20"/>
                <w:szCs w:val="20"/>
              </w:rPr>
              <w:t xml:space="preserve"> </w:t>
            </w:r>
            <w:r>
              <w:rPr>
                <w:spacing w:val="-5"/>
                <w:sz w:val="20"/>
                <w:szCs w:val="20"/>
              </w:rPr>
              <w:t>5</w:t>
            </w:r>
          </w:p>
        </w:tc>
        <w:tc>
          <w:tcPr>
            <w:tcW w:w="1169" w:type="dxa"/>
            <w:vMerge w:val="restart"/>
            <w:tcBorders>
              <w:bottom w:val="nil"/>
            </w:tcBorders>
            <w:vAlign w:val="top"/>
          </w:tcPr>
          <w:p w14:paraId="6843F2A7">
            <w:pPr>
              <w:pStyle w:val="6"/>
              <w:spacing w:before="202" w:line="239" w:lineRule="auto"/>
              <w:ind w:left="112"/>
              <w:rPr>
                <w:sz w:val="20"/>
                <w:szCs w:val="20"/>
              </w:rPr>
            </w:pPr>
            <w:r>
              <w:rPr>
                <w:spacing w:val="-1"/>
                <w:sz w:val="20"/>
                <w:szCs w:val="20"/>
              </w:rPr>
              <w:t>2024.09.07</w:t>
            </w:r>
          </w:p>
        </w:tc>
        <w:tc>
          <w:tcPr>
            <w:tcW w:w="849" w:type="dxa"/>
            <w:vAlign w:val="top"/>
          </w:tcPr>
          <w:p w14:paraId="3F922D72">
            <w:pPr>
              <w:pStyle w:val="6"/>
              <w:spacing w:before="44" w:line="182" w:lineRule="auto"/>
              <w:ind w:left="213"/>
              <w:rPr>
                <w:sz w:val="20"/>
                <w:szCs w:val="20"/>
              </w:rPr>
            </w:pPr>
            <w:r>
              <w:rPr>
                <w:spacing w:val="9"/>
                <w:sz w:val="20"/>
                <w:szCs w:val="20"/>
              </w:rPr>
              <w:t>昼间</w:t>
            </w:r>
          </w:p>
        </w:tc>
        <w:tc>
          <w:tcPr>
            <w:tcW w:w="1768" w:type="dxa"/>
            <w:vAlign w:val="top"/>
          </w:tcPr>
          <w:p w14:paraId="2D4B4998">
            <w:pPr>
              <w:pStyle w:val="6"/>
              <w:spacing w:before="62" w:line="166" w:lineRule="auto"/>
              <w:ind w:left="324"/>
              <w:rPr>
                <w:sz w:val="20"/>
                <w:szCs w:val="20"/>
              </w:rPr>
            </w:pPr>
            <w:r>
              <w:rPr>
                <w:spacing w:val="-1"/>
                <w:sz w:val="20"/>
                <w:szCs w:val="20"/>
              </w:rPr>
              <w:t>09:14-09:24</w:t>
            </w:r>
          </w:p>
        </w:tc>
        <w:tc>
          <w:tcPr>
            <w:tcW w:w="1529" w:type="dxa"/>
            <w:vAlign w:val="top"/>
          </w:tcPr>
          <w:p w14:paraId="178347C3">
            <w:pPr>
              <w:pStyle w:val="6"/>
              <w:spacing w:before="62" w:line="166" w:lineRule="auto"/>
              <w:ind w:left="656"/>
              <w:rPr>
                <w:sz w:val="20"/>
                <w:szCs w:val="20"/>
              </w:rPr>
            </w:pPr>
            <w:r>
              <w:rPr>
                <w:spacing w:val="-3"/>
                <w:sz w:val="20"/>
                <w:szCs w:val="20"/>
              </w:rPr>
              <w:t>51</w:t>
            </w:r>
          </w:p>
        </w:tc>
        <w:tc>
          <w:tcPr>
            <w:tcW w:w="1418" w:type="dxa"/>
            <w:vAlign w:val="top"/>
          </w:tcPr>
          <w:p w14:paraId="22E8562A">
            <w:pPr>
              <w:pStyle w:val="6"/>
              <w:spacing w:before="62" w:line="166" w:lineRule="auto"/>
              <w:ind w:left="607"/>
              <w:rPr>
                <w:sz w:val="20"/>
                <w:szCs w:val="20"/>
              </w:rPr>
            </w:pPr>
            <w:r>
              <w:rPr>
                <w:spacing w:val="-3"/>
                <w:sz w:val="20"/>
                <w:szCs w:val="20"/>
              </w:rPr>
              <w:t>55</w:t>
            </w:r>
          </w:p>
        </w:tc>
        <w:tc>
          <w:tcPr>
            <w:tcW w:w="999" w:type="dxa"/>
            <w:vAlign w:val="top"/>
          </w:tcPr>
          <w:p w14:paraId="6DF269E1">
            <w:pPr>
              <w:pStyle w:val="6"/>
              <w:spacing w:before="42" w:line="184" w:lineRule="auto"/>
              <w:ind w:left="419"/>
              <w:rPr>
                <w:sz w:val="20"/>
                <w:szCs w:val="20"/>
              </w:rPr>
            </w:pPr>
            <w:r>
              <w:rPr>
                <w:spacing w:val="-2"/>
                <w:sz w:val="20"/>
                <w:szCs w:val="20"/>
              </w:rPr>
              <w:t>达标</w:t>
            </w:r>
          </w:p>
        </w:tc>
        <w:tc>
          <w:tcPr>
            <w:tcW w:w="265" w:type="dxa"/>
            <w:vMerge w:val="continue"/>
            <w:tcBorders>
              <w:top w:val="nil"/>
              <w:bottom w:val="nil"/>
            </w:tcBorders>
            <w:vAlign w:val="top"/>
          </w:tcPr>
          <w:p w14:paraId="5586239E">
            <w:pPr>
              <w:rPr>
                <w:rFonts w:ascii="Arial"/>
                <w:sz w:val="21"/>
              </w:rPr>
            </w:pPr>
          </w:p>
        </w:tc>
      </w:tr>
      <w:tr w14:paraId="6C1D1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84" w:type="dxa"/>
            <w:vMerge w:val="continue"/>
            <w:tcBorders>
              <w:top w:val="nil"/>
              <w:bottom w:val="nil"/>
            </w:tcBorders>
            <w:vAlign w:val="top"/>
          </w:tcPr>
          <w:p w14:paraId="451E7486">
            <w:pPr>
              <w:rPr>
                <w:rFonts w:ascii="Arial"/>
                <w:sz w:val="21"/>
              </w:rPr>
            </w:pPr>
          </w:p>
        </w:tc>
        <w:tc>
          <w:tcPr>
            <w:tcW w:w="110" w:type="dxa"/>
            <w:tcBorders>
              <w:top w:val="nil"/>
              <w:bottom w:val="nil"/>
            </w:tcBorders>
            <w:vAlign w:val="top"/>
          </w:tcPr>
          <w:p w14:paraId="3503B50E">
            <w:pPr>
              <w:rPr>
                <w:rFonts w:ascii="Arial"/>
                <w:sz w:val="21"/>
              </w:rPr>
            </w:pPr>
          </w:p>
        </w:tc>
        <w:tc>
          <w:tcPr>
            <w:tcW w:w="619" w:type="dxa"/>
            <w:vMerge w:val="continue"/>
            <w:tcBorders>
              <w:top w:val="nil"/>
              <w:bottom w:val="nil"/>
            </w:tcBorders>
            <w:vAlign w:val="top"/>
          </w:tcPr>
          <w:p w14:paraId="2B4EB91E">
            <w:pPr>
              <w:rPr>
                <w:rFonts w:ascii="Arial"/>
                <w:sz w:val="21"/>
              </w:rPr>
            </w:pPr>
          </w:p>
        </w:tc>
        <w:tc>
          <w:tcPr>
            <w:tcW w:w="1169" w:type="dxa"/>
            <w:vMerge w:val="continue"/>
            <w:tcBorders>
              <w:top w:val="nil"/>
            </w:tcBorders>
            <w:vAlign w:val="top"/>
          </w:tcPr>
          <w:p w14:paraId="3432CA32">
            <w:pPr>
              <w:rPr>
                <w:rFonts w:ascii="Arial"/>
                <w:sz w:val="21"/>
              </w:rPr>
            </w:pPr>
          </w:p>
        </w:tc>
        <w:tc>
          <w:tcPr>
            <w:tcW w:w="849" w:type="dxa"/>
            <w:vAlign w:val="top"/>
          </w:tcPr>
          <w:p w14:paraId="5820695E">
            <w:pPr>
              <w:pStyle w:val="6"/>
              <w:spacing w:before="60" w:line="189" w:lineRule="auto"/>
              <w:ind w:left="213"/>
              <w:rPr>
                <w:sz w:val="20"/>
                <w:szCs w:val="20"/>
              </w:rPr>
            </w:pPr>
            <w:r>
              <w:rPr>
                <w:spacing w:val="9"/>
                <w:sz w:val="20"/>
                <w:szCs w:val="20"/>
              </w:rPr>
              <w:t>夜间</w:t>
            </w:r>
          </w:p>
        </w:tc>
        <w:tc>
          <w:tcPr>
            <w:tcW w:w="1768" w:type="dxa"/>
            <w:vAlign w:val="top"/>
          </w:tcPr>
          <w:p w14:paraId="313C1EDA">
            <w:pPr>
              <w:pStyle w:val="6"/>
              <w:spacing w:before="80" w:line="170" w:lineRule="auto"/>
              <w:ind w:left="324"/>
              <w:rPr>
                <w:sz w:val="20"/>
                <w:szCs w:val="20"/>
              </w:rPr>
            </w:pPr>
            <w:r>
              <w:rPr>
                <w:spacing w:val="-1"/>
                <w:sz w:val="20"/>
                <w:szCs w:val="20"/>
              </w:rPr>
              <w:t>22:28-22:38</w:t>
            </w:r>
          </w:p>
        </w:tc>
        <w:tc>
          <w:tcPr>
            <w:tcW w:w="1529" w:type="dxa"/>
            <w:vAlign w:val="top"/>
          </w:tcPr>
          <w:p w14:paraId="2B44044C">
            <w:pPr>
              <w:pStyle w:val="6"/>
              <w:spacing w:before="80" w:line="170" w:lineRule="auto"/>
              <w:ind w:left="656"/>
              <w:rPr>
                <w:sz w:val="20"/>
                <w:szCs w:val="20"/>
              </w:rPr>
            </w:pPr>
            <w:r>
              <w:rPr>
                <w:spacing w:val="-2"/>
                <w:sz w:val="20"/>
                <w:szCs w:val="20"/>
              </w:rPr>
              <w:t>44</w:t>
            </w:r>
          </w:p>
        </w:tc>
        <w:tc>
          <w:tcPr>
            <w:tcW w:w="1418" w:type="dxa"/>
            <w:vAlign w:val="top"/>
          </w:tcPr>
          <w:p w14:paraId="650EC383">
            <w:pPr>
              <w:pStyle w:val="6"/>
              <w:spacing w:before="80" w:line="170" w:lineRule="auto"/>
              <w:ind w:left="607"/>
              <w:rPr>
                <w:sz w:val="20"/>
                <w:szCs w:val="20"/>
              </w:rPr>
            </w:pPr>
            <w:r>
              <w:rPr>
                <w:spacing w:val="-2"/>
                <w:sz w:val="20"/>
                <w:szCs w:val="20"/>
              </w:rPr>
              <w:t>45</w:t>
            </w:r>
          </w:p>
        </w:tc>
        <w:tc>
          <w:tcPr>
            <w:tcW w:w="999" w:type="dxa"/>
            <w:vAlign w:val="top"/>
          </w:tcPr>
          <w:p w14:paraId="227F4789">
            <w:pPr>
              <w:pStyle w:val="6"/>
              <w:spacing w:before="61" w:line="188" w:lineRule="auto"/>
              <w:ind w:left="419"/>
              <w:rPr>
                <w:sz w:val="20"/>
                <w:szCs w:val="20"/>
              </w:rPr>
            </w:pPr>
            <w:r>
              <w:rPr>
                <w:spacing w:val="-2"/>
                <w:sz w:val="20"/>
                <w:szCs w:val="20"/>
              </w:rPr>
              <w:t>达标</w:t>
            </w:r>
          </w:p>
        </w:tc>
        <w:tc>
          <w:tcPr>
            <w:tcW w:w="265" w:type="dxa"/>
            <w:vMerge w:val="continue"/>
            <w:tcBorders>
              <w:top w:val="nil"/>
              <w:bottom w:val="nil"/>
            </w:tcBorders>
            <w:vAlign w:val="top"/>
          </w:tcPr>
          <w:p w14:paraId="6FAA5863">
            <w:pPr>
              <w:rPr>
                <w:rFonts w:ascii="Arial"/>
                <w:sz w:val="21"/>
              </w:rPr>
            </w:pPr>
          </w:p>
        </w:tc>
      </w:tr>
      <w:tr w14:paraId="1E6DB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684" w:type="dxa"/>
            <w:vMerge w:val="continue"/>
            <w:tcBorders>
              <w:top w:val="nil"/>
              <w:bottom w:val="nil"/>
            </w:tcBorders>
            <w:vAlign w:val="top"/>
          </w:tcPr>
          <w:p w14:paraId="75FCAE41">
            <w:pPr>
              <w:rPr>
                <w:rFonts w:ascii="Arial"/>
                <w:sz w:val="21"/>
              </w:rPr>
            </w:pPr>
          </w:p>
        </w:tc>
        <w:tc>
          <w:tcPr>
            <w:tcW w:w="110" w:type="dxa"/>
            <w:tcBorders>
              <w:top w:val="nil"/>
              <w:bottom w:val="nil"/>
            </w:tcBorders>
            <w:vAlign w:val="top"/>
          </w:tcPr>
          <w:p w14:paraId="0A614622">
            <w:pPr>
              <w:rPr>
                <w:rFonts w:ascii="Arial"/>
                <w:sz w:val="21"/>
              </w:rPr>
            </w:pPr>
          </w:p>
        </w:tc>
        <w:tc>
          <w:tcPr>
            <w:tcW w:w="619" w:type="dxa"/>
            <w:vMerge w:val="continue"/>
            <w:tcBorders>
              <w:top w:val="nil"/>
              <w:bottom w:val="nil"/>
            </w:tcBorders>
            <w:vAlign w:val="top"/>
          </w:tcPr>
          <w:p w14:paraId="1FB19ACB">
            <w:pPr>
              <w:rPr>
                <w:rFonts w:ascii="Arial"/>
                <w:sz w:val="21"/>
              </w:rPr>
            </w:pPr>
          </w:p>
        </w:tc>
        <w:tc>
          <w:tcPr>
            <w:tcW w:w="1169" w:type="dxa"/>
            <w:vMerge w:val="restart"/>
            <w:tcBorders>
              <w:bottom w:val="nil"/>
            </w:tcBorders>
            <w:vAlign w:val="top"/>
          </w:tcPr>
          <w:p w14:paraId="1F0384FB">
            <w:pPr>
              <w:pStyle w:val="6"/>
              <w:spacing w:before="215" w:line="239" w:lineRule="auto"/>
              <w:ind w:left="112"/>
              <w:rPr>
                <w:sz w:val="20"/>
                <w:szCs w:val="20"/>
              </w:rPr>
            </w:pPr>
            <w:r>
              <w:rPr>
                <w:spacing w:val="-1"/>
                <w:sz w:val="20"/>
                <w:szCs w:val="20"/>
              </w:rPr>
              <w:t>2024.09.08</w:t>
            </w:r>
          </w:p>
        </w:tc>
        <w:tc>
          <w:tcPr>
            <w:tcW w:w="849" w:type="dxa"/>
            <w:vAlign w:val="top"/>
          </w:tcPr>
          <w:p w14:paraId="649599B9">
            <w:pPr>
              <w:pStyle w:val="6"/>
              <w:spacing w:before="58" w:line="196" w:lineRule="auto"/>
              <w:ind w:left="213"/>
              <w:rPr>
                <w:sz w:val="20"/>
                <w:szCs w:val="20"/>
              </w:rPr>
            </w:pPr>
            <w:r>
              <w:rPr>
                <w:spacing w:val="9"/>
                <w:sz w:val="20"/>
                <w:szCs w:val="20"/>
              </w:rPr>
              <w:t>昼间</w:t>
            </w:r>
          </w:p>
        </w:tc>
        <w:tc>
          <w:tcPr>
            <w:tcW w:w="1768" w:type="dxa"/>
            <w:vAlign w:val="top"/>
          </w:tcPr>
          <w:p w14:paraId="2CE68761">
            <w:pPr>
              <w:pStyle w:val="6"/>
              <w:spacing w:before="74" w:line="181" w:lineRule="auto"/>
              <w:ind w:left="324"/>
              <w:rPr>
                <w:sz w:val="20"/>
                <w:szCs w:val="20"/>
              </w:rPr>
            </w:pPr>
            <w:r>
              <w:rPr>
                <w:spacing w:val="-1"/>
                <w:sz w:val="20"/>
                <w:szCs w:val="20"/>
              </w:rPr>
              <w:t>09:19-09:29</w:t>
            </w:r>
          </w:p>
        </w:tc>
        <w:tc>
          <w:tcPr>
            <w:tcW w:w="1529" w:type="dxa"/>
            <w:vAlign w:val="top"/>
          </w:tcPr>
          <w:p w14:paraId="313FEBF6">
            <w:pPr>
              <w:pStyle w:val="6"/>
              <w:spacing w:before="74" w:line="181" w:lineRule="auto"/>
              <w:ind w:left="656"/>
              <w:rPr>
                <w:sz w:val="20"/>
                <w:szCs w:val="20"/>
              </w:rPr>
            </w:pPr>
            <w:r>
              <w:rPr>
                <w:spacing w:val="-3"/>
                <w:sz w:val="20"/>
                <w:szCs w:val="20"/>
              </w:rPr>
              <w:t>52</w:t>
            </w:r>
          </w:p>
        </w:tc>
        <w:tc>
          <w:tcPr>
            <w:tcW w:w="1418" w:type="dxa"/>
            <w:vAlign w:val="top"/>
          </w:tcPr>
          <w:p w14:paraId="02F870E3">
            <w:pPr>
              <w:pStyle w:val="6"/>
              <w:spacing w:before="74" w:line="181" w:lineRule="auto"/>
              <w:ind w:left="607"/>
              <w:rPr>
                <w:sz w:val="20"/>
                <w:szCs w:val="20"/>
              </w:rPr>
            </w:pPr>
            <w:r>
              <w:rPr>
                <w:spacing w:val="-3"/>
                <w:sz w:val="20"/>
                <w:szCs w:val="20"/>
              </w:rPr>
              <w:t>55</w:t>
            </w:r>
          </w:p>
        </w:tc>
        <w:tc>
          <w:tcPr>
            <w:tcW w:w="999" w:type="dxa"/>
            <w:vAlign w:val="top"/>
          </w:tcPr>
          <w:p w14:paraId="482D406E">
            <w:pPr>
              <w:pStyle w:val="6"/>
              <w:spacing w:before="55" w:line="199" w:lineRule="auto"/>
              <w:ind w:left="419"/>
              <w:rPr>
                <w:sz w:val="20"/>
                <w:szCs w:val="20"/>
              </w:rPr>
            </w:pPr>
            <w:r>
              <w:rPr>
                <w:spacing w:val="-2"/>
                <w:sz w:val="20"/>
                <w:szCs w:val="20"/>
              </w:rPr>
              <w:t>达标</w:t>
            </w:r>
          </w:p>
        </w:tc>
        <w:tc>
          <w:tcPr>
            <w:tcW w:w="265" w:type="dxa"/>
            <w:vMerge w:val="continue"/>
            <w:tcBorders>
              <w:top w:val="nil"/>
              <w:bottom w:val="nil"/>
            </w:tcBorders>
            <w:vAlign w:val="top"/>
          </w:tcPr>
          <w:p w14:paraId="68005739">
            <w:pPr>
              <w:rPr>
                <w:rFonts w:ascii="Arial"/>
                <w:sz w:val="21"/>
              </w:rPr>
            </w:pPr>
          </w:p>
        </w:tc>
      </w:tr>
      <w:tr w14:paraId="43645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84" w:type="dxa"/>
            <w:vMerge w:val="continue"/>
            <w:tcBorders>
              <w:top w:val="nil"/>
              <w:bottom w:val="nil"/>
            </w:tcBorders>
            <w:vAlign w:val="top"/>
          </w:tcPr>
          <w:p w14:paraId="086E46EA">
            <w:pPr>
              <w:rPr>
                <w:rFonts w:ascii="Arial"/>
                <w:sz w:val="21"/>
              </w:rPr>
            </w:pPr>
          </w:p>
        </w:tc>
        <w:tc>
          <w:tcPr>
            <w:tcW w:w="110" w:type="dxa"/>
            <w:tcBorders>
              <w:top w:val="nil"/>
              <w:bottom w:val="nil"/>
            </w:tcBorders>
            <w:vAlign w:val="top"/>
          </w:tcPr>
          <w:p w14:paraId="6E18972E">
            <w:pPr>
              <w:rPr>
                <w:rFonts w:ascii="Arial"/>
                <w:sz w:val="21"/>
              </w:rPr>
            </w:pPr>
          </w:p>
        </w:tc>
        <w:tc>
          <w:tcPr>
            <w:tcW w:w="619" w:type="dxa"/>
            <w:vMerge w:val="continue"/>
            <w:tcBorders>
              <w:top w:val="nil"/>
            </w:tcBorders>
            <w:vAlign w:val="top"/>
          </w:tcPr>
          <w:p w14:paraId="277D8C0F">
            <w:pPr>
              <w:rPr>
                <w:rFonts w:ascii="Arial"/>
                <w:sz w:val="21"/>
              </w:rPr>
            </w:pPr>
          </w:p>
        </w:tc>
        <w:tc>
          <w:tcPr>
            <w:tcW w:w="1169" w:type="dxa"/>
            <w:vMerge w:val="continue"/>
            <w:tcBorders>
              <w:top w:val="nil"/>
            </w:tcBorders>
            <w:vAlign w:val="top"/>
          </w:tcPr>
          <w:p w14:paraId="7254E391">
            <w:pPr>
              <w:rPr>
                <w:rFonts w:ascii="Arial"/>
                <w:sz w:val="21"/>
              </w:rPr>
            </w:pPr>
          </w:p>
        </w:tc>
        <w:tc>
          <w:tcPr>
            <w:tcW w:w="849" w:type="dxa"/>
            <w:vAlign w:val="top"/>
          </w:tcPr>
          <w:p w14:paraId="0372684C">
            <w:pPr>
              <w:pStyle w:val="6"/>
              <w:spacing w:before="44" w:line="199" w:lineRule="auto"/>
              <w:ind w:left="213"/>
              <w:rPr>
                <w:sz w:val="20"/>
                <w:szCs w:val="20"/>
              </w:rPr>
            </w:pPr>
            <w:r>
              <w:rPr>
                <w:spacing w:val="9"/>
                <w:sz w:val="20"/>
                <w:szCs w:val="20"/>
              </w:rPr>
              <w:t>夜间</w:t>
            </w:r>
          </w:p>
        </w:tc>
        <w:tc>
          <w:tcPr>
            <w:tcW w:w="1768" w:type="dxa"/>
            <w:vAlign w:val="top"/>
          </w:tcPr>
          <w:p w14:paraId="5B3366A9">
            <w:pPr>
              <w:pStyle w:val="6"/>
              <w:spacing w:before="63" w:line="181" w:lineRule="auto"/>
              <w:ind w:left="324"/>
              <w:rPr>
                <w:sz w:val="20"/>
                <w:szCs w:val="20"/>
              </w:rPr>
            </w:pPr>
            <w:r>
              <w:rPr>
                <w:spacing w:val="-1"/>
                <w:sz w:val="20"/>
                <w:szCs w:val="20"/>
              </w:rPr>
              <w:t>22:34-22:44</w:t>
            </w:r>
          </w:p>
        </w:tc>
        <w:tc>
          <w:tcPr>
            <w:tcW w:w="1529" w:type="dxa"/>
            <w:vAlign w:val="top"/>
          </w:tcPr>
          <w:p w14:paraId="2417AE5C">
            <w:pPr>
              <w:pStyle w:val="6"/>
              <w:spacing w:before="63" w:line="181" w:lineRule="auto"/>
              <w:ind w:left="656"/>
              <w:rPr>
                <w:sz w:val="20"/>
                <w:szCs w:val="20"/>
              </w:rPr>
            </w:pPr>
            <w:r>
              <w:rPr>
                <w:spacing w:val="-2"/>
                <w:sz w:val="20"/>
                <w:szCs w:val="20"/>
              </w:rPr>
              <w:t>45</w:t>
            </w:r>
          </w:p>
        </w:tc>
        <w:tc>
          <w:tcPr>
            <w:tcW w:w="1418" w:type="dxa"/>
            <w:vAlign w:val="top"/>
          </w:tcPr>
          <w:p w14:paraId="7A6FDEB9">
            <w:pPr>
              <w:pStyle w:val="6"/>
              <w:spacing w:before="63" w:line="181" w:lineRule="auto"/>
              <w:ind w:left="607"/>
              <w:rPr>
                <w:sz w:val="20"/>
                <w:szCs w:val="20"/>
              </w:rPr>
            </w:pPr>
            <w:r>
              <w:rPr>
                <w:spacing w:val="-2"/>
                <w:sz w:val="20"/>
                <w:szCs w:val="20"/>
              </w:rPr>
              <w:t>45</w:t>
            </w:r>
          </w:p>
        </w:tc>
        <w:tc>
          <w:tcPr>
            <w:tcW w:w="999" w:type="dxa"/>
            <w:vAlign w:val="top"/>
          </w:tcPr>
          <w:p w14:paraId="6C1286C9">
            <w:pPr>
              <w:pStyle w:val="6"/>
              <w:spacing w:before="44" w:line="199" w:lineRule="auto"/>
              <w:ind w:left="419"/>
              <w:rPr>
                <w:sz w:val="20"/>
                <w:szCs w:val="20"/>
              </w:rPr>
            </w:pPr>
            <w:r>
              <w:rPr>
                <w:spacing w:val="-2"/>
                <w:sz w:val="20"/>
                <w:szCs w:val="20"/>
              </w:rPr>
              <w:t>达标</w:t>
            </w:r>
          </w:p>
        </w:tc>
        <w:tc>
          <w:tcPr>
            <w:tcW w:w="265" w:type="dxa"/>
            <w:vMerge w:val="continue"/>
            <w:tcBorders>
              <w:top w:val="nil"/>
              <w:bottom w:val="nil"/>
            </w:tcBorders>
            <w:vAlign w:val="top"/>
          </w:tcPr>
          <w:p w14:paraId="749EE5D2">
            <w:pPr>
              <w:rPr>
                <w:rFonts w:ascii="Arial"/>
                <w:sz w:val="21"/>
              </w:rPr>
            </w:pPr>
          </w:p>
        </w:tc>
      </w:tr>
      <w:tr w14:paraId="1F323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684" w:type="dxa"/>
            <w:vMerge w:val="continue"/>
            <w:tcBorders>
              <w:top w:val="nil"/>
              <w:bottom w:val="nil"/>
            </w:tcBorders>
            <w:vAlign w:val="top"/>
          </w:tcPr>
          <w:p w14:paraId="09B0D75D">
            <w:pPr>
              <w:rPr>
                <w:rFonts w:ascii="Arial"/>
                <w:sz w:val="21"/>
              </w:rPr>
            </w:pPr>
          </w:p>
        </w:tc>
        <w:tc>
          <w:tcPr>
            <w:tcW w:w="110" w:type="dxa"/>
            <w:tcBorders>
              <w:top w:val="nil"/>
              <w:bottom w:val="nil"/>
            </w:tcBorders>
            <w:vAlign w:val="top"/>
          </w:tcPr>
          <w:p w14:paraId="7D3A44F4">
            <w:pPr>
              <w:rPr>
                <w:rFonts w:ascii="Arial"/>
                <w:sz w:val="21"/>
              </w:rPr>
            </w:pPr>
          </w:p>
        </w:tc>
        <w:tc>
          <w:tcPr>
            <w:tcW w:w="619" w:type="dxa"/>
            <w:vMerge w:val="restart"/>
            <w:tcBorders>
              <w:bottom w:val="nil"/>
            </w:tcBorders>
            <w:vAlign w:val="top"/>
          </w:tcPr>
          <w:p w14:paraId="0E2E3D8D">
            <w:pPr>
              <w:pStyle w:val="6"/>
              <w:spacing w:before="114" w:line="226" w:lineRule="auto"/>
              <w:ind w:left="171" w:right="26" w:firstLine="100"/>
              <w:jc w:val="right"/>
              <w:rPr>
                <w:sz w:val="20"/>
                <w:szCs w:val="20"/>
              </w:rPr>
            </w:pPr>
            <w:r>
              <w:rPr>
                <w:spacing w:val="-8"/>
                <w:sz w:val="20"/>
                <w:szCs w:val="20"/>
              </w:rPr>
              <w:t>17#</w:t>
            </w:r>
            <w:r>
              <w:rPr>
                <w:sz w:val="20"/>
                <w:szCs w:val="20"/>
              </w:rPr>
              <w:t xml:space="preserve"> </w:t>
            </w:r>
            <w:r>
              <w:rPr>
                <w:spacing w:val="-6"/>
                <w:sz w:val="20"/>
                <w:szCs w:val="20"/>
              </w:rPr>
              <w:t>大地</w:t>
            </w:r>
            <w:r>
              <w:rPr>
                <w:sz w:val="20"/>
                <w:szCs w:val="20"/>
              </w:rPr>
              <w:t xml:space="preserve"> </w:t>
            </w:r>
            <w:r>
              <w:rPr>
                <w:spacing w:val="-5"/>
                <w:sz w:val="20"/>
                <w:szCs w:val="20"/>
              </w:rPr>
              <w:t>村散</w:t>
            </w:r>
            <w:r>
              <w:rPr>
                <w:sz w:val="20"/>
                <w:szCs w:val="20"/>
              </w:rPr>
              <w:t xml:space="preserve"> </w:t>
            </w:r>
            <w:r>
              <w:rPr>
                <w:spacing w:val="5"/>
                <w:sz w:val="20"/>
                <w:szCs w:val="20"/>
              </w:rPr>
              <w:t>户7</w:t>
            </w:r>
          </w:p>
        </w:tc>
        <w:tc>
          <w:tcPr>
            <w:tcW w:w="1169" w:type="dxa"/>
            <w:vMerge w:val="restart"/>
            <w:tcBorders>
              <w:bottom w:val="nil"/>
            </w:tcBorders>
            <w:vAlign w:val="top"/>
          </w:tcPr>
          <w:p w14:paraId="013D94BB">
            <w:pPr>
              <w:pStyle w:val="6"/>
              <w:spacing w:before="203" w:line="239" w:lineRule="auto"/>
              <w:ind w:left="112"/>
              <w:rPr>
                <w:sz w:val="20"/>
                <w:szCs w:val="20"/>
              </w:rPr>
            </w:pPr>
            <w:r>
              <w:rPr>
                <w:spacing w:val="-1"/>
                <w:sz w:val="20"/>
                <w:szCs w:val="20"/>
              </w:rPr>
              <w:t>2024.09.07</w:t>
            </w:r>
          </w:p>
        </w:tc>
        <w:tc>
          <w:tcPr>
            <w:tcW w:w="849" w:type="dxa"/>
            <w:vAlign w:val="top"/>
          </w:tcPr>
          <w:p w14:paraId="3CA29A9B">
            <w:pPr>
              <w:pStyle w:val="6"/>
              <w:spacing w:before="57" w:line="198" w:lineRule="auto"/>
              <w:ind w:left="213"/>
              <w:rPr>
                <w:sz w:val="20"/>
                <w:szCs w:val="20"/>
              </w:rPr>
            </w:pPr>
            <w:r>
              <w:rPr>
                <w:spacing w:val="9"/>
                <w:sz w:val="20"/>
                <w:szCs w:val="20"/>
              </w:rPr>
              <w:t>昼间</w:t>
            </w:r>
          </w:p>
        </w:tc>
        <w:tc>
          <w:tcPr>
            <w:tcW w:w="1768" w:type="dxa"/>
            <w:vAlign w:val="top"/>
          </w:tcPr>
          <w:p w14:paraId="7CFFB7BB">
            <w:pPr>
              <w:pStyle w:val="6"/>
              <w:spacing w:before="73" w:line="183" w:lineRule="auto"/>
              <w:ind w:left="324"/>
              <w:rPr>
                <w:sz w:val="20"/>
                <w:szCs w:val="20"/>
              </w:rPr>
            </w:pPr>
            <w:r>
              <w:rPr>
                <w:spacing w:val="-1"/>
                <w:sz w:val="20"/>
                <w:szCs w:val="20"/>
              </w:rPr>
              <w:t>09:56-10:06</w:t>
            </w:r>
          </w:p>
        </w:tc>
        <w:tc>
          <w:tcPr>
            <w:tcW w:w="1529" w:type="dxa"/>
            <w:vAlign w:val="top"/>
          </w:tcPr>
          <w:p w14:paraId="192578C9">
            <w:pPr>
              <w:pStyle w:val="6"/>
              <w:spacing w:before="73" w:line="183" w:lineRule="auto"/>
              <w:ind w:left="656"/>
              <w:rPr>
                <w:sz w:val="20"/>
                <w:szCs w:val="20"/>
              </w:rPr>
            </w:pPr>
            <w:r>
              <w:rPr>
                <w:spacing w:val="-3"/>
                <w:sz w:val="20"/>
                <w:szCs w:val="20"/>
              </w:rPr>
              <w:t>50</w:t>
            </w:r>
          </w:p>
        </w:tc>
        <w:tc>
          <w:tcPr>
            <w:tcW w:w="1418" w:type="dxa"/>
            <w:vAlign w:val="top"/>
          </w:tcPr>
          <w:p w14:paraId="3D4CB3CF">
            <w:pPr>
              <w:pStyle w:val="6"/>
              <w:spacing w:before="73" w:line="183" w:lineRule="auto"/>
              <w:ind w:left="607"/>
              <w:rPr>
                <w:sz w:val="20"/>
                <w:szCs w:val="20"/>
              </w:rPr>
            </w:pPr>
            <w:r>
              <w:rPr>
                <w:spacing w:val="-3"/>
                <w:sz w:val="20"/>
                <w:szCs w:val="20"/>
              </w:rPr>
              <w:t>55</w:t>
            </w:r>
          </w:p>
        </w:tc>
        <w:tc>
          <w:tcPr>
            <w:tcW w:w="999" w:type="dxa"/>
            <w:vAlign w:val="top"/>
          </w:tcPr>
          <w:p w14:paraId="1000AC28">
            <w:pPr>
              <w:pStyle w:val="6"/>
              <w:spacing w:before="55" w:line="200" w:lineRule="auto"/>
              <w:ind w:left="419"/>
              <w:rPr>
                <w:sz w:val="20"/>
                <w:szCs w:val="20"/>
              </w:rPr>
            </w:pPr>
            <w:r>
              <w:rPr>
                <w:spacing w:val="-2"/>
                <w:sz w:val="20"/>
                <w:szCs w:val="20"/>
              </w:rPr>
              <w:t>达标</w:t>
            </w:r>
          </w:p>
        </w:tc>
        <w:tc>
          <w:tcPr>
            <w:tcW w:w="265" w:type="dxa"/>
            <w:vMerge w:val="continue"/>
            <w:tcBorders>
              <w:top w:val="nil"/>
              <w:bottom w:val="nil"/>
            </w:tcBorders>
            <w:vAlign w:val="top"/>
          </w:tcPr>
          <w:p w14:paraId="5AAC6CD4">
            <w:pPr>
              <w:rPr>
                <w:rFonts w:ascii="Arial"/>
                <w:sz w:val="21"/>
              </w:rPr>
            </w:pPr>
          </w:p>
        </w:tc>
      </w:tr>
      <w:tr w14:paraId="7CD55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684" w:type="dxa"/>
            <w:vMerge w:val="continue"/>
            <w:tcBorders>
              <w:top w:val="nil"/>
              <w:bottom w:val="nil"/>
            </w:tcBorders>
            <w:vAlign w:val="top"/>
          </w:tcPr>
          <w:p w14:paraId="4B8FE72D">
            <w:pPr>
              <w:rPr>
                <w:rFonts w:ascii="Arial"/>
                <w:sz w:val="21"/>
              </w:rPr>
            </w:pPr>
          </w:p>
        </w:tc>
        <w:tc>
          <w:tcPr>
            <w:tcW w:w="110" w:type="dxa"/>
            <w:tcBorders>
              <w:top w:val="nil"/>
              <w:bottom w:val="nil"/>
            </w:tcBorders>
            <w:vAlign w:val="top"/>
          </w:tcPr>
          <w:p w14:paraId="56556EAC">
            <w:pPr>
              <w:rPr>
                <w:rFonts w:ascii="Arial"/>
                <w:sz w:val="21"/>
              </w:rPr>
            </w:pPr>
          </w:p>
        </w:tc>
        <w:tc>
          <w:tcPr>
            <w:tcW w:w="619" w:type="dxa"/>
            <w:vMerge w:val="continue"/>
            <w:tcBorders>
              <w:top w:val="nil"/>
              <w:bottom w:val="nil"/>
            </w:tcBorders>
            <w:vAlign w:val="top"/>
          </w:tcPr>
          <w:p w14:paraId="431E088E">
            <w:pPr>
              <w:rPr>
                <w:rFonts w:ascii="Arial"/>
                <w:sz w:val="21"/>
              </w:rPr>
            </w:pPr>
          </w:p>
        </w:tc>
        <w:tc>
          <w:tcPr>
            <w:tcW w:w="1169" w:type="dxa"/>
            <w:vMerge w:val="continue"/>
            <w:tcBorders>
              <w:top w:val="nil"/>
            </w:tcBorders>
            <w:vAlign w:val="top"/>
          </w:tcPr>
          <w:p w14:paraId="6F8EEA0C">
            <w:pPr>
              <w:rPr>
                <w:rFonts w:ascii="Arial"/>
                <w:sz w:val="21"/>
              </w:rPr>
            </w:pPr>
          </w:p>
        </w:tc>
        <w:tc>
          <w:tcPr>
            <w:tcW w:w="849" w:type="dxa"/>
            <w:vAlign w:val="top"/>
          </w:tcPr>
          <w:p w14:paraId="34BD5E50">
            <w:pPr>
              <w:pStyle w:val="6"/>
              <w:spacing w:before="42" w:line="188" w:lineRule="auto"/>
              <w:ind w:left="263"/>
              <w:rPr>
                <w:sz w:val="20"/>
                <w:szCs w:val="20"/>
              </w:rPr>
            </w:pPr>
            <w:r>
              <w:rPr>
                <w:spacing w:val="9"/>
                <w:sz w:val="20"/>
                <w:szCs w:val="20"/>
              </w:rPr>
              <w:t>夜间</w:t>
            </w:r>
          </w:p>
        </w:tc>
        <w:tc>
          <w:tcPr>
            <w:tcW w:w="1768" w:type="dxa"/>
            <w:vAlign w:val="top"/>
          </w:tcPr>
          <w:p w14:paraId="18DAF966">
            <w:pPr>
              <w:pStyle w:val="6"/>
              <w:spacing w:before="61" w:line="170" w:lineRule="auto"/>
              <w:ind w:left="324"/>
              <w:rPr>
                <w:sz w:val="20"/>
                <w:szCs w:val="20"/>
              </w:rPr>
            </w:pPr>
            <w:r>
              <w:rPr>
                <w:spacing w:val="-1"/>
                <w:sz w:val="20"/>
                <w:szCs w:val="20"/>
              </w:rPr>
              <w:t>23:17-23:27</w:t>
            </w:r>
          </w:p>
        </w:tc>
        <w:tc>
          <w:tcPr>
            <w:tcW w:w="1529" w:type="dxa"/>
            <w:vAlign w:val="top"/>
          </w:tcPr>
          <w:p w14:paraId="5ABE597F">
            <w:pPr>
              <w:pStyle w:val="6"/>
              <w:spacing w:before="61" w:line="170" w:lineRule="auto"/>
              <w:ind w:left="656"/>
              <w:rPr>
                <w:sz w:val="20"/>
                <w:szCs w:val="20"/>
              </w:rPr>
            </w:pPr>
            <w:r>
              <w:rPr>
                <w:spacing w:val="-2"/>
                <w:sz w:val="20"/>
                <w:szCs w:val="20"/>
              </w:rPr>
              <w:t>43</w:t>
            </w:r>
          </w:p>
        </w:tc>
        <w:tc>
          <w:tcPr>
            <w:tcW w:w="1418" w:type="dxa"/>
            <w:vAlign w:val="top"/>
          </w:tcPr>
          <w:p w14:paraId="1C31913A">
            <w:pPr>
              <w:pStyle w:val="6"/>
              <w:spacing w:before="61" w:line="170" w:lineRule="auto"/>
              <w:ind w:left="607"/>
              <w:rPr>
                <w:sz w:val="20"/>
                <w:szCs w:val="20"/>
              </w:rPr>
            </w:pPr>
            <w:r>
              <w:rPr>
                <w:spacing w:val="-2"/>
                <w:sz w:val="20"/>
                <w:szCs w:val="20"/>
              </w:rPr>
              <w:t>45</w:t>
            </w:r>
          </w:p>
        </w:tc>
        <w:tc>
          <w:tcPr>
            <w:tcW w:w="999" w:type="dxa"/>
            <w:vAlign w:val="top"/>
          </w:tcPr>
          <w:p w14:paraId="34D13C70">
            <w:pPr>
              <w:pStyle w:val="6"/>
              <w:spacing w:before="43" w:line="187" w:lineRule="auto"/>
              <w:ind w:left="419"/>
              <w:rPr>
                <w:sz w:val="20"/>
                <w:szCs w:val="20"/>
              </w:rPr>
            </w:pPr>
            <w:r>
              <w:rPr>
                <w:spacing w:val="-2"/>
                <w:sz w:val="20"/>
                <w:szCs w:val="20"/>
              </w:rPr>
              <w:t>达标</w:t>
            </w:r>
          </w:p>
        </w:tc>
        <w:tc>
          <w:tcPr>
            <w:tcW w:w="265" w:type="dxa"/>
            <w:vMerge w:val="continue"/>
            <w:tcBorders>
              <w:top w:val="nil"/>
              <w:bottom w:val="nil"/>
            </w:tcBorders>
            <w:vAlign w:val="top"/>
          </w:tcPr>
          <w:p w14:paraId="02F061A1">
            <w:pPr>
              <w:rPr>
                <w:rFonts w:ascii="Arial"/>
                <w:sz w:val="21"/>
              </w:rPr>
            </w:pPr>
          </w:p>
        </w:tc>
      </w:tr>
      <w:tr w14:paraId="5204B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84" w:type="dxa"/>
            <w:vMerge w:val="continue"/>
            <w:tcBorders>
              <w:top w:val="nil"/>
              <w:bottom w:val="nil"/>
            </w:tcBorders>
            <w:vAlign w:val="top"/>
          </w:tcPr>
          <w:p w14:paraId="415EB04E">
            <w:pPr>
              <w:rPr>
                <w:rFonts w:ascii="Arial"/>
                <w:sz w:val="21"/>
              </w:rPr>
            </w:pPr>
          </w:p>
        </w:tc>
        <w:tc>
          <w:tcPr>
            <w:tcW w:w="110" w:type="dxa"/>
            <w:tcBorders>
              <w:top w:val="nil"/>
              <w:bottom w:val="nil"/>
            </w:tcBorders>
            <w:vAlign w:val="top"/>
          </w:tcPr>
          <w:p w14:paraId="7BD72E28">
            <w:pPr>
              <w:rPr>
                <w:rFonts w:ascii="Arial"/>
                <w:sz w:val="21"/>
              </w:rPr>
            </w:pPr>
          </w:p>
        </w:tc>
        <w:tc>
          <w:tcPr>
            <w:tcW w:w="619" w:type="dxa"/>
            <w:vMerge w:val="continue"/>
            <w:tcBorders>
              <w:top w:val="nil"/>
              <w:bottom w:val="nil"/>
            </w:tcBorders>
            <w:vAlign w:val="top"/>
          </w:tcPr>
          <w:p w14:paraId="7DFFAC93">
            <w:pPr>
              <w:rPr>
                <w:rFonts w:ascii="Arial"/>
                <w:sz w:val="21"/>
              </w:rPr>
            </w:pPr>
          </w:p>
        </w:tc>
        <w:tc>
          <w:tcPr>
            <w:tcW w:w="1169" w:type="dxa"/>
            <w:vMerge w:val="restart"/>
            <w:tcBorders>
              <w:bottom w:val="nil"/>
            </w:tcBorders>
            <w:vAlign w:val="top"/>
          </w:tcPr>
          <w:p w14:paraId="44BCDE53">
            <w:pPr>
              <w:pStyle w:val="6"/>
              <w:spacing w:before="206" w:line="239" w:lineRule="auto"/>
              <w:ind w:left="112"/>
              <w:rPr>
                <w:sz w:val="20"/>
                <w:szCs w:val="20"/>
              </w:rPr>
            </w:pPr>
            <w:r>
              <w:rPr>
                <w:spacing w:val="-1"/>
                <w:sz w:val="20"/>
                <w:szCs w:val="20"/>
              </w:rPr>
              <w:t>2024.09.08</w:t>
            </w:r>
          </w:p>
        </w:tc>
        <w:tc>
          <w:tcPr>
            <w:tcW w:w="849" w:type="dxa"/>
            <w:vAlign w:val="top"/>
          </w:tcPr>
          <w:p w14:paraId="2EFFABC9">
            <w:pPr>
              <w:pStyle w:val="6"/>
              <w:spacing w:before="49" w:line="189" w:lineRule="auto"/>
              <w:ind w:left="213"/>
              <w:rPr>
                <w:sz w:val="20"/>
                <w:szCs w:val="20"/>
              </w:rPr>
            </w:pPr>
            <w:r>
              <w:rPr>
                <w:spacing w:val="9"/>
                <w:sz w:val="20"/>
                <w:szCs w:val="20"/>
              </w:rPr>
              <w:t>昼间</w:t>
            </w:r>
          </w:p>
        </w:tc>
        <w:tc>
          <w:tcPr>
            <w:tcW w:w="1768" w:type="dxa"/>
            <w:vAlign w:val="top"/>
          </w:tcPr>
          <w:p w14:paraId="54DCDD9E">
            <w:pPr>
              <w:pStyle w:val="6"/>
              <w:spacing w:before="66" w:line="173" w:lineRule="auto"/>
              <w:ind w:left="324"/>
              <w:rPr>
                <w:sz w:val="20"/>
                <w:szCs w:val="20"/>
              </w:rPr>
            </w:pPr>
            <w:r>
              <w:rPr>
                <w:spacing w:val="-1"/>
                <w:sz w:val="20"/>
                <w:szCs w:val="20"/>
              </w:rPr>
              <w:t>09:57-10:07</w:t>
            </w:r>
          </w:p>
        </w:tc>
        <w:tc>
          <w:tcPr>
            <w:tcW w:w="1529" w:type="dxa"/>
            <w:vAlign w:val="top"/>
          </w:tcPr>
          <w:p w14:paraId="63A6F12C">
            <w:pPr>
              <w:pStyle w:val="6"/>
              <w:spacing w:before="66" w:line="173" w:lineRule="auto"/>
              <w:ind w:left="656"/>
              <w:rPr>
                <w:sz w:val="20"/>
                <w:szCs w:val="20"/>
              </w:rPr>
            </w:pPr>
            <w:r>
              <w:rPr>
                <w:spacing w:val="-2"/>
                <w:sz w:val="20"/>
                <w:szCs w:val="20"/>
              </w:rPr>
              <w:t>48</w:t>
            </w:r>
          </w:p>
        </w:tc>
        <w:tc>
          <w:tcPr>
            <w:tcW w:w="1418" w:type="dxa"/>
            <w:vAlign w:val="top"/>
          </w:tcPr>
          <w:p w14:paraId="57BFB1C5">
            <w:pPr>
              <w:pStyle w:val="6"/>
              <w:spacing w:before="66" w:line="173" w:lineRule="auto"/>
              <w:ind w:left="607"/>
              <w:rPr>
                <w:sz w:val="20"/>
                <w:szCs w:val="20"/>
              </w:rPr>
            </w:pPr>
            <w:r>
              <w:rPr>
                <w:spacing w:val="-3"/>
                <w:sz w:val="20"/>
                <w:szCs w:val="20"/>
              </w:rPr>
              <w:t>55</w:t>
            </w:r>
          </w:p>
        </w:tc>
        <w:tc>
          <w:tcPr>
            <w:tcW w:w="999" w:type="dxa"/>
            <w:vAlign w:val="top"/>
          </w:tcPr>
          <w:p w14:paraId="411B54AE">
            <w:pPr>
              <w:pStyle w:val="6"/>
              <w:spacing w:before="47" w:line="191" w:lineRule="auto"/>
              <w:ind w:left="419"/>
              <w:rPr>
                <w:sz w:val="20"/>
                <w:szCs w:val="20"/>
              </w:rPr>
            </w:pPr>
            <w:r>
              <w:rPr>
                <w:spacing w:val="-2"/>
                <w:sz w:val="20"/>
                <w:szCs w:val="20"/>
              </w:rPr>
              <w:t>达标</w:t>
            </w:r>
          </w:p>
        </w:tc>
        <w:tc>
          <w:tcPr>
            <w:tcW w:w="265" w:type="dxa"/>
            <w:vMerge w:val="continue"/>
            <w:tcBorders>
              <w:top w:val="nil"/>
              <w:bottom w:val="nil"/>
            </w:tcBorders>
            <w:vAlign w:val="top"/>
          </w:tcPr>
          <w:p w14:paraId="3622551C">
            <w:pPr>
              <w:rPr>
                <w:rFonts w:ascii="Arial"/>
                <w:sz w:val="21"/>
              </w:rPr>
            </w:pPr>
          </w:p>
        </w:tc>
      </w:tr>
      <w:tr w14:paraId="7232A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84" w:type="dxa"/>
            <w:vMerge w:val="continue"/>
            <w:tcBorders>
              <w:top w:val="nil"/>
              <w:bottom w:val="nil"/>
            </w:tcBorders>
            <w:vAlign w:val="top"/>
          </w:tcPr>
          <w:p w14:paraId="6D50FEE1">
            <w:pPr>
              <w:rPr>
                <w:rFonts w:ascii="Arial"/>
                <w:sz w:val="21"/>
              </w:rPr>
            </w:pPr>
          </w:p>
        </w:tc>
        <w:tc>
          <w:tcPr>
            <w:tcW w:w="110" w:type="dxa"/>
            <w:tcBorders>
              <w:top w:val="nil"/>
              <w:bottom w:val="nil"/>
            </w:tcBorders>
            <w:vAlign w:val="top"/>
          </w:tcPr>
          <w:p w14:paraId="7E7E068C">
            <w:pPr>
              <w:rPr>
                <w:rFonts w:ascii="Arial"/>
                <w:sz w:val="21"/>
              </w:rPr>
            </w:pPr>
          </w:p>
        </w:tc>
        <w:tc>
          <w:tcPr>
            <w:tcW w:w="619" w:type="dxa"/>
            <w:vMerge w:val="continue"/>
            <w:tcBorders>
              <w:top w:val="nil"/>
            </w:tcBorders>
            <w:vAlign w:val="top"/>
          </w:tcPr>
          <w:p w14:paraId="497CEEA6">
            <w:pPr>
              <w:rPr>
                <w:rFonts w:ascii="Arial"/>
                <w:sz w:val="21"/>
              </w:rPr>
            </w:pPr>
          </w:p>
        </w:tc>
        <w:tc>
          <w:tcPr>
            <w:tcW w:w="1169" w:type="dxa"/>
            <w:vMerge w:val="continue"/>
            <w:tcBorders>
              <w:top w:val="nil"/>
            </w:tcBorders>
            <w:vAlign w:val="top"/>
          </w:tcPr>
          <w:p w14:paraId="658EC3EB">
            <w:pPr>
              <w:rPr>
                <w:rFonts w:ascii="Arial"/>
                <w:sz w:val="21"/>
              </w:rPr>
            </w:pPr>
          </w:p>
        </w:tc>
        <w:tc>
          <w:tcPr>
            <w:tcW w:w="849" w:type="dxa"/>
            <w:vAlign w:val="top"/>
          </w:tcPr>
          <w:p w14:paraId="207F43CA">
            <w:pPr>
              <w:pStyle w:val="6"/>
              <w:spacing w:before="61" w:line="197" w:lineRule="auto"/>
              <w:ind w:left="263"/>
              <w:rPr>
                <w:sz w:val="20"/>
                <w:szCs w:val="20"/>
              </w:rPr>
            </w:pPr>
            <w:r>
              <w:rPr>
                <w:spacing w:val="9"/>
                <w:sz w:val="20"/>
                <w:szCs w:val="20"/>
              </w:rPr>
              <w:t>夜间</w:t>
            </w:r>
          </w:p>
        </w:tc>
        <w:tc>
          <w:tcPr>
            <w:tcW w:w="1768" w:type="dxa"/>
            <w:vAlign w:val="top"/>
          </w:tcPr>
          <w:p w14:paraId="36BB363F">
            <w:pPr>
              <w:pStyle w:val="6"/>
              <w:spacing w:before="82" w:line="178" w:lineRule="auto"/>
              <w:ind w:left="324"/>
              <w:rPr>
                <w:sz w:val="20"/>
                <w:szCs w:val="20"/>
              </w:rPr>
            </w:pPr>
            <w:r>
              <w:rPr>
                <w:spacing w:val="-1"/>
                <w:sz w:val="20"/>
                <w:szCs w:val="20"/>
              </w:rPr>
              <w:t>23:19-23:29</w:t>
            </w:r>
          </w:p>
        </w:tc>
        <w:tc>
          <w:tcPr>
            <w:tcW w:w="1529" w:type="dxa"/>
            <w:vAlign w:val="top"/>
          </w:tcPr>
          <w:p w14:paraId="476B5F65">
            <w:pPr>
              <w:pStyle w:val="6"/>
              <w:spacing w:before="82" w:line="178" w:lineRule="auto"/>
              <w:ind w:left="656"/>
              <w:rPr>
                <w:sz w:val="20"/>
                <w:szCs w:val="20"/>
              </w:rPr>
            </w:pPr>
            <w:r>
              <w:rPr>
                <w:spacing w:val="-2"/>
                <w:sz w:val="20"/>
                <w:szCs w:val="20"/>
              </w:rPr>
              <w:t>43</w:t>
            </w:r>
          </w:p>
        </w:tc>
        <w:tc>
          <w:tcPr>
            <w:tcW w:w="1418" w:type="dxa"/>
            <w:vAlign w:val="top"/>
          </w:tcPr>
          <w:p w14:paraId="2A3F5A26">
            <w:pPr>
              <w:pStyle w:val="6"/>
              <w:spacing w:before="82" w:line="178" w:lineRule="auto"/>
              <w:ind w:left="607"/>
              <w:rPr>
                <w:sz w:val="20"/>
                <w:szCs w:val="20"/>
              </w:rPr>
            </w:pPr>
            <w:r>
              <w:rPr>
                <w:spacing w:val="-2"/>
                <w:sz w:val="20"/>
                <w:szCs w:val="20"/>
              </w:rPr>
              <w:t>45</w:t>
            </w:r>
          </w:p>
        </w:tc>
        <w:tc>
          <w:tcPr>
            <w:tcW w:w="999" w:type="dxa"/>
            <w:vAlign w:val="top"/>
          </w:tcPr>
          <w:p w14:paraId="622D88FD">
            <w:pPr>
              <w:pStyle w:val="6"/>
              <w:spacing w:before="62" w:line="196" w:lineRule="auto"/>
              <w:ind w:left="419"/>
              <w:rPr>
                <w:sz w:val="20"/>
                <w:szCs w:val="20"/>
              </w:rPr>
            </w:pPr>
            <w:r>
              <w:rPr>
                <w:spacing w:val="-2"/>
                <w:sz w:val="20"/>
                <w:szCs w:val="20"/>
              </w:rPr>
              <w:t>达标</w:t>
            </w:r>
          </w:p>
        </w:tc>
        <w:tc>
          <w:tcPr>
            <w:tcW w:w="265" w:type="dxa"/>
            <w:vMerge w:val="continue"/>
            <w:tcBorders>
              <w:top w:val="nil"/>
              <w:bottom w:val="nil"/>
            </w:tcBorders>
            <w:vAlign w:val="top"/>
          </w:tcPr>
          <w:p w14:paraId="64DF68F7">
            <w:pPr>
              <w:rPr>
                <w:rFonts w:ascii="Arial"/>
                <w:sz w:val="21"/>
              </w:rPr>
            </w:pPr>
          </w:p>
        </w:tc>
      </w:tr>
      <w:tr w14:paraId="0380A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684" w:type="dxa"/>
            <w:vMerge w:val="continue"/>
            <w:tcBorders>
              <w:top w:val="nil"/>
            </w:tcBorders>
            <w:vAlign w:val="top"/>
          </w:tcPr>
          <w:p w14:paraId="56E31B9D">
            <w:pPr>
              <w:rPr>
                <w:rFonts w:ascii="Arial"/>
                <w:sz w:val="21"/>
              </w:rPr>
            </w:pPr>
          </w:p>
        </w:tc>
        <w:tc>
          <w:tcPr>
            <w:tcW w:w="110" w:type="dxa"/>
            <w:tcBorders>
              <w:top w:val="nil"/>
            </w:tcBorders>
            <w:vAlign w:val="top"/>
          </w:tcPr>
          <w:p w14:paraId="7B034A98">
            <w:pPr>
              <w:rPr>
                <w:rFonts w:ascii="Arial"/>
                <w:sz w:val="21"/>
              </w:rPr>
            </w:pPr>
          </w:p>
        </w:tc>
        <w:tc>
          <w:tcPr>
            <w:tcW w:w="619" w:type="dxa"/>
            <w:vAlign w:val="top"/>
          </w:tcPr>
          <w:p w14:paraId="08097DA4">
            <w:pPr>
              <w:pStyle w:val="6"/>
              <w:spacing w:before="47" w:line="209" w:lineRule="auto"/>
              <w:ind w:left="171"/>
              <w:rPr>
                <w:sz w:val="20"/>
                <w:szCs w:val="20"/>
              </w:rPr>
            </w:pPr>
            <w:r>
              <w:rPr>
                <w:spacing w:val="-2"/>
                <w:sz w:val="20"/>
                <w:szCs w:val="20"/>
              </w:rPr>
              <w:t>2#栗</w:t>
            </w:r>
          </w:p>
        </w:tc>
        <w:tc>
          <w:tcPr>
            <w:tcW w:w="1169" w:type="dxa"/>
            <w:vAlign w:val="top"/>
          </w:tcPr>
          <w:p w14:paraId="75E5587A">
            <w:pPr>
              <w:pStyle w:val="6"/>
              <w:spacing w:before="67" w:line="191" w:lineRule="auto"/>
              <w:ind w:left="112"/>
              <w:rPr>
                <w:sz w:val="20"/>
                <w:szCs w:val="20"/>
              </w:rPr>
            </w:pPr>
            <w:r>
              <w:rPr>
                <w:spacing w:val="-1"/>
                <w:sz w:val="20"/>
                <w:szCs w:val="20"/>
              </w:rPr>
              <w:t>2024.09.07</w:t>
            </w:r>
          </w:p>
        </w:tc>
        <w:tc>
          <w:tcPr>
            <w:tcW w:w="849" w:type="dxa"/>
            <w:vAlign w:val="top"/>
          </w:tcPr>
          <w:p w14:paraId="31D688AC">
            <w:pPr>
              <w:pStyle w:val="6"/>
              <w:spacing w:before="50" w:line="206" w:lineRule="auto"/>
              <w:ind w:left="263"/>
              <w:rPr>
                <w:sz w:val="20"/>
                <w:szCs w:val="20"/>
              </w:rPr>
            </w:pPr>
            <w:r>
              <w:rPr>
                <w:spacing w:val="9"/>
                <w:sz w:val="20"/>
                <w:szCs w:val="20"/>
              </w:rPr>
              <w:t>昼间</w:t>
            </w:r>
          </w:p>
        </w:tc>
        <w:tc>
          <w:tcPr>
            <w:tcW w:w="1768" w:type="dxa"/>
            <w:vAlign w:val="top"/>
          </w:tcPr>
          <w:p w14:paraId="1686D459">
            <w:pPr>
              <w:pStyle w:val="6"/>
              <w:spacing w:before="67" w:line="191" w:lineRule="auto"/>
              <w:ind w:left="324"/>
              <w:rPr>
                <w:sz w:val="20"/>
                <w:szCs w:val="20"/>
              </w:rPr>
            </w:pPr>
            <w:r>
              <w:rPr>
                <w:spacing w:val="-1"/>
                <w:sz w:val="20"/>
                <w:szCs w:val="20"/>
              </w:rPr>
              <w:t>08:59-09:09</w:t>
            </w:r>
          </w:p>
        </w:tc>
        <w:tc>
          <w:tcPr>
            <w:tcW w:w="1529" w:type="dxa"/>
            <w:vAlign w:val="top"/>
          </w:tcPr>
          <w:p w14:paraId="63292FEC">
            <w:pPr>
              <w:pStyle w:val="6"/>
              <w:spacing w:before="67" w:line="191" w:lineRule="auto"/>
              <w:ind w:left="656"/>
              <w:rPr>
                <w:sz w:val="20"/>
                <w:szCs w:val="20"/>
              </w:rPr>
            </w:pPr>
            <w:r>
              <w:rPr>
                <w:spacing w:val="-2"/>
                <w:sz w:val="20"/>
                <w:szCs w:val="20"/>
              </w:rPr>
              <w:t>43</w:t>
            </w:r>
          </w:p>
        </w:tc>
        <w:tc>
          <w:tcPr>
            <w:tcW w:w="1418" w:type="dxa"/>
            <w:vAlign w:val="top"/>
          </w:tcPr>
          <w:p w14:paraId="3A0EFCBC">
            <w:pPr>
              <w:pStyle w:val="6"/>
              <w:spacing w:before="67" w:line="191" w:lineRule="auto"/>
              <w:ind w:left="607"/>
              <w:rPr>
                <w:sz w:val="20"/>
                <w:szCs w:val="20"/>
              </w:rPr>
            </w:pPr>
            <w:r>
              <w:rPr>
                <w:spacing w:val="-3"/>
                <w:sz w:val="20"/>
                <w:szCs w:val="20"/>
              </w:rPr>
              <w:t>55</w:t>
            </w:r>
          </w:p>
        </w:tc>
        <w:tc>
          <w:tcPr>
            <w:tcW w:w="999" w:type="dxa"/>
            <w:vAlign w:val="top"/>
          </w:tcPr>
          <w:p w14:paraId="4A967DBE">
            <w:pPr>
              <w:pStyle w:val="6"/>
              <w:spacing w:before="47" w:line="209" w:lineRule="auto"/>
              <w:ind w:left="419"/>
              <w:rPr>
                <w:sz w:val="20"/>
                <w:szCs w:val="20"/>
              </w:rPr>
            </w:pPr>
            <w:r>
              <w:rPr>
                <w:spacing w:val="-2"/>
                <w:sz w:val="20"/>
                <w:szCs w:val="20"/>
              </w:rPr>
              <w:t>达标</w:t>
            </w:r>
          </w:p>
        </w:tc>
        <w:tc>
          <w:tcPr>
            <w:tcW w:w="265" w:type="dxa"/>
            <w:vMerge w:val="continue"/>
            <w:tcBorders>
              <w:top w:val="nil"/>
            </w:tcBorders>
            <w:vAlign w:val="top"/>
          </w:tcPr>
          <w:p w14:paraId="398255F2">
            <w:pPr>
              <w:rPr>
                <w:rFonts w:ascii="Arial"/>
                <w:sz w:val="21"/>
              </w:rPr>
            </w:pPr>
          </w:p>
        </w:tc>
      </w:tr>
    </w:tbl>
    <w:p w14:paraId="3B7F7476">
      <w:pPr>
        <w:pStyle w:val="2"/>
      </w:pPr>
    </w:p>
    <w:p w14:paraId="75067756">
      <w:pPr>
        <w:sectPr>
          <w:headerReference r:id="rId110" w:type="default"/>
          <w:footerReference r:id="rId111" w:type="default"/>
          <w:pgSz w:w="11910" w:h="16830"/>
          <w:pgMar w:top="1430" w:right="1239" w:bottom="1245" w:left="1180" w:header="1419" w:footer="1083" w:gutter="0"/>
          <w:cols w:space="720" w:num="1"/>
        </w:sectPr>
      </w:pPr>
    </w:p>
    <w:p w14:paraId="187D9886">
      <w:pPr>
        <w:spacing w:before="18"/>
      </w:pPr>
    </w:p>
    <w:p w14:paraId="2391170C">
      <w:pPr>
        <w:spacing w:before="17"/>
      </w:pPr>
    </w:p>
    <w:p w14:paraId="320195F9">
      <w:pPr>
        <w:spacing w:before="17"/>
      </w:pPr>
    </w:p>
    <w:p w14:paraId="5184C6B0">
      <w:pPr>
        <w:spacing w:before="17"/>
      </w:pPr>
    </w:p>
    <w:tbl>
      <w:tblPr>
        <w:tblStyle w:val="5"/>
        <w:tblW w:w="94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10"/>
        <w:gridCol w:w="629"/>
        <w:gridCol w:w="589"/>
        <w:gridCol w:w="569"/>
        <w:gridCol w:w="320"/>
        <w:gridCol w:w="539"/>
        <w:gridCol w:w="240"/>
        <w:gridCol w:w="1359"/>
        <w:gridCol w:w="150"/>
        <w:gridCol w:w="1219"/>
        <w:gridCol w:w="310"/>
        <w:gridCol w:w="1019"/>
        <w:gridCol w:w="399"/>
        <w:gridCol w:w="939"/>
        <w:gridCol w:w="80"/>
        <w:gridCol w:w="285"/>
      </w:tblGrid>
      <w:tr w14:paraId="6B2A0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64" w:type="dxa"/>
            <w:vMerge w:val="restart"/>
            <w:tcBorders>
              <w:bottom w:val="nil"/>
            </w:tcBorders>
            <w:vAlign w:val="top"/>
          </w:tcPr>
          <w:p w14:paraId="15470294">
            <w:pPr>
              <w:rPr>
                <w:rFonts w:ascii="Arial"/>
                <w:sz w:val="21"/>
              </w:rPr>
            </w:pPr>
          </w:p>
        </w:tc>
        <w:tc>
          <w:tcPr>
            <w:tcW w:w="110" w:type="dxa"/>
            <w:tcBorders>
              <w:bottom w:val="nil"/>
            </w:tcBorders>
            <w:vAlign w:val="top"/>
          </w:tcPr>
          <w:p w14:paraId="4BA9B29B">
            <w:pPr>
              <w:rPr>
                <w:rFonts w:ascii="Arial"/>
                <w:sz w:val="21"/>
              </w:rPr>
            </w:pPr>
          </w:p>
        </w:tc>
        <w:tc>
          <w:tcPr>
            <w:tcW w:w="629" w:type="dxa"/>
            <w:vMerge w:val="restart"/>
            <w:tcBorders>
              <w:bottom w:val="nil"/>
            </w:tcBorders>
            <w:vAlign w:val="top"/>
          </w:tcPr>
          <w:p w14:paraId="28B851D4">
            <w:pPr>
              <w:pStyle w:val="6"/>
              <w:spacing w:before="43" w:line="242" w:lineRule="auto"/>
              <w:ind w:left="61" w:right="9" w:firstLine="130"/>
              <w:rPr>
                <w:sz w:val="20"/>
                <w:szCs w:val="20"/>
              </w:rPr>
            </w:pPr>
            <w:r>
              <w:rPr>
                <w:spacing w:val="8"/>
                <w:sz w:val="20"/>
                <w:szCs w:val="20"/>
              </w:rPr>
              <w:t>树园</w:t>
            </w:r>
            <w:r>
              <w:rPr>
                <w:sz w:val="20"/>
                <w:szCs w:val="20"/>
              </w:rPr>
              <w:t xml:space="preserve"> </w:t>
            </w:r>
            <w:r>
              <w:rPr>
                <w:spacing w:val="13"/>
                <w:sz w:val="20"/>
                <w:szCs w:val="20"/>
              </w:rPr>
              <w:t>散户</w:t>
            </w:r>
          </w:p>
        </w:tc>
        <w:tc>
          <w:tcPr>
            <w:tcW w:w="1158" w:type="dxa"/>
            <w:gridSpan w:val="2"/>
            <w:vAlign w:val="top"/>
          </w:tcPr>
          <w:p w14:paraId="5AD8B02B">
            <w:pPr>
              <w:rPr>
                <w:rFonts w:ascii="Arial"/>
                <w:sz w:val="21"/>
              </w:rPr>
            </w:pPr>
          </w:p>
        </w:tc>
        <w:tc>
          <w:tcPr>
            <w:tcW w:w="859" w:type="dxa"/>
            <w:gridSpan w:val="2"/>
            <w:vAlign w:val="top"/>
          </w:tcPr>
          <w:p w14:paraId="6CC585F6">
            <w:pPr>
              <w:pStyle w:val="6"/>
              <w:spacing w:before="42" w:line="208" w:lineRule="auto"/>
              <w:ind w:left="224"/>
              <w:rPr>
                <w:sz w:val="20"/>
                <w:szCs w:val="20"/>
              </w:rPr>
            </w:pPr>
            <w:r>
              <w:rPr>
                <w:spacing w:val="9"/>
                <w:sz w:val="20"/>
                <w:szCs w:val="20"/>
              </w:rPr>
              <w:t>夜间</w:t>
            </w:r>
          </w:p>
        </w:tc>
        <w:tc>
          <w:tcPr>
            <w:tcW w:w="1749" w:type="dxa"/>
            <w:gridSpan w:val="3"/>
            <w:vAlign w:val="top"/>
          </w:tcPr>
          <w:p w14:paraId="197E5FBD">
            <w:pPr>
              <w:pStyle w:val="6"/>
              <w:spacing w:before="63" w:line="189" w:lineRule="auto"/>
              <w:ind w:left="375"/>
              <w:rPr>
                <w:sz w:val="20"/>
                <w:szCs w:val="20"/>
              </w:rPr>
            </w:pPr>
            <w:r>
              <w:rPr>
                <w:spacing w:val="-1"/>
                <w:sz w:val="20"/>
                <w:szCs w:val="20"/>
              </w:rPr>
              <w:t>22:24-22:34</w:t>
            </w:r>
          </w:p>
        </w:tc>
        <w:tc>
          <w:tcPr>
            <w:tcW w:w="1529" w:type="dxa"/>
            <w:gridSpan w:val="2"/>
            <w:vAlign w:val="top"/>
          </w:tcPr>
          <w:p w14:paraId="78D11591">
            <w:pPr>
              <w:pStyle w:val="6"/>
              <w:spacing w:before="63" w:line="189" w:lineRule="auto"/>
              <w:ind w:left="656"/>
              <w:rPr>
                <w:sz w:val="20"/>
                <w:szCs w:val="20"/>
              </w:rPr>
            </w:pPr>
            <w:r>
              <w:rPr>
                <w:spacing w:val="-2"/>
                <w:sz w:val="20"/>
                <w:szCs w:val="20"/>
              </w:rPr>
              <w:t>42</w:t>
            </w:r>
          </w:p>
        </w:tc>
        <w:tc>
          <w:tcPr>
            <w:tcW w:w="1418" w:type="dxa"/>
            <w:gridSpan w:val="2"/>
            <w:vAlign w:val="top"/>
          </w:tcPr>
          <w:p w14:paraId="48E5FBA8">
            <w:pPr>
              <w:pStyle w:val="6"/>
              <w:spacing w:before="63" w:line="189" w:lineRule="auto"/>
              <w:ind w:left="607"/>
              <w:rPr>
                <w:sz w:val="20"/>
                <w:szCs w:val="20"/>
              </w:rPr>
            </w:pPr>
            <w:r>
              <w:rPr>
                <w:spacing w:val="-2"/>
                <w:sz w:val="20"/>
                <w:szCs w:val="20"/>
              </w:rPr>
              <w:t>45</w:t>
            </w:r>
          </w:p>
        </w:tc>
        <w:tc>
          <w:tcPr>
            <w:tcW w:w="1019" w:type="dxa"/>
            <w:gridSpan w:val="2"/>
            <w:vAlign w:val="top"/>
          </w:tcPr>
          <w:p w14:paraId="4F2B6B04">
            <w:pPr>
              <w:pStyle w:val="6"/>
              <w:spacing w:before="43" w:line="207" w:lineRule="auto"/>
              <w:ind w:left="429"/>
              <w:rPr>
                <w:sz w:val="20"/>
                <w:szCs w:val="20"/>
              </w:rPr>
            </w:pPr>
            <w:r>
              <w:rPr>
                <w:spacing w:val="-2"/>
                <w:sz w:val="20"/>
                <w:szCs w:val="20"/>
              </w:rPr>
              <w:t>达标</w:t>
            </w:r>
          </w:p>
        </w:tc>
        <w:tc>
          <w:tcPr>
            <w:tcW w:w="285" w:type="dxa"/>
            <w:vMerge w:val="restart"/>
            <w:tcBorders>
              <w:bottom w:val="nil"/>
            </w:tcBorders>
            <w:vAlign w:val="top"/>
          </w:tcPr>
          <w:p w14:paraId="62A1B31F">
            <w:pPr>
              <w:rPr>
                <w:rFonts w:ascii="Arial"/>
                <w:sz w:val="21"/>
              </w:rPr>
            </w:pPr>
          </w:p>
        </w:tc>
      </w:tr>
      <w:tr w14:paraId="420E9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664" w:type="dxa"/>
            <w:vMerge w:val="continue"/>
            <w:tcBorders>
              <w:top w:val="nil"/>
              <w:bottom w:val="nil"/>
            </w:tcBorders>
            <w:vAlign w:val="top"/>
          </w:tcPr>
          <w:p w14:paraId="7DE2E7D2">
            <w:pPr>
              <w:rPr>
                <w:rFonts w:ascii="Arial"/>
                <w:sz w:val="21"/>
              </w:rPr>
            </w:pPr>
          </w:p>
        </w:tc>
        <w:tc>
          <w:tcPr>
            <w:tcW w:w="110" w:type="dxa"/>
            <w:tcBorders>
              <w:top w:val="nil"/>
              <w:bottom w:val="nil"/>
            </w:tcBorders>
            <w:vAlign w:val="top"/>
          </w:tcPr>
          <w:p w14:paraId="13F0E7C5">
            <w:pPr>
              <w:rPr>
                <w:rFonts w:ascii="Arial"/>
                <w:sz w:val="21"/>
              </w:rPr>
            </w:pPr>
          </w:p>
        </w:tc>
        <w:tc>
          <w:tcPr>
            <w:tcW w:w="629" w:type="dxa"/>
            <w:vMerge w:val="continue"/>
            <w:tcBorders>
              <w:top w:val="nil"/>
              <w:bottom w:val="nil"/>
            </w:tcBorders>
            <w:vAlign w:val="top"/>
          </w:tcPr>
          <w:p w14:paraId="73D75AF4">
            <w:pPr>
              <w:rPr>
                <w:rFonts w:ascii="Arial"/>
                <w:sz w:val="21"/>
              </w:rPr>
            </w:pPr>
          </w:p>
        </w:tc>
        <w:tc>
          <w:tcPr>
            <w:tcW w:w="1158" w:type="dxa"/>
            <w:gridSpan w:val="2"/>
            <w:vMerge w:val="restart"/>
            <w:tcBorders>
              <w:bottom w:val="nil"/>
            </w:tcBorders>
            <w:vAlign w:val="top"/>
          </w:tcPr>
          <w:p w14:paraId="54878AD4">
            <w:pPr>
              <w:pStyle w:val="6"/>
              <w:spacing w:before="204" w:line="239" w:lineRule="auto"/>
              <w:ind w:right="5"/>
              <w:jc w:val="right"/>
              <w:rPr>
                <w:sz w:val="20"/>
                <w:szCs w:val="20"/>
              </w:rPr>
            </w:pPr>
            <w:r>
              <w:rPr>
                <w:spacing w:val="-1"/>
                <w:sz w:val="20"/>
                <w:szCs w:val="20"/>
              </w:rPr>
              <w:t>2024.09.08</w:t>
            </w:r>
          </w:p>
        </w:tc>
        <w:tc>
          <w:tcPr>
            <w:tcW w:w="859" w:type="dxa"/>
            <w:gridSpan w:val="2"/>
            <w:vAlign w:val="top"/>
          </w:tcPr>
          <w:p w14:paraId="3645ADA0">
            <w:pPr>
              <w:pStyle w:val="6"/>
              <w:spacing w:before="48" w:line="196" w:lineRule="auto"/>
              <w:ind w:left="224"/>
              <w:rPr>
                <w:sz w:val="20"/>
                <w:szCs w:val="20"/>
              </w:rPr>
            </w:pPr>
            <w:r>
              <w:rPr>
                <w:spacing w:val="9"/>
                <w:sz w:val="20"/>
                <w:szCs w:val="20"/>
              </w:rPr>
              <w:t>昼间</w:t>
            </w:r>
          </w:p>
        </w:tc>
        <w:tc>
          <w:tcPr>
            <w:tcW w:w="1749" w:type="dxa"/>
            <w:gridSpan w:val="3"/>
            <w:vAlign w:val="top"/>
          </w:tcPr>
          <w:p w14:paraId="7C65182D">
            <w:pPr>
              <w:pStyle w:val="6"/>
              <w:spacing w:before="64" w:line="181" w:lineRule="auto"/>
              <w:ind w:left="375"/>
              <w:rPr>
                <w:sz w:val="20"/>
                <w:szCs w:val="20"/>
              </w:rPr>
            </w:pPr>
            <w:r>
              <w:rPr>
                <w:spacing w:val="-1"/>
                <w:sz w:val="20"/>
                <w:szCs w:val="20"/>
              </w:rPr>
              <w:t>09:39-09:49</w:t>
            </w:r>
          </w:p>
        </w:tc>
        <w:tc>
          <w:tcPr>
            <w:tcW w:w="1529" w:type="dxa"/>
            <w:gridSpan w:val="2"/>
            <w:vAlign w:val="top"/>
          </w:tcPr>
          <w:p w14:paraId="11535CEE">
            <w:pPr>
              <w:pStyle w:val="6"/>
              <w:spacing w:before="64" w:line="181" w:lineRule="auto"/>
              <w:ind w:left="656"/>
              <w:rPr>
                <w:sz w:val="20"/>
                <w:szCs w:val="20"/>
              </w:rPr>
            </w:pPr>
            <w:r>
              <w:rPr>
                <w:spacing w:val="-2"/>
                <w:sz w:val="20"/>
                <w:szCs w:val="20"/>
              </w:rPr>
              <w:t>44</w:t>
            </w:r>
          </w:p>
        </w:tc>
        <w:tc>
          <w:tcPr>
            <w:tcW w:w="1418" w:type="dxa"/>
            <w:gridSpan w:val="2"/>
            <w:vAlign w:val="top"/>
          </w:tcPr>
          <w:p w14:paraId="3878B936">
            <w:pPr>
              <w:pStyle w:val="6"/>
              <w:spacing w:before="64" w:line="181" w:lineRule="auto"/>
              <w:ind w:left="606"/>
              <w:rPr>
                <w:sz w:val="20"/>
                <w:szCs w:val="20"/>
              </w:rPr>
            </w:pPr>
            <w:r>
              <w:rPr>
                <w:spacing w:val="-3"/>
                <w:sz w:val="20"/>
                <w:szCs w:val="20"/>
              </w:rPr>
              <w:t>55</w:t>
            </w:r>
          </w:p>
        </w:tc>
        <w:tc>
          <w:tcPr>
            <w:tcW w:w="1019" w:type="dxa"/>
            <w:gridSpan w:val="2"/>
            <w:vAlign w:val="top"/>
          </w:tcPr>
          <w:p w14:paraId="5C8B9225">
            <w:pPr>
              <w:pStyle w:val="6"/>
              <w:spacing w:before="45" w:line="199" w:lineRule="auto"/>
              <w:ind w:left="429"/>
              <w:rPr>
                <w:sz w:val="20"/>
                <w:szCs w:val="20"/>
              </w:rPr>
            </w:pPr>
            <w:r>
              <w:rPr>
                <w:spacing w:val="-2"/>
                <w:sz w:val="20"/>
                <w:szCs w:val="20"/>
              </w:rPr>
              <w:t>达标</w:t>
            </w:r>
          </w:p>
        </w:tc>
        <w:tc>
          <w:tcPr>
            <w:tcW w:w="285" w:type="dxa"/>
            <w:vMerge w:val="continue"/>
            <w:tcBorders>
              <w:top w:val="nil"/>
              <w:bottom w:val="nil"/>
            </w:tcBorders>
            <w:vAlign w:val="top"/>
          </w:tcPr>
          <w:p w14:paraId="1FB9F857">
            <w:pPr>
              <w:rPr>
                <w:rFonts w:ascii="Arial"/>
                <w:sz w:val="21"/>
              </w:rPr>
            </w:pPr>
          </w:p>
        </w:tc>
      </w:tr>
      <w:tr w14:paraId="2C23F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64" w:type="dxa"/>
            <w:vMerge w:val="continue"/>
            <w:tcBorders>
              <w:top w:val="nil"/>
              <w:bottom w:val="nil"/>
            </w:tcBorders>
            <w:vAlign w:val="top"/>
          </w:tcPr>
          <w:p w14:paraId="105880CF">
            <w:pPr>
              <w:rPr>
                <w:rFonts w:ascii="Arial"/>
                <w:sz w:val="21"/>
              </w:rPr>
            </w:pPr>
          </w:p>
        </w:tc>
        <w:tc>
          <w:tcPr>
            <w:tcW w:w="110" w:type="dxa"/>
            <w:tcBorders>
              <w:top w:val="nil"/>
              <w:bottom w:val="nil"/>
            </w:tcBorders>
            <w:vAlign w:val="top"/>
          </w:tcPr>
          <w:p w14:paraId="4C4D582D">
            <w:pPr>
              <w:rPr>
                <w:rFonts w:ascii="Arial"/>
                <w:sz w:val="21"/>
              </w:rPr>
            </w:pPr>
          </w:p>
        </w:tc>
        <w:tc>
          <w:tcPr>
            <w:tcW w:w="629" w:type="dxa"/>
            <w:vMerge w:val="continue"/>
            <w:tcBorders>
              <w:top w:val="nil"/>
            </w:tcBorders>
            <w:vAlign w:val="top"/>
          </w:tcPr>
          <w:p w14:paraId="2CDD6126">
            <w:pPr>
              <w:rPr>
                <w:rFonts w:ascii="Arial"/>
                <w:sz w:val="21"/>
              </w:rPr>
            </w:pPr>
          </w:p>
        </w:tc>
        <w:tc>
          <w:tcPr>
            <w:tcW w:w="1158" w:type="dxa"/>
            <w:gridSpan w:val="2"/>
            <w:vMerge w:val="continue"/>
            <w:tcBorders>
              <w:top w:val="nil"/>
            </w:tcBorders>
            <w:vAlign w:val="top"/>
          </w:tcPr>
          <w:p w14:paraId="46F09B73">
            <w:pPr>
              <w:rPr>
                <w:rFonts w:ascii="Arial"/>
                <w:sz w:val="21"/>
              </w:rPr>
            </w:pPr>
          </w:p>
        </w:tc>
        <w:tc>
          <w:tcPr>
            <w:tcW w:w="859" w:type="dxa"/>
            <w:gridSpan w:val="2"/>
            <w:vAlign w:val="top"/>
          </w:tcPr>
          <w:p w14:paraId="7D1B03AE">
            <w:pPr>
              <w:pStyle w:val="6"/>
              <w:spacing w:before="43" w:line="204" w:lineRule="auto"/>
              <w:ind w:left="224"/>
              <w:rPr>
                <w:sz w:val="20"/>
                <w:szCs w:val="20"/>
              </w:rPr>
            </w:pPr>
            <w:r>
              <w:rPr>
                <w:spacing w:val="9"/>
                <w:sz w:val="20"/>
                <w:szCs w:val="20"/>
              </w:rPr>
              <w:t>夜间</w:t>
            </w:r>
          </w:p>
        </w:tc>
        <w:tc>
          <w:tcPr>
            <w:tcW w:w="1749" w:type="dxa"/>
            <w:gridSpan w:val="3"/>
            <w:vAlign w:val="top"/>
          </w:tcPr>
          <w:p w14:paraId="01093F88">
            <w:pPr>
              <w:pStyle w:val="6"/>
              <w:spacing w:before="64" w:line="185" w:lineRule="auto"/>
              <w:ind w:left="375"/>
              <w:rPr>
                <w:sz w:val="20"/>
                <w:szCs w:val="20"/>
              </w:rPr>
            </w:pPr>
            <w:r>
              <w:rPr>
                <w:spacing w:val="-1"/>
                <w:sz w:val="20"/>
                <w:szCs w:val="20"/>
              </w:rPr>
              <w:t>22:27-22:37</w:t>
            </w:r>
          </w:p>
        </w:tc>
        <w:tc>
          <w:tcPr>
            <w:tcW w:w="1529" w:type="dxa"/>
            <w:gridSpan w:val="2"/>
            <w:vAlign w:val="top"/>
          </w:tcPr>
          <w:p w14:paraId="01B10B12">
            <w:pPr>
              <w:pStyle w:val="6"/>
              <w:spacing w:before="64" w:line="185" w:lineRule="auto"/>
              <w:ind w:left="656"/>
              <w:rPr>
                <w:sz w:val="20"/>
                <w:szCs w:val="20"/>
              </w:rPr>
            </w:pPr>
            <w:r>
              <w:rPr>
                <w:spacing w:val="-2"/>
                <w:sz w:val="20"/>
                <w:szCs w:val="20"/>
              </w:rPr>
              <w:t>42</w:t>
            </w:r>
          </w:p>
        </w:tc>
        <w:tc>
          <w:tcPr>
            <w:tcW w:w="1418" w:type="dxa"/>
            <w:gridSpan w:val="2"/>
            <w:vAlign w:val="top"/>
          </w:tcPr>
          <w:p w14:paraId="1A77DC1F">
            <w:pPr>
              <w:pStyle w:val="6"/>
              <w:spacing w:before="64" w:line="185" w:lineRule="auto"/>
              <w:ind w:left="607"/>
              <w:rPr>
                <w:sz w:val="20"/>
                <w:szCs w:val="20"/>
              </w:rPr>
            </w:pPr>
            <w:r>
              <w:rPr>
                <w:spacing w:val="-2"/>
                <w:sz w:val="20"/>
                <w:szCs w:val="20"/>
              </w:rPr>
              <w:t>45</w:t>
            </w:r>
          </w:p>
        </w:tc>
        <w:tc>
          <w:tcPr>
            <w:tcW w:w="1019" w:type="dxa"/>
            <w:gridSpan w:val="2"/>
            <w:vAlign w:val="top"/>
          </w:tcPr>
          <w:p w14:paraId="2C9315A0">
            <w:pPr>
              <w:pStyle w:val="6"/>
              <w:spacing w:before="45" w:line="203" w:lineRule="auto"/>
              <w:ind w:left="429"/>
              <w:rPr>
                <w:sz w:val="20"/>
                <w:szCs w:val="20"/>
              </w:rPr>
            </w:pPr>
            <w:r>
              <w:rPr>
                <w:spacing w:val="-2"/>
                <w:sz w:val="20"/>
                <w:szCs w:val="20"/>
              </w:rPr>
              <w:t>达标</w:t>
            </w:r>
          </w:p>
        </w:tc>
        <w:tc>
          <w:tcPr>
            <w:tcW w:w="285" w:type="dxa"/>
            <w:vMerge w:val="continue"/>
            <w:tcBorders>
              <w:top w:val="nil"/>
              <w:bottom w:val="nil"/>
            </w:tcBorders>
            <w:vAlign w:val="top"/>
          </w:tcPr>
          <w:p w14:paraId="50C639B4">
            <w:pPr>
              <w:rPr>
                <w:rFonts w:ascii="Arial"/>
                <w:sz w:val="21"/>
              </w:rPr>
            </w:pPr>
          </w:p>
        </w:tc>
      </w:tr>
      <w:tr w14:paraId="31CF3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664" w:type="dxa"/>
            <w:vMerge w:val="continue"/>
            <w:tcBorders>
              <w:top w:val="nil"/>
              <w:bottom w:val="nil"/>
            </w:tcBorders>
            <w:vAlign w:val="top"/>
          </w:tcPr>
          <w:p w14:paraId="14B70555">
            <w:pPr>
              <w:rPr>
                <w:rFonts w:ascii="Arial"/>
                <w:sz w:val="21"/>
              </w:rPr>
            </w:pPr>
          </w:p>
        </w:tc>
        <w:tc>
          <w:tcPr>
            <w:tcW w:w="110" w:type="dxa"/>
            <w:tcBorders>
              <w:top w:val="nil"/>
              <w:bottom w:val="nil"/>
            </w:tcBorders>
            <w:vAlign w:val="top"/>
          </w:tcPr>
          <w:p w14:paraId="13CE4A26">
            <w:pPr>
              <w:rPr>
                <w:rFonts w:ascii="Arial"/>
                <w:sz w:val="21"/>
              </w:rPr>
            </w:pPr>
          </w:p>
        </w:tc>
        <w:tc>
          <w:tcPr>
            <w:tcW w:w="629" w:type="dxa"/>
            <w:vMerge w:val="restart"/>
            <w:tcBorders>
              <w:bottom w:val="nil"/>
            </w:tcBorders>
            <w:vAlign w:val="top"/>
          </w:tcPr>
          <w:p w14:paraId="47554C8A">
            <w:pPr>
              <w:pStyle w:val="6"/>
              <w:spacing w:before="99" w:line="229" w:lineRule="auto"/>
              <w:ind w:left="191" w:right="7" w:firstLine="100"/>
              <w:jc w:val="right"/>
              <w:rPr>
                <w:sz w:val="20"/>
                <w:szCs w:val="20"/>
              </w:rPr>
            </w:pPr>
            <w:r>
              <w:rPr>
                <w:spacing w:val="-4"/>
                <w:sz w:val="20"/>
                <w:szCs w:val="20"/>
              </w:rPr>
              <w:t>21#</w:t>
            </w:r>
            <w:r>
              <w:rPr>
                <w:sz w:val="20"/>
                <w:szCs w:val="20"/>
              </w:rPr>
              <w:t xml:space="preserve"> </w:t>
            </w:r>
            <w:r>
              <w:rPr>
                <w:spacing w:val="-4"/>
                <w:sz w:val="20"/>
                <w:szCs w:val="20"/>
              </w:rPr>
              <w:t>橡子</w:t>
            </w:r>
            <w:r>
              <w:rPr>
                <w:sz w:val="20"/>
                <w:szCs w:val="20"/>
              </w:rPr>
              <w:t xml:space="preserve"> </w:t>
            </w:r>
            <w:r>
              <w:rPr>
                <w:spacing w:val="-4"/>
                <w:sz w:val="20"/>
                <w:szCs w:val="20"/>
              </w:rPr>
              <w:t>坡散</w:t>
            </w:r>
            <w:r>
              <w:rPr>
                <w:sz w:val="20"/>
                <w:szCs w:val="20"/>
              </w:rPr>
              <w:t xml:space="preserve"> </w:t>
            </w:r>
            <w:r>
              <w:rPr>
                <w:spacing w:val="10"/>
                <w:sz w:val="20"/>
                <w:szCs w:val="20"/>
              </w:rPr>
              <w:t>户1</w:t>
            </w:r>
          </w:p>
        </w:tc>
        <w:tc>
          <w:tcPr>
            <w:tcW w:w="1158" w:type="dxa"/>
            <w:gridSpan w:val="2"/>
            <w:vMerge w:val="restart"/>
            <w:tcBorders>
              <w:bottom w:val="nil"/>
            </w:tcBorders>
            <w:vAlign w:val="top"/>
          </w:tcPr>
          <w:p w14:paraId="0BA3E807">
            <w:pPr>
              <w:pStyle w:val="6"/>
              <w:spacing w:before="199" w:line="239" w:lineRule="auto"/>
              <w:ind w:right="5"/>
              <w:jc w:val="right"/>
              <w:rPr>
                <w:sz w:val="20"/>
                <w:szCs w:val="20"/>
              </w:rPr>
            </w:pPr>
            <w:r>
              <w:rPr>
                <w:spacing w:val="-1"/>
                <w:sz w:val="20"/>
                <w:szCs w:val="20"/>
              </w:rPr>
              <w:t>2024.09.07</w:t>
            </w:r>
          </w:p>
        </w:tc>
        <w:tc>
          <w:tcPr>
            <w:tcW w:w="859" w:type="dxa"/>
            <w:gridSpan w:val="2"/>
            <w:vAlign w:val="top"/>
          </w:tcPr>
          <w:p w14:paraId="553480CF">
            <w:pPr>
              <w:pStyle w:val="6"/>
              <w:spacing w:before="42" w:line="198" w:lineRule="auto"/>
              <w:ind w:left="224"/>
              <w:rPr>
                <w:sz w:val="20"/>
                <w:szCs w:val="20"/>
              </w:rPr>
            </w:pPr>
            <w:r>
              <w:rPr>
                <w:spacing w:val="9"/>
                <w:sz w:val="20"/>
                <w:szCs w:val="20"/>
              </w:rPr>
              <w:t>昼间</w:t>
            </w:r>
          </w:p>
        </w:tc>
        <w:tc>
          <w:tcPr>
            <w:tcW w:w="1749" w:type="dxa"/>
            <w:gridSpan w:val="3"/>
            <w:vAlign w:val="top"/>
          </w:tcPr>
          <w:p w14:paraId="1E607E9B">
            <w:pPr>
              <w:pStyle w:val="6"/>
              <w:spacing w:before="58" w:line="183" w:lineRule="auto"/>
              <w:ind w:left="375"/>
              <w:rPr>
                <w:sz w:val="20"/>
                <w:szCs w:val="20"/>
              </w:rPr>
            </w:pPr>
            <w:r>
              <w:rPr>
                <w:spacing w:val="-3"/>
                <w:sz w:val="20"/>
                <w:szCs w:val="20"/>
              </w:rPr>
              <w:t>11:43-11:53</w:t>
            </w:r>
          </w:p>
        </w:tc>
        <w:tc>
          <w:tcPr>
            <w:tcW w:w="1529" w:type="dxa"/>
            <w:gridSpan w:val="2"/>
            <w:vAlign w:val="top"/>
          </w:tcPr>
          <w:p w14:paraId="28F9FF32">
            <w:pPr>
              <w:pStyle w:val="6"/>
              <w:spacing w:before="58" w:line="183" w:lineRule="auto"/>
              <w:ind w:left="656"/>
              <w:rPr>
                <w:sz w:val="20"/>
                <w:szCs w:val="20"/>
              </w:rPr>
            </w:pPr>
            <w:r>
              <w:rPr>
                <w:spacing w:val="-2"/>
                <w:sz w:val="20"/>
                <w:szCs w:val="20"/>
              </w:rPr>
              <w:t>49</w:t>
            </w:r>
          </w:p>
        </w:tc>
        <w:tc>
          <w:tcPr>
            <w:tcW w:w="1418" w:type="dxa"/>
            <w:gridSpan w:val="2"/>
            <w:vAlign w:val="top"/>
          </w:tcPr>
          <w:p w14:paraId="25522B16">
            <w:pPr>
              <w:pStyle w:val="6"/>
              <w:spacing w:before="58" w:line="183" w:lineRule="auto"/>
              <w:ind w:left="606"/>
              <w:rPr>
                <w:sz w:val="20"/>
                <w:szCs w:val="20"/>
              </w:rPr>
            </w:pPr>
            <w:r>
              <w:rPr>
                <w:spacing w:val="-3"/>
                <w:sz w:val="20"/>
                <w:szCs w:val="20"/>
              </w:rPr>
              <w:t>55</w:t>
            </w:r>
          </w:p>
        </w:tc>
        <w:tc>
          <w:tcPr>
            <w:tcW w:w="1019" w:type="dxa"/>
            <w:gridSpan w:val="2"/>
            <w:vAlign w:val="top"/>
          </w:tcPr>
          <w:p w14:paraId="00FFE9C2">
            <w:pPr>
              <w:pStyle w:val="6"/>
              <w:spacing w:before="40" w:line="200" w:lineRule="auto"/>
              <w:ind w:left="429"/>
              <w:rPr>
                <w:sz w:val="20"/>
                <w:szCs w:val="20"/>
              </w:rPr>
            </w:pPr>
            <w:r>
              <w:rPr>
                <w:spacing w:val="-2"/>
                <w:sz w:val="20"/>
                <w:szCs w:val="20"/>
              </w:rPr>
              <w:t>达标</w:t>
            </w:r>
          </w:p>
        </w:tc>
        <w:tc>
          <w:tcPr>
            <w:tcW w:w="285" w:type="dxa"/>
            <w:vMerge w:val="continue"/>
            <w:tcBorders>
              <w:top w:val="nil"/>
              <w:bottom w:val="nil"/>
            </w:tcBorders>
            <w:vAlign w:val="top"/>
          </w:tcPr>
          <w:p w14:paraId="5736C2D1">
            <w:pPr>
              <w:rPr>
                <w:rFonts w:ascii="Arial"/>
                <w:sz w:val="21"/>
              </w:rPr>
            </w:pPr>
          </w:p>
        </w:tc>
      </w:tr>
      <w:tr w14:paraId="428F0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664" w:type="dxa"/>
            <w:vMerge w:val="continue"/>
            <w:tcBorders>
              <w:top w:val="nil"/>
              <w:bottom w:val="nil"/>
            </w:tcBorders>
            <w:vAlign w:val="top"/>
          </w:tcPr>
          <w:p w14:paraId="7188AB9F">
            <w:pPr>
              <w:rPr>
                <w:rFonts w:ascii="Arial"/>
                <w:sz w:val="21"/>
              </w:rPr>
            </w:pPr>
          </w:p>
        </w:tc>
        <w:tc>
          <w:tcPr>
            <w:tcW w:w="110" w:type="dxa"/>
            <w:tcBorders>
              <w:top w:val="nil"/>
              <w:bottom w:val="nil"/>
            </w:tcBorders>
            <w:vAlign w:val="top"/>
          </w:tcPr>
          <w:p w14:paraId="0EDD5618">
            <w:pPr>
              <w:rPr>
                <w:rFonts w:ascii="Arial"/>
                <w:sz w:val="21"/>
              </w:rPr>
            </w:pPr>
          </w:p>
        </w:tc>
        <w:tc>
          <w:tcPr>
            <w:tcW w:w="629" w:type="dxa"/>
            <w:vMerge w:val="continue"/>
            <w:tcBorders>
              <w:top w:val="nil"/>
              <w:bottom w:val="nil"/>
            </w:tcBorders>
            <w:vAlign w:val="top"/>
          </w:tcPr>
          <w:p w14:paraId="621C1675">
            <w:pPr>
              <w:rPr>
                <w:rFonts w:ascii="Arial"/>
                <w:sz w:val="21"/>
              </w:rPr>
            </w:pPr>
          </w:p>
        </w:tc>
        <w:tc>
          <w:tcPr>
            <w:tcW w:w="1158" w:type="dxa"/>
            <w:gridSpan w:val="2"/>
            <w:vMerge w:val="continue"/>
            <w:tcBorders>
              <w:top w:val="nil"/>
            </w:tcBorders>
            <w:vAlign w:val="top"/>
          </w:tcPr>
          <w:p w14:paraId="4FB0AA41">
            <w:pPr>
              <w:rPr>
                <w:rFonts w:ascii="Arial"/>
                <w:sz w:val="21"/>
              </w:rPr>
            </w:pPr>
          </w:p>
        </w:tc>
        <w:tc>
          <w:tcPr>
            <w:tcW w:w="859" w:type="dxa"/>
            <w:gridSpan w:val="2"/>
            <w:vAlign w:val="top"/>
          </w:tcPr>
          <w:p w14:paraId="00943360">
            <w:pPr>
              <w:pStyle w:val="6"/>
              <w:spacing w:before="42" w:line="203" w:lineRule="auto"/>
              <w:ind w:left="224"/>
              <w:rPr>
                <w:sz w:val="20"/>
                <w:szCs w:val="20"/>
              </w:rPr>
            </w:pPr>
            <w:r>
              <w:rPr>
                <w:spacing w:val="9"/>
                <w:sz w:val="20"/>
                <w:szCs w:val="20"/>
              </w:rPr>
              <w:t>夜间</w:t>
            </w:r>
          </w:p>
        </w:tc>
        <w:tc>
          <w:tcPr>
            <w:tcW w:w="1749" w:type="dxa"/>
            <w:gridSpan w:val="3"/>
            <w:vAlign w:val="top"/>
          </w:tcPr>
          <w:p w14:paraId="4EBA82D6">
            <w:pPr>
              <w:pStyle w:val="6"/>
              <w:spacing w:before="42" w:line="203" w:lineRule="auto"/>
              <w:ind w:left="15"/>
              <w:rPr>
                <w:sz w:val="20"/>
                <w:szCs w:val="20"/>
              </w:rPr>
            </w:pPr>
            <w:r>
              <w:rPr>
                <w:sz w:val="20"/>
                <w:szCs w:val="20"/>
              </w:rPr>
              <w:t>次日00:53-01:03</w:t>
            </w:r>
          </w:p>
        </w:tc>
        <w:tc>
          <w:tcPr>
            <w:tcW w:w="1529" w:type="dxa"/>
            <w:gridSpan w:val="2"/>
            <w:vAlign w:val="top"/>
          </w:tcPr>
          <w:p w14:paraId="1ECFE552">
            <w:pPr>
              <w:pStyle w:val="6"/>
              <w:spacing w:before="62" w:line="184" w:lineRule="auto"/>
              <w:ind w:left="656"/>
              <w:rPr>
                <w:sz w:val="20"/>
                <w:szCs w:val="20"/>
              </w:rPr>
            </w:pPr>
            <w:r>
              <w:rPr>
                <w:spacing w:val="-2"/>
                <w:sz w:val="20"/>
                <w:szCs w:val="20"/>
              </w:rPr>
              <w:t>44</w:t>
            </w:r>
          </w:p>
        </w:tc>
        <w:tc>
          <w:tcPr>
            <w:tcW w:w="1418" w:type="dxa"/>
            <w:gridSpan w:val="2"/>
            <w:vAlign w:val="top"/>
          </w:tcPr>
          <w:p w14:paraId="094C7BFD">
            <w:pPr>
              <w:pStyle w:val="6"/>
              <w:spacing w:before="62" w:line="184" w:lineRule="auto"/>
              <w:ind w:left="607"/>
              <w:rPr>
                <w:sz w:val="20"/>
                <w:szCs w:val="20"/>
              </w:rPr>
            </w:pPr>
            <w:r>
              <w:rPr>
                <w:spacing w:val="-2"/>
                <w:sz w:val="20"/>
                <w:szCs w:val="20"/>
              </w:rPr>
              <w:t>45</w:t>
            </w:r>
          </w:p>
        </w:tc>
        <w:tc>
          <w:tcPr>
            <w:tcW w:w="1019" w:type="dxa"/>
            <w:gridSpan w:val="2"/>
            <w:vAlign w:val="top"/>
          </w:tcPr>
          <w:p w14:paraId="1A54F160">
            <w:pPr>
              <w:pStyle w:val="6"/>
              <w:spacing w:before="43" w:line="202" w:lineRule="auto"/>
              <w:ind w:left="429"/>
              <w:rPr>
                <w:sz w:val="20"/>
                <w:szCs w:val="20"/>
              </w:rPr>
            </w:pPr>
            <w:r>
              <w:rPr>
                <w:spacing w:val="-2"/>
                <w:sz w:val="20"/>
                <w:szCs w:val="20"/>
              </w:rPr>
              <w:t>达标</w:t>
            </w:r>
          </w:p>
        </w:tc>
        <w:tc>
          <w:tcPr>
            <w:tcW w:w="285" w:type="dxa"/>
            <w:vMerge w:val="continue"/>
            <w:tcBorders>
              <w:top w:val="nil"/>
              <w:bottom w:val="nil"/>
            </w:tcBorders>
            <w:vAlign w:val="top"/>
          </w:tcPr>
          <w:p w14:paraId="41ED4F18">
            <w:pPr>
              <w:rPr>
                <w:rFonts w:ascii="Arial"/>
                <w:sz w:val="21"/>
              </w:rPr>
            </w:pPr>
          </w:p>
        </w:tc>
      </w:tr>
      <w:tr w14:paraId="51BCD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64" w:type="dxa"/>
            <w:vMerge w:val="continue"/>
            <w:tcBorders>
              <w:top w:val="nil"/>
              <w:bottom w:val="nil"/>
            </w:tcBorders>
            <w:vAlign w:val="top"/>
          </w:tcPr>
          <w:p w14:paraId="5ECDB190">
            <w:pPr>
              <w:rPr>
                <w:rFonts w:ascii="Arial"/>
                <w:sz w:val="21"/>
              </w:rPr>
            </w:pPr>
          </w:p>
        </w:tc>
        <w:tc>
          <w:tcPr>
            <w:tcW w:w="110" w:type="dxa"/>
            <w:tcBorders>
              <w:top w:val="nil"/>
              <w:bottom w:val="nil"/>
            </w:tcBorders>
            <w:vAlign w:val="top"/>
          </w:tcPr>
          <w:p w14:paraId="5B11F33D">
            <w:pPr>
              <w:rPr>
                <w:rFonts w:ascii="Arial"/>
                <w:sz w:val="21"/>
              </w:rPr>
            </w:pPr>
          </w:p>
        </w:tc>
        <w:tc>
          <w:tcPr>
            <w:tcW w:w="629" w:type="dxa"/>
            <w:vMerge w:val="continue"/>
            <w:tcBorders>
              <w:top w:val="nil"/>
              <w:bottom w:val="nil"/>
            </w:tcBorders>
            <w:vAlign w:val="top"/>
          </w:tcPr>
          <w:p w14:paraId="00C77CAE">
            <w:pPr>
              <w:rPr>
                <w:rFonts w:ascii="Arial"/>
                <w:sz w:val="21"/>
              </w:rPr>
            </w:pPr>
          </w:p>
        </w:tc>
        <w:tc>
          <w:tcPr>
            <w:tcW w:w="1158" w:type="dxa"/>
            <w:gridSpan w:val="2"/>
            <w:vMerge w:val="restart"/>
            <w:tcBorders>
              <w:bottom w:val="nil"/>
            </w:tcBorders>
            <w:vAlign w:val="top"/>
          </w:tcPr>
          <w:p w14:paraId="27FA1ACF">
            <w:pPr>
              <w:pStyle w:val="6"/>
              <w:spacing w:before="209" w:line="239" w:lineRule="auto"/>
              <w:ind w:right="5"/>
              <w:jc w:val="right"/>
              <w:rPr>
                <w:sz w:val="20"/>
                <w:szCs w:val="20"/>
              </w:rPr>
            </w:pPr>
            <w:r>
              <w:rPr>
                <w:spacing w:val="-1"/>
                <w:sz w:val="20"/>
                <w:szCs w:val="20"/>
              </w:rPr>
              <w:t>2024.09.08</w:t>
            </w:r>
          </w:p>
        </w:tc>
        <w:tc>
          <w:tcPr>
            <w:tcW w:w="859" w:type="dxa"/>
            <w:gridSpan w:val="2"/>
            <w:vAlign w:val="top"/>
          </w:tcPr>
          <w:p w14:paraId="42693286">
            <w:pPr>
              <w:pStyle w:val="6"/>
              <w:spacing w:before="53" w:line="209" w:lineRule="auto"/>
              <w:ind w:left="224"/>
              <w:rPr>
                <w:sz w:val="20"/>
                <w:szCs w:val="20"/>
              </w:rPr>
            </w:pPr>
            <w:r>
              <w:rPr>
                <w:spacing w:val="9"/>
                <w:sz w:val="20"/>
                <w:szCs w:val="20"/>
              </w:rPr>
              <w:t>昼间</w:t>
            </w:r>
          </w:p>
        </w:tc>
        <w:tc>
          <w:tcPr>
            <w:tcW w:w="1749" w:type="dxa"/>
            <w:gridSpan w:val="3"/>
            <w:vAlign w:val="top"/>
          </w:tcPr>
          <w:p w14:paraId="730BD6EB">
            <w:pPr>
              <w:pStyle w:val="6"/>
              <w:spacing w:before="69" w:line="194" w:lineRule="auto"/>
              <w:ind w:left="375"/>
              <w:rPr>
                <w:sz w:val="20"/>
                <w:szCs w:val="20"/>
              </w:rPr>
            </w:pPr>
            <w:r>
              <w:rPr>
                <w:spacing w:val="-3"/>
                <w:sz w:val="20"/>
                <w:szCs w:val="20"/>
              </w:rPr>
              <w:t>11:33-11:43</w:t>
            </w:r>
          </w:p>
        </w:tc>
        <w:tc>
          <w:tcPr>
            <w:tcW w:w="1529" w:type="dxa"/>
            <w:gridSpan w:val="2"/>
            <w:vAlign w:val="top"/>
          </w:tcPr>
          <w:p w14:paraId="2FF061D5">
            <w:pPr>
              <w:pStyle w:val="6"/>
              <w:spacing w:before="69" w:line="194" w:lineRule="auto"/>
              <w:ind w:left="656"/>
              <w:rPr>
                <w:sz w:val="20"/>
                <w:szCs w:val="20"/>
              </w:rPr>
            </w:pPr>
            <w:r>
              <w:rPr>
                <w:spacing w:val="-2"/>
                <w:sz w:val="20"/>
                <w:szCs w:val="20"/>
              </w:rPr>
              <w:t>49</w:t>
            </w:r>
          </w:p>
        </w:tc>
        <w:tc>
          <w:tcPr>
            <w:tcW w:w="1418" w:type="dxa"/>
            <w:gridSpan w:val="2"/>
            <w:vAlign w:val="top"/>
          </w:tcPr>
          <w:p w14:paraId="59F14588">
            <w:pPr>
              <w:pStyle w:val="6"/>
              <w:spacing w:before="69" w:line="194" w:lineRule="auto"/>
              <w:ind w:left="606"/>
              <w:rPr>
                <w:sz w:val="20"/>
                <w:szCs w:val="20"/>
              </w:rPr>
            </w:pPr>
            <w:r>
              <w:rPr>
                <w:spacing w:val="-3"/>
                <w:sz w:val="20"/>
                <w:szCs w:val="20"/>
              </w:rPr>
              <w:t>55</w:t>
            </w:r>
          </w:p>
        </w:tc>
        <w:tc>
          <w:tcPr>
            <w:tcW w:w="1019" w:type="dxa"/>
            <w:gridSpan w:val="2"/>
            <w:vAlign w:val="top"/>
          </w:tcPr>
          <w:p w14:paraId="527A0413">
            <w:pPr>
              <w:pStyle w:val="6"/>
              <w:spacing w:before="50" w:line="212" w:lineRule="auto"/>
              <w:ind w:left="429"/>
              <w:rPr>
                <w:sz w:val="20"/>
                <w:szCs w:val="20"/>
              </w:rPr>
            </w:pPr>
            <w:r>
              <w:rPr>
                <w:spacing w:val="-2"/>
                <w:sz w:val="20"/>
                <w:szCs w:val="20"/>
              </w:rPr>
              <w:t>达标</w:t>
            </w:r>
          </w:p>
        </w:tc>
        <w:tc>
          <w:tcPr>
            <w:tcW w:w="285" w:type="dxa"/>
            <w:vMerge w:val="continue"/>
            <w:tcBorders>
              <w:top w:val="nil"/>
              <w:bottom w:val="nil"/>
            </w:tcBorders>
            <w:vAlign w:val="top"/>
          </w:tcPr>
          <w:p w14:paraId="298CAC7A">
            <w:pPr>
              <w:rPr>
                <w:rFonts w:ascii="Arial"/>
                <w:sz w:val="21"/>
              </w:rPr>
            </w:pPr>
          </w:p>
        </w:tc>
      </w:tr>
      <w:tr w14:paraId="6AC9C65D">
        <w:tblPrEx>
          <w:tblCellMar>
            <w:top w:w="0" w:type="dxa"/>
            <w:left w:w="0" w:type="dxa"/>
            <w:bottom w:w="0" w:type="dxa"/>
            <w:right w:w="0" w:type="dxa"/>
          </w:tblCellMar>
        </w:tblPrEx>
        <w:trPr>
          <w:trHeight w:val="271" w:hRule="atLeast"/>
        </w:trPr>
        <w:tc>
          <w:tcPr>
            <w:tcW w:w="664" w:type="dxa"/>
            <w:vMerge w:val="continue"/>
            <w:tcBorders>
              <w:top w:val="nil"/>
              <w:bottom w:val="nil"/>
            </w:tcBorders>
            <w:vAlign w:val="top"/>
          </w:tcPr>
          <w:p w14:paraId="5977D638">
            <w:pPr>
              <w:rPr>
                <w:rFonts w:ascii="Arial"/>
                <w:sz w:val="21"/>
              </w:rPr>
            </w:pPr>
          </w:p>
        </w:tc>
        <w:tc>
          <w:tcPr>
            <w:tcW w:w="110" w:type="dxa"/>
            <w:tcBorders>
              <w:top w:val="nil"/>
              <w:bottom w:val="nil"/>
            </w:tcBorders>
            <w:vAlign w:val="top"/>
          </w:tcPr>
          <w:p w14:paraId="762FDB8E">
            <w:pPr>
              <w:rPr>
                <w:rFonts w:ascii="Arial"/>
                <w:sz w:val="21"/>
              </w:rPr>
            </w:pPr>
          </w:p>
        </w:tc>
        <w:tc>
          <w:tcPr>
            <w:tcW w:w="629" w:type="dxa"/>
            <w:vMerge w:val="continue"/>
            <w:tcBorders>
              <w:top w:val="nil"/>
            </w:tcBorders>
            <w:vAlign w:val="top"/>
          </w:tcPr>
          <w:p w14:paraId="6372AAC1">
            <w:pPr>
              <w:rPr>
                <w:rFonts w:ascii="Arial"/>
                <w:sz w:val="21"/>
              </w:rPr>
            </w:pPr>
          </w:p>
        </w:tc>
        <w:tc>
          <w:tcPr>
            <w:tcW w:w="1158" w:type="dxa"/>
            <w:gridSpan w:val="2"/>
            <w:vMerge w:val="continue"/>
            <w:tcBorders>
              <w:top w:val="nil"/>
            </w:tcBorders>
            <w:vAlign w:val="top"/>
          </w:tcPr>
          <w:p w14:paraId="0E9F3310">
            <w:pPr>
              <w:rPr>
                <w:rFonts w:ascii="Arial"/>
                <w:sz w:val="21"/>
              </w:rPr>
            </w:pPr>
          </w:p>
        </w:tc>
        <w:tc>
          <w:tcPr>
            <w:tcW w:w="859" w:type="dxa"/>
            <w:gridSpan w:val="2"/>
            <w:vAlign w:val="top"/>
          </w:tcPr>
          <w:p w14:paraId="593155FF">
            <w:pPr>
              <w:pStyle w:val="6"/>
              <w:spacing w:before="39" w:line="204" w:lineRule="auto"/>
              <w:ind w:left="274"/>
              <w:rPr>
                <w:sz w:val="20"/>
                <w:szCs w:val="20"/>
              </w:rPr>
            </w:pPr>
            <w:r>
              <w:rPr>
                <w:spacing w:val="9"/>
                <w:sz w:val="20"/>
                <w:szCs w:val="20"/>
              </w:rPr>
              <w:t>夜间</w:t>
            </w:r>
          </w:p>
        </w:tc>
        <w:tc>
          <w:tcPr>
            <w:tcW w:w="1749" w:type="dxa"/>
            <w:gridSpan w:val="3"/>
            <w:vAlign w:val="top"/>
          </w:tcPr>
          <w:p w14:paraId="1B9EB7B6">
            <w:pPr>
              <w:pStyle w:val="6"/>
              <w:spacing w:before="39" w:line="204" w:lineRule="auto"/>
              <w:ind w:left="15"/>
              <w:rPr>
                <w:sz w:val="20"/>
                <w:szCs w:val="20"/>
              </w:rPr>
            </w:pPr>
            <w:r>
              <w:rPr>
                <w:sz w:val="20"/>
                <w:szCs w:val="20"/>
              </w:rPr>
              <w:t>次日01:03-01:13</w:t>
            </w:r>
          </w:p>
        </w:tc>
        <w:tc>
          <w:tcPr>
            <w:tcW w:w="1529" w:type="dxa"/>
            <w:gridSpan w:val="2"/>
            <w:vAlign w:val="top"/>
          </w:tcPr>
          <w:p w14:paraId="3F479C3D">
            <w:pPr>
              <w:pStyle w:val="6"/>
              <w:spacing w:before="60" w:line="185" w:lineRule="auto"/>
              <w:ind w:left="656"/>
              <w:rPr>
                <w:sz w:val="20"/>
                <w:szCs w:val="20"/>
              </w:rPr>
            </w:pPr>
            <w:r>
              <w:rPr>
                <w:spacing w:val="-2"/>
                <w:sz w:val="20"/>
                <w:szCs w:val="20"/>
              </w:rPr>
              <w:t>43</w:t>
            </w:r>
          </w:p>
        </w:tc>
        <w:tc>
          <w:tcPr>
            <w:tcW w:w="1418" w:type="dxa"/>
            <w:gridSpan w:val="2"/>
            <w:vAlign w:val="top"/>
          </w:tcPr>
          <w:p w14:paraId="4809258B">
            <w:pPr>
              <w:pStyle w:val="6"/>
              <w:spacing w:before="60" w:line="185" w:lineRule="auto"/>
              <w:ind w:left="607"/>
              <w:rPr>
                <w:sz w:val="20"/>
                <w:szCs w:val="20"/>
              </w:rPr>
            </w:pPr>
            <w:r>
              <w:rPr>
                <w:spacing w:val="-2"/>
                <w:sz w:val="20"/>
                <w:szCs w:val="20"/>
              </w:rPr>
              <w:t>45</w:t>
            </w:r>
          </w:p>
        </w:tc>
        <w:tc>
          <w:tcPr>
            <w:tcW w:w="1019" w:type="dxa"/>
            <w:gridSpan w:val="2"/>
            <w:vAlign w:val="top"/>
          </w:tcPr>
          <w:p w14:paraId="2C7C2FF3">
            <w:pPr>
              <w:pStyle w:val="6"/>
              <w:spacing w:before="41" w:line="203" w:lineRule="auto"/>
              <w:ind w:left="429"/>
              <w:rPr>
                <w:sz w:val="20"/>
                <w:szCs w:val="20"/>
              </w:rPr>
            </w:pPr>
            <w:r>
              <w:rPr>
                <w:spacing w:val="-2"/>
                <w:sz w:val="20"/>
                <w:szCs w:val="20"/>
              </w:rPr>
              <w:t>达标</w:t>
            </w:r>
          </w:p>
        </w:tc>
        <w:tc>
          <w:tcPr>
            <w:tcW w:w="285" w:type="dxa"/>
            <w:vMerge w:val="continue"/>
            <w:tcBorders>
              <w:top w:val="nil"/>
              <w:bottom w:val="nil"/>
            </w:tcBorders>
            <w:vAlign w:val="top"/>
          </w:tcPr>
          <w:p w14:paraId="786F7E3E">
            <w:pPr>
              <w:rPr>
                <w:rFonts w:ascii="Arial"/>
                <w:sz w:val="21"/>
              </w:rPr>
            </w:pPr>
          </w:p>
        </w:tc>
      </w:tr>
      <w:tr w14:paraId="3FE9F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64" w:type="dxa"/>
            <w:vMerge w:val="continue"/>
            <w:tcBorders>
              <w:top w:val="nil"/>
              <w:bottom w:val="nil"/>
            </w:tcBorders>
            <w:vAlign w:val="top"/>
          </w:tcPr>
          <w:p w14:paraId="09B99A60">
            <w:pPr>
              <w:rPr>
                <w:rFonts w:ascii="Arial"/>
                <w:sz w:val="21"/>
              </w:rPr>
            </w:pPr>
          </w:p>
        </w:tc>
        <w:tc>
          <w:tcPr>
            <w:tcW w:w="110" w:type="dxa"/>
            <w:tcBorders>
              <w:top w:val="nil"/>
              <w:bottom w:val="nil"/>
            </w:tcBorders>
            <w:vAlign w:val="top"/>
          </w:tcPr>
          <w:p w14:paraId="1C043177">
            <w:pPr>
              <w:rPr>
                <w:rFonts w:ascii="Arial"/>
                <w:sz w:val="21"/>
              </w:rPr>
            </w:pPr>
          </w:p>
        </w:tc>
        <w:tc>
          <w:tcPr>
            <w:tcW w:w="629" w:type="dxa"/>
            <w:vMerge w:val="restart"/>
            <w:tcBorders>
              <w:bottom w:val="nil"/>
            </w:tcBorders>
            <w:vAlign w:val="top"/>
          </w:tcPr>
          <w:p w14:paraId="558D22C8">
            <w:pPr>
              <w:pStyle w:val="6"/>
              <w:spacing w:before="79" w:line="232" w:lineRule="auto"/>
              <w:ind w:left="191" w:right="15" w:firstLine="100"/>
              <w:jc w:val="right"/>
              <w:rPr>
                <w:sz w:val="20"/>
                <w:szCs w:val="20"/>
              </w:rPr>
            </w:pPr>
            <w:r>
              <w:rPr>
                <w:spacing w:val="-4"/>
                <w:sz w:val="20"/>
                <w:szCs w:val="20"/>
              </w:rPr>
              <w:t>22#</w:t>
            </w:r>
            <w:r>
              <w:rPr>
                <w:sz w:val="20"/>
                <w:szCs w:val="20"/>
              </w:rPr>
              <w:t xml:space="preserve"> </w:t>
            </w:r>
            <w:r>
              <w:rPr>
                <w:spacing w:val="-4"/>
                <w:sz w:val="20"/>
                <w:szCs w:val="20"/>
              </w:rPr>
              <w:t>橡子</w:t>
            </w:r>
            <w:r>
              <w:rPr>
                <w:sz w:val="20"/>
                <w:szCs w:val="20"/>
              </w:rPr>
              <w:t xml:space="preserve"> </w:t>
            </w:r>
            <w:r>
              <w:rPr>
                <w:spacing w:val="-4"/>
                <w:sz w:val="20"/>
                <w:szCs w:val="20"/>
              </w:rPr>
              <w:t>坡散</w:t>
            </w:r>
            <w:r>
              <w:rPr>
                <w:sz w:val="20"/>
                <w:szCs w:val="20"/>
              </w:rPr>
              <w:t xml:space="preserve"> </w:t>
            </w:r>
            <w:r>
              <w:rPr>
                <w:spacing w:val="6"/>
                <w:sz w:val="20"/>
                <w:szCs w:val="20"/>
              </w:rPr>
              <w:t>户2</w:t>
            </w:r>
          </w:p>
        </w:tc>
        <w:tc>
          <w:tcPr>
            <w:tcW w:w="1158" w:type="dxa"/>
            <w:gridSpan w:val="2"/>
            <w:vMerge w:val="restart"/>
            <w:tcBorders>
              <w:bottom w:val="nil"/>
            </w:tcBorders>
            <w:vAlign w:val="top"/>
          </w:tcPr>
          <w:p w14:paraId="6A2267A4">
            <w:pPr>
              <w:pStyle w:val="6"/>
              <w:spacing w:before="198" w:line="239" w:lineRule="auto"/>
              <w:ind w:right="5"/>
              <w:jc w:val="right"/>
              <w:rPr>
                <w:sz w:val="20"/>
                <w:szCs w:val="20"/>
              </w:rPr>
            </w:pPr>
            <w:r>
              <w:rPr>
                <w:spacing w:val="-1"/>
                <w:sz w:val="20"/>
                <w:szCs w:val="20"/>
              </w:rPr>
              <w:t>2024.09.07</w:t>
            </w:r>
          </w:p>
        </w:tc>
        <w:tc>
          <w:tcPr>
            <w:tcW w:w="859" w:type="dxa"/>
            <w:gridSpan w:val="2"/>
            <w:vAlign w:val="top"/>
          </w:tcPr>
          <w:p w14:paraId="47E6791E">
            <w:pPr>
              <w:pStyle w:val="6"/>
              <w:spacing w:before="41" w:line="196" w:lineRule="auto"/>
              <w:ind w:left="224"/>
              <w:rPr>
                <w:sz w:val="20"/>
                <w:szCs w:val="20"/>
              </w:rPr>
            </w:pPr>
            <w:r>
              <w:rPr>
                <w:spacing w:val="9"/>
                <w:sz w:val="20"/>
                <w:szCs w:val="20"/>
              </w:rPr>
              <w:t>昼间</w:t>
            </w:r>
          </w:p>
        </w:tc>
        <w:tc>
          <w:tcPr>
            <w:tcW w:w="1749" w:type="dxa"/>
            <w:gridSpan w:val="3"/>
            <w:vAlign w:val="top"/>
          </w:tcPr>
          <w:p w14:paraId="0579B0BE">
            <w:pPr>
              <w:pStyle w:val="6"/>
              <w:spacing w:before="59" w:line="180" w:lineRule="auto"/>
              <w:ind w:left="375"/>
              <w:rPr>
                <w:sz w:val="20"/>
                <w:szCs w:val="20"/>
              </w:rPr>
            </w:pPr>
            <w:r>
              <w:rPr>
                <w:spacing w:val="-3"/>
                <w:sz w:val="20"/>
                <w:szCs w:val="20"/>
              </w:rPr>
              <w:t>14:06-14:16</w:t>
            </w:r>
          </w:p>
        </w:tc>
        <w:tc>
          <w:tcPr>
            <w:tcW w:w="1529" w:type="dxa"/>
            <w:gridSpan w:val="2"/>
            <w:vAlign w:val="top"/>
          </w:tcPr>
          <w:p w14:paraId="68C5A953">
            <w:pPr>
              <w:pStyle w:val="6"/>
              <w:spacing w:before="59" w:line="180" w:lineRule="auto"/>
              <w:ind w:left="656"/>
              <w:rPr>
                <w:sz w:val="20"/>
                <w:szCs w:val="20"/>
              </w:rPr>
            </w:pPr>
            <w:r>
              <w:rPr>
                <w:spacing w:val="-3"/>
                <w:sz w:val="20"/>
                <w:szCs w:val="20"/>
              </w:rPr>
              <w:t>50</w:t>
            </w:r>
          </w:p>
        </w:tc>
        <w:tc>
          <w:tcPr>
            <w:tcW w:w="1418" w:type="dxa"/>
            <w:gridSpan w:val="2"/>
            <w:vAlign w:val="top"/>
          </w:tcPr>
          <w:p w14:paraId="0F417BAC">
            <w:pPr>
              <w:pStyle w:val="6"/>
              <w:spacing w:before="59" w:line="180" w:lineRule="auto"/>
              <w:ind w:left="606"/>
              <w:rPr>
                <w:sz w:val="20"/>
                <w:szCs w:val="20"/>
              </w:rPr>
            </w:pPr>
            <w:r>
              <w:rPr>
                <w:spacing w:val="-3"/>
                <w:sz w:val="20"/>
                <w:szCs w:val="20"/>
              </w:rPr>
              <w:t>55</w:t>
            </w:r>
          </w:p>
        </w:tc>
        <w:tc>
          <w:tcPr>
            <w:tcW w:w="1019" w:type="dxa"/>
            <w:gridSpan w:val="2"/>
            <w:vAlign w:val="top"/>
          </w:tcPr>
          <w:p w14:paraId="66A65424">
            <w:pPr>
              <w:pStyle w:val="6"/>
              <w:spacing w:before="39" w:line="198" w:lineRule="auto"/>
              <w:ind w:left="429"/>
              <w:rPr>
                <w:sz w:val="20"/>
                <w:szCs w:val="20"/>
              </w:rPr>
            </w:pPr>
            <w:r>
              <w:rPr>
                <w:spacing w:val="-2"/>
                <w:sz w:val="20"/>
                <w:szCs w:val="20"/>
              </w:rPr>
              <w:t>达标</w:t>
            </w:r>
          </w:p>
        </w:tc>
        <w:tc>
          <w:tcPr>
            <w:tcW w:w="285" w:type="dxa"/>
            <w:vMerge w:val="continue"/>
            <w:tcBorders>
              <w:top w:val="nil"/>
              <w:bottom w:val="nil"/>
            </w:tcBorders>
            <w:vAlign w:val="top"/>
          </w:tcPr>
          <w:p w14:paraId="74921E73">
            <w:pPr>
              <w:rPr>
                <w:rFonts w:ascii="Arial"/>
                <w:sz w:val="21"/>
              </w:rPr>
            </w:pPr>
          </w:p>
        </w:tc>
      </w:tr>
      <w:tr w14:paraId="0798F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664" w:type="dxa"/>
            <w:vMerge w:val="continue"/>
            <w:tcBorders>
              <w:top w:val="nil"/>
              <w:bottom w:val="nil"/>
            </w:tcBorders>
            <w:vAlign w:val="top"/>
          </w:tcPr>
          <w:p w14:paraId="56639896">
            <w:pPr>
              <w:rPr>
                <w:rFonts w:ascii="Arial"/>
                <w:sz w:val="21"/>
              </w:rPr>
            </w:pPr>
          </w:p>
        </w:tc>
        <w:tc>
          <w:tcPr>
            <w:tcW w:w="110" w:type="dxa"/>
            <w:tcBorders>
              <w:top w:val="nil"/>
              <w:bottom w:val="nil"/>
            </w:tcBorders>
            <w:vAlign w:val="top"/>
          </w:tcPr>
          <w:p w14:paraId="756DE391">
            <w:pPr>
              <w:rPr>
                <w:rFonts w:ascii="Arial"/>
                <w:sz w:val="21"/>
              </w:rPr>
            </w:pPr>
          </w:p>
        </w:tc>
        <w:tc>
          <w:tcPr>
            <w:tcW w:w="629" w:type="dxa"/>
            <w:vMerge w:val="continue"/>
            <w:tcBorders>
              <w:top w:val="nil"/>
              <w:bottom w:val="nil"/>
            </w:tcBorders>
            <w:vAlign w:val="top"/>
          </w:tcPr>
          <w:p w14:paraId="5D4C097A">
            <w:pPr>
              <w:rPr>
                <w:rFonts w:ascii="Arial"/>
                <w:sz w:val="21"/>
              </w:rPr>
            </w:pPr>
          </w:p>
        </w:tc>
        <w:tc>
          <w:tcPr>
            <w:tcW w:w="1158" w:type="dxa"/>
            <w:gridSpan w:val="2"/>
            <w:vMerge w:val="continue"/>
            <w:tcBorders>
              <w:top w:val="nil"/>
            </w:tcBorders>
            <w:vAlign w:val="top"/>
          </w:tcPr>
          <w:p w14:paraId="18C02BFA">
            <w:pPr>
              <w:rPr>
                <w:rFonts w:ascii="Arial"/>
                <w:sz w:val="21"/>
              </w:rPr>
            </w:pPr>
          </w:p>
        </w:tc>
        <w:tc>
          <w:tcPr>
            <w:tcW w:w="859" w:type="dxa"/>
            <w:gridSpan w:val="2"/>
            <w:vAlign w:val="top"/>
          </w:tcPr>
          <w:p w14:paraId="483D8364">
            <w:pPr>
              <w:pStyle w:val="6"/>
              <w:spacing w:before="45" w:line="200" w:lineRule="auto"/>
              <w:ind w:left="274"/>
              <w:rPr>
                <w:sz w:val="20"/>
                <w:szCs w:val="20"/>
              </w:rPr>
            </w:pPr>
            <w:r>
              <w:rPr>
                <w:spacing w:val="9"/>
                <w:sz w:val="20"/>
                <w:szCs w:val="20"/>
              </w:rPr>
              <w:t>夜间</w:t>
            </w:r>
          </w:p>
        </w:tc>
        <w:tc>
          <w:tcPr>
            <w:tcW w:w="1749" w:type="dxa"/>
            <w:gridSpan w:val="3"/>
            <w:vAlign w:val="top"/>
          </w:tcPr>
          <w:p w14:paraId="743FB10F">
            <w:pPr>
              <w:pStyle w:val="6"/>
              <w:spacing w:before="45" w:line="200" w:lineRule="auto"/>
              <w:ind w:left="15"/>
              <w:rPr>
                <w:sz w:val="20"/>
                <w:szCs w:val="20"/>
              </w:rPr>
            </w:pPr>
            <w:r>
              <w:rPr>
                <w:sz w:val="20"/>
                <w:szCs w:val="20"/>
              </w:rPr>
              <w:t>次日01:18-01:28</w:t>
            </w:r>
          </w:p>
        </w:tc>
        <w:tc>
          <w:tcPr>
            <w:tcW w:w="1529" w:type="dxa"/>
            <w:gridSpan w:val="2"/>
            <w:vAlign w:val="top"/>
          </w:tcPr>
          <w:p w14:paraId="7643BF6B">
            <w:pPr>
              <w:pStyle w:val="6"/>
              <w:spacing w:before="64" w:line="182" w:lineRule="auto"/>
              <w:ind w:left="656"/>
              <w:rPr>
                <w:sz w:val="20"/>
                <w:szCs w:val="20"/>
              </w:rPr>
            </w:pPr>
            <w:r>
              <w:rPr>
                <w:spacing w:val="-2"/>
                <w:sz w:val="20"/>
                <w:szCs w:val="20"/>
              </w:rPr>
              <w:t>43</w:t>
            </w:r>
          </w:p>
        </w:tc>
        <w:tc>
          <w:tcPr>
            <w:tcW w:w="1418" w:type="dxa"/>
            <w:gridSpan w:val="2"/>
            <w:vAlign w:val="top"/>
          </w:tcPr>
          <w:p w14:paraId="4F4334D8">
            <w:pPr>
              <w:pStyle w:val="6"/>
              <w:spacing w:before="64" w:line="182" w:lineRule="auto"/>
              <w:ind w:left="607"/>
              <w:rPr>
                <w:sz w:val="20"/>
                <w:szCs w:val="20"/>
              </w:rPr>
            </w:pPr>
            <w:r>
              <w:rPr>
                <w:spacing w:val="-2"/>
                <w:sz w:val="20"/>
                <w:szCs w:val="20"/>
              </w:rPr>
              <w:t>45</w:t>
            </w:r>
          </w:p>
        </w:tc>
        <w:tc>
          <w:tcPr>
            <w:tcW w:w="1019" w:type="dxa"/>
            <w:gridSpan w:val="2"/>
            <w:vAlign w:val="top"/>
          </w:tcPr>
          <w:p w14:paraId="138C789C">
            <w:pPr>
              <w:pStyle w:val="6"/>
              <w:spacing w:before="45" w:line="200" w:lineRule="auto"/>
              <w:ind w:left="429"/>
              <w:rPr>
                <w:sz w:val="20"/>
                <w:szCs w:val="20"/>
              </w:rPr>
            </w:pPr>
            <w:r>
              <w:rPr>
                <w:spacing w:val="-2"/>
                <w:sz w:val="20"/>
                <w:szCs w:val="20"/>
              </w:rPr>
              <w:t>达标</w:t>
            </w:r>
          </w:p>
        </w:tc>
        <w:tc>
          <w:tcPr>
            <w:tcW w:w="285" w:type="dxa"/>
            <w:vMerge w:val="continue"/>
            <w:tcBorders>
              <w:top w:val="nil"/>
              <w:bottom w:val="nil"/>
            </w:tcBorders>
            <w:vAlign w:val="top"/>
          </w:tcPr>
          <w:p w14:paraId="5AAE4B27">
            <w:pPr>
              <w:rPr>
                <w:rFonts w:ascii="Arial"/>
                <w:sz w:val="21"/>
              </w:rPr>
            </w:pPr>
          </w:p>
        </w:tc>
      </w:tr>
      <w:tr w14:paraId="799E1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664" w:type="dxa"/>
            <w:vMerge w:val="continue"/>
            <w:tcBorders>
              <w:top w:val="nil"/>
              <w:bottom w:val="nil"/>
            </w:tcBorders>
            <w:vAlign w:val="top"/>
          </w:tcPr>
          <w:p w14:paraId="102C50A3">
            <w:pPr>
              <w:rPr>
                <w:rFonts w:ascii="Arial"/>
                <w:sz w:val="21"/>
              </w:rPr>
            </w:pPr>
          </w:p>
        </w:tc>
        <w:tc>
          <w:tcPr>
            <w:tcW w:w="110" w:type="dxa"/>
            <w:tcBorders>
              <w:top w:val="nil"/>
              <w:bottom w:val="nil"/>
            </w:tcBorders>
            <w:vAlign w:val="top"/>
          </w:tcPr>
          <w:p w14:paraId="6A4C75AD">
            <w:pPr>
              <w:rPr>
                <w:rFonts w:ascii="Arial"/>
                <w:sz w:val="21"/>
              </w:rPr>
            </w:pPr>
          </w:p>
        </w:tc>
        <w:tc>
          <w:tcPr>
            <w:tcW w:w="629" w:type="dxa"/>
            <w:vMerge w:val="continue"/>
            <w:tcBorders>
              <w:top w:val="nil"/>
              <w:bottom w:val="nil"/>
            </w:tcBorders>
            <w:vAlign w:val="top"/>
          </w:tcPr>
          <w:p w14:paraId="4EA3800E">
            <w:pPr>
              <w:rPr>
                <w:rFonts w:ascii="Arial"/>
                <w:sz w:val="21"/>
              </w:rPr>
            </w:pPr>
          </w:p>
        </w:tc>
        <w:tc>
          <w:tcPr>
            <w:tcW w:w="1158" w:type="dxa"/>
            <w:gridSpan w:val="2"/>
            <w:vMerge w:val="restart"/>
            <w:tcBorders>
              <w:bottom w:val="nil"/>
            </w:tcBorders>
            <w:vAlign w:val="top"/>
          </w:tcPr>
          <w:p w14:paraId="7A06F397">
            <w:pPr>
              <w:pStyle w:val="6"/>
              <w:spacing w:before="192" w:line="239" w:lineRule="auto"/>
              <w:ind w:right="5"/>
              <w:jc w:val="right"/>
              <w:rPr>
                <w:sz w:val="20"/>
                <w:szCs w:val="20"/>
              </w:rPr>
            </w:pPr>
            <w:r>
              <w:rPr>
                <w:spacing w:val="-1"/>
                <w:sz w:val="20"/>
                <w:szCs w:val="20"/>
              </w:rPr>
              <w:t>2024.09.08</w:t>
            </w:r>
          </w:p>
        </w:tc>
        <w:tc>
          <w:tcPr>
            <w:tcW w:w="859" w:type="dxa"/>
            <w:gridSpan w:val="2"/>
            <w:vAlign w:val="top"/>
          </w:tcPr>
          <w:p w14:paraId="3ABCB3A1">
            <w:pPr>
              <w:pStyle w:val="6"/>
              <w:spacing w:before="46" w:line="198" w:lineRule="auto"/>
              <w:ind w:left="224"/>
              <w:rPr>
                <w:sz w:val="20"/>
                <w:szCs w:val="20"/>
              </w:rPr>
            </w:pPr>
            <w:r>
              <w:rPr>
                <w:spacing w:val="9"/>
                <w:sz w:val="20"/>
                <w:szCs w:val="20"/>
              </w:rPr>
              <w:t>昼间</w:t>
            </w:r>
          </w:p>
        </w:tc>
        <w:tc>
          <w:tcPr>
            <w:tcW w:w="1749" w:type="dxa"/>
            <w:gridSpan w:val="3"/>
            <w:vAlign w:val="top"/>
          </w:tcPr>
          <w:p w14:paraId="04AAB355">
            <w:pPr>
              <w:pStyle w:val="6"/>
              <w:spacing w:before="62" w:line="183" w:lineRule="auto"/>
              <w:ind w:left="375"/>
              <w:rPr>
                <w:sz w:val="20"/>
                <w:szCs w:val="20"/>
              </w:rPr>
            </w:pPr>
            <w:r>
              <w:rPr>
                <w:spacing w:val="-3"/>
                <w:sz w:val="20"/>
                <w:szCs w:val="20"/>
              </w:rPr>
              <w:t>11:58-12:08</w:t>
            </w:r>
          </w:p>
        </w:tc>
        <w:tc>
          <w:tcPr>
            <w:tcW w:w="1529" w:type="dxa"/>
            <w:gridSpan w:val="2"/>
            <w:vAlign w:val="top"/>
          </w:tcPr>
          <w:p w14:paraId="09FF38F9">
            <w:pPr>
              <w:pStyle w:val="6"/>
              <w:spacing w:before="62" w:line="183" w:lineRule="auto"/>
              <w:ind w:left="656"/>
              <w:rPr>
                <w:sz w:val="20"/>
                <w:szCs w:val="20"/>
              </w:rPr>
            </w:pPr>
            <w:r>
              <w:rPr>
                <w:spacing w:val="-2"/>
                <w:sz w:val="20"/>
                <w:szCs w:val="20"/>
              </w:rPr>
              <w:t>48</w:t>
            </w:r>
          </w:p>
        </w:tc>
        <w:tc>
          <w:tcPr>
            <w:tcW w:w="1418" w:type="dxa"/>
            <w:gridSpan w:val="2"/>
            <w:vAlign w:val="top"/>
          </w:tcPr>
          <w:p w14:paraId="4787D621">
            <w:pPr>
              <w:pStyle w:val="6"/>
              <w:spacing w:before="62" w:line="183" w:lineRule="auto"/>
              <w:ind w:left="606"/>
              <w:rPr>
                <w:sz w:val="20"/>
                <w:szCs w:val="20"/>
              </w:rPr>
            </w:pPr>
            <w:r>
              <w:rPr>
                <w:spacing w:val="-3"/>
                <w:sz w:val="20"/>
                <w:szCs w:val="20"/>
              </w:rPr>
              <w:t>55</w:t>
            </w:r>
          </w:p>
        </w:tc>
        <w:tc>
          <w:tcPr>
            <w:tcW w:w="1019" w:type="dxa"/>
            <w:gridSpan w:val="2"/>
            <w:vAlign w:val="top"/>
          </w:tcPr>
          <w:p w14:paraId="1C1F9C80">
            <w:pPr>
              <w:pStyle w:val="6"/>
              <w:spacing w:before="44" w:line="200" w:lineRule="auto"/>
              <w:ind w:left="429"/>
              <w:rPr>
                <w:sz w:val="20"/>
                <w:szCs w:val="20"/>
              </w:rPr>
            </w:pPr>
            <w:r>
              <w:rPr>
                <w:spacing w:val="-2"/>
                <w:sz w:val="20"/>
                <w:szCs w:val="20"/>
              </w:rPr>
              <w:t>达标</w:t>
            </w:r>
          </w:p>
        </w:tc>
        <w:tc>
          <w:tcPr>
            <w:tcW w:w="285" w:type="dxa"/>
            <w:vMerge w:val="continue"/>
            <w:tcBorders>
              <w:top w:val="nil"/>
              <w:bottom w:val="nil"/>
            </w:tcBorders>
            <w:vAlign w:val="top"/>
          </w:tcPr>
          <w:p w14:paraId="01DCD5AD">
            <w:pPr>
              <w:rPr>
                <w:rFonts w:ascii="Arial"/>
                <w:sz w:val="21"/>
              </w:rPr>
            </w:pPr>
          </w:p>
        </w:tc>
      </w:tr>
      <w:tr w14:paraId="4B10E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664" w:type="dxa"/>
            <w:vMerge w:val="continue"/>
            <w:tcBorders>
              <w:top w:val="nil"/>
              <w:bottom w:val="nil"/>
            </w:tcBorders>
            <w:vAlign w:val="top"/>
          </w:tcPr>
          <w:p w14:paraId="6845D111">
            <w:pPr>
              <w:rPr>
                <w:rFonts w:ascii="Arial"/>
                <w:sz w:val="21"/>
              </w:rPr>
            </w:pPr>
          </w:p>
        </w:tc>
        <w:tc>
          <w:tcPr>
            <w:tcW w:w="110" w:type="dxa"/>
            <w:tcBorders>
              <w:top w:val="nil"/>
              <w:bottom w:val="nil"/>
            </w:tcBorders>
            <w:vAlign w:val="top"/>
          </w:tcPr>
          <w:p w14:paraId="674E03A7">
            <w:pPr>
              <w:rPr>
                <w:rFonts w:ascii="Arial"/>
                <w:sz w:val="21"/>
              </w:rPr>
            </w:pPr>
          </w:p>
        </w:tc>
        <w:tc>
          <w:tcPr>
            <w:tcW w:w="629" w:type="dxa"/>
            <w:vMerge w:val="continue"/>
            <w:tcBorders>
              <w:top w:val="nil"/>
            </w:tcBorders>
            <w:vAlign w:val="top"/>
          </w:tcPr>
          <w:p w14:paraId="2E4F7536">
            <w:pPr>
              <w:rPr>
                <w:rFonts w:ascii="Arial"/>
                <w:sz w:val="21"/>
              </w:rPr>
            </w:pPr>
          </w:p>
        </w:tc>
        <w:tc>
          <w:tcPr>
            <w:tcW w:w="1158" w:type="dxa"/>
            <w:gridSpan w:val="2"/>
            <w:vMerge w:val="continue"/>
            <w:tcBorders>
              <w:top w:val="nil"/>
            </w:tcBorders>
            <w:vAlign w:val="top"/>
          </w:tcPr>
          <w:p w14:paraId="0E953DBF">
            <w:pPr>
              <w:rPr>
                <w:rFonts w:ascii="Arial"/>
                <w:sz w:val="21"/>
              </w:rPr>
            </w:pPr>
          </w:p>
        </w:tc>
        <w:tc>
          <w:tcPr>
            <w:tcW w:w="859" w:type="dxa"/>
            <w:gridSpan w:val="2"/>
            <w:vAlign w:val="top"/>
          </w:tcPr>
          <w:p w14:paraId="0CB1987A">
            <w:pPr>
              <w:pStyle w:val="6"/>
              <w:spacing w:before="32" w:line="203" w:lineRule="auto"/>
              <w:ind w:left="224"/>
              <w:rPr>
                <w:sz w:val="20"/>
                <w:szCs w:val="20"/>
              </w:rPr>
            </w:pPr>
            <w:r>
              <w:rPr>
                <w:spacing w:val="9"/>
                <w:sz w:val="20"/>
                <w:szCs w:val="20"/>
              </w:rPr>
              <w:t>夜间</w:t>
            </w:r>
          </w:p>
        </w:tc>
        <w:tc>
          <w:tcPr>
            <w:tcW w:w="1749" w:type="dxa"/>
            <w:gridSpan w:val="3"/>
            <w:vAlign w:val="top"/>
          </w:tcPr>
          <w:p w14:paraId="79E80BA4">
            <w:pPr>
              <w:pStyle w:val="6"/>
              <w:spacing w:before="32" w:line="203" w:lineRule="auto"/>
              <w:ind w:left="15"/>
              <w:rPr>
                <w:sz w:val="20"/>
                <w:szCs w:val="20"/>
              </w:rPr>
            </w:pPr>
            <w:r>
              <w:rPr>
                <w:spacing w:val="1"/>
                <w:sz w:val="20"/>
                <w:szCs w:val="20"/>
              </w:rPr>
              <w:t>次日01:31-01:41</w:t>
            </w:r>
          </w:p>
        </w:tc>
        <w:tc>
          <w:tcPr>
            <w:tcW w:w="1529" w:type="dxa"/>
            <w:gridSpan w:val="2"/>
            <w:vAlign w:val="top"/>
          </w:tcPr>
          <w:p w14:paraId="00F833B2">
            <w:pPr>
              <w:pStyle w:val="6"/>
              <w:spacing w:before="52" w:line="184" w:lineRule="auto"/>
              <w:ind w:left="656"/>
              <w:rPr>
                <w:sz w:val="20"/>
                <w:szCs w:val="20"/>
              </w:rPr>
            </w:pPr>
            <w:r>
              <w:rPr>
                <w:spacing w:val="-2"/>
                <w:sz w:val="20"/>
                <w:szCs w:val="20"/>
              </w:rPr>
              <w:t>43</w:t>
            </w:r>
          </w:p>
        </w:tc>
        <w:tc>
          <w:tcPr>
            <w:tcW w:w="1418" w:type="dxa"/>
            <w:gridSpan w:val="2"/>
            <w:vAlign w:val="top"/>
          </w:tcPr>
          <w:p w14:paraId="01EF08CE">
            <w:pPr>
              <w:pStyle w:val="6"/>
              <w:spacing w:before="52" w:line="184" w:lineRule="auto"/>
              <w:ind w:left="607"/>
              <w:rPr>
                <w:sz w:val="20"/>
                <w:szCs w:val="20"/>
              </w:rPr>
            </w:pPr>
            <w:r>
              <w:rPr>
                <w:spacing w:val="-2"/>
                <w:sz w:val="20"/>
                <w:szCs w:val="20"/>
              </w:rPr>
              <w:t>45</w:t>
            </w:r>
          </w:p>
        </w:tc>
        <w:tc>
          <w:tcPr>
            <w:tcW w:w="1019" w:type="dxa"/>
            <w:gridSpan w:val="2"/>
            <w:vAlign w:val="top"/>
          </w:tcPr>
          <w:p w14:paraId="181C4666">
            <w:pPr>
              <w:pStyle w:val="6"/>
              <w:spacing w:before="33" w:line="202" w:lineRule="auto"/>
              <w:ind w:left="429"/>
              <w:rPr>
                <w:sz w:val="20"/>
                <w:szCs w:val="20"/>
              </w:rPr>
            </w:pPr>
            <w:r>
              <w:rPr>
                <w:spacing w:val="-2"/>
                <w:sz w:val="20"/>
                <w:szCs w:val="20"/>
              </w:rPr>
              <w:t>达标</w:t>
            </w:r>
          </w:p>
        </w:tc>
        <w:tc>
          <w:tcPr>
            <w:tcW w:w="285" w:type="dxa"/>
            <w:vMerge w:val="continue"/>
            <w:tcBorders>
              <w:top w:val="nil"/>
              <w:bottom w:val="nil"/>
            </w:tcBorders>
            <w:vAlign w:val="top"/>
          </w:tcPr>
          <w:p w14:paraId="6D7F9A34">
            <w:pPr>
              <w:rPr>
                <w:rFonts w:ascii="Arial"/>
                <w:sz w:val="21"/>
              </w:rPr>
            </w:pPr>
          </w:p>
        </w:tc>
      </w:tr>
      <w:tr w14:paraId="3427B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64" w:type="dxa"/>
            <w:vMerge w:val="continue"/>
            <w:tcBorders>
              <w:top w:val="nil"/>
              <w:bottom w:val="nil"/>
            </w:tcBorders>
            <w:vAlign w:val="top"/>
          </w:tcPr>
          <w:p w14:paraId="0B0B9535">
            <w:pPr>
              <w:rPr>
                <w:rFonts w:ascii="Arial"/>
                <w:sz w:val="21"/>
              </w:rPr>
            </w:pPr>
          </w:p>
        </w:tc>
        <w:tc>
          <w:tcPr>
            <w:tcW w:w="110" w:type="dxa"/>
            <w:tcBorders>
              <w:top w:val="nil"/>
              <w:bottom w:val="nil"/>
            </w:tcBorders>
            <w:vAlign w:val="top"/>
          </w:tcPr>
          <w:p w14:paraId="4195F72E">
            <w:pPr>
              <w:rPr>
                <w:rFonts w:ascii="Arial"/>
                <w:sz w:val="21"/>
              </w:rPr>
            </w:pPr>
          </w:p>
        </w:tc>
        <w:tc>
          <w:tcPr>
            <w:tcW w:w="629" w:type="dxa"/>
            <w:vMerge w:val="restart"/>
            <w:tcBorders>
              <w:bottom w:val="nil"/>
            </w:tcBorders>
            <w:vAlign w:val="top"/>
          </w:tcPr>
          <w:p w14:paraId="4CA1BA14">
            <w:pPr>
              <w:pStyle w:val="6"/>
              <w:spacing w:before="109" w:line="202" w:lineRule="auto"/>
              <w:ind w:left="191" w:right="17" w:firstLine="100"/>
              <w:rPr>
                <w:sz w:val="20"/>
                <w:szCs w:val="20"/>
              </w:rPr>
            </w:pPr>
            <w:r>
              <w:rPr>
                <w:spacing w:val="-4"/>
                <w:sz w:val="20"/>
                <w:szCs w:val="20"/>
              </w:rPr>
              <w:t>23#</w:t>
            </w:r>
            <w:r>
              <w:rPr>
                <w:sz w:val="20"/>
                <w:szCs w:val="20"/>
              </w:rPr>
              <w:t xml:space="preserve"> </w:t>
            </w:r>
            <w:r>
              <w:rPr>
                <w:spacing w:val="5"/>
                <w:sz w:val="20"/>
                <w:szCs w:val="20"/>
              </w:rPr>
              <w:t>大莫</w:t>
            </w:r>
          </w:p>
          <w:p w14:paraId="30BBAE99">
            <w:pPr>
              <w:pStyle w:val="6"/>
              <w:spacing w:before="31" w:line="249" w:lineRule="auto"/>
              <w:ind w:left="291" w:right="7" w:hanging="100"/>
              <w:rPr>
                <w:sz w:val="20"/>
                <w:szCs w:val="20"/>
              </w:rPr>
            </w:pPr>
            <w:r>
              <w:rPr>
                <w:spacing w:val="3"/>
                <w:sz w:val="20"/>
                <w:szCs w:val="20"/>
              </w:rPr>
              <w:t>古散</w:t>
            </w:r>
            <w:r>
              <w:rPr>
                <w:sz w:val="20"/>
                <w:szCs w:val="20"/>
              </w:rPr>
              <w:t xml:space="preserve"> </w:t>
            </w:r>
            <w:r>
              <w:rPr>
                <w:spacing w:val="10"/>
                <w:sz w:val="20"/>
                <w:szCs w:val="20"/>
              </w:rPr>
              <w:t>户1</w:t>
            </w:r>
          </w:p>
        </w:tc>
        <w:tc>
          <w:tcPr>
            <w:tcW w:w="1158" w:type="dxa"/>
            <w:gridSpan w:val="2"/>
            <w:vMerge w:val="restart"/>
            <w:tcBorders>
              <w:bottom w:val="nil"/>
            </w:tcBorders>
            <w:vAlign w:val="top"/>
          </w:tcPr>
          <w:p w14:paraId="32369593">
            <w:pPr>
              <w:pStyle w:val="6"/>
              <w:spacing w:before="200" w:line="239" w:lineRule="auto"/>
              <w:ind w:right="5"/>
              <w:jc w:val="right"/>
              <w:rPr>
                <w:sz w:val="20"/>
                <w:szCs w:val="20"/>
              </w:rPr>
            </w:pPr>
            <w:r>
              <w:rPr>
                <w:spacing w:val="-1"/>
                <w:sz w:val="20"/>
                <w:szCs w:val="20"/>
              </w:rPr>
              <w:t>2024.09.07</w:t>
            </w:r>
          </w:p>
        </w:tc>
        <w:tc>
          <w:tcPr>
            <w:tcW w:w="859" w:type="dxa"/>
            <w:gridSpan w:val="2"/>
            <w:vAlign w:val="top"/>
          </w:tcPr>
          <w:p w14:paraId="1F1FD69B">
            <w:pPr>
              <w:pStyle w:val="6"/>
              <w:spacing w:before="42" w:line="194" w:lineRule="auto"/>
              <w:ind w:left="224"/>
              <w:rPr>
                <w:sz w:val="20"/>
                <w:szCs w:val="20"/>
              </w:rPr>
            </w:pPr>
            <w:r>
              <w:rPr>
                <w:spacing w:val="9"/>
                <w:sz w:val="20"/>
                <w:szCs w:val="20"/>
              </w:rPr>
              <w:t>昼间</w:t>
            </w:r>
          </w:p>
        </w:tc>
        <w:tc>
          <w:tcPr>
            <w:tcW w:w="1749" w:type="dxa"/>
            <w:gridSpan w:val="3"/>
            <w:vAlign w:val="top"/>
          </w:tcPr>
          <w:p w14:paraId="4FB4C388">
            <w:pPr>
              <w:pStyle w:val="6"/>
              <w:spacing w:before="60" w:line="178" w:lineRule="auto"/>
              <w:ind w:left="375"/>
              <w:rPr>
                <w:sz w:val="20"/>
                <w:szCs w:val="20"/>
              </w:rPr>
            </w:pPr>
            <w:r>
              <w:rPr>
                <w:spacing w:val="-3"/>
                <w:sz w:val="20"/>
                <w:szCs w:val="20"/>
              </w:rPr>
              <w:t>14:34-14:44</w:t>
            </w:r>
          </w:p>
        </w:tc>
        <w:tc>
          <w:tcPr>
            <w:tcW w:w="1529" w:type="dxa"/>
            <w:gridSpan w:val="2"/>
            <w:vAlign w:val="top"/>
          </w:tcPr>
          <w:p w14:paraId="58A946A5">
            <w:pPr>
              <w:pStyle w:val="6"/>
              <w:spacing w:before="60" w:line="178" w:lineRule="auto"/>
              <w:ind w:left="656"/>
              <w:rPr>
                <w:sz w:val="20"/>
                <w:szCs w:val="20"/>
              </w:rPr>
            </w:pPr>
            <w:r>
              <w:rPr>
                <w:spacing w:val="-2"/>
                <w:sz w:val="20"/>
                <w:szCs w:val="20"/>
              </w:rPr>
              <w:t>49</w:t>
            </w:r>
          </w:p>
        </w:tc>
        <w:tc>
          <w:tcPr>
            <w:tcW w:w="1418" w:type="dxa"/>
            <w:gridSpan w:val="2"/>
            <w:vAlign w:val="top"/>
          </w:tcPr>
          <w:p w14:paraId="0A39FBFB">
            <w:pPr>
              <w:pStyle w:val="6"/>
              <w:spacing w:before="60" w:line="178" w:lineRule="auto"/>
              <w:ind w:left="606"/>
              <w:rPr>
                <w:sz w:val="20"/>
                <w:szCs w:val="20"/>
              </w:rPr>
            </w:pPr>
            <w:r>
              <w:rPr>
                <w:spacing w:val="-3"/>
                <w:sz w:val="20"/>
                <w:szCs w:val="20"/>
              </w:rPr>
              <w:t>55</w:t>
            </w:r>
          </w:p>
        </w:tc>
        <w:tc>
          <w:tcPr>
            <w:tcW w:w="1019" w:type="dxa"/>
            <w:gridSpan w:val="2"/>
            <w:vAlign w:val="top"/>
          </w:tcPr>
          <w:p w14:paraId="18F8B0F3">
            <w:pPr>
              <w:pStyle w:val="6"/>
              <w:spacing w:before="40" w:line="196" w:lineRule="auto"/>
              <w:ind w:left="429"/>
              <w:rPr>
                <w:sz w:val="20"/>
                <w:szCs w:val="20"/>
              </w:rPr>
            </w:pPr>
            <w:r>
              <w:rPr>
                <w:spacing w:val="-2"/>
                <w:sz w:val="20"/>
                <w:szCs w:val="20"/>
              </w:rPr>
              <w:t>达标</w:t>
            </w:r>
          </w:p>
        </w:tc>
        <w:tc>
          <w:tcPr>
            <w:tcW w:w="285" w:type="dxa"/>
            <w:vMerge w:val="continue"/>
            <w:tcBorders>
              <w:top w:val="nil"/>
              <w:bottom w:val="nil"/>
            </w:tcBorders>
            <w:vAlign w:val="top"/>
          </w:tcPr>
          <w:p w14:paraId="3A77BBBE">
            <w:pPr>
              <w:rPr>
                <w:rFonts w:ascii="Arial"/>
                <w:sz w:val="21"/>
              </w:rPr>
            </w:pPr>
          </w:p>
        </w:tc>
      </w:tr>
      <w:tr w14:paraId="1B490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664" w:type="dxa"/>
            <w:vMerge w:val="continue"/>
            <w:tcBorders>
              <w:top w:val="nil"/>
              <w:bottom w:val="nil"/>
            </w:tcBorders>
            <w:vAlign w:val="top"/>
          </w:tcPr>
          <w:p w14:paraId="66BCF590">
            <w:pPr>
              <w:rPr>
                <w:rFonts w:ascii="Arial"/>
                <w:sz w:val="21"/>
              </w:rPr>
            </w:pPr>
          </w:p>
        </w:tc>
        <w:tc>
          <w:tcPr>
            <w:tcW w:w="110" w:type="dxa"/>
            <w:tcBorders>
              <w:top w:val="nil"/>
              <w:bottom w:val="nil"/>
            </w:tcBorders>
            <w:vAlign w:val="top"/>
          </w:tcPr>
          <w:p w14:paraId="25C75118">
            <w:pPr>
              <w:rPr>
                <w:rFonts w:ascii="Arial"/>
                <w:sz w:val="21"/>
              </w:rPr>
            </w:pPr>
          </w:p>
        </w:tc>
        <w:tc>
          <w:tcPr>
            <w:tcW w:w="629" w:type="dxa"/>
            <w:vMerge w:val="continue"/>
            <w:tcBorders>
              <w:top w:val="nil"/>
              <w:bottom w:val="nil"/>
            </w:tcBorders>
            <w:vAlign w:val="top"/>
          </w:tcPr>
          <w:p w14:paraId="09687EFC">
            <w:pPr>
              <w:rPr>
                <w:rFonts w:ascii="Arial"/>
                <w:sz w:val="21"/>
              </w:rPr>
            </w:pPr>
          </w:p>
        </w:tc>
        <w:tc>
          <w:tcPr>
            <w:tcW w:w="1158" w:type="dxa"/>
            <w:gridSpan w:val="2"/>
            <w:vMerge w:val="continue"/>
            <w:tcBorders>
              <w:top w:val="nil"/>
            </w:tcBorders>
            <w:vAlign w:val="top"/>
          </w:tcPr>
          <w:p w14:paraId="147AD55E">
            <w:pPr>
              <w:rPr>
                <w:rFonts w:ascii="Arial"/>
                <w:sz w:val="21"/>
              </w:rPr>
            </w:pPr>
          </w:p>
        </w:tc>
        <w:tc>
          <w:tcPr>
            <w:tcW w:w="859" w:type="dxa"/>
            <w:gridSpan w:val="2"/>
            <w:vAlign w:val="top"/>
          </w:tcPr>
          <w:p w14:paraId="2421EDC4">
            <w:pPr>
              <w:pStyle w:val="6"/>
              <w:spacing w:before="47" w:line="198" w:lineRule="auto"/>
              <w:ind w:left="224"/>
              <w:rPr>
                <w:sz w:val="20"/>
                <w:szCs w:val="20"/>
              </w:rPr>
            </w:pPr>
            <w:r>
              <w:rPr>
                <w:spacing w:val="9"/>
                <w:sz w:val="20"/>
                <w:szCs w:val="20"/>
              </w:rPr>
              <w:t>夜间</w:t>
            </w:r>
          </w:p>
        </w:tc>
        <w:tc>
          <w:tcPr>
            <w:tcW w:w="1749" w:type="dxa"/>
            <w:gridSpan w:val="3"/>
            <w:vAlign w:val="top"/>
          </w:tcPr>
          <w:p w14:paraId="0A98F5C0">
            <w:pPr>
              <w:pStyle w:val="6"/>
              <w:spacing w:before="47" w:line="198" w:lineRule="auto"/>
              <w:ind w:left="15"/>
              <w:rPr>
                <w:sz w:val="20"/>
                <w:szCs w:val="20"/>
              </w:rPr>
            </w:pPr>
            <w:r>
              <w:rPr>
                <w:sz w:val="20"/>
                <w:szCs w:val="20"/>
              </w:rPr>
              <w:t>次日02:06-02:16</w:t>
            </w:r>
          </w:p>
        </w:tc>
        <w:tc>
          <w:tcPr>
            <w:tcW w:w="1529" w:type="dxa"/>
            <w:gridSpan w:val="2"/>
            <w:vAlign w:val="top"/>
          </w:tcPr>
          <w:p w14:paraId="6CDB897D">
            <w:pPr>
              <w:pStyle w:val="6"/>
              <w:spacing w:before="66" w:line="180" w:lineRule="auto"/>
              <w:ind w:left="656"/>
              <w:rPr>
                <w:sz w:val="20"/>
                <w:szCs w:val="20"/>
              </w:rPr>
            </w:pPr>
            <w:r>
              <w:rPr>
                <w:spacing w:val="-2"/>
                <w:sz w:val="20"/>
                <w:szCs w:val="20"/>
              </w:rPr>
              <w:t>43</w:t>
            </w:r>
          </w:p>
        </w:tc>
        <w:tc>
          <w:tcPr>
            <w:tcW w:w="1418" w:type="dxa"/>
            <w:gridSpan w:val="2"/>
            <w:vAlign w:val="top"/>
          </w:tcPr>
          <w:p w14:paraId="2468E43B">
            <w:pPr>
              <w:pStyle w:val="6"/>
              <w:spacing w:before="66" w:line="180" w:lineRule="auto"/>
              <w:ind w:left="607"/>
              <w:rPr>
                <w:sz w:val="20"/>
                <w:szCs w:val="20"/>
              </w:rPr>
            </w:pPr>
            <w:r>
              <w:rPr>
                <w:spacing w:val="-2"/>
                <w:sz w:val="20"/>
                <w:szCs w:val="20"/>
              </w:rPr>
              <w:t>45</w:t>
            </w:r>
          </w:p>
        </w:tc>
        <w:tc>
          <w:tcPr>
            <w:tcW w:w="1019" w:type="dxa"/>
            <w:gridSpan w:val="2"/>
            <w:vAlign w:val="top"/>
          </w:tcPr>
          <w:p w14:paraId="7F4362C9">
            <w:pPr>
              <w:pStyle w:val="6"/>
              <w:spacing w:before="47" w:line="198" w:lineRule="auto"/>
              <w:ind w:left="429"/>
              <w:rPr>
                <w:sz w:val="20"/>
                <w:szCs w:val="20"/>
              </w:rPr>
            </w:pPr>
            <w:r>
              <w:rPr>
                <w:spacing w:val="-2"/>
                <w:sz w:val="20"/>
                <w:szCs w:val="20"/>
              </w:rPr>
              <w:t>达标</w:t>
            </w:r>
          </w:p>
        </w:tc>
        <w:tc>
          <w:tcPr>
            <w:tcW w:w="285" w:type="dxa"/>
            <w:vMerge w:val="continue"/>
            <w:tcBorders>
              <w:top w:val="nil"/>
              <w:bottom w:val="nil"/>
            </w:tcBorders>
            <w:vAlign w:val="top"/>
          </w:tcPr>
          <w:p w14:paraId="2D7BCCB9">
            <w:pPr>
              <w:rPr>
                <w:rFonts w:ascii="Arial"/>
                <w:sz w:val="21"/>
              </w:rPr>
            </w:pPr>
          </w:p>
        </w:tc>
      </w:tr>
      <w:tr w14:paraId="09BA3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64" w:type="dxa"/>
            <w:vMerge w:val="continue"/>
            <w:tcBorders>
              <w:top w:val="nil"/>
              <w:bottom w:val="nil"/>
            </w:tcBorders>
            <w:vAlign w:val="top"/>
          </w:tcPr>
          <w:p w14:paraId="0E244D71">
            <w:pPr>
              <w:rPr>
                <w:rFonts w:ascii="Arial"/>
                <w:sz w:val="21"/>
              </w:rPr>
            </w:pPr>
          </w:p>
        </w:tc>
        <w:tc>
          <w:tcPr>
            <w:tcW w:w="110" w:type="dxa"/>
            <w:tcBorders>
              <w:top w:val="nil"/>
              <w:bottom w:val="nil"/>
            </w:tcBorders>
            <w:vAlign w:val="top"/>
          </w:tcPr>
          <w:p w14:paraId="59F7AA40">
            <w:pPr>
              <w:rPr>
                <w:rFonts w:ascii="Arial"/>
                <w:sz w:val="21"/>
              </w:rPr>
            </w:pPr>
          </w:p>
        </w:tc>
        <w:tc>
          <w:tcPr>
            <w:tcW w:w="629" w:type="dxa"/>
            <w:vMerge w:val="continue"/>
            <w:tcBorders>
              <w:top w:val="nil"/>
              <w:bottom w:val="nil"/>
            </w:tcBorders>
            <w:vAlign w:val="top"/>
          </w:tcPr>
          <w:p w14:paraId="67464E4C">
            <w:pPr>
              <w:rPr>
                <w:rFonts w:ascii="Arial"/>
                <w:sz w:val="21"/>
              </w:rPr>
            </w:pPr>
          </w:p>
        </w:tc>
        <w:tc>
          <w:tcPr>
            <w:tcW w:w="1158" w:type="dxa"/>
            <w:gridSpan w:val="2"/>
            <w:vMerge w:val="restart"/>
            <w:tcBorders>
              <w:bottom w:val="nil"/>
            </w:tcBorders>
            <w:vAlign w:val="top"/>
          </w:tcPr>
          <w:p w14:paraId="709ECF6C">
            <w:pPr>
              <w:pStyle w:val="6"/>
              <w:spacing w:before="214" w:line="239" w:lineRule="auto"/>
              <w:ind w:right="5"/>
              <w:jc w:val="right"/>
              <w:rPr>
                <w:sz w:val="20"/>
                <w:szCs w:val="20"/>
              </w:rPr>
            </w:pPr>
            <w:r>
              <w:rPr>
                <w:spacing w:val="-1"/>
                <w:sz w:val="20"/>
                <w:szCs w:val="20"/>
              </w:rPr>
              <w:t>2024.09.08</w:t>
            </w:r>
          </w:p>
        </w:tc>
        <w:tc>
          <w:tcPr>
            <w:tcW w:w="859" w:type="dxa"/>
            <w:gridSpan w:val="2"/>
            <w:vAlign w:val="top"/>
          </w:tcPr>
          <w:p w14:paraId="5043D01D">
            <w:pPr>
              <w:pStyle w:val="6"/>
              <w:spacing w:before="58" w:line="213" w:lineRule="auto"/>
              <w:ind w:left="224"/>
              <w:rPr>
                <w:sz w:val="20"/>
                <w:szCs w:val="20"/>
              </w:rPr>
            </w:pPr>
            <w:r>
              <w:rPr>
                <w:spacing w:val="9"/>
                <w:sz w:val="20"/>
                <w:szCs w:val="20"/>
              </w:rPr>
              <w:t>昼间</w:t>
            </w:r>
          </w:p>
        </w:tc>
        <w:tc>
          <w:tcPr>
            <w:tcW w:w="1749" w:type="dxa"/>
            <w:gridSpan w:val="3"/>
            <w:vAlign w:val="top"/>
          </w:tcPr>
          <w:p w14:paraId="2382D53F">
            <w:pPr>
              <w:pStyle w:val="6"/>
              <w:spacing w:before="75" w:line="197" w:lineRule="auto"/>
              <w:ind w:left="375"/>
              <w:rPr>
                <w:sz w:val="20"/>
                <w:szCs w:val="20"/>
              </w:rPr>
            </w:pPr>
            <w:r>
              <w:rPr>
                <w:spacing w:val="-3"/>
                <w:sz w:val="20"/>
                <w:szCs w:val="20"/>
              </w:rPr>
              <w:t>13:24-13:34</w:t>
            </w:r>
          </w:p>
        </w:tc>
        <w:tc>
          <w:tcPr>
            <w:tcW w:w="1529" w:type="dxa"/>
            <w:gridSpan w:val="2"/>
            <w:vAlign w:val="top"/>
          </w:tcPr>
          <w:p w14:paraId="5CD86D38">
            <w:pPr>
              <w:pStyle w:val="6"/>
              <w:spacing w:before="75" w:line="197" w:lineRule="auto"/>
              <w:ind w:left="656"/>
              <w:rPr>
                <w:sz w:val="20"/>
                <w:szCs w:val="20"/>
              </w:rPr>
            </w:pPr>
            <w:r>
              <w:rPr>
                <w:spacing w:val="-3"/>
                <w:sz w:val="20"/>
                <w:szCs w:val="20"/>
              </w:rPr>
              <w:t>50</w:t>
            </w:r>
          </w:p>
        </w:tc>
        <w:tc>
          <w:tcPr>
            <w:tcW w:w="1418" w:type="dxa"/>
            <w:gridSpan w:val="2"/>
            <w:vAlign w:val="top"/>
          </w:tcPr>
          <w:p w14:paraId="0CAAE508">
            <w:pPr>
              <w:pStyle w:val="6"/>
              <w:spacing w:before="75" w:line="197" w:lineRule="auto"/>
              <w:ind w:left="606"/>
              <w:rPr>
                <w:sz w:val="20"/>
                <w:szCs w:val="20"/>
              </w:rPr>
            </w:pPr>
            <w:r>
              <w:rPr>
                <w:spacing w:val="-3"/>
                <w:sz w:val="20"/>
                <w:szCs w:val="20"/>
              </w:rPr>
              <w:t>55</w:t>
            </w:r>
          </w:p>
        </w:tc>
        <w:tc>
          <w:tcPr>
            <w:tcW w:w="1019" w:type="dxa"/>
            <w:gridSpan w:val="2"/>
            <w:vAlign w:val="top"/>
          </w:tcPr>
          <w:p w14:paraId="4C147230">
            <w:pPr>
              <w:pStyle w:val="6"/>
              <w:spacing w:before="56" w:line="215" w:lineRule="auto"/>
              <w:ind w:left="429"/>
              <w:rPr>
                <w:sz w:val="20"/>
                <w:szCs w:val="20"/>
              </w:rPr>
            </w:pPr>
            <w:r>
              <w:rPr>
                <w:spacing w:val="-2"/>
                <w:sz w:val="20"/>
                <w:szCs w:val="20"/>
              </w:rPr>
              <w:t>达标</w:t>
            </w:r>
          </w:p>
        </w:tc>
        <w:tc>
          <w:tcPr>
            <w:tcW w:w="285" w:type="dxa"/>
            <w:vMerge w:val="continue"/>
            <w:tcBorders>
              <w:top w:val="nil"/>
              <w:bottom w:val="nil"/>
            </w:tcBorders>
            <w:vAlign w:val="top"/>
          </w:tcPr>
          <w:p w14:paraId="0F35941F">
            <w:pPr>
              <w:rPr>
                <w:rFonts w:ascii="Arial"/>
                <w:sz w:val="21"/>
              </w:rPr>
            </w:pPr>
          </w:p>
        </w:tc>
      </w:tr>
      <w:tr w14:paraId="35FE0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64" w:type="dxa"/>
            <w:vMerge w:val="continue"/>
            <w:tcBorders>
              <w:top w:val="nil"/>
              <w:bottom w:val="nil"/>
            </w:tcBorders>
            <w:vAlign w:val="top"/>
          </w:tcPr>
          <w:p w14:paraId="6EDDE8D8">
            <w:pPr>
              <w:rPr>
                <w:rFonts w:ascii="Arial"/>
                <w:sz w:val="21"/>
              </w:rPr>
            </w:pPr>
          </w:p>
        </w:tc>
        <w:tc>
          <w:tcPr>
            <w:tcW w:w="110" w:type="dxa"/>
            <w:tcBorders>
              <w:top w:val="nil"/>
              <w:bottom w:val="nil"/>
            </w:tcBorders>
            <w:vAlign w:val="top"/>
          </w:tcPr>
          <w:p w14:paraId="130B842B">
            <w:pPr>
              <w:rPr>
                <w:rFonts w:ascii="Arial"/>
                <w:sz w:val="21"/>
              </w:rPr>
            </w:pPr>
          </w:p>
        </w:tc>
        <w:tc>
          <w:tcPr>
            <w:tcW w:w="629" w:type="dxa"/>
            <w:vMerge w:val="continue"/>
            <w:tcBorders>
              <w:top w:val="nil"/>
            </w:tcBorders>
            <w:vAlign w:val="top"/>
          </w:tcPr>
          <w:p w14:paraId="3BABE339">
            <w:pPr>
              <w:rPr>
                <w:rFonts w:ascii="Arial"/>
                <w:sz w:val="21"/>
              </w:rPr>
            </w:pPr>
          </w:p>
        </w:tc>
        <w:tc>
          <w:tcPr>
            <w:tcW w:w="1158" w:type="dxa"/>
            <w:gridSpan w:val="2"/>
            <w:vMerge w:val="continue"/>
            <w:tcBorders>
              <w:top w:val="nil"/>
            </w:tcBorders>
            <w:vAlign w:val="top"/>
          </w:tcPr>
          <w:p w14:paraId="4EA6F6A4">
            <w:pPr>
              <w:rPr>
                <w:rFonts w:ascii="Arial"/>
                <w:sz w:val="21"/>
              </w:rPr>
            </w:pPr>
          </w:p>
        </w:tc>
        <w:tc>
          <w:tcPr>
            <w:tcW w:w="859" w:type="dxa"/>
            <w:gridSpan w:val="2"/>
            <w:vAlign w:val="top"/>
          </w:tcPr>
          <w:p w14:paraId="4EE4A5AF">
            <w:pPr>
              <w:pStyle w:val="6"/>
              <w:spacing w:before="36" w:line="202" w:lineRule="auto"/>
              <w:ind w:left="224"/>
              <w:rPr>
                <w:sz w:val="20"/>
                <w:szCs w:val="20"/>
              </w:rPr>
            </w:pPr>
            <w:r>
              <w:rPr>
                <w:spacing w:val="9"/>
                <w:sz w:val="20"/>
                <w:szCs w:val="20"/>
              </w:rPr>
              <w:t>夜间</w:t>
            </w:r>
          </w:p>
        </w:tc>
        <w:tc>
          <w:tcPr>
            <w:tcW w:w="1749" w:type="dxa"/>
            <w:gridSpan w:val="3"/>
            <w:vAlign w:val="top"/>
          </w:tcPr>
          <w:p w14:paraId="50B52AA0">
            <w:pPr>
              <w:pStyle w:val="6"/>
              <w:spacing w:before="36" w:line="202" w:lineRule="auto"/>
              <w:ind w:left="15"/>
              <w:rPr>
                <w:sz w:val="20"/>
                <w:szCs w:val="20"/>
              </w:rPr>
            </w:pPr>
            <w:r>
              <w:rPr>
                <w:sz w:val="20"/>
                <w:szCs w:val="20"/>
              </w:rPr>
              <w:t>次日02:04-02:14</w:t>
            </w:r>
          </w:p>
        </w:tc>
        <w:tc>
          <w:tcPr>
            <w:tcW w:w="1529" w:type="dxa"/>
            <w:gridSpan w:val="2"/>
            <w:vAlign w:val="top"/>
          </w:tcPr>
          <w:p w14:paraId="7372C992">
            <w:pPr>
              <w:pStyle w:val="6"/>
              <w:spacing w:before="56" w:line="183" w:lineRule="auto"/>
              <w:ind w:left="656"/>
              <w:rPr>
                <w:sz w:val="20"/>
                <w:szCs w:val="20"/>
              </w:rPr>
            </w:pPr>
            <w:r>
              <w:rPr>
                <w:spacing w:val="-2"/>
                <w:sz w:val="20"/>
                <w:szCs w:val="20"/>
              </w:rPr>
              <w:t>43</w:t>
            </w:r>
          </w:p>
        </w:tc>
        <w:tc>
          <w:tcPr>
            <w:tcW w:w="1418" w:type="dxa"/>
            <w:gridSpan w:val="2"/>
            <w:vAlign w:val="top"/>
          </w:tcPr>
          <w:p w14:paraId="5BA13CEB">
            <w:pPr>
              <w:pStyle w:val="6"/>
              <w:spacing w:before="56" w:line="183" w:lineRule="auto"/>
              <w:ind w:left="607"/>
              <w:rPr>
                <w:sz w:val="20"/>
                <w:szCs w:val="20"/>
              </w:rPr>
            </w:pPr>
            <w:r>
              <w:rPr>
                <w:spacing w:val="-2"/>
                <w:sz w:val="20"/>
                <w:szCs w:val="20"/>
              </w:rPr>
              <w:t>45</w:t>
            </w:r>
          </w:p>
        </w:tc>
        <w:tc>
          <w:tcPr>
            <w:tcW w:w="1019" w:type="dxa"/>
            <w:gridSpan w:val="2"/>
            <w:vAlign w:val="top"/>
          </w:tcPr>
          <w:p w14:paraId="4E64B2F6">
            <w:pPr>
              <w:pStyle w:val="6"/>
              <w:spacing w:before="37" w:line="201" w:lineRule="auto"/>
              <w:ind w:left="429"/>
              <w:rPr>
                <w:sz w:val="20"/>
                <w:szCs w:val="20"/>
              </w:rPr>
            </w:pPr>
            <w:r>
              <w:rPr>
                <w:spacing w:val="-2"/>
                <w:sz w:val="20"/>
                <w:szCs w:val="20"/>
              </w:rPr>
              <w:t>达标</w:t>
            </w:r>
          </w:p>
        </w:tc>
        <w:tc>
          <w:tcPr>
            <w:tcW w:w="285" w:type="dxa"/>
            <w:vMerge w:val="continue"/>
            <w:tcBorders>
              <w:top w:val="nil"/>
              <w:bottom w:val="nil"/>
            </w:tcBorders>
            <w:vAlign w:val="top"/>
          </w:tcPr>
          <w:p w14:paraId="7D535026">
            <w:pPr>
              <w:rPr>
                <w:rFonts w:ascii="Arial"/>
                <w:sz w:val="21"/>
              </w:rPr>
            </w:pPr>
          </w:p>
        </w:tc>
      </w:tr>
      <w:tr w14:paraId="745F0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664" w:type="dxa"/>
            <w:vMerge w:val="continue"/>
            <w:tcBorders>
              <w:top w:val="nil"/>
              <w:bottom w:val="nil"/>
            </w:tcBorders>
            <w:vAlign w:val="top"/>
          </w:tcPr>
          <w:p w14:paraId="6D005651">
            <w:pPr>
              <w:rPr>
                <w:rFonts w:ascii="Arial"/>
                <w:sz w:val="21"/>
              </w:rPr>
            </w:pPr>
          </w:p>
        </w:tc>
        <w:tc>
          <w:tcPr>
            <w:tcW w:w="110" w:type="dxa"/>
            <w:tcBorders>
              <w:top w:val="nil"/>
              <w:bottom w:val="nil"/>
            </w:tcBorders>
            <w:vAlign w:val="top"/>
          </w:tcPr>
          <w:p w14:paraId="1C342303">
            <w:pPr>
              <w:rPr>
                <w:rFonts w:ascii="Arial"/>
                <w:sz w:val="21"/>
              </w:rPr>
            </w:pPr>
          </w:p>
        </w:tc>
        <w:tc>
          <w:tcPr>
            <w:tcW w:w="629" w:type="dxa"/>
            <w:vMerge w:val="restart"/>
            <w:tcBorders>
              <w:bottom w:val="nil"/>
            </w:tcBorders>
            <w:vAlign w:val="top"/>
          </w:tcPr>
          <w:p w14:paraId="540E99A4">
            <w:pPr>
              <w:pStyle w:val="6"/>
              <w:spacing w:before="181" w:line="255" w:lineRule="auto"/>
              <w:ind w:left="30" w:right="9" w:firstLine="160"/>
              <w:jc w:val="right"/>
              <w:rPr>
                <w:sz w:val="20"/>
                <w:szCs w:val="20"/>
              </w:rPr>
            </w:pPr>
            <w:r>
              <w:rPr>
                <w:spacing w:val="3"/>
                <w:sz w:val="20"/>
                <w:szCs w:val="20"/>
              </w:rPr>
              <w:t>3#栗</w:t>
            </w:r>
            <w:r>
              <w:rPr>
                <w:sz w:val="20"/>
                <w:szCs w:val="20"/>
              </w:rPr>
              <w:t xml:space="preserve"> </w:t>
            </w:r>
            <w:r>
              <w:rPr>
                <w:spacing w:val="39"/>
                <w:w w:val="125"/>
                <w:sz w:val="20"/>
                <w:szCs w:val="20"/>
              </w:rPr>
              <w:t>树园</w:t>
            </w:r>
            <w:r>
              <w:rPr>
                <w:sz w:val="20"/>
                <w:szCs w:val="20"/>
              </w:rPr>
              <w:t xml:space="preserve"> </w:t>
            </w:r>
            <w:r>
              <w:rPr>
                <w:spacing w:val="-3"/>
                <w:sz w:val="20"/>
                <w:szCs w:val="20"/>
              </w:rPr>
              <w:t>散户2</w:t>
            </w:r>
          </w:p>
        </w:tc>
        <w:tc>
          <w:tcPr>
            <w:tcW w:w="1158" w:type="dxa"/>
            <w:gridSpan w:val="2"/>
            <w:vMerge w:val="restart"/>
            <w:tcBorders>
              <w:bottom w:val="nil"/>
            </w:tcBorders>
            <w:vAlign w:val="top"/>
          </w:tcPr>
          <w:p w14:paraId="698AD6D6">
            <w:pPr>
              <w:pStyle w:val="6"/>
              <w:spacing w:before="200" w:line="239" w:lineRule="auto"/>
              <w:ind w:right="5"/>
              <w:jc w:val="right"/>
              <w:rPr>
                <w:sz w:val="20"/>
                <w:szCs w:val="20"/>
              </w:rPr>
            </w:pPr>
            <w:r>
              <w:rPr>
                <w:spacing w:val="-1"/>
                <w:sz w:val="20"/>
                <w:szCs w:val="20"/>
              </w:rPr>
              <w:t>2024.09.07</w:t>
            </w:r>
          </w:p>
        </w:tc>
        <w:tc>
          <w:tcPr>
            <w:tcW w:w="859" w:type="dxa"/>
            <w:gridSpan w:val="2"/>
            <w:vAlign w:val="top"/>
          </w:tcPr>
          <w:p w14:paraId="43BA2162">
            <w:pPr>
              <w:pStyle w:val="6"/>
              <w:spacing w:before="44" w:line="197" w:lineRule="auto"/>
              <w:ind w:left="224"/>
              <w:rPr>
                <w:sz w:val="20"/>
                <w:szCs w:val="20"/>
              </w:rPr>
            </w:pPr>
            <w:r>
              <w:rPr>
                <w:spacing w:val="9"/>
                <w:sz w:val="20"/>
                <w:szCs w:val="20"/>
              </w:rPr>
              <w:t>昼间</w:t>
            </w:r>
          </w:p>
        </w:tc>
        <w:tc>
          <w:tcPr>
            <w:tcW w:w="1749" w:type="dxa"/>
            <w:gridSpan w:val="3"/>
            <w:vAlign w:val="top"/>
          </w:tcPr>
          <w:p w14:paraId="7B5C98FF">
            <w:pPr>
              <w:pStyle w:val="6"/>
              <w:spacing w:before="60" w:line="182" w:lineRule="auto"/>
              <w:ind w:left="375"/>
              <w:rPr>
                <w:sz w:val="20"/>
                <w:szCs w:val="20"/>
              </w:rPr>
            </w:pPr>
            <w:r>
              <w:rPr>
                <w:spacing w:val="-1"/>
                <w:sz w:val="20"/>
                <w:szCs w:val="20"/>
              </w:rPr>
              <w:t>09:21-09:31</w:t>
            </w:r>
          </w:p>
        </w:tc>
        <w:tc>
          <w:tcPr>
            <w:tcW w:w="1529" w:type="dxa"/>
            <w:gridSpan w:val="2"/>
            <w:vAlign w:val="top"/>
          </w:tcPr>
          <w:p w14:paraId="30F3B232">
            <w:pPr>
              <w:pStyle w:val="6"/>
              <w:spacing w:before="60" w:line="182" w:lineRule="auto"/>
              <w:ind w:left="656"/>
              <w:rPr>
                <w:sz w:val="20"/>
                <w:szCs w:val="20"/>
              </w:rPr>
            </w:pPr>
            <w:r>
              <w:rPr>
                <w:spacing w:val="-2"/>
                <w:sz w:val="20"/>
                <w:szCs w:val="20"/>
              </w:rPr>
              <w:t>49</w:t>
            </w:r>
          </w:p>
        </w:tc>
        <w:tc>
          <w:tcPr>
            <w:tcW w:w="1418" w:type="dxa"/>
            <w:gridSpan w:val="2"/>
            <w:vAlign w:val="top"/>
          </w:tcPr>
          <w:p w14:paraId="3535C2E1">
            <w:pPr>
              <w:pStyle w:val="6"/>
              <w:spacing w:before="60" w:line="182" w:lineRule="auto"/>
              <w:ind w:left="606"/>
              <w:rPr>
                <w:sz w:val="20"/>
                <w:szCs w:val="20"/>
              </w:rPr>
            </w:pPr>
            <w:r>
              <w:rPr>
                <w:spacing w:val="-3"/>
                <w:sz w:val="20"/>
                <w:szCs w:val="20"/>
              </w:rPr>
              <w:t>55</w:t>
            </w:r>
          </w:p>
        </w:tc>
        <w:tc>
          <w:tcPr>
            <w:tcW w:w="1019" w:type="dxa"/>
            <w:gridSpan w:val="2"/>
            <w:vAlign w:val="top"/>
          </w:tcPr>
          <w:p w14:paraId="41C04992">
            <w:pPr>
              <w:pStyle w:val="6"/>
              <w:spacing w:before="41" w:line="200" w:lineRule="auto"/>
              <w:ind w:left="429"/>
              <w:rPr>
                <w:sz w:val="20"/>
                <w:szCs w:val="20"/>
              </w:rPr>
            </w:pPr>
            <w:r>
              <w:rPr>
                <w:spacing w:val="-2"/>
                <w:sz w:val="20"/>
                <w:szCs w:val="20"/>
              </w:rPr>
              <w:t>达标</w:t>
            </w:r>
          </w:p>
        </w:tc>
        <w:tc>
          <w:tcPr>
            <w:tcW w:w="285" w:type="dxa"/>
            <w:vMerge w:val="continue"/>
            <w:tcBorders>
              <w:top w:val="nil"/>
              <w:bottom w:val="nil"/>
            </w:tcBorders>
            <w:vAlign w:val="top"/>
          </w:tcPr>
          <w:p w14:paraId="15A636A2">
            <w:pPr>
              <w:rPr>
                <w:rFonts w:ascii="Arial"/>
                <w:sz w:val="21"/>
              </w:rPr>
            </w:pPr>
          </w:p>
        </w:tc>
      </w:tr>
      <w:tr w14:paraId="14E25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664" w:type="dxa"/>
            <w:vMerge w:val="continue"/>
            <w:tcBorders>
              <w:top w:val="nil"/>
              <w:bottom w:val="nil"/>
            </w:tcBorders>
            <w:vAlign w:val="top"/>
          </w:tcPr>
          <w:p w14:paraId="09615896">
            <w:pPr>
              <w:rPr>
                <w:rFonts w:ascii="Arial"/>
                <w:sz w:val="21"/>
              </w:rPr>
            </w:pPr>
          </w:p>
        </w:tc>
        <w:tc>
          <w:tcPr>
            <w:tcW w:w="110" w:type="dxa"/>
            <w:tcBorders>
              <w:top w:val="nil"/>
              <w:bottom w:val="nil"/>
            </w:tcBorders>
            <w:vAlign w:val="top"/>
          </w:tcPr>
          <w:p w14:paraId="47E43D4D">
            <w:pPr>
              <w:rPr>
                <w:rFonts w:ascii="Arial"/>
                <w:sz w:val="21"/>
              </w:rPr>
            </w:pPr>
          </w:p>
        </w:tc>
        <w:tc>
          <w:tcPr>
            <w:tcW w:w="629" w:type="dxa"/>
            <w:vMerge w:val="continue"/>
            <w:tcBorders>
              <w:top w:val="nil"/>
              <w:bottom w:val="nil"/>
            </w:tcBorders>
            <w:vAlign w:val="top"/>
          </w:tcPr>
          <w:p w14:paraId="09699BCF">
            <w:pPr>
              <w:rPr>
                <w:rFonts w:ascii="Arial"/>
                <w:sz w:val="21"/>
              </w:rPr>
            </w:pPr>
          </w:p>
        </w:tc>
        <w:tc>
          <w:tcPr>
            <w:tcW w:w="1158" w:type="dxa"/>
            <w:gridSpan w:val="2"/>
            <w:vMerge w:val="continue"/>
            <w:tcBorders>
              <w:top w:val="nil"/>
            </w:tcBorders>
            <w:vAlign w:val="top"/>
          </w:tcPr>
          <w:p w14:paraId="4A812A24">
            <w:pPr>
              <w:rPr>
                <w:rFonts w:ascii="Arial"/>
                <w:sz w:val="21"/>
              </w:rPr>
            </w:pPr>
          </w:p>
        </w:tc>
        <w:tc>
          <w:tcPr>
            <w:tcW w:w="859" w:type="dxa"/>
            <w:gridSpan w:val="2"/>
            <w:vAlign w:val="top"/>
          </w:tcPr>
          <w:p w14:paraId="48AEB8E6">
            <w:pPr>
              <w:pStyle w:val="6"/>
              <w:spacing w:before="43" w:line="202" w:lineRule="auto"/>
              <w:ind w:left="224"/>
              <w:rPr>
                <w:sz w:val="20"/>
                <w:szCs w:val="20"/>
              </w:rPr>
            </w:pPr>
            <w:r>
              <w:rPr>
                <w:spacing w:val="9"/>
                <w:sz w:val="20"/>
                <w:szCs w:val="20"/>
              </w:rPr>
              <w:t>夜间</w:t>
            </w:r>
          </w:p>
        </w:tc>
        <w:tc>
          <w:tcPr>
            <w:tcW w:w="1749" w:type="dxa"/>
            <w:gridSpan w:val="3"/>
            <w:vAlign w:val="top"/>
          </w:tcPr>
          <w:p w14:paraId="5E5442B9">
            <w:pPr>
              <w:pStyle w:val="6"/>
              <w:spacing w:before="63" w:line="183" w:lineRule="auto"/>
              <w:ind w:left="375"/>
              <w:rPr>
                <w:sz w:val="20"/>
                <w:szCs w:val="20"/>
              </w:rPr>
            </w:pPr>
            <w:r>
              <w:rPr>
                <w:spacing w:val="-1"/>
                <w:sz w:val="20"/>
                <w:szCs w:val="20"/>
              </w:rPr>
              <w:t>22:47-22:57</w:t>
            </w:r>
          </w:p>
        </w:tc>
        <w:tc>
          <w:tcPr>
            <w:tcW w:w="1529" w:type="dxa"/>
            <w:gridSpan w:val="2"/>
            <w:vAlign w:val="top"/>
          </w:tcPr>
          <w:p w14:paraId="02E21C57">
            <w:pPr>
              <w:pStyle w:val="6"/>
              <w:spacing w:before="63" w:line="183" w:lineRule="auto"/>
              <w:ind w:left="656"/>
              <w:rPr>
                <w:sz w:val="20"/>
                <w:szCs w:val="20"/>
              </w:rPr>
            </w:pPr>
            <w:r>
              <w:rPr>
                <w:spacing w:val="-2"/>
                <w:sz w:val="20"/>
                <w:szCs w:val="20"/>
              </w:rPr>
              <w:t>43</w:t>
            </w:r>
          </w:p>
        </w:tc>
        <w:tc>
          <w:tcPr>
            <w:tcW w:w="1418" w:type="dxa"/>
            <w:gridSpan w:val="2"/>
            <w:vAlign w:val="top"/>
          </w:tcPr>
          <w:p w14:paraId="32244979">
            <w:pPr>
              <w:pStyle w:val="6"/>
              <w:spacing w:before="63" w:line="183" w:lineRule="auto"/>
              <w:ind w:left="607"/>
              <w:rPr>
                <w:sz w:val="20"/>
                <w:szCs w:val="20"/>
              </w:rPr>
            </w:pPr>
            <w:r>
              <w:rPr>
                <w:spacing w:val="-2"/>
                <w:sz w:val="20"/>
                <w:szCs w:val="20"/>
              </w:rPr>
              <w:t>45</w:t>
            </w:r>
          </w:p>
        </w:tc>
        <w:tc>
          <w:tcPr>
            <w:tcW w:w="1019" w:type="dxa"/>
            <w:gridSpan w:val="2"/>
            <w:vAlign w:val="top"/>
          </w:tcPr>
          <w:p w14:paraId="34CC2383">
            <w:pPr>
              <w:pStyle w:val="6"/>
              <w:spacing w:before="44" w:line="201" w:lineRule="auto"/>
              <w:ind w:left="429"/>
              <w:rPr>
                <w:sz w:val="20"/>
                <w:szCs w:val="20"/>
              </w:rPr>
            </w:pPr>
            <w:r>
              <w:rPr>
                <w:spacing w:val="-2"/>
                <w:sz w:val="20"/>
                <w:szCs w:val="20"/>
              </w:rPr>
              <w:t>达标</w:t>
            </w:r>
          </w:p>
        </w:tc>
        <w:tc>
          <w:tcPr>
            <w:tcW w:w="285" w:type="dxa"/>
            <w:vMerge w:val="continue"/>
            <w:tcBorders>
              <w:top w:val="nil"/>
              <w:bottom w:val="nil"/>
            </w:tcBorders>
            <w:vAlign w:val="top"/>
          </w:tcPr>
          <w:p w14:paraId="7AB8087E">
            <w:pPr>
              <w:rPr>
                <w:rFonts w:ascii="Arial"/>
                <w:sz w:val="21"/>
              </w:rPr>
            </w:pPr>
          </w:p>
        </w:tc>
      </w:tr>
      <w:tr w14:paraId="43DCE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64" w:type="dxa"/>
            <w:vMerge w:val="continue"/>
            <w:tcBorders>
              <w:top w:val="nil"/>
              <w:bottom w:val="nil"/>
            </w:tcBorders>
            <w:vAlign w:val="top"/>
          </w:tcPr>
          <w:p w14:paraId="20421C04">
            <w:pPr>
              <w:rPr>
                <w:rFonts w:ascii="Arial"/>
                <w:sz w:val="21"/>
              </w:rPr>
            </w:pPr>
          </w:p>
        </w:tc>
        <w:tc>
          <w:tcPr>
            <w:tcW w:w="110" w:type="dxa"/>
            <w:tcBorders>
              <w:top w:val="nil"/>
              <w:bottom w:val="nil"/>
            </w:tcBorders>
            <w:vAlign w:val="top"/>
          </w:tcPr>
          <w:p w14:paraId="4847C2C1">
            <w:pPr>
              <w:rPr>
                <w:rFonts w:ascii="Arial"/>
                <w:sz w:val="21"/>
              </w:rPr>
            </w:pPr>
          </w:p>
        </w:tc>
        <w:tc>
          <w:tcPr>
            <w:tcW w:w="629" w:type="dxa"/>
            <w:vMerge w:val="continue"/>
            <w:tcBorders>
              <w:top w:val="nil"/>
              <w:bottom w:val="nil"/>
            </w:tcBorders>
            <w:vAlign w:val="top"/>
          </w:tcPr>
          <w:p w14:paraId="348453D6">
            <w:pPr>
              <w:rPr>
                <w:rFonts w:ascii="Arial"/>
                <w:sz w:val="21"/>
              </w:rPr>
            </w:pPr>
          </w:p>
        </w:tc>
        <w:tc>
          <w:tcPr>
            <w:tcW w:w="1158" w:type="dxa"/>
            <w:gridSpan w:val="2"/>
            <w:vMerge w:val="restart"/>
            <w:tcBorders>
              <w:bottom w:val="nil"/>
            </w:tcBorders>
            <w:vAlign w:val="top"/>
          </w:tcPr>
          <w:p w14:paraId="2927C6F6">
            <w:pPr>
              <w:pStyle w:val="6"/>
              <w:spacing w:before="201" w:line="239" w:lineRule="auto"/>
              <w:ind w:right="5"/>
              <w:jc w:val="right"/>
              <w:rPr>
                <w:sz w:val="20"/>
                <w:szCs w:val="20"/>
              </w:rPr>
            </w:pPr>
            <w:r>
              <w:rPr>
                <w:spacing w:val="-1"/>
                <w:sz w:val="20"/>
                <w:szCs w:val="20"/>
              </w:rPr>
              <w:t>2024.09.08</w:t>
            </w:r>
          </w:p>
        </w:tc>
        <w:tc>
          <w:tcPr>
            <w:tcW w:w="859" w:type="dxa"/>
            <w:gridSpan w:val="2"/>
            <w:vAlign w:val="top"/>
          </w:tcPr>
          <w:p w14:paraId="1247A12D">
            <w:pPr>
              <w:pStyle w:val="6"/>
              <w:spacing w:before="43" w:line="193" w:lineRule="auto"/>
              <w:ind w:left="224"/>
              <w:rPr>
                <w:sz w:val="20"/>
                <w:szCs w:val="20"/>
              </w:rPr>
            </w:pPr>
            <w:r>
              <w:rPr>
                <w:spacing w:val="9"/>
                <w:sz w:val="20"/>
                <w:szCs w:val="20"/>
              </w:rPr>
              <w:t>昼间</w:t>
            </w:r>
          </w:p>
        </w:tc>
        <w:tc>
          <w:tcPr>
            <w:tcW w:w="1749" w:type="dxa"/>
            <w:gridSpan w:val="3"/>
            <w:vAlign w:val="top"/>
          </w:tcPr>
          <w:p w14:paraId="2B9CDAF8">
            <w:pPr>
              <w:pStyle w:val="6"/>
              <w:spacing w:before="61" w:line="177" w:lineRule="auto"/>
              <w:ind w:left="375"/>
              <w:rPr>
                <w:sz w:val="20"/>
                <w:szCs w:val="20"/>
              </w:rPr>
            </w:pPr>
            <w:r>
              <w:rPr>
                <w:spacing w:val="-3"/>
                <w:sz w:val="20"/>
                <w:szCs w:val="20"/>
              </w:rPr>
              <w:t>10:06-10:16</w:t>
            </w:r>
          </w:p>
        </w:tc>
        <w:tc>
          <w:tcPr>
            <w:tcW w:w="1529" w:type="dxa"/>
            <w:gridSpan w:val="2"/>
            <w:vAlign w:val="top"/>
          </w:tcPr>
          <w:p w14:paraId="36F45F95">
            <w:pPr>
              <w:pStyle w:val="6"/>
              <w:spacing w:before="61" w:line="177" w:lineRule="auto"/>
              <w:ind w:left="656"/>
              <w:rPr>
                <w:sz w:val="20"/>
                <w:szCs w:val="20"/>
              </w:rPr>
            </w:pPr>
            <w:r>
              <w:rPr>
                <w:spacing w:val="-3"/>
                <w:sz w:val="20"/>
                <w:szCs w:val="20"/>
              </w:rPr>
              <w:t>50</w:t>
            </w:r>
          </w:p>
        </w:tc>
        <w:tc>
          <w:tcPr>
            <w:tcW w:w="1418" w:type="dxa"/>
            <w:gridSpan w:val="2"/>
            <w:vAlign w:val="top"/>
          </w:tcPr>
          <w:p w14:paraId="33100479">
            <w:pPr>
              <w:pStyle w:val="6"/>
              <w:spacing w:before="61" w:line="177" w:lineRule="auto"/>
              <w:ind w:left="606"/>
              <w:rPr>
                <w:sz w:val="20"/>
                <w:szCs w:val="20"/>
              </w:rPr>
            </w:pPr>
            <w:r>
              <w:rPr>
                <w:spacing w:val="-3"/>
                <w:sz w:val="20"/>
                <w:szCs w:val="20"/>
              </w:rPr>
              <w:t>55</w:t>
            </w:r>
          </w:p>
        </w:tc>
        <w:tc>
          <w:tcPr>
            <w:tcW w:w="1019" w:type="dxa"/>
            <w:gridSpan w:val="2"/>
            <w:vAlign w:val="top"/>
          </w:tcPr>
          <w:p w14:paraId="086B4654">
            <w:pPr>
              <w:pStyle w:val="6"/>
              <w:spacing w:before="41" w:line="195" w:lineRule="auto"/>
              <w:ind w:left="429"/>
              <w:rPr>
                <w:sz w:val="20"/>
                <w:szCs w:val="20"/>
              </w:rPr>
            </w:pPr>
            <w:r>
              <w:rPr>
                <w:spacing w:val="-2"/>
                <w:sz w:val="20"/>
                <w:szCs w:val="20"/>
              </w:rPr>
              <w:t>达标</w:t>
            </w:r>
          </w:p>
        </w:tc>
        <w:tc>
          <w:tcPr>
            <w:tcW w:w="285" w:type="dxa"/>
            <w:vMerge w:val="continue"/>
            <w:tcBorders>
              <w:top w:val="nil"/>
              <w:bottom w:val="nil"/>
            </w:tcBorders>
            <w:vAlign w:val="top"/>
          </w:tcPr>
          <w:p w14:paraId="5FA80477">
            <w:pPr>
              <w:rPr>
                <w:rFonts w:ascii="Arial"/>
                <w:sz w:val="21"/>
              </w:rPr>
            </w:pPr>
          </w:p>
        </w:tc>
      </w:tr>
      <w:tr w14:paraId="2A2BE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64" w:type="dxa"/>
            <w:vMerge w:val="continue"/>
            <w:tcBorders>
              <w:top w:val="nil"/>
              <w:bottom w:val="nil"/>
            </w:tcBorders>
            <w:vAlign w:val="top"/>
          </w:tcPr>
          <w:p w14:paraId="24F6F176">
            <w:pPr>
              <w:rPr>
                <w:rFonts w:ascii="Arial"/>
                <w:sz w:val="21"/>
              </w:rPr>
            </w:pPr>
          </w:p>
        </w:tc>
        <w:tc>
          <w:tcPr>
            <w:tcW w:w="110" w:type="dxa"/>
            <w:tcBorders>
              <w:top w:val="nil"/>
              <w:bottom w:val="nil"/>
            </w:tcBorders>
            <w:vAlign w:val="top"/>
          </w:tcPr>
          <w:p w14:paraId="1A8C97E2">
            <w:pPr>
              <w:rPr>
                <w:rFonts w:ascii="Arial"/>
                <w:sz w:val="21"/>
              </w:rPr>
            </w:pPr>
          </w:p>
        </w:tc>
        <w:tc>
          <w:tcPr>
            <w:tcW w:w="629" w:type="dxa"/>
            <w:vMerge w:val="continue"/>
            <w:tcBorders>
              <w:top w:val="nil"/>
            </w:tcBorders>
            <w:vAlign w:val="top"/>
          </w:tcPr>
          <w:p w14:paraId="6AA096AC">
            <w:pPr>
              <w:rPr>
                <w:rFonts w:ascii="Arial"/>
                <w:sz w:val="21"/>
              </w:rPr>
            </w:pPr>
          </w:p>
        </w:tc>
        <w:tc>
          <w:tcPr>
            <w:tcW w:w="1158" w:type="dxa"/>
            <w:gridSpan w:val="2"/>
            <w:vMerge w:val="continue"/>
            <w:tcBorders>
              <w:top w:val="nil"/>
            </w:tcBorders>
            <w:vAlign w:val="top"/>
          </w:tcPr>
          <w:p w14:paraId="2161C697">
            <w:pPr>
              <w:rPr>
                <w:rFonts w:ascii="Arial"/>
                <w:sz w:val="21"/>
              </w:rPr>
            </w:pPr>
          </w:p>
        </w:tc>
        <w:tc>
          <w:tcPr>
            <w:tcW w:w="859" w:type="dxa"/>
            <w:gridSpan w:val="2"/>
            <w:vAlign w:val="top"/>
          </w:tcPr>
          <w:p w14:paraId="69BF846C">
            <w:pPr>
              <w:pStyle w:val="6"/>
              <w:spacing w:before="48" w:line="211" w:lineRule="auto"/>
              <w:ind w:left="274"/>
              <w:rPr>
                <w:sz w:val="20"/>
                <w:szCs w:val="20"/>
              </w:rPr>
            </w:pPr>
            <w:r>
              <w:rPr>
                <w:spacing w:val="9"/>
                <w:sz w:val="20"/>
                <w:szCs w:val="20"/>
              </w:rPr>
              <w:t>夜间</w:t>
            </w:r>
          </w:p>
        </w:tc>
        <w:tc>
          <w:tcPr>
            <w:tcW w:w="1749" w:type="dxa"/>
            <w:gridSpan w:val="3"/>
            <w:vAlign w:val="top"/>
          </w:tcPr>
          <w:p w14:paraId="4188A1DC">
            <w:pPr>
              <w:pStyle w:val="6"/>
              <w:spacing w:before="67" w:line="193" w:lineRule="auto"/>
              <w:ind w:left="375"/>
              <w:rPr>
                <w:sz w:val="20"/>
                <w:szCs w:val="20"/>
              </w:rPr>
            </w:pPr>
            <w:r>
              <w:rPr>
                <w:spacing w:val="-1"/>
                <w:sz w:val="20"/>
                <w:szCs w:val="20"/>
              </w:rPr>
              <w:t>22:46-22:56</w:t>
            </w:r>
          </w:p>
        </w:tc>
        <w:tc>
          <w:tcPr>
            <w:tcW w:w="1529" w:type="dxa"/>
            <w:gridSpan w:val="2"/>
            <w:vAlign w:val="top"/>
          </w:tcPr>
          <w:p w14:paraId="7C037787">
            <w:pPr>
              <w:pStyle w:val="6"/>
              <w:spacing w:before="67" w:line="193" w:lineRule="auto"/>
              <w:ind w:left="656"/>
              <w:rPr>
                <w:sz w:val="20"/>
                <w:szCs w:val="20"/>
              </w:rPr>
            </w:pPr>
            <w:r>
              <w:rPr>
                <w:spacing w:val="-2"/>
                <w:sz w:val="20"/>
                <w:szCs w:val="20"/>
              </w:rPr>
              <w:t>41</w:t>
            </w:r>
          </w:p>
        </w:tc>
        <w:tc>
          <w:tcPr>
            <w:tcW w:w="1418" w:type="dxa"/>
            <w:gridSpan w:val="2"/>
            <w:vAlign w:val="top"/>
          </w:tcPr>
          <w:p w14:paraId="693EB81C">
            <w:pPr>
              <w:pStyle w:val="6"/>
              <w:spacing w:before="67" w:line="193" w:lineRule="auto"/>
              <w:ind w:left="607"/>
              <w:rPr>
                <w:sz w:val="20"/>
                <w:szCs w:val="20"/>
              </w:rPr>
            </w:pPr>
            <w:r>
              <w:rPr>
                <w:spacing w:val="-2"/>
                <w:sz w:val="20"/>
                <w:szCs w:val="20"/>
              </w:rPr>
              <w:t>45</w:t>
            </w:r>
          </w:p>
        </w:tc>
        <w:tc>
          <w:tcPr>
            <w:tcW w:w="1019" w:type="dxa"/>
            <w:gridSpan w:val="2"/>
            <w:vAlign w:val="top"/>
          </w:tcPr>
          <w:p w14:paraId="0BAF683D">
            <w:pPr>
              <w:pStyle w:val="6"/>
              <w:spacing w:before="48" w:line="211" w:lineRule="auto"/>
              <w:ind w:left="429"/>
              <w:rPr>
                <w:sz w:val="20"/>
                <w:szCs w:val="20"/>
              </w:rPr>
            </w:pPr>
            <w:r>
              <w:rPr>
                <w:spacing w:val="-2"/>
                <w:sz w:val="20"/>
                <w:szCs w:val="20"/>
              </w:rPr>
              <w:t>达标</w:t>
            </w:r>
          </w:p>
        </w:tc>
        <w:tc>
          <w:tcPr>
            <w:tcW w:w="285" w:type="dxa"/>
            <w:vMerge w:val="continue"/>
            <w:tcBorders>
              <w:top w:val="nil"/>
              <w:bottom w:val="nil"/>
            </w:tcBorders>
            <w:vAlign w:val="top"/>
          </w:tcPr>
          <w:p w14:paraId="330D3B4F">
            <w:pPr>
              <w:rPr>
                <w:rFonts w:ascii="Arial"/>
                <w:sz w:val="21"/>
              </w:rPr>
            </w:pPr>
          </w:p>
        </w:tc>
      </w:tr>
      <w:tr w14:paraId="48585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664" w:type="dxa"/>
            <w:vMerge w:val="continue"/>
            <w:tcBorders>
              <w:top w:val="nil"/>
              <w:bottom w:val="nil"/>
            </w:tcBorders>
            <w:vAlign w:val="top"/>
          </w:tcPr>
          <w:p w14:paraId="240E3D95">
            <w:pPr>
              <w:rPr>
                <w:rFonts w:ascii="Arial"/>
                <w:sz w:val="21"/>
              </w:rPr>
            </w:pPr>
          </w:p>
        </w:tc>
        <w:tc>
          <w:tcPr>
            <w:tcW w:w="110" w:type="dxa"/>
            <w:tcBorders>
              <w:top w:val="nil"/>
              <w:bottom w:val="nil"/>
            </w:tcBorders>
            <w:vAlign w:val="top"/>
          </w:tcPr>
          <w:p w14:paraId="31185D9D">
            <w:pPr>
              <w:rPr>
                <w:rFonts w:ascii="Arial"/>
                <w:sz w:val="21"/>
              </w:rPr>
            </w:pPr>
          </w:p>
        </w:tc>
        <w:tc>
          <w:tcPr>
            <w:tcW w:w="629" w:type="dxa"/>
            <w:vMerge w:val="restart"/>
            <w:tcBorders>
              <w:bottom w:val="nil"/>
            </w:tcBorders>
            <w:vAlign w:val="top"/>
          </w:tcPr>
          <w:p w14:paraId="65DD133C">
            <w:pPr>
              <w:spacing w:line="294" w:lineRule="auto"/>
              <w:rPr>
                <w:rFonts w:ascii="Arial"/>
                <w:sz w:val="21"/>
              </w:rPr>
            </w:pPr>
          </w:p>
          <w:p w14:paraId="210EAB7A">
            <w:pPr>
              <w:pStyle w:val="6"/>
              <w:spacing w:before="65" w:line="223" w:lineRule="auto"/>
              <w:ind w:left="191" w:right="9"/>
              <w:rPr>
                <w:sz w:val="20"/>
                <w:szCs w:val="20"/>
              </w:rPr>
            </w:pPr>
            <w:r>
              <w:rPr>
                <w:spacing w:val="-3"/>
                <w:sz w:val="20"/>
                <w:szCs w:val="20"/>
              </w:rPr>
              <w:t>4#栗</w:t>
            </w:r>
            <w:r>
              <w:rPr>
                <w:spacing w:val="1"/>
                <w:sz w:val="20"/>
                <w:szCs w:val="20"/>
              </w:rPr>
              <w:t xml:space="preserve"> </w:t>
            </w:r>
            <w:r>
              <w:rPr>
                <w:spacing w:val="8"/>
                <w:sz w:val="20"/>
                <w:szCs w:val="20"/>
              </w:rPr>
              <w:t>树园</w:t>
            </w:r>
          </w:p>
        </w:tc>
        <w:tc>
          <w:tcPr>
            <w:tcW w:w="1158" w:type="dxa"/>
            <w:gridSpan w:val="2"/>
            <w:vMerge w:val="restart"/>
            <w:tcBorders>
              <w:bottom w:val="nil"/>
            </w:tcBorders>
            <w:vAlign w:val="top"/>
          </w:tcPr>
          <w:p w14:paraId="0DDE3417">
            <w:pPr>
              <w:pStyle w:val="6"/>
              <w:spacing w:before="200" w:line="239" w:lineRule="auto"/>
              <w:ind w:right="5"/>
              <w:jc w:val="right"/>
              <w:rPr>
                <w:sz w:val="20"/>
                <w:szCs w:val="20"/>
              </w:rPr>
            </w:pPr>
            <w:r>
              <w:rPr>
                <w:spacing w:val="-1"/>
                <w:sz w:val="20"/>
                <w:szCs w:val="20"/>
              </w:rPr>
              <w:t>2024.09.07</w:t>
            </w:r>
          </w:p>
        </w:tc>
        <w:tc>
          <w:tcPr>
            <w:tcW w:w="859" w:type="dxa"/>
            <w:gridSpan w:val="2"/>
            <w:vAlign w:val="top"/>
          </w:tcPr>
          <w:p w14:paraId="07A8E618">
            <w:pPr>
              <w:pStyle w:val="6"/>
              <w:spacing w:before="34" w:line="195" w:lineRule="auto"/>
              <w:ind w:left="224"/>
              <w:rPr>
                <w:sz w:val="20"/>
                <w:szCs w:val="20"/>
              </w:rPr>
            </w:pPr>
            <w:r>
              <w:rPr>
                <w:spacing w:val="9"/>
                <w:sz w:val="20"/>
                <w:szCs w:val="20"/>
              </w:rPr>
              <w:t>昼间</w:t>
            </w:r>
          </w:p>
        </w:tc>
        <w:tc>
          <w:tcPr>
            <w:tcW w:w="1749" w:type="dxa"/>
            <w:gridSpan w:val="3"/>
            <w:vAlign w:val="top"/>
          </w:tcPr>
          <w:p w14:paraId="3BE3F3D2">
            <w:pPr>
              <w:pStyle w:val="6"/>
              <w:spacing w:before="50" w:line="180" w:lineRule="auto"/>
              <w:ind w:left="375"/>
              <w:rPr>
                <w:sz w:val="20"/>
                <w:szCs w:val="20"/>
              </w:rPr>
            </w:pPr>
            <w:r>
              <w:rPr>
                <w:spacing w:val="-1"/>
                <w:sz w:val="20"/>
                <w:szCs w:val="20"/>
              </w:rPr>
              <w:t>09:43-09:53</w:t>
            </w:r>
          </w:p>
        </w:tc>
        <w:tc>
          <w:tcPr>
            <w:tcW w:w="1529" w:type="dxa"/>
            <w:gridSpan w:val="2"/>
            <w:vAlign w:val="top"/>
          </w:tcPr>
          <w:p w14:paraId="67D8688C">
            <w:pPr>
              <w:pStyle w:val="6"/>
              <w:spacing w:before="50" w:line="180" w:lineRule="auto"/>
              <w:ind w:left="656"/>
              <w:rPr>
                <w:sz w:val="20"/>
                <w:szCs w:val="20"/>
              </w:rPr>
            </w:pPr>
            <w:r>
              <w:rPr>
                <w:spacing w:val="-3"/>
                <w:sz w:val="20"/>
                <w:szCs w:val="20"/>
              </w:rPr>
              <w:t>65</w:t>
            </w:r>
          </w:p>
        </w:tc>
        <w:tc>
          <w:tcPr>
            <w:tcW w:w="1418" w:type="dxa"/>
            <w:gridSpan w:val="2"/>
            <w:vAlign w:val="top"/>
          </w:tcPr>
          <w:p w14:paraId="07EBC303">
            <w:pPr>
              <w:pStyle w:val="6"/>
              <w:spacing w:before="50" w:line="180" w:lineRule="auto"/>
              <w:ind w:left="606"/>
              <w:rPr>
                <w:sz w:val="20"/>
                <w:szCs w:val="20"/>
              </w:rPr>
            </w:pPr>
            <w:r>
              <w:rPr>
                <w:spacing w:val="-4"/>
                <w:sz w:val="20"/>
                <w:szCs w:val="20"/>
              </w:rPr>
              <w:t>70</w:t>
            </w:r>
          </w:p>
        </w:tc>
        <w:tc>
          <w:tcPr>
            <w:tcW w:w="1019" w:type="dxa"/>
            <w:gridSpan w:val="2"/>
            <w:vAlign w:val="top"/>
          </w:tcPr>
          <w:p w14:paraId="53306732">
            <w:pPr>
              <w:pStyle w:val="6"/>
              <w:spacing w:before="31" w:line="198" w:lineRule="auto"/>
              <w:ind w:left="429"/>
              <w:rPr>
                <w:sz w:val="20"/>
                <w:szCs w:val="20"/>
              </w:rPr>
            </w:pPr>
            <w:r>
              <w:rPr>
                <w:spacing w:val="-2"/>
                <w:sz w:val="20"/>
                <w:szCs w:val="20"/>
              </w:rPr>
              <w:t>达标</w:t>
            </w:r>
          </w:p>
        </w:tc>
        <w:tc>
          <w:tcPr>
            <w:tcW w:w="285" w:type="dxa"/>
            <w:vMerge w:val="continue"/>
            <w:tcBorders>
              <w:top w:val="nil"/>
              <w:bottom w:val="nil"/>
            </w:tcBorders>
            <w:vAlign w:val="top"/>
          </w:tcPr>
          <w:p w14:paraId="623CEA20">
            <w:pPr>
              <w:rPr>
                <w:rFonts w:ascii="Arial"/>
                <w:sz w:val="21"/>
              </w:rPr>
            </w:pPr>
          </w:p>
        </w:tc>
      </w:tr>
      <w:tr w14:paraId="2D83CF02">
        <w:tblPrEx>
          <w:tblCellMar>
            <w:top w:w="0" w:type="dxa"/>
            <w:left w:w="0" w:type="dxa"/>
            <w:bottom w:w="0" w:type="dxa"/>
            <w:right w:w="0" w:type="dxa"/>
          </w:tblCellMar>
        </w:tblPrEx>
        <w:trPr>
          <w:trHeight w:val="290" w:hRule="atLeast"/>
        </w:trPr>
        <w:tc>
          <w:tcPr>
            <w:tcW w:w="664" w:type="dxa"/>
            <w:vMerge w:val="continue"/>
            <w:tcBorders>
              <w:top w:val="nil"/>
              <w:bottom w:val="nil"/>
            </w:tcBorders>
            <w:vAlign w:val="top"/>
          </w:tcPr>
          <w:p w14:paraId="3B67CD85">
            <w:pPr>
              <w:rPr>
                <w:rFonts w:ascii="Arial"/>
                <w:sz w:val="21"/>
              </w:rPr>
            </w:pPr>
          </w:p>
        </w:tc>
        <w:tc>
          <w:tcPr>
            <w:tcW w:w="110" w:type="dxa"/>
            <w:tcBorders>
              <w:top w:val="nil"/>
              <w:bottom w:val="nil"/>
            </w:tcBorders>
            <w:vAlign w:val="top"/>
          </w:tcPr>
          <w:p w14:paraId="2987652D">
            <w:pPr>
              <w:rPr>
                <w:rFonts w:ascii="Arial"/>
                <w:sz w:val="21"/>
              </w:rPr>
            </w:pPr>
          </w:p>
        </w:tc>
        <w:tc>
          <w:tcPr>
            <w:tcW w:w="629" w:type="dxa"/>
            <w:vMerge w:val="continue"/>
            <w:tcBorders>
              <w:top w:val="nil"/>
              <w:bottom w:val="nil"/>
            </w:tcBorders>
            <w:vAlign w:val="top"/>
          </w:tcPr>
          <w:p w14:paraId="50256CE3">
            <w:pPr>
              <w:rPr>
                <w:rFonts w:ascii="Arial"/>
                <w:sz w:val="21"/>
              </w:rPr>
            </w:pPr>
          </w:p>
        </w:tc>
        <w:tc>
          <w:tcPr>
            <w:tcW w:w="1158" w:type="dxa"/>
            <w:gridSpan w:val="2"/>
            <w:vMerge w:val="continue"/>
            <w:tcBorders>
              <w:top w:val="nil"/>
            </w:tcBorders>
            <w:vAlign w:val="top"/>
          </w:tcPr>
          <w:p w14:paraId="14C9436F">
            <w:pPr>
              <w:rPr>
                <w:rFonts w:ascii="Arial"/>
                <w:sz w:val="21"/>
              </w:rPr>
            </w:pPr>
          </w:p>
        </w:tc>
        <w:tc>
          <w:tcPr>
            <w:tcW w:w="859" w:type="dxa"/>
            <w:gridSpan w:val="2"/>
            <w:vAlign w:val="top"/>
          </w:tcPr>
          <w:p w14:paraId="6BD74E8E">
            <w:pPr>
              <w:pStyle w:val="6"/>
              <w:spacing w:before="54" w:line="208" w:lineRule="auto"/>
              <w:ind w:left="224"/>
              <w:rPr>
                <w:sz w:val="20"/>
                <w:szCs w:val="20"/>
              </w:rPr>
            </w:pPr>
            <w:r>
              <w:rPr>
                <w:spacing w:val="9"/>
                <w:sz w:val="20"/>
                <w:szCs w:val="20"/>
              </w:rPr>
              <w:t>夜间</w:t>
            </w:r>
          </w:p>
        </w:tc>
        <w:tc>
          <w:tcPr>
            <w:tcW w:w="1749" w:type="dxa"/>
            <w:gridSpan w:val="3"/>
            <w:vAlign w:val="top"/>
          </w:tcPr>
          <w:p w14:paraId="03402DA1">
            <w:pPr>
              <w:pStyle w:val="6"/>
              <w:spacing w:before="75" w:line="189" w:lineRule="auto"/>
              <w:ind w:left="375"/>
              <w:rPr>
                <w:sz w:val="20"/>
                <w:szCs w:val="20"/>
              </w:rPr>
            </w:pPr>
            <w:r>
              <w:rPr>
                <w:spacing w:val="-1"/>
                <w:sz w:val="20"/>
                <w:szCs w:val="20"/>
              </w:rPr>
              <w:t>23:09-23:19</w:t>
            </w:r>
          </w:p>
        </w:tc>
        <w:tc>
          <w:tcPr>
            <w:tcW w:w="1529" w:type="dxa"/>
            <w:gridSpan w:val="2"/>
            <w:vAlign w:val="top"/>
          </w:tcPr>
          <w:p w14:paraId="73002F0F">
            <w:pPr>
              <w:pStyle w:val="6"/>
              <w:spacing w:before="75" w:line="189" w:lineRule="auto"/>
              <w:ind w:left="656"/>
              <w:rPr>
                <w:sz w:val="20"/>
                <w:szCs w:val="20"/>
              </w:rPr>
            </w:pPr>
            <w:r>
              <w:rPr>
                <w:spacing w:val="-2"/>
                <w:sz w:val="20"/>
                <w:szCs w:val="20"/>
              </w:rPr>
              <w:t>42</w:t>
            </w:r>
          </w:p>
        </w:tc>
        <w:tc>
          <w:tcPr>
            <w:tcW w:w="1418" w:type="dxa"/>
            <w:gridSpan w:val="2"/>
            <w:vAlign w:val="top"/>
          </w:tcPr>
          <w:p w14:paraId="73A5AAEA">
            <w:pPr>
              <w:pStyle w:val="6"/>
              <w:spacing w:before="75" w:line="189" w:lineRule="auto"/>
              <w:ind w:left="606"/>
              <w:rPr>
                <w:sz w:val="20"/>
                <w:szCs w:val="20"/>
              </w:rPr>
            </w:pPr>
            <w:r>
              <w:rPr>
                <w:spacing w:val="-3"/>
                <w:sz w:val="20"/>
                <w:szCs w:val="20"/>
              </w:rPr>
              <w:t>55</w:t>
            </w:r>
          </w:p>
        </w:tc>
        <w:tc>
          <w:tcPr>
            <w:tcW w:w="1019" w:type="dxa"/>
            <w:gridSpan w:val="2"/>
            <w:vAlign w:val="top"/>
          </w:tcPr>
          <w:p w14:paraId="05654F13">
            <w:pPr>
              <w:pStyle w:val="6"/>
              <w:spacing w:before="55" w:line="207" w:lineRule="auto"/>
              <w:ind w:left="429"/>
              <w:rPr>
                <w:sz w:val="20"/>
                <w:szCs w:val="20"/>
              </w:rPr>
            </w:pPr>
            <w:r>
              <w:rPr>
                <w:spacing w:val="-2"/>
                <w:sz w:val="20"/>
                <w:szCs w:val="20"/>
              </w:rPr>
              <w:t>达标</w:t>
            </w:r>
          </w:p>
        </w:tc>
        <w:tc>
          <w:tcPr>
            <w:tcW w:w="285" w:type="dxa"/>
            <w:vMerge w:val="continue"/>
            <w:tcBorders>
              <w:top w:val="nil"/>
              <w:bottom w:val="nil"/>
            </w:tcBorders>
            <w:vAlign w:val="top"/>
          </w:tcPr>
          <w:p w14:paraId="0363135F">
            <w:pPr>
              <w:rPr>
                <w:rFonts w:ascii="Arial"/>
                <w:sz w:val="21"/>
              </w:rPr>
            </w:pPr>
          </w:p>
        </w:tc>
      </w:tr>
      <w:tr w14:paraId="6259C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664" w:type="dxa"/>
            <w:vMerge w:val="continue"/>
            <w:tcBorders>
              <w:top w:val="nil"/>
              <w:bottom w:val="nil"/>
            </w:tcBorders>
            <w:vAlign w:val="top"/>
          </w:tcPr>
          <w:p w14:paraId="3A759FA6">
            <w:pPr>
              <w:rPr>
                <w:rFonts w:ascii="Arial"/>
                <w:sz w:val="21"/>
              </w:rPr>
            </w:pPr>
          </w:p>
        </w:tc>
        <w:tc>
          <w:tcPr>
            <w:tcW w:w="110" w:type="dxa"/>
            <w:tcBorders>
              <w:top w:val="nil"/>
              <w:bottom w:val="nil"/>
            </w:tcBorders>
            <w:vAlign w:val="top"/>
          </w:tcPr>
          <w:p w14:paraId="270D0EB8">
            <w:pPr>
              <w:rPr>
                <w:rFonts w:ascii="Arial"/>
                <w:sz w:val="21"/>
              </w:rPr>
            </w:pPr>
          </w:p>
        </w:tc>
        <w:tc>
          <w:tcPr>
            <w:tcW w:w="629" w:type="dxa"/>
            <w:vMerge w:val="continue"/>
            <w:tcBorders>
              <w:top w:val="nil"/>
              <w:bottom w:val="nil"/>
            </w:tcBorders>
            <w:vAlign w:val="top"/>
          </w:tcPr>
          <w:p w14:paraId="4B521216">
            <w:pPr>
              <w:rPr>
                <w:rFonts w:ascii="Arial"/>
                <w:sz w:val="21"/>
              </w:rPr>
            </w:pPr>
          </w:p>
        </w:tc>
        <w:tc>
          <w:tcPr>
            <w:tcW w:w="1158" w:type="dxa"/>
            <w:gridSpan w:val="2"/>
            <w:vMerge w:val="restart"/>
            <w:tcBorders>
              <w:bottom w:val="nil"/>
            </w:tcBorders>
            <w:vAlign w:val="top"/>
          </w:tcPr>
          <w:p w14:paraId="18216A57">
            <w:pPr>
              <w:pStyle w:val="6"/>
              <w:spacing w:before="204" w:line="239" w:lineRule="auto"/>
              <w:ind w:right="5"/>
              <w:jc w:val="right"/>
              <w:rPr>
                <w:sz w:val="20"/>
                <w:szCs w:val="20"/>
              </w:rPr>
            </w:pPr>
            <w:r>
              <w:rPr>
                <w:spacing w:val="-1"/>
                <w:sz w:val="20"/>
                <w:szCs w:val="20"/>
              </w:rPr>
              <w:t>2024.09.08</w:t>
            </w:r>
          </w:p>
        </w:tc>
        <w:tc>
          <w:tcPr>
            <w:tcW w:w="859" w:type="dxa"/>
            <w:gridSpan w:val="2"/>
            <w:vAlign w:val="top"/>
          </w:tcPr>
          <w:p w14:paraId="0629C364">
            <w:pPr>
              <w:pStyle w:val="6"/>
              <w:spacing w:before="48" w:line="196" w:lineRule="auto"/>
              <w:ind w:left="224"/>
              <w:rPr>
                <w:sz w:val="20"/>
                <w:szCs w:val="20"/>
              </w:rPr>
            </w:pPr>
            <w:r>
              <w:rPr>
                <w:spacing w:val="9"/>
                <w:sz w:val="20"/>
                <w:szCs w:val="20"/>
              </w:rPr>
              <w:t>昼间</w:t>
            </w:r>
          </w:p>
        </w:tc>
        <w:tc>
          <w:tcPr>
            <w:tcW w:w="1749" w:type="dxa"/>
            <w:gridSpan w:val="3"/>
            <w:vAlign w:val="top"/>
          </w:tcPr>
          <w:p w14:paraId="49D742DE">
            <w:pPr>
              <w:pStyle w:val="6"/>
              <w:spacing w:before="64" w:line="181" w:lineRule="auto"/>
              <w:ind w:left="375"/>
              <w:rPr>
                <w:sz w:val="20"/>
                <w:szCs w:val="20"/>
              </w:rPr>
            </w:pPr>
            <w:r>
              <w:rPr>
                <w:spacing w:val="-3"/>
                <w:sz w:val="20"/>
                <w:szCs w:val="20"/>
              </w:rPr>
              <w:t>10:32-10:42</w:t>
            </w:r>
          </w:p>
        </w:tc>
        <w:tc>
          <w:tcPr>
            <w:tcW w:w="1529" w:type="dxa"/>
            <w:gridSpan w:val="2"/>
            <w:vAlign w:val="top"/>
          </w:tcPr>
          <w:p w14:paraId="5BA0F385">
            <w:pPr>
              <w:pStyle w:val="6"/>
              <w:spacing w:before="64" w:line="181" w:lineRule="auto"/>
              <w:ind w:left="656"/>
              <w:rPr>
                <w:sz w:val="20"/>
                <w:szCs w:val="20"/>
              </w:rPr>
            </w:pPr>
            <w:r>
              <w:rPr>
                <w:spacing w:val="-3"/>
                <w:sz w:val="20"/>
                <w:szCs w:val="20"/>
              </w:rPr>
              <w:t>66</w:t>
            </w:r>
          </w:p>
        </w:tc>
        <w:tc>
          <w:tcPr>
            <w:tcW w:w="1418" w:type="dxa"/>
            <w:gridSpan w:val="2"/>
            <w:vAlign w:val="top"/>
          </w:tcPr>
          <w:p w14:paraId="19A81534">
            <w:pPr>
              <w:pStyle w:val="6"/>
              <w:spacing w:before="64" w:line="181" w:lineRule="auto"/>
              <w:ind w:left="606"/>
              <w:rPr>
                <w:sz w:val="20"/>
                <w:szCs w:val="20"/>
              </w:rPr>
            </w:pPr>
            <w:r>
              <w:rPr>
                <w:spacing w:val="-4"/>
                <w:sz w:val="20"/>
                <w:szCs w:val="20"/>
              </w:rPr>
              <w:t>70</w:t>
            </w:r>
          </w:p>
        </w:tc>
        <w:tc>
          <w:tcPr>
            <w:tcW w:w="1019" w:type="dxa"/>
            <w:gridSpan w:val="2"/>
            <w:vAlign w:val="top"/>
          </w:tcPr>
          <w:p w14:paraId="5E6A2A86">
            <w:pPr>
              <w:pStyle w:val="6"/>
              <w:spacing w:before="45" w:line="199" w:lineRule="auto"/>
              <w:ind w:left="429"/>
              <w:rPr>
                <w:sz w:val="20"/>
                <w:szCs w:val="20"/>
              </w:rPr>
            </w:pPr>
            <w:r>
              <w:rPr>
                <w:spacing w:val="-2"/>
                <w:sz w:val="20"/>
                <w:szCs w:val="20"/>
              </w:rPr>
              <w:t>达标</w:t>
            </w:r>
          </w:p>
        </w:tc>
        <w:tc>
          <w:tcPr>
            <w:tcW w:w="285" w:type="dxa"/>
            <w:vMerge w:val="continue"/>
            <w:tcBorders>
              <w:top w:val="nil"/>
              <w:bottom w:val="nil"/>
            </w:tcBorders>
            <w:vAlign w:val="top"/>
          </w:tcPr>
          <w:p w14:paraId="5381CB13">
            <w:pPr>
              <w:rPr>
                <w:rFonts w:ascii="Arial"/>
                <w:sz w:val="21"/>
              </w:rPr>
            </w:pPr>
          </w:p>
        </w:tc>
      </w:tr>
      <w:tr w14:paraId="07E7D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664" w:type="dxa"/>
            <w:vMerge w:val="continue"/>
            <w:tcBorders>
              <w:top w:val="nil"/>
              <w:bottom w:val="nil"/>
            </w:tcBorders>
            <w:vAlign w:val="top"/>
          </w:tcPr>
          <w:p w14:paraId="4B8892D2">
            <w:pPr>
              <w:rPr>
                <w:rFonts w:ascii="Arial"/>
                <w:sz w:val="21"/>
              </w:rPr>
            </w:pPr>
          </w:p>
        </w:tc>
        <w:tc>
          <w:tcPr>
            <w:tcW w:w="110" w:type="dxa"/>
            <w:tcBorders>
              <w:top w:val="nil"/>
              <w:bottom w:val="nil"/>
            </w:tcBorders>
            <w:vAlign w:val="top"/>
          </w:tcPr>
          <w:p w14:paraId="197720CF">
            <w:pPr>
              <w:rPr>
                <w:rFonts w:ascii="Arial"/>
                <w:sz w:val="21"/>
              </w:rPr>
            </w:pPr>
          </w:p>
        </w:tc>
        <w:tc>
          <w:tcPr>
            <w:tcW w:w="629" w:type="dxa"/>
            <w:vMerge w:val="continue"/>
            <w:tcBorders>
              <w:top w:val="nil"/>
            </w:tcBorders>
            <w:vAlign w:val="top"/>
          </w:tcPr>
          <w:p w14:paraId="24280B8C">
            <w:pPr>
              <w:rPr>
                <w:rFonts w:ascii="Arial"/>
                <w:sz w:val="21"/>
              </w:rPr>
            </w:pPr>
          </w:p>
        </w:tc>
        <w:tc>
          <w:tcPr>
            <w:tcW w:w="1158" w:type="dxa"/>
            <w:gridSpan w:val="2"/>
            <w:vMerge w:val="continue"/>
            <w:tcBorders>
              <w:top w:val="nil"/>
            </w:tcBorders>
            <w:vAlign w:val="top"/>
          </w:tcPr>
          <w:p w14:paraId="3CF1BAAD">
            <w:pPr>
              <w:rPr>
                <w:rFonts w:ascii="Arial"/>
                <w:sz w:val="21"/>
              </w:rPr>
            </w:pPr>
          </w:p>
        </w:tc>
        <w:tc>
          <w:tcPr>
            <w:tcW w:w="859" w:type="dxa"/>
            <w:gridSpan w:val="2"/>
            <w:vAlign w:val="top"/>
          </w:tcPr>
          <w:p w14:paraId="3B38C449">
            <w:pPr>
              <w:pStyle w:val="6"/>
              <w:spacing w:before="44" w:line="200" w:lineRule="auto"/>
              <w:ind w:left="224"/>
              <w:rPr>
                <w:sz w:val="20"/>
                <w:szCs w:val="20"/>
              </w:rPr>
            </w:pPr>
            <w:r>
              <w:rPr>
                <w:spacing w:val="9"/>
                <w:sz w:val="20"/>
                <w:szCs w:val="20"/>
              </w:rPr>
              <w:t>夜间</w:t>
            </w:r>
          </w:p>
        </w:tc>
        <w:tc>
          <w:tcPr>
            <w:tcW w:w="1749" w:type="dxa"/>
            <w:gridSpan w:val="3"/>
            <w:vAlign w:val="top"/>
          </w:tcPr>
          <w:p w14:paraId="5FF0F57E">
            <w:pPr>
              <w:pStyle w:val="6"/>
              <w:spacing w:before="63" w:line="182" w:lineRule="auto"/>
              <w:ind w:left="375"/>
              <w:rPr>
                <w:sz w:val="20"/>
                <w:szCs w:val="20"/>
              </w:rPr>
            </w:pPr>
            <w:r>
              <w:rPr>
                <w:spacing w:val="-1"/>
                <w:sz w:val="20"/>
                <w:szCs w:val="20"/>
              </w:rPr>
              <w:t>23:14-23:24</w:t>
            </w:r>
          </w:p>
        </w:tc>
        <w:tc>
          <w:tcPr>
            <w:tcW w:w="1529" w:type="dxa"/>
            <w:gridSpan w:val="2"/>
            <w:vAlign w:val="top"/>
          </w:tcPr>
          <w:p w14:paraId="213A2887">
            <w:pPr>
              <w:pStyle w:val="6"/>
              <w:spacing w:before="63" w:line="182" w:lineRule="auto"/>
              <w:ind w:left="656"/>
              <w:rPr>
                <w:sz w:val="20"/>
                <w:szCs w:val="20"/>
              </w:rPr>
            </w:pPr>
            <w:r>
              <w:rPr>
                <w:spacing w:val="-2"/>
                <w:sz w:val="20"/>
                <w:szCs w:val="20"/>
              </w:rPr>
              <w:t>42</w:t>
            </w:r>
          </w:p>
        </w:tc>
        <w:tc>
          <w:tcPr>
            <w:tcW w:w="1418" w:type="dxa"/>
            <w:gridSpan w:val="2"/>
            <w:vAlign w:val="top"/>
          </w:tcPr>
          <w:p w14:paraId="25872CA9">
            <w:pPr>
              <w:pStyle w:val="6"/>
              <w:spacing w:before="63" w:line="182" w:lineRule="auto"/>
              <w:ind w:left="606"/>
              <w:rPr>
                <w:sz w:val="20"/>
                <w:szCs w:val="20"/>
              </w:rPr>
            </w:pPr>
            <w:r>
              <w:rPr>
                <w:spacing w:val="-3"/>
                <w:sz w:val="20"/>
                <w:szCs w:val="20"/>
              </w:rPr>
              <w:t>55</w:t>
            </w:r>
          </w:p>
        </w:tc>
        <w:tc>
          <w:tcPr>
            <w:tcW w:w="1019" w:type="dxa"/>
            <w:gridSpan w:val="2"/>
            <w:vAlign w:val="top"/>
          </w:tcPr>
          <w:p w14:paraId="5E97D37E">
            <w:pPr>
              <w:pStyle w:val="6"/>
              <w:spacing w:before="44" w:line="200" w:lineRule="auto"/>
              <w:ind w:left="429"/>
              <w:rPr>
                <w:sz w:val="20"/>
                <w:szCs w:val="20"/>
              </w:rPr>
            </w:pPr>
            <w:r>
              <w:rPr>
                <w:spacing w:val="-2"/>
                <w:sz w:val="20"/>
                <w:szCs w:val="20"/>
              </w:rPr>
              <w:t>达标</w:t>
            </w:r>
          </w:p>
        </w:tc>
        <w:tc>
          <w:tcPr>
            <w:tcW w:w="285" w:type="dxa"/>
            <w:vMerge w:val="continue"/>
            <w:tcBorders>
              <w:top w:val="nil"/>
              <w:bottom w:val="nil"/>
            </w:tcBorders>
            <w:vAlign w:val="top"/>
          </w:tcPr>
          <w:p w14:paraId="2EF3C2D4">
            <w:pPr>
              <w:rPr>
                <w:rFonts w:ascii="Arial"/>
                <w:sz w:val="21"/>
              </w:rPr>
            </w:pPr>
          </w:p>
        </w:tc>
      </w:tr>
      <w:tr w14:paraId="147BB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64" w:type="dxa"/>
            <w:vMerge w:val="continue"/>
            <w:tcBorders>
              <w:top w:val="nil"/>
              <w:bottom w:val="nil"/>
            </w:tcBorders>
            <w:vAlign w:val="top"/>
          </w:tcPr>
          <w:p w14:paraId="4AB78294">
            <w:pPr>
              <w:rPr>
                <w:rFonts w:ascii="Arial"/>
                <w:sz w:val="21"/>
              </w:rPr>
            </w:pPr>
          </w:p>
        </w:tc>
        <w:tc>
          <w:tcPr>
            <w:tcW w:w="110" w:type="dxa"/>
            <w:tcBorders>
              <w:top w:val="nil"/>
              <w:bottom w:val="nil"/>
            </w:tcBorders>
            <w:vAlign w:val="top"/>
          </w:tcPr>
          <w:p w14:paraId="1DCF161A">
            <w:pPr>
              <w:rPr>
                <w:rFonts w:ascii="Arial"/>
                <w:sz w:val="21"/>
              </w:rPr>
            </w:pPr>
          </w:p>
        </w:tc>
        <w:tc>
          <w:tcPr>
            <w:tcW w:w="629" w:type="dxa"/>
            <w:vMerge w:val="restart"/>
            <w:tcBorders>
              <w:bottom w:val="nil"/>
            </w:tcBorders>
            <w:vAlign w:val="top"/>
          </w:tcPr>
          <w:p w14:paraId="53CFA9A3">
            <w:pPr>
              <w:pStyle w:val="6"/>
              <w:spacing w:before="63" w:line="220" w:lineRule="auto"/>
              <w:ind w:right="18"/>
              <w:jc w:val="right"/>
              <w:rPr>
                <w:sz w:val="20"/>
                <w:szCs w:val="20"/>
              </w:rPr>
            </w:pPr>
            <w:r>
              <w:rPr>
                <w:spacing w:val="3"/>
                <w:sz w:val="20"/>
                <w:szCs w:val="20"/>
              </w:rPr>
              <w:t>5#栗</w:t>
            </w:r>
          </w:p>
          <w:p w14:paraId="1C3F1F2D">
            <w:pPr>
              <w:pStyle w:val="6"/>
              <w:spacing w:before="31" w:line="219" w:lineRule="auto"/>
              <w:ind w:right="9"/>
              <w:jc w:val="right"/>
              <w:rPr>
                <w:sz w:val="20"/>
                <w:szCs w:val="20"/>
              </w:rPr>
            </w:pPr>
            <w:r>
              <w:rPr>
                <w:spacing w:val="8"/>
                <w:sz w:val="20"/>
                <w:szCs w:val="20"/>
              </w:rPr>
              <w:t>树园</w:t>
            </w:r>
          </w:p>
          <w:p w14:paraId="4562AF43">
            <w:pPr>
              <w:pStyle w:val="6"/>
              <w:spacing w:before="11" w:line="219" w:lineRule="auto"/>
              <w:ind w:left="191"/>
              <w:rPr>
                <w:sz w:val="20"/>
                <w:szCs w:val="20"/>
              </w:rPr>
            </w:pPr>
            <w:r>
              <w:rPr>
                <w:spacing w:val="-3"/>
                <w:sz w:val="20"/>
                <w:szCs w:val="20"/>
              </w:rPr>
              <w:t>村散</w:t>
            </w:r>
          </w:p>
          <w:p w14:paraId="4739FEE4">
            <w:pPr>
              <w:pStyle w:val="6"/>
              <w:spacing w:before="24" w:line="220" w:lineRule="auto"/>
              <w:ind w:right="15"/>
              <w:jc w:val="right"/>
              <w:rPr>
                <w:sz w:val="20"/>
                <w:szCs w:val="20"/>
              </w:rPr>
            </w:pPr>
            <w:r>
              <w:rPr>
                <w:spacing w:val="6"/>
                <w:sz w:val="20"/>
                <w:szCs w:val="20"/>
              </w:rPr>
              <w:t>户3</w:t>
            </w:r>
          </w:p>
        </w:tc>
        <w:tc>
          <w:tcPr>
            <w:tcW w:w="1158" w:type="dxa"/>
            <w:gridSpan w:val="2"/>
            <w:vMerge w:val="restart"/>
            <w:tcBorders>
              <w:bottom w:val="nil"/>
            </w:tcBorders>
            <w:vAlign w:val="top"/>
          </w:tcPr>
          <w:p w14:paraId="4EC147CD">
            <w:pPr>
              <w:pStyle w:val="6"/>
              <w:spacing w:before="192" w:line="239" w:lineRule="auto"/>
              <w:ind w:right="5"/>
              <w:jc w:val="right"/>
              <w:rPr>
                <w:sz w:val="20"/>
                <w:szCs w:val="20"/>
              </w:rPr>
            </w:pPr>
            <w:r>
              <w:rPr>
                <w:spacing w:val="-1"/>
                <w:sz w:val="20"/>
                <w:szCs w:val="20"/>
              </w:rPr>
              <w:t>2024.09.07</w:t>
            </w:r>
          </w:p>
        </w:tc>
        <w:tc>
          <w:tcPr>
            <w:tcW w:w="859" w:type="dxa"/>
            <w:gridSpan w:val="2"/>
            <w:vAlign w:val="top"/>
          </w:tcPr>
          <w:p w14:paraId="6CDFC9C3">
            <w:pPr>
              <w:pStyle w:val="6"/>
              <w:spacing w:before="46" w:line="191" w:lineRule="auto"/>
              <w:ind w:left="224"/>
              <w:rPr>
                <w:sz w:val="20"/>
                <w:szCs w:val="20"/>
              </w:rPr>
            </w:pPr>
            <w:r>
              <w:rPr>
                <w:spacing w:val="9"/>
                <w:sz w:val="20"/>
                <w:szCs w:val="20"/>
              </w:rPr>
              <w:t>昼间</w:t>
            </w:r>
          </w:p>
        </w:tc>
        <w:tc>
          <w:tcPr>
            <w:tcW w:w="1749" w:type="dxa"/>
            <w:gridSpan w:val="3"/>
            <w:vAlign w:val="top"/>
          </w:tcPr>
          <w:p w14:paraId="317552AD">
            <w:pPr>
              <w:pStyle w:val="6"/>
              <w:spacing w:before="63" w:line="175" w:lineRule="auto"/>
              <w:ind w:left="375"/>
              <w:rPr>
                <w:sz w:val="20"/>
                <w:szCs w:val="20"/>
              </w:rPr>
            </w:pPr>
            <w:r>
              <w:rPr>
                <w:spacing w:val="-3"/>
                <w:sz w:val="20"/>
                <w:szCs w:val="20"/>
              </w:rPr>
              <w:t>10:07-10:17</w:t>
            </w:r>
          </w:p>
        </w:tc>
        <w:tc>
          <w:tcPr>
            <w:tcW w:w="1529" w:type="dxa"/>
            <w:gridSpan w:val="2"/>
            <w:vAlign w:val="top"/>
          </w:tcPr>
          <w:p w14:paraId="1A711A5B">
            <w:pPr>
              <w:pStyle w:val="6"/>
              <w:spacing w:before="63" w:line="175" w:lineRule="auto"/>
              <w:ind w:left="656"/>
              <w:rPr>
                <w:sz w:val="20"/>
                <w:szCs w:val="20"/>
              </w:rPr>
            </w:pPr>
            <w:r>
              <w:rPr>
                <w:spacing w:val="-3"/>
                <w:sz w:val="20"/>
                <w:szCs w:val="20"/>
              </w:rPr>
              <w:t>67</w:t>
            </w:r>
          </w:p>
        </w:tc>
        <w:tc>
          <w:tcPr>
            <w:tcW w:w="1418" w:type="dxa"/>
            <w:gridSpan w:val="2"/>
            <w:vAlign w:val="top"/>
          </w:tcPr>
          <w:p w14:paraId="7E963D05">
            <w:pPr>
              <w:pStyle w:val="6"/>
              <w:spacing w:before="63" w:line="175" w:lineRule="auto"/>
              <w:ind w:left="606"/>
              <w:rPr>
                <w:sz w:val="20"/>
                <w:szCs w:val="20"/>
              </w:rPr>
            </w:pPr>
            <w:r>
              <w:rPr>
                <w:spacing w:val="-4"/>
                <w:sz w:val="20"/>
                <w:szCs w:val="20"/>
              </w:rPr>
              <w:t>70</w:t>
            </w:r>
          </w:p>
        </w:tc>
        <w:tc>
          <w:tcPr>
            <w:tcW w:w="1019" w:type="dxa"/>
            <w:gridSpan w:val="2"/>
            <w:vAlign w:val="top"/>
          </w:tcPr>
          <w:p w14:paraId="6C00A8D0">
            <w:pPr>
              <w:pStyle w:val="6"/>
              <w:spacing w:before="43" w:line="193" w:lineRule="auto"/>
              <w:ind w:left="429"/>
              <w:rPr>
                <w:sz w:val="20"/>
                <w:szCs w:val="20"/>
              </w:rPr>
            </w:pPr>
            <w:r>
              <w:rPr>
                <w:spacing w:val="-2"/>
                <w:sz w:val="20"/>
                <w:szCs w:val="20"/>
              </w:rPr>
              <w:t>达标</w:t>
            </w:r>
          </w:p>
        </w:tc>
        <w:tc>
          <w:tcPr>
            <w:tcW w:w="285" w:type="dxa"/>
            <w:vMerge w:val="continue"/>
            <w:tcBorders>
              <w:top w:val="nil"/>
              <w:bottom w:val="nil"/>
            </w:tcBorders>
            <w:vAlign w:val="top"/>
          </w:tcPr>
          <w:p w14:paraId="52F7F018">
            <w:pPr>
              <w:rPr>
                <w:rFonts w:ascii="Arial"/>
                <w:sz w:val="21"/>
              </w:rPr>
            </w:pPr>
          </w:p>
        </w:tc>
      </w:tr>
      <w:tr w14:paraId="6AF96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64" w:type="dxa"/>
            <w:vMerge w:val="continue"/>
            <w:tcBorders>
              <w:top w:val="nil"/>
              <w:bottom w:val="nil"/>
            </w:tcBorders>
            <w:vAlign w:val="top"/>
          </w:tcPr>
          <w:p w14:paraId="2FA3A351">
            <w:pPr>
              <w:rPr>
                <w:rFonts w:ascii="Arial"/>
                <w:sz w:val="21"/>
              </w:rPr>
            </w:pPr>
          </w:p>
        </w:tc>
        <w:tc>
          <w:tcPr>
            <w:tcW w:w="110" w:type="dxa"/>
            <w:tcBorders>
              <w:top w:val="nil"/>
              <w:bottom w:val="nil"/>
            </w:tcBorders>
            <w:vAlign w:val="top"/>
          </w:tcPr>
          <w:p w14:paraId="5D36AE82">
            <w:pPr>
              <w:rPr>
                <w:rFonts w:ascii="Arial"/>
                <w:sz w:val="21"/>
              </w:rPr>
            </w:pPr>
          </w:p>
        </w:tc>
        <w:tc>
          <w:tcPr>
            <w:tcW w:w="629" w:type="dxa"/>
            <w:vMerge w:val="continue"/>
            <w:tcBorders>
              <w:top w:val="nil"/>
              <w:bottom w:val="nil"/>
            </w:tcBorders>
            <w:vAlign w:val="top"/>
          </w:tcPr>
          <w:p w14:paraId="4CF7023E">
            <w:pPr>
              <w:rPr>
                <w:rFonts w:ascii="Arial"/>
                <w:sz w:val="21"/>
              </w:rPr>
            </w:pPr>
          </w:p>
        </w:tc>
        <w:tc>
          <w:tcPr>
            <w:tcW w:w="1158" w:type="dxa"/>
            <w:gridSpan w:val="2"/>
            <w:vMerge w:val="continue"/>
            <w:tcBorders>
              <w:top w:val="nil"/>
            </w:tcBorders>
            <w:vAlign w:val="top"/>
          </w:tcPr>
          <w:p w14:paraId="0E2492F6">
            <w:pPr>
              <w:rPr>
                <w:rFonts w:ascii="Arial"/>
                <w:sz w:val="21"/>
              </w:rPr>
            </w:pPr>
          </w:p>
        </w:tc>
        <w:tc>
          <w:tcPr>
            <w:tcW w:w="859" w:type="dxa"/>
            <w:gridSpan w:val="2"/>
            <w:vAlign w:val="top"/>
          </w:tcPr>
          <w:p w14:paraId="1C930398">
            <w:pPr>
              <w:pStyle w:val="6"/>
              <w:spacing w:before="39" w:line="197" w:lineRule="auto"/>
              <w:ind w:left="224"/>
              <w:rPr>
                <w:sz w:val="20"/>
                <w:szCs w:val="20"/>
              </w:rPr>
            </w:pPr>
            <w:r>
              <w:rPr>
                <w:spacing w:val="9"/>
                <w:sz w:val="20"/>
                <w:szCs w:val="20"/>
              </w:rPr>
              <w:t>夜间</w:t>
            </w:r>
          </w:p>
        </w:tc>
        <w:tc>
          <w:tcPr>
            <w:tcW w:w="1749" w:type="dxa"/>
            <w:gridSpan w:val="3"/>
            <w:vAlign w:val="top"/>
          </w:tcPr>
          <w:p w14:paraId="6432863C">
            <w:pPr>
              <w:pStyle w:val="6"/>
              <w:spacing w:before="60" w:line="178" w:lineRule="auto"/>
              <w:ind w:left="375"/>
              <w:rPr>
                <w:sz w:val="20"/>
                <w:szCs w:val="20"/>
              </w:rPr>
            </w:pPr>
            <w:r>
              <w:rPr>
                <w:spacing w:val="-1"/>
                <w:sz w:val="20"/>
                <w:szCs w:val="20"/>
              </w:rPr>
              <w:t>23:36-23:46</w:t>
            </w:r>
          </w:p>
        </w:tc>
        <w:tc>
          <w:tcPr>
            <w:tcW w:w="1529" w:type="dxa"/>
            <w:gridSpan w:val="2"/>
            <w:vAlign w:val="top"/>
          </w:tcPr>
          <w:p w14:paraId="6C8ED9A9">
            <w:pPr>
              <w:pStyle w:val="6"/>
              <w:spacing w:before="60" w:line="178" w:lineRule="auto"/>
              <w:ind w:left="656"/>
              <w:rPr>
                <w:sz w:val="20"/>
                <w:szCs w:val="20"/>
              </w:rPr>
            </w:pPr>
            <w:r>
              <w:rPr>
                <w:spacing w:val="-3"/>
                <w:sz w:val="20"/>
                <w:szCs w:val="20"/>
              </w:rPr>
              <w:t>54</w:t>
            </w:r>
          </w:p>
        </w:tc>
        <w:tc>
          <w:tcPr>
            <w:tcW w:w="1418" w:type="dxa"/>
            <w:gridSpan w:val="2"/>
            <w:vAlign w:val="top"/>
          </w:tcPr>
          <w:p w14:paraId="55D92EB1">
            <w:pPr>
              <w:pStyle w:val="6"/>
              <w:spacing w:before="60" w:line="178" w:lineRule="auto"/>
              <w:ind w:left="606"/>
              <w:rPr>
                <w:sz w:val="20"/>
                <w:szCs w:val="20"/>
              </w:rPr>
            </w:pPr>
            <w:r>
              <w:rPr>
                <w:spacing w:val="-3"/>
                <w:sz w:val="20"/>
                <w:szCs w:val="20"/>
              </w:rPr>
              <w:t>55</w:t>
            </w:r>
          </w:p>
        </w:tc>
        <w:tc>
          <w:tcPr>
            <w:tcW w:w="1019" w:type="dxa"/>
            <w:gridSpan w:val="2"/>
            <w:vAlign w:val="top"/>
          </w:tcPr>
          <w:p w14:paraId="14437441">
            <w:pPr>
              <w:pStyle w:val="6"/>
              <w:spacing w:before="40" w:line="196" w:lineRule="auto"/>
              <w:ind w:left="429"/>
              <w:rPr>
                <w:sz w:val="20"/>
                <w:szCs w:val="20"/>
              </w:rPr>
            </w:pPr>
            <w:r>
              <w:rPr>
                <w:spacing w:val="-2"/>
                <w:sz w:val="20"/>
                <w:szCs w:val="20"/>
              </w:rPr>
              <w:t>达标</w:t>
            </w:r>
          </w:p>
        </w:tc>
        <w:tc>
          <w:tcPr>
            <w:tcW w:w="285" w:type="dxa"/>
            <w:vMerge w:val="continue"/>
            <w:tcBorders>
              <w:top w:val="nil"/>
              <w:bottom w:val="nil"/>
            </w:tcBorders>
            <w:vAlign w:val="top"/>
          </w:tcPr>
          <w:p w14:paraId="287AF0F1">
            <w:pPr>
              <w:rPr>
                <w:rFonts w:ascii="Arial"/>
                <w:sz w:val="21"/>
              </w:rPr>
            </w:pPr>
          </w:p>
        </w:tc>
      </w:tr>
      <w:tr w14:paraId="504AB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64" w:type="dxa"/>
            <w:vMerge w:val="continue"/>
            <w:tcBorders>
              <w:top w:val="nil"/>
              <w:bottom w:val="nil"/>
            </w:tcBorders>
            <w:vAlign w:val="top"/>
          </w:tcPr>
          <w:p w14:paraId="3635ED30">
            <w:pPr>
              <w:rPr>
                <w:rFonts w:ascii="Arial"/>
                <w:sz w:val="21"/>
              </w:rPr>
            </w:pPr>
          </w:p>
        </w:tc>
        <w:tc>
          <w:tcPr>
            <w:tcW w:w="110" w:type="dxa"/>
            <w:tcBorders>
              <w:top w:val="nil"/>
              <w:bottom w:val="nil"/>
            </w:tcBorders>
            <w:vAlign w:val="top"/>
          </w:tcPr>
          <w:p w14:paraId="7567C33A">
            <w:pPr>
              <w:rPr>
                <w:rFonts w:ascii="Arial"/>
                <w:sz w:val="21"/>
              </w:rPr>
            </w:pPr>
          </w:p>
        </w:tc>
        <w:tc>
          <w:tcPr>
            <w:tcW w:w="629" w:type="dxa"/>
            <w:vMerge w:val="continue"/>
            <w:tcBorders>
              <w:top w:val="nil"/>
              <w:bottom w:val="nil"/>
            </w:tcBorders>
            <w:vAlign w:val="top"/>
          </w:tcPr>
          <w:p w14:paraId="2695CFAC">
            <w:pPr>
              <w:rPr>
                <w:rFonts w:ascii="Arial"/>
                <w:sz w:val="21"/>
              </w:rPr>
            </w:pPr>
          </w:p>
        </w:tc>
        <w:tc>
          <w:tcPr>
            <w:tcW w:w="1158" w:type="dxa"/>
            <w:gridSpan w:val="2"/>
            <w:vMerge w:val="restart"/>
            <w:tcBorders>
              <w:bottom w:val="nil"/>
            </w:tcBorders>
            <w:vAlign w:val="top"/>
          </w:tcPr>
          <w:p w14:paraId="616082EC">
            <w:pPr>
              <w:pStyle w:val="6"/>
              <w:spacing w:before="217" w:line="239" w:lineRule="auto"/>
              <w:ind w:right="5"/>
              <w:jc w:val="right"/>
              <w:rPr>
                <w:sz w:val="20"/>
                <w:szCs w:val="20"/>
              </w:rPr>
            </w:pPr>
            <w:r>
              <w:rPr>
                <w:spacing w:val="-1"/>
                <w:sz w:val="20"/>
                <w:szCs w:val="20"/>
              </w:rPr>
              <w:t>2024.09.08</w:t>
            </w:r>
          </w:p>
        </w:tc>
        <w:tc>
          <w:tcPr>
            <w:tcW w:w="859" w:type="dxa"/>
            <w:gridSpan w:val="2"/>
            <w:vAlign w:val="top"/>
          </w:tcPr>
          <w:p w14:paraId="3066DF92">
            <w:pPr>
              <w:pStyle w:val="6"/>
              <w:spacing w:before="60" w:line="211" w:lineRule="auto"/>
              <w:ind w:left="224"/>
              <w:rPr>
                <w:sz w:val="20"/>
                <w:szCs w:val="20"/>
              </w:rPr>
            </w:pPr>
            <w:r>
              <w:rPr>
                <w:spacing w:val="9"/>
                <w:sz w:val="20"/>
                <w:szCs w:val="20"/>
              </w:rPr>
              <w:t>昼间</w:t>
            </w:r>
          </w:p>
        </w:tc>
        <w:tc>
          <w:tcPr>
            <w:tcW w:w="1749" w:type="dxa"/>
            <w:gridSpan w:val="3"/>
            <w:vAlign w:val="top"/>
          </w:tcPr>
          <w:p w14:paraId="155DD140">
            <w:pPr>
              <w:pStyle w:val="6"/>
              <w:spacing w:before="77" w:line="195" w:lineRule="auto"/>
              <w:ind w:left="375"/>
              <w:rPr>
                <w:sz w:val="20"/>
                <w:szCs w:val="20"/>
              </w:rPr>
            </w:pPr>
            <w:r>
              <w:rPr>
                <w:spacing w:val="-3"/>
                <w:sz w:val="20"/>
                <w:szCs w:val="20"/>
              </w:rPr>
              <w:t>10:58-11:08</w:t>
            </w:r>
          </w:p>
        </w:tc>
        <w:tc>
          <w:tcPr>
            <w:tcW w:w="1529" w:type="dxa"/>
            <w:gridSpan w:val="2"/>
            <w:vAlign w:val="top"/>
          </w:tcPr>
          <w:p w14:paraId="3498D766">
            <w:pPr>
              <w:pStyle w:val="6"/>
              <w:spacing w:before="77" w:line="195" w:lineRule="auto"/>
              <w:ind w:left="656"/>
              <w:rPr>
                <w:sz w:val="20"/>
                <w:szCs w:val="20"/>
              </w:rPr>
            </w:pPr>
            <w:r>
              <w:rPr>
                <w:spacing w:val="-3"/>
                <w:sz w:val="20"/>
                <w:szCs w:val="20"/>
              </w:rPr>
              <w:t>68</w:t>
            </w:r>
          </w:p>
        </w:tc>
        <w:tc>
          <w:tcPr>
            <w:tcW w:w="1418" w:type="dxa"/>
            <w:gridSpan w:val="2"/>
            <w:vAlign w:val="top"/>
          </w:tcPr>
          <w:p w14:paraId="152E54A2">
            <w:pPr>
              <w:pStyle w:val="6"/>
              <w:spacing w:before="77" w:line="195" w:lineRule="auto"/>
              <w:ind w:left="606"/>
              <w:rPr>
                <w:sz w:val="20"/>
                <w:szCs w:val="20"/>
              </w:rPr>
            </w:pPr>
            <w:r>
              <w:rPr>
                <w:spacing w:val="-4"/>
                <w:sz w:val="20"/>
                <w:szCs w:val="20"/>
              </w:rPr>
              <w:t>70</w:t>
            </w:r>
          </w:p>
        </w:tc>
        <w:tc>
          <w:tcPr>
            <w:tcW w:w="1019" w:type="dxa"/>
            <w:gridSpan w:val="2"/>
            <w:vAlign w:val="top"/>
          </w:tcPr>
          <w:p w14:paraId="41550B63">
            <w:pPr>
              <w:pStyle w:val="6"/>
              <w:spacing w:before="58" w:line="213" w:lineRule="auto"/>
              <w:ind w:left="429"/>
              <w:rPr>
                <w:sz w:val="20"/>
                <w:szCs w:val="20"/>
              </w:rPr>
            </w:pPr>
            <w:r>
              <w:rPr>
                <w:spacing w:val="-2"/>
                <w:sz w:val="20"/>
                <w:szCs w:val="20"/>
              </w:rPr>
              <w:t>达标</w:t>
            </w:r>
          </w:p>
        </w:tc>
        <w:tc>
          <w:tcPr>
            <w:tcW w:w="285" w:type="dxa"/>
            <w:vMerge w:val="continue"/>
            <w:tcBorders>
              <w:top w:val="nil"/>
              <w:bottom w:val="nil"/>
            </w:tcBorders>
            <w:vAlign w:val="top"/>
          </w:tcPr>
          <w:p w14:paraId="3CEBE2DB">
            <w:pPr>
              <w:rPr>
                <w:rFonts w:ascii="Arial"/>
                <w:sz w:val="21"/>
              </w:rPr>
            </w:pPr>
          </w:p>
        </w:tc>
      </w:tr>
      <w:tr w14:paraId="76B6C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664" w:type="dxa"/>
            <w:vMerge w:val="continue"/>
            <w:tcBorders>
              <w:top w:val="nil"/>
              <w:bottom w:val="nil"/>
            </w:tcBorders>
            <w:vAlign w:val="top"/>
          </w:tcPr>
          <w:p w14:paraId="5FDFA192">
            <w:pPr>
              <w:rPr>
                <w:rFonts w:ascii="Arial"/>
                <w:sz w:val="21"/>
              </w:rPr>
            </w:pPr>
          </w:p>
        </w:tc>
        <w:tc>
          <w:tcPr>
            <w:tcW w:w="110" w:type="dxa"/>
            <w:tcBorders>
              <w:top w:val="nil"/>
              <w:bottom w:val="nil"/>
            </w:tcBorders>
            <w:vAlign w:val="top"/>
          </w:tcPr>
          <w:p w14:paraId="21197C25">
            <w:pPr>
              <w:rPr>
                <w:rFonts w:ascii="Arial"/>
                <w:sz w:val="21"/>
              </w:rPr>
            </w:pPr>
          </w:p>
        </w:tc>
        <w:tc>
          <w:tcPr>
            <w:tcW w:w="629" w:type="dxa"/>
            <w:vMerge w:val="continue"/>
            <w:tcBorders>
              <w:top w:val="nil"/>
            </w:tcBorders>
            <w:vAlign w:val="top"/>
          </w:tcPr>
          <w:p w14:paraId="5C9CD36E">
            <w:pPr>
              <w:rPr>
                <w:rFonts w:ascii="Arial"/>
                <w:sz w:val="21"/>
              </w:rPr>
            </w:pPr>
          </w:p>
        </w:tc>
        <w:tc>
          <w:tcPr>
            <w:tcW w:w="1158" w:type="dxa"/>
            <w:gridSpan w:val="2"/>
            <w:vMerge w:val="continue"/>
            <w:tcBorders>
              <w:top w:val="nil"/>
            </w:tcBorders>
            <w:vAlign w:val="top"/>
          </w:tcPr>
          <w:p w14:paraId="5ABBF070">
            <w:pPr>
              <w:rPr>
                <w:rFonts w:ascii="Arial"/>
                <w:sz w:val="21"/>
              </w:rPr>
            </w:pPr>
          </w:p>
        </w:tc>
        <w:tc>
          <w:tcPr>
            <w:tcW w:w="859" w:type="dxa"/>
            <w:gridSpan w:val="2"/>
            <w:vAlign w:val="top"/>
          </w:tcPr>
          <w:p w14:paraId="39EA7AB6">
            <w:pPr>
              <w:pStyle w:val="6"/>
              <w:spacing w:before="48" w:line="199" w:lineRule="auto"/>
              <w:ind w:left="224"/>
              <w:rPr>
                <w:sz w:val="20"/>
                <w:szCs w:val="20"/>
              </w:rPr>
            </w:pPr>
            <w:r>
              <w:rPr>
                <w:spacing w:val="9"/>
                <w:sz w:val="20"/>
                <w:szCs w:val="20"/>
              </w:rPr>
              <w:t>夜间</w:t>
            </w:r>
          </w:p>
        </w:tc>
        <w:tc>
          <w:tcPr>
            <w:tcW w:w="1749" w:type="dxa"/>
            <w:gridSpan w:val="3"/>
            <w:vAlign w:val="top"/>
          </w:tcPr>
          <w:p w14:paraId="6E8856DD">
            <w:pPr>
              <w:pStyle w:val="6"/>
              <w:spacing w:before="67" w:line="181" w:lineRule="auto"/>
              <w:ind w:left="375"/>
              <w:rPr>
                <w:sz w:val="20"/>
                <w:szCs w:val="20"/>
              </w:rPr>
            </w:pPr>
            <w:r>
              <w:rPr>
                <w:spacing w:val="-1"/>
                <w:sz w:val="20"/>
                <w:szCs w:val="20"/>
              </w:rPr>
              <w:t>23:38-23:48</w:t>
            </w:r>
          </w:p>
        </w:tc>
        <w:tc>
          <w:tcPr>
            <w:tcW w:w="1529" w:type="dxa"/>
            <w:gridSpan w:val="2"/>
            <w:vAlign w:val="top"/>
          </w:tcPr>
          <w:p w14:paraId="614DE4B2">
            <w:pPr>
              <w:pStyle w:val="6"/>
              <w:spacing w:before="67" w:line="181" w:lineRule="auto"/>
              <w:ind w:left="656"/>
              <w:rPr>
                <w:sz w:val="20"/>
                <w:szCs w:val="20"/>
              </w:rPr>
            </w:pPr>
            <w:r>
              <w:rPr>
                <w:spacing w:val="-3"/>
                <w:sz w:val="20"/>
                <w:szCs w:val="20"/>
              </w:rPr>
              <w:t>55</w:t>
            </w:r>
          </w:p>
        </w:tc>
        <w:tc>
          <w:tcPr>
            <w:tcW w:w="1418" w:type="dxa"/>
            <w:gridSpan w:val="2"/>
            <w:vAlign w:val="top"/>
          </w:tcPr>
          <w:p w14:paraId="3BC40620">
            <w:pPr>
              <w:pStyle w:val="6"/>
              <w:spacing w:before="67" w:line="181" w:lineRule="auto"/>
              <w:ind w:left="606"/>
              <w:rPr>
                <w:sz w:val="20"/>
                <w:szCs w:val="20"/>
              </w:rPr>
            </w:pPr>
            <w:r>
              <w:rPr>
                <w:spacing w:val="-3"/>
                <w:sz w:val="20"/>
                <w:szCs w:val="20"/>
              </w:rPr>
              <w:t>55</w:t>
            </w:r>
          </w:p>
        </w:tc>
        <w:tc>
          <w:tcPr>
            <w:tcW w:w="1019" w:type="dxa"/>
            <w:gridSpan w:val="2"/>
            <w:vAlign w:val="top"/>
          </w:tcPr>
          <w:p w14:paraId="72A1386F">
            <w:pPr>
              <w:pStyle w:val="6"/>
              <w:spacing w:before="48" w:line="199" w:lineRule="auto"/>
              <w:ind w:left="429"/>
              <w:rPr>
                <w:sz w:val="20"/>
                <w:szCs w:val="20"/>
              </w:rPr>
            </w:pPr>
            <w:r>
              <w:rPr>
                <w:spacing w:val="-2"/>
                <w:sz w:val="20"/>
                <w:szCs w:val="20"/>
              </w:rPr>
              <w:t>达标</w:t>
            </w:r>
          </w:p>
        </w:tc>
        <w:tc>
          <w:tcPr>
            <w:tcW w:w="285" w:type="dxa"/>
            <w:vMerge w:val="continue"/>
            <w:tcBorders>
              <w:top w:val="nil"/>
              <w:bottom w:val="nil"/>
            </w:tcBorders>
            <w:vAlign w:val="top"/>
          </w:tcPr>
          <w:p w14:paraId="468C3836">
            <w:pPr>
              <w:rPr>
                <w:rFonts w:ascii="Arial"/>
                <w:sz w:val="21"/>
              </w:rPr>
            </w:pPr>
          </w:p>
        </w:tc>
      </w:tr>
      <w:tr w14:paraId="5054E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664" w:type="dxa"/>
            <w:vMerge w:val="continue"/>
            <w:tcBorders>
              <w:top w:val="nil"/>
              <w:bottom w:val="nil"/>
            </w:tcBorders>
            <w:vAlign w:val="top"/>
          </w:tcPr>
          <w:p w14:paraId="2B13A2B9">
            <w:pPr>
              <w:rPr>
                <w:rFonts w:ascii="Arial"/>
                <w:sz w:val="21"/>
              </w:rPr>
            </w:pPr>
          </w:p>
        </w:tc>
        <w:tc>
          <w:tcPr>
            <w:tcW w:w="110" w:type="dxa"/>
            <w:tcBorders>
              <w:top w:val="nil"/>
              <w:bottom w:val="nil"/>
            </w:tcBorders>
            <w:vAlign w:val="top"/>
          </w:tcPr>
          <w:p w14:paraId="32D78CB2">
            <w:pPr>
              <w:rPr>
                <w:rFonts w:ascii="Arial"/>
                <w:sz w:val="21"/>
              </w:rPr>
            </w:pPr>
          </w:p>
        </w:tc>
        <w:tc>
          <w:tcPr>
            <w:tcW w:w="629" w:type="dxa"/>
            <w:vMerge w:val="restart"/>
            <w:tcBorders>
              <w:bottom w:val="nil"/>
            </w:tcBorders>
            <w:vAlign w:val="top"/>
          </w:tcPr>
          <w:p w14:paraId="5B4597DC">
            <w:pPr>
              <w:pStyle w:val="6"/>
              <w:spacing w:before="204" w:line="255" w:lineRule="auto"/>
              <w:ind w:left="191" w:right="16"/>
              <w:jc w:val="both"/>
              <w:rPr>
                <w:sz w:val="20"/>
                <w:szCs w:val="20"/>
              </w:rPr>
            </w:pPr>
            <w:r>
              <w:rPr>
                <w:spacing w:val="-4"/>
                <w:sz w:val="20"/>
                <w:szCs w:val="20"/>
              </w:rPr>
              <w:t>6#大</w:t>
            </w:r>
            <w:r>
              <w:rPr>
                <w:spacing w:val="1"/>
                <w:sz w:val="20"/>
                <w:szCs w:val="20"/>
              </w:rPr>
              <w:t xml:space="preserve"> </w:t>
            </w:r>
            <w:r>
              <w:rPr>
                <w:spacing w:val="5"/>
                <w:sz w:val="20"/>
                <w:szCs w:val="20"/>
              </w:rPr>
              <w:t>莫古</w:t>
            </w:r>
            <w:r>
              <w:rPr>
                <w:sz w:val="20"/>
                <w:szCs w:val="20"/>
              </w:rPr>
              <w:t xml:space="preserve"> </w:t>
            </w:r>
            <w:r>
              <w:rPr>
                <w:spacing w:val="32"/>
                <w:sz w:val="20"/>
                <w:szCs w:val="20"/>
              </w:rPr>
              <w:t>镇</w:t>
            </w:r>
          </w:p>
        </w:tc>
        <w:tc>
          <w:tcPr>
            <w:tcW w:w="1158" w:type="dxa"/>
            <w:gridSpan w:val="2"/>
            <w:vMerge w:val="restart"/>
            <w:tcBorders>
              <w:bottom w:val="nil"/>
            </w:tcBorders>
            <w:vAlign w:val="top"/>
          </w:tcPr>
          <w:p w14:paraId="7376EA6C">
            <w:pPr>
              <w:pStyle w:val="6"/>
              <w:spacing w:before="203" w:line="239" w:lineRule="auto"/>
              <w:ind w:right="5"/>
              <w:jc w:val="right"/>
              <w:rPr>
                <w:sz w:val="20"/>
                <w:szCs w:val="20"/>
              </w:rPr>
            </w:pPr>
            <w:r>
              <w:rPr>
                <w:spacing w:val="-1"/>
                <w:sz w:val="20"/>
                <w:szCs w:val="20"/>
              </w:rPr>
              <w:t>2024.09.07</w:t>
            </w:r>
          </w:p>
        </w:tc>
        <w:tc>
          <w:tcPr>
            <w:tcW w:w="859" w:type="dxa"/>
            <w:gridSpan w:val="2"/>
            <w:vAlign w:val="top"/>
          </w:tcPr>
          <w:p w14:paraId="004B4FD5">
            <w:pPr>
              <w:pStyle w:val="6"/>
              <w:spacing w:before="46" w:line="195" w:lineRule="auto"/>
              <w:ind w:left="224"/>
              <w:rPr>
                <w:sz w:val="20"/>
                <w:szCs w:val="20"/>
              </w:rPr>
            </w:pPr>
            <w:r>
              <w:rPr>
                <w:spacing w:val="9"/>
                <w:sz w:val="20"/>
                <w:szCs w:val="20"/>
              </w:rPr>
              <w:t>昼间</w:t>
            </w:r>
          </w:p>
        </w:tc>
        <w:tc>
          <w:tcPr>
            <w:tcW w:w="1749" w:type="dxa"/>
            <w:gridSpan w:val="3"/>
            <w:vAlign w:val="top"/>
          </w:tcPr>
          <w:p w14:paraId="6483B997">
            <w:pPr>
              <w:pStyle w:val="6"/>
              <w:spacing w:before="64" w:line="179" w:lineRule="auto"/>
              <w:ind w:left="375"/>
              <w:rPr>
                <w:sz w:val="20"/>
                <w:szCs w:val="20"/>
              </w:rPr>
            </w:pPr>
            <w:r>
              <w:rPr>
                <w:spacing w:val="-3"/>
                <w:sz w:val="20"/>
                <w:szCs w:val="20"/>
              </w:rPr>
              <w:t>10:29-10:39</w:t>
            </w:r>
          </w:p>
        </w:tc>
        <w:tc>
          <w:tcPr>
            <w:tcW w:w="1529" w:type="dxa"/>
            <w:gridSpan w:val="2"/>
            <w:vAlign w:val="top"/>
          </w:tcPr>
          <w:p w14:paraId="61589DB6">
            <w:pPr>
              <w:pStyle w:val="6"/>
              <w:spacing w:before="64" w:line="179" w:lineRule="auto"/>
              <w:ind w:left="656"/>
              <w:rPr>
                <w:sz w:val="20"/>
                <w:szCs w:val="20"/>
              </w:rPr>
            </w:pPr>
            <w:r>
              <w:rPr>
                <w:spacing w:val="-3"/>
                <w:sz w:val="20"/>
                <w:szCs w:val="20"/>
              </w:rPr>
              <w:t>53</w:t>
            </w:r>
          </w:p>
        </w:tc>
        <w:tc>
          <w:tcPr>
            <w:tcW w:w="1418" w:type="dxa"/>
            <w:gridSpan w:val="2"/>
            <w:vAlign w:val="top"/>
          </w:tcPr>
          <w:p w14:paraId="1D3D8EE5">
            <w:pPr>
              <w:pStyle w:val="6"/>
              <w:spacing w:before="64" w:line="179" w:lineRule="auto"/>
              <w:ind w:left="606"/>
              <w:rPr>
                <w:sz w:val="20"/>
                <w:szCs w:val="20"/>
              </w:rPr>
            </w:pPr>
            <w:r>
              <w:rPr>
                <w:spacing w:val="-4"/>
                <w:sz w:val="20"/>
                <w:szCs w:val="20"/>
              </w:rPr>
              <w:t>70</w:t>
            </w:r>
          </w:p>
        </w:tc>
        <w:tc>
          <w:tcPr>
            <w:tcW w:w="1019" w:type="dxa"/>
            <w:gridSpan w:val="2"/>
            <w:vAlign w:val="top"/>
          </w:tcPr>
          <w:p w14:paraId="07341D5E">
            <w:pPr>
              <w:pStyle w:val="6"/>
              <w:spacing w:before="44" w:line="197" w:lineRule="auto"/>
              <w:ind w:left="429"/>
              <w:rPr>
                <w:sz w:val="20"/>
                <w:szCs w:val="20"/>
              </w:rPr>
            </w:pPr>
            <w:r>
              <w:rPr>
                <w:spacing w:val="-2"/>
                <w:sz w:val="20"/>
                <w:szCs w:val="20"/>
              </w:rPr>
              <w:t>达标</w:t>
            </w:r>
          </w:p>
        </w:tc>
        <w:tc>
          <w:tcPr>
            <w:tcW w:w="285" w:type="dxa"/>
            <w:vMerge w:val="continue"/>
            <w:tcBorders>
              <w:top w:val="nil"/>
              <w:bottom w:val="nil"/>
            </w:tcBorders>
            <w:vAlign w:val="top"/>
          </w:tcPr>
          <w:p w14:paraId="3CB3B122">
            <w:pPr>
              <w:rPr>
                <w:rFonts w:ascii="Arial"/>
                <w:sz w:val="21"/>
              </w:rPr>
            </w:pPr>
          </w:p>
        </w:tc>
      </w:tr>
      <w:tr w14:paraId="43DF4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664" w:type="dxa"/>
            <w:vMerge w:val="continue"/>
            <w:tcBorders>
              <w:top w:val="nil"/>
              <w:bottom w:val="nil"/>
            </w:tcBorders>
            <w:vAlign w:val="top"/>
          </w:tcPr>
          <w:p w14:paraId="0EA98351">
            <w:pPr>
              <w:rPr>
                <w:rFonts w:ascii="Arial"/>
                <w:sz w:val="21"/>
              </w:rPr>
            </w:pPr>
          </w:p>
        </w:tc>
        <w:tc>
          <w:tcPr>
            <w:tcW w:w="110" w:type="dxa"/>
            <w:tcBorders>
              <w:top w:val="nil"/>
              <w:bottom w:val="nil"/>
            </w:tcBorders>
            <w:vAlign w:val="top"/>
          </w:tcPr>
          <w:p w14:paraId="7B2444B5">
            <w:pPr>
              <w:rPr>
                <w:rFonts w:ascii="Arial"/>
                <w:sz w:val="21"/>
              </w:rPr>
            </w:pPr>
          </w:p>
        </w:tc>
        <w:tc>
          <w:tcPr>
            <w:tcW w:w="629" w:type="dxa"/>
            <w:vMerge w:val="continue"/>
            <w:tcBorders>
              <w:top w:val="nil"/>
              <w:bottom w:val="nil"/>
            </w:tcBorders>
            <w:vAlign w:val="top"/>
          </w:tcPr>
          <w:p w14:paraId="7CD1022D">
            <w:pPr>
              <w:rPr>
                <w:rFonts w:ascii="Arial"/>
                <w:sz w:val="21"/>
              </w:rPr>
            </w:pPr>
          </w:p>
        </w:tc>
        <w:tc>
          <w:tcPr>
            <w:tcW w:w="1158" w:type="dxa"/>
            <w:gridSpan w:val="2"/>
            <w:vMerge w:val="continue"/>
            <w:tcBorders>
              <w:top w:val="nil"/>
            </w:tcBorders>
            <w:vAlign w:val="top"/>
          </w:tcPr>
          <w:p w14:paraId="45458A37">
            <w:pPr>
              <w:rPr>
                <w:rFonts w:ascii="Arial"/>
                <w:sz w:val="21"/>
              </w:rPr>
            </w:pPr>
          </w:p>
        </w:tc>
        <w:tc>
          <w:tcPr>
            <w:tcW w:w="859" w:type="dxa"/>
            <w:gridSpan w:val="2"/>
            <w:vAlign w:val="top"/>
          </w:tcPr>
          <w:p w14:paraId="4169AC64">
            <w:pPr>
              <w:pStyle w:val="6"/>
              <w:spacing w:before="46" w:line="199" w:lineRule="auto"/>
              <w:ind w:left="224"/>
              <w:rPr>
                <w:sz w:val="20"/>
                <w:szCs w:val="20"/>
              </w:rPr>
            </w:pPr>
            <w:r>
              <w:rPr>
                <w:spacing w:val="9"/>
                <w:sz w:val="20"/>
                <w:szCs w:val="20"/>
              </w:rPr>
              <w:t>夜间</w:t>
            </w:r>
          </w:p>
        </w:tc>
        <w:tc>
          <w:tcPr>
            <w:tcW w:w="1749" w:type="dxa"/>
            <w:gridSpan w:val="3"/>
            <w:vAlign w:val="top"/>
          </w:tcPr>
          <w:p w14:paraId="71D2746C">
            <w:pPr>
              <w:pStyle w:val="6"/>
              <w:spacing w:before="46" w:line="199" w:lineRule="auto"/>
              <w:ind w:left="15"/>
              <w:rPr>
                <w:sz w:val="20"/>
                <w:szCs w:val="20"/>
              </w:rPr>
            </w:pPr>
            <w:r>
              <w:rPr>
                <w:sz w:val="20"/>
                <w:szCs w:val="20"/>
              </w:rPr>
              <w:t>23:55-次日00:05</w:t>
            </w:r>
          </w:p>
        </w:tc>
        <w:tc>
          <w:tcPr>
            <w:tcW w:w="1529" w:type="dxa"/>
            <w:gridSpan w:val="2"/>
            <w:vAlign w:val="top"/>
          </w:tcPr>
          <w:p w14:paraId="00BDF8F6">
            <w:pPr>
              <w:pStyle w:val="6"/>
              <w:spacing w:before="65" w:line="181" w:lineRule="auto"/>
              <w:ind w:left="656"/>
              <w:rPr>
                <w:sz w:val="20"/>
                <w:szCs w:val="20"/>
              </w:rPr>
            </w:pPr>
            <w:r>
              <w:rPr>
                <w:spacing w:val="-3"/>
                <w:sz w:val="20"/>
                <w:szCs w:val="20"/>
              </w:rPr>
              <w:t>54</w:t>
            </w:r>
          </w:p>
        </w:tc>
        <w:tc>
          <w:tcPr>
            <w:tcW w:w="1418" w:type="dxa"/>
            <w:gridSpan w:val="2"/>
            <w:vAlign w:val="top"/>
          </w:tcPr>
          <w:p w14:paraId="23339D41">
            <w:pPr>
              <w:pStyle w:val="6"/>
              <w:spacing w:before="65" w:line="181" w:lineRule="auto"/>
              <w:ind w:left="606"/>
              <w:rPr>
                <w:sz w:val="20"/>
                <w:szCs w:val="20"/>
              </w:rPr>
            </w:pPr>
            <w:r>
              <w:rPr>
                <w:spacing w:val="-3"/>
                <w:sz w:val="20"/>
                <w:szCs w:val="20"/>
              </w:rPr>
              <w:t>55</w:t>
            </w:r>
          </w:p>
        </w:tc>
        <w:tc>
          <w:tcPr>
            <w:tcW w:w="1019" w:type="dxa"/>
            <w:gridSpan w:val="2"/>
            <w:vAlign w:val="top"/>
          </w:tcPr>
          <w:p w14:paraId="37A05DF5">
            <w:pPr>
              <w:pStyle w:val="6"/>
              <w:spacing w:before="46" w:line="199" w:lineRule="auto"/>
              <w:ind w:left="429"/>
              <w:rPr>
                <w:sz w:val="20"/>
                <w:szCs w:val="20"/>
              </w:rPr>
            </w:pPr>
            <w:r>
              <w:rPr>
                <w:spacing w:val="-2"/>
                <w:sz w:val="20"/>
                <w:szCs w:val="20"/>
              </w:rPr>
              <w:t>达标</w:t>
            </w:r>
          </w:p>
        </w:tc>
        <w:tc>
          <w:tcPr>
            <w:tcW w:w="285" w:type="dxa"/>
            <w:vMerge w:val="continue"/>
            <w:tcBorders>
              <w:top w:val="nil"/>
              <w:bottom w:val="nil"/>
            </w:tcBorders>
            <w:vAlign w:val="top"/>
          </w:tcPr>
          <w:p w14:paraId="4FAE740F">
            <w:pPr>
              <w:rPr>
                <w:rFonts w:ascii="Arial"/>
                <w:sz w:val="21"/>
              </w:rPr>
            </w:pPr>
          </w:p>
        </w:tc>
      </w:tr>
      <w:tr w14:paraId="72542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64" w:type="dxa"/>
            <w:vMerge w:val="continue"/>
            <w:tcBorders>
              <w:top w:val="nil"/>
              <w:bottom w:val="nil"/>
            </w:tcBorders>
            <w:vAlign w:val="top"/>
          </w:tcPr>
          <w:p w14:paraId="0803DAD7">
            <w:pPr>
              <w:rPr>
                <w:rFonts w:ascii="Arial"/>
                <w:sz w:val="21"/>
              </w:rPr>
            </w:pPr>
          </w:p>
        </w:tc>
        <w:tc>
          <w:tcPr>
            <w:tcW w:w="110" w:type="dxa"/>
            <w:tcBorders>
              <w:top w:val="nil"/>
              <w:bottom w:val="nil"/>
            </w:tcBorders>
            <w:vAlign w:val="top"/>
          </w:tcPr>
          <w:p w14:paraId="322064DE">
            <w:pPr>
              <w:rPr>
                <w:rFonts w:ascii="Arial"/>
                <w:sz w:val="21"/>
              </w:rPr>
            </w:pPr>
          </w:p>
        </w:tc>
        <w:tc>
          <w:tcPr>
            <w:tcW w:w="629" w:type="dxa"/>
            <w:vMerge w:val="continue"/>
            <w:tcBorders>
              <w:top w:val="nil"/>
              <w:bottom w:val="nil"/>
            </w:tcBorders>
            <w:vAlign w:val="top"/>
          </w:tcPr>
          <w:p w14:paraId="70C497B2">
            <w:pPr>
              <w:rPr>
                <w:rFonts w:ascii="Arial"/>
                <w:sz w:val="21"/>
              </w:rPr>
            </w:pPr>
          </w:p>
        </w:tc>
        <w:tc>
          <w:tcPr>
            <w:tcW w:w="1158" w:type="dxa"/>
            <w:gridSpan w:val="2"/>
            <w:vMerge w:val="restart"/>
            <w:tcBorders>
              <w:bottom w:val="nil"/>
            </w:tcBorders>
            <w:vAlign w:val="top"/>
          </w:tcPr>
          <w:p w14:paraId="383C96BC">
            <w:pPr>
              <w:pStyle w:val="6"/>
              <w:spacing w:before="223" w:line="239" w:lineRule="auto"/>
              <w:ind w:right="5"/>
              <w:jc w:val="right"/>
              <w:rPr>
                <w:sz w:val="20"/>
                <w:szCs w:val="20"/>
              </w:rPr>
            </w:pPr>
            <w:r>
              <w:rPr>
                <w:spacing w:val="-1"/>
                <w:sz w:val="20"/>
                <w:szCs w:val="20"/>
              </w:rPr>
              <w:t>2024.09.08</w:t>
            </w:r>
          </w:p>
        </w:tc>
        <w:tc>
          <w:tcPr>
            <w:tcW w:w="859" w:type="dxa"/>
            <w:gridSpan w:val="2"/>
            <w:vAlign w:val="top"/>
          </w:tcPr>
          <w:p w14:paraId="7BDCAA48">
            <w:pPr>
              <w:pStyle w:val="6"/>
              <w:spacing w:before="37" w:line="191" w:lineRule="auto"/>
              <w:ind w:left="224"/>
              <w:rPr>
                <w:sz w:val="20"/>
                <w:szCs w:val="20"/>
              </w:rPr>
            </w:pPr>
            <w:r>
              <w:rPr>
                <w:spacing w:val="9"/>
                <w:sz w:val="20"/>
                <w:szCs w:val="20"/>
              </w:rPr>
              <w:t>昼间</w:t>
            </w:r>
          </w:p>
        </w:tc>
        <w:tc>
          <w:tcPr>
            <w:tcW w:w="1749" w:type="dxa"/>
            <w:gridSpan w:val="3"/>
            <w:vAlign w:val="top"/>
          </w:tcPr>
          <w:p w14:paraId="24F60B6D">
            <w:pPr>
              <w:pStyle w:val="6"/>
              <w:spacing w:before="54" w:line="175" w:lineRule="auto"/>
              <w:ind w:left="375"/>
              <w:rPr>
                <w:sz w:val="20"/>
                <w:szCs w:val="20"/>
              </w:rPr>
            </w:pPr>
            <w:r>
              <w:rPr>
                <w:spacing w:val="-3"/>
                <w:sz w:val="20"/>
                <w:szCs w:val="20"/>
              </w:rPr>
              <w:t>11:20-11:30</w:t>
            </w:r>
          </w:p>
        </w:tc>
        <w:tc>
          <w:tcPr>
            <w:tcW w:w="1529" w:type="dxa"/>
            <w:gridSpan w:val="2"/>
            <w:vAlign w:val="top"/>
          </w:tcPr>
          <w:p w14:paraId="080B835F">
            <w:pPr>
              <w:pStyle w:val="6"/>
              <w:spacing w:before="54" w:line="175" w:lineRule="auto"/>
              <w:ind w:left="656"/>
              <w:rPr>
                <w:sz w:val="20"/>
                <w:szCs w:val="20"/>
              </w:rPr>
            </w:pPr>
            <w:r>
              <w:rPr>
                <w:spacing w:val="-3"/>
                <w:sz w:val="20"/>
                <w:szCs w:val="20"/>
              </w:rPr>
              <w:t>52</w:t>
            </w:r>
          </w:p>
        </w:tc>
        <w:tc>
          <w:tcPr>
            <w:tcW w:w="1418" w:type="dxa"/>
            <w:gridSpan w:val="2"/>
            <w:vAlign w:val="top"/>
          </w:tcPr>
          <w:p w14:paraId="3AE05DB2">
            <w:pPr>
              <w:pStyle w:val="6"/>
              <w:spacing w:before="54" w:line="175" w:lineRule="auto"/>
              <w:ind w:left="606"/>
              <w:rPr>
                <w:sz w:val="20"/>
                <w:szCs w:val="20"/>
              </w:rPr>
            </w:pPr>
            <w:r>
              <w:rPr>
                <w:spacing w:val="-4"/>
                <w:sz w:val="20"/>
                <w:szCs w:val="20"/>
              </w:rPr>
              <w:t>70</w:t>
            </w:r>
          </w:p>
        </w:tc>
        <w:tc>
          <w:tcPr>
            <w:tcW w:w="1019" w:type="dxa"/>
            <w:gridSpan w:val="2"/>
            <w:vAlign w:val="top"/>
          </w:tcPr>
          <w:p w14:paraId="739B42B5">
            <w:pPr>
              <w:pStyle w:val="6"/>
              <w:spacing w:before="34" w:line="193" w:lineRule="auto"/>
              <w:ind w:left="429"/>
              <w:rPr>
                <w:sz w:val="20"/>
                <w:szCs w:val="20"/>
              </w:rPr>
            </w:pPr>
            <w:r>
              <w:rPr>
                <w:spacing w:val="-2"/>
                <w:sz w:val="20"/>
                <w:szCs w:val="20"/>
              </w:rPr>
              <w:t>达标</w:t>
            </w:r>
          </w:p>
        </w:tc>
        <w:tc>
          <w:tcPr>
            <w:tcW w:w="285" w:type="dxa"/>
            <w:vMerge w:val="continue"/>
            <w:tcBorders>
              <w:top w:val="nil"/>
              <w:bottom w:val="nil"/>
            </w:tcBorders>
            <w:vAlign w:val="top"/>
          </w:tcPr>
          <w:p w14:paraId="0A3F5BE6">
            <w:pPr>
              <w:rPr>
                <w:rFonts w:ascii="Arial"/>
                <w:sz w:val="21"/>
              </w:rPr>
            </w:pPr>
          </w:p>
        </w:tc>
      </w:tr>
      <w:tr w14:paraId="6B692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664" w:type="dxa"/>
            <w:vMerge w:val="continue"/>
            <w:tcBorders>
              <w:top w:val="nil"/>
              <w:bottom w:val="nil"/>
            </w:tcBorders>
            <w:vAlign w:val="top"/>
          </w:tcPr>
          <w:p w14:paraId="62A0C864">
            <w:pPr>
              <w:rPr>
                <w:rFonts w:ascii="Arial"/>
                <w:sz w:val="21"/>
              </w:rPr>
            </w:pPr>
          </w:p>
        </w:tc>
        <w:tc>
          <w:tcPr>
            <w:tcW w:w="110" w:type="dxa"/>
            <w:tcBorders>
              <w:top w:val="nil"/>
              <w:bottom w:val="nil"/>
            </w:tcBorders>
            <w:vAlign w:val="top"/>
          </w:tcPr>
          <w:p w14:paraId="5F47E529">
            <w:pPr>
              <w:rPr>
                <w:rFonts w:ascii="Arial"/>
                <w:sz w:val="21"/>
              </w:rPr>
            </w:pPr>
          </w:p>
        </w:tc>
        <w:tc>
          <w:tcPr>
            <w:tcW w:w="629" w:type="dxa"/>
            <w:vMerge w:val="continue"/>
            <w:tcBorders>
              <w:top w:val="nil"/>
            </w:tcBorders>
            <w:vAlign w:val="top"/>
          </w:tcPr>
          <w:p w14:paraId="15B2A19A">
            <w:pPr>
              <w:rPr>
                <w:rFonts w:ascii="Arial"/>
                <w:sz w:val="21"/>
              </w:rPr>
            </w:pPr>
          </w:p>
        </w:tc>
        <w:tc>
          <w:tcPr>
            <w:tcW w:w="1158" w:type="dxa"/>
            <w:gridSpan w:val="2"/>
            <w:vMerge w:val="continue"/>
            <w:tcBorders>
              <w:top w:val="nil"/>
            </w:tcBorders>
            <w:vAlign w:val="top"/>
          </w:tcPr>
          <w:p w14:paraId="5F93FC1A">
            <w:pPr>
              <w:rPr>
                <w:rFonts w:ascii="Arial"/>
                <w:sz w:val="21"/>
              </w:rPr>
            </w:pPr>
          </w:p>
        </w:tc>
        <w:tc>
          <w:tcPr>
            <w:tcW w:w="859" w:type="dxa"/>
            <w:gridSpan w:val="2"/>
            <w:vAlign w:val="top"/>
          </w:tcPr>
          <w:p w14:paraId="2BD68371">
            <w:pPr>
              <w:pStyle w:val="6"/>
              <w:spacing w:before="80" w:line="219" w:lineRule="auto"/>
              <w:ind w:left="224"/>
              <w:rPr>
                <w:sz w:val="20"/>
                <w:szCs w:val="20"/>
              </w:rPr>
            </w:pPr>
            <w:r>
              <w:rPr>
                <w:spacing w:val="9"/>
                <w:sz w:val="20"/>
                <w:szCs w:val="20"/>
              </w:rPr>
              <w:t>夜间</w:t>
            </w:r>
          </w:p>
        </w:tc>
        <w:tc>
          <w:tcPr>
            <w:tcW w:w="1749" w:type="dxa"/>
            <w:gridSpan w:val="3"/>
            <w:vAlign w:val="top"/>
          </w:tcPr>
          <w:p w14:paraId="7C6ABC4A">
            <w:pPr>
              <w:pStyle w:val="6"/>
              <w:spacing w:before="80" w:line="219" w:lineRule="auto"/>
              <w:ind w:left="15"/>
              <w:rPr>
                <w:sz w:val="20"/>
                <w:szCs w:val="20"/>
              </w:rPr>
            </w:pPr>
            <w:r>
              <w:rPr>
                <w:sz w:val="20"/>
                <w:szCs w:val="20"/>
              </w:rPr>
              <w:t>次日00:02-00:12</w:t>
            </w:r>
          </w:p>
        </w:tc>
        <w:tc>
          <w:tcPr>
            <w:tcW w:w="1529" w:type="dxa"/>
            <w:gridSpan w:val="2"/>
            <w:vAlign w:val="top"/>
          </w:tcPr>
          <w:p w14:paraId="41AA161E">
            <w:pPr>
              <w:pStyle w:val="6"/>
              <w:spacing w:before="100" w:line="208" w:lineRule="auto"/>
              <w:ind w:left="656"/>
              <w:rPr>
                <w:sz w:val="20"/>
                <w:szCs w:val="20"/>
              </w:rPr>
            </w:pPr>
            <w:r>
              <w:rPr>
                <w:spacing w:val="-3"/>
                <w:sz w:val="20"/>
                <w:szCs w:val="20"/>
              </w:rPr>
              <w:t>53</w:t>
            </w:r>
          </w:p>
        </w:tc>
        <w:tc>
          <w:tcPr>
            <w:tcW w:w="1418" w:type="dxa"/>
            <w:gridSpan w:val="2"/>
            <w:vAlign w:val="top"/>
          </w:tcPr>
          <w:p w14:paraId="44D37617">
            <w:pPr>
              <w:pStyle w:val="6"/>
              <w:spacing w:before="100" w:line="208" w:lineRule="auto"/>
              <w:ind w:left="606"/>
              <w:rPr>
                <w:sz w:val="20"/>
                <w:szCs w:val="20"/>
              </w:rPr>
            </w:pPr>
            <w:r>
              <w:rPr>
                <w:spacing w:val="-3"/>
                <w:sz w:val="20"/>
                <w:szCs w:val="20"/>
              </w:rPr>
              <w:t>55</w:t>
            </w:r>
          </w:p>
        </w:tc>
        <w:tc>
          <w:tcPr>
            <w:tcW w:w="1019" w:type="dxa"/>
            <w:gridSpan w:val="2"/>
            <w:vAlign w:val="top"/>
          </w:tcPr>
          <w:p w14:paraId="399FB238">
            <w:pPr>
              <w:pStyle w:val="6"/>
              <w:spacing w:before="80" w:line="220" w:lineRule="auto"/>
              <w:ind w:left="429"/>
              <w:rPr>
                <w:sz w:val="20"/>
                <w:szCs w:val="20"/>
              </w:rPr>
            </w:pPr>
            <w:r>
              <w:rPr>
                <w:spacing w:val="-2"/>
                <w:sz w:val="20"/>
                <w:szCs w:val="20"/>
              </w:rPr>
              <w:t>达标</w:t>
            </w:r>
          </w:p>
        </w:tc>
        <w:tc>
          <w:tcPr>
            <w:tcW w:w="285" w:type="dxa"/>
            <w:vMerge w:val="continue"/>
            <w:tcBorders>
              <w:top w:val="nil"/>
              <w:bottom w:val="nil"/>
            </w:tcBorders>
            <w:vAlign w:val="top"/>
          </w:tcPr>
          <w:p w14:paraId="3DF61DBA">
            <w:pPr>
              <w:rPr>
                <w:rFonts w:ascii="Arial"/>
                <w:sz w:val="21"/>
              </w:rPr>
            </w:pPr>
          </w:p>
        </w:tc>
      </w:tr>
      <w:tr w14:paraId="0763A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664" w:type="dxa"/>
            <w:vMerge w:val="continue"/>
            <w:tcBorders>
              <w:top w:val="nil"/>
              <w:bottom w:val="nil"/>
            </w:tcBorders>
            <w:vAlign w:val="top"/>
          </w:tcPr>
          <w:p w14:paraId="310D9D37">
            <w:pPr>
              <w:rPr>
                <w:rFonts w:ascii="Arial"/>
                <w:sz w:val="21"/>
              </w:rPr>
            </w:pPr>
          </w:p>
        </w:tc>
        <w:tc>
          <w:tcPr>
            <w:tcW w:w="110" w:type="dxa"/>
            <w:tcBorders>
              <w:top w:val="nil"/>
              <w:bottom w:val="nil"/>
            </w:tcBorders>
            <w:vAlign w:val="top"/>
          </w:tcPr>
          <w:p w14:paraId="6BAA416D">
            <w:pPr>
              <w:rPr>
                <w:rFonts w:ascii="Arial"/>
                <w:sz w:val="21"/>
              </w:rPr>
            </w:pPr>
          </w:p>
        </w:tc>
        <w:tc>
          <w:tcPr>
            <w:tcW w:w="629" w:type="dxa"/>
            <w:vMerge w:val="restart"/>
            <w:tcBorders>
              <w:bottom w:val="nil"/>
            </w:tcBorders>
            <w:vAlign w:val="top"/>
          </w:tcPr>
          <w:p w14:paraId="391D857E">
            <w:pPr>
              <w:pStyle w:val="6"/>
              <w:spacing w:before="85" w:line="202" w:lineRule="auto"/>
              <w:ind w:right="18"/>
              <w:jc w:val="right"/>
              <w:rPr>
                <w:sz w:val="20"/>
                <w:szCs w:val="20"/>
              </w:rPr>
            </w:pPr>
            <w:r>
              <w:rPr>
                <w:spacing w:val="3"/>
                <w:sz w:val="20"/>
                <w:szCs w:val="20"/>
              </w:rPr>
              <w:t>7#栗</w:t>
            </w:r>
          </w:p>
          <w:p w14:paraId="3953C328">
            <w:pPr>
              <w:pStyle w:val="6"/>
              <w:spacing w:line="219" w:lineRule="auto"/>
              <w:ind w:right="9"/>
              <w:jc w:val="right"/>
              <w:rPr>
                <w:sz w:val="20"/>
                <w:szCs w:val="20"/>
              </w:rPr>
            </w:pPr>
            <w:r>
              <w:rPr>
                <w:spacing w:val="8"/>
                <w:sz w:val="20"/>
                <w:szCs w:val="20"/>
              </w:rPr>
              <w:t>树园</w:t>
            </w:r>
          </w:p>
          <w:p w14:paraId="67617955">
            <w:pPr>
              <w:pStyle w:val="6"/>
              <w:spacing w:before="41" w:line="219" w:lineRule="auto"/>
              <w:ind w:left="191"/>
              <w:rPr>
                <w:sz w:val="20"/>
                <w:szCs w:val="20"/>
              </w:rPr>
            </w:pPr>
            <w:r>
              <w:rPr>
                <w:spacing w:val="-3"/>
                <w:sz w:val="20"/>
                <w:szCs w:val="20"/>
              </w:rPr>
              <w:t>村散</w:t>
            </w:r>
          </w:p>
          <w:p w14:paraId="04D805DD">
            <w:pPr>
              <w:pStyle w:val="6"/>
              <w:spacing w:before="34" w:line="216" w:lineRule="auto"/>
              <w:ind w:left="291"/>
              <w:rPr>
                <w:sz w:val="20"/>
                <w:szCs w:val="20"/>
              </w:rPr>
            </w:pPr>
            <w:r>
              <w:rPr>
                <w:spacing w:val="-3"/>
                <w:sz w:val="20"/>
                <w:szCs w:val="20"/>
              </w:rPr>
              <w:t>户4</w:t>
            </w:r>
          </w:p>
        </w:tc>
        <w:tc>
          <w:tcPr>
            <w:tcW w:w="1158" w:type="dxa"/>
            <w:gridSpan w:val="2"/>
            <w:vMerge w:val="restart"/>
            <w:tcBorders>
              <w:bottom w:val="nil"/>
            </w:tcBorders>
            <w:vAlign w:val="top"/>
          </w:tcPr>
          <w:p w14:paraId="1FC9D90D">
            <w:pPr>
              <w:pStyle w:val="6"/>
              <w:spacing w:before="194" w:line="239" w:lineRule="auto"/>
              <w:ind w:right="5"/>
              <w:jc w:val="right"/>
              <w:rPr>
                <w:sz w:val="20"/>
                <w:szCs w:val="20"/>
              </w:rPr>
            </w:pPr>
            <w:r>
              <w:rPr>
                <w:spacing w:val="-1"/>
                <w:sz w:val="20"/>
                <w:szCs w:val="20"/>
              </w:rPr>
              <w:t>2024.09.07</w:t>
            </w:r>
          </w:p>
        </w:tc>
        <w:tc>
          <w:tcPr>
            <w:tcW w:w="859" w:type="dxa"/>
            <w:gridSpan w:val="2"/>
            <w:vAlign w:val="top"/>
          </w:tcPr>
          <w:p w14:paraId="78D3A6CD">
            <w:pPr>
              <w:pStyle w:val="6"/>
              <w:spacing w:before="47" w:line="189" w:lineRule="auto"/>
              <w:ind w:left="224"/>
              <w:rPr>
                <w:sz w:val="20"/>
                <w:szCs w:val="20"/>
              </w:rPr>
            </w:pPr>
            <w:r>
              <w:rPr>
                <w:spacing w:val="9"/>
                <w:sz w:val="20"/>
                <w:szCs w:val="20"/>
              </w:rPr>
              <w:t>昼间</w:t>
            </w:r>
          </w:p>
        </w:tc>
        <w:tc>
          <w:tcPr>
            <w:tcW w:w="1749" w:type="dxa"/>
            <w:gridSpan w:val="3"/>
            <w:vAlign w:val="top"/>
          </w:tcPr>
          <w:p w14:paraId="21E3AEE4">
            <w:pPr>
              <w:pStyle w:val="6"/>
              <w:spacing w:before="64" w:line="173" w:lineRule="auto"/>
              <w:ind w:left="375"/>
              <w:rPr>
                <w:sz w:val="20"/>
                <w:szCs w:val="20"/>
              </w:rPr>
            </w:pPr>
            <w:r>
              <w:rPr>
                <w:spacing w:val="-3"/>
                <w:sz w:val="20"/>
                <w:szCs w:val="20"/>
              </w:rPr>
              <w:t>10:47-10:57</w:t>
            </w:r>
          </w:p>
        </w:tc>
        <w:tc>
          <w:tcPr>
            <w:tcW w:w="1529" w:type="dxa"/>
            <w:gridSpan w:val="2"/>
            <w:vAlign w:val="top"/>
          </w:tcPr>
          <w:p w14:paraId="1939DF96">
            <w:pPr>
              <w:pStyle w:val="6"/>
              <w:spacing w:before="64" w:line="173" w:lineRule="auto"/>
              <w:ind w:left="656"/>
              <w:rPr>
                <w:sz w:val="20"/>
                <w:szCs w:val="20"/>
              </w:rPr>
            </w:pPr>
            <w:r>
              <w:rPr>
                <w:spacing w:val="-3"/>
                <w:sz w:val="20"/>
                <w:szCs w:val="20"/>
              </w:rPr>
              <w:t>54</w:t>
            </w:r>
          </w:p>
        </w:tc>
        <w:tc>
          <w:tcPr>
            <w:tcW w:w="1418" w:type="dxa"/>
            <w:gridSpan w:val="2"/>
            <w:vAlign w:val="top"/>
          </w:tcPr>
          <w:p w14:paraId="49DC6086">
            <w:pPr>
              <w:pStyle w:val="6"/>
              <w:spacing w:before="64" w:line="173" w:lineRule="auto"/>
              <w:ind w:left="606"/>
              <w:rPr>
                <w:sz w:val="20"/>
                <w:szCs w:val="20"/>
              </w:rPr>
            </w:pPr>
            <w:r>
              <w:rPr>
                <w:spacing w:val="-4"/>
                <w:sz w:val="20"/>
                <w:szCs w:val="20"/>
              </w:rPr>
              <w:t>70</w:t>
            </w:r>
          </w:p>
        </w:tc>
        <w:tc>
          <w:tcPr>
            <w:tcW w:w="1019" w:type="dxa"/>
            <w:gridSpan w:val="2"/>
            <w:vAlign w:val="top"/>
          </w:tcPr>
          <w:p w14:paraId="7CF6DBDA">
            <w:pPr>
              <w:pStyle w:val="6"/>
              <w:spacing w:before="45" w:line="191" w:lineRule="auto"/>
              <w:ind w:left="429"/>
              <w:rPr>
                <w:sz w:val="20"/>
                <w:szCs w:val="20"/>
              </w:rPr>
            </w:pPr>
            <w:r>
              <w:rPr>
                <w:spacing w:val="-2"/>
                <w:sz w:val="20"/>
                <w:szCs w:val="20"/>
              </w:rPr>
              <w:t>达标</w:t>
            </w:r>
          </w:p>
        </w:tc>
        <w:tc>
          <w:tcPr>
            <w:tcW w:w="285" w:type="dxa"/>
            <w:vMerge w:val="continue"/>
            <w:tcBorders>
              <w:top w:val="nil"/>
              <w:bottom w:val="nil"/>
            </w:tcBorders>
            <w:vAlign w:val="top"/>
          </w:tcPr>
          <w:p w14:paraId="663D6D19">
            <w:pPr>
              <w:rPr>
                <w:rFonts w:ascii="Arial"/>
                <w:sz w:val="21"/>
              </w:rPr>
            </w:pPr>
          </w:p>
        </w:tc>
      </w:tr>
      <w:tr w14:paraId="53774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64" w:type="dxa"/>
            <w:vMerge w:val="continue"/>
            <w:tcBorders>
              <w:top w:val="nil"/>
              <w:bottom w:val="nil"/>
            </w:tcBorders>
            <w:vAlign w:val="top"/>
          </w:tcPr>
          <w:p w14:paraId="74795F17">
            <w:pPr>
              <w:rPr>
                <w:rFonts w:ascii="Arial"/>
                <w:sz w:val="21"/>
              </w:rPr>
            </w:pPr>
          </w:p>
        </w:tc>
        <w:tc>
          <w:tcPr>
            <w:tcW w:w="110" w:type="dxa"/>
            <w:tcBorders>
              <w:top w:val="nil"/>
              <w:bottom w:val="nil"/>
            </w:tcBorders>
            <w:vAlign w:val="top"/>
          </w:tcPr>
          <w:p w14:paraId="134B28EB">
            <w:pPr>
              <w:rPr>
                <w:rFonts w:ascii="Arial"/>
                <w:sz w:val="21"/>
              </w:rPr>
            </w:pPr>
          </w:p>
        </w:tc>
        <w:tc>
          <w:tcPr>
            <w:tcW w:w="629" w:type="dxa"/>
            <w:vMerge w:val="continue"/>
            <w:tcBorders>
              <w:top w:val="nil"/>
              <w:bottom w:val="nil"/>
            </w:tcBorders>
            <w:vAlign w:val="top"/>
          </w:tcPr>
          <w:p w14:paraId="5E665D6C">
            <w:pPr>
              <w:rPr>
                <w:rFonts w:ascii="Arial"/>
                <w:sz w:val="21"/>
              </w:rPr>
            </w:pPr>
          </w:p>
        </w:tc>
        <w:tc>
          <w:tcPr>
            <w:tcW w:w="1158" w:type="dxa"/>
            <w:gridSpan w:val="2"/>
            <w:vMerge w:val="continue"/>
            <w:tcBorders>
              <w:top w:val="nil"/>
            </w:tcBorders>
            <w:vAlign w:val="top"/>
          </w:tcPr>
          <w:p w14:paraId="5FF12CDB">
            <w:pPr>
              <w:rPr>
                <w:rFonts w:ascii="Arial"/>
                <w:sz w:val="21"/>
              </w:rPr>
            </w:pPr>
          </w:p>
        </w:tc>
        <w:tc>
          <w:tcPr>
            <w:tcW w:w="859" w:type="dxa"/>
            <w:gridSpan w:val="2"/>
            <w:vAlign w:val="top"/>
          </w:tcPr>
          <w:p w14:paraId="2F965D54">
            <w:pPr>
              <w:pStyle w:val="6"/>
              <w:spacing w:before="41" w:line="195" w:lineRule="auto"/>
              <w:ind w:left="224"/>
              <w:rPr>
                <w:sz w:val="20"/>
                <w:szCs w:val="20"/>
              </w:rPr>
            </w:pPr>
            <w:r>
              <w:rPr>
                <w:spacing w:val="9"/>
                <w:sz w:val="20"/>
                <w:szCs w:val="20"/>
              </w:rPr>
              <w:t>夜间</w:t>
            </w:r>
          </w:p>
        </w:tc>
        <w:tc>
          <w:tcPr>
            <w:tcW w:w="1749" w:type="dxa"/>
            <w:gridSpan w:val="3"/>
            <w:vAlign w:val="top"/>
          </w:tcPr>
          <w:p w14:paraId="41454062">
            <w:pPr>
              <w:pStyle w:val="6"/>
              <w:spacing w:before="41" w:line="195" w:lineRule="auto"/>
              <w:ind w:left="15"/>
              <w:rPr>
                <w:sz w:val="20"/>
                <w:szCs w:val="20"/>
              </w:rPr>
            </w:pPr>
            <w:r>
              <w:rPr>
                <w:sz w:val="20"/>
                <w:szCs w:val="20"/>
              </w:rPr>
              <w:t>次日00:13-00:23</w:t>
            </w:r>
          </w:p>
        </w:tc>
        <w:tc>
          <w:tcPr>
            <w:tcW w:w="1529" w:type="dxa"/>
            <w:gridSpan w:val="2"/>
            <w:vAlign w:val="top"/>
          </w:tcPr>
          <w:p w14:paraId="1E3FEE39">
            <w:pPr>
              <w:pStyle w:val="6"/>
              <w:spacing w:before="62" w:line="176" w:lineRule="auto"/>
              <w:ind w:left="656"/>
              <w:rPr>
                <w:sz w:val="20"/>
                <w:szCs w:val="20"/>
              </w:rPr>
            </w:pPr>
            <w:r>
              <w:rPr>
                <w:spacing w:val="-2"/>
                <w:sz w:val="20"/>
                <w:szCs w:val="20"/>
              </w:rPr>
              <w:t>44</w:t>
            </w:r>
          </w:p>
        </w:tc>
        <w:tc>
          <w:tcPr>
            <w:tcW w:w="1418" w:type="dxa"/>
            <w:gridSpan w:val="2"/>
            <w:vAlign w:val="top"/>
          </w:tcPr>
          <w:p w14:paraId="61602A6E">
            <w:pPr>
              <w:pStyle w:val="6"/>
              <w:spacing w:before="62" w:line="176" w:lineRule="auto"/>
              <w:ind w:left="606"/>
              <w:rPr>
                <w:sz w:val="20"/>
                <w:szCs w:val="20"/>
              </w:rPr>
            </w:pPr>
            <w:r>
              <w:rPr>
                <w:spacing w:val="-3"/>
                <w:sz w:val="20"/>
                <w:szCs w:val="20"/>
              </w:rPr>
              <w:t>55</w:t>
            </w:r>
          </w:p>
        </w:tc>
        <w:tc>
          <w:tcPr>
            <w:tcW w:w="1019" w:type="dxa"/>
            <w:gridSpan w:val="2"/>
            <w:vAlign w:val="top"/>
          </w:tcPr>
          <w:p w14:paraId="75FD62BC">
            <w:pPr>
              <w:pStyle w:val="6"/>
              <w:spacing w:before="42" w:line="194" w:lineRule="auto"/>
              <w:ind w:left="429"/>
              <w:rPr>
                <w:sz w:val="20"/>
                <w:szCs w:val="20"/>
              </w:rPr>
            </w:pPr>
            <w:r>
              <w:rPr>
                <w:spacing w:val="-2"/>
                <w:sz w:val="20"/>
                <w:szCs w:val="20"/>
              </w:rPr>
              <w:t>达标</w:t>
            </w:r>
          </w:p>
        </w:tc>
        <w:tc>
          <w:tcPr>
            <w:tcW w:w="285" w:type="dxa"/>
            <w:vMerge w:val="continue"/>
            <w:tcBorders>
              <w:top w:val="nil"/>
              <w:bottom w:val="nil"/>
            </w:tcBorders>
            <w:vAlign w:val="top"/>
          </w:tcPr>
          <w:p w14:paraId="51964F72">
            <w:pPr>
              <w:rPr>
                <w:rFonts w:ascii="Arial"/>
                <w:sz w:val="21"/>
              </w:rPr>
            </w:pPr>
          </w:p>
        </w:tc>
      </w:tr>
      <w:tr w14:paraId="6A052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664" w:type="dxa"/>
            <w:vMerge w:val="continue"/>
            <w:tcBorders>
              <w:top w:val="nil"/>
              <w:bottom w:val="nil"/>
            </w:tcBorders>
            <w:vAlign w:val="top"/>
          </w:tcPr>
          <w:p w14:paraId="56D20512">
            <w:pPr>
              <w:rPr>
                <w:rFonts w:ascii="Arial"/>
                <w:sz w:val="21"/>
              </w:rPr>
            </w:pPr>
          </w:p>
        </w:tc>
        <w:tc>
          <w:tcPr>
            <w:tcW w:w="110" w:type="dxa"/>
            <w:tcBorders>
              <w:top w:val="nil"/>
              <w:bottom w:val="nil"/>
            </w:tcBorders>
            <w:vAlign w:val="top"/>
          </w:tcPr>
          <w:p w14:paraId="76972B1F">
            <w:pPr>
              <w:rPr>
                <w:rFonts w:ascii="Arial"/>
                <w:sz w:val="21"/>
              </w:rPr>
            </w:pPr>
          </w:p>
        </w:tc>
        <w:tc>
          <w:tcPr>
            <w:tcW w:w="629" w:type="dxa"/>
            <w:vMerge w:val="continue"/>
            <w:tcBorders>
              <w:top w:val="nil"/>
              <w:bottom w:val="nil"/>
            </w:tcBorders>
            <w:vAlign w:val="top"/>
          </w:tcPr>
          <w:p w14:paraId="409C0A86">
            <w:pPr>
              <w:rPr>
                <w:rFonts w:ascii="Arial"/>
                <w:sz w:val="21"/>
              </w:rPr>
            </w:pPr>
          </w:p>
        </w:tc>
        <w:tc>
          <w:tcPr>
            <w:tcW w:w="1158" w:type="dxa"/>
            <w:gridSpan w:val="2"/>
            <w:vMerge w:val="restart"/>
            <w:tcBorders>
              <w:bottom w:val="nil"/>
            </w:tcBorders>
            <w:vAlign w:val="top"/>
          </w:tcPr>
          <w:p w14:paraId="098CC29E">
            <w:pPr>
              <w:pStyle w:val="6"/>
              <w:spacing w:before="209" w:line="239" w:lineRule="auto"/>
              <w:ind w:right="5"/>
              <w:jc w:val="right"/>
              <w:rPr>
                <w:sz w:val="20"/>
                <w:szCs w:val="20"/>
              </w:rPr>
            </w:pPr>
            <w:r>
              <w:rPr>
                <w:spacing w:val="-1"/>
                <w:sz w:val="20"/>
                <w:szCs w:val="20"/>
              </w:rPr>
              <w:t>2024.09.08</w:t>
            </w:r>
          </w:p>
        </w:tc>
        <w:tc>
          <w:tcPr>
            <w:tcW w:w="859" w:type="dxa"/>
            <w:gridSpan w:val="2"/>
            <w:vAlign w:val="top"/>
          </w:tcPr>
          <w:p w14:paraId="2051B772">
            <w:pPr>
              <w:pStyle w:val="6"/>
              <w:spacing w:before="51" w:line="193" w:lineRule="auto"/>
              <w:ind w:left="224"/>
              <w:rPr>
                <w:sz w:val="20"/>
                <w:szCs w:val="20"/>
              </w:rPr>
            </w:pPr>
            <w:r>
              <w:rPr>
                <w:spacing w:val="9"/>
                <w:sz w:val="20"/>
                <w:szCs w:val="20"/>
              </w:rPr>
              <w:t>昼间</w:t>
            </w:r>
          </w:p>
        </w:tc>
        <w:tc>
          <w:tcPr>
            <w:tcW w:w="1749" w:type="dxa"/>
            <w:gridSpan w:val="3"/>
            <w:vAlign w:val="top"/>
          </w:tcPr>
          <w:p w14:paraId="04F0B5F0">
            <w:pPr>
              <w:pStyle w:val="6"/>
              <w:spacing w:before="69" w:line="177" w:lineRule="auto"/>
              <w:ind w:left="375"/>
              <w:rPr>
                <w:sz w:val="20"/>
                <w:szCs w:val="20"/>
              </w:rPr>
            </w:pPr>
            <w:r>
              <w:rPr>
                <w:spacing w:val="-3"/>
                <w:sz w:val="20"/>
                <w:szCs w:val="20"/>
              </w:rPr>
              <w:t>11:42-11:52</w:t>
            </w:r>
          </w:p>
        </w:tc>
        <w:tc>
          <w:tcPr>
            <w:tcW w:w="1529" w:type="dxa"/>
            <w:gridSpan w:val="2"/>
            <w:vAlign w:val="top"/>
          </w:tcPr>
          <w:p w14:paraId="3581678C">
            <w:pPr>
              <w:pStyle w:val="6"/>
              <w:spacing w:before="69" w:line="177" w:lineRule="auto"/>
              <w:ind w:left="656"/>
              <w:rPr>
                <w:sz w:val="20"/>
                <w:szCs w:val="20"/>
              </w:rPr>
            </w:pPr>
            <w:r>
              <w:rPr>
                <w:spacing w:val="-3"/>
                <w:sz w:val="20"/>
                <w:szCs w:val="20"/>
              </w:rPr>
              <w:t>54</w:t>
            </w:r>
          </w:p>
        </w:tc>
        <w:tc>
          <w:tcPr>
            <w:tcW w:w="1418" w:type="dxa"/>
            <w:gridSpan w:val="2"/>
            <w:vAlign w:val="top"/>
          </w:tcPr>
          <w:p w14:paraId="205E874C">
            <w:pPr>
              <w:pStyle w:val="6"/>
              <w:spacing w:before="69" w:line="177" w:lineRule="auto"/>
              <w:ind w:left="606"/>
              <w:rPr>
                <w:sz w:val="20"/>
                <w:szCs w:val="20"/>
              </w:rPr>
            </w:pPr>
            <w:r>
              <w:rPr>
                <w:spacing w:val="-4"/>
                <w:sz w:val="20"/>
                <w:szCs w:val="20"/>
              </w:rPr>
              <w:t>70</w:t>
            </w:r>
          </w:p>
        </w:tc>
        <w:tc>
          <w:tcPr>
            <w:tcW w:w="1019" w:type="dxa"/>
            <w:gridSpan w:val="2"/>
            <w:vAlign w:val="top"/>
          </w:tcPr>
          <w:p w14:paraId="6333275B">
            <w:pPr>
              <w:pStyle w:val="6"/>
              <w:spacing w:before="49" w:line="195" w:lineRule="auto"/>
              <w:ind w:left="429"/>
              <w:rPr>
                <w:sz w:val="20"/>
                <w:szCs w:val="20"/>
              </w:rPr>
            </w:pPr>
            <w:r>
              <w:rPr>
                <w:spacing w:val="-2"/>
                <w:sz w:val="20"/>
                <w:szCs w:val="20"/>
              </w:rPr>
              <w:t>达标</w:t>
            </w:r>
          </w:p>
        </w:tc>
        <w:tc>
          <w:tcPr>
            <w:tcW w:w="285" w:type="dxa"/>
            <w:vMerge w:val="continue"/>
            <w:tcBorders>
              <w:top w:val="nil"/>
              <w:bottom w:val="nil"/>
            </w:tcBorders>
            <w:vAlign w:val="top"/>
          </w:tcPr>
          <w:p w14:paraId="20211BD4">
            <w:pPr>
              <w:rPr>
                <w:rFonts w:ascii="Arial"/>
                <w:sz w:val="21"/>
              </w:rPr>
            </w:pPr>
          </w:p>
        </w:tc>
      </w:tr>
      <w:tr w14:paraId="4EBFA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64" w:type="dxa"/>
            <w:vMerge w:val="continue"/>
            <w:tcBorders>
              <w:top w:val="nil"/>
              <w:bottom w:val="nil"/>
            </w:tcBorders>
            <w:vAlign w:val="top"/>
          </w:tcPr>
          <w:p w14:paraId="4A79978A">
            <w:pPr>
              <w:rPr>
                <w:rFonts w:ascii="Arial"/>
                <w:sz w:val="21"/>
              </w:rPr>
            </w:pPr>
          </w:p>
        </w:tc>
        <w:tc>
          <w:tcPr>
            <w:tcW w:w="110" w:type="dxa"/>
            <w:tcBorders>
              <w:top w:val="nil"/>
              <w:bottom w:val="nil"/>
            </w:tcBorders>
            <w:vAlign w:val="top"/>
          </w:tcPr>
          <w:p w14:paraId="12C846ED">
            <w:pPr>
              <w:rPr>
                <w:rFonts w:ascii="Arial"/>
                <w:sz w:val="21"/>
              </w:rPr>
            </w:pPr>
          </w:p>
        </w:tc>
        <w:tc>
          <w:tcPr>
            <w:tcW w:w="629" w:type="dxa"/>
            <w:vMerge w:val="continue"/>
            <w:tcBorders>
              <w:top w:val="nil"/>
            </w:tcBorders>
            <w:vAlign w:val="top"/>
          </w:tcPr>
          <w:p w14:paraId="3E4A0E28">
            <w:pPr>
              <w:rPr>
                <w:rFonts w:ascii="Arial"/>
                <w:sz w:val="21"/>
              </w:rPr>
            </w:pPr>
          </w:p>
        </w:tc>
        <w:tc>
          <w:tcPr>
            <w:tcW w:w="1158" w:type="dxa"/>
            <w:gridSpan w:val="2"/>
            <w:vMerge w:val="continue"/>
            <w:tcBorders>
              <w:top w:val="nil"/>
            </w:tcBorders>
            <w:vAlign w:val="top"/>
          </w:tcPr>
          <w:p w14:paraId="11B4E531">
            <w:pPr>
              <w:rPr>
                <w:rFonts w:ascii="Arial"/>
                <w:sz w:val="21"/>
              </w:rPr>
            </w:pPr>
          </w:p>
        </w:tc>
        <w:tc>
          <w:tcPr>
            <w:tcW w:w="859" w:type="dxa"/>
            <w:gridSpan w:val="2"/>
            <w:vAlign w:val="top"/>
          </w:tcPr>
          <w:p w14:paraId="3E45CD73">
            <w:pPr>
              <w:pStyle w:val="6"/>
              <w:spacing w:before="48" w:line="198" w:lineRule="auto"/>
              <w:ind w:left="274"/>
              <w:rPr>
                <w:sz w:val="20"/>
                <w:szCs w:val="20"/>
              </w:rPr>
            </w:pPr>
            <w:r>
              <w:rPr>
                <w:spacing w:val="9"/>
                <w:sz w:val="20"/>
                <w:szCs w:val="20"/>
              </w:rPr>
              <w:t>夜间</w:t>
            </w:r>
          </w:p>
        </w:tc>
        <w:tc>
          <w:tcPr>
            <w:tcW w:w="1749" w:type="dxa"/>
            <w:gridSpan w:val="3"/>
            <w:vAlign w:val="top"/>
          </w:tcPr>
          <w:p w14:paraId="47FDCDBD">
            <w:pPr>
              <w:pStyle w:val="6"/>
              <w:spacing w:before="48" w:line="198" w:lineRule="auto"/>
              <w:ind w:left="15"/>
              <w:rPr>
                <w:sz w:val="20"/>
                <w:szCs w:val="20"/>
              </w:rPr>
            </w:pPr>
            <w:r>
              <w:rPr>
                <w:sz w:val="20"/>
                <w:szCs w:val="20"/>
              </w:rPr>
              <w:t>次日00:25-00:35</w:t>
            </w:r>
          </w:p>
        </w:tc>
        <w:tc>
          <w:tcPr>
            <w:tcW w:w="1529" w:type="dxa"/>
            <w:gridSpan w:val="2"/>
            <w:vAlign w:val="top"/>
          </w:tcPr>
          <w:p w14:paraId="21470599">
            <w:pPr>
              <w:pStyle w:val="6"/>
              <w:spacing w:before="67" w:line="180" w:lineRule="auto"/>
              <w:ind w:left="656"/>
              <w:rPr>
                <w:sz w:val="20"/>
                <w:szCs w:val="20"/>
              </w:rPr>
            </w:pPr>
            <w:r>
              <w:rPr>
                <w:spacing w:val="-2"/>
                <w:sz w:val="20"/>
                <w:szCs w:val="20"/>
              </w:rPr>
              <w:t>42</w:t>
            </w:r>
          </w:p>
        </w:tc>
        <w:tc>
          <w:tcPr>
            <w:tcW w:w="1418" w:type="dxa"/>
            <w:gridSpan w:val="2"/>
            <w:vAlign w:val="top"/>
          </w:tcPr>
          <w:p w14:paraId="486F57CB">
            <w:pPr>
              <w:pStyle w:val="6"/>
              <w:spacing w:before="67" w:line="180" w:lineRule="auto"/>
              <w:ind w:left="606"/>
              <w:rPr>
                <w:sz w:val="20"/>
                <w:szCs w:val="20"/>
              </w:rPr>
            </w:pPr>
            <w:r>
              <w:rPr>
                <w:spacing w:val="-3"/>
                <w:sz w:val="20"/>
                <w:szCs w:val="20"/>
              </w:rPr>
              <w:t>55</w:t>
            </w:r>
          </w:p>
        </w:tc>
        <w:tc>
          <w:tcPr>
            <w:tcW w:w="1019" w:type="dxa"/>
            <w:gridSpan w:val="2"/>
            <w:vAlign w:val="top"/>
          </w:tcPr>
          <w:p w14:paraId="44C9B0CA">
            <w:pPr>
              <w:pStyle w:val="6"/>
              <w:spacing w:before="48" w:line="198" w:lineRule="auto"/>
              <w:ind w:left="429"/>
              <w:rPr>
                <w:sz w:val="20"/>
                <w:szCs w:val="20"/>
              </w:rPr>
            </w:pPr>
            <w:r>
              <w:rPr>
                <w:spacing w:val="-2"/>
                <w:sz w:val="20"/>
                <w:szCs w:val="20"/>
              </w:rPr>
              <w:t>达标</w:t>
            </w:r>
          </w:p>
        </w:tc>
        <w:tc>
          <w:tcPr>
            <w:tcW w:w="285" w:type="dxa"/>
            <w:vMerge w:val="continue"/>
            <w:tcBorders>
              <w:top w:val="nil"/>
              <w:bottom w:val="nil"/>
            </w:tcBorders>
            <w:vAlign w:val="top"/>
          </w:tcPr>
          <w:p w14:paraId="5C778832">
            <w:pPr>
              <w:rPr>
                <w:rFonts w:ascii="Arial"/>
                <w:sz w:val="21"/>
              </w:rPr>
            </w:pPr>
          </w:p>
        </w:tc>
      </w:tr>
      <w:tr w14:paraId="35ECD5BA">
        <w:tblPrEx>
          <w:tblCellMar>
            <w:top w:w="0" w:type="dxa"/>
            <w:left w:w="0" w:type="dxa"/>
            <w:bottom w:w="0" w:type="dxa"/>
            <w:right w:w="0" w:type="dxa"/>
          </w:tblCellMar>
        </w:tblPrEx>
        <w:trPr>
          <w:trHeight w:val="297" w:hRule="atLeast"/>
        </w:trPr>
        <w:tc>
          <w:tcPr>
            <w:tcW w:w="664" w:type="dxa"/>
            <w:vMerge w:val="continue"/>
            <w:tcBorders>
              <w:top w:val="nil"/>
              <w:bottom w:val="nil"/>
            </w:tcBorders>
            <w:vAlign w:val="top"/>
          </w:tcPr>
          <w:p w14:paraId="29DE4367">
            <w:pPr>
              <w:rPr>
                <w:rFonts w:ascii="Arial"/>
                <w:sz w:val="21"/>
              </w:rPr>
            </w:pPr>
          </w:p>
        </w:tc>
        <w:tc>
          <w:tcPr>
            <w:tcW w:w="110" w:type="dxa"/>
            <w:tcBorders>
              <w:top w:val="nil"/>
              <w:bottom w:val="nil"/>
            </w:tcBorders>
            <w:vAlign w:val="top"/>
          </w:tcPr>
          <w:p w14:paraId="3687AC75">
            <w:pPr>
              <w:rPr>
                <w:rFonts w:ascii="Arial"/>
                <w:sz w:val="21"/>
              </w:rPr>
            </w:pPr>
          </w:p>
        </w:tc>
        <w:tc>
          <w:tcPr>
            <w:tcW w:w="629" w:type="dxa"/>
            <w:vMerge w:val="restart"/>
            <w:tcBorders>
              <w:bottom w:val="nil"/>
            </w:tcBorders>
            <w:vAlign w:val="top"/>
          </w:tcPr>
          <w:p w14:paraId="0656BDAE">
            <w:pPr>
              <w:pStyle w:val="6"/>
              <w:spacing w:before="74" w:line="241" w:lineRule="auto"/>
              <w:ind w:left="191" w:right="4"/>
              <w:jc w:val="both"/>
              <w:rPr>
                <w:sz w:val="20"/>
                <w:szCs w:val="20"/>
              </w:rPr>
            </w:pPr>
            <w:r>
              <w:rPr>
                <w:spacing w:val="-3"/>
                <w:sz w:val="20"/>
                <w:szCs w:val="20"/>
              </w:rPr>
              <w:t>8#发</w:t>
            </w:r>
            <w:r>
              <w:rPr>
                <w:sz w:val="20"/>
                <w:szCs w:val="20"/>
              </w:rPr>
              <w:t xml:space="preserve"> </w:t>
            </w:r>
            <w:r>
              <w:rPr>
                <w:spacing w:val="11"/>
                <w:sz w:val="20"/>
                <w:szCs w:val="20"/>
              </w:rPr>
              <w:t>峨哨</w:t>
            </w:r>
            <w:r>
              <w:rPr>
                <w:sz w:val="20"/>
                <w:szCs w:val="20"/>
              </w:rPr>
              <w:t xml:space="preserve"> </w:t>
            </w:r>
            <w:r>
              <w:rPr>
                <w:spacing w:val="-5"/>
                <w:sz w:val="20"/>
                <w:szCs w:val="20"/>
              </w:rPr>
              <w:t>村散</w:t>
            </w:r>
            <w:r>
              <w:rPr>
                <w:sz w:val="20"/>
                <w:szCs w:val="20"/>
              </w:rPr>
              <w:t xml:space="preserve"> </w:t>
            </w:r>
            <w:r>
              <w:rPr>
                <w:spacing w:val="11"/>
                <w:sz w:val="20"/>
                <w:szCs w:val="20"/>
              </w:rPr>
              <w:t>户</w:t>
            </w:r>
          </w:p>
        </w:tc>
        <w:tc>
          <w:tcPr>
            <w:tcW w:w="1158" w:type="dxa"/>
            <w:gridSpan w:val="2"/>
            <w:vMerge w:val="restart"/>
            <w:tcBorders>
              <w:bottom w:val="nil"/>
            </w:tcBorders>
            <w:vAlign w:val="top"/>
          </w:tcPr>
          <w:p w14:paraId="154EEECE">
            <w:pPr>
              <w:pStyle w:val="6"/>
              <w:spacing w:before="215" w:line="239" w:lineRule="auto"/>
              <w:ind w:right="5"/>
              <w:jc w:val="right"/>
              <w:rPr>
                <w:sz w:val="20"/>
                <w:szCs w:val="20"/>
              </w:rPr>
            </w:pPr>
            <w:r>
              <w:rPr>
                <w:spacing w:val="-1"/>
                <w:sz w:val="20"/>
                <w:szCs w:val="20"/>
              </w:rPr>
              <w:t>2024.09.07</w:t>
            </w:r>
          </w:p>
        </w:tc>
        <w:tc>
          <w:tcPr>
            <w:tcW w:w="859" w:type="dxa"/>
            <w:gridSpan w:val="2"/>
            <w:vAlign w:val="top"/>
          </w:tcPr>
          <w:p w14:paraId="78C063C4">
            <w:pPr>
              <w:pStyle w:val="6"/>
              <w:spacing w:before="58" w:line="211" w:lineRule="auto"/>
              <w:ind w:left="224"/>
              <w:rPr>
                <w:sz w:val="20"/>
                <w:szCs w:val="20"/>
              </w:rPr>
            </w:pPr>
            <w:r>
              <w:rPr>
                <w:spacing w:val="9"/>
                <w:sz w:val="20"/>
                <w:szCs w:val="20"/>
              </w:rPr>
              <w:t>昼间</w:t>
            </w:r>
          </w:p>
        </w:tc>
        <w:tc>
          <w:tcPr>
            <w:tcW w:w="1749" w:type="dxa"/>
            <w:gridSpan w:val="3"/>
            <w:vAlign w:val="top"/>
          </w:tcPr>
          <w:p w14:paraId="6F92EA8F">
            <w:pPr>
              <w:pStyle w:val="6"/>
              <w:spacing w:before="75" w:line="195" w:lineRule="auto"/>
              <w:ind w:left="375"/>
              <w:rPr>
                <w:sz w:val="20"/>
                <w:szCs w:val="20"/>
              </w:rPr>
            </w:pPr>
            <w:r>
              <w:rPr>
                <w:spacing w:val="-3"/>
                <w:sz w:val="20"/>
                <w:szCs w:val="20"/>
              </w:rPr>
              <w:t>11:12-11:22</w:t>
            </w:r>
          </w:p>
        </w:tc>
        <w:tc>
          <w:tcPr>
            <w:tcW w:w="1529" w:type="dxa"/>
            <w:gridSpan w:val="2"/>
            <w:vAlign w:val="top"/>
          </w:tcPr>
          <w:p w14:paraId="5787EB4A">
            <w:pPr>
              <w:pStyle w:val="6"/>
              <w:spacing w:before="75" w:line="195" w:lineRule="auto"/>
              <w:ind w:left="656"/>
              <w:rPr>
                <w:sz w:val="20"/>
                <w:szCs w:val="20"/>
              </w:rPr>
            </w:pPr>
            <w:r>
              <w:rPr>
                <w:spacing w:val="-2"/>
                <w:sz w:val="20"/>
                <w:szCs w:val="20"/>
              </w:rPr>
              <w:t>43</w:t>
            </w:r>
          </w:p>
        </w:tc>
        <w:tc>
          <w:tcPr>
            <w:tcW w:w="1418" w:type="dxa"/>
            <w:gridSpan w:val="2"/>
            <w:vAlign w:val="top"/>
          </w:tcPr>
          <w:p w14:paraId="721B8DAF">
            <w:pPr>
              <w:pStyle w:val="6"/>
              <w:spacing w:before="75" w:line="195" w:lineRule="auto"/>
              <w:ind w:left="606"/>
              <w:rPr>
                <w:sz w:val="20"/>
                <w:szCs w:val="20"/>
              </w:rPr>
            </w:pPr>
            <w:r>
              <w:rPr>
                <w:spacing w:val="-3"/>
                <w:sz w:val="20"/>
                <w:szCs w:val="20"/>
              </w:rPr>
              <w:t>55</w:t>
            </w:r>
          </w:p>
        </w:tc>
        <w:tc>
          <w:tcPr>
            <w:tcW w:w="1019" w:type="dxa"/>
            <w:gridSpan w:val="2"/>
            <w:vAlign w:val="top"/>
          </w:tcPr>
          <w:p w14:paraId="28822150">
            <w:pPr>
              <w:pStyle w:val="6"/>
              <w:spacing w:before="56" w:line="213" w:lineRule="auto"/>
              <w:ind w:left="429"/>
              <w:rPr>
                <w:sz w:val="20"/>
                <w:szCs w:val="20"/>
              </w:rPr>
            </w:pPr>
            <w:r>
              <w:rPr>
                <w:spacing w:val="-2"/>
                <w:sz w:val="20"/>
                <w:szCs w:val="20"/>
              </w:rPr>
              <w:t>达标</w:t>
            </w:r>
          </w:p>
        </w:tc>
        <w:tc>
          <w:tcPr>
            <w:tcW w:w="285" w:type="dxa"/>
            <w:vMerge w:val="continue"/>
            <w:tcBorders>
              <w:top w:val="nil"/>
              <w:bottom w:val="nil"/>
            </w:tcBorders>
            <w:vAlign w:val="top"/>
          </w:tcPr>
          <w:p w14:paraId="41BC8E56">
            <w:pPr>
              <w:rPr>
                <w:rFonts w:ascii="Arial"/>
                <w:sz w:val="21"/>
              </w:rPr>
            </w:pPr>
          </w:p>
        </w:tc>
      </w:tr>
      <w:tr w14:paraId="6F7D5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664" w:type="dxa"/>
            <w:vMerge w:val="continue"/>
            <w:tcBorders>
              <w:top w:val="nil"/>
              <w:bottom w:val="nil"/>
            </w:tcBorders>
            <w:vAlign w:val="top"/>
          </w:tcPr>
          <w:p w14:paraId="550B541B">
            <w:pPr>
              <w:rPr>
                <w:rFonts w:ascii="Arial"/>
                <w:sz w:val="21"/>
              </w:rPr>
            </w:pPr>
          </w:p>
        </w:tc>
        <w:tc>
          <w:tcPr>
            <w:tcW w:w="110" w:type="dxa"/>
            <w:tcBorders>
              <w:top w:val="nil"/>
              <w:bottom w:val="nil"/>
            </w:tcBorders>
            <w:vAlign w:val="top"/>
          </w:tcPr>
          <w:p w14:paraId="0627B1D4">
            <w:pPr>
              <w:rPr>
                <w:rFonts w:ascii="Arial"/>
                <w:sz w:val="21"/>
              </w:rPr>
            </w:pPr>
          </w:p>
        </w:tc>
        <w:tc>
          <w:tcPr>
            <w:tcW w:w="629" w:type="dxa"/>
            <w:vMerge w:val="continue"/>
            <w:tcBorders>
              <w:top w:val="nil"/>
              <w:bottom w:val="nil"/>
            </w:tcBorders>
            <w:vAlign w:val="top"/>
          </w:tcPr>
          <w:p w14:paraId="743CFC73">
            <w:pPr>
              <w:rPr>
                <w:rFonts w:ascii="Arial"/>
                <w:sz w:val="21"/>
              </w:rPr>
            </w:pPr>
          </w:p>
        </w:tc>
        <w:tc>
          <w:tcPr>
            <w:tcW w:w="1158" w:type="dxa"/>
            <w:gridSpan w:val="2"/>
            <w:vMerge w:val="continue"/>
            <w:tcBorders>
              <w:top w:val="nil"/>
            </w:tcBorders>
            <w:vAlign w:val="top"/>
          </w:tcPr>
          <w:p w14:paraId="63D177CC">
            <w:pPr>
              <w:rPr>
                <w:rFonts w:ascii="Arial"/>
                <w:sz w:val="21"/>
              </w:rPr>
            </w:pPr>
          </w:p>
        </w:tc>
        <w:tc>
          <w:tcPr>
            <w:tcW w:w="859" w:type="dxa"/>
            <w:gridSpan w:val="2"/>
            <w:vAlign w:val="top"/>
          </w:tcPr>
          <w:p w14:paraId="23507323">
            <w:pPr>
              <w:pStyle w:val="6"/>
              <w:spacing w:before="37" w:line="198" w:lineRule="auto"/>
              <w:ind w:left="284"/>
              <w:rPr>
                <w:sz w:val="20"/>
                <w:szCs w:val="20"/>
              </w:rPr>
            </w:pPr>
            <w:r>
              <w:rPr>
                <w:spacing w:val="9"/>
                <w:sz w:val="20"/>
                <w:szCs w:val="20"/>
              </w:rPr>
              <w:t>夜间</w:t>
            </w:r>
          </w:p>
        </w:tc>
        <w:tc>
          <w:tcPr>
            <w:tcW w:w="1749" w:type="dxa"/>
            <w:gridSpan w:val="3"/>
            <w:vAlign w:val="top"/>
          </w:tcPr>
          <w:p w14:paraId="115EBEB3">
            <w:pPr>
              <w:pStyle w:val="6"/>
              <w:spacing w:before="37" w:line="198" w:lineRule="auto"/>
              <w:ind w:left="15"/>
              <w:rPr>
                <w:sz w:val="20"/>
                <w:szCs w:val="20"/>
              </w:rPr>
            </w:pPr>
            <w:r>
              <w:rPr>
                <w:sz w:val="20"/>
                <w:szCs w:val="20"/>
              </w:rPr>
              <w:t>次日00:35-00:45</w:t>
            </w:r>
          </w:p>
        </w:tc>
        <w:tc>
          <w:tcPr>
            <w:tcW w:w="1529" w:type="dxa"/>
            <w:gridSpan w:val="2"/>
            <w:vAlign w:val="top"/>
          </w:tcPr>
          <w:p w14:paraId="43579E8F">
            <w:pPr>
              <w:pStyle w:val="6"/>
              <w:spacing w:before="58" w:line="179" w:lineRule="auto"/>
              <w:ind w:left="656"/>
              <w:rPr>
                <w:sz w:val="20"/>
                <w:szCs w:val="20"/>
              </w:rPr>
            </w:pPr>
            <w:r>
              <w:rPr>
                <w:spacing w:val="-2"/>
                <w:sz w:val="20"/>
                <w:szCs w:val="20"/>
              </w:rPr>
              <w:t>43</w:t>
            </w:r>
          </w:p>
        </w:tc>
        <w:tc>
          <w:tcPr>
            <w:tcW w:w="1418" w:type="dxa"/>
            <w:gridSpan w:val="2"/>
            <w:vAlign w:val="top"/>
          </w:tcPr>
          <w:p w14:paraId="420FBAE6">
            <w:pPr>
              <w:pStyle w:val="6"/>
              <w:spacing w:before="58" w:line="179" w:lineRule="auto"/>
              <w:ind w:left="607"/>
              <w:rPr>
                <w:sz w:val="20"/>
                <w:szCs w:val="20"/>
              </w:rPr>
            </w:pPr>
            <w:r>
              <w:rPr>
                <w:spacing w:val="-2"/>
                <w:sz w:val="20"/>
                <w:szCs w:val="20"/>
              </w:rPr>
              <w:t>45</w:t>
            </w:r>
          </w:p>
        </w:tc>
        <w:tc>
          <w:tcPr>
            <w:tcW w:w="1019" w:type="dxa"/>
            <w:gridSpan w:val="2"/>
            <w:vAlign w:val="top"/>
          </w:tcPr>
          <w:p w14:paraId="0A3C0E54">
            <w:pPr>
              <w:pStyle w:val="6"/>
              <w:spacing w:before="38" w:line="197" w:lineRule="auto"/>
              <w:ind w:left="429"/>
              <w:rPr>
                <w:sz w:val="20"/>
                <w:szCs w:val="20"/>
              </w:rPr>
            </w:pPr>
            <w:r>
              <w:rPr>
                <w:spacing w:val="-2"/>
                <w:sz w:val="20"/>
                <w:szCs w:val="20"/>
              </w:rPr>
              <w:t>达标</w:t>
            </w:r>
          </w:p>
        </w:tc>
        <w:tc>
          <w:tcPr>
            <w:tcW w:w="285" w:type="dxa"/>
            <w:vMerge w:val="continue"/>
            <w:tcBorders>
              <w:top w:val="nil"/>
              <w:bottom w:val="nil"/>
            </w:tcBorders>
            <w:vAlign w:val="top"/>
          </w:tcPr>
          <w:p w14:paraId="128498BE">
            <w:pPr>
              <w:rPr>
                <w:rFonts w:ascii="Arial"/>
                <w:sz w:val="21"/>
              </w:rPr>
            </w:pPr>
          </w:p>
        </w:tc>
      </w:tr>
      <w:tr w14:paraId="1034F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64" w:type="dxa"/>
            <w:vMerge w:val="continue"/>
            <w:tcBorders>
              <w:top w:val="nil"/>
              <w:bottom w:val="nil"/>
            </w:tcBorders>
            <w:vAlign w:val="top"/>
          </w:tcPr>
          <w:p w14:paraId="552D24A6">
            <w:pPr>
              <w:rPr>
                <w:rFonts w:ascii="Arial"/>
                <w:sz w:val="21"/>
              </w:rPr>
            </w:pPr>
          </w:p>
        </w:tc>
        <w:tc>
          <w:tcPr>
            <w:tcW w:w="110" w:type="dxa"/>
            <w:tcBorders>
              <w:top w:val="nil"/>
              <w:bottom w:val="nil"/>
            </w:tcBorders>
            <w:vAlign w:val="top"/>
          </w:tcPr>
          <w:p w14:paraId="7BABFEC5">
            <w:pPr>
              <w:rPr>
                <w:rFonts w:ascii="Arial"/>
                <w:sz w:val="21"/>
              </w:rPr>
            </w:pPr>
          </w:p>
        </w:tc>
        <w:tc>
          <w:tcPr>
            <w:tcW w:w="629" w:type="dxa"/>
            <w:vMerge w:val="continue"/>
            <w:tcBorders>
              <w:top w:val="nil"/>
              <w:bottom w:val="nil"/>
            </w:tcBorders>
            <w:vAlign w:val="top"/>
          </w:tcPr>
          <w:p w14:paraId="5129D09C">
            <w:pPr>
              <w:rPr>
                <w:rFonts w:ascii="Arial"/>
                <w:sz w:val="21"/>
              </w:rPr>
            </w:pPr>
          </w:p>
        </w:tc>
        <w:tc>
          <w:tcPr>
            <w:tcW w:w="1158" w:type="dxa"/>
            <w:gridSpan w:val="2"/>
            <w:vMerge w:val="restart"/>
            <w:tcBorders>
              <w:bottom w:val="nil"/>
            </w:tcBorders>
            <w:vAlign w:val="top"/>
          </w:tcPr>
          <w:p w14:paraId="633B0EB9">
            <w:pPr>
              <w:pStyle w:val="6"/>
              <w:spacing w:before="206" w:line="239" w:lineRule="auto"/>
              <w:ind w:right="5"/>
              <w:jc w:val="right"/>
              <w:rPr>
                <w:sz w:val="20"/>
                <w:szCs w:val="20"/>
              </w:rPr>
            </w:pPr>
            <w:r>
              <w:rPr>
                <w:spacing w:val="-1"/>
                <w:sz w:val="20"/>
                <w:szCs w:val="20"/>
              </w:rPr>
              <w:t>2024.09.08</w:t>
            </w:r>
          </w:p>
        </w:tc>
        <w:tc>
          <w:tcPr>
            <w:tcW w:w="859" w:type="dxa"/>
            <w:gridSpan w:val="2"/>
            <w:vAlign w:val="top"/>
          </w:tcPr>
          <w:p w14:paraId="27E6209B">
            <w:pPr>
              <w:pStyle w:val="6"/>
              <w:spacing w:before="49" w:line="188" w:lineRule="auto"/>
              <w:ind w:left="224"/>
              <w:rPr>
                <w:sz w:val="20"/>
                <w:szCs w:val="20"/>
              </w:rPr>
            </w:pPr>
            <w:r>
              <w:rPr>
                <w:spacing w:val="9"/>
                <w:sz w:val="20"/>
                <w:szCs w:val="20"/>
              </w:rPr>
              <w:t>昼间</w:t>
            </w:r>
          </w:p>
        </w:tc>
        <w:tc>
          <w:tcPr>
            <w:tcW w:w="1749" w:type="dxa"/>
            <w:gridSpan w:val="3"/>
            <w:vAlign w:val="top"/>
          </w:tcPr>
          <w:p w14:paraId="50BAF662">
            <w:pPr>
              <w:pStyle w:val="6"/>
              <w:spacing w:before="66" w:line="172" w:lineRule="auto"/>
              <w:ind w:left="375"/>
              <w:rPr>
                <w:sz w:val="20"/>
                <w:szCs w:val="20"/>
              </w:rPr>
            </w:pPr>
            <w:r>
              <w:rPr>
                <w:spacing w:val="-3"/>
                <w:sz w:val="20"/>
                <w:szCs w:val="20"/>
              </w:rPr>
              <w:t>12:07-12:17</w:t>
            </w:r>
          </w:p>
        </w:tc>
        <w:tc>
          <w:tcPr>
            <w:tcW w:w="1529" w:type="dxa"/>
            <w:gridSpan w:val="2"/>
            <w:vAlign w:val="top"/>
          </w:tcPr>
          <w:p w14:paraId="2D623F68">
            <w:pPr>
              <w:pStyle w:val="6"/>
              <w:spacing w:before="66" w:line="172" w:lineRule="auto"/>
              <w:ind w:left="656"/>
              <w:rPr>
                <w:sz w:val="20"/>
                <w:szCs w:val="20"/>
              </w:rPr>
            </w:pPr>
            <w:r>
              <w:rPr>
                <w:spacing w:val="-2"/>
                <w:sz w:val="20"/>
                <w:szCs w:val="20"/>
              </w:rPr>
              <w:t>43</w:t>
            </w:r>
          </w:p>
        </w:tc>
        <w:tc>
          <w:tcPr>
            <w:tcW w:w="1418" w:type="dxa"/>
            <w:gridSpan w:val="2"/>
            <w:vAlign w:val="top"/>
          </w:tcPr>
          <w:p w14:paraId="24AFF015">
            <w:pPr>
              <w:pStyle w:val="6"/>
              <w:spacing w:before="66" w:line="172" w:lineRule="auto"/>
              <w:ind w:left="606"/>
              <w:rPr>
                <w:sz w:val="20"/>
                <w:szCs w:val="20"/>
              </w:rPr>
            </w:pPr>
            <w:r>
              <w:rPr>
                <w:spacing w:val="-3"/>
                <w:sz w:val="20"/>
                <w:szCs w:val="20"/>
              </w:rPr>
              <w:t>55</w:t>
            </w:r>
          </w:p>
        </w:tc>
        <w:tc>
          <w:tcPr>
            <w:tcW w:w="1019" w:type="dxa"/>
            <w:gridSpan w:val="2"/>
            <w:vAlign w:val="top"/>
          </w:tcPr>
          <w:p w14:paraId="3CD635D6">
            <w:pPr>
              <w:pStyle w:val="6"/>
              <w:spacing w:before="47" w:line="190" w:lineRule="auto"/>
              <w:ind w:left="429"/>
              <w:rPr>
                <w:sz w:val="20"/>
                <w:szCs w:val="20"/>
              </w:rPr>
            </w:pPr>
            <w:r>
              <w:rPr>
                <w:spacing w:val="-2"/>
                <w:sz w:val="20"/>
                <w:szCs w:val="20"/>
              </w:rPr>
              <w:t>达标</w:t>
            </w:r>
          </w:p>
        </w:tc>
        <w:tc>
          <w:tcPr>
            <w:tcW w:w="285" w:type="dxa"/>
            <w:vMerge w:val="continue"/>
            <w:tcBorders>
              <w:top w:val="nil"/>
              <w:bottom w:val="nil"/>
            </w:tcBorders>
            <w:vAlign w:val="top"/>
          </w:tcPr>
          <w:p w14:paraId="60EA39CE">
            <w:pPr>
              <w:rPr>
                <w:rFonts w:ascii="Arial"/>
                <w:sz w:val="21"/>
              </w:rPr>
            </w:pPr>
          </w:p>
        </w:tc>
      </w:tr>
      <w:tr w14:paraId="2E757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64" w:type="dxa"/>
            <w:vMerge w:val="continue"/>
            <w:tcBorders>
              <w:top w:val="nil"/>
              <w:bottom w:val="nil"/>
            </w:tcBorders>
            <w:vAlign w:val="top"/>
          </w:tcPr>
          <w:p w14:paraId="7D2D0516">
            <w:pPr>
              <w:rPr>
                <w:rFonts w:ascii="Arial"/>
                <w:sz w:val="21"/>
              </w:rPr>
            </w:pPr>
          </w:p>
        </w:tc>
        <w:tc>
          <w:tcPr>
            <w:tcW w:w="110" w:type="dxa"/>
            <w:tcBorders>
              <w:top w:val="nil"/>
            </w:tcBorders>
            <w:vAlign w:val="top"/>
          </w:tcPr>
          <w:p w14:paraId="124E4D2D">
            <w:pPr>
              <w:rPr>
                <w:rFonts w:ascii="Arial"/>
                <w:sz w:val="21"/>
              </w:rPr>
            </w:pPr>
          </w:p>
        </w:tc>
        <w:tc>
          <w:tcPr>
            <w:tcW w:w="629" w:type="dxa"/>
            <w:vMerge w:val="continue"/>
            <w:tcBorders>
              <w:top w:val="nil"/>
            </w:tcBorders>
            <w:vAlign w:val="top"/>
          </w:tcPr>
          <w:p w14:paraId="30687238">
            <w:pPr>
              <w:rPr>
                <w:rFonts w:ascii="Arial"/>
                <w:sz w:val="21"/>
              </w:rPr>
            </w:pPr>
          </w:p>
        </w:tc>
        <w:tc>
          <w:tcPr>
            <w:tcW w:w="1158" w:type="dxa"/>
            <w:gridSpan w:val="2"/>
            <w:vMerge w:val="continue"/>
            <w:tcBorders>
              <w:top w:val="nil"/>
            </w:tcBorders>
            <w:vAlign w:val="top"/>
          </w:tcPr>
          <w:p w14:paraId="43ED1D7D">
            <w:pPr>
              <w:rPr>
                <w:rFonts w:ascii="Arial"/>
                <w:sz w:val="21"/>
              </w:rPr>
            </w:pPr>
          </w:p>
        </w:tc>
        <w:tc>
          <w:tcPr>
            <w:tcW w:w="859" w:type="dxa"/>
            <w:gridSpan w:val="2"/>
            <w:vAlign w:val="top"/>
          </w:tcPr>
          <w:p w14:paraId="6690712D">
            <w:pPr>
              <w:pStyle w:val="6"/>
              <w:spacing w:before="52" w:line="198" w:lineRule="auto"/>
              <w:ind w:left="224"/>
              <w:rPr>
                <w:sz w:val="20"/>
                <w:szCs w:val="20"/>
              </w:rPr>
            </w:pPr>
            <w:r>
              <w:rPr>
                <w:spacing w:val="9"/>
                <w:sz w:val="20"/>
                <w:szCs w:val="20"/>
              </w:rPr>
              <w:t>夜间</w:t>
            </w:r>
          </w:p>
        </w:tc>
        <w:tc>
          <w:tcPr>
            <w:tcW w:w="1749" w:type="dxa"/>
            <w:gridSpan w:val="3"/>
            <w:vAlign w:val="top"/>
          </w:tcPr>
          <w:p w14:paraId="19EC92E7">
            <w:pPr>
              <w:pStyle w:val="6"/>
              <w:spacing w:before="52" w:line="198" w:lineRule="auto"/>
              <w:ind w:left="15"/>
              <w:rPr>
                <w:sz w:val="20"/>
                <w:szCs w:val="20"/>
              </w:rPr>
            </w:pPr>
            <w:r>
              <w:rPr>
                <w:sz w:val="20"/>
                <w:szCs w:val="20"/>
              </w:rPr>
              <w:t>次日00:49-00:59</w:t>
            </w:r>
          </w:p>
        </w:tc>
        <w:tc>
          <w:tcPr>
            <w:tcW w:w="1529" w:type="dxa"/>
            <w:gridSpan w:val="2"/>
            <w:vAlign w:val="top"/>
          </w:tcPr>
          <w:p w14:paraId="1215FDEA">
            <w:pPr>
              <w:pStyle w:val="6"/>
              <w:spacing w:before="73" w:line="179" w:lineRule="auto"/>
              <w:ind w:left="656"/>
              <w:rPr>
                <w:sz w:val="20"/>
                <w:szCs w:val="20"/>
              </w:rPr>
            </w:pPr>
            <w:r>
              <w:rPr>
                <w:spacing w:val="-2"/>
                <w:sz w:val="20"/>
                <w:szCs w:val="20"/>
              </w:rPr>
              <w:t>42</w:t>
            </w:r>
          </w:p>
        </w:tc>
        <w:tc>
          <w:tcPr>
            <w:tcW w:w="1418" w:type="dxa"/>
            <w:gridSpan w:val="2"/>
            <w:vAlign w:val="top"/>
          </w:tcPr>
          <w:p w14:paraId="3814AEEB">
            <w:pPr>
              <w:pStyle w:val="6"/>
              <w:spacing w:before="73" w:line="179" w:lineRule="auto"/>
              <w:ind w:left="607"/>
              <w:rPr>
                <w:sz w:val="20"/>
                <w:szCs w:val="20"/>
              </w:rPr>
            </w:pPr>
            <w:r>
              <w:rPr>
                <w:spacing w:val="-2"/>
                <w:sz w:val="20"/>
                <w:szCs w:val="20"/>
              </w:rPr>
              <w:t>45</w:t>
            </w:r>
          </w:p>
        </w:tc>
        <w:tc>
          <w:tcPr>
            <w:tcW w:w="1019" w:type="dxa"/>
            <w:gridSpan w:val="2"/>
            <w:vAlign w:val="top"/>
          </w:tcPr>
          <w:p w14:paraId="4ABA3447">
            <w:pPr>
              <w:pStyle w:val="6"/>
              <w:spacing w:before="53" w:line="197" w:lineRule="auto"/>
              <w:ind w:left="429"/>
              <w:rPr>
                <w:sz w:val="20"/>
                <w:szCs w:val="20"/>
              </w:rPr>
            </w:pPr>
            <w:r>
              <w:rPr>
                <w:spacing w:val="-2"/>
                <w:sz w:val="20"/>
                <w:szCs w:val="20"/>
              </w:rPr>
              <w:t>达标</w:t>
            </w:r>
          </w:p>
        </w:tc>
        <w:tc>
          <w:tcPr>
            <w:tcW w:w="285" w:type="dxa"/>
            <w:vMerge w:val="continue"/>
            <w:tcBorders>
              <w:top w:val="nil"/>
            </w:tcBorders>
            <w:vAlign w:val="top"/>
          </w:tcPr>
          <w:p w14:paraId="71E8CF7C">
            <w:pPr>
              <w:rPr>
                <w:rFonts w:ascii="Arial"/>
                <w:sz w:val="21"/>
              </w:rPr>
            </w:pPr>
          </w:p>
        </w:tc>
      </w:tr>
      <w:tr w14:paraId="64FE1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8" w:hRule="atLeast"/>
        </w:trPr>
        <w:tc>
          <w:tcPr>
            <w:tcW w:w="664" w:type="dxa"/>
            <w:vMerge w:val="continue"/>
            <w:tcBorders>
              <w:top w:val="nil"/>
              <w:bottom w:val="nil"/>
            </w:tcBorders>
            <w:vAlign w:val="top"/>
          </w:tcPr>
          <w:p w14:paraId="4D8109B8">
            <w:pPr>
              <w:rPr>
                <w:rFonts w:ascii="Arial"/>
                <w:sz w:val="21"/>
              </w:rPr>
            </w:pPr>
          </w:p>
        </w:tc>
        <w:tc>
          <w:tcPr>
            <w:tcW w:w="8756" w:type="dxa"/>
            <w:gridSpan w:val="16"/>
            <w:vAlign w:val="top"/>
          </w:tcPr>
          <w:p w14:paraId="68080DB5">
            <w:pPr>
              <w:pStyle w:val="6"/>
              <w:spacing w:before="34" w:line="431" w:lineRule="auto"/>
              <w:ind w:left="91" w:right="97" w:firstLine="509"/>
              <w:rPr>
                <w:sz w:val="20"/>
                <w:szCs w:val="20"/>
              </w:rPr>
            </w:pPr>
            <w:r>
              <w:rPr>
                <w:spacing w:val="40"/>
                <w:sz w:val="20"/>
                <w:szCs w:val="20"/>
              </w:rPr>
              <w:t>根据声环境质量现状监测结果，项目场址所在区域关心点现状声环境质量良</w:t>
            </w:r>
            <w:r>
              <w:rPr>
                <w:spacing w:val="7"/>
                <w:sz w:val="20"/>
                <w:szCs w:val="20"/>
              </w:rPr>
              <w:t xml:space="preserve">  </w:t>
            </w:r>
            <w:r>
              <w:rPr>
                <w:spacing w:val="42"/>
                <w:sz w:val="20"/>
                <w:szCs w:val="20"/>
              </w:rPr>
              <w:t>好，昼间、夜间的声环境质量可达《声环境质量标准》(</w:t>
            </w:r>
            <w:r>
              <w:rPr>
                <w:sz w:val="20"/>
                <w:szCs w:val="20"/>
              </w:rPr>
              <w:t>GB</w:t>
            </w:r>
            <w:r>
              <w:rPr>
                <w:spacing w:val="42"/>
                <w:sz w:val="20"/>
                <w:szCs w:val="20"/>
              </w:rPr>
              <w:t>3096</w:t>
            </w:r>
            <w:r>
              <w:rPr>
                <w:spacing w:val="-36"/>
                <w:sz w:val="20"/>
                <w:szCs w:val="20"/>
              </w:rPr>
              <w:t xml:space="preserve"> </w:t>
            </w:r>
            <w:r>
              <w:rPr>
                <w:spacing w:val="42"/>
                <w:sz w:val="20"/>
                <w:szCs w:val="20"/>
              </w:rPr>
              <w:t>-</w:t>
            </w:r>
            <w:r>
              <w:rPr>
                <w:spacing w:val="-46"/>
                <w:sz w:val="20"/>
                <w:szCs w:val="20"/>
              </w:rPr>
              <w:t xml:space="preserve"> </w:t>
            </w:r>
            <w:r>
              <w:rPr>
                <w:spacing w:val="42"/>
                <w:sz w:val="20"/>
                <w:szCs w:val="20"/>
              </w:rPr>
              <w:t>2008)1类区标</w:t>
            </w:r>
            <w:r>
              <w:rPr>
                <w:sz w:val="20"/>
                <w:szCs w:val="20"/>
              </w:rPr>
              <w:t xml:space="preserve"> </w:t>
            </w:r>
            <w:r>
              <w:rPr>
                <w:spacing w:val="-10"/>
                <w:sz w:val="20"/>
                <w:szCs w:val="20"/>
              </w:rPr>
              <w:t>准</w:t>
            </w:r>
            <w:r>
              <w:rPr>
                <w:spacing w:val="-29"/>
                <w:sz w:val="20"/>
                <w:szCs w:val="20"/>
              </w:rPr>
              <w:t xml:space="preserve"> </w:t>
            </w:r>
            <w:r>
              <w:rPr>
                <w:spacing w:val="-10"/>
                <w:sz w:val="20"/>
                <w:szCs w:val="20"/>
              </w:rPr>
              <w:t>要</w:t>
            </w:r>
            <w:r>
              <w:rPr>
                <w:spacing w:val="-39"/>
                <w:sz w:val="20"/>
                <w:szCs w:val="20"/>
              </w:rPr>
              <w:t xml:space="preserve"> </w:t>
            </w:r>
            <w:r>
              <w:rPr>
                <w:spacing w:val="-10"/>
                <w:sz w:val="20"/>
                <w:szCs w:val="20"/>
              </w:rPr>
              <w:t>求</w:t>
            </w:r>
            <w:r>
              <w:rPr>
                <w:spacing w:val="-40"/>
                <w:sz w:val="20"/>
                <w:szCs w:val="20"/>
              </w:rPr>
              <w:t xml:space="preserve"> </w:t>
            </w:r>
            <w:r>
              <w:rPr>
                <w:spacing w:val="-10"/>
                <w:sz w:val="20"/>
                <w:szCs w:val="20"/>
              </w:rPr>
              <w:t>和</w:t>
            </w:r>
            <w:r>
              <w:rPr>
                <w:spacing w:val="-42"/>
                <w:sz w:val="20"/>
                <w:szCs w:val="20"/>
              </w:rPr>
              <w:t xml:space="preserve"> </w:t>
            </w:r>
            <w:r>
              <w:rPr>
                <w:spacing w:val="-10"/>
                <w:sz w:val="20"/>
                <w:szCs w:val="20"/>
              </w:rPr>
              <w:t>4</w:t>
            </w:r>
            <w:r>
              <w:rPr>
                <w:spacing w:val="-40"/>
                <w:sz w:val="20"/>
                <w:szCs w:val="20"/>
              </w:rPr>
              <w:t xml:space="preserve"> </w:t>
            </w:r>
            <w:r>
              <w:rPr>
                <w:spacing w:val="-10"/>
                <w:sz w:val="20"/>
                <w:szCs w:val="20"/>
              </w:rPr>
              <w:t>a</w:t>
            </w:r>
            <w:r>
              <w:rPr>
                <w:spacing w:val="-40"/>
                <w:sz w:val="20"/>
                <w:szCs w:val="20"/>
              </w:rPr>
              <w:t xml:space="preserve"> </w:t>
            </w:r>
            <w:r>
              <w:rPr>
                <w:spacing w:val="-10"/>
                <w:sz w:val="20"/>
                <w:szCs w:val="20"/>
              </w:rPr>
              <w:t>类</w:t>
            </w:r>
            <w:r>
              <w:rPr>
                <w:spacing w:val="-26"/>
                <w:sz w:val="20"/>
                <w:szCs w:val="20"/>
              </w:rPr>
              <w:t xml:space="preserve"> </w:t>
            </w:r>
            <w:r>
              <w:rPr>
                <w:spacing w:val="-10"/>
                <w:sz w:val="20"/>
                <w:szCs w:val="20"/>
              </w:rPr>
              <w:t>区</w:t>
            </w:r>
            <w:r>
              <w:rPr>
                <w:spacing w:val="-40"/>
                <w:sz w:val="20"/>
                <w:szCs w:val="20"/>
              </w:rPr>
              <w:t xml:space="preserve"> </w:t>
            </w:r>
            <w:r>
              <w:rPr>
                <w:spacing w:val="-10"/>
                <w:sz w:val="20"/>
                <w:szCs w:val="20"/>
              </w:rPr>
              <w:t>标</w:t>
            </w:r>
            <w:r>
              <w:rPr>
                <w:spacing w:val="-39"/>
                <w:sz w:val="20"/>
                <w:szCs w:val="20"/>
              </w:rPr>
              <w:t xml:space="preserve"> </w:t>
            </w:r>
            <w:r>
              <w:rPr>
                <w:spacing w:val="-10"/>
                <w:sz w:val="20"/>
                <w:szCs w:val="20"/>
              </w:rPr>
              <w:t>准</w:t>
            </w:r>
            <w:r>
              <w:rPr>
                <w:spacing w:val="-40"/>
                <w:sz w:val="20"/>
                <w:szCs w:val="20"/>
              </w:rPr>
              <w:t xml:space="preserve"> </w:t>
            </w:r>
            <w:r>
              <w:rPr>
                <w:spacing w:val="-10"/>
                <w:sz w:val="20"/>
                <w:szCs w:val="20"/>
              </w:rPr>
              <w:t>要</w:t>
            </w:r>
            <w:r>
              <w:rPr>
                <w:spacing w:val="-39"/>
                <w:sz w:val="20"/>
                <w:szCs w:val="20"/>
              </w:rPr>
              <w:t xml:space="preserve"> </w:t>
            </w:r>
            <w:r>
              <w:rPr>
                <w:spacing w:val="-10"/>
                <w:sz w:val="20"/>
                <w:szCs w:val="20"/>
              </w:rPr>
              <w:t>求</w:t>
            </w:r>
            <w:r>
              <w:rPr>
                <w:spacing w:val="-49"/>
                <w:sz w:val="20"/>
                <w:szCs w:val="20"/>
              </w:rPr>
              <w:t xml:space="preserve"> </w:t>
            </w:r>
            <w:r>
              <w:rPr>
                <w:spacing w:val="-10"/>
                <w:sz w:val="20"/>
                <w:szCs w:val="20"/>
              </w:rPr>
              <w:t>。</w:t>
            </w:r>
          </w:p>
          <w:p w14:paraId="0D72BFA5">
            <w:pPr>
              <w:pStyle w:val="6"/>
              <w:spacing w:before="67" w:line="219" w:lineRule="auto"/>
              <w:ind w:left="2543"/>
              <w:rPr>
                <w:sz w:val="20"/>
                <w:szCs w:val="20"/>
              </w:rPr>
            </w:pPr>
            <w:r>
              <w:rPr>
                <w:b/>
                <w:bCs/>
                <w:spacing w:val="30"/>
                <w:sz w:val="20"/>
                <w:szCs w:val="20"/>
              </w:rPr>
              <w:t>3</w:t>
            </w:r>
            <w:r>
              <w:rPr>
                <w:spacing w:val="-49"/>
                <w:sz w:val="20"/>
                <w:szCs w:val="20"/>
              </w:rPr>
              <w:t xml:space="preserve"> </w:t>
            </w:r>
            <w:r>
              <w:rPr>
                <w:b/>
                <w:bCs/>
                <w:spacing w:val="30"/>
                <w:sz w:val="20"/>
                <w:szCs w:val="20"/>
              </w:rPr>
              <w:t>-</w:t>
            </w:r>
            <w:r>
              <w:rPr>
                <w:spacing w:val="-35"/>
                <w:sz w:val="20"/>
                <w:szCs w:val="20"/>
              </w:rPr>
              <w:t xml:space="preserve"> </w:t>
            </w:r>
            <w:r>
              <w:rPr>
                <w:b/>
                <w:bCs/>
                <w:spacing w:val="30"/>
                <w:sz w:val="20"/>
                <w:szCs w:val="20"/>
              </w:rPr>
              <w:t>19升压站中心点声环境质量现状</w:t>
            </w:r>
          </w:p>
        </w:tc>
      </w:tr>
      <w:tr w14:paraId="6A377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664" w:type="dxa"/>
            <w:vMerge w:val="continue"/>
            <w:tcBorders>
              <w:top w:val="nil"/>
              <w:bottom w:val="nil"/>
            </w:tcBorders>
            <w:vAlign w:val="top"/>
          </w:tcPr>
          <w:p w14:paraId="558CA7AB">
            <w:pPr>
              <w:rPr>
                <w:rFonts w:ascii="Arial"/>
                <w:sz w:val="21"/>
              </w:rPr>
            </w:pPr>
          </w:p>
        </w:tc>
        <w:tc>
          <w:tcPr>
            <w:tcW w:w="110" w:type="dxa"/>
            <w:tcBorders>
              <w:bottom w:val="nil"/>
            </w:tcBorders>
            <w:vAlign w:val="top"/>
          </w:tcPr>
          <w:p w14:paraId="7BBA3CC0">
            <w:pPr>
              <w:rPr>
                <w:rFonts w:ascii="Arial"/>
                <w:sz w:val="21"/>
              </w:rPr>
            </w:pPr>
          </w:p>
        </w:tc>
        <w:tc>
          <w:tcPr>
            <w:tcW w:w="1218" w:type="dxa"/>
            <w:gridSpan w:val="2"/>
            <w:vAlign w:val="top"/>
          </w:tcPr>
          <w:p w14:paraId="5C52D302">
            <w:pPr>
              <w:pStyle w:val="6"/>
              <w:spacing w:before="179" w:line="221" w:lineRule="auto"/>
              <w:ind w:right="33"/>
              <w:jc w:val="right"/>
              <w:rPr>
                <w:sz w:val="20"/>
                <w:szCs w:val="20"/>
              </w:rPr>
            </w:pPr>
            <w:r>
              <w:rPr>
                <w:spacing w:val="-2"/>
                <w:sz w:val="20"/>
                <w:szCs w:val="20"/>
              </w:rPr>
              <w:t>监测点位</w:t>
            </w:r>
          </w:p>
        </w:tc>
        <w:tc>
          <w:tcPr>
            <w:tcW w:w="889" w:type="dxa"/>
            <w:gridSpan w:val="2"/>
            <w:vAlign w:val="top"/>
          </w:tcPr>
          <w:p w14:paraId="7DAF2B7E">
            <w:pPr>
              <w:pStyle w:val="6"/>
              <w:spacing w:before="18" w:line="236" w:lineRule="auto"/>
              <w:ind w:left="348" w:hanging="65"/>
              <w:rPr>
                <w:sz w:val="20"/>
                <w:szCs w:val="20"/>
              </w:rPr>
            </w:pPr>
            <w:r>
              <w:rPr>
                <w:spacing w:val="-2"/>
                <w:sz w:val="20"/>
                <w:szCs w:val="20"/>
              </w:rPr>
              <w:t>监测日</w:t>
            </w:r>
            <w:r>
              <w:rPr>
                <w:sz w:val="20"/>
                <w:szCs w:val="20"/>
              </w:rPr>
              <w:t xml:space="preserve"> 期</w:t>
            </w:r>
          </w:p>
        </w:tc>
        <w:tc>
          <w:tcPr>
            <w:tcW w:w="2138" w:type="dxa"/>
            <w:gridSpan w:val="3"/>
            <w:vAlign w:val="top"/>
          </w:tcPr>
          <w:p w14:paraId="1C1D00C5">
            <w:pPr>
              <w:pStyle w:val="6"/>
              <w:spacing w:before="179" w:line="221" w:lineRule="auto"/>
              <w:ind w:left="714"/>
              <w:rPr>
                <w:sz w:val="20"/>
                <w:szCs w:val="20"/>
              </w:rPr>
            </w:pPr>
            <w:r>
              <w:rPr>
                <w:spacing w:val="-2"/>
                <w:sz w:val="20"/>
                <w:szCs w:val="20"/>
              </w:rPr>
              <w:t>监测时段</w:t>
            </w:r>
          </w:p>
        </w:tc>
        <w:tc>
          <w:tcPr>
            <w:tcW w:w="1369" w:type="dxa"/>
            <w:gridSpan w:val="2"/>
            <w:vAlign w:val="top"/>
          </w:tcPr>
          <w:p w14:paraId="3F48A8AB">
            <w:pPr>
              <w:pStyle w:val="6"/>
              <w:spacing w:before="172" w:line="214" w:lineRule="auto"/>
              <w:ind w:left="296"/>
              <w:rPr>
                <w:sz w:val="20"/>
                <w:szCs w:val="20"/>
              </w:rPr>
            </w:pPr>
            <w:r>
              <w:rPr>
                <w:spacing w:val="-1"/>
                <w:sz w:val="20"/>
                <w:szCs w:val="20"/>
              </w:rPr>
              <w:t>Leq(dB(A))</w:t>
            </w:r>
          </w:p>
        </w:tc>
        <w:tc>
          <w:tcPr>
            <w:tcW w:w="1329" w:type="dxa"/>
            <w:gridSpan w:val="2"/>
            <w:vAlign w:val="top"/>
          </w:tcPr>
          <w:p w14:paraId="739C029F">
            <w:pPr>
              <w:pStyle w:val="6"/>
              <w:spacing w:before="178" w:line="219" w:lineRule="auto"/>
              <w:ind w:left="357"/>
              <w:rPr>
                <w:sz w:val="20"/>
                <w:szCs w:val="20"/>
              </w:rPr>
            </w:pPr>
            <w:r>
              <w:rPr>
                <w:spacing w:val="-2"/>
                <w:sz w:val="20"/>
                <w:szCs w:val="20"/>
              </w:rPr>
              <w:t>标准值</w:t>
            </w:r>
          </w:p>
        </w:tc>
        <w:tc>
          <w:tcPr>
            <w:tcW w:w="1338" w:type="dxa"/>
            <w:gridSpan w:val="2"/>
            <w:vAlign w:val="top"/>
          </w:tcPr>
          <w:p w14:paraId="7FE9A880">
            <w:pPr>
              <w:pStyle w:val="6"/>
              <w:spacing w:before="178" w:line="220" w:lineRule="auto"/>
              <w:ind w:left="368"/>
              <w:rPr>
                <w:sz w:val="20"/>
                <w:szCs w:val="20"/>
              </w:rPr>
            </w:pPr>
            <w:r>
              <w:rPr>
                <w:spacing w:val="-2"/>
                <w:sz w:val="20"/>
                <w:szCs w:val="20"/>
              </w:rPr>
              <w:t>达标情况</w:t>
            </w:r>
          </w:p>
        </w:tc>
        <w:tc>
          <w:tcPr>
            <w:tcW w:w="365" w:type="dxa"/>
            <w:gridSpan w:val="2"/>
            <w:vMerge w:val="restart"/>
            <w:tcBorders>
              <w:bottom w:val="nil"/>
            </w:tcBorders>
            <w:vAlign w:val="top"/>
          </w:tcPr>
          <w:p w14:paraId="0023A844">
            <w:pPr>
              <w:rPr>
                <w:rFonts w:ascii="Arial"/>
                <w:sz w:val="21"/>
              </w:rPr>
            </w:pPr>
          </w:p>
        </w:tc>
      </w:tr>
      <w:tr w14:paraId="5B35E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64" w:type="dxa"/>
            <w:vMerge w:val="continue"/>
            <w:tcBorders>
              <w:top w:val="nil"/>
            </w:tcBorders>
            <w:vAlign w:val="top"/>
          </w:tcPr>
          <w:p w14:paraId="3FF63E65">
            <w:pPr>
              <w:rPr>
                <w:rFonts w:ascii="Arial"/>
                <w:sz w:val="21"/>
              </w:rPr>
            </w:pPr>
          </w:p>
        </w:tc>
        <w:tc>
          <w:tcPr>
            <w:tcW w:w="110" w:type="dxa"/>
            <w:tcBorders>
              <w:top w:val="nil"/>
            </w:tcBorders>
            <w:vAlign w:val="top"/>
          </w:tcPr>
          <w:p w14:paraId="1D91F278">
            <w:pPr>
              <w:rPr>
                <w:rFonts w:ascii="Arial"/>
                <w:sz w:val="21"/>
              </w:rPr>
            </w:pPr>
          </w:p>
        </w:tc>
        <w:tc>
          <w:tcPr>
            <w:tcW w:w="1218" w:type="dxa"/>
            <w:gridSpan w:val="2"/>
            <w:vAlign w:val="top"/>
          </w:tcPr>
          <w:p w14:paraId="037EA0F8">
            <w:pPr>
              <w:pStyle w:val="6"/>
              <w:spacing w:before="48" w:line="200" w:lineRule="auto"/>
              <w:ind w:right="5"/>
              <w:jc w:val="right"/>
              <w:rPr>
                <w:sz w:val="20"/>
                <w:szCs w:val="20"/>
              </w:rPr>
            </w:pPr>
            <w:r>
              <w:rPr>
                <w:spacing w:val="3"/>
                <w:sz w:val="20"/>
                <w:szCs w:val="20"/>
              </w:rPr>
              <w:t>1#升压站中</w:t>
            </w:r>
          </w:p>
        </w:tc>
        <w:tc>
          <w:tcPr>
            <w:tcW w:w="889" w:type="dxa"/>
            <w:gridSpan w:val="2"/>
            <w:vAlign w:val="top"/>
          </w:tcPr>
          <w:p w14:paraId="75D897BA">
            <w:pPr>
              <w:pStyle w:val="6"/>
              <w:spacing w:before="67" w:line="182" w:lineRule="auto"/>
              <w:ind w:right="4"/>
              <w:jc w:val="right"/>
              <w:rPr>
                <w:sz w:val="20"/>
                <w:szCs w:val="20"/>
              </w:rPr>
            </w:pPr>
            <w:r>
              <w:rPr>
                <w:spacing w:val="-2"/>
                <w:sz w:val="20"/>
                <w:szCs w:val="20"/>
              </w:rPr>
              <w:t>2024.11.</w:t>
            </w:r>
          </w:p>
        </w:tc>
        <w:tc>
          <w:tcPr>
            <w:tcW w:w="779" w:type="dxa"/>
            <w:gridSpan w:val="2"/>
            <w:vAlign w:val="top"/>
          </w:tcPr>
          <w:p w14:paraId="7840309C">
            <w:pPr>
              <w:pStyle w:val="6"/>
              <w:spacing w:before="51" w:line="197" w:lineRule="auto"/>
              <w:ind w:left="234"/>
              <w:rPr>
                <w:sz w:val="20"/>
                <w:szCs w:val="20"/>
              </w:rPr>
            </w:pPr>
            <w:r>
              <w:rPr>
                <w:spacing w:val="9"/>
                <w:sz w:val="20"/>
                <w:szCs w:val="20"/>
              </w:rPr>
              <w:t>昼间</w:t>
            </w:r>
          </w:p>
        </w:tc>
        <w:tc>
          <w:tcPr>
            <w:tcW w:w="1359" w:type="dxa"/>
            <w:vAlign w:val="top"/>
          </w:tcPr>
          <w:p w14:paraId="231411C9">
            <w:pPr>
              <w:pStyle w:val="6"/>
              <w:spacing w:before="67" w:line="182" w:lineRule="auto"/>
              <w:ind w:left="205"/>
              <w:rPr>
                <w:sz w:val="20"/>
                <w:szCs w:val="20"/>
              </w:rPr>
            </w:pPr>
            <w:r>
              <w:rPr>
                <w:spacing w:val="-1"/>
                <w:sz w:val="20"/>
                <w:szCs w:val="20"/>
              </w:rPr>
              <w:t>09:34-09:44</w:t>
            </w:r>
          </w:p>
        </w:tc>
        <w:tc>
          <w:tcPr>
            <w:tcW w:w="1369" w:type="dxa"/>
            <w:gridSpan w:val="2"/>
            <w:vAlign w:val="top"/>
          </w:tcPr>
          <w:p w14:paraId="4B102F62">
            <w:pPr>
              <w:pStyle w:val="6"/>
              <w:spacing w:before="67" w:line="182" w:lineRule="auto"/>
              <w:ind w:left="636"/>
              <w:rPr>
                <w:sz w:val="20"/>
                <w:szCs w:val="20"/>
              </w:rPr>
            </w:pPr>
            <w:r>
              <w:rPr>
                <w:spacing w:val="-3"/>
                <w:sz w:val="20"/>
                <w:szCs w:val="20"/>
              </w:rPr>
              <w:t>51</w:t>
            </w:r>
          </w:p>
        </w:tc>
        <w:tc>
          <w:tcPr>
            <w:tcW w:w="1329" w:type="dxa"/>
            <w:gridSpan w:val="2"/>
            <w:vAlign w:val="top"/>
          </w:tcPr>
          <w:p w14:paraId="37E7F971">
            <w:pPr>
              <w:pStyle w:val="6"/>
              <w:spacing w:before="67" w:line="182" w:lineRule="auto"/>
              <w:ind w:left="557"/>
              <w:rPr>
                <w:sz w:val="20"/>
                <w:szCs w:val="20"/>
              </w:rPr>
            </w:pPr>
            <w:r>
              <w:rPr>
                <w:spacing w:val="-3"/>
                <w:sz w:val="20"/>
                <w:szCs w:val="20"/>
              </w:rPr>
              <w:t>55</w:t>
            </w:r>
          </w:p>
        </w:tc>
        <w:tc>
          <w:tcPr>
            <w:tcW w:w="1338" w:type="dxa"/>
            <w:gridSpan w:val="2"/>
            <w:vAlign w:val="top"/>
          </w:tcPr>
          <w:p w14:paraId="2EBA1DE3">
            <w:pPr>
              <w:pStyle w:val="6"/>
              <w:spacing w:before="48" w:line="200" w:lineRule="auto"/>
              <w:ind w:left="498"/>
              <w:rPr>
                <w:sz w:val="20"/>
                <w:szCs w:val="20"/>
              </w:rPr>
            </w:pPr>
            <w:r>
              <w:rPr>
                <w:spacing w:val="-2"/>
                <w:sz w:val="20"/>
                <w:szCs w:val="20"/>
              </w:rPr>
              <w:t>达标</w:t>
            </w:r>
          </w:p>
        </w:tc>
        <w:tc>
          <w:tcPr>
            <w:tcW w:w="365" w:type="dxa"/>
            <w:gridSpan w:val="2"/>
            <w:vMerge w:val="continue"/>
            <w:tcBorders>
              <w:top w:val="nil"/>
            </w:tcBorders>
            <w:vAlign w:val="top"/>
          </w:tcPr>
          <w:p w14:paraId="634A29B8">
            <w:pPr>
              <w:rPr>
                <w:rFonts w:ascii="Arial"/>
                <w:sz w:val="21"/>
              </w:rPr>
            </w:pPr>
          </w:p>
        </w:tc>
      </w:tr>
    </w:tbl>
    <w:p w14:paraId="1273BCDD">
      <w:pPr>
        <w:pStyle w:val="2"/>
      </w:pPr>
    </w:p>
    <w:p w14:paraId="0EBA28C5">
      <w:pPr>
        <w:sectPr>
          <w:headerReference r:id="rId112" w:type="default"/>
          <w:footerReference r:id="rId113" w:type="default"/>
          <w:pgSz w:w="11910" w:h="16830"/>
          <w:pgMar w:top="400" w:right="1254" w:bottom="1245" w:left="1224" w:header="0" w:footer="1083" w:gutter="0"/>
          <w:cols w:space="720" w:num="1"/>
        </w:sectPr>
      </w:pPr>
    </w:p>
    <w:p w14:paraId="031A8A49">
      <w:pPr>
        <w:spacing w:before="18"/>
      </w:pPr>
    </w:p>
    <w:p w14:paraId="34E1CED8">
      <w:pPr>
        <w:spacing w:before="17"/>
      </w:pPr>
    </w:p>
    <w:p w14:paraId="52CF9259">
      <w:pPr>
        <w:spacing w:before="17"/>
      </w:pPr>
    </w:p>
    <w:p w14:paraId="125679A7">
      <w:pPr>
        <w:spacing w:before="17"/>
      </w:pPr>
    </w:p>
    <w:tbl>
      <w:tblPr>
        <w:tblStyle w:val="5"/>
        <w:tblW w:w="945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10"/>
        <w:gridCol w:w="1209"/>
        <w:gridCol w:w="899"/>
        <w:gridCol w:w="739"/>
        <w:gridCol w:w="1378"/>
        <w:gridCol w:w="1348"/>
        <w:gridCol w:w="1309"/>
        <w:gridCol w:w="1339"/>
        <w:gridCol w:w="442"/>
      </w:tblGrid>
      <w:tr w14:paraId="7BC32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84" w:type="dxa"/>
            <w:vMerge w:val="restart"/>
            <w:tcBorders>
              <w:bottom w:val="nil"/>
            </w:tcBorders>
            <w:vAlign w:val="top"/>
          </w:tcPr>
          <w:p w14:paraId="1C550747">
            <w:pPr>
              <w:rPr>
                <w:rFonts w:ascii="Arial"/>
                <w:sz w:val="21"/>
              </w:rPr>
            </w:pPr>
          </w:p>
        </w:tc>
        <w:tc>
          <w:tcPr>
            <w:tcW w:w="110" w:type="dxa"/>
            <w:tcBorders>
              <w:bottom w:val="nil"/>
            </w:tcBorders>
            <w:vAlign w:val="top"/>
          </w:tcPr>
          <w:p w14:paraId="508E6AF4">
            <w:pPr>
              <w:rPr>
                <w:rFonts w:ascii="Arial"/>
                <w:sz w:val="21"/>
              </w:rPr>
            </w:pPr>
          </w:p>
        </w:tc>
        <w:tc>
          <w:tcPr>
            <w:tcW w:w="1209" w:type="dxa"/>
            <w:vMerge w:val="restart"/>
            <w:tcBorders>
              <w:bottom w:val="nil"/>
            </w:tcBorders>
            <w:vAlign w:val="top"/>
          </w:tcPr>
          <w:p w14:paraId="26136B06">
            <w:pPr>
              <w:pStyle w:val="6"/>
              <w:spacing w:before="64" w:line="234" w:lineRule="auto"/>
              <w:ind w:left="531"/>
              <w:rPr>
                <w:sz w:val="24"/>
                <w:szCs w:val="24"/>
              </w:rPr>
            </w:pPr>
            <w:r>
              <w:rPr>
                <w:sz w:val="24"/>
                <w:szCs w:val="24"/>
              </w:rPr>
              <w:t>心</w:t>
            </w:r>
          </w:p>
        </w:tc>
        <w:tc>
          <w:tcPr>
            <w:tcW w:w="899" w:type="dxa"/>
            <w:vAlign w:val="top"/>
          </w:tcPr>
          <w:p w14:paraId="2E07B4D2">
            <w:pPr>
              <w:pStyle w:val="6"/>
              <w:spacing w:before="49" w:line="166" w:lineRule="auto"/>
              <w:ind w:left="322"/>
              <w:rPr>
                <w:sz w:val="24"/>
                <w:szCs w:val="24"/>
              </w:rPr>
            </w:pPr>
            <w:r>
              <w:rPr>
                <w:spacing w:val="-7"/>
                <w:sz w:val="24"/>
                <w:szCs w:val="24"/>
              </w:rPr>
              <w:t>13</w:t>
            </w:r>
          </w:p>
        </w:tc>
        <w:tc>
          <w:tcPr>
            <w:tcW w:w="739" w:type="dxa"/>
            <w:vAlign w:val="top"/>
          </w:tcPr>
          <w:p w14:paraId="0A36C096">
            <w:pPr>
              <w:pStyle w:val="6"/>
              <w:spacing w:before="24" w:line="185" w:lineRule="auto"/>
              <w:ind w:left="163"/>
              <w:rPr>
                <w:sz w:val="24"/>
                <w:szCs w:val="24"/>
              </w:rPr>
            </w:pPr>
            <w:r>
              <w:rPr>
                <w:spacing w:val="11"/>
                <w:sz w:val="24"/>
                <w:szCs w:val="24"/>
              </w:rPr>
              <w:t>夜间</w:t>
            </w:r>
          </w:p>
        </w:tc>
        <w:tc>
          <w:tcPr>
            <w:tcW w:w="1378" w:type="dxa"/>
            <w:vAlign w:val="top"/>
          </w:tcPr>
          <w:p w14:paraId="09783F80">
            <w:pPr>
              <w:pStyle w:val="6"/>
              <w:spacing w:before="49" w:line="166" w:lineRule="auto"/>
              <w:ind w:left="14"/>
              <w:rPr>
                <w:sz w:val="24"/>
                <w:szCs w:val="24"/>
              </w:rPr>
            </w:pPr>
            <w:r>
              <w:rPr>
                <w:spacing w:val="-2"/>
                <w:sz w:val="24"/>
                <w:szCs w:val="24"/>
              </w:rPr>
              <w:t>22:07-22:17</w:t>
            </w:r>
          </w:p>
        </w:tc>
        <w:tc>
          <w:tcPr>
            <w:tcW w:w="1348" w:type="dxa"/>
            <w:vAlign w:val="top"/>
          </w:tcPr>
          <w:p w14:paraId="119C0965">
            <w:pPr>
              <w:pStyle w:val="6"/>
              <w:spacing w:before="49" w:line="166" w:lineRule="auto"/>
              <w:ind w:left="546"/>
              <w:rPr>
                <w:sz w:val="24"/>
                <w:szCs w:val="24"/>
              </w:rPr>
            </w:pPr>
            <w:r>
              <w:rPr>
                <w:spacing w:val="-4"/>
                <w:sz w:val="24"/>
                <w:szCs w:val="24"/>
              </w:rPr>
              <w:t>39</w:t>
            </w:r>
          </w:p>
        </w:tc>
        <w:tc>
          <w:tcPr>
            <w:tcW w:w="1309" w:type="dxa"/>
            <w:vAlign w:val="top"/>
          </w:tcPr>
          <w:p w14:paraId="3595E29D">
            <w:pPr>
              <w:pStyle w:val="6"/>
              <w:spacing w:before="49" w:line="166" w:lineRule="auto"/>
              <w:ind w:left="528"/>
              <w:rPr>
                <w:sz w:val="24"/>
                <w:szCs w:val="24"/>
              </w:rPr>
            </w:pPr>
            <w:r>
              <w:rPr>
                <w:spacing w:val="-3"/>
                <w:sz w:val="24"/>
                <w:szCs w:val="24"/>
              </w:rPr>
              <w:t>45</w:t>
            </w:r>
          </w:p>
        </w:tc>
        <w:tc>
          <w:tcPr>
            <w:tcW w:w="1339" w:type="dxa"/>
            <w:vAlign w:val="top"/>
          </w:tcPr>
          <w:p w14:paraId="2066D903">
            <w:pPr>
              <w:pStyle w:val="6"/>
              <w:spacing w:before="25" w:line="184" w:lineRule="auto"/>
              <w:ind w:left="429"/>
              <w:rPr>
                <w:sz w:val="24"/>
                <w:szCs w:val="24"/>
              </w:rPr>
            </w:pPr>
            <w:r>
              <w:rPr>
                <w:spacing w:val="-3"/>
                <w:sz w:val="24"/>
                <w:szCs w:val="24"/>
              </w:rPr>
              <w:t>达标</w:t>
            </w:r>
          </w:p>
        </w:tc>
        <w:tc>
          <w:tcPr>
            <w:tcW w:w="442" w:type="dxa"/>
            <w:vMerge w:val="restart"/>
            <w:tcBorders>
              <w:bottom w:val="nil"/>
            </w:tcBorders>
            <w:vAlign w:val="top"/>
          </w:tcPr>
          <w:p w14:paraId="4678C98A">
            <w:pPr>
              <w:rPr>
                <w:rFonts w:ascii="Arial"/>
                <w:sz w:val="21"/>
              </w:rPr>
            </w:pPr>
          </w:p>
        </w:tc>
      </w:tr>
      <w:tr w14:paraId="30F4B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84" w:type="dxa"/>
            <w:vMerge w:val="continue"/>
            <w:tcBorders>
              <w:top w:val="nil"/>
              <w:bottom w:val="nil"/>
            </w:tcBorders>
            <w:vAlign w:val="top"/>
          </w:tcPr>
          <w:p w14:paraId="5B4A551B">
            <w:pPr>
              <w:rPr>
                <w:rFonts w:ascii="Arial"/>
                <w:sz w:val="21"/>
              </w:rPr>
            </w:pPr>
          </w:p>
        </w:tc>
        <w:tc>
          <w:tcPr>
            <w:tcW w:w="110" w:type="dxa"/>
            <w:tcBorders>
              <w:top w:val="nil"/>
              <w:bottom w:val="nil"/>
            </w:tcBorders>
            <w:vAlign w:val="top"/>
          </w:tcPr>
          <w:p w14:paraId="75F0D33D">
            <w:pPr>
              <w:rPr>
                <w:rFonts w:ascii="Arial"/>
                <w:sz w:val="21"/>
              </w:rPr>
            </w:pPr>
          </w:p>
        </w:tc>
        <w:tc>
          <w:tcPr>
            <w:tcW w:w="1209" w:type="dxa"/>
            <w:vMerge w:val="continue"/>
            <w:tcBorders>
              <w:top w:val="nil"/>
              <w:bottom w:val="nil"/>
            </w:tcBorders>
            <w:vAlign w:val="top"/>
          </w:tcPr>
          <w:p w14:paraId="58F5B392">
            <w:pPr>
              <w:rPr>
                <w:rFonts w:ascii="Arial"/>
                <w:sz w:val="21"/>
              </w:rPr>
            </w:pPr>
          </w:p>
        </w:tc>
        <w:tc>
          <w:tcPr>
            <w:tcW w:w="899" w:type="dxa"/>
            <w:vMerge w:val="restart"/>
            <w:tcBorders>
              <w:bottom w:val="nil"/>
            </w:tcBorders>
            <w:vAlign w:val="top"/>
          </w:tcPr>
          <w:p w14:paraId="20257562">
            <w:pPr>
              <w:pStyle w:val="6"/>
              <w:spacing w:before="81" w:line="187" w:lineRule="auto"/>
              <w:jc w:val="right"/>
            </w:pPr>
            <w:r>
              <w:rPr>
                <w:spacing w:val="-15"/>
              </w:rPr>
              <w:t>2024.11.</w:t>
            </w:r>
          </w:p>
          <w:p w14:paraId="3D2594B6">
            <w:pPr>
              <w:pStyle w:val="6"/>
              <w:spacing w:before="1" w:line="180" w:lineRule="auto"/>
              <w:ind w:left="322"/>
              <w:rPr>
                <w:sz w:val="24"/>
                <w:szCs w:val="24"/>
              </w:rPr>
            </w:pPr>
            <w:r>
              <w:rPr>
                <w:spacing w:val="-7"/>
                <w:sz w:val="24"/>
                <w:szCs w:val="24"/>
              </w:rPr>
              <w:t>14</w:t>
            </w:r>
          </w:p>
        </w:tc>
        <w:tc>
          <w:tcPr>
            <w:tcW w:w="739" w:type="dxa"/>
            <w:vAlign w:val="top"/>
          </w:tcPr>
          <w:p w14:paraId="28DEC67F">
            <w:pPr>
              <w:pStyle w:val="6"/>
              <w:spacing w:before="33" w:line="182" w:lineRule="auto"/>
              <w:ind w:left="163"/>
              <w:rPr>
                <w:sz w:val="24"/>
                <w:szCs w:val="24"/>
              </w:rPr>
            </w:pPr>
            <w:r>
              <w:rPr>
                <w:spacing w:val="11"/>
                <w:sz w:val="24"/>
                <w:szCs w:val="24"/>
              </w:rPr>
              <w:t>昼间</w:t>
            </w:r>
          </w:p>
        </w:tc>
        <w:tc>
          <w:tcPr>
            <w:tcW w:w="1378" w:type="dxa"/>
            <w:vAlign w:val="top"/>
          </w:tcPr>
          <w:p w14:paraId="186B6788">
            <w:pPr>
              <w:pStyle w:val="6"/>
              <w:spacing w:before="54" w:line="166" w:lineRule="auto"/>
              <w:ind w:left="14"/>
              <w:rPr>
                <w:sz w:val="24"/>
                <w:szCs w:val="24"/>
              </w:rPr>
            </w:pPr>
            <w:r>
              <w:rPr>
                <w:spacing w:val="-2"/>
                <w:sz w:val="24"/>
                <w:szCs w:val="24"/>
              </w:rPr>
              <w:t>08:10-08:20</w:t>
            </w:r>
          </w:p>
        </w:tc>
        <w:tc>
          <w:tcPr>
            <w:tcW w:w="1348" w:type="dxa"/>
            <w:vAlign w:val="top"/>
          </w:tcPr>
          <w:p w14:paraId="0CD91685">
            <w:pPr>
              <w:pStyle w:val="6"/>
              <w:spacing w:before="54" w:line="166" w:lineRule="auto"/>
              <w:ind w:left="546"/>
              <w:rPr>
                <w:sz w:val="24"/>
                <w:szCs w:val="24"/>
              </w:rPr>
            </w:pPr>
            <w:r>
              <w:rPr>
                <w:spacing w:val="-3"/>
                <w:sz w:val="24"/>
                <w:szCs w:val="24"/>
              </w:rPr>
              <w:t>48</w:t>
            </w:r>
          </w:p>
        </w:tc>
        <w:tc>
          <w:tcPr>
            <w:tcW w:w="1309" w:type="dxa"/>
            <w:vAlign w:val="top"/>
          </w:tcPr>
          <w:p w14:paraId="4C34AA73">
            <w:pPr>
              <w:pStyle w:val="6"/>
              <w:spacing w:before="54" w:line="166" w:lineRule="auto"/>
              <w:ind w:left="528"/>
              <w:rPr>
                <w:sz w:val="24"/>
                <w:szCs w:val="24"/>
              </w:rPr>
            </w:pPr>
            <w:r>
              <w:rPr>
                <w:spacing w:val="-4"/>
                <w:sz w:val="24"/>
                <w:szCs w:val="24"/>
              </w:rPr>
              <w:t>55</w:t>
            </w:r>
          </w:p>
        </w:tc>
        <w:tc>
          <w:tcPr>
            <w:tcW w:w="1339" w:type="dxa"/>
            <w:vAlign w:val="top"/>
          </w:tcPr>
          <w:p w14:paraId="26E89CFD">
            <w:pPr>
              <w:pStyle w:val="6"/>
              <w:spacing w:before="30" w:line="184" w:lineRule="auto"/>
              <w:ind w:left="429"/>
              <w:rPr>
                <w:sz w:val="24"/>
                <w:szCs w:val="24"/>
              </w:rPr>
            </w:pPr>
            <w:r>
              <w:rPr>
                <w:spacing w:val="-3"/>
                <w:sz w:val="24"/>
                <w:szCs w:val="24"/>
              </w:rPr>
              <w:t>达标</w:t>
            </w:r>
          </w:p>
        </w:tc>
        <w:tc>
          <w:tcPr>
            <w:tcW w:w="442" w:type="dxa"/>
            <w:vMerge w:val="continue"/>
            <w:tcBorders>
              <w:top w:val="nil"/>
              <w:bottom w:val="nil"/>
            </w:tcBorders>
            <w:vAlign w:val="top"/>
          </w:tcPr>
          <w:p w14:paraId="1C0B50DE">
            <w:pPr>
              <w:rPr>
                <w:rFonts w:ascii="Arial"/>
                <w:sz w:val="21"/>
              </w:rPr>
            </w:pPr>
          </w:p>
        </w:tc>
      </w:tr>
      <w:tr w14:paraId="376DE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84" w:type="dxa"/>
            <w:vMerge w:val="continue"/>
            <w:tcBorders>
              <w:top w:val="nil"/>
              <w:bottom w:val="nil"/>
            </w:tcBorders>
            <w:vAlign w:val="top"/>
          </w:tcPr>
          <w:p w14:paraId="5C70B1F7">
            <w:pPr>
              <w:rPr>
                <w:rFonts w:ascii="Arial"/>
                <w:sz w:val="21"/>
              </w:rPr>
            </w:pPr>
          </w:p>
        </w:tc>
        <w:tc>
          <w:tcPr>
            <w:tcW w:w="110" w:type="dxa"/>
            <w:tcBorders>
              <w:top w:val="nil"/>
            </w:tcBorders>
            <w:vAlign w:val="top"/>
          </w:tcPr>
          <w:p w14:paraId="10766CA1">
            <w:pPr>
              <w:rPr>
                <w:rFonts w:ascii="Arial"/>
                <w:sz w:val="21"/>
              </w:rPr>
            </w:pPr>
          </w:p>
        </w:tc>
        <w:tc>
          <w:tcPr>
            <w:tcW w:w="1209" w:type="dxa"/>
            <w:vMerge w:val="continue"/>
            <w:tcBorders>
              <w:top w:val="nil"/>
            </w:tcBorders>
            <w:vAlign w:val="top"/>
          </w:tcPr>
          <w:p w14:paraId="331EF23E">
            <w:pPr>
              <w:rPr>
                <w:rFonts w:ascii="Arial"/>
                <w:sz w:val="21"/>
              </w:rPr>
            </w:pPr>
          </w:p>
        </w:tc>
        <w:tc>
          <w:tcPr>
            <w:tcW w:w="899" w:type="dxa"/>
            <w:vMerge w:val="continue"/>
            <w:tcBorders>
              <w:top w:val="nil"/>
            </w:tcBorders>
            <w:vAlign w:val="top"/>
          </w:tcPr>
          <w:p w14:paraId="633FACA1">
            <w:pPr>
              <w:rPr>
                <w:rFonts w:ascii="Arial"/>
                <w:sz w:val="21"/>
              </w:rPr>
            </w:pPr>
          </w:p>
        </w:tc>
        <w:tc>
          <w:tcPr>
            <w:tcW w:w="739" w:type="dxa"/>
            <w:vAlign w:val="top"/>
          </w:tcPr>
          <w:p w14:paraId="6C68B17A">
            <w:pPr>
              <w:pStyle w:val="6"/>
              <w:spacing w:before="29" w:line="169" w:lineRule="auto"/>
              <w:ind w:left="163"/>
              <w:rPr>
                <w:sz w:val="24"/>
                <w:szCs w:val="24"/>
              </w:rPr>
            </w:pPr>
            <w:r>
              <w:rPr>
                <w:spacing w:val="11"/>
                <w:sz w:val="24"/>
                <w:szCs w:val="24"/>
              </w:rPr>
              <w:t>夜间</w:t>
            </w:r>
          </w:p>
        </w:tc>
        <w:tc>
          <w:tcPr>
            <w:tcW w:w="1378" w:type="dxa"/>
            <w:vAlign w:val="top"/>
          </w:tcPr>
          <w:p w14:paraId="104EE93F">
            <w:pPr>
              <w:pStyle w:val="6"/>
              <w:spacing w:before="53" w:line="196" w:lineRule="exact"/>
              <w:ind w:left="14"/>
              <w:rPr>
                <w:sz w:val="24"/>
                <w:szCs w:val="24"/>
              </w:rPr>
            </w:pPr>
            <w:r>
              <w:rPr>
                <w:spacing w:val="-2"/>
                <w:position w:val="-3"/>
                <w:sz w:val="24"/>
                <w:szCs w:val="24"/>
              </w:rPr>
              <w:t>22:06-22:16</w:t>
            </w:r>
          </w:p>
        </w:tc>
        <w:tc>
          <w:tcPr>
            <w:tcW w:w="1348" w:type="dxa"/>
            <w:vAlign w:val="top"/>
          </w:tcPr>
          <w:p w14:paraId="32BF389B">
            <w:pPr>
              <w:pStyle w:val="6"/>
              <w:spacing w:before="53" w:line="196" w:lineRule="exact"/>
              <w:ind w:left="546"/>
              <w:rPr>
                <w:sz w:val="24"/>
                <w:szCs w:val="24"/>
              </w:rPr>
            </w:pPr>
            <w:r>
              <w:rPr>
                <w:spacing w:val="-3"/>
                <w:position w:val="-3"/>
                <w:sz w:val="24"/>
                <w:szCs w:val="24"/>
              </w:rPr>
              <w:t>40</w:t>
            </w:r>
          </w:p>
        </w:tc>
        <w:tc>
          <w:tcPr>
            <w:tcW w:w="1309" w:type="dxa"/>
            <w:vAlign w:val="top"/>
          </w:tcPr>
          <w:p w14:paraId="0DA99B53">
            <w:pPr>
              <w:pStyle w:val="6"/>
              <w:spacing w:before="53" w:line="196" w:lineRule="exact"/>
              <w:ind w:left="528"/>
              <w:rPr>
                <w:sz w:val="24"/>
                <w:szCs w:val="24"/>
              </w:rPr>
            </w:pPr>
            <w:r>
              <w:rPr>
                <w:spacing w:val="-3"/>
                <w:position w:val="-3"/>
                <w:sz w:val="24"/>
                <w:szCs w:val="24"/>
              </w:rPr>
              <w:t>45</w:t>
            </w:r>
          </w:p>
        </w:tc>
        <w:tc>
          <w:tcPr>
            <w:tcW w:w="1339" w:type="dxa"/>
            <w:vAlign w:val="top"/>
          </w:tcPr>
          <w:p w14:paraId="0EB62F76">
            <w:pPr>
              <w:pStyle w:val="6"/>
              <w:spacing w:before="30" w:line="168" w:lineRule="auto"/>
              <w:ind w:left="429"/>
              <w:rPr>
                <w:sz w:val="24"/>
                <w:szCs w:val="24"/>
              </w:rPr>
            </w:pPr>
            <w:r>
              <w:rPr>
                <w:spacing w:val="-3"/>
                <w:sz w:val="24"/>
                <w:szCs w:val="24"/>
              </w:rPr>
              <w:t>达标</w:t>
            </w:r>
          </w:p>
        </w:tc>
        <w:tc>
          <w:tcPr>
            <w:tcW w:w="442" w:type="dxa"/>
            <w:vMerge w:val="continue"/>
            <w:tcBorders>
              <w:top w:val="nil"/>
            </w:tcBorders>
            <w:vAlign w:val="top"/>
          </w:tcPr>
          <w:p w14:paraId="00ED1A26">
            <w:pPr>
              <w:rPr>
                <w:rFonts w:ascii="Arial"/>
                <w:sz w:val="21"/>
              </w:rPr>
            </w:pPr>
          </w:p>
        </w:tc>
      </w:tr>
      <w:tr w14:paraId="62A71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4" w:hRule="atLeast"/>
        </w:trPr>
        <w:tc>
          <w:tcPr>
            <w:tcW w:w="684" w:type="dxa"/>
            <w:vMerge w:val="continue"/>
            <w:tcBorders>
              <w:top w:val="nil"/>
            </w:tcBorders>
            <w:vAlign w:val="top"/>
          </w:tcPr>
          <w:p w14:paraId="2185FEAE">
            <w:pPr>
              <w:rPr>
                <w:rFonts w:ascii="Arial"/>
                <w:sz w:val="21"/>
              </w:rPr>
            </w:pPr>
          </w:p>
        </w:tc>
        <w:tc>
          <w:tcPr>
            <w:tcW w:w="8773" w:type="dxa"/>
            <w:gridSpan w:val="9"/>
            <w:vAlign w:val="top"/>
          </w:tcPr>
          <w:p w14:paraId="00BF8625">
            <w:pPr>
              <w:pStyle w:val="6"/>
              <w:spacing w:before="289" w:line="364" w:lineRule="auto"/>
              <w:ind w:left="101" w:right="11" w:firstLine="499"/>
              <w:rPr>
                <w:sz w:val="24"/>
                <w:szCs w:val="24"/>
              </w:rPr>
            </w:pPr>
            <w:r>
              <w:rPr>
                <w:sz w:val="24"/>
                <w:szCs w:val="24"/>
              </w:rPr>
              <w:t>根据声环境质量现状监测结果，升压站中心点声环境</w:t>
            </w:r>
            <w:r>
              <w:rPr>
                <w:spacing w:val="-1"/>
                <w:sz w:val="24"/>
                <w:szCs w:val="24"/>
              </w:rPr>
              <w:t>质量满足《声环境质量标</w:t>
            </w:r>
            <w:r>
              <w:rPr>
                <w:sz w:val="24"/>
                <w:szCs w:val="24"/>
              </w:rPr>
              <w:t xml:space="preserve"> 准》(GB3096-2008)1类区标准要求。</w:t>
            </w:r>
          </w:p>
          <w:p w14:paraId="092D8AE6">
            <w:pPr>
              <w:pStyle w:val="6"/>
              <w:spacing w:before="51" w:line="219" w:lineRule="auto"/>
              <w:ind w:left="94"/>
              <w:rPr>
                <w:sz w:val="24"/>
                <w:szCs w:val="24"/>
              </w:rPr>
            </w:pPr>
            <w:r>
              <w:rPr>
                <w:b/>
                <w:bCs/>
                <w:spacing w:val="-4"/>
                <w:sz w:val="24"/>
                <w:szCs w:val="24"/>
              </w:rPr>
              <w:t>8项目区电磁环境现状</w:t>
            </w:r>
          </w:p>
          <w:p w14:paraId="5128DA62">
            <w:pPr>
              <w:pStyle w:val="6"/>
              <w:spacing w:before="167" w:line="362" w:lineRule="auto"/>
              <w:ind w:left="111" w:firstLine="489"/>
              <w:rPr>
                <w:sz w:val="24"/>
                <w:szCs w:val="24"/>
              </w:rPr>
            </w:pPr>
            <w:r>
              <w:rPr>
                <w:sz w:val="24"/>
                <w:szCs w:val="24"/>
              </w:rPr>
              <w:t>为了解项目所在地的工频电场、工频磁场现状，建设单位委托云南升环检测技</w:t>
            </w:r>
            <w:r>
              <w:rPr>
                <w:spacing w:val="1"/>
                <w:sz w:val="24"/>
                <w:szCs w:val="24"/>
              </w:rPr>
              <w:t xml:space="preserve"> </w:t>
            </w:r>
            <w:r>
              <w:rPr>
                <w:sz w:val="24"/>
                <w:szCs w:val="24"/>
              </w:rPr>
              <w:t>术有限公司于2024年09月27日对拟建升压站场址工频电场强度、工频磁感应强</w:t>
            </w:r>
          </w:p>
          <w:p w14:paraId="786F2860">
            <w:pPr>
              <w:pStyle w:val="6"/>
              <w:spacing w:line="219" w:lineRule="auto"/>
              <w:ind w:left="101"/>
              <w:rPr>
                <w:sz w:val="24"/>
                <w:szCs w:val="24"/>
              </w:rPr>
            </w:pPr>
            <w:r>
              <w:rPr>
                <w:sz w:val="24"/>
                <w:szCs w:val="24"/>
              </w:rPr>
              <w:t>度进行了现状测量。监测结果见表3-20</w:t>
            </w:r>
          </w:p>
          <w:p w14:paraId="38C70163">
            <w:pPr>
              <w:pStyle w:val="6"/>
              <w:spacing w:before="180" w:line="200" w:lineRule="auto"/>
              <w:ind w:left="1114"/>
              <w:rPr>
                <w:sz w:val="24"/>
                <w:szCs w:val="24"/>
              </w:rPr>
            </w:pPr>
            <w:r>
              <w:rPr>
                <w:b/>
                <w:bCs/>
                <w:spacing w:val="-2"/>
                <w:position w:val="-1"/>
                <w:sz w:val="24"/>
                <w:szCs w:val="24"/>
              </w:rPr>
              <w:t>表3-20</w:t>
            </w:r>
            <w:r>
              <w:rPr>
                <w:spacing w:val="-2"/>
                <w:position w:val="-1"/>
                <w:sz w:val="24"/>
                <w:szCs w:val="24"/>
              </w:rPr>
              <w:t xml:space="preserve">    </w:t>
            </w:r>
            <w:r>
              <w:rPr>
                <w:b/>
                <w:bCs/>
                <w:spacing w:val="-2"/>
                <w:sz w:val="24"/>
                <w:szCs w:val="24"/>
              </w:rPr>
              <w:t>项目拟建升压站及关心点工频电磁场现状监测结果</w:t>
            </w:r>
          </w:p>
          <w:tbl>
            <w:tblPr>
              <w:tblStyle w:val="5"/>
              <w:tblW w:w="8469" w:type="dxa"/>
              <w:tblInd w:w="1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948"/>
              <w:gridCol w:w="1158"/>
              <w:gridCol w:w="1039"/>
              <w:gridCol w:w="939"/>
              <w:gridCol w:w="1118"/>
              <w:gridCol w:w="819"/>
              <w:gridCol w:w="764"/>
            </w:tblGrid>
            <w:tr w14:paraId="5BE6D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84" w:type="dxa"/>
                  <w:vMerge w:val="restart"/>
                  <w:tcBorders>
                    <w:bottom w:val="nil"/>
                  </w:tcBorders>
                  <w:vAlign w:val="top"/>
                </w:tcPr>
                <w:p w14:paraId="09485944">
                  <w:pPr>
                    <w:pStyle w:val="6"/>
                    <w:spacing w:before="174" w:line="221" w:lineRule="auto"/>
                    <w:ind w:right="11"/>
                    <w:jc w:val="right"/>
                    <w:rPr>
                      <w:sz w:val="21"/>
                      <w:szCs w:val="21"/>
                    </w:rPr>
                  </w:pPr>
                  <w:r>
                    <w:rPr>
                      <w:spacing w:val="8"/>
                      <w:sz w:val="21"/>
                      <w:szCs w:val="21"/>
                    </w:rPr>
                    <w:t>监测</w:t>
                  </w:r>
                </w:p>
                <w:p w14:paraId="2F9AA6CF">
                  <w:pPr>
                    <w:pStyle w:val="6"/>
                    <w:spacing w:before="8" w:line="220" w:lineRule="auto"/>
                    <w:ind w:right="4"/>
                    <w:jc w:val="right"/>
                    <w:rPr>
                      <w:sz w:val="21"/>
                      <w:szCs w:val="21"/>
                    </w:rPr>
                  </w:pPr>
                  <w:r>
                    <w:rPr>
                      <w:spacing w:val="12"/>
                      <w:sz w:val="21"/>
                      <w:szCs w:val="21"/>
                    </w:rPr>
                    <w:t>日期</w:t>
                  </w:r>
                </w:p>
              </w:tc>
              <w:tc>
                <w:tcPr>
                  <w:tcW w:w="1948" w:type="dxa"/>
                  <w:vMerge w:val="restart"/>
                  <w:tcBorders>
                    <w:bottom w:val="nil"/>
                  </w:tcBorders>
                  <w:vAlign w:val="top"/>
                </w:tcPr>
                <w:p w14:paraId="52F771B2">
                  <w:pPr>
                    <w:pStyle w:val="6"/>
                    <w:spacing w:before="304" w:line="221" w:lineRule="auto"/>
                    <w:ind w:left="540"/>
                    <w:rPr>
                      <w:sz w:val="21"/>
                      <w:szCs w:val="21"/>
                    </w:rPr>
                  </w:pPr>
                  <w:r>
                    <w:rPr>
                      <w:spacing w:val="-2"/>
                      <w:sz w:val="21"/>
                      <w:szCs w:val="21"/>
                    </w:rPr>
                    <w:t>监测点位</w:t>
                  </w:r>
                </w:p>
              </w:tc>
              <w:tc>
                <w:tcPr>
                  <w:tcW w:w="3136" w:type="dxa"/>
                  <w:gridSpan w:val="3"/>
                  <w:vAlign w:val="top"/>
                </w:tcPr>
                <w:p w14:paraId="73C9F874">
                  <w:pPr>
                    <w:pStyle w:val="6"/>
                    <w:spacing w:before="34" w:line="193" w:lineRule="auto"/>
                    <w:ind w:left="952"/>
                    <w:rPr>
                      <w:sz w:val="21"/>
                      <w:szCs w:val="21"/>
                    </w:rPr>
                  </w:pPr>
                  <w:r>
                    <w:rPr>
                      <w:spacing w:val="4"/>
                      <w:sz w:val="21"/>
                      <w:szCs w:val="21"/>
                    </w:rPr>
                    <w:t>工频电场(V/m)</w:t>
                  </w:r>
                </w:p>
              </w:tc>
              <w:tc>
                <w:tcPr>
                  <w:tcW w:w="2701" w:type="dxa"/>
                  <w:gridSpan w:val="3"/>
                  <w:vAlign w:val="top"/>
                </w:tcPr>
                <w:p w14:paraId="5BD26D12">
                  <w:pPr>
                    <w:pStyle w:val="6"/>
                    <w:spacing w:before="34" w:line="193" w:lineRule="auto"/>
                    <w:ind w:left="796"/>
                    <w:rPr>
                      <w:sz w:val="21"/>
                      <w:szCs w:val="21"/>
                    </w:rPr>
                  </w:pPr>
                  <w:r>
                    <w:rPr>
                      <w:spacing w:val="5"/>
                      <w:sz w:val="21"/>
                      <w:szCs w:val="21"/>
                    </w:rPr>
                    <w:t>工频磁场(μT)</w:t>
                  </w:r>
                </w:p>
              </w:tc>
            </w:tr>
            <w:tr w14:paraId="45476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84" w:type="dxa"/>
                  <w:vMerge w:val="continue"/>
                  <w:tcBorders>
                    <w:top w:val="nil"/>
                  </w:tcBorders>
                  <w:vAlign w:val="top"/>
                </w:tcPr>
                <w:p w14:paraId="37E8E12D">
                  <w:pPr>
                    <w:rPr>
                      <w:rFonts w:ascii="Arial"/>
                      <w:sz w:val="21"/>
                    </w:rPr>
                  </w:pPr>
                </w:p>
              </w:tc>
              <w:tc>
                <w:tcPr>
                  <w:tcW w:w="1948" w:type="dxa"/>
                  <w:vMerge w:val="continue"/>
                  <w:tcBorders>
                    <w:top w:val="nil"/>
                  </w:tcBorders>
                  <w:vAlign w:val="top"/>
                </w:tcPr>
                <w:p w14:paraId="7A8AA11F">
                  <w:pPr>
                    <w:rPr>
                      <w:rFonts w:ascii="Arial"/>
                      <w:sz w:val="21"/>
                    </w:rPr>
                  </w:pPr>
                </w:p>
              </w:tc>
              <w:tc>
                <w:tcPr>
                  <w:tcW w:w="1158" w:type="dxa"/>
                  <w:vAlign w:val="top"/>
                </w:tcPr>
                <w:p w14:paraId="269D6912">
                  <w:pPr>
                    <w:pStyle w:val="6"/>
                    <w:spacing w:before="170" w:line="220" w:lineRule="auto"/>
                    <w:ind w:left="152"/>
                    <w:rPr>
                      <w:sz w:val="21"/>
                      <w:szCs w:val="21"/>
                    </w:rPr>
                  </w:pPr>
                  <w:r>
                    <w:rPr>
                      <w:spacing w:val="3"/>
                      <w:sz w:val="21"/>
                      <w:szCs w:val="21"/>
                    </w:rPr>
                    <w:t>监测结果</w:t>
                  </w:r>
                </w:p>
              </w:tc>
              <w:tc>
                <w:tcPr>
                  <w:tcW w:w="1039" w:type="dxa"/>
                  <w:vAlign w:val="top"/>
                </w:tcPr>
                <w:p w14:paraId="0EF24829">
                  <w:pPr>
                    <w:pStyle w:val="6"/>
                    <w:spacing w:before="169" w:line="219" w:lineRule="auto"/>
                    <w:ind w:left="254"/>
                    <w:rPr>
                      <w:sz w:val="21"/>
                      <w:szCs w:val="21"/>
                    </w:rPr>
                  </w:pPr>
                  <w:r>
                    <w:rPr>
                      <w:spacing w:val="-3"/>
                      <w:sz w:val="21"/>
                      <w:szCs w:val="21"/>
                    </w:rPr>
                    <w:t>标准值</w:t>
                  </w:r>
                </w:p>
              </w:tc>
              <w:tc>
                <w:tcPr>
                  <w:tcW w:w="939" w:type="dxa"/>
                  <w:vAlign w:val="top"/>
                </w:tcPr>
                <w:p w14:paraId="0B76133A">
                  <w:pPr>
                    <w:pStyle w:val="6"/>
                    <w:spacing w:before="29" w:line="219" w:lineRule="auto"/>
                    <w:ind w:left="354" w:right="100" w:hanging="149"/>
                    <w:rPr>
                      <w:sz w:val="21"/>
                      <w:szCs w:val="21"/>
                    </w:rPr>
                  </w:pPr>
                  <w:r>
                    <w:rPr>
                      <w:spacing w:val="-3"/>
                      <w:sz w:val="21"/>
                      <w:szCs w:val="21"/>
                    </w:rPr>
                    <w:t>达标情</w:t>
                  </w:r>
                  <w:r>
                    <w:rPr>
                      <w:sz w:val="21"/>
                      <w:szCs w:val="21"/>
                    </w:rPr>
                    <w:t xml:space="preserve"> 况</w:t>
                  </w:r>
                </w:p>
              </w:tc>
              <w:tc>
                <w:tcPr>
                  <w:tcW w:w="1118" w:type="dxa"/>
                  <w:vAlign w:val="top"/>
                </w:tcPr>
                <w:p w14:paraId="62173576">
                  <w:pPr>
                    <w:pStyle w:val="6"/>
                    <w:spacing w:before="170" w:line="220" w:lineRule="auto"/>
                    <w:ind w:left="56"/>
                    <w:rPr>
                      <w:sz w:val="21"/>
                      <w:szCs w:val="21"/>
                    </w:rPr>
                  </w:pPr>
                  <w:r>
                    <w:rPr>
                      <w:spacing w:val="3"/>
                      <w:sz w:val="21"/>
                      <w:szCs w:val="21"/>
                    </w:rPr>
                    <w:t>监测结果</w:t>
                  </w:r>
                </w:p>
              </w:tc>
              <w:tc>
                <w:tcPr>
                  <w:tcW w:w="819" w:type="dxa"/>
                  <w:vAlign w:val="top"/>
                </w:tcPr>
                <w:p w14:paraId="093B2B0B">
                  <w:pPr>
                    <w:pStyle w:val="6"/>
                    <w:spacing w:before="169" w:line="219" w:lineRule="auto"/>
                    <w:ind w:left="149"/>
                    <w:rPr>
                      <w:sz w:val="21"/>
                      <w:szCs w:val="21"/>
                    </w:rPr>
                  </w:pPr>
                  <w:r>
                    <w:rPr>
                      <w:spacing w:val="-3"/>
                      <w:sz w:val="21"/>
                      <w:szCs w:val="21"/>
                    </w:rPr>
                    <w:t>标准值</w:t>
                  </w:r>
                </w:p>
              </w:tc>
              <w:tc>
                <w:tcPr>
                  <w:tcW w:w="764" w:type="dxa"/>
                  <w:vAlign w:val="top"/>
                </w:tcPr>
                <w:p w14:paraId="50CD95F2">
                  <w:pPr>
                    <w:pStyle w:val="6"/>
                    <w:spacing w:before="30" w:line="220" w:lineRule="auto"/>
                    <w:ind w:left="59"/>
                    <w:rPr>
                      <w:sz w:val="21"/>
                      <w:szCs w:val="21"/>
                    </w:rPr>
                  </w:pPr>
                  <w:r>
                    <w:rPr>
                      <w:spacing w:val="-2"/>
                      <w:sz w:val="21"/>
                      <w:szCs w:val="21"/>
                    </w:rPr>
                    <w:t>达标情</w:t>
                  </w:r>
                </w:p>
                <w:p w14:paraId="220CFABB">
                  <w:pPr>
                    <w:pStyle w:val="6"/>
                    <w:spacing w:before="19" w:line="200" w:lineRule="auto"/>
                    <w:ind w:left="269"/>
                    <w:rPr>
                      <w:sz w:val="21"/>
                      <w:szCs w:val="21"/>
                    </w:rPr>
                  </w:pPr>
                  <w:r>
                    <w:rPr>
                      <w:sz w:val="21"/>
                      <w:szCs w:val="21"/>
                    </w:rPr>
                    <w:t>况</w:t>
                  </w:r>
                </w:p>
              </w:tc>
            </w:tr>
            <w:tr w14:paraId="3A989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684" w:type="dxa"/>
                  <w:vMerge w:val="restart"/>
                  <w:tcBorders>
                    <w:bottom w:val="nil"/>
                  </w:tcBorders>
                  <w:vAlign w:val="top"/>
                </w:tcPr>
                <w:p w14:paraId="7256BCF5">
                  <w:pPr>
                    <w:spacing w:line="276" w:lineRule="auto"/>
                    <w:rPr>
                      <w:rFonts w:ascii="Arial"/>
                      <w:sz w:val="21"/>
                    </w:rPr>
                  </w:pPr>
                </w:p>
                <w:p w14:paraId="30D9A2CE">
                  <w:pPr>
                    <w:spacing w:line="276" w:lineRule="auto"/>
                    <w:rPr>
                      <w:rFonts w:ascii="Arial"/>
                      <w:sz w:val="21"/>
                    </w:rPr>
                  </w:pPr>
                </w:p>
                <w:p w14:paraId="1DBD81F7">
                  <w:pPr>
                    <w:spacing w:line="276" w:lineRule="auto"/>
                    <w:rPr>
                      <w:rFonts w:ascii="Arial"/>
                      <w:sz w:val="21"/>
                    </w:rPr>
                  </w:pPr>
                </w:p>
                <w:p w14:paraId="2B7A5AE2">
                  <w:pPr>
                    <w:pStyle w:val="6"/>
                    <w:spacing w:before="68"/>
                    <w:ind w:left="124"/>
                    <w:rPr>
                      <w:sz w:val="21"/>
                      <w:szCs w:val="21"/>
                    </w:rPr>
                  </w:pPr>
                  <w:r>
                    <w:rPr>
                      <w:spacing w:val="-3"/>
                      <w:sz w:val="21"/>
                      <w:szCs w:val="21"/>
                    </w:rPr>
                    <w:t>2024-</w:t>
                  </w:r>
                </w:p>
                <w:p w14:paraId="427A2F8E">
                  <w:pPr>
                    <w:pStyle w:val="6"/>
                    <w:spacing w:before="7"/>
                    <w:ind w:left="124"/>
                    <w:rPr>
                      <w:sz w:val="21"/>
                      <w:szCs w:val="21"/>
                    </w:rPr>
                  </w:pPr>
                  <w:r>
                    <w:rPr>
                      <w:spacing w:val="-2"/>
                      <w:sz w:val="21"/>
                      <w:szCs w:val="21"/>
                    </w:rPr>
                    <w:t>09-07</w:t>
                  </w:r>
                </w:p>
              </w:tc>
              <w:tc>
                <w:tcPr>
                  <w:tcW w:w="1948" w:type="dxa"/>
                  <w:vAlign w:val="top"/>
                </w:tcPr>
                <w:p w14:paraId="1C8A4752">
                  <w:pPr>
                    <w:pStyle w:val="6"/>
                    <w:spacing w:before="60" w:line="206" w:lineRule="auto"/>
                    <w:ind w:left="120" w:right="91"/>
                    <w:rPr>
                      <w:sz w:val="21"/>
                      <w:szCs w:val="21"/>
                    </w:rPr>
                  </w:pPr>
                  <w:r>
                    <w:rPr>
                      <w:spacing w:val="1"/>
                      <w:sz w:val="21"/>
                      <w:szCs w:val="21"/>
                    </w:rPr>
                    <w:t>1#升压站拟建场址</w:t>
                  </w:r>
                  <w:r>
                    <w:rPr>
                      <w:sz w:val="21"/>
                      <w:szCs w:val="21"/>
                    </w:rPr>
                    <w:t xml:space="preserve"> </w:t>
                  </w:r>
                  <w:r>
                    <w:rPr>
                      <w:spacing w:val="4"/>
                      <w:sz w:val="21"/>
                      <w:szCs w:val="21"/>
                    </w:rPr>
                    <w:t>东侧厂界5m处(1#)</w:t>
                  </w:r>
                </w:p>
              </w:tc>
              <w:tc>
                <w:tcPr>
                  <w:tcW w:w="1158" w:type="dxa"/>
                  <w:vAlign w:val="top"/>
                </w:tcPr>
                <w:p w14:paraId="1138B37F">
                  <w:pPr>
                    <w:pStyle w:val="6"/>
                    <w:spacing w:before="192" w:line="239" w:lineRule="auto"/>
                    <w:ind w:left="362"/>
                    <w:rPr>
                      <w:sz w:val="21"/>
                      <w:szCs w:val="21"/>
                    </w:rPr>
                  </w:pPr>
                  <w:r>
                    <w:rPr>
                      <w:spacing w:val="-3"/>
                      <w:sz w:val="21"/>
                      <w:szCs w:val="21"/>
                    </w:rPr>
                    <w:t>3.87</w:t>
                  </w:r>
                </w:p>
              </w:tc>
              <w:tc>
                <w:tcPr>
                  <w:tcW w:w="1039" w:type="dxa"/>
                  <w:vAlign w:val="top"/>
                </w:tcPr>
                <w:p w14:paraId="66A2BF62">
                  <w:pPr>
                    <w:pStyle w:val="6"/>
                    <w:spacing w:before="192"/>
                    <w:ind w:left="304"/>
                    <w:rPr>
                      <w:sz w:val="21"/>
                      <w:szCs w:val="21"/>
                    </w:rPr>
                  </w:pPr>
                  <w:r>
                    <w:rPr>
                      <w:spacing w:val="-2"/>
                      <w:sz w:val="21"/>
                      <w:szCs w:val="21"/>
                    </w:rPr>
                    <w:t>4000</w:t>
                  </w:r>
                </w:p>
              </w:tc>
              <w:tc>
                <w:tcPr>
                  <w:tcW w:w="939" w:type="dxa"/>
                  <w:vAlign w:val="top"/>
                </w:tcPr>
                <w:p w14:paraId="0EB82897">
                  <w:pPr>
                    <w:pStyle w:val="6"/>
                    <w:spacing w:before="172" w:line="220" w:lineRule="auto"/>
                    <w:ind w:left="255"/>
                    <w:rPr>
                      <w:sz w:val="21"/>
                      <w:szCs w:val="21"/>
                    </w:rPr>
                  </w:pPr>
                  <w:r>
                    <w:rPr>
                      <w:spacing w:val="-2"/>
                      <w:sz w:val="21"/>
                      <w:szCs w:val="21"/>
                    </w:rPr>
                    <w:t>达标</w:t>
                  </w:r>
                </w:p>
              </w:tc>
              <w:tc>
                <w:tcPr>
                  <w:tcW w:w="1118" w:type="dxa"/>
                  <w:vAlign w:val="top"/>
                </w:tcPr>
                <w:p w14:paraId="144DEAA6">
                  <w:pPr>
                    <w:pStyle w:val="6"/>
                    <w:spacing w:before="192" w:line="239" w:lineRule="auto"/>
                    <w:ind w:left="366"/>
                    <w:rPr>
                      <w:sz w:val="21"/>
                      <w:szCs w:val="21"/>
                    </w:rPr>
                  </w:pPr>
                  <w:r>
                    <w:rPr>
                      <w:spacing w:val="-2"/>
                      <w:sz w:val="21"/>
                      <w:szCs w:val="21"/>
                    </w:rPr>
                    <w:t>0.069</w:t>
                  </w:r>
                </w:p>
              </w:tc>
              <w:tc>
                <w:tcPr>
                  <w:tcW w:w="819" w:type="dxa"/>
                  <w:vAlign w:val="top"/>
                </w:tcPr>
                <w:p w14:paraId="2C72388D">
                  <w:pPr>
                    <w:pStyle w:val="6"/>
                    <w:spacing w:before="192"/>
                    <w:ind w:left="248"/>
                    <w:rPr>
                      <w:sz w:val="21"/>
                      <w:szCs w:val="21"/>
                    </w:rPr>
                  </w:pPr>
                  <w:r>
                    <w:rPr>
                      <w:spacing w:val="-6"/>
                      <w:sz w:val="21"/>
                      <w:szCs w:val="21"/>
                    </w:rPr>
                    <w:t>100</w:t>
                  </w:r>
                </w:p>
              </w:tc>
              <w:tc>
                <w:tcPr>
                  <w:tcW w:w="764" w:type="dxa"/>
                  <w:vAlign w:val="top"/>
                </w:tcPr>
                <w:p w14:paraId="07819C2A">
                  <w:pPr>
                    <w:pStyle w:val="6"/>
                    <w:spacing w:before="172" w:line="220" w:lineRule="auto"/>
                    <w:ind w:left="169"/>
                    <w:rPr>
                      <w:sz w:val="21"/>
                      <w:szCs w:val="21"/>
                    </w:rPr>
                  </w:pPr>
                  <w:r>
                    <w:rPr>
                      <w:spacing w:val="-2"/>
                      <w:sz w:val="21"/>
                      <w:szCs w:val="21"/>
                    </w:rPr>
                    <w:t>达标</w:t>
                  </w:r>
                </w:p>
              </w:tc>
            </w:tr>
            <w:tr w14:paraId="64C09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84" w:type="dxa"/>
                  <w:vMerge w:val="continue"/>
                  <w:tcBorders>
                    <w:top w:val="nil"/>
                    <w:bottom w:val="nil"/>
                  </w:tcBorders>
                  <w:vAlign w:val="top"/>
                </w:tcPr>
                <w:p w14:paraId="2B63B64D">
                  <w:pPr>
                    <w:rPr>
                      <w:rFonts w:ascii="Arial"/>
                      <w:sz w:val="21"/>
                    </w:rPr>
                  </w:pPr>
                </w:p>
              </w:tc>
              <w:tc>
                <w:tcPr>
                  <w:tcW w:w="1948" w:type="dxa"/>
                  <w:vAlign w:val="top"/>
                </w:tcPr>
                <w:p w14:paraId="70D01A11">
                  <w:pPr>
                    <w:pStyle w:val="6"/>
                    <w:spacing w:before="50" w:line="223" w:lineRule="auto"/>
                    <w:ind w:left="120" w:right="91"/>
                    <w:rPr>
                      <w:sz w:val="21"/>
                      <w:szCs w:val="21"/>
                    </w:rPr>
                  </w:pPr>
                  <w:r>
                    <w:rPr>
                      <w:spacing w:val="1"/>
                      <w:sz w:val="21"/>
                      <w:szCs w:val="21"/>
                    </w:rPr>
                    <w:t>2#升压站拟建场址</w:t>
                  </w:r>
                  <w:r>
                    <w:rPr>
                      <w:sz w:val="21"/>
                      <w:szCs w:val="21"/>
                    </w:rPr>
                    <w:t xml:space="preserve"> </w:t>
                  </w:r>
                  <w:r>
                    <w:rPr>
                      <w:spacing w:val="4"/>
                      <w:sz w:val="21"/>
                      <w:szCs w:val="21"/>
                    </w:rPr>
                    <w:t>南侧厂界5m处(2#)</w:t>
                  </w:r>
                </w:p>
              </w:tc>
              <w:tc>
                <w:tcPr>
                  <w:tcW w:w="1158" w:type="dxa"/>
                  <w:vAlign w:val="top"/>
                </w:tcPr>
                <w:p w14:paraId="208B0FC9">
                  <w:pPr>
                    <w:pStyle w:val="6"/>
                    <w:spacing w:before="203" w:line="239" w:lineRule="auto"/>
                    <w:ind w:left="362"/>
                    <w:rPr>
                      <w:sz w:val="21"/>
                      <w:szCs w:val="21"/>
                    </w:rPr>
                  </w:pPr>
                  <w:r>
                    <w:rPr>
                      <w:spacing w:val="-2"/>
                      <w:sz w:val="21"/>
                      <w:szCs w:val="21"/>
                    </w:rPr>
                    <w:t>6.06</w:t>
                  </w:r>
                </w:p>
              </w:tc>
              <w:tc>
                <w:tcPr>
                  <w:tcW w:w="1039" w:type="dxa"/>
                  <w:vAlign w:val="top"/>
                </w:tcPr>
                <w:p w14:paraId="3352A4A5">
                  <w:pPr>
                    <w:pStyle w:val="6"/>
                    <w:spacing w:before="202"/>
                    <w:ind w:left="304"/>
                    <w:rPr>
                      <w:sz w:val="21"/>
                      <w:szCs w:val="21"/>
                    </w:rPr>
                  </w:pPr>
                  <w:r>
                    <w:rPr>
                      <w:spacing w:val="-2"/>
                      <w:sz w:val="21"/>
                      <w:szCs w:val="21"/>
                    </w:rPr>
                    <w:t>4000</w:t>
                  </w:r>
                </w:p>
              </w:tc>
              <w:tc>
                <w:tcPr>
                  <w:tcW w:w="939" w:type="dxa"/>
                  <w:vAlign w:val="top"/>
                </w:tcPr>
                <w:p w14:paraId="52A52CA3">
                  <w:pPr>
                    <w:pStyle w:val="6"/>
                    <w:spacing w:before="183" w:line="220" w:lineRule="auto"/>
                    <w:ind w:left="255"/>
                    <w:rPr>
                      <w:sz w:val="21"/>
                      <w:szCs w:val="21"/>
                    </w:rPr>
                  </w:pPr>
                  <w:r>
                    <w:rPr>
                      <w:spacing w:val="-2"/>
                      <w:sz w:val="21"/>
                      <w:szCs w:val="21"/>
                    </w:rPr>
                    <w:t>达标</w:t>
                  </w:r>
                </w:p>
              </w:tc>
              <w:tc>
                <w:tcPr>
                  <w:tcW w:w="1118" w:type="dxa"/>
                  <w:vAlign w:val="top"/>
                </w:tcPr>
                <w:p w14:paraId="62499F58">
                  <w:pPr>
                    <w:pStyle w:val="6"/>
                    <w:spacing w:before="203" w:line="239" w:lineRule="auto"/>
                    <w:ind w:left="366"/>
                    <w:rPr>
                      <w:sz w:val="21"/>
                      <w:szCs w:val="21"/>
                    </w:rPr>
                  </w:pPr>
                  <w:r>
                    <w:rPr>
                      <w:spacing w:val="-2"/>
                      <w:sz w:val="21"/>
                      <w:szCs w:val="21"/>
                    </w:rPr>
                    <w:t>0.065</w:t>
                  </w:r>
                </w:p>
              </w:tc>
              <w:tc>
                <w:tcPr>
                  <w:tcW w:w="819" w:type="dxa"/>
                  <w:vAlign w:val="top"/>
                </w:tcPr>
                <w:p w14:paraId="10D36659">
                  <w:pPr>
                    <w:pStyle w:val="6"/>
                    <w:spacing w:before="202"/>
                    <w:ind w:left="248"/>
                    <w:rPr>
                      <w:sz w:val="21"/>
                      <w:szCs w:val="21"/>
                    </w:rPr>
                  </w:pPr>
                  <w:r>
                    <w:rPr>
                      <w:spacing w:val="-6"/>
                      <w:sz w:val="21"/>
                      <w:szCs w:val="21"/>
                    </w:rPr>
                    <w:t>100</w:t>
                  </w:r>
                </w:p>
              </w:tc>
              <w:tc>
                <w:tcPr>
                  <w:tcW w:w="764" w:type="dxa"/>
                  <w:vAlign w:val="top"/>
                </w:tcPr>
                <w:p w14:paraId="18FB7632">
                  <w:pPr>
                    <w:pStyle w:val="6"/>
                    <w:spacing w:before="183" w:line="220" w:lineRule="auto"/>
                    <w:ind w:left="169"/>
                    <w:rPr>
                      <w:sz w:val="21"/>
                      <w:szCs w:val="21"/>
                    </w:rPr>
                  </w:pPr>
                  <w:r>
                    <w:rPr>
                      <w:spacing w:val="-2"/>
                      <w:sz w:val="21"/>
                      <w:szCs w:val="21"/>
                    </w:rPr>
                    <w:t>达标</w:t>
                  </w:r>
                </w:p>
              </w:tc>
            </w:tr>
            <w:tr w14:paraId="15F9D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84" w:type="dxa"/>
                  <w:vMerge w:val="continue"/>
                  <w:tcBorders>
                    <w:top w:val="nil"/>
                    <w:bottom w:val="nil"/>
                  </w:tcBorders>
                  <w:vAlign w:val="top"/>
                </w:tcPr>
                <w:p w14:paraId="556279A9">
                  <w:pPr>
                    <w:rPr>
                      <w:rFonts w:ascii="Arial"/>
                      <w:sz w:val="21"/>
                    </w:rPr>
                  </w:pPr>
                </w:p>
              </w:tc>
              <w:tc>
                <w:tcPr>
                  <w:tcW w:w="1948" w:type="dxa"/>
                  <w:vAlign w:val="top"/>
                </w:tcPr>
                <w:p w14:paraId="1883AC02">
                  <w:pPr>
                    <w:pStyle w:val="6"/>
                    <w:spacing w:before="43" w:line="213" w:lineRule="auto"/>
                    <w:ind w:left="120" w:right="91"/>
                    <w:rPr>
                      <w:sz w:val="21"/>
                      <w:szCs w:val="21"/>
                    </w:rPr>
                  </w:pPr>
                  <w:r>
                    <w:rPr>
                      <w:spacing w:val="1"/>
                      <w:sz w:val="21"/>
                      <w:szCs w:val="21"/>
                    </w:rPr>
                    <w:t>3#升压站拟建场址</w:t>
                  </w:r>
                  <w:r>
                    <w:rPr>
                      <w:sz w:val="21"/>
                      <w:szCs w:val="21"/>
                    </w:rPr>
                    <w:t xml:space="preserve"> </w:t>
                  </w:r>
                  <w:r>
                    <w:rPr>
                      <w:spacing w:val="4"/>
                      <w:sz w:val="21"/>
                      <w:szCs w:val="21"/>
                    </w:rPr>
                    <w:t>西侧厂界5m处(3#)</w:t>
                  </w:r>
                </w:p>
              </w:tc>
              <w:tc>
                <w:tcPr>
                  <w:tcW w:w="1158" w:type="dxa"/>
                  <w:vAlign w:val="top"/>
                </w:tcPr>
                <w:p w14:paraId="07E2748E">
                  <w:pPr>
                    <w:pStyle w:val="6"/>
                    <w:spacing w:before="195" w:line="239" w:lineRule="auto"/>
                    <w:ind w:left="362"/>
                    <w:rPr>
                      <w:sz w:val="21"/>
                      <w:szCs w:val="21"/>
                    </w:rPr>
                  </w:pPr>
                  <w:r>
                    <w:rPr>
                      <w:spacing w:val="-3"/>
                      <w:sz w:val="21"/>
                      <w:szCs w:val="21"/>
                    </w:rPr>
                    <w:t>2.28</w:t>
                  </w:r>
                </w:p>
              </w:tc>
              <w:tc>
                <w:tcPr>
                  <w:tcW w:w="1039" w:type="dxa"/>
                  <w:vAlign w:val="top"/>
                </w:tcPr>
                <w:p w14:paraId="6F839818">
                  <w:pPr>
                    <w:pStyle w:val="6"/>
                    <w:spacing w:before="195"/>
                    <w:ind w:left="304"/>
                    <w:rPr>
                      <w:sz w:val="21"/>
                      <w:szCs w:val="21"/>
                    </w:rPr>
                  </w:pPr>
                  <w:r>
                    <w:rPr>
                      <w:spacing w:val="-2"/>
                      <w:sz w:val="21"/>
                      <w:szCs w:val="21"/>
                    </w:rPr>
                    <w:t>4000</w:t>
                  </w:r>
                </w:p>
              </w:tc>
              <w:tc>
                <w:tcPr>
                  <w:tcW w:w="939" w:type="dxa"/>
                  <w:vAlign w:val="top"/>
                </w:tcPr>
                <w:p w14:paraId="61E5A664">
                  <w:pPr>
                    <w:pStyle w:val="6"/>
                    <w:spacing w:before="175" w:line="220" w:lineRule="auto"/>
                    <w:ind w:left="255"/>
                    <w:rPr>
                      <w:sz w:val="21"/>
                      <w:szCs w:val="21"/>
                    </w:rPr>
                  </w:pPr>
                  <w:r>
                    <w:rPr>
                      <w:spacing w:val="-2"/>
                      <w:sz w:val="21"/>
                      <w:szCs w:val="21"/>
                    </w:rPr>
                    <w:t>达标</w:t>
                  </w:r>
                </w:p>
              </w:tc>
              <w:tc>
                <w:tcPr>
                  <w:tcW w:w="1118" w:type="dxa"/>
                  <w:vAlign w:val="top"/>
                </w:tcPr>
                <w:p w14:paraId="216B154F">
                  <w:pPr>
                    <w:pStyle w:val="6"/>
                    <w:spacing w:before="195" w:line="239" w:lineRule="auto"/>
                    <w:ind w:left="366"/>
                    <w:rPr>
                      <w:sz w:val="21"/>
                      <w:szCs w:val="21"/>
                    </w:rPr>
                  </w:pPr>
                  <w:r>
                    <w:rPr>
                      <w:spacing w:val="-2"/>
                      <w:sz w:val="21"/>
                      <w:szCs w:val="21"/>
                    </w:rPr>
                    <w:t>0.064</w:t>
                  </w:r>
                </w:p>
              </w:tc>
              <w:tc>
                <w:tcPr>
                  <w:tcW w:w="819" w:type="dxa"/>
                  <w:vAlign w:val="top"/>
                </w:tcPr>
                <w:p w14:paraId="38DE12E8">
                  <w:pPr>
                    <w:pStyle w:val="6"/>
                    <w:spacing w:before="195"/>
                    <w:ind w:left="248"/>
                    <w:rPr>
                      <w:sz w:val="21"/>
                      <w:szCs w:val="21"/>
                    </w:rPr>
                  </w:pPr>
                  <w:r>
                    <w:rPr>
                      <w:spacing w:val="-6"/>
                      <w:sz w:val="21"/>
                      <w:szCs w:val="21"/>
                    </w:rPr>
                    <w:t>100</w:t>
                  </w:r>
                </w:p>
              </w:tc>
              <w:tc>
                <w:tcPr>
                  <w:tcW w:w="764" w:type="dxa"/>
                  <w:vAlign w:val="top"/>
                </w:tcPr>
                <w:p w14:paraId="7A14228B">
                  <w:pPr>
                    <w:pStyle w:val="6"/>
                    <w:spacing w:before="175" w:line="220" w:lineRule="auto"/>
                    <w:ind w:left="169"/>
                    <w:rPr>
                      <w:sz w:val="21"/>
                      <w:szCs w:val="21"/>
                    </w:rPr>
                  </w:pPr>
                  <w:r>
                    <w:rPr>
                      <w:spacing w:val="-2"/>
                      <w:sz w:val="21"/>
                      <w:szCs w:val="21"/>
                    </w:rPr>
                    <w:t>达标</w:t>
                  </w:r>
                </w:p>
              </w:tc>
            </w:tr>
            <w:tr w14:paraId="212AE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84" w:type="dxa"/>
                  <w:vMerge w:val="continue"/>
                  <w:tcBorders>
                    <w:top w:val="nil"/>
                  </w:tcBorders>
                  <w:vAlign w:val="top"/>
                </w:tcPr>
                <w:p w14:paraId="6150C0A5">
                  <w:pPr>
                    <w:rPr>
                      <w:rFonts w:ascii="Arial"/>
                      <w:sz w:val="21"/>
                    </w:rPr>
                  </w:pPr>
                </w:p>
              </w:tc>
              <w:tc>
                <w:tcPr>
                  <w:tcW w:w="1948" w:type="dxa"/>
                  <w:vAlign w:val="top"/>
                </w:tcPr>
                <w:p w14:paraId="79533CDD">
                  <w:pPr>
                    <w:pStyle w:val="6"/>
                    <w:spacing w:before="44" w:line="208" w:lineRule="auto"/>
                    <w:ind w:left="120" w:right="91"/>
                    <w:rPr>
                      <w:sz w:val="21"/>
                      <w:szCs w:val="21"/>
                    </w:rPr>
                  </w:pPr>
                  <w:r>
                    <w:rPr>
                      <w:spacing w:val="-1"/>
                      <w:sz w:val="21"/>
                      <w:szCs w:val="21"/>
                    </w:rPr>
                    <w:t>4#升压站拟建场址</w:t>
                  </w:r>
                  <w:r>
                    <w:rPr>
                      <w:sz w:val="21"/>
                      <w:szCs w:val="21"/>
                    </w:rPr>
                    <w:t xml:space="preserve"> </w:t>
                  </w:r>
                  <w:r>
                    <w:rPr>
                      <w:spacing w:val="4"/>
                      <w:sz w:val="21"/>
                      <w:szCs w:val="21"/>
                    </w:rPr>
                    <w:t>北侧厂界5m处(4#)</w:t>
                  </w:r>
                </w:p>
              </w:tc>
              <w:tc>
                <w:tcPr>
                  <w:tcW w:w="1158" w:type="dxa"/>
                  <w:vAlign w:val="top"/>
                </w:tcPr>
                <w:p w14:paraId="7B6EAD4C">
                  <w:pPr>
                    <w:pStyle w:val="6"/>
                    <w:spacing w:before="219" w:line="184" w:lineRule="auto"/>
                    <w:ind w:left="462"/>
                    <w:rPr>
                      <w:sz w:val="21"/>
                      <w:szCs w:val="21"/>
                    </w:rPr>
                  </w:pPr>
                  <w:r>
                    <w:rPr>
                      <w:spacing w:val="-6"/>
                      <w:sz w:val="21"/>
                      <w:szCs w:val="21"/>
                    </w:rPr>
                    <w:t>1L</w:t>
                  </w:r>
                </w:p>
              </w:tc>
              <w:tc>
                <w:tcPr>
                  <w:tcW w:w="1039" w:type="dxa"/>
                  <w:vAlign w:val="top"/>
                </w:tcPr>
                <w:p w14:paraId="6B9C006B">
                  <w:pPr>
                    <w:pStyle w:val="6"/>
                    <w:spacing w:before="186"/>
                    <w:ind w:left="304"/>
                    <w:rPr>
                      <w:sz w:val="21"/>
                      <w:szCs w:val="21"/>
                    </w:rPr>
                  </w:pPr>
                  <w:r>
                    <w:rPr>
                      <w:spacing w:val="-2"/>
                      <w:sz w:val="21"/>
                      <w:szCs w:val="21"/>
                    </w:rPr>
                    <w:t>4000</w:t>
                  </w:r>
                </w:p>
              </w:tc>
              <w:tc>
                <w:tcPr>
                  <w:tcW w:w="939" w:type="dxa"/>
                  <w:vAlign w:val="top"/>
                </w:tcPr>
                <w:p w14:paraId="284FAAE7">
                  <w:pPr>
                    <w:pStyle w:val="6"/>
                    <w:spacing w:before="167" w:line="220" w:lineRule="auto"/>
                    <w:ind w:left="255"/>
                    <w:rPr>
                      <w:sz w:val="21"/>
                      <w:szCs w:val="21"/>
                    </w:rPr>
                  </w:pPr>
                  <w:r>
                    <w:rPr>
                      <w:spacing w:val="-2"/>
                      <w:sz w:val="21"/>
                      <w:szCs w:val="21"/>
                    </w:rPr>
                    <w:t>达标</w:t>
                  </w:r>
                </w:p>
              </w:tc>
              <w:tc>
                <w:tcPr>
                  <w:tcW w:w="1118" w:type="dxa"/>
                  <w:vAlign w:val="top"/>
                </w:tcPr>
                <w:p w14:paraId="2537A6A0">
                  <w:pPr>
                    <w:pStyle w:val="6"/>
                    <w:spacing w:before="187" w:line="239" w:lineRule="auto"/>
                    <w:ind w:left="366"/>
                    <w:rPr>
                      <w:sz w:val="21"/>
                      <w:szCs w:val="21"/>
                    </w:rPr>
                  </w:pPr>
                  <w:r>
                    <w:rPr>
                      <w:spacing w:val="-2"/>
                      <w:sz w:val="21"/>
                      <w:szCs w:val="21"/>
                    </w:rPr>
                    <w:t>0.067</w:t>
                  </w:r>
                </w:p>
              </w:tc>
              <w:tc>
                <w:tcPr>
                  <w:tcW w:w="819" w:type="dxa"/>
                  <w:vAlign w:val="top"/>
                </w:tcPr>
                <w:p w14:paraId="480F3BBF">
                  <w:pPr>
                    <w:pStyle w:val="6"/>
                    <w:spacing w:before="186"/>
                    <w:ind w:left="248"/>
                    <w:rPr>
                      <w:sz w:val="21"/>
                      <w:szCs w:val="21"/>
                    </w:rPr>
                  </w:pPr>
                  <w:r>
                    <w:rPr>
                      <w:spacing w:val="-6"/>
                      <w:sz w:val="21"/>
                      <w:szCs w:val="21"/>
                    </w:rPr>
                    <w:t>100</w:t>
                  </w:r>
                </w:p>
              </w:tc>
              <w:tc>
                <w:tcPr>
                  <w:tcW w:w="764" w:type="dxa"/>
                  <w:vAlign w:val="top"/>
                </w:tcPr>
                <w:p w14:paraId="6F11218B">
                  <w:pPr>
                    <w:pStyle w:val="6"/>
                    <w:spacing w:before="167" w:line="220" w:lineRule="auto"/>
                    <w:ind w:left="169"/>
                    <w:rPr>
                      <w:sz w:val="21"/>
                      <w:szCs w:val="21"/>
                    </w:rPr>
                  </w:pPr>
                  <w:r>
                    <w:rPr>
                      <w:spacing w:val="-2"/>
                      <w:sz w:val="21"/>
                      <w:szCs w:val="21"/>
                    </w:rPr>
                    <w:t>达标</w:t>
                  </w:r>
                </w:p>
              </w:tc>
            </w:tr>
            <w:tr w14:paraId="00F32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8469" w:type="dxa"/>
                  <w:gridSpan w:val="8"/>
                  <w:vAlign w:val="top"/>
                </w:tcPr>
                <w:p w14:paraId="27902B7F">
                  <w:pPr>
                    <w:pStyle w:val="6"/>
                    <w:spacing w:before="35" w:line="201" w:lineRule="auto"/>
                    <w:ind w:left="664"/>
                    <w:rPr>
                      <w:sz w:val="21"/>
                      <w:szCs w:val="21"/>
                    </w:rPr>
                  </w:pPr>
                  <w:r>
                    <w:rPr>
                      <w:sz w:val="21"/>
                      <w:szCs w:val="21"/>
                    </w:rPr>
                    <w:t>注：使用方法的检出限或最低检出限浓度+L,工频电场的检出限：1V</w:t>
                  </w:r>
                  <w:r>
                    <w:rPr>
                      <w:spacing w:val="-1"/>
                      <w:sz w:val="21"/>
                      <w:szCs w:val="21"/>
                    </w:rPr>
                    <w:t>/m-199KV/m</w:t>
                  </w:r>
                </w:p>
              </w:tc>
            </w:tr>
          </w:tbl>
          <w:p w14:paraId="3F69CCB7">
            <w:pPr>
              <w:pStyle w:val="6"/>
              <w:spacing w:before="53" w:line="359" w:lineRule="auto"/>
              <w:ind w:left="111" w:right="1" w:firstLine="499"/>
              <w:rPr>
                <w:sz w:val="24"/>
                <w:szCs w:val="24"/>
              </w:rPr>
            </w:pPr>
            <w:r>
              <w:rPr>
                <w:sz w:val="24"/>
                <w:szCs w:val="24"/>
              </w:rPr>
              <w:t>根据监测结果，本项目各测量点的工频电场强度、工</w:t>
            </w:r>
            <w:r>
              <w:rPr>
                <w:spacing w:val="-1"/>
                <w:sz w:val="24"/>
                <w:szCs w:val="24"/>
              </w:rPr>
              <w:t>频磁感应强度现状测量最</w:t>
            </w:r>
            <w:r>
              <w:rPr>
                <w:sz w:val="24"/>
                <w:szCs w:val="24"/>
              </w:rPr>
              <w:t xml:space="preserve"> 大值分别为6.06V/m和0.069μT。本项目相关测量点位处的工频电场强度及工频磁</w:t>
            </w:r>
            <w:r>
              <w:rPr>
                <w:spacing w:val="9"/>
                <w:sz w:val="24"/>
                <w:szCs w:val="24"/>
              </w:rPr>
              <w:t xml:space="preserve">  </w:t>
            </w:r>
            <w:r>
              <w:rPr>
                <w:sz w:val="24"/>
                <w:szCs w:val="24"/>
              </w:rPr>
              <w:t>感应强度现状测量结果均满足《电磁环境控制限值》(GB8702-2014)限值要求，</w:t>
            </w:r>
          </w:p>
          <w:p w14:paraId="2A368A6C">
            <w:pPr>
              <w:pStyle w:val="6"/>
              <w:spacing w:before="1" w:line="218" w:lineRule="auto"/>
              <w:ind w:left="111"/>
              <w:rPr>
                <w:sz w:val="24"/>
                <w:szCs w:val="24"/>
              </w:rPr>
            </w:pPr>
            <w:r>
              <w:rPr>
                <w:spacing w:val="-1"/>
                <w:sz w:val="24"/>
                <w:szCs w:val="24"/>
              </w:rPr>
              <w:t>表明本项目所在区域电磁环境质量现状良好。</w:t>
            </w:r>
          </w:p>
        </w:tc>
      </w:tr>
      <w:tr w14:paraId="58BB2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8" w:hRule="atLeast"/>
        </w:trPr>
        <w:tc>
          <w:tcPr>
            <w:tcW w:w="684" w:type="dxa"/>
            <w:vAlign w:val="top"/>
          </w:tcPr>
          <w:p w14:paraId="6899217B">
            <w:pPr>
              <w:pStyle w:val="6"/>
              <w:spacing w:before="140" w:line="239" w:lineRule="auto"/>
              <w:ind w:left="55" w:right="70" w:firstLine="40"/>
              <w:jc w:val="both"/>
              <w:rPr>
                <w:sz w:val="24"/>
                <w:szCs w:val="24"/>
              </w:rPr>
            </w:pPr>
            <w:r>
              <w:rPr>
                <w:spacing w:val="7"/>
                <w:sz w:val="24"/>
                <w:szCs w:val="24"/>
              </w:rPr>
              <w:t>与项</w:t>
            </w:r>
            <w:r>
              <w:rPr>
                <w:sz w:val="24"/>
                <w:szCs w:val="24"/>
              </w:rPr>
              <w:t xml:space="preserve"> </w:t>
            </w:r>
            <w:r>
              <w:rPr>
                <w:spacing w:val="26"/>
                <w:sz w:val="24"/>
                <w:szCs w:val="24"/>
              </w:rPr>
              <w:t>目有</w:t>
            </w:r>
            <w:r>
              <w:rPr>
                <w:sz w:val="24"/>
                <w:szCs w:val="24"/>
              </w:rPr>
              <w:t xml:space="preserve"> </w:t>
            </w:r>
            <w:r>
              <w:rPr>
                <w:spacing w:val="29"/>
                <w:sz w:val="24"/>
                <w:szCs w:val="24"/>
              </w:rPr>
              <w:t>关的</w:t>
            </w:r>
            <w:r>
              <w:rPr>
                <w:sz w:val="24"/>
                <w:szCs w:val="24"/>
              </w:rPr>
              <w:t xml:space="preserve"> </w:t>
            </w:r>
            <w:r>
              <w:rPr>
                <w:spacing w:val="26"/>
                <w:sz w:val="24"/>
                <w:szCs w:val="24"/>
              </w:rPr>
              <w:t>原有</w:t>
            </w:r>
            <w:r>
              <w:rPr>
                <w:sz w:val="24"/>
                <w:szCs w:val="24"/>
              </w:rPr>
              <w:t xml:space="preserve"> </w:t>
            </w:r>
            <w:r>
              <w:rPr>
                <w:spacing w:val="15"/>
                <w:sz w:val="24"/>
                <w:szCs w:val="24"/>
              </w:rPr>
              <w:t>环境</w:t>
            </w:r>
            <w:r>
              <w:rPr>
                <w:sz w:val="24"/>
                <w:szCs w:val="24"/>
              </w:rPr>
              <w:t xml:space="preserve"> </w:t>
            </w:r>
            <w:r>
              <w:rPr>
                <w:spacing w:val="25"/>
                <w:sz w:val="24"/>
                <w:szCs w:val="24"/>
              </w:rPr>
              <w:t>污染</w:t>
            </w:r>
            <w:r>
              <w:rPr>
                <w:sz w:val="24"/>
                <w:szCs w:val="24"/>
              </w:rPr>
              <w:t xml:space="preserve"> </w:t>
            </w:r>
            <w:r>
              <w:rPr>
                <w:spacing w:val="25"/>
                <w:sz w:val="24"/>
                <w:szCs w:val="24"/>
              </w:rPr>
              <w:t>和生</w:t>
            </w:r>
            <w:r>
              <w:rPr>
                <w:sz w:val="24"/>
                <w:szCs w:val="24"/>
              </w:rPr>
              <w:t xml:space="preserve"> </w:t>
            </w:r>
            <w:r>
              <w:rPr>
                <w:spacing w:val="15"/>
                <w:sz w:val="24"/>
                <w:szCs w:val="24"/>
              </w:rPr>
              <w:t>态破</w:t>
            </w:r>
            <w:r>
              <w:rPr>
                <w:sz w:val="24"/>
                <w:szCs w:val="24"/>
              </w:rPr>
              <w:t xml:space="preserve"> </w:t>
            </w:r>
            <w:r>
              <w:rPr>
                <w:spacing w:val="34"/>
                <w:sz w:val="24"/>
                <w:szCs w:val="24"/>
              </w:rPr>
              <w:t>坏问</w:t>
            </w:r>
            <w:r>
              <w:rPr>
                <w:sz w:val="24"/>
                <w:szCs w:val="24"/>
              </w:rPr>
              <w:t xml:space="preserve"> 题</w:t>
            </w:r>
          </w:p>
        </w:tc>
        <w:tc>
          <w:tcPr>
            <w:tcW w:w="8773" w:type="dxa"/>
            <w:gridSpan w:val="9"/>
            <w:vAlign w:val="top"/>
          </w:tcPr>
          <w:p w14:paraId="3FB60628">
            <w:pPr>
              <w:pStyle w:val="6"/>
              <w:spacing w:before="55" w:line="219" w:lineRule="auto"/>
              <w:ind w:left="221"/>
              <w:rPr>
                <w:sz w:val="24"/>
                <w:szCs w:val="24"/>
              </w:rPr>
            </w:pPr>
            <w:r>
              <w:rPr>
                <w:sz w:val="24"/>
                <w:szCs w:val="24"/>
              </w:rPr>
              <w:t>(1)水环境污染源调查：本项目工程区位于陆良县曲靖市陆良县大莫古镇阿油铺</w:t>
            </w:r>
          </w:p>
          <w:p w14:paraId="10858CF8">
            <w:pPr>
              <w:pStyle w:val="6"/>
              <w:spacing w:before="194" w:line="357" w:lineRule="auto"/>
              <w:ind w:left="121" w:hanging="10"/>
              <w:rPr>
                <w:sz w:val="24"/>
                <w:szCs w:val="24"/>
              </w:rPr>
            </w:pPr>
            <w:r>
              <w:rPr>
                <w:sz w:val="24"/>
                <w:szCs w:val="24"/>
              </w:rPr>
              <w:t>村民委员会、大地村民委员会、大莫古村民委员会、发峨哨村民委员会、甘和村民</w:t>
            </w:r>
            <w:r>
              <w:rPr>
                <w:spacing w:val="10"/>
                <w:sz w:val="24"/>
                <w:szCs w:val="24"/>
              </w:rPr>
              <w:t xml:space="preserve"> </w:t>
            </w:r>
            <w:r>
              <w:rPr>
                <w:sz w:val="24"/>
                <w:szCs w:val="24"/>
              </w:rPr>
              <w:t>委员会、新村村民委员会，周边仅有部分居民点分布，主</w:t>
            </w:r>
            <w:r>
              <w:rPr>
                <w:spacing w:val="-1"/>
                <w:sz w:val="24"/>
                <w:szCs w:val="24"/>
              </w:rPr>
              <w:t>要污染源为农村生产生活</w:t>
            </w:r>
            <w:r>
              <w:rPr>
                <w:sz w:val="24"/>
                <w:szCs w:val="24"/>
              </w:rPr>
              <w:t xml:space="preserve"> 的面源污染，没有工业污染源分布。</w:t>
            </w:r>
          </w:p>
          <w:p w14:paraId="05FD4FF5">
            <w:pPr>
              <w:pStyle w:val="6"/>
              <w:spacing w:line="219" w:lineRule="auto"/>
              <w:ind w:left="231"/>
              <w:rPr>
                <w:sz w:val="24"/>
                <w:szCs w:val="24"/>
              </w:rPr>
            </w:pPr>
            <w:r>
              <w:rPr>
                <w:sz w:val="24"/>
                <w:szCs w:val="24"/>
              </w:rPr>
              <w:t>(2)现状声环境污染源：项目区主要噪声为周边自然环境噪声，无工业噪</w:t>
            </w:r>
            <w:r>
              <w:rPr>
                <w:spacing w:val="-1"/>
                <w:sz w:val="24"/>
                <w:szCs w:val="24"/>
              </w:rPr>
              <w:t>声。</w:t>
            </w:r>
          </w:p>
          <w:p w14:paraId="320DC198">
            <w:pPr>
              <w:pStyle w:val="6"/>
              <w:spacing w:before="185" w:line="291" w:lineRule="auto"/>
              <w:ind w:left="101" w:right="252" w:firstLine="129"/>
              <w:rPr>
                <w:sz w:val="24"/>
                <w:szCs w:val="24"/>
              </w:rPr>
            </w:pPr>
            <w:r>
              <w:rPr>
                <w:sz w:val="24"/>
                <w:szCs w:val="24"/>
              </w:rPr>
              <w:t>(3)大气污染源：工程所处区域为一般农村和集镇地区，无大型工业企业分</w:t>
            </w:r>
            <w:r>
              <w:rPr>
                <w:spacing w:val="-1"/>
                <w:sz w:val="24"/>
                <w:szCs w:val="24"/>
              </w:rPr>
              <w:t>布，</w:t>
            </w:r>
            <w:r>
              <w:rPr>
                <w:sz w:val="24"/>
                <w:szCs w:val="24"/>
              </w:rPr>
              <w:t xml:space="preserve"> </w:t>
            </w:r>
            <w:r>
              <w:rPr>
                <w:spacing w:val="-1"/>
                <w:sz w:val="24"/>
                <w:szCs w:val="24"/>
              </w:rPr>
              <w:t>无工业废气污染源。</w:t>
            </w:r>
          </w:p>
        </w:tc>
      </w:tr>
      <w:tr w14:paraId="3BE38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684" w:type="dxa"/>
            <w:textDirection w:val="tbRlV"/>
            <w:vAlign w:val="top"/>
          </w:tcPr>
          <w:p w14:paraId="6D763BF0">
            <w:pPr>
              <w:pStyle w:val="6"/>
              <w:spacing w:before="230" w:line="201" w:lineRule="auto"/>
              <w:ind w:left="7"/>
              <w:rPr>
                <w:sz w:val="24"/>
                <w:szCs w:val="24"/>
              </w:rPr>
            </w:pPr>
            <w:r>
              <w:rPr>
                <w:sz w:val="24"/>
                <w:szCs w:val="24"/>
              </w:rPr>
              <w:t>生</w:t>
            </w:r>
            <w:r>
              <w:rPr>
                <w:spacing w:val="-31"/>
                <w:sz w:val="24"/>
                <w:szCs w:val="24"/>
              </w:rPr>
              <w:t xml:space="preserve"> </w:t>
            </w:r>
            <w:r>
              <w:rPr>
                <w:sz w:val="24"/>
                <w:szCs w:val="24"/>
              </w:rPr>
              <w:t>态</w:t>
            </w:r>
            <w:r>
              <w:rPr>
                <w:spacing w:val="-31"/>
                <w:sz w:val="24"/>
                <w:szCs w:val="24"/>
              </w:rPr>
              <w:t xml:space="preserve"> </w:t>
            </w:r>
            <w:r>
              <w:rPr>
                <w:sz w:val="24"/>
                <w:szCs w:val="24"/>
              </w:rPr>
              <w:t>环</w:t>
            </w:r>
          </w:p>
        </w:tc>
        <w:tc>
          <w:tcPr>
            <w:tcW w:w="8773" w:type="dxa"/>
            <w:gridSpan w:val="9"/>
            <w:vAlign w:val="top"/>
          </w:tcPr>
          <w:p w14:paraId="4289C93B">
            <w:pPr>
              <w:pStyle w:val="6"/>
              <w:spacing w:before="37" w:line="337" w:lineRule="auto"/>
              <w:ind w:left="121" w:firstLine="479"/>
              <w:rPr>
                <w:sz w:val="24"/>
                <w:szCs w:val="24"/>
              </w:rPr>
            </w:pPr>
            <w:r>
              <w:rPr>
                <w:sz w:val="24"/>
                <w:szCs w:val="24"/>
              </w:rPr>
              <w:t>本项目位于曲靖市陆良县大莫古镇阿油铺村民委员会、大地村民委员会、大莫</w:t>
            </w:r>
            <w:r>
              <w:rPr>
                <w:spacing w:val="1"/>
                <w:sz w:val="24"/>
                <w:szCs w:val="24"/>
              </w:rPr>
              <w:t xml:space="preserve"> </w:t>
            </w:r>
            <w:r>
              <w:rPr>
                <w:sz w:val="24"/>
                <w:szCs w:val="24"/>
              </w:rPr>
              <w:t>古村民委员会、发峨哨村民委员会、甘和村民委员会、新村村民委员会，周边</w:t>
            </w:r>
            <w:r>
              <w:rPr>
                <w:spacing w:val="-1"/>
                <w:sz w:val="24"/>
                <w:szCs w:val="24"/>
              </w:rPr>
              <w:t>环境</w:t>
            </w:r>
          </w:p>
        </w:tc>
      </w:tr>
    </w:tbl>
    <w:p w14:paraId="14C971E9">
      <w:pPr>
        <w:pStyle w:val="2"/>
      </w:pPr>
    </w:p>
    <w:p w14:paraId="52ECC34F">
      <w:pPr>
        <w:sectPr>
          <w:footerReference r:id="rId114" w:type="default"/>
          <w:pgSz w:w="11910" w:h="16830"/>
          <w:pgMar w:top="400" w:right="1227" w:bottom="1245" w:left="1214" w:header="0" w:footer="1083" w:gutter="0"/>
          <w:cols w:space="720" w:num="1"/>
        </w:sectPr>
      </w:pPr>
    </w:p>
    <w:p w14:paraId="59AABE6E">
      <w:pPr>
        <w:pStyle w:val="2"/>
        <w:spacing w:line="304" w:lineRule="auto"/>
      </w:pPr>
    </w:p>
    <w:p w14:paraId="3925F302">
      <w:pPr>
        <w:pStyle w:val="2"/>
        <w:spacing w:line="305" w:lineRule="auto"/>
      </w:pPr>
    </w:p>
    <w:p w14:paraId="0E2C5000">
      <w:pPr>
        <w:pStyle w:val="2"/>
        <w:spacing w:line="305" w:lineRule="auto"/>
      </w:pPr>
    </w:p>
    <w:p w14:paraId="2563D845">
      <w:pPr>
        <w:spacing w:before="78" w:line="168" w:lineRule="auto"/>
        <w:ind w:left="825"/>
        <w:rPr>
          <w:rFonts w:ascii="宋体" w:hAnsi="宋体" w:eastAsia="宋体" w:cs="宋体"/>
          <w:sz w:val="24"/>
          <w:szCs w:val="24"/>
        </w:rPr>
      </w:pPr>
      <w:r>
        <w:rPr>
          <w:rFonts w:ascii="宋体" w:hAnsi="宋体" w:eastAsia="宋体" w:cs="宋体"/>
          <w:sz w:val="24"/>
          <w:szCs w:val="24"/>
        </w:rPr>
        <w:t>保护目标分布情况见表3-21。</w:t>
      </w:r>
    </w:p>
    <w:p w14:paraId="495B9C51">
      <w:pPr>
        <w:spacing w:line="170" w:lineRule="auto"/>
        <w:ind w:left="2184"/>
        <w:rPr>
          <w:rFonts w:ascii="宋体" w:hAnsi="宋体" w:eastAsia="宋体" w:cs="宋体"/>
          <w:sz w:val="24"/>
          <w:szCs w:val="24"/>
        </w:rPr>
      </w:pPr>
      <w:r>
        <w:rPr>
          <w:rFonts w:ascii="宋体" w:hAnsi="宋体" w:eastAsia="宋体" w:cs="宋体"/>
          <w:spacing w:val="-2"/>
          <w:sz w:val="24"/>
          <w:szCs w:val="24"/>
        </w:rPr>
        <w:t>表3-21</w:t>
      </w:r>
      <w:r>
        <w:rPr>
          <w:rFonts w:ascii="宋体" w:hAnsi="宋体" w:eastAsia="宋体" w:cs="宋体"/>
          <w:spacing w:val="26"/>
          <w:sz w:val="24"/>
          <w:szCs w:val="24"/>
        </w:rPr>
        <w:t xml:space="preserve">     </w:t>
      </w:r>
      <w:r>
        <w:rPr>
          <w:rFonts w:ascii="宋体" w:hAnsi="宋体" w:eastAsia="宋体" w:cs="宋体"/>
          <w:b/>
          <w:bCs/>
          <w:spacing w:val="-2"/>
          <w:sz w:val="24"/>
          <w:szCs w:val="24"/>
        </w:rPr>
        <w:t>本项目环境空气和地表水保护目标一览表</w:t>
      </w:r>
    </w:p>
    <w:tbl>
      <w:tblPr>
        <w:tblStyle w:val="5"/>
        <w:tblW w:w="92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140"/>
        <w:gridCol w:w="599"/>
        <w:gridCol w:w="849"/>
        <w:gridCol w:w="1658"/>
        <w:gridCol w:w="1349"/>
        <w:gridCol w:w="1858"/>
        <w:gridCol w:w="729"/>
        <w:gridCol w:w="609"/>
        <w:gridCol w:w="804"/>
      </w:tblGrid>
      <w:tr w14:paraId="23880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694" w:type="dxa"/>
            <w:vMerge w:val="restart"/>
            <w:tcBorders>
              <w:bottom w:val="nil"/>
            </w:tcBorders>
            <w:textDirection w:val="tbRlV"/>
            <w:vAlign w:val="top"/>
          </w:tcPr>
          <w:p w14:paraId="215FC147">
            <w:pPr>
              <w:pStyle w:val="6"/>
              <w:spacing w:before="226" w:line="202" w:lineRule="auto"/>
              <w:rPr>
                <w:sz w:val="23"/>
                <w:szCs w:val="23"/>
              </w:rPr>
            </w:pPr>
            <w:r>
              <w:rPr>
                <w:sz w:val="23"/>
                <w:szCs w:val="23"/>
              </w:rPr>
              <w:t>境</w:t>
            </w:r>
            <w:r>
              <w:rPr>
                <w:spacing w:val="-24"/>
                <w:sz w:val="23"/>
                <w:szCs w:val="23"/>
              </w:rPr>
              <w:t xml:space="preserve"> </w:t>
            </w:r>
            <w:r>
              <w:rPr>
                <w:sz w:val="23"/>
                <w:szCs w:val="23"/>
              </w:rPr>
              <w:t>保</w:t>
            </w:r>
            <w:r>
              <w:rPr>
                <w:spacing w:val="-24"/>
                <w:sz w:val="23"/>
                <w:szCs w:val="23"/>
              </w:rPr>
              <w:t xml:space="preserve"> </w:t>
            </w:r>
            <w:r>
              <w:rPr>
                <w:sz w:val="23"/>
                <w:szCs w:val="23"/>
              </w:rPr>
              <w:t>护</w:t>
            </w:r>
            <w:r>
              <w:rPr>
                <w:spacing w:val="-24"/>
                <w:sz w:val="23"/>
                <w:szCs w:val="23"/>
              </w:rPr>
              <w:t xml:space="preserve"> </w:t>
            </w:r>
            <w:r>
              <w:rPr>
                <w:sz w:val="23"/>
                <w:szCs w:val="23"/>
              </w:rPr>
              <w:t>目</w:t>
            </w:r>
            <w:r>
              <w:rPr>
                <w:spacing w:val="-23"/>
                <w:sz w:val="23"/>
                <w:szCs w:val="23"/>
              </w:rPr>
              <w:t xml:space="preserve"> </w:t>
            </w:r>
            <w:r>
              <w:rPr>
                <w:sz w:val="23"/>
                <w:szCs w:val="23"/>
              </w:rPr>
              <w:t>标</w:t>
            </w:r>
          </w:p>
        </w:tc>
        <w:tc>
          <w:tcPr>
            <w:tcW w:w="140" w:type="dxa"/>
            <w:vMerge w:val="restart"/>
            <w:tcBorders>
              <w:bottom w:val="nil"/>
            </w:tcBorders>
            <w:vAlign w:val="top"/>
          </w:tcPr>
          <w:p w14:paraId="5D45AB9C">
            <w:pPr>
              <w:rPr>
                <w:rFonts w:ascii="Arial"/>
                <w:sz w:val="21"/>
              </w:rPr>
            </w:pPr>
          </w:p>
        </w:tc>
        <w:tc>
          <w:tcPr>
            <w:tcW w:w="599" w:type="dxa"/>
            <w:vMerge w:val="restart"/>
            <w:tcBorders>
              <w:bottom w:val="nil"/>
            </w:tcBorders>
            <w:vAlign w:val="top"/>
          </w:tcPr>
          <w:p w14:paraId="2C70CA2E">
            <w:pPr>
              <w:pStyle w:val="6"/>
              <w:spacing w:before="279" w:line="220" w:lineRule="auto"/>
              <w:ind w:left="110"/>
              <w:rPr>
                <w:sz w:val="18"/>
                <w:szCs w:val="18"/>
              </w:rPr>
            </w:pPr>
            <w:r>
              <w:rPr>
                <w:spacing w:val="-2"/>
                <w:sz w:val="18"/>
                <w:szCs w:val="18"/>
              </w:rPr>
              <w:t>环境</w:t>
            </w:r>
          </w:p>
          <w:p w14:paraId="470861D1">
            <w:pPr>
              <w:pStyle w:val="6"/>
              <w:spacing w:before="155" w:line="219" w:lineRule="auto"/>
              <w:ind w:left="110"/>
              <w:rPr>
                <w:sz w:val="18"/>
                <w:szCs w:val="18"/>
              </w:rPr>
            </w:pPr>
            <w:r>
              <w:rPr>
                <w:spacing w:val="-2"/>
                <w:sz w:val="18"/>
                <w:szCs w:val="18"/>
              </w:rPr>
              <w:t>要素</w:t>
            </w:r>
          </w:p>
        </w:tc>
        <w:tc>
          <w:tcPr>
            <w:tcW w:w="849" w:type="dxa"/>
            <w:vMerge w:val="restart"/>
            <w:tcBorders>
              <w:bottom w:val="nil"/>
            </w:tcBorders>
            <w:vAlign w:val="top"/>
          </w:tcPr>
          <w:p w14:paraId="6F6A3E6D">
            <w:pPr>
              <w:pStyle w:val="6"/>
              <w:spacing w:before="269" w:line="220" w:lineRule="auto"/>
              <w:ind w:left="231"/>
              <w:rPr>
                <w:sz w:val="18"/>
                <w:szCs w:val="18"/>
              </w:rPr>
            </w:pPr>
            <w:r>
              <w:rPr>
                <w:spacing w:val="6"/>
                <w:sz w:val="18"/>
                <w:szCs w:val="18"/>
              </w:rPr>
              <w:t>保护</w:t>
            </w:r>
          </w:p>
          <w:p w14:paraId="45001300">
            <w:pPr>
              <w:pStyle w:val="6"/>
              <w:spacing w:before="165" w:line="219" w:lineRule="auto"/>
              <w:ind w:left="231"/>
              <w:rPr>
                <w:sz w:val="18"/>
                <w:szCs w:val="18"/>
              </w:rPr>
            </w:pPr>
            <w:r>
              <w:rPr>
                <w:spacing w:val="-2"/>
                <w:sz w:val="18"/>
                <w:szCs w:val="18"/>
              </w:rPr>
              <w:t>对象</w:t>
            </w:r>
          </w:p>
        </w:tc>
        <w:tc>
          <w:tcPr>
            <w:tcW w:w="1658" w:type="dxa"/>
            <w:vMerge w:val="restart"/>
            <w:tcBorders>
              <w:bottom w:val="nil"/>
            </w:tcBorders>
            <w:vAlign w:val="top"/>
          </w:tcPr>
          <w:p w14:paraId="73D415F4">
            <w:pPr>
              <w:spacing w:line="389" w:lineRule="auto"/>
              <w:rPr>
                <w:rFonts w:ascii="Arial"/>
                <w:sz w:val="21"/>
              </w:rPr>
            </w:pPr>
          </w:p>
          <w:p w14:paraId="4DB340B2">
            <w:pPr>
              <w:pStyle w:val="6"/>
              <w:spacing w:before="58" w:line="221" w:lineRule="auto"/>
              <w:ind w:left="462"/>
              <w:rPr>
                <w:sz w:val="18"/>
                <w:szCs w:val="18"/>
              </w:rPr>
            </w:pPr>
            <w:r>
              <w:rPr>
                <w:spacing w:val="-2"/>
                <w:sz w:val="18"/>
                <w:szCs w:val="18"/>
              </w:rPr>
              <w:t>地理位置</w:t>
            </w:r>
          </w:p>
        </w:tc>
        <w:tc>
          <w:tcPr>
            <w:tcW w:w="1349" w:type="dxa"/>
            <w:vMerge w:val="restart"/>
            <w:tcBorders>
              <w:bottom w:val="nil"/>
            </w:tcBorders>
            <w:vAlign w:val="top"/>
          </w:tcPr>
          <w:p w14:paraId="6C90387E">
            <w:pPr>
              <w:pStyle w:val="6"/>
              <w:spacing w:before="269" w:line="220" w:lineRule="auto"/>
              <w:ind w:left="484"/>
              <w:rPr>
                <w:sz w:val="18"/>
                <w:szCs w:val="18"/>
              </w:rPr>
            </w:pPr>
            <w:r>
              <w:rPr>
                <w:spacing w:val="6"/>
                <w:sz w:val="18"/>
                <w:szCs w:val="18"/>
              </w:rPr>
              <w:t>保护</w:t>
            </w:r>
          </w:p>
          <w:p w14:paraId="1ACC6114">
            <w:pPr>
              <w:pStyle w:val="6"/>
              <w:spacing w:before="165" w:line="219" w:lineRule="auto"/>
              <w:ind w:left="484"/>
              <w:rPr>
                <w:sz w:val="18"/>
                <w:szCs w:val="18"/>
              </w:rPr>
            </w:pPr>
            <w:r>
              <w:rPr>
                <w:spacing w:val="4"/>
                <w:sz w:val="18"/>
                <w:szCs w:val="18"/>
              </w:rPr>
              <w:t>内容</w:t>
            </w:r>
          </w:p>
        </w:tc>
        <w:tc>
          <w:tcPr>
            <w:tcW w:w="2587" w:type="dxa"/>
            <w:gridSpan w:val="2"/>
            <w:vAlign w:val="top"/>
          </w:tcPr>
          <w:p w14:paraId="555D72F2">
            <w:pPr>
              <w:pStyle w:val="6"/>
              <w:spacing w:before="289" w:line="220" w:lineRule="auto"/>
              <w:ind w:left="755"/>
              <w:rPr>
                <w:sz w:val="18"/>
                <w:szCs w:val="18"/>
              </w:rPr>
            </w:pPr>
            <w:r>
              <w:rPr>
                <w:spacing w:val="2"/>
                <w:sz w:val="18"/>
                <w:szCs w:val="18"/>
              </w:rPr>
              <w:t>相对位置关系</w:t>
            </w:r>
          </w:p>
        </w:tc>
        <w:tc>
          <w:tcPr>
            <w:tcW w:w="609" w:type="dxa"/>
            <w:vMerge w:val="restart"/>
            <w:tcBorders>
              <w:bottom w:val="nil"/>
            </w:tcBorders>
            <w:vAlign w:val="top"/>
          </w:tcPr>
          <w:p w14:paraId="7649D4E1">
            <w:pPr>
              <w:pStyle w:val="6"/>
              <w:spacing w:before="269" w:line="220" w:lineRule="auto"/>
              <w:ind w:left="118"/>
              <w:rPr>
                <w:sz w:val="18"/>
                <w:szCs w:val="18"/>
              </w:rPr>
            </w:pPr>
            <w:r>
              <w:rPr>
                <w:spacing w:val="-2"/>
                <w:sz w:val="18"/>
                <w:szCs w:val="18"/>
              </w:rPr>
              <w:t>环境</w:t>
            </w:r>
          </w:p>
          <w:p w14:paraId="7AADF9FB">
            <w:pPr>
              <w:pStyle w:val="6"/>
              <w:spacing w:before="165" w:line="221" w:lineRule="auto"/>
              <w:ind w:left="118"/>
              <w:rPr>
                <w:sz w:val="18"/>
                <w:szCs w:val="18"/>
              </w:rPr>
            </w:pPr>
            <w:r>
              <w:rPr>
                <w:spacing w:val="-3"/>
                <w:sz w:val="18"/>
                <w:szCs w:val="18"/>
              </w:rPr>
              <w:t>功能</w:t>
            </w:r>
          </w:p>
        </w:tc>
        <w:tc>
          <w:tcPr>
            <w:tcW w:w="804" w:type="dxa"/>
            <w:vMerge w:val="restart"/>
            <w:tcBorders>
              <w:bottom w:val="nil"/>
            </w:tcBorders>
            <w:vAlign w:val="top"/>
          </w:tcPr>
          <w:p w14:paraId="0F67B082">
            <w:pPr>
              <w:pStyle w:val="6"/>
              <w:spacing w:before="269" w:line="220" w:lineRule="auto"/>
              <w:ind w:left="219"/>
              <w:rPr>
                <w:sz w:val="18"/>
                <w:szCs w:val="18"/>
              </w:rPr>
            </w:pPr>
            <w:r>
              <w:rPr>
                <w:spacing w:val="6"/>
                <w:sz w:val="18"/>
                <w:szCs w:val="18"/>
              </w:rPr>
              <w:t>保护</w:t>
            </w:r>
          </w:p>
          <w:p w14:paraId="2509DC4D">
            <w:pPr>
              <w:pStyle w:val="6"/>
              <w:spacing w:before="165" w:line="220" w:lineRule="auto"/>
              <w:ind w:left="219"/>
              <w:rPr>
                <w:sz w:val="18"/>
                <w:szCs w:val="18"/>
              </w:rPr>
            </w:pPr>
            <w:r>
              <w:rPr>
                <w:spacing w:val="7"/>
                <w:sz w:val="18"/>
                <w:szCs w:val="18"/>
              </w:rPr>
              <w:t>级别</w:t>
            </w:r>
          </w:p>
        </w:tc>
      </w:tr>
      <w:tr w14:paraId="5DA4D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94" w:type="dxa"/>
            <w:vMerge w:val="continue"/>
            <w:tcBorders>
              <w:top w:val="nil"/>
              <w:bottom w:val="nil"/>
            </w:tcBorders>
            <w:textDirection w:val="tbRlV"/>
            <w:vAlign w:val="top"/>
          </w:tcPr>
          <w:p w14:paraId="0914C5AE">
            <w:pPr>
              <w:rPr>
                <w:rFonts w:ascii="Arial"/>
                <w:sz w:val="21"/>
              </w:rPr>
            </w:pPr>
          </w:p>
        </w:tc>
        <w:tc>
          <w:tcPr>
            <w:tcW w:w="140" w:type="dxa"/>
            <w:vMerge w:val="continue"/>
            <w:tcBorders>
              <w:top w:val="nil"/>
              <w:bottom w:val="nil"/>
            </w:tcBorders>
            <w:vAlign w:val="top"/>
          </w:tcPr>
          <w:p w14:paraId="79F720E0">
            <w:pPr>
              <w:rPr>
                <w:rFonts w:ascii="Arial"/>
                <w:sz w:val="21"/>
              </w:rPr>
            </w:pPr>
          </w:p>
        </w:tc>
        <w:tc>
          <w:tcPr>
            <w:tcW w:w="599" w:type="dxa"/>
            <w:vMerge w:val="continue"/>
            <w:tcBorders>
              <w:top w:val="nil"/>
            </w:tcBorders>
            <w:vAlign w:val="top"/>
          </w:tcPr>
          <w:p w14:paraId="6DC33768">
            <w:pPr>
              <w:rPr>
                <w:rFonts w:ascii="Arial"/>
                <w:sz w:val="21"/>
              </w:rPr>
            </w:pPr>
          </w:p>
        </w:tc>
        <w:tc>
          <w:tcPr>
            <w:tcW w:w="849" w:type="dxa"/>
            <w:vMerge w:val="continue"/>
            <w:tcBorders>
              <w:top w:val="nil"/>
            </w:tcBorders>
            <w:vAlign w:val="top"/>
          </w:tcPr>
          <w:p w14:paraId="14FC3CF1">
            <w:pPr>
              <w:rPr>
                <w:rFonts w:ascii="Arial"/>
                <w:sz w:val="21"/>
              </w:rPr>
            </w:pPr>
          </w:p>
        </w:tc>
        <w:tc>
          <w:tcPr>
            <w:tcW w:w="1658" w:type="dxa"/>
            <w:vMerge w:val="continue"/>
            <w:tcBorders>
              <w:top w:val="nil"/>
            </w:tcBorders>
            <w:vAlign w:val="top"/>
          </w:tcPr>
          <w:p w14:paraId="7E0E51EA">
            <w:pPr>
              <w:rPr>
                <w:rFonts w:ascii="Arial"/>
                <w:sz w:val="21"/>
              </w:rPr>
            </w:pPr>
          </w:p>
        </w:tc>
        <w:tc>
          <w:tcPr>
            <w:tcW w:w="1349" w:type="dxa"/>
            <w:vMerge w:val="continue"/>
            <w:tcBorders>
              <w:top w:val="nil"/>
            </w:tcBorders>
            <w:vAlign w:val="top"/>
          </w:tcPr>
          <w:p w14:paraId="0B5D23CF">
            <w:pPr>
              <w:rPr>
                <w:rFonts w:ascii="Arial"/>
                <w:sz w:val="21"/>
              </w:rPr>
            </w:pPr>
          </w:p>
        </w:tc>
        <w:tc>
          <w:tcPr>
            <w:tcW w:w="1858" w:type="dxa"/>
            <w:vAlign w:val="top"/>
          </w:tcPr>
          <w:p w14:paraId="5E4BC9D4">
            <w:pPr>
              <w:pStyle w:val="6"/>
              <w:spacing w:before="66" w:line="221" w:lineRule="auto"/>
              <w:ind w:left="745"/>
              <w:rPr>
                <w:sz w:val="18"/>
                <w:szCs w:val="18"/>
              </w:rPr>
            </w:pPr>
            <w:r>
              <w:rPr>
                <w:spacing w:val="-2"/>
                <w:sz w:val="18"/>
                <w:szCs w:val="18"/>
              </w:rPr>
              <w:t>方位</w:t>
            </w:r>
          </w:p>
        </w:tc>
        <w:tc>
          <w:tcPr>
            <w:tcW w:w="729" w:type="dxa"/>
            <w:vAlign w:val="top"/>
          </w:tcPr>
          <w:p w14:paraId="33220422">
            <w:pPr>
              <w:pStyle w:val="6"/>
              <w:spacing w:before="65" w:line="220" w:lineRule="auto"/>
              <w:ind w:left="177"/>
              <w:rPr>
                <w:sz w:val="18"/>
                <w:szCs w:val="18"/>
              </w:rPr>
            </w:pPr>
            <w:r>
              <w:rPr>
                <w:spacing w:val="-2"/>
                <w:sz w:val="18"/>
                <w:szCs w:val="18"/>
              </w:rPr>
              <w:t>距离</w:t>
            </w:r>
          </w:p>
        </w:tc>
        <w:tc>
          <w:tcPr>
            <w:tcW w:w="609" w:type="dxa"/>
            <w:vMerge w:val="continue"/>
            <w:tcBorders>
              <w:top w:val="nil"/>
            </w:tcBorders>
            <w:vAlign w:val="top"/>
          </w:tcPr>
          <w:p w14:paraId="01E53D73">
            <w:pPr>
              <w:rPr>
                <w:rFonts w:ascii="Arial"/>
                <w:sz w:val="21"/>
              </w:rPr>
            </w:pPr>
          </w:p>
        </w:tc>
        <w:tc>
          <w:tcPr>
            <w:tcW w:w="804" w:type="dxa"/>
            <w:vMerge w:val="continue"/>
            <w:tcBorders>
              <w:top w:val="nil"/>
            </w:tcBorders>
            <w:vAlign w:val="top"/>
          </w:tcPr>
          <w:p w14:paraId="31DA16E1">
            <w:pPr>
              <w:rPr>
                <w:rFonts w:ascii="Arial"/>
                <w:sz w:val="21"/>
              </w:rPr>
            </w:pPr>
          </w:p>
        </w:tc>
      </w:tr>
      <w:tr w14:paraId="431A2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694" w:type="dxa"/>
            <w:vMerge w:val="continue"/>
            <w:tcBorders>
              <w:top w:val="nil"/>
              <w:bottom w:val="nil"/>
            </w:tcBorders>
            <w:textDirection w:val="tbRlV"/>
            <w:vAlign w:val="top"/>
          </w:tcPr>
          <w:p w14:paraId="596951B0">
            <w:pPr>
              <w:rPr>
                <w:rFonts w:ascii="Arial"/>
                <w:sz w:val="21"/>
              </w:rPr>
            </w:pPr>
          </w:p>
        </w:tc>
        <w:tc>
          <w:tcPr>
            <w:tcW w:w="140" w:type="dxa"/>
            <w:vMerge w:val="continue"/>
            <w:tcBorders>
              <w:top w:val="nil"/>
              <w:bottom w:val="nil"/>
            </w:tcBorders>
            <w:vAlign w:val="top"/>
          </w:tcPr>
          <w:p w14:paraId="726B4A16">
            <w:pPr>
              <w:rPr>
                <w:rFonts w:ascii="Arial"/>
                <w:sz w:val="21"/>
              </w:rPr>
            </w:pPr>
          </w:p>
        </w:tc>
        <w:tc>
          <w:tcPr>
            <w:tcW w:w="599" w:type="dxa"/>
            <w:vMerge w:val="restart"/>
            <w:tcBorders>
              <w:bottom w:val="nil"/>
            </w:tcBorders>
            <w:vAlign w:val="top"/>
          </w:tcPr>
          <w:p w14:paraId="0896A6EC">
            <w:pPr>
              <w:spacing w:line="244" w:lineRule="auto"/>
              <w:rPr>
                <w:rFonts w:ascii="Arial"/>
                <w:sz w:val="21"/>
              </w:rPr>
            </w:pPr>
          </w:p>
          <w:p w14:paraId="46E46389">
            <w:pPr>
              <w:spacing w:line="244" w:lineRule="auto"/>
              <w:rPr>
                <w:rFonts w:ascii="Arial"/>
                <w:sz w:val="21"/>
              </w:rPr>
            </w:pPr>
          </w:p>
          <w:p w14:paraId="24C14CAE">
            <w:pPr>
              <w:spacing w:line="244" w:lineRule="auto"/>
              <w:rPr>
                <w:rFonts w:ascii="Arial"/>
                <w:sz w:val="21"/>
              </w:rPr>
            </w:pPr>
          </w:p>
          <w:p w14:paraId="77EF97DE">
            <w:pPr>
              <w:spacing w:line="244" w:lineRule="auto"/>
              <w:rPr>
                <w:rFonts w:ascii="Arial"/>
                <w:sz w:val="21"/>
              </w:rPr>
            </w:pPr>
          </w:p>
          <w:p w14:paraId="4181CA6C">
            <w:pPr>
              <w:spacing w:line="244" w:lineRule="auto"/>
              <w:rPr>
                <w:rFonts w:ascii="Arial"/>
                <w:sz w:val="21"/>
              </w:rPr>
            </w:pPr>
          </w:p>
          <w:p w14:paraId="29383B78">
            <w:pPr>
              <w:spacing w:line="244" w:lineRule="auto"/>
              <w:rPr>
                <w:rFonts w:ascii="Arial"/>
                <w:sz w:val="21"/>
              </w:rPr>
            </w:pPr>
          </w:p>
          <w:p w14:paraId="21942732">
            <w:pPr>
              <w:spacing w:line="244" w:lineRule="auto"/>
              <w:rPr>
                <w:rFonts w:ascii="Arial"/>
                <w:sz w:val="21"/>
              </w:rPr>
            </w:pPr>
          </w:p>
          <w:p w14:paraId="4DEE62BD">
            <w:pPr>
              <w:spacing w:line="244" w:lineRule="auto"/>
              <w:rPr>
                <w:rFonts w:ascii="Arial"/>
                <w:sz w:val="21"/>
              </w:rPr>
            </w:pPr>
          </w:p>
          <w:p w14:paraId="0D481DE9">
            <w:pPr>
              <w:spacing w:line="244" w:lineRule="auto"/>
              <w:rPr>
                <w:rFonts w:ascii="Arial"/>
                <w:sz w:val="21"/>
              </w:rPr>
            </w:pPr>
          </w:p>
          <w:p w14:paraId="205DBB15">
            <w:pPr>
              <w:spacing w:line="244" w:lineRule="auto"/>
              <w:rPr>
                <w:rFonts w:ascii="Arial"/>
                <w:sz w:val="21"/>
              </w:rPr>
            </w:pPr>
          </w:p>
          <w:p w14:paraId="0A145292">
            <w:pPr>
              <w:spacing w:line="244" w:lineRule="auto"/>
              <w:rPr>
                <w:rFonts w:ascii="Arial"/>
                <w:sz w:val="21"/>
              </w:rPr>
            </w:pPr>
          </w:p>
          <w:p w14:paraId="732710C9">
            <w:pPr>
              <w:spacing w:line="244" w:lineRule="auto"/>
              <w:rPr>
                <w:rFonts w:ascii="Arial"/>
                <w:sz w:val="21"/>
              </w:rPr>
            </w:pPr>
          </w:p>
          <w:p w14:paraId="0BE6380B">
            <w:pPr>
              <w:spacing w:line="244" w:lineRule="auto"/>
              <w:rPr>
                <w:rFonts w:ascii="Arial"/>
                <w:sz w:val="21"/>
              </w:rPr>
            </w:pPr>
          </w:p>
          <w:p w14:paraId="270091ED">
            <w:pPr>
              <w:spacing w:line="244" w:lineRule="auto"/>
              <w:rPr>
                <w:rFonts w:ascii="Arial"/>
                <w:sz w:val="21"/>
              </w:rPr>
            </w:pPr>
          </w:p>
          <w:p w14:paraId="23017397">
            <w:pPr>
              <w:spacing w:line="244" w:lineRule="auto"/>
              <w:rPr>
                <w:rFonts w:ascii="Arial"/>
                <w:sz w:val="21"/>
              </w:rPr>
            </w:pPr>
          </w:p>
          <w:p w14:paraId="25CD66D1">
            <w:pPr>
              <w:spacing w:line="244" w:lineRule="auto"/>
              <w:rPr>
                <w:rFonts w:ascii="Arial"/>
                <w:sz w:val="21"/>
              </w:rPr>
            </w:pPr>
          </w:p>
          <w:p w14:paraId="5E9E959C">
            <w:pPr>
              <w:spacing w:line="244" w:lineRule="auto"/>
              <w:rPr>
                <w:rFonts w:ascii="Arial"/>
                <w:sz w:val="21"/>
              </w:rPr>
            </w:pPr>
          </w:p>
          <w:p w14:paraId="5352A280">
            <w:pPr>
              <w:spacing w:line="244" w:lineRule="auto"/>
              <w:rPr>
                <w:rFonts w:ascii="Arial"/>
                <w:sz w:val="21"/>
              </w:rPr>
            </w:pPr>
          </w:p>
          <w:p w14:paraId="71852120">
            <w:pPr>
              <w:spacing w:line="244" w:lineRule="auto"/>
              <w:rPr>
                <w:rFonts w:ascii="Arial"/>
                <w:sz w:val="21"/>
              </w:rPr>
            </w:pPr>
          </w:p>
          <w:p w14:paraId="007072DF">
            <w:pPr>
              <w:spacing w:line="245" w:lineRule="auto"/>
              <w:rPr>
                <w:rFonts w:ascii="Arial"/>
                <w:sz w:val="21"/>
              </w:rPr>
            </w:pPr>
          </w:p>
          <w:p w14:paraId="724B9791">
            <w:pPr>
              <w:spacing w:line="245" w:lineRule="auto"/>
              <w:rPr>
                <w:rFonts w:ascii="Arial"/>
                <w:sz w:val="21"/>
              </w:rPr>
            </w:pPr>
          </w:p>
          <w:p w14:paraId="78B59738">
            <w:pPr>
              <w:spacing w:line="245" w:lineRule="auto"/>
              <w:rPr>
                <w:rFonts w:ascii="Arial"/>
                <w:sz w:val="21"/>
              </w:rPr>
            </w:pPr>
          </w:p>
          <w:p w14:paraId="75880542">
            <w:pPr>
              <w:spacing w:line="245" w:lineRule="auto"/>
              <w:rPr>
                <w:rFonts w:ascii="Arial"/>
                <w:sz w:val="21"/>
              </w:rPr>
            </w:pPr>
          </w:p>
          <w:p w14:paraId="095FA161">
            <w:pPr>
              <w:spacing w:line="245" w:lineRule="auto"/>
              <w:rPr>
                <w:rFonts w:ascii="Arial"/>
                <w:sz w:val="21"/>
              </w:rPr>
            </w:pPr>
          </w:p>
          <w:p w14:paraId="1B004A1C">
            <w:pPr>
              <w:pStyle w:val="6"/>
              <w:spacing w:before="58" w:line="220" w:lineRule="auto"/>
              <w:ind w:left="110"/>
              <w:rPr>
                <w:sz w:val="18"/>
                <w:szCs w:val="18"/>
              </w:rPr>
            </w:pPr>
            <w:r>
              <w:rPr>
                <w:spacing w:val="-2"/>
                <w:sz w:val="18"/>
                <w:szCs w:val="18"/>
              </w:rPr>
              <w:t>环境</w:t>
            </w:r>
          </w:p>
          <w:p w14:paraId="686F7454">
            <w:pPr>
              <w:pStyle w:val="6"/>
              <w:spacing w:before="25" w:line="221" w:lineRule="auto"/>
              <w:ind w:left="110"/>
              <w:rPr>
                <w:sz w:val="18"/>
                <w:szCs w:val="18"/>
              </w:rPr>
            </w:pPr>
            <w:r>
              <w:rPr>
                <w:spacing w:val="5"/>
                <w:sz w:val="18"/>
                <w:szCs w:val="18"/>
              </w:rPr>
              <w:t>空气</w:t>
            </w:r>
          </w:p>
        </w:tc>
        <w:tc>
          <w:tcPr>
            <w:tcW w:w="849" w:type="dxa"/>
            <w:vAlign w:val="top"/>
          </w:tcPr>
          <w:p w14:paraId="20A00AFE">
            <w:pPr>
              <w:pStyle w:val="6"/>
              <w:spacing w:before="124" w:line="219" w:lineRule="auto"/>
              <w:ind w:left="51"/>
              <w:rPr>
                <w:sz w:val="18"/>
                <w:szCs w:val="18"/>
              </w:rPr>
            </w:pPr>
            <w:r>
              <w:rPr>
                <w:spacing w:val="2"/>
                <w:sz w:val="18"/>
                <w:szCs w:val="18"/>
              </w:rPr>
              <w:t>阿油铺村</w:t>
            </w:r>
          </w:p>
        </w:tc>
        <w:tc>
          <w:tcPr>
            <w:tcW w:w="1658" w:type="dxa"/>
            <w:vAlign w:val="top"/>
          </w:tcPr>
          <w:p w14:paraId="66DE7914">
            <w:pPr>
              <w:pStyle w:val="6"/>
              <w:spacing w:before="62" w:line="188" w:lineRule="auto"/>
              <w:ind w:left="12"/>
              <w:rPr>
                <w:sz w:val="18"/>
                <w:szCs w:val="18"/>
              </w:rPr>
            </w:pPr>
            <w:r>
              <w:rPr>
                <w:spacing w:val="-5"/>
                <w:sz w:val="18"/>
                <w:szCs w:val="18"/>
              </w:rPr>
              <w:t>E103°31'10.07970”</w:t>
            </w:r>
            <w:r>
              <w:rPr>
                <w:spacing w:val="9"/>
                <w:sz w:val="18"/>
                <w:szCs w:val="18"/>
              </w:rPr>
              <w:t xml:space="preserve"> </w:t>
            </w:r>
            <w:r>
              <w:rPr>
                <w:spacing w:val="-4"/>
                <w:sz w:val="18"/>
                <w:szCs w:val="18"/>
              </w:rPr>
              <w:t>N24°55'26.24568”</w:t>
            </w:r>
          </w:p>
        </w:tc>
        <w:tc>
          <w:tcPr>
            <w:tcW w:w="1349" w:type="dxa"/>
            <w:vAlign w:val="top"/>
          </w:tcPr>
          <w:p w14:paraId="59F8157A">
            <w:pPr>
              <w:pStyle w:val="6"/>
              <w:spacing w:before="125" w:line="220" w:lineRule="auto"/>
              <w:ind w:left="124"/>
              <w:rPr>
                <w:sz w:val="18"/>
                <w:szCs w:val="18"/>
              </w:rPr>
            </w:pPr>
            <w:r>
              <w:rPr>
                <w:spacing w:val="-1"/>
                <w:sz w:val="18"/>
                <w:szCs w:val="18"/>
              </w:rPr>
              <w:t>225户，900人</w:t>
            </w:r>
          </w:p>
        </w:tc>
        <w:tc>
          <w:tcPr>
            <w:tcW w:w="1858" w:type="dxa"/>
            <w:vAlign w:val="top"/>
          </w:tcPr>
          <w:p w14:paraId="27B7D5AA">
            <w:pPr>
              <w:pStyle w:val="6"/>
              <w:spacing w:before="124" w:line="219" w:lineRule="auto"/>
              <w:ind w:left="205"/>
              <w:rPr>
                <w:sz w:val="18"/>
                <w:szCs w:val="18"/>
              </w:rPr>
            </w:pPr>
            <w:r>
              <w:rPr>
                <w:spacing w:val="1"/>
                <w:sz w:val="18"/>
                <w:szCs w:val="18"/>
              </w:rPr>
              <w:t>3#光伏阵列东北侧</w:t>
            </w:r>
          </w:p>
        </w:tc>
        <w:tc>
          <w:tcPr>
            <w:tcW w:w="729" w:type="dxa"/>
            <w:vAlign w:val="top"/>
          </w:tcPr>
          <w:p w14:paraId="679E5B11">
            <w:pPr>
              <w:pStyle w:val="6"/>
              <w:spacing w:before="142"/>
              <w:ind w:left="177"/>
              <w:rPr>
                <w:sz w:val="18"/>
                <w:szCs w:val="18"/>
              </w:rPr>
            </w:pPr>
            <w:r>
              <w:rPr>
                <w:spacing w:val="-2"/>
                <w:sz w:val="18"/>
                <w:szCs w:val="18"/>
              </w:rPr>
              <w:t>297m</w:t>
            </w:r>
          </w:p>
        </w:tc>
        <w:tc>
          <w:tcPr>
            <w:tcW w:w="609" w:type="dxa"/>
            <w:vMerge w:val="restart"/>
            <w:tcBorders>
              <w:bottom w:val="nil"/>
            </w:tcBorders>
            <w:vAlign w:val="top"/>
          </w:tcPr>
          <w:p w14:paraId="7A363BCA">
            <w:pPr>
              <w:spacing w:line="244" w:lineRule="auto"/>
              <w:rPr>
                <w:rFonts w:ascii="Arial"/>
                <w:sz w:val="21"/>
              </w:rPr>
            </w:pPr>
          </w:p>
          <w:p w14:paraId="7A2195B5">
            <w:pPr>
              <w:spacing w:line="244" w:lineRule="auto"/>
              <w:rPr>
                <w:rFonts w:ascii="Arial"/>
                <w:sz w:val="21"/>
              </w:rPr>
            </w:pPr>
          </w:p>
          <w:p w14:paraId="528EBACB">
            <w:pPr>
              <w:spacing w:line="244" w:lineRule="auto"/>
              <w:rPr>
                <w:rFonts w:ascii="Arial"/>
                <w:sz w:val="21"/>
              </w:rPr>
            </w:pPr>
          </w:p>
          <w:p w14:paraId="110BF2BC">
            <w:pPr>
              <w:spacing w:line="244" w:lineRule="auto"/>
              <w:rPr>
                <w:rFonts w:ascii="Arial"/>
                <w:sz w:val="21"/>
              </w:rPr>
            </w:pPr>
          </w:p>
          <w:p w14:paraId="2F8A9655">
            <w:pPr>
              <w:spacing w:line="244" w:lineRule="auto"/>
              <w:rPr>
                <w:rFonts w:ascii="Arial"/>
                <w:sz w:val="21"/>
              </w:rPr>
            </w:pPr>
          </w:p>
          <w:p w14:paraId="670EF27A">
            <w:pPr>
              <w:spacing w:line="244" w:lineRule="auto"/>
              <w:rPr>
                <w:rFonts w:ascii="Arial"/>
                <w:sz w:val="21"/>
              </w:rPr>
            </w:pPr>
          </w:p>
          <w:p w14:paraId="2E592601">
            <w:pPr>
              <w:spacing w:line="244" w:lineRule="auto"/>
              <w:rPr>
                <w:rFonts w:ascii="Arial"/>
                <w:sz w:val="21"/>
              </w:rPr>
            </w:pPr>
          </w:p>
          <w:p w14:paraId="059A040E">
            <w:pPr>
              <w:spacing w:line="244" w:lineRule="auto"/>
              <w:rPr>
                <w:rFonts w:ascii="Arial"/>
                <w:sz w:val="21"/>
              </w:rPr>
            </w:pPr>
          </w:p>
          <w:p w14:paraId="068F57BB">
            <w:pPr>
              <w:spacing w:line="244" w:lineRule="auto"/>
              <w:rPr>
                <w:rFonts w:ascii="Arial"/>
                <w:sz w:val="21"/>
              </w:rPr>
            </w:pPr>
          </w:p>
          <w:p w14:paraId="267CB7FF">
            <w:pPr>
              <w:spacing w:line="244" w:lineRule="auto"/>
              <w:rPr>
                <w:rFonts w:ascii="Arial"/>
                <w:sz w:val="21"/>
              </w:rPr>
            </w:pPr>
          </w:p>
          <w:p w14:paraId="6D30F2F6">
            <w:pPr>
              <w:spacing w:line="244" w:lineRule="auto"/>
              <w:rPr>
                <w:rFonts w:ascii="Arial"/>
                <w:sz w:val="21"/>
              </w:rPr>
            </w:pPr>
          </w:p>
          <w:p w14:paraId="2E594B93">
            <w:pPr>
              <w:spacing w:line="244" w:lineRule="auto"/>
              <w:rPr>
                <w:rFonts w:ascii="Arial"/>
                <w:sz w:val="21"/>
              </w:rPr>
            </w:pPr>
          </w:p>
          <w:p w14:paraId="4A660E9A">
            <w:pPr>
              <w:spacing w:line="244" w:lineRule="auto"/>
              <w:rPr>
                <w:rFonts w:ascii="Arial"/>
                <w:sz w:val="21"/>
              </w:rPr>
            </w:pPr>
          </w:p>
          <w:p w14:paraId="6D1ADDAC">
            <w:pPr>
              <w:spacing w:line="244" w:lineRule="auto"/>
              <w:rPr>
                <w:rFonts w:ascii="Arial"/>
                <w:sz w:val="21"/>
              </w:rPr>
            </w:pPr>
          </w:p>
          <w:p w14:paraId="770810AA">
            <w:pPr>
              <w:spacing w:line="244" w:lineRule="auto"/>
              <w:rPr>
                <w:rFonts w:ascii="Arial"/>
                <w:sz w:val="21"/>
              </w:rPr>
            </w:pPr>
          </w:p>
          <w:p w14:paraId="6B5E5622">
            <w:pPr>
              <w:spacing w:line="244" w:lineRule="auto"/>
              <w:rPr>
                <w:rFonts w:ascii="Arial"/>
                <w:sz w:val="21"/>
              </w:rPr>
            </w:pPr>
          </w:p>
          <w:p w14:paraId="5035A76E">
            <w:pPr>
              <w:spacing w:line="244" w:lineRule="auto"/>
              <w:rPr>
                <w:rFonts w:ascii="Arial"/>
                <w:sz w:val="21"/>
              </w:rPr>
            </w:pPr>
          </w:p>
          <w:p w14:paraId="77634486">
            <w:pPr>
              <w:spacing w:line="244" w:lineRule="auto"/>
              <w:rPr>
                <w:rFonts w:ascii="Arial"/>
                <w:sz w:val="21"/>
              </w:rPr>
            </w:pPr>
          </w:p>
          <w:p w14:paraId="7F7217F7">
            <w:pPr>
              <w:spacing w:line="244" w:lineRule="auto"/>
              <w:rPr>
                <w:rFonts w:ascii="Arial"/>
                <w:sz w:val="21"/>
              </w:rPr>
            </w:pPr>
          </w:p>
          <w:p w14:paraId="20167F20">
            <w:pPr>
              <w:spacing w:line="244" w:lineRule="auto"/>
              <w:rPr>
                <w:rFonts w:ascii="Arial"/>
                <w:sz w:val="21"/>
              </w:rPr>
            </w:pPr>
          </w:p>
          <w:p w14:paraId="60E0B61C">
            <w:pPr>
              <w:spacing w:line="245" w:lineRule="auto"/>
              <w:rPr>
                <w:rFonts w:ascii="Arial"/>
                <w:sz w:val="21"/>
              </w:rPr>
            </w:pPr>
          </w:p>
          <w:p w14:paraId="4C05A3AE">
            <w:pPr>
              <w:spacing w:line="245" w:lineRule="auto"/>
              <w:rPr>
                <w:rFonts w:ascii="Arial"/>
                <w:sz w:val="21"/>
              </w:rPr>
            </w:pPr>
          </w:p>
          <w:p w14:paraId="76F79627">
            <w:pPr>
              <w:spacing w:line="245" w:lineRule="auto"/>
              <w:rPr>
                <w:rFonts w:ascii="Arial"/>
                <w:sz w:val="21"/>
              </w:rPr>
            </w:pPr>
          </w:p>
          <w:p w14:paraId="547D6F3D">
            <w:pPr>
              <w:spacing w:line="245" w:lineRule="auto"/>
              <w:rPr>
                <w:rFonts w:ascii="Arial"/>
                <w:sz w:val="21"/>
              </w:rPr>
            </w:pPr>
          </w:p>
          <w:p w14:paraId="2F87A5F5">
            <w:pPr>
              <w:pStyle w:val="6"/>
              <w:spacing w:before="58" w:line="256" w:lineRule="auto"/>
              <w:ind w:left="208" w:right="129" w:hanging="90"/>
              <w:rPr>
                <w:sz w:val="18"/>
                <w:szCs w:val="18"/>
              </w:rPr>
            </w:pPr>
            <w:r>
              <w:rPr>
                <w:spacing w:val="-5"/>
                <w:sz w:val="18"/>
                <w:szCs w:val="18"/>
              </w:rPr>
              <w:t>二类</w:t>
            </w:r>
            <w:r>
              <w:rPr>
                <w:sz w:val="18"/>
                <w:szCs w:val="18"/>
              </w:rPr>
              <w:t xml:space="preserve"> 区</w:t>
            </w:r>
          </w:p>
        </w:tc>
        <w:tc>
          <w:tcPr>
            <w:tcW w:w="804" w:type="dxa"/>
            <w:vMerge w:val="restart"/>
            <w:tcBorders>
              <w:bottom w:val="nil"/>
            </w:tcBorders>
            <w:vAlign w:val="top"/>
          </w:tcPr>
          <w:p w14:paraId="04BD594C">
            <w:pPr>
              <w:spacing w:line="245" w:lineRule="auto"/>
              <w:rPr>
                <w:rFonts w:ascii="Arial"/>
                <w:sz w:val="21"/>
              </w:rPr>
            </w:pPr>
          </w:p>
          <w:p w14:paraId="40B35172">
            <w:pPr>
              <w:spacing w:line="245" w:lineRule="auto"/>
              <w:rPr>
                <w:rFonts w:ascii="Arial"/>
                <w:sz w:val="21"/>
              </w:rPr>
            </w:pPr>
          </w:p>
          <w:p w14:paraId="4FAB1861">
            <w:pPr>
              <w:spacing w:line="245" w:lineRule="auto"/>
              <w:rPr>
                <w:rFonts w:ascii="Arial"/>
                <w:sz w:val="21"/>
              </w:rPr>
            </w:pPr>
          </w:p>
          <w:p w14:paraId="03D6B187">
            <w:pPr>
              <w:spacing w:line="245" w:lineRule="auto"/>
              <w:rPr>
                <w:rFonts w:ascii="Arial"/>
                <w:sz w:val="21"/>
              </w:rPr>
            </w:pPr>
          </w:p>
          <w:p w14:paraId="3A8B9D0D">
            <w:pPr>
              <w:spacing w:line="245" w:lineRule="auto"/>
              <w:rPr>
                <w:rFonts w:ascii="Arial"/>
                <w:sz w:val="21"/>
              </w:rPr>
            </w:pPr>
          </w:p>
          <w:p w14:paraId="0FD7D627">
            <w:pPr>
              <w:spacing w:line="245" w:lineRule="auto"/>
              <w:rPr>
                <w:rFonts w:ascii="Arial"/>
                <w:sz w:val="21"/>
              </w:rPr>
            </w:pPr>
          </w:p>
          <w:p w14:paraId="13EFC5A5">
            <w:pPr>
              <w:spacing w:line="245" w:lineRule="auto"/>
              <w:rPr>
                <w:rFonts w:ascii="Arial"/>
                <w:sz w:val="21"/>
              </w:rPr>
            </w:pPr>
          </w:p>
          <w:p w14:paraId="1B6E95DD">
            <w:pPr>
              <w:spacing w:line="245" w:lineRule="auto"/>
              <w:rPr>
                <w:rFonts w:ascii="Arial"/>
                <w:sz w:val="21"/>
              </w:rPr>
            </w:pPr>
          </w:p>
          <w:p w14:paraId="6E5F3300">
            <w:pPr>
              <w:spacing w:line="245" w:lineRule="auto"/>
              <w:rPr>
                <w:rFonts w:ascii="Arial"/>
                <w:sz w:val="21"/>
              </w:rPr>
            </w:pPr>
          </w:p>
          <w:p w14:paraId="1FD2AF6B">
            <w:pPr>
              <w:spacing w:line="245" w:lineRule="auto"/>
              <w:rPr>
                <w:rFonts w:ascii="Arial"/>
                <w:sz w:val="21"/>
              </w:rPr>
            </w:pPr>
          </w:p>
          <w:p w14:paraId="244661F8">
            <w:pPr>
              <w:spacing w:line="245" w:lineRule="auto"/>
              <w:rPr>
                <w:rFonts w:ascii="Arial"/>
                <w:sz w:val="21"/>
              </w:rPr>
            </w:pPr>
          </w:p>
          <w:p w14:paraId="03AC61B5">
            <w:pPr>
              <w:spacing w:line="245" w:lineRule="auto"/>
              <w:rPr>
                <w:rFonts w:ascii="Arial"/>
                <w:sz w:val="21"/>
              </w:rPr>
            </w:pPr>
          </w:p>
          <w:p w14:paraId="29FC6ED5">
            <w:pPr>
              <w:spacing w:line="245" w:lineRule="auto"/>
              <w:rPr>
                <w:rFonts w:ascii="Arial"/>
                <w:sz w:val="21"/>
              </w:rPr>
            </w:pPr>
          </w:p>
          <w:p w14:paraId="362FB04C">
            <w:pPr>
              <w:spacing w:line="245" w:lineRule="auto"/>
              <w:rPr>
                <w:rFonts w:ascii="Arial"/>
                <w:sz w:val="21"/>
              </w:rPr>
            </w:pPr>
          </w:p>
          <w:p w14:paraId="299F1DB9">
            <w:pPr>
              <w:spacing w:line="245" w:lineRule="auto"/>
              <w:rPr>
                <w:rFonts w:ascii="Arial"/>
                <w:sz w:val="21"/>
              </w:rPr>
            </w:pPr>
          </w:p>
          <w:p w14:paraId="110A979F">
            <w:pPr>
              <w:spacing w:line="245" w:lineRule="auto"/>
              <w:rPr>
                <w:rFonts w:ascii="Arial"/>
                <w:sz w:val="21"/>
              </w:rPr>
            </w:pPr>
          </w:p>
          <w:p w14:paraId="2C4B1F72">
            <w:pPr>
              <w:spacing w:line="245" w:lineRule="auto"/>
              <w:rPr>
                <w:rFonts w:ascii="Arial"/>
                <w:sz w:val="21"/>
              </w:rPr>
            </w:pPr>
          </w:p>
          <w:p w14:paraId="21FF28FC">
            <w:pPr>
              <w:spacing w:line="245" w:lineRule="auto"/>
              <w:rPr>
                <w:rFonts w:ascii="Arial"/>
                <w:sz w:val="21"/>
              </w:rPr>
            </w:pPr>
          </w:p>
          <w:p w14:paraId="3AD8B541">
            <w:pPr>
              <w:spacing w:line="245" w:lineRule="auto"/>
              <w:rPr>
                <w:rFonts w:ascii="Arial"/>
                <w:sz w:val="21"/>
              </w:rPr>
            </w:pPr>
          </w:p>
          <w:p w14:paraId="3C2FA6BB">
            <w:pPr>
              <w:spacing w:line="245" w:lineRule="auto"/>
              <w:rPr>
                <w:rFonts w:ascii="Arial"/>
                <w:sz w:val="21"/>
              </w:rPr>
            </w:pPr>
          </w:p>
          <w:p w14:paraId="2B24308E">
            <w:pPr>
              <w:spacing w:line="245" w:lineRule="auto"/>
              <w:rPr>
                <w:rFonts w:ascii="Arial"/>
                <w:sz w:val="21"/>
              </w:rPr>
            </w:pPr>
          </w:p>
          <w:p w14:paraId="52C43529">
            <w:pPr>
              <w:spacing w:line="246" w:lineRule="auto"/>
              <w:rPr>
                <w:rFonts w:ascii="Arial"/>
                <w:sz w:val="21"/>
              </w:rPr>
            </w:pPr>
          </w:p>
          <w:p w14:paraId="15270D43">
            <w:pPr>
              <w:pStyle w:val="6"/>
              <w:tabs>
                <w:tab w:val="left" w:pos="784"/>
              </w:tabs>
              <w:spacing w:before="59" w:line="243" w:lineRule="auto"/>
              <w:ind w:left="79" w:right="8"/>
              <w:jc w:val="both"/>
              <w:rPr>
                <w:sz w:val="18"/>
                <w:szCs w:val="18"/>
              </w:rPr>
            </w:pPr>
            <w:r>
              <w:rPr>
                <w:spacing w:val="-6"/>
                <w:sz w:val="18"/>
                <w:szCs w:val="18"/>
              </w:rPr>
              <w:t>《环境</w:t>
            </w:r>
            <w:r>
              <w:rPr>
                <w:sz w:val="18"/>
                <w:szCs w:val="18"/>
              </w:rPr>
              <w:tab/>
            </w:r>
            <w:r>
              <w:rPr>
                <w:sz w:val="18"/>
                <w:szCs w:val="18"/>
              </w:rPr>
              <w:t xml:space="preserve"> </w:t>
            </w:r>
            <w:r>
              <w:rPr>
                <w:spacing w:val="23"/>
                <w:sz w:val="18"/>
                <w:szCs w:val="18"/>
              </w:rPr>
              <w:t>空气质</w:t>
            </w:r>
            <w:r>
              <w:rPr>
                <w:sz w:val="18"/>
                <w:szCs w:val="18"/>
              </w:rPr>
              <w:t xml:space="preserve">  </w:t>
            </w:r>
            <w:r>
              <w:rPr>
                <w:spacing w:val="-4"/>
                <w:sz w:val="18"/>
                <w:szCs w:val="18"/>
              </w:rPr>
              <w:t>量标准》</w:t>
            </w:r>
            <w:r>
              <w:rPr>
                <w:sz w:val="18"/>
                <w:szCs w:val="18"/>
              </w:rPr>
              <w:t xml:space="preserve"> </w:t>
            </w:r>
            <w:r>
              <w:rPr>
                <w:spacing w:val="2"/>
                <w:sz w:val="18"/>
                <w:szCs w:val="18"/>
              </w:rPr>
              <w:t>(</w:t>
            </w:r>
            <w:r>
              <w:rPr>
                <w:sz w:val="18"/>
                <w:szCs w:val="18"/>
              </w:rPr>
              <w:t>GB</w:t>
            </w:r>
            <w:r>
              <w:rPr>
                <w:spacing w:val="2"/>
                <w:sz w:val="18"/>
                <w:szCs w:val="18"/>
              </w:rPr>
              <w:t>309</w:t>
            </w:r>
            <w:r>
              <w:rPr>
                <w:spacing w:val="1"/>
                <w:sz w:val="18"/>
                <w:szCs w:val="18"/>
              </w:rPr>
              <w:t xml:space="preserve">  </w:t>
            </w:r>
            <w:r>
              <w:rPr>
                <w:spacing w:val="-2"/>
                <w:sz w:val="18"/>
                <w:szCs w:val="18"/>
              </w:rPr>
              <w:t>5-2012)</w:t>
            </w:r>
            <w:r>
              <w:rPr>
                <w:spacing w:val="1"/>
                <w:sz w:val="18"/>
                <w:szCs w:val="18"/>
              </w:rPr>
              <w:t xml:space="preserve">  </w:t>
            </w:r>
            <w:r>
              <w:rPr>
                <w:spacing w:val="21"/>
                <w:sz w:val="18"/>
                <w:szCs w:val="18"/>
              </w:rPr>
              <w:t>二类区</w:t>
            </w:r>
          </w:p>
        </w:tc>
      </w:tr>
      <w:tr w14:paraId="29357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94" w:type="dxa"/>
            <w:vMerge w:val="continue"/>
            <w:tcBorders>
              <w:top w:val="nil"/>
              <w:bottom w:val="nil"/>
            </w:tcBorders>
            <w:textDirection w:val="tbRlV"/>
            <w:vAlign w:val="top"/>
          </w:tcPr>
          <w:p w14:paraId="0FCD78BB">
            <w:pPr>
              <w:rPr>
                <w:rFonts w:ascii="Arial"/>
                <w:sz w:val="21"/>
              </w:rPr>
            </w:pPr>
          </w:p>
        </w:tc>
        <w:tc>
          <w:tcPr>
            <w:tcW w:w="140" w:type="dxa"/>
            <w:vMerge w:val="continue"/>
            <w:tcBorders>
              <w:top w:val="nil"/>
              <w:bottom w:val="nil"/>
            </w:tcBorders>
            <w:vAlign w:val="top"/>
          </w:tcPr>
          <w:p w14:paraId="65FE1B43">
            <w:pPr>
              <w:rPr>
                <w:rFonts w:ascii="Arial"/>
                <w:sz w:val="21"/>
              </w:rPr>
            </w:pPr>
          </w:p>
        </w:tc>
        <w:tc>
          <w:tcPr>
            <w:tcW w:w="599" w:type="dxa"/>
            <w:vMerge w:val="continue"/>
            <w:tcBorders>
              <w:top w:val="nil"/>
              <w:bottom w:val="nil"/>
            </w:tcBorders>
            <w:vAlign w:val="top"/>
          </w:tcPr>
          <w:p w14:paraId="63152E8C">
            <w:pPr>
              <w:rPr>
                <w:rFonts w:ascii="Arial"/>
                <w:sz w:val="21"/>
              </w:rPr>
            </w:pPr>
          </w:p>
        </w:tc>
        <w:tc>
          <w:tcPr>
            <w:tcW w:w="849" w:type="dxa"/>
            <w:vMerge w:val="restart"/>
            <w:tcBorders>
              <w:bottom w:val="nil"/>
            </w:tcBorders>
            <w:vAlign w:val="top"/>
          </w:tcPr>
          <w:p w14:paraId="5DD9BF72">
            <w:pPr>
              <w:spacing w:line="297" w:lineRule="auto"/>
              <w:rPr>
                <w:rFonts w:ascii="Arial"/>
                <w:sz w:val="21"/>
              </w:rPr>
            </w:pPr>
          </w:p>
          <w:p w14:paraId="4C61AE4F">
            <w:pPr>
              <w:spacing w:line="297" w:lineRule="auto"/>
              <w:rPr>
                <w:rFonts w:ascii="Arial"/>
                <w:sz w:val="21"/>
              </w:rPr>
            </w:pPr>
          </w:p>
          <w:p w14:paraId="3A92C3C3">
            <w:pPr>
              <w:spacing w:line="297" w:lineRule="auto"/>
              <w:rPr>
                <w:rFonts w:ascii="Arial"/>
                <w:sz w:val="21"/>
              </w:rPr>
            </w:pPr>
          </w:p>
          <w:p w14:paraId="7C138FAD">
            <w:pPr>
              <w:pStyle w:val="6"/>
              <w:spacing w:before="58" w:line="219" w:lineRule="auto"/>
              <w:ind w:left="51"/>
              <w:rPr>
                <w:sz w:val="18"/>
                <w:szCs w:val="18"/>
              </w:rPr>
            </w:pPr>
            <w:r>
              <w:rPr>
                <w:spacing w:val="-2"/>
                <w:sz w:val="18"/>
                <w:szCs w:val="18"/>
              </w:rPr>
              <w:t>栗树园村</w:t>
            </w:r>
          </w:p>
        </w:tc>
        <w:tc>
          <w:tcPr>
            <w:tcW w:w="1658" w:type="dxa"/>
            <w:vMerge w:val="restart"/>
            <w:tcBorders>
              <w:bottom w:val="nil"/>
            </w:tcBorders>
            <w:vAlign w:val="top"/>
          </w:tcPr>
          <w:p w14:paraId="7B8C951A">
            <w:pPr>
              <w:spacing w:line="273" w:lineRule="auto"/>
              <w:rPr>
                <w:rFonts w:ascii="Arial"/>
                <w:sz w:val="21"/>
              </w:rPr>
            </w:pPr>
          </w:p>
          <w:p w14:paraId="7A121F16">
            <w:pPr>
              <w:spacing w:line="274" w:lineRule="auto"/>
              <w:rPr>
                <w:rFonts w:ascii="Arial"/>
                <w:sz w:val="21"/>
              </w:rPr>
            </w:pPr>
          </w:p>
          <w:p w14:paraId="358202E0">
            <w:pPr>
              <w:spacing w:line="274" w:lineRule="auto"/>
              <w:rPr>
                <w:rFonts w:ascii="Arial"/>
                <w:sz w:val="21"/>
              </w:rPr>
            </w:pPr>
          </w:p>
          <w:p w14:paraId="12EFE2E2">
            <w:pPr>
              <w:pStyle w:val="6"/>
              <w:spacing w:before="59" w:line="237" w:lineRule="auto"/>
              <w:ind w:left="12"/>
              <w:rPr>
                <w:sz w:val="18"/>
                <w:szCs w:val="18"/>
              </w:rPr>
            </w:pPr>
            <w:r>
              <w:rPr>
                <w:spacing w:val="-5"/>
                <w:sz w:val="18"/>
                <w:szCs w:val="18"/>
              </w:rPr>
              <w:t>E103°29'48.15860”</w:t>
            </w:r>
            <w:r>
              <w:rPr>
                <w:spacing w:val="9"/>
                <w:sz w:val="18"/>
                <w:szCs w:val="18"/>
              </w:rPr>
              <w:t xml:space="preserve"> </w:t>
            </w:r>
            <w:r>
              <w:rPr>
                <w:spacing w:val="-4"/>
                <w:sz w:val="18"/>
                <w:szCs w:val="18"/>
              </w:rPr>
              <w:t>N24°54'50.36415”</w:t>
            </w:r>
          </w:p>
        </w:tc>
        <w:tc>
          <w:tcPr>
            <w:tcW w:w="1349" w:type="dxa"/>
            <w:vMerge w:val="restart"/>
            <w:tcBorders>
              <w:bottom w:val="nil"/>
            </w:tcBorders>
            <w:vAlign w:val="top"/>
          </w:tcPr>
          <w:p w14:paraId="36308F74">
            <w:pPr>
              <w:spacing w:line="297" w:lineRule="auto"/>
              <w:rPr>
                <w:rFonts w:ascii="Arial"/>
                <w:sz w:val="21"/>
              </w:rPr>
            </w:pPr>
          </w:p>
          <w:p w14:paraId="1D87B434">
            <w:pPr>
              <w:spacing w:line="297" w:lineRule="auto"/>
              <w:rPr>
                <w:rFonts w:ascii="Arial"/>
                <w:sz w:val="21"/>
              </w:rPr>
            </w:pPr>
          </w:p>
          <w:p w14:paraId="386ED6BA">
            <w:pPr>
              <w:spacing w:line="298" w:lineRule="auto"/>
              <w:rPr>
                <w:rFonts w:ascii="Arial"/>
                <w:sz w:val="21"/>
              </w:rPr>
            </w:pPr>
          </w:p>
          <w:p w14:paraId="5766FD32">
            <w:pPr>
              <w:pStyle w:val="6"/>
              <w:spacing w:before="59" w:line="220" w:lineRule="auto"/>
              <w:ind w:left="124"/>
              <w:rPr>
                <w:sz w:val="18"/>
                <w:szCs w:val="18"/>
              </w:rPr>
            </w:pPr>
            <w:r>
              <w:rPr>
                <w:sz w:val="18"/>
                <w:szCs w:val="18"/>
              </w:rPr>
              <w:t>182户，728人</w:t>
            </w:r>
          </w:p>
        </w:tc>
        <w:tc>
          <w:tcPr>
            <w:tcW w:w="1858" w:type="dxa"/>
            <w:vAlign w:val="top"/>
          </w:tcPr>
          <w:p w14:paraId="42841590">
            <w:pPr>
              <w:pStyle w:val="6"/>
              <w:spacing w:before="85" w:line="219" w:lineRule="auto"/>
              <w:ind w:left="295"/>
              <w:rPr>
                <w:sz w:val="18"/>
                <w:szCs w:val="18"/>
              </w:rPr>
            </w:pPr>
            <w:r>
              <w:rPr>
                <w:spacing w:val="1"/>
                <w:sz w:val="18"/>
                <w:szCs w:val="18"/>
              </w:rPr>
              <w:t>5#光伏阵列南侧</w:t>
            </w:r>
          </w:p>
        </w:tc>
        <w:tc>
          <w:tcPr>
            <w:tcW w:w="729" w:type="dxa"/>
            <w:vAlign w:val="top"/>
          </w:tcPr>
          <w:p w14:paraId="418334E8">
            <w:pPr>
              <w:pStyle w:val="6"/>
              <w:spacing w:before="103"/>
              <w:ind w:left="227"/>
              <w:rPr>
                <w:sz w:val="18"/>
                <w:szCs w:val="18"/>
              </w:rPr>
            </w:pPr>
            <w:r>
              <w:rPr>
                <w:spacing w:val="-2"/>
                <w:sz w:val="18"/>
                <w:szCs w:val="18"/>
              </w:rPr>
              <w:t>40m</w:t>
            </w:r>
          </w:p>
        </w:tc>
        <w:tc>
          <w:tcPr>
            <w:tcW w:w="609" w:type="dxa"/>
            <w:vMerge w:val="continue"/>
            <w:tcBorders>
              <w:top w:val="nil"/>
              <w:bottom w:val="nil"/>
            </w:tcBorders>
            <w:vAlign w:val="top"/>
          </w:tcPr>
          <w:p w14:paraId="2F277A2A">
            <w:pPr>
              <w:rPr>
                <w:rFonts w:ascii="Arial"/>
                <w:sz w:val="21"/>
              </w:rPr>
            </w:pPr>
          </w:p>
        </w:tc>
        <w:tc>
          <w:tcPr>
            <w:tcW w:w="804" w:type="dxa"/>
            <w:vMerge w:val="continue"/>
            <w:tcBorders>
              <w:top w:val="nil"/>
              <w:bottom w:val="nil"/>
            </w:tcBorders>
            <w:vAlign w:val="top"/>
          </w:tcPr>
          <w:p w14:paraId="101733B3">
            <w:pPr>
              <w:rPr>
                <w:rFonts w:ascii="Arial"/>
                <w:sz w:val="21"/>
              </w:rPr>
            </w:pPr>
          </w:p>
        </w:tc>
      </w:tr>
      <w:tr w14:paraId="32F47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94" w:type="dxa"/>
            <w:vMerge w:val="continue"/>
            <w:tcBorders>
              <w:top w:val="nil"/>
              <w:bottom w:val="nil"/>
            </w:tcBorders>
            <w:textDirection w:val="tbRlV"/>
            <w:vAlign w:val="top"/>
          </w:tcPr>
          <w:p w14:paraId="378A43B7">
            <w:pPr>
              <w:rPr>
                <w:rFonts w:ascii="Arial"/>
                <w:sz w:val="21"/>
              </w:rPr>
            </w:pPr>
          </w:p>
        </w:tc>
        <w:tc>
          <w:tcPr>
            <w:tcW w:w="140" w:type="dxa"/>
            <w:vMerge w:val="continue"/>
            <w:tcBorders>
              <w:top w:val="nil"/>
              <w:bottom w:val="nil"/>
            </w:tcBorders>
            <w:vAlign w:val="top"/>
          </w:tcPr>
          <w:p w14:paraId="41EF17B0">
            <w:pPr>
              <w:rPr>
                <w:rFonts w:ascii="Arial"/>
                <w:sz w:val="21"/>
              </w:rPr>
            </w:pPr>
          </w:p>
        </w:tc>
        <w:tc>
          <w:tcPr>
            <w:tcW w:w="599" w:type="dxa"/>
            <w:vMerge w:val="continue"/>
            <w:tcBorders>
              <w:top w:val="nil"/>
              <w:bottom w:val="nil"/>
            </w:tcBorders>
            <w:vAlign w:val="top"/>
          </w:tcPr>
          <w:p w14:paraId="56B9D70B">
            <w:pPr>
              <w:rPr>
                <w:rFonts w:ascii="Arial"/>
                <w:sz w:val="21"/>
              </w:rPr>
            </w:pPr>
          </w:p>
        </w:tc>
        <w:tc>
          <w:tcPr>
            <w:tcW w:w="849" w:type="dxa"/>
            <w:vMerge w:val="continue"/>
            <w:tcBorders>
              <w:top w:val="nil"/>
              <w:bottom w:val="nil"/>
            </w:tcBorders>
            <w:vAlign w:val="top"/>
          </w:tcPr>
          <w:p w14:paraId="1DCD1480">
            <w:pPr>
              <w:rPr>
                <w:rFonts w:ascii="Arial"/>
                <w:sz w:val="21"/>
              </w:rPr>
            </w:pPr>
          </w:p>
        </w:tc>
        <w:tc>
          <w:tcPr>
            <w:tcW w:w="1658" w:type="dxa"/>
            <w:vMerge w:val="continue"/>
            <w:tcBorders>
              <w:top w:val="nil"/>
              <w:bottom w:val="nil"/>
            </w:tcBorders>
            <w:vAlign w:val="top"/>
          </w:tcPr>
          <w:p w14:paraId="3B214734">
            <w:pPr>
              <w:rPr>
                <w:rFonts w:ascii="Arial"/>
                <w:sz w:val="21"/>
              </w:rPr>
            </w:pPr>
          </w:p>
        </w:tc>
        <w:tc>
          <w:tcPr>
            <w:tcW w:w="1349" w:type="dxa"/>
            <w:vMerge w:val="continue"/>
            <w:tcBorders>
              <w:top w:val="nil"/>
              <w:bottom w:val="nil"/>
            </w:tcBorders>
            <w:vAlign w:val="top"/>
          </w:tcPr>
          <w:p w14:paraId="4953EA34">
            <w:pPr>
              <w:rPr>
                <w:rFonts w:ascii="Arial"/>
                <w:sz w:val="21"/>
              </w:rPr>
            </w:pPr>
          </w:p>
        </w:tc>
        <w:tc>
          <w:tcPr>
            <w:tcW w:w="1858" w:type="dxa"/>
            <w:vAlign w:val="top"/>
          </w:tcPr>
          <w:p w14:paraId="1C874756">
            <w:pPr>
              <w:pStyle w:val="6"/>
              <w:spacing w:before="66" w:line="219" w:lineRule="auto"/>
              <w:ind w:left="385"/>
              <w:rPr>
                <w:sz w:val="18"/>
                <w:szCs w:val="18"/>
              </w:rPr>
            </w:pPr>
            <w:r>
              <w:rPr>
                <w:spacing w:val="2"/>
                <w:sz w:val="18"/>
                <w:szCs w:val="18"/>
              </w:rPr>
              <w:t>升压站东南侧</w:t>
            </w:r>
          </w:p>
        </w:tc>
        <w:tc>
          <w:tcPr>
            <w:tcW w:w="729" w:type="dxa"/>
            <w:vAlign w:val="top"/>
          </w:tcPr>
          <w:p w14:paraId="680456F4">
            <w:pPr>
              <w:pStyle w:val="6"/>
              <w:spacing w:before="83" w:line="232" w:lineRule="auto"/>
              <w:ind w:left="177"/>
              <w:rPr>
                <w:sz w:val="18"/>
                <w:szCs w:val="18"/>
              </w:rPr>
            </w:pPr>
            <w:r>
              <w:rPr>
                <w:spacing w:val="-2"/>
                <w:sz w:val="18"/>
                <w:szCs w:val="18"/>
              </w:rPr>
              <w:t>265m</w:t>
            </w:r>
          </w:p>
        </w:tc>
        <w:tc>
          <w:tcPr>
            <w:tcW w:w="609" w:type="dxa"/>
            <w:vMerge w:val="continue"/>
            <w:tcBorders>
              <w:top w:val="nil"/>
              <w:bottom w:val="nil"/>
            </w:tcBorders>
            <w:vAlign w:val="top"/>
          </w:tcPr>
          <w:p w14:paraId="0F6C53E9">
            <w:pPr>
              <w:rPr>
                <w:rFonts w:ascii="Arial"/>
                <w:sz w:val="21"/>
              </w:rPr>
            </w:pPr>
          </w:p>
        </w:tc>
        <w:tc>
          <w:tcPr>
            <w:tcW w:w="804" w:type="dxa"/>
            <w:vMerge w:val="continue"/>
            <w:tcBorders>
              <w:top w:val="nil"/>
              <w:bottom w:val="nil"/>
            </w:tcBorders>
            <w:vAlign w:val="top"/>
          </w:tcPr>
          <w:p w14:paraId="0BB98BD6">
            <w:pPr>
              <w:rPr>
                <w:rFonts w:ascii="Arial"/>
                <w:sz w:val="21"/>
              </w:rPr>
            </w:pPr>
          </w:p>
        </w:tc>
      </w:tr>
      <w:tr w14:paraId="0779A9CC">
        <w:tblPrEx>
          <w:tblCellMar>
            <w:top w:w="0" w:type="dxa"/>
            <w:left w:w="0" w:type="dxa"/>
            <w:bottom w:w="0" w:type="dxa"/>
            <w:right w:w="0" w:type="dxa"/>
          </w:tblCellMar>
        </w:tblPrEx>
        <w:trPr>
          <w:trHeight w:val="350" w:hRule="atLeast"/>
        </w:trPr>
        <w:tc>
          <w:tcPr>
            <w:tcW w:w="694" w:type="dxa"/>
            <w:vMerge w:val="continue"/>
            <w:tcBorders>
              <w:top w:val="nil"/>
              <w:bottom w:val="nil"/>
            </w:tcBorders>
            <w:textDirection w:val="tbRlV"/>
            <w:vAlign w:val="top"/>
          </w:tcPr>
          <w:p w14:paraId="181E1903">
            <w:pPr>
              <w:rPr>
                <w:rFonts w:ascii="Arial"/>
                <w:sz w:val="21"/>
              </w:rPr>
            </w:pPr>
          </w:p>
        </w:tc>
        <w:tc>
          <w:tcPr>
            <w:tcW w:w="140" w:type="dxa"/>
            <w:vMerge w:val="continue"/>
            <w:tcBorders>
              <w:top w:val="nil"/>
              <w:bottom w:val="nil"/>
            </w:tcBorders>
            <w:vAlign w:val="top"/>
          </w:tcPr>
          <w:p w14:paraId="3960D82F">
            <w:pPr>
              <w:rPr>
                <w:rFonts w:ascii="Arial"/>
                <w:sz w:val="21"/>
              </w:rPr>
            </w:pPr>
          </w:p>
        </w:tc>
        <w:tc>
          <w:tcPr>
            <w:tcW w:w="599" w:type="dxa"/>
            <w:vMerge w:val="continue"/>
            <w:tcBorders>
              <w:top w:val="nil"/>
              <w:bottom w:val="nil"/>
            </w:tcBorders>
            <w:vAlign w:val="top"/>
          </w:tcPr>
          <w:p w14:paraId="066C80DF">
            <w:pPr>
              <w:rPr>
                <w:rFonts w:ascii="Arial"/>
                <w:sz w:val="21"/>
              </w:rPr>
            </w:pPr>
          </w:p>
        </w:tc>
        <w:tc>
          <w:tcPr>
            <w:tcW w:w="849" w:type="dxa"/>
            <w:vMerge w:val="continue"/>
            <w:tcBorders>
              <w:top w:val="nil"/>
              <w:bottom w:val="nil"/>
            </w:tcBorders>
            <w:vAlign w:val="top"/>
          </w:tcPr>
          <w:p w14:paraId="4A30F365">
            <w:pPr>
              <w:rPr>
                <w:rFonts w:ascii="Arial"/>
                <w:sz w:val="21"/>
              </w:rPr>
            </w:pPr>
          </w:p>
        </w:tc>
        <w:tc>
          <w:tcPr>
            <w:tcW w:w="1658" w:type="dxa"/>
            <w:vMerge w:val="continue"/>
            <w:tcBorders>
              <w:top w:val="nil"/>
              <w:bottom w:val="nil"/>
            </w:tcBorders>
            <w:vAlign w:val="top"/>
          </w:tcPr>
          <w:p w14:paraId="6CFB368F">
            <w:pPr>
              <w:rPr>
                <w:rFonts w:ascii="Arial"/>
                <w:sz w:val="21"/>
              </w:rPr>
            </w:pPr>
          </w:p>
        </w:tc>
        <w:tc>
          <w:tcPr>
            <w:tcW w:w="1349" w:type="dxa"/>
            <w:vMerge w:val="continue"/>
            <w:tcBorders>
              <w:top w:val="nil"/>
              <w:bottom w:val="nil"/>
            </w:tcBorders>
            <w:vAlign w:val="top"/>
          </w:tcPr>
          <w:p w14:paraId="060037AE">
            <w:pPr>
              <w:rPr>
                <w:rFonts w:ascii="Arial"/>
                <w:sz w:val="21"/>
              </w:rPr>
            </w:pPr>
          </w:p>
        </w:tc>
        <w:tc>
          <w:tcPr>
            <w:tcW w:w="1858" w:type="dxa"/>
            <w:vAlign w:val="top"/>
          </w:tcPr>
          <w:p w14:paraId="261F7145">
            <w:pPr>
              <w:pStyle w:val="6"/>
              <w:spacing w:before="85" w:line="219" w:lineRule="auto"/>
              <w:ind w:left="205"/>
              <w:rPr>
                <w:sz w:val="18"/>
                <w:szCs w:val="18"/>
              </w:rPr>
            </w:pPr>
            <w:r>
              <w:rPr>
                <w:spacing w:val="1"/>
                <w:sz w:val="18"/>
                <w:szCs w:val="18"/>
              </w:rPr>
              <w:t>8#光伏阵列西南侧</w:t>
            </w:r>
          </w:p>
        </w:tc>
        <w:tc>
          <w:tcPr>
            <w:tcW w:w="729" w:type="dxa"/>
            <w:vAlign w:val="top"/>
          </w:tcPr>
          <w:p w14:paraId="7BC8047F">
            <w:pPr>
              <w:pStyle w:val="6"/>
              <w:spacing w:before="103"/>
              <w:ind w:left="177"/>
              <w:rPr>
                <w:sz w:val="18"/>
                <w:szCs w:val="18"/>
              </w:rPr>
            </w:pPr>
            <w:r>
              <w:rPr>
                <w:spacing w:val="-2"/>
                <w:sz w:val="18"/>
                <w:szCs w:val="18"/>
              </w:rPr>
              <w:t>253m</w:t>
            </w:r>
          </w:p>
        </w:tc>
        <w:tc>
          <w:tcPr>
            <w:tcW w:w="609" w:type="dxa"/>
            <w:vMerge w:val="continue"/>
            <w:tcBorders>
              <w:top w:val="nil"/>
              <w:bottom w:val="nil"/>
            </w:tcBorders>
            <w:vAlign w:val="top"/>
          </w:tcPr>
          <w:p w14:paraId="66800A02">
            <w:pPr>
              <w:rPr>
                <w:rFonts w:ascii="Arial"/>
                <w:sz w:val="21"/>
              </w:rPr>
            </w:pPr>
          </w:p>
        </w:tc>
        <w:tc>
          <w:tcPr>
            <w:tcW w:w="804" w:type="dxa"/>
            <w:vMerge w:val="continue"/>
            <w:tcBorders>
              <w:top w:val="nil"/>
              <w:bottom w:val="nil"/>
            </w:tcBorders>
            <w:vAlign w:val="top"/>
          </w:tcPr>
          <w:p w14:paraId="30A0B621">
            <w:pPr>
              <w:rPr>
                <w:rFonts w:ascii="Arial"/>
                <w:sz w:val="21"/>
              </w:rPr>
            </w:pPr>
          </w:p>
        </w:tc>
      </w:tr>
      <w:tr w14:paraId="0046C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Merge w:val="continue"/>
            <w:tcBorders>
              <w:top w:val="nil"/>
              <w:bottom w:val="nil"/>
            </w:tcBorders>
            <w:textDirection w:val="tbRlV"/>
            <w:vAlign w:val="top"/>
          </w:tcPr>
          <w:p w14:paraId="698EFF02">
            <w:pPr>
              <w:rPr>
                <w:rFonts w:ascii="Arial"/>
                <w:sz w:val="21"/>
              </w:rPr>
            </w:pPr>
          </w:p>
        </w:tc>
        <w:tc>
          <w:tcPr>
            <w:tcW w:w="140" w:type="dxa"/>
            <w:vMerge w:val="continue"/>
            <w:tcBorders>
              <w:top w:val="nil"/>
              <w:bottom w:val="nil"/>
            </w:tcBorders>
            <w:vAlign w:val="top"/>
          </w:tcPr>
          <w:p w14:paraId="26982560">
            <w:pPr>
              <w:rPr>
                <w:rFonts w:ascii="Arial"/>
                <w:sz w:val="21"/>
              </w:rPr>
            </w:pPr>
          </w:p>
        </w:tc>
        <w:tc>
          <w:tcPr>
            <w:tcW w:w="599" w:type="dxa"/>
            <w:vMerge w:val="continue"/>
            <w:tcBorders>
              <w:top w:val="nil"/>
              <w:bottom w:val="nil"/>
            </w:tcBorders>
            <w:vAlign w:val="top"/>
          </w:tcPr>
          <w:p w14:paraId="21037793">
            <w:pPr>
              <w:rPr>
                <w:rFonts w:ascii="Arial"/>
                <w:sz w:val="21"/>
              </w:rPr>
            </w:pPr>
          </w:p>
        </w:tc>
        <w:tc>
          <w:tcPr>
            <w:tcW w:w="849" w:type="dxa"/>
            <w:vMerge w:val="continue"/>
            <w:tcBorders>
              <w:top w:val="nil"/>
              <w:bottom w:val="nil"/>
            </w:tcBorders>
            <w:vAlign w:val="top"/>
          </w:tcPr>
          <w:p w14:paraId="005F931E">
            <w:pPr>
              <w:rPr>
                <w:rFonts w:ascii="Arial"/>
                <w:sz w:val="21"/>
              </w:rPr>
            </w:pPr>
          </w:p>
        </w:tc>
        <w:tc>
          <w:tcPr>
            <w:tcW w:w="1658" w:type="dxa"/>
            <w:vMerge w:val="continue"/>
            <w:tcBorders>
              <w:top w:val="nil"/>
              <w:bottom w:val="nil"/>
            </w:tcBorders>
            <w:vAlign w:val="top"/>
          </w:tcPr>
          <w:p w14:paraId="26BE9078">
            <w:pPr>
              <w:rPr>
                <w:rFonts w:ascii="Arial"/>
                <w:sz w:val="21"/>
              </w:rPr>
            </w:pPr>
          </w:p>
        </w:tc>
        <w:tc>
          <w:tcPr>
            <w:tcW w:w="1349" w:type="dxa"/>
            <w:vMerge w:val="continue"/>
            <w:tcBorders>
              <w:top w:val="nil"/>
              <w:bottom w:val="nil"/>
            </w:tcBorders>
            <w:vAlign w:val="top"/>
          </w:tcPr>
          <w:p w14:paraId="224D0322">
            <w:pPr>
              <w:rPr>
                <w:rFonts w:ascii="Arial"/>
                <w:sz w:val="21"/>
              </w:rPr>
            </w:pPr>
          </w:p>
        </w:tc>
        <w:tc>
          <w:tcPr>
            <w:tcW w:w="1858" w:type="dxa"/>
            <w:vAlign w:val="top"/>
          </w:tcPr>
          <w:p w14:paraId="65B76C9A">
            <w:pPr>
              <w:pStyle w:val="6"/>
              <w:spacing w:before="65" w:line="219" w:lineRule="auto"/>
              <w:ind w:left="155"/>
              <w:rPr>
                <w:sz w:val="18"/>
                <w:szCs w:val="18"/>
              </w:rPr>
            </w:pPr>
            <w:r>
              <w:rPr>
                <w:spacing w:val="1"/>
                <w:sz w:val="18"/>
                <w:szCs w:val="18"/>
              </w:rPr>
              <w:t>10#光伏阵列东北侧</w:t>
            </w:r>
          </w:p>
        </w:tc>
        <w:tc>
          <w:tcPr>
            <w:tcW w:w="729" w:type="dxa"/>
            <w:vAlign w:val="top"/>
          </w:tcPr>
          <w:p w14:paraId="66219019">
            <w:pPr>
              <w:pStyle w:val="6"/>
              <w:spacing w:before="83" w:line="231" w:lineRule="auto"/>
              <w:ind w:left="227"/>
              <w:rPr>
                <w:sz w:val="18"/>
                <w:szCs w:val="18"/>
              </w:rPr>
            </w:pPr>
            <w:r>
              <w:rPr>
                <w:spacing w:val="-2"/>
                <w:sz w:val="18"/>
                <w:szCs w:val="18"/>
              </w:rPr>
              <w:t>66m</w:t>
            </w:r>
          </w:p>
        </w:tc>
        <w:tc>
          <w:tcPr>
            <w:tcW w:w="609" w:type="dxa"/>
            <w:vMerge w:val="continue"/>
            <w:tcBorders>
              <w:top w:val="nil"/>
              <w:bottom w:val="nil"/>
            </w:tcBorders>
            <w:vAlign w:val="top"/>
          </w:tcPr>
          <w:p w14:paraId="6963CB0F">
            <w:pPr>
              <w:rPr>
                <w:rFonts w:ascii="Arial"/>
                <w:sz w:val="21"/>
              </w:rPr>
            </w:pPr>
          </w:p>
        </w:tc>
        <w:tc>
          <w:tcPr>
            <w:tcW w:w="804" w:type="dxa"/>
            <w:vMerge w:val="continue"/>
            <w:tcBorders>
              <w:top w:val="nil"/>
              <w:bottom w:val="nil"/>
            </w:tcBorders>
            <w:vAlign w:val="top"/>
          </w:tcPr>
          <w:p w14:paraId="19A7DF26">
            <w:pPr>
              <w:rPr>
                <w:rFonts w:ascii="Arial"/>
                <w:sz w:val="21"/>
              </w:rPr>
            </w:pPr>
          </w:p>
        </w:tc>
      </w:tr>
      <w:tr w14:paraId="710FD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94" w:type="dxa"/>
            <w:vMerge w:val="continue"/>
            <w:tcBorders>
              <w:top w:val="nil"/>
              <w:bottom w:val="nil"/>
            </w:tcBorders>
            <w:textDirection w:val="tbRlV"/>
            <w:vAlign w:val="top"/>
          </w:tcPr>
          <w:p w14:paraId="6DF0F9BD">
            <w:pPr>
              <w:rPr>
                <w:rFonts w:ascii="Arial"/>
                <w:sz w:val="21"/>
              </w:rPr>
            </w:pPr>
          </w:p>
        </w:tc>
        <w:tc>
          <w:tcPr>
            <w:tcW w:w="140" w:type="dxa"/>
            <w:vMerge w:val="continue"/>
            <w:tcBorders>
              <w:top w:val="nil"/>
              <w:bottom w:val="nil"/>
            </w:tcBorders>
            <w:vAlign w:val="top"/>
          </w:tcPr>
          <w:p w14:paraId="3A838B68">
            <w:pPr>
              <w:rPr>
                <w:rFonts w:ascii="Arial"/>
                <w:sz w:val="21"/>
              </w:rPr>
            </w:pPr>
          </w:p>
        </w:tc>
        <w:tc>
          <w:tcPr>
            <w:tcW w:w="599" w:type="dxa"/>
            <w:vMerge w:val="continue"/>
            <w:tcBorders>
              <w:top w:val="nil"/>
              <w:bottom w:val="nil"/>
            </w:tcBorders>
            <w:vAlign w:val="top"/>
          </w:tcPr>
          <w:p w14:paraId="6106EE9E">
            <w:pPr>
              <w:rPr>
                <w:rFonts w:ascii="Arial"/>
                <w:sz w:val="21"/>
              </w:rPr>
            </w:pPr>
          </w:p>
        </w:tc>
        <w:tc>
          <w:tcPr>
            <w:tcW w:w="849" w:type="dxa"/>
            <w:vMerge w:val="continue"/>
            <w:tcBorders>
              <w:top w:val="nil"/>
              <w:bottom w:val="nil"/>
            </w:tcBorders>
            <w:vAlign w:val="top"/>
          </w:tcPr>
          <w:p w14:paraId="29A5CCE3">
            <w:pPr>
              <w:rPr>
                <w:rFonts w:ascii="Arial"/>
                <w:sz w:val="21"/>
              </w:rPr>
            </w:pPr>
          </w:p>
        </w:tc>
        <w:tc>
          <w:tcPr>
            <w:tcW w:w="1658" w:type="dxa"/>
            <w:vMerge w:val="continue"/>
            <w:tcBorders>
              <w:top w:val="nil"/>
              <w:bottom w:val="nil"/>
            </w:tcBorders>
            <w:vAlign w:val="top"/>
          </w:tcPr>
          <w:p w14:paraId="000D96FB">
            <w:pPr>
              <w:rPr>
                <w:rFonts w:ascii="Arial"/>
                <w:sz w:val="21"/>
              </w:rPr>
            </w:pPr>
          </w:p>
        </w:tc>
        <w:tc>
          <w:tcPr>
            <w:tcW w:w="1349" w:type="dxa"/>
            <w:vMerge w:val="continue"/>
            <w:tcBorders>
              <w:top w:val="nil"/>
              <w:bottom w:val="nil"/>
            </w:tcBorders>
            <w:vAlign w:val="top"/>
          </w:tcPr>
          <w:p w14:paraId="06B3EFF8">
            <w:pPr>
              <w:rPr>
                <w:rFonts w:ascii="Arial"/>
                <w:sz w:val="21"/>
              </w:rPr>
            </w:pPr>
          </w:p>
        </w:tc>
        <w:tc>
          <w:tcPr>
            <w:tcW w:w="1858" w:type="dxa"/>
            <w:vAlign w:val="top"/>
          </w:tcPr>
          <w:p w14:paraId="1F74C28F">
            <w:pPr>
              <w:pStyle w:val="6"/>
              <w:spacing w:before="86" w:line="219" w:lineRule="auto"/>
              <w:ind w:left="295"/>
              <w:rPr>
                <w:sz w:val="18"/>
                <w:szCs w:val="18"/>
              </w:rPr>
            </w:pPr>
            <w:r>
              <w:rPr>
                <w:spacing w:val="1"/>
                <w:sz w:val="18"/>
                <w:szCs w:val="18"/>
              </w:rPr>
              <w:t>9#光伏阵列东侧</w:t>
            </w:r>
          </w:p>
        </w:tc>
        <w:tc>
          <w:tcPr>
            <w:tcW w:w="729" w:type="dxa"/>
            <w:vAlign w:val="top"/>
          </w:tcPr>
          <w:p w14:paraId="3D4BB4F8">
            <w:pPr>
              <w:pStyle w:val="6"/>
              <w:spacing w:before="104"/>
              <w:ind w:left="267"/>
              <w:rPr>
                <w:sz w:val="18"/>
                <w:szCs w:val="18"/>
              </w:rPr>
            </w:pPr>
            <w:r>
              <w:rPr>
                <w:spacing w:val="-3"/>
                <w:sz w:val="18"/>
                <w:szCs w:val="18"/>
              </w:rPr>
              <w:t>3m</w:t>
            </w:r>
          </w:p>
        </w:tc>
        <w:tc>
          <w:tcPr>
            <w:tcW w:w="609" w:type="dxa"/>
            <w:vMerge w:val="continue"/>
            <w:tcBorders>
              <w:top w:val="nil"/>
              <w:bottom w:val="nil"/>
            </w:tcBorders>
            <w:vAlign w:val="top"/>
          </w:tcPr>
          <w:p w14:paraId="731F310D">
            <w:pPr>
              <w:rPr>
                <w:rFonts w:ascii="Arial"/>
                <w:sz w:val="21"/>
              </w:rPr>
            </w:pPr>
          </w:p>
        </w:tc>
        <w:tc>
          <w:tcPr>
            <w:tcW w:w="804" w:type="dxa"/>
            <w:vMerge w:val="continue"/>
            <w:tcBorders>
              <w:top w:val="nil"/>
              <w:bottom w:val="nil"/>
            </w:tcBorders>
            <w:vAlign w:val="top"/>
          </w:tcPr>
          <w:p w14:paraId="3E14D8F6">
            <w:pPr>
              <w:rPr>
                <w:rFonts w:ascii="Arial"/>
                <w:sz w:val="21"/>
              </w:rPr>
            </w:pPr>
          </w:p>
        </w:tc>
      </w:tr>
      <w:tr w14:paraId="2E70C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94" w:type="dxa"/>
            <w:vMerge w:val="continue"/>
            <w:tcBorders>
              <w:top w:val="nil"/>
              <w:bottom w:val="nil"/>
            </w:tcBorders>
            <w:textDirection w:val="tbRlV"/>
            <w:vAlign w:val="top"/>
          </w:tcPr>
          <w:p w14:paraId="252894CD">
            <w:pPr>
              <w:rPr>
                <w:rFonts w:ascii="Arial"/>
                <w:sz w:val="21"/>
              </w:rPr>
            </w:pPr>
          </w:p>
        </w:tc>
        <w:tc>
          <w:tcPr>
            <w:tcW w:w="140" w:type="dxa"/>
            <w:vMerge w:val="continue"/>
            <w:tcBorders>
              <w:top w:val="nil"/>
              <w:bottom w:val="nil"/>
            </w:tcBorders>
            <w:vAlign w:val="top"/>
          </w:tcPr>
          <w:p w14:paraId="185A945F">
            <w:pPr>
              <w:rPr>
                <w:rFonts w:ascii="Arial"/>
                <w:sz w:val="21"/>
              </w:rPr>
            </w:pPr>
          </w:p>
        </w:tc>
        <w:tc>
          <w:tcPr>
            <w:tcW w:w="599" w:type="dxa"/>
            <w:vMerge w:val="continue"/>
            <w:tcBorders>
              <w:top w:val="nil"/>
              <w:bottom w:val="nil"/>
            </w:tcBorders>
            <w:vAlign w:val="top"/>
          </w:tcPr>
          <w:p w14:paraId="18EDC9AA">
            <w:pPr>
              <w:rPr>
                <w:rFonts w:ascii="Arial"/>
                <w:sz w:val="21"/>
              </w:rPr>
            </w:pPr>
          </w:p>
        </w:tc>
        <w:tc>
          <w:tcPr>
            <w:tcW w:w="849" w:type="dxa"/>
            <w:vMerge w:val="continue"/>
            <w:tcBorders>
              <w:top w:val="nil"/>
            </w:tcBorders>
            <w:vAlign w:val="top"/>
          </w:tcPr>
          <w:p w14:paraId="274BE0AC">
            <w:pPr>
              <w:rPr>
                <w:rFonts w:ascii="Arial"/>
                <w:sz w:val="21"/>
              </w:rPr>
            </w:pPr>
          </w:p>
        </w:tc>
        <w:tc>
          <w:tcPr>
            <w:tcW w:w="1658" w:type="dxa"/>
            <w:vMerge w:val="continue"/>
            <w:tcBorders>
              <w:top w:val="nil"/>
            </w:tcBorders>
            <w:vAlign w:val="top"/>
          </w:tcPr>
          <w:p w14:paraId="789BE7C4">
            <w:pPr>
              <w:rPr>
                <w:rFonts w:ascii="Arial"/>
                <w:sz w:val="21"/>
              </w:rPr>
            </w:pPr>
          </w:p>
        </w:tc>
        <w:tc>
          <w:tcPr>
            <w:tcW w:w="1349" w:type="dxa"/>
            <w:vMerge w:val="continue"/>
            <w:tcBorders>
              <w:top w:val="nil"/>
            </w:tcBorders>
            <w:vAlign w:val="top"/>
          </w:tcPr>
          <w:p w14:paraId="681CFDCE">
            <w:pPr>
              <w:rPr>
                <w:rFonts w:ascii="Arial"/>
                <w:sz w:val="21"/>
              </w:rPr>
            </w:pPr>
          </w:p>
        </w:tc>
        <w:tc>
          <w:tcPr>
            <w:tcW w:w="1858" w:type="dxa"/>
            <w:vAlign w:val="top"/>
          </w:tcPr>
          <w:p w14:paraId="530CED5D">
            <w:pPr>
              <w:pStyle w:val="6"/>
              <w:spacing w:before="86" w:line="219" w:lineRule="auto"/>
              <w:ind w:left="155"/>
              <w:rPr>
                <w:sz w:val="18"/>
                <w:szCs w:val="18"/>
              </w:rPr>
            </w:pPr>
            <w:r>
              <w:rPr>
                <w:spacing w:val="1"/>
                <w:sz w:val="18"/>
                <w:szCs w:val="18"/>
              </w:rPr>
              <w:t>10#光伏阵列西北侧</w:t>
            </w:r>
          </w:p>
        </w:tc>
        <w:tc>
          <w:tcPr>
            <w:tcW w:w="729" w:type="dxa"/>
            <w:vAlign w:val="top"/>
          </w:tcPr>
          <w:p w14:paraId="4ED939E0">
            <w:pPr>
              <w:pStyle w:val="6"/>
              <w:spacing w:before="104"/>
              <w:ind w:left="177"/>
              <w:rPr>
                <w:sz w:val="18"/>
                <w:szCs w:val="18"/>
              </w:rPr>
            </w:pPr>
            <w:r>
              <w:rPr>
                <w:spacing w:val="-2"/>
                <w:sz w:val="18"/>
                <w:szCs w:val="18"/>
              </w:rPr>
              <w:t>274m</w:t>
            </w:r>
          </w:p>
        </w:tc>
        <w:tc>
          <w:tcPr>
            <w:tcW w:w="609" w:type="dxa"/>
            <w:vMerge w:val="continue"/>
            <w:tcBorders>
              <w:top w:val="nil"/>
              <w:bottom w:val="nil"/>
            </w:tcBorders>
            <w:vAlign w:val="top"/>
          </w:tcPr>
          <w:p w14:paraId="57117344">
            <w:pPr>
              <w:rPr>
                <w:rFonts w:ascii="Arial"/>
                <w:sz w:val="21"/>
              </w:rPr>
            </w:pPr>
          </w:p>
        </w:tc>
        <w:tc>
          <w:tcPr>
            <w:tcW w:w="804" w:type="dxa"/>
            <w:vMerge w:val="continue"/>
            <w:tcBorders>
              <w:top w:val="nil"/>
              <w:bottom w:val="nil"/>
            </w:tcBorders>
            <w:vAlign w:val="top"/>
          </w:tcPr>
          <w:p w14:paraId="0159A0EC">
            <w:pPr>
              <w:rPr>
                <w:rFonts w:ascii="Arial"/>
                <w:sz w:val="21"/>
              </w:rPr>
            </w:pPr>
          </w:p>
        </w:tc>
      </w:tr>
      <w:tr w14:paraId="4B7F9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694" w:type="dxa"/>
            <w:vMerge w:val="continue"/>
            <w:tcBorders>
              <w:top w:val="nil"/>
              <w:bottom w:val="nil"/>
            </w:tcBorders>
            <w:textDirection w:val="tbRlV"/>
            <w:vAlign w:val="top"/>
          </w:tcPr>
          <w:p w14:paraId="6544C169">
            <w:pPr>
              <w:rPr>
                <w:rFonts w:ascii="Arial"/>
                <w:sz w:val="21"/>
              </w:rPr>
            </w:pPr>
          </w:p>
        </w:tc>
        <w:tc>
          <w:tcPr>
            <w:tcW w:w="140" w:type="dxa"/>
            <w:vMerge w:val="continue"/>
            <w:tcBorders>
              <w:top w:val="nil"/>
              <w:bottom w:val="nil"/>
            </w:tcBorders>
            <w:vAlign w:val="top"/>
          </w:tcPr>
          <w:p w14:paraId="2F88CDC8">
            <w:pPr>
              <w:rPr>
                <w:rFonts w:ascii="Arial"/>
                <w:sz w:val="21"/>
              </w:rPr>
            </w:pPr>
          </w:p>
        </w:tc>
        <w:tc>
          <w:tcPr>
            <w:tcW w:w="599" w:type="dxa"/>
            <w:vMerge w:val="continue"/>
            <w:tcBorders>
              <w:top w:val="nil"/>
              <w:bottom w:val="nil"/>
            </w:tcBorders>
            <w:vAlign w:val="top"/>
          </w:tcPr>
          <w:p w14:paraId="23AE53BF">
            <w:pPr>
              <w:rPr>
                <w:rFonts w:ascii="Arial"/>
                <w:sz w:val="21"/>
              </w:rPr>
            </w:pPr>
          </w:p>
        </w:tc>
        <w:tc>
          <w:tcPr>
            <w:tcW w:w="849" w:type="dxa"/>
            <w:vAlign w:val="top"/>
          </w:tcPr>
          <w:p w14:paraId="10F73A97">
            <w:pPr>
              <w:pStyle w:val="6"/>
              <w:spacing w:before="5" w:line="213" w:lineRule="auto"/>
              <w:ind w:left="151" w:right="74" w:hanging="100"/>
              <w:rPr>
                <w:sz w:val="18"/>
                <w:szCs w:val="18"/>
              </w:rPr>
            </w:pPr>
            <w:r>
              <w:rPr>
                <w:spacing w:val="-2"/>
                <w:sz w:val="18"/>
                <w:szCs w:val="18"/>
              </w:rPr>
              <w:t>栗树园村</w:t>
            </w:r>
            <w:r>
              <w:rPr>
                <w:sz w:val="18"/>
                <w:szCs w:val="18"/>
              </w:rPr>
              <w:t xml:space="preserve"> </w:t>
            </w:r>
            <w:r>
              <w:rPr>
                <w:spacing w:val="6"/>
                <w:sz w:val="18"/>
                <w:szCs w:val="18"/>
              </w:rPr>
              <w:t>散户1</w:t>
            </w:r>
          </w:p>
        </w:tc>
        <w:tc>
          <w:tcPr>
            <w:tcW w:w="1658" w:type="dxa"/>
            <w:vAlign w:val="top"/>
          </w:tcPr>
          <w:p w14:paraId="2011B75D">
            <w:pPr>
              <w:pStyle w:val="6"/>
              <w:spacing w:before="85" w:line="182" w:lineRule="auto"/>
              <w:ind w:left="12"/>
              <w:rPr>
                <w:sz w:val="18"/>
                <w:szCs w:val="18"/>
              </w:rPr>
            </w:pPr>
            <w:r>
              <w:rPr>
                <w:spacing w:val="-5"/>
                <w:sz w:val="18"/>
                <w:szCs w:val="18"/>
              </w:rPr>
              <w:t>E103°29'38.87186"</w:t>
            </w:r>
            <w:r>
              <w:rPr>
                <w:spacing w:val="4"/>
                <w:sz w:val="18"/>
                <w:szCs w:val="18"/>
              </w:rPr>
              <w:t xml:space="preserve">  </w:t>
            </w:r>
            <w:r>
              <w:rPr>
                <w:sz w:val="18"/>
                <w:szCs w:val="18"/>
              </w:rPr>
              <w:t>N24°54'35.79983”</w:t>
            </w:r>
          </w:p>
        </w:tc>
        <w:tc>
          <w:tcPr>
            <w:tcW w:w="1349" w:type="dxa"/>
            <w:vAlign w:val="top"/>
          </w:tcPr>
          <w:p w14:paraId="662D7FDD">
            <w:pPr>
              <w:pStyle w:val="6"/>
              <w:spacing w:before="137" w:line="220" w:lineRule="auto"/>
              <w:ind w:left="304"/>
              <w:rPr>
                <w:sz w:val="18"/>
                <w:szCs w:val="18"/>
              </w:rPr>
            </w:pPr>
            <w:r>
              <w:rPr>
                <w:spacing w:val="-2"/>
                <w:sz w:val="18"/>
                <w:szCs w:val="18"/>
              </w:rPr>
              <w:t>3户，8人</w:t>
            </w:r>
          </w:p>
        </w:tc>
        <w:tc>
          <w:tcPr>
            <w:tcW w:w="1858" w:type="dxa"/>
            <w:vAlign w:val="top"/>
          </w:tcPr>
          <w:p w14:paraId="1F3633FA">
            <w:pPr>
              <w:pStyle w:val="6"/>
              <w:spacing w:before="136" w:line="219" w:lineRule="auto"/>
              <w:ind w:left="245"/>
              <w:rPr>
                <w:sz w:val="18"/>
                <w:szCs w:val="18"/>
              </w:rPr>
            </w:pPr>
            <w:r>
              <w:rPr>
                <w:spacing w:val="1"/>
                <w:sz w:val="18"/>
                <w:szCs w:val="18"/>
              </w:rPr>
              <w:t>10#光伏阵列西侧</w:t>
            </w:r>
          </w:p>
        </w:tc>
        <w:tc>
          <w:tcPr>
            <w:tcW w:w="729" w:type="dxa"/>
            <w:vAlign w:val="top"/>
          </w:tcPr>
          <w:p w14:paraId="01DA3E16">
            <w:pPr>
              <w:pStyle w:val="6"/>
              <w:spacing w:before="154"/>
              <w:ind w:left="267"/>
              <w:rPr>
                <w:sz w:val="18"/>
                <w:szCs w:val="18"/>
              </w:rPr>
            </w:pPr>
            <w:r>
              <w:rPr>
                <w:spacing w:val="-3"/>
                <w:sz w:val="18"/>
                <w:szCs w:val="18"/>
              </w:rPr>
              <w:t>3m</w:t>
            </w:r>
          </w:p>
        </w:tc>
        <w:tc>
          <w:tcPr>
            <w:tcW w:w="609" w:type="dxa"/>
            <w:vMerge w:val="continue"/>
            <w:tcBorders>
              <w:top w:val="nil"/>
              <w:bottom w:val="nil"/>
            </w:tcBorders>
            <w:vAlign w:val="top"/>
          </w:tcPr>
          <w:p w14:paraId="386A96EC">
            <w:pPr>
              <w:rPr>
                <w:rFonts w:ascii="Arial"/>
                <w:sz w:val="21"/>
              </w:rPr>
            </w:pPr>
          </w:p>
        </w:tc>
        <w:tc>
          <w:tcPr>
            <w:tcW w:w="804" w:type="dxa"/>
            <w:vMerge w:val="continue"/>
            <w:tcBorders>
              <w:top w:val="nil"/>
              <w:bottom w:val="nil"/>
            </w:tcBorders>
            <w:vAlign w:val="top"/>
          </w:tcPr>
          <w:p w14:paraId="44F50E23">
            <w:pPr>
              <w:rPr>
                <w:rFonts w:ascii="Arial"/>
                <w:sz w:val="21"/>
              </w:rPr>
            </w:pPr>
          </w:p>
        </w:tc>
      </w:tr>
      <w:tr w14:paraId="635B3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94" w:type="dxa"/>
            <w:vMerge w:val="continue"/>
            <w:tcBorders>
              <w:top w:val="nil"/>
              <w:bottom w:val="nil"/>
            </w:tcBorders>
            <w:textDirection w:val="tbRlV"/>
            <w:vAlign w:val="top"/>
          </w:tcPr>
          <w:p w14:paraId="7FE26609">
            <w:pPr>
              <w:rPr>
                <w:rFonts w:ascii="Arial"/>
                <w:sz w:val="21"/>
              </w:rPr>
            </w:pPr>
          </w:p>
        </w:tc>
        <w:tc>
          <w:tcPr>
            <w:tcW w:w="140" w:type="dxa"/>
            <w:vMerge w:val="continue"/>
            <w:tcBorders>
              <w:top w:val="nil"/>
              <w:bottom w:val="nil"/>
            </w:tcBorders>
            <w:vAlign w:val="top"/>
          </w:tcPr>
          <w:p w14:paraId="20FA3739">
            <w:pPr>
              <w:rPr>
                <w:rFonts w:ascii="Arial"/>
                <w:sz w:val="21"/>
              </w:rPr>
            </w:pPr>
          </w:p>
        </w:tc>
        <w:tc>
          <w:tcPr>
            <w:tcW w:w="599" w:type="dxa"/>
            <w:vMerge w:val="continue"/>
            <w:tcBorders>
              <w:top w:val="nil"/>
              <w:bottom w:val="nil"/>
            </w:tcBorders>
            <w:vAlign w:val="top"/>
          </w:tcPr>
          <w:p w14:paraId="3A0CDB13">
            <w:pPr>
              <w:rPr>
                <w:rFonts w:ascii="Arial"/>
                <w:sz w:val="21"/>
              </w:rPr>
            </w:pPr>
          </w:p>
        </w:tc>
        <w:tc>
          <w:tcPr>
            <w:tcW w:w="849" w:type="dxa"/>
            <w:vAlign w:val="top"/>
          </w:tcPr>
          <w:p w14:paraId="63955FF1">
            <w:pPr>
              <w:pStyle w:val="6"/>
              <w:spacing w:before="27" w:line="207" w:lineRule="auto"/>
              <w:ind w:left="151" w:right="74" w:hanging="100"/>
              <w:rPr>
                <w:sz w:val="18"/>
                <w:szCs w:val="18"/>
              </w:rPr>
            </w:pPr>
            <w:r>
              <w:rPr>
                <w:spacing w:val="-2"/>
                <w:sz w:val="18"/>
                <w:szCs w:val="18"/>
              </w:rPr>
              <w:t>栗树园村</w:t>
            </w:r>
            <w:r>
              <w:rPr>
                <w:sz w:val="18"/>
                <w:szCs w:val="18"/>
              </w:rPr>
              <w:t xml:space="preserve"> </w:t>
            </w:r>
            <w:r>
              <w:rPr>
                <w:spacing w:val="-2"/>
                <w:sz w:val="18"/>
                <w:szCs w:val="18"/>
              </w:rPr>
              <w:t>散户2</w:t>
            </w:r>
          </w:p>
        </w:tc>
        <w:tc>
          <w:tcPr>
            <w:tcW w:w="1658" w:type="dxa"/>
            <w:vAlign w:val="top"/>
          </w:tcPr>
          <w:p w14:paraId="7F9590D9">
            <w:pPr>
              <w:pStyle w:val="6"/>
              <w:spacing w:before="96" w:line="181" w:lineRule="auto"/>
              <w:ind w:left="48" w:hanging="36"/>
              <w:rPr>
                <w:sz w:val="18"/>
                <w:szCs w:val="18"/>
              </w:rPr>
            </w:pPr>
            <w:r>
              <w:rPr>
                <w:spacing w:val="-5"/>
                <w:sz w:val="18"/>
                <w:szCs w:val="18"/>
              </w:rPr>
              <w:t>E103°29'57.34370”</w:t>
            </w:r>
            <w:r>
              <w:rPr>
                <w:spacing w:val="9"/>
                <w:sz w:val="18"/>
                <w:szCs w:val="18"/>
              </w:rPr>
              <w:t xml:space="preserve"> </w:t>
            </w:r>
            <w:r>
              <w:rPr>
                <w:spacing w:val="-9"/>
                <w:sz w:val="18"/>
                <w:szCs w:val="18"/>
              </w:rPr>
              <w:t>N24°54'27.48606"</w:t>
            </w:r>
          </w:p>
        </w:tc>
        <w:tc>
          <w:tcPr>
            <w:tcW w:w="1349" w:type="dxa"/>
            <w:vAlign w:val="top"/>
          </w:tcPr>
          <w:p w14:paraId="7F45642D">
            <w:pPr>
              <w:pStyle w:val="6"/>
              <w:spacing w:before="137" w:line="220" w:lineRule="auto"/>
              <w:ind w:left="264"/>
              <w:rPr>
                <w:sz w:val="18"/>
                <w:szCs w:val="18"/>
              </w:rPr>
            </w:pPr>
            <w:r>
              <w:rPr>
                <w:spacing w:val="-2"/>
                <w:sz w:val="18"/>
                <w:szCs w:val="18"/>
              </w:rPr>
              <w:t>6户，20人</w:t>
            </w:r>
          </w:p>
        </w:tc>
        <w:tc>
          <w:tcPr>
            <w:tcW w:w="1858" w:type="dxa"/>
            <w:vAlign w:val="top"/>
          </w:tcPr>
          <w:p w14:paraId="437E19E5">
            <w:pPr>
              <w:pStyle w:val="6"/>
              <w:spacing w:before="136" w:line="219" w:lineRule="auto"/>
              <w:ind w:left="205"/>
              <w:rPr>
                <w:sz w:val="18"/>
                <w:szCs w:val="18"/>
              </w:rPr>
            </w:pPr>
            <w:r>
              <w:rPr>
                <w:spacing w:val="1"/>
                <w:sz w:val="18"/>
                <w:szCs w:val="18"/>
              </w:rPr>
              <w:t>9#光伏阵列西北侧</w:t>
            </w:r>
          </w:p>
        </w:tc>
        <w:tc>
          <w:tcPr>
            <w:tcW w:w="729" w:type="dxa"/>
            <w:vAlign w:val="top"/>
          </w:tcPr>
          <w:p w14:paraId="72EFC962">
            <w:pPr>
              <w:pStyle w:val="6"/>
              <w:spacing w:before="155" w:line="241" w:lineRule="auto"/>
              <w:ind w:left="267"/>
              <w:rPr>
                <w:sz w:val="18"/>
                <w:szCs w:val="18"/>
              </w:rPr>
            </w:pPr>
            <w:r>
              <w:rPr>
                <w:spacing w:val="-6"/>
                <w:sz w:val="18"/>
                <w:szCs w:val="18"/>
              </w:rPr>
              <w:t>1m</w:t>
            </w:r>
          </w:p>
        </w:tc>
        <w:tc>
          <w:tcPr>
            <w:tcW w:w="609" w:type="dxa"/>
            <w:vMerge w:val="continue"/>
            <w:tcBorders>
              <w:top w:val="nil"/>
              <w:bottom w:val="nil"/>
            </w:tcBorders>
            <w:vAlign w:val="top"/>
          </w:tcPr>
          <w:p w14:paraId="392B2CE3">
            <w:pPr>
              <w:rPr>
                <w:rFonts w:ascii="Arial"/>
                <w:sz w:val="21"/>
              </w:rPr>
            </w:pPr>
          </w:p>
        </w:tc>
        <w:tc>
          <w:tcPr>
            <w:tcW w:w="804" w:type="dxa"/>
            <w:vMerge w:val="continue"/>
            <w:tcBorders>
              <w:top w:val="nil"/>
              <w:bottom w:val="nil"/>
            </w:tcBorders>
            <w:vAlign w:val="top"/>
          </w:tcPr>
          <w:p w14:paraId="06814F85">
            <w:pPr>
              <w:rPr>
                <w:rFonts w:ascii="Arial"/>
                <w:sz w:val="21"/>
              </w:rPr>
            </w:pPr>
          </w:p>
        </w:tc>
      </w:tr>
      <w:tr w14:paraId="14050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94" w:type="dxa"/>
            <w:vMerge w:val="continue"/>
            <w:tcBorders>
              <w:top w:val="nil"/>
              <w:bottom w:val="nil"/>
            </w:tcBorders>
            <w:textDirection w:val="tbRlV"/>
            <w:vAlign w:val="top"/>
          </w:tcPr>
          <w:p w14:paraId="60081CC4">
            <w:pPr>
              <w:rPr>
                <w:rFonts w:ascii="Arial"/>
                <w:sz w:val="21"/>
              </w:rPr>
            </w:pPr>
          </w:p>
        </w:tc>
        <w:tc>
          <w:tcPr>
            <w:tcW w:w="140" w:type="dxa"/>
            <w:vMerge w:val="continue"/>
            <w:tcBorders>
              <w:top w:val="nil"/>
              <w:bottom w:val="nil"/>
            </w:tcBorders>
            <w:vAlign w:val="top"/>
          </w:tcPr>
          <w:p w14:paraId="671E5E15">
            <w:pPr>
              <w:rPr>
                <w:rFonts w:ascii="Arial"/>
                <w:sz w:val="21"/>
              </w:rPr>
            </w:pPr>
          </w:p>
        </w:tc>
        <w:tc>
          <w:tcPr>
            <w:tcW w:w="599" w:type="dxa"/>
            <w:vMerge w:val="continue"/>
            <w:tcBorders>
              <w:top w:val="nil"/>
              <w:bottom w:val="nil"/>
            </w:tcBorders>
            <w:vAlign w:val="top"/>
          </w:tcPr>
          <w:p w14:paraId="287B67A4">
            <w:pPr>
              <w:rPr>
                <w:rFonts w:ascii="Arial"/>
                <w:sz w:val="21"/>
              </w:rPr>
            </w:pPr>
          </w:p>
        </w:tc>
        <w:tc>
          <w:tcPr>
            <w:tcW w:w="849" w:type="dxa"/>
            <w:vAlign w:val="top"/>
          </w:tcPr>
          <w:p w14:paraId="382BA463">
            <w:pPr>
              <w:pStyle w:val="6"/>
              <w:spacing w:before="37" w:line="231" w:lineRule="auto"/>
              <w:ind w:left="51" w:right="43"/>
              <w:rPr>
                <w:sz w:val="18"/>
                <w:szCs w:val="18"/>
              </w:rPr>
            </w:pPr>
            <w:r>
              <w:rPr>
                <w:spacing w:val="-2"/>
                <w:sz w:val="18"/>
                <w:szCs w:val="18"/>
              </w:rPr>
              <w:t>栗树园村</w:t>
            </w:r>
            <w:r>
              <w:rPr>
                <w:sz w:val="18"/>
                <w:szCs w:val="18"/>
              </w:rPr>
              <w:t xml:space="preserve"> </w:t>
            </w:r>
            <w:r>
              <w:rPr>
                <w:spacing w:val="4"/>
                <w:sz w:val="18"/>
                <w:szCs w:val="18"/>
              </w:rPr>
              <w:t>散户3(田</w:t>
            </w:r>
          </w:p>
          <w:p w14:paraId="74F52CD2">
            <w:pPr>
              <w:pStyle w:val="6"/>
              <w:spacing w:line="219" w:lineRule="auto"/>
              <w:ind w:left="51"/>
              <w:rPr>
                <w:sz w:val="18"/>
                <w:szCs w:val="18"/>
              </w:rPr>
            </w:pPr>
            <w:r>
              <w:rPr>
                <w:spacing w:val="1"/>
                <w:sz w:val="18"/>
                <w:szCs w:val="18"/>
              </w:rPr>
              <w:t>间农户看</w:t>
            </w:r>
          </w:p>
          <w:p w14:paraId="0F576066">
            <w:pPr>
              <w:pStyle w:val="6"/>
              <w:spacing w:before="39" w:line="213" w:lineRule="auto"/>
              <w:ind w:left="281"/>
              <w:rPr>
                <w:sz w:val="18"/>
                <w:szCs w:val="18"/>
              </w:rPr>
            </w:pPr>
            <w:r>
              <w:rPr>
                <w:spacing w:val="-4"/>
                <w:sz w:val="18"/>
                <w:szCs w:val="18"/>
              </w:rPr>
              <w:t>地</w:t>
            </w:r>
            <w:r>
              <w:rPr>
                <w:spacing w:val="-36"/>
                <w:sz w:val="18"/>
                <w:szCs w:val="18"/>
              </w:rPr>
              <w:t xml:space="preserve"> </w:t>
            </w:r>
            <w:r>
              <w:rPr>
                <w:spacing w:val="-4"/>
                <w:sz w:val="18"/>
                <w:szCs w:val="18"/>
              </w:rPr>
              <w:t>)</w:t>
            </w:r>
          </w:p>
        </w:tc>
        <w:tc>
          <w:tcPr>
            <w:tcW w:w="1658" w:type="dxa"/>
            <w:vAlign w:val="top"/>
          </w:tcPr>
          <w:p w14:paraId="2F8A4E80">
            <w:pPr>
              <w:spacing w:line="276" w:lineRule="auto"/>
              <w:rPr>
                <w:rFonts w:ascii="Arial"/>
                <w:sz w:val="21"/>
              </w:rPr>
            </w:pPr>
          </w:p>
          <w:p w14:paraId="67DE3EE4">
            <w:pPr>
              <w:pStyle w:val="6"/>
              <w:spacing w:before="58" w:line="222" w:lineRule="auto"/>
              <w:ind w:left="12"/>
              <w:rPr>
                <w:sz w:val="18"/>
                <w:szCs w:val="18"/>
              </w:rPr>
            </w:pPr>
            <w:r>
              <w:rPr>
                <w:spacing w:val="-5"/>
                <w:sz w:val="18"/>
                <w:szCs w:val="18"/>
              </w:rPr>
              <w:t>E103°30'20.57592”</w:t>
            </w:r>
            <w:r>
              <w:rPr>
                <w:spacing w:val="9"/>
                <w:sz w:val="18"/>
                <w:szCs w:val="18"/>
              </w:rPr>
              <w:t xml:space="preserve"> </w:t>
            </w:r>
            <w:r>
              <w:rPr>
                <w:spacing w:val="-4"/>
                <w:sz w:val="18"/>
                <w:szCs w:val="18"/>
              </w:rPr>
              <w:t>N24°54'30.15110”</w:t>
            </w:r>
          </w:p>
        </w:tc>
        <w:tc>
          <w:tcPr>
            <w:tcW w:w="1349" w:type="dxa"/>
            <w:vAlign w:val="top"/>
          </w:tcPr>
          <w:p w14:paraId="256EEF9B">
            <w:pPr>
              <w:spacing w:line="328" w:lineRule="auto"/>
              <w:rPr>
                <w:rFonts w:ascii="Arial"/>
                <w:sz w:val="21"/>
              </w:rPr>
            </w:pPr>
          </w:p>
          <w:p w14:paraId="2349083A">
            <w:pPr>
              <w:pStyle w:val="6"/>
              <w:spacing w:before="58" w:line="220" w:lineRule="auto"/>
              <w:ind w:left="304"/>
              <w:rPr>
                <w:sz w:val="18"/>
                <w:szCs w:val="18"/>
              </w:rPr>
            </w:pPr>
            <w:r>
              <w:rPr>
                <w:spacing w:val="1"/>
                <w:sz w:val="18"/>
                <w:szCs w:val="18"/>
              </w:rPr>
              <w:t>1户，1人</w:t>
            </w:r>
          </w:p>
        </w:tc>
        <w:tc>
          <w:tcPr>
            <w:tcW w:w="1858" w:type="dxa"/>
            <w:vAlign w:val="top"/>
          </w:tcPr>
          <w:p w14:paraId="22E358E5">
            <w:pPr>
              <w:spacing w:line="326" w:lineRule="auto"/>
              <w:rPr>
                <w:rFonts w:ascii="Arial"/>
                <w:sz w:val="21"/>
              </w:rPr>
            </w:pPr>
          </w:p>
          <w:p w14:paraId="2CBF70DF">
            <w:pPr>
              <w:pStyle w:val="6"/>
              <w:spacing w:before="59" w:line="219" w:lineRule="auto"/>
              <w:ind w:left="295"/>
              <w:rPr>
                <w:sz w:val="18"/>
                <w:szCs w:val="18"/>
              </w:rPr>
            </w:pPr>
            <w:r>
              <w:rPr>
                <w:spacing w:val="1"/>
                <w:sz w:val="18"/>
                <w:szCs w:val="18"/>
              </w:rPr>
              <w:t>8#光伏阵列南侧</w:t>
            </w:r>
          </w:p>
        </w:tc>
        <w:tc>
          <w:tcPr>
            <w:tcW w:w="729" w:type="dxa"/>
            <w:vAlign w:val="top"/>
          </w:tcPr>
          <w:p w14:paraId="627602FE">
            <w:pPr>
              <w:spacing w:line="345" w:lineRule="auto"/>
              <w:rPr>
                <w:rFonts w:ascii="Arial"/>
                <w:sz w:val="21"/>
              </w:rPr>
            </w:pPr>
          </w:p>
          <w:p w14:paraId="7BE8FA80">
            <w:pPr>
              <w:pStyle w:val="6"/>
              <w:spacing w:before="58"/>
              <w:ind w:left="227"/>
              <w:rPr>
                <w:sz w:val="18"/>
                <w:szCs w:val="18"/>
              </w:rPr>
            </w:pPr>
            <w:r>
              <w:rPr>
                <w:spacing w:val="-5"/>
                <w:sz w:val="18"/>
                <w:szCs w:val="18"/>
              </w:rPr>
              <w:t>16m</w:t>
            </w:r>
          </w:p>
        </w:tc>
        <w:tc>
          <w:tcPr>
            <w:tcW w:w="609" w:type="dxa"/>
            <w:vMerge w:val="continue"/>
            <w:tcBorders>
              <w:top w:val="nil"/>
              <w:bottom w:val="nil"/>
            </w:tcBorders>
            <w:vAlign w:val="top"/>
          </w:tcPr>
          <w:p w14:paraId="4B4F1E80">
            <w:pPr>
              <w:rPr>
                <w:rFonts w:ascii="Arial"/>
                <w:sz w:val="21"/>
              </w:rPr>
            </w:pPr>
          </w:p>
        </w:tc>
        <w:tc>
          <w:tcPr>
            <w:tcW w:w="804" w:type="dxa"/>
            <w:vMerge w:val="continue"/>
            <w:tcBorders>
              <w:top w:val="nil"/>
              <w:bottom w:val="nil"/>
            </w:tcBorders>
            <w:vAlign w:val="top"/>
          </w:tcPr>
          <w:p w14:paraId="7519D6C6">
            <w:pPr>
              <w:rPr>
                <w:rFonts w:ascii="Arial"/>
                <w:sz w:val="21"/>
              </w:rPr>
            </w:pPr>
          </w:p>
        </w:tc>
      </w:tr>
      <w:tr w14:paraId="7E6F3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94" w:type="dxa"/>
            <w:vMerge w:val="continue"/>
            <w:tcBorders>
              <w:top w:val="nil"/>
              <w:bottom w:val="nil"/>
            </w:tcBorders>
            <w:textDirection w:val="tbRlV"/>
            <w:vAlign w:val="top"/>
          </w:tcPr>
          <w:p w14:paraId="30E41D5D">
            <w:pPr>
              <w:rPr>
                <w:rFonts w:ascii="Arial"/>
                <w:sz w:val="21"/>
              </w:rPr>
            </w:pPr>
          </w:p>
        </w:tc>
        <w:tc>
          <w:tcPr>
            <w:tcW w:w="140" w:type="dxa"/>
            <w:vMerge w:val="continue"/>
            <w:tcBorders>
              <w:top w:val="nil"/>
              <w:bottom w:val="nil"/>
            </w:tcBorders>
            <w:vAlign w:val="top"/>
          </w:tcPr>
          <w:p w14:paraId="09E5F9C1">
            <w:pPr>
              <w:rPr>
                <w:rFonts w:ascii="Arial"/>
                <w:sz w:val="21"/>
              </w:rPr>
            </w:pPr>
          </w:p>
        </w:tc>
        <w:tc>
          <w:tcPr>
            <w:tcW w:w="599" w:type="dxa"/>
            <w:vMerge w:val="continue"/>
            <w:tcBorders>
              <w:top w:val="nil"/>
              <w:bottom w:val="nil"/>
            </w:tcBorders>
            <w:vAlign w:val="top"/>
          </w:tcPr>
          <w:p w14:paraId="4A25695F">
            <w:pPr>
              <w:rPr>
                <w:rFonts w:ascii="Arial"/>
                <w:sz w:val="21"/>
              </w:rPr>
            </w:pPr>
          </w:p>
        </w:tc>
        <w:tc>
          <w:tcPr>
            <w:tcW w:w="849" w:type="dxa"/>
            <w:vAlign w:val="top"/>
          </w:tcPr>
          <w:p w14:paraId="7AD3BACE">
            <w:pPr>
              <w:pStyle w:val="6"/>
              <w:spacing w:before="9" w:line="246" w:lineRule="auto"/>
              <w:ind w:left="51" w:right="43"/>
              <w:rPr>
                <w:sz w:val="18"/>
                <w:szCs w:val="18"/>
              </w:rPr>
            </w:pPr>
            <w:r>
              <w:rPr>
                <w:spacing w:val="-2"/>
                <w:sz w:val="18"/>
                <w:szCs w:val="18"/>
              </w:rPr>
              <w:t>栗树园村</w:t>
            </w:r>
            <w:r>
              <w:rPr>
                <w:sz w:val="18"/>
                <w:szCs w:val="18"/>
              </w:rPr>
              <w:t xml:space="preserve"> </w:t>
            </w:r>
            <w:r>
              <w:rPr>
                <w:spacing w:val="4"/>
                <w:sz w:val="18"/>
                <w:szCs w:val="18"/>
              </w:rPr>
              <w:t>散户4(田</w:t>
            </w:r>
          </w:p>
          <w:p w14:paraId="2214F7B2">
            <w:pPr>
              <w:pStyle w:val="6"/>
              <w:spacing w:line="219" w:lineRule="auto"/>
              <w:ind w:left="51"/>
              <w:rPr>
                <w:sz w:val="18"/>
                <w:szCs w:val="18"/>
              </w:rPr>
            </w:pPr>
            <w:r>
              <w:rPr>
                <w:spacing w:val="1"/>
                <w:sz w:val="18"/>
                <w:szCs w:val="18"/>
              </w:rPr>
              <w:t>间农户看</w:t>
            </w:r>
          </w:p>
          <w:p w14:paraId="30DAD90C">
            <w:pPr>
              <w:pStyle w:val="6"/>
              <w:spacing w:before="9" w:line="212" w:lineRule="auto"/>
              <w:ind w:left="281"/>
              <w:rPr>
                <w:sz w:val="18"/>
                <w:szCs w:val="18"/>
              </w:rPr>
            </w:pPr>
            <w:r>
              <w:rPr>
                <w:spacing w:val="-4"/>
                <w:sz w:val="18"/>
                <w:szCs w:val="18"/>
              </w:rPr>
              <w:t>地</w:t>
            </w:r>
            <w:r>
              <w:rPr>
                <w:spacing w:val="-36"/>
                <w:sz w:val="18"/>
                <w:szCs w:val="18"/>
              </w:rPr>
              <w:t xml:space="preserve"> </w:t>
            </w:r>
            <w:r>
              <w:rPr>
                <w:spacing w:val="-4"/>
                <w:sz w:val="18"/>
                <w:szCs w:val="18"/>
              </w:rPr>
              <w:t>)</w:t>
            </w:r>
          </w:p>
        </w:tc>
        <w:tc>
          <w:tcPr>
            <w:tcW w:w="1658" w:type="dxa"/>
            <w:vAlign w:val="top"/>
          </w:tcPr>
          <w:p w14:paraId="7F2763E5">
            <w:pPr>
              <w:pStyle w:val="6"/>
              <w:spacing w:before="296" w:line="248" w:lineRule="auto"/>
              <w:ind w:left="94" w:hanging="82"/>
              <w:rPr>
                <w:sz w:val="18"/>
                <w:szCs w:val="18"/>
              </w:rPr>
            </w:pPr>
            <w:r>
              <w:rPr>
                <w:spacing w:val="-5"/>
                <w:sz w:val="18"/>
                <w:szCs w:val="18"/>
              </w:rPr>
              <w:t>E103°30'14.73407”</w:t>
            </w:r>
            <w:r>
              <w:rPr>
                <w:spacing w:val="9"/>
                <w:sz w:val="18"/>
                <w:szCs w:val="18"/>
              </w:rPr>
              <w:t xml:space="preserve"> </w:t>
            </w:r>
            <w:r>
              <w:rPr>
                <w:spacing w:val="-9"/>
                <w:sz w:val="18"/>
                <w:szCs w:val="18"/>
              </w:rPr>
              <w:t>N24°54'3.20134"</w:t>
            </w:r>
          </w:p>
        </w:tc>
        <w:tc>
          <w:tcPr>
            <w:tcW w:w="1349" w:type="dxa"/>
            <w:vAlign w:val="top"/>
          </w:tcPr>
          <w:p w14:paraId="0D1E3C09">
            <w:pPr>
              <w:spacing w:line="319" w:lineRule="auto"/>
              <w:rPr>
                <w:rFonts w:ascii="Arial"/>
                <w:sz w:val="21"/>
              </w:rPr>
            </w:pPr>
          </w:p>
          <w:p w14:paraId="775EDBC4">
            <w:pPr>
              <w:pStyle w:val="6"/>
              <w:spacing w:before="58" w:line="220" w:lineRule="auto"/>
              <w:ind w:left="264"/>
              <w:rPr>
                <w:sz w:val="18"/>
                <w:szCs w:val="18"/>
              </w:rPr>
            </w:pPr>
            <w:r>
              <w:rPr>
                <w:spacing w:val="-1"/>
                <w:sz w:val="18"/>
                <w:szCs w:val="18"/>
              </w:rPr>
              <w:t>4户，12人</w:t>
            </w:r>
          </w:p>
        </w:tc>
        <w:tc>
          <w:tcPr>
            <w:tcW w:w="1858" w:type="dxa"/>
            <w:vAlign w:val="top"/>
          </w:tcPr>
          <w:p w14:paraId="4E255D48">
            <w:pPr>
              <w:spacing w:line="317" w:lineRule="auto"/>
              <w:rPr>
                <w:rFonts w:ascii="Arial"/>
                <w:sz w:val="21"/>
              </w:rPr>
            </w:pPr>
          </w:p>
          <w:p w14:paraId="23CE3744">
            <w:pPr>
              <w:pStyle w:val="6"/>
              <w:spacing w:before="59" w:line="219" w:lineRule="auto"/>
              <w:ind w:left="155"/>
              <w:rPr>
                <w:sz w:val="18"/>
                <w:szCs w:val="18"/>
              </w:rPr>
            </w:pPr>
            <w:r>
              <w:rPr>
                <w:spacing w:val="1"/>
                <w:sz w:val="18"/>
                <w:szCs w:val="18"/>
              </w:rPr>
              <w:t>11#光伏阵列西南侧</w:t>
            </w:r>
          </w:p>
        </w:tc>
        <w:tc>
          <w:tcPr>
            <w:tcW w:w="729" w:type="dxa"/>
            <w:vAlign w:val="top"/>
          </w:tcPr>
          <w:p w14:paraId="17828F12">
            <w:pPr>
              <w:spacing w:line="336" w:lineRule="auto"/>
              <w:rPr>
                <w:rFonts w:ascii="Arial"/>
                <w:sz w:val="21"/>
              </w:rPr>
            </w:pPr>
          </w:p>
          <w:p w14:paraId="70D1C23F">
            <w:pPr>
              <w:pStyle w:val="6"/>
              <w:spacing w:before="59" w:line="241" w:lineRule="auto"/>
              <w:ind w:left="267"/>
              <w:rPr>
                <w:sz w:val="18"/>
                <w:szCs w:val="18"/>
              </w:rPr>
            </w:pPr>
            <w:r>
              <w:rPr>
                <w:spacing w:val="-6"/>
                <w:sz w:val="18"/>
                <w:szCs w:val="18"/>
              </w:rPr>
              <w:t>1m</w:t>
            </w:r>
          </w:p>
        </w:tc>
        <w:tc>
          <w:tcPr>
            <w:tcW w:w="609" w:type="dxa"/>
            <w:vMerge w:val="continue"/>
            <w:tcBorders>
              <w:top w:val="nil"/>
              <w:bottom w:val="nil"/>
            </w:tcBorders>
            <w:vAlign w:val="top"/>
          </w:tcPr>
          <w:p w14:paraId="785EB082">
            <w:pPr>
              <w:rPr>
                <w:rFonts w:ascii="Arial"/>
                <w:sz w:val="21"/>
              </w:rPr>
            </w:pPr>
          </w:p>
        </w:tc>
        <w:tc>
          <w:tcPr>
            <w:tcW w:w="804" w:type="dxa"/>
            <w:vMerge w:val="continue"/>
            <w:tcBorders>
              <w:top w:val="nil"/>
              <w:bottom w:val="nil"/>
            </w:tcBorders>
            <w:vAlign w:val="top"/>
          </w:tcPr>
          <w:p w14:paraId="1B8B2B12">
            <w:pPr>
              <w:rPr>
                <w:rFonts w:ascii="Arial"/>
                <w:sz w:val="21"/>
              </w:rPr>
            </w:pPr>
          </w:p>
        </w:tc>
      </w:tr>
      <w:tr w14:paraId="01FB4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94" w:type="dxa"/>
            <w:vMerge w:val="continue"/>
            <w:tcBorders>
              <w:top w:val="nil"/>
              <w:bottom w:val="nil"/>
            </w:tcBorders>
            <w:textDirection w:val="tbRlV"/>
            <w:vAlign w:val="top"/>
          </w:tcPr>
          <w:p w14:paraId="0FF89EB6">
            <w:pPr>
              <w:rPr>
                <w:rFonts w:ascii="Arial"/>
                <w:sz w:val="21"/>
              </w:rPr>
            </w:pPr>
          </w:p>
        </w:tc>
        <w:tc>
          <w:tcPr>
            <w:tcW w:w="140" w:type="dxa"/>
            <w:vMerge w:val="continue"/>
            <w:tcBorders>
              <w:top w:val="nil"/>
              <w:bottom w:val="nil"/>
            </w:tcBorders>
            <w:vAlign w:val="top"/>
          </w:tcPr>
          <w:p w14:paraId="7FA5439E">
            <w:pPr>
              <w:rPr>
                <w:rFonts w:ascii="Arial"/>
                <w:sz w:val="21"/>
              </w:rPr>
            </w:pPr>
          </w:p>
        </w:tc>
        <w:tc>
          <w:tcPr>
            <w:tcW w:w="599" w:type="dxa"/>
            <w:vMerge w:val="continue"/>
            <w:tcBorders>
              <w:top w:val="nil"/>
              <w:bottom w:val="nil"/>
            </w:tcBorders>
            <w:vAlign w:val="top"/>
          </w:tcPr>
          <w:p w14:paraId="2CEB7D04">
            <w:pPr>
              <w:rPr>
                <w:rFonts w:ascii="Arial"/>
                <w:sz w:val="21"/>
              </w:rPr>
            </w:pPr>
          </w:p>
        </w:tc>
        <w:tc>
          <w:tcPr>
            <w:tcW w:w="849" w:type="dxa"/>
            <w:vAlign w:val="top"/>
          </w:tcPr>
          <w:p w14:paraId="69CBB040">
            <w:pPr>
              <w:pStyle w:val="6"/>
              <w:spacing w:before="31" w:line="208" w:lineRule="auto"/>
              <w:ind w:left="300" w:right="52" w:hanging="249"/>
              <w:rPr>
                <w:sz w:val="18"/>
                <w:szCs w:val="18"/>
              </w:rPr>
            </w:pPr>
            <w:r>
              <w:rPr>
                <w:spacing w:val="3"/>
                <w:sz w:val="18"/>
                <w:szCs w:val="18"/>
              </w:rPr>
              <w:t>发峨哨小</w:t>
            </w:r>
            <w:r>
              <w:rPr>
                <w:spacing w:val="1"/>
                <w:sz w:val="18"/>
                <w:szCs w:val="18"/>
              </w:rPr>
              <w:t xml:space="preserve"> </w:t>
            </w:r>
            <w:r>
              <w:rPr>
                <w:sz w:val="18"/>
                <w:szCs w:val="18"/>
              </w:rPr>
              <w:t>学</w:t>
            </w:r>
          </w:p>
        </w:tc>
        <w:tc>
          <w:tcPr>
            <w:tcW w:w="1658" w:type="dxa"/>
            <w:vAlign w:val="top"/>
          </w:tcPr>
          <w:p w14:paraId="3D33BF50">
            <w:pPr>
              <w:pStyle w:val="6"/>
              <w:spacing w:before="88" w:line="185" w:lineRule="auto"/>
              <w:ind w:left="12"/>
              <w:rPr>
                <w:sz w:val="18"/>
                <w:szCs w:val="18"/>
              </w:rPr>
            </w:pPr>
            <w:r>
              <w:rPr>
                <w:spacing w:val="-5"/>
                <w:sz w:val="18"/>
                <w:szCs w:val="18"/>
              </w:rPr>
              <w:t>E103°29'28.86118”</w:t>
            </w:r>
            <w:r>
              <w:rPr>
                <w:spacing w:val="9"/>
                <w:sz w:val="18"/>
                <w:szCs w:val="18"/>
              </w:rPr>
              <w:t xml:space="preserve"> </w:t>
            </w:r>
            <w:r>
              <w:rPr>
                <w:spacing w:val="-4"/>
                <w:sz w:val="18"/>
                <w:szCs w:val="18"/>
              </w:rPr>
              <w:t>N24°54'42.18556”</w:t>
            </w:r>
          </w:p>
        </w:tc>
        <w:tc>
          <w:tcPr>
            <w:tcW w:w="1349" w:type="dxa"/>
            <w:vAlign w:val="top"/>
          </w:tcPr>
          <w:p w14:paraId="4CDA49C3">
            <w:pPr>
              <w:pStyle w:val="6"/>
              <w:spacing w:before="143" w:line="222" w:lineRule="auto"/>
              <w:ind w:left="444"/>
              <w:rPr>
                <w:sz w:val="18"/>
                <w:szCs w:val="18"/>
              </w:rPr>
            </w:pPr>
            <w:r>
              <w:rPr>
                <w:spacing w:val="-2"/>
                <w:sz w:val="18"/>
                <w:szCs w:val="18"/>
              </w:rPr>
              <w:t>580人</w:t>
            </w:r>
          </w:p>
        </w:tc>
        <w:tc>
          <w:tcPr>
            <w:tcW w:w="1858" w:type="dxa"/>
            <w:vAlign w:val="top"/>
          </w:tcPr>
          <w:p w14:paraId="68BB04BD">
            <w:pPr>
              <w:pStyle w:val="6"/>
              <w:spacing w:before="139" w:line="219" w:lineRule="auto"/>
              <w:ind w:left="155"/>
              <w:rPr>
                <w:sz w:val="18"/>
                <w:szCs w:val="18"/>
              </w:rPr>
            </w:pPr>
            <w:r>
              <w:rPr>
                <w:spacing w:val="1"/>
                <w:sz w:val="18"/>
                <w:szCs w:val="18"/>
              </w:rPr>
              <w:t>10#光伏阵列西北侧</w:t>
            </w:r>
          </w:p>
        </w:tc>
        <w:tc>
          <w:tcPr>
            <w:tcW w:w="729" w:type="dxa"/>
            <w:vAlign w:val="top"/>
          </w:tcPr>
          <w:p w14:paraId="3C3E7957">
            <w:pPr>
              <w:pStyle w:val="6"/>
              <w:spacing w:before="157"/>
              <w:ind w:left="227"/>
              <w:rPr>
                <w:sz w:val="18"/>
                <w:szCs w:val="18"/>
              </w:rPr>
            </w:pPr>
            <w:r>
              <w:rPr>
                <w:spacing w:val="-3"/>
                <w:sz w:val="18"/>
                <w:szCs w:val="18"/>
              </w:rPr>
              <w:t>50m</w:t>
            </w:r>
          </w:p>
        </w:tc>
        <w:tc>
          <w:tcPr>
            <w:tcW w:w="609" w:type="dxa"/>
            <w:vMerge w:val="continue"/>
            <w:tcBorders>
              <w:top w:val="nil"/>
              <w:bottom w:val="nil"/>
            </w:tcBorders>
            <w:vAlign w:val="top"/>
          </w:tcPr>
          <w:p w14:paraId="6169150C">
            <w:pPr>
              <w:rPr>
                <w:rFonts w:ascii="Arial"/>
                <w:sz w:val="21"/>
              </w:rPr>
            </w:pPr>
          </w:p>
        </w:tc>
        <w:tc>
          <w:tcPr>
            <w:tcW w:w="804" w:type="dxa"/>
            <w:vMerge w:val="continue"/>
            <w:tcBorders>
              <w:top w:val="nil"/>
              <w:bottom w:val="nil"/>
            </w:tcBorders>
            <w:vAlign w:val="top"/>
          </w:tcPr>
          <w:p w14:paraId="2E9E9A27">
            <w:pPr>
              <w:rPr>
                <w:rFonts w:ascii="Arial"/>
                <w:sz w:val="21"/>
              </w:rPr>
            </w:pPr>
          </w:p>
        </w:tc>
      </w:tr>
      <w:tr w14:paraId="50AEE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694" w:type="dxa"/>
            <w:vMerge w:val="continue"/>
            <w:tcBorders>
              <w:top w:val="nil"/>
              <w:bottom w:val="nil"/>
            </w:tcBorders>
            <w:textDirection w:val="tbRlV"/>
            <w:vAlign w:val="top"/>
          </w:tcPr>
          <w:p w14:paraId="58879E8B">
            <w:pPr>
              <w:rPr>
                <w:rFonts w:ascii="Arial"/>
                <w:sz w:val="21"/>
              </w:rPr>
            </w:pPr>
          </w:p>
        </w:tc>
        <w:tc>
          <w:tcPr>
            <w:tcW w:w="140" w:type="dxa"/>
            <w:vMerge w:val="continue"/>
            <w:tcBorders>
              <w:top w:val="nil"/>
              <w:bottom w:val="nil"/>
            </w:tcBorders>
            <w:vAlign w:val="top"/>
          </w:tcPr>
          <w:p w14:paraId="6C584D8C">
            <w:pPr>
              <w:rPr>
                <w:rFonts w:ascii="Arial"/>
                <w:sz w:val="21"/>
              </w:rPr>
            </w:pPr>
          </w:p>
        </w:tc>
        <w:tc>
          <w:tcPr>
            <w:tcW w:w="599" w:type="dxa"/>
            <w:vMerge w:val="continue"/>
            <w:tcBorders>
              <w:top w:val="nil"/>
              <w:bottom w:val="nil"/>
            </w:tcBorders>
            <w:vAlign w:val="top"/>
          </w:tcPr>
          <w:p w14:paraId="1B832E98">
            <w:pPr>
              <w:rPr>
                <w:rFonts w:ascii="Arial"/>
                <w:sz w:val="21"/>
              </w:rPr>
            </w:pPr>
          </w:p>
        </w:tc>
        <w:tc>
          <w:tcPr>
            <w:tcW w:w="849" w:type="dxa"/>
            <w:vAlign w:val="top"/>
          </w:tcPr>
          <w:p w14:paraId="6CF1EFF3">
            <w:pPr>
              <w:pStyle w:val="6"/>
              <w:spacing w:before="130" w:line="219" w:lineRule="auto"/>
              <w:ind w:left="141"/>
              <w:rPr>
                <w:sz w:val="18"/>
                <w:szCs w:val="18"/>
              </w:rPr>
            </w:pPr>
            <w:r>
              <w:rPr>
                <w:spacing w:val="-2"/>
                <w:sz w:val="18"/>
                <w:szCs w:val="18"/>
              </w:rPr>
              <w:t>上村子</w:t>
            </w:r>
          </w:p>
        </w:tc>
        <w:tc>
          <w:tcPr>
            <w:tcW w:w="1658" w:type="dxa"/>
            <w:vAlign w:val="top"/>
          </w:tcPr>
          <w:p w14:paraId="159C7650">
            <w:pPr>
              <w:pStyle w:val="6"/>
              <w:spacing w:before="60" w:line="184" w:lineRule="auto"/>
              <w:ind w:left="12"/>
              <w:rPr>
                <w:sz w:val="18"/>
                <w:szCs w:val="18"/>
              </w:rPr>
            </w:pPr>
            <w:r>
              <w:rPr>
                <w:spacing w:val="-5"/>
                <w:sz w:val="18"/>
                <w:szCs w:val="18"/>
              </w:rPr>
              <w:t>E103°28'53.24037"</w:t>
            </w:r>
            <w:r>
              <w:rPr>
                <w:spacing w:val="4"/>
                <w:sz w:val="18"/>
                <w:szCs w:val="18"/>
              </w:rPr>
              <w:t xml:space="preserve">  </w:t>
            </w:r>
            <w:r>
              <w:rPr>
                <w:sz w:val="18"/>
                <w:szCs w:val="18"/>
              </w:rPr>
              <w:t>N24°54'33.98766”</w:t>
            </w:r>
          </w:p>
        </w:tc>
        <w:tc>
          <w:tcPr>
            <w:tcW w:w="1349" w:type="dxa"/>
            <w:vAlign w:val="top"/>
          </w:tcPr>
          <w:p w14:paraId="2D4E3AE3">
            <w:pPr>
              <w:pStyle w:val="6"/>
              <w:spacing w:before="131" w:line="220" w:lineRule="auto"/>
              <w:ind w:left="174"/>
              <w:rPr>
                <w:sz w:val="18"/>
                <w:szCs w:val="18"/>
              </w:rPr>
            </w:pPr>
            <w:r>
              <w:rPr>
                <w:spacing w:val="-1"/>
                <w:sz w:val="18"/>
                <w:szCs w:val="18"/>
              </w:rPr>
              <w:t>64户，256人</w:t>
            </w:r>
          </w:p>
        </w:tc>
        <w:tc>
          <w:tcPr>
            <w:tcW w:w="1858" w:type="dxa"/>
            <w:vAlign w:val="top"/>
          </w:tcPr>
          <w:p w14:paraId="2318EC85">
            <w:pPr>
              <w:pStyle w:val="6"/>
              <w:spacing w:before="130" w:line="219" w:lineRule="auto"/>
              <w:ind w:left="155"/>
              <w:rPr>
                <w:sz w:val="18"/>
                <w:szCs w:val="18"/>
              </w:rPr>
            </w:pPr>
            <w:r>
              <w:rPr>
                <w:spacing w:val="1"/>
                <w:sz w:val="18"/>
                <w:szCs w:val="18"/>
              </w:rPr>
              <w:t>12#光伏阵列西北侧</w:t>
            </w:r>
          </w:p>
        </w:tc>
        <w:tc>
          <w:tcPr>
            <w:tcW w:w="729" w:type="dxa"/>
            <w:vAlign w:val="top"/>
          </w:tcPr>
          <w:p w14:paraId="0B90649A">
            <w:pPr>
              <w:pStyle w:val="6"/>
              <w:spacing w:before="148"/>
              <w:ind w:left="177"/>
              <w:rPr>
                <w:sz w:val="18"/>
                <w:szCs w:val="18"/>
              </w:rPr>
            </w:pPr>
            <w:r>
              <w:rPr>
                <w:spacing w:val="-4"/>
                <w:sz w:val="18"/>
                <w:szCs w:val="18"/>
              </w:rPr>
              <w:t>187m</w:t>
            </w:r>
          </w:p>
        </w:tc>
        <w:tc>
          <w:tcPr>
            <w:tcW w:w="609" w:type="dxa"/>
            <w:vMerge w:val="continue"/>
            <w:tcBorders>
              <w:top w:val="nil"/>
              <w:bottom w:val="nil"/>
            </w:tcBorders>
            <w:vAlign w:val="top"/>
          </w:tcPr>
          <w:p w14:paraId="616796C4">
            <w:pPr>
              <w:rPr>
                <w:rFonts w:ascii="Arial"/>
                <w:sz w:val="21"/>
              </w:rPr>
            </w:pPr>
          </w:p>
        </w:tc>
        <w:tc>
          <w:tcPr>
            <w:tcW w:w="804" w:type="dxa"/>
            <w:vMerge w:val="continue"/>
            <w:tcBorders>
              <w:top w:val="nil"/>
              <w:bottom w:val="nil"/>
            </w:tcBorders>
            <w:vAlign w:val="top"/>
          </w:tcPr>
          <w:p w14:paraId="26D85761">
            <w:pPr>
              <w:rPr>
                <w:rFonts w:ascii="Arial"/>
                <w:sz w:val="21"/>
              </w:rPr>
            </w:pPr>
          </w:p>
        </w:tc>
      </w:tr>
      <w:tr w14:paraId="62BFE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694" w:type="dxa"/>
            <w:vMerge w:val="continue"/>
            <w:tcBorders>
              <w:top w:val="nil"/>
              <w:bottom w:val="nil"/>
            </w:tcBorders>
            <w:textDirection w:val="tbRlV"/>
            <w:vAlign w:val="top"/>
          </w:tcPr>
          <w:p w14:paraId="7F90249A">
            <w:pPr>
              <w:rPr>
                <w:rFonts w:ascii="Arial"/>
                <w:sz w:val="21"/>
              </w:rPr>
            </w:pPr>
          </w:p>
        </w:tc>
        <w:tc>
          <w:tcPr>
            <w:tcW w:w="140" w:type="dxa"/>
            <w:vMerge w:val="continue"/>
            <w:tcBorders>
              <w:top w:val="nil"/>
              <w:bottom w:val="nil"/>
            </w:tcBorders>
            <w:vAlign w:val="top"/>
          </w:tcPr>
          <w:p w14:paraId="50E29481">
            <w:pPr>
              <w:rPr>
                <w:rFonts w:ascii="Arial"/>
                <w:sz w:val="21"/>
              </w:rPr>
            </w:pPr>
          </w:p>
        </w:tc>
        <w:tc>
          <w:tcPr>
            <w:tcW w:w="599" w:type="dxa"/>
            <w:vMerge w:val="continue"/>
            <w:tcBorders>
              <w:top w:val="nil"/>
              <w:bottom w:val="nil"/>
            </w:tcBorders>
            <w:vAlign w:val="top"/>
          </w:tcPr>
          <w:p w14:paraId="3D4802B5">
            <w:pPr>
              <w:rPr>
                <w:rFonts w:ascii="Arial"/>
                <w:sz w:val="21"/>
              </w:rPr>
            </w:pPr>
          </w:p>
        </w:tc>
        <w:tc>
          <w:tcPr>
            <w:tcW w:w="849" w:type="dxa"/>
            <w:vAlign w:val="top"/>
          </w:tcPr>
          <w:p w14:paraId="15BE3811">
            <w:pPr>
              <w:pStyle w:val="6"/>
              <w:spacing w:before="132" w:line="220" w:lineRule="auto"/>
              <w:ind w:left="141"/>
              <w:rPr>
                <w:sz w:val="18"/>
                <w:szCs w:val="18"/>
              </w:rPr>
            </w:pPr>
            <w:r>
              <w:rPr>
                <w:spacing w:val="7"/>
                <w:sz w:val="18"/>
                <w:szCs w:val="18"/>
              </w:rPr>
              <w:t>发峨哨</w:t>
            </w:r>
          </w:p>
        </w:tc>
        <w:tc>
          <w:tcPr>
            <w:tcW w:w="1658" w:type="dxa"/>
            <w:vAlign w:val="top"/>
          </w:tcPr>
          <w:p w14:paraId="0A1D5629">
            <w:pPr>
              <w:pStyle w:val="6"/>
              <w:spacing w:before="80" w:line="174" w:lineRule="auto"/>
              <w:ind w:left="12"/>
              <w:rPr>
                <w:sz w:val="18"/>
                <w:szCs w:val="18"/>
              </w:rPr>
            </w:pPr>
            <w:r>
              <w:rPr>
                <w:spacing w:val="-5"/>
                <w:sz w:val="18"/>
                <w:szCs w:val="18"/>
              </w:rPr>
              <w:t>E103°28'56.86017”</w:t>
            </w:r>
            <w:r>
              <w:rPr>
                <w:spacing w:val="9"/>
                <w:sz w:val="18"/>
                <w:szCs w:val="18"/>
              </w:rPr>
              <w:t xml:space="preserve"> </w:t>
            </w:r>
            <w:r>
              <w:rPr>
                <w:spacing w:val="-4"/>
                <w:sz w:val="18"/>
                <w:szCs w:val="18"/>
              </w:rPr>
              <w:t>N24°54'38.14621”</w:t>
            </w:r>
          </w:p>
        </w:tc>
        <w:tc>
          <w:tcPr>
            <w:tcW w:w="1349" w:type="dxa"/>
            <w:vAlign w:val="top"/>
          </w:tcPr>
          <w:p w14:paraId="66FA1B28">
            <w:pPr>
              <w:pStyle w:val="6"/>
              <w:spacing w:before="132" w:line="220" w:lineRule="auto"/>
              <w:ind w:left="124"/>
              <w:rPr>
                <w:sz w:val="18"/>
                <w:szCs w:val="18"/>
              </w:rPr>
            </w:pPr>
            <w:r>
              <w:rPr>
                <w:sz w:val="18"/>
                <w:szCs w:val="18"/>
              </w:rPr>
              <w:t>110户，380人</w:t>
            </w:r>
          </w:p>
        </w:tc>
        <w:tc>
          <w:tcPr>
            <w:tcW w:w="1858" w:type="dxa"/>
            <w:vAlign w:val="top"/>
          </w:tcPr>
          <w:p w14:paraId="5B802368">
            <w:pPr>
              <w:pStyle w:val="6"/>
              <w:spacing w:before="131" w:line="219" w:lineRule="auto"/>
              <w:ind w:left="245"/>
              <w:rPr>
                <w:sz w:val="18"/>
                <w:szCs w:val="18"/>
              </w:rPr>
            </w:pPr>
            <w:r>
              <w:rPr>
                <w:spacing w:val="1"/>
                <w:sz w:val="18"/>
                <w:szCs w:val="18"/>
              </w:rPr>
              <w:t>12#光伏阵列北侧</w:t>
            </w:r>
          </w:p>
        </w:tc>
        <w:tc>
          <w:tcPr>
            <w:tcW w:w="729" w:type="dxa"/>
            <w:vAlign w:val="top"/>
          </w:tcPr>
          <w:p w14:paraId="6BD28B14">
            <w:pPr>
              <w:pStyle w:val="6"/>
              <w:spacing w:before="149"/>
              <w:ind w:left="177"/>
              <w:rPr>
                <w:sz w:val="18"/>
                <w:szCs w:val="18"/>
              </w:rPr>
            </w:pPr>
            <w:r>
              <w:rPr>
                <w:spacing w:val="-2"/>
                <w:sz w:val="18"/>
                <w:szCs w:val="18"/>
              </w:rPr>
              <w:t>296m</w:t>
            </w:r>
          </w:p>
        </w:tc>
        <w:tc>
          <w:tcPr>
            <w:tcW w:w="609" w:type="dxa"/>
            <w:vMerge w:val="continue"/>
            <w:tcBorders>
              <w:top w:val="nil"/>
              <w:bottom w:val="nil"/>
            </w:tcBorders>
            <w:vAlign w:val="top"/>
          </w:tcPr>
          <w:p w14:paraId="45DA2CFC">
            <w:pPr>
              <w:rPr>
                <w:rFonts w:ascii="Arial"/>
                <w:sz w:val="21"/>
              </w:rPr>
            </w:pPr>
          </w:p>
        </w:tc>
        <w:tc>
          <w:tcPr>
            <w:tcW w:w="804" w:type="dxa"/>
            <w:vMerge w:val="continue"/>
            <w:tcBorders>
              <w:top w:val="nil"/>
              <w:bottom w:val="nil"/>
            </w:tcBorders>
            <w:vAlign w:val="top"/>
          </w:tcPr>
          <w:p w14:paraId="5C03D3F4">
            <w:pPr>
              <w:rPr>
                <w:rFonts w:ascii="Arial"/>
                <w:sz w:val="21"/>
              </w:rPr>
            </w:pPr>
          </w:p>
        </w:tc>
      </w:tr>
      <w:tr w14:paraId="4CA40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694" w:type="dxa"/>
            <w:vMerge w:val="continue"/>
            <w:tcBorders>
              <w:top w:val="nil"/>
              <w:bottom w:val="nil"/>
            </w:tcBorders>
            <w:textDirection w:val="tbRlV"/>
            <w:vAlign w:val="top"/>
          </w:tcPr>
          <w:p w14:paraId="3157D14E">
            <w:pPr>
              <w:rPr>
                <w:rFonts w:ascii="Arial"/>
                <w:sz w:val="21"/>
              </w:rPr>
            </w:pPr>
          </w:p>
        </w:tc>
        <w:tc>
          <w:tcPr>
            <w:tcW w:w="140" w:type="dxa"/>
            <w:vMerge w:val="continue"/>
            <w:tcBorders>
              <w:top w:val="nil"/>
              <w:bottom w:val="nil"/>
            </w:tcBorders>
            <w:vAlign w:val="top"/>
          </w:tcPr>
          <w:p w14:paraId="00B93B61">
            <w:pPr>
              <w:rPr>
                <w:rFonts w:ascii="Arial"/>
                <w:sz w:val="21"/>
              </w:rPr>
            </w:pPr>
          </w:p>
        </w:tc>
        <w:tc>
          <w:tcPr>
            <w:tcW w:w="599" w:type="dxa"/>
            <w:vMerge w:val="continue"/>
            <w:tcBorders>
              <w:top w:val="nil"/>
              <w:bottom w:val="nil"/>
            </w:tcBorders>
            <w:vAlign w:val="top"/>
          </w:tcPr>
          <w:p w14:paraId="2823ED86">
            <w:pPr>
              <w:rPr>
                <w:rFonts w:ascii="Arial"/>
                <w:sz w:val="21"/>
              </w:rPr>
            </w:pPr>
          </w:p>
        </w:tc>
        <w:tc>
          <w:tcPr>
            <w:tcW w:w="849" w:type="dxa"/>
            <w:vAlign w:val="top"/>
          </w:tcPr>
          <w:p w14:paraId="285B2EBC">
            <w:pPr>
              <w:pStyle w:val="6"/>
              <w:spacing w:before="32" w:line="229" w:lineRule="auto"/>
              <w:ind w:left="280" w:right="76" w:hanging="229"/>
              <w:rPr>
                <w:sz w:val="18"/>
                <w:szCs w:val="18"/>
              </w:rPr>
            </w:pPr>
            <w:r>
              <w:rPr>
                <w:spacing w:val="-3"/>
                <w:sz w:val="18"/>
                <w:szCs w:val="18"/>
              </w:rPr>
              <w:t>发峨哨散</w:t>
            </w:r>
            <w:r>
              <w:rPr>
                <w:spacing w:val="1"/>
                <w:sz w:val="18"/>
                <w:szCs w:val="18"/>
              </w:rPr>
              <w:t xml:space="preserve"> </w:t>
            </w:r>
            <w:r>
              <w:rPr>
                <w:spacing w:val="9"/>
                <w:sz w:val="18"/>
                <w:szCs w:val="18"/>
              </w:rPr>
              <w:t>户1</w:t>
            </w:r>
          </w:p>
        </w:tc>
        <w:tc>
          <w:tcPr>
            <w:tcW w:w="1658" w:type="dxa"/>
            <w:vAlign w:val="top"/>
          </w:tcPr>
          <w:p w14:paraId="60734691">
            <w:pPr>
              <w:pStyle w:val="6"/>
              <w:spacing w:before="90" w:line="199" w:lineRule="auto"/>
              <w:ind w:left="12"/>
              <w:rPr>
                <w:sz w:val="18"/>
                <w:szCs w:val="18"/>
              </w:rPr>
            </w:pPr>
            <w:r>
              <w:rPr>
                <w:spacing w:val="-5"/>
                <w:sz w:val="18"/>
                <w:szCs w:val="18"/>
              </w:rPr>
              <w:t>E103°28'50.02240”</w:t>
            </w:r>
            <w:r>
              <w:rPr>
                <w:spacing w:val="9"/>
                <w:sz w:val="18"/>
                <w:szCs w:val="18"/>
              </w:rPr>
              <w:t xml:space="preserve"> </w:t>
            </w:r>
            <w:r>
              <w:rPr>
                <w:spacing w:val="-4"/>
                <w:sz w:val="18"/>
                <w:szCs w:val="18"/>
              </w:rPr>
              <w:t>N24°54'21.64420”</w:t>
            </w:r>
          </w:p>
        </w:tc>
        <w:tc>
          <w:tcPr>
            <w:tcW w:w="1349" w:type="dxa"/>
            <w:vAlign w:val="top"/>
          </w:tcPr>
          <w:p w14:paraId="67A6D5F3">
            <w:pPr>
              <w:pStyle w:val="6"/>
              <w:spacing w:before="162" w:line="220" w:lineRule="auto"/>
              <w:ind w:left="324"/>
              <w:rPr>
                <w:sz w:val="18"/>
                <w:szCs w:val="18"/>
              </w:rPr>
            </w:pPr>
            <w:r>
              <w:rPr>
                <w:spacing w:val="-9"/>
                <w:sz w:val="18"/>
                <w:szCs w:val="18"/>
              </w:rPr>
              <w:t>1</w:t>
            </w:r>
            <w:r>
              <w:rPr>
                <w:spacing w:val="-26"/>
                <w:sz w:val="18"/>
                <w:szCs w:val="18"/>
              </w:rPr>
              <w:t xml:space="preserve"> </w:t>
            </w:r>
            <w:r>
              <w:rPr>
                <w:spacing w:val="-9"/>
                <w:sz w:val="18"/>
                <w:szCs w:val="18"/>
              </w:rPr>
              <w:t>户</w:t>
            </w:r>
            <w:r>
              <w:rPr>
                <w:spacing w:val="-28"/>
                <w:sz w:val="18"/>
                <w:szCs w:val="18"/>
              </w:rPr>
              <w:t xml:space="preserve"> </w:t>
            </w:r>
            <w:r>
              <w:rPr>
                <w:spacing w:val="-9"/>
                <w:sz w:val="18"/>
                <w:szCs w:val="18"/>
              </w:rPr>
              <w:t>4</w:t>
            </w:r>
            <w:r>
              <w:rPr>
                <w:spacing w:val="-25"/>
                <w:sz w:val="18"/>
                <w:szCs w:val="18"/>
              </w:rPr>
              <w:t xml:space="preserve"> </w:t>
            </w:r>
            <w:r>
              <w:rPr>
                <w:spacing w:val="-9"/>
                <w:sz w:val="18"/>
                <w:szCs w:val="18"/>
              </w:rPr>
              <w:t>人</w:t>
            </w:r>
          </w:p>
        </w:tc>
        <w:tc>
          <w:tcPr>
            <w:tcW w:w="1858" w:type="dxa"/>
            <w:vAlign w:val="top"/>
          </w:tcPr>
          <w:p w14:paraId="3D1360F4">
            <w:pPr>
              <w:pStyle w:val="6"/>
              <w:spacing w:before="161" w:line="219" w:lineRule="auto"/>
              <w:ind w:left="155"/>
              <w:rPr>
                <w:sz w:val="18"/>
                <w:szCs w:val="18"/>
              </w:rPr>
            </w:pPr>
            <w:r>
              <w:rPr>
                <w:spacing w:val="1"/>
                <w:sz w:val="18"/>
                <w:szCs w:val="18"/>
              </w:rPr>
              <w:t>12#光伏阵列北西侧</w:t>
            </w:r>
          </w:p>
        </w:tc>
        <w:tc>
          <w:tcPr>
            <w:tcW w:w="729" w:type="dxa"/>
            <w:vAlign w:val="top"/>
          </w:tcPr>
          <w:p w14:paraId="79B28785">
            <w:pPr>
              <w:pStyle w:val="6"/>
              <w:spacing w:before="179"/>
              <w:ind w:left="227"/>
              <w:rPr>
                <w:sz w:val="18"/>
                <w:szCs w:val="18"/>
              </w:rPr>
            </w:pPr>
            <w:r>
              <w:rPr>
                <w:spacing w:val="-3"/>
                <w:sz w:val="18"/>
                <w:szCs w:val="18"/>
              </w:rPr>
              <w:t>36m</w:t>
            </w:r>
          </w:p>
        </w:tc>
        <w:tc>
          <w:tcPr>
            <w:tcW w:w="609" w:type="dxa"/>
            <w:vMerge w:val="continue"/>
            <w:tcBorders>
              <w:top w:val="nil"/>
              <w:bottom w:val="nil"/>
            </w:tcBorders>
            <w:vAlign w:val="top"/>
          </w:tcPr>
          <w:p w14:paraId="7A3BFA42">
            <w:pPr>
              <w:rPr>
                <w:rFonts w:ascii="Arial"/>
                <w:sz w:val="21"/>
              </w:rPr>
            </w:pPr>
          </w:p>
        </w:tc>
        <w:tc>
          <w:tcPr>
            <w:tcW w:w="804" w:type="dxa"/>
            <w:vMerge w:val="continue"/>
            <w:tcBorders>
              <w:top w:val="nil"/>
              <w:bottom w:val="nil"/>
            </w:tcBorders>
            <w:vAlign w:val="top"/>
          </w:tcPr>
          <w:p w14:paraId="0CC760FA">
            <w:pPr>
              <w:rPr>
                <w:rFonts w:ascii="Arial"/>
                <w:sz w:val="21"/>
              </w:rPr>
            </w:pPr>
          </w:p>
        </w:tc>
      </w:tr>
      <w:tr w14:paraId="4B33B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94" w:type="dxa"/>
            <w:vMerge w:val="continue"/>
            <w:tcBorders>
              <w:top w:val="nil"/>
              <w:bottom w:val="nil"/>
            </w:tcBorders>
            <w:textDirection w:val="tbRlV"/>
            <w:vAlign w:val="top"/>
          </w:tcPr>
          <w:p w14:paraId="642D5C5E">
            <w:pPr>
              <w:rPr>
                <w:rFonts w:ascii="Arial"/>
                <w:sz w:val="21"/>
              </w:rPr>
            </w:pPr>
          </w:p>
        </w:tc>
        <w:tc>
          <w:tcPr>
            <w:tcW w:w="140" w:type="dxa"/>
            <w:vMerge w:val="continue"/>
            <w:tcBorders>
              <w:top w:val="nil"/>
              <w:bottom w:val="nil"/>
            </w:tcBorders>
            <w:vAlign w:val="top"/>
          </w:tcPr>
          <w:p w14:paraId="017D86C9">
            <w:pPr>
              <w:rPr>
                <w:rFonts w:ascii="Arial"/>
                <w:sz w:val="21"/>
              </w:rPr>
            </w:pPr>
          </w:p>
        </w:tc>
        <w:tc>
          <w:tcPr>
            <w:tcW w:w="599" w:type="dxa"/>
            <w:vMerge w:val="continue"/>
            <w:tcBorders>
              <w:top w:val="nil"/>
              <w:bottom w:val="nil"/>
            </w:tcBorders>
            <w:vAlign w:val="top"/>
          </w:tcPr>
          <w:p w14:paraId="28396F5F">
            <w:pPr>
              <w:rPr>
                <w:rFonts w:ascii="Arial"/>
                <w:sz w:val="21"/>
              </w:rPr>
            </w:pPr>
          </w:p>
        </w:tc>
        <w:tc>
          <w:tcPr>
            <w:tcW w:w="849" w:type="dxa"/>
            <w:vAlign w:val="top"/>
          </w:tcPr>
          <w:p w14:paraId="2E05BF8B">
            <w:pPr>
              <w:pStyle w:val="6"/>
              <w:spacing w:before="112" w:line="219" w:lineRule="auto"/>
              <w:ind w:left="141"/>
              <w:rPr>
                <w:sz w:val="18"/>
                <w:szCs w:val="18"/>
              </w:rPr>
            </w:pPr>
            <w:r>
              <w:rPr>
                <w:spacing w:val="-2"/>
                <w:sz w:val="18"/>
                <w:szCs w:val="18"/>
              </w:rPr>
              <w:t>戈依村</w:t>
            </w:r>
          </w:p>
        </w:tc>
        <w:tc>
          <w:tcPr>
            <w:tcW w:w="1658" w:type="dxa"/>
            <w:vAlign w:val="top"/>
          </w:tcPr>
          <w:p w14:paraId="19BA7458">
            <w:pPr>
              <w:pStyle w:val="6"/>
              <w:spacing w:before="60" w:line="169" w:lineRule="auto"/>
              <w:ind w:left="12"/>
              <w:rPr>
                <w:sz w:val="18"/>
                <w:szCs w:val="18"/>
              </w:rPr>
            </w:pPr>
            <w:r>
              <w:rPr>
                <w:sz w:val="18"/>
                <w:szCs w:val="18"/>
              </w:rPr>
              <w:t>E103°29'3.70742”</w:t>
            </w:r>
            <w:r>
              <w:rPr>
                <w:spacing w:val="14"/>
                <w:sz w:val="18"/>
                <w:szCs w:val="18"/>
              </w:rPr>
              <w:t xml:space="preserve"> </w:t>
            </w:r>
            <w:r>
              <w:rPr>
                <w:sz w:val="18"/>
                <w:szCs w:val="18"/>
              </w:rPr>
              <w:t>N24°53'44.73264”</w:t>
            </w:r>
          </w:p>
        </w:tc>
        <w:tc>
          <w:tcPr>
            <w:tcW w:w="1349" w:type="dxa"/>
            <w:vAlign w:val="top"/>
          </w:tcPr>
          <w:p w14:paraId="584BE2EC">
            <w:pPr>
              <w:pStyle w:val="6"/>
              <w:spacing w:before="113" w:line="220" w:lineRule="auto"/>
              <w:ind w:left="124"/>
              <w:rPr>
                <w:sz w:val="18"/>
                <w:szCs w:val="18"/>
              </w:rPr>
            </w:pPr>
            <w:r>
              <w:rPr>
                <w:sz w:val="18"/>
                <w:szCs w:val="18"/>
              </w:rPr>
              <w:t>108户，432人</w:t>
            </w:r>
          </w:p>
        </w:tc>
        <w:tc>
          <w:tcPr>
            <w:tcW w:w="1858" w:type="dxa"/>
            <w:vAlign w:val="top"/>
          </w:tcPr>
          <w:p w14:paraId="4D61FCB0">
            <w:pPr>
              <w:pStyle w:val="6"/>
              <w:spacing w:before="113" w:line="219" w:lineRule="auto"/>
              <w:ind w:left="335"/>
              <w:rPr>
                <w:sz w:val="18"/>
                <w:szCs w:val="18"/>
              </w:rPr>
            </w:pPr>
            <w:r>
              <w:rPr>
                <w:spacing w:val="1"/>
                <w:sz w:val="18"/>
                <w:szCs w:val="18"/>
              </w:rPr>
              <w:t>备用表地2西侧</w:t>
            </w:r>
          </w:p>
        </w:tc>
        <w:tc>
          <w:tcPr>
            <w:tcW w:w="729" w:type="dxa"/>
            <w:vAlign w:val="top"/>
          </w:tcPr>
          <w:p w14:paraId="2C6D95D6">
            <w:pPr>
              <w:pStyle w:val="6"/>
              <w:spacing w:before="130"/>
              <w:ind w:left="177"/>
              <w:rPr>
                <w:sz w:val="18"/>
                <w:szCs w:val="18"/>
              </w:rPr>
            </w:pPr>
            <w:r>
              <w:rPr>
                <w:spacing w:val="-4"/>
                <w:sz w:val="18"/>
                <w:szCs w:val="18"/>
              </w:rPr>
              <w:t>190m</w:t>
            </w:r>
          </w:p>
        </w:tc>
        <w:tc>
          <w:tcPr>
            <w:tcW w:w="609" w:type="dxa"/>
            <w:vMerge w:val="continue"/>
            <w:tcBorders>
              <w:top w:val="nil"/>
              <w:bottom w:val="nil"/>
            </w:tcBorders>
            <w:vAlign w:val="top"/>
          </w:tcPr>
          <w:p w14:paraId="500703CF">
            <w:pPr>
              <w:rPr>
                <w:rFonts w:ascii="Arial"/>
                <w:sz w:val="21"/>
              </w:rPr>
            </w:pPr>
          </w:p>
        </w:tc>
        <w:tc>
          <w:tcPr>
            <w:tcW w:w="804" w:type="dxa"/>
            <w:vMerge w:val="continue"/>
            <w:tcBorders>
              <w:top w:val="nil"/>
              <w:bottom w:val="nil"/>
            </w:tcBorders>
            <w:vAlign w:val="top"/>
          </w:tcPr>
          <w:p w14:paraId="0082C3DB">
            <w:pPr>
              <w:rPr>
                <w:rFonts w:ascii="Arial"/>
                <w:sz w:val="21"/>
              </w:rPr>
            </w:pPr>
          </w:p>
        </w:tc>
      </w:tr>
      <w:tr w14:paraId="43F77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694" w:type="dxa"/>
            <w:vMerge w:val="continue"/>
            <w:tcBorders>
              <w:top w:val="nil"/>
              <w:bottom w:val="nil"/>
            </w:tcBorders>
            <w:textDirection w:val="tbRlV"/>
            <w:vAlign w:val="top"/>
          </w:tcPr>
          <w:p w14:paraId="6200FDE6">
            <w:pPr>
              <w:rPr>
                <w:rFonts w:ascii="Arial"/>
                <w:sz w:val="21"/>
              </w:rPr>
            </w:pPr>
          </w:p>
        </w:tc>
        <w:tc>
          <w:tcPr>
            <w:tcW w:w="140" w:type="dxa"/>
            <w:vMerge w:val="continue"/>
            <w:tcBorders>
              <w:top w:val="nil"/>
              <w:bottom w:val="nil"/>
            </w:tcBorders>
            <w:vAlign w:val="top"/>
          </w:tcPr>
          <w:p w14:paraId="7A8DE16A">
            <w:pPr>
              <w:rPr>
                <w:rFonts w:ascii="Arial"/>
                <w:sz w:val="21"/>
              </w:rPr>
            </w:pPr>
          </w:p>
        </w:tc>
        <w:tc>
          <w:tcPr>
            <w:tcW w:w="599" w:type="dxa"/>
            <w:vMerge w:val="continue"/>
            <w:tcBorders>
              <w:top w:val="nil"/>
              <w:bottom w:val="nil"/>
            </w:tcBorders>
            <w:vAlign w:val="top"/>
          </w:tcPr>
          <w:p w14:paraId="6BCCE6A3">
            <w:pPr>
              <w:rPr>
                <w:rFonts w:ascii="Arial"/>
                <w:sz w:val="21"/>
              </w:rPr>
            </w:pPr>
          </w:p>
        </w:tc>
        <w:tc>
          <w:tcPr>
            <w:tcW w:w="849" w:type="dxa"/>
            <w:vAlign w:val="top"/>
          </w:tcPr>
          <w:p w14:paraId="45F3C709">
            <w:pPr>
              <w:pStyle w:val="6"/>
              <w:spacing w:before="122" w:line="219" w:lineRule="auto"/>
              <w:ind w:left="51"/>
              <w:rPr>
                <w:sz w:val="18"/>
                <w:szCs w:val="18"/>
              </w:rPr>
            </w:pPr>
            <w:r>
              <w:rPr>
                <w:spacing w:val="-2"/>
                <w:sz w:val="18"/>
                <w:szCs w:val="18"/>
              </w:rPr>
              <w:t>戈依小学</w:t>
            </w:r>
          </w:p>
        </w:tc>
        <w:tc>
          <w:tcPr>
            <w:tcW w:w="1658" w:type="dxa"/>
            <w:vAlign w:val="top"/>
          </w:tcPr>
          <w:p w14:paraId="7B09393E">
            <w:pPr>
              <w:pStyle w:val="6"/>
              <w:spacing w:before="61" w:line="173" w:lineRule="auto"/>
              <w:ind w:left="12"/>
              <w:rPr>
                <w:sz w:val="18"/>
                <w:szCs w:val="18"/>
              </w:rPr>
            </w:pPr>
            <w:r>
              <w:rPr>
                <w:spacing w:val="-5"/>
                <w:sz w:val="18"/>
                <w:szCs w:val="18"/>
              </w:rPr>
              <w:t>E103°28'55.64472”</w:t>
            </w:r>
            <w:r>
              <w:rPr>
                <w:spacing w:val="9"/>
                <w:sz w:val="18"/>
                <w:szCs w:val="18"/>
              </w:rPr>
              <w:t xml:space="preserve"> </w:t>
            </w:r>
            <w:r>
              <w:rPr>
                <w:spacing w:val="-4"/>
                <w:sz w:val="18"/>
                <w:szCs w:val="18"/>
              </w:rPr>
              <w:t>N24°53'37.73208”</w:t>
            </w:r>
          </w:p>
        </w:tc>
        <w:tc>
          <w:tcPr>
            <w:tcW w:w="1349" w:type="dxa"/>
            <w:vAlign w:val="top"/>
          </w:tcPr>
          <w:p w14:paraId="2987A345">
            <w:pPr>
              <w:pStyle w:val="6"/>
              <w:spacing w:before="126" w:line="222" w:lineRule="auto"/>
              <w:ind w:left="444"/>
              <w:rPr>
                <w:sz w:val="18"/>
                <w:szCs w:val="18"/>
              </w:rPr>
            </w:pPr>
            <w:r>
              <w:rPr>
                <w:spacing w:val="-2"/>
                <w:sz w:val="18"/>
                <w:szCs w:val="18"/>
              </w:rPr>
              <w:t>620人</w:t>
            </w:r>
          </w:p>
        </w:tc>
        <w:tc>
          <w:tcPr>
            <w:tcW w:w="1858" w:type="dxa"/>
            <w:vAlign w:val="top"/>
          </w:tcPr>
          <w:p w14:paraId="24C2FDC8">
            <w:pPr>
              <w:pStyle w:val="6"/>
              <w:spacing w:before="123" w:line="219" w:lineRule="auto"/>
              <w:ind w:left="335"/>
              <w:rPr>
                <w:sz w:val="18"/>
                <w:szCs w:val="18"/>
              </w:rPr>
            </w:pPr>
            <w:r>
              <w:rPr>
                <w:spacing w:val="1"/>
                <w:sz w:val="18"/>
                <w:szCs w:val="18"/>
              </w:rPr>
              <w:t>备用表地2西侧</w:t>
            </w:r>
          </w:p>
        </w:tc>
        <w:tc>
          <w:tcPr>
            <w:tcW w:w="729" w:type="dxa"/>
            <w:vAlign w:val="top"/>
          </w:tcPr>
          <w:p w14:paraId="1D28D357">
            <w:pPr>
              <w:pStyle w:val="6"/>
              <w:spacing w:before="140"/>
              <w:ind w:left="137"/>
              <w:rPr>
                <w:sz w:val="18"/>
                <w:szCs w:val="18"/>
              </w:rPr>
            </w:pPr>
            <w:r>
              <w:rPr>
                <w:spacing w:val="-2"/>
                <w:sz w:val="18"/>
                <w:szCs w:val="18"/>
              </w:rPr>
              <w:t>474mm</w:t>
            </w:r>
          </w:p>
        </w:tc>
        <w:tc>
          <w:tcPr>
            <w:tcW w:w="609" w:type="dxa"/>
            <w:vMerge w:val="continue"/>
            <w:tcBorders>
              <w:top w:val="nil"/>
              <w:bottom w:val="nil"/>
            </w:tcBorders>
            <w:vAlign w:val="top"/>
          </w:tcPr>
          <w:p w14:paraId="3D0E0EFD">
            <w:pPr>
              <w:rPr>
                <w:rFonts w:ascii="Arial"/>
                <w:sz w:val="21"/>
              </w:rPr>
            </w:pPr>
          </w:p>
        </w:tc>
        <w:tc>
          <w:tcPr>
            <w:tcW w:w="804" w:type="dxa"/>
            <w:vMerge w:val="continue"/>
            <w:tcBorders>
              <w:top w:val="nil"/>
              <w:bottom w:val="nil"/>
            </w:tcBorders>
            <w:vAlign w:val="top"/>
          </w:tcPr>
          <w:p w14:paraId="466A4AEE">
            <w:pPr>
              <w:rPr>
                <w:rFonts w:ascii="Arial"/>
                <w:sz w:val="21"/>
              </w:rPr>
            </w:pPr>
          </w:p>
        </w:tc>
      </w:tr>
      <w:tr w14:paraId="54290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94" w:type="dxa"/>
            <w:vMerge w:val="continue"/>
            <w:tcBorders>
              <w:top w:val="nil"/>
              <w:bottom w:val="nil"/>
            </w:tcBorders>
            <w:textDirection w:val="tbRlV"/>
            <w:vAlign w:val="top"/>
          </w:tcPr>
          <w:p w14:paraId="6C40BD59">
            <w:pPr>
              <w:rPr>
                <w:rFonts w:ascii="Arial"/>
                <w:sz w:val="21"/>
              </w:rPr>
            </w:pPr>
          </w:p>
        </w:tc>
        <w:tc>
          <w:tcPr>
            <w:tcW w:w="140" w:type="dxa"/>
            <w:vMerge w:val="continue"/>
            <w:tcBorders>
              <w:top w:val="nil"/>
              <w:bottom w:val="nil"/>
            </w:tcBorders>
            <w:vAlign w:val="top"/>
          </w:tcPr>
          <w:p w14:paraId="6ED330A1">
            <w:pPr>
              <w:rPr>
                <w:rFonts w:ascii="Arial"/>
                <w:sz w:val="21"/>
              </w:rPr>
            </w:pPr>
          </w:p>
        </w:tc>
        <w:tc>
          <w:tcPr>
            <w:tcW w:w="599" w:type="dxa"/>
            <w:vMerge w:val="continue"/>
            <w:tcBorders>
              <w:top w:val="nil"/>
              <w:bottom w:val="nil"/>
            </w:tcBorders>
            <w:vAlign w:val="top"/>
          </w:tcPr>
          <w:p w14:paraId="63CA1ECB">
            <w:pPr>
              <w:rPr>
                <w:rFonts w:ascii="Arial"/>
                <w:sz w:val="21"/>
              </w:rPr>
            </w:pPr>
          </w:p>
        </w:tc>
        <w:tc>
          <w:tcPr>
            <w:tcW w:w="849" w:type="dxa"/>
            <w:vMerge w:val="restart"/>
            <w:tcBorders>
              <w:bottom w:val="nil"/>
            </w:tcBorders>
            <w:vAlign w:val="top"/>
          </w:tcPr>
          <w:p w14:paraId="12356A29">
            <w:pPr>
              <w:pStyle w:val="6"/>
              <w:spacing w:before="34" w:line="219" w:lineRule="auto"/>
              <w:ind w:left="51"/>
              <w:rPr>
                <w:sz w:val="18"/>
                <w:szCs w:val="18"/>
              </w:rPr>
            </w:pPr>
            <w:r>
              <w:rPr>
                <w:spacing w:val="-2"/>
                <w:sz w:val="18"/>
                <w:szCs w:val="18"/>
              </w:rPr>
              <w:t>大莫古集</w:t>
            </w:r>
          </w:p>
          <w:p w14:paraId="0DE2E509">
            <w:pPr>
              <w:pStyle w:val="6"/>
              <w:spacing w:before="26" w:line="219" w:lineRule="auto"/>
              <w:ind w:left="101"/>
              <w:rPr>
                <w:sz w:val="18"/>
                <w:szCs w:val="18"/>
              </w:rPr>
            </w:pPr>
            <w:r>
              <w:rPr>
                <w:spacing w:val="-2"/>
                <w:sz w:val="18"/>
                <w:szCs w:val="18"/>
              </w:rPr>
              <w:t>镇(包括</w:t>
            </w:r>
          </w:p>
          <w:p w14:paraId="5B4D5A73">
            <w:pPr>
              <w:pStyle w:val="6"/>
              <w:spacing w:before="36" w:line="215" w:lineRule="auto"/>
              <w:ind w:left="51"/>
              <w:rPr>
                <w:sz w:val="18"/>
                <w:szCs w:val="18"/>
              </w:rPr>
            </w:pPr>
            <w:r>
              <w:rPr>
                <w:spacing w:val="-2"/>
                <w:sz w:val="18"/>
                <w:szCs w:val="18"/>
              </w:rPr>
              <w:t>大莫古镇</w:t>
            </w:r>
          </w:p>
          <w:p w14:paraId="69D11439">
            <w:pPr>
              <w:pStyle w:val="6"/>
              <w:spacing w:line="219" w:lineRule="auto"/>
              <w:ind w:left="51"/>
              <w:rPr>
                <w:sz w:val="18"/>
                <w:szCs w:val="18"/>
              </w:rPr>
            </w:pPr>
            <w:r>
              <w:rPr>
                <w:spacing w:val="-2"/>
                <w:sz w:val="18"/>
                <w:szCs w:val="18"/>
              </w:rPr>
              <w:t>完小、大</w:t>
            </w:r>
          </w:p>
          <w:p w14:paraId="4FFC5388">
            <w:pPr>
              <w:pStyle w:val="6"/>
              <w:spacing w:before="26" w:line="219" w:lineRule="auto"/>
              <w:ind w:left="51"/>
              <w:rPr>
                <w:sz w:val="18"/>
                <w:szCs w:val="18"/>
              </w:rPr>
            </w:pPr>
            <w:r>
              <w:rPr>
                <w:sz w:val="18"/>
                <w:szCs w:val="18"/>
              </w:rPr>
              <w:t>莫古镇一</w:t>
            </w:r>
          </w:p>
          <w:p w14:paraId="1D9793D2">
            <w:pPr>
              <w:pStyle w:val="6"/>
              <w:spacing w:before="36" w:line="215" w:lineRule="auto"/>
              <w:ind w:left="51"/>
              <w:rPr>
                <w:sz w:val="18"/>
                <w:szCs w:val="18"/>
              </w:rPr>
            </w:pPr>
            <w:r>
              <w:rPr>
                <w:spacing w:val="2"/>
                <w:sz w:val="18"/>
                <w:szCs w:val="18"/>
              </w:rPr>
              <w:t>中、大莫</w:t>
            </w:r>
          </w:p>
          <w:p w14:paraId="5D46162F">
            <w:pPr>
              <w:pStyle w:val="6"/>
              <w:spacing w:before="2" w:line="217" w:lineRule="auto"/>
              <w:ind w:left="280" w:right="188" w:hanging="159"/>
              <w:rPr>
                <w:sz w:val="18"/>
                <w:szCs w:val="18"/>
              </w:rPr>
            </w:pPr>
            <w:r>
              <w:rPr>
                <w:spacing w:val="-4"/>
                <w:sz w:val="18"/>
                <w:szCs w:val="18"/>
              </w:rPr>
              <w:t>古幼儿</w:t>
            </w:r>
            <w:r>
              <w:rPr>
                <w:sz w:val="18"/>
                <w:szCs w:val="18"/>
              </w:rPr>
              <w:t xml:space="preserve"> </w:t>
            </w:r>
            <w:r>
              <w:rPr>
                <w:spacing w:val="-11"/>
                <w:sz w:val="18"/>
                <w:szCs w:val="18"/>
              </w:rPr>
              <w:t>园</w:t>
            </w:r>
            <w:r>
              <w:rPr>
                <w:spacing w:val="-22"/>
                <w:sz w:val="18"/>
                <w:szCs w:val="18"/>
              </w:rPr>
              <w:t xml:space="preserve"> </w:t>
            </w:r>
            <w:r>
              <w:rPr>
                <w:spacing w:val="-11"/>
                <w:sz w:val="18"/>
                <w:szCs w:val="18"/>
              </w:rPr>
              <w:t>)</w:t>
            </w:r>
          </w:p>
        </w:tc>
        <w:tc>
          <w:tcPr>
            <w:tcW w:w="1658" w:type="dxa"/>
            <w:vMerge w:val="restart"/>
            <w:tcBorders>
              <w:bottom w:val="nil"/>
            </w:tcBorders>
            <w:vAlign w:val="top"/>
          </w:tcPr>
          <w:p w14:paraId="19682B0B">
            <w:pPr>
              <w:spacing w:line="249" w:lineRule="auto"/>
              <w:rPr>
                <w:rFonts w:ascii="Arial"/>
                <w:sz w:val="21"/>
              </w:rPr>
            </w:pPr>
          </w:p>
          <w:p w14:paraId="67745F70">
            <w:pPr>
              <w:spacing w:line="250" w:lineRule="auto"/>
              <w:rPr>
                <w:rFonts w:ascii="Arial"/>
                <w:sz w:val="21"/>
              </w:rPr>
            </w:pPr>
          </w:p>
          <w:p w14:paraId="4820AB27">
            <w:pPr>
              <w:spacing w:line="250" w:lineRule="auto"/>
              <w:rPr>
                <w:rFonts w:ascii="Arial"/>
                <w:sz w:val="21"/>
              </w:rPr>
            </w:pPr>
          </w:p>
          <w:p w14:paraId="2B4FE66F">
            <w:pPr>
              <w:pStyle w:val="6"/>
              <w:spacing w:before="58" w:line="222" w:lineRule="auto"/>
              <w:ind w:left="12"/>
              <w:rPr>
                <w:sz w:val="18"/>
                <w:szCs w:val="18"/>
              </w:rPr>
            </w:pPr>
            <w:r>
              <w:rPr>
                <w:spacing w:val="-5"/>
                <w:sz w:val="18"/>
                <w:szCs w:val="18"/>
              </w:rPr>
              <w:t>E103°30'41.51257”</w:t>
            </w:r>
            <w:r>
              <w:rPr>
                <w:spacing w:val="9"/>
                <w:sz w:val="18"/>
                <w:szCs w:val="18"/>
              </w:rPr>
              <w:t xml:space="preserve"> </w:t>
            </w:r>
            <w:r>
              <w:rPr>
                <w:spacing w:val="-4"/>
                <w:sz w:val="18"/>
                <w:szCs w:val="18"/>
              </w:rPr>
              <w:t>N24°54'24.54414”</w:t>
            </w:r>
          </w:p>
        </w:tc>
        <w:tc>
          <w:tcPr>
            <w:tcW w:w="1349" w:type="dxa"/>
            <w:vMerge w:val="restart"/>
            <w:tcBorders>
              <w:bottom w:val="nil"/>
            </w:tcBorders>
            <w:vAlign w:val="top"/>
          </w:tcPr>
          <w:p w14:paraId="68788F40">
            <w:pPr>
              <w:spacing w:line="264" w:lineRule="auto"/>
              <w:rPr>
                <w:rFonts w:ascii="Arial"/>
                <w:sz w:val="21"/>
              </w:rPr>
            </w:pPr>
          </w:p>
          <w:p w14:paraId="6EE8208D">
            <w:pPr>
              <w:spacing w:line="264" w:lineRule="auto"/>
              <w:rPr>
                <w:rFonts w:ascii="Arial"/>
                <w:sz w:val="21"/>
              </w:rPr>
            </w:pPr>
          </w:p>
          <w:p w14:paraId="19FFD0C8">
            <w:pPr>
              <w:spacing w:line="265" w:lineRule="auto"/>
              <w:rPr>
                <w:rFonts w:ascii="Arial"/>
                <w:sz w:val="21"/>
              </w:rPr>
            </w:pPr>
          </w:p>
          <w:p w14:paraId="23912B91">
            <w:pPr>
              <w:pStyle w:val="6"/>
              <w:spacing w:before="59" w:line="222" w:lineRule="auto"/>
              <w:ind w:left="394"/>
              <w:rPr>
                <w:sz w:val="18"/>
                <w:szCs w:val="18"/>
              </w:rPr>
            </w:pPr>
            <w:r>
              <w:rPr>
                <w:spacing w:val="-2"/>
                <w:sz w:val="18"/>
                <w:szCs w:val="18"/>
              </w:rPr>
              <w:t>5300人</w:t>
            </w:r>
          </w:p>
        </w:tc>
        <w:tc>
          <w:tcPr>
            <w:tcW w:w="1858" w:type="dxa"/>
            <w:vAlign w:val="top"/>
          </w:tcPr>
          <w:p w14:paraId="645BE6C5">
            <w:pPr>
              <w:pStyle w:val="6"/>
              <w:spacing w:before="93" w:line="219" w:lineRule="auto"/>
              <w:ind w:left="295"/>
              <w:rPr>
                <w:sz w:val="18"/>
                <w:szCs w:val="18"/>
              </w:rPr>
            </w:pPr>
            <w:r>
              <w:rPr>
                <w:spacing w:val="1"/>
                <w:sz w:val="18"/>
                <w:szCs w:val="18"/>
              </w:rPr>
              <w:t>8#光伏阵列东侧</w:t>
            </w:r>
          </w:p>
        </w:tc>
        <w:tc>
          <w:tcPr>
            <w:tcW w:w="729" w:type="dxa"/>
            <w:vAlign w:val="top"/>
          </w:tcPr>
          <w:p w14:paraId="4D706ADC">
            <w:pPr>
              <w:pStyle w:val="6"/>
              <w:spacing w:before="111" w:line="234" w:lineRule="auto"/>
              <w:ind w:left="227"/>
              <w:rPr>
                <w:sz w:val="18"/>
                <w:szCs w:val="18"/>
              </w:rPr>
            </w:pPr>
            <w:r>
              <w:rPr>
                <w:spacing w:val="-3"/>
                <w:sz w:val="18"/>
                <w:szCs w:val="18"/>
              </w:rPr>
              <w:t>38m</w:t>
            </w:r>
          </w:p>
        </w:tc>
        <w:tc>
          <w:tcPr>
            <w:tcW w:w="609" w:type="dxa"/>
            <w:vMerge w:val="continue"/>
            <w:tcBorders>
              <w:top w:val="nil"/>
              <w:bottom w:val="nil"/>
            </w:tcBorders>
            <w:vAlign w:val="top"/>
          </w:tcPr>
          <w:p w14:paraId="26025E98">
            <w:pPr>
              <w:rPr>
                <w:rFonts w:ascii="Arial"/>
                <w:sz w:val="21"/>
              </w:rPr>
            </w:pPr>
          </w:p>
        </w:tc>
        <w:tc>
          <w:tcPr>
            <w:tcW w:w="804" w:type="dxa"/>
            <w:vMerge w:val="continue"/>
            <w:tcBorders>
              <w:top w:val="nil"/>
              <w:bottom w:val="nil"/>
            </w:tcBorders>
            <w:vAlign w:val="top"/>
          </w:tcPr>
          <w:p w14:paraId="4E3DFC01">
            <w:pPr>
              <w:rPr>
                <w:rFonts w:ascii="Arial"/>
                <w:sz w:val="21"/>
              </w:rPr>
            </w:pPr>
          </w:p>
        </w:tc>
      </w:tr>
      <w:tr w14:paraId="15B3C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9" w:hRule="atLeast"/>
        </w:trPr>
        <w:tc>
          <w:tcPr>
            <w:tcW w:w="694" w:type="dxa"/>
            <w:vMerge w:val="continue"/>
            <w:tcBorders>
              <w:top w:val="nil"/>
              <w:bottom w:val="nil"/>
            </w:tcBorders>
            <w:textDirection w:val="tbRlV"/>
            <w:vAlign w:val="top"/>
          </w:tcPr>
          <w:p w14:paraId="31A7AAFD">
            <w:pPr>
              <w:rPr>
                <w:rFonts w:ascii="Arial"/>
                <w:sz w:val="21"/>
              </w:rPr>
            </w:pPr>
          </w:p>
        </w:tc>
        <w:tc>
          <w:tcPr>
            <w:tcW w:w="140" w:type="dxa"/>
            <w:vMerge w:val="continue"/>
            <w:tcBorders>
              <w:top w:val="nil"/>
              <w:bottom w:val="nil"/>
            </w:tcBorders>
            <w:vAlign w:val="top"/>
          </w:tcPr>
          <w:p w14:paraId="76960B54">
            <w:pPr>
              <w:rPr>
                <w:rFonts w:ascii="Arial"/>
                <w:sz w:val="21"/>
              </w:rPr>
            </w:pPr>
          </w:p>
        </w:tc>
        <w:tc>
          <w:tcPr>
            <w:tcW w:w="599" w:type="dxa"/>
            <w:vMerge w:val="continue"/>
            <w:tcBorders>
              <w:top w:val="nil"/>
              <w:bottom w:val="nil"/>
            </w:tcBorders>
            <w:vAlign w:val="top"/>
          </w:tcPr>
          <w:p w14:paraId="59A48949">
            <w:pPr>
              <w:rPr>
                <w:rFonts w:ascii="Arial"/>
                <w:sz w:val="21"/>
              </w:rPr>
            </w:pPr>
          </w:p>
        </w:tc>
        <w:tc>
          <w:tcPr>
            <w:tcW w:w="849" w:type="dxa"/>
            <w:vMerge w:val="continue"/>
            <w:tcBorders>
              <w:top w:val="nil"/>
            </w:tcBorders>
            <w:vAlign w:val="top"/>
          </w:tcPr>
          <w:p w14:paraId="41E3F79A">
            <w:pPr>
              <w:rPr>
                <w:rFonts w:ascii="Arial"/>
                <w:sz w:val="21"/>
              </w:rPr>
            </w:pPr>
          </w:p>
        </w:tc>
        <w:tc>
          <w:tcPr>
            <w:tcW w:w="1658" w:type="dxa"/>
            <w:vMerge w:val="continue"/>
            <w:tcBorders>
              <w:top w:val="nil"/>
            </w:tcBorders>
            <w:vAlign w:val="top"/>
          </w:tcPr>
          <w:p w14:paraId="63A000A6">
            <w:pPr>
              <w:rPr>
                <w:rFonts w:ascii="Arial"/>
                <w:sz w:val="21"/>
              </w:rPr>
            </w:pPr>
          </w:p>
        </w:tc>
        <w:tc>
          <w:tcPr>
            <w:tcW w:w="1349" w:type="dxa"/>
            <w:vMerge w:val="continue"/>
            <w:tcBorders>
              <w:top w:val="nil"/>
            </w:tcBorders>
            <w:vAlign w:val="top"/>
          </w:tcPr>
          <w:p w14:paraId="1442AAE6">
            <w:pPr>
              <w:rPr>
                <w:rFonts w:ascii="Arial"/>
                <w:sz w:val="21"/>
              </w:rPr>
            </w:pPr>
          </w:p>
        </w:tc>
        <w:tc>
          <w:tcPr>
            <w:tcW w:w="1858" w:type="dxa"/>
            <w:vAlign w:val="top"/>
          </w:tcPr>
          <w:p w14:paraId="34794FCC">
            <w:pPr>
              <w:spacing w:line="305" w:lineRule="auto"/>
              <w:rPr>
                <w:rFonts w:ascii="Arial"/>
                <w:sz w:val="21"/>
              </w:rPr>
            </w:pPr>
          </w:p>
          <w:p w14:paraId="26557958">
            <w:pPr>
              <w:spacing w:line="305" w:lineRule="auto"/>
              <w:rPr>
                <w:rFonts w:ascii="Arial"/>
                <w:sz w:val="21"/>
              </w:rPr>
            </w:pPr>
          </w:p>
          <w:p w14:paraId="58904B1C">
            <w:pPr>
              <w:pStyle w:val="6"/>
              <w:spacing w:before="59" w:line="219" w:lineRule="auto"/>
              <w:ind w:left="155"/>
              <w:rPr>
                <w:sz w:val="18"/>
                <w:szCs w:val="18"/>
              </w:rPr>
            </w:pPr>
            <w:r>
              <w:rPr>
                <w:spacing w:val="1"/>
                <w:sz w:val="18"/>
                <w:szCs w:val="18"/>
              </w:rPr>
              <w:t>11#光伏阵列东北侧</w:t>
            </w:r>
          </w:p>
        </w:tc>
        <w:tc>
          <w:tcPr>
            <w:tcW w:w="729" w:type="dxa"/>
            <w:vAlign w:val="top"/>
          </w:tcPr>
          <w:p w14:paraId="179F3F48">
            <w:pPr>
              <w:spacing w:line="314" w:lineRule="auto"/>
              <w:rPr>
                <w:rFonts w:ascii="Arial"/>
                <w:sz w:val="21"/>
              </w:rPr>
            </w:pPr>
          </w:p>
          <w:p w14:paraId="42A6478D">
            <w:pPr>
              <w:spacing w:line="315" w:lineRule="auto"/>
              <w:rPr>
                <w:rFonts w:ascii="Arial"/>
                <w:sz w:val="21"/>
              </w:rPr>
            </w:pPr>
          </w:p>
          <w:p w14:paraId="7100FDC9">
            <w:pPr>
              <w:pStyle w:val="6"/>
              <w:spacing w:before="58"/>
              <w:ind w:left="177"/>
              <w:rPr>
                <w:sz w:val="18"/>
                <w:szCs w:val="18"/>
              </w:rPr>
            </w:pPr>
            <w:r>
              <w:rPr>
                <w:spacing w:val="-2"/>
                <w:sz w:val="18"/>
                <w:szCs w:val="18"/>
              </w:rPr>
              <w:t>328m</w:t>
            </w:r>
          </w:p>
        </w:tc>
        <w:tc>
          <w:tcPr>
            <w:tcW w:w="609" w:type="dxa"/>
            <w:vMerge w:val="continue"/>
            <w:tcBorders>
              <w:top w:val="nil"/>
              <w:bottom w:val="nil"/>
            </w:tcBorders>
            <w:vAlign w:val="top"/>
          </w:tcPr>
          <w:p w14:paraId="6499C59F">
            <w:pPr>
              <w:rPr>
                <w:rFonts w:ascii="Arial"/>
                <w:sz w:val="21"/>
              </w:rPr>
            </w:pPr>
          </w:p>
        </w:tc>
        <w:tc>
          <w:tcPr>
            <w:tcW w:w="804" w:type="dxa"/>
            <w:vMerge w:val="continue"/>
            <w:tcBorders>
              <w:top w:val="nil"/>
              <w:bottom w:val="nil"/>
            </w:tcBorders>
            <w:vAlign w:val="top"/>
          </w:tcPr>
          <w:p w14:paraId="54C57C2D">
            <w:pPr>
              <w:rPr>
                <w:rFonts w:ascii="Arial"/>
                <w:sz w:val="21"/>
              </w:rPr>
            </w:pPr>
          </w:p>
        </w:tc>
      </w:tr>
      <w:tr w14:paraId="338FA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694" w:type="dxa"/>
            <w:vMerge w:val="continue"/>
            <w:tcBorders>
              <w:top w:val="nil"/>
              <w:bottom w:val="nil"/>
            </w:tcBorders>
            <w:textDirection w:val="tbRlV"/>
            <w:vAlign w:val="top"/>
          </w:tcPr>
          <w:p w14:paraId="6BA67179">
            <w:pPr>
              <w:rPr>
                <w:rFonts w:ascii="Arial"/>
                <w:sz w:val="21"/>
              </w:rPr>
            </w:pPr>
          </w:p>
        </w:tc>
        <w:tc>
          <w:tcPr>
            <w:tcW w:w="140" w:type="dxa"/>
            <w:vMerge w:val="continue"/>
            <w:tcBorders>
              <w:top w:val="nil"/>
              <w:bottom w:val="nil"/>
            </w:tcBorders>
            <w:vAlign w:val="top"/>
          </w:tcPr>
          <w:p w14:paraId="33DCA8DE">
            <w:pPr>
              <w:rPr>
                <w:rFonts w:ascii="Arial"/>
                <w:sz w:val="21"/>
              </w:rPr>
            </w:pPr>
          </w:p>
        </w:tc>
        <w:tc>
          <w:tcPr>
            <w:tcW w:w="599" w:type="dxa"/>
            <w:vMerge w:val="continue"/>
            <w:tcBorders>
              <w:top w:val="nil"/>
              <w:bottom w:val="nil"/>
            </w:tcBorders>
            <w:vAlign w:val="top"/>
          </w:tcPr>
          <w:p w14:paraId="411B40E8">
            <w:pPr>
              <w:rPr>
                <w:rFonts w:ascii="Arial"/>
                <w:sz w:val="21"/>
              </w:rPr>
            </w:pPr>
          </w:p>
        </w:tc>
        <w:tc>
          <w:tcPr>
            <w:tcW w:w="849" w:type="dxa"/>
            <w:vAlign w:val="top"/>
          </w:tcPr>
          <w:p w14:paraId="217F3D7B">
            <w:pPr>
              <w:pStyle w:val="6"/>
              <w:spacing w:before="45" w:line="216" w:lineRule="auto"/>
              <w:ind w:left="51"/>
              <w:rPr>
                <w:sz w:val="18"/>
                <w:szCs w:val="18"/>
              </w:rPr>
            </w:pPr>
            <w:r>
              <w:rPr>
                <w:spacing w:val="-2"/>
                <w:sz w:val="18"/>
                <w:szCs w:val="18"/>
              </w:rPr>
              <w:t>放马沟散</w:t>
            </w:r>
          </w:p>
          <w:p w14:paraId="1D36C577">
            <w:pPr>
              <w:pStyle w:val="6"/>
              <w:spacing w:line="220" w:lineRule="auto"/>
              <w:jc w:val="right"/>
              <w:rPr>
                <w:sz w:val="18"/>
                <w:szCs w:val="18"/>
              </w:rPr>
            </w:pPr>
            <w:r>
              <w:rPr>
                <w:spacing w:val="-24"/>
                <w:sz w:val="18"/>
                <w:szCs w:val="18"/>
              </w:rPr>
              <w:t>户</w:t>
            </w:r>
            <w:r>
              <w:rPr>
                <w:spacing w:val="7"/>
                <w:sz w:val="18"/>
                <w:szCs w:val="18"/>
              </w:rPr>
              <w:t xml:space="preserve"> </w:t>
            </w:r>
            <w:r>
              <w:rPr>
                <w:spacing w:val="-24"/>
                <w:sz w:val="18"/>
                <w:szCs w:val="18"/>
              </w:rPr>
              <w:t>1</w:t>
            </w:r>
            <w:r>
              <w:rPr>
                <w:spacing w:val="25"/>
                <w:sz w:val="18"/>
                <w:szCs w:val="18"/>
              </w:rPr>
              <w:t xml:space="preserve"> </w:t>
            </w:r>
            <w:r>
              <w:rPr>
                <w:spacing w:val="-24"/>
                <w:sz w:val="18"/>
                <w:szCs w:val="18"/>
              </w:rPr>
              <w:t>(</w:t>
            </w:r>
            <w:r>
              <w:rPr>
                <w:spacing w:val="16"/>
                <w:sz w:val="18"/>
                <w:szCs w:val="18"/>
              </w:rPr>
              <w:t xml:space="preserve"> </w:t>
            </w:r>
            <w:r>
              <w:rPr>
                <w:spacing w:val="-24"/>
                <w:sz w:val="18"/>
                <w:szCs w:val="18"/>
              </w:rPr>
              <w:t>田</w:t>
            </w:r>
          </w:p>
          <w:p w14:paraId="2FD1D37C">
            <w:pPr>
              <w:pStyle w:val="6"/>
              <w:spacing w:before="25" w:line="219" w:lineRule="auto"/>
              <w:ind w:left="51"/>
              <w:rPr>
                <w:sz w:val="18"/>
                <w:szCs w:val="18"/>
              </w:rPr>
            </w:pPr>
            <w:r>
              <w:rPr>
                <w:spacing w:val="1"/>
                <w:sz w:val="18"/>
                <w:szCs w:val="18"/>
              </w:rPr>
              <w:t>间农户看</w:t>
            </w:r>
          </w:p>
          <w:p w14:paraId="399DC35A">
            <w:pPr>
              <w:pStyle w:val="6"/>
              <w:spacing w:before="38" w:line="196" w:lineRule="auto"/>
              <w:ind w:left="281"/>
              <w:rPr>
                <w:sz w:val="18"/>
                <w:szCs w:val="18"/>
              </w:rPr>
            </w:pPr>
            <w:r>
              <w:rPr>
                <w:spacing w:val="-4"/>
                <w:sz w:val="18"/>
                <w:szCs w:val="18"/>
              </w:rPr>
              <w:t>地</w:t>
            </w:r>
            <w:r>
              <w:rPr>
                <w:spacing w:val="-36"/>
                <w:sz w:val="18"/>
                <w:szCs w:val="18"/>
              </w:rPr>
              <w:t xml:space="preserve"> </w:t>
            </w:r>
            <w:r>
              <w:rPr>
                <w:spacing w:val="-4"/>
                <w:sz w:val="18"/>
                <w:szCs w:val="18"/>
              </w:rPr>
              <w:t>)</w:t>
            </w:r>
          </w:p>
        </w:tc>
        <w:tc>
          <w:tcPr>
            <w:tcW w:w="1658" w:type="dxa"/>
            <w:vAlign w:val="top"/>
          </w:tcPr>
          <w:p w14:paraId="01A5D1D3">
            <w:pPr>
              <w:spacing w:line="282" w:lineRule="auto"/>
              <w:rPr>
                <w:rFonts w:ascii="Arial"/>
                <w:sz w:val="21"/>
              </w:rPr>
            </w:pPr>
          </w:p>
          <w:p w14:paraId="0A9FDDA9">
            <w:pPr>
              <w:pStyle w:val="6"/>
              <w:spacing w:before="59" w:line="217" w:lineRule="auto"/>
              <w:ind w:left="48" w:hanging="36"/>
              <w:rPr>
                <w:sz w:val="18"/>
                <w:szCs w:val="18"/>
              </w:rPr>
            </w:pPr>
            <w:r>
              <w:rPr>
                <w:spacing w:val="-5"/>
                <w:sz w:val="18"/>
                <w:szCs w:val="18"/>
              </w:rPr>
              <w:t>E103°28'43.62137”</w:t>
            </w:r>
            <w:r>
              <w:rPr>
                <w:spacing w:val="9"/>
                <w:sz w:val="18"/>
                <w:szCs w:val="18"/>
              </w:rPr>
              <w:t xml:space="preserve"> </w:t>
            </w:r>
            <w:r>
              <w:rPr>
                <w:spacing w:val="-9"/>
                <w:sz w:val="18"/>
                <w:szCs w:val="18"/>
              </w:rPr>
              <w:t>N24°52'57.84051"</w:t>
            </w:r>
          </w:p>
        </w:tc>
        <w:tc>
          <w:tcPr>
            <w:tcW w:w="1349" w:type="dxa"/>
            <w:vAlign w:val="top"/>
          </w:tcPr>
          <w:p w14:paraId="47F40350">
            <w:pPr>
              <w:spacing w:line="335" w:lineRule="auto"/>
              <w:rPr>
                <w:rFonts w:ascii="Arial"/>
                <w:sz w:val="21"/>
              </w:rPr>
            </w:pPr>
          </w:p>
          <w:p w14:paraId="69D5ABA9">
            <w:pPr>
              <w:pStyle w:val="6"/>
              <w:spacing w:before="58" w:line="220" w:lineRule="auto"/>
              <w:ind w:left="304"/>
              <w:rPr>
                <w:sz w:val="18"/>
                <w:szCs w:val="18"/>
              </w:rPr>
            </w:pPr>
            <w:r>
              <w:rPr>
                <w:spacing w:val="1"/>
                <w:sz w:val="18"/>
                <w:szCs w:val="18"/>
              </w:rPr>
              <w:t>1户，1人</w:t>
            </w:r>
          </w:p>
        </w:tc>
        <w:tc>
          <w:tcPr>
            <w:tcW w:w="1858" w:type="dxa"/>
            <w:vAlign w:val="top"/>
          </w:tcPr>
          <w:p w14:paraId="606E98D7">
            <w:pPr>
              <w:spacing w:line="333" w:lineRule="auto"/>
              <w:rPr>
                <w:rFonts w:ascii="Arial"/>
                <w:sz w:val="21"/>
              </w:rPr>
            </w:pPr>
          </w:p>
          <w:p w14:paraId="301A433C">
            <w:pPr>
              <w:pStyle w:val="6"/>
              <w:spacing w:before="59" w:line="219" w:lineRule="auto"/>
              <w:ind w:left="245"/>
              <w:rPr>
                <w:sz w:val="18"/>
                <w:szCs w:val="18"/>
              </w:rPr>
            </w:pPr>
            <w:r>
              <w:rPr>
                <w:spacing w:val="1"/>
                <w:sz w:val="18"/>
                <w:szCs w:val="18"/>
              </w:rPr>
              <w:t>14#光伏阵列西侧</w:t>
            </w:r>
          </w:p>
        </w:tc>
        <w:tc>
          <w:tcPr>
            <w:tcW w:w="729" w:type="dxa"/>
            <w:vAlign w:val="top"/>
          </w:tcPr>
          <w:p w14:paraId="56C38FD3">
            <w:pPr>
              <w:spacing w:line="352" w:lineRule="auto"/>
              <w:rPr>
                <w:rFonts w:ascii="Arial"/>
                <w:sz w:val="21"/>
              </w:rPr>
            </w:pPr>
          </w:p>
          <w:p w14:paraId="0450A70C">
            <w:pPr>
              <w:pStyle w:val="6"/>
              <w:spacing w:before="58"/>
              <w:ind w:left="177"/>
              <w:rPr>
                <w:sz w:val="18"/>
                <w:szCs w:val="18"/>
              </w:rPr>
            </w:pPr>
            <w:r>
              <w:rPr>
                <w:spacing w:val="-2"/>
                <w:sz w:val="18"/>
                <w:szCs w:val="18"/>
              </w:rPr>
              <w:t>361m</w:t>
            </w:r>
          </w:p>
        </w:tc>
        <w:tc>
          <w:tcPr>
            <w:tcW w:w="609" w:type="dxa"/>
            <w:vMerge w:val="continue"/>
            <w:tcBorders>
              <w:top w:val="nil"/>
              <w:bottom w:val="nil"/>
            </w:tcBorders>
            <w:vAlign w:val="top"/>
          </w:tcPr>
          <w:p w14:paraId="05B70C09">
            <w:pPr>
              <w:rPr>
                <w:rFonts w:ascii="Arial"/>
                <w:sz w:val="21"/>
              </w:rPr>
            </w:pPr>
          </w:p>
        </w:tc>
        <w:tc>
          <w:tcPr>
            <w:tcW w:w="804" w:type="dxa"/>
            <w:vMerge w:val="continue"/>
            <w:tcBorders>
              <w:top w:val="nil"/>
              <w:bottom w:val="nil"/>
            </w:tcBorders>
            <w:vAlign w:val="top"/>
          </w:tcPr>
          <w:p w14:paraId="62621325">
            <w:pPr>
              <w:rPr>
                <w:rFonts w:ascii="Arial"/>
                <w:sz w:val="21"/>
              </w:rPr>
            </w:pPr>
          </w:p>
        </w:tc>
      </w:tr>
      <w:tr w14:paraId="49B34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94" w:type="dxa"/>
            <w:vMerge w:val="continue"/>
            <w:tcBorders>
              <w:top w:val="nil"/>
              <w:bottom w:val="nil"/>
            </w:tcBorders>
            <w:textDirection w:val="tbRlV"/>
            <w:vAlign w:val="top"/>
          </w:tcPr>
          <w:p w14:paraId="02467677">
            <w:pPr>
              <w:rPr>
                <w:rFonts w:ascii="Arial"/>
                <w:sz w:val="21"/>
              </w:rPr>
            </w:pPr>
          </w:p>
        </w:tc>
        <w:tc>
          <w:tcPr>
            <w:tcW w:w="140" w:type="dxa"/>
            <w:vMerge w:val="continue"/>
            <w:tcBorders>
              <w:top w:val="nil"/>
              <w:bottom w:val="nil"/>
            </w:tcBorders>
            <w:vAlign w:val="top"/>
          </w:tcPr>
          <w:p w14:paraId="69652B9F">
            <w:pPr>
              <w:rPr>
                <w:rFonts w:ascii="Arial"/>
                <w:sz w:val="21"/>
              </w:rPr>
            </w:pPr>
          </w:p>
        </w:tc>
        <w:tc>
          <w:tcPr>
            <w:tcW w:w="599" w:type="dxa"/>
            <w:vMerge w:val="continue"/>
            <w:tcBorders>
              <w:top w:val="nil"/>
              <w:bottom w:val="nil"/>
            </w:tcBorders>
            <w:vAlign w:val="top"/>
          </w:tcPr>
          <w:p w14:paraId="6C70E259">
            <w:pPr>
              <w:rPr>
                <w:rFonts w:ascii="Arial"/>
                <w:sz w:val="21"/>
              </w:rPr>
            </w:pPr>
          </w:p>
        </w:tc>
        <w:tc>
          <w:tcPr>
            <w:tcW w:w="849" w:type="dxa"/>
            <w:vAlign w:val="top"/>
          </w:tcPr>
          <w:p w14:paraId="69691A28">
            <w:pPr>
              <w:pStyle w:val="6"/>
              <w:spacing w:before="25" w:line="229" w:lineRule="auto"/>
              <w:ind w:left="51" w:right="43"/>
              <w:rPr>
                <w:sz w:val="18"/>
                <w:szCs w:val="18"/>
              </w:rPr>
            </w:pPr>
            <w:r>
              <w:rPr>
                <w:spacing w:val="-2"/>
                <w:sz w:val="18"/>
                <w:szCs w:val="18"/>
              </w:rPr>
              <w:t>放马沟散</w:t>
            </w:r>
            <w:r>
              <w:rPr>
                <w:sz w:val="18"/>
                <w:szCs w:val="18"/>
              </w:rPr>
              <w:t xml:space="preserve"> </w:t>
            </w:r>
            <w:r>
              <w:rPr>
                <w:spacing w:val="-19"/>
                <w:sz w:val="18"/>
                <w:szCs w:val="18"/>
              </w:rPr>
              <w:t>户 2</w:t>
            </w:r>
            <w:r>
              <w:rPr>
                <w:spacing w:val="18"/>
                <w:sz w:val="18"/>
                <w:szCs w:val="18"/>
              </w:rPr>
              <w:t xml:space="preserve"> </w:t>
            </w:r>
            <w:r>
              <w:rPr>
                <w:spacing w:val="-19"/>
                <w:sz w:val="18"/>
                <w:szCs w:val="18"/>
              </w:rPr>
              <w:t>(</w:t>
            </w:r>
            <w:r>
              <w:rPr>
                <w:spacing w:val="9"/>
                <w:sz w:val="18"/>
                <w:szCs w:val="18"/>
              </w:rPr>
              <w:t xml:space="preserve"> </w:t>
            </w:r>
            <w:r>
              <w:rPr>
                <w:spacing w:val="-19"/>
                <w:sz w:val="18"/>
                <w:szCs w:val="18"/>
              </w:rPr>
              <w:t>田</w:t>
            </w:r>
          </w:p>
          <w:p w14:paraId="1061E991">
            <w:pPr>
              <w:pStyle w:val="6"/>
              <w:spacing w:before="24" w:line="219" w:lineRule="auto"/>
              <w:ind w:left="51"/>
              <w:rPr>
                <w:sz w:val="18"/>
                <w:szCs w:val="18"/>
              </w:rPr>
            </w:pPr>
            <w:r>
              <w:rPr>
                <w:spacing w:val="1"/>
                <w:sz w:val="18"/>
                <w:szCs w:val="18"/>
              </w:rPr>
              <w:t>间农户看</w:t>
            </w:r>
          </w:p>
          <w:p w14:paraId="3DEE03AC">
            <w:pPr>
              <w:pStyle w:val="6"/>
              <w:spacing w:before="28" w:line="185" w:lineRule="auto"/>
              <w:ind w:left="281"/>
              <w:rPr>
                <w:sz w:val="18"/>
                <w:szCs w:val="18"/>
              </w:rPr>
            </w:pPr>
            <w:r>
              <w:rPr>
                <w:spacing w:val="-4"/>
                <w:sz w:val="18"/>
                <w:szCs w:val="18"/>
              </w:rPr>
              <w:t>地</w:t>
            </w:r>
            <w:r>
              <w:rPr>
                <w:spacing w:val="-36"/>
                <w:sz w:val="18"/>
                <w:szCs w:val="18"/>
              </w:rPr>
              <w:t xml:space="preserve"> </w:t>
            </w:r>
            <w:r>
              <w:rPr>
                <w:spacing w:val="-4"/>
                <w:sz w:val="18"/>
                <w:szCs w:val="18"/>
              </w:rPr>
              <w:t>)</w:t>
            </w:r>
          </w:p>
        </w:tc>
        <w:tc>
          <w:tcPr>
            <w:tcW w:w="1658" w:type="dxa"/>
            <w:vAlign w:val="top"/>
          </w:tcPr>
          <w:p w14:paraId="58C284AD">
            <w:pPr>
              <w:spacing w:line="254" w:lineRule="auto"/>
              <w:rPr>
                <w:rFonts w:ascii="Arial"/>
                <w:sz w:val="21"/>
              </w:rPr>
            </w:pPr>
          </w:p>
          <w:p w14:paraId="42BBCDBF">
            <w:pPr>
              <w:pStyle w:val="6"/>
              <w:spacing w:before="59" w:line="227" w:lineRule="auto"/>
              <w:ind w:left="12"/>
              <w:rPr>
                <w:sz w:val="18"/>
                <w:szCs w:val="18"/>
              </w:rPr>
            </w:pPr>
            <w:r>
              <w:rPr>
                <w:spacing w:val="-5"/>
                <w:sz w:val="18"/>
                <w:szCs w:val="18"/>
              </w:rPr>
              <w:t>E103°28'44.63525”</w:t>
            </w:r>
            <w:r>
              <w:rPr>
                <w:spacing w:val="9"/>
                <w:sz w:val="18"/>
                <w:szCs w:val="18"/>
              </w:rPr>
              <w:t xml:space="preserve"> </w:t>
            </w:r>
            <w:r>
              <w:rPr>
                <w:spacing w:val="-4"/>
                <w:sz w:val="18"/>
                <w:szCs w:val="18"/>
              </w:rPr>
              <w:t>N24°52'55.49412”</w:t>
            </w:r>
          </w:p>
        </w:tc>
        <w:tc>
          <w:tcPr>
            <w:tcW w:w="1349" w:type="dxa"/>
            <w:vAlign w:val="top"/>
          </w:tcPr>
          <w:p w14:paraId="2F6DE34D">
            <w:pPr>
              <w:spacing w:line="326" w:lineRule="auto"/>
              <w:rPr>
                <w:rFonts w:ascii="Arial"/>
                <w:sz w:val="21"/>
              </w:rPr>
            </w:pPr>
          </w:p>
          <w:p w14:paraId="47759087">
            <w:pPr>
              <w:pStyle w:val="6"/>
              <w:spacing w:before="58" w:line="220" w:lineRule="auto"/>
              <w:ind w:left="304"/>
              <w:rPr>
                <w:sz w:val="18"/>
                <w:szCs w:val="18"/>
              </w:rPr>
            </w:pPr>
            <w:r>
              <w:rPr>
                <w:spacing w:val="1"/>
                <w:sz w:val="18"/>
                <w:szCs w:val="18"/>
              </w:rPr>
              <w:t>1户，1人</w:t>
            </w:r>
          </w:p>
        </w:tc>
        <w:tc>
          <w:tcPr>
            <w:tcW w:w="1858" w:type="dxa"/>
            <w:vAlign w:val="top"/>
          </w:tcPr>
          <w:p w14:paraId="2D7231E4">
            <w:pPr>
              <w:spacing w:line="324" w:lineRule="auto"/>
              <w:rPr>
                <w:rFonts w:ascii="Arial"/>
                <w:sz w:val="21"/>
              </w:rPr>
            </w:pPr>
          </w:p>
          <w:p w14:paraId="1439E8D1">
            <w:pPr>
              <w:pStyle w:val="6"/>
              <w:spacing w:before="59" w:line="219" w:lineRule="auto"/>
              <w:ind w:left="245"/>
              <w:rPr>
                <w:sz w:val="18"/>
                <w:szCs w:val="18"/>
              </w:rPr>
            </w:pPr>
            <w:r>
              <w:rPr>
                <w:spacing w:val="1"/>
                <w:sz w:val="18"/>
                <w:szCs w:val="18"/>
              </w:rPr>
              <w:t>13#光伏阵列西侧</w:t>
            </w:r>
          </w:p>
        </w:tc>
        <w:tc>
          <w:tcPr>
            <w:tcW w:w="729" w:type="dxa"/>
            <w:vAlign w:val="top"/>
          </w:tcPr>
          <w:p w14:paraId="6641CA45">
            <w:pPr>
              <w:spacing w:line="343" w:lineRule="auto"/>
              <w:rPr>
                <w:rFonts w:ascii="Arial"/>
                <w:sz w:val="21"/>
              </w:rPr>
            </w:pPr>
          </w:p>
          <w:p w14:paraId="7BBD145C">
            <w:pPr>
              <w:pStyle w:val="6"/>
              <w:spacing w:before="58"/>
              <w:ind w:left="177"/>
              <w:rPr>
                <w:sz w:val="18"/>
                <w:szCs w:val="18"/>
              </w:rPr>
            </w:pPr>
            <w:r>
              <w:rPr>
                <w:spacing w:val="-2"/>
                <w:sz w:val="18"/>
                <w:szCs w:val="18"/>
              </w:rPr>
              <w:t>380m</w:t>
            </w:r>
          </w:p>
        </w:tc>
        <w:tc>
          <w:tcPr>
            <w:tcW w:w="609" w:type="dxa"/>
            <w:vMerge w:val="continue"/>
            <w:tcBorders>
              <w:top w:val="nil"/>
              <w:bottom w:val="nil"/>
            </w:tcBorders>
            <w:vAlign w:val="top"/>
          </w:tcPr>
          <w:p w14:paraId="50F257B0">
            <w:pPr>
              <w:rPr>
                <w:rFonts w:ascii="Arial"/>
                <w:sz w:val="21"/>
              </w:rPr>
            </w:pPr>
          </w:p>
        </w:tc>
        <w:tc>
          <w:tcPr>
            <w:tcW w:w="804" w:type="dxa"/>
            <w:vMerge w:val="continue"/>
            <w:tcBorders>
              <w:top w:val="nil"/>
              <w:bottom w:val="nil"/>
            </w:tcBorders>
            <w:vAlign w:val="top"/>
          </w:tcPr>
          <w:p w14:paraId="58A4DEC7">
            <w:pPr>
              <w:rPr>
                <w:rFonts w:ascii="Arial"/>
                <w:sz w:val="21"/>
              </w:rPr>
            </w:pPr>
          </w:p>
        </w:tc>
      </w:tr>
      <w:tr w14:paraId="4733F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694" w:type="dxa"/>
            <w:vMerge w:val="continue"/>
            <w:tcBorders>
              <w:top w:val="nil"/>
            </w:tcBorders>
            <w:textDirection w:val="tbRlV"/>
            <w:vAlign w:val="top"/>
          </w:tcPr>
          <w:p w14:paraId="4DBB673F">
            <w:pPr>
              <w:rPr>
                <w:rFonts w:ascii="Arial"/>
                <w:sz w:val="21"/>
              </w:rPr>
            </w:pPr>
          </w:p>
        </w:tc>
        <w:tc>
          <w:tcPr>
            <w:tcW w:w="140" w:type="dxa"/>
            <w:vMerge w:val="continue"/>
            <w:tcBorders>
              <w:top w:val="nil"/>
            </w:tcBorders>
            <w:vAlign w:val="top"/>
          </w:tcPr>
          <w:p w14:paraId="368972A4">
            <w:pPr>
              <w:rPr>
                <w:rFonts w:ascii="Arial"/>
                <w:sz w:val="21"/>
              </w:rPr>
            </w:pPr>
          </w:p>
        </w:tc>
        <w:tc>
          <w:tcPr>
            <w:tcW w:w="599" w:type="dxa"/>
            <w:vMerge w:val="continue"/>
            <w:tcBorders>
              <w:top w:val="nil"/>
            </w:tcBorders>
            <w:vAlign w:val="top"/>
          </w:tcPr>
          <w:p w14:paraId="23457FE8">
            <w:pPr>
              <w:rPr>
                <w:rFonts w:ascii="Arial"/>
                <w:sz w:val="21"/>
              </w:rPr>
            </w:pPr>
          </w:p>
        </w:tc>
        <w:tc>
          <w:tcPr>
            <w:tcW w:w="849" w:type="dxa"/>
            <w:vAlign w:val="top"/>
          </w:tcPr>
          <w:p w14:paraId="70BA588A">
            <w:pPr>
              <w:pStyle w:val="6"/>
              <w:spacing w:before="17" w:line="224" w:lineRule="auto"/>
              <w:ind w:left="51" w:right="74"/>
              <w:rPr>
                <w:sz w:val="18"/>
                <w:szCs w:val="18"/>
              </w:rPr>
            </w:pPr>
            <w:r>
              <w:rPr>
                <w:spacing w:val="-2"/>
                <w:sz w:val="18"/>
                <w:szCs w:val="18"/>
              </w:rPr>
              <w:t>放马沟散</w:t>
            </w:r>
            <w:r>
              <w:rPr>
                <w:sz w:val="18"/>
                <w:szCs w:val="18"/>
              </w:rPr>
              <w:t xml:space="preserve"> </w:t>
            </w:r>
            <w:r>
              <w:rPr>
                <w:spacing w:val="5"/>
                <w:sz w:val="18"/>
                <w:szCs w:val="18"/>
              </w:rPr>
              <w:t>户3(田</w:t>
            </w:r>
          </w:p>
        </w:tc>
        <w:tc>
          <w:tcPr>
            <w:tcW w:w="1658" w:type="dxa"/>
            <w:vAlign w:val="top"/>
          </w:tcPr>
          <w:p w14:paraId="5E9B89E7">
            <w:pPr>
              <w:pStyle w:val="6"/>
              <w:spacing w:before="85" w:line="189" w:lineRule="auto"/>
              <w:ind w:left="48" w:hanging="36"/>
              <w:rPr>
                <w:sz w:val="18"/>
                <w:szCs w:val="18"/>
              </w:rPr>
            </w:pPr>
            <w:r>
              <w:rPr>
                <w:spacing w:val="-5"/>
                <w:sz w:val="18"/>
                <w:szCs w:val="18"/>
              </w:rPr>
              <w:t>E103°28'46.87543”</w:t>
            </w:r>
            <w:r>
              <w:rPr>
                <w:spacing w:val="9"/>
                <w:sz w:val="18"/>
                <w:szCs w:val="18"/>
              </w:rPr>
              <w:t xml:space="preserve"> </w:t>
            </w:r>
            <w:r>
              <w:rPr>
                <w:spacing w:val="-9"/>
                <w:sz w:val="18"/>
                <w:szCs w:val="18"/>
              </w:rPr>
              <w:t>N24°52'59.37581"</w:t>
            </w:r>
          </w:p>
        </w:tc>
        <w:tc>
          <w:tcPr>
            <w:tcW w:w="1349" w:type="dxa"/>
            <w:vAlign w:val="top"/>
          </w:tcPr>
          <w:p w14:paraId="7F0F2D26">
            <w:pPr>
              <w:pStyle w:val="6"/>
              <w:spacing w:before="147" w:line="220" w:lineRule="auto"/>
              <w:ind w:left="304"/>
              <w:rPr>
                <w:sz w:val="18"/>
                <w:szCs w:val="18"/>
              </w:rPr>
            </w:pPr>
            <w:r>
              <w:rPr>
                <w:spacing w:val="1"/>
                <w:sz w:val="18"/>
                <w:szCs w:val="18"/>
              </w:rPr>
              <w:t>1户，1人</w:t>
            </w:r>
          </w:p>
        </w:tc>
        <w:tc>
          <w:tcPr>
            <w:tcW w:w="1858" w:type="dxa"/>
            <w:vAlign w:val="top"/>
          </w:tcPr>
          <w:p w14:paraId="6C7970D5">
            <w:pPr>
              <w:pStyle w:val="6"/>
              <w:spacing w:before="146" w:line="219" w:lineRule="auto"/>
              <w:ind w:left="245"/>
              <w:rPr>
                <w:sz w:val="18"/>
                <w:szCs w:val="18"/>
              </w:rPr>
            </w:pPr>
            <w:r>
              <w:rPr>
                <w:spacing w:val="1"/>
                <w:sz w:val="18"/>
                <w:szCs w:val="18"/>
              </w:rPr>
              <w:t>13#光伏阵列西侧</w:t>
            </w:r>
          </w:p>
        </w:tc>
        <w:tc>
          <w:tcPr>
            <w:tcW w:w="729" w:type="dxa"/>
            <w:vAlign w:val="top"/>
          </w:tcPr>
          <w:p w14:paraId="59A3F8B7">
            <w:pPr>
              <w:pStyle w:val="6"/>
              <w:spacing w:before="164"/>
              <w:ind w:left="177"/>
              <w:rPr>
                <w:sz w:val="18"/>
                <w:szCs w:val="18"/>
              </w:rPr>
            </w:pPr>
            <w:r>
              <w:rPr>
                <w:spacing w:val="-2"/>
                <w:sz w:val="18"/>
                <w:szCs w:val="18"/>
              </w:rPr>
              <w:t>291m</w:t>
            </w:r>
          </w:p>
        </w:tc>
        <w:tc>
          <w:tcPr>
            <w:tcW w:w="609" w:type="dxa"/>
            <w:vMerge w:val="continue"/>
            <w:tcBorders>
              <w:top w:val="nil"/>
            </w:tcBorders>
            <w:vAlign w:val="top"/>
          </w:tcPr>
          <w:p w14:paraId="01ED158E">
            <w:pPr>
              <w:rPr>
                <w:rFonts w:ascii="Arial"/>
                <w:sz w:val="21"/>
              </w:rPr>
            </w:pPr>
          </w:p>
        </w:tc>
        <w:tc>
          <w:tcPr>
            <w:tcW w:w="804" w:type="dxa"/>
            <w:vMerge w:val="continue"/>
            <w:tcBorders>
              <w:top w:val="nil"/>
            </w:tcBorders>
            <w:vAlign w:val="top"/>
          </w:tcPr>
          <w:p w14:paraId="1BB5BDB1">
            <w:pPr>
              <w:rPr>
                <w:rFonts w:ascii="Arial"/>
                <w:sz w:val="21"/>
              </w:rPr>
            </w:pPr>
          </w:p>
        </w:tc>
      </w:tr>
    </w:tbl>
    <w:p w14:paraId="6009ADB5">
      <w:pPr>
        <w:pStyle w:val="2"/>
      </w:pPr>
    </w:p>
    <w:p w14:paraId="07395FFC">
      <w:pPr>
        <w:sectPr>
          <w:footerReference r:id="rId115" w:type="default"/>
          <w:pgSz w:w="11910" w:h="16830"/>
          <w:pgMar w:top="400" w:right="1405" w:bottom="1245" w:left="1205" w:header="0" w:footer="1083" w:gutter="0"/>
          <w:cols w:space="720" w:num="1"/>
        </w:sectPr>
      </w:pPr>
    </w:p>
    <w:p w14:paraId="3AFEB33E">
      <w:pPr>
        <w:spacing w:before="15"/>
      </w:pPr>
    </w:p>
    <w:p w14:paraId="3B6F70E6">
      <w:pPr>
        <w:spacing w:before="15"/>
      </w:pPr>
    </w:p>
    <w:p w14:paraId="628DF7FB">
      <w:pPr>
        <w:spacing w:before="15"/>
      </w:pPr>
    </w:p>
    <w:p w14:paraId="56881FB4">
      <w:pPr>
        <w:spacing w:before="14"/>
      </w:pPr>
    </w:p>
    <w:tbl>
      <w:tblPr>
        <w:tblStyle w:val="5"/>
        <w:tblW w:w="92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140"/>
        <w:gridCol w:w="599"/>
        <w:gridCol w:w="839"/>
        <w:gridCol w:w="1678"/>
        <w:gridCol w:w="1339"/>
        <w:gridCol w:w="1868"/>
        <w:gridCol w:w="729"/>
        <w:gridCol w:w="609"/>
        <w:gridCol w:w="794"/>
      </w:tblGrid>
      <w:tr w14:paraId="26DDF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94" w:type="dxa"/>
            <w:vMerge w:val="restart"/>
            <w:tcBorders>
              <w:bottom w:val="nil"/>
            </w:tcBorders>
            <w:vAlign w:val="top"/>
          </w:tcPr>
          <w:p w14:paraId="06C98955">
            <w:pPr>
              <w:rPr>
                <w:rFonts w:ascii="Arial"/>
                <w:sz w:val="21"/>
              </w:rPr>
            </w:pPr>
          </w:p>
        </w:tc>
        <w:tc>
          <w:tcPr>
            <w:tcW w:w="140" w:type="dxa"/>
            <w:vMerge w:val="restart"/>
            <w:tcBorders>
              <w:bottom w:val="nil"/>
            </w:tcBorders>
            <w:vAlign w:val="top"/>
          </w:tcPr>
          <w:p w14:paraId="12FFC9F2">
            <w:pPr>
              <w:rPr>
                <w:rFonts w:ascii="Arial"/>
                <w:sz w:val="21"/>
              </w:rPr>
            </w:pPr>
          </w:p>
        </w:tc>
        <w:tc>
          <w:tcPr>
            <w:tcW w:w="599" w:type="dxa"/>
            <w:vMerge w:val="restart"/>
            <w:tcBorders>
              <w:bottom w:val="nil"/>
            </w:tcBorders>
            <w:vAlign w:val="top"/>
          </w:tcPr>
          <w:p w14:paraId="45F5F0B3">
            <w:pPr>
              <w:rPr>
                <w:rFonts w:ascii="Arial"/>
                <w:sz w:val="21"/>
              </w:rPr>
            </w:pPr>
          </w:p>
        </w:tc>
        <w:tc>
          <w:tcPr>
            <w:tcW w:w="839" w:type="dxa"/>
            <w:vAlign w:val="top"/>
          </w:tcPr>
          <w:p w14:paraId="0218E428">
            <w:pPr>
              <w:pStyle w:val="6"/>
              <w:spacing w:before="32" w:line="219" w:lineRule="auto"/>
              <w:ind w:left="51"/>
              <w:rPr>
                <w:sz w:val="18"/>
                <w:szCs w:val="18"/>
              </w:rPr>
            </w:pPr>
            <w:r>
              <w:rPr>
                <w:spacing w:val="1"/>
                <w:sz w:val="18"/>
                <w:szCs w:val="18"/>
              </w:rPr>
              <w:t>间农户看</w:t>
            </w:r>
          </w:p>
          <w:p w14:paraId="0518EF49">
            <w:pPr>
              <w:pStyle w:val="6"/>
              <w:spacing w:before="29" w:line="204" w:lineRule="auto"/>
              <w:ind w:left="271"/>
              <w:rPr>
                <w:sz w:val="18"/>
                <w:szCs w:val="18"/>
              </w:rPr>
            </w:pPr>
            <w:r>
              <w:rPr>
                <w:spacing w:val="-4"/>
                <w:sz w:val="18"/>
                <w:szCs w:val="18"/>
              </w:rPr>
              <w:t>地</w:t>
            </w:r>
            <w:r>
              <w:rPr>
                <w:spacing w:val="-36"/>
                <w:sz w:val="18"/>
                <w:szCs w:val="18"/>
              </w:rPr>
              <w:t xml:space="preserve"> </w:t>
            </w:r>
            <w:r>
              <w:rPr>
                <w:spacing w:val="-4"/>
                <w:sz w:val="18"/>
                <w:szCs w:val="18"/>
              </w:rPr>
              <w:t>)</w:t>
            </w:r>
          </w:p>
        </w:tc>
        <w:tc>
          <w:tcPr>
            <w:tcW w:w="1678" w:type="dxa"/>
            <w:vAlign w:val="top"/>
          </w:tcPr>
          <w:p w14:paraId="3505485F">
            <w:pPr>
              <w:rPr>
                <w:rFonts w:ascii="Arial"/>
                <w:sz w:val="21"/>
              </w:rPr>
            </w:pPr>
          </w:p>
        </w:tc>
        <w:tc>
          <w:tcPr>
            <w:tcW w:w="1339" w:type="dxa"/>
            <w:vAlign w:val="top"/>
          </w:tcPr>
          <w:p w14:paraId="217C869A">
            <w:pPr>
              <w:rPr>
                <w:rFonts w:ascii="Arial"/>
                <w:sz w:val="21"/>
              </w:rPr>
            </w:pPr>
          </w:p>
        </w:tc>
        <w:tc>
          <w:tcPr>
            <w:tcW w:w="1868" w:type="dxa"/>
            <w:vAlign w:val="top"/>
          </w:tcPr>
          <w:p w14:paraId="3AC91B75">
            <w:pPr>
              <w:rPr>
                <w:rFonts w:ascii="Arial"/>
                <w:sz w:val="21"/>
              </w:rPr>
            </w:pPr>
          </w:p>
        </w:tc>
        <w:tc>
          <w:tcPr>
            <w:tcW w:w="729" w:type="dxa"/>
            <w:vAlign w:val="top"/>
          </w:tcPr>
          <w:p w14:paraId="20CC0FCB">
            <w:pPr>
              <w:rPr>
                <w:rFonts w:ascii="Arial"/>
                <w:sz w:val="21"/>
              </w:rPr>
            </w:pPr>
          </w:p>
        </w:tc>
        <w:tc>
          <w:tcPr>
            <w:tcW w:w="609" w:type="dxa"/>
            <w:vMerge w:val="restart"/>
            <w:tcBorders>
              <w:bottom w:val="nil"/>
            </w:tcBorders>
            <w:vAlign w:val="top"/>
          </w:tcPr>
          <w:p w14:paraId="2F7C420A">
            <w:pPr>
              <w:rPr>
                <w:rFonts w:ascii="Arial"/>
                <w:sz w:val="21"/>
              </w:rPr>
            </w:pPr>
          </w:p>
        </w:tc>
        <w:tc>
          <w:tcPr>
            <w:tcW w:w="794" w:type="dxa"/>
            <w:vMerge w:val="restart"/>
            <w:tcBorders>
              <w:bottom w:val="nil"/>
            </w:tcBorders>
            <w:vAlign w:val="top"/>
          </w:tcPr>
          <w:p w14:paraId="2F11F416">
            <w:pPr>
              <w:rPr>
                <w:rFonts w:ascii="Arial"/>
                <w:sz w:val="21"/>
              </w:rPr>
            </w:pPr>
          </w:p>
        </w:tc>
      </w:tr>
      <w:tr w14:paraId="02BAF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94" w:type="dxa"/>
            <w:vMerge w:val="continue"/>
            <w:tcBorders>
              <w:top w:val="nil"/>
              <w:bottom w:val="nil"/>
            </w:tcBorders>
            <w:vAlign w:val="top"/>
          </w:tcPr>
          <w:p w14:paraId="11E28FE1">
            <w:pPr>
              <w:rPr>
                <w:rFonts w:ascii="Arial"/>
                <w:sz w:val="21"/>
              </w:rPr>
            </w:pPr>
          </w:p>
        </w:tc>
        <w:tc>
          <w:tcPr>
            <w:tcW w:w="140" w:type="dxa"/>
            <w:vMerge w:val="continue"/>
            <w:tcBorders>
              <w:top w:val="nil"/>
              <w:bottom w:val="nil"/>
            </w:tcBorders>
            <w:vAlign w:val="top"/>
          </w:tcPr>
          <w:p w14:paraId="72404332">
            <w:pPr>
              <w:rPr>
                <w:rFonts w:ascii="Arial"/>
                <w:sz w:val="21"/>
              </w:rPr>
            </w:pPr>
          </w:p>
        </w:tc>
        <w:tc>
          <w:tcPr>
            <w:tcW w:w="599" w:type="dxa"/>
            <w:vMerge w:val="continue"/>
            <w:tcBorders>
              <w:top w:val="nil"/>
              <w:bottom w:val="nil"/>
            </w:tcBorders>
            <w:vAlign w:val="top"/>
          </w:tcPr>
          <w:p w14:paraId="5E7661A3">
            <w:pPr>
              <w:rPr>
                <w:rFonts w:ascii="Arial"/>
                <w:sz w:val="21"/>
              </w:rPr>
            </w:pPr>
          </w:p>
        </w:tc>
        <w:tc>
          <w:tcPr>
            <w:tcW w:w="839" w:type="dxa"/>
            <w:vAlign w:val="top"/>
          </w:tcPr>
          <w:p w14:paraId="16289298">
            <w:pPr>
              <w:pStyle w:val="6"/>
              <w:spacing w:before="17" w:line="236" w:lineRule="auto"/>
              <w:ind w:left="51" w:right="33"/>
              <w:rPr>
                <w:sz w:val="18"/>
                <w:szCs w:val="18"/>
              </w:rPr>
            </w:pPr>
            <w:r>
              <w:rPr>
                <w:spacing w:val="-2"/>
                <w:sz w:val="18"/>
                <w:szCs w:val="18"/>
              </w:rPr>
              <w:t>放马沟散</w:t>
            </w:r>
            <w:r>
              <w:rPr>
                <w:sz w:val="18"/>
                <w:szCs w:val="18"/>
              </w:rPr>
              <w:t xml:space="preserve"> </w:t>
            </w:r>
            <w:r>
              <w:rPr>
                <w:spacing w:val="-19"/>
                <w:sz w:val="18"/>
                <w:szCs w:val="18"/>
              </w:rPr>
              <w:t>户 4</w:t>
            </w:r>
            <w:r>
              <w:rPr>
                <w:spacing w:val="18"/>
                <w:sz w:val="18"/>
                <w:szCs w:val="18"/>
              </w:rPr>
              <w:t xml:space="preserve"> </w:t>
            </w:r>
            <w:r>
              <w:rPr>
                <w:spacing w:val="-19"/>
                <w:sz w:val="18"/>
                <w:szCs w:val="18"/>
              </w:rPr>
              <w:t>(</w:t>
            </w:r>
            <w:r>
              <w:rPr>
                <w:spacing w:val="9"/>
                <w:sz w:val="18"/>
                <w:szCs w:val="18"/>
              </w:rPr>
              <w:t xml:space="preserve"> </w:t>
            </w:r>
            <w:r>
              <w:rPr>
                <w:spacing w:val="-19"/>
                <w:sz w:val="18"/>
                <w:szCs w:val="18"/>
              </w:rPr>
              <w:t>田</w:t>
            </w:r>
          </w:p>
          <w:p w14:paraId="3EF36707">
            <w:pPr>
              <w:pStyle w:val="6"/>
              <w:spacing w:line="219" w:lineRule="auto"/>
              <w:ind w:left="51"/>
              <w:rPr>
                <w:sz w:val="18"/>
                <w:szCs w:val="18"/>
              </w:rPr>
            </w:pPr>
            <w:r>
              <w:rPr>
                <w:spacing w:val="1"/>
                <w:sz w:val="18"/>
                <w:szCs w:val="18"/>
              </w:rPr>
              <w:t>间农户看</w:t>
            </w:r>
          </w:p>
          <w:p w14:paraId="59640315">
            <w:pPr>
              <w:pStyle w:val="6"/>
              <w:spacing w:before="38" w:line="193" w:lineRule="auto"/>
              <w:ind w:left="271"/>
              <w:rPr>
                <w:sz w:val="18"/>
                <w:szCs w:val="18"/>
              </w:rPr>
            </w:pPr>
            <w:r>
              <w:rPr>
                <w:spacing w:val="-4"/>
                <w:sz w:val="18"/>
                <w:szCs w:val="18"/>
              </w:rPr>
              <w:t>地</w:t>
            </w:r>
            <w:r>
              <w:rPr>
                <w:spacing w:val="-36"/>
                <w:sz w:val="18"/>
                <w:szCs w:val="18"/>
              </w:rPr>
              <w:t xml:space="preserve"> </w:t>
            </w:r>
            <w:r>
              <w:rPr>
                <w:spacing w:val="-4"/>
                <w:sz w:val="18"/>
                <w:szCs w:val="18"/>
              </w:rPr>
              <w:t>)</w:t>
            </w:r>
          </w:p>
        </w:tc>
        <w:tc>
          <w:tcPr>
            <w:tcW w:w="1678" w:type="dxa"/>
            <w:vAlign w:val="top"/>
          </w:tcPr>
          <w:p w14:paraId="6188D17D">
            <w:pPr>
              <w:spacing w:line="256" w:lineRule="auto"/>
              <w:rPr>
                <w:rFonts w:ascii="Arial"/>
                <w:sz w:val="21"/>
              </w:rPr>
            </w:pPr>
          </w:p>
          <w:p w14:paraId="4D1B598D">
            <w:pPr>
              <w:pStyle w:val="6"/>
              <w:spacing w:before="59" w:line="227" w:lineRule="auto"/>
              <w:ind w:left="58" w:hanging="46"/>
              <w:rPr>
                <w:sz w:val="18"/>
                <w:szCs w:val="18"/>
              </w:rPr>
            </w:pPr>
            <w:r>
              <w:rPr>
                <w:spacing w:val="-4"/>
                <w:sz w:val="18"/>
                <w:szCs w:val="18"/>
              </w:rPr>
              <w:t>E103°28'30.91860”</w:t>
            </w:r>
            <w:r>
              <w:rPr>
                <w:spacing w:val="12"/>
                <w:sz w:val="18"/>
                <w:szCs w:val="18"/>
              </w:rPr>
              <w:t xml:space="preserve"> </w:t>
            </w:r>
            <w:r>
              <w:rPr>
                <w:spacing w:val="-8"/>
                <w:sz w:val="18"/>
                <w:szCs w:val="18"/>
              </w:rPr>
              <w:t>N24°52'56.25541"</w:t>
            </w:r>
          </w:p>
        </w:tc>
        <w:tc>
          <w:tcPr>
            <w:tcW w:w="1339" w:type="dxa"/>
            <w:vAlign w:val="top"/>
          </w:tcPr>
          <w:p w14:paraId="6D20393F">
            <w:pPr>
              <w:spacing w:line="318" w:lineRule="auto"/>
              <w:rPr>
                <w:rFonts w:ascii="Arial"/>
                <w:sz w:val="21"/>
              </w:rPr>
            </w:pPr>
          </w:p>
          <w:p w14:paraId="2A23D8AB">
            <w:pPr>
              <w:pStyle w:val="6"/>
              <w:spacing w:before="59" w:line="220" w:lineRule="auto"/>
              <w:ind w:left="304"/>
              <w:rPr>
                <w:sz w:val="18"/>
                <w:szCs w:val="18"/>
              </w:rPr>
            </w:pPr>
            <w:r>
              <w:rPr>
                <w:spacing w:val="-2"/>
                <w:sz w:val="18"/>
                <w:szCs w:val="18"/>
              </w:rPr>
              <w:t>3户，3人</w:t>
            </w:r>
          </w:p>
        </w:tc>
        <w:tc>
          <w:tcPr>
            <w:tcW w:w="1868" w:type="dxa"/>
            <w:vAlign w:val="top"/>
          </w:tcPr>
          <w:p w14:paraId="388D30BF">
            <w:pPr>
              <w:spacing w:line="316" w:lineRule="auto"/>
              <w:rPr>
                <w:rFonts w:ascii="Arial"/>
                <w:sz w:val="21"/>
              </w:rPr>
            </w:pPr>
          </w:p>
          <w:p w14:paraId="4C7914C3">
            <w:pPr>
              <w:pStyle w:val="6"/>
              <w:spacing w:before="59" w:line="219" w:lineRule="auto"/>
              <w:ind w:left="255"/>
              <w:rPr>
                <w:sz w:val="18"/>
                <w:szCs w:val="18"/>
              </w:rPr>
            </w:pPr>
            <w:r>
              <w:rPr>
                <w:spacing w:val="1"/>
                <w:sz w:val="18"/>
                <w:szCs w:val="18"/>
              </w:rPr>
              <w:t>14#光伏阵列西侧</w:t>
            </w:r>
          </w:p>
        </w:tc>
        <w:tc>
          <w:tcPr>
            <w:tcW w:w="729" w:type="dxa"/>
            <w:vAlign w:val="top"/>
          </w:tcPr>
          <w:p w14:paraId="0018E74C">
            <w:pPr>
              <w:spacing w:line="335" w:lineRule="auto"/>
              <w:rPr>
                <w:rFonts w:ascii="Arial"/>
                <w:sz w:val="21"/>
              </w:rPr>
            </w:pPr>
          </w:p>
          <w:p w14:paraId="2297798D">
            <w:pPr>
              <w:pStyle w:val="6"/>
              <w:spacing w:before="58"/>
              <w:ind w:left="177"/>
              <w:rPr>
                <w:sz w:val="18"/>
                <w:szCs w:val="18"/>
              </w:rPr>
            </w:pPr>
            <w:r>
              <w:rPr>
                <w:spacing w:val="-4"/>
                <w:sz w:val="18"/>
                <w:szCs w:val="18"/>
              </w:rPr>
              <w:t>131m</w:t>
            </w:r>
          </w:p>
        </w:tc>
        <w:tc>
          <w:tcPr>
            <w:tcW w:w="609" w:type="dxa"/>
            <w:vMerge w:val="continue"/>
            <w:tcBorders>
              <w:top w:val="nil"/>
              <w:bottom w:val="nil"/>
            </w:tcBorders>
            <w:vAlign w:val="top"/>
          </w:tcPr>
          <w:p w14:paraId="78E0D6D4">
            <w:pPr>
              <w:rPr>
                <w:rFonts w:ascii="Arial"/>
                <w:sz w:val="21"/>
              </w:rPr>
            </w:pPr>
          </w:p>
        </w:tc>
        <w:tc>
          <w:tcPr>
            <w:tcW w:w="794" w:type="dxa"/>
            <w:vMerge w:val="continue"/>
            <w:tcBorders>
              <w:top w:val="nil"/>
              <w:bottom w:val="nil"/>
            </w:tcBorders>
            <w:vAlign w:val="top"/>
          </w:tcPr>
          <w:p w14:paraId="3C648579">
            <w:pPr>
              <w:rPr>
                <w:rFonts w:ascii="Arial"/>
                <w:sz w:val="21"/>
              </w:rPr>
            </w:pPr>
          </w:p>
        </w:tc>
      </w:tr>
      <w:tr w14:paraId="24916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694" w:type="dxa"/>
            <w:vMerge w:val="continue"/>
            <w:tcBorders>
              <w:top w:val="nil"/>
              <w:bottom w:val="nil"/>
            </w:tcBorders>
            <w:vAlign w:val="top"/>
          </w:tcPr>
          <w:p w14:paraId="309BCBF1">
            <w:pPr>
              <w:rPr>
                <w:rFonts w:ascii="Arial"/>
                <w:sz w:val="21"/>
              </w:rPr>
            </w:pPr>
          </w:p>
        </w:tc>
        <w:tc>
          <w:tcPr>
            <w:tcW w:w="140" w:type="dxa"/>
            <w:vMerge w:val="continue"/>
            <w:tcBorders>
              <w:top w:val="nil"/>
              <w:bottom w:val="nil"/>
            </w:tcBorders>
            <w:vAlign w:val="top"/>
          </w:tcPr>
          <w:p w14:paraId="32D547D0">
            <w:pPr>
              <w:rPr>
                <w:rFonts w:ascii="Arial"/>
                <w:sz w:val="21"/>
              </w:rPr>
            </w:pPr>
          </w:p>
        </w:tc>
        <w:tc>
          <w:tcPr>
            <w:tcW w:w="599" w:type="dxa"/>
            <w:vMerge w:val="continue"/>
            <w:tcBorders>
              <w:top w:val="nil"/>
              <w:bottom w:val="nil"/>
            </w:tcBorders>
            <w:vAlign w:val="top"/>
          </w:tcPr>
          <w:p w14:paraId="59F65F2E">
            <w:pPr>
              <w:rPr>
                <w:rFonts w:ascii="Arial"/>
                <w:sz w:val="21"/>
              </w:rPr>
            </w:pPr>
          </w:p>
        </w:tc>
        <w:tc>
          <w:tcPr>
            <w:tcW w:w="839" w:type="dxa"/>
            <w:vAlign w:val="top"/>
          </w:tcPr>
          <w:p w14:paraId="677E8254">
            <w:pPr>
              <w:pStyle w:val="6"/>
              <w:spacing w:before="28" w:line="231" w:lineRule="auto"/>
              <w:ind w:left="41" w:right="23" w:firstLine="10"/>
              <w:rPr>
                <w:sz w:val="18"/>
                <w:szCs w:val="18"/>
              </w:rPr>
            </w:pPr>
            <w:r>
              <w:rPr>
                <w:spacing w:val="-2"/>
                <w:sz w:val="18"/>
                <w:szCs w:val="18"/>
              </w:rPr>
              <w:t>放马沟散</w:t>
            </w:r>
            <w:r>
              <w:rPr>
                <w:sz w:val="18"/>
                <w:szCs w:val="18"/>
              </w:rPr>
              <w:t xml:space="preserve"> </w:t>
            </w:r>
            <w:r>
              <w:rPr>
                <w:spacing w:val="-22"/>
                <w:sz w:val="18"/>
                <w:szCs w:val="18"/>
              </w:rPr>
              <w:t>户</w:t>
            </w:r>
            <w:r>
              <w:rPr>
                <w:spacing w:val="-2"/>
                <w:sz w:val="18"/>
                <w:szCs w:val="18"/>
              </w:rPr>
              <w:t xml:space="preserve"> </w:t>
            </w:r>
            <w:r>
              <w:rPr>
                <w:spacing w:val="-22"/>
                <w:sz w:val="18"/>
                <w:szCs w:val="18"/>
              </w:rPr>
              <w:t>5</w:t>
            </w:r>
            <w:r>
              <w:rPr>
                <w:spacing w:val="26"/>
                <w:sz w:val="18"/>
                <w:szCs w:val="18"/>
              </w:rPr>
              <w:t xml:space="preserve"> </w:t>
            </w:r>
            <w:r>
              <w:rPr>
                <w:spacing w:val="-22"/>
                <w:sz w:val="18"/>
                <w:szCs w:val="18"/>
              </w:rPr>
              <w:t>(</w:t>
            </w:r>
            <w:r>
              <w:rPr>
                <w:spacing w:val="16"/>
                <w:sz w:val="18"/>
                <w:szCs w:val="18"/>
              </w:rPr>
              <w:t xml:space="preserve"> </w:t>
            </w:r>
            <w:r>
              <w:rPr>
                <w:spacing w:val="-22"/>
                <w:sz w:val="18"/>
                <w:szCs w:val="18"/>
              </w:rPr>
              <w:t>田</w:t>
            </w:r>
          </w:p>
          <w:p w14:paraId="6732B9C3">
            <w:pPr>
              <w:pStyle w:val="6"/>
              <w:spacing w:line="219" w:lineRule="auto"/>
              <w:ind w:left="51"/>
              <w:rPr>
                <w:sz w:val="18"/>
                <w:szCs w:val="18"/>
              </w:rPr>
            </w:pPr>
            <w:r>
              <w:rPr>
                <w:spacing w:val="1"/>
                <w:sz w:val="18"/>
                <w:szCs w:val="18"/>
              </w:rPr>
              <w:t>间农户看</w:t>
            </w:r>
          </w:p>
          <w:p w14:paraId="02045C1F">
            <w:pPr>
              <w:pStyle w:val="6"/>
              <w:spacing w:before="28" w:line="192" w:lineRule="auto"/>
              <w:ind w:left="271"/>
              <w:rPr>
                <w:sz w:val="18"/>
                <w:szCs w:val="18"/>
              </w:rPr>
            </w:pPr>
            <w:r>
              <w:rPr>
                <w:spacing w:val="-4"/>
                <w:sz w:val="18"/>
                <w:szCs w:val="18"/>
              </w:rPr>
              <w:t>地</w:t>
            </w:r>
            <w:r>
              <w:rPr>
                <w:spacing w:val="-36"/>
                <w:sz w:val="18"/>
                <w:szCs w:val="18"/>
              </w:rPr>
              <w:t xml:space="preserve"> </w:t>
            </w:r>
            <w:r>
              <w:rPr>
                <w:spacing w:val="-4"/>
                <w:sz w:val="18"/>
                <w:szCs w:val="18"/>
              </w:rPr>
              <w:t>)</w:t>
            </w:r>
          </w:p>
        </w:tc>
        <w:tc>
          <w:tcPr>
            <w:tcW w:w="1678" w:type="dxa"/>
            <w:vAlign w:val="top"/>
          </w:tcPr>
          <w:p w14:paraId="16C91BEC">
            <w:pPr>
              <w:spacing w:line="257" w:lineRule="auto"/>
              <w:rPr>
                <w:rFonts w:ascii="Arial"/>
                <w:sz w:val="21"/>
              </w:rPr>
            </w:pPr>
          </w:p>
          <w:p w14:paraId="5FB724CB">
            <w:pPr>
              <w:pStyle w:val="6"/>
              <w:spacing w:before="58" w:line="222" w:lineRule="auto"/>
              <w:ind w:left="22"/>
              <w:rPr>
                <w:sz w:val="18"/>
                <w:szCs w:val="18"/>
              </w:rPr>
            </w:pPr>
            <w:r>
              <w:rPr>
                <w:spacing w:val="-4"/>
                <w:sz w:val="18"/>
                <w:szCs w:val="18"/>
              </w:rPr>
              <w:t>E103°28'48.84298"</w:t>
            </w:r>
            <w:r>
              <w:rPr>
                <w:spacing w:val="1"/>
                <w:sz w:val="18"/>
                <w:szCs w:val="18"/>
              </w:rPr>
              <w:t xml:space="preserve">  N24°52'48.07682”</w:t>
            </w:r>
          </w:p>
        </w:tc>
        <w:tc>
          <w:tcPr>
            <w:tcW w:w="1339" w:type="dxa"/>
            <w:vAlign w:val="top"/>
          </w:tcPr>
          <w:p w14:paraId="6B183118">
            <w:pPr>
              <w:spacing w:line="309" w:lineRule="auto"/>
              <w:rPr>
                <w:rFonts w:ascii="Arial"/>
                <w:sz w:val="21"/>
              </w:rPr>
            </w:pPr>
          </w:p>
          <w:p w14:paraId="1D8423DD">
            <w:pPr>
              <w:pStyle w:val="6"/>
              <w:spacing w:before="58" w:line="220" w:lineRule="auto"/>
              <w:ind w:left="304"/>
              <w:rPr>
                <w:sz w:val="18"/>
                <w:szCs w:val="18"/>
              </w:rPr>
            </w:pPr>
            <w:r>
              <w:rPr>
                <w:spacing w:val="1"/>
                <w:sz w:val="18"/>
                <w:szCs w:val="18"/>
              </w:rPr>
              <w:t>1户，1人</w:t>
            </w:r>
          </w:p>
        </w:tc>
        <w:tc>
          <w:tcPr>
            <w:tcW w:w="1868" w:type="dxa"/>
            <w:vAlign w:val="top"/>
          </w:tcPr>
          <w:p w14:paraId="2C66DD53">
            <w:pPr>
              <w:spacing w:line="307" w:lineRule="auto"/>
              <w:rPr>
                <w:rFonts w:ascii="Arial"/>
                <w:sz w:val="21"/>
              </w:rPr>
            </w:pPr>
          </w:p>
          <w:p w14:paraId="79A091F1">
            <w:pPr>
              <w:pStyle w:val="6"/>
              <w:spacing w:before="59" w:line="219" w:lineRule="auto"/>
              <w:ind w:left="165"/>
              <w:rPr>
                <w:sz w:val="18"/>
                <w:szCs w:val="18"/>
              </w:rPr>
            </w:pPr>
            <w:r>
              <w:rPr>
                <w:spacing w:val="1"/>
                <w:sz w:val="18"/>
                <w:szCs w:val="18"/>
              </w:rPr>
              <w:t>14#光伏阵列西南侧</w:t>
            </w:r>
          </w:p>
        </w:tc>
        <w:tc>
          <w:tcPr>
            <w:tcW w:w="729" w:type="dxa"/>
            <w:vAlign w:val="top"/>
          </w:tcPr>
          <w:p w14:paraId="0A573479">
            <w:pPr>
              <w:spacing w:line="326" w:lineRule="auto"/>
              <w:rPr>
                <w:rFonts w:ascii="Arial"/>
                <w:sz w:val="21"/>
              </w:rPr>
            </w:pPr>
          </w:p>
          <w:p w14:paraId="729759D2">
            <w:pPr>
              <w:pStyle w:val="6"/>
              <w:spacing w:before="58"/>
              <w:ind w:left="177"/>
              <w:rPr>
                <w:sz w:val="18"/>
                <w:szCs w:val="18"/>
              </w:rPr>
            </w:pPr>
            <w:r>
              <w:rPr>
                <w:spacing w:val="-2"/>
                <w:sz w:val="18"/>
                <w:szCs w:val="18"/>
              </w:rPr>
              <w:t>389m</w:t>
            </w:r>
          </w:p>
        </w:tc>
        <w:tc>
          <w:tcPr>
            <w:tcW w:w="609" w:type="dxa"/>
            <w:vMerge w:val="continue"/>
            <w:tcBorders>
              <w:top w:val="nil"/>
              <w:bottom w:val="nil"/>
            </w:tcBorders>
            <w:vAlign w:val="top"/>
          </w:tcPr>
          <w:p w14:paraId="283F56D7">
            <w:pPr>
              <w:rPr>
                <w:rFonts w:ascii="Arial"/>
                <w:sz w:val="21"/>
              </w:rPr>
            </w:pPr>
          </w:p>
        </w:tc>
        <w:tc>
          <w:tcPr>
            <w:tcW w:w="794" w:type="dxa"/>
            <w:vMerge w:val="continue"/>
            <w:tcBorders>
              <w:top w:val="nil"/>
              <w:bottom w:val="nil"/>
            </w:tcBorders>
            <w:vAlign w:val="top"/>
          </w:tcPr>
          <w:p w14:paraId="6DDA917F">
            <w:pPr>
              <w:rPr>
                <w:rFonts w:ascii="Arial"/>
                <w:sz w:val="21"/>
              </w:rPr>
            </w:pPr>
          </w:p>
        </w:tc>
      </w:tr>
      <w:tr w14:paraId="447F9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94" w:type="dxa"/>
            <w:vMerge w:val="continue"/>
            <w:tcBorders>
              <w:top w:val="nil"/>
              <w:bottom w:val="nil"/>
            </w:tcBorders>
            <w:vAlign w:val="top"/>
          </w:tcPr>
          <w:p w14:paraId="79F8AE51">
            <w:pPr>
              <w:rPr>
                <w:rFonts w:ascii="Arial"/>
                <w:sz w:val="21"/>
              </w:rPr>
            </w:pPr>
          </w:p>
        </w:tc>
        <w:tc>
          <w:tcPr>
            <w:tcW w:w="140" w:type="dxa"/>
            <w:vMerge w:val="continue"/>
            <w:tcBorders>
              <w:top w:val="nil"/>
              <w:bottom w:val="nil"/>
            </w:tcBorders>
            <w:vAlign w:val="top"/>
          </w:tcPr>
          <w:p w14:paraId="0D8CB16A">
            <w:pPr>
              <w:rPr>
                <w:rFonts w:ascii="Arial"/>
                <w:sz w:val="21"/>
              </w:rPr>
            </w:pPr>
          </w:p>
        </w:tc>
        <w:tc>
          <w:tcPr>
            <w:tcW w:w="599" w:type="dxa"/>
            <w:vMerge w:val="continue"/>
            <w:tcBorders>
              <w:top w:val="nil"/>
              <w:bottom w:val="nil"/>
            </w:tcBorders>
            <w:vAlign w:val="top"/>
          </w:tcPr>
          <w:p w14:paraId="12F5253E">
            <w:pPr>
              <w:rPr>
                <w:rFonts w:ascii="Arial"/>
                <w:sz w:val="21"/>
              </w:rPr>
            </w:pPr>
          </w:p>
        </w:tc>
        <w:tc>
          <w:tcPr>
            <w:tcW w:w="839" w:type="dxa"/>
            <w:vAlign w:val="top"/>
          </w:tcPr>
          <w:p w14:paraId="41ABC09C">
            <w:pPr>
              <w:pStyle w:val="6"/>
              <w:spacing w:before="39" w:line="222" w:lineRule="auto"/>
              <w:ind w:left="141" w:right="114" w:hanging="50"/>
              <w:jc w:val="right"/>
              <w:rPr>
                <w:sz w:val="18"/>
                <w:szCs w:val="18"/>
              </w:rPr>
            </w:pPr>
            <w:r>
              <w:rPr>
                <w:spacing w:val="-2"/>
                <w:sz w:val="18"/>
                <w:szCs w:val="18"/>
              </w:rPr>
              <w:t>戈依(在</w:t>
            </w:r>
            <w:r>
              <w:rPr>
                <w:sz w:val="18"/>
                <w:szCs w:val="18"/>
              </w:rPr>
              <w:t xml:space="preserve"> </w:t>
            </w:r>
            <w:r>
              <w:rPr>
                <w:spacing w:val="2"/>
                <w:sz w:val="18"/>
                <w:szCs w:val="18"/>
              </w:rPr>
              <w:t>500m范</w:t>
            </w:r>
            <w:r>
              <w:rPr>
                <w:sz w:val="18"/>
                <w:szCs w:val="18"/>
              </w:rPr>
              <w:t xml:space="preserve"> </w:t>
            </w:r>
            <w:r>
              <w:rPr>
                <w:spacing w:val="13"/>
                <w:sz w:val="18"/>
                <w:szCs w:val="18"/>
              </w:rPr>
              <w:t>围内)</w:t>
            </w:r>
          </w:p>
        </w:tc>
        <w:tc>
          <w:tcPr>
            <w:tcW w:w="1678" w:type="dxa"/>
            <w:vAlign w:val="top"/>
          </w:tcPr>
          <w:p w14:paraId="69FE5418">
            <w:pPr>
              <w:pStyle w:val="6"/>
              <w:spacing w:before="218" w:line="222" w:lineRule="auto"/>
              <w:ind w:left="21" w:hanging="9"/>
              <w:rPr>
                <w:sz w:val="18"/>
                <w:szCs w:val="18"/>
              </w:rPr>
            </w:pPr>
            <w:r>
              <w:rPr>
                <w:spacing w:val="-4"/>
                <w:sz w:val="18"/>
                <w:szCs w:val="18"/>
              </w:rPr>
              <w:t>E103°28'59.22313”</w:t>
            </w:r>
            <w:r>
              <w:rPr>
                <w:spacing w:val="12"/>
                <w:sz w:val="18"/>
                <w:szCs w:val="18"/>
              </w:rPr>
              <w:t xml:space="preserve"> </w:t>
            </w:r>
            <w:r>
              <w:rPr>
                <w:spacing w:val="-3"/>
                <w:sz w:val="18"/>
                <w:szCs w:val="18"/>
              </w:rPr>
              <w:t>N24°53'17.15089”</w:t>
            </w:r>
          </w:p>
        </w:tc>
        <w:tc>
          <w:tcPr>
            <w:tcW w:w="1339" w:type="dxa"/>
            <w:vAlign w:val="top"/>
          </w:tcPr>
          <w:p w14:paraId="5E22345F">
            <w:pPr>
              <w:pStyle w:val="6"/>
              <w:spacing w:before="260" w:line="220" w:lineRule="auto"/>
              <w:ind w:left="304"/>
              <w:rPr>
                <w:sz w:val="18"/>
                <w:szCs w:val="18"/>
              </w:rPr>
            </w:pPr>
            <w:r>
              <w:rPr>
                <w:spacing w:val="1"/>
                <w:sz w:val="18"/>
                <w:szCs w:val="18"/>
              </w:rPr>
              <w:t>1户，4人</w:t>
            </w:r>
          </w:p>
        </w:tc>
        <w:tc>
          <w:tcPr>
            <w:tcW w:w="1868" w:type="dxa"/>
            <w:vAlign w:val="top"/>
          </w:tcPr>
          <w:p w14:paraId="2E4F7EBA">
            <w:pPr>
              <w:pStyle w:val="6"/>
              <w:spacing w:before="259" w:line="219" w:lineRule="auto"/>
              <w:ind w:left="165"/>
              <w:rPr>
                <w:sz w:val="18"/>
                <w:szCs w:val="18"/>
              </w:rPr>
            </w:pPr>
            <w:r>
              <w:rPr>
                <w:spacing w:val="1"/>
                <w:sz w:val="18"/>
                <w:szCs w:val="18"/>
              </w:rPr>
              <w:t>14#光伏阵列西北侧</w:t>
            </w:r>
          </w:p>
        </w:tc>
        <w:tc>
          <w:tcPr>
            <w:tcW w:w="729" w:type="dxa"/>
            <w:vAlign w:val="top"/>
          </w:tcPr>
          <w:p w14:paraId="02D0152C">
            <w:pPr>
              <w:pStyle w:val="6"/>
              <w:spacing w:before="277"/>
              <w:ind w:left="177"/>
              <w:rPr>
                <w:sz w:val="18"/>
                <w:szCs w:val="18"/>
              </w:rPr>
            </w:pPr>
            <w:r>
              <w:rPr>
                <w:spacing w:val="-2"/>
                <w:sz w:val="18"/>
                <w:szCs w:val="18"/>
              </w:rPr>
              <w:t>470m</w:t>
            </w:r>
          </w:p>
        </w:tc>
        <w:tc>
          <w:tcPr>
            <w:tcW w:w="609" w:type="dxa"/>
            <w:vMerge w:val="continue"/>
            <w:tcBorders>
              <w:top w:val="nil"/>
              <w:bottom w:val="nil"/>
            </w:tcBorders>
            <w:vAlign w:val="top"/>
          </w:tcPr>
          <w:p w14:paraId="134EB24A">
            <w:pPr>
              <w:rPr>
                <w:rFonts w:ascii="Arial"/>
                <w:sz w:val="21"/>
              </w:rPr>
            </w:pPr>
          </w:p>
        </w:tc>
        <w:tc>
          <w:tcPr>
            <w:tcW w:w="794" w:type="dxa"/>
            <w:vMerge w:val="continue"/>
            <w:tcBorders>
              <w:top w:val="nil"/>
              <w:bottom w:val="nil"/>
            </w:tcBorders>
            <w:vAlign w:val="top"/>
          </w:tcPr>
          <w:p w14:paraId="0AC9DE63">
            <w:pPr>
              <w:rPr>
                <w:rFonts w:ascii="Arial"/>
                <w:sz w:val="21"/>
              </w:rPr>
            </w:pPr>
          </w:p>
        </w:tc>
      </w:tr>
      <w:tr w14:paraId="4058A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94" w:type="dxa"/>
            <w:vMerge w:val="continue"/>
            <w:tcBorders>
              <w:top w:val="nil"/>
              <w:bottom w:val="nil"/>
            </w:tcBorders>
            <w:vAlign w:val="top"/>
          </w:tcPr>
          <w:p w14:paraId="302316DF">
            <w:pPr>
              <w:rPr>
                <w:rFonts w:ascii="Arial"/>
                <w:sz w:val="21"/>
              </w:rPr>
            </w:pPr>
          </w:p>
        </w:tc>
        <w:tc>
          <w:tcPr>
            <w:tcW w:w="140" w:type="dxa"/>
            <w:vMerge w:val="continue"/>
            <w:tcBorders>
              <w:top w:val="nil"/>
              <w:bottom w:val="nil"/>
            </w:tcBorders>
            <w:vAlign w:val="top"/>
          </w:tcPr>
          <w:p w14:paraId="25200D71">
            <w:pPr>
              <w:rPr>
                <w:rFonts w:ascii="Arial"/>
                <w:sz w:val="21"/>
              </w:rPr>
            </w:pPr>
          </w:p>
        </w:tc>
        <w:tc>
          <w:tcPr>
            <w:tcW w:w="599" w:type="dxa"/>
            <w:vMerge w:val="continue"/>
            <w:tcBorders>
              <w:top w:val="nil"/>
              <w:bottom w:val="nil"/>
            </w:tcBorders>
            <w:vAlign w:val="top"/>
          </w:tcPr>
          <w:p w14:paraId="3CE64D99">
            <w:pPr>
              <w:rPr>
                <w:rFonts w:ascii="Arial"/>
                <w:sz w:val="21"/>
              </w:rPr>
            </w:pPr>
          </w:p>
        </w:tc>
        <w:tc>
          <w:tcPr>
            <w:tcW w:w="839" w:type="dxa"/>
            <w:vAlign w:val="top"/>
          </w:tcPr>
          <w:p w14:paraId="7D8B9E2B">
            <w:pPr>
              <w:pStyle w:val="6"/>
              <w:spacing w:before="41" w:line="241" w:lineRule="auto"/>
              <w:ind w:left="51" w:right="33"/>
              <w:rPr>
                <w:sz w:val="18"/>
                <w:szCs w:val="18"/>
              </w:rPr>
            </w:pPr>
            <w:r>
              <w:rPr>
                <w:spacing w:val="-2"/>
                <w:sz w:val="18"/>
                <w:szCs w:val="18"/>
              </w:rPr>
              <w:t>放马沟散</w:t>
            </w:r>
            <w:r>
              <w:rPr>
                <w:sz w:val="18"/>
                <w:szCs w:val="18"/>
              </w:rPr>
              <w:t xml:space="preserve"> </w:t>
            </w:r>
            <w:r>
              <w:rPr>
                <w:spacing w:val="-19"/>
                <w:sz w:val="18"/>
                <w:szCs w:val="18"/>
              </w:rPr>
              <w:t>户 6</w:t>
            </w:r>
            <w:r>
              <w:rPr>
                <w:spacing w:val="18"/>
                <w:sz w:val="18"/>
                <w:szCs w:val="18"/>
              </w:rPr>
              <w:t xml:space="preserve"> </w:t>
            </w:r>
            <w:r>
              <w:rPr>
                <w:spacing w:val="-19"/>
                <w:sz w:val="18"/>
                <w:szCs w:val="18"/>
              </w:rPr>
              <w:t>(</w:t>
            </w:r>
            <w:r>
              <w:rPr>
                <w:spacing w:val="9"/>
                <w:sz w:val="18"/>
                <w:szCs w:val="18"/>
              </w:rPr>
              <w:t xml:space="preserve"> </w:t>
            </w:r>
            <w:r>
              <w:rPr>
                <w:spacing w:val="-19"/>
                <w:sz w:val="18"/>
                <w:szCs w:val="18"/>
              </w:rPr>
              <w:t>田</w:t>
            </w:r>
          </w:p>
          <w:p w14:paraId="45A6F7B5">
            <w:pPr>
              <w:pStyle w:val="6"/>
              <w:spacing w:line="219" w:lineRule="auto"/>
              <w:ind w:left="51"/>
              <w:rPr>
                <w:sz w:val="18"/>
                <w:szCs w:val="18"/>
              </w:rPr>
            </w:pPr>
            <w:r>
              <w:rPr>
                <w:spacing w:val="1"/>
                <w:sz w:val="18"/>
                <w:szCs w:val="18"/>
              </w:rPr>
              <w:t>间农户看</w:t>
            </w:r>
          </w:p>
          <w:p w14:paraId="1485218D">
            <w:pPr>
              <w:pStyle w:val="6"/>
              <w:spacing w:before="28" w:line="200" w:lineRule="auto"/>
              <w:ind w:left="271"/>
              <w:rPr>
                <w:sz w:val="18"/>
                <w:szCs w:val="18"/>
              </w:rPr>
            </w:pPr>
            <w:r>
              <w:rPr>
                <w:spacing w:val="-4"/>
                <w:sz w:val="18"/>
                <w:szCs w:val="18"/>
              </w:rPr>
              <w:t>地</w:t>
            </w:r>
            <w:r>
              <w:rPr>
                <w:spacing w:val="-36"/>
                <w:sz w:val="18"/>
                <w:szCs w:val="18"/>
              </w:rPr>
              <w:t xml:space="preserve"> </w:t>
            </w:r>
            <w:r>
              <w:rPr>
                <w:spacing w:val="-4"/>
                <w:sz w:val="18"/>
                <w:szCs w:val="18"/>
              </w:rPr>
              <w:t>)</w:t>
            </w:r>
          </w:p>
        </w:tc>
        <w:tc>
          <w:tcPr>
            <w:tcW w:w="1678" w:type="dxa"/>
            <w:vAlign w:val="top"/>
          </w:tcPr>
          <w:p w14:paraId="19FC8242">
            <w:pPr>
              <w:spacing w:line="269" w:lineRule="auto"/>
              <w:rPr>
                <w:rFonts w:ascii="Arial"/>
                <w:sz w:val="21"/>
              </w:rPr>
            </w:pPr>
          </w:p>
          <w:p w14:paraId="361A4126">
            <w:pPr>
              <w:pStyle w:val="6"/>
              <w:spacing w:before="59" w:line="227" w:lineRule="auto"/>
              <w:ind w:left="21" w:hanging="9"/>
              <w:rPr>
                <w:sz w:val="18"/>
                <w:szCs w:val="18"/>
              </w:rPr>
            </w:pPr>
            <w:r>
              <w:rPr>
                <w:spacing w:val="-4"/>
                <w:sz w:val="18"/>
                <w:szCs w:val="18"/>
              </w:rPr>
              <w:t>E103°29'15.63825”</w:t>
            </w:r>
            <w:r>
              <w:rPr>
                <w:spacing w:val="12"/>
                <w:sz w:val="18"/>
                <w:szCs w:val="18"/>
              </w:rPr>
              <w:t xml:space="preserve"> </w:t>
            </w:r>
            <w:r>
              <w:rPr>
                <w:spacing w:val="-3"/>
                <w:sz w:val="18"/>
                <w:szCs w:val="18"/>
              </w:rPr>
              <w:t>N24°53'16.70672”</w:t>
            </w:r>
          </w:p>
        </w:tc>
        <w:tc>
          <w:tcPr>
            <w:tcW w:w="1339" w:type="dxa"/>
            <w:vAlign w:val="top"/>
          </w:tcPr>
          <w:p w14:paraId="1B309392">
            <w:pPr>
              <w:spacing w:line="331" w:lineRule="auto"/>
              <w:rPr>
                <w:rFonts w:ascii="Arial"/>
                <w:sz w:val="21"/>
              </w:rPr>
            </w:pPr>
          </w:p>
          <w:p w14:paraId="21C264CF">
            <w:pPr>
              <w:pStyle w:val="6"/>
              <w:spacing w:before="58" w:line="220" w:lineRule="auto"/>
              <w:ind w:left="304"/>
              <w:rPr>
                <w:sz w:val="18"/>
                <w:szCs w:val="18"/>
              </w:rPr>
            </w:pPr>
            <w:r>
              <w:rPr>
                <w:spacing w:val="-1"/>
                <w:sz w:val="18"/>
                <w:szCs w:val="18"/>
              </w:rPr>
              <w:t>4户，4人</w:t>
            </w:r>
          </w:p>
        </w:tc>
        <w:tc>
          <w:tcPr>
            <w:tcW w:w="1868" w:type="dxa"/>
            <w:vAlign w:val="top"/>
          </w:tcPr>
          <w:p w14:paraId="560C72E8">
            <w:pPr>
              <w:spacing w:line="329" w:lineRule="auto"/>
              <w:rPr>
                <w:rFonts w:ascii="Arial"/>
                <w:sz w:val="21"/>
              </w:rPr>
            </w:pPr>
          </w:p>
          <w:p w14:paraId="7EECF24B">
            <w:pPr>
              <w:pStyle w:val="6"/>
              <w:spacing w:before="59" w:line="219" w:lineRule="auto"/>
              <w:ind w:left="165"/>
              <w:rPr>
                <w:sz w:val="18"/>
                <w:szCs w:val="18"/>
              </w:rPr>
            </w:pPr>
            <w:r>
              <w:rPr>
                <w:spacing w:val="1"/>
                <w:sz w:val="18"/>
                <w:szCs w:val="18"/>
              </w:rPr>
              <w:t>14#光伏阵列东北侧</w:t>
            </w:r>
          </w:p>
        </w:tc>
        <w:tc>
          <w:tcPr>
            <w:tcW w:w="729" w:type="dxa"/>
            <w:vAlign w:val="top"/>
          </w:tcPr>
          <w:p w14:paraId="683B1AA8">
            <w:pPr>
              <w:spacing w:line="348" w:lineRule="auto"/>
              <w:rPr>
                <w:rFonts w:ascii="Arial"/>
                <w:sz w:val="21"/>
              </w:rPr>
            </w:pPr>
          </w:p>
          <w:p w14:paraId="046E8EFC">
            <w:pPr>
              <w:pStyle w:val="6"/>
              <w:spacing w:before="58"/>
              <w:ind w:left="177"/>
              <w:rPr>
                <w:sz w:val="18"/>
                <w:szCs w:val="18"/>
              </w:rPr>
            </w:pPr>
            <w:r>
              <w:rPr>
                <w:spacing w:val="-2"/>
                <w:sz w:val="18"/>
                <w:szCs w:val="18"/>
              </w:rPr>
              <w:t>379m</w:t>
            </w:r>
          </w:p>
        </w:tc>
        <w:tc>
          <w:tcPr>
            <w:tcW w:w="609" w:type="dxa"/>
            <w:vMerge w:val="continue"/>
            <w:tcBorders>
              <w:top w:val="nil"/>
              <w:bottom w:val="nil"/>
            </w:tcBorders>
            <w:vAlign w:val="top"/>
          </w:tcPr>
          <w:p w14:paraId="457B85F2">
            <w:pPr>
              <w:rPr>
                <w:rFonts w:ascii="Arial"/>
                <w:sz w:val="21"/>
              </w:rPr>
            </w:pPr>
          </w:p>
        </w:tc>
        <w:tc>
          <w:tcPr>
            <w:tcW w:w="794" w:type="dxa"/>
            <w:vMerge w:val="continue"/>
            <w:tcBorders>
              <w:top w:val="nil"/>
              <w:bottom w:val="nil"/>
            </w:tcBorders>
            <w:vAlign w:val="top"/>
          </w:tcPr>
          <w:p w14:paraId="14850E52">
            <w:pPr>
              <w:rPr>
                <w:rFonts w:ascii="Arial"/>
                <w:sz w:val="21"/>
              </w:rPr>
            </w:pPr>
          </w:p>
        </w:tc>
      </w:tr>
      <w:tr w14:paraId="5D520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94" w:type="dxa"/>
            <w:vMerge w:val="continue"/>
            <w:tcBorders>
              <w:top w:val="nil"/>
              <w:bottom w:val="nil"/>
            </w:tcBorders>
            <w:vAlign w:val="top"/>
          </w:tcPr>
          <w:p w14:paraId="51261397">
            <w:pPr>
              <w:rPr>
                <w:rFonts w:ascii="Arial"/>
                <w:sz w:val="21"/>
              </w:rPr>
            </w:pPr>
          </w:p>
        </w:tc>
        <w:tc>
          <w:tcPr>
            <w:tcW w:w="140" w:type="dxa"/>
            <w:vMerge w:val="continue"/>
            <w:tcBorders>
              <w:top w:val="nil"/>
              <w:bottom w:val="nil"/>
            </w:tcBorders>
            <w:vAlign w:val="top"/>
          </w:tcPr>
          <w:p w14:paraId="2F992682">
            <w:pPr>
              <w:rPr>
                <w:rFonts w:ascii="Arial"/>
                <w:sz w:val="21"/>
              </w:rPr>
            </w:pPr>
          </w:p>
        </w:tc>
        <w:tc>
          <w:tcPr>
            <w:tcW w:w="599" w:type="dxa"/>
            <w:vMerge w:val="continue"/>
            <w:tcBorders>
              <w:top w:val="nil"/>
              <w:bottom w:val="nil"/>
            </w:tcBorders>
            <w:vAlign w:val="top"/>
          </w:tcPr>
          <w:p w14:paraId="24BA1D9F">
            <w:pPr>
              <w:rPr>
                <w:rFonts w:ascii="Arial"/>
                <w:sz w:val="21"/>
              </w:rPr>
            </w:pPr>
          </w:p>
        </w:tc>
        <w:tc>
          <w:tcPr>
            <w:tcW w:w="839" w:type="dxa"/>
            <w:vAlign w:val="top"/>
          </w:tcPr>
          <w:p w14:paraId="5BBE07BD">
            <w:pPr>
              <w:pStyle w:val="6"/>
              <w:spacing w:before="112" w:line="220" w:lineRule="auto"/>
              <w:ind w:left="141"/>
              <w:rPr>
                <w:sz w:val="18"/>
                <w:szCs w:val="18"/>
              </w:rPr>
            </w:pPr>
            <w:r>
              <w:rPr>
                <w:spacing w:val="4"/>
                <w:sz w:val="18"/>
                <w:szCs w:val="18"/>
              </w:rPr>
              <w:t>放马沟</w:t>
            </w:r>
          </w:p>
        </w:tc>
        <w:tc>
          <w:tcPr>
            <w:tcW w:w="1678" w:type="dxa"/>
            <w:vAlign w:val="top"/>
          </w:tcPr>
          <w:p w14:paraId="1FF56F17">
            <w:pPr>
              <w:pStyle w:val="6"/>
              <w:spacing w:before="60" w:line="169" w:lineRule="auto"/>
              <w:ind w:left="21" w:hanging="9"/>
              <w:rPr>
                <w:sz w:val="18"/>
                <w:szCs w:val="18"/>
              </w:rPr>
            </w:pPr>
            <w:r>
              <w:rPr>
                <w:spacing w:val="-4"/>
                <w:sz w:val="18"/>
                <w:szCs w:val="18"/>
              </w:rPr>
              <w:t>E103°28'14.36163”</w:t>
            </w:r>
            <w:r>
              <w:rPr>
                <w:spacing w:val="12"/>
                <w:sz w:val="18"/>
                <w:szCs w:val="18"/>
              </w:rPr>
              <w:t xml:space="preserve"> </w:t>
            </w:r>
            <w:r>
              <w:rPr>
                <w:spacing w:val="-3"/>
                <w:sz w:val="18"/>
                <w:szCs w:val="18"/>
              </w:rPr>
              <w:t>N24°52'14.06844”</w:t>
            </w:r>
          </w:p>
        </w:tc>
        <w:tc>
          <w:tcPr>
            <w:tcW w:w="1339" w:type="dxa"/>
            <w:vAlign w:val="top"/>
          </w:tcPr>
          <w:p w14:paraId="6D9E0B71">
            <w:pPr>
              <w:pStyle w:val="6"/>
              <w:spacing w:before="112" w:line="220" w:lineRule="auto"/>
              <w:ind w:left="254"/>
              <w:rPr>
                <w:sz w:val="18"/>
                <w:szCs w:val="18"/>
              </w:rPr>
            </w:pPr>
            <w:r>
              <w:rPr>
                <w:spacing w:val="-2"/>
                <w:sz w:val="18"/>
                <w:szCs w:val="18"/>
              </w:rPr>
              <w:t>31户120人</w:t>
            </w:r>
          </w:p>
        </w:tc>
        <w:tc>
          <w:tcPr>
            <w:tcW w:w="1868" w:type="dxa"/>
            <w:vAlign w:val="top"/>
          </w:tcPr>
          <w:p w14:paraId="17F234F4">
            <w:pPr>
              <w:pStyle w:val="6"/>
              <w:spacing w:before="111" w:line="219" w:lineRule="auto"/>
              <w:ind w:left="165"/>
              <w:rPr>
                <w:sz w:val="18"/>
                <w:szCs w:val="18"/>
              </w:rPr>
            </w:pPr>
            <w:r>
              <w:rPr>
                <w:spacing w:val="1"/>
                <w:sz w:val="18"/>
                <w:szCs w:val="18"/>
              </w:rPr>
              <w:t>15#光伏阵列西北侧</w:t>
            </w:r>
          </w:p>
        </w:tc>
        <w:tc>
          <w:tcPr>
            <w:tcW w:w="729" w:type="dxa"/>
            <w:vAlign w:val="top"/>
          </w:tcPr>
          <w:p w14:paraId="0DFF212B">
            <w:pPr>
              <w:pStyle w:val="6"/>
              <w:spacing w:before="129"/>
              <w:ind w:left="177"/>
              <w:rPr>
                <w:sz w:val="18"/>
                <w:szCs w:val="18"/>
              </w:rPr>
            </w:pPr>
            <w:r>
              <w:rPr>
                <w:spacing w:val="-2"/>
                <w:sz w:val="18"/>
                <w:szCs w:val="18"/>
              </w:rPr>
              <w:t>226m</w:t>
            </w:r>
          </w:p>
        </w:tc>
        <w:tc>
          <w:tcPr>
            <w:tcW w:w="609" w:type="dxa"/>
            <w:vMerge w:val="continue"/>
            <w:tcBorders>
              <w:top w:val="nil"/>
              <w:bottom w:val="nil"/>
            </w:tcBorders>
            <w:vAlign w:val="top"/>
          </w:tcPr>
          <w:p w14:paraId="4F55F63C">
            <w:pPr>
              <w:rPr>
                <w:rFonts w:ascii="Arial"/>
                <w:sz w:val="21"/>
              </w:rPr>
            </w:pPr>
          </w:p>
        </w:tc>
        <w:tc>
          <w:tcPr>
            <w:tcW w:w="794" w:type="dxa"/>
            <w:vMerge w:val="continue"/>
            <w:tcBorders>
              <w:top w:val="nil"/>
              <w:bottom w:val="nil"/>
            </w:tcBorders>
            <w:vAlign w:val="top"/>
          </w:tcPr>
          <w:p w14:paraId="7358C92B">
            <w:pPr>
              <w:rPr>
                <w:rFonts w:ascii="Arial"/>
                <w:sz w:val="21"/>
              </w:rPr>
            </w:pPr>
          </w:p>
        </w:tc>
      </w:tr>
      <w:tr w14:paraId="20D6E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694" w:type="dxa"/>
            <w:vMerge w:val="continue"/>
            <w:tcBorders>
              <w:top w:val="nil"/>
              <w:bottom w:val="nil"/>
            </w:tcBorders>
            <w:vAlign w:val="top"/>
          </w:tcPr>
          <w:p w14:paraId="38939019">
            <w:pPr>
              <w:rPr>
                <w:rFonts w:ascii="Arial"/>
                <w:sz w:val="21"/>
              </w:rPr>
            </w:pPr>
          </w:p>
        </w:tc>
        <w:tc>
          <w:tcPr>
            <w:tcW w:w="140" w:type="dxa"/>
            <w:vMerge w:val="continue"/>
            <w:tcBorders>
              <w:top w:val="nil"/>
              <w:bottom w:val="nil"/>
            </w:tcBorders>
            <w:vAlign w:val="top"/>
          </w:tcPr>
          <w:p w14:paraId="56A4E3CB">
            <w:pPr>
              <w:rPr>
                <w:rFonts w:ascii="Arial"/>
                <w:sz w:val="21"/>
              </w:rPr>
            </w:pPr>
          </w:p>
        </w:tc>
        <w:tc>
          <w:tcPr>
            <w:tcW w:w="599" w:type="dxa"/>
            <w:vMerge w:val="continue"/>
            <w:tcBorders>
              <w:top w:val="nil"/>
              <w:bottom w:val="nil"/>
            </w:tcBorders>
            <w:vAlign w:val="top"/>
          </w:tcPr>
          <w:p w14:paraId="6E2707A3">
            <w:pPr>
              <w:rPr>
                <w:rFonts w:ascii="Arial"/>
                <w:sz w:val="21"/>
              </w:rPr>
            </w:pPr>
          </w:p>
        </w:tc>
        <w:tc>
          <w:tcPr>
            <w:tcW w:w="839" w:type="dxa"/>
            <w:vAlign w:val="top"/>
          </w:tcPr>
          <w:p w14:paraId="6B0E1F02">
            <w:pPr>
              <w:pStyle w:val="6"/>
              <w:spacing w:before="41" w:line="226" w:lineRule="auto"/>
              <w:ind w:left="51" w:right="33"/>
              <w:rPr>
                <w:sz w:val="18"/>
                <w:szCs w:val="18"/>
              </w:rPr>
            </w:pPr>
            <w:r>
              <w:rPr>
                <w:spacing w:val="-2"/>
                <w:sz w:val="18"/>
                <w:szCs w:val="18"/>
              </w:rPr>
              <w:t>放马沟散</w:t>
            </w:r>
            <w:r>
              <w:rPr>
                <w:sz w:val="18"/>
                <w:szCs w:val="18"/>
              </w:rPr>
              <w:t xml:space="preserve"> </w:t>
            </w:r>
            <w:r>
              <w:rPr>
                <w:spacing w:val="-22"/>
                <w:sz w:val="18"/>
                <w:szCs w:val="18"/>
              </w:rPr>
              <w:t>户</w:t>
            </w:r>
            <w:r>
              <w:rPr>
                <w:spacing w:val="-8"/>
                <w:sz w:val="18"/>
                <w:szCs w:val="18"/>
              </w:rPr>
              <w:t xml:space="preserve"> </w:t>
            </w:r>
            <w:r>
              <w:rPr>
                <w:spacing w:val="-22"/>
                <w:sz w:val="18"/>
                <w:szCs w:val="18"/>
              </w:rPr>
              <w:t>7</w:t>
            </w:r>
            <w:r>
              <w:rPr>
                <w:spacing w:val="19"/>
                <w:sz w:val="18"/>
                <w:szCs w:val="18"/>
              </w:rPr>
              <w:t xml:space="preserve"> </w:t>
            </w:r>
            <w:r>
              <w:rPr>
                <w:spacing w:val="-22"/>
                <w:sz w:val="18"/>
                <w:szCs w:val="18"/>
              </w:rPr>
              <w:t>(</w:t>
            </w:r>
            <w:r>
              <w:rPr>
                <w:spacing w:val="9"/>
                <w:sz w:val="18"/>
                <w:szCs w:val="18"/>
              </w:rPr>
              <w:t xml:space="preserve"> </w:t>
            </w:r>
            <w:r>
              <w:rPr>
                <w:spacing w:val="-22"/>
                <w:sz w:val="18"/>
                <w:szCs w:val="18"/>
              </w:rPr>
              <w:t>田</w:t>
            </w:r>
          </w:p>
          <w:p w14:paraId="5014A98D">
            <w:pPr>
              <w:pStyle w:val="6"/>
              <w:spacing w:line="219" w:lineRule="auto"/>
              <w:ind w:left="21"/>
              <w:rPr>
                <w:sz w:val="18"/>
                <w:szCs w:val="18"/>
              </w:rPr>
            </w:pPr>
            <w:r>
              <w:rPr>
                <w:spacing w:val="1"/>
                <w:sz w:val="18"/>
                <w:szCs w:val="18"/>
              </w:rPr>
              <w:t>间农户看</w:t>
            </w:r>
          </w:p>
          <w:p w14:paraId="02ECDE9D">
            <w:pPr>
              <w:pStyle w:val="6"/>
              <w:spacing w:before="28" w:line="189" w:lineRule="auto"/>
              <w:ind w:left="271"/>
              <w:rPr>
                <w:sz w:val="18"/>
                <w:szCs w:val="18"/>
              </w:rPr>
            </w:pPr>
            <w:r>
              <w:rPr>
                <w:spacing w:val="-4"/>
                <w:sz w:val="18"/>
                <w:szCs w:val="18"/>
              </w:rPr>
              <w:t>地</w:t>
            </w:r>
            <w:r>
              <w:rPr>
                <w:spacing w:val="-36"/>
                <w:sz w:val="18"/>
                <w:szCs w:val="18"/>
              </w:rPr>
              <w:t xml:space="preserve"> </w:t>
            </w:r>
            <w:r>
              <w:rPr>
                <w:spacing w:val="-4"/>
                <w:sz w:val="18"/>
                <w:szCs w:val="18"/>
              </w:rPr>
              <w:t>)</w:t>
            </w:r>
          </w:p>
        </w:tc>
        <w:tc>
          <w:tcPr>
            <w:tcW w:w="1678" w:type="dxa"/>
            <w:vAlign w:val="top"/>
          </w:tcPr>
          <w:p w14:paraId="1EC96DB1">
            <w:pPr>
              <w:spacing w:line="279" w:lineRule="auto"/>
              <w:rPr>
                <w:rFonts w:ascii="Arial"/>
                <w:sz w:val="21"/>
              </w:rPr>
            </w:pPr>
          </w:p>
          <w:p w14:paraId="79CD0219">
            <w:pPr>
              <w:pStyle w:val="6"/>
              <w:spacing w:before="59" w:line="217" w:lineRule="auto"/>
              <w:ind w:left="112" w:right="29" w:hanging="90"/>
              <w:rPr>
                <w:sz w:val="18"/>
                <w:szCs w:val="18"/>
              </w:rPr>
            </w:pPr>
            <w:r>
              <w:rPr>
                <w:spacing w:val="-1"/>
                <w:sz w:val="18"/>
                <w:szCs w:val="18"/>
              </w:rPr>
              <w:t>E103°28'29.84798"</w:t>
            </w:r>
            <w:r>
              <w:rPr>
                <w:spacing w:val="11"/>
                <w:sz w:val="18"/>
                <w:szCs w:val="18"/>
              </w:rPr>
              <w:t xml:space="preserve"> </w:t>
            </w:r>
            <w:r>
              <w:rPr>
                <w:sz w:val="18"/>
                <w:szCs w:val="18"/>
              </w:rPr>
              <w:t>N24°52'8.23625"</w:t>
            </w:r>
          </w:p>
        </w:tc>
        <w:tc>
          <w:tcPr>
            <w:tcW w:w="1339" w:type="dxa"/>
            <w:vAlign w:val="top"/>
          </w:tcPr>
          <w:p w14:paraId="09D58FB1">
            <w:pPr>
              <w:spacing w:line="312" w:lineRule="auto"/>
              <w:rPr>
                <w:rFonts w:ascii="Arial"/>
                <w:sz w:val="21"/>
              </w:rPr>
            </w:pPr>
          </w:p>
          <w:p w14:paraId="30E7AE34">
            <w:pPr>
              <w:pStyle w:val="6"/>
              <w:spacing w:before="59" w:line="220" w:lineRule="auto"/>
              <w:ind w:left="304"/>
              <w:rPr>
                <w:sz w:val="18"/>
                <w:szCs w:val="18"/>
              </w:rPr>
            </w:pPr>
            <w:r>
              <w:rPr>
                <w:spacing w:val="1"/>
                <w:sz w:val="18"/>
                <w:szCs w:val="18"/>
              </w:rPr>
              <w:t>1户，1人</w:t>
            </w:r>
          </w:p>
        </w:tc>
        <w:tc>
          <w:tcPr>
            <w:tcW w:w="1868" w:type="dxa"/>
            <w:vAlign w:val="top"/>
          </w:tcPr>
          <w:p w14:paraId="32583AA6">
            <w:pPr>
              <w:spacing w:line="310" w:lineRule="auto"/>
              <w:rPr>
                <w:rFonts w:ascii="Arial"/>
                <w:sz w:val="21"/>
              </w:rPr>
            </w:pPr>
          </w:p>
          <w:p w14:paraId="113FDF06">
            <w:pPr>
              <w:pStyle w:val="6"/>
              <w:spacing w:before="59" w:line="219" w:lineRule="auto"/>
              <w:ind w:left="255"/>
              <w:rPr>
                <w:sz w:val="18"/>
                <w:szCs w:val="18"/>
              </w:rPr>
            </w:pPr>
            <w:r>
              <w:rPr>
                <w:spacing w:val="1"/>
                <w:sz w:val="18"/>
                <w:szCs w:val="18"/>
              </w:rPr>
              <w:t>16#光伏阵列北侧</w:t>
            </w:r>
          </w:p>
        </w:tc>
        <w:tc>
          <w:tcPr>
            <w:tcW w:w="729" w:type="dxa"/>
            <w:vAlign w:val="top"/>
          </w:tcPr>
          <w:p w14:paraId="7DE20982">
            <w:pPr>
              <w:spacing w:line="329" w:lineRule="auto"/>
              <w:rPr>
                <w:rFonts w:ascii="Arial"/>
                <w:sz w:val="21"/>
              </w:rPr>
            </w:pPr>
          </w:p>
          <w:p w14:paraId="221FBA44">
            <w:pPr>
              <w:pStyle w:val="6"/>
              <w:spacing w:before="58"/>
              <w:ind w:left="267"/>
              <w:rPr>
                <w:sz w:val="18"/>
                <w:szCs w:val="18"/>
              </w:rPr>
            </w:pPr>
            <w:r>
              <w:rPr>
                <w:spacing w:val="-3"/>
                <w:sz w:val="18"/>
                <w:szCs w:val="18"/>
              </w:rPr>
              <w:t>7m</w:t>
            </w:r>
          </w:p>
        </w:tc>
        <w:tc>
          <w:tcPr>
            <w:tcW w:w="609" w:type="dxa"/>
            <w:vMerge w:val="continue"/>
            <w:tcBorders>
              <w:top w:val="nil"/>
              <w:bottom w:val="nil"/>
            </w:tcBorders>
            <w:vAlign w:val="top"/>
          </w:tcPr>
          <w:p w14:paraId="32624641">
            <w:pPr>
              <w:rPr>
                <w:rFonts w:ascii="Arial"/>
                <w:sz w:val="21"/>
              </w:rPr>
            </w:pPr>
          </w:p>
        </w:tc>
        <w:tc>
          <w:tcPr>
            <w:tcW w:w="794" w:type="dxa"/>
            <w:vMerge w:val="continue"/>
            <w:tcBorders>
              <w:top w:val="nil"/>
              <w:bottom w:val="nil"/>
            </w:tcBorders>
            <w:vAlign w:val="top"/>
          </w:tcPr>
          <w:p w14:paraId="0F45FBAE">
            <w:pPr>
              <w:rPr>
                <w:rFonts w:ascii="Arial"/>
                <w:sz w:val="21"/>
              </w:rPr>
            </w:pPr>
          </w:p>
        </w:tc>
      </w:tr>
      <w:tr w14:paraId="5B697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94" w:type="dxa"/>
            <w:vMerge w:val="continue"/>
            <w:tcBorders>
              <w:top w:val="nil"/>
              <w:bottom w:val="nil"/>
            </w:tcBorders>
            <w:vAlign w:val="top"/>
          </w:tcPr>
          <w:p w14:paraId="6120AAD5">
            <w:pPr>
              <w:rPr>
                <w:rFonts w:ascii="Arial"/>
                <w:sz w:val="21"/>
              </w:rPr>
            </w:pPr>
          </w:p>
        </w:tc>
        <w:tc>
          <w:tcPr>
            <w:tcW w:w="140" w:type="dxa"/>
            <w:vMerge w:val="continue"/>
            <w:tcBorders>
              <w:top w:val="nil"/>
              <w:bottom w:val="nil"/>
            </w:tcBorders>
            <w:vAlign w:val="top"/>
          </w:tcPr>
          <w:p w14:paraId="7C7DCDDE">
            <w:pPr>
              <w:rPr>
                <w:rFonts w:ascii="Arial"/>
                <w:sz w:val="21"/>
              </w:rPr>
            </w:pPr>
          </w:p>
        </w:tc>
        <w:tc>
          <w:tcPr>
            <w:tcW w:w="599" w:type="dxa"/>
            <w:vMerge w:val="continue"/>
            <w:tcBorders>
              <w:top w:val="nil"/>
              <w:bottom w:val="nil"/>
            </w:tcBorders>
            <w:vAlign w:val="top"/>
          </w:tcPr>
          <w:p w14:paraId="654014B6">
            <w:pPr>
              <w:rPr>
                <w:rFonts w:ascii="Arial"/>
                <w:sz w:val="21"/>
              </w:rPr>
            </w:pPr>
          </w:p>
        </w:tc>
        <w:tc>
          <w:tcPr>
            <w:tcW w:w="839" w:type="dxa"/>
            <w:vMerge w:val="restart"/>
            <w:tcBorders>
              <w:bottom w:val="nil"/>
            </w:tcBorders>
            <w:vAlign w:val="top"/>
          </w:tcPr>
          <w:p w14:paraId="7CEAF085">
            <w:pPr>
              <w:pStyle w:val="6"/>
              <w:spacing w:before="50" w:line="228" w:lineRule="auto"/>
              <w:ind w:left="11" w:firstLine="38"/>
              <w:rPr>
                <w:sz w:val="18"/>
                <w:szCs w:val="18"/>
              </w:rPr>
            </w:pPr>
            <w:r>
              <w:rPr>
                <w:spacing w:val="-8"/>
                <w:sz w:val="18"/>
                <w:szCs w:val="18"/>
              </w:rPr>
              <w:t>大地村散</w:t>
            </w:r>
            <w:r>
              <w:rPr>
                <w:sz w:val="18"/>
                <w:szCs w:val="18"/>
              </w:rPr>
              <w:t xml:space="preserve">  </w:t>
            </w:r>
            <w:r>
              <w:rPr>
                <w:spacing w:val="-30"/>
                <w:sz w:val="18"/>
                <w:szCs w:val="18"/>
              </w:rPr>
              <w:t>户</w:t>
            </w:r>
            <w:r>
              <w:rPr>
                <w:spacing w:val="31"/>
                <w:sz w:val="18"/>
                <w:szCs w:val="18"/>
              </w:rPr>
              <w:t xml:space="preserve"> </w:t>
            </w:r>
            <w:r>
              <w:rPr>
                <w:spacing w:val="-29"/>
                <w:sz w:val="18"/>
                <w:szCs w:val="18"/>
              </w:rPr>
              <w:t>1</w:t>
            </w:r>
            <w:r>
              <w:rPr>
                <w:spacing w:val="48"/>
                <w:sz w:val="18"/>
                <w:szCs w:val="18"/>
              </w:rPr>
              <w:t xml:space="preserve"> </w:t>
            </w:r>
            <w:r>
              <w:rPr>
                <w:spacing w:val="-29"/>
                <w:sz w:val="18"/>
                <w:szCs w:val="18"/>
              </w:rPr>
              <w:t>(</w:t>
            </w:r>
            <w:r>
              <w:rPr>
                <w:spacing w:val="39"/>
                <w:sz w:val="18"/>
                <w:szCs w:val="18"/>
              </w:rPr>
              <w:t xml:space="preserve"> </w:t>
            </w:r>
            <w:r>
              <w:rPr>
                <w:spacing w:val="-24"/>
                <w:sz w:val="18"/>
                <w:szCs w:val="18"/>
              </w:rPr>
              <w:t>田</w:t>
            </w:r>
            <w:r>
              <w:rPr>
                <w:sz w:val="18"/>
                <w:szCs w:val="18"/>
              </w:rPr>
              <w:t xml:space="preserve"> </w:t>
            </w:r>
            <w:r>
              <w:rPr>
                <w:spacing w:val="5"/>
                <w:sz w:val="18"/>
                <w:szCs w:val="18"/>
              </w:rPr>
              <w:t>间农户看</w:t>
            </w:r>
            <w:r>
              <w:rPr>
                <w:spacing w:val="1"/>
                <w:sz w:val="18"/>
                <w:szCs w:val="18"/>
              </w:rPr>
              <w:t xml:space="preserve">  </w:t>
            </w:r>
            <w:r>
              <w:rPr>
                <w:spacing w:val="-7"/>
                <w:sz w:val="18"/>
                <w:szCs w:val="18"/>
              </w:rPr>
              <w:t>地</w:t>
            </w:r>
            <w:r>
              <w:rPr>
                <w:spacing w:val="-37"/>
                <w:sz w:val="18"/>
                <w:szCs w:val="18"/>
              </w:rPr>
              <w:t xml:space="preserve"> </w:t>
            </w:r>
            <w:r>
              <w:rPr>
                <w:spacing w:val="-7"/>
                <w:sz w:val="18"/>
                <w:szCs w:val="18"/>
              </w:rPr>
              <w:t>)</w:t>
            </w:r>
          </w:p>
        </w:tc>
        <w:tc>
          <w:tcPr>
            <w:tcW w:w="1678" w:type="dxa"/>
            <w:vMerge w:val="restart"/>
            <w:tcBorders>
              <w:bottom w:val="nil"/>
            </w:tcBorders>
            <w:vAlign w:val="top"/>
          </w:tcPr>
          <w:p w14:paraId="7F37822F">
            <w:pPr>
              <w:spacing w:line="271" w:lineRule="auto"/>
              <w:rPr>
                <w:rFonts w:ascii="Arial"/>
                <w:sz w:val="21"/>
              </w:rPr>
            </w:pPr>
          </w:p>
          <w:p w14:paraId="4CC31403">
            <w:pPr>
              <w:pStyle w:val="6"/>
              <w:spacing w:before="59" w:line="227" w:lineRule="auto"/>
              <w:ind w:left="21" w:hanging="9"/>
              <w:rPr>
                <w:sz w:val="18"/>
                <w:szCs w:val="18"/>
              </w:rPr>
            </w:pPr>
            <w:r>
              <w:rPr>
                <w:spacing w:val="-4"/>
                <w:sz w:val="18"/>
                <w:szCs w:val="18"/>
              </w:rPr>
              <w:t>E103°29'26.22519”</w:t>
            </w:r>
            <w:r>
              <w:rPr>
                <w:spacing w:val="12"/>
                <w:sz w:val="18"/>
                <w:szCs w:val="18"/>
              </w:rPr>
              <w:t xml:space="preserve"> </w:t>
            </w:r>
            <w:r>
              <w:rPr>
                <w:spacing w:val="-3"/>
                <w:sz w:val="18"/>
                <w:szCs w:val="18"/>
              </w:rPr>
              <w:t>N24°52'22.78185”</w:t>
            </w:r>
          </w:p>
        </w:tc>
        <w:tc>
          <w:tcPr>
            <w:tcW w:w="1339" w:type="dxa"/>
            <w:vMerge w:val="restart"/>
            <w:tcBorders>
              <w:bottom w:val="nil"/>
            </w:tcBorders>
            <w:vAlign w:val="top"/>
          </w:tcPr>
          <w:p w14:paraId="33D6DA8A">
            <w:pPr>
              <w:spacing w:line="333" w:lineRule="auto"/>
              <w:rPr>
                <w:rFonts w:ascii="Arial"/>
                <w:sz w:val="21"/>
              </w:rPr>
            </w:pPr>
          </w:p>
          <w:p w14:paraId="673D433E">
            <w:pPr>
              <w:pStyle w:val="6"/>
              <w:spacing w:before="58" w:line="220" w:lineRule="auto"/>
              <w:ind w:left="304"/>
              <w:rPr>
                <w:sz w:val="18"/>
                <w:szCs w:val="18"/>
              </w:rPr>
            </w:pPr>
            <w:r>
              <w:rPr>
                <w:spacing w:val="1"/>
                <w:sz w:val="18"/>
                <w:szCs w:val="18"/>
              </w:rPr>
              <w:t>1户，1人</w:t>
            </w:r>
          </w:p>
        </w:tc>
        <w:tc>
          <w:tcPr>
            <w:tcW w:w="1868" w:type="dxa"/>
            <w:vAlign w:val="top"/>
          </w:tcPr>
          <w:p w14:paraId="132D25A0">
            <w:pPr>
              <w:pStyle w:val="6"/>
              <w:spacing w:before="92" w:line="219" w:lineRule="auto"/>
              <w:ind w:left="165"/>
              <w:rPr>
                <w:sz w:val="18"/>
                <w:szCs w:val="18"/>
              </w:rPr>
            </w:pPr>
            <w:r>
              <w:rPr>
                <w:spacing w:val="1"/>
                <w:sz w:val="18"/>
                <w:szCs w:val="18"/>
              </w:rPr>
              <w:t>17#光伏阵列东南侧</w:t>
            </w:r>
          </w:p>
        </w:tc>
        <w:tc>
          <w:tcPr>
            <w:tcW w:w="729" w:type="dxa"/>
            <w:vAlign w:val="top"/>
          </w:tcPr>
          <w:p w14:paraId="03453AC6">
            <w:pPr>
              <w:pStyle w:val="6"/>
              <w:spacing w:before="111" w:line="234" w:lineRule="auto"/>
              <w:ind w:left="177"/>
              <w:rPr>
                <w:sz w:val="18"/>
                <w:szCs w:val="18"/>
              </w:rPr>
            </w:pPr>
            <w:r>
              <w:rPr>
                <w:spacing w:val="-2"/>
                <w:sz w:val="18"/>
                <w:szCs w:val="18"/>
              </w:rPr>
              <w:t>415m</w:t>
            </w:r>
          </w:p>
        </w:tc>
        <w:tc>
          <w:tcPr>
            <w:tcW w:w="609" w:type="dxa"/>
            <w:vMerge w:val="continue"/>
            <w:tcBorders>
              <w:top w:val="nil"/>
              <w:bottom w:val="nil"/>
            </w:tcBorders>
            <w:vAlign w:val="top"/>
          </w:tcPr>
          <w:p w14:paraId="3C9868F1">
            <w:pPr>
              <w:rPr>
                <w:rFonts w:ascii="Arial"/>
                <w:sz w:val="21"/>
              </w:rPr>
            </w:pPr>
          </w:p>
        </w:tc>
        <w:tc>
          <w:tcPr>
            <w:tcW w:w="794" w:type="dxa"/>
            <w:vMerge w:val="continue"/>
            <w:tcBorders>
              <w:top w:val="nil"/>
              <w:bottom w:val="nil"/>
            </w:tcBorders>
            <w:vAlign w:val="top"/>
          </w:tcPr>
          <w:p w14:paraId="086D1A91">
            <w:pPr>
              <w:rPr>
                <w:rFonts w:ascii="Arial"/>
                <w:sz w:val="21"/>
              </w:rPr>
            </w:pPr>
          </w:p>
        </w:tc>
      </w:tr>
      <w:tr w14:paraId="533C5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694" w:type="dxa"/>
            <w:vMerge w:val="continue"/>
            <w:tcBorders>
              <w:top w:val="nil"/>
              <w:bottom w:val="nil"/>
            </w:tcBorders>
            <w:vAlign w:val="top"/>
          </w:tcPr>
          <w:p w14:paraId="30FDDE94">
            <w:pPr>
              <w:rPr>
                <w:rFonts w:ascii="Arial"/>
                <w:sz w:val="21"/>
              </w:rPr>
            </w:pPr>
          </w:p>
        </w:tc>
        <w:tc>
          <w:tcPr>
            <w:tcW w:w="140" w:type="dxa"/>
            <w:vMerge w:val="continue"/>
            <w:tcBorders>
              <w:top w:val="nil"/>
              <w:bottom w:val="nil"/>
            </w:tcBorders>
            <w:vAlign w:val="top"/>
          </w:tcPr>
          <w:p w14:paraId="4038522A">
            <w:pPr>
              <w:rPr>
                <w:rFonts w:ascii="Arial"/>
                <w:sz w:val="21"/>
              </w:rPr>
            </w:pPr>
          </w:p>
        </w:tc>
        <w:tc>
          <w:tcPr>
            <w:tcW w:w="599" w:type="dxa"/>
            <w:vMerge w:val="continue"/>
            <w:tcBorders>
              <w:top w:val="nil"/>
              <w:bottom w:val="nil"/>
            </w:tcBorders>
            <w:vAlign w:val="top"/>
          </w:tcPr>
          <w:p w14:paraId="1F591E02">
            <w:pPr>
              <w:rPr>
                <w:rFonts w:ascii="Arial"/>
                <w:sz w:val="21"/>
              </w:rPr>
            </w:pPr>
          </w:p>
        </w:tc>
        <w:tc>
          <w:tcPr>
            <w:tcW w:w="839" w:type="dxa"/>
            <w:vMerge w:val="continue"/>
            <w:tcBorders>
              <w:top w:val="nil"/>
            </w:tcBorders>
            <w:vAlign w:val="top"/>
          </w:tcPr>
          <w:p w14:paraId="1C1272D0">
            <w:pPr>
              <w:rPr>
                <w:rFonts w:ascii="Arial"/>
                <w:sz w:val="21"/>
              </w:rPr>
            </w:pPr>
          </w:p>
        </w:tc>
        <w:tc>
          <w:tcPr>
            <w:tcW w:w="1678" w:type="dxa"/>
            <w:vMerge w:val="continue"/>
            <w:tcBorders>
              <w:top w:val="nil"/>
            </w:tcBorders>
            <w:vAlign w:val="top"/>
          </w:tcPr>
          <w:p w14:paraId="6C3D12D0">
            <w:pPr>
              <w:rPr>
                <w:rFonts w:ascii="Arial"/>
                <w:sz w:val="21"/>
              </w:rPr>
            </w:pPr>
          </w:p>
        </w:tc>
        <w:tc>
          <w:tcPr>
            <w:tcW w:w="1339" w:type="dxa"/>
            <w:vMerge w:val="continue"/>
            <w:tcBorders>
              <w:top w:val="nil"/>
            </w:tcBorders>
            <w:vAlign w:val="top"/>
          </w:tcPr>
          <w:p w14:paraId="7F54E174">
            <w:pPr>
              <w:rPr>
                <w:rFonts w:ascii="Arial"/>
                <w:sz w:val="21"/>
              </w:rPr>
            </w:pPr>
          </w:p>
        </w:tc>
        <w:tc>
          <w:tcPr>
            <w:tcW w:w="1868" w:type="dxa"/>
            <w:vAlign w:val="top"/>
          </w:tcPr>
          <w:p w14:paraId="2A085B15">
            <w:pPr>
              <w:pStyle w:val="6"/>
              <w:spacing w:before="212" w:line="219" w:lineRule="auto"/>
              <w:ind w:left="165"/>
              <w:rPr>
                <w:sz w:val="18"/>
                <w:szCs w:val="18"/>
              </w:rPr>
            </w:pPr>
            <w:r>
              <w:rPr>
                <w:spacing w:val="1"/>
                <w:sz w:val="18"/>
                <w:szCs w:val="18"/>
              </w:rPr>
              <w:t>18#光伏阵列西南侧</w:t>
            </w:r>
          </w:p>
        </w:tc>
        <w:tc>
          <w:tcPr>
            <w:tcW w:w="729" w:type="dxa"/>
            <w:vAlign w:val="top"/>
          </w:tcPr>
          <w:p w14:paraId="0AA9665B">
            <w:pPr>
              <w:pStyle w:val="6"/>
              <w:spacing w:before="230"/>
              <w:ind w:left="177"/>
              <w:rPr>
                <w:sz w:val="18"/>
                <w:szCs w:val="18"/>
              </w:rPr>
            </w:pPr>
            <w:r>
              <w:rPr>
                <w:spacing w:val="-2"/>
                <w:sz w:val="18"/>
                <w:szCs w:val="18"/>
              </w:rPr>
              <w:t>264m</w:t>
            </w:r>
          </w:p>
        </w:tc>
        <w:tc>
          <w:tcPr>
            <w:tcW w:w="609" w:type="dxa"/>
            <w:vMerge w:val="continue"/>
            <w:tcBorders>
              <w:top w:val="nil"/>
              <w:bottom w:val="nil"/>
            </w:tcBorders>
            <w:vAlign w:val="top"/>
          </w:tcPr>
          <w:p w14:paraId="23A313FA">
            <w:pPr>
              <w:rPr>
                <w:rFonts w:ascii="Arial"/>
                <w:sz w:val="21"/>
              </w:rPr>
            </w:pPr>
          </w:p>
        </w:tc>
        <w:tc>
          <w:tcPr>
            <w:tcW w:w="794" w:type="dxa"/>
            <w:vMerge w:val="continue"/>
            <w:tcBorders>
              <w:top w:val="nil"/>
              <w:bottom w:val="nil"/>
            </w:tcBorders>
            <w:vAlign w:val="top"/>
          </w:tcPr>
          <w:p w14:paraId="3A2C0205">
            <w:pPr>
              <w:rPr>
                <w:rFonts w:ascii="Arial"/>
                <w:sz w:val="21"/>
              </w:rPr>
            </w:pPr>
          </w:p>
        </w:tc>
      </w:tr>
      <w:tr w14:paraId="10C8F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94" w:type="dxa"/>
            <w:vMerge w:val="continue"/>
            <w:tcBorders>
              <w:top w:val="nil"/>
              <w:bottom w:val="nil"/>
            </w:tcBorders>
            <w:vAlign w:val="top"/>
          </w:tcPr>
          <w:p w14:paraId="789631E2">
            <w:pPr>
              <w:rPr>
                <w:rFonts w:ascii="Arial"/>
                <w:sz w:val="21"/>
              </w:rPr>
            </w:pPr>
          </w:p>
        </w:tc>
        <w:tc>
          <w:tcPr>
            <w:tcW w:w="140" w:type="dxa"/>
            <w:vMerge w:val="continue"/>
            <w:tcBorders>
              <w:top w:val="nil"/>
              <w:bottom w:val="nil"/>
            </w:tcBorders>
            <w:vAlign w:val="top"/>
          </w:tcPr>
          <w:p w14:paraId="5F7C06C8">
            <w:pPr>
              <w:rPr>
                <w:rFonts w:ascii="Arial"/>
                <w:sz w:val="21"/>
              </w:rPr>
            </w:pPr>
          </w:p>
        </w:tc>
        <w:tc>
          <w:tcPr>
            <w:tcW w:w="599" w:type="dxa"/>
            <w:vMerge w:val="continue"/>
            <w:tcBorders>
              <w:top w:val="nil"/>
              <w:bottom w:val="nil"/>
            </w:tcBorders>
            <w:vAlign w:val="top"/>
          </w:tcPr>
          <w:p w14:paraId="11B5E1ED">
            <w:pPr>
              <w:rPr>
                <w:rFonts w:ascii="Arial"/>
                <w:sz w:val="21"/>
              </w:rPr>
            </w:pPr>
          </w:p>
        </w:tc>
        <w:tc>
          <w:tcPr>
            <w:tcW w:w="839" w:type="dxa"/>
            <w:vMerge w:val="restart"/>
            <w:tcBorders>
              <w:bottom w:val="nil"/>
            </w:tcBorders>
            <w:vAlign w:val="top"/>
          </w:tcPr>
          <w:p w14:paraId="3788CAAE">
            <w:pPr>
              <w:spacing w:line="371" w:lineRule="auto"/>
              <w:rPr>
                <w:rFonts w:ascii="Arial"/>
                <w:sz w:val="21"/>
              </w:rPr>
            </w:pPr>
          </w:p>
          <w:p w14:paraId="67D720C7">
            <w:pPr>
              <w:pStyle w:val="6"/>
              <w:spacing w:before="58" w:line="219" w:lineRule="auto"/>
              <w:ind w:left="11"/>
              <w:rPr>
                <w:sz w:val="18"/>
                <w:szCs w:val="18"/>
              </w:rPr>
            </w:pPr>
            <w:r>
              <w:rPr>
                <w:spacing w:val="-3"/>
                <w:sz w:val="18"/>
                <w:szCs w:val="18"/>
              </w:rPr>
              <w:t>大地村</w:t>
            </w:r>
          </w:p>
        </w:tc>
        <w:tc>
          <w:tcPr>
            <w:tcW w:w="1678" w:type="dxa"/>
            <w:vMerge w:val="restart"/>
            <w:tcBorders>
              <w:bottom w:val="nil"/>
            </w:tcBorders>
            <w:vAlign w:val="top"/>
          </w:tcPr>
          <w:p w14:paraId="5BB42393">
            <w:pPr>
              <w:spacing w:line="321" w:lineRule="auto"/>
              <w:rPr>
                <w:rFonts w:ascii="Arial"/>
                <w:sz w:val="21"/>
              </w:rPr>
            </w:pPr>
          </w:p>
          <w:p w14:paraId="0B7A5739">
            <w:pPr>
              <w:pStyle w:val="6"/>
              <w:spacing w:before="58" w:line="227" w:lineRule="auto"/>
              <w:ind w:left="21" w:hanging="9"/>
              <w:rPr>
                <w:sz w:val="18"/>
                <w:szCs w:val="18"/>
              </w:rPr>
            </w:pPr>
            <w:r>
              <w:rPr>
                <w:spacing w:val="-4"/>
                <w:sz w:val="18"/>
                <w:szCs w:val="18"/>
              </w:rPr>
              <w:t>E103°29'41.13397”</w:t>
            </w:r>
            <w:r>
              <w:rPr>
                <w:spacing w:val="12"/>
                <w:sz w:val="18"/>
                <w:szCs w:val="18"/>
              </w:rPr>
              <w:t xml:space="preserve"> </w:t>
            </w:r>
            <w:r>
              <w:rPr>
                <w:spacing w:val="-3"/>
                <w:sz w:val="18"/>
                <w:szCs w:val="18"/>
              </w:rPr>
              <w:t>N24°52'42.63448”</w:t>
            </w:r>
          </w:p>
        </w:tc>
        <w:tc>
          <w:tcPr>
            <w:tcW w:w="1339" w:type="dxa"/>
            <w:vMerge w:val="restart"/>
            <w:tcBorders>
              <w:bottom w:val="nil"/>
            </w:tcBorders>
            <w:vAlign w:val="top"/>
          </w:tcPr>
          <w:p w14:paraId="34530C71">
            <w:pPr>
              <w:spacing w:line="373" w:lineRule="auto"/>
              <w:rPr>
                <w:rFonts w:ascii="Arial"/>
                <w:sz w:val="21"/>
              </w:rPr>
            </w:pPr>
          </w:p>
          <w:p w14:paraId="053C58BB">
            <w:pPr>
              <w:pStyle w:val="6"/>
              <w:spacing w:before="58" w:line="220" w:lineRule="auto"/>
              <w:ind w:left="124"/>
              <w:rPr>
                <w:sz w:val="18"/>
                <w:szCs w:val="18"/>
              </w:rPr>
            </w:pPr>
            <w:r>
              <w:rPr>
                <w:spacing w:val="-1"/>
                <w:sz w:val="18"/>
                <w:szCs w:val="18"/>
              </w:rPr>
              <w:t>220户，660人</w:t>
            </w:r>
          </w:p>
        </w:tc>
        <w:tc>
          <w:tcPr>
            <w:tcW w:w="1868" w:type="dxa"/>
            <w:vAlign w:val="top"/>
          </w:tcPr>
          <w:p w14:paraId="25371C83">
            <w:pPr>
              <w:pStyle w:val="6"/>
              <w:spacing w:before="92" w:line="219" w:lineRule="auto"/>
              <w:ind w:left="165"/>
              <w:rPr>
                <w:sz w:val="18"/>
                <w:szCs w:val="18"/>
              </w:rPr>
            </w:pPr>
            <w:r>
              <w:rPr>
                <w:spacing w:val="1"/>
                <w:sz w:val="18"/>
                <w:szCs w:val="18"/>
              </w:rPr>
              <w:t>18#光伏阵列东北侧</w:t>
            </w:r>
          </w:p>
        </w:tc>
        <w:tc>
          <w:tcPr>
            <w:tcW w:w="729" w:type="dxa"/>
            <w:vAlign w:val="top"/>
          </w:tcPr>
          <w:p w14:paraId="21977810">
            <w:pPr>
              <w:pStyle w:val="6"/>
              <w:spacing w:before="110" w:line="235" w:lineRule="auto"/>
              <w:ind w:left="177"/>
              <w:rPr>
                <w:sz w:val="18"/>
                <w:szCs w:val="18"/>
              </w:rPr>
            </w:pPr>
            <w:r>
              <w:rPr>
                <w:spacing w:val="-2"/>
                <w:sz w:val="18"/>
                <w:szCs w:val="18"/>
              </w:rPr>
              <w:t>263m</w:t>
            </w:r>
          </w:p>
        </w:tc>
        <w:tc>
          <w:tcPr>
            <w:tcW w:w="609" w:type="dxa"/>
            <w:vMerge w:val="continue"/>
            <w:tcBorders>
              <w:top w:val="nil"/>
              <w:bottom w:val="nil"/>
            </w:tcBorders>
            <w:vAlign w:val="top"/>
          </w:tcPr>
          <w:p w14:paraId="1C08B567">
            <w:pPr>
              <w:rPr>
                <w:rFonts w:ascii="Arial"/>
                <w:sz w:val="21"/>
              </w:rPr>
            </w:pPr>
          </w:p>
        </w:tc>
        <w:tc>
          <w:tcPr>
            <w:tcW w:w="794" w:type="dxa"/>
            <w:vMerge w:val="continue"/>
            <w:tcBorders>
              <w:top w:val="nil"/>
              <w:bottom w:val="nil"/>
            </w:tcBorders>
            <w:vAlign w:val="top"/>
          </w:tcPr>
          <w:p w14:paraId="7824106F">
            <w:pPr>
              <w:rPr>
                <w:rFonts w:ascii="Arial"/>
                <w:sz w:val="21"/>
              </w:rPr>
            </w:pPr>
          </w:p>
        </w:tc>
      </w:tr>
      <w:tr w14:paraId="4F307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94" w:type="dxa"/>
            <w:vMerge w:val="continue"/>
            <w:tcBorders>
              <w:top w:val="nil"/>
              <w:bottom w:val="nil"/>
            </w:tcBorders>
            <w:vAlign w:val="top"/>
          </w:tcPr>
          <w:p w14:paraId="16D481B1">
            <w:pPr>
              <w:rPr>
                <w:rFonts w:ascii="Arial"/>
                <w:sz w:val="21"/>
              </w:rPr>
            </w:pPr>
          </w:p>
        </w:tc>
        <w:tc>
          <w:tcPr>
            <w:tcW w:w="140" w:type="dxa"/>
            <w:vMerge w:val="continue"/>
            <w:tcBorders>
              <w:top w:val="nil"/>
              <w:bottom w:val="nil"/>
            </w:tcBorders>
            <w:vAlign w:val="top"/>
          </w:tcPr>
          <w:p w14:paraId="693C3FD3">
            <w:pPr>
              <w:rPr>
                <w:rFonts w:ascii="Arial"/>
                <w:sz w:val="21"/>
              </w:rPr>
            </w:pPr>
          </w:p>
        </w:tc>
        <w:tc>
          <w:tcPr>
            <w:tcW w:w="599" w:type="dxa"/>
            <w:vMerge w:val="continue"/>
            <w:tcBorders>
              <w:top w:val="nil"/>
              <w:bottom w:val="nil"/>
            </w:tcBorders>
            <w:vAlign w:val="top"/>
          </w:tcPr>
          <w:p w14:paraId="4B6ABB99">
            <w:pPr>
              <w:rPr>
                <w:rFonts w:ascii="Arial"/>
                <w:sz w:val="21"/>
              </w:rPr>
            </w:pPr>
          </w:p>
        </w:tc>
        <w:tc>
          <w:tcPr>
            <w:tcW w:w="839" w:type="dxa"/>
            <w:vMerge w:val="continue"/>
            <w:tcBorders>
              <w:top w:val="nil"/>
              <w:bottom w:val="nil"/>
            </w:tcBorders>
            <w:vAlign w:val="top"/>
          </w:tcPr>
          <w:p w14:paraId="7FE2EE19">
            <w:pPr>
              <w:rPr>
                <w:rFonts w:ascii="Arial"/>
                <w:sz w:val="21"/>
              </w:rPr>
            </w:pPr>
          </w:p>
        </w:tc>
        <w:tc>
          <w:tcPr>
            <w:tcW w:w="1678" w:type="dxa"/>
            <w:vMerge w:val="continue"/>
            <w:tcBorders>
              <w:top w:val="nil"/>
              <w:bottom w:val="nil"/>
            </w:tcBorders>
            <w:vAlign w:val="top"/>
          </w:tcPr>
          <w:p w14:paraId="264D0232">
            <w:pPr>
              <w:rPr>
                <w:rFonts w:ascii="Arial"/>
                <w:sz w:val="21"/>
              </w:rPr>
            </w:pPr>
          </w:p>
        </w:tc>
        <w:tc>
          <w:tcPr>
            <w:tcW w:w="1339" w:type="dxa"/>
            <w:vMerge w:val="continue"/>
            <w:tcBorders>
              <w:top w:val="nil"/>
              <w:bottom w:val="nil"/>
            </w:tcBorders>
            <w:vAlign w:val="top"/>
          </w:tcPr>
          <w:p w14:paraId="080F5A76">
            <w:pPr>
              <w:rPr>
                <w:rFonts w:ascii="Arial"/>
                <w:sz w:val="21"/>
              </w:rPr>
            </w:pPr>
          </w:p>
        </w:tc>
        <w:tc>
          <w:tcPr>
            <w:tcW w:w="1868" w:type="dxa"/>
            <w:vAlign w:val="top"/>
          </w:tcPr>
          <w:p w14:paraId="594B7379">
            <w:pPr>
              <w:pStyle w:val="6"/>
              <w:spacing w:before="82" w:line="219" w:lineRule="auto"/>
              <w:ind w:left="255"/>
              <w:rPr>
                <w:sz w:val="18"/>
                <w:szCs w:val="18"/>
              </w:rPr>
            </w:pPr>
            <w:r>
              <w:rPr>
                <w:spacing w:val="1"/>
                <w:sz w:val="18"/>
                <w:szCs w:val="18"/>
              </w:rPr>
              <w:t>19#光伏阵列西侧</w:t>
            </w:r>
          </w:p>
        </w:tc>
        <w:tc>
          <w:tcPr>
            <w:tcW w:w="729" w:type="dxa"/>
            <w:vAlign w:val="top"/>
          </w:tcPr>
          <w:p w14:paraId="6EEDEF67">
            <w:pPr>
              <w:pStyle w:val="6"/>
              <w:spacing w:before="101" w:line="224" w:lineRule="auto"/>
              <w:ind w:left="177"/>
              <w:rPr>
                <w:sz w:val="18"/>
                <w:szCs w:val="18"/>
              </w:rPr>
            </w:pPr>
            <w:r>
              <w:rPr>
                <w:spacing w:val="-4"/>
                <w:sz w:val="18"/>
                <w:szCs w:val="18"/>
              </w:rPr>
              <w:t>137m</w:t>
            </w:r>
          </w:p>
        </w:tc>
        <w:tc>
          <w:tcPr>
            <w:tcW w:w="609" w:type="dxa"/>
            <w:vMerge w:val="continue"/>
            <w:tcBorders>
              <w:top w:val="nil"/>
              <w:bottom w:val="nil"/>
            </w:tcBorders>
            <w:vAlign w:val="top"/>
          </w:tcPr>
          <w:p w14:paraId="4A9FBE21">
            <w:pPr>
              <w:rPr>
                <w:rFonts w:ascii="Arial"/>
                <w:sz w:val="21"/>
              </w:rPr>
            </w:pPr>
          </w:p>
        </w:tc>
        <w:tc>
          <w:tcPr>
            <w:tcW w:w="794" w:type="dxa"/>
            <w:vMerge w:val="continue"/>
            <w:tcBorders>
              <w:top w:val="nil"/>
              <w:bottom w:val="nil"/>
            </w:tcBorders>
            <w:vAlign w:val="top"/>
          </w:tcPr>
          <w:p w14:paraId="395F8C38">
            <w:pPr>
              <w:rPr>
                <w:rFonts w:ascii="Arial"/>
                <w:sz w:val="21"/>
              </w:rPr>
            </w:pPr>
          </w:p>
        </w:tc>
      </w:tr>
      <w:tr w14:paraId="6D3D8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4" w:type="dxa"/>
            <w:vMerge w:val="continue"/>
            <w:tcBorders>
              <w:top w:val="nil"/>
              <w:bottom w:val="nil"/>
            </w:tcBorders>
            <w:vAlign w:val="top"/>
          </w:tcPr>
          <w:p w14:paraId="2430405E">
            <w:pPr>
              <w:rPr>
                <w:rFonts w:ascii="Arial"/>
                <w:sz w:val="21"/>
              </w:rPr>
            </w:pPr>
          </w:p>
        </w:tc>
        <w:tc>
          <w:tcPr>
            <w:tcW w:w="140" w:type="dxa"/>
            <w:vMerge w:val="continue"/>
            <w:tcBorders>
              <w:top w:val="nil"/>
              <w:bottom w:val="nil"/>
            </w:tcBorders>
            <w:vAlign w:val="top"/>
          </w:tcPr>
          <w:p w14:paraId="74FF121B">
            <w:pPr>
              <w:rPr>
                <w:rFonts w:ascii="Arial"/>
                <w:sz w:val="21"/>
              </w:rPr>
            </w:pPr>
          </w:p>
        </w:tc>
        <w:tc>
          <w:tcPr>
            <w:tcW w:w="599" w:type="dxa"/>
            <w:vMerge w:val="continue"/>
            <w:tcBorders>
              <w:top w:val="nil"/>
              <w:bottom w:val="nil"/>
            </w:tcBorders>
            <w:vAlign w:val="top"/>
          </w:tcPr>
          <w:p w14:paraId="23105D89">
            <w:pPr>
              <w:rPr>
                <w:rFonts w:ascii="Arial"/>
                <w:sz w:val="21"/>
              </w:rPr>
            </w:pPr>
          </w:p>
        </w:tc>
        <w:tc>
          <w:tcPr>
            <w:tcW w:w="839" w:type="dxa"/>
            <w:vMerge w:val="continue"/>
            <w:tcBorders>
              <w:top w:val="nil"/>
            </w:tcBorders>
            <w:vAlign w:val="top"/>
          </w:tcPr>
          <w:p w14:paraId="7C4D052E">
            <w:pPr>
              <w:rPr>
                <w:rFonts w:ascii="Arial"/>
                <w:sz w:val="21"/>
              </w:rPr>
            </w:pPr>
          </w:p>
        </w:tc>
        <w:tc>
          <w:tcPr>
            <w:tcW w:w="1678" w:type="dxa"/>
            <w:vMerge w:val="continue"/>
            <w:tcBorders>
              <w:top w:val="nil"/>
            </w:tcBorders>
            <w:vAlign w:val="top"/>
          </w:tcPr>
          <w:p w14:paraId="0CBED136">
            <w:pPr>
              <w:rPr>
                <w:rFonts w:ascii="Arial"/>
                <w:sz w:val="21"/>
              </w:rPr>
            </w:pPr>
          </w:p>
        </w:tc>
        <w:tc>
          <w:tcPr>
            <w:tcW w:w="1339" w:type="dxa"/>
            <w:vMerge w:val="continue"/>
            <w:tcBorders>
              <w:top w:val="nil"/>
            </w:tcBorders>
            <w:vAlign w:val="top"/>
          </w:tcPr>
          <w:p w14:paraId="0CD617C6">
            <w:pPr>
              <w:rPr>
                <w:rFonts w:ascii="Arial"/>
                <w:sz w:val="21"/>
              </w:rPr>
            </w:pPr>
          </w:p>
        </w:tc>
        <w:tc>
          <w:tcPr>
            <w:tcW w:w="1868" w:type="dxa"/>
            <w:vAlign w:val="top"/>
          </w:tcPr>
          <w:p w14:paraId="1EBC922E">
            <w:pPr>
              <w:pStyle w:val="6"/>
              <w:spacing w:before="82" w:line="219" w:lineRule="auto"/>
              <w:ind w:left="165"/>
              <w:rPr>
                <w:sz w:val="18"/>
                <w:szCs w:val="18"/>
              </w:rPr>
            </w:pPr>
            <w:r>
              <w:rPr>
                <w:spacing w:val="1"/>
                <w:sz w:val="18"/>
                <w:szCs w:val="18"/>
              </w:rPr>
              <w:t>20#光伏阵列西南侧</w:t>
            </w:r>
          </w:p>
        </w:tc>
        <w:tc>
          <w:tcPr>
            <w:tcW w:w="729" w:type="dxa"/>
            <w:vAlign w:val="top"/>
          </w:tcPr>
          <w:p w14:paraId="497BA35D">
            <w:pPr>
              <w:pStyle w:val="6"/>
              <w:spacing w:before="101" w:line="234" w:lineRule="auto"/>
              <w:ind w:left="177"/>
              <w:rPr>
                <w:sz w:val="18"/>
                <w:szCs w:val="18"/>
              </w:rPr>
            </w:pPr>
            <w:r>
              <w:rPr>
                <w:spacing w:val="-2"/>
                <w:sz w:val="18"/>
                <w:szCs w:val="18"/>
              </w:rPr>
              <w:t>473m</w:t>
            </w:r>
          </w:p>
        </w:tc>
        <w:tc>
          <w:tcPr>
            <w:tcW w:w="609" w:type="dxa"/>
            <w:vMerge w:val="continue"/>
            <w:tcBorders>
              <w:top w:val="nil"/>
              <w:bottom w:val="nil"/>
            </w:tcBorders>
            <w:vAlign w:val="top"/>
          </w:tcPr>
          <w:p w14:paraId="5E23B3DA">
            <w:pPr>
              <w:rPr>
                <w:rFonts w:ascii="Arial"/>
                <w:sz w:val="21"/>
              </w:rPr>
            </w:pPr>
          </w:p>
        </w:tc>
        <w:tc>
          <w:tcPr>
            <w:tcW w:w="794" w:type="dxa"/>
            <w:vMerge w:val="continue"/>
            <w:tcBorders>
              <w:top w:val="nil"/>
              <w:bottom w:val="nil"/>
            </w:tcBorders>
            <w:vAlign w:val="top"/>
          </w:tcPr>
          <w:p w14:paraId="3305F58B">
            <w:pPr>
              <w:rPr>
                <w:rFonts w:ascii="Arial"/>
                <w:sz w:val="21"/>
              </w:rPr>
            </w:pPr>
          </w:p>
        </w:tc>
      </w:tr>
      <w:tr w14:paraId="626BF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694" w:type="dxa"/>
            <w:vMerge w:val="continue"/>
            <w:tcBorders>
              <w:top w:val="nil"/>
              <w:bottom w:val="nil"/>
            </w:tcBorders>
            <w:vAlign w:val="top"/>
          </w:tcPr>
          <w:p w14:paraId="65FCFAF5">
            <w:pPr>
              <w:rPr>
                <w:rFonts w:ascii="Arial"/>
                <w:sz w:val="21"/>
              </w:rPr>
            </w:pPr>
          </w:p>
        </w:tc>
        <w:tc>
          <w:tcPr>
            <w:tcW w:w="140" w:type="dxa"/>
            <w:vMerge w:val="continue"/>
            <w:tcBorders>
              <w:top w:val="nil"/>
              <w:bottom w:val="nil"/>
            </w:tcBorders>
            <w:vAlign w:val="top"/>
          </w:tcPr>
          <w:p w14:paraId="2F33F247">
            <w:pPr>
              <w:rPr>
                <w:rFonts w:ascii="Arial"/>
                <w:sz w:val="21"/>
              </w:rPr>
            </w:pPr>
          </w:p>
        </w:tc>
        <w:tc>
          <w:tcPr>
            <w:tcW w:w="599" w:type="dxa"/>
            <w:vMerge w:val="continue"/>
            <w:tcBorders>
              <w:top w:val="nil"/>
              <w:bottom w:val="nil"/>
            </w:tcBorders>
            <w:vAlign w:val="top"/>
          </w:tcPr>
          <w:p w14:paraId="4066DA2D">
            <w:pPr>
              <w:rPr>
                <w:rFonts w:ascii="Arial"/>
                <w:sz w:val="21"/>
              </w:rPr>
            </w:pPr>
          </w:p>
        </w:tc>
        <w:tc>
          <w:tcPr>
            <w:tcW w:w="839" w:type="dxa"/>
            <w:vAlign w:val="top"/>
          </w:tcPr>
          <w:p w14:paraId="4BE008EE">
            <w:pPr>
              <w:pStyle w:val="6"/>
              <w:spacing w:before="52" w:line="209" w:lineRule="auto"/>
              <w:ind w:left="31" w:right="66" w:firstLine="20"/>
              <w:rPr>
                <w:sz w:val="18"/>
                <w:szCs w:val="18"/>
              </w:rPr>
            </w:pPr>
            <w:r>
              <w:rPr>
                <w:spacing w:val="-3"/>
                <w:sz w:val="18"/>
                <w:szCs w:val="18"/>
              </w:rPr>
              <w:t>大地村散</w:t>
            </w:r>
            <w:r>
              <w:rPr>
                <w:spacing w:val="1"/>
                <w:sz w:val="18"/>
                <w:szCs w:val="18"/>
              </w:rPr>
              <w:t xml:space="preserve"> </w:t>
            </w:r>
            <w:r>
              <w:rPr>
                <w:spacing w:val="-3"/>
                <w:sz w:val="18"/>
                <w:szCs w:val="18"/>
              </w:rPr>
              <w:t>户2</w:t>
            </w:r>
          </w:p>
        </w:tc>
        <w:tc>
          <w:tcPr>
            <w:tcW w:w="1678" w:type="dxa"/>
            <w:vAlign w:val="top"/>
          </w:tcPr>
          <w:p w14:paraId="2379DD58">
            <w:pPr>
              <w:pStyle w:val="6"/>
              <w:spacing w:before="91" w:line="189" w:lineRule="auto"/>
              <w:ind w:left="22"/>
              <w:rPr>
                <w:sz w:val="18"/>
                <w:szCs w:val="18"/>
              </w:rPr>
            </w:pPr>
            <w:r>
              <w:rPr>
                <w:spacing w:val="-4"/>
                <w:sz w:val="18"/>
                <w:szCs w:val="18"/>
              </w:rPr>
              <w:t>E103°29'28.31087"</w:t>
            </w:r>
            <w:r>
              <w:rPr>
                <w:spacing w:val="1"/>
                <w:sz w:val="18"/>
                <w:szCs w:val="18"/>
              </w:rPr>
              <w:t xml:space="preserve">  N24°52'43.67733”</w:t>
            </w:r>
          </w:p>
        </w:tc>
        <w:tc>
          <w:tcPr>
            <w:tcW w:w="1339" w:type="dxa"/>
            <w:vAlign w:val="top"/>
          </w:tcPr>
          <w:p w14:paraId="3D281EE3">
            <w:pPr>
              <w:pStyle w:val="6"/>
              <w:spacing w:before="153" w:line="220" w:lineRule="auto"/>
              <w:ind w:left="254"/>
              <w:rPr>
                <w:sz w:val="18"/>
                <w:szCs w:val="18"/>
              </w:rPr>
            </w:pPr>
            <w:r>
              <w:rPr>
                <w:spacing w:val="-2"/>
                <w:sz w:val="18"/>
                <w:szCs w:val="18"/>
              </w:rPr>
              <w:t>5户，15人</w:t>
            </w:r>
          </w:p>
        </w:tc>
        <w:tc>
          <w:tcPr>
            <w:tcW w:w="1868" w:type="dxa"/>
            <w:vAlign w:val="top"/>
          </w:tcPr>
          <w:p w14:paraId="40542A5D">
            <w:pPr>
              <w:pStyle w:val="6"/>
              <w:spacing w:before="152" w:line="219" w:lineRule="auto"/>
              <w:ind w:left="255"/>
              <w:rPr>
                <w:sz w:val="18"/>
                <w:szCs w:val="18"/>
              </w:rPr>
            </w:pPr>
            <w:r>
              <w:rPr>
                <w:spacing w:val="1"/>
                <w:sz w:val="18"/>
                <w:szCs w:val="18"/>
              </w:rPr>
              <w:t>18#光伏阵列北侧</w:t>
            </w:r>
          </w:p>
        </w:tc>
        <w:tc>
          <w:tcPr>
            <w:tcW w:w="729" w:type="dxa"/>
            <w:vAlign w:val="top"/>
          </w:tcPr>
          <w:p w14:paraId="0849249D">
            <w:pPr>
              <w:pStyle w:val="6"/>
              <w:spacing w:before="170"/>
              <w:ind w:left="227"/>
              <w:rPr>
                <w:sz w:val="18"/>
                <w:szCs w:val="18"/>
              </w:rPr>
            </w:pPr>
            <w:r>
              <w:rPr>
                <w:spacing w:val="-2"/>
                <w:sz w:val="18"/>
                <w:szCs w:val="18"/>
              </w:rPr>
              <w:t>91m</w:t>
            </w:r>
          </w:p>
        </w:tc>
        <w:tc>
          <w:tcPr>
            <w:tcW w:w="609" w:type="dxa"/>
            <w:vMerge w:val="continue"/>
            <w:tcBorders>
              <w:top w:val="nil"/>
              <w:bottom w:val="nil"/>
            </w:tcBorders>
            <w:vAlign w:val="top"/>
          </w:tcPr>
          <w:p w14:paraId="76A8DEE6">
            <w:pPr>
              <w:rPr>
                <w:rFonts w:ascii="Arial"/>
                <w:sz w:val="21"/>
              </w:rPr>
            </w:pPr>
          </w:p>
        </w:tc>
        <w:tc>
          <w:tcPr>
            <w:tcW w:w="794" w:type="dxa"/>
            <w:vMerge w:val="continue"/>
            <w:tcBorders>
              <w:top w:val="nil"/>
              <w:bottom w:val="nil"/>
            </w:tcBorders>
            <w:vAlign w:val="top"/>
          </w:tcPr>
          <w:p w14:paraId="5D026C3F">
            <w:pPr>
              <w:rPr>
                <w:rFonts w:ascii="Arial"/>
                <w:sz w:val="21"/>
              </w:rPr>
            </w:pPr>
          </w:p>
        </w:tc>
      </w:tr>
      <w:tr w14:paraId="50838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94" w:type="dxa"/>
            <w:vMerge w:val="continue"/>
            <w:tcBorders>
              <w:top w:val="nil"/>
              <w:bottom w:val="nil"/>
            </w:tcBorders>
            <w:vAlign w:val="top"/>
          </w:tcPr>
          <w:p w14:paraId="4828CE6D">
            <w:pPr>
              <w:rPr>
                <w:rFonts w:ascii="Arial"/>
                <w:sz w:val="21"/>
              </w:rPr>
            </w:pPr>
          </w:p>
        </w:tc>
        <w:tc>
          <w:tcPr>
            <w:tcW w:w="140" w:type="dxa"/>
            <w:vMerge w:val="continue"/>
            <w:tcBorders>
              <w:top w:val="nil"/>
              <w:bottom w:val="nil"/>
            </w:tcBorders>
            <w:vAlign w:val="top"/>
          </w:tcPr>
          <w:p w14:paraId="46A06056">
            <w:pPr>
              <w:rPr>
                <w:rFonts w:ascii="Arial"/>
                <w:sz w:val="21"/>
              </w:rPr>
            </w:pPr>
          </w:p>
        </w:tc>
        <w:tc>
          <w:tcPr>
            <w:tcW w:w="599" w:type="dxa"/>
            <w:vMerge w:val="continue"/>
            <w:tcBorders>
              <w:top w:val="nil"/>
              <w:bottom w:val="nil"/>
            </w:tcBorders>
            <w:vAlign w:val="top"/>
          </w:tcPr>
          <w:p w14:paraId="416209A4">
            <w:pPr>
              <w:rPr>
                <w:rFonts w:ascii="Arial"/>
                <w:sz w:val="21"/>
              </w:rPr>
            </w:pPr>
          </w:p>
        </w:tc>
        <w:tc>
          <w:tcPr>
            <w:tcW w:w="839" w:type="dxa"/>
            <w:vAlign w:val="top"/>
          </w:tcPr>
          <w:p w14:paraId="401002F7">
            <w:pPr>
              <w:pStyle w:val="6"/>
              <w:spacing w:before="33" w:line="227" w:lineRule="auto"/>
              <w:ind w:left="11" w:firstLine="38"/>
              <w:rPr>
                <w:sz w:val="18"/>
                <w:szCs w:val="18"/>
              </w:rPr>
            </w:pPr>
            <w:r>
              <w:rPr>
                <w:spacing w:val="-8"/>
                <w:sz w:val="18"/>
                <w:szCs w:val="18"/>
              </w:rPr>
              <w:t>大地村散</w:t>
            </w:r>
            <w:r>
              <w:rPr>
                <w:sz w:val="18"/>
                <w:szCs w:val="18"/>
              </w:rPr>
              <w:t xml:space="preserve">  </w:t>
            </w:r>
            <w:r>
              <w:rPr>
                <w:spacing w:val="-26"/>
                <w:sz w:val="18"/>
                <w:szCs w:val="18"/>
              </w:rPr>
              <w:t>户</w:t>
            </w:r>
            <w:r>
              <w:rPr>
                <w:spacing w:val="20"/>
                <w:sz w:val="18"/>
                <w:szCs w:val="18"/>
              </w:rPr>
              <w:t xml:space="preserve"> </w:t>
            </w:r>
            <w:r>
              <w:rPr>
                <w:spacing w:val="-25"/>
                <w:sz w:val="18"/>
                <w:szCs w:val="18"/>
              </w:rPr>
              <w:t>3</w:t>
            </w:r>
            <w:r>
              <w:rPr>
                <w:spacing w:val="47"/>
                <w:w w:val="101"/>
                <w:sz w:val="18"/>
                <w:szCs w:val="18"/>
              </w:rPr>
              <w:t xml:space="preserve"> </w:t>
            </w:r>
            <w:r>
              <w:rPr>
                <w:spacing w:val="-25"/>
                <w:sz w:val="18"/>
                <w:szCs w:val="18"/>
              </w:rPr>
              <w:t>(</w:t>
            </w:r>
            <w:r>
              <w:rPr>
                <w:spacing w:val="38"/>
                <w:sz w:val="18"/>
                <w:szCs w:val="18"/>
              </w:rPr>
              <w:t xml:space="preserve"> </w:t>
            </w:r>
            <w:r>
              <w:rPr>
                <w:spacing w:val="-24"/>
                <w:sz w:val="18"/>
                <w:szCs w:val="18"/>
              </w:rPr>
              <w:t>田</w:t>
            </w:r>
            <w:r>
              <w:rPr>
                <w:sz w:val="18"/>
                <w:szCs w:val="18"/>
              </w:rPr>
              <w:t xml:space="preserve"> </w:t>
            </w:r>
            <w:r>
              <w:rPr>
                <w:spacing w:val="5"/>
                <w:sz w:val="18"/>
                <w:szCs w:val="18"/>
              </w:rPr>
              <w:t>间农户看</w:t>
            </w:r>
            <w:r>
              <w:rPr>
                <w:spacing w:val="1"/>
                <w:sz w:val="18"/>
                <w:szCs w:val="18"/>
              </w:rPr>
              <w:t xml:space="preserve">  </w:t>
            </w:r>
            <w:r>
              <w:rPr>
                <w:spacing w:val="3"/>
                <w:sz w:val="18"/>
                <w:szCs w:val="18"/>
              </w:rPr>
              <w:t>地</w:t>
            </w:r>
            <w:r>
              <w:rPr>
                <w:spacing w:val="-38"/>
                <w:sz w:val="18"/>
                <w:szCs w:val="18"/>
              </w:rPr>
              <w:t xml:space="preserve"> </w:t>
            </w:r>
            <w:r>
              <w:rPr>
                <w:spacing w:val="3"/>
                <w:sz w:val="18"/>
                <w:szCs w:val="18"/>
              </w:rPr>
              <w:t>)</w:t>
            </w:r>
          </w:p>
        </w:tc>
        <w:tc>
          <w:tcPr>
            <w:tcW w:w="1678" w:type="dxa"/>
            <w:vAlign w:val="top"/>
          </w:tcPr>
          <w:p w14:paraId="10E5F74B">
            <w:pPr>
              <w:spacing w:line="260" w:lineRule="auto"/>
              <w:rPr>
                <w:rFonts w:ascii="Arial"/>
                <w:sz w:val="21"/>
              </w:rPr>
            </w:pPr>
          </w:p>
          <w:p w14:paraId="51399CD5">
            <w:pPr>
              <w:pStyle w:val="6"/>
              <w:spacing w:before="59" w:line="217" w:lineRule="auto"/>
              <w:ind w:left="58" w:hanging="46"/>
              <w:rPr>
                <w:sz w:val="18"/>
                <w:szCs w:val="18"/>
              </w:rPr>
            </w:pPr>
            <w:r>
              <w:rPr>
                <w:spacing w:val="-4"/>
                <w:sz w:val="18"/>
                <w:szCs w:val="18"/>
              </w:rPr>
              <w:t>E103°29'24.96025”</w:t>
            </w:r>
            <w:r>
              <w:rPr>
                <w:spacing w:val="12"/>
                <w:sz w:val="18"/>
                <w:szCs w:val="18"/>
              </w:rPr>
              <w:t xml:space="preserve"> </w:t>
            </w:r>
            <w:r>
              <w:rPr>
                <w:spacing w:val="-8"/>
                <w:sz w:val="18"/>
                <w:szCs w:val="18"/>
              </w:rPr>
              <w:t>N24°52'51.31518"</w:t>
            </w:r>
          </w:p>
        </w:tc>
        <w:tc>
          <w:tcPr>
            <w:tcW w:w="1339" w:type="dxa"/>
            <w:vAlign w:val="top"/>
          </w:tcPr>
          <w:p w14:paraId="3D7A52DB">
            <w:pPr>
              <w:spacing w:line="323" w:lineRule="auto"/>
              <w:rPr>
                <w:rFonts w:ascii="Arial"/>
                <w:sz w:val="21"/>
              </w:rPr>
            </w:pPr>
          </w:p>
          <w:p w14:paraId="564F13F5">
            <w:pPr>
              <w:pStyle w:val="6"/>
              <w:spacing w:before="58" w:line="220" w:lineRule="auto"/>
              <w:ind w:left="304"/>
              <w:rPr>
                <w:sz w:val="18"/>
                <w:szCs w:val="18"/>
              </w:rPr>
            </w:pPr>
            <w:r>
              <w:rPr>
                <w:spacing w:val="1"/>
                <w:sz w:val="18"/>
                <w:szCs w:val="18"/>
              </w:rPr>
              <w:t>1户，1人</w:t>
            </w:r>
          </w:p>
        </w:tc>
        <w:tc>
          <w:tcPr>
            <w:tcW w:w="1868" w:type="dxa"/>
            <w:vAlign w:val="top"/>
          </w:tcPr>
          <w:p w14:paraId="245101E2">
            <w:pPr>
              <w:spacing w:line="321" w:lineRule="auto"/>
              <w:rPr>
                <w:rFonts w:ascii="Arial"/>
                <w:sz w:val="21"/>
              </w:rPr>
            </w:pPr>
          </w:p>
          <w:p w14:paraId="0A23D106">
            <w:pPr>
              <w:pStyle w:val="6"/>
              <w:spacing w:before="59" w:line="219" w:lineRule="auto"/>
              <w:ind w:left="255"/>
              <w:rPr>
                <w:sz w:val="18"/>
                <w:szCs w:val="18"/>
              </w:rPr>
            </w:pPr>
            <w:r>
              <w:rPr>
                <w:spacing w:val="1"/>
                <w:sz w:val="18"/>
                <w:szCs w:val="18"/>
              </w:rPr>
              <w:t>18#光伏阵列北侧</w:t>
            </w:r>
          </w:p>
        </w:tc>
        <w:tc>
          <w:tcPr>
            <w:tcW w:w="729" w:type="dxa"/>
            <w:vAlign w:val="top"/>
          </w:tcPr>
          <w:p w14:paraId="78FA87C6">
            <w:pPr>
              <w:spacing w:line="340" w:lineRule="auto"/>
              <w:rPr>
                <w:rFonts w:ascii="Arial"/>
                <w:sz w:val="21"/>
              </w:rPr>
            </w:pPr>
          </w:p>
          <w:p w14:paraId="113FBF58">
            <w:pPr>
              <w:pStyle w:val="6"/>
              <w:spacing w:before="58"/>
              <w:ind w:left="177"/>
              <w:rPr>
                <w:sz w:val="18"/>
                <w:szCs w:val="18"/>
              </w:rPr>
            </w:pPr>
            <w:r>
              <w:rPr>
                <w:spacing w:val="-2"/>
                <w:sz w:val="18"/>
                <w:szCs w:val="18"/>
              </w:rPr>
              <w:t>350m</w:t>
            </w:r>
          </w:p>
        </w:tc>
        <w:tc>
          <w:tcPr>
            <w:tcW w:w="609" w:type="dxa"/>
            <w:vMerge w:val="continue"/>
            <w:tcBorders>
              <w:top w:val="nil"/>
              <w:bottom w:val="nil"/>
            </w:tcBorders>
            <w:vAlign w:val="top"/>
          </w:tcPr>
          <w:p w14:paraId="0D837BA9">
            <w:pPr>
              <w:rPr>
                <w:rFonts w:ascii="Arial"/>
                <w:sz w:val="21"/>
              </w:rPr>
            </w:pPr>
          </w:p>
        </w:tc>
        <w:tc>
          <w:tcPr>
            <w:tcW w:w="794" w:type="dxa"/>
            <w:vMerge w:val="continue"/>
            <w:tcBorders>
              <w:top w:val="nil"/>
              <w:bottom w:val="nil"/>
            </w:tcBorders>
            <w:vAlign w:val="top"/>
          </w:tcPr>
          <w:p w14:paraId="44F7BCFD">
            <w:pPr>
              <w:rPr>
                <w:rFonts w:ascii="Arial"/>
                <w:sz w:val="21"/>
              </w:rPr>
            </w:pPr>
          </w:p>
        </w:tc>
      </w:tr>
      <w:tr w14:paraId="7EAC6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94" w:type="dxa"/>
            <w:vMerge w:val="continue"/>
            <w:tcBorders>
              <w:top w:val="nil"/>
              <w:bottom w:val="nil"/>
            </w:tcBorders>
            <w:vAlign w:val="top"/>
          </w:tcPr>
          <w:p w14:paraId="6BB68D0D">
            <w:pPr>
              <w:rPr>
                <w:rFonts w:ascii="Arial"/>
                <w:sz w:val="21"/>
              </w:rPr>
            </w:pPr>
          </w:p>
        </w:tc>
        <w:tc>
          <w:tcPr>
            <w:tcW w:w="140" w:type="dxa"/>
            <w:vMerge w:val="continue"/>
            <w:tcBorders>
              <w:top w:val="nil"/>
              <w:bottom w:val="nil"/>
            </w:tcBorders>
            <w:vAlign w:val="top"/>
          </w:tcPr>
          <w:p w14:paraId="55705665">
            <w:pPr>
              <w:rPr>
                <w:rFonts w:ascii="Arial"/>
                <w:sz w:val="21"/>
              </w:rPr>
            </w:pPr>
          </w:p>
        </w:tc>
        <w:tc>
          <w:tcPr>
            <w:tcW w:w="599" w:type="dxa"/>
            <w:vMerge w:val="continue"/>
            <w:tcBorders>
              <w:top w:val="nil"/>
              <w:bottom w:val="nil"/>
            </w:tcBorders>
            <w:vAlign w:val="top"/>
          </w:tcPr>
          <w:p w14:paraId="6A0F2DE5">
            <w:pPr>
              <w:rPr>
                <w:rFonts w:ascii="Arial"/>
                <w:sz w:val="21"/>
              </w:rPr>
            </w:pPr>
          </w:p>
        </w:tc>
        <w:tc>
          <w:tcPr>
            <w:tcW w:w="839" w:type="dxa"/>
            <w:vAlign w:val="top"/>
          </w:tcPr>
          <w:p w14:paraId="0A4F33A5">
            <w:pPr>
              <w:pStyle w:val="6"/>
              <w:spacing w:before="33" w:line="227" w:lineRule="auto"/>
              <w:ind w:left="11" w:right="13" w:firstLine="40"/>
              <w:jc w:val="both"/>
              <w:rPr>
                <w:sz w:val="18"/>
                <w:szCs w:val="18"/>
              </w:rPr>
            </w:pPr>
            <w:r>
              <w:rPr>
                <w:spacing w:val="-3"/>
                <w:sz w:val="18"/>
                <w:szCs w:val="18"/>
              </w:rPr>
              <w:t>大地村散</w:t>
            </w:r>
            <w:r>
              <w:rPr>
                <w:spacing w:val="1"/>
                <w:sz w:val="18"/>
                <w:szCs w:val="18"/>
              </w:rPr>
              <w:t xml:space="preserve"> </w:t>
            </w:r>
            <w:r>
              <w:rPr>
                <w:spacing w:val="-16"/>
                <w:sz w:val="18"/>
                <w:szCs w:val="18"/>
              </w:rPr>
              <w:t>户</w:t>
            </w:r>
            <w:r>
              <w:rPr>
                <w:spacing w:val="1"/>
                <w:sz w:val="18"/>
                <w:szCs w:val="18"/>
              </w:rPr>
              <w:t xml:space="preserve"> </w:t>
            </w:r>
            <w:r>
              <w:rPr>
                <w:spacing w:val="-16"/>
                <w:sz w:val="18"/>
                <w:szCs w:val="18"/>
              </w:rPr>
              <w:t>4</w:t>
            </w:r>
            <w:r>
              <w:rPr>
                <w:spacing w:val="32"/>
                <w:sz w:val="18"/>
                <w:szCs w:val="18"/>
              </w:rPr>
              <w:t xml:space="preserve"> </w:t>
            </w:r>
            <w:r>
              <w:rPr>
                <w:spacing w:val="-16"/>
                <w:sz w:val="18"/>
                <w:szCs w:val="18"/>
              </w:rPr>
              <w:t>(</w:t>
            </w:r>
            <w:r>
              <w:rPr>
                <w:spacing w:val="23"/>
                <w:sz w:val="18"/>
                <w:szCs w:val="18"/>
              </w:rPr>
              <w:t xml:space="preserve"> </w:t>
            </w:r>
            <w:r>
              <w:rPr>
                <w:spacing w:val="-16"/>
                <w:sz w:val="18"/>
                <w:szCs w:val="18"/>
              </w:rPr>
              <w:t>田</w:t>
            </w:r>
            <w:r>
              <w:rPr>
                <w:sz w:val="18"/>
                <w:szCs w:val="18"/>
              </w:rPr>
              <w:t xml:space="preserve"> </w:t>
            </w:r>
            <w:r>
              <w:rPr>
                <w:spacing w:val="11"/>
                <w:sz w:val="18"/>
                <w:szCs w:val="18"/>
              </w:rPr>
              <w:t>间农户看</w:t>
            </w:r>
            <w:r>
              <w:rPr>
                <w:spacing w:val="2"/>
                <w:sz w:val="18"/>
                <w:szCs w:val="18"/>
              </w:rPr>
              <w:t xml:space="preserve"> </w:t>
            </w:r>
            <w:r>
              <w:rPr>
                <w:spacing w:val="-4"/>
                <w:sz w:val="18"/>
                <w:szCs w:val="18"/>
              </w:rPr>
              <w:t>地</w:t>
            </w:r>
            <w:r>
              <w:rPr>
                <w:spacing w:val="-36"/>
                <w:sz w:val="18"/>
                <w:szCs w:val="18"/>
              </w:rPr>
              <w:t xml:space="preserve"> </w:t>
            </w:r>
            <w:r>
              <w:rPr>
                <w:spacing w:val="-4"/>
                <w:sz w:val="18"/>
                <w:szCs w:val="18"/>
              </w:rPr>
              <w:t>)</w:t>
            </w:r>
          </w:p>
        </w:tc>
        <w:tc>
          <w:tcPr>
            <w:tcW w:w="1678" w:type="dxa"/>
            <w:vAlign w:val="top"/>
          </w:tcPr>
          <w:p w14:paraId="15E0B916">
            <w:pPr>
              <w:spacing w:line="263" w:lineRule="auto"/>
              <w:rPr>
                <w:rFonts w:ascii="Arial"/>
                <w:sz w:val="21"/>
              </w:rPr>
            </w:pPr>
          </w:p>
          <w:p w14:paraId="781522FA">
            <w:pPr>
              <w:pStyle w:val="6"/>
              <w:spacing w:before="58" w:line="237" w:lineRule="auto"/>
              <w:ind w:left="22"/>
              <w:rPr>
                <w:sz w:val="18"/>
                <w:szCs w:val="18"/>
              </w:rPr>
            </w:pPr>
            <w:r>
              <w:rPr>
                <w:spacing w:val="-4"/>
                <w:sz w:val="18"/>
                <w:szCs w:val="18"/>
              </w:rPr>
              <w:t>E103°29'35.27281"</w:t>
            </w:r>
            <w:r>
              <w:rPr>
                <w:spacing w:val="1"/>
                <w:sz w:val="18"/>
                <w:szCs w:val="18"/>
              </w:rPr>
              <w:t xml:space="preserve">  N24°52'55.21619”</w:t>
            </w:r>
          </w:p>
        </w:tc>
        <w:tc>
          <w:tcPr>
            <w:tcW w:w="1339" w:type="dxa"/>
            <w:vAlign w:val="top"/>
          </w:tcPr>
          <w:p w14:paraId="02486551">
            <w:pPr>
              <w:spacing w:line="324" w:lineRule="auto"/>
              <w:rPr>
                <w:rFonts w:ascii="Arial"/>
                <w:sz w:val="21"/>
              </w:rPr>
            </w:pPr>
          </w:p>
          <w:p w14:paraId="6B5ED0FB">
            <w:pPr>
              <w:pStyle w:val="6"/>
              <w:spacing w:before="58" w:line="220" w:lineRule="auto"/>
              <w:ind w:left="304"/>
              <w:rPr>
                <w:sz w:val="18"/>
                <w:szCs w:val="18"/>
              </w:rPr>
            </w:pPr>
            <w:r>
              <w:rPr>
                <w:spacing w:val="1"/>
                <w:sz w:val="18"/>
                <w:szCs w:val="18"/>
              </w:rPr>
              <w:t>1户，1人</w:t>
            </w:r>
          </w:p>
        </w:tc>
        <w:tc>
          <w:tcPr>
            <w:tcW w:w="1868" w:type="dxa"/>
            <w:vAlign w:val="top"/>
          </w:tcPr>
          <w:p w14:paraId="13664CD3">
            <w:pPr>
              <w:spacing w:line="322" w:lineRule="auto"/>
              <w:rPr>
                <w:rFonts w:ascii="Arial"/>
                <w:sz w:val="21"/>
              </w:rPr>
            </w:pPr>
          </w:p>
          <w:p w14:paraId="4400360E">
            <w:pPr>
              <w:pStyle w:val="6"/>
              <w:spacing w:before="59" w:line="219" w:lineRule="auto"/>
              <w:ind w:left="255"/>
              <w:rPr>
                <w:sz w:val="18"/>
                <w:szCs w:val="18"/>
              </w:rPr>
            </w:pPr>
            <w:r>
              <w:rPr>
                <w:spacing w:val="1"/>
                <w:sz w:val="18"/>
                <w:szCs w:val="18"/>
              </w:rPr>
              <w:t>18#光伏阵列北侧</w:t>
            </w:r>
          </w:p>
        </w:tc>
        <w:tc>
          <w:tcPr>
            <w:tcW w:w="729" w:type="dxa"/>
            <w:vAlign w:val="top"/>
          </w:tcPr>
          <w:p w14:paraId="77858FE5">
            <w:pPr>
              <w:spacing w:line="341" w:lineRule="auto"/>
              <w:rPr>
                <w:rFonts w:ascii="Arial"/>
                <w:sz w:val="21"/>
              </w:rPr>
            </w:pPr>
          </w:p>
          <w:p w14:paraId="60D36ED9">
            <w:pPr>
              <w:pStyle w:val="6"/>
              <w:spacing w:before="58"/>
              <w:ind w:left="177"/>
              <w:rPr>
                <w:sz w:val="18"/>
                <w:szCs w:val="18"/>
              </w:rPr>
            </w:pPr>
            <w:r>
              <w:rPr>
                <w:spacing w:val="-2"/>
                <w:sz w:val="18"/>
                <w:szCs w:val="18"/>
              </w:rPr>
              <w:t>494m</w:t>
            </w:r>
          </w:p>
        </w:tc>
        <w:tc>
          <w:tcPr>
            <w:tcW w:w="609" w:type="dxa"/>
            <w:vMerge w:val="continue"/>
            <w:tcBorders>
              <w:top w:val="nil"/>
              <w:bottom w:val="nil"/>
            </w:tcBorders>
            <w:vAlign w:val="top"/>
          </w:tcPr>
          <w:p w14:paraId="15940FF3">
            <w:pPr>
              <w:rPr>
                <w:rFonts w:ascii="Arial"/>
                <w:sz w:val="21"/>
              </w:rPr>
            </w:pPr>
          </w:p>
        </w:tc>
        <w:tc>
          <w:tcPr>
            <w:tcW w:w="794" w:type="dxa"/>
            <w:vMerge w:val="continue"/>
            <w:tcBorders>
              <w:top w:val="nil"/>
              <w:bottom w:val="nil"/>
            </w:tcBorders>
            <w:vAlign w:val="top"/>
          </w:tcPr>
          <w:p w14:paraId="1ED50AA8">
            <w:pPr>
              <w:rPr>
                <w:rFonts w:ascii="Arial"/>
                <w:sz w:val="21"/>
              </w:rPr>
            </w:pPr>
          </w:p>
        </w:tc>
      </w:tr>
      <w:tr w14:paraId="0675C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694" w:type="dxa"/>
            <w:vMerge w:val="continue"/>
            <w:tcBorders>
              <w:top w:val="nil"/>
              <w:bottom w:val="nil"/>
            </w:tcBorders>
            <w:vAlign w:val="top"/>
          </w:tcPr>
          <w:p w14:paraId="48FF2DBC">
            <w:pPr>
              <w:rPr>
                <w:rFonts w:ascii="Arial"/>
                <w:sz w:val="21"/>
              </w:rPr>
            </w:pPr>
          </w:p>
        </w:tc>
        <w:tc>
          <w:tcPr>
            <w:tcW w:w="140" w:type="dxa"/>
            <w:vMerge w:val="continue"/>
            <w:tcBorders>
              <w:top w:val="nil"/>
              <w:bottom w:val="nil"/>
            </w:tcBorders>
            <w:vAlign w:val="top"/>
          </w:tcPr>
          <w:p w14:paraId="19A4BE2A">
            <w:pPr>
              <w:rPr>
                <w:rFonts w:ascii="Arial"/>
                <w:sz w:val="21"/>
              </w:rPr>
            </w:pPr>
          </w:p>
        </w:tc>
        <w:tc>
          <w:tcPr>
            <w:tcW w:w="599" w:type="dxa"/>
            <w:vMerge w:val="continue"/>
            <w:tcBorders>
              <w:top w:val="nil"/>
              <w:bottom w:val="nil"/>
            </w:tcBorders>
            <w:vAlign w:val="top"/>
          </w:tcPr>
          <w:p w14:paraId="56F8A40A">
            <w:pPr>
              <w:rPr>
                <w:rFonts w:ascii="Arial"/>
                <w:sz w:val="21"/>
              </w:rPr>
            </w:pPr>
          </w:p>
        </w:tc>
        <w:tc>
          <w:tcPr>
            <w:tcW w:w="839" w:type="dxa"/>
            <w:vAlign w:val="top"/>
          </w:tcPr>
          <w:p w14:paraId="2E2FF43B">
            <w:pPr>
              <w:pStyle w:val="6"/>
              <w:spacing w:before="135" w:line="219" w:lineRule="auto"/>
              <w:ind w:left="11"/>
              <w:rPr>
                <w:sz w:val="18"/>
                <w:szCs w:val="18"/>
              </w:rPr>
            </w:pPr>
            <w:r>
              <w:rPr>
                <w:spacing w:val="-3"/>
                <w:sz w:val="18"/>
                <w:szCs w:val="18"/>
              </w:rPr>
              <w:t>大莫古</w:t>
            </w:r>
          </w:p>
        </w:tc>
        <w:tc>
          <w:tcPr>
            <w:tcW w:w="1678" w:type="dxa"/>
            <w:vAlign w:val="top"/>
          </w:tcPr>
          <w:p w14:paraId="303F4AB9">
            <w:pPr>
              <w:pStyle w:val="6"/>
              <w:spacing w:before="63" w:line="183" w:lineRule="auto"/>
              <w:ind w:left="104" w:hanging="92"/>
              <w:rPr>
                <w:sz w:val="18"/>
                <w:szCs w:val="18"/>
              </w:rPr>
            </w:pPr>
            <w:r>
              <w:rPr>
                <w:spacing w:val="-4"/>
                <w:sz w:val="18"/>
                <w:szCs w:val="18"/>
              </w:rPr>
              <w:t>E103°31'11.22401”</w:t>
            </w:r>
            <w:r>
              <w:rPr>
                <w:spacing w:val="12"/>
                <w:sz w:val="18"/>
                <w:szCs w:val="18"/>
              </w:rPr>
              <w:t xml:space="preserve"> </w:t>
            </w:r>
            <w:r>
              <w:rPr>
                <w:spacing w:val="-7"/>
                <w:sz w:val="18"/>
                <w:szCs w:val="18"/>
              </w:rPr>
              <w:t>N24°53'5.70255"</w:t>
            </w:r>
          </w:p>
        </w:tc>
        <w:tc>
          <w:tcPr>
            <w:tcW w:w="1339" w:type="dxa"/>
            <w:vAlign w:val="top"/>
          </w:tcPr>
          <w:p w14:paraId="7B0C6304">
            <w:pPr>
              <w:pStyle w:val="6"/>
              <w:spacing w:before="135" w:line="220" w:lineRule="auto"/>
              <w:ind w:left="164"/>
              <w:rPr>
                <w:sz w:val="18"/>
                <w:szCs w:val="18"/>
              </w:rPr>
            </w:pPr>
            <w:r>
              <w:rPr>
                <w:spacing w:val="-2"/>
                <w:sz w:val="18"/>
                <w:szCs w:val="18"/>
              </w:rPr>
              <w:t>32户，102人</w:t>
            </w:r>
          </w:p>
        </w:tc>
        <w:tc>
          <w:tcPr>
            <w:tcW w:w="1868" w:type="dxa"/>
            <w:vAlign w:val="top"/>
          </w:tcPr>
          <w:p w14:paraId="110214D3">
            <w:pPr>
              <w:pStyle w:val="6"/>
              <w:spacing w:before="134" w:line="219" w:lineRule="auto"/>
              <w:ind w:left="255"/>
              <w:rPr>
                <w:sz w:val="18"/>
                <w:szCs w:val="18"/>
              </w:rPr>
            </w:pPr>
            <w:r>
              <w:rPr>
                <w:spacing w:val="1"/>
                <w:sz w:val="18"/>
                <w:szCs w:val="18"/>
              </w:rPr>
              <w:t>19#光伏阵列西侧</w:t>
            </w:r>
          </w:p>
        </w:tc>
        <w:tc>
          <w:tcPr>
            <w:tcW w:w="729" w:type="dxa"/>
            <w:vAlign w:val="top"/>
          </w:tcPr>
          <w:p w14:paraId="096A23E7">
            <w:pPr>
              <w:pStyle w:val="6"/>
              <w:spacing w:before="152"/>
              <w:ind w:left="177"/>
              <w:rPr>
                <w:sz w:val="18"/>
                <w:szCs w:val="18"/>
              </w:rPr>
            </w:pPr>
            <w:r>
              <w:rPr>
                <w:spacing w:val="-4"/>
                <w:sz w:val="18"/>
                <w:szCs w:val="18"/>
              </w:rPr>
              <w:t>140m</w:t>
            </w:r>
          </w:p>
        </w:tc>
        <w:tc>
          <w:tcPr>
            <w:tcW w:w="609" w:type="dxa"/>
            <w:vMerge w:val="continue"/>
            <w:tcBorders>
              <w:top w:val="nil"/>
              <w:bottom w:val="nil"/>
            </w:tcBorders>
            <w:vAlign w:val="top"/>
          </w:tcPr>
          <w:p w14:paraId="1F5435CF">
            <w:pPr>
              <w:rPr>
                <w:rFonts w:ascii="Arial"/>
                <w:sz w:val="21"/>
              </w:rPr>
            </w:pPr>
          </w:p>
        </w:tc>
        <w:tc>
          <w:tcPr>
            <w:tcW w:w="794" w:type="dxa"/>
            <w:vMerge w:val="continue"/>
            <w:tcBorders>
              <w:top w:val="nil"/>
              <w:bottom w:val="nil"/>
            </w:tcBorders>
            <w:vAlign w:val="top"/>
          </w:tcPr>
          <w:p w14:paraId="27B83BF7">
            <w:pPr>
              <w:rPr>
                <w:rFonts w:ascii="Arial"/>
                <w:sz w:val="21"/>
              </w:rPr>
            </w:pPr>
          </w:p>
        </w:tc>
      </w:tr>
      <w:tr w14:paraId="334A2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694" w:type="dxa"/>
            <w:vMerge w:val="continue"/>
            <w:tcBorders>
              <w:top w:val="nil"/>
              <w:bottom w:val="nil"/>
            </w:tcBorders>
            <w:vAlign w:val="top"/>
          </w:tcPr>
          <w:p w14:paraId="0E65407A">
            <w:pPr>
              <w:rPr>
                <w:rFonts w:ascii="Arial"/>
                <w:sz w:val="21"/>
              </w:rPr>
            </w:pPr>
          </w:p>
        </w:tc>
        <w:tc>
          <w:tcPr>
            <w:tcW w:w="140" w:type="dxa"/>
            <w:vMerge w:val="continue"/>
            <w:tcBorders>
              <w:top w:val="nil"/>
              <w:bottom w:val="nil"/>
            </w:tcBorders>
            <w:vAlign w:val="top"/>
          </w:tcPr>
          <w:p w14:paraId="64CCA448">
            <w:pPr>
              <w:rPr>
                <w:rFonts w:ascii="Arial"/>
                <w:sz w:val="21"/>
              </w:rPr>
            </w:pPr>
          </w:p>
        </w:tc>
        <w:tc>
          <w:tcPr>
            <w:tcW w:w="599" w:type="dxa"/>
            <w:vMerge w:val="continue"/>
            <w:tcBorders>
              <w:top w:val="nil"/>
              <w:bottom w:val="nil"/>
            </w:tcBorders>
            <w:vAlign w:val="top"/>
          </w:tcPr>
          <w:p w14:paraId="78A42B42">
            <w:pPr>
              <w:rPr>
                <w:rFonts w:ascii="Arial"/>
                <w:sz w:val="21"/>
              </w:rPr>
            </w:pPr>
          </w:p>
        </w:tc>
        <w:tc>
          <w:tcPr>
            <w:tcW w:w="839" w:type="dxa"/>
            <w:vAlign w:val="top"/>
          </w:tcPr>
          <w:p w14:paraId="24D37386">
            <w:pPr>
              <w:pStyle w:val="6"/>
              <w:spacing w:before="35" w:line="224" w:lineRule="auto"/>
              <w:ind w:left="11" w:firstLine="38"/>
              <w:rPr>
                <w:sz w:val="18"/>
                <w:szCs w:val="18"/>
              </w:rPr>
            </w:pPr>
            <w:r>
              <w:rPr>
                <w:spacing w:val="-8"/>
                <w:sz w:val="18"/>
                <w:szCs w:val="18"/>
              </w:rPr>
              <w:t>大莫古散</w:t>
            </w:r>
            <w:r>
              <w:rPr>
                <w:sz w:val="18"/>
                <w:szCs w:val="18"/>
              </w:rPr>
              <w:t xml:space="preserve">  </w:t>
            </w:r>
            <w:r>
              <w:rPr>
                <w:spacing w:val="-30"/>
                <w:sz w:val="18"/>
                <w:szCs w:val="18"/>
              </w:rPr>
              <w:t>户</w:t>
            </w:r>
            <w:r>
              <w:rPr>
                <w:spacing w:val="31"/>
                <w:sz w:val="18"/>
                <w:szCs w:val="18"/>
              </w:rPr>
              <w:t xml:space="preserve"> </w:t>
            </w:r>
            <w:r>
              <w:rPr>
                <w:spacing w:val="-29"/>
                <w:sz w:val="18"/>
                <w:szCs w:val="18"/>
              </w:rPr>
              <w:t>1</w:t>
            </w:r>
            <w:r>
              <w:rPr>
                <w:spacing w:val="48"/>
                <w:sz w:val="18"/>
                <w:szCs w:val="18"/>
              </w:rPr>
              <w:t xml:space="preserve"> </w:t>
            </w:r>
            <w:r>
              <w:rPr>
                <w:spacing w:val="-29"/>
                <w:sz w:val="18"/>
                <w:szCs w:val="18"/>
              </w:rPr>
              <w:t>(</w:t>
            </w:r>
            <w:r>
              <w:rPr>
                <w:spacing w:val="39"/>
                <w:sz w:val="18"/>
                <w:szCs w:val="18"/>
              </w:rPr>
              <w:t xml:space="preserve"> </w:t>
            </w:r>
            <w:r>
              <w:rPr>
                <w:spacing w:val="-24"/>
                <w:sz w:val="18"/>
                <w:szCs w:val="18"/>
              </w:rPr>
              <w:t>田</w:t>
            </w:r>
            <w:r>
              <w:rPr>
                <w:sz w:val="18"/>
                <w:szCs w:val="18"/>
              </w:rPr>
              <w:t xml:space="preserve"> </w:t>
            </w:r>
            <w:r>
              <w:rPr>
                <w:spacing w:val="3"/>
                <w:sz w:val="18"/>
                <w:szCs w:val="18"/>
              </w:rPr>
              <w:t>间农户看</w:t>
            </w:r>
            <w:r>
              <w:rPr>
                <w:sz w:val="18"/>
                <w:szCs w:val="18"/>
              </w:rPr>
              <w:t xml:space="preserve">  </w:t>
            </w:r>
            <w:r>
              <w:rPr>
                <w:spacing w:val="-7"/>
                <w:sz w:val="18"/>
                <w:szCs w:val="18"/>
              </w:rPr>
              <w:t>地</w:t>
            </w:r>
            <w:r>
              <w:rPr>
                <w:spacing w:val="-37"/>
                <w:sz w:val="18"/>
                <w:szCs w:val="18"/>
              </w:rPr>
              <w:t xml:space="preserve"> </w:t>
            </w:r>
            <w:r>
              <w:rPr>
                <w:spacing w:val="-7"/>
                <w:sz w:val="18"/>
                <w:szCs w:val="18"/>
              </w:rPr>
              <w:t>)</w:t>
            </w:r>
          </w:p>
        </w:tc>
        <w:tc>
          <w:tcPr>
            <w:tcW w:w="1678" w:type="dxa"/>
            <w:vAlign w:val="top"/>
          </w:tcPr>
          <w:p w14:paraId="459EFDFC">
            <w:pPr>
              <w:spacing w:line="272" w:lineRule="auto"/>
              <w:rPr>
                <w:rFonts w:ascii="Arial"/>
                <w:sz w:val="21"/>
              </w:rPr>
            </w:pPr>
          </w:p>
          <w:p w14:paraId="5C961BAE">
            <w:pPr>
              <w:pStyle w:val="6"/>
              <w:spacing w:before="59" w:line="217" w:lineRule="auto"/>
              <w:ind w:left="58" w:hanging="46"/>
              <w:rPr>
                <w:sz w:val="18"/>
                <w:szCs w:val="18"/>
              </w:rPr>
            </w:pPr>
            <w:r>
              <w:rPr>
                <w:spacing w:val="-4"/>
                <w:sz w:val="18"/>
                <w:szCs w:val="18"/>
              </w:rPr>
              <w:t>E103°30'58.93198”</w:t>
            </w:r>
            <w:r>
              <w:rPr>
                <w:spacing w:val="12"/>
                <w:sz w:val="18"/>
                <w:szCs w:val="18"/>
              </w:rPr>
              <w:t xml:space="preserve"> </w:t>
            </w:r>
            <w:r>
              <w:rPr>
                <w:spacing w:val="-3"/>
                <w:sz w:val="18"/>
                <w:szCs w:val="18"/>
              </w:rPr>
              <w:t>N24°53'9.59390”</w:t>
            </w:r>
          </w:p>
        </w:tc>
        <w:tc>
          <w:tcPr>
            <w:tcW w:w="1339" w:type="dxa"/>
            <w:vAlign w:val="top"/>
          </w:tcPr>
          <w:p w14:paraId="561DD691">
            <w:pPr>
              <w:spacing w:line="315" w:lineRule="auto"/>
              <w:rPr>
                <w:rFonts w:ascii="Arial"/>
                <w:sz w:val="21"/>
              </w:rPr>
            </w:pPr>
          </w:p>
          <w:p w14:paraId="42D5FDF0">
            <w:pPr>
              <w:pStyle w:val="6"/>
              <w:spacing w:before="58" w:line="220" w:lineRule="auto"/>
              <w:ind w:left="304"/>
              <w:rPr>
                <w:sz w:val="18"/>
                <w:szCs w:val="18"/>
              </w:rPr>
            </w:pPr>
            <w:r>
              <w:rPr>
                <w:spacing w:val="-2"/>
                <w:sz w:val="18"/>
                <w:szCs w:val="18"/>
              </w:rPr>
              <w:t>5户，5人</w:t>
            </w:r>
          </w:p>
        </w:tc>
        <w:tc>
          <w:tcPr>
            <w:tcW w:w="1868" w:type="dxa"/>
            <w:vAlign w:val="top"/>
          </w:tcPr>
          <w:p w14:paraId="0D859D44">
            <w:pPr>
              <w:spacing w:line="313" w:lineRule="auto"/>
              <w:rPr>
                <w:rFonts w:ascii="Arial"/>
                <w:sz w:val="21"/>
              </w:rPr>
            </w:pPr>
          </w:p>
          <w:p w14:paraId="1541664E">
            <w:pPr>
              <w:pStyle w:val="6"/>
              <w:spacing w:before="59" w:line="219" w:lineRule="auto"/>
              <w:ind w:left="255"/>
              <w:rPr>
                <w:sz w:val="18"/>
                <w:szCs w:val="18"/>
              </w:rPr>
            </w:pPr>
            <w:r>
              <w:rPr>
                <w:sz w:val="18"/>
                <w:szCs w:val="18"/>
              </w:rPr>
              <w:t>19#光伏阵列周边</w:t>
            </w:r>
          </w:p>
        </w:tc>
        <w:tc>
          <w:tcPr>
            <w:tcW w:w="729" w:type="dxa"/>
            <w:vAlign w:val="top"/>
          </w:tcPr>
          <w:p w14:paraId="3E0B487F">
            <w:pPr>
              <w:spacing w:line="332" w:lineRule="auto"/>
              <w:rPr>
                <w:rFonts w:ascii="Arial"/>
                <w:sz w:val="21"/>
              </w:rPr>
            </w:pPr>
          </w:p>
          <w:p w14:paraId="50E88DB9">
            <w:pPr>
              <w:pStyle w:val="6"/>
              <w:spacing w:before="59" w:line="241" w:lineRule="auto"/>
              <w:ind w:left="267"/>
              <w:rPr>
                <w:sz w:val="18"/>
                <w:szCs w:val="18"/>
              </w:rPr>
            </w:pPr>
            <w:r>
              <w:rPr>
                <w:spacing w:val="-3"/>
                <w:sz w:val="18"/>
                <w:szCs w:val="18"/>
              </w:rPr>
              <w:t>2m</w:t>
            </w:r>
          </w:p>
        </w:tc>
        <w:tc>
          <w:tcPr>
            <w:tcW w:w="609" w:type="dxa"/>
            <w:vMerge w:val="continue"/>
            <w:tcBorders>
              <w:top w:val="nil"/>
              <w:bottom w:val="nil"/>
            </w:tcBorders>
            <w:vAlign w:val="top"/>
          </w:tcPr>
          <w:p w14:paraId="0A35A20D">
            <w:pPr>
              <w:rPr>
                <w:rFonts w:ascii="Arial"/>
                <w:sz w:val="21"/>
              </w:rPr>
            </w:pPr>
          </w:p>
        </w:tc>
        <w:tc>
          <w:tcPr>
            <w:tcW w:w="794" w:type="dxa"/>
            <w:vMerge w:val="continue"/>
            <w:tcBorders>
              <w:top w:val="nil"/>
              <w:bottom w:val="nil"/>
            </w:tcBorders>
            <w:vAlign w:val="top"/>
          </w:tcPr>
          <w:p w14:paraId="042C730B">
            <w:pPr>
              <w:rPr>
                <w:rFonts w:ascii="Arial"/>
                <w:sz w:val="21"/>
              </w:rPr>
            </w:pPr>
          </w:p>
        </w:tc>
      </w:tr>
      <w:tr w14:paraId="4050B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694" w:type="dxa"/>
            <w:vMerge w:val="continue"/>
            <w:tcBorders>
              <w:top w:val="nil"/>
              <w:bottom w:val="nil"/>
            </w:tcBorders>
            <w:vAlign w:val="top"/>
          </w:tcPr>
          <w:p w14:paraId="6554593D">
            <w:pPr>
              <w:rPr>
                <w:rFonts w:ascii="Arial"/>
                <w:sz w:val="21"/>
              </w:rPr>
            </w:pPr>
          </w:p>
        </w:tc>
        <w:tc>
          <w:tcPr>
            <w:tcW w:w="140" w:type="dxa"/>
            <w:vMerge w:val="continue"/>
            <w:tcBorders>
              <w:top w:val="nil"/>
              <w:bottom w:val="nil"/>
            </w:tcBorders>
            <w:vAlign w:val="top"/>
          </w:tcPr>
          <w:p w14:paraId="42D6C4FC">
            <w:pPr>
              <w:rPr>
                <w:rFonts w:ascii="Arial"/>
                <w:sz w:val="21"/>
              </w:rPr>
            </w:pPr>
          </w:p>
        </w:tc>
        <w:tc>
          <w:tcPr>
            <w:tcW w:w="599" w:type="dxa"/>
            <w:vMerge w:val="continue"/>
            <w:tcBorders>
              <w:top w:val="nil"/>
              <w:bottom w:val="nil"/>
            </w:tcBorders>
            <w:vAlign w:val="top"/>
          </w:tcPr>
          <w:p w14:paraId="7AF6F634">
            <w:pPr>
              <w:rPr>
                <w:rFonts w:ascii="Arial"/>
                <w:sz w:val="21"/>
              </w:rPr>
            </w:pPr>
          </w:p>
        </w:tc>
        <w:tc>
          <w:tcPr>
            <w:tcW w:w="839" w:type="dxa"/>
            <w:vAlign w:val="top"/>
          </w:tcPr>
          <w:p w14:paraId="4D1843F5">
            <w:pPr>
              <w:pStyle w:val="6"/>
              <w:spacing w:before="45" w:line="231" w:lineRule="auto"/>
              <w:ind w:left="11" w:firstLine="39"/>
              <w:rPr>
                <w:sz w:val="18"/>
                <w:szCs w:val="18"/>
              </w:rPr>
            </w:pPr>
            <w:r>
              <w:rPr>
                <w:spacing w:val="-4"/>
                <w:sz w:val="18"/>
                <w:szCs w:val="18"/>
              </w:rPr>
              <w:t>大地村散</w:t>
            </w:r>
            <w:r>
              <w:rPr>
                <w:sz w:val="18"/>
                <w:szCs w:val="18"/>
              </w:rPr>
              <w:t xml:space="preserve">  </w:t>
            </w:r>
            <w:r>
              <w:rPr>
                <w:spacing w:val="-23"/>
                <w:sz w:val="18"/>
                <w:szCs w:val="18"/>
              </w:rPr>
              <w:t>户</w:t>
            </w:r>
            <w:r>
              <w:rPr>
                <w:spacing w:val="18"/>
                <w:sz w:val="18"/>
                <w:szCs w:val="18"/>
              </w:rPr>
              <w:t xml:space="preserve"> </w:t>
            </w:r>
            <w:r>
              <w:rPr>
                <w:spacing w:val="-23"/>
                <w:sz w:val="18"/>
                <w:szCs w:val="18"/>
              </w:rPr>
              <w:t>5</w:t>
            </w:r>
            <w:r>
              <w:rPr>
                <w:spacing w:val="45"/>
                <w:sz w:val="18"/>
                <w:szCs w:val="18"/>
              </w:rPr>
              <w:t xml:space="preserve"> </w:t>
            </w:r>
            <w:r>
              <w:rPr>
                <w:spacing w:val="-23"/>
                <w:sz w:val="18"/>
                <w:szCs w:val="18"/>
              </w:rPr>
              <w:t>(</w:t>
            </w:r>
            <w:r>
              <w:rPr>
                <w:spacing w:val="35"/>
                <w:sz w:val="18"/>
                <w:szCs w:val="18"/>
              </w:rPr>
              <w:t xml:space="preserve"> </w:t>
            </w:r>
            <w:r>
              <w:rPr>
                <w:spacing w:val="-23"/>
                <w:sz w:val="18"/>
                <w:szCs w:val="18"/>
              </w:rPr>
              <w:t>田</w:t>
            </w:r>
          </w:p>
          <w:p w14:paraId="0245C634">
            <w:pPr>
              <w:pStyle w:val="6"/>
              <w:spacing w:line="227" w:lineRule="auto"/>
              <w:ind w:left="11" w:right="49" w:firstLine="40"/>
              <w:rPr>
                <w:sz w:val="18"/>
                <w:szCs w:val="18"/>
              </w:rPr>
            </w:pPr>
            <w:r>
              <w:rPr>
                <w:spacing w:val="1"/>
                <w:sz w:val="18"/>
                <w:szCs w:val="18"/>
              </w:rPr>
              <w:t>间农户看</w:t>
            </w:r>
            <w:r>
              <w:rPr>
                <w:spacing w:val="2"/>
                <w:sz w:val="18"/>
                <w:szCs w:val="18"/>
              </w:rPr>
              <w:t xml:space="preserve"> </w:t>
            </w:r>
            <w:r>
              <w:rPr>
                <w:spacing w:val="-4"/>
                <w:sz w:val="18"/>
                <w:szCs w:val="18"/>
              </w:rPr>
              <w:t>地</w:t>
            </w:r>
            <w:r>
              <w:rPr>
                <w:spacing w:val="-36"/>
                <w:sz w:val="18"/>
                <w:szCs w:val="18"/>
              </w:rPr>
              <w:t xml:space="preserve"> </w:t>
            </w:r>
            <w:r>
              <w:rPr>
                <w:spacing w:val="-4"/>
                <w:sz w:val="18"/>
                <w:szCs w:val="18"/>
              </w:rPr>
              <w:t>)</w:t>
            </w:r>
          </w:p>
        </w:tc>
        <w:tc>
          <w:tcPr>
            <w:tcW w:w="1678" w:type="dxa"/>
            <w:vAlign w:val="top"/>
          </w:tcPr>
          <w:p w14:paraId="4A831FB9">
            <w:pPr>
              <w:spacing w:line="274" w:lineRule="auto"/>
              <w:rPr>
                <w:rFonts w:ascii="Arial"/>
                <w:sz w:val="21"/>
              </w:rPr>
            </w:pPr>
          </w:p>
          <w:p w14:paraId="3DEFFFBB">
            <w:pPr>
              <w:pStyle w:val="6"/>
              <w:spacing w:before="58" w:line="222" w:lineRule="auto"/>
              <w:ind w:left="58" w:hanging="46"/>
              <w:rPr>
                <w:sz w:val="18"/>
                <w:szCs w:val="18"/>
              </w:rPr>
            </w:pPr>
            <w:r>
              <w:rPr>
                <w:spacing w:val="-4"/>
                <w:sz w:val="18"/>
                <w:szCs w:val="18"/>
              </w:rPr>
              <w:t>E103°30'56.58405”</w:t>
            </w:r>
            <w:r>
              <w:rPr>
                <w:spacing w:val="12"/>
                <w:sz w:val="18"/>
                <w:szCs w:val="18"/>
              </w:rPr>
              <w:t xml:space="preserve"> </w:t>
            </w:r>
            <w:r>
              <w:rPr>
                <w:spacing w:val="-3"/>
                <w:sz w:val="18"/>
                <w:szCs w:val="18"/>
              </w:rPr>
              <w:t>N24°53'1.06386”</w:t>
            </w:r>
          </w:p>
        </w:tc>
        <w:tc>
          <w:tcPr>
            <w:tcW w:w="1339" w:type="dxa"/>
            <w:vAlign w:val="top"/>
          </w:tcPr>
          <w:p w14:paraId="61696DBB">
            <w:pPr>
              <w:spacing w:line="336" w:lineRule="auto"/>
              <w:rPr>
                <w:rFonts w:ascii="Arial"/>
                <w:sz w:val="21"/>
              </w:rPr>
            </w:pPr>
          </w:p>
          <w:p w14:paraId="6823E475">
            <w:pPr>
              <w:pStyle w:val="6"/>
              <w:spacing w:before="58" w:line="220" w:lineRule="auto"/>
              <w:ind w:left="304"/>
              <w:rPr>
                <w:sz w:val="18"/>
                <w:szCs w:val="18"/>
              </w:rPr>
            </w:pPr>
            <w:r>
              <w:rPr>
                <w:spacing w:val="-13"/>
                <w:sz w:val="18"/>
                <w:szCs w:val="18"/>
              </w:rPr>
              <w:t>1</w:t>
            </w:r>
            <w:r>
              <w:rPr>
                <w:spacing w:val="-11"/>
                <w:sz w:val="18"/>
                <w:szCs w:val="18"/>
              </w:rPr>
              <w:t xml:space="preserve"> </w:t>
            </w:r>
            <w:r>
              <w:rPr>
                <w:spacing w:val="-13"/>
                <w:sz w:val="18"/>
                <w:szCs w:val="18"/>
              </w:rPr>
              <w:t>户</w:t>
            </w:r>
            <w:r>
              <w:rPr>
                <w:sz w:val="18"/>
                <w:szCs w:val="18"/>
              </w:rPr>
              <w:t xml:space="preserve"> </w:t>
            </w:r>
            <w:r>
              <w:rPr>
                <w:spacing w:val="-13"/>
                <w:sz w:val="18"/>
                <w:szCs w:val="18"/>
              </w:rPr>
              <w:t>1</w:t>
            </w:r>
            <w:r>
              <w:rPr>
                <w:spacing w:val="-12"/>
                <w:sz w:val="18"/>
                <w:szCs w:val="18"/>
              </w:rPr>
              <w:t xml:space="preserve"> </w:t>
            </w:r>
            <w:r>
              <w:rPr>
                <w:spacing w:val="-13"/>
                <w:sz w:val="18"/>
                <w:szCs w:val="18"/>
              </w:rPr>
              <w:t>人</w:t>
            </w:r>
          </w:p>
        </w:tc>
        <w:tc>
          <w:tcPr>
            <w:tcW w:w="1868" w:type="dxa"/>
            <w:vAlign w:val="top"/>
          </w:tcPr>
          <w:p w14:paraId="55AF4EC6">
            <w:pPr>
              <w:spacing w:line="334" w:lineRule="auto"/>
              <w:rPr>
                <w:rFonts w:ascii="Arial"/>
                <w:sz w:val="21"/>
              </w:rPr>
            </w:pPr>
          </w:p>
          <w:p w14:paraId="44C7626C">
            <w:pPr>
              <w:pStyle w:val="6"/>
              <w:spacing w:before="59" w:line="219" w:lineRule="auto"/>
              <w:ind w:left="255"/>
              <w:rPr>
                <w:sz w:val="18"/>
                <w:szCs w:val="18"/>
              </w:rPr>
            </w:pPr>
            <w:r>
              <w:rPr>
                <w:spacing w:val="1"/>
                <w:sz w:val="18"/>
                <w:szCs w:val="18"/>
              </w:rPr>
              <w:t>20#光伏阵列西侧</w:t>
            </w:r>
          </w:p>
        </w:tc>
        <w:tc>
          <w:tcPr>
            <w:tcW w:w="729" w:type="dxa"/>
            <w:vAlign w:val="top"/>
          </w:tcPr>
          <w:p w14:paraId="03DBE54B">
            <w:pPr>
              <w:spacing w:line="353" w:lineRule="auto"/>
              <w:rPr>
                <w:rFonts w:ascii="Arial"/>
                <w:sz w:val="21"/>
              </w:rPr>
            </w:pPr>
          </w:p>
          <w:p w14:paraId="497C11DD">
            <w:pPr>
              <w:pStyle w:val="6"/>
              <w:spacing w:before="59" w:line="241" w:lineRule="auto"/>
              <w:ind w:left="267"/>
              <w:rPr>
                <w:sz w:val="18"/>
                <w:szCs w:val="18"/>
              </w:rPr>
            </w:pPr>
            <w:r>
              <w:rPr>
                <w:spacing w:val="-3"/>
                <w:sz w:val="18"/>
                <w:szCs w:val="18"/>
              </w:rPr>
              <w:t>2m</w:t>
            </w:r>
          </w:p>
        </w:tc>
        <w:tc>
          <w:tcPr>
            <w:tcW w:w="609" w:type="dxa"/>
            <w:vMerge w:val="continue"/>
            <w:tcBorders>
              <w:top w:val="nil"/>
              <w:bottom w:val="nil"/>
            </w:tcBorders>
            <w:vAlign w:val="top"/>
          </w:tcPr>
          <w:p w14:paraId="5B209E9E">
            <w:pPr>
              <w:rPr>
                <w:rFonts w:ascii="Arial"/>
                <w:sz w:val="21"/>
              </w:rPr>
            </w:pPr>
          </w:p>
        </w:tc>
        <w:tc>
          <w:tcPr>
            <w:tcW w:w="794" w:type="dxa"/>
            <w:vMerge w:val="continue"/>
            <w:tcBorders>
              <w:top w:val="nil"/>
              <w:bottom w:val="nil"/>
            </w:tcBorders>
            <w:vAlign w:val="top"/>
          </w:tcPr>
          <w:p w14:paraId="0AF67849">
            <w:pPr>
              <w:rPr>
                <w:rFonts w:ascii="Arial"/>
                <w:sz w:val="21"/>
              </w:rPr>
            </w:pPr>
          </w:p>
        </w:tc>
      </w:tr>
      <w:tr w14:paraId="314BD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94" w:type="dxa"/>
            <w:vMerge w:val="continue"/>
            <w:tcBorders>
              <w:top w:val="nil"/>
              <w:bottom w:val="nil"/>
            </w:tcBorders>
            <w:vAlign w:val="top"/>
          </w:tcPr>
          <w:p w14:paraId="0210E3F1">
            <w:pPr>
              <w:rPr>
                <w:rFonts w:ascii="Arial"/>
                <w:sz w:val="21"/>
              </w:rPr>
            </w:pPr>
          </w:p>
        </w:tc>
        <w:tc>
          <w:tcPr>
            <w:tcW w:w="140" w:type="dxa"/>
            <w:vMerge w:val="continue"/>
            <w:tcBorders>
              <w:top w:val="nil"/>
              <w:bottom w:val="nil"/>
            </w:tcBorders>
            <w:vAlign w:val="top"/>
          </w:tcPr>
          <w:p w14:paraId="024CFF27">
            <w:pPr>
              <w:rPr>
                <w:rFonts w:ascii="Arial"/>
                <w:sz w:val="21"/>
              </w:rPr>
            </w:pPr>
          </w:p>
        </w:tc>
        <w:tc>
          <w:tcPr>
            <w:tcW w:w="599" w:type="dxa"/>
            <w:vMerge w:val="continue"/>
            <w:tcBorders>
              <w:top w:val="nil"/>
              <w:bottom w:val="nil"/>
            </w:tcBorders>
            <w:vAlign w:val="top"/>
          </w:tcPr>
          <w:p w14:paraId="12491046">
            <w:pPr>
              <w:rPr>
                <w:rFonts w:ascii="Arial"/>
                <w:sz w:val="21"/>
              </w:rPr>
            </w:pPr>
          </w:p>
        </w:tc>
        <w:tc>
          <w:tcPr>
            <w:tcW w:w="839" w:type="dxa"/>
            <w:vAlign w:val="top"/>
          </w:tcPr>
          <w:p w14:paraId="6CE3723E">
            <w:pPr>
              <w:pStyle w:val="6"/>
              <w:spacing w:before="25"/>
              <w:ind w:left="11" w:firstLine="39"/>
              <w:rPr>
                <w:sz w:val="18"/>
                <w:szCs w:val="18"/>
              </w:rPr>
            </w:pPr>
            <w:r>
              <w:rPr>
                <w:spacing w:val="-4"/>
                <w:sz w:val="18"/>
                <w:szCs w:val="18"/>
              </w:rPr>
              <w:t>大地村散</w:t>
            </w:r>
            <w:r>
              <w:rPr>
                <w:sz w:val="18"/>
                <w:szCs w:val="18"/>
              </w:rPr>
              <w:t xml:space="preserve">  </w:t>
            </w:r>
            <w:r>
              <w:rPr>
                <w:spacing w:val="-22"/>
                <w:sz w:val="18"/>
                <w:szCs w:val="18"/>
              </w:rPr>
              <w:t>户</w:t>
            </w:r>
            <w:r>
              <w:rPr>
                <w:spacing w:val="14"/>
                <w:sz w:val="18"/>
                <w:szCs w:val="18"/>
              </w:rPr>
              <w:t xml:space="preserve"> </w:t>
            </w:r>
            <w:r>
              <w:rPr>
                <w:spacing w:val="-22"/>
                <w:sz w:val="18"/>
                <w:szCs w:val="18"/>
              </w:rPr>
              <w:t>6</w:t>
            </w:r>
            <w:r>
              <w:rPr>
                <w:spacing w:val="45"/>
                <w:sz w:val="18"/>
                <w:szCs w:val="18"/>
              </w:rPr>
              <w:t xml:space="preserve"> </w:t>
            </w:r>
            <w:r>
              <w:rPr>
                <w:spacing w:val="-22"/>
                <w:sz w:val="18"/>
                <w:szCs w:val="18"/>
              </w:rPr>
              <w:t>(</w:t>
            </w:r>
            <w:r>
              <w:rPr>
                <w:spacing w:val="35"/>
                <w:sz w:val="18"/>
                <w:szCs w:val="18"/>
              </w:rPr>
              <w:t xml:space="preserve"> </w:t>
            </w:r>
            <w:r>
              <w:rPr>
                <w:spacing w:val="-22"/>
                <w:sz w:val="18"/>
                <w:szCs w:val="18"/>
              </w:rPr>
              <w:t>田</w:t>
            </w:r>
          </w:p>
          <w:p w14:paraId="23EF2BCA">
            <w:pPr>
              <w:pStyle w:val="6"/>
              <w:spacing w:before="4" w:line="216" w:lineRule="auto"/>
              <w:ind w:left="11" w:right="49" w:firstLine="40"/>
              <w:rPr>
                <w:sz w:val="18"/>
                <w:szCs w:val="18"/>
              </w:rPr>
            </w:pPr>
            <w:r>
              <w:rPr>
                <w:spacing w:val="1"/>
                <w:sz w:val="18"/>
                <w:szCs w:val="18"/>
              </w:rPr>
              <w:t>间农户看</w:t>
            </w:r>
            <w:r>
              <w:rPr>
                <w:spacing w:val="2"/>
                <w:sz w:val="18"/>
                <w:szCs w:val="18"/>
              </w:rPr>
              <w:t xml:space="preserve"> </w:t>
            </w:r>
            <w:r>
              <w:rPr>
                <w:spacing w:val="-4"/>
                <w:sz w:val="18"/>
                <w:szCs w:val="18"/>
              </w:rPr>
              <w:t>地</w:t>
            </w:r>
            <w:r>
              <w:rPr>
                <w:spacing w:val="-36"/>
                <w:sz w:val="18"/>
                <w:szCs w:val="18"/>
              </w:rPr>
              <w:t xml:space="preserve"> </w:t>
            </w:r>
            <w:r>
              <w:rPr>
                <w:spacing w:val="-4"/>
                <w:sz w:val="18"/>
                <w:szCs w:val="18"/>
              </w:rPr>
              <w:t>)</w:t>
            </w:r>
          </w:p>
        </w:tc>
        <w:tc>
          <w:tcPr>
            <w:tcW w:w="1678" w:type="dxa"/>
            <w:vAlign w:val="top"/>
          </w:tcPr>
          <w:p w14:paraId="174BEFAD">
            <w:pPr>
              <w:spacing w:line="256" w:lineRule="auto"/>
              <w:rPr>
                <w:rFonts w:ascii="Arial"/>
                <w:sz w:val="21"/>
              </w:rPr>
            </w:pPr>
          </w:p>
          <w:p w14:paraId="24797DDE">
            <w:pPr>
              <w:pStyle w:val="6"/>
              <w:spacing w:before="58" w:line="237" w:lineRule="auto"/>
              <w:ind w:left="21" w:hanging="9"/>
              <w:rPr>
                <w:sz w:val="18"/>
                <w:szCs w:val="18"/>
              </w:rPr>
            </w:pPr>
            <w:r>
              <w:rPr>
                <w:spacing w:val="-4"/>
                <w:sz w:val="18"/>
                <w:szCs w:val="18"/>
              </w:rPr>
              <w:t>E103°30'52.46096”</w:t>
            </w:r>
            <w:r>
              <w:rPr>
                <w:spacing w:val="12"/>
                <w:sz w:val="18"/>
                <w:szCs w:val="18"/>
              </w:rPr>
              <w:t xml:space="preserve"> </w:t>
            </w:r>
            <w:r>
              <w:rPr>
                <w:spacing w:val="-3"/>
                <w:sz w:val="18"/>
                <w:szCs w:val="18"/>
              </w:rPr>
              <w:t>N24°53'53.92811”</w:t>
            </w:r>
          </w:p>
        </w:tc>
        <w:tc>
          <w:tcPr>
            <w:tcW w:w="1339" w:type="dxa"/>
            <w:vAlign w:val="top"/>
          </w:tcPr>
          <w:p w14:paraId="7BB60C3D">
            <w:pPr>
              <w:spacing w:line="327" w:lineRule="auto"/>
              <w:rPr>
                <w:rFonts w:ascii="Arial"/>
                <w:sz w:val="21"/>
              </w:rPr>
            </w:pPr>
          </w:p>
          <w:p w14:paraId="4D99D503">
            <w:pPr>
              <w:pStyle w:val="6"/>
              <w:spacing w:before="58" w:line="220" w:lineRule="auto"/>
              <w:ind w:left="304"/>
              <w:rPr>
                <w:sz w:val="18"/>
                <w:szCs w:val="18"/>
              </w:rPr>
            </w:pPr>
            <w:r>
              <w:rPr>
                <w:spacing w:val="-1"/>
                <w:sz w:val="18"/>
                <w:szCs w:val="18"/>
              </w:rPr>
              <w:t>4户，4人</w:t>
            </w:r>
          </w:p>
        </w:tc>
        <w:tc>
          <w:tcPr>
            <w:tcW w:w="1868" w:type="dxa"/>
            <w:vAlign w:val="top"/>
          </w:tcPr>
          <w:p w14:paraId="556AAA6E">
            <w:pPr>
              <w:spacing w:line="325" w:lineRule="auto"/>
              <w:rPr>
                <w:rFonts w:ascii="Arial"/>
                <w:sz w:val="21"/>
              </w:rPr>
            </w:pPr>
          </w:p>
          <w:p w14:paraId="633D9282">
            <w:pPr>
              <w:pStyle w:val="6"/>
              <w:spacing w:before="59" w:line="219" w:lineRule="auto"/>
              <w:ind w:left="165"/>
              <w:rPr>
                <w:sz w:val="18"/>
                <w:szCs w:val="18"/>
              </w:rPr>
            </w:pPr>
            <w:r>
              <w:rPr>
                <w:spacing w:val="1"/>
                <w:sz w:val="18"/>
                <w:szCs w:val="18"/>
              </w:rPr>
              <w:t>20#光伏阵列西南侧</w:t>
            </w:r>
          </w:p>
        </w:tc>
        <w:tc>
          <w:tcPr>
            <w:tcW w:w="729" w:type="dxa"/>
            <w:vAlign w:val="top"/>
          </w:tcPr>
          <w:p w14:paraId="2BF27D6B">
            <w:pPr>
              <w:spacing w:line="344" w:lineRule="auto"/>
              <w:rPr>
                <w:rFonts w:ascii="Arial"/>
                <w:sz w:val="21"/>
              </w:rPr>
            </w:pPr>
          </w:p>
          <w:p w14:paraId="69A5288C">
            <w:pPr>
              <w:pStyle w:val="6"/>
              <w:spacing w:before="58"/>
              <w:ind w:left="227"/>
              <w:rPr>
                <w:sz w:val="18"/>
                <w:szCs w:val="18"/>
              </w:rPr>
            </w:pPr>
            <w:r>
              <w:rPr>
                <w:spacing w:val="-3"/>
                <w:sz w:val="18"/>
                <w:szCs w:val="18"/>
              </w:rPr>
              <w:t>53m</w:t>
            </w:r>
          </w:p>
        </w:tc>
        <w:tc>
          <w:tcPr>
            <w:tcW w:w="609" w:type="dxa"/>
            <w:vMerge w:val="continue"/>
            <w:tcBorders>
              <w:top w:val="nil"/>
              <w:bottom w:val="nil"/>
            </w:tcBorders>
            <w:vAlign w:val="top"/>
          </w:tcPr>
          <w:p w14:paraId="5BE06731">
            <w:pPr>
              <w:rPr>
                <w:rFonts w:ascii="Arial"/>
                <w:sz w:val="21"/>
              </w:rPr>
            </w:pPr>
          </w:p>
        </w:tc>
        <w:tc>
          <w:tcPr>
            <w:tcW w:w="794" w:type="dxa"/>
            <w:vMerge w:val="continue"/>
            <w:tcBorders>
              <w:top w:val="nil"/>
              <w:bottom w:val="nil"/>
            </w:tcBorders>
            <w:vAlign w:val="top"/>
          </w:tcPr>
          <w:p w14:paraId="6ECCD45D">
            <w:pPr>
              <w:rPr>
                <w:rFonts w:ascii="Arial"/>
                <w:sz w:val="21"/>
              </w:rPr>
            </w:pPr>
          </w:p>
        </w:tc>
      </w:tr>
      <w:tr w14:paraId="2832B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4" w:type="dxa"/>
            <w:vMerge w:val="continue"/>
            <w:tcBorders>
              <w:top w:val="nil"/>
              <w:bottom w:val="nil"/>
            </w:tcBorders>
            <w:vAlign w:val="top"/>
          </w:tcPr>
          <w:p w14:paraId="3648F8B7">
            <w:pPr>
              <w:rPr>
                <w:rFonts w:ascii="Arial"/>
                <w:sz w:val="21"/>
              </w:rPr>
            </w:pPr>
          </w:p>
        </w:tc>
        <w:tc>
          <w:tcPr>
            <w:tcW w:w="140" w:type="dxa"/>
            <w:vMerge w:val="continue"/>
            <w:tcBorders>
              <w:top w:val="nil"/>
              <w:bottom w:val="nil"/>
            </w:tcBorders>
            <w:vAlign w:val="top"/>
          </w:tcPr>
          <w:p w14:paraId="0ACA1D69">
            <w:pPr>
              <w:rPr>
                <w:rFonts w:ascii="Arial"/>
                <w:sz w:val="21"/>
              </w:rPr>
            </w:pPr>
          </w:p>
        </w:tc>
        <w:tc>
          <w:tcPr>
            <w:tcW w:w="599" w:type="dxa"/>
            <w:vMerge w:val="continue"/>
            <w:tcBorders>
              <w:top w:val="nil"/>
              <w:bottom w:val="nil"/>
            </w:tcBorders>
            <w:vAlign w:val="top"/>
          </w:tcPr>
          <w:p w14:paraId="3F091172">
            <w:pPr>
              <w:rPr>
                <w:rFonts w:ascii="Arial"/>
                <w:sz w:val="21"/>
              </w:rPr>
            </w:pPr>
          </w:p>
        </w:tc>
        <w:tc>
          <w:tcPr>
            <w:tcW w:w="839" w:type="dxa"/>
            <w:vMerge w:val="restart"/>
            <w:tcBorders>
              <w:bottom w:val="nil"/>
            </w:tcBorders>
            <w:vAlign w:val="top"/>
          </w:tcPr>
          <w:p w14:paraId="4D358C44">
            <w:pPr>
              <w:pStyle w:val="6"/>
              <w:spacing w:before="257" w:line="219" w:lineRule="auto"/>
              <w:ind w:left="41"/>
              <w:rPr>
                <w:sz w:val="18"/>
                <w:szCs w:val="18"/>
              </w:rPr>
            </w:pPr>
            <w:r>
              <w:rPr>
                <w:spacing w:val="-2"/>
                <w:sz w:val="18"/>
                <w:szCs w:val="18"/>
              </w:rPr>
              <w:t>新村</w:t>
            </w:r>
          </w:p>
        </w:tc>
        <w:tc>
          <w:tcPr>
            <w:tcW w:w="1678" w:type="dxa"/>
            <w:vMerge w:val="restart"/>
            <w:tcBorders>
              <w:bottom w:val="nil"/>
            </w:tcBorders>
            <w:vAlign w:val="top"/>
          </w:tcPr>
          <w:p w14:paraId="2FB78C51">
            <w:pPr>
              <w:pStyle w:val="6"/>
              <w:spacing w:before="206" w:line="217" w:lineRule="auto"/>
              <w:ind w:left="22" w:firstLine="38"/>
              <w:rPr>
                <w:sz w:val="18"/>
                <w:szCs w:val="18"/>
              </w:rPr>
            </w:pPr>
            <w:r>
              <w:rPr>
                <w:spacing w:val="-4"/>
                <w:sz w:val="18"/>
                <w:szCs w:val="18"/>
              </w:rPr>
              <w:t>E103°31'4.27984"</w:t>
            </w:r>
            <w:r>
              <w:rPr>
                <w:sz w:val="18"/>
                <w:szCs w:val="18"/>
              </w:rPr>
              <w:t xml:space="preserve">  </w:t>
            </w:r>
            <w:r>
              <w:rPr>
                <w:spacing w:val="1"/>
                <w:sz w:val="18"/>
                <w:szCs w:val="18"/>
              </w:rPr>
              <w:t>N24°52'46.35785”</w:t>
            </w:r>
          </w:p>
        </w:tc>
        <w:tc>
          <w:tcPr>
            <w:tcW w:w="1339" w:type="dxa"/>
            <w:vMerge w:val="restart"/>
            <w:tcBorders>
              <w:bottom w:val="nil"/>
            </w:tcBorders>
            <w:vAlign w:val="top"/>
          </w:tcPr>
          <w:p w14:paraId="6A0AD4B0">
            <w:pPr>
              <w:pStyle w:val="6"/>
              <w:spacing w:before="259" w:line="220" w:lineRule="auto"/>
              <w:ind w:left="124"/>
              <w:rPr>
                <w:sz w:val="18"/>
                <w:szCs w:val="18"/>
              </w:rPr>
            </w:pPr>
            <w:r>
              <w:rPr>
                <w:sz w:val="18"/>
                <w:szCs w:val="18"/>
              </w:rPr>
              <w:t>155户，589人</w:t>
            </w:r>
          </w:p>
        </w:tc>
        <w:tc>
          <w:tcPr>
            <w:tcW w:w="1868" w:type="dxa"/>
            <w:vAlign w:val="top"/>
          </w:tcPr>
          <w:p w14:paraId="58910A60">
            <w:pPr>
              <w:pStyle w:val="6"/>
              <w:spacing w:before="87" w:line="219" w:lineRule="auto"/>
              <w:ind w:left="165"/>
              <w:rPr>
                <w:sz w:val="18"/>
                <w:szCs w:val="18"/>
              </w:rPr>
            </w:pPr>
            <w:r>
              <w:rPr>
                <w:spacing w:val="1"/>
                <w:sz w:val="18"/>
                <w:szCs w:val="18"/>
              </w:rPr>
              <w:t>20#光伏阵列东南侧</w:t>
            </w:r>
          </w:p>
        </w:tc>
        <w:tc>
          <w:tcPr>
            <w:tcW w:w="729" w:type="dxa"/>
            <w:vAlign w:val="top"/>
          </w:tcPr>
          <w:p w14:paraId="66594EAA">
            <w:pPr>
              <w:pStyle w:val="6"/>
              <w:spacing w:before="106" w:line="229" w:lineRule="auto"/>
              <w:ind w:left="177"/>
              <w:rPr>
                <w:sz w:val="18"/>
                <w:szCs w:val="18"/>
              </w:rPr>
            </w:pPr>
            <w:r>
              <w:rPr>
                <w:spacing w:val="-4"/>
                <w:sz w:val="18"/>
                <w:szCs w:val="18"/>
              </w:rPr>
              <w:t>158m</w:t>
            </w:r>
          </w:p>
        </w:tc>
        <w:tc>
          <w:tcPr>
            <w:tcW w:w="609" w:type="dxa"/>
            <w:vMerge w:val="continue"/>
            <w:tcBorders>
              <w:top w:val="nil"/>
              <w:bottom w:val="nil"/>
            </w:tcBorders>
            <w:vAlign w:val="top"/>
          </w:tcPr>
          <w:p w14:paraId="5BA20354">
            <w:pPr>
              <w:rPr>
                <w:rFonts w:ascii="Arial"/>
                <w:sz w:val="21"/>
              </w:rPr>
            </w:pPr>
          </w:p>
        </w:tc>
        <w:tc>
          <w:tcPr>
            <w:tcW w:w="794" w:type="dxa"/>
            <w:vMerge w:val="continue"/>
            <w:tcBorders>
              <w:top w:val="nil"/>
              <w:bottom w:val="nil"/>
            </w:tcBorders>
            <w:vAlign w:val="top"/>
          </w:tcPr>
          <w:p w14:paraId="13856C6F">
            <w:pPr>
              <w:rPr>
                <w:rFonts w:ascii="Arial"/>
                <w:sz w:val="21"/>
              </w:rPr>
            </w:pPr>
          </w:p>
        </w:tc>
      </w:tr>
      <w:tr w14:paraId="174EC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694" w:type="dxa"/>
            <w:vMerge w:val="continue"/>
            <w:tcBorders>
              <w:top w:val="nil"/>
            </w:tcBorders>
            <w:vAlign w:val="top"/>
          </w:tcPr>
          <w:p w14:paraId="2201CA41">
            <w:pPr>
              <w:rPr>
                <w:rFonts w:ascii="Arial"/>
                <w:sz w:val="21"/>
              </w:rPr>
            </w:pPr>
          </w:p>
        </w:tc>
        <w:tc>
          <w:tcPr>
            <w:tcW w:w="140" w:type="dxa"/>
            <w:vMerge w:val="continue"/>
            <w:tcBorders>
              <w:top w:val="nil"/>
            </w:tcBorders>
            <w:vAlign w:val="top"/>
          </w:tcPr>
          <w:p w14:paraId="1DEC4CFA">
            <w:pPr>
              <w:rPr>
                <w:rFonts w:ascii="Arial"/>
                <w:sz w:val="21"/>
              </w:rPr>
            </w:pPr>
          </w:p>
        </w:tc>
        <w:tc>
          <w:tcPr>
            <w:tcW w:w="599" w:type="dxa"/>
            <w:vMerge w:val="continue"/>
            <w:tcBorders>
              <w:top w:val="nil"/>
            </w:tcBorders>
            <w:vAlign w:val="top"/>
          </w:tcPr>
          <w:p w14:paraId="4D9EDDBC">
            <w:pPr>
              <w:rPr>
                <w:rFonts w:ascii="Arial"/>
                <w:sz w:val="21"/>
              </w:rPr>
            </w:pPr>
          </w:p>
        </w:tc>
        <w:tc>
          <w:tcPr>
            <w:tcW w:w="839" w:type="dxa"/>
            <w:vMerge w:val="continue"/>
            <w:tcBorders>
              <w:top w:val="nil"/>
            </w:tcBorders>
            <w:vAlign w:val="top"/>
          </w:tcPr>
          <w:p w14:paraId="56545F89">
            <w:pPr>
              <w:rPr>
                <w:rFonts w:ascii="Arial"/>
                <w:sz w:val="21"/>
              </w:rPr>
            </w:pPr>
          </w:p>
        </w:tc>
        <w:tc>
          <w:tcPr>
            <w:tcW w:w="1678" w:type="dxa"/>
            <w:vMerge w:val="continue"/>
            <w:tcBorders>
              <w:top w:val="nil"/>
            </w:tcBorders>
            <w:vAlign w:val="top"/>
          </w:tcPr>
          <w:p w14:paraId="04CAAF24">
            <w:pPr>
              <w:rPr>
                <w:rFonts w:ascii="Arial"/>
                <w:sz w:val="21"/>
              </w:rPr>
            </w:pPr>
          </w:p>
        </w:tc>
        <w:tc>
          <w:tcPr>
            <w:tcW w:w="1339" w:type="dxa"/>
            <w:vMerge w:val="continue"/>
            <w:tcBorders>
              <w:top w:val="nil"/>
            </w:tcBorders>
            <w:vAlign w:val="top"/>
          </w:tcPr>
          <w:p w14:paraId="38826E6D">
            <w:pPr>
              <w:rPr>
                <w:rFonts w:ascii="Arial"/>
                <w:sz w:val="21"/>
              </w:rPr>
            </w:pPr>
          </w:p>
        </w:tc>
        <w:tc>
          <w:tcPr>
            <w:tcW w:w="1868" w:type="dxa"/>
            <w:vAlign w:val="top"/>
          </w:tcPr>
          <w:p w14:paraId="1BC48B54">
            <w:pPr>
              <w:pStyle w:val="6"/>
              <w:spacing w:before="78" w:line="219" w:lineRule="auto"/>
              <w:ind w:left="345"/>
              <w:rPr>
                <w:sz w:val="18"/>
                <w:szCs w:val="18"/>
              </w:rPr>
            </w:pPr>
            <w:r>
              <w:rPr>
                <w:spacing w:val="1"/>
                <w:sz w:val="18"/>
                <w:szCs w:val="18"/>
              </w:rPr>
              <w:t>备用地3西南侧</w:t>
            </w:r>
          </w:p>
        </w:tc>
        <w:tc>
          <w:tcPr>
            <w:tcW w:w="729" w:type="dxa"/>
            <w:vAlign w:val="top"/>
          </w:tcPr>
          <w:p w14:paraId="0279CB87">
            <w:pPr>
              <w:pStyle w:val="6"/>
              <w:spacing w:before="96" w:line="224" w:lineRule="auto"/>
              <w:ind w:left="177"/>
              <w:rPr>
                <w:sz w:val="18"/>
                <w:szCs w:val="18"/>
              </w:rPr>
            </w:pPr>
            <w:r>
              <w:rPr>
                <w:spacing w:val="-2"/>
                <w:sz w:val="18"/>
                <w:szCs w:val="18"/>
              </w:rPr>
              <w:t>379m</w:t>
            </w:r>
          </w:p>
        </w:tc>
        <w:tc>
          <w:tcPr>
            <w:tcW w:w="609" w:type="dxa"/>
            <w:vMerge w:val="continue"/>
            <w:tcBorders>
              <w:top w:val="nil"/>
            </w:tcBorders>
            <w:vAlign w:val="top"/>
          </w:tcPr>
          <w:p w14:paraId="246900C3">
            <w:pPr>
              <w:rPr>
                <w:rFonts w:ascii="Arial"/>
                <w:sz w:val="21"/>
              </w:rPr>
            </w:pPr>
          </w:p>
        </w:tc>
        <w:tc>
          <w:tcPr>
            <w:tcW w:w="794" w:type="dxa"/>
            <w:vMerge w:val="continue"/>
            <w:tcBorders>
              <w:top w:val="nil"/>
            </w:tcBorders>
            <w:vAlign w:val="top"/>
          </w:tcPr>
          <w:p w14:paraId="065DF808">
            <w:pPr>
              <w:rPr>
                <w:rFonts w:ascii="Arial"/>
                <w:sz w:val="21"/>
              </w:rPr>
            </w:pPr>
          </w:p>
        </w:tc>
      </w:tr>
    </w:tbl>
    <w:p w14:paraId="2C37D684">
      <w:pPr>
        <w:pStyle w:val="2"/>
      </w:pPr>
    </w:p>
    <w:p w14:paraId="2379973A">
      <w:pPr>
        <w:sectPr>
          <w:footerReference r:id="rId116" w:type="default"/>
          <w:pgSz w:w="11910" w:h="16830"/>
          <w:pgMar w:top="400" w:right="1405" w:bottom="1245" w:left="1205" w:header="0" w:footer="1083" w:gutter="0"/>
          <w:cols w:space="720" w:num="1"/>
        </w:sectPr>
      </w:pPr>
    </w:p>
    <w:p w14:paraId="27F3739B">
      <w:pPr>
        <w:spacing w:before="18"/>
      </w:pPr>
    </w:p>
    <w:p w14:paraId="34521573">
      <w:pPr>
        <w:spacing w:before="17"/>
      </w:pPr>
    </w:p>
    <w:p w14:paraId="5A9DF87F">
      <w:pPr>
        <w:spacing w:before="17"/>
      </w:pPr>
    </w:p>
    <w:p w14:paraId="6352EDE8">
      <w:pPr>
        <w:spacing w:before="17"/>
      </w:pPr>
    </w:p>
    <w:tbl>
      <w:tblPr>
        <w:tblStyle w:val="5"/>
        <w:tblW w:w="92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140"/>
        <w:gridCol w:w="589"/>
        <w:gridCol w:w="839"/>
        <w:gridCol w:w="1668"/>
        <w:gridCol w:w="1339"/>
        <w:gridCol w:w="1858"/>
        <w:gridCol w:w="749"/>
        <w:gridCol w:w="590"/>
        <w:gridCol w:w="804"/>
      </w:tblGrid>
      <w:tr w14:paraId="0E9F8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694" w:type="dxa"/>
            <w:vMerge w:val="restart"/>
            <w:tcBorders>
              <w:bottom w:val="nil"/>
            </w:tcBorders>
            <w:vAlign w:val="top"/>
          </w:tcPr>
          <w:p w14:paraId="0243DF17">
            <w:pPr>
              <w:rPr>
                <w:rFonts w:ascii="Arial"/>
                <w:sz w:val="21"/>
              </w:rPr>
            </w:pPr>
          </w:p>
        </w:tc>
        <w:tc>
          <w:tcPr>
            <w:tcW w:w="140" w:type="dxa"/>
            <w:vMerge w:val="restart"/>
            <w:tcBorders>
              <w:bottom w:val="nil"/>
            </w:tcBorders>
            <w:vAlign w:val="top"/>
          </w:tcPr>
          <w:p w14:paraId="3B59F9D6">
            <w:pPr>
              <w:rPr>
                <w:rFonts w:ascii="Arial"/>
                <w:sz w:val="21"/>
              </w:rPr>
            </w:pPr>
          </w:p>
        </w:tc>
        <w:tc>
          <w:tcPr>
            <w:tcW w:w="589" w:type="dxa"/>
            <w:vMerge w:val="restart"/>
            <w:tcBorders>
              <w:bottom w:val="nil"/>
            </w:tcBorders>
            <w:vAlign w:val="top"/>
          </w:tcPr>
          <w:p w14:paraId="3FFBE16E">
            <w:pPr>
              <w:rPr>
                <w:rFonts w:ascii="Arial"/>
                <w:sz w:val="21"/>
              </w:rPr>
            </w:pPr>
          </w:p>
        </w:tc>
        <w:tc>
          <w:tcPr>
            <w:tcW w:w="839" w:type="dxa"/>
            <w:vAlign w:val="top"/>
          </w:tcPr>
          <w:p w14:paraId="092D9C3C">
            <w:pPr>
              <w:pStyle w:val="6"/>
              <w:spacing w:before="30" w:line="229" w:lineRule="auto"/>
              <w:ind w:left="12" w:firstLine="38"/>
              <w:rPr>
                <w:sz w:val="18"/>
                <w:szCs w:val="18"/>
              </w:rPr>
            </w:pPr>
            <w:r>
              <w:rPr>
                <w:spacing w:val="-8"/>
                <w:sz w:val="18"/>
                <w:szCs w:val="18"/>
              </w:rPr>
              <w:t>大地村散</w:t>
            </w:r>
            <w:r>
              <w:rPr>
                <w:sz w:val="18"/>
                <w:szCs w:val="18"/>
              </w:rPr>
              <w:t xml:space="preserve">  </w:t>
            </w:r>
            <w:r>
              <w:rPr>
                <w:spacing w:val="-26"/>
                <w:w w:val="99"/>
                <w:sz w:val="18"/>
                <w:szCs w:val="18"/>
              </w:rPr>
              <w:t>户</w:t>
            </w:r>
            <w:r>
              <w:rPr>
                <w:spacing w:val="25"/>
                <w:sz w:val="18"/>
                <w:szCs w:val="18"/>
              </w:rPr>
              <w:t xml:space="preserve"> </w:t>
            </w:r>
            <w:r>
              <w:rPr>
                <w:spacing w:val="-25"/>
                <w:w w:val="99"/>
                <w:sz w:val="18"/>
                <w:szCs w:val="18"/>
              </w:rPr>
              <w:t>7</w:t>
            </w:r>
            <w:r>
              <w:rPr>
                <w:spacing w:val="48"/>
                <w:sz w:val="18"/>
                <w:szCs w:val="18"/>
              </w:rPr>
              <w:t xml:space="preserve"> </w:t>
            </w:r>
            <w:r>
              <w:rPr>
                <w:spacing w:val="-25"/>
                <w:w w:val="99"/>
                <w:sz w:val="18"/>
                <w:szCs w:val="18"/>
              </w:rPr>
              <w:t>(</w:t>
            </w:r>
            <w:r>
              <w:rPr>
                <w:spacing w:val="38"/>
                <w:sz w:val="18"/>
                <w:szCs w:val="18"/>
              </w:rPr>
              <w:t xml:space="preserve"> </w:t>
            </w:r>
            <w:r>
              <w:rPr>
                <w:spacing w:val="-24"/>
                <w:w w:val="99"/>
                <w:sz w:val="18"/>
                <w:szCs w:val="18"/>
              </w:rPr>
              <w:t>田</w:t>
            </w:r>
            <w:r>
              <w:rPr>
                <w:sz w:val="18"/>
                <w:szCs w:val="18"/>
              </w:rPr>
              <w:t xml:space="preserve"> </w:t>
            </w:r>
            <w:r>
              <w:rPr>
                <w:spacing w:val="5"/>
                <w:sz w:val="18"/>
                <w:szCs w:val="18"/>
              </w:rPr>
              <w:t>间农户看</w:t>
            </w:r>
            <w:r>
              <w:rPr>
                <w:spacing w:val="1"/>
                <w:sz w:val="18"/>
                <w:szCs w:val="18"/>
              </w:rPr>
              <w:t xml:space="preserve">  </w:t>
            </w:r>
            <w:r>
              <w:rPr>
                <w:spacing w:val="-7"/>
                <w:sz w:val="18"/>
                <w:szCs w:val="18"/>
              </w:rPr>
              <w:t>地</w:t>
            </w:r>
            <w:r>
              <w:rPr>
                <w:spacing w:val="-37"/>
                <w:sz w:val="18"/>
                <w:szCs w:val="18"/>
              </w:rPr>
              <w:t xml:space="preserve"> </w:t>
            </w:r>
            <w:r>
              <w:rPr>
                <w:spacing w:val="-7"/>
                <w:sz w:val="18"/>
                <w:szCs w:val="18"/>
              </w:rPr>
              <w:t>)</w:t>
            </w:r>
          </w:p>
        </w:tc>
        <w:tc>
          <w:tcPr>
            <w:tcW w:w="1668" w:type="dxa"/>
            <w:vAlign w:val="top"/>
          </w:tcPr>
          <w:p w14:paraId="1A840510">
            <w:pPr>
              <w:spacing w:line="260" w:lineRule="auto"/>
              <w:rPr>
                <w:rFonts w:ascii="Arial"/>
                <w:sz w:val="21"/>
              </w:rPr>
            </w:pPr>
          </w:p>
          <w:p w14:paraId="4DBAE495">
            <w:pPr>
              <w:pStyle w:val="6"/>
              <w:spacing w:before="59" w:line="227" w:lineRule="auto"/>
              <w:ind w:left="13"/>
              <w:rPr>
                <w:sz w:val="18"/>
                <w:szCs w:val="18"/>
              </w:rPr>
            </w:pPr>
            <w:r>
              <w:rPr>
                <w:spacing w:val="-4"/>
                <w:sz w:val="18"/>
                <w:szCs w:val="18"/>
              </w:rPr>
              <w:t>E103°31'35.85490”</w:t>
            </w:r>
            <w:r>
              <w:rPr>
                <w:spacing w:val="1"/>
                <w:sz w:val="18"/>
                <w:szCs w:val="18"/>
              </w:rPr>
              <w:t xml:space="preserve"> </w:t>
            </w:r>
            <w:r>
              <w:rPr>
                <w:spacing w:val="-3"/>
                <w:sz w:val="18"/>
                <w:szCs w:val="18"/>
              </w:rPr>
              <w:t>N24°52'59.94959”</w:t>
            </w:r>
          </w:p>
        </w:tc>
        <w:tc>
          <w:tcPr>
            <w:tcW w:w="1339" w:type="dxa"/>
            <w:vAlign w:val="top"/>
          </w:tcPr>
          <w:p w14:paraId="0E87917B">
            <w:pPr>
              <w:spacing w:line="322" w:lineRule="auto"/>
              <w:rPr>
                <w:rFonts w:ascii="Arial"/>
                <w:sz w:val="21"/>
              </w:rPr>
            </w:pPr>
          </w:p>
          <w:p w14:paraId="4D6E0B47">
            <w:pPr>
              <w:pStyle w:val="6"/>
              <w:spacing w:before="59" w:line="220" w:lineRule="auto"/>
              <w:ind w:left="305"/>
              <w:rPr>
                <w:sz w:val="18"/>
                <w:szCs w:val="18"/>
              </w:rPr>
            </w:pPr>
            <w:r>
              <w:rPr>
                <w:spacing w:val="-13"/>
                <w:sz w:val="18"/>
                <w:szCs w:val="18"/>
              </w:rPr>
              <w:t>1</w:t>
            </w:r>
            <w:r>
              <w:rPr>
                <w:spacing w:val="-11"/>
                <w:sz w:val="18"/>
                <w:szCs w:val="18"/>
              </w:rPr>
              <w:t xml:space="preserve"> </w:t>
            </w:r>
            <w:r>
              <w:rPr>
                <w:spacing w:val="-13"/>
                <w:sz w:val="18"/>
                <w:szCs w:val="18"/>
              </w:rPr>
              <w:t>户</w:t>
            </w:r>
            <w:r>
              <w:rPr>
                <w:sz w:val="18"/>
                <w:szCs w:val="18"/>
              </w:rPr>
              <w:t xml:space="preserve"> </w:t>
            </w:r>
            <w:r>
              <w:rPr>
                <w:spacing w:val="-13"/>
                <w:sz w:val="18"/>
                <w:szCs w:val="18"/>
              </w:rPr>
              <w:t>1</w:t>
            </w:r>
            <w:r>
              <w:rPr>
                <w:spacing w:val="-12"/>
                <w:sz w:val="18"/>
                <w:szCs w:val="18"/>
              </w:rPr>
              <w:t xml:space="preserve"> </w:t>
            </w:r>
            <w:r>
              <w:rPr>
                <w:spacing w:val="-13"/>
                <w:sz w:val="18"/>
                <w:szCs w:val="18"/>
              </w:rPr>
              <w:t>人</w:t>
            </w:r>
          </w:p>
        </w:tc>
        <w:tc>
          <w:tcPr>
            <w:tcW w:w="1858" w:type="dxa"/>
            <w:vAlign w:val="top"/>
          </w:tcPr>
          <w:p w14:paraId="50D3A9EB">
            <w:pPr>
              <w:spacing w:line="322" w:lineRule="auto"/>
              <w:rPr>
                <w:rFonts w:ascii="Arial"/>
                <w:sz w:val="21"/>
              </w:rPr>
            </w:pPr>
          </w:p>
          <w:p w14:paraId="238520F8">
            <w:pPr>
              <w:pStyle w:val="6"/>
              <w:spacing w:before="58" w:line="219" w:lineRule="auto"/>
              <w:ind w:left="426"/>
              <w:rPr>
                <w:sz w:val="18"/>
                <w:szCs w:val="18"/>
              </w:rPr>
            </w:pPr>
            <w:r>
              <w:rPr>
                <w:spacing w:val="2"/>
                <w:sz w:val="18"/>
                <w:szCs w:val="18"/>
              </w:rPr>
              <w:t>备用地3北侧</w:t>
            </w:r>
          </w:p>
        </w:tc>
        <w:tc>
          <w:tcPr>
            <w:tcW w:w="749" w:type="dxa"/>
            <w:vAlign w:val="top"/>
          </w:tcPr>
          <w:p w14:paraId="707E0868">
            <w:pPr>
              <w:spacing w:line="339" w:lineRule="auto"/>
              <w:rPr>
                <w:rFonts w:ascii="Arial"/>
                <w:sz w:val="21"/>
              </w:rPr>
            </w:pPr>
          </w:p>
          <w:p w14:paraId="166F80A7">
            <w:pPr>
              <w:pStyle w:val="6"/>
              <w:spacing w:before="59" w:line="241" w:lineRule="auto"/>
              <w:ind w:left="278"/>
              <w:rPr>
                <w:sz w:val="18"/>
                <w:szCs w:val="18"/>
              </w:rPr>
            </w:pPr>
            <w:r>
              <w:rPr>
                <w:spacing w:val="-6"/>
                <w:sz w:val="18"/>
                <w:szCs w:val="18"/>
              </w:rPr>
              <w:t>1m</w:t>
            </w:r>
          </w:p>
        </w:tc>
        <w:tc>
          <w:tcPr>
            <w:tcW w:w="590" w:type="dxa"/>
            <w:vMerge w:val="restart"/>
            <w:tcBorders>
              <w:bottom w:val="nil"/>
            </w:tcBorders>
            <w:vAlign w:val="top"/>
          </w:tcPr>
          <w:p w14:paraId="0B76D610">
            <w:pPr>
              <w:rPr>
                <w:rFonts w:ascii="Arial"/>
                <w:sz w:val="21"/>
              </w:rPr>
            </w:pPr>
          </w:p>
        </w:tc>
        <w:tc>
          <w:tcPr>
            <w:tcW w:w="804" w:type="dxa"/>
            <w:vMerge w:val="restart"/>
            <w:tcBorders>
              <w:bottom w:val="nil"/>
            </w:tcBorders>
            <w:vAlign w:val="top"/>
          </w:tcPr>
          <w:p w14:paraId="1EFA5179">
            <w:pPr>
              <w:rPr>
                <w:rFonts w:ascii="Arial"/>
                <w:sz w:val="21"/>
              </w:rPr>
            </w:pPr>
          </w:p>
        </w:tc>
      </w:tr>
      <w:tr w14:paraId="0E2F4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94" w:type="dxa"/>
            <w:vMerge w:val="continue"/>
            <w:tcBorders>
              <w:top w:val="nil"/>
              <w:bottom w:val="nil"/>
            </w:tcBorders>
            <w:vAlign w:val="top"/>
          </w:tcPr>
          <w:p w14:paraId="5CC70D12">
            <w:pPr>
              <w:rPr>
                <w:rFonts w:ascii="Arial"/>
                <w:sz w:val="21"/>
              </w:rPr>
            </w:pPr>
          </w:p>
        </w:tc>
        <w:tc>
          <w:tcPr>
            <w:tcW w:w="140" w:type="dxa"/>
            <w:vMerge w:val="continue"/>
            <w:tcBorders>
              <w:top w:val="nil"/>
              <w:bottom w:val="nil"/>
            </w:tcBorders>
            <w:vAlign w:val="top"/>
          </w:tcPr>
          <w:p w14:paraId="1D04E76D">
            <w:pPr>
              <w:rPr>
                <w:rFonts w:ascii="Arial"/>
                <w:sz w:val="21"/>
              </w:rPr>
            </w:pPr>
          </w:p>
        </w:tc>
        <w:tc>
          <w:tcPr>
            <w:tcW w:w="589" w:type="dxa"/>
            <w:vMerge w:val="continue"/>
            <w:tcBorders>
              <w:top w:val="nil"/>
              <w:bottom w:val="nil"/>
            </w:tcBorders>
            <w:vAlign w:val="top"/>
          </w:tcPr>
          <w:p w14:paraId="04462037">
            <w:pPr>
              <w:rPr>
                <w:rFonts w:ascii="Arial"/>
                <w:sz w:val="21"/>
              </w:rPr>
            </w:pPr>
          </w:p>
        </w:tc>
        <w:tc>
          <w:tcPr>
            <w:tcW w:w="839" w:type="dxa"/>
            <w:vAlign w:val="top"/>
          </w:tcPr>
          <w:p w14:paraId="79119A2F">
            <w:pPr>
              <w:pStyle w:val="6"/>
              <w:spacing w:before="7" w:line="227" w:lineRule="auto"/>
              <w:ind w:left="22" w:right="66" w:firstLine="30"/>
              <w:rPr>
                <w:sz w:val="18"/>
                <w:szCs w:val="18"/>
              </w:rPr>
            </w:pPr>
            <w:r>
              <w:rPr>
                <w:spacing w:val="-3"/>
                <w:sz w:val="18"/>
                <w:szCs w:val="18"/>
              </w:rPr>
              <w:t>大地村散</w:t>
            </w:r>
            <w:r>
              <w:rPr>
                <w:spacing w:val="1"/>
                <w:sz w:val="18"/>
                <w:szCs w:val="18"/>
              </w:rPr>
              <w:t xml:space="preserve"> </w:t>
            </w:r>
            <w:r>
              <w:rPr>
                <w:spacing w:val="-3"/>
                <w:sz w:val="18"/>
                <w:szCs w:val="18"/>
              </w:rPr>
              <w:t>户8</w:t>
            </w:r>
          </w:p>
        </w:tc>
        <w:tc>
          <w:tcPr>
            <w:tcW w:w="1668" w:type="dxa"/>
            <w:vAlign w:val="top"/>
          </w:tcPr>
          <w:p w14:paraId="0FAE7885">
            <w:pPr>
              <w:pStyle w:val="6"/>
              <w:spacing w:before="87" w:line="186" w:lineRule="auto"/>
              <w:ind w:left="95" w:hanging="82"/>
              <w:rPr>
                <w:sz w:val="18"/>
                <w:szCs w:val="18"/>
              </w:rPr>
            </w:pPr>
            <w:r>
              <w:rPr>
                <w:spacing w:val="-4"/>
                <w:sz w:val="18"/>
                <w:szCs w:val="18"/>
              </w:rPr>
              <w:t>E103°31'23.36010”</w:t>
            </w:r>
            <w:r>
              <w:rPr>
                <w:spacing w:val="1"/>
                <w:sz w:val="18"/>
                <w:szCs w:val="18"/>
              </w:rPr>
              <w:t xml:space="preserve"> </w:t>
            </w:r>
            <w:r>
              <w:rPr>
                <w:spacing w:val="-8"/>
                <w:sz w:val="18"/>
                <w:szCs w:val="18"/>
              </w:rPr>
              <w:t>N24°53'0.90552"</w:t>
            </w:r>
          </w:p>
        </w:tc>
        <w:tc>
          <w:tcPr>
            <w:tcW w:w="1339" w:type="dxa"/>
            <w:vAlign w:val="top"/>
          </w:tcPr>
          <w:p w14:paraId="0D2721A8">
            <w:pPr>
              <w:pStyle w:val="6"/>
              <w:spacing w:before="139" w:line="220" w:lineRule="auto"/>
              <w:ind w:left="255"/>
              <w:rPr>
                <w:sz w:val="18"/>
                <w:szCs w:val="18"/>
              </w:rPr>
            </w:pPr>
            <w:r>
              <w:rPr>
                <w:spacing w:val="-2"/>
                <w:sz w:val="18"/>
                <w:szCs w:val="18"/>
              </w:rPr>
              <w:t>7户，21人</w:t>
            </w:r>
          </w:p>
        </w:tc>
        <w:tc>
          <w:tcPr>
            <w:tcW w:w="1858" w:type="dxa"/>
            <w:vAlign w:val="top"/>
          </w:tcPr>
          <w:p w14:paraId="4A2BB3EE">
            <w:pPr>
              <w:pStyle w:val="6"/>
              <w:spacing w:before="138" w:line="219" w:lineRule="auto"/>
              <w:ind w:left="426"/>
              <w:rPr>
                <w:sz w:val="18"/>
                <w:szCs w:val="18"/>
              </w:rPr>
            </w:pPr>
            <w:r>
              <w:rPr>
                <w:spacing w:val="2"/>
                <w:sz w:val="18"/>
                <w:szCs w:val="18"/>
              </w:rPr>
              <w:t>备用地3西侧</w:t>
            </w:r>
          </w:p>
        </w:tc>
        <w:tc>
          <w:tcPr>
            <w:tcW w:w="749" w:type="dxa"/>
            <w:vAlign w:val="top"/>
          </w:tcPr>
          <w:p w14:paraId="33B5576B">
            <w:pPr>
              <w:pStyle w:val="6"/>
              <w:spacing w:before="155"/>
              <w:ind w:left="188"/>
              <w:rPr>
                <w:sz w:val="18"/>
                <w:szCs w:val="18"/>
              </w:rPr>
            </w:pPr>
            <w:r>
              <w:rPr>
                <w:spacing w:val="-2"/>
                <w:sz w:val="18"/>
                <w:szCs w:val="18"/>
              </w:rPr>
              <w:t>259m</w:t>
            </w:r>
          </w:p>
        </w:tc>
        <w:tc>
          <w:tcPr>
            <w:tcW w:w="590" w:type="dxa"/>
            <w:vMerge w:val="continue"/>
            <w:tcBorders>
              <w:top w:val="nil"/>
              <w:bottom w:val="nil"/>
            </w:tcBorders>
            <w:vAlign w:val="top"/>
          </w:tcPr>
          <w:p w14:paraId="682B1CBC">
            <w:pPr>
              <w:rPr>
                <w:rFonts w:ascii="Arial"/>
                <w:sz w:val="21"/>
              </w:rPr>
            </w:pPr>
          </w:p>
        </w:tc>
        <w:tc>
          <w:tcPr>
            <w:tcW w:w="804" w:type="dxa"/>
            <w:vMerge w:val="continue"/>
            <w:tcBorders>
              <w:top w:val="nil"/>
              <w:bottom w:val="nil"/>
            </w:tcBorders>
            <w:vAlign w:val="top"/>
          </w:tcPr>
          <w:p w14:paraId="1D8F4DFF">
            <w:pPr>
              <w:rPr>
                <w:rFonts w:ascii="Arial"/>
                <w:sz w:val="21"/>
              </w:rPr>
            </w:pPr>
          </w:p>
        </w:tc>
      </w:tr>
      <w:tr w14:paraId="2916D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94" w:type="dxa"/>
            <w:vMerge w:val="continue"/>
            <w:tcBorders>
              <w:top w:val="nil"/>
              <w:bottom w:val="nil"/>
            </w:tcBorders>
            <w:vAlign w:val="top"/>
          </w:tcPr>
          <w:p w14:paraId="00688229">
            <w:pPr>
              <w:rPr>
                <w:rFonts w:ascii="Arial"/>
                <w:sz w:val="21"/>
              </w:rPr>
            </w:pPr>
          </w:p>
        </w:tc>
        <w:tc>
          <w:tcPr>
            <w:tcW w:w="140" w:type="dxa"/>
            <w:vMerge w:val="continue"/>
            <w:tcBorders>
              <w:top w:val="nil"/>
              <w:bottom w:val="nil"/>
            </w:tcBorders>
            <w:vAlign w:val="top"/>
          </w:tcPr>
          <w:p w14:paraId="4DEE4065">
            <w:pPr>
              <w:rPr>
                <w:rFonts w:ascii="Arial"/>
                <w:sz w:val="21"/>
              </w:rPr>
            </w:pPr>
          </w:p>
        </w:tc>
        <w:tc>
          <w:tcPr>
            <w:tcW w:w="589" w:type="dxa"/>
            <w:vMerge w:val="continue"/>
            <w:tcBorders>
              <w:top w:val="nil"/>
              <w:bottom w:val="nil"/>
            </w:tcBorders>
            <w:vAlign w:val="top"/>
          </w:tcPr>
          <w:p w14:paraId="5E9B775C">
            <w:pPr>
              <w:rPr>
                <w:rFonts w:ascii="Arial"/>
                <w:sz w:val="21"/>
              </w:rPr>
            </w:pPr>
          </w:p>
        </w:tc>
        <w:tc>
          <w:tcPr>
            <w:tcW w:w="839" w:type="dxa"/>
            <w:vAlign w:val="top"/>
          </w:tcPr>
          <w:p w14:paraId="12CB6372">
            <w:pPr>
              <w:pStyle w:val="6"/>
              <w:spacing w:before="28" w:line="236" w:lineRule="auto"/>
              <w:ind w:left="32" w:right="13" w:firstLine="20"/>
              <w:rPr>
                <w:sz w:val="18"/>
                <w:szCs w:val="18"/>
              </w:rPr>
            </w:pPr>
            <w:r>
              <w:rPr>
                <w:spacing w:val="-3"/>
                <w:sz w:val="18"/>
                <w:szCs w:val="18"/>
              </w:rPr>
              <w:t>大地村散</w:t>
            </w:r>
            <w:r>
              <w:rPr>
                <w:spacing w:val="1"/>
                <w:sz w:val="18"/>
                <w:szCs w:val="18"/>
              </w:rPr>
              <w:t xml:space="preserve"> </w:t>
            </w:r>
            <w:r>
              <w:rPr>
                <w:spacing w:val="-21"/>
                <w:sz w:val="18"/>
                <w:szCs w:val="18"/>
              </w:rPr>
              <w:t>户</w:t>
            </w:r>
            <w:r>
              <w:rPr>
                <w:spacing w:val="1"/>
                <w:sz w:val="18"/>
                <w:szCs w:val="18"/>
              </w:rPr>
              <w:t xml:space="preserve"> </w:t>
            </w:r>
            <w:r>
              <w:rPr>
                <w:spacing w:val="-21"/>
                <w:sz w:val="18"/>
                <w:szCs w:val="18"/>
              </w:rPr>
              <w:t>9</w:t>
            </w:r>
            <w:r>
              <w:rPr>
                <w:spacing w:val="32"/>
                <w:sz w:val="18"/>
                <w:szCs w:val="18"/>
              </w:rPr>
              <w:t xml:space="preserve"> </w:t>
            </w:r>
            <w:r>
              <w:rPr>
                <w:spacing w:val="-21"/>
                <w:sz w:val="18"/>
                <w:szCs w:val="18"/>
              </w:rPr>
              <w:t>(</w:t>
            </w:r>
            <w:r>
              <w:rPr>
                <w:spacing w:val="23"/>
                <w:sz w:val="18"/>
                <w:szCs w:val="18"/>
              </w:rPr>
              <w:t xml:space="preserve"> </w:t>
            </w:r>
            <w:r>
              <w:rPr>
                <w:spacing w:val="-21"/>
                <w:sz w:val="18"/>
                <w:szCs w:val="18"/>
              </w:rPr>
              <w:t>田</w:t>
            </w:r>
          </w:p>
          <w:p w14:paraId="1FBD6BB7">
            <w:pPr>
              <w:pStyle w:val="6"/>
              <w:spacing w:before="1" w:line="220" w:lineRule="auto"/>
              <w:ind w:left="32" w:right="49" w:firstLine="20"/>
              <w:rPr>
                <w:sz w:val="18"/>
                <w:szCs w:val="18"/>
              </w:rPr>
            </w:pPr>
            <w:r>
              <w:rPr>
                <w:spacing w:val="1"/>
                <w:sz w:val="18"/>
                <w:szCs w:val="18"/>
              </w:rPr>
              <w:t>间农户看</w:t>
            </w:r>
            <w:r>
              <w:rPr>
                <w:spacing w:val="2"/>
                <w:sz w:val="18"/>
                <w:szCs w:val="18"/>
              </w:rPr>
              <w:t xml:space="preserve"> </w:t>
            </w:r>
            <w:r>
              <w:rPr>
                <w:spacing w:val="-4"/>
                <w:sz w:val="18"/>
                <w:szCs w:val="18"/>
              </w:rPr>
              <w:t>地</w:t>
            </w:r>
            <w:r>
              <w:rPr>
                <w:spacing w:val="-36"/>
                <w:sz w:val="18"/>
                <w:szCs w:val="18"/>
              </w:rPr>
              <w:t xml:space="preserve"> </w:t>
            </w:r>
            <w:r>
              <w:rPr>
                <w:spacing w:val="-4"/>
                <w:sz w:val="18"/>
                <w:szCs w:val="18"/>
              </w:rPr>
              <w:t>)</w:t>
            </w:r>
          </w:p>
        </w:tc>
        <w:tc>
          <w:tcPr>
            <w:tcW w:w="1668" w:type="dxa"/>
            <w:vAlign w:val="top"/>
          </w:tcPr>
          <w:p w14:paraId="5CCD0E97">
            <w:pPr>
              <w:spacing w:line="323" w:lineRule="auto"/>
              <w:rPr>
                <w:rFonts w:ascii="Arial"/>
                <w:sz w:val="21"/>
              </w:rPr>
            </w:pPr>
          </w:p>
          <w:p w14:paraId="79E76117">
            <w:pPr>
              <w:pStyle w:val="6"/>
              <w:spacing w:before="58" w:line="224" w:lineRule="auto"/>
              <w:ind w:left="783"/>
              <w:rPr>
                <w:sz w:val="18"/>
                <w:szCs w:val="18"/>
              </w:rPr>
            </w:pPr>
            <w:r>
              <w:rPr>
                <w:sz w:val="18"/>
                <w:szCs w:val="18"/>
              </w:rPr>
              <w:t>/</w:t>
            </w:r>
          </w:p>
        </w:tc>
        <w:tc>
          <w:tcPr>
            <w:tcW w:w="1339" w:type="dxa"/>
            <w:vAlign w:val="top"/>
          </w:tcPr>
          <w:p w14:paraId="7A294A8D">
            <w:pPr>
              <w:spacing w:line="318" w:lineRule="auto"/>
              <w:rPr>
                <w:rFonts w:ascii="Arial"/>
                <w:sz w:val="21"/>
              </w:rPr>
            </w:pPr>
          </w:p>
          <w:p w14:paraId="4B303AC0">
            <w:pPr>
              <w:pStyle w:val="6"/>
              <w:spacing w:before="58" w:line="220" w:lineRule="auto"/>
              <w:ind w:left="305"/>
              <w:rPr>
                <w:sz w:val="18"/>
                <w:szCs w:val="18"/>
              </w:rPr>
            </w:pPr>
            <w:r>
              <w:rPr>
                <w:spacing w:val="-6"/>
                <w:sz w:val="18"/>
                <w:szCs w:val="18"/>
              </w:rPr>
              <w:t>8</w:t>
            </w:r>
            <w:r>
              <w:rPr>
                <w:spacing w:val="-18"/>
                <w:sz w:val="18"/>
                <w:szCs w:val="18"/>
              </w:rPr>
              <w:t xml:space="preserve"> </w:t>
            </w:r>
            <w:r>
              <w:rPr>
                <w:spacing w:val="-6"/>
                <w:sz w:val="18"/>
                <w:szCs w:val="18"/>
              </w:rPr>
              <w:t>户</w:t>
            </w:r>
            <w:r>
              <w:rPr>
                <w:spacing w:val="-17"/>
                <w:sz w:val="18"/>
                <w:szCs w:val="18"/>
              </w:rPr>
              <w:t xml:space="preserve"> </w:t>
            </w:r>
            <w:r>
              <w:rPr>
                <w:spacing w:val="-6"/>
                <w:sz w:val="18"/>
                <w:szCs w:val="18"/>
              </w:rPr>
              <w:t>8</w:t>
            </w:r>
            <w:r>
              <w:rPr>
                <w:spacing w:val="-16"/>
                <w:sz w:val="18"/>
                <w:szCs w:val="18"/>
              </w:rPr>
              <w:t xml:space="preserve"> </w:t>
            </w:r>
            <w:r>
              <w:rPr>
                <w:spacing w:val="-6"/>
                <w:sz w:val="18"/>
                <w:szCs w:val="18"/>
              </w:rPr>
              <w:t>人</w:t>
            </w:r>
          </w:p>
        </w:tc>
        <w:tc>
          <w:tcPr>
            <w:tcW w:w="1858" w:type="dxa"/>
            <w:vAlign w:val="top"/>
          </w:tcPr>
          <w:p w14:paraId="1DFFC84F">
            <w:pPr>
              <w:spacing w:line="318" w:lineRule="auto"/>
              <w:rPr>
                <w:rFonts w:ascii="Arial"/>
                <w:sz w:val="21"/>
              </w:rPr>
            </w:pPr>
          </w:p>
          <w:p w14:paraId="5FD35354">
            <w:pPr>
              <w:pStyle w:val="6"/>
              <w:spacing w:before="58" w:line="219" w:lineRule="auto"/>
              <w:ind w:left="426"/>
              <w:rPr>
                <w:sz w:val="18"/>
                <w:szCs w:val="18"/>
              </w:rPr>
            </w:pPr>
            <w:r>
              <w:rPr>
                <w:spacing w:val="2"/>
                <w:sz w:val="18"/>
                <w:szCs w:val="18"/>
              </w:rPr>
              <w:t>备用地3北侧</w:t>
            </w:r>
          </w:p>
        </w:tc>
        <w:tc>
          <w:tcPr>
            <w:tcW w:w="749" w:type="dxa"/>
            <w:vAlign w:val="top"/>
          </w:tcPr>
          <w:p w14:paraId="15C46E36">
            <w:pPr>
              <w:spacing w:line="335" w:lineRule="auto"/>
              <w:rPr>
                <w:rFonts w:ascii="Arial"/>
                <w:sz w:val="21"/>
              </w:rPr>
            </w:pPr>
          </w:p>
          <w:p w14:paraId="19CBC5D6">
            <w:pPr>
              <w:pStyle w:val="6"/>
              <w:spacing w:before="58"/>
              <w:ind w:left="188"/>
              <w:rPr>
                <w:sz w:val="18"/>
                <w:szCs w:val="18"/>
              </w:rPr>
            </w:pPr>
            <w:r>
              <w:rPr>
                <w:spacing w:val="-4"/>
                <w:sz w:val="18"/>
                <w:szCs w:val="18"/>
              </w:rPr>
              <w:t>117m</w:t>
            </w:r>
          </w:p>
        </w:tc>
        <w:tc>
          <w:tcPr>
            <w:tcW w:w="590" w:type="dxa"/>
            <w:vMerge w:val="continue"/>
            <w:tcBorders>
              <w:top w:val="nil"/>
              <w:bottom w:val="nil"/>
            </w:tcBorders>
            <w:vAlign w:val="top"/>
          </w:tcPr>
          <w:p w14:paraId="2FD84F0F">
            <w:pPr>
              <w:rPr>
                <w:rFonts w:ascii="Arial"/>
                <w:sz w:val="21"/>
              </w:rPr>
            </w:pPr>
          </w:p>
        </w:tc>
        <w:tc>
          <w:tcPr>
            <w:tcW w:w="804" w:type="dxa"/>
            <w:vMerge w:val="continue"/>
            <w:tcBorders>
              <w:top w:val="nil"/>
              <w:bottom w:val="nil"/>
            </w:tcBorders>
            <w:vAlign w:val="top"/>
          </w:tcPr>
          <w:p w14:paraId="770DCE31">
            <w:pPr>
              <w:rPr>
                <w:rFonts w:ascii="Arial"/>
                <w:sz w:val="21"/>
              </w:rPr>
            </w:pPr>
          </w:p>
        </w:tc>
      </w:tr>
      <w:tr w14:paraId="78AC4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694" w:type="dxa"/>
            <w:vMerge w:val="continue"/>
            <w:tcBorders>
              <w:top w:val="nil"/>
              <w:bottom w:val="nil"/>
            </w:tcBorders>
            <w:vAlign w:val="top"/>
          </w:tcPr>
          <w:p w14:paraId="1A7E8F0F">
            <w:pPr>
              <w:rPr>
                <w:rFonts w:ascii="Arial"/>
                <w:sz w:val="21"/>
              </w:rPr>
            </w:pPr>
          </w:p>
        </w:tc>
        <w:tc>
          <w:tcPr>
            <w:tcW w:w="140" w:type="dxa"/>
            <w:vMerge w:val="continue"/>
            <w:tcBorders>
              <w:top w:val="nil"/>
              <w:bottom w:val="nil"/>
            </w:tcBorders>
            <w:vAlign w:val="top"/>
          </w:tcPr>
          <w:p w14:paraId="6357730D">
            <w:pPr>
              <w:rPr>
                <w:rFonts w:ascii="Arial"/>
                <w:sz w:val="21"/>
              </w:rPr>
            </w:pPr>
          </w:p>
        </w:tc>
        <w:tc>
          <w:tcPr>
            <w:tcW w:w="589" w:type="dxa"/>
            <w:vMerge w:val="continue"/>
            <w:tcBorders>
              <w:top w:val="nil"/>
              <w:bottom w:val="nil"/>
            </w:tcBorders>
            <w:vAlign w:val="top"/>
          </w:tcPr>
          <w:p w14:paraId="2C912579">
            <w:pPr>
              <w:rPr>
                <w:rFonts w:ascii="Arial"/>
                <w:sz w:val="21"/>
              </w:rPr>
            </w:pPr>
          </w:p>
        </w:tc>
        <w:tc>
          <w:tcPr>
            <w:tcW w:w="839" w:type="dxa"/>
            <w:vAlign w:val="top"/>
          </w:tcPr>
          <w:p w14:paraId="48FB88AF">
            <w:pPr>
              <w:pStyle w:val="6"/>
              <w:spacing w:before="119" w:line="219" w:lineRule="auto"/>
              <w:ind w:left="12"/>
              <w:rPr>
                <w:sz w:val="18"/>
                <w:szCs w:val="18"/>
              </w:rPr>
            </w:pPr>
            <w:r>
              <w:rPr>
                <w:spacing w:val="-3"/>
                <w:sz w:val="18"/>
                <w:szCs w:val="18"/>
              </w:rPr>
              <w:t>小紫处</w:t>
            </w:r>
          </w:p>
        </w:tc>
        <w:tc>
          <w:tcPr>
            <w:tcW w:w="1668" w:type="dxa"/>
            <w:vAlign w:val="top"/>
          </w:tcPr>
          <w:p w14:paraId="078C14A1">
            <w:pPr>
              <w:pStyle w:val="6"/>
              <w:spacing w:before="56" w:line="176" w:lineRule="auto"/>
              <w:ind w:left="58" w:hanging="45"/>
              <w:rPr>
                <w:sz w:val="18"/>
                <w:szCs w:val="18"/>
              </w:rPr>
            </w:pPr>
            <w:r>
              <w:rPr>
                <w:spacing w:val="-4"/>
                <w:sz w:val="18"/>
                <w:szCs w:val="18"/>
              </w:rPr>
              <w:t>E103°32'57.27272”</w:t>
            </w:r>
            <w:r>
              <w:rPr>
                <w:spacing w:val="1"/>
                <w:sz w:val="18"/>
                <w:szCs w:val="18"/>
              </w:rPr>
              <w:t xml:space="preserve"> </w:t>
            </w:r>
            <w:r>
              <w:rPr>
                <w:spacing w:val="-8"/>
                <w:sz w:val="18"/>
                <w:szCs w:val="18"/>
              </w:rPr>
              <w:t>N24°51'47.82488"</w:t>
            </w:r>
          </w:p>
        </w:tc>
        <w:tc>
          <w:tcPr>
            <w:tcW w:w="1339" w:type="dxa"/>
            <w:vAlign w:val="top"/>
          </w:tcPr>
          <w:p w14:paraId="294895BD">
            <w:pPr>
              <w:pStyle w:val="6"/>
              <w:spacing w:before="120" w:line="220" w:lineRule="auto"/>
              <w:ind w:left="165"/>
              <w:rPr>
                <w:sz w:val="18"/>
                <w:szCs w:val="18"/>
              </w:rPr>
            </w:pPr>
            <w:r>
              <w:rPr>
                <w:spacing w:val="-2"/>
                <w:sz w:val="18"/>
                <w:szCs w:val="18"/>
              </w:rPr>
              <w:t>32户，118人</w:t>
            </w:r>
          </w:p>
        </w:tc>
        <w:tc>
          <w:tcPr>
            <w:tcW w:w="1858" w:type="dxa"/>
            <w:vAlign w:val="top"/>
          </w:tcPr>
          <w:p w14:paraId="1B850205">
            <w:pPr>
              <w:pStyle w:val="6"/>
              <w:spacing w:before="118" w:line="219" w:lineRule="auto"/>
              <w:ind w:left="156"/>
              <w:rPr>
                <w:sz w:val="18"/>
                <w:szCs w:val="18"/>
              </w:rPr>
            </w:pPr>
            <w:r>
              <w:rPr>
                <w:spacing w:val="1"/>
                <w:sz w:val="18"/>
                <w:szCs w:val="18"/>
              </w:rPr>
              <w:t>21#光伏阵列西南侧</w:t>
            </w:r>
          </w:p>
        </w:tc>
        <w:tc>
          <w:tcPr>
            <w:tcW w:w="749" w:type="dxa"/>
            <w:vAlign w:val="top"/>
          </w:tcPr>
          <w:p w14:paraId="12480022">
            <w:pPr>
              <w:pStyle w:val="6"/>
              <w:spacing w:before="136"/>
              <w:ind w:left="238"/>
              <w:rPr>
                <w:sz w:val="18"/>
                <w:szCs w:val="18"/>
              </w:rPr>
            </w:pPr>
            <w:r>
              <w:rPr>
                <w:spacing w:val="-3"/>
                <w:sz w:val="18"/>
                <w:szCs w:val="18"/>
              </w:rPr>
              <w:t>53m</w:t>
            </w:r>
          </w:p>
        </w:tc>
        <w:tc>
          <w:tcPr>
            <w:tcW w:w="590" w:type="dxa"/>
            <w:vMerge w:val="continue"/>
            <w:tcBorders>
              <w:top w:val="nil"/>
              <w:bottom w:val="nil"/>
            </w:tcBorders>
            <w:vAlign w:val="top"/>
          </w:tcPr>
          <w:p w14:paraId="001F1F8F">
            <w:pPr>
              <w:rPr>
                <w:rFonts w:ascii="Arial"/>
                <w:sz w:val="21"/>
              </w:rPr>
            </w:pPr>
          </w:p>
        </w:tc>
        <w:tc>
          <w:tcPr>
            <w:tcW w:w="804" w:type="dxa"/>
            <w:vMerge w:val="continue"/>
            <w:tcBorders>
              <w:top w:val="nil"/>
              <w:bottom w:val="nil"/>
            </w:tcBorders>
            <w:vAlign w:val="top"/>
          </w:tcPr>
          <w:p w14:paraId="23BB06EA">
            <w:pPr>
              <w:rPr>
                <w:rFonts w:ascii="Arial"/>
                <w:sz w:val="21"/>
              </w:rPr>
            </w:pPr>
          </w:p>
        </w:tc>
      </w:tr>
      <w:tr w14:paraId="005A1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694" w:type="dxa"/>
            <w:vMerge w:val="continue"/>
            <w:tcBorders>
              <w:top w:val="nil"/>
              <w:bottom w:val="nil"/>
            </w:tcBorders>
            <w:vAlign w:val="top"/>
          </w:tcPr>
          <w:p w14:paraId="233703FF">
            <w:pPr>
              <w:rPr>
                <w:rFonts w:ascii="Arial"/>
                <w:sz w:val="21"/>
              </w:rPr>
            </w:pPr>
          </w:p>
        </w:tc>
        <w:tc>
          <w:tcPr>
            <w:tcW w:w="140" w:type="dxa"/>
            <w:vMerge w:val="continue"/>
            <w:tcBorders>
              <w:top w:val="nil"/>
              <w:bottom w:val="nil"/>
            </w:tcBorders>
            <w:vAlign w:val="top"/>
          </w:tcPr>
          <w:p w14:paraId="30F4F4DF">
            <w:pPr>
              <w:rPr>
                <w:rFonts w:ascii="Arial"/>
                <w:sz w:val="21"/>
              </w:rPr>
            </w:pPr>
          </w:p>
        </w:tc>
        <w:tc>
          <w:tcPr>
            <w:tcW w:w="589" w:type="dxa"/>
            <w:vMerge w:val="continue"/>
            <w:tcBorders>
              <w:top w:val="nil"/>
              <w:bottom w:val="nil"/>
            </w:tcBorders>
            <w:vAlign w:val="top"/>
          </w:tcPr>
          <w:p w14:paraId="60F43803">
            <w:pPr>
              <w:rPr>
                <w:rFonts w:ascii="Arial"/>
                <w:sz w:val="21"/>
              </w:rPr>
            </w:pPr>
          </w:p>
        </w:tc>
        <w:tc>
          <w:tcPr>
            <w:tcW w:w="839" w:type="dxa"/>
            <w:vAlign w:val="top"/>
          </w:tcPr>
          <w:p w14:paraId="14690845">
            <w:pPr>
              <w:pStyle w:val="6"/>
              <w:spacing w:before="130" w:line="220" w:lineRule="auto"/>
              <w:ind w:left="12"/>
              <w:rPr>
                <w:sz w:val="18"/>
                <w:szCs w:val="18"/>
              </w:rPr>
            </w:pPr>
            <w:r>
              <w:rPr>
                <w:spacing w:val="-2"/>
                <w:sz w:val="18"/>
                <w:szCs w:val="18"/>
              </w:rPr>
              <w:t>橡子坡</w:t>
            </w:r>
          </w:p>
        </w:tc>
        <w:tc>
          <w:tcPr>
            <w:tcW w:w="1668" w:type="dxa"/>
            <w:vAlign w:val="top"/>
          </w:tcPr>
          <w:p w14:paraId="175E3A83">
            <w:pPr>
              <w:pStyle w:val="6"/>
              <w:spacing w:before="67" w:line="186" w:lineRule="auto"/>
              <w:ind w:left="13"/>
              <w:rPr>
                <w:sz w:val="18"/>
                <w:szCs w:val="18"/>
              </w:rPr>
            </w:pPr>
            <w:r>
              <w:rPr>
                <w:spacing w:val="-4"/>
                <w:sz w:val="18"/>
                <w:szCs w:val="18"/>
              </w:rPr>
              <w:t>E103°33'32.36245”</w:t>
            </w:r>
            <w:r>
              <w:rPr>
                <w:spacing w:val="1"/>
                <w:sz w:val="18"/>
                <w:szCs w:val="18"/>
              </w:rPr>
              <w:t xml:space="preserve"> </w:t>
            </w:r>
            <w:r>
              <w:rPr>
                <w:spacing w:val="-3"/>
                <w:sz w:val="18"/>
                <w:szCs w:val="18"/>
              </w:rPr>
              <w:t>N24°51'46.78204”</w:t>
            </w:r>
          </w:p>
        </w:tc>
        <w:tc>
          <w:tcPr>
            <w:tcW w:w="1339" w:type="dxa"/>
            <w:vAlign w:val="top"/>
          </w:tcPr>
          <w:p w14:paraId="3F2EB703">
            <w:pPr>
              <w:pStyle w:val="6"/>
              <w:spacing w:before="130" w:line="220" w:lineRule="auto"/>
              <w:ind w:left="165"/>
              <w:rPr>
                <w:sz w:val="18"/>
                <w:szCs w:val="18"/>
              </w:rPr>
            </w:pPr>
            <w:r>
              <w:rPr>
                <w:spacing w:val="-1"/>
                <w:sz w:val="18"/>
                <w:szCs w:val="18"/>
              </w:rPr>
              <w:t>46户，164人</w:t>
            </w:r>
          </w:p>
        </w:tc>
        <w:tc>
          <w:tcPr>
            <w:tcW w:w="1858" w:type="dxa"/>
            <w:vAlign w:val="top"/>
          </w:tcPr>
          <w:p w14:paraId="1B07AC41">
            <w:pPr>
              <w:pStyle w:val="6"/>
              <w:spacing w:before="128" w:line="219" w:lineRule="auto"/>
              <w:ind w:left="246"/>
              <w:rPr>
                <w:sz w:val="18"/>
                <w:szCs w:val="18"/>
              </w:rPr>
            </w:pPr>
            <w:r>
              <w:rPr>
                <w:spacing w:val="1"/>
                <w:sz w:val="18"/>
                <w:szCs w:val="18"/>
              </w:rPr>
              <w:t>24#光伏阵列南侧</w:t>
            </w:r>
          </w:p>
        </w:tc>
        <w:tc>
          <w:tcPr>
            <w:tcW w:w="749" w:type="dxa"/>
            <w:vAlign w:val="top"/>
          </w:tcPr>
          <w:p w14:paraId="72795548">
            <w:pPr>
              <w:pStyle w:val="6"/>
              <w:spacing w:before="146"/>
              <w:ind w:left="188"/>
              <w:rPr>
                <w:sz w:val="18"/>
                <w:szCs w:val="18"/>
              </w:rPr>
            </w:pPr>
            <w:r>
              <w:rPr>
                <w:spacing w:val="-2"/>
                <w:sz w:val="18"/>
                <w:szCs w:val="18"/>
              </w:rPr>
              <w:t>378m</w:t>
            </w:r>
          </w:p>
        </w:tc>
        <w:tc>
          <w:tcPr>
            <w:tcW w:w="590" w:type="dxa"/>
            <w:vMerge w:val="continue"/>
            <w:tcBorders>
              <w:top w:val="nil"/>
              <w:bottom w:val="nil"/>
            </w:tcBorders>
            <w:vAlign w:val="top"/>
          </w:tcPr>
          <w:p w14:paraId="743DBE0E">
            <w:pPr>
              <w:rPr>
                <w:rFonts w:ascii="Arial"/>
                <w:sz w:val="21"/>
              </w:rPr>
            </w:pPr>
          </w:p>
        </w:tc>
        <w:tc>
          <w:tcPr>
            <w:tcW w:w="804" w:type="dxa"/>
            <w:vMerge w:val="continue"/>
            <w:tcBorders>
              <w:top w:val="nil"/>
              <w:bottom w:val="nil"/>
            </w:tcBorders>
            <w:vAlign w:val="top"/>
          </w:tcPr>
          <w:p w14:paraId="4367BB8B">
            <w:pPr>
              <w:rPr>
                <w:rFonts w:ascii="Arial"/>
                <w:sz w:val="21"/>
              </w:rPr>
            </w:pPr>
          </w:p>
        </w:tc>
      </w:tr>
      <w:tr w14:paraId="4BC36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694" w:type="dxa"/>
            <w:vMerge w:val="continue"/>
            <w:tcBorders>
              <w:top w:val="nil"/>
              <w:bottom w:val="nil"/>
            </w:tcBorders>
            <w:vAlign w:val="top"/>
          </w:tcPr>
          <w:p w14:paraId="6D439DD4">
            <w:pPr>
              <w:rPr>
                <w:rFonts w:ascii="Arial"/>
                <w:sz w:val="21"/>
              </w:rPr>
            </w:pPr>
          </w:p>
        </w:tc>
        <w:tc>
          <w:tcPr>
            <w:tcW w:w="140" w:type="dxa"/>
            <w:vMerge w:val="continue"/>
            <w:tcBorders>
              <w:top w:val="nil"/>
              <w:bottom w:val="nil"/>
            </w:tcBorders>
            <w:vAlign w:val="top"/>
          </w:tcPr>
          <w:p w14:paraId="1BBE77D5">
            <w:pPr>
              <w:rPr>
                <w:rFonts w:ascii="Arial"/>
                <w:sz w:val="21"/>
              </w:rPr>
            </w:pPr>
          </w:p>
        </w:tc>
        <w:tc>
          <w:tcPr>
            <w:tcW w:w="589" w:type="dxa"/>
            <w:vMerge w:val="continue"/>
            <w:tcBorders>
              <w:top w:val="nil"/>
              <w:bottom w:val="nil"/>
            </w:tcBorders>
            <w:vAlign w:val="top"/>
          </w:tcPr>
          <w:p w14:paraId="6A1F3092">
            <w:pPr>
              <w:rPr>
                <w:rFonts w:ascii="Arial"/>
                <w:sz w:val="21"/>
              </w:rPr>
            </w:pPr>
          </w:p>
        </w:tc>
        <w:tc>
          <w:tcPr>
            <w:tcW w:w="839" w:type="dxa"/>
            <w:vAlign w:val="top"/>
          </w:tcPr>
          <w:p w14:paraId="30968F8C">
            <w:pPr>
              <w:pStyle w:val="6"/>
              <w:spacing w:before="228" w:line="260" w:lineRule="auto"/>
              <w:ind w:left="12" w:right="63" w:firstLine="40"/>
              <w:rPr>
                <w:sz w:val="18"/>
                <w:szCs w:val="18"/>
              </w:rPr>
            </w:pPr>
            <w:r>
              <w:rPr>
                <w:spacing w:val="-2"/>
                <w:sz w:val="18"/>
                <w:szCs w:val="18"/>
              </w:rPr>
              <w:t>橡子坡散</w:t>
            </w:r>
            <w:r>
              <w:rPr>
                <w:sz w:val="18"/>
                <w:szCs w:val="18"/>
              </w:rPr>
              <w:t xml:space="preserve"> </w:t>
            </w:r>
            <w:r>
              <w:rPr>
                <w:spacing w:val="9"/>
                <w:sz w:val="18"/>
                <w:szCs w:val="18"/>
              </w:rPr>
              <w:t>户1</w:t>
            </w:r>
          </w:p>
        </w:tc>
        <w:tc>
          <w:tcPr>
            <w:tcW w:w="1668" w:type="dxa"/>
            <w:vAlign w:val="top"/>
          </w:tcPr>
          <w:p w14:paraId="190DCE75">
            <w:pPr>
              <w:spacing w:line="304" w:lineRule="auto"/>
              <w:rPr>
                <w:rFonts w:ascii="Arial"/>
                <w:sz w:val="21"/>
              </w:rPr>
            </w:pPr>
          </w:p>
          <w:p w14:paraId="59077368">
            <w:pPr>
              <w:pStyle w:val="6"/>
              <w:spacing w:before="58" w:line="224" w:lineRule="auto"/>
              <w:ind w:left="783"/>
              <w:rPr>
                <w:sz w:val="18"/>
                <w:szCs w:val="18"/>
              </w:rPr>
            </w:pPr>
            <w:r>
              <w:rPr>
                <w:sz w:val="18"/>
                <w:szCs w:val="18"/>
              </w:rPr>
              <w:t>/</w:t>
            </w:r>
          </w:p>
        </w:tc>
        <w:tc>
          <w:tcPr>
            <w:tcW w:w="1339" w:type="dxa"/>
            <w:vAlign w:val="top"/>
          </w:tcPr>
          <w:p w14:paraId="1547B727">
            <w:pPr>
              <w:spacing w:line="299" w:lineRule="auto"/>
              <w:rPr>
                <w:rFonts w:ascii="Arial"/>
                <w:sz w:val="21"/>
              </w:rPr>
            </w:pPr>
          </w:p>
          <w:p w14:paraId="2D9E0994">
            <w:pPr>
              <w:pStyle w:val="6"/>
              <w:spacing w:before="59" w:line="220" w:lineRule="auto"/>
              <w:ind w:left="255"/>
              <w:rPr>
                <w:sz w:val="18"/>
                <w:szCs w:val="18"/>
              </w:rPr>
            </w:pPr>
            <w:r>
              <w:rPr>
                <w:spacing w:val="-1"/>
                <w:sz w:val="18"/>
                <w:szCs w:val="18"/>
              </w:rPr>
              <w:t>4户，12人</w:t>
            </w:r>
          </w:p>
        </w:tc>
        <w:tc>
          <w:tcPr>
            <w:tcW w:w="1858" w:type="dxa"/>
            <w:vAlign w:val="top"/>
          </w:tcPr>
          <w:p w14:paraId="2EBC7801">
            <w:pPr>
              <w:pStyle w:val="6"/>
              <w:spacing w:before="249" w:line="212" w:lineRule="auto"/>
              <w:ind w:left="650" w:hanging="584"/>
              <w:rPr>
                <w:sz w:val="18"/>
                <w:szCs w:val="18"/>
              </w:rPr>
            </w:pPr>
            <w:r>
              <w:rPr>
                <w:spacing w:val="6"/>
                <w:sz w:val="18"/>
                <w:szCs w:val="18"/>
              </w:rPr>
              <w:t>24#光伏阵列西北侧、</w:t>
            </w:r>
            <w:r>
              <w:rPr>
                <w:spacing w:val="4"/>
                <w:sz w:val="18"/>
                <w:szCs w:val="18"/>
              </w:rPr>
              <w:t xml:space="preserve"> </w:t>
            </w:r>
            <w:r>
              <w:rPr>
                <w:spacing w:val="2"/>
                <w:sz w:val="18"/>
                <w:szCs w:val="18"/>
              </w:rPr>
              <w:t>东南侧</w:t>
            </w:r>
          </w:p>
        </w:tc>
        <w:tc>
          <w:tcPr>
            <w:tcW w:w="749" w:type="dxa"/>
            <w:vAlign w:val="top"/>
          </w:tcPr>
          <w:p w14:paraId="14D00456">
            <w:pPr>
              <w:pStyle w:val="6"/>
              <w:spacing w:before="29" w:line="219" w:lineRule="auto"/>
              <w:ind w:left="98"/>
              <w:rPr>
                <w:sz w:val="18"/>
                <w:szCs w:val="18"/>
              </w:rPr>
            </w:pPr>
            <w:r>
              <w:rPr>
                <w:spacing w:val="4"/>
                <w:sz w:val="18"/>
                <w:szCs w:val="18"/>
              </w:rPr>
              <w:t>西北侧</w:t>
            </w:r>
          </w:p>
          <w:p w14:paraId="68E93515">
            <w:pPr>
              <w:pStyle w:val="6"/>
              <w:spacing w:before="13" w:line="216" w:lineRule="auto"/>
              <w:ind w:left="98"/>
              <w:rPr>
                <w:sz w:val="18"/>
                <w:szCs w:val="18"/>
              </w:rPr>
            </w:pPr>
            <w:r>
              <w:rPr>
                <w:spacing w:val="3"/>
                <w:sz w:val="18"/>
                <w:szCs w:val="18"/>
              </w:rPr>
              <w:t>30m,东</w:t>
            </w:r>
          </w:p>
          <w:p w14:paraId="6D73F1A0">
            <w:pPr>
              <w:pStyle w:val="6"/>
              <w:spacing w:before="22" w:line="219" w:lineRule="auto"/>
              <w:ind w:left="188"/>
              <w:rPr>
                <w:sz w:val="18"/>
                <w:szCs w:val="18"/>
              </w:rPr>
            </w:pPr>
            <w:r>
              <w:rPr>
                <w:spacing w:val="6"/>
                <w:sz w:val="18"/>
                <w:szCs w:val="18"/>
              </w:rPr>
              <w:t>南侧</w:t>
            </w:r>
          </w:p>
          <w:p w14:paraId="13BB1FF0">
            <w:pPr>
              <w:pStyle w:val="6"/>
              <w:spacing w:before="14" w:line="176" w:lineRule="auto"/>
              <w:ind w:left="238"/>
              <w:rPr>
                <w:sz w:val="18"/>
                <w:szCs w:val="18"/>
              </w:rPr>
            </w:pPr>
            <w:r>
              <w:rPr>
                <w:spacing w:val="-3"/>
                <w:sz w:val="18"/>
                <w:szCs w:val="18"/>
              </w:rPr>
              <w:t>36m</w:t>
            </w:r>
          </w:p>
        </w:tc>
        <w:tc>
          <w:tcPr>
            <w:tcW w:w="590" w:type="dxa"/>
            <w:vMerge w:val="continue"/>
            <w:tcBorders>
              <w:top w:val="nil"/>
              <w:bottom w:val="nil"/>
            </w:tcBorders>
            <w:vAlign w:val="top"/>
          </w:tcPr>
          <w:p w14:paraId="6ACD5925">
            <w:pPr>
              <w:rPr>
                <w:rFonts w:ascii="Arial"/>
                <w:sz w:val="21"/>
              </w:rPr>
            </w:pPr>
          </w:p>
        </w:tc>
        <w:tc>
          <w:tcPr>
            <w:tcW w:w="804" w:type="dxa"/>
            <w:vMerge w:val="continue"/>
            <w:tcBorders>
              <w:top w:val="nil"/>
              <w:bottom w:val="nil"/>
            </w:tcBorders>
            <w:vAlign w:val="top"/>
          </w:tcPr>
          <w:p w14:paraId="72229C8E">
            <w:pPr>
              <w:rPr>
                <w:rFonts w:ascii="Arial"/>
                <w:sz w:val="21"/>
              </w:rPr>
            </w:pPr>
          </w:p>
        </w:tc>
      </w:tr>
      <w:tr w14:paraId="7F597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694" w:type="dxa"/>
            <w:vMerge w:val="continue"/>
            <w:tcBorders>
              <w:top w:val="nil"/>
              <w:bottom w:val="nil"/>
            </w:tcBorders>
            <w:vAlign w:val="top"/>
          </w:tcPr>
          <w:p w14:paraId="402BAA35">
            <w:pPr>
              <w:rPr>
                <w:rFonts w:ascii="Arial"/>
                <w:sz w:val="21"/>
              </w:rPr>
            </w:pPr>
          </w:p>
        </w:tc>
        <w:tc>
          <w:tcPr>
            <w:tcW w:w="140" w:type="dxa"/>
            <w:vMerge w:val="continue"/>
            <w:tcBorders>
              <w:top w:val="nil"/>
              <w:bottom w:val="nil"/>
            </w:tcBorders>
            <w:vAlign w:val="top"/>
          </w:tcPr>
          <w:p w14:paraId="4F191EF6">
            <w:pPr>
              <w:rPr>
                <w:rFonts w:ascii="Arial"/>
                <w:sz w:val="21"/>
              </w:rPr>
            </w:pPr>
          </w:p>
        </w:tc>
        <w:tc>
          <w:tcPr>
            <w:tcW w:w="589" w:type="dxa"/>
            <w:vMerge w:val="continue"/>
            <w:tcBorders>
              <w:top w:val="nil"/>
              <w:bottom w:val="nil"/>
            </w:tcBorders>
            <w:vAlign w:val="top"/>
          </w:tcPr>
          <w:p w14:paraId="50293F25">
            <w:pPr>
              <w:rPr>
                <w:rFonts w:ascii="Arial"/>
                <w:sz w:val="21"/>
              </w:rPr>
            </w:pPr>
          </w:p>
        </w:tc>
        <w:tc>
          <w:tcPr>
            <w:tcW w:w="839" w:type="dxa"/>
            <w:vAlign w:val="top"/>
          </w:tcPr>
          <w:p w14:paraId="5BAB5306">
            <w:pPr>
              <w:pStyle w:val="6"/>
              <w:spacing w:before="21" w:line="225" w:lineRule="auto"/>
              <w:ind w:left="12" w:firstLine="38"/>
              <w:jc w:val="both"/>
              <w:rPr>
                <w:sz w:val="18"/>
                <w:szCs w:val="18"/>
              </w:rPr>
            </w:pPr>
            <w:r>
              <w:rPr>
                <w:spacing w:val="-8"/>
                <w:sz w:val="18"/>
                <w:szCs w:val="18"/>
              </w:rPr>
              <w:t>橡子坡散</w:t>
            </w:r>
            <w:r>
              <w:rPr>
                <w:spacing w:val="1"/>
                <w:sz w:val="18"/>
                <w:szCs w:val="18"/>
              </w:rPr>
              <w:t xml:space="preserve">  </w:t>
            </w:r>
            <w:r>
              <w:rPr>
                <w:spacing w:val="-24"/>
                <w:w w:val="99"/>
                <w:sz w:val="18"/>
                <w:szCs w:val="18"/>
              </w:rPr>
              <w:t>户</w:t>
            </w:r>
            <w:r>
              <w:rPr>
                <w:spacing w:val="21"/>
                <w:sz w:val="18"/>
                <w:szCs w:val="18"/>
              </w:rPr>
              <w:t xml:space="preserve"> </w:t>
            </w:r>
            <w:r>
              <w:rPr>
                <w:spacing w:val="-24"/>
                <w:w w:val="99"/>
                <w:sz w:val="18"/>
                <w:szCs w:val="18"/>
              </w:rPr>
              <w:t>2</w:t>
            </w:r>
            <w:r>
              <w:rPr>
                <w:spacing w:val="48"/>
                <w:sz w:val="18"/>
                <w:szCs w:val="18"/>
              </w:rPr>
              <w:t xml:space="preserve"> </w:t>
            </w:r>
            <w:r>
              <w:rPr>
                <w:spacing w:val="-24"/>
                <w:w w:val="99"/>
                <w:sz w:val="18"/>
                <w:szCs w:val="18"/>
              </w:rPr>
              <w:t>(</w:t>
            </w:r>
            <w:r>
              <w:rPr>
                <w:spacing w:val="38"/>
                <w:sz w:val="18"/>
                <w:szCs w:val="18"/>
              </w:rPr>
              <w:t xml:space="preserve"> </w:t>
            </w:r>
            <w:r>
              <w:rPr>
                <w:spacing w:val="-24"/>
                <w:w w:val="99"/>
                <w:sz w:val="18"/>
                <w:szCs w:val="18"/>
              </w:rPr>
              <w:t>田</w:t>
            </w:r>
            <w:r>
              <w:rPr>
                <w:sz w:val="18"/>
                <w:szCs w:val="18"/>
              </w:rPr>
              <w:t xml:space="preserve"> </w:t>
            </w:r>
            <w:r>
              <w:rPr>
                <w:spacing w:val="5"/>
                <w:sz w:val="18"/>
                <w:szCs w:val="18"/>
              </w:rPr>
              <w:t>间农户看</w:t>
            </w:r>
            <w:r>
              <w:rPr>
                <w:spacing w:val="1"/>
                <w:sz w:val="18"/>
                <w:szCs w:val="18"/>
              </w:rPr>
              <w:t xml:space="preserve">  </w:t>
            </w:r>
            <w:r>
              <w:rPr>
                <w:spacing w:val="-7"/>
                <w:sz w:val="18"/>
                <w:szCs w:val="18"/>
              </w:rPr>
              <w:t>地</w:t>
            </w:r>
            <w:r>
              <w:rPr>
                <w:spacing w:val="-37"/>
                <w:sz w:val="18"/>
                <w:szCs w:val="18"/>
              </w:rPr>
              <w:t xml:space="preserve"> </w:t>
            </w:r>
            <w:r>
              <w:rPr>
                <w:spacing w:val="-7"/>
                <w:sz w:val="18"/>
                <w:szCs w:val="18"/>
              </w:rPr>
              <w:t>)</w:t>
            </w:r>
          </w:p>
        </w:tc>
        <w:tc>
          <w:tcPr>
            <w:tcW w:w="1668" w:type="dxa"/>
            <w:vAlign w:val="top"/>
          </w:tcPr>
          <w:p w14:paraId="1C0EB60B">
            <w:pPr>
              <w:spacing w:line="248" w:lineRule="auto"/>
              <w:rPr>
                <w:rFonts w:ascii="Arial"/>
                <w:sz w:val="21"/>
              </w:rPr>
            </w:pPr>
          </w:p>
          <w:p w14:paraId="2759649E">
            <w:pPr>
              <w:pStyle w:val="6"/>
              <w:spacing w:before="59" w:line="227" w:lineRule="auto"/>
              <w:ind w:left="13"/>
              <w:rPr>
                <w:sz w:val="18"/>
                <w:szCs w:val="18"/>
              </w:rPr>
            </w:pPr>
            <w:r>
              <w:rPr>
                <w:spacing w:val="-4"/>
                <w:sz w:val="18"/>
                <w:szCs w:val="18"/>
              </w:rPr>
              <w:t>E103°33'42.40464”</w:t>
            </w:r>
            <w:r>
              <w:rPr>
                <w:spacing w:val="1"/>
                <w:sz w:val="18"/>
                <w:szCs w:val="18"/>
              </w:rPr>
              <w:t xml:space="preserve"> </w:t>
            </w:r>
            <w:r>
              <w:rPr>
                <w:spacing w:val="-3"/>
                <w:sz w:val="18"/>
                <w:szCs w:val="18"/>
              </w:rPr>
              <w:t>N24°52'14.70706”</w:t>
            </w:r>
          </w:p>
        </w:tc>
        <w:tc>
          <w:tcPr>
            <w:tcW w:w="1339" w:type="dxa"/>
            <w:vAlign w:val="top"/>
          </w:tcPr>
          <w:p w14:paraId="360D61E3">
            <w:pPr>
              <w:spacing w:line="310" w:lineRule="auto"/>
              <w:rPr>
                <w:rFonts w:ascii="Arial"/>
                <w:sz w:val="21"/>
              </w:rPr>
            </w:pPr>
          </w:p>
          <w:p w14:paraId="63132FC7">
            <w:pPr>
              <w:pStyle w:val="6"/>
              <w:spacing w:before="59" w:line="220" w:lineRule="auto"/>
              <w:ind w:left="305"/>
              <w:rPr>
                <w:sz w:val="18"/>
                <w:szCs w:val="18"/>
              </w:rPr>
            </w:pPr>
            <w:r>
              <w:rPr>
                <w:spacing w:val="-2"/>
                <w:sz w:val="18"/>
                <w:szCs w:val="18"/>
              </w:rPr>
              <w:t>3户，3人</w:t>
            </w:r>
          </w:p>
        </w:tc>
        <w:tc>
          <w:tcPr>
            <w:tcW w:w="1858" w:type="dxa"/>
            <w:vAlign w:val="top"/>
          </w:tcPr>
          <w:p w14:paraId="317CD1BC">
            <w:pPr>
              <w:spacing w:line="308" w:lineRule="auto"/>
              <w:rPr>
                <w:rFonts w:ascii="Arial"/>
                <w:sz w:val="21"/>
              </w:rPr>
            </w:pPr>
          </w:p>
          <w:p w14:paraId="624A5CE5">
            <w:pPr>
              <w:pStyle w:val="6"/>
              <w:spacing w:before="59" w:line="219" w:lineRule="auto"/>
              <w:ind w:left="246"/>
              <w:rPr>
                <w:sz w:val="18"/>
                <w:szCs w:val="18"/>
              </w:rPr>
            </w:pPr>
            <w:r>
              <w:rPr>
                <w:spacing w:val="1"/>
                <w:sz w:val="18"/>
                <w:szCs w:val="18"/>
              </w:rPr>
              <w:t>24#光伏阵列北侧</w:t>
            </w:r>
          </w:p>
        </w:tc>
        <w:tc>
          <w:tcPr>
            <w:tcW w:w="749" w:type="dxa"/>
            <w:vAlign w:val="top"/>
          </w:tcPr>
          <w:p w14:paraId="2B39E7F4">
            <w:pPr>
              <w:spacing w:line="327" w:lineRule="auto"/>
              <w:rPr>
                <w:rFonts w:ascii="Arial"/>
                <w:sz w:val="21"/>
              </w:rPr>
            </w:pPr>
          </w:p>
          <w:p w14:paraId="316D1252">
            <w:pPr>
              <w:pStyle w:val="6"/>
              <w:spacing w:before="59" w:line="241" w:lineRule="auto"/>
              <w:ind w:left="238"/>
              <w:rPr>
                <w:sz w:val="18"/>
                <w:szCs w:val="18"/>
              </w:rPr>
            </w:pPr>
            <w:r>
              <w:rPr>
                <w:spacing w:val="-3"/>
                <w:sz w:val="18"/>
                <w:szCs w:val="18"/>
              </w:rPr>
              <w:t>22m</w:t>
            </w:r>
          </w:p>
        </w:tc>
        <w:tc>
          <w:tcPr>
            <w:tcW w:w="590" w:type="dxa"/>
            <w:vMerge w:val="continue"/>
            <w:tcBorders>
              <w:top w:val="nil"/>
              <w:bottom w:val="nil"/>
            </w:tcBorders>
            <w:vAlign w:val="top"/>
          </w:tcPr>
          <w:p w14:paraId="2D3F319A">
            <w:pPr>
              <w:rPr>
                <w:rFonts w:ascii="Arial"/>
                <w:sz w:val="21"/>
              </w:rPr>
            </w:pPr>
          </w:p>
        </w:tc>
        <w:tc>
          <w:tcPr>
            <w:tcW w:w="804" w:type="dxa"/>
            <w:vMerge w:val="continue"/>
            <w:tcBorders>
              <w:top w:val="nil"/>
              <w:bottom w:val="nil"/>
            </w:tcBorders>
            <w:vAlign w:val="top"/>
          </w:tcPr>
          <w:p w14:paraId="412EEBFD">
            <w:pPr>
              <w:rPr>
                <w:rFonts w:ascii="Arial"/>
                <w:sz w:val="21"/>
              </w:rPr>
            </w:pPr>
          </w:p>
        </w:tc>
      </w:tr>
      <w:tr w14:paraId="5E2BD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694" w:type="dxa"/>
            <w:vMerge w:val="continue"/>
            <w:tcBorders>
              <w:top w:val="nil"/>
              <w:bottom w:val="nil"/>
            </w:tcBorders>
            <w:vAlign w:val="top"/>
          </w:tcPr>
          <w:p w14:paraId="40FAA761">
            <w:pPr>
              <w:rPr>
                <w:rFonts w:ascii="Arial"/>
                <w:sz w:val="21"/>
              </w:rPr>
            </w:pPr>
          </w:p>
        </w:tc>
        <w:tc>
          <w:tcPr>
            <w:tcW w:w="140" w:type="dxa"/>
            <w:vMerge w:val="continue"/>
            <w:tcBorders>
              <w:top w:val="nil"/>
              <w:bottom w:val="nil"/>
            </w:tcBorders>
            <w:vAlign w:val="top"/>
          </w:tcPr>
          <w:p w14:paraId="0643CE05">
            <w:pPr>
              <w:rPr>
                <w:rFonts w:ascii="Arial"/>
                <w:sz w:val="21"/>
              </w:rPr>
            </w:pPr>
          </w:p>
        </w:tc>
        <w:tc>
          <w:tcPr>
            <w:tcW w:w="589" w:type="dxa"/>
            <w:vMerge w:val="continue"/>
            <w:tcBorders>
              <w:top w:val="nil"/>
              <w:bottom w:val="nil"/>
            </w:tcBorders>
            <w:vAlign w:val="top"/>
          </w:tcPr>
          <w:p w14:paraId="6DEAA3A5">
            <w:pPr>
              <w:rPr>
                <w:rFonts w:ascii="Arial"/>
                <w:sz w:val="21"/>
              </w:rPr>
            </w:pPr>
          </w:p>
        </w:tc>
        <w:tc>
          <w:tcPr>
            <w:tcW w:w="839" w:type="dxa"/>
            <w:vAlign w:val="top"/>
          </w:tcPr>
          <w:p w14:paraId="682134F2">
            <w:pPr>
              <w:pStyle w:val="6"/>
              <w:spacing w:before="54" w:line="232" w:lineRule="auto"/>
              <w:ind w:left="12" w:right="32" w:firstLine="30"/>
              <w:jc w:val="both"/>
              <w:rPr>
                <w:sz w:val="18"/>
                <w:szCs w:val="18"/>
              </w:rPr>
            </w:pPr>
            <w:r>
              <w:rPr>
                <w:spacing w:val="-10"/>
                <w:sz w:val="18"/>
                <w:szCs w:val="18"/>
              </w:rPr>
              <w:t>小</w:t>
            </w:r>
            <w:r>
              <w:rPr>
                <w:spacing w:val="29"/>
                <w:sz w:val="18"/>
                <w:szCs w:val="18"/>
              </w:rPr>
              <w:t xml:space="preserve"> </w:t>
            </w:r>
            <w:r>
              <w:rPr>
                <w:spacing w:val="-10"/>
                <w:sz w:val="18"/>
                <w:szCs w:val="18"/>
              </w:rPr>
              <w:t>芭</w:t>
            </w:r>
            <w:r>
              <w:rPr>
                <w:spacing w:val="30"/>
                <w:sz w:val="18"/>
                <w:szCs w:val="18"/>
              </w:rPr>
              <w:t xml:space="preserve"> </w:t>
            </w:r>
            <w:r>
              <w:rPr>
                <w:spacing w:val="-10"/>
                <w:sz w:val="18"/>
                <w:szCs w:val="18"/>
              </w:rPr>
              <w:t>蕉</w:t>
            </w:r>
            <w:r>
              <w:rPr>
                <w:sz w:val="18"/>
                <w:szCs w:val="18"/>
              </w:rPr>
              <w:t xml:space="preserve"> </w:t>
            </w:r>
            <w:r>
              <w:rPr>
                <w:spacing w:val="23"/>
                <w:sz w:val="18"/>
                <w:szCs w:val="18"/>
              </w:rPr>
              <w:t>(包括小</w:t>
            </w:r>
            <w:r>
              <w:rPr>
                <w:spacing w:val="1"/>
                <w:sz w:val="18"/>
                <w:szCs w:val="18"/>
              </w:rPr>
              <w:t xml:space="preserve"> </w:t>
            </w:r>
            <w:r>
              <w:rPr>
                <w:sz w:val="18"/>
                <w:szCs w:val="18"/>
              </w:rPr>
              <w:t>芭</w:t>
            </w:r>
            <w:r>
              <w:rPr>
                <w:spacing w:val="30"/>
                <w:sz w:val="18"/>
                <w:szCs w:val="18"/>
              </w:rPr>
              <w:t xml:space="preserve"> </w:t>
            </w:r>
            <w:r>
              <w:rPr>
                <w:sz w:val="18"/>
                <w:szCs w:val="18"/>
              </w:rPr>
              <w:t>蕉</w:t>
            </w:r>
            <w:r>
              <w:rPr>
                <w:spacing w:val="33"/>
                <w:sz w:val="18"/>
                <w:szCs w:val="18"/>
              </w:rPr>
              <w:t xml:space="preserve"> </w:t>
            </w:r>
            <w:r>
              <w:rPr>
                <w:sz w:val="18"/>
                <w:szCs w:val="18"/>
              </w:rPr>
              <w:t xml:space="preserve">小 </w:t>
            </w:r>
            <w:r>
              <w:rPr>
                <w:spacing w:val="-6"/>
                <w:sz w:val="18"/>
                <w:szCs w:val="18"/>
              </w:rPr>
              <w:t>学</w:t>
            </w:r>
            <w:r>
              <w:rPr>
                <w:spacing w:val="-32"/>
                <w:sz w:val="18"/>
                <w:szCs w:val="18"/>
              </w:rPr>
              <w:t xml:space="preserve"> </w:t>
            </w:r>
            <w:r>
              <w:rPr>
                <w:spacing w:val="-6"/>
                <w:sz w:val="18"/>
                <w:szCs w:val="18"/>
              </w:rPr>
              <w:t>)</w:t>
            </w:r>
          </w:p>
        </w:tc>
        <w:tc>
          <w:tcPr>
            <w:tcW w:w="1668" w:type="dxa"/>
            <w:vAlign w:val="top"/>
          </w:tcPr>
          <w:p w14:paraId="3ABF8807">
            <w:pPr>
              <w:spacing w:line="279" w:lineRule="auto"/>
              <w:rPr>
                <w:rFonts w:ascii="Arial"/>
                <w:sz w:val="21"/>
              </w:rPr>
            </w:pPr>
          </w:p>
          <w:p w14:paraId="32070B27">
            <w:pPr>
              <w:pStyle w:val="6"/>
              <w:spacing w:before="59" w:line="227" w:lineRule="auto"/>
              <w:ind w:left="61" w:hanging="48"/>
              <w:rPr>
                <w:sz w:val="18"/>
                <w:szCs w:val="18"/>
              </w:rPr>
            </w:pPr>
            <w:r>
              <w:rPr>
                <w:spacing w:val="1"/>
                <w:sz w:val="18"/>
                <w:szCs w:val="18"/>
              </w:rPr>
              <w:t>E103°34'0.59645”</w:t>
            </w:r>
            <w:r>
              <w:rPr>
                <w:spacing w:val="7"/>
                <w:sz w:val="18"/>
                <w:szCs w:val="18"/>
              </w:rPr>
              <w:t xml:space="preserve"> </w:t>
            </w:r>
            <w:r>
              <w:rPr>
                <w:spacing w:val="2"/>
                <w:sz w:val="18"/>
                <w:szCs w:val="18"/>
              </w:rPr>
              <w:t>N24°52'1.80670”</w:t>
            </w:r>
          </w:p>
        </w:tc>
        <w:tc>
          <w:tcPr>
            <w:tcW w:w="1339" w:type="dxa"/>
            <w:vAlign w:val="top"/>
          </w:tcPr>
          <w:p w14:paraId="64BE2EB3">
            <w:pPr>
              <w:spacing w:line="341" w:lineRule="auto"/>
              <w:rPr>
                <w:rFonts w:ascii="Arial"/>
                <w:sz w:val="21"/>
              </w:rPr>
            </w:pPr>
          </w:p>
          <w:p w14:paraId="69D2972A">
            <w:pPr>
              <w:pStyle w:val="6"/>
              <w:spacing w:before="58" w:line="220" w:lineRule="auto"/>
              <w:ind w:left="124"/>
              <w:rPr>
                <w:sz w:val="18"/>
                <w:szCs w:val="18"/>
              </w:rPr>
            </w:pPr>
            <w:r>
              <w:rPr>
                <w:sz w:val="18"/>
                <w:szCs w:val="18"/>
              </w:rPr>
              <w:t>163户，565人</w:t>
            </w:r>
          </w:p>
        </w:tc>
        <w:tc>
          <w:tcPr>
            <w:tcW w:w="1858" w:type="dxa"/>
            <w:vAlign w:val="top"/>
          </w:tcPr>
          <w:p w14:paraId="4CFB205E">
            <w:pPr>
              <w:spacing w:line="339" w:lineRule="auto"/>
              <w:rPr>
                <w:rFonts w:ascii="Arial"/>
                <w:sz w:val="21"/>
              </w:rPr>
            </w:pPr>
          </w:p>
          <w:p w14:paraId="6E85332D">
            <w:pPr>
              <w:pStyle w:val="6"/>
              <w:spacing w:before="59" w:line="219" w:lineRule="auto"/>
              <w:ind w:left="246"/>
              <w:rPr>
                <w:sz w:val="18"/>
                <w:szCs w:val="18"/>
              </w:rPr>
            </w:pPr>
            <w:r>
              <w:rPr>
                <w:spacing w:val="1"/>
                <w:sz w:val="18"/>
                <w:szCs w:val="18"/>
              </w:rPr>
              <w:t>24#光伏阵列东侧</w:t>
            </w:r>
          </w:p>
        </w:tc>
        <w:tc>
          <w:tcPr>
            <w:tcW w:w="749" w:type="dxa"/>
            <w:vAlign w:val="top"/>
          </w:tcPr>
          <w:p w14:paraId="2E3FC3D0">
            <w:pPr>
              <w:spacing w:line="358" w:lineRule="auto"/>
              <w:rPr>
                <w:rFonts w:ascii="Arial"/>
                <w:sz w:val="21"/>
              </w:rPr>
            </w:pPr>
          </w:p>
          <w:p w14:paraId="2485B62C">
            <w:pPr>
              <w:pStyle w:val="6"/>
              <w:spacing w:before="58"/>
              <w:ind w:left="188"/>
              <w:rPr>
                <w:sz w:val="18"/>
                <w:szCs w:val="18"/>
              </w:rPr>
            </w:pPr>
            <w:r>
              <w:rPr>
                <w:spacing w:val="-2"/>
                <w:sz w:val="18"/>
                <w:szCs w:val="18"/>
              </w:rPr>
              <w:t>398m</w:t>
            </w:r>
          </w:p>
        </w:tc>
        <w:tc>
          <w:tcPr>
            <w:tcW w:w="590" w:type="dxa"/>
            <w:vMerge w:val="continue"/>
            <w:tcBorders>
              <w:top w:val="nil"/>
              <w:bottom w:val="nil"/>
            </w:tcBorders>
            <w:vAlign w:val="top"/>
          </w:tcPr>
          <w:p w14:paraId="6FDDDCEC">
            <w:pPr>
              <w:rPr>
                <w:rFonts w:ascii="Arial"/>
                <w:sz w:val="21"/>
              </w:rPr>
            </w:pPr>
          </w:p>
        </w:tc>
        <w:tc>
          <w:tcPr>
            <w:tcW w:w="804" w:type="dxa"/>
            <w:vMerge w:val="continue"/>
            <w:tcBorders>
              <w:top w:val="nil"/>
              <w:bottom w:val="nil"/>
            </w:tcBorders>
            <w:vAlign w:val="top"/>
          </w:tcPr>
          <w:p w14:paraId="336CD38A">
            <w:pPr>
              <w:rPr>
                <w:rFonts w:ascii="Arial"/>
                <w:sz w:val="21"/>
              </w:rPr>
            </w:pPr>
          </w:p>
        </w:tc>
      </w:tr>
      <w:tr w14:paraId="1FC6B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694" w:type="dxa"/>
            <w:vMerge w:val="continue"/>
            <w:tcBorders>
              <w:top w:val="nil"/>
              <w:bottom w:val="nil"/>
            </w:tcBorders>
            <w:vAlign w:val="top"/>
          </w:tcPr>
          <w:p w14:paraId="77B84F5C">
            <w:pPr>
              <w:rPr>
                <w:rFonts w:ascii="Arial"/>
                <w:sz w:val="21"/>
              </w:rPr>
            </w:pPr>
          </w:p>
        </w:tc>
        <w:tc>
          <w:tcPr>
            <w:tcW w:w="140" w:type="dxa"/>
            <w:vMerge w:val="continue"/>
            <w:tcBorders>
              <w:top w:val="nil"/>
              <w:bottom w:val="nil"/>
            </w:tcBorders>
            <w:vAlign w:val="top"/>
          </w:tcPr>
          <w:p w14:paraId="4DC3BA76">
            <w:pPr>
              <w:rPr>
                <w:rFonts w:ascii="Arial"/>
                <w:sz w:val="21"/>
              </w:rPr>
            </w:pPr>
          </w:p>
        </w:tc>
        <w:tc>
          <w:tcPr>
            <w:tcW w:w="589" w:type="dxa"/>
            <w:vMerge w:val="continue"/>
            <w:tcBorders>
              <w:top w:val="nil"/>
            </w:tcBorders>
            <w:vAlign w:val="top"/>
          </w:tcPr>
          <w:p w14:paraId="62641D4B">
            <w:pPr>
              <w:rPr>
                <w:rFonts w:ascii="Arial"/>
                <w:sz w:val="21"/>
              </w:rPr>
            </w:pPr>
          </w:p>
        </w:tc>
        <w:tc>
          <w:tcPr>
            <w:tcW w:w="839" w:type="dxa"/>
            <w:vAlign w:val="top"/>
          </w:tcPr>
          <w:p w14:paraId="7B0139C0">
            <w:pPr>
              <w:pStyle w:val="6"/>
              <w:spacing w:before="21" w:line="214" w:lineRule="auto"/>
              <w:ind w:left="22" w:right="49" w:firstLine="30"/>
              <w:rPr>
                <w:sz w:val="18"/>
                <w:szCs w:val="18"/>
              </w:rPr>
            </w:pPr>
            <w:r>
              <w:rPr>
                <w:spacing w:val="1"/>
                <w:sz w:val="18"/>
                <w:szCs w:val="18"/>
              </w:rPr>
              <w:t xml:space="preserve">白土坡散 </w:t>
            </w:r>
            <w:r>
              <w:rPr>
                <w:sz w:val="18"/>
                <w:szCs w:val="18"/>
              </w:rPr>
              <w:t>户</w:t>
            </w:r>
          </w:p>
        </w:tc>
        <w:tc>
          <w:tcPr>
            <w:tcW w:w="1668" w:type="dxa"/>
            <w:vAlign w:val="top"/>
          </w:tcPr>
          <w:p w14:paraId="4D25F3CA">
            <w:pPr>
              <w:pStyle w:val="6"/>
              <w:spacing w:before="80" w:line="184" w:lineRule="auto"/>
              <w:ind w:left="95" w:hanging="82"/>
              <w:rPr>
                <w:sz w:val="18"/>
                <w:szCs w:val="18"/>
              </w:rPr>
            </w:pPr>
            <w:r>
              <w:rPr>
                <w:spacing w:val="-4"/>
                <w:sz w:val="18"/>
                <w:szCs w:val="18"/>
              </w:rPr>
              <w:t>E103°28'38.19283”</w:t>
            </w:r>
            <w:r>
              <w:rPr>
                <w:spacing w:val="1"/>
                <w:sz w:val="18"/>
                <w:szCs w:val="18"/>
              </w:rPr>
              <w:t xml:space="preserve"> </w:t>
            </w:r>
            <w:r>
              <w:rPr>
                <w:spacing w:val="-8"/>
                <w:sz w:val="18"/>
                <w:szCs w:val="18"/>
              </w:rPr>
              <w:t>N24°55'4.01372"</w:t>
            </w:r>
          </w:p>
        </w:tc>
        <w:tc>
          <w:tcPr>
            <w:tcW w:w="1339" w:type="dxa"/>
            <w:vAlign w:val="top"/>
          </w:tcPr>
          <w:p w14:paraId="4B48B0D9">
            <w:pPr>
              <w:pStyle w:val="6"/>
              <w:spacing w:before="142" w:line="220" w:lineRule="auto"/>
              <w:ind w:left="315"/>
              <w:rPr>
                <w:sz w:val="18"/>
                <w:szCs w:val="18"/>
              </w:rPr>
            </w:pPr>
            <w:r>
              <w:rPr>
                <w:spacing w:val="-12"/>
                <w:sz w:val="18"/>
                <w:szCs w:val="18"/>
              </w:rPr>
              <w:t>1</w:t>
            </w:r>
            <w:r>
              <w:rPr>
                <w:spacing w:val="-16"/>
                <w:sz w:val="18"/>
                <w:szCs w:val="18"/>
              </w:rPr>
              <w:t xml:space="preserve"> </w:t>
            </w:r>
            <w:r>
              <w:rPr>
                <w:spacing w:val="-12"/>
                <w:sz w:val="18"/>
                <w:szCs w:val="18"/>
              </w:rPr>
              <w:t>户 1</w:t>
            </w:r>
            <w:r>
              <w:rPr>
                <w:spacing w:val="-19"/>
                <w:sz w:val="18"/>
                <w:szCs w:val="18"/>
              </w:rPr>
              <w:t xml:space="preserve"> </w:t>
            </w:r>
            <w:r>
              <w:rPr>
                <w:spacing w:val="-12"/>
                <w:sz w:val="18"/>
                <w:szCs w:val="18"/>
              </w:rPr>
              <w:t>人</w:t>
            </w:r>
          </w:p>
        </w:tc>
        <w:tc>
          <w:tcPr>
            <w:tcW w:w="1858" w:type="dxa"/>
            <w:vAlign w:val="top"/>
          </w:tcPr>
          <w:p w14:paraId="67A739C8">
            <w:pPr>
              <w:pStyle w:val="6"/>
              <w:spacing w:before="141" w:line="219" w:lineRule="auto"/>
              <w:ind w:left="296"/>
              <w:rPr>
                <w:sz w:val="18"/>
                <w:szCs w:val="18"/>
              </w:rPr>
            </w:pPr>
            <w:r>
              <w:rPr>
                <w:spacing w:val="1"/>
                <w:sz w:val="18"/>
                <w:szCs w:val="18"/>
              </w:rPr>
              <w:t>7#光伏阵列西侧</w:t>
            </w:r>
          </w:p>
        </w:tc>
        <w:tc>
          <w:tcPr>
            <w:tcW w:w="749" w:type="dxa"/>
            <w:vAlign w:val="top"/>
          </w:tcPr>
          <w:p w14:paraId="41BDEF50">
            <w:pPr>
              <w:pStyle w:val="6"/>
              <w:spacing w:before="159"/>
              <w:ind w:left="188"/>
              <w:rPr>
                <w:sz w:val="18"/>
                <w:szCs w:val="18"/>
              </w:rPr>
            </w:pPr>
            <w:r>
              <w:rPr>
                <w:spacing w:val="-2"/>
                <w:sz w:val="18"/>
                <w:szCs w:val="18"/>
              </w:rPr>
              <w:t>410m</w:t>
            </w:r>
          </w:p>
        </w:tc>
        <w:tc>
          <w:tcPr>
            <w:tcW w:w="590" w:type="dxa"/>
            <w:vMerge w:val="continue"/>
            <w:tcBorders>
              <w:top w:val="nil"/>
            </w:tcBorders>
            <w:vAlign w:val="top"/>
          </w:tcPr>
          <w:p w14:paraId="1CFAB6A6">
            <w:pPr>
              <w:rPr>
                <w:rFonts w:ascii="Arial"/>
                <w:sz w:val="21"/>
              </w:rPr>
            </w:pPr>
          </w:p>
        </w:tc>
        <w:tc>
          <w:tcPr>
            <w:tcW w:w="804" w:type="dxa"/>
            <w:vMerge w:val="continue"/>
            <w:tcBorders>
              <w:top w:val="nil"/>
            </w:tcBorders>
            <w:vAlign w:val="top"/>
          </w:tcPr>
          <w:p w14:paraId="25C1FD60">
            <w:pPr>
              <w:rPr>
                <w:rFonts w:ascii="Arial"/>
                <w:sz w:val="21"/>
              </w:rPr>
            </w:pPr>
          </w:p>
        </w:tc>
      </w:tr>
      <w:tr w14:paraId="27977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694" w:type="dxa"/>
            <w:vMerge w:val="continue"/>
            <w:tcBorders>
              <w:top w:val="nil"/>
              <w:bottom w:val="nil"/>
            </w:tcBorders>
            <w:vAlign w:val="top"/>
          </w:tcPr>
          <w:p w14:paraId="74A0DD28">
            <w:pPr>
              <w:rPr>
                <w:rFonts w:ascii="Arial"/>
                <w:sz w:val="21"/>
              </w:rPr>
            </w:pPr>
          </w:p>
        </w:tc>
        <w:tc>
          <w:tcPr>
            <w:tcW w:w="140" w:type="dxa"/>
            <w:vMerge w:val="continue"/>
            <w:tcBorders>
              <w:top w:val="nil"/>
              <w:bottom w:val="nil"/>
            </w:tcBorders>
            <w:vAlign w:val="top"/>
          </w:tcPr>
          <w:p w14:paraId="18CD0E94">
            <w:pPr>
              <w:rPr>
                <w:rFonts w:ascii="Arial"/>
                <w:sz w:val="21"/>
              </w:rPr>
            </w:pPr>
          </w:p>
        </w:tc>
        <w:tc>
          <w:tcPr>
            <w:tcW w:w="589" w:type="dxa"/>
            <w:vMerge w:val="restart"/>
            <w:tcBorders>
              <w:bottom w:val="nil"/>
            </w:tcBorders>
            <w:vAlign w:val="top"/>
          </w:tcPr>
          <w:p w14:paraId="1C65C056">
            <w:pPr>
              <w:spacing w:line="277" w:lineRule="auto"/>
              <w:rPr>
                <w:rFonts w:ascii="Arial"/>
                <w:sz w:val="21"/>
              </w:rPr>
            </w:pPr>
          </w:p>
          <w:p w14:paraId="6681C2B9">
            <w:pPr>
              <w:spacing w:line="277" w:lineRule="auto"/>
              <w:rPr>
                <w:rFonts w:ascii="Arial"/>
                <w:sz w:val="21"/>
              </w:rPr>
            </w:pPr>
          </w:p>
          <w:p w14:paraId="6C8E6851">
            <w:pPr>
              <w:spacing w:line="278" w:lineRule="auto"/>
              <w:rPr>
                <w:rFonts w:ascii="Arial"/>
                <w:sz w:val="21"/>
              </w:rPr>
            </w:pPr>
          </w:p>
          <w:p w14:paraId="030801DB">
            <w:pPr>
              <w:spacing w:line="278" w:lineRule="auto"/>
              <w:rPr>
                <w:rFonts w:ascii="Arial"/>
                <w:sz w:val="21"/>
              </w:rPr>
            </w:pPr>
          </w:p>
          <w:p w14:paraId="012C0B2C">
            <w:pPr>
              <w:spacing w:line="278" w:lineRule="auto"/>
              <w:rPr>
                <w:rFonts w:ascii="Arial"/>
                <w:sz w:val="21"/>
              </w:rPr>
            </w:pPr>
          </w:p>
          <w:p w14:paraId="16DE9D4F">
            <w:pPr>
              <w:pStyle w:val="6"/>
              <w:spacing w:before="58" w:line="226" w:lineRule="auto"/>
              <w:ind w:left="191" w:right="124" w:hanging="90"/>
              <w:rPr>
                <w:sz w:val="18"/>
                <w:szCs w:val="18"/>
              </w:rPr>
            </w:pPr>
            <w:r>
              <w:rPr>
                <w:spacing w:val="-4"/>
                <w:sz w:val="18"/>
                <w:szCs w:val="18"/>
              </w:rPr>
              <w:t>地表</w:t>
            </w:r>
            <w:r>
              <w:rPr>
                <w:sz w:val="18"/>
                <w:szCs w:val="18"/>
              </w:rPr>
              <w:t xml:space="preserve"> 水</w:t>
            </w:r>
          </w:p>
        </w:tc>
        <w:tc>
          <w:tcPr>
            <w:tcW w:w="839" w:type="dxa"/>
            <w:vAlign w:val="top"/>
          </w:tcPr>
          <w:p w14:paraId="3557EFFF">
            <w:pPr>
              <w:pStyle w:val="6"/>
              <w:spacing w:before="35" w:line="221" w:lineRule="auto"/>
              <w:ind w:left="52"/>
              <w:rPr>
                <w:sz w:val="18"/>
                <w:szCs w:val="18"/>
              </w:rPr>
            </w:pPr>
            <w:r>
              <w:rPr>
                <w:spacing w:val="-2"/>
                <w:sz w:val="18"/>
                <w:szCs w:val="18"/>
              </w:rPr>
              <w:t>南盘江陆</w:t>
            </w:r>
          </w:p>
          <w:p w14:paraId="4E45B3C4">
            <w:pPr>
              <w:pStyle w:val="6"/>
              <w:spacing w:before="23" w:line="189" w:lineRule="auto"/>
              <w:ind w:left="232"/>
              <w:rPr>
                <w:sz w:val="18"/>
                <w:szCs w:val="18"/>
              </w:rPr>
            </w:pPr>
            <w:r>
              <w:rPr>
                <w:spacing w:val="7"/>
                <w:sz w:val="18"/>
                <w:szCs w:val="18"/>
              </w:rPr>
              <w:t>良段</w:t>
            </w:r>
          </w:p>
        </w:tc>
        <w:tc>
          <w:tcPr>
            <w:tcW w:w="3007" w:type="dxa"/>
            <w:gridSpan w:val="2"/>
            <w:vMerge w:val="restart"/>
            <w:tcBorders>
              <w:bottom w:val="nil"/>
            </w:tcBorders>
            <w:vAlign w:val="top"/>
          </w:tcPr>
          <w:p w14:paraId="4202C1C6">
            <w:pPr>
              <w:spacing w:line="287" w:lineRule="auto"/>
              <w:rPr>
                <w:rFonts w:ascii="Arial"/>
                <w:sz w:val="21"/>
              </w:rPr>
            </w:pPr>
          </w:p>
          <w:p w14:paraId="4A607E73">
            <w:pPr>
              <w:spacing w:line="287" w:lineRule="auto"/>
              <w:rPr>
                <w:rFonts w:ascii="Arial"/>
                <w:sz w:val="21"/>
              </w:rPr>
            </w:pPr>
          </w:p>
          <w:p w14:paraId="6B5AD7A4">
            <w:pPr>
              <w:spacing w:line="287" w:lineRule="auto"/>
              <w:rPr>
                <w:rFonts w:ascii="Arial"/>
                <w:sz w:val="21"/>
              </w:rPr>
            </w:pPr>
          </w:p>
          <w:p w14:paraId="0EA70593">
            <w:pPr>
              <w:spacing w:line="287" w:lineRule="auto"/>
              <w:rPr>
                <w:rFonts w:ascii="Arial"/>
                <w:sz w:val="21"/>
              </w:rPr>
            </w:pPr>
          </w:p>
          <w:p w14:paraId="2194DF61">
            <w:pPr>
              <w:pStyle w:val="6"/>
              <w:spacing w:before="58" w:line="220" w:lineRule="auto"/>
              <w:ind w:left="53"/>
              <w:rPr>
                <w:sz w:val="18"/>
                <w:szCs w:val="18"/>
              </w:rPr>
            </w:pPr>
            <w:r>
              <w:rPr>
                <w:sz w:val="18"/>
                <w:szCs w:val="18"/>
              </w:rPr>
              <w:t>区域一级功能区为南盘江沾益一宜良</w:t>
            </w:r>
          </w:p>
          <w:p w14:paraId="6B5C562B">
            <w:pPr>
              <w:pStyle w:val="6"/>
              <w:spacing w:before="25" w:line="220" w:lineRule="auto"/>
              <w:ind w:left="53"/>
              <w:rPr>
                <w:sz w:val="18"/>
                <w:szCs w:val="18"/>
              </w:rPr>
            </w:pPr>
            <w:r>
              <w:rPr>
                <w:spacing w:val="-1"/>
                <w:sz w:val="18"/>
                <w:szCs w:val="18"/>
              </w:rPr>
              <w:t>开发利用区，二级功能区为南盘江柴</w:t>
            </w:r>
          </w:p>
          <w:p w14:paraId="06AD5B88">
            <w:pPr>
              <w:pStyle w:val="6"/>
              <w:spacing w:before="15" w:line="219" w:lineRule="auto"/>
              <w:ind w:left="13"/>
              <w:rPr>
                <w:sz w:val="18"/>
                <w:szCs w:val="18"/>
              </w:rPr>
            </w:pPr>
            <w:r>
              <w:rPr>
                <w:spacing w:val="-1"/>
                <w:sz w:val="18"/>
                <w:szCs w:val="18"/>
              </w:rPr>
              <w:t>石滩水库陆良-宜良农业、工业、渔业</w:t>
            </w:r>
          </w:p>
          <w:p w14:paraId="7FB14AFE">
            <w:pPr>
              <w:pStyle w:val="6"/>
              <w:spacing w:before="16" w:line="219" w:lineRule="auto"/>
              <w:ind w:left="233"/>
              <w:rPr>
                <w:sz w:val="18"/>
                <w:szCs w:val="18"/>
              </w:rPr>
            </w:pPr>
            <w:r>
              <w:rPr>
                <w:spacing w:val="-1"/>
                <w:sz w:val="18"/>
                <w:szCs w:val="18"/>
              </w:rPr>
              <w:t>用水区，水质目标2030年为Ⅲ类</w:t>
            </w:r>
          </w:p>
        </w:tc>
        <w:tc>
          <w:tcPr>
            <w:tcW w:w="1858" w:type="dxa"/>
            <w:vAlign w:val="top"/>
          </w:tcPr>
          <w:p w14:paraId="6CDB25B9">
            <w:pPr>
              <w:pStyle w:val="6"/>
              <w:spacing w:before="154" w:line="221" w:lineRule="auto"/>
              <w:ind w:left="656"/>
              <w:rPr>
                <w:sz w:val="18"/>
                <w:szCs w:val="18"/>
              </w:rPr>
            </w:pPr>
            <w:r>
              <w:rPr>
                <w:spacing w:val="-2"/>
                <w:sz w:val="18"/>
                <w:szCs w:val="18"/>
              </w:rPr>
              <w:t>升压站</w:t>
            </w:r>
          </w:p>
        </w:tc>
        <w:tc>
          <w:tcPr>
            <w:tcW w:w="749" w:type="dxa"/>
            <w:vAlign w:val="top"/>
          </w:tcPr>
          <w:p w14:paraId="57F01C79">
            <w:pPr>
              <w:pStyle w:val="6"/>
              <w:spacing w:before="170"/>
              <w:ind w:left="148"/>
              <w:rPr>
                <w:sz w:val="18"/>
                <w:szCs w:val="18"/>
              </w:rPr>
            </w:pPr>
            <w:r>
              <w:rPr>
                <w:spacing w:val="-4"/>
                <w:sz w:val="18"/>
                <w:szCs w:val="18"/>
              </w:rPr>
              <w:t>1420m</w:t>
            </w:r>
          </w:p>
        </w:tc>
        <w:tc>
          <w:tcPr>
            <w:tcW w:w="590" w:type="dxa"/>
            <w:vMerge w:val="restart"/>
            <w:tcBorders>
              <w:bottom w:val="nil"/>
            </w:tcBorders>
            <w:vAlign w:val="top"/>
          </w:tcPr>
          <w:p w14:paraId="11AC063A">
            <w:pPr>
              <w:spacing w:line="249" w:lineRule="auto"/>
              <w:rPr>
                <w:rFonts w:ascii="Arial"/>
                <w:sz w:val="21"/>
              </w:rPr>
            </w:pPr>
          </w:p>
          <w:p w14:paraId="3EA15B64">
            <w:pPr>
              <w:spacing w:line="249" w:lineRule="auto"/>
              <w:rPr>
                <w:rFonts w:ascii="Arial"/>
                <w:sz w:val="21"/>
              </w:rPr>
            </w:pPr>
          </w:p>
          <w:p w14:paraId="4563991F">
            <w:pPr>
              <w:spacing w:line="249" w:lineRule="auto"/>
              <w:rPr>
                <w:rFonts w:ascii="Arial"/>
                <w:sz w:val="21"/>
              </w:rPr>
            </w:pPr>
          </w:p>
          <w:p w14:paraId="33AD0054">
            <w:pPr>
              <w:spacing w:line="249" w:lineRule="auto"/>
              <w:rPr>
                <w:rFonts w:ascii="Arial"/>
                <w:sz w:val="21"/>
              </w:rPr>
            </w:pPr>
          </w:p>
          <w:p w14:paraId="457405EA">
            <w:pPr>
              <w:spacing w:line="249" w:lineRule="auto"/>
              <w:rPr>
                <w:rFonts w:ascii="Arial"/>
                <w:sz w:val="21"/>
              </w:rPr>
            </w:pPr>
          </w:p>
          <w:p w14:paraId="7581DCED">
            <w:pPr>
              <w:spacing w:line="250" w:lineRule="auto"/>
              <w:rPr>
                <w:rFonts w:ascii="Arial"/>
                <w:sz w:val="21"/>
              </w:rPr>
            </w:pPr>
          </w:p>
          <w:p w14:paraId="3FE07026">
            <w:pPr>
              <w:pStyle w:val="6"/>
              <w:spacing w:before="59" w:line="219" w:lineRule="auto"/>
              <w:ind w:left="109"/>
              <w:rPr>
                <w:sz w:val="18"/>
                <w:szCs w:val="18"/>
              </w:rPr>
            </w:pPr>
            <w:r>
              <w:rPr>
                <w:spacing w:val="-2"/>
                <w:sz w:val="18"/>
                <w:szCs w:val="18"/>
              </w:rPr>
              <w:t>Ⅲ类</w:t>
            </w:r>
          </w:p>
        </w:tc>
        <w:tc>
          <w:tcPr>
            <w:tcW w:w="804" w:type="dxa"/>
            <w:vMerge w:val="restart"/>
            <w:tcBorders>
              <w:bottom w:val="nil"/>
            </w:tcBorders>
            <w:vAlign w:val="top"/>
          </w:tcPr>
          <w:p w14:paraId="66E3DF1A">
            <w:pPr>
              <w:spacing w:line="270" w:lineRule="auto"/>
              <w:rPr>
                <w:rFonts w:ascii="Arial"/>
                <w:sz w:val="21"/>
              </w:rPr>
            </w:pPr>
          </w:p>
          <w:p w14:paraId="3EA79CA1">
            <w:pPr>
              <w:spacing w:line="270" w:lineRule="auto"/>
              <w:rPr>
                <w:rFonts w:ascii="Arial"/>
                <w:sz w:val="21"/>
              </w:rPr>
            </w:pPr>
          </w:p>
          <w:p w14:paraId="0F310DCE">
            <w:pPr>
              <w:spacing w:line="270" w:lineRule="auto"/>
              <w:rPr>
                <w:rFonts w:ascii="Arial"/>
                <w:sz w:val="21"/>
              </w:rPr>
            </w:pPr>
          </w:p>
          <w:p w14:paraId="5DD926BF">
            <w:pPr>
              <w:pStyle w:val="6"/>
              <w:spacing w:before="58" w:line="237" w:lineRule="auto"/>
              <w:ind w:left="129" w:right="121" w:firstLine="19"/>
              <w:rPr>
                <w:sz w:val="18"/>
                <w:szCs w:val="18"/>
              </w:rPr>
            </w:pPr>
            <w:r>
              <w:rPr>
                <w:spacing w:val="-6"/>
                <w:sz w:val="18"/>
                <w:szCs w:val="18"/>
              </w:rPr>
              <w:t>《地表</w:t>
            </w:r>
            <w:r>
              <w:rPr>
                <w:sz w:val="18"/>
                <w:szCs w:val="18"/>
              </w:rPr>
              <w:t xml:space="preserve"> </w:t>
            </w:r>
            <w:r>
              <w:rPr>
                <w:spacing w:val="-3"/>
                <w:sz w:val="18"/>
                <w:szCs w:val="18"/>
              </w:rPr>
              <w:t>水环境</w:t>
            </w:r>
          </w:p>
          <w:p w14:paraId="320B994B">
            <w:pPr>
              <w:pStyle w:val="6"/>
              <w:spacing w:before="8" w:line="220" w:lineRule="auto"/>
              <w:ind w:left="129"/>
              <w:rPr>
                <w:sz w:val="18"/>
                <w:szCs w:val="18"/>
              </w:rPr>
            </w:pPr>
            <w:r>
              <w:rPr>
                <w:spacing w:val="-2"/>
                <w:sz w:val="18"/>
                <w:szCs w:val="18"/>
              </w:rPr>
              <w:t>质量标</w:t>
            </w:r>
          </w:p>
          <w:p w14:paraId="065FA8A0">
            <w:pPr>
              <w:pStyle w:val="6"/>
              <w:spacing w:before="15" w:line="221" w:lineRule="auto"/>
              <w:ind w:left="259"/>
              <w:rPr>
                <w:sz w:val="18"/>
                <w:szCs w:val="18"/>
              </w:rPr>
            </w:pPr>
            <w:r>
              <w:rPr>
                <w:spacing w:val="-4"/>
                <w:sz w:val="18"/>
                <w:szCs w:val="18"/>
              </w:rPr>
              <w:t>准》</w:t>
            </w:r>
          </w:p>
          <w:p w14:paraId="408D5AD8">
            <w:pPr>
              <w:pStyle w:val="6"/>
              <w:spacing w:before="36" w:line="222" w:lineRule="auto"/>
              <w:ind w:left="169"/>
              <w:rPr>
                <w:sz w:val="18"/>
                <w:szCs w:val="18"/>
              </w:rPr>
            </w:pPr>
            <w:r>
              <w:rPr>
                <w:spacing w:val="-6"/>
                <w:sz w:val="18"/>
                <w:szCs w:val="18"/>
              </w:rPr>
              <w:t>(GB383</w:t>
            </w:r>
          </w:p>
          <w:p w14:paraId="04EE9FAA">
            <w:pPr>
              <w:pStyle w:val="6"/>
              <w:spacing w:before="3" w:line="222" w:lineRule="auto"/>
              <w:ind w:left="79"/>
              <w:rPr>
                <w:sz w:val="18"/>
                <w:szCs w:val="18"/>
              </w:rPr>
            </w:pPr>
            <w:r>
              <w:rPr>
                <w:spacing w:val="-2"/>
                <w:sz w:val="18"/>
                <w:szCs w:val="18"/>
              </w:rPr>
              <w:t>8-2002)</w:t>
            </w:r>
          </w:p>
          <w:p w14:paraId="33CCBED9">
            <w:pPr>
              <w:pStyle w:val="6"/>
              <w:spacing w:before="11" w:line="219" w:lineRule="auto"/>
              <w:ind w:left="219"/>
              <w:rPr>
                <w:sz w:val="18"/>
                <w:szCs w:val="18"/>
              </w:rPr>
            </w:pPr>
            <w:r>
              <w:rPr>
                <w:spacing w:val="-2"/>
                <w:sz w:val="18"/>
                <w:szCs w:val="18"/>
              </w:rPr>
              <w:t>Ⅲ类</w:t>
            </w:r>
          </w:p>
        </w:tc>
      </w:tr>
      <w:tr w14:paraId="1FBB6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94" w:type="dxa"/>
            <w:vMerge w:val="continue"/>
            <w:tcBorders>
              <w:top w:val="nil"/>
              <w:bottom w:val="nil"/>
            </w:tcBorders>
            <w:vAlign w:val="top"/>
          </w:tcPr>
          <w:p w14:paraId="26A1F4B9">
            <w:pPr>
              <w:rPr>
                <w:rFonts w:ascii="Arial"/>
                <w:sz w:val="21"/>
              </w:rPr>
            </w:pPr>
          </w:p>
        </w:tc>
        <w:tc>
          <w:tcPr>
            <w:tcW w:w="140" w:type="dxa"/>
            <w:vMerge w:val="continue"/>
            <w:tcBorders>
              <w:top w:val="nil"/>
              <w:bottom w:val="nil"/>
            </w:tcBorders>
            <w:vAlign w:val="top"/>
          </w:tcPr>
          <w:p w14:paraId="356CA436">
            <w:pPr>
              <w:rPr>
                <w:rFonts w:ascii="Arial"/>
                <w:sz w:val="21"/>
              </w:rPr>
            </w:pPr>
          </w:p>
        </w:tc>
        <w:tc>
          <w:tcPr>
            <w:tcW w:w="589" w:type="dxa"/>
            <w:vMerge w:val="continue"/>
            <w:tcBorders>
              <w:top w:val="nil"/>
              <w:bottom w:val="nil"/>
            </w:tcBorders>
            <w:vAlign w:val="top"/>
          </w:tcPr>
          <w:p w14:paraId="03FAC8C0">
            <w:pPr>
              <w:rPr>
                <w:rFonts w:ascii="Arial"/>
                <w:sz w:val="21"/>
              </w:rPr>
            </w:pPr>
          </w:p>
        </w:tc>
        <w:tc>
          <w:tcPr>
            <w:tcW w:w="839" w:type="dxa"/>
            <w:vAlign w:val="top"/>
          </w:tcPr>
          <w:p w14:paraId="3B80C27B">
            <w:pPr>
              <w:pStyle w:val="6"/>
              <w:spacing w:before="95" w:line="220" w:lineRule="auto"/>
              <w:ind w:left="142"/>
              <w:rPr>
                <w:sz w:val="18"/>
                <w:szCs w:val="18"/>
              </w:rPr>
            </w:pPr>
            <w:r>
              <w:rPr>
                <w:spacing w:val="3"/>
                <w:sz w:val="18"/>
                <w:szCs w:val="18"/>
              </w:rPr>
              <w:t>中坝河</w:t>
            </w:r>
          </w:p>
        </w:tc>
        <w:tc>
          <w:tcPr>
            <w:tcW w:w="3007" w:type="dxa"/>
            <w:gridSpan w:val="2"/>
            <w:vMerge w:val="continue"/>
            <w:tcBorders>
              <w:top w:val="nil"/>
              <w:bottom w:val="nil"/>
            </w:tcBorders>
            <w:vAlign w:val="top"/>
          </w:tcPr>
          <w:p w14:paraId="3D32AD5C">
            <w:pPr>
              <w:rPr>
                <w:rFonts w:ascii="Arial"/>
                <w:sz w:val="21"/>
              </w:rPr>
            </w:pPr>
          </w:p>
        </w:tc>
        <w:tc>
          <w:tcPr>
            <w:tcW w:w="1858" w:type="dxa"/>
            <w:vAlign w:val="top"/>
          </w:tcPr>
          <w:p w14:paraId="71516740">
            <w:pPr>
              <w:pStyle w:val="6"/>
              <w:spacing w:before="94" w:line="219" w:lineRule="auto"/>
              <w:ind w:left="246"/>
              <w:rPr>
                <w:sz w:val="18"/>
                <w:szCs w:val="18"/>
              </w:rPr>
            </w:pPr>
            <w:r>
              <w:rPr>
                <w:spacing w:val="1"/>
                <w:sz w:val="18"/>
                <w:szCs w:val="18"/>
              </w:rPr>
              <w:t>项目19#方阵西侧</w:t>
            </w:r>
          </w:p>
        </w:tc>
        <w:tc>
          <w:tcPr>
            <w:tcW w:w="749" w:type="dxa"/>
            <w:vAlign w:val="top"/>
          </w:tcPr>
          <w:p w14:paraId="77C137F7">
            <w:pPr>
              <w:pStyle w:val="6"/>
              <w:spacing w:before="112" w:line="233" w:lineRule="auto"/>
              <w:ind w:left="238"/>
              <w:rPr>
                <w:sz w:val="18"/>
                <w:szCs w:val="18"/>
              </w:rPr>
            </w:pPr>
            <w:r>
              <w:rPr>
                <w:spacing w:val="-3"/>
                <w:sz w:val="18"/>
                <w:szCs w:val="18"/>
              </w:rPr>
              <w:t>30m</w:t>
            </w:r>
          </w:p>
        </w:tc>
        <w:tc>
          <w:tcPr>
            <w:tcW w:w="590" w:type="dxa"/>
            <w:vMerge w:val="continue"/>
            <w:tcBorders>
              <w:top w:val="nil"/>
              <w:bottom w:val="nil"/>
            </w:tcBorders>
            <w:vAlign w:val="top"/>
          </w:tcPr>
          <w:p w14:paraId="5E07CF6D">
            <w:pPr>
              <w:rPr>
                <w:rFonts w:ascii="Arial"/>
                <w:sz w:val="21"/>
              </w:rPr>
            </w:pPr>
          </w:p>
        </w:tc>
        <w:tc>
          <w:tcPr>
            <w:tcW w:w="804" w:type="dxa"/>
            <w:vMerge w:val="continue"/>
            <w:tcBorders>
              <w:top w:val="nil"/>
              <w:bottom w:val="nil"/>
            </w:tcBorders>
            <w:vAlign w:val="top"/>
          </w:tcPr>
          <w:p w14:paraId="6B18144E">
            <w:pPr>
              <w:rPr>
                <w:rFonts w:ascii="Arial"/>
                <w:sz w:val="21"/>
              </w:rPr>
            </w:pPr>
          </w:p>
        </w:tc>
      </w:tr>
      <w:tr w14:paraId="771C4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94" w:type="dxa"/>
            <w:vMerge w:val="continue"/>
            <w:tcBorders>
              <w:top w:val="nil"/>
              <w:bottom w:val="nil"/>
            </w:tcBorders>
            <w:vAlign w:val="top"/>
          </w:tcPr>
          <w:p w14:paraId="6F19CA63">
            <w:pPr>
              <w:rPr>
                <w:rFonts w:ascii="Arial"/>
                <w:sz w:val="21"/>
              </w:rPr>
            </w:pPr>
          </w:p>
        </w:tc>
        <w:tc>
          <w:tcPr>
            <w:tcW w:w="140" w:type="dxa"/>
            <w:vMerge w:val="continue"/>
            <w:tcBorders>
              <w:top w:val="nil"/>
              <w:bottom w:val="nil"/>
            </w:tcBorders>
            <w:vAlign w:val="top"/>
          </w:tcPr>
          <w:p w14:paraId="04AA177B">
            <w:pPr>
              <w:rPr>
                <w:rFonts w:ascii="Arial"/>
                <w:sz w:val="21"/>
              </w:rPr>
            </w:pPr>
          </w:p>
        </w:tc>
        <w:tc>
          <w:tcPr>
            <w:tcW w:w="589" w:type="dxa"/>
            <w:vMerge w:val="continue"/>
            <w:tcBorders>
              <w:top w:val="nil"/>
              <w:bottom w:val="nil"/>
            </w:tcBorders>
            <w:vAlign w:val="top"/>
          </w:tcPr>
          <w:p w14:paraId="36D18F84">
            <w:pPr>
              <w:rPr>
                <w:rFonts w:ascii="Arial"/>
                <w:sz w:val="21"/>
              </w:rPr>
            </w:pPr>
          </w:p>
        </w:tc>
        <w:tc>
          <w:tcPr>
            <w:tcW w:w="839" w:type="dxa"/>
            <w:vAlign w:val="top"/>
          </w:tcPr>
          <w:p w14:paraId="3750FB02">
            <w:pPr>
              <w:pStyle w:val="6"/>
              <w:spacing w:before="84" w:line="220" w:lineRule="auto"/>
              <w:ind w:left="142"/>
              <w:rPr>
                <w:sz w:val="18"/>
                <w:szCs w:val="18"/>
              </w:rPr>
            </w:pPr>
            <w:r>
              <w:rPr>
                <w:spacing w:val="3"/>
                <w:sz w:val="18"/>
                <w:szCs w:val="18"/>
              </w:rPr>
              <w:t>小甘河</w:t>
            </w:r>
          </w:p>
        </w:tc>
        <w:tc>
          <w:tcPr>
            <w:tcW w:w="3007" w:type="dxa"/>
            <w:gridSpan w:val="2"/>
            <w:vMerge w:val="continue"/>
            <w:tcBorders>
              <w:top w:val="nil"/>
              <w:bottom w:val="nil"/>
            </w:tcBorders>
            <w:vAlign w:val="top"/>
          </w:tcPr>
          <w:p w14:paraId="5A0004DA">
            <w:pPr>
              <w:rPr>
                <w:rFonts w:ascii="Arial"/>
                <w:sz w:val="21"/>
              </w:rPr>
            </w:pPr>
          </w:p>
        </w:tc>
        <w:tc>
          <w:tcPr>
            <w:tcW w:w="1858" w:type="dxa"/>
            <w:vAlign w:val="top"/>
          </w:tcPr>
          <w:p w14:paraId="30FE838B">
            <w:pPr>
              <w:pStyle w:val="6"/>
              <w:spacing w:before="84" w:line="219" w:lineRule="auto"/>
              <w:ind w:left="246"/>
              <w:rPr>
                <w:sz w:val="18"/>
                <w:szCs w:val="18"/>
              </w:rPr>
            </w:pPr>
            <w:r>
              <w:rPr>
                <w:spacing w:val="1"/>
                <w:sz w:val="18"/>
                <w:szCs w:val="18"/>
              </w:rPr>
              <w:t>项目24#方阵东侧</w:t>
            </w:r>
          </w:p>
        </w:tc>
        <w:tc>
          <w:tcPr>
            <w:tcW w:w="749" w:type="dxa"/>
            <w:vAlign w:val="top"/>
          </w:tcPr>
          <w:p w14:paraId="332911E8">
            <w:pPr>
              <w:pStyle w:val="6"/>
              <w:spacing w:before="102" w:line="223" w:lineRule="auto"/>
              <w:ind w:left="188"/>
              <w:rPr>
                <w:sz w:val="18"/>
                <w:szCs w:val="18"/>
              </w:rPr>
            </w:pPr>
            <w:r>
              <w:rPr>
                <w:spacing w:val="-4"/>
                <w:sz w:val="18"/>
                <w:szCs w:val="18"/>
              </w:rPr>
              <w:t>117m</w:t>
            </w:r>
          </w:p>
        </w:tc>
        <w:tc>
          <w:tcPr>
            <w:tcW w:w="590" w:type="dxa"/>
            <w:vMerge w:val="continue"/>
            <w:tcBorders>
              <w:top w:val="nil"/>
              <w:bottom w:val="nil"/>
            </w:tcBorders>
            <w:vAlign w:val="top"/>
          </w:tcPr>
          <w:p w14:paraId="210FFD97">
            <w:pPr>
              <w:rPr>
                <w:rFonts w:ascii="Arial"/>
                <w:sz w:val="21"/>
              </w:rPr>
            </w:pPr>
          </w:p>
        </w:tc>
        <w:tc>
          <w:tcPr>
            <w:tcW w:w="804" w:type="dxa"/>
            <w:vMerge w:val="continue"/>
            <w:tcBorders>
              <w:top w:val="nil"/>
              <w:bottom w:val="nil"/>
            </w:tcBorders>
            <w:vAlign w:val="top"/>
          </w:tcPr>
          <w:p w14:paraId="16850AF4">
            <w:pPr>
              <w:rPr>
                <w:rFonts w:ascii="Arial"/>
                <w:sz w:val="21"/>
              </w:rPr>
            </w:pPr>
          </w:p>
        </w:tc>
      </w:tr>
      <w:tr w14:paraId="7D602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94" w:type="dxa"/>
            <w:vMerge w:val="continue"/>
            <w:tcBorders>
              <w:top w:val="nil"/>
              <w:bottom w:val="nil"/>
            </w:tcBorders>
            <w:vAlign w:val="top"/>
          </w:tcPr>
          <w:p w14:paraId="56A66490">
            <w:pPr>
              <w:rPr>
                <w:rFonts w:ascii="Arial"/>
                <w:sz w:val="21"/>
              </w:rPr>
            </w:pPr>
          </w:p>
        </w:tc>
        <w:tc>
          <w:tcPr>
            <w:tcW w:w="140" w:type="dxa"/>
            <w:vMerge w:val="continue"/>
            <w:tcBorders>
              <w:top w:val="nil"/>
              <w:bottom w:val="nil"/>
            </w:tcBorders>
            <w:vAlign w:val="top"/>
          </w:tcPr>
          <w:p w14:paraId="0736B0D1">
            <w:pPr>
              <w:rPr>
                <w:rFonts w:ascii="Arial"/>
                <w:sz w:val="21"/>
              </w:rPr>
            </w:pPr>
          </w:p>
        </w:tc>
        <w:tc>
          <w:tcPr>
            <w:tcW w:w="589" w:type="dxa"/>
            <w:vMerge w:val="continue"/>
            <w:tcBorders>
              <w:top w:val="nil"/>
              <w:bottom w:val="nil"/>
            </w:tcBorders>
            <w:vAlign w:val="top"/>
          </w:tcPr>
          <w:p w14:paraId="0634FECB">
            <w:pPr>
              <w:rPr>
                <w:rFonts w:ascii="Arial"/>
                <w:sz w:val="21"/>
              </w:rPr>
            </w:pPr>
          </w:p>
        </w:tc>
        <w:tc>
          <w:tcPr>
            <w:tcW w:w="839" w:type="dxa"/>
            <w:vAlign w:val="top"/>
          </w:tcPr>
          <w:p w14:paraId="40D04B4B">
            <w:pPr>
              <w:pStyle w:val="6"/>
              <w:spacing w:before="95" w:line="221" w:lineRule="auto"/>
              <w:ind w:left="142"/>
              <w:rPr>
                <w:sz w:val="18"/>
                <w:szCs w:val="18"/>
              </w:rPr>
            </w:pPr>
            <w:r>
              <w:rPr>
                <w:spacing w:val="3"/>
                <w:sz w:val="18"/>
                <w:szCs w:val="18"/>
              </w:rPr>
              <w:t>门前坝</w:t>
            </w:r>
          </w:p>
        </w:tc>
        <w:tc>
          <w:tcPr>
            <w:tcW w:w="3007" w:type="dxa"/>
            <w:gridSpan w:val="2"/>
            <w:vMerge w:val="continue"/>
            <w:tcBorders>
              <w:top w:val="nil"/>
              <w:bottom w:val="nil"/>
            </w:tcBorders>
            <w:vAlign w:val="top"/>
          </w:tcPr>
          <w:p w14:paraId="7F172C63">
            <w:pPr>
              <w:rPr>
                <w:rFonts w:ascii="Arial"/>
                <w:sz w:val="21"/>
              </w:rPr>
            </w:pPr>
          </w:p>
        </w:tc>
        <w:tc>
          <w:tcPr>
            <w:tcW w:w="1858" w:type="dxa"/>
            <w:vAlign w:val="top"/>
          </w:tcPr>
          <w:p w14:paraId="6AA8C5A3">
            <w:pPr>
              <w:pStyle w:val="6"/>
              <w:spacing w:before="94" w:line="219" w:lineRule="auto"/>
              <w:ind w:left="426"/>
              <w:rPr>
                <w:sz w:val="18"/>
                <w:szCs w:val="18"/>
              </w:rPr>
            </w:pPr>
            <w:r>
              <w:rPr>
                <w:spacing w:val="1"/>
                <w:sz w:val="18"/>
                <w:szCs w:val="18"/>
              </w:rPr>
              <w:t>15#方阵北侧</w:t>
            </w:r>
          </w:p>
        </w:tc>
        <w:tc>
          <w:tcPr>
            <w:tcW w:w="749" w:type="dxa"/>
            <w:vAlign w:val="top"/>
          </w:tcPr>
          <w:p w14:paraId="45EC7DCE">
            <w:pPr>
              <w:pStyle w:val="6"/>
              <w:spacing w:before="112" w:line="233" w:lineRule="auto"/>
              <w:ind w:left="188"/>
              <w:rPr>
                <w:sz w:val="18"/>
                <w:szCs w:val="18"/>
              </w:rPr>
            </w:pPr>
            <w:r>
              <w:rPr>
                <w:spacing w:val="-2"/>
                <w:sz w:val="18"/>
                <w:szCs w:val="18"/>
              </w:rPr>
              <w:t>482m</w:t>
            </w:r>
          </w:p>
        </w:tc>
        <w:tc>
          <w:tcPr>
            <w:tcW w:w="590" w:type="dxa"/>
            <w:vMerge w:val="continue"/>
            <w:tcBorders>
              <w:top w:val="nil"/>
              <w:bottom w:val="nil"/>
            </w:tcBorders>
            <w:vAlign w:val="top"/>
          </w:tcPr>
          <w:p w14:paraId="3F807FCE">
            <w:pPr>
              <w:rPr>
                <w:rFonts w:ascii="Arial"/>
                <w:sz w:val="21"/>
              </w:rPr>
            </w:pPr>
          </w:p>
        </w:tc>
        <w:tc>
          <w:tcPr>
            <w:tcW w:w="804" w:type="dxa"/>
            <w:vMerge w:val="continue"/>
            <w:tcBorders>
              <w:top w:val="nil"/>
              <w:bottom w:val="nil"/>
            </w:tcBorders>
            <w:vAlign w:val="top"/>
          </w:tcPr>
          <w:p w14:paraId="2F531039">
            <w:pPr>
              <w:rPr>
                <w:rFonts w:ascii="Arial"/>
                <w:sz w:val="21"/>
              </w:rPr>
            </w:pPr>
          </w:p>
        </w:tc>
      </w:tr>
      <w:tr w14:paraId="0E271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94" w:type="dxa"/>
            <w:vMerge w:val="continue"/>
            <w:tcBorders>
              <w:top w:val="nil"/>
              <w:bottom w:val="nil"/>
            </w:tcBorders>
            <w:vAlign w:val="top"/>
          </w:tcPr>
          <w:p w14:paraId="21D8CF50">
            <w:pPr>
              <w:rPr>
                <w:rFonts w:ascii="Arial"/>
                <w:sz w:val="21"/>
              </w:rPr>
            </w:pPr>
          </w:p>
        </w:tc>
        <w:tc>
          <w:tcPr>
            <w:tcW w:w="140" w:type="dxa"/>
            <w:vMerge w:val="continue"/>
            <w:tcBorders>
              <w:top w:val="nil"/>
              <w:bottom w:val="nil"/>
            </w:tcBorders>
            <w:vAlign w:val="top"/>
          </w:tcPr>
          <w:p w14:paraId="5CC7E337">
            <w:pPr>
              <w:rPr>
                <w:rFonts w:ascii="Arial"/>
                <w:sz w:val="21"/>
              </w:rPr>
            </w:pPr>
          </w:p>
        </w:tc>
        <w:tc>
          <w:tcPr>
            <w:tcW w:w="589" w:type="dxa"/>
            <w:vMerge w:val="continue"/>
            <w:tcBorders>
              <w:top w:val="nil"/>
              <w:bottom w:val="nil"/>
            </w:tcBorders>
            <w:vAlign w:val="top"/>
          </w:tcPr>
          <w:p w14:paraId="7B0F6349">
            <w:pPr>
              <w:rPr>
                <w:rFonts w:ascii="Arial"/>
                <w:sz w:val="21"/>
              </w:rPr>
            </w:pPr>
          </w:p>
        </w:tc>
        <w:tc>
          <w:tcPr>
            <w:tcW w:w="839" w:type="dxa"/>
            <w:vAlign w:val="top"/>
          </w:tcPr>
          <w:p w14:paraId="5FE7704A">
            <w:pPr>
              <w:pStyle w:val="6"/>
              <w:spacing w:before="14" w:line="223" w:lineRule="auto"/>
              <w:ind w:left="311" w:right="63" w:hanging="259"/>
              <w:rPr>
                <w:sz w:val="18"/>
                <w:szCs w:val="18"/>
              </w:rPr>
            </w:pPr>
            <w:r>
              <w:rPr>
                <w:spacing w:val="-2"/>
                <w:sz w:val="18"/>
                <w:szCs w:val="18"/>
              </w:rPr>
              <w:t>滥田闸水</w:t>
            </w:r>
            <w:r>
              <w:rPr>
                <w:sz w:val="18"/>
                <w:szCs w:val="18"/>
              </w:rPr>
              <w:t xml:space="preserve"> 库</w:t>
            </w:r>
          </w:p>
        </w:tc>
        <w:tc>
          <w:tcPr>
            <w:tcW w:w="3007" w:type="dxa"/>
            <w:gridSpan w:val="2"/>
            <w:vMerge w:val="continue"/>
            <w:tcBorders>
              <w:top w:val="nil"/>
              <w:bottom w:val="nil"/>
            </w:tcBorders>
            <w:vAlign w:val="top"/>
          </w:tcPr>
          <w:p w14:paraId="400DF161">
            <w:pPr>
              <w:rPr>
                <w:rFonts w:ascii="Arial"/>
                <w:sz w:val="21"/>
              </w:rPr>
            </w:pPr>
          </w:p>
        </w:tc>
        <w:tc>
          <w:tcPr>
            <w:tcW w:w="1858" w:type="dxa"/>
            <w:vAlign w:val="top"/>
          </w:tcPr>
          <w:p w14:paraId="52887705">
            <w:pPr>
              <w:pStyle w:val="6"/>
              <w:spacing w:before="144" w:line="219" w:lineRule="auto"/>
              <w:ind w:left="426"/>
              <w:rPr>
                <w:sz w:val="18"/>
                <w:szCs w:val="18"/>
              </w:rPr>
            </w:pPr>
            <w:r>
              <w:rPr>
                <w:spacing w:val="2"/>
                <w:sz w:val="18"/>
                <w:szCs w:val="18"/>
              </w:rPr>
              <w:t>备用地3西侧</w:t>
            </w:r>
          </w:p>
        </w:tc>
        <w:tc>
          <w:tcPr>
            <w:tcW w:w="749" w:type="dxa"/>
            <w:vAlign w:val="top"/>
          </w:tcPr>
          <w:p w14:paraId="7B29769E">
            <w:pPr>
              <w:pStyle w:val="6"/>
              <w:spacing w:before="161"/>
              <w:ind w:left="148"/>
              <w:rPr>
                <w:sz w:val="18"/>
                <w:szCs w:val="18"/>
              </w:rPr>
            </w:pPr>
            <w:r>
              <w:rPr>
                <w:spacing w:val="-4"/>
                <w:sz w:val="18"/>
                <w:szCs w:val="18"/>
              </w:rPr>
              <w:t>1596m</w:t>
            </w:r>
          </w:p>
        </w:tc>
        <w:tc>
          <w:tcPr>
            <w:tcW w:w="590" w:type="dxa"/>
            <w:vMerge w:val="continue"/>
            <w:tcBorders>
              <w:top w:val="nil"/>
              <w:bottom w:val="nil"/>
            </w:tcBorders>
            <w:vAlign w:val="top"/>
          </w:tcPr>
          <w:p w14:paraId="5A23461D">
            <w:pPr>
              <w:rPr>
                <w:rFonts w:ascii="Arial"/>
                <w:sz w:val="21"/>
              </w:rPr>
            </w:pPr>
          </w:p>
        </w:tc>
        <w:tc>
          <w:tcPr>
            <w:tcW w:w="804" w:type="dxa"/>
            <w:vMerge w:val="continue"/>
            <w:tcBorders>
              <w:top w:val="nil"/>
              <w:bottom w:val="nil"/>
            </w:tcBorders>
            <w:vAlign w:val="top"/>
          </w:tcPr>
          <w:p w14:paraId="4B78FBAC">
            <w:pPr>
              <w:rPr>
                <w:rFonts w:ascii="Arial"/>
                <w:sz w:val="21"/>
              </w:rPr>
            </w:pPr>
          </w:p>
        </w:tc>
      </w:tr>
      <w:tr w14:paraId="55404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94" w:type="dxa"/>
            <w:vMerge w:val="continue"/>
            <w:tcBorders>
              <w:top w:val="nil"/>
              <w:bottom w:val="nil"/>
            </w:tcBorders>
            <w:vAlign w:val="top"/>
          </w:tcPr>
          <w:p w14:paraId="402D9B80">
            <w:pPr>
              <w:rPr>
                <w:rFonts w:ascii="Arial"/>
                <w:sz w:val="21"/>
              </w:rPr>
            </w:pPr>
          </w:p>
        </w:tc>
        <w:tc>
          <w:tcPr>
            <w:tcW w:w="140" w:type="dxa"/>
            <w:vMerge w:val="continue"/>
            <w:tcBorders>
              <w:top w:val="nil"/>
              <w:bottom w:val="nil"/>
            </w:tcBorders>
            <w:vAlign w:val="top"/>
          </w:tcPr>
          <w:p w14:paraId="5295F5C9">
            <w:pPr>
              <w:rPr>
                <w:rFonts w:ascii="Arial"/>
                <w:sz w:val="21"/>
              </w:rPr>
            </w:pPr>
          </w:p>
        </w:tc>
        <w:tc>
          <w:tcPr>
            <w:tcW w:w="589" w:type="dxa"/>
            <w:vMerge w:val="continue"/>
            <w:tcBorders>
              <w:top w:val="nil"/>
              <w:bottom w:val="nil"/>
            </w:tcBorders>
            <w:vAlign w:val="top"/>
          </w:tcPr>
          <w:p w14:paraId="06CAEBA7">
            <w:pPr>
              <w:rPr>
                <w:rFonts w:ascii="Arial"/>
                <w:sz w:val="21"/>
              </w:rPr>
            </w:pPr>
          </w:p>
        </w:tc>
        <w:tc>
          <w:tcPr>
            <w:tcW w:w="839" w:type="dxa"/>
            <w:vAlign w:val="top"/>
          </w:tcPr>
          <w:p w14:paraId="126397ED">
            <w:pPr>
              <w:pStyle w:val="6"/>
              <w:spacing w:before="85" w:line="219" w:lineRule="auto"/>
              <w:ind w:left="52"/>
              <w:rPr>
                <w:sz w:val="18"/>
                <w:szCs w:val="18"/>
              </w:rPr>
            </w:pPr>
            <w:r>
              <w:rPr>
                <w:spacing w:val="2"/>
                <w:sz w:val="18"/>
                <w:szCs w:val="18"/>
              </w:rPr>
              <w:t>老闸水库</w:t>
            </w:r>
          </w:p>
        </w:tc>
        <w:tc>
          <w:tcPr>
            <w:tcW w:w="3007" w:type="dxa"/>
            <w:gridSpan w:val="2"/>
            <w:vMerge w:val="continue"/>
            <w:tcBorders>
              <w:top w:val="nil"/>
              <w:bottom w:val="nil"/>
            </w:tcBorders>
            <w:vAlign w:val="top"/>
          </w:tcPr>
          <w:p w14:paraId="30339C5A">
            <w:pPr>
              <w:rPr>
                <w:rFonts w:ascii="Arial"/>
                <w:sz w:val="21"/>
              </w:rPr>
            </w:pPr>
          </w:p>
        </w:tc>
        <w:tc>
          <w:tcPr>
            <w:tcW w:w="1858" w:type="dxa"/>
            <w:vAlign w:val="top"/>
          </w:tcPr>
          <w:p w14:paraId="1D047663">
            <w:pPr>
              <w:pStyle w:val="6"/>
              <w:spacing w:before="85" w:line="219" w:lineRule="auto"/>
              <w:ind w:left="336"/>
              <w:rPr>
                <w:sz w:val="18"/>
                <w:szCs w:val="18"/>
              </w:rPr>
            </w:pPr>
            <w:r>
              <w:rPr>
                <w:spacing w:val="1"/>
                <w:sz w:val="18"/>
                <w:szCs w:val="18"/>
              </w:rPr>
              <w:t>20#方阵东南侧</w:t>
            </w:r>
          </w:p>
        </w:tc>
        <w:tc>
          <w:tcPr>
            <w:tcW w:w="749" w:type="dxa"/>
            <w:vAlign w:val="top"/>
          </w:tcPr>
          <w:p w14:paraId="7788C761">
            <w:pPr>
              <w:pStyle w:val="6"/>
              <w:spacing w:before="103" w:line="222" w:lineRule="auto"/>
              <w:ind w:left="188"/>
              <w:rPr>
                <w:sz w:val="18"/>
                <w:szCs w:val="18"/>
              </w:rPr>
            </w:pPr>
            <w:r>
              <w:rPr>
                <w:spacing w:val="-4"/>
                <w:sz w:val="18"/>
                <w:szCs w:val="18"/>
              </w:rPr>
              <w:t>102m</w:t>
            </w:r>
          </w:p>
        </w:tc>
        <w:tc>
          <w:tcPr>
            <w:tcW w:w="590" w:type="dxa"/>
            <w:vMerge w:val="continue"/>
            <w:tcBorders>
              <w:top w:val="nil"/>
              <w:bottom w:val="nil"/>
            </w:tcBorders>
            <w:vAlign w:val="top"/>
          </w:tcPr>
          <w:p w14:paraId="1A5F74AA">
            <w:pPr>
              <w:rPr>
                <w:rFonts w:ascii="Arial"/>
                <w:sz w:val="21"/>
              </w:rPr>
            </w:pPr>
          </w:p>
        </w:tc>
        <w:tc>
          <w:tcPr>
            <w:tcW w:w="804" w:type="dxa"/>
            <w:vMerge w:val="continue"/>
            <w:tcBorders>
              <w:top w:val="nil"/>
              <w:bottom w:val="nil"/>
            </w:tcBorders>
            <w:vAlign w:val="top"/>
          </w:tcPr>
          <w:p w14:paraId="0E1B01D1">
            <w:pPr>
              <w:rPr>
                <w:rFonts w:ascii="Arial"/>
                <w:sz w:val="21"/>
              </w:rPr>
            </w:pPr>
          </w:p>
        </w:tc>
      </w:tr>
      <w:tr w14:paraId="2A5C6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94" w:type="dxa"/>
            <w:vMerge w:val="continue"/>
            <w:tcBorders>
              <w:top w:val="nil"/>
              <w:bottom w:val="nil"/>
            </w:tcBorders>
            <w:vAlign w:val="top"/>
          </w:tcPr>
          <w:p w14:paraId="0808A571">
            <w:pPr>
              <w:rPr>
                <w:rFonts w:ascii="Arial"/>
                <w:sz w:val="21"/>
              </w:rPr>
            </w:pPr>
          </w:p>
        </w:tc>
        <w:tc>
          <w:tcPr>
            <w:tcW w:w="140" w:type="dxa"/>
            <w:vMerge w:val="continue"/>
            <w:tcBorders>
              <w:top w:val="nil"/>
              <w:bottom w:val="nil"/>
            </w:tcBorders>
            <w:vAlign w:val="top"/>
          </w:tcPr>
          <w:p w14:paraId="2D4038C9">
            <w:pPr>
              <w:rPr>
                <w:rFonts w:ascii="Arial"/>
                <w:sz w:val="21"/>
              </w:rPr>
            </w:pPr>
          </w:p>
        </w:tc>
        <w:tc>
          <w:tcPr>
            <w:tcW w:w="589" w:type="dxa"/>
            <w:vMerge w:val="continue"/>
            <w:tcBorders>
              <w:top w:val="nil"/>
              <w:bottom w:val="nil"/>
            </w:tcBorders>
            <w:vAlign w:val="top"/>
          </w:tcPr>
          <w:p w14:paraId="029B99B6">
            <w:pPr>
              <w:rPr>
                <w:rFonts w:ascii="Arial"/>
                <w:sz w:val="21"/>
              </w:rPr>
            </w:pPr>
          </w:p>
        </w:tc>
        <w:tc>
          <w:tcPr>
            <w:tcW w:w="839" w:type="dxa"/>
            <w:vAlign w:val="top"/>
          </w:tcPr>
          <w:p w14:paraId="372D9150">
            <w:pPr>
              <w:pStyle w:val="6"/>
              <w:spacing w:before="35" w:line="195" w:lineRule="auto"/>
              <w:ind w:left="52"/>
              <w:rPr>
                <w:sz w:val="18"/>
                <w:szCs w:val="18"/>
              </w:rPr>
            </w:pPr>
            <w:r>
              <w:rPr>
                <w:spacing w:val="-2"/>
                <w:sz w:val="18"/>
                <w:szCs w:val="18"/>
              </w:rPr>
              <w:t>大石桥水</w:t>
            </w:r>
          </w:p>
          <w:p w14:paraId="2FC0D7B0">
            <w:pPr>
              <w:pStyle w:val="6"/>
              <w:spacing w:line="219" w:lineRule="auto"/>
              <w:ind w:left="312"/>
              <w:rPr>
                <w:sz w:val="18"/>
                <w:szCs w:val="18"/>
              </w:rPr>
            </w:pPr>
            <w:r>
              <w:rPr>
                <w:sz w:val="18"/>
                <w:szCs w:val="18"/>
              </w:rPr>
              <w:t>库</w:t>
            </w:r>
          </w:p>
        </w:tc>
        <w:tc>
          <w:tcPr>
            <w:tcW w:w="3007" w:type="dxa"/>
            <w:gridSpan w:val="2"/>
            <w:vMerge w:val="continue"/>
            <w:tcBorders>
              <w:top w:val="nil"/>
              <w:bottom w:val="nil"/>
            </w:tcBorders>
            <w:vAlign w:val="top"/>
          </w:tcPr>
          <w:p w14:paraId="4608E79B">
            <w:pPr>
              <w:rPr>
                <w:rFonts w:ascii="Arial"/>
                <w:sz w:val="21"/>
              </w:rPr>
            </w:pPr>
          </w:p>
        </w:tc>
        <w:tc>
          <w:tcPr>
            <w:tcW w:w="1858" w:type="dxa"/>
            <w:vAlign w:val="top"/>
          </w:tcPr>
          <w:p w14:paraId="4865B1D2">
            <w:pPr>
              <w:pStyle w:val="6"/>
              <w:spacing w:before="145" w:line="219" w:lineRule="auto"/>
              <w:ind w:left="426"/>
              <w:rPr>
                <w:sz w:val="18"/>
                <w:szCs w:val="18"/>
              </w:rPr>
            </w:pPr>
            <w:r>
              <w:rPr>
                <w:spacing w:val="1"/>
                <w:sz w:val="18"/>
                <w:szCs w:val="18"/>
              </w:rPr>
              <w:t>24#方阵东侧</w:t>
            </w:r>
          </w:p>
        </w:tc>
        <w:tc>
          <w:tcPr>
            <w:tcW w:w="749" w:type="dxa"/>
            <w:vAlign w:val="top"/>
          </w:tcPr>
          <w:p w14:paraId="18987E4E">
            <w:pPr>
              <w:pStyle w:val="6"/>
              <w:spacing w:before="162"/>
              <w:ind w:left="148"/>
              <w:rPr>
                <w:sz w:val="18"/>
                <w:szCs w:val="18"/>
              </w:rPr>
            </w:pPr>
            <w:r>
              <w:rPr>
                <w:spacing w:val="-4"/>
                <w:sz w:val="18"/>
                <w:szCs w:val="18"/>
              </w:rPr>
              <w:t>1066m</w:t>
            </w:r>
          </w:p>
        </w:tc>
        <w:tc>
          <w:tcPr>
            <w:tcW w:w="590" w:type="dxa"/>
            <w:vMerge w:val="continue"/>
            <w:tcBorders>
              <w:top w:val="nil"/>
              <w:bottom w:val="nil"/>
            </w:tcBorders>
            <w:vAlign w:val="top"/>
          </w:tcPr>
          <w:p w14:paraId="30A517C2">
            <w:pPr>
              <w:rPr>
                <w:rFonts w:ascii="Arial"/>
                <w:sz w:val="21"/>
              </w:rPr>
            </w:pPr>
          </w:p>
        </w:tc>
        <w:tc>
          <w:tcPr>
            <w:tcW w:w="804" w:type="dxa"/>
            <w:vMerge w:val="continue"/>
            <w:tcBorders>
              <w:top w:val="nil"/>
              <w:bottom w:val="nil"/>
            </w:tcBorders>
            <w:vAlign w:val="top"/>
          </w:tcPr>
          <w:p w14:paraId="0037FEB4">
            <w:pPr>
              <w:rPr>
                <w:rFonts w:ascii="Arial"/>
                <w:sz w:val="21"/>
              </w:rPr>
            </w:pPr>
          </w:p>
        </w:tc>
      </w:tr>
      <w:tr w14:paraId="5189E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94" w:type="dxa"/>
            <w:vMerge w:val="continue"/>
            <w:tcBorders>
              <w:top w:val="nil"/>
              <w:bottom w:val="nil"/>
            </w:tcBorders>
            <w:vAlign w:val="top"/>
          </w:tcPr>
          <w:p w14:paraId="7257F1A3">
            <w:pPr>
              <w:rPr>
                <w:rFonts w:ascii="Arial"/>
                <w:sz w:val="21"/>
              </w:rPr>
            </w:pPr>
          </w:p>
        </w:tc>
        <w:tc>
          <w:tcPr>
            <w:tcW w:w="140" w:type="dxa"/>
            <w:vMerge w:val="continue"/>
            <w:tcBorders>
              <w:top w:val="nil"/>
              <w:bottom w:val="nil"/>
            </w:tcBorders>
            <w:vAlign w:val="top"/>
          </w:tcPr>
          <w:p w14:paraId="6A40304B">
            <w:pPr>
              <w:rPr>
                <w:rFonts w:ascii="Arial"/>
                <w:sz w:val="21"/>
              </w:rPr>
            </w:pPr>
          </w:p>
        </w:tc>
        <w:tc>
          <w:tcPr>
            <w:tcW w:w="589" w:type="dxa"/>
            <w:vMerge w:val="continue"/>
            <w:tcBorders>
              <w:top w:val="nil"/>
            </w:tcBorders>
            <w:vAlign w:val="top"/>
          </w:tcPr>
          <w:p w14:paraId="05AB2595">
            <w:pPr>
              <w:rPr>
                <w:rFonts w:ascii="Arial"/>
                <w:sz w:val="21"/>
              </w:rPr>
            </w:pPr>
          </w:p>
        </w:tc>
        <w:tc>
          <w:tcPr>
            <w:tcW w:w="839" w:type="dxa"/>
            <w:vAlign w:val="top"/>
          </w:tcPr>
          <w:p w14:paraId="54A7BA0B">
            <w:pPr>
              <w:pStyle w:val="6"/>
              <w:spacing w:before="45" w:line="219" w:lineRule="auto"/>
              <w:ind w:left="52"/>
              <w:rPr>
                <w:sz w:val="18"/>
                <w:szCs w:val="18"/>
              </w:rPr>
            </w:pPr>
            <w:r>
              <w:rPr>
                <w:spacing w:val="-2"/>
                <w:sz w:val="18"/>
                <w:szCs w:val="18"/>
              </w:rPr>
              <w:t>上海子水</w:t>
            </w:r>
          </w:p>
          <w:p w14:paraId="4C5B9CBC">
            <w:pPr>
              <w:pStyle w:val="6"/>
              <w:spacing w:before="6" w:line="210" w:lineRule="auto"/>
              <w:ind w:left="322"/>
              <w:rPr>
                <w:sz w:val="18"/>
                <w:szCs w:val="18"/>
              </w:rPr>
            </w:pPr>
            <w:r>
              <w:rPr>
                <w:sz w:val="18"/>
                <w:szCs w:val="18"/>
              </w:rPr>
              <w:t>库</w:t>
            </w:r>
          </w:p>
        </w:tc>
        <w:tc>
          <w:tcPr>
            <w:tcW w:w="3007" w:type="dxa"/>
            <w:gridSpan w:val="2"/>
            <w:vMerge w:val="continue"/>
            <w:tcBorders>
              <w:top w:val="nil"/>
            </w:tcBorders>
            <w:vAlign w:val="top"/>
          </w:tcPr>
          <w:p w14:paraId="2F539621">
            <w:pPr>
              <w:rPr>
                <w:rFonts w:ascii="Arial"/>
                <w:sz w:val="21"/>
              </w:rPr>
            </w:pPr>
          </w:p>
        </w:tc>
        <w:tc>
          <w:tcPr>
            <w:tcW w:w="1858" w:type="dxa"/>
            <w:vAlign w:val="top"/>
          </w:tcPr>
          <w:p w14:paraId="705C3B41">
            <w:pPr>
              <w:pStyle w:val="6"/>
              <w:spacing w:before="155" w:line="219" w:lineRule="auto"/>
              <w:ind w:left="426"/>
              <w:rPr>
                <w:sz w:val="18"/>
                <w:szCs w:val="18"/>
              </w:rPr>
            </w:pPr>
            <w:r>
              <w:rPr>
                <w:spacing w:val="1"/>
                <w:sz w:val="18"/>
                <w:szCs w:val="18"/>
              </w:rPr>
              <w:t>12#方阵西侧</w:t>
            </w:r>
          </w:p>
        </w:tc>
        <w:tc>
          <w:tcPr>
            <w:tcW w:w="749" w:type="dxa"/>
            <w:vAlign w:val="top"/>
          </w:tcPr>
          <w:p w14:paraId="221C08DB">
            <w:pPr>
              <w:pStyle w:val="6"/>
              <w:spacing w:before="172"/>
              <w:ind w:left="148"/>
              <w:rPr>
                <w:sz w:val="18"/>
                <w:szCs w:val="18"/>
              </w:rPr>
            </w:pPr>
            <w:r>
              <w:rPr>
                <w:spacing w:val="-4"/>
                <w:sz w:val="18"/>
                <w:szCs w:val="18"/>
              </w:rPr>
              <w:t>1005m</w:t>
            </w:r>
          </w:p>
        </w:tc>
        <w:tc>
          <w:tcPr>
            <w:tcW w:w="590" w:type="dxa"/>
            <w:vMerge w:val="continue"/>
            <w:tcBorders>
              <w:top w:val="nil"/>
            </w:tcBorders>
            <w:vAlign w:val="top"/>
          </w:tcPr>
          <w:p w14:paraId="597F041B">
            <w:pPr>
              <w:rPr>
                <w:rFonts w:ascii="Arial"/>
                <w:sz w:val="21"/>
              </w:rPr>
            </w:pPr>
          </w:p>
        </w:tc>
        <w:tc>
          <w:tcPr>
            <w:tcW w:w="804" w:type="dxa"/>
            <w:vMerge w:val="continue"/>
            <w:tcBorders>
              <w:top w:val="nil"/>
            </w:tcBorders>
            <w:vAlign w:val="top"/>
          </w:tcPr>
          <w:p w14:paraId="2708B7D4">
            <w:pPr>
              <w:rPr>
                <w:rFonts w:ascii="Arial"/>
                <w:sz w:val="21"/>
              </w:rPr>
            </w:pPr>
          </w:p>
        </w:tc>
      </w:tr>
      <w:tr w14:paraId="61A7B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694" w:type="dxa"/>
            <w:vMerge w:val="continue"/>
            <w:tcBorders>
              <w:top w:val="nil"/>
              <w:bottom w:val="nil"/>
            </w:tcBorders>
            <w:vAlign w:val="top"/>
          </w:tcPr>
          <w:p w14:paraId="57D682ED">
            <w:pPr>
              <w:rPr>
                <w:rFonts w:ascii="Arial"/>
                <w:sz w:val="21"/>
              </w:rPr>
            </w:pPr>
          </w:p>
        </w:tc>
        <w:tc>
          <w:tcPr>
            <w:tcW w:w="140" w:type="dxa"/>
            <w:vMerge w:val="continue"/>
            <w:tcBorders>
              <w:top w:val="nil"/>
            </w:tcBorders>
            <w:vAlign w:val="top"/>
          </w:tcPr>
          <w:p w14:paraId="631E5414">
            <w:pPr>
              <w:rPr>
                <w:rFonts w:ascii="Arial"/>
                <w:sz w:val="21"/>
              </w:rPr>
            </w:pPr>
          </w:p>
        </w:tc>
        <w:tc>
          <w:tcPr>
            <w:tcW w:w="589" w:type="dxa"/>
            <w:vAlign w:val="top"/>
          </w:tcPr>
          <w:p w14:paraId="0CCC9316">
            <w:pPr>
              <w:pStyle w:val="6"/>
              <w:spacing w:before="126" w:line="257" w:lineRule="auto"/>
              <w:ind w:left="191" w:right="124" w:hanging="90"/>
              <w:rPr>
                <w:sz w:val="18"/>
                <w:szCs w:val="18"/>
              </w:rPr>
            </w:pPr>
            <w:r>
              <w:rPr>
                <w:spacing w:val="-4"/>
                <w:sz w:val="18"/>
                <w:szCs w:val="18"/>
              </w:rPr>
              <w:t>地下</w:t>
            </w:r>
            <w:r>
              <w:rPr>
                <w:sz w:val="18"/>
                <w:szCs w:val="18"/>
              </w:rPr>
              <w:t xml:space="preserve"> 水</w:t>
            </w:r>
          </w:p>
        </w:tc>
        <w:tc>
          <w:tcPr>
            <w:tcW w:w="3846" w:type="dxa"/>
            <w:gridSpan w:val="3"/>
            <w:vAlign w:val="top"/>
          </w:tcPr>
          <w:p w14:paraId="648E662B">
            <w:pPr>
              <w:pStyle w:val="6"/>
              <w:spacing w:before="255" w:line="219" w:lineRule="auto"/>
              <w:ind w:left="462"/>
              <w:rPr>
                <w:sz w:val="18"/>
                <w:szCs w:val="18"/>
              </w:rPr>
            </w:pPr>
            <w:r>
              <w:rPr>
                <w:spacing w:val="1"/>
                <w:sz w:val="18"/>
                <w:szCs w:val="18"/>
              </w:rPr>
              <w:t>大莫古集镇水厂水源地准保护区</w:t>
            </w:r>
          </w:p>
        </w:tc>
        <w:tc>
          <w:tcPr>
            <w:tcW w:w="2607" w:type="dxa"/>
            <w:gridSpan w:val="2"/>
            <w:vAlign w:val="top"/>
          </w:tcPr>
          <w:p w14:paraId="11FB6193">
            <w:pPr>
              <w:pStyle w:val="6"/>
              <w:spacing w:before="253" w:line="218" w:lineRule="auto"/>
              <w:ind w:left="396"/>
              <w:rPr>
                <w:sz w:val="18"/>
                <w:szCs w:val="18"/>
              </w:rPr>
            </w:pPr>
            <w:r>
              <w:rPr>
                <w:spacing w:val="-1"/>
                <w:sz w:val="18"/>
                <w:szCs w:val="18"/>
              </w:rPr>
              <w:t>位置关系详见报告表三</w:t>
            </w:r>
          </w:p>
        </w:tc>
        <w:tc>
          <w:tcPr>
            <w:tcW w:w="1394" w:type="dxa"/>
            <w:gridSpan w:val="2"/>
            <w:vAlign w:val="top"/>
          </w:tcPr>
          <w:p w14:paraId="17E6437C">
            <w:pPr>
              <w:pStyle w:val="6"/>
              <w:spacing w:before="35" w:line="216" w:lineRule="auto"/>
              <w:ind w:left="19"/>
              <w:rPr>
                <w:sz w:val="18"/>
                <w:szCs w:val="18"/>
              </w:rPr>
            </w:pPr>
            <w:r>
              <w:rPr>
                <w:sz w:val="18"/>
                <w:szCs w:val="18"/>
              </w:rPr>
              <w:t>《地下水环境质</w:t>
            </w:r>
          </w:p>
          <w:p w14:paraId="21008742">
            <w:pPr>
              <w:pStyle w:val="6"/>
              <w:spacing w:line="220" w:lineRule="auto"/>
              <w:ind w:left="379"/>
              <w:rPr>
                <w:sz w:val="18"/>
                <w:szCs w:val="18"/>
              </w:rPr>
            </w:pPr>
            <w:r>
              <w:rPr>
                <w:spacing w:val="-3"/>
                <w:sz w:val="18"/>
                <w:szCs w:val="18"/>
              </w:rPr>
              <w:t>量标准》</w:t>
            </w:r>
          </w:p>
          <w:p w14:paraId="46D8CF41">
            <w:pPr>
              <w:pStyle w:val="6"/>
              <w:spacing w:before="27" w:line="186" w:lineRule="auto"/>
              <w:ind w:left="149"/>
              <w:rPr>
                <w:sz w:val="18"/>
                <w:szCs w:val="18"/>
              </w:rPr>
            </w:pPr>
            <w:r>
              <w:rPr>
                <w:spacing w:val="-4"/>
                <w:sz w:val="18"/>
                <w:szCs w:val="18"/>
              </w:rPr>
              <w:t>(14848-2017)</w:t>
            </w:r>
          </w:p>
        </w:tc>
      </w:tr>
      <w:tr w14:paraId="2CA27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694" w:type="dxa"/>
            <w:vMerge w:val="continue"/>
            <w:tcBorders>
              <w:top w:val="nil"/>
              <w:bottom w:val="nil"/>
            </w:tcBorders>
            <w:vAlign w:val="top"/>
          </w:tcPr>
          <w:p w14:paraId="03487BB3">
            <w:pPr>
              <w:rPr>
                <w:rFonts w:ascii="Arial"/>
                <w:sz w:val="21"/>
              </w:rPr>
            </w:pPr>
          </w:p>
        </w:tc>
        <w:tc>
          <w:tcPr>
            <w:tcW w:w="140" w:type="dxa"/>
            <w:vMerge w:val="restart"/>
            <w:tcBorders>
              <w:bottom w:val="nil"/>
            </w:tcBorders>
            <w:vAlign w:val="top"/>
          </w:tcPr>
          <w:p w14:paraId="6D69E7C0">
            <w:pPr>
              <w:rPr>
                <w:rFonts w:ascii="Arial"/>
                <w:sz w:val="21"/>
              </w:rPr>
            </w:pPr>
          </w:p>
        </w:tc>
        <w:tc>
          <w:tcPr>
            <w:tcW w:w="8436" w:type="dxa"/>
            <w:gridSpan w:val="8"/>
            <w:vAlign w:val="top"/>
          </w:tcPr>
          <w:p w14:paraId="7BDC28D5">
            <w:pPr>
              <w:pStyle w:val="6"/>
              <w:spacing w:before="45" w:line="415" w:lineRule="auto"/>
              <w:ind w:left="11" w:right="1111" w:firstLine="290"/>
              <w:rPr>
                <w:sz w:val="18"/>
                <w:szCs w:val="18"/>
              </w:rPr>
            </w:pPr>
            <w:r>
              <w:rPr>
                <w:sz w:val="18"/>
                <w:szCs w:val="18"/>
              </w:rPr>
              <w:t>注：表中所列为直线最近距离。项目光伏阵列区及升压站大气环境评</w:t>
            </w:r>
            <w:r>
              <w:rPr>
                <w:spacing w:val="-1"/>
                <w:sz w:val="18"/>
                <w:szCs w:val="18"/>
              </w:rPr>
              <w:t>价范围均按用地红线</w:t>
            </w:r>
            <w:r>
              <w:rPr>
                <w:sz w:val="18"/>
                <w:szCs w:val="18"/>
              </w:rPr>
              <w:t xml:space="preserve"> </w:t>
            </w:r>
            <w:r>
              <w:rPr>
                <w:spacing w:val="36"/>
                <w:sz w:val="18"/>
                <w:szCs w:val="18"/>
              </w:rPr>
              <w:t>外延500m考虑，声环境评价范围均按用地红线外</w:t>
            </w:r>
            <w:r>
              <w:rPr>
                <w:spacing w:val="35"/>
                <w:sz w:val="18"/>
                <w:szCs w:val="18"/>
              </w:rPr>
              <w:t>延200m考虑。</w:t>
            </w:r>
          </w:p>
          <w:p w14:paraId="3D64EB1D">
            <w:pPr>
              <w:pStyle w:val="6"/>
              <w:spacing w:line="226" w:lineRule="auto"/>
              <w:ind w:left="1913"/>
              <w:rPr>
                <w:sz w:val="18"/>
                <w:szCs w:val="18"/>
              </w:rPr>
            </w:pPr>
            <w:r>
              <w:rPr>
                <w:b/>
                <w:bCs/>
                <w:spacing w:val="-11"/>
                <w:sz w:val="18"/>
                <w:szCs w:val="18"/>
              </w:rPr>
              <w:t>表</w:t>
            </w:r>
            <w:r>
              <w:rPr>
                <w:spacing w:val="-21"/>
                <w:sz w:val="18"/>
                <w:szCs w:val="18"/>
              </w:rPr>
              <w:t xml:space="preserve"> </w:t>
            </w:r>
            <w:r>
              <w:rPr>
                <w:b/>
                <w:bCs/>
                <w:spacing w:val="-11"/>
                <w:sz w:val="18"/>
                <w:szCs w:val="18"/>
              </w:rPr>
              <w:t>3</w:t>
            </w:r>
            <w:r>
              <w:rPr>
                <w:spacing w:val="-26"/>
                <w:sz w:val="18"/>
                <w:szCs w:val="18"/>
              </w:rPr>
              <w:t xml:space="preserve"> </w:t>
            </w:r>
            <w:r>
              <w:rPr>
                <w:b/>
                <w:bCs/>
                <w:spacing w:val="-11"/>
                <w:sz w:val="18"/>
                <w:szCs w:val="18"/>
              </w:rPr>
              <w:t>-</w:t>
            </w:r>
            <w:r>
              <w:rPr>
                <w:spacing w:val="-23"/>
                <w:sz w:val="18"/>
                <w:szCs w:val="18"/>
              </w:rPr>
              <w:t xml:space="preserve"> </w:t>
            </w:r>
            <w:r>
              <w:rPr>
                <w:b/>
                <w:bCs/>
                <w:spacing w:val="-11"/>
                <w:sz w:val="18"/>
                <w:szCs w:val="18"/>
              </w:rPr>
              <w:t>2</w:t>
            </w:r>
            <w:r>
              <w:rPr>
                <w:spacing w:val="-23"/>
                <w:sz w:val="18"/>
                <w:szCs w:val="18"/>
              </w:rPr>
              <w:t xml:space="preserve"> </w:t>
            </w:r>
            <w:r>
              <w:rPr>
                <w:b/>
                <w:bCs/>
                <w:spacing w:val="-11"/>
                <w:sz w:val="18"/>
                <w:szCs w:val="18"/>
              </w:rPr>
              <w:t>2</w:t>
            </w:r>
            <w:r>
              <w:rPr>
                <w:spacing w:val="-11"/>
                <w:sz w:val="18"/>
                <w:szCs w:val="18"/>
              </w:rPr>
              <w:t xml:space="preserve">        </w:t>
            </w:r>
            <w:r>
              <w:rPr>
                <w:b/>
                <w:bCs/>
                <w:spacing w:val="-11"/>
                <w:sz w:val="18"/>
                <w:szCs w:val="18"/>
              </w:rPr>
              <w:t>本</w:t>
            </w:r>
            <w:r>
              <w:rPr>
                <w:spacing w:val="-11"/>
                <w:sz w:val="18"/>
                <w:szCs w:val="18"/>
              </w:rPr>
              <w:t xml:space="preserve"> </w:t>
            </w:r>
            <w:r>
              <w:rPr>
                <w:b/>
                <w:bCs/>
                <w:spacing w:val="-11"/>
                <w:sz w:val="18"/>
                <w:szCs w:val="18"/>
              </w:rPr>
              <w:t>项</w:t>
            </w:r>
            <w:r>
              <w:rPr>
                <w:spacing w:val="21"/>
                <w:sz w:val="18"/>
                <w:szCs w:val="18"/>
              </w:rPr>
              <w:t xml:space="preserve"> </w:t>
            </w:r>
            <w:r>
              <w:rPr>
                <w:b/>
                <w:bCs/>
                <w:spacing w:val="-11"/>
                <w:sz w:val="18"/>
                <w:szCs w:val="18"/>
              </w:rPr>
              <w:t>目</w:t>
            </w:r>
            <w:r>
              <w:rPr>
                <w:spacing w:val="-11"/>
                <w:sz w:val="18"/>
                <w:szCs w:val="18"/>
              </w:rPr>
              <w:t xml:space="preserve"> </w:t>
            </w:r>
            <w:r>
              <w:rPr>
                <w:b/>
                <w:bCs/>
                <w:spacing w:val="-11"/>
                <w:sz w:val="18"/>
                <w:szCs w:val="18"/>
              </w:rPr>
              <w:t>声</w:t>
            </w:r>
            <w:r>
              <w:rPr>
                <w:spacing w:val="-11"/>
                <w:sz w:val="18"/>
                <w:szCs w:val="18"/>
              </w:rPr>
              <w:t xml:space="preserve"> </w:t>
            </w:r>
            <w:r>
              <w:rPr>
                <w:b/>
                <w:bCs/>
                <w:spacing w:val="-11"/>
                <w:sz w:val="18"/>
                <w:szCs w:val="18"/>
              </w:rPr>
              <w:t>环</w:t>
            </w:r>
            <w:r>
              <w:rPr>
                <w:spacing w:val="-11"/>
                <w:sz w:val="18"/>
                <w:szCs w:val="18"/>
              </w:rPr>
              <w:t xml:space="preserve"> </w:t>
            </w:r>
            <w:r>
              <w:rPr>
                <w:b/>
                <w:bCs/>
                <w:spacing w:val="-11"/>
                <w:sz w:val="18"/>
                <w:szCs w:val="18"/>
              </w:rPr>
              <w:t>境</w:t>
            </w:r>
            <w:r>
              <w:rPr>
                <w:spacing w:val="-11"/>
                <w:sz w:val="18"/>
                <w:szCs w:val="18"/>
              </w:rPr>
              <w:t xml:space="preserve"> </w:t>
            </w:r>
            <w:r>
              <w:rPr>
                <w:b/>
                <w:bCs/>
                <w:spacing w:val="-11"/>
                <w:sz w:val="18"/>
                <w:szCs w:val="18"/>
              </w:rPr>
              <w:t>保</w:t>
            </w:r>
            <w:r>
              <w:rPr>
                <w:spacing w:val="-11"/>
                <w:sz w:val="18"/>
                <w:szCs w:val="18"/>
              </w:rPr>
              <w:t xml:space="preserve"> </w:t>
            </w:r>
            <w:r>
              <w:rPr>
                <w:b/>
                <w:bCs/>
                <w:spacing w:val="-11"/>
                <w:sz w:val="18"/>
                <w:szCs w:val="18"/>
              </w:rPr>
              <w:t>护</w:t>
            </w:r>
            <w:r>
              <w:rPr>
                <w:spacing w:val="21"/>
                <w:sz w:val="18"/>
                <w:szCs w:val="18"/>
              </w:rPr>
              <w:t xml:space="preserve"> </w:t>
            </w:r>
            <w:r>
              <w:rPr>
                <w:b/>
                <w:bCs/>
                <w:spacing w:val="-11"/>
                <w:sz w:val="18"/>
                <w:szCs w:val="18"/>
              </w:rPr>
              <w:t>目</w:t>
            </w:r>
            <w:r>
              <w:rPr>
                <w:spacing w:val="-13"/>
                <w:sz w:val="18"/>
                <w:szCs w:val="18"/>
              </w:rPr>
              <w:t xml:space="preserve"> </w:t>
            </w:r>
            <w:r>
              <w:rPr>
                <w:b/>
                <w:bCs/>
                <w:spacing w:val="-12"/>
                <w:sz w:val="18"/>
                <w:szCs w:val="18"/>
              </w:rPr>
              <w:t>标</w:t>
            </w:r>
            <w:r>
              <w:rPr>
                <w:spacing w:val="-11"/>
                <w:sz w:val="18"/>
                <w:szCs w:val="18"/>
              </w:rPr>
              <w:t xml:space="preserve"> </w:t>
            </w:r>
            <w:r>
              <w:rPr>
                <w:b/>
                <w:bCs/>
                <w:spacing w:val="-12"/>
                <w:sz w:val="18"/>
                <w:szCs w:val="18"/>
              </w:rPr>
              <w:t>一</w:t>
            </w:r>
            <w:r>
              <w:rPr>
                <w:spacing w:val="-10"/>
                <w:sz w:val="18"/>
                <w:szCs w:val="18"/>
              </w:rPr>
              <w:t xml:space="preserve"> </w:t>
            </w:r>
            <w:r>
              <w:rPr>
                <w:b/>
                <w:bCs/>
                <w:spacing w:val="-12"/>
                <w:sz w:val="18"/>
                <w:szCs w:val="18"/>
              </w:rPr>
              <w:t>览</w:t>
            </w:r>
            <w:r>
              <w:rPr>
                <w:spacing w:val="-15"/>
                <w:sz w:val="18"/>
                <w:szCs w:val="18"/>
              </w:rPr>
              <w:t xml:space="preserve"> </w:t>
            </w:r>
            <w:r>
              <w:rPr>
                <w:b/>
                <w:bCs/>
                <w:spacing w:val="-12"/>
                <w:sz w:val="18"/>
                <w:szCs w:val="18"/>
              </w:rPr>
              <w:t>表</w:t>
            </w:r>
          </w:p>
        </w:tc>
      </w:tr>
      <w:tr w14:paraId="2D2BF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4" w:type="dxa"/>
            <w:vMerge w:val="continue"/>
            <w:tcBorders>
              <w:top w:val="nil"/>
              <w:bottom w:val="nil"/>
            </w:tcBorders>
            <w:vAlign w:val="top"/>
          </w:tcPr>
          <w:p w14:paraId="63E3965F">
            <w:pPr>
              <w:rPr>
                <w:rFonts w:ascii="Arial"/>
                <w:sz w:val="21"/>
              </w:rPr>
            </w:pPr>
          </w:p>
        </w:tc>
        <w:tc>
          <w:tcPr>
            <w:tcW w:w="140" w:type="dxa"/>
            <w:vMerge w:val="continue"/>
            <w:tcBorders>
              <w:top w:val="nil"/>
              <w:bottom w:val="nil"/>
            </w:tcBorders>
            <w:vAlign w:val="top"/>
          </w:tcPr>
          <w:p w14:paraId="475B3771">
            <w:pPr>
              <w:rPr>
                <w:rFonts w:ascii="Arial"/>
                <w:sz w:val="21"/>
              </w:rPr>
            </w:pPr>
          </w:p>
        </w:tc>
        <w:tc>
          <w:tcPr>
            <w:tcW w:w="589" w:type="dxa"/>
            <w:vMerge w:val="restart"/>
            <w:tcBorders>
              <w:bottom w:val="nil"/>
            </w:tcBorders>
            <w:vAlign w:val="top"/>
          </w:tcPr>
          <w:p w14:paraId="27B93E67">
            <w:pPr>
              <w:pStyle w:val="6"/>
              <w:spacing w:before="137" w:line="220" w:lineRule="auto"/>
              <w:ind w:left="101"/>
              <w:rPr>
                <w:sz w:val="18"/>
                <w:szCs w:val="18"/>
              </w:rPr>
            </w:pPr>
            <w:r>
              <w:rPr>
                <w:spacing w:val="-2"/>
                <w:sz w:val="18"/>
                <w:szCs w:val="18"/>
              </w:rPr>
              <w:t>环境</w:t>
            </w:r>
          </w:p>
          <w:p w14:paraId="14792F7A">
            <w:pPr>
              <w:pStyle w:val="6"/>
              <w:spacing w:before="15" w:line="219" w:lineRule="auto"/>
              <w:ind w:left="101"/>
              <w:rPr>
                <w:sz w:val="18"/>
                <w:szCs w:val="18"/>
              </w:rPr>
            </w:pPr>
            <w:r>
              <w:rPr>
                <w:spacing w:val="-2"/>
                <w:sz w:val="18"/>
                <w:szCs w:val="18"/>
              </w:rPr>
              <w:t>要素</w:t>
            </w:r>
          </w:p>
        </w:tc>
        <w:tc>
          <w:tcPr>
            <w:tcW w:w="839" w:type="dxa"/>
            <w:vMerge w:val="restart"/>
            <w:tcBorders>
              <w:bottom w:val="nil"/>
            </w:tcBorders>
            <w:vAlign w:val="top"/>
          </w:tcPr>
          <w:p w14:paraId="55B1FA3A">
            <w:pPr>
              <w:pStyle w:val="6"/>
              <w:spacing w:before="137" w:line="220" w:lineRule="auto"/>
              <w:ind w:left="232"/>
              <w:rPr>
                <w:sz w:val="18"/>
                <w:szCs w:val="18"/>
              </w:rPr>
            </w:pPr>
            <w:r>
              <w:rPr>
                <w:spacing w:val="6"/>
                <w:sz w:val="18"/>
                <w:szCs w:val="18"/>
              </w:rPr>
              <w:t>保护</w:t>
            </w:r>
          </w:p>
          <w:p w14:paraId="339B2FD4">
            <w:pPr>
              <w:pStyle w:val="6"/>
              <w:spacing w:before="15" w:line="219" w:lineRule="auto"/>
              <w:ind w:left="232"/>
              <w:rPr>
                <w:sz w:val="18"/>
                <w:szCs w:val="18"/>
              </w:rPr>
            </w:pPr>
            <w:r>
              <w:rPr>
                <w:spacing w:val="-2"/>
                <w:sz w:val="18"/>
                <w:szCs w:val="18"/>
              </w:rPr>
              <w:t>对象</w:t>
            </w:r>
          </w:p>
        </w:tc>
        <w:tc>
          <w:tcPr>
            <w:tcW w:w="1668" w:type="dxa"/>
            <w:vMerge w:val="restart"/>
            <w:tcBorders>
              <w:bottom w:val="nil"/>
            </w:tcBorders>
            <w:vAlign w:val="top"/>
          </w:tcPr>
          <w:p w14:paraId="152A0CDC">
            <w:pPr>
              <w:pStyle w:val="6"/>
              <w:spacing w:before="258" w:line="221" w:lineRule="auto"/>
              <w:ind w:left="463"/>
              <w:rPr>
                <w:sz w:val="18"/>
                <w:szCs w:val="18"/>
              </w:rPr>
            </w:pPr>
            <w:r>
              <w:rPr>
                <w:spacing w:val="-2"/>
                <w:sz w:val="18"/>
                <w:szCs w:val="18"/>
              </w:rPr>
              <w:t>地理位置</w:t>
            </w:r>
          </w:p>
        </w:tc>
        <w:tc>
          <w:tcPr>
            <w:tcW w:w="1339" w:type="dxa"/>
            <w:vMerge w:val="restart"/>
            <w:tcBorders>
              <w:bottom w:val="nil"/>
            </w:tcBorders>
            <w:vAlign w:val="top"/>
          </w:tcPr>
          <w:p w14:paraId="08FF23AF">
            <w:pPr>
              <w:pStyle w:val="6"/>
              <w:spacing w:before="137" w:line="220" w:lineRule="auto"/>
              <w:ind w:left="485"/>
              <w:rPr>
                <w:sz w:val="18"/>
                <w:szCs w:val="18"/>
              </w:rPr>
            </w:pPr>
            <w:r>
              <w:rPr>
                <w:spacing w:val="6"/>
                <w:sz w:val="18"/>
                <w:szCs w:val="18"/>
              </w:rPr>
              <w:t>保护</w:t>
            </w:r>
          </w:p>
          <w:p w14:paraId="5B7B230D">
            <w:pPr>
              <w:pStyle w:val="6"/>
              <w:spacing w:before="15" w:line="219" w:lineRule="auto"/>
              <w:ind w:left="485"/>
              <w:rPr>
                <w:sz w:val="18"/>
                <w:szCs w:val="18"/>
              </w:rPr>
            </w:pPr>
            <w:r>
              <w:rPr>
                <w:spacing w:val="4"/>
                <w:sz w:val="18"/>
                <w:szCs w:val="18"/>
              </w:rPr>
              <w:t>内容</w:t>
            </w:r>
          </w:p>
        </w:tc>
        <w:tc>
          <w:tcPr>
            <w:tcW w:w="2607" w:type="dxa"/>
            <w:gridSpan w:val="2"/>
            <w:vAlign w:val="top"/>
          </w:tcPr>
          <w:p w14:paraId="4E767606">
            <w:pPr>
              <w:pStyle w:val="6"/>
              <w:spacing w:before="87" w:line="220" w:lineRule="auto"/>
              <w:ind w:left="756"/>
              <w:rPr>
                <w:sz w:val="18"/>
                <w:szCs w:val="18"/>
              </w:rPr>
            </w:pPr>
            <w:r>
              <w:rPr>
                <w:spacing w:val="2"/>
                <w:sz w:val="18"/>
                <w:szCs w:val="18"/>
              </w:rPr>
              <w:t>相对位置关系</w:t>
            </w:r>
          </w:p>
        </w:tc>
        <w:tc>
          <w:tcPr>
            <w:tcW w:w="590" w:type="dxa"/>
            <w:vMerge w:val="restart"/>
            <w:tcBorders>
              <w:bottom w:val="nil"/>
            </w:tcBorders>
            <w:vAlign w:val="top"/>
          </w:tcPr>
          <w:p w14:paraId="142A6173">
            <w:pPr>
              <w:pStyle w:val="6"/>
              <w:spacing w:before="137" w:line="220" w:lineRule="auto"/>
              <w:ind w:left="109"/>
              <w:rPr>
                <w:sz w:val="18"/>
                <w:szCs w:val="18"/>
              </w:rPr>
            </w:pPr>
            <w:r>
              <w:rPr>
                <w:spacing w:val="-2"/>
                <w:sz w:val="18"/>
                <w:szCs w:val="18"/>
              </w:rPr>
              <w:t>环境</w:t>
            </w:r>
          </w:p>
          <w:p w14:paraId="6BD0C297">
            <w:pPr>
              <w:pStyle w:val="6"/>
              <w:spacing w:before="16" w:line="221" w:lineRule="auto"/>
              <w:ind w:left="109"/>
              <w:rPr>
                <w:sz w:val="18"/>
                <w:szCs w:val="18"/>
              </w:rPr>
            </w:pPr>
            <w:r>
              <w:rPr>
                <w:spacing w:val="-3"/>
                <w:sz w:val="18"/>
                <w:szCs w:val="18"/>
              </w:rPr>
              <w:t>功能</w:t>
            </w:r>
          </w:p>
        </w:tc>
        <w:tc>
          <w:tcPr>
            <w:tcW w:w="804" w:type="dxa"/>
            <w:vMerge w:val="restart"/>
            <w:tcBorders>
              <w:bottom w:val="nil"/>
            </w:tcBorders>
            <w:vAlign w:val="top"/>
          </w:tcPr>
          <w:p w14:paraId="4613DBEB">
            <w:pPr>
              <w:pStyle w:val="6"/>
              <w:spacing w:before="137" w:line="220" w:lineRule="auto"/>
              <w:ind w:left="219"/>
              <w:rPr>
                <w:sz w:val="18"/>
                <w:szCs w:val="18"/>
              </w:rPr>
            </w:pPr>
            <w:r>
              <w:rPr>
                <w:spacing w:val="6"/>
                <w:sz w:val="18"/>
                <w:szCs w:val="18"/>
              </w:rPr>
              <w:t>保护</w:t>
            </w:r>
          </w:p>
          <w:p w14:paraId="47688783">
            <w:pPr>
              <w:pStyle w:val="6"/>
              <w:spacing w:before="15" w:line="220" w:lineRule="auto"/>
              <w:ind w:left="219"/>
              <w:rPr>
                <w:sz w:val="18"/>
                <w:szCs w:val="18"/>
              </w:rPr>
            </w:pPr>
            <w:r>
              <w:rPr>
                <w:spacing w:val="7"/>
                <w:sz w:val="18"/>
                <w:szCs w:val="18"/>
              </w:rPr>
              <w:t>级别</w:t>
            </w:r>
          </w:p>
        </w:tc>
      </w:tr>
      <w:tr w14:paraId="54663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94" w:type="dxa"/>
            <w:vMerge w:val="continue"/>
            <w:tcBorders>
              <w:top w:val="nil"/>
              <w:bottom w:val="nil"/>
            </w:tcBorders>
            <w:vAlign w:val="top"/>
          </w:tcPr>
          <w:p w14:paraId="28D9C321">
            <w:pPr>
              <w:rPr>
                <w:rFonts w:ascii="Arial"/>
                <w:sz w:val="21"/>
              </w:rPr>
            </w:pPr>
          </w:p>
        </w:tc>
        <w:tc>
          <w:tcPr>
            <w:tcW w:w="140" w:type="dxa"/>
            <w:vMerge w:val="continue"/>
            <w:tcBorders>
              <w:top w:val="nil"/>
              <w:bottom w:val="nil"/>
            </w:tcBorders>
            <w:vAlign w:val="top"/>
          </w:tcPr>
          <w:p w14:paraId="34F57BC6">
            <w:pPr>
              <w:rPr>
                <w:rFonts w:ascii="Arial"/>
                <w:sz w:val="21"/>
              </w:rPr>
            </w:pPr>
          </w:p>
        </w:tc>
        <w:tc>
          <w:tcPr>
            <w:tcW w:w="589" w:type="dxa"/>
            <w:vMerge w:val="continue"/>
            <w:tcBorders>
              <w:top w:val="nil"/>
            </w:tcBorders>
            <w:vAlign w:val="top"/>
          </w:tcPr>
          <w:p w14:paraId="258E2838">
            <w:pPr>
              <w:rPr>
                <w:rFonts w:ascii="Arial"/>
                <w:sz w:val="21"/>
              </w:rPr>
            </w:pPr>
          </w:p>
        </w:tc>
        <w:tc>
          <w:tcPr>
            <w:tcW w:w="839" w:type="dxa"/>
            <w:vMerge w:val="continue"/>
            <w:tcBorders>
              <w:top w:val="nil"/>
            </w:tcBorders>
            <w:vAlign w:val="top"/>
          </w:tcPr>
          <w:p w14:paraId="6521AB94">
            <w:pPr>
              <w:rPr>
                <w:rFonts w:ascii="Arial"/>
                <w:sz w:val="21"/>
              </w:rPr>
            </w:pPr>
          </w:p>
        </w:tc>
        <w:tc>
          <w:tcPr>
            <w:tcW w:w="1668" w:type="dxa"/>
            <w:vMerge w:val="continue"/>
            <w:tcBorders>
              <w:top w:val="nil"/>
            </w:tcBorders>
            <w:vAlign w:val="top"/>
          </w:tcPr>
          <w:p w14:paraId="7636FBF9">
            <w:pPr>
              <w:rPr>
                <w:rFonts w:ascii="Arial"/>
                <w:sz w:val="21"/>
              </w:rPr>
            </w:pPr>
          </w:p>
        </w:tc>
        <w:tc>
          <w:tcPr>
            <w:tcW w:w="1339" w:type="dxa"/>
            <w:vMerge w:val="continue"/>
            <w:tcBorders>
              <w:top w:val="nil"/>
            </w:tcBorders>
            <w:vAlign w:val="top"/>
          </w:tcPr>
          <w:p w14:paraId="498B1E75">
            <w:pPr>
              <w:rPr>
                <w:rFonts w:ascii="Arial"/>
                <w:sz w:val="21"/>
              </w:rPr>
            </w:pPr>
          </w:p>
        </w:tc>
        <w:tc>
          <w:tcPr>
            <w:tcW w:w="1858" w:type="dxa"/>
            <w:vAlign w:val="top"/>
          </w:tcPr>
          <w:p w14:paraId="43F60D23">
            <w:pPr>
              <w:pStyle w:val="6"/>
              <w:spacing w:before="78" w:line="221" w:lineRule="auto"/>
              <w:ind w:left="746"/>
              <w:rPr>
                <w:sz w:val="18"/>
                <w:szCs w:val="18"/>
              </w:rPr>
            </w:pPr>
            <w:r>
              <w:rPr>
                <w:spacing w:val="-2"/>
                <w:sz w:val="18"/>
                <w:szCs w:val="18"/>
              </w:rPr>
              <w:t>方位</w:t>
            </w:r>
          </w:p>
        </w:tc>
        <w:tc>
          <w:tcPr>
            <w:tcW w:w="749" w:type="dxa"/>
            <w:vAlign w:val="top"/>
          </w:tcPr>
          <w:p w14:paraId="2C80D47B">
            <w:pPr>
              <w:pStyle w:val="6"/>
              <w:spacing w:before="77" w:line="220" w:lineRule="auto"/>
              <w:ind w:left="188"/>
              <w:rPr>
                <w:sz w:val="18"/>
                <w:szCs w:val="18"/>
              </w:rPr>
            </w:pPr>
            <w:r>
              <w:rPr>
                <w:spacing w:val="-2"/>
                <w:sz w:val="18"/>
                <w:szCs w:val="18"/>
              </w:rPr>
              <w:t>距离</w:t>
            </w:r>
          </w:p>
        </w:tc>
        <w:tc>
          <w:tcPr>
            <w:tcW w:w="590" w:type="dxa"/>
            <w:vMerge w:val="continue"/>
            <w:tcBorders>
              <w:top w:val="nil"/>
            </w:tcBorders>
            <w:vAlign w:val="top"/>
          </w:tcPr>
          <w:p w14:paraId="2C8CAF8A">
            <w:pPr>
              <w:rPr>
                <w:rFonts w:ascii="Arial"/>
                <w:sz w:val="21"/>
              </w:rPr>
            </w:pPr>
          </w:p>
        </w:tc>
        <w:tc>
          <w:tcPr>
            <w:tcW w:w="804" w:type="dxa"/>
            <w:vMerge w:val="continue"/>
            <w:tcBorders>
              <w:top w:val="nil"/>
            </w:tcBorders>
            <w:vAlign w:val="top"/>
          </w:tcPr>
          <w:p w14:paraId="7A102BEF">
            <w:pPr>
              <w:rPr>
                <w:rFonts w:ascii="Arial"/>
                <w:sz w:val="21"/>
              </w:rPr>
            </w:pPr>
          </w:p>
        </w:tc>
      </w:tr>
      <w:tr w14:paraId="09D4D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94" w:type="dxa"/>
            <w:vMerge w:val="continue"/>
            <w:tcBorders>
              <w:top w:val="nil"/>
              <w:bottom w:val="nil"/>
            </w:tcBorders>
            <w:vAlign w:val="top"/>
          </w:tcPr>
          <w:p w14:paraId="297A26B4">
            <w:pPr>
              <w:rPr>
                <w:rFonts w:ascii="Arial"/>
                <w:sz w:val="21"/>
              </w:rPr>
            </w:pPr>
          </w:p>
        </w:tc>
        <w:tc>
          <w:tcPr>
            <w:tcW w:w="140" w:type="dxa"/>
            <w:vMerge w:val="continue"/>
            <w:tcBorders>
              <w:top w:val="nil"/>
              <w:bottom w:val="nil"/>
            </w:tcBorders>
            <w:vAlign w:val="top"/>
          </w:tcPr>
          <w:p w14:paraId="0117462B">
            <w:pPr>
              <w:rPr>
                <w:rFonts w:ascii="Arial"/>
                <w:sz w:val="21"/>
              </w:rPr>
            </w:pPr>
          </w:p>
        </w:tc>
        <w:tc>
          <w:tcPr>
            <w:tcW w:w="589" w:type="dxa"/>
            <w:vMerge w:val="restart"/>
            <w:tcBorders>
              <w:bottom w:val="nil"/>
            </w:tcBorders>
            <w:vAlign w:val="top"/>
          </w:tcPr>
          <w:p w14:paraId="4E4B890F">
            <w:pPr>
              <w:spacing w:line="303" w:lineRule="auto"/>
              <w:rPr>
                <w:rFonts w:ascii="Arial"/>
                <w:sz w:val="21"/>
              </w:rPr>
            </w:pPr>
          </w:p>
          <w:p w14:paraId="509E4C78">
            <w:pPr>
              <w:spacing w:line="303" w:lineRule="auto"/>
              <w:rPr>
                <w:rFonts w:ascii="Arial"/>
                <w:sz w:val="21"/>
              </w:rPr>
            </w:pPr>
          </w:p>
          <w:p w14:paraId="4E6891E0">
            <w:pPr>
              <w:pStyle w:val="6"/>
              <w:spacing w:before="58" w:line="238" w:lineRule="auto"/>
              <w:ind w:left="191" w:right="128" w:hanging="90"/>
              <w:rPr>
                <w:sz w:val="18"/>
                <w:szCs w:val="18"/>
              </w:rPr>
            </w:pPr>
            <w:r>
              <w:rPr>
                <w:spacing w:val="-6"/>
                <w:sz w:val="18"/>
                <w:szCs w:val="18"/>
              </w:rPr>
              <w:t>声环</w:t>
            </w:r>
            <w:r>
              <w:rPr>
                <w:sz w:val="18"/>
                <w:szCs w:val="18"/>
              </w:rPr>
              <w:t xml:space="preserve"> 境</w:t>
            </w:r>
          </w:p>
        </w:tc>
        <w:tc>
          <w:tcPr>
            <w:tcW w:w="839" w:type="dxa"/>
            <w:vMerge w:val="restart"/>
            <w:tcBorders>
              <w:bottom w:val="nil"/>
            </w:tcBorders>
            <w:vAlign w:val="top"/>
          </w:tcPr>
          <w:p w14:paraId="4D2EBA36">
            <w:pPr>
              <w:spacing w:line="385" w:lineRule="auto"/>
              <w:rPr>
                <w:rFonts w:ascii="Arial"/>
                <w:sz w:val="21"/>
              </w:rPr>
            </w:pPr>
          </w:p>
          <w:p w14:paraId="3E723302">
            <w:pPr>
              <w:pStyle w:val="6"/>
              <w:spacing w:before="58" w:line="219" w:lineRule="auto"/>
              <w:ind w:left="52"/>
              <w:rPr>
                <w:sz w:val="18"/>
                <w:szCs w:val="18"/>
              </w:rPr>
            </w:pPr>
            <w:r>
              <w:rPr>
                <w:spacing w:val="-2"/>
                <w:sz w:val="18"/>
                <w:szCs w:val="18"/>
              </w:rPr>
              <w:t>栗树园村</w:t>
            </w:r>
          </w:p>
        </w:tc>
        <w:tc>
          <w:tcPr>
            <w:tcW w:w="1668" w:type="dxa"/>
            <w:vMerge w:val="restart"/>
            <w:tcBorders>
              <w:bottom w:val="nil"/>
            </w:tcBorders>
            <w:vAlign w:val="top"/>
          </w:tcPr>
          <w:p w14:paraId="7E27E3A8">
            <w:pPr>
              <w:spacing w:line="324" w:lineRule="auto"/>
              <w:rPr>
                <w:rFonts w:ascii="Arial"/>
                <w:sz w:val="21"/>
              </w:rPr>
            </w:pPr>
          </w:p>
          <w:p w14:paraId="3B30B626">
            <w:pPr>
              <w:pStyle w:val="6"/>
              <w:spacing w:before="58" w:line="238" w:lineRule="auto"/>
              <w:ind w:left="58" w:hanging="45"/>
              <w:rPr>
                <w:sz w:val="18"/>
                <w:szCs w:val="18"/>
              </w:rPr>
            </w:pPr>
            <w:r>
              <w:rPr>
                <w:spacing w:val="-4"/>
                <w:sz w:val="18"/>
                <w:szCs w:val="18"/>
              </w:rPr>
              <w:t>E103°29'48.15860”</w:t>
            </w:r>
            <w:r>
              <w:rPr>
                <w:spacing w:val="1"/>
                <w:sz w:val="18"/>
                <w:szCs w:val="18"/>
              </w:rPr>
              <w:t xml:space="preserve"> </w:t>
            </w:r>
            <w:r>
              <w:rPr>
                <w:spacing w:val="-8"/>
                <w:sz w:val="18"/>
                <w:szCs w:val="18"/>
              </w:rPr>
              <w:t>N24°54'50.36415"</w:t>
            </w:r>
          </w:p>
        </w:tc>
        <w:tc>
          <w:tcPr>
            <w:tcW w:w="1339" w:type="dxa"/>
            <w:vMerge w:val="restart"/>
            <w:tcBorders>
              <w:bottom w:val="nil"/>
            </w:tcBorders>
            <w:vAlign w:val="top"/>
          </w:tcPr>
          <w:p w14:paraId="7C07DB39">
            <w:pPr>
              <w:spacing w:line="387" w:lineRule="auto"/>
              <w:rPr>
                <w:rFonts w:ascii="Arial"/>
                <w:sz w:val="21"/>
              </w:rPr>
            </w:pPr>
          </w:p>
          <w:p w14:paraId="7044F335">
            <w:pPr>
              <w:pStyle w:val="6"/>
              <w:spacing w:before="58" w:line="220" w:lineRule="auto"/>
              <w:ind w:left="124"/>
              <w:rPr>
                <w:sz w:val="18"/>
                <w:szCs w:val="18"/>
              </w:rPr>
            </w:pPr>
            <w:r>
              <w:rPr>
                <w:sz w:val="18"/>
                <w:szCs w:val="18"/>
              </w:rPr>
              <w:t>182户，728人</w:t>
            </w:r>
          </w:p>
        </w:tc>
        <w:tc>
          <w:tcPr>
            <w:tcW w:w="1858" w:type="dxa"/>
            <w:vAlign w:val="top"/>
          </w:tcPr>
          <w:p w14:paraId="3AD2FD95">
            <w:pPr>
              <w:pStyle w:val="6"/>
              <w:spacing w:before="96" w:line="219" w:lineRule="auto"/>
              <w:ind w:left="296"/>
              <w:rPr>
                <w:sz w:val="18"/>
                <w:szCs w:val="18"/>
              </w:rPr>
            </w:pPr>
            <w:r>
              <w:rPr>
                <w:spacing w:val="1"/>
                <w:sz w:val="18"/>
                <w:szCs w:val="18"/>
              </w:rPr>
              <w:t>5#光伏阵列南侧</w:t>
            </w:r>
          </w:p>
        </w:tc>
        <w:tc>
          <w:tcPr>
            <w:tcW w:w="749" w:type="dxa"/>
            <w:vAlign w:val="top"/>
          </w:tcPr>
          <w:p w14:paraId="6BC47391">
            <w:pPr>
              <w:pStyle w:val="6"/>
              <w:spacing w:before="115" w:line="230" w:lineRule="auto"/>
              <w:ind w:left="238"/>
              <w:rPr>
                <w:sz w:val="18"/>
                <w:szCs w:val="18"/>
              </w:rPr>
            </w:pPr>
            <w:r>
              <w:rPr>
                <w:spacing w:val="-2"/>
                <w:sz w:val="18"/>
                <w:szCs w:val="18"/>
              </w:rPr>
              <w:t>40m</w:t>
            </w:r>
          </w:p>
        </w:tc>
        <w:tc>
          <w:tcPr>
            <w:tcW w:w="590" w:type="dxa"/>
            <w:vMerge w:val="restart"/>
            <w:tcBorders>
              <w:bottom w:val="nil"/>
            </w:tcBorders>
            <w:vAlign w:val="top"/>
          </w:tcPr>
          <w:p w14:paraId="79F7AD25">
            <w:pPr>
              <w:pStyle w:val="6"/>
              <w:spacing w:before="116" w:line="272" w:lineRule="auto"/>
              <w:ind w:left="199" w:right="117" w:hanging="90"/>
              <w:rPr>
                <w:sz w:val="18"/>
                <w:szCs w:val="18"/>
              </w:rPr>
            </w:pPr>
            <w:r>
              <w:rPr>
                <w:spacing w:val="-4"/>
                <w:sz w:val="18"/>
                <w:szCs w:val="18"/>
              </w:rPr>
              <w:t>栗树</w:t>
            </w:r>
            <w:r>
              <w:rPr>
                <w:sz w:val="18"/>
                <w:szCs w:val="18"/>
              </w:rPr>
              <w:t xml:space="preserve"> 园</w:t>
            </w:r>
          </w:p>
          <w:p w14:paraId="165FBF3D">
            <w:pPr>
              <w:pStyle w:val="6"/>
              <w:spacing w:line="218" w:lineRule="auto"/>
              <w:jc w:val="right"/>
              <w:rPr>
                <w:sz w:val="18"/>
                <w:szCs w:val="18"/>
              </w:rPr>
            </w:pPr>
            <w:r>
              <w:rPr>
                <w:spacing w:val="-17"/>
                <w:sz w:val="18"/>
                <w:szCs w:val="18"/>
              </w:rPr>
              <w:t>村</w:t>
            </w:r>
            <w:r>
              <w:rPr>
                <w:spacing w:val="33"/>
                <w:sz w:val="18"/>
                <w:szCs w:val="18"/>
              </w:rPr>
              <w:t xml:space="preserve"> </w:t>
            </w:r>
            <w:r>
              <w:rPr>
                <w:spacing w:val="-17"/>
                <w:sz w:val="18"/>
                <w:szCs w:val="18"/>
              </w:rPr>
              <w:t>、</w:t>
            </w:r>
          </w:p>
          <w:p w14:paraId="32655D7A">
            <w:pPr>
              <w:pStyle w:val="6"/>
              <w:spacing w:before="87" w:line="219" w:lineRule="auto"/>
              <w:ind w:left="109"/>
              <w:rPr>
                <w:sz w:val="18"/>
                <w:szCs w:val="18"/>
              </w:rPr>
            </w:pPr>
            <w:r>
              <w:rPr>
                <w:spacing w:val="-2"/>
                <w:sz w:val="18"/>
                <w:szCs w:val="18"/>
              </w:rPr>
              <w:t>栗树</w:t>
            </w:r>
          </w:p>
          <w:p w14:paraId="75BA0379">
            <w:pPr>
              <w:pStyle w:val="6"/>
              <w:spacing w:before="35" w:line="219" w:lineRule="auto"/>
              <w:ind w:left="109"/>
              <w:rPr>
                <w:sz w:val="18"/>
                <w:szCs w:val="18"/>
              </w:rPr>
            </w:pPr>
            <w:r>
              <w:rPr>
                <w:spacing w:val="4"/>
                <w:sz w:val="18"/>
                <w:szCs w:val="18"/>
              </w:rPr>
              <w:t>园村</w:t>
            </w:r>
          </w:p>
        </w:tc>
        <w:tc>
          <w:tcPr>
            <w:tcW w:w="804" w:type="dxa"/>
            <w:vMerge w:val="restart"/>
            <w:tcBorders>
              <w:bottom w:val="nil"/>
            </w:tcBorders>
            <w:vAlign w:val="top"/>
          </w:tcPr>
          <w:p w14:paraId="79B8C387">
            <w:pPr>
              <w:pStyle w:val="6"/>
              <w:spacing w:before="77" w:line="219" w:lineRule="auto"/>
              <w:ind w:left="129"/>
              <w:rPr>
                <w:sz w:val="18"/>
                <w:szCs w:val="18"/>
              </w:rPr>
            </w:pPr>
            <w:r>
              <w:rPr>
                <w:spacing w:val="5"/>
                <w:sz w:val="18"/>
                <w:szCs w:val="18"/>
              </w:rPr>
              <w:t>栗树园</w:t>
            </w:r>
          </w:p>
          <w:p w14:paraId="1FA5A0CD">
            <w:pPr>
              <w:pStyle w:val="6"/>
              <w:spacing w:before="35" w:line="219" w:lineRule="auto"/>
              <w:ind w:left="79"/>
              <w:rPr>
                <w:sz w:val="18"/>
                <w:szCs w:val="18"/>
              </w:rPr>
            </w:pPr>
            <w:r>
              <w:rPr>
                <w:spacing w:val="-2"/>
                <w:sz w:val="18"/>
                <w:szCs w:val="18"/>
              </w:rPr>
              <w:t>村散户4</w:t>
            </w:r>
          </w:p>
          <w:p w14:paraId="71003D0E">
            <w:pPr>
              <w:pStyle w:val="6"/>
              <w:spacing w:before="40" w:line="222" w:lineRule="auto"/>
              <w:ind w:left="219"/>
              <w:rPr>
                <w:sz w:val="18"/>
                <w:szCs w:val="18"/>
              </w:rPr>
            </w:pPr>
            <w:r>
              <w:rPr>
                <w:spacing w:val="5"/>
                <w:sz w:val="18"/>
                <w:szCs w:val="18"/>
              </w:rPr>
              <w:t>(田间</w:t>
            </w:r>
          </w:p>
          <w:p w14:paraId="693D6A6F">
            <w:pPr>
              <w:pStyle w:val="6"/>
              <w:spacing w:before="30" w:line="216" w:lineRule="auto"/>
              <w:ind w:left="129"/>
              <w:rPr>
                <w:sz w:val="18"/>
                <w:szCs w:val="18"/>
              </w:rPr>
            </w:pPr>
            <w:r>
              <w:rPr>
                <w:spacing w:val="-2"/>
                <w:sz w:val="18"/>
                <w:szCs w:val="18"/>
              </w:rPr>
              <w:t>农户看</w:t>
            </w:r>
          </w:p>
          <w:p w14:paraId="483CDDEA">
            <w:pPr>
              <w:pStyle w:val="6"/>
              <w:spacing w:line="220" w:lineRule="auto"/>
              <w:ind w:left="79"/>
              <w:rPr>
                <w:sz w:val="18"/>
                <w:szCs w:val="18"/>
              </w:rPr>
            </w:pPr>
            <w:r>
              <w:rPr>
                <w:spacing w:val="-2"/>
                <w:sz w:val="18"/>
                <w:szCs w:val="18"/>
              </w:rPr>
              <w:t>地)、栗</w:t>
            </w:r>
          </w:p>
          <w:p w14:paraId="3C344401">
            <w:pPr>
              <w:pStyle w:val="6"/>
              <w:spacing w:before="23" w:line="219" w:lineRule="auto"/>
              <w:ind w:left="129"/>
              <w:rPr>
                <w:sz w:val="18"/>
                <w:szCs w:val="18"/>
              </w:rPr>
            </w:pPr>
            <w:r>
              <w:rPr>
                <w:spacing w:val="-2"/>
                <w:sz w:val="18"/>
                <w:szCs w:val="18"/>
              </w:rPr>
              <w:t>树园村</w:t>
            </w:r>
          </w:p>
        </w:tc>
      </w:tr>
      <w:tr w14:paraId="26D74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94" w:type="dxa"/>
            <w:vMerge w:val="continue"/>
            <w:tcBorders>
              <w:top w:val="nil"/>
              <w:bottom w:val="nil"/>
            </w:tcBorders>
            <w:vAlign w:val="top"/>
          </w:tcPr>
          <w:p w14:paraId="499BB340">
            <w:pPr>
              <w:rPr>
                <w:rFonts w:ascii="Arial"/>
                <w:sz w:val="21"/>
              </w:rPr>
            </w:pPr>
          </w:p>
        </w:tc>
        <w:tc>
          <w:tcPr>
            <w:tcW w:w="140" w:type="dxa"/>
            <w:vMerge w:val="continue"/>
            <w:tcBorders>
              <w:top w:val="nil"/>
              <w:bottom w:val="nil"/>
            </w:tcBorders>
            <w:vAlign w:val="top"/>
          </w:tcPr>
          <w:p w14:paraId="06E0A7CD">
            <w:pPr>
              <w:rPr>
                <w:rFonts w:ascii="Arial"/>
                <w:sz w:val="21"/>
              </w:rPr>
            </w:pPr>
          </w:p>
        </w:tc>
        <w:tc>
          <w:tcPr>
            <w:tcW w:w="589" w:type="dxa"/>
            <w:vMerge w:val="continue"/>
            <w:tcBorders>
              <w:top w:val="nil"/>
              <w:bottom w:val="nil"/>
            </w:tcBorders>
            <w:vAlign w:val="top"/>
          </w:tcPr>
          <w:p w14:paraId="2D06ECC6">
            <w:pPr>
              <w:rPr>
                <w:rFonts w:ascii="Arial"/>
                <w:sz w:val="21"/>
              </w:rPr>
            </w:pPr>
          </w:p>
        </w:tc>
        <w:tc>
          <w:tcPr>
            <w:tcW w:w="839" w:type="dxa"/>
            <w:vMerge w:val="continue"/>
            <w:tcBorders>
              <w:top w:val="nil"/>
              <w:bottom w:val="nil"/>
            </w:tcBorders>
            <w:vAlign w:val="top"/>
          </w:tcPr>
          <w:p w14:paraId="77B24AF0">
            <w:pPr>
              <w:rPr>
                <w:rFonts w:ascii="Arial"/>
                <w:sz w:val="21"/>
              </w:rPr>
            </w:pPr>
          </w:p>
        </w:tc>
        <w:tc>
          <w:tcPr>
            <w:tcW w:w="1668" w:type="dxa"/>
            <w:vMerge w:val="continue"/>
            <w:tcBorders>
              <w:top w:val="nil"/>
              <w:bottom w:val="nil"/>
            </w:tcBorders>
            <w:vAlign w:val="top"/>
          </w:tcPr>
          <w:p w14:paraId="760A713F">
            <w:pPr>
              <w:rPr>
                <w:rFonts w:ascii="Arial"/>
                <w:sz w:val="21"/>
              </w:rPr>
            </w:pPr>
          </w:p>
        </w:tc>
        <w:tc>
          <w:tcPr>
            <w:tcW w:w="1339" w:type="dxa"/>
            <w:vMerge w:val="continue"/>
            <w:tcBorders>
              <w:top w:val="nil"/>
              <w:bottom w:val="nil"/>
            </w:tcBorders>
            <w:vAlign w:val="top"/>
          </w:tcPr>
          <w:p w14:paraId="1D873B2F">
            <w:pPr>
              <w:rPr>
                <w:rFonts w:ascii="Arial"/>
                <w:sz w:val="21"/>
              </w:rPr>
            </w:pPr>
          </w:p>
        </w:tc>
        <w:tc>
          <w:tcPr>
            <w:tcW w:w="1858" w:type="dxa"/>
            <w:vAlign w:val="top"/>
          </w:tcPr>
          <w:p w14:paraId="7C76ADF3">
            <w:pPr>
              <w:pStyle w:val="6"/>
              <w:spacing w:before="86" w:line="219" w:lineRule="auto"/>
              <w:ind w:left="156"/>
              <w:rPr>
                <w:sz w:val="18"/>
                <w:szCs w:val="18"/>
              </w:rPr>
            </w:pPr>
            <w:r>
              <w:rPr>
                <w:spacing w:val="1"/>
                <w:sz w:val="18"/>
                <w:szCs w:val="18"/>
              </w:rPr>
              <w:t>10#光伏阵列东北侧</w:t>
            </w:r>
          </w:p>
        </w:tc>
        <w:tc>
          <w:tcPr>
            <w:tcW w:w="749" w:type="dxa"/>
            <w:vAlign w:val="top"/>
          </w:tcPr>
          <w:p w14:paraId="74AC80D4">
            <w:pPr>
              <w:pStyle w:val="6"/>
              <w:spacing w:before="105" w:line="220" w:lineRule="auto"/>
              <w:ind w:left="238"/>
              <w:rPr>
                <w:sz w:val="18"/>
                <w:szCs w:val="18"/>
              </w:rPr>
            </w:pPr>
            <w:r>
              <w:rPr>
                <w:spacing w:val="-2"/>
                <w:sz w:val="18"/>
                <w:szCs w:val="18"/>
              </w:rPr>
              <w:t>66m</w:t>
            </w:r>
          </w:p>
        </w:tc>
        <w:tc>
          <w:tcPr>
            <w:tcW w:w="590" w:type="dxa"/>
            <w:vMerge w:val="continue"/>
            <w:tcBorders>
              <w:top w:val="nil"/>
              <w:bottom w:val="nil"/>
            </w:tcBorders>
            <w:vAlign w:val="top"/>
          </w:tcPr>
          <w:p w14:paraId="3116FC88">
            <w:pPr>
              <w:rPr>
                <w:rFonts w:ascii="Arial"/>
                <w:sz w:val="21"/>
              </w:rPr>
            </w:pPr>
          </w:p>
        </w:tc>
        <w:tc>
          <w:tcPr>
            <w:tcW w:w="804" w:type="dxa"/>
            <w:vMerge w:val="continue"/>
            <w:tcBorders>
              <w:top w:val="nil"/>
              <w:bottom w:val="nil"/>
            </w:tcBorders>
            <w:vAlign w:val="top"/>
          </w:tcPr>
          <w:p w14:paraId="59DD0D94">
            <w:pPr>
              <w:rPr>
                <w:rFonts w:ascii="Arial"/>
                <w:sz w:val="21"/>
              </w:rPr>
            </w:pPr>
          </w:p>
        </w:tc>
      </w:tr>
      <w:tr w14:paraId="0284A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94" w:type="dxa"/>
            <w:vMerge w:val="continue"/>
            <w:tcBorders>
              <w:top w:val="nil"/>
              <w:bottom w:val="nil"/>
            </w:tcBorders>
            <w:vAlign w:val="top"/>
          </w:tcPr>
          <w:p w14:paraId="51E0C0D9">
            <w:pPr>
              <w:rPr>
                <w:rFonts w:ascii="Arial"/>
                <w:sz w:val="21"/>
              </w:rPr>
            </w:pPr>
          </w:p>
        </w:tc>
        <w:tc>
          <w:tcPr>
            <w:tcW w:w="140" w:type="dxa"/>
            <w:vMerge w:val="continue"/>
            <w:tcBorders>
              <w:top w:val="nil"/>
              <w:bottom w:val="nil"/>
            </w:tcBorders>
            <w:vAlign w:val="top"/>
          </w:tcPr>
          <w:p w14:paraId="1ADEDF2C">
            <w:pPr>
              <w:rPr>
                <w:rFonts w:ascii="Arial"/>
                <w:sz w:val="21"/>
              </w:rPr>
            </w:pPr>
          </w:p>
        </w:tc>
        <w:tc>
          <w:tcPr>
            <w:tcW w:w="589" w:type="dxa"/>
            <w:vMerge w:val="continue"/>
            <w:tcBorders>
              <w:top w:val="nil"/>
              <w:bottom w:val="nil"/>
            </w:tcBorders>
            <w:vAlign w:val="top"/>
          </w:tcPr>
          <w:p w14:paraId="38E52C12">
            <w:pPr>
              <w:rPr>
                <w:rFonts w:ascii="Arial"/>
                <w:sz w:val="21"/>
              </w:rPr>
            </w:pPr>
          </w:p>
        </w:tc>
        <w:tc>
          <w:tcPr>
            <w:tcW w:w="839" w:type="dxa"/>
            <w:vMerge w:val="continue"/>
            <w:tcBorders>
              <w:top w:val="nil"/>
            </w:tcBorders>
            <w:vAlign w:val="top"/>
          </w:tcPr>
          <w:p w14:paraId="03D2AF8E">
            <w:pPr>
              <w:rPr>
                <w:rFonts w:ascii="Arial"/>
                <w:sz w:val="21"/>
              </w:rPr>
            </w:pPr>
          </w:p>
        </w:tc>
        <w:tc>
          <w:tcPr>
            <w:tcW w:w="1668" w:type="dxa"/>
            <w:vMerge w:val="continue"/>
            <w:tcBorders>
              <w:top w:val="nil"/>
            </w:tcBorders>
            <w:vAlign w:val="top"/>
          </w:tcPr>
          <w:p w14:paraId="16C404F3">
            <w:pPr>
              <w:rPr>
                <w:rFonts w:ascii="Arial"/>
                <w:sz w:val="21"/>
              </w:rPr>
            </w:pPr>
          </w:p>
        </w:tc>
        <w:tc>
          <w:tcPr>
            <w:tcW w:w="1339" w:type="dxa"/>
            <w:vMerge w:val="continue"/>
            <w:tcBorders>
              <w:top w:val="nil"/>
            </w:tcBorders>
            <w:vAlign w:val="top"/>
          </w:tcPr>
          <w:p w14:paraId="19D35011">
            <w:pPr>
              <w:rPr>
                <w:rFonts w:ascii="Arial"/>
                <w:sz w:val="21"/>
              </w:rPr>
            </w:pPr>
          </w:p>
        </w:tc>
        <w:tc>
          <w:tcPr>
            <w:tcW w:w="1858" w:type="dxa"/>
            <w:vAlign w:val="top"/>
          </w:tcPr>
          <w:p w14:paraId="28DDDC84">
            <w:pPr>
              <w:pStyle w:val="6"/>
              <w:spacing w:before="96" w:line="219" w:lineRule="auto"/>
              <w:ind w:left="296"/>
              <w:rPr>
                <w:sz w:val="18"/>
                <w:szCs w:val="18"/>
              </w:rPr>
            </w:pPr>
            <w:r>
              <w:rPr>
                <w:spacing w:val="1"/>
                <w:sz w:val="18"/>
                <w:szCs w:val="18"/>
              </w:rPr>
              <w:t>9#光伏阵列东侧</w:t>
            </w:r>
          </w:p>
        </w:tc>
        <w:tc>
          <w:tcPr>
            <w:tcW w:w="749" w:type="dxa"/>
            <w:vAlign w:val="top"/>
          </w:tcPr>
          <w:p w14:paraId="3D2D1570">
            <w:pPr>
              <w:pStyle w:val="6"/>
              <w:spacing w:before="115" w:line="230" w:lineRule="auto"/>
              <w:ind w:left="278"/>
              <w:rPr>
                <w:sz w:val="18"/>
                <w:szCs w:val="18"/>
              </w:rPr>
            </w:pPr>
            <w:r>
              <w:rPr>
                <w:spacing w:val="-3"/>
                <w:sz w:val="18"/>
                <w:szCs w:val="18"/>
              </w:rPr>
              <w:t>3m</w:t>
            </w:r>
          </w:p>
        </w:tc>
        <w:tc>
          <w:tcPr>
            <w:tcW w:w="590" w:type="dxa"/>
            <w:vMerge w:val="continue"/>
            <w:tcBorders>
              <w:top w:val="nil"/>
              <w:bottom w:val="nil"/>
            </w:tcBorders>
            <w:vAlign w:val="top"/>
          </w:tcPr>
          <w:p w14:paraId="2413AAE6">
            <w:pPr>
              <w:rPr>
                <w:rFonts w:ascii="Arial"/>
                <w:sz w:val="21"/>
              </w:rPr>
            </w:pPr>
          </w:p>
        </w:tc>
        <w:tc>
          <w:tcPr>
            <w:tcW w:w="804" w:type="dxa"/>
            <w:vMerge w:val="continue"/>
            <w:tcBorders>
              <w:top w:val="nil"/>
              <w:bottom w:val="nil"/>
            </w:tcBorders>
            <w:vAlign w:val="top"/>
          </w:tcPr>
          <w:p w14:paraId="3F29ACD5">
            <w:pPr>
              <w:rPr>
                <w:rFonts w:ascii="Arial"/>
                <w:sz w:val="21"/>
              </w:rPr>
            </w:pPr>
          </w:p>
        </w:tc>
      </w:tr>
      <w:tr w14:paraId="04CBB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694" w:type="dxa"/>
            <w:vMerge w:val="continue"/>
            <w:tcBorders>
              <w:top w:val="nil"/>
            </w:tcBorders>
            <w:vAlign w:val="top"/>
          </w:tcPr>
          <w:p w14:paraId="7AABD3FD">
            <w:pPr>
              <w:rPr>
                <w:rFonts w:ascii="Arial"/>
                <w:sz w:val="21"/>
              </w:rPr>
            </w:pPr>
          </w:p>
        </w:tc>
        <w:tc>
          <w:tcPr>
            <w:tcW w:w="140" w:type="dxa"/>
            <w:vMerge w:val="continue"/>
            <w:tcBorders>
              <w:top w:val="nil"/>
            </w:tcBorders>
            <w:vAlign w:val="top"/>
          </w:tcPr>
          <w:p w14:paraId="4BF7EFE3">
            <w:pPr>
              <w:rPr>
                <w:rFonts w:ascii="Arial"/>
                <w:sz w:val="21"/>
              </w:rPr>
            </w:pPr>
          </w:p>
        </w:tc>
        <w:tc>
          <w:tcPr>
            <w:tcW w:w="589" w:type="dxa"/>
            <w:vMerge w:val="continue"/>
            <w:tcBorders>
              <w:top w:val="nil"/>
            </w:tcBorders>
            <w:vAlign w:val="top"/>
          </w:tcPr>
          <w:p w14:paraId="6A5B12E8">
            <w:pPr>
              <w:rPr>
                <w:rFonts w:ascii="Arial"/>
                <w:sz w:val="21"/>
              </w:rPr>
            </w:pPr>
          </w:p>
        </w:tc>
        <w:tc>
          <w:tcPr>
            <w:tcW w:w="839" w:type="dxa"/>
            <w:vAlign w:val="top"/>
          </w:tcPr>
          <w:p w14:paraId="28AF30F2">
            <w:pPr>
              <w:pStyle w:val="6"/>
              <w:spacing w:before="25" w:line="213" w:lineRule="auto"/>
              <w:ind w:left="142" w:right="63" w:hanging="90"/>
              <w:rPr>
                <w:sz w:val="18"/>
                <w:szCs w:val="18"/>
              </w:rPr>
            </w:pPr>
            <w:r>
              <w:rPr>
                <w:spacing w:val="-2"/>
                <w:sz w:val="18"/>
                <w:szCs w:val="18"/>
              </w:rPr>
              <w:t>栗树园村</w:t>
            </w:r>
            <w:r>
              <w:rPr>
                <w:sz w:val="18"/>
                <w:szCs w:val="18"/>
              </w:rPr>
              <w:t xml:space="preserve"> </w:t>
            </w:r>
            <w:r>
              <w:rPr>
                <w:spacing w:val="6"/>
                <w:sz w:val="18"/>
                <w:szCs w:val="18"/>
              </w:rPr>
              <w:t>散户1</w:t>
            </w:r>
          </w:p>
        </w:tc>
        <w:tc>
          <w:tcPr>
            <w:tcW w:w="1668" w:type="dxa"/>
            <w:vAlign w:val="top"/>
          </w:tcPr>
          <w:p w14:paraId="6B3B2899">
            <w:pPr>
              <w:pStyle w:val="6"/>
              <w:spacing w:before="96" w:line="184" w:lineRule="auto"/>
              <w:ind w:left="13"/>
              <w:rPr>
                <w:sz w:val="18"/>
                <w:szCs w:val="18"/>
              </w:rPr>
            </w:pPr>
            <w:r>
              <w:rPr>
                <w:spacing w:val="-4"/>
                <w:sz w:val="18"/>
                <w:szCs w:val="18"/>
              </w:rPr>
              <w:t>E103°29'38.87186”</w:t>
            </w:r>
            <w:r>
              <w:rPr>
                <w:spacing w:val="1"/>
                <w:sz w:val="18"/>
                <w:szCs w:val="18"/>
              </w:rPr>
              <w:t xml:space="preserve"> </w:t>
            </w:r>
            <w:r>
              <w:rPr>
                <w:spacing w:val="-3"/>
                <w:sz w:val="18"/>
                <w:szCs w:val="18"/>
              </w:rPr>
              <w:t>N24°54'35.79983”</w:t>
            </w:r>
          </w:p>
        </w:tc>
        <w:tc>
          <w:tcPr>
            <w:tcW w:w="1339" w:type="dxa"/>
            <w:vAlign w:val="top"/>
          </w:tcPr>
          <w:p w14:paraId="25543993">
            <w:pPr>
              <w:pStyle w:val="6"/>
              <w:spacing w:before="147" w:line="220" w:lineRule="auto"/>
              <w:ind w:left="305"/>
              <w:rPr>
                <w:sz w:val="18"/>
                <w:szCs w:val="18"/>
              </w:rPr>
            </w:pPr>
            <w:r>
              <w:rPr>
                <w:spacing w:val="-2"/>
                <w:sz w:val="18"/>
                <w:szCs w:val="18"/>
              </w:rPr>
              <w:t>3户，8人</w:t>
            </w:r>
          </w:p>
        </w:tc>
        <w:tc>
          <w:tcPr>
            <w:tcW w:w="1858" w:type="dxa"/>
            <w:vAlign w:val="top"/>
          </w:tcPr>
          <w:p w14:paraId="6A000FE1">
            <w:pPr>
              <w:pStyle w:val="6"/>
              <w:spacing w:before="146" w:line="219" w:lineRule="auto"/>
              <w:ind w:left="246"/>
              <w:rPr>
                <w:sz w:val="18"/>
                <w:szCs w:val="18"/>
              </w:rPr>
            </w:pPr>
            <w:r>
              <w:rPr>
                <w:spacing w:val="1"/>
                <w:sz w:val="18"/>
                <w:szCs w:val="18"/>
              </w:rPr>
              <w:t>10#光伏阵列西侧</w:t>
            </w:r>
          </w:p>
        </w:tc>
        <w:tc>
          <w:tcPr>
            <w:tcW w:w="749" w:type="dxa"/>
            <w:vAlign w:val="top"/>
          </w:tcPr>
          <w:p w14:paraId="39119A02">
            <w:pPr>
              <w:pStyle w:val="6"/>
              <w:spacing w:before="164"/>
              <w:ind w:left="278"/>
              <w:rPr>
                <w:sz w:val="18"/>
                <w:szCs w:val="18"/>
              </w:rPr>
            </w:pPr>
            <w:r>
              <w:rPr>
                <w:spacing w:val="-3"/>
                <w:sz w:val="18"/>
                <w:szCs w:val="18"/>
              </w:rPr>
              <w:t>3m</w:t>
            </w:r>
          </w:p>
        </w:tc>
        <w:tc>
          <w:tcPr>
            <w:tcW w:w="590" w:type="dxa"/>
            <w:vMerge w:val="continue"/>
            <w:tcBorders>
              <w:top w:val="nil"/>
            </w:tcBorders>
            <w:vAlign w:val="top"/>
          </w:tcPr>
          <w:p w14:paraId="5A4713D5">
            <w:pPr>
              <w:rPr>
                <w:rFonts w:ascii="Arial"/>
                <w:sz w:val="21"/>
              </w:rPr>
            </w:pPr>
          </w:p>
        </w:tc>
        <w:tc>
          <w:tcPr>
            <w:tcW w:w="804" w:type="dxa"/>
            <w:vMerge w:val="continue"/>
            <w:tcBorders>
              <w:top w:val="nil"/>
            </w:tcBorders>
            <w:vAlign w:val="top"/>
          </w:tcPr>
          <w:p w14:paraId="782050A7">
            <w:pPr>
              <w:rPr>
                <w:rFonts w:ascii="Arial"/>
                <w:sz w:val="21"/>
              </w:rPr>
            </w:pPr>
          </w:p>
        </w:tc>
      </w:tr>
    </w:tbl>
    <w:p w14:paraId="2E9FA4AA">
      <w:pPr>
        <w:pStyle w:val="2"/>
      </w:pPr>
    </w:p>
    <w:p w14:paraId="2712A402">
      <w:pPr>
        <w:sectPr>
          <w:footerReference r:id="rId117" w:type="default"/>
          <w:pgSz w:w="11910" w:h="16830"/>
          <w:pgMar w:top="400" w:right="1415" w:bottom="1245" w:left="1214" w:header="0" w:footer="1083" w:gutter="0"/>
          <w:cols w:space="720" w:num="1"/>
        </w:sectPr>
      </w:pPr>
    </w:p>
    <w:p w14:paraId="41152E96">
      <w:pPr>
        <w:spacing w:before="18"/>
      </w:pPr>
    </w:p>
    <w:p w14:paraId="254CBD19">
      <w:pPr>
        <w:spacing w:before="17"/>
      </w:pPr>
    </w:p>
    <w:p w14:paraId="7666B76B">
      <w:pPr>
        <w:spacing w:before="17"/>
      </w:pPr>
    </w:p>
    <w:p w14:paraId="04AC74A9">
      <w:pPr>
        <w:spacing w:before="17"/>
      </w:pPr>
    </w:p>
    <w:tbl>
      <w:tblPr>
        <w:tblStyle w:val="5"/>
        <w:tblW w:w="94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60"/>
        <w:gridCol w:w="589"/>
        <w:gridCol w:w="849"/>
        <w:gridCol w:w="1658"/>
        <w:gridCol w:w="1339"/>
        <w:gridCol w:w="1878"/>
        <w:gridCol w:w="729"/>
        <w:gridCol w:w="590"/>
        <w:gridCol w:w="809"/>
        <w:gridCol w:w="155"/>
      </w:tblGrid>
      <w:tr w14:paraId="61CA3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64" w:type="dxa"/>
            <w:vMerge w:val="restart"/>
            <w:tcBorders>
              <w:bottom w:val="nil"/>
            </w:tcBorders>
            <w:vAlign w:val="top"/>
          </w:tcPr>
          <w:p w14:paraId="673FAA33">
            <w:pPr>
              <w:rPr>
                <w:rFonts w:ascii="Arial"/>
                <w:sz w:val="21"/>
              </w:rPr>
            </w:pPr>
          </w:p>
        </w:tc>
        <w:tc>
          <w:tcPr>
            <w:tcW w:w="160" w:type="dxa"/>
            <w:vMerge w:val="restart"/>
            <w:tcBorders>
              <w:bottom w:val="nil"/>
            </w:tcBorders>
            <w:vAlign w:val="top"/>
          </w:tcPr>
          <w:p w14:paraId="44B77BC4">
            <w:pPr>
              <w:rPr>
                <w:rFonts w:ascii="Arial"/>
                <w:sz w:val="21"/>
              </w:rPr>
            </w:pPr>
          </w:p>
        </w:tc>
        <w:tc>
          <w:tcPr>
            <w:tcW w:w="589" w:type="dxa"/>
            <w:vMerge w:val="restart"/>
            <w:tcBorders>
              <w:bottom w:val="nil"/>
            </w:tcBorders>
            <w:vAlign w:val="top"/>
          </w:tcPr>
          <w:p w14:paraId="6DA5BBE5">
            <w:pPr>
              <w:rPr>
                <w:rFonts w:ascii="Arial"/>
                <w:sz w:val="21"/>
              </w:rPr>
            </w:pPr>
          </w:p>
        </w:tc>
        <w:tc>
          <w:tcPr>
            <w:tcW w:w="849" w:type="dxa"/>
            <w:vAlign w:val="top"/>
          </w:tcPr>
          <w:p w14:paraId="4218C9FB">
            <w:pPr>
              <w:pStyle w:val="6"/>
              <w:spacing w:before="31" w:line="218" w:lineRule="auto"/>
              <w:ind w:left="192" w:right="73" w:hanging="140"/>
              <w:rPr>
                <w:sz w:val="18"/>
                <w:szCs w:val="18"/>
              </w:rPr>
            </w:pPr>
            <w:r>
              <w:rPr>
                <w:spacing w:val="-2"/>
                <w:sz w:val="18"/>
                <w:szCs w:val="18"/>
              </w:rPr>
              <w:t>栗树园村</w:t>
            </w:r>
            <w:r>
              <w:rPr>
                <w:sz w:val="18"/>
                <w:szCs w:val="18"/>
              </w:rPr>
              <w:t xml:space="preserve"> </w:t>
            </w:r>
            <w:r>
              <w:rPr>
                <w:spacing w:val="-2"/>
                <w:sz w:val="18"/>
                <w:szCs w:val="18"/>
              </w:rPr>
              <w:t>散户2</w:t>
            </w:r>
          </w:p>
        </w:tc>
        <w:tc>
          <w:tcPr>
            <w:tcW w:w="1658" w:type="dxa"/>
            <w:vAlign w:val="top"/>
          </w:tcPr>
          <w:p w14:paraId="241A2DC6">
            <w:pPr>
              <w:pStyle w:val="6"/>
              <w:spacing w:before="80" w:line="198" w:lineRule="auto"/>
              <w:ind w:left="49" w:hanging="36"/>
              <w:rPr>
                <w:sz w:val="18"/>
                <w:szCs w:val="18"/>
              </w:rPr>
            </w:pPr>
            <w:r>
              <w:rPr>
                <w:spacing w:val="-5"/>
                <w:sz w:val="18"/>
                <w:szCs w:val="18"/>
              </w:rPr>
              <w:t>E103°29'57.34370”</w:t>
            </w:r>
            <w:r>
              <w:rPr>
                <w:spacing w:val="8"/>
                <w:sz w:val="18"/>
                <w:szCs w:val="18"/>
              </w:rPr>
              <w:t xml:space="preserve"> </w:t>
            </w:r>
            <w:r>
              <w:rPr>
                <w:spacing w:val="-9"/>
                <w:sz w:val="18"/>
                <w:szCs w:val="18"/>
              </w:rPr>
              <w:t>N24°54'27.48606"</w:t>
            </w:r>
          </w:p>
        </w:tc>
        <w:tc>
          <w:tcPr>
            <w:tcW w:w="1339" w:type="dxa"/>
            <w:vAlign w:val="top"/>
          </w:tcPr>
          <w:p w14:paraId="65DEF388">
            <w:pPr>
              <w:pStyle w:val="6"/>
              <w:spacing w:before="153" w:line="220" w:lineRule="auto"/>
              <w:ind w:left="255"/>
              <w:rPr>
                <w:sz w:val="18"/>
                <w:szCs w:val="18"/>
              </w:rPr>
            </w:pPr>
            <w:r>
              <w:rPr>
                <w:spacing w:val="-2"/>
                <w:sz w:val="18"/>
                <w:szCs w:val="18"/>
              </w:rPr>
              <w:t>6户，20人</w:t>
            </w:r>
          </w:p>
        </w:tc>
        <w:tc>
          <w:tcPr>
            <w:tcW w:w="1878" w:type="dxa"/>
            <w:vAlign w:val="top"/>
          </w:tcPr>
          <w:p w14:paraId="54FBDC11">
            <w:pPr>
              <w:pStyle w:val="6"/>
              <w:spacing w:before="151" w:line="219" w:lineRule="auto"/>
              <w:ind w:left="216"/>
              <w:rPr>
                <w:sz w:val="18"/>
                <w:szCs w:val="18"/>
              </w:rPr>
            </w:pPr>
            <w:r>
              <w:rPr>
                <w:spacing w:val="1"/>
                <w:sz w:val="18"/>
                <w:szCs w:val="18"/>
              </w:rPr>
              <w:t>9#光伏阵列西北侧</w:t>
            </w:r>
          </w:p>
        </w:tc>
        <w:tc>
          <w:tcPr>
            <w:tcW w:w="729" w:type="dxa"/>
            <w:vAlign w:val="top"/>
          </w:tcPr>
          <w:p w14:paraId="24ED5C1C">
            <w:pPr>
              <w:pStyle w:val="6"/>
              <w:spacing w:before="170" w:line="241" w:lineRule="auto"/>
              <w:ind w:left="268"/>
              <w:rPr>
                <w:sz w:val="18"/>
                <w:szCs w:val="18"/>
              </w:rPr>
            </w:pPr>
            <w:r>
              <w:rPr>
                <w:spacing w:val="-6"/>
                <w:sz w:val="18"/>
                <w:szCs w:val="18"/>
              </w:rPr>
              <w:t>1m</w:t>
            </w:r>
          </w:p>
        </w:tc>
        <w:tc>
          <w:tcPr>
            <w:tcW w:w="590" w:type="dxa"/>
            <w:vMerge w:val="restart"/>
            <w:tcBorders>
              <w:bottom w:val="nil"/>
            </w:tcBorders>
            <w:vAlign w:val="top"/>
          </w:tcPr>
          <w:p w14:paraId="19622757">
            <w:pPr>
              <w:pStyle w:val="6"/>
              <w:spacing w:before="32" w:line="219" w:lineRule="auto"/>
              <w:ind w:left="109"/>
              <w:rPr>
                <w:sz w:val="18"/>
                <w:szCs w:val="18"/>
              </w:rPr>
            </w:pPr>
            <w:r>
              <w:rPr>
                <w:spacing w:val="12"/>
                <w:sz w:val="18"/>
                <w:szCs w:val="18"/>
              </w:rPr>
              <w:t>散户</w:t>
            </w:r>
          </w:p>
          <w:p w14:paraId="498136DE">
            <w:pPr>
              <w:pStyle w:val="6"/>
              <w:spacing w:before="56" w:line="268" w:lineRule="auto"/>
              <w:ind w:left="109" w:right="71" w:hanging="40"/>
              <w:rPr>
                <w:sz w:val="18"/>
                <w:szCs w:val="18"/>
              </w:rPr>
            </w:pPr>
            <w:r>
              <w:rPr>
                <w:spacing w:val="-4"/>
                <w:sz w:val="18"/>
                <w:szCs w:val="18"/>
              </w:rPr>
              <w:t>3、栗</w:t>
            </w:r>
            <w:r>
              <w:rPr>
                <w:sz w:val="18"/>
                <w:szCs w:val="18"/>
              </w:rPr>
              <w:t xml:space="preserve"> </w:t>
            </w:r>
            <w:r>
              <w:rPr>
                <w:spacing w:val="8"/>
                <w:sz w:val="18"/>
                <w:szCs w:val="18"/>
              </w:rPr>
              <w:t>树园</w:t>
            </w:r>
          </w:p>
          <w:p w14:paraId="6BA5F9D8">
            <w:pPr>
              <w:pStyle w:val="6"/>
              <w:spacing w:before="15" w:line="219" w:lineRule="auto"/>
              <w:ind w:left="109"/>
              <w:rPr>
                <w:sz w:val="18"/>
                <w:szCs w:val="18"/>
              </w:rPr>
            </w:pPr>
            <w:r>
              <w:rPr>
                <w:spacing w:val="-2"/>
                <w:sz w:val="18"/>
                <w:szCs w:val="18"/>
              </w:rPr>
              <w:t>村散</w:t>
            </w:r>
          </w:p>
          <w:p w14:paraId="2ABD34AF">
            <w:pPr>
              <w:pStyle w:val="6"/>
              <w:spacing w:before="58" w:line="220" w:lineRule="auto"/>
              <w:jc w:val="right"/>
              <w:rPr>
                <w:sz w:val="18"/>
                <w:szCs w:val="18"/>
              </w:rPr>
            </w:pPr>
            <w:r>
              <w:rPr>
                <w:spacing w:val="-21"/>
                <w:sz w:val="18"/>
                <w:szCs w:val="18"/>
              </w:rPr>
              <w:t>户</w:t>
            </w:r>
            <w:r>
              <w:rPr>
                <w:spacing w:val="-25"/>
                <w:sz w:val="18"/>
                <w:szCs w:val="18"/>
              </w:rPr>
              <w:t xml:space="preserve"> </w:t>
            </w:r>
            <w:r>
              <w:rPr>
                <w:spacing w:val="-21"/>
                <w:sz w:val="18"/>
                <w:szCs w:val="18"/>
              </w:rPr>
              <w:t>4</w:t>
            </w:r>
            <w:r>
              <w:rPr>
                <w:spacing w:val="-33"/>
                <w:sz w:val="18"/>
                <w:szCs w:val="18"/>
              </w:rPr>
              <w:t xml:space="preserve"> </w:t>
            </w:r>
            <w:r>
              <w:rPr>
                <w:spacing w:val="-21"/>
                <w:sz w:val="18"/>
                <w:szCs w:val="18"/>
              </w:rPr>
              <w:t>、</w:t>
            </w:r>
          </w:p>
          <w:p w14:paraId="123499A2">
            <w:pPr>
              <w:pStyle w:val="6"/>
              <w:spacing w:before="65" w:line="219" w:lineRule="auto"/>
              <w:ind w:left="109"/>
              <w:rPr>
                <w:sz w:val="18"/>
                <w:szCs w:val="18"/>
              </w:rPr>
            </w:pPr>
            <w:r>
              <w:rPr>
                <w:spacing w:val="-3"/>
                <w:sz w:val="18"/>
                <w:szCs w:val="18"/>
              </w:rPr>
              <w:t>大莫</w:t>
            </w:r>
          </w:p>
          <w:p w14:paraId="7F592966">
            <w:pPr>
              <w:pStyle w:val="6"/>
              <w:spacing w:before="59" w:line="221" w:lineRule="auto"/>
              <w:ind w:left="199"/>
              <w:rPr>
                <w:sz w:val="18"/>
                <w:szCs w:val="18"/>
              </w:rPr>
            </w:pPr>
            <w:r>
              <w:rPr>
                <w:sz w:val="18"/>
                <w:szCs w:val="18"/>
              </w:rPr>
              <w:t>古</w:t>
            </w:r>
          </w:p>
          <w:p w14:paraId="4D5CC7CC">
            <w:pPr>
              <w:pStyle w:val="6"/>
              <w:spacing w:before="32" w:line="219" w:lineRule="auto"/>
              <w:jc w:val="right"/>
              <w:rPr>
                <w:sz w:val="18"/>
                <w:szCs w:val="18"/>
              </w:rPr>
            </w:pPr>
            <w:r>
              <w:rPr>
                <w:spacing w:val="-17"/>
                <w:sz w:val="18"/>
                <w:szCs w:val="18"/>
              </w:rPr>
              <w:t>镇</w:t>
            </w:r>
            <w:r>
              <w:rPr>
                <w:spacing w:val="33"/>
                <w:sz w:val="18"/>
                <w:szCs w:val="18"/>
              </w:rPr>
              <w:t xml:space="preserve"> </w:t>
            </w:r>
            <w:r>
              <w:rPr>
                <w:spacing w:val="-17"/>
                <w:sz w:val="18"/>
                <w:szCs w:val="18"/>
              </w:rPr>
              <w:t>、</w:t>
            </w:r>
          </w:p>
          <w:p w14:paraId="16DF0E12">
            <w:pPr>
              <w:pStyle w:val="6"/>
              <w:spacing w:before="79" w:line="280" w:lineRule="auto"/>
              <w:ind w:left="79" w:right="118" w:firstLine="30"/>
              <w:rPr>
                <w:sz w:val="18"/>
                <w:szCs w:val="18"/>
              </w:rPr>
            </w:pPr>
            <w:r>
              <w:rPr>
                <w:spacing w:val="-5"/>
                <w:sz w:val="18"/>
                <w:szCs w:val="18"/>
              </w:rPr>
              <w:t>属于</w:t>
            </w:r>
            <w:r>
              <w:rPr>
                <w:sz w:val="18"/>
                <w:szCs w:val="18"/>
              </w:rPr>
              <w:t xml:space="preserve"> </w:t>
            </w:r>
            <w:r>
              <w:rPr>
                <w:spacing w:val="-3"/>
                <w:sz w:val="18"/>
                <w:szCs w:val="18"/>
              </w:rPr>
              <w:t>4a,</w:t>
            </w:r>
            <w:r>
              <w:rPr>
                <w:sz w:val="18"/>
                <w:szCs w:val="18"/>
              </w:rPr>
              <w:t xml:space="preserve">  </w:t>
            </w:r>
            <w:r>
              <w:rPr>
                <w:spacing w:val="11"/>
                <w:sz w:val="18"/>
                <w:szCs w:val="18"/>
              </w:rPr>
              <w:t>其余</w:t>
            </w:r>
          </w:p>
          <w:p w14:paraId="08575C34">
            <w:pPr>
              <w:pStyle w:val="6"/>
              <w:spacing w:line="220" w:lineRule="auto"/>
              <w:ind w:left="89"/>
              <w:rPr>
                <w:sz w:val="18"/>
                <w:szCs w:val="18"/>
              </w:rPr>
            </w:pPr>
            <w:r>
              <w:rPr>
                <w:spacing w:val="-5"/>
                <w:sz w:val="18"/>
                <w:szCs w:val="18"/>
              </w:rPr>
              <w:t>为</w:t>
            </w:r>
            <w:r>
              <w:rPr>
                <w:spacing w:val="87"/>
                <w:w w:val="101"/>
                <w:sz w:val="18"/>
                <w:szCs w:val="18"/>
              </w:rPr>
              <w:t xml:space="preserve"> </w:t>
            </w:r>
            <w:r>
              <w:rPr>
                <w:spacing w:val="-5"/>
                <w:sz w:val="18"/>
                <w:szCs w:val="18"/>
              </w:rPr>
              <w:t>1</w:t>
            </w:r>
          </w:p>
          <w:p w14:paraId="67647699">
            <w:pPr>
              <w:pStyle w:val="6"/>
              <w:spacing w:before="54" w:line="219" w:lineRule="auto"/>
              <w:ind w:left="109"/>
              <w:rPr>
                <w:sz w:val="18"/>
                <w:szCs w:val="18"/>
              </w:rPr>
            </w:pPr>
            <w:r>
              <w:rPr>
                <w:spacing w:val="7"/>
                <w:sz w:val="18"/>
                <w:szCs w:val="18"/>
              </w:rPr>
              <w:t>类区</w:t>
            </w:r>
          </w:p>
        </w:tc>
        <w:tc>
          <w:tcPr>
            <w:tcW w:w="809" w:type="dxa"/>
            <w:vMerge w:val="restart"/>
            <w:tcBorders>
              <w:bottom w:val="nil"/>
            </w:tcBorders>
            <w:vAlign w:val="top"/>
          </w:tcPr>
          <w:p w14:paraId="2C903567">
            <w:pPr>
              <w:pStyle w:val="6"/>
              <w:spacing w:before="12" w:line="219" w:lineRule="auto"/>
              <w:ind w:left="179"/>
              <w:rPr>
                <w:sz w:val="18"/>
                <w:szCs w:val="18"/>
              </w:rPr>
            </w:pPr>
            <w:r>
              <w:rPr>
                <w:spacing w:val="-2"/>
                <w:sz w:val="18"/>
                <w:szCs w:val="18"/>
              </w:rPr>
              <w:t>散户3</w:t>
            </w:r>
          </w:p>
          <w:p w14:paraId="25E6B0DE">
            <w:pPr>
              <w:pStyle w:val="6"/>
              <w:spacing w:before="39" w:line="222" w:lineRule="auto"/>
              <w:ind w:left="179"/>
              <w:rPr>
                <w:sz w:val="18"/>
                <w:szCs w:val="18"/>
              </w:rPr>
            </w:pPr>
            <w:r>
              <w:rPr>
                <w:spacing w:val="5"/>
                <w:sz w:val="18"/>
                <w:szCs w:val="18"/>
              </w:rPr>
              <w:t>(田间</w:t>
            </w:r>
          </w:p>
          <w:p w14:paraId="6705503C">
            <w:pPr>
              <w:pStyle w:val="6"/>
              <w:spacing w:before="10" w:line="232" w:lineRule="auto"/>
              <w:ind w:left="89" w:right="86" w:firstLine="40"/>
              <w:jc w:val="both"/>
              <w:rPr>
                <w:sz w:val="18"/>
                <w:szCs w:val="18"/>
              </w:rPr>
            </w:pPr>
            <w:r>
              <w:rPr>
                <w:spacing w:val="-3"/>
                <w:sz w:val="18"/>
                <w:szCs w:val="18"/>
              </w:rPr>
              <w:t>农户看</w:t>
            </w:r>
            <w:r>
              <w:rPr>
                <w:sz w:val="18"/>
                <w:szCs w:val="18"/>
              </w:rPr>
              <w:t xml:space="preserve"> </w:t>
            </w:r>
            <w:r>
              <w:rPr>
                <w:spacing w:val="-2"/>
                <w:sz w:val="18"/>
                <w:szCs w:val="18"/>
              </w:rPr>
              <w:t>地)以及</w:t>
            </w:r>
            <w:r>
              <w:rPr>
                <w:sz w:val="18"/>
                <w:szCs w:val="18"/>
              </w:rPr>
              <w:t xml:space="preserve"> </w:t>
            </w:r>
            <w:r>
              <w:rPr>
                <w:spacing w:val="18"/>
                <w:sz w:val="18"/>
                <w:szCs w:val="18"/>
              </w:rPr>
              <w:t>栗树园</w:t>
            </w:r>
          </w:p>
          <w:p w14:paraId="26FA51EF">
            <w:pPr>
              <w:pStyle w:val="6"/>
              <w:spacing w:before="19" w:line="219" w:lineRule="auto"/>
              <w:ind w:left="129"/>
              <w:rPr>
                <w:sz w:val="18"/>
                <w:szCs w:val="18"/>
              </w:rPr>
            </w:pPr>
            <w:r>
              <w:rPr>
                <w:spacing w:val="-2"/>
                <w:sz w:val="18"/>
                <w:szCs w:val="18"/>
              </w:rPr>
              <w:t>村在福</w:t>
            </w:r>
          </w:p>
          <w:p w14:paraId="0AC76911">
            <w:pPr>
              <w:pStyle w:val="6"/>
              <w:spacing w:before="28" w:line="220" w:lineRule="auto"/>
              <w:ind w:left="129"/>
              <w:rPr>
                <w:sz w:val="18"/>
                <w:szCs w:val="18"/>
              </w:rPr>
            </w:pPr>
            <w:r>
              <w:rPr>
                <w:spacing w:val="2"/>
                <w:sz w:val="18"/>
                <w:szCs w:val="18"/>
              </w:rPr>
              <w:t>昆线道</w:t>
            </w:r>
          </w:p>
          <w:p w14:paraId="4D3B9CE7">
            <w:pPr>
              <w:pStyle w:val="6"/>
              <w:spacing w:before="6" w:line="219" w:lineRule="auto"/>
              <w:ind w:left="129"/>
              <w:rPr>
                <w:sz w:val="18"/>
                <w:szCs w:val="18"/>
              </w:rPr>
            </w:pPr>
            <w:r>
              <w:rPr>
                <w:spacing w:val="-2"/>
                <w:sz w:val="18"/>
                <w:szCs w:val="18"/>
              </w:rPr>
              <w:t>路边界</w:t>
            </w:r>
          </w:p>
          <w:p w14:paraId="41379305">
            <w:pPr>
              <w:pStyle w:val="6"/>
              <w:spacing w:before="36" w:line="219" w:lineRule="auto"/>
              <w:ind w:left="219"/>
              <w:rPr>
                <w:sz w:val="18"/>
                <w:szCs w:val="18"/>
              </w:rPr>
            </w:pPr>
            <w:r>
              <w:rPr>
                <w:spacing w:val="-2"/>
                <w:sz w:val="18"/>
                <w:szCs w:val="18"/>
              </w:rPr>
              <w:t>护栏</w:t>
            </w:r>
          </w:p>
          <w:p w14:paraId="0A05DAFC">
            <w:pPr>
              <w:pStyle w:val="6"/>
              <w:spacing w:before="1" w:line="223" w:lineRule="auto"/>
              <w:ind w:left="99"/>
              <w:rPr>
                <w:sz w:val="18"/>
                <w:szCs w:val="18"/>
              </w:rPr>
            </w:pPr>
            <w:r>
              <w:rPr>
                <w:spacing w:val="-6"/>
                <w:sz w:val="18"/>
                <w:szCs w:val="18"/>
              </w:rPr>
              <w:t>5</w:t>
            </w:r>
            <w:r>
              <w:rPr>
                <w:spacing w:val="-23"/>
                <w:sz w:val="18"/>
                <w:szCs w:val="18"/>
              </w:rPr>
              <w:t xml:space="preserve"> </w:t>
            </w:r>
            <w:r>
              <w:rPr>
                <w:spacing w:val="-6"/>
                <w:sz w:val="18"/>
                <w:szCs w:val="18"/>
              </w:rPr>
              <w:t>5</w:t>
            </w:r>
            <w:r>
              <w:rPr>
                <w:spacing w:val="-31"/>
                <w:sz w:val="18"/>
                <w:szCs w:val="18"/>
              </w:rPr>
              <w:t xml:space="preserve"> </w:t>
            </w:r>
            <w:r>
              <w:rPr>
                <w:spacing w:val="-6"/>
                <w:sz w:val="18"/>
                <w:szCs w:val="18"/>
              </w:rPr>
              <w:t>m</w:t>
            </w:r>
            <w:r>
              <w:rPr>
                <w:spacing w:val="-22"/>
                <w:sz w:val="18"/>
                <w:szCs w:val="18"/>
              </w:rPr>
              <w:t xml:space="preserve"> </w:t>
            </w:r>
            <w:r>
              <w:rPr>
                <w:spacing w:val="-6"/>
                <w:sz w:val="18"/>
                <w:szCs w:val="18"/>
              </w:rPr>
              <w:t>范</w:t>
            </w:r>
          </w:p>
          <w:p w14:paraId="5876BC3B">
            <w:pPr>
              <w:pStyle w:val="6"/>
              <w:spacing w:before="27" w:line="231" w:lineRule="auto"/>
              <w:ind w:left="129" w:right="31" w:hanging="90"/>
              <w:rPr>
                <w:sz w:val="18"/>
                <w:szCs w:val="18"/>
              </w:rPr>
            </w:pPr>
            <w:r>
              <w:rPr>
                <w:spacing w:val="2"/>
                <w:sz w:val="18"/>
                <w:szCs w:val="18"/>
              </w:rPr>
              <w:t>围内、大</w:t>
            </w:r>
            <w:r>
              <w:rPr>
                <w:sz w:val="18"/>
                <w:szCs w:val="18"/>
              </w:rPr>
              <w:t xml:space="preserve"> </w:t>
            </w:r>
            <w:r>
              <w:rPr>
                <w:spacing w:val="-3"/>
                <w:sz w:val="18"/>
                <w:szCs w:val="18"/>
              </w:rPr>
              <w:t>莫古集</w:t>
            </w:r>
          </w:p>
          <w:p w14:paraId="15065F88">
            <w:pPr>
              <w:pStyle w:val="6"/>
              <w:spacing w:before="1" w:line="219" w:lineRule="auto"/>
              <w:ind w:left="129"/>
              <w:rPr>
                <w:sz w:val="18"/>
                <w:szCs w:val="18"/>
              </w:rPr>
            </w:pPr>
            <w:r>
              <w:rPr>
                <w:spacing w:val="-2"/>
                <w:sz w:val="18"/>
                <w:szCs w:val="18"/>
              </w:rPr>
              <w:t>镇在汕</w:t>
            </w:r>
          </w:p>
          <w:p w14:paraId="3E14FE43">
            <w:pPr>
              <w:pStyle w:val="6"/>
              <w:spacing w:before="26" w:line="219" w:lineRule="auto"/>
              <w:ind w:left="129"/>
              <w:rPr>
                <w:sz w:val="18"/>
                <w:szCs w:val="18"/>
              </w:rPr>
            </w:pPr>
            <w:r>
              <w:rPr>
                <w:spacing w:val="2"/>
                <w:sz w:val="18"/>
                <w:szCs w:val="18"/>
              </w:rPr>
              <w:t>昆高速</w:t>
            </w:r>
          </w:p>
          <w:p w14:paraId="68EB0328">
            <w:pPr>
              <w:pStyle w:val="6"/>
              <w:spacing w:before="26" w:line="219" w:lineRule="auto"/>
              <w:ind w:left="129"/>
              <w:rPr>
                <w:sz w:val="18"/>
                <w:szCs w:val="18"/>
              </w:rPr>
            </w:pPr>
            <w:r>
              <w:rPr>
                <w:spacing w:val="-2"/>
                <w:sz w:val="18"/>
                <w:szCs w:val="18"/>
              </w:rPr>
              <w:t>道路边</w:t>
            </w:r>
          </w:p>
          <w:p w14:paraId="3ADE03AF">
            <w:pPr>
              <w:pStyle w:val="6"/>
              <w:spacing w:before="7" w:line="220" w:lineRule="auto"/>
              <w:ind w:left="129"/>
              <w:rPr>
                <w:sz w:val="18"/>
                <w:szCs w:val="18"/>
              </w:rPr>
            </w:pPr>
            <w:r>
              <w:rPr>
                <w:spacing w:val="-3"/>
                <w:sz w:val="18"/>
                <w:szCs w:val="18"/>
              </w:rPr>
              <w:t>界护栏</w:t>
            </w:r>
          </w:p>
          <w:p w14:paraId="24DE657B">
            <w:pPr>
              <w:pStyle w:val="6"/>
              <w:spacing w:before="39" w:line="211" w:lineRule="auto"/>
              <w:ind w:left="119"/>
              <w:rPr>
                <w:sz w:val="18"/>
                <w:szCs w:val="18"/>
              </w:rPr>
            </w:pPr>
            <w:r>
              <w:rPr>
                <w:spacing w:val="-6"/>
                <w:sz w:val="18"/>
                <w:szCs w:val="18"/>
              </w:rPr>
              <w:t>3</w:t>
            </w:r>
            <w:r>
              <w:rPr>
                <w:spacing w:val="-36"/>
                <w:sz w:val="18"/>
                <w:szCs w:val="18"/>
              </w:rPr>
              <w:t xml:space="preserve"> </w:t>
            </w:r>
            <w:r>
              <w:rPr>
                <w:spacing w:val="-6"/>
                <w:sz w:val="18"/>
                <w:szCs w:val="18"/>
              </w:rPr>
              <w:t>5</w:t>
            </w:r>
            <w:r>
              <w:rPr>
                <w:spacing w:val="-45"/>
                <w:sz w:val="18"/>
                <w:szCs w:val="18"/>
              </w:rPr>
              <w:t xml:space="preserve"> </w:t>
            </w:r>
            <w:r>
              <w:rPr>
                <w:spacing w:val="-6"/>
                <w:sz w:val="18"/>
                <w:szCs w:val="18"/>
              </w:rPr>
              <w:t>m</w:t>
            </w:r>
            <w:r>
              <w:rPr>
                <w:spacing w:val="-35"/>
                <w:sz w:val="18"/>
                <w:szCs w:val="18"/>
              </w:rPr>
              <w:t xml:space="preserve"> </w:t>
            </w:r>
            <w:r>
              <w:rPr>
                <w:spacing w:val="-6"/>
                <w:sz w:val="18"/>
                <w:szCs w:val="18"/>
              </w:rPr>
              <w:t>范</w:t>
            </w:r>
          </w:p>
          <w:p w14:paraId="0E994B5F">
            <w:pPr>
              <w:pStyle w:val="6"/>
              <w:spacing w:before="1" w:line="219" w:lineRule="auto"/>
              <w:ind w:left="129"/>
              <w:rPr>
                <w:sz w:val="18"/>
                <w:szCs w:val="18"/>
              </w:rPr>
            </w:pPr>
            <w:r>
              <w:rPr>
                <w:spacing w:val="2"/>
                <w:sz w:val="18"/>
                <w:szCs w:val="18"/>
              </w:rPr>
              <w:t>围内执</w:t>
            </w:r>
          </w:p>
          <w:p w14:paraId="4BDC2763">
            <w:pPr>
              <w:pStyle w:val="6"/>
              <w:spacing w:before="27" w:line="220" w:lineRule="auto"/>
              <w:ind w:left="39"/>
              <w:rPr>
                <w:sz w:val="18"/>
                <w:szCs w:val="18"/>
              </w:rPr>
            </w:pPr>
            <w:r>
              <w:rPr>
                <w:spacing w:val="-2"/>
                <w:sz w:val="18"/>
                <w:szCs w:val="18"/>
              </w:rPr>
              <w:t>行《声环</w:t>
            </w:r>
          </w:p>
          <w:p w14:paraId="3B0D08E1">
            <w:pPr>
              <w:pStyle w:val="6"/>
              <w:spacing w:before="35" w:line="220" w:lineRule="auto"/>
              <w:ind w:left="129"/>
              <w:rPr>
                <w:sz w:val="18"/>
                <w:szCs w:val="18"/>
              </w:rPr>
            </w:pPr>
            <w:r>
              <w:rPr>
                <w:spacing w:val="-2"/>
                <w:sz w:val="18"/>
                <w:szCs w:val="18"/>
              </w:rPr>
              <w:t>境质量</w:t>
            </w:r>
          </w:p>
          <w:p w14:paraId="44A6317C">
            <w:pPr>
              <w:pStyle w:val="6"/>
              <w:spacing w:before="6" w:line="220" w:lineRule="auto"/>
              <w:ind w:left="179"/>
              <w:rPr>
                <w:sz w:val="18"/>
                <w:szCs w:val="18"/>
              </w:rPr>
            </w:pPr>
            <w:r>
              <w:rPr>
                <w:spacing w:val="-4"/>
                <w:sz w:val="18"/>
                <w:szCs w:val="18"/>
              </w:rPr>
              <w:t>标准》</w:t>
            </w:r>
          </w:p>
          <w:p w14:paraId="7BC12915">
            <w:pPr>
              <w:pStyle w:val="6"/>
              <w:spacing w:before="57" w:line="222" w:lineRule="auto"/>
              <w:ind w:left="129"/>
              <w:rPr>
                <w:sz w:val="18"/>
                <w:szCs w:val="18"/>
              </w:rPr>
            </w:pPr>
            <w:r>
              <w:rPr>
                <w:spacing w:val="-6"/>
                <w:sz w:val="18"/>
                <w:szCs w:val="18"/>
              </w:rPr>
              <w:t>(GB309</w:t>
            </w:r>
          </w:p>
          <w:p w14:paraId="48466DE3">
            <w:pPr>
              <w:pStyle w:val="6"/>
              <w:spacing w:before="14" w:line="222" w:lineRule="auto"/>
              <w:ind w:left="89"/>
              <w:rPr>
                <w:sz w:val="18"/>
                <w:szCs w:val="18"/>
              </w:rPr>
            </w:pPr>
            <w:r>
              <w:rPr>
                <w:spacing w:val="-2"/>
                <w:sz w:val="18"/>
                <w:szCs w:val="18"/>
              </w:rPr>
              <w:t>6-2008)</w:t>
            </w:r>
          </w:p>
          <w:p w14:paraId="337F2AFC">
            <w:pPr>
              <w:pStyle w:val="6"/>
              <w:spacing w:before="11" w:line="216" w:lineRule="auto"/>
              <w:ind w:left="129"/>
              <w:rPr>
                <w:sz w:val="18"/>
                <w:szCs w:val="18"/>
              </w:rPr>
            </w:pPr>
            <w:r>
              <w:rPr>
                <w:spacing w:val="-2"/>
                <w:sz w:val="18"/>
                <w:szCs w:val="18"/>
              </w:rPr>
              <w:t>4a类标</w:t>
            </w:r>
          </w:p>
          <w:p w14:paraId="5154B501">
            <w:pPr>
              <w:pStyle w:val="6"/>
              <w:spacing w:line="220" w:lineRule="auto"/>
              <w:ind w:left="39"/>
              <w:rPr>
                <w:sz w:val="18"/>
                <w:szCs w:val="18"/>
              </w:rPr>
            </w:pPr>
            <w:r>
              <w:rPr>
                <w:spacing w:val="-2"/>
                <w:sz w:val="18"/>
                <w:szCs w:val="18"/>
              </w:rPr>
              <w:t>准，其余</w:t>
            </w:r>
          </w:p>
          <w:p w14:paraId="4647C433">
            <w:pPr>
              <w:pStyle w:val="6"/>
              <w:spacing w:before="25" w:line="215" w:lineRule="auto"/>
              <w:ind w:left="129"/>
              <w:rPr>
                <w:sz w:val="18"/>
                <w:szCs w:val="18"/>
              </w:rPr>
            </w:pPr>
            <w:r>
              <w:rPr>
                <w:spacing w:val="2"/>
                <w:sz w:val="18"/>
                <w:szCs w:val="18"/>
              </w:rPr>
              <w:t>区域执</w:t>
            </w:r>
          </w:p>
          <w:p w14:paraId="2A10400B">
            <w:pPr>
              <w:pStyle w:val="6"/>
              <w:spacing w:line="219" w:lineRule="auto"/>
              <w:ind w:left="49"/>
              <w:rPr>
                <w:sz w:val="18"/>
                <w:szCs w:val="18"/>
              </w:rPr>
            </w:pPr>
            <w:r>
              <w:rPr>
                <w:spacing w:val="-2"/>
                <w:sz w:val="18"/>
                <w:szCs w:val="18"/>
              </w:rPr>
              <w:t>行1类标</w:t>
            </w:r>
          </w:p>
          <w:p w14:paraId="52E522C8">
            <w:pPr>
              <w:pStyle w:val="6"/>
              <w:spacing w:before="47" w:line="221" w:lineRule="auto"/>
              <w:ind w:left="269"/>
              <w:rPr>
                <w:sz w:val="18"/>
                <w:szCs w:val="18"/>
              </w:rPr>
            </w:pPr>
            <w:r>
              <w:rPr>
                <w:sz w:val="18"/>
                <w:szCs w:val="18"/>
              </w:rPr>
              <w:t>准。</w:t>
            </w:r>
          </w:p>
        </w:tc>
        <w:tc>
          <w:tcPr>
            <w:tcW w:w="155" w:type="dxa"/>
            <w:tcBorders>
              <w:bottom w:val="nil"/>
            </w:tcBorders>
            <w:vAlign w:val="top"/>
          </w:tcPr>
          <w:p w14:paraId="451FDFAB">
            <w:pPr>
              <w:rPr>
                <w:rFonts w:ascii="Arial"/>
                <w:sz w:val="21"/>
              </w:rPr>
            </w:pPr>
          </w:p>
        </w:tc>
      </w:tr>
      <w:tr w14:paraId="0D27F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664" w:type="dxa"/>
            <w:vMerge w:val="continue"/>
            <w:tcBorders>
              <w:top w:val="nil"/>
              <w:bottom w:val="nil"/>
            </w:tcBorders>
            <w:vAlign w:val="top"/>
          </w:tcPr>
          <w:p w14:paraId="1337CE3B">
            <w:pPr>
              <w:rPr>
                <w:rFonts w:ascii="Arial"/>
                <w:sz w:val="21"/>
              </w:rPr>
            </w:pPr>
          </w:p>
        </w:tc>
        <w:tc>
          <w:tcPr>
            <w:tcW w:w="160" w:type="dxa"/>
            <w:vMerge w:val="continue"/>
            <w:tcBorders>
              <w:top w:val="nil"/>
              <w:bottom w:val="nil"/>
            </w:tcBorders>
            <w:vAlign w:val="top"/>
          </w:tcPr>
          <w:p w14:paraId="09870B94">
            <w:pPr>
              <w:rPr>
                <w:rFonts w:ascii="Arial"/>
                <w:sz w:val="21"/>
              </w:rPr>
            </w:pPr>
          </w:p>
        </w:tc>
        <w:tc>
          <w:tcPr>
            <w:tcW w:w="589" w:type="dxa"/>
            <w:vMerge w:val="continue"/>
            <w:tcBorders>
              <w:top w:val="nil"/>
              <w:bottom w:val="nil"/>
            </w:tcBorders>
            <w:vAlign w:val="top"/>
          </w:tcPr>
          <w:p w14:paraId="3CD52F2E">
            <w:pPr>
              <w:rPr>
                <w:rFonts w:ascii="Arial"/>
                <w:sz w:val="21"/>
              </w:rPr>
            </w:pPr>
          </w:p>
        </w:tc>
        <w:tc>
          <w:tcPr>
            <w:tcW w:w="849" w:type="dxa"/>
            <w:vAlign w:val="top"/>
          </w:tcPr>
          <w:p w14:paraId="511B29CA">
            <w:pPr>
              <w:pStyle w:val="6"/>
              <w:spacing w:before="24" w:line="226" w:lineRule="auto"/>
              <w:ind w:left="52" w:right="43"/>
              <w:rPr>
                <w:sz w:val="18"/>
                <w:szCs w:val="18"/>
              </w:rPr>
            </w:pPr>
            <w:r>
              <w:rPr>
                <w:spacing w:val="-2"/>
                <w:sz w:val="18"/>
                <w:szCs w:val="18"/>
              </w:rPr>
              <w:t>栗树园村</w:t>
            </w:r>
            <w:r>
              <w:rPr>
                <w:sz w:val="18"/>
                <w:szCs w:val="18"/>
              </w:rPr>
              <w:t xml:space="preserve"> </w:t>
            </w:r>
            <w:r>
              <w:rPr>
                <w:spacing w:val="4"/>
                <w:sz w:val="18"/>
                <w:szCs w:val="18"/>
              </w:rPr>
              <w:t>散户3(田</w:t>
            </w:r>
          </w:p>
          <w:p w14:paraId="2EFCD488">
            <w:pPr>
              <w:pStyle w:val="6"/>
              <w:spacing w:line="219" w:lineRule="auto"/>
              <w:ind w:left="12"/>
              <w:rPr>
                <w:sz w:val="18"/>
                <w:szCs w:val="18"/>
              </w:rPr>
            </w:pPr>
            <w:r>
              <w:rPr>
                <w:spacing w:val="1"/>
                <w:sz w:val="18"/>
                <w:szCs w:val="18"/>
              </w:rPr>
              <w:t>间农户看</w:t>
            </w:r>
          </w:p>
          <w:p w14:paraId="775998B3">
            <w:pPr>
              <w:pStyle w:val="6"/>
              <w:spacing w:before="28" w:line="185" w:lineRule="auto"/>
              <w:ind w:left="282"/>
              <w:rPr>
                <w:sz w:val="18"/>
                <w:szCs w:val="18"/>
              </w:rPr>
            </w:pPr>
            <w:r>
              <w:rPr>
                <w:spacing w:val="-4"/>
                <w:sz w:val="18"/>
                <w:szCs w:val="18"/>
              </w:rPr>
              <w:t>地</w:t>
            </w:r>
            <w:r>
              <w:rPr>
                <w:spacing w:val="-36"/>
                <w:sz w:val="18"/>
                <w:szCs w:val="18"/>
              </w:rPr>
              <w:t xml:space="preserve"> </w:t>
            </w:r>
            <w:r>
              <w:rPr>
                <w:spacing w:val="-4"/>
                <w:sz w:val="18"/>
                <w:szCs w:val="18"/>
              </w:rPr>
              <w:t>)</w:t>
            </w:r>
          </w:p>
        </w:tc>
        <w:tc>
          <w:tcPr>
            <w:tcW w:w="1658" w:type="dxa"/>
            <w:vAlign w:val="top"/>
          </w:tcPr>
          <w:p w14:paraId="713BE62E">
            <w:pPr>
              <w:spacing w:line="263" w:lineRule="auto"/>
              <w:rPr>
                <w:rFonts w:ascii="Arial"/>
                <w:sz w:val="21"/>
              </w:rPr>
            </w:pPr>
          </w:p>
          <w:p w14:paraId="45FFA998">
            <w:pPr>
              <w:pStyle w:val="6"/>
              <w:spacing w:before="58" w:line="222" w:lineRule="auto"/>
              <w:ind w:left="49" w:hanging="36"/>
              <w:rPr>
                <w:sz w:val="18"/>
                <w:szCs w:val="18"/>
              </w:rPr>
            </w:pPr>
            <w:r>
              <w:rPr>
                <w:spacing w:val="-5"/>
                <w:sz w:val="18"/>
                <w:szCs w:val="18"/>
              </w:rPr>
              <w:t>E103°30'20.57592”</w:t>
            </w:r>
            <w:r>
              <w:rPr>
                <w:spacing w:val="8"/>
                <w:sz w:val="18"/>
                <w:szCs w:val="18"/>
              </w:rPr>
              <w:t xml:space="preserve"> </w:t>
            </w:r>
            <w:r>
              <w:rPr>
                <w:spacing w:val="-8"/>
                <w:sz w:val="18"/>
                <w:szCs w:val="18"/>
              </w:rPr>
              <w:t>N24°54'30.15110"</w:t>
            </w:r>
          </w:p>
        </w:tc>
        <w:tc>
          <w:tcPr>
            <w:tcW w:w="1339" w:type="dxa"/>
            <w:vAlign w:val="top"/>
          </w:tcPr>
          <w:p w14:paraId="14C05C21">
            <w:pPr>
              <w:spacing w:line="305" w:lineRule="auto"/>
              <w:rPr>
                <w:rFonts w:ascii="Arial"/>
                <w:sz w:val="21"/>
              </w:rPr>
            </w:pPr>
          </w:p>
          <w:p w14:paraId="0FA06441">
            <w:pPr>
              <w:pStyle w:val="6"/>
              <w:spacing w:before="59" w:line="220" w:lineRule="auto"/>
              <w:ind w:left="305"/>
              <w:rPr>
                <w:sz w:val="18"/>
                <w:szCs w:val="18"/>
              </w:rPr>
            </w:pPr>
            <w:r>
              <w:rPr>
                <w:spacing w:val="1"/>
                <w:sz w:val="18"/>
                <w:szCs w:val="18"/>
              </w:rPr>
              <w:t>1户，1人</w:t>
            </w:r>
          </w:p>
        </w:tc>
        <w:tc>
          <w:tcPr>
            <w:tcW w:w="1878" w:type="dxa"/>
            <w:vAlign w:val="top"/>
          </w:tcPr>
          <w:p w14:paraId="270D0D71">
            <w:pPr>
              <w:spacing w:line="303" w:lineRule="auto"/>
              <w:rPr>
                <w:rFonts w:ascii="Arial"/>
                <w:sz w:val="21"/>
              </w:rPr>
            </w:pPr>
          </w:p>
          <w:p w14:paraId="35E2F96A">
            <w:pPr>
              <w:pStyle w:val="6"/>
              <w:spacing w:before="59" w:line="219" w:lineRule="auto"/>
              <w:ind w:left="306"/>
              <w:rPr>
                <w:sz w:val="18"/>
                <w:szCs w:val="18"/>
              </w:rPr>
            </w:pPr>
            <w:r>
              <w:rPr>
                <w:spacing w:val="1"/>
                <w:sz w:val="18"/>
                <w:szCs w:val="18"/>
              </w:rPr>
              <w:t>8#光伏阵列南侧</w:t>
            </w:r>
          </w:p>
        </w:tc>
        <w:tc>
          <w:tcPr>
            <w:tcW w:w="729" w:type="dxa"/>
            <w:vAlign w:val="top"/>
          </w:tcPr>
          <w:p w14:paraId="0A680655">
            <w:pPr>
              <w:spacing w:line="322" w:lineRule="auto"/>
              <w:rPr>
                <w:rFonts w:ascii="Arial"/>
                <w:sz w:val="21"/>
              </w:rPr>
            </w:pPr>
          </w:p>
          <w:p w14:paraId="6145FD82">
            <w:pPr>
              <w:pStyle w:val="6"/>
              <w:spacing w:before="58"/>
              <w:ind w:left="228"/>
              <w:rPr>
                <w:sz w:val="18"/>
                <w:szCs w:val="18"/>
              </w:rPr>
            </w:pPr>
            <w:r>
              <w:rPr>
                <w:spacing w:val="-5"/>
                <w:sz w:val="18"/>
                <w:szCs w:val="18"/>
              </w:rPr>
              <w:t>16m</w:t>
            </w:r>
          </w:p>
        </w:tc>
        <w:tc>
          <w:tcPr>
            <w:tcW w:w="590" w:type="dxa"/>
            <w:vMerge w:val="continue"/>
            <w:tcBorders>
              <w:top w:val="nil"/>
              <w:bottom w:val="nil"/>
            </w:tcBorders>
            <w:vAlign w:val="top"/>
          </w:tcPr>
          <w:p w14:paraId="4012A7F9">
            <w:pPr>
              <w:rPr>
                <w:rFonts w:ascii="Arial"/>
                <w:sz w:val="21"/>
              </w:rPr>
            </w:pPr>
          </w:p>
        </w:tc>
        <w:tc>
          <w:tcPr>
            <w:tcW w:w="809" w:type="dxa"/>
            <w:vMerge w:val="continue"/>
            <w:tcBorders>
              <w:top w:val="nil"/>
              <w:bottom w:val="nil"/>
            </w:tcBorders>
            <w:vAlign w:val="top"/>
          </w:tcPr>
          <w:p w14:paraId="01423A00">
            <w:pPr>
              <w:rPr>
                <w:rFonts w:ascii="Arial"/>
                <w:sz w:val="21"/>
              </w:rPr>
            </w:pPr>
          </w:p>
        </w:tc>
        <w:tc>
          <w:tcPr>
            <w:tcW w:w="155" w:type="dxa"/>
            <w:tcBorders>
              <w:top w:val="nil"/>
              <w:bottom w:val="nil"/>
            </w:tcBorders>
            <w:vAlign w:val="top"/>
          </w:tcPr>
          <w:p w14:paraId="0671D975">
            <w:pPr>
              <w:rPr>
                <w:rFonts w:ascii="Arial"/>
                <w:sz w:val="21"/>
              </w:rPr>
            </w:pPr>
          </w:p>
        </w:tc>
      </w:tr>
      <w:tr w14:paraId="446DD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664" w:type="dxa"/>
            <w:vMerge w:val="continue"/>
            <w:tcBorders>
              <w:top w:val="nil"/>
              <w:bottom w:val="nil"/>
            </w:tcBorders>
            <w:vAlign w:val="top"/>
          </w:tcPr>
          <w:p w14:paraId="25DA37EB">
            <w:pPr>
              <w:rPr>
                <w:rFonts w:ascii="Arial"/>
                <w:sz w:val="21"/>
              </w:rPr>
            </w:pPr>
          </w:p>
        </w:tc>
        <w:tc>
          <w:tcPr>
            <w:tcW w:w="160" w:type="dxa"/>
            <w:vMerge w:val="continue"/>
            <w:tcBorders>
              <w:top w:val="nil"/>
              <w:bottom w:val="nil"/>
            </w:tcBorders>
            <w:vAlign w:val="top"/>
          </w:tcPr>
          <w:p w14:paraId="2F3B2E41">
            <w:pPr>
              <w:rPr>
                <w:rFonts w:ascii="Arial"/>
                <w:sz w:val="21"/>
              </w:rPr>
            </w:pPr>
          </w:p>
        </w:tc>
        <w:tc>
          <w:tcPr>
            <w:tcW w:w="589" w:type="dxa"/>
            <w:vMerge w:val="continue"/>
            <w:tcBorders>
              <w:top w:val="nil"/>
              <w:bottom w:val="nil"/>
            </w:tcBorders>
            <w:vAlign w:val="top"/>
          </w:tcPr>
          <w:p w14:paraId="47F2E6A8">
            <w:pPr>
              <w:rPr>
                <w:rFonts w:ascii="Arial"/>
                <w:sz w:val="21"/>
              </w:rPr>
            </w:pPr>
          </w:p>
        </w:tc>
        <w:tc>
          <w:tcPr>
            <w:tcW w:w="849" w:type="dxa"/>
            <w:vAlign w:val="top"/>
          </w:tcPr>
          <w:p w14:paraId="2445FC5F">
            <w:pPr>
              <w:pStyle w:val="6"/>
              <w:spacing w:before="57" w:line="228" w:lineRule="auto"/>
              <w:ind w:left="52" w:right="43"/>
              <w:rPr>
                <w:sz w:val="18"/>
                <w:szCs w:val="18"/>
              </w:rPr>
            </w:pPr>
            <w:r>
              <w:rPr>
                <w:spacing w:val="-2"/>
                <w:sz w:val="18"/>
                <w:szCs w:val="18"/>
              </w:rPr>
              <w:t>栗树园村</w:t>
            </w:r>
            <w:r>
              <w:rPr>
                <w:sz w:val="18"/>
                <w:szCs w:val="18"/>
              </w:rPr>
              <w:t xml:space="preserve"> </w:t>
            </w:r>
            <w:r>
              <w:rPr>
                <w:spacing w:val="4"/>
                <w:sz w:val="18"/>
                <w:szCs w:val="18"/>
              </w:rPr>
              <w:t>散户4(田</w:t>
            </w:r>
          </w:p>
          <w:p w14:paraId="5BDC9CA1">
            <w:pPr>
              <w:pStyle w:val="6"/>
              <w:spacing w:before="15" w:line="219" w:lineRule="auto"/>
              <w:ind w:left="52"/>
              <w:rPr>
                <w:sz w:val="18"/>
                <w:szCs w:val="18"/>
              </w:rPr>
            </w:pPr>
            <w:r>
              <w:rPr>
                <w:spacing w:val="1"/>
                <w:sz w:val="18"/>
                <w:szCs w:val="18"/>
              </w:rPr>
              <w:t>间农户看</w:t>
            </w:r>
          </w:p>
          <w:p w14:paraId="48828002">
            <w:pPr>
              <w:pStyle w:val="6"/>
              <w:spacing w:before="8" w:line="193" w:lineRule="auto"/>
              <w:ind w:left="282"/>
              <w:rPr>
                <w:sz w:val="18"/>
                <w:szCs w:val="18"/>
              </w:rPr>
            </w:pPr>
            <w:r>
              <w:rPr>
                <w:spacing w:val="-4"/>
                <w:sz w:val="18"/>
                <w:szCs w:val="18"/>
              </w:rPr>
              <w:t>地</w:t>
            </w:r>
            <w:r>
              <w:rPr>
                <w:spacing w:val="-36"/>
                <w:sz w:val="18"/>
                <w:szCs w:val="18"/>
              </w:rPr>
              <w:t xml:space="preserve"> </w:t>
            </w:r>
            <w:r>
              <w:rPr>
                <w:spacing w:val="-4"/>
                <w:sz w:val="18"/>
                <w:szCs w:val="18"/>
              </w:rPr>
              <w:t>)</w:t>
            </w:r>
          </w:p>
        </w:tc>
        <w:tc>
          <w:tcPr>
            <w:tcW w:w="1658" w:type="dxa"/>
            <w:vAlign w:val="top"/>
          </w:tcPr>
          <w:p w14:paraId="76A57063">
            <w:pPr>
              <w:spacing w:line="275" w:lineRule="auto"/>
              <w:rPr>
                <w:rFonts w:ascii="Arial"/>
                <w:sz w:val="21"/>
              </w:rPr>
            </w:pPr>
          </w:p>
          <w:p w14:paraId="092CE483">
            <w:pPr>
              <w:pStyle w:val="6"/>
              <w:spacing w:before="59" w:line="227" w:lineRule="auto"/>
              <w:ind w:left="95" w:hanging="82"/>
              <w:rPr>
                <w:sz w:val="18"/>
                <w:szCs w:val="18"/>
              </w:rPr>
            </w:pPr>
            <w:r>
              <w:rPr>
                <w:spacing w:val="-5"/>
                <w:sz w:val="18"/>
                <w:szCs w:val="18"/>
              </w:rPr>
              <w:t>E103°30'14.73407”</w:t>
            </w:r>
            <w:r>
              <w:rPr>
                <w:spacing w:val="8"/>
                <w:sz w:val="18"/>
                <w:szCs w:val="18"/>
              </w:rPr>
              <w:t xml:space="preserve"> </w:t>
            </w:r>
            <w:r>
              <w:rPr>
                <w:spacing w:val="-9"/>
                <w:sz w:val="18"/>
                <w:szCs w:val="18"/>
              </w:rPr>
              <w:t>N24°54'3.20134"</w:t>
            </w:r>
          </w:p>
        </w:tc>
        <w:tc>
          <w:tcPr>
            <w:tcW w:w="1339" w:type="dxa"/>
            <w:vAlign w:val="top"/>
          </w:tcPr>
          <w:p w14:paraId="5DC7538C">
            <w:pPr>
              <w:spacing w:line="327" w:lineRule="auto"/>
              <w:rPr>
                <w:rFonts w:ascii="Arial"/>
                <w:sz w:val="21"/>
              </w:rPr>
            </w:pPr>
          </w:p>
          <w:p w14:paraId="69B7094D">
            <w:pPr>
              <w:pStyle w:val="6"/>
              <w:spacing w:before="58" w:line="220" w:lineRule="auto"/>
              <w:ind w:left="255"/>
              <w:rPr>
                <w:sz w:val="18"/>
                <w:szCs w:val="18"/>
              </w:rPr>
            </w:pPr>
            <w:r>
              <w:rPr>
                <w:spacing w:val="-1"/>
                <w:sz w:val="18"/>
                <w:szCs w:val="18"/>
              </w:rPr>
              <w:t>4户，12人</w:t>
            </w:r>
          </w:p>
        </w:tc>
        <w:tc>
          <w:tcPr>
            <w:tcW w:w="1878" w:type="dxa"/>
            <w:vAlign w:val="top"/>
          </w:tcPr>
          <w:p w14:paraId="064E06BE">
            <w:pPr>
              <w:spacing w:line="325" w:lineRule="auto"/>
              <w:rPr>
                <w:rFonts w:ascii="Arial"/>
                <w:sz w:val="21"/>
              </w:rPr>
            </w:pPr>
          </w:p>
          <w:p w14:paraId="581A10B9">
            <w:pPr>
              <w:pStyle w:val="6"/>
              <w:spacing w:before="59" w:line="219" w:lineRule="auto"/>
              <w:ind w:left="166"/>
              <w:rPr>
                <w:sz w:val="18"/>
                <w:szCs w:val="18"/>
              </w:rPr>
            </w:pPr>
            <w:r>
              <w:rPr>
                <w:spacing w:val="1"/>
                <w:sz w:val="18"/>
                <w:szCs w:val="18"/>
              </w:rPr>
              <w:t>11#光伏阵列西南侧</w:t>
            </w:r>
          </w:p>
        </w:tc>
        <w:tc>
          <w:tcPr>
            <w:tcW w:w="729" w:type="dxa"/>
            <w:vAlign w:val="top"/>
          </w:tcPr>
          <w:p w14:paraId="2081AE98">
            <w:pPr>
              <w:spacing w:line="344" w:lineRule="auto"/>
              <w:rPr>
                <w:rFonts w:ascii="Arial"/>
                <w:sz w:val="21"/>
              </w:rPr>
            </w:pPr>
          </w:p>
          <w:p w14:paraId="201D9016">
            <w:pPr>
              <w:pStyle w:val="6"/>
              <w:spacing w:before="59" w:line="241" w:lineRule="auto"/>
              <w:ind w:left="268"/>
              <w:rPr>
                <w:sz w:val="18"/>
                <w:szCs w:val="18"/>
              </w:rPr>
            </w:pPr>
            <w:r>
              <w:rPr>
                <w:spacing w:val="-6"/>
                <w:sz w:val="18"/>
                <w:szCs w:val="18"/>
              </w:rPr>
              <w:t>1m</w:t>
            </w:r>
          </w:p>
        </w:tc>
        <w:tc>
          <w:tcPr>
            <w:tcW w:w="590" w:type="dxa"/>
            <w:vMerge w:val="continue"/>
            <w:tcBorders>
              <w:top w:val="nil"/>
              <w:bottom w:val="nil"/>
            </w:tcBorders>
            <w:vAlign w:val="top"/>
          </w:tcPr>
          <w:p w14:paraId="0DCE30A5">
            <w:pPr>
              <w:rPr>
                <w:rFonts w:ascii="Arial"/>
                <w:sz w:val="21"/>
              </w:rPr>
            </w:pPr>
          </w:p>
        </w:tc>
        <w:tc>
          <w:tcPr>
            <w:tcW w:w="809" w:type="dxa"/>
            <w:vMerge w:val="continue"/>
            <w:tcBorders>
              <w:top w:val="nil"/>
              <w:bottom w:val="nil"/>
            </w:tcBorders>
            <w:vAlign w:val="top"/>
          </w:tcPr>
          <w:p w14:paraId="5601153A">
            <w:pPr>
              <w:rPr>
                <w:rFonts w:ascii="Arial"/>
                <w:sz w:val="21"/>
              </w:rPr>
            </w:pPr>
          </w:p>
        </w:tc>
        <w:tc>
          <w:tcPr>
            <w:tcW w:w="155" w:type="dxa"/>
            <w:tcBorders>
              <w:top w:val="nil"/>
              <w:bottom w:val="nil"/>
            </w:tcBorders>
            <w:vAlign w:val="top"/>
          </w:tcPr>
          <w:p w14:paraId="33C3BEBB">
            <w:pPr>
              <w:rPr>
                <w:rFonts w:ascii="Arial"/>
                <w:sz w:val="21"/>
              </w:rPr>
            </w:pPr>
          </w:p>
        </w:tc>
      </w:tr>
      <w:tr w14:paraId="52946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664" w:type="dxa"/>
            <w:vMerge w:val="continue"/>
            <w:tcBorders>
              <w:top w:val="nil"/>
              <w:bottom w:val="nil"/>
            </w:tcBorders>
            <w:vAlign w:val="top"/>
          </w:tcPr>
          <w:p w14:paraId="68D1B79B">
            <w:pPr>
              <w:rPr>
                <w:rFonts w:ascii="Arial"/>
                <w:sz w:val="21"/>
              </w:rPr>
            </w:pPr>
          </w:p>
        </w:tc>
        <w:tc>
          <w:tcPr>
            <w:tcW w:w="160" w:type="dxa"/>
            <w:vMerge w:val="continue"/>
            <w:tcBorders>
              <w:top w:val="nil"/>
              <w:bottom w:val="nil"/>
            </w:tcBorders>
            <w:vAlign w:val="top"/>
          </w:tcPr>
          <w:p w14:paraId="7924516C">
            <w:pPr>
              <w:rPr>
                <w:rFonts w:ascii="Arial"/>
                <w:sz w:val="21"/>
              </w:rPr>
            </w:pPr>
          </w:p>
        </w:tc>
        <w:tc>
          <w:tcPr>
            <w:tcW w:w="589" w:type="dxa"/>
            <w:vMerge w:val="continue"/>
            <w:tcBorders>
              <w:top w:val="nil"/>
              <w:bottom w:val="nil"/>
            </w:tcBorders>
            <w:vAlign w:val="top"/>
          </w:tcPr>
          <w:p w14:paraId="0C6DCFAE">
            <w:pPr>
              <w:rPr>
                <w:rFonts w:ascii="Arial"/>
                <w:sz w:val="21"/>
              </w:rPr>
            </w:pPr>
          </w:p>
        </w:tc>
        <w:tc>
          <w:tcPr>
            <w:tcW w:w="849" w:type="dxa"/>
            <w:vAlign w:val="top"/>
          </w:tcPr>
          <w:p w14:paraId="5FEFCAB1">
            <w:pPr>
              <w:pStyle w:val="6"/>
              <w:spacing w:before="50" w:line="213" w:lineRule="auto"/>
              <w:ind w:left="321" w:right="52" w:hanging="269"/>
              <w:rPr>
                <w:sz w:val="18"/>
                <w:szCs w:val="18"/>
              </w:rPr>
            </w:pPr>
            <w:r>
              <w:rPr>
                <w:spacing w:val="3"/>
                <w:sz w:val="18"/>
                <w:szCs w:val="18"/>
              </w:rPr>
              <w:t>发峨哨小</w:t>
            </w:r>
            <w:r>
              <w:rPr>
                <w:spacing w:val="1"/>
                <w:sz w:val="18"/>
                <w:szCs w:val="18"/>
              </w:rPr>
              <w:t xml:space="preserve"> </w:t>
            </w:r>
            <w:r>
              <w:rPr>
                <w:sz w:val="18"/>
                <w:szCs w:val="18"/>
              </w:rPr>
              <w:t>学</w:t>
            </w:r>
          </w:p>
        </w:tc>
        <w:tc>
          <w:tcPr>
            <w:tcW w:w="1658" w:type="dxa"/>
            <w:vAlign w:val="top"/>
          </w:tcPr>
          <w:p w14:paraId="55313AE0">
            <w:pPr>
              <w:pStyle w:val="6"/>
              <w:spacing w:before="118" w:line="181" w:lineRule="auto"/>
              <w:ind w:left="143" w:right="19" w:hanging="130"/>
              <w:rPr>
                <w:sz w:val="18"/>
                <w:szCs w:val="18"/>
              </w:rPr>
            </w:pPr>
            <w:r>
              <w:rPr>
                <w:spacing w:val="-1"/>
                <w:sz w:val="18"/>
                <w:szCs w:val="18"/>
              </w:rPr>
              <w:t>E103°29'28.86118"</w:t>
            </w:r>
            <w:r>
              <w:rPr>
                <w:spacing w:val="11"/>
                <w:sz w:val="18"/>
                <w:szCs w:val="18"/>
              </w:rPr>
              <w:t xml:space="preserve"> </w:t>
            </w:r>
            <w:r>
              <w:rPr>
                <w:sz w:val="18"/>
                <w:szCs w:val="18"/>
              </w:rPr>
              <w:t>N2454'42.18556"</w:t>
            </w:r>
          </w:p>
        </w:tc>
        <w:tc>
          <w:tcPr>
            <w:tcW w:w="1339" w:type="dxa"/>
            <w:vAlign w:val="top"/>
          </w:tcPr>
          <w:p w14:paraId="47ACD103">
            <w:pPr>
              <w:pStyle w:val="6"/>
              <w:spacing w:before="162" w:line="222" w:lineRule="auto"/>
              <w:ind w:left="435"/>
              <w:rPr>
                <w:sz w:val="18"/>
                <w:szCs w:val="18"/>
              </w:rPr>
            </w:pPr>
            <w:r>
              <w:rPr>
                <w:spacing w:val="-2"/>
                <w:sz w:val="18"/>
                <w:szCs w:val="18"/>
              </w:rPr>
              <w:t>580人</w:t>
            </w:r>
          </w:p>
        </w:tc>
        <w:tc>
          <w:tcPr>
            <w:tcW w:w="1878" w:type="dxa"/>
            <w:vAlign w:val="top"/>
          </w:tcPr>
          <w:p w14:paraId="0F516ADF">
            <w:pPr>
              <w:pStyle w:val="6"/>
              <w:spacing w:before="158" w:line="219" w:lineRule="auto"/>
              <w:ind w:left="166"/>
              <w:rPr>
                <w:sz w:val="18"/>
                <w:szCs w:val="18"/>
              </w:rPr>
            </w:pPr>
            <w:r>
              <w:rPr>
                <w:spacing w:val="1"/>
                <w:sz w:val="18"/>
                <w:szCs w:val="18"/>
              </w:rPr>
              <w:t>10#光伏阵列西北侧</w:t>
            </w:r>
          </w:p>
        </w:tc>
        <w:tc>
          <w:tcPr>
            <w:tcW w:w="729" w:type="dxa"/>
            <w:vAlign w:val="top"/>
          </w:tcPr>
          <w:p w14:paraId="037F76DC">
            <w:pPr>
              <w:pStyle w:val="6"/>
              <w:spacing w:before="176"/>
              <w:ind w:left="228"/>
              <w:rPr>
                <w:sz w:val="18"/>
                <w:szCs w:val="18"/>
              </w:rPr>
            </w:pPr>
            <w:r>
              <w:rPr>
                <w:spacing w:val="-3"/>
                <w:sz w:val="18"/>
                <w:szCs w:val="18"/>
              </w:rPr>
              <w:t>50m</w:t>
            </w:r>
          </w:p>
        </w:tc>
        <w:tc>
          <w:tcPr>
            <w:tcW w:w="590" w:type="dxa"/>
            <w:vMerge w:val="continue"/>
            <w:tcBorders>
              <w:top w:val="nil"/>
              <w:bottom w:val="nil"/>
            </w:tcBorders>
            <w:vAlign w:val="top"/>
          </w:tcPr>
          <w:p w14:paraId="553EF97A">
            <w:pPr>
              <w:rPr>
                <w:rFonts w:ascii="Arial"/>
                <w:sz w:val="21"/>
              </w:rPr>
            </w:pPr>
          </w:p>
        </w:tc>
        <w:tc>
          <w:tcPr>
            <w:tcW w:w="809" w:type="dxa"/>
            <w:vMerge w:val="continue"/>
            <w:tcBorders>
              <w:top w:val="nil"/>
              <w:bottom w:val="nil"/>
            </w:tcBorders>
            <w:vAlign w:val="top"/>
          </w:tcPr>
          <w:p w14:paraId="64199FCB">
            <w:pPr>
              <w:rPr>
                <w:rFonts w:ascii="Arial"/>
                <w:sz w:val="21"/>
              </w:rPr>
            </w:pPr>
          </w:p>
        </w:tc>
        <w:tc>
          <w:tcPr>
            <w:tcW w:w="155" w:type="dxa"/>
            <w:tcBorders>
              <w:top w:val="nil"/>
              <w:bottom w:val="nil"/>
            </w:tcBorders>
            <w:vAlign w:val="top"/>
          </w:tcPr>
          <w:p w14:paraId="09C37B6C">
            <w:pPr>
              <w:rPr>
                <w:rFonts w:ascii="Arial"/>
                <w:sz w:val="21"/>
              </w:rPr>
            </w:pPr>
          </w:p>
        </w:tc>
      </w:tr>
      <w:tr w14:paraId="0DBC3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664" w:type="dxa"/>
            <w:vMerge w:val="continue"/>
            <w:tcBorders>
              <w:top w:val="nil"/>
              <w:bottom w:val="nil"/>
            </w:tcBorders>
            <w:vAlign w:val="top"/>
          </w:tcPr>
          <w:p w14:paraId="1C489717">
            <w:pPr>
              <w:rPr>
                <w:rFonts w:ascii="Arial"/>
                <w:sz w:val="21"/>
              </w:rPr>
            </w:pPr>
          </w:p>
        </w:tc>
        <w:tc>
          <w:tcPr>
            <w:tcW w:w="160" w:type="dxa"/>
            <w:vMerge w:val="continue"/>
            <w:tcBorders>
              <w:top w:val="nil"/>
              <w:bottom w:val="nil"/>
            </w:tcBorders>
            <w:vAlign w:val="top"/>
          </w:tcPr>
          <w:p w14:paraId="144BB547">
            <w:pPr>
              <w:rPr>
                <w:rFonts w:ascii="Arial"/>
                <w:sz w:val="21"/>
              </w:rPr>
            </w:pPr>
          </w:p>
        </w:tc>
        <w:tc>
          <w:tcPr>
            <w:tcW w:w="589" w:type="dxa"/>
            <w:vMerge w:val="continue"/>
            <w:tcBorders>
              <w:top w:val="nil"/>
              <w:bottom w:val="nil"/>
            </w:tcBorders>
            <w:vAlign w:val="top"/>
          </w:tcPr>
          <w:p w14:paraId="162F8527">
            <w:pPr>
              <w:rPr>
                <w:rFonts w:ascii="Arial"/>
                <w:sz w:val="21"/>
              </w:rPr>
            </w:pPr>
          </w:p>
        </w:tc>
        <w:tc>
          <w:tcPr>
            <w:tcW w:w="849" w:type="dxa"/>
            <w:vAlign w:val="top"/>
          </w:tcPr>
          <w:p w14:paraId="79560A3E">
            <w:pPr>
              <w:pStyle w:val="6"/>
              <w:spacing w:before="137" w:line="219" w:lineRule="auto"/>
              <w:ind w:left="142"/>
              <w:rPr>
                <w:sz w:val="18"/>
                <w:szCs w:val="18"/>
              </w:rPr>
            </w:pPr>
            <w:r>
              <w:rPr>
                <w:spacing w:val="-2"/>
                <w:sz w:val="18"/>
                <w:szCs w:val="18"/>
              </w:rPr>
              <w:t>上村子</w:t>
            </w:r>
          </w:p>
        </w:tc>
        <w:tc>
          <w:tcPr>
            <w:tcW w:w="1658" w:type="dxa"/>
            <w:vAlign w:val="top"/>
          </w:tcPr>
          <w:p w14:paraId="7A3EE7E2">
            <w:pPr>
              <w:pStyle w:val="6"/>
              <w:spacing w:before="55" w:line="192" w:lineRule="auto"/>
              <w:ind w:left="13"/>
              <w:rPr>
                <w:sz w:val="18"/>
                <w:szCs w:val="18"/>
              </w:rPr>
            </w:pPr>
            <w:r>
              <w:rPr>
                <w:spacing w:val="-5"/>
                <w:sz w:val="18"/>
                <w:szCs w:val="18"/>
              </w:rPr>
              <w:t>E103°28'53.24037"</w:t>
            </w:r>
            <w:r>
              <w:rPr>
                <w:spacing w:val="4"/>
                <w:sz w:val="18"/>
                <w:szCs w:val="18"/>
              </w:rPr>
              <w:t xml:space="preserve">  </w:t>
            </w:r>
            <w:r>
              <w:rPr>
                <w:sz w:val="18"/>
                <w:szCs w:val="18"/>
              </w:rPr>
              <w:t>N24°54'33.98766”</w:t>
            </w:r>
          </w:p>
        </w:tc>
        <w:tc>
          <w:tcPr>
            <w:tcW w:w="1339" w:type="dxa"/>
            <w:vAlign w:val="top"/>
          </w:tcPr>
          <w:p w14:paraId="56F4540C">
            <w:pPr>
              <w:pStyle w:val="6"/>
              <w:spacing w:before="139" w:line="220" w:lineRule="auto"/>
              <w:ind w:left="165"/>
              <w:rPr>
                <w:sz w:val="18"/>
                <w:szCs w:val="18"/>
              </w:rPr>
            </w:pPr>
            <w:r>
              <w:rPr>
                <w:spacing w:val="-1"/>
                <w:sz w:val="18"/>
                <w:szCs w:val="18"/>
              </w:rPr>
              <w:t>64户，256人</w:t>
            </w:r>
          </w:p>
        </w:tc>
        <w:tc>
          <w:tcPr>
            <w:tcW w:w="1878" w:type="dxa"/>
            <w:vAlign w:val="top"/>
          </w:tcPr>
          <w:p w14:paraId="4009BDD0">
            <w:pPr>
              <w:pStyle w:val="6"/>
              <w:spacing w:before="137" w:line="219" w:lineRule="auto"/>
              <w:ind w:left="166"/>
              <w:rPr>
                <w:sz w:val="18"/>
                <w:szCs w:val="18"/>
              </w:rPr>
            </w:pPr>
            <w:r>
              <w:rPr>
                <w:spacing w:val="1"/>
                <w:sz w:val="18"/>
                <w:szCs w:val="18"/>
              </w:rPr>
              <w:t>12#光伏阵列西北侧</w:t>
            </w:r>
          </w:p>
        </w:tc>
        <w:tc>
          <w:tcPr>
            <w:tcW w:w="729" w:type="dxa"/>
            <w:vAlign w:val="top"/>
          </w:tcPr>
          <w:p w14:paraId="34269EB6">
            <w:pPr>
              <w:pStyle w:val="6"/>
              <w:spacing w:before="155"/>
              <w:ind w:left="178"/>
              <w:rPr>
                <w:sz w:val="18"/>
                <w:szCs w:val="18"/>
              </w:rPr>
            </w:pPr>
            <w:r>
              <w:rPr>
                <w:spacing w:val="-4"/>
                <w:sz w:val="18"/>
                <w:szCs w:val="18"/>
              </w:rPr>
              <w:t>187m</w:t>
            </w:r>
          </w:p>
        </w:tc>
        <w:tc>
          <w:tcPr>
            <w:tcW w:w="590" w:type="dxa"/>
            <w:vMerge w:val="continue"/>
            <w:tcBorders>
              <w:top w:val="nil"/>
              <w:bottom w:val="nil"/>
            </w:tcBorders>
            <w:vAlign w:val="top"/>
          </w:tcPr>
          <w:p w14:paraId="7D93F58D">
            <w:pPr>
              <w:rPr>
                <w:rFonts w:ascii="Arial"/>
                <w:sz w:val="21"/>
              </w:rPr>
            </w:pPr>
          </w:p>
        </w:tc>
        <w:tc>
          <w:tcPr>
            <w:tcW w:w="809" w:type="dxa"/>
            <w:vMerge w:val="continue"/>
            <w:tcBorders>
              <w:top w:val="nil"/>
              <w:bottom w:val="nil"/>
            </w:tcBorders>
            <w:vAlign w:val="top"/>
          </w:tcPr>
          <w:p w14:paraId="4F8AE623">
            <w:pPr>
              <w:rPr>
                <w:rFonts w:ascii="Arial"/>
                <w:sz w:val="21"/>
              </w:rPr>
            </w:pPr>
          </w:p>
        </w:tc>
        <w:tc>
          <w:tcPr>
            <w:tcW w:w="155" w:type="dxa"/>
            <w:tcBorders>
              <w:top w:val="nil"/>
              <w:bottom w:val="nil"/>
            </w:tcBorders>
            <w:vAlign w:val="top"/>
          </w:tcPr>
          <w:p w14:paraId="3B829AE1">
            <w:pPr>
              <w:rPr>
                <w:rFonts w:ascii="Arial"/>
                <w:sz w:val="21"/>
              </w:rPr>
            </w:pPr>
          </w:p>
        </w:tc>
      </w:tr>
      <w:tr w14:paraId="22CAD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664" w:type="dxa"/>
            <w:vMerge w:val="continue"/>
            <w:tcBorders>
              <w:top w:val="nil"/>
              <w:bottom w:val="nil"/>
            </w:tcBorders>
            <w:vAlign w:val="top"/>
          </w:tcPr>
          <w:p w14:paraId="19860DB5">
            <w:pPr>
              <w:rPr>
                <w:rFonts w:ascii="Arial"/>
                <w:sz w:val="21"/>
              </w:rPr>
            </w:pPr>
          </w:p>
        </w:tc>
        <w:tc>
          <w:tcPr>
            <w:tcW w:w="160" w:type="dxa"/>
            <w:vMerge w:val="continue"/>
            <w:tcBorders>
              <w:top w:val="nil"/>
              <w:bottom w:val="nil"/>
            </w:tcBorders>
            <w:vAlign w:val="top"/>
          </w:tcPr>
          <w:p w14:paraId="2C9C50AC">
            <w:pPr>
              <w:rPr>
                <w:rFonts w:ascii="Arial"/>
                <w:sz w:val="21"/>
              </w:rPr>
            </w:pPr>
          </w:p>
        </w:tc>
        <w:tc>
          <w:tcPr>
            <w:tcW w:w="589" w:type="dxa"/>
            <w:vMerge w:val="continue"/>
            <w:tcBorders>
              <w:top w:val="nil"/>
              <w:bottom w:val="nil"/>
            </w:tcBorders>
            <w:vAlign w:val="top"/>
          </w:tcPr>
          <w:p w14:paraId="2973204C">
            <w:pPr>
              <w:rPr>
                <w:rFonts w:ascii="Arial"/>
                <w:sz w:val="21"/>
              </w:rPr>
            </w:pPr>
          </w:p>
        </w:tc>
        <w:tc>
          <w:tcPr>
            <w:tcW w:w="849" w:type="dxa"/>
            <w:vAlign w:val="top"/>
          </w:tcPr>
          <w:p w14:paraId="1CC6212B">
            <w:pPr>
              <w:pStyle w:val="6"/>
              <w:spacing w:before="38" w:line="209" w:lineRule="auto"/>
              <w:ind w:left="281" w:right="76" w:hanging="229"/>
              <w:rPr>
                <w:sz w:val="18"/>
                <w:szCs w:val="18"/>
              </w:rPr>
            </w:pPr>
            <w:r>
              <w:rPr>
                <w:spacing w:val="-3"/>
                <w:sz w:val="18"/>
                <w:szCs w:val="18"/>
              </w:rPr>
              <w:t>发峨哨散</w:t>
            </w:r>
            <w:r>
              <w:rPr>
                <w:spacing w:val="1"/>
                <w:sz w:val="18"/>
                <w:szCs w:val="18"/>
              </w:rPr>
              <w:t xml:space="preserve"> </w:t>
            </w:r>
            <w:r>
              <w:rPr>
                <w:spacing w:val="9"/>
                <w:sz w:val="18"/>
                <w:szCs w:val="18"/>
              </w:rPr>
              <w:t>户1</w:t>
            </w:r>
          </w:p>
        </w:tc>
        <w:tc>
          <w:tcPr>
            <w:tcW w:w="1658" w:type="dxa"/>
            <w:vAlign w:val="top"/>
          </w:tcPr>
          <w:p w14:paraId="302434E5">
            <w:pPr>
              <w:pStyle w:val="6"/>
              <w:spacing w:before="75" w:line="190" w:lineRule="auto"/>
              <w:ind w:left="13"/>
              <w:rPr>
                <w:sz w:val="18"/>
                <w:szCs w:val="18"/>
              </w:rPr>
            </w:pPr>
            <w:r>
              <w:rPr>
                <w:spacing w:val="-5"/>
                <w:sz w:val="18"/>
                <w:szCs w:val="18"/>
              </w:rPr>
              <w:t>E103°28'50.02240”</w:t>
            </w:r>
            <w:r>
              <w:rPr>
                <w:spacing w:val="8"/>
                <w:sz w:val="18"/>
                <w:szCs w:val="18"/>
              </w:rPr>
              <w:t xml:space="preserve"> </w:t>
            </w:r>
            <w:r>
              <w:rPr>
                <w:spacing w:val="-4"/>
                <w:sz w:val="18"/>
                <w:szCs w:val="18"/>
              </w:rPr>
              <w:t>N24°54'21.64420”</w:t>
            </w:r>
          </w:p>
        </w:tc>
        <w:tc>
          <w:tcPr>
            <w:tcW w:w="1339" w:type="dxa"/>
            <w:vAlign w:val="top"/>
          </w:tcPr>
          <w:p w14:paraId="20FFC996">
            <w:pPr>
              <w:pStyle w:val="6"/>
              <w:spacing w:before="149" w:line="220" w:lineRule="auto"/>
              <w:ind w:left="305"/>
              <w:rPr>
                <w:sz w:val="18"/>
                <w:szCs w:val="18"/>
              </w:rPr>
            </w:pPr>
            <w:r>
              <w:rPr>
                <w:spacing w:val="-9"/>
                <w:sz w:val="18"/>
                <w:szCs w:val="18"/>
              </w:rPr>
              <w:t>1</w:t>
            </w:r>
            <w:r>
              <w:rPr>
                <w:spacing w:val="-13"/>
                <w:sz w:val="18"/>
                <w:szCs w:val="18"/>
              </w:rPr>
              <w:t xml:space="preserve"> </w:t>
            </w:r>
            <w:r>
              <w:rPr>
                <w:spacing w:val="-9"/>
                <w:sz w:val="18"/>
                <w:szCs w:val="18"/>
              </w:rPr>
              <w:t>户</w:t>
            </w:r>
            <w:r>
              <w:rPr>
                <w:spacing w:val="-14"/>
                <w:sz w:val="18"/>
                <w:szCs w:val="18"/>
              </w:rPr>
              <w:t xml:space="preserve"> </w:t>
            </w:r>
            <w:r>
              <w:rPr>
                <w:spacing w:val="-9"/>
                <w:sz w:val="18"/>
                <w:szCs w:val="18"/>
              </w:rPr>
              <w:t>4</w:t>
            </w:r>
            <w:r>
              <w:rPr>
                <w:spacing w:val="-12"/>
                <w:sz w:val="18"/>
                <w:szCs w:val="18"/>
              </w:rPr>
              <w:t xml:space="preserve"> </w:t>
            </w:r>
            <w:r>
              <w:rPr>
                <w:spacing w:val="-9"/>
                <w:sz w:val="18"/>
                <w:szCs w:val="18"/>
              </w:rPr>
              <w:t>人</w:t>
            </w:r>
          </w:p>
        </w:tc>
        <w:tc>
          <w:tcPr>
            <w:tcW w:w="1878" w:type="dxa"/>
            <w:vAlign w:val="top"/>
          </w:tcPr>
          <w:p w14:paraId="58DAB404">
            <w:pPr>
              <w:pStyle w:val="6"/>
              <w:spacing w:before="147" w:line="219" w:lineRule="auto"/>
              <w:ind w:left="256"/>
              <w:rPr>
                <w:sz w:val="18"/>
                <w:szCs w:val="18"/>
              </w:rPr>
            </w:pPr>
            <w:r>
              <w:rPr>
                <w:spacing w:val="1"/>
                <w:sz w:val="18"/>
                <w:szCs w:val="18"/>
              </w:rPr>
              <w:t>12#光伏阵列西侧</w:t>
            </w:r>
          </w:p>
        </w:tc>
        <w:tc>
          <w:tcPr>
            <w:tcW w:w="729" w:type="dxa"/>
            <w:vAlign w:val="top"/>
          </w:tcPr>
          <w:p w14:paraId="2E2FB5BD">
            <w:pPr>
              <w:pStyle w:val="6"/>
              <w:spacing w:before="165"/>
              <w:ind w:left="228"/>
              <w:rPr>
                <w:sz w:val="18"/>
                <w:szCs w:val="18"/>
              </w:rPr>
            </w:pPr>
            <w:r>
              <w:rPr>
                <w:spacing w:val="-3"/>
                <w:sz w:val="18"/>
                <w:szCs w:val="18"/>
              </w:rPr>
              <w:t>36m</w:t>
            </w:r>
          </w:p>
        </w:tc>
        <w:tc>
          <w:tcPr>
            <w:tcW w:w="590" w:type="dxa"/>
            <w:vMerge w:val="continue"/>
            <w:tcBorders>
              <w:top w:val="nil"/>
              <w:bottom w:val="nil"/>
            </w:tcBorders>
            <w:vAlign w:val="top"/>
          </w:tcPr>
          <w:p w14:paraId="528F02B0">
            <w:pPr>
              <w:rPr>
                <w:rFonts w:ascii="Arial"/>
                <w:sz w:val="21"/>
              </w:rPr>
            </w:pPr>
          </w:p>
        </w:tc>
        <w:tc>
          <w:tcPr>
            <w:tcW w:w="809" w:type="dxa"/>
            <w:vMerge w:val="continue"/>
            <w:tcBorders>
              <w:top w:val="nil"/>
              <w:bottom w:val="nil"/>
            </w:tcBorders>
            <w:vAlign w:val="top"/>
          </w:tcPr>
          <w:p w14:paraId="5CE945E6">
            <w:pPr>
              <w:rPr>
                <w:rFonts w:ascii="Arial"/>
                <w:sz w:val="21"/>
              </w:rPr>
            </w:pPr>
          </w:p>
        </w:tc>
        <w:tc>
          <w:tcPr>
            <w:tcW w:w="155" w:type="dxa"/>
            <w:tcBorders>
              <w:top w:val="nil"/>
              <w:bottom w:val="nil"/>
            </w:tcBorders>
            <w:vAlign w:val="top"/>
          </w:tcPr>
          <w:p w14:paraId="79CCF97C">
            <w:pPr>
              <w:rPr>
                <w:rFonts w:ascii="Arial"/>
                <w:sz w:val="21"/>
              </w:rPr>
            </w:pPr>
          </w:p>
        </w:tc>
      </w:tr>
      <w:tr w14:paraId="2E0B9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664" w:type="dxa"/>
            <w:vMerge w:val="continue"/>
            <w:tcBorders>
              <w:top w:val="nil"/>
              <w:bottom w:val="nil"/>
            </w:tcBorders>
            <w:vAlign w:val="top"/>
          </w:tcPr>
          <w:p w14:paraId="0784564E">
            <w:pPr>
              <w:rPr>
                <w:rFonts w:ascii="Arial"/>
                <w:sz w:val="21"/>
              </w:rPr>
            </w:pPr>
          </w:p>
        </w:tc>
        <w:tc>
          <w:tcPr>
            <w:tcW w:w="160" w:type="dxa"/>
            <w:vMerge w:val="continue"/>
            <w:tcBorders>
              <w:top w:val="nil"/>
              <w:bottom w:val="nil"/>
            </w:tcBorders>
            <w:vAlign w:val="top"/>
          </w:tcPr>
          <w:p w14:paraId="7CBEF761">
            <w:pPr>
              <w:rPr>
                <w:rFonts w:ascii="Arial"/>
                <w:sz w:val="21"/>
              </w:rPr>
            </w:pPr>
          </w:p>
        </w:tc>
        <w:tc>
          <w:tcPr>
            <w:tcW w:w="589" w:type="dxa"/>
            <w:vMerge w:val="continue"/>
            <w:tcBorders>
              <w:top w:val="nil"/>
              <w:bottom w:val="nil"/>
            </w:tcBorders>
            <w:vAlign w:val="top"/>
          </w:tcPr>
          <w:p w14:paraId="2DDDE007">
            <w:pPr>
              <w:rPr>
                <w:rFonts w:ascii="Arial"/>
                <w:sz w:val="21"/>
              </w:rPr>
            </w:pPr>
          </w:p>
        </w:tc>
        <w:tc>
          <w:tcPr>
            <w:tcW w:w="849" w:type="dxa"/>
            <w:vAlign w:val="top"/>
          </w:tcPr>
          <w:p w14:paraId="1B13060B">
            <w:pPr>
              <w:pStyle w:val="6"/>
              <w:spacing w:before="141" w:line="219" w:lineRule="auto"/>
              <w:ind w:left="142"/>
              <w:rPr>
                <w:sz w:val="18"/>
                <w:szCs w:val="18"/>
              </w:rPr>
            </w:pPr>
            <w:r>
              <w:rPr>
                <w:spacing w:val="-2"/>
                <w:sz w:val="18"/>
                <w:szCs w:val="18"/>
              </w:rPr>
              <w:t>戈依村</w:t>
            </w:r>
          </w:p>
        </w:tc>
        <w:tc>
          <w:tcPr>
            <w:tcW w:w="1658" w:type="dxa"/>
            <w:vAlign w:val="top"/>
          </w:tcPr>
          <w:p w14:paraId="0A96E441">
            <w:pPr>
              <w:pStyle w:val="6"/>
              <w:spacing w:before="79" w:line="175" w:lineRule="auto"/>
              <w:ind w:left="13"/>
              <w:rPr>
                <w:sz w:val="18"/>
                <w:szCs w:val="18"/>
              </w:rPr>
            </w:pPr>
            <w:r>
              <w:rPr>
                <w:sz w:val="18"/>
                <w:szCs w:val="18"/>
              </w:rPr>
              <w:t>E103°29'3.70742”</w:t>
            </w:r>
            <w:r>
              <w:rPr>
                <w:spacing w:val="13"/>
                <w:sz w:val="18"/>
                <w:szCs w:val="18"/>
              </w:rPr>
              <w:t xml:space="preserve"> </w:t>
            </w:r>
            <w:r>
              <w:rPr>
                <w:sz w:val="18"/>
                <w:szCs w:val="18"/>
              </w:rPr>
              <w:t>N24°53'44.73264”</w:t>
            </w:r>
          </w:p>
        </w:tc>
        <w:tc>
          <w:tcPr>
            <w:tcW w:w="1339" w:type="dxa"/>
            <w:vAlign w:val="top"/>
          </w:tcPr>
          <w:p w14:paraId="1890DF15">
            <w:pPr>
              <w:pStyle w:val="6"/>
              <w:spacing w:before="142" w:line="220" w:lineRule="auto"/>
              <w:ind w:left="124"/>
              <w:rPr>
                <w:sz w:val="18"/>
                <w:szCs w:val="18"/>
              </w:rPr>
            </w:pPr>
            <w:r>
              <w:rPr>
                <w:sz w:val="18"/>
                <w:szCs w:val="18"/>
              </w:rPr>
              <w:t>108户，432人</w:t>
            </w:r>
          </w:p>
        </w:tc>
        <w:tc>
          <w:tcPr>
            <w:tcW w:w="1878" w:type="dxa"/>
            <w:vAlign w:val="top"/>
          </w:tcPr>
          <w:p w14:paraId="75B97B4D">
            <w:pPr>
              <w:pStyle w:val="6"/>
              <w:spacing w:before="142" w:line="219" w:lineRule="auto"/>
              <w:ind w:left="436"/>
              <w:rPr>
                <w:sz w:val="18"/>
                <w:szCs w:val="18"/>
              </w:rPr>
            </w:pPr>
            <w:r>
              <w:rPr>
                <w:spacing w:val="2"/>
                <w:sz w:val="18"/>
                <w:szCs w:val="18"/>
              </w:rPr>
              <w:t>备用地2西侧</w:t>
            </w:r>
          </w:p>
        </w:tc>
        <w:tc>
          <w:tcPr>
            <w:tcW w:w="729" w:type="dxa"/>
            <w:vAlign w:val="top"/>
          </w:tcPr>
          <w:p w14:paraId="6052AB44">
            <w:pPr>
              <w:pStyle w:val="6"/>
              <w:spacing w:before="159"/>
              <w:ind w:left="178"/>
              <w:rPr>
                <w:sz w:val="18"/>
                <w:szCs w:val="18"/>
              </w:rPr>
            </w:pPr>
            <w:r>
              <w:rPr>
                <w:spacing w:val="-4"/>
                <w:sz w:val="18"/>
                <w:szCs w:val="18"/>
              </w:rPr>
              <w:t>190m</w:t>
            </w:r>
          </w:p>
        </w:tc>
        <w:tc>
          <w:tcPr>
            <w:tcW w:w="590" w:type="dxa"/>
            <w:vMerge w:val="continue"/>
            <w:tcBorders>
              <w:top w:val="nil"/>
              <w:bottom w:val="nil"/>
            </w:tcBorders>
            <w:vAlign w:val="top"/>
          </w:tcPr>
          <w:p w14:paraId="1D978B91">
            <w:pPr>
              <w:rPr>
                <w:rFonts w:ascii="Arial"/>
                <w:sz w:val="21"/>
              </w:rPr>
            </w:pPr>
          </w:p>
        </w:tc>
        <w:tc>
          <w:tcPr>
            <w:tcW w:w="809" w:type="dxa"/>
            <w:vMerge w:val="continue"/>
            <w:tcBorders>
              <w:top w:val="nil"/>
              <w:bottom w:val="nil"/>
            </w:tcBorders>
            <w:vAlign w:val="top"/>
          </w:tcPr>
          <w:p w14:paraId="5DCF96D4">
            <w:pPr>
              <w:rPr>
                <w:rFonts w:ascii="Arial"/>
                <w:sz w:val="21"/>
              </w:rPr>
            </w:pPr>
          </w:p>
        </w:tc>
        <w:tc>
          <w:tcPr>
            <w:tcW w:w="155" w:type="dxa"/>
            <w:tcBorders>
              <w:top w:val="nil"/>
              <w:bottom w:val="nil"/>
            </w:tcBorders>
            <w:vAlign w:val="top"/>
          </w:tcPr>
          <w:p w14:paraId="13236EF1">
            <w:pPr>
              <w:rPr>
                <w:rFonts w:ascii="Arial"/>
                <w:sz w:val="21"/>
              </w:rPr>
            </w:pPr>
          </w:p>
        </w:tc>
      </w:tr>
      <w:tr w14:paraId="52910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3" w:hRule="atLeast"/>
        </w:trPr>
        <w:tc>
          <w:tcPr>
            <w:tcW w:w="664" w:type="dxa"/>
            <w:vMerge w:val="continue"/>
            <w:tcBorders>
              <w:top w:val="nil"/>
              <w:bottom w:val="nil"/>
            </w:tcBorders>
            <w:vAlign w:val="top"/>
          </w:tcPr>
          <w:p w14:paraId="269A6D80">
            <w:pPr>
              <w:rPr>
                <w:rFonts w:ascii="Arial"/>
                <w:sz w:val="21"/>
              </w:rPr>
            </w:pPr>
          </w:p>
        </w:tc>
        <w:tc>
          <w:tcPr>
            <w:tcW w:w="160" w:type="dxa"/>
            <w:vMerge w:val="continue"/>
            <w:tcBorders>
              <w:top w:val="nil"/>
              <w:bottom w:val="nil"/>
            </w:tcBorders>
            <w:vAlign w:val="top"/>
          </w:tcPr>
          <w:p w14:paraId="0E6CDD24">
            <w:pPr>
              <w:rPr>
                <w:rFonts w:ascii="Arial"/>
                <w:sz w:val="21"/>
              </w:rPr>
            </w:pPr>
          </w:p>
        </w:tc>
        <w:tc>
          <w:tcPr>
            <w:tcW w:w="589" w:type="dxa"/>
            <w:vMerge w:val="continue"/>
            <w:tcBorders>
              <w:top w:val="nil"/>
              <w:bottom w:val="nil"/>
            </w:tcBorders>
            <w:vAlign w:val="top"/>
          </w:tcPr>
          <w:p w14:paraId="6B0B1E67">
            <w:pPr>
              <w:rPr>
                <w:rFonts w:ascii="Arial"/>
                <w:sz w:val="21"/>
              </w:rPr>
            </w:pPr>
          </w:p>
        </w:tc>
        <w:tc>
          <w:tcPr>
            <w:tcW w:w="849" w:type="dxa"/>
            <w:vAlign w:val="top"/>
          </w:tcPr>
          <w:p w14:paraId="67D272D7">
            <w:pPr>
              <w:pStyle w:val="6"/>
              <w:spacing w:before="31" w:line="219" w:lineRule="auto"/>
              <w:ind w:left="52"/>
              <w:rPr>
                <w:sz w:val="18"/>
                <w:szCs w:val="18"/>
              </w:rPr>
            </w:pPr>
            <w:r>
              <w:rPr>
                <w:spacing w:val="-2"/>
                <w:sz w:val="18"/>
                <w:szCs w:val="18"/>
              </w:rPr>
              <w:t>大莫古集</w:t>
            </w:r>
          </w:p>
          <w:p w14:paraId="15ACB1B9">
            <w:pPr>
              <w:pStyle w:val="6"/>
              <w:spacing w:before="16" w:line="219" w:lineRule="auto"/>
              <w:ind w:left="102"/>
              <w:rPr>
                <w:sz w:val="18"/>
                <w:szCs w:val="18"/>
              </w:rPr>
            </w:pPr>
            <w:r>
              <w:rPr>
                <w:spacing w:val="-2"/>
                <w:sz w:val="18"/>
                <w:szCs w:val="18"/>
              </w:rPr>
              <w:t>镇(包括</w:t>
            </w:r>
          </w:p>
          <w:p w14:paraId="1D79C0E6">
            <w:pPr>
              <w:pStyle w:val="6"/>
              <w:spacing w:before="16" w:line="219" w:lineRule="auto"/>
              <w:ind w:left="52"/>
              <w:rPr>
                <w:sz w:val="18"/>
                <w:szCs w:val="18"/>
              </w:rPr>
            </w:pPr>
            <w:r>
              <w:rPr>
                <w:spacing w:val="-2"/>
                <w:sz w:val="18"/>
                <w:szCs w:val="18"/>
              </w:rPr>
              <w:t>大莫古镇</w:t>
            </w:r>
          </w:p>
          <w:p w14:paraId="0D72326E">
            <w:pPr>
              <w:pStyle w:val="6"/>
              <w:spacing w:before="26" w:line="219" w:lineRule="auto"/>
              <w:ind w:left="52"/>
              <w:rPr>
                <w:sz w:val="18"/>
                <w:szCs w:val="18"/>
              </w:rPr>
            </w:pPr>
            <w:r>
              <w:rPr>
                <w:spacing w:val="-2"/>
                <w:sz w:val="18"/>
                <w:szCs w:val="18"/>
              </w:rPr>
              <w:t>完小、大</w:t>
            </w:r>
          </w:p>
          <w:p w14:paraId="03F0BDDB">
            <w:pPr>
              <w:pStyle w:val="6"/>
              <w:spacing w:before="16" w:line="219" w:lineRule="auto"/>
              <w:ind w:left="52"/>
              <w:rPr>
                <w:sz w:val="18"/>
                <w:szCs w:val="18"/>
              </w:rPr>
            </w:pPr>
            <w:r>
              <w:rPr>
                <w:sz w:val="18"/>
                <w:szCs w:val="18"/>
              </w:rPr>
              <w:t>莫古镇一</w:t>
            </w:r>
          </w:p>
          <w:p w14:paraId="4E67F03A">
            <w:pPr>
              <w:pStyle w:val="6"/>
              <w:spacing w:before="6" w:line="219" w:lineRule="auto"/>
              <w:ind w:left="52"/>
              <w:rPr>
                <w:sz w:val="18"/>
                <w:szCs w:val="18"/>
              </w:rPr>
            </w:pPr>
            <w:r>
              <w:rPr>
                <w:spacing w:val="2"/>
                <w:sz w:val="18"/>
                <w:szCs w:val="18"/>
              </w:rPr>
              <w:t>中、大莫</w:t>
            </w:r>
          </w:p>
          <w:p w14:paraId="65AC180D">
            <w:pPr>
              <w:pStyle w:val="6"/>
              <w:spacing w:before="37" w:line="196" w:lineRule="auto"/>
              <w:ind w:left="142"/>
              <w:rPr>
                <w:sz w:val="18"/>
                <w:szCs w:val="18"/>
              </w:rPr>
            </w:pPr>
            <w:r>
              <w:rPr>
                <w:spacing w:val="-3"/>
                <w:sz w:val="18"/>
                <w:szCs w:val="18"/>
              </w:rPr>
              <w:t>古幼儿</w:t>
            </w:r>
          </w:p>
          <w:p w14:paraId="77C000A2">
            <w:pPr>
              <w:pStyle w:val="6"/>
              <w:spacing w:before="1" w:line="220" w:lineRule="auto"/>
              <w:ind w:left="232"/>
              <w:rPr>
                <w:sz w:val="18"/>
                <w:szCs w:val="18"/>
              </w:rPr>
            </w:pPr>
            <w:r>
              <w:rPr>
                <w:spacing w:val="-11"/>
                <w:sz w:val="18"/>
                <w:szCs w:val="18"/>
              </w:rPr>
              <w:t>园</w:t>
            </w:r>
            <w:r>
              <w:rPr>
                <w:spacing w:val="-22"/>
                <w:sz w:val="18"/>
                <w:szCs w:val="18"/>
              </w:rPr>
              <w:t xml:space="preserve"> </w:t>
            </w:r>
            <w:r>
              <w:rPr>
                <w:spacing w:val="-11"/>
                <w:sz w:val="18"/>
                <w:szCs w:val="18"/>
              </w:rPr>
              <w:t>)</w:t>
            </w:r>
          </w:p>
        </w:tc>
        <w:tc>
          <w:tcPr>
            <w:tcW w:w="1658" w:type="dxa"/>
            <w:vAlign w:val="top"/>
          </w:tcPr>
          <w:p w14:paraId="0B2CCDB9">
            <w:pPr>
              <w:spacing w:line="242" w:lineRule="auto"/>
              <w:rPr>
                <w:rFonts w:ascii="Arial"/>
                <w:sz w:val="21"/>
              </w:rPr>
            </w:pPr>
          </w:p>
          <w:p w14:paraId="6080C02E">
            <w:pPr>
              <w:spacing w:line="242" w:lineRule="auto"/>
              <w:rPr>
                <w:rFonts w:ascii="Arial"/>
                <w:sz w:val="21"/>
              </w:rPr>
            </w:pPr>
          </w:p>
          <w:p w14:paraId="720EE9F3">
            <w:pPr>
              <w:spacing w:line="242" w:lineRule="auto"/>
              <w:rPr>
                <w:rFonts w:ascii="Arial"/>
                <w:sz w:val="21"/>
              </w:rPr>
            </w:pPr>
          </w:p>
          <w:p w14:paraId="5774A206">
            <w:pPr>
              <w:pStyle w:val="6"/>
              <w:spacing w:before="58" w:line="222" w:lineRule="auto"/>
              <w:ind w:left="49" w:hanging="36"/>
              <w:rPr>
                <w:sz w:val="18"/>
                <w:szCs w:val="18"/>
              </w:rPr>
            </w:pPr>
            <w:r>
              <w:rPr>
                <w:spacing w:val="-5"/>
                <w:sz w:val="18"/>
                <w:szCs w:val="18"/>
              </w:rPr>
              <w:t>E103°30'41.51257”</w:t>
            </w:r>
            <w:r>
              <w:rPr>
                <w:spacing w:val="8"/>
                <w:sz w:val="18"/>
                <w:szCs w:val="18"/>
              </w:rPr>
              <w:t xml:space="preserve"> </w:t>
            </w:r>
            <w:r>
              <w:rPr>
                <w:spacing w:val="-9"/>
                <w:sz w:val="18"/>
                <w:szCs w:val="18"/>
              </w:rPr>
              <w:t>N24°54'24.54414"</w:t>
            </w:r>
          </w:p>
        </w:tc>
        <w:tc>
          <w:tcPr>
            <w:tcW w:w="1339" w:type="dxa"/>
            <w:vAlign w:val="top"/>
          </w:tcPr>
          <w:p w14:paraId="53452338">
            <w:pPr>
              <w:spacing w:line="263" w:lineRule="auto"/>
              <w:rPr>
                <w:rFonts w:ascii="Arial"/>
                <w:sz w:val="21"/>
              </w:rPr>
            </w:pPr>
          </w:p>
          <w:p w14:paraId="19F376BC">
            <w:pPr>
              <w:spacing w:line="263" w:lineRule="auto"/>
              <w:rPr>
                <w:rFonts w:ascii="Arial"/>
                <w:sz w:val="21"/>
              </w:rPr>
            </w:pPr>
          </w:p>
          <w:p w14:paraId="1B52BE84">
            <w:pPr>
              <w:spacing w:line="264" w:lineRule="auto"/>
              <w:rPr>
                <w:rFonts w:ascii="Arial"/>
                <w:sz w:val="21"/>
              </w:rPr>
            </w:pPr>
          </w:p>
          <w:p w14:paraId="768B6236">
            <w:pPr>
              <w:pStyle w:val="6"/>
              <w:spacing w:before="59" w:line="222" w:lineRule="auto"/>
              <w:ind w:left="394"/>
              <w:rPr>
                <w:sz w:val="18"/>
                <w:szCs w:val="18"/>
              </w:rPr>
            </w:pPr>
            <w:r>
              <w:rPr>
                <w:spacing w:val="-2"/>
                <w:sz w:val="18"/>
                <w:szCs w:val="18"/>
              </w:rPr>
              <w:t>5300人</w:t>
            </w:r>
          </w:p>
        </w:tc>
        <w:tc>
          <w:tcPr>
            <w:tcW w:w="1878" w:type="dxa"/>
            <w:vAlign w:val="top"/>
          </w:tcPr>
          <w:p w14:paraId="1087CE67">
            <w:pPr>
              <w:spacing w:line="262" w:lineRule="auto"/>
              <w:rPr>
                <w:rFonts w:ascii="Arial"/>
                <w:sz w:val="21"/>
              </w:rPr>
            </w:pPr>
          </w:p>
          <w:p w14:paraId="459C89DD">
            <w:pPr>
              <w:spacing w:line="262" w:lineRule="auto"/>
              <w:rPr>
                <w:rFonts w:ascii="Arial"/>
                <w:sz w:val="21"/>
              </w:rPr>
            </w:pPr>
          </w:p>
          <w:p w14:paraId="6697F947">
            <w:pPr>
              <w:spacing w:line="262" w:lineRule="auto"/>
              <w:rPr>
                <w:rFonts w:ascii="Arial"/>
                <w:sz w:val="21"/>
              </w:rPr>
            </w:pPr>
          </w:p>
          <w:p w14:paraId="080F87E7">
            <w:pPr>
              <w:pStyle w:val="6"/>
              <w:spacing w:before="59" w:line="219" w:lineRule="auto"/>
              <w:ind w:left="306"/>
              <w:rPr>
                <w:sz w:val="18"/>
                <w:szCs w:val="18"/>
              </w:rPr>
            </w:pPr>
            <w:r>
              <w:rPr>
                <w:spacing w:val="1"/>
                <w:sz w:val="18"/>
                <w:szCs w:val="18"/>
              </w:rPr>
              <w:t>8#光伏阵列东侧</w:t>
            </w:r>
          </w:p>
        </w:tc>
        <w:tc>
          <w:tcPr>
            <w:tcW w:w="729" w:type="dxa"/>
            <w:vAlign w:val="top"/>
          </w:tcPr>
          <w:p w14:paraId="7B892C6D">
            <w:pPr>
              <w:spacing w:line="268" w:lineRule="auto"/>
              <w:rPr>
                <w:rFonts w:ascii="Arial"/>
                <w:sz w:val="21"/>
              </w:rPr>
            </w:pPr>
          </w:p>
          <w:p w14:paraId="0BD9C22A">
            <w:pPr>
              <w:spacing w:line="268" w:lineRule="auto"/>
              <w:rPr>
                <w:rFonts w:ascii="Arial"/>
                <w:sz w:val="21"/>
              </w:rPr>
            </w:pPr>
          </w:p>
          <w:p w14:paraId="052304C1">
            <w:pPr>
              <w:spacing w:line="269" w:lineRule="auto"/>
              <w:rPr>
                <w:rFonts w:ascii="Arial"/>
                <w:sz w:val="21"/>
              </w:rPr>
            </w:pPr>
          </w:p>
          <w:p w14:paraId="2BAD34A8">
            <w:pPr>
              <w:pStyle w:val="6"/>
              <w:spacing w:before="58"/>
              <w:ind w:left="228"/>
              <w:rPr>
                <w:sz w:val="18"/>
                <w:szCs w:val="18"/>
              </w:rPr>
            </w:pPr>
            <w:r>
              <w:rPr>
                <w:spacing w:val="-3"/>
                <w:sz w:val="18"/>
                <w:szCs w:val="18"/>
              </w:rPr>
              <w:t>38m</w:t>
            </w:r>
          </w:p>
        </w:tc>
        <w:tc>
          <w:tcPr>
            <w:tcW w:w="590" w:type="dxa"/>
            <w:vMerge w:val="continue"/>
            <w:tcBorders>
              <w:top w:val="nil"/>
              <w:bottom w:val="nil"/>
            </w:tcBorders>
            <w:vAlign w:val="top"/>
          </w:tcPr>
          <w:p w14:paraId="0A1DC61D">
            <w:pPr>
              <w:rPr>
                <w:rFonts w:ascii="Arial"/>
                <w:sz w:val="21"/>
              </w:rPr>
            </w:pPr>
          </w:p>
        </w:tc>
        <w:tc>
          <w:tcPr>
            <w:tcW w:w="809" w:type="dxa"/>
            <w:vMerge w:val="continue"/>
            <w:tcBorders>
              <w:top w:val="nil"/>
              <w:bottom w:val="nil"/>
            </w:tcBorders>
            <w:vAlign w:val="top"/>
          </w:tcPr>
          <w:p w14:paraId="12DDFB7E">
            <w:pPr>
              <w:rPr>
                <w:rFonts w:ascii="Arial"/>
                <w:sz w:val="21"/>
              </w:rPr>
            </w:pPr>
          </w:p>
        </w:tc>
        <w:tc>
          <w:tcPr>
            <w:tcW w:w="155" w:type="dxa"/>
            <w:tcBorders>
              <w:top w:val="nil"/>
              <w:bottom w:val="nil"/>
            </w:tcBorders>
            <w:vAlign w:val="top"/>
          </w:tcPr>
          <w:p w14:paraId="654C7EB6">
            <w:pPr>
              <w:rPr>
                <w:rFonts w:ascii="Arial"/>
                <w:sz w:val="21"/>
              </w:rPr>
            </w:pPr>
          </w:p>
        </w:tc>
      </w:tr>
      <w:tr w14:paraId="663FA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 w:hRule="atLeast"/>
        </w:trPr>
        <w:tc>
          <w:tcPr>
            <w:tcW w:w="664" w:type="dxa"/>
            <w:vMerge w:val="continue"/>
            <w:tcBorders>
              <w:top w:val="nil"/>
              <w:bottom w:val="nil"/>
            </w:tcBorders>
            <w:vAlign w:val="top"/>
          </w:tcPr>
          <w:p w14:paraId="4A3E99D3">
            <w:pPr>
              <w:rPr>
                <w:rFonts w:ascii="Arial"/>
                <w:sz w:val="21"/>
              </w:rPr>
            </w:pPr>
          </w:p>
        </w:tc>
        <w:tc>
          <w:tcPr>
            <w:tcW w:w="160" w:type="dxa"/>
            <w:vMerge w:val="continue"/>
            <w:tcBorders>
              <w:top w:val="nil"/>
              <w:bottom w:val="nil"/>
            </w:tcBorders>
            <w:vAlign w:val="top"/>
          </w:tcPr>
          <w:p w14:paraId="0BFD95E0">
            <w:pPr>
              <w:rPr>
                <w:rFonts w:ascii="Arial"/>
                <w:sz w:val="21"/>
              </w:rPr>
            </w:pPr>
          </w:p>
        </w:tc>
        <w:tc>
          <w:tcPr>
            <w:tcW w:w="589" w:type="dxa"/>
            <w:vMerge w:val="continue"/>
            <w:tcBorders>
              <w:top w:val="nil"/>
              <w:bottom w:val="nil"/>
            </w:tcBorders>
            <w:vAlign w:val="top"/>
          </w:tcPr>
          <w:p w14:paraId="515EE30B">
            <w:pPr>
              <w:rPr>
                <w:rFonts w:ascii="Arial"/>
                <w:sz w:val="21"/>
              </w:rPr>
            </w:pPr>
          </w:p>
        </w:tc>
        <w:tc>
          <w:tcPr>
            <w:tcW w:w="849" w:type="dxa"/>
            <w:vAlign w:val="top"/>
          </w:tcPr>
          <w:p w14:paraId="362A346F">
            <w:pPr>
              <w:pStyle w:val="6"/>
              <w:spacing w:before="28" w:line="246" w:lineRule="auto"/>
              <w:ind w:left="52" w:right="43"/>
              <w:rPr>
                <w:sz w:val="18"/>
                <w:szCs w:val="18"/>
              </w:rPr>
            </w:pPr>
            <w:r>
              <w:rPr>
                <w:spacing w:val="-2"/>
                <w:sz w:val="18"/>
                <w:szCs w:val="18"/>
              </w:rPr>
              <w:t>放马沟散</w:t>
            </w:r>
            <w:r>
              <w:rPr>
                <w:sz w:val="18"/>
                <w:szCs w:val="18"/>
              </w:rPr>
              <w:t xml:space="preserve"> </w:t>
            </w:r>
            <w:r>
              <w:rPr>
                <w:spacing w:val="-19"/>
                <w:sz w:val="18"/>
                <w:szCs w:val="18"/>
              </w:rPr>
              <w:t>户 4</w:t>
            </w:r>
            <w:r>
              <w:rPr>
                <w:spacing w:val="18"/>
                <w:sz w:val="18"/>
                <w:szCs w:val="18"/>
              </w:rPr>
              <w:t xml:space="preserve"> </w:t>
            </w:r>
            <w:r>
              <w:rPr>
                <w:spacing w:val="-19"/>
                <w:sz w:val="18"/>
                <w:szCs w:val="18"/>
              </w:rPr>
              <w:t>(</w:t>
            </w:r>
            <w:r>
              <w:rPr>
                <w:spacing w:val="9"/>
                <w:sz w:val="18"/>
                <w:szCs w:val="18"/>
              </w:rPr>
              <w:t xml:space="preserve"> </w:t>
            </w:r>
            <w:r>
              <w:rPr>
                <w:spacing w:val="-19"/>
                <w:sz w:val="18"/>
                <w:szCs w:val="18"/>
              </w:rPr>
              <w:t>田</w:t>
            </w:r>
          </w:p>
          <w:p w14:paraId="05E2283F">
            <w:pPr>
              <w:pStyle w:val="6"/>
              <w:spacing w:before="1" w:line="207" w:lineRule="auto"/>
              <w:ind w:left="211" w:right="59" w:hanging="159"/>
              <w:rPr>
                <w:sz w:val="18"/>
                <w:szCs w:val="18"/>
              </w:rPr>
            </w:pPr>
            <w:r>
              <w:rPr>
                <w:spacing w:val="1"/>
                <w:sz w:val="18"/>
                <w:szCs w:val="18"/>
              </w:rPr>
              <w:t>间农户看</w:t>
            </w:r>
            <w:r>
              <w:rPr>
                <w:spacing w:val="2"/>
                <w:sz w:val="18"/>
                <w:szCs w:val="18"/>
              </w:rPr>
              <w:t xml:space="preserve"> </w:t>
            </w:r>
            <w:r>
              <w:rPr>
                <w:spacing w:val="-4"/>
                <w:sz w:val="18"/>
                <w:szCs w:val="18"/>
              </w:rPr>
              <w:t>地</w:t>
            </w:r>
            <w:r>
              <w:rPr>
                <w:spacing w:val="-36"/>
                <w:sz w:val="18"/>
                <w:szCs w:val="18"/>
              </w:rPr>
              <w:t xml:space="preserve"> </w:t>
            </w:r>
            <w:r>
              <w:rPr>
                <w:spacing w:val="-4"/>
                <w:sz w:val="18"/>
                <w:szCs w:val="18"/>
              </w:rPr>
              <w:t>)</w:t>
            </w:r>
          </w:p>
        </w:tc>
        <w:tc>
          <w:tcPr>
            <w:tcW w:w="1658" w:type="dxa"/>
            <w:vAlign w:val="top"/>
          </w:tcPr>
          <w:p w14:paraId="777F6A0F">
            <w:pPr>
              <w:spacing w:line="275" w:lineRule="auto"/>
              <w:rPr>
                <w:rFonts w:ascii="Arial"/>
                <w:sz w:val="21"/>
              </w:rPr>
            </w:pPr>
          </w:p>
          <w:p w14:paraId="4210CF5B">
            <w:pPr>
              <w:pStyle w:val="6"/>
              <w:spacing w:before="59" w:line="217" w:lineRule="auto"/>
              <w:ind w:left="49" w:hanging="36"/>
              <w:rPr>
                <w:sz w:val="18"/>
                <w:szCs w:val="18"/>
              </w:rPr>
            </w:pPr>
            <w:r>
              <w:rPr>
                <w:spacing w:val="-5"/>
                <w:sz w:val="18"/>
                <w:szCs w:val="18"/>
              </w:rPr>
              <w:t>E103°28'30.91860”</w:t>
            </w:r>
            <w:r>
              <w:rPr>
                <w:spacing w:val="8"/>
                <w:sz w:val="18"/>
                <w:szCs w:val="18"/>
              </w:rPr>
              <w:t xml:space="preserve"> </w:t>
            </w:r>
            <w:r>
              <w:rPr>
                <w:spacing w:val="-9"/>
                <w:sz w:val="18"/>
                <w:szCs w:val="18"/>
              </w:rPr>
              <w:t>N24°52'56.25541"</w:t>
            </w:r>
          </w:p>
        </w:tc>
        <w:tc>
          <w:tcPr>
            <w:tcW w:w="1339" w:type="dxa"/>
            <w:vAlign w:val="top"/>
          </w:tcPr>
          <w:p w14:paraId="6422BF53">
            <w:pPr>
              <w:spacing w:line="328" w:lineRule="auto"/>
              <w:rPr>
                <w:rFonts w:ascii="Arial"/>
                <w:sz w:val="21"/>
              </w:rPr>
            </w:pPr>
          </w:p>
          <w:p w14:paraId="6E861F90">
            <w:pPr>
              <w:pStyle w:val="6"/>
              <w:spacing w:before="59" w:line="220" w:lineRule="auto"/>
              <w:ind w:left="305"/>
              <w:rPr>
                <w:sz w:val="18"/>
                <w:szCs w:val="18"/>
              </w:rPr>
            </w:pPr>
            <w:r>
              <w:rPr>
                <w:spacing w:val="-2"/>
                <w:sz w:val="18"/>
                <w:szCs w:val="18"/>
              </w:rPr>
              <w:t>3户，3人</w:t>
            </w:r>
          </w:p>
        </w:tc>
        <w:tc>
          <w:tcPr>
            <w:tcW w:w="1878" w:type="dxa"/>
            <w:vAlign w:val="top"/>
          </w:tcPr>
          <w:p w14:paraId="605A5CEF">
            <w:pPr>
              <w:spacing w:line="326" w:lineRule="auto"/>
              <w:rPr>
                <w:rFonts w:ascii="Arial"/>
                <w:sz w:val="21"/>
              </w:rPr>
            </w:pPr>
          </w:p>
          <w:p w14:paraId="288F36E7">
            <w:pPr>
              <w:pStyle w:val="6"/>
              <w:spacing w:before="59" w:line="219" w:lineRule="auto"/>
              <w:ind w:left="256"/>
              <w:rPr>
                <w:sz w:val="18"/>
                <w:szCs w:val="18"/>
              </w:rPr>
            </w:pPr>
            <w:r>
              <w:rPr>
                <w:spacing w:val="1"/>
                <w:sz w:val="18"/>
                <w:szCs w:val="18"/>
              </w:rPr>
              <w:t>14#光伏阵列西侧</w:t>
            </w:r>
          </w:p>
        </w:tc>
        <w:tc>
          <w:tcPr>
            <w:tcW w:w="729" w:type="dxa"/>
            <w:vAlign w:val="top"/>
          </w:tcPr>
          <w:p w14:paraId="1A4BF99A">
            <w:pPr>
              <w:spacing w:line="345" w:lineRule="auto"/>
              <w:rPr>
                <w:rFonts w:ascii="Arial"/>
                <w:sz w:val="21"/>
              </w:rPr>
            </w:pPr>
          </w:p>
          <w:p w14:paraId="5456FA42">
            <w:pPr>
              <w:pStyle w:val="6"/>
              <w:spacing w:before="58"/>
              <w:ind w:left="178"/>
              <w:rPr>
                <w:sz w:val="18"/>
                <w:szCs w:val="18"/>
              </w:rPr>
            </w:pPr>
            <w:r>
              <w:rPr>
                <w:spacing w:val="-4"/>
                <w:sz w:val="18"/>
                <w:szCs w:val="18"/>
              </w:rPr>
              <w:t>131m</w:t>
            </w:r>
          </w:p>
        </w:tc>
        <w:tc>
          <w:tcPr>
            <w:tcW w:w="590" w:type="dxa"/>
            <w:vMerge w:val="continue"/>
            <w:tcBorders>
              <w:top w:val="nil"/>
              <w:bottom w:val="nil"/>
            </w:tcBorders>
            <w:vAlign w:val="top"/>
          </w:tcPr>
          <w:p w14:paraId="57F209D5">
            <w:pPr>
              <w:rPr>
                <w:rFonts w:ascii="Arial"/>
                <w:sz w:val="21"/>
              </w:rPr>
            </w:pPr>
          </w:p>
        </w:tc>
        <w:tc>
          <w:tcPr>
            <w:tcW w:w="809" w:type="dxa"/>
            <w:vMerge w:val="continue"/>
            <w:tcBorders>
              <w:top w:val="nil"/>
              <w:bottom w:val="nil"/>
            </w:tcBorders>
            <w:vAlign w:val="top"/>
          </w:tcPr>
          <w:p w14:paraId="0CC0B0B9">
            <w:pPr>
              <w:rPr>
                <w:rFonts w:ascii="Arial"/>
                <w:sz w:val="21"/>
              </w:rPr>
            </w:pPr>
          </w:p>
        </w:tc>
        <w:tc>
          <w:tcPr>
            <w:tcW w:w="155" w:type="dxa"/>
            <w:tcBorders>
              <w:top w:val="nil"/>
              <w:bottom w:val="nil"/>
            </w:tcBorders>
            <w:vAlign w:val="top"/>
          </w:tcPr>
          <w:p w14:paraId="1D2731C8">
            <w:pPr>
              <w:rPr>
                <w:rFonts w:ascii="Arial"/>
                <w:sz w:val="21"/>
              </w:rPr>
            </w:pPr>
          </w:p>
        </w:tc>
      </w:tr>
      <w:tr w14:paraId="6C1D1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664" w:type="dxa"/>
            <w:vMerge w:val="continue"/>
            <w:tcBorders>
              <w:top w:val="nil"/>
              <w:bottom w:val="nil"/>
            </w:tcBorders>
            <w:vAlign w:val="top"/>
          </w:tcPr>
          <w:p w14:paraId="725CB537">
            <w:pPr>
              <w:rPr>
                <w:rFonts w:ascii="Arial"/>
                <w:sz w:val="21"/>
              </w:rPr>
            </w:pPr>
          </w:p>
        </w:tc>
        <w:tc>
          <w:tcPr>
            <w:tcW w:w="160" w:type="dxa"/>
            <w:vMerge w:val="continue"/>
            <w:tcBorders>
              <w:top w:val="nil"/>
              <w:bottom w:val="nil"/>
            </w:tcBorders>
            <w:vAlign w:val="top"/>
          </w:tcPr>
          <w:p w14:paraId="3E622B7D">
            <w:pPr>
              <w:rPr>
                <w:rFonts w:ascii="Arial"/>
                <w:sz w:val="21"/>
              </w:rPr>
            </w:pPr>
          </w:p>
        </w:tc>
        <w:tc>
          <w:tcPr>
            <w:tcW w:w="589" w:type="dxa"/>
            <w:vMerge w:val="continue"/>
            <w:tcBorders>
              <w:top w:val="nil"/>
              <w:bottom w:val="nil"/>
            </w:tcBorders>
            <w:vAlign w:val="top"/>
          </w:tcPr>
          <w:p w14:paraId="2E0AD4E8">
            <w:pPr>
              <w:rPr>
                <w:rFonts w:ascii="Arial"/>
                <w:sz w:val="21"/>
              </w:rPr>
            </w:pPr>
          </w:p>
        </w:tc>
        <w:tc>
          <w:tcPr>
            <w:tcW w:w="849" w:type="dxa"/>
            <w:vAlign w:val="top"/>
          </w:tcPr>
          <w:p w14:paraId="17C02B9B">
            <w:pPr>
              <w:pStyle w:val="6"/>
              <w:spacing w:before="54" w:line="231" w:lineRule="auto"/>
              <w:ind w:left="32" w:right="23" w:firstLine="20"/>
              <w:rPr>
                <w:sz w:val="18"/>
                <w:szCs w:val="18"/>
              </w:rPr>
            </w:pPr>
            <w:r>
              <w:rPr>
                <w:spacing w:val="-2"/>
                <w:sz w:val="18"/>
                <w:szCs w:val="18"/>
              </w:rPr>
              <w:t>放马沟散</w:t>
            </w:r>
            <w:r>
              <w:rPr>
                <w:sz w:val="18"/>
                <w:szCs w:val="18"/>
              </w:rPr>
              <w:t xml:space="preserve"> </w:t>
            </w:r>
            <w:r>
              <w:rPr>
                <w:spacing w:val="-22"/>
                <w:sz w:val="18"/>
                <w:szCs w:val="18"/>
              </w:rPr>
              <w:t>户</w:t>
            </w:r>
            <w:r>
              <w:rPr>
                <w:spacing w:val="5"/>
                <w:sz w:val="18"/>
                <w:szCs w:val="18"/>
              </w:rPr>
              <w:t xml:space="preserve"> </w:t>
            </w:r>
            <w:r>
              <w:rPr>
                <w:spacing w:val="-22"/>
                <w:sz w:val="18"/>
                <w:szCs w:val="18"/>
              </w:rPr>
              <w:t>7</w:t>
            </w:r>
            <w:r>
              <w:rPr>
                <w:spacing w:val="32"/>
                <w:sz w:val="18"/>
                <w:szCs w:val="18"/>
              </w:rPr>
              <w:t xml:space="preserve"> </w:t>
            </w:r>
            <w:r>
              <w:rPr>
                <w:spacing w:val="-22"/>
                <w:sz w:val="18"/>
                <w:szCs w:val="18"/>
              </w:rPr>
              <w:t>(</w:t>
            </w:r>
            <w:r>
              <w:rPr>
                <w:spacing w:val="23"/>
                <w:sz w:val="18"/>
                <w:szCs w:val="18"/>
              </w:rPr>
              <w:t xml:space="preserve"> </w:t>
            </w:r>
            <w:r>
              <w:rPr>
                <w:spacing w:val="-22"/>
                <w:sz w:val="18"/>
                <w:szCs w:val="18"/>
              </w:rPr>
              <w:t>田</w:t>
            </w:r>
          </w:p>
          <w:p w14:paraId="247AD3C0">
            <w:pPr>
              <w:pStyle w:val="6"/>
              <w:spacing w:line="219" w:lineRule="auto"/>
              <w:ind w:left="52"/>
              <w:rPr>
                <w:sz w:val="18"/>
                <w:szCs w:val="18"/>
              </w:rPr>
            </w:pPr>
            <w:r>
              <w:rPr>
                <w:spacing w:val="1"/>
                <w:sz w:val="18"/>
                <w:szCs w:val="18"/>
              </w:rPr>
              <w:t>间农户看</w:t>
            </w:r>
          </w:p>
          <w:p w14:paraId="7B7C8C3A">
            <w:pPr>
              <w:pStyle w:val="6"/>
              <w:spacing w:before="29" w:line="184" w:lineRule="auto"/>
              <w:ind w:left="282"/>
              <w:rPr>
                <w:sz w:val="18"/>
                <w:szCs w:val="18"/>
              </w:rPr>
            </w:pPr>
            <w:r>
              <w:rPr>
                <w:spacing w:val="-4"/>
                <w:sz w:val="18"/>
                <w:szCs w:val="18"/>
              </w:rPr>
              <w:t>地</w:t>
            </w:r>
            <w:r>
              <w:rPr>
                <w:spacing w:val="-36"/>
                <w:sz w:val="18"/>
                <w:szCs w:val="18"/>
              </w:rPr>
              <w:t xml:space="preserve"> </w:t>
            </w:r>
            <w:r>
              <w:rPr>
                <w:spacing w:val="-4"/>
                <w:sz w:val="18"/>
                <w:szCs w:val="18"/>
              </w:rPr>
              <w:t>)</w:t>
            </w:r>
          </w:p>
        </w:tc>
        <w:tc>
          <w:tcPr>
            <w:tcW w:w="1658" w:type="dxa"/>
            <w:vAlign w:val="top"/>
          </w:tcPr>
          <w:p w14:paraId="54061D86">
            <w:pPr>
              <w:spacing w:line="274" w:lineRule="auto"/>
              <w:rPr>
                <w:rFonts w:ascii="Arial"/>
                <w:sz w:val="21"/>
              </w:rPr>
            </w:pPr>
          </w:p>
          <w:p w14:paraId="68B57C75">
            <w:pPr>
              <w:pStyle w:val="6"/>
              <w:spacing w:before="58" w:line="237" w:lineRule="auto"/>
              <w:ind w:left="49" w:hanging="36"/>
              <w:rPr>
                <w:sz w:val="18"/>
                <w:szCs w:val="18"/>
              </w:rPr>
            </w:pPr>
            <w:r>
              <w:rPr>
                <w:spacing w:val="-5"/>
                <w:sz w:val="18"/>
                <w:szCs w:val="18"/>
              </w:rPr>
              <w:t>E103°28'29.84798”</w:t>
            </w:r>
            <w:r>
              <w:rPr>
                <w:spacing w:val="8"/>
                <w:sz w:val="18"/>
                <w:szCs w:val="18"/>
              </w:rPr>
              <w:t xml:space="preserve"> </w:t>
            </w:r>
            <w:r>
              <w:rPr>
                <w:spacing w:val="-4"/>
                <w:sz w:val="18"/>
                <w:szCs w:val="18"/>
              </w:rPr>
              <w:t>N24°52'8.23625”</w:t>
            </w:r>
          </w:p>
        </w:tc>
        <w:tc>
          <w:tcPr>
            <w:tcW w:w="1339" w:type="dxa"/>
            <w:vAlign w:val="top"/>
          </w:tcPr>
          <w:p w14:paraId="0FD26D89">
            <w:pPr>
              <w:spacing w:line="335" w:lineRule="auto"/>
              <w:rPr>
                <w:rFonts w:ascii="Arial"/>
                <w:sz w:val="21"/>
              </w:rPr>
            </w:pPr>
          </w:p>
          <w:p w14:paraId="359EA7A1">
            <w:pPr>
              <w:pStyle w:val="6"/>
              <w:spacing w:before="58" w:line="220" w:lineRule="auto"/>
              <w:ind w:left="305"/>
              <w:rPr>
                <w:sz w:val="18"/>
                <w:szCs w:val="18"/>
              </w:rPr>
            </w:pPr>
            <w:r>
              <w:rPr>
                <w:spacing w:val="1"/>
                <w:sz w:val="18"/>
                <w:szCs w:val="18"/>
              </w:rPr>
              <w:t>1户，1人</w:t>
            </w:r>
          </w:p>
        </w:tc>
        <w:tc>
          <w:tcPr>
            <w:tcW w:w="1878" w:type="dxa"/>
            <w:vAlign w:val="top"/>
          </w:tcPr>
          <w:p w14:paraId="70DA2ED7">
            <w:pPr>
              <w:spacing w:line="333" w:lineRule="auto"/>
              <w:rPr>
                <w:rFonts w:ascii="Arial"/>
                <w:sz w:val="21"/>
              </w:rPr>
            </w:pPr>
          </w:p>
          <w:p w14:paraId="5AEEABDD">
            <w:pPr>
              <w:pStyle w:val="6"/>
              <w:spacing w:before="59" w:line="219" w:lineRule="auto"/>
              <w:ind w:left="256"/>
              <w:rPr>
                <w:sz w:val="18"/>
                <w:szCs w:val="18"/>
              </w:rPr>
            </w:pPr>
            <w:r>
              <w:rPr>
                <w:spacing w:val="1"/>
                <w:sz w:val="18"/>
                <w:szCs w:val="18"/>
              </w:rPr>
              <w:t>16#光伏阵列北侧</w:t>
            </w:r>
          </w:p>
        </w:tc>
        <w:tc>
          <w:tcPr>
            <w:tcW w:w="729" w:type="dxa"/>
            <w:vAlign w:val="top"/>
          </w:tcPr>
          <w:p w14:paraId="6348EF63">
            <w:pPr>
              <w:spacing w:line="352" w:lineRule="auto"/>
              <w:rPr>
                <w:rFonts w:ascii="Arial"/>
                <w:sz w:val="21"/>
              </w:rPr>
            </w:pPr>
          </w:p>
          <w:p w14:paraId="6DAB6A95">
            <w:pPr>
              <w:pStyle w:val="6"/>
              <w:spacing w:before="58"/>
              <w:ind w:left="268"/>
              <w:rPr>
                <w:sz w:val="18"/>
                <w:szCs w:val="18"/>
              </w:rPr>
            </w:pPr>
            <w:r>
              <w:rPr>
                <w:spacing w:val="-3"/>
                <w:sz w:val="18"/>
                <w:szCs w:val="18"/>
              </w:rPr>
              <w:t>7m</w:t>
            </w:r>
          </w:p>
        </w:tc>
        <w:tc>
          <w:tcPr>
            <w:tcW w:w="590" w:type="dxa"/>
            <w:vMerge w:val="continue"/>
            <w:tcBorders>
              <w:top w:val="nil"/>
              <w:bottom w:val="nil"/>
            </w:tcBorders>
            <w:vAlign w:val="top"/>
          </w:tcPr>
          <w:p w14:paraId="2D5FC882">
            <w:pPr>
              <w:rPr>
                <w:rFonts w:ascii="Arial"/>
                <w:sz w:val="21"/>
              </w:rPr>
            </w:pPr>
          </w:p>
        </w:tc>
        <w:tc>
          <w:tcPr>
            <w:tcW w:w="809" w:type="dxa"/>
            <w:vMerge w:val="continue"/>
            <w:tcBorders>
              <w:top w:val="nil"/>
              <w:bottom w:val="nil"/>
            </w:tcBorders>
            <w:vAlign w:val="top"/>
          </w:tcPr>
          <w:p w14:paraId="03B949B9">
            <w:pPr>
              <w:rPr>
                <w:rFonts w:ascii="Arial"/>
                <w:sz w:val="21"/>
              </w:rPr>
            </w:pPr>
          </w:p>
        </w:tc>
        <w:tc>
          <w:tcPr>
            <w:tcW w:w="155" w:type="dxa"/>
            <w:tcBorders>
              <w:top w:val="nil"/>
              <w:bottom w:val="nil"/>
            </w:tcBorders>
            <w:vAlign w:val="top"/>
          </w:tcPr>
          <w:p w14:paraId="4E3E7EAF">
            <w:pPr>
              <w:rPr>
                <w:rFonts w:ascii="Arial"/>
                <w:sz w:val="21"/>
              </w:rPr>
            </w:pPr>
          </w:p>
        </w:tc>
      </w:tr>
      <w:tr w14:paraId="5B658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664" w:type="dxa"/>
            <w:vMerge w:val="continue"/>
            <w:tcBorders>
              <w:top w:val="nil"/>
              <w:bottom w:val="nil"/>
            </w:tcBorders>
            <w:vAlign w:val="top"/>
          </w:tcPr>
          <w:p w14:paraId="29967E03">
            <w:pPr>
              <w:rPr>
                <w:rFonts w:ascii="Arial"/>
                <w:sz w:val="21"/>
              </w:rPr>
            </w:pPr>
          </w:p>
        </w:tc>
        <w:tc>
          <w:tcPr>
            <w:tcW w:w="160" w:type="dxa"/>
            <w:vMerge w:val="continue"/>
            <w:tcBorders>
              <w:top w:val="nil"/>
              <w:bottom w:val="nil"/>
            </w:tcBorders>
            <w:vAlign w:val="top"/>
          </w:tcPr>
          <w:p w14:paraId="1FE3135B">
            <w:pPr>
              <w:rPr>
                <w:rFonts w:ascii="Arial"/>
                <w:sz w:val="21"/>
              </w:rPr>
            </w:pPr>
          </w:p>
        </w:tc>
        <w:tc>
          <w:tcPr>
            <w:tcW w:w="589" w:type="dxa"/>
            <w:vMerge w:val="continue"/>
            <w:tcBorders>
              <w:top w:val="nil"/>
              <w:bottom w:val="nil"/>
            </w:tcBorders>
            <w:vAlign w:val="top"/>
          </w:tcPr>
          <w:p w14:paraId="0373039D">
            <w:pPr>
              <w:rPr>
                <w:rFonts w:ascii="Arial"/>
                <w:sz w:val="21"/>
              </w:rPr>
            </w:pPr>
          </w:p>
        </w:tc>
        <w:tc>
          <w:tcPr>
            <w:tcW w:w="849" w:type="dxa"/>
            <w:vAlign w:val="top"/>
          </w:tcPr>
          <w:p w14:paraId="0FF6B520">
            <w:pPr>
              <w:pStyle w:val="6"/>
              <w:spacing w:before="136" w:line="219" w:lineRule="auto"/>
              <w:ind w:left="12"/>
              <w:rPr>
                <w:sz w:val="18"/>
                <w:szCs w:val="18"/>
              </w:rPr>
            </w:pPr>
            <w:r>
              <w:rPr>
                <w:spacing w:val="-3"/>
                <w:sz w:val="18"/>
                <w:szCs w:val="18"/>
              </w:rPr>
              <w:t>大地村</w:t>
            </w:r>
          </w:p>
        </w:tc>
        <w:tc>
          <w:tcPr>
            <w:tcW w:w="1658" w:type="dxa"/>
            <w:vAlign w:val="top"/>
          </w:tcPr>
          <w:p w14:paraId="325C7A4A">
            <w:pPr>
              <w:pStyle w:val="6"/>
              <w:spacing w:before="75" w:line="182" w:lineRule="auto"/>
              <w:ind w:left="13"/>
              <w:rPr>
                <w:sz w:val="18"/>
                <w:szCs w:val="18"/>
              </w:rPr>
            </w:pPr>
            <w:r>
              <w:rPr>
                <w:spacing w:val="-5"/>
                <w:sz w:val="18"/>
                <w:szCs w:val="18"/>
              </w:rPr>
              <w:t>E103°29'41.13397”</w:t>
            </w:r>
            <w:r>
              <w:rPr>
                <w:spacing w:val="8"/>
                <w:sz w:val="18"/>
                <w:szCs w:val="18"/>
              </w:rPr>
              <w:t xml:space="preserve"> </w:t>
            </w:r>
            <w:r>
              <w:rPr>
                <w:spacing w:val="-4"/>
                <w:sz w:val="18"/>
                <w:szCs w:val="18"/>
              </w:rPr>
              <w:t>N24°52'42.63448”</w:t>
            </w:r>
          </w:p>
        </w:tc>
        <w:tc>
          <w:tcPr>
            <w:tcW w:w="1339" w:type="dxa"/>
            <w:vAlign w:val="top"/>
          </w:tcPr>
          <w:p w14:paraId="26922FA0">
            <w:pPr>
              <w:pStyle w:val="6"/>
              <w:spacing w:before="138" w:line="220" w:lineRule="auto"/>
              <w:ind w:left="124"/>
              <w:rPr>
                <w:sz w:val="18"/>
                <w:szCs w:val="18"/>
              </w:rPr>
            </w:pPr>
            <w:r>
              <w:rPr>
                <w:spacing w:val="-1"/>
                <w:sz w:val="18"/>
                <w:szCs w:val="18"/>
              </w:rPr>
              <w:t>220户，660人</w:t>
            </w:r>
          </w:p>
        </w:tc>
        <w:tc>
          <w:tcPr>
            <w:tcW w:w="1878" w:type="dxa"/>
            <w:vAlign w:val="top"/>
          </w:tcPr>
          <w:p w14:paraId="38952B17">
            <w:pPr>
              <w:pStyle w:val="6"/>
              <w:spacing w:before="136" w:line="219" w:lineRule="auto"/>
              <w:ind w:left="256"/>
              <w:rPr>
                <w:sz w:val="18"/>
                <w:szCs w:val="18"/>
              </w:rPr>
            </w:pPr>
            <w:r>
              <w:rPr>
                <w:spacing w:val="1"/>
                <w:sz w:val="18"/>
                <w:szCs w:val="18"/>
              </w:rPr>
              <w:t>19#光伏阵列西侧</w:t>
            </w:r>
          </w:p>
        </w:tc>
        <w:tc>
          <w:tcPr>
            <w:tcW w:w="729" w:type="dxa"/>
            <w:vAlign w:val="top"/>
          </w:tcPr>
          <w:p w14:paraId="5583D8FB">
            <w:pPr>
              <w:pStyle w:val="6"/>
              <w:spacing w:before="154"/>
              <w:ind w:left="178"/>
              <w:rPr>
                <w:sz w:val="18"/>
                <w:szCs w:val="18"/>
              </w:rPr>
            </w:pPr>
            <w:r>
              <w:rPr>
                <w:spacing w:val="-4"/>
                <w:sz w:val="18"/>
                <w:szCs w:val="18"/>
              </w:rPr>
              <w:t>137m</w:t>
            </w:r>
          </w:p>
        </w:tc>
        <w:tc>
          <w:tcPr>
            <w:tcW w:w="590" w:type="dxa"/>
            <w:vMerge w:val="continue"/>
            <w:tcBorders>
              <w:top w:val="nil"/>
              <w:bottom w:val="nil"/>
            </w:tcBorders>
            <w:vAlign w:val="top"/>
          </w:tcPr>
          <w:p w14:paraId="362AFA50">
            <w:pPr>
              <w:rPr>
                <w:rFonts w:ascii="Arial"/>
                <w:sz w:val="21"/>
              </w:rPr>
            </w:pPr>
          </w:p>
        </w:tc>
        <w:tc>
          <w:tcPr>
            <w:tcW w:w="809" w:type="dxa"/>
            <w:vMerge w:val="continue"/>
            <w:tcBorders>
              <w:top w:val="nil"/>
              <w:bottom w:val="nil"/>
            </w:tcBorders>
            <w:vAlign w:val="top"/>
          </w:tcPr>
          <w:p w14:paraId="567C7BD7">
            <w:pPr>
              <w:rPr>
                <w:rFonts w:ascii="Arial"/>
                <w:sz w:val="21"/>
              </w:rPr>
            </w:pPr>
          </w:p>
        </w:tc>
        <w:tc>
          <w:tcPr>
            <w:tcW w:w="155" w:type="dxa"/>
            <w:tcBorders>
              <w:top w:val="nil"/>
              <w:bottom w:val="nil"/>
            </w:tcBorders>
            <w:vAlign w:val="top"/>
          </w:tcPr>
          <w:p w14:paraId="2A067888">
            <w:pPr>
              <w:rPr>
                <w:rFonts w:ascii="Arial"/>
                <w:sz w:val="21"/>
              </w:rPr>
            </w:pPr>
          </w:p>
        </w:tc>
      </w:tr>
      <w:tr w14:paraId="2B01C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664" w:type="dxa"/>
            <w:vMerge w:val="continue"/>
            <w:tcBorders>
              <w:top w:val="nil"/>
              <w:bottom w:val="nil"/>
            </w:tcBorders>
            <w:vAlign w:val="top"/>
          </w:tcPr>
          <w:p w14:paraId="4F190835">
            <w:pPr>
              <w:rPr>
                <w:rFonts w:ascii="Arial"/>
                <w:sz w:val="21"/>
              </w:rPr>
            </w:pPr>
          </w:p>
        </w:tc>
        <w:tc>
          <w:tcPr>
            <w:tcW w:w="160" w:type="dxa"/>
            <w:vMerge w:val="continue"/>
            <w:tcBorders>
              <w:top w:val="nil"/>
              <w:bottom w:val="nil"/>
            </w:tcBorders>
            <w:vAlign w:val="top"/>
          </w:tcPr>
          <w:p w14:paraId="18E47B50">
            <w:pPr>
              <w:rPr>
                <w:rFonts w:ascii="Arial"/>
                <w:sz w:val="21"/>
              </w:rPr>
            </w:pPr>
          </w:p>
        </w:tc>
        <w:tc>
          <w:tcPr>
            <w:tcW w:w="589" w:type="dxa"/>
            <w:vMerge w:val="continue"/>
            <w:tcBorders>
              <w:top w:val="nil"/>
              <w:bottom w:val="nil"/>
            </w:tcBorders>
            <w:vAlign w:val="top"/>
          </w:tcPr>
          <w:p w14:paraId="52C64CDC">
            <w:pPr>
              <w:rPr>
                <w:rFonts w:ascii="Arial"/>
                <w:sz w:val="21"/>
              </w:rPr>
            </w:pPr>
          </w:p>
        </w:tc>
        <w:tc>
          <w:tcPr>
            <w:tcW w:w="849" w:type="dxa"/>
            <w:vAlign w:val="top"/>
          </w:tcPr>
          <w:p w14:paraId="58A49DF1">
            <w:pPr>
              <w:pStyle w:val="6"/>
              <w:spacing w:before="16" w:line="220" w:lineRule="auto"/>
              <w:ind w:left="22" w:right="76" w:firstLine="30"/>
              <w:rPr>
                <w:sz w:val="18"/>
                <w:szCs w:val="18"/>
              </w:rPr>
            </w:pPr>
            <w:r>
              <w:rPr>
                <w:spacing w:val="-3"/>
                <w:sz w:val="18"/>
                <w:szCs w:val="18"/>
              </w:rPr>
              <w:t>大地村散</w:t>
            </w:r>
            <w:r>
              <w:rPr>
                <w:spacing w:val="1"/>
                <w:sz w:val="18"/>
                <w:szCs w:val="18"/>
              </w:rPr>
              <w:t xml:space="preserve"> </w:t>
            </w:r>
            <w:r>
              <w:rPr>
                <w:spacing w:val="-3"/>
                <w:sz w:val="18"/>
                <w:szCs w:val="18"/>
              </w:rPr>
              <w:t>户2</w:t>
            </w:r>
          </w:p>
        </w:tc>
        <w:tc>
          <w:tcPr>
            <w:tcW w:w="1658" w:type="dxa"/>
            <w:vAlign w:val="top"/>
          </w:tcPr>
          <w:p w14:paraId="30FCBAB2">
            <w:pPr>
              <w:pStyle w:val="6"/>
              <w:spacing w:before="85" w:line="185" w:lineRule="auto"/>
              <w:ind w:left="13"/>
              <w:rPr>
                <w:sz w:val="18"/>
                <w:szCs w:val="18"/>
              </w:rPr>
            </w:pPr>
            <w:r>
              <w:rPr>
                <w:spacing w:val="-5"/>
                <w:sz w:val="18"/>
                <w:szCs w:val="18"/>
              </w:rPr>
              <w:t>E103°29'28.31087”</w:t>
            </w:r>
            <w:r>
              <w:rPr>
                <w:spacing w:val="8"/>
                <w:sz w:val="18"/>
                <w:szCs w:val="18"/>
              </w:rPr>
              <w:t xml:space="preserve"> </w:t>
            </w:r>
            <w:r>
              <w:rPr>
                <w:spacing w:val="-4"/>
                <w:sz w:val="18"/>
                <w:szCs w:val="18"/>
              </w:rPr>
              <w:t>N24°52'43.67733”</w:t>
            </w:r>
          </w:p>
        </w:tc>
        <w:tc>
          <w:tcPr>
            <w:tcW w:w="1339" w:type="dxa"/>
            <w:vAlign w:val="top"/>
          </w:tcPr>
          <w:p w14:paraId="3BF69171">
            <w:pPr>
              <w:pStyle w:val="6"/>
              <w:spacing w:before="148" w:line="220" w:lineRule="auto"/>
              <w:ind w:left="255"/>
              <w:rPr>
                <w:sz w:val="18"/>
                <w:szCs w:val="18"/>
              </w:rPr>
            </w:pPr>
            <w:r>
              <w:rPr>
                <w:spacing w:val="-2"/>
                <w:sz w:val="18"/>
                <w:szCs w:val="18"/>
              </w:rPr>
              <w:t>5户，15人</w:t>
            </w:r>
          </w:p>
        </w:tc>
        <w:tc>
          <w:tcPr>
            <w:tcW w:w="1878" w:type="dxa"/>
            <w:vAlign w:val="top"/>
          </w:tcPr>
          <w:p w14:paraId="1012EBF8">
            <w:pPr>
              <w:pStyle w:val="6"/>
              <w:spacing w:before="146" w:line="219" w:lineRule="auto"/>
              <w:ind w:left="256"/>
              <w:rPr>
                <w:sz w:val="18"/>
                <w:szCs w:val="18"/>
              </w:rPr>
            </w:pPr>
            <w:r>
              <w:rPr>
                <w:spacing w:val="1"/>
                <w:sz w:val="18"/>
                <w:szCs w:val="18"/>
              </w:rPr>
              <w:t>18#光伏阵列北侧</w:t>
            </w:r>
          </w:p>
        </w:tc>
        <w:tc>
          <w:tcPr>
            <w:tcW w:w="729" w:type="dxa"/>
            <w:vAlign w:val="top"/>
          </w:tcPr>
          <w:p w14:paraId="3BB85EDB">
            <w:pPr>
              <w:pStyle w:val="6"/>
              <w:spacing w:before="164"/>
              <w:ind w:left="228"/>
              <w:rPr>
                <w:sz w:val="18"/>
                <w:szCs w:val="18"/>
              </w:rPr>
            </w:pPr>
            <w:r>
              <w:rPr>
                <w:spacing w:val="-2"/>
                <w:sz w:val="18"/>
                <w:szCs w:val="18"/>
              </w:rPr>
              <w:t>91m</w:t>
            </w:r>
          </w:p>
        </w:tc>
        <w:tc>
          <w:tcPr>
            <w:tcW w:w="590" w:type="dxa"/>
            <w:vMerge w:val="continue"/>
            <w:tcBorders>
              <w:top w:val="nil"/>
              <w:bottom w:val="nil"/>
            </w:tcBorders>
            <w:vAlign w:val="top"/>
          </w:tcPr>
          <w:p w14:paraId="06458B21">
            <w:pPr>
              <w:rPr>
                <w:rFonts w:ascii="Arial"/>
                <w:sz w:val="21"/>
              </w:rPr>
            </w:pPr>
          </w:p>
        </w:tc>
        <w:tc>
          <w:tcPr>
            <w:tcW w:w="809" w:type="dxa"/>
            <w:vMerge w:val="continue"/>
            <w:tcBorders>
              <w:top w:val="nil"/>
              <w:bottom w:val="nil"/>
            </w:tcBorders>
            <w:vAlign w:val="top"/>
          </w:tcPr>
          <w:p w14:paraId="1FF1116E">
            <w:pPr>
              <w:rPr>
                <w:rFonts w:ascii="Arial"/>
                <w:sz w:val="21"/>
              </w:rPr>
            </w:pPr>
          </w:p>
        </w:tc>
        <w:tc>
          <w:tcPr>
            <w:tcW w:w="155" w:type="dxa"/>
            <w:tcBorders>
              <w:top w:val="nil"/>
              <w:bottom w:val="nil"/>
            </w:tcBorders>
            <w:vAlign w:val="top"/>
          </w:tcPr>
          <w:p w14:paraId="6EEF6DDA">
            <w:pPr>
              <w:rPr>
                <w:rFonts w:ascii="Arial"/>
                <w:sz w:val="21"/>
              </w:rPr>
            </w:pPr>
          </w:p>
        </w:tc>
      </w:tr>
      <w:tr w14:paraId="27FB7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664" w:type="dxa"/>
            <w:vMerge w:val="continue"/>
            <w:tcBorders>
              <w:top w:val="nil"/>
              <w:bottom w:val="nil"/>
            </w:tcBorders>
            <w:vAlign w:val="top"/>
          </w:tcPr>
          <w:p w14:paraId="23F5EEFF">
            <w:pPr>
              <w:rPr>
                <w:rFonts w:ascii="Arial"/>
                <w:sz w:val="21"/>
              </w:rPr>
            </w:pPr>
          </w:p>
        </w:tc>
        <w:tc>
          <w:tcPr>
            <w:tcW w:w="160" w:type="dxa"/>
            <w:vMerge w:val="continue"/>
            <w:tcBorders>
              <w:top w:val="nil"/>
              <w:bottom w:val="nil"/>
            </w:tcBorders>
            <w:vAlign w:val="top"/>
          </w:tcPr>
          <w:p w14:paraId="66BA7031">
            <w:pPr>
              <w:rPr>
                <w:rFonts w:ascii="Arial"/>
                <w:sz w:val="21"/>
              </w:rPr>
            </w:pPr>
          </w:p>
        </w:tc>
        <w:tc>
          <w:tcPr>
            <w:tcW w:w="589" w:type="dxa"/>
            <w:vMerge w:val="continue"/>
            <w:tcBorders>
              <w:top w:val="nil"/>
              <w:bottom w:val="nil"/>
            </w:tcBorders>
            <w:vAlign w:val="top"/>
          </w:tcPr>
          <w:p w14:paraId="1701F297">
            <w:pPr>
              <w:rPr>
                <w:rFonts w:ascii="Arial"/>
                <w:sz w:val="21"/>
              </w:rPr>
            </w:pPr>
          </w:p>
        </w:tc>
        <w:tc>
          <w:tcPr>
            <w:tcW w:w="849" w:type="dxa"/>
            <w:vAlign w:val="top"/>
          </w:tcPr>
          <w:p w14:paraId="10D3EBB3">
            <w:pPr>
              <w:pStyle w:val="6"/>
              <w:spacing w:before="121" w:line="219" w:lineRule="auto"/>
              <w:ind w:left="12"/>
              <w:rPr>
                <w:sz w:val="18"/>
                <w:szCs w:val="18"/>
              </w:rPr>
            </w:pPr>
            <w:r>
              <w:rPr>
                <w:spacing w:val="-3"/>
                <w:sz w:val="18"/>
                <w:szCs w:val="18"/>
              </w:rPr>
              <w:t>大莫古</w:t>
            </w:r>
          </w:p>
        </w:tc>
        <w:tc>
          <w:tcPr>
            <w:tcW w:w="1658" w:type="dxa"/>
            <w:vAlign w:val="top"/>
          </w:tcPr>
          <w:p w14:paraId="4C3F2BE0">
            <w:pPr>
              <w:pStyle w:val="6"/>
              <w:spacing w:before="59" w:line="165" w:lineRule="auto"/>
              <w:ind w:left="49" w:hanging="36"/>
              <w:rPr>
                <w:sz w:val="18"/>
                <w:szCs w:val="18"/>
              </w:rPr>
            </w:pPr>
            <w:r>
              <w:rPr>
                <w:spacing w:val="-5"/>
                <w:sz w:val="18"/>
                <w:szCs w:val="18"/>
              </w:rPr>
              <w:t>E103°31'11.22401”</w:t>
            </w:r>
            <w:r>
              <w:rPr>
                <w:spacing w:val="8"/>
                <w:sz w:val="18"/>
                <w:szCs w:val="18"/>
              </w:rPr>
              <w:t xml:space="preserve"> </w:t>
            </w:r>
            <w:r>
              <w:rPr>
                <w:spacing w:val="-4"/>
                <w:sz w:val="18"/>
                <w:szCs w:val="18"/>
              </w:rPr>
              <w:t>N24°53'5.70255”</w:t>
            </w:r>
          </w:p>
        </w:tc>
        <w:tc>
          <w:tcPr>
            <w:tcW w:w="1339" w:type="dxa"/>
            <w:vAlign w:val="top"/>
          </w:tcPr>
          <w:p w14:paraId="05017126">
            <w:pPr>
              <w:pStyle w:val="6"/>
              <w:spacing w:before="121" w:line="220" w:lineRule="auto"/>
              <w:ind w:left="165"/>
              <w:rPr>
                <w:sz w:val="18"/>
                <w:szCs w:val="18"/>
              </w:rPr>
            </w:pPr>
            <w:r>
              <w:rPr>
                <w:spacing w:val="-2"/>
                <w:sz w:val="18"/>
                <w:szCs w:val="18"/>
              </w:rPr>
              <w:t>32户，102人</w:t>
            </w:r>
          </w:p>
        </w:tc>
        <w:tc>
          <w:tcPr>
            <w:tcW w:w="1878" w:type="dxa"/>
            <w:vAlign w:val="top"/>
          </w:tcPr>
          <w:p w14:paraId="0A57FC87">
            <w:pPr>
              <w:pStyle w:val="6"/>
              <w:spacing w:before="120" w:line="219" w:lineRule="auto"/>
              <w:ind w:left="256"/>
              <w:rPr>
                <w:sz w:val="18"/>
                <w:szCs w:val="18"/>
              </w:rPr>
            </w:pPr>
            <w:r>
              <w:rPr>
                <w:spacing w:val="1"/>
                <w:sz w:val="18"/>
                <w:szCs w:val="18"/>
              </w:rPr>
              <w:t>19#光伏阵列西侧</w:t>
            </w:r>
          </w:p>
        </w:tc>
        <w:tc>
          <w:tcPr>
            <w:tcW w:w="729" w:type="dxa"/>
            <w:vAlign w:val="top"/>
          </w:tcPr>
          <w:p w14:paraId="657AF617">
            <w:pPr>
              <w:pStyle w:val="6"/>
              <w:spacing w:before="138"/>
              <w:ind w:left="178"/>
              <w:rPr>
                <w:sz w:val="18"/>
                <w:szCs w:val="18"/>
              </w:rPr>
            </w:pPr>
            <w:r>
              <w:rPr>
                <w:spacing w:val="-4"/>
                <w:sz w:val="18"/>
                <w:szCs w:val="18"/>
              </w:rPr>
              <w:t>140m</w:t>
            </w:r>
          </w:p>
        </w:tc>
        <w:tc>
          <w:tcPr>
            <w:tcW w:w="590" w:type="dxa"/>
            <w:vMerge w:val="continue"/>
            <w:tcBorders>
              <w:top w:val="nil"/>
              <w:bottom w:val="nil"/>
            </w:tcBorders>
            <w:vAlign w:val="top"/>
          </w:tcPr>
          <w:p w14:paraId="4E07BF97">
            <w:pPr>
              <w:rPr>
                <w:rFonts w:ascii="Arial"/>
                <w:sz w:val="21"/>
              </w:rPr>
            </w:pPr>
          </w:p>
        </w:tc>
        <w:tc>
          <w:tcPr>
            <w:tcW w:w="809" w:type="dxa"/>
            <w:vMerge w:val="continue"/>
            <w:tcBorders>
              <w:top w:val="nil"/>
              <w:bottom w:val="nil"/>
            </w:tcBorders>
            <w:vAlign w:val="top"/>
          </w:tcPr>
          <w:p w14:paraId="738D4C69">
            <w:pPr>
              <w:rPr>
                <w:rFonts w:ascii="Arial"/>
                <w:sz w:val="21"/>
              </w:rPr>
            </w:pPr>
          </w:p>
        </w:tc>
        <w:tc>
          <w:tcPr>
            <w:tcW w:w="155" w:type="dxa"/>
            <w:tcBorders>
              <w:top w:val="nil"/>
              <w:bottom w:val="nil"/>
            </w:tcBorders>
            <w:vAlign w:val="top"/>
          </w:tcPr>
          <w:p w14:paraId="0D8B3EB5">
            <w:pPr>
              <w:rPr>
                <w:rFonts w:ascii="Arial"/>
                <w:sz w:val="21"/>
              </w:rPr>
            </w:pPr>
          </w:p>
        </w:tc>
      </w:tr>
      <w:tr w14:paraId="1519D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trPr>
        <w:tc>
          <w:tcPr>
            <w:tcW w:w="664" w:type="dxa"/>
            <w:vMerge w:val="continue"/>
            <w:tcBorders>
              <w:top w:val="nil"/>
              <w:bottom w:val="nil"/>
            </w:tcBorders>
            <w:vAlign w:val="top"/>
          </w:tcPr>
          <w:p w14:paraId="15BB3052">
            <w:pPr>
              <w:rPr>
                <w:rFonts w:ascii="Arial"/>
                <w:sz w:val="21"/>
              </w:rPr>
            </w:pPr>
          </w:p>
        </w:tc>
        <w:tc>
          <w:tcPr>
            <w:tcW w:w="160" w:type="dxa"/>
            <w:vMerge w:val="continue"/>
            <w:tcBorders>
              <w:top w:val="nil"/>
              <w:bottom w:val="nil"/>
            </w:tcBorders>
            <w:vAlign w:val="top"/>
          </w:tcPr>
          <w:p w14:paraId="406AD8CA">
            <w:pPr>
              <w:rPr>
                <w:rFonts w:ascii="Arial"/>
                <w:sz w:val="21"/>
              </w:rPr>
            </w:pPr>
          </w:p>
        </w:tc>
        <w:tc>
          <w:tcPr>
            <w:tcW w:w="589" w:type="dxa"/>
            <w:vMerge w:val="continue"/>
            <w:tcBorders>
              <w:top w:val="nil"/>
              <w:bottom w:val="nil"/>
            </w:tcBorders>
            <w:vAlign w:val="top"/>
          </w:tcPr>
          <w:p w14:paraId="53DE7106">
            <w:pPr>
              <w:rPr>
                <w:rFonts w:ascii="Arial"/>
                <w:sz w:val="21"/>
              </w:rPr>
            </w:pPr>
          </w:p>
        </w:tc>
        <w:tc>
          <w:tcPr>
            <w:tcW w:w="849" w:type="dxa"/>
            <w:vAlign w:val="top"/>
          </w:tcPr>
          <w:p w14:paraId="7AEE631F">
            <w:pPr>
              <w:pStyle w:val="6"/>
              <w:spacing w:before="40" w:line="241" w:lineRule="auto"/>
              <w:ind w:left="2" w:firstLine="49"/>
              <w:rPr>
                <w:sz w:val="18"/>
                <w:szCs w:val="18"/>
              </w:rPr>
            </w:pPr>
            <w:r>
              <w:rPr>
                <w:spacing w:val="-4"/>
                <w:sz w:val="18"/>
                <w:szCs w:val="18"/>
              </w:rPr>
              <w:t>大莫古散</w:t>
            </w:r>
            <w:r>
              <w:rPr>
                <w:sz w:val="18"/>
                <w:szCs w:val="18"/>
              </w:rPr>
              <w:t xml:space="preserve">  </w:t>
            </w:r>
            <w:r>
              <w:rPr>
                <w:spacing w:val="-26"/>
                <w:sz w:val="18"/>
                <w:szCs w:val="18"/>
              </w:rPr>
              <w:t>户</w:t>
            </w:r>
            <w:r>
              <w:rPr>
                <w:spacing w:val="33"/>
                <w:sz w:val="18"/>
                <w:szCs w:val="18"/>
              </w:rPr>
              <w:t xml:space="preserve"> </w:t>
            </w:r>
            <w:r>
              <w:rPr>
                <w:spacing w:val="-25"/>
                <w:sz w:val="18"/>
                <w:szCs w:val="18"/>
              </w:rPr>
              <w:t>1</w:t>
            </w:r>
            <w:r>
              <w:rPr>
                <w:spacing w:val="51"/>
                <w:sz w:val="18"/>
                <w:szCs w:val="18"/>
              </w:rPr>
              <w:t xml:space="preserve"> </w:t>
            </w:r>
            <w:r>
              <w:rPr>
                <w:spacing w:val="-25"/>
                <w:sz w:val="18"/>
                <w:szCs w:val="18"/>
              </w:rPr>
              <w:t>(</w:t>
            </w:r>
            <w:r>
              <w:rPr>
                <w:spacing w:val="41"/>
                <w:w w:val="101"/>
                <w:sz w:val="18"/>
                <w:szCs w:val="18"/>
              </w:rPr>
              <w:t xml:space="preserve"> </w:t>
            </w:r>
            <w:r>
              <w:rPr>
                <w:spacing w:val="-24"/>
                <w:sz w:val="18"/>
                <w:szCs w:val="18"/>
              </w:rPr>
              <w:t>田</w:t>
            </w:r>
          </w:p>
          <w:p w14:paraId="1FD0E6D7">
            <w:pPr>
              <w:pStyle w:val="6"/>
              <w:spacing w:line="218" w:lineRule="auto"/>
              <w:ind w:left="12" w:right="59" w:firstLine="40"/>
              <w:rPr>
                <w:sz w:val="18"/>
                <w:szCs w:val="18"/>
              </w:rPr>
            </w:pPr>
            <w:r>
              <w:rPr>
                <w:spacing w:val="1"/>
                <w:sz w:val="18"/>
                <w:szCs w:val="18"/>
              </w:rPr>
              <w:t>间农户看</w:t>
            </w:r>
            <w:r>
              <w:rPr>
                <w:spacing w:val="2"/>
                <w:sz w:val="18"/>
                <w:szCs w:val="18"/>
              </w:rPr>
              <w:t xml:space="preserve"> </w:t>
            </w:r>
            <w:r>
              <w:rPr>
                <w:spacing w:val="-4"/>
                <w:sz w:val="18"/>
                <w:szCs w:val="18"/>
              </w:rPr>
              <w:t>地</w:t>
            </w:r>
            <w:r>
              <w:rPr>
                <w:spacing w:val="-36"/>
                <w:sz w:val="18"/>
                <w:szCs w:val="18"/>
              </w:rPr>
              <w:t xml:space="preserve"> </w:t>
            </w:r>
            <w:r>
              <w:rPr>
                <w:spacing w:val="-4"/>
                <w:sz w:val="18"/>
                <w:szCs w:val="18"/>
              </w:rPr>
              <w:t>)</w:t>
            </w:r>
          </w:p>
        </w:tc>
        <w:tc>
          <w:tcPr>
            <w:tcW w:w="1658" w:type="dxa"/>
            <w:vAlign w:val="top"/>
          </w:tcPr>
          <w:p w14:paraId="7ECEF324">
            <w:pPr>
              <w:spacing w:line="288" w:lineRule="auto"/>
              <w:rPr>
                <w:rFonts w:ascii="Arial"/>
                <w:sz w:val="21"/>
              </w:rPr>
            </w:pPr>
          </w:p>
          <w:p w14:paraId="3F635B9E">
            <w:pPr>
              <w:pStyle w:val="6"/>
              <w:spacing w:before="59" w:line="237" w:lineRule="auto"/>
              <w:ind w:left="49" w:hanging="36"/>
              <w:rPr>
                <w:sz w:val="18"/>
                <w:szCs w:val="18"/>
              </w:rPr>
            </w:pPr>
            <w:r>
              <w:rPr>
                <w:spacing w:val="-5"/>
                <w:sz w:val="18"/>
                <w:szCs w:val="18"/>
              </w:rPr>
              <w:t>E103°30'58.93198”</w:t>
            </w:r>
            <w:r>
              <w:rPr>
                <w:spacing w:val="8"/>
                <w:sz w:val="18"/>
                <w:szCs w:val="18"/>
              </w:rPr>
              <w:t xml:space="preserve"> </w:t>
            </w:r>
            <w:r>
              <w:rPr>
                <w:spacing w:val="-4"/>
                <w:sz w:val="18"/>
                <w:szCs w:val="18"/>
              </w:rPr>
              <w:t>N24°53'9.59390”</w:t>
            </w:r>
          </w:p>
        </w:tc>
        <w:tc>
          <w:tcPr>
            <w:tcW w:w="1339" w:type="dxa"/>
            <w:vAlign w:val="top"/>
          </w:tcPr>
          <w:p w14:paraId="7175A977">
            <w:pPr>
              <w:spacing w:line="340" w:lineRule="auto"/>
              <w:rPr>
                <w:rFonts w:ascii="Arial"/>
                <w:sz w:val="21"/>
              </w:rPr>
            </w:pPr>
          </w:p>
          <w:p w14:paraId="4042BE93">
            <w:pPr>
              <w:pStyle w:val="6"/>
              <w:spacing w:before="58" w:line="220" w:lineRule="auto"/>
              <w:ind w:left="305"/>
              <w:rPr>
                <w:sz w:val="18"/>
                <w:szCs w:val="18"/>
              </w:rPr>
            </w:pPr>
            <w:r>
              <w:rPr>
                <w:spacing w:val="-2"/>
                <w:sz w:val="18"/>
                <w:szCs w:val="18"/>
              </w:rPr>
              <w:t>5户，5人</w:t>
            </w:r>
          </w:p>
        </w:tc>
        <w:tc>
          <w:tcPr>
            <w:tcW w:w="1878" w:type="dxa"/>
            <w:vAlign w:val="top"/>
          </w:tcPr>
          <w:p w14:paraId="1569B15B">
            <w:pPr>
              <w:spacing w:line="338" w:lineRule="auto"/>
              <w:rPr>
                <w:rFonts w:ascii="Arial"/>
                <w:sz w:val="21"/>
              </w:rPr>
            </w:pPr>
          </w:p>
          <w:p w14:paraId="407127D5">
            <w:pPr>
              <w:pStyle w:val="6"/>
              <w:spacing w:before="59" w:line="219" w:lineRule="auto"/>
              <w:ind w:left="256"/>
              <w:rPr>
                <w:sz w:val="18"/>
                <w:szCs w:val="18"/>
              </w:rPr>
            </w:pPr>
            <w:r>
              <w:rPr>
                <w:sz w:val="18"/>
                <w:szCs w:val="18"/>
              </w:rPr>
              <w:t>19#光伏阵列周边</w:t>
            </w:r>
          </w:p>
        </w:tc>
        <w:tc>
          <w:tcPr>
            <w:tcW w:w="729" w:type="dxa"/>
            <w:vAlign w:val="top"/>
          </w:tcPr>
          <w:p w14:paraId="4224E5A4">
            <w:pPr>
              <w:spacing w:line="357" w:lineRule="auto"/>
              <w:rPr>
                <w:rFonts w:ascii="Arial"/>
                <w:sz w:val="21"/>
              </w:rPr>
            </w:pPr>
          </w:p>
          <w:p w14:paraId="54C8670C">
            <w:pPr>
              <w:pStyle w:val="6"/>
              <w:spacing w:before="59" w:line="241" w:lineRule="auto"/>
              <w:ind w:left="268"/>
              <w:rPr>
                <w:sz w:val="18"/>
                <w:szCs w:val="18"/>
              </w:rPr>
            </w:pPr>
            <w:r>
              <w:rPr>
                <w:spacing w:val="-3"/>
                <w:sz w:val="18"/>
                <w:szCs w:val="18"/>
              </w:rPr>
              <w:t>2m</w:t>
            </w:r>
          </w:p>
        </w:tc>
        <w:tc>
          <w:tcPr>
            <w:tcW w:w="590" w:type="dxa"/>
            <w:vMerge w:val="continue"/>
            <w:tcBorders>
              <w:top w:val="nil"/>
              <w:bottom w:val="nil"/>
            </w:tcBorders>
            <w:vAlign w:val="top"/>
          </w:tcPr>
          <w:p w14:paraId="33A139A3">
            <w:pPr>
              <w:rPr>
                <w:rFonts w:ascii="Arial"/>
                <w:sz w:val="21"/>
              </w:rPr>
            </w:pPr>
          </w:p>
        </w:tc>
        <w:tc>
          <w:tcPr>
            <w:tcW w:w="809" w:type="dxa"/>
            <w:vMerge w:val="continue"/>
            <w:tcBorders>
              <w:top w:val="nil"/>
              <w:bottom w:val="nil"/>
            </w:tcBorders>
            <w:vAlign w:val="top"/>
          </w:tcPr>
          <w:p w14:paraId="13237A57">
            <w:pPr>
              <w:rPr>
                <w:rFonts w:ascii="Arial"/>
                <w:sz w:val="21"/>
              </w:rPr>
            </w:pPr>
          </w:p>
        </w:tc>
        <w:tc>
          <w:tcPr>
            <w:tcW w:w="155" w:type="dxa"/>
            <w:tcBorders>
              <w:top w:val="nil"/>
              <w:bottom w:val="nil"/>
            </w:tcBorders>
            <w:vAlign w:val="top"/>
          </w:tcPr>
          <w:p w14:paraId="765DF537">
            <w:pPr>
              <w:rPr>
                <w:rFonts w:ascii="Arial"/>
                <w:sz w:val="21"/>
              </w:rPr>
            </w:pPr>
          </w:p>
        </w:tc>
      </w:tr>
      <w:tr w14:paraId="4C812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 w:hRule="atLeast"/>
        </w:trPr>
        <w:tc>
          <w:tcPr>
            <w:tcW w:w="664" w:type="dxa"/>
            <w:vMerge w:val="continue"/>
            <w:tcBorders>
              <w:top w:val="nil"/>
              <w:bottom w:val="nil"/>
            </w:tcBorders>
            <w:vAlign w:val="top"/>
          </w:tcPr>
          <w:p w14:paraId="423FA405">
            <w:pPr>
              <w:rPr>
                <w:rFonts w:ascii="Arial"/>
                <w:sz w:val="21"/>
              </w:rPr>
            </w:pPr>
          </w:p>
        </w:tc>
        <w:tc>
          <w:tcPr>
            <w:tcW w:w="160" w:type="dxa"/>
            <w:vMerge w:val="continue"/>
            <w:tcBorders>
              <w:top w:val="nil"/>
              <w:bottom w:val="nil"/>
            </w:tcBorders>
            <w:vAlign w:val="top"/>
          </w:tcPr>
          <w:p w14:paraId="26E3A1FF">
            <w:pPr>
              <w:rPr>
                <w:rFonts w:ascii="Arial"/>
                <w:sz w:val="21"/>
              </w:rPr>
            </w:pPr>
          </w:p>
        </w:tc>
        <w:tc>
          <w:tcPr>
            <w:tcW w:w="589" w:type="dxa"/>
            <w:vMerge w:val="continue"/>
            <w:tcBorders>
              <w:top w:val="nil"/>
              <w:bottom w:val="nil"/>
            </w:tcBorders>
            <w:vAlign w:val="top"/>
          </w:tcPr>
          <w:p w14:paraId="73121F0B">
            <w:pPr>
              <w:rPr>
                <w:rFonts w:ascii="Arial"/>
                <w:sz w:val="21"/>
              </w:rPr>
            </w:pPr>
          </w:p>
        </w:tc>
        <w:tc>
          <w:tcPr>
            <w:tcW w:w="849" w:type="dxa"/>
            <w:vAlign w:val="top"/>
          </w:tcPr>
          <w:p w14:paraId="58A4ABB7">
            <w:pPr>
              <w:pStyle w:val="6"/>
              <w:spacing w:before="43" w:line="231" w:lineRule="auto"/>
              <w:ind w:left="2" w:firstLine="49"/>
              <w:rPr>
                <w:sz w:val="18"/>
                <w:szCs w:val="18"/>
              </w:rPr>
            </w:pPr>
            <w:r>
              <w:rPr>
                <w:spacing w:val="-4"/>
                <w:sz w:val="18"/>
                <w:szCs w:val="18"/>
              </w:rPr>
              <w:t>大地村散</w:t>
            </w:r>
            <w:r>
              <w:rPr>
                <w:sz w:val="18"/>
                <w:szCs w:val="18"/>
              </w:rPr>
              <w:t xml:space="preserve">  </w:t>
            </w:r>
            <w:r>
              <w:rPr>
                <w:spacing w:val="-23"/>
                <w:sz w:val="18"/>
                <w:szCs w:val="18"/>
              </w:rPr>
              <w:t>户</w:t>
            </w:r>
            <w:r>
              <w:rPr>
                <w:spacing w:val="25"/>
                <w:sz w:val="18"/>
                <w:szCs w:val="18"/>
              </w:rPr>
              <w:t xml:space="preserve"> </w:t>
            </w:r>
            <w:r>
              <w:rPr>
                <w:spacing w:val="-23"/>
                <w:sz w:val="18"/>
                <w:szCs w:val="18"/>
              </w:rPr>
              <w:t>5</w:t>
            </w:r>
            <w:r>
              <w:rPr>
                <w:spacing w:val="51"/>
                <w:sz w:val="18"/>
                <w:szCs w:val="18"/>
              </w:rPr>
              <w:t xml:space="preserve"> </w:t>
            </w:r>
            <w:r>
              <w:rPr>
                <w:spacing w:val="-23"/>
                <w:sz w:val="18"/>
                <w:szCs w:val="18"/>
              </w:rPr>
              <w:t>(</w:t>
            </w:r>
            <w:r>
              <w:rPr>
                <w:spacing w:val="41"/>
                <w:w w:val="101"/>
                <w:sz w:val="18"/>
                <w:szCs w:val="18"/>
              </w:rPr>
              <w:t xml:space="preserve"> </w:t>
            </w:r>
            <w:r>
              <w:rPr>
                <w:spacing w:val="-23"/>
                <w:sz w:val="18"/>
                <w:szCs w:val="18"/>
              </w:rPr>
              <w:t>田</w:t>
            </w:r>
          </w:p>
          <w:p w14:paraId="67E960B1">
            <w:pPr>
              <w:pStyle w:val="6"/>
              <w:spacing w:before="1" w:line="214" w:lineRule="auto"/>
              <w:ind w:left="12" w:right="59" w:firstLine="40"/>
              <w:rPr>
                <w:sz w:val="18"/>
                <w:szCs w:val="18"/>
              </w:rPr>
            </w:pPr>
            <w:r>
              <w:rPr>
                <w:spacing w:val="1"/>
                <w:sz w:val="18"/>
                <w:szCs w:val="18"/>
              </w:rPr>
              <w:t>间农户看</w:t>
            </w:r>
            <w:r>
              <w:rPr>
                <w:spacing w:val="2"/>
                <w:sz w:val="18"/>
                <w:szCs w:val="18"/>
              </w:rPr>
              <w:t xml:space="preserve"> </w:t>
            </w:r>
            <w:r>
              <w:rPr>
                <w:spacing w:val="-4"/>
                <w:sz w:val="18"/>
                <w:szCs w:val="18"/>
              </w:rPr>
              <w:t>地</w:t>
            </w:r>
            <w:r>
              <w:rPr>
                <w:spacing w:val="-36"/>
                <w:sz w:val="18"/>
                <w:szCs w:val="18"/>
              </w:rPr>
              <w:t xml:space="preserve"> </w:t>
            </w:r>
            <w:r>
              <w:rPr>
                <w:spacing w:val="-4"/>
                <w:sz w:val="18"/>
                <w:szCs w:val="18"/>
              </w:rPr>
              <w:t>)</w:t>
            </w:r>
          </w:p>
        </w:tc>
        <w:tc>
          <w:tcPr>
            <w:tcW w:w="1658" w:type="dxa"/>
            <w:vAlign w:val="top"/>
          </w:tcPr>
          <w:p w14:paraId="046C4C32">
            <w:pPr>
              <w:spacing w:line="291" w:lineRule="auto"/>
              <w:rPr>
                <w:rFonts w:ascii="Arial"/>
                <w:sz w:val="21"/>
              </w:rPr>
            </w:pPr>
          </w:p>
          <w:p w14:paraId="51EA075B">
            <w:pPr>
              <w:pStyle w:val="6"/>
              <w:spacing w:before="59" w:line="217" w:lineRule="auto"/>
              <w:ind w:left="49" w:hanging="36"/>
              <w:rPr>
                <w:sz w:val="18"/>
                <w:szCs w:val="18"/>
              </w:rPr>
            </w:pPr>
            <w:r>
              <w:rPr>
                <w:spacing w:val="-5"/>
                <w:sz w:val="18"/>
                <w:szCs w:val="18"/>
              </w:rPr>
              <w:t>E103°30'56.58405”</w:t>
            </w:r>
            <w:r>
              <w:rPr>
                <w:spacing w:val="8"/>
                <w:sz w:val="18"/>
                <w:szCs w:val="18"/>
              </w:rPr>
              <w:t xml:space="preserve"> </w:t>
            </w:r>
            <w:r>
              <w:rPr>
                <w:spacing w:val="-4"/>
                <w:sz w:val="18"/>
                <w:szCs w:val="18"/>
              </w:rPr>
              <w:t>N24°53'1.06386”</w:t>
            </w:r>
          </w:p>
        </w:tc>
        <w:tc>
          <w:tcPr>
            <w:tcW w:w="1339" w:type="dxa"/>
            <w:vAlign w:val="top"/>
          </w:tcPr>
          <w:p w14:paraId="6D10890B">
            <w:pPr>
              <w:spacing w:line="334" w:lineRule="auto"/>
              <w:rPr>
                <w:rFonts w:ascii="Arial"/>
                <w:sz w:val="21"/>
              </w:rPr>
            </w:pPr>
          </w:p>
          <w:p w14:paraId="6084D221">
            <w:pPr>
              <w:pStyle w:val="6"/>
              <w:spacing w:before="58" w:line="220" w:lineRule="auto"/>
              <w:ind w:left="305"/>
              <w:rPr>
                <w:sz w:val="18"/>
                <w:szCs w:val="18"/>
              </w:rPr>
            </w:pPr>
            <w:r>
              <w:rPr>
                <w:spacing w:val="-13"/>
                <w:sz w:val="18"/>
                <w:szCs w:val="18"/>
              </w:rPr>
              <w:t>1</w:t>
            </w:r>
            <w:r>
              <w:rPr>
                <w:spacing w:val="-11"/>
                <w:sz w:val="18"/>
                <w:szCs w:val="18"/>
              </w:rPr>
              <w:t xml:space="preserve"> </w:t>
            </w:r>
            <w:r>
              <w:rPr>
                <w:spacing w:val="-13"/>
                <w:sz w:val="18"/>
                <w:szCs w:val="18"/>
              </w:rPr>
              <w:t>户</w:t>
            </w:r>
            <w:r>
              <w:rPr>
                <w:sz w:val="18"/>
                <w:szCs w:val="18"/>
              </w:rPr>
              <w:t xml:space="preserve"> </w:t>
            </w:r>
            <w:r>
              <w:rPr>
                <w:spacing w:val="-13"/>
                <w:sz w:val="18"/>
                <w:szCs w:val="18"/>
              </w:rPr>
              <w:t>1</w:t>
            </w:r>
            <w:r>
              <w:rPr>
                <w:spacing w:val="-12"/>
                <w:sz w:val="18"/>
                <w:szCs w:val="18"/>
              </w:rPr>
              <w:t xml:space="preserve"> </w:t>
            </w:r>
            <w:r>
              <w:rPr>
                <w:spacing w:val="-13"/>
                <w:sz w:val="18"/>
                <w:szCs w:val="18"/>
              </w:rPr>
              <w:t>人</w:t>
            </w:r>
          </w:p>
        </w:tc>
        <w:tc>
          <w:tcPr>
            <w:tcW w:w="1878" w:type="dxa"/>
            <w:vAlign w:val="top"/>
          </w:tcPr>
          <w:p w14:paraId="3EB2DEE9">
            <w:pPr>
              <w:spacing w:line="332" w:lineRule="auto"/>
              <w:rPr>
                <w:rFonts w:ascii="Arial"/>
                <w:sz w:val="21"/>
              </w:rPr>
            </w:pPr>
          </w:p>
          <w:p w14:paraId="00D4D2F0">
            <w:pPr>
              <w:pStyle w:val="6"/>
              <w:spacing w:before="59" w:line="219" w:lineRule="auto"/>
              <w:ind w:left="256"/>
              <w:rPr>
                <w:sz w:val="18"/>
                <w:szCs w:val="18"/>
              </w:rPr>
            </w:pPr>
            <w:r>
              <w:rPr>
                <w:spacing w:val="1"/>
                <w:sz w:val="18"/>
                <w:szCs w:val="18"/>
              </w:rPr>
              <w:t>20#光伏阵列西侧</w:t>
            </w:r>
          </w:p>
        </w:tc>
        <w:tc>
          <w:tcPr>
            <w:tcW w:w="729" w:type="dxa"/>
            <w:vAlign w:val="top"/>
          </w:tcPr>
          <w:p w14:paraId="391E20B6">
            <w:pPr>
              <w:spacing w:line="351" w:lineRule="auto"/>
              <w:rPr>
                <w:rFonts w:ascii="Arial"/>
                <w:sz w:val="21"/>
              </w:rPr>
            </w:pPr>
          </w:p>
          <w:p w14:paraId="731759EA">
            <w:pPr>
              <w:pStyle w:val="6"/>
              <w:spacing w:before="59" w:line="241" w:lineRule="auto"/>
              <w:ind w:left="268"/>
              <w:rPr>
                <w:sz w:val="18"/>
                <w:szCs w:val="18"/>
              </w:rPr>
            </w:pPr>
            <w:r>
              <w:rPr>
                <w:spacing w:val="-3"/>
                <w:sz w:val="18"/>
                <w:szCs w:val="18"/>
              </w:rPr>
              <w:t>2m</w:t>
            </w:r>
          </w:p>
        </w:tc>
        <w:tc>
          <w:tcPr>
            <w:tcW w:w="590" w:type="dxa"/>
            <w:vMerge w:val="continue"/>
            <w:tcBorders>
              <w:top w:val="nil"/>
              <w:bottom w:val="nil"/>
            </w:tcBorders>
            <w:vAlign w:val="top"/>
          </w:tcPr>
          <w:p w14:paraId="02875236">
            <w:pPr>
              <w:rPr>
                <w:rFonts w:ascii="Arial"/>
                <w:sz w:val="21"/>
              </w:rPr>
            </w:pPr>
          </w:p>
        </w:tc>
        <w:tc>
          <w:tcPr>
            <w:tcW w:w="809" w:type="dxa"/>
            <w:vMerge w:val="continue"/>
            <w:tcBorders>
              <w:top w:val="nil"/>
              <w:bottom w:val="nil"/>
            </w:tcBorders>
            <w:vAlign w:val="top"/>
          </w:tcPr>
          <w:p w14:paraId="241F6F5F">
            <w:pPr>
              <w:rPr>
                <w:rFonts w:ascii="Arial"/>
                <w:sz w:val="21"/>
              </w:rPr>
            </w:pPr>
          </w:p>
        </w:tc>
        <w:tc>
          <w:tcPr>
            <w:tcW w:w="155" w:type="dxa"/>
            <w:tcBorders>
              <w:top w:val="nil"/>
              <w:bottom w:val="nil"/>
            </w:tcBorders>
            <w:vAlign w:val="top"/>
          </w:tcPr>
          <w:p w14:paraId="1E70DF24">
            <w:pPr>
              <w:rPr>
                <w:rFonts w:ascii="Arial"/>
                <w:sz w:val="21"/>
              </w:rPr>
            </w:pPr>
          </w:p>
        </w:tc>
      </w:tr>
      <w:tr w14:paraId="3908F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664" w:type="dxa"/>
            <w:vMerge w:val="continue"/>
            <w:tcBorders>
              <w:top w:val="nil"/>
              <w:bottom w:val="nil"/>
            </w:tcBorders>
            <w:vAlign w:val="top"/>
          </w:tcPr>
          <w:p w14:paraId="38F48DE8">
            <w:pPr>
              <w:rPr>
                <w:rFonts w:ascii="Arial"/>
                <w:sz w:val="21"/>
              </w:rPr>
            </w:pPr>
          </w:p>
        </w:tc>
        <w:tc>
          <w:tcPr>
            <w:tcW w:w="160" w:type="dxa"/>
            <w:vMerge w:val="continue"/>
            <w:tcBorders>
              <w:top w:val="nil"/>
              <w:bottom w:val="nil"/>
            </w:tcBorders>
            <w:vAlign w:val="top"/>
          </w:tcPr>
          <w:p w14:paraId="2DF55E22">
            <w:pPr>
              <w:rPr>
                <w:rFonts w:ascii="Arial"/>
                <w:sz w:val="21"/>
              </w:rPr>
            </w:pPr>
          </w:p>
        </w:tc>
        <w:tc>
          <w:tcPr>
            <w:tcW w:w="589" w:type="dxa"/>
            <w:vMerge w:val="continue"/>
            <w:tcBorders>
              <w:top w:val="nil"/>
              <w:bottom w:val="nil"/>
            </w:tcBorders>
            <w:vAlign w:val="top"/>
          </w:tcPr>
          <w:p w14:paraId="0061849C">
            <w:pPr>
              <w:rPr>
                <w:rFonts w:ascii="Arial"/>
                <w:sz w:val="21"/>
              </w:rPr>
            </w:pPr>
          </w:p>
        </w:tc>
        <w:tc>
          <w:tcPr>
            <w:tcW w:w="849" w:type="dxa"/>
            <w:vAlign w:val="top"/>
          </w:tcPr>
          <w:p w14:paraId="7BC5E2E3">
            <w:pPr>
              <w:pStyle w:val="6"/>
              <w:spacing w:before="50" w:line="225" w:lineRule="auto"/>
              <w:ind w:left="12" w:firstLine="39"/>
              <w:rPr>
                <w:sz w:val="18"/>
                <w:szCs w:val="18"/>
              </w:rPr>
            </w:pPr>
            <w:r>
              <w:rPr>
                <w:spacing w:val="-6"/>
                <w:sz w:val="18"/>
                <w:szCs w:val="18"/>
              </w:rPr>
              <w:t>大地村散</w:t>
            </w:r>
            <w:r>
              <w:rPr>
                <w:sz w:val="18"/>
                <w:szCs w:val="18"/>
              </w:rPr>
              <w:t xml:space="preserve">  </w:t>
            </w:r>
            <w:r>
              <w:rPr>
                <w:spacing w:val="-24"/>
                <w:sz w:val="18"/>
                <w:szCs w:val="18"/>
              </w:rPr>
              <w:t>户</w:t>
            </w:r>
            <w:r>
              <w:rPr>
                <w:spacing w:val="22"/>
                <w:sz w:val="18"/>
                <w:szCs w:val="18"/>
              </w:rPr>
              <w:t xml:space="preserve"> </w:t>
            </w:r>
            <w:r>
              <w:rPr>
                <w:spacing w:val="-24"/>
                <w:sz w:val="18"/>
                <w:szCs w:val="18"/>
              </w:rPr>
              <w:t>6</w:t>
            </w:r>
            <w:r>
              <w:rPr>
                <w:spacing w:val="50"/>
                <w:sz w:val="18"/>
                <w:szCs w:val="18"/>
              </w:rPr>
              <w:t xml:space="preserve"> </w:t>
            </w:r>
            <w:r>
              <w:rPr>
                <w:spacing w:val="-24"/>
                <w:sz w:val="18"/>
                <w:szCs w:val="18"/>
              </w:rPr>
              <w:t>(</w:t>
            </w:r>
            <w:r>
              <w:rPr>
                <w:spacing w:val="39"/>
                <w:w w:val="101"/>
                <w:sz w:val="18"/>
                <w:szCs w:val="18"/>
              </w:rPr>
              <w:t xml:space="preserve"> </w:t>
            </w:r>
            <w:r>
              <w:rPr>
                <w:spacing w:val="-24"/>
                <w:sz w:val="18"/>
                <w:szCs w:val="18"/>
              </w:rPr>
              <w:t>田</w:t>
            </w:r>
            <w:r>
              <w:rPr>
                <w:sz w:val="18"/>
                <w:szCs w:val="18"/>
              </w:rPr>
              <w:t xml:space="preserve"> </w:t>
            </w:r>
            <w:r>
              <w:rPr>
                <w:spacing w:val="8"/>
                <w:sz w:val="18"/>
                <w:szCs w:val="18"/>
              </w:rPr>
              <w:t>间农户看</w:t>
            </w:r>
            <w:r>
              <w:rPr>
                <w:sz w:val="18"/>
                <w:szCs w:val="18"/>
              </w:rPr>
              <w:t xml:space="preserve">  </w:t>
            </w:r>
            <w:r>
              <w:rPr>
                <w:spacing w:val="-6"/>
                <w:sz w:val="18"/>
                <w:szCs w:val="18"/>
              </w:rPr>
              <w:t>地</w:t>
            </w:r>
            <w:r>
              <w:rPr>
                <w:spacing w:val="-37"/>
                <w:sz w:val="18"/>
                <w:szCs w:val="18"/>
              </w:rPr>
              <w:t xml:space="preserve"> </w:t>
            </w:r>
            <w:r>
              <w:rPr>
                <w:spacing w:val="-6"/>
                <w:sz w:val="18"/>
                <w:szCs w:val="18"/>
              </w:rPr>
              <w:t>)</w:t>
            </w:r>
          </w:p>
        </w:tc>
        <w:tc>
          <w:tcPr>
            <w:tcW w:w="1658" w:type="dxa"/>
            <w:vAlign w:val="top"/>
          </w:tcPr>
          <w:p w14:paraId="39010C02">
            <w:pPr>
              <w:spacing w:line="279" w:lineRule="auto"/>
              <w:rPr>
                <w:rFonts w:ascii="Arial"/>
                <w:sz w:val="21"/>
              </w:rPr>
            </w:pPr>
          </w:p>
          <w:p w14:paraId="2352974E">
            <w:pPr>
              <w:pStyle w:val="6"/>
              <w:spacing w:before="59" w:line="227" w:lineRule="auto"/>
              <w:ind w:left="49" w:hanging="36"/>
              <w:rPr>
                <w:sz w:val="18"/>
                <w:szCs w:val="18"/>
              </w:rPr>
            </w:pPr>
            <w:r>
              <w:rPr>
                <w:spacing w:val="-5"/>
                <w:sz w:val="18"/>
                <w:szCs w:val="18"/>
              </w:rPr>
              <w:t>E103°30'52.46096”</w:t>
            </w:r>
            <w:r>
              <w:rPr>
                <w:spacing w:val="8"/>
                <w:sz w:val="18"/>
                <w:szCs w:val="18"/>
              </w:rPr>
              <w:t xml:space="preserve"> </w:t>
            </w:r>
            <w:r>
              <w:rPr>
                <w:spacing w:val="-9"/>
                <w:sz w:val="18"/>
                <w:szCs w:val="18"/>
              </w:rPr>
              <w:t>N24°53'53.92811"</w:t>
            </w:r>
          </w:p>
        </w:tc>
        <w:tc>
          <w:tcPr>
            <w:tcW w:w="1339" w:type="dxa"/>
            <w:vAlign w:val="top"/>
          </w:tcPr>
          <w:p w14:paraId="3D1AD0B3">
            <w:pPr>
              <w:spacing w:line="341" w:lineRule="auto"/>
              <w:rPr>
                <w:rFonts w:ascii="Arial"/>
                <w:sz w:val="21"/>
              </w:rPr>
            </w:pPr>
          </w:p>
          <w:p w14:paraId="30B0B614">
            <w:pPr>
              <w:pStyle w:val="6"/>
              <w:spacing w:before="58" w:line="220" w:lineRule="auto"/>
              <w:ind w:left="305"/>
              <w:rPr>
                <w:sz w:val="18"/>
                <w:szCs w:val="18"/>
              </w:rPr>
            </w:pPr>
            <w:r>
              <w:rPr>
                <w:spacing w:val="-1"/>
                <w:sz w:val="18"/>
                <w:szCs w:val="18"/>
              </w:rPr>
              <w:t>4户，4人</w:t>
            </w:r>
          </w:p>
        </w:tc>
        <w:tc>
          <w:tcPr>
            <w:tcW w:w="1878" w:type="dxa"/>
            <w:vAlign w:val="top"/>
          </w:tcPr>
          <w:p w14:paraId="35DE19B1">
            <w:pPr>
              <w:spacing w:line="339" w:lineRule="auto"/>
              <w:rPr>
                <w:rFonts w:ascii="Arial"/>
                <w:sz w:val="21"/>
              </w:rPr>
            </w:pPr>
          </w:p>
          <w:p w14:paraId="110ACB7F">
            <w:pPr>
              <w:pStyle w:val="6"/>
              <w:spacing w:before="59" w:line="219" w:lineRule="auto"/>
              <w:ind w:left="166"/>
              <w:rPr>
                <w:sz w:val="18"/>
                <w:szCs w:val="18"/>
              </w:rPr>
            </w:pPr>
            <w:r>
              <w:rPr>
                <w:spacing w:val="1"/>
                <w:sz w:val="18"/>
                <w:szCs w:val="18"/>
              </w:rPr>
              <w:t>20#光伏阵列西南侧</w:t>
            </w:r>
          </w:p>
        </w:tc>
        <w:tc>
          <w:tcPr>
            <w:tcW w:w="729" w:type="dxa"/>
            <w:vAlign w:val="top"/>
          </w:tcPr>
          <w:p w14:paraId="68843C27">
            <w:pPr>
              <w:spacing w:line="358" w:lineRule="auto"/>
              <w:rPr>
                <w:rFonts w:ascii="Arial"/>
                <w:sz w:val="21"/>
              </w:rPr>
            </w:pPr>
          </w:p>
          <w:p w14:paraId="4C2EE021">
            <w:pPr>
              <w:pStyle w:val="6"/>
              <w:spacing w:before="58"/>
              <w:ind w:left="228"/>
              <w:rPr>
                <w:sz w:val="18"/>
                <w:szCs w:val="18"/>
              </w:rPr>
            </w:pPr>
            <w:r>
              <w:rPr>
                <w:spacing w:val="-3"/>
                <w:sz w:val="18"/>
                <w:szCs w:val="18"/>
              </w:rPr>
              <w:t>53m</w:t>
            </w:r>
          </w:p>
        </w:tc>
        <w:tc>
          <w:tcPr>
            <w:tcW w:w="590" w:type="dxa"/>
            <w:vMerge w:val="continue"/>
            <w:tcBorders>
              <w:top w:val="nil"/>
              <w:bottom w:val="nil"/>
            </w:tcBorders>
            <w:vAlign w:val="top"/>
          </w:tcPr>
          <w:p w14:paraId="6C9062C8">
            <w:pPr>
              <w:rPr>
                <w:rFonts w:ascii="Arial"/>
                <w:sz w:val="21"/>
              </w:rPr>
            </w:pPr>
          </w:p>
        </w:tc>
        <w:tc>
          <w:tcPr>
            <w:tcW w:w="809" w:type="dxa"/>
            <w:vMerge w:val="continue"/>
            <w:tcBorders>
              <w:top w:val="nil"/>
              <w:bottom w:val="nil"/>
            </w:tcBorders>
            <w:vAlign w:val="top"/>
          </w:tcPr>
          <w:p w14:paraId="6B379C44">
            <w:pPr>
              <w:rPr>
                <w:rFonts w:ascii="Arial"/>
                <w:sz w:val="21"/>
              </w:rPr>
            </w:pPr>
          </w:p>
        </w:tc>
        <w:tc>
          <w:tcPr>
            <w:tcW w:w="155" w:type="dxa"/>
            <w:tcBorders>
              <w:top w:val="nil"/>
              <w:bottom w:val="nil"/>
            </w:tcBorders>
            <w:vAlign w:val="top"/>
          </w:tcPr>
          <w:p w14:paraId="547848A8">
            <w:pPr>
              <w:rPr>
                <w:rFonts w:ascii="Arial"/>
                <w:sz w:val="21"/>
              </w:rPr>
            </w:pPr>
          </w:p>
        </w:tc>
      </w:tr>
      <w:tr w14:paraId="76E1D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664" w:type="dxa"/>
            <w:vMerge w:val="continue"/>
            <w:tcBorders>
              <w:top w:val="nil"/>
              <w:bottom w:val="nil"/>
            </w:tcBorders>
            <w:vAlign w:val="top"/>
          </w:tcPr>
          <w:p w14:paraId="2BD07AC9">
            <w:pPr>
              <w:rPr>
                <w:rFonts w:ascii="Arial"/>
                <w:sz w:val="21"/>
              </w:rPr>
            </w:pPr>
          </w:p>
        </w:tc>
        <w:tc>
          <w:tcPr>
            <w:tcW w:w="160" w:type="dxa"/>
            <w:vMerge w:val="continue"/>
            <w:tcBorders>
              <w:top w:val="nil"/>
              <w:bottom w:val="nil"/>
            </w:tcBorders>
            <w:vAlign w:val="top"/>
          </w:tcPr>
          <w:p w14:paraId="594060A4">
            <w:pPr>
              <w:rPr>
                <w:rFonts w:ascii="Arial"/>
                <w:sz w:val="21"/>
              </w:rPr>
            </w:pPr>
          </w:p>
        </w:tc>
        <w:tc>
          <w:tcPr>
            <w:tcW w:w="589" w:type="dxa"/>
            <w:vMerge w:val="continue"/>
            <w:tcBorders>
              <w:top w:val="nil"/>
              <w:bottom w:val="nil"/>
            </w:tcBorders>
            <w:vAlign w:val="top"/>
          </w:tcPr>
          <w:p w14:paraId="7B0BB91E">
            <w:pPr>
              <w:rPr>
                <w:rFonts w:ascii="Arial"/>
                <w:sz w:val="21"/>
              </w:rPr>
            </w:pPr>
          </w:p>
        </w:tc>
        <w:tc>
          <w:tcPr>
            <w:tcW w:w="849" w:type="dxa"/>
            <w:vAlign w:val="top"/>
          </w:tcPr>
          <w:p w14:paraId="3EB13B0A">
            <w:pPr>
              <w:pStyle w:val="6"/>
              <w:spacing w:before="142" w:line="219" w:lineRule="auto"/>
              <w:ind w:left="32"/>
              <w:rPr>
                <w:sz w:val="18"/>
                <w:szCs w:val="18"/>
              </w:rPr>
            </w:pPr>
            <w:r>
              <w:rPr>
                <w:spacing w:val="-2"/>
                <w:sz w:val="18"/>
                <w:szCs w:val="18"/>
              </w:rPr>
              <w:t>新村</w:t>
            </w:r>
          </w:p>
        </w:tc>
        <w:tc>
          <w:tcPr>
            <w:tcW w:w="1658" w:type="dxa"/>
            <w:vAlign w:val="top"/>
          </w:tcPr>
          <w:p w14:paraId="7D5DAAB0">
            <w:pPr>
              <w:pStyle w:val="6"/>
              <w:spacing w:before="81" w:line="174" w:lineRule="auto"/>
              <w:ind w:left="13" w:firstLine="38"/>
              <w:rPr>
                <w:sz w:val="18"/>
                <w:szCs w:val="18"/>
              </w:rPr>
            </w:pPr>
            <w:r>
              <w:rPr>
                <w:spacing w:val="-5"/>
                <w:sz w:val="18"/>
                <w:szCs w:val="18"/>
              </w:rPr>
              <w:t>E103°31'4.27984"</w:t>
            </w:r>
            <w:r>
              <w:rPr>
                <w:spacing w:val="4"/>
                <w:sz w:val="18"/>
                <w:szCs w:val="18"/>
              </w:rPr>
              <w:t xml:space="preserve">  </w:t>
            </w:r>
            <w:r>
              <w:rPr>
                <w:sz w:val="18"/>
                <w:szCs w:val="18"/>
              </w:rPr>
              <w:t>N24°52'46.35785”</w:t>
            </w:r>
          </w:p>
        </w:tc>
        <w:tc>
          <w:tcPr>
            <w:tcW w:w="1339" w:type="dxa"/>
            <w:vAlign w:val="top"/>
          </w:tcPr>
          <w:p w14:paraId="5454A0F3">
            <w:pPr>
              <w:pStyle w:val="6"/>
              <w:spacing w:before="144" w:line="220" w:lineRule="auto"/>
              <w:ind w:left="124"/>
              <w:rPr>
                <w:sz w:val="18"/>
                <w:szCs w:val="18"/>
              </w:rPr>
            </w:pPr>
            <w:r>
              <w:rPr>
                <w:sz w:val="18"/>
                <w:szCs w:val="18"/>
              </w:rPr>
              <w:t>155户，589人</w:t>
            </w:r>
          </w:p>
        </w:tc>
        <w:tc>
          <w:tcPr>
            <w:tcW w:w="1878" w:type="dxa"/>
            <w:vAlign w:val="top"/>
          </w:tcPr>
          <w:p w14:paraId="04297805">
            <w:pPr>
              <w:pStyle w:val="6"/>
              <w:spacing w:before="142" w:line="219" w:lineRule="auto"/>
              <w:ind w:left="166"/>
              <w:rPr>
                <w:sz w:val="18"/>
                <w:szCs w:val="18"/>
              </w:rPr>
            </w:pPr>
            <w:r>
              <w:rPr>
                <w:spacing w:val="1"/>
                <w:sz w:val="18"/>
                <w:szCs w:val="18"/>
              </w:rPr>
              <w:t>20#光伏阵列东南侧</w:t>
            </w:r>
          </w:p>
        </w:tc>
        <w:tc>
          <w:tcPr>
            <w:tcW w:w="729" w:type="dxa"/>
            <w:vAlign w:val="top"/>
          </w:tcPr>
          <w:p w14:paraId="5205F17C">
            <w:pPr>
              <w:pStyle w:val="6"/>
              <w:spacing w:before="161"/>
              <w:ind w:left="178"/>
              <w:rPr>
                <w:sz w:val="18"/>
                <w:szCs w:val="18"/>
              </w:rPr>
            </w:pPr>
            <w:r>
              <w:rPr>
                <w:spacing w:val="-4"/>
                <w:sz w:val="18"/>
                <w:szCs w:val="18"/>
              </w:rPr>
              <w:t>158m</w:t>
            </w:r>
          </w:p>
        </w:tc>
        <w:tc>
          <w:tcPr>
            <w:tcW w:w="590" w:type="dxa"/>
            <w:vMerge w:val="continue"/>
            <w:tcBorders>
              <w:top w:val="nil"/>
              <w:bottom w:val="nil"/>
            </w:tcBorders>
            <w:vAlign w:val="top"/>
          </w:tcPr>
          <w:p w14:paraId="386BA71F">
            <w:pPr>
              <w:rPr>
                <w:rFonts w:ascii="Arial"/>
                <w:sz w:val="21"/>
              </w:rPr>
            </w:pPr>
          </w:p>
        </w:tc>
        <w:tc>
          <w:tcPr>
            <w:tcW w:w="809" w:type="dxa"/>
            <w:vMerge w:val="continue"/>
            <w:tcBorders>
              <w:top w:val="nil"/>
              <w:bottom w:val="nil"/>
            </w:tcBorders>
            <w:vAlign w:val="top"/>
          </w:tcPr>
          <w:p w14:paraId="41962D1C">
            <w:pPr>
              <w:rPr>
                <w:rFonts w:ascii="Arial"/>
                <w:sz w:val="21"/>
              </w:rPr>
            </w:pPr>
          </w:p>
        </w:tc>
        <w:tc>
          <w:tcPr>
            <w:tcW w:w="155" w:type="dxa"/>
            <w:tcBorders>
              <w:top w:val="nil"/>
              <w:bottom w:val="nil"/>
            </w:tcBorders>
            <w:vAlign w:val="top"/>
          </w:tcPr>
          <w:p w14:paraId="548BA7BE">
            <w:pPr>
              <w:rPr>
                <w:rFonts w:ascii="Arial"/>
                <w:sz w:val="21"/>
              </w:rPr>
            </w:pPr>
          </w:p>
        </w:tc>
      </w:tr>
      <w:tr w14:paraId="782C7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664" w:type="dxa"/>
            <w:vMerge w:val="continue"/>
            <w:tcBorders>
              <w:top w:val="nil"/>
              <w:bottom w:val="nil"/>
            </w:tcBorders>
            <w:vAlign w:val="top"/>
          </w:tcPr>
          <w:p w14:paraId="34988F27">
            <w:pPr>
              <w:rPr>
                <w:rFonts w:ascii="Arial"/>
                <w:sz w:val="21"/>
              </w:rPr>
            </w:pPr>
          </w:p>
        </w:tc>
        <w:tc>
          <w:tcPr>
            <w:tcW w:w="160" w:type="dxa"/>
            <w:vMerge w:val="continue"/>
            <w:tcBorders>
              <w:top w:val="nil"/>
              <w:bottom w:val="nil"/>
            </w:tcBorders>
            <w:vAlign w:val="top"/>
          </w:tcPr>
          <w:p w14:paraId="52F26622">
            <w:pPr>
              <w:rPr>
                <w:rFonts w:ascii="Arial"/>
                <w:sz w:val="21"/>
              </w:rPr>
            </w:pPr>
          </w:p>
        </w:tc>
        <w:tc>
          <w:tcPr>
            <w:tcW w:w="589" w:type="dxa"/>
            <w:vMerge w:val="continue"/>
            <w:tcBorders>
              <w:top w:val="nil"/>
              <w:bottom w:val="nil"/>
            </w:tcBorders>
            <w:vAlign w:val="top"/>
          </w:tcPr>
          <w:p w14:paraId="1A92E648">
            <w:pPr>
              <w:rPr>
                <w:rFonts w:ascii="Arial"/>
                <w:sz w:val="21"/>
              </w:rPr>
            </w:pPr>
          </w:p>
        </w:tc>
        <w:tc>
          <w:tcPr>
            <w:tcW w:w="849" w:type="dxa"/>
            <w:vAlign w:val="top"/>
          </w:tcPr>
          <w:p w14:paraId="40432F0C">
            <w:pPr>
              <w:pStyle w:val="6"/>
              <w:spacing w:before="31" w:line="231" w:lineRule="auto"/>
              <w:ind w:left="42" w:right="33" w:firstLine="10"/>
              <w:rPr>
                <w:sz w:val="18"/>
                <w:szCs w:val="18"/>
              </w:rPr>
            </w:pPr>
            <w:r>
              <w:rPr>
                <w:spacing w:val="-3"/>
                <w:sz w:val="18"/>
                <w:szCs w:val="18"/>
              </w:rPr>
              <w:t>大地村散</w:t>
            </w:r>
            <w:r>
              <w:rPr>
                <w:spacing w:val="1"/>
                <w:sz w:val="18"/>
                <w:szCs w:val="18"/>
              </w:rPr>
              <w:t xml:space="preserve"> </w:t>
            </w:r>
            <w:r>
              <w:rPr>
                <w:spacing w:val="-22"/>
                <w:sz w:val="18"/>
                <w:szCs w:val="18"/>
              </w:rPr>
              <w:t>户</w:t>
            </w:r>
            <w:r>
              <w:rPr>
                <w:spacing w:val="-2"/>
                <w:sz w:val="18"/>
                <w:szCs w:val="18"/>
              </w:rPr>
              <w:t xml:space="preserve"> </w:t>
            </w:r>
            <w:r>
              <w:rPr>
                <w:spacing w:val="-22"/>
                <w:sz w:val="18"/>
                <w:szCs w:val="18"/>
              </w:rPr>
              <w:t>7</w:t>
            </w:r>
            <w:r>
              <w:rPr>
                <w:spacing w:val="26"/>
                <w:sz w:val="18"/>
                <w:szCs w:val="18"/>
              </w:rPr>
              <w:t xml:space="preserve"> </w:t>
            </w:r>
            <w:r>
              <w:rPr>
                <w:spacing w:val="-22"/>
                <w:sz w:val="18"/>
                <w:szCs w:val="18"/>
              </w:rPr>
              <w:t>(</w:t>
            </w:r>
            <w:r>
              <w:rPr>
                <w:spacing w:val="16"/>
                <w:sz w:val="18"/>
                <w:szCs w:val="18"/>
              </w:rPr>
              <w:t xml:space="preserve"> </w:t>
            </w:r>
            <w:r>
              <w:rPr>
                <w:spacing w:val="-22"/>
                <w:sz w:val="18"/>
                <w:szCs w:val="18"/>
              </w:rPr>
              <w:t>田</w:t>
            </w:r>
          </w:p>
          <w:p w14:paraId="2ECFF236">
            <w:pPr>
              <w:pStyle w:val="6"/>
              <w:spacing w:line="216" w:lineRule="auto"/>
              <w:ind w:left="32" w:right="59" w:firstLine="20"/>
              <w:rPr>
                <w:sz w:val="18"/>
                <w:szCs w:val="18"/>
              </w:rPr>
            </w:pPr>
            <w:r>
              <w:rPr>
                <w:spacing w:val="1"/>
                <w:sz w:val="18"/>
                <w:szCs w:val="18"/>
              </w:rPr>
              <w:t>间农户看</w:t>
            </w:r>
            <w:r>
              <w:rPr>
                <w:spacing w:val="2"/>
                <w:sz w:val="18"/>
                <w:szCs w:val="18"/>
              </w:rPr>
              <w:t xml:space="preserve"> </w:t>
            </w:r>
            <w:r>
              <w:rPr>
                <w:spacing w:val="-4"/>
                <w:sz w:val="18"/>
                <w:szCs w:val="18"/>
              </w:rPr>
              <w:t>地</w:t>
            </w:r>
            <w:r>
              <w:rPr>
                <w:spacing w:val="-36"/>
                <w:sz w:val="18"/>
                <w:szCs w:val="18"/>
              </w:rPr>
              <w:t xml:space="preserve"> </w:t>
            </w:r>
            <w:r>
              <w:rPr>
                <w:spacing w:val="-4"/>
                <w:sz w:val="18"/>
                <w:szCs w:val="18"/>
              </w:rPr>
              <w:t>)</w:t>
            </w:r>
          </w:p>
        </w:tc>
        <w:tc>
          <w:tcPr>
            <w:tcW w:w="1658" w:type="dxa"/>
            <w:vAlign w:val="top"/>
          </w:tcPr>
          <w:p w14:paraId="6D391663">
            <w:pPr>
              <w:spacing w:line="260" w:lineRule="auto"/>
              <w:rPr>
                <w:rFonts w:ascii="Arial"/>
                <w:sz w:val="21"/>
              </w:rPr>
            </w:pPr>
          </w:p>
          <w:p w14:paraId="27DD1DDA">
            <w:pPr>
              <w:pStyle w:val="6"/>
              <w:spacing w:before="58" w:line="222" w:lineRule="auto"/>
              <w:ind w:left="95" w:hanging="82"/>
              <w:rPr>
                <w:sz w:val="18"/>
                <w:szCs w:val="18"/>
              </w:rPr>
            </w:pPr>
            <w:r>
              <w:rPr>
                <w:spacing w:val="-5"/>
                <w:sz w:val="18"/>
                <w:szCs w:val="18"/>
              </w:rPr>
              <w:t>E103°31'35.85490”</w:t>
            </w:r>
            <w:r>
              <w:rPr>
                <w:spacing w:val="8"/>
                <w:sz w:val="18"/>
                <w:szCs w:val="18"/>
              </w:rPr>
              <w:t xml:space="preserve"> </w:t>
            </w:r>
            <w:r>
              <w:rPr>
                <w:spacing w:val="-3"/>
                <w:sz w:val="18"/>
                <w:szCs w:val="18"/>
              </w:rPr>
              <w:t>N2452'59.94959”</w:t>
            </w:r>
          </w:p>
        </w:tc>
        <w:tc>
          <w:tcPr>
            <w:tcW w:w="1339" w:type="dxa"/>
            <w:vAlign w:val="top"/>
          </w:tcPr>
          <w:p w14:paraId="19437F3D">
            <w:pPr>
              <w:spacing w:line="322" w:lineRule="auto"/>
              <w:rPr>
                <w:rFonts w:ascii="Arial"/>
                <w:sz w:val="21"/>
              </w:rPr>
            </w:pPr>
          </w:p>
          <w:p w14:paraId="19499A16">
            <w:pPr>
              <w:pStyle w:val="6"/>
              <w:spacing w:before="59" w:line="220" w:lineRule="auto"/>
              <w:ind w:left="305"/>
              <w:rPr>
                <w:sz w:val="18"/>
                <w:szCs w:val="18"/>
              </w:rPr>
            </w:pPr>
            <w:r>
              <w:rPr>
                <w:spacing w:val="-13"/>
                <w:sz w:val="18"/>
                <w:szCs w:val="18"/>
              </w:rPr>
              <w:t>1</w:t>
            </w:r>
            <w:r>
              <w:rPr>
                <w:spacing w:val="-11"/>
                <w:sz w:val="18"/>
                <w:szCs w:val="18"/>
              </w:rPr>
              <w:t xml:space="preserve"> </w:t>
            </w:r>
            <w:r>
              <w:rPr>
                <w:spacing w:val="-13"/>
                <w:sz w:val="18"/>
                <w:szCs w:val="18"/>
              </w:rPr>
              <w:t>户</w:t>
            </w:r>
            <w:r>
              <w:rPr>
                <w:sz w:val="18"/>
                <w:szCs w:val="18"/>
              </w:rPr>
              <w:t xml:space="preserve"> </w:t>
            </w:r>
            <w:r>
              <w:rPr>
                <w:spacing w:val="-13"/>
                <w:sz w:val="18"/>
                <w:szCs w:val="18"/>
              </w:rPr>
              <w:t>1</w:t>
            </w:r>
            <w:r>
              <w:rPr>
                <w:spacing w:val="-12"/>
                <w:sz w:val="18"/>
                <w:szCs w:val="18"/>
              </w:rPr>
              <w:t xml:space="preserve"> </w:t>
            </w:r>
            <w:r>
              <w:rPr>
                <w:spacing w:val="-13"/>
                <w:sz w:val="18"/>
                <w:szCs w:val="18"/>
              </w:rPr>
              <w:t>人</w:t>
            </w:r>
          </w:p>
        </w:tc>
        <w:tc>
          <w:tcPr>
            <w:tcW w:w="1878" w:type="dxa"/>
            <w:vAlign w:val="top"/>
          </w:tcPr>
          <w:p w14:paraId="2AD8DFBE">
            <w:pPr>
              <w:spacing w:line="322" w:lineRule="auto"/>
              <w:rPr>
                <w:rFonts w:ascii="Arial"/>
                <w:sz w:val="21"/>
              </w:rPr>
            </w:pPr>
          </w:p>
          <w:p w14:paraId="46139D3F">
            <w:pPr>
              <w:pStyle w:val="6"/>
              <w:spacing w:before="58" w:line="219" w:lineRule="auto"/>
              <w:ind w:left="436"/>
              <w:rPr>
                <w:sz w:val="18"/>
                <w:szCs w:val="18"/>
              </w:rPr>
            </w:pPr>
            <w:r>
              <w:rPr>
                <w:spacing w:val="2"/>
                <w:sz w:val="18"/>
                <w:szCs w:val="18"/>
              </w:rPr>
              <w:t>备用地3北侧</w:t>
            </w:r>
          </w:p>
        </w:tc>
        <w:tc>
          <w:tcPr>
            <w:tcW w:w="729" w:type="dxa"/>
            <w:vAlign w:val="top"/>
          </w:tcPr>
          <w:p w14:paraId="2604F052">
            <w:pPr>
              <w:spacing w:line="339" w:lineRule="auto"/>
              <w:rPr>
                <w:rFonts w:ascii="Arial"/>
                <w:sz w:val="21"/>
              </w:rPr>
            </w:pPr>
          </w:p>
          <w:p w14:paraId="3F114F32">
            <w:pPr>
              <w:pStyle w:val="6"/>
              <w:spacing w:before="59" w:line="241" w:lineRule="auto"/>
              <w:ind w:left="268"/>
              <w:rPr>
                <w:sz w:val="18"/>
                <w:szCs w:val="18"/>
              </w:rPr>
            </w:pPr>
            <w:r>
              <w:rPr>
                <w:spacing w:val="-6"/>
                <w:sz w:val="18"/>
                <w:szCs w:val="18"/>
              </w:rPr>
              <w:t>1m</w:t>
            </w:r>
          </w:p>
        </w:tc>
        <w:tc>
          <w:tcPr>
            <w:tcW w:w="590" w:type="dxa"/>
            <w:vMerge w:val="continue"/>
            <w:tcBorders>
              <w:top w:val="nil"/>
              <w:bottom w:val="nil"/>
            </w:tcBorders>
            <w:vAlign w:val="top"/>
          </w:tcPr>
          <w:p w14:paraId="126F6056">
            <w:pPr>
              <w:rPr>
                <w:rFonts w:ascii="Arial"/>
                <w:sz w:val="21"/>
              </w:rPr>
            </w:pPr>
          </w:p>
        </w:tc>
        <w:tc>
          <w:tcPr>
            <w:tcW w:w="809" w:type="dxa"/>
            <w:vMerge w:val="continue"/>
            <w:tcBorders>
              <w:top w:val="nil"/>
              <w:bottom w:val="nil"/>
            </w:tcBorders>
            <w:vAlign w:val="top"/>
          </w:tcPr>
          <w:p w14:paraId="2FEC7847">
            <w:pPr>
              <w:rPr>
                <w:rFonts w:ascii="Arial"/>
                <w:sz w:val="21"/>
              </w:rPr>
            </w:pPr>
          </w:p>
        </w:tc>
        <w:tc>
          <w:tcPr>
            <w:tcW w:w="155" w:type="dxa"/>
            <w:tcBorders>
              <w:top w:val="nil"/>
              <w:bottom w:val="nil"/>
            </w:tcBorders>
            <w:vAlign w:val="top"/>
          </w:tcPr>
          <w:p w14:paraId="09C99B9A">
            <w:pPr>
              <w:rPr>
                <w:rFonts w:ascii="Arial"/>
                <w:sz w:val="21"/>
              </w:rPr>
            </w:pPr>
          </w:p>
        </w:tc>
      </w:tr>
      <w:tr w14:paraId="34EFF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64" w:type="dxa"/>
            <w:vMerge w:val="continue"/>
            <w:tcBorders>
              <w:top w:val="nil"/>
            </w:tcBorders>
            <w:vAlign w:val="top"/>
          </w:tcPr>
          <w:p w14:paraId="114FF7F4">
            <w:pPr>
              <w:rPr>
                <w:rFonts w:ascii="Arial"/>
                <w:sz w:val="21"/>
              </w:rPr>
            </w:pPr>
          </w:p>
        </w:tc>
        <w:tc>
          <w:tcPr>
            <w:tcW w:w="160" w:type="dxa"/>
            <w:vMerge w:val="continue"/>
            <w:tcBorders>
              <w:top w:val="nil"/>
            </w:tcBorders>
            <w:vAlign w:val="top"/>
          </w:tcPr>
          <w:p w14:paraId="6811DCB0">
            <w:pPr>
              <w:rPr>
                <w:rFonts w:ascii="Arial"/>
                <w:sz w:val="21"/>
              </w:rPr>
            </w:pPr>
          </w:p>
        </w:tc>
        <w:tc>
          <w:tcPr>
            <w:tcW w:w="589" w:type="dxa"/>
            <w:vMerge w:val="continue"/>
            <w:tcBorders>
              <w:top w:val="nil"/>
            </w:tcBorders>
            <w:vAlign w:val="top"/>
          </w:tcPr>
          <w:p w14:paraId="55F3EAAC">
            <w:pPr>
              <w:rPr>
                <w:rFonts w:ascii="Arial"/>
                <w:sz w:val="21"/>
              </w:rPr>
            </w:pPr>
          </w:p>
        </w:tc>
        <w:tc>
          <w:tcPr>
            <w:tcW w:w="849" w:type="dxa"/>
            <w:vAlign w:val="top"/>
          </w:tcPr>
          <w:p w14:paraId="62C523C5">
            <w:pPr>
              <w:pStyle w:val="6"/>
              <w:spacing w:before="97" w:line="219" w:lineRule="auto"/>
              <w:ind w:left="52"/>
              <w:rPr>
                <w:sz w:val="18"/>
                <w:szCs w:val="18"/>
              </w:rPr>
            </w:pPr>
            <w:r>
              <w:rPr>
                <w:spacing w:val="-2"/>
                <w:sz w:val="18"/>
                <w:szCs w:val="18"/>
              </w:rPr>
              <w:t>大地村散</w:t>
            </w:r>
          </w:p>
        </w:tc>
        <w:tc>
          <w:tcPr>
            <w:tcW w:w="1658" w:type="dxa"/>
            <w:vAlign w:val="top"/>
          </w:tcPr>
          <w:p w14:paraId="72DF1C52">
            <w:pPr>
              <w:pStyle w:val="6"/>
              <w:spacing w:before="103" w:line="224" w:lineRule="auto"/>
              <w:ind w:left="773"/>
              <w:rPr>
                <w:sz w:val="18"/>
                <w:szCs w:val="18"/>
              </w:rPr>
            </w:pPr>
            <w:r>
              <w:rPr>
                <w:sz w:val="18"/>
                <w:szCs w:val="18"/>
              </w:rPr>
              <w:t>/</w:t>
            </w:r>
          </w:p>
        </w:tc>
        <w:tc>
          <w:tcPr>
            <w:tcW w:w="1339" w:type="dxa"/>
            <w:vAlign w:val="top"/>
          </w:tcPr>
          <w:p w14:paraId="54D66E7A">
            <w:pPr>
              <w:pStyle w:val="6"/>
              <w:spacing w:before="99" w:line="220" w:lineRule="auto"/>
              <w:ind w:left="305"/>
              <w:rPr>
                <w:sz w:val="18"/>
                <w:szCs w:val="18"/>
              </w:rPr>
            </w:pPr>
            <w:r>
              <w:rPr>
                <w:spacing w:val="-6"/>
                <w:sz w:val="18"/>
                <w:szCs w:val="18"/>
              </w:rPr>
              <w:t>8</w:t>
            </w:r>
            <w:r>
              <w:rPr>
                <w:spacing w:val="-18"/>
                <w:sz w:val="18"/>
                <w:szCs w:val="18"/>
              </w:rPr>
              <w:t xml:space="preserve"> </w:t>
            </w:r>
            <w:r>
              <w:rPr>
                <w:spacing w:val="-6"/>
                <w:sz w:val="18"/>
                <w:szCs w:val="18"/>
              </w:rPr>
              <w:t>户</w:t>
            </w:r>
            <w:r>
              <w:rPr>
                <w:spacing w:val="-17"/>
                <w:sz w:val="18"/>
                <w:szCs w:val="18"/>
              </w:rPr>
              <w:t xml:space="preserve"> </w:t>
            </w:r>
            <w:r>
              <w:rPr>
                <w:spacing w:val="-6"/>
                <w:sz w:val="18"/>
                <w:szCs w:val="18"/>
              </w:rPr>
              <w:t>8</w:t>
            </w:r>
            <w:r>
              <w:rPr>
                <w:spacing w:val="-16"/>
                <w:sz w:val="18"/>
                <w:szCs w:val="18"/>
              </w:rPr>
              <w:t xml:space="preserve"> </w:t>
            </w:r>
            <w:r>
              <w:rPr>
                <w:spacing w:val="-6"/>
                <w:sz w:val="18"/>
                <w:szCs w:val="18"/>
              </w:rPr>
              <w:t>人</w:t>
            </w:r>
          </w:p>
        </w:tc>
        <w:tc>
          <w:tcPr>
            <w:tcW w:w="1878" w:type="dxa"/>
            <w:vAlign w:val="top"/>
          </w:tcPr>
          <w:p w14:paraId="5A64F7C7">
            <w:pPr>
              <w:pStyle w:val="6"/>
              <w:spacing w:before="98" w:line="219" w:lineRule="auto"/>
              <w:ind w:left="436"/>
              <w:rPr>
                <w:sz w:val="18"/>
                <w:szCs w:val="18"/>
              </w:rPr>
            </w:pPr>
            <w:r>
              <w:rPr>
                <w:spacing w:val="2"/>
                <w:sz w:val="18"/>
                <w:szCs w:val="18"/>
              </w:rPr>
              <w:t>备用地3北侧</w:t>
            </w:r>
          </w:p>
        </w:tc>
        <w:tc>
          <w:tcPr>
            <w:tcW w:w="729" w:type="dxa"/>
            <w:vAlign w:val="top"/>
          </w:tcPr>
          <w:p w14:paraId="44A57C6A">
            <w:pPr>
              <w:pStyle w:val="6"/>
              <w:spacing w:before="116" w:line="234" w:lineRule="auto"/>
              <w:ind w:left="178"/>
              <w:rPr>
                <w:sz w:val="18"/>
                <w:szCs w:val="18"/>
              </w:rPr>
            </w:pPr>
            <w:r>
              <w:rPr>
                <w:spacing w:val="-4"/>
                <w:sz w:val="18"/>
                <w:szCs w:val="18"/>
              </w:rPr>
              <w:t>117m</w:t>
            </w:r>
          </w:p>
        </w:tc>
        <w:tc>
          <w:tcPr>
            <w:tcW w:w="590" w:type="dxa"/>
            <w:vMerge w:val="continue"/>
            <w:tcBorders>
              <w:top w:val="nil"/>
            </w:tcBorders>
            <w:vAlign w:val="top"/>
          </w:tcPr>
          <w:p w14:paraId="581F35B2">
            <w:pPr>
              <w:rPr>
                <w:rFonts w:ascii="Arial"/>
                <w:sz w:val="21"/>
              </w:rPr>
            </w:pPr>
          </w:p>
        </w:tc>
        <w:tc>
          <w:tcPr>
            <w:tcW w:w="809" w:type="dxa"/>
            <w:vMerge w:val="continue"/>
            <w:tcBorders>
              <w:top w:val="nil"/>
            </w:tcBorders>
            <w:vAlign w:val="top"/>
          </w:tcPr>
          <w:p w14:paraId="29614536">
            <w:pPr>
              <w:rPr>
                <w:rFonts w:ascii="Arial"/>
                <w:sz w:val="21"/>
              </w:rPr>
            </w:pPr>
          </w:p>
        </w:tc>
        <w:tc>
          <w:tcPr>
            <w:tcW w:w="155" w:type="dxa"/>
            <w:tcBorders>
              <w:top w:val="nil"/>
            </w:tcBorders>
            <w:vAlign w:val="top"/>
          </w:tcPr>
          <w:p w14:paraId="4DB5B160">
            <w:pPr>
              <w:rPr>
                <w:rFonts w:ascii="Arial"/>
                <w:sz w:val="21"/>
              </w:rPr>
            </w:pPr>
          </w:p>
        </w:tc>
      </w:tr>
    </w:tbl>
    <w:p w14:paraId="2038F91B">
      <w:pPr>
        <w:pStyle w:val="2"/>
      </w:pPr>
    </w:p>
    <w:p w14:paraId="458EBDB0">
      <w:pPr>
        <w:sectPr>
          <w:footerReference r:id="rId118" w:type="default"/>
          <w:pgSz w:w="11910" w:h="16830"/>
          <w:pgMar w:top="400" w:right="1254" w:bottom="1245" w:left="1224" w:header="0" w:footer="1083" w:gutter="0"/>
          <w:cols w:space="720" w:num="1"/>
        </w:sectPr>
      </w:pPr>
    </w:p>
    <w:p w14:paraId="0D0CCDAC">
      <w:pPr>
        <w:spacing w:before="18"/>
      </w:pPr>
    </w:p>
    <w:p w14:paraId="206C7A45">
      <w:pPr>
        <w:spacing w:before="17"/>
      </w:pPr>
    </w:p>
    <w:p w14:paraId="2A02A31C">
      <w:pPr>
        <w:spacing w:before="17"/>
      </w:pPr>
    </w:p>
    <w:p w14:paraId="29E9644D">
      <w:pPr>
        <w:spacing w:before="17"/>
      </w:pPr>
    </w:p>
    <w:tbl>
      <w:tblPr>
        <w:tblStyle w:val="5"/>
        <w:tblW w:w="93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20"/>
        <w:gridCol w:w="390"/>
        <w:gridCol w:w="220"/>
        <w:gridCol w:w="310"/>
        <w:gridCol w:w="539"/>
        <w:gridCol w:w="1668"/>
        <w:gridCol w:w="120"/>
        <w:gridCol w:w="410"/>
        <w:gridCol w:w="799"/>
        <w:gridCol w:w="459"/>
        <w:gridCol w:w="879"/>
        <w:gridCol w:w="449"/>
        <w:gridCol w:w="719"/>
        <w:gridCol w:w="200"/>
        <w:gridCol w:w="410"/>
        <w:gridCol w:w="809"/>
        <w:gridCol w:w="135"/>
      </w:tblGrid>
      <w:tr w14:paraId="7F445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4" w:type="dxa"/>
            <w:vMerge w:val="restart"/>
            <w:tcBorders>
              <w:bottom w:val="nil"/>
            </w:tcBorders>
            <w:vAlign w:val="top"/>
          </w:tcPr>
          <w:p w14:paraId="3D7C1F42">
            <w:pPr>
              <w:rPr>
                <w:rFonts w:ascii="Arial"/>
                <w:sz w:val="21"/>
              </w:rPr>
            </w:pPr>
          </w:p>
        </w:tc>
        <w:tc>
          <w:tcPr>
            <w:tcW w:w="120" w:type="dxa"/>
            <w:tcBorders>
              <w:bottom w:val="nil"/>
            </w:tcBorders>
            <w:vAlign w:val="top"/>
          </w:tcPr>
          <w:p w14:paraId="472EE359">
            <w:pPr>
              <w:rPr>
                <w:rFonts w:ascii="Arial"/>
                <w:sz w:val="21"/>
              </w:rPr>
            </w:pPr>
          </w:p>
        </w:tc>
        <w:tc>
          <w:tcPr>
            <w:tcW w:w="610" w:type="dxa"/>
            <w:gridSpan w:val="2"/>
            <w:vMerge w:val="restart"/>
            <w:tcBorders>
              <w:bottom w:val="nil"/>
            </w:tcBorders>
            <w:vAlign w:val="top"/>
          </w:tcPr>
          <w:p w14:paraId="34758542">
            <w:pPr>
              <w:rPr>
                <w:rFonts w:ascii="Arial"/>
                <w:sz w:val="21"/>
              </w:rPr>
            </w:pPr>
          </w:p>
        </w:tc>
        <w:tc>
          <w:tcPr>
            <w:tcW w:w="849" w:type="dxa"/>
            <w:gridSpan w:val="2"/>
            <w:vAlign w:val="top"/>
          </w:tcPr>
          <w:p w14:paraId="369173C5">
            <w:pPr>
              <w:pStyle w:val="6"/>
              <w:spacing w:before="14" w:line="189" w:lineRule="auto"/>
              <w:ind w:left="11" w:firstLine="19"/>
            </w:pPr>
            <w:r>
              <w:rPr>
                <w:spacing w:val="6"/>
              </w:rPr>
              <w:t>户9(田</w:t>
            </w:r>
            <w:r>
              <w:rPr>
                <w:spacing w:val="1"/>
              </w:rPr>
              <w:t xml:space="preserve">  </w:t>
            </w:r>
            <w:r>
              <w:rPr>
                <w:spacing w:val="-16"/>
              </w:rPr>
              <w:t>间</w:t>
            </w:r>
            <w:r>
              <w:rPr>
                <w:spacing w:val="-15"/>
              </w:rPr>
              <w:t>农户</w:t>
            </w:r>
            <w:r>
              <w:rPr>
                <w:spacing w:val="-10"/>
              </w:rPr>
              <w:t>看</w:t>
            </w:r>
            <w:r>
              <w:rPr>
                <w:spacing w:val="2"/>
              </w:rPr>
              <w:t xml:space="preserve"> </w:t>
            </w:r>
            <w:r>
              <w:rPr>
                <w:spacing w:val="-5"/>
              </w:rPr>
              <w:t>地</w:t>
            </w:r>
            <w:r>
              <w:rPr>
                <w:spacing w:val="-44"/>
              </w:rPr>
              <w:t xml:space="preserve"> </w:t>
            </w:r>
            <w:r>
              <w:rPr>
                <w:spacing w:val="-5"/>
              </w:rPr>
              <w:t>)</w:t>
            </w:r>
          </w:p>
        </w:tc>
        <w:tc>
          <w:tcPr>
            <w:tcW w:w="1668" w:type="dxa"/>
            <w:vAlign w:val="top"/>
          </w:tcPr>
          <w:p w14:paraId="7C2735A8">
            <w:pPr>
              <w:rPr>
                <w:rFonts w:ascii="Arial"/>
                <w:sz w:val="21"/>
              </w:rPr>
            </w:pPr>
          </w:p>
        </w:tc>
        <w:tc>
          <w:tcPr>
            <w:tcW w:w="1329" w:type="dxa"/>
            <w:gridSpan w:val="3"/>
            <w:vAlign w:val="top"/>
          </w:tcPr>
          <w:p w14:paraId="5B9CAF64">
            <w:pPr>
              <w:rPr>
                <w:rFonts w:ascii="Arial"/>
                <w:sz w:val="21"/>
              </w:rPr>
            </w:pPr>
          </w:p>
        </w:tc>
        <w:tc>
          <w:tcPr>
            <w:tcW w:w="1787" w:type="dxa"/>
            <w:gridSpan w:val="3"/>
            <w:vAlign w:val="top"/>
          </w:tcPr>
          <w:p w14:paraId="0BBFB70A">
            <w:pPr>
              <w:rPr>
                <w:rFonts w:ascii="Arial"/>
                <w:sz w:val="21"/>
              </w:rPr>
            </w:pPr>
          </w:p>
        </w:tc>
        <w:tc>
          <w:tcPr>
            <w:tcW w:w="719" w:type="dxa"/>
            <w:vAlign w:val="top"/>
          </w:tcPr>
          <w:p w14:paraId="335037FD">
            <w:pPr>
              <w:rPr>
                <w:rFonts w:ascii="Arial"/>
                <w:sz w:val="21"/>
              </w:rPr>
            </w:pPr>
          </w:p>
        </w:tc>
        <w:tc>
          <w:tcPr>
            <w:tcW w:w="610" w:type="dxa"/>
            <w:gridSpan w:val="2"/>
            <w:vMerge w:val="restart"/>
            <w:tcBorders>
              <w:bottom w:val="nil"/>
            </w:tcBorders>
            <w:vAlign w:val="top"/>
          </w:tcPr>
          <w:p w14:paraId="1CA079B6">
            <w:pPr>
              <w:rPr>
                <w:rFonts w:ascii="Arial"/>
                <w:sz w:val="21"/>
              </w:rPr>
            </w:pPr>
          </w:p>
        </w:tc>
        <w:tc>
          <w:tcPr>
            <w:tcW w:w="809" w:type="dxa"/>
            <w:vMerge w:val="restart"/>
            <w:tcBorders>
              <w:bottom w:val="nil"/>
            </w:tcBorders>
            <w:vAlign w:val="top"/>
          </w:tcPr>
          <w:p w14:paraId="518A5466">
            <w:pPr>
              <w:rPr>
                <w:rFonts w:ascii="Arial"/>
                <w:sz w:val="21"/>
              </w:rPr>
            </w:pPr>
          </w:p>
        </w:tc>
        <w:tc>
          <w:tcPr>
            <w:tcW w:w="135" w:type="dxa"/>
            <w:vMerge w:val="restart"/>
            <w:tcBorders>
              <w:bottom w:val="nil"/>
            </w:tcBorders>
            <w:vAlign w:val="top"/>
          </w:tcPr>
          <w:p w14:paraId="6F934DCF">
            <w:pPr>
              <w:rPr>
                <w:rFonts w:ascii="Arial"/>
                <w:sz w:val="21"/>
              </w:rPr>
            </w:pPr>
          </w:p>
        </w:tc>
      </w:tr>
      <w:tr w14:paraId="381CA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704" w:type="dxa"/>
            <w:vMerge w:val="continue"/>
            <w:tcBorders>
              <w:top w:val="nil"/>
              <w:bottom w:val="nil"/>
            </w:tcBorders>
            <w:vAlign w:val="top"/>
          </w:tcPr>
          <w:p w14:paraId="606204F3">
            <w:pPr>
              <w:rPr>
                <w:rFonts w:ascii="Arial"/>
                <w:sz w:val="21"/>
              </w:rPr>
            </w:pPr>
          </w:p>
        </w:tc>
        <w:tc>
          <w:tcPr>
            <w:tcW w:w="120" w:type="dxa"/>
            <w:tcBorders>
              <w:top w:val="nil"/>
              <w:bottom w:val="nil"/>
            </w:tcBorders>
            <w:vAlign w:val="top"/>
          </w:tcPr>
          <w:p w14:paraId="5955D164">
            <w:pPr>
              <w:rPr>
                <w:rFonts w:ascii="Arial"/>
                <w:sz w:val="21"/>
              </w:rPr>
            </w:pPr>
          </w:p>
        </w:tc>
        <w:tc>
          <w:tcPr>
            <w:tcW w:w="610" w:type="dxa"/>
            <w:gridSpan w:val="2"/>
            <w:vMerge w:val="continue"/>
            <w:tcBorders>
              <w:top w:val="nil"/>
              <w:bottom w:val="nil"/>
            </w:tcBorders>
            <w:vAlign w:val="top"/>
          </w:tcPr>
          <w:p w14:paraId="55BD276D">
            <w:pPr>
              <w:rPr>
                <w:rFonts w:ascii="Arial"/>
                <w:sz w:val="21"/>
              </w:rPr>
            </w:pPr>
          </w:p>
        </w:tc>
        <w:tc>
          <w:tcPr>
            <w:tcW w:w="849" w:type="dxa"/>
            <w:gridSpan w:val="2"/>
            <w:vAlign w:val="top"/>
          </w:tcPr>
          <w:p w14:paraId="01D7B177">
            <w:pPr>
              <w:pStyle w:val="6"/>
              <w:spacing w:before="104" w:line="219" w:lineRule="auto"/>
              <w:ind w:left="11"/>
            </w:pPr>
            <w:r>
              <w:rPr>
                <w:spacing w:val="3"/>
              </w:rPr>
              <w:t>小紫处</w:t>
            </w:r>
          </w:p>
        </w:tc>
        <w:tc>
          <w:tcPr>
            <w:tcW w:w="1668" w:type="dxa"/>
            <w:vAlign w:val="top"/>
          </w:tcPr>
          <w:p w14:paraId="7DA273F8">
            <w:pPr>
              <w:pStyle w:val="6"/>
              <w:spacing w:before="33" w:line="174" w:lineRule="auto"/>
              <w:ind w:left="12"/>
              <w:rPr>
                <w:sz w:val="19"/>
                <w:szCs w:val="19"/>
              </w:rPr>
            </w:pPr>
            <w:r>
              <w:rPr>
                <w:spacing w:val="-15"/>
                <w:sz w:val="20"/>
                <w:szCs w:val="20"/>
              </w:rPr>
              <w:t>E103°32'57.27272”</w:t>
            </w:r>
            <w:r>
              <w:rPr>
                <w:sz w:val="20"/>
                <w:szCs w:val="20"/>
              </w:rPr>
              <w:t xml:space="preserve"> </w:t>
            </w:r>
            <w:r>
              <w:rPr>
                <w:spacing w:val="-9"/>
                <w:sz w:val="19"/>
                <w:szCs w:val="19"/>
              </w:rPr>
              <w:t>N2451'47.82488"</w:t>
            </w:r>
          </w:p>
        </w:tc>
        <w:tc>
          <w:tcPr>
            <w:tcW w:w="1329" w:type="dxa"/>
            <w:gridSpan w:val="3"/>
            <w:vAlign w:val="top"/>
          </w:tcPr>
          <w:p w14:paraId="0AE24B79">
            <w:pPr>
              <w:pStyle w:val="6"/>
              <w:spacing w:before="104" w:line="220" w:lineRule="auto"/>
              <w:ind w:left="54"/>
            </w:pPr>
            <w:r>
              <w:rPr>
                <w:spacing w:val="1"/>
              </w:rPr>
              <w:t>32户，118人</w:t>
            </w:r>
          </w:p>
        </w:tc>
        <w:tc>
          <w:tcPr>
            <w:tcW w:w="1787" w:type="dxa"/>
            <w:gridSpan w:val="3"/>
            <w:vAlign w:val="top"/>
          </w:tcPr>
          <w:p w14:paraId="62ABA50E">
            <w:pPr>
              <w:pStyle w:val="6"/>
              <w:spacing w:before="102" w:line="219" w:lineRule="auto"/>
              <w:jc w:val="right"/>
            </w:pPr>
            <w:r>
              <w:rPr>
                <w:spacing w:val="-11"/>
              </w:rPr>
              <w:t>21#光伏阵列西南侧</w:t>
            </w:r>
          </w:p>
        </w:tc>
        <w:tc>
          <w:tcPr>
            <w:tcW w:w="719" w:type="dxa"/>
            <w:vAlign w:val="top"/>
          </w:tcPr>
          <w:p w14:paraId="6CE22380">
            <w:pPr>
              <w:pStyle w:val="6"/>
              <w:spacing w:before="125" w:line="231" w:lineRule="auto"/>
              <w:ind w:left="188"/>
            </w:pPr>
            <w:r>
              <w:rPr>
                <w:spacing w:val="-3"/>
              </w:rPr>
              <w:t>53m</w:t>
            </w:r>
          </w:p>
        </w:tc>
        <w:tc>
          <w:tcPr>
            <w:tcW w:w="610" w:type="dxa"/>
            <w:gridSpan w:val="2"/>
            <w:vMerge w:val="continue"/>
            <w:tcBorders>
              <w:top w:val="nil"/>
              <w:bottom w:val="nil"/>
            </w:tcBorders>
            <w:vAlign w:val="top"/>
          </w:tcPr>
          <w:p w14:paraId="0B756045">
            <w:pPr>
              <w:rPr>
                <w:rFonts w:ascii="Arial"/>
                <w:sz w:val="21"/>
              </w:rPr>
            </w:pPr>
          </w:p>
        </w:tc>
        <w:tc>
          <w:tcPr>
            <w:tcW w:w="809" w:type="dxa"/>
            <w:vMerge w:val="continue"/>
            <w:tcBorders>
              <w:top w:val="nil"/>
              <w:bottom w:val="nil"/>
            </w:tcBorders>
            <w:vAlign w:val="top"/>
          </w:tcPr>
          <w:p w14:paraId="7BEF9CE1">
            <w:pPr>
              <w:rPr>
                <w:rFonts w:ascii="Arial"/>
                <w:sz w:val="21"/>
              </w:rPr>
            </w:pPr>
          </w:p>
        </w:tc>
        <w:tc>
          <w:tcPr>
            <w:tcW w:w="135" w:type="dxa"/>
            <w:vMerge w:val="continue"/>
            <w:tcBorders>
              <w:top w:val="nil"/>
              <w:bottom w:val="nil"/>
            </w:tcBorders>
            <w:vAlign w:val="top"/>
          </w:tcPr>
          <w:p w14:paraId="3453B424">
            <w:pPr>
              <w:rPr>
                <w:rFonts w:ascii="Arial"/>
                <w:sz w:val="21"/>
              </w:rPr>
            </w:pPr>
          </w:p>
        </w:tc>
      </w:tr>
      <w:tr w14:paraId="2AD33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704" w:type="dxa"/>
            <w:vMerge w:val="continue"/>
            <w:tcBorders>
              <w:top w:val="nil"/>
              <w:bottom w:val="nil"/>
            </w:tcBorders>
            <w:vAlign w:val="top"/>
          </w:tcPr>
          <w:p w14:paraId="70D7E21D">
            <w:pPr>
              <w:rPr>
                <w:rFonts w:ascii="Arial"/>
                <w:sz w:val="21"/>
              </w:rPr>
            </w:pPr>
          </w:p>
        </w:tc>
        <w:tc>
          <w:tcPr>
            <w:tcW w:w="120" w:type="dxa"/>
            <w:tcBorders>
              <w:top w:val="nil"/>
              <w:bottom w:val="nil"/>
            </w:tcBorders>
            <w:vAlign w:val="top"/>
          </w:tcPr>
          <w:p w14:paraId="71561571">
            <w:pPr>
              <w:rPr>
                <w:rFonts w:ascii="Arial"/>
                <w:sz w:val="21"/>
              </w:rPr>
            </w:pPr>
          </w:p>
        </w:tc>
        <w:tc>
          <w:tcPr>
            <w:tcW w:w="610" w:type="dxa"/>
            <w:gridSpan w:val="2"/>
            <w:vMerge w:val="continue"/>
            <w:tcBorders>
              <w:top w:val="nil"/>
              <w:bottom w:val="nil"/>
            </w:tcBorders>
            <w:vAlign w:val="top"/>
          </w:tcPr>
          <w:p w14:paraId="43C00B00">
            <w:pPr>
              <w:rPr>
                <w:rFonts w:ascii="Arial"/>
                <w:sz w:val="21"/>
              </w:rPr>
            </w:pPr>
          </w:p>
        </w:tc>
        <w:tc>
          <w:tcPr>
            <w:tcW w:w="849" w:type="dxa"/>
            <w:gridSpan w:val="2"/>
            <w:vAlign w:val="top"/>
          </w:tcPr>
          <w:p w14:paraId="7C9D42CC">
            <w:pPr>
              <w:pStyle w:val="6"/>
              <w:spacing w:before="253" w:line="211" w:lineRule="auto"/>
              <w:ind w:left="11"/>
            </w:pPr>
            <w:r>
              <w:rPr>
                <w:spacing w:val="-16"/>
              </w:rPr>
              <w:t>橡子</w:t>
            </w:r>
            <w:r>
              <w:rPr>
                <w:spacing w:val="-15"/>
              </w:rPr>
              <w:t>坡</w:t>
            </w:r>
            <w:r>
              <w:rPr>
                <w:spacing w:val="-9"/>
              </w:rPr>
              <w:t>散</w:t>
            </w:r>
            <w:r>
              <w:rPr>
                <w:spacing w:val="2"/>
              </w:rPr>
              <w:t xml:space="preserve"> </w:t>
            </w:r>
            <w:r>
              <w:rPr>
                <w:spacing w:val="11"/>
              </w:rPr>
              <w:t>户1</w:t>
            </w:r>
          </w:p>
        </w:tc>
        <w:tc>
          <w:tcPr>
            <w:tcW w:w="1668" w:type="dxa"/>
            <w:vAlign w:val="top"/>
          </w:tcPr>
          <w:p w14:paraId="70843A73">
            <w:pPr>
              <w:spacing w:line="286" w:lineRule="auto"/>
              <w:rPr>
                <w:rFonts w:ascii="Arial"/>
                <w:sz w:val="21"/>
              </w:rPr>
            </w:pPr>
          </w:p>
          <w:p w14:paraId="71648C87">
            <w:pPr>
              <w:pStyle w:val="6"/>
              <w:spacing w:before="71" w:line="224" w:lineRule="auto"/>
              <w:ind w:left="772"/>
            </w:pPr>
            <w:r>
              <w:t>/</w:t>
            </w:r>
          </w:p>
        </w:tc>
        <w:tc>
          <w:tcPr>
            <w:tcW w:w="1329" w:type="dxa"/>
            <w:gridSpan w:val="3"/>
            <w:vAlign w:val="top"/>
          </w:tcPr>
          <w:p w14:paraId="70D0CE85">
            <w:pPr>
              <w:spacing w:line="280" w:lineRule="auto"/>
              <w:rPr>
                <w:rFonts w:ascii="Arial"/>
                <w:sz w:val="21"/>
              </w:rPr>
            </w:pPr>
          </w:p>
          <w:p w14:paraId="13F6A539">
            <w:pPr>
              <w:pStyle w:val="6"/>
              <w:spacing w:before="72" w:line="220" w:lineRule="auto"/>
              <w:ind w:left="164"/>
            </w:pPr>
            <w:r>
              <w:rPr>
                <w:spacing w:val="-1"/>
              </w:rPr>
              <w:t>4户，12人</w:t>
            </w:r>
          </w:p>
        </w:tc>
        <w:tc>
          <w:tcPr>
            <w:tcW w:w="1787" w:type="dxa"/>
            <w:gridSpan w:val="3"/>
            <w:vAlign w:val="top"/>
          </w:tcPr>
          <w:p w14:paraId="077A6167">
            <w:pPr>
              <w:pStyle w:val="6"/>
              <w:spacing w:before="252" w:line="211" w:lineRule="auto"/>
              <w:ind w:left="525" w:hanging="510"/>
            </w:pPr>
            <w:r>
              <w:rPr>
                <w:spacing w:val="-22"/>
                <w:sz w:val="21"/>
                <w:szCs w:val="21"/>
              </w:rPr>
              <w:t>24#光伏阵列西北侧、</w:t>
            </w:r>
            <w:r>
              <w:rPr>
                <w:spacing w:val="7"/>
                <w:sz w:val="21"/>
                <w:szCs w:val="21"/>
              </w:rPr>
              <w:t xml:space="preserve"> </w:t>
            </w:r>
            <w:r>
              <w:rPr>
                <w:spacing w:val="-5"/>
              </w:rPr>
              <w:t>东南侧</w:t>
            </w:r>
          </w:p>
        </w:tc>
        <w:tc>
          <w:tcPr>
            <w:tcW w:w="719" w:type="dxa"/>
            <w:vAlign w:val="top"/>
          </w:tcPr>
          <w:p w14:paraId="5DBBEB3A">
            <w:pPr>
              <w:pStyle w:val="6"/>
              <w:spacing w:before="12" w:line="207" w:lineRule="auto"/>
              <w:ind w:left="28"/>
            </w:pPr>
            <w:r>
              <w:rPr>
                <w:spacing w:val="5"/>
              </w:rPr>
              <w:t>西北侧</w:t>
            </w:r>
          </w:p>
          <w:p w14:paraId="2158D25A">
            <w:pPr>
              <w:pStyle w:val="6"/>
              <w:spacing w:line="195" w:lineRule="auto"/>
              <w:ind w:right="1"/>
              <w:jc w:val="right"/>
            </w:pPr>
            <w:r>
              <w:rPr>
                <w:spacing w:val="3"/>
              </w:rPr>
              <w:t>30m,东</w:t>
            </w:r>
          </w:p>
          <w:p w14:paraId="07CF4A81">
            <w:pPr>
              <w:pStyle w:val="6"/>
              <w:spacing w:line="202" w:lineRule="auto"/>
              <w:ind w:left="138"/>
            </w:pPr>
            <w:r>
              <w:rPr>
                <w:spacing w:val="7"/>
              </w:rPr>
              <w:t>南侧</w:t>
            </w:r>
          </w:p>
          <w:p w14:paraId="6FE0C923">
            <w:pPr>
              <w:pStyle w:val="6"/>
              <w:spacing w:line="162" w:lineRule="exact"/>
              <w:ind w:left="188"/>
              <w:rPr>
                <w:sz w:val="21"/>
                <w:szCs w:val="21"/>
              </w:rPr>
            </w:pPr>
            <w:r>
              <w:rPr>
                <w:spacing w:val="-3"/>
                <w:position w:val="-2"/>
                <w:sz w:val="21"/>
                <w:szCs w:val="21"/>
              </w:rPr>
              <w:t>36m</w:t>
            </w:r>
          </w:p>
        </w:tc>
        <w:tc>
          <w:tcPr>
            <w:tcW w:w="610" w:type="dxa"/>
            <w:gridSpan w:val="2"/>
            <w:vMerge w:val="continue"/>
            <w:tcBorders>
              <w:top w:val="nil"/>
              <w:bottom w:val="nil"/>
            </w:tcBorders>
            <w:vAlign w:val="top"/>
          </w:tcPr>
          <w:p w14:paraId="6AC95019">
            <w:pPr>
              <w:rPr>
                <w:rFonts w:ascii="Arial"/>
                <w:sz w:val="21"/>
              </w:rPr>
            </w:pPr>
          </w:p>
        </w:tc>
        <w:tc>
          <w:tcPr>
            <w:tcW w:w="809" w:type="dxa"/>
            <w:vMerge w:val="continue"/>
            <w:tcBorders>
              <w:top w:val="nil"/>
              <w:bottom w:val="nil"/>
            </w:tcBorders>
            <w:vAlign w:val="top"/>
          </w:tcPr>
          <w:p w14:paraId="35F587A9">
            <w:pPr>
              <w:rPr>
                <w:rFonts w:ascii="Arial"/>
                <w:sz w:val="21"/>
              </w:rPr>
            </w:pPr>
          </w:p>
        </w:tc>
        <w:tc>
          <w:tcPr>
            <w:tcW w:w="135" w:type="dxa"/>
            <w:vMerge w:val="continue"/>
            <w:tcBorders>
              <w:top w:val="nil"/>
              <w:bottom w:val="nil"/>
            </w:tcBorders>
            <w:vAlign w:val="top"/>
          </w:tcPr>
          <w:p w14:paraId="0A1A59A2">
            <w:pPr>
              <w:rPr>
                <w:rFonts w:ascii="Arial"/>
                <w:sz w:val="21"/>
              </w:rPr>
            </w:pPr>
          </w:p>
        </w:tc>
      </w:tr>
      <w:tr w14:paraId="0487E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704" w:type="dxa"/>
            <w:vMerge w:val="continue"/>
            <w:tcBorders>
              <w:top w:val="nil"/>
              <w:bottom w:val="nil"/>
            </w:tcBorders>
            <w:vAlign w:val="top"/>
          </w:tcPr>
          <w:p w14:paraId="6CE04910">
            <w:pPr>
              <w:rPr>
                <w:rFonts w:ascii="Arial"/>
                <w:sz w:val="21"/>
              </w:rPr>
            </w:pPr>
          </w:p>
        </w:tc>
        <w:tc>
          <w:tcPr>
            <w:tcW w:w="120" w:type="dxa"/>
            <w:tcBorders>
              <w:top w:val="nil"/>
            </w:tcBorders>
            <w:vAlign w:val="top"/>
          </w:tcPr>
          <w:p w14:paraId="56D99FD6">
            <w:pPr>
              <w:rPr>
                <w:rFonts w:ascii="Arial"/>
                <w:sz w:val="21"/>
              </w:rPr>
            </w:pPr>
          </w:p>
        </w:tc>
        <w:tc>
          <w:tcPr>
            <w:tcW w:w="610" w:type="dxa"/>
            <w:gridSpan w:val="2"/>
            <w:vMerge w:val="continue"/>
            <w:tcBorders>
              <w:top w:val="nil"/>
            </w:tcBorders>
            <w:vAlign w:val="top"/>
          </w:tcPr>
          <w:p w14:paraId="3842F5D6">
            <w:pPr>
              <w:rPr>
                <w:rFonts w:ascii="Arial"/>
                <w:sz w:val="21"/>
              </w:rPr>
            </w:pPr>
          </w:p>
        </w:tc>
        <w:tc>
          <w:tcPr>
            <w:tcW w:w="849" w:type="dxa"/>
            <w:gridSpan w:val="2"/>
            <w:vAlign w:val="top"/>
          </w:tcPr>
          <w:p w14:paraId="1759D289">
            <w:pPr>
              <w:pStyle w:val="6"/>
              <w:spacing w:before="34" w:line="187" w:lineRule="auto"/>
              <w:ind w:left="11" w:firstLine="9"/>
            </w:pPr>
            <w:r>
              <w:rPr>
                <w:spacing w:val="-18"/>
              </w:rPr>
              <w:t>橡子坡</w:t>
            </w:r>
            <w:r>
              <w:rPr>
                <w:spacing w:val="-10"/>
              </w:rPr>
              <w:t>散</w:t>
            </w:r>
            <w:r>
              <w:t xml:space="preserve"> </w:t>
            </w:r>
            <w:r>
              <w:rPr>
                <w:spacing w:val="6"/>
              </w:rPr>
              <w:t>户2(田</w:t>
            </w:r>
            <w:r>
              <w:rPr>
                <w:spacing w:val="1"/>
              </w:rPr>
              <w:t xml:space="preserve">  </w:t>
            </w:r>
            <w:r>
              <w:rPr>
                <w:spacing w:val="-16"/>
              </w:rPr>
              <w:t>间</w:t>
            </w:r>
            <w:r>
              <w:rPr>
                <w:spacing w:val="-15"/>
              </w:rPr>
              <w:t>农户</w:t>
            </w:r>
            <w:r>
              <w:rPr>
                <w:spacing w:val="-10"/>
              </w:rPr>
              <w:t>看</w:t>
            </w:r>
            <w:r>
              <w:rPr>
                <w:spacing w:val="2"/>
              </w:rPr>
              <w:t xml:space="preserve"> </w:t>
            </w:r>
            <w:r>
              <w:rPr>
                <w:spacing w:val="-5"/>
              </w:rPr>
              <w:t>地</w:t>
            </w:r>
            <w:r>
              <w:rPr>
                <w:spacing w:val="-44"/>
              </w:rPr>
              <w:t xml:space="preserve"> </w:t>
            </w:r>
            <w:r>
              <w:rPr>
                <w:spacing w:val="-5"/>
              </w:rPr>
              <w:t>)</w:t>
            </w:r>
          </w:p>
        </w:tc>
        <w:tc>
          <w:tcPr>
            <w:tcW w:w="1668" w:type="dxa"/>
            <w:vAlign w:val="top"/>
          </w:tcPr>
          <w:p w14:paraId="296E0043">
            <w:pPr>
              <w:pStyle w:val="6"/>
              <w:spacing w:before="305" w:line="227" w:lineRule="auto"/>
              <w:ind w:left="12"/>
              <w:rPr>
                <w:sz w:val="21"/>
                <w:szCs w:val="21"/>
              </w:rPr>
            </w:pPr>
            <w:r>
              <w:rPr>
                <w:spacing w:val="-15"/>
                <w:sz w:val="20"/>
                <w:szCs w:val="20"/>
              </w:rPr>
              <w:t>E103°33'42.40464”</w:t>
            </w:r>
            <w:r>
              <w:rPr>
                <w:sz w:val="20"/>
                <w:szCs w:val="20"/>
              </w:rPr>
              <w:t xml:space="preserve"> </w:t>
            </w:r>
            <w:r>
              <w:rPr>
                <w:spacing w:val="-16"/>
                <w:sz w:val="21"/>
                <w:szCs w:val="21"/>
              </w:rPr>
              <w:t>N24°52'14.70706”</w:t>
            </w:r>
          </w:p>
        </w:tc>
        <w:tc>
          <w:tcPr>
            <w:tcW w:w="1329" w:type="dxa"/>
            <w:gridSpan w:val="3"/>
            <w:vAlign w:val="top"/>
          </w:tcPr>
          <w:p w14:paraId="20BC90DB">
            <w:pPr>
              <w:spacing w:line="294" w:lineRule="auto"/>
              <w:rPr>
                <w:rFonts w:ascii="Arial"/>
                <w:sz w:val="21"/>
              </w:rPr>
            </w:pPr>
          </w:p>
          <w:p w14:paraId="6E09A766">
            <w:pPr>
              <w:pStyle w:val="6"/>
              <w:spacing w:before="71" w:line="220" w:lineRule="auto"/>
              <w:ind w:left="214"/>
            </w:pPr>
            <w:r>
              <w:rPr>
                <w:spacing w:val="1"/>
              </w:rPr>
              <w:t>3户，3人</w:t>
            </w:r>
          </w:p>
        </w:tc>
        <w:tc>
          <w:tcPr>
            <w:tcW w:w="1787" w:type="dxa"/>
            <w:gridSpan w:val="3"/>
            <w:vAlign w:val="top"/>
          </w:tcPr>
          <w:p w14:paraId="62296BC0">
            <w:pPr>
              <w:spacing w:line="292" w:lineRule="auto"/>
              <w:rPr>
                <w:rFonts w:ascii="Arial"/>
                <w:sz w:val="21"/>
              </w:rPr>
            </w:pPr>
          </w:p>
          <w:p w14:paraId="5507641B">
            <w:pPr>
              <w:pStyle w:val="6"/>
              <w:spacing w:before="71" w:line="219" w:lineRule="auto"/>
              <w:ind w:left="65"/>
            </w:pPr>
            <w:r>
              <w:rPr>
                <w:spacing w:val="1"/>
              </w:rPr>
              <w:t>24#光伏阵列北侧</w:t>
            </w:r>
          </w:p>
        </w:tc>
        <w:tc>
          <w:tcPr>
            <w:tcW w:w="719" w:type="dxa"/>
            <w:vAlign w:val="top"/>
          </w:tcPr>
          <w:p w14:paraId="77685093">
            <w:pPr>
              <w:spacing w:line="315" w:lineRule="auto"/>
              <w:rPr>
                <w:rFonts w:ascii="Arial"/>
                <w:sz w:val="21"/>
              </w:rPr>
            </w:pPr>
          </w:p>
          <w:p w14:paraId="72037000">
            <w:pPr>
              <w:pStyle w:val="6"/>
              <w:spacing w:before="72" w:line="241" w:lineRule="auto"/>
              <w:ind w:left="188"/>
            </w:pPr>
            <w:r>
              <w:rPr>
                <w:spacing w:val="-3"/>
              </w:rPr>
              <w:t>22m</w:t>
            </w:r>
          </w:p>
        </w:tc>
        <w:tc>
          <w:tcPr>
            <w:tcW w:w="610" w:type="dxa"/>
            <w:gridSpan w:val="2"/>
            <w:vMerge w:val="continue"/>
            <w:tcBorders>
              <w:top w:val="nil"/>
            </w:tcBorders>
            <w:vAlign w:val="top"/>
          </w:tcPr>
          <w:p w14:paraId="0764FE60">
            <w:pPr>
              <w:rPr>
                <w:rFonts w:ascii="Arial"/>
                <w:sz w:val="21"/>
              </w:rPr>
            </w:pPr>
          </w:p>
        </w:tc>
        <w:tc>
          <w:tcPr>
            <w:tcW w:w="809" w:type="dxa"/>
            <w:vMerge w:val="continue"/>
            <w:tcBorders>
              <w:top w:val="nil"/>
            </w:tcBorders>
            <w:vAlign w:val="top"/>
          </w:tcPr>
          <w:p w14:paraId="1C547ADD">
            <w:pPr>
              <w:rPr>
                <w:rFonts w:ascii="Arial"/>
                <w:sz w:val="21"/>
              </w:rPr>
            </w:pPr>
          </w:p>
        </w:tc>
        <w:tc>
          <w:tcPr>
            <w:tcW w:w="135" w:type="dxa"/>
            <w:vMerge w:val="continue"/>
            <w:tcBorders>
              <w:top w:val="nil"/>
            </w:tcBorders>
            <w:vAlign w:val="top"/>
          </w:tcPr>
          <w:p w14:paraId="31CBAE55">
            <w:pPr>
              <w:rPr>
                <w:rFonts w:ascii="Arial"/>
                <w:sz w:val="21"/>
              </w:rPr>
            </w:pPr>
          </w:p>
        </w:tc>
      </w:tr>
      <w:tr w14:paraId="4C073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vMerge w:val="continue"/>
            <w:tcBorders>
              <w:top w:val="nil"/>
              <w:bottom w:val="nil"/>
            </w:tcBorders>
            <w:vAlign w:val="top"/>
          </w:tcPr>
          <w:p w14:paraId="38F75C34">
            <w:pPr>
              <w:rPr>
                <w:rFonts w:ascii="Arial"/>
                <w:sz w:val="21"/>
              </w:rPr>
            </w:pPr>
          </w:p>
        </w:tc>
        <w:tc>
          <w:tcPr>
            <w:tcW w:w="8636" w:type="dxa"/>
            <w:gridSpan w:val="17"/>
            <w:vAlign w:val="top"/>
          </w:tcPr>
          <w:p w14:paraId="621BA087">
            <w:pPr>
              <w:pStyle w:val="6"/>
              <w:spacing w:before="49" w:line="219" w:lineRule="auto"/>
              <w:ind w:left="2254"/>
            </w:pPr>
            <w:r>
              <w:rPr>
                <w:b/>
                <w:bCs/>
                <w:spacing w:val="-4"/>
              </w:rPr>
              <w:t>表3-23</w:t>
            </w:r>
            <w:r>
              <w:rPr>
                <w:spacing w:val="9"/>
              </w:rPr>
              <w:t xml:space="preserve">       </w:t>
            </w:r>
            <w:r>
              <w:rPr>
                <w:b/>
                <w:bCs/>
                <w:spacing w:val="-4"/>
              </w:rPr>
              <w:t>项目生态保护目标一览表</w:t>
            </w:r>
          </w:p>
        </w:tc>
      </w:tr>
      <w:tr w14:paraId="01973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704" w:type="dxa"/>
            <w:vMerge w:val="continue"/>
            <w:tcBorders>
              <w:top w:val="nil"/>
              <w:bottom w:val="nil"/>
            </w:tcBorders>
            <w:vAlign w:val="top"/>
          </w:tcPr>
          <w:p w14:paraId="6ADBC523">
            <w:pPr>
              <w:rPr>
                <w:rFonts w:ascii="Arial"/>
                <w:sz w:val="21"/>
              </w:rPr>
            </w:pPr>
          </w:p>
        </w:tc>
        <w:tc>
          <w:tcPr>
            <w:tcW w:w="510" w:type="dxa"/>
            <w:gridSpan w:val="2"/>
            <w:textDirection w:val="tbRlV"/>
            <w:vAlign w:val="top"/>
          </w:tcPr>
          <w:p w14:paraId="515E84AC">
            <w:pPr>
              <w:pStyle w:val="6"/>
              <w:spacing w:before="162" w:line="199" w:lineRule="auto"/>
              <w:ind w:left="20"/>
            </w:pPr>
            <w:r>
              <w:t>序号</w:t>
            </w:r>
          </w:p>
        </w:tc>
        <w:tc>
          <w:tcPr>
            <w:tcW w:w="2857" w:type="dxa"/>
            <w:gridSpan w:val="5"/>
            <w:vAlign w:val="top"/>
          </w:tcPr>
          <w:p w14:paraId="2576CBDF">
            <w:pPr>
              <w:pStyle w:val="6"/>
              <w:spacing w:before="151" w:line="220" w:lineRule="auto"/>
              <w:ind w:left="761"/>
            </w:pPr>
            <w:r>
              <w:rPr>
                <w:spacing w:val="-2"/>
              </w:rPr>
              <w:t>环境保护目标</w:t>
            </w:r>
          </w:p>
        </w:tc>
        <w:tc>
          <w:tcPr>
            <w:tcW w:w="2996" w:type="dxa"/>
            <w:gridSpan w:val="5"/>
            <w:vAlign w:val="top"/>
          </w:tcPr>
          <w:p w14:paraId="109D8401">
            <w:pPr>
              <w:pStyle w:val="6"/>
              <w:spacing w:before="151" w:line="220" w:lineRule="auto"/>
              <w:ind w:left="284"/>
            </w:pPr>
            <w:r>
              <w:rPr>
                <w:spacing w:val="1"/>
              </w:rPr>
              <w:t>项目与环境保护目标关系</w:t>
            </w:r>
          </w:p>
        </w:tc>
        <w:tc>
          <w:tcPr>
            <w:tcW w:w="919" w:type="dxa"/>
            <w:gridSpan w:val="2"/>
            <w:vAlign w:val="top"/>
          </w:tcPr>
          <w:p w14:paraId="2533E531">
            <w:pPr>
              <w:pStyle w:val="6"/>
              <w:spacing w:before="151" w:line="219" w:lineRule="auto"/>
              <w:ind w:left="18"/>
            </w:pPr>
            <w:r>
              <w:rPr>
                <w:spacing w:val="-2"/>
              </w:rPr>
              <w:t>影响因素</w:t>
            </w:r>
          </w:p>
        </w:tc>
        <w:tc>
          <w:tcPr>
            <w:tcW w:w="1354" w:type="dxa"/>
            <w:gridSpan w:val="3"/>
            <w:vAlign w:val="top"/>
          </w:tcPr>
          <w:p w14:paraId="3B891FCC">
            <w:pPr>
              <w:pStyle w:val="6"/>
              <w:spacing w:before="151" w:line="220" w:lineRule="auto"/>
              <w:ind w:left="229"/>
            </w:pPr>
            <w:r>
              <w:rPr>
                <w:spacing w:val="-2"/>
              </w:rPr>
              <w:t>保护要求</w:t>
            </w:r>
          </w:p>
        </w:tc>
      </w:tr>
      <w:tr w14:paraId="430AA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704" w:type="dxa"/>
            <w:vMerge w:val="continue"/>
            <w:tcBorders>
              <w:top w:val="nil"/>
              <w:bottom w:val="nil"/>
            </w:tcBorders>
            <w:vAlign w:val="top"/>
          </w:tcPr>
          <w:p w14:paraId="13F0130D">
            <w:pPr>
              <w:rPr>
                <w:rFonts w:ascii="Arial"/>
                <w:sz w:val="21"/>
              </w:rPr>
            </w:pPr>
          </w:p>
        </w:tc>
        <w:tc>
          <w:tcPr>
            <w:tcW w:w="510" w:type="dxa"/>
            <w:gridSpan w:val="2"/>
            <w:vAlign w:val="top"/>
          </w:tcPr>
          <w:p w14:paraId="7C093860">
            <w:pPr>
              <w:spacing w:line="386" w:lineRule="auto"/>
              <w:rPr>
                <w:rFonts w:ascii="Arial"/>
                <w:sz w:val="21"/>
              </w:rPr>
            </w:pPr>
          </w:p>
          <w:p w14:paraId="7B47CBCF">
            <w:pPr>
              <w:pStyle w:val="6"/>
              <w:spacing w:before="71" w:line="235" w:lineRule="auto"/>
              <w:ind w:left="131"/>
            </w:pPr>
            <w:r>
              <w:t>工</w:t>
            </w:r>
          </w:p>
        </w:tc>
        <w:tc>
          <w:tcPr>
            <w:tcW w:w="2857" w:type="dxa"/>
            <w:gridSpan w:val="5"/>
            <w:vAlign w:val="top"/>
          </w:tcPr>
          <w:p w14:paraId="629E5337">
            <w:pPr>
              <w:pStyle w:val="6"/>
              <w:spacing w:before="70" w:line="228" w:lineRule="auto"/>
              <w:ind w:left="11"/>
              <w:jc w:val="both"/>
            </w:pPr>
            <w:r>
              <w:rPr>
                <w:spacing w:val="-3"/>
              </w:rPr>
              <w:t>自然植被：暖性针叶林、稀树</w:t>
            </w:r>
            <w:r>
              <w:rPr>
                <w:spacing w:val="3"/>
              </w:rPr>
              <w:t xml:space="preserve"> </w:t>
            </w:r>
            <w:r>
              <w:rPr>
                <w:spacing w:val="-2"/>
              </w:rPr>
              <w:t>灌木草丛、灌丛、暖性石灰岩</w:t>
            </w:r>
            <w:r>
              <w:t xml:space="preserve"> </w:t>
            </w:r>
            <w:r>
              <w:rPr>
                <w:spacing w:val="4"/>
              </w:rPr>
              <w:t>灌丛(小铁仔灌丛)</w:t>
            </w:r>
          </w:p>
        </w:tc>
        <w:tc>
          <w:tcPr>
            <w:tcW w:w="2996" w:type="dxa"/>
            <w:gridSpan w:val="5"/>
            <w:vAlign w:val="top"/>
          </w:tcPr>
          <w:p w14:paraId="199CC5BA">
            <w:pPr>
              <w:pStyle w:val="6"/>
              <w:spacing w:before="61" w:line="218" w:lineRule="auto"/>
              <w:ind w:left="64"/>
            </w:pPr>
            <w:r>
              <w:rPr>
                <w:spacing w:val="1"/>
              </w:rPr>
              <w:t>工程占地主要影响的植被类型</w:t>
            </w:r>
          </w:p>
          <w:p w14:paraId="05784825">
            <w:pPr>
              <w:pStyle w:val="6"/>
              <w:spacing w:line="219" w:lineRule="auto"/>
              <w:ind w:left="174"/>
            </w:pPr>
            <w:r>
              <w:t>为暖性针叶林和稀树灌木草</w:t>
            </w:r>
          </w:p>
          <w:p w14:paraId="18C7B7F6">
            <w:pPr>
              <w:pStyle w:val="6"/>
              <w:spacing w:before="6" w:line="218" w:lineRule="auto"/>
              <w:ind w:left="64"/>
            </w:pPr>
            <w:r>
              <w:t>丛。工程占地外的评价区自然</w:t>
            </w:r>
          </w:p>
          <w:p w14:paraId="2B5EF5EB">
            <w:pPr>
              <w:pStyle w:val="6"/>
              <w:spacing w:before="12" w:line="191" w:lineRule="auto"/>
              <w:ind w:left="444"/>
            </w:pPr>
            <w:r>
              <w:t>植被类型有灌木林地。</w:t>
            </w:r>
          </w:p>
        </w:tc>
        <w:tc>
          <w:tcPr>
            <w:tcW w:w="919" w:type="dxa"/>
            <w:gridSpan w:val="2"/>
            <w:vAlign w:val="top"/>
          </w:tcPr>
          <w:p w14:paraId="02724BF4">
            <w:pPr>
              <w:pStyle w:val="6"/>
              <w:spacing w:before="182" w:line="230" w:lineRule="auto"/>
              <w:ind w:left="18" w:firstLine="109"/>
            </w:pPr>
            <w:r>
              <w:rPr>
                <w:spacing w:val="5"/>
              </w:rPr>
              <w:t>工程占</w:t>
            </w:r>
            <w:r>
              <w:t xml:space="preserve">  </w:t>
            </w:r>
            <w:r>
              <w:rPr>
                <w:spacing w:val="2"/>
              </w:rPr>
              <w:t>地、施工</w:t>
            </w:r>
          </w:p>
          <w:p w14:paraId="3AEA21FC">
            <w:pPr>
              <w:pStyle w:val="6"/>
              <w:spacing w:line="218" w:lineRule="auto"/>
              <w:ind w:right="1"/>
              <w:jc w:val="right"/>
            </w:pPr>
            <w:r>
              <w:rPr>
                <w:spacing w:val="2"/>
              </w:rPr>
              <w:t>活动干扰</w:t>
            </w:r>
          </w:p>
        </w:tc>
        <w:tc>
          <w:tcPr>
            <w:tcW w:w="1354" w:type="dxa"/>
            <w:gridSpan w:val="3"/>
            <w:vAlign w:val="top"/>
          </w:tcPr>
          <w:p w14:paraId="115AF4E9">
            <w:pPr>
              <w:pStyle w:val="6"/>
              <w:spacing w:before="59" w:line="218" w:lineRule="auto"/>
              <w:ind w:left="119"/>
            </w:pPr>
            <w:r>
              <w:rPr>
                <w:spacing w:val="3"/>
              </w:rPr>
              <w:t>保持评价区</w:t>
            </w:r>
          </w:p>
          <w:p w14:paraId="4C1BDD2C">
            <w:pPr>
              <w:pStyle w:val="6"/>
              <w:spacing w:before="2" w:line="219" w:lineRule="auto"/>
              <w:ind w:left="119"/>
            </w:pPr>
            <w:r>
              <w:rPr>
                <w:spacing w:val="2"/>
              </w:rPr>
              <w:t>内生态系统</w:t>
            </w:r>
          </w:p>
          <w:p w14:paraId="630D6C37">
            <w:pPr>
              <w:pStyle w:val="6"/>
              <w:spacing w:before="8" w:line="209" w:lineRule="auto"/>
              <w:ind w:left="448" w:right="113" w:hanging="329"/>
            </w:pPr>
            <w:r>
              <w:rPr>
                <w:spacing w:val="2"/>
              </w:rPr>
              <w:t>稳定性和完</w:t>
            </w:r>
            <w:r>
              <w:t xml:space="preserve"> </w:t>
            </w:r>
            <w:r>
              <w:rPr>
                <w:spacing w:val="-3"/>
              </w:rPr>
              <w:t>整性</w:t>
            </w:r>
          </w:p>
        </w:tc>
      </w:tr>
      <w:tr w14:paraId="113FC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704" w:type="dxa"/>
            <w:vMerge w:val="continue"/>
            <w:tcBorders>
              <w:top w:val="nil"/>
              <w:bottom w:val="nil"/>
            </w:tcBorders>
            <w:vAlign w:val="top"/>
          </w:tcPr>
          <w:p w14:paraId="4A69962E">
            <w:pPr>
              <w:rPr>
                <w:rFonts w:ascii="Arial"/>
                <w:sz w:val="21"/>
              </w:rPr>
            </w:pPr>
          </w:p>
        </w:tc>
        <w:tc>
          <w:tcPr>
            <w:tcW w:w="510" w:type="dxa"/>
            <w:gridSpan w:val="2"/>
            <w:vAlign w:val="top"/>
          </w:tcPr>
          <w:p w14:paraId="2DC24C8E">
            <w:pPr>
              <w:spacing w:line="380" w:lineRule="auto"/>
              <w:rPr>
                <w:rFonts w:ascii="Arial"/>
                <w:sz w:val="21"/>
              </w:rPr>
            </w:pPr>
          </w:p>
          <w:p w14:paraId="790FD974">
            <w:pPr>
              <w:pStyle w:val="6"/>
              <w:spacing w:before="71" w:line="241" w:lineRule="auto"/>
              <w:ind w:left="191"/>
            </w:pPr>
            <w:r>
              <w:t>2</w:t>
            </w:r>
          </w:p>
        </w:tc>
        <w:tc>
          <w:tcPr>
            <w:tcW w:w="2857" w:type="dxa"/>
            <w:gridSpan w:val="5"/>
            <w:vAlign w:val="top"/>
          </w:tcPr>
          <w:p w14:paraId="25820BD8">
            <w:pPr>
              <w:spacing w:line="358" w:lineRule="auto"/>
              <w:rPr>
                <w:rFonts w:ascii="Arial"/>
                <w:sz w:val="21"/>
              </w:rPr>
            </w:pPr>
          </w:p>
          <w:p w14:paraId="198181B3">
            <w:pPr>
              <w:pStyle w:val="6"/>
              <w:spacing w:before="71" w:line="219" w:lineRule="auto"/>
              <w:ind w:left="371"/>
            </w:pPr>
            <w:r>
              <w:rPr>
                <w:spacing w:val="4"/>
              </w:rPr>
              <w:t>野生植物资源(495种)</w:t>
            </w:r>
          </w:p>
        </w:tc>
        <w:tc>
          <w:tcPr>
            <w:tcW w:w="2996" w:type="dxa"/>
            <w:gridSpan w:val="5"/>
            <w:vAlign w:val="top"/>
          </w:tcPr>
          <w:p w14:paraId="70CFD04A">
            <w:pPr>
              <w:pStyle w:val="6"/>
              <w:spacing w:before="50" w:line="218" w:lineRule="auto"/>
              <w:ind w:left="64"/>
            </w:pPr>
            <w:r>
              <w:rPr>
                <w:spacing w:val="-1"/>
              </w:rPr>
              <w:t>野生植物资源在评价区内广泛</w:t>
            </w:r>
          </w:p>
          <w:p w14:paraId="16399819">
            <w:pPr>
              <w:pStyle w:val="6"/>
              <w:spacing w:line="219" w:lineRule="auto"/>
              <w:ind w:left="64"/>
            </w:pPr>
            <w:r>
              <w:rPr>
                <w:spacing w:val="-1"/>
              </w:rPr>
              <w:t>分布，不涉及国家及云南省保</w:t>
            </w:r>
          </w:p>
          <w:p w14:paraId="600CE1EE">
            <w:pPr>
              <w:pStyle w:val="6"/>
              <w:spacing w:before="20" w:line="201" w:lineRule="auto"/>
              <w:ind w:left="64"/>
            </w:pPr>
            <w:r>
              <w:t>护植物，不涉及工程区域及陆</w:t>
            </w:r>
          </w:p>
          <w:p w14:paraId="7F275816">
            <w:pPr>
              <w:pStyle w:val="6"/>
              <w:spacing w:line="190" w:lineRule="auto"/>
              <w:ind w:left="834"/>
            </w:pPr>
            <w:r>
              <w:rPr>
                <w:spacing w:val="2"/>
              </w:rPr>
              <w:t>良县特有物种</w:t>
            </w:r>
          </w:p>
        </w:tc>
        <w:tc>
          <w:tcPr>
            <w:tcW w:w="919" w:type="dxa"/>
            <w:gridSpan w:val="2"/>
            <w:vAlign w:val="top"/>
          </w:tcPr>
          <w:p w14:paraId="704889A0">
            <w:pPr>
              <w:pStyle w:val="6"/>
              <w:spacing w:before="172" w:line="224" w:lineRule="auto"/>
              <w:ind w:left="18" w:firstLine="109"/>
            </w:pPr>
            <w:r>
              <w:rPr>
                <w:spacing w:val="5"/>
              </w:rPr>
              <w:t>工程占</w:t>
            </w:r>
            <w:r>
              <w:t xml:space="preserve">  </w:t>
            </w:r>
            <w:r>
              <w:rPr>
                <w:spacing w:val="2"/>
              </w:rPr>
              <w:t>地、施工</w:t>
            </w:r>
          </w:p>
          <w:p w14:paraId="400F2C67">
            <w:pPr>
              <w:pStyle w:val="6"/>
              <w:spacing w:before="4" w:line="219" w:lineRule="auto"/>
              <w:ind w:right="1"/>
              <w:jc w:val="right"/>
            </w:pPr>
            <w:r>
              <w:rPr>
                <w:spacing w:val="2"/>
              </w:rPr>
              <w:t>活动干扰</w:t>
            </w:r>
          </w:p>
        </w:tc>
        <w:tc>
          <w:tcPr>
            <w:tcW w:w="1354" w:type="dxa"/>
            <w:gridSpan w:val="3"/>
            <w:vAlign w:val="top"/>
          </w:tcPr>
          <w:p w14:paraId="29E409D6">
            <w:pPr>
              <w:pStyle w:val="6"/>
              <w:spacing w:before="50" w:line="218" w:lineRule="auto"/>
              <w:ind w:left="119"/>
            </w:pPr>
            <w:r>
              <w:rPr>
                <w:spacing w:val="3"/>
              </w:rPr>
              <w:t>保护评价区</w:t>
            </w:r>
          </w:p>
          <w:p w14:paraId="0410B96F">
            <w:pPr>
              <w:pStyle w:val="6"/>
              <w:spacing w:before="2" w:line="219" w:lineRule="auto"/>
              <w:ind w:left="119"/>
            </w:pPr>
            <w:r>
              <w:rPr>
                <w:spacing w:val="2"/>
              </w:rPr>
              <w:t>内野生植物</w:t>
            </w:r>
          </w:p>
          <w:p w14:paraId="17CF9243">
            <w:pPr>
              <w:pStyle w:val="6"/>
              <w:spacing w:line="217" w:lineRule="auto"/>
              <w:ind w:left="119"/>
            </w:pPr>
            <w:r>
              <w:rPr>
                <w:spacing w:val="1"/>
              </w:rPr>
              <w:t>资源不受较</w:t>
            </w:r>
          </w:p>
          <w:p w14:paraId="622EDE58">
            <w:pPr>
              <w:pStyle w:val="6"/>
              <w:spacing w:before="1" w:line="189" w:lineRule="auto"/>
              <w:ind w:left="339"/>
            </w:pPr>
            <w:r>
              <w:rPr>
                <w:spacing w:val="5"/>
              </w:rPr>
              <w:t>大影响</w:t>
            </w:r>
          </w:p>
        </w:tc>
      </w:tr>
      <w:tr w14:paraId="670CC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9" w:hRule="atLeast"/>
        </w:trPr>
        <w:tc>
          <w:tcPr>
            <w:tcW w:w="704" w:type="dxa"/>
            <w:vMerge w:val="continue"/>
            <w:tcBorders>
              <w:top w:val="nil"/>
              <w:bottom w:val="nil"/>
            </w:tcBorders>
            <w:vAlign w:val="top"/>
          </w:tcPr>
          <w:p w14:paraId="6E3117D3">
            <w:pPr>
              <w:rPr>
                <w:rFonts w:ascii="Arial"/>
                <w:sz w:val="21"/>
              </w:rPr>
            </w:pPr>
          </w:p>
        </w:tc>
        <w:tc>
          <w:tcPr>
            <w:tcW w:w="510" w:type="dxa"/>
            <w:gridSpan w:val="2"/>
            <w:vAlign w:val="top"/>
          </w:tcPr>
          <w:p w14:paraId="6E014A49">
            <w:pPr>
              <w:spacing w:line="334" w:lineRule="auto"/>
              <w:rPr>
                <w:rFonts w:ascii="Arial"/>
                <w:sz w:val="21"/>
              </w:rPr>
            </w:pPr>
          </w:p>
          <w:p w14:paraId="2FB23990">
            <w:pPr>
              <w:spacing w:line="334" w:lineRule="auto"/>
              <w:rPr>
                <w:rFonts w:ascii="Arial"/>
                <w:sz w:val="21"/>
              </w:rPr>
            </w:pPr>
          </w:p>
          <w:p w14:paraId="78A32002">
            <w:pPr>
              <w:pStyle w:val="6"/>
              <w:spacing w:before="72"/>
              <w:ind w:left="191"/>
            </w:pPr>
            <w:r>
              <w:t>3</w:t>
            </w:r>
          </w:p>
        </w:tc>
        <w:tc>
          <w:tcPr>
            <w:tcW w:w="530" w:type="dxa"/>
            <w:gridSpan w:val="2"/>
            <w:vAlign w:val="top"/>
          </w:tcPr>
          <w:p w14:paraId="4B731A52">
            <w:pPr>
              <w:spacing w:line="410" w:lineRule="auto"/>
              <w:rPr>
                <w:rFonts w:ascii="Arial"/>
                <w:sz w:val="21"/>
              </w:rPr>
            </w:pPr>
          </w:p>
          <w:p w14:paraId="7371A101">
            <w:pPr>
              <w:pStyle w:val="6"/>
              <w:spacing w:before="71" w:line="201" w:lineRule="auto"/>
              <w:ind w:left="31"/>
            </w:pPr>
            <w:r>
              <w:rPr>
                <w:spacing w:val="-3"/>
              </w:rPr>
              <w:t>野生</w:t>
            </w:r>
          </w:p>
          <w:p w14:paraId="3EA2EC2F">
            <w:pPr>
              <w:pStyle w:val="6"/>
              <w:spacing w:line="220" w:lineRule="auto"/>
              <w:ind w:left="31"/>
            </w:pPr>
            <w:r>
              <w:rPr>
                <w:spacing w:val="5"/>
              </w:rPr>
              <w:t>动物</w:t>
            </w:r>
          </w:p>
          <w:p w14:paraId="4600ED94">
            <w:pPr>
              <w:pStyle w:val="6"/>
              <w:spacing w:before="18" w:line="221" w:lineRule="auto"/>
              <w:ind w:left="31"/>
            </w:pPr>
            <w:r>
              <w:rPr>
                <w:spacing w:val="4"/>
              </w:rPr>
              <w:t>资源</w:t>
            </w:r>
          </w:p>
        </w:tc>
        <w:tc>
          <w:tcPr>
            <w:tcW w:w="2327" w:type="dxa"/>
            <w:gridSpan w:val="3"/>
            <w:vAlign w:val="top"/>
          </w:tcPr>
          <w:p w14:paraId="7224D838">
            <w:pPr>
              <w:pStyle w:val="6"/>
              <w:spacing w:before="193" w:line="220" w:lineRule="auto"/>
              <w:ind w:left="51"/>
            </w:pPr>
            <w:r>
              <w:rPr>
                <w:spacing w:val="1"/>
              </w:rPr>
              <w:t>国家二级重点保护野生</w:t>
            </w:r>
          </w:p>
          <w:p w14:paraId="5AB3EAB8">
            <w:pPr>
              <w:pStyle w:val="6"/>
              <w:spacing w:before="26" w:line="210" w:lineRule="auto"/>
              <w:jc w:val="right"/>
            </w:pPr>
            <w:r>
              <w:rPr>
                <w:spacing w:val="-11"/>
              </w:rPr>
              <w:t>动物：普通焉、红隼、松</w:t>
            </w:r>
          </w:p>
          <w:p w14:paraId="7B7C8EDF">
            <w:pPr>
              <w:pStyle w:val="6"/>
              <w:spacing w:line="219" w:lineRule="auto"/>
              <w:ind w:left="51"/>
            </w:pPr>
            <w:r>
              <w:rPr>
                <w:spacing w:val="1"/>
              </w:rPr>
              <w:t>雀鹰；“中国濒危动物</w:t>
            </w:r>
          </w:p>
          <w:p w14:paraId="1CDF5B20">
            <w:pPr>
              <w:pStyle w:val="6"/>
              <w:spacing w:before="17" w:line="219" w:lineRule="auto"/>
              <w:ind w:left="111"/>
            </w:pPr>
            <w:r>
              <w:rPr>
                <w:spacing w:val="1"/>
              </w:rPr>
              <w:t>红皮书”“易危”:双</w:t>
            </w:r>
          </w:p>
          <w:p w14:paraId="42A2D602">
            <w:pPr>
              <w:pStyle w:val="6"/>
              <w:spacing w:before="20" w:line="219" w:lineRule="auto"/>
              <w:ind w:left="661"/>
            </w:pPr>
            <w:r>
              <w:rPr>
                <w:spacing w:val="-1"/>
              </w:rPr>
              <w:t>团棘胸蛙。</w:t>
            </w:r>
          </w:p>
        </w:tc>
        <w:tc>
          <w:tcPr>
            <w:tcW w:w="2996" w:type="dxa"/>
            <w:gridSpan w:val="5"/>
            <w:vAlign w:val="top"/>
          </w:tcPr>
          <w:p w14:paraId="270EA509">
            <w:pPr>
              <w:spacing w:line="322" w:lineRule="auto"/>
              <w:rPr>
                <w:rFonts w:ascii="Arial"/>
                <w:sz w:val="21"/>
              </w:rPr>
            </w:pPr>
          </w:p>
          <w:p w14:paraId="0E85543A">
            <w:pPr>
              <w:spacing w:line="323" w:lineRule="auto"/>
              <w:rPr>
                <w:rFonts w:ascii="Arial"/>
                <w:sz w:val="21"/>
              </w:rPr>
            </w:pPr>
          </w:p>
          <w:p w14:paraId="1D26B75F">
            <w:pPr>
              <w:pStyle w:val="6"/>
              <w:spacing w:before="72" w:line="218" w:lineRule="auto"/>
              <w:ind w:left="394"/>
            </w:pPr>
            <w:r>
              <w:rPr>
                <w:spacing w:val="3"/>
              </w:rPr>
              <w:t>项目生态影响评价区内</w:t>
            </w:r>
          </w:p>
        </w:tc>
        <w:tc>
          <w:tcPr>
            <w:tcW w:w="919" w:type="dxa"/>
            <w:gridSpan w:val="2"/>
            <w:vAlign w:val="top"/>
          </w:tcPr>
          <w:p w14:paraId="4CB87FA3">
            <w:pPr>
              <w:spacing w:line="390" w:lineRule="auto"/>
              <w:rPr>
                <w:rFonts w:ascii="Arial"/>
                <w:sz w:val="21"/>
              </w:rPr>
            </w:pPr>
          </w:p>
          <w:p w14:paraId="345E5C71">
            <w:pPr>
              <w:pStyle w:val="6"/>
              <w:spacing w:before="71" w:line="230" w:lineRule="auto"/>
              <w:ind w:left="18" w:firstLine="109"/>
            </w:pPr>
            <w:r>
              <w:rPr>
                <w:spacing w:val="5"/>
              </w:rPr>
              <w:t>工程占</w:t>
            </w:r>
            <w:r>
              <w:t xml:space="preserve">  </w:t>
            </w:r>
            <w:r>
              <w:rPr>
                <w:spacing w:val="2"/>
              </w:rPr>
              <w:t>地、施工</w:t>
            </w:r>
          </w:p>
          <w:p w14:paraId="6A5C931C">
            <w:pPr>
              <w:pStyle w:val="6"/>
              <w:spacing w:line="218" w:lineRule="auto"/>
              <w:ind w:right="1"/>
              <w:jc w:val="right"/>
            </w:pPr>
            <w:r>
              <w:rPr>
                <w:spacing w:val="2"/>
              </w:rPr>
              <w:t>活动干扰</w:t>
            </w:r>
          </w:p>
        </w:tc>
        <w:tc>
          <w:tcPr>
            <w:tcW w:w="1354" w:type="dxa"/>
            <w:gridSpan w:val="3"/>
            <w:vAlign w:val="top"/>
          </w:tcPr>
          <w:p w14:paraId="35208959">
            <w:pPr>
              <w:pStyle w:val="6"/>
              <w:spacing w:before="51" w:line="218" w:lineRule="auto"/>
              <w:ind w:left="119"/>
            </w:pPr>
            <w:r>
              <w:rPr>
                <w:spacing w:val="3"/>
              </w:rPr>
              <w:t>保护评价区</w:t>
            </w:r>
          </w:p>
          <w:p w14:paraId="4A0F6043">
            <w:pPr>
              <w:pStyle w:val="6"/>
              <w:spacing w:before="12" w:line="219" w:lineRule="auto"/>
              <w:ind w:left="119"/>
            </w:pPr>
            <w:r>
              <w:rPr>
                <w:spacing w:val="2"/>
              </w:rPr>
              <w:t>内野生动物</w:t>
            </w:r>
          </w:p>
          <w:p w14:paraId="746660A6">
            <w:pPr>
              <w:pStyle w:val="6"/>
              <w:spacing w:before="10" w:line="221" w:lineRule="auto"/>
              <w:ind w:left="119"/>
            </w:pPr>
            <w:r>
              <w:rPr>
                <w:spacing w:val="2"/>
              </w:rPr>
              <w:t>资源不受工</w:t>
            </w:r>
          </w:p>
          <w:p w14:paraId="2F54429D">
            <w:pPr>
              <w:pStyle w:val="6"/>
              <w:spacing w:before="16" w:line="220" w:lineRule="auto"/>
              <w:ind w:left="119"/>
            </w:pPr>
            <w:r>
              <w:rPr>
                <w:spacing w:val="-2"/>
              </w:rPr>
              <w:t>程建设和运</w:t>
            </w:r>
          </w:p>
          <w:p w14:paraId="0AF0BA70">
            <w:pPr>
              <w:pStyle w:val="6"/>
              <w:spacing w:before="17" w:line="196" w:lineRule="auto"/>
              <w:ind w:left="119"/>
            </w:pPr>
            <w:r>
              <w:rPr>
                <w:spacing w:val="1"/>
              </w:rPr>
              <w:t>行的较大影</w:t>
            </w:r>
          </w:p>
          <w:p w14:paraId="742CEEB5">
            <w:pPr>
              <w:pStyle w:val="6"/>
              <w:spacing w:line="219" w:lineRule="auto"/>
              <w:ind w:left="449"/>
            </w:pPr>
            <w:r>
              <w:rPr>
                <w:spacing w:val="-10"/>
              </w:rPr>
              <w:t>响</w:t>
            </w:r>
            <w:r>
              <w:rPr>
                <w:spacing w:val="-59"/>
              </w:rPr>
              <w:t xml:space="preserve"> </w:t>
            </w:r>
            <w:r>
              <w:rPr>
                <w:spacing w:val="-10"/>
              </w:rPr>
              <w:t>。</w:t>
            </w:r>
          </w:p>
        </w:tc>
      </w:tr>
      <w:tr w14:paraId="69594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704" w:type="dxa"/>
            <w:vMerge w:val="continue"/>
            <w:tcBorders>
              <w:top w:val="nil"/>
            </w:tcBorders>
            <w:vAlign w:val="top"/>
          </w:tcPr>
          <w:p w14:paraId="07B49332">
            <w:pPr>
              <w:rPr>
                <w:rFonts w:ascii="Arial"/>
                <w:sz w:val="21"/>
              </w:rPr>
            </w:pPr>
          </w:p>
        </w:tc>
        <w:tc>
          <w:tcPr>
            <w:tcW w:w="8636" w:type="dxa"/>
            <w:gridSpan w:val="17"/>
            <w:vAlign w:val="top"/>
          </w:tcPr>
          <w:p w14:paraId="1CB53E16">
            <w:pPr>
              <w:pStyle w:val="6"/>
              <w:spacing w:before="29" w:line="369" w:lineRule="auto"/>
              <w:ind w:left="41" w:right="665" w:firstLine="499"/>
            </w:pPr>
            <w:r>
              <w:t>本项目电磁辐射评价范围：升压站站外30m,在此范围内的村庄或民居应列为</w:t>
            </w:r>
            <w:r>
              <w:rPr>
                <w:spacing w:val="4"/>
              </w:rPr>
              <w:t xml:space="preserve">  </w:t>
            </w:r>
            <w:r>
              <w:t>环境保护目标，经过现场踏勘，该范围内无电磁环境敏感点(村庄及居住区)分</w:t>
            </w:r>
            <w:r>
              <w:rPr>
                <w:spacing w:val="-1"/>
              </w:rPr>
              <w:t>布。</w:t>
            </w:r>
          </w:p>
        </w:tc>
      </w:tr>
      <w:tr w14:paraId="38B67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8" w:hRule="atLeast"/>
        </w:trPr>
        <w:tc>
          <w:tcPr>
            <w:tcW w:w="704" w:type="dxa"/>
            <w:vMerge w:val="restart"/>
            <w:tcBorders>
              <w:bottom w:val="nil"/>
            </w:tcBorders>
            <w:textDirection w:val="tbRlV"/>
            <w:vAlign w:val="top"/>
          </w:tcPr>
          <w:p w14:paraId="78566B2F">
            <w:pPr>
              <w:pStyle w:val="6"/>
              <w:spacing w:before="247" w:line="200" w:lineRule="auto"/>
              <w:ind w:left="1986"/>
            </w:pPr>
            <w:r>
              <w:rPr>
                <w:spacing w:val="-1"/>
              </w:rPr>
              <w:t>评 价 标 准</w:t>
            </w:r>
          </w:p>
        </w:tc>
        <w:tc>
          <w:tcPr>
            <w:tcW w:w="8636" w:type="dxa"/>
            <w:gridSpan w:val="17"/>
            <w:vAlign w:val="top"/>
          </w:tcPr>
          <w:p w14:paraId="2231424B">
            <w:pPr>
              <w:pStyle w:val="6"/>
              <w:spacing w:before="32" w:line="220" w:lineRule="auto"/>
              <w:ind w:left="94"/>
            </w:pPr>
            <w:r>
              <w:rPr>
                <w:b/>
                <w:bCs/>
                <w:spacing w:val="-2"/>
              </w:rPr>
              <w:t>1环境质量标准</w:t>
            </w:r>
          </w:p>
          <w:p w14:paraId="7E91D784">
            <w:pPr>
              <w:pStyle w:val="6"/>
              <w:spacing w:before="207" w:line="220" w:lineRule="auto"/>
              <w:ind w:left="684"/>
            </w:pPr>
            <w:r>
              <w:rPr>
                <w:b/>
                <w:bCs/>
                <w:spacing w:val="32"/>
              </w:rPr>
              <w:t>(1)环境空气质量</w:t>
            </w:r>
          </w:p>
          <w:p w14:paraId="22B0AFB1">
            <w:pPr>
              <w:pStyle w:val="6"/>
              <w:spacing w:before="208" w:line="392" w:lineRule="auto"/>
              <w:ind w:left="61" w:right="485" w:firstLine="489"/>
              <w:jc w:val="both"/>
            </w:pPr>
            <w:r>
              <w:rPr>
                <w:spacing w:val="3"/>
              </w:rPr>
              <w:t>本项目场址位于曲靖市陆良县大莫古镇阿油铺村民委员会、大地村民委员会、</w:t>
            </w:r>
            <w:r>
              <w:rPr>
                <w:spacing w:val="6"/>
              </w:rPr>
              <w:t xml:space="preserve"> </w:t>
            </w:r>
            <w:r>
              <w:t>大莫古村民委员会、发峨哨村民委员会、甘和村民委</w:t>
            </w:r>
            <w:r>
              <w:rPr>
                <w:spacing w:val="-1"/>
              </w:rPr>
              <w:t>员会、新村村民委员会，工程</w:t>
            </w:r>
            <w:r>
              <w:t xml:space="preserve">  所处区域为一般农村和集镇地区，无大型工业企业分布，属于环境空气质量功能二</w:t>
            </w:r>
            <w:r>
              <w:rPr>
                <w:spacing w:val="5"/>
              </w:rPr>
              <w:t xml:space="preserve">  </w:t>
            </w:r>
            <w:r>
              <w:rPr>
                <w:spacing w:val="1"/>
              </w:rPr>
              <w:t>类区，执行《环境空气质量标准》(</w:t>
            </w:r>
            <w:r>
              <w:t>GB</w:t>
            </w:r>
            <w:r>
              <w:rPr>
                <w:spacing w:val="1"/>
              </w:rPr>
              <w:t>3095-2012)二类区标准，详</w:t>
            </w:r>
            <w:r>
              <w:t>见表3-24。</w:t>
            </w:r>
          </w:p>
          <w:p w14:paraId="6871FA08">
            <w:pPr>
              <w:pStyle w:val="6"/>
              <w:spacing w:line="229" w:lineRule="auto"/>
              <w:ind w:left="2474"/>
            </w:pPr>
            <w:r>
              <w:rPr>
                <w:b/>
                <w:bCs/>
                <w:spacing w:val="-4"/>
              </w:rPr>
              <w:t>表3-24</w:t>
            </w:r>
            <w:r>
              <w:rPr>
                <w:spacing w:val="7"/>
              </w:rPr>
              <w:t xml:space="preserve">      </w:t>
            </w:r>
            <w:r>
              <w:rPr>
                <w:b/>
                <w:bCs/>
                <w:spacing w:val="-4"/>
              </w:rPr>
              <w:t>环境空气质量执行标准</w:t>
            </w:r>
          </w:p>
        </w:tc>
      </w:tr>
      <w:tr w14:paraId="16C0F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vMerge w:val="continue"/>
            <w:tcBorders>
              <w:top w:val="nil"/>
              <w:bottom w:val="nil"/>
            </w:tcBorders>
            <w:textDirection w:val="tbRlV"/>
            <w:vAlign w:val="top"/>
          </w:tcPr>
          <w:p w14:paraId="71BEC499">
            <w:pPr>
              <w:rPr>
                <w:rFonts w:ascii="Arial"/>
                <w:sz w:val="21"/>
              </w:rPr>
            </w:pPr>
          </w:p>
        </w:tc>
        <w:tc>
          <w:tcPr>
            <w:tcW w:w="120" w:type="dxa"/>
            <w:tcBorders>
              <w:bottom w:val="nil"/>
            </w:tcBorders>
            <w:vAlign w:val="top"/>
          </w:tcPr>
          <w:p w14:paraId="6D775494">
            <w:pPr>
              <w:rPr>
                <w:rFonts w:ascii="Arial"/>
                <w:sz w:val="21"/>
              </w:rPr>
            </w:pPr>
          </w:p>
        </w:tc>
        <w:tc>
          <w:tcPr>
            <w:tcW w:w="1459" w:type="dxa"/>
            <w:gridSpan w:val="4"/>
            <w:vAlign w:val="top"/>
          </w:tcPr>
          <w:p w14:paraId="1441C431">
            <w:pPr>
              <w:pStyle w:val="6"/>
              <w:spacing w:before="57" w:line="212" w:lineRule="auto"/>
              <w:ind w:left="171"/>
            </w:pPr>
            <w:r>
              <w:rPr>
                <w:spacing w:val="8"/>
              </w:rPr>
              <w:t>污染物项目</w:t>
            </w:r>
          </w:p>
        </w:tc>
        <w:tc>
          <w:tcPr>
            <w:tcW w:w="2198" w:type="dxa"/>
            <w:gridSpan w:val="3"/>
            <w:vAlign w:val="top"/>
          </w:tcPr>
          <w:p w14:paraId="15FE3808">
            <w:pPr>
              <w:pStyle w:val="6"/>
              <w:spacing w:before="57" w:line="212" w:lineRule="auto"/>
              <w:ind w:left="652"/>
            </w:pPr>
            <w:r>
              <w:rPr>
                <w:spacing w:val="5"/>
              </w:rPr>
              <w:t>平均时间</w:t>
            </w:r>
          </w:p>
        </w:tc>
        <w:tc>
          <w:tcPr>
            <w:tcW w:w="1258" w:type="dxa"/>
            <w:gridSpan w:val="2"/>
            <w:vAlign w:val="top"/>
          </w:tcPr>
          <w:p w14:paraId="46642639">
            <w:pPr>
              <w:pStyle w:val="6"/>
              <w:spacing w:before="56" w:line="213" w:lineRule="auto"/>
              <w:ind w:left="184"/>
            </w:pPr>
            <w:r>
              <w:rPr>
                <w:spacing w:val="-2"/>
              </w:rPr>
              <w:t>浓度限值</w:t>
            </w:r>
          </w:p>
        </w:tc>
        <w:tc>
          <w:tcPr>
            <w:tcW w:w="879" w:type="dxa"/>
            <w:vAlign w:val="top"/>
          </w:tcPr>
          <w:p w14:paraId="75DA15D5">
            <w:pPr>
              <w:pStyle w:val="6"/>
              <w:spacing w:before="57" w:line="212" w:lineRule="auto"/>
              <w:ind w:left="216"/>
            </w:pPr>
            <w:r>
              <w:rPr>
                <w:spacing w:val="-3"/>
              </w:rPr>
              <w:t>单位</w:t>
            </w:r>
          </w:p>
        </w:tc>
        <w:tc>
          <w:tcPr>
            <w:tcW w:w="2722" w:type="dxa"/>
            <w:gridSpan w:val="6"/>
            <w:vAlign w:val="top"/>
          </w:tcPr>
          <w:p w14:paraId="0A1E3767">
            <w:pPr>
              <w:pStyle w:val="6"/>
              <w:spacing w:before="56" w:line="213" w:lineRule="auto"/>
              <w:ind w:left="917"/>
            </w:pPr>
            <w:r>
              <w:rPr>
                <w:spacing w:val="-2"/>
              </w:rPr>
              <w:t>执行标准</w:t>
            </w:r>
          </w:p>
        </w:tc>
      </w:tr>
      <w:tr w14:paraId="28EAA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704" w:type="dxa"/>
            <w:vMerge w:val="continue"/>
            <w:tcBorders>
              <w:top w:val="nil"/>
              <w:bottom w:val="nil"/>
            </w:tcBorders>
            <w:textDirection w:val="tbRlV"/>
            <w:vAlign w:val="top"/>
          </w:tcPr>
          <w:p w14:paraId="0C4C101C">
            <w:pPr>
              <w:rPr>
                <w:rFonts w:ascii="Arial"/>
                <w:sz w:val="21"/>
              </w:rPr>
            </w:pPr>
          </w:p>
        </w:tc>
        <w:tc>
          <w:tcPr>
            <w:tcW w:w="120" w:type="dxa"/>
            <w:tcBorders>
              <w:top w:val="nil"/>
              <w:bottom w:val="nil"/>
            </w:tcBorders>
            <w:vAlign w:val="top"/>
          </w:tcPr>
          <w:p w14:paraId="485CB676">
            <w:pPr>
              <w:rPr>
                <w:rFonts w:ascii="Arial"/>
                <w:sz w:val="21"/>
              </w:rPr>
            </w:pPr>
          </w:p>
        </w:tc>
        <w:tc>
          <w:tcPr>
            <w:tcW w:w="1459" w:type="dxa"/>
            <w:gridSpan w:val="4"/>
            <w:vMerge w:val="restart"/>
            <w:tcBorders>
              <w:bottom w:val="nil"/>
            </w:tcBorders>
            <w:vAlign w:val="top"/>
          </w:tcPr>
          <w:p w14:paraId="1E443941">
            <w:pPr>
              <w:spacing w:line="378" w:lineRule="auto"/>
              <w:rPr>
                <w:rFonts w:ascii="Arial"/>
                <w:sz w:val="21"/>
              </w:rPr>
            </w:pPr>
          </w:p>
          <w:p w14:paraId="37CDCD58">
            <w:pPr>
              <w:pStyle w:val="6"/>
              <w:spacing w:before="71" w:line="183" w:lineRule="auto"/>
              <w:ind w:left="501"/>
              <w:rPr>
                <w:rFonts w:ascii="Calibri" w:hAnsi="Calibri" w:eastAsia="Calibri" w:cs="Calibri"/>
              </w:rPr>
            </w:pPr>
            <w:r>
              <w:rPr>
                <w:spacing w:val="-4"/>
              </w:rPr>
              <w:t>SO</w:t>
            </w:r>
            <w:r>
              <w:rPr>
                <w:rFonts w:ascii="Calibri" w:hAnsi="Calibri" w:eastAsia="Calibri" w:cs="Calibri"/>
                <w:spacing w:val="-4"/>
              </w:rPr>
              <w:t>₂</w:t>
            </w:r>
          </w:p>
        </w:tc>
        <w:tc>
          <w:tcPr>
            <w:tcW w:w="2198" w:type="dxa"/>
            <w:gridSpan w:val="3"/>
            <w:vAlign w:val="top"/>
          </w:tcPr>
          <w:p w14:paraId="72611458">
            <w:pPr>
              <w:pStyle w:val="6"/>
              <w:spacing w:before="76" w:line="215" w:lineRule="auto"/>
              <w:ind w:left="762"/>
            </w:pPr>
            <w:r>
              <w:rPr>
                <w:spacing w:val="4"/>
              </w:rPr>
              <w:t>年平均</w:t>
            </w:r>
          </w:p>
        </w:tc>
        <w:tc>
          <w:tcPr>
            <w:tcW w:w="1258" w:type="dxa"/>
            <w:gridSpan w:val="2"/>
            <w:vAlign w:val="top"/>
          </w:tcPr>
          <w:p w14:paraId="419291B6">
            <w:pPr>
              <w:pStyle w:val="6"/>
              <w:spacing w:before="99" w:line="196" w:lineRule="auto"/>
              <w:ind w:left="514"/>
            </w:pPr>
            <w:r>
              <w:rPr>
                <w:spacing w:val="-3"/>
              </w:rPr>
              <w:t>60</w:t>
            </w:r>
          </w:p>
        </w:tc>
        <w:tc>
          <w:tcPr>
            <w:tcW w:w="879" w:type="dxa"/>
            <w:vAlign w:val="top"/>
          </w:tcPr>
          <w:p w14:paraId="37F0B7D5">
            <w:pPr>
              <w:pStyle w:val="6"/>
              <w:spacing w:before="69" w:line="214" w:lineRule="auto"/>
              <w:ind w:left="46"/>
            </w:pPr>
            <w:r>
              <w:rPr>
                <w:spacing w:val="-11"/>
              </w:rPr>
              <w:t>μg/m³</w:t>
            </w:r>
          </w:p>
        </w:tc>
        <w:tc>
          <w:tcPr>
            <w:tcW w:w="2722" w:type="dxa"/>
            <w:gridSpan w:val="6"/>
            <w:vMerge w:val="restart"/>
            <w:tcBorders>
              <w:bottom w:val="nil"/>
            </w:tcBorders>
            <w:vAlign w:val="top"/>
          </w:tcPr>
          <w:p w14:paraId="515104EB">
            <w:pPr>
              <w:spacing w:line="285" w:lineRule="auto"/>
              <w:rPr>
                <w:rFonts w:ascii="Arial"/>
                <w:sz w:val="21"/>
              </w:rPr>
            </w:pPr>
          </w:p>
          <w:p w14:paraId="0AEE322C">
            <w:pPr>
              <w:spacing w:line="286" w:lineRule="auto"/>
              <w:rPr>
                <w:rFonts w:ascii="Arial"/>
                <w:sz w:val="21"/>
              </w:rPr>
            </w:pPr>
          </w:p>
          <w:p w14:paraId="1B6D52AE">
            <w:pPr>
              <w:pStyle w:val="6"/>
              <w:spacing w:before="72" w:line="220" w:lineRule="auto"/>
              <w:ind w:left="306" w:right="272" w:hanging="49"/>
            </w:pPr>
            <w:r>
              <w:rPr>
                <w:spacing w:val="-2"/>
              </w:rPr>
              <w:t>《环境空气质量标准》</w:t>
            </w:r>
            <w:r>
              <w:t xml:space="preserve"> </w:t>
            </w:r>
            <w:r>
              <w:rPr>
                <w:spacing w:val="1"/>
              </w:rPr>
              <w:t>(</w:t>
            </w:r>
            <w:r>
              <w:t>GB</w:t>
            </w:r>
            <w:r>
              <w:rPr>
                <w:spacing w:val="1"/>
              </w:rPr>
              <w:t>3095-2012)二类区</w:t>
            </w:r>
          </w:p>
        </w:tc>
      </w:tr>
      <w:tr w14:paraId="6AEBB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vMerge w:val="continue"/>
            <w:tcBorders>
              <w:top w:val="nil"/>
              <w:bottom w:val="nil"/>
            </w:tcBorders>
            <w:textDirection w:val="tbRlV"/>
            <w:vAlign w:val="top"/>
          </w:tcPr>
          <w:p w14:paraId="063185C0">
            <w:pPr>
              <w:rPr>
                <w:rFonts w:ascii="Arial"/>
                <w:sz w:val="21"/>
              </w:rPr>
            </w:pPr>
          </w:p>
        </w:tc>
        <w:tc>
          <w:tcPr>
            <w:tcW w:w="120" w:type="dxa"/>
            <w:tcBorders>
              <w:top w:val="nil"/>
              <w:bottom w:val="nil"/>
            </w:tcBorders>
            <w:vAlign w:val="top"/>
          </w:tcPr>
          <w:p w14:paraId="650E0422">
            <w:pPr>
              <w:rPr>
                <w:rFonts w:ascii="Arial"/>
                <w:sz w:val="21"/>
              </w:rPr>
            </w:pPr>
          </w:p>
        </w:tc>
        <w:tc>
          <w:tcPr>
            <w:tcW w:w="1459" w:type="dxa"/>
            <w:gridSpan w:val="4"/>
            <w:vMerge w:val="continue"/>
            <w:tcBorders>
              <w:top w:val="nil"/>
              <w:bottom w:val="nil"/>
            </w:tcBorders>
            <w:vAlign w:val="top"/>
          </w:tcPr>
          <w:p w14:paraId="3BC1AEF9">
            <w:pPr>
              <w:rPr>
                <w:rFonts w:ascii="Arial"/>
                <w:sz w:val="21"/>
              </w:rPr>
            </w:pPr>
          </w:p>
        </w:tc>
        <w:tc>
          <w:tcPr>
            <w:tcW w:w="2198" w:type="dxa"/>
            <w:gridSpan w:val="3"/>
            <w:vAlign w:val="top"/>
          </w:tcPr>
          <w:p w14:paraId="2945CAA1">
            <w:pPr>
              <w:pStyle w:val="6"/>
              <w:spacing w:before="64" w:line="206" w:lineRule="auto"/>
              <w:ind w:left="542"/>
            </w:pPr>
            <w:r>
              <w:rPr>
                <w:spacing w:val="2"/>
              </w:rPr>
              <w:t>24小时平均</w:t>
            </w:r>
          </w:p>
        </w:tc>
        <w:tc>
          <w:tcPr>
            <w:tcW w:w="1258" w:type="dxa"/>
            <w:gridSpan w:val="2"/>
            <w:vAlign w:val="top"/>
          </w:tcPr>
          <w:p w14:paraId="6D06D585">
            <w:pPr>
              <w:pStyle w:val="6"/>
              <w:spacing w:before="85" w:line="188" w:lineRule="auto"/>
              <w:ind w:left="454"/>
            </w:pPr>
            <w:r>
              <w:rPr>
                <w:spacing w:val="-6"/>
              </w:rPr>
              <w:t>150</w:t>
            </w:r>
          </w:p>
        </w:tc>
        <w:tc>
          <w:tcPr>
            <w:tcW w:w="879" w:type="dxa"/>
            <w:vAlign w:val="top"/>
          </w:tcPr>
          <w:p w14:paraId="58F0583D">
            <w:pPr>
              <w:pStyle w:val="6"/>
              <w:spacing w:before="57" w:line="212" w:lineRule="auto"/>
              <w:ind w:left="46"/>
            </w:pPr>
            <w:r>
              <w:rPr>
                <w:spacing w:val="-11"/>
              </w:rPr>
              <w:t>μg/m³</w:t>
            </w:r>
          </w:p>
        </w:tc>
        <w:tc>
          <w:tcPr>
            <w:tcW w:w="2722" w:type="dxa"/>
            <w:gridSpan w:val="6"/>
            <w:vMerge w:val="continue"/>
            <w:tcBorders>
              <w:top w:val="nil"/>
              <w:bottom w:val="nil"/>
            </w:tcBorders>
            <w:vAlign w:val="top"/>
          </w:tcPr>
          <w:p w14:paraId="43A1E307">
            <w:pPr>
              <w:rPr>
                <w:rFonts w:ascii="Arial"/>
                <w:sz w:val="21"/>
              </w:rPr>
            </w:pPr>
          </w:p>
        </w:tc>
      </w:tr>
      <w:tr w14:paraId="339EB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704" w:type="dxa"/>
            <w:vMerge w:val="continue"/>
            <w:tcBorders>
              <w:top w:val="nil"/>
              <w:bottom w:val="nil"/>
            </w:tcBorders>
            <w:textDirection w:val="tbRlV"/>
            <w:vAlign w:val="top"/>
          </w:tcPr>
          <w:p w14:paraId="5330E860">
            <w:pPr>
              <w:rPr>
                <w:rFonts w:ascii="Arial"/>
                <w:sz w:val="21"/>
              </w:rPr>
            </w:pPr>
          </w:p>
        </w:tc>
        <w:tc>
          <w:tcPr>
            <w:tcW w:w="120" w:type="dxa"/>
            <w:tcBorders>
              <w:top w:val="nil"/>
              <w:bottom w:val="nil"/>
            </w:tcBorders>
            <w:vAlign w:val="top"/>
          </w:tcPr>
          <w:p w14:paraId="029B3C80">
            <w:pPr>
              <w:rPr>
                <w:rFonts w:ascii="Arial"/>
                <w:sz w:val="21"/>
              </w:rPr>
            </w:pPr>
          </w:p>
        </w:tc>
        <w:tc>
          <w:tcPr>
            <w:tcW w:w="1459" w:type="dxa"/>
            <w:gridSpan w:val="4"/>
            <w:vMerge w:val="continue"/>
            <w:tcBorders>
              <w:top w:val="nil"/>
            </w:tcBorders>
            <w:vAlign w:val="top"/>
          </w:tcPr>
          <w:p w14:paraId="2980067E">
            <w:pPr>
              <w:rPr>
                <w:rFonts w:ascii="Arial"/>
                <w:sz w:val="21"/>
              </w:rPr>
            </w:pPr>
          </w:p>
        </w:tc>
        <w:tc>
          <w:tcPr>
            <w:tcW w:w="2198" w:type="dxa"/>
            <w:gridSpan w:val="3"/>
            <w:vAlign w:val="top"/>
          </w:tcPr>
          <w:p w14:paraId="49C8E4F8">
            <w:pPr>
              <w:pStyle w:val="6"/>
              <w:spacing w:before="85" w:line="219" w:lineRule="auto"/>
              <w:ind w:left="592"/>
            </w:pPr>
            <w:r>
              <w:rPr>
                <w:spacing w:val="2"/>
              </w:rPr>
              <w:t>1小时平均</w:t>
            </w:r>
          </w:p>
        </w:tc>
        <w:tc>
          <w:tcPr>
            <w:tcW w:w="1258" w:type="dxa"/>
            <w:gridSpan w:val="2"/>
            <w:vAlign w:val="top"/>
          </w:tcPr>
          <w:p w14:paraId="0BEB21EE">
            <w:pPr>
              <w:pStyle w:val="6"/>
              <w:spacing w:before="106" w:line="201" w:lineRule="auto"/>
              <w:ind w:left="454"/>
            </w:pPr>
            <w:r>
              <w:rPr>
                <w:spacing w:val="-3"/>
              </w:rPr>
              <w:t>500</w:t>
            </w:r>
          </w:p>
        </w:tc>
        <w:tc>
          <w:tcPr>
            <w:tcW w:w="879" w:type="dxa"/>
            <w:vAlign w:val="top"/>
          </w:tcPr>
          <w:p w14:paraId="465A4C17">
            <w:pPr>
              <w:pStyle w:val="6"/>
              <w:spacing w:before="76" w:line="214" w:lineRule="auto"/>
              <w:ind w:left="46"/>
            </w:pPr>
            <w:r>
              <w:rPr>
                <w:spacing w:val="-11"/>
              </w:rPr>
              <w:t>μg/m³</w:t>
            </w:r>
          </w:p>
        </w:tc>
        <w:tc>
          <w:tcPr>
            <w:tcW w:w="2722" w:type="dxa"/>
            <w:gridSpan w:val="6"/>
            <w:vMerge w:val="continue"/>
            <w:tcBorders>
              <w:top w:val="nil"/>
              <w:bottom w:val="nil"/>
            </w:tcBorders>
            <w:vAlign w:val="top"/>
          </w:tcPr>
          <w:p w14:paraId="5D037AF2">
            <w:pPr>
              <w:rPr>
                <w:rFonts w:ascii="Arial"/>
                <w:sz w:val="21"/>
              </w:rPr>
            </w:pPr>
          </w:p>
        </w:tc>
      </w:tr>
      <w:tr w14:paraId="19C5F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704" w:type="dxa"/>
            <w:vMerge w:val="continue"/>
            <w:tcBorders>
              <w:top w:val="nil"/>
              <w:bottom w:val="nil"/>
            </w:tcBorders>
            <w:textDirection w:val="tbRlV"/>
            <w:vAlign w:val="top"/>
          </w:tcPr>
          <w:p w14:paraId="38CABCD2">
            <w:pPr>
              <w:rPr>
                <w:rFonts w:ascii="Arial"/>
                <w:sz w:val="21"/>
              </w:rPr>
            </w:pPr>
          </w:p>
        </w:tc>
        <w:tc>
          <w:tcPr>
            <w:tcW w:w="120" w:type="dxa"/>
            <w:tcBorders>
              <w:top w:val="nil"/>
              <w:bottom w:val="nil"/>
            </w:tcBorders>
            <w:vAlign w:val="top"/>
          </w:tcPr>
          <w:p w14:paraId="7515FC44">
            <w:pPr>
              <w:rPr>
                <w:rFonts w:ascii="Arial"/>
                <w:sz w:val="21"/>
              </w:rPr>
            </w:pPr>
          </w:p>
        </w:tc>
        <w:tc>
          <w:tcPr>
            <w:tcW w:w="1459" w:type="dxa"/>
            <w:gridSpan w:val="4"/>
            <w:vMerge w:val="restart"/>
            <w:tcBorders>
              <w:bottom w:val="nil"/>
            </w:tcBorders>
            <w:vAlign w:val="top"/>
          </w:tcPr>
          <w:p w14:paraId="375770E8">
            <w:pPr>
              <w:pStyle w:val="6"/>
              <w:spacing w:before="273" w:line="183" w:lineRule="auto"/>
              <w:ind w:left="501"/>
              <w:rPr>
                <w:rFonts w:ascii="Calibri" w:hAnsi="Calibri" w:eastAsia="Calibri" w:cs="Calibri"/>
              </w:rPr>
            </w:pPr>
            <w:r>
              <w:rPr>
                <w:spacing w:val="-1"/>
              </w:rPr>
              <w:t>NO</w:t>
            </w:r>
            <w:r>
              <w:rPr>
                <w:rFonts w:ascii="Calibri" w:hAnsi="Calibri" w:eastAsia="Calibri" w:cs="Calibri"/>
                <w:spacing w:val="-1"/>
              </w:rPr>
              <w:t>₂</w:t>
            </w:r>
          </w:p>
        </w:tc>
        <w:tc>
          <w:tcPr>
            <w:tcW w:w="2198" w:type="dxa"/>
            <w:gridSpan w:val="3"/>
            <w:vAlign w:val="top"/>
          </w:tcPr>
          <w:p w14:paraId="12E9F5DD">
            <w:pPr>
              <w:pStyle w:val="6"/>
              <w:spacing w:before="68" w:line="208" w:lineRule="auto"/>
              <w:ind w:left="762"/>
            </w:pPr>
            <w:r>
              <w:rPr>
                <w:spacing w:val="4"/>
              </w:rPr>
              <w:t>年平均</w:t>
            </w:r>
          </w:p>
        </w:tc>
        <w:tc>
          <w:tcPr>
            <w:tcW w:w="1258" w:type="dxa"/>
            <w:gridSpan w:val="2"/>
            <w:vAlign w:val="top"/>
          </w:tcPr>
          <w:p w14:paraId="7BE6DCB3">
            <w:pPr>
              <w:pStyle w:val="6"/>
              <w:spacing w:before="89" w:line="190" w:lineRule="auto"/>
              <w:ind w:left="514"/>
            </w:pPr>
            <w:r>
              <w:rPr>
                <w:spacing w:val="-2"/>
              </w:rPr>
              <w:t>40</w:t>
            </w:r>
          </w:p>
        </w:tc>
        <w:tc>
          <w:tcPr>
            <w:tcW w:w="879" w:type="dxa"/>
            <w:vAlign w:val="top"/>
          </w:tcPr>
          <w:p w14:paraId="5484F197">
            <w:pPr>
              <w:pStyle w:val="6"/>
              <w:spacing w:before="60" w:line="214" w:lineRule="auto"/>
              <w:ind w:left="46"/>
            </w:pPr>
            <w:r>
              <w:rPr>
                <w:spacing w:val="-11"/>
              </w:rPr>
              <w:t>μg/m³</w:t>
            </w:r>
          </w:p>
        </w:tc>
        <w:tc>
          <w:tcPr>
            <w:tcW w:w="2722" w:type="dxa"/>
            <w:gridSpan w:val="6"/>
            <w:vMerge w:val="continue"/>
            <w:tcBorders>
              <w:top w:val="nil"/>
              <w:bottom w:val="nil"/>
            </w:tcBorders>
            <w:vAlign w:val="top"/>
          </w:tcPr>
          <w:p w14:paraId="75154CA5">
            <w:pPr>
              <w:rPr>
                <w:rFonts w:ascii="Arial"/>
                <w:sz w:val="21"/>
              </w:rPr>
            </w:pPr>
          </w:p>
        </w:tc>
      </w:tr>
      <w:tr w14:paraId="5E6DB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704" w:type="dxa"/>
            <w:vMerge w:val="continue"/>
            <w:tcBorders>
              <w:top w:val="nil"/>
            </w:tcBorders>
            <w:textDirection w:val="tbRlV"/>
            <w:vAlign w:val="top"/>
          </w:tcPr>
          <w:p w14:paraId="786C0F9C">
            <w:pPr>
              <w:rPr>
                <w:rFonts w:ascii="Arial"/>
                <w:sz w:val="21"/>
              </w:rPr>
            </w:pPr>
          </w:p>
        </w:tc>
        <w:tc>
          <w:tcPr>
            <w:tcW w:w="120" w:type="dxa"/>
            <w:tcBorders>
              <w:top w:val="nil"/>
            </w:tcBorders>
            <w:vAlign w:val="top"/>
          </w:tcPr>
          <w:p w14:paraId="0A0E42B9">
            <w:pPr>
              <w:rPr>
                <w:rFonts w:ascii="Arial"/>
                <w:sz w:val="21"/>
              </w:rPr>
            </w:pPr>
          </w:p>
        </w:tc>
        <w:tc>
          <w:tcPr>
            <w:tcW w:w="1459" w:type="dxa"/>
            <w:gridSpan w:val="4"/>
            <w:vMerge w:val="continue"/>
            <w:tcBorders>
              <w:top w:val="nil"/>
            </w:tcBorders>
            <w:vAlign w:val="top"/>
          </w:tcPr>
          <w:p w14:paraId="74EF44E7">
            <w:pPr>
              <w:rPr>
                <w:rFonts w:ascii="Arial"/>
                <w:sz w:val="21"/>
              </w:rPr>
            </w:pPr>
          </w:p>
        </w:tc>
        <w:tc>
          <w:tcPr>
            <w:tcW w:w="2198" w:type="dxa"/>
            <w:gridSpan w:val="3"/>
            <w:vAlign w:val="top"/>
          </w:tcPr>
          <w:p w14:paraId="1A75A061">
            <w:pPr>
              <w:pStyle w:val="6"/>
              <w:spacing w:before="82" w:line="214" w:lineRule="auto"/>
              <w:ind w:left="542"/>
            </w:pPr>
            <w:r>
              <w:rPr>
                <w:spacing w:val="2"/>
              </w:rPr>
              <w:t>24小时平均</w:t>
            </w:r>
          </w:p>
        </w:tc>
        <w:tc>
          <w:tcPr>
            <w:tcW w:w="1258" w:type="dxa"/>
            <w:gridSpan w:val="2"/>
            <w:vAlign w:val="top"/>
          </w:tcPr>
          <w:p w14:paraId="1D0879AF">
            <w:pPr>
              <w:pStyle w:val="6"/>
              <w:spacing w:before="104" w:line="196" w:lineRule="auto"/>
              <w:ind w:left="514"/>
            </w:pPr>
            <w:r>
              <w:rPr>
                <w:spacing w:val="-3"/>
              </w:rPr>
              <w:t>80</w:t>
            </w:r>
          </w:p>
        </w:tc>
        <w:tc>
          <w:tcPr>
            <w:tcW w:w="879" w:type="dxa"/>
            <w:vAlign w:val="top"/>
          </w:tcPr>
          <w:p w14:paraId="500131EC">
            <w:pPr>
              <w:pStyle w:val="6"/>
              <w:spacing w:before="74" w:line="214" w:lineRule="auto"/>
              <w:ind w:left="46"/>
            </w:pPr>
            <w:r>
              <w:rPr>
                <w:spacing w:val="-11"/>
              </w:rPr>
              <w:t>μg/m³</w:t>
            </w:r>
          </w:p>
        </w:tc>
        <w:tc>
          <w:tcPr>
            <w:tcW w:w="2722" w:type="dxa"/>
            <w:gridSpan w:val="6"/>
            <w:vMerge w:val="continue"/>
            <w:tcBorders>
              <w:top w:val="nil"/>
            </w:tcBorders>
            <w:vAlign w:val="top"/>
          </w:tcPr>
          <w:p w14:paraId="28EE672A">
            <w:pPr>
              <w:rPr>
                <w:rFonts w:ascii="Arial"/>
                <w:sz w:val="21"/>
              </w:rPr>
            </w:pPr>
          </w:p>
        </w:tc>
      </w:tr>
    </w:tbl>
    <w:p w14:paraId="0AF623CD">
      <w:pPr>
        <w:pStyle w:val="2"/>
      </w:pPr>
    </w:p>
    <w:p w14:paraId="13C532E8">
      <w:pPr>
        <w:sectPr>
          <w:footerReference r:id="rId119" w:type="default"/>
          <w:pgSz w:w="11910" w:h="16830"/>
          <w:pgMar w:top="400" w:right="1344" w:bottom="1245" w:left="1214" w:header="0" w:footer="1083" w:gutter="0"/>
          <w:cols w:space="720" w:num="1"/>
        </w:sectPr>
      </w:pPr>
    </w:p>
    <w:p w14:paraId="438E98F4">
      <w:pPr>
        <w:spacing w:before="18"/>
      </w:pPr>
      <w:r>
        <w:pict>
          <v:shape id="_x0000_s1096" o:spid="_x0000_s1096" style="position:absolute;left:0pt;margin-left:100.75pt;margin-top:71.95pt;height:192.55pt;width:0.5pt;mso-position-horizontal-relative:page;mso-position-vertical-relative:page;z-index:-251620352;mso-width-relative:page;mso-height-relative:page;" filled="f" stroked="t" coordsize="10,3851" o:allowincell="f" path="m5,0l5,3850e">
            <v:fill on="f" focussize="0,0"/>
            <v:stroke weight="0.5pt" color="#000000" miterlimit="10" joinstyle="miter"/>
            <v:imagedata o:title=""/>
            <o:lock v:ext="edit"/>
          </v:shape>
        </w:pict>
      </w:r>
    </w:p>
    <w:p w14:paraId="0F1FC8B8">
      <w:pPr>
        <w:spacing w:before="17"/>
      </w:pPr>
    </w:p>
    <w:p w14:paraId="0EB3F36E">
      <w:pPr>
        <w:spacing w:before="17"/>
      </w:pPr>
    </w:p>
    <w:p w14:paraId="12D76BB6">
      <w:pPr>
        <w:spacing w:before="17"/>
      </w:pPr>
    </w:p>
    <w:tbl>
      <w:tblPr>
        <w:tblStyle w:val="5"/>
        <w:tblW w:w="94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110"/>
        <w:gridCol w:w="1478"/>
        <w:gridCol w:w="2188"/>
        <w:gridCol w:w="1229"/>
        <w:gridCol w:w="899"/>
        <w:gridCol w:w="2707"/>
        <w:gridCol w:w="105"/>
      </w:tblGrid>
      <w:tr w14:paraId="5864E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694" w:type="dxa"/>
            <w:vMerge w:val="restart"/>
            <w:tcBorders>
              <w:bottom w:val="nil"/>
            </w:tcBorders>
            <w:vAlign w:val="top"/>
          </w:tcPr>
          <w:p w14:paraId="6E7B4286">
            <w:pPr>
              <w:rPr>
                <w:rFonts w:ascii="Arial"/>
                <w:sz w:val="21"/>
              </w:rPr>
            </w:pPr>
          </w:p>
        </w:tc>
        <w:tc>
          <w:tcPr>
            <w:tcW w:w="1588" w:type="dxa"/>
            <w:gridSpan w:val="2"/>
            <w:vAlign w:val="top"/>
          </w:tcPr>
          <w:p w14:paraId="55DDC1EE">
            <w:pPr>
              <w:rPr>
                <w:rFonts w:ascii="Arial"/>
                <w:sz w:val="21"/>
              </w:rPr>
            </w:pPr>
            <w:r>
              <w:pict>
                <v:shape id="_x0000_s1097" o:spid="_x0000_s1097" style="position:absolute;left:0pt;margin-left:5.1pt;margin-top:0.25pt;height:17.55pt;width:0.5pt;mso-position-horizontal-relative:page;mso-position-vertical-relative:page;z-index:-251619328;mso-width-relative:page;mso-height-relative:page;" filled="f" stroked="t" coordsize="10,350" path="m5,0l5,350e">
                  <v:fill on="f" focussize="0,0"/>
                  <v:stroke weight="0.5pt" color="#000000" miterlimit="10" joinstyle="miter"/>
                  <v:imagedata o:title=""/>
                  <o:lock v:ext="edit"/>
                </v:shape>
              </w:pict>
            </w:r>
          </w:p>
        </w:tc>
        <w:tc>
          <w:tcPr>
            <w:tcW w:w="2188" w:type="dxa"/>
            <w:vAlign w:val="top"/>
          </w:tcPr>
          <w:p w14:paraId="716606C4">
            <w:pPr>
              <w:pStyle w:val="6"/>
              <w:spacing w:before="65" w:line="213" w:lineRule="auto"/>
              <w:ind w:left="563"/>
              <w:rPr>
                <w:sz w:val="23"/>
                <w:szCs w:val="23"/>
              </w:rPr>
            </w:pPr>
            <w:r>
              <w:rPr>
                <w:spacing w:val="4"/>
                <w:sz w:val="23"/>
                <w:szCs w:val="23"/>
              </w:rPr>
              <w:t>1小时平均</w:t>
            </w:r>
          </w:p>
        </w:tc>
        <w:tc>
          <w:tcPr>
            <w:tcW w:w="1229" w:type="dxa"/>
            <w:vAlign w:val="top"/>
          </w:tcPr>
          <w:p w14:paraId="475CE8A2">
            <w:pPr>
              <w:pStyle w:val="6"/>
              <w:spacing w:before="86" w:line="196" w:lineRule="auto"/>
              <w:ind w:left="435"/>
              <w:rPr>
                <w:sz w:val="23"/>
                <w:szCs w:val="23"/>
              </w:rPr>
            </w:pPr>
            <w:r>
              <w:rPr>
                <w:spacing w:val="-3"/>
                <w:sz w:val="23"/>
                <w:szCs w:val="23"/>
              </w:rPr>
              <w:t>200</w:t>
            </w:r>
          </w:p>
        </w:tc>
        <w:tc>
          <w:tcPr>
            <w:tcW w:w="899" w:type="dxa"/>
            <w:vAlign w:val="top"/>
          </w:tcPr>
          <w:p w14:paraId="198B0517">
            <w:pPr>
              <w:pStyle w:val="6"/>
              <w:spacing w:before="56" w:line="214" w:lineRule="auto"/>
              <w:ind w:left="36"/>
              <w:rPr>
                <w:sz w:val="23"/>
                <w:szCs w:val="23"/>
              </w:rPr>
            </w:pPr>
            <w:r>
              <w:rPr>
                <w:spacing w:val="-11"/>
                <w:sz w:val="23"/>
                <w:szCs w:val="23"/>
              </w:rPr>
              <w:t>μg/m³</w:t>
            </w:r>
          </w:p>
        </w:tc>
        <w:tc>
          <w:tcPr>
            <w:tcW w:w="2707" w:type="dxa"/>
            <w:vMerge w:val="restart"/>
            <w:tcBorders>
              <w:bottom w:val="nil"/>
            </w:tcBorders>
            <w:vAlign w:val="top"/>
          </w:tcPr>
          <w:p w14:paraId="48EBEAB3">
            <w:pPr>
              <w:rPr>
                <w:rFonts w:ascii="Arial"/>
                <w:sz w:val="21"/>
              </w:rPr>
            </w:pPr>
          </w:p>
        </w:tc>
        <w:tc>
          <w:tcPr>
            <w:tcW w:w="105" w:type="dxa"/>
            <w:tcBorders>
              <w:bottom w:val="nil"/>
            </w:tcBorders>
            <w:shd w:val="clear" w:color="auto" w:fill="FFFFFF"/>
            <w:vAlign w:val="top"/>
          </w:tcPr>
          <w:p w14:paraId="62A84899">
            <w:pPr>
              <w:rPr>
                <w:rFonts w:ascii="Arial"/>
                <w:sz w:val="21"/>
              </w:rPr>
            </w:pPr>
          </w:p>
        </w:tc>
      </w:tr>
      <w:tr w14:paraId="40604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694" w:type="dxa"/>
            <w:vMerge w:val="continue"/>
            <w:tcBorders>
              <w:top w:val="nil"/>
              <w:bottom w:val="nil"/>
            </w:tcBorders>
            <w:vAlign w:val="top"/>
          </w:tcPr>
          <w:p w14:paraId="5682037B">
            <w:pPr>
              <w:rPr>
                <w:rFonts w:ascii="Arial"/>
                <w:sz w:val="21"/>
              </w:rPr>
            </w:pPr>
          </w:p>
        </w:tc>
        <w:tc>
          <w:tcPr>
            <w:tcW w:w="110" w:type="dxa"/>
            <w:vMerge w:val="restart"/>
            <w:tcBorders>
              <w:bottom w:val="nil"/>
            </w:tcBorders>
            <w:vAlign w:val="top"/>
          </w:tcPr>
          <w:p w14:paraId="0C36DA2D">
            <w:pPr>
              <w:rPr>
                <w:rFonts w:ascii="Arial"/>
                <w:sz w:val="21"/>
              </w:rPr>
            </w:pPr>
          </w:p>
        </w:tc>
        <w:tc>
          <w:tcPr>
            <w:tcW w:w="1478" w:type="dxa"/>
            <w:vMerge w:val="restart"/>
            <w:tcBorders>
              <w:bottom w:val="nil"/>
            </w:tcBorders>
            <w:vAlign w:val="top"/>
          </w:tcPr>
          <w:p w14:paraId="584BFB16">
            <w:pPr>
              <w:pStyle w:val="6"/>
              <w:spacing w:before="292" w:line="183" w:lineRule="auto"/>
              <w:ind w:left="611"/>
              <w:rPr>
                <w:sz w:val="23"/>
                <w:szCs w:val="23"/>
              </w:rPr>
            </w:pPr>
            <w:r>
              <w:rPr>
                <w:spacing w:val="-2"/>
                <w:sz w:val="23"/>
                <w:szCs w:val="23"/>
              </w:rPr>
              <w:t>CO</w:t>
            </w:r>
          </w:p>
        </w:tc>
        <w:tc>
          <w:tcPr>
            <w:tcW w:w="2188" w:type="dxa"/>
            <w:vAlign w:val="top"/>
          </w:tcPr>
          <w:p w14:paraId="091791BC">
            <w:pPr>
              <w:pStyle w:val="6"/>
              <w:spacing w:before="63" w:line="217" w:lineRule="auto"/>
              <w:ind w:left="513"/>
              <w:rPr>
                <w:sz w:val="23"/>
                <w:szCs w:val="23"/>
              </w:rPr>
            </w:pPr>
            <w:r>
              <w:rPr>
                <w:spacing w:val="2"/>
                <w:sz w:val="23"/>
                <w:szCs w:val="23"/>
              </w:rPr>
              <w:t>24小时平均</w:t>
            </w:r>
          </w:p>
        </w:tc>
        <w:tc>
          <w:tcPr>
            <w:tcW w:w="1229" w:type="dxa"/>
            <w:vAlign w:val="top"/>
          </w:tcPr>
          <w:p w14:paraId="6F6C4EBC">
            <w:pPr>
              <w:pStyle w:val="6"/>
              <w:spacing w:before="86" w:line="199" w:lineRule="auto"/>
              <w:ind w:left="545"/>
              <w:rPr>
                <w:sz w:val="23"/>
                <w:szCs w:val="23"/>
              </w:rPr>
            </w:pPr>
            <w:r>
              <w:rPr>
                <w:sz w:val="23"/>
                <w:szCs w:val="23"/>
              </w:rPr>
              <w:t>4</w:t>
            </w:r>
          </w:p>
        </w:tc>
        <w:tc>
          <w:tcPr>
            <w:tcW w:w="899" w:type="dxa"/>
            <w:vAlign w:val="top"/>
          </w:tcPr>
          <w:p w14:paraId="26945D31">
            <w:pPr>
              <w:pStyle w:val="6"/>
              <w:spacing w:before="55" w:line="214" w:lineRule="auto"/>
              <w:ind w:left="96"/>
              <w:rPr>
                <w:sz w:val="23"/>
                <w:szCs w:val="23"/>
              </w:rPr>
            </w:pPr>
            <w:r>
              <w:rPr>
                <w:spacing w:val="-1"/>
                <w:sz w:val="23"/>
                <w:szCs w:val="23"/>
              </w:rPr>
              <w:t>mg/m³</w:t>
            </w:r>
          </w:p>
        </w:tc>
        <w:tc>
          <w:tcPr>
            <w:tcW w:w="2707" w:type="dxa"/>
            <w:vMerge w:val="continue"/>
            <w:tcBorders>
              <w:top w:val="nil"/>
              <w:bottom w:val="nil"/>
            </w:tcBorders>
            <w:vAlign w:val="top"/>
          </w:tcPr>
          <w:p w14:paraId="002B5F8C">
            <w:pPr>
              <w:rPr>
                <w:rFonts w:ascii="Arial"/>
                <w:sz w:val="21"/>
              </w:rPr>
            </w:pPr>
          </w:p>
        </w:tc>
        <w:tc>
          <w:tcPr>
            <w:tcW w:w="105" w:type="dxa"/>
            <w:tcBorders>
              <w:top w:val="nil"/>
              <w:bottom w:val="nil"/>
            </w:tcBorders>
            <w:shd w:val="clear" w:color="auto" w:fill="FFFFFF"/>
            <w:vAlign w:val="top"/>
          </w:tcPr>
          <w:p w14:paraId="2C8D3394">
            <w:pPr>
              <w:rPr>
                <w:rFonts w:ascii="Arial"/>
                <w:sz w:val="21"/>
              </w:rPr>
            </w:pPr>
          </w:p>
        </w:tc>
      </w:tr>
      <w:tr w14:paraId="4F842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694" w:type="dxa"/>
            <w:vMerge w:val="continue"/>
            <w:tcBorders>
              <w:top w:val="nil"/>
              <w:bottom w:val="nil"/>
            </w:tcBorders>
            <w:vAlign w:val="top"/>
          </w:tcPr>
          <w:p w14:paraId="79CADCD7">
            <w:pPr>
              <w:rPr>
                <w:rFonts w:ascii="Arial"/>
                <w:sz w:val="21"/>
              </w:rPr>
            </w:pPr>
          </w:p>
        </w:tc>
        <w:tc>
          <w:tcPr>
            <w:tcW w:w="110" w:type="dxa"/>
            <w:vMerge w:val="continue"/>
            <w:tcBorders>
              <w:top w:val="nil"/>
            </w:tcBorders>
            <w:vAlign w:val="top"/>
          </w:tcPr>
          <w:p w14:paraId="4F05E123">
            <w:pPr>
              <w:rPr>
                <w:rFonts w:ascii="Arial"/>
                <w:sz w:val="21"/>
              </w:rPr>
            </w:pPr>
          </w:p>
        </w:tc>
        <w:tc>
          <w:tcPr>
            <w:tcW w:w="1478" w:type="dxa"/>
            <w:vMerge w:val="continue"/>
            <w:tcBorders>
              <w:top w:val="nil"/>
            </w:tcBorders>
            <w:vAlign w:val="top"/>
          </w:tcPr>
          <w:p w14:paraId="1FCFEFCA">
            <w:pPr>
              <w:rPr>
                <w:rFonts w:ascii="Arial"/>
                <w:sz w:val="21"/>
              </w:rPr>
            </w:pPr>
          </w:p>
        </w:tc>
        <w:tc>
          <w:tcPr>
            <w:tcW w:w="2188" w:type="dxa"/>
            <w:vAlign w:val="top"/>
          </w:tcPr>
          <w:p w14:paraId="2E099120">
            <w:pPr>
              <w:pStyle w:val="6"/>
              <w:spacing w:before="60" w:line="203" w:lineRule="auto"/>
              <w:ind w:left="563"/>
              <w:rPr>
                <w:sz w:val="23"/>
                <w:szCs w:val="23"/>
              </w:rPr>
            </w:pPr>
            <w:r>
              <w:rPr>
                <w:spacing w:val="4"/>
                <w:sz w:val="23"/>
                <w:szCs w:val="23"/>
              </w:rPr>
              <w:t>1小时平均</w:t>
            </w:r>
          </w:p>
        </w:tc>
        <w:tc>
          <w:tcPr>
            <w:tcW w:w="1229" w:type="dxa"/>
            <w:vAlign w:val="top"/>
          </w:tcPr>
          <w:p w14:paraId="5C82D017">
            <w:pPr>
              <w:pStyle w:val="6"/>
              <w:spacing w:before="82" w:line="185" w:lineRule="auto"/>
              <w:ind w:left="495"/>
              <w:rPr>
                <w:sz w:val="23"/>
                <w:szCs w:val="23"/>
              </w:rPr>
            </w:pPr>
            <w:r>
              <w:rPr>
                <w:spacing w:val="-7"/>
                <w:sz w:val="23"/>
                <w:szCs w:val="23"/>
              </w:rPr>
              <w:t>10</w:t>
            </w:r>
          </w:p>
        </w:tc>
        <w:tc>
          <w:tcPr>
            <w:tcW w:w="899" w:type="dxa"/>
            <w:vAlign w:val="top"/>
          </w:tcPr>
          <w:p w14:paraId="4FFB57E7">
            <w:pPr>
              <w:pStyle w:val="6"/>
              <w:spacing w:before="52" w:line="209" w:lineRule="auto"/>
              <w:ind w:left="96"/>
              <w:rPr>
                <w:sz w:val="23"/>
                <w:szCs w:val="23"/>
              </w:rPr>
            </w:pPr>
            <w:r>
              <w:rPr>
                <w:spacing w:val="-1"/>
                <w:sz w:val="23"/>
                <w:szCs w:val="23"/>
              </w:rPr>
              <w:t>mg/m³</w:t>
            </w:r>
          </w:p>
        </w:tc>
        <w:tc>
          <w:tcPr>
            <w:tcW w:w="2707" w:type="dxa"/>
            <w:vMerge w:val="continue"/>
            <w:tcBorders>
              <w:top w:val="nil"/>
              <w:bottom w:val="nil"/>
            </w:tcBorders>
            <w:vAlign w:val="top"/>
          </w:tcPr>
          <w:p w14:paraId="3AFACCBD">
            <w:pPr>
              <w:rPr>
                <w:rFonts w:ascii="Arial"/>
                <w:sz w:val="21"/>
              </w:rPr>
            </w:pPr>
          </w:p>
        </w:tc>
        <w:tc>
          <w:tcPr>
            <w:tcW w:w="105" w:type="dxa"/>
            <w:tcBorders>
              <w:top w:val="nil"/>
              <w:bottom w:val="nil"/>
            </w:tcBorders>
            <w:shd w:val="clear" w:color="auto" w:fill="FFFFFF"/>
            <w:vAlign w:val="top"/>
          </w:tcPr>
          <w:p w14:paraId="703F9156">
            <w:pPr>
              <w:rPr>
                <w:rFonts w:ascii="Arial"/>
                <w:sz w:val="21"/>
              </w:rPr>
            </w:pPr>
          </w:p>
        </w:tc>
      </w:tr>
      <w:tr w14:paraId="62185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694" w:type="dxa"/>
            <w:vMerge w:val="continue"/>
            <w:tcBorders>
              <w:top w:val="nil"/>
              <w:bottom w:val="nil"/>
            </w:tcBorders>
            <w:vAlign w:val="top"/>
          </w:tcPr>
          <w:p w14:paraId="7D1F3178">
            <w:pPr>
              <w:rPr>
                <w:rFonts w:ascii="Arial"/>
                <w:sz w:val="21"/>
              </w:rPr>
            </w:pPr>
          </w:p>
        </w:tc>
        <w:tc>
          <w:tcPr>
            <w:tcW w:w="110" w:type="dxa"/>
            <w:vMerge w:val="restart"/>
            <w:tcBorders>
              <w:bottom w:val="nil"/>
            </w:tcBorders>
            <w:vAlign w:val="top"/>
          </w:tcPr>
          <w:p w14:paraId="0E0F09C5">
            <w:pPr>
              <w:rPr>
                <w:rFonts w:ascii="Arial"/>
                <w:sz w:val="21"/>
              </w:rPr>
            </w:pPr>
          </w:p>
        </w:tc>
        <w:tc>
          <w:tcPr>
            <w:tcW w:w="1478" w:type="dxa"/>
            <w:vMerge w:val="restart"/>
            <w:tcBorders>
              <w:bottom w:val="nil"/>
            </w:tcBorders>
            <w:vAlign w:val="top"/>
          </w:tcPr>
          <w:p w14:paraId="35B4FD72">
            <w:pPr>
              <w:pStyle w:val="6"/>
              <w:spacing w:before="281" w:line="183" w:lineRule="auto"/>
              <w:ind w:left="551"/>
              <w:rPr>
                <w:rFonts w:ascii="Calibri" w:hAnsi="Calibri" w:eastAsia="Calibri" w:cs="Calibri"/>
                <w:sz w:val="23"/>
                <w:szCs w:val="23"/>
              </w:rPr>
            </w:pPr>
            <w:r>
              <w:rPr>
                <w:spacing w:val="-5"/>
                <w:sz w:val="23"/>
                <w:szCs w:val="23"/>
              </w:rPr>
              <w:t>O</w:t>
            </w:r>
            <w:r>
              <w:rPr>
                <w:rFonts w:ascii="Calibri" w:hAnsi="Calibri" w:eastAsia="Calibri" w:cs="Calibri"/>
                <w:spacing w:val="-5"/>
                <w:sz w:val="23"/>
                <w:szCs w:val="23"/>
              </w:rPr>
              <w:t>₃</w:t>
            </w:r>
          </w:p>
        </w:tc>
        <w:tc>
          <w:tcPr>
            <w:tcW w:w="2188" w:type="dxa"/>
            <w:vAlign w:val="top"/>
          </w:tcPr>
          <w:p w14:paraId="3757E266">
            <w:pPr>
              <w:pStyle w:val="6"/>
              <w:spacing w:before="66" w:line="215" w:lineRule="auto"/>
              <w:ind w:left="223"/>
              <w:rPr>
                <w:sz w:val="23"/>
                <w:szCs w:val="23"/>
              </w:rPr>
            </w:pPr>
            <w:r>
              <w:rPr>
                <w:spacing w:val="1"/>
                <w:sz w:val="23"/>
                <w:szCs w:val="23"/>
              </w:rPr>
              <w:t>日最大8小时平均</w:t>
            </w:r>
          </w:p>
        </w:tc>
        <w:tc>
          <w:tcPr>
            <w:tcW w:w="1229" w:type="dxa"/>
            <w:vAlign w:val="top"/>
          </w:tcPr>
          <w:p w14:paraId="54E7F664">
            <w:pPr>
              <w:pStyle w:val="6"/>
              <w:spacing w:before="89" w:line="196" w:lineRule="auto"/>
              <w:ind w:left="435"/>
              <w:rPr>
                <w:sz w:val="23"/>
                <w:szCs w:val="23"/>
              </w:rPr>
            </w:pPr>
            <w:r>
              <w:rPr>
                <w:spacing w:val="-6"/>
                <w:sz w:val="23"/>
                <w:szCs w:val="23"/>
              </w:rPr>
              <w:t>160</w:t>
            </w:r>
          </w:p>
        </w:tc>
        <w:tc>
          <w:tcPr>
            <w:tcW w:w="899" w:type="dxa"/>
            <w:vAlign w:val="top"/>
          </w:tcPr>
          <w:p w14:paraId="415CD193">
            <w:pPr>
              <w:pStyle w:val="6"/>
              <w:spacing w:before="58" w:line="214" w:lineRule="auto"/>
              <w:ind w:left="36"/>
              <w:rPr>
                <w:sz w:val="23"/>
                <w:szCs w:val="23"/>
              </w:rPr>
            </w:pPr>
            <w:r>
              <w:rPr>
                <w:spacing w:val="-11"/>
                <w:sz w:val="23"/>
                <w:szCs w:val="23"/>
              </w:rPr>
              <w:t>μg/m³</w:t>
            </w:r>
          </w:p>
        </w:tc>
        <w:tc>
          <w:tcPr>
            <w:tcW w:w="2707" w:type="dxa"/>
            <w:vMerge w:val="continue"/>
            <w:tcBorders>
              <w:top w:val="nil"/>
              <w:bottom w:val="nil"/>
            </w:tcBorders>
            <w:vAlign w:val="top"/>
          </w:tcPr>
          <w:p w14:paraId="45420DA9">
            <w:pPr>
              <w:rPr>
                <w:rFonts w:ascii="Arial"/>
                <w:sz w:val="21"/>
              </w:rPr>
            </w:pPr>
          </w:p>
        </w:tc>
        <w:tc>
          <w:tcPr>
            <w:tcW w:w="105" w:type="dxa"/>
            <w:tcBorders>
              <w:top w:val="nil"/>
              <w:bottom w:val="nil"/>
            </w:tcBorders>
            <w:shd w:val="clear" w:color="auto" w:fill="FFFFFF"/>
            <w:vAlign w:val="top"/>
          </w:tcPr>
          <w:p w14:paraId="43A9727B">
            <w:pPr>
              <w:rPr>
                <w:rFonts w:ascii="Arial"/>
                <w:sz w:val="21"/>
              </w:rPr>
            </w:pPr>
          </w:p>
        </w:tc>
      </w:tr>
      <w:tr w14:paraId="65874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94" w:type="dxa"/>
            <w:vMerge w:val="continue"/>
            <w:tcBorders>
              <w:top w:val="nil"/>
              <w:bottom w:val="nil"/>
            </w:tcBorders>
            <w:vAlign w:val="top"/>
          </w:tcPr>
          <w:p w14:paraId="4450E5D2">
            <w:pPr>
              <w:rPr>
                <w:rFonts w:ascii="Arial"/>
                <w:sz w:val="21"/>
              </w:rPr>
            </w:pPr>
          </w:p>
        </w:tc>
        <w:tc>
          <w:tcPr>
            <w:tcW w:w="110" w:type="dxa"/>
            <w:vMerge w:val="continue"/>
            <w:tcBorders>
              <w:top w:val="nil"/>
            </w:tcBorders>
            <w:vAlign w:val="top"/>
          </w:tcPr>
          <w:p w14:paraId="3333DAFA">
            <w:pPr>
              <w:rPr>
                <w:rFonts w:ascii="Arial"/>
                <w:sz w:val="21"/>
              </w:rPr>
            </w:pPr>
          </w:p>
        </w:tc>
        <w:tc>
          <w:tcPr>
            <w:tcW w:w="1478" w:type="dxa"/>
            <w:vMerge w:val="continue"/>
            <w:tcBorders>
              <w:top w:val="nil"/>
            </w:tcBorders>
            <w:vAlign w:val="top"/>
          </w:tcPr>
          <w:p w14:paraId="22DD967C">
            <w:pPr>
              <w:rPr>
                <w:rFonts w:ascii="Arial"/>
                <w:sz w:val="21"/>
              </w:rPr>
            </w:pPr>
          </w:p>
        </w:tc>
        <w:tc>
          <w:tcPr>
            <w:tcW w:w="2188" w:type="dxa"/>
            <w:vAlign w:val="top"/>
          </w:tcPr>
          <w:p w14:paraId="19C81638">
            <w:pPr>
              <w:pStyle w:val="6"/>
              <w:spacing w:before="73" w:line="205" w:lineRule="auto"/>
              <w:ind w:left="563"/>
              <w:rPr>
                <w:sz w:val="23"/>
                <w:szCs w:val="23"/>
              </w:rPr>
            </w:pPr>
            <w:r>
              <w:rPr>
                <w:spacing w:val="4"/>
                <w:sz w:val="23"/>
                <w:szCs w:val="23"/>
              </w:rPr>
              <w:t>1小时平均</w:t>
            </w:r>
          </w:p>
        </w:tc>
        <w:tc>
          <w:tcPr>
            <w:tcW w:w="1229" w:type="dxa"/>
            <w:vAlign w:val="top"/>
          </w:tcPr>
          <w:p w14:paraId="1CEA9A50">
            <w:pPr>
              <w:pStyle w:val="6"/>
              <w:spacing w:before="96" w:line="187" w:lineRule="auto"/>
              <w:ind w:left="435"/>
              <w:rPr>
                <w:sz w:val="23"/>
                <w:szCs w:val="23"/>
              </w:rPr>
            </w:pPr>
            <w:r>
              <w:rPr>
                <w:spacing w:val="-3"/>
                <w:sz w:val="23"/>
                <w:szCs w:val="23"/>
              </w:rPr>
              <w:t>200</w:t>
            </w:r>
          </w:p>
        </w:tc>
        <w:tc>
          <w:tcPr>
            <w:tcW w:w="899" w:type="dxa"/>
            <w:vAlign w:val="top"/>
          </w:tcPr>
          <w:p w14:paraId="64159BA2">
            <w:pPr>
              <w:pStyle w:val="6"/>
              <w:spacing w:before="64" w:line="212" w:lineRule="auto"/>
              <w:ind w:left="36"/>
              <w:rPr>
                <w:sz w:val="23"/>
                <w:szCs w:val="23"/>
              </w:rPr>
            </w:pPr>
            <w:r>
              <w:rPr>
                <w:spacing w:val="-11"/>
                <w:sz w:val="23"/>
                <w:szCs w:val="23"/>
              </w:rPr>
              <w:t>μg/m³</w:t>
            </w:r>
          </w:p>
        </w:tc>
        <w:tc>
          <w:tcPr>
            <w:tcW w:w="2707" w:type="dxa"/>
            <w:vMerge w:val="continue"/>
            <w:tcBorders>
              <w:top w:val="nil"/>
              <w:bottom w:val="nil"/>
            </w:tcBorders>
            <w:vAlign w:val="top"/>
          </w:tcPr>
          <w:p w14:paraId="57F40BE6">
            <w:pPr>
              <w:rPr>
                <w:rFonts w:ascii="Arial"/>
                <w:sz w:val="21"/>
              </w:rPr>
            </w:pPr>
          </w:p>
        </w:tc>
        <w:tc>
          <w:tcPr>
            <w:tcW w:w="105" w:type="dxa"/>
            <w:tcBorders>
              <w:top w:val="nil"/>
              <w:bottom w:val="nil"/>
            </w:tcBorders>
            <w:shd w:val="clear" w:color="auto" w:fill="FFFFFF"/>
            <w:vAlign w:val="top"/>
          </w:tcPr>
          <w:p w14:paraId="76339028">
            <w:pPr>
              <w:rPr>
                <w:rFonts w:ascii="Arial"/>
                <w:sz w:val="21"/>
              </w:rPr>
            </w:pPr>
          </w:p>
        </w:tc>
      </w:tr>
      <w:tr w14:paraId="043ED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694" w:type="dxa"/>
            <w:vMerge w:val="continue"/>
            <w:tcBorders>
              <w:top w:val="nil"/>
              <w:bottom w:val="nil"/>
            </w:tcBorders>
            <w:vAlign w:val="top"/>
          </w:tcPr>
          <w:p w14:paraId="21040E87">
            <w:pPr>
              <w:rPr>
                <w:rFonts w:ascii="Arial"/>
                <w:sz w:val="21"/>
              </w:rPr>
            </w:pPr>
          </w:p>
        </w:tc>
        <w:tc>
          <w:tcPr>
            <w:tcW w:w="110" w:type="dxa"/>
            <w:vMerge w:val="restart"/>
            <w:tcBorders>
              <w:bottom w:val="nil"/>
            </w:tcBorders>
            <w:vAlign w:val="top"/>
          </w:tcPr>
          <w:p w14:paraId="42B6B393">
            <w:pPr>
              <w:rPr>
                <w:rFonts w:ascii="Arial"/>
                <w:sz w:val="21"/>
              </w:rPr>
            </w:pPr>
          </w:p>
        </w:tc>
        <w:tc>
          <w:tcPr>
            <w:tcW w:w="1478" w:type="dxa"/>
            <w:vMerge w:val="restart"/>
            <w:tcBorders>
              <w:bottom w:val="nil"/>
            </w:tcBorders>
            <w:vAlign w:val="top"/>
          </w:tcPr>
          <w:p w14:paraId="32A52734">
            <w:pPr>
              <w:pStyle w:val="6"/>
              <w:spacing w:before="301" w:line="184" w:lineRule="auto"/>
              <w:ind w:left="501"/>
              <w:rPr>
                <w:sz w:val="23"/>
                <w:szCs w:val="23"/>
              </w:rPr>
            </w:pPr>
            <w:r>
              <w:rPr>
                <w:spacing w:val="-1"/>
                <w:sz w:val="23"/>
                <w:szCs w:val="23"/>
              </w:rPr>
              <w:t>PM10</w:t>
            </w:r>
          </w:p>
        </w:tc>
        <w:tc>
          <w:tcPr>
            <w:tcW w:w="2188" w:type="dxa"/>
            <w:vAlign w:val="top"/>
          </w:tcPr>
          <w:p w14:paraId="7829EB7C">
            <w:pPr>
              <w:pStyle w:val="6"/>
              <w:spacing w:before="63" w:line="205" w:lineRule="auto"/>
              <w:ind w:left="743"/>
              <w:rPr>
                <w:sz w:val="23"/>
                <w:szCs w:val="23"/>
              </w:rPr>
            </w:pPr>
            <w:r>
              <w:rPr>
                <w:spacing w:val="5"/>
                <w:sz w:val="23"/>
                <w:szCs w:val="23"/>
              </w:rPr>
              <w:t>年平均</w:t>
            </w:r>
          </w:p>
        </w:tc>
        <w:tc>
          <w:tcPr>
            <w:tcW w:w="1229" w:type="dxa"/>
            <w:vAlign w:val="top"/>
          </w:tcPr>
          <w:p w14:paraId="129FE235">
            <w:pPr>
              <w:pStyle w:val="6"/>
              <w:spacing w:before="86" w:line="187" w:lineRule="auto"/>
              <w:ind w:left="495"/>
              <w:rPr>
                <w:sz w:val="23"/>
                <w:szCs w:val="23"/>
              </w:rPr>
            </w:pPr>
            <w:r>
              <w:rPr>
                <w:spacing w:val="-4"/>
                <w:sz w:val="23"/>
                <w:szCs w:val="23"/>
              </w:rPr>
              <w:t>70</w:t>
            </w:r>
          </w:p>
        </w:tc>
        <w:tc>
          <w:tcPr>
            <w:tcW w:w="899" w:type="dxa"/>
            <w:vAlign w:val="top"/>
          </w:tcPr>
          <w:p w14:paraId="100FB2B9">
            <w:pPr>
              <w:pStyle w:val="6"/>
              <w:spacing w:before="56" w:line="211" w:lineRule="auto"/>
              <w:ind w:left="36"/>
              <w:rPr>
                <w:sz w:val="23"/>
                <w:szCs w:val="23"/>
              </w:rPr>
            </w:pPr>
            <w:r>
              <w:rPr>
                <w:spacing w:val="-11"/>
                <w:sz w:val="23"/>
                <w:szCs w:val="23"/>
              </w:rPr>
              <w:t>μg/m³</w:t>
            </w:r>
          </w:p>
        </w:tc>
        <w:tc>
          <w:tcPr>
            <w:tcW w:w="2707" w:type="dxa"/>
            <w:vMerge w:val="continue"/>
            <w:tcBorders>
              <w:top w:val="nil"/>
              <w:bottom w:val="nil"/>
            </w:tcBorders>
            <w:vAlign w:val="top"/>
          </w:tcPr>
          <w:p w14:paraId="1946A90E">
            <w:pPr>
              <w:rPr>
                <w:rFonts w:ascii="Arial"/>
                <w:sz w:val="21"/>
              </w:rPr>
            </w:pPr>
          </w:p>
        </w:tc>
        <w:tc>
          <w:tcPr>
            <w:tcW w:w="105" w:type="dxa"/>
            <w:tcBorders>
              <w:top w:val="nil"/>
              <w:bottom w:val="nil"/>
            </w:tcBorders>
            <w:shd w:val="clear" w:color="auto" w:fill="FFFFFF"/>
            <w:vAlign w:val="top"/>
          </w:tcPr>
          <w:p w14:paraId="76152AED">
            <w:pPr>
              <w:rPr>
                <w:rFonts w:ascii="Arial"/>
                <w:sz w:val="21"/>
              </w:rPr>
            </w:pPr>
          </w:p>
        </w:tc>
      </w:tr>
      <w:tr w14:paraId="01CF0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694" w:type="dxa"/>
            <w:vMerge w:val="continue"/>
            <w:tcBorders>
              <w:top w:val="nil"/>
              <w:bottom w:val="nil"/>
            </w:tcBorders>
            <w:vAlign w:val="top"/>
          </w:tcPr>
          <w:p w14:paraId="4F13CC52">
            <w:pPr>
              <w:rPr>
                <w:rFonts w:ascii="Arial"/>
                <w:sz w:val="21"/>
              </w:rPr>
            </w:pPr>
          </w:p>
        </w:tc>
        <w:tc>
          <w:tcPr>
            <w:tcW w:w="110" w:type="dxa"/>
            <w:vMerge w:val="continue"/>
            <w:tcBorders>
              <w:top w:val="nil"/>
            </w:tcBorders>
            <w:vAlign w:val="top"/>
          </w:tcPr>
          <w:p w14:paraId="593CB505">
            <w:pPr>
              <w:rPr>
                <w:rFonts w:ascii="Arial"/>
                <w:sz w:val="21"/>
              </w:rPr>
            </w:pPr>
          </w:p>
        </w:tc>
        <w:tc>
          <w:tcPr>
            <w:tcW w:w="1478" w:type="dxa"/>
            <w:vMerge w:val="continue"/>
            <w:tcBorders>
              <w:top w:val="nil"/>
            </w:tcBorders>
            <w:vAlign w:val="top"/>
          </w:tcPr>
          <w:p w14:paraId="57387A2B">
            <w:pPr>
              <w:rPr>
                <w:rFonts w:ascii="Arial"/>
                <w:sz w:val="21"/>
              </w:rPr>
            </w:pPr>
          </w:p>
        </w:tc>
        <w:tc>
          <w:tcPr>
            <w:tcW w:w="2188" w:type="dxa"/>
            <w:vAlign w:val="top"/>
          </w:tcPr>
          <w:p w14:paraId="6F27BA27">
            <w:pPr>
              <w:pStyle w:val="6"/>
              <w:spacing w:before="75" w:line="203" w:lineRule="auto"/>
              <w:ind w:left="513"/>
              <w:rPr>
                <w:sz w:val="23"/>
                <w:szCs w:val="23"/>
              </w:rPr>
            </w:pPr>
            <w:r>
              <w:rPr>
                <w:spacing w:val="2"/>
                <w:sz w:val="23"/>
                <w:szCs w:val="23"/>
              </w:rPr>
              <w:t>24小时平均</w:t>
            </w:r>
          </w:p>
        </w:tc>
        <w:tc>
          <w:tcPr>
            <w:tcW w:w="1229" w:type="dxa"/>
            <w:vAlign w:val="top"/>
          </w:tcPr>
          <w:p w14:paraId="2DD627D1">
            <w:pPr>
              <w:pStyle w:val="6"/>
              <w:spacing w:before="97" w:line="185" w:lineRule="auto"/>
              <w:ind w:left="435"/>
              <w:rPr>
                <w:sz w:val="23"/>
                <w:szCs w:val="23"/>
              </w:rPr>
            </w:pPr>
            <w:r>
              <w:rPr>
                <w:spacing w:val="-6"/>
                <w:sz w:val="23"/>
                <w:szCs w:val="23"/>
              </w:rPr>
              <w:t>150</w:t>
            </w:r>
          </w:p>
        </w:tc>
        <w:tc>
          <w:tcPr>
            <w:tcW w:w="899" w:type="dxa"/>
            <w:vAlign w:val="top"/>
          </w:tcPr>
          <w:p w14:paraId="07B2130C">
            <w:pPr>
              <w:pStyle w:val="6"/>
              <w:spacing w:before="67" w:line="209" w:lineRule="auto"/>
              <w:ind w:left="36"/>
              <w:rPr>
                <w:sz w:val="23"/>
                <w:szCs w:val="23"/>
              </w:rPr>
            </w:pPr>
            <w:r>
              <w:rPr>
                <w:spacing w:val="-11"/>
                <w:sz w:val="23"/>
                <w:szCs w:val="23"/>
              </w:rPr>
              <w:t>μg/m³</w:t>
            </w:r>
          </w:p>
        </w:tc>
        <w:tc>
          <w:tcPr>
            <w:tcW w:w="2707" w:type="dxa"/>
            <w:vMerge w:val="continue"/>
            <w:tcBorders>
              <w:top w:val="nil"/>
              <w:bottom w:val="nil"/>
            </w:tcBorders>
            <w:vAlign w:val="top"/>
          </w:tcPr>
          <w:p w14:paraId="1F369976">
            <w:pPr>
              <w:rPr>
                <w:rFonts w:ascii="Arial"/>
                <w:sz w:val="21"/>
              </w:rPr>
            </w:pPr>
          </w:p>
        </w:tc>
        <w:tc>
          <w:tcPr>
            <w:tcW w:w="105" w:type="dxa"/>
            <w:tcBorders>
              <w:top w:val="nil"/>
              <w:bottom w:val="nil"/>
            </w:tcBorders>
            <w:shd w:val="clear" w:color="auto" w:fill="FFFFFF"/>
            <w:vAlign w:val="top"/>
          </w:tcPr>
          <w:p w14:paraId="13CEAD4A">
            <w:pPr>
              <w:rPr>
                <w:rFonts w:ascii="Arial"/>
                <w:sz w:val="21"/>
              </w:rPr>
            </w:pPr>
          </w:p>
        </w:tc>
      </w:tr>
      <w:tr w14:paraId="0E890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694" w:type="dxa"/>
            <w:vMerge w:val="continue"/>
            <w:tcBorders>
              <w:top w:val="nil"/>
              <w:bottom w:val="nil"/>
            </w:tcBorders>
            <w:vAlign w:val="top"/>
          </w:tcPr>
          <w:p w14:paraId="75F70CE4">
            <w:pPr>
              <w:rPr>
                <w:rFonts w:ascii="Arial"/>
                <w:sz w:val="21"/>
              </w:rPr>
            </w:pPr>
          </w:p>
        </w:tc>
        <w:tc>
          <w:tcPr>
            <w:tcW w:w="110" w:type="dxa"/>
            <w:vMerge w:val="restart"/>
            <w:tcBorders>
              <w:bottom w:val="nil"/>
            </w:tcBorders>
            <w:vAlign w:val="top"/>
          </w:tcPr>
          <w:p w14:paraId="58D06C8F">
            <w:pPr>
              <w:rPr>
                <w:rFonts w:ascii="Arial"/>
                <w:sz w:val="21"/>
              </w:rPr>
            </w:pPr>
          </w:p>
        </w:tc>
        <w:tc>
          <w:tcPr>
            <w:tcW w:w="1478" w:type="dxa"/>
            <w:vMerge w:val="restart"/>
            <w:tcBorders>
              <w:bottom w:val="nil"/>
            </w:tcBorders>
            <w:vAlign w:val="top"/>
          </w:tcPr>
          <w:p w14:paraId="0EB4A3F5">
            <w:pPr>
              <w:pStyle w:val="6"/>
              <w:spacing w:before="269" w:line="239" w:lineRule="auto"/>
              <w:ind w:left="441"/>
              <w:rPr>
                <w:sz w:val="23"/>
                <w:szCs w:val="23"/>
              </w:rPr>
            </w:pPr>
            <w:r>
              <w:rPr>
                <w:spacing w:val="-2"/>
                <w:sz w:val="23"/>
                <w:szCs w:val="23"/>
              </w:rPr>
              <w:t>PM2.5</w:t>
            </w:r>
          </w:p>
        </w:tc>
        <w:tc>
          <w:tcPr>
            <w:tcW w:w="2188" w:type="dxa"/>
            <w:vAlign w:val="top"/>
          </w:tcPr>
          <w:p w14:paraId="40CC956C">
            <w:pPr>
              <w:pStyle w:val="6"/>
              <w:spacing w:before="76" w:line="219" w:lineRule="auto"/>
              <w:ind w:left="743"/>
              <w:rPr>
                <w:sz w:val="23"/>
                <w:szCs w:val="23"/>
              </w:rPr>
            </w:pPr>
            <w:r>
              <w:rPr>
                <w:spacing w:val="5"/>
                <w:sz w:val="23"/>
                <w:szCs w:val="23"/>
              </w:rPr>
              <w:t>年平均</w:t>
            </w:r>
          </w:p>
        </w:tc>
        <w:tc>
          <w:tcPr>
            <w:tcW w:w="1229" w:type="dxa"/>
            <w:vAlign w:val="top"/>
          </w:tcPr>
          <w:p w14:paraId="24825FE6">
            <w:pPr>
              <w:pStyle w:val="6"/>
              <w:spacing w:before="99" w:line="210" w:lineRule="auto"/>
              <w:ind w:left="495"/>
              <w:rPr>
                <w:sz w:val="23"/>
                <w:szCs w:val="23"/>
              </w:rPr>
            </w:pPr>
            <w:r>
              <w:rPr>
                <w:spacing w:val="-4"/>
                <w:sz w:val="23"/>
                <w:szCs w:val="23"/>
              </w:rPr>
              <w:t>35</w:t>
            </w:r>
          </w:p>
        </w:tc>
        <w:tc>
          <w:tcPr>
            <w:tcW w:w="899" w:type="dxa"/>
            <w:vAlign w:val="top"/>
          </w:tcPr>
          <w:p w14:paraId="19B7F7EE">
            <w:pPr>
              <w:pStyle w:val="6"/>
              <w:spacing w:before="68" w:line="214" w:lineRule="auto"/>
              <w:ind w:left="36"/>
              <w:rPr>
                <w:sz w:val="23"/>
                <w:szCs w:val="23"/>
              </w:rPr>
            </w:pPr>
            <w:r>
              <w:rPr>
                <w:spacing w:val="-11"/>
                <w:sz w:val="23"/>
                <w:szCs w:val="23"/>
              </w:rPr>
              <w:t>μg/m³</w:t>
            </w:r>
          </w:p>
        </w:tc>
        <w:tc>
          <w:tcPr>
            <w:tcW w:w="2707" w:type="dxa"/>
            <w:vMerge w:val="continue"/>
            <w:tcBorders>
              <w:top w:val="nil"/>
              <w:bottom w:val="nil"/>
            </w:tcBorders>
            <w:vAlign w:val="top"/>
          </w:tcPr>
          <w:p w14:paraId="25F3FCD3">
            <w:pPr>
              <w:rPr>
                <w:rFonts w:ascii="Arial"/>
                <w:sz w:val="21"/>
              </w:rPr>
            </w:pPr>
          </w:p>
        </w:tc>
        <w:tc>
          <w:tcPr>
            <w:tcW w:w="105" w:type="dxa"/>
            <w:tcBorders>
              <w:top w:val="nil"/>
              <w:bottom w:val="nil"/>
            </w:tcBorders>
            <w:shd w:val="clear" w:color="auto" w:fill="FFFFFF"/>
            <w:vAlign w:val="top"/>
          </w:tcPr>
          <w:p w14:paraId="71EB02E7">
            <w:pPr>
              <w:rPr>
                <w:rFonts w:ascii="Arial"/>
                <w:sz w:val="21"/>
              </w:rPr>
            </w:pPr>
          </w:p>
        </w:tc>
      </w:tr>
      <w:tr w14:paraId="0BDA2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694" w:type="dxa"/>
            <w:vMerge w:val="continue"/>
            <w:tcBorders>
              <w:top w:val="nil"/>
              <w:bottom w:val="nil"/>
            </w:tcBorders>
            <w:vAlign w:val="top"/>
          </w:tcPr>
          <w:p w14:paraId="5393F690">
            <w:pPr>
              <w:rPr>
                <w:rFonts w:ascii="Arial"/>
                <w:sz w:val="21"/>
              </w:rPr>
            </w:pPr>
          </w:p>
        </w:tc>
        <w:tc>
          <w:tcPr>
            <w:tcW w:w="110" w:type="dxa"/>
            <w:vMerge w:val="continue"/>
            <w:tcBorders>
              <w:top w:val="nil"/>
            </w:tcBorders>
            <w:vAlign w:val="top"/>
          </w:tcPr>
          <w:p w14:paraId="6CAAADC4">
            <w:pPr>
              <w:rPr>
                <w:rFonts w:ascii="Arial"/>
                <w:sz w:val="21"/>
              </w:rPr>
            </w:pPr>
          </w:p>
        </w:tc>
        <w:tc>
          <w:tcPr>
            <w:tcW w:w="1478" w:type="dxa"/>
            <w:vMerge w:val="continue"/>
            <w:tcBorders>
              <w:top w:val="nil"/>
            </w:tcBorders>
            <w:vAlign w:val="top"/>
          </w:tcPr>
          <w:p w14:paraId="4EAB52E8">
            <w:pPr>
              <w:rPr>
                <w:rFonts w:ascii="Arial"/>
                <w:sz w:val="21"/>
              </w:rPr>
            </w:pPr>
          </w:p>
        </w:tc>
        <w:tc>
          <w:tcPr>
            <w:tcW w:w="2188" w:type="dxa"/>
            <w:vAlign w:val="top"/>
          </w:tcPr>
          <w:p w14:paraId="5DEDB2F5">
            <w:pPr>
              <w:pStyle w:val="6"/>
              <w:spacing w:before="45" w:line="192" w:lineRule="auto"/>
              <w:ind w:left="513"/>
              <w:rPr>
                <w:sz w:val="23"/>
                <w:szCs w:val="23"/>
              </w:rPr>
            </w:pPr>
            <w:r>
              <w:rPr>
                <w:spacing w:val="2"/>
                <w:sz w:val="23"/>
                <w:szCs w:val="23"/>
              </w:rPr>
              <w:t>24小时平均</w:t>
            </w:r>
          </w:p>
        </w:tc>
        <w:tc>
          <w:tcPr>
            <w:tcW w:w="1229" w:type="dxa"/>
            <w:vAlign w:val="top"/>
          </w:tcPr>
          <w:p w14:paraId="1178F1E8">
            <w:pPr>
              <w:pStyle w:val="6"/>
              <w:spacing w:before="68" w:line="174" w:lineRule="auto"/>
              <w:ind w:left="495"/>
              <w:rPr>
                <w:sz w:val="23"/>
                <w:szCs w:val="23"/>
              </w:rPr>
            </w:pPr>
            <w:r>
              <w:rPr>
                <w:spacing w:val="-4"/>
                <w:sz w:val="23"/>
                <w:szCs w:val="23"/>
              </w:rPr>
              <w:t>75</w:t>
            </w:r>
          </w:p>
        </w:tc>
        <w:tc>
          <w:tcPr>
            <w:tcW w:w="899" w:type="dxa"/>
            <w:vAlign w:val="top"/>
          </w:tcPr>
          <w:p w14:paraId="342BD578">
            <w:pPr>
              <w:pStyle w:val="6"/>
              <w:spacing w:before="38" w:line="198" w:lineRule="auto"/>
              <w:ind w:left="36"/>
              <w:rPr>
                <w:sz w:val="23"/>
                <w:szCs w:val="23"/>
              </w:rPr>
            </w:pPr>
            <w:r>
              <w:rPr>
                <w:spacing w:val="-11"/>
                <w:sz w:val="23"/>
                <w:szCs w:val="23"/>
              </w:rPr>
              <w:t>μg/m³</w:t>
            </w:r>
          </w:p>
        </w:tc>
        <w:tc>
          <w:tcPr>
            <w:tcW w:w="2707" w:type="dxa"/>
            <w:vMerge w:val="continue"/>
            <w:tcBorders>
              <w:top w:val="nil"/>
              <w:bottom w:val="nil"/>
            </w:tcBorders>
            <w:vAlign w:val="top"/>
          </w:tcPr>
          <w:p w14:paraId="13D35D54">
            <w:pPr>
              <w:rPr>
                <w:rFonts w:ascii="Arial"/>
                <w:sz w:val="21"/>
              </w:rPr>
            </w:pPr>
          </w:p>
        </w:tc>
        <w:tc>
          <w:tcPr>
            <w:tcW w:w="105" w:type="dxa"/>
            <w:tcBorders>
              <w:top w:val="nil"/>
              <w:bottom w:val="nil"/>
            </w:tcBorders>
            <w:shd w:val="clear" w:color="auto" w:fill="FFFFFF"/>
            <w:vAlign w:val="top"/>
          </w:tcPr>
          <w:p w14:paraId="04428F37">
            <w:pPr>
              <w:rPr>
                <w:rFonts w:ascii="Arial"/>
                <w:sz w:val="21"/>
              </w:rPr>
            </w:pPr>
          </w:p>
        </w:tc>
      </w:tr>
      <w:tr w14:paraId="59D39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694" w:type="dxa"/>
            <w:vMerge w:val="continue"/>
            <w:tcBorders>
              <w:top w:val="nil"/>
              <w:bottom w:val="nil"/>
            </w:tcBorders>
            <w:vAlign w:val="top"/>
          </w:tcPr>
          <w:p w14:paraId="03A20E22">
            <w:pPr>
              <w:rPr>
                <w:rFonts w:ascii="Arial"/>
                <w:sz w:val="21"/>
              </w:rPr>
            </w:pPr>
          </w:p>
        </w:tc>
        <w:tc>
          <w:tcPr>
            <w:tcW w:w="110" w:type="dxa"/>
            <w:vMerge w:val="restart"/>
            <w:tcBorders>
              <w:bottom w:val="nil"/>
            </w:tcBorders>
            <w:vAlign w:val="top"/>
          </w:tcPr>
          <w:p w14:paraId="45F69687">
            <w:pPr>
              <w:rPr>
                <w:rFonts w:ascii="Arial"/>
                <w:sz w:val="21"/>
              </w:rPr>
            </w:pPr>
          </w:p>
        </w:tc>
        <w:tc>
          <w:tcPr>
            <w:tcW w:w="1478" w:type="dxa"/>
            <w:vMerge w:val="restart"/>
            <w:tcBorders>
              <w:bottom w:val="nil"/>
            </w:tcBorders>
            <w:vAlign w:val="top"/>
          </w:tcPr>
          <w:p w14:paraId="087D2E52">
            <w:pPr>
              <w:spacing w:line="243" w:lineRule="auto"/>
              <w:rPr>
                <w:rFonts w:ascii="Arial"/>
                <w:sz w:val="21"/>
              </w:rPr>
            </w:pPr>
          </w:p>
          <w:p w14:paraId="6049962C">
            <w:pPr>
              <w:pStyle w:val="6"/>
              <w:spacing w:before="75" w:line="183" w:lineRule="auto"/>
              <w:ind w:left="551"/>
              <w:rPr>
                <w:sz w:val="23"/>
                <w:szCs w:val="23"/>
              </w:rPr>
            </w:pPr>
            <w:r>
              <w:rPr>
                <w:spacing w:val="-2"/>
                <w:sz w:val="23"/>
                <w:szCs w:val="23"/>
              </w:rPr>
              <w:t>TSP</w:t>
            </w:r>
          </w:p>
        </w:tc>
        <w:tc>
          <w:tcPr>
            <w:tcW w:w="2188" w:type="dxa"/>
            <w:vAlign w:val="top"/>
          </w:tcPr>
          <w:p w14:paraId="2F3D0FB4">
            <w:pPr>
              <w:pStyle w:val="6"/>
              <w:spacing w:before="80" w:line="219" w:lineRule="auto"/>
              <w:ind w:left="743"/>
              <w:rPr>
                <w:sz w:val="23"/>
                <w:szCs w:val="23"/>
              </w:rPr>
            </w:pPr>
            <w:r>
              <w:rPr>
                <w:spacing w:val="5"/>
                <w:sz w:val="23"/>
                <w:szCs w:val="23"/>
              </w:rPr>
              <w:t>年平均</w:t>
            </w:r>
          </w:p>
        </w:tc>
        <w:tc>
          <w:tcPr>
            <w:tcW w:w="1229" w:type="dxa"/>
            <w:vAlign w:val="top"/>
          </w:tcPr>
          <w:p w14:paraId="2E345962">
            <w:pPr>
              <w:pStyle w:val="6"/>
              <w:spacing w:before="103" w:line="207" w:lineRule="auto"/>
              <w:ind w:left="435"/>
              <w:rPr>
                <w:sz w:val="23"/>
                <w:szCs w:val="23"/>
              </w:rPr>
            </w:pPr>
            <w:r>
              <w:rPr>
                <w:spacing w:val="-3"/>
                <w:sz w:val="23"/>
                <w:szCs w:val="23"/>
              </w:rPr>
              <w:t>200</w:t>
            </w:r>
          </w:p>
        </w:tc>
        <w:tc>
          <w:tcPr>
            <w:tcW w:w="899" w:type="dxa"/>
            <w:vAlign w:val="top"/>
          </w:tcPr>
          <w:p w14:paraId="24EBBBD7">
            <w:pPr>
              <w:pStyle w:val="6"/>
              <w:spacing w:before="72" w:line="214" w:lineRule="auto"/>
              <w:ind w:left="36"/>
              <w:rPr>
                <w:sz w:val="23"/>
                <w:szCs w:val="23"/>
              </w:rPr>
            </w:pPr>
            <w:r>
              <w:rPr>
                <w:spacing w:val="-11"/>
                <w:sz w:val="23"/>
                <w:szCs w:val="23"/>
              </w:rPr>
              <w:t>μg/m³</w:t>
            </w:r>
          </w:p>
        </w:tc>
        <w:tc>
          <w:tcPr>
            <w:tcW w:w="2707" w:type="dxa"/>
            <w:vMerge w:val="continue"/>
            <w:tcBorders>
              <w:top w:val="nil"/>
              <w:bottom w:val="nil"/>
            </w:tcBorders>
            <w:vAlign w:val="top"/>
          </w:tcPr>
          <w:p w14:paraId="3826BC4A">
            <w:pPr>
              <w:rPr>
                <w:rFonts w:ascii="Arial"/>
                <w:sz w:val="21"/>
              </w:rPr>
            </w:pPr>
          </w:p>
        </w:tc>
        <w:tc>
          <w:tcPr>
            <w:tcW w:w="105" w:type="dxa"/>
            <w:tcBorders>
              <w:top w:val="nil"/>
              <w:bottom w:val="nil"/>
            </w:tcBorders>
            <w:shd w:val="clear" w:color="auto" w:fill="FFFFFF"/>
            <w:vAlign w:val="top"/>
          </w:tcPr>
          <w:p w14:paraId="10E3B141">
            <w:pPr>
              <w:rPr>
                <w:rFonts w:ascii="Arial"/>
                <w:sz w:val="21"/>
              </w:rPr>
            </w:pPr>
          </w:p>
        </w:tc>
      </w:tr>
      <w:tr w14:paraId="36FE5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94" w:type="dxa"/>
            <w:vMerge w:val="continue"/>
            <w:tcBorders>
              <w:top w:val="nil"/>
              <w:bottom w:val="nil"/>
            </w:tcBorders>
            <w:vAlign w:val="top"/>
          </w:tcPr>
          <w:p w14:paraId="2347B905">
            <w:pPr>
              <w:rPr>
                <w:rFonts w:ascii="Arial"/>
                <w:sz w:val="21"/>
              </w:rPr>
            </w:pPr>
          </w:p>
        </w:tc>
        <w:tc>
          <w:tcPr>
            <w:tcW w:w="110" w:type="dxa"/>
            <w:vMerge w:val="continue"/>
            <w:tcBorders>
              <w:top w:val="nil"/>
            </w:tcBorders>
            <w:vAlign w:val="top"/>
          </w:tcPr>
          <w:p w14:paraId="0431C5F3">
            <w:pPr>
              <w:rPr>
                <w:rFonts w:ascii="Arial"/>
                <w:sz w:val="21"/>
              </w:rPr>
            </w:pPr>
          </w:p>
        </w:tc>
        <w:tc>
          <w:tcPr>
            <w:tcW w:w="1478" w:type="dxa"/>
            <w:vMerge w:val="continue"/>
            <w:tcBorders>
              <w:top w:val="nil"/>
            </w:tcBorders>
            <w:vAlign w:val="top"/>
          </w:tcPr>
          <w:p w14:paraId="3ABA4EA5">
            <w:pPr>
              <w:rPr>
                <w:rFonts w:ascii="Arial"/>
                <w:sz w:val="21"/>
              </w:rPr>
            </w:pPr>
          </w:p>
        </w:tc>
        <w:tc>
          <w:tcPr>
            <w:tcW w:w="2188" w:type="dxa"/>
            <w:vAlign w:val="top"/>
          </w:tcPr>
          <w:p w14:paraId="62D75D93">
            <w:pPr>
              <w:pStyle w:val="6"/>
              <w:spacing w:before="60" w:line="220" w:lineRule="auto"/>
              <w:ind w:left="513"/>
              <w:rPr>
                <w:sz w:val="23"/>
                <w:szCs w:val="23"/>
              </w:rPr>
            </w:pPr>
            <w:r>
              <w:rPr>
                <w:spacing w:val="2"/>
                <w:sz w:val="23"/>
                <w:szCs w:val="23"/>
              </w:rPr>
              <w:t>24小时平均</w:t>
            </w:r>
          </w:p>
        </w:tc>
        <w:tc>
          <w:tcPr>
            <w:tcW w:w="1229" w:type="dxa"/>
            <w:vAlign w:val="top"/>
          </w:tcPr>
          <w:p w14:paraId="01E01FC7">
            <w:pPr>
              <w:pStyle w:val="6"/>
              <w:spacing w:before="82" w:line="204" w:lineRule="auto"/>
              <w:ind w:left="435"/>
              <w:rPr>
                <w:sz w:val="23"/>
                <w:szCs w:val="23"/>
              </w:rPr>
            </w:pPr>
            <w:r>
              <w:rPr>
                <w:spacing w:val="-4"/>
                <w:sz w:val="23"/>
                <w:szCs w:val="23"/>
              </w:rPr>
              <w:t>300</w:t>
            </w:r>
          </w:p>
        </w:tc>
        <w:tc>
          <w:tcPr>
            <w:tcW w:w="899" w:type="dxa"/>
            <w:vAlign w:val="top"/>
          </w:tcPr>
          <w:p w14:paraId="2B65DE15">
            <w:pPr>
              <w:pStyle w:val="6"/>
              <w:spacing w:before="51" w:line="214" w:lineRule="auto"/>
              <w:ind w:left="36"/>
              <w:rPr>
                <w:sz w:val="23"/>
                <w:szCs w:val="23"/>
              </w:rPr>
            </w:pPr>
            <w:r>
              <w:rPr>
                <w:spacing w:val="-11"/>
                <w:sz w:val="23"/>
                <w:szCs w:val="23"/>
              </w:rPr>
              <w:t>μg/m³</w:t>
            </w:r>
          </w:p>
        </w:tc>
        <w:tc>
          <w:tcPr>
            <w:tcW w:w="2707" w:type="dxa"/>
            <w:vMerge w:val="continue"/>
            <w:tcBorders>
              <w:top w:val="nil"/>
            </w:tcBorders>
            <w:vAlign w:val="top"/>
          </w:tcPr>
          <w:p w14:paraId="6921D6D2">
            <w:pPr>
              <w:rPr>
                <w:rFonts w:ascii="Arial"/>
                <w:sz w:val="21"/>
              </w:rPr>
            </w:pPr>
          </w:p>
        </w:tc>
        <w:tc>
          <w:tcPr>
            <w:tcW w:w="105" w:type="dxa"/>
            <w:tcBorders>
              <w:top w:val="nil"/>
            </w:tcBorders>
            <w:shd w:val="clear" w:color="auto" w:fill="FFFFFF"/>
            <w:vAlign w:val="top"/>
          </w:tcPr>
          <w:p w14:paraId="23479586">
            <w:pPr>
              <w:rPr>
                <w:rFonts w:ascii="Arial"/>
                <w:sz w:val="21"/>
              </w:rPr>
            </w:pPr>
          </w:p>
        </w:tc>
      </w:tr>
      <w:tr w14:paraId="2ECA0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78" w:hRule="atLeast"/>
        </w:trPr>
        <w:tc>
          <w:tcPr>
            <w:tcW w:w="694" w:type="dxa"/>
            <w:vMerge w:val="continue"/>
            <w:tcBorders>
              <w:top w:val="nil"/>
            </w:tcBorders>
            <w:vAlign w:val="top"/>
          </w:tcPr>
          <w:p w14:paraId="041C8958">
            <w:pPr>
              <w:rPr>
                <w:rFonts w:ascii="Arial"/>
                <w:sz w:val="21"/>
              </w:rPr>
            </w:pPr>
          </w:p>
        </w:tc>
        <w:tc>
          <w:tcPr>
            <w:tcW w:w="8716" w:type="dxa"/>
            <w:gridSpan w:val="7"/>
            <w:vAlign w:val="top"/>
          </w:tcPr>
          <w:p w14:paraId="78B1BB1A">
            <w:pPr>
              <w:pStyle w:val="6"/>
              <w:spacing w:before="39" w:line="219" w:lineRule="auto"/>
              <w:ind w:left="684"/>
              <w:rPr>
                <w:sz w:val="23"/>
                <w:szCs w:val="23"/>
              </w:rPr>
            </w:pPr>
            <w:r>
              <w:rPr>
                <w:b/>
                <w:bCs/>
                <w:spacing w:val="-3"/>
                <w:sz w:val="23"/>
                <w:szCs w:val="23"/>
              </w:rPr>
              <w:t>(2)地表水环境质量</w:t>
            </w:r>
          </w:p>
          <w:p w14:paraId="22A7DF5E">
            <w:pPr>
              <w:pStyle w:val="6"/>
              <w:spacing w:before="208" w:line="219" w:lineRule="auto"/>
              <w:ind w:left="571"/>
              <w:rPr>
                <w:sz w:val="23"/>
                <w:szCs w:val="23"/>
              </w:rPr>
            </w:pPr>
            <w:r>
              <w:rPr>
                <w:sz w:val="23"/>
                <w:szCs w:val="23"/>
              </w:rPr>
              <w:t>项目光伏阵列周边水系均汇入南盘江，本项目所在区域水系属于南盘江水系支</w:t>
            </w:r>
          </w:p>
          <w:p w14:paraId="55FE4F25">
            <w:pPr>
              <w:pStyle w:val="6"/>
              <w:spacing w:before="185" w:line="216" w:lineRule="auto"/>
              <w:ind w:left="91"/>
              <w:rPr>
                <w:sz w:val="23"/>
                <w:szCs w:val="23"/>
              </w:rPr>
            </w:pPr>
            <w:r>
              <w:rPr>
                <w:sz w:val="23"/>
                <w:szCs w:val="23"/>
              </w:rPr>
              <w:t>流。根据《云南省水功能区划》(2014年修订),项目</w:t>
            </w:r>
            <w:r>
              <w:rPr>
                <w:spacing w:val="-1"/>
                <w:sz w:val="23"/>
                <w:szCs w:val="23"/>
              </w:rPr>
              <w:t>所在区域一级功能区为南</w:t>
            </w:r>
          </w:p>
          <w:p w14:paraId="345314A5">
            <w:pPr>
              <w:pStyle w:val="6"/>
              <w:spacing w:before="193" w:line="372" w:lineRule="auto"/>
              <w:ind w:left="81" w:right="350"/>
              <w:rPr>
                <w:sz w:val="23"/>
                <w:szCs w:val="23"/>
              </w:rPr>
            </w:pPr>
            <w:r>
              <w:rPr>
                <w:sz w:val="23"/>
                <w:szCs w:val="23"/>
              </w:rPr>
              <w:t>盘江沾益一宜良开发利用区，二级功能区为南盘江柴石滩水</w:t>
            </w:r>
            <w:r>
              <w:rPr>
                <w:spacing w:val="-1"/>
                <w:sz w:val="23"/>
                <w:szCs w:val="23"/>
              </w:rPr>
              <w:t>库陆良-宣良农业、工</w:t>
            </w:r>
            <w:r>
              <w:rPr>
                <w:sz w:val="23"/>
                <w:szCs w:val="23"/>
              </w:rPr>
              <w:t xml:space="preserve">  业、渔业用水区，起点为古宁大坝，止点为柴石滩水库，水质目标20</w:t>
            </w:r>
            <w:r>
              <w:rPr>
                <w:spacing w:val="-1"/>
                <w:sz w:val="23"/>
                <w:szCs w:val="23"/>
              </w:rPr>
              <w:t>30年为Ⅲ类。</w:t>
            </w:r>
          </w:p>
          <w:p w14:paraId="338F26A1">
            <w:pPr>
              <w:pStyle w:val="6"/>
              <w:spacing w:before="1" w:line="207" w:lineRule="auto"/>
              <w:ind w:left="874"/>
              <w:rPr>
                <w:sz w:val="23"/>
                <w:szCs w:val="23"/>
              </w:rPr>
            </w:pPr>
            <w:r>
              <w:rPr>
                <w:b/>
                <w:bCs/>
                <w:spacing w:val="11"/>
                <w:sz w:val="23"/>
                <w:szCs w:val="23"/>
              </w:rPr>
              <w:t>表3-25</w:t>
            </w:r>
            <w:r>
              <w:rPr>
                <w:spacing w:val="16"/>
                <w:sz w:val="23"/>
                <w:szCs w:val="23"/>
              </w:rPr>
              <w:t xml:space="preserve">      </w:t>
            </w:r>
            <w:r>
              <w:rPr>
                <w:b/>
                <w:bCs/>
                <w:spacing w:val="11"/>
                <w:sz w:val="23"/>
                <w:szCs w:val="23"/>
              </w:rPr>
              <w:t>地表水环境质量标准</w:t>
            </w:r>
            <w:r>
              <w:rPr>
                <w:spacing w:val="18"/>
                <w:sz w:val="23"/>
                <w:szCs w:val="23"/>
              </w:rPr>
              <w:t xml:space="preserve">      </w:t>
            </w:r>
            <w:r>
              <w:rPr>
                <w:b/>
                <w:bCs/>
                <w:spacing w:val="11"/>
                <w:sz w:val="23"/>
                <w:szCs w:val="23"/>
              </w:rPr>
              <w:t>单位：</w:t>
            </w:r>
            <w:r>
              <w:rPr>
                <w:spacing w:val="11"/>
                <w:sz w:val="23"/>
                <w:szCs w:val="23"/>
              </w:rPr>
              <w:t xml:space="preserve"> </w:t>
            </w:r>
            <w:r>
              <w:rPr>
                <w:b/>
                <w:bCs/>
                <w:sz w:val="23"/>
                <w:szCs w:val="23"/>
              </w:rPr>
              <w:t>mg</w:t>
            </w:r>
            <w:r>
              <w:rPr>
                <w:b/>
                <w:bCs/>
                <w:spacing w:val="11"/>
                <w:sz w:val="23"/>
                <w:szCs w:val="23"/>
              </w:rPr>
              <w:t>/L,</w:t>
            </w:r>
            <w:r>
              <w:rPr>
                <w:b/>
                <w:bCs/>
                <w:sz w:val="23"/>
                <w:szCs w:val="23"/>
              </w:rPr>
              <w:t>pH</w:t>
            </w:r>
            <w:r>
              <w:rPr>
                <w:b/>
                <w:bCs/>
                <w:spacing w:val="11"/>
                <w:sz w:val="23"/>
                <w:szCs w:val="23"/>
              </w:rPr>
              <w:t>无量纲</w:t>
            </w:r>
          </w:p>
          <w:tbl>
            <w:tblPr>
              <w:tblStyle w:val="5"/>
              <w:tblW w:w="8410" w:type="dxa"/>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3"/>
              <w:gridCol w:w="1908"/>
              <w:gridCol w:w="1648"/>
              <w:gridCol w:w="3151"/>
            </w:tblGrid>
            <w:tr w14:paraId="06A2A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703" w:type="dxa"/>
                  <w:vAlign w:val="top"/>
                </w:tcPr>
                <w:p w14:paraId="38D8A652">
                  <w:pPr>
                    <w:pStyle w:val="6"/>
                    <w:spacing w:before="74" w:line="221" w:lineRule="auto"/>
                    <w:ind w:left="635"/>
                    <w:rPr>
                      <w:sz w:val="21"/>
                      <w:szCs w:val="21"/>
                    </w:rPr>
                  </w:pPr>
                  <w:r>
                    <w:rPr>
                      <w:spacing w:val="6"/>
                      <w:sz w:val="21"/>
                      <w:szCs w:val="21"/>
                    </w:rPr>
                    <w:t>序号</w:t>
                  </w:r>
                </w:p>
              </w:tc>
              <w:tc>
                <w:tcPr>
                  <w:tcW w:w="1908" w:type="dxa"/>
                  <w:vAlign w:val="top"/>
                </w:tcPr>
                <w:p w14:paraId="1912425A">
                  <w:pPr>
                    <w:pStyle w:val="6"/>
                    <w:spacing w:before="73" w:line="219" w:lineRule="auto"/>
                    <w:ind w:left="732"/>
                    <w:rPr>
                      <w:sz w:val="21"/>
                      <w:szCs w:val="21"/>
                    </w:rPr>
                  </w:pPr>
                  <w:r>
                    <w:rPr>
                      <w:spacing w:val="-3"/>
                      <w:sz w:val="21"/>
                      <w:szCs w:val="21"/>
                    </w:rPr>
                    <w:t>参数</w:t>
                  </w:r>
                </w:p>
              </w:tc>
              <w:tc>
                <w:tcPr>
                  <w:tcW w:w="1648" w:type="dxa"/>
                  <w:vAlign w:val="top"/>
                </w:tcPr>
                <w:p w14:paraId="6A56982C">
                  <w:pPr>
                    <w:pStyle w:val="6"/>
                    <w:spacing w:before="73" w:line="219" w:lineRule="auto"/>
                    <w:ind w:left="294"/>
                    <w:rPr>
                      <w:sz w:val="21"/>
                      <w:szCs w:val="21"/>
                    </w:rPr>
                  </w:pPr>
                  <w:r>
                    <w:rPr>
                      <w:spacing w:val="-2"/>
                      <w:sz w:val="21"/>
                      <w:szCs w:val="21"/>
                    </w:rPr>
                    <w:t>Ⅲ类标准值</w:t>
                  </w:r>
                </w:p>
              </w:tc>
              <w:tc>
                <w:tcPr>
                  <w:tcW w:w="3151" w:type="dxa"/>
                  <w:vAlign w:val="top"/>
                </w:tcPr>
                <w:p w14:paraId="43B09A77">
                  <w:pPr>
                    <w:pStyle w:val="6"/>
                    <w:spacing w:before="73" w:line="219" w:lineRule="auto"/>
                    <w:ind w:left="1146"/>
                    <w:rPr>
                      <w:sz w:val="21"/>
                      <w:szCs w:val="21"/>
                    </w:rPr>
                  </w:pPr>
                  <w:r>
                    <w:rPr>
                      <w:spacing w:val="-2"/>
                      <w:sz w:val="21"/>
                      <w:szCs w:val="21"/>
                    </w:rPr>
                    <w:t>标准来源</w:t>
                  </w:r>
                </w:p>
              </w:tc>
            </w:tr>
            <w:tr w14:paraId="70B76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703" w:type="dxa"/>
                  <w:vAlign w:val="top"/>
                </w:tcPr>
                <w:p w14:paraId="6C76C310">
                  <w:pPr>
                    <w:pStyle w:val="6"/>
                    <w:spacing w:before="91" w:line="218" w:lineRule="auto"/>
                    <w:ind w:left="784"/>
                    <w:rPr>
                      <w:sz w:val="21"/>
                      <w:szCs w:val="21"/>
                    </w:rPr>
                  </w:pPr>
                  <w:r>
                    <w:rPr>
                      <w:sz w:val="21"/>
                      <w:szCs w:val="21"/>
                    </w:rPr>
                    <w:t>1</w:t>
                  </w:r>
                </w:p>
              </w:tc>
              <w:tc>
                <w:tcPr>
                  <w:tcW w:w="1908" w:type="dxa"/>
                  <w:vAlign w:val="top"/>
                </w:tcPr>
                <w:p w14:paraId="0CE876A3">
                  <w:pPr>
                    <w:pStyle w:val="6"/>
                    <w:spacing w:before="97" w:line="182" w:lineRule="auto"/>
                    <w:ind w:left="842"/>
                    <w:rPr>
                      <w:sz w:val="21"/>
                      <w:szCs w:val="21"/>
                    </w:rPr>
                  </w:pPr>
                  <w:r>
                    <w:rPr>
                      <w:spacing w:val="-2"/>
                      <w:sz w:val="21"/>
                      <w:szCs w:val="21"/>
                    </w:rPr>
                    <w:t>pH</w:t>
                  </w:r>
                </w:p>
              </w:tc>
              <w:tc>
                <w:tcPr>
                  <w:tcW w:w="1648" w:type="dxa"/>
                  <w:vAlign w:val="top"/>
                </w:tcPr>
                <w:p w14:paraId="3D40D740">
                  <w:pPr>
                    <w:pStyle w:val="6"/>
                    <w:spacing w:before="91" w:line="218" w:lineRule="auto"/>
                    <w:ind w:left="604"/>
                    <w:rPr>
                      <w:sz w:val="21"/>
                      <w:szCs w:val="21"/>
                    </w:rPr>
                  </w:pPr>
                  <w:r>
                    <w:rPr>
                      <w:spacing w:val="-3"/>
                      <w:sz w:val="21"/>
                      <w:szCs w:val="21"/>
                    </w:rPr>
                    <w:t>6～9</w:t>
                  </w:r>
                </w:p>
              </w:tc>
              <w:tc>
                <w:tcPr>
                  <w:tcW w:w="3151" w:type="dxa"/>
                  <w:vMerge w:val="restart"/>
                  <w:tcBorders>
                    <w:bottom w:val="nil"/>
                  </w:tcBorders>
                  <w:vAlign w:val="top"/>
                </w:tcPr>
                <w:p w14:paraId="5E060016">
                  <w:pPr>
                    <w:spacing w:line="250" w:lineRule="auto"/>
                    <w:rPr>
                      <w:rFonts w:ascii="Arial"/>
                      <w:sz w:val="21"/>
                    </w:rPr>
                  </w:pPr>
                </w:p>
                <w:p w14:paraId="5927CA66">
                  <w:pPr>
                    <w:spacing w:line="250" w:lineRule="auto"/>
                    <w:rPr>
                      <w:rFonts w:ascii="Arial"/>
                      <w:sz w:val="21"/>
                    </w:rPr>
                  </w:pPr>
                </w:p>
                <w:p w14:paraId="10EAC218">
                  <w:pPr>
                    <w:spacing w:line="251" w:lineRule="auto"/>
                    <w:rPr>
                      <w:rFonts w:ascii="Arial"/>
                      <w:sz w:val="21"/>
                    </w:rPr>
                  </w:pPr>
                </w:p>
                <w:p w14:paraId="10DFF402">
                  <w:pPr>
                    <w:spacing w:line="251" w:lineRule="auto"/>
                    <w:rPr>
                      <w:rFonts w:ascii="Arial"/>
                      <w:sz w:val="21"/>
                    </w:rPr>
                  </w:pPr>
                </w:p>
                <w:p w14:paraId="01D966DF">
                  <w:pPr>
                    <w:spacing w:line="251" w:lineRule="auto"/>
                    <w:rPr>
                      <w:rFonts w:ascii="Arial"/>
                      <w:sz w:val="21"/>
                    </w:rPr>
                  </w:pPr>
                </w:p>
                <w:p w14:paraId="68BF4E29">
                  <w:pPr>
                    <w:pStyle w:val="6"/>
                    <w:spacing w:before="69" w:line="219" w:lineRule="auto"/>
                    <w:ind w:left="411"/>
                    <w:rPr>
                      <w:sz w:val="21"/>
                      <w:szCs w:val="21"/>
                    </w:rPr>
                  </w:pPr>
                  <w:r>
                    <w:rPr>
                      <w:spacing w:val="-2"/>
                      <w:sz w:val="21"/>
                      <w:szCs w:val="21"/>
                    </w:rPr>
                    <w:t>《地表水环境质量标准》</w:t>
                  </w:r>
                </w:p>
                <w:p w14:paraId="6A995B7D">
                  <w:pPr>
                    <w:pStyle w:val="6"/>
                    <w:spacing w:before="40" w:line="219" w:lineRule="auto"/>
                    <w:ind w:left="145"/>
                    <w:rPr>
                      <w:sz w:val="21"/>
                      <w:szCs w:val="21"/>
                    </w:rPr>
                  </w:pPr>
                  <w:r>
                    <w:rPr>
                      <w:sz w:val="21"/>
                      <w:szCs w:val="21"/>
                    </w:rPr>
                    <w:t>(GB3838-2002)中Ⅲ类水质标准</w:t>
                  </w:r>
                </w:p>
              </w:tc>
            </w:tr>
            <w:tr w14:paraId="0AFB1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703" w:type="dxa"/>
                  <w:vAlign w:val="top"/>
                </w:tcPr>
                <w:p w14:paraId="6A4BD515">
                  <w:pPr>
                    <w:pStyle w:val="6"/>
                    <w:spacing w:before="81" w:line="200" w:lineRule="auto"/>
                    <w:ind w:left="784"/>
                    <w:rPr>
                      <w:sz w:val="21"/>
                      <w:szCs w:val="21"/>
                    </w:rPr>
                  </w:pPr>
                  <w:r>
                    <w:rPr>
                      <w:sz w:val="21"/>
                      <w:szCs w:val="21"/>
                    </w:rPr>
                    <w:t>2</w:t>
                  </w:r>
                </w:p>
              </w:tc>
              <w:tc>
                <w:tcPr>
                  <w:tcW w:w="1908" w:type="dxa"/>
                  <w:vAlign w:val="top"/>
                </w:tcPr>
                <w:p w14:paraId="2AC9C00C">
                  <w:pPr>
                    <w:pStyle w:val="6"/>
                    <w:spacing w:before="114" w:line="171" w:lineRule="auto"/>
                    <w:ind w:left="842"/>
                    <w:rPr>
                      <w:sz w:val="21"/>
                      <w:szCs w:val="21"/>
                    </w:rPr>
                  </w:pPr>
                  <w:r>
                    <w:rPr>
                      <w:spacing w:val="-2"/>
                      <w:sz w:val="21"/>
                      <w:szCs w:val="21"/>
                    </w:rPr>
                    <w:t>DO</w:t>
                  </w:r>
                </w:p>
              </w:tc>
              <w:tc>
                <w:tcPr>
                  <w:tcW w:w="1648" w:type="dxa"/>
                  <w:vAlign w:val="top"/>
                </w:tcPr>
                <w:p w14:paraId="7882B365">
                  <w:pPr>
                    <w:pStyle w:val="6"/>
                    <w:spacing w:before="81" w:line="200" w:lineRule="auto"/>
                    <w:ind w:left="654"/>
                    <w:rPr>
                      <w:sz w:val="21"/>
                      <w:szCs w:val="21"/>
                    </w:rPr>
                  </w:pPr>
                  <w:r>
                    <w:rPr>
                      <w:spacing w:val="-10"/>
                      <w:sz w:val="21"/>
                      <w:szCs w:val="21"/>
                    </w:rPr>
                    <w:t>≥5</w:t>
                  </w:r>
                </w:p>
              </w:tc>
              <w:tc>
                <w:tcPr>
                  <w:tcW w:w="3151" w:type="dxa"/>
                  <w:vMerge w:val="continue"/>
                  <w:tcBorders>
                    <w:top w:val="nil"/>
                    <w:bottom w:val="nil"/>
                  </w:tcBorders>
                  <w:vAlign w:val="top"/>
                </w:tcPr>
                <w:p w14:paraId="1976E841">
                  <w:pPr>
                    <w:rPr>
                      <w:rFonts w:ascii="Arial"/>
                      <w:sz w:val="21"/>
                    </w:rPr>
                  </w:pPr>
                </w:p>
              </w:tc>
            </w:tr>
            <w:tr w14:paraId="2B89E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703" w:type="dxa"/>
                  <w:vAlign w:val="top"/>
                </w:tcPr>
                <w:p w14:paraId="0EE4C1AC">
                  <w:pPr>
                    <w:pStyle w:val="6"/>
                    <w:spacing w:before="92" w:line="217" w:lineRule="auto"/>
                    <w:ind w:left="784"/>
                    <w:rPr>
                      <w:sz w:val="21"/>
                      <w:szCs w:val="21"/>
                    </w:rPr>
                  </w:pPr>
                  <w:r>
                    <w:rPr>
                      <w:sz w:val="21"/>
                      <w:szCs w:val="21"/>
                    </w:rPr>
                    <w:t>3</w:t>
                  </w:r>
                </w:p>
              </w:tc>
              <w:tc>
                <w:tcPr>
                  <w:tcW w:w="1908" w:type="dxa"/>
                  <w:vAlign w:val="top"/>
                </w:tcPr>
                <w:p w14:paraId="123F8741">
                  <w:pPr>
                    <w:pStyle w:val="6"/>
                    <w:spacing w:before="125" w:line="183" w:lineRule="auto"/>
                    <w:ind w:left="782"/>
                    <w:rPr>
                      <w:sz w:val="21"/>
                      <w:szCs w:val="21"/>
                    </w:rPr>
                  </w:pPr>
                  <w:r>
                    <w:rPr>
                      <w:spacing w:val="-2"/>
                      <w:sz w:val="21"/>
                      <w:szCs w:val="21"/>
                    </w:rPr>
                    <w:t>COD</w:t>
                  </w:r>
                </w:p>
              </w:tc>
              <w:tc>
                <w:tcPr>
                  <w:tcW w:w="1648" w:type="dxa"/>
                  <w:vAlign w:val="top"/>
                </w:tcPr>
                <w:p w14:paraId="0224A306">
                  <w:pPr>
                    <w:pStyle w:val="6"/>
                    <w:spacing w:before="89" w:line="219" w:lineRule="auto"/>
                    <w:ind w:left="604"/>
                    <w:rPr>
                      <w:sz w:val="21"/>
                      <w:szCs w:val="21"/>
                    </w:rPr>
                  </w:pPr>
                  <w:r>
                    <w:rPr>
                      <w:spacing w:val="-6"/>
                      <w:sz w:val="21"/>
                      <w:szCs w:val="21"/>
                    </w:rPr>
                    <w:t>≤20</w:t>
                  </w:r>
                </w:p>
              </w:tc>
              <w:tc>
                <w:tcPr>
                  <w:tcW w:w="3151" w:type="dxa"/>
                  <w:vMerge w:val="continue"/>
                  <w:tcBorders>
                    <w:top w:val="nil"/>
                    <w:bottom w:val="nil"/>
                  </w:tcBorders>
                  <w:vAlign w:val="top"/>
                </w:tcPr>
                <w:p w14:paraId="58B420CE">
                  <w:pPr>
                    <w:rPr>
                      <w:rFonts w:ascii="Arial"/>
                      <w:sz w:val="21"/>
                    </w:rPr>
                  </w:pPr>
                </w:p>
              </w:tc>
            </w:tr>
            <w:tr w14:paraId="3CB37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703" w:type="dxa"/>
                  <w:vAlign w:val="top"/>
                </w:tcPr>
                <w:p w14:paraId="09A8C1EE">
                  <w:pPr>
                    <w:pStyle w:val="6"/>
                    <w:spacing w:before="93" w:line="207" w:lineRule="auto"/>
                    <w:ind w:left="784"/>
                    <w:rPr>
                      <w:sz w:val="21"/>
                      <w:szCs w:val="21"/>
                    </w:rPr>
                  </w:pPr>
                  <w:r>
                    <w:rPr>
                      <w:sz w:val="21"/>
                      <w:szCs w:val="21"/>
                    </w:rPr>
                    <w:t>4</w:t>
                  </w:r>
                </w:p>
              </w:tc>
              <w:tc>
                <w:tcPr>
                  <w:tcW w:w="1908" w:type="dxa"/>
                  <w:vAlign w:val="top"/>
                </w:tcPr>
                <w:p w14:paraId="1A8299F2">
                  <w:pPr>
                    <w:pStyle w:val="6"/>
                    <w:spacing w:before="104" w:line="183" w:lineRule="auto"/>
                    <w:ind w:left="681"/>
                    <w:rPr>
                      <w:rFonts w:ascii="Calibri" w:hAnsi="Calibri" w:eastAsia="Calibri" w:cs="Calibri"/>
                      <w:sz w:val="21"/>
                      <w:szCs w:val="21"/>
                    </w:rPr>
                  </w:pPr>
                  <w:r>
                    <w:rPr>
                      <w:spacing w:val="-1"/>
                      <w:sz w:val="21"/>
                      <w:szCs w:val="21"/>
                    </w:rPr>
                    <w:t>BOD</w:t>
                  </w:r>
                  <w:r>
                    <w:rPr>
                      <w:rFonts w:ascii="Calibri" w:hAnsi="Calibri" w:eastAsia="Calibri" w:cs="Calibri"/>
                      <w:spacing w:val="-1"/>
                      <w:sz w:val="21"/>
                      <w:szCs w:val="21"/>
                    </w:rPr>
                    <w:t>₅</w:t>
                  </w:r>
                </w:p>
              </w:tc>
              <w:tc>
                <w:tcPr>
                  <w:tcW w:w="1648" w:type="dxa"/>
                  <w:vAlign w:val="top"/>
                </w:tcPr>
                <w:p w14:paraId="0F387DF7">
                  <w:pPr>
                    <w:pStyle w:val="6"/>
                    <w:spacing w:before="91" w:line="209" w:lineRule="auto"/>
                    <w:ind w:left="654"/>
                    <w:rPr>
                      <w:sz w:val="21"/>
                      <w:szCs w:val="21"/>
                    </w:rPr>
                  </w:pPr>
                  <w:r>
                    <w:rPr>
                      <w:spacing w:val="-8"/>
                      <w:sz w:val="21"/>
                      <w:szCs w:val="21"/>
                    </w:rPr>
                    <w:t>≤4</w:t>
                  </w:r>
                </w:p>
              </w:tc>
              <w:tc>
                <w:tcPr>
                  <w:tcW w:w="3151" w:type="dxa"/>
                  <w:vMerge w:val="continue"/>
                  <w:tcBorders>
                    <w:top w:val="nil"/>
                    <w:bottom w:val="nil"/>
                  </w:tcBorders>
                  <w:vAlign w:val="top"/>
                </w:tcPr>
                <w:p w14:paraId="156E1E99">
                  <w:pPr>
                    <w:rPr>
                      <w:rFonts w:ascii="Arial"/>
                      <w:sz w:val="21"/>
                    </w:rPr>
                  </w:pPr>
                </w:p>
              </w:tc>
            </w:tr>
            <w:tr w14:paraId="2CF07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703" w:type="dxa"/>
                  <w:vAlign w:val="top"/>
                </w:tcPr>
                <w:p w14:paraId="528A98C0">
                  <w:pPr>
                    <w:pStyle w:val="6"/>
                    <w:spacing w:before="84" w:line="197" w:lineRule="auto"/>
                    <w:ind w:left="784"/>
                    <w:rPr>
                      <w:sz w:val="21"/>
                      <w:szCs w:val="21"/>
                    </w:rPr>
                  </w:pPr>
                  <w:r>
                    <w:rPr>
                      <w:sz w:val="21"/>
                      <w:szCs w:val="21"/>
                    </w:rPr>
                    <w:t>5</w:t>
                  </w:r>
                </w:p>
              </w:tc>
              <w:tc>
                <w:tcPr>
                  <w:tcW w:w="1908" w:type="dxa"/>
                  <w:vAlign w:val="top"/>
                </w:tcPr>
                <w:p w14:paraId="3240529B">
                  <w:pPr>
                    <w:pStyle w:val="6"/>
                    <w:spacing w:before="63" w:line="216" w:lineRule="auto"/>
                    <w:ind w:left="732"/>
                    <w:rPr>
                      <w:sz w:val="21"/>
                      <w:szCs w:val="21"/>
                    </w:rPr>
                  </w:pPr>
                  <w:r>
                    <w:rPr>
                      <w:spacing w:val="4"/>
                      <w:sz w:val="21"/>
                      <w:szCs w:val="21"/>
                    </w:rPr>
                    <w:t>总磷</w:t>
                  </w:r>
                </w:p>
              </w:tc>
              <w:tc>
                <w:tcPr>
                  <w:tcW w:w="1648" w:type="dxa"/>
                  <w:vAlign w:val="top"/>
                </w:tcPr>
                <w:p w14:paraId="18ED91BB">
                  <w:pPr>
                    <w:pStyle w:val="6"/>
                    <w:spacing w:before="82" w:line="199" w:lineRule="auto"/>
                    <w:ind w:left="554"/>
                    <w:rPr>
                      <w:sz w:val="21"/>
                      <w:szCs w:val="21"/>
                    </w:rPr>
                  </w:pPr>
                  <w:r>
                    <w:rPr>
                      <w:spacing w:val="-6"/>
                      <w:sz w:val="21"/>
                      <w:szCs w:val="21"/>
                    </w:rPr>
                    <w:t>≤0.2</w:t>
                  </w:r>
                </w:p>
              </w:tc>
              <w:tc>
                <w:tcPr>
                  <w:tcW w:w="3151" w:type="dxa"/>
                  <w:vMerge w:val="continue"/>
                  <w:tcBorders>
                    <w:top w:val="nil"/>
                    <w:bottom w:val="nil"/>
                  </w:tcBorders>
                  <w:vAlign w:val="top"/>
                </w:tcPr>
                <w:p w14:paraId="4FC87870">
                  <w:pPr>
                    <w:rPr>
                      <w:rFonts w:ascii="Arial"/>
                      <w:sz w:val="21"/>
                    </w:rPr>
                  </w:pPr>
                </w:p>
              </w:tc>
            </w:tr>
            <w:tr w14:paraId="2372A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703" w:type="dxa"/>
                  <w:vAlign w:val="top"/>
                </w:tcPr>
                <w:p w14:paraId="5DF8984A">
                  <w:pPr>
                    <w:pStyle w:val="6"/>
                    <w:spacing w:before="95" w:line="214" w:lineRule="auto"/>
                    <w:ind w:left="784"/>
                    <w:rPr>
                      <w:sz w:val="21"/>
                      <w:szCs w:val="21"/>
                    </w:rPr>
                  </w:pPr>
                  <w:r>
                    <w:rPr>
                      <w:sz w:val="21"/>
                      <w:szCs w:val="21"/>
                    </w:rPr>
                    <w:t>6</w:t>
                  </w:r>
                </w:p>
              </w:tc>
              <w:tc>
                <w:tcPr>
                  <w:tcW w:w="1908" w:type="dxa"/>
                  <w:vAlign w:val="top"/>
                </w:tcPr>
                <w:p w14:paraId="64D82333">
                  <w:pPr>
                    <w:pStyle w:val="6"/>
                    <w:spacing w:before="73" w:line="219" w:lineRule="auto"/>
                    <w:ind w:left="732"/>
                    <w:rPr>
                      <w:sz w:val="21"/>
                      <w:szCs w:val="21"/>
                    </w:rPr>
                  </w:pPr>
                  <w:r>
                    <w:rPr>
                      <w:spacing w:val="-3"/>
                      <w:sz w:val="21"/>
                      <w:szCs w:val="21"/>
                    </w:rPr>
                    <w:t>氨氮</w:t>
                  </w:r>
                </w:p>
              </w:tc>
              <w:tc>
                <w:tcPr>
                  <w:tcW w:w="1648" w:type="dxa"/>
                  <w:vAlign w:val="top"/>
                </w:tcPr>
                <w:p w14:paraId="72DB6F2D">
                  <w:pPr>
                    <w:pStyle w:val="6"/>
                    <w:spacing w:before="93" w:line="216" w:lineRule="auto"/>
                    <w:ind w:left="554"/>
                    <w:rPr>
                      <w:sz w:val="21"/>
                      <w:szCs w:val="21"/>
                    </w:rPr>
                  </w:pPr>
                  <w:r>
                    <w:rPr>
                      <w:spacing w:val="-6"/>
                      <w:sz w:val="21"/>
                      <w:szCs w:val="21"/>
                    </w:rPr>
                    <w:t>≤1.0</w:t>
                  </w:r>
                </w:p>
              </w:tc>
              <w:tc>
                <w:tcPr>
                  <w:tcW w:w="3151" w:type="dxa"/>
                  <w:vMerge w:val="continue"/>
                  <w:tcBorders>
                    <w:top w:val="nil"/>
                    <w:bottom w:val="nil"/>
                  </w:tcBorders>
                  <w:vAlign w:val="top"/>
                </w:tcPr>
                <w:p w14:paraId="6C8790E1">
                  <w:pPr>
                    <w:rPr>
                      <w:rFonts w:ascii="Arial"/>
                      <w:sz w:val="21"/>
                    </w:rPr>
                  </w:pPr>
                </w:p>
              </w:tc>
            </w:tr>
            <w:tr w14:paraId="1BA6D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703" w:type="dxa"/>
                  <w:vAlign w:val="top"/>
                </w:tcPr>
                <w:p w14:paraId="79BA13EB">
                  <w:pPr>
                    <w:pStyle w:val="6"/>
                    <w:spacing w:before="86" w:line="204" w:lineRule="auto"/>
                    <w:ind w:left="784"/>
                    <w:rPr>
                      <w:sz w:val="21"/>
                      <w:szCs w:val="21"/>
                    </w:rPr>
                  </w:pPr>
                  <w:r>
                    <w:rPr>
                      <w:sz w:val="21"/>
                      <w:szCs w:val="21"/>
                    </w:rPr>
                    <w:t>7</w:t>
                  </w:r>
                </w:p>
              </w:tc>
              <w:tc>
                <w:tcPr>
                  <w:tcW w:w="1908" w:type="dxa"/>
                  <w:vAlign w:val="top"/>
                </w:tcPr>
                <w:p w14:paraId="4EA018E0">
                  <w:pPr>
                    <w:pStyle w:val="6"/>
                    <w:spacing w:before="65" w:line="219" w:lineRule="auto"/>
                    <w:ind w:left="312"/>
                    <w:rPr>
                      <w:sz w:val="21"/>
                      <w:szCs w:val="21"/>
                    </w:rPr>
                  </w:pPr>
                  <w:r>
                    <w:rPr>
                      <w:spacing w:val="1"/>
                      <w:sz w:val="21"/>
                      <w:szCs w:val="21"/>
                    </w:rPr>
                    <w:t>高锰酸钾指数</w:t>
                  </w:r>
                </w:p>
              </w:tc>
              <w:tc>
                <w:tcPr>
                  <w:tcW w:w="1648" w:type="dxa"/>
                  <w:vAlign w:val="top"/>
                </w:tcPr>
                <w:p w14:paraId="75154CDE">
                  <w:pPr>
                    <w:pStyle w:val="6"/>
                    <w:spacing w:before="84" w:line="206" w:lineRule="auto"/>
                    <w:ind w:left="654"/>
                    <w:rPr>
                      <w:sz w:val="21"/>
                      <w:szCs w:val="21"/>
                    </w:rPr>
                  </w:pPr>
                  <w:r>
                    <w:rPr>
                      <w:spacing w:val="-8"/>
                      <w:sz w:val="21"/>
                      <w:szCs w:val="21"/>
                    </w:rPr>
                    <w:t>≤6</w:t>
                  </w:r>
                </w:p>
              </w:tc>
              <w:tc>
                <w:tcPr>
                  <w:tcW w:w="3151" w:type="dxa"/>
                  <w:vMerge w:val="continue"/>
                  <w:tcBorders>
                    <w:top w:val="nil"/>
                    <w:bottom w:val="nil"/>
                  </w:tcBorders>
                  <w:vAlign w:val="top"/>
                </w:tcPr>
                <w:p w14:paraId="7FEE0D2A">
                  <w:pPr>
                    <w:rPr>
                      <w:rFonts w:ascii="Arial"/>
                      <w:sz w:val="21"/>
                    </w:rPr>
                  </w:pPr>
                </w:p>
              </w:tc>
            </w:tr>
            <w:tr w14:paraId="0CC3A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1703" w:type="dxa"/>
                  <w:vAlign w:val="top"/>
                </w:tcPr>
                <w:p w14:paraId="77D20207">
                  <w:pPr>
                    <w:pStyle w:val="6"/>
                    <w:spacing w:before="97" w:line="203" w:lineRule="auto"/>
                    <w:ind w:left="784"/>
                    <w:rPr>
                      <w:sz w:val="21"/>
                      <w:szCs w:val="21"/>
                    </w:rPr>
                  </w:pPr>
                  <w:r>
                    <w:rPr>
                      <w:sz w:val="21"/>
                      <w:szCs w:val="21"/>
                    </w:rPr>
                    <w:t>8</w:t>
                  </w:r>
                </w:p>
              </w:tc>
              <w:tc>
                <w:tcPr>
                  <w:tcW w:w="1908" w:type="dxa"/>
                  <w:vAlign w:val="top"/>
                </w:tcPr>
                <w:p w14:paraId="5D04D1B7">
                  <w:pPr>
                    <w:pStyle w:val="6"/>
                    <w:spacing w:before="76" w:line="219" w:lineRule="auto"/>
                    <w:ind w:left="632"/>
                    <w:rPr>
                      <w:sz w:val="21"/>
                      <w:szCs w:val="21"/>
                    </w:rPr>
                  </w:pPr>
                  <w:r>
                    <w:rPr>
                      <w:spacing w:val="-3"/>
                      <w:sz w:val="21"/>
                      <w:szCs w:val="21"/>
                    </w:rPr>
                    <w:t>石油类</w:t>
                  </w:r>
                </w:p>
              </w:tc>
              <w:tc>
                <w:tcPr>
                  <w:tcW w:w="1648" w:type="dxa"/>
                  <w:vAlign w:val="top"/>
                </w:tcPr>
                <w:p w14:paraId="5E7C79DD">
                  <w:pPr>
                    <w:pStyle w:val="6"/>
                    <w:spacing w:before="94" w:line="205" w:lineRule="auto"/>
                    <w:ind w:left="504"/>
                    <w:rPr>
                      <w:sz w:val="21"/>
                      <w:szCs w:val="21"/>
                    </w:rPr>
                  </w:pPr>
                  <w:r>
                    <w:rPr>
                      <w:spacing w:val="-5"/>
                      <w:sz w:val="21"/>
                      <w:szCs w:val="21"/>
                    </w:rPr>
                    <w:t>≤0.05</w:t>
                  </w:r>
                </w:p>
              </w:tc>
              <w:tc>
                <w:tcPr>
                  <w:tcW w:w="3151" w:type="dxa"/>
                  <w:vMerge w:val="continue"/>
                  <w:tcBorders>
                    <w:top w:val="nil"/>
                    <w:bottom w:val="nil"/>
                  </w:tcBorders>
                  <w:vAlign w:val="top"/>
                </w:tcPr>
                <w:p w14:paraId="7DCEB4AC">
                  <w:pPr>
                    <w:rPr>
                      <w:rFonts w:ascii="Arial"/>
                      <w:sz w:val="21"/>
                    </w:rPr>
                  </w:pPr>
                </w:p>
              </w:tc>
            </w:tr>
            <w:tr w14:paraId="63DC7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703" w:type="dxa"/>
                  <w:vAlign w:val="top"/>
                </w:tcPr>
                <w:p w14:paraId="4C51AF48">
                  <w:pPr>
                    <w:pStyle w:val="6"/>
                    <w:spacing w:before="99" w:line="215" w:lineRule="auto"/>
                    <w:ind w:left="784"/>
                    <w:rPr>
                      <w:sz w:val="21"/>
                      <w:szCs w:val="21"/>
                    </w:rPr>
                  </w:pPr>
                  <w:r>
                    <w:rPr>
                      <w:sz w:val="21"/>
                      <w:szCs w:val="21"/>
                    </w:rPr>
                    <w:t>9</w:t>
                  </w:r>
                </w:p>
              </w:tc>
              <w:tc>
                <w:tcPr>
                  <w:tcW w:w="1908" w:type="dxa"/>
                  <w:vAlign w:val="top"/>
                </w:tcPr>
                <w:p w14:paraId="639E779C">
                  <w:pPr>
                    <w:pStyle w:val="6"/>
                    <w:spacing w:before="78" w:line="219" w:lineRule="auto"/>
                    <w:ind w:left="421"/>
                    <w:rPr>
                      <w:sz w:val="21"/>
                      <w:szCs w:val="21"/>
                    </w:rPr>
                  </w:pPr>
                  <w:r>
                    <w:rPr>
                      <w:spacing w:val="-2"/>
                      <w:sz w:val="21"/>
                      <w:szCs w:val="21"/>
                    </w:rPr>
                    <w:t>粪大肠菌群</w:t>
                  </w:r>
                </w:p>
              </w:tc>
              <w:tc>
                <w:tcPr>
                  <w:tcW w:w="1648" w:type="dxa"/>
                  <w:vAlign w:val="top"/>
                </w:tcPr>
                <w:p w14:paraId="29104054">
                  <w:pPr>
                    <w:pStyle w:val="6"/>
                    <w:spacing w:before="97" w:line="217" w:lineRule="auto"/>
                    <w:ind w:left="443"/>
                    <w:rPr>
                      <w:sz w:val="21"/>
                      <w:szCs w:val="21"/>
                    </w:rPr>
                  </w:pPr>
                  <w:r>
                    <w:rPr>
                      <w:spacing w:val="-4"/>
                      <w:sz w:val="21"/>
                      <w:szCs w:val="21"/>
                    </w:rPr>
                    <w:t>≤10000</w:t>
                  </w:r>
                </w:p>
              </w:tc>
              <w:tc>
                <w:tcPr>
                  <w:tcW w:w="3151" w:type="dxa"/>
                  <w:vMerge w:val="continue"/>
                  <w:tcBorders>
                    <w:top w:val="nil"/>
                  </w:tcBorders>
                  <w:vAlign w:val="top"/>
                </w:tcPr>
                <w:p w14:paraId="5C37AA31">
                  <w:pPr>
                    <w:rPr>
                      <w:rFonts w:ascii="Arial"/>
                      <w:sz w:val="21"/>
                    </w:rPr>
                  </w:pPr>
                </w:p>
              </w:tc>
            </w:tr>
          </w:tbl>
          <w:p w14:paraId="1E057B34">
            <w:pPr>
              <w:pStyle w:val="6"/>
              <w:spacing w:before="52" w:line="220" w:lineRule="auto"/>
              <w:ind w:left="684"/>
              <w:rPr>
                <w:sz w:val="23"/>
                <w:szCs w:val="23"/>
              </w:rPr>
            </w:pPr>
            <w:r>
              <w:rPr>
                <w:b/>
                <w:bCs/>
                <w:spacing w:val="-3"/>
                <w:sz w:val="23"/>
                <w:szCs w:val="23"/>
              </w:rPr>
              <w:t>(3)声环境</w:t>
            </w:r>
          </w:p>
          <w:p w14:paraId="7DC9E70E">
            <w:pPr>
              <w:pStyle w:val="6"/>
              <w:spacing w:before="197" w:line="219" w:lineRule="auto"/>
              <w:ind w:left="551"/>
              <w:rPr>
                <w:sz w:val="23"/>
                <w:szCs w:val="23"/>
              </w:rPr>
            </w:pPr>
            <w:r>
              <w:rPr>
                <w:spacing w:val="1"/>
                <w:sz w:val="23"/>
                <w:szCs w:val="23"/>
              </w:rPr>
              <w:t>项目工程场址位于曲靖市陆良县大莫古镇阿油铺村民委员会、大地村</w:t>
            </w:r>
            <w:r>
              <w:rPr>
                <w:sz w:val="23"/>
                <w:szCs w:val="23"/>
              </w:rPr>
              <w:t>民委员</w:t>
            </w:r>
          </w:p>
          <w:p w14:paraId="5C941C4A">
            <w:pPr>
              <w:pStyle w:val="6"/>
              <w:spacing w:before="186" w:line="375" w:lineRule="auto"/>
              <w:ind w:left="81" w:right="323" w:firstLine="20"/>
              <w:rPr>
                <w:sz w:val="23"/>
                <w:szCs w:val="23"/>
              </w:rPr>
            </w:pPr>
            <w:r>
              <w:rPr>
                <w:sz w:val="23"/>
                <w:szCs w:val="23"/>
              </w:rPr>
              <w:t>会、大莫古村民委员会、发峨哨村民委员会、甘和村民委员会、新</w:t>
            </w:r>
            <w:r>
              <w:rPr>
                <w:spacing w:val="-1"/>
                <w:sz w:val="23"/>
                <w:szCs w:val="23"/>
              </w:rPr>
              <w:t>村村民委员会，</w:t>
            </w:r>
            <w:r>
              <w:rPr>
                <w:sz w:val="23"/>
                <w:szCs w:val="23"/>
              </w:rPr>
              <w:t xml:space="preserve"> </w:t>
            </w:r>
            <w:r>
              <w:rPr>
                <w:spacing w:val="1"/>
                <w:sz w:val="23"/>
                <w:szCs w:val="23"/>
              </w:rPr>
              <w:t>工程所处区域为一般农村地区，按区域声环境</w:t>
            </w:r>
            <w:r>
              <w:rPr>
                <w:sz w:val="23"/>
                <w:szCs w:val="23"/>
              </w:rPr>
              <w:t xml:space="preserve">功能要求，项目区声环境执行《声环 </w:t>
            </w:r>
            <w:r>
              <w:rPr>
                <w:spacing w:val="3"/>
                <w:sz w:val="23"/>
                <w:szCs w:val="23"/>
              </w:rPr>
              <w:t>境质量标准》(</w:t>
            </w:r>
            <w:r>
              <w:rPr>
                <w:sz w:val="23"/>
                <w:szCs w:val="23"/>
              </w:rPr>
              <w:t>GB</w:t>
            </w:r>
            <w:r>
              <w:rPr>
                <w:spacing w:val="3"/>
                <w:sz w:val="23"/>
                <w:szCs w:val="23"/>
              </w:rPr>
              <w:t>3096-2008)1类标准，同时栗树园村散</w:t>
            </w:r>
            <w:r>
              <w:rPr>
                <w:spacing w:val="2"/>
                <w:sz w:val="23"/>
                <w:szCs w:val="23"/>
              </w:rPr>
              <w:t>户4(田间农户看地)、</w:t>
            </w:r>
          </w:p>
          <w:p w14:paraId="74826D4E">
            <w:pPr>
              <w:pStyle w:val="6"/>
              <w:spacing w:before="1" w:line="218" w:lineRule="auto"/>
              <w:ind w:left="91"/>
              <w:rPr>
                <w:sz w:val="23"/>
                <w:szCs w:val="23"/>
              </w:rPr>
            </w:pPr>
            <w:r>
              <w:rPr>
                <w:spacing w:val="3"/>
                <w:sz w:val="23"/>
                <w:szCs w:val="23"/>
              </w:rPr>
              <w:t>栗树园村散户3(田间农户看地)以及栗树园村在福昆线道路边界护栏55m范围内、</w:t>
            </w:r>
          </w:p>
          <w:p w14:paraId="3C4622EF">
            <w:pPr>
              <w:pStyle w:val="6"/>
              <w:spacing w:before="209" w:line="347" w:lineRule="auto"/>
              <w:ind w:left="231" w:right="9" w:hanging="110"/>
              <w:rPr>
                <w:sz w:val="23"/>
                <w:szCs w:val="23"/>
              </w:rPr>
            </w:pPr>
            <w:r>
              <w:rPr>
                <w:spacing w:val="40"/>
                <w:sz w:val="23"/>
                <w:szCs w:val="23"/>
              </w:rPr>
              <w:t>大莫古集镇在汕昆高速道路边界护栏35m范围内执行《声环境质量标准》</w:t>
            </w:r>
            <w:r>
              <w:rPr>
                <w:spacing w:val="9"/>
                <w:sz w:val="23"/>
                <w:szCs w:val="23"/>
              </w:rPr>
              <w:t xml:space="preserve"> </w:t>
            </w:r>
            <w:r>
              <w:rPr>
                <w:sz w:val="23"/>
                <w:szCs w:val="23"/>
              </w:rPr>
              <w:t>(GB3096-2008)4a类标准，详见表3-26。</w:t>
            </w:r>
          </w:p>
        </w:tc>
      </w:tr>
    </w:tbl>
    <w:p w14:paraId="2B2C979F">
      <w:pPr>
        <w:pStyle w:val="2"/>
      </w:pPr>
    </w:p>
    <w:p w14:paraId="5FC717F9">
      <w:pPr>
        <w:sectPr>
          <w:footerReference r:id="rId120" w:type="default"/>
          <w:pgSz w:w="11910" w:h="16830"/>
          <w:pgMar w:top="400" w:right="1274" w:bottom="1245" w:left="1214" w:header="0" w:footer="1083" w:gutter="0"/>
          <w:cols w:space="720" w:num="1"/>
        </w:sectPr>
      </w:pPr>
    </w:p>
    <w:p w14:paraId="792589A5">
      <w:pPr>
        <w:spacing w:before="18"/>
      </w:pPr>
    </w:p>
    <w:p w14:paraId="09A66EAD">
      <w:pPr>
        <w:spacing w:before="17"/>
      </w:pPr>
    </w:p>
    <w:p w14:paraId="1EB96B25">
      <w:pPr>
        <w:spacing w:before="17"/>
      </w:pPr>
    </w:p>
    <w:p w14:paraId="7237885C">
      <w:pPr>
        <w:spacing w:before="17"/>
      </w:pPr>
    </w:p>
    <w:tbl>
      <w:tblPr>
        <w:tblStyle w:val="5"/>
        <w:tblW w:w="945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8793"/>
      </w:tblGrid>
      <w:tr w14:paraId="0D935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0" w:hRule="atLeast"/>
        </w:trPr>
        <w:tc>
          <w:tcPr>
            <w:tcW w:w="664" w:type="dxa"/>
            <w:vAlign w:val="top"/>
          </w:tcPr>
          <w:p w14:paraId="14AE8CA7">
            <w:pPr>
              <w:rPr>
                <w:rFonts w:ascii="Arial"/>
                <w:sz w:val="21"/>
              </w:rPr>
            </w:pPr>
          </w:p>
        </w:tc>
        <w:tc>
          <w:tcPr>
            <w:tcW w:w="8793" w:type="dxa"/>
            <w:vAlign w:val="top"/>
          </w:tcPr>
          <w:p w14:paraId="5A24743C">
            <w:pPr>
              <w:pStyle w:val="6"/>
              <w:spacing w:before="42" w:line="198" w:lineRule="auto"/>
              <w:ind w:left="2954"/>
              <w:rPr>
                <w:sz w:val="24"/>
                <w:szCs w:val="24"/>
              </w:rPr>
            </w:pPr>
            <w:r>
              <w:rPr>
                <w:b/>
                <w:bCs/>
                <w:spacing w:val="-3"/>
                <w:sz w:val="24"/>
                <w:szCs w:val="24"/>
              </w:rPr>
              <w:t>表3-26</w:t>
            </w:r>
            <w:r>
              <w:rPr>
                <w:spacing w:val="-3"/>
                <w:sz w:val="24"/>
                <w:szCs w:val="24"/>
              </w:rPr>
              <w:t xml:space="preserve">   </w:t>
            </w:r>
            <w:r>
              <w:rPr>
                <w:b/>
                <w:bCs/>
                <w:spacing w:val="-3"/>
                <w:sz w:val="24"/>
                <w:szCs w:val="24"/>
              </w:rPr>
              <w:t>声环境质量标准</w:t>
            </w:r>
          </w:p>
          <w:tbl>
            <w:tblPr>
              <w:tblStyle w:val="5"/>
              <w:tblW w:w="8499" w:type="dxa"/>
              <w:tblInd w:w="1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3"/>
              <w:gridCol w:w="3236"/>
              <w:gridCol w:w="1937"/>
              <w:gridCol w:w="1953"/>
            </w:tblGrid>
            <w:tr w14:paraId="013C4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373" w:type="dxa"/>
                  <w:vMerge w:val="restart"/>
                  <w:tcBorders>
                    <w:bottom w:val="nil"/>
                  </w:tcBorders>
                  <w:vAlign w:val="top"/>
                </w:tcPr>
                <w:p w14:paraId="3F965FA4">
                  <w:pPr>
                    <w:pStyle w:val="6"/>
                    <w:spacing w:before="253" w:line="219" w:lineRule="auto"/>
                    <w:ind w:left="464"/>
                    <w:rPr>
                      <w:sz w:val="21"/>
                      <w:szCs w:val="21"/>
                    </w:rPr>
                  </w:pPr>
                  <w:r>
                    <w:rPr>
                      <w:spacing w:val="8"/>
                      <w:sz w:val="21"/>
                      <w:szCs w:val="21"/>
                    </w:rPr>
                    <w:t>类别</w:t>
                  </w:r>
                </w:p>
              </w:tc>
              <w:tc>
                <w:tcPr>
                  <w:tcW w:w="3236" w:type="dxa"/>
                  <w:vMerge w:val="restart"/>
                  <w:tcBorders>
                    <w:bottom w:val="nil"/>
                  </w:tcBorders>
                  <w:vAlign w:val="top"/>
                </w:tcPr>
                <w:p w14:paraId="4CB1FD8E">
                  <w:pPr>
                    <w:pStyle w:val="6"/>
                    <w:spacing w:before="254" w:line="220" w:lineRule="auto"/>
                    <w:ind w:left="1191"/>
                    <w:rPr>
                      <w:sz w:val="21"/>
                      <w:szCs w:val="21"/>
                    </w:rPr>
                  </w:pPr>
                  <w:r>
                    <w:rPr>
                      <w:spacing w:val="-2"/>
                      <w:sz w:val="21"/>
                      <w:szCs w:val="21"/>
                    </w:rPr>
                    <w:t>适用区域</w:t>
                  </w:r>
                </w:p>
              </w:tc>
              <w:tc>
                <w:tcPr>
                  <w:tcW w:w="3890" w:type="dxa"/>
                  <w:gridSpan w:val="2"/>
                  <w:vAlign w:val="top"/>
                </w:tcPr>
                <w:p w14:paraId="085FDC07">
                  <w:pPr>
                    <w:pStyle w:val="6"/>
                    <w:spacing w:before="73" w:line="219" w:lineRule="auto"/>
                    <w:ind w:left="1145"/>
                    <w:rPr>
                      <w:sz w:val="21"/>
                      <w:szCs w:val="21"/>
                    </w:rPr>
                  </w:pPr>
                  <w:r>
                    <w:rPr>
                      <w:spacing w:val="4"/>
                      <w:sz w:val="21"/>
                      <w:szCs w:val="21"/>
                    </w:rPr>
                    <w:t>等效声级[</w:t>
                  </w:r>
                  <w:r>
                    <w:rPr>
                      <w:sz w:val="21"/>
                      <w:szCs w:val="21"/>
                    </w:rPr>
                    <w:t>dB</w:t>
                  </w:r>
                  <w:r>
                    <w:rPr>
                      <w:spacing w:val="4"/>
                      <w:sz w:val="21"/>
                      <w:szCs w:val="21"/>
                    </w:rPr>
                    <w:t>(A)]</w:t>
                  </w:r>
                </w:p>
              </w:tc>
            </w:tr>
            <w:tr w14:paraId="49C2C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1373" w:type="dxa"/>
                  <w:vMerge w:val="continue"/>
                  <w:tcBorders>
                    <w:top w:val="nil"/>
                  </w:tcBorders>
                  <w:vAlign w:val="top"/>
                </w:tcPr>
                <w:p w14:paraId="67CCDD25">
                  <w:pPr>
                    <w:rPr>
                      <w:rFonts w:ascii="Arial"/>
                      <w:sz w:val="21"/>
                    </w:rPr>
                  </w:pPr>
                </w:p>
              </w:tc>
              <w:tc>
                <w:tcPr>
                  <w:tcW w:w="3236" w:type="dxa"/>
                  <w:vMerge w:val="continue"/>
                  <w:tcBorders>
                    <w:top w:val="nil"/>
                  </w:tcBorders>
                  <w:vAlign w:val="top"/>
                </w:tcPr>
                <w:p w14:paraId="788ADA36">
                  <w:pPr>
                    <w:rPr>
                      <w:rFonts w:ascii="Arial"/>
                      <w:sz w:val="21"/>
                    </w:rPr>
                  </w:pPr>
                </w:p>
              </w:tc>
              <w:tc>
                <w:tcPr>
                  <w:tcW w:w="1937" w:type="dxa"/>
                  <w:vAlign w:val="top"/>
                </w:tcPr>
                <w:p w14:paraId="5924C0E9">
                  <w:pPr>
                    <w:pStyle w:val="6"/>
                    <w:spacing w:before="75" w:line="222" w:lineRule="auto"/>
                    <w:ind w:left="755"/>
                    <w:rPr>
                      <w:sz w:val="21"/>
                      <w:szCs w:val="21"/>
                    </w:rPr>
                  </w:pPr>
                  <w:r>
                    <w:rPr>
                      <w:spacing w:val="10"/>
                      <w:sz w:val="21"/>
                      <w:szCs w:val="21"/>
                    </w:rPr>
                    <w:t>昼间</w:t>
                  </w:r>
                </w:p>
              </w:tc>
              <w:tc>
                <w:tcPr>
                  <w:tcW w:w="1953" w:type="dxa"/>
                  <w:vAlign w:val="top"/>
                </w:tcPr>
                <w:p w14:paraId="5A0CE8ED">
                  <w:pPr>
                    <w:pStyle w:val="6"/>
                    <w:spacing w:before="71" w:line="219" w:lineRule="auto"/>
                    <w:ind w:left="758"/>
                    <w:rPr>
                      <w:sz w:val="21"/>
                      <w:szCs w:val="21"/>
                    </w:rPr>
                  </w:pPr>
                  <w:r>
                    <w:rPr>
                      <w:spacing w:val="10"/>
                      <w:sz w:val="21"/>
                      <w:szCs w:val="21"/>
                    </w:rPr>
                    <w:t>夜间</w:t>
                  </w:r>
                </w:p>
              </w:tc>
            </w:tr>
            <w:tr w14:paraId="0771C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373" w:type="dxa"/>
                  <w:vAlign w:val="top"/>
                </w:tcPr>
                <w:p w14:paraId="4BDBAFF6">
                  <w:pPr>
                    <w:pStyle w:val="6"/>
                    <w:spacing w:before="63" w:line="215" w:lineRule="auto"/>
                    <w:ind w:left="514"/>
                    <w:rPr>
                      <w:sz w:val="21"/>
                      <w:szCs w:val="21"/>
                    </w:rPr>
                  </w:pPr>
                  <w:r>
                    <w:rPr>
                      <w:spacing w:val="6"/>
                      <w:sz w:val="21"/>
                      <w:szCs w:val="21"/>
                    </w:rPr>
                    <w:t>1类</w:t>
                  </w:r>
                </w:p>
              </w:tc>
              <w:tc>
                <w:tcPr>
                  <w:tcW w:w="3236" w:type="dxa"/>
                  <w:vMerge w:val="restart"/>
                  <w:tcBorders>
                    <w:bottom w:val="nil"/>
                  </w:tcBorders>
                  <w:vAlign w:val="top"/>
                </w:tcPr>
                <w:p w14:paraId="1E2B5B60">
                  <w:pPr>
                    <w:pStyle w:val="6"/>
                    <w:spacing w:before="244" w:line="220" w:lineRule="auto"/>
                    <w:ind w:left="981"/>
                    <w:rPr>
                      <w:sz w:val="21"/>
                      <w:szCs w:val="21"/>
                    </w:rPr>
                  </w:pPr>
                  <w:r>
                    <w:rPr>
                      <w:spacing w:val="1"/>
                      <w:sz w:val="21"/>
                      <w:szCs w:val="21"/>
                    </w:rPr>
                    <w:t>项目所在区域</w:t>
                  </w:r>
                </w:p>
              </w:tc>
              <w:tc>
                <w:tcPr>
                  <w:tcW w:w="1937" w:type="dxa"/>
                  <w:vAlign w:val="top"/>
                </w:tcPr>
                <w:p w14:paraId="416500F5">
                  <w:pPr>
                    <w:pStyle w:val="6"/>
                    <w:spacing w:before="85" w:line="196" w:lineRule="auto"/>
                    <w:ind w:left="855"/>
                    <w:rPr>
                      <w:sz w:val="21"/>
                      <w:szCs w:val="21"/>
                    </w:rPr>
                  </w:pPr>
                  <w:r>
                    <w:rPr>
                      <w:spacing w:val="-4"/>
                      <w:sz w:val="21"/>
                      <w:szCs w:val="21"/>
                    </w:rPr>
                    <w:t>55</w:t>
                  </w:r>
                </w:p>
              </w:tc>
              <w:tc>
                <w:tcPr>
                  <w:tcW w:w="1953" w:type="dxa"/>
                  <w:vAlign w:val="top"/>
                </w:tcPr>
                <w:p w14:paraId="3985F0D8">
                  <w:pPr>
                    <w:pStyle w:val="6"/>
                    <w:spacing w:before="85" w:line="196" w:lineRule="auto"/>
                    <w:ind w:left="868"/>
                    <w:rPr>
                      <w:sz w:val="21"/>
                      <w:szCs w:val="21"/>
                    </w:rPr>
                  </w:pPr>
                  <w:r>
                    <w:rPr>
                      <w:spacing w:val="-2"/>
                      <w:sz w:val="21"/>
                      <w:szCs w:val="21"/>
                    </w:rPr>
                    <w:t>45</w:t>
                  </w:r>
                </w:p>
              </w:tc>
            </w:tr>
            <w:tr w14:paraId="6B4F6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373" w:type="dxa"/>
                  <w:vAlign w:val="top"/>
                </w:tcPr>
                <w:p w14:paraId="031649A8">
                  <w:pPr>
                    <w:pStyle w:val="6"/>
                    <w:spacing w:before="75" w:line="219" w:lineRule="auto"/>
                    <w:ind w:left="464"/>
                    <w:rPr>
                      <w:sz w:val="21"/>
                      <w:szCs w:val="21"/>
                    </w:rPr>
                  </w:pPr>
                  <w:r>
                    <w:rPr>
                      <w:spacing w:val="-2"/>
                      <w:sz w:val="21"/>
                      <w:szCs w:val="21"/>
                    </w:rPr>
                    <w:t>4a类</w:t>
                  </w:r>
                </w:p>
              </w:tc>
              <w:tc>
                <w:tcPr>
                  <w:tcW w:w="3236" w:type="dxa"/>
                  <w:vMerge w:val="continue"/>
                  <w:tcBorders>
                    <w:top w:val="nil"/>
                  </w:tcBorders>
                  <w:vAlign w:val="top"/>
                </w:tcPr>
                <w:p w14:paraId="5CE64691">
                  <w:pPr>
                    <w:rPr>
                      <w:rFonts w:ascii="Arial"/>
                      <w:sz w:val="21"/>
                    </w:rPr>
                  </w:pPr>
                </w:p>
              </w:tc>
              <w:tc>
                <w:tcPr>
                  <w:tcW w:w="1937" w:type="dxa"/>
                  <w:vAlign w:val="top"/>
                </w:tcPr>
                <w:p w14:paraId="3E615765">
                  <w:pPr>
                    <w:pStyle w:val="6"/>
                    <w:spacing w:before="96" w:line="216" w:lineRule="auto"/>
                    <w:ind w:left="855"/>
                    <w:rPr>
                      <w:sz w:val="21"/>
                      <w:szCs w:val="21"/>
                    </w:rPr>
                  </w:pPr>
                  <w:r>
                    <w:rPr>
                      <w:spacing w:val="-4"/>
                      <w:sz w:val="21"/>
                      <w:szCs w:val="21"/>
                    </w:rPr>
                    <w:t>70</w:t>
                  </w:r>
                </w:p>
              </w:tc>
              <w:tc>
                <w:tcPr>
                  <w:tcW w:w="1953" w:type="dxa"/>
                  <w:vAlign w:val="top"/>
                </w:tcPr>
                <w:p w14:paraId="38A72A12">
                  <w:pPr>
                    <w:pStyle w:val="6"/>
                    <w:spacing w:before="96" w:line="216" w:lineRule="auto"/>
                    <w:ind w:left="868"/>
                    <w:rPr>
                      <w:sz w:val="21"/>
                      <w:szCs w:val="21"/>
                    </w:rPr>
                  </w:pPr>
                  <w:r>
                    <w:rPr>
                      <w:spacing w:val="-4"/>
                      <w:sz w:val="21"/>
                      <w:szCs w:val="21"/>
                    </w:rPr>
                    <w:t>55</w:t>
                  </w:r>
                </w:p>
              </w:tc>
            </w:tr>
          </w:tbl>
          <w:p w14:paraId="75E0E452">
            <w:pPr>
              <w:pStyle w:val="6"/>
              <w:spacing w:before="22" w:line="220" w:lineRule="auto"/>
              <w:ind w:left="714"/>
              <w:rPr>
                <w:sz w:val="24"/>
                <w:szCs w:val="24"/>
              </w:rPr>
            </w:pPr>
            <w:r>
              <w:rPr>
                <w:b/>
                <w:bCs/>
                <w:spacing w:val="-2"/>
                <w:sz w:val="24"/>
                <w:szCs w:val="24"/>
              </w:rPr>
              <w:t>(4)工频电磁场</w:t>
            </w:r>
          </w:p>
          <w:p w14:paraId="5BDFF04B">
            <w:pPr>
              <w:pStyle w:val="6"/>
              <w:spacing w:before="185" w:line="358" w:lineRule="auto"/>
              <w:ind w:left="121" w:right="622" w:firstLine="489"/>
              <w:rPr>
                <w:sz w:val="24"/>
                <w:szCs w:val="24"/>
              </w:rPr>
            </w:pPr>
            <w:r>
              <w:rPr>
                <w:sz w:val="24"/>
                <w:szCs w:val="24"/>
              </w:rPr>
              <w:t>本项目新建1座110kV升压站和35KV架空集电线路，</w:t>
            </w:r>
            <w:r>
              <w:rPr>
                <w:spacing w:val="-1"/>
                <w:sz w:val="24"/>
                <w:szCs w:val="24"/>
              </w:rPr>
              <w:t>电力送出上网的110kV</w:t>
            </w:r>
            <w:r>
              <w:rPr>
                <w:sz w:val="24"/>
                <w:szCs w:val="24"/>
              </w:rPr>
              <w:t xml:space="preserve"> </w:t>
            </w:r>
            <w:r>
              <w:rPr>
                <w:spacing w:val="-1"/>
                <w:sz w:val="24"/>
                <w:szCs w:val="24"/>
              </w:rPr>
              <w:t>线路工程不属于本报告评价内容。</w:t>
            </w:r>
          </w:p>
          <w:p w14:paraId="68F56B26">
            <w:pPr>
              <w:pStyle w:val="6"/>
              <w:spacing w:before="2" w:line="356" w:lineRule="auto"/>
              <w:ind w:left="121" w:right="354" w:firstLine="489"/>
              <w:jc w:val="both"/>
              <w:rPr>
                <w:sz w:val="24"/>
                <w:szCs w:val="24"/>
              </w:rPr>
            </w:pPr>
            <w:r>
              <w:rPr>
                <w:sz w:val="24"/>
                <w:szCs w:val="24"/>
              </w:rPr>
              <w:t xml:space="preserve">根据《电磁环境控制限值》(GB8702-2014)关于电磁环境保护管理的规定， </w:t>
            </w:r>
            <w:r>
              <w:rPr>
                <w:spacing w:val="1"/>
                <w:sz w:val="24"/>
                <w:szCs w:val="24"/>
              </w:rPr>
              <w:t>本项目35</w:t>
            </w:r>
            <w:r>
              <w:rPr>
                <w:sz w:val="24"/>
                <w:szCs w:val="24"/>
              </w:rPr>
              <w:t>kV</w:t>
            </w:r>
            <w:r>
              <w:rPr>
                <w:spacing w:val="1"/>
                <w:sz w:val="24"/>
                <w:szCs w:val="24"/>
              </w:rPr>
              <w:t>集电线路属于电磁辐射豁免范围，项目110</w:t>
            </w:r>
            <w:r>
              <w:rPr>
                <w:sz w:val="24"/>
                <w:szCs w:val="24"/>
              </w:rPr>
              <w:t>kV升压站区域电磁环境质 量现状执行《电磁环境控制限值》(GB8702-2014),评价标准见表3-27。</w:t>
            </w:r>
          </w:p>
          <w:p w14:paraId="69E0F0ED">
            <w:pPr>
              <w:pStyle w:val="6"/>
              <w:spacing w:before="5" w:line="222" w:lineRule="auto"/>
              <w:ind w:left="2694"/>
              <w:rPr>
                <w:sz w:val="24"/>
                <w:szCs w:val="24"/>
              </w:rPr>
            </w:pPr>
            <w:r>
              <w:rPr>
                <w:b/>
                <w:bCs/>
                <w:spacing w:val="-1"/>
                <w:position w:val="-1"/>
                <w:sz w:val="24"/>
                <w:szCs w:val="24"/>
              </w:rPr>
              <w:t>表3-27</w:t>
            </w:r>
            <w:r>
              <w:rPr>
                <w:spacing w:val="-1"/>
                <w:position w:val="-1"/>
                <w:sz w:val="24"/>
                <w:szCs w:val="24"/>
              </w:rPr>
              <w:t xml:space="preserve">      </w:t>
            </w:r>
            <w:r>
              <w:rPr>
                <w:b/>
                <w:bCs/>
                <w:spacing w:val="-1"/>
                <w:sz w:val="24"/>
                <w:szCs w:val="24"/>
              </w:rPr>
              <w:t>电磁环境控制限值</w:t>
            </w:r>
          </w:p>
          <w:tbl>
            <w:tblPr>
              <w:tblStyle w:val="5"/>
              <w:tblW w:w="8509" w:type="dxa"/>
              <w:tblInd w:w="1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91"/>
              <w:gridCol w:w="1688"/>
              <w:gridCol w:w="3730"/>
            </w:tblGrid>
            <w:tr w14:paraId="2696A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3091" w:type="dxa"/>
                  <w:vAlign w:val="top"/>
                </w:tcPr>
                <w:p w14:paraId="56BFF594">
                  <w:pPr>
                    <w:pStyle w:val="6"/>
                    <w:spacing w:before="44" w:line="207" w:lineRule="auto"/>
                    <w:ind w:left="984"/>
                  </w:pPr>
                  <w:r>
                    <w:rPr>
                      <w:spacing w:val="2"/>
                    </w:rPr>
                    <w:t>污染物名称</w:t>
                  </w:r>
                </w:p>
              </w:tc>
              <w:tc>
                <w:tcPr>
                  <w:tcW w:w="1688" w:type="dxa"/>
                  <w:vAlign w:val="top"/>
                </w:tcPr>
                <w:p w14:paraId="3C7824F3">
                  <w:pPr>
                    <w:pStyle w:val="6"/>
                    <w:spacing w:before="41" w:line="209" w:lineRule="auto"/>
                    <w:ind w:left="393"/>
                  </w:pPr>
                  <w:r>
                    <w:rPr>
                      <w:spacing w:val="-2"/>
                    </w:rPr>
                    <w:t>评价标准</w:t>
                  </w:r>
                </w:p>
              </w:tc>
              <w:tc>
                <w:tcPr>
                  <w:tcW w:w="3730" w:type="dxa"/>
                  <w:vAlign w:val="top"/>
                </w:tcPr>
                <w:p w14:paraId="67D147A2">
                  <w:pPr>
                    <w:pStyle w:val="6"/>
                    <w:spacing w:before="44" w:line="207" w:lineRule="auto"/>
                    <w:ind w:left="1415"/>
                  </w:pPr>
                  <w:r>
                    <w:rPr>
                      <w:spacing w:val="-2"/>
                    </w:rPr>
                    <w:t>标准来源</w:t>
                  </w:r>
                </w:p>
              </w:tc>
            </w:tr>
            <w:tr w14:paraId="0F47A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091" w:type="dxa"/>
                  <w:vAlign w:val="top"/>
                </w:tcPr>
                <w:p w14:paraId="6A93C680">
                  <w:pPr>
                    <w:pStyle w:val="6"/>
                    <w:spacing w:before="53" w:line="212" w:lineRule="auto"/>
                    <w:ind w:left="824"/>
                  </w:pPr>
                  <w:r>
                    <w:rPr>
                      <w:spacing w:val="5"/>
                    </w:rPr>
                    <w:t>电场强度(V/m)</w:t>
                  </w:r>
                </w:p>
              </w:tc>
              <w:tc>
                <w:tcPr>
                  <w:tcW w:w="1688" w:type="dxa"/>
                  <w:vAlign w:val="top"/>
                </w:tcPr>
                <w:p w14:paraId="1CA5D1C0">
                  <w:pPr>
                    <w:pStyle w:val="6"/>
                    <w:spacing w:before="74" w:line="194" w:lineRule="auto"/>
                    <w:ind w:left="613"/>
                  </w:pPr>
                  <w:r>
                    <w:rPr>
                      <w:spacing w:val="-2"/>
                    </w:rPr>
                    <w:t>4000</w:t>
                  </w:r>
                </w:p>
              </w:tc>
              <w:tc>
                <w:tcPr>
                  <w:tcW w:w="3730" w:type="dxa"/>
                  <w:vMerge w:val="restart"/>
                  <w:tcBorders>
                    <w:bottom w:val="nil"/>
                  </w:tcBorders>
                  <w:vAlign w:val="top"/>
                </w:tcPr>
                <w:p w14:paraId="387EE755">
                  <w:pPr>
                    <w:pStyle w:val="6"/>
                    <w:spacing w:before="93" w:line="219" w:lineRule="auto"/>
                    <w:ind w:left="755"/>
                  </w:pPr>
                  <w:r>
                    <w:rPr>
                      <w:spacing w:val="-2"/>
                    </w:rPr>
                    <w:t>《电磁环境控制限值》</w:t>
                  </w:r>
                </w:p>
                <w:p w14:paraId="5C4A923B">
                  <w:pPr>
                    <w:pStyle w:val="6"/>
                    <w:spacing w:before="32" w:line="186" w:lineRule="auto"/>
                    <w:ind w:left="1145"/>
                  </w:pPr>
                  <w:r>
                    <w:rPr>
                      <w:spacing w:val="-4"/>
                    </w:rPr>
                    <w:t>(GB8702-2014)</w:t>
                  </w:r>
                </w:p>
              </w:tc>
            </w:tr>
            <w:tr w14:paraId="0380B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091" w:type="dxa"/>
                  <w:vAlign w:val="top"/>
                </w:tcPr>
                <w:p w14:paraId="7EE84B6E">
                  <w:pPr>
                    <w:pStyle w:val="6"/>
                    <w:spacing w:before="47" w:line="197" w:lineRule="auto"/>
                    <w:ind w:left="714"/>
                  </w:pPr>
                  <w:r>
                    <w:rPr>
                      <w:spacing w:val="5"/>
                    </w:rPr>
                    <w:t>磁感应强度(μT)</w:t>
                  </w:r>
                </w:p>
              </w:tc>
              <w:tc>
                <w:tcPr>
                  <w:tcW w:w="1688" w:type="dxa"/>
                  <w:vAlign w:val="top"/>
                </w:tcPr>
                <w:p w14:paraId="318D4B6E">
                  <w:pPr>
                    <w:pStyle w:val="6"/>
                    <w:spacing w:before="68" w:line="179" w:lineRule="auto"/>
                    <w:ind w:left="673"/>
                  </w:pPr>
                  <w:r>
                    <w:rPr>
                      <w:spacing w:val="-6"/>
                    </w:rPr>
                    <w:t>100</w:t>
                  </w:r>
                </w:p>
              </w:tc>
              <w:tc>
                <w:tcPr>
                  <w:tcW w:w="3730" w:type="dxa"/>
                  <w:vMerge w:val="continue"/>
                  <w:tcBorders>
                    <w:top w:val="nil"/>
                  </w:tcBorders>
                  <w:vAlign w:val="top"/>
                </w:tcPr>
                <w:p w14:paraId="38A5A440">
                  <w:pPr>
                    <w:rPr>
                      <w:rFonts w:ascii="Arial"/>
                      <w:sz w:val="21"/>
                    </w:rPr>
                  </w:pPr>
                </w:p>
              </w:tc>
            </w:tr>
          </w:tbl>
          <w:p w14:paraId="1FC4E589">
            <w:pPr>
              <w:pStyle w:val="6"/>
              <w:spacing w:before="43" w:line="220" w:lineRule="auto"/>
              <w:ind w:left="114"/>
              <w:rPr>
                <w:sz w:val="24"/>
                <w:szCs w:val="24"/>
              </w:rPr>
            </w:pPr>
            <w:r>
              <w:rPr>
                <w:b/>
                <w:bCs/>
                <w:spacing w:val="-4"/>
                <w:sz w:val="24"/>
                <w:szCs w:val="24"/>
              </w:rPr>
              <w:t>2污染物排放标准</w:t>
            </w:r>
          </w:p>
          <w:p w14:paraId="6B2F2FA7">
            <w:pPr>
              <w:pStyle w:val="6"/>
              <w:spacing w:before="183" w:line="220" w:lineRule="auto"/>
              <w:ind w:left="714"/>
              <w:rPr>
                <w:sz w:val="24"/>
                <w:szCs w:val="24"/>
              </w:rPr>
            </w:pPr>
            <w:r>
              <w:rPr>
                <w:b/>
                <w:bCs/>
                <w:spacing w:val="-2"/>
                <w:sz w:val="24"/>
                <w:szCs w:val="24"/>
              </w:rPr>
              <w:t>(1)大气污染物</w:t>
            </w:r>
          </w:p>
          <w:p w14:paraId="1FC2BD72">
            <w:pPr>
              <w:pStyle w:val="6"/>
              <w:spacing w:before="186" w:line="357" w:lineRule="auto"/>
              <w:ind w:left="131" w:firstLine="479"/>
              <w:rPr>
                <w:sz w:val="24"/>
                <w:szCs w:val="24"/>
              </w:rPr>
            </w:pPr>
            <w:r>
              <w:rPr>
                <w:sz w:val="24"/>
                <w:szCs w:val="24"/>
              </w:rPr>
              <w:t>施工期扬尘属无组织排放，执行《大气污染物综合排放标准》(GB16297-1996)</w:t>
            </w:r>
            <w:r>
              <w:rPr>
                <w:spacing w:val="11"/>
                <w:sz w:val="24"/>
                <w:szCs w:val="24"/>
              </w:rPr>
              <w:t xml:space="preserve"> </w:t>
            </w:r>
            <w:r>
              <w:rPr>
                <w:sz w:val="24"/>
                <w:szCs w:val="24"/>
              </w:rPr>
              <w:t>表2无组织排放监控浓度限值，详见表3-28。</w:t>
            </w:r>
          </w:p>
          <w:p w14:paraId="1DA45439">
            <w:pPr>
              <w:pStyle w:val="6"/>
              <w:tabs>
                <w:tab w:val="left" w:pos="2496"/>
              </w:tabs>
              <w:spacing w:line="220" w:lineRule="auto"/>
              <w:ind w:left="931"/>
              <w:rPr>
                <w:sz w:val="24"/>
                <w:szCs w:val="24"/>
              </w:rPr>
            </w:pPr>
            <w:r>
              <w:rPr>
                <w:sz w:val="24"/>
                <w:szCs w:val="24"/>
                <w:u w:val="single" w:color="auto"/>
              </w:rPr>
              <w:tab/>
            </w:r>
            <w:r>
              <w:rPr>
                <w:spacing w:val="-98"/>
                <w:sz w:val="24"/>
                <w:szCs w:val="24"/>
                <w:u w:val="single" w:color="auto"/>
              </w:rPr>
              <w:t xml:space="preserve"> </w:t>
            </w:r>
            <w:r>
              <w:rPr>
                <w:b/>
                <w:bCs/>
                <w:spacing w:val="-4"/>
                <w:sz w:val="24"/>
                <w:szCs w:val="24"/>
                <w:u w:val="single" w:color="auto"/>
              </w:rPr>
              <w:t>表3-28大气污染物综合排放标准</w:t>
            </w:r>
            <w:r>
              <w:rPr>
                <w:spacing w:val="-115"/>
                <w:sz w:val="24"/>
                <w:szCs w:val="24"/>
              </w:rPr>
              <w:t xml:space="preserve"> </w:t>
            </w:r>
            <w:r>
              <w:rPr>
                <w:sz w:val="24"/>
                <w:szCs w:val="24"/>
                <w:u w:val="single" w:color="auto"/>
              </w:rPr>
              <w:t xml:space="preserve">              </w:t>
            </w:r>
          </w:p>
          <w:p w14:paraId="620266A7">
            <w:pPr>
              <w:pStyle w:val="6"/>
              <w:spacing w:before="67" w:line="223" w:lineRule="auto"/>
              <w:ind w:left="2001"/>
              <w:rPr>
                <w:sz w:val="24"/>
                <w:szCs w:val="24"/>
              </w:rPr>
            </w:pPr>
            <w:r>
              <w:drawing>
                <wp:anchor distT="0" distB="0" distL="0" distR="0" simplePos="0" relativeHeight="251699200" behindDoc="0" locked="0" layoutInCell="1" allowOverlap="1">
                  <wp:simplePos x="0" y="0"/>
                  <wp:positionH relativeFrom="column">
                    <wp:posOffset>324485</wp:posOffset>
                  </wp:positionH>
                  <wp:positionV relativeFrom="paragraph">
                    <wp:posOffset>200660</wp:posOffset>
                  </wp:positionV>
                  <wp:extent cx="4876800" cy="2794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298"/>
                          <a:stretch>
                            <a:fillRect/>
                          </a:stretch>
                        </pic:blipFill>
                        <pic:spPr>
                          <a:xfrm>
                            <a:off x="0" y="0"/>
                            <a:ext cx="4876829" cy="27737"/>
                          </a:xfrm>
                          <a:prstGeom prst="rect">
                            <a:avLst/>
                          </a:prstGeom>
                        </pic:spPr>
                      </pic:pic>
                    </a:graphicData>
                  </a:graphic>
                </wp:anchor>
              </w:drawing>
            </w:r>
            <w:r>
              <w:rPr>
                <w:spacing w:val="1"/>
                <w:position w:val="1"/>
                <w:sz w:val="24"/>
                <w:szCs w:val="24"/>
              </w:rPr>
              <w:t xml:space="preserve">污染物                     </w:t>
            </w:r>
            <w:r>
              <w:rPr>
                <w:sz w:val="24"/>
                <w:szCs w:val="24"/>
              </w:rPr>
              <w:t>TSP</w:t>
            </w:r>
            <w:r>
              <w:rPr>
                <w:spacing w:val="1"/>
                <w:sz w:val="24"/>
                <w:szCs w:val="24"/>
              </w:rPr>
              <w:t>(</w:t>
            </w:r>
            <w:r>
              <w:rPr>
                <w:sz w:val="24"/>
                <w:szCs w:val="24"/>
              </w:rPr>
              <w:t>mg</w:t>
            </w:r>
            <w:r>
              <w:rPr>
                <w:spacing w:val="1"/>
                <w:sz w:val="24"/>
                <w:szCs w:val="24"/>
              </w:rPr>
              <w:t>/m³)</w:t>
            </w:r>
          </w:p>
          <w:p w14:paraId="5C7C73BB">
            <w:pPr>
              <w:pStyle w:val="6"/>
              <w:spacing w:before="60" w:line="220" w:lineRule="auto"/>
              <w:ind w:left="1881"/>
              <w:rPr>
                <w:sz w:val="24"/>
                <w:szCs w:val="24"/>
              </w:rPr>
            </w:pPr>
            <w:r>
              <w:drawing>
                <wp:anchor distT="0" distB="0" distL="0" distR="0" simplePos="0" relativeHeight="251698176" behindDoc="0" locked="0" layoutInCell="1" allowOverlap="1">
                  <wp:simplePos x="0" y="0"/>
                  <wp:positionH relativeFrom="column">
                    <wp:posOffset>191135</wp:posOffset>
                  </wp:positionH>
                  <wp:positionV relativeFrom="paragraph">
                    <wp:posOffset>182880</wp:posOffset>
                  </wp:positionV>
                  <wp:extent cx="5111750" cy="22225"/>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299"/>
                          <a:stretch>
                            <a:fillRect/>
                          </a:stretch>
                        </pic:blipFill>
                        <pic:spPr>
                          <a:xfrm>
                            <a:off x="0" y="0"/>
                            <a:ext cx="5111730" cy="22402"/>
                          </a:xfrm>
                          <a:prstGeom prst="rect">
                            <a:avLst/>
                          </a:prstGeom>
                        </pic:spPr>
                      </pic:pic>
                    </a:graphicData>
                  </a:graphic>
                </wp:anchor>
              </w:drawing>
            </w:r>
            <w:r>
              <w:rPr>
                <w:spacing w:val="3"/>
                <w:sz w:val="24"/>
                <w:szCs w:val="24"/>
              </w:rPr>
              <w:t>浓度限值</w:t>
            </w:r>
            <w:r>
              <w:rPr>
                <w:spacing w:val="6"/>
                <w:sz w:val="24"/>
                <w:szCs w:val="24"/>
              </w:rPr>
              <w:t xml:space="preserve">                  </w:t>
            </w:r>
            <w:r>
              <w:rPr>
                <w:spacing w:val="3"/>
                <w:sz w:val="24"/>
                <w:szCs w:val="24"/>
              </w:rPr>
              <w:t>1.0(无组织排放)</w:t>
            </w:r>
          </w:p>
          <w:p w14:paraId="07C5F1B7">
            <w:pPr>
              <w:pStyle w:val="6"/>
              <w:spacing w:before="44" w:line="348" w:lineRule="auto"/>
              <w:ind w:left="111" w:firstLine="465"/>
              <w:rPr>
                <w:sz w:val="24"/>
                <w:szCs w:val="24"/>
              </w:rPr>
            </w:pPr>
            <w:r>
              <w:rPr>
                <w:spacing w:val="-2"/>
                <w:sz w:val="24"/>
                <w:szCs w:val="24"/>
              </w:rPr>
              <w:t>根据设计资料，项目升压站食堂设有2个灶头，油烟经油烟净化器净</w:t>
            </w:r>
            <w:r>
              <w:rPr>
                <w:spacing w:val="-3"/>
                <w:sz w:val="24"/>
                <w:szCs w:val="24"/>
              </w:rPr>
              <w:t>化后排放，</w:t>
            </w:r>
            <w:r>
              <w:rPr>
                <w:sz w:val="24"/>
                <w:szCs w:val="24"/>
              </w:rPr>
              <w:t xml:space="preserve"> </w:t>
            </w:r>
            <w:r>
              <w:rPr>
                <w:spacing w:val="-1"/>
                <w:sz w:val="24"/>
                <w:szCs w:val="24"/>
              </w:rPr>
              <w:t>属于小型规模，食堂油烟废气参照《饮食业油烟排放标</w:t>
            </w:r>
            <w:r>
              <w:rPr>
                <w:spacing w:val="-2"/>
                <w:sz w:val="24"/>
                <w:szCs w:val="24"/>
              </w:rPr>
              <w:t>准》(GB18483-2001)表2</w:t>
            </w:r>
          </w:p>
          <w:p w14:paraId="28F02F11">
            <w:pPr>
              <w:pStyle w:val="6"/>
              <w:spacing w:before="16" w:line="219" w:lineRule="auto"/>
              <w:ind w:left="131"/>
              <w:rPr>
                <w:sz w:val="24"/>
                <w:szCs w:val="24"/>
              </w:rPr>
            </w:pPr>
            <w:r>
              <w:rPr>
                <w:sz w:val="24"/>
                <w:szCs w:val="24"/>
              </w:rPr>
              <w:t>小型标准，具体标准限值见表3-29。</w:t>
            </w:r>
          </w:p>
          <w:p w14:paraId="58EC8063">
            <w:pPr>
              <w:pStyle w:val="6"/>
              <w:spacing w:before="182" w:line="198" w:lineRule="auto"/>
              <w:ind w:left="2744"/>
              <w:rPr>
                <w:sz w:val="24"/>
                <w:szCs w:val="24"/>
              </w:rPr>
            </w:pPr>
            <w:r>
              <w:rPr>
                <w:b/>
                <w:bCs/>
                <w:spacing w:val="-3"/>
                <w:sz w:val="24"/>
                <w:szCs w:val="24"/>
              </w:rPr>
              <w:t>表3-29</w:t>
            </w:r>
            <w:r>
              <w:rPr>
                <w:spacing w:val="-3"/>
                <w:sz w:val="24"/>
                <w:szCs w:val="24"/>
              </w:rPr>
              <w:t xml:space="preserve">  </w:t>
            </w:r>
            <w:r>
              <w:rPr>
                <w:b/>
                <w:bCs/>
                <w:spacing w:val="-3"/>
                <w:sz w:val="24"/>
                <w:szCs w:val="24"/>
              </w:rPr>
              <w:t>饮食业油烟排放标准</w:t>
            </w:r>
          </w:p>
          <w:tbl>
            <w:tblPr>
              <w:tblStyle w:val="5"/>
              <w:tblW w:w="8509" w:type="dxa"/>
              <w:tblInd w:w="1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18"/>
              <w:gridCol w:w="2591"/>
            </w:tblGrid>
            <w:tr w14:paraId="31B92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5918" w:type="dxa"/>
                  <w:vAlign w:val="top"/>
                </w:tcPr>
                <w:p w14:paraId="14B3D029">
                  <w:pPr>
                    <w:pStyle w:val="6"/>
                    <w:spacing w:before="64" w:line="219" w:lineRule="auto"/>
                    <w:ind w:left="2734"/>
                  </w:pPr>
                  <w:r>
                    <w:rPr>
                      <w:spacing w:val="-3"/>
                    </w:rPr>
                    <w:t>规模</w:t>
                  </w:r>
                </w:p>
              </w:tc>
              <w:tc>
                <w:tcPr>
                  <w:tcW w:w="2591" w:type="dxa"/>
                  <w:vAlign w:val="top"/>
                </w:tcPr>
                <w:p w14:paraId="42A411BD">
                  <w:pPr>
                    <w:pStyle w:val="6"/>
                    <w:spacing w:before="66" w:line="221" w:lineRule="auto"/>
                    <w:ind w:left="1066"/>
                  </w:pPr>
                  <w:r>
                    <w:rPr>
                      <w:spacing w:val="7"/>
                    </w:rPr>
                    <w:t>小型</w:t>
                  </w:r>
                </w:p>
              </w:tc>
            </w:tr>
            <w:tr w14:paraId="7BF84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918" w:type="dxa"/>
                  <w:vAlign w:val="top"/>
                </w:tcPr>
                <w:p w14:paraId="38EDF9EA">
                  <w:pPr>
                    <w:pStyle w:val="6"/>
                    <w:spacing w:before="65" w:line="214" w:lineRule="auto"/>
                    <w:ind w:left="1634"/>
                  </w:pPr>
                  <w:r>
                    <w:rPr>
                      <w:spacing w:val="12"/>
                    </w:rPr>
                    <w:t>最高允许排放浓度(</w:t>
                  </w:r>
                  <w:r>
                    <w:t>mg</w:t>
                  </w:r>
                  <w:r>
                    <w:rPr>
                      <w:spacing w:val="12"/>
                    </w:rPr>
                    <w:t>/m³)</w:t>
                  </w:r>
                </w:p>
              </w:tc>
              <w:tc>
                <w:tcPr>
                  <w:tcW w:w="2591" w:type="dxa"/>
                  <w:vAlign w:val="top"/>
                </w:tcPr>
                <w:p w14:paraId="21A99E2A">
                  <w:pPr>
                    <w:pStyle w:val="6"/>
                    <w:spacing w:before="95" w:line="202" w:lineRule="auto"/>
                    <w:ind w:left="1126"/>
                  </w:pPr>
                  <w:r>
                    <w:rPr>
                      <w:spacing w:val="-3"/>
                    </w:rPr>
                    <w:t>2.0</w:t>
                  </w:r>
                </w:p>
              </w:tc>
            </w:tr>
            <w:tr w14:paraId="564A1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5918" w:type="dxa"/>
                  <w:vAlign w:val="top"/>
                </w:tcPr>
                <w:p w14:paraId="140E051D">
                  <w:pPr>
                    <w:pStyle w:val="6"/>
                    <w:spacing w:before="66" w:line="214" w:lineRule="auto"/>
                    <w:ind w:left="1794"/>
                  </w:pPr>
                  <w:r>
                    <w:rPr>
                      <w:spacing w:val="4"/>
                    </w:rPr>
                    <w:t>净化设施最低去除率(%)</w:t>
                  </w:r>
                </w:p>
              </w:tc>
              <w:tc>
                <w:tcPr>
                  <w:tcW w:w="2591" w:type="dxa"/>
                  <w:vAlign w:val="top"/>
                </w:tcPr>
                <w:p w14:paraId="5FF35923">
                  <w:pPr>
                    <w:pStyle w:val="6"/>
                    <w:spacing w:before="88" w:line="196" w:lineRule="auto"/>
                    <w:ind w:left="1176"/>
                  </w:pPr>
                  <w:r>
                    <w:rPr>
                      <w:spacing w:val="-3"/>
                    </w:rPr>
                    <w:t>60</w:t>
                  </w:r>
                </w:p>
              </w:tc>
            </w:tr>
          </w:tbl>
          <w:p w14:paraId="21846B79">
            <w:pPr>
              <w:pStyle w:val="6"/>
              <w:spacing w:before="72" w:line="219" w:lineRule="auto"/>
              <w:ind w:left="734"/>
              <w:rPr>
                <w:sz w:val="24"/>
                <w:szCs w:val="24"/>
              </w:rPr>
            </w:pPr>
            <w:r>
              <w:rPr>
                <w:b/>
                <w:bCs/>
                <w:spacing w:val="-2"/>
                <w:sz w:val="24"/>
                <w:szCs w:val="24"/>
              </w:rPr>
              <w:t>(2)水污染物</w:t>
            </w:r>
          </w:p>
          <w:p w14:paraId="7C74DC47">
            <w:pPr>
              <w:pStyle w:val="6"/>
              <w:spacing w:before="169" w:line="219" w:lineRule="auto"/>
              <w:ind w:left="611"/>
              <w:rPr>
                <w:sz w:val="24"/>
                <w:szCs w:val="24"/>
              </w:rPr>
            </w:pPr>
            <w:r>
              <w:rPr>
                <w:sz w:val="24"/>
                <w:szCs w:val="24"/>
              </w:rPr>
              <w:t>施工期：施工期产生的生产废水经处理后全部回用，不外</w:t>
            </w:r>
            <w:r>
              <w:rPr>
                <w:spacing w:val="-1"/>
                <w:sz w:val="24"/>
                <w:szCs w:val="24"/>
              </w:rPr>
              <w:t>排。</w:t>
            </w:r>
          </w:p>
          <w:p w14:paraId="6934720D">
            <w:pPr>
              <w:pStyle w:val="6"/>
              <w:spacing w:before="182" w:line="343" w:lineRule="auto"/>
              <w:ind w:left="121" w:right="21" w:firstLine="489"/>
              <w:jc w:val="both"/>
              <w:rPr>
                <w:sz w:val="24"/>
                <w:szCs w:val="24"/>
              </w:rPr>
            </w:pPr>
            <w:r>
              <w:rPr>
                <w:sz w:val="24"/>
                <w:szCs w:val="24"/>
              </w:rPr>
              <w:t>运行期：项目废水主要为光伏清洗废水及升压站值班</w:t>
            </w:r>
            <w:r>
              <w:rPr>
                <w:spacing w:val="-1"/>
                <w:sz w:val="24"/>
                <w:szCs w:val="24"/>
              </w:rPr>
              <w:t>人员生活废水。其中升压</w:t>
            </w:r>
            <w:r>
              <w:rPr>
                <w:sz w:val="24"/>
                <w:szCs w:val="24"/>
              </w:rPr>
              <w:t xml:space="preserve"> 站值班人员生活废水经隔油池、化粪池、一体化生活废</w:t>
            </w:r>
            <w:r>
              <w:rPr>
                <w:spacing w:val="-1"/>
                <w:sz w:val="24"/>
                <w:szCs w:val="24"/>
              </w:rPr>
              <w:t>水处理站处理达标后全部回</w:t>
            </w:r>
            <w:r>
              <w:rPr>
                <w:sz w:val="24"/>
                <w:szCs w:val="24"/>
              </w:rPr>
              <w:t xml:space="preserve"> 用于绿化及洒水降尘用水，回用水水质标准执行《城市污水再生利用城市杂用水</w:t>
            </w:r>
          </w:p>
        </w:tc>
      </w:tr>
    </w:tbl>
    <w:p w14:paraId="4413034A">
      <w:pPr>
        <w:pStyle w:val="2"/>
      </w:pPr>
    </w:p>
    <w:p w14:paraId="088037D6">
      <w:pPr>
        <w:sectPr>
          <w:footerReference r:id="rId121" w:type="default"/>
          <w:pgSz w:w="11910" w:h="16830"/>
          <w:pgMar w:top="400" w:right="1227" w:bottom="1245" w:left="1214" w:header="0" w:footer="1083" w:gutter="0"/>
          <w:cols w:space="720" w:num="1"/>
        </w:sectPr>
      </w:pPr>
    </w:p>
    <w:p w14:paraId="43745C0B">
      <w:pPr>
        <w:spacing w:before="9"/>
      </w:pPr>
    </w:p>
    <w:p w14:paraId="69B9E062">
      <w:pPr>
        <w:spacing w:before="9"/>
      </w:pPr>
    </w:p>
    <w:p w14:paraId="0FFD612D">
      <w:pPr>
        <w:spacing w:before="8"/>
      </w:pPr>
    </w:p>
    <w:p w14:paraId="2273FA03">
      <w:pPr>
        <w:spacing w:before="8"/>
      </w:pPr>
    </w:p>
    <w:tbl>
      <w:tblPr>
        <w:tblStyle w:val="5"/>
        <w:tblW w:w="947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8763"/>
      </w:tblGrid>
      <w:tr w14:paraId="619EE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9" w:hRule="atLeast"/>
        </w:trPr>
        <w:tc>
          <w:tcPr>
            <w:tcW w:w="714" w:type="dxa"/>
            <w:tcBorders>
              <w:left w:val="single" w:color="000000" w:sz="2" w:space="0"/>
            </w:tcBorders>
            <w:vAlign w:val="top"/>
          </w:tcPr>
          <w:p w14:paraId="024C376A">
            <w:pPr>
              <w:rPr>
                <w:rFonts w:ascii="Arial"/>
                <w:sz w:val="21"/>
              </w:rPr>
            </w:pPr>
          </w:p>
        </w:tc>
        <w:tc>
          <w:tcPr>
            <w:tcW w:w="8763" w:type="dxa"/>
            <w:tcBorders>
              <w:right w:val="single" w:color="000000" w:sz="8" w:space="0"/>
            </w:tcBorders>
            <w:vAlign w:val="top"/>
          </w:tcPr>
          <w:p w14:paraId="1CA1EF77">
            <w:pPr>
              <w:pStyle w:val="6"/>
              <w:spacing w:before="42" w:line="212" w:lineRule="auto"/>
              <w:ind w:left="98"/>
              <w:rPr>
                <w:sz w:val="24"/>
                <w:szCs w:val="24"/>
              </w:rPr>
            </w:pPr>
            <w:r>
              <w:rPr>
                <w:spacing w:val="-9"/>
                <w:sz w:val="24"/>
                <w:szCs w:val="24"/>
              </w:rPr>
              <w:t>水质》</w:t>
            </w:r>
            <w:r>
              <w:rPr>
                <w:spacing w:val="-30"/>
                <w:sz w:val="24"/>
                <w:szCs w:val="24"/>
              </w:rPr>
              <w:t xml:space="preserve"> </w:t>
            </w:r>
            <w:r>
              <w:rPr>
                <w:spacing w:val="-9"/>
                <w:sz w:val="24"/>
                <w:szCs w:val="24"/>
              </w:rPr>
              <w:t>(</w:t>
            </w:r>
            <w:r>
              <w:rPr>
                <w:spacing w:val="-49"/>
                <w:sz w:val="24"/>
                <w:szCs w:val="24"/>
              </w:rPr>
              <w:t xml:space="preserve"> </w:t>
            </w:r>
            <w:r>
              <w:rPr>
                <w:rFonts w:ascii="Times New Roman" w:hAnsi="Times New Roman" w:eastAsia="Times New Roman" w:cs="Times New Roman"/>
                <w:spacing w:val="-9"/>
                <w:sz w:val="24"/>
                <w:szCs w:val="24"/>
              </w:rPr>
              <w:t xml:space="preserve">GB/T18920-2020)   </w:t>
            </w:r>
            <w:r>
              <w:rPr>
                <w:spacing w:val="-9"/>
                <w:sz w:val="24"/>
                <w:szCs w:val="24"/>
              </w:rPr>
              <w:t>中的“城市绿化、道路清扫”标准。</w:t>
            </w:r>
          </w:p>
          <w:p w14:paraId="38C3F7FC">
            <w:pPr>
              <w:pStyle w:val="6"/>
              <w:spacing w:before="208" w:line="355" w:lineRule="auto"/>
              <w:ind w:left="98" w:right="39" w:firstLine="479"/>
              <w:jc w:val="both"/>
              <w:rPr>
                <w:sz w:val="24"/>
                <w:szCs w:val="24"/>
              </w:rPr>
            </w:pPr>
            <w:r>
              <w:rPr>
                <w:spacing w:val="-3"/>
                <w:sz w:val="24"/>
                <w:szCs w:val="24"/>
              </w:rPr>
              <w:t>项目光伏清洗用水中不加任何清洗剂，仅使用清水清洗，光伏</w:t>
            </w:r>
            <w:r>
              <w:rPr>
                <w:spacing w:val="-4"/>
                <w:sz w:val="24"/>
                <w:szCs w:val="24"/>
              </w:rPr>
              <w:t>清洗废水主要污</w:t>
            </w:r>
            <w:r>
              <w:rPr>
                <w:sz w:val="24"/>
                <w:szCs w:val="24"/>
              </w:rPr>
              <w:t xml:space="preserve"> </w:t>
            </w:r>
            <w:r>
              <w:rPr>
                <w:spacing w:val="1"/>
                <w:sz w:val="24"/>
                <w:szCs w:val="24"/>
              </w:rPr>
              <w:t>染物为</w:t>
            </w:r>
            <w:r>
              <w:rPr>
                <w:rFonts w:ascii="Times New Roman" w:hAnsi="Times New Roman" w:eastAsia="Times New Roman" w:cs="Times New Roman"/>
                <w:sz w:val="24"/>
                <w:szCs w:val="24"/>
              </w:rPr>
              <w:t>SS</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8"/>
                <w:w w:val="101"/>
                <w:sz w:val="24"/>
                <w:szCs w:val="24"/>
              </w:rPr>
              <w:t xml:space="preserve"> </w:t>
            </w:r>
            <w:r>
              <w:rPr>
                <w:spacing w:val="1"/>
                <w:sz w:val="24"/>
                <w:szCs w:val="24"/>
              </w:rPr>
              <w:t>可直接顺着流在太阳能电池组件下面的草地</w:t>
            </w:r>
            <w:r>
              <w:rPr>
                <w:sz w:val="24"/>
                <w:szCs w:val="24"/>
              </w:rPr>
              <w:t xml:space="preserve">上，作为草地灌溉补充水， </w:t>
            </w:r>
            <w:r>
              <w:rPr>
                <w:spacing w:val="-10"/>
                <w:sz w:val="24"/>
                <w:szCs w:val="24"/>
              </w:rPr>
              <w:t>不外排。</w:t>
            </w:r>
          </w:p>
          <w:p w14:paraId="77714F0B">
            <w:pPr>
              <w:pStyle w:val="6"/>
              <w:spacing w:before="34" w:line="184" w:lineRule="auto"/>
              <w:ind w:left="1742"/>
              <w:rPr>
                <w:sz w:val="26"/>
                <w:szCs w:val="26"/>
              </w:rPr>
            </w:pPr>
            <w:r>
              <w:rPr>
                <w:b/>
                <w:bCs/>
                <w:spacing w:val="-4"/>
                <w:sz w:val="26"/>
                <w:szCs w:val="26"/>
              </w:rPr>
              <w:t>表3-30</w:t>
            </w:r>
            <w:r>
              <w:rPr>
                <w:spacing w:val="-4"/>
                <w:sz w:val="26"/>
                <w:szCs w:val="26"/>
              </w:rPr>
              <w:t xml:space="preserve"> </w:t>
            </w:r>
            <w:r>
              <w:rPr>
                <w:b/>
                <w:bCs/>
                <w:spacing w:val="-4"/>
                <w:sz w:val="26"/>
                <w:szCs w:val="26"/>
              </w:rPr>
              <w:t>《城市污水再生利用城市杂用水水质》</w:t>
            </w:r>
          </w:p>
          <w:tbl>
            <w:tblPr>
              <w:tblStyle w:val="5"/>
              <w:tblW w:w="8089" w:type="dxa"/>
              <w:tblInd w:w="3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3685"/>
              <w:gridCol w:w="3710"/>
            </w:tblGrid>
            <w:tr w14:paraId="7E6F6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694" w:type="dxa"/>
                  <w:vAlign w:val="top"/>
                </w:tcPr>
                <w:p w14:paraId="03FFC6C3">
                  <w:pPr>
                    <w:pStyle w:val="6"/>
                    <w:spacing w:before="44" w:line="200" w:lineRule="auto"/>
                    <w:ind w:left="104"/>
                    <w:rPr>
                      <w:sz w:val="23"/>
                      <w:szCs w:val="23"/>
                    </w:rPr>
                  </w:pPr>
                  <w:r>
                    <w:rPr>
                      <w:spacing w:val="7"/>
                      <w:sz w:val="23"/>
                      <w:szCs w:val="23"/>
                    </w:rPr>
                    <w:t>序号</w:t>
                  </w:r>
                </w:p>
              </w:tc>
              <w:tc>
                <w:tcPr>
                  <w:tcW w:w="3685" w:type="dxa"/>
                  <w:vAlign w:val="top"/>
                </w:tcPr>
                <w:p w14:paraId="4DA4FDF3">
                  <w:pPr>
                    <w:pStyle w:val="6"/>
                    <w:spacing w:before="44" w:line="200" w:lineRule="auto"/>
                    <w:ind w:left="1600"/>
                    <w:rPr>
                      <w:sz w:val="23"/>
                      <w:szCs w:val="23"/>
                    </w:rPr>
                  </w:pPr>
                  <w:r>
                    <w:rPr>
                      <w:spacing w:val="-7"/>
                      <w:sz w:val="23"/>
                      <w:szCs w:val="23"/>
                    </w:rPr>
                    <w:t>项 目</w:t>
                  </w:r>
                </w:p>
              </w:tc>
              <w:tc>
                <w:tcPr>
                  <w:tcW w:w="3710" w:type="dxa"/>
                  <w:vAlign w:val="top"/>
                </w:tcPr>
                <w:p w14:paraId="4F96BD2C">
                  <w:pPr>
                    <w:pStyle w:val="6"/>
                    <w:spacing w:before="43" w:line="201" w:lineRule="auto"/>
                    <w:jc w:val="right"/>
                    <w:rPr>
                      <w:sz w:val="23"/>
                      <w:szCs w:val="23"/>
                    </w:rPr>
                  </w:pPr>
                  <w:r>
                    <w:rPr>
                      <w:spacing w:val="-15"/>
                      <w:sz w:val="23"/>
                      <w:szCs w:val="23"/>
                    </w:rPr>
                    <w:t>城</w:t>
                  </w:r>
                  <w:r>
                    <w:rPr>
                      <w:spacing w:val="-14"/>
                      <w:sz w:val="23"/>
                      <w:szCs w:val="23"/>
                    </w:rPr>
                    <w:t>市绿化，道路清扫、消防、建筑施</w:t>
                  </w:r>
                  <w:r>
                    <w:rPr>
                      <w:spacing w:val="-13"/>
                      <w:sz w:val="23"/>
                      <w:szCs w:val="23"/>
                    </w:rPr>
                    <w:t>工</w:t>
                  </w:r>
                </w:p>
              </w:tc>
            </w:tr>
            <w:tr w14:paraId="1586E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Align w:val="top"/>
                </w:tcPr>
                <w:p w14:paraId="03ED75D8">
                  <w:pPr>
                    <w:pStyle w:val="6"/>
                    <w:spacing w:before="72" w:line="190" w:lineRule="auto"/>
                    <w:ind w:left="275"/>
                    <w:rPr>
                      <w:sz w:val="23"/>
                      <w:szCs w:val="23"/>
                    </w:rPr>
                  </w:pPr>
                  <w:r>
                    <w:rPr>
                      <w:sz w:val="23"/>
                      <w:szCs w:val="23"/>
                    </w:rPr>
                    <w:t>1</w:t>
                  </w:r>
                </w:p>
              </w:tc>
              <w:tc>
                <w:tcPr>
                  <w:tcW w:w="3685" w:type="dxa"/>
                  <w:vAlign w:val="top"/>
                </w:tcPr>
                <w:p w14:paraId="554C48B2">
                  <w:pPr>
                    <w:pStyle w:val="6"/>
                    <w:spacing w:before="80" w:line="182" w:lineRule="auto"/>
                    <w:ind w:left="1720"/>
                    <w:rPr>
                      <w:sz w:val="23"/>
                      <w:szCs w:val="23"/>
                    </w:rPr>
                  </w:pPr>
                  <w:r>
                    <w:rPr>
                      <w:spacing w:val="-2"/>
                      <w:sz w:val="23"/>
                      <w:szCs w:val="23"/>
                    </w:rPr>
                    <w:t>pH</w:t>
                  </w:r>
                </w:p>
              </w:tc>
              <w:tc>
                <w:tcPr>
                  <w:tcW w:w="3710" w:type="dxa"/>
                  <w:vAlign w:val="top"/>
                </w:tcPr>
                <w:p w14:paraId="17B56561">
                  <w:pPr>
                    <w:pStyle w:val="6"/>
                    <w:spacing w:before="72" w:line="190" w:lineRule="auto"/>
                    <w:ind w:left="1385"/>
                    <w:rPr>
                      <w:sz w:val="23"/>
                      <w:szCs w:val="23"/>
                    </w:rPr>
                  </w:pPr>
                  <w:r>
                    <w:rPr>
                      <w:spacing w:val="-2"/>
                      <w:sz w:val="23"/>
                      <w:szCs w:val="23"/>
                    </w:rPr>
                    <w:t>6.0～9.0</w:t>
                  </w:r>
                </w:p>
              </w:tc>
            </w:tr>
            <w:tr w14:paraId="70B7C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4" w:type="dxa"/>
                  <w:vAlign w:val="top"/>
                </w:tcPr>
                <w:p w14:paraId="477DC34A">
                  <w:pPr>
                    <w:pStyle w:val="6"/>
                    <w:spacing w:before="63" w:line="181" w:lineRule="auto"/>
                    <w:ind w:left="275"/>
                    <w:rPr>
                      <w:sz w:val="23"/>
                      <w:szCs w:val="23"/>
                    </w:rPr>
                  </w:pPr>
                  <w:r>
                    <w:rPr>
                      <w:sz w:val="23"/>
                      <w:szCs w:val="23"/>
                    </w:rPr>
                    <w:t>2</w:t>
                  </w:r>
                </w:p>
              </w:tc>
              <w:tc>
                <w:tcPr>
                  <w:tcW w:w="3685" w:type="dxa"/>
                  <w:vAlign w:val="top"/>
                </w:tcPr>
                <w:p w14:paraId="6906D7E4">
                  <w:pPr>
                    <w:pStyle w:val="6"/>
                    <w:spacing w:before="41" w:line="199" w:lineRule="auto"/>
                    <w:ind w:left="1370"/>
                    <w:rPr>
                      <w:sz w:val="23"/>
                      <w:szCs w:val="23"/>
                    </w:rPr>
                  </w:pPr>
                  <w:r>
                    <w:rPr>
                      <w:spacing w:val="5"/>
                      <w:sz w:val="23"/>
                      <w:szCs w:val="23"/>
                    </w:rPr>
                    <w:t>色(度)≤</w:t>
                  </w:r>
                </w:p>
              </w:tc>
              <w:tc>
                <w:tcPr>
                  <w:tcW w:w="3710" w:type="dxa"/>
                  <w:vAlign w:val="top"/>
                </w:tcPr>
                <w:p w14:paraId="43BF0685">
                  <w:pPr>
                    <w:pStyle w:val="6"/>
                    <w:spacing w:before="63" w:line="181" w:lineRule="auto"/>
                    <w:ind w:left="1735"/>
                    <w:rPr>
                      <w:sz w:val="23"/>
                      <w:szCs w:val="23"/>
                    </w:rPr>
                  </w:pPr>
                  <w:r>
                    <w:rPr>
                      <w:spacing w:val="-4"/>
                      <w:sz w:val="23"/>
                      <w:szCs w:val="23"/>
                    </w:rPr>
                    <w:t>30</w:t>
                  </w:r>
                </w:p>
              </w:tc>
            </w:tr>
            <w:tr w14:paraId="79DE1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Align w:val="top"/>
                </w:tcPr>
                <w:p w14:paraId="36EF3BB3">
                  <w:pPr>
                    <w:pStyle w:val="6"/>
                    <w:spacing w:before="74" w:line="188" w:lineRule="auto"/>
                    <w:ind w:left="275"/>
                    <w:rPr>
                      <w:sz w:val="23"/>
                      <w:szCs w:val="23"/>
                    </w:rPr>
                  </w:pPr>
                  <w:r>
                    <w:rPr>
                      <w:sz w:val="23"/>
                      <w:szCs w:val="23"/>
                    </w:rPr>
                    <w:t>3</w:t>
                  </w:r>
                </w:p>
              </w:tc>
              <w:tc>
                <w:tcPr>
                  <w:tcW w:w="3685" w:type="dxa"/>
                  <w:vAlign w:val="top"/>
                </w:tcPr>
                <w:p w14:paraId="2083DA22">
                  <w:pPr>
                    <w:pStyle w:val="6"/>
                    <w:spacing w:before="52" w:line="206" w:lineRule="auto"/>
                    <w:ind w:left="1720"/>
                    <w:rPr>
                      <w:sz w:val="23"/>
                      <w:szCs w:val="23"/>
                    </w:rPr>
                  </w:pPr>
                  <w:r>
                    <w:rPr>
                      <w:sz w:val="23"/>
                      <w:szCs w:val="23"/>
                    </w:rPr>
                    <w:t>嗅</w:t>
                  </w:r>
                </w:p>
              </w:tc>
              <w:tc>
                <w:tcPr>
                  <w:tcW w:w="3710" w:type="dxa"/>
                  <w:vAlign w:val="top"/>
                </w:tcPr>
                <w:p w14:paraId="2C074DE7">
                  <w:pPr>
                    <w:pStyle w:val="6"/>
                    <w:spacing w:before="52" w:line="206" w:lineRule="auto"/>
                    <w:ind w:left="1385"/>
                    <w:rPr>
                      <w:sz w:val="23"/>
                      <w:szCs w:val="23"/>
                    </w:rPr>
                  </w:pPr>
                  <w:r>
                    <w:rPr>
                      <w:spacing w:val="2"/>
                      <w:sz w:val="23"/>
                      <w:szCs w:val="23"/>
                    </w:rPr>
                    <w:t>无不快感</w:t>
                  </w:r>
                </w:p>
              </w:tc>
            </w:tr>
            <w:tr w14:paraId="28ED5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94" w:type="dxa"/>
                  <w:vAlign w:val="top"/>
                </w:tcPr>
                <w:p w14:paraId="7B87082C">
                  <w:pPr>
                    <w:pStyle w:val="6"/>
                    <w:spacing w:before="65" w:line="180" w:lineRule="auto"/>
                    <w:ind w:left="275"/>
                    <w:rPr>
                      <w:sz w:val="23"/>
                      <w:szCs w:val="23"/>
                    </w:rPr>
                  </w:pPr>
                  <w:r>
                    <w:rPr>
                      <w:sz w:val="23"/>
                      <w:szCs w:val="23"/>
                    </w:rPr>
                    <w:t>4</w:t>
                  </w:r>
                </w:p>
              </w:tc>
              <w:tc>
                <w:tcPr>
                  <w:tcW w:w="3685" w:type="dxa"/>
                  <w:vAlign w:val="top"/>
                </w:tcPr>
                <w:p w14:paraId="5E7292A5">
                  <w:pPr>
                    <w:pStyle w:val="6"/>
                    <w:spacing w:before="43" w:line="198" w:lineRule="auto"/>
                    <w:ind w:left="1201"/>
                    <w:rPr>
                      <w:sz w:val="23"/>
                      <w:szCs w:val="23"/>
                    </w:rPr>
                  </w:pPr>
                  <w:r>
                    <w:rPr>
                      <w:spacing w:val="4"/>
                      <w:sz w:val="23"/>
                      <w:szCs w:val="23"/>
                    </w:rPr>
                    <w:t>浊度(</w:t>
                  </w:r>
                  <w:r>
                    <w:rPr>
                      <w:sz w:val="23"/>
                      <w:szCs w:val="23"/>
                    </w:rPr>
                    <w:t>NTU</w:t>
                  </w:r>
                  <w:r>
                    <w:rPr>
                      <w:spacing w:val="4"/>
                      <w:sz w:val="23"/>
                      <w:szCs w:val="23"/>
                    </w:rPr>
                    <w:t>)≤</w:t>
                  </w:r>
                </w:p>
              </w:tc>
              <w:tc>
                <w:tcPr>
                  <w:tcW w:w="3710" w:type="dxa"/>
                  <w:vAlign w:val="top"/>
                </w:tcPr>
                <w:p w14:paraId="39FDB272">
                  <w:pPr>
                    <w:pStyle w:val="6"/>
                    <w:spacing w:before="65" w:line="180" w:lineRule="auto"/>
                    <w:ind w:left="1735"/>
                    <w:rPr>
                      <w:sz w:val="23"/>
                      <w:szCs w:val="23"/>
                    </w:rPr>
                  </w:pPr>
                  <w:r>
                    <w:rPr>
                      <w:spacing w:val="-7"/>
                      <w:sz w:val="23"/>
                      <w:szCs w:val="23"/>
                    </w:rPr>
                    <w:t>10</w:t>
                  </w:r>
                </w:p>
              </w:tc>
            </w:tr>
            <w:tr w14:paraId="1672C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Align w:val="top"/>
                </w:tcPr>
                <w:p w14:paraId="3DA8095A">
                  <w:pPr>
                    <w:pStyle w:val="6"/>
                    <w:spacing w:before="76" w:line="187" w:lineRule="auto"/>
                    <w:ind w:left="275"/>
                    <w:rPr>
                      <w:sz w:val="23"/>
                      <w:szCs w:val="23"/>
                    </w:rPr>
                  </w:pPr>
                  <w:r>
                    <w:rPr>
                      <w:sz w:val="23"/>
                      <w:szCs w:val="23"/>
                    </w:rPr>
                    <w:t>5</w:t>
                  </w:r>
                </w:p>
              </w:tc>
              <w:tc>
                <w:tcPr>
                  <w:tcW w:w="3685" w:type="dxa"/>
                  <w:vAlign w:val="top"/>
                </w:tcPr>
                <w:p w14:paraId="2054790A">
                  <w:pPr>
                    <w:pStyle w:val="6"/>
                    <w:spacing w:before="44" w:line="212" w:lineRule="auto"/>
                    <w:ind w:left="280"/>
                    <w:rPr>
                      <w:sz w:val="23"/>
                      <w:szCs w:val="23"/>
                    </w:rPr>
                  </w:pPr>
                  <w:r>
                    <w:rPr>
                      <w:spacing w:val="7"/>
                      <w:sz w:val="23"/>
                      <w:szCs w:val="23"/>
                    </w:rPr>
                    <w:t>五日生化需氧量</w:t>
                  </w:r>
                  <w:r>
                    <w:rPr>
                      <w:sz w:val="23"/>
                      <w:szCs w:val="23"/>
                    </w:rPr>
                    <w:t>BOD</w:t>
                  </w:r>
                  <w:r>
                    <w:rPr>
                      <w:rFonts w:ascii="Calibri" w:hAnsi="Calibri" w:eastAsia="Calibri" w:cs="Calibri"/>
                      <w:spacing w:val="7"/>
                      <w:sz w:val="23"/>
                      <w:szCs w:val="23"/>
                    </w:rPr>
                    <w:t xml:space="preserve">₅ </w:t>
                  </w:r>
                  <w:r>
                    <w:rPr>
                      <w:spacing w:val="7"/>
                      <w:sz w:val="23"/>
                      <w:szCs w:val="23"/>
                    </w:rPr>
                    <w:t>(</w:t>
                  </w:r>
                  <w:r>
                    <w:rPr>
                      <w:sz w:val="23"/>
                      <w:szCs w:val="23"/>
                    </w:rPr>
                    <w:t>mg</w:t>
                  </w:r>
                  <w:r>
                    <w:rPr>
                      <w:spacing w:val="7"/>
                      <w:sz w:val="23"/>
                      <w:szCs w:val="23"/>
                    </w:rPr>
                    <w:t>/L)≤</w:t>
                  </w:r>
                </w:p>
              </w:tc>
              <w:tc>
                <w:tcPr>
                  <w:tcW w:w="3710" w:type="dxa"/>
                  <w:vAlign w:val="top"/>
                </w:tcPr>
                <w:p w14:paraId="568B04CD">
                  <w:pPr>
                    <w:pStyle w:val="6"/>
                    <w:spacing w:before="76" w:line="187" w:lineRule="auto"/>
                    <w:ind w:left="1735"/>
                    <w:rPr>
                      <w:sz w:val="23"/>
                      <w:szCs w:val="23"/>
                    </w:rPr>
                  </w:pPr>
                  <w:r>
                    <w:rPr>
                      <w:spacing w:val="-7"/>
                      <w:sz w:val="23"/>
                      <w:szCs w:val="23"/>
                    </w:rPr>
                    <w:t>10</w:t>
                  </w:r>
                </w:p>
              </w:tc>
            </w:tr>
            <w:tr w14:paraId="6608C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94" w:type="dxa"/>
                  <w:vAlign w:val="top"/>
                </w:tcPr>
                <w:p w14:paraId="17E17539">
                  <w:pPr>
                    <w:pStyle w:val="6"/>
                    <w:spacing w:before="66" w:line="179" w:lineRule="auto"/>
                    <w:ind w:left="275"/>
                    <w:rPr>
                      <w:sz w:val="23"/>
                      <w:szCs w:val="23"/>
                    </w:rPr>
                  </w:pPr>
                  <w:r>
                    <w:rPr>
                      <w:sz w:val="23"/>
                      <w:szCs w:val="23"/>
                    </w:rPr>
                    <w:t>6</w:t>
                  </w:r>
                </w:p>
              </w:tc>
              <w:tc>
                <w:tcPr>
                  <w:tcW w:w="3685" w:type="dxa"/>
                  <w:vAlign w:val="top"/>
                </w:tcPr>
                <w:p w14:paraId="08E7C97D">
                  <w:pPr>
                    <w:pStyle w:val="6"/>
                    <w:spacing w:before="35" w:line="204" w:lineRule="auto"/>
                    <w:ind w:left="1140"/>
                    <w:rPr>
                      <w:sz w:val="23"/>
                      <w:szCs w:val="23"/>
                    </w:rPr>
                  </w:pPr>
                  <w:r>
                    <w:rPr>
                      <w:spacing w:val="3"/>
                      <w:sz w:val="23"/>
                      <w:szCs w:val="23"/>
                    </w:rPr>
                    <w:t>氨氮(</w:t>
                  </w:r>
                  <w:r>
                    <w:rPr>
                      <w:sz w:val="23"/>
                      <w:szCs w:val="23"/>
                    </w:rPr>
                    <w:t>mg</w:t>
                  </w:r>
                  <w:r>
                    <w:rPr>
                      <w:spacing w:val="3"/>
                      <w:sz w:val="23"/>
                      <w:szCs w:val="23"/>
                    </w:rPr>
                    <w:t>/L)≤</w:t>
                  </w:r>
                </w:p>
              </w:tc>
              <w:tc>
                <w:tcPr>
                  <w:tcW w:w="3710" w:type="dxa"/>
                  <w:vAlign w:val="top"/>
                </w:tcPr>
                <w:p w14:paraId="51F33CE0">
                  <w:pPr>
                    <w:pStyle w:val="6"/>
                    <w:spacing w:before="66" w:line="179" w:lineRule="auto"/>
                    <w:ind w:left="1785"/>
                    <w:rPr>
                      <w:sz w:val="23"/>
                      <w:szCs w:val="23"/>
                    </w:rPr>
                  </w:pPr>
                  <w:r>
                    <w:rPr>
                      <w:sz w:val="23"/>
                      <w:szCs w:val="23"/>
                    </w:rPr>
                    <w:t>8</w:t>
                  </w:r>
                </w:p>
              </w:tc>
            </w:tr>
            <w:tr w14:paraId="2BBE6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4" w:type="dxa"/>
                  <w:vAlign w:val="top"/>
                </w:tcPr>
                <w:p w14:paraId="6C52561B">
                  <w:pPr>
                    <w:pStyle w:val="6"/>
                    <w:spacing w:before="67" w:line="178" w:lineRule="auto"/>
                    <w:ind w:left="275"/>
                    <w:rPr>
                      <w:sz w:val="23"/>
                      <w:szCs w:val="23"/>
                    </w:rPr>
                  </w:pPr>
                  <w:r>
                    <w:rPr>
                      <w:sz w:val="23"/>
                      <w:szCs w:val="23"/>
                    </w:rPr>
                    <w:t>7</w:t>
                  </w:r>
                </w:p>
              </w:tc>
              <w:tc>
                <w:tcPr>
                  <w:tcW w:w="3685" w:type="dxa"/>
                  <w:vAlign w:val="top"/>
                </w:tcPr>
                <w:p w14:paraId="3036CA2F">
                  <w:pPr>
                    <w:pStyle w:val="6"/>
                    <w:spacing w:before="36" w:line="203" w:lineRule="auto"/>
                    <w:ind w:left="570"/>
                    <w:rPr>
                      <w:sz w:val="23"/>
                      <w:szCs w:val="23"/>
                    </w:rPr>
                  </w:pPr>
                  <w:r>
                    <w:rPr>
                      <w:spacing w:val="2"/>
                      <w:sz w:val="23"/>
                      <w:szCs w:val="23"/>
                    </w:rPr>
                    <w:t>阴离子表面活性(</w:t>
                  </w:r>
                  <w:r>
                    <w:rPr>
                      <w:sz w:val="23"/>
                      <w:szCs w:val="23"/>
                    </w:rPr>
                    <w:t>mg</w:t>
                  </w:r>
                  <w:r>
                    <w:rPr>
                      <w:spacing w:val="2"/>
                      <w:sz w:val="23"/>
                      <w:szCs w:val="23"/>
                    </w:rPr>
                    <w:t>/L)≤</w:t>
                  </w:r>
                </w:p>
              </w:tc>
              <w:tc>
                <w:tcPr>
                  <w:tcW w:w="3710" w:type="dxa"/>
                  <w:vAlign w:val="top"/>
                </w:tcPr>
                <w:p w14:paraId="251BA191">
                  <w:pPr>
                    <w:pStyle w:val="6"/>
                    <w:spacing w:before="67" w:line="178" w:lineRule="auto"/>
                    <w:ind w:left="1675"/>
                    <w:rPr>
                      <w:sz w:val="23"/>
                      <w:szCs w:val="23"/>
                    </w:rPr>
                  </w:pPr>
                  <w:r>
                    <w:rPr>
                      <w:spacing w:val="-3"/>
                      <w:sz w:val="23"/>
                      <w:szCs w:val="23"/>
                    </w:rPr>
                    <w:t>0.5</w:t>
                  </w:r>
                </w:p>
              </w:tc>
            </w:tr>
            <w:tr w14:paraId="51F6E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Align w:val="top"/>
                </w:tcPr>
                <w:p w14:paraId="76C1A127">
                  <w:pPr>
                    <w:pStyle w:val="6"/>
                    <w:spacing w:before="77" w:line="186" w:lineRule="auto"/>
                    <w:ind w:left="275"/>
                    <w:rPr>
                      <w:sz w:val="23"/>
                      <w:szCs w:val="23"/>
                    </w:rPr>
                  </w:pPr>
                  <w:r>
                    <w:rPr>
                      <w:sz w:val="23"/>
                      <w:szCs w:val="23"/>
                    </w:rPr>
                    <w:t>8</w:t>
                  </w:r>
                </w:p>
              </w:tc>
              <w:tc>
                <w:tcPr>
                  <w:tcW w:w="3685" w:type="dxa"/>
                  <w:vAlign w:val="top"/>
                </w:tcPr>
                <w:p w14:paraId="6291822D">
                  <w:pPr>
                    <w:pStyle w:val="6"/>
                    <w:spacing w:before="47" w:line="210" w:lineRule="auto"/>
                    <w:ind w:left="1260"/>
                    <w:rPr>
                      <w:sz w:val="23"/>
                      <w:szCs w:val="23"/>
                    </w:rPr>
                  </w:pPr>
                  <w:r>
                    <w:rPr>
                      <w:spacing w:val="4"/>
                      <w:sz w:val="23"/>
                      <w:szCs w:val="23"/>
                    </w:rPr>
                    <w:t>铁(</w:t>
                  </w:r>
                  <w:r>
                    <w:rPr>
                      <w:sz w:val="23"/>
                      <w:szCs w:val="23"/>
                    </w:rPr>
                    <w:t>mg</w:t>
                  </w:r>
                  <w:r>
                    <w:rPr>
                      <w:spacing w:val="4"/>
                      <w:sz w:val="23"/>
                      <w:szCs w:val="23"/>
                    </w:rPr>
                    <w:t>/L)≤</w:t>
                  </w:r>
                </w:p>
              </w:tc>
              <w:tc>
                <w:tcPr>
                  <w:tcW w:w="3710" w:type="dxa"/>
                  <w:vAlign w:val="top"/>
                </w:tcPr>
                <w:p w14:paraId="73CE1302">
                  <w:pPr>
                    <w:pStyle w:val="6"/>
                    <w:spacing w:before="61" w:line="199" w:lineRule="auto"/>
                    <w:ind w:left="1785"/>
                    <w:rPr>
                      <w:sz w:val="23"/>
                      <w:szCs w:val="23"/>
                    </w:rPr>
                  </w:pPr>
                  <w:r>
                    <w:rPr>
                      <w:sz w:val="23"/>
                      <w:szCs w:val="23"/>
                    </w:rPr>
                    <w:t>/</w:t>
                  </w:r>
                </w:p>
              </w:tc>
            </w:tr>
            <w:tr w14:paraId="4C4C5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94" w:type="dxa"/>
                  <w:vAlign w:val="top"/>
                </w:tcPr>
                <w:p w14:paraId="13FA1042">
                  <w:pPr>
                    <w:pStyle w:val="6"/>
                    <w:spacing w:before="68" w:line="178" w:lineRule="auto"/>
                    <w:ind w:left="275"/>
                    <w:rPr>
                      <w:sz w:val="23"/>
                      <w:szCs w:val="23"/>
                    </w:rPr>
                  </w:pPr>
                  <w:r>
                    <w:rPr>
                      <w:sz w:val="23"/>
                      <w:szCs w:val="23"/>
                    </w:rPr>
                    <w:t>9</w:t>
                  </w:r>
                </w:p>
              </w:tc>
              <w:tc>
                <w:tcPr>
                  <w:tcW w:w="3685" w:type="dxa"/>
                  <w:vAlign w:val="top"/>
                </w:tcPr>
                <w:p w14:paraId="5A0B316B">
                  <w:pPr>
                    <w:pStyle w:val="6"/>
                    <w:spacing w:before="38" w:line="202" w:lineRule="auto"/>
                    <w:ind w:left="1260"/>
                    <w:rPr>
                      <w:sz w:val="23"/>
                      <w:szCs w:val="23"/>
                    </w:rPr>
                  </w:pPr>
                  <w:r>
                    <w:rPr>
                      <w:spacing w:val="4"/>
                      <w:sz w:val="23"/>
                      <w:szCs w:val="23"/>
                    </w:rPr>
                    <w:t>锰(</w:t>
                  </w:r>
                  <w:r>
                    <w:rPr>
                      <w:sz w:val="23"/>
                      <w:szCs w:val="23"/>
                    </w:rPr>
                    <w:t>mg</w:t>
                  </w:r>
                  <w:r>
                    <w:rPr>
                      <w:spacing w:val="4"/>
                      <w:sz w:val="23"/>
                      <w:szCs w:val="23"/>
                    </w:rPr>
                    <w:t>/L)≤</w:t>
                  </w:r>
                </w:p>
              </w:tc>
              <w:tc>
                <w:tcPr>
                  <w:tcW w:w="3710" w:type="dxa"/>
                  <w:vAlign w:val="top"/>
                </w:tcPr>
                <w:p w14:paraId="0251177B">
                  <w:pPr>
                    <w:pStyle w:val="6"/>
                    <w:spacing w:before="52" w:line="191" w:lineRule="auto"/>
                    <w:ind w:left="1785"/>
                    <w:rPr>
                      <w:sz w:val="23"/>
                      <w:szCs w:val="23"/>
                    </w:rPr>
                  </w:pPr>
                  <w:r>
                    <w:rPr>
                      <w:sz w:val="23"/>
                      <w:szCs w:val="23"/>
                    </w:rPr>
                    <w:t>/</w:t>
                  </w:r>
                </w:p>
              </w:tc>
            </w:tr>
            <w:tr w14:paraId="4F50F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94" w:type="dxa"/>
                  <w:vAlign w:val="top"/>
                </w:tcPr>
                <w:p w14:paraId="777BF691">
                  <w:pPr>
                    <w:pStyle w:val="6"/>
                    <w:spacing w:before="68" w:line="185" w:lineRule="auto"/>
                    <w:ind w:left="224"/>
                    <w:rPr>
                      <w:sz w:val="23"/>
                      <w:szCs w:val="23"/>
                    </w:rPr>
                  </w:pPr>
                  <w:r>
                    <w:rPr>
                      <w:spacing w:val="-7"/>
                      <w:sz w:val="23"/>
                      <w:szCs w:val="23"/>
                    </w:rPr>
                    <w:t>10</w:t>
                  </w:r>
                </w:p>
              </w:tc>
              <w:tc>
                <w:tcPr>
                  <w:tcW w:w="3685" w:type="dxa"/>
                  <w:vAlign w:val="top"/>
                </w:tcPr>
                <w:p w14:paraId="7A73F497">
                  <w:pPr>
                    <w:pStyle w:val="6"/>
                    <w:spacing w:before="38" w:line="209" w:lineRule="auto"/>
                    <w:ind w:left="681"/>
                    <w:rPr>
                      <w:sz w:val="23"/>
                      <w:szCs w:val="23"/>
                    </w:rPr>
                  </w:pPr>
                  <w:r>
                    <w:rPr>
                      <w:spacing w:val="2"/>
                      <w:sz w:val="23"/>
                      <w:szCs w:val="23"/>
                    </w:rPr>
                    <w:t>溶解性总固体(</w:t>
                  </w:r>
                  <w:r>
                    <w:rPr>
                      <w:sz w:val="23"/>
                      <w:szCs w:val="23"/>
                    </w:rPr>
                    <w:t>mg</w:t>
                  </w:r>
                  <w:r>
                    <w:rPr>
                      <w:spacing w:val="2"/>
                      <w:sz w:val="23"/>
                      <w:szCs w:val="23"/>
                    </w:rPr>
                    <w:t>/L)≤</w:t>
                  </w:r>
                </w:p>
              </w:tc>
              <w:tc>
                <w:tcPr>
                  <w:tcW w:w="3710" w:type="dxa"/>
                  <w:vAlign w:val="top"/>
                </w:tcPr>
                <w:p w14:paraId="6364B75A">
                  <w:pPr>
                    <w:pStyle w:val="6"/>
                    <w:spacing w:before="68" w:line="185" w:lineRule="auto"/>
                    <w:ind w:left="1616"/>
                    <w:rPr>
                      <w:sz w:val="23"/>
                      <w:szCs w:val="23"/>
                    </w:rPr>
                  </w:pPr>
                  <w:r>
                    <w:rPr>
                      <w:spacing w:val="-5"/>
                      <w:sz w:val="23"/>
                      <w:szCs w:val="23"/>
                    </w:rPr>
                    <w:t>1000</w:t>
                  </w:r>
                </w:p>
              </w:tc>
            </w:tr>
            <w:tr w14:paraId="3F374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Align w:val="top"/>
                </w:tcPr>
                <w:p w14:paraId="2865A953">
                  <w:pPr>
                    <w:pStyle w:val="6"/>
                    <w:spacing w:before="79" w:line="184" w:lineRule="auto"/>
                    <w:ind w:left="224"/>
                    <w:rPr>
                      <w:sz w:val="23"/>
                      <w:szCs w:val="23"/>
                    </w:rPr>
                  </w:pPr>
                  <w:r>
                    <w:rPr>
                      <w:spacing w:val="-7"/>
                      <w:sz w:val="23"/>
                      <w:szCs w:val="23"/>
                    </w:rPr>
                    <w:t>11</w:t>
                  </w:r>
                </w:p>
              </w:tc>
              <w:tc>
                <w:tcPr>
                  <w:tcW w:w="3685" w:type="dxa"/>
                  <w:vAlign w:val="top"/>
                </w:tcPr>
                <w:p w14:paraId="12DC95E7">
                  <w:pPr>
                    <w:pStyle w:val="6"/>
                    <w:spacing w:before="49" w:line="208" w:lineRule="auto"/>
                    <w:ind w:left="1030"/>
                    <w:rPr>
                      <w:sz w:val="23"/>
                      <w:szCs w:val="23"/>
                    </w:rPr>
                  </w:pPr>
                  <w:r>
                    <w:rPr>
                      <w:spacing w:val="3"/>
                      <w:sz w:val="23"/>
                      <w:szCs w:val="23"/>
                    </w:rPr>
                    <w:t>溶解氧(</w:t>
                  </w:r>
                  <w:r>
                    <w:rPr>
                      <w:sz w:val="23"/>
                      <w:szCs w:val="23"/>
                    </w:rPr>
                    <w:t>mg</w:t>
                  </w:r>
                  <w:r>
                    <w:rPr>
                      <w:spacing w:val="3"/>
                      <w:sz w:val="23"/>
                      <w:szCs w:val="23"/>
                    </w:rPr>
                    <w:t>/L)≥</w:t>
                  </w:r>
                </w:p>
              </w:tc>
              <w:tc>
                <w:tcPr>
                  <w:tcW w:w="3710" w:type="dxa"/>
                  <w:vAlign w:val="top"/>
                </w:tcPr>
                <w:p w14:paraId="4788D35F">
                  <w:pPr>
                    <w:pStyle w:val="6"/>
                    <w:spacing w:before="79" w:line="184" w:lineRule="auto"/>
                    <w:ind w:left="1675"/>
                    <w:rPr>
                      <w:sz w:val="23"/>
                      <w:szCs w:val="23"/>
                    </w:rPr>
                  </w:pPr>
                  <w:r>
                    <w:rPr>
                      <w:spacing w:val="-3"/>
                      <w:sz w:val="23"/>
                      <w:szCs w:val="23"/>
                    </w:rPr>
                    <w:t>2.0</w:t>
                  </w:r>
                </w:p>
              </w:tc>
            </w:tr>
            <w:tr w14:paraId="246A2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Align w:val="top"/>
                </w:tcPr>
                <w:p w14:paraId="39DC5BDE">
                  <w:pPr>
                    <w:pStyle w:val="6"/>
                    <w:spacing w:before="180" w:line="241" w:lineRule="auto"/>
                    <w:ind w:left="224"/>
                    <w:rPr>
                      <w:sz w:val="23"/>
                      <w:szCs w:val="23"/>
                    </w:rPr>
                  </w:pPr>
                  <w:r>
                    <w:rPr>
                      <w:spacing w:val="-7"/>
                      <w:sz w:val="23"/>
                      <w:szCs w:val="23"/>
                    </w:rPr>
                    <w:t>12</w:t>
                  </w:r>
                </w:p>
              </w:tc>
              <w:tc>
                <w:tcPr>
                  <w:tcW w:w="3685" w:type="dxa"/>
                  <w:vAlign w:val="top"/>
                </w:tcPr>
                <w:p w14:paraId="62C1819B">
                  <w:pPr>
                    <w:pStyle w:val="6"/>
                    <w:spacing w:before="149" w:line="214" w:lineRule="auto"/>
                    <w:ind w:left="1030"/>
                    <w:rPr>
                      <w:sz w:val="23"/>
                      <w:szCs w:val="23"/>
                    </w:rPr>
                  </w:pPr>
                  <w:r>
                    <w:rPr>
                      <w:spacing w:val="3"/>
                      <w:sz w:val="23"/>
                      <w:szCs w:val="23"/>
                    </w:rPr>
                    <w:t>总余氯(</w:t>
                  </w:r>
                  <w:r>
                    <w:rPr>
                      <w:sz w:val="23"/>
                      <w:szCs w:val="23"/>
                    </w:rPr>
                    <w:t>mg</w:t>
                  </w:r>
                  <w:r>
                    <w:rPr>
                      <w:spacing w:val="3"/>
                      <w:sz w:val="23"/>
                      <w:szCs w:val="23"/>
                    </w:rPr>
                    <w:t>/L)≤</w:t>
                  </w:r>
                </w:p>
              </w:tc>
              <w:tc>
                <w:tcPr>
                  <w:tcW w:w="3710" w:type="dxa"/>
                  <w:vAlign w:val="top"/>
                </w:tcPr>
                <w:p w14:paraId="78048F40">
                  <w:pPr>
                    <w:pStyle w:val="6"/>
                    <w:spacing w:before="23" w:line="199" w:lineRule="auto"/>
                    <w:ind w:left="295" w:right="230" w:hanging="59"/>
                    <w:rPr>
                      <w:sz w:val="23"/>
                      <w:szCs w:val="23"/>
                    </w:rPr>
                  </w:pPr>
                  <w:r>
                    <w:rPr>
                      <w:sz w:val="23"/>
                      <w:szCs w:val="23"/>
                    </w:rPr>
                    <w:t>1.0(出厂),0.2(管网末端),用于</w:t>
                  </w:r>
                  <w:r>
                    <w:rPr>
                      <w:spacing w:val="12"/>
                      <w:sz w:val="23"/>
                      <w:szCs w:val="23"/>
                    </w:rPr>
                    <w:t xml:space="preserve"> </w:t>
                  </w:r>
                  <w:r>
                    <w:rPr>
                      <w:spacing w:val="-1"/>
                      <w:sz w:val="23"/>
                      <w:szCs w:val="23"/>
                    </w:rPr>
                    <w:t>城市绿化时，不应超过2.5mg/L</w:t>
                  </w:r>
                </w:p>
              </w:tc>
            </w:tr>
            <w:tr w14:paraId="65117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94" w:type="dxa"/>
                  <w:vAlign w:val="top"/>
                </w:tcPr>
                <w:p w14:paraId="36C855E9">
                  <w:pPr>
                    <w:pStyle w:val="6"/>
                    <w:spacing w:before="191"/>
                    <w:ind w:left="224"/>
                    <w:rPr>
                      <w:sz w:val="23"/>
                      <w:szCs w:val="23"/>
                    </w:rPr>
                  </w:pPr>
                  <w:r>
                    <w:rPr>
                      <w:spacing w:val="-7"/>
                      <w:sz w:val="23"/>
                      <w:szCs w:val="23"/>
                    </w:rPr>
                    <w:t>13</w:t>
                  </w:r>
                </w:p>
              </w:tc>
              <w:tc>
                <w:tcPr>
                  <w:tcW w:w="3685" w:type="dxa"/>
                  <w:vAlign w:val="top"/>
                </w:tcPr>
                <w:p w14:paraId="7C2BADC0">
                  <w:pPr>
                    <w:pStyle w:val="6"/>
                    <w:spacing w:before="48" w:line="199" w:lineRule="auto"/>
                    <w:ind w:left="1139" w:right="333" w:hanging="799"/>
                    <w:rPr>
                      <w:sz w:val="23"/>
                      <w:szCs w:val="23"/>
                    </w:rPr>
                  </w:pPr>
                  <w:r>
                    <w:rPr>
                      <w:sz w:val="23"/>
                      <w:szCs w:val="23"/>
                    </w:rPr>
                    <w:t>大肠埃希氏菌/(MPN/100 ml或</w:t>
                  </w:r>
                  <w:r>
                    <w:rPr>
                      <w:spacing w:val="9"/>
                      <w:sz w:val="23"/>
                      <w:szCs w:val="23"/>
                    </w:rPr>
                    <w:t xml:space="preserve"> </w:t>
                  </w:r>
                  <w:r>
                    <w:rPr>
                      <w:spacing w:val="-1"/>
                      <w:sz w:val="23"/>
                      <w:szCs w:val="23"/>
                    </w:rPr>
                    <w:t>CFU/100mL)≤</w:t>
                  </w:r>
                </w:p>
              </w:tc>
              <w:tc>
                <w:tcPr>
                  <w:tcW w:w="3710" w:type="dxa"/>
                  <w:vAlign w:val="top"/>
                </w:tcPr>
                <w:p w14:paraId="34A1451A">
                  <w:pPr>
                    <w:pStyle w:val="6"/>
                    <w:spacing w:before="169" w:line="220" w:lineRule="auto"/>
                    <w:ind w:left="1735"/>
                    <w:rPr>
                      <w:sz w:val="23"/>
                      <w:szCs w:val="23"/>
                    </w:rPr>
                  </w:pPr>
                  <w:r>
                    <w:rPr>
                      <w:sz w:val="23"/>
                      <w:szCs w:val="23"/>
                    </w:rPr>
                    <w:t>无</w:t>
                  </w:r>
                </w:p>
              </w:tc>
            </w:tr>
          </w:tbl>
          <w:p w14:paraId="67F3A453">
            <w:pPr>
              <w:pStyle w:val="6"/>
              <w:spacing w:before="33" w:line="220" w:lineRule="auto"/>
              <w:ind w:left="722"/>
              <w:rPr>
                <w:sz w:val="26"/>
                <w:szCs w:val="26"/>
              </w:rPr>
            </w:pPr>
            <w:r>
              <w:rPr>
                <w:b/>
                <w:bCs/>
                <w:spacing w:val="-1"/>
                <w:sz w:val="26"/>
                <w:szCs w:val="26"/>
              </w:rPr>
              <w:t>(3)噪声</w:t>
            </w:r>
          </w:p>
          <w:p w14:paraId="52D9B073">
            <w:pPr>
              <w:pStyle w:val="6"/>
              <w:tabs>
                <w:tab w:val="left" w:pos="227"/>
              </w:tabs>
              <w:spacing w:before="127" w:line="359" w:lineRule="auto"/>
              <w:ind w:left="98" w:right="119" w:firstLine="479"/>
              <w:jc w:val="both"/>
              <w:rPr>
                <w:sz w:val="24"/>
                <w:szCs w:val="24"/>
              </w:rPr>
            </w:pPr>
            <w:r>
              <w:rPr>
                <w:spacing w:val="-2"/>
                <w:sz w:val="24"/>
                <w:szCs w:val="24"/>
              </w:rPr>
              <w:t>施工期噪声执行《建筑施工场界环境噪声排放标准》</w:t>
            </w:r>
            <w:r>
              <w:rPr>
                <w:spacing w:val="76"/>
                <w:sz w:val="24"/>
                <w:szCs w:val="24"/>
              </w:rPr>
              <w:t xml:space="preserve"> </w:t>
            </w:r>
            <w:r>
              <w:rPr>
                <w:spacing w:val="-2"/>
                <w:sz w:val="24"/>
                <w:szCs w:val="24"/>
              </w:rPr>
              <w:t>(</w:t>
            </w:r>
            <w:r>
              <w:rPr>
                <w:spacing w:val="-49"/>
                <w:sz w:val="24"/>
                <w:szCs w:val="24"/>
              </w:rPr>
              <w:t xml:space="preserve"> </w:t>
            </w:r>
            <w:r>
              <w:rPr>
                <w:rFonts w:ascii="Times New Roman" w:hAnsi="Times New Roman" w:eastAsia="Times New Roman" w:cs="Times New Roman"/>
                <w:spacing w:val="-2"/>
                <w:sz w:val="24"/>
                <w:szCs w:val="24"/>
              </w:rPr>
              <w:t xml:space="preserve">GB12523-2011);     </w:t>
            </w:r>
            <w:r>
              <w:rPr>
                <w:spacing w:val="-2"/>
                <w:sz w:val="24"/>
                <w:szCs w:val="24"/>
              </w:rPr>
              <w:t>运</w:t>
            </w:r>
            <w:r>
              <w:rPr>
                <w:sz w:val="24"/>
                <w:szCs w:val="24"/>
              </w:rPr>
              <w:t xml:space="preserve"> </w:t>
            </w:r>
            <w:r>
              <w:rPr>
                <w:spacing w:val="18"/>
                <w:sz w:val="24"/>
                <w:szCs w:val="24"/>
              </w:rPr>
              <w:t>营期升压站区域、光伏场区域噪声执行《工业企业厂界环境噪声排放标准》</w:t>
            </w:r>
            <w:r>
              <w:rPr>
                <w:spacing w:val="14"/>
                <w:sz w:val="24"/>
                <w:szCs w:val="24"/>
              </w:rPr>
              <w:t xml:space="preserve"> </w:t>
            </w:r>
            <w:r>
              <w:rPr>
                <w:sz w:val="24"/>
                <w:szCs w:val="24"/>
              </w:rPr>
              <w:tab/>
            </w:r>
            <w:r>
              <w:rPr>
                <w:spacing w:val="2"/>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2"/>
                <w:sz w:val="24"/>
                <w:szCs w:val="24"/>
              </w:rPr>
              <w:t xml:space="preserve">12348-2008)1   </w:t>
            </w:r>
            <w:r>
              <w:rPr>
                <w:spacing w:val="2"/>
                <w:sz w:val="24"/>
                <w:szCs w:val="24"/>
              </w:rPr>
              <w:t>类标准和4</w:t>
            </w:r>
            <w:r>
              <w:rPr>
                <w:rFonts w:ascii="Times New Roman" w:hAnsi="Times New Roman" w:eastAsia="Times New Roman" w:cs="Times New Roman"/>
                <w:spacing w:val="2"/>
                <w:sz w:val="24"/>
                <w:szCs w:val="24"/>
              </w:rPr>
              <w:t xml:space="preserve">a </w:t>
            </w:r>
            <w:r>
              <w:rPr>
                <w:spacing w:val="2"/>
                <w:sz w:val="24"/>
                <w:szCs w:val="24"/>
              </w:rPr>
              <w:t>类标准。本项目噪声排放执行标准详见表3-31。</w:t>
            </w:r>
          </w:p>
          <w:p w14:paraId="355B46F8">
            <w:pPr>
              <w:pStyle w:val="6"/>
              <w:spacing w:before="19" w:line="193" w:lineRule="auto"/>
              <w:ind w:left="1202"/>
              <w:rPr>
                <w:sz w:val="25"/>
                <w:szCs w:val="25"/>
              </w:rPr>
            </w:pPr>
            <w:r>
              <w:rPr>
                <w:b/>
                <w:bCs/>
                <w:position w:val="-1"/>
                <w:sz w:val="25"/>
                <w:szCs w:val="25"/>
              </w:rPr>
              <w:t>表3-31</w:t>
            </w:r>
            <w:r>
              <w:rPr>
                <w:position w:val="-1"/>
                <w:sz w:val="25"/>
                <w:szCs w:val="25"/>
              </w:rPr>
              <w:t xml:space="preserve">  </w:t>
            </w:r>
            <w:r>
              <w:rPr>
                <w:b/>
                <w:bCs/>
                <w:position w:val="-1"/>
                <w:sz w:val="25"/>
                <w:szCs w:val="25"/>
              </w:rPr>
              <w:t>本项目噪声排放执行标准</w:t>
            </w:r>
            <w:r>
              <w:rPr>
                <w:spacing w:val="20"/>
                <w:position w:val="-1"/>
                <w:sz w:val="25"/>
                <w:szCs w:val="25"/>
              </w:rPr>
              <w:t xml:space="preserve">     </w:t>
            </w:r>
            <w:r>
              <w:rPr>
                <w:position w:val="1"/>
                <w:sz w:val="25"/>
                <w:szCs w:val="25"/>
              </w:rPr>
              <w:t>单位：Leq[dB(</w:t>
            </w:r>
            <w:r>
              <w:rPr>
                <w:spacing w:val="-1"/>
                <w:position w:val="1"/>
                <w:sz w:val="25"/>
                <w:szCs w:val="25"/>
              </w:rPr>
              <w:t>A)]</w:t>
            </w:r>
          </w:p>
          <w:tbl>
            <w:tblPr>
              <w:tblStyle w:val="5"/>
              <w:tblW w:w="8529" w:type="dxa"/>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3"/>
              <w:gridCol w:w="959"/>
              <w:gridCol w:w="939"/>
              <w:gridCol w:w="5378"/>
            </w:tblGrid>
            <w:tr w14:paraId="59EB3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1253" w:type="dxa"/>
                  <w:vMerge w:val="restart"/>
                  <w:tcBorders>
                    <w:bottom w:val="nil"/>
                  </w:tcBorders>
                  <w:vAlign w:val="top"/>
                </w:tcPr>
                <w:p w14:paraId="6E607301">
                  <w:pPr>
                    <w:pStyle w:val="6"/>
                    <w:spacing w:before="244" w:line="221" w:lineRule="auto"/>
                    <w:ind w:left="404"/>
                    <w:rPr>
                      <w:sz w:val="21"/>
                      <w:szCs w:val="21"/>
                    </w:rPr>
                  </w:pPr>
                  <w:r>
                    <w:rPr>
                      <w:spacing w:val="4"/>
                      <w:sz w:val="21"/>
                      <w:szCs w:val="21"/>
                    </w:rPr>
                    <w:t>阶段</w:t>
                  </w:r>
                </w:p>
              </w:tc>
              <w:tc>
                <w:tcPr>
                  <w:tcW w:w="1898" w:type="dxa"/>
                  <w:gridSpan w:val="2"/>
                  <w:vAlign w:val="top"/>
                </w:tcPr>
                <w:p w14:paraId="1FFE3D34">
                  <w:pPr>
                    <w:pStyle w:val="6"/>
                    <w:spacing w:before="73" w:line="219" w:lineRule="auto"/>
                    <w:ind w:left="611"/>
                    <w:rPr>
                      <w:sz w:val="21"/>
                      <w:szCs w:val="21"/>
                    </w:rPr>
                  </w:pPr>
                  <w:r>
                    <w:rPr>
                      <w:spacing w:val="-3"/>
                      <w:sz w:val="21"/>
                      <w:szCs w:val="21"/>
                    </w:rPr>
                    <w:t>标准值</w:t>
                  </w:r>
                </w:p>
              </w:tc>
              <w:tc>
                <w:tcPr>
                  <w:tcW w:w="5378" w:type="dxa"/>
                  <w:vMerge w:val="restart"/>
                  <w:tcBorders>
                    <w:bottom w:val="nil"/>
                  </w:tcBorders>
                  <w:vAlign w:val="top"/>
                </w:tcPr>
                <w:p w14:paraId="0DEAEBE3">
                  <w:pPr>
                    <w:pStyle w:val="6"/>
                    <w:spacing w:before="243" w:line="219" w:lineRule="auto"/>
                    <w:ind w:left="2263"/>
                    <w:rPr>
                      <w:sz w:val="21"/>
                      <w:szCs w:val="21"/>
                    </w:rPr>
                  </w:pPr>
                  <w:r>
                    <w:rPr>
                      <w:spacing w:val="-2"/>
                      <w:sz w:val="21"/>
                      <w:szCs w:val="21"/>
                    </w:rPr>
                    <w:t>执行标准</w:t>
                  </w:r>
                </w:p>
              </w:tc>
            </w:tr>
            <w:tr w14:paraId="6240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1253" w:type="dxa"/>
                  <w:vMerge w:val="continue"/>
                  <w:tcBorders>
                    <w:top w:val="nil"/>
                  </w:tcBorders>
                  <w:vAlign w:val="top"/>
                </w:tcPr>
                <w:p w14:paraId="56430042">
                  <w:pPr>
                    <w:rPr>
                      <w:rFonts w:ascii="Arial"/>
                      <w:sz w:val="21"/>
                    </w:rPr>
                  </w:pPr>
                </w:p>
              </w:tc>
              <w:tc>
                <w:tcPr>
                  <w:tcW w:w="959" w:type="dxa"/>
                  <w:vAlign w:val="top"/>
                </w:tcPr>
                <w:p w14:paraId="3C9A14B1">
                  <w:pPr>
                    <w:pStyle w:val="6"/>
                    <w:spacing w:before="63" w:line="222" w:lineRule="auto"/>
                    <w:ind w:left="261"/>
                    <w:rPr>
                      <w:sz w:val="21"/>
                      <w:szCs w:val="21"/>
                    </w:rPr>
                  </w:pPr>
                  <w:r>
                    <w:rPr>
                      <w:spacing w:val="10"/>
                      <w:sz w:val="21"/>
                      <w:szCs w:val="21"/>
                    </w:rPr>
                    <w:t>昼间</w:t>
                  </w:r>
                </w:p>
              </w:tc>
              <w:tc>
                <w:tcPr>
                  <w:tcW w:w="939" w:type="dxa"/>
                  <w:vAlign w:val="top"/>
                </w:tcPr>
                <w:p w14:paraId="03D05178">
                  <w:pPr>
                    <w:pStyle w:val="6"/>
                    <w:spacing w:before="60" w:line="219" w:lineRule="auto"/>
                    <w:ind w:left="252"/>
                    <w:rPr>
                      <w:sz w:val="21"/>
                      <w:szCs w:val="21"/>
                    </w:rPr>
                  </w:pPr>
                  <w:r>
                    <w:rPr>
                      <w:spacing w:val="10"/>
                      <w:sz w:val="21"/>
                      <w:szCs w:val="21"/>
                    </w:rPr>
                    <w:t>夜间</w:t>
                  </w:r>
                </w:p>
              </w:tc>
              <w:tc>
                <w:tcPr>
                  <w:tcW w:w="5378" w:type="dxa"/>
                  <w:vMerge w:val="continue"/>
                  <w:tcBorders>
                    <w:top w:val="nil"/>
                  </w:tcBorders>
                  <w:vAlign w:val="top"/>
                </w:tcPr>
                <w:p w14:paraId="10577795">
                  <w:pPr>
                    <w:rPr>
                      <w:rFonts w:ascii="Arial"/>
                      <w:sz w:val="21"/>
                    </w:rPr>
                  </w:pPr>
                </w:p>
              </w:tc>
            </w:tr>
            <w:tr w14:paraId="4D2BF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253" w:type="dxa"/>
                  <w:vAlign w:val="top"/>
                </w:tcPr>
                <w:p w14:paraId="688ED728">
                  <w:pPr>
                    <w:pStyle w:val="6"/>
                    <w:spacing w:before="63" w:line="220" w:lineRule="auto"/>
                    <w:ind w:left="304"/>
                    <w:rPr>
                      <w:sz w:val="21"/>
                      <w:szCs w:val="21"/>
                    </w:rPr>
                  </w:pPr>
                  <w:r>
                    <w:rPr>
                      <w:spacing w:val="4"/>
                      <w:sz w:val="21"/>
                      <w:szCs w:val="21"/>
                    </w:rPr>
                    <w:t>施工期</w:t>
                  </w:r>
                </w:p>
              </w:tc>
              <w:tc>
                <w:tcPr>
                  <w:tcW w:w="959" w:type="dxa"/>
                  <w:vAlign w:val="top"/>
                </w:tcPr>
                <w:p w14:paraId="020E175A">
                  <w:pPr>
                    <w:pStyle w:val="6"/>
                    <w:spacing w:before="83" w:line="207" w:lineRule="auto"/>
                    <w:ind w:left="361"/>
                    <w:rPr>
                      <w:sz w:val="21"/>
                      <w:szCs w:val="21"/>
                    </w:rPr>
                  </w:pPr>
                  <w:r>
                    <w:rPr>
                      <w:spacing w:val="-4"/>
                      <w:sz w:val="21"/>
                      <w:szCs w:val="21"/>
                    </w:rPr>
                    <w:t>70</w:t>
                  </w:r>
                </w:p>
              </w:tc>
              <w:tc>
                <w:tcPr>
                  <w:tcW w:w="939" w:type="dxa"/>
                  <w:vAlign w:val="top"/>
                </w:tcPr>
                <w:p w14:paraId="399A1576">
                  <w:pPr>
                    <w:pStyle w:val="6"/>
                    <w:spacing w:before="83" w:line="207" w:lineRule="auto"/>
                    <w:ind w:left="352"/>
                    <w:rPr>
                      <w:sz w:val="21"/>
                      <w:szCs w:val="21"/>
                    </w:rPr>
                  </w:pPr>
                  <w:r>
                    <w:rPr>
                      <w:spacing w:val="-4"/>
                      <w:sz w:val="21"/>
                      <w:szCs w:val="21"/>
                    </w:rPr>
                    <w:t>55</w:t>
                  </w:r>
                </w:p>
              </w:tc>
              <w:tc>
                <w:tcPr>
                  <w:tcW w:w="5378" w:type="dxa"/>
                  <w:vAlign w:val="top"/>
                </w:tcPr>
                <w:p w14:paraId="3411E7BC">
                  <w:pPr>
                    <w:pStyle w:val="6"/>
                    <w:spacing w:before="63" w:line="220" w:lineRule="auto"/>
                    <w:ind w:left="208"/>
                    <w:rPr>
                      <w:sz w:val="21"/>
                      <w:szCs w:val="21"/>
                    </w:rPr>
                  </w:pPr>
                  <w:r>
                    <w:rPr>
                      <w:spacing w:val="2"/>
                      <w:sz w:val="21"/>
                      <w:szCs w:val="21"/>
                    </w:rPr>
                    <w:t>《建筑施工场界环境噪声排放标准》(</w:t>
                  </w:r>
                  <w:r>
                    <w:rPr>
                      <w:sz w:val="21"/>
                      <w:szCs w:val="21"/>
                    </w:rPr>
                    <w:t>GB</w:t>
                  </w:r>
                  <w:r>
                    <w:rPr>
                      <w:spacing w:val="2"/>
                      <w:sz w:val="21"/>
                      <w:szCs w:val="21"/>
                    </w:rPr>
                    <w:t>1252</w:t>
                  </w:r>
                  <w:r>
                    <w:rPr>
                      <w:spacing w:val="1"/>
                      <w:sz w:val="21"/>
                      <w:szCs w:val="21"/>
                    </w:rPr>
                    <w:t>3-2011)</w:t>
                  </w:r>
                </w:p>
              </w:tc>
            </w:tr>
            <w:tr w14:paraId="1EE9E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253" w:type="dxa"/>
                  <w:vMerge w:val="restart"/>
                  <w:tcBorders>
                    <w:bottom w:val="nil"/>
                  </w:tcBorders>
                  <w:vAlign w:val="top"/>
                </w:tcPr>
                <w:p w14:paraId="21FA61EB">
                  <w:pPr>
                    <w:spacing w:line="261" w:lineRule="auto"/>
                    <w:rPr>
                      <w:rFonts w:ascii="Arial"/>
                      <w:sz w:val="21"/>
                    </w:rPr>
                  </w:pPr>
                </w:p>
                <w:p w14:paraId="26C073F3">
                  <w:pPr>
                    <w:spacing w:line="261" w:lineRule="auto"/>
                    <w:rPr>
                      <w:rFonts w:ascii="Arial"/>
                      <w:sz w:val="21"/>
                    </w:rPr>
                  </w:pPr>
                </w:p>
                <w:p w14:paraId="6D1D1E81">
                  <w:pPr>
                    <w:pStyle w:val="6"/>
                    <w:spacing w:before="68" w:line="220" w:lineRule="auto"/>
                    <w:ind w:left="304"/>
                    <w:rPr>
                      <w:sz w:val="21"/>
                      <w:szCs w:val="21"/>
                    </w:rPr>
                  </w:pPr>
                  <w:r>
                    <w:rPr>
                      <w:spacing w:val="4"/>
                      <w:sz w:val="21"/>
                      <w:szCs w:val="21"/>
                    </w:rPr>
                    <w:t>运营期</w:t>
                  </w:r>
                </w:p>
              </w:tc>
              <w:tc>
                <w:tcPr>
                  <w:tcW w:w="959" w:type="dxa"/>
                  <w:vAlign w:val="top"/>
                </w:tcPr>
                <w:p w14:paraId="3617B7AB">
                  <w:pPr>
                    <w:pStyle w:val="6"/>
                    <w:spacing w:before="203"/>
                    <w:ind w:left="361"/>
                    <w:rPr>
                      <w:sz w:val="21"/>
                      <w:szCs w:val="21"/>
                    </w:rPr>
                  </w:pPr>
                  <w:r>
                    <w:rPr>
                      <w:spacing w:val="-4"/>
                      <w:sz w:val="21"/>
                      <w:szCs w:val="21"/>
                    </w:rPr>
                    <w:t>55</w:t>
                  </w:r>
                </w:p>
              </w:tc>
              <w:tc>
                <w:tcPr>
                  <w:tcW w:w="939" w:type="dxa"/>
                  <w:vAlign w:val="top"/>
                </w:tcPr>
                <w:p w14:paraId="711E0B74">
                  <w:pPr>
                    <w:pStyle w:val="6"/>
                    <w:spacing w:before="203"/>
                    <w:ind w:left="352"/>
                    <w:rPr>
                      <w:sz w:val="21"/>
                      <w:szCs w:val="21"/>
                    </w:rPr>
                  </w:pPr>
                  <w:r>
                    <w:rPr>
                      <w:spacing w:val="-2"/>
                      <w:sz w:val="21"/>
                      <w:szCs w:val="21"/>
                    </w:rPr>
                    <w:t>45</w:t>
                  </w:r>
                </w:p>
              </w:tc>
              <w:tc>
                <w:tcPr>
                  <w:tcW w:w="5378" w:type="dxa"/>
                  <w:vAlign w:val="top"/>
                </w:tcPr>
                <w:p w14:paraId="02B0467E">
                  <w:pPr>
                    <w:pStyle w:val="6"/>
                    <w:spacing w:before="64" w:line="212" w:lineRule="auto"/>
                    <w:ind w:left="2312" w:right="278" w:hanging="2104"/>
                    <w:rPr>
                      <w:sz w:val="21"/>
                      <w:szCs w:val="21"/>
                    </w:rPr>
                  </w:pPr>
                  <w:r>
                    <w:rPr>
                      <w:spacing w:val="2"/>
                      <w:sz w:val="21"/>
                      <w:szCs w:val="21"/>
                    </w:rPr>
                    <w:t>《工业企业厂界环境噪声排放标准》(</w:t>
                  </w:r>
                  <w:r>
                    <w:rPr>
                      <w:sz w:val="21"/>
                      <w:szCs w:val="21"/>
                    </w:rPr>
                    <w:t>GB</w:t>
                  </w:r>
                  <w:r>
                    <w:rPr>
                      <w:spacing w:val="2"/>
                      <w:sz w:val="21"/>
                      <w:szCs w:val="21"/>
                    </w:rPr>
                    <w:t>1234</w:t>
                  </w:r>
                  <w:r>
                    <w:rPr>
                      <w:spacing w:val="1"/>
                      <w:sz w:val="21"/>
                      <w:szCs w:val="21"/>
                    </w:rPr>
                    <w:t>8-2008)</w:t>
                  </w:r>
                  <w:r>
                    <w:rPr>
                      <w:sz w:val="21"/>
                      <w:szCs w:val="21"/>
                    </w:rPr>
                    <w:t xml:space="preserve"> </w:t>
                  </w:r>
                  <w:r>
                    <w:rPr>
                      <w:spacing w:val="1"/>
                      <w:sz w:val="21"/>
                      <w:szCs w:val="21"/>
                    </w:rPr>
                    <w:t>1类标准</w:t>
                  </w:r>
                </w:p>
              </w:tc>
            </w:tr>
            <w:tr w14:paraId="22453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1253" w:type="dxa"/>
                  <w:vMerge w:val="continue"/>
                  <w:tcBorders>
                    <w:top w:val="nil"/>
                  </w:tcBorders>
                  <w:vAlign w:val="top"/>
                </w:tcPr>
                <w:p w14:paraId="40FDF3E0">
                  <w:pPr>
                    <w:rPr>
                      <w:rFonts w:ascii="Arial"/>
                      <w:sz w:val="21"/>
                    </w:rPr>
                  </w:pPr>
                </w:p>
              </w:tc>
              <w:tc>
                <w:tcPr>
                  <w:tcW w:w="959" w:type="dxa"/>
                  <w:vAlign w:val="top"/>
                </w:tcPr>
                <w:p w14:paraId="130C61B3">
                  <w:pPr>
                    <w:spacing w:line="266" w:lineRule="auto"/>
                    <w:rPr>
                      <w:rFonts w:ascii="Arial"/>
                      <w:sz w:val="21"/>
                    </w:rPr>
                  </w:pPr>
                </w:p>
                <w:p w14:paraId="3C538D44">
                  <w:pPr>
                    <w:pStyle w:val="6"/>
                    <w:spacing w:before="69"/>
                    <w:ind w:left="361"/>
                    <w:rPr>
                      <w:sz w:val="21"/>
                      <w:szCs w:val="21"/>
                    </w:rPr>
                  </w:pPr>
                  <w:r>
                    <w:rPr>
                      <w:spacing w:val="-4"/>
                      <w:sz w:val="21"/>
                      <w:szCs w:val="21"/>
                    </w:rPr>
                    <w:t>70</w:t>
                  </w:r>
                </w:p>
              </w:tc>
              <w:tc>
                <w:tcPr>
                  <w:tcW w:w="939" w:type="dxa"/>
                  <w:vAlign w:val="top"/>
                </w:tcPr>
                <w:p w14:paraId="43D490A0">
                  <w:pPr>
                    <w:spacing w:line="266" w:lineRule="auto"/>
                    <w:rPr>
                      <w:rFonts w:ascii="Arial"/>
                      <w:sz w:val="21"/>
                    </w:rPr>
                  </w:pPr>
                </w:p>
                <w:p w14:paraId="580F0F50">
                  <w:pPr>
                    <w:pStyle w:val="6"/>
                    <w:spacing w:before="69"/>
                    <w:ind w:left="352"/>
                    <w:rPr>
                      <w:sz w:val="21"/>
                      <w:szCs w:val="21"/>
                    </w:rPr>
                  </w:pPr>
                  <w:r>
                    <w:rPr>
                      <w:spacing w:val="-4"/>
                      <w:sz w:val="21"/>
                      <w:szCs w:val="21"/>
                    </w:rPr>
                    <w:t>55</w:t>
                  </w:r>
                </w:p>
              </w:tc>
              <w:tc>
                <w:tcPr>
                  <w:tcW w:w="5378" w:type="dxa"/>
                  <w:vAlign w:val="top"/>
                </w:tcPr>
                <w:p w14:paraId="20F7A4A2">
                  <w:pPr>
                    <w:pStyle w:val="6"/>
                    <w:spacing w:before="47" w:line="220" w:lineRule="auto"/>
                    <w:ind w:left="208"/>
                    <w:rPr>
                      <w:sz w:val="21"/>
                      <w:szCs w:val="21"/>
                    </w:rPr>
                  </w:pPr>
                  <w:r>
                    <w:rPr>
                      <w:spacing w:val="2"/>
                      <w:sz w:val="21"/>
                      <w:szCs w:val="21"/>
                    </w:rPr>
                    <w:t>《工业企业厂界环境噪声排放标准》(</w:t>
                  </w:r>
                  <w:r>
                    <w:rPr>
                      <w:sz w:val="21"/>
                      <w:szCs w:val="21"/>
                    </w:rPr>
                    <w:t>GB</w:t>
                  </w:r>
                  <w:r>
                    <w:rPr>
                      <w:spacing w:val="2"/>
                      <w:sz w:val="21"/>
                      <w:szCs w:val="21"/>
                    </w:rPr>
                    <w:t>1234</w:t>
                  </w:r>
                  <w:r>
                    <w:rPr>
                      <w:spacing w:val="1"/>
                      <w:sz w:val="21"/>
                      <w:szCs w:val="21"/>
                    </w:rPr>
                    <w:t>8-2008)</w:t>
                  </w:r>
                </w:p>
                <w:p w14:paraId="13E52432">
                  <w:pPr>
                    <w:pStyle w:val="6"/>
                    <w:spacing w:before="19" w:line="219" w:lineRule="auto"/>
                    <w:ind w:left="103"/>
                    <w:rPr>
                      <w:sz w:val="21"/>
                      <w:szCs w:val="21"/>
                    </w:rPr>
                  </w:pPr>
                  <w:r>
                    <w:rPr>
                      <w:sz w:val="21"/>
                      <w:szCs w:val="21"/>
                    </w:rPr>
                    <w:t>4a类标准，8#和11#方阵位于福昆线和汕昆高速之间，厂</w:t>
                  </w:r>
                </w:p>
                <w:p w14:paraId="1E57FE01">
                  <w:pPr>
                    <w:pStyle w:val="6"/>
                    <w:spacing w:before="19" w:line="199" w:lineRule="auto"/>
                    <w:ind w:left="683"/>
                    <w:rPr>
                      <w:sz w:val="21"/>
                      <w:szCs w:val="21"/>
                    </w:rPr>
                  </w:pPr>
                  <w:r>
                    <w:rPr>
                      <w:sz w:val="21"/>
                      <w:szCs w:val="21"/>
                    </w:rPr>
                    <w:t>界在福昆线和汕昆高速道路边界55m范围</w:t>
                  </w:r>
                  <w:r>
                    <w:rPr>
                      <w:spacing w:val="-1"/>
                      <w:sz w:val="21"/>
                      <w:szCs w:val="21"/>
                    </w:rPr>
                    <w:t>内。</w:t>
                  </w:r>
                </w:p>
              </w:tc>
            </w:tr>
          </w:tbl>
          <w:p w14:paraId="7425553B">
            <w:pPr>
              <w:pStyle w:val="6"/>
              <w:spacing w:before="42" w:line="219" w:lineRule="auto"/>
              <w:ind w:left="721"/>
              <w:rPr>
                <w:sz w:val="25"/>
                <w:szCs w:val="25"/>
              </w:rPr>
            </w:pPr>
            <w:r>
              <w:rPr>
                <w:b/>
                <w:bCs/>
                <w:spacing w:val="-3"/>
                <w:sz w:val="25"/>
                <w:szCs w:val="25"/>
              </w:rPr>
              <w:t>(4)固体废弃物</w:t>
            </w:r>
          </w:p>
          <w:p w14:paraId="707E1B74">
            <w:pPr>
              <w:pStyle w:val="6"/>
              <w:spacing w:before="167" w:line="320" w:lineRule="auto"/>
              <w:ind w:left="248" w:right="9" w:firstLine="330"/>
              <w:rPr>
                <w:sz w:val="24"/>
                <w:szCs w:val="24"/>
              </w:rPr>
            </w:pPr>
            <w:r>
              <w:rPr>
                <w:sz w:val="24"/>
                <w:szCs w:val="24"/>
              </w:rPr>
              <w:t>一般工业固体废弃物处置执行《一般工业固体废物贮存和填埋污染控制标</w:t>
            </w:r>
            <w:r>
              <w:rPr>
                <w:spacing w:val="-1"/>
                <w:sz w:val="24"/>
                <w:szCs w:val="24"/>
              </w:rPr>
              <w:t>准》</w:t>
            </w:r>
            <w:r>
              <w:rPr>
                <w:sz w:val="24"/>
                <w:szCs w:val="24"/>
              </w:rPr>
              <w:t xml:space="preserve"> </w:t>
            </w:r>
            <w:r>
              <w:rPr>
                <w:rFonts w:ascii="Times New Roman" w:hAnsi="Times New Roman" w:eastAsia="Times New Roman" w:cs="Times New Roman"/>
                <w:spacing w:val="-1"/>
                <w:sz w:val="24"/>
                <w:szCs w:val="24"/>
              </w:rPr>
              <w:t>(GB18599-2020)</w:t>
            </w:r>
            <w:r>
              <w:rPr>
                <w:spacing w:val="-1"/>
                <w:sz w:val="24"/>
                <w:szCs w:val="24"/>
              </w:rPr>
              <w:t>。</w:t>
            </w:r>
          </w:p>
          <w:p w14:paraId="2915368B">
            <w:pPr>
              <w:pStyle w:val="6"/>
              <w:spacing w:before="98" w:line="219" w:lineRule="auto"/>
              <w:ind w:left="578"/>
              <w:rPr>
                <w:sz w:val="24"/>
                <w:szCs w:val="24"/>
              </w:rPr>
            </w:pPr>
            <w:r>
              <w:rPr>
                <w:spacing w:val="4"/>
                <w:sz w:val="24"/>
                <w:szCs w:val="24"/>
              </w:rPr>
              <w:t>变压器事故废油及废铅蓄电池(升压站应急照明使用)执行《危</w:t>
            </w:r>
            <w:r>
              <w:rPr>
                <w:spacing w:val="3"/>
                <w:sz w:val="24"/>
                <w:szCs w:val="24"/>
              </w:rPr>
              <w:t>险废物贮存污</w:t>
            </w:r>
          </w:p>
        </w:tc>
      </w:tr>
    </w:tbl>
    <w:p w14:paraId="200E0F02">
      <w:pPr>
        <w:pStyle w:val="2"/>
      </w:pPr>
    </w:p>
    <w:p w14:paraId="28145549">
      <w:pPr>
        <w:sectPr>
          <w:footerReference r:id="rId122" w:type="default"/>
          <w:pgSz w:w="11910" w:h="16830"/>
          <w:pgMar w:top="400" w:right="1239" w:bottom="1259" w:left="1180" w:header="0" w:footer="1079" w:gutter="0"/>
          <w:cols w:space="720" w:num="1"/>
        </w:sectPr>
      </w:pPr>
    </w:p>
    <w:p w14:paraId="6C4506D5">
      <w:pPr>
        <w:spacing w:before="22" w:line="212" w:lineRule="auto"/>
        <w:ind w:left="820"/>
        <w:rPr>
          <w:rFonts w:ascii="宋体" w:hAnsi="宋体" w:eastAsia="宋体" w:cs="宋体"/>
          <w:sz w:val="24"/>
          <w:szCs w:val="24"/>
        </w:rPr>
      </w:pPr>
      <w:r>
        <w:rPr>
          <w:rFonts w:ascii="宋体" w:hAnsi="宋体" w:eastAsia="宋体" w:cs="宋体"/>
          <w:spacing w:val="-3"/>
          <w:sz w:val="24"/>
          <w:szCs w:val="24"/>
        </w:rPr>
        <w:t>染控制标准》</w:t>
      </w:r>
      <w:r>
        <w:rPr>
          <w:rFonts w:ascii="宋体" w:hAnsi="宋体" w:eastAsia="宋体" w:cs="宋体"/>
          <w:spacing w:val="-29"/>
          <w:sz w:val="24"/>
          <w:szCs w:val="24"/>
        </w:rPr>
        <w:t xml:space="preserve"> </w:t>
      </w:r>
      <w:r>
        <w:rPr>
          <w:rFonts w:ascii="宋体" w:hAnsi="宋体" w:eastAsia="宋体" w:cs="宋体"/>
          <w:spacing w:val="-3"/>
          <w:sz w:val="24"/>
          <w:szCs w:val="24"/>
        </w:rPr>
        <w:t>(</w:t>
      </w:r>
      <w:r>
        <w:rPr>
          <w:rFonts w:ascii="宋体" w:hAnsi="宋体" w:eastAsia="宋体" w:cs="宋体"/>
          <w:spacing w:val="-68"/>
          <w:sz w:val="24"/>
          <w:szCs w:val="24"/>
        </w:rPr>
        <w:t xml:space="preserve"> </w:t>
      </w:r>
      <w:r>
        <w:rPr>
          <w:rFonts w:ascii="Times New Roman" w:hAnsi="Times New Roman" w:eastAsia="Times New Roman" w:cs="Times New Roman"/>
          <w:spacing w:val="-3"/>
          <w:sz w:val="24"/>
          <w:szCs w:val="24"/>
        </w:rPr>
        <w:t>GB18597-2023)</w:t>
      </w:r>
      <w:r>
        <w:rPr>
          <w:rFonts w:ascii="宋体" w:hAnsi="宋体" w:eastAsia="宋体" w:cs="宋体"/>
          <w:spacing w:val="-3"/>
          <w:sz w:val="24"/>
          <w:szCs w:val="24"/>
        </w:rPr>
        <w:t>。</w:t>
      </w:r>
    </w:p>
    <w:p w14:paraId="3586C208">
      <w:pPr>
        <w:spacing w:before="208" w:line="220" w:lineRule="auto"/>
        <w:ind w:left="1433"/>
        <w:rPr>
          <w:rFonts w:ascii="宋体" w:hAnsi="宋体" w:eastAsia="宋体" w:cs="宋体"/>
          <w:sz w:val="24"/>
          <w:szCs w:val="24"/>
        </w:rPr>
      </w:pPr>
      <w:r>
        <w:rPr>
          <w:rFonts w:ascii="宋体" w:hAnsi="宋体" w:eastAsia="宋体" w:cs="宋体"/>
          <w:b/>
          <w:bCs/>
          <w:spacing w:val="6"/>
          <w:sz w:val="24"/>
          <w:szCs w:val="24"/>
        </w:rPr>
        <w:t>(5)工频电场强度、工频磁感应强度</w:t>
      </w:r>
    </w:p>
    <w:p w14:paraId="0DA4D476">
      <w:pPr>
        <w:spacing w:before="158" w:line="359" w:lineRule="auto"/>
        <w:ind w:left="830" w:right="33" w:firstLine="479"/>
        <w:rPr>
          <w:rFonts w:ascii="宋体" w:hAnsi="宋体" w:eastAsia="宋体" w:cs="宋体"/>
          <w:sz w:val="24"/>
          <w:szCs w:val="24"/>
        </w:rPr>
      </w:pPr>
      <w:r>
        <w:rPr>
          <w:rFonts w:ascii="宋体" w:hAnsi="宋体" w:eastAsia="宋体" w:cs="宋体"/>
          <w:spacing w:val="-3"/>
          <w:sz w:val="24"/>
          <w:szCs w:val="24"/>
        </w:rPr>
        <w:t>根据《电磁环境控制限值》(</w:t>
      </w:r>
      <w:r>
        <w:rPr>
          <w:rFonts w:ascii="宋体" w:hAnsi="宋体" w:eastAsia="宋体" w:cs="宋体"/>
          <w:spacing w:val="-58"/>
          <w:sz w:val="24"/>
          <w:szCs w:val="24"/>
        </w:rPr>
        <w:t xml:space="preserve"> </w:t>
      </w:r>
      <w:r>
        <w:rPr>
          <w:rFonts w:ascii="Times New Roman" w:hAnsi="Times New Roman" w:eastAsia="Times New Roman" w:cs="Times New Roman"/>
          <w:spacing w:val="-3"/>
          <w:sz w:val="24"/>
          <w:szCs w:val="24"/>
        </w:rPr>
        <w:t>GB</w:t>
      </w:r>
      <w:r>
        <w:rPr>
          <w:rFonts w:ascii="Times New Roman" w:hAnsi="Times New Roman" w:eastAsia="Times New Roman" w:cs="Times New Roman"/>
          <w:spacing w:val="24"/>
          <w:w w:val="101"/>
          <w:sz w:val="24"/>
          <w:szCs w:val="24"/>
        </w:rPr>
        <w:t xml:space="preserve">  </w:t>
      </w:r>
      <w:r>
        <w:rPr>
          <w:rFonts w:ascii="Times New Roman" w:hAnsi="Times New Roman" w:eastAsia="Times New Roman" w:cs="Times New Roman"/>
          <w:spacing w:val="-3"/>
          <w:sz w:val="24"/>
          <w:szCs w:val="24"/>
        </w:rPr>
        <w:t>8702-</w:t>
      </w:r>
      <w:r>
        <w:rPr>
          <w:rFonts w:ascii="Times New Roman" w:hAnsi="Times New Roman" w:eastAsia="Times New Roman" w:cs="Times New Roman"/>
          <w:spacing w:val="-4"/>
          <w:sz w:val="24"/>
          <w:szCs w:val="24"/>
        </w:rPr>
        <w:t>2014)</w:t>
      </w:r>
      <w:r>
        <w:rPr>
          <w:rFonts w:ascii="宋体" w:hAnsi="宋体" w:eastAsia="宋体" w:cs="宋体"/>
          <w:spacing w:val="-4"/>
          <w:sz w:val="24"/>
          <w:szCs w:val="24"/>
        </w:rPr>
        <w:t>的规定，为控制本工程工频电场、</w:t>
      </w:r>
      <w:r>
        <w:rPr>
          <w:rFonts w:ascii="宋体" w:hAnsi="宋体" w:eastAsia="宋体" w:cs="宋体"/>
          <w:sz w:val="24"/>
          <w:szCs w:val="24"/>
        </w:rPr>
        <w:t xml:space="preserve"> </w:t>
      </w:r>
      <w:r>
        <w:rPr>
          <w:rFonts w:ascii="宋体" w:hAnsi="宋体" w:eastAsia="宋体" w:cs="宋体"/>
          <w:spacing w:val="-2"/>
          <w:sz w:val="24"/>
          <w:szCs w:val="24"/>
        </w:rPr>
        <w:t>磁场所致公众曝露，环境中电场、磁场满足以下限值：</w:t>
      </w:r>
    </w:p>
    <w:p w14:paraId="457F013E">
      <w:pPr>
        <w:spacing w:before="9" w:line="212" w:lineRule="auto"/>
        <w:ind w:left="1309"/>
        <w:rPr>
          <w:rFonts w:ascii="宋体" w:hAnsi="宋体" w:eastAsia="宋体" w:cs="宋体"/>
          <w:sz w:val="24"/>
          <w:szCs w:val="24"/>
        </w:rPr>
      </w:pPr>
      <w:r>
        <w:rPr>
          <w:rFonts w:ascii="宋体" w:hAnsi="宋体" w:eastAsia="宋体" w:cs="宋体"/>
          <w:spacing w:val="3"/>
          <w:sz w:val="24"/>
          <w:szCs w:val="24"/>
        </w:rPr>
        <w:t>①电场强度控制限值为200/</w:t>
      </w:r>
      <w:r>
        <w:rPr>
          <w:rFonts w:ascii="Times New Roman" w:hAnsi="Times New Roman" w:eastAsia="Times New Roman" w:cs="Times New Roman"/>
          <w:spacing w:val="3"/>
          <w:sz w:val="24"/>
          <w:szCs w:val="24"/>
        </w:rPr>
        <w:t xml:space="preserve">f,  </w:t>
      </w:r>
      <w:r>
        <w:rPr>
          <w:rFonts w:ascii="宋体" w:hAnsi="宋体" w:eastAsia="宋体" w:cs="宋体"/>
          <w:spacing w:val="3"/>
          <w:sz w:val="24"/>
          <w:szCs w:val="24"/>
        </w:rPr>
        <w:t>即频率</w:t>
      </w:r>
      <w:r>
        <w:rPr>
          <w:rFonts w:ascii="Times New Roman" w:hAnsi="Times New Roman" w:eastAsia="Times New Roman" w:cs="Times New Roman"/>
          <w:spacing w:val="3"/>
          <w:sz w:val="24"/>
          <w:szCs w:val="24"/>
        </w:rPr>
        <w:t>f=50</w:t>
      </w:r>
      <w:r>
        <w:rPr>
          <w:rFonts w:ascii="Times New Roman" w:hAnsi="Times New Roman" w:eastAsia="Times New Roman" w:cs="Times New Roman"/>
          <w:sz w:val="24"/>
          <w:szCs w:val="24"/>
        </w:rPr>
        <w:t>Hz</w:t>
      </w:r>
      <w:r>
        <w:rPr>
          <w:rFonts w:ascii="Times New Roman" w:hAnsi="Times New Roman" w:eastAsia="Times New Roman" w:cs="Times New Roman"/>
          <w:spacing w:val="25"/>
          <w:sz w:val="24"/>
          <w:szCs w:val="24"/>
        </w:rPr>
        <w:t xml:space="preserve"> </w:t>
      </w:r>
      <w:r>
        <w:rPr>
          <w:rFonts w:ascii="宋体" w:hAnsi="宋体" w:eastAsia="宋体" w:cs="宋体"/>
          <w:spacing w:val="3"/>
          <w:sz w:val="24"/>
          <w:szCs w:val="24"/>
        </w:rPr>
        <w:t>时电场强度</w:t>
      </w:r>
      <w:r>
        <w:rPr>
          <w:rFonts w:ascii="Times New Roman" w:hAnsi="Times New Roman" w:eastAsia="Times New Roman" w:cs="Times New Roman"/>
          <w:spacing w:val="3"/>
          <w:sz w:val="24"/>
          <w:szCs w:val="24"/>
        </w:rPr>
        <w:t>E=4</w:t>
      </w:r>
      <w:r>
        <w:rPr>
          <w:rFonts w:ascii="Times New Roman" w:hAnsi="Times New Roman" w:eastAsia="Times New Roman" w:cs="Times New Roman"/>
          <w:spacing w:val="2"/>
          <w:sz w:val="24"/>
          <w:szCs w:val="24"/>
        </w:rPr>
        <w:t>000V/m</w:t>
      </w:r>
      <w:r>
        <w:rPr>
          <w:rFonts w:ascii="宋体" w:hAnsi="宋体" w:eastAsia="宋体" w:cs="宋体"/>
          <w:spacing w:val="2"/>
          <w:sz w:val="24"/>
          <w:szCs w:val="24"/>
        </w:rPr>
        <w:t>。</w:t>
      </w:r>
    </w:p>
    <w:p w14:paraId="218C2678">
      <w:pPr>
        <w:spacing w:before="202" w:line="212" w:lineRule="auto"/>
        <w:ind w:left="1309"/>
        <w:rPr>
          <w:rFonts w:ascii="宋体" w:hAnsi="宋体" w:eastAsia="宋体" w:cs="宋体"/>
          <w:sz w:val="24"/>
          <w:szCs w:val="24"/>
        </w:rPr>
      </w:pPr>
      <w:r>
        <w:rPr>
          <w:rFonts w:ascii="宋体" w:hAnsi="宋体" w:eastAsia="宋体" w:cs="宋体"/>
          <w:spacing w:val="1"/>
          <w:sz w:val="24"/>
          <w:szCs w:val="24"/>
        </w:rPr>
        <w:t>②磁感应强度控制限值为5/</w:t>
      </w:r>
      <w:r>
        <w:rPr>
          <w:rFonts w:ascii="Times New Roman" w:hAnsi="Times New Roman" w:eastAsia="Times New Roman" w:cs="Times New Roman"/>
          <w:spacing w:val="1"/>
          <w:sz w:val="24"/>
          <w:szCs w:val="24"/>
        </w:rPr>
        <w:t xml:space="preserve">f,   </w:t>
      </w:r>
      <w:r>
        <w:rPr>
          <w:rFonts w:ascii="宋体" w:hAnsi="宋体" w:eastAsia="宋体" w:cs="宋体"/>
          <w:spacing w:val="1"/>
          <w:sz w:val="24"/>
          <w:szCs w:val="24"/>
        </w:rPr>
        <w:t>即频率</w:t>
      </w:r>
      <w:r>
        <w:rPr>
          <w:rFonts w:ascii="宋体" w:hAnsi="宋体" w:eastAsia="宋体" w:cs="宋体"/>
          <w:spacing w:val="-71"/>
          <w:sz w:val="24"/>
          <w:szCs w:val="24"/>
        </w:rPr>
        <w:t xml:space="preserve"> </w:t>
      </w:r>
      <w:r>
        <w:rPr>
          <w:rFonts w:ascii="Times New Roman" w:hAnsi="Times New Roman" w:eastAsia="Times New Roman" w:cs="Times New Roman"/>
          <w:spacing w:val="1"/>
          <w:sz w:val="24"/>
          <w:szCs w:val="24"/>
        </w:rPr>
        <w:t>f=50</w:t>
      </w:r>
      <w:r>
        <w:rPr>
          <w:rFonts w:ascii="Times New Roman" w:hAnsi="Times New Roman" w:eastAsia="Times New Roman" w:cs="Times New Roman"/>
          <w:sz w:val="24"/>
          <w:szCs w:val="24"/>
        </w:rPr>
        <w:t>Hz</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时磁感应</w:t>
      </w:r>
      <w:r>
        <w:rPr>
          <w:rFonts w:ascii="宋体" w:hAnsi="宋体" w:eastAsia="宋体" w:cs="宋体"/>
          <w:sz w:val="24"/>
          <w:szCs w:val="24"/>
        </w:rPr>
        <w:t>强度</w:t>
      </w:r>
      <w:r>
        <w:rPr>
          <w:rFonts w:ascii="Times New Roman" w:hAnsi="Times New Roman" w:eastAsia="Times New Roman" w:cs="Times New Roman"/>
          <w:sz w:val="24"/>
          <w:szCs w:val="24"/>
        </w:rPr>
        <w:t>B=100μT</w:t>
      </w:r>
      <w:r>
        <w:rPr>
          <w:rFonts w:ascii="宋体" w:hAnsi="宋体" w:eastAsia="宋体" w:cs="宋体"/>
          <w:sz w:val="24"/>
          <w:szCs w:val="24"/>
        </w:rPr>
        <w:t>。</w:t>
      </w:r>
    </w:p>
    <w:p w14:paraId="30CECFFB">
      <w:pPr>
        <w:spacing w:line="157" w:lineRule="exact"/>
      </w:pPr>
    </w:p>
    <w:tbl>
      <w:tblPr>
        <w:tblStyle w:val="5"/>
        <w:tblW w:w="9440" w:type="dxa"/>
        <w:tblInd w:w="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80"/>
        <w:gridCol w:w="3376"/>
        <w:gridCol w:w="2218"/>
        <w:gridCol w:w="2807"/>
        <w:gridCol w:w="175"/>
      </w:tblGrid>
      <w:tr w14:paraId="60276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84" w:type="dxa"/>
            <w:vMerge w:val="restart"/>
            <w:tcBorders>
              <w:bottom w:val="nil"/>
            </w:tcBorders>
            <w:vAlign w:val="top"/>
          </w:tcPr>
          <w:p w14:paraId="3EAA0C89">
            <w:pPr>
              <w:rPr>
                <w:rFonts w:ascii="Arial"/>
                <w:sz w:val="21"/>
              </w:rPr>
            </w:pPr>
          </w:p>
        </w:tc>
        <w:tc>
          <w:tcPr>
            <w:tcW w:w="8756" w:type="dxa"/>
            <w:gridSpan w:val="5"/>
            <w:vAlign w:val="top"/>
          </w:tcPr>
          <w:p w14:paraId="006F8320">
            <w:pPr>
              <w:pStyle w:val="6"/>
              <w:spacing w:before="10" w:line="229" w:lineRule="auto"/>
              <w:ind w:left="2234"/>
            </w:pPr>
            <w:r>
              <w:rPr>
                <w:b/>
                <w:bCs/>
                <w:spacing w:val="-3"/>
              </w:rPr>
              <w:t>表3-32</w:t>
            </w:r>
            <w:r>
              <w:rPr>
                <w:spacing w:val="8"/>
              </w:rPr>
              <w:t xml:space="preserve">      </w:t>
            </w:r>
            <w:r>
              <w:rPr>
                <w:b/>
                <w:bCs/>
                <w:spacing w:val="-3"/>
              </w:rPr>
              <w:t>电磁环境公众暴露控制限值</w:t>
            </w:r>
          </w:p>
        </w:tc>
      </w:tr>
      <w:tr w14:paraId="78DFB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684" w:type="dxa"/>
            <w:vMerge w:val="continue"/>
            <w:tcBorders>
              <w:top w:val="nil"/>
              <w:bottom w:val="nil"/>
            </w:tcBorders>
            <w:vAlign w:val="top"/>
          </w:tcPr>
          <w:p w14:paraId="0D39D893">
            <w:pPr>
              <w:rPr>
                <w:rFonts w:ascii="Arial"/>
                <w:sz w:val="21"/>
              </w:rPr>
            </w:pPr>
          </w:p>
        </w:tc>
        <w:tc>
          <w:tcPr>
            <w:tcW w:w="180" w:type="dxa"/>
            <w:tcBorders>
              <w:bottom w:val="nil"/>
            </w:tcBorders>
            <w:vAlign w:val="top"/>
          </w:tcPr>
          <w:p w14:paraId="7EDAC31B">
            <w:pPr>
              <w:rPr>
                <w:rFonts w:ascii="Arial"/>
                <w:sz w:val="21"/>
              </w:rPr>
            </w:pPr>
          </w:p>
        </w:tc>
        <w:tc>
          <w:tcPr>
            <w:tcW w:w="3376" w:type="dxa"/>
            <w:vAlign w:val="top"/>
          </w:tcPr>
          <w:p w14:paraId="4ED4891C">
            <w:pPr>
              <w:pStyle w:val="6"/>
              <w:spacing w:before="67" w:line="219" w:lineRule="auto"/>
              <w:ind w:left="1244"/>
            </w:pPr>
            <w:r>
              <w:rPr>
                <w:b/>
                <w:bCs/>
                <w:spacing w:val="1"/>
              </w:rPr>
              <w:t>频率范围</w:t>
            </w:r>
          </w:p>
        </w:tc>
        <w:tc>
          <w:tcPr>
            <w:tcW w:w="2218" w:type="dxa"/>
            <w:vAlign w:val="top"/>
          </w:tcPr>
          <w:p w14:paraId="2A19F175">
            <w:pPr>
              <w:pStyle w:val="6"/>
              <w:spacing w:before="67" w:line="220" w:lineRule="auto"/>
              <w:ind w:left="338"/>
            </w:pPr>
            <w:r>
              <w:rPr>
                <w:b/>
                <w:bCs/>
                <w:spacing w:val="1"/>
              </w:rPr>
              <w:t>电场强度E(V/m)</w:t>
            </w:r>
          </w:p>
        </w:tc>
        <w:tc>
          <w:tcPr>
            <w:tcW w:w="2807" w:type="dxa"/>
            <w:vAlign w:val="top"/>
          </w:tcPr>
          <w:p w14:paraId="21BF3978">
            <w:pPr>
              <w:pStyle w:val="6"/>
              <w:spacing w:before="67" w:line="220" w:lineRule="auto"/>
              <w:ind w:left="520"/>
            </w:pPr>
            <w:r>
              <w:rPr>
                <w:b/>
                <w:bCs/>
                <w:spacing w:val="1"/>
              </w:rPr>
              <w:t>磁感应强度B(μT)</w:t>
            </w:r>
          </w:p>
        </w:tc>
        <w:tc>
          <w:tcPr>
            <w:tcW w:w="175" w:type="dxa"/>
            <w:tcBorders>
              <w:bottom w:val="nil"/>
            </w:tcBorders>
            <w:vAlign w:val="top"/>
          </w:tcPr>
          <w:p w14:paraId="63C5EBD2">
            <w:pPr>
              <w:rPr>
                <w:rFonts w:ascii="Arial"/>
                <w:sz w:val="21"/>
              </w:rPr>
            </w:pPr>
          </w:p>
        </w:tc>
      </w:tr>
      <w:tr w14:paraId="01D02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684" w:type="dxa"/>
            <w:vMerge w:val="continue"/>
            <w:tcBorders>
              <w:top w:val="nil"/>
              <w:bottom w:val="nil"/>
            </w:tcBorders>
            <w:vAlign w:val="top"/>
          </w:tcPr>
          <w:p w14:paraId="27FD79FE">
            <w:pPr>
              <w:rPr>
                <w:rFonts w:ascii="Arial"/>
                <w:sz w:val="21"/>
              </w:rPr>
            </w:pPr>
          </w:p>
        </w:tc>
        <w:tc>
          <w:tcPr>
            <w:tcW w:w="180" w:type="dxa"/>
            <w:tcBorders>
              <w:top w:val="nil"/>
              <w:bottom w:val="nil"/>
            </w:tcBorders>
            <w:vAlign w:val="top"/>
          </w:tcPr>
          <w:p w14:paraId="3DA81D8B">
            <w:pPr>
              <w:rPr>
                <w:rFonts w:ascii="Arial"/>
                <w:sz w:val="21"/>
              </w:rPr>
            </w:pPr>
          </w:p>
        </w:tc>
        <w:tc>
          <w:tcPr>
            <w:tcW w:w="3376" w:type="dxa"/>
            <w:vAlign w:val="top"/>
          </w:tcPr>
          <w:p w14:paraId="0CA77B29">
            <w:pPr>
              <w:pStyle w:val="6"/>
              <w:spacing w:before="84" w:line="197" w:lineRule="auto"/>
              <w:ind w:left="851"/>
            </w:pPr>
            <w:r>
              <w:rPr>
                <w:spacing w:val="-1"/>
              </w:rPr>
              <w:t>0.025kHz~1.2kHz</w:t>
            </w:r>
          </w:p>
        </w:tc>
        <w:tc>
          <w:tcPr>
            <w:tcW w:w="2218" w:type="dxa"/>
            <w:vAlign w:val="top"/>
          </w:tcPr>
          <w:p w14:paraId="01853EB1">
            <w:pPr>
              <w:pStyle w:val="6"/>
              <w:spacing w:before="67" w:line="211" w:lineRule="auto"/>
              <w:ind w:left="825"/>
            </w:pPr>
            <w:r>
              <w:rPr>
                <w:spacing w:val="-2"/>
              </w:rPr>
              <w:t>200/f</w:t>
            </w:r>
          </w:p>
        </w:tc>
        <w:tc>
          <w:tcPr>
            <w:tcW w:w="2807" w:type="dxa"/>
            <w:vAlign w:val="top"/>
          </w:tcPr>
          <w:p w14:paraId="63F94236">
            <w:pPr>
              <w:pStyle w:val="6"/>
              <w:spacing w:before="67" w:line="211" w:lineRule="auto"/>
              <w:ind w:left="1237"/>
            </w:pPr>
            <w:r>
              <w:rPr>
                <w:spacing w:val="-3"/>
              </w:rPr>
              <w:t>5/f</w:t>
            </w:r>
          </w:p>
        </w:tc>
        <w:tc>
          <w:tcPr>
            <w:tcW w:w="175" w:type="dxa"/>
            <w:tcBorders>
              <w:top w:val="nil"/>
              <w:bottom w:val="nil"/>
            </w:tcBorders>
            <w:vAlign w:val="top"/>
          </w:tcPr>
          <w:p w14:paraId="24EBCC5D">
            <w:pPr>
              <w:rPr>
                <w:rFonts w:ascii="Arial"/>
                <w:sz w:val="21"/>
              </w:rPr>
            </w:pPr>
          </w:p>
        </w:tc>
      </w:tr>
      <w:tr w14:paraId="1F996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684" w:type="dxa"/>
            <w:vMerge w:val="continue"/>
            <w:tcBorders>
              <w:top w:val="nil"/>
              <w:bottom w:val="nil"/>
            </w:tcBorders>
            <w:vAlign w:val="top"/>
          </w:tcPr>
          <w:p w14:paraId="3FEFB6CE">
            <w:pPr>
              <w:rPr>
                <w:rFonts w:ascii="Arial"/>
                <w:sz w:val="21"/>
              </w:rPr>
            </w:pPr>
          </w:p>
        </w:tc>
        <w:tc>
          <w:tcPr>
            <w:tcW w:w="180" w:type="dxa"/>
            <w:tcBorders>
              <w:top w:val="nil"/>
              <w:bottom w:val="nil"/>
            </w:tcBorders>
            <w:vAlign w:val="top"/>
          </w:tcPr>
          <w:p w14:paraId="1A17EF3A">
            <w:pPr>
              <w:rPr>
                <w:rFonts w:ascii="Arial"/>
                <w:sz w:val="21"/>
              </w:rPr>
            </w:pPr>
          </w:p>
        </w:tc>
        <w:tc>
          <w:tcPr>
            <w:tcW w:w="3376" w:type="dxa"/>
            <w:vAlign w:val="top"/>
          </w:tcPr>
          <w:p w14:paraId="766C470D">
            <w:pPr>
              <w:pStyle w:val="6"/>
              <w:spacing w:before="73" w:line="219" w:lineRule="auto"/>
              <w:ind w:left="411"/>
            </w:pPr>
            <w:r>
              <w:rPr>
                <w:spacing w:val="3"/>
              </w:rPr>
              <w:t>升压站工作频率(0.05</w:t>
            </w:r>
            <w:r>
              <w:t>kHz</w:t>
            </w:r>
            <w:r>
              <w:rPr>
                <w:spacing w:val="3"/>
              </w:rPr>
              <w:t>)</w:t>
            </w:r>
          </w:p>
        </w:tc>
        <w:tc>
          <w:tcPr>
            <w:tcW w:w="2218" w:type="dxa"/>
            <w:vAlign w:val="top"/>
          </w:tcPr>
          <w:p w14:paraId="63124F14">
            <w:pPr>
              <w:pStyle w:val="6"/>
              <w:spacing w:before="75" w:line="220" w:lineRule="auto"/>
              <w:ind w:left="335"/>
            </w:pPr>
            <w:r>
              <w:rPr>
                <w:spacing w:val="-1"/>
              </w:rPr>
              <w:t>4000V/m(4kV/m)</w:t>
            </w:r>
          </w:p>
        </w:tc>
        <w:tc>
          <w:tcPr>
            <w:tcW w:w="2807" w:type="dxa"/>
            <w:vAlign w:val="top"/>
          </w:tcPr>
          <w:p w14:paraId="52AC6FB0">
            <w:pPr>
              <w:pStyle w:val="6"/>
              <w:spacing w:before="75" w:line="220" w:lineRule="auto"/>
              <w:ind w:left="687"/>
            </w:pPr>
            <w:r>
              <w:rPr>
                <w:spacing w:val="-2"/>
              </w:rPr>
              <w:t>100μT(0.1mT)</w:t>
            </w:r>
          </w:p>
        </w:tc>
        <w:tc>
          <w:tcPr>
            <w:tcW w:w="175" w:type="dxa"/>
            <w:tcBorders>
              <w:top w:val="nil"/>
              <w:bottom w:val="nil"/>
            </w:tcBorders>
            <w:vAlign w:val="top"/>
          </w:tcPr>
          <w:p w14:paraId="6B0AE4D5">
            <w:pPr>
              <w:rPr>
                <w:rFonts w:ascii="Arial"/>
                <w:sz w:val="21"/>
              </w:rPr>
            </w:pPr>
          </w:p>
        </w:tc>
      </w:tr>
      <w:tr w14:paraId="20DED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684" w:type="dxa"/>
            <w:vMerge w:val="continue"/>
            <w:tcBorders>
              <w:top w:val="nil"/>
            </w:tcBorders>
            <w:vAlign w:val="top"/>
          </w:tcPr>
          <w:p w14:paraId="61A17478">
            <w:pPr>
              <w:rPr>
                <w:rFonts w:ascii="Arial"/>
                <w:sz w:val="21"/>
              </w:rPr>
            </w:pPr>
          </w:p>
        </w:tc>
        <w:tc>
          <w:tcPr>
            <w:tcW w:w="180" w:type="dxa"/>
            <w:tcBorders>
              <w:top w:val="nil"/>
            </w:tcBorders>
            <w:vAlign w:val="top"/>
          </w:tcPr>
          <w:p w14:paraId="09B87726">
            <w:pPr>
              <w:rPr>
                <w:rFonts w:ascii="Arial"/>
                <w:sz w:val="21"/>
              </w:rPr>
            </w:pPr>
          </w:p>
        </w:tc>
        <w:tc>
          <w:tcPr>
            <w:tcW w:w="8401" w:type="dxa"/>
            <w:gridSpan w:val="3"/>
            <w:vAlign w:val="top"/>
          </w:tcPr>
          <w:p w14:paraId="6DACCEE7">
            <w:pPr>
              <w:pStyle w:val="6"/>
              <w:spacing w:before="75" w:line="219" w:lineRule="auto"/>
              <w:ind w:left="11"/>
            </w:pPr>
            <w:r>
              <w:t>注：1、频率f的取值为0.05kHz。</w:t>
            </w:r>
          </w:p>
        </w:tc>
        <w:tc>
          <w:tcPr>
            <w:tcW w:w="175" w:type="dxa"/>
            <w:tcBorders>
              <w:top w:val="nil"/>
            </w:tcBorders>
            <w:vAlign w:val="top"/>
          </w:tcPr>
          <w:p w14:paraId="486CD532">
            <w:pPr>
              <w:rPr>
                <w:rFonts w:ascii="Arial"/>
                <w:sz w:val="21"/>
              </w:rPr>
            </w:pPr>
          </w:p>
        </w:tc>
      </w:tr>
      <w:tr w14:paraId="21BD2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4" w:type="dxa"/>
            <w:vAlign w:val="top"/>
          </w:tcPr>
          <w:p w14:paraId="0A9EE188">
            <w:pPr>
              <w:pStyle w:val="6"/>
              <w:spacing w:before="147" w:line="220" w:lineRule="auto"/>
              <w:ind w:left="135"/>
            </w:pPr>
            <w:r>
              <w:rPr>
                <w:spacing w:val="-3"/>
              </w:rPr>
              <w:t>其他</w:t>
            </w:r>
          </w:p>
        </w:tc>
        <w:tc>
          <w:tcPr>
            <w:tcW w:w="8756" w:type="dxa"/>
            <w:gridSpan w:val="5"/>
            <w:vAlign w:val="top"/>
          </w:tcPr>
          <w:p w14:paraId="0F17D9B6">
            <w:pPr>
              <w:pStyle w:val="6"/>
              <w:spacing w:before="147" w:line="220" w:lineRule="auto"/>
              <w:ind w:left="4261"/>
            </w:pPr>
            <w:r>
              <w:t>无</w:t>
            </w:r>
          </w:p>
        </w:tc>
      </w:tr>
    </w:tbl>
    <w:p w14:paraId="061728D1">
      <w:pPr>
        <w:pStyle w:val="2"/>
      </w:pPr>
    </w:p>
    <w:p w14:paraId="49D336A1">
      <w:pPr>
        <w:sectPr>
          <w:headerReference r:id="rId123" w:type="default"/>
          <w:footerReference r:id="rId124" w:type="default"/>
          <w:pgSz w:w="11910" w:h="16830"/>
          <w:pgMar w:top="1430" w:right="1239" w:bottom="1257" w:left="1180" w:header="1419" w:footer="1076" w:gutter="0"/>
          <w:cols w:space="720" w:num="1"/>
        </w:sectPr>
      </w:pPr>
    </w:p>
    <w:p w14:paraId="3C4C3419">
      <w:pPr>
        <w:pStyle w:val="2"/>
        <w:spacing w:line="244" w:lineRule="auto"/>
      </w:pPr>
    </w:p>
    <w:p w14:paraId="48DDEB73">
      <w:pPr>
        <w:pStyle w:val="2"/>
        <w:spacing w:line="244" w:lineRule="auto"/>
      </w:pPr>
    </w:p>
    <w:p w14:paraId="380D473C">
      <w:pPr>
        <w:pStyle w:val="2"/>
        <w:spacing w:line="244" w:lineRule="auto"/>
      </w:pPr>
    </w:p>
    <w:p w14:paraId="58CAE280">
      <w:pPr>
        <w:pStyle w:val="2"/>
        <w:spacing w:line="244" w:lineRule="auto"/>
      </w:pPr>
    </w:p>
    <w:p w14:paraId="6EB367EB">
      <w:pPr>
        <w:pStyle w:val="2"/>
        <w:spacing w:line="245" w:lineRule="auto"/>
      </w:pPr>
    </w:p>
    <w:p w14:paraId="07AADA6D">
      <w:pPr>
        <w:spacing w:before="100" w:line="220" w:lineRule="auto"/>
        <w:ind w:left="3219"/>
        <w:rPr>
          <w:rFonts w:ascii="宋体" w:hAnsi="宋体" w:eastAsia="宋体" w:cs="宋体"/>
          <w:sz w:val="31"/>
          <w:szCs w:val="31"/>
        </w:rPr>
      </w:pPr>
      <w:r>
        <w:rPr>
          <w:rFonts w:ascii="宋体" w:hAnsi="宋体" w:eastAsia="宋体" w:cs="宋体"/>
          <w:b/>
          <w:bCs/>
          <w:spacing w:val="-15"/>
          <w:sz w:val="31"/>
          <w:szCs w:val="31"/>
        </w:rPr>
        <w:t>四、生态环境影响分析</w:t>
      </w:r>
    </w:p>
    <w:p w14:paraId="266C6698">
      <w:pPr>
        <w:spacing w:before="34"/>
      </w:pPr>
    </w:p>
    <w:tbl>
      <w:tblPr>
        <w:tblStyle w:val="5"/>
        <w:tblW w:w="93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4"/>
        <w:gridCol w:w="1409"/>
        <w:gridCol w:w="839"/>
        <w:gridCol w:w="829"/>
        <w:gridCol w:w="859"/>
        <w:gridCol w:w="859"/>
        <w:gridCol w:w="709"/>
        <w:gridCol w:w="709"/>
        <w:gridCol w:w="859"/>
        <w:gridCol w:w="759"/>
        <w:gridCol w:w="625"/>
      </w:tblGrid>
      <w:tr w14:paraId="53386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894" w:type="dxa"/>
            <w:vMerge w:val="restart"/>
            <w:tcBorders>
              <w:bottom w:val="nil"/>
            </w:tcBorders>
            <w:vAlign w:val="top"/>
          </w:tcPr>
          <w:p w14:paraId="5D54BAFC">
            <w:pPr>
              <w:spacing w:line="243" w:lineRule="auto"/>
              <w:rPr>
                <w:rFonts w:ascii="Arial"/>
                <w:sz w:val="21"/>
              </w:rPr>
            </w:pPr>
          </w:p>
          <w:p w14:paraId="65B8458D">
            <w:pPr>
              <w:spacing w:line="243" w:lineRule="auto"/>
              <w:rPr>
                <w:rFonts w:ascii="Arial"/>
                <w:sz w:val="21"/>
              </w:rPr>
            </w:pPr>
          </w:p>
          <w:p w14:paraId="7E12B49E">
            <w:pPr>
              <w:spacing w:line="243" w:lineRule="auto"/>
              <w:rPr>
                <w:rFonts w:ascii="Arial"/>
                <w:sz w:val="21"/>
              </w:rPr>
            </w:pPr>
          </w:p>
          <w:p w14:paraId="2721E60F">
            <w:pPr>
              <w:spacing w:line="243" w:lineRule="auto"/>
              <w:rPr>
                <w:rFonts w:ascii="Arial"/>
                <w:sz w:val="21"/>
              </w:rPr>
            </w:pPr>
          </w:p>
          <w:p w14:paraId="33C9BE84">
            <w:pPr>
              <w:spacing w:line="243" w:lineRule="auto"/>
              <w:rPr>
                <w:rFonts w:ascii="Arial"/>
                <w:sz w:val="21"/>
              </w:rPr>
            </w:pPr>
          </w:p>
          <w:p w14:paraId="7BB122FE">
            <w:pPr>
              <w:spacing w:line="243" w:lineRule="auto"/>
              <w:rPr>
                <w:rFonts w:ascii="Arial"/>
                <w:sz w:val="21"/>
              </w:rPr>
            </w:pPr>
          </w:p>
          <w:p w14:paraId="1F257D13">
            <w:pPr>
              <w:spacing w:line="243" w:lineRule="auto"/>
              <w:rPr>
                <w:rFonts w:ascii="Arial"/>
                <w:sz w:val="21"/>
              </w:rPr>
            </w:pPr>
          </w:p>
          <w:p w14:paraId="14A8728E">
            <w:pPr>
              <w:spacing w:line="243" w:lineRule="auto"/>
              <w:rPr>
                <w:rFonts w:ascii="Arial"/>
                <w:sz w:val="21"/>
              </w:rPr>
            </w:pPr>
          </w:p>
          <w:p w14:paraId="02AA1AA1">
            <w:pPr>
              <w:spacing w:line="243" w:lineRule="auto"/>
              <w:rPr>
                <w:rFonts w:ascii="Arial"/>
                <w:sz w:val="21"/>
              </w:rPr>
            </w:pPr>
          </w:p>
          <w:p w14:paraId="14269C30">
            <w:pPr>
              <w:spacing w:line="243" w:lineRule="auto"/>
              <w:rPr>
                <w:rFonts w:ascii="Arial"/>
                <w:sz w:val="21"/>
              </w:rPr>
            </w:pPr>
          </w:p>
          <w:p w14:paraId="7A18D78A">
            <w:pPr>
              <w:spacing w:line="243" w:lineRule="auto"/>
              <w:rPr>
                <w:rFonts w:ascii="Arial"/>
                <w:sz w:val="21"/>
              </w:rPr>
            </w:pPr>
          </w:p>
          <w:p w14:paraId="5A859E1A">
            <w:pPr>
              <w:spacing w:line="243" w:lineRule="auto"/>
              <w:rPr>
                <w:rFonts w:ascii="Arial"/>
                <w:sz w:val="21"/>
              </w:rPr>
            </w:pPr>
          </w:p>
          <w:p w14:paraId="7EC2B9D3">
            <w:pPr>
              <w:spacing w:line="243" w:lineRule="auto"/>
              <w:rPr>
                <w:rFonts w:ascii="Arial"/>
                <w:sz w:val="21"/>
              </w:rPr>
            </w:pPr>
          </w:p>
          <w:p w14:paraId="5E861B6D">
            <w:pPr>
              <w:spacing w:line="243" w:lineRule="auto"/>
              <w:rPr>
                <w:rFonts w:ascii="Arial"/>
                <w:sz w:val="21"/>
              </w:rPr>
            </w:pPr>
          </w:p>
          <w:p w14:paraId="64CB38B1">
            <w:pPr>
              <w:spacing w:line="243" w:lineRule="auto"/>
              <w:rPr>
                <w:rFonts w:ascii="Arial"/>
                <w:sz w:val="21"/>
              </w:rPr>
            </w:pPr>
          </w:p>
          <w:p w14:paraId="3660B8C4">
            <w:pPr>
              <w:spacing w:line="243" w:lineRule="auto"/>
              <w:rPr>
                <w:rFonts w:ascii="Arial"/>
                <w:sz w:val="21"/>
              </w:rPr>
            </w:pPr>
          </w:p>
          <w:p w14:paraId="0C0274DE">
            <w:pPr>
              <w:spacing w:line="243" w:lineRule="auto"/>
              <w:rPr>
                <w:rFonts w:ascii="Arial"/>
                <w:sz w:val="21"/>
              </w:rPr>
            </w:pPr>
          </w:p>
          <w:p w14:paraId="6202C89D">
            <w:pPr>
              <w:spacing w:line="244" w:lineRule="auto"/>
              <w:rPr>
                <w:rFonts w:ascii="Arial"/>
                <w:sz w:val="21"/>
              </w:rPr>
            </w:pPr>
          </w:p>
          <w:p w14:paraId="66A86130">
            <w:pPr>
              <w:spacing w:line="244" w:lineRule="auto"/>
              <w:rPr>
                <w:rFonts w:ascii="Arial"/>
                <w:sz w:val="21"/>
              </w:rPr>
            </w:pPr>
          </w:p>
          <w:p w14:paraId="35EFB783">
            <w:pPr>
              <w:spacing w:line="244" w:lineRule="auto"/>
              <w:rPr>
                <w:rFonts w:ascii="Arial"/>
                <w:sz w:val="21"/>
              </w:rPr>
            </w:pPr>
          </w:p>
          <w:p w14:paraId="5C037D99">
            <w:pPr>
              <w:spacing w:line="244" w:lineRule="auto"/>
              <w:rPr>
                <w:rFonts w:ascii="Arial"/>
                <w:sz w:val="21"/>
              </w:rPr>
            </w:pPr>
          </w:p>
          <w:p w14:paraId="50A21F89">
            <w:pPr>
              <w:spacing w:line="244" w:lineRule="auto"/>
              <w:rPr>
                <w:rFonts w:ascii="Arial"/>
                <w:sz w:val="21"/>
              </w:rPr>
            </w:pPr>
          </w:p>
          <w:p w14:paraId="7E852B6E">
            <w:pPr>
              <w:spacing w:line="244" w:lineRule="auto"/>
              <w:rPr>
                <w:rFonts w:ascii="Arial"/>
                <w:sz w:val="21"/>
              </w:rPr>
            </w:pPr>
          </w:p>
          <w:p w14:paraId="14E8B79F">
            <w:pPr>
              <w:pStyle w:val="6"/>
              <w:spacing w:before="75" w:line="220" w:lineRule="auto"/>
              <w:ind w:left="95"/>
              <w:rPr>
                <w:sz w:val="23"/>
                <w:szCs w:val="23"/>
              </w:rPr>
            </w:pPr>
            <w:r>
              <w:rPr>
                <w:spacing w:val="5"/>
                <w:sz w:val="23"/>
                <w:szCs w:val="23"/>
              </w:rPr>
              <w:t>施工期</w:t>
            </w:r>
          </w:p>
          <w:p w14:paraId="723B6A1B">
            <w:pPr>
              <w:pStyle w:val="6"/>
              <w:spacing w:before="48" w:line="221" w:lineRule="auto"/>
              <w:ind w:left="95"/>
              <w:rPr>
                <w:sz w:val="23"/>
                <w:szCs w:val="23"/>
              </w:rPr>
            </w:pPr>
            <w:r>
              <w:rPr>
                <w:spacing w:val="3"/>
                <w:sz w:val="23"/>
                <w:szCs w:val="23"/>
              </w:rPr>
              <w:t>生态环</w:t>
            </w:r>
          </w:p>
          <w:p w14:paraId="024AF3E6">
            <w:pPr>
              <w:pStyle w:val="6"/>
              <w:spacing w:before="22" w:line="259" w:lineRule="auto"/>
              <w:ind w:left="205" w:right="80" w:hanging="110"/>
              <w:rPr>
                <w:sz w:val="23"/>
                <w:szCs w:val="23"/>
              </w:rPr>
            </w:pPr>
            <w:r>
              <w:rPr>
                <w:spacing w:val="6"/>
                <w:sz w:val="23"/>
                <w:szCs w:val="23"/>
              </w:rPr>
              <w:t>境影响</w:t>
            </w:r>
            <w:r>
              <w:rPr>
                <w:sz w:val="23"/>
                <w:szCs w:val="23"/>
              </w:rPr>
              <w:t xml:space="preserve"> </w:t>
            </w:r>
            <w:r>
              <w:rPr>
                <w:spacing w:val="4"/>
                <w:sz w:val="23"/>
                <w:szCs w:val="23"/>
              </w:rPr>
              <w:t>分析</w:t>
            </w:r>
          </w:p>
        </w:tc>
        <w:tc>
          <w:tcPr>
            <w:tcW w:w="8456" w:type="dxa"/>
            <w:gridSpan w:val="10"/>
            <w:vAlign w:val="top"/>
          </w:tcPr>
          <w:p w14:paraId="192607A9">
            <w:pPr>
              <w:pStyle w:val="6"/>
              <w:spacing w:before="31" w:line="220" w:lineRule="auto"/>
              <w:ind w:left="104"/>
              <w:rPr>
                <w:sz w:val="23"/>
                <w:szCs w:val="23"/>
              </w:rPr>
            </w:pPr>
            <w:r>
              <w:rPr>
                <w:b/>
                <w:bCs/>
                <w:spacing w:val="-3"/>
                <w:sz w:val="23"/>
                <w:szCs w:val="23"/>
              </w:rPr>
              <w:t>1生态环境影响分析</w:t>
            </w:r>
          </w:p>
          <w:p w14:paraId="589DAF96">
            <w:pPr>
              <w:pStyle w:val="6"/>
              <w:spacing w:before="206" w:line="221" w:lineRule="auto"/>
              <w:ind w:left="94"/>
              <w:rPr>
                <w:sz w:val="23"/>
                <w:szCs w:val="23"/>
              </w:rPr>
            </w:pPr>
            <w:r>
              <w:rPr>
                <w:b/>
                <w:bCs/>
                <w:spacing w:val="-2"/>
                <w:sz w:val="23"/>
                <w:szCs w:val="23"/>
              </w:rPr>
              <w:t>1.1土地利用影响</w:t>
            </w:r>
          </w:p>
          <w:p w14:paraId="7B560768">
            <w:pPr>
              <w:pStyle w:val="6"/>
              <w:spacing w:before="214" w:line="194" w:lineRule="auto"/>
              <w:ind w:left="1784"/>
              <w:rPr>
                <w:sz w:val="23"/>
                <w:szCs w:val="23"/>
              </w:rPr>
            </w:pPr>
            <w:r>
              <w:rPr>
                <w:b/>
                <w:bCs/>
                <w:spacing w:val="6"/>
                <w:sz w:val="23"/>
                <w:szCs w:val="23"/>
              </w:rPr>
              <w:t>表4-1</w:t>
            </w:r>
            <w:r>
              <w:rPr>
                <w:spacing w:val="6"/>
                <w:sz w:val="23"/>
                <w:szCs w:val="23"/>
              </w:rPr>
              <w:t xml:space="preserve">    </w:t>
            </w:r>
            <w:r>
              <w:rPr>
                <w:b/>
                <w:bCs/>
                <w:spacing w:val="6"/>
                <w:sz w:val="23"/>
                <w:szCs w:val="23"/>
              </w:rPr>
              <w:t>工程对土地利用影响一览表(</w:t>
            </w:r>
            <w:r>
              <w:rPr>
                <w:b/>
                <w:bCs/>
                <w:sz w:val="23"/>
                <w:szCs w:val="23"/>
              </w:rPr>
              <w:t>hm</w:t>
            </w:r>
            <w:r>
              <w:rPr>
                <w:b/>
                <w:bCs/>
                <w:spacing w:val="6"/>
                <w:sz w:val="23"/>
                <w:szCs w:val="23"/>
              </w:rPr>
              <w:t>²)</w:t>
            </w:r>
          </w:p>
        </w:tc>
      </w:tr>
      <w:tr w14:paraId="07A96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94" w:type="dxa"/>
            <w:vMerge w:val="continue"/>
            <w:tcBorders>
              <w:top w:val="nil"/>
              <w:bottom w:val="nil"/>
            </w:tcBorders>
            <w:vAlign w:val="top"/>
          </w:tcPr>
          <w:p w14:paraId="39270876">
            <w:pPr>
              <w:rPr>
                <w:rFonts w:ascii="Arial"/>
                <w:sz w:val="21"/>
              </w:rPr>
            </w:pPr>
          </w:p>
        </w:tc>
        <w:tc>
          <w:tcPr>
            <w:tcW w:w="1409" w:type="dxa"/>
            <w:vMerge w:val="restart"/>
            <w:tcBorders>
              <w:bottom w:val="nil"/>
            </w:tcBorders>
            <w:vAlign w:val="top"/>
          </w:tcPr>
          <w:p w14:paraId="5900B878">
            <w:pPr>
              <w:spacing w:line="373" w:lineRule="auto"/>
              <w:rPr>
                <w:rFonts w:ascii="Arial"/>
                <w:sz w:val="21"/>
              </w:rPr>
            </w:pPr>
          </w:p>
          <w:p w14:paraId="011C2C16">
            <w:pPr>
              <w:pStyle w:val="6"/>
              <w:spacing w:before="75" w:line="219" w:lineRule="auto"/>
              <w:ind w:left="1"/>
              <w:rPr>
                <w:sz w:val="23"/>
                <w:szCs w:val="23"/>
              </w:rPr>
            </w:pPr>
            <w:r>
              <w:rPr>
                <w:spacing w:val="2"/>
                <w:sz w:val="23"/>
                <w:szCs w:val="23"/>
              </w:rPr>
              <w:t>土地利用类型</w:t>
            </w:r>
          </w:p>
        </w:tc>
        <w:tc>
          <w:tcPr>
            <w:tcW w:w="839" w:type="dxa"/>
            <w:vMerge w:val="restart"/>
            <w:tcBorders>
              <w:bottom w:val="nil"/>
            </w:tcBorders>
            <w:vAlign w:val="top"/>
          </w:tcPr>
          <w:p w14:paraId="6E987ECC">
            <w:pPr>
              <w:spacing w:line="262" w:lineRule="auto"/>
              <w:rPr>
                <w:rFonts w:ascii="Arial"/>
                <w:sz w:val="21"/>
              </w:rPr>
            </w:pPr>
          </w:p>
          <w:p w14:paraId="69DBD88F">
            <w:pPr>
              <w:pStyle w:val="6"/>
              <w:spacing w:before="75" w:line="221" w:lineRule="auto"/>
              <w:ind w:left="181" w:right="57" w:hanging="119"/>
              <w:rPr>
                <w:sz w:val="23"/>
                <w:szCs w:val="23"/>
              </w:rPr>
            </w:pPr>
            <w:r>
              <w:rPr>
                <w:spacing w:val="6"/>
                <w:sz w:val="23"/>
                <w:szCs w:val="23"/>
              </w:rPr>
              <w:t>评价区</w:t>
            </w:r>
            <w:r>
              <w:rPr>
                <w:sz w:val="23"/>
                <w:szCs w:val="23"/>
              </w:rPr>
              <w:t xml:space="preserve"> </w:t>
            </w:r>
            <w:r>
              <w:rPr>
                <w:spacing w:val="7"/>
                <w:sz w:val="23"/>
                <w:szCs w:val="23"/>
              </w:rPr>
              <w:t>面积</w:t>
            </w:r>
          </w:p>
        </w:tc>
        <w:tc>
          <w:tcPr>
            <w:tcW w:w="3256" w:type="dxa"/>
            <w:gridSpan w:val="4"/>
            <w:vAlign w:val="top"/>
          </w:tcPr>
          <w:p w14:paraId="75B3C17E">
            <w:pPr>
              <w:pStyle w:val="6"/>
              <w:spacing w:before="50" w:line="208" w:lineRule="auto"/>
              <w:ind w:left="1223"/>
              <w:rPr>
                <w:sz w:val="23"/>
                <w:szCs w:val="23"/>
              </w:rPr>
            </w:pPr>
            <w:r>
              <w:rPr>
                <w:spacing w:val="3"/>
                <w:sz w:val="23"/>
                <w:szCs w:val="23"/>
              </w:rPr>
              <w:t>占用面积</w:t>
            </w:r>
          </w:p>
        </w:tc>
        <w:tc>
          <w:tcPr>
            <w:tcW w:w="2952" w:type="dxa"/>
            <w:gridSpan w:val="4"/>
            <w:vAlign w:val="top"/>
          </w:tcPr>
          <w:p w14:paraId="055C6F98">
            <w:pPr>
              <w:pStyle w:val="6"/>
              <w:spacing w:before="48" w:line="210" w:lineRule="auto"/>
              <w:ind w:left="356"/>
              <w:rPr>
                <w:sz w:val="23"/>
                <w:szCs w:val="23"/>
              </w:rPr>
            </w:pPr>
            <w:r>
              <w:rPr>
                <w:spacing w:val="4"/>
                <w:sz w:val="23"/>
                <w:szCs w:val="23"/>
              </w:rPr>
              <w:t>占评价区同类比例(%)</w:t>
            </w:r>
          </w:p>
        </w:tc>
      </w:tr>
      <w:tr w14:paraId="4750E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94" w:type="dxa"/>
            <w:vMerge w:val="continue"/>
            <w:tcBorders>
              <w:top w:val="nil"/>
              <w:bottom w:val="nil"/>
            </w:tcBorders>
            <w:vAlign w:val="top"/>
          </w:tcPr>
          <w:p w14:paraId="7A694E3E">
            <w:pPr>
              <w:rPr>
                <w:rFonts w:ascii="Arial"/>
                <w:sz w:val="21"/>
              </w:rPr>
            </w:pPr>
          </w:p>
        </w:tc>
        <w:tc>
          <w:tcPr>
            <w:tcW w:w="1409" w:type="dxa"/>
            <w:vMerge w:val="continue"/>
            <w:tcBorders>
              <w:top w:val="nil"/>
            </w:tcBorders>
            <w:vAlign w:val="top"/>
          </w:tcPr>
          <w:p w14:paraId="2DEC859B">
            <w:pPr>
              <w:rPr>
                <w:rFonts w:ascii="Arial"/>
                <w:sz w:val="21"/>
              </w:rPr>
            </w:pPr>
          </w:p>
        </w:tc>
        <w:tc>
          <w:tcPr>
            <w:tcW w:w="839" w:type="dxa"/>
            <w:vMerge w:val="continue"/>
            <w:tcBorders>
              <w:top w:val="nil"/>
            </w:tcBorders>
            <w:vAlign w:val="top"/>
          </w:tcPr>
          <w:p w14:paraId="2E14A865">
            <w:pPr>
              <w:rPr>
                <w:rFonts w:ascii="Arial"/>
                <w:sz w:val="21"/>
              </w:rPr>
            </w:pPr>
          </w:p>
        </w:tc>
        <w:tc>
          <w:tcPr>
            <w:tcW w:w="829" w:type="dxa"/>
            <w:vAlign w:val="top"/>
          </w:tcPr>
          <w:p w14:paraId="16290BD6">
            <w:pPr>
              <w:pStyle w:val="6"/>
              <w:spacing w:before="291" w:line="221" w:lineRule="auto"/>
              <w:ind w:left="173"/>
              <w:rPr>
                <w:sz w:val="23"/>
                <w:szCs w:val="23"/>
              </w:rPr>
            </w:pPr>
            <w:r>
              <w:rPr>
                <w:spacing w:val="-3"/>
                <w:sz w:val="23"/>
                <w:szCs w:val="23"/>
              </w:rPr>
              <w:t>合计</w:t>
            </w:r>
          </w:p>
        </w:tc>
        <w:tc>
          <w:tcPr>
            <w:tcW w:w="859" w:type="dxa"/>
            <w:vAlign w:val="top"/>
          </w:tcPr>
          <w:p w14:paraId="7DCF518C">
            <w:pPr>
              <w:pStyle w:val="6"/>
              <w:spacing w:before="173" w:line="231" w:lineRule="auto"/>
              <w:ind w:left="303" w:right="66" w:hanging="230"/>
              <w:rPr>
                <w:sz w:val="23"/>
                <w:szCs w:val="23"/>
              </w:rPr>
            </w:pPr>
            <w:r>
              <w:rPr>
                <w:spacing w:val="6"/>
                <w:sz w:val="23"/>
                <w:szCs w:val="23"/>
              </w:rPr>
              <w:t>永久占</w:t>
            </w:r>
            <w:r>
              <w:rPr>
                <w:sz w:val="23"/>
                <w:szCs w:val="23"/>
              </w:rPr>
              <w:t xml:space="preserve"> 地</w:t>
            </w:r>
          </w:p>
        </w:tc>
        <w:tc>
          <w:tcPr>
            <w:tcW w:w="859" w:type="dxa"/>
            <w:vAlign w:val="top"/>
          </w:tcPr>
          <w:p w14:paraId="16477EB9">
            <w:pPr>
              <w:pStyle w:val="6"/>
              <w:spacing w:before="19" w:line="219" w:lineRule="auto"/>
              <w:ind w:left="75"/>
              <w:rPr>
                <w:sz w:val="23"/>
                <w:szCs w:val="23"/>
              </w:rPr>
            </w:pPr>
            <w:r>
              <w:rPr>
                <w:spacing w:val="3"/>
                <w:sz w:val="23"/>
                <w:szCs w:val="23"/>
              </w:rPr>
              <w:t>光伏板</w:t>
            </w:r>
          </w:p>
          <w:p w14:paraId="28941663">
            <w:pPr>
              <w:pStyle w:val="6"/>
              <w:spacing w:before="8" w:line="196" w:lineRule="auto"/>
              <w:ind w:left="304" w:right="74" w:hanging="229"/>
              <w:rPr>
                <w:sz w:val="23"/>
                <w:szCs w:val="23"/>
              </w:rPr>
            </w:pPr>
            <w:r>
              <w:rPr>
                <w:spacing w:val="3"/>
                <w:sz w:val="23"/>
                <w:szCs w:val="23"/>
              </w:rPr>
              <w:t>阵列遮</w:t>
            </w:r>
            <w:r>
              <w:rPr>
                <w:sz w:val="23"/>
                <w:szCs w:val="23"/>
              </w:rPr>
              <w:t xml:space="preserve"> 蔽</w:t>
            </w:r>
          </w:p>
        </w:tc>
        <w:tc>
          <w:tcPr>
            <w:tcW w:w="709" w:type="dxa"/>
            <w:vAlign w:val="top"/>
          </w:tcPr>
          <w:p w14:paraId="715D5ABE">
            <w:pPr>
              <w:pStyle w:val="6"/>
              <w:spacing w:before="150" w:line="210" w:lineRule="auto"/>
              <w:ind w:left="116"/>
              <w:rPr>
                <w:sz w:val="23"/>
                <w:szCs w:val="23"/>
              </w:rPr>
            </w:pPr>
            <w:r>
              <w:rPr>
                <w:spacing w:val="6"/>
                <w:sz w:val="23"/>
                <w:szCs w:val="23"/>
              </w:rPr>
              <w:t>临时</w:t>
            </w:r>
          </w:p>
          <w:p w14:paraId="1818819E">
            <w:pPr>
              <w:pStyle w:val="6"/>
              <w:spacing w:line="220" w:lineRule="auto"/>
              <w:ind w:left="116"/>
              <w:rPr>
                <w:sz w:val="23"/>
                <w:szCs w:val="23"/>
              </w:rPr>
            </w:pPr>
            <w:r>
              <w:rPr>
                <w:spacing w:val="8"/>
                <w:sz w:val="23"/>
                <w:szCs w:val="23"/>
              </w:rPr>
              <w:t>占地</w:t>
            </w:r>
          </w:p>
        </w:tc>
        <w:tc>
          <w:tcPr>
            <w:tcW w:w="709" w:type="dxa"/>
            <w:vAlign w:val="top"/>
          </w:tcPr>
          <w:p w14:paraId="341CAB5D">
            <w:pPr>
              <w:pStyle w:val="6"/>
              <w:spacing w:before="291" w:line="221" w:lineRule="auto"/>
              <w:ind w:left="117"/>
              <w:rPr>
                <w:sz w:val="23"/>
                <w:szCs w:val="23"/>
              </w:rPr>
            </w:pPr>
            <w:r>
              <w:rPr>
                <w:spacing w:val="-3"/>
                <w:sz w:val="23"/>
                <w:szCs w:val="23"/>
              </w:rPr>
              <w:t>合计</w:t>
            </w:r>
          </w:p>
        </w:tc>
        <w:tc>
          <w:tcPr>
            <w:tcW w:w="859" w:type="dxa"/>
            <w:vAlign w:val="top"/>
          </w:tcPr>
          <w:p w14:paraId="484ECA60">
            <w:pPr>
              <w:pStyle w:val="6"/>
              <w:spacing w:before="163" w:line="231" w:lineRule="auto"/>
              <w:ind w:left="307" w:right="62" w:hanging="229"/>
              <w:rPr>
                <w:sz w:val="23"/>
                <w:szCs w:val="23"/>
              </w:rPr>
            </w:pPr>
            <w:r>
              <w:rPr>
                <w:spacing w:val="6"/>
                <w:sz w:val="23"/>
                <w:szCs w:val="23"/>
              </w:rPr>
              <w:t>永久占</w:t>
            </w:r>
            <w:r>
              <w:rPr>
                <w:sz w:val="23"/>
                <w:szCs w:val="23"/>
              </w:rPr>
              <w:t xml:space="preserve"> 地</w:t>
            </w:r>
          </w:p>
        </w:tc>
        <w:tc>
          <w:tcPr>
            <w:tcW w:w="759" w:type="dxa"/>
            <w:vAlign w:val="top"/>
          </w:tcPr>
          <w:p w14:paraId="4FE9761A">
            <w:pPr>
              <w:pStyle w:val="6"/>
              <w:spacing w:before="160" w:line="219" w:lineRule="auto"/>
              <w:ind w:left="148" w:right="19" w:hanging="119"/>
              <w:rPr>
                <w:sz w:val="23"/>
                <w:szCs w:val="23"/>
              </w:rPr>
            </w:pPr>
            <w:r>
              <w:rPr>
                <w:spacing w:val="3"/>
                <w:sz w:val="23"/>
                <w:szCs w:val="23"/>
              </w:rPr>
              <w:t>光伏板</w:t>
            </w:r>
            <w:r>
              <w:rPr>
                <w:sz w:val="23"/>
                <w:szCs w:val="23"/>
              </w:rPr>
              <w:t xml:space="preserve"> </w:t>
            </w:r>
            <w:r>
              <w:rPr>
                <w:spacing w:val="-3"/>
                <w:sz w:val="23"/>
                <w:szCs w:val="23"/>
              </w:rPr>
              <w:t>遮蔽</w:t>
            </w:r>
          </w:p>
        </w:tc>
        <w:tc>
          <w:tcPr>
            <w:tcW w:w="625" w:type="dxa"/>
            <w:vAlign w:val="top"/>
          </w:tcPr>
          <w:p w14:paraId="7EA2FE29">
            <w:pPr>
              <w:pStyle w:val="6"/>
              <w:spacing w:before="150" w:line="218" w:lineRule="auto"/>
              <w:ind w:left="80"/>
              <w:rPr>
                <w:sz w:val="23"/>
                <w:szCs w:val="23"/>
              </w:rPr>
            </w:pPr>
            <w:r>
              <w:rPr>
                <w:spacing w:val="6"/>
                <w:sz w:val="23"/>
                <w:szCs w:val="23"/>
              </w:rPr>
              <w:t>临时</w:t>
            </w:r>
          </w:p>
          <w:p w14:paraId="6C112D50">
            <w:pPr>
              <w:pStyle w:val="6"/>
              <w:spacing w:line="220" w:lineRule="auto"/>
              <w:ind w:left="80"/>
              <w:rPr>
                <w:sz w:val="23"/>
                <w:szCs w:val="23"/>
              </w:rPr>
            </w:pPr>
            <w:r>
              <w:rPr>
                <w:spacing w:val="8"/>
                <w:sz w:val="23"/>
                <w:szCs w:val="23"/>
              </w:rPr>
              <w:t>占地</w:t>
            </w:r>
          </w:p>
        </w:tc>
      </w:tr>
      <w:tr w14:paraId="1C8A5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94" w:type="dxa"/>
            <w:vMerge w:val="continue"/>
            <w:tcBorders>
              <w:top w:val="nil"/>
              <w:bottom w:val="nil"/>
            </w:tcBorders>
            <w:vAlign w:val="top"/>
          </w:tcPr>
          <w:p w14:paraId="10701440">
            <w:pPr>
              <w:rPr>
                <w:rFonts w:ascii="Arial"/>
                <w:sz w:val="21"/>
              </w:rPr>
            </w:pPr>
          </w:p>
        </w:tc>
        <w:tc>
          <w:tcPr>
            <w:tcW w:w="1409" w:type="dxa"/>
            <w:vAlign w:val="top"/>
          </w:tcPr>
          <w:p w14:paraId="280F9851">
            <w:pPr>
              <w:pStyle w:val="6"/>
              <w:spacing w:before="40" w:line="208" w:lineRule="auto"/>
              <w:ind w:left="231"/>
              <w:rPr>
                <w:sz w:val="23"/>
                <w:szCs w:val="23"/>
              </w:rPr>
            </w:pPr>
            <w:r>
              <w:rPr>
                <w:spacing w:val="-2"/>
                <w:sz w:val="23"/>
                <w:szCs w:val="23"/>
              </w:rPr>
              <w:t>乔木林地</w:t>
            </w:r>
          </w:p>
        </w:tc>
        <w:tc>
          <w:tcPr>
            <w:tcW w:w="839" w:type="dxa"/>
            <w:vAlign w:val="top"/>
          </w:tcPr>
          <w:p w14:paraId="1F78C3E6">
            <w:pPr>
              <w:pStyle w:val="6"/>
              <w:spacing w:before="64" w:line="189" w:lineRule="auto"/>
              <w:ind w:left="2"/>
              <w:rPr>
                <w:sz w:val="23"/>
                <w:szCs w:val="23"/>
              </w:rPr>
            </w:pPr>
            <w:r>
              <w:rPr>
                <w:spacing w:val="-2"/>
                <w:sz w:val="23"/>
                <w:szCs w:val="23"/>
              </w:rPr>
              <w:t>231.292</w:t>
            </w:r>
          </w:p>
        </w:tc>
        <w:tc>
          <w:tcPr>
            <w:tcW w:w="829" w:type="dxa"/>
            <w:vAlign w:val="top"/>
          </w:tcPr>
          <w:p w14:paraId="17E34EC1">
            <w:pPr>
              <w:pStyle w:val="6"/>
              <w:spacing w:before="64" w:line="189" w:lineRule="auto"/>
              <w:ind w:left="63"/>
              <w:rPr>
                <w:sz w:val="23"/>
                <w:szCs w:val="23"/>
              </w:rPr>
            </w:pPr>
            <w:r>
              <w:rPr>
                <w:spacing w:val="-2"/>
                <w:sz w:val="23"/>
                <w:szCs w:val="23"/>
              </w:rPr>
              <w:t>0.5725</w:t>
            </w:r>
          </w:p>
        </w:tc>
        <w:tc>
          <w:tcPr>
            <w:tcW w:w="859" w:type="dxa"/>
            <w:vAlign w:val="top"/>
          </w:tcPr>
          <w:p w14:paraId="484ABCC9">
            <w:pPr>
              <w:pStyle w:val="6"/>
              <w:spacing w:before="64" w:line="189" w:lineRule="auto"/>
              <w:ind w:left="73"/>
              <w:rPr>
                <w:sz w:val="23"/>
                <w:szCs w:val="23"/>
              </w:rPr>
            </w:pPr>
            <w:r>
              <w:rPr>
                <w:spacing w:val="-2"/>
                <w:sz w:val="23"/>
                <w:szCs w:val="23"/>
              </w:rPr>
              <w:t>0.5725</w:t>
            </w:r>
          </w:p>
        </w:tc>
        <w:tc>
          <w:tcPr>
            <w:tcW w:w="859" w:type="dxa"/>
            <w:vAlign w:val="top"/>
          </w:tcPr>
          <w:p w14:paraId="579540B5">
            <w:pPr>
              <w:pStyle w:val="6"/>
              <w:spacing w:before="64" w:line="189" w:lineRule="auto"/>
              <w:ind w:left="365"/>
              <w:rPr>
                <w:sz w:val="23"/>
                <w:szCs w:val="23"/>
              </w:rPr>
            </w:pPr>
            <w:r>
              <w:rPr>
                <w:sz w:val="23"/>
                <w:szCs w:val="23"/>
              </w:rPr>
              <w:t>0</w:t>
            </w:r>
          </w:p>
        </w:tc>
        <w:tc>
          <w:tcPr>
            <w:tcW w:w="709" w:type="dxa"/>
            <w:vAlign w:val="top"/>
          </w:tcPr>
          <w:p w14:paraId="79EE0D76">
            <w:pPr>
              <w:pStyle w:val="6"/>
              <w:spacing w:before="64" w:line="189" w:lineRule="auto"/>
              <w:ind w:left="286"/>
              <w:rPr>
                <w:sz w:val="23"/>
                <w:szCs w:val="23"/>
              </w:rPr>
            </w:pPr>
            <w:r>
              <w:rPr>
                <w:sz w:val="23"/>
                <w:szCs w:val="23"/>
              </w:rPr>
              <w:t>0</w:t>
            </w:r>
          </w:p>
        </w:tc>
        <w:tc>
          <w:tcPr>
            <w:tcW w:w="709" w:type="dxa"/>
            <w:vAlign w:val="top"/>
          </w:tcPr>
          <w:p w14:paraId="5AC5D195">
            <w:pPr>
              <w:pStyle w:val="6"/>
              <w:spacing w:before="64" w:line="189" w:lineRule="auto"/>
              <w:ind w:left="57"/>
              <w:rPr>
                <w:sz w:val="23"/>
                <w:szCs w:val="23"/>
              </w:rPr>
            </w:pPr>
            <w:r>
              <w:rPr>
                <w:spacing w:val="-2"/>
                <w:sz w:val="23"/>
                <w:szCs w:val="23"/>
              </w:rPr>
              <w:t>0.266</w:t>
            </w:r>
          </w:p>
        </w:tc>
        <w:tc>
          <w:tcPr>
            <w:tcW w:w="859" w:type="dxa"/>
            <w:vAlign w:val="top"/>
          </w:tcPr>
          <w:p w14:paraId="468FDDB4">
            <w:pPr>
              <w:pStyle w:val="6"/>
              <w:spacing w:before="64" w:line="189" w:lineRule="auto"/>
              <w:ind w:left="138"/>
              <w:rPr>
                <w:sz w:val="23"/>
                <w:szCs w:val="23"/>
              </w:rPr>
            </w:pPr>
            <w:r>
              <w:rPr>
                <w:spacing w:val="-2"/>
                <w:sz w:val="23"/>
                <w:szCs w:val="23"/>
              </w:rPr>
              <w:t>0.266</w:t>
            </w:r>
          </w:p>
        </w:tc>
        <w:tc>
          <w:tcPr>
            <w:tcW w:w="759" w:type="dxa"/>
            <w:vAlign w:val="top"/>
          </w:tcPr>
          <w:p w14:paraId="76984AC6">
            <w:pPr>
              <w:pStyle w:val="6"/>
              <w:spacing w:before="64" w:line="189" w:lineRule="auto"/>
              <w:ind w:left="89"/>
              <w:rPr>
                <w:sz w:val="23"/>
                <w:szCs w:val="23"/>
              </w:rPr>
            </w:pPr>
            <w:r>
              <w:rPr>
                <w:spacing w:val="-2"/>
                <w:sz w:val="23"/>
                <w:szCs w:val="23"/>
              </w:rPr>
              <w:t>0.000</w:t>
            </w:r>
          </w:p>
        </w:tc>
        <w:tc>
          <w:tcPr>
            <w:tcW w:w="625" w:type="dxa"/>
            <w:vAlign w:val="top"/>
          </w:tcPr>
          <w:p w14:paraId="27C4A2E5">
            <w:pPr>
              <w:pStyle w:val="6"/>
              <w:spacing w:before="64" w:line="189" w:lineRule="auto"/>
              <w:ind w:left="20"/>
              <w:rPr>
                <w:sz w:val="23"/>
                <w:szCs w:val="23"/>
              </w:rPr>
            </w:pPr>
            <w:r>
              <w:rPr>
                <w:spacing w:val="-2"/>
                <w:sz w:val="23"/>
                <w:szCs w:val="23"/>
              </w:rPr>
              <w:t>0.000</w:t>
            </w:r>
          </w:p>
        </w:tc>
      </w:tr>
      <w:tr w14:paraId="4EB9D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94" w:type="dxa"/>
            <w:vMerge w:val="continue"/>
            <w:tcBorders>
              <w:top w:val="nil"/>
              <w:bottom w:val="nil"/>
            </w:tcBorders>
            <w:vAlign w:val="top"/>
          </w:tcPr>
          <w:p w14:paraId="644A464D">
            <w:pPr>
              <w:rPr>
                <w:rFonts w:ascii="Arial"/>
                <w:sz w:val="21"/>
              </w:rPr>
            </w:pPr>
          </w:p>
        </w:tc>
        <w:tc>
          <w:tcPr>
            <w:tcW w:w="1409" w:type="dxa"/>
            <w:vAlign w:val="top"/>
          </w:tcPr>
          <w:p w14:paraId="41E5AC17">
            <w:pPr>
              <w:pStyle w:val="6"/>
              <w:spacing w:before="50" w:line="208" w:lineRule="auto"/>
              <w:ind w:left="231"/>
              <w:rPr>
                <w:sz w:val="23"/>
                <w:szCs w:val="23"/>
              </w:rPr>
            </w:pPr>
            <w:r>
              <w:rPr>
                <w:spacing w:val="2"/>
                <w:sz w:val="23"/>
                <w:szCs w:val="23"/>
              </w:rPr>
              <w:t>灌木林地</w:t>
            </w:r>
          </w:p>
        </w:tc>
        <w:tc>
          <w:tcPr>
            <w:tcW w:w="839" w:type="dxa"/>
            <w:vAlign w:val="top"/>
          </w:tcPr>
          <w:p w14:paraId="1DB4454D">
            <w:pPr>
              <w:pStyle w:val="6"/>
              <w:spacing w:before="74" w:line="189" w:lineRule="auto"/>
              <w:ind w:left="2"/>
              <w:rPr>
                <w:sz w:val="23"/>
                <w:szCs w:val="23"/>
              </w:rPr>
            </w:pPr>
            <w:r>
              <w:rPr>
                <w:spacing w:val="-4"/>
                <w:sz w:val="23"/>
                <w:szCs w:val="23"/>
              </w:rPr>
              <w:t>119.358</w:t>
            </w:r>
          </w:p>
        </w:tc>
        <w:tc>
          <w:tcPr>
            <w:tcW w:w="829" w:type="dxa"/>
            <w:vAlign w:val="top"/>
          </w:tcPr>
          <w:p w14:paraId="53272909">
            <w:pPr>
              <w:pStyle w:val="6"/>
              <w:spacing w:before="74" w:line="189" w:lineRule="auto"/>
              <w:ind w:left="63"/>
              <w:rPr>
                <w:sz w:val="23"/>
                <w:szCs w:val="23"/>
              </w:rPr>
            </w:pPr>
            <w:r>
              <w:rPr>
                <w:spacing w:val="-2"/>
                <w:sz w:val="23"/>
                <w:szCs w:val="23"/>
              </w:rPr>
              <w:t>0.5353</w:t>
            </w:r>
          </w:p>
        </w:tc>
        <w:tc>
          <w:tcPr>
            <w:tcW w:w="859" w:type="dxa"/>
            <w:vAlign w:val="top"/>
          </w:tcPr>
          <w:p w14:paraId="573C4381">
            <w:pPr>
              <w:pStyle w:val="6"/>
              <w:spacing w:before="74" w:line="189" w:lineRule="auto"/>
              <w:ind w:left="73"/>
              <w:rPr>
                <w:sz w:val="23"/>
                <w:szCs w:val="23"/>
              </w:rPr>
            </w:pPr>
            <w:r>
              <w:rPr>
                <w:spacing w:val="-2"/>
                <w:sz w:val="23"/>
                <w:szCs w:val="23"/>
              </w:rPr>
              <w:t>0.0199</w:t>
            </w:r>
          </w:p>
        </w:tc>
        <w:tc>
          <w:tcPr>
            <w:tcW w:w="859" w:type="dxa"/>
            <w:vAlign w:val="top"/>
          </w:tcPr>
          <w:p w14:paraId="35032C51">
            <w:pPr>
              <w:pStyle w:val="6"/>
              <w:spacing w:before="74" w:line="189" w:lineRule="auto"/>
              <w:ind w:left="365"/>
              <w:rPr>
                <w:sz w:val="23"/>
                <w:szCs w:val="23"/>
              </w:rPr>
            </w:pPr>
            <w:r>
              <w:rPr>
                <w:sz w:val="23"/>
                <w:szCs w:val="23"/>
              </w:rPr>
              <w:t>0</w:t>
            </w:r>
          </w:p>
        </w:tc>
        <w:tc>
          <w:tcPr>
            <w:tcW w:w="709" w:type="dxa"/>
            <w:vAlign w:val="top"/>
          </w:tcPr>
          <w:p w14:paraId="5562639F">
            <w:pPr>
              <w:pStyle w:val="6"/>
              <w:spacing w:before="74" w:line="189" w:lineRule="auto"/>
              <w:ind w:right="1"/>
              <w:jc w:val="right"/>
              <w:rPr>
                <w:sz w:val="23"/>
                <w:szCs w:val="23"/>
              </w:rPr>
            </w:pPr>
            <w:r>
              <w:rPr>
                <w:spacing w:val="-2"/>
                <w:sz w:val="23"/>
                <w:szCs w:val="23"/>
              </w:rPr>
              <w:t>0.5154</w:t>
            </w:r>
          </w:p>
        </w:tc>
        <w:tc>
          <w:tcPr>
            <w:tcW w:w="709" w:type="dxa"/>
            <w:vAlign w:val="top"/>
          </w:tcPr>
          <w:p w14:paraId="0E6E2C1F">
            <w:pPr>
              <w:pStyle w:val="6"/>
              <w:spacing w:before="74" w:line="189" w:lineRule="auto"/>
              <w:ind w:left="57"/>
              <w:rPr>
                <w:sz w:val="23"/>
                <w:szCs w:val="23"/>
              </w:rPr>
            </w:pPr>
            <w:r>
              <w:rPr>
                <w:spacing w:val="-2"/>
                <w:sz w:val="23"/>
                <w:szCs w:val="23"/>
              </w:rPr>
              <w:t>0.448</w:t>
            </w:r>
          </w:p>
        </w:tc>
        <w:tc>
          <w:tcPr>
            <w:tcW w:w="859" w:type="dxa"/>
            <w:vAlign w:val="top"/>
          </w:tcPr>
          <w:p w14:paraId="711FD3C0">
            <w:pPr>
              <w:pStyle w:val="6"/>
              <w:spacing w:before="74" w:line="189" w:lineRule="auto"/>
              <w:ind w:left="138"/>
              <w:rPr>
                <w:sz w:val="23"/>
                <w:szCs w:val="23"/>
              </w:rPr>
            </w:pPr>
            <w:r>
              <w:rPr>
                <w:spacing w:val="-2"/>
                <w:sz w:val="23"/>
                <w:szCs w:val="23"/>
              </w:rPr>
              <w:t>0.017</w:t>
            </w:r>
          </w:p>
        </w:tc>
        <w:tc>
          <w:tcPr>
            <w:tcW w:w="759" w:type="dxa"/>
            <w:vAlign w:val="top"/>
          </w:tcPr>
          <w:p w14:paraId="7CE7A5B0">
            <w:pPr>
              <w:pStyle w:val="6"/>
              <w:spacing w:before="74" w:line="189" w:lineRule="auto"/>
              <w:ind w:left="89"/>
              <w:rPr>
                <w:sz w:val="23"/>
                <w:szCs w:val="23"/>
              </w:rPr>
            </w:pPr>
            <w:r>
              <w:rPr>
                <w:spacing w:val="-2"/>
                <w:sz w:val="23"/>
                <w:szCs w:val="23"/>
              </w:rPr>
              <w:t>0.000</w:t>
            </w:r>
          </w:p>
        </w:tc>
        <w:tc>
          <w:tcPr>
            <w:tcW w:w="625" w:type="dxa"/>
            <w:vAlign w:val="top"/>
          </w:tcPr>
          <w:p w14:paraId="57D94513">
            <w:pPr>
              <w:pStyle w:val="6"/>
              <w:spacing w:before="74" w:line="189" w:lineRule="auto"/>
              <w:ind w:left="20"/>
              <w:rPr>
                <w:sz w:val="23"/>
                <w:szCs w:val="23"/>
              </w:rPr>
            </w:pPr>
            <w:r>
              <w:rPr>
                <w:spacing w:val="-2"/>
                <w:sz w:val="23"/>
                <w:szCs w:val="23"/>
              </w:rPr>
              <w:t>0.432</w:t>
            </w:r>
          </w:p>
        </w:tc>
      </w:tr>
      <w:tr w14:paraId="60153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894" w:type="dxa"/>
            <w:vMerge w:val="continue"/>
            <w:tcBorders>
              <w:top w:val="nil"/>
              <w:bottom w:val="nil"/>
            </w:tcBorders>
            <w:vAlign w:val="top"/>
          </w:tcPr>
          <w:p w14:paraId="72A9DA07">
            <w:pPr>
              <w:rPr>
                <w:rFonts w:ascii="Arial"/>
                <w:sz w:val="21"/>
              </w:rPr>
            </w:pPr>
          </w:p>
        </w:tc>
        <w:tc>
          <w:tcPr>
            <w:tcW w:w="1409" w:type="dxa"/>
            <w:vAlign w:val="top"/>
          </w:tcPr>
          <w:p w14:paraId="0BDD945D">
            <w:pPr>
              <w:pStyle w:val="6"/>
              <w:spacing w:before="131" w:line="219" w:lineRule="auto"/>
              <w:ind w:left="461"/>
              <w:rPr>
                <w:sz w:val="23"/>
                <w:szCs w:val="23"/>
              </w:rPr>
            </w:pPr>
            <w:r>
              <w:rPr>
                <w:spacing w:val="-3"/>
                <w:sz w:val="23"/>
                <w:szCs w:val="23"/>
              </w:rPr>
              <w:t>草地</w:t>
            </w:r>
          </w:p>
        </w:tc>
        <w:tc>
          <w:tcPr>
            <w:tcW w:w="839" w:type="dxa"/>
            <w:vAlign w:val="top"/>
          </w:tcPr>
          <w:p w14:paraId="3AA12C0F">
            <w:pPr>
              <w:pStyle w:val="6"/>
              <w:spacing w:before="154" w:line="239" w:lineRule="auto"/>
              <w:ind w:left="2"/>
              <w:rPr>
                <w:sz w:val="23"/>
                <w:szCs w:val="23"/>
              </w:rPr>
            </w:pPr>
            <w:r>
              <w:rPr>
                <w:spacing w:val="-2"/>
                <w:sz w:val="23"/>
                <w:szCs w:val="23"/>
              </w:rPr>
              <w:t>294.442</w:t>
            </w:r>
          </w:p>
        </w:tc>
        <w:tc>
          <w:tcPr>
            <w:tcW w:w="829" w:type="dxa"/>
            <w:vAlign w:val="top"/>
          </w:tcPr>
          <w:p w14:paraId="2B9438D6">
            <w:pPr>
              <w:pStyle w:val="6"/>
              <w:spacing w:before="64" w:line="185" w:lineRule="auto"/>
              <w:ind w:left="3"/>
              <w:rPr>
                <w:sz w:val="23"/>
                <w:szCs w:val="23"/>
              </w:rPr>
            </w:pPr>
            <w:r>
              <w:rPr>
                <w:spacing w:val="-4"/>
                <w:sz w:val="23"/>
                <w:szCs w:val="23"/>
              </w:rPr>
              <w:t>106.499</w:t>
            </w:r>
          </w:p>
          <w:p w14:paraId="6810B0F9">
            <w:pPr>
              <w:pStyle w:val="6"/>
              <w:spacing w:line="185" w:lineRule="exact"/>
              <w:ind w:left="342"/>
              <w:rPr>
                <w:sz w:val="23"/>
                <w:szCs w:val="23"/>
              </w:rPr>
            </w:pPr>
            <w:r>
              <w:rPr>
                <w:position w:val="-2"/>
                <w:sz w:val="23"/>
                <w:szCs w:val="23"/>
              </w:rPr>
              <w:t>0</w:t>
            </w:r>
          </w:p>
        </w:tc>
        <w:tc>
          <w:tcPr>
            <w:tcW w:w="859" w:type="dxa"/>
            <w:vAlign w:val="top"/>
          </w:tcPr>
          <w:p w14:paraId="445C81F1">
            <w:pPr>
              <w:pStyle w:val="6"/>
              <w:spacing w:before="154" w:line="239" w:lineRule="auto"/>
              <w:ind w:left="73"/>
              <w:rPr>
                <w:sz w:val="23"/>
                <w:szCs w:val="23"/>
              </w:rPr>
            </w:pPr>
            <w:r>
              <w:rPr>
                <w:spacing w:val="-2"/>
                <w:sz w:val="23"/>
                <w:szCs w:val="23"/>
              </w:rPr>
              <w:t>0.0911</w:t>
            </w:r>
          </w:p>
        </w:tc>
        <w:tc>
          <w:tcPr>
            <w:tcW w:w="859" w:type="dxa"/>
            <w:vAlign w:val="top"/>
          </w:tcPr>
          <w:p w14:paraId="0216550B">
            <w:pPr>
              <w:pStyle w:val="6"/>
              <w:spacing w:before="154" w:line="239" w:lineRule="auto"/>
              <w:ind w:left="14"/>
              <w:rPr>
                <w:sz w:val="23"/>
                <w:szCs w:val="23"/>
              </w:rPr>
            </w:pPr>
            <w:r>
              <w:rPr>
                <w:spacing w:val="-2"/>
                <w:sz w:val="23"/>
                <w:szCs w:val="23"/>
              </w:rPr>
              <w:t>92.3029</w:t>
            </w:r>
          </w:p>
        </w:tc>
        <w:tc>
          <w:tcPr>
            <w:tcW w:w="709" w:type="dxa"/>
            <w:vAlign w:val="top"/>
          </w:tcPr>
          <w:p w14:paraId="29115736">
            <w:pPr>
              <w:pStyle w:val="6"/>
              <w:spacing w:before="64" w:line="185" w:lineRule="auto"/>
              <w:ind w:left="16"/>
              <w:rPr>
                <w:sz w:val="23"/>
                <w:szCs w:val="23"/>
              </w:rPr>
            </w:pPr>
            <w:r>
              <w:rPr>
                <w:spacing w:val="-4"/>
                <w:sz w:val="23"/>
                <w:szCs w:val="23"/>
              </w:rPr>
              <w:t>14.128</w:t>
            </w:r>
          </w:p>
          <w:p w14:paraId="1A5BF1DA">
            <w:pPr>
              <w:pStyle w:val="6"/>
              <w:spacing w:line="185" w:lineRule="exact"/>
              <w:ind w:left="286"/>
              <w:rPr>
                <w:sz w:val="23"/>
                <w:szCs w:val="23"/>
              </w:rPr>
            </w:pPr>
            <w:r>
              <w:rPr>
                <w:position w:val="-3"/>
                <w:sz w:val="23"/>
                <w:szCs w:val="23"/>
              </w:rPr>
              <w:t>4</w:t>
            </w:r>
          </w:p>
        </w:tc>
        <w:tc>
          <w:tcPr>
            <w:tcW w:w="709" w:type="dxa"/>
            <w:vAlign w:val="top"/>
          </w:tcPr>
          <w:p w14:paraId="5DA6F140">
            <w:pPr>
              <w:pStyle w:val="6"/>
              <w:spacing w:before="254" w:line="181" w:lineRule="auto"/>
              <w:ind w:left="17"/>
              <w:rPr>
                <w:sz w:val="23"/>
                <w:szCs w:val="23"/>
              </w:rPr>
            </w:pPr>
            <w:r>
              <w:rPr>
                <w:spacing w:val="-2"/>
                <w:sz w:val="23"/>
                <w:szCs w:val="23"/>
              </w:rPr>
              <w:t>36.178</w:t>
            </w:r>
          </w:p>
        </w:tc>
        <w:tc>
          <w:tcPr>
            <w:tcW w:w="859" w:type="dxa"/>
            <w:vAlign w:val="top"/>
          </w:tcPr>
          <w:p w14:paraId="7FCC6731">
            <w:pPr>
              <w:pStyle w:val="6"/>
              <w:spacing w:before="254" w:line="181" w:lineRule="auto"/>
              <w:ind w:left="138"/>
              <w:rPr>
                <w:sz w:val="23"/>
                <w:szCs w:val="23"/>
              </w:rPr>
            </w:pPr>
            <w:r>
              <w:rPr>
                <w:spacing w:val="-2"/>
                <w:sz w:val="23"/>
                <w:szCs w:val="23"/>
              </w:rPr>
              <w:t>0.031</w:t>
            </w:r>
          </w:p>
        </w:tc>
        <w:tc>
          <w:tcPr>
            <w:tcW w:w="759" w:type="dxa"/>
            <w:vAlign w:val="top"/>
          </w:tcPr>
          <w:p w14:paraId="5DA06926">
            <w:pPr>
              <w:pStyle w:val="6"/>
              <w:spacing w:before="254" w:line="181" w:lineRule="auto"/>
              <w:ind w:left="29"/>
              <w:rPr>
                <w:sz w:val="23"/>
                <w:szCs w:val="23"/>
              </w:rPr>
            </w:pPr>
            <w:r>
              <w:rPr>
                <w:spacing w:val="-2"/>
                <w:sz w:val="23"/>
                <w:szCs w:val="23"/>
              </w:rPr>
              <w:t>31.348</w:t>
            </w:r>
          </w:p>
        </w:tc>
        <w:tc>
          <w:tcPr>
            <w:tcW w:w="625" w:type="dxa"/>
            <w:vAlign w:val="top"/>
          </w:tcPr>
          <w:p w14:paraId="6EA03B25">
            <w:pPr>
              <w:pStyle w:val="6"/>
              <w:spacing w:before="254" w:line="181" w:lineRule="auto"/>
              <w:ind w:left="20"/>
              <w:rPr>
                <w:sz w:val="23"/>
                <w:szCs w:val="23"/>
              </w:rPr>
            </w:pPr>
            <w:r>
              <w:rPr>
                <w:spacing w:val="-2"/>
                <w:sz w:val="23"/>
                <w:szCs w:val="23"/>
              </w:rPr>
              <w:t>4.798</w:t>
            </w:r>
          </w:p>
        </w:tc>
      </w:tr>
      <w:tr w14:paraId="1B8D6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94" w:type="dxa"/>
            <w:vMerge w:val="continue"/>
            <w:tcBorders>
              <w:top w:val="nil"/>
              <w:bottom w:val="nil"/>
            </w:tcBorders>
            <w:vAlign w:val="top"/>
          </w:tcPr>
          <w:p w14:paraId="166EE9D1">
            <w:pPr>
              <w:rPr>
                <w:rFonts w:ascii="Arial"/>
                <w:sz w:val="21"/>
              </w:rPr>
            </w:pPr>
          </w:p>
        </w:tc>
        <w:tc>
          <w:tcPr>
            <w:tcW w:w="1409" w:type="dxa"/>
            <w:vAlign w:val="top"/>
          </w:tcPr>
          <w:p w14:paraId="4D800399">
            <w:pPr>
              <w:pStyle w:val="6"/>
              <w:spacing w:before="120" w:line="219" w:lineRule="auto"/>
              <w:ind w:left="461"/>
              <w:rPr>
                <w:sz w:val="23"/>
                <w:szCs w:val="23"/>
              </w:rPr>
            </w:pPr>
            <w:r>
              <w:rPr>
                <w:spacing w:val="-3"/>
                <w:sz w:val="23"/>
                <w:szCs w:val="23"/>
              </w:rPr>
              <w:t>耕地</w:t>
            </w:r>
          </w:p>
        </w:tc>
        <w:tc>
          <w:tcPr>
            <w:tcW w:w="839" w:type="dxa"/>
            <w:vAlign w:val="top"/>
          </w:tcPr>
          <w:p w14:paraId="79CE9683">
            <w:pPr>
              <w:pStyle w:val="6"/>
              <w:spacing w:before="55" w:line="190" w:lineRule="auto"/>
              <w:ind w:left="2"/>
              <w:rPr>
                <w:sz w:val="23"/>
                <w:szCs w:val="23"/>
              </w:rPr>
            </w:pPr>
            <w:r>
              <w:rPr>
                <w:spacing w:val="-4"/>
                <w:sz w:val="23"/>
                <w:szCs w:val="23"/>
              </w:rPr>
              <w:t>1618.94</w:t>
            </w:r>
          </w:p>
          <w:p w14:paraId="1650FD61">
            <w:pPr>
              <w:pStyle w:val="6"/>
              <w:spacing w:line="168" w:lineRule="exact"/>
              <w:ind w:left="352"/>
              <w:rPr>
                <w:sz w:val="21"/>
                <w:szCs w:val="21"/>
              </w:rPr>
            </w:pPr>
            <w:r>
              <w:rPr>
                <w:position w:val="-2"/>
                <w:sz w:val="21"/>
                <w:szCs w:val="21"/>
              </w:rPr>
              <w:t>6</w:t>
            </w:r>
          </w:p>
        </w:tc>
        <w:tc>
          <w:tcPr>
            <w:tcW w:w="829" w:type="dxa"/>
            <w:vAlign w:val="top"/>
          </w:tcPr>
          <w:p w14:paraId="7A207D1E">
            <w:pPr>
              <w:pStyle w:val="6"/>
              <w:spacing w:before="144" w:line="239" w:lineRule="auto"/>
              <w:ind w:left="63"/>
              <w:rPr>
                <w:sz w:val="23"/>
                <w:szCs w:val="23"/>
              </w:rPr>
            </w:pPr>
            <w:r>
              <w:rPr>
                <w:spacing w:val="-2"/>
                <w:sz w:val="23"/>
                <w:szCs w:val="23"/>
              </w:rPr>
              <w:t>0.1545</w:t>
            </w:r>
          </w:p>
        </w:tc>
        <w:tc>
          <w:tcPr>
            <w:tcW w:w="859" w:type="dxa"/>
            <w:vAlign w:val="top"/>
          </w:tcPr>
          <w:p w14:paraId="27A557B2">
            <w:pPr>
              <w:pStyle w:val="6"/>
              <w:spacing w:before="144" w:line="239" w:lineRule="auto"/>
              <w:ind w:left="73"/>
              <w:rPr>
                <w:sz w:val="23"/>
                <w:szCs w:val="23"/>
              </w:rPr>
            </w:pPr>
            <w:r>
              <w:rPr>
                <w:spacing w:val="-2"/>
                <w:sz w:val="23"/>
                <w:szCs w:val="23"/>
              </w:rPr>
              <w:t>0.1545</w:t>
            </w:r>
          </w:p>
        </w:tc>
        <w:tc>
          <w:tcPr>
            <w:tcW w:w="859" w:type="dxa"/>
            <w:vAlign w:val="top"/>
          </w:tcPr>
          <w:p w14:paraId="4A146898">
            <w:pPr>
              <w:pStyle w:val="6"/>
              <w:spacing w:before="143"/>
              <w:ind w:left="365"/>
              <w:rPr>
                <w:sz w:val="23"/>
                <w:szCs w:val="23"/>
              </w:rPr>
            </w:pPr>
            <w:r>
              <w:rPr>
                <w:sz w:val="23"/>
                <w:szCs w:val="23"/>
              </w:rPr>
              <w:t>0</w:t>
            </w:r>
          </w:p>
        </w:tc>
        <w:tc>
          <w:tcPr>
            <w:tcW w:w="709" w:type="dxa"/>
            <w:vAlign w:val="top"/>
          </w:tcPr>
          <w:p w14:paraId="6D0BE2E5">
            <w:pPr>
              <w:pStyle w:val="6"/>
              <w:spacing w:before="143"/>
              <w:ind w:left="286"/>
              <w:rPr>
                <w:sz w:val="23"/>
                <w:szCs w:val="23"/>
              </w:rPr>
            </w:pPr>
            <w:r>
              <w:rPr>
                <w:sz w:val="23"/>
                <w:szCs w:val="23"/>
              </w:rPr>
              <w:t>0</w:t>
            </w:r>
          </w:p>
        </w:tc>
        <w:tc>
          <w:tcPr>
            <w:tcW w:w="709" w:type="dxa"/>
            <w:vAlign w:val="top"/>
          </w:tcPr>
          <w:p w14:paraId="00696ADD">
            <w:pPr>
              <w:pStyle w:val="6"/>
              <w:spacing w:before="144" w:line="239" w:lineRule="auto"/>
              <w:ind w:left="57"/>
              <w:rPr>
                <w:sz w:val="23"/>
                <w:szCs w:val="23"/>
              </w:rPr>
            </w:pPr>
            <w:r>
              <w:rPr>
                <w:spacing w:val="-2"/>
                <w:sz w:val="23"/>
                <w:szCs w:val="23"/>
              </w:rPr>
              <w:t>0.010</w:t>
            </w:r>
          </w:p>
        </w:tc>
        <w:tc>
          <w:tcPr>
            <w:tcW w:w="859" w:type="dxa"/>
            <w:vAlign w:val="top"/>
          </w:tcPr>
          <w:p w14:paraId="4A1A5B7B">
            <w:pPr>
              <w:pStyle w:val="6"/>
              <w:spacing w:before="144" w:line="239" w:lineRule="auto"/>
              <w:ind w:left="138"/>
              <w:rPr>
                <w:sz w:val="23"/>
                <w:szCs w:val="23"/>
              </w:rPr>
            </w:pPr>
            <w:r>
              <w:rPr>
                <w:spacing w:val="-2"/>
                <w:sz w:val="23"/>
                <w:szCs w:val="23"/>
              </w:rPr>
              <w:t>0.010</w:t>
            </w:r>
          </w:p>
        </w:tc>
        <w:tc>
          <w:tcPr>
            <w:tcW w:w="759" w:type="dxa"/>
            <w:vAlign w:val="top"/>
          </w:tcPr>
          <w:p w14:paraId="37703943">
            <w:pPr>
              <w:pStyle w:val="6"/>
              <w:spacing w:before="144" w:line="239" w:lineRule="auto"/>
              <w:ind w:left="89"/>
              <w:rPr>
                <w:sz w:val="23"/>
                <w:szCs w:val="23"/>
              </w:rPr>
            </w:pPr>
            <w:r>
              <w:rPr>
                <w:spacing w:val="-2"/>
                <w:sz w:val="23"/>
                <w:szCs w:val="23"/>
              </w:rPr>
              <w:t>0.000</w:t>
            </w:r>
          </w:p>
        </w:tc>
        <w:tc>
          <w:tcPr>
            <w:tcW w:w="625" w:type="dxa"/>
            <w:vAlign w:val="top"/>
          </w:tcPr>
          <w:p w14:paraId="5CDB3E90">
            <w:pPr>
              <w:pStyle w:val="6"/>
              <w:spacing w:before="144" w:line="239" w:lineRule="auto"/>
              <w:ind w:left="20"/>
              <w:rPr>
                <w:sz w:val="23"/>
                <w:szCs w:val="23"/>
              </w:rPr>
            </w:pPr>
            <w:r>
              <w:rPr>
                <w:spacing w:val="-2"/>
                <w:sz w:val="23"/>
                <w:szCs w:val="23"/>
              </w:rPr>
              <w:t>0.000</w:t>
            </w:r>
          </w:p>
        </w:tc>
      </w:tr>
      <w:tr w14:paraId="77814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94" w:type="dxa"/>
            <w:vMerge w:val="continue"/>
            <w:tcBorders>
              <w:top w:val="nil"/>
              <w:bottom w:val="nil"/>
            </w:tcBorders>
            <w:vAlign w:val="top"/>
          </w:tcPr>
          <w:p w14:paraId="46610D34">
            <w:pPr>
              <w:rPr>
                <w:rFonts w:ascii="Arial"/>
                <w:sz w:val="21"/>
              </w:rPr>
            </w:pPr>
          </w:p>
        </w:tc>
        <w:tc>
          <w:tcPr>
            <w:tcW w:w="1409" w:type="dxa"/>
            <w:vAlign w:val="top"/>
          </w:tcPr>
          <w:p w14:paraId="42EBDC03">
            <w:pPr>
              <w:pStyle w:val="6"/>
              <w:spacing w:before="50" w:line="208" w:lineRule="auto"/>
              <w:ind w:left="121"/>
              <w:rPr>
                <w:sz w:val="23"/>
                <w:szCs w:val="23"/>
              </w:rPr>
            </w:pPr>
            <w:r>
              <w:rPr>
                <w:spacing w:val="-2"/>
                <w:sz w:val="23"/>
                <w:szCs w:val="23"/>
              </w:rPr>
              <w:t>农村宅基地</w:t>
            </w:r>
          </w:p>
        </w:tc>
        <w:tc>
          <w:tcPr>
            <w:tcW w:w="839" w:type="dxa"/>
            <w:vAlign w:val="top"/>
          </w:tcPr>
          <w:p w14:paraId="204C6262">
            <w:pPr>
              <w:pStyle w:val="6"/>
              <w:spacing w:before="74" w:line="189" w:lineRule="auto"/>
              <w:ind w:left="62"/>
              <w:rPr>
                <w:sz w:val="23"/>
                <w:szCs w:val="23"/>
              </w:rPr>
            </w:pPr>
            <w:r>
              <w:rPr>
                <w:spacing w:val="-2"/>
                <w:sz w:val="23"/>
                <w:szCs w:val="23"/>
              </w:rPr>
              <w:t>80.598</w:t>
            </w:r>
          </w:p>
        </w:tc>
        <w:tc>
          <w:tcPr>
            <w:tcW w:w="829" w:type="dxa"/>
            <w:vAlign w:val="top"/>
          </w:tcPr>
          <w:p w14:paraId="0B58E9A5">
            <w:pPr>
              <w:pStyle w:val="6"/>
              <w:spacing w:before="74" w:line="189" w:lineRule="auto"/>
              <w:ind w:left="342"/>
              <w:rPr>
                <w:sz w:val="23"/>
                <w:szCs w:val="23"/>
              </w:rPr>
            </w:pPr>
            <w:r>
              <w:rPr>
                <w:sz w:val="23"/>
                <w:szCs w:val="23"/>
              </w:rPr>
              <w:t>0</w:t>
            </w:r>
          </w:p>
        </w:tc>
        <w:tc>
          <w:tcPr>
            <w:tcW w:w="859" w:type="dxa"/>
            <w:vAlign w:val="top"/>
          </w:tcPr>
          <w:p w14:paraId="0A0A664F">
            <w:pPr>
              <w:pStyle w:val="6"/>
              <w:spacing w:before="74" w:line="189" w:lineRule="auto"/>
              <w:ind w:left="364"/>
              <w:rPr>
                <w:sz w:val="23"/>
                <w:szCs w:val="23"/>
              </w:rPr>
            </w:pPr>
            <w:r>
              <w:rPr>
                <w:sz w:val="23"/>
                <w:szCs w:val="23"/>
              </w:rPr>
              <w:t>0</w:t>
            </w:r>
          </w:p>
        </w:tc>
        <w:tc>
          <w:tcPr>
            <w:tcW w:w="859" w:type="dxa"/>
            <w:vAlign w:val="top"/>
          </w:tcPr>
          <w:p w14:paraId="1216BC43">
            <w:pPr>
              <w:pStyle w:val="6"/>
              <w:spacing w:before="74" w:line="189" w:lineRule="auto"/>
              <w:ind w:left="365"/>
              <w:rPr>
                <w:sz w:val="23"/>
                <w:szCs w:val="23"/>
              </w:rPr>
            </w:pPr>
            <w:r>
              <w:rPr>
                <w:sz w:val="23"/>
                <w:szCs w:val="23"/>
              </w:rPr>
              <w:t>0</w:t>
            </w:r>
          </w:p>
        </w:tc>
        <w:tc>
          <w:tcPr>
            <w:tcW w:w="709" w:type="dxa"/>
            <w:vAlign w:val="top"/>
          </w:tcPr>
          <w:p w14:paraId="5D9E3C60">
            <w:pPr>
              <w:pStyle w:val="6"/>
              <w:spacing w:before="74" w:line="189" w:lineRule="auto"/>
              <w:ind w:left="286"/>
              <w:rPr>
                <w:sz w:val="23"/>
                <w:szCs w:val="23"/>
              </w:rPr>
            </w:pPr>
            <w:r>
              <w:rPr>
                <w:sz w:val="23"/>
                <w:szCs w:val="23"/>
              </w:rPr>
              <w:t>0</w:t>
            </w:r>
          </w:p>
        </w:tc>
        <w:tc>
          <w:tcPr>
            <w:tcW w:w="709" w:type="dxa"/>
            <w:vAlign w:val="top"/>
          </w:tcPr>
          <w:p w14:paraId="444867C4">
            <w:pPr>
              <w:pStyle w:val="6"/>
              <w:spacing w:before="74" w:line="189" w:lineRule="auto"/>
              <w:ind w:left="57"/>
              <w:rPr>
                <w:sz w:val="23"/>
                <w:szCs w:val="23"/>
              </w:rPr>
            </w:pPr>
            <w:r>
              <w:rPr>
                <w:spacing w:val="-2"/>
                <w:sz w:val="23"/>
                <w:szCs w:val="23"/>
              </w:rPr>
              <w:t>0.000</w:t>
            </w:r>
          </w:p>
        </w:tc>
        <w:tc>
          <w:tcPr>
            <w:tcW w:w="859" w:type="dxa"/>
            <w:vAlign w:val="top"/>
          </w:tcPr>
          <w:p w14:paraId="7C052CBD">
            <w:pPr>
              <w:pStyle w:val="6"/>
              <w:spacing w:before="74" w:line="189" w:lineRule="auto"/>
              <w:ind w:left="138"/>
              <w:rPr>
                <w:sz w:val="23"/>
                <w:szCs w:val="23"/>
              </w:rPr>
            </w:pPr>
            <w:r>
              <w:rPr>
                <w:spacing w:val="-2"/>
                <w:sz w:val="23"/>
                <w:szCs w:val="23"/>
              </w:rPr>
              <w:t>0.000</w:t>
            </w:r>
          </w:p>
        </w:tc>
        <w:tc>
          <w:tcPr>
            <w:tcW w:w="759" w:type="dxa"/>
            <w:vAlign w:val="top"/>
          </w:tcPr>
          <w:p w14:paraId="46A7E1A1">
            <w:pPr>
              <w:pStyle w:val="6"/>
              <w:spacing w:before="74" w:line="189" w:lineRule="auto"/>
              <w:ind w:left="89"/>
              <w:rPr>
                <w:sz w:val="23"/>
                <w:szCs w:val="23"/>
              </w:rPr>
            </w:pPr>
            <w:r>
              <w:rPr>
                <w:spacing w:val="-2"/>
                <w:sz w:val="23"/>
                <w:szCs w:val="23"/>
              </w:rPr>
              <w:t>0.000</w:t>
            </w:r>
          </w:p>
        </w:tc>
        <w:tc>
          <w:tcPr>
            <w:tcW w:w="625" w:type="dxa"/>
            <w:vAlign w:val="top"/>
          </w:tcPr>
          <w:p w14:paraId="0EB0AE59">
            <w:pPr>
              <w:pStyle w:val="6"/>
              <w:spacing w:before="74" w:line="189" w:lineRule="auto"/>
              <w:ind w:left="20"/>
              <w:rPr>
                <w:sz w:val="23"/>
                <w:szCs w:val="23"/>
              </w:rPr>
            </w:pPr>
            <w:r>
              <w:rPr>
                <w:spacing w:val="-2"/>
                <w:sz w:val="23"/>
                <w:szCs w:val="23"/>
              </w:rPr>
              <w:t>0.000</w:t>
            </w:r>
          </w:p>
        </w:tc>
      </w:tr>
      <w:tr w14:paraId="138CB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94" w:type="dxa"/>
            <w:vMerge w:val="continue"/>
            <w:tcBorders>
              <w:top w:val="nil"/>
              <w:bottom w:val="nil"/>
            </w:tcBorders>
            <w:vAlign w:val="top"/>
          </w:tcPr>
          <w:p w14:paraId="5316C823">
            <w:pPr>
              <w:rPr>
                <w:rFonts w:ascii="Arial"/>
                <w:sz w:val="21"/>
              </w:rPr>
            </w:pPr>
          </w:p>
        </w:tc>
        <w:tc>
          <w:tcPr>
            <w:tcW w:w="1409" w:type="dxa"/>
            <w:vAlign w:val="top"/>
          </w:tcPr>
          <w:p w14:paraId="7112BEF1">
            <w:pPr>
              <w:pStyle w:val="6"/>
              <w:spacing w:before="51" w:line="207" w:lineRule="auto"/>
              <w:ind w:left="1"/>
              <w:rPr>
                <w:sz w:val="23"/>
                <w:szCs w:val="23"/>
              </w:rPr>
            </w:pPr>
            <w:r>
              <w:rPr>
                <w:spacing w:val="1"/>
                <w:sz w:val="23"/>
                <w:szCs w:val="23"/>
              </w:rPr>
              <w:t>工矿企业用地</w:t>
            </w:r>
          </w:p>
        </w:tc>
        <w:tc>
          <w:tcPr>
            <w:tcW w:w="839" w:type="dxa"/>
            <w:vAlign w:val="top"/>
          </w:tcPr>
          <w:p w14:paraId="364E4C99">
            <w:pPr>
              <w:pStyle w:val="6"/>
              <w:spacing w:before="74" w:line="188" w:lineRule="auto"/>
              <w:ind w:left="62"/>
              <w:rPr>
                <w:sz w:val="23"/>
                <w:szCs w:val="23"/>
              </w:rPr>
            </w:pPr>
            <w:r>
              <w:rPr>
                <w:spacing w:val="-2"/>
                <w:sz w:val="23"/>
                <w:szCs w:val="23"/>
              </w:rPr>
              <w:t>31.934</w:t>
            </w:r>
          </w:p>
        </w:tc>
        <w:tc>
          <w:tcPr>
            <w:tcW w:w="829" w:type="dxa"/>
            <w:vAlign w:val="top"/>
          </w:tcPr>
          <w:p w14:paraId="152FF1A8">
            <w:pPr>
              <w:pStyle w:val="6"/>
              <w:spacing w:before="74" w:line="188" w:lineRule="auto"/>
              <w:ind w:left="63"/>
              <w:rPr>
                <w:sz w:val="23"/>
                <w:szCs w:val="23"/>
              </w:rPr>
            </w:pPr>
            <w:r>
              <w:rPr>
                <w:spacing w:val="-2"/>
                <w:sz w:val="23"/>
                <w:szCs w:val="23"/>
              </w:rPr>
              <w:t>5.6524</w:t>
            </w:r>
          </w:p>
        </w:tc>
        <w:tc>
          <w:tcPr>
            <w:tcW w:w="859" w:type="dxa"/>
            <w:vAlign w:val="top"/>
          </w:tcPr>
          <w:p w14:paraId="63B92A72">
            <w:pPr>
              <w:pStyle w:val="6"/>
              <w:spacing w:before="74" w:line="188" w:lineRule="auto"/>
              <w:ind w:left="73"/>
              <w:rPr>
                <w:sz w:val="23"/>
                <w:szCs w:val="23"/>
              </w:rPr>
            </w:pPr>
            <w:r>
              <w:rPr>
                <w:spacing w:val="-2"/>
                <w:sz w:val="23"/>
                <w:szCs w:val="23"/>
              </w:rPr>
              <w:t>0.0069</w:t>
            </w:r>
          </w:p>
        </w:tc>
        <w:tc>
          <w:tcPr>
            <w:tcW w:w="859" w:type="dxa"/>
            <w:vAlign w:val="top"/>
          </w:tcPr>
          <w:p w14:paraId="0EF9637C">
            <w:pPr>
              <w:pStyle w:val="6"/>
              <w:spacing w:before="74" w:line="188" w:lineRule="auto"/>
              <w:ind w:left="75"/>
              <w:rPr>
                <w:sz w:val="23"/>
                <w:szCs w:val="23"/>
              </w:rPr>
            </w:pPr>
            <w:r>
              <w:rPr>
                <w:spacing w:val="-2"/>
                <w:sz w:val="23"/>
                <w:szCs w:val="23"/>
              </w:rPr>
              <w:t>5.0707</w:t>
            </w:r>
          </w:p>
        </w:tc>
        <w:tc>
          <w:tcPr>
            <w:tcW w:w="709" w:type="dxa"/>
            <w:vAlign w:val="top"/>
          </w:tcPr>
          <w:p w14:paraId="4AB96803">
            <w:pPr>
              <w:pStyle w:val="6"/>
              <w:spacing w:before="74" w:line="188" w:lineRule="auto"/>
              <w:ind w:right="1"/>
              <w:jc w:val="right"/>
              <w:rPr>
                <w:sz w:val="23"/>
                <w:szCs w:val="23"/>
              </w:rPr>
            </w:pPr>
            <w:r>
              <w:rPr>
                <w:spacing w:val="-2"/>
                <w:sz w:val="23"/>
                <w:szCs w:val="23"/>
              </w:rPr>
              <w:t>0.5748</w:t>
            </w:r>
          </w:p>
        </w:tc>
        <w:tc>
          <w:tcPr>
            <w:tcW w:w="709" w:type="dxa"/>
            <w:vAlign w:val="top"/>
          </w:tcPr>
          <w:p w14:paraId="0940BB0D">
            <w:pPr>
              <w:pStyle w:val="6"/>
              <w:spacing w:before="74" w:line="188" w:lineRule="auto"/>
              <w:ind w:left="17"/>
              <w:rPr>
                <w:sz w:val="23"/>
                <w:szCs w:val="23"/>
              </w:rPr>
            </w:pPr>
            <w:r>
              <w:rPr>
                <w:spacing w:val="-4"/>
                <w:sz w:val="23"/>
                <w:szCs w:val="23"/>
              </w:rPr>
              <w:t>17.700</w:t>
            </w:r>
          </w:p>
        </w:tc>
        <w:tc>
          <w:tcPr>
            <w:tcW w:w="859" w:type="dxa"/>
            <w:vAlign w:val="top"/>
          </w:tcPr>
          <w:p w14:paraId="05BA82CA">
            <w:pPr>
              <w:pStyle w:val="6"/>
              <w:spacing w:before="74" w:line="188" w:lineRule="auto"/>
              <w:ind w:left="138"/>
              <w:rPr>
                <w:sz w:val="23"/>
                <w:szCs w:val="23"/>
              </w:rPr>
            </w:pPr>
            <w:r>
              <w:rPr>
                <w:spacing w:val="-2"/>
                <w:sz w:val="23"/>
                <w:szCs w:val="23"/>
              </w:rPr>
              <w:t>0.022</w:t>
            </w:r>
          </w:p>
        </w:tc>
        <w:tc>
          <w:tcPr>
            <w:tcW w:w="759" w:type="dxa"/>
            <w:vAlign w:val="top"/>
          </w:tcPr>
          <w:p w14:paraId="69A05BB8">
            <w:pPr>
              <w:pStyle w:val="6"/>
              <w:spacing w:before="74" w:line="188" w:lineRule="auto"/>
              <w:ind w:left="29"/>
              <w:rPr>
                <w:sz w:val="23"/>
                <w:szCs w:val="23"/>
              </w:rPr>
            </w:pPr>
            <w:r>
              <w:rPr>
                <w:spacing w:val="-4"/>
                <w:sz w:val="23"/>
                <w:szCs w:val="23"/>
              </w:rPr>
              <w:t>15.879</w:t>
            </w:r>
          </w:p>
        </w:tc>
        <w:tc>
          <w:tcPr>
            <w:tcW w:w="625" w:type="dxa"/>
            <w:vAlign w:val="top"/>
          </w:tcPr>
          <w:p w14:paraId="24B37A35">
            <w:pPr>
              <w:pStyle w:val="6"/>
              <w:spacing w:before="74" w:line="188" w:lineRule="auto"/>
              <w:ind w:left="20"/>
              <w:rPr>
                <w:sz w:val="23"/>
                <w:szCs w:val="23"/>
              </w:rPr>
            </w:pPr>
            <w:r>
              <w:rPr>
                <w:spacing w:val="-5"/>
                <w:sz w:val="23"/>
                <w:szCs w:val="23"/>
              </w:rPr>
              <w:t>1.800</w:t>
            </w:r>
          </w:p>
        </w:tc>
      </w:tr>
      <w:tr w14:paraId="5C354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94" w:type="dxa"/>
            <w:vMerge w:val="continue"/>
            <w:tcBorders>
              <w:top w:val="nil"/>
              <w:bottom w:val="nil"/>
            </w:tcBorders>
            <w:vAlign w:val="top"/>
          </w:tcPr>
          <w:p w14:paraId="350C9229">
            <w:pPr>
              <w:rPr>
                <w:rFonts w:ascii="Arial"/>
                <w:sz w:val="21"/>
              </w:rPr>
            </w:pPr>
          </w:p>
        </w:tc>
        <w:tc>
          <w:tcPr>
            <w:tcW w:w="1409" w:type="dxa"/>
            <w:vAlign w:val="top"/>
          </w:tcPr>
          <w:p w14:paraId="4E103BE4">
            <w:pPr>
              <w:pStyle w:val="6"/>
              <w:spacing w:before="32" w:line="199" w:lineRule="auto"/>
              <w:ind w:left="1"/>
              <w:rPr>
                <w:sz w:val="23"/>
                <w:szCs w:val="23"/>
              </w:rPr>
            </w:pPr>
            <w:r>
              <w:rPr>
                <w:spacing w:val="1"/>
                <w:sz w:val="23"/>
                <w:szCs w:val="23"/>
              </w:rPr>
              <w:t>交通运输用地</w:t>
            </w:r>
          </w:p>
        </w:tc>
        <w:tc>
          <w:tcPr>
            <w:tcW w:w="839" w:type="dxa"/>
            <w:vAlign w:val="top"/>
          </w:tcPr>
          <w:p w14:paraId="684601A0">
            <w:pPr>
              <w:pStyle w:val="6"/>
              <w:spacing w:before="55" w:line="180" w:lineRule="auto"/>
              <w:ind w:left="62"/>
              <w:rPr>
                <w:sz w:val="23"/>
                <w:szCs w:val="23"/>
              </w:rPr>
            </w:pPr>
            <w:r>
              <w:rPr>
                <w:spacing w:val="-2"/>
                <w:sz w:val="23"/>
                <w:szCs w:val="23"/>
              </w:rPr>
              <w:t>28.037</w:t>
            </w:r>
          </w:p>
        </w:tc>
        <w:tc>
          <w:tcPr>
            <w:tcW w:w="829" w:type="dxa"/>
            <w:vAlign w:val="top"/>
          </w:tcPr>
          <w:p w14:paraId="7B38AC9B">
            <w:pPr>
              <w:pStyle w:val="6"/>
              <w:spacing w:before="55" w:line="180" w:lineRule="auto"/>
              <w:ind w:left="63"/>
              <w:rPr>
                <w:sz w:val="23"/>
                <w:szCs w:val="23"/>
              </w:rPr>
            </w:pPr>
            <w:r>
              <w:rPr>
                <w:spacing w:val="-2"/>
                <w:sz w:val="23"/>
                <w:szCs w:val="23"/>
              </w:rPr>
              <w:t>2.2329</w:t>
            </w:r>
          </w:p>
        </w:tc>
        <w:tc>
          <w:tcPr>
            <w:tcW w:w="859" w:type="dxa"/>
            <w:vAlign w:val="top"/>
          </w:tcPr>
          <w:p w14:paraId="69849C82">
            <w:pPr>
              <w:pStyle w:val="6"/>
              <w:spacing w:before="55" w:line="180" w:lineRule="auto"/>
              <w:ind w:left="73"/>
              <w:rPr>
                <w:sz w:val="23"/>
                <w:szCs w:val="23"/>
              </w:rPr>
            </w:pPr>
            <w:r>
              <w:rPr>
                <w:spacing w:val="-2"/>
                <w:sz w:val="23"/>
                <w:szCs w:val="23"/>
              </w:rPr>
              <w:t>0.0051</w:t>
            </w:r>
          </w:p>
        </w:tc>
        <w:tc>
          <w:tcPr>
            <w:tcW w:w="859" w:type="dxa"/>
            <w:vAlign w:val="top"/>
          </w:tcPr>
          <w:p w14:paraId="6EC5CA30">
            <w:pPr>
              <w:pStyle w:val="6"/>
              <w:spacing w:before="55" w:line="180" w:lineRule="auto"/>
              <w:ind w:left="75"/>
              <w:rPr>
                <w:sz w:val="23"/>
                <w:szCs w:val="23"/>
              </w:rPr>
            </w:pPr>
            <w:r>
              <w:rPr>
                <w:spacing w:val="-2"/>
                <w:sz w:val="23"/>
                <w:szCs w:val="23"/>
              </w:rPr>
              <w:t>0.0673</w:t>
            </w:r>
          </w:p>
        </w:tc>
        <w:tc>
          <w:tcPr>
            <w:tcW w:w="709" w:type="dxa"/>
            <w:vAlign w:val="top"/>
          </w:tcPr>
          <w:p w14:paraId="5DB50154">
            <w:pPr>
              <w:pStyle w:val="6"/>
              <w:spacing w:before="55" w:line="180" w:lineRule="auto"/>
              <w:ind w:left="16"/>
              <w:rPr>
                <w:sz w:val="23"/>
                <w:szCs w:val="23"/>
              </w:rPr>
            </w:pPr>
            <w:r>
              <w:rPr>
                <w:spacing w:val="-2"/>
                <w:sz w:val="23"/>
                <w:szCs w:val="23"/>
              </w:rPr>
              <w:t>2.1605</w:t>
            </w:r>
          </w:p>
        </w:tc>
        <w:tc>
          <w:tcPr>
            <w:tcW w:w="709" w:type="dxa"/>
            <w:vAlign w:val="top"/>
          </w:tcPr>
          <w:p w14:paraId="41A99DDF">
            <w:pPr>
              <w:pStyle w:val="6"/>
              <w:spacing w:before="55" w:line="180" w:lineRule="auto"/>
              <w:ind w:left="57"/>
              <w:rPr>
                <w:sz w:val="23"/>
                <w:szCs w:val="23"/>
              </w:rPr>
            </w:pPr>
            <w:r>
              <w:rPr>
                <w:spacing w:val="-3"/>
                <w:sz w:val="23"/>
                <w:szCs w:val="23"/>
              </w:rPr>
              <w:t>7.964</w:t>
            </w:r>
          </w:p>
        </w:tc>
        <w:tc>
          <w:tcPr>
            <w:tcW w:w="859" w:type="dxa"/>
            <w:vAlign w:val="top"/>
          </w:tcPr>
          <w:p w14:paraId="594F3E8F">
            <w:pPr>
              <w:pStyle w:val="6"/>
              <w:spacing w:before="55" w:line="180" w:lineRule="auto"/>
              <w:ind w:left="138"/>
              <w:rPr>
                <w:sz w:val="23"/>
                <w:szCs w:val="23"/>
              </w:rPr>
            </w:pPr>
            <w:r>
              <w:rPr>
                <w:spacing w:val="-2"/>
                <w:sz w:val="23"/>
                <w:szCs w:val="23"/>
              </w:rPr>
              <w:t>0.018</w:t>
            </w:r>
          </w:p>
        </w:tc>
        <w:tc>
          <w:tcPr>
            <w:tcW w:w="759" w:type="dxa"/>
            <w:vAlign w:val="top"/>
          </w:tcPr>
          <w:p w14:paraId="1E6FADD9">
            <w:pPr>
              <w:pStyle w:val="6"/>
              <w:spacing w:before="55" w:line="180" w:lineRule="auto"/>
              <w:ind w:left="89"/>
              <w:rPr>
                <w:sz w:val="23"/>
                <w:szCs w:val="23"/>
              </w:rPr>
            </w:pPr>
            <w:r>
              <w:rPr>
                <w:spacing w:val="-2"/>
                <w:sz w:val="23"/>
                <w:szCs w:val="23"/>
              </w:rPr>
              <w:t>0.240</w:t>
            </w:r>
          </w:p>
        </w:tc>
        <w:tc>
          <w:tcPr>
            <w:tcW w:w="625" w:type="dxa"/>
            <w:vAlign w:val="top"/>
          </w:tcPr>
          <w:p w14:paraId="60548F4B">
            <w:pPr>
              <w:pStyle w:val="6"/>
              <w:spacing w:before="55" w:line="180" w:lineRule="auto"/>
              <w:ind w:left="20"/>
              <w:rPr>
                <w:sz w:val="23"/>
                <w:szCs w:val="23"/>
              </w:rPr>
            </w:pPr>
            <w:r>
              <w:rPr>
                <w:spacing w:val="-3"/>
                <w:sz w:val="23"/>
                <w:szCs w:val="23"/>
              </w:rPr>
              <w:t>7.706</w:t>
            </w:r>
          </w:p>
        </w:tc>
      </w:tr>
      <w:tr w14:paraId="7915F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94" w:type="dxa"/>
            <w:vMerge w:val="continue"/>
            <w:tcBorders>
              <w:top w:val="nil"/>
              <w:bottom w:val="nil"/>
            </w:tcBorders>
            <w:vAlign w:val="top"/>
          </w:tcPr>
          <w:p w14:paraId="49C700FB">
            <w:pPr>
              <w:rPr>
                <w:rFonts w:ascii="Arial"/>
                <w:sz w:val="21"/>
              </w:rPr>
            </w:pPr>
          </w:p>
        </w:tc>
        <w:tc>
          <w:tcPr>
            <w:tcW w:w="1409" w:type="dxa"/>
            <w:vAlign w:val="top"/>
          </w:tcPr>
          <w:p w14:paraId="6D6A28A4">
            <w:pPr>
              <w:pStyle w:val="6"/>
              <w:spacing w:before="43" w:line="207" w:lineRule="auto"/>
              <w:ind w:left="351" w:right="7" w:hanging="350"/>
              <w:rPr>
                <w:sz w:val="23"/>
                <w:szCs w:val="23"/>
              </w:rPr>
            </w:pPr>
            <w:r>
              <w:rPr>
                <w:spacing w:val="1"/>
                <w:sz w:val="23"/>
                <w:szCs w:val="23"/>
              </w:rPr>
              <w:t>水域及水利设</w:t>
            </w:r>
            <w:r>
              <w:rPr>
                <w:spacing w:val="3"/>
                <w:sz w:val="23"/>
                <w:szCs w:val="23"/>
              </w:rPr>
              <w:t xml:space="preserve"> </w:t>
            </w:r>
            <w:r>
              <w:rPr>
                <w:spacing w:val="-2"/>
                <w:sz w:val="23"/>
                <w:szCs w:val="23"/>
              </w:rPr>
              <w:t>施用地</w:t>
            </w:r>
          </w:p>
        </w:tc>
        <w:tc>
          <w:tcPr>
            <w:tcW w:w="839" w:type="dxa"/>
            <w:vAlign w:val="top"/>
          </w:tcPr>
          <w:p w14:paraId="1F714B7F">
            <w:pPr>
              <w:pStyle w:val="6"/>
              <w:spacing w:before="195" w:line="239" w:lineRule="auto"/>
              <w:ind w:left="62"/>
              <w:rPr>
                <w:sz w:val="23"/>
                <w:szCs w:val="23"/>
              </w:rPr>
            </w:pPr>
            <w:r>
              <w:rPr>
                <w:spacing w:val="-4"/>
                <w:sz w:val="23"/>
                <w:szCs w:val="23"/>
              </w:rPr>
              <w:t>13.479</w:t>
            </w:r>
          </w:p>
        </w:tc>
        <w:tc>
          <w:tcPr>
            <w:tcW w:w="829" w:type="dxa"/>
            <w:vAlign w:val="top"/>
          </w:tcPr>
          <w:p w14:paraId="54FA5A68">
            <w:pPr>
              <w:pStyle w:val="6"/>
              <w:spacing w:before="194"/>
              <w:ind w:left="342"/>
              <w:rPr>
                <w:sz w:val="23"/>
                <w:szCs w:val="23"/>
              </w:rPr>
            </w:pPr>
            <w:r>
              <w:rPr>
                <w:sz w:val="23"/>
                <w:szCs w:val="23"/>
              </w:rPr>
              <w:t>0</w:t>
            </w:r>
          </w:p>
        </w:tc>
        <w:tc>
          <w:tcPr>
            <w:tcW w:w="859" w:type="dxa"/>
            <w:vAlign w:val="top"/>
          </w:tcPr>
          <w:p w14:paraId="5EC3C507">
            <w:pPr>
              <w:pStyle w:val="6"/>
              <w:spacing w:before="194"/>
              <w:ind w:left="364"/>
              <w:rPr>
                <w:sz w:val="23"/>
                <w:szCs w:val="23"/>
              </w:rPr>
            </w:pPr>
            <w:r>
              <w:rPr>
                <w:sz w:val="23"/>
                <w:szCs w:val="23"/>
              </w:rPr>
              <w:t>0</w:t>
            </w:r>
          </w:p>
        </w:tc>
        <w:tc>
          <w:tcPr>
            <w:tcW w:w="859" w:type="dxa"/>
            <w:vAlign w:val="top"/>
          </w:tcPr>
          <w:p w14:paraId="5AC06011">
            <w:pPr>
              <w:pStyle w:val="6"/>
              <w:spacing w:before="194"/>
              <w:ind w:left="365"/>
              <w:rPr>
                <w:sz w:val="23"/>
                <w:szCs w:val="23"/>
              </w:rPr>
            </w:pPr>
            <w:r>
              <w:rPr>
                <w:sz w:val="23"/>
                <w:szCs w:val="23"/>
              </w:rPr>
              <w:t>0</w:t>
            </w:r>
          </w:p>
        </w:tc>
        <w:tc>
          <w:tcPr>
            <w:tcW w:w="709" w:type="dxa"/>
            <w:vAlign w:val="top"/>
          </w:tcPr>
          <w:p w14:paraId="7AA70FDA">
            <w:pPr>
              <w:pStyle w:val="6"/>
              <w:spacing w:before="194"/>
              <w:ind w:left="286"/>
              <w:rPr>
                <w:sz w:val="23"/>
                <w:szCs w:val="23"/>
              </w:rPr>
            </w:pPr>
            <w:r>
              <w:rPr>
                <w:sz w:val="23"/>
                <w:szCs w:val="23"/>
              </w:rPr>
              <w:t>0</w:t>
            </w:r>
          </w:p>
        </w:tc>
        <w:tc>
          <w:tcPr>
            <w:tcW w:w="709" w:type="dxa"/>
            <w:vAlign w:val="top"/>
          </w:tcPr>
          <w:p w14:paraId="63EE127F">
            <w:pPr>
              <w:pStyle w:val="6"/>
              <w:spacing w:before="194"/>
              <w:ind w:left="287"/>
              <w:rPr>
                <w:sz w:val="23"/>
                <w:szCs w:val="23"/>
              </w:rPr>
            </w:pPr>
            <w:r>
              <w:rPr>
                <w:sz w:val="23"/>
                <w:szCs w:val="23"/>
              </w:rPr>
              <w:t>0</w:t>
            </w:r>
          </w:p>
        </w:tc>
        <w:tc>
          <w:tcPr>
            <w:tcW w:w="859" w:type="dxa"/>
            <w:vAlign w:val="top"/>
          </w:tcPr>
          <w:p w14:paraId="3824BE35">
            <w:pPr>
              <w:pStyle w:val="6"/>
              <w:spacing w:before="194"/>
              <w:ind w:left="368"/>
              <w:rPr>
                <w:sz w:val="23"/>
                <w:szCs w:val="23"/>
              </w:rPr>
            </w:pPr>
            <w:r>
              <w:rPr>
                <w:sz w:val="23"/>
                <w:szCs w:val="23"/>
              </w:rPr>
              <w:t>0</w:t>
            </w:r>
          </w:p>
        </w:tc>
        <w:tc>
          <w:tcPr>
            <w:tcW w:w="759" w:type="dxa"/>
            <w:vAlign w:val="top"/>
          </w:tcPr>
          <w:p w14:paraId="624393EF">
            <w:pPr>
              <w:pStyle w:val="6"/>
              <w:spacing w:before="194"/>
              <w:ind w:left="319"/>
              <w:rPr>
                <w:sz w:val="23"/>
                <w:szCs w:val="23"/>
              </w:rPr>
            </w:pPr>
            <w:r>
              <w:rPr>
                <w:sz w:val="23"/>
                <w:szCs w:val="23"/>
              </w:rPr>
              <w:t>0</w:t>
            </w:r>
          </w:p>
        </w:tc>
        <w:tc>
          <w:tcPr>
            <w:tcW w:w="625" w:type="dxa"/>
            <w:vAlign w:val="top"/>
          </w:tcPr>
          <w:p w14:paraId="178D4999">
            <w:pPr>
              <w:pStyle w:val="6"/>
              <w:spacing w:before="194"/>
              <w:ind w:left="250"/>
              <w:rPr>
                <w:sz w:val="23"/>
                <w:szCs w:val="23"/>
              </w:rPr>
            </w:pPr>
            <w:r>
              <w:rPr>
                <w:sz w:val="23"/>
                <w:szCs w:val="23"/>
              </w:rPr>
              <w:t>0</w:t>
            </w:r>
          </w:p>
        </w:tc>
      </w:tr>
      <w:tr w14:paraId="17B36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894" w:type="dxa"/>
            <w:vMerge w:val="continue"/>
            <w:tcBorders>
              <w:top w:val="nil"/>
              <w:bottom w:val="nil"/>
            </w:tcBorders>
            <w:vAlign w:val="top"/>
          </w:tcPr>
          <w:p w14:paraId="6BC73D3B">
            <w:pPr>
              <w:rPr>
                <w:rFonts w:ascii="Arial"/>
                <w:sz w:val="21"/>
              </w:rPr>
            </w:pPr>
          </w:p>
        </w:tc>
        <w:tc>
          <w:tcPr>
            <w:tcW w:w="1409" w:type="dxa"/>
            <w:vAlign w:val="top"/>
          </w:tcPr>
          <w:p w14:paraId="64C9FEFC">
            <w:pPr>
              <w:pStyle w:val="6"/>
              <w:spacing w:before="124" w:line="221" w:lineRule="auto"/>
              <w:ind w:left="461"/>
              <w:rPr>
                <w:sz w:val="23"/>
                <w:szCs w:val="23"/>
              </w:rPr>
            </w:pPr>
            <w:r>
              <w:rPr>
                <w:spacing w:val="-3"/>
                <w:sz w:val="23"/>
                <w:szCs w:val="23"/>
              </w:rPr>
              <w:t>合计</w:t>
            </w:r>
          </w:p>
        </w:tc>
        <w:tc>
          <w:tcPr>
            <w:tcW w:w="839" w:type="dxa"/>
            <w:vAlign w:val="top"/>
          </w:tcPr>
          <w:p w14:paraId="644F663F">
            <w:pPr>
              <w:pStyle w:val="6"/>
              <w:spacing w:before="36" w:line="193" w:lineRule="auto"/>
              <w:ind w:left="2"/>
              <w:rPr>
                <w:sz w:val="23"/>
                <w:szCs w:val="23"/>
              </w:rPr>
            </w:pPr>
            <w:r>
              <w:rPr>
                <w:spacing w:val="-2"/>
                <w:sz w:val="23"/>
                <w:szCs w:val="23"/>
              </w:rPr>
              <w:t>2418.08</w:t>
            </w:r>
          </w:p>
          <w:p w14:paraId="6D384185">
            <w:pPr>
              <w:pStyle w:val="6"/>
              <w:spacing w:line="182" w:lineRule="exact"/>
              <w:ind w:left="352"/>
              <w:rPr>
                <w:sz w:val="23"/>
                <w:szCs w:val="23"/>
              </w:rPr>
            </w:pPr>
            <w:r>
              <w:rPr>
                <w:position w:val="-3"/>
                <w:sz w:val="23"/>
                <w:szCs w:val="23"/>
              </w:rPr>
              <w:t>6</w:t>
            </w:r>
          </w:p>
        </w:tc>
        <w:tc>
          <w:tcPr>
            <w:tcW w:w="829" w:type="dxa"/>
            <w:vAlign w:val="top"/>
          </w:tcPr>
          <w:p w14:paraId="420446A8">
            <w:pPr>
              <w:pStyle w:val="6"/>
              <w:spacing w:before="36" w:line="193" w:lineRule="auto"/>
              <w:ind w:left="3"/>
              <w:rPr>
                <w:sz w:val="23"/>
                <w:szCs w:val="23"/>
              </w:rPr>
            </w:pPr>
            <w:r>
              <w:rPr>
                <w:spacing w:val="-4"/>
                <w:sz w:val="23"/>
                <w:szCs w:val="23"/>
              </w:rPr>
              <w:t>115.670</w:t>
            </w:r>
          </w:p>
          <w:p w14:paraId="494BC993">
            <w:pPr>
              <w:pStyle w:val="6"/>
              <w:spacing w:line="182" w:lineRule="exact"/>
              <w:ind w:left="342"/>
              <w:rPr>
                <w:sz w:val="23"/>
                <w:szCs w:val="23"/>
              </w:rPr>
            </w:pPr>
            <w:r>
              <w:rPr>
                <w:position w:val="-3"/>
                <w:sz w:val="23"/>
                <w:szCs w:val="23"/>
              </w:rPr>
              <w:t>0</w:t>
            </w:r>
          </w:p>
        </w:tc>
        <w:tc>
          <w:tcPr>
            <w:tcW w:w="859" w:type="dxa"/>
            <w:vAlign w:val="top"/>
          </w:tcPr>
          <w:p w14:paraId="01950CD3">
            <w:pPr>
              <w:pStyle w:val="6"/>
              <w:spacing w:before="146" w:line="239" w:lineRule="auto"/>
              <w:ind w:left="194"/>
              <w:rPr>
                <w:sz w:val="23"/>
                <w:szCs w:val="23"/>
              </w:rPr>
            </w:pPr>
            <w:r>
              <w:rPr>
                <w:spacing w:val="-3"/>
                <w:sz w:val="23"/>
                <w:szCs w:val="23"/>
              </w:rPr>
              <w:t>0.85</w:t>
            </w:r>
          </w:p>
        </w:tc>
        <w:tc>
          <w:tcPr>
            <w:tcW w:w="859" w:type="dxa"/>
            <w:vAlign w:val="top"/>
          </w:tcPr>
          <w:p w14:paraId="16B37915">
            <w:pPr>
              <w:pStyle w:val="6"/>
              <w:spacing w:before="146" w:line="239" w:lineRule="auto"/>
              <w:ind w:left="14"/>
              <w:rPr>
                <w:sz w:val="23"/>
                <w:szCs w:val="23"/>
              </w:rPr>
            </w:pPr>
            <w:r>
              <w:rPr>
                <w:spacing w:val="-2"/>
                <w:sz w:val="23"/>
                <w:szCs w:val="23"/>
              </w:rPr>
              <w:t>97.4409</w:t>
            </w:r>
          </w:p>
        </w:tc>
        <w:tc>
          <w:tcPr>
            <w:tcW w:w="709" w:type="dxa"/>
            <w:vAlign w:val="top"/>
          </w:tcPr>
          <w:p w14:paraId="396127FC">
            <w:pPr>
              <w:pStyle w:val="6"/>
              <w:spacing w:before="66" w:line="189" w:lineRule="auto"/>
              <w:ind w:left="16"/>
              <w:rPr>
                <w:sz w:val="23"/>
                <w:szCs w:val="23"/>
              </w:rPr>
            </w:pPr>
            <w:r>
              <w:rPr>
                <w:spacing w:val="-4"/>
                <w:sz w:val="23"/>
                <w:szCs w:val="23"/>
              </w:rPr>
              <w:t>17.379</w:t>
            </w:r>
          </w:p>
          <w:p w14:paraId="1814CAD8">
            <w:pPr>
              <w:pStyle w:val="6"/>
              <w:spacing w:line="156" w:lineRule="exact"/>
              <w:ind w:left="286"/>
              <w:rPr>
                <w:sz w:val="20"/>
                <w:szCs w:val="20"/>
              </w:rPr>
            </w:pPr>
            <w:r>
              <w:rPr>
                <w:position w:val="-2"/>
                <w:sz w:val="20"/>
                <w:szCs w:val="20"/>
              </w:rPr>
              <w:t>1</w:t>
            </w:r>
          </w:p>
        </w:tc>
        <w:tc>
          <w:tcPr>
            <w:tcW w:w="709" w:type="dxa"/>
            <w:vAlign w:val="top"/>
          </w:tcPr>
          <w:p w14:paraId="548FC91B">
            <w:pPr>
              <w:pStyle w:val="6"/>
              <w:spacing w:before="254" w:line="156" w:lineRule="exact"/>
              <w:ind w:left="237"/>
              <w:rPr>
                <w:sz w:val="23"/>
                <w:szCs w:val="23"/>
              </w:rPr>
            </w:pPr>
            <w:r>
              <w:rPr>
                <w:spacing w:val="-6"/>
                <w:w w:val="53"/>
                <w:position w:val="-4"/>
                <w:sz w:val="23"/>
                <w:szCs w:val="23"/>
              </w:rPr>
              <w:t>—</w:t>
            </w:r>
            <w:r>
              <w:rPr>
                <w:position w:val="-4"/>
                <w:sz w:val="23"/>
                <w:szCs w:val="23"/>
              </w:rPr>
              <w:t>—</w:t>
            </w:r>
          </w:p>
        </w:tc>
        <w:tc>
          <w:tcPr>
            <w:tcW w:w="859" w:type="dxa"/>
            <w:vAlign w:val="top"/>
          </w:tcPr>
          <w:p w14:paraId="183C96E6">
            <w:pPr>
              <w:pStyle w:val="6"/>
              <w:spacing w:before="254" w:line="156" w:lineRule="exact"/>
              <w:ind w:left="308"/>
              <w:rPr>
                <w:sz w:val="23"/>
                <w:szCs w:val="23"/>
              </w:rPr>
            </w:pPr>
            <w:r>
              <w:rPr>
                <w:spacing w:val="-6"/>
                <w:w w:val="53"/>
                <w:position w:val="-4"/>
                <w:sz w:val="23"/>
                <w:szCs w:val="23"/>
              </w:rPr>
              <w:t>—</w:t>
            </w:r>
            <w:r>
              <w:rPr>
                <w:position w:val="-4"/>
                <w:sz w:val="23"/>
                <w:szCs w:val="23"/>
              </w:rPr>
              <w:t>—</w:t>
            </w:r>
          </w:p>
        </w:tc>
        <w:tc>
          <w:tcPr>
            <w:tcW w:w="759" w:type="dxa"/>
            <w:vAlign w:val="top"/>
          </w:tcPr>
          <w:p w14:paraId="586CA310">
            <w:pPr>
              <w:pStyle w:val="6"/>
              <w:spacing w:before="254" w:line="156" w:lineRule="exact"/>
              <w:ind w:left="259"/>
              <w:rPr>
                <w:sz w:val="23"/>
                <w:szCs w:val="23"/>
              </w:rPr>
            </w:pPr>
            <w:r>
              <w:rPr>
                <w:spacing w:val="-6"/>
                <w:w w:val="53"/>
                <w:position w:val="-4"/>
                <w:sz w:val="23"/>
                <w:szCs w:val="23"/>
              </w:rPr>
              <w:t>—</w:t>
            </w:r>
            <w:r>
              <w:rPr>
                <w:position w:val="-4"/>
                <w:sz w:val="23"/>
                <w:szCs w:val="23"/>
              </w:rPr>
              <w:t>—</w:t>
            </w:r>
          </w:p>
        </w:tc>
        <w:tc>
          <w:tcPr>
            <w:tcW w:w="625" w:type="dxa"/>
            <w:vAlign w:val="top"/>
          </w:tcPr>
          <w:p w14:paraId="6AB1643D">
            <w:pPr>
              <w:pStyle w:val="6"/>
              <w:spacing w:before="254" w:line="156" w:lineRule="exact"/>
              <w:ind w:left="189"/>
              <w:rPr>
                <w:sz w:val="23"/>
                <w:szCs w:val="23"/>
              </w:rPr>
            </w:pPr>
            <w:r>
              <w:rPr>
                <w:spacing w:val="-6"/>
                <w:w w:val="53"/>
                <w:position w:val="-4"/>
                <w:sz w:val="23"/>
                <w:szCs w:val="23"/>
              </w:rPr>
              <w:t>—</w:t>
            </w:r>
            <w:r>
              <w:rPr>
                <w:position w:val="-4"/>
                <w:sz w:val="23"/>
                <w:szCs w:val="23"/>
              </w:rPr>
              <w:t>—</w:t>
            </w:r>
          </w:p>
        </w:tc>
      </w:tr>
      <w:tr w14:paraId="1C96E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0" w:hRule="atLeast"/>
        </w:trPr>
        <w:tc>
          <w:tcPr>
            <w:tcW w:w="894" w:type="dxa"/>
            <w:vMerge w:val="continue"/>
            <w:tcBorders>
              <w:top w:val="nil"/>
            </w:tcBorders>
            <w:vAlign w:val="top"/>
          </w:tcPr>
          <w:p w14:paraId="1AE95E04">
            <w:pPr>
              <w:rPr>
                <w:rFonts w:ascii="Arial"/>
                <w:sz w:val="21"/>
              </w:rPr>
            </w:pPr>
          </w:p>
        </w:tc>
        <w:tc>
          <w:tcPr>
            <w:tcW w:w="8456" w:type="dxa"/>
            <w:gridSpan w:val="10"/>
            <w:vAlign w:val="top"/>
          </w:tcPr>
          <w:p w14:paraId="0C800304">
            <w:pPr>
              <w:pStyle w:val="6"/>
              <w:spacing w:before="33" w:line="219" w:lineRule="auto"/>
              <w:ind w:left="551"/>
              <w:rPr>
                <w:sz w:val="23"/>
                <w:szCs w:val="23"/>
              </w:rPr>
            </w:pPr>
            <w:r>
              <w:rPr>
                <w:sz w:val="23"/>
                <w:szCs w:val="23"/>
              </w:rPr>
              <w:t>一、永久占地及光伏板遮蔽</w:t>
            </w:r>
          </w:p>
          <w:p w14:paraId="6E25BFCA">
            <w:pPr>
              <w:pStyle w:val="6"/>
              <w:spacing w:before="204" w:line="370" w:lineRule="auto"/>
              <w:ind w:left="101" w:right="486" w:firstLine="379"/>
              <w:rPr>
                <w:sz w:val="23"/>
                <w:szCs w:val="23"/>
              </w:rPr>
            </w:pPr>
            <w:r>
              <w:rPr>
                <w:spacing w:val="3"/>
                <w:sz w:val="23"/>
                <w:szCs w:val="23"/>
              </w:rPr>
              <w:t>本工程永久占地面积为0.85</w:t>
            </w:r>
            <w:r>
              <w:rPr>
                <w:sz w:val="23"/>
                <w:szCs w:val="23"/>
              </w:rPr>
              <w:t>hm</w:t>
            </w:r>
            <w:r>
              <w:rPr>
                <w:spacing w:val="3"/>
                <w:sz w:val="23"/>
                <w:szCs w:val="23"/>
              </w:rPr>
              <w:t>²,主要占地类型草地、灌木林地、乔木林地</w:t>
            </w:r>
            <w:r>
              <w:rPr>
                <w:spacing w:val="15"/>
                <w:sz w:val="23"/>
                <w:szCs w:val="23"/>
              </w:rPr>
              <w:t xml:space="preserve"> </w:t>
            </w:r>
            <w:r>
              <w:rPr>
                <w:spacing w:val="4"/>
                <w:sz w:val="23"/>
                <w:szCs w:val="23"/>
              </w:rPr>
              <w:t>等。工程永久占用草地0.0911</w:t>
            </w:r>
            <w:r>
              <w:rPr>
                <w:sz w:val="23"/>
                <w:szCs w:val="23"/>
              </w:rPr>
              <w:t>hm</w:t>
            </w:r>
            <w:r>
              <w:rPr>
                <w:spacing w:val="4"/>
                <w:sz w:val="23"/>
                <w:szCs w:val="23"/>
              </w:rPr>
              <w:t>²,占评价区同类型土地利用面积的0.031%;</w:t>
            </w:r>
          </w:p>
          <w:p w14:paraId="2E07266C">
            <w:pPr>
              <w:pStyle w:val="6"/>
              <w:spacing w:before="20" w:line="372" w:lineRule="auto"/>
              <w:ind w:left="71" w:right="517" w:firstLine="20"/>
              <w:rPr>
                <w:sz w:val="23"/>
                <w:szCs w:val="23"/>
              </w:rPr>
            </w:pPr>
            <w:r>
              <w:rPr>
                <w:spacing w:val="3"/>
                <w:sz w:val="23"/>
                <w:szCs w:val="23"/>
              </w:rPr>
              <w:t>工程永久占用乔木林地0.5725</w:t>
            </w:r>
            <w:r>
              <w:rPr>
                <w:sz w:val="23"/>
                <w:szCs w:val="23"/>
              </w:rPr>
              <w:t>hm</w:t>
            </w:r>
            <w:r>
              <w:rPr>
                <w:spacing w:val="3"/>
                <w:sz w:val="23"/>
                <w:szCs w:val="23"/>
              </w:rPr>
              <w:t>²,占评价区同类型土地利用面积的0.266%;工</w:t>
            </w:r>
            <w:r>
              <w:rPr>
                <w:spacing w:val="6"/>
                <w:sz w:val="23"/>
                <w:szCs w:val="23"/>
              </w:rPr>
              <w:t xml:space="preserve"> </w:t>
            </w:r>
            <w:r>
              <w:rPr>
                <w:spacing w:val="3"/>
                <w:sz w:val="23"/>
                <w:szCs w:val="23"/>
              </w:rPr>
              <w:t>程永久占用灌木林地0.0199</w:t>
            </w:r>
            <w:r>
              <w:rPr>
                <w:sz w:val="23"/>
                <w:szCs w:val="23"/>
              </w:rPr>
              <w:t>hm</w:t>
            </w:r>
            <w:r>
              <w:rPr>
                <w:spacing w:val="3"/>
                <w:sz w:val="23"/>
                <w:szCs w:val="23"/>
              </w:rPr>
              <w:t>²,占评价区同类型土地利用面积的0.017%;工程</w:t>
            </w:r>
            <w:r>
              <w:rPr>
                <w:spacing w:val="12"/>
                <w:sz w:val="23"/>
                <w:szCs w:val="23"/>
              </w:rPr>
              <w:t xml:space="preserve"> </w:t>
            </w:r>
            <w:r>
              <w:rPr>
                <w:spacing w:val="4"/>
                <w:sz w:val="23"/>
                <w:szCs w:val="23"/>
              </w:rPr>
              <w:t>永久占用耕地0.1545</w:t>
            </w:r>
            <w:r>
              <w:rPr>
                <w:sz w:val="23"/>
                <w:szCs w:val="23"/>
              </w:rPr>
              <w:t>hm</w:t>
            </w:r>
            <w:r>
              <w:rPr>
                <w:spacing w:val="4"/>
                <w:sz w:val="23"/>
                <w:szCs w:val="23"/>
              </w:rPr>
              <w:t>²,占评价区同类型土地利用面积的0.0</w:t>
            </w:r>
            <w:r>
              <w:rPr>
                <w:spacing w:val="3"/>
                <w:sz w:val="23"/>
                <w:szCs w:val="23"/>
              </w:rPr>
              <w:t>1%;工程永久占</w:t>
            </w:r>
            <w:r>
              <w:rPr>
                <w:sz w:val="23"/>
                <w:szCs w:val="23"/>
              </w:rPr>
              <w:t xml:space="preserve">  </w:t>
            </w:r>
            <w:r>
              <w:rPr>
                <w:spacing w:val="3"/>
                <w:sz w:val="23"/>
                <w:szCs w:val="23"/>
              </w:rPr>
              <w:t>用工矿企业用地(主要为已开采矿山)0.0069</w:t>
            </w:r>
            <w:r>
              <w:rPr>
                <w:sz w:val="23"/>
                <w:szCs w:val="23"/>
              </w:rPr>
              <w:t>hm</w:t>
            </w:r>
            <w:r>
              <w:rPr>
                <w:spacing w:val="3"/>
                <w:sz w:val="23"/>
                <w:szCs w:val="23"/>
              </w:rPr>
              <w:t xml:space="preserve">²,占评价区同类型土地利用面  </w:t>
            </w:r>
            <w:r>
              <w:rPr>
                <w:spacing w:val="4"/>
                <w:sz w:val="23"/>
                <w:szCs w:val="23"/>
              </w:rPr>
              <w:t>积的0.022%;工程永久占用交通运输用地0.0051</w:t>
            </w:r>
            <w:r>
              <w:rPr>
                <w:sz w:val="23"/>
                <w:szCs w:val="23"/>
              </w:rPr>
              <w:t>hm</w:t>
            </w:r>
            <w:r>
              <w:rPr>
                <w:spacing w:val="4"/>
                <w:sz w:val="23"/>
                <w:szCs w:val="23"/>
              </w:rPr>
              <w:t>²,占评</w:t>
            </w:r>
            <w:r>
              <w:rPr>
                <w:spacing w:val="3"/>
                <w:sz w:val="23"/>
                <w:szCs w:val="23"/>
              </w:rPr>
              <w:t>价区同类型土地利用</w:t>
            </w:r>
            <w:r>
              <w:rPr>
                <w:sz w:val="23"/>
                <w:szCs w:val="23"/>
              </w:rPr>
              <w:t xml:space="preserve"> 面积的0.018%;所占用的比例均很小，对土地利用的影响较小。</w:t>
            </w:r>
          </w:p>
          <w:p w14:paraId="4B3B3570">
            <w:pPr>
              <w:pStyle w:val="6"/>
              <w:spacing w:line="367" w:lineRule="auto"/>
              <w:ind w:left="71" w:right="517" w:firstLine="469"/>
              <w:rPr>
                <w:sz w:val="23"/>
                <w:szCs w:val="23"/>
              </w:rPr>
            </w:pPr>
            <w:r>
              <w:rPr>
                <w:spacing w:val="1"/>
                <w:sz w:val="23"/>
                <w:szCs w:val="23"/>
              </w:rPr>
              <w:t>光伏板遮蔽影响的土地利用类型主要为草地、工矿企业用地</w:t>
            </w:r>
            <w:r>
              <w:rPr>
                <w:sz w:val="23"/>
                <w:szCs w:val="23"/>
              </w:rPr>
              <w:t xml:space="preserve">和交通运输用 </w:t>
            </w:r>
            <w:r>
              <w:rPr>
                <w:spacing w:val="3"/>
                <w:sz w:val="23"/>
                <w:szCs w:val="23"/>
              </w:rPr>
              <w:t>地，遮蔽草地92.3029</w:t>
            </w:r>
            <w:r>
              <w:rPr>
                <w:sz w:val="23"/>
                <w:szCs w:val="23"/>
              </w:rPr>
              <w:t>hm</w:t>
            </w:r>
            <w:r>
              <w:rPr>
                <w:spacing w:val="3"/>
                <w:sz w:val="23"/>
                <w:szCs w:val="23"/>
              </w:rPr>
              <w:t>²,占评价区同类型土地利用面积的31.348%;遮蔽工矿</w:t>
            </w:r>
            <w:r>
              <w:rPr>
                <w:sz w:val="23"/>
                <w:szCs w:val="23"/>
              </w:rPr>
              <w:t xml:space="preserve"> </w:t>
            </w:r>
            <w:r>
              <w:rPr>
                <w:spacing w:val="3"/>
                <w:sz w:val="23"/>
                <w:szCs w:val="23"/>
              </w:rPr>
              <w:t>企业用地5.0707</w:t>
            </w:r>
            <w:r>
              <w:rPr>
                <w:sz w:val="23"/>
                <w:szCs w:val="23"/>
              </w:rPr>
              <w:t>hm</w:t>
            </w:r>
            <w:r>
              <w:rPr>
                <w:spacing w:val="3"/>
                <w:sz w:val="23"/>
                <w:szCs w:val="23"/>
              </w:rPr>
              <w:t>²,占评价区同类型土地利用面积的15.879%;遮蔽交通运输</w:t>
            </w:r>
            <w:r>
              <w:rPr>
                <w:spacing w:val="8"/>
                <w:sz w:val="23"/>
                <w:szCs w:val="23"/>
              </w:rPr>
              <w:t xml:space="preserve">  </w:t>
            </w:r>
            <w:r>
              <w:rPr>
                <w:spacing w:val="3"/>
                <w:sz w:val="23"/>
                <w:szCs w:val="23"/>
              </w:rPr>
              <w:t>用地0.0673</w:t>
            </w:r>
            <w:r>
              <w:rPr>
                <w:sz w:val="23"/>
                <w:szCs w:val="23"/>
              </w:rPr>
              <w:t>hm</w:t>
            </w:r>
            <w:r>
              <w:rPr>
                <w:spacing w:val="3"/>
                <w:sz w:val="23"/>
                <w:szCs w:val="23"/>
              </w:rPr>
              <w:t>²,占评价区同类型土地利用面积的0.24%。工程遮蔽区域不对其</w:t>
            </w:r>
            <w:r>
              <w:rPr>
                <w:spacing w:val="7"/>
                <w:sz w:val="23"/>
                <w:szCs w:val="23"/>
              </w:rPr>
              <w:t xml:space="preserve"> </w:t>
            </w:r>
            <w:r>
              <w:rPr>
                <w:sz w:val="23"/>
                <w:szCs w:val="23"/>
              </w:rPr>
              <w:t>进行扰动，对土地利用影响较小。</w:t>
            </w:r>
          </w:p>
        </w:tc>
      </w:tr>
    </w:tbl>
    <w:p w14:paraId="0D2E6B9E">
      <w:pPr>
        <w:pStyle w:val="2"/>
      </w:pPr>
    </w:p>
    <w:p w14:paraId="22C25151">
      <w:pPr>
        <w:sectPr>
          <w:headerReference r:id="rId125" w:type="default"/>
          <w:footerReference r:id="rId126" w:type="default"/>
          <w:pgSz w:w="11910" w:h="16830"/>
          <w:pgMar w:top="400" w:right="1304" w:bottom="1257" w:left="1244" w:header="0" w:footer="1076" w:gutter="0"/>
          <w:cols w:space="720" w:num="1"/>
        </w:sectPr>
      </w:pPr>
    </w:p>
    <w:p w14:paraId="2EE0D00E">
      <w:pPr>
        <w:spacing w:before="9"/>
      </w:pPr>
    </w:p>
    <w:p w14:paraId="3532411A">
      <w:pPr>
        <w:spacing w:before="9"/>
      </w:pPr>
    </w:p>
    <w:p w14:paraId="3140BEE8">
      <w:pPr>
        <w:spacing w:before="8"/>
      </w:pPr>
    </w:p>
    <w:p w14:paraId="0833348A">
      <w:pPr>
        <w:spacing w:before="8"/>
      </w:pPr>
    </w:p>
    <w:tbl>
      <w:tblPr>
        <w:tblStyle w:val="5"/>
        <w:tblW w:w="9419"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3"/>
        <w:gridCol w:w="145"/>
        <w:gridCol w:w="1407"/>
        <w:gridCol w:w="778"/>
        <w:gridCol w:w="658"/>
        <w:gridCol w:w="778"/>
        <w:gridCol w:w="1128"/>
        <w:gridCol w:w="718"/>
        <w:gridCol w:w="599"/>
        <w:gridCol w:w="569"/>
        <w:gridCol w:w="649"/>
        <w:gridCol w:w="788"/>
        <w:gridCol w:w="289"/>
      </w:tblGrid>
      <w:tr w14:paraId="35144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5" w:hRule="atLeast"/>
        </w:trPr>
        <w:tc>
          <w:tcPr>
            <w:tcW w:w="913" w:type="dxa"/>
            <w:vMerge w:val="restart"/>
            <w:tcBorders>
              <w:left w:val="single" w:color="000000" w:sz="8" w:space="0"/>
              <w:bottom w:val="nil"/>
            </w:tcBorders>
            <w:vAlign w:val="top"/>
          </w:tcPr>
          <w:p w14:paraId="2528AA5C">
            <w:pPr>
              <w:rPr>
                <w:rFonts w:ascii="Arial"/>
                <w:sz w:val="21"/>
              </w:rPr>
            </w:pPr>
          </w:p>
        </w:tc>
        <w:tc>
          <w:tcPr>
            <w:tcW w:w="8506" w:type="dxa"/>
            <w:gridSpan w:val="12"/>
            <w:tcBorders>
              <w:right w:val="single" w:color="000000" w:sz="8" w:space="0"/>
            </w:tcBorders>
            <w:vAlign w:val="top"/>
          </w:tcPr>
          <w:p w14:paraId="4B475A03">
            <w:pPr>
              <w:pStyle w:val="6"/>
              <w:spacing w:before="69" w:line="219" w:lineRule="auto"/>
              <w:ind w:left="511"/>
              <w:rPr>
                <w:sz w:val="23"/>
                <w:szCs w:val="23"/>
              </w:rPr>
            </w:pPr>
            <w:r>
              <w:rPr>
                <w:spacing w:val="-1"/>
                <w:sz w:val="23"/>
                <w:szCs w:val="23"/>
              </w:rPr>
              <w:t>二</w:t>
            </w:r>
            <w:r>
              <w:rPr>
                <w:spacing w:val="-51"/>
                <w:sz w:val="23"/>
                <w:szCs w:val="23"/>
              </w:rPr>
              <w:t xml:space="preserve"> </w:t>
            </w:r>
            <w:r>
              <w:rPr>
                <w:spacing w:val="-1"/>
                <w:sz w:val="23"/>
                <w:szCs w:val="23"/>
              </w:rPr>
              <w:t>、临时占地</w:t>
            </w:r>
          </w:p>
          <w:p w14:paraId="48634326">
            <w:pPr>
              <w:pStyle w:val="6"/>
              <w:spacing w:before="194" w:line="355" w:lineRule="auto"/>
              <w:ind w:left="91" w:right="110" w:firstLine="419"/>
              <w:jc w:val="both"/>
              <w:rPr>
                <w:sz w:val="24"/>
                <w:szCs w:val="24"/>
              </w:rPr>
            </w:pPr>
            <w:r>
              <w:rPr>
                <w:spacing w:val="-2"/>
                <w:sz w:val="24"/>
                <w:szCs w:val="24"/>
              </w:rPr>
              <w:t>施工现场主要设置的临建设施有：集电线路施工区、施工临时场地等，其中</w:t>
            </w:r>
            <w:r>
              <w:rPr>
                <w:spacing w:val="11"/>
                <w:sz w:val="24"/>
                <w:szCs w:val="24"/>
              </w:rPr>
              <w:t xml:space="preserve"> </w:t>
            </w:r>
            <w:r>
              <w:rPr>
                <w:spacing w:val="-1"/>
                <w:sz w:val="24"/>
                <w:szCs w:val="24"/>
              </w:rPr>
              <w:t>临时施工道路和施工营地等占地位于光伏布设区域内。工程临时工程占地(不包</w:t>
            </w:r>
            <w:r>
              <w:rPr>
                <w:spacing w:val="11"/>
                <w:sz w:val="24"/>
                <w:szCs w:val="24"/>
              </w:rPr>
              <w:t xml:space="preserve"> </w:t>
            </w:r>
            <w:r>
              <w:rPr>
                <w:spacing w:val="6"/>
                <w:sz w:val="24"/>
                <w:szCs w:val="24"/>
              </w:rPr>
              <w:t>括光伏板遮蔽)总面积为17.3791</w:t>
            </w:r>
            <w:r>
              <w:rPr>
                <w:rFonts w:ascii="Times New Roman" w:hAnsi="Times New Roman" w:eastAsia="Times New Roman" w:cs="Times New Roman"/>
                <w:sz w:val="24"/>
                <w:szCs w:val="24"/>
              </w:rPr>
              <w:t>hm</w:t>
            </w:r>
            <w:r>
              <w:rPr>
                <w:rFonts w:ascii="Times New Roman" w:hAnsi="Times New Roman" w:eastAsia="Times New Roman" w:cs="Times New Roman"/>
                <w:spacing w:val="6"/>
                <w:sz w:val="24"/>
                <w:szCs w:val="24"/>
              </w:rPr>
              <w:t xml:space="preserve">²,   </w:t>
            </w:r>
            <w:r>
              <w:rPr>
                <w:spacing w:val="6"/>
                <w:sz w:val="24"/>
                <w:szCs w:val="24"/>
              </w:rPr>
              <w:t>主要占用草地</w:t>
            </w:r>
            <w:r>
              <w:rPr>
                <w:spacing w:val="5"/>
                <w:sz w:val="24"/>
                <w:szCs w:val="24"/>
              </w:rPr>
              <w:t>、灌木林地、工矿企业用</w:t>
            </w:r>
            <w:r>
              <w:rPr>
                <w:sz w:val="24"/>
                <w:szCs w:val="24"/>
              </w:rPr>
              <w:t xml:space="preserve"> </w:t>
            </w:r>
            <w:r>
              <w:rPr>
                <w:spacing w:val="-4"/>
                <w:sz w:val="24"/>
                <w:szCs w:val="24"/>
              </w:rPr>
              <w:t>地和交通运输用地。临时占用的面积和比例均很小，且项目占地结束后临时用地</w:t>
            </w:r>
            <w:r>
              <w:rPr>
                <w:spacing w:val="8"/>
                <w:sz w:val="24"/>
                <w:szCs w:val="24"/>
              </w:rPr>
              <w:t xml:space="preserve"> </w:t>
            </w:r>
            <w:r>
              <w:rPr>
                <w:spacing w:val="-4"/>
                <w:sz w:val="24"/>
                <w:szCs w:val="24"/>
              </w:rPr>
              <w:t>进行恢复，影响较小。</w:t>
            </w:r>
          </w:p>
          <w:p w14:paraId="2AAA9003">
            <w:pPr>
              <w:pStyle w:val="6"/>
              <w:spacing w:before="32" w:line="219" w:lineRule="auto"/>
              <w:ind w:left="91"/>
              <w:rPr>
                <w:sz w:val="24"/>
                <w:szCs w:val="24"/>
              </w:rPr>
            </w:pPr>
            <w:r>
              <w:rPr>
                <w:rFonts w:ascii="Times New Roman" w:hAnsi="Times New Roman" w:eastAsia="Times New Roman" w:cs="Times New Roman"/>
                <w:b/>
                <w:bCs/>
                <w:spacing w:val="-1"/>
                <w:sz w:val="24"/>
                <w:szCs w:val="24"/>
              </w:rPr>
              <w:t>1.2</w:t>
            </w:r>
            <w:r>
              <w:rPr>
                <w:rFonts w:ascii="Times New Roman" w:hAnsi="Times New Roman" w:eastAsia="Times New Roman" w:cs="Times New Roman"/>
                <w:b/>
                <w:bCs/>
                <w:spacing w:val="50"/>
                <w:w w:val="101"/>
                <w:sz w:val="24"/>
                <w:szCs w:val="24"/>
              </w:rPr>
              <w:t xml:space="preserve"> </w:t>
            </w:r>
            <w:r>
              <w:rPr>
                <w:b/>
                <w:bCs/>
                <w:spacing w:val="-1"/>
                <w:sz w:val="24"/>
                <w:szCs w:val="24"/>
              </w:rPr>
              <w:t>对植被影响</w:t>
            </w:r>
          </w:p>
          <w:p w14:paraId="28D6AEBD">
            <w:pPr>
              <w:pStyle w:val="6"/>
              <w:spacing w:before="184" w:line="206" w:lineRule="auto"/>
              <w:ind w:left="1915"/>
              <w:rPr>
                <w:sz w:val="25"/>
                <w:szCs w:val="25"/>
              </w:rPr>
            </w:pPr>
            <w:r>
              <w:rPr>
                <w:b/>
                <w:bCs/>
                <w:spacing w:val="6"/>
                <w:sz w:val="25"/>
                <w:szCs w:val="25"/>
              </w:rPr>
              <w:t>表4-2工程对植被影响一览表</w:t>
            </w:r>
            <w:r>
              <w:rPr>
                <w:spacing w:val="6"/>
                <w:sz w:val="25"/>
                <w:szCs w:val="25"/>
              </w:rPr>
              <w:t xml:space="preserve"> </w:t>
            </w:r>
            <w:r>
              <w:rPr>
                <w:b/>
                <w:bCs/>
                <w:spacing w:val="6"/>
                <w:sz w:val="25"/>
                <w:szCs w:val="25"/>
              </w:rPr>
              <w:t>单位：</w:t>
            </w:r>
            <w:r>
              <w:rPr>
                <w:b/>
                <w:bCs/>
                <w:sz w:val="25"/>
                <w:szCs w:val="25"/>
              </w:rPr>
              <w:t>hm</w:t>
            </w:r>
            <w:r>
              <w:rPr>
                <w:b/>
                <w:bCs/>
                <w:spacing w:val="6"/>
                <w:sz w:val="25"/>
                <w:szCs w:val="25"/>
              </w:rPr>
              <w:t>²</w:t>
            </w:r>
          </w:p>
        </w:tc>
      </w:tr>
      <w:tr w14:paraId="217F4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913" w:type="dxa"/>
            <w:vMerge w:val="continue"/>
            <w:tcBorders>
              <w:top w:val="nil"/>
              <w:left w:val="single" w:color="000000" w:sz="8" w:space="0"/>
              <w:bottom w:val="nil"/>
            </w:tcBorders>
            <w:vAlign w:val="top"/>
          </w:tcPr>
          <w:p w14:paraId="4C0B4A69">
            <w:pPr>
              <w:rPr>
                <w:rFonts w:ascii="Arial"/>
                <w:sz w:val="21"/>
              </w:rPr>
            </w:pPr>
          </w:p>
        </w:tc>
        <w:tc>
          <w:tcPr>
            <w:tcW w:w="145" w:type="dxa"/>
            <w:tcBorders>
              <w:top w:val="nil"/>
              <w:bottom w:val="nil"/>
            </w:tcBorders>
            <w:vAlign w:val="top"/>
          </w:tcPr>
          <w:p w14:paraId="660C33BF">
            <w:pPr>
              <w:rPr>
                <w:rFonts w:ascii="Arial"/>
                <w:sz w:val="21"/>
              </w:rPr>
            </w:pPr>
          </w:p>
        </w:tc>
        <w:tc>
          <w:tcPr>
            <w:tcW w:w="1407" w:type="dxa"/>
            <w:vMerge w:val="restart"/>
            <w:tcBorders>
              <w:bottom w:val="nil"/>
            </w:tcBorders>
            <w:vAlign w:val="top"/>
          </w:tcPr>
          <w:p w14:paraId="1796EEDB">
            <w:pPr>
              <w:spacing w:line="277" w:lineRule="auto"/>
              <w:rPr>
                <w:rFonts w:ascii="Arial"/>
                <w:sz w:val="21"/>
              </w:rPr>
            </w:pPr>
          </w:p>
          <w:p w14:paraId="7CAE4D6B">
            <w:pPr>
              <w:spacing w:line="277" w:lineRule="auto"/>
              <w:rPr>
                <w:rFonts w:ascii="Arial"/>
                <w:sz w:val="21"/>
              </w:rPr>
            </w:pPr>
          </w:p>
          <w:p w14:paraId="2E1D1237">
            <w:pPr>
              <w:pStyle w:val="6"/>
              <w:spacing w:before="65" w:line="219" w:lineRule="auto"/>
              <w:ind w:left="287"/>
              <w:rPr>
                <w:sz w:val="20"/>
                <w:szCs w:val="20"/>
              </w:rPr>
            </w:pPr>
            <w:r>
              <w:rPr>
                <w:spacing w:val="3"/>
                <w:sz w:val="20"/>
                <w:szCs w:val="20"/>
              </w:rPr>
              <w:t>植被类型</w:t>
            </w:r>
          </w:p>
        </w:tc>
        <w:tc>
          <w:tcPr>
            <w:tcW w:w="778" w:type="dxa"/>
            <w:vMerge w:val="restart"/>
            <w:tcBorders>
              <w:bottom w:val="nil"/>
            </w:tcBorders>
            <w:vAlign w:val="top"/>
          </w:tcPr>
          <w:p w14:paraId="4C5E7936">
            <w:pPr>
              <w:spacing w:line="284" w:lineRule="auto"/>
              <w:rPr>
                <w:rFonts w:ascii="Arial"/>
                <w:sz w:val="21"/>
              </w:rPr>
            </w:pPr>
          </w:p>
          <w:p w14:paraId="1A9EEE2E">
            <w:pPr>
              <w:pStyle w:val="6"/>
              <w:spacing w:before="65" w:line="218" w:lineRule="auto"/>
              <w:ind w:left="179"/>
              <w:rPr>
                <w:sz w:val="20"/>
                <w:szCs w:val="20"/>
              </w:rPr>
            </w:pPr>
            <w:r>
              <w:rPr>
                <w:spacing w:val="-2"/>
                <w:sz w:val="20"/>
                <w:szCs w:val="20"/>
              </w:rPr>
              <w:t>评价</w:t>
            </w:r>
          </w:p>
          <w:p w14:paraId="3052CDC7">
            <w:pPr>
              <w:pStyle w:val="6"/>
              <w:spacing w:before="26" w:line="251" w:lineRule="auto"/>
              <w:ind w:left="278" w:right="179" w:hanging="99"/>
              <w:rPr>
                <w:sz w:val="20"/>
                <w:szCs w:val="20"/>
              </w:rPr>
            </w:pPr>
            <w:r>
              <w:rPr>
                <w:spacing w:val="4"/>
                <w:sz w:val="20"/>
                <w:szCs w:val="20"/>
              </w:rPr>
              <w:t>区面</w:t>
            </w:r>
            <w:r>
              <w:rPr>
                <w:sz w:val="20"/>
                <w:szCs w:val="20"/>
              </w:rPr>
              <w:t xml:space="preserve"> 积</w:t>
            </w:r>
          </w:p>
        </w:tc>
        <w:tc>
          <w:tcPr>
            <w:tcW w:w="3282" w:type="dxa"/>
            <w:gridSpan w:val="4"/>
            <w:vAlign w:val="top"/>
          </w:tcPr>
          <w:p w14:paraId="1746C935">
            <w:pPr>
              <w:pStyle w:val="6"/>
              <w:spacing w:before="203" w:line="220" w:lineRule="auto"/>
              <w:ind w:left="1231"/>
              <w:rPr>
                <w:sz w:val="20"/>
                <w:szCs w:val="20"/>
              </w:rPr>
            </w:pPr>
            <w:r>
              <w:rPr>
                <w:spacing w:val="3"/>
                <w:sz w:val="20"/>
                <w:szCs w:val="20"/>
              </w:rPr>
              <w:t>占用面积</w:t>
            </w:r>
          </w:p>
        </w:tc>
        <w:tc>
          <w:tcPr>
            <w:tcW w:w="2605" w:type="dxa"/>
            <w:gridSpan w:val="4"/>
            <w:vAlign w:val="top"/>
          </w:tcPr>
          <w:p w14:paraId="34BFE560">
            <w:pPr>
              <w:pStyle w:val="6"/>
              <w:spacing w:before="61" w:line="218" w:lineRule="auto"/>
              <w:ind w:left="799"/>
              <w:rPr>
                <w:sz w:val="20"/>
                <w:szCs w:val="20"/>
              </w:rPr>
            </w:pPr>
            <w:r>
              <w:rPr>
                <w:spacing w:val="5"/>
                <w:sz w:val="20"/>
                <w:szCs w:val="20"/>
              </w:rPr>
              <w:t>占评价区内</w:t>
            </w:r>
          </w:p>
          <w:p w14:paraId="54E522C0">
            <w:pPr>
              <w:pStyle w:val="6"/>
              <w:spacing w:before="15" w:line="219" w:lineRule="auto"/>
              <w:ind w:left="449"/>
              <w:rPr>
                <w:sz w:val="20"/>
                <w:szCs w:val="20"/>
              </w:rPr>
            </w:pPr>
            <w:r>
              <w:rPr>
                <w:spacing w:val="4"/>
                <w:sz w:val="20"/>
                <w:szCs w:val="20"/>
              </w:rPr>
              <w:t>同类型面积比例(%)</w:t>
            </w:r>
          </w:p>
        </w:tc>
        <w:tc>
          <w:tcPr>
            <w:tcW w:w="289" w:type="dxa"/>
            <w:vMerge w:val="restart"/>
            <w:tcBorders>
              <w:top w:val="nil"/>
              <w:bottom w:val="nil"/>
              <w:right w:val="single" w:color="000000" w:sz="8" w:space="0"/>
            </w:tcBorders>
            <w:vAlign w:val="top"/>
          </w:tcPr>
          <w:p w14:paraId="66022BB4">
            <w:pPr>
              <w:rPr>
                <w:rFonts w:ascii="Arial"/>
                <w:sz w:val="21"/>
              </w:rPr>
            </w:pPr>
          </w:p>
        </w:tc>
      </w:tr>
      <w:tr w14:paraId="66724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913" w:type="dxa"/>
            <w:vMerge w:val="continue"/>
            <w:tcBorders>
              <w:top w:val="nil"/>
              <w:left w:val="single" w:color="000000" w:sz="8" w:space="0"/>
              <w:bottom w:val="nil"/>
            </w:tcBorders>
            <w:vAlign w:val="top"/>
          </w:tcPr>
          <w:p w14:paraId="4FA2EBB3">
            <w:pPr>
              <w:rPr>
                <w:rFonts w:ascii="Arial"/>
                <w:sz w:val="21"/>
              </w:rPr>
            </w:pPr>
          </w:p>
        </w:tc>
        <w:tc>
          <w:tcPr>
            <w:tcW w:w="145" w:type="dxa"/>
            <w:tcBorders>
              <w:top w:val="nil"/>
              <w:bottom w:val="nil"/>
            </w:tcBorders>
            <w:vAlign w:val="top"/>
          </w:tcPr>
          <w:p w14:paraId="0C57F369">
            <w:pPr>
              <w:rPr>
                <w:rFonts w:ascii="Arial"/>
                <w:sz w:val="21"/>
              </w:rPr>
            </w:pPr>
          </w:p>
        </w:tc>
        <w:tc>
          <w:tcPr>
            <w:tcW w:w="1407" w:type="dxa"/>
            <w:vMerge w:val="continue"/>
            <w:tcBorders>
              <w:top w:val="nil"/>
            </w:tcBorders>
            <w:vAlign w:val="top"/>
          </w:tcPr>
          <w:p w14:paraId="4299E857">
            <w:pPr>
              <w:rPr>
                <w:rFonts w:ascii="Arial"/>
                <w:sz w:val="21"/>
              </w:rPr>
            </w:pPr>
          </w:p>
        </w:tc>
        <w:tc>
          <w:tcPr>
            <w:tcW w:w="778" w:type="dxa"/>
            <w:vMerge w:val="continue"/>
            <w:tcBorders>
              <w:top w:val="nil"/>
            </w:tcBorders>
            <w:vAlign w:val="top"/>
          </w:tcPr>
          <w:p w14:paraId="1D5EA6AA">
            <w:pPr>
              <w:rPr>
                <w:rFonts w:ascii="Arial"/>
                <w:sz w:val="21"/>
              </w:rPr>
            </w:pPr>
          </w:p>
        </w:tc>
        <w:tc>
          <w:tcPr>
            <w:tcW w:w="658" w:type="dxa"/>
            <w:vAlign w:val="top"/>
          </w:tcPr>
          <w:p w14:paraId="5398E563">
            <w:pPr>
              <w:spacing w:line="261" w:lineRule="auto"/>
              <w:rPr>
                <w:rFonts w:ascii="Arial"/>
                <w:sz w:val="21"/>
              </w:rPr>
            </w:pPr>
          </w:p>
          <w:p w14:paraId="5DD316DF">
            <w:pPr>
              <w:pStyle w:val="6"/>
              <w:spacing w:before="65" w:line="221" w:lineRule="auto"/>
              <w:ind w:left="121"/>
              <w:rPr>
                <w:sz w:val="20"/>
                <w:szCs w:val="20"/>
              </w:rPr>
            </w:pPr>
            <w:r>
              <w:rPr>
                <w:spacing w:val="-3"/>
                <w:sz w:val="20"/>
                <w:szCs w:val="20"/>
              </w:rPr>
              <w:t>合计</w:t>
            </w:r>
          </w:p>
        </w:tc>
        <w:tc>
          <w:tcPr>
            <w:tcW w:w="778" w:type="dxa"/>
            <w:vAlign w:val="top"/>
          </w:tcPr>
          <w:p w14:paraId="5FF5D3C1">
            <w:pPr>
              <w:spacing w:line="261" w:lineRule="auto"/>
              <w:rPr>
                <w:rFonts w:ascii="Arial"/>
                <w:sz w:val="21"/>
              </w:rPr>
            </w:pPr>
          </w:p>
          <w:p w14:paraId="5696F135">
            <w:pPr>
              <w:pStyle w:val="6"/>
              <w:spacing w:before="65" w:line="221" w:lineRule="auto"/>
              <w:ind w:left="183"/>
              <w:rPr>
                <w:sz w:val="20"/>
                <w:szCs w:val="20"/>
              </w:rPr>
            </w:pPr>
            <w:r>
              <w:rPr>
                <w:spacing w:val="5"/>
                <w:sz w:val="20"/>
                <w:szCs w:val="20"/>
              </w:rPr>
              <w:t>永久</w:t>
            </w:r>
          </w:p>
        </w:tc>
        <w:tc>
          <w:tcPr>
            <w:tcW w:w="1128" w:type="dxa"/>
            <w:vAlign w:val="top"/>
          </w:tcPr>
          <w:p w14:paraId="6C302526">
            <w:pPr>
              <w:pStyle w:val="6"/>
              <w:spacing w:before="175" w:line="219" w:lineRule="auto"/>
              <w:ind w:left="155"/>
              <w:rPr>
                <w:sz w:val="20"/>
                <w:szCs w:val="20"/>
              </w:rPr>
            </w:pPr>
            <w:r>
              <w:rPr>
                <w:spacing w:val="-2"/>
                <w:sz w:val="20"/>
                <w:szCs w:val="20"/>
              </w:rPr>
              <w:t>光伏板遮</w:t>
            </w:r>
          </w:p>
          <w:p w14:paraId="5548E152">
            <w:pPr>
              <w:pStyle w:val="6"/>
              <w:spacing w:before="44" w:line="219" w:lineRule="auto"/>
              <w:ind w:left="456"/>
              <w:rPr>
                <w:sz w:val="20"/>
                <w:szCs w:val="20"/>
              </w:rPr>
            </w:pPr>
            <w:r>
              <w:rPr>
                <w:sz w:val="20"/>
                <w:szCs w:val="20"/>
              </w:rPr>
              <w:t>蔽</w:t>
            </w:r>
          </w:p>
        </w:tc>
        <w:tc>
          <w:tcPr>
            <w:tcW w:w="718" w:type="dxa"/>
            <w:vAlign w:val="top"/>
          </w:tcPr>
          <w:p w14:paraId="314BF85D">
            <w:pPr>
              <w:spacing w:line="260" w:lineRule="auto"/>
              <w:rPr>
                <w:rFonts w:ascii="Arial"/>
                <w:sz w:val="21"/>
              </w:rPr>
            </w:pPr>
          </w:p>
          <w:p w14:paraId="0E7E31AC">
            <w:pPr>
              <w:pStyle w:val="6"/>
              <w:spacing w:before="65" w:line="219" w:lineRule="auto"/>
              <w:ind w:left="157"/>
              <w:rPr>
                <w:sz w:val="20"/>
                <w:szCs w:val="20"/>
              </w:rPr>
            </w:pPr>
            <w:r>
              <w:rPr>
                <w:spacing w:val="5"/>
                <w:sz w:val="20"/>
                <w:szCs w:val="20"/>
              </w:rPr>
              <w:t>临时</w:t>
            </w:r>
          </w:p>
        </w:tc>
        <w:tc>
          <w:tcPr>
            <w:tcW w:w="599" w:type="dxa"/>
            <w:textDirection w:val="tbRlV"/>
            <w:vAlign w:val="top"/>
          </w:tcPr>
          <w:p w14:paraId="062F44AB">
            <w:pPr>
              <w:pStyle w:val="6"/>
              <w:spacing w:before="197" w:line="202" w:lineRule="auto"/>
              <w:ind w:left="148"/>
              <w:rPr>
                <w:sz w:val="20"/>
                <w:szCs w:val="20"/>
              </w:rPr>
            </w:pPr>
            <w:r>
              <w:rPr>
                <w:sz w:val="20"/>
                <w:szCs w:val="20"/>
              </w:rPr>
              <w:t>合</w:t>
            </w:r>
            <w:r>
              <w:rPr>
                <w:spacing w:val="35"/>
                <w:sz w:val="20"/>
                <w:szCs w:val="20"/>
              </w:rPr>
              <w:t xml:space="preserve"> </w:t>
            </w:r>
            <w:r>
              <w:rPr>
                <w:sz w:val="20"/>
                <w:szCs w:val="20"/>
              </w:rPr>
              <w:t>计</w:t>
            </w:r>
          </w:p>
        </w:tc>
        <w:tc>
          <w:tcPr>
            <w:tcW w:w="569" w:type="dxa"/>
            <w:textDirection w:val="tbRlV"/>
            <w:vAlign w:val="top"/>
          </w:tcPr>
          <w:p w14:paraId="3D6B9612">
            <w:pPr>
              <w:pStyle w:val="6"/>
              <w:spacing w:before="188" w:line="198" w:lineRule="auto"/>
              <w:ind w:left="138"/>
              <w:rPr>
                <w:sz w:val="20"/>
                <w:szCs w:val="20"/>
              </w:rPr>
            </w:pPr>
            <w:r>
              <w:rPr>
                <w:sz w:val="20"/>
                <w:szCs w:val="20"/>
              </w:rPr>
              <w:t>永</w:t>
            </w:r>
            <w:r>
              <w:rPr>
                <w:spacing w:val="56"/>
                <w:sz w:val="20"/>
                <w:szCs w:val="20"/>
              </w:rPr>
              <w:t xml:space="preserve"> </w:t>
            </w:r>
            <w:r>
              <w:rPr>
                <w:sz w:val="20"/>
                <w:szCs w:val="20"/>
              </w:rPr>
              <w:t>久</w:t>
            </w:r>
          </w:p>
        </w:tc>
        <w:tc>
          <w:tcPr>
            <w:tcW w:w="649" w:type="dxa"/>
            <w:vAlign w:val="top"/>
          </w:tcPr>
          <w:p w14:paraId="5533958E">
            <w:pPr>
              <w:pStyle w:val="6"/>
              <w:spacing w:before="46" w:line="219" w:lineRule="auto"/>
              <w:ind w:left="121"/>
              <w:rPr>
                <w:sz w:val="20"/>
                <w:szCs w:val="20"/>
              </w:rPr>
            </w:pPr>
            <w:r>
              <w:rPr>
                <w:spacing w:val="-3"/>
                <w:sz w:val="20"/>
                <w:szCs w:val="20"/>
              </w:rPr>
              <w:t>光伏</w:t>
            </w:r>
          </w:p>
          <w:p w14:paraId="04FD03EA">
            <w:pPr>
              <w:pStyle w:val="6"/>
              <w:spacing w:before="23" w:line="238" w:lineRule="auto"/>
              <w:ind w:left="220" w:right="125" w:hanging="99"/>
              <w:rPr>
                <w:sz w:val="20"/>
                <w:szCs w:val="20"/>
              </w:rPr>
            </w:pPr>
            <w:r>
              <w:rPr>
                <w:spacing w:val="-5"/>
                <w:sz w:val="20"/>
                <w:szCs w:val="20"/>
              </w:rPr>
              <w:t>板遮</w:t>
            </w:r>
            <w:r>
              <w:rPr>
                <w:sz w:val="20"/>
                <w:szCs w:val="20"/>
              </w:rPr>
              <w:t xml:space="preserve"> 蔽</w:t>
            </w:r>
          </w:p>
        </w:tc>
        <w:tc>
          <w:tcPr>
            <w:tcW w:w="788" w:type="dxa"/>
            <w:vAlign w:val="top"/>
          </w:tcPr>
          <w:p w14:paraId="25134596">
            <w:pPr>
              <w:spacing w:line="260" w:lineRule="auto"/>
              <w:rPr>
                <w:rFonts w:ascii="Arial"/>
                <w:sz w:val="21"/>
              </w:rPr>
            </w:pPr>
          </w:p>
          <w:p w14:paraId="1EF57BE2">
            <w:pPr>
              <w:pStyle w:val="6"/>
              <w:spacing w:before="65" w:line="219" w:lineRule="auto"/>
              <w:ind w:left="192"/>
              <w:rPr>
                <w:sz w:val="20"/>
                <w:szCs w:val="20"/>
              </w:rPr>
            </w:pPr>
            <w:r>
              <w:rPr>
                <w:spacing w:val="5"/>
                <w:sz w:val="20"/>
                <w:szCs w:val="20"/>
              </w:rPr>
              <w:t>临时</w:t>
            </w:r>
          </w:p>
        </w:tc>
        <w:tc>
          <w:tcPr>
            <w:tcW w:w="289" w:type="dxa"/>
            <w:vMerge w:val="continue"/>
            <w:tcBorders>
              <w:top w:val="nil"/>
              <w:bottom w:val="nil"/>
              <w:right w:val="single" w:color="000000" w:sz="8" w:space="0"/>
            </w:tcBorders>
            <w:vAlign w:val="top"/>
          </w:tcPr>
          <w:p w14:paraId="0BF1D5C0">
            <w:pPr>
              <w:rPr>
                <w:rFonts w:ascii="Arial"/>
                <w:sz w:val="21"/>
              </w:rPr>
            </w:pPr>
          </w:p>
        </w:tc>
      </w:tr>
      <w:tr w14:paraId="6D79B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913" w:type="dxa"/>
            <w:vMerge w:val="continue"/>
            <w:tcBorders>
              <w:top w:val="nil"/>
              <w:left w:val="single" w:color="000000" w:sz="8" w:space="0"/>
              <w:bottom w:val="nil"/>
            </w:tcBorders>
            <w:vAlign w:val="top"/>
          </w:tcPr>
          <w:p w14:paraId="61F7CBA6">
            <w:pPr>
              <w:rPr>
                <w:rFonts w:ascii="Arial"/>
                <w:sz w:val="21"/>
              </w:rPr>
            </w:pPr>
          </w:p>
        </w:tc>
        <w:tc>
          <w:tcPr>
            <w:tcW w:w="145" w:type="dxa"/>
            <w:tcBorders>
              <w:top w:val="nil"/>
              <w:bottom w:val="nil"/>
            </w:tcBorders>
            <w:vAlign w:val="top"/>
          </w:tcPr>
          <w:p w14:paraId="253A28F8">
            <w:pPr>
              <w:rPr>
                <w:rFonts w:ascii="Arial"/>
                <w:sz w:val="21"/>
              </w:rPr>
            </w:pPr>
          </w:p>
        </w:tc>
        <w:tc>
          <w:tcPr>
            <w:tcW w:w="1407" w:type="dxa"/>
            <w:vAlign w:val="top"/>
          </w:tcPr>
          <w:p w14:paraId="17754C58">
            <w:pPr>
              <w:pStyle w:val="6"/>
              <w:spacing w:before="65" w:line="219" w:lineRule="auto"/>
              <w:ind w:left="186"/>
              <w:rPr>
                <w:sz w:val="20"/>
                <w:szCs w:val="20"/>
              </w:rPr>
            </w:pPr>
            <w:r>
              <w:rPr>
                <w:spacing w:val="2"/>
                <w:sz w:val="20"/>
                <w:szCs w:val="20"/>
              </w:rPr>
              <w:t>暖温性针叶</w:t>
            </w:r>
          </w:p>
          <w:p w14:paraId="2985D5BC">
            <w:pPr>
              <w:pStyle w:val="6"/>
              <w:spacing w:before="22" w:line="216" w:lineRule="auto"/>
              <w:ind w:left="586"/>
              <w:rPr>
                <w:sz w:val="20"/>
                <w:szCs w:val="20"/>
              </w:rPr>
            </w:pPr>
            <w:r>
              <w:rPr>
                <w:sz w:val="20"/>
                <w:szCs w:val="20"/>
              </w:rPr>
              <w:t>林</w:t>
            </w:r>
          </w:p>
        </w:tc>
        <w:tc>
          <w:tcPr>
            <w:tcW w:w="778" w:type="dxa"/>
            <w:vAlign w:val="top"/>
          </w:tcPr>
          <w:p w14:paraId="67CFEB9F">
            <w:pPr>
              <w:pStyle w:val="6"/>
              <w:spacing w:before="215" w:line="239" w:lineRule="auto"/>
              <w:ind w:left="129"/>
              <w:rPr>
                <w:sz w:val="20"/>
                <w:szCs w:val="20"/>
              </w:rPr>
            </w:pPr>
            <w:r>
              <w:rPr>
                <w:spacing w:val="-4"/>
                <w:sz w:val="20"/>
                <w:szCs w:val="20"/>
              </w:rPr>
              <w:t>16.22</w:t>
            </w:r>
          </w:p>
        </w:tc>
        <w:tc>
          <w:tcPr>
            <w:tcW w:w="658" w:type="dxa"/>
            <w:vAlign w:val="top"/>
          </w:tcPr>
          <w:p w14:paraId="3AE6F0B2">
            <w:pPr>
              <w:pStyle w:val="6"/>
              <w:spacing w:before="214"/>
              <w:ind w:left="271"/>
              <w:rPr>
                <w:sz w:val="20"/>
                <w:szCs w:val="20"/>
              </w:rPr>
            </w:pPr>
            <w:r>
              <w:rPr>
                <w:sz w:val="20"/>
                <w:szCs w:val="20"/>
              </w:rPr>
              <w:t>0</w:t>
            </w:r>
          </w:p>
        </w:tc>
        <w:tc>
          <w:tcPr>
            <w:tcW w:w="778" w:type="dxa"/>
            <w:vAlign w:val="top"/>
          </w:tcPr>
          <w:p w14:paraId="3CF30040">
            <w:pPr>
              <w:pStyle w:val="6"/>
              <w:spacing w:before="214"/>
              <w:ind w:left="333"/>
              <w:rPr>
                <w:sz w:val="20"/>
                <w:szCs w:val="20"/>
              </w:rPr>
            </w:pPr>
            <w:r>
              <w:rPr>
                <w:sz w:val="20"/>
                <w:szCs w:val="20"/>
              </w:rPr>
              <w:t>0</w:t>
            </w:r>
          </w:p>
        </w:tc>
        <w:tc>
          <w:tcPr>
            <w:tcW w:w="1128" w:type="dxa"/>
            <w:vAlign w:val="top"/>
          </w:tcPr>
          <w:p w14:paraId="4166FE96">
            <w:pPr>
              <w:pStyle w:val="6"/>
              <w:spacing w:before="214"/>
              <w:ind w:left="505"/>
              <w:rPr>
                <w:sz w:val="20"/>
                <w:szCs w:val="20"/>
              </w:rPr>
            </w:pPr>
            <w:r>
              <w:rPr>
                <w:sz w:val="20"/>
                <w:szCs w:val="20"/>
              </w:rPr>
              <w:t>0</w:t>
            </w:r>
          </w:p>
        </w:tc>
        <w:tc>
          <w:tcPr>
            <w:tcW w:w="718" w:type="dxa"/>
            <w:vAlign w:val="top"/>
          </w:tcPr>
          <w:p w14:paraId="43400426">
            <w:pPr>
              <w:pStyle w:val="6"/>
              <w:spacing w:before="214"/>
              <w:ind w:left="307"/>
              <w:rPr>
                <w:sz w:val="20"/>
                <w:szCs w:val="20"/>
              </w:rPr>
            </w:pPr>
            <w:r>
              <w:rPr>
                <w:sz w:val="20"/>
                <w:szCs w:val="20"/>
              </w:rPr>
              <w:t>0</w:t>
            </w:r>
          </w:p>
        </w:tc>
        <w:tc>
          <w:tcPr>
            <w:tcW w:w="599" w:type="dxa"/>
            <w:vAlign w:val="top"/>
          </w:tcPr>
          <w:p w14:paraId="7BBC8F5F">
            <w:pPr>
              <w:pStyle w:val="6"/>
              <w:spacing w:before="214"/>
              <w:ind w:left="249"/>
              <w:rPr>
                <w:sz w:val="20"/>
                <w:szCs w:val="20"/>
              </w:rPr>
            </w:pPr>
            <w:r>
              <w:rPr>
                <w:sz w:val="20"/>
                <w:szCs w:val="20"/>
              </w:rPr>
              <w:t>0</w:t>
            </w:r>
          </w:p>
        </w:tc>
        <w:tc>
          <w:tcPr>
            <w:tcW w:w="569" w:type="dxa"/>
            <w:vAlign w:val="top"/>
          </w:tcPr>
          <w:p w14:paraId="316DAF87">
            <w:pPr>
              <w:pStyle w:val="6"/>
              <w:spacing w:before="214"/>
              <w:ind w:left="230"/>
              <w:rPr>
                <w:sz w:val="20"/>
                <w:szCs w:val="20"/>
              </w:rPr>
            </w:pPr>
            <w:r>
              <w:rPr>
                <w:sz w:val="20"/>
                <w:szCs w:val="20"/>
              </w:rPr>
              <w:t>0</w:t>
            </w:r>
          </w:p>
        </w:tc>
        <w:tc>
          <w:tcPr>
            <w:tcW w:w="649" w:type="dxa"/>
            <w:vAlign w:val="top"/>
          </w:tcPr>
          <w:p w14:paraId="120A9723">
            <w:pPr>
              <w:pStyle w:val="6"/>
              <w:spacing w:before="214"/>
              <w:ind w:left="271"/>
              <w:rPr>
                <w:sz w:val="20"/>
                <w:szCs w:val="20"/>
              </w:rPr>
            </w:pPr>
            <w:r>
              <w:rPr>
                <w:sz w:val="20"/>
                <w:szCs w:val="20"/>
              </w:rPr>
              <w:t>0</w:t>
            </w:r>
          </w:p>
        </w:tc>
        <w:tc>
          <w:tcPr>
            <w:tcW w:w="788" w:type="dxa"/>
            <w:vAlign w:val="top"/>
          </w:tcPr>
          <w:p w14:paraId="5D7788FB">
            <w:pPr>
              <w:pStyle w:val="6"/>
              <w:spacing w:before="214"/>
              <w:ind w:left="342"/>
              <w:rPr>
                <w:sz w:val="20"/>
                <w:szCs w:val="20"/>
              </w:rPr>
            </w:pPr>
            <w:r>
              <w:rPr>
                <w:sz w:val="20"/>
                <w:szCs w:val="20"/>
              </w:rPr>
              <w:t>0</w:t>
            </w:r>
          </w:p>
        </w:tc>
        <w:tc>
          <w:tcPr>
            <w:tcW w:w="289" w:type="dxa"/>
            <w:vMerge w:val="continue"/>
            <w:tcBorders>
              <w:top w:val="nil"/>
              <w:bottom w:val="nil"/>
              <w:right w:val="single" w:color="000000" w:sz="8" w:space="0"/>
            </w:tcBorders>
            <w:vAlign w:val="top"/>
          </w:tcPr>
          <w:p w14:paraId="220D62D0">
            <w:pPr>
              <w:rPr>
                <w:rFonts w:ascii="Arial"/>
                <w:sz w:val="21"/>
              </w:rPr>
            </w:pPr>
          </w:p>
        </w:tc>
      </w:tr>
      <w:tr w14:paraId="3F7F9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13" w:type="dxa"/>
            <w:vMerge w:val="continue"/>
            <w:tcBorders>
              <w:top w:val="nil"/>
              <w:left w:val="single" w:color="000000" w:sz="8" w:space="0"/>
              <w:bottom w:val="nil"/>
            </w:tcBorders>
            <w:vAlign w:val="top"/>
          </w:tcPr>
          <w:p w14:paraId="72BD35DD">
            <w:pPr>
              <w:rPr>
                <w:rFonts w:ascii="Arial"/>
                <w:sz w:val="21"/>
              </w:rPr>
            </w:pPr>
          </w:p>
        </w:tc>
        <w:tc>
          <w:tcPr>
            <w:tcW w:w="145" w:type="dxa"/>
            <w:tcBorders>
              <w:top w:val="nil"/>
              <w:bottom w:val="nil"/>
            </w:tcBorders>
            <w:vAlign w:val="top"/>
          </w:tcPr>
          <w:p w14:paraId="707AFDDA">
            <w:pPr>
              <w:rPr>
                <w:rFonts w:ascii="Arial"/>
                <w:sz w:val="21"/>
              </w:rPr>
            </w:pPr>
          </w:p>
        </w:tc>
        <w:tc>
          <w:tcPr>
            <w:tcW w:w="1407" w:type="dxa"/>
            <w:vAlign w:val="top"/>
          </w:tcPr>
          <w:p w14:paraId="22928AA4">
            <w:pPr>
              <w:pStyle w:val="6"/>
              <w:spacing w:before="176" w:line="219" w:lineRule="auto"/>
              <w:ind w:left="186"/>
              <w:rPr>
                <w:sz w:val="20"/>
                <w:szCs w:val="20"/>
              </w:rPr>
            </w:pPr>
            <w:r>
              <w:rPr>
                <w:spacing w:val="-2"/>
                <w:sz w:val="20"/>
                <w:szCs w:val="20"/>
              </w:rPr>
              <w:t>石灰岩灌丛</w:t>
            </w:r>
          </w:p>
        </w:tc>
        <w:tc>
          <w:tcPr>
            <w:tcW w:w="778" w:type="dxa"/>
            <w:vAlign w:val="top"/>
          </w:tcPr>
          <w:p w14:paraId="550C2ED1">
            <w:pPr>
              <w:pStyle w:val="6"/>
              <w:spacing w:before="95" w:line="222" w:lineRule="auto"/>
              <w:ind w:left="129"/>
              <w:rPr>
                <w:sz w:val="20"/>
                <w:szCs w:val="20"/>
              </w:rPr>
            </w:pPr>
            <w:r>
              <w:rPr>
                <w:spacing w:val="-4"/>
                <w:sz w:val="20"/>
                <w:szCs w:val="20"/>
              </w:rPr>
              <w:t>119.3</w:t>
            </w:r>
          </w:p>
          <w:p w14:paraId="27EB0CDE">
            <w:pPr>
              <w:pStyle w:val="6"/>
              <w:spacing w:line="168" w:lineRule="auto"/>
              <w:ind w:left="279"/>
              <w:rPr>
                <w:sz w:val="20"/>
                <w:szCs w:val="20"/>
              </w:rPr>
            </w:pPr>
            <w:r>
              <w:rPr>
                <w:spacing w:val="-3"/>
                <w:sz w:val="20"/>
                <w:szCs w:val="20"/>
              </w:rPr>
              <w:t>58</w:t>
            </w:r>
          </w:p>
        </w:tc>
        <w:tc>
          <w:tcPr>
            <w:tcW w:w="658" w:type="dxa"/>
            <w:vAlign w:val="top"/>
          </w:tcPr>
          <w:p w14:paraId="5E32EE96">
            <w:pPr>
              <w:pStyle w:val="6"/>
              <w:spacing w:before="96" w:line="231" w:lineRule="auto"/>
              <w:ind w:left="121"/>
              <w:rPr>
                <w:sz w:val="20"/>
                <w:szCs w:val="20"/>
              </w:rPr>
            </w:pPr>
            <w:r>
              <w:rPr>
                <w:spacing w:val="-2"/>
                <w:sz w:val="20"/>
                <w:szCs w:val="20"/>
              </w:rPr>
              <w:t>0.53</w:t>
            </w:r>
          </w:p>
          <w:p w14:paraId="5A9145F9">
            <w:pPr>
              <w:pStyle w:val="6"/>
              <w:spacing w:line="159" w:lineRule="auto"/>
              <w:ind w:left="221"/>
              <w:rPr>
                <w:sz w:val="20"/>
                <w:szCs w:val="20"/>
              </w:rPr>
            </w:pPr>
            <w:r>
              <w:rPr>
                <w:spacing w:val="-3"/>
                <w:sz w:val="20"/>
                <w:szCs w:val="20"/>
              </w:rPr>
              <w:t>53</w:t>
            </w:r>
          </w:p>
        </w:tc>
        <w:tc>
          <w:tcPr>
            <w:tcW w:w="778" w:type="dxa"/>
            <w:vAlign w:val="top"/>
          </w:tcPr>
          <w:p w14:paraId="31168B91">
            <w:pPr>
              <w:pStyle w:val="6"/>
              <w:spacing w:before="116" w:line="194" w:lineRule="auto"/>
              <w:ind w:left="133"/>
              <w:rPr>
                <w:sz w:val="20"/>
                <w:szCs w:val="20"/>
              </w:rPr>
            </w:pPr>
            <w:r>
              <w:rPr>
                <w:spacing w:val="-2"/>
                <w:sz w:val="20"/>
                <w:szCs w:val="20"/>
              </w:rPr>
              <w:t>0.019</w:t>
            </w:r>
          </w:p>
          <w:p w14:paraId="14D3A8F0">
            <w:pPr>
              <w:pStyle w:val="6"/>
              <w:spacing w:before="1" w:line="177" w:lineRule="auto"/>
              <w:ind w:left="333"/>
              <w:rPr>
                <w:sz w:val="20"/>
                <w:szCs w:val="20"/>
              </w:rPr>
            </w:pPr>
            <w:r>
              <w:rPr>
                <w:sz w:val="20"/>
                <w:szCs w:val="20"/>
              </w:rPr>
              <w:t>9</w:t>
            </w:r>
          </w:p>
        </w:tc>
        <w:tc>
          <w:tcPr>
            <w:tcW w:w="1128" w:type="dxa"/>
            <w:vAlign w:val="top"/>
          </w:tcPr>
          <w:p w14:paraId="7188A42E">
            <w:pPr>
              <w:pStyle w:val="6"/>
              <w:spacing w:before="195"/>
              <w:ind w:left="505"/>
              <w:rPr>
                <w:sz w:val="20"/>
                <w:szCs w:val="20"/>
              </w:rPr>
            </w:pPr>
            <w:r>
              <w:rPr>
                <w:sz w:val="20"/>
                <w:szCs w:val="20"/>
              </w:rPr>
              <w:t>0</w:t>
            </w:r>
          </w:p>
        </w:tc>
        <w:tc>
          <w:tcPr>
            <w:tcW w:w="718" w:type="dxa"/>
            <w:vAlign w:val="top"/>
          </w:tcPr>
          <w:p w14:paraId="27C76BDE">
            <w:pPr>
              <w:pStyle w:val="6"/>
              <w:spacing w:before="106" w:line="212" w:lineRule="auto"/>
              <w:ind w:left="107"/>
              <w:rPr>
                <w:sz w:val="20"/>
                <w:szCs w:val="20"/>
              </w:rPr>
            </w:pPr>
            <w:r>
              <w:rPr>
                <w:spacing w:val="-2"/>
                <w:sz w:val="20"/>
                <w:szCs w:val="20"/>
              </w:rPr>
              <w:t>0.515</w:t>
            </w:r>
          </w:p>
          <w:p w14:paraId="05E0A47E">
            <w:pPr>
              <w:pStyle w:val="6"/>
              <w:spacing w:line="168" w:lineRule="auto"/>
              <w:ind w:left="307"/>
              <w:rPr>
                <w:sz w:val="20"/>
                <w:szCs w:val="20"/>
              </w:rPr>
            </w:pPr>
            <w:r>
              <w:rPr>
                <w:sz w:val="20"/>
                <w:szCs w:val="20"/>
              </w:rPr>
              <w:t>4</w:t>
            </w:r>
          </w:p>
        </w:tc>
        <w:tc>
          <w:tcPr>
            <w:tcW w:w="599" w:type="dxa"/>
            <w:vAlign w:val="top"/>
          </w:tcPr>
          <w:p w14:paraId="6DDFB850">
            <w:pPr>
              <w:pStyle w:val="6"/>
              <w:spacing w:before="105" w:line="222" w:lineRule="auto"/>
              <w:ind w:left="99"/>
              <w:rPr>
                <w:sz w:val="20"/>
                <w:szCs w:val="20"/>
              </w:rPr>
            </w:pPr>
            <w:r>
              <w:rPr>
                <w:spacing w:val="-2"/>
                <w:sz w:val="20"/>
                <w:szCs w:val="20"/>
              </w:rPr>
              <w:t>0.44</w:t>
            </w:r>
          </w:p>
          <w:p w14:paraId="72C78F39">
            <w:pPr>
              <w:pStyle w:val="6"/>
              <w:spacing w:line="159" w:lineRule="auto"/>
              <w:ind w:left="249"/>
              <w:rPr>
                <w:sz w:val="20"/>
                <w:szCs w:val="20"/>
              </w:rPr>
            </w:pPr>
            <w:r>
              <w:rPr>
                <w:sz w:val="20"/>
                <w:szCs w:val="20"/>
              </w:rPr>
              <w:t>8</w:t>
            </w:r>
          </w:p>
        </w:tc>
        <w:tc>
          <w:tcPr>
            <w:tcW w:w="569" w:type="dxa"/>
            <w:vAlign w:val="top"/>
          </w:tcPr>
          <w:p w14:paraId="776A2FAA">
            <w:pPr>
              <w:pStyle w:val="6"/>
              <w:spacing w:before="85" w:line="222" w:lineRule="auto"/>
              <w:ind w:left="130"/>
              <w:rPr>
                <w:sz w:val="20"/>
                <w:szCs w:val="20"/>
              </w:rPr>
            </w:pPr>
            <w:r>
              <w:rPr>
                <w:spacing w:val="-3"/>
                <w:sz w:val="20"/>
                <w:szCs w:val="20"/>
              </w:rPr>
              <w:t>0.0</w:t>
            </w:r>
          </w:p>
          <w:p w14:paraId="072823C8">
            <w:pPr>
              <w:pStyle w:val="6"/>
              <w:spacing w:before="1" w:line="177" w:lineRule="auto"/>
              <w:ind w:left="180"/>
              <w:rPr>
                <w:sz w:val="20"/>
                <w:szCs w:val="20"/>
              </w:rPr>
            </w:pPr>
            <w:r>
              <w:rPr>
                <w:spacing w:val="-6"/>
                <w:sz w:val="20"/>
                <w:szCs w:val="20"/>
              </w:rPr>
              <w:t>17</w:t>
            </w:r>
          </w:p>
        </w:tc>
        <w:tc>
          <w:tcPr>
            <w:tcW w:w="649" w:type="dxa"/>
            <w:vAlign w:val="top"/>
          </w:tcPr>
          <w:p w14:paraId="6FEB46E1">
            <w:pPr>
              <w:pStyle w:val="6"/>
              <w:spacing w:before="195"/>
              <w:ind w:left="271"/>
              <w:rPr>
                <w:sz w:val="20"/>
                <w:szCs w:val="20"/>
              </w:rPr>
            </w:pPr>
            <w:r>
              <w:rPr>
                <w:sz w:val="20"/>
                <w:szCs w:val="20"/>
              </w:rPr>
              <w:t>0</w:t>
            </w:r>
          </w:p>
        </w:tc>
        <w:tc>
          <w:tcPr>
            <w:tcW w:w="788" w:type="dxa"/>
            <w:vAlign w:val="top"/>
          </w:tcPr>
          <w:p w14:paraId="5E081FD3">
            <w:pPr>
              <w:pStyle w:val="6"/>
              <w:spacing w:before="196" w:line="239" w:lineRule="auto"/>
              <w:ind w:left="142"/>
              <w:rPr>
                <w:sz w:val="20"/>
                <w:szCs w:val="20"/>
              </w:rPr>
            </w:pPr>
            <w:r>
              <w:rPr>
                <w:spacing w:val="-2"/>
                <w:sz w:val="20"/>
                <w:szCs w:val="20"/>
              </w:rPr>
              <w:t>0.432</w:t>
            </w:r>
          </w:p>
        </w:tc>
        <w:tc>
          <w:tcPr>
            <w:tcW w:w="289" w:type="dxa"/>
            <w:vMerge w:val="continue"/>
            <w:tcBorders>
              <w:top w:val="nil"/>
              <w:bottom w:val="nil"/>
              <w:right w:val="single" w:color="000000" w:sz="8" w:space="0"/>
            </w:tcBorders>
            <w:vAlign w:val="top"/>
          </w:tcPr>
          <w:p w14:paraId="2106927D">
            <w:pPr>
              <w:rPr>
                <w:rFonts w:ascii="Arial"/>
                <w:sz w:val="21"/>
              </w:rPr>
            </w:pPr>
          </w:p>
        </w:tc>
      </w:tr>
      <w:tr w14:paraId="60D15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913" w:type="dxa"/>
            <w:vMerge w:val="continue"/>
            <w:tcBorders>
              <w:top w:val="nil"/>
              <w:left w:val="single" w:color="000000" w:sz="8" w:space="0"/>
              <w:bottom w:val="nil"/>
            </w:tcBorders>
            <w:vAlign w:val="top"/>
          </w:tcPr>
          <w:p w14:paraId="171976C6">
            <w:pPr>
              <w:rPr>
                <w:rFonts w:ascii="Arial"/>
                <w:sz w:val="21"/>
              </w:rPr>
            </w:pPr>
          </w:p>
        </w:tc>
        <w:tc>
          <w:tcPr>
            <w:tcW w:w="145" w:type="dxa"/>
            <w:tcBorders>
              <w:top w:val="nil"/>
              <w:bottom w:val="nil"/>
            </w:tcBorders>
            <w:vAlign w:val="top"/>
          </w:tcPr>
          <w:p w14:paraId="1AD8AFB6">
            <w:pPr>
              <w:rPr>
                <w:rFonts w:ascii="Arial"/>
                <w:sz w:val="21"/>
              </w:rPr>
            </w:pPr>
          </w:p>
        </w:tc>
        <w:tc>
          <w:tcPr>
            <w:tcW w:w="1407" w:type="dxa"/>
            <w:vAlign w:val="top"/>
          </w:tcPr>
          <w:p w14:paraId="5DB6BE02">
            <w:pPr>
              <w:pStyle w:val="6"/>
              <w:spacing w:before="167" w:line="242" w:lineRule="auto"/>
              <w:ind w:left="286" w:right="202" w:hanging="100"/>
              <w:rPr>
                <w:sz w:val="20"/>
                <w:szCs w:val="20"/>
              </w:rPr>
            </w:pPr>
            <w:r>
              <w:rPr>
                <w:spacing w:val="1"/>
                <w:sz w:val="20"/>
                <w:szCs w:val="20"/>
              </w:rPr>
              <w:t xml:space="preserve">暖温性稀树 </w:t>
            </w:r>
            <w:r>
              <w:rPr>
                <w:spacing w:val="-2"/>
                <w:sz w:val="20"/>
                <w:szCs w:val="20"/>
              </w:rPr>
              <w:t>灌木草丛</w:t>
            </w:r>
          </w:p>
        </w:tc>
        <w:tc>
          <w:tcPr>
            <w:tcW w:w="778" w:type="dxa"/>
            <w:vAlign w:val="top"/>
          </w:tcPr>
          <w:p w14:paraId="6524A6F7">
            <w:pPr>
              <w:pStyle w:val="6"/>
              <w:spacing w:before="197" w:line="239" w:lineRule="auto"/>
              <w:ind w:left="129"/>
              <w:rPr>
                <w:sz w:val="20"/>
                <w:szCs w:val="20"/>
              </w:rPr>
            </w:pPr>
            <w:r>
              <w:rPr>
                <w:spacing w:val="-2"/>
                <w:sz w:val="20"/>
                <w:szCs w:val="20"/>
              </w:rPr>
              <w:t>294.4</w:t>
            </w:r>
          </w:p>
          <w:p w14:paraId="5B27FB50">
            <w:pPr>
              <w:pStyle w:val="6"/>
              <w:spacing w:before="1" w:line="241" w:lineRule="auto"/>
              <w:ind w:left="279"/>
              <w:rPr>
                <w:sz w:val="20"/>
                <w:szCs w:val="20"/>
              </w:rPr>
            </w:pPr>
            <w:r>
              <w:rPr>
                <w:spacing w:val="-2"/>
                <w:sz w:val="20"/>
                <w:szCs w:val="20"/>
              </w:rPr>
              <w:t>42</w:t>
            </w:r>
          </w:p>
        </w:tc>
        <w:tc>
          <w:tcPr>
            <w:tcW w:w="658" w:type="dxa"/>
            <w:vAlign w:val="top"/>
          </w:tcPr>
          <w:p w14:paraId="0B407D2C">
            <w:pPr>
              <w:pStyle w:val="6"/>
              <w:spacing w:before="227" w:line="212" w:lineRule="auto"/>
              <w:ind w:left="121"/>
              <w:rPr>
                <w:sz w:val="20"/>
                <w:szCs w:val="20"/>
              </w:rPr>
            </w:pPr>
            <w:r>
              <w:rPr>
                <w:spacing w:val="-5"/>
                <w:sz w:val="20"/>
                <w:szCs w:val="20"/>
              </w:rPr>
              <w:t>106.</w:t>
            </w:r>
          </w:p>
          <w:p w14:paraId="2DA05140">
            <w:pPr>
              <w:pStyle w:val="6"/>
              <w:spacing w:line="239" w:lineRule="auto"/>
              <w:ind w:left="121"/>
              <w:rPr>
                <w:sz w:val="20"/>
                <w:szCs w:val="20"/>
              </w:rPr>
            </w:pPr>
            <w:r>
              <w:rPr>
                <w:spacing w:val="-3"/>
                <w:sz w:val="20"/>
                <w:szCs w:val="20"/>
              </w:rPr>
              <w:t>5224</w:t>
            </w:r>
          </w:p>
        </w:tc>
        <w:tc>
          <w:tcPr>
            <w:tcW w:w="778" w:type="dxa"/>
            <w:vAlign w:val="top"/>
          </w:tcPr>
          <w:p w14:paraId="6B93FEC1">
            <w:pPr>
              <w:pStyle w:val="6"/>
              <w:spacing w:before="227" w:line="231" w:lineRule="auto"/>
              <w:ind w:left="133"/>
              <w:rPr>
                <w:sz w:val="20"/>
                <w:szCs w:val="20"/>
              </w:rPr>
            </w:pPr>
            <w:r>
              <w:rPr>
                <w:spacing w:val="-2"/>
                <w:sz w:val="20"/>
                <w:szCs w:val="20"/>
              </w:rPr>
              <w:t>0.091</w:t>
            </w:r>
          </w:p>
          <w:p w14:paraId="4BD944E0">
            <w:pPr>
              <w:pStyle w:val="6"/>
              <w:spacing w:before="1"/>
              <w:ind w:left="333"/>
              <w:rPr>
                <w:sz w:val="20"/>
                <w:szCs w:val="20"/>
              </w:rPr>
            </w:pPr>
            <w:r>
              <w:rPr>
                <w:sz w:val="20"/>
                <w:szCs w:val="20"/>
              </w:rPr>
              <w:t>1</w:t>
            </w:r>
          </w:p>
        </w:tc>
        <w:tc>
          <w:tcPr>
            <w:tcW w:w="1128" w:type="dxa"/>
            <w:vAlign w:val="top"/>
          </w:tcPr>
          <w:p w14:paraId="3291C697">
            <w:pPr>
              <w:spacing w:line="250" w:lineRule="auto"/>
              <w:rPr>
                <w:rFonts w:ascii="Arial"/>
                <w:sz w:val="21"/>
              </w:rPr>
            </w:pPr>
          </w:p>
          <w:p w14:paraId="161EAC0C">
            <w:pPr>
              <w:pStyle w:val="6"/>
              <w:spacing w:before="65" w:line="239" w:lineRule="auto"/>
              <w:ind w:left="205"/>
              <w:rPr>
                <w:sz w:val="20"/>
                <w:szCs w:val="20"/>
              </w:rPr>
            </w:pPr>
            <w:r>
              <w:rPr>
                <w:spacing w:val="-2"/>
                <w:sz w:val="20"/>
                <w:szCs w:val="20"/>
              </w:rPr>
              <w:t>92.3029</w:t>
            </w:r>
          </w:p>
        </w:tc>
        <w:tc>
          <w:tcPr>
            <w:tcW w:w="718" w:type="dxa"/>
            <w:vAlign w:val="top"/>
          </w:tcPr>
          <w:p w14:paraId="47FDE8E5">
            <w:pPr>
              <w:pStyle w:val="6"/>
              <w:spacing w:before="227" w:line="212" w:lineRule="auto"/>
              <w:ind w:left="107"/>
              <w:rPr>
                <w:sz w:val="20"/>
                <w:szCs w:val="20"/>
              </w:rPr>
            </w:pPr>
            <w:r>
              <w:rPr>
                <w:spacing w:val="-4"/>
                <w:sz w:val="20"/>
                <w:szCs w:val="20"/>
              </w:rPr>
              <w:t>14.12</w:t>
            </w:r>
          </w:p>
          <w:p w14:paraId="78CD8468">
            <w:pPr>
              <w:pStyle w:val="6"/>
              <w:spacing w:line="239" w:lineRule="auto"/>
              <w:ind w:left="257"/>
              <w:rPr>
                <w:sz w:val="20"/>
                <w:szCs w:val="20"/>
              </w:rPr>
            </w:pPr>
            <w:r>
              <w:rPr>
                <w:spacing w:val="-3"/>
                <w:sz w:val="20"/>
                <w:szCs w:val="20"/>
              </w:rPr>
              <w:t>84</w:t>
            </w:r>
          </w:p>
        </w:tc>
        <w:tc>
          <w:tcPr>
            <w:tcW w:w="599" w:type="dxa"/>
            <w:vAlign w:val="top"/>
          </w:tcPr>
          <w:p w14:paraId="15A04238">
            <w:pPr>
              <w:pStyle w:val="6"/>
              <w:spacing w:before="227" w:line="212" w:lineRule="auto"/>
              <w:ind w:left="99"/>
              <w:rPr>
                <w:sz w:val="20"/>
                <w:szCs w:val="20"/>
              </w:rPr>
            </w:pPr>
            <w:r>
              <w:rPr>
                <w:spacing w:val="-3"/>
                <w:sz w:val="20"/>
                <w:szCs w:val="20"/>
              </w:rPr>
              <w:t>36.1</w:t>
            </w:r>
          </w:p>
          <w:p w14:paraId="521EFFAF">
            <w:pPr>
              <w:pStyle w:val="6"/>
              <w:spacing w:line="239" w:lineRule="auto"/>
              <w:ind w:left="199"/>
              <w:rPr>
                <w:sz w:val="20"/>
                <w:szCs w:val="20"/>
              </w:rPr>
            </w:pPr>
            <w:r>
              <w:rPr>
                <w:spacing w:val="-4"/>
                <w:sz w:val="20"/>
                <w:szCs w:val="20"/>
              </w:rPr>
              <w:t>78</w:t>
            </w:r>
          </w:p>
        </w:tc>
        <w:tc>
          <w:tcPr>
            <w:tcW w:w="569" w:type="dxa"/>
            <w:vAlign w:val="top"/>
          </w:tcPr>
          <w:p w14:paraId="55B11B44">
            <w:pPr>
              <w:pStyle w:val="6"/>
              <w:spacing w:before="227" w:line="212" w:lineRule="auto"/>
              <w:ind w:left="130"/>
              <w:rPr>
                <w:sz w:val="20"/>
                <w:szCs w:val="20"/>
              </w:rPr>
            </w:pPr>
            <w:r>
              <w:rPr>
                <w:spacing w:val="-3"/>
                <w:sz w:val="20"/>
                <w:szCs w:val="20"/>
              </w:rPr>
              <w:t>0.0</w:t>
            </w:r>
          </w:p>
          <w:p w14:paraId="62F7B443">
            <w:pPr>
              <w:pStyle w:val="6"/>
              <w:spacing w:line="239" w:lineRule="auto"/>
              <w:ind w:left="180"/>
              <w:rPr>
                <w:sz w:val="20"/>
                <w:szCs w:val="20"/>
              </w:rPr>
            </w:pPr>
            <w:r>
              <w:rPr>
                <w:spacing w:val="-3"/>
                <w:sz w:val="20"/>
                <w:szCs w:val="20"/>
              </w:rPr>
              <w:t>31</w:t>
            </w:r>
          </w:p>
        </w:tc>
        <w:tc>
          <w:tcPr>
            <w:tcW w:w="649" w:type="dxa"/>
            <w:vAlign w:val="top"/>
          </w:tcPr>
          <w:p w14:paraId="05286567">
            <w:pPr>
              <w:pStyle w:val="6"/>
              <w:spacing w:before="216" w:line="222" w:lineRule="auto"/>
              <w:ind w:left="121"/>
              <w:rPr>
                <w:sz w:val="20"/>
                <w:szCs w:val="20"/>
              </w:rPr>
            </w:pPr>
            <w:r>
              <w:rPr>
                <w:spacing w:val="-3"/>
                <w:sz w:val="20"/>
                <w:szCs w:val="20"/>
              </w:rPr>
              <w:t>31.3</w:t>
            </w:r>
          </w:p>
          <w:p w14:paraId="13582A20">
            <w:pPr>
              <w:pStyle w:val="6"/>
              <w:spacing w:line="239" w:lineRule="auto"/>
              <w:ind w:left="221"/>
              <w:rPr>
                <w:sz w:val="20"/>
                <w:szCs w:val="20"/>
              </w:rPr>
            </w:pPr>
            <w:r>
              <w:rPr>
                <w:spacing w:val="-2"/>
                <w:sz w:val="20"/>
                <w:szCs w:val="20"/>
              </w:rPr>
              <w:t>48</w:t>
            </w:r>
          </w:p>
        </w:tc>
        <w:tc>
          <w:tcPr>
            <w:tcW w:w="788" w:type="dxa"/>
            <w:vAlign w:val="top"/>
          </w:tcPr>
          <w:p w14:paraId="56CC1888">
            <w:pPr>
              <w:spacing w:line="250" w:lineRule="auto"/>
              <w:rPr>
                <w:rFonts w:ascii="Arial"/>
                <w:sz w:val="21"/>
              </w:rPr>
            </w:pPr>
          </w:p>
          <w:p w14:paraId="0E70EECD">
            <w:pPr>
              <w:pStyle w:val="6"/>
              <w:spacing w:before="65" w:line="239" w:lineRule="auto"/>
              <w:ind w:left="142"/>
              <w:rPr>
                <w:sz w:val="20"/>
                <w:szCs w:val="20"/>
              </w:rPr>
            </w:pPr>
            <w:r>
              <w:rPr>
                <w:spacing w:val="-2"/>
                <w:sz w:val="20"/>
                <w:szCs w:val="20"/>
              </w:rPr>
              <w:t>4.789</w:t>
            </w:r>
          </w:p>
        </w:tc>
        <w:tc>
          <w:tcPr>
            <w:tcW w:w="289" w:type="dxa"/>
            <w:vMerge w:val="continue"/>
            <w:tcBorders>
              <w:top w:val="nil"/>
              <w:bottom w:val="nil"/>
              <w:right w:val="single" w:color="000000" w:sz="8" w:space="0"/>
            </w:tcBorders>
            <w:vAlign w:val="top"/>
          </w:tcPr>
          <w:p w14:paraId="6229A071">
            <w:pPr>
              <w:rPr>
                <w:rFonts w:ascii="Arial"/>
                <w:sz w:val="21"/>
              </w:rPr>
            </w:pPr>
          </w:p>
        </w:tc>
      </w:tr>
      <w:tr w14:paraId="1722F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913" w:type="dxa"/>
            <w:vMerge w:val="continue"/>
            <w:tcBorders>
              <w:top w:val="nil"/>
              <w:left w:val="single" w:color="000000" w:sz="8" w:space="0"/>
              <w:bottom w:val="nil"/>
            </w:tcBorders>
            <w:vAlign w:val="top"/>
          </w:tcPr>
          <w:p w14:paraId="3E49C86E">
            <w:pPr>
              <w:rPr>
                <w:rFonts w:ascii="Arial"/>
                <w:sz w:val="21"/>
              </w:rPr>
            </w:pPr>
          </w:p>
        </w:tc>
        <w:tc>
          <w:tcPr>
            <w:tcW w:w="145" w:type="dxa"/>
            <w:tcBorders>
              <w:top w:val="nil"/>
              <w:bottom w:val="nil"/>
            </w:tcBorders>
            <w:vAlign w:val="top"/>
          </w:tcPr>
          <w:p w14:paraId="53980824">
            <w:pPr>
              <w:rPr>
                <w:rFonts w:ascii="Arial"/>
                <w:sz w:val="21"/>
              </w:rPr>
            </w:pPr>
          </w:p>
        </w:tc>
        <w:tc>
          <w:tcPr>
            <w:tcW w:w="1407" w:type="dxa"/>
            <w:vAlign w:val="top"/>
          </w:tcPr>
          <w:p w14:paraId="461923AA">
            <w:pPr>
              <w:pStyle w:val="6"/>
              <w:spacing w:before="288" w:line="219" w:lineRule="auto"/>
              <w:ind w:left="386"/>
              <w:rPr>
                <w:sz w:val="20"/>
                <w:szCs w:val="20"/>
              </w:rPr>
            </w:pPr>
            <w:r>
              <w:rPr>
                <w:spacing w:val="-3"/>
                <w:sz w:val="20"/>
                <w:szCs w:val="20"/>
              </w:rPr>
              <w:t>人工林</w:t>
            </w:r>
          </w:p>
        </w:tc>
        <w:tc>
          <w:tcPr>
            <w:tcW w:w="778" w:type="dxa"/>
            <w:vAlign w:val="top"/>
          </w:tcPr>
          <w:p w14:paraId="774A6733">
            <w:pPr>
              <w:pStyle w:val="6"/>
              <w:spacing w:before="208" w:line="231" w:lineRule="auto"/>
              <w:ind w:left="129"/>
              <w:rPr>
                <w:sz w:val="20"/>
                <w:szCs w:val="20"/>
              </w:rPr>
            </w:pPr>
            <w:r>
              <w:rPr>
                <w:spacing w:val="-2"/>
                <w:sz w:val="20"/>
                <w:szCs w:val="20"/>
              </w:rPr>
              <w:t>215.0</w:t>
            </w:r>
          </w:p>
          <w:p w14:paraId="189B8106">
            <w:pPr>
              <w:pStyle w:val="6"/>
              <w:spacing w:line="239" w:lineRule="auto"/>
              <w:ind w:left="279"/>
              <w:rPr>
                <w:sz w:val="20"/>
                <w:szCs w:val="20"/>
              </w:rPr>
            </w:pPr>
            <w:r>
              <w:rPr>
                <w:spacing w:val="-4"/>
                <w:sz w:val="20"/>
                <w:szCs w:val="20"/>
              </w:rPr>
              <w:t>72</w:t>
            </w:r>
          </w:p>
        </w:tc>
        <w:tc>
          <w:tcPr>
            <w:tcW w:w="658" w:type="dxa"/>
            <w:vAlign w:val="top"/>
          </w:tcPr>
          <w:p w14:paraId="77ABF1C1">
            <w:pPr>
              <w:pStyle w:val="6"/>
              <w:spacing w:before="217" w:line="231" w:lineRule="auto"/>
              <w:ind w:left="121"/>
              <w:rPr>
                <w:sz w:val="20"/>
                <w:szCs w:val="20"/>
              </w:rPr>
            </w:pPr>
            <w:r>
              <w:rPr>
                <w:spacing w:val="-2"/>
                <w:sz w:val="20"/>
                <w:szCs w:val="20"/>
              </w:rPr>
              <w:t>0.57</w:t>
            </w:r>
          </w:p>
          <w:p w14:paraId="39537076">
            <w:pPr>
              <w:pStyle w:val="6"/>
              <w:spacing w:line="239" w:lineRule="auto"/>
              <w:ind w:left="221"/>
              <w:rPr>
                <w:sz w:val="20"/>
                <w:szCs w:val="20"/>
              </w:rPr>
            </w:pPr>
            <w:r>
              <w:rPr>
                <w:spacing w:val="-3"/>
                <w:sz w:val="20"/>
                <w:szCs w:val="20"/>
              </w:rPr>
              <w:t>25</w:t>
            </w:r>
          </w:p>
        </w:tc>
        <w:tc>
          <w:tcPr>
            <w:tcW w:w="778" w:type="dxa"/>
            <w:vAlign w:val="top"/>
          </w:tcPr>
          <w:p w14:paraId="73B6FE4D">
            <w:pPr>
              <w:pStyle w:val="6"/>
              <w:spacing w:before="217" w:line="222" w:lineRule="auto"/>
              <w:ind w:left="133"/>
              <w:rPr>
                <w:sz w:val="20"/>
                <w:szCs w:val="20"/>
              </w:rPr>
            </w:pPr>
            <w:r>
              <w:rPr>
                <w:spacing w:val="-2"/>
                <w:sz w:val="20"/>
                <w:szCs w:val="20"/>
              </w:rPr>
              <w:t>0.572</w:t>
            </w:r>
          </w:p>
          <w:p w14:paraId="5C2B261B">
            <w:pPr>
              <w:pStyle w:val="6"/>
              <w:spacing w:line="239" w:lineRule="auto"/>
              <w:ind w:left="333"/>
              <w:rPr>
                <w:sz w:val="20"/>
                <w:szCs w:val="20"/>
              </w:rPr>
            </w:pPr>
            <w:r>
              <w:rPr>
                <w:sz w:val="20"/>
                <w:szCs w:val="20"/>
              </w:rPr>
              <w:t>5</w:t>
            </w:r>
          </w:p>
        </w:tc>
        <w:tc>
          <w:tcPr>
            <w:tcW w:w="1128" w:type="dxa"/>
            <w:vAlign w:val="top"/>
          </w:tcPr>
          <w:p w14:paraId="41863DC7">
            <w:pPr>
              <w:spacing w:line="241" w:lineRule="auto"/>
              <w:rPr>
                <w:rFonts w:ascii="Arial"/>
                <w:sz w:val="21"/>
              </w:rPr>
            </w:pPr>
          </w:p>
          <w:p w14:paraId="07ADFF61">
            <w:pPr>
              <w:pStyle w:val="6"/>
              <w:spacing w:before="65"/>
              <w:ind w:left="505"/>
              <w:rPr>
                <w:sz w:val="20"/>
                <w:szCs w:val="20"/>
              </w:rPr>
            </w:pPr>
            <w:r>
              <w:rPr>
                <w:sz w:val="20"/>
                <w:szCs w:val="20"/>
              </w:rPr>
              <w:t>0</w:t>
            </w:r>
          </w:p>
        </w:tc>
        <w:tc>
          <w:tcPr>
            <w:tcW w:w="718" w:type="dxa"/>
            <w:vAlign w:val="top"/>
          </w:tcPr>
          <w:p w14:paraId="409BF9B6">
            <w:pPr>
              <w:spacing w:line="241" w:lineRule="auto"/>
              <w:rPr>
                <w:rFonts w:ascii="Arial"/>
                <w:sz w:val="21"/>
              </w:rPr>
            </w:pPr>
          </w:p>
          <w:p w14:paraId="3989D71A">
            <w:pPr>
              <w:pStyle w:val="6"/>
              <w:spacing w:before="65"/>
              <w:ind w:left="307"/>
              <w:rPr>
                <w:sz w:val="20"/>
                <w:szCs w:val="20"/>
              </w:rPr>
            </w:pPr>
            <w:r>
              <w:rPr>
                <w:sz w:val="20"/>
                <w:szCs w:val="20"/>
              </w:rPr>
              <w:t>0</w:t>
            </w:r>
          </w:p>
        </w:tc>
        <w:tc>
          <w:tcPr>
            <w:tcW w:w="599" w:type="dxa"/>
            <w:vAlign w:val="top"/>
          </w:tcPr>
          <w:p w14:paraId="10984BBA">
            <w:pPr>
              <w:pStyle w:val="6"/>
              <w:spacing w:before="207" w:line="222" w:lineRule="auto"/>
              <w:ind w:left="99"/>
              <w:rPr>
                <w:sz w:val="20"/>
                <w:szCs w:val="20"/>
              </w:rPr>
            </w:pPr>
            <w:r>
              <w:rPr>
                <w:spacing w:val="-2"/>
                <w:sz w:val="20"/>
                <w:szCs w:val="20"/>
              </w:rPr>
              <w:t>0.26</w:t>
            </w:r>
          </w:p>
          <w:p w14:paraId="1FDA248F">
            <w:pPr>
              <w:pStyle w:val="6"/>
              <w:spacing w:line="239" w:lineRule="auto"/>
              <w:ind w:left="249"/>
              <w:rPr>
                <w:sz w:val="20"/>
                <w:szCs w:val="20"/>
              </w:rPr>
            </w:pPr>
            <w:r>
              <w:rPr>
                <w:sz w:val="20"/>
                <w:szCs w:val="20"/>
              </w:rPr>
              <w:t>6</w:t>
            </w:r>
          </w:p>
        </w:tc>
        <w:tc>
          <w:tcPr>
            <w:tcW w:w="569" w:type="dxa"/>
            <w:vAlign w:val="top"/>
          </w:tcPr>
          <w:p w14:paraId="379BAEE0">
            <w:pPr>
              <w:pStyle w:val="6"/>
              <w:spacing w:before="208" w:line="231" w:lineRule="auto"/>
              <w:ind w:left="130"/>
              <w:rPr>
                <w:sz w:val="20"/>
                <w:szCs w:val="20"/>
              </w:rPr>
            </w:pPr>
            <w:r>
              <w:rPr>
                <w:spacing w:val="-3"/>
                <w:sz w:val="20"/>
                <w:szCs w:val="20"/>
              </w:rPr>
              <w:t>0.2</w:t>
            </w:r>
          </w:p>
          <w:p w14:paraId="0AB41D3B">
            <w:pPr>
              <w:pStyle w:val="6"/>
              <w:spacing w:line="239" w:lineRule="auto"/>
              <w:ind w:left="180"/>
              <w:rPr>
                <w:sz w:val="20"/>
                <w:szCs w:val="20"/>
              </w:rPr>
            </w:pPr>
            <w:r>
              <w:rPr>
                <w:spacing w:val="-3"/>
                <w:sz w:val="20"/>
                <w:szCs w:val="20"/>
              </w:rPr>
              <w:t>66</w:t>
            </w:r>
          </w:p>
        </w:tc>
        <w:tc>
          <w:tcPr>
            <w:tcW w:w="649" w:type="dxa"/>
            <w:vAlign w:val="top"/>
          </w:tcPr>
          <w:p w14:paraId="22D31027">
            <w:pPr>
              <w:spacing w:line="241" w:lineRule="auto"/>
              <w:rPr>
                <w:rFonts w:ascii="Arial"/>
                <w:sz w:val="21"/>
              </w:rPr>
            </w:pPr>
          </w:p>
          <w:p w14:paraId="6826824E">
            <w:pPr>
              <w:pStyle w:val="6"/>
              <w:spacing w:before="65"/>
              <w:ind w:left="271"/>
              <w:rPr>
                <w:sz w:val="20"/>
                <w:szCs w:val="20"/>
              </w:rPr>
            </w:pPr>
            <w:r>
              <w:rPr>
                <w:sz w:val="20"/>
                <w:szCs w:val="20"/>
              </w:rPr>
              <w:t>0</w:t>
            </w:r>
          </w:p>
        </w:tc>
        <w:tc>
          <w:tcPr>
            <w:tcW w:w="788" w:type="dxa"/>
            <w:vAlign w:val="top"/>
          </w:tcPr>
          <w:p w14:paraId="608DFD70">
            <w:pPr>
              <w:spacing w:line="241" w:lineRule="auto"/>
              <w:rPr>
                <w:rFonts w:ascii="Arial"/>
                <w:sz w:val="21"/>
              </w:rPr>
            </w:pPr>
          </w:p>
          <w:p w14:paraId="695F964E">
            <w:pPr>
              <w:pStyle w:val="6"/>
              <w:spacing w:before="65"/>
              <w:ind w:left="342"/>
              <w:rPr>
                <w:sz w:val="20"/>
                <w:szCs w:val="20"/>
              </w:rPr>
            </w:pPr>
            <w:r>
              <w:rPr>
                <w:sz w:val="20"/>
                <w:szCs w:val="20"/>
              </w:rPr>
              <w:t>0</w:t>
            </w:r>
          </w:p>
        </w:tc>
        <w:tc>
          <w:tcPr>
            <w:tcW w:w="289" w:type="dxa"/>
            <w:vMerge w:val="continue"/>
            <w:tcBorders>
              <w:top w:val="nil"/>
              <w:bottom w:val="nil"/>
              <w:right w:val="single" w:color="000000" w:sz="8" w:space="0"/>
            </w:tcBorders>
            <w:vAlign w:val="top"/>
          </w:tcPr>
          <w:p w14:paraId="337AC55E">
            <w:pPr>
              <w:rPr>
                <w:rFonts w:ascii="Arial"/>
                <w:sz w:val="21"/>
              </w:rPr>
            </w:pPr>
          </w:p>
        </w:tc>
      </w:tr>
      <w:tr w14:paraId="15EC3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13" w:type="dxa"/>
            <w:vMerge w:val="continue"/>
            <w:tcBorders>
              <w:top w:val="nil"/>
              <w:left w:val="single" w:color="000000" w:sz="8" w:space="0"/>
              <w:bottom w:val="nil"/>
            </w:tcBorders>
            <w:vAlign w:val="top"/>
          </w:tcPr>
          <w:p w14:paraId="267D6274">
            <w:pPr>
              <w:rPr>
                <w:rFonts w:ascii="Arial"/>
                <w:sz w:val="21"/>
              </w:rPr>
            </w:pPr>
          </w:p>
        </w:tc>
        <w:tc>
          <w:tcPr>
            <w:tcW w:w="145" w:type="dxa"/>
            <w:tcBorders>
              <w:top w:val="nil"/>
              <w:bottom w:val="nil"/>
            </w:tcBorders>
            <w:vAlign w:val="top"/>
          </w:tcPr>
          <w:p w14:paraId="266FB2FD">
            <w:pPr>
              <w:rPr>
                <w:rFonts w:ascii="Arial"/>
                <w:sz w:val="21"/>
              </w:rPr>
            </w:pPr>
          </w:p>
        </w:tc>
        <w:tc>
          <w:tcPr>
            <w:tcW w:w="1407" w:type="dxa"/>
            <w:vAlign w:val="top"/>
          </w:tcPr>
          <w:p w14:paraId="3873899E">
            <w:pPr>
              <w:pStyle w:val="6"/>
              <w:spacing w:before="168" w:line="219" w:lineRule="auto"/>
              <w:ind w:left="486"/>
              <w:rPr>
                <w:sz w:val="20"/>
                <w:szCs w:val="20"/>
              </w:rPr>
            </w:pPr>
            <w:r>
              <w:rPr>
                <w:spacing w:val="-2"/>
                <w:sz w:val="20"/>
                <w:szCs w:val="20"/>
              </w:rPr>
              <w:t>耕地</w:t>
            </w:r>
          </w:p>
        </w:tc>
        <w:tc>
          <w:tcPr>
            <w:tcW w:w="778" w:type="dxa"/>
            <w:vAlign w:val="top"/>
          </w:tcPr>
          <w:p w14:paraId="521ECDF3">
            <w:pPr>
              <w:pStyle w:val="6"/>
              <w:spacing w:before="109" w:line="212" w:lineRule="auto"/>
              <w:ind w:left="129"/>
              <w:rPr>
                <w:sz w:val="20"/>
                <w:szCs w:val="20"/>
              </w:rPr>
            </w:pPr>
            <w:r>
              <w:rPr>
                <w:spacing w:val="-4"/>
                <w:sz w:val="20"/>
                <w:szCs w:val="20"/>
              </w:rPr>
              <w:t>1618.</w:t>
            </w:r>
          </w:p>
          <w:p w14:paraId="45078921">
            <w:pPr>
              <w:pStyle w:val="6"/>
              <w:spacing w:line="169" w:lineRule="exact"/>
              <w:ind w:left="230"/>
              <w:rPr>
                <w:sz w:val="20"/>
                <w:szCs w:val="20"/>
              </w:rPr>
            </w:pPr>
            <w:r>
              <w:rPr>
                <w:spacing w:val="-2"/>
                <w:position w:val="-2"/>
                <w:sz w:val="20"/>
                <w:szCs w:val="20"/>
              </w:rPr>
              <w:t>946</w:t>
            </w:r>
          </w:p>
        </w:tc>
        <w:tc>
          <w:tcPr>
            <w:tcW w:w="658" w:type="dxa"/>
            <w:vAlign w:val="top"/>
          </w:tcPr>
          <w:p w14:paraId="595B987C">
            <w:pPr>
              <w:pStyle w:val="6"/>
              <w:spacing w:before="109" w:line="203" w:lineRule="auto"/>
              <w:ind w:left="121"/>
              <w:rPr>
                <w:sz w:val="20"/>
                <w:szCs w:val="20"/>
              </w:rPr>
            </w:pPr>
            <w:r>
              <w:rPr>
                <w:spacing w:val="-2"/>
                <w:sz w:val="20"/>
                <w:szCs w:val="20"/>
              </w:rPr>
              <w:t>0.15</w:t>
            </w:r>
          </w:p>
          <w:p w14:paraId="360834AB">
            <w:pPr>
              <w:pStyle w:val="6"/>
              <w:spacing w:line="165" w:lineRule="auto"/>
              <w:ind w:left="221"/>
              <w:rPr>
                <w:sz w:val="20"/>
                <w:szCs w:val="20"/>
              </w:rPr>
            </w:pPr>
            <w:r>
              <w:rPr>
                <w:spacing w:val="-2"/>
                <w:sz w:val="20"/>
                <w:szCs w:val="20"/>
              </w:rPr>
              <w:t>45</w:t>
            </w:r>
          </w:p>
        </w:tc>
        <w:tc>
          <w:tcPr>
            <w:tcW w:w="778" w:type="dxa"/>
            <w:vAlign w:val="top"/>
          </w:tcPr>
          <w:p w14:paraId="28393133">
            <w:pPr>
              <w:pStyle w:val="6"/>
              <w:spacing w:before="99" w:line="212" w:lineRule="auto"/>
              <w:ind w:left="133"/>
              <w:rPr>
                <w:sz w:val="20"/>
                <w:szCs w:val="20"/>
              </w:rPr>
            </w:pPr>
            <w:r>
              <w:rPr>
                <w:spacing w:val="-2"/>
                <w:sz w:val="20"/>
                <w:szCs w:val="20"/>
              </w:rPr>
              <w:t>0.154</w:t>
            </w:r>
          </w:p>
          <w:p w14:paraId="120C3300">
            <w:pPr>
              <w:pStyle w:val="6"/>
              <w:spacing w:line="165" w:lineRule="auto"/>
              <w:ind w:left="333"/>
              <w:rPr>
                <w:sz w:val="20"/>
                <w:szCs w:val="20"/>
              </w:rPr>
            </w:pPr>
            <w:r>
              <w:rPr>
                <w:sz w:val="20"/>
                <w:szCs w:val="20"/>
              </w:rPr>
              <w:t>5</w:t>
            </w:r>
          </w:p>
        </w:tc>
        <w:tc>
          <w:tcPr>
            <w:tcW w:w="1128" w:type="dxa"/>
            <w:vAlign w:val="top"/>
          </w:tcPr>
          <w:p w14:paraId="43762FFE">
            <w:pPr>
              <w:pStyle w:val="6"/>
              <w:spacing w:before="188"/>
              <w:ind w:left="505"/>
              <w:rPr>
                <w:sz w:val="20"/>
                <w:szCs w:val="20"/>
              </w:rPr>
            </w:pPr>
            <w:r>
              <w:rPr>
                <w:sz w:val="20"/>
                <w:szCs w:val="20"/>
              </w:rPr>
              <w:t>0</w:t>
            </w:r>
          </w:p>
        </w:tc>
        <w:tc>
          <w:tcPr>
            <w:tcW w:w="718" w:type="dxa"/>
            <w:vAlign w:val="top"/>
          </w:tcPr>
          <w:p w14:paraId="534D5E85">
            <w:pPr>
              <w:pStyle w:val="6"/>
              <w:spacing w:before="188"/>
              <w:ind w:left="307"/>
              <w:rPr>
                <w:sz w:val="20"/>
                <w:szCs w:val="20"/>
              </w:rPr>
            </w:pPr>
            <w:r>
              <w:rPr>
                <w:sz w:val="20"/>
                <w:szCs w:val="20"/>
              </w:rPr>
              <w:t>0</w:t>
            </w:r>
          </w:p>
        </w:tc>
        <w:tc>
          <w:tcPr>
            <w:tcW w:w="599" w:type="dxa"/>
            <w:vAlign w:val="top"/>
          </w:tcPr>
          <w:p w14:paraId="260ED9FE">
            <w:pPr>
              <w:pStyle w:val="6"/>
              <w:spacing w:before="88" w:line="222" w:lineRule="auto"/>
              <w:ind w:left="99"/>
              <w:rPr>
                <w:sz w:val="20"/>
                <w:szCs w:val="20"/>
              </w:rPr>
            </w:pPr>
            <w:r>
              <w:rPr>
                <w:spacing w:val="-2"/>
                <w:sz w:val="20"/>
                <w:szCs w:val="20"/>
              </w:rPr>
              <w:t>0.01</w:t>
            </w:r>
          </w:p>
          <w:p w14:paraId="330A6A44">
            <w:pPr>
              <w:pStyle w:val="6"/>
              <w:spacing w:line="165" w:lineRule="auto"/>
              <w:ind w:left="249"/>
              <w:rPr>
                <w:sz w:val="20"/>
                <w:szCs w:val="20"/>
              </w:rPr>
            </w:pPr>
            <w:r>
              <w:rPr>
                <w:sz w:val="20"/>
                <w:szCs w:val="20"/>
              </w:rPr>
              <w:t>0</w:t>
            </w:r>
          </w:p>
        </w:tc>
        <w:tc>
          <w:tcPr>
            <w:tcW w:w="569" w:type="dxa"/>
            <w:vAlign w:val="top"/>
          </w:tcPr>
          <w:p w14:paraId="03973F74">
            <w:pPr>
              <w:pStyle w:val="6"/>
              <w:spacing w:before="88" w:line="222" w:lineRule="auto"/>
              <w:ind w:left="130"/>
              <w:rPr>
                <w:sz w:val="20"/>
                <w:szCs w:val="20"/>
              </w:rPr>
            </w:pPr>
            <w:r>
              <w:rPr>
                <w:spacing w:val="-3"/>
                <w:sz w:val="20"/>
                <w:szCs w:val="20"/>
              </w:rPr>
              <w:t>0.0</w:t>
            </w:r>
          </w:p>
          <w:p w14:paraId="5F75FB71">
            <w:pPr>
              <w:pStyle w:val="6"/>
              <w:spacing w:line="165" w:lineRule="auto"/>
              <w:ind w:left="180"/>
              <w:rPr>
                <w:sz w:val="20"/>
                <w:szCs w:val="20"/>
              </w:rPr>
            </w:pPr>
            <w:r>
              <w:rPr>
                <w:spacing w:val="-6"/>
                <w:sz w:val="20"/>
                <w:szCs w:val="20"/>
              </w:rPr>
              <w:t>10</w:t>
            </w:r>
          </w:p>
        </w:tc>
        <w:tc>
          <w:tcPr>
            <w:tcW w:w="649" w:type="dxa"/>
            <w:vAlign w:val="top"/>
          </w:tcPr>
          <w:p w14:paraId="41B8925F">
            <w:pPr>
              <w:pStyle w:val="6"/>
              <w:spacing w:before="88" w:line="222" w:lineRule="auto"/>
              <w:ind w:left="121"/>
              <w:rPr>
                <w:sz w:val="20"/>
                <w:szCs w:val="20"/>
              </w:rPr>
            </w:pPr>
            <w:r>
              <w:rPr>
                <w:spacing w:val="-2"/>
                <w:sz w:val="20"/>
                <w:szCs w:val="20"/>
              </w:rPr>
              <w:t>0.00</w:t>
            </w:r>
          </w:p>
          <w:p w14:paraId="10783850">
            <w:pPr>
              <w:pStyle w:val="6"/>
              <w:spacing w:line="165" w:lineRule="auto"/>
              <w:ind w:left="271"/>
              <w:rPr>
                <w:sz w:val="20"/>
                <w:szCs w:val="20"/>
              </w:rPr>
            </w:pPr>
            <w:r>
              <w:rPr>
                <w:sz w:val="20"/>
                <w:szCs w:val="20"/>
              </w:rPr>
              <w:t>0</w:t>
            </w:r>
          </w:p>
        </w:tc>
        <w:tc>
          <w:tcPr>
            <w:tcW w:w="788" w:type="dxa"/>
            <w:vAlign w:val="top"/>
          </w:tcPr>
          <w:p w14:paraId="5874AB17">
            <w:pPr>
              <w:pStyle w:val="6"/>
              <w:spacing w:before="189" w:line="239" w:lineRule="auto"/>
              <w:ind w:left="142"/>
              <w:rPr>
                <w:sz w:val="20"/>
                <w:szCs w:val="20"/>
              </w:rPr>
            </w:pPr>
            <w:r>
              <w:rPr>
                <w:spacing w:val="-2"/>
                <w:sz w:val="20"/>
                <w:szCs w:val="20"/>
              </w:rPr>
              <w:t>0.000</w:t>
            </w:r>
          </w:p>
        </w:tc>
        <w:tc>
          <w:tcPr>
            <w:tcW w:w="289" w:type="dxa"/>
            <w:vMerge w:val="continue"/>
            <w:tcBorders>
              <w:top w:val="nil"/>
              <w:bottom w:val="nil"/>
              <w:right w:val="single" w:color="000000" w:sz="8" w:space="0"/>
            </w:tcBorders>
            <w:vAlign w:val="top"/>
          </w:tcPr>
          <w:p w14:paraId="05EC35BA">
            <w:pPr>
              <w:rPr>
                <w:rFonts w:ascii="Arial"/>
                <w:sz w:val="21"/>
              </w:rPr>
            </w:pPr>
          </w:p>
        </w:tc>
      </w:tr>
      <w:tr w14:paraId="0F539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913" w:type="dxa"/>
            <w:vMerge w:val="continue"/>
            <w:tcBorders>
              <w:top w:val="nil"/>
              <w:left w:val="single" w:color="000000" w:sz="8" w:space="0"/>
              <w:bottom w:val="nil"/>
            </w:tcBorders>
            <w:vAlign w:val="top"/>
          </w:tcPr>
          <w:p w14:paraId="74F63AB7">
            <w:pPr>
              <w:rPr>
                <w:rFonts w:ascii="Arial"/>
                <w:sz w:val="21"/>
              </w:rPr>
            </w:pPr>
          </w:p>
        </w:tc>
        <w:tc>
          <w:tcPr>
            <w:tcW w:w="145" w:type="dxa"/>
            <w:tcBorders>
              <w:top w:val="nil"/>
              <w:bottom w:val="nil"/>
            </w:tcBorders>
            <w:vAlign w:val="top"/>
          </w:tcPr>
          <w:p w14:paraId="3F6B2DF9">
            <w:pPr>
              <w:rPr>
                <w:rFonts w:ascii="Arial"/>
                <w:sz w:val="21"/>
              </w:rPr>
            </w:pPr>
          </w:p>
        </w:tc>
        <w:tc>
          <w:tcPr>
            <w:tcW w:w="1407" w:type="dxa"/>
            <w:vAlign w:val="top"/>
          </w:tcPr>
          <w:p w14:paraId="7A8CB3B3">
            <w:pPr>
              <w:pStyle w:val="6"/>
              <w:spacing w:before="101" w:line="221" w:lineRule="auto"/>
              <w:ind w:left="486"/>
              <w:rPr>
                <w:sz w:val="20"/>
                <w:szCs w:val="20"/>
              </w:rPr>
            </w:pPr>
            <w:r>
              <w:rPr>
                <w:spacing w:val="-3"/>
                <w:sz w:val="20"/>
                <w:szCs w:val="20"/>
              </w:rPr>
              <w:t>合计</w:t>
            </w:r>
          </w:p>
        </w:tc>
        <w:tc>
          <w:tcPr>
            <w:tcW w:w="778" w:type="dxa"/>
            <w:vAlign w:val="top"/>
          </w:tcPr>
          <w:p w14:paraId="662EF76C">
            <w:pPr>
              <w:pStyle w:val="6"/>
              <w:spacing w:before="106" w:line="224" w:lineRule="auto"/>
              <w:ind w:left="329"/>
              <w:rPr>
                <w:sz w:val="20"/>
                <w:szCs w:val="20"/>
              </w:rPr>
            </w:pPr>
            <w:r>
              <w:rPr>
                <w:sz w:val="20"/>
                <w:szCs w:val="20"/>
              </w:rPr>
              <w:t>/</w:t>
            </w:r>
          </w:p>
        </w:tc>
        <w:tc>
          <w:tcPr>
            <w:tcW w:w="3282" w:type="dxa"/>
            <w:gridSpan w:val="4"/>
            <w:vAlign w:val="top"/>
          </w:tcPr>
          <w:p w14:paraId="6F35D8FA">
            <w:pPr>
              <w:pStyle w:val="6"/>
              <w:spacing w:before="120" w:line="221" w:lineRule="auto"/>
              <w:ind w:left="1581"/>
              <w:rPr>
                <w:sz w:val="20"/>
                <w:szCs w:val="20"/>
              </w:rPr>
            </w:pPr>
            <w:r>
              <w:rPr>
                <w:sz w:val="20"/>
                <w:szCs w:val="20"/>
              </w:rPr>
              <w:t>1</w:t>
            </w:r>
          </w:p>
        </w:tc>
        <w:tc>
          <w:tcPr>
            <w:tcW w:w="2605" w:type="dxa"/>
            <w:gridSpan w:val="4"/>
            <w:vAlign w:val="top"/>
          </w:tcPr>
          <w:p w14:paraId="74987C21">
            <w:pPr>
              <w:pStyle w:val="6"/>
              <w:spacing w:before="106" w:line="224" w:lineRule="auto"/>
              <w:ind w:left="1249"/>
              <w:rPr>
                <w:sz w:val="20"/>
                <w:szCs w:val="20"/>
              </w:rPr>
            </w:pPr>
            <w:r>
              <w:rPr>
                <w:sz w:val="20"/>
                <w:szCs w:val="20"/>
              </w:rPr>
              <w:t>/</w:t>
            </w:r>
          </w:p>
        </w:tc>
        <w:tc>
          <w:tcPr>
            <w:tcW w:w="289" w:type="dxa"/>
            <w:vMerge w:val="continue"/>
            <w:tcBorders>
              <w:top w:val="nil"/>
              <w:bottom w:val="nil"/>
              <w:right w:val="single" w:color="000000" w:sz="8" w:space="0"/>
            </w:tcBorders>
            <w:vAlign w:val="top"/>
          </w:tcPr>
          <w:p w14:paraId="1EC4687B">
            <w:pPr>
              <w:rPr>
                <w:rFonts w:ascii="Arial"/>
                <w:sz w:val="21"/>
              </w:rPr>
            </w:pPr>
          </w:p>
        </w:tc>
      </w:tr>
      <w:tr w14:paraId="5EE97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2" w:hRule="atLeast"/>
        </w:trPr>
        <w:tc>
          <w:tcPr>
            <w:tcW w:w="913" w:type="dxa"/>
            <w:vMerge w:val="continue"/>
            <w:tcBorders>
              <w:top w:val="nil"/>
              <w:left w:val="single" w:color="000000" w:sz="8" w:space="0"/>
              <w:bottom w:val="single" w:color="000000" w:sz="8" w:space="0"/>
            </w:tcBorders>
            <w:vAlign w:val="top"/>
          </w:tcPr>
          <w:p w14:paraId="54763630">
            <w:pPr>
              <w:rPr>
                <w:rFonts w:ascii="Arial"/>
                <w:sz w:val="21"/>
              </w:rPr>
            </w:pPr>
          </w:p>
        </w:tc>
        <w:tc>
          <w:tcPr>
            <w:tcW w:w="8506" w:type="dxa"/>
            <w:gridSpan w:val="12"/>
            <w:tcBorders>
              <w:bottom w:val="single" w:color="000000" w:sz="8" w:space="0"/>
              <w:right w:val="single" w:color="000000" w:sz="8" w:space="0"/>
            </w:tcBorders>
            <w:vAlign w:val="top"/>
          </w:tcPr>
          <w:p w14:paraId="2848C07F">
            <w:pPr>
              <w:pStyle w:val="6"/>
              <w:spacing w:before="90" w:line="219" w:lineRule="auto"/>
              <w:ind w:left="711"/>
              <w:rPr>
                <w:sz w:val="25"/>
                <w:szCs w:val="25"/>
              </w:rPr>
            </w:pPr>
            <w:r>
              <w:rPr>
                <w:spacing w:val="3"/>
                <w:sz w:val="25"/>
                <w:szCs w:val="25"/>
              </w:rPr>
              <w:t>(一)永久占地(含光伏板遮蔽)</w:t>
            </w:r>
          </w:p>
          <w:p w14:paraId="56FE0041">
            <w:pPr>
              <w:pStyle w:val="6"/>
              <w:spacing w:before="143" w:line="348" w:lineRule="auto"/>
              <w:ind w:left="91" w:right="129" w:firstLine="469"/>
              <w:jc w:val="both"/>
              <w:rPr>
                <w:sz w:val="24"/>
                <w:szCs w:val="24"/>
              </w:rPr>
            </w:pPr>
            <w:r>
              <w:rPr>
                <w:spacing w:val="-4"/>
                <w:sz w:val="24"/>
                <w:szCs w:val="24"/>
              </w:rPr>
              <w:t>根据工程规模和区域生态环境的特点，本工程对陆生植被的影响主要是直接</w:t>
            </w:r>
            <w:r>
              <w:rPr>
                <w:spacing w:val="10"/>
                <w:sz w:val="24"/>
                <w:szCs w:val="24"/>
              </w:rPr>
              <w:t xml:space="preserve"> </w:t>
            </w:r>
            <w:r>
              <w:rPr>
                <w:spacing w:val="-4"/>
                <w:sz w:val="24"/>
                <w:szCs w:val="24"/>
              </w:rPr>
              <w:t>影响，影响的时间阶段主要是施工期，影响方式是工程占地。本项目共永久占地</w:t>
            </w:r>
            <w:r>
              <w:rPr>
                <w:spacing w:val="8"/>
                <w:sz w:val="24"/>
                <w:szCs w:val="24"/>
              </w:rPr>
              <w:t xml:space="preserve"> </w:t>
            </w:r>
            <w:r>
              <w:rPr>
                <w:sz w:val="24"/>
                <w:szCs w:val="24"/>
              </w:rPr>
              <w:t>约0.85</w:t>
            </w:r>
            <w:r>
              <w:rPr>
                <w:rFonts w:ascii="Times New Roman" w:hAnsi="Times New Roman" w:eastAsia="Times New Roman" w:cs="Times New Roman"/>
                <w:sz w:val="24"/>
                <w:szCs w:val="24"/>
              </w:rPr>
              <w:t>hm²,</w:t>
            </w:r>
            <w:r>
              <w:rPr>
                <w:rFonts w:ascii="Times New Roman" w:hAnsi="Times New Roman" w:eastAsia="Times New Roman" w:cs="Times New Roman"/>
                <w:spacing w:val="26"/>
                <w:w w:val="101"/>
                <w:sz w:val="24"/>
                <w:szCs w:val="24"/>
              </w:rPr>
              <w:t xml:space="preserve">  </w:t>
            </w:r>
            <w:r>
              <w:rPr>
                <w:sz w:val="24"/>
                <w:szCs w:val="24"/>
              </w:rPr>
              <w:t>光伏板阵列区除支架部分外遮蔽范围97.440</w:t>
            </w:r>
            <w:r>
              <w:rPr>
                <w:spacing w:val="-1"/>
                <w:sz w:val="24"/>
                <w:szCs w:val="24"/>
              </w:rPr>
              <w:t>9</w:t>
            </w:r>
            <w:r>
              <w:rPr>
                <w:rFonts w:ascii="Times New Roman" w:hAnsi="Times New Roman" w:eastAsia="Times New Roman" w:cs="Times New Roman"/>
                <w:spacing w:val="-1"/>
                <w:sz w:val="24"/>
                <w:szCs w:val="24"/>
              </w:rPr>
              <w:t>hm²</w:t>
            </w:r>
            <w:r>
              <w:rPr>
                <w:spacing w:val="-1"/>
                <w:sz w:val="24"/>
                <w:szCs w:val="24"/>
              </w:rPr>
              <w:t>。</w:t>
            </w:r>
          </w:p>
          <w:p w14:paraId="7DBB5067">
            <w:pPr>
              <w:pStyle w:val="6"/>
              <w:spacing w:before="31" w:line="352" w:lineRule="auto"/>
              <w:ind w:left="91" w:right="19" w:firstLine="469"/>
              <w:jc w:val="both"/>
              <w:rPr>
                <w:sz w:val="24"/>
                <w:szCs w:val="24"/>
              </w:rPr>
            </w:pPr>
            <w:r>
              <w:rPr>
                <w:spacing w:val="3"/>
                <w:sz w:val="24"/>
                <w:szCs w:val="24"/>
              </w:rPr>
              <w:t>项目总永久占地0.85</w:t>
            </w:r>
            <w:r>
              <w:rPr>
                <w:rFonts w:ascii="Times New Roman" w:hAnsi="Times New Roman" w:eastAsia="Times New Roman" w:cs="Times New Roman"/>
                <w:sz w:val="24"/>
                <w:szCs w:val="24"/>
              </w:rPr>
              <w:t>hm</w:t>
            </w:r>
            <w:r>
              <w:rPr>
                <w:rFonts w:ascii="Times New Roman" w:hAnsi="Times New Roman" w:eastAsia="Times New Roman" w:cs="Times New Roman"/>
                <w:spacing w:val="3"/>
                <w:sz w:val="24"/>
                <w:szCs w:val="24"/>
              </w:rPr>
              <w:t>²,</w:t>
            </w:r>
            <w:r>
              <w:rPr>
                <w:rFonts w:ascii="Times New Roman" w:hAnsi="Times New Roman" w:eastAsia="Times New Roman" w:cs="Times New Roman"/>
                <w:spacing w:val="26"/>
                <w:w w:val="101"/>
                <w:sz w:val="24"/>
                <w:szCs w:val="24"/>
              </w:rPr>
              <w:t xml:space="preserve">  </w:t>
            </w:r>
            <w:r>
              <w:rPr>
                <w:spacing w:val="3"/>
                <w:sz w:val="24"/>
                <w:szCs w:val="24"/>
              </w:rPr>
              <w:t>占用有植被覆盖面积</w:t>
            </w:r>
            <w:r>
              <w:rPr>
                <w:rFonts w:ascii="Times New Roman" w:hAnsi="Times New Roman" w:eastAsia="Times New Roman" w:cs="Times New Roman"/>
                <w:sz w:val="24"/>
                <w:szCs w:val="24"/>
              </w:rPr>
              <w:t>hm</w:t>
            </w:r>
            <w:r>
              <w:rPr>
                <w:rFonts w:ascii="Times New Roman" w:hAnsi="Times New Roman" w:eastAsia="Times New Roman" w:cs="Times New Roman"/>
                <w:spacing w:val="3"/>
                <w:sz w:val="24"/>
                <w:szCs w:val="24"/>
              </w:rPr>
              <w:t>²;</w:t>
            </w:r>
            <w:r>
              <w:rPr>
                <w:rFonts w:ascii="Times New Roman" w:hAnsi="Times New Roman" w:eastAsia="Times New Roman" w:cs="Times New Roman"/>
                <w:spacing w:val="28"/>
                <w:sz w:val="24"/>
                <w:szCs w:val="24"/>
              </w:rPr>
              <w:t xml:space="preserve">  </w:t>
            </w:r>
            <w:r>
              <w:rPr>
                <w:spacing w:val="3"/>
                <w:sz w:val="24"/>
                <w:szCs w:val="24"/>
              </w:rPr>
              <w:t>光</w:t>
            </w:r>
            <w:r>
              <w:rPr>
                <w:spacing w:val="2"/>
                <w:sz w:val="24"/>
                <w:szCs w:val="24"/>
              </w:rPr>
              <w:t>伏板遮盖植被面积</w:t>
            </w:r>
            <w:r>
              <w:rPr>
                <w:sz w:val="24"/>
                <w:szCs w:val="24"/>
              </w:rPr>
              <w:t xml:space="preserve">  </w:t>
            </w:r>
            <w:r>
              <w:rPr>
                <w:spacing w:val="1"/>
                <w:sz w:val="24"/>
                <w:szCs w:val="24"/>
              </w:rPr>
              <w:t>(不含支架面积)92.3029</w:t>
            </w:r>
            <w:r>
              <w:rPr>
                <w:rFonts w:ascii="Times New Roman" w:hAnsi="Times New Roman" w:eastAsia="Times New Roman" w:cs="Times New Roman"/>
                <w:sz w:val="24"/>
                <w:szCs w:val="24"/>
              </w:rPr>
              <w:t>hm</w:t>
            </w:r>
            <w:r>
              <w:rPr>
                <w:rFonts w:ascii="Times New Roman" w:hAnsi="Times New Roman" w:eastAsia="Times New Roman" w:cs="Times New Roman"/>
                <w:spacing w:val="1"/>
                <w:sz w:val="24"/>
                <w:szCs w:val="24"/>
              </w:rPr>
              <w:t>²;</w:t>
            </w:r>
            <w:r>
              <w:rPr>
                <w:rFonts w:ascii="Times New Roman" w:hAnsi="Times New Roman" w:eastAsia="Times New Roman" w:cs="Times New Roman"/>
                <w:spacing w:val="34"/>
                <w:w w:val="101"/>
                <w:sz w:val="24"/>
                <w:szCs w:val="24"/>
              </w:rPr>
              <w:t xml:space="preserve"> </w:t>
            </w:r>
            <w:r>
              <w:rPr>
                <w:spacing w:val="1"/>
                <w:sz w:val="24"/>
                <w:szCs w:val="24"/>
              </w:rPr>
              <w:t>占用和遮蔽的植被类型均为暖温性稀树灌木草丛、</w:t>
            </w:r>
            <w:r>
              <w:rPr>
                <w:sz w:val="24"/>
                <w:szCs w:val="24"/>
              </w:rPr>
              <w:t xml:space="preserve"> </w:t>
            </w:r>
            <w:r>
              <w:rPr>
                <w:spacing w:val="-10"/>
                <w:sz w:val="24"/>
                <w:szCs w:val="24"/>
              </w:rPr>
              <w:t>人工林、耕地、石灰岩灌丛等。其中工程永久占用暖温性稀树灌木草丛0.0911</w:t>
            </w:r>
            <w:r>
              <w:rPr>
                <w:rFonts w:ascii="Times New Roman" w:hAnsi="Times New Roman" w:eastAsia="Times New Roman" w:cs="Times New Roman"/>
                <w:spacing w:val="-10"/>
                <w:sz w:val="24"/>
                <w:szCs w:val="24"/>
              </w:rPr>
              <w:t>hm²,</w:t>
            </w:r>
            <w:r>
              <w:rPr>
                <w:rFonts w:ascii="Times New Roman" w:hAnsi="Times New Roman" w:eastAsia="Times New Roman" w:cs="Times New Roman"/>
                <w:spacing w:val="1"/>
                <w:sz w:val="24"/>
                <w:szCs w:val="24"/>
              </w:rPr>
              <w:t xml:space="preserve">    </w:t>
            </w:r>
            <w:r>
              <w:rPr>
                <w:spacing w:val="3"/>
                <w:sz w:val="24"/>
                <w:szCs w:val="24"/>
              </w:rPr>
              <w:t>占评价区同类型植被面积的0.031%;永久占用石灰岩灌</w:t>
            </w:r>
            <w:r>
              <w:rPr>
                <w:spacing w:val="2"/>
                <w:sz w:val="24"/>
                <w:szCs w:val="24"/>
              </w:rPr>
              <w:t>丛0.0199</w:t>
            </w:r>
            <w:r>
              <w:rPr>
                <w:rFonts w:ascii="Times New Roman" w:hAnsi="Times New Roman" w:eastAsia="Times New Roman" w:cs="Times New Roman"/>
                <w:sz w:val="24"/>
                <w:szCs w:val="24"/>
              </w:rPr>
              <w:t>hm</w:t>
            </w:r>
            <w:r>
              <w:rPr>
                <w:rFonts w:ascii="Times New Roman" w:hAnsi="Times New Roman" w:eastAsia="Times New Roman" w:cs="Times New Roman"/>
                <w:spacing w:val="2"/>
                <w:sz w:val="24"/>
                <w:szCs w:val="24"/>
              </w:rPr>
              <w:t>²,</w:t>
            </w:r>
            <w:r>
              <w:rPr>
                <w:rFonts w:ascii="Times New Roman" w:hAnsi="Times New Roman" w:eastAsia="Times New Roman" w:cs="Times New Roman"/>
                <w:spacing w:val="16"/>
                <w:w w:val="101"/>
                <w:sz w:val="24"/>
                <w:szCs w:val="24"/>
              </w:rPr>
              <w:t xml:space="preserve">  </w:t>
            </w:r>
            <w:r>
              <w:rPr>
                <w:spacing w:val="2"/>
                <w:sz w:val="24"/>
                <w:szCs w:val="24"/>
              </w:rPr>
              <w:t>占评价区</w:t>
            </w:r>
            <w:r>
              <w:rPr>
                <w:sz w:val="24"/>
                <w:szCs w:val="24"/>
              </w:rPr>
              <w:t xml:space="preserve">  </w:t>
            </w:r>
            <w:r>
              <w:rPr>
                <w:spacing w:val="4"/>
                <w:sz w:val="24"/>
                <w:szCs w:val="24"/>
              </w:rPr>
              <w:t>同类型植被面积的0.017%;工程永久占用人工林</w:t>
            </w:r>
            <w:r>
              <w:rPr>
                <w:spacing w:val="3"/>
                <w:sz w:val="24"/>
                <w:szCs w:val="24"/>
              </w:rPr>
              <w:t>0.5725</w:t>
            </w:r>
            <w:r>
              <w:rPr>
                <w:rFonts w:ascii="Times New Roman" w:hAnsi="Times New Roman" w:eastAsia="Times New Roman" w:cs="Times New Roman"/>
                <w:sz w:val="24"/>
                <w:szCs w:val="24"/>
              </w:rPr>
              <w:t>hm</w:t>
            </w:r>
            <w:r>
              <w:rPr>
                <w:rFonts w:ascii="Times New Roman" w:hAnsi="Times New Roman" w:eastAsia="Times New Roman" w:cs="Times New Roman"/>
                <w:spacing w:val="3"/>
                <w:sz w:val="24"/>
                <w:szCs w:val="24"/>
              </w:rPr>
              <w:t xml:space="preserve">²,  </w:t>
            </w:r>
            <w:r>
              <w:rPr>
                <w:spacing w:val="3"/>
                <w:sz w:val="24"/>
                <w:szCs w:val="24"/>
              </w:rPr>
              <w:t>占评价区同类型植</w:t>
            </w:r>
            <w:r>
              <w:rPr>
                <w:sz w:val="24"/>
                <w:szCs w:val="24"/>
              </w:rPr>
              <w:t xml:space="preserve">  </w:t>
            </w:r>
            <w:r>
              <w:rPr>
                <w:spacing w:val="6"/>
                <w:sz w:val="24"/>
                <w:szCs w:val="24"/>
              </w:rPr>
              <w:t>被面积的0.266%;永久耕地0.1545</w:t>
            </w:r>
            <w:r>
              <w:rPr>
                <w:rFonts w:ascii="Times New Roman" w:hAnsi="Times New Roman" w:eastAsia="Times New Roman" w:cs="Times New Roman"/>
                <w:sz w:val="24"/>
                <w:szCs w:val="24"/>
              </w:rPr>
              <w:t>hm</w:t>
            </w:r>
            <w:r>
              <w:rPr>
                <w:rFonts w:ascii="Times New Roman" w:hAnsi="Times New Roman" w:eastAsia="Times New Roman" w:cs="Times New Roman"/>
                <w:spacing w:val="6"/>
                <w:sz w:val="24"/>
                <w:szCs w:val="24"/>
              </w:rPr>
              <w:t xml:space="preserve">²,   </w:t>
            </w:r>
            <w:r>
              <w:rPr>
                <w:spacing w:val="6"/>
                <w:sz w:val="24"/>
                <w:szCs w:val="24"/>
              </w:rPr>
              <w:t>占评价区</w:t>
            </w:r>
            <w:r>
              <w:rPr>
                <w:spacing w:val="5"/>
                <w:sz w:val="24"/>
                <w:szCs w:val="24"/>
              </w:rPr>
              <w:t>同类型植被面积的0.01%。</w:t>
            </w:r>
          </w:p>
          <w:p w14:paraId="58B0F18B">
            <w:pPr>
              <w:pStyle w:val="6"/>
              <w:spacing w:before="51" w:line="212" w:lineRule="auto"/>
              <w:ind w:left="561"/>
              <w:rPr>
                <w:sz w:val="24"/>
                <w:szCs w:val="24"/>
              </w:rPr>
            </w:pPr>
            <w:r>
              <w:rPr>
                <w:spacing w:val="3"/>
                <w:sz w:val="24"/>
                <w:szCs w:val="24"/>
              </w:rPr>
              <w:t>光伏板遮蔽暖温性稀树灌木草丛92.3029</w:t>
            </w:r>
            <w:r>
              <w:rPr>
                <w:rFonts w:ascii="Times New Roman" w:hAnsi="Times New Roman" w:eastAsia="Times New Roman" w:cs="Times New Roman"/>
                <w:sz w:val="24"/>
                <w:szCs w:val="24"/>
              </w:rPr>
              <w:t>hm</w:t>
            </w:r>
            <w:r>
              <w:rPr>
                <w:rFonts w:ascii="Times New Roman" w:hAnsi="Times New Roman" w:eastAsia="Times New Roman" w:cs="Times New Roman"/>
                <w:spacing w:val="3"/>
                <w:sz w:val="24"/>
                <w:szCs w:val="24"/>
              </w:rPr>
              <w:t xml:space="preserve">²,   </w:t>
            </w:r>
            <w:r>
              <w:rPr>
                <w:spacing w:val="3"/>
                <w:sz w:val="24"/>
                <w:szCs w:val="24"/>
              </w:rPr>
              <w:t>占评价区同类型</w:t>
            </w:r>
            <w:r>
              <w:rPr>
                <w:spacing w:val="2"/>
                <w:sz w:val="24"/>
                <w:szCs w:val="24"/>
              </w:rPr>
              <w:t>植被面积的</w:t>
            </w:r>
          </w:p>
        </w:tc>
      </w:tr>
    </w:tbl>
    <w:p w14:paraId="10362A22">
      <w:pPr>
        <w:pStyle w:val="2"/>
      </w:pPr>
    </w:p>
    <w:p w14:paraId="29DF7B5C">
      <w:pPr>
        <w:sectPr>
          <w:footerReference r:id="rId127" w:type="default"/>
          <w:pgSz w:w="11910" w:h="16830"/>
          <w:pgMar w:top="400" w:right="1259" w:bottom="1259" w:left="1210" w:header="0" w:footer="1079" w:gutter="0"/>
          <w:cols w:space="720" w:num="1"/>
        </w:sectPr>
      </w:pPr>
    </w:p>
    <w:p w14:paraId="140399DA">
      <w:pPr>
        <w:spacing w:before="15"/>
      </w:pPr>
    </w:p>
    <w:p w14:paraId="5C0B6968">
      <w:pPr>
        <w:spacing w:before="15"/>
      </w:pPr>
    </w:p>
    <w:p w14:paraId="44A055FE">
      <w:pPr>
        <w:spacing w:before="15"/>
      </w:pPr>
    </w:p>
    <w:p w14:paraId="4FC3A8E3">
      <w:pPr>
        <w:spacing w:before="14"/>
      </w:pPr>
    </w:p>
    <w:tbl>
      <w:tblPr>
        <w:tblStyle w:val="5"/>
        <w:tblW w:w="939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90"/>
      </w:tblGrid>
      <w:tr w14:paraId="1EE0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904" w:type="dxa"/>
            <w:vAlign w:val="top"/>
          </w:tcPr>
          <w:p w14:paraId="5DACEC4F">
            <w:pPr>
              <w:rPr>
                <w:rFonts w:ascii="Arial"/>
                <w:sz w:val="21"/>
              </w:rPr>
            </w:pPr>
          </w:p>
        </w:tc>
        <w:tc>
          <w:tcPr>
            <w:tcW w:w="8490" w:type="dxa"/>
            <w:vAlign w:val="top"/>
          </w:tcPr>
          <w:p w14:paraId="546990AB">
            <w:pPr>
              <w:pStyle w:val="6"/>
              <w:spacing w:before="25" w:line="220" w:lineRule="auto"/>
              <w:ind w:left="71"/>
              <w:rPr>
                <w:sz w:val="24"/>
                <w:szCs w:val="24"/>
              </w:rPr>
            </w:pPr>
            <w:r>
              <w:rPr>
                <w:sz w:val="24"/>
                <w:szCs w:val="24"/>
              </w:rPr>
              <w:t>31.348%。占用面积和比例均较小。</w:t>
            </w:r>
          </w:p>
          <w:p w14:paraId="6F6E6D0D">
            <w:pPr>
              <w:pStyle w:val="6"/>
              <w:spacing w:before="189" w:line="359" w:lineRule="auto"/>
              <w:ind w:left="31" w:firstLine="549"/>
              <w:jc w:val="both"/>
              <w:rPr>
                <w:sz w:val="24"/>
                <w:szCs w:val="24"/>
              </w:rPr>
            </w:pPr>
            <w:r>
              <w:rPr>
                <w:spacing w:val="-1"/>
                <w:sz w:val="24"/>
                <w:szCs w:val="24"/>
              </w:rPr>
              <w:t>本场址影响的主要天然植被类型为暖温性稀树灌木草丛和石灰岩灌丛，所占</w:t>
            </w:r>
            <w:r>
              <w:rPr>
                <w:spacing w:val="11"/>
                <w:sz w:val="24"/>
                <w:szCs w:val="24"/>
              </w:rPr>
              <w:t xml:space="preserve"> </w:t>
            </w:r>
            <w:r>
              <w:rPr>
                <w:sz w:val="24"/>
                <w:szCs w:val="24"/>
              </w:rPr>
              <w:t>用天然植被均为次生植被。影响的暖温性稀树灌木草丛和石灰岩灌丛，群落物种</w:t>
            </w:r>
            <w:r>
              <w:rPr>
                <w:spacing w:val="6"/>
                <w:sz w:val="24"/>
                <w:szCs w:val="24"/>
              </w:rPr>
              <w:t xml:space="preserve"> </w:t>
            </w:r>
            <w:r>
              <w:rPr>
                <w:sz w:val="24"/>
                <w:szCs w:val="24"/>
              </w:rPr>
              <w:t>组成简单，生物多样性低，且此类植被在项目区和项目区以外广泛分布，遭破坏</w:t>
            </w:r>
            <w:r>
              <w:rPr>
                <w:spacing w:val="1"/>
                <w:sz w:val="24"/>
                <w:szCs w:val="24"/>
              </w:rPr>
              <w:t xml:space="preserve"> </w:t>
            </w:r>
            <w:r>
              <w:rPr>
                <w:sz w:val="24"/>
                <w:szCs w:val="24"/>
              </w:rPr>
              <w:t>后容易恢复，工程建设会在一定程度上造成这种植被面积的减少，但不会显</w:t>
            </w:r>
            <w:r>
              <w:rPr>
                <w:spacing w:val="-1"/>
                <w:sz w:val="24"/>
                <w:szCs w:val="24"/>
              </w:rPr>
              <w:t>著改</w:t>
            </w:r>
            <w:r>
              <w:rPr>
                <w:sz w:val="24"/>
                <w:szCs w:val="24"/>
              </w:rPr>
              <w:t xml:space="preserve"> </w:t>
            </w:r>
            <w:r>
              <w:rPr>
                <w:spacing w:val="6"/>
                <w:sz w:val="24"/>
                <w:szCs w:val="24"/>
              </w:rPr>
              <w:t>变其分布格局，影响不大。</w:t>
            </w:r>
          </w:p>
          <w:p w14:paraId="7D365DC8">
            <w:pPr>
              <w:pStyle w:val="6"/>
              <w:spacing w:line="219" w:lineRule="auto"/>
              <w:ind w:left="681"/>
              <w:rPr>
                <w:sz w:val="24"/>
                <w:szCs w:val="24"/>
              </w:rPr>
            </w:pPr>
            <w:r>
              <w:rPr>
                <w:spacing w:val="1"/>
                <w:sz w:val="24"/>
                <w:szCs w:val="24"/>
              </w:rPr>
              <w:t>(二)临时占地</w:t>
            </w:r>
          </w:p>
          <w:p w14:paraId="56CBF2BE">
            <w:pPr>
              <w:pStyle w:val="6"/>
              <w:spacing w:before="183" w:line="361" w:lineRule="auto"/>
              <w:ind w:left="101" w:firstLine="469"/>
              <w:rPr>
                <w:sz w:val="24"/>
                <w:szCs w:val="24"/>
              </w:rPr>
            </w:pPr>
            <w:r>
              <w:rPr>
                <w:sz w:val="24"/>
                <w:szCs w:val="24"/>
              </w:rPr>
              <w:t>施工现场主要设置的临建设施有：集电线路施工</w:t>
            </w:r>
            <w:r>
              <w:rPr>
                <w:spacing w:val="-1"/>
                <w:sz w:val="24"/>
                <w:szCs w:val="24"/>
              </w:rPr>
              <w:t>区、施工生产生活区等。工</w:t>
            </w:r>
            <w:r>
              <w:rPr>
                <w:sz w:val="24"/>
                <w:szCs w:val="24"/>
              </w:rPr>
              <w:t xml:space="preserve"> </w:t>
            </w:r>
            <w:r>
              <w:rPr>
                <w:spacing w:val="5"/>
                <w:sz w:val="24"/>
                <w:szCs w:val="24"/>
              </w:rPr>
              <w:t>程临时占地总面积为17.3791</w:t>
            </w:r>
            <w:r>
              <w:rPr>
                <w:sz w:val="24"/>
                <w:szCs w:val="24"/>
              </w:rPr>
              <w:t>hm</w:t>
            </w:r>
            <w:r>
              <w:rPr>
                <w:spacing w:val="5"/>
                <w:sz w:val="24"/>
                <w:szCs w:val="24"/>
              </w:rPr>
              <w:t>²,主要占用植被类型为暖温性稀树灌木草丛和</w:t>
            </w:r>
            <w:r>
              <w:rPr>
                <w:sz w:val="24"/>
                <w:szCs w:val="24"/>
              </w:rPr>
              <w:t xml:space="preserve">  </w:t>
            </w:r>
            <w:r>
              <w:rPr>
                <w:spacing w:val="4"/>
                <w:sz w:val="24"/>
                <w:szCs w:val="24"/>
              </w:rPr>
              <w:t>石灰岩灌丛。共占稀树灌木草丛14.1284</w:t>
            </w:r>
            <w:r>
              <w:rPr>
                <w:sz w:val="24"/>
                <w:szCs w:val="24"/>
              </w:rPr>
              <w:t>hm</w:t>
            </w:r>
            <w:r>
              <w:rPr>
                <w:spacing w:val="4"/>
                <w:sz w:val="24"/>
                <w:szCs w:val="24"/>
              </w:rPr>
              <w:t>²,占评价区同类型</w:t>
            </w:r>
            <w:r>
              <w:rPr>
                <w:spacing w:val="3"/>
                <w:sz w:val="24"/>
                <w:szCs w:val="24"/>
              </w:rPr>
              <w:t>植被面积的</w:t>
            </w:r>
          </w:p>
          <w:p w14:paraId="0D2E8558">
            <w:pPr>
              <w:pStyle w:val="6"/>
              <w:spacing w:before="10" w:line="351" w:lineRule="auto"/>
              <w:ind w:left="101" w:right="139" w:firstLine="50"/>
              <w:rPr>
                <w:sz w:val="24"/>
                <w:szCs w:val="24"/>
              </w:rPr>
            </w:pPr>
            <w:r>
              <w:rPr>
                <w:spacing w:val="4"/>
                <w:sz w:val="24"/>
                <w:szCs w:val="24"/>
              </w:rPr>
              <w:t>4.798%;占用石灰岩灌丛0.515</w:t>
            </w:r>
            <w:r>
              <w:rPr>
                <w:spacing w:val="3"/>
                <w:sz w:val="24"/>
                <w:szCs w:val="24"/>
              </w:rPr>
              <w:t>4</w:t>
            </w:r>
            <w:r>
              <w:rPr>
                <w:sz w:val="24"/>
                <w:szCs w:val="24"/>
              </w:rPr>
              <w:t>hm</w:t>
            </w:r>
            <w:r>
              <w:rPr>
                <w:spacing w:val="3"/>
                <w:sz w:val="24"/>
                <w:szCs w:val="24"/>
              </w:rPr>
              <w:t>²,占评价区同类型植被面积的0.432%。占用</w:t>
            </w:r>
            <w:r>
              <w:rPr>
                <w:sz w:val="24"/>
                <w:szCs w:val="24"/>
              </w:rPr>
              <w:t xml:space="preserve"> 的面积和比例均很小，施工结束后对其进行恢复，影响很小。</w:t>
            </w:r>
          </w:p>
          <w:p w14:paraId="5A8D31E6">
            <w:pPr>
              <w:pStyle w:val="6"/>
              <w:spacing w:before="12" w:line="359" w:lineRule="auto"/>
              <w:ind w:left="31" w:firstLine="549"/>
              <w:jc w:val="both"/>
              <w:rPr>
                <w:sz w:val="24"/>
                <w:szCs w:val="24"/>
              </w:rPr>
            </w:pPr>
            <w:r>
              <w:rPr>
                <w:spacing w:val="-1"/>
                <w:sz w:val="24"/>
                <w:szCs w:val="24"/>
              </w:rPr>
              <w:t>总的来看，本工程所涉及区域受人类活动长期影响，评价区内主要为人工植</w:t>
            </w:r>
            <w:r>
              <w:rPr>
                <w:spacing w:val="11"/>
                <w:sz w:val="24"/>
                <w:szCs w:val="24"/>
              </w:rPr>
              <w:t xml:space="preserve"> </w:t>
            </w:r>
            <w:r>
              <w:rPr>
                <w:spacing w:val="1"/>
                <w:sz w:val="24"/>
                <w:szCs w:val="24"/>
              </w:rPr>
              <w:t>被和暖温性针叶林、石灰岩灌丛、暖温性稀树灌木草丛等次</w:t>
            </w:r>
            <w:r>
              <w:rPr>
                <w:sz w:val="24"/>
                <w:szCs w:val="24"/>
              </w:rPr>
              <w:t>生自然植被，区域内 已无原生地带性植被分布。从总体上来说，经过长期的历史过程，工程评价区已</w:t>
            </w:r>
            <w:r>
              <w:rPr>
                <w:spacing w:val="9"/>
                <w:sz w:val="24"/>
                <w:szCs w:val="24"/>
              </w:rPr>
              <w:t xml:space="preserve"> </w:t>
            </w:r>
            <w:r>
              <w:rPr>
                <w:sz w:val="24"/>
                <w:szCs w:val="24"/>
              </w:rPr>
              <w:t>基本上形成了一个适应人类活动干扰的植被体系。从这一点来看，本项目的实施</w:t>
            </w:r>
            <w:r>
              <w:rPr>
                <w:spacing w:val="4"/>
                <w:sz w:val="24"/>
                <w:szCs w:val="24"/>
              </w:rPr>
              <w:t xml:space="preserve"> </w:t>
            </w:r>
            <w:r>
              <w:rPr>
                <w:sz w:val="24"/>
                <w:szCs w:val="24"/>
              </w:rPr>
              <w:t>仅仅是人为干扰的一个方面，且干扰程度不大，不会造成评价区植被现状的显著</w:t>
            </w:r>
            <w:r>
              <w:rPr>
                <w:spacing w:val="9"/>
                <w:sz w:val="24"/>
                <w:szCs w:val="24"/>
              </w:rPr>
              <w:t xml:space="preserve"> </w:t>
            </w:r>
            <w:r>
              <w:rPr>
                <w:spacing w:val="6"/>
                <w:sz w:val="24"/>
                <w:szCs w:val="24"/>
              </w:rPr>
              <w:t>改变及引起植被的退化。</w:t>
            </w:r>
          </w:p>
          <w:p w14:paraId="4CD649E3">
            <w:pPr>
              <w:pStyle w:val="6"/>
              <w:spacing w:before="7" w:line="360" w:lineRule="auto"/>
              <w:ind w:left="31" w:firstLine="539"/>
              <w:jc w:val="both"/>
              <w:rPr>
                <w:sz w:val="24"/>
                <w:szCs w:val="24"/>
              </w:rPr>
            </w:pPr>
            <w:r>
              <w:rPr>
                <w:sz w:val="24"/>
                <w:szCs w:val="24"/>
              </w:rPr>
              <w:t>本工程建设影响的植被类型主要为次生植被和</w:t>
            </w:r>
            <w:r>
              <w:rPr>
                <w:spacing w:val="-1"/>
                <w:sz w:val="24"/>
                <w:szCs w:val="24"/>
              </w:rPr>
              <w:t>人工植被，在项目区及周边区</w:t>
            </w:r>
            <w:r>
              <w:rPr>
                <w:sz w:val="24"/>
                <w:szCs w:val="24"/>
              </w:rPr>
              <w:t xml:space="preserve"> </w:t>
            </w:r>
            <w:r>
              <w:rPr>
                <w:spacing w:val="1"/>
                <w:sz w:val="24"/>
                <w:szCs w:val="24"/>
              </w:rPr>
              <w:t>域广泛分布，工程建设不会对这些植被造成</w:t>
            </w:r>
            <w:r>
              <w:rPr>
                <w:sz w:val="24"/>
                <w:szCs w:val="24"/>
              </w:rPr>
              <w:t>毁灭性的破坏，其不利影响仅限于局 部，不会随时间推移而扩大。本工程占地将对评价区植被造成一定程度的不利影</w:t>
            </w:r>
            <w:r>
              <w:rPr>
                <w:spacing w:val="8"/>
                <w:sz w:val="24"/>
                <w:szCs w:val="24"/>
              </w:rPr>
              <w:t xml:space="preserve"> </w:t>
            </w:r>
            <w:r>
              <w:rPr>
                <w:sz w:val="24"/>
                <w:szCs w:val="24"/>
              </w:rPr>
              <w:t>响，但由于占用植被面积有限，且均为次生植被，本工程的建设不会造成评价区</w:t>
            </w:r>
            <w:r>
              <w:rPr>
                <w:spacing w:val="18"/>
                <w:sz w:val="24"/>
                <w:szCs w:val="24"/>
              </w:rPr>
              <w:t xml:space="preserve"> </w:t>
            </w:r>
            <w:r>
              <w:rPr>
                <w:spacing w:val="1"/>
                <w:sz w:val="24"/>
                <w:szCs w:val="24"/>
              </w:rPr>
              <w:t>植被分布格局的较大改变，不会导致评价区生态系</w:t>
            </w:r>
            <w:r>
              <w:rPr>
                <w:sz w:val="24"/>
                <w:szCs w:val="24"/>
              </w:rPr>
              <w:t xml:space="preserve">统结构及功能的显著改变。因 </w:t>
            </w:r>
            <w:r>
              <w:rPr>
                <w:spacing w:val="3"/>
                <w:sz w:val="24"/>
                <w:szCs w:val="24"/>
              </w:rPr>
              <w:t>此，本工程建设对植被的总体影响不大。</w:t>
            </w:r>
          </w:p>
          <w:p w14:paraId="12A18800">
            <w:pPr>
              <w:pStyle w:val="6"/>
              <w:spacing w:line="219" w:lineRule="auto"/>
              <w:ind w:left="104"/>
              <w:rPr>
                <w:sz w:val="24"/>
                <w:szCs w:val="24"/>
              </w:rPr>
            </w:pPr>
            <w:r>
              <w:rPr>
                <w:b/>
                <w:bCs/>
                <w:spacing w:val="-2"/>
                <w:sz w:val="24"/>
                <w:szCs w:val="24"/>
              </w:rPr>
              <w:t>1.3对植物资源影响</w:t>
            </w:r>
          </w:p>
          <w:p w14:paraId="5B84397B">
            <w:pPr>
              <w:pStyle w:val="6"/>
              <w:spacing w:before="186" w:line="219" w:lineRule="auto"/>
              <w:ind w:left="104"/>
              <w:rPr>
                <w:sz w:val="24"/>
                <w:szCs w:val="24"/>
              </w:rPr>
            </w:pPr>
            <w:r>
              <w:rPr>
                <w:b/>
                <w:bCs/>
                <w:spacing w:val="-2"/>
                <w:sz w:val="24"/>
                <w:szCs w:val="24"/>
              </w:rPr>
              <w:t>1.3.1对野生保护植物及古树名木的影响</w:t>
            </w:r>
          </w:p>
          <w:p w14:paraId="7499F4D6">
            <w:pPr>
              <w:pStyle w:val="6"/>
              <w:spacing w:before="178" w:line="219" w:lineRule="auto"/>
              <w:ind w:left="571"/>
              <w:rPr>
                <w:sz w:val="24"/>
                <w:szCs w:val="24"/>
              </w:rPr>
            </w:pPr>
            <w:r>
              <w:rPr>
                <w:sz w:val="24"/>
                <w:szCs w:val="24"/>
              </w:rPr>
              <w:t>一、对野生保护植物及古树名木的影响</w:t>
            </w:r>
          </w:p>
          <w:p w14:paraId="110AAFED">
            <w:pPr>
              <w:pStyle w:val="6"/>
              <w:spacing w:before="173" w:line="341" w:lineRule="auto"/>
              <w:ind w:left="31" w:right="8" w:firstLine="529"/>
              <w:rPr>
                <w:sz w:val="24"/>
                <w:szCs w:val="24"/>
              </w:rPr>
            </w:pPr>
            <w:r>
              <w:rPr>
                <w:sz w:val="24"/>
                <w:szCs w:val="24"/>
              </w:rPr>
              <w:t>根据调查结果，本项目评价区范围内未发现有国家</w:t>
            </w:r>
            <w:r>
              <w:rPr>
                <w:spacing w:val="-1"/>
                <w:sz w:val="24"/>
                <w:szCs w:val="24"/>
              </w:rPr>
              <w:t>级、云南省级保护野生植</w:t>
            </w:r>
            <w:r>
              <w:rPr>
                <w:sz w:val="24"/>
                <w:szCs w:val="24"/>
              </w:rPr>
              <w:t xml:space="preserve"> 物和古树名木分布分布，工程建设对野生保护植物和古树名木无影响。同时，调</w:t>
            </w:r>
          </w:p>
        </w:tc>
      </w:tr>
    </w:tbl>
    <w:p w14:paraId="409FF067">
      <w:pPr>
        <w:pStyle w:val="2"/>
      </w:pPr>
    </w:p>
    <w:p w14:paraId="302DDD43">
      <w:pPr>
        <w:sectPr>
          <w:footerReference r:id="rId128" w:type="default"/>
          <w:pgSz w:w="11910" w:h="16830"/>
          <w:pgMar w:top="400" w:right="1270" w:bottom="1243" w:left="1234" w:header="0" w:footer="1081" w:gutter="0"/>
          <w:cols w:space="720" w:num="1"/>
        </w:sectPr>
      </w:pPr>
    </w:p>
    <w:p w14:paraId="1A31DD81">
      <w:pPr>
        <w:spacing w:before="15"/>
      </w:pPr>
    </w:p>
    <w:p w14:paraId="388E925B">
      <w:pPr>
        <w:spacing w:before="15"/>
      </w:pPr>
    </w:p>
    <w:p w14:paraId="7C7EDE38">
      <w:pPr>
        <w:spacing w:before="15"/>
      </w:pPr>
    </w:p>
    <w:p w14:paraId="1984DFA3">
      <w:pPr>
        <w:spacing w:before="14"/>
      </w:pPr>
    </w:p>
    <w:tbl>
      <w:tblPr>
        <w:tblStyle w:val="5"/>
        <w:tblW w:w="939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92"/>
      </w:tblGrid>
      <w:tr w14:paraId="1C46F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904" w:type="dxa"/>
            <w:vAlign w:val="top"/>
          </w:tcPr>
          <w:p w14:paraId="36BEBBE0">
            <w:pPr>
              <w:rPr>
                <w:rFonts w:ascii="Arial"/>
                <w:sz w:val="21"/>
              </w:rPr>
            </w:pPr>
          </w:p>
        </w:tc>
        <w:tc>
          <w:tcPr>
            <w:tcW w:w="8492" w:type="dxa"/>
            <w:vAlign w:val="top"/>
          </w:tcPr>
          <w:p w14:paraId="5DCB71A7">
            <w:pPr>
              <w:pStyle w:val="6"/>
              <w:spacing w:before="23" w:line="219" w:lineRule="auto"/>
              <w:ind w:left="81"/>
              <w:rPr>
                <w:sz w:val="24"/>
                <w:szCs w:val="24"/>
              </w:rPr>
            </w:pPr>
            <w:r>
              <w:rPr>
                <w:sz w:val="24"/>
                <w:szCs w:val="24"/>
              </w:rPr>
              <w:t>查未发现滇中地区特有植物物种分布，项目建设对区域特有物种无影响。</w:t>
            </w:r>
          </w:p>
          <w:p w14:paraId="267749F2">
            <w:pPr>
              <w:pStyle w:val="6"/>
              <w:spacing w:before="183" w:line="219" w:lineRule="auto"/>
              <w:ind w:left="104"/>
              <w:rPr>
                <w:sz w:val="24"/>
                <w:szCs w:val="24"/>
              </w:rPr>
            </w:pPr>
            <w:r>
              <w:rPr>
                <w:b/>
                <w:bCs/>
                <w:spacing w:val="-2"/>
                <w:sz w:val="24"/>
                <w:szCs w:val="24"/>
              </w:rPr>
              <w:t>1.3.2对植物种类和区系的影响</w:t>
            </w:r>
          </w:p>
          <w:p w14:paraId="24ECE2D8">
            <w:pPr>
              <w:pStyle w:val="6"/>
              <w:spacing w:before="188" w:line="219" w:lineRule="auto"/>
              <w:ind w:left="561"/>
              <w:rPr>
                <w:sz w:val="24"/>
                <w:szCs w:val="24"/>
              </w:rPr>
            </w:pPr>
            <w:r>
              <w:rPr>
                <w:sz w:val="24"/>
                <w:szCs w:val="24"/>
              </w:rPr>
              <w:t>工程建设期间对植物的影响主要来源于施工占地范围内清除地被</w:t>
            </w:r>
            <w:r>
              <w:rPr>
                <w:spacing w:val="-1"/>
                <w:sz w:val="24"/>
                <w:szCs w:val="24"/>
              </w:rPr>
              <w:t>物。</w:t>
            </w:r>
          </w:p>
          <w:p w14:paraId="15B8C6F3">
            <w:pPr>
              <w:pStyle w:val="6"/>
              <w:spacing w:before="180" w:line="360" w:lineRule="auto"/>
              <w:ind w:left="31" w:firstLine="549"/>
              <w:rPr>
                <w:sz w:val="24"/>
                <w:szCs w:val="24"/>
              </w:rPr>
            </w:pPr>
            <w:r>
              <w:rPr>
                <w:spacing w:val="-1"/>
                <w:sz w:val="24"/>
                <w:szCs w:val="24"/>
              </w:rPr>
              <w:t>工程永久占地范围内地表植物将永久性消失，工程的建设会造成一部分植物</w:t>
            </w:r>
            <w:r>
              <w:rPr>
                <w:spacing w:val="13"/>
                <w:sz w:val="24"/>
                <w:szCs w:val="24"/>
              </w:rPr>
              <w:t xml:space="preserve"> </w:t>
            </w:r>
            <w:r>
              <w:rPr>
                <w:sz w:val="24"/>
                <w:szCs w:val="24"/>
              </w:rPr>
              <w:t>数量的减少，但由于工程占地范围内无珍稀濒危及保护植物分布，且占用的植物</w:t>
            </w:r>
            <w:r>
              <w:rPr>
                <w:spacing w:val="4"/>
                <w:sz w:val="24"/>
                <w:szCs w:val="24"/>
              </w:rPr>
              <w:t xml:space="preserve"> </w:t>
            </w:r>
            <w:r>
              <w:rPr>
                <w:sz w:val="24"/>
                <w:szCs w:val="24"/>
              </w:rPr>
              <w:t>在工程区周边大量分布，因此工程建设虽会造成一部分植物数量的减少，但并不</w:t>
            </w:r>
            <w:r>
              <w:rPr>
                <w:spacing w:val="5"/>
                <w:sz w:val="24"/>
                <w:szCs w:val="24"/>
              </w:rPr>
              <w:t xml:space="preserve"> </w:t>
            </w:r>
            <w:r>
              <w:rPr>
                <w:spacing w:val="2"/>
                <w:sz w:val="24"/>
                <w:szCs w:val="24"/>
              </w:rPr>
              <w:t>会造成任何一种植物的大面积减少和消失。工程清除的植物主要为云南松</w:t>
            </w:r>
            <w:r>
              <w:rPr>
                <w:sz w:val="24"/>
                <w:szCs w:val="24"/>
              </w:rPr>
              <w:t>Pinus</w:t>
            </w:r>
            <w:r>
              <w:rPr>
                <w:spacing w:val="2"/>
                <w:sz w:val="24"/>
                <w:szCs w:val="24"/>
              </w:rPr>
              <w:t xml:space="preserve">  </w:t>
            </w:r>
            <w:r>
              <w:rPr>
                <w:spacing w:val="-10"/>
                <w:sz w:val="24"/>
                <w:szCs w:val="24"/>
              </w:rPr>
              <w:t>yunnanensis、高山栲Castanopsi</w:t>
            </w:r>
            <w:r>
              <w:rPr>
                <w:spacing w:val="-11"/>
                <w:sz w:val="24"/>
                <w:szCs w:val="24"/>
              </w:rPr>
              <w:t>s delavayi、滇油杉Keteleeria evelyniana、珍珠花</w:t>
            </w:r>
            <w:r>
              <w:rPr>
                <w:sz w:val="24"/>
                <w:szCs w:val="24"/>
              </w:rPr>
              <w:t xml:space="preserve"> Lyonia</w:t>
            </w:r>
            <w:r>
              <w:rPr>
                <w:spacing w:val="3"/>
                <w:sz w:val="24"/>
                <w:szCs w:val="24"/>
              </w:rPr>
              <w:t xml:space="preserve"> </w:t>
            </w:r>
            <w:r>
              <w:rPr>
                <w:sz w:val="24"/>
                <w:szCs w:val="24"/>
              </w:rPr>
              <w:t>ovalifolia</w:t>
            </w:r>
            <w:r>
              <w:rPr>
                <w:spacing w:val="3"/>
                <w:sz w:val="24"/>
                <w:szCs w:val="24"/>
              </w:rPr>
              <w:t>、马缨花</w:t>
            </w:r>
            <w:r>
              <w:rPr>
                <w:sz w:val="24"/>
                <w:szCs w:val="24"/>
              </w:rPr>
              <w:t>Rhododendron</w:t>
            </w:r>
            <w:r>
              <w:rPr>
                <w:spacing w:val="3"/>
                <w:sz w:val="24"/>
                <w:szCs w:val="24"/>
              </w:rPr>
              <w:t xml:space="preserve"> </w:t>
            </w:r>
            <w:r>
              <w:rPr>
                <w:sz w:val="24"/>
                <w:szCs w:val="24"/>
              </w:rPr>
              <w:t>delavayi</w:t>
            </w:r>
            <w:r>
              <w:rPr>
                <w:spacing w:val="3"/>
                <w:sz w:val="24"/>
                <w:szCs w:val="24"/>
              </w:rPr>
              <w:t>、紫茎泽兰</w:t>
            </w:r>
            <w:r>
              <w:rPr>
                <w:sz w:val="24"/>
                <w:szCs w:val="24"/>
              </w:rPr>
              <w:t>Eupatorium</w:t>
            </w:r>
          </w:p>
          <w:p w14:paraId="78ACD0C3">
            <w:pPr>
              <w:pStyle w:val="6"/>
              <w:spacing w:line="361" w:lineRule="auto"/>
              <w:ind w:left="71" w:right="6" w:firstLine="10"/>
              <w:rPr>
                <w:sz w:val="24"/>
                <w:szCs w:val="24"/>
              </w:rPr>
            </w:pPr>
            <w:r>
              <w:rPr>
                <w:spacing w:val="-11"/>
                <w:sz w:val="24"/>
                <w:szCs w:val="24"/>
              </w:rPr>
              <w:t>adenophora、金丝桃Hypericum forrestii、珍珠花Lyon</w:t>
            </w:r>
            <w:r>
              <w:rPr>
                <w:spacing w:val="-12"/>
                <w:sz w:val="24"/>
                <w:szCs w:val="24"/>
              </w:rPr>
              <w:t>ia ovalifolia、矮杨梅Myrica</w:t>
            </w:r>
            <w:r>
              <w:rPr>
                <w:sz w:val="24"/>
                <w:szCs w:val="24"/>
              </w:rPr>
              <w:t xml:space="preserve"> nana</w:t>
            </w:r>
            <w:r>
              <w:rPr>
                <w:spacing w:val="1"/>
                <w:sz w:val="24"/>
                <w:szCs w:val="24"/>
              </w:rPr>
              <w:t>、芒种花</w:t>
            </w:r>
            <w:r>
              <w:rPr>
                <w:sz w:val="24"/>
                <w:szCs w:val="24"/>
              </w:rPr>
              <w:t>Hypericum</w:t>
            </w:r>
            <w:r>
              <w:rPr>
                <w:spacing w:val="1"/>
                <w:sz w:val="24"/>
                <w:szCs w:val="24"/>
              </w:rPr>
              <w:t xml:space="preserve"> </w:t>
            </w:r>
            <w:r>
              <w:rPr>
                <w:sz w:val="24"/>
                <w:szCs w:val="24"/>
              </w:rPr>
              <w:t>uralum</w:t>
            </w:r>
            <w:r>
              <w:rPr>
                <w:spacing w:val="1"/>
                <w:sz w:val="24"/>
                <w:szCs w:val="24"/>
              </w:rPr>
              <w:t>、马桑</w:t>
            </w:r>
            <w:r>
              <w:rPr>
                <w:sz w:val="24"/>
                <w:szCs w:val="24"/>
              </w:rPr>
              <w:t>Coriaria</w:t>
            </w:r>
            <w:r>
              <w:rPr>
                <w:spacing w:val="1"/>
                <w:sz w:val="24"/>
                <w:szCs w:val="24"/>
              </w:rPr>
              <w:t xml:space="preserve"> </w:t>
            </w:r>
            <w:r>
              <w:rPr>
                <w:sz w:val="24"/>
                <w:szCs w:val="24"/>
              </w:rPr>
              <w:t>nepalensis</w:t>
            </w:r>
            <w:r>
              <w:rPr>
                <w:spacing w:val="1"/>
                <w:sz w:val="24"/>
                <w:szCs w:val="24"/>
              </w:rPr>
              <w:t>、多花杭子梢</w:t>
            </w:r>
          </w:p>
          <w:p w14:paraId="493789F0">
            <w:pPr>
              <w:pStyle w:val="6"/>
              <w:spacing w:before="1" w:line="359" w:lineRule="auto"/>
              <w:ind w:left="11" w:firstLine="88"/>
              <w:rPr>
                <w:sz w:val="24"/>
                <w:szCs w:val="24"/>
              </w:rPr>
            </w:pPr>
            <w:r>
              <w:rPr>
                <w:spacing w:val="-14"/>
                <w:sz w:val="24"/>
                <w:szCs w:val="24"/>
              </w:rPr>
              <w:t>Campylotropis parviflora、密蒙花Buddleja officinalis、小铁仔Myr</w:t>
            </w:r>
            <w:r>
              <w:rPr>
                <w:spacing w:val="-15"/>
                <w:sz w:val="24"/>
                <w:szCs w:val="24"/>
              </w:rPr>
              <w:t>sine africana、</w:t>
            </w:r>
            <w:r>
              <w:rPr>
                <w:sz w:val="24"/>
                <w:szCs w:val="24"/>
              </w:rPr>
              <w:t xml:space="preserve"> </w:t>
            </w:r>
            <w:r>
              <w:rPr>
                <w:spacing w:val="-5"/>
                <w:sz w:val="24"/>
                <w:szCs w:val="24"/>
              </w:rPr>
              <w:t>华西小石积Osteomeles schwerinae、沙针Osyris lanceolata、烟管荚速Viburnum</w:t>
            </w:r>
            <w:r>
              <w:rPr>
                <w:spacing w:val="8"/>
                <w:sz w:val="24"/>
                <w:szCs w:val="24"/>
              </w:rPr>
              <w:t xml:space="preserve">  </w:t>
            </w:r>
            <w:r>
              <w:rPr>
                <w:spacing w:val="-3"/>
                <w:sz w:val="24"/>
                <w:szCs w:val="24"/>
              </w:rPr>
              <w:t>utile、毡毛枸子Cotoneaster pannosus等，均为当地大量分布的植物。项</w:t>
            </w:r>
            <w:r>
              <w:rPr>
                <w:spacing w:val="-4"/>
                <w:sz w:val="24"/>
                <w:szCs w:val="24"/>
              </w:rPr>
              <w:t>目清除</w:t>
            </w:r>
            <w:r>
              <w:rPr>
                <w:sz w:val="24"/>
                <w:szCs w:val="24"/>
              </w:rPr>
              <w:t xml:space="preserve"> </w:t>
            </w:r>
            <w:r>
              <w:rPr>
                <w:spacing w:val="3"/>
                <w:sz w:val="24"/>
                <w:szCs w:val="24"/>
              </w:rPr>
              <w:t>植被面积较小，影响较小。</w:t>
            </w:r>
          </w:p>
          <w:p w14:paraId="778548C6">
            <w:pPr>
              <w:pStyle w:val="6"/>
              <w:spacing w:before="7" w:line="220" w:lineRule="auto"/>
              <w:ind w:left="104"/>
              <w:rPr>
                <w:sz w:val="24"/>
                <w:szCs w:val="24"/>
              </w:rPr>
            </w:pPr>
            <w:r>
              <w:rPr>
                <w:b/>
                <w:bCs/>
                <w:spacing w:val="-2"/>
                <w:sz w:val="24"/>
                <w:szCs w:val="24"/>
              </w:rPr>
              <w:t>1.4对陆生动物影响</w:t>
            </w:r>
          </w:p>
          <w:p w14:paraId="17CAD736">
            <w:pPr>
              <w:pStyle w:val="6"/>
              <w:spacing w:before="178" w:line="220" w:lineRule="auto"/>
              <w:ind w:left="671"/>
              <w:rPr>
                <w:sz w:val="24"/>
                <w:szCs w:val="24"/>
              </w:rPr>
            </w:pPr>
            <w:r>
              <w:rPr>
                <w:spacing w:val="1"/>
                <w:sz w:val="24"/>
                <w:szCs w:val="24"/>
              </w:rPr>
              <w:t>(1)一般野生动物</w:t>
            </w:r>
          </w:p>
          <w:p w14:paraId="2D5452F4">
            <w:pPr>
              <w:pStyle w:val="6"/>
              <w:spacing w:before="172" w:line="369" w:lineRule="auto"/>
              <w:ind w:left="101" w:firstLine="479"/>
              <w:rPr>
                <w:sz w:val="24"/>
                <w:szCs w:val="24"/>
              </w:rPr>
            </w:pPr>
            <w:r>
              <w:rPr>
                <w:spacing w:val="-1"/>
                <w:sz w:val="24"/>
                <w:szCs w:val="24"/>
              </w:rPr>
              <w:t>本项目对野生动物的影响主要是工程施工期带来的影响，包括项目占地带来</w:t>
            </w:r>
            <w:r>
              <w:rPr>
                <w:spacing w:val="13"/>
                <w:sz w:val="24"/>
                <w:szCs w:val="24"/>
              </w:rPr>
              <w:t xml:space="preserve"> </w:t>
            </w:r>
            <w:r>
              <w:rPr>
                <w:spacing w:val="-1"/>
                <w:sz w:val="24"/>
                <w:szCs w:val="24"/>
              </w:rPr>
              <w:t>的影响和施工活动带来的影响。</w:t>
            </w:r>
          </w:p>
          <w:p w14:paraId="3C8B2908">
            <w:pPr>
              <w:pStyle w:val="6"/>
              <w:spacing w:before="4" w:line="354" w:lineRule="auto"/>
              <w:ind w:left="31" w:firstLine="542"/>
              <w:rPr>
                <w:sz w:val="24"/>
                <w:szCs w:val="24"/>
              </w:rPr>
            </w:pPr>
            <w:r>
              <w:rPr>
                <w:spacing w:val="-3"/>
                <w:sz w:val="24"/>
                <w:szCs w:val="24"/>
              </w:rPr>
              <w:t>在施工期，工程占地、临时道路将改变和占用原</w:t>
            </w:r>
            <w:r>
              <w:rPr>
                <w:spacing w:val="-4"/>
                <w:sz w:val="24"/>
                <w:szCs w:val="24"/>
              </w:rPr>
              <w:t>有陆栖脊椎野生动物的栖息</w:t>
            </w:r>
            <w:r>
              <w:rPr>
                <w:sz w:val="24"/>
                <w:szCs w:val="24"/>
              </w:rPr>
              <w:t xml:space="preserve"> </w:t>
            </w:r>
            <w:r>
              <w:rPr>
                <w:spacing w:val="-3"/>
                <w:sz w:val="24"/>
                <w:szCs w:val="24"/>
              </w:rPr>
              <w:t>生境，使其栖息和活动场所缩小，如小型穴居哺乳类和爬行类的洞穴、鸟类巢区</w:t>
            </w:r>
            <w:r>
              <w:rPr>
                <w:spacing w:val="8"/>
                <w:sz w:val="24"/>
                <w:szCs w:val="24"/>
              </w:rPr>
              <w:t xml:space="preserve">  </w:t>
            </w:r>
            <w:r>
              <w:rPr>
                <w:spacing w:val="-3"/>
                <w:sz w:val="24"/>
                <w:szCs w:val="24"/>
              </w:rPr>
              <w:t>的生境将遭到破坏，少数动物的生活和繁殖活动将受到一定影响。结果迫使原栖</w:t>
            </w:r>
            <w:r>
              <w:rPr>
                <w:spacing w:val="3"/>
                <w:sz w:val="24"/>
                <w:szCs w:val="24"/>
              </w:rPr>
              <w:t xml:space="preserve">  </w:t>
            </w:r>
            <w:r>
              <w:rPr>
                <w:spacing w:val="-3"/>
                <w:sz w:val="24"/>
                <w:szCs w:val="24"/>
              </w:rPr>
              <w:t>息在该区域的动物迁往其他适宜的生境，动物种群数量在一段时间内将会有大的</w:t>
            </w:r>
            <w:r>
              <w:rPr>
                <w:spacing w:val="7"/>
                <w:sz w:val="24"/>
                <w:szCs w:val="24"/>
              </w:rPr>
              <w:t xml:space="preserve">  </w:t>
            </w:r>
            <w:r>
              <w:rPr>
                <w:spacing w:val="-3"/>
                <w:sz w:val="24"/>
                <w:szCs w:val="24"/>
              </w:rPr>
              <w:t>波动，但这一类型的影响不会导致当地物种的灭绝和消失。评价区由于多年来的</w:t>
            </w:r>
            <w:r>
              <w:rPr>
                <w:spacing w:val="7"/>
                <w:sz w:val="24"/>
                <w:szCs w:val="24"/>
              </w:rPr>
              <w:t xml:space="preserve">  </w:t>
            </w:r>
            <w:r>
              <w:rPr>
                <w:spacing w:val="1"/>
                <w:sz w:val="24"/>
                <w:szCs w:val="24"/>
              </w:rPr>
              <w:t>人为破坏，原生植被基本被破坏，现存的天然植被(含萌</w:t>
            </w:r>
            <w:r>
              <w:rPr>
                <w:sz w:val="24"/>
                <w:szCs w:val="24"/>
              </w:rPr>
              <w:t xml:space="preserve">生、次生植被)主要是   </w:t>
            </w:r>
            <w:r>
              <w:rPr>
                <w:spacing w:val="-2"/>
                <w:sz w:val="24"/>
                <w:szCs w:val="24"/>
              </w:rPr>
              <w:t>暖温性稀树灌木草丛、暖温性针叶林，人工植被主要为耕</w:t>
            </w:r>
            <w:r>
              <w:rPr>
                <w:spacing w:val="-3"/>
                <w:sz w:val="24"/>
                <w:szCs w:val="24"/>
              </w:rPr>
              <w:t>地、人工林。项目占用</w:t>
            </w:r>
            <w:r>
              <w:rPr>
                <w:sz w:val="24"/>
                <w:szCs w:val="24"/>
              </w:rPr>
              <w:t xml:space="preserve">  </w:t>
            </w:r>
            <w:r>
              <w:rPr>
                <w:spacing w:val="-3"/>
                <w:sz w:val="24"/>
                <w:szCs w:val="24"/>
              </w:rPr>
              <w:t>和破坏的植被类型较为简单，在这些生境中生活的野生动物的种类和数量都比较</w:t>
            </w:r>
            <w:r>
              <w:rPr>
                <w:spacing w:val="3"/>
                <w:sz w:val="24"/>
                <w:szCs w:val="24"/>
              </w:rPr>
              <w:t xml:space="preserve">  </w:t>
            </w:r>
            <w:r>
              <w:rPr>
                <w:sz w:val="24"/>
                <w:szCs w:val="24"/>
              </w:rPr>
              <w:t>贫乏，现场调查时未发现当地分布的特有种类，野生保护动物仅可见3种猛禽，</w:t>
            </w:r>
            <w:r>
              <w:rPr>
                <w:spacing w:val="6"/>
                <w:sz w:val="24"/>
                <w:szCs w:val="24"/>
              </w:rPr>
              <w:t xml:space="preserve">  </w:t>
            </w:r>
            <w:r>
              <w:rPr>
                <w:spacing w:val="-5"/>
                <w:sz w:val="24"/>
                <w:szCs w:val="24"/>
              </w:rPr>
              <w:t>物种多样性不丰富，而且，区内有的这些动物的活动性较</w:t>
            </w:r>
            <w:r>
              <w:rPr>
                <w:spacing w:val="-6"/>
                <w:sz w:val="24"/>
                <w:szCs w:val="24"/>
              </w:rPr>
              <w:t>强，均为广布种，因此，</w:t>
            </w:r>
          </w:p>
        </w:tc>
      </w:tr>
    </w:tbl>
    <w:p w14:paraId="3CA08B4E">
      <w:pPr>
        <w:pStyle w:val="2"/>
      </w:pPr>
    </w:p>
    <w:p w14:paraId="1EBC42A7">
      <w:pPr>
        <w:sectPr>
          <w:footerReference r:id="rId129" w:type="default"/>
          <w:pgSz w:w="11910" w:h="16830"/>
          <w:pgMar w:top="400" w:right="1268" w:bottom="1245" w:left="1234" w:header="0" w:footer="1083" w:gutter="0"/>
          <w:cols w:space="720" w:num="1"/>
        </w:sectPr>
      </w:pPr>
    </w:p>
    <w:p w14:paraId="70350EA3">
      <w:pPr>
        <w:spacing w:before="15"/>
      </w:pPr>
    </w:p>
    <w:p w14:paraId="1E259B58">
      <w:pPr>
        <w:spacing w:before="15"/>
      </w:pPr>
    </w:p>
    <w:p w14:paraId="666A15AD">
      <w:pPr>
        <w:spacing w:before="15"/>
      </w:pPr>
    </w:p>
    <w:p w14:paraId="100DBC03">
      <w:pPr>
        <w:spacing w:before="14"/>
      </w:pPr>
    </w:p>
    <w:tbl>
      <w:tblPr>
        <w:tblStyle w:val="5"/>
        <w:tblW w:w="93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86"/>
      </w:tblGrid>
      <w:tr w14:paraId="519F2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904" w:type="dxa"/>
            <w:vAlign w:val="top"/>
          </w:tcPr>
          <w:p w14:paraId="34F514E6">
            <w:pPr>
              <w:rPr>
                <w:rFonts w:ascii="Arial"/>
                <w:sz w:val="21"/>
              </w:rPr>
            </w:pPr>
          </w:p>
        </w:tc>
        <w:tc>
          <w:tcPr>
            <w:tcW w:w="8486" w:type="dxa"/>
            <w:vAlign w:val="top"/>
          </w:tcPr>
          <w:p w14:paraId="32AF98B9">
            <w:pPr>
              <w:pStyle w:val="6"/>
              <w:spacing w:before="25" w:line="220" w:lineRule="auto"/>
              <w:ind w:left="81"/>
              <w:rPr>
                <w:sz w:val="24"/>
                <w:szCs w:val="24"/>
              </w:rPr>
            </w:pPr>
            <w:r>
              <w:rPr>
                <w:spacing w:val="-1"/>
                <w:sz w:val="24"/>
                <w:szCs w:val="24"/>
              </w:rPr>
              <w:t>项目建设对区域野生动物的影响不大。</w:t>
            </w:r>
          </w:p>
          <w:p w14:paraId="3A8EEDC4">
            <w:pPr>
              <w:pStyle w:val="6"/>
              <w:spacing w:before="185" w:line="360" w:lineRule="auto"/>
              <w:ind w:left="31" w:firstLine="539"/>
              <w:rPr>
                <w:sz w:val="24"/>
                <w:szCs w:val="24"/>
              </w:rPr>
            </w:pPr>
            <w:r>
              <w:rPr>
                <w:spacing w:val="-1"/>
                <w:sz w:val="24"/>
                <w:szCs w:val="24"/>
              </w:rPr>
              <w:t>施工人员活动的干扰以及施工机械噪声干扰的影响将迫使陆栖脊椎动物迁</w:t>
            </w:r>
            <w:r>
              <w:rPr>
                <w:spacing w:val="3"/>
                <w:sz w:val="24"/>
                <w:szCs w:val="24"/>
              </w:rPr>
              <w:t xml:space="preserve">   </w:t>
            </w:r>
            <w:r>
              <w:rPr>
                <w:sz w:val="24"/>
                <w:szCs w:val="24"/>
              </w:rPr>
              <w:t>出受干扰区域，以避让相应的干扰，随着施工期的结束影响消除</w:t>
            </w:r>
            <w:r>
              <w:rPr>
                <w:spacing w:val="-1"/>
                <w:sz w:val="24"/>
                <w:szCs w:val="24"/>
              </w:rPr>
              <w:t>，部分陆栖脊椎</w:t>
            </w:r>
            <w:r>
              <w:rPr>
                <w:sz w:val="24"/>
                <w:szCs w:val="24"/>
              </w:rPr>
              <w:t xml:space="preserve"> 动物会逐渐回迁。根据该区域陆栖脊椎野生动物的调查结果可知，</w:t>
            </w:r>
            <w:r>
              <w:rPr>
                <w:spacing w:val="-1"/>
                <w:sz w:val="24"/>
                <w:szCs w:val="24"/>
              </w:rPr>
              <w:t>评价区的陆栖</w:t>
            </w:r>
            <w:r>
              <w:rPr>
                <w:sz w:val="24"/>
                <w:szCs w:val="24"/>
              </w:rPr>
              <w:t xml:space="preserve"> 脊椎野生动物以鸟类和小型哺乳类占优势，迁移能力较强，两栖类、爬</w:t>
            </w:r>
            <w:r>
              <w:rPr>
                <w:spacing w:val="-1"/>
                <w:sz w:val="24"/>
                <w:szCs w:val="24"/>
              </w:rPr>
              <w:t>行类的物</w:t>
            </w:r>
            <w:r>
              <w:rPr>
                <w:sz w:val="24"/>
                <w:szCs w:val="24"/>
              </w:rPr>
              <w:t xml:space="preserve"> </w:t>
            </w:r>
            <w:r>
              <w:rPr>
                <w:spacing w:val="-1"/>
                <w:sz w:val="24"/>
                <w:szCs w:val="24"/>
              </w:rPr>
              <w:t>种均具有一定的迁移能力，且评价区的陆栖脊椎野生动物的分布区较为广泛。所</w:t>
            </w:r>
            <w:r>
              <w:rPr>
                <w:spacing w:val="9"/>
                <w:sz w:val="24"/>
                <w:szCs w:val="24"/>
              </w:rPr>
              <w:t xml:space="preserve"> </w:t>
            </w:r>
            <w:r>
              <w:rPr>
                <w:sz w:val="24"/>
                <w:szCs w:val="24"/>
              </w:rPr>
              <w:t>以，在项目施工期间，陆栖脊椎动物对于这一类型的干扰能够主动避</w:t>
            </w:r>
            <w:r>
              <w:rPr>
                <w:spacing w:val="-1"/>
                <w:sz w:val="24"/>
                <w:szCs w:val="24"/>
              </w:rPr>
              <w:t>让，项目施</w:t>
            </w:r>
            <w:r>
              <w:rPr>
                <w:sz w:val="24"/>
                <w:szCs w:val="24"/>
              </w:rPr>
              <w:t xml:space="preserve"> 工不会对该区域的陆栖脊椎野生动物多样性产生较大的影响。除此之</w:t>
            </w:r>
            <w:r>
              <w:rPr>
                <w:spacing w:val="-1"/>
                <w:sz w:val="24"/>
                <w:szCs w:val="24"/>
              </w:rPr>
              <w:t>外，工程施</w:t>
            </w:r>
            <w:r>
              <w:rPr>
                <w:sz w:val="24"/>
                <w:szCs w:val="24"/>
              </w:rPr>
              <w:t xml:space="preserve"> 工中砂石料冲洗废水等，对地表水水质将会产生不利影响，从而影响沿湿润山箐 生活的一些脊椎动物种类，如两栖类。施工区的粉尘和施工机械尾气可</w:t>
            </w:r>
            <w:r>
              <w:rPr>
                <w:spacing w:val="-1"/>
                <w:sz w:val="24"/>
                <w:szCs w:val="24"/>
              </w:rPr>
              <w:t>能使一些</w:t>
            </w:r>
            <w:r>
              <w:rPr>
                <w:sz w:val="24"/>
                <w:szCs w:val="24"/>
              </w:rPr>
              <w:t xml:space="preserve"> 陆栖脊椎动物暂时迁出施工区，但由于施工区地势相对开阔，气</w:t>
            </w:r>
            <w:r>
              <w:rPr>
                <w:spacing w:val="-1"/>
                <w:sz w:val="24"/>
                <w:szCs w:val="24"/>
              </w:rPr>
              <w:t>体和噪声的扩散</w:t>
            </w:r>
            <w:r>
              <w:rPr>
                <w:sz w:val="24"/>
                <w:szCs w:val="24"/>
              </w:rPr>
              <w:t xml:space="preserve"> </w:t>
            </w:r>
            <w:r>
              <w:rPr>
                <w:spacing w:val="1"/>
                <w:sz w:val="24"/>
                <w:szCs w:val="24"/>
              </w:rPr>
              <w:t>条件较好，对区域环境空气质量影响不会严重。施工人员生活垃圾和餐厨垃圾，</w:t>
            </w:r>
            <w:r>
              <w:rPr>
                <w:spacing w:val="8"/>
                <w:sz w:val="24"/>
                <w:szCs w:val="24"/>
              </w:rPr>
              <w:t xml:space="preserve"> </w:t>
            </w:r>
            <w:r>
              <w:rPr>
                <w:spacing w:val="3"/>
                <w:sz w:val="24"/>
                <w:szCs w:val="24"/>
              </w:rPr>
              <w:t>可能会引来小型啮齿类和部分鸟类的取食，导致该区域有害兽类(啮齿类)种群</w:t>
            </w:r>
            <w:r>
              <w:rPr>
                <w:spacing w:val="4"/>
                <w:sz w:val="24"/>
                <w:szCs w:val="24"/>
              </w:rPr>
              <w:t xml:space="preserve">  </w:t>
            </w:r>
            <w:r>
              <w:rPr>
                <w:sz w:val="24"/>
                <w:szCs w:val="24"/>
              </w:rPr>
              <w:t>数量在施工期间出现增长趋势，使区域生态系统平衡受到一定程度的干扰。但总</w:t>
            </w:r>
            <w:r>
              <w:rPr>
                <w:spacing w:val="4"/>
                <w:sz w:val="24"/>
                <w:szCs w:val="24"/>
              </w:rPr>
              <w:t xml:space="preserve"> </w:t>
            </w:r>
            <w:r>
              <w:rPr>
                <w:spacing w:val="2"/>
                <w:sz w:val="24"/>
                <w:szCs w:val="24"/>
              </w:rPr>
              <w:t>体而言，施工期对野生动物的影响不大。</w:t>
            </w:r>
          </w:p>
          <w:p w14:paraId="70004AA6">
            <w:pPr>
              <w:pStyle w:val="6"/>
              <w:spacing w:before="6" w:line="220" w:lineRule="auto"/>
              <w:ind w:left="700"/>
              <w:rPr>
                <w:sz w:val="24"/>
                <w:szCs w:val="24"/>
              </w:rPr>
            </w:pPr>
            <w:r>
              <w:rPr>
                <w:spacing w:val="1"/>
                <w:sz w:val="24"/>
                <w:szCs w:val="24"/>
              </w:rPr>
              <w:t>(2)对保护动物的影响</w:t>
            </w:r>
          </w:p>
          <w:p w14:paraId="5EDDAC85">
            <w:pPr>
              <w:pStyle w:val="6"/>
              <w:spacing w:before="171" w:line="359" w:lineRule="auto"/>
              <w:ind w:left="31" w:right="34" w:firstLine="550"/>
              <w:rPr>
                <w:sz w:val="24"/>
                <w:szCs w:val="24"/>
              </w:rPr>
            </w:pPr>
            <w:r>
              <w:rPr>
                <w:sz w:val="24"/>
                <w:szCs w:val="24"/>
              </w:rPr>
              <w:t>评价区内有国家Ⅱ级重点保护动物3种，均为鸟类，</w:t>
            </w:r>
            <w:r>
              <w:rPr>
                <w:spacing w:val="-1"/>
                <w:sz w:val="24"/>
                <w:szCs w:val="24"/>
              </w:rPr>
              <w:t>鸟类均为高空猛禽，其</w:t>
            </w:r>
            <w:r>
              <w:rPr>
                <w:sz w:val="24"/>
                <w:szCs w:val="24"/>
              </w:rPr>
              <w:t xml:space="preserve"> 数量较少，评价区仅为这些猛禽分布区域的一部分，分布区域广泛，趋避能力较</w:t>
            </w:r>
            <w:r>
              <w:rPr>
                <w:spacing w:val="9"/>
                <w:sz w:val="24"/>
                <w:szCs w:val="24"/>
              </w:rPr>
              <w:t xml:space="preserve"> </w:t>
            </w:r>
            <w:r>
              <w:rPr>
                <w:spacing w:val="3"/>
                <w:sz w:val="24"/>
                <w:szCs w:val="24"/>
              </w:rPr>
              <w:t>强，食物来源广，施工期对其影响不大。</w:t>
            </w:r>
          </w:p>
          <w:p w14:paraId="29C3C0AA">
            <w:pPr>
              <w:pStyle w:val="6"/>
              <w:spacing w:before="1" w:line="217" w:lineRule="auto"/>
              <w:ind w:left="451"/>
              <w:rPr>
                <w:sz w:val="24"/>
                <w:szCs w:val="24"/>
              </w:rPr>
            </w:pPr>
            <w:r>
              <w:rPr>
                <w:sz w:val="24"/>
                <w:szCs w:val="24"/>
              </w:rPr>
              <w:t>根据Maxent适宜栖息地预测结果，本项目占地不</w:t>
            </w:r>
            <w:r>
              <w:rPr>
                <w:spacing w:val="-1"/>
                <w:sz w:val="24"/>
                <w:szCs w:val="24"/>
              </w:rPr>
              <w:t>涉及评价区内3种重点保</w:t>
            </w:r>
          </w:p>
          <w:p w14:paraId="58CDDDD5">
            <w:pPr>
              <w:pStyle w:val="6"/>
              <w:spacing w:before="186" w:line="356" w:lineRule="auto"/>
              <w:ind w:left="31" w:right="30"/>
              <w:rPr>
                <w:sz w:val="24"/>
                <w:szCs w:val="24"/>
              </w:rPr>
            </w:pPr>
            <w:r>
              <w:rPr>
                <w:sz w:val="24"/>
                <w:szCs w:val="24"/>
              </w:rPr>
              <w:t>护野生动物的适宜生境、较适宜生境，这主要是由于项目区周边受人为干扰较为</w:t>
            </w:r>
            <w:r>
              <w:rPr>
                <w:spacing w:val="11"/>
                <w:sz w:val="24"/>
                <w:szCs w:val="24"/>
              </w:rPr>
              <w:t xml:space="preserve"> </w:t>
            </w:r>
            <w:r>
              <w:rPr>
                <w:sz w:val="24"/>
                <w:szCs w:val="24"/>
              </w:rPr>
              <w:t>严重，植被覆盖率相对较低、植被类型以耕地、园地等人工植被为主。项目区仅</w:t>
            </w:r>
          </w:p>
          <w:p w14:paraId="50DD3F2E">
            <w:pPr>
              <w:pStyle w:val="6"/>
              <w:spacing w:before="16" w:line="357" w:lineRule="auto"/>
              <w:ind w:left="81" w:right="146" w:firstLine="70"/>
              <w:rPr>
                <w:sz w:val="24"/>
                <w:szCs w:val="24"/>
              </w:rPr>
            </w:pPr>
            <w:r>
              <w:rPr>
                <w:sz w:val="24"/>
                <w:szCs w:val="24"/>
              </w:rPr>
              <w:t>为这3种保护动物捕食区域的一小部分，建设对这3种野生保护动物适宜生境的</w:t>
            </w:r>
            <w:r>
              <w:rPr>
                <w:spacing w:val="17"/>
                <w:sz w:val="24"/>
                <w:szCs w:val="24"/>
              </w:rPr>
              <w:t xml:space="preserve"> </w:t>
            </w:r>
            <w:r>
              <w:rPr>
                <w:spacing w:val="-1"/>
                <w:sz w:val="24"/>
                <w:szCs w:val="24"/>
              </w:rPr>
              <w:t>影响很小。</w:t>
            </w:r>
          </w:p>
          <w:p w14:paraId="0CA3B0A8">
            <w:pPr>
              <w:pStyle w:val="6"/>
              <w:spacing w:before="5" w:line="351" w:lineRule="auto"/>
              <w:ind w:left="31" w:firstLine="525"/>
              <w:rPr>
                <w:sz w:val="24"/>
                <w:szCs w:val="24"/>
              </w:rPr>
            </w:pPr>
            <w:r>
              <w:rPr>
                <w:spacing w:val="-2"/>
                <w:sz w:val="24"/>
                <w:szCs w:val="24"/>
              </w:rPr>
              <w:t>评价区内分布有3种国家二级重点保护鸟类，</w:t>
            </w:r>
            <w:r>
              <w:rPr>
                <w:spacing w:val="-3"/>
                <w:sz w:val="24"/>
                <w:szCs w:val="24"/>
              </w:rPr>
              <w:t>红隼、普通鷲、松雀鹰均为猛</w:t>
            </w:r>
            <w:r>
              <w:rPr>
                <w:sz w:val="24"/>
                <w:szCs w:val="24"/>
              </w:rPr>
              <w:t xml:space="preserve">  禽；对于这3种高空猛禽来说，项目建设用地区以草地、乔木林地为主，</w:t>
            </w:r>
            <w:r>
              <w:rPr>
                <w:spacing w:val="-1"/>
                <w:sz w:val="24"/>
                <w:szCs w:val="24"/>
              </w:rPr>
              <w:t>主要为</w:t>
            </w:r>
            <w:r>
              <w:rPr>
                <w:sz w:val="24"/>
                <w:szCs w:val="24"/>
              </w:rPr>
              <w:t xml:space="preserve">  这3种重点保护鸟类的觅食活动区域，不涉及其重要生境。工程建设</w:t>
            </w:r>
            <w:r>
              <w:rPr>
                <w:spacing w:val="-1"/>
                <w:sz w:val="24"/>
                <w:szCs w:val="24"/>
              </w:rPr>
              <w:t>后，工程建</w:t>
            </w:r>
            <w:r>
              <w:rPr>
                <w:sz w:val="24"/>
                <w:szCs w:val="24"/>
              </w:rPr>
              <w:t xml:space="preserve">  </w:t>
            </w:r>
            <w:r>
              <w:rPr>
                <w:spacing w:val="2"/>
                <w:sz w:val="24"/>
                <w:szCs w:val="24"/>
              </w:rPr>
              <w:t>设运行虽然会压缩其一定的觅食区，但这三种鸟类适宜生境均分布在项目区以</w:t>
            </w:r>
            <w:r>
              <w:rPr>
                <w:sz w:val="24"/>
                <w:szCs w:val="24"/>
              </w:rPr>
              <w:t xml:space="preserve">  </w:t>
            </w:r>
            <w:r>
              <w:rPr>
                <w:spacing w:val="-2"/>
                <w:sz w:val="24"/>
                <w:szCs w:val="24"/>
              </w:rPr>
              <w:t>外，工程用地区外尚有大量开阔的草地及林地分布，且这3种鸟类活动</w:t>
            </w:r>
            <w:r>
              <w:rPr>
                <w:spacing w:val="-3"/>
                <w:sz w:val="24"/>
                <w:szCs w:val="24"/>
              </w:rPr>
              <w:t>范围较广，</w:t>
            </w:r>
          </w:p>
        </w:tc>
      </w:tr>
    </w:tbl>
    <w:p w14:paraId="6700E438">
      <w:pPr>
        <w:pStyle w:val="2"/>
      </w:pPr>
    </w:p>
    <w:p w14:paraId="2DB8729C">
      <w:pPr>
        <w:sectPr>
          <w:footerReference r:id="rId130" w:type="default"/>
          <w:pgSz w:w="11910" w:h="16830"/>
          <w:pgMar w:top="400" w:right="1274" w:bottom="1259" w:left="1234" w:header="0" w:footer="1079" w:gutter="0"/>
          <w:cols w:space="720" w:num="1"/>
        </w:sectPr>
      </w:pPr>
    </w:p>
    <w:p w14:paraId="7FFC339E">
      <w:pPr>
        <w:spacing w:before="18"/>
      </w:pPr>
    </w:p>
    <w:p w14:paraId="7328F616">
      <w:pPr>
        <w:spacing w:before="17"/>
      </w:pPr>
    </w:p>
    <w:p w14:paraId="3D2841F7">
      <w:pPr>
        <w:spacing w:before="17"/>
      </w:pPr>
    </w:p>
    <w:p w14:paraId="4CEEA85B">
      <w:pPr>
        <w:spacing w:before="17"/>
      </w:pPr>
    </w:p>
    <w:tbl>
      <w:tblPr>
        <w:tblStyle w:val="5"/>
        <w:tblW w:w="938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8501"/>
      </w:tblGrid>
      <w:tr w14:paraId="21F6A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30" w:hRule="atLeast"/>
        </w:trPr>
        <w:tc>
          <w:tcPr>
            <w:tcW w:w="884" w:type="dxa"/>
            <w:vAlign w:val="top"/>
          </w:tcPr>
          <w:p w14:paraId="42AC4B68">
            <w:pPr>
              <w:rPr>
                <w:rFonts w:ascii="Arial"/>
                <w:sz w:val="21"/>
              </w:rPr>
            </w:pPr>
          </w:p>
        </w:tc>
        <w:tc>
          <w:tcPr>
            <w:tcW w:w="8501" w:type="dxa"/>
            <w:vAlign w:val="top"/>
          </w:tcPr>
          <w:p w14:paraId="304622DF">
            <w:pPr>
              <w:pStyle w:val="6"/>
              <w:spacing w:before="25" w:line="220" w:lineRule="auto"/>
              <w:ind w:left="91"/>
              <w:rPr>
                <w:sz w:val="24"/>
                <w:szCs w:val="24"/>
              </w:rPr>
            </w:pPr>
            <w:r>
              <w:rPr>
                <w:sz w:val="24"/>
                <w:szCs w:val="24"/>
              </w:rPr>
              <w:t>因此项目建设对其影响很小。</w:t>
            </w:r>
          </w:p>
          <w:p w14:paraId="1BAAC6D6">
            <w:pPr>
              <w:pStyle w:val="6"/>
              <w:spacing w:before="192" w:line="358" w:lineRule="auto"/>
              <w:ind w:left="41" w:firstLine="529"/>
              <w:jc w:val="both"/>
              <w:rPr>
                <w:sz w:val="24"/>
                <w:szCs w:val="24"/>
              </w:rPr>
            </w:pPr>
            <w:r>
              <w:rPr>
                <w:sz w:val="24"/>
                <w:szCs w:val="24"/>
              </w:rPr>
              <w:t xml:space="preserve">综上所述，项目建设方应组织相关培训，提高项目工作人员的环保意识，并 联合、配合林业部门等野生动物主管部门加强巡护，严格执行国家和云南省的有 关野生动物保护法规。只要在项目建设中采取以上提出的相关措施，工程建设对 </w:t>
            </w:r>
            <w:r>
              <w:rPr>
                <w:spacing w:val="3"/>
                <w:sz w:val="24"/>
                <w:szCs w:val="24"/>
              </w:rPr>
              <w:t>珍稀濒危保护动物和易危动物的影响很小。</w:t>
            </w:r>
          </w:p>
          <w:p w14:paraId="70678B3C">
            <w:pPr>
              <w:pStyle w:val="6"/>
              <w:spacing w:before="17" w:line="221" w:lineRule="auto"/>
              <w:ind w:left="114"/>
              <w:rPr>
                <w:sz w:val="24"/>
                <w:szCs w:val="24"/>
              </w:rPr>
            </w:pPr>
            <w:r>
              <w:rPr>
                <w:b/>
                <w:bCs/>
                <w:spacing w:val="-2"/>
                <w:sz w:val="24"/>
                <w:szCs w:val="24"/>
              </w:rPr>
              <w:t>1.5生态系统影响</w:t>
            </w:r>
          </w:p>
          <w:p w14:paraId="70456902">
            <w:pPr>
              <w:pStyle w:val="6"/>
              <w:spacing w:before="192" w:line="361" w:lineRule="auto"/>
              <w:ind w:left="41" w:firstLine="542"/>
              <w:jc w:val="both"/>
              <w:rPr>
                <w:sz w:val="24"/>
                <w:szCs w:val="24"/>
              </w:rPr>
            </w:pPr>
            <w:r>
              <w:rPr>
                <w:spacing w:val="-8"/>
                <w:sz w:val="24"/>
                <w:szCs w:val="24"/>
              </w:rPr>
              <w:t>评价区是一个由多种生态系统组成的复合系统，其中，包括针叶林生态系统、</w:t>
            </w:r>
            <w:r>
              <w:rPr>
                <w:spacing w:val="18"/>
                <w:sz w:val="24"/>
                <w:szCs w:val="24"/>
              </w:rPr>
              <w:t xml:space="preserve"> </w:t>
            </w:r>
            <w:r>
              <w:rPr>
                <w:spacing w:val="-5"/>
                <w:sz w:val="24"/>
                <w:szCs w:val="24"/>
              </w:rPr>
              <w:t>草丛生态系统、人工林生态系统、农田生态系统、居民</w:t>
            </w:r>
            <w:r>
              <w:rPr>
                <w:spacing w:val="-6"/>
                <w:sz w:val="24"/>
                <w:szCs w:val="24"/>
              </w:rPr>
              <w:t>点生态系统水域生态系统、</w:t>
            </w:r>
            <w:r>
              <w:rPr>
                <w:sz w:val="24"/>
                <w:szCs w:val="24"/>
              </w:rPr>
              <w:t xml:space="preserve"> </w:t>
            </w:r>
            <w:r>
              <w:rPr>
                <w:spacing w:val="-3"/>
                <w:sz w:val="24"/>
                <w:szCs w:val="24"/>
              </w:rPr>
              <w:t>道路生态系统等。工程主要占用耕地生态系统、人</w:t>
            </w:r>
            <w:r>
              <w:rPr>
                <w:spacing w:val="-4"/>
                <w:sz w:val="24"/>
                <w:szCs w:val="24"/>
              </w:rPr>
              <w:t>工林生态系统、稀树灌木草丛</w:t>
            </w:r>
            <w:r>
              <w:rPr>
                <w:sz w:val="24"/>
                <w:szCs w:val="24"/>
              </w:rPr>
              <w:t xml:space="preserve">  </w:t>
            </w:r>
            <w:r>
              <w:rPr>
                <w:spacing w:val="-3"/>
                <w:sz w:val="24"/>
                <w:szCs w:val="24"/>
              </w:rPr>
              <w:t>生态系统，占用的面积和比例均很小，且项目整体呈现斑块状分布，对区域生态</w:t>
            </w:r>
            <w:r>
              <w:rPr>
                <w:spacing w:val="4"/>
                <w:sz w:val="24"/>
                <w:szCs w:val="24"/>
              </w:rPr>
              <w:t xml:space="preserve">  </w:t>
            </w:r>
            <w:r>
              <w:rPr>
                <w:spacing w:val="-3"/>
                <w:sz w:val="24"/>
                <w:szCs w:val="24"/>
              </w:rPr>
              <w:t>系统的分割不明显，因此对区域生态系统结构的影响很小，建成后区域仍以耕地</w:t>
            </w:r>
            <w:r>
              <w:rPr>
                <w:spacing w:val="2"/>
                <w:sz w:val="24"/>
                <w:szCs w:val="24"/>
              </w:rPr>
              <w:t xml:space="preserve">  </w:t>
            </w:r>
            <w:r>
              <w:rPr>
                <w:spacing w:val="1"/>
                <w:sz w:val="24"/>
                <w:szCs w:val="24"/>
              </w:rPr>
              <w:t>生态系统和人工林生态系统占据主导。</w:t>
            </w:r>
          </w:p>
          <w:p w14:paraId="1F56E4F8">
            <w:pPr>
              <w:pStyle w:val="6"/>
              <w:spacing w:before="93" w:line="219" w:lineRule="auto"/>
              <w:ind w:left="114"/>
              <w:rPr>
                <w:sz w:val="24"/>
                <w:szCs w:val="24"/>
              </w:rPr>
            </w:pPr>
            <w:r>
              <w:rPr>
                <w:b/>
                <w:bCs/>
                <w:spacing w:val="-3"/>
                <w:sz w:val="24"/>
                <w:szCs w:val="24"/>
              </w:rPr>
              <w:t>1.6生物多样性影响分析</w:t>
            </w:r>
          </w:p>
          <w:p w14:paraId="32DD57C3">
            <w:pPr>
              <w:pStyle w:val="6"/>
              <w:spacing w:before="188" w:line="219" w:lineRule="auto"/>
              <w:ind w:left="631"/>
              <w:rPr>
                <w:sz w:val="24"/>
                <w:szCs w:val="24"/>
              </w:rPr>
            </w:pPr>
            <w:r>
              <w:rPr>
                <w:spacing w:val="2"/>
                <w:sz w:val="24"/>
                <w:szCs w:val="24"/>
              </w:rPr>
              <w:t>(1)对植物的影响</w:t>
            </w:r>
          </w:p>
          <w:p w14:paraId="7F3C1FF3">
            <w:pPr>
              <w:pStyle w:val="6"/>
              <w:spacing w:before="178" w:line="360" w:lineRule="auto"/>
              <w:ind w:left="41" w:firstLine="473"/>
              <w:rPr>
                <w:sz w:val="24"/>
                <w:szCs w:val="24"/>
              </w:rPr>
            </w:pPr>
            <w:r>
              <w:rPr>
                <w:spacing w:val="-3"/>
                <w:sz w:val="24"/>
                <w:szCs w:val="24"/>
              </w:rPr>
              <w:t>拟建项目的建设首先造成永久占地范围用地</w:t>
            </w:r>
            <w:r>
              <w:rPr>
                <w:spacing w:val="-4"/>
                <w:sz w:val="24"/>
                <w:szCs w:val="24"/>
              </w:rPr>
              <w:t>性质的改变，部分植被将永久性</w:t>
            </w:r>
            <w:r>
              <w:rPr>
                <w:sz w:val="24"/>
                <w:szCs w:val="24"/>
              </w:rPr>
              <w:t xml:space="preserve">  </w:t>
            </w:r>
            <w:r>
              <w:rPr>
                <w:spacing w:val="5"/>
                <w:sz w:val="24"/>
                <w:szCs w:val="24"/>
              </w:rPr>
              <w:t>消失。项目总永久占地0.85</w:t>
            </w:r>
            <w:r>
              <w:rPr>
                <w:sz w:val="24"/>
                <w:szCs w:val="24"/>
              </w:rPr>
              <w:t>hm</w:t>
            </w:r>
            <w:r>
              <w:rPr>
                <w:spacing w:val="5"/>
                <w:sz w:val="24"/>
                <w:szCs w:val="24"/>
              </w:rPr>
              <w:t>²,占用有植被覆盖面积0.838</w:t>
            </w:r>
            <w:r>
              <w:rPr>
                <w:sz w:val="24"/>
                <w:szCs w:val="24"/>
              </w:rPr>
              <w:t>hm</w:t>
            </w:r>
            <w:r>
              <w:rPr>
                <w:spacing w:val="5"/>
                <w:sz w:val="24"/>
                <w:szCs w:val="24"/>
              </w:rPr>
              <w:t xml:space="preserve">²;光伏板遮盖植  </w:t>
            </w:r>
            <w:r>
              <w:rPr>
                <w:spacing w:val="4"/>
                <w:sz w:val="24"/>
                <w:szCs w:val="24"/>
              </w:rPr>
              <w:t>被面积(不含支架面积)92.3029</w:t>
            </w:r>
            <w:r>
              <w:rPr>
                <w:sz w:val="24"/>
                <w:szCs w:val="24"/>
              </w:rPr>
              <w:t>hm</w:t>
            </w:r>
            <w:r>
              <w:rPr>
                <w:spacing w:val="4"/>
                <w:sz w:val="24"/>
                <w:szCs w:val="24"/>
              </w:rPr>
              <w:t>²;占用和遮蔽的植被类型均为</w:t>
            </w:r>
            <w:r>
              <w:rPr>
                <w:spacing w:val="3"/>
                <w:sz w:val="24"/>
                <w:szCs w:val="24"/>
              </w:rPr>
              <w:t>暖温性稀树灌</w:t>
            </w:r>
            <w:r>
              <w:rPr>
                <w:sz w:val="24"/>
                <w:szCs w:val="24"/>
              </w:rPr>
              <w:t xml:space="preserve">   </w:t>
            </w:r>
            <w:r>
              <w:rPr>
                <w:spacing w:val="-3"/>
                <w:sz w:val="24"/>
                <w:szCs w:val="24"/>
              </w:rPr>
              <w:t>木草丛、人工林。这种占用是无法恢复的，会直接导致物种的损失。根据现场调</w:t>
            </w:r>
            <w:r>
              <w:rPr>
                <w:spacing w:val="7"/>
                <w:sz w:val="24"/>
                <w:szCs w:val="24"/>
              </w:rPr>
              <w:t xml:space="preserve">  </w:t>
            </w:r>
            <w:r>
              <w:rPr>
                <w:spacing w:val="-4"/>
                <w:sz w:val="24"/>
                <w:szCs w:val="24"/>
              </w:rPr>
              <w:t>查结果，永久占地范围内的植物物种主要是云南松Pinus yunnanensis、紫</w:t>
            </w:r>
            <w:r>
              <w:rPr>
                <w:spacing w:val="-5"/>
                <w:sz w:val="24"/>
                <w:szCs w:val="24"/>
              </w:rPr>
              <w:t>茎泽兰</w:t>
            </w:r>
            <w:r>
              <w:rPr>
                <w:sz w:val="24"/>
                <w:szCs w:val="24"/>
              </w:rPr>
              <w:t xml:space="preserve">  </w:t>
            </w:r>
            <w:r>
              <w:rPr>
                <w:spacing w:val="-8"/>
                <w:sz w:val="24"/>
                <w:szCs w:val="24"/>
              </w:rPr>
              <w:t>Eupatorium adenophora、金丝桃Hypericum forrest</w:t>
            </w:r>
            <w:r>
              <w:rPr>
                <w:spacing w:val="-9"/>
                <w:sz w:val="24"/>
                <w:szCs w:val="24"/>
              </w:rPr>
              <w:t>ii、珍珠花Lyonia ovalifolia、</w:t>
            </w:r>
            <w:r>
              <w:rPr>
                <w:sz w:val="24"/>
                <w:szCs w:val="24"/>
              </w:rPr>
              <w:t xml:space="preserve"> </w:t>
            </w:r>
            <w:r>
              <w:rPr>
                <w:spacing w:val="-5"/>
                <w:sz w:val="24"/>
                <w:szCs w:val="24"/>
              </w:rPr>
              <w:t>矮杨梅Myrica nana、芒种花Hypericum uralum、马桑Coriaria nepalens</w:t>
            </w:r>
            <w:r>
              <w:rPr>
                <w:spacing w:val="-6"/>
                <w:sz w:val="24"/>
                <w:szCs w:val="24"/>
              </w:rPr>
              <w:t>is、多花</w:t>
            </w:r>
            <w:r>
              <w:rPr>
                <w:sz w:val="24"/>
                <w:szCs w:val="24"/>
              </w:rPr>
              <w:t xml:space="preserve">  </w:t>
            </w:r>
            <w:r>
              <w:rPr>
                <w:spacing w:val="-7"/>
                <w:sz w:val="24"/>
                <w:szCs w:val="24"/>
              </w:rPr>
              <w:t>杭子梢Campylotropis parviflora、密蒙花Buddleja officinalis、小铁仔Myrsine</w:t>
            </w:r>
            <w:r>
              <w:rPr>
                <w:spacing w:val="8"/>
                <w:sz w:val="24"/>
                <w:szCs w:val="24"/>
              </w:rPr>
              <w:t xml:space="preserve">  </w:t>
            </w:r>
            <w:r>
              <w:rPr>
                <w:spacing w:val="-5"/>
                <w:sz w:val="24"/>
                <w:szCs w:val="24"/>
              </w:rPr>
              <w:t>africana、华西小石积Osteomeles schwerinae、沙针Osyris lanceolata、</w:t>
            </w:r>
            <w:r>
              <w:rPr>
                <w:spacing w:val="-6"/>
                <w:sz w:val="24"/>
                <w:szCs w:val="24"/>
              </w:rPr>
              <w:t>烟管荚</w:t>
            </w:r>
            <w:r>
              <w:rPr>
                <w:sz w:val="24"/>
                <w:szCs w:val="24"/>
              </w:rPr>
              <w:t xml:space="preserve">  </w:t>
            </w:r>
            <w:r>
              <w:rPr>
                <w:spacing w:val="-3"/>
                <w:sz w:val="24"/>
                <w:szCs w:val="24"/>
              </w:rPr>
              <w:t>Viburnum utile、毡毛枸子C</w:t>
            </w:r>
            <w:r>
              <w:rPr>
                <w:spacing w:val="-4"/>
                <w:sz w:val="24"/>
                <w:szCs w:val="24"/>
              </w:rPr>
              <w:t>otoneaster pannosus等。这些植物都是当地普通的、</w:t>
            </w:r>
            <w:r>
              <w:rPr>
                <w:sz w:val="24"/>
                <w:szCs w:val="24"/>
              </w:rPr>
              <w:t xml:space="preserve"> </w:t>
            </w:r>
            <w:r>
              <w:rPr>
                <w:spacing w:val="-5"/>
                <w:sz w:val="24"/>
                <w:szCs w:val="24"/>
              </w:rPr>
              <w:t>周边常见的植物，无重点保护物种，因此项目建设对区</w:t>
            </w:r>
            <w:r>
              <w:rPr>
                <w:spacing w:val="-6"/>
                <w:sz w:val="24"/>
                <w:szCs w:val="24"/>
              </w:rPr>
              <w:t>域植物多样性的影响甚微。</w:t>
            </w:r>
          </w:p>
          <w:p w14:paraId="1EB81F93">
            <w:pPr>
              <w:pStyle w:val="6"/>
              <w:spacing w:line="220" w:lineRule="auto"/>
              <w:ind w:left="641"/>
              <w:rPr>
                <w:sz w:val="24"/>
                <w:szCs w:val="24"/>
              </w:rPr>
            </w:pPr>
            <w:r>
              <w:rPr>
                <w:spacing w:val="2"/>
                <w:sz w:val="24"/>
                <w:szCs w:val="24"/>
              </w:rPr>
              <w:t>(2)对动物的影响</w:t>
            </w:r>
          </w:p>
          <w:p w14:paraId="7742CBC3">
            <w:pPr>
              <w:pStyle w:val="6"/>
              <w:spacing w:before="245" w:line="342" w:lineRule="auto"/>
              <w:ind w:left="111" w:right="638" w:firstLine="529"/>
              <w:rPr>
                <w:sz w:val="24"/>
                <w:szCs w:val="24"/>
              </w:rPr>
            </w:pPr>
            <w:r>
              <w:rPr>
                <w:sz w:val="24"/>
                <w:szCs w:val="24"/>
              </w:rPr>
              <w:t>区域受施工期影响的动物主要以鸟类为主。工程主要为地表施工，且</w:t>
            </w:r>
            <w:r>
              <w:rPr>
                <w:spacing w:val="10"/>
                <w:sz w:val="24"/>
                <w:szCs w:val="24"/>
              </w:rPr>
              <w:t xml:space="preserve"> </w:t>
            </w:r>
            <w:r>
              <w:rPr>
                <w:spacing w:val="1"/>
                <w:sz w:val="24"/>
                <w:szCs w:val="24"/>
              </w:rPr>
              <w:t>现有植被多为林地和灌草丛，项目实施对鸟</w:t>
            </w:r>
            <w:r>
              <w:rPr>
                <w:sz w:val="24"/>
                <w:szCs w:val="24"/>
              </w:rPr>
              <w:t>类影响较小。另一方面同时鸟 类和其它动物对于噪声非常敏感，在施工期将使鸟类和其它动物因受到惊</w:t>
            </w:r>
          </w:p>
        </w:tc>
      </w:tr>
    </w:tbl>
    <w:p w14:paraId="5C67918F">
      <w:pPr>
        <w:pStyle w:val="2"/>
      </w:pPr>
    </w:p>
    <w:p w14:paraId="5D838081">
      <w:pPr>
        <w:sectPr>
          <w:footerReference r:id="rId131" w:type="default"/>
          <w:pgSz w:w="11910" w:h="16830"/>
          <w:pgMar w:top="400" w:right="1269" w:bottom="1259" w:left="1244" w:header="0" w:footer="1079" w:gutter="0"/>
          <w:cols w:space="720" w:num="1"/>
        </w:sectPr>
      </w:pPr>
    </w:p>
    <w:p w14:paraId="6F2ED09C">
      <w:pPr>
        <w:spacing w:before="18"/>
      </w:pPr>
    </w:p>
    <w:p w14:paraId="387C3E77">
      <w:pPr>
        <w:spacing w:before="17"/>
      </w:pPr>
    </w:p>
    <w:p w14:paraId="3AAC4068">
      <w:pPr>
        <w:spacing w:before="17"/>
      </w:pPr>
    </w:p>
    <w:p w14:paraId="6AE2CB0D">
      <w:pPr>
        <w:spacing w:before="17"/>
      </w:pPr>
    </w:p>
    <w:tbl>
      <w:tblPr>
        <w:tblStyle w:val="5"/>
        <w:tblW w:w="938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8512"/>
      </w:tblGrid>
      <w:tr w14:paraId="151FD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9" w:hRule="atLeast"/>
        </w:trPr>
        <w:tc>
          <w:tcPr>
            <w:tcW w:w="874" w:type="dxa"/>
            <w:vAlign w:val="top"/>
          </w:tcPr>
          <w:p w14:paraId="2373C292">
            <w:pPr>
              <w:rPr>
                <w:rFonts w:ascii="Arial"/>
                <w:sz w:val="21"/>
              </w:rPr>
            </w:pPr>
          </w:p>
        </w:tc>
        <w:tc>
          <w:tcPr>
            <w:tcW w:w="8512" w:type="dxa"/>
            <w:vAlign w:val="top"/>
          </w:tcPr>
          <w:p w14:paraId="4EC9B5E9">
            <w:pPr>
              <w:pStyle w:val="6"/>
              <w:spacing w:before="21" w:line="361" w:lineRule="auto"/>
              <w:ind w:left="101" w:right="698" w:hanging="10"/>
              <w:jc w:val="both"/>
              <w:rPr>
                <w:sz w:val="24"/>
                <w:szCs w:val="24"/>
              </w:rPr>
            </w:pPr>
            <w:r>
              <w:rPr>
                <w:sz w:val="24"/>
                <w:szCs w:val="24"/>
              </w:rPr>
              <w:t>扰而发生非常规行为，甚至会因情绪恶化而出现自毁或吃食、攻击同类及</w:t>
            </w:r>
            <w:r>
              <w:rPr>
                <w:spacing w:val="11"/>
                <w:sz w:val="24"/>
                <w:szCs w:val="24"/>
              </w:rPr>
              <w:t xml:space="preserve"> </w:t>
            </w:r>
            <w:r>
              <w:rPr>
                <w:spacing w:val="1"/>
                <w:sz w:val="24"/>
                <w:szCs w:val="24"/>
              </w:rPr>
              <w:t>幼类的情况。比较好的情况是迁徙。迂徙目标一</w:t>
            </w:r>
            <w:r>
              <w:rPr>
                <w:sz w:val="24"/>
                <w:szCs w:val="24"/>
              </w:rPr>
              <w:t xml:space="preserve">是向区域深处迁徙，二是 </w:t>
            </w:r>
            <w:r>
              <w:rPr>
                <w:spacing w:val="1"/>
                <w:sz w:val="24"/>
                <w:szCs w:val="24"/>
              </w:rPr>
              <w:t>离开区域，另觅生境。这样就破坏了区域现有鸟</w:t>
            </w:r>
            <w:r>
              <w:rPr>
                <w:sz w:val="24"/>
                <w:szCs w:val="24"/>
              </w:rPr>
              <w:t xml:space="preserve">类和其它动物原有的狭义 </w:t>
            </w:r>
            <w:r>
              <w:rPr>
                <w:spacing w:val="1"/>
                <w:sz w:val="24"/>
                <w:szCs w:val="24"/>
              </w:rPr>
              <w:t>生存环境及与之形成的固有的生存习性，以及鸟</w:t>
            </w:r>
            <w:r>
              <w:rPr>
                <w:sz w:val="24"/>
                <w:szCs w:val="24"/>
              </w:rPr>
              <w:t xml:space="preserve">类和其它动物与区域植物 </w:t>
            </w:r>
            <w:r>
              <w:rPr>
                <w:spacing w:val="-1"/>
                <w:sz w:val="24"/>
                <w:szCs w:val="24"/>
              </w:rPr>
              <w:t>群落的相对稳定的关系。</w:t>
            </w:r>
          </w:p>
          <w:p w14:paraId="33956560">
            <w:pPr>
              <w:pStyle w:val="6"/>
              <w:spacing w:before="154" w:line="220" w:lineRule="auto"/>
              <w:ind w:left="114"/>
              <w:rPr>
                <w:sz w:val="24"/>
                <w:szCs w:val="24"/>
              </w:rPr>
            </w:pPr>
            <w:r>
              <w:rPr>
                <w:b/>
                <w:bCs/>
                <w:spacing w:val="-3"/>
                <w:sz w:val="24"/>
                <w:szCs w:val="24"/>
              </w:rPr>
              <w:t>1.7生态环境影响分析结论</w:t>
            </w:r>
          </w:p>
          <w:p w14:paraId="423D490E">
            <w:pPr>
              <w:pStyle w:val="6"/>
              <w:spacing w:before="183" w:line="363" w:lineRule="auto"/>
              <w:ind w:left="41" w:firstLine="539"/>
              <w:jc w:val="both"/>
              <w:rPr>
                <w:sz w:val="24"/>
                <w:szCs w:val="24"/>
              </w:rPr>
            </w:pPr>
            <w:r>
              <w:rPr>
                <w:sz w:val="24"/>
                <w:szCs w:val="24"/>
              </w:rPr>
              <w:t xml:space="preserve">经陆良县自然资源局核查，项目占地不涉及永久基本农田，项目占用交通运 </w:t>
            </w:r>
            <w:r>
              <w:rPr>
                <w:spacing w:val="-1"/>
                <w:sz w:val="24"/>
                <w:szCs w:val="24"/>
              </w:rPr>
              <w:t>输用地以农村道路为主，用于改造成进场道路，不改变用途。项目建设将按照草</w:t>
            </w:r>
            <w:r>
              <w:rPr>
                <w:spacing w:val="17"/>
                <w:sz w:val="24"/>
                <w:szCs w:val="24"/>
              </w:rPr>
              <w:t xml:space="preserve"> </w:t>
            </w:r>
            <w:r>
              <w:rPr>
                <w:sz w:val="24"/>
                <w:szCs w:val="24"/>
              </w:rPr>
              <w:t>光互补光伏电站标准建设，光伏组件架设除支架桩基外地面不做硬化，项目建设</w:t>
            </w:r>
            <w:r>
              <w:rPr>
                <w:spacing w:val="1"/>
                <w:sz w:val="24"/>
                <w:szCs w:val="24"/>
              </w:rPr>
              <w:t xml:space="preserve"> </w:t>
            </w:r>
            <w:r>
              <w:rPr>
                <w:sz w:val="24"/>
                <w:szCs w:val="24"/>
              </w:rPr>
              <w:t>不会造成区域土地利用类型的大面积转变。施工结束后，通过及时完成临时用地 区域的覆土复垦，对土地利用的影响较小。此外，本项目为草光互补复合型光伏</w:t>
            </w:r>
            <w:r>
              <w:rPr>
                <w:spacing w:val="3"/>
                <w:sz w:val="24"/>
                <w:szCs w:val="24"/>
              </w:rPr>
              <w:t xml:space="preserve"> </w:t>
            </w:r>
            <w:r>
              <w:rPr>
                <w:sz w:val="24"/>
                <w:szCs w:val="24"/>
              </w:rPr>
              <w:t xml:space="preserve">项目，施工结束后在光伏阵列下方种植光照需求量不高，且容易成活的草地，从 </w:t>
            </w:r>
            <w:r>
              <w:rPr>
                <w:spacing w:val="3"/>
                <w:sz w:val="24"/>
                <w:szCs w:val="24"/>
              </w:rPr>
              <w:t>整体上有利于提高区域的土地的综合利用效率。</w:t>
            </w:r>
          </w:p>
          <w:p w14:paraId="3EDDB200">
            <w:pPr>
              <w:pStyle w:val="6"/>
              <w:spacing w:before="9" w:line="359" w:lineRule="auto"/>
              <w:ind w:left="41" w:firstLine="539"/>
              <w:jc w:val="both"/>
              <w:rPr>
                <w:sz w:val="24"/>
                <w:szCs w:val="24"/>
              </w:rPr>
            </w:pPr>
            <w:r>
              <w:rPr>
                <w:sz w:val="24"/>
                <w:szCs w:val="24"/>
              </w:rPr>
              <w:t>项目对植被的影响主要体现在占地及施工作业造成的植被破坏，受工程建设 影响的植被类型主要为当地常见的植被类型，在项目区及周边区域广泛分布，该</w:t>
            </w:r>
            <w:r>
              <w:rPr>
                <w:spacing w:val="1"/>
                <w:sz w:val="24"/>
                <w:szCs w:val="24"/>
              </w:rPr>
              <w:t xml:space="preserve"> </w:t>
            </w:r>
            <w:r>
              <w:rPr>
                <w:sz w:val="24"/>
                <w:szCs w:val="24"/>
              </w:rPr>
              <w:t>类植被通常是受到人为干扰后而形成的次生植被类型，群落结构简单，物种多样</w:t>
            </w:r>
            <w:r>
              <w:rPr>
                <w:spacing w:val="1"/>
                <w:sz w:val="24"/>
                <w:szCs w:val="24"/>
              </w:rPr>
              <w:t xml:space="preserve"> </w:t>
            </w:r>
            <w:r>
              <w:rPr>
                <w:sz w:val="24"/>
                <w:szCs w:val="24"/>
              </w:rPr>
              <w:t>性较低，受本工程建设影响的植被类型、植物种类植物种类均为区域常见种，没 有保护植物及该区域特有物种分布，工程对其不利影响仅限于局部，占用植</w:t>
            </w:r>
            <w:r>
              <w:rPr>
                <w:spacing w:val="-1"/>
                <w:sz w:val="24"/>
                <w:szCs w:val="24"/>
              </w:rPr>
              <w:t>被面</w:t>
            </w:r>
            <w:r>
              <w:rPr>
                <w:sz w:val="24"/>
                <w:szCs w:val="24"/>
              </w:rPr>
              <w:t xml:space="preserve"> 积有限，影响范围和程度有限，且以草丛、石灰岩灌丛为主，工程建设对植被及</w:t>
            </w:r>
            <w:r>
              <w:rPr>
                <w:spacing w:val="1"/>
                <w:sz w:val="24"/>
                <w:szCs w:val="24"/>
              </w:rPr>
              <w:t xml:space="preserve"> </w:t>
            </w:r>
            <w:r>
              <w:rPr>
                <w:sz w:val="24"/>
                <w:szCs w:val="24"/>
              </w:rPr>
              <w:t>植物资源的总体影响较小；施工结束后通过严格落实植被恢复措施，植被可逐步</w:t>
            </w:r>
            <w:r>
              <w:rPr>
                <w:spacing w:val="1"/>
                <w:sz w:val="24"/>
                <w:szCs w:val="24"/>
              </w:rPr>
              <w:t xml:space="preserve"> </w:t>
            </w:r>
            <w:r>
              <w:rPr>
                <w:spacing w:val="2"/>
                <w:sz w:val="24"/>
                <w:szCs w:val="24"/>
              </w:rPr>
              <w:t>恢复。因而，项目建设对区域植被和生态系统</w:t>
            </w:r>
            <w:r>
              <w:rPr>
                <w:spacing w:val="1"/>
                <w:sz w:val="24"/>
                <w:szCs w:val="24"/>
              </w:rPr>
              <w:t>的影响是可以接受的。</w:t>
            </w:r>
          </w:p>
          <w:p w14:paraId="6A065EA3">
            <w:pPr>
              <w:pStyle w:val="6"/>
              <w:spacing w:before="6" w:line="219" w:lineRule="auto"/>
              <w:ind w:left="581"/>
              <w:rPr>
                <w:sz w:val="24"/>
                <w:szCs w:val="24"/>
              </w:rPr>
            </w:pPr>
            <w:r>
              <w:rPr>
                <w:sz w:val="24"/>
                <w:szCs w:val="24"/>
              </w:rPr>
              <w:t>施工活动(噪声、土地平整、植被破坏等)将影响区</w:t>
            </w:r>
            <w:r>
              <w:rPr>
                <w:spacing w:val="-1"/>
                <w:sz w:val="24"/>
                <w:szCs w:val="24"/>
              </w:rPr>
              <w:t>域内陆栖脊椎动物的栖</w:t>
            </w:r>
          </w:p>
          <w:p w14:paraId="1B6593F9">
            <w:pPr>
              <w:pStyle w:val="6"/>
              <w:spacing w:before="178" w:line="358" w:lineRule="auto"/>
              <w:ind w:left="41" w:right="14"/>
              <w:rPr>
                <w:sz w:val="24"/>
                <w:szCs w:val="24"/>
              </w:rPr>
            </w:pPr>
            <w:r>
              <w:rPr>
                <w:sz w:val="24"/>
                <w:szCs w:val="24"/>
              </w:rPr>
              <w:t>息生境，工程占地范围不属于陆栖脊椎动物的主要栖息地，工程占地区外有广泛</w:t>
            </w:r>
            <w:r>
              <w:rPr>
                <w:spacing w:val="10"/>
                <w:sz w:val="24"/>
                <w:szCs w:val="24"/>
              </w:rPr>
              <w:t xml:space="preserve"> </w:t>
            </w:r>
            <w:r>
              <w:rPr>
                <w:sz w:val="24"/>
                <w:szCs w:val="24"/>
              </w:rPr>
              <w:t>适宜的生境和栖息地，项目区分布的动物绝大多数为小型、常见的小型动物，大</w:t>
            </w:r>
            <w:r>
              <w:rPr>
                <w:spacing w:val="10"/>
                <w:sz w:val="24"/>
                <w:szCs w:val="24"/>
              </w:rPr>
              <w:t xml:space="preserve"> </w:t>
            </w:r>
            <w:r>
              <w:rPr>
                <w:spacing w:val="1"/>
                <w:sz w:val="24"/>
                <w:szCs w:val="24"/>
              </w:rPr>
              <w:t>多数动物具有趋避危险的本能，可迁徙到项目区周边的区域栖息或生存，且项目</w:t>
            </w:r>
            <w:r>
              <w:rPr>
                <w:spacing w:val="9"/>
                <w:sz w:val="24"/>
                <w:szCs w:val="24"/>
              </w:rPr>
              <w:t xml:space="preserve"> </w:t>
            </w:r>
            <w:r>
              <w:rPr>
                <w:spacing w:val="1"/>
                <w:sz w:val="24"/>
                <w:szCs w:val="24"/>
              </w:rPr>
              <w:t>施工时间短，施工结束后光伏场区内集中式</w:t>
            </w:r>
            <w:r>
              <w:rPr>
                <w:sz w:val="24"/>
                <w:szCs w:val="24"/>
              </w:rPr>
              <w:t xml:space="preserve">的人为活动停止，动物仍可迁回该区 </w:t>
            </w:r>
            <w:r>
              <w:rPr>
                <w:spacing w:val="2"/>
                <w:sz w:val="24"/>
                <w:szCs w:val="24"/>
              </w:rPr>
              <w:t>域活动，不会造成区域动物数量与种群的改变。</w:t>
            </w:r>
          </w:p>
          <w:p w14:paraId="415C8E82">
            <w:pPr>
              <w:pStyle w:val="6"/>
              <w:spacing w:before="10" w:line="329" w:lineRule="auto"/>
              <w:ind w:left="111" w:firstLine="488"/>
              <w:rPr>
                <w:sz w:val="24"/>
                <w:szCs w:val="24"/>
              </w:rPr>
            </w:pPr>
            <w:r>
              <w:rPr>
                <w:spacing w:val="-1"/>
                <w:sz w:val="24"/>
                <w:szCs w:val="24"/>
              </w:rPr>
              <w:t>总之，从生态影响的角度看，本工程建设和运行对区域生态环境影响不大，</w:t>
            </w:r>
            <w:r>
              <w:rPr>
                <w:spacing w:val="14"/>
                <w:sz w:val="24"/>
                <w:szCs w:val="24"/>
              </w:rPr>
              <w:t xml:space="preserve"> </w:t>
            </w:r>
            <w:r>
              <w:rPr>
                <w:spacing w:val="-1"/>
                <w:sz w:val="24"/>
                <w:szCs w:val="24"/>
              </w:rPr>
              <w:t>在可以接受的范围内。</w:t>
            </w:r>
          </w:p>
        </w:tc>
      </w:tr>
    </w:tbl>
    <w:p w14:paraId="1264A0D2">
      <w:pPr>
        <w:pStyle w:val="2"/>
      </w:pPr>
    </w:p>
    <w:p w14:paraId="3BBB6C6A">
      <w:pPr>
        <w:sectPr>
          <w:footerReference r:id="rId132" w:type="default"/>
          <w:pgSz w:w="11910" w:h="16830"/>
          <w:pgMar w:top="400" w:right="1268" w:bottom="1245" w:left="1244" w:header="0" w:footer="1083" w:gutter="0"/>
          <w:cols w:space="720" w:num="1"/>
        </w:sectPr>
      </w:pPr>
    </w:p>
    <w:p w14:paraId="15EA9F36">
      <w:pPr>
        <w:spacing w:before="15"/>
      </w:pPr>
    </w:p>
    <w:p w14:paraId="0A630CDE">
      <w:pPr>
        <w:spacing w:before="15"/>
      </w:pPr>
    </w:p>
    <w:p w14:paraId="2FABA507">
      <w:pPr>
        <w:spacing w:before="15"/>
      </w:pPr>
    </w:p>
    <w:p w14:paraId="6D1A5447">
      <w:pPr>
        <w:spacing w:before="14"/>
      </w:pPr>
    </w:p>
    <w:tbl>
      <w:tblPr>
        <w:tblStyle w:val="5"/>
        <w:tblW w:w="939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88"/>
      </w:tblGrid>
      <w:tr w14:paraId="0585B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904" w:type="dxa"/>
            <w:vAlign w:val="top"/>
          </w:tcPr>
          <w:p w14:paraId="639974A6">
            <w:pPr>
              <w:rPr>
                <w:rFonts w:ascii="Arial"/>
                <w:sz w:val="21"/>
              </w:rPr>
            </w:pPr>
          </w:p>
        </w:tc>
        <w:tc>
          <w:tcPr>
            <w:tcW w:w="8488" w:type="dxa"/>
            <w:vAlign w:val="top"/>
          </w:tcPr>
          <w:p w14:paraId="505423F9">
            <w:pPr>
              <w:pStyle w:val="6"/>
              <w:spacing w:before="31" w:line="219" w:lineRule="auto"/>
              <w:ind w:left="84"/>
              <w:rPr>
                <w:sz w:val="24"/>
                <w:szCs w:val="24"/>
              </w:rPr>
            </w:pPr>
            <w:r>
              <w:rPr>
                <w:b/>
                <w:bCs/>
                <w:spacing w:val="-2"/>
                <w:sz w:val="24"/>
                <w:szCs w:val="24"/>
              </w:rPr>
              <w:t>1.8水土流失影响</w:t>
            </w:r>
          </w:p>
          <w:p w14:paraId="21720AC2">
            <w:pPr>
              <w:pStyle w:val="6"/>
              <w:spacing w:before="186" w:line="357" w:lineRule="auto"/>
              <w:ind w:left="31" w:right="17" w:firstLine="539"/>
              <w:rPr>
                <w:sz w:val="24"/>
                <w:szCs w:val="24"/>
              </w:rPr>
            </w:pPr>
            <w:r>
              <w:rPr>
                <w:spacing w:val="1"/>
                <w:sz w:val="24"/>
                <w:szCs w:val="24"/>
              </w:rPr>
              <w:t>拟建项目环评期间建设单位已委托云南江瀚工程咨询有限公司编制了项目</w:t>
            </w:r>
            <w:r>
              <w:rPr>
                <w:spacing w:val="6"/>
                <w:sz w:val="24"/>
                <w:szCs w:val="24"/>
              </w:rPr>
              <w:t xml:space="preserve">  </w:t>
            </w:r>
            <w:r>
              <w:rPr>
                <w:spacing w:val="1"/>
                <w:sz w:val="24"/>
                <w:szCs w:val="24"/>
              </w:rPr>
              <w:t>水土保持设计方案。因此，本次环评仅对项目建设可能产生的水</w:t>
            </w:r>
            <w:r>
              <w:rPr>
                <w:sz w:val="24"/>
                <w:szCs w:val="24"/>
              </w:rPr>
              <w:t xml:space="preserve">土流失从环保角 </w:t>
            </w:r>
            <w:r>
              <w:rPr>
                <w:spacing w:val="6"/>
                <w:sz w:val="24"/>
                <w:szCs w:val="24"/>
              </w:rPr>
              <w:t>度进行简要分析。</w:t>
            </w:r>
          </w:p>
          <w:p w14:paraId="3AB3683C">
            <w:pPr>
              <w:pStyle w:val="6"/>
              <w:spacing w:before="2" w:line="361" w:lineRule="auto"/>
              <w:ind w:left="31" w:firstLine="545"/>
              <w:rPr>
                <w:sz w:val="24"/>
                <w:szCs w:val="24"/>
              </w:rPr>
            </w:pPr>
            <w:r>
              <w:rPr>
                <w:spacing w:val="-3"/>
                <w:sz w:val="24"/>
                <w:szCs w:val="24"/>
              </w:rPr>
              <w:t>建设造成的水土流失主要类型为水力侵蚀，水土流失的预测时段为项目建设</w:t>
            </w:r>
            <w:r>
              <w:rPr>
                <w:spacing w:val="18"/>
                <w:sz w:val="24"/>
                <w:szCs w:val="24"/>
              </w:rPr>
              <w:t xml:space="preserve"> </w:t>
            </w:r>
            <w:r>
              <w:rPr>
                <w:spacing w:val="2"/>
                <w:sz w:val="24"/>
                <w:szCs w:val="24"/>
              </w:rPr>
              <w:t>期和自然恢复期；经预测分析，本项目原生水</w:t>
            </w:r>
            <w:r>
              <w:rPr>
                <w:spacing w:val="1"/>
                <w:sz w:val="24"/>
                <w:szCs w:val="24"/>
              </w:rPr>
              <w:t>土流失量403.80t,建设期水土流</w:t>
            </w:r>
            <w:r>
              <w:rPr>
                <w:sz w:val="24"/>
                <w:szCs w:val="24"/>
              </w:rPr>
              <w:t xml:space="preserve">   </w:t>
            </w:r>
            <w:r>
              <w:rPr>
                <w:spacing w:val="1"/>
                <w:sz w:val="24"/>
                <w:szCs w:val="24"/>
              </w:rPr>
              <w:t>失量980.69t,自然恢复期内产生的水土流失量为174.60t</w:t>
            </w:r>
            <w:r>
              <w:rPr>
                <w:sz w:val="24"/>
                <w:szCs w:val="24"/>
              </w:rPr>
              <w:t xml:space="preserve">。经计算，确定本项目  </w:t>
            </w:r>
            <w:r>
              <w:rPr>
                <w:spacing w:val="-2"/>
                <w:sz w:val="24"/>
                <w:szCs w:val="24"/>
              </w:rPr>
              <w:t>可能造成的新增水土流失量为751.49t。本项目水土流失主要集中在光伏发电区，</w:t>
            </w:r>
            <w:r>
              <w:rPr>
                <w:spacing w:val="3"/>
                <w:sz w:val="24"/>
                <w:szCs w:val="24"/>
              </w:rPr>
              <w:t xml:space="preserve"> 占新增水土流失量的57.87%,主要表现为建设期产生的新增水土流失，若不能</w:t>
            </w:r>
          </w:p>
          <w:p w14:paraId="4D925358">
            <w:pPr>
              <w:pStyle w:val="6"/>
              <w:spacing w:before="1" w:line="357" w:lineRule="auto"/>
              <w:ind w:left="91" w:right="33" w:hanging="60"/>
              <w:rPr>
                <w:sz w:val="24"/>
                <w:szCs w:val="24"/>
              </w:rPr>
            </w:pPr>
            <w:r>
              <w:rPr>
                <w:sz w:val="24"/>
                <w:szCs w:val="24"/>
              </w:rPr>
              <w:t>及时治理，将对周边农田及村庄造成影响，因此该区为本项目的水土流失重点防</w:t>
            </w:r>
            <w:r>
              <w:rPr>
                <w:spacing w:val="12"/>
                <w:sz w:val="24"/>
                <w:szCs w:val="24"/>
              </w:rPr>
              <w:t xml:space="preserve"> </w:t>
            </w:r>
            <w:r>
              <w:rPr>
                <w:sz w:val="24"/>
                <w:szCs w:val="24"/>
              </w:rPr>
              <w:t>治区域，也是水土流失重点监测区域。</w:t>
            </w:r>
          </w:p>
          <w:p w14:paraId="36F7BF33">
            <w:pPr>
              <w:pStyle w:val="6"/>
              <w:spacing w:before="1" w:line="358" w:lineRule="auto"/>
              <w:ind w:left="91" w:right="6" w:firstLine="469"/>
              <w:jc w:val="both"/>
              <w:rPr>
                <w:sz w:val="24"/>
                <w:szCs w:val="24"/>
              </w:rPr>
            </w:pPr>
            <w:r>
              <w:rPr>
                <w:sz w:val="24"/>
                <w:szCs w:val="24"/>
              </w:rPr>
              <w:t>根据云南江瀚工程咨询有限公司编制的项目水土保</w:t>
            </w:r>
            <w:r>
              <w:rPr>
                <w:spacing w:val="-1"/>
                <w:sz w:val="24"/>
                <w:szCs w:val="24"/>
              </w:rPr>
              <w:t>持设计方案，项目对其采</w:t>
            </w:r>
            <w:r>
              <w:rPr>
                <w:sz w:val="24"/>
                <w:szCs w:val="24"/>
              </w:rPr>
              <w:t xml:space="preserve"> 取了相应的工程、临时措施(包括设置截排水沟、沉砂池、表土收集和剥离、临</w:t>
            </w:r>
            <w:r>
              <w:rPr>
                <w:spacing w:val="17"/>
                <w:sz w:val="24"/>
                <w:szCs w:val="24"/>
              </w:rPr>
              <w:t xml:space="preserve"> </w:t>
            </w:r>
            <w:r>
              <w:rPr>
                <w:sz w:val="24"/>
                <w:szCs w:val="24"/>
              </w:rPr>
              <w:t>时覆盖、临时拦挡等)及植物措施，通过各种防治措施的有效实施，可使工程占</w:t>
            </w:r>
          </w:p>
          <w:p w14:paraId="2496DB30">
            <w:pPr>
              <w:pStyle w:val="6"/>
              <w:spacing w:before="2" w:line="362" w:lineRule="auto"/>
              <w:ind w:left="81" w:right="560" w:firstLine="20"/>
              <w:rPr>
                <w:sz w:val="24"/>
                <w:szCs w:val="24"/>
              </w:rPr>
            </w:pPr>
            <w:r>
              <w:rPr>
                <w:sz w:val="24"/>
                <w:szCs w:val="24"/>
              </w:rPr>
              <w:t>地区域内水土流失治理度达到94%,土壤流失控制比达1.00,渣土防护率达到</w:t>
            </w:r>
            <w:r>
              <w:rPr>
                <w:spacing w:val="15"/>
                <w:sz w:val="24"/>
                <w:szCs w:val="24"/>
              </w:rPr>
              <w:t xml:space="preserve"> </w:t>
            </w:r>
            <w:r>
              <w:rPr>
                <w:sz w:val="24"/>
                <w:szCs w:val="24"/>
              </w:rPr>
              <w:t>87%,表土保护率90.00%,林草植被恢复率94%,林草植被覆盖率19%。各项</w:t>
            </w:r>
          </w:p>
          <w:p w14:paraId="09C93439">
            <w:pPr>
              <w:pStyle w:val="6"/>
              <w:spacing w:line="219" w:lineRule="auto"/>
              <w:ind w:left="91"/>
              <w:rPr>
                <w:sz w:val="24"/>
                <w:szCs w:val="24"/>
              </w:rPr>
            </w:pPr>
            <w:r>
              <w:rPr>
                <w:sz w:val="24"/>
                <w:szCs w:val="24"/>
              </w:rPr>
              <w:t>指标均达到并超过目标值，能有效防止水土流</w:t>
            </w:r>
            <w:r>
              <w:rPr>
                <w:spacing w:val="-1"/>
                <w:sz w:val="24"/>
                <w:szCs w:val="24"/>
              </w:rPr>
              <w:t>失。</w:t>
            </w:r>
          </w:p>
          <w:p w14:paraId="2E847C11">
            <w:pPr>
              <w:pStyle w:val="6"/>
              <w:spacing w:before="182" w:line="219" w:lineRule="auto"/>
              <w:ind w:left="84"/>
              <w:rPr>
                <w:sz w:val="24"/>
                <w:szCs w:val="24"/>
              </w:rPr>
            </w:pPr>
            <w:r>
              <w:rPr>
                <w:b/>
                <w:bCs/>
                <w:spacing w:val="-4"/>
                <w:sz w:val="24"/>
                <w:szCs w:val="24"/>
              </w:rPr>
              <w:t>2地表水环境影响分析</w:t>
            </w:r>
          </w:p>
          <w:p w14:paraId="3789B1BA">
            <w:pPr>
              <w:pStyle w:val="6"/>
              <w:spacing w:before="199" w:line="219" w:lineRule="auto"/>
              <w:ind w:left="710"/>
              <w:rPr>
                <w:sz w:val="24"/>
                <w:szCs w:val="24"/>
              </w:rPr>
            </w:pPr>
            <w:r>
              <w:rPr>
                <w:sz w:val="24"/>
                <w:szCs w:val="24"/>
              </w:rPr>
              <w:t>(1)施工期生活污水影响分析</w:t>
            </w:r>
          </w:p>
          <w:p w14:paraId="3C81F34D">
            <w:pPr>
              <w:pStyle w:val="6"/>
              <w:spacing w:before="161" w:line="360" w:lineRule="auto"/>
              <w:ind w:left="31" w:right="13" w:firstLine="529"/>
              <w:rPr>
                <w:sz w:val="24"/>
                <w:szCs w:val="24"/>
              </w:rPr>
            </w:pPr>
            <w:r>
              <w:rPr>
                <w:sz w:val="24"/>
                <w:szCs w:val="24"/>
              </w:rPr>
              <w:t>项目施工期的施工人员高峰人数约200人，本次报告根据与项目总承包单位</w:t>
            </w:r>
            <w:r>
              <w:rPr>
                <w:spacing w:val="8"/>
                <w:sz w:val="24"/>
                <w:szCs w:val="24"/>
              </w:rPr>
              <w:t xml:space="preserve"> </w:t>
            </w:r>
            <w:r>
              <w:rPr>
                <w:sz w:val="24"/>
                <w:szCs w:val="24"/>
              </w:rPr>
              <w:t>了解，施工期间在项目区内不设置有人食宿办公的施工营地，施工期间，施工人</w:t>
            </w:r>
            <w:r>
              <w:rPr>
                <w:spacing w:val="9"/>
                <w:sz w:val="24"/>
                <w:szCs w:val="24"/>
              </w:rPr>
              <w:t xml:space="preserve"> </w:t>
            </w:r>
            <w:r>
              <w:rPr>
                <w:sz w:val="24"/>
                <w:szCs w:val="24"/>
              </w:rPr>
              <w:t>员租住周边村庄的民房，生活设施依托周边村庄已经建成措施，施工项目经理部</w:t>
            </w:r>
            <w:r>
              <w:rPr>
                <w:spacing w:val="12"/>
                <w:sz w:val="24"/>
                <w:szCs w:val="24"/>
              </w:rPr>
              <w:t xml:space="preserve"> </w:t>
            </w:r>
            <w:r>
              <w:rPr>
                <w:spacing w:val="5"/>
                <w:sz w:val="24"/>
                <w:szCs w:val="24"/>
              </w:rPr>
              <w:t>人员为20人，也是租用周边村庄的民房，依托周边村庄已经建成的生活措施。</w:t>
            </w:r>
            <w:r>
              <w:rPr>
                <w:spacing w:val="4"/>
                <w:sz w:val="24"/>
                <w:szCs w:val="24"/>
              </w:rPr>
              <w:t xml:space="preserve"> </w:t>
            </w:r>
            <w:r>
              <w:rPr>
                <w:spacing w:val="1"/>
                <w:sz w:val="24"/>
                <w:szCs w:val="24"/>
              </w:rPr>
              <w:t>施工单位在项目占地范围内设置施工临时营地，用作材料的堆放，没有施</w:t>
            </w:r>
            <w:r>
              <w:rPr>
                <w:sz w:val="24"/>
                <w:szCs w:val="24"/>
              </w:rPr>
              <w:t>工人员 在施工营地食宿。综上所述，本项目施工期施工人员和项</w:t>
            </w:r>
            <w:r>
              <w:rPr>
                <w:spacing w:val="-1"/>
                <w:sz w:val="24"/>
                <w:szCs w:val="24"/>
              </w:rPr>
              <w:t>目管理人员均依托周边</w:t>
            </w:r>
            <w:r>
              <w:rPr>
                <w:sz w:val="24"/>
                <w:szCs w:val="24"/>
              </w:rPr>
              <w:t xml:space="preserve"> 村庄已经建成的生活设施，本次项目不新建施工期生</w:t>
            </w:r>
            <w:r>
              <w:rPr>
                <w:spacing w:val="-1"/>
                <w:sz w:val="24"/>
                <w:szCs w:val="24"/>
              </w:rPr>
              <w:t>活设施以及相应的污水处理</w:t>
            </w:r>
            <w:r>
              <w:rPr>
                <w:sz w:val="24"/>
                <w:szCs w:val="24"/>
              </w:rPr>
              <w:t xml:space="preserve"> </w:t>
            </w:r>
            <w:r>
              <w:rPr>
                <w:spacing w:val="23"/>
                <w:sz w:val="24"/>
                <w:szCs w:val="24"/>
              </w:rPr>
              <w:t>设施。</w:t>
            </w:r>
          </w:p>
          <w:p w14:paraId="606EE08F">
            <w:pPr>
              <w:pStyle w:val="6"/>
              <w:spacing w:line="219" w:lineRule="auto"/>
              <w:ind w:left="700"/>
              <w:rPr>
                <w:sz w:val="24"/>
                <w:szCs w:val="24"/>
              </w:rPr>
            </w:pPr>
            <w:r>
              <w:rPr>
                <w:sz w:val="24"/>
                <w:szCs w:val="24"/>
              </w:rPr>
              <w:t>(2)其他施工废水影响分析</w:t>
            </w:r>
          </w:p>
          <w:p w14:paraId="63FCB9F6">
            <w:pPr>
              <w:pStyle w:val="6"/>
              <w:spacing w:before="194" w:line="219" w:lineRule="auto"/>
              <w:ind w:right="6"/>
              <w:jc w:val="right"/>
              <w:rPr>
                <w:sz w:val="24"/>
                <w:szCs w:val="24"/>
              </w:rPr>
            </w:pPr>
            <w:r>
              <w:rPr>
                <w:sz w:val="24"/>
                <w:szCs w:val="24"/>
              </w:rPr>
              <w:t>根据区域水文地质资料，地下水埋藏很深，对光伏</w:t>
            </w:r>
            <w:r>
              <w:rPr>
                <w:spacing w:val="-1"/>
                <w:sz w:val="24"/>
                <w:szCs w:val="24"/>
              </w:rPr>
              <w:t>基础无影响，可不考虑地</w:t>
            </w:r>
          </w:p>
        </w:tc>
      </w:tr>
    </w:tbl>
    <w:p w14:paraId="61C1949C">
      <w:pPr>
        <w:pStyle w:val="2"/>
      </w:pPr>
    </w:p>
    <w:p w14:paraId="27783AB3">
      <w:pPr>
        <w:sectPr>
          <w:footerReference r:id="rId133" w:type="default"/>
          <w:pgSz w:w="11910" w:h="16830"/>
          <w:pgMar w:top="400" w:right="1272" w:bottom="1245" w:left="1234" w:header="0" w:footer="1083" w:gutter="0"/>
          <w:cols w:space="720" w:num="1"/>
        </w:sectPr>
      </w:pPr>
    </w:p>
    <w:p w14:paraId="11927C6B">
      <w:pPr>
        <w:spacing w:before="15"/>
      </w:pPr>
    </w:p>
    <w:p w14:paraId="29AEFE18">
      <w:pPr>
        <w:spacing w:before="15"/>
      </w:pPr>
    </w:p>
    <w:p w14:paraId="153E315B">
      <w:pPr>
        <w:spacing w:before="15"/>
      </w:pPr>
    </w:p>
    <w:p w14:paraId="06FAEC3F">
      <w:pPr>
        <w:spacing w:before="14"/>
      </w:pPr>
    </w:p>
    <w:tbl>
      <w:tblPr>
        <w:tblStyle w:val="5"/>
        <w:tblW w:w="939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91"/>
      </w:tblGrid>
      <w:tr w14:paraId="31D08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904" w:type="dxa"/>
            <w:vAlign w:val="top"/>
          </w:tcPr>
          <w:p w14:paraId="08074371">
            <w:pPr>
              <w:rPr>
                <w:rFonts w:ascii="Arial"/>
                <w:sz w:val="21"/>
              </w:rPr>
            </w:pPr>
          </w:p>
        </w:tc>
        <w:tc>
          <w:tcPr>
            <w:tcW w:w="8491" w:type="dxa"/>
            <w:vAlign w:val="top"/>
          </w:tcPr>
          <w:p w14:paraId="2BB8D9F8">
            <w:pPr>
              <w:pStyle w:val="6"/>
              <w:spacing w:before="31" w:line="359" w:lineRule="auto"/>
              <w:ind w:left="31" w:firstLine="79"/>
              <w:jc w:val="both"/>
              <w:rPr>
                <w:sz w:val="24"/>
                <w:szCs w:val="24"/>
              </w:rPr>
            </w:pPr>
            <w:r>
              <w:rPr>
                <w:spacing w:val="-8"/>
                <w:sz w:val="24"/>
                <w:szCs w:val="24"/>
              </w:rPr>
              <w:t>下水对施工的影响。因此，初步判定施工期基础开挖产生基坑涌水的可能性较小。</w:t>
            </w:r>
            <w:r>
              <w:rPr>
                <w:spacing w:val="17"/>
                <w:sz w:val="24"/>
                <w:szCs w:val="24"/>
              </w:rPr>
              <w:t xml:space="preserve"> </w:t>
            </w:r>
            <w:r>
              <w:rPr>
                <w:spacing w:val="-3"/>
                <w:sz w:val="24"/>
                <w:szCs w:val="24"/>
              </w:rPr>
              <w:t>其他施工废水主要来自施工过程中的清洁废水，废水量不大。施工废水主要污染</w:t>
            </w:r>
            <w:r>
              <w:rPr>
                <w:spacing w:val="2"/>
                <w:sz w:val="24"/>
                <w:szCs w:val="24"/>
              </w:rPr>
              <w:t xml:space="preserve">  </w:t>
            </w:r>
            <w:r>
              <w:rPr>
                <w:sz w:val="24"/>
                <w:szCs w:val="24"/>
              </w:rPr>
              <w:t>物为泥沙、水泥等悬浮物，浓度一般800~2000mg/L。施工废水采用沉淀池收集、</w:t>
            </w:r>
            <w:r>
              <w:rPr>
                <w:spacing w:val="10"/>
                <w:sz w:val="24"/>
                <w:szCs w:val="24"/>
              </w:rPr>
              <w:t xml:space="preserve"> </w:t>
            </w:r>
            <w:r>
              <w:rPr>
                <w:spacing w:val="-3"/>
                <w:sz w:val="24"/>
                <w:szCs w:val="24"/>
              </w:rPr>
              <w:t>澄清，全部回用于场地洒水降尘、建筑材料冲洗等施工环节，不外排，废水能做</w:t>
            </w:r>
            <w:r>
              <w:rPr>
                <w:spacing w:val="4"/>
                <w:sz w:val="24"/>
                <w:szCs w:val="24"/>
              </w:rPr>
              <w:t xml:space="preserve">  </w:t>
            </w:r>
            <w:r>
              <w:rPr>
                <w:sz w:val="24"/>
                <w:szCs w:val="24"/>
              </w:rPr>
              <w:t>到零排放，对周围地表水体水质影响较小。</w:t>
            </w:r>
          </w:p>
          <w:p w14:paraId="0D71A8BA">
            <w:pPr>
              <w:pStyle w:val="6"/>
              <w:spacing w:before="30" w:line="219" w:lineRule="auto"/>
              <w:ind w:left="641"/>
              <w:rPr>
                <w:sz w:val="24"/>
                <w:szCs w:val="24"/>
              </w:rPr>
            </w:pPr>
            <w:r>
              <w:rPr>
                <w:spacing w:val="1"/>
                <w:sz w:val="24"/>
                <w:szCs w:val="24"/>
              </w:rPr>
              <w:t>(3)初期雨水</w:t>
            </w:r>
          </w:p>
          <w:p w14:paraId="20F36DC9">
            <w:pPr>
              <w:pStyle w:val="6"/>
              <w:spacing w:before="151" w:line="362" w:lineRule="auto"/>
              <w:ind w:left="31" w:firstLine="529"/>
              <w:rPr>
                <w:sz w:val="24"/>
                <w:szCs w:val="24"/>
              </w:rPr>
            </w:pPr>
            <w:r>
              <w:rPr>
                <w:sz w:val="24"/>
                <w:szCs w:val="24"/>
              </w:rPr>
              <w:t>项目工程施工要求避开雨季，但施工过程中不可避免地会遇到雨水天气，尤 其是项目部分光伏场区处于山体斜坡地带，施工期降雨后径流冲刷浮土、建筑砂</w:t>
            </w:r>
            <w:r>
              <w:rPr>
                <w:spacing w:val="4"/>
                <w:sz w:val="24"/>
                <w:szCs w:val="24"/>
              </w:rPr>
              <w:t xml:space="preserve"> </w:t>
            </w:r>
            <w:r>
              <w:rPr>
                <w:sz w:val="24"/>
                <w:szCs w:val="24"/>
              </w:rPr>
              <w:t>石等，产生携带大量泥沙、水泥、油类及其它地表固体污染物的泥浆水，如</w:t>
            </w:r>
            <w:r>
              <w:rPr>
                <w:spacing w:val="-1"/>
                <w:sz w:val="24"/>
                <w:szCs w:val="24"/>
              </w:rPr>
              <w:t>流入</w:t>
            </w:r>
            <w:r>
              <w:rPr>
                <w:sz w:val="24"/>
                <w:szCs w:val="24"/>
              </w:rPr>
              <w:t xml:space="preserve"> </w:t>
            </w:r>
            <w:r>
              <w:rPr>
                <w:spacing w:val="3"/>
                <w:sz w:val="24"/>
                <w:szCs w:val="24"/>
              </w:rPr>
              <w:t>地表水体，将产生一定的面源污染。</w:t>
            </w:r>
          </w:p>
          <w:p w14:paraId="02FA0245">
            <w:pPr>
              <w:pStyle w:val="6"/>
              <w:spacing w:before="4" w:line="357" w:lineRule="auto"/>
              <w:ind w:left="31" w:firstLine="549"/>
              <w:jc w:val="both"/>
              <w:rPr>
                <w:sz w:val="24"/>
                <w:szCs w:val="24"/>
              </w:rPr>
            </w:pPr>
            <w:r>
              <w:rPr>
                <w:spacing w:val="-1"/>
                <w:sz w:val="24"/>
                <w:szCs w:val="24"/>
              </w:rPr>
              <w:t>工程应严格落实水土保持措施，在光伏场区和道路区地势低处、施工临时营</w:t>
            </w:r>
            <w:r>
              <w:rPr>
                <w:spacing w:val="10"/>
                <w:sz w:val="24"/>
                <w:szCs w:val="24"/>
              </w:rPr>
              <w:t xml:space="preserve"> </w:t>
            </w:r>
            <w:r>
              <w:rPr>
                <w:sz w:val="24"/>
                <w:szCs w:val="24"/>
              </w:rPr>
              <w:t>场地周边设置截排水沟，各沟渠末端设置临时沉淀池，施工过程中产生的初期雨</w:t>
            </w:r>
            <w:r>
              <w:rPr>
                <w:spacing w:val="8"/>
                <w:sz w:val="24"/>
                <w:szCs w:val="24"/>
              </w:rPr>
              <w:t xml:space="preserve"> </w:t>
            </w:r>
            <w:r>
              <w:rPr>
                <w:sz w:val="24"/>
                <w:szCs w:val="24"/>
              </w:rPr>
              <w:t xml:space="preserve">水经临时截排水沟引入沉淀池沉淀处理后，一部分可回用于施工过程及场地洒水 </w:t>
            </w:r>
            <w:r>
              <w:rPr>
                <w:spacing w:val="1"/>
                <w:sz w:val="24"/>
                <w:szCs w:val="24"/>
              </w:rPr>
              <w:t>降尘，回用不完的部分再顺流至附近自然沟渠，对周边地表水产生的影响较小。</w:t>
            </w:r>
          </w:p>
          <w:p w14:paraId="135DB007">
            <w:pPr>
              <w:pStyle w:val="6"/>
              <w:spacing w:before="3" w:line="360" w:lineRule="auto"/>
              <w:ind w:left="31" w:firstLine="549"/>
              <w:jc w:val="both"/>
              <w:rPr>
                <w:sz w:val="24"/>
                <w:szCs w:val="24"/>
              </w:rPr>
            </w:pPr>
            <w:r>
              <w:rPr>
                <w:spacing w:val="-1"/>
                <w:sz w:val="24"/>
                <w:szCs w:val="24"/>
              </w:rPr>
              <w:t>此外，工程施工还应加强管理，粉状物料尽量袋装后搭设防雨工棚存放，做</w:t>
            </w:r>
            <w:r>
              <w:rPr>
                <w:spacing w:val="12"/>
                <w:sz w:val="24"/>
                <w:szCs w:val="24"/>
              </w:rPr>
              <w:t xml:space="preserve"> </w:t>
            </w:r>
            <w:r>
              <w:rPr>
                <w:sz w:val="24"/>
                <w:szCs w:val="24"/>
              </w:rPr>
              <w:t>好施工机械的日常维修保养，杜绝跑、冒、滴、漏现象，尽量减小施工期降雨冲</w:t>
            </w:r>
            <w:r>
              <w:rPr>
                <w:spacing w:val="5"/>
                <w:sz w:val="24"/>
                <w:szCs w:val="24"/>
              </w:rPr>
              <w:t xml:space="preserve"> </w:t>
            </w:r>
            <w:r>
              <w:rPr>
                <w:spacing w:val="6"/>
                <w:sz w:val="24"/>
                <w:szCs w:val="24"/>
              </w:rPr>
              <w:t>刷产生的影响。</w:t>
            </w:r>
          </w:p>
          <w:p w14:paraId="2CDA0304">
            <w:pPr>
              <w:pStyle w:val="6"/>
              <w:spacing w:line="220" w:lineRule="auto"/>
              <w:ind w:left="84"/>
              <w:rPr>
                <w:sz w:val="24"/>
                <w:szCs w:val="24"/>
              </w:rPr>
            </w:pPr>
            <w:r>
              <w:rPr>
                <w:b/>
                <w:bCs/>
                <w:spacing w:val="-4"/>
                <w:sz w:val="24"/>
                <w:szCs w:val="24"/>
              </w:rPr>
              <w:t>3施工废气环境影响分析</w:t>
            </w:r>
          </w:p>
          <w:p w14:paraId="7A40D1FD">
            <w:pPr>
              <w:pStyle w:val="6"/>
              <w:spacing w:before="184" w:line="220" w:lineRule="auto"/>
              <w:ind w:left="74"/>
              <w:rPr>
                <w:sz w:val="24"/>
                <w:szCs w:val="24"/>
              </w:rPr>
            </w:pPr>
            <w:r>
              <w:rPr>
                <w:b/>
                <w:bCs/>
                <w:spacing w:val="-4"/>
                <w:sz w:val="24"/>
                <w:szCs w:val="24"/>
              </w:rPr>
              <w:t>3.1施工扬尘影响分析</w:t>
            </w:r>
          </w:p>
          <w:p w14:paraId="3D1C80AE">
            <w:pPr>
              <w:pStyle w:val="6"/>
              <w:spacing w:before="172" w:line="361" w:lineRule="auto"/>
              <w:ind w:left="31" w:firstLine="533"/>
              <w:rPr>
                <w:sz w:val="24"/>
                <w:szCs w:val="24"/>
              </w:rPr>
            </w:pPr>
            <w:r>
              <w:rPr>
                <w:spacing w:val="-4"/>
                <w:sz w:val="24"/>
                <w:szCs w:val="24"/>
              </w:rPr>
              <w:t>本项目施工期大气污染物主要为施工扬尘，其主要来源有以下几个方面：①</w:t>
            </w:r>
            <w:r>
              <w:rPr>
                <w:spacing w:val="9"/>
                <w:sz w:val="24"/>
                <w:szCs w:val="24"/>
              </w:rPr>
              <w:t xml:space="preserve">  </w:t>
            </w:r>
            <w:r>
              <w:rPr>
                <w:spacing w:val="-3"/>
                <w:sz w:val="24"/>
                <w:szCs w:val="24"/>
              </w:rPr>
              <w:t>箱变、升压站基础开挖、平整产生的扬尘；②土方回填及建筑材料的堆放、现场</w:t>
            </w:r>
            <w:r>
              <w:rPr>
                <w:spacing w:val="5"/>
                <w:sz w:val="24"/>
                <w:szCs w:val="24"/>
              </w:rPr>
              <w:t xml:space="preserve">  </w:t>
            </w:r>
            <w:r>
              <w:rPr>
                <w:spacing w:val="-5"/>
                <w:sz w:val="24"/>
                <w:szCs w:val="24"/>
              </w:rPr>
              <w:t>搬运产生扬尘；③施工机械设备及车辆造成的道路、场</w:t>
            </w:r>
            <w:r>
              <w:rPr>
                <w:spacing w:val="-6"/>
                <w:sz w:val="24"/>
                <w:szCs w:val="24"/>
              </w:rPr>
              <w:t>地扬尘及排放的有害物质；</w:t>
            </w:r>
            <w:r>
              <w:rPr>
                <w:sz w:val="24"/>
                <w:szCs w:val="24"/>
              </w:rPr>
              <w:t xml:space="preserve"> ④施工结束后平整场地及拆除施工设施时产生的扬尘。施工扬尘属于无组织排</w:t>
            </w:r>
            <w:r>
              <w:rPr>
                <w:spacing w:val="1"/>
                <w:sz w:val="24"/>
                <w:szCs w:val="24"/>
              </w:rPr>
              <w:t xml:space="preserve">   </w:t>
            </w:r>
            <w:r>
              <w:rPr>
                <w:spacing w:val="-3"/>
                <w:sz w:val="24"/>
                <w:szCs w:val="24"/>
              </w:rPr>
              <w:t>放，污染因子为颗粒物，其产生强度与施工方式、气象条件有关，一般风大时产</w:t>
            </w:r>
            <w:r>
              <w:rPr>
                <w:spacing w:val="5"/>
                <w:sz w:val="24"/>
                <w:szCs w:val="24"/>
              </w:rPr>
              <w:t xml:space="preserve">  </w:t>
            </w:r>
            <w:r>
              <w:rPr>
                <w:spacing w:val="-2"/>
                <w:sz w:val="24"/>
                <w:szCs w:val="24"/>
              </w:rPr>
              <w:t>生扬尘较多。扬尘和粉尘污染的排放源低、颗</w:t>
            </w:r>
            <w:r>
              <w:rPr>
                <w:spacing w:val="-3"/>
                <w:sz w:val="24"/>
                <w:szCs w:val="24"/>
              </w:rPr>
              <w:t>粒物粒径较大，扬尘量较少，但因</w:t>
            </w:r>
            <w:r>
              <w:rPr>
                <w:sz w:val="24"/>
                <w:szCs w:val="24"/>
              </w:rPr>
              <w:t xml:space="preserve">  </w:t>
            </w:r>
            <w:r>
              <w:rPr>
                <w:spacing w:val="1"/>
                <w:sz w:val="24"/>
                <w:szCs w:val="24"/>
              </w:rPr>
              <w:t>风速较大，影响范围较广。施工期间产生的扬尘(粉尘)污染</w:t>
            </w:r>
            <w:r>
              <w:rPr>
                <w:sz w:val="24"/>
                <w:szCs w:val="24"/>
              </w:rPr>
              <w:t xml:space="preserve">主要取决于施工作   </w:t>
            </w:r>
            <w:r>
              <w:rPr>
                <w:spacing w:val="-3"/>
                <w:sz w:val="24"/>
                <w:szCs w:val="24"/>
              </w:rPr>
              <w:t>业方式、材料的堆放以及风速等因素，其中受风速的影响因素最大，随着风速的</w:t>
            </w:r>
            <w:r>
              <w:rPr>
                <w:spacing w:val="7"/>
                <w:sz w:val="24"/>
                <w:szCs w:val="24"/>
              </w:rPr>
              <w:t xml:space="preserve">  </w:t>
            </w:r>
            <w:r>
              <w:rPr>
                <w:spacing w:val="-1"/>
                <w:sz w:val="24"/>
                <w:szCs w:val="24"/>
              </w:rPr>
              <w:t>增大，施工扬尘(粉尘)的污染程度和超标范围也将随之增强和扩大。</w:t>
            </w:r>
          </w:p>
          <w:p w14:paraId="1964EA5D">
            <w:pPr>
              <w:pStyle w:val="6"/>
              <w:spacing w:line="218" w:lineRule="auto"/>
              <w:jc w:val="right"/>
              <w:rPr>
                <w:sz w:val="24"/>
                <w:szCs w:val="24"/>
              </w:rPr>
            </w:pPr>
            <w:r>
              <w:rPr>
                <w:spacing w:val="-1"/>
                <w:sz w:val="24"/>
                <w:szCs w:val="24"/>
              </w:rPr>
              <w:t>由于项目主要根据地块的实际地形，首先进行简单平整</w:t>
            </w:r>
            <w:r>
              <w:rPr>
                <w:spacing w:val="-2"/>
                <w:sz w:val="24"/>
                <w:szCs w:val="24"/>
              </w:rPr>
              <w:t>后，再进行桩基基础</w:t>
            </w:r>
          </w:p>
        </w:tc>
      </w:tr>
    </w:tbl>
    <w:p w14:paraId="7E87921E">
      <w:pPr>
        <w:pStyle w:val="2"/>
      </w:pPr>
    </w:p>
    <w:p w14:paraId="7A9269B3">
      <w:pPr>
        <w:sectPr>
          <w:footerReference r:id="rId134" w:type="default"/>
          <w:pgSz w:w="11910" w:h="16830"/>
          <w:pgMar w:top="400" w:right="1269" w:bottom="1245" w:left="1234" w:header="0" w:footer="1083" w:gutter="0"/>
          <w:cols w:space="720" w:num="1"/>
        </w:sectPr>
      </w:pPr>
    </w:p>
    <w:p w14:paraId="1B681DF2">
      <w:pPr>
        <w:spacing w:before="15"/>
      </w:pPr>
    </w:p>
    <w:p w14:paraId="3AC7DC06">
      <w:pPr>
        <w:spacing w:before="15"/>
      </w:pPr>
    </w:p>
    <w:p w14:paraId="172D6586">
      <w:pPr>
        <w:spacing w:before="15"/>
      </w:pPr>
    </w:p>
    <w:p w14:paraId="597DAE0E">
      <w:pPr>
        <w:spacing w:before="14"/>
      </w:pPr>
    </w:p>
    <w:tbl>
      <w:tblPr>
        <w:tblStyle w:val="5"/>
        <w:tblW w:w="940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99"/>
      </w:tblGrid>
      <w:tr w14:paraId="16A9F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904" w:type="dxa"/>
            <w:vAlign w:val="top"/>
          </w:tcPr>
          <w:p w14:paraId="423FE8E2">
            <w:pPr>
              <w:rPr>
                <w:rFonts w:ascii="Arial"/>
                <w:sz w:val="21"/>
              </w:rPr>
            </w:pPr>
          </w:p>
        </w:tc>
        <w:tc>
          <w:tcPr>
            <w:tcW w:w="8499" w:type="dxa"/>
            <w:vAlign w:val="top"/>
          </w:tcPr>
          <w:p w14:paraId="54330E19">
            <w:pPr>
              <w:pStyle w:val="6"/>
              <w:spacing w:before="22" w:line="348" w:lineRule="auto"/>
              <w:ind w:left="101" w:right="7" w:hanging="20"/>
              <w:jc w:val="both"/>
              <w:rPr>
                <w:sz w:val="25"/>
                <w:szCs w:val="25"/>
              </w:rPr>
            </w:pPr>
            <w:r>
              <w:rPr>
                <w:spacing w:val="-10"/>
                <w:sz w:val="25"/>
                <w:szCs w:val="25"/>
              </w:rPr>
              <w:t>的打桩工作，然后再在桩基基础上安装光伏组件；因此产生的扬尘是零星的，极</w:t>
            </w:r>
            <w:r>
              <w:rPr>
                <w:sz w:val="25"/>
                <w:szCs w:val="25"/>
              </w:rPr>
              <w:t xml:space="preserve"> </w:t>
            </w:r>
            <w:r>
              <w:rPr>
                <w:spacing w:val="-11"/>
                <w:sz w:val="25"/>
                <w:szCs w:val="25"/>
              </w:rPr>
              <w:t>小的，基本不存在作业面扬尘，产生作业面扬尘的主要为箱变、升压站施工工地</w:t>
            </w:r>
            <w:r>
              <w:rPr>
                <w:spacing w:val="13"/>
                <w:sz w:val="25"/>
                <w:szCs w:val="25"/>
              </w:rPr>
              <w:t xml:space="preserve"> </w:t>
            </w:r>
            <w:r>
              <w:rPr>
                <w:spacing w:val="-11"/>
                <w:sz w:val="25"/>
                <w:szCs w:val="25"/>
              </w:rPr>
              <w:t>建设过程产生的扬尘。类比云南省环境监测中心站对省内其它建筑施工场地扬尘</w:t>
            </w:r>
            <w:r>
              <w:rPr>
                <w:spacing w:val="13"/>
                <w:sz w:val="25"/>
                <w:szCs w:val="25"/>
              </w:rPr>
              <w:t xml:space="preserve"> </w:t>
            </w:r>
            <w:r>
              <w:rPr>
                <w:sz w:val="25"/>
                <w:szCs w:val="25"/>
              </w:rPr>
              <w:t>污染的监测结果，在距离施工现场边界下风向50m处，TSP浓度达最大值</w:t>
            </w:r>
          </w:p>
          <w:p w14:paraId="30BCDEC3">
            <w:pPr>
              <w:pStyle w:val="6"/>
              <w:spacing w:line="213" w:lineRule="auto"/>
              <w:ind w:left="81"/>
              <w:rPr>
                <w:sz w:val="25"/>
                <w:szCs w:val="25"/>
              </w:rPr>
            </w:pPr>
            <w:r>
              <w:rPr>
                <w:spacing w:val="10"/>
                <w:sz w:val="25"/>
                <w:szCs w:val="25"/>
              </w:rPr>
              <w:t>4.53</w:t>
            </w:r>
            <w:r>
              <w:rPr>
                <w:sz w:val="25"/>
                <w:szCs w:val="25"/>
              </w:rPr>
              <w:t>mg</w:t>
            </w:r>
            <w:r>
              <w:rPr>
                <w:spacing w:val="10"/>
                <w:sz w:val="25"/>
                <w:szCs w:val="25"/>
              </w:rPr>
              <w:t>/m³,至150m处降至1.51</w:t>
            </w:r>
            <w:r>
              <w:rPr>
                <w:sz w:val="25"/>
                <w:szCs w:val="25"/>
              </w:rPr>
              <w:t>mg</w:t>
            </w:r>
            <w:r>
              <w:rPr>
                <w:spacing w:val="10"/>
                <w:sz w:val="25"/>
                <w:szCs w:val="25"/>
              </w:rPr>
              <w:t>/m³,至2</w:t>
            </w:r>
            <w:r>
              <w:rPr>
                <w:spacing w:val="9"/>
                <w:sz w:val="25"/>
                <w:szCs w:val="25"/>
              </w:rPr>
              <w:t>00m处</w:t>
            </w:r>
            <w:r>
              <w:rPr>
                <w:sz w:val="25"/>
                <w:szCs w:val="25"/>
              </w:rPr>
              <w:t>TSP</w:t>
            </w:r>
            <w:r>
              <w:rPr>
                <w:spacing w:val="9"/>
                <w:sz w:val="25"/>
                <w:szCs w:val="25"/>
              </w:rPr>
              <w:t>浓度降至1.0</w:t>
            </w:r>
            <w:r>
              <w:rPr>
                <w:sz w:val="25"/>
                <w:szCs w:val="25"/>
              </w:rPr>
              <w:t>mg</w:t>
            </w:r>
            <w:r>
              <w:rPr>
                <w:spacing w:val="9"/>
                <w:sz w:val="25"/>
                <w:szCs w:val="25"/>
              </w:rPr>
              <w:t>/m³以</w:t>
            </w:r>
          </w:p>
          <w:p w14:paraId="7E73511E">
            <w:pPr>
              <w:pStyle w:val="6"/>
              <w:spacing w:before="168" w:line="347" w:lineRule="auto"/>
              <w:ind w:left="41" w:firstLine="69"/>
              <w:rPr>
                <w:sz w:val="25"/>
                <w:szCs w:val="25"/>
              </w:rPr>
            </w:pPr>
            <w:r>
              <w:rPr>
                <w:spacing w:val="1"/>
                <w:sz w:val="25"/>
                <w:szCs w:val="25"/>
              </w:rPr>
              <w:t>下，至300m处</w:t>
            </w:r>
            <w:r>
              <w:rPr>
                <w:sz w:val="25"/>
                <w:szCs w:val="25"/>
              </w:rPr>
              <w:t>TSP</w:t>
            </w:r>
            <w:r>
              <w:rPr>
                <w:spacing w:val="1"/>
                <w:sz w:val="25"/>
                <w:szCs w:val="25"/>
              </w:rPr>
              <w:t>浓度降至0.5</w:t>
            </w:r>
            <w:r>
              <w:rPr>
                <w:sz w:val="25"/>
                <w:szCs w:val="25"/>
              </w:rPr>
              <w:t>mg</w:t>
            </w:r>
            <w:r>
              <w:rPr>
                <w:spacing w:val="1"/>
                <w:sz w:val="25"/>
                <w:szCs w:val="25"/>
              </w:rPr>
              <w:t>/m³以下。因此，施工期无组织排放扬</w:t>
            </w:r>
            <w:r>
              <w:rPr>
                <w:sz w:val="25"/>
                <w:szCs w:val="25"/>
              </w:rPr>
              <w:t xml:space="preserve">尘污  </w:t>
            </w:r>
            <w:r>
              <w:rPr>
                <w:spacing w:val="-2"/>
                <w:sz w:val="25"/>
                <w:szCs w:val="25"/>
              </w:rPr>
              <w:t>染范围主要在200m以内。为避免对施工人员造成影响，应采取如下环保措施：</w:t>
            </w:r>
            <w:r>
              <w:rPr>
                <w:spacing w:val="18"/>
                <w:sz w:val="25"/>
                <w:szCs w:val="25"/>
              </w:rPr>
              <w:t xml:space="preserve"> </w:t>
            </w:r>
            <w:r>
              <w:rPr>
                <w:spacing w:val="-12"/>
                <w:sz w:val="25"/>
                <w:szCs w:val="25"/>
              </w:rPr>
              <w:t>①土石方运输禁止超载，装高不得超过车厢板，并盖篷布，严禁沿途洒落；②场</w:t>
            </w:r>
            <w:r>
              <w:rPr>
                <w:spacing w:val="4"/>
                <w:sz w:val="25"/>
                <w:szCs w:val="25"/>
              </w:rPr>
              <w:t xml:space="preserve">  </w:t>
            </w:r>
            <w:r>
              <w:rPr>
                <w:spacing w:val="-15"/>
                <w:sz w:val="25"/>
                <w:szCs w:val="25"/>
              </w:rPr>
              <w:t>区地处山坡位置，风速较大，在旱季容易产生尘土</w:t>
            </w:r>
            <w:r>
              <w:rPr>
                <w:spacing w:val="-16"/>
                <w:sz w:val="25"/>
                <w:szCs w:val="25"/>
              </w:rPr>
              <w:t>飞扬。为抑制尘土飞扬和降尘，</w:t>
            </w:r>
            <w:r>
              <w:rPr>
                <w:sz w:val="25"/>
                <w:szCs w:val="25"/>
              </w:rPr>
              <w:t xml:space="preserve"> </w:t>
            </w:r>
            <w:r>
              <w:rPr>
                <w:spacing w:val="-2"/>
                <w:sz w:val="25"/>
                <w:szCs w:val="25"/>
              </w:rPr>
              <w:t>晴天利用水管对堆积表面进行喷洒，以保护环境。</w:t>
            </w:r>
          </w:p>
          <w:p w14:paraId="376D70F6">
            <w:pPr>
              <w:pStyle w:val="6"/>
              <w:tabs>
                <w:tab w:val="left" w:pos="200"/>
              </w:tabs>
              <w:spacing w:before="2" w:line="344" w:lineRule="auto"/>
              <w:ind w:left="11" w:firstLine="559"/>
              <w:rPr>
                <w:sz w:val="25"/>
                <w:szCs w:val="25"/>
              </w:rPr>
            </w:pPr>
            <w:r>
              <w:rPr>
                <w:spacing w:val="-10"/>
                <w:sz w:val="25"/>
                <w:szCs w:val="25"/>
              </w:rPr>
              <w:t>根据现场踏勘，本项目周边的大气保护目标为阿油铺村</w:t>
            </w:r>
            <w:r>
              <w:rPr>
                <w:spacing w:val="-11"/>
                <w:sz w:val="25"/>
                <w:szCs w:val="25"/>
              </w:rPr>
              <w:t>、栗树园村、栗树园</w:t>
            </w:r>
            <w:r>
              <w:rPr>
                <w:sz w:val="25"/>
                <w:szCs w:val="25"/>
              </w:rPr>
              <w:t xml:space="preserve"> </w:t>
            </w:r>
            <w:r>
              <w:rPr>
                <w:spacing w:val="2"/>
                <w:sz w:val="25"/>
                <w:szCs w:val="25"/>
              </w:rPr>
              <w:t>村散户1、栗树园村散户2、栗树园村散户3(田间农户看地)、栗树园村散户4</w:t>
            </w:r>
            <w:r>
              <w:rPr>
                <w:spacing w:val="3"/>
                <w:sz w:val="25"/>
                <w:szCs w:val="25"/>
              </w:rPr>
              <w:t xml:space="preserve">  </w:t>
            </w:r>
            <w:r>
              <w:rPr>
                <w:sz w:val="25"/>
                <w:szCs w:val="25"/>
              </w:rPr>
              <w:tab/>
            </w:r>
            <w:r>
              <w:rPr>
                <w:spacing w:val="-3"/>
                <w:sz w:val="25"/>
                <w:szCs w:val="25"/>
              </w:rPr>
              <w:t>(田间农户看地)、发峨哨小学、上村子、发峨哨、发峨哨散户1、戈依村、戈</w:t>
            </w:r>
            <w:r>
              <w:rPr>
                <w:spacing w:val="1"/>
                <w:sz w:val="25"/>
                <w:szCs w:val="25"/>
              </w:rPr>
              <w:t xml:space="preserve"> </w:t>
            </w:r>
            <w:r>
              <w:rPr>
                <w:spacing w:val="-1"/>
                <w:sz w:val="25"/>
                <w:szCs w:val="25"/>
              </w:rPr>
              <w:t>依小学、大莫古集镇(包括大莫古镇完小、大莫古镇一中、大莫古幼儿园)、放</w:t>
            </w:r>
            <w:r>
              <w:rPr>
                <w:spacing w:val="11"/>
                <w:sz w:val="25"/>
                <w:szCs w:val="25"/>
              </w:rPr>
              <w:t xml:space="preserve"> </w:t>
            </w:r>
            <w:r>
              <w:rPr>
                <w:spacing w:val="3"/>
                <w:sz w:val="25"/>
                <w:szCs w:val="25"/>
              </w:rPr>
              <w:t>马沟散户1(田间农户看地)、放马沟散户2(田间农户看地)、</w:t>
            </w:r>
            <w:r>
              <w:rPr>
                <w:spacing w:val="2"/>
                <w:sz w:val="25"/>
                <w:szCs w:val="25"/>
              </w:rPr>
              <w:t>放马沟散户3</w:t>
            </w:r>
          </w:p>
          <w:p w14:paraId="1F2FF7A2">
            <w:pPr>
              <w:pStyle w:val="6"/>
              <w:spacing w:before="10" w:line="339" w:lineRule="auto"/>
              <w:ind w:left="101" w:right="307" w:firstLine="189"/>
              <w:rPr>
                <w:sz w:val="25"/>
                <w:szCs w:val="25"/>
              </w:rPr>
            </w:pPr>
            <w:r>
              <w:rPr>
                <w:sz w:val="25"/>
                <w:szCs w:val="25"/>
              </w:rPr>
              <w:t>(田间农户看地)、放马沟散户4(田间农户看地)放马沟散户5(田间农户看</w:t>
            </w:r>
            <w:r>
              <w:rPr>
                <w:spacing w:val="14"/>
                <w:sz w:val="25"/>
                <w:szCs w:val="25"/>
              </w:rPr>
              <w:t xml:space="preserve"> </w:t>
            </w:r>
            <w:r>
              <w:rPr>
                <w:sz w:val="25"/>
                <w:szCs w:val="25"/>
              </w:rPr>
              <w:t>地)、戈依(在500m范围内)、放马沟散户6(田间</w:t>
            </w:r>
            <w:r>
              <w:rPr>
                <w:spacing w:val="-1"/>
                <w:sz w:val="25"/>
                <w:szCs w:val="25"/>
              </w:rPr>
              <w:t>农户看地)、放马沟、放</w:t>
            </w:r>
          </w:p>
          <w:p w14:paraId="37337929">
            <w:pPr>
              <w:pStyle w:val="6"/>
              <w:spacing w:line="347" w:lineRule="auto"/>
              <w:ind w:left="91" w:right="248" w:firstLine="139"/>
              <w:rPr>
                <w:sz w:val="25"/>
                <w:szCs w:val="25"/>
              </w:rPr>
            </w:pPr>
            <w:r>
              <w:rPr>
                <w:sz w:val="25"/>
                <w:szCs w:val="25"/>
              </w:rPr>
              <w:t>马沟散户7(田间农户看地)、大地村散户1(田间农户看地)、大地村、大地</w:t>
            </w:r>
            <w:r>
              <w:rPr>
                <w:spacing w:val="8"/>
                <w:sz w:val="25"/>
                <w:szCs w:val="25"/>
              </w:rPr>
              <w:t xml:space="preserve"> </w:t>
            </w:r>
            <w:r>
              <w:rPr>
                <w:spacing w:val="3"/>
                <w:sz w:val="25"/>
                <w:szCs w:val="25"/>
              </w:rPr>
              <w:t>村散户2、大地村散户3(田间农户看地)、大地村散户4(田间农户看地)、</w:t>
            </w:r>
          </w:p>
          <w:p w14:paraId="1A0D0127">
            <w:pPr>
              <w:pStyle w:val="6"/>
              <w:spacing w:line="218" w:lineRule="auto"/>
              <w:ind w:left="101"/>
              <w:rPr>
                <w:sz w:val="25"/>
                <w:szCs w:val="25"/>
              </w:rPr>
            </w:pPr>
            <w:r>
              <w:rPr>
                <w:sz w:val="25"/>
                <w:szCs w:val="25"/>
              </w:rPr>
              <w:t>大莫古、大莫古散户1(田间农户看地)、大地村散户5(田间农户看地)、大</w:t>
            </w:r>
          </w:p>
          <w:p w14:paraId="2DADCAC0">
            <w:pPr>
              <w:pStyle w:val="6"/>
              <w:spacing w:before="174" w:line="219" w:lineRule="auto"/>
              <w:ind w:left="101"/>
              <w:rPr>
                <w:sz w:val="25"/>
                <w:szCs w:val="25"/>
              </w:rPr>
            </w:pPr>
            <w:r>
              <w:rPr>
                <w:sz w:val="25"/>
                <w:szCs w:val="25"/>
              </w:rPr>
              <w:t>地村散户6(田间农户看地)、新村、大地村散户7(田间农户看地)、大地村</w:t>
            </w:r>
          </w:p>
          <w:p w14:paraId="6267F198">
            <w:pPr>
              <w:pStyle w:val="6"/>
              <w:spacing w:before="163" w:line="351" w:lineRule="auto"/>
              <w:ind w:left="101" w:right="201" w:firstLine="69"/>
              <w:rPr>
                <w:sz w:val="25"/>
                <w:szCs w:val="25"/>
              </w:rPr>
            </w:pPr>
            <w:r>
              <w:rPr>
                <w:sz w:val="25"/>
                <w:szCs w:val="25"/>
              </w:rPr>
              <w:t>散户8、大地村散户9(田间农户看地)、小紫处、橡子</w:t>
            </w:r>
            <w:r>
              <w:rPr>
                <w:spacing w:val="-1"/>
                <w:sz w:val="25"/>
                <w:szCs w:val="25"/>
              </w:rPr>
              <w:t>坡、橡子坡散户1、橡</w:t>
            </w:r>
            <w:r>
              <w:rPr>
                <w:sz w:val="25"/>
                <w:szCs w:val="25"/>
              </w:rPr>
              <w:t xml:space="preserve"> 子坡散户2(田间农户看地)、小芭蕉(包括小芭蕉小学),分别位于3#光伏阵</w:t>
            </w:r>
          </w:p>
          <w:p w14:paraId="166B2088">
            <w:pPr>
              <w:pStyle w:val="6"/>
              <w:spacing w:before="3" w:line="344" w:lineRule="auto"/>
              <w:ind w:left="111" w:right="2"/>
              <w:rPr>
                <w:sz w:val="25"/>
                <w:szCs w:val="25"/>
              </w:rPr>
            </w:pPr>
            <w:r>
              <w:rPr>
                <w:sz w:val="25"/>
                <w:szCs w:val="25"/>
              </w:rPr>
              <w:t>列东北侧297m、8#光伏阵列东侧3m、9#光伏阵列西侧3m、8#光伏阵列西北侧</w:t>
            </w:r>
            <w:r>
              <w:rPr>
                <w:spacing w:val="8"/>
                <w:sz w:val="25"/>
                <w:szCs w:val="25"/>
              </w:rPr>
              <w:t xml:space="preserve">  </w:t>
            </w:r>
            <w:r>
              <w:rPr>
                <w:spacing w:val="3"/>
                <w:sz w:val="25"/>
                <w:szCs w:val="25"/>
              </w:rPr>
              <w:t>1m、8#光伏阵列南侧16m、11#光伏阵列西南侧1m、10#光伏阵列西北侧5</w:t>
            </w:r>
            <w:r>
              <w:rPr>
                <w:spacing w:val="2"/>
                <w:sz w:val="25"/>
                <w:szCs w:val="25"/>
              </w:rPr>
              <w:t>0m、</w:t>
            </w:r>
            <w:r>
              <w:rPr>
                <w:sz w:val="25"/>
                <w:szCs w:val="25"/>
              </w:rPr>
              <w:t xml:space="preserve"> </w:t>
            </w:r>
            <w:r>
              <w:rPr>
                <w:spacing w:val="3"/>
                <w:sz w:val="25"/>
                <w:szCs w:val="25"/>
              </w:rPr>
              <w:t>12#光伏阵列西北侧187m、12#光伏阵列北侧296m、12#光伏阵列北西</w:t>
            </w:r>
            <w:r>
              <w:rPr>
                <w:spacing w:val="2"/>
                <w:sz w:val="25"/>
                <w:szCs w:val="25"/>
              </w:rPr>
              <w:t>侧36m、</w:t>
            </w:r>
          </w:p>
          <w:p w14:paraId="05DCE0CE">
            <w:pPr>
              <w:pStyle w:val="6"/>
              <w:spacing w:line="331" w:lineRule="auto"/>
              <w:ind w:left="170" w:right="175" w:firstLine="60"/>
              <w:rPr>
                <w:sz w:val="25"/>
                <w:szCs w:val="25"/>
              </w:rPr>
            </w:pPr>
            <w:r>
              <w:rPr>
                <w:spacing w:val="1"/>
                <w:sz w:val="25"/>
                <w:szCs w:val="25"/>
              </w:rPr>
              <w:t>备用地2西侧190m、备用地2西侧47</w:t>
            </w:r>
            <w:r>
              <w:rPr>
                <w:sz w:val="25"/>
                <w:szCs w:val="25"/>
              </w:rPr>
              <w:t>4m、8#光伏阵列东侧38m、14#光伏阵列 西侧361m、14#光伏阵列西侧380m、14#光伏阵列西侧291m、14#光伏阵列西</w:t>
            </w:r>
            <w:r>
              <w:rPr>
                <w:spacing w:val="13"/>
                <w:sz w:val="25"/>
                <w:szCs w:val="25"/>
              </w:rPr>
              <w:t xml:space="preserve"> </w:t>
            </w:r>
            <w:r>
              <w:rPr>
                <w:sz w:val="25"/>
                <w:szCs w:val="25"/>
              </w:rPr>
              <w:t>侧131m、14#光伏阵列西侧389m、14#光伏阵列西北侧470m、14#光伏阵列东</w:t>
            </w:r>
          </w:p>
        </w:tc>
      </w:tr>
    </w:tbl>
    <w:p w14:paraId="162F04B2">
      <w:pPr>
        <w:pStyle w:val="2"/>
      </w:pPr>
    </w:p>
    <w:p w14:paraId="1DADAD75">
      <w:pPr>
        <w:sectPr>
          <w:footerReference r:id="rId135" w:type="default"/>
          <w:pgSz w:w="11910" w:h="16830"/>
          <w:pgMar w:top="400" w:right="1261" w:bottom="1257" w:left="1234" w:header="0" w:footer="1076" w:gutter="0"/>
          <w:cols w:space="720" w:num="1"/>
        </w:sectPr>
      </w:pPr>
    </w:p>
    <w:p w14:paraId="2201FDD0">
      <w:pPr>
        <w:spacing w:before="15"/>
      </w:pPr>
    </w:p>
    <w:p w14:paraId="51C2F372">
      <w:pPr>
        <w:spacing w:before="15"/>
      </w:pPr>
    </w:p>
    <w:p w14:paraId="3088DD95">
      <w:pPr>
        <w:spacing w:before="15"/>
      </w:pPr>
    </w:p>
    <w:p w14:paraId="47973F3D">
      <w:pPr>
        <w:spacing w:before="14"/>
      </w:pPr>
    </w:p>
    <w:tbl>
      <w:tblPr>
        <w:tblStyle w:val="5"/>
        <w:tblW w:w="939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87"/>
      </w:tblGrid>
      <w:tr w14:paraId="78DED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904" w:type="dxa"/>
            <w:vAlign w:val="top"/>
          </w:tcPr>
          <w:p w14:paraId="7B6E7E68">
            <w:pPr>
              <w:rPr>
                <w:rFonts w:ascii="Arial"/>
                <w:sz w:val="21"/>
              </w:rPr>
            </w:pPr>
          </w:p>
        </w:tc>
        <w:tc>
          <w:tcPr>
            <w:tcW w:w="8487" w:type="dxa"/>
            <w:vAlign w:val="top"/>
          </w:tcPr>
          <w:p w14:paraId="677AF12B">
            <w:pPr>
              <w:pStyle w:val="6"/>
              <w:spacing w:before="23" w:line="219" w:lineRule="auto"/>
              <w:ind w:left="81"/>
              <w:rPr>
                <w:sz w:val="24"/>
                <w:szCs w:val="24"/>
              </w:rPr>
            </w:pPr>
            <w:r>
              <w:rPr>
                <w:sz w:val="24"/>
                <w:szCs w:val="24"/>
              </w:rPr>
              <w:t>北侧379m、15#光伏阵列西北侧226m、16#光伏阵列北侧7m、18#光伏阵列西</w:t>
            </w:r>
          </w:p>
          <w:p w14:paraId="480A92DE">
            <w:pPr>
              <w:pStyle w:val="6"/>
              <w:spacing w:before="195" w:line="219" w:lineRule="auto"/>
              <w:ind w:left="91"/>
              <w:rPr>
                <w:sz w:val="24"/>
                <w:szCs w:val="24"/>
              </w:rPr>
            </w:pPr>
            <w:r>
              <w:rPr>
                <w:sz w:val="24"/>
                <w:szCs w:val="24"/>
              </w:rPr>
              <w:t>南侧264m、19#光伏阵列西侧137m、18#光伏阵列北侧91m、18#光伏阵列北侧</w:t>
            </w:r>
          </w:p>
          <w:p w14:paraId="649C9335">
            <w:pPr>
              <w:pStyle w:val="6"/>
              <w:spacing w:before="176" w:line="363" w:lineRule="auto"/>
              <w:ind w:left="81" w:right="235"/>
              <w:rPr>
                <w:sz w:val="24"/>
                <w:szCs w:val="24"/>
              </w:rPr>
            </w:pPr>
            <w:r>
              <w:rPr>
                <w:spacing w:val="3"/>
                <w:sz w:val="24"/>
                <w:szCs w:val="24"/>
              </w:rPr>
              <w:t>350m、18#光伏阵列北侧494m、19#光伏阵列西侧</w:t>
            </w:r>
            <w:r>
              <w:rPr>
                <w:spacing w:val="2"/>
                <w:sz w:val="24"/>
                <w:szCs w:val="24"/>
              </w:rPr>
              <w:t>140m、19#光伏阵列周边2m、</w:t>
            </w:r>
            <w:r>
              <w:rPr>
                <w:sz w:val="24"/>
                <w:szCs w:val="24"/>
              </w:rPr>
              <w:t xml:space="preserve"> 20#光伏阵列西侧53m、20#光伏阵列东南侧158m、20#光伏阵列北侧1m、20#</w:t>
            </w:r>
          </w:p>
          <w:p w14:paraId="5BAA44F5">
            <w:pPr>
              <w:pStyle w:val="6"/>
              <w:spacing w:before="5" w:line="219" w:lineRule="auto"/>
              <w:ind w:left="101"/>
              <w:rPr>
                <w:sz w:val="24"/>
                <w:szCs w:val="24"/>
              </w:rPr>
            </w:pPr>
            <w:r>
              <w:rPr>
                <w:sz w:val="24"/>
                <w:szCs w:val="24"/>
              </w:rPr>
              <w:t>光伏阵列西侧259m、20#光伏阵列北侧117m、21#光伏阵列西南侧53m、24#光</w:t>
            </w:r>
          </w:p>
          <w:p w14:paraId="0E7F76A5">
            <w:pPr>
              <w:pStyle w:val="6"/>
              <w:spacing w:before="172" w:line="358" w:lineRule="auto"/>
              <w:ind w:left="71" w:right="45" w:firstLine="80"/>
              <w:rPr>
                <w:sz w:val="24"/>
                <w:szCs w:val="24"/>
              </w:rPr>
            </w:pPr>
            <w:r>
              <w:rPr>
                <w:spacing w:val="3"/>
                <w:sz w:val="24"/>
                <w:szCs w:val="24"/>
              </w:rPr>
              <w:t>伏阵列南侧378m、24#光伏阵列西北侧30m,东南侧36m、</w:t>
            </w:r>
            <w:r>
              <w:rPr>
                <w:spacing w:val="2"/>
                <w:sz w:val="24"/>
                <w:szCs w:val="24"/>
              </w:rPr>
              <w:t>24#光伏阵列北侧22m、</w:t>
            </w:r>
            <w:r>
              <w:rPr>
                <w:sz w:val="24"/>
                <w:szCs w:val="24"/>
              </w:rPr>
              <w:t xml:space="preserve"> 24#光伏阵列东侧398m。</w:t>
            </w:r>
          </w:p>
          <w:p w14:paraId="6BDAB2CC">
            <w:pPr>
              <w:pStyle w:val="6"/>
              <w:spacing w:before="1" w:line="363" w:lineRule="auto"/>
              <w:ind w:left="81" w:firstLine="499"/>
              <w:rPr>
                <w:sz w:val="24"/>
                <w:szCs w:val="24"/>
              </w:rPr>
            </w:pPr>
            <w:r>
              <w:rPr>
                <w:spacing w:val="-1"/>
                <w:sz w:val="24"/>
                <w:szCs w:val="24"/>
              </w:rPr>
              <w:t>故项目施工期无组织排放扬尘对上述村庄将产生一定影响，但项目在采用设</w:t>
            </w:r>
            <w:r>
              <w:rPr>
                <w:spacing w:val="8"/>
                <w:sz w:val="24"/>
                <w:szCs w:val="24"/>
              </w:rPr>
              <w:t xml:space="preserve"> </w:t>
            </w:r>
            <w:r>
              <w:rPr>
                <w:spacing w:val="2"/>
                <w:sz w:val="24"/>
                <w:szCs w:val="24"/>
              </w:rPr>
              <w:t>不低于2.5m的施工围挡，在上述村庄周边光伏矩阵施工场地施工，且距离低于</w:t>
            </w:r>
            <w:r>
              <w:rPr>
                <w:sz w:val="24"/>
                <w:szCs w:val="24"/>
              </w:rPr>
              <w:t xml:space="preserve">  200m时在光伏矩阵施工场地面向村庄一侧设置不低于2.5m的遮挡围挡，并加</w:t>
            </w:r>
          </w:p>
          <w:p w14:paraId="465013C3">
            <w:pPr>
              <w:pStyle w:val="6"/>
              <w:spacing w:before="7" w:line="355" w:lineRule="auto"/>
              <w:ind w:left="91" w:firstLine="9"/>
              <w:rPr>
                <w:sz w:val="24"/>
                <w:szCs w:val="24"/>
              </w:rPr>
            </w:pPr>
            <w:r>
              <w:rPr>
                <w:spacing w:val="-7"/>
                <w:sz w:val="24"/>
                <w:szCs w:val="24"/>
              </w:rPr>
              <w:t>强施工场地洒水降尘，用土工布覆盖易产尘材料、土</w:t>
            </w:r>
            <w:r>
              <w:rPr>
                <w:spacing w:val="-8"/>
                <w:sz w:val="24"/>
                <w:szCs w:val="24"/>
              </w:rPr>
              <w:t>石方及时回填压实等措施后，</w:t>
            </w:r>
            <w:r>
              <w:rPr>
                <w:sz w:val="24"/>
                <w:szCs w:val="24"/>
              </w:rPr>
              <w:t xml:space="preserve"> </w:t>
            </w:r>
            <w:r>
              <w:rPr>
                <w:spacing w:val="-2"/>
                <w:sz w:val="24"/>
                <w:szCs w:val="24"/>
              </w:rPr>
              <w:t>施工扬尘影响对周边环境影响可接受。特别是对于距离光伏阵列只有1-3m的保</w:t>
            </w:r>
            <w:r>
              <w:rPr>
                <w:spacing w:val="4"/>
                <w:sz w:val="24"/>
                <w:szCs w:val="24"/>
              </w:rPr>
              <w:t xml:space="preserve">   </w:t>
            </w:r>
            <w:r>
              <w:rPr>
                <w:spacing w:val="-3"/>
                <w:sz w:val="24"/>
                <w:szCs w:val="24"/>
              </w:rPr>
              <w:t>护目标，在该方阵施工时，合理设置施工组织方案，减少施工</w:t>
            </w:r>
            <w:r>
              <w:rPr>
                <w:spacing w:val="-4"/>
                <w:sz w:val="24"/>
                <w:szCs w:val="24"/>
              </w:rPr>
              <w:t>时间。</w:t>
            </w:r>
          </w:p>
          <w:p w14:paraId="5E2FB40F">
            <w:pPr>
              <w:pStyle w:val="6"/>
              <w:spacing w:before="15" w:line="358" w:lineRule="auto"/>
              <w:ind w:left="91" w:firstLine="479"/>
              <w:rPr>
                <w:sz w:val="24"/>
                <w:szCs w:val="24"/>
              </w:rPr>
            </w:pPr>
            <w:r>
              <w:rPr>
                <w:sz w:val="24"/>
                <w:szCs w:val="24"/>
              </w:rPr>
              <w:t>陆良县常年主导风向为西南风，栗树园村散户1、栗树园村散户2、栗树园</w:t>
            </w:r>
            <w:r>
              <w:rPr>
                <w:spacing w:val="4"/>
                <w:sz w:val="24"/>
                <w:szCs w:val="24"/>
              </w:rPr>
              <w:t xml:space="preserve">  </w:t>
            </w:r>
            <w:r>
              <w:rPr>
                <w:sz w:val="24"/>
                <w:szCs w:val="24"/>
              </w:rPr>
              <w:t>村散户3、栗树园村散户4等距离光伏阵列较</w:t>
            </w:r>
            <w:r>
              <w:rPr>
                <w:spacing w:val="-1"/>
                <w:sz w:val="24"/>
                <w:szCs w:val="24"/>
              </w:rPr>
              <w:t>近的保护目标位于主导风向侧风向，</w:t>
            </w:r>
            <w:r>
              <w:rPr>
                <w:sz w:val="24"/>
                <w:szCs w:val="24"/>
              </w:rPr>
              <w:t xml:space="preserve"> </w:t>
            </w:r>
            <w:r>
              <w:rPr>
                <w:spacing w:val="3"/>
                <w:sz w:val="24"/>
                <w:szCs w:val="24"/>
              </w:rPr>
              <w:t xml:space="preserve">通过采取措施，对保护目标的影响较小。大莫古散户1(田间农户看地)虽然距   </w:t>
            </w:r>
            <w:r>
              <w:rPr>
                <w:spacing w:val="2"/>
                <w:sz w:val="24"/>
                <w:szCs w:val="24"/>
              </w:rPr>
              <w:t>离18#方阵较近，但是位于方阵上风向，</w:t>
            </w:r>
            <w:r>
              <w:rPr>
                <w:spacing w:val="1"/>
                <w:sz w:val="24"/>
                <w:szCs w:val="24"/>
              </w:rPr>
              <w:t>18#方阵的施工通过采取措施后，对大</w:t>
            </w:r>
            <w:r>
              <w:rPr>
                <w:sz w:val="24"/>
                <w:szCs w:val="24"/>
              </w:rPr>
              <w:t xml:space="preserve">  </w:t>
            </w:r>
            <w:r>
              <w:rPr>
                <w:spacing w:val="3"/>
                <w:sz w:val="24"/>
                <w:szCs w:val="24"/>
              </w:rPr>
              <w:t>莫古散户1(田间农户看地)的影响较小，同时经过现场调查，该保护目标只是</w:t>
            </w:r>
            <w:r>
              <w:rPr>
                <w:spacing w:val="4"/>
                <w:sz w:val="24"/>
                <w:szCs w:val="24"/>
              </w:rPr>
              <w:t xml:space="preserve">   </w:t>
            </w:r>
            <w:r>
              <w:rPr>
                <w:spacing w:val="2"/>
                <w:sz w:val="24"/>
                <w:szCs w:val="24"/>
              </w:rPr>
              <w:t>农户晚间看地，白天不住宿，本项目夜间不施工，故对大莫古散户1(田间农户</w:t>
            </w:r>
            <w:r>
              <w:rPr>
                <w:spacing w:val="4"/>
                <w:sz w:val="24"/>
                <w:szCs w:val="24"/>
              </w:rPr>
              <w:t xml:space="preserve">  </w:t>
            </w:r>
            <w:r>
              <w:rPr>
                <w:sz w:val="24"/>
                <w:szCs w:val="24"/>
              </w:rPr>
              <w:t>看地)的影响较小。大地村散户5(田间农户看地)虽然距离19#光伏</w:t>
            </w:r>
            <w:r>
              <w:rPr>
                <w:spacing w:val="-1"/>
                <w:sz w:val="24"/>
                <w:szCs w:val="24"/>
              </w:rPr>
              <w:t>阵列较近，</w:t>
            </w:r>
          </w:p>
          <w:p w14:paraId="2A2C7355">
            <w:pPr>
              <w:pStyle w:val="6"/>
              <w:spacing w:before="4" w:line="359" w:lineRule="auto"/>
              <w:ind w:left="91" w:right="45" w:firstLine="119"/>
              <w:rPr>
                <w:sz w:val="24"/>
                <w:szCs w:val="24"/>
              </w:rPr>
            </w:pPr>
            <w:r>
              <w:rPr>
                <w:spacing w:val="1"/>
                <w:sz w:val="24"/>
                <w:szCs w:val="24"/>
              </w:rPr>
              <w:t>但是位于方阵侧风向，19#方阵的施工通过采取</w:t>
            </w:r>
            <w:r>
              <w:rPr>
                <w:sz w:val="24"/>
                <w:szCs w:val="24"/>
              </w:rPr>
              <w:t xml:space="preserve">措施后，对大地村散户5(田间  </w:t>
            </w:r>
            <w:r>
              <w:rPr>
                <w:spacing w:val="1"/>
                <w:sz w:val="24"/>
                <w:szCs w:val="24"/>
              </w:rPr>
              <w:t>农户看地)的影响较小，同时经过现场调查，该保护目标只是农户</w:t>
            </w:r>
            <w:r>
              <w:rPr>
                <w:sz w:val="24"/>
                <w:szCs w:val="24"/>
              </w:rPr>
              <w:t xml:space="preserve">晚间看地，白 </w:t>
            </w:r>
            <w:r>
              <w:rPr>
                <w:spacing w:val="2"/>
                <w:sz w:val="24"/>
                <w:szCs w:val="24"/>
              </w:rPr>
              <w:t>天不住宿，本项目夜间不施工，故对大地村散户5(</w:t>
            </w:r>
            <w:r>
              <w:rPr>
                <w:spacing w:val="1"/>
                <w:sz w:val="24"/>
                <w:szCs w:val="24"/>
              </w:rPr>
              <w:t>田间农户看地)的影响较小。</w:t>
            </w:r>
            <w:r>
              <w:rPr>
                <w:sz w:val="24"/>
                <w:szCs w:val="24"/>
              </w:rPr>
              <w:t xml:space="preserve"> </w:t>
            </w:r>
            <w:r>
              <w:rPr>
                <w:spacing w:val="1"/>
                <w:sz w:val="24"/>
                <w:szCs w:val="24"/>
              </w:rPr>
              <w:t>大地村散户7(田间农户看地)位于方阵侧</w:t>
            </w:r>
            <w:r>
              <w:rPr>
                <w:sz w:val="24"/>
                <w:szCs w:val="24"/>
              </w:rPr>
              <w:t>风向，19#方阵的施工通过采取措施</w:t>
            </w:r>
          </w:p>
          <w:p w14:paraId="2B521266">
            <w:pPr>
              <w:pStyle w:val="6"/>
              <w:spacing w:before="1" w:line="218" w:lineRule="auto"/>
              <w:ind w:left="101"/>
              <w:rPr>
                <w:sz w:val="24"/>
                <w:szCs w:val="24"/>
              </w:rPr>
            </w:pPr>
            <w:r>
              <w:rPr>
                <w:sz w:val="24"/>
                <w:szCs w:val="24"/>
              </w:rPr>
              <w:t>后，对大地村散户7(田间农户看地)的影响较小。</w:t>
            </w:r>
          </w:p>
          <w:p w14:paraId="3EB5FFF6">
            <w:pPr>
              <w:pStyle w:val="6"/>
              <w:spacing w:before="198" w:line="356" w:lineRule="auto"/>
              <w:ind w:left="31" w:right="54" w:firstLine="539"/>
              <w:rPr>
                <w:sz w:val="24"/>
                <w:szCs w:val="24"/>
              </w:rPr>
            </w:pPr>
            <w:r>
              <w:rPr>
                <w:sz w:val="24"/>
                <w:szCs w:val="24"/>
              </w:rPr>
              <w:t>表土堆场对环境空气的影响分析：1#表土堆场位于升</w:t>
            </w:r>
            <w:r>
              <w:rPr>
                <w:spacing w:val="-1"/>
                <w:sz w:val="24"/>
                <w:szCs w:val="24"/>
              </w:rPr>
              <w:t>压站场地内西侧，1#</w:t>
            </w:r>
            <w:r>
              <w:rPr>
                <w:sz w:val="24"/>
                <w:szCs w:val="24"/>
              </w:rPr>
              <w:t xml:space="preserve">  表土堆场下风向以及周边均无居民点，表土堆场对周边敏感</w:t>
            </w:r>
            <w:r>
              <w:rPr>
                <w:spacing w:val="-1"/>
                <w:sz w:val="24"/>
                <w:szCs w:val="24"/>
              </w:rPr>
              <w:t>目标的影响较小。2#</w:t>
            </w:r>
            <w:r>
              <w:rPr>
                <w:sz w:val="24"/>
                <w:szCs w:val="24"/>
              </w:rPr>
              <w:t xml:space="preserve"> </w:t>
            </w:r>
            <w:r>
              <w:rPr>
                <w:spacing w:val="2"/>
                <w:sz w:val="24"/>
                <w:szCs w:val="24"/>
              </w:rPr>
              <w:t>表土堆场位于2#方阵内，距离阿油铺村540m以上</w:t>
            </w:r>
            <w:r>
              <w:rPr>
                <w:spacing w:val="1"/>
                <w:sz w:val="24"/>
                <w:szCs w:val="24"/>
              </w:rPr>
              <w:t>，表土堆场对周边敏感目标</w:t>
            </w:r>
          </w:p>
          <w:p w14:paraId="500CC5D5">
            <w:pPr>
              <w:pStyle w:val="6"/>
              <w:spacing w:line="219" w:lineRule="auto"/>
              <w:ind w:left="151"/>
              <w:rPr>
                <w:sz w:val="24"/>
                <w:szCs w:val="24"/>
              </w:rPr>
            </w:pPr>
            <w:r>
              <w:rPr>
                <w:sz w:val="24"/>
                <w:szCs w:val="24"/>
              </w:rPr>
              <w:t>的影响较小。3#表土堆场位于5#方阵内，下风向无居民点，表土堆场对周边敏</w:t>
            </w:r>
          </w:p>
        </w:tc>
      </w:tr>
    </w:tbl>
    <w:p w14:paraId="708A2C34">
      <w:pPr>
        <w:pStyle w:val="2"/>
      </w:pPr>
    </w:p>
    <w:p w14:paraId="7244ED58">
      <w:pPr>
        <w:sectPr>
          <w:footerReference r:id="rId136" w:type="default"/>
          <w:pgSz w:w="11910" w:h="16830"/>
          <w:pgMar w:top="400" w:right="1273" w:bottom="1243" w:left="1234" w:header="0" w:footer="1081" w:gutter="0"/>
          <w:cols w:space="720" w:num="1"/>
        </w:sectPr>
      </w:pPr>
    </w:p>
    <w:p w14:paraId="19610421">
      <w:pPr>
        <w:spacing w:before="9"/>
      </w:pPr>
    </w:p>
    <w:p w14:paraId="23C9A2D1">
      <w:pPr>
        <w:spacing w:before="9"/>
      </w:pPr>
    </w:p>
    <w:p w14:paraId="3925CD8E">
      <w:pPr>
        <w:spacing w:before="8"/>
      </w:pPr>
    </w:p>
    <w:p w14:paraId="55148705">
      <w:pPr>
        <w:spacing w:before="8"/>
      </w:pPr>
    </w:p>
    <w:tbl>
      <w:tblPr>
        <w:tblStyle w:val="5"/>
        <w:tblW w:w="9424"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3"/>
        <w:gridCol w:w="8511"/>
      </w:tblGrid>
      <w:tr w14:paraId="6D439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75" w:hRule="atLeast"/>
        </w:trPr>
        <w:tc>
          <w:tcPr>
            <w:tcW w:w="913" w:type="dxa"/>
            <w:tcBorders>
              <w:left w:val="single" w:color="000000" w:sz="8" w:space="0"/>
              <w:bottom w:val="single" w:color="000000" w:sz="2" w:space="0"/>
            </w:tcBorders>
            <w:vAlign w:val="top"/>
          </w:tcPr>
          <w:p w14:paraId="4E1AB50A">
            <w:pPr>
              <w:rPr>
                <w:rFonts w:ascii="Arial"/>
                <w:sz w:val="21"/>
              </w:rPr>
            </w:pPr>
          </w:p>
        </w:tc>
        <w:tc>
          <w:tcPr>
            <w:tcW w:w="8511" w:type="dxa"/>
            <w:tcBorders>
              <w:bottom w:val="single" w:color="000000" w:sz="2" w:space="0"/>
            </w:tcBorders>
            <w:vAlign w:val="top"/>
          </w:tcPr>
          <w:p w14:paraId="649A3D94">
            <w:pPr>
              <w:pStyle w:val="6"/>
              <w:spacing w:before="79" w:line="355" w:lineRule="auto"/>
              <w:ind w:left="81" w:right="139"/>
              <w:jc w:val="both"/>
              <w:rPr>
                <w:sz w:val="24"/>
                <w:szCs w:val="24"/>
              </w:rPr>
            </w:pPr>
            <w:r>
              <w:rPr>
                <w:spacing w:val="6"/>
                <w:sz w:val="24"/>
                <w:szCs w:val="24"/>
              </w:rPr>
              <w:t>感目标的影响较小。4#表土堆场位于9#方阵内，距离下风向栗树园村230</w:t>
            </w:r>
            <w:r>
              <w:rPr>
                <w:rFonts w:ascii="Times New Roman" w:hAnsi="Times New Roman" w:eastAsia="Times New Roman" w:cs="Times New Roman"/>
                <w:spacing w:val="6"/>
                <w:sz w:val="24"/>
                <w:szCs w:val="24"/>
              </w:rPr>
              <w:t>m</w:t>
            </w:r>
            <w:r>
              <w:rPr>
                <w:rFonts w:ascii="Times New Roman" w:hAnsi="Times New Roman" w:eastAsia="Times New Roman" w:cs="Times New Roman"/>
                <w:spacing w:val="-12"/>
                <w:sz w:val="24"/>
                <w:szCs w:val="24"/>
              </w:rPr>
              <w:t xml:space="preserve"> </w:t>
            </w:r>
            <w:r>
              <w:rPr>
                <w:spacing w:val="6"/>
                <w:sz w:val="24"/>
                <w:szCs w:val="24"/>
              </w:rPr>
              <w:t>左</w:t>
            </w:r>
            <w:r>
              <w:rPr>
                <w:sz w:val="24"/>
                <w:szCs w:val="24"/>
              </w:rPr>
              <w:t xml:space="preserve"> </w:t>
            </w:r>
            <w:r>
              <w:rPr>
                <w:spacing w:val="-4"/>
                <w:sz w:val="24"/>
                <w:szCs w:val="24"/>
              </w:rPr>
              <w:t>右，需要对表土堆场篷布覆盖、定期洒水，通过覆盖和洒水，表土堆场的扬尘对</w:t>
            </w:r>
            <w:r>
              <w:rPr>
                <w:spacing w:val="9"/>
                <w:sz w:val="24"/>
                <w:szCs w:val="24"/>
              </w:rPr>
              <w:t xml:space="preserve"> </w:t>
            </w:r>
            <w:r>
              <w:rPr>
                <w:spacing w:val="3"/>
                <w:sz w:val="24"/>
                <w:szCs w:val="24"/>
              </w:rPr>
              <w:t>保护目标的影响可以接受。5#表土堆场位于14#方阵内，14#方阵周边主要</w:t>
            </w:r>
            <w:r>
              <w:rPr>
                <w:spacing w:val="2"/>
                <w:sz w:val="24"/>
                <w:szCs w:val="24"/>
              </w:rPr>
              <w:t>为农</w:t>
            </w:r>
            <w:r>
              <w:rPr>
                <w:sz w:val="24"/>
                <w:szCs w:val="24"/>
              </w:rPr>
              <w:t xml:space="preserve"> </w:t>
            </w:r>
            <w:r>
              <w:rPr>
                <w:spacing w:val="3"/>
                <w:sz w:val="24"/>
                <w:szCs w:val="24"/>
              </w:rPr>
              <w:t>田，下风向3</w:t>
            </w:r>
            <w:r>
              <w:rPr>
                <w:rFonts w:ascii="Times New Roman" w:hAnsi="Times New Roman" w:eastAsia="Times New Roman" w:cs="Times New Roman"/>
                <w:sz w:val="24"/>
                <w:szCs w:val="24"/>
              </w:rPr>
              <w:t>km</w:t>
            </w:r>
            <w:r>
              <w:rPr>
                <w:rFonts w:ascii="Times New Roman" w:hAnsi="Times New Roman" w:eastAsia="Times New Roman" w:cs="Times New Roman"/>
                <w:spacing w:val="3"/>
                <w:sz w:val="24"/>
                <w:szCs w:val="24"/>
              </w:rPr>
              <w:t xml:space="preserve"> </w:t>
            </w:r>
            <w:r>
              <w:rPr>
                <w:spacing w:val="3"/>
                <w:sz w:val="24"/>
                <w:szCs w:val="24"/>
              </w:rPr>
              <w:t>内没有保护目标，表土堆场对周边大气环境影响较小。6#</w:t>
            </w:r>
            <w:r>
              <w:rPr>
                <w:spacing w:val="2"/>
                <w:sz w:val="24"/>
                <w:szCs w:val="24"/>
              </w:rPr>
              <w:t>表土</w:t>
            </w:r>
            <w:r>
              <w:rPr>
                <w:sz w:val="24"/>
                <w:szCs w:val="24"/>
              </w:rPr>
              <w:t xml:space="preserve"> </w:t>
            </w:r>
            <w:r>
              <w:rPr>
                <w:spacing w:val="6"/>
                <w:sz w:val="24"/>
                <w:szCs w:val="24"/>
              </w:rPr>
              <w:t>堆场位于19#方阵内，19#方阵表土堆场下风向890</w:t>
            </w:r>
            <w:r>
              <w:rPr>
                <w:rFonts w:ascii="Times New Roman" w:hAnsi="Times New Roman" w:eastAsia="Times New Roman" w:cs="Times New Roman"/>
                <w:spacing w:val="6"/>
                <w:sz w:val="24"/>
                <w:szCs w:val="24"/>
              </w:rPr>
              <w:t xml:space="preserve">m </w:t>
            </w:r>
            <w:r>
              <w:rPr>
                <w:spacing w:val="5"/>
                <w:sz w:val="24"/>
                <w:szCs w:val="24"/>
              </w:rPr>
              <w:t>有大莫古村，需要对表土</w:t>
            </w:r>
            <w:r>
              <w:rPr>
                <w:sz w:val="24"/>
                <w:szCs w:val="24"/>
              </w:rPr>
              <w:t xml:space="preserve"> </w:t>
            </w:r>
            <w:r>
              <w:rPr>
                <w:spacing w:val="-4"/>
                <w:sz w:val="24"/>
                <w:szCs w:val="24"/>
              </w:rPr>
              <w:t>堆场篷布覆盖、定期洒水，通过覆盖和洒水，表土堆场的扬尘对保护目标的影响</w:t>
            </w:r>
            <w:r>
              <w:rPr>
                <w:spacing w:val="18"/>
                <w:sz w:val="24"/>
                <w:szCs w:val="24"/>
              </w:rPr>
              <w:t xml:space="preserve"> </w:t>
            </w:r>
            <w:r>
              <w:rPr>
                <w:sz w:val="24"/>
                <w:szCs w:val="24"/>
              </w:rPr>
              <w:t>可以接受。7#表土堆场位于22#方阵内，周边敏感</w:t>
            </w:r>
            <w:r>
              <w:rPr>
                <w:spacing w:val="-1"/>
                <w:sz w:val="24"/>
                <w:szCs w:val="24"/>
              </w:rPr>
              <w:t>目标小紫处位于上风向，下风</w:t>
            </w:r>
            <w:r>
              <w:rPr>
                <w:sz w:val="24"/>
                <w:szCs w:val="24"/>
              </w:rPr>
              <w:t xml:space="preserve"> 向敏感目标在1.79</w:t>
            </w:r>
            <w:r>
              <w:rPr>
                <w:rFonts w:ascii="Times New Roman" w:hAnsi="Times New Roman" w:eastAsia="Times New Roman" w:cs="Times New Roman"/>
                <w:sz w:val="24"/>
                <w:szCs w:val="24"/>
              </w:rPr>
              <w:t>km</w:t>
            </w:r>
            <w:r>
              <w:rPr>
                <w:sz w:val="24"/>
                <w:szCs w:val="24"/>
              </w:rPr>
              <w:t>以外，表土堆场对周边大气环境影响较小。本次环要求，</w:t>
            </w:r>
            <w:r>
              <w:rPr>
                <w:spacing w:val="2"/>
                <w:sz w:val="24"/>
                <w:szCs w:val="24"/>
              </w:rPr>
              <w:t xml:space="preserve"> </w:t>
            </w:r>
            <w:r>
              <w:rPr>
                <w:spacing w:val="-4"/>
                <w:sz w:val="24"/>
                <w:szCs w:val="24"/>
              </w:rPr>
              <w:t>表土堆场进行覆盖，定期洒水，边施工边进行植被恢复，减少方阵内表土堆场堆</w:t>
            </w:r>
            <w:r>
              <w:rPr>
                <w:spacing w:val="9"/>
                <w:sz w:val="24"/>
                <w:szCs w:val="24"/>
              </w:rPr>
              <w:t xml:space="preserve"> </w:t>
            </w:r>
            <w:r>
              <w:rPr>
                <w:spacing w:val="-1"/>
                <w:sz w:val="24"/>
                <w:szCs w:val="24"/>
              </w:rPr>
              <w:t>放量。通过采取措施，本报项目表土堆场对周边大</w:t>
            </w:r>
            <w:r>
              <w:rPr>
                <w:spacing w:val="-2"/>
                <w:sz w:val="24"/>
                <w:szCs w:val="24"/>
              </w:rPr>
              <w:t>气环境的影响可以接受。</w:t>
            </w:r>
          </w:p>
          <w:p w14:paraId="0F4DA74B">
            <w:pPr>
              <w:pStyle w:val="6"/>
              <w:spacing w:before="45" w:line="359" w:lineRule="auto"/>
              <w:ind w:left="81" w:right="145" w:firstLine="479"/>
              <w:jc w:val="both"/>
              <w:rPr>
                <w:sz w:val="24"/>
                <w:szCs w:val="24"/>
              </w:rPr>
            </w:pPr>
            <w:r>
              <w:rPr>
                <w:spacing w:val="-4"/>
                <w:sz w:val="24"/>
                <w:szCs w:val="24"/>
              </w:rPr>
              <w:t>本项目施工期不设置混凝土拌合站，施工距离集镇距离较近，本次报告根据</w:t>
            </w:r>
            <w:r>
              <w:rPr>
                <w:spacing w:val="4"/>
                <w:sz w:val="24"/>
                <w:szCs w:val="24"/>
              </w:rPr>
              <w:t xml:space="preserve"> </w:t>
            </w:r>
            <w:r>
              <w:rPr>
                <w:spacing w:val="2"/>
                <w:sz w:val="24"/>
                <w:szCs w:val="24"/>
              </w:rPr>
              <w:t>与项目总承包单位了解，项目场地距离集镇混凝土拌合</w:t>
            </w:r>
            <w:r>
              <w:rPr>
                <w:spacing w:val="1"/>
                <w:sz w:val="24"/>
                <w:szCs w:val="24"/>
              </w:rPr>
              <w:t>站距离10</w:t>
            </w:r>
            <w:r>
              <w:rPr>
                <w:rFonts w:ascii="Times New Roman" w:hAnsi="Times New Roman" w:eastAsia="Times New Roman" w:cs="Times New Roman"/>
                <w:sz w:val="24"/>
                <w:szCs w:val="24"/>
              </w:rPr>
              <w:t>km</w:t>
            </w:r>
            <w:r>
              <w:rPr>
                <w:rFonts w:ascii="Times New Roman" w:hAnsi="Times New Roman" w:eastAsia="Times New Roman" w:cs="Times New Roman"/>
                <w:spacing w:val="1"/>
                <w:sz w:val="24"/>
                <w:szCs w:val="24"/>
              </w:rPr>
              <w:t>,</w:t>
            </w:r>
            <w:r>
              <w:rPr>
                <w:rFonts w:ascii="Times New Roman" w:hAnsi="Times New Roman" w:eastAsia="Times New Roman" w:cs="Times New Roman"/>
                <w:spacing w:val="22"/>
                <w:w w:val="101"/>
                <w:sz w:val="24"/>
                <w:szCs w:val="24"/>
              </w:rPr>
              <w:t xml:space="preserve">  </w:t>
            </w:r>
            <w:r>
              <w:rPr>
                <w:spacing w:val="1"/>
                <w:sz w:val="24"/>
                <w:szCs w:val="24"/>
              </w:rPr>
              <w:t>本项目施</w:t>
            </w:r>
            <w:r>
              <w:rPr>
                <w:sz w:val="24"/>
                <w:szCs w:val="24"/>
              </w:rPr>
              <w:t xml:space="preserve"> </w:t>
            </w:r>
            <w:r>
              <w:rPr>
                <w:spacing w:val="-2"/>
                <w:sz w:val="24"/>
                <w:szCs w:val="24"/>
              </w:rPr>
              <w:t>工中采用购买商品混凝土。减少混凝土拌和过程中产生的粉尘。</w:t>
            </w:r>
          </w:p>
          <w:p w14:paraId="13718DCA">
            <w:pPr>
              <w:pStyle w:val="6"/>
              <w:spacing w:before="1" w:line="362" w:lineRule="auto"/>
              <w:ind w:left="81" w:right="148" w:firstLine="479"/>
              <w:jc w:val="both"/>
              <w:rPr>
                <w:sz w:val="24"/>
                <w:szCs w:val="24"/>
              </w:rPr>
            </w:pPr>
            <w:r>
              <w:rPr>
                <w:spacing w:val="-4"/>
                <w:sz w:val="24"/>
                <w:szCs w:val="24"/>
              </w:rPr>
              <w:t>据有关调查资料，工地的扬尘主要来自运输车辆行驶的二次扬尘，施工运输</w:t>
            </w:r>
            <w:r>
              <w:rPr>
                <w:sz w:val="24"/>
                <w:szCs w:val="24"/>
              </w:rPr>
              <w:t xml:space="preserve"> </w:t>
            </w:r>
            <w:r>
              <w:rPr>
                <w:spacing w:val="-4"/>
                <w:sz w:val="24"/>
                <w:szCs w:val="24"/>
              </w:rPr>
              <w:t>车辆产生的道路扬尘量与车速、车型、车流量、风速、道路表面积尘量、尘土湿</w:t>
            </w:r>
            <w:r>
              <w:rPr>
                <w:spacing w:val="9"/>
                <w:sz w:val="24"/>
                <w:szCs w:val="24"/>
              </w:rPr>
              <w:t xml:space="preserve"> </w:t>
            </w:r>
            <w:r>
              <w:rPr>
                <w:spacing w:val="-3"/>
                <w:sz w:val="24"/>
                <w:szCs w:val="24"/>
              </w:rPr>
              <w:t>度等因素有关。在完全干燥情况下，可按经验公式计算：</w:t>
            </w:r>
          </w:p>
          <w:p w14:paraId="60427046">
            <w:pPr>
              <w:spacing w:before="87" w:line="679" w:lineRule="exact"/>
              <w:ind w:firstLine="1221"/>
            </w:pPr>
            <w:r>
              <w:rPr>
                <w:position w:val="-13"/>
              </w:rPr>
              <w:drawing>
                <wp:inline distT="0" distB="0" distL="0" distR="0">
                  <wp:extent cx="2056765" cy="431165"/>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300"/>
                          <a:stretch>
                            <a:fillRect/>
                          </a:stretch>
                        </pic:blipFill>
                        <pic:spPr>
                          <a:xfrm>
                            <a:off x="0" y="0"/>
                            <a:ext cx="2057397" cy="431756"/>
                          </a:xfrm>
                          <a:prstGeom prst="rect">
                            <a:avLst/>
                          </a:prstGeom>
                        </pic:spPr>
                      </pic:pic>
                    </a:graphicData>
                  </a:graphic>
                </wp:inline>
              </w:drawing>
            </w:r>
          </w:p>
          <w:p w14:paraId="2F468D43">
            <w:pPr>
              <w:pStyle w:val="6"/>
              <w:spacing w:before="50" w:line="220" w:lineRule="auto"/>
              <w:ind w:left="561"/>
              <w:rPr>
                <w:sz w:val="24"/>
                <w:szCs w:val="24"/>
              </w:rPr>
            </w:pPr>
            <w:r>
              <w:rPr>
                <w:spacing w:val="-16"/>
                <w:sz w:val="24"/>
                <w:szCs w:val="24"/>
              </w:rPr>
              <w:t>式中：</w:t>
            </w:r>
          </w:p>
          <w:p w14:paraId="1E8BA0C6">
            <w:pPr>
              <w:pStyle w:val="6"/>
              <w:spacing w:before="136" w:line="212" w:lineRule="auto"/>
              <w:ind w:left="1231"/>
              <w:rPr>
                <w:sz w:val="24"/>
                <w:szCs w:val="24"/>
              </w:rPr>
            </w:pPr>
            <w:r>
              <w:rPr>
                <w:rFonts w:ascii="Times New Roman" w:hAnsi="Times New Roman" w:eastAsia="Times New Roman" w:cs="Times New Roman"/>
                <w:spacing w:val="-2"/>
                <w:sz w:val="24"/>
                <w:szCs w:val="24"/>
              </w:rPr>
              <w:t>Q——</w:t>
            </w:r>
            <w:r>
              <w:rPr>
                <w:spacing w:val="-2"/>
                <w:sz w:val="24"/>
                <w:szCs w:val="24"/>
              </w:rPr>
              <w:t>汽车行驶的扬尘，</w:t>
            </w:r>
            <w:r>
              <w:rPr>
                <w:rFonts w:ascii="Times New Roman" w:hAnsi="Times New Roman" w:eastAsia="Times New Roman" w:cs="Times New Roman"/>
                <w:spacing w:val="-2"/>
                <w:sz w:val="24"/>
                <w:szCs w:val="24"/>
              </w:rPr>
              <w:t>kg/km·</w:t>
            </w:r>
            <w:r>
              <w:rPr>
                <w:spacing w:val="-2"/>
                <w:sz w:val="24"/>
                <w:szCs w:val="24"/>
              </w:rPr>
              <w:t>辆；</w:t>
            </w:r>
          </w:p>
          <w:p w14:paraId="45E7E6BC">
            <w:pPr>
              <w:pStyle w:val="6"/>
              <w:spacing w:before="206" w:line="212" w:lineRule="auto"/>
              <w:ind w:left="1181"/>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v</w:t>
            </w:r>
            <w:r>
              <w:rPr>
                <w:rFonts w:ascii="Times New Roman" w:hAnsi="Times New Roman" w:eastAsia="Times New Roman" w:cs="Times New Roman"/>
                <w:spacing w:val="-29"/>
                <w:sz w:val="24"/>
                <w:szCs w:val="24"/>
              </w:rPr>
              <w:t xml:space="preserve"> </w:t>
            </w:r>
            <w:r>
              <w:rPr>
                <w:spacing w:val="-5"/>
                <w:sz w:val="24"/>
                <w:szCs w:val="24"/>
              </w:rPr>
              <w:t>——汽车速度，</w:t>
            </w:r>
            <w:r>
              <w:rPr>
                <w:rFonts w:ascii="Times New Roman" w:hAnsi="Times New Roman" w:eastAsia="Times New Roman" w:cs="Times New Roman"/>
                <w:spacing w:val="-5"/>
                <w:sz w:val="24"/>
                <w:szCs w:val="24"/>
              </w:rPr>
              <w:t>km/h;</w:t>
            </w:r>
          </w:p>
          <w:p w14:paraId="2AA3515F">
            <w:pPr>
              <w:pStyle w:val="6"/>
              <w:spacing w:before="211" w:line="212" w:lineRule="auto"/>
              <w:ind w:left="1221"/>
              <w:rPr>
                <w:rFonts w:ascii="Arial" w:hAnsi="Arial" w:eastAsia="Arial" w:cs="Arial"/>
                <w:sz w:val="24"/>
                <w:szCs w:val="24"/>
              </w:rPr>
            </w:pPr>
            <w:r>
              <w:rPr>
                <w:rFonts w:ascii="Arial" w:hAnsi="Arial" w:eastAsia="Arial" w:cs="Arial"/>
                <w:spacing w:val="-9"/>
                <w:sz w:val="24"/>
                <w:szCs w:val="24"/>
              </w:rPr>
              <w:t>W——</w:t>
            </w:r>
            <w:r>
              <w:rPr>
                <w:spacing w:val="-9"/>
                <w:sz w:val="24"/>
                <w:szCs w:val="24"/>
              </w:rPr>
              <w:t>汽车载重量，</w:t>
            </w:r>
            <w:r>
              <w:rPr>
                <w:rFonts w:ascii="Arial" w:hAnsi="Arial" w:eastAsia="Arial" w:cs="Arial"/>
                <w:spacing w:val="-9"/>
                <w:sz w:val="24"/>
                <w:szCs w:val="24"/>
              </w:rPr>
              <w:t>t;</w:t>
            </w:r>
          </w:p>
          <w:p w14:paraId="6877BD5F">
            <w:pPr>
              <w:pStyle w:val="6"/>
              <w:spacing w:before="176" w:line="212" w:lineRule="auto"/>
              <w:ind w:left="1181"/>
              <w:rPr>
                <w:sz w:val="24"/>
                <w:szCs w:val="24"/>
              </w:rPr>
            </w:pPr>
            <w:r>
              <w:rPr>
                <w:rFonts w:ascii="Times New Roman" w:hAnsi="Times New Roman" w:eastAsia="Times New Roman" w:cs="Times New Roman"/>
                <w:spacing w:val="-4"/>
                <w:sz w:val="24"/>
                <w:szCs w:val="24"/>
              </w:rPr>
              <w:t xml:space="preserve">P </w:t>
            </w:r>
            <w:r>
              <w:rPr>
                <w:spacing w:val="-4"/>
                <w:sz w:val="24"/>
                <w:szCs w:val="24"/>
              </w:rPr>
              <w:t>——道路表面粉尘量，</w:t>
            </w:r>
            <w:r>
              <w:rPr>
                <w:rFonts w:ascii="Times New Roman" w:hAnsi="Times New Roman" w:eastAsia="Times New Roman" w:cs="Times New Roman"/>
                <w:spacing w:val="-4"/>
                <w:sz w:val="24"/>
                <w:szCs w:val="24"/>
              </w:rPr>
              <w:t>kg/m²</w:t>
            </w:r>
            <w:r>
              <w:rPr>
                <w:spacing w:val="-4"/>
                <w:sz w:val="24"/>
                <w:szCs w:val="24"/>
              </w:rPr>
              <w:t>。</w:t>
            </w:r>
          </w:p>
          <w:p w14:paraId="37B42970">
            <w:pPr>
              <w:pStyle w:val="6"/>
              <w:spacing w:before="211" w:line="354" w:lineRule="auto"/>
              <w:ind w:left="81" w:right="119" w:firstLine="479"/>
              <w:rPr>
                <w:sz w:val="24"/>
                <w:szCs w:val="24"/>
              </w:rPr>
            </w:pPr>
            <w:r>
              <w:rPr>
                <w:spacing w:val="4"/>
                <w:sz w:val="24"/>
                <w:szCs w:val="24"/>
              </w:rPr>
              <w:t>一辆载重5</w:t>
            </w:r>
            <w:r>
              <w:rPr>
                <w:rFonts w:ascii="Times New Roman" w:hAnsi="Times New Roman" w:eastAsia="Times New Roman" w:cs="Times New Roman"/>
                <w:spacing w:val="4"/>
                <w:sz w:val="24"/>
                <w:szCs w:val="24"/>
              </w:rPr>
              <w:t>t</w:t>
            </w:r>
            <w:r>
              <w:rPr>
                <w:rFonts w:ascii="Times New Roman" w:hAnsi="Times New Roman" w:eastAsia="Times New Roman" w:cs="Times New Roman"/>
                <w:spacing w:val="-1"/>
                <w:sz w:val="24"/>
                <w:szCs w:val="24"/>
              </w:rPr>
              <w:t xml:space="preserve"> </w:t>
            </w:r>
            <w:r>
              <w:rPr>
                <w:spacing w:val="4"/>
                <w:sz w:val="24"/>
                <w:szCs w:val="24"/>
              </w:rPr>
              <w:t>的卡车，不同表面清洁程度，不同行驶速度情况下产生的扬尘</w:t>
            </w:r>
            <w:r>
              <w:rPr>
                <w:sz w:val="24"/>
                <w:szCs w:val="24"/>
              </w:rPr>
              <w:t xml:space="preserve"> </w:t>
            </w:r>
            <w:r>
              <w:rPr>
                <w:spacing w:val="3"/>
                <w:sz w:val="24"/>
                <w:szCs w:val="24"/>
              </w:rPr>
              <w:t>量如表4-3所示。</w:t>
            </w:r>
          </w:p>
          <w:p w14:paraId="4A252195">
            <w:pPr>
              <w:pStyle w:val="6"/>
              <w:spacing w:line="213" w:lineRule="auto"/>
              <w:ind w:left="565"/>
              <w:rPr>
                <w:sz w:val="25"/>
                <w:szCs w:val="25"/>
              </w:rPr>
            </w:pPr>
            <w:r>
              <w:rPr>
                <w:b/>
                <w:bCs/>
                <w:spacing w:val="-6"/>
                <w:sz w:val="25"/>
                <w:szCs w:val="25"/>
              </w:rPr>
              <w:t>表4-3</w:t>
            </w:r>
            <w:r>
              <w:rPr>
                <w:spacing w:val="-6"/>
                <w:sz w:val="25"/>
                <w:szCs w:val="25"/>
              </w:rPr>
              <w:t xml:space="preserve">   </w:t>
            </w:r>
            <w:r>
              <w:rPr>
                <w:b/>
                <w:bCs/>
                <w:spacing w:val="-6"/>
                <w:sz w:val="25"/>
                <w:szCs w:val="25"/>
              </w:rPr>
              <w:t>不同车速和地面清洁程度时的汽车扬尘单位：kg/km</w:t>
            </w:r>
            <w:r>
              <w:rPr>
                <w:spacing w:val="-13"/>
                <w:sz w:val="25"/>
                <w:szCs w:val="25"/>
              </w:rPr>
              <w:t xml:space="preserve"> </w:t>
            </w:r>
            <w:r>
              <w:rPr>
                <w:b/>
                <w:bCs/>
                <w:spacing w:val="-6"/>
                <w:sz w:val="25"/>
                <w:szCs w:val="25"/>
              </w:rPr>
              <w:t>·辆</w:t>
            </w:r>
          </w:p>
          <w:p w14:paraId="2BA49293">
            <w:pPr>
              <w:spacing w:line="83" w:lineRule="auto"/>
              <w:rPr>
                <w:rFonts w:ascii="Arial"/>
                <w:sz w:val="2"/>
              </w:rPr>
            </w:pPr>
          </w:p>
          <w:tbl>
            <w:tblPr>
              <w:tblStyle w:val="5"/>
              <w:tblW w:w="8259" w:type="dxa"/>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22"/>
              <w:gridCol w:w="1068"/>
              <w:gridCol w:w="1049"/>
              <w:gridCol w:w="1049"/>
              <w:gridCol w:w="1059"/>
              <w:gridCol w:w="1049"/>
              <w:gridCol w:w="1063"/>
            </w:tblGrid>
            <w:tr w14:paraId="090E2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922" w:type="dxa"/>
                  <w:vAlign w:val="top"/>
                </w:tcPr>
                <w:p w14:paraId="06709BD3">
                  <w:pPr>
                    <w:pStyle w:val="6"/>
                    <w:spacing w:before="27" w:line="213" w:lineRule="auto"/>
                    <w:ind w:left="104" w:right="51" w:firstLine="920"/>
                    <w:rPr>
                      <w:sz w:val="21"/>
                      <w:szCs w:val="21"/>
                    </w:rPr>
                  </w:pPr>
                  <w:r>
                    <w:rPr>
                      <w:spacing w:val="-1"/>
                      <w:sz w:val="21"/>
                      <w:szCs w:val="21"/>
                    </w:rPr>
                    <w:t>P(kg/m²)</w:t>
                  </w:r>
                  <w:r>
                    <w:rPr>
                      <w:spacing w:val="2"/>
                      <w:sz w:val="21"/>
                      <w:szCs w:val="21"/>
                    </w:rPr>
                    <w:t xml:space="preserve"> </w:t>
                  </w:r>
                  <w:r>
                    <w:rPr>
                      <w:spacing w:val="7"/>
                      <w:sz w:val="21"/>
                      <w:szCs w:val="21"/>
                    </w:rPr>
                    <w:t>车速(</w:t>
                  </w:r>
                  <w:r>
                    <w:rPr>
                      <w:sz w:val="21"/>
                      <w:szCs w:val="21"/>
                    </w:rPr>
                    <w:t>km</w:t>
                  </w:r>
                  <w:r>
                    <w:rPr>
                      <w:spacing w:val="7"/>
                      <w:sz w:val="21"/>
                      <w:szCs w:val="21"/>
                    </w:rPr>
                    <w:t>/h)</w:t>
                  </w:r>
                </w:p>
              </w:tc>
              <w:tc>
                <w:tcPr>
                  <w:tcW w:w="1068" w:type="dxa"/>
                  <w:vAlign w:val="top"/>
                </w:tcPr>
                <w:p w14:paraId="067D34FE">
                  <w:pPr>
                    <w:pStyle w:val="6"/>
                    <w:spacing w:before="184" w:line="239" w:lineRule="auto"/>
                    <w:ind w:left="362"/>
                    <w:rPr>
                      <w:sz w:val="21"/>
                      <w:szCs w:val="21"/>
                    </w:rPr>
                  </w:pPr>
                  <w:r>
                    <w:rPr>
                      <w:spacing w:val="-3"/>
                      <w:sz w:val="21"/>
                      <w:szCs w:val="21"/>
                    </w:rPr>
                    <w:t>0.1</w:t>
                  </w:r>
                </w:p>
              </w:tc>
              <w:tc>
                <w:tcPr>
                  <w:tcW w:w="1049" w:type="dxa"/>
                  <w:vAlign w:val="top"/>
                </w:tcPr>
                <w:p w14:paraId="337718C4">
                  <w:pPr>
                    <w:pStyle w:val="6"/>
                    <w:spacing w:before="184" w:line="239" w:lineRule="auto"/>
                    <w:ind w:left="354"/>
                    <w:rPr>
                      <w:sz w:val="21"/>
                      <w:szCs w:val="21"/>
                    </w:rPr>
                  </w:pPr>
                  <w:r>
                    <w:rPr>
                      <w:spacing w:val="-3"/>
                      <w:sz w:val="21"/>
                      <w:szCs w:val="21"/>
                    </w:rPr>
                    <w:t>0.2</w:t>
                  </w:r>
                </w:p>
              </w:tc>
              <w:tc>
                <w:tcPr>
                  <w:tcW w:w="1049" w:type="dxa"/>
                  <w:vAlign w:val="top"/>
                </w:tcPr>
                <w:p w14:paraId="42C94DBA">
                  <w:pPr>
                    <w:pStyle w:val="6"/>
                    <w:spacing w:before="184" w:line="239" w:lineRule="auto"/>
                    <w:ind w:left="355"/>
                    <w:rPr>
                      <w:sz w:val="21"/>
                      <w:szCs w:val="21"/>
                    </w:rPr>
                  </w:pPr>
                  <w:r>
                    <w:rPr>
                      <w:spacing w:val="-3"/>
                      <w:sz w:val="21"/>
                      <w:szCs w:val="21"/>
                    </w:rPr>
                    <w:t>0.3</w:t>
                  </w:r>
                </w:p>
              </w:tc>
              <w:tc>
                <w:tcPr>
                  <w:tcW w:w="1059" w:type="dxa"/>
                  <w:vAlign w:val="top"/>
                </w:tcPr>
                <w:p w14:paraId="0EFCD56A">
                  <w:pPr>
                    <w:pStyle w:val="6"/>
                    <w:spacing w:before="184" w:line="239" w:lineRule="auto"/>
                    <w:ind w:left="366"/>
                    <w:rPr>
                      <w:sz w:val="21"/>
                      <w:szCs w:val="21"/>
                    </w:rPr>
                  </w:pPr>
                  <w:r>
                    <w:rPr>
                      <w:spacing w:val="-3"/>
                      <w:sz w:val="21"/>
                      <w:szCs w:val="21"/>
                    </w:rPr>
                    <w:t>0.4</w:t>
                  </w:r>
                </w:p>
              </w:tc>
              <w:tc>
                <w:tcPr>
                  <w:tcW w:w="1049" w:type="dxa"/>
                  <w:vAlign w:val="top"/>
                </w:tcPr>
                <w:p w14:paraId="73BFB09F">
                  <w:pPr>
                    <w:pStyle w:val="6"/>
                    <w:spacing w:before="184" w:line="239" w:lineRule="auto"/>
                    <w:ind w:left="358"/>
                    <w:rPr>
                      <w:sz w:val="21"/>
                      <w:szCs w:val="21"/>
                    </w:rPr>
                  </w:pPr>
                  <w:r>
                    <w:rPr>
                      <w:spacing w:val="-3"/>
                      <w:sz w:val="21"/>
                      <w:szCs w:val="21"/>
                    </w:rPr>
                    <w:t>0.5</w:t>
                  </w:r>
                </w:p>
              </w:tc>
              <w:tc>
                <w:tcPr>
                  <w:tcW w:w="1063" w:type="dxa"/>
                  <w:vAlign w:val="top"/>
                </w:tcPr>
                <w:p w14:paraId="5B81285B">
                  <w:pPr>
                    <w:pStyle w:val="6"/>
                    <w:spacing w:before="184" w:line="239" w:lineRule="auto"/>
                    <w:ind w:left="368"/>
                    <w:rPr>
                      <w:sz w:val="21"/>
                      <w:szCs w:val="21"/>
                    </w:rPr>
                  </w:pPr>
                  <w:r>
                    <w:rPr>
                      <w:spacing w:val="-6"/>
                      <w:sz w:val="21"/>
                      <w:szCs w:val="21"/>
                    </w:rPr>
                    <w:t>1.0</w:t>
                  </w:r>
                </w:p>
              </w:tc>
            </w:tr>
            <w:tr w14:paraId="2A6C1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922" w:type="dxa"/>
                  <w:vAlign w:val="top"/>
                </w:tcPr>
                <w:p w14:paraId="67A968C7">
                  <w:pPr>
                    <w:pStyle w:val="6"/>
                    <w:spacing w:before="42" w:line="163" w:lineRule="auto"/>
                    <w:ind w:left="894"/>
                    <w:rPr>
                      <w:sz w:val="21"/>
                      <w:szCs w:val="21"/>
                    </w:rPr>
                  </w:pPr>
                  <w:r>
                    <w:rPr>
                      <w:sz w:val="21"/>
                      <w:szCs w:val="21"/>
                    </w:rPr>
                    <w:t>5</w:t>
                  </w:r>
                </w:p>
              </w:tc>
              <w:tc>
                <w:tcPr>
                  <w:tcW w:w="1068" w:type="dxa"/>
                  <w:vAlign w:val="top"/>
                </w:tcPr>
                <w:p w14:paraId="3CF46549">
                  <w:pPr>
                    <w:pStyle w:val="6"/>
                    <w:spacing w:before="42" w:line="163" w:lineRule="auto"/>
                    <w:ind w:left="212"/>
                    <w:rPr>
                      <w:sz w:val="21"/>
                      <w:szCs w:val="21"/>
                    </w:rPr>
                  </w:pPr>
                  <w:r>
                    <w:rPr>
                      <w:spacing w:val="-2"/>
                      <w:sz w:val="21"/>
                      <w:szCs w:val="21"/>
                    </w:rPr>
                    <w:t>0.0283</w:t>
                  </w:r>
                </w:p>
              </w:tc>
              <w:tc>
                <w:tcPr>
                  <w:tcW w:w="1049" w:type="dxa"/>
                  <w:vAlign w:val="top"/>
                </w:tcPr>
                <w:p w14:paraId="0C7F6ED8">
                  <w:pPr>
                    <w:pStyle w:val="6"/>
                    <w:spacing w:before="42" w:line="163" w:lineRule="auto"/>
                    <w:ind w:left="204"/>
                    <w:rPr>
                      <w:sz w:val="21"/>
                      <w:szCs w:val="21"/>
                    </w:rPr>
                  </w:pPr>
                  <w:r>
                    <w:rPr>
                      <w:spacing w:val="-2"/>
                      <w:sz w:val="21"/>
                      <w:szCs w:val="21"/>
                    </w:rPr>
                    <w:t>0.0476</w:t>
                  </w:r>
                </w:p>
              </w:tc>
              <w:tc>
                <w:tcPr>
                  <w:tcW w:w="1049" w:type="dxa"/>
                  <w:vAlign w:val="top"/>
                </w:tcPr>
                <w:p w14:paraId="104FCC83">
                  <w:pPr>
                    <w:pStyle w:val="6"/>
                    <w:spacing w:before="42" w:line="163" w:lineRule="auto"/>
                    <w:ind w:left="205"/>
                    <w:rPr>
                      <w:sz w:val="21"/>
                      <w:szCs w:val="21"/>
                    </w:rPr>
                  </w:pPr>
                  <w:r>
                    <w:rPr>
                      <w:spacing w:val="-2"/>
                      <w:sz w:val="21"/>
                      <w:szCs w:val="21"/>
                    </w:rPr>
                    <w:t>0.0646</w:t>
                  </w:r>
                </w:p>
              </w:tc>
              <w:tc>
                <w:tcPr>
                  <w:tcW w:w="1059" w:type="dxa"/>
                  <w:vAlign w:val="top"/>
                </w:tcPr>
                <w:p w14:paraId="1B376C56">
                  <w:pPr>
                    <w:pStyle w:val="6"/>
                    <w:spacing w:before="42" w:line="163" w:lineRule="auto"/>
                    <w:ind w:left="206"/>
                    <w:rPr>
                      <w:sz w:val="21"/>
                      <w:szCs w:val="21"/>
                    </w:rPr>
                  </w:pPr>
                  <w:r>
                    <w:rPr>
                      <w:spacing w:val="-2"/>
                      <w:sz w:val="21"/>
                      <w:szCs w:val="21"/>
                    </w:rPr>
                    <w:t>0.0801</w:t>
                  </w:r>
                </w:p>
              </w:tc>
              <w:tc>
                <w:tcPr>
                  <w:tcW w:w="1049" w:type="dxa"/>
                  <w:vAlign w:val="top"/>
                </w:tcPr>
                <w:p w14:paraId="3FA061AC">
                  <w:pPr>
                    <w:pStyle w:val="6"/>
                    <w:spacing w:before="42" w:line="163" w:lineRule="auto"/>
                    <w:ind w:left="207"/>
                    <w:rPr>
                      <w:sz w:val="21"/>
                      <w:szCs w:val="21"/>
                    </w:rPr>
                  </w:pPr>
                  <w:r>
                    <w:rPr>
                      <w:spacing w:val="-2"/>
                      <w:sz w:val="21"/>
                      <w:szCs w:val="21"/>
                    </w:rPr>
                    <w:t>0.0947</w:t>
                  </w:r>
                </w:p>
              </w:tc>
              <w:tc>
                <w:tcPr>
                  <w:tcW w:w="1063" w:type="dxa"/>
                  <w:vAlign w:val="top"/>
                </w:tcPr>
                <w:p w14:paraId="3CB1FED5">
                  <w:pPr>
                    <w:pStyle w:val="6"/>
                    <w:spacing w:before="42" w:line="163" w:lineRule="auto"/>
                    <w:ind w:left="208"/>
                    <w:rPr>
                      <w:sz w:val="21"/>
                      <w:szCs w:val="21"/>
                    </w:rPr>
                  </w:pPr>
                  <w:r>
                    <w:rPr>
                      <w:spacing w:val="-2"/>
                      <w:sz w:val="21"/>
                      <w:szCs w:val="21"/>
                    </w:rPr>
                    <w:t>0.1593</w:t>
                  </w:r>
                </w:p>
              </w:tc>
            </w:tr>
            <w:tr w14:paraId="01AE5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1922" w:type="dxa"/>
                  <w:vAlign w:val="top"/>
                </w:tcPr>
                <w:p w14:paraId="33EE8DE2">
                  <w:pPr>
                    <w:pStyle w:val="6"/>
                    <w:spacing w:before="44" w:line="170" w:lineRule="auto"/>
                    <w:ind w:left="845"/>
                    <w:rPr>
                      <w:sz w:val="21"/>
                      <w:szCs w:val="21"/>
                    </w:rPr>
                  </w:pPr>
                  <w:r>
                    <w:rPr>
                      <w:spacing w:val="-6"/>
                      <w:sz w:val="21"/>
                      <w:szCs w:val="21"/>
                    </w:rPr>
                    <w:t>10</w:t>
                  </w:r>
                </w:p>
              </w:tc>
              <w:tc>
                <w:tcPr>
                  <w:tcW w:w="1068" w:type="dxa"/>
                  <w:vAlign w:val="top"/>
                </w:tcPr>
                <w:p w14:paraId="2CF8BDF0">
                  <w:pPr>
                    <w:pStyle w:val="6"/>
                    <w:spacing w:before="44" w:line="170" w:lineRule="auto"/>
                    <w:ind w:left="212"/>
                    <w:rPr>
                      <w:sz w:val="21"/>
                      <w:szCs w:val="21"/>
                    </w:rPr>
                  </w:pPr>
                  <w:r>
                    <w:rPr>
                      <w:spacing w:val="-2"/>
                      <w:sz w:val="21"/>
                      <w:szCs w:val="21"/>
                    </w:rPr>
                    <w:t>0.0566</w:t>
                  </w:r>
                </w:p>
              </w:tc>
              <w:tc>
                <w:tcPr>
                  <w:tcW w:w="1049" w:type="dxa"/>
                  <w:vAlign w:val="top"/>
                </w:tcPr>
                <w:p w14:paraId="15613369">
                  <w:pPr>
                    <w:pStyle w:val="6"/>
                    <w:spacing w:before="44" w:line="170" w:lineRule="auto"/>
                    <w:ind w:left="204"/>
                    <w:rPr>
                      <w:sz w:val="21"/>
                      <w:szCs w:val="21"/>
                    </w:rPr>
                  </w:pPr>
                  <w:r>
                    <w:rPr>
                      <w:spacing w:val="-2"/>
                      <w:sz w:val="21"/>
                      <w:szCs w:val="21"/>
                    </w:rPr>
                    <w:t>0.0953</w:t>
                  </w:r>
                </w:p>
              </w:tc>
              <w:tc>
                <w:tcPr>
                  <w:tcW w:w="1049" w:type="dxa"/>
                  <w:vAlign w:val="top"/>
                </w:tcPr>
                <w:p w14:paraId="1AF1AB54">
                  <w:pPr>
                    <w:pStyle w:val="6"/>
                    <w:spacing w:before="44" w:line="170" w:lineRule="auto"/>
                    <w:ind w:left="205"/>
                    <w:rPr>
                      <w:sz w:val="21"/>
                      <w:szCs w:val="21"/>
                    </w:rPr>
                  </w:pPr>
                  <w:r>
                    <w:rPr>
                      <w:spacing w:val="-2"/>
                      <w:sz w:val="21"/>
                      <w:szCs w:val="21"/>
                    </w:rPr>
                    <w:t>0.1291</w:t>
                  </w:r>
                </w:p>
              </w:tc>
              <w:tc>
                <w:tcPr>
                  <w:tcW w:w="1059" w:type="dxa"/>
                  <w:vAlign w:val="top"/>
                </w:tcPr>
                <w:p w14:paraId="72556A2E">
                  <w:pPr>
                    <w:pStyle w:val="6"/>
                    <w:spacing w:before="44" w:line="170" w:lineRule="auto"/>
                    <w:ind w:left="206"/>
                    <w:rPr>
                      <w:sz w:val="21"/>
                      <w:szCs w:val="21"/>
                    </w:rPr>
                  </w:pPr>
                  <w:r>
                    <w:rPr>
                      <w:spacing w:val="-2"/>
                      <w:sz w:val="21"/>
                      <w:szCs w:val="21"/>
                    </w:rPr>
                    <w:t>0.1602</w:t>
                  </w:r>
                </w:p>
              </w:tc>
              <w:tc>
                <w:tcPr>
                  <w:tcW w:w="1049" w:type="dxa"/>
                  <w:vAlign w:val="top"/>
                </w:tcPr>
                <w:p w14:paraId="20C463D1">
                  <w:pPr>
                    <w:pStyle w:val="6"/>
                    <w:spacing w:before="44" w:line="170" w:lineRule="auto"/>
                    <w:ind w:left="207"/>
                    <w:rPr>
                      <w:sz w:val="21"/>
                      <w:szCs w:val="21"/>
                    </w:rPr>
                  </w:pPr>
                  <w:r>
                    <w:rPr>
                      <w:spacing w:val="-2"/>
                      <w:sz w:val="21"/>
                      <w:szCs w:val="21"/>
                    </w:rPr>
                    <w:t>0.1894</w:t>
                  </w:r>
                </w:p>
              </w:tc>
              <w:tc>
                <w:tcPr>
                  <w:tcW w:w="1063" w:type="dxa"/>
                  <w:vAlign w:val="top"/>
                </w:tcPr>
                <w:p w14:paraId="2BA88639">
                  <w:pPr>
                    <w:pStyle w:val="6"/>
                    <w:spacing w:before="44" w:line="170" w:lineRule="auto"/>
                    <w:ind w:left="208"/>
                    <w:rPr>
                      <w:sz w:val="21"/>
                      <w:szCs w:val="21"/>
                    </w:rPr>
                  </w:pPr>
                  <w:r>
                    <w:rPr>
                      <w:spacing w:val="-2"/>
                      <w:sz w:val="21"/>
                      <w:szCs w:val="21"/>
                    </w:rPr>
                    <w:t>0.3186</w:t>
                  </w:r>
                </w:p>
              </w:tc>
            </w:tr>
            <w:tr w14:paraId="22854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1922" w:type="dxa"/>
                  <w:vAlign w:val="top"/>
                </w:tcPr>
                <w:p w14:paraId="3E0B5076">
                  <w:pPr>
                    <w:pStyle w:val="6"/>
                    <w:spacing w:before="47" w:line="159" w:lineRule="auto"/>
                    <w:ind w:left="845"/>
                    <w:rPr>
                      <w:sz w:val="21"/>
                      <w:szCs w:val="21"/>
                    </w:rPr>
                  </w:pPr>
                  <w:r>
                    <w:rPr>
                      <w:spacing w:val="-6"/>
                      <w:sz w:val="21"/>
                      <w:szCs w:val="21"/>
                    </w:rPr>
                    <w:t>15</w:t>
                  </w:r>
                </w:p>
              </w:tc>
              <w:tc>
                <w:tcPr>
                  <w:tcW w:w="1068" w:type="dxa"/>
                  <w:vAlign w:val="top"/>
                </w:tcPr>
                <w:p w14:paraId="6FE8D3B8">
                  <w:pPr>
                    <w:pStyle w:val="6"/>
                    <w:spacing w:before="47" w:line="159" w:lineRule="auto"/>
                    <w:ind w:left="212"/>
                    <w:rPr>
                      <w:sz w:val="21"/>
                      <w:szCs w:val="21"/>
                    </w:rPr>
                  </w:pPr>
                  <w:r>
                    <w:rPr>
                      <w:spacing w:val="-2"/>
                      <w:sz w:val="21"/>
                      <w:szCs w:val="21"/>
                    </w:rPr>
                    <w:t>0.0850</w:t>
                  </w:r>
                </w:p>
              </w:tc>
              <w:tc>
                <w:tcPr>
                  <w:tcW w:w="1049" w:type="dxa"/>
                  <w:vAlign w:val="top"/>
                </w:tcPr>
                <w:p w14:paraId="21415F63">
                  <w:pPr>
                    <w:pStyle w:val="6"/>
                    <w:spacing w:before="47" w:line="159" w:lineRule="auto"/>
                    <w:ind w:left="204"/>
                    <w:rPr>
                      <w:sz w:val="21"/>
                      <w:szCs w:val="21"/>
                    </w:rPr>
                  </w:pPr>
                  <w:r>
                    <w:rPr>
                      <w:spacing w:val="-2"/>
                      <w:sz w:val="21"/>
                      <w:szCs w:val="21"/>
                    </w:rPr>
                    <w:t>0.1429</w:t>
                  </w:r>
                </w:p>
              </w:tc>
              <w:tc>
                <w:tcPr>
                  <w:tcW w:w="1049" w:type="dxa"/>
                  <w:vAlign w:val="top"/>
                </w:tcPr>
                <w:p w14:paraId="27B2457F">
                  <w:pPr>
                    <w:pStyle w:val="6"/>
                    <w:spacing w:before="47" w:line="159" w:lineRule="auto"/>
                    <w:ind w:left="205"/>
                    <w:rPr>
                      <w:sz w:val="21"/>
                      <w:szCs w:val="21"/>
                    </w:rPr>
                  </w:pPr>
                  <w:r>
                    <w:rPr>
                      <w:spacing w:val="-2"/>
                      <w:sz w:val="21"/>
                      <w:szCs w:val="21"/>
                    </w:rPr>
                    <w:t>0.1937</w:t>
                  </w:r>
                </w:p>
              </w:tc>
              <w:tc>
                <w:tcPr>
                  <w:tcW w:w="1059" w:type="dxa"/>
                  <w:vAlign w:val="top"/>
                </w:tcPr>
                <w:p w14:paraId="2D82DBD7">
                  <w:pPr>
                    <w:pStyle w:val="6"/>
                    <w:spacing w:before="47" w:line="159" w:lineRule="auto"/>
                    <w:ind w:left="206"/>
                    <w:rPr>
                      <w:sz w:val="21"/>
                      <w:szCs w:val="21"/>
                    </w:rPr>
                  </w:pPr>
                  <w:r>
                    <w:rPr>
                      <w:spacing w:val="-2"/>
                      <w:sz w:val="21"/>
                      <w:szCs w:val="21"/>
                    </w:rPr>
                    <w:t>0.2403</w:t>
                  </w:r>
                </w:p>
              </w:tc>
              <w:tc>
                <w:tcPr>
                  <w:tcW w:w="1049" w:type="dxa"/>
                  <w:vAlign w:val="top"/>
                </w:tcPr>
                <w:p w14:paraId="41E86878">
                  <w:pPr>
                    <w:pStyle w:val="6"/>
                    <w:spacing w:before="47" w:line="159" w:lineRule="auto"/>
                    <w:ind w:left="207"/>
                    <w:rPr>
                      <w:sz w:val="21"/>
                      <w:szCs w:val="21"/>
                    </w:rPr>
                  </w:pPr>
                  <w:r>
                    <w:rPr>
                      <w:spacing w:val="-2"/>
                      <w:sz w:val="21"/>
                      <w:szCs w:val="21"/>
                    </w:rPr>
                    <w:t>0.2841</w:t>
                  </w:r>
                </w:p>
              </w:tc>
              <w:tc>
                <w:tcPr>
                  <w:tcW w:w="1063" w:type="dxa"/>
                  <w:vAlign w:val="top"/>
                </w:tcPr>
                <w:p w14:paraId="061C2177">
                  <w:pPr>
                    <w:pStyle w:val="6"/>
                    <w:spacing w:before="47" w:line="159" w:lineRule="auto"/>
                    <w:ind w:left="208"/>
                    <w:rPr>
                      <w:sz w:val="21"/>
                      <w:szCs w:val="21"/>
                    </w:rPr>
                  </w:pPr>
                  <w:r>
                    <w:rPr>
                      <w:spacing w:val="-2"/>
                      <w:sz w:val="21"/>
                      <w:szCs w:val="21"/>
                    </w:rPr>
                    <w:t>0.4778</w:t>
                  </w:r>
                </w:p>
              </w:tc>
            </w:tr>
            <w:tr w14:paraId="091D6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1922" w:type="dxa"/>
                  <w:vAlign w:val="top"/>
                </w:tcPr>
                <w:p w14:paraId="5B2C68E8">
                  <w:pPr>
                    <w:pStyle w:val="6"/>
                    <w:spacing w:before="48" w:line="167" w:lineRule="auto"/>
                    <w:ind w:left="845"/>
                    <w:rPr>
                      <w:sz w:val="21"/>
                      <w:szCs w:val="21"/>
                    </w:rPr>
                  </w:pPr>
                  <w:r>
                    <w:rPr>
                      <w:spacing w:val="-3"/>
                      <w:sz w:val="21"/>
                      <w:szCs w:val="21"/>
                    </w:rPr>
                    <w:t>20</w:t>
                  </w:r>
                </w:p>
              </w:tc>
              <w:tc>
                <w:tcPr>
                  <w:tcW w:w="1068" w:type="dxa"/>
                  <w:vAlign w:val="top"/>
                </w:tcPr>
                <w:p w14:paraId="3202AE47">
                  <w:pPr>
                    <w:pStyle w:val="6"/>
                    <w:spacing w:before="48" w:line="167" w:lineRule="auto"/>
                    <w:ind w:left="212"/>
                    <w:rPr>
                      <w:sz w:val="21"/>
                      <w:szCs w:val="21"/>
                    </w:rPr>
                  </w:pPr>
                  <w:r>
                    <w:rPr>
                      <w:spacing w:val="-2"/>
                      <w:sz w:val="21"/>
                      <w:szCs w:val="21"/>
                    </w:rPr>
                    <w:t>0.1133</w:t>
                  </w:r>
                </w:p>
              </w:tc>
              <w:tc>
                <w:tcPr>
                  <w:tcW w:w="1049" w:type="dxa"/>
                  <w:vAlign w:val="top"/>
                </w:tcPr>
                <w:p w14:paraId="1F21F0A7">
                  <w:pPr>
                    <w:pStyle w:val="6"/>
                    <w:spacing w:before="48" w:line="167" w:lineRule="auto"/>
                    <w:ind w:left="204"/>
                    <w:rPr>
                      <w:sz w:val="21"/>
                      <w:szCs w:val="21"/>
                    </w:rPr>
                  </w:pPr>
                  <w:r>
                    <w:rPr>
                      <w:spacing w:val="-2"/>
                      <w:sz w:val="21"/>
                      <w:szCs w:val="21"/>
                    </w:rPr>
                    <w:t>0.1905</w:t>
                  </w:r>
                </w:p>
              </w:tc>
              <w:tc>
                <w:tcPr>
                  <w:tcW w:w="1049" w:type="dxa"/>
                  <w:vAlign w:val="top"/>
                </w:tcPr>
                <w:p w14:paraId="705A1417">
                  <w:pPr>
                    <w:pStyle w:val="6"/>
                    <w:spacing w:before="48" w:line="167" w:lineRule="auto"/>
                    <w:ind w:left="205"/>
                    <w:rPr>
                      <w:sz w:val="21"/>
                      <w:szCs w:val="21"/>
                    </w:rPr>
                  </w:pPr>
                  <w:r>
                    <w:rPr>
                      <w:spacing w:val="-2"/>
                      <w:sz w:val="21"/>
                      <w:szCs w:val="21"/>
                    </w:rPr>
                    <w:t>0.2583</w:t>
                  </w:r>
                </w:p>
              </w:tc>
              <w:tc>
                <w:tcPr>
                  <w:tcW w:w="1059" w:type="dxa"/>
                  <w:vAlign w:val="top"/>
                </w:tcPr>
                <w:p w14:paraId="0C057A89">
                  <w:pPr>
                    <w:pStyle w:val="6"/>
                    <w:spacing w:before="48" w:line="167" w:lineRule="auto"/>
                    <w:ind w:left="206"/>
                    <w:rPr>
                      <w:sz w:val="21"/>
                      <w:szCs w:val="21"/>
                    </w:rPr>
                  </w:pPr>
                  <w:r>
                    <w:rPr>
                      <w:spacing w:val="-2"/>
                      <w:sz w:val="21"/>
                      <w:szCs w:val="21"/>
                    </w:rPr>
                    <w:t>0.3204</w:t>
                  </w:r>
                </w:p>
              </w:tc>
              <w:tc>
                <w:tcPr>
                  <w:tcW w:w="1049" w:type="dxa"/>
                  <w:vAlign w:val="top"/>
                </w:tcPr>
                <w:p w14:paraId="1C67CDE3">
                  <w:pPr>
                    <w:pStyle w:val="6"/>
                    <w:spacing w:before="48" w:line="167" w:lineRule="auto"/>
                    <w:ind w:left="207"/>
                    <w:rPr>
                      <w:sz w:val="21"/>
                      <w:szCs w:val="21"/>
                    </w:rPr>
                  </w:pPr>
                  <w:r>
                    <w:rPr>
                      <w:spacing w:val="-2"/>
                      <w:sz w:val="21"/>
                      <w:szCs w:val="21"/>
                    </w:rPr>
                    <w:t>0.3788</w:t>
                  </w:r>
                </w:p>
              </w:tc>
              <w:tc>
                <w:tcPr>
                  <w:tcW w:w="1063" w:type="dxa"/>
                  <w:vAlign w:val="top"/>
                </w:tcPr>
                <w:p w14:paraId="49A3262C">
                  <w:pPr>
                    <w:pStyle w:val="6"/>
                    <w:spacing w:before="48" w:line="167" w:lineRule="auto"/>
                    <w:ind w:left="208"/>
                    <w:rPr>
                      <w:sz w:val="21"/>
                      <w:szCs w:val="21"/>
                    </w:rPr>
                  </w:pPr>
                  <w:r>
                    <w:rPr>
                      <w:spacing w:val="-2"/>
                      <w:sz w:val="21"/>
                      <w:szCs w:val="21"/>
                    </w:rPr>
                    <w:t>0.6371</w:t>
                  </w:r>
                </w:p>
              </w:tc>
            </w:tr>
          </w:tbl>
          <w:p w14:paraId="74C3C1DA">
            <w:pPr>
              <w:pStyle w:val="6"/>
              <w:spacing w:before="51" w:line="219" w:lineRule="auto"/>
              <w:ind w:left="611"/>
              <w:rPr>
                <w:sz w:val="25"/>
                <w:szCs w:val="25"/>
              </w:rPr>
            </w:pPr>
            <w:r>
              <w:rPr>
                <w:spacing w:val="-9"/>
                <w:sz w:val="25"/>
                <w:szCs w:val="25"/>
              </w:rPr>
              <w:t>由上表4-3可见，在同样路面清洁情况下，车速越快，扬尘量越大；而在同</w:t>
            </w:r>
          </w:p>
        </w:tc>
      </w:tr>
    </w:tbl>
    <w:p w14:paraId="3638FDF4">
      <w:pPr>
        <w:pStyle w:val="2"/>
        <w:spacing w:line="170" w:lineRule="exact"/>
        <w:rPr>
          <w:sz w:val="14"/>
        </w:rPr>
      </w:pPr>
    </w:p>
    <w:p w14:paraId="18D47DCB">
      <w:pPr>
        <w:spacing w:line="170" w:lineRule="exact"/>
        <w:rPr>
          <w:sz w:val="14"/>
          <w:szCs w:val="14"/>
        </w:rPr>
        <w:sectPr>
          <w:footerReference r:id="rId137" w:type="default"/>
          <w:pgSz w:w="11910" w:h="16830"/>
          <w:pgMar w:top="400" w:right="1259" w:bottom="1259" w:left="1210" w:header="0" w:footer="1079" w:gutter="0"/>
          <w:cols w:space="720" w:num="1"/>
        </w:sectPr>
      </w:pPr>
    </w:p>
    <w:p w14:paraId="1D5E0A06">
      <w:pPr>
        <w:spacing w:before="18"/>
      </w:pPr>
    </w:p>
    <w:p w14:paraId="066D5A35">
      <w:pPr>
        <w:spacing w:before="17"/>
      </w:pPr>
    </w:p>
    <w:p w14:paraId="6F10EBC6">
      <w:pPr>
        <w:spacing w:before="17"/>
      </w:pPr>
    </w:p>
    <w:p w14:paraId="55A04F8B">
      <w:pPr>
        <w:spacing w:before="17"/>
      </w:pPr>
    </w:p>
    <w:tbl>
      <w:tblPr>
        <w:tblStyle w:val="5"/>
        <w:tblW w:w="937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8493"/>
      </w:tblGrid>
      <w:tr w14:paraId="6D434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50" w:hRule="atLeast"/>
        </w:trPr>
        <w:tc>
          <w:tcPr>
            <w:tcW w:w="884" w:type="dxa"/>
            <w:vAlign w:val="top"/>
          </w:tcPr>
          <w:p w14:paraId="2E3F7129">
            <w:pPr>
              <w:rPr>
                <w:rFonts w:ascii="Arial"/>
                <w:sz w:val="21"/>
              </w:rPr>
            </w:pPr>
          </w:p>
        </w:tc>
        <w:tc>
          <w:tcPr>
            <w:tcW w:w="8493" w:type="dxa"/>
            <w:vAlign w:val="top"/>
          </w:tcPr>
          <w:p w14:paraId="02D1DC0B">
            <w:pPr>
              <w:pStyle w:val="6"/>
              <w:spacing w:before="25" w:line="361" w:lineRule="auto"/>
              <w:ind w:left="111" w:right="60" w:hanging="80"/>
              <w:rPr>
                <w:sz w:val="24"/>
                <w:szCs w:val="24"/>
              </w:rPr>
            </w:pPr>
            <w:r>
              <w:rPr>
                <w:sz w:val="24"/>
                <w:szCs w:val="24"/>
              </w:rPr>
              <w:t>样车速情况下，路面清洁度越差，则扬尘量越大。据类比</w:t>
            </w:r>
            <w:r>
              <w:rPr>
                <w:spacing w:val="-1"/>
                <w:sz w:val="24"/>
                <w:szCs w:val="24"/>
              </w:rPr>
              <w:t>调查，一般情况下，施</w:t>
            </w:r>
            <w:r>
              <w:rPr>
                <w:sz w:val="24"/>
                <w:szCs w:val="24"/>
              </w:rPr>
              <w:t xml:space="preserve"> 工场地、施工道路在自然风作用下产生的扬尘所影响的范围在150m以</w:t>
            </w:r>
            <w:r>
              <w:rPr>
                <w:spacing w:val="-1"/>
                <w:sz w:val="24"/>
                <w:szCs w:val="24"/>
              </w:rPr>
              <w:t>内。</w:t>
            </w:r>
          </w:p>
          <w:p w14:paraId="292B4E6C">
            <w:pPr>
              <w:pStyle w:val="6"/>
              <w:spacing w:before="3" w:line="358" w:lineRule="auto"/>
              <w:ind w:left="31" w:firstLine="523"/>
              <w:jc w:val="both"/>
              <w:rPr>
                <w:sz w:val="24"/>
                <w:szCs w:val="24"/>
              </w:rPr>
            </w:pPr>
            <w:r>
              <w:rPr>
                <w:spacing w:val="-2"/>
                <w:sz w:val="24"/>
                <w:szCs w:val="24"/>
              </w:rPr>
              <w:t>参考《建筑施工扬尘排放因子定量模型研究及</w:t>
            </w:r>
            <w:r>
              <w:rPr>
                <w:spacing w:val="-3"/>
                <w:sz w:val="24"/>
                <w:szCs w:val="24"/>
              </w:rPr>
              <w:t>应用》(赵普生，中国气象局</w:t>
            </w:r>
            <w:r>
              <w:rPr>
                <w:sz w:val="24"/>
                <w:szCs w:val="24"/>
              </w:rPr>
              <w:t xml:space="preserve">  </w:t>
            </w:r>
            <w:r>
              <w:rPr>
                <w:spacing w:val="-3"/>
                <w:sz w:val="24"/>
                <w:szCs w:val="24"/>
              </w:rPr>
              <w:t>北京城市气象研究所，南开大学环境科学与工程学院，国家环境保护城市空气颗</w:t>
            </w:r>
            <w:r>
              <w:rPr>
                <w:spacing w:val="3"/>
                <w:sz w:val="24"/>
                <w:szCs w:val="24"/>
              </w:rPr>
              <w:t xml:space="preserve">  </w:t>
            </w:r>
            <w:r>
              <w:rPr>
                <w:spacing w:val="-2"/>
                <w:sz w:val="24"/>
                <w:szCs w:val="24"/>
              </w:rPr>
              <w:t>粒物污染防治重点实验室；冯银厂；张裕芬；朱坦；金晶)研究结果，在同样路</w:t>
            </w:r>
            <w:r>
              <w:rPr>
                <w:spacing w:val="4"/>
                <w:sz w:val="24"/>
                <w:szCs w:val="24"/>
              </w:rPr>
              <w:t xml:space="preserve">   </w:t>
            </w:r>
            <w:r>
              <w:rPr>
                <w:spacing w:val="-3"/>
                <w:sz w:val="24"/>
                <w:szCs w:val="24"/>
              </w:rPr>
              <w:t>面清洁程度条件下，车速越快，扬尘量越大；在同样车速条件下，路面尘土量越</w:t>
            </w:r>
            <w:r>
              <w:rPr>
                <w:spacing w:val="3"/>
                <w:sz w:val="24"/>
                <w:szCs w:val="24"/>
              </w:rPr>
              <w:t xml:space="preserve">  </w:t>
            </w:r>
            <w:r>
              <w:rPr>
                <w:spacing w:val="-5"/>
                <w:sz w:val="24"/>
                <w:szCs w:val="24"/>
              </w:rPr>
              <w:t>大，扬尘越大。因此，限制施工车辆速度和保持路面清洁是</w:t>
            </w:r>
            <w:r>
              <w:rPr>
                <w:spacing w:val="-6"/>
                <w:sz w:val="24"/>
                <w:szCs w:val="24"/>
              </w:rPr>
              <w:t>减小扬尘的有效手段。</w:t>
            </w:r>
          </w:p>
          <w:p w14:paraId="39B4BA96">
            <w:pPr>
              <w:pStyle w:val="6"/>
              <w:spacing w:line="371" w:lineRule="auto"/>
              <w:ind w:left="111" w:right="108" w:firstLine="449"/>
              <w:rPr>
                <w:sz w:val="24"/>
                <w:szCs w:val="24"/>
              </w:rPr>
            </w:pPr>
            <w:r>
              <w:rPr>
                <w:sz w:val="24"/>
                <w:szCs w:val="24"/>
              </w:rPr>
              <w:t>如果在施工期间对车辆行驶的路面实施洒水抑尘，每天洒水4~5次，可使扬</w:t>
            </w:r>
            <w:r>
              <w:rPr>
                <w:spacing w:val="12"/>
                <w:sz w:val="24"/>
                <w:szCs w:val="24"/>
              </w:rPr>
              <w:t xml:space="preserve"> </w:t>
            </w:r>
            <w:r>
              <w:rPr>
                <w:sz w:val="24"/>
                <w:szCs w:val="24"/>
              </w:rPr>
              <w:t>尘减少70%左右。下表为某施工场地洒水抑尘的试验结果。</w:t>
            </w:r>
          </w:p>
          <w:p w14:paraId="10A8E449">
            <w:pPr>
              <w:pStyle w:val="6"/>
              <w:spacing w:before="1" w:line="191" w:lineRule="auto"/>
              <w:ind w:left="2374"/>
              <w:rPr>
                <w:sz w:val="24"/>
                <w:szCs w:val="24"/>
              </w:rPr>
            </w:pPr>
            <w:r>
              <w:rPr>
                <w:b/>
                <w:bCs/>
                <w:spacing w:val="-3"/>
                <w:sz w:val="24"/>
                <w:szCs w:val="24"/>
              </w:rPr>
              <w:t>表4-4</w:t>
            </w:r>
            <w:r>
              <w:rPr>
                <w:spacing w:val="-3"/>
                <w:sz w:val="24"/>
                <w:szCs w:val="24"/>
              </w:rPr>
              <w:t xml:space="preserve">  </w:t>
            </w:r>
            <w:r>
              <w:rPr>
                <w:b/>
                <w:bCs/>
                <w:spacing w:val="-3"/>
                <w:sz w:val="24"/>
                <w:szCs w:val="24"/>
              </w:rPr>
              <w:t>施工道路洒水抑尘实验结果</w:t>
            </w:r>
          </w:p>
          <w:tbl>
            <w:tblPr>
              <w:tblStyle w:val="5"/>
              <w:tblW w:w="8269" w:type="dxa"/>
              <w:tblInd w:w="1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2"/>
              <w:gridCol w:w="1049"/>
              <w:gridCol w:w="1468"/>
              <w:gridCol w:w="1188"/>
              <w:gridCol w:w="1438"/>
              <w:gridCol w:w="1084"/>
            </w:tblGrid>
            <w:tr w14:paraId="428E1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3091" w:type="dxa"/>
                  <w:gridSpan w:val="2"/>
                  <w:vAlign w:val="top"/>
                </w:tcPr>
                <w:p w14:paraId="343F4FCA">
                  <w:pPr>
                    <w:pStyle w:val="6"/>
                    <w:spacing w:before="33" w:line="200" w:lineRule="auto"/>
                    <w:ind w:left="704"/>
                    <w:rPr>
                      <w:sz w:val="21"/>
                      <w:szCs w:val="21"/>
                    </w:rPr>
                  </w:pPr>
                  <w:r>
                    <w:rPr>
                      <w:spacing w:val="5"/>
                      <w:sz w:val="21"/>
                      <w:szCs w:val="21"/>
                    </w:rPr>
                    <w:t>距路边距离(m)</w:t>
                  </w:r>
                </w:p>
              </w:tc>
              <w:tc>
                <w:tcPr>
                  <w:tcW w:w="1468" w:type="dxa"/>
                  <w:vAlign w:val="top"/>
                </w:tcPr>
                <w:p w14:paraId="59A23EE8">
                  <w:pPr>
                    <w:pStyle w:val="6"/>
                    <w:spacing w:before="55" w:line="181" w:lineRule="auto"/>
                    <w:ind w:left="673"/>
                    <w:rPr>
                      <w:sz w:val="21"/>
                      <w:szCs w:val="21"/>
                    </w:rPr>
                  </w:pPr>
                  <w:r>
                    <w:rPr>
                      <w:sz w:val="21"/>
                      <w:szCs w:val="21"/>
                    </w:rPr>
                    <w:t>5</w:t>
                  </w:r>
                </w:p>
              </w:tc>
              <w:tc>
                <w:tcPr>
                  <w:tcW w:w="1188" w:type="dxa"/>
                  <w:vAlign w:val="top"/>
                </w:tcPr>
                <w:p w14:paraId="56FD32D8">
                  <w:pPr>
                    <w:pStyle w:val="6"/>
                    <w:spacing w:before="55" w:line="181" w:lineRule="auto"/>
                    <w:ind w:left="485"/>
                    <w:rPr>
                      <w:sz w:val="21"/>
                      <w:szCs w:val="21"/>
                    </w:rPr>
                  </w:pPr>
                  <w:r>
                    <w:rPr>
                      <w:spacing w:val="-3"/>
                      <w:sz w:val="21"/>
                      <w:szCs w:val="21"/>
                    </w:rPr>
                    <w:t>20</w:t>
                  </w:r>
                </w:p>
              </w:tc>
              <w:tc>
                <w:tcPr>
                  <w:tcW w:w="1438" w:type="dxa"/>
                  <w:vAlign w:val="top"/>
                </w:tcPr>
                <w:p w14:paraId="62DDF695">
                  <w:pPr>
                    <w:pStyle w:val="6"/>
                    <w:spacing w:before="55" w:line="181" w:lineRule="auto"/>
                    <w:ind w:left="607"/>
                    <w:rPr>
                      <w:sz w:val="21"/>
                      <w:szCs w:val="21"/>
                    </w:rPr>
                  </w:pPr>
                  <w:r>
                    <w:rPr>
                      <w:spacing w:val="-4"/>
                      <w:sz w:val="21"/>
                      <w:szCs w:val="21"/>
                    </w:rPr>
                    <w:t>50</w:t>
                  </w:r>
                </w:p>
              </w:tc>
              <w:tc>
                <w:tcPr>
                  <w:tcW w:w="1084" w:type="dxa"/>
                  <w:vAlign w:val="top"/>
                </w:tcPr>
                <w:p w14:paraId="37ABA391">
                  <w:pPr>
                    <w:pStyle w:val="6"/>
                    <w:spacing w:before="55" w:line="181" w:lineRule="auto"/>
                    <w:ind w:left="379"/>
                    <w:rPr>
                      <w:sz w:val="21"/>
                      <w:szCs w:val="21"/>
                    </w:rPr>
                  </w:pPr>
                  <w:r>
                    <w:rPr>
                      <w:spacing w:val="-6"/>
                      <w:sz w:val="21"/>
                      <w:szCs w:val="21"/>
                    </w:rPr>
                    <w:t>100</w:t>
                  </w:r>
                </w:p>
              </w:tc>
            </w:tr>
            <w:tr w14:paraId="26835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2042" w:type="dxa"/>
                  <w:vMerge w:val="restart"/>
                  <w:tcBorders>
                    <w:bottom w:val="nil"/>
                  </w:tcBorders>
                  <w:vAlign w:val="top"/>
                </w:tcPr>
                <w:p w14:paraId="29BE7C11">
                  <w:pPr>
                    <w:pStyle w:val="6"/>
                    <w:spacing w:before="52" w:line="205" w:lineRule="auto"/>
                    <w:ind w:left="224"/>
                    <w:rPr>
                      <w:sz w:val="21"/>
                      <w:szCs w:val="21"/>
                    </w:rPr>
                  </w:pPr>
                  <w:r>
                    <w:rPr>
                      <w:spacing w:val="-1"/>
                      <w:sz w:val="21"/>
                      <w:szCs w:val="21"/>
                    </w:rPr>
                    <w:t>TSP小时平均浓度</w:t>
                  </w:r>
                </w:p>
                <w:p w14:paraId="2788290E">
                  <w:pPr>
                    <w:pStyle w:val="6"/>
                    <w:spacing w:line="213" w:lineRule="auto"/>
                    <w:ind w:left="595"/>
                    <w:rPr>
                      <w:sz w:val="21"/>
                      <w:szCs w:val="21"/>
                    </w:rPr>
                  </w:pPr>
                  <w:r>
                    <w:rPr>
                      <w:spacing w:val="-6"/>
                      <w:sz w:val="21"/>
                      <w:szCs w:val="21"/>
                    </w:rPr>
                    <w:t>(mg/m³)</w:t>
                  </w:r>
                </w:p>
              </w:tc>
              <w:tc>
                <w:tcPr>
                  <w:tcW w:w="1049" w:type="dxa"/>
                  <w:vAlign w:val="top"/>
                </w:tcPr>
                <w:p w14:paraId="324AA10C">
                  <w:pPr>
                    <w:pStyle w:val="6"/>
                    <w:spacing w:before="32" w:line="189" w:lineRule="auto"/>
                    <w:ind w:left="202"/>
                    <w:rPr>
                      <w:sz w:val="21"/>
                      <w:szCs w:val="21"/>
                    </w:rPr>
                  </w:pPr>
                  <w:r>
                    <w:rPr>
                      <w:spacing w:val="3"/>
                      <w:sz w:val="21"/>
                      <w:szCs w:val="21"/>
                    </w:rPr>
                    <w:t>不洒水</w:t>
                  </w:r>
                </w:p>
              </w:tc>
              <w:tc>
                <w:tcPr>
                  <w:tcW w:w="1468" w:type="dxa"/>
                  <w:vAlign w:val="top"/>
                </w:tcPr>
                <w:p w14:paraId="16AD8596">
                  <w:pPr>
                    <w:pStyle w:val="6"/>
                    <w:spacing w:before="53" w:line="170" w:lineRule="auto"/>
                    <w:ind w:left="464"/>
                    <w:rPr>
                      <w:sz w:val="21"/>
                      <w:szCs w:val="21"/>
                    </w:rPr>
                  </w:pPr>
                  <w:r>
                    <w:rPr>
                      <w:spacing w:val="-4"/>
                      <w:sz w:val="21"/>
                      <w:szCs w:val="21"/>
                    </w:rPr>
                    <w:t>10.14</w:t>
                  </w:r>
                </w:p>
              </w:tc>
              <w:tc>
                <w:tcPr>
                  <w:tcW w:w="1188" w:type="dxa"/>
                  <w:vAlign w:val="top"/>
                </w:tcPr>
                <w:p w14:paraId="19E58F20">
                  <w:pPr>
                    <w:pStyle w:val="6"/>
                    <w:spacing w:before="53" w:line="170" w:lineRule="auto"/>
                    <w:ind w:left="375"/>
                    <w:rPr>
                      <w:sz w:val="21"/>
                      <w:szCs w:val="21"/>
                    </w:rPr>
                  </w:pPr>
                  <w:r>
                    <w:rPr>
                      <w:spacing w:val="-3"/>
                      <w:sz w:val="21"/>
                      <w:szCs w:val="21"/>
                    </w:rPr>
                    <w:t>2.89</w:t>
                  </w:r>
                </w:p>
              </w:tc>
              <w:tc>
                <w:tcPr>
                  <w:tcW w:w="1438" w:type="dxa"/>
                  <w:vAlign w:val="top"/>
                </w:tcPr>
                <w:p w14:paraId="3E6B60E0">
                  <w:pPr>
                    <w:pStyle w:val="6"/>
                    <w:spacing w:before="53" w:line="170" w:lineRule="auto"/>
                    <w:ind w:left="508"/>
                    <w:rPr>
                      <w:sz w:val="21"/>
                      <w:szCs w:val="21"/>
                    </w:rPr>
                  </w:pPr>
                  <w:r>
                    <w:rPr>
                      <w:spacing w:val="-5"/>
                      <w:sz w:val="21"/>
                      <w:szCs w:val="21"/>
                    </w:rPr>
                    <w:t>1.15</w:t>
                  </w:r>
                </w:p>
              </w:tc>
              <w:tc>
                <w:tcPr>
                  <w:tcW w:w="1084" w:type="dxa"/>
                  <w:vAlign w:val="top"/>
                </w:tcPr>
                <w:p w14:paraId="016AAD08">
                  <w:pPr>
                    <w:pStyle w:val="6"/>
                    <w:spacing w:before="53" w:line="170" w:lineRule="auto"/>
                    <w:ind w:left="329"/>
                    <w:rPr>
                      <w:sz w:val="21"/>
                      <w:szCs w:val="21"/>
                    </w:rPr>
                  </w:pPr>
                  <w:r>
                    <w:rPr>
                      <w:spacing w:val="-2"/>
                      <w:sz w:val="21"/>
                      <w:szCs w:val="21"/>
                    </w:rPr>
                    <w:t>0.86</w:t>
                  </w:r>
                </w:p>
              </w:tc>
            </w:tr>
            <w:tr w14:paraId="1AC7E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2042" w:type="dxa"/>
                  <w:vMerge w:val="continue"/>
                  <w:tcBorders>
                    <w:top w:val="nil"/>
                  </w:tcBorders>
                  <w:vAlign w:val="top"/>
                </w:tcPr>
                <w:p w14:paraId="11165A04">
                  <w:pPr>
                    <w:rPr>
                      <w:rFonts w:ascii="Arial"/>
                      <w:sz w:val="21"/>
                    </w:rPr>
                  </w:pPr>
                </w:p>
              </w:tc>
              <w:tc>
                <w:tcPr>
                  <w:tcW w:w="1049" w:type="dxa"/>
                  <w:vAlign w:val="top"/>
                </w:tcPr>
                <w:p w14:paraId="4A45179C">
                  <w:pPr>
                    <w:pStyle w:val="6"/>
                    <w:spacing w:before="45" w:line="198" w:lineRule="auto"/>
                    <w:ind w:left="302"/>
                    <w:rPr>
                      <w:sz w:val="21"/>
                      <w:szCs w:val="21"/>
                    </w:rPr>
                  </w:pPr>
                  <w:r>
                    <w:rPr>
                      <w:spacing w:val="4"/>
                      <w:sz w:val="21"/>
                      <w:szCs w:val="21"/>
                    </w:rPr>
                    <w:t>洒水</w:t>
                  </w:r>
                </w:p>
              </w:tc>
              <w:tc>
                <w:tcPr>
                  <w:tcW w:w="1468" w:type="dxa"/>
                  <w:vAlign w:val="top"/>
                </w:tcPr>
                <w:p w14:paraId="7C3AA76F">
                  <w:pPr>
                    <w:pStyle w:val="6"/>
                    <w:spacing w:before="66" w:line="180" w:lineRule="auto"/>
                    <w:ind w:left="513"/>
                    <w:rPr>
                      <w:sz w:val="21"/>
                      <w:szCs w:val="21"/>
                    </w:rPr>
                  </w:pPr>
                  <w:r>
                    <w:rPr>
                      <w:spacing w:val="-3"/>
                      <w:sz w:val="21"/>
                      <w:szCs w:val="21"/>
                    </w:rPr>
                    <w:t>2.01</w:t>
                  </w:r>
                </w:p>
              </w:tc>
              <w:tc>
                <w:tcPr>
                  <w:tcW w:w="1188" w:type="dxa"/>
                  <w:vAlign w:val="top"/>
                </w:tcPr>
                <w:p w14:paraId="571100D6">
                  <w:pPr>
                    <w:pStyle w:val="6"/>
                    <w:spacing w:before="66" w:line="180" w:lineRule="auto"/>
                    <w:ind w:left="375"/>
                    <w:rPr>
                      <w:sz w:val="21"/>
                      <w:szCs w:val="21"/>
                    </w:rPr>
                  </w:pPr>
                  <w:r>
                    <w:rPr>
                      <w:spacing w:val="-5"/>
                      <w:sz w:val="21"/>
                      <w:szCs w:val="21"/>
                    </w:rPr>
                    <w:t>1.40</w:t>
                  </w:r>
                </w:p>
              </w:tc>
              <w:tc>
                <w:tcPr>
                  <w:tcW w:w="1438" w:type="dxa"/>
                  <w:vAlign w:val="top"/>
                </w:tcPr>
                <w:p w14:paraId="218A0938">
                  <w:pPr>
                    <w:pStyle w:val="6"/>
                    <w:spacing w:before="66" w:line="180" w:lineRule="auto"/>
                    <w:ind w:left="508"/>
                    <w:rPr>
                      <w:sz w:val="21"/>
                      <w:szCs w:val="21"/>
                    </w:rPr>
                  </w:pPr>
                  <w:r>
                    <w:rPr>
                      <w:spacing w:val="-2"/>
                      <w:sz w:val="21"/>
                      <w:szCs w:val="21"/>
                    </w:rPr>
                    <w:t>0.67</w:t>
                  </w:r>
                </w:p>
              </w:tc>
              <w:tc>
                <w:tcPr>
                  <w:tcW w:w="1084" w:type="dxa"/>
                  <w:vAlign w:val="top"/>
                </w:tcPr>
                <w:p w14:paraId="1DD53492">
                  <w:pPr>
                    <w:pStyle w:val="6"/>
                    <w:spacing w:before="66" w:line="180" w:lineRule="auto"/>
                    <w:ind w:left="329"/>
                    <w:rPr>
                      <w:sz w:val="21"/>
                      <w:szCs w:val="21"/>
                    </w:rPr>
                  </w:pPr>
                  <w:r>
                    <w:rPr>
                      <w:spacing w:val="-2"/>
                      <w:sz w:val="21"/>
                      <w:szCs w:val="21"/>
                    </w:rPr>
                    <w:t>0.60</w:t>
                  </w:r>
                </w:p>
              </w:tc>
            </w:tr>
          </w:tbl>
          <w:p w14:paraId="3396377C">
            <w:pPr>
              <w:pStyle w:val="6"/>
              <w:spacing w:before="56" w:line="347" w:lineRule="auto"/>
              <w:ind w:left="111" w:right="227" w:firstLine="449"/>
              <w:rPr>
                <w:sz w:val="24"/>
                <w:szCs w:val="24"/>
              </w:rPr>
            </w:pPr>
            <w:r>
              <w:rPr>
                <w:sz w:val="24"/>
                <w:szCs w:val="24"/>
              </w:rPr>
              <w:t>结果表明：每天洒水4~5次，可有效地控制交通扬尘，TSP污染物扩散距离</w:t>
            </w:r>
            <w:r>
              <w:rPr>
                <w:spacing w:val="13"/>
                <w:sz w:val="24"/>
                <w:szCs w:val="24"/>
              </w:rPr>
              <w:t xml:space="preserve"> </w:t>
            </w:r>
            <w:r>
              <w:rPr>
                <w:spacing w:val="-3"/>
                <w:sz w:val="24"/>
                <w:szCs w:val="24"/>
              </w:rPr>
              <w:t>可缩小到20m—50m范围。本环评要求施工过程中，要求车辆限速行驶及保持</w:t>
            </w:r>
          </w:p>
          <w:p w14:paraId="02D5CDCD">
            <w:pPr>
              <w:pStyle w:val="6"/>
              <w:spacing w:before="25" w:line="352" w:lineRule="auto"/>
              <w:ind w:left="91" w:right="38" w:hanging="60"/>
              <w:rPr>
                <w:sz w:val="24"/>
                <w:szCs w:val="24"/>
              </w:rPr>
            </w:pPr>
            <w:r>
              <w:rPr>
                <w:sz w:val="24"/>
                <w:szCs w:val="24"/>
              </w:rPr>
              <w:t>路面清洁，同时适当洒水有效控制施工道路扬尘，以降低道路扬尘对道路旁居民</w:t>
            </w:r>
            <w:r>
              <w:rPr>
                <w:spacing w:val="12"/>
                <w:sz w:val="24"/>
                <w:szCs w:val="24"/>
              </w:rPr>
              <w:t xml:space="preserve"> </w:t>
            </w:r>
            <w:r>
              <w:rPr>
                <w:sz w:val="24"/>
                <w:szCs w:val="24"/>
              </w:rPr>
              <w:t>点的影响。</w:t>
            </w:r>
          </w:p>
          <w:p w14:paraId="4370AC30">
            <w:pPr>
              <w:pStyle w:val="6"/>
              <w:spacing w:before="7" w:line="361" w:lineRule="auto"/>
              <w:ind w:left="91" w:firstLine="459"/>
              <w:rPr>
                <w:sz w:val="24"/>
                <w:szCs w:val="24"/>
              </w:rPr>
            </w:pPr>
            <w:r>
              <w:rPr>
                <w:sz w:val="24"/>
                <w:szCs w:val="24"/>
              </w:rPr>
              <w:t>施工期间，位于运输道路两侧的栗树园村、发峨哨、上村子、发峨哨、放马</w:t>
            </w:r>
            <w:r>
              <w:rPr>
                <w:spacing w:val="11"/>
                <w:sz w:val="24"/>
                <w:szCs w:val="24"/>
              </w:rPr>
              <w:t xml:space="preserve"> </w:t>
            </w:r>
            <w:r>
              <w:rPr>
                <w:sz w:val="24"/>
                <w:szCs w:val="24"/>
              </w:rPr>
              <w:t>沟、大地村、新村、大莫古、小紫处、橡子坡、小芭蕉等(上述村庄均位于进场</w:t>
            </w:r>
            <w:r>
              <w:rPr>
                <w:spacing w:val="1"/>
                <w:sz w:val="24"/>
                <w:szCs w:val="24"/>
              </w:rPr>
              <w:t xml:space="preserve">  </w:t>
            </w:r>
            <w:r>
              <w:rPr>
                <w:spacing w:val="3"/>
                <w:sz w:val="24"/>
                <w:szCs w:val="24"/>
              </w:rPr>
              <w:t>道路现有县道或场内道路(现有乡村道路)两侧)容易受到道路扬尘的影响。为</w:t>
            </w:r>
          </w:p>
          <w:p w14:paraId="6C2EC889">
            <w:pPr>
              <w:pStyle w:val="6"/>
              <w:spacing w:line="359" w:lineRule="auto"/>
              <w:ind w:left="31" w:right="38"/>
              <w:rPr>
                <w:sz w:val="24"/>
                <w:szCs w:val="24"/>
              </w:rPr>
            </w:pPr>
            <w:r>
              <w:rPr>
                <w:sz w:val="24"/>
                <w:szCs w:val="24"/>
              </w:rPr>
              <w:t>减轻施工扬尘对外环境的影响、避免发生扬尘扰民问题，本评价要求建设单位在</w:t>
            </w:r>
            <w:r>
              <w:rPr>
                <w:spacing w:val="12"/>
                <w:sz w:val="24"/>
                <w:szCs w:val="24"/>
              </w:rPr>
              <w:t xml:space="preserve"> </w:t>
            </w:r>
            <w:r>
              <w:rPr>
                <w:sz w:val="24"/>
                <w:szCs w:val="24"/>
              </w:rPr>
              <w:t>施工过程中按照《中华人民共和国大气污染防治法》、《</w:t>
            </w:r>
            <w:r>
              <w:rPr>
                <w:spacing w:val="-1"/>
                <w:sz w:val="24"/>
                <w:szCs w:val="24"/>
              </w:rPr>
              <w:t>云南省大气污染防治条</w:t>
            </w:r>
            <w:r>
              <w:rPr>
                <w:sz w:val="24"/>
                <w:szCs w:val="24"/>
              </w:rPr>
              <w:t xml:space="preserve"> </w:t>
            </w:r>
            <w:r>
              <w:rPr>
                <w:spacing w:val="4"/>
                <w:sz w:val="24"/>
                <w:szCs w:val="24"/>
              </w:rPr>
              <w:t>例》等有关规定，采取扬尘防治措施。</w:t>
            </w:r>
          </w:p>
          <w:p w14:paraId="657BC505">
            <w:pPr>
              <w:pStyle w:val="6"/>
              <w:spacing w:before="1" w:line="356" w:lineRule="auto"/>
              <w:ind w:left="111" w:firstLine="449"/>
              <w:rPr>
                <w:sz w:val="24"/>
                <w:szCs w:val="24"/>
              </w:rPr>
            </w:pPr>
            <w:r>
              <w:rPr>
                <w:sz w:val="24"/>
                <w:szCs w:val="24"/>
              </w:rPr>
              <w:t>综上，在严格落实上述扬尘污染防治措施后，施工期扬尘对周围大气环境保</w:t>
            </w:r>
            <w:r>
              <w:rPr>
                <w:spacing w:val="1"/>
                <w:sz w:val="24"/>
                <w:szCs w:val="24"/>
              </w:rPr>
              <w:t xml:space="preserve"> </w:t>
            </w:r>
            <w:r>
              <w:rPr>
                <w:sz w:val="24"/>
                <w:szCs w:val="24"/>
              </w:rPr>
              <w:t>护目标及区域大气环境的影响将大为减小，并将随施工期</w:t>
            </w:r>
            <w:r>
              <w:rPr>
                <w:spacing w:val="-1"/>
                <w:sz w:val="24"/>
                <w:szCs w:val="24"/>
              </w:rPr>
              <w:t>的结束而结束。</w:t>
            </w:r>
          </w:p>
          <w:p w14:paraId="67EC6447">
            <w:pPr>
              <w:pStyle w:val="6"/>
              <w:spacing w:before="2" w:line="220" w:lineRule="auto"/>
              <w:ind w:left="84"/>
              <w:rPr>
                <w:sz w:val="24"/>
                <w:szCs w:val="24"/>
              </w:rPr>
            </w:pPr>
            <w:r>
              <w:rPr>
                <w:b/>
                <w:bCs/>
                <w:spacing w:val="-2"/>
                <w:sz w:val="24"/>
                <w:szCs w:val="24"/>
              </w:rPr>
              <w:t>3.2燃油废气</w:t>
            </w:r>
          </w:p>
          <w:p w14:paraId="6C2EF0E0">
            <w:pPr>
              <w:pStyle w:val="6"/>
              <w:spacing w:before="184" w:line="349" w:lineRule="auto"/>
              <w:ind w:left="31" w:right="10" w:firstLine="529"/>
              <w:jc w:val="both"/>
              <w:rPr>
                <w:sz w:val="24"/>
                <w:szCs w:val="24"/>
              </w:rPr>
            </w:pPr>
            <w:r>
              <w:rPr>
                <w:sz w:val="24"/>
                <w:szCs w:val="24"/>
              </w:rPr>
              <w:t>施工机械、汽车及柴油发电机大多以柴油作为燃料，</w:t>
            </w:r>
            <w:r>
              <w:rPr>
                <w:spacing w:val="-1"/>
                <w:sz w:val="24"/>
                <w:szCs w:val="24"/>
              </w:rPr>
              <w:t>燃料燃烧过程中会产生</w:t>
            </w:r>
            <w:r>
              <w:rPr>
                <w:sz w:val="24"/>
                <w:szCs w:val="24"/>
              </w:rPr>
              <w:t xml:space="preserve"> CO</w:t>
            </w:r>
            <w:r>
              <w:rPr>
                <w:spacing w:val="6"/>
                <w:sz w:val="24"/>
                <w:szCs w:val="24"/>
              </w:rPr>
              <w:t>、</w:t>
            </w:r>
            <w:r>
              <w:rPr>
                <w:sz w:val="24"/>
                <w:szCs w:val="24"/>
              </w:rPr>
              <w:t>SO</w:t>
            </w:r>
            <w:r>
              <w:rPr>
                <w:rFonts w:ascii="Calibri" w:hAnsi="Calibri" w:eastAsia="Calibri" w:cs="Calibri"/>
                <w:spacing w:val="6"/>
                <w:sz w:val="24"/>
                <w:szCs w:val="24"/>
              </w:rPr>
              <w:t>₂</w:t>
            </w:r>
            <w:r>
              <w:rPr>
                <w:rFonts w:ascii="Calibri" w:hAnsi="Calibri" w:eastAsia="Calibri" w:cs="Calibri"/>
                <w:spacing w:val="-28"/>
                <w:sz w:val="24"/>
                <w:szCs w:val="24"/>
              </w:rPr>
              <w:t xml:space="preserve"> </w:t>
            </w:r>
            <w:r>
              <w:rPr>
                <w:spacing w:val="6"/>
                <w:sz w:val="24"/>
                <w:szCs w:val="24"/>
              </w:rPr>
              <w:t>、</w:t>
            </w:r>
            <w:r>
              <w:rPr>
                <w:sz w:val="24"/>
                <w:szCs w:val="24"/>
              </w:rPr>
              <w:t>NOx</w:t>
            </w:r>
            <w:r>
              <w:rPr>
                <w:spacing w:val="6"/>
                <w:sz w:val="24"/>
                <w:szCs w:val="24"/>
              </w:rPr>
              <w:t>、碳氢化合物和烟尘，产生情况主要决定因素为燃料油</w:t>
            </w:r>
            <w:r>
              <w:rPr>
                <w:spacing w:val="5"/>
                <w:sz w:val="24"/>
                <w:szCs w:val="24"/>
              </w:rPr>
              <w:t>种类、机</w:t>
            </w:r>
            <w:r>
              <w:rPr>
                <w:sz w:val="24"/>
                <w:szCs w:val="24"/>
              </w:rPr>
              <w:t xml:space="preserve">  械性能、作业方式和风力等，其中属机械性能、作业方式</w:t>
            </w:r>
            <w:r>
              <w:rPr>
                <w:spacing w:val="-1"/>
                <w:sz w:val="24"/>
                <w:szCs w:val="24"/>
              </w:rPr>
              <w:t>因素的影响最大，如运</w:t>
            </w:r>
            <w:r>
              <w:rPr>
                <w:sz w:val="24"/>
                <w:szCs w:val="24"/>
              </w:rPr>
              <w:t xml:space="preserve"> 输车辆和部分施工机械在怠速、减速和加速时产生的污染</w:t>
            </w:r>
            <w:r>
              <w:rPr>
                <w:spacing w:val="-1"/>
                <w:sz w:val="24"/>
                <w:szCs w:val="24"/>
              </w:rPr>
              <w:t>较为严重。各类施工机</w:t>
            </w:r>
            <w:r>
              <w:rPr>
                <w:sz w:val="24"/>
                <w:szCs w:val="24"/>
              </w:rPr>
              <w:t xml:space="preserve"> 械流动性较强，且燃料用量不大，所产生的废气少且较为分散，在易于扩散的气</w:t>
            </w:r>
          </w:p>
        </w:tc>
      </w:tr>
    </w:tbl>
    <w:p w14:paraId="26FE6DC5">
      <w:pPr>
        <w:pStyle w:val="2"/>
      </w:pPr>
    </w:p>
    <w:p w14:paraId="68906FDB">
      <w:pPr>
        <w:sectPr>
          <w:footerReference r:id="rId138" w:type="default"/>
          <w:pgSz w:w="11910" w:h="16830"/>
          <w:pgMar w:top="400" w:right="1277" w:bottom="1243" w:left="1244" w:header="0" w:footer="1081" w:gutter="0"/>
          <w:cols w:space="720" w:num="1"/>
        </w:sectPr>
      </w:pPr>
    </w:p>
    <w:p w14:paraId="75557900">
      <w:pPr>
        <w:spacing w:before="15"/>
      </w:pPr>
    </w:p>
    <w:p w14:paraId="471EC760">
      <w:pPr>
        <w:spacing w:before="15"/>
      </w:pPr>
    </w:p>
    <w:p w14:paraId="44E30FE0">
      <w:pPr>
        <w:spacing w:before="15"/>
      </w:pPr>
    </w:p>
    <w:p w14:paraId="48859743">
      <w:pPr>
        <w:spacing w:before="14"/>
      </w:pPr>
    </w:p>
    <w:tbl>
      <w:tblPr>
        <w:tblStyle w:val="5"/>
        <w:tblW w:w="93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85"/>
      </w:tblGrid>
      <w:tr w14:paraId="635A7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904" w:type="dxa"/>
            <w:vAlign w:val="top"/>
          </w:tcPr>
          <w:p w14:paraId="40C5C090">
            <w:pPr>
              <w:rPr>
                <w:rFonts w:ascii="Arial"/>
                <w:sz w:val="21"/>
              </w:rPr>
            </w:pPr>
          </w:p>
        </w:tc>
        <w:tc>
          <w:tcPr>
            <w:tcW w:w="8485" w:type="dxa"/>
            <w:vAlign w:val="top"/>
          </w:tcPr>
          <w:p w14:paraId="3E95A9AC">
            <w:pPr>
              <w:pStyle w:val="6"/>
              <w:spacing w:before="25" w:line="361" w:lineRule="auto"/>
              <w:ind w:left="91" w:firstLine="9"/>
              <w:jc w:val="both"/>
              <w:rPr>
                <w:sz w:val="24"/>
                <w:szCs w:val="24"/>
              </w:rPr>
            </w:pPr>
            <w:r>
              <w:rPr>
                <w:spacing w:val="-1"/>
                <w:sz w:val="24"/>
                <w:szCs w:val="24"/>
              </w:rPr>
              <w:t>象条件下，该废气对周围环境的影响不大。由于项目区域大而施工较为分散，在</w:t>
            </w:r>
            <w:r>
              <w:rPr>
                <w:spacing w:val="5"/>
                <w:sz w:val="24"/>
                <w:szCs w:val="24"/>
              </w:rPr>
              <w:t xml:space="preserve"> </w:t>
            </w:r>
            <w:r>
              <w:rPr>
                <w:spacing w:val="-1"/>
                <w:sz w:val="24"/>
                <w:szCs w:val="24"/>
              </w:rPr>
              <w:t>易于扩散的气象条件下，施工期燃油废气对周围环境的影响不大，且随着施工期</w:t>
            </w:r>
            <w:r>
              <w:rPr>
                <w:spacing w:val="17"/>
                <w:sz w:val="24"/>
                <w:szCs w:val="24"/>
              </w:rPr>
              <w:t xml:space="preserve"> </w:t>
            </w:r>
            <w:r>
              <w:rPr>
                <w:sz w:val="24"/>
                <w:szCs w:val="24"/>
              </w:rPr>
              <w:t>的结束，该污染物也随即消失，故施工期燃油废气对</w:t>
            </w:r>
            <w:r>
              <w:rPr>
                <w:spacing w:val="-1"/>
                <w:sz w:val="24"/>
                <w:szCs w:val="24"/>
              </w:rPr>
              <w:t>周围大气环境影响较小。</w:t>
            </w:r>
          </w:p>
          <w:p w14:paraId="05AC42A5">
            <w:pPr>
              <w:pStyle w:val="6"/>
              <w:spacing w:before="1" w:line="360" w:lineRule="auto"/>
              <w:ind w:left="91" w:firstLine="459"/>
              <w:jc w:val="both"/>
              <w:rPr>
                <w:sz w:val="24"/>
                <w:szCs w:val="24"/>
              </w:rPr>
            </w:pPr>
            <w:r>
              <w:rPr>
                <w:spacing w:val="-1"/>
                <w:sz w:val="24"/>
                <w:szCs w:val="24"/>
              </w:rPr>
              <w:t>综上，本项目施工期产生的扬尘影响主要为施工场地风力扬尘、运输车辆行</w:t>
            </w:r>
            <w:r>
              <w:rPr>
                <w:spacing w:val="13"/>
                <w:sz w:val="24"/>
                <w:szCs w:val="24"/>
              </w:rPr>
              <w:t xml:space="preserve"> </w:t>
            </w:r>
            <w:r>
              <w:rPr>
                <w:spacing w:val="-1"/>
                <w:sz w:val="24"/>
                <w:szCs w:val="24"/>
              </w:rPr>
              <w:t>驶扬尘和燃油废气。采取环保措施后，可以有效地控制施工期扬尘影响的范围及</w:t>
            </w:r>
            <w:r>
              <w:rPr>
                <w:spacing w:val="17"/>
                <w:sz w:val="24"/>
                <w:szCs w:val="24"/>
              </w:rPr>
              <w:t xml:space="preserve"> </w:t>
            </w:r>
            <w:r>
              <w:rPr>
                <w:spacing w:val="-1"/>
                <w:sz w:val="24"/>
                <w:szCs w:val="24"/>
              </w:rPr>
              <w:t>程度。而且施工扬尘造成的污染是短期的、局部的，施工结束后即会消</w:t>
            </w:r>
            <w:r>
              <w:rPr>
                <w:spacing w:val="-2"/>
                <w:sz w:val="24"/>
                <w:szCs w:val="24"/>
              </w:rPr>
              <w:t>失，因此</w:t>
            </w:r>
            <w:r>
              <w:rPr>
                <w:sz w:val="24"/>
                <w:szCs w:val="24"/>
              </w:rPr>
              <w:t xml:space="preserve"> </w:t>
            </w:r>
            <w:r>
              <w:rPr>
                <w:spacing w:val="-1"/>
                <w:sz w:val="24"/>
                <w:szCs w:val="24"/>
              </w:rPr>
              <w:t>项目对大气环境及场内道路周边居民的影响是有限的。</w:t>
            </w:r>
          </w:p>
          <w:p w14:paraId="015A3B07">
            <w:pPr>
              <w:pStyle w:val="6"/>
              <w:spacing w:before="5" w:line="220" w:lineRule="auto"/>
              <w:ind w:left="94"/>
              <w:rPr>
                <w:sz w:val="24"/>
                <w:szCs w:val="24"/>
              </w:rPr>
            </w:pPr>
            <w:r>
              <w:rPr>
                <w:b/>
                <w:bCs/>
                <w:spacing w:val="-4"/>
                <w:sz w:val="24"/>
                <w:szCs w:val="24"/>
              </w:rPr>
              <w:t>4施工噪声环境影响分析</w:t>
            </w:r>
          </w:p>
          <w:p w14:paraId="7D09061E">
            <w:pPr>
              <w:pStyle w:val="6"/>
              <w:spacing w:before="181" w:line="219" w:lineRule="auto"/>
              <w:ind w:left="94"/>
              <w:rPr>
                <w:sz w:val="24"/>
                <w:szCs w:val="24"/>
              </w:rPr>
            </w:pPr>
            <w:r>
              <w:rPr>
                <w:b/>
                <w:bCs/>
                <w:spacing w:val="-2"/>
                <w:sz w:val="24"/>
                <w:szCs w:val="24"/>
              </w:rPr>
              <w:t>4.1机械设备噪声影响</w:t>
            </w:r>
          </w:p>
          <w:p w14:paraId="71763411">
            <w:pPr>
              <w:pStyle w:val="6"/>
              <w:spacing w:before="201" w:line="220" w:lineRule="auto"/>
              <w:ind w:left="700"/>
              <w:rPr>
                <w:sz w:val="24"/>
                <w:szCs w:val="24"/>
              </w:rPr>
            </w:pPr>
            <w:r>
              <w:rPr>
                <w:spacing w:val="1"/>
                <w:sz w:val="24"/>
                <w:szCs w:val="24"/>
              </w:rPr>
              <w:t>(1)噪声源强</w:t>
            </w:r>
          </w:p>
          <w:p w14:paraId="6DD45FF1">
            <w:pPr>
              <w:pStyle w:val="6"/>
              <w:spacing w:before="173" w:line="353" w:lineRule="auto"/>
              <w:ind w:left="91" w:firstLine="469"/>
              <w:rPr>
                <w:sz w:val="24"/>
                <w:szCs w:val="24"/>
              </w:rPr>
            </w:pPr>
            <w:r>
              <w:rPr>
                <w:sz w:val="24"/>
                <w:szCs w:val="24"/>
              </w:rPr>
              <w:t>施工期的噪声污染源主要是施工现场的各类施工噪声。由于</w:t>
            </w:r>
            <w:r>
              <w:rPr>
                <w:spacing w:val="-1"/>
                <w:sz w:val="24"/>
                <w:szCs w:val="24"/>
              </w:rPr>
              <w:t>在施工过程中，</w:t>
            </w:r>
            <w:r>
              <w:rPr>
                <w:sz w:val="24"/>
                <w:szCs w:val="24"/>
              </w:rPr>
              <w:t xml:space="preserve"> </w:t>
            </w:r>
            <w:r>
              <w:rPr>
                <w:spacing w:val="-1"/>
                <w:sz w:val="24"/>
                <w:szCs w:val="24"/>
              </w:rPr>
              <w:t>需动用大量的车辆和施工机械，挖掘机、搅拌机、装载机等，噪声强度较大。各</w:t>
            </w:r>
            <w:r>
              <w:rPr>
                <w:spacing w:val="15"/>
                <w:sz w:val="24"/>
                <w:szCs w:val="24"/>
              </w:rPr>
              <w:t xml:space="preserve"> </w:t>
            </w:r>
            <w:r>
              <w:rPr>
                <w:sz w:val="24"/>
                <w:szCs w:val="24"/>
              </w:rPr>
              <w:t>类施工机械声级采用类比调查法获取，具体的噪声源强见表4-5。</w:t>
            </w:r>
          </w:p>
          <w:p w14:paraId="2FEB3C37">
            <w:pPr>
              <w:pStyle w:val="6"/>
              <w:spacing w:line="220" w:lineRule="auto"/>
              <w:ind w:left="1594"/>
              <w:rPr>
                <w:sz w:val="24"/>
                <w:szCs w:val="24"/>
              </w:rPr>
            </w:pPr>
            <w:r>
              <w:rPr>
                <w:b/>
                <w:bCs/>
                <w:spacing w:val="-1"/>
                <w:sz w:val="24"/>
                <w:szCs w:val="24"/>
              </w:rPr>
              <w:t>表4-5</w:t>
            </w:r>
            <w:r>
              <w:rPr>
                <w:spacing w:val="-1"/>
                <w:sz w:val="24"/>
                <w:szCs w:val="24"/>
              </w:rPr>
              <w:t xml:space="preserve">  </w:t>
            </w:r>
            <w:r>
              <w:rPr>
                <w:b/>
                <w:bCs/>
                <w:spacing w:val="-1"/>
                <w:sz w:val="24"/>
                <w:szCs w:val="24"/>
              </w:rPr>
              <w:t>主要施工设备噪声源强</w:t>
            </w:r>
            <w:r>
              <w:rPr>
                <w:spacing w:val="-1"/>
                <w:sz w:val="24"/>
                <w:szCs w:val="24"/>
              </w:rPr>
              <w:t xml:space="preserve">  </w:t>
            </w:r>
            <w:r>
              <w:rPr>
                <w:b/>
                <w:bCs/>
                <w:spacing w:val="-1"/>
                <w:sz w:val="24"/>
                <w:szCs w:val="24"/>
              </w:rPr>
              <w:t>单位：dB(A)</w:t>
            </w:r>
          </w:p>
          <w:p w14:paraId="319EE976">
            <w:pPr>
              <w:spacing w:line="131" w:lineRule="auto"/>
              <w:rPr>
                <w:rFonts w:ascii="Arial"/>
                <w:sz w:val="2"/>
              </w:rPr>
            </w:pPr>
          </w:p>
          <w:tbl>
            <w:tblPr>
              <w:tblStyle w:val="5"/>
              <w:tblW w:w="8259"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72"/>
              <w:gridCol w:w="2227"/>
              <w:gridCol w:w="3860"/>
            </w:tblGrid>
            <w:tr w14:paraId="6C906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2172" w:type="dxa"/>
                  <w:vAlign w:val="top"/>
                </w:tcPr>
                <w:p w14:paraId="236EE636">
                  <w:pPr>
                    <w:pStyle w:val="6"/>
                    <w:spacing w:before="51" w:line="220" w:lineRule="auto"/>
                    <w:ind w:left="767"/>
                    <w:rPr>
                      <w:sz w:val="21"/>
                      <w:szCs w:val="21"/>
                    </w:rPr>
                  </w:pPr>
                  <w:r>
                    <w:rPr>
                      <w:b/>
                      <w:bCs/>
                      <w:spacing w:val="1"/>
                      <w:sz w:val="21"/>
                      <w:szCs w:val="21"/>
                    </w:rPr>
                    <w:t>工程区</w:t>
                  </w:r>
                </w:p>
              </w:tc>
              <w:tc>
                <w:tcPr>
                  <w:tcW w:w="2227" w:type="dxa"/>
                  <w:vAlign w:val="top"/>
                </w:tcPr>
                <w:p w14:paraId="2577FEC1">
                  <w:pPr>
                    <w:pStyle w:val="6"/>
                    <w:spacing w:before="51" w:line="220" w:lineRule="auto"/>
                    <w:ind w:left="475"/>
                    <w:rPr>
                      <w:sz w:val="21"/>
                      <w:szCs w:val="21"/>
                    </w:rPr>
                  </w:pPr>
                  <w:r>
                    <w:rPr>
                      <w:b/>
                      <w:bCs/>
                      <w:spacing w:val="-4"/>
                      <w:sz w:val="21"/>
                      <w:szCs w:val="21"/>
                    </w:rPr>
                    <w:t>主要噪声设备</w:t>
                  </w:r>
                </w:p>
              </w:tc>
              <w:tc>
                <w:tcPr>
                  <w:tcW w:w="3860" w:type="dxa"/>
                  <w:vAlign w:val="top"/>
                </w:tcPr>
                <w:p w14:paraId="1A2FD298">
                  <w:pPr>
                    <w:pStyle w:val="6"/>
                    <w:spacing w:before="53" w:line="220" w:lineRule="auto"/>
                    <w:ind w:left="1348"/>
                    <w:rPr>
                      <w:sz w:val="21"/>
                      <w:szCs w:val="21"/>
                    </w:rPr>
                  </w:pPr>
                  <w:r>
                    <w:rPr>
                      <w:b/>
                      <w:bCs/>
                      <w:spacing w:val="2"/>
                      <w:sz w:val="21"/>
                      <w:szCs w:val="21"/>
                    </w:rPr>
                    <w:t>源强(</w:t>
                  </w:r>
                  <w:r>
                    <w:rPr>
                      <w:b/>
                      <w:bCs/>
                      <w:sz w:val="21"/>
                      <w:szCs w:val="21"/>
                    </w:rPr>
                    <w:t>dB</w:t>
                  </w:r>
                  <w:r>
                    <w:rPr>
                      <w:b/>
                      <w:bCs/>
                      <w:spacing w:val="2"/>
                      <w:sz w:val="21"/>
                      <w:szCs w:val="21"/>
                    </w:rPr>
                    <w:t>(A))</w:t>
                  </w:r>
                </w:p>
              </w:tc>
            </w:tr>
            <w:tr w14:paraId="0B6FB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172" w:type="dxa"/>
                  <w:vMerge w:val="restart"/>
                  <w:tcBorders>
                    <w:bottom w:val="nil"/>
                  </w:tcBorders>
                  <w:vAlign w:val="top"/>
                </w:tcPr>
                <w:p w14:paraId="3DCCF4B2">
                  <w:pPr>
                    <w:spacing w:line="338" w:lineRule="auto"/>
                    <w:rPr>
                      <w:rFonts w:ascii="Arial"/>
                      <w:sz w:val="21"/>
                    </w:rPr>
                  </w:pPr>
                </w:p>
                <w:p w14:paraId="723F6EE8">
                  <w:pPr>
                    <w:pStyle w:val="6"/>
                    <w:spacing w:before="68" w:line="219" w:lineRule="auto"/>
                    <w:ind w:left="654"/>
                    <w:rPr>
                      <w:sz w:val="21"/>
                      <w:szCs w:val="21"/>
                    </w:rPr>
                  </w:pPr>
                  <w:r>
                    <w:rPr>
                      <w:spacing w:val="4"/>
                      <w:sz w:val="21"/>
                      <w:szCs w:val="21"/>
                    </w:rPr>
                    <w:t>光伏阵列</w:t>
                  </w:r>
                </w:p>
              </w:tc>
              <w:tc>
                <w:tcPr>
                  <w:tcW w:w="2227" w:type="dxa"/>
                  <w:vAlign w:val="top"/>
                </w:tcPr>
                <w:p w14:paraId="24E16062">
                  <w:pPr>
                    <w:pStyle w:val="6"/>
                    <w:spacing w:before="68" w:line="219" w:lineRule="auto"/>
                    <w:ind w:left="792"/>
                    <w:rPr>
                      <w:sz w:val="21"/>
                      <w:szCs w:val="21"/>
                    </w:rPr>
                  </w:pPr>
                  <w:r>
                    <w:rPr>
                      <w:spacing w:val="-2"/>
                      <w:sz w:val="21"/>
                      <w:szCs w:val="21"/>
                    </w:rPr>
                    <w:t>钻孔机</w:t>
                  </w:r>
                </w:p>
              </w:tc>
              <w:tc>
                <w:tcPr>
                  <w:tcW w:w="3860" w:type="dxa"/>
                  <w:vAlign w:val="top"/>
                </w:tcPr>
                <w:p w14:paraId="708CCA07">
                  <w:pPr>
                    <w:pStyle w:val="6"/>
                    <w:spacing w:before="91" w:line="209" w:lineRule="auto"/>
                    <w:ind w:left="1815"/>
                    <w:rPr>
                      <w:sz w:val="21"/>
                      <w:szCs w:val="21"/>
                    </w:rPr>
                  </w:pPr>
                  <w:r>
                    <w:rPr>
                      <w:spacing w:val="-3"/>
                      <w:sz w:val="21"/>
                      <w:szCs w:val="21"/>
                    </w:rPr>
                    <w:t>92</w:t>
                  </w:r>
                </w:p>
              </w:tc>
            </w:tr>
            <w:tr w14:paraId="5B8E9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172" w:type="dxa"/>
                  <w:vMerge w:val="continue"/>
                  <w:tcBorders>
                    <w:top w:val="nil"/>
                    <w:bottom w:val="nil"/>
                  </w:tcBorders>
                  <w:vAlign w:val="top"/>
                </w:tcPr>
                <w:p w14:paraId="354ED606">
                  <w:pPr>
                    <w:rPr>
                      <w:rFonts w:ascii="Arial"/>
                      <w:sz w:val="21"/>
                    </w:rPr>
                  </w:pPr>
                </w:p>
              </w:tc>
              <w:tc>
                <w:tcPr>
                  <w:tcW w:w="2227" w:type="dxa"/>
                  <w:vAlign w:val="top"/>
                </w:tcPr>
                <w:p w14:paraId="557E1331">
                  <w:pPr>
                    <w:pStyle w:val="6"/>
                    <w:spacing w:before="69" w:line="219" w:lineRule="auto"/>
                    <w:ind w:left="583"/>
                    <w:rPr>
                      <w:sz w:val="21"/>
                      <w:szCs w:val="21"/>
                    </w:rPr>
                  </w:pPr>
                  <w:r>
                    <w:rPr>
                      <w:spacing w:val="-2"/>
                      <w:sz w:val="21"/>
                      <w:szCs w:val="21"/>
                    </w:rPr>
                    <w:t>钢筋切割机</w:t>
                  </w:r>
                </w:p>
              </w:tc>
              <w:tc>
                <w:tcPr>
                  <w:tcW w:w="3860" w:type="dxa"/>
                  <w:vAlign w:val="top"/>
                </w:tcPr>
                <w:p w14:paraId="68EA4CEE">
                  <w:pPr>
                    <w:pStyle w:val="6"/>
                    <w:spacing w:before="92" w:line="217" w:lineRule="auto"/>
                    <w:ind w:left="1815"/>
                    <w:rPr>
                      <w:sz w:val="21"/>
                      <w:szCs w:val="21"/>
                    </w:rPr>
                  </w:pPr>
                  <w:r>
                    <w:rPr>
                      <w:spacing w:val="-3"/>
                      <w:sz w:val="21"/>
                      <w:szCs w:val="21"/>
                    </w:rPr>
                    <w:t>90</w:t>
                  </w:r>
                </w:p>
              </w:tc>
            </w:tr>
            <w:tr w14:paraId="71474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2172" w:type="dxa"/>
                  <w:vMerge w:val="continue"/>
                  <w:tcBorders>
                    <w:top w:val="nil"/>
                  </w:tcBorders>
                  <w:vAlign w:val="top"/>
                </w:tcPr>
                <w:p w14:paraId="5EBE16FF">
                  <w:pPr>
                    <w:rPr>
                      <w:rFonts w:ascii="Arial"/>
                      <w:sz w:val="21"/>
                    </w:rPr>
                  </w:pPr>
                </w:p>
              </w:tc>
              <w:tc>
                <w:tcPr>
                  <w:tcW w:w="2227" w:type="dxa"/>
                  <w:vAlign w:val="top"/>
                </w:tcPr>
                <w:p w14:paraId="6B581682">
                  <w:pPr>
                    <w:pStyle w:val="6"/>
                    <w:spacing w:before="51" w:line="218" w:lineRule="auto"/>
                    <w:ind w:left="792"/>
                    <w:rPr>
                      <w:sz w:val="21"/>
                      <w:szCs w:val="21"/>
                    </w:rPr>
                  </w:pPr>
                  <w:r>
                    <w:rPr>
                      <w:spacing w:val="2"/>
                      <w:sz w:val="21"/>
                      <w:szCs w:val="21"/>
                    </w:rPr>
                    <w:t>电焊机</w:t>
                  </w:r>
                </w:p>
              </w:tc>
              <w:tc>
                <w:tcPr>
                  <w:tcW w:w="3860" w:type="dxa"/>
                  <w:vAlign w:val="top"/>
                </w:tcPr>
                <w:p w14:paraId="601512DA">
                  <w:pPr>
                    <w:pStyle w:val="6"/>
                    <w:spacing w:before="72" w:line="199" w:lineRule="auto"/>
                    <w:ind w:left="1815"/>
                    <w:rPr>
                      <w:sz w:val="21"/>
                      <w:szCs w:val="21"/>
                    </w:rPr>
                  </w:pPr>
                  <w:r>
                    <w:rPr>
                      <w:spacing w:val="-3"/>
                      <w:sz w:val="21"/>
                      <w:szCs w:val="21"/>
                    </w:rPr>
                    <w:t>80</w:t>
                  </w:r>
                </w:p>
              </w:tc>
            </w:tr>
            <w:tr w14:paraId="5E9E9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172" w:type="dxa"/>
                  <w:vAlign w:val="top"/>
                </w:tcPr>
                <w:p w14:paraId="2012079D">
                  <w:pPr>
                    <w:pStyle w:val="6"/>
                    <w:spacing w:before="72" w:line="219" w:lineRule="auto"/>
                    <w:ind w:left="764"/>
                    <w:rPr>
                      <w:sz w:val="21"/>
                      <w:szCs w:val="21"/>
                    </w:rPr>
                  </w:pPr>
                  <w:r>
                    <w:rPr>
                      <w:spacing w:val="2"/>
                      <w:sz w:val="21"/>
                      <w:szCs w:val="21"/>
                    </w:rPr>
                    <w:t>叠加值</w:t>
                  </w:r>
                </w:p>
              </w:tc>
              <w:tc>
                <w:tcPr>
                  <w:tcW w:w="2227" w:type="dxa"/>
                  <w:vAlign w:val="top"/>
                </w:tcPr>
                <w:p w14:paraId="22427230">
                  <w:pPr>
                    <w:rPr>
                      <w:rFonts w:ascii="Arial"/>
                      <w:sz w:val="21"/>
                    </w:rPr>
                  </w:pPr>
                </w:p>
              </w:tc>
              <w:tc>
                <w:tcPr>
                  <w:tcW w:w="3860" w:type="dxa"/>
                  <w:vAlign w:val="top"/>
                </w:tcPr>
                <w:p w14:paraId="0A062F69">
                  <w:pPr>
                    <w:pStyle w:val="6"/>
                    <w:spacing w:before="93" w:line="216" w:lineRule="auto"/>
                    <w:ind w:left="1655"/>
                    <w:rPr>
                      <w:sz w:val="21"/>
                      <w:szCs w:val="21"/>
                    </w:rPr>
                  </w:pPr>
                  <w:r>
                    <w:rPr>
                      <w:spacing w:val="-2"/>
                      <w:sz w:val="21"/>
                      <w:szCs w:val="21"/>
                    </w:rPr>
                    <w:t>94.29</w:t>
                  </w:r>
                </w:p>
              </w:tc>
            </w:tr>
            <w:tr w14:paraId="04ABB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2172" w:type="dxa"/>
                  <w:vMerge w:val="restart"/>
                  <w:tcBorders>
                    <w:bottom w:val="nil"/>
                  </w:tcBorders>
                  <w:vAlign w:val="top"/>
                </w:tcPr>
                <w:p w14:paraId="0C5D4E0F">
                  <w:pPr>
                    <w:spacing w:line="274" w:lineRule="auto"/>
                    <w:rPr>
                      <w:rFonts w:ascii="Arial"/>
                      <w:sz w:val="21"/>
                    </w:rPr>
                  </w:pPr>
                </w:p>
                <w:p w14:paraId="00D4A6F6">
                  <w:pPr>
                    <w:pStyle w:val="6"/>
                    <w:spacing w:before="69" w:line="221" w:lineRule="auto"/>
                    <w:ind w:left="764"/>
                    <w:rPr>
                      <w:sz w:val="21"/>
                      <w:szCs w:val="21"/>
                    </w:rPr>
                  </w:pPr>
                  <w:r>
                    <w:rPr>
                      <w:spacing w:val="3"/>
                      <w:sz w:val="21"/>
                      <w:szCs w:val="21"/>
                    </w:rPr>
                    <w:t>升压站</w:t>
                  </w:r>
                </w:p>
              </w:tc>
              <w:tc>
                <w:tcPr>
                  <w:tcW w:w="2227" w:type="dxa"/>
                  <w:vAlign w:val="top"/>
                </w:tcPr>
                <w:p w14:paraId="5AC1DC85">
                  <w:pPr>
                    <w:pStyle w:val="6"/>
                    <w:spacing w:before="42" w:line="209" w:lineRule="auto"/>
                    <w:ind w:left="372" w:right="71" w:hanging="320"/>
                    <w:rPr>
                      <w:sz w:val="21"/>
                      <w:szCs w:val="21"/>
                    </w:rPr>
                  </w:pPr>
                  <w:r>
                    <w:rPr>
                      <w:spacing w:val="-1"/>
                      <w:sz w:val="21"/>
                      <w:szCs w:val="21"/>
                    </w:rPr>
                    <w:t>挖掘机、推土机、混凝</w:t>
                  </w:r>
                  <w:r>
                    <w:rPr>
                      <w:spacing w:val="1"/>
                      <w:sz w:val="21"/>
                      <w:szCs w:val="21"/>
                    </w:rPr>
                    <w:t xml:space="preserve"> </w:t>
                  </w:r>
                  <w:r>
                    <w:rPr>
                      <w:spacing w:val="-2"/>
                      <w:sz w:val="21"/>
                      <w:szCs w:val="21"/>
                    </w:rPr>
                    <w:t>土插入式振动器</w:t>
                  </w:r>
                </w:p>
              </w:tc>
              <w:tc>
                <w:tcPr>
                  <w:tcW w:w="3860" w:type="dxa"/>
                  <w:vAlign w:val="top"/>
                </w:tcPr>
                <w:p w14:paraId="04B76D0A">
                  <w:pPr>
                    <w:pStyle w:val="6"/>
                    <w:spacing w:before="184"/>
                    <w:ind w:left="1815"/>
                    <w:rPr>
                      <w:sz w:val="21"/>
                      <w:szCs w:val="21"/>
                    </w:rPr>
                  </w:pPr>
                  <w:r>
                    <w:rPr>
                      <w:spacing w:val="-3"/>
                      <w:sz w:val="21"/>
                      <w:szCs w:val="21"/>
                    </w:rPr>
                    <w:t>85</w:t>
                  </w:r>
                </w:p>
              </w:tc>
            </w:tr>
            <w:tr w14:paraId="46A8E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172" w:type="dxa"/>
                  <w:vMerge w:val="continue"/>
                  <w:tcBorders>
                    <w:top w:val="nil"/>
                  </w:tcBorders>
                  <w:vAlign w:val="top"/>
                </w:tcPr>
                <w:p w14:paraId="6FFD9B03">
                  <w:pPr>
                    <w:rPr>
                      <w:rFonts w:ascii="Arial"/>
                      <w:sz w:val="21"/>
                    </w:rPr>
                  </w:pPr>
                </w:p>
              </w:tc>
              <w:tc>
                <w:tcPr>
                  <w:tcW w:w="2227" w:type="dxa"/>
                  <w:vAlign w:val="top"/>
                </w:tcPr>
                <w:p w14:paraId="3C6849D4">
                  <w:pPr>
                    <w:pStyle w:val="6"/>
                    <w:spacing w:before="74" w:line="219" w:lineRule="auto"/>
                    <w:ind w:left="792"/>
                    <w:rPr>
                      <w:sz w:val="21"/>
                      <w:szCs w:val="21"/>
                    </w:rPr>
                  </w:pPr>
                  <w:r>
                    <w:rPr>
                      <w:spacing w:val="-2"/>
                      <w:sz w:val="21"/>
                      <w:szCs w:val="21"/>
                    </w:rPr>
                    <w:t>装载机</w:t>
                  </w:r>
                </w:p>
              </w:tc>
              <w:tc>
                <w:tcPr>
                  <w:tcW w:w="3860" w:type="dxa"/>
                  <w:vAlign w:val="top"/>
                </w:tcPr>
                <w:p w14:paraId="6EE495B0">
                  <w:pPr>
                    <w:pStyle w:val="6"/>
                    <w:spacing w:before="96" w:line="213" w:lineRule="auto"/>
                    <w:ind w:left="1815"/>
                    <w:rPr>
                      <w:sz w:val="21"/>
                      <w:szCs w:val="21"/>
                    </w:rPr>
                  </w:pPr>
                  <w:r>
                    <w:rPr>
                      <w:spacing w:val="-3"/>
                      <w:sz w:val="21"/>
                      <w:szCs w:val="21"/>
                    </w:rPr>
                    <w:t>90</w:t>
                  </w:r>
                </w:p>
              </w:tc>
            </w:tr>
            <w:tr w14:paraId="3F4CE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2172" w:type="dxa"/>
                  <w:vAlign w:val="top"/>
                </w:tcPr>
                <w:p w14:paraId="61A346B8">
                  <w:pPr>
                    <w:pStyle w:val="6"/>
                    <w:spacing w:before="76" w:line="219" w:lineRule="auto"/>
                    <w:ind w:left="764"/>
                    <w:rPr>
                      <w:sz w:val="21"/>
                      <w:szCs w:val="21"/>
                    </w:rPr>
                  </w:pPr>
                  <w:r>
                    <w:rPr>
                      <w:spacing w:val="2"/>
                      <w:sz w:val="21"/>
                      <w:szCs w:val="21"/>
                    </w:rPr>
                    <w:t>叠加值</w:t>
                  </w:r>
                </w:p>
              </w:tc>
              <w:tc>
                <w:tcPr>
                  <w:tcW w:w="2227" w:type="dxa"/>
                  <w:vAlign w:val="top"/>
                </w:tcPr>
                <w:p w14:paraId="66792FC3">
                  <w:pPr>
                    <w:rPr>
                      <w:rFonts w:ascii="Arial"/>
                      <w:sz w:val="21"/>
                    </w:rPr>
                  </w:pPr>
                </w:p>
              </w:tc>
              <w:tc>
                <w:tcPr>
                  <w:tcW w:w="3860" w:type="dxa"/>
                  <w:vAlign w:val="top"/>
                </w:tcPr>
                <w:p w14:paraId="2DF4D4E4">
                  <w:pPr>
                    <w:pStyle w:val="6"/>
                    <w:spacing w:before="97" w:line="207" w:lineRule="auto"/>
                    <w:ind w:left="1655"/>
                    <w:rPr>
                      <w:sz w:val="21"/>
                      <w:szCs w:val="21"/>
                    </w:rPr>
                  </w:pPr>
                  <w:r>
                    <w:rPr>
                      <w:spacing w:val="-2"/>
                      <w:sz w:val="21"/>
                      <w:szCs w:val="21"/>
                    </w:rPr>
                    <w:t>91.19</w:t>
                  </w:r>
                </w:p>
              </w:tc>
            </w:tr>
          </w:tbl>
          <w:p w14:paraId="46F69703">
            <w:pPr>
              <w:pStyle w:val="6"/>
              <w:spacing w:before="45" w:line="219" w:lineRule="auto"/>
              <w:ind w:left="710"/>
              <w:rPr>
                <w:sz w:val="24"/>
                <w:szCs w:val="24"/>
              </w:rPr>
            </w:pPr>
            <w:r>
              <w:rPr>
                <w:spacing w:val="1"/>
                <w:sz w:val="24"/>
                <w:szCs w:val="24"/>
              </w:rPr>
              <w:t>(2)预测模式</w:t>
            </w:r>
          </w:p>
          <w:p w14:paraId="2D11F392">
            <w:pPr>
              <w:pStyle w:val="6"/>
              <w:spacing w:before="164" w:line="362" w:lineRule="auto"/>
              <w:ind w:left="91" w:firstLine="459"/>
              <w:rPr>
                <w:sz w:val="24"/>
                <w:szCs w:val="24"/>
              </w:rPr>
            </w:pPr>
            <w:r>
              <w:rPr>
                <w:sz w:val="24"/>
                <w:szCs w:val="24"/>
              </w:rPr>
              <w:t>施工机械噪声可近似作为点声源处理，根据</w:t>
            </w:r>
            <w:r>
              <w:rPr>
                <w:spacing w:val="-1"/>
                <w:sz w:val="24"/>
                <w:szCs w:val="24"/>
              </w:rPr>
              <w:t>点声源噪声传播衰减模式，可估</w:t>
            </w:r>
            <w:r>
              <w:rPr>
                <w:sz w:val="24"/>
                <w:szCs w:val="24"/>
              </w:rPr>
              <w:t xml:space="preserve"> </w:t>
            </w:r>
            <w:r>
              <w:rPr>
                <w:spacing w:val="-1"/>
                <w:sz w:val="24"/>
                <w:szCs w:val="24"/>
              </w:rPr>
              <w:t>算施工期间离噪声声源不同距离处的噪声值，从而可就施工噪声对敏感点的影响</w:t>
            </w:r>
            <w:r>
              <w:rPr>
                <w:spacing w:val="17"/>
                <w:sz w:val="24"/>
                <w:szCs w:val="24"/>
              </w:rPr>
              <w:t xml:space="preserve"> </w:t>
            </w:r>
            <w:r>
              <w:rPr>
                <w:sz w:val="24"/>
                <w:szCs w:val="24"/>
              </w:rPr>
              <w:t>作出分析评价。本次预测主要考虑点声源的几何发散衰减，预</w:t>
            </w:r>
            <w:r>
              <w:rPr>
                <w:spacing w:val="-1"/>
                <w:sz w:val="24"/>
                <w:szCs w:val="24"/>
              </w:rPr>
              <w:t>测模式如下：</w:t>
            </w:r>
          </w:p>
          <w:p w14:paraId="6F06D0FC">
            <w:pPr>
              <w:pStyle w:val="6"/>
              <w:spacing w:before="11" w:line="214" w:lineRule="auto"/>
              <w:ind w:left="1271"/>
              <w:rPr>
                <w:sz w:val="24"/>
                <w:szCs w:val="24"/>
              </w:rPr>
            </w:pPr>
            <w:r>
              <w:rPr>
                <w:spacing w:val="-1"/>
                <w:sz w:val="24"/>
                <w:szCs w:val="24"/>
              </w:rPr>
              <w:t>LAα)=LAcr0)-20lg(r/ro)-△L</w:t>
            </w:r>
          </w:p>
          <w:p w14:paraId="16E9EEC5">
            <w:pPr>
              <w:pStyle w:val="6"/>
              <w:spacing w:before="176" w:line="216" w:lineRule="auto"/>
              <w:ind w:left="561"/>
              <w:rPr>
                <w:sz w:val="24"/>
                <w:szCs w:val="24"/>
              </w:rPr>
            </w:pPr>
            <w:r>
              <w:rPr>
                <w:spacing w:val="-3"/>
                <w:sz w:val="24"/>
                <w:szCs w:val="24"/>
              </w:rPr>
              <w:t>式中：LAα,—距声源r处的A声级，dB(A);</w:t>
            </w:r>
          </w:p>
          <w:p w14:paraId="49099D0B">
            <w:pPr>
              <w:pStyle w:val="6"/>
              <w:spacing w:before="193" w:line="219" w:lineRule="auto"/>
              <w:ind w:left="1271"/>
              <w:rPr>
                <w:sz w:val="24"/>
                <w:szCs w:val="24"/>
              </w:rPr>
            </w:pPr>
            <w:r>
              <w:rPr>
                <w:spacing w:val="-3"/>
                <w:sz w:val="24"/>
                <w:szCs w:val="24"/>
              </w:rPr>
              <w:t>LAcro)—参考位置ro处的A声级，dB(A);</w:t>
            </w:r>
          </w:p>
          <w:p w14:paraId="797FF202">
            <w:pPr>
              <w:pStyle w:val="6"/>
              <w:spacing w:before="176" w:line="220" w:lineRule="auto"/>
              <w:ind w:left="1261"/>
              <w:rPr>
                <w:sz w:val="24"/>
                <w:szCs w:val="24"/>
              </w:rPr>
            </w:pPr>
            <w:r>
              <w:rPr>
                <w:sz w:val="24"/>
                <w:szCs w:val="24"/>
              </w:rPr>
              <w:t>r—预测点距离声源的距离；</w:t>
            </w:r>
          </w:p>
          <w:p w14:paraId="7AD6B6CE">
            <w:pPr>
              <w:pStyle w:val="6"/>
              <w:spacing w:before="173" w:line="219" w:lineRule="auto"/>
              <w:ind w:left="1261"/>
              <w:rPr>
                <w:sz w:val="24"/>
                <w:szCs w:val="24"/>
              </w:rPr>
            </w:pPr>
            <w:r>
              <w:rPr>
                <w:sz w:val="24"/>
                <w:szCs w:val="24"/>
              </w:rPr>
              <w:t>ro—参考位置距离声源的距离；</w:t>
            </w:r>
          </w:p>
        </w:tc>
      </w:tr>
    </w:tbl>
    <w:p w14:paraId="44D44F58">
      <w:pPr>
        <w:pStyle w:val="2"/>
      </w:pPr>
    </w:p>
    <w:p w14:paraId="554329E1">
      <w:pPr>
        <w:sectPr>
          <w:footerReference r:id="rId139" w:type="default"/>
          <w:pgSz w:w="11910" w:h="16830"/>
          <w:pgMar w:top="400" w:right="1275" w:bottom="1245" w:left="1234" w:header="0" w:footer="1083" w:gutter="0"/>
          <w:cols w:space="720" w:num="1"/>
        </w:sectPr>
      </w:pPr>
    </w:p>
    <w:p w14:paraId="3EC029A1">
      <w:pPr>
        <w:spacing w:before="32" w:line="212" w:lineRule="auto"/>
        <w:ind w:left="21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L—</w:t>
      </w:r>
      <w:r>
        <w:rPr>
          <w:rFonts w:ascii="宋体" w:hAnsi="宋体" w:eastAsia="宋体" w:cs="宋体"/>
          <w:spacing w:val="-1"/>
          <w:sz w:val="24"/>
          <w:szCs w:val="24"/>
        </w:rPr>
        <w:t>声屏障等引起的噪声衰减量，</w:t>
      </w:r>
      <w:r>
        <w:rPr>
          <w:rFonts w:ascii="Times New Roman" w:hAnsi="Times New Roman" w:eastAsia="Times New Roman" w:cs="Times New Roman"/>
          <w:spacing w:val="-1"/>
          <w:sz w:val="24"/>
          <w:szCs w:val="24"/>
        </w:rPr>
        <w:t xml:space="preserve">dB(A),   </w:t>
      </w:r>
      <w:r>
        <w:rPr>
          <w:rFonts w:ascii="宋体" w:hAnsi="宋体" w:eastAsia="宋体" w:cs="宋体"/>
          <w:spacing w:val="-1"/>
          <w:sz w:val="24"/>
          <w:szCs w:val="24"/>
        </w:rPr>
        <w:t>本</w:t>
      </w:r>
      <w:r>
        <w:rPr>
          <w:rFonts w:ascii="宋体" w:hAnsi="宋体" w:eastAsia="宋体" w:cs="宋体"/>
          <w:spacing w:val="-2"/>
          <w:sz w:val="24"/>
          <w:szCs w:val="24"/>
        </w:rPr>
        <w:t>次取</w:t>
      </w:r>
      <w:r>
        <w:rPr>
          <w:rFonts w:ascii="Times New Roman" w:hAnsi="Times New Roman" w:eastAsia="Times New Roman" w:cs="Times New Roman"/>
          <w:spacing w:val="-2"/>
          <w:sz w:val="24"/>
          <w:szCs w:val="24"/>
        </w:rPr>
        <w:t>0</w:t>
      </w:r>
      <w:r>
        <w:rPr>
          <w:rFonts w:ascii="宋体" w:hAnsi="宋体" w:eastAsia="宋体" w:cs="宋体"/>
          <w:spacing w:val="-2"/>
          <w:sz w:val="24"/>
          <w:szCs w:val="24"/>
        </w:rPr>
        <w:t>。</w:t>
      </w:r>
    </w:p>
    <w:p w14:paraId="1CF2F030">
      <w:pPr>
        <w:spacing w:before="202" w:line="220" w:lineRule="auto"/>
        <w:ind w:left="1630"/>
        <w:rPr>
          <w:rFonts w:ascii="宋体" w:hAnsi="宋体" w:eastAsia="宋体" w:cs="宋体"/>
          <w:sz w:val="24"/>
          <w:szCs w:val="24"/>
        </w:rPr>
      </w:pPr>
      <w:r>
        <w:rPr>
          <w:rFonts w:ascii="宋体" w:hAnsi="宋体" w:eastAsia="宋体" w:cs="宋体"/>
          <w:spacing w:val="14"/>
          <w:sz w:val="24"/>
          <w:szCs w:val="24"/>
        </w:rPr>
        <w:t>(3)预测结果</w:t>
      </w:r>
    </w:p>
    <w:p w14:paraId="205812ED">
      <w:pPr>
        <w:spacing w:before="190" w:line="351" w:lineRule="auto"/>
        <w:ind w:left="1009" w:right="124" w:firstLine="489"/>
        <w:rPr>
          <w:rFonts w:ascii="宋体" w:hAnsi="宋体" w:eastAsia="宋体" w:cs="宋体"/>
          <w:sz w:val="24"/>
          <w:szCs w:val="24"/>
        </w:rPr>
      </w:pPr>
      <w:r>
        <w:rPr>
          <w:rFonts w:ascii="宋体" w:hAnsi="宋体" w:eastAsia="宋体" w:cs="宋体"/>
          <w:spacing w:val="-4"/>
          <w:sz w:val="24"/>
          <w:szCs w:val="24"/>
        </w:rPr>
        <w:t>本次评价采用下述公式计算各工程施工区域，机械作业对周边声环境保护目</w:t>
      </w:r>
      <w:r>
        <w:rPr>
          <w:rFonts w:ascii="宋体" w:hAnsi="宋体" w:eastAsia="宋体" w:cs="宋体"/>
          <w:spacing w:val="16"/>
          <w:sz w:val="24"/>
          <w:szCs w:val="24"/>
        </w:rPr>
        <w:t xml:space="preserve"> </w:t>
      </w:r>
      <w:r>
        <w:rPr>
          <w:rFonts w:ascii="宋体" w:hAnsi="宋体" w:eastAsia="宋体" w:cs="宋体"/>
          <w:spacing w:val="-5"/>
          <w:sz w:val="24"/>
          <w:szCs w:val="24"/>
        </w:rPr>
        <w:t>标的影响如下：</w:t>
      </w:r>
    </w:p>
    <w:p w14:paraId="7C62DC1E">
      <w:pPr>
        <w:spacing w:before="40" w:line="620" w:lineRule="exact"/>
        <w:ind w:firstLine="4269"/>
      </w:pPr>
      <w:r>
        <w:rPr>
          <w:position w:val="-12"/>
        </w:rPr>
        <w:drawing>
          <wp:inline distT="0" distB="0" distL="0" distR="0">
            <wp:extent cx="1143000" cy="393065"/>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301"/>
                    <a:stretch>
                      <a:fillRect/>
                    </a:stretch>
                  </pic:blipFill>
                  <pic:spPr>
                    <a:xfrm>
                      <a:off x="0" y="0"/>
                      <a:ext cx="1143396" cy="393677"/>
                    </a:xfrm>
                    <a:prstGeom prst="rect">
                      <a:avLst/>
                    </a:prstGeom>
                  </pic:spPr>
                </pic:pic>
              </a:graphicData>
            </a:graphic>
          </wp:inline>
        </w:drawing>
      </w:r>
    </w:p>
    <w:p w14:paraId="2C1F79B5">
      <w:pPr>
        <w:spacing w:before="219" w:line="219" w:lineRule="auto"/>
        <w:ind w:left="1499"/>
        <w:rPr>
          <w:rFonts w:ascii="宋体" w:hAnsi="宋体" w:eastAsia="宋体" w:cs="宋体"/>
          <w:sz w:val="24"/>
          <w:szCs w:val="24"/>
        </w:rPr>
      </w:pPr>
      <w:r>
        <w:rPr>
          <w:rFonts w:ascii="宋体" w:hAnsi="宋体" w:eastAsia="宋体" w:cs="宋体"/>
          <w:spacing w:val="-3"/>
          <w:sz w:val="24"/>
          <w:szCs w:val="24"/>
        </w:rPr>
        <w:t>式中：</w:t>
      </w:r>
      <w:r>
        <w:rPr>
          <w:rFonts w:ascii="Times New Roman" w:hAnsi="Times New Roman" w:eastAsia="Times New Roman" w:cs="Times New Roman"/>
          <w:spacing w:val="-3"/>
          <w:sz w:val="24"/>
          <w:szCs w:val="24"/>
        </w:rPr>
        <w:t xml:space="preserve">L---   </w:t>
      </w:r>
      <w:r>
        <w:rPr>
          <w:rFonts w:ascii="宋体" w:hAnsi="宋体" w:eastAsia="宋体" w:cs="宋体"/>
          <w:spacing w:val="-3"/>
          <w:sz w:val="24"/>
          <w:szCs w:val="24"/>
        </w:rPr>
        <w:t>第</w:t>
      </w:r>
      <w:r>
        <w:rPr>
          <w:rFonts w:ascii="宋体" w:hAnsi="宋体" w:eastAsia="宋体" w:cs="宋体"/>
          <w:spacing w:val="-65"/>
          <w:sz w:val="24"/>
          <w:szCs w:val="24"/>
        </w:rPr>
        <w:t xml:space="preserve"> </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20"/>
          <w:w w:val="101"/>
          <w:sz w:val="24"/>
          <w:szCs w:val="24"/>
        </w:rPr>
        <w:t xml:space="preserve"> </w:t>
      </w:r>
      <w:r>
        <w:rPr>
          <w:rFonts w:ascii="宋体" w:hAnsi="宋体" w:eastAsia="宋体" w:cs="宋体"/>
          <w:spacing w:val="-3"/>
          <w:sz w:val="24"/>
          <w:szCs w:val="24"/>
        </w:rPr>
        <w:t>个声源在预测点之声级；</w:t>
      </w:r>
    </w:p>
    <w:p w14:paraId="250DC13C">
      <w:pPr>
        <w:spacing w:before="186" w:line="219" w:lineRule="auto"/>
        <w:ind w:left="2199"/>
        <w:rPr>
          <w:rFonts w:ascii="宋体" w:hAnsi="宋体" w:eastAsia="宋体" w:cs="宋体"/>
          <w:sz w:val="24"/>
          <w:szCs w:val="24"/>
        </w:rPr>
      </w:pPr>
      <w:r>
        <w:rPr>
          <w:rFonts w:ascii="Times New Roman" w:hAnsi="Times New Roman" w:eastAsia="Times New Roman" w:cs="Times New Roman"/>
          <w:spacing w:val="-14"/>
          <w:sz w:val="24"/>
          <w:szCs w:val="24"/>
        </w:rPr>
        <w:t>LA---</w:t>
      </w:r>
      <w:r>
        <w:rPr>
          <w:rFonts w:ascii="Times New Roman" w:hAnsi="Times New Roman" w:eastAsia="Times New Roman" w:cs="Times New Roman"/>
          <w:spacing w:val="20"/>
          <w:sz w:val="24"/>
          <w:szCs w:val="24"/>
        </w:rPr>
        <w:t xml:space="preserve">  </w:t>
      </w:r>
      <w:r>
        <w:rPr>
          <w:rFonts w:ascii="宋体" w:hAnsi="宋体" w:eastAsia="宋体" w:cs="宋体"/>
          <w:spacing w:val="-14"/>
          <w:sz w:val="24"/>
          <w:szCs w:val="24"/>
        </w:rPr>
        <w:t>某预测点噪声总叠加值；</w:t>
      </w:r>
    </w:p>
    <w:p w14:paraId="619784FA">
      <w:pPr>
        <w:spacing w:before="175" w:line="219" w:lineRule="auto"/>
        <w:ind w:left="2209"/>
        <w:rPr>
          <w:rFonts w:ascii="宋体" w:hAnsi="宋体" w:eastAsia="宋体" w:cs="宋体"/>
          <w:sz w:val="24"/>
          <w:szCs w:val="24"/>
        </w:rPr>
      </w:pPr>
      <w:r>
        <w:rPr>
          <w:rFonts w:ascii="Times New Roman" w:hAnsi="Times New Roman" w:eastAsia="Times New Roman" w:cs="Times New Roman"/>
          <w:spacing w:val="-18"/>
          <w:sz w:val="24"/>
          <w:szCs w:val="24"/>
        </w:rPr>
        <w:t>n</w:t>
      </w:r>
      <w:r>
        <w:rPr>
          <w:rFonts w:ascii="宋体" w:hAnsi="宋体" w:eastAsia="宋体" w:cs="宋体"/>
          <w:spacing w:val="-18"/>
          <w:sz w:val="24"/>
          <w:szCs w:val="24"/>
        </w:rPr>
        <w:t>---声源个数。</w:t>
      </w:r>
    </w:p>
    <w:p w14:paraId="2AACE5D9">
      <w:pPr>
        <w:spacing w:before="172" w:line="359" w:lineRule="auto"/>
        <w:ind w:left="1009" w:right="123" w:firstLine="489"/>
        <w:jc w:val="both"/>
        <w:rPr>
          <w:rFonts w:ascii="宋体" w:hAnsi="宋体" w:eastAsia="宋体" w:cs="宋体"/>
          <w:sz w:val="24"/>
          <w:szCs w:val="24"/>
        </w:rPr>
      </w:pPr>
      <w:r>
        <w:rPr>
          <w:rFonts w:ascii="宋体" w:hAnsi="宋体" w:eastAsia="宋体" w:cs="宋体"/>
          <w:sz w:val="24"/>
          <w:szCs w:val="24"/>
        </w:rPr>
        <w:t>本项目升压站周边200</w:t>
      </w:r>
      <w:r>
        <w:rPr>
          <w:rFonts w:ascii="Times New Roman" w:hAnsi="Times New Roman" w:eastAsia="Times New Roman" w:cs="Times New Roman"/>
          <w:sz w:val="24"/>
          <w:szCs w:val="24"/>
        </w:rPr>
        <w:t xml:space="preserve">m </w:t>
      </w:r>
      <w:r>
        <w:rPr>
          <w:rFonts w:ascii="宋体" w:hAnsi="宋体" w:eastAsia="宋体" w:cs="宋体"/>
          <w:sz w:val="24"/>
          <w:szCs w:val="24"/>
        </w:rPr>
        <w:t>范围内没有声环境保护目标，根据</w:t>
      </w:r>
      <w:r>
        <w:rPr>
          <w:rFonts w:ascii="宋体" w:hAnsi="宋体" w:eastAsia="宋体" w:cs="宋体"/>
          <w:spacing w:val="-1"/>
          <w:sz w:val="24"/>
          <w:szCs w:val="24"/>
        </w:rPr>
        <w:t>上表对升压站施</w:t>
      </w:r>
      <w:r>
        <w:rPr>
          <w:rFonts w:ascii="宋体" w:hAnsi="宋体" w:eastAsia="宋体" w:cs="宋体"/>
          <w:sz w:val="24"/>
          <w:szCs w:val="24"/>
        </w:rPr>
        <w:t xml:space="preserve"> </w:t>
      </w:r>
      <w:r>
        <w:rPr>
          <w:rFonts w:ascii="宋体" w:hAnsi="宋体" w:eastAsia="宋体" w:cs="宋体"/>
          <w:spacing w:val="11"/>
          <w:sz w:val="24"/>
          <w:szCs w:val="24"/>
        </w:rPr>
        <w:t>工的产噪声设备的声源的叠加，升压站施工</w:t>
      </w:r>
      <w:r>
        <w:rPr>
          <w:rFonts w:ascii="宋体" w:hAnsi="宋体" w:eastAsia="宋体" w:cs="宋体"/>
          <w:spacing w:val="10"/>
          <w:sz w:val="24"/>
          <w:szCs w:val="24"/>
        </w:rPr>
        <w:t>时，65</w:t>
      </w:r>
      <w:r>
        <w:rPr>
          <w:rFonts w:ascii="Times New Roman" w:hAnsi="Times New Roman" w:eastAsia="Times New Roman" w:cs="Times New Roman"/>
          <w:spacing w:val="10"/>
          <w:sz w:val="24"/>
          <w:szCs w:val="24"/>
        </w:rPr>
        <w:t xml:space="preserve">m </w:t>
      </w:r>
      <w:r>
        <w:rPr>
          <w:rFonts w:ascii="宋体" w:hAnsi="宋体" w:eastAsia="宋体" w:cs="宋体"/>
          <w:spacing w:val="10"/>
          <w:sz w:val="24"/>
          <w:szCs w:val="24"/>
        </w:rPr>
        <w:t>处声环境质量可以达到</w:t>
      </w:r>
      <w:r>
        <w:rPr>
          <w:rFonts w:ascii="宋体" w:hAnsi="宋体" w:eastAsia="宋体" w:cs="宋体"/>
          <w:sz w:val="24"/>
          <w:szCs w:val="24"/>
        </w:rPr>
        <w:t xml:space="preserve"> </w:t>
      </w:r>
      <w:r>
        <w:rPr>
          <w:rFonts w:ascii="宋体" w:hAnsi="宋体" w:eastAsia="宋体" w:cs="宋体"/>
          <w:spacing w:val="1"/>
          <w:sz w:val="24"/>
          <w:szCs w:val="24"/>
        </w:rPr>
        <w:t>54.9</w:t>
      </w:r>
      <w:r>
        <w:rPr>
          <w:rFonts w:ascii="Times New Roman" w:hAnsi="Times New Roman" w:eastAsia="Times New Roman" w:cs="Times New Roman"/>
          <w:sz w:val="24"/>
          <w:szCs w:val="24"/>
        </w:rPr>
        <w:t>dB</w:t>
      </w:r>
      <w:r>
        <w:rPr>
          <w:rFonts w:ascii="Times New Roman" w:hAnsi="Times New Roman" w:eastAsia="Times New Roman" w:cs="Times New Roman"/>
          <w:spacing w:val="1"/>
          <w:sz w:val="24"/>
          <w:szCs w:val="24"/>
        </w:rPr>
        <w:t xml:space="preserve">(A),        </w:t>
      </w:r>
      <w:r>
        <w:rPr>
          <w:rFonts w:ascii="宋体" w:hAnsi="宋体" w:eastAsia="宋体" w:cs="宋体"/>
          <w:spacing w:val="1"/>
          <w:sz w:val="24"/>
          <w:szCs w:val="24"/>
        </w:rPr>
        <w:t>满足《声环境质量标准》中的</w:t>
      </w:r>
      <w:r>
        <w:rPr>
          <w:rFonts w:ascii="Times New Roman" w:hAnsi="Times New Roman" w:eastAsia="Times New Roman" w:cs="Times New Roman"/>
          <w:spacing w:val="1"/>
          <w:sz w:val="24"/>
          <w:szCs w:val="24"/>
        </w:rPr>
        <w:t>1</w:t>
      </w:r>
      <w:r>
        <w:rPr>
          <w:rFonts w:ascii="宋体" w:hAnsi="宋体" w:eastAsia="宋体" w:cs="宋体"/>
          <w:spacing w:val="1"/>
          <w:sz w:val="24"/>
          <w:szCs w:val="24"/>
        </w:rPr>
        <w:t>类区要求。故本项目升压站施工</w:t>
      </w:r>
      <w:r>
        <w:rPr>
          <w:rFonts w:ascii="宋体" w:hAnsi="宋体" w:eastAsia="宋体" w:cs="宋体"/>
          <w:spacing w:val="14"/>
          <w:sz w:val="24"/>
          <w:szCs w:val="24"/>
        </w:rPr>
        <w:t xml:space="preserve"> </w:t>
      </w:r>
      <w:r>
        <w:rPr>
          <w:rFonts w:ascii="宋体" w:hAnsi="宋体" w:eastAsia="宋体" w:cs="宋体"/>
          <w:spacing w:val="-3"/>
          <w:sz w:val="24"/>
          <w:szCs w:val="24"/>
        </w:rPr>
        <w:t>对声环境的影响较小。</w:t>
      </w:r>
    </w:p>
    <w:p w14:paraId="651DB843">
      <w:pPr>
        <w:spacing w:line="141" w:lineRule="exact"/>
      </w:pPr>
    </w:p>
    <w:tbl>
      <w:tblPr>
        <w:tblStyle w:val="5"/>
        <w:tblW w:w="9270" w:type="dxa"/>
        <w:tblInd w:w="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80"/>
        <w:gridCol w:w="290"/>
        <w:gridCol w:w="1169"/>
        <w:gridCol w:w="1438"/>
        <w:gridCol w:w="1109"/>
        <w:gridCol w:w="919"/>
        <w:gridCol w:w="759"/>
        <w:gridCol w:w="1229"/>
        <w:gridCol w:w="809"/>
        <w:gridCol w:w="584"/>
      </w:tblGrid>
      <w:tr w14:paraId="0CAEA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84" w:type="dxa"/>
            <w:vMerge w:val="restart"/>
            <w:tcBorders>
              <w:bottom w:val="nil"/>
            </w:tcBorders>
            <w:vAlign w:val="top"/>
          </w:tcPr>
          <w:p w14:paraId="1427B164">
            <w:pPr>
              <w:rPr>
                <w:rFonts w:ascii="Arial"/>
                <w:sz w:val="21"/>
              </w:rPr>
            </w:pPr>
          </w:p>
        </w:tc>
        <w:tc>
          <w:tcPr>
            <w:tcW w:w="8386" w:type="dxa"/>
            <w:gridSpan w:val="10"/>
            <w:vAlign w:val="top"/>
          </w:tcPr>
          <w:p w14:paraId="5D499E2B">
            <w:pPr>
              <w:pStyle w:val="6"/>
              <w:spacing w:before="29" w:line="207" w:lineRule="auto"/>
              <w:ind w:left="443"/>
              <w:rPr>
                <w:sz w:val="21"/>
                <w:szCs w:val="21"/>
              </w:rPr>
            </w:pPr>
            <w:r>
              <w:rPr>
                <w:b/>
                <w:bCs/>
                <w:spacing w:val="-2"/>
                <w:sz w:val="21"/>
                <w:szCs w:val="21"/>
              </w:rPr>
              <w:t>表4-6</w:t>
            </w:r>
            <w:r>
              <w:rPr>
                <w:spacing w:val="-2"/>
                <w:sz w:val="21"/>
                <w:szCs w:val="21"/>
              </w:rPr>
              <w:t xml:space="preserve">   </w:t>
            </w:r>
            <w:r>
              <w:rPr>
                <w:b/>
                <w:bCs/>
                <w:spacing w:val="-2"/>
                <w:sz w:val="21"/>
                <w:szCs w:val="21"/>
              </w:rPr>
              <w:t>施工期光伏施工对声环境保护目标噪声预</w:t>
            </w:r>
            <w:r>
              <w:rPr>
                <w:b/>
                <w:bCs/>
                <w:spacing w:val="-3"/>
                <w:sz w:val="21"/>
                <w:szCs w:val="21"/>
              </w:rPr>
              <w:t>测结果与达标分析表</w:t>
            </w:r>
          </w:p>
        </w:tc>
      </w:tr>
      <w:tr w14:paraId="60F18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884" w:type="dxa"/>
            <w:vMerge w:val="continue"/>
            <w:tcBorders>
              <w:top w:val="nil"/>
              <w:bottom w:val="nil"/>
            </w:tcBorders>
            <w:vAlign w:val="top"/>
          </w:tcPr>
          <w:p w14:paraId="39DB10D3">
            <w:pPr>
              <w:rPr>
                <w:rFonts w:ascii="Arial"/>
                <w:sz w:val="21"/>
              </w:rPr>
            </w:pPr>
          </w:p>
        </w:tc>
        <w:tc>
          <w:tcPr>
            <w:tcW w:w="80" w:type="dxa"/>
            <w:tcBorders>
              <w:bottom w:val="nil"/>
            </w:tcBorders>
            <w:shd w:val="clear" w:color="auto" w:fill="FFFFFF"/>
            <w:vAlign w:val="top"/>
          </w:tcPr>
          <w:p w14:paraId="627E0B9B">
            <w:pPr>
              <w:rPr>
                <w:rFonts w:ascii="Arial"/>
                <w:sz w:val="21"/>
              </w:rPr>
            </w:pPr>
          </w:p>
        </w:tc>
        <w:tc>
          <w:tcPr>
            <w:tcW w:w="1459" w:type="dxa"/>
            <w:gridSpan w:val="2"/>
            <w:vAlign w:val="top"/>
          </w:tcPr>
          <w:p w14:paraId="44836955">
            <w:pPr>
              <w:pStyle w:val="6"/>
              <w:spacing w:before="309" w:line="220" w:lineRule="auto"/>
              <w:ind w:left="311"/>
              <w:rPr>
                <w:sz w:val="21"/>
                <w:szCs w:val="21"/>
              </w:rPr>
            </w:pPr>
            <w:r>
              <w:rPr>
                <w:spacing w:val="-2"/>
                <w:sz w:val="21"/>
                <w:szCs w:val="21"/>
              </w:rPr>
              <w:t>保护目标</w:t>
            </w:r>
          </w:p>
        </w:tc>
        <w:tc>
          <w:tcPr>
            <w:tcW w:w="1438" w:type="dxa"/>
            <w:vAlign w:val="top"/>
          </w:tcPr>
          <w:p w14:paraId="45365DE0">
            <w:pPr>
              <w:pStyle w:val="6"/>
              <w:spacing w:before="17" w:line="232" w:lineRule="auto"/>
              <w:ind w:left="132" w:right="67" w:hanging="50"/>
              <w:jc w:val="both"/>
              <w:rPr>
                <w:sz w:val="21"/>
                <w:szCs w:val="21"/>
              </w:rPr>
            </w:pPr>
            <w:r>
              <w:rPr>
                <w:spacing w:val="3"/>
                <w:sz w:val="21"/>
                <w:szCs w:val="21"/>
              </w:rPr>
              <w:t>与光伏阵列区</w:t>
            </w:r>
            <w:r>
              <w:rPr>
                <w:sz w:val="21"/>
                <w:szCs w:val="21"/>
              </w:rPr>
              <w:t xml:space="preserve"> (施工场地边</w:t>
            </w:r>
            <w:r>
              <w:rPr>
                <w:spacing w:val="1"/>
                <w:sz w:val="21"/>
                <w:szCs w:val="21"/>
              </w:rPr>
              <w:t xml:space="preserve"> </w:t>
            </w:r>
            <w:r>
              <w:rPr>
                <w:spacing w:val="2"/>
                <w:sz w:val="21"/>
                <w:szCs w:val="21"/>
              </w:rPr>
              <w:t>界)位置关系</w:t>
            </w:r>
          </w:p>
        </w:tc>
        <w:tc>
          <w:tcPr>
            <w:tcW w:w="1109" w:type="dxa"/>
            <w:vAlign w:val="top"/>
          </w:tcPr>
          <w:p w14:paraId="650A121C">
            <w:pPr>
              <w:pStyle w:val="6"/>
              <w:spacing w:before="158" w:line="239" w:lineRule="auto"/>
              <w:ind w:left="74" w:right="32" w:hanging="50"/>
              <w:rPr>
                <w:sz w:val="21"/>
                <w:szCs w:val="21"/>
              </w:rPr>
            </w:pPr>
            <w:r>
              <w:rPr>
                <w:spacing w:val="-2"/>
                <w:sz w:val="21"/>
                <w:szCs w:val="21"/>
              </w:rPr>
              <w:t>施工噪声贡</w:t>
            </w:r>
            <w:r>
              <w:rPr>
                <w:spacing w:val="1"/>
                <w:sz w:val="21"/>
                <w:szCs w:val="21"/>
              </w:rPr>
              <w:t xml:space="preserve"> </w:t>
            </w:r>
            <w:r>
              <w:rPr>
                <w:spacing w:val="8"/>
                <w:sz w:val="21"/>
                <w:szCs w:val="21"/>
              </w:rPr>
              <w:t>献值</w:t>
            </w:r>
            <w:r>
              <w:rPr>
                <w:sz w:val="21"/>
                <w:szCs w:val="21"/>
              </w:rPr>
              <w:t>dB</w:t>
            </w:r>
            <w:r>
              <w:rPr>
                <w:spacing w:val="8"/>
                <w:sz w:val="21"/>
                <w:szCs w:val="21"/>
              </w:rPr>
              <w:t>(A)</w:t>
            </w:r>
          </w:p>
        </w:tc>
        <w:tc>
          <w:tcPr>
            <w:tcW w:w="919" w:type="dxa"/>
            <w:vAlign w:val="top"/>
          </w:tcPr>
          <w:p w14:paraId="7AFA1069">
            <w:pPr>
              <w:pStyle w:val="6"/>
              <w:spacing w:before="167" w:line="253" w:lineRule="auto"/>
              <w:ind w:left="184" w:right="155" w:hanging="50"/>
              <w:rPr>
                <w:sz w:val="21"/>
                <w:szCs w:val="21"/>
              </w:rPr>
            </w:pPr>
            <w:r>
              <w:rPr>
                <w:spacing w:val="-4"/>
                <w:sz w:val="21"/>
                <w:szCs w:val="21"/>
              </w:rPr>
              <w:t>背景值</w:t>
            </w:r>
            <w:r>
              <w:rPr>
                <w:sz w:val="21"/>
                <w:szCs w:val="21"/>
              </w:rPr>
              <w:t xml:space="preserve"> </w:t>
            </w:r>
            <w:r>
              <w:rPr>
                <w:spacing w:val="-2"/>
                <w:sz w:val="21"/>
                <w:szCs w:val="21"/>
              </w:rPr>
              <w:t>dB(A)</w:t>
            </w:r>
          </w:p>
        </w:tc>
        <w:tc>
          <w:tcPr>
            <w:tcW w:w="759" w:type="dxa"/>
            <w:vAlign w:val="top"/>
          </w:tcPr>
          <w:p w14:paraId="1F526CB3">
            <w:pPr>
              <w:pStyle w:val="6"/>
              <w:spacing w:before="167" w:line="253" w:lineRule="auto"/>
              <w:ind w:left="105" w:right="72" w:hanging="50"/>
              <w:rPr>
                <w:sz w:val="21"/>
                <w:szCs w:val="21"/>
              </w:rPr>
            </w:pPr>
            <w:r>
              <w:rPr>
                <w:spacing w:val="-4"/>
                <w:sz w:val="21"/>
                <w:szCs w:val="21"/>
              </w:rPr>
              <w:t>预测值</w:t>
            </w:r>
            <w:r>
              <w:rPr>
                <w:spacing w:val="1"/>
                <w:sz w:val="21"/>
                <w:szCs w:val="21"/>
              </w:rPr>
              <w:t xml:space="preserve"> </w:t>
            </w:r>
            <w:r>
              <w:rPr>
                <w:spacing w:val="-2"/>
                <w:sz w:val="21"/>
                <w:szCs w:val="21"/>
              </w:rPr>
              <w:t>dB(A)</w:t>
            </w:r>
          </w:p>
        </w:tc>
        <w:tc>
          <w:tcPr>
            <w:tcW w:w="1229" w:type="dxa"/>
            <w:vAlign w:val="top"/>
          </w:tcPr>
          <w:p w14:paraId="6ACDBE1D">
            <w:pPr>
              <w:pStyle w:val="6"/>
              <w:spacing w:before="167" w:line="262" w:lineRule="auto"/>
              <w:ind w:left="306" w:right="90" w:hanging="220"/>
              <w:rPr>
                <w:sz w:val="21"/>
                <w:szCs w:val="21"/>
              </w:rPr>
            </w:pPr>
            <w:r>
              <w:rPr>
                <w:spacing w:val="-2"/>
                <w:sz w:val="21"/>
                <w:szCs w:val="21"/>
              </w:rPr>
              <w:t>较现状增量</w:t>
            </w:r>
            <w:r>
              <w:rPr>
                <w:sz w:val="21"/>
                <w:szCs w:val="21"/>
              </w:rPr>
              <w:t xml:space="preserve"> </w:t>
            </w:r>
            <w:r>
              <w:rPr>
                <w:spacing w:val="-2"/>
                <w:sz w:val="21"/>
                <w:szCs w:val="21"/>
              </w:rPr>
              <w:t>dB(A)</w:t>
            </w:r>
          </w:p>
        </w:tc>
        <w:tc>
          <w:tcPr>
            <w:tcW w:w="809" w:type="dxa"/>
            <w:vAlign w:val="top"/>
          </w:tcPr>
          <w:p w14:paraId="0D2BFDF1">
            <w:pPr>
              <w:pStyle w:val="6"/>
              <w:spacing w:before="167" w:line="253" w:lineRule="auto"/>
              <w:ind w:left="138" w:right="89" w:hanging="50"/>
              <w:rPr>
                <w:sz w:val="21"/>
                <w:szCs w:val="21"/>
              </w:rPr>
            </w:pPr>
            <w:r>
              <w:rPr>
                <w:spacing w:val="-4"/>
                <w:sz w:val="21"/>
                <w:szCs w:val="21"/>
              </w:rPr>
              <w:t>标准值</w:t>
            </w:r>
            <w:r>
              <w:rPr>
                <w:spacing w:val="1"/>
                <w:sz w:val="21"/>
                <w:szCs w:val="21"/>
              </w:rPr>
              <w:t xml:space="preserve"> </w:t>
            </w:r>
            <w:r>
              <w:rPr>
                <w:spacing w:val="-2"/>
                <w:sz w:val="21"/>
                <w:szCs w:val="21"/>
              </w:rPr>
              <w:t>dB(A)</w:t>
            </w:r>
          </w:p>
        </w:tc>
        <w:tc>
          <w:tcPr>
            <w:tcW w:w="584" w:type="dxa"/>
            <w:vAlign w:val="top"/>
          </w:tcPr>
          <w:p w14:paraId="04C07839">
            <w:pPr>
              <w:pStyle w:val="6"/>
              <w:spacing w:before="129" w:line="220" w:lineRule="auto"/>
              <w:ind w:left="79"/>
              <w:rPr>
                <w:sz w:val="21"/>
                <w:szCs w:val="21"/>
              </w:rPr>
            </w:pPr>
            <w:r>
              <w:rPr>
                <w:spacing w:val="-2"/>
                <w:sz w:val="21"/>
                <w:szCs w:val="21"/>
              </w:rPr>
              <w:t>达标</w:t>
            </w:r>
          </w:p>
          <w:p w14:paraId="0DC45042">
            <w:pPr>
              <w:pStyle w:val="6"/>
              <w:spacing w:before="49" w:line="220" w:lineRule="auto"/>
              <w:ind w:left="79"/>
              <w:rPr>
                <w:sz w:val="21"/>
                <w:szCs w:val="21"/>
              </w:rPr>
            </w:pPr>
            <w:r>
              <w:rPr>
                <w:spacing w:val="-3"/>
                <w:sz w:val="21"/>
                <w:szCs w:val="21"/>
              </w:rPr>
              <w:t>情况</w:t>
            </w:r>
          </w:p>
        </w:tc>
      </w:tr>
      <w:tr w14:paraId="65528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884" w:type="dxa"/>
            <w:vMerge w:val="continue"/>
            <w:tcBorders>
              <w:top w:val="nil"/>
              <w:bottom w:val="nil"/>
            </w:tcBorders>
            <w:vAlign w:val="top"/>
          </w:tcPr>
          <w:p w14:paraId="516FF6F2">
            <w:pPr>
              <w:rPr>
                <w:rFonts w:ascii="Arial"/>
                <w:sz w:val="21"/>
              </w:rPr>
            </w:pPr>
          </w:p>
        </w:tc>
        <w:tc>
          <w:tcPr>
            <w:tcW w:w="80" w:type="dxa"/>
            <w:tcBorders>
              <w:top w:val="nil"/>
              <w:bottom w:val="nil"/>
            </w:tcBorders>
            <w:shd w:val="clear" w:color="auto" w:fill="FFFFFF"/>
            <w:vAlign w:val="top"/>
          </w:tcPr>
          <w:p w14:paraId="59407BCC">
            <w:pPr>
              <w:rPr>
                <w:rFonts w:ascii="Arial"/>
                <w:sz w:val="21"/>
              </w:rPr>
            </w:pPr>
          </w:p>
        </w:tc>
        <w:tc>
          <w:tcPr>
            <w:tcW w:w="290" w:type="dxa"/>
            <w:vAlign w:val="top"/>
          </w:tcPr>
          <w:p w14:paraId="4B83F7FA">
            <w:pPr>
              <w:spacing w:line="310" w:lineRule="auto"/>
              <w:rPr>
                <w:rFonts w:ascii="Arial"/>
                <w:sz w:val="21"/>
              </w:rPr>
            </w:pPr>
          </w:p>
          <w:p w14:paraId="23B88B05">
            <w:pPr>
              <w:pStyle w:val="6"/>
              <w:spacing w:before="68" w:line="241" w:lineRule="auto"/>
              <w:ind w:left="80"/>
              <w:rPr>
                <w:sz w:val="21"/>
                <w:szCs w:val="21"/>
              </w:rPr>
            </w:pPr>
            <w:r>
              <w:rPr>
                <w:sz w:val="21"/>
                <w:szCs w:val="21"/>
              </w:rPr>
              <w:t>1</w:t>
            </w:r>
          </w:p>
        </w:tc>
        <w:tc>
          <w:tcPr>
            <w:tcW w:w="1169" w:type="dxa"/>
            <w:vAlign w:val="top"/>
          </w:tcPr>
          <w:p w14:paraId="328C6249">
            <w:pPr>
              <w:pStyle w:val="6"/>
              <w:spacing w:before="8" w:line="203" w:lineRule="auto"/>
              <w:jc w:val="right"/>
              <w:rPr>
                <w:sz w:val="21"/>
                <w:szCs w:val="21"/>
              </w:rPr>
            </w:pPr>
            <w:r>
              <w:rPr>
                <w:spacing w:val="-2"/>
                <w:sz w:val="21"/>
                <w:szCs w:val="21"/>
              </w:rPr>
              <w:t>栗树园村(在</w:t>
            </w:r>
          </w:p>
          <w:p w14:paraId="0C77E02B">
            <w:pPr>
              <w:pStyle w:val="6"/>
              <w:spacing w:line="194" w:lineRule="auto"/>
              <w:jc w:val="right"/>
              <w:rPr>
                <w:sz w:val="21"/>
                <w:szCs w:val="21"/>
              </w:rPr>
            </w:pPr>
            <w:r>
              <w:rPr>
                <w:spacing w:val="-17"/>
                <w:w w:val="98"/>
                <w:sz w:val="21"/>
                <w:szCs w:val="21"/>
              </w:rPr>
              <w:t>福昆</w:t>
            </w:r>
            <w:r>
              <w:rPr>
                <w:spacing w:val="-16"/>
                <w:w w:val="98"/>
                <w:sz w:val="21"/>
                <w:szCs w:val="21"/>
              </w:rPr>
              <w:t>线道路</w:t>
            </w:r>
            <w:r>
              <w:rPr>
                <w:spacing w:val="-8"/>
                <w:w w:val="98"/>
                <w:sz w:val="21"/>
                <w:szCs w:val="21"/>
              </w:rPr>
              <w:t>边</w:t>
            </w:r>
          </w:p>
          <w:p w14:paraId="0C9FE2AF">
            <w:pPr>
              <w:pStyle w:val="6"/>
              <w:spacing w:line="219" w:lineRule="auto"/>
              <w:ind w:left="101"/>
              <w:rPr>
                <w:sz w:val="21"/>
                <w:szCs w:val="21"/>
              </w:rPr>
            </w:pPr>
            <w:r>
              <w:rPr>
                <w:spacing w:val="2"/>
                <w:sz w:val="21"/>
                <w:szCs w:val="21"/>
              </w:rPr>
              <w:t>界55m范围</w:t>
            </w:r>
          </w:p>
          <w:p w14:paraId="5303F20D">
            <w:pPr>
              <w:pStyle w:val="6"/>
              <w:spacing w:line="184" w:lineRule="auto"/>
              <w:ind w:left="411"/>
              <w:rPr>
                <w:sz w:val="21"/>
                <w:szCs w:val="21"/>
              </w:rPr>
            </w:pPr>
            <w:r>
              <w:rPr>
                <w:spacing w:val="-15"/>
                <w:sz w:val="21"/>
                <w:szCs w:val="21"/>
              </w:rPr>
              <w:t>内 )</w:t>
            </w:r>
          </w:p>
        </w:tc>
        <w:tc>
          <w:tcPr>
            <w:tcW w:w="1438" w:type="dxa"/>
            <w:vAlign w:val="top"/>
          </w:tcPr>
          <w:p w14:paraId="503C6AE1">
            <w:pPr>
              <w:spacing w:line="290" w:lineRule="auto"/>
              <w:rPr>
                <w:rFonts w:ascii="Arial"/>
                <w:sz w:val="21"/>
              </w:rPr>
            </w:pPr>
          </w:p>
          <w:p w14:paraId="61E1053B">
            <w:pPr>
              <w:pStyle w:val="6"/>
              <w:spacing w:before="68" w:line="220" w:lineRule="auto"/>
              <w:ind w:left="182"/>
              <w:rPr>
                <w:sz w:val="21"/>
                <w:szCs w:val="21"/>
              </w:rPr>
            </w:pPr>
            <w:r>
              <w:rPr>
                <w:spacing w:val="-2"/>
                <w:sz w:val="21"/>
                <w:szCs w:val="21"/>
              </w:rPr>
              <w:t>场界距离3m</w:t>
            </w:r>
          </w:p>
        </w:tc>
        <w:tc>
          <w:tcPr>
            <w:tcW w:w="1109" w:type="dxa"/>
            <w:vAlign w:val="top"/>
          </w:tcPr>
          <w:p w14:paraId="0A5FEB01">
            <w:pPr>
              <w:spacing w:line="310" w:lineRule="auto"/>
              <w:rPr>
                <w:rFonts w:ascii="Arial"/>
                <w:sz w:val="21"/>
              </w:rPr>
            </w:pPr>
          </w:p>
          <w:p w14:paraId="3CC5B4C5">
            <w:pPr>
              <w:pStyle w:val="6"/>
              <w:spacing w:before="68" w:line="239" w:lineRule="auto"/>
              <w:ind w:left="284"/>
              <w:rPr>
                <w:sz w:val="21"/>
                <w:szCs w:val="21"/>
              </w:rPr>
            </w:pPr>
            <w:r>
              <w:rPr>
                <w:spacing w:val="-2"/>
                <w:sz w:val="21"/>
                <w:szCs w:val="21"/>
              </w:rPr>
              <w:t>84.75</w:t>
            </w:r>
          </w:p>
        </w:tc>
        <w:tc>
          <w:tcPr>
            <w:tcW w:w="919" w:type="dxa"/>
            <w:vAlign w:val="top"/>
          </w:tcPr>
          <w:p w14:paraId="06E7B11D">
            <w:pPr>
              <w:spacing w:line="309" w:lineRule="auto"/>
              <w:rPr>
                <w:rFonts w:ascii="Arial"/>
                <w:sz w:val="21"/>
              </w:rPr>
            </w:pPr>
          </w:p>
          <w:p w14:paraId="30F60505">
            <w:pPr>
              <w:pStyle w:val="6"/>
              <w:spacing w:before="69"/>
              <w:ind w:left="345"/>
              <w:rPr>
                <w:sz w:val="21"/>
                <w:szCs w:val="21"/>
              </w:rPr>
            </w:pPr>
            <w:r>
              <w:rPr>
                <w:spacing w:val="-3"/>
                <w:sz w:val="21"/>
                <w:szCs w:val="21"/>
              </w:rPr>
              <w:t>66</w:t>
            </w:r>
          </w:p>
        </w:tc>
        <w:tc>
          <w:tcPr>
            <w:tcW w:w="759" w:type="dxa"/>
            <w:vAlign w:val="top"/>
          </w:tcPr>
          <w:p w14:paraId="511807F7">
            <w:pPr>
              <w:spacing w:line="310" w:lineRule="auto"/>
              <w:rPr>
                <w:rFonts w:ascii="Arial"/>
                <w:sz w:val="21"/>
              </w:rPr>
            </w:pPr>
          </w:p>
          <w:p w14:paraId="3D270754">
            <w:pPr>
              <w:pStyle w:val="6"/>
              <w:spacing w:before="68" w:line="239" w:lineRule="auto"/>
              <w:ind w:left="106"/>
              <w:rPr>
                <w:sz w:val="21"/>
                <w:szCs w:val="21"/>
              </w:rPr>
            </w:pPr>
            <w:r>
              <w:rPr>
                <w:spacing w:val="-2"/>
                <w:sz w:val="21"/>
                <w:szCs w:val="21"/>
              </w:rPr>
              <w:t>84.81</w:t>
            </w:r>
          </w:p>
        </w:tc>
        <w:tc>
          <w:tcPr>
            <w:tcW w:w="1229" w:type="dxa"/>
            <w:vAlign w:val="top"/>
          </w:tcPr>
          <w:p w14:paraId="4CE93108">
            <w:pPr>
              <w:spacing w:line="310" w:lineRule="auto"/>
              <w:rPr>
                <w:rFonts w:ascii="Arial"/>
                <w:sz w:val="21"/>
              </w:rPr>
            </w:pPr>
          </w:p>
          <w:p w14:paraId="25C319E2">
            <w:pPr>
              <w:pStyle w:val="6"/>
              <w:spacing w:before="68" w:line="239" w:lineRule="auto"/>
              <w:ind w:right="9"/>
              <w:jc w:val="right"/>
              <w:rPr>
                <w:sz w:val="21"/>
                <w:szCs w:val="21"/>
              </w:rPr>
            </w:pPr>
            <w:r>
              <w:rPr>
                <w:spacing w:val="-5"/>
                <w:sz w:val="21"/>
                <w:szCs w:val="21"/>
              </w:rPr>
              <w:t>18.8</w:t>
            </w:r>
          </w:p>
        </w:tc>
        <w:tc>
          <w:tcPr>
            <w:tcW w:w="809" w:type="dxa"/>
            <w:vAlign w:val="top"/>
          </w:tcPr>
          <w:p w14:paraId="078B1183">
            <w:pPr>
              <w:spacing w:line="309" w:lineRule="auto"/>
              <w:rPr>
                <w:rFonts w:ascii="Arial"/>
                <w:sz w:val="21"/>
              </w:rPr>
            </w:pPr>
          </w:p>
          <w:p w14:paraId="365A2C8F">
            <w:pPr>
              <w:pStyle w:val="6"/>
              <w:spacing w:before="69"/>
              <w:ind w:left="298"/>
              <w:rPr>
                <w:sz w:val="21"/>
                <w:szCs w:val="21"/>
              </w:rPr>
            </w:pPr>
            <w:r>
              <w:rPr>
                <w:spacing w:val="-4"/>
                <w:sz w:val="21"/>
                <w:szCs w:val="21"/>
              </w:rPr>
              <w:t>70</w:t>
            </w:r>
          </w:p>
        </w:tc>
        <w:tc>
          <w:tcPr>
            <w:tcW w:w="584" w:type="dxa"/>
            <w:vAlign w:val="top"/>
          </w:tcPr>
          <w:p w14:paraId="5F9C85CC">
            <w:pPr>
              <w:spacing w:line="290" w:lineRule="auto"/>
              <w:rPr>
                <w:rFonts w:ascii="Arial"/>
                <w:sz w:val="21"/>
              </w:rPr>
            </w:pPr>
          </w:p>
          <w:p w14:paraId="360CC921">
            <w:pPr>
              <w:pStyle w:val="6"/>
              <w:spacing w:before="68" w:line="220" w:lineRule="auto"/>
              <w:ind w:left="79"/>
              <w:rPr>
                <w:sz w:val="21"/>
                <w:szCs w:val="21"/>
              </w:rPr>
            </w:pPr>
            <w:r>
              <w:rPr>
                <w:spacing w:val="-2"/>
                <w:sz w:val="21"/>
                <w:szCs w:val="21"/>
              </w:rPr>
              <w:t>超标</w:t>
            </w:r>
          </w:p>
        </w:tc>
      </w:tr>
      <w:tr w14:paraId="3C0BD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84" w:type="dxa"/>
            <w:vMerge w:val="continue"/>
            <w:tcBorders>
              <w:top w:val="nil"/>
              <w:bottom w:val="nil"/>
            </w:tcBorders>
            <w:vAlign w:val="top"/>
          </w:tcPr>
          <w:p w14:paraId="04A7CE51">
            <w:pPr>
              <w:rPr>
                <w:rFonts w:ascii="Arial"/>
                <w:sz w:val="21"/>
              </w:rPr>
            </w:pPr>
          </w:p>
        </w:tc>
        <w:tc>
          <w:tcPr>
            <w:tcW w:w="80" w:type="dxa"/>
            <w:tcBorders>
              <w:top w:val="nil"/>
              <w:bottom w:val="nil"/>
            </w:tcBorders>
            <w:shd w:val="clear" w:color="auto" w:fill="FFFFFF"/>
            <w:vAlign w:val="top"/>
          </w:tcPr>
          <w:p w14:paraId="6549FE2B">
            <w:pPr>
              <w:rPr>
                <w:rFonts w:ascii="Arial"/>
                <w:sz w:val="21"/>
              </w:rPr>
            </w:pPr>
          </w:p>
        </w:tc>
        <w:tc>
          <w:tcPr>
            <w:tcW w:w="290" w:type="dxa"/>
            <w:vAlign w:val="top"/>
          </w:tcPr>
          <w:p w14:paraId="6B2C069B">
            <w:pPr>
              <w:pStyle w:val="6"/>
              <w:spacing w:before="141" w:line="241" w:lineRule="auto"/>
              <w:ind w:left="80"/>
              <w:rPr>
                <w:sz w:val="21"/>
                <w:szCs w:val="21"/>
              </w:rPr>
            </w:pPr>
            <w:r>
              <w:rPr>
                <w:sz w:val="21"/>
                <w:szCs w:val="21"/>
              </w:rPr>
              <w:t>2</w:t>
            </w:r>
          </w:p>
        </w:tc>
        <w:tc>
          <w:tcPr>
            <w:tcW w:w="1169" w:type="dxa"/>
            <w:vAlign w:val="top"/>
          </w:tcPr>
          <w:p w14:paraId="4D4441A6">
            <w:pPr>
              <w:pStyle w:val="6"/>
              <w:spacing w:before="10" w:line="184" w:lineRule="auto"/>
              <w:ind w:left="512" w:hanging="501"/>
              <w:rPr>
                <w:sz w:val="21"/>
                <w:szCs w:val="21"/>
              </w:rPr>
            </w:pPr>
            <w:r>
              <w:rPr>
                <w:spacing w:val="-19"/>
                <w:sz w:val="21"/>
                <w:szCs w:val="21"/>
              </w:rPr>
              <w:t>栗树园村散户</w:t>
            </w:r>
            <w:r>
              <w:rPr>
                <w:sz w:val="21"/>
                <w:szCs w:val="21"/>
              </w:rPr>
              <w:t xml:space="preserve"> 1</w:t>
            </w:r>
          </w:p>
        </w:tc>
        <w:tc>
          <w:tcPr>
            <w:tcW w:w="1438" w:type="dxa"/>
            <w:vAlign w:val="top"/>
          </w:tcPr>
          <w:p w14:paraId="65300A47">
            <w:pPr>
              <w:pStyle w:val="6"/>
              <w:spacing w:before="121" w:line="220" w:lineRule="auto"/>
              <w:ind w:left="182"/>
              <w:rPr>
                <w:sz w:val="21"/>
                <w:szCs w:val="21"/>
              </w:rPr>
            </w:pPr>
            <w:r>
              <w:rPr>
                <w:spacing w:val="-2"/>
                <w:sz w:val="21"/>
                <w:szCs w:val="21"/>
              </w:rPr>
              <w:t>场界距离3m</w:t>
            </w:r>
          </w:p>
        </w:tc>
        <w:tc>
          <w:tcPr>
            <w:tcW w:w="1109" w:type="dxa"/>
            <w:vAlign w:val="top"/>
          </w:tcPr>
          <w:p w14:paraId="161223E5">
            <w:pPr>
              <w:pStyle w:val="6"/>
              <w:spacing w:before="141" w:line="239" w:lineRule="auto"/>
              <w:ind w:left="284"/>
              <w:rPr>
                <w:sz w:val="21"/>
                <w:szCs w:val="21"/>
              </w:rPr>
            </w:pPr>
            <w:r>
              <w:rPr>
                <w:spacing w:val="-2"/>
                <w:sz w:val="21"/>
                <w:szCs w:val="21"/>
              </w:rPr>
              <w:t>84.75</w:t>
            </w:r>
          </w:p>
        </w:tc>
        <w:tc>
          <w:tcPr>
            <w:tcW w:w="919" w:type="dxa"/>
            <w:vAlign w:val="top"/>
          </w:tcPr>
          <w:p w14:paraId="120FB875">
            <w:pPr>
              <w:pStyle w:val="6"/>
              <w:spacing w:before="141" w:line="241" w:lineRule="auto"/>
              <w:ind w:left="345"/>
              <w:rPr>
                <w:sz w:val="21"/>
                <w:szCs w:val="21"/>
              </w:rPr>
            </w:pPr>
            <w:r>
              <w:rPr>
                <w:spacing w:val="-2"/>
                <w:sz w:val="21"/>
                <w:szCs w:val="21"/>
              </w:rPr>
              <w:t>44</w:t>
            </w:r>
          </w:p>
        </w:tc>
        <w:tc>
          <w:tcPr>
            <w:tcW w:w="759" w:type="dxa"/>
            <w:vAlign w:val="top"/>
          </w:tcPr>
          <w:p w14:paraId="11A4545A">
            <w:pPr>
              <w:pStyle w:val="6"/>
              <w:spacing w:before="141" w:line="239" w:lineRule="auto"/>
              <w:ind w:left="106"/>
              <w:rPr>
                <w:sz w:val="21"/>
                <w:szCs w:val="21"/>
              </w:rPr>
            </w:pPr>
            <w:r>
              <w:rPr>
                <w:spacing w:val="-2"/>
                <w:sz w:val="21"/>
                <w:szCs w:val="21"/>
              </w:rPr>
              <w:t>84.75</w:t>
            </w:r>
          </w:p>
        </w:tc>
        <w:tc>
          <w:tcPr>
            <w:tcW w:w="1229" w:type="dxa"/>
            <w:vAlign w:val="top"/>
          </w:tcPr>
          <w:p w14:paraId="0D1654C1">
            <w:pPr>
              <w:pStyle w:val="6"/>
              <w:spacing w:before="141" w:line="239" w:lineRule="auto"/>
              <w:ind w:right="2"/>
              <w:jc w:val="right"/>
              <w:rPr>
                <w:sz w:val="21"/>
                <w:szCs w:val="21"/>
              </w:rPr>
            </w:pPr>
            <w:r>
              <w:rPr>
                <w:spacing w:val="-2"/>
                <w:sz w:val="21"/>
                <w:szCs w:val="21"/>
              </w:rPr>
              <w:t>40.75</w:t>
            </w:r>
          </w:p>
        </w:tc>
        <w:tc>
          <w:tcPr>
            <w:tcW w:w="809" w:type="dxa"/>
            <w:vAlign w:val="top"/>
          </w:tcPr>
          <w:p w14:paraId="4A83A4A4">
            <w:pPr>
              <w:pStyle w:val="6"/>
              <w:spacing w:before="141"/>
              <w:ind w:left="298"/>
              <w:rPr>
                <w:sz w:val="21"/>
                <w:szCs w:val="21"/>
              </w:rPr>
            </w:pPr>
            <w:r>
              <w:rPr>
                <w:spacing w:val="-4"/>
                <w:sz w:val="21"/>
                <w:szCs w:val="21"/>
              </w:rPr>
              <w:t>55</w:t>
            </w:r>
          </w:p>
        </w:tc>
        <w:tc>
          <w:tcPr>
            <w:tcW w:w="584" w:type="dxa"/>
            <w:vAlign w:val="top"/>
          </w:tcPr>
          <w:p w14:paraId="2251F90B">
            <w:pPr>
              <w:pStyle w:val="6"/>
              <w:spacing w:before="121" w:line="220" w:lineRule="auto"/>
              <w:ind w:left="79"/>
              <w:rPr>
                <w:sz w:val="21"/>
                <w:szCs w:val="21"/>
              </w:rPr>
            </w:pPr>
            <w:r>
              <w:rPr>
                <w:spacing w:val="-2"/>
                <w:sz w:val="21"/>
                <w:szCs w:val="21"/>
              </w:rPr>
              <w:t>超标</w:t>
            </w:r>
          </w:p>
        </w:tc>
      </w:tr>
      <w:tr w14:paraId="7F4C1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884" w:type="dxa"/>
            <w:vMerge w:val="continue"/>
            <w:tcBorders>
              <w:top w:val="nil"/>
              <w:bottom w:val="nil"/>
            </w:tcBorders>
            <w:vAlign w:val="top"/>
          </w:tcPr>
          <w:p w14:paraId="3C7DCDF8">
            <w:pPr>
              <w:rPr>
                <w:rFonts w:ascii="Arial"/>
                <w:sz w:val="21"/>
              </w:rPr>
            </w:pPr>
          </w:p>
        </w:tc>
        <w:tc>
          <w:tcPr>
            <w:tcW w:w="80" w:type="dxa"/>
            <w:tcBorders>
              <w:top w:val="nil"/>
              <w:bottom w:val="nil"/>
            </w:tcBorders>
            <w:shd w:val="clear" w:color="auto" w:fill="FFFFFF"/>
            <w:vAlign w:val="top"/>
          </w:tcPr>
          <w:p w14:paraId="08BCA096">
            <w:pPr>
              <w:rPr>
                <w:rFonts w:ascii="Arial"/>
                <w:sz w:val="21"/>
              </w:rPr>
            </w:pPr>
          </w:p>
        </w:tc>
        <w:tc>
          <w:tcPr>
            <w:tcW w:w="290" w:type="dxa"/>
            <w:vAlign w:val="top"/>
          </w:tcPr>
          <w:p w14:paraId="3A9751BC">
            <w:pPr>
              <w:pStyle w:val="6"/>
              <w:spacing w:before="142"/>
              <w:ind w:left="80"/>
              <w:rPr>
                <w:sz w:val="21"/>
                <w:szCs w:val="21"/>
              </w:rPr>
            </w:pPr>
            <w:r>
              <w:rPr>
                <w:sz w:val="21"/>
                <w:szCs w:val="21"/>
              </w:rPr>
              <w:t>3</w:t>
            </w:r>
          </w:p>
        </w:tc>
        <w:tc>
          <w:tcPr>
            <w:tcW w:w="1169" w:type="dxa"/>
            <w:vAlign w:val="top"/>
          </w:tcPr>
          <w:p w14:paraId="4EA50C11">
            <w:pPr>
              <w:pStyle w:val="6"/>
              <w:spacing w:before="31" w:line="179" w:lineRule="auto"/>
              <w:ind w:left="512" w:hanging="501"/>
              <w:rPr>
                <w:sz w:val="21"/>
                <w:szCs w:val="21"/>
              </w:rPr>
            </w:pPr>
            <w:r>
              <w:rPr>
                <w:spacing w:val="-19"/>
                <w:sz w:val="21"/>
                <w:szCs w:val="21"/>
              </w:rPr>
              <w:t>栗树园村散户</w:t>
            </w:r>
            <w:r>
              <w:rPr>
                <w:sz w:val="21"/>
                <w:szCs w:val="21"/>
              </w:rPr>
              <w:t xml:space="preserve"> 2</w:t>
            </w:r>
          </w:p>
        </w:tc>
        <w:tc>
          <w:tcPr>
            <w:tcW w:w="1438" w:type="dxa"/>
            <w:vAlign w:val="top"/>
          </w:tcPr>
          <w:p w14:paraId="6B271C3B">
            <w:pPr>
              <w:pStyle w:val="6"/>
              <w:spacing w:before="122" w:line="220" w:lineRule="auto"/>
              <w:ind w:left="182"/>
              <w:rPr>
                <w:sz w:val="21"/>
                <w:szCs w:val="21"/>
              </w:rPr>
            </w:pPr>
            <w:r>
              <w:rPr>
                <w:spacing w:val="-2"/>
                <w:sz w:val="21"/>
                <w:szCs w:val="21"/>
              </w:rPr>
              <w:t>场界距离1m</w:t>
            </w:r>
          </w:p>
        </w:tc>
        <w:tc>
          <w:tcPr>
            <w:tcW w:w="1109" w:type="dxa"/>
            <w:vAlign w:val="top"/>
          </w:tcPr>
          <w:p w14:paraId="2328670D">
            <w:pPr>
              <w:pStyle w:val="6"/>
              <w:spacing w:before="142" w:line="239" w:lineRule="auto"/>
              <w:ind w:left="284"/>
              <w:rPr>
                <w:sz w:val="21"/>
                <w:szCs w:val="21"/>
              </w:rPr>
            </w:pPr>
            <w:r>
              <w:rPr>
                <w:spacing w:val="-2"/>
                <w:sz w:val="21"/>
                <w:szCs w:val="21"/>
              </w:rPr>
              <w:t>94.29</w:t>
            </w:r>
          </w:p>
        </w:tc>
        <w:tc>
          <w:tcPr>
            <w:tcW w:w="919" w:type="dxa"/>
            <w:vAlign w:val="top"/>
          </w:tcPr>
          <w:p w14:paraId="0BA50A7C">
            <w:pPr>
              <w:pStyle w:val="6"/>
              <w:spacing w:before="142"/>
              <w:ind w:left="345"/>
              <w:rPr>
                <w:sz w:val="21"/>
                <w:szCs w:val="21"/>
              </w:rPr>
            </w:pPr>
            <w:r>
              <w:rPr>
                <w:spacing w:val="-4"/>
                <w:sz w:val="21"/>
                <w:szCs w:val="21"/>
              </w:rPr>
              <w:t>50</w:t>
            </w:r>
          </w:p>
        </w:tc>
        <w:tc>
          <w:tcPr>
            <w:tcW w:w="759" w:type="dxa"/>
            <w:vAlign w:val="top"/>
          </w:tcPr>
          <w:p w14:paraId="5A082F9B">
            <w:pPr>
              <w:pStyle w:val="6"/>
              <w:spacing w:before="142" w:line="239" w:lineRule="auto"/>
              <w:ind w:left="106"/>
              <w:rPr>
                <w:sz w:val="21"/>
                <w:szCs w:val="21"/>
              </w:rPr>
            </w:pPr>
            <w:r>
              <w:rPr>
                <w:spacing w:val="-2"/>
                <w:sz w:val="21"/>
                <w:szCs w:val="21"/>
              </w:rPr>
              <w:t>94.29</w:t>
            </w:r>
          </w:p>
        </w:tc>
        <w:tc>
          <w:tcPr>
            <w:tcW w:w="1229" w:type="dxa"/>
            <w:vAlign w:val="top"/>
          </w:tcPr>
          <w:p w14:paraId="1FBAC94C">
            <w:pPr>
              <w:pStyle w:val="6"/>
              <w:spacing w:before="142" w:line="239" w:lineRule="auto"/>
              <w:ind w:right="2"/>
              <w:jc w:val="right"/>
              <w:rPr>
                <w:sz w:val="21"/>
                <w:szCs w:val="21"/>
              </w:rPr>
            </w:pPr>
            <w:r>
              <w:rPr>
                <w:spacing w:val="-2"/>
                <w:sz w:val="21"/>
                <w:szCs w:val="21"/>
              </w:rPr>
              <w:t>44.29</w:t>
            </w:r>
          </w:p>
        </w:tc>
        <w:tc>
          <w:tcPr>
            <w:tcW w:w="809" w:type="dxa"/>
            <w:vAlign w:val="top"/>
          </w:tcPr>
          <w:p w14:paraId="2BACD3F7">
            <w:pPr>
              <w:pStyle w:val="6"/>
              <w:spacing w:before="142"/>
              <w:ind w:left="298"/>
              <w:rPr>
                <w:sz w:val="21"/>
                <w:szCs w:val="21"/>
              </w:rPr>
            </w:pPr>
            <w:r>
              <w:rPr>
                <w:spacing w:val="-4"/>
                <w:sz w:val="21"/>
                <w:szCs w:val="21"/>
              </w:rPr>
              <w:t>55</w:t>
            </w:r>
          </w:p>
        </w:tc>
        <w:tc>
          <w:tcPr>
            <w:tcW w:w="584" w:type="dxa"/>
            <w:vAlign w:val="top"/>
          </w:tcPr>
          <w:p w14:paraId="425E666A">
            <w:pPr>
              <w:pStyle w:val="6"/>
              <w:spacing w:before="122" w:line="220" w:lineRule="auto"/>
              <w:ind w:left="79"/>
              <w:rPr>
                <w:sz w:val="21"/>
                <w:szCs w:val="21"/>
              </w:rPr>
            </w:pPr>
            <w:r>
              <w:rPr>
                <w:spacing w:val="-2"/>
                <w:sz w:val="21"/>
                <w:szCs w:val="21"/>
              </w:rPr>
              <w:t>超标</w:t>
            </w:r>
          </w:p>
        </w:tc>
      </w:tr>
      <w:tr w14:paraId="20BAF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8" w:hRule="atLeast"/>
        </w:trPr>
        <w:tc>
          <w:tcPr>
            <w:tcW w:w="884" w:type="dxa"/>
            <w:vMerge w:val="continue"/>
            <w:tcBorders>
              <w:top w:val="nil"/>
              <w:bottom w:val="nil"/>
            </w:tcBorders>
            <w:vAlign w:val="top"/>
          </w:tcPr>
          <w:p w14:paraId="3E99F88C">
            <w:pPr>
              <w:rPr>
                <w:rFonts w:ascii="Arial"/>
                <w:sz w:val="21"/>
              </w:rPr>
            </w:pPr>
          </w:p>
        </w:tc>
        <w:tc>
          <w:tcPr>
            <w:tcW w:w="80" w:type="dxa"/>
            <w:tcBorders>
              <w:top w:val="nil"/>
              <w:bottom w:val="nil"/>
            </w:tcBorders>
            <w:shd w:val="clear" w:color="auto" w:fill="FFFFFF"/>
            <w:vAlign w:val="top"/>
          </w:tcPr>
          <w:p w14:paraId="7E227D9C">
            <w:pPr>
              <w:rPr>
                <w:rFonts w:ascii="Arial"/>
                <w:sz w:val="21"/>
              </w:rPr>
            </w:pPr>
          </w:p>
        </w:tc>
        <w:tc>
          <w:tcPr>
            <w:tcW w:w="290" w:type="dxa"/>
            <w:vAlign w:val="top"/>
          </w:tcPr>
          <w:p w14:paraId="02D9D154">
            <w:pPr>
              <w:spacing w:line="442" w:lineRule="auto"/>
              <w:rPr>
                <w:rFonts w:ascii="Arial"/>
                <w:sz w:val="21"/>
              </w:rPr>
            </w:pPr>
          </w:p>
          <w:p w14:paraId="412F89DC">
            <w:pPr>
              <w:pStyle w:val="6"/>
              <w:spacing w:before="68" w:line="241" w:lineRule="auto"/>
              <w:ind w:left="80"/>
              <w:rPr>
                <w:sz w:val="21"/>
                <w:szCs w:val="21"/>
              </w:rPr>
            </w:pPr>
            <w:r>
              <w:rPr>
                <w:sz w:val="21"/>
                <w:szCs w:val="21"/>
              </w:rPr>
              <w:t>4</w:t>
            </w:r>
          </w:p>
        </w:tc>
        <w:tc>
          <w:tcPr>
            <w:tcW w:w="1169" w:type="dxa"/>
            <w:vAlign w:val="top"/>
          </w:tcPr>
          <w:p w14:paraId="47FE0CEE">
            <w:pPr>
              <w:pStyle w:val="6"/>
              <w:spacing w:before="19" w:line="202" w:lineRule="auto"/>
              <w:ind w:left="11"/>
              <w:jc w:val="both"/>
              <w:rPr>
                <w:sz w:val="21"/>
                <w:szCs w:val="21"/>
              </w:rPr>
            </w:pPr>
            <w:r>
              <w:rPr>
                <w:spacing w:val="-19"/>
                <w:sz w:val="21"/>
                <w:szCs w:val="21"/>
              </w:rPr>
              <w:t>栗树园村散户</w:t>
            </w:r>
            <w:r>
              <w:rPr>
                <w:sz w:val="21"/>
                <w:szCs w:val="21"/>
              </w:rPr>
              <w:t xml:space="preserve"> </w:t>
            </w:r>
            <w:r>
              <w:rPr>
                <w:spacing w:val="-19"/>
                <w:sz w:val="21"/>
                <w:szCs w:val="21"/>
              </w:rPr>
              <w:t>3(田间农户看</w:t>
            </w:r>
            <w:r>
              <w:rPr>
                <w:spacing w:val="1"/>
                <w:sz w:val="21"/>
                <w:szCs w:val="21"/>
              </w:rPr>
              <w:t xml:space="preserve"> </w:t>
            </w:r>
            <w:r>
              <w:rPr>
                <w:spacing w:val="2"/>
                <w:sz w:val="21"/>
                <w:szCs w:val="21"/>
              </w:rPr>
              <w:t>地)(在福昆</w:t>
            </w:r>
            <w:r>
              <w:rPr>
                <w:spacing w:val="1"/>
                <w:sz w:val="21"/>
                <w:szCs w:val="21"/>
              </w:rPr>
              <w:t xml:space="preserve"> </w:t>
            </w:r>
            <w:r>
              <w:rPr>
                <w:spacing w:val="2"/>
                <w:sz w:val="21"/>
                <w:szCs w:val="21"/>
              </w:rPr>
              <w:t>线道路边界</w:t>
            </w:r>
            <w:r>
              <w:rPr>
                <w:sz w:val="21"/>
                <w:szCs w:val="21"/>
              </w:rPr>
              <w:t xml:space="preserve">  </w:t>
            </w:r>
            <w:r>
              <w:rPr>
                <w:spacing w:val="9"/>
                <w:sz w:val="21"/>
                <w:szCs w:val="21"/>
              </w:rPr>
              <w:t>55m范围内)</w:t>
            </w:r>
          </w:p>
        </w:tc>
        <w:tc>
          <w:tcPr>
            <w:tcW w:w="1438" w:type="dxa"/>
            <w:vAlign w:val="top"/>
          </w:tcPr>
          <w:p w14:paraId="55533889">
            <w:pPr>
              <w:spacing w:line="422" w:lineRule="auto"/>
              <w:rPr>
                <w:rFonts w:ascii="Arial"/>
                <w:sz w:val="21"/>
              </w:rPr>
            </w:pPr>
          </w:p>
          <w:p w14:paraId="320A92AB">
            <w:pPr>
              <w:pStyle w:val="6"/>
              <w:spacing w:before="68" w:line="220" w:lineRule="auto"/>
              <w:ind w:left="132"/>
              <w:rPr>
                <w:sz w:val="21"/>
                <w:szCs w:val="21"/>
              </w:rPr>
            </w:pPr>
            <w:r>
              <w:rPr>
                <w:spacing w:val="-1"/>
                <w:sz w:val="21"/>
                <w:szCs w:val="21"/>
              </w:rPr>
              <w:t>场界距离16m</w:t>
            </w:r>
          </w:p>
        </w:tc>
        <w:tc>
          <w:tcPr>
            <w:tcW w:w="1109" w:type="dxa"/>
            <w:vAlign w:val="top"/>
          </w:tcPr>
          <w:p w14:paraId="58FBC8C2">
            <w:pPr>
              <w:spacing w:line="442" w:lineRule="auto"/>
              <w:rPr>
                <w:rFonts w:ascii="Arial"/>
                <w:sz w:val="21"/>
              </w:rPr>
            </w:pPr>
          </w:p>
          <w:p w14:paraId="422169AE">
            <w:pPr>
              <w:pStyle w:val="6"/>
              <w:spacing w:before="68" w:line="239" w:lineRule="auto"/>
              <w:ind w:left="284"/>
              <w:rPr>
                <w:sz w:val="21"/>
                <w:szCs w:val="21"/>
              </w:rPr>
            </w:pPr>
            <w:r>
              <w:rPr>
                <w:spacing w:val="-3"/>
                <w:sz w:val="21"/>
                <w:szCs w:val="21"/>
              </w:rPr>
              <w:t>70.21</w:t>
            </w:r>
          </w:p>
        </w:tc>
        <w:tc>
          <w:tcPr>
            <w:tcW w:w="919" w:type="dxa"/>
            <w:vAlign w:val="top"/>
          </w:tcPr>
          <w:p w14:paraId="1AE7165B">
            <w:pPr>
              <w:spacing w:line="442" w:lineRule="auto"/>
              <w:rPr>
                <w:rFonts w:ascii="Arial"/>
                <w:sz w:val="21"/>
              </w:rPr>
            </w:pPr>
          </w:p>
          <w:p w14:paraId="47BF9FF6">
            <w:pPr>
              <w:pStyle w:val="6"/>
              <w:spacing w:before="68"/>
              <w:ind w:left="345"/>
              <w:rPr>
                <w:sz w:val="21"/>
                <w:szCs w:val="21"/>
              </w:rPr>
            </w:pPr>
            <w:r>
              <w:rPr>
                <w:spacing w:val="-3"/>
                <w:sz w:val="21"/>
                <w:szCs w:val="21"/>
              </w:rPr>
              <w:t>67</w:t>
            </w:r>
          </w:p>
        </w:tc>
        <w:tc>
          <w:tcPr>
            <w:tcW w:w="759" w:type="dxa"/>
            <w:vAlign w:val="top"/>
          </w:tcPr>
          <w:p w14:paraId="09B63EEE">
            <w:pPr>
              <w:spacing w:line="442" w:lineRule="auto"/>
              <w:rPr>
                <w:rFonts w:ascii="Arial"/>
                <w:sz w:val="21"/>
              </w:rPr>
            </w:pPr>
          </w:p>
          <w:p w14:paraId="4252A30D">
            <w:pPr>
              <w:pStyle w:val="6"/>
              <w:spacing w:before="68" w:line="239" w:lineRule="auto"/>
              <w:ind w:left="106"/>
              <w:rPr>
                <w:sz w:val="21"/>
                <w:szCs w:val="21"/>
              </w:rPr>
            </w:pPr>
            <w:r>
              <w:rPr>
                <w:spacing w:val="-3"/>
                <w:sz w:val="21"/>
                <w:szCs w:val="21"/>
              </w:rPr>
              <w:t>71.91</w:t>
            </w:r>
          </w:p>
        </w:tc>
        <w:tc>
          <w:tcPr>
            <w:tcW w:w="1229" w:type="dxa"/>
            <w:vAlign w:val="top"/>
          </w:tcPr>
          <w:p w14:paraId="773FF9A9">
            <w:pPr>
              <w:spacing w:line="442" w:lineRule="auto"/>
              <w:rPr>
                <w:rFonts w:ascii="Arial"/>
                <w:sz w:val="21"/>
              </w:rPr>
            </w:pPr>
          </w:p>
          <w:p w14:paraId="6971F4C6">
            <w:pPr>
              <w:pStyle w:val="6"/>
              <w:spacing w:before="68" w:line="239" w:lineRule="auto"/>
              <w:ind w:right="1"/>
              <w:jc w:val="right"/>
              <w:rPr>
                <w:sz w:val="21"/>
                <w:szCs w:val="21"/>
              </w:rPr>
            </w:pPr>
            <w:r>
              <w:rPr>
                <w:spacing w:val="-2"/>
                <w:sz w:val="21"/>
                <w:szCs w:val="21"/>
              </w:rPr>
              <w:t>4.9</w:t>
            </w:r>
          </w:p>
        </w:tc>
        <w:tc>
          <w:tcPr>
            <w:tcW w:w="809" w:type="dxa"/>
            <w:vAlign w:val="top"/>
          </w:tcPr>
          <w:p w14:paraId="760AA27C">
            <w:pPr>
              <w:spacing w:line="442" w:lineRule="auto"/>
              <w:rPr>
                <w:rFonts w:ascii="Arial"/>
                <w:sz w:val="21"/>
              </w:rPr>
            </w:pPr>
          </w:p>
          <w:p w14:paraId="0A503BB9">
            <w:pPr>
              <w:pStyle w:val="6"/>
              <w:spacing w:before="68"/>
              <w:ind w:left="298"/>
              <w:rPr>
                <w:sz w:val="21"/>
                <w:szCs w:val="21"/>
              </w:rPr>
            </w:pPr>
            <w:r>
              <w:rPr>
                <w:spacing w:val="-4"/>
                <w:sz w:val="21"/>
                <w:szCs w:val="21"/>
              </w:rPr>
              <w:t>70</w:t>
            </w:r>
          </w:p>
        </w:tc>
        <w:tc>
          <w:tcPr>
            <w:tcW w:w="584" w:type="dxa"/>
            <w:vAlign w:val="top"/>
          </w:tcPr>
          <w:p w14:paraId="2D260913">
            <w:pPr>
              <w:spacing w:line="422" w:lineRule="auto"/>
              <w:rPr>
                <w:rFonts w:ascii="Arial"/>
                <w:sz w:val="21"/>
              </w:rPr>
            </w:pPr>
          </w:p>
          <w:p w14:paraId="2DE00186">
            <w:pPr>
              <w:pStyle w:val="6"/>
              <w:spacing w:before="68" w:line="220" w:lineRule="auto"/>
              <w:ind w:left="79"/>
              <w:rPr>
                <w:sz w:val="21"/>
                <w:szCs w:val="21"/>
              </w:rPr>
            </w:pPr>
            <w:r>
              <w:rPr>
                <w:spacing w:val="-2"/>
                <w:sz w:val="21"/>
                <w:szCs w:val="21"/>
              </w:rPr>
              <w:t>超标</w:t>
            </w:r>
          </w:p>
        </w:tc>
      </w:tr>
      <w:tr w14:paraId="5DB17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884" w:type="dxa"/>
            <w:vMerge w:val="continue"/>
            <w:tcBorders>
              <w:top w:val="nil"/>
              <w:bottom w:val="nil"/>
            </w:tcBorders>
            <w:vAlign w:val="top"/>
          </w:tcPr>
          <w:p w14:paraId="147EDC77">
            <w:pPr>
              <w:rPr>
                <w:rFonts w:ascii="Arial"/>
                <w:sz w:val="21"/>
              </w:rPr>
            </w:pPr>
          </w:p>
        </w:tc>
        <w:tc>
          <w:tcPr>
            <w:tcW w:w="80" w:type="dxa"/>
            <w:tcBorders>
              <w:top w:val="nil"/>
              <w:bottom w:val="nil"/>
            </w:tcBorders>
            <w:shd w:val="clear" w:color="auto" w:fill="FFFFFF"/>
            <w:vAlign w:val="top"/>
          </w:tcPr>
          <w:p w14:paraId="648DAE5F">
            <w:pPr>
              <w:rPr>
                <w:rFonts w:ascii="Arial"/>
                <w:sz w:val="21"/>
              </w:rPr>
            </w:pPr>
          </w:p>
        </w:tc>
        <w:tc>
          <w:tcPr>
            <w:tcW w:w="290" w:type="dxa"/>
            <w:vAlign w:val="top"/>
          </w:tcPr>
          <w:p w14:paraId="59C42E30">
            <w:pPr>
              <w:spacing w:line="434" w:lineRule="auto"/>
              <w:rPr>
                <w:rFonts w:ascii="Arial"/>
                <w:sz w:val="21"/>
              </w:rPr>
            </w:pPr>
          </w:p>
          <w:p w14:paraId="5430DBBF">
            <w:pPr>
              <w:pStyle w:val="6"/>
              <w:spacing w:before="68"/>
              <w:ind w:left="80"/>
              <w:rPr>
                <w:sz w:val="21"/>
                <w:szCs w:val="21"/>
              </w:rPr>
            </w:pPr>
            <w:r>
              <w:rPr>
                <w:sz w:val="21"/>
                <w:szCs w:val="21"/>
              </w:rPr>
              <w:t>5</w:t>
            </w:r>
          </w:p>
        </w:tc>
        <w:tc>
          <w:tcPr>
            <w:tcW w:w="1169" w:type="dxa"/>
            <w:vAlign w:val="top"/>
          </w:tcPr>
          <w:p w14:paraId="3A424052">
            <w:pPr>
              <w:pStyle w:val="6"/>
              <w:spacing w:before="33" w:line="196" w:lineRule="auto"/>
              <w:ind w:left="11"/>
              <w:jc w:val="both"/>
              <w:rPr>
                <w:sz w:val="21"/>
                <w:szCs w:val="21"/>
              </w:rPr>
            </w:pPr>
            <w:r>
              <w:rPr>
                <w:spacing w:val="-19"/>
                <w:sz w:val="21"/>
                <w:szCs w:val="21"/>
              </w:rPr>
              <w:t>栗树园村散户</w:t>
            </w:r>
            <w:r>
              <w:rPr>
                <w:sz w:val="21"/>
                <w:szCs w:val="21"/>
              </w:rPr>
              <w:t xml:space="preserve"> </w:t>
            </w:r>
            <w:r>
              <w:rPr>
                <w:spacing w:val="-19"/>
                <w:sz w:val="21"/>
                <w:szCs w:val="21"/>
              </w:rPr>
              <w:t>4(田间农户看</w:t>
            </w:r>
            <w:r>
              <w:rPr>
                <w:spacing w:val="1"/>
                <w:sz w:val="21"/>
                <w:szCs w:val="21"/>
              </w:rPr>
              <w:t xml:space="preserve"> </w:t>
            </w:r>
            <w:r>
              <w:rPr>
                <w:spacing w:val="2"/>
                <w:sz w:val="21"/>
                <w:szCs w:val="21"/>
              </w:rPr>
              <w:t>地)(在高速</w:t>
            </w:r>
            <w:r>
              <w:rPr>
                <w:spacing w:val="1"/>
                <w:sz w:val="21"/>
                <w:szCs w:val="21"/>
              </w:rPr>
              <w:t xml:space="preserve"> </w:t>
            </w:r>
            <w:r>
              <w:rPr>
                <w:spacing w:val="-16"/>
                <w:w w:val="97"/>
                <w:sz w:val="21"/>
                <w:szCs w:val="21"/>
              </w:rPr>
              <w:t>公路道路边界</w:t>
            </w:r>
            <w:r>
              <w:rPr>
                <w:spacing w:val="2"/>
                <w:sz w:val="21"/>
                <w:szCs w:val="21"/>
              </w:rPr>
              <w:t xml:space="preserve"> </w:t>
            </w:r>
            <w:r>
              <w:rPr>
                <w:spacing w:val="9"/>
                <w:sz w:val="21"/>
                <w:szCs w:val="21"/>
              </w:rPr>
              <w:t>55m范围内)</w:t>
            </w:r>
          </w:p>
        </w:tc>
        <w:tc>
          <w:tcPr>
            <w:tcW w:w="1438" w:type="dxa"/>
            <w:vAlign w:val="top"/>
          </w:tcPr>
          <w:p w14:paraId="728659E5">
            <w:pPr>
              <w:spacing w:line="414" w:lineRule="auto"/>
              <w:rPr>
                <w:rFonts w:ascii="Arial"/>
                <w:sz w:val="21"/>
              </w:rPr>
            </w:pPr>
          </w:p>
          <w:p w14:paraId="0CBBD9FF">
            <w:pPr>
              <w:pStyle w:val="6"/>
              <w:spacing w:before="68" w:line="220" w:lineRule="auto"/>
              <w:ind w:left="182"/>
              <w:rPr>
                <w:sz w:val="21"/>
                <w:szCs w:val="21"/>
              </w:rPr>
            </w:pPr>
            <w:r>
              <w:rPr>
                <w:spacing w:val="-2"/>
                <w:sz w:val="21"/>
                <w:szCs w:val="21"/>
              </w:rPr>
              <w:t>场界距离1m</w:t>
            </w:r>
          </w:p>
        </w:tc>
        <w:tc>
          <w:tcPr>
            <w:tcW w:w="1109" w:type="dxa"/>
            <w:vAlign w:val="top"/>
          </w:tcPr>
          <w:p w14:paraId="7D2B6926">
            <w:pPr>
              <w:spacing w:line="434" w:lineRule="auto"/>
              <w:rPr>
                <w:rFonts w:ascii="Arial"/>
                <w:sz w:val="21"/>
              </w:rPr>
            </w:pPr>
          </w:p>
          <w:p w14:paraId="2FEE6A73">
            <w:pPr>
              <w:pStyle w:val="6"/>
              <w:spacing w:before="68" w:line="239" w:lineRule="auto"/>
              <w:ind w:left="284"/>
              <w:rPr>
                <w:sz w:val="21"/>
                <w:szCs w:val="21"/>
              </w:rPr>
            </w:pPr>
            <w:r>
              <w:rPr>
                <w:spacing w:val="-2"/>
                <w:sz w:val="21"/>
                <w:szCs w:val="21"/>
              </w:rPr>
              <w:t>94.29</w:t>
            </w:r>
          </w:p>
        </w:tc>
        <w:tc>
          <w:tcPr>
            <w:tcW w:w="919" w:type="dxa"/>
            <w:vAlign w:val="top"/>
          </w:tcPr>
          <w:p w14:paraId="3A139C1C">
            <w:pPr>
              <w:spacing w:line="434" w:lineRule="auto"/>
              <w:rPr>
                <w:rFonts w:ascii="Arial"/>
                <w:sz w:val="21"/>
              </w:rPr>
            </w:pPr>
          </w:p>
          <w:p w14:paraId="7F192332">
            <w:pPr>
              <w:pStyle w:val="6"/>
              <w:spacing w:before="68"/>
              <w:ind w:left="345"/>
              <w:rPr>
                <w:sz w:val="21"/>
                <w:szCs w:val="21"/>
              </w:rPr>
            </w:pPr>
            <w:r>
              <w:rPr>
                <w:spacing w:val="-4"/>
                <w:sz w:val="21"/>
                <w:szCs w:val="21"/>
              </w:rPr>
              <w:t>54</w:t>
            </w:r>
          </w:p>
        </w:tc>
        <w:tc>
          <w:tcPr>
            <w:tcW w:w="759" w:type="dxa"/>
            <w:vAlign w:val="top"/>
          </w:tcPr>
          <w:p w14:paraId="73CB01BA">
            <w:pPr>
              <w:spacing w:line="434" w:lineRule="auto"/>
              <w:rPr>
                <w:rFonts w:ascii="Arial"/>
                <w:sz w:val="21"/>
              </w:rPr>
            </w:pPr>
          </w:p>
          <w:p w14:paraId="68F73B78">
            <w:pPr>
              <w:pStyle w:val="6"/>
              <w:spacing w:before="68" w:line="239" w:lineRule="auto"/>
              <w:ind w:left="106"/>
              <w:rPr>
                <w:sz w:val="21"/>
                <w:szCs w:val="21"/>
              </w:rPr>
            </w:pPr>
            <w:r>
              <w:rPr>
                <w:spacing w:val="-2"/>
                <w:sz w:val="21"/>
                <w:szCs w:val="21"/>
              </w:rPr>
              <w:t>94.29</w:t>
            </w:r>
          </w:p>
        </w:tc>
        <w:tc>
          <w:tcPr>
            <w:tcW w:w="1229" w:type="dxa"/>
            <w:vAlign w:val="top"/>
          </w:tcPr>
          <w:p w14:paraId="33254C1A">
            <w:pPr>
              <w:spacing w:line="434" w:lineRule="auto"/>
              <w:rPr>
                <w:rFonts w:ascii="Arial"/>
                <w:sz w:val="21"/>
              </w:rPr>
            </w:pPr>
          </w:p>
          <w:p w14:paraId="4EB396DC">
            <w:pPr>
              <w:pStyle w:val="6"/>
              <w:spacing w:before="68" w:line="239" w:lineRule="auto"/>
              <w:ind w:right="2"/>
              <w:jc w:val="right"/>
              <w:rPr>
                <w:sz w:val="21"/>
                <w:szCs w:val="21"/>
              </w:rPr>
            </w:pPr>
            <w:r>
              <w:rPr>
                <w:spacing w:val="-2"/>
                <w:sz w:val="21"/>
                <w:szCs w:val="21"/>
              </w:rPr>
              <w:t>40.29</w:t>
            </w:r>
          </w:p>
        </w:tc>
        <w:tc>
          <w:tcPr>
            <w:tcW w:w="809" w:type="dxa"/>
            <w:vAlign w:val="top"/>
          </w:tcPr>
          <w:p w14:paraId="6D7135AC">
            <w:pPr>
              <w:spacing w:line="434" w:lineRule="auto"/>
              <w:rPr>
                <w:rFonts w:ascii="Arial"/>
                <w:sz w:val="21"/>
              </w:rPr>
            </w:pPr>
          </w:p>
          <w:p w14:paraId="46269C88">
            <w:pPr>
              <w:pStyle w:val="6"/>
              <w:spacing w:before="68"/>
              <w:ind w:left="298"/>
              <w:rPr>
                <w:sz w:val="21"/>
                <w:szCs w:val="21"/>
              </w:rPr>
            </w:pPr>
            <w:r>
              <w:rPr>
                <w:spacing w:val="-4"/>
                <w:sz w:val="21"/>
                <w:szCs w:val="21"/>
              </w:rPr>
              <w:t>70</w:t>
            </w:r>
          </w:p>
        </w:tc>
        <w:tc>
          <w:tcPr>
            <w:tcW w:w="584" w:type="dxa"/>
            <w:vAlign w:val="top"/>
          </w:tcPr>
          <w:p w14:paraId="05E4DD82">
            <w:pPr>
              <w:spacing w:line="414" w:lineRule="auto"/>
              <w:rPr>
                <w:rFonts w:ascii="Arial"/>
                <w:sz w:val="21"/>
              </w:rPr>
            </w:pPr>
          </w:p>
          <w:p w14:paraId="11C0F379">
            <w:pPr>
              <w:pStyle w:val="6"/>
              <w:spacing w:before="68" w:line="220" w:lineRule="auto"/>
              <w:ind w:left="79"/>
              <w:rPr>
                <w:sz w:val="21"/>
                <w:szCs w:val="21"/>
              </w:rPr>
            </w:pPr>
            <w:r>
              <w:rPr>
                <w:spacing w:val="-2"/>
                <w:sz w:val="21"/>
                <w:szCs w:val="21"/>
              </w:rPr>
              <w:t>超标</w:t>
            </w:r>
          </w:p>
        </w:tc>
      </w:tr>
      <w:tr w14:paraId="79096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84" w:type="dxa"/>
            <w:vMerge w:val="continue"/>
            <w:tcBorders>
              <w:top w:val="nil"/>
              <w:bottom w:val="nil"/>
            </w:tcBorders>
            <w:vAlign w:val="top"/>
          </w:tcPr>
          <w:p w14:paraId="7DB0925F">
            <w:pPr>
              <w:rPr>
                <w:rFonts w:ascii="Arial"/>
                <w:sz w:val="21"/>
              </w:rPr>
            </w:pPr>
          </w:p>
        </w:tc>
        <w:tc>
          <w:tcPr>
            <w:tcW w:w="80" w:type="dxa"/>
            <w:tcBorders>
              <w:top w:val="nil"/>
              <w:bottom w:val="nil"/>
            </w:tcBorders>
            <w:shd w:val="clear" w:color="auto" w:fill="FFFFFF"/>
            <w:vAlign w:val="top"/>
          </w:tcPr>
          <w:p w14:paraId="56E766A9">
            <w:pPr>
              <w:rPr>
                <w:rFonts w:ascii="Arial"/>
                <w:sz w:val="21"/>
              </w:rPr>
            </w:pPr>
          </w:p>
        </w:tc>
        <w:tc>
          <w:tcPr>
            <w:tcW w:w="290" w:type="dxa"/>
            <w:vAlign w:val="top"/>
          </w:tcPr>
          <w:p w14:paraId="6B13C7F9">
            <w:pPr>
              <w:pStyle w:val="6"/>
              <w:spacing w:before="87" w:line="196" w:lineRule="auto"/>
              <w:ind w:left="80"/>
              <w:rPr>
                <w:sz w:val="21"/>
                <w:szCs w:val="21"/>
              </w:rPr>
            </w:pPr>
            <w:r>
              <w:rPr>
                <w:sz w:val="21"/>
                <w:szCs w:val="21"/>
              </w:rPr>
              <w:t>6</w:t>
            </w:r>
          </w:p>
        </w:tc>
        <w:tc>
          <w:tcPr>
            <w:tcW w:w="1169" w:type="dxa"/>
            <w:vAlign w:val="top"/>
          </w:tcPr>
          <w:p w14:paraId="23B1EB83">
            <w:pPr>
              <w:pStyle w:val="6"/>
              <w:spacing w:before="67" w:line="213" w:lineRule="auto"/>
              <w:ind w:left="51"/>
              <w:rPr>
                <w:sz w:val="21"/>
                <w:szCs w:val="21"/>
              </w:rPr>
            </w:pPr>
            <w:r>
              <w:rPr>
                <w:spacing w:val="2"/>
                <w:sz w:val="21"/>
                <w:szCs w:val="21"/>
              </w:rPr>
              <w:t>发峨哨小学</w:t>
            </w:r>
          </w:p>
        </w:tc>
        <w:tc>
          <w:tcPr>
            <w:tcW w:w="1438" w:type="dxa"/>
            <w:vAlign w:val="top"/>
          </w:tcPr>
          <w:p w14:paraId="7A7BBF6C">
            <w:pPr>
              <w:pStyle w:val="6"/>
              <w:spacing w:before="67" w:line="213" w:lineRule="auto"/>
              <w:ind w:left="132"/>
              <w:rPr>
                <w:sz w:val="21"/>
                <w:szCs w:val="21"/>
              </w:rPr>
            </w:pPr>
            <w:r>
              <w:rPr>
                <w:spacing w:val="-1"/>
                <w:sz w:val="21"/>
                <w:szCs w:val="21"/>
              </w:rPr>
              <w:t>场界距离51m</w:t>
            </w:r>
          </w:p>
        </w:tc>
        <w:tc>
          <w:tcPr>
            <w:tcW w:w="1109" w:type="dxa"/>
            <w:vAlign w:val="top"/>
          </w:tcPr>
          <w:p w14:paraId="27465CE1">
            <w:pPr>
              <w:pStyle w:val="6"/>
              <w:spacing w:before="87" w:line="196" w:lineRule="auto"/>
              <w:ind w:left="284"/>
              <w:rPr>
                <w:sz w:val="21"/>
                <w:szCs w:val="21"/>
              </w:rPr>
            </w:pPr>
            <w:r>
              <w:rPr>
                <w:spacing w:val="-2"/>
                <w:sz w:val="21"/>
                <w:szCs w:val="21"/>
              </w:rPr>
              <w:t>60.14</w:t>
            </w:r>
          </w:p>
        </w:tc>
        <w:tc>
          <w:tcPr>
            <w:tcW w:w="919" w:type="dxa"/>
            <w:vAlign w:val="top"/>
          </w:tcPr>
          <w:p w14:paraId="06C8B848">
            <w:pPr>
              <w:pStyle w:val="6"/>
              <w:spacing w:before="87" w:line="196" w:lineRule="auto"/>
              <w:ind w:left="345"/>
              <w:rPr>
                <w:sz w:val="21"/>
                <w:szCs w:val="21"/>
              </w:rPr>
            </w:pPr>
            <w:r>
              <w:rPr>
                <w:spacing w:val="-4"/>
                <w:sz w:val="21"/>
                <w:szCs w:val="21"/>
              </w:rPr>
              <w:t>50</w:t>
            </w:r>
          </w:p>
        </w:tc>
        <w:tc>
          <w:tcPr>
            <w:tcW w:w="759" w:type="dxa"/>
            <w:vAlign w:val="top"/>
          </w:tcPr>
          <w:p w14:paraId="38B74E3C">
            <w:pPr>
              <w:pStyle w:val="6"/>
              <w:spacing w:before="87" w:line="196" w:lineRule="auto"/>
              <w:ind w:left="106"/>
              <w:rPr>
                <w:sz w:val="21"/>
                <w:szCs w:val="21"/>
              </w:rPr>
            </w:pPr>
            <w:r>
              <w:rPr>
                <w:spacing w:val="-2"/>
                <w:sz w:val="21"/>
                <w:szCs w:val="21"/>
              </w:rPr>
              <w:t>60.54</w:t>
            </w:r>
          </w:p>
        </w:tc>
        <w:tc>
          <w:tcPr>
            <w:tcW w:w="1229" w:type="dxa"/>
            <w:vAlign w:val="top"/>
          </w:tcPr>
          <w:p w14:paraId="0C53EA17">
            <w:pPr>
              <w:pStyle w:val="6"/>
              <w:spacing w:before="87" w:line="196" w:lineRule="auto"/>
              <w:ind w:right="15"/>
              <w:jc w:val="right"/>
              <w:rPr>
                <w:sz w:val="21"/>
                <w:szCs w:val="21"/>
              </w:rPr>
            </w:pPr>
            <w:r>
              <w:rPr>
                <w:spacing w:val="-4"/>
                <w:sz w:val="21"/>
                <w:szCs w:val="21"/>
              </w:rPr>
              <w:t>10.54</w:t>
            </w:r>
          </w:p>
        </w:tc>
        <w:tc>
          <w:tcPr>
            <w:tcW w:w="809" w:type="dxa"/>
            <w:vAlign w:val="top"/>
          </w:tcPr>
          <w:p w14:paraId="09ABFD30">
            <w:pPr>
              <w:pStyle w:val="6"/>
              <w:spacing w:before="87" w:line="196" w:lineRule="auto"/>
              <w:ind w:left="298"/>
              <w:rPr>
                <w:sz w:val="21"/>
                <w:szCs w:val="21"/>
              </w:rPr>
            </w:pPr>
            <w:r>
              <w:rPr>
                <w:spacing w:val="-4"/>
                <w:sz w:val="21"/>
                <w:szCs w:val="21"/>
              </w:rPr>
              <w:t>55</w:t>
            </w:r>
          </w:p>
        </w:tc>
        <w:tc>
          <w:tcPr>
            <w:tcW w:w="584" w:type="dxa"/>
            <w:vAlign w:val="top"/>
          </w:tcPr>
          <w:p w14:paraId="653F8C3A">
            <w:pPr>
              <w:pStyle w:val="6"/>
              <w:spacing w:before="67" w:line="213" w:lineRule="auto"/>
              <w:ind w:left="79"/>
              <w:rPr>
                <w:sz w:val="21"/>
                <w:szCs w:val="21"/>
              </w:rPr>
            </w:pPr>
            <w:r>
              <w:rPr>
                <w:spacing w:val="-2"/>
                <w:sz w:val="21"/>
                <w:szCs w:val="21"/>
              </w:rPr>
              <w:t>超标</w:t>
            </w:r>
          </w:p>
        </w:tc>
      </w:tr>
      <w:tr w14:paraId="1C526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84" w:type="dxa"/>
            <w:vMerge w:val="continue"/>
            <w:tcBorders>
              <w:top w:val="nil"/>
              <w:bottom w:val="nil"/>
            </w:tcBorders>
            <w:vAlign w:val="top"/>
          </w:tcPr>
          <w:p w14:paraId="3C8B64B6">
            <w:pPr>
              <w:rPr>
                <w:rFonts w:ascii="Arial"/>
                <w:sz w:val="21"/>
              </w:rPr>
            </w:pPr>
          </w:p>
        </w:tc>
        <w:tc>
          <w:tcPr>
            <w:tcW w:w="80" w:type="dxa"/>
            <w:tcBorders>
              <w:top w:val="nil"/>
              <w:bottom w:val="nil"/>
            </w:tcBorders>
            <w:shd w:val="clear" w:color="auto" w:fill="FFFFFF"/>
            <w:vAlign w:val="top"/>
          </w:tcPr>
          <w:p w14:paraId="63BAA0B5">
            <w:pPr>
              <w:rPr>
                <w:rFonts w:ascii="Arial"/>
                <w:sz w:val="21"/>
              </w:rPr>
            </w:pPr>
          </w:p>
        </w:tc>
        <w:tc>
          <w:tcPr>
            <w:tcW w:w="290" w:type="dxa"/>
            <w:vAlign w:val="top"/>
          </w:tcPr>
          <w:p w14:paraId="1528FE2E">
            <w:pPr>
              <w:pStyle w:val="6"/>
              <w:spacing w:before="87" w:line="196" w:lineRule="auto"/>
              <w:ind w:left="80"/>
              <w:rPr>
                <w:sz w:val="21"/>
                <w:szCs w:val="21"/>
              </w:rPr>
            </w:pPr>
            <w:r>
              <w:rPr>
                <w:sz w:val="21"/>
                <w:szCs w:val="21"/>
              </w:rPr>
              <w:t>7</w:t>
            </w:r>
          </w:p>
        </w:tc>
        <w:tc>
          <w:tcPr>
            <w:tcW w:w="1169" w:type="dxa"/>
            <w:vAlign w:val="top"/>
          </w:tcPr>
          <w:p w14:paraId="7B583730">
            <w:pPr>
              <w:pStyle w:val="6"/>
              <w:spacing w:before="65" w:line="215" w:lineRule="auto"/>
              <w:ind w:left="261"/>
              <w:rPr>
                <w:sz w:val="21"/>
                <w:szCs w:val="21"/>
              </w:rPr>
            </w:pPr>
            <w:r>
              <w:rPr>
                <w:spacing w:val="-3"/>
                <w:sz w:val="21"/>
                <w:szCs w:val="21"/>
              </w:rPr>
              <w:t>上村子</w:t>
            </w:r>
          </w:p>
        </w:tc>
        <w:tc>
          <w:tcPr>
            <w:tcW w:w="1438" w:type="dxa"/>
            <w:vAlign w:val="top"/>
          </w:tcPr>
          <w:p w14:paraId="6B196965">
            <w:pPr>
              <w:pStyle w:val="6"/>
              <w:spacing w:before="67" w:line="213" w:lineRule="auto"/>
              <w:ind w:left="82"/>
              <w:rPr>
                <w:sz w:val="21"/>
                <w:szCs w:val="21"/>
              </w:rPr>
            </w:pPr>
            <w:r>
              <w:rPr>
                <w:spacing w:val="-1"/>
                <w:sz w:val="21"/>
                <w:szCs w:val="21"/>
              </w:rPr>
              <w:t>场界距离187m</w:t>
            </w:r>
          </w:p>
        </w:tc>
        <w:tc>
          <w:tcPr>
            <w:tcW w:w="1109" w:type="dxa"/>
            <w:vAlign w:val="top"/>
          </w:tcPr>
          <w:p w14:paraId="6D30F1B3">
            <w:pPr>
              <w:pStyle w:val="6"/>
              <w:spacing w:before="87" w:line="196" w:lineRule="auto"/>
              <w:ind w:left="284"/>
              <w:rPr>
                <w:sz w:val="21"/>
                <w:szCs w:val="21"/>
              </w:rPr>
            </w:pPr>
            <w:r>
              <w:rPr>
                <w:spacing w:val="-2"/>
                <w:sz w:val="21"/>
                <w:szCs w:val="21"/>
              </w:rPr>
              <w:t>48.85</w:t>
            </w:r>
          </w:p>
        </w:tc>
        <w:tc>
          <w:tcPr>
            <w:tcW w:w="919" w:type="dxa"/>
            <w:vAlign w:val="top"/>
          </w:tcPr>
          <w:p w14:paraId="6A1B60A8">
            <w:pPr>
              <w:pStyle w:val="6"/>
              <w:spacing w:before="87" w:line="196" w:lineRule="auto"/>
              <w:ind w:left="345"/>
              <w:rPr>
                <w:sz w:val="21"/>
                <w:szCs w:val="21"/>
              </w:rPr>
            </w:pPr>
            <w:r>
              <w:rPr>
                <w:spacing w:val="-4"/>
                <w:sz w:val="21"/>
                <w:szCs w:val="21"/>
              </w:rPr>
              <w:t>52</w:t>
            </w:r>
          </w:p>
        </w:tc>
        <w:tc>
          <w:tcPr>
            <w:tcW w:w="759" w:type="dxa"/>
            <w:vAlign w:val="top"/>
          </w:tcPr>
          <w:p w14:paraId="0C380944">
            <w:pPr>
              <w:pStyle w:val="6"/>
              <w:spacing w:before="87" w:line="196" w:lineRule="auto"/>
              <w:ind w:left="106"/>
              <w:rPr>
                <w:sz w:val="21"/>
                <w:szCs w:val="21"/>
              </w:rPr>
            </w:pPr>
            <w:r>
              <w:rPr>
                <w:spacing w:val="-2"/>
                <w:sz w:val="21"/>
                <w:szCs w:val="21"/>
              </w:rPr>
              <w:t>53.71</w:t>
            </w:r>
          </w:p>
        </w:tc>
        <w:tc>
          <w:tcPr>
            <w:tcW w:w="1229" w:type="dxa"/>
            <w:vAlign w:val="top"/>
          </w:tcPr>
          <w:p w14:paraId="54FE7922">
            <w:pPr>
              <w:pStyle w:val="6"/>
              <w:spacing w:before="87" w:line="196" w:lineRule="auto"/>
              <w:ind w:right="9"/>
              <w:jc w:val="right"/>
              <w:rPr>
                <w:sz w:val="21"/>
                <w:szCs w:val="21"/>
              </w:rPr>
            </w:pPr>
            <w:r>
              <w:rPr>
                <w:spacing w:val="-5"/>
                <w:sz w:val="21"/>
                <w:szCs w:val="21"/>
              </w:rPr>
              <w:t>1.71</w:t>
            </w:r>
          </w:p>
        </w:tc>
        <w:tc>
          <w:tcPr>
            <w:tcW w:w="809" w:type="dxa"/>
            <w:vAlign w:val="top"/>
          </w:tcPr>
          <w:p w14:paraId="6D6C86FA">
            <w:pPr>
              <w:pStyle w:val="6"/>
              <w:spacing w:before="87" w:line="196" w:lineRule="auto"/>
              <w:ind w:left="298"/>
              <w:rPr>
                <w:sz w:val="21"/>
                <w:szCs w:val="21"/>
              </w:rPr>
            </w:pPr>
            <w:r>
              <w:rPr>
                <w:spacing w:val="-4"/>
                <w:sz w:val="21"/>
                <w:szCs w:val="21"/>
              </w:rPr>
              <w:t>55</w:t>
            </w:r>
          </w:p>
        </w:tc>
        <w:tc>
          <w:tcPr>
            <w:tcW w:w="584" w:type="dxa"/>
            <w:vAlign w:val="top"/>
          </w:tcPr>
          <w:p w14:paraId="40B38D45">
            <w:pPr>
              <w:pStyle w:val="6"/>
              <w:spacing w:before="67" w:line="213" w:lineRule="auto"/>
              <w:ind w:left="79"/>
              <w:rPr>
                <w:sz w:val="21"/>
                <w:szCs w:val="21"/>
              </w:rPr>
            </w:pPr>
            <w:r>
              <w:rPr>
                <w:spacing w:val="-2"/>
                <w:sz w:val="21"/>
                <w:szCs w:val="21"/>
              </w:rPr>
              <w:t>达标</w:t>
            </w:r>
          </w:p>
        </w:tc>
      </w:tr>
      <w:tr w14:paraId="7AFDD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84" w:type="dxa"/>
            <w:vMerge w:val="continue"/>
            <w:tcBorders>
              <w:top w:val="nil"/>
              <w:bottom w:val="nil"/>
            </w:tcBorders>
            <w:vAlign w:val="top"/>
          </w:tcPr>
          <w:p w14:paraId="2F3AE664">
            <w:pPr>
              <w:rPr>
                <w:rFonts w:ascii="Arial"/>
                <w:sz w:val="21"/>
              </w:rPr>
            </w:pPr>
          </w:p>
        </w:tc>
        <w:tc>
          <w:tcPr>
            <w:tcW w:w="80" w:type="dxa"/>
            <w:tcBorders>
              <w:top w:val="nil"/>
              <w:bottom w:val="nil"/>
            </w:tcBorders>
            <w:shd w:val="clear" w:color="auto" w:fill="FFFFFF"/>
            <w:vAlign w:val="top"/>
          </w:tcPr>
          <w:p w14:paraId="6B7068CF">
            <w:pPr>
              <w:rPr>
                <w:rFonts w:ascii="Arial"/>
                <w:sz w:val="21"/>
              </w:rPr>
            </w:pPr>
          </w:p>
        </w:tc>
        <w:tc>
          <w:tcPr>
            <w:tcW w:w="290" w:type="dxa"/>
            <w:vAlign w:val="top"/>
          </w:tcPr>
          <w:p w14:paraId="18C10FB7">
            <w:pPr>
              <w:pStyle w:val="6"/>
              <w:spacing w:before="77" w:line="195" w:lineRule="auto"/>
              <w:ind w:left="80"/>
              <w:rPr>
                <w:sz w:val="21"/>
                <w:szCs w:val="21"/>
              </w:rPr>
            </w:pPr>
            <w:r>
              <w:rPr>
                <w:sz w:val="21"/>
                <w:szCs w:val="21"/>
              </w:rPr>
              <w:t>8</w:t>
            </w:r>
          </w:p>
        </w:tc>
        <w:tc>
          <w:tcPr>
            <w:tcW w:w="1169" w:type="dxa"/>
            <w:vAlign w:val="top"/>
          </w:tcPr>
          <w:p w14:paraId="063A5C21">
            <w:pPr>
              <w:pStyle w:val="6"/>
              <w:spacing w:before="56" w:line="213" w:lineRule="auto"/>
              <w:ind w:left="11"/>
              <w:rPr>
                <w:sz w:val="21"/>
                <w:szCs w:val="21"/>
              </w:rPr>
            </w:pPr>
            <w:r>
              <w:rPr>
                <w:spacing w:val="-2"/>
                <w:sz w:val="21"/>
                <w:szCs w:val="21"/>
              </w:rPr>
              <w:t>发峨哨散户1</w:t>
            </w:r>
          </w:p>
        </w:tc>
        <w:tc>
          <w:tcPr>
            <w:tcW w:w="1438" w:type="dxa"/>
            <w:vAlign w:val="top"/>
          </w:tcPr>
          <w:p w14:paraId="50348909">
            <w:pPr>
              <w:pStyle w:val="6"/>
              <w:spacing w:before="57" w:line="212" w:lineRule="auto"/>
              <w:ind w:left="132"/>
              <w:rPr>
                <w:sz w:val="21"/>
                <w:szCs w:val="21"/>
              </w:rPr>
            </w:pPr>
            <w:r>
              <w:rPr>
                <w:spacing w:val="-1"/>
                <w:sz w:val="21"/>
                <w:szCs w:val="21"/>
              </w:rPr>
              <w:t>场界距离36m</w:t>
            </w:r>
          </w:p>
        </w:tc>
        <w:tc>
          <w:tcPr>
            <w:tcW w:w="1109" w:type="dxa"/>
            <w:vAlign w:val="top"/>
          </w:tcPr>
          <w:p w14:paraId="2F107484">
            <w:pPr>
              <w:pStyle w:val="6"/>
              <w:spacing w:before="77" w:line="195" w:lineRule="auto"/>
              <w:ind w:left="284"/>
              <w:rPr>
                <w:sz w:val="21"/>
                <w:szCs w:val="21"/>
              </w:rPr>
            </w:pPr>
            <w:r>
              <w:rPr>
                <w:spacing w:val="-2"/>
                <w:sz w:val="21"/>
                <w:szCs w:val="21"/>
              </w:rPr>
              <w:t>63.16</w:t>
            </w:r>
          </w:p>
        </w:tc>
        <w:tc>
          <w:tcPr>
            <w:tcW w:w="919" w:type="dxa"/>
            <w:vAlign w:val="top"/>
          </w:tcPr>
          <w:p w14:paraId="50A0EA0A">
            <w:pPr>
              <w:pStyle w:val="6"/>
              <w:spacing w:before="77" w:line="195" w:lineRule="auto"/>
              <w:ind w:left="345"/>
              <w:rPr>
                <w:sz w:val="21"/>
                <w:szCs w:val="21"/>
              </w:rPr>
            </w:pPr>
            <w:r>
              <w:rPr>
                <w:spacing w:val="-2"/>
                <w:sz w:val="21"/>
                <w:szCs w:val="21"/>
              </w:rPr>
              <w:t>43</w:t>
            </w:r>
          </w:p>
        </w:tc>
        <w:tc>
          <w:tcPr>
            <w:tcW w:w="759" w:type="dxa"/>
            <w:vAlign w:val="top"/>
          </w:tcPr>
          <w:p w14:paraId="54222D4D">
            <w:pPr>
              <w:pStyle w:val="6"/>
              <w:spacing w:before="77" w:line="195" w:lineRule="auto"/>
              <w:ind w:left="166"/>
              <w:rPr>
                <w:sz w:val="21"/>
                <w:szCs w:val="21"/>
              </w:rPr>
            </w:pPr>
            <w:r>
              <w:rPr>
                <w:spacing w:val="-2"/>
                <w:sz w:val="21"/>
                <w:szCs w:val="21"/>
              </w:rPr>
              <w:t>63.2</w:t>
            </w:r>
          </w:p>
        </w:tc>
        <w:tc>
          <w:tcPr>
            <w:tcW w:w="1229" w:type="dxa"/>
            <w:vAlign w:val="top"/>
          </w:tcPr>
          <w:p w14:paraId="4EE86746">
            <w:pPr>
              <w:pStyle w:val="6"/>
              <w:spacing w:before="77" w:line="195" w:lineRule="auto"/>
              <w:jc w:val="right"/>
              <w:rPr>
                <w:sz w:val="21"/>
                <w:szCs w:val="21"/>
              </w:rPr>
            </w:pPr>
            <w:r>
              <w:rPr>
                <w:spacing w:val="-3"/>
                <w:sz w:val="21"/>
                <w:szCs w:val="21"/>
              </w:rPr>
              <w:t>20.2</w:t>
            </w:r>
          </w:p>
        </w:tc>
        <w:tc>
          <w:tcPr>
            <w:tcW w:w="809" w:type="dxa"/>
            <w:vAlign w:val="top"/>
          </w:tcPr>
          <w:p w14:paraId="445029D6">
            <w:pPr>
              <w:pStyle w:val="6"/>
              <w:spacing w:before="77" w:line="195" w:lineRule="auto"/>
              <w:ind w:left="298"/>
              <w:rPr>
                <w:sz w:val="21"/>
                <w:szCs w:val="21"/>
              </w:rPr>
            </w:pPr>
            <w:r>
              <w:rPr>
                <w:spacing w:val="-4"/>
                <w:sz w:val="21"/>
                <w:szCs w:val="21"/>
              </w:rPr>
              <w:t>55</w:t>
            </w:r>
          </w:p>
        </w:tc>
        <w:tc>
          <w:tcPr>
            <w:tcW w:w="584" w:type="dxa"/>
            <w:vAlign w:val="top"/>
          </w:tcPr>
          <w:p w14:paraId="319756C9">
            <w:pPr>
              <w:pStyle w:val="6"/>
              <w:spacing w:before="57" w:line="212" w:lineRule="auto"/>
              <w:ind w:left="79"/>
              <w:rPr>
                <w:sz w:val="21"/>
                <w:szCs w:val="21"/>
              </w:rPr>
            </w:pPr>
            <w:r>
              <w:rPr>
                <w:spacing w:val="-2"/>
                <w:sz w:val="21"/>
                <w:szCs w:val="21"/>
              </w:rPr>
              <w:t>超标</w:t>
            </w:r>
          </w:p>
        </w:tc>
      </w:tr>
      <w:tr w14:paraId="286EA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884" w:type="dxa"/>
            <w:vMerge w:val="continue"/>
            <w:tcBorders>
              <w:top w:val="nil"/>
              <w:bottom w:val="nil"/>
            </w:tcBorders>
            <w:vAlign w:val="top"/>
          </w:tcPr>
          <w:p w14:paraId="250A920C">
            <w:pPr>
              <w:rPr>
                <w:rFonts w:ascii="Arial"/>
                <w:sz w:val="21"/>
              </w:rPr>
            </w:pPr>
          </w:p>
        </w:tc>
        <w:tc>
          <w:tcPr>
            <w:tcW w:w="80" w:type="dxa"/>
            <w:tcBorders>
              <w:top w:val="nil"/>
              <w:bottom w:val="nil"/>
            </w:tcBorders>
            <w:shd w:val="clear" w:color="auto" w:fill="FFFFFF"/>
            <w:vAlign w:val="top"/>
          </w:tcPr>
          <w:p w14:paraId="6905D298">
            <w:pPr>
              <w:rPr>
                <w:rFonts w:ascii="Arial"/>
                <w:sz w:val="21"/>
              </w:rPr>
            </w:pPr>
          </w:p>
        </w:tc>
        <w:tc>
          <w:tcPr>
            <w:tcW w:w="290" w:type="dxa"/>
            <w:vAlign w:val="top"/>
          </w:tcPr>
          <w:p w14:paraId="14ED25DC">
            <w:pPr>
              <w:pStyle w:val="6"/>
              <w:spacing w:before="88" w:line="203" w:lineRule="auto"/>
              <w:ind w:left="80"/>
              <w:rPr>
                <w:sz w:val="21"/>
                <w:szCs w:val="21"/>
              </w:rPr>
            </w:pPr>
            <w:r>
              <w:rPr>
                <w:sz w:val="21"/>
                <w:szCs w:val="21"/>
              </w:rPr>
              <w:t>9</w:t>
            </w:r>
          </w:p>
        </w:tc>
        <w:tc>
          <w:tcPr>
            <w:tcW w:w="1169" w:type="dxa"/>
            <w:vAlign w:val="top"/>
          </w:tcPr>
          <w:p w14:paraId="55FB3F77">
            <w:pPr>
              <w:pStyle w:val="6"/>
              <w:spacing w:before="66" w:line="219" w:lineRule="auto"/>
              <w:ind w:left="261"/>
              <w:rPr>
                <w:sz w:val="21"/>
                <w:szCs w:val="21"/>
              </w:rPr>
            </w:pPr>
            <w:r>
              <w:rPr>
                <w:spacing w:val="-3"/>
                <w:sz w:val="21"/>
                <w:szCs w:val="21"/>
              </w:rPr>
              <w:t>戈依村</w:t>
            </w:r>
          </w:p>
        </w:tc>
        <w:tc>
          <w:tcPr>
            <w:tcW w:w="1438" w:type="dxa"/>
            <w:vAlign w:val="top"/>
          </w:tcPr>
          <w:p w14:paraId="43C8B5E0">
            <w:pPr>
              <w:pStyle w:val="6"/>
              <w:spacing w:before="68" w:line="220" w:lineRule="auto"/>
              <w:ind w:left="82"/>
              <w:rPr>
                <w:sz w:val="21"/>
                <w:szCs w:val="21"/>
              </w:rPr>
            </w:pPr>
            <w:r>
              <w:rPr>
                <w:spacing w:val="-1"/>
                <w:sz w:val="21"/>
                <w:szCs w:val="21"/>
              </w:rPr>
              <w:t>场界距离190m</w:t>
            </w:r>
          </w:p>
        </w:tc>
        <w:tc>
          <w:tcPr>
            <w:tcW w:w="1109" w:type="dxa"/>
            <w:vAlign w:val="top"/>
          </w:tcPr>
          <w:p w14:paraId="7CC8EF67">
            <w:pPr>
              <w:pStyle w:val="6"/>
              <w:spacing w:before="88" w:line="203" w:lineRule="auto"/>
              <w:ind w:left="284"/>
              <w:rPr>
                <w:sz w:val="21"/>
                <w:szCs w:val="21"/>
              </w:rPr>
            </w:pPr>
            <w:r>
              <w:rPr>
                <w:spacing w:val="-2"/>
                <w:sz w:val="21"/>
                <w:szCs w:val="21"/>
              </w:rPr>
              <w:t>48.71</w:t>
            </w:r>
          </w:p>
        </w:tc>
        <w:tc>
          <w:tcPr>
            <w:tcW w:w="919" w:type="dxa"/>
            <w:vAlign w:val="top"/>
          </w:tcPr>
          <w:p w14:paraId="0B662886">
            <w:pPr>
              <w:pStyle w:val="6"/>
              <w:spacing w:before="88" w:line="203" w:lineRule="auto"/>
              <w:ind w:left="345"/>
              <w:rPr>
                <w:sz w:val="21"/>
                <w:szCs w:val="21"/>
              </w:rPr>
            </w:pPr>
            <w:r>
              <w:rPr>
                <w:spacing w:val="-4"/>
                <w:sz w:val="21"/>
                <w:szCs w:val="21"/>
              </w:rPr>
              <w:t>52</w:t>
            </w:r>
          </w:p>
        </w:tc>
        <w:tc>
          <w:tcPr>
            <w:tcW w:w="759" w:type="dxa"/>
            <w:vAlign w:val="top"/>
          </w:tcPr>
          <w:p w14:paraId="4571465B">
            <w:pPr>
              <w:pStyle w:val="6"/>
              <w:spacing w:before="88" w:line="203" w:lineRule="auto"/>
              <w:ind w:left="106"/>
              <w:rPr>
                <w:sz w:val="21"/>
                <w:szCs w:val="21"/>
              </w:rPr>
            </w:pPr>
            <w:r>
              <w:rPr>
                <w:spacing w:val="-2"/>
                <w:sz w:val="21"/>
                <w:szCs w:val="21"/>
              </w:rPr>
              <w:t>53.67</w:t>
            </w:r>
          </w:p>
        </w:tc>
        <w:tc>
          <w:tcPr>
            <w:tcW w:w="1229" w:type="dxa"/>
            <w:vAlign w:val="top"/>
          </w:tcPr>
          <w:p w14:paraId="70CC83AE">
            <w:pPr>
              <w:pStyle w:val="6"/>
              <w:spacing w:before="88" w:line="203" w:lineRule="auto"/>
              <w:ind w:right="9"/>
              <w:jc w:val="right"/>
              <w:rPr>
                <w:sz w:val="21"/>
                <w:szCs w:val="21"/>
              </w:rPr>
            </w:pPr>
            <w:r>
              <w:rPr>
                <w:spacing w:val="-5"/>
                <w:sz w:val="21"/>
                <w:szCs w:val="21"/>
              </w:rPr>
              <w:t>1.67</w:t>
            </w:r>
          </w:p>
        </w:tc>
        <w:tc>
          <w:tcPr>
            <w:tcW w:w="809" w:type="dxa"/>
            <w:vAlign w:val="top"/>
          </w:tcPr>
          <w:p w14:paraId="2814C131">
            <w:pPr>
              <w:pStyle w:val="6"/>
              <w:spacing w:before="88" w:line="203" w:lineRule="auto"/>
              <w:ind w:left="298"/>
              <w:rPr>
                <w:sz w:val="21"/>
                <w:szCs w:val="21"/>
              </w:rPr>
            </w:pPr>
            <w:r>
              <w:rPr>
                <w:spacing w:val="-4"/>
                <w:sz w:val="21"/>
                <w:szCs w:val="21"/>
              </w:rPr>
              <w:t>55</w:t>
            </w:r>
          </w:p>
        </w:tc>
        <w:tc>
          <w:tcPr>
            <w:tcW w:w="584" w:type="dxa"/>
            <w:vAlign w:val="top"/>
          </w:tcPr>
          <w:p w14:paraId="3A522103">
            <w:pPr>
              <w:pStyle w:val="6"/>
              <w:spacing w:before="68" w:line="220" w:lineRule="auto"/>
              <w:ind w:left="79"/>
              <w:rPr>
                <w:sz w:val="21"/>
                <w:szCs w:val="21"/>
              </w:rPr>
            </w:pPr>
            <w:r>
              <w:rPr>
                <w:spacing w:val="-2"/>
                <w:sz w:val="21"/>
                <w:szCs w:val="21"/>
              </w:rPr>
              <w:t>达标</w:t>
            </w:r>
          </w:p>
        </w:tc>
      </w:tr>
      <w:tr w14:paraId="1CE10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884" w:type="dxa"/>
            <w:vMerge w:val="continue"/>
            <w:tcBorders>
              <w:top w:val="nil"/>
            </w:tcBorders>
            <w:vAlign w:val="top"/>
          </w:tcPr>
          <w:p w14:paraId="4AC3601C">
            <w:pPr>
              <w:rPr>
                <w:rFonts w:ascii="Arial"/>
                <w:sz w:val="21"/>
              </w:rPr>
            </w:pPr>
          </w:p>
        </w:tc>
        <w:tc>
          <w:tcPr>
            <w:tcW w:w="80" w:type="dxa"/>
            <w:tcBorders>
              <w:top w:val="nil"/>
            </w:tcBorders>
            <w:shd w:val="clear" w:color="auto" w:fill="FFFFFF"/>
            <w:vAlign w:val="top"/>
          </w:tcPr>
          <w:p w14:paraId="2BB962FF">
            <w:pPr>
              <w:rPr>
                <w:rFonts w:ascii="Arial"/>
                <w:sz w:val="21"/>
              </w:rPr>
            </w:pPr>
          </w:p>
        </w:tc>
        <w:tc>
          <w:tcPr>
            <w:tcW w:w="290" w:type="dxa"/>
            <w:vAlign w:val="top"/>
          </w:tcPr>
          <w:p w14:paraId="02F4F4F4">
            <w:pPr>
              <w:spacing w:line="318" w:lineRule="auto"/>
              <w:rPr>
                <w:rFonts w:ascii="Arial"/>
                <w:sz w:val="21"/>
              </w:rPr>
            </w:pPr>
          </w:p>
          <w:p w14:paraId="7CBD3EED">
            <w:pPr>
              <w:pStyle w:val="6"/>
              <w:spacing w:before="69"/>
              <w:ind w:left="31"/>
              <w:rPr>
                <w:sz w:val="21"/>
                <w:szCs w:val="21"/>
              </w:rPr>
            </w:pPr>
            <w:r>
              <w:rPr>
                <w:spacing w:val="-6"/>
                <w:sz w:val="21"/>
                <w:szCs w:val="21"/>
              </w:rPr>
              <w:t>10</w:t>
            </w:r>
          </w:p>
        </w:tc>
        <w:tc>
          <w:tcPr>
            <w:tcW w:w="1169" w:type="dxa"/>
            <w:vAlign w:val="top"/>
          </w:tcPr>
          <w:p w14:paraId="0E2CCBDF">
            <w:pPr>
              <w:pStyle w:val="6"/>
              <w:spacing w:before="18" w:line="202" w:lineRule="auto"/>
              <w:ind w:left="120" w:hanging="69"/>
              <w:rPr>
                <w:sz w:val="21"/>
                <w:szCs w:val="21"/>
              </w:rPr>
            </w:pPr>
            <w:r>
              <w:rPr>
                <w:spacing w:val="-3"/>
                <w:sz w:val="21"/>
                <w:szCs w:val="21"/>
              </w:rPr>
              <w:t>大莫古集镇</w:t>
            </w:r>
            <w:r>
              <w:rPr>
                <w:spacing w:val="3"/>
                <w:sz w:val="21"/>
                <w:szCs w:val="21"/>
              </w:rPr>
              <w:t xml:space="preserve"> </w:t>
            </w:r>
            <w:r>
              <w:rPr>
                <w:spacing w:val="-19"/>
                <w:w w:val="98"/>
                <w:sz w:val="21"/>
                <w:szCs w:val="21"/>
              </w:rPr>
              <w:t>(在高</w:t>
            </w:r>
            <w:r>
              <w:rPr>
                <w:spacing w:val="-18"/>
                <w:w w:val="98"/>
                <w:sz w:val="21"/>
                <w:szCs w:val="21"/>
              </w:rPr>
              <w:t>速公</w:t>
            </w:r>
            <w:r>
              <w:rPr>
                <w:spacing w:val="-9"/>
                <w:w w:val="98"/>
                <w:sz w:val="21"/>
                <w:szCs w:val="21"/>
              </w:rPr>
              <w:t>路</w:t>
            </w:r>
          </w:p>
          <w:p w14:paraId="788E8288">
            <w:pPr>
              <w:pStyle w:val="6"/>
              <w:spacing w:before="1" w:line="195" w:lineRule="auto"/>
              <w:ind w:left="200" w:hanging="189"/>
              <w:rPr>
                <w:sz w:val="21"/>
                <w:szCs w:val="21"/>
              </w:rPr>
            </w:pPr>
            <w:r>
              <w:rPr>
                <w:spacing w:val="-2"/>
                <w:sz w:val="21"/>
                <w:szCs w:val="21"/>
              </w:rPr>
              <w:t>道路边界55m</w:t>
            </w:r>
            <w:r>
              <w:rPr>
                <w:spacing w:val="5"/>
                <w:sz w:val="21"/>
                <w:szCs w:val="21"/>
              </w:rPr>
              <w:t xml:space="preserve"> </w:t>
            </w:r>
            <w:r>
              <w:rPr>
                <w:spacing w:val="10"/>
                <w:sz w:val="21"/>
                <w:szCs w:val="21"/>
              </w:rPr>
              <w:t>范围内)</w:t>
            </w:r>
          </w:p>
        </w:tc>
        <w:tc>
          <w:tcPr>
            <w:tcW w:w="1438" w:type="dxa"/>
            <w:vAlign w:val="top"/>
          </w:tcPr>
          <w:p w14:paraId="2A56CD75">
            <w:pPr>
              <w:spacing w:line="299" w:lineRule="auto"/>
              <w:rPr>
                <w:rFonts w:ascii="Arial"/>
                <w:sz w:val="21"/>
              </w:rPr>
            </w:pPr>
          </w:p>
          <w:p w14:paraId="7BD81C84">
            <w:pPr>
              <w:pStyle w:val="6"/>
              <w:spacing w:before="68" w:line="220" w:lineRule="auto"/>
              <w:ind w:left="132"/>
              <w:rPr>
                <w:sz w:val="21"/>
                <w:szCs w:val="21"/>
              </w:rPr>
            </w:pPr>
            <w:r>
              <w:rPr>
                <w:spacing w:val="-1"/>
                <w:sz w:val="21"/>
                <w:szCs w:val="21"/>
              </w:rPr>
              <w:t>场界距离38m</w:t>
            </w:r>
          </w:p>
        </w:tc>
        <w:tc>
          <w:tcPr>
            <w:tcW w:w="1109" w:type="dxa"/>
            <w:vAlign w:val="top"/>
          </w:tcPr>
          <w:p w14:paraId="276745FA">
            <w:pPr>
              <w:spacing w:line="319" w:lineRule="auto"/>
              <w:rPr>
                <w:rFonts w:ascii="Arial"/>
                <w:sz w:val="21"/>
              </w:rPr>
            </w:pPr>
          </w:p>
          <w:p w14:paraId="5EAF7F0A">
            <w:pPr>
              <w:pStyle w:val="6"/>
              <w:spacing w:before="68" w:line="239" w:lineRule="auto"/>
              <w:ind w:left="284"/>
              <w:rPr>
                <w:sz w:val="21"/>
                <w:szCs w:val="21"/>
              </w:rPr>
            </w:pPr>
            <w:r>
              <w:rPr>
                <w:spacing w:val="-2"/>
                <w:sz w:val="21"/>
                <w:szCs w:val="21"/>
              </w:rPr>
              <w:t>62.69</w:t>
            </w:r>
          </w:p>
        </w:tc>
        <w:tc>
          <w:tcPr>
            <w:tcW w:w="919" w:type="dxa"/>
            <w:vAlign w:val="top"/>
          </w:tcPr>
          <w:p w14:paraId="1D5C16C4">
            <w:pPr>
              <w:spacing w:line="318" w:lineRule="auto"/>
              <w:rPr>
                <w:rFonts w:ascii="Arial"/>
                <w:sz w:val="21"/>
              </w:rPr>
            </w:pPr>
          </w:p>
          <w:p w14:paraId="26AE9A72">
            <w:pPr>
              <w:pStyle w:val="6"/>
              <w:spacing w:before="69"/>
              <w:ind w:left="345"/>
              <w:rPr>
                <w:sz w:val="21"/>
                <w:szCs w:val="21"/>
              </w:rPr>
            </w:pPr>
            <w:r>
              <w:rPr>
                <w:spacing w:val="-4"/>
                <w:sz w:val="21"/>
                <w:szCs w:val="21"/>
              </w:rPr>
              <w:t>53</w:t>
            </w:r>
          </w:p>
        </w:tc>
        <w:tc>
          <w:tcPr>
            <w:tcW w:w="759" w:type="dxa"/>
            <w:vAlign w:val="top"/>
          </w:tcPr>
          <w:p w14:paraId="460BC11C">
            <w:pPr>
              <w:spacing w:line="319" w:lineRule="auto"/>
              <w:rPr>
                <w:rFonts w:ascii="Arial"/>
                <w:sz w:val="21"/>
              </w:rPr>
            </w:pPr>
          </w:p>
          <w:p w14:paraId="57B4625A">
            <w:pPr>
              <w:pStyle w:val="6"/>
              <w:spacing w:before="68" w:line="239" w:lineRule="auto"/>
              <w:ind w:left="106"/>
              <w:rPr>
                <w:sz w:val="21"/>
                <w:szCs w:val="21"/>
              </w:rPr>
            </w:pPr>
            <w:r>
              <w:rPr>
                <w:spacing w:val="-2"/>
                <w:sz w:val="21"/>
                <w:szCs w:val="21"/>
              </w:rPr>
              <w:t>63.13</w:t>
            </w:r>
          </w:p>
        </w:tc>
        <w:tc>
          <w:tcPr>
            <w:tcW w:w="1229" w:type="dxa"/>
            <w:vAlign w:val="top"/>
          </w:tcPr>
          <w:p w14:paraId="4E13D5D9">
            <w:pPr>
              <w:spacing w:line="319" w:lineRule="auto"/>
              <w:rPr>
                <w:rFonts w:ascii="Arial"/>
                <w:sz w:val="21"/>
              </w:rPr>
            </w:pPr>
          </w:p>
          <w:p w14:paraId="0AC97202">
            <w:pPr>
              <w:pStyle w:val="6"/>
              <w:spacing w:before="68" w:line="239" w:lineRule="auto"/>
              <w:ind w:right="15"/>
              <w:jc w:val="right"/>
              <w:rPr>
                <w:sz w:val="21"/>
                <w:szCs w:val="21"/>
              </w:rPr>
            </w:pPr>
            <w:r>
              <w:rPr>
                <w:spacing w:val="-4"/>
                <w:sz w:val="21"/>
                <w:szCs w:val="21"/>
              </w:rPr>
              <w:t>10.13</w:t>
            </w:r>
          </w:p>
        </w:tc>
        <w:tc>
          <w:tcPr>
            <w:tcW w:w="809" w:type="dxa"/>
            <w:vAlign w:val="top"/>
          </w:tcPr>
          <w:p w14:paraId="43F49A7F">
            <w:pPr>
              <w:spacing w:line="318" w:lineRule="auto"/>
              <w:rPr>
                <w:rFonts w:ascii="Arial"/>
                <w:sz w:val="21"/>
              </w:rPr>
            </w:pPr>
          </w:p>
          <w:p w14:paraId="7DB8FEFB">
            <w:pPr>
              <w:pStyle w:val="6"/>
              <w:spacing w:before="69"/>
              <w:ind w:left="298"/>
              <w:rPr>
                <w:sz w:val="21"/>
                <w:szCs w:val="21"/>
              </w:rPr>
            </w:pPr>
            <w:r>
              <w:rPr>
                <w:spacing w:val="-4"/>
                <w:sz w:val="21"/>
                <w:szCs w:val="21"/>
              </w:rPr>
              <w:t>70</w:t>
            </w:r>
          </w:p>
        </w:tc>
        <w:tc>
          <w:tcPr>
            <w:tcW w:w="584" w:type="dxa"/>
            <w:vAlign w:val="top"/>
          </w:tcPr>
          <w:p w14:paraId="0D37E314">
            <w:pPr>
              <w:spacing w:line="299" w:lineRule="auto"/>
              <w:rPr>
                <w:rFonts w:ascii="Arial"/>
                <w:sz w:val="21"/>
              </w:rPr>
            </w:pPr>
          </w:p>
          <w:p w14:paraId="1AE1C79A">
            <w:pPr>
              <w:pStyle w:val="6"/>
              <w:spacing w:before="68" w:line="220" w:lineRule="auto"/>
              <w:ind w:left="19"/>
              <w:rPr>
                <w:sz w:val="21"/>
                <w:szCs w:val="21"/>
              </w:rPr>
            </w:pPr>
            <w:r>
              <w:rPr>
                <w:spacing w:val="-2"/>
                <w:sz w:val="21"/>
                <w:szCs w:val="21"/>
              </w:rPr>
              <w:t>达标</w:t>
            </w:r>
          </w:p>
        </w:tc>
      </w:tr>
    </w:tbl>
    <w:p w14:paraId="6320C469">
      <w:pPr>
        <w:pStyle w:val="2"/>
      </w:pPr>
    </w:p>
    <w:p w14:paraId="42A86C2A">
      <w:pPr>
        <w:sectPr>
          <w:headerReference r:id="rId140" w:type="default"/>
          <w:footerReference r:id="rId141" w:type="default"/>
          <w:pgSz w:w="11910" w:h="16830"/>
          <w:pgMar w:top="1430" w:right="1269" w:bottom="1326" w:left="1210" w:header="1419" w:footer="1014" w:gutter="0"/>
          <w:cols w:space="720" w:num="1"/>
        </w:sectPr>
      </w:pPr>
    </w:p>
    <w:p w14:paraId="1F952906">
      <w:pPr>
        <w:spacing w:before="18"/>
      </w:pPr>
    </w:p>
    <w:p w14:paraId="23B20CC5">
      <w:pPr>
        <w:spacing w:before="17"/>
      </w:pPr>
    </w:p>
    <w:p w14:paraId="6A2651F5">
      <w:pPr>
        <w:spacing w:before="17"/>
      </w:pPr>
    </w:p>
    <w:p w14:paraId="2067F73A">
      <w:pPr>
        <w:spacing w:before="17"/>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310"/>
        <w:gridCol w:w="1159"/>
        <w:gridCol w:w="1438"/>
        <w:gridCol w:w="1109"/>
        <w:gridCol w:w="919"/>
        <w:gridCol w:w="769"/>
        <w:gridCol w:w="1219"/>
        <w:gridCol w:w="799"/>
        <w:gridCol w:w="594"/>
      </w:tblGrid>
      <w:tr w14:paraId="3BAE2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04" w:type="dxa"/>
            <w:vMerge w:val="restart"/>
            <w:tcBorders>
              <w:bottom w:val="nil"/>
            </w:tcBorders>
            <w:vAlign w:val="top"/>
          </w:tcPr>
          <w:p w14:paraId="395EF0AD">
            <w:pPr>
              <w:rPr>
                <w:rFonts w:ascii="Arial"/>
                <w:sz w:val="21"/>
              </w:rPr>
            </w:pPr>
          </w:p>
        </w:tc>
        <w:tc>
          <w:tcPr>
            <w:tcW w:w="310" w:type="dxa"/>
            <w:vAlign w:val="top"/>
          </w:tcPr>
          <w:p w14:paraId="29B16548">
            <w:pPr>
              <w:pStyle w:val="6"/>
              <w:spacing w:before="277" w:line="241" w:lineRule="auto"/>
              <w:ind w:left="31"/>
              <w:rPr>
                <w:sz w:val="23"/>
                <w:szCs w:val="23"/>
              </w:rPr>
            </w:pPr>
            <w:r>
              <w:rPr>
                <w:spacing w:val="-7"/>
                <w:sz w:val="23"/>
                <w:szCs w:val="23"/>
              </w:rPr>
              <w:t>11</w:t>
            </w:r>
          </w:p>
        </w:tc>
        <w:tc>
          <w:tcPr>
            <w:tcW w:w="1159" w:type="dxa"/>
            <w:vAlign w:val="top"/>
          </w:tcPr>
          <w:p w14:paraId="140DDF89">
            <w:pPr>
              <w:pStyle w:val="6"/>
              <w:spacing w:before="14" w:line="192" w:lineRule="auto"/>
              <w:jc w:val="right"/>
              <w:rPr>
                <w:sz w:val="23"/>
                <w:szCs w:val="23"/>
              </w:rPr>
            </w:pPr>
            <w:r>
              <w:rPr>
                <w:spacing w:val="-21"/>
                <w:w w:val="98"/>
                <w:sz w:val="23"/>
                <w:szCs w:val="23"/>
              </w:rPr>
              <w:t>放马沟散户</w:t>
            </w:r>
            <w:r>
              <w:rPr>
                <w:spacing w:val="-9"/>
                <w:w w:val="98"/>
                <w:sz w:val="23"/>
                <w:szCs w:val="23"/>
              </w:rPr>
              <w:t>4</w:t>
            </w:r>
          </w:p>
          <w:p w14:paraId="0E38B099">
            <w:pPr>
              <w:pStyle w:val="6"/>
              <w:spacing w:line="213" w:lineRule="auto"/>
              <w:jc w:val="right"/>
            </w:pPr>
            <w:r>
              <w:rPr>
                <w:spacing w:val="-33"/>
              </w:rPr>
              <w:t>(田间农</w:t>
            </w:r>
            <w:r>
              <w:rPr>
                <w:spacing w:val="-32"/>
              </w:rPr>
              <w:t>户</w:t>
            </w:r>
            <w:r>
              <w:rPr>
                <w:spacing w:val="-10"/>
              </w:rPr>
              <w:t>看</w:t>
            </w:r>
          </w:p>
          <w:p w14:paraId="040517F0">
            <w:pPr>
              <w:pStyle w:val="6"/>
              <w:spacing w:line="166" w:lineRule="auto"/>
              <w:ind w:left="371"/>
              <w:rPr>
                <w:sz w:val="23"/>
                <w:szCs w:val="23"/>
              </w:rPr>
            </w:pPr>
            <w:r>
              <w:rPr>
                <w:spacing w:val="-5"/>
                <w:sz w:val="23"/>
                <w:szCs w:val="23"/>
              </w:rPr>
              <w:t>地</w:t>
            </w:r>
            <w:r>
              <w:rPr>
                <w:spacing w:val="-51"/>
                <w:sz w:val="23"/>
                <w:szCs w:val="23"/>
              </w:rPr>
              <w:t xml:space="preserve"> </w:t>
            </w:r>
            <w:r>
              <w:rPr>
                <w:spacing w:val="-5"/>
                <w:sz w:val="23"/>
                <w:szCs w:val="23"/>
              </w:rPr>
              <w:t>)</w:t>
            </w:r>
          </w:p>
        </w:tc>
        <w:tc>
          <w:tcPr>
            <w:tcW w:w="1438" w:type="dxa"/>
            <w:vAlign w:val="top"/>
          </w:tcPr>
          <w:p w14:paraId="429A6124">
            <w:pPr>
              <w:pStyle w:val="6"/>
              <w:spacing w:before="255" w:line="220" w:lineRule="auto"/>
              <w:ind w:left="22"/>
              <w:rPr>
                <w:sz w:val="23"/>
                <w:szCs w:val="23"/>
              </w:rPr>
            </w:pPr>
            <w:r>
              <w:rPr>
                <w:spacing w:val="-1"/>
                <w:sz w:val="23"/>
                <w:szCs w:val="23"/>
              </w:rPr>
              <w:t>场界距离131m</w:t>
            </w:r>
          </w:p>
        </w:tc>
        <w:tc>
          <w:tcPr>
            <w:tcW w:w="1109" w:type="dxa"/>
            <w:vAlign w:val="top"/>
          </w:tcPr>
          <w:p w14:paraId="51B07B06">
            <w:pPr>
              <w:pStyle w:val="6"/>
              <w:spacing w:before="277" w:line="239" w:lineRule="auto"/>
              <w:ind w:left="254"/>
              <w:rPr>
                <w:sz w:val="23"/>
                <w:szCs w:val="23"/>
              </w:rPr>
            </w:pPr>
            <w:r>
              <w:rPr>
                <w:spacing w:val="-3"/>
                <w:sz w:val="23"/>
                <w:szCs w:val="23"/>
              </w:rPr>
              <w:t>51.94</w:t>
            </w:r>
          </w:p>
        </w:tc>
        <w:tc>
          <w:tcPr>
            <w:tcW w:w="919" w:type="dxa"/>
            <w:vAlign w:val="top"/>
          </w:tcPr>
          <w:p w14:paraId="12E69D6E">
            <w:pPr>
              <w:pStyle w:val="6"/>
              <w:spacing w:before="276"/>
              <w:ind w:left="335"/>
              <w:rPr>
                <w:sz w:val="23"/>
                <w:szCs w:val="23"/>
              </w:rPr>
            </w:pPr>
            <w:r>
              <w:rPr>
                <w:spacing w:val="-4"/>
                <w:sz w:val="23"/>
                <w:szCs w:val="23"/>
              </w:rPr>
              <w:t>51</w:t>
            </w:r>
          </w:p>
        </w:tc>
        <w:tc>
          <w:tcPr>
            <w:tcW w:w="769" w:type="dxa"/>
            <w:vAlign w:val="top"/>
          </w:tcPr>
          <w:p w14:paraId="6D5757EA">
            <w:pPr>
              <w:pStyle w:val="6"/>
              <w:spacing w:before="277" w:line="239" w:lineRule="auto"/>
              <w:ind w:left="85"/>
              <w:rPr>
                <w:sz w:val="23"/>
                <w:szCs w:val="23"/>
              </w:rPr>
            </w:pPr>
            <w:r>
              <w:rPr>
                <w:spacing w:val="-3"/>
                <w:sz w:val="23"/>
                <w:szCs w:val="23"/>
              </w:rPr>
              <w:t>54.51</w:t>
            </w:r>
          </w:p>
        </w:tc>
        <w:tc>
          <w:tcPr>
            <w:tcW w:w="1219" w:type="dxa"/>
            <w:vAlign w:val="top"/>
          </w:tcPr>
          <w:p w14:paraId="2BC0555C">
            <w:pPr>
              <w:pStyle w:val="6"/>
              <w:spacing w:before="277" w:line="239" w:lineRule="auto"/>
              <w:ind w:right="5"/>
              <w:jc w:val="right"/>
              <w:rPr>
                <w:sz w:val="23"/>
                <w:szCs w:val="23"/>
              </w:rPr>
            </w:pPr>
            <w:r>
              <w:rPr>
                <w:spacing w:val="-4"/>
                <w:sz w:val="23"/>
                <w:szCs w:val="23"/>
              </w:rPr>
              <w:t>3.5</w:t>
            </w:r>
          </w:p>
        </w:tc>
        <w:tc>
          <w:tcPr>
            <w:tcW w:w="799" w:type="dxa"/>
            <w:vAlign w:val="top"/>
          </w:tcPr>
          <w:p w14:paraId="37F7D042">
            <w:pPr>
              <w:pStyle w:val="6"/>
              <w:spacing w:before="276"/>
              <w:ind w:left="277"/>
              <w:rPr>
                <w:sz w:val="23"/>
                <w:szCs w:val="23"/>
              </w:rPr>
            </w:pPr>
            <w:r>
              <w:rPr>
                <w:spacing w:val="-4"/>
                <w:sz w:val="23"/>
                <w:szCs w:val="23"/>
              </w:rPr>
              <w:t>55</w:t>
            </w:r>
          </w:p>
        </w:tc>
        <w:tc>
          <w:tcPr>
            <w:tcW w:w="594" w:type="dxa"/>
            <w:vAlign w:val="top"/>
          </w:tcPr>
          <w:p w14:paraId="49F4591B">
            <w:pPr>
              <w:pStyle w:val="6"/>
              <w:spacing w:before="255" w:line="220" w:lineRule="auto"/>
              <w:ind w:left="59"/>
              <w:rPr>
                <w:sz w:val="23"/>
                <w:szCs w:val="23"/>
              </w:rPr>
            </w:pPr>
            <w:r>
              <w:rPr>
                <w:spacing w:val="-3"/>
                <w:sz w:val="23"/>
                <w:szCs w:val="23"/>
              </w:rPr>
              <w:t>达标</w:t>
            </w:r>
          </w:p>
        </w:tc>
      </w:tr>
      <w:tr w14:paraId="2C416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904" w:type="dxa"/>
            <w:vMerge w:val="continue"/>
            <w:tcBorders>
              <w:top w:val="nil"/>
              <w:bottom w:val="nil"/>
            </w:tcBorders>
            <w:vAlign w:val="top"/>
          </w:tcPr>
          <w:p w14:paraId="4C153379">
            <w:pPr>
              <w:rPr>
                <w:rFonts w:ascii="Arial"/>
                <w:sz w:val="21"/>
              </w:rPr>
            </w:pPr>
          </w:p>
        </w:tc>
        <w:tc>
          <w:tcPr>
            <w:tcW w:w="310" w:type="dxa"/>
            <w:vAlign w:val="top"/>
          </w:tcPr>
          <w:p w14:paraId="27DBC8DB">
            <w:pPr>
              <w:pStyle w:val="6"/>
              <w:spacing w:before="252" w:line="241" w:lineRule="auto"/>
              <w:ind w:left="31"/>
              <w:rPr>
                <w:sz w:val="23"/>
                <w:szCs w:val="23"/>
              </w:rPr>
            </w:pPr>
            <w:r>
              <w:rPr>
                <w:spacing w:val="-7"/>
                <w:sz w:val="23"/>
                <w:szCs w:val="23"/>
              </w:rPr>
              <w:t>12</w:t>
            </w:r>
          </w:p>
        </w:tc>
        <w:tc>
          <w:tcPr>
            <w:tcW w:w="1159" w:type="dxa"/>
            <w:vAlign w:val="top"/>
          </w:tcPr>
          <w:p w14:paraId="0FFA0ED6">
            <w:pPr>
              <w:pStyle w:val="6"/>
              <w:spacing w:before="9" w:line="192" w:lineRule="auto"/>
              <w:jc w:val="right"/>
              <w:rPr>
                <w:sz w:val="23"/>
                <w:szCs w:val="23"/>
              </w:rPr>
            </w:pPr>
            <w:r>
              <w:rPr>
                <w:spacing w:val="-24"/>
                <w:w w:val="99"/>
                <w:sz w:val="23"/>
                <w:szCs w:val="23"/>
              </w:rPr>
              <w:t>放马沟</w:t>
            </w:r>
            <w:r>
              <w:rPr>
                <w:spacing w:val="-23"/>
                <w:w w:val="99"/>
                <w:sz w:val="23"/>
                <w:szCs w:val="23"/>
              </w:rPr>
              <w:t>散户</w:t>
            </w:r>
            <w:r>
              <w:rPr>
                <w:spacing w:val="-14"/>
                <w:w w:val="99"/>
                <w:sz w:val="23"/>
                <w:szCs w:val="23"/>
              </w:rPr>
              <w:t>7</w:t>
            </w:r>
          </w:p>
          <w:p w14:paraId="20C9B265">
            <w:pPr>
              <w:pStyle w:val="6"/>
              <w:spacing w:line="195" w:lineRule="auto"/>
              <w:jc w:val="right"/>
            </w:pPr>
            <w:r>
              <w:rPr>
                <w:spacing w:val="-32"/>
              </w:rPr>
              <w:t>(田间</w:t>
            </w:r>
            <w:r>
              <w:rPr>
                <w:spacing w:val="-31"/>
              </w:rPr>
              <w:t>农户</w:t>
            </w:r>
            <w:r>
              <w:rPr>
                <w:spacing w:val="-10"/>
              </w:rPr>
              <w:t>看</w:t>
            </w:r>
          </w:p>
          <w:p w14:paraId="6F431AB3">
            <w:pPr>
              <w:pStyle w:val="6"/>
              <w:spacing w:line="164" w:lineRule="auto"/>
              <w:ind w:left="380"/>
              <w:rPr>
                <w:sz w:val="21"/>
                <w:szCs w:val="21"/>
              </w:rPr>
            </w:pPr>
            <w:r>
              <w:rPr>
                <w:spacing w:val="-5"/>
                <w:sz w:val="21"/>
                <w:szCs w:val="21"/>
              </w:rPr>
              <w:t>地</w:t>
            </w:r>
            <w:r>
              <w:rPr>
                <w:spacing w:val="-46"/>
                <w:sz w:val="21"/>
                <w:szCs w:val="21"/>
              </w:rPr>
              <w:t xml:space="preserve"> </w:t>
            </w:r>
            <w:r>
              <w:rPr>
                <w:spacing w:val="-5"/>
                <w:sz w:val="21"/>
                <w:szCs w:val="21"/>
              </w:rPr>
              <w:t>)</w:t>
            </w:r>
          </w:p>
        </w:tc>
        <w:tc>
          <w:tcPr>
            <w:tcW w:w="1438" w:type="dxa"/>
            <w:vAlign w:val="top"/>
          </w:tcPr>
          <w:p w14:paraId="50E7F025">
            <w:pPr>
              <w:pStyle w:val="6"/>
              <w:spacing w:before="230" w:line="220" w:lineRule="auto"/>
              <w:ind w:left="132"/>
              <w:rPr>
                <w:sz w:val="23"/>
                <w:szCs w:val="23"/>
              </w:rPr>
            </w:pPr>
            <w:r>
              <w:rPr>
                <w:spacing w:val="-2"/>
                <w:sz w:val="23"/>
                <w:szCs w:val="23"/>
              </w:rPr>
              <w:t>场界距离7m</w:t>
            </w:r>
          </w:p>
        </w:tc>
        <w:tc>
          <w:tcPr>
            <w:tcW w:w="1109" w:type="dxa"/>
            <w:vAlign w:val="top"/>
          </w:tcPr>
          <w:p w14:paraId="28F1F01D">
            <w:pPr>
              <w:pStyle w:val="6"/>
              <w:spacing w:before="252" w:line="239" w:lineRule="auto"/>
              <w:ind w:left="254"/>
              <w:rPr>
                <w:sz w:val="23"/>
                <w:szCs w:val="23"/>
              </w:rPr>
            </w:pPr>
            <w:r>
              <w:rPr>
                <w:spacing w:val="-3"/>
                <w:sz w:val="23"/>
                <w:szCs w:val="23"/>
              </w:rPr>
              <w:t>77.39</w:t>
            </w:r>
          </w:p>
        </w:tc>
        <w:tc>
          <w:tcPr>
            <w:tcW w:w="919" w:type="dxa"/>
            <w:vAlign w:val="top"/>
          </w:tcPr>
          <w:p w14:paraId="5FDE9FF0">
            <w:pPr>
              <w:pStyle w:val="6"/>
              <w:spacing w:before="251"/>
              <w:ind w:left="335"/>
              <w:rPr>
                <w:sz w:val="23"/>
                <w:szCs w:val="23"/>
              </w:rPr>
            </w:pPr>
            <w:r>
              <w:rPr>
                <w:spacing w:val="-4"/>
                <w:sz w:val="23"/>
                <w:szCs w:val="23"/>
              </w:rPr>
              <w:t>51</w:t>
            </w:r>
          </w:p>
        </w:tc>
        <w:tc>
          <w:tcPr>
            <w:tcW w:w="769" w:type="dxa"/>
            <w:vAlign w:val="top"/>
          </w:tcPr>
          <w:p w14:paraId="13DF5EF4">
            <w:pPr>
              <w:pStyle w:val="6"/>
              <w:spacing w:before="252" w:line="239" w:lineRule="auto"/>
              <w:ind w:left="146"/>
              <w:rPr>
                <w:sz w:val="23"/>
                <w:szCs w:val="23"/>
              </w:rPr>
            </w:pPr>
            <w:r>
              <w:rPr>
                <w:spacing w:val="-3"/>
                <w:sz w:val="23"/>
                <w:szCs w:val="23"/>
              </w:rPr>
              <w:t>77.4</w:t>
            </w:r>
          </w:p>
        </w:tc>
        <w:tc>
          <w:tcPr>
            <w:tcW w:w="1219" w:type="dxa"/>
            <w:vAlign w:val="top"/>
          </w:tcPr>
          <w:p w14:paraId="7CF871B2">
            <w:pPr>
              <w:pStyle w:val="6"/>
              <w:spacing w:before="252" w:line="239" w:lineRule="auto"/>
              <w:jc w:val="right"/>
              <w:rPr>
                <w:sz w:val="23"/>
                <w:szCs w:val="23"/>
              </w:rPr>
            </w:pPr>
            <w:r>
              <w:rPr>
                <w:spacing w:val="-3"/>
                <w:sz w:val="23"/>
                <w:szCs w:val="23"/>
              </w:rPr>
              <w:t>26.4</w:t>
            </w:r>
          </w:p>
        </w:tc>
        <w:tc>
          <w:tcPr>
            <w:tcW w:w="799" w:type="dxa"/>
            <w:vAlign w:val="top"/>
          </w:tcPr>
          <w:p w14:paraId="4945C0E3">
            <w:pPr>
              <w:pStyle w:val="6"/>
              <w:spacing w:before="251"/>
              <w:ind w:left="277"/>
              <w:rPr>
                <w:sz w:val="23"/>
                <w:szCs w:val="23"/>
              </w:rPr>
            </w:pPr>
            <w:r>
              <w:rPr>
                <w:spacing w:val="-4"/>
                <w:sz w:val="23"/>
                <w:szCs w:val="23"/>
              </w:rPr>
              <w:t>55</w:t>
            </w:r>
          </w:p>
        </w:tc>
        <w:tc>
          <w:tcPr>
            <w:tcW w:w="594" w:type="dxa"/>
            <w:vAlign w:val="top"/>
          </w:tcPr>
          <w:p w14:paraId="547B62CA">
            <w:pPr>
              <w:pStyle w:val="6"/>
              <w:spacing w:before="230" w:line="220" w:lineRule="auto"/>
              <w:ind w:left="99"/>
              <w:rPr>
                <w:sz w:val="23"/>
                <w:szCs w:val="23"/>
              </w:rPr>
            </w:pPr>
            <w:r>
              <w:rPr>
                <w:spacing w:val="-3"/>
                <w:sz w:val="23"/>
                <w:szCs w:val="23"/>
              </w:rPr>
              <w:t>超标</w:t>
            </w:r>
          </w:p>
        </w:tc>
      </w:tr>
      <w:tr w14:paraId="0B26A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04" w:type="dxa"/>
            <w:vMerge w:val="continue"/>
            <w:tcBorders>
              <w:top w:val="nil"/>
              <w:bottom w:val="nil"/>
            </w:tcBorders>
            <w:vAlign w:val="top"/>
          </w:tcPr>
          <w:p w14:paraId="30CA3DFD">
            <w:pPr>
              <w:rPr>
                <w:rFonts w:ascii="Arial"/>
                <w:sz w:val="21"/>
              </w:rPr>
            </w:pPr>
          </w:p>
        </w:tc>
        <w:tc>
          <w:tcPr>
            <w:tcW w:w="310" w:type="dxa"/>
            <w:vAlign w:val="top"/>
          </w:tcPr>
          <w:p w14:paraId="43942A3C">
            <w:pPr>
              <w:pStyle w:val="6"/>
              <w:spacing w:before="73" w:line="190" w:lineRule="auto"/>
              <w:ind w:left="31"/>
              <w:rPr>
                <w:sz w:val="23"/>
                <w:szCs w:val="23"/>
              </w:rPr>
            </w:pPr>
            <w:r>
              <w:rPr>
                <w:spacing w:val="-7"/>
                <w:sz w:val="23"/>
                <w:szCs w:val="23"/>
              </w:rPr>
              <w:t>13</w:t>
            </w:r>
          </w:p>
        </w:tc>
        <w:tc>
          <w:tcPr>
            <w:tcW w:w="1159" w:type="dxa"/>
            <w:vAlign w:val="top"/>
          </w:tcPr>
          <w:p w14:paraId="086ACBB6">
            <w:pPr>
              <w:pStyle w:val="6"/>
              <w:spacing w:before="49" w:line="209" w:lineRule="auto"/>
              <w:ind w:left="11"/>
              <w:rPr>
                <w:sz w:val="23"/>
                <w:szCs w:val="23"/>
              </w:rPr>
            </w:pPr>
            <w:r>
              <w:rPr>
                <w:spacing w:val="3"/>
                <w:sz w:val="23"/>
                <w:szCs w:val="23"/>
              </w:rPr>
              <w:t>大地村</w:t>
            </w:r>
          </w:p>
        </w:tc>
        <w:tc>
          <w:tcPr>
            <w:tcW w:w="1438" w:type="dxa"/>
            <w:vAlign w:val="top"/>
          </w:tcPr>
          <w:p w14:paraId="59EFDC95">
            <w:pPr>
              <w:pStyle w:val="6"/>
              <w:spacing w:before="50" w:line="208" w:lineRule="auto"/>
              <w:ind w:left="22"/>
              <w:rPr>
                <w:sz w:val="23"/>
                <w:szCs w:val="23"/>
              </w:rPr>
            </w:pPr>
            <w:r>
              <w:rPr>
                <w:spacing w:val="-1"/>
                <w:sz w:val="23"/>
                <w:szCs w:val="23"/>
              </w:rPr>
              <w:t>场界距离137m</w:t>
            </w:r>
          </w:p>
        </w:tc>
        <w:tc>
          <w:tcPr>
            <w:tcW w:w="1109" w:type="dxa"/>
            <w:vAlign w:val="top"/>
          </w:tcPr>
          <w:p w14:paraId="7BCBB117">
            <w:pPr>
              <w:pStyle w:val="6"/>
              <w:spacing w:before="73" w:line="190" w:lineRule="auto"/>
              <w:ind w:left="254"/>
              <w:rPr>
                <w:sz w:val="23"/>
                <w:szCs w:val="23"/>
              </w:rPr>
            </w:pPr>
            <w:r>
              <w:rPr>
                <w:spacing w:val="-3"/>
                <w:sz w:val="23"/>
                <w:szCs w:val="23"/>
              </w:rPr>
              <w:t>51.56</w:t>
            </w:r>
          </w:p>
        </w:tc>
        <w:tc>
          <w:tcPr>
            <w:tcW w:w="919" w:type="dxa"/>
            <w:vAlign w:val="top"/>
          </w:tcPr>
          <w:p w14:paraId="3EEED59F">
            <w:pPr>
              <w:pStyle w:val="6"/>
              <w:spacing w:before="73" w:line="190" w:lineRule="auto"/>
              <w:ind w:left="335"/>
              <w:rPr>
                <w:sz w:val="23"/>
                <w:szCs w:val="23"/>
              </w:rPr>
            </w:pPr>
            <w:r>
              <w:rPr>
                <w:spacing w:val="-4"/>
                <w:sz w:val="23"/>
                <w:szCs w:val="23"/>
              </w:rPr>
              <w:t>52</w:t>
            </w:r>
          </w:p>
        </w:tc>
        <w:tc>
          <w:tcPr>
            <w:tcW w:w="769" w:type="dxa"/>
            <w:vAlign w:val="top"/>
          </w:tcPr>
          <w:p w14:paraId="375E6B0F">
            <w:pPr>
              <w:pStyle w:val="6"/>
              <w:spacing w:before="73" w:line="190" w:lineRule="auto"/>
              <w:ind w:left="146"/>
              <w:rPr>
                <w:sz w:val="23"/>
                <w:szCs w:val="23"/>
              </w:rPr>
            </w:pPr>
            <w:r>
              <w:rPr>
                <w:spacing w:val="-3"/>
                <w:sz w:val="23"/>
                <w:szCs w:val="23"/>
              </w:rPr>
              <w:t>54.8</w:t>
            </w:r>
          </w:p>
        </w:tc>
        <w:tc>
          <w:tcPr>
            <w:tcW w:w="1219" w:type="dxa"/>
            <w:vAlign w:val="top"/>
          </w:tcPr>
          <w:p w14:paraId="6739AF29">
            <w:pPr>
              <w:pStyle w:val="6"/>
              <w:spacing w:before="73" w:line="190" w:lineRule="auto"/>
              <w:ind w:right="4"/>
              <w:jc w:val="right"/>
              <w:rPr>
                <w:sz w:val="23"/>
                <w:szCs w:val="23"/>
              </w:rPr>
            </w:pPr>
            <w:r>
              <w:rPr>
                <w:spacing w:val="-3"/>
                <w:sz w:val="23"/>
                <w:szCs w:val="23"/>
              </w:rPr>
              <w:t>2.8</w:t>
            </w:r>
          </w:p>
        </w:tc>
        <w:tc>
          <w:tcPr>
            <w:tcW w:w="799" w:type="dxa"/>
            <w:vAlign w:val="top"/>
          </w:tcPr>
          <w:p w14:paraId="1831FD5C">
            <w:pPr>
              <w:pStyle w:val="6"/>
              <w:spacing w:before="73" w:line="190" w:lineRule="auto"/>
              <w:ind w:left="277"/>
              <w:rPr>
                <w:sz w:val="23"/>
                <w:szCs w:val="23"/>
              </w:rPr>
            </w:pPr>
            <w:r>
              <w:rPr>
                <w:spacing w:val="-4"/>
                <w:sz w:val="23"/>
                <w:szCs w:val="23"/>
              </w:rPr>
              <w:t>55</w:t>
            </w:r>
          </w:p>
        </w:tc>
        <w:tc>
          <w:tcPr>
            <w:tcW w:w="594" w:type="dxa"/>
            <w:vAlign w:val="top"/>
          </w:tcPr>
          <w:p w14:paraId="67522C9F">
            <w:pPr>
              <w:pStyle w:val="6"/>
              <w:spacing w:before="50" w:line="208" w:lineRule="auto"/>
              <w:ind w:left="99"/>
              <w:rPr>
                <w:sz w:val="23"/>
                <w:szCs w:val="23"/>
              </w:rPr>
            </w:pPr>
            <w:r>
              <w:rPr>
                <w:spacing w:val="-3"/>
                <w:sz w:val="23"/>
                <w:szCs w:val="23"/>
              </w:rPr>
              <w:t>达标</w:t>
            </w:r>
          </w:p>
        </w:tc>
      </w:tr>
      <w:tr w14:paraId="5D040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904" w:type="dxa"/>
            <w:vMerge w:val="continue"/>
            <w:tcBorders>
              <w:top w:val="nil"/>
              <w:bottom w:val="nil"/>
            </w:tcBorders>
            <w:vAlign w:val="top"/>
          </w:tcPr>
          <w:p w14:paraId="1764AAD1">
            <w:pPr>
              <w:rPr>
                <w:rFonts w:ascii="Arial"/>
                <w:sz w:val="21"/>
              </w:rPr>
            </w:pPr>
          </w:p>
        </w:tc>
        <w:tc>
          <w:tcPr>
            <w:tcW w:w="310" w:type="dxa"/>
            <w:vAlign w:val="top"/>
          </w:tcPr>
          <w:p w14:paraId="3BFF833E">
            <w:pPr>
              <w:pStyle w:val="6"/>
              <w:spacing w:before="73" w:line="198" w:lineRule="auto"/>
              <w:ind w:left="31"/>
              <w:rPr>
                <w:sz w:val="23"/>
                <w:szCs w:val="23"/>
              </w:rPr>
            </w:pPr>
            <w:r>
              <w:rPr>
                <w:spacing w:val="-7"/>
                <w:sz w:val="23"/>
                <w:szCs w:val="23"/>
              </w:rPr>
              <w:t>14</w:t>
            </w:r>
          </w:p>
        </w:tc>
        <w:tc>
          <w:tcPr>
            <w:tcW w:w="1159" w:type="dxa"/>
            <w:vAlign w:val="top"/>
          </w:tcPr>
          <w:p w14:paraId="17743A59">
            <w:pPr>
              <w:pStyle w:val="6"/>
              <w:spacing w:before="49" w:line="217" w:lineRule="auto"/>
              <w:jc w:val="right"/>
              <w:rPr>
                <w:sz w:val="23"/>
                <w:szCs w:val="23"/>
              </w:rPr>
            </w:pPr>
            <w:r>
              <w:rPr>
                <w:spacing w:val="-19"/>
                <w:w w:val="98"/>
                <w:sz w:val="23"/>
                <w:szCs w:val="23"/>
              </w:rPr>
              <w:t>大地村</w:t>
            </w:r>
            <w:r>
              <w:rPr>
                <w:spacing w:val="-18"/>
                <w:w w:val="98"/>
                <w:sz w:val="23"/>
                <w:szCs w:val="23"/>
              </w:rPr>
              <w:t>散户</w:t>
            </w:r>
            <w:r>
              <w:rPr>
                <w:spacing w:val="-15"/>
                <w:w w:val="98"/>
                <w:sz w:val="23"/>
                <w:szCs w:val="23"/>
              </w:rPr>
              <w:t>2</w:t>
            </w:r>
          </w:p>
        </w:tc>
        <w:tc>
          <w:tcPr>
            <w:tcW w:w="1438" w:type="dxa"/>
            <w:vAlign w:val="top"/>
          </w:tcPr>
          <w:p w14:paraId="1487D803">
            <w:pPr>
              <w:pStyle w:val="6"/>
              <w:spacing w:before="50" w:line="216" w:lineRule="auto"/>
              <w:ind w:left="72"/>
              <w:rPr>
                <w:sz w:val="23"/>
                <w:szCs w:val="23"/>
              </w:rPr>
            </w:pPr>
            <w:r>
              <w:rPr>
                <w:spacing w:val="-2"/>
                <w:sz w:val="23"/>
                <w:szCs w:val="23"/>
              </w:rPr>
              <w:t>场界距离91m</w:t>
            </w:r>
          </w:p>
        </w:tc>
        <w:tc>
          <w:tcPr>
            <w:tcW w:w="1109" w:type="dxa"/>
            <w:vAlign w:val="top"/>
          </w:tcPr>
          <w:p w14:paraId="70536E8C">
            <w:pPr>
              <w:pStyle w:val="6"/>
              <w:spacing w:before="73" w:line="198" w:lineRule="auto"/>
              <w:ind w:left="254"/>
              <w:rPr>
                <w:sz w:val="23"/>
                <w:szCs w:val="23"/>
              </w:rPr>
            </w:pPr>
            <w:r>
              <w:rPr>
                <w:spacing w:val="-3"/>
                <w:sz w:val="23"/>
                <w:szCs w:val="23"/>
              </w:rPr>
              <w:t>55.11</w:t>
            </w:r>
          </w:p>
        </w:tc>
        <w:tc>
          <w:tcPr>
            <w:tcW w:w="919" w:type="dxa"/>
            <w:vAlign w:val="top"/>
          </w:tcPr>
          <w:p w14:paraId="1992AF4E">
            <w:pPr>
              <w:pStyle w:val="6"/>
              <w:spacing w:before="73" w:line="198" w:lineRule="auto"/>
              <w:ind w:left="335"/>
              <w:rPr>
                <w:sz w:val="23"/>
                <w:szCs w:val="23"/>
              </w:rPr>
            </w:pPr>
            <w:r>
              <w:rPr>
                <w:spacing w:val="-4"/>
                <w:sz w:val="23"/>
                <w:szCs w:val="23"/>
              </w:rPr>
              <w:t>52</w:t>
            </w:r>
          </w:p>
        </w:tc>
        <w:tc>
          <w:tcPr>
            <w:tcW w:w="769" w:type="dxa"/>
            <w:vAlign w:val="top"/>
          </w:tcPr>
          <w:p w14:paraId="70840EAE">
            <w:pPr>
              <w:pStyle w:val="6"/>
              <w:spacing w:before="73" w:line="198" w:lineRule="auto"/>
              <w:ind w:left="85"/>
              <w:rPr>
                <w:sz w:val="23"/>
                <w:szCs w:val="23"/>
              </w:rPr>
            </w:pPr>
            <w:r>
              <w:rPr>
                <w:spacing w:val="-3"/>
                <w:sz w:val="23"/>
                <w:szCs w:val="23"/>
              </w:rPr>
              <w:t>56.84</w:t>
            </w:r>
          </w:p>
        </w:tc>
        <w:tc>
          <w:tcPr>
            <w:tcW w:w="1219" w:type="dxa"/>
            <w:vAlign w:val="top"/>
          </w:tcPr>
          <w:p w14:paraId="49407995">
            <w:pPr>
              <w:pStyle w:val="6"/>
              <w:spacing w:before="73" w:line="198" w:lineRule="auto"/>
              <w:jc w:val="right"/>
              <w:rPr>
                <w:sz w:val="23"/>
                <w:szCs w:val="23"/>
              </w:rPr>
            </w:pPr>
            <w:r>
              <w:rPr>
                <w:spacing w:val="-3"/>
                <w:sz w:val="23"/>
                <w:szCs w:val="23"/>
              </w:rPr>
              <w:t>4.84</w:t>
            </w:r>
          </w:p>
        </w:tc>
        <w:tc>
          <w:tcPr>
            <w:tcW w:w="799" w:type="dxa"/>
            <w:vAlign w:val="top"/>
          </w:tcPr>
          <w:p w14:paraId="518E3AE4">
            <w:pPr>
              <w:pStyle w:val="6"/>
              <w:spacing w:before="73" w:line="198" w:lineRule="auto"/>
              <w:ind w:left="277"/>
              <w:rPr>
                <w:sz w:val="23"/>
                <w:szCs w:val="23"/>
              </w:rPr>
            </w:pPr>
            <w:r>
              <w:rPr>
                <w:spacing w:val="-4"/>
                <w:sz w:val="23"/>
                <w:szCs w:val="23"/>
              </w:rPr>
              <w:t>55</w:t>
            </w:r>
          </w:p>
        </w:tc>
        <w:tc>
          <w:tcPr>
            <w:tcW w:w="594" w:type="dxa"/>
            <w:vAlign w:val="top"/>
          </w:tcPr>
          <w:p w14:paraId="1AE487D6">
            <w:pPr>
              <w:pStyle w:val="6"/>
              <w:spacing w:before="50" w:line="216" w:lineRule="auto"/>
              <w:ind w:left="99"/>
              <w:rPr>
                <w:sz w:val="23"/>
                <w:szCs w:val="23"/>
              </w:rPr>
            </w:pPr>
            <w:r>
              <w:rPr>
                <w:spacing w:val="-3"/>
                <w:sz w:val="23"/>
                <w:szCs w:val="23"/>
              </w:rPr>
              <w:t>超标</w:t>
            </w:r>
          </w:p>
        </w:tc>
      </w:tr>
      <w:tr w14:paraId="35D85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04" w:type="dxa"/>
            <w:vMerge w:val="continue"/>
            <w:tcBorders>
              <w:top w:val="nil"/>
              <w:bottom w:val="nil"/>
            </w:tcBorders>
            <w:vAlign w:val="top"/>
          </w:tcPr>
          <w:p w14:paraId="21660699">
            <w:pPr>
              <w:rPr>
                <w:rFonts w:ascii="Arial"/>
                <w:sz w:val="21"/>
              </w:rPr>
            </w:pPr>
          </w:p>
        </w:tc>
        <w:tc>
          <w:tcPr>
            <w:tcW w:w="310" w:type="dxa"/>
            <w:vAlign w:val="top"/>
          </w:tcPr>
          <w:p w14:paraId="64204EE5">
            <w:pPr>
              <w:pStyle w:val="6"/>
              <w:spacing w:before="73" w:line="190" w:lineRule="auto"/>
              <w:ind w:left="31"/>
              <w:rPr>
                <w:sz w:val="23"/>
                <w:szCs w:val="23"/>
              </w:rPr>
            </w:pPr>
            <w:r>
              <w:rPr>
                <w:spacing w:val="-7"/>
                <w:sz w:val="23"/>
                <w:szCs w:val="23"/>
              </w:rPr>
              <w:t>15</w:t>
            </w:r>
          </w:p>
        </w:tc>
        <w:tc>
          <w:tcPr>
            <w:tcW w:w="1159" w:type="dxa"/>
            <w:vAlign w:val="top"/>
          </w:tcPr>
          <w:p w14:paraId="1167560C">
            <w:pPr>
              <w:pStyle w:val="6"/>
              <w:spacing w:before="49" w:line="209" w:lineRule="auto"/>
              <w:ind w:left="11"/>
              <w:rPr>
                <w:sz w:val="23"/>
                <w:szCs w:val="23"/>
              </w:rPr>
            </w:pPr>
            <w:r>
              <w:rPr>
                <w:spacing w:val="4"/>
                <w:sz w:val="23"/>
                <w:szCs w:val="23"/>
              </w:rPr>
              <w:t>大莫古</w:t>
            </w:r>
          </w:p>
        </w:tc>
        <w:tc>
          <w:tcPr>
            <w:tcW w:w="1438" w:type="dxa"/>
            <w:vAlign w:val="top"/>
          </w:tcPr>
          <w:p w14:paraId="1ADF7CAE">
            <w:pPr>
              <w:pStyle w:val="6"/>
              <w:spacing w:before="50" w:line="208" w:lineRule="auto"/>
              <w:ind w:left="72"/>
              <w:rPr>
                <w:sz w:val="23"/>
                <w:szCs w:val="23"/>
              </w:rPr>
            </w:pPr>
            <w:r>
              <w:rPr>
                <w:spacing w:val="-2"/>
                <w:sz w:val="23"/>
                <w:szCs w:val="23"/>
              </w:rPr>
              <w:t>场界距离38m</w:t>
            </w:r>
          </w:p>
        </w:tc>
        <w:tc>
          <w:tcPr>
            <w:tcW w:w="1109" w:type="dxa"/>
            <w:vAlign w:val="top"/>
          </w:tcPr>
          <w:p w14:paraId="4D28717E">
            <w:pPr>
              <w:pStyle w:val="6"/>
              <w:spacing w:before="73" w:line="190" w:lineRule="auto"/>
              <w:ind w:left="254"/>
              <w:rPr>
                <w:sz w:val="23"/>
                <w:szCs w:val="23"/>
              </w:rPr>
            </w:pPr>
            <w:r>
              <w:rPr>
                <w:spacing w:val="-3"/>
                <w:sz w:val="23"/>
                <w:szCs w:val="23"/>
              </w:rPr>
              <w:t>59.59</w:t>
            </w:r>
          </w:p>
        </w:tc>
        <w:tc>
          <w:tcPr>
            <w:tcW w:w="919" w:type="dxa"/>
            <w:vAlign w:val="top"/>
          </w:tcPr>
          <w:p w14:paraId="168877CC">
            <w:pPr>
              <w:pStyle w:val="6"/>
              <w:spacing w:before="73" w:line="190" w:lineRule="auto"/>
              <w:ind w:left="225"/>
              <w:rPr>
                <w:sz w:val="23"/>
                <w:szCs w:val="23"/>
              </w:rPr>
            </w:pPr>
            <w:r>
              <w:rPr>
                <w:spacing w:val="-3"/>
                <w:sz w:val="23"/>
                <w:szCs w:val="23"/>
              </w:rPr>
              <w:t>52.5</w:t>
            </w:r>
          </w:p>
        </w:tc>
        <w:tc>
          <w:tcPr>
            <w:tcW w:w="769" w:type="dxa"/>
            <w:vAlign w:val="top"/>
          </w:tcPr>
          <w:p w14:paraId="3C8BA3E9">
            <w:pPr>
              <w:pStyle w:val="6"/>
              <w:spacing w:before="73" w:line="190" w:lineRule="auto"/>
              <w:ind w:left="85"/>
              <w:rPr>
                <w:sz w:val="23"/>
                <w:szCs w:val="23"/>
              </w:rPr>
            </w:pPr>
            <w:r>
              <w:rPr>
                <w:spacing w:val="-2"/>
                <w:sz w:val="23"/>
                <w:szCs w:val="23"/>
              </w:rPr>
              <w:t>60.37</w:t>
            </w:r>
          </w:p>
        </w:tc>
        <w:tc>
          <w:tcPr>
            <w:tcW w:w="1219" w:type="dxa"/>
            <w:vAlign w:val="top"/>
          </w:tcPr>
          <w:p w14:paraId="1346FD6F">
            <w:pPr>
              <w:pStyle w:val="6"/>
              <w:spacing w:before="73" w:line="190" w:lineRule="auto"/>
              <w:ind w:right="2"/>
              <w:jc w:val="right"/>
              <w:rPr>
                <w:sz w:val="23"/>
                <w:szCs w:val="23"/>
              </w:rPr>
            </w:pPr>
            <w:r>
              <w:rPr>
                <w:spacing w:val="-3"/>
                <w:sz w:val="23"/>
                <w:szCs w:val="23"/>
              </w:rPr>
              <w:t>7.87</w:t>
            </w:r>
          </w:p>
        </w:tc>
        <w:tc>
          <w:tcPr>
            <w:tcW w:w="799" w:type="dxa"/>
            <w:vAlign w:val="top"/>
          </w:tcPr>
          <w:p w14:paraId="0DFC3CA9">
            <w:pPr>
              <w:pStyle w:val="6"/>
              <w:spacing w:before="73" w:line="190" w:lineRule="auto"/>
              <w:ind w:left="277"/>
              <w:rPr>
                <w:sz w:val="23"/>
                <w:szCs w:val="23"/>
              </w:rPr>
            </w:pPr>
            <w:r>
              <w:rPr>
                <w:spacing w:val="-4"/>
                <w:sz w:val="23"/>
                <w:szCs w:val="23"/>
              </w:rPr>
              <w:t>70</w:t>
            </w:r>
          </w:p>
        </w:tc>
        <w:tc>
          <w:tcPr>
            <w:tcW w:w="594" w:type="dxa"/>
            <w:vAlign w:val="top"/>
          </w:tcPr>
          <w:p w14:paraId="4D095CEA">
            <w:pPr>
              <w:pStyle w:val="6"/>
              <w:spacing w:before="50" w:line="208" w:lineRule="auto"/>
              <w:ind w:left="69"/>
              <w:rPr>
                <w:sz w:val="23"/>
                <w:szCs w:val="23"/>
              </w:rPr>
            </w:pPr>
            <w:r>
              <w:rPr>
                <w:spacing w:val="-3"/>
                <w:sz w:val="23"/>
                <w:szCs w:val="23"/>
              </w:rPr>
              <w:t>达标</w:t>
            </w:r>
          </w:p>
        </w:tc>
      </w:tr>
      <w:tr w14:paraId="75AE0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904" w:type="dxa"/>
            <w:vMerge w:val="continue"/>
            <w:tcBorders>
              <w:top w:val="nil"/>
              <w:bottom w:val="nil"/>
            </w:tcBorders>
            <w:vAlign w:val="top"/>
          </w:tcPr>
          <w:p w14:paraId="375C04A4">
            <w:pPr>
              <w:rPr>
                <w:rFonts w:ascii="Arial"/>
                <w:sz w:val="21"/>
              </w:rPr>
            </w:pPr>
          </w:p>
        </w:tc>
        <w:tc>
          <w:tcPr>
            <w:tcW w:w="310" w:type="dxa"/>
            <w:vAlign w:val="top"/>
          </w:tcPr>
          <w:p w14:paraId="5BFC24BB">
            <w:pPr>
              <w:pStyle w:val="6"/>
              <w:spacing w:before="262"/>
              <w:ind w:left="31"/>
              <w:rPr>
                <w:sz w:val="23"/>
                <w:szCs w:val="23"/>
              </w:rPr>
            </w:pPr>
            <w:r>
              <w:rPr>
                <w:spacing w:val="-7"/>
                <w:sz w:val="23"/>
                <w:szCs w:val="23"/>
              </w:rPr>
              <w:t>16</w:t>
            </w:r>
          </w:p>
        </w:tc>
        <w:tc>
          <w:tcPr>
            <w:tcW w:w="1159" w:type="dxa"/>
            <w:vAlign w:val="top"/>
          </w:tcPr>
          <w:p w14:paraId="2438CD08">
            <w:pPr>
              <w:pStyle w:val="6"/>
              <w:spacing w:before="28" w:line="182" w:lineRule="auto"/>
              <w:ind w:left="11"/>
              <w:jc w:val="both"/>
            </w:pPr>
            <w:r>
              <w:rPr>
                <w:spacing w:val="-3"/>
                <w:sz w:val="23"/>
                <w:szCs w:val="23"/>
              </w:rPr>
              <w:t>大莫古散户</w:t>
            </w:r>
            <w:r>
              <w:rPr>
                <w:spacing w:val="1"/>
                <w:sz w:val="23"/>
                <w:szCs w:val="23"/>
              </w:rPr>
              <w:t xml:space="preserve"> </w:t>
            </w:r>
            <w:r>
              <w:rPr>
                <w:spacing w:val="-25"/>
                <w:sz w:val="23"/>
                <w:szCs w:val="23"/>
              </w:rPr>
              <w:t>(田间农户看</w:t>
            </w:r>
            <w:r>
              <w:rPr>
                <w:sz w:val="23"/>
                <w:szCs w:val="23"/>
              </w:rPr>
              <w:t xml:space="preserve"> </w:t>
            </w:r>
            <w:r>
              <w:rPr>
                <w:spacing w:val="-7"/>
              </w:rPr>
              <w:t>地</w:t>
            </w:r>
            <w:r>
              <w:rPr>
                <w:spacing w:val="-45"/>
              </w:rPr>
              <w:t xml:space="preserve"> </w:t>
            </w:r>
            <w:r>
              <w:rPr>
                <w:spacing w:val="-7"/>
              </w:rPr>
              <w:t>)</w:t>
            </w:r>
          </w:p>
        </w:tc>
        <w:tc>
          <w:tcPr>
            <w:tcW w:w="1438" w:type="dxa"/>
            <w:vAlign w:val="top"/>
          </w:tcPr>
          <w:p w14:paraId="3EE7F437">
            <w:pPr>
              <w:pStyle w:val="6"/>
              <w:spacing w:before="241" w:line="220" w:lineRule="auto"/>
              <w:ind w:left="132"/>
              <w:rPr>
                <w:sz w:val="23"/>
                <w:szCs w:val="23"/>
              </w:rPr>
            </w:pPr>
            <w:r>
              <w:rPr>
                <w:spacing w:val="-2"/>
                <w:sz w:val="23"/>
                <w:szCs w:val="23"/>
              </w:rPr>
              <w:t>场界距离2m</w:t>
            </w:r>
          </w:p>
        </w:tc>
        <w:tc>
          <w:tcPr>
            <w:tcW w:w="1109" w:type="dxa"/>
            <w:vAlign w:val="top"/>
          </w:tcPr>
          <w:p w14:paraId="018DC94D">
            <w:pPr>
              <w:pStyle w:val="6"/>
              <w:spacing w:before="263" w:line="239" w:lineRule="auto"/>
              <w:ind w:left="254"/>
              <w:rPr>
                <w:sz w:val="23"/>
                <w:szCs w:val="23"/>
              </w:rPr>
            </w:pPr>
            <w:r>
              <w:rPr>
                <w:spacing w:val="-2"/>
                <w:sz w:val="23"/>
                <w:szCs w:val="23"/>
              </w:rPr>
              <w:t>88.27</w:t>
            </w:r>
          </w:p>
        </w:tc>
        <w:tc>
          <w:tcPr>
            <w:tcW w:w="919" w:type="dxa"/>
            <w:vAlign w:val="top"/>
          </w:tcPr>
          <w:p w14:paraId="031E7E47">
            <w:pPr>
              <w:pStyle w:val="6"/>
              <w:spacing w:before="262"/>
              <w:ind w:left="335"/>
              <w:rPr>
                <w:sz w:val="23"/>
                <w:szCs w:val="23"/>
              </w:rPr>
            </w:pPr>
            <w:r>
              <w:rPr>
                <w:spacing w:val="-4"/>
                <w:sz w:val="23"/>
                <w:szCs w:val="23"/>
              </w:rPr>
              <w:t>52</w:t>
            </w:r>
          </w:p>
        </w:tc>
        <w:tc>
          <w:tcPr>
            <w:tcW w:w="769" w:type="dxa"/>
            <w:vAlign w:val="top"/>
          </w:tcPr>
          <w:p w14:paraId="58A74201">
            <w:pPr>
              <w:pStyle w:val="6"/>
              <w:spacing w:before="263" w:line="239" w:lineRule="auto"/>
              <w:ind w:left="85"/>
              <w:rPr>
                <w:sz w:val="23"/>
                <w:szCs w:val="23"/>
              </w:rPr>
            </w:pPr>
            <w:r>
              <w:rPr>
                <w:spacing w:val="-2"/>
                <w:sz w:val="23"/>
                <w:szCs w:val="23"/>
              </w:rPr>
              <w:t>88.27</w:t>
            </w:r>
          </w:p>
        </w:tc>
        <w:tc>
          <w:tcPr>
            <w:tcW w:w="1219" w:type="dxa"/>
            <w:vAlign w:val="top"/>
          </w:tcPr>
          <w:p w14:paraId="7EC7D157">
            <w:pPr>
              <w:pStyle w:val="6"/>
              <w:spacing w:before="263" w:line="239" w:lineRule="auto"/>
              <w:ind w:right="7"/>
              <w:jc w:val="right"/>
              <w:rPr>
                <w:sz w:val="23"/>
                <w:szCs w:val="23"/>
              </w:rPr>
            </w:pPr>
            <w:r>
              <w:rPr>
                <w:spacing w:val="-3"/>
                <w:sz w:val="23"/>
                <w:szCs w:val="23"/>
              </w:rPr>
              <w:t>36.27</w:t>
            </w:r>
          </w:p>
        </w:tc>
        <w:tc>
          <w:tcPr>
            <w:tcW w:w="799" w:type="dxa"/>
            <w:vAlign w:val="top"/>
          </w:tcPr>
          <w:p w14:paraId="1EAB1EC7">
            <w:pPr>
              <w:pStyle w:val="6"/>
              <w:spacing w:before="262"/>
              <w:ind w:left="277"/>
              <w:rPr>
                <w:sz w:val="23"/>
                <w:szCs w:val="23"/>
              </w:rPr>
            </w:pPr>
            <w:r>
              <w:rPr>
                <w:spacing w:val="-4"/>
                <w:sz w:val="23"/>
                <w:szCs w:val="23"/>
              </w:rPr>
              <w:t>55</w:t>
            </w:r>
          </w:p>
        </w:tc>
        <w:tc>
          <w:tcPr>
            <w:tcW w:w="594" w:type="dxa"/>
            <w:vAlign w:val="top"/>
          </w:tcPr>
          <w:p w14:paraId="4C78FE74">
            <w:pPr>
              <w:pStyle w:val="6"/>
              <w:spacing w:before="241" w:line="220" w:lineRule="auto"/>
              <w:ind w:left="99"/>
              <w:rPr>
                <w:sz w:val="23"/>
                <w:szCs w:val="23"/>
              </w:rPr>
            </w:pPr>
            <w:r>
              <w:rPr>
                <w:spacing w:val="-3"/>
                <w:sz w:val="23"/>
                <w:szCs w:val="23"/>
              </w:rPr>
              <w:t>超标</w:t>
            </w:r>
          </w:p>
        </w:tc>
      </w:tr>
      <w:tr w14:paraId="04423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904" w:type="dxa"/>
            <w:vMerge w:val="continue"/>
            <w:tcBorders>
              <w:top w:val="nil"/>
              <w:bottom w:val="nil"/>
            </w:tcBorders>
            <w:vAlign w:val="top"/>
          </w:tcPr>
          <w:p w14:paraId="310B7D7E">
            <w:pPr>
              <w:rPr>
                <w:rFonts w:ascii="Arial"/>
                <w:sz w:val="21"/>
              </w:rPr>
            </w:pPr>
          </w:p>
        </w:tc>
        <w:tc>
          <w:tcPr>
            <w:tcW w:w="310" w:type="dxa"/>
            <w:vAlign w:val="top"/>
          </w:tcPr>
          <w:p w14:paraId="25C7F18D">
            <w:pPr>
              <w:pStyle w:val="6"/>
              <w:spacing w:before="263"/>
              <w:ind w:left="31"/>
              <w:rPr>
                <w:sz w:val="23"/>
                <w:szCs w:val="23"/>
              </w:rPr>
            </w:pPr>
            <w:r>
              <w:rPr>
                <w:spacing w:val="-7"/>
                <w:sz w:val="23"/>
                <w:szCs w:val="23"/>
              </w:rPr>
              <w:t>17</w:t>
            </w:r>
          </w:p>
        </w:tc>
        <w:tc>
          <w:tcPr>
            <w:tcW w:w="1159" w:type="dxa"/>
            <w:vAlign w:val="top"/>
          </w:tcPr>
          <w:p w14:paraId="13BDADC7">
            <w:pPr>
              <w:pStyle w:val="6"/>
              <w:spacing w:before="20" w:line="193" w:lineRule="auto"/>
              <w:jc w:val="right"/>
              <w:rPr>
                <w:sz w:val="23"/>
                <w:szCs w:val="23"/>
              </w:rPr>
            </w:pPr>
            <w:r>
              <w:rPr>
                <w:spacing w:val="-20"/>
                <w:w w:val="98"/>
                <w:sz w:val="23"/>
                <w:szCs w:val="23"/>
              </w:rPr>
              <w:t>大地村散</w:t>
            </w:r>
            <w:r>
              <w:rPr>
                <w:spacing w:val="-19"/>
                <w:w w:val="98"/>
                <w:sz w:val="23"/>
                <w:szCs w:val="23"/>
              </w:rPr>
              <w:t>户</w:t>
            </w:r>
            <w:r>
              <w:rPr>
                <w:spacing w:val="-15"/>
                <w:w w:val="98"/>
                <w:sz w:val="23"/>
                <w:szCs w:val="23"/>
              </w:rPr>
              <w:t>5</w:t>
            </w:r>
          </w:p>
          <w:p w14:paraId="366C5D63">
            <w:pPr>
              <w:pStyle w:val="6"/>
              <w:spacing w:before="2" w:line="175" w:lineRule="auto"/>
              <w:ind w:left="11" w:firstLine="29"/>
            </w:pPr>
            <w:r>
              <w:rPr>
                <w:spacing w:val="-31"/>
                <w:sz w:val="23"/>
                <w:szCs w:val="23"/>
              </w:rPr>
              <w:t>(田</w:t>
            </w:r>
            <w:r>
              <w:rPr>
                <w:spacing w:val="-30"/>
                <w:sz w:val="23"/>
                <w:szCs w:val="23"/>
              </w:rPr>
              <w:t>间农户</w:t>
            </w:r>
            <w:r>
              <w:rPr>
                <w:spacing w:val="-10"/>
                <w:sz w:val="23"/>
                <w:szCs w:val="23"/>
              </w:rPr>
              <w:t>看</w:t>
            </w:r>
            <w:r>
              <w:rPr>
                <w:spacing w:val="3"/>
                <w:sz w:val="23"/>
                <w:szCs w:val="23"/>
              </w:rPr>
              <w:t xml:space="preserve"> </w:t>
            </w:r>
            <w:r>
              <w:rPr>
                <w:spacing w:val="-5"/>
              </w:rPr>
              <w:t>地</w:t>
            </w:r>
            <w:r>
              <w:rPr>
                <w:spacing w:val="-44"/>
              </w:rPr>
              <w:t xml:space="preserve"> </w:t>
            </w:r>
            <w:r>
              <w:rPr>
                <w:spacing w:val="-5"/>
              </w:rPr>
              <w:t>)</w:t>
            </w:r>
          </w:p>
        </w:tc>
        <w:tc>
          <w:tcPr>
            <w:tcW w:w="1438" w:type="dxa"/>
            <w:vAlign w:val="top"/>
          </w:tcPr>
          <w:p w14:paraId="662389C5">
            <w:pPr>
              <w:pStyle w:val="6"/>
              <w:spacing w:before="242" w:line="220" w:lineRule="auto"/>
              <w:ind w:left="132"/>
              <w:rPr>
                <w:sz w:val="23"/>
                <w:szCs w:val="23"/>
              </w:rPr>
            </w:pPr>
            <w:r>
              <w:rPr>
                <w:spacing w:val="-2"/>
                <w:sz w:val="23"/>
                <w:szCs w:val="23"/>
              </w:rPr>
              <w:t>场界距离2m</w:t>
            </w:r>
          </w:p>
        </w:tc>
        <w:tc>
          <w:tcPr>
            <w:tcW w:w="1109" w:type="dxa"/>
            <w:vAlign w:val="top"/>
          </w:tcPr>
          <w:p w14:paraId="2801D164">
            <w:pPr>
              <w:pStyle w:val="6"/>
              <w:spacing w:before="264" w:line="239" w:lineRule="auto"/>
              <w:ind w:left="254"/>
              <w:rPr>
                <w:sz w:val="23"/>
                <w:szCs w:val="23"/>
              </w:rPr>
            </w:pPr>
            <w:r>
              <w:rPr>
                <w:spacing w:val="-2"/>
                <w:sz w:val="23"/>
                <w:szCs w:val="23"/>
              </w:rPr>
              <w:t>88.27</w:t>
            </w:r>
          </w:p>
        </w:tc>
        <w:tc>
          <w:tcPr>
            <w:tcW w:w="919" w:type="dxa"/>
            <w:vAlign w:val="top"/>
          </w:tcPr>
          <w:p w14:paraId="3B8BF4F9">
            <w:pPr>
              <w:pStyle w:val="6"/>
              <w:spacing w:before="263"/>
              <w:ind w:left="335"/>
              <w:rPr>
                <w:sz w:val="23"/>
                <w:szCs w:val="23"/>
              </w:rPr>
            </w:pPr>
            <w:r>
              <w:rPr>
                <w:spacing w:val="-4"/>
                <w:sz w:val="23"/>
                <w:szCs w:val="23"/>
              </w:rPr>
              <w:t>52</w:t>
            </w:r>
          </w:p>
        </w:tc>
        <w:tc>
          <w:tcPr>
            <w:tcW w:w="769" w:type="dxa"/>
            <w:vAlign w:val="top"/>
          </w:tcPr>
          <w:p w14:paraId="278D5713">
            <w:pPr>
              <w:pStyle w:val="6"/>
              <w:spacing w:before="264" w:line="239" w:lineRule="auto"/>
              <w:ind w:left="85"/>
              <w:rPr>
                <w:sz w:val="23"/>
                <w:szCs w:val="23"/>
              </w:rPr>
            </w:pPr>
            <w:r>
              <w:rPr>
                <w:spacing w:val="-2"/>
                <w:sz w:val="23"/>
                <w:szCs w:val="23"/>
              </w:rPr>
              <w:t>88.27</w:t>
            </w:r>
          </w:p>
        </w:tc>
        <w:tc>
          <w:tcPr>
            <w:tcW w:w="1219" w:type="dxa"/>
            <w:vAlign w:val="top"/>
          </w:tcPr>
          <w:p w14:paraId="49A3A662">
            <w:pPr>
              <w:pStyle w:val="6"/>
              <w:spacing w:before="264" w:line="239" w:lineRule="auto"/>
              <w:ind w:right="7"/>
              <w:jc w:val="right"/>
              <w:rPr>
                <w:sz w:val="23"/>
                <w:szCs w:val="23"/>
              </w:rPr>
            </w:pPr>
            <w:r>
              <w:rPr>
                <w:spacing w:val="-3"/>
                <w:sz w:val="23"/>
                <w:szCs w:val="23"/>
              </w:rPr>
              <w:t>36.27</w:t>
            </w:r>
          </w:p>
        </w:tc>
        <w:tc>
          <w:tcPr>
            <w:tcW w:w="799" w:type="dxa"/>
            <w:vAlign w:val="top"/>
          </w:tcPr>
          <w:p w14:paraId="4FF8DD49">
            <w:pPr>
              <w:pStyle w:val="6"/>
              <w:spacing w:before="263"/>
              <w:ind w:left="277"/>
              <w:rPr>
                <w:sz w:val="23"/>
                <w:szCs w:val="23"/>
              </w:rPr>
            </w:pPr>
            <w:r>
              <w:rPr>
                <w:spacing w:val="-4"/>
                <w:sz w:val="23"/>
                <w:szCs w:val="23"/>
              </w:rPr>
              <w:t>55</w:t>
            </w:r>
          </w:p>
        </w:tc>
        <w:tc>
          <w:tcPr>
            <w:tcW w:w="594" w:type="dxa"/>
            <w:vAlign w:val="top"/>
          </w:tcPr>
          <w:p w14:paraId="3478B8AC">
            <w:pPr>
              <w:pStyle w:val="6"/>
              <w:spacing w:before="242" w:line="220" w:lineRule="auto"/>
              <w:ind w:left="99"/>
              <w:rPr>
                <w:sz w:val="23"/>
                <w:szCs w:val="23"/>
              </w:rPr>
            </w:pPr>
            <w:r>
              <w:rPr>
                <w:spacing w:val="-3"/>
                <w:sz w:val="23"/>
                <w:szCs w:val="23"/>
              </w:rPr>
              <w:t>超标</w:t>
            </w:r>
          </w:p>
        </w:tc>
      </w:tr>
      <w:tr w14:paraId="12AD9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904" w:type="dxa"/>
            <w:vMerge w:val="continue"/>
            <w:tcBorders>
              <w:top w:val="nil"/>
              <w:bottom w:val="nil"/>
            </w:tcBorders>
            <w:vAlign w:val="top"/>
          </w:tcPr>
          <w:p w14:paraId="34C0EB35">
            <w:pPr>
              <w:rPr>
                <w:rFonts w:ascii="Arial"/>
                <w:sz w:val="21"/>
              </w:rPr>
            </w:pPr>
          </w:p>
        </w:tc>
        <w:tc>
          <w:tcPr>
            <w:tcW w:w="310" w:type="dxa"/>
            <w:vAlign w:val="top"/>
          </w:tcPr>
          <w:p w14:paraId="220BF5B7">
            <w:pPr>
              <w:pStyle w:val="6"/>
              <w:spacing w:before="263"/>
              <w:ind w:left="31"/>
              <w:rPr>
                <w:sz w:val="23"/>
                <w:szCs w:val="23"/>
              </w:rPr>
            </w:pPr>
            <w:r>
              <w:rPr>
                <w:spacing w:val="-7"/>
                <w:sz w:val="23"/>
                <w:szCs w:val="23"/>
              </w:rPr>
              <w:t>18</w:t>
            </w:r>
          </w:p>
        </w:tc>
        <w:tc>
          <w:tcPr>
            <w:tcW w:w="1159" w:type="dxa"/>
            <w:vAlign w:val="top"/>
          </w:tcPr>
          <w:p w14:paraId="11B291F5">
            <w:pPr>
              <w:pStyle w:val="6"/>
              <w:spacing w:before="20" w:line="193" w:lineRule="auto"/>
              <w:jc w:val="right"/>
              <w:rPr>
                <w:sz w:val="23"/>
                <w:szCs w:val="23"/>
              </w:rPr>
            </w:pPr>
            <w:r>
              <w:rPr>
                <w:spacing w:val="-20"/>
                <w:w w:val="98"/>
                <w:sz w:val="23"/>
                <w:szCs w:val="23"/>
              </w:rPr>
              <w:t>大</w:t>
            </w:r>
            <w:r>
              <w:rPr>
                <w:spacing w:val="-19"/>
                <w:w w:val="98"/>
                <w:sz w:val="23"/>
                <w:szCs w:val="23"/>
              </w:rPr>
              <w:t>地村散户</w:t>
            </w:r>
            <w:r>
              <w:rPr>
                <w:spacing w:val="-12"/>
                <w:w w:val="98"/>
                <w:sz w:val="23"/>
                <w:szCs w:val="23"/>
              </w:rPr>
              <w:t>6</w:t>
            </w:r>
          </w:p>
          <w:p w14:paraId="42E52AD9">
            <w:pPr>
              <w:pStyle w:val="6"/>
              <w:spacing w:before="1" w:line="175" w:lineRule="auto"/>
              <w:ind w:left="11" w:firstLine="29"/>
              <w:rPr>
                <w:sz w:val="23"/>
                <w:szCs w:val="23"/>
              </w:rPr>
            </w:pPr>
            <w:r>
              <w:rPr>
                <w:spacing w:val="-31"/>
                <w:sz w:val="23"/>
                <w:szCs w:val="23"/>
              </w:rPr>
              <w:t>(田</w:t>
            </w:r>
            <w:r>
              <w:rPr>
                <w:spacing w:val="-30"/>
                <w:sz w:val="23"/>
                <w:szCs w:val="23"/>
              </w:rPr>
              <w:t>间农户</w:t>
            </w:r>
            <w:r>
              <w:rPr>
                <w:spacing w:val="-10"/>
                <w:sz w:val="23"/>
                <w:szCs w:val="23"/>
              </w:rPr>
              <w:t>看</w:t>
            </w:r>
            <w:r>
              <w:rPr>
                <w:spacing w:val="3"/>
                <w:sz w:val="23"/>
                <w:szCs w:val="23"/>
              </w:rPr>
              <w:t xml:space="preserve"> </w:t>
            </w:r>
            <w:r>
              <w:rPr>
                <w:spacing w:val="-5"/>
                <w:sz w:val="23"/>
                <w:szCs w:val="23"/>
              </w:rPr>
              <w:t>地</w:t>
            </w:r>
            <w:r>
              <w:rPr>
                <w:spacing w:val="-51"/>
                <w:sz w:val="23"/>
                <w:szCs w:val="23"/>
              </w:rPr>
              <w:t xml:space="preserve"> </w:t>
            </w:r>
            <w:r>
              <w:rPr>
                <w:spacing w:val="-5"/>
                <w:sz w:val="23"/>
                <w:szCs w:val="23"/>
              </w:rPr>
              <w:t>)</w:t>
            </w:r>
          </w:p>
        </w:tc>
        <w:tc>
          <w:tcPr>
            <w:tcW w:w="1438" w:type="dxa"/>
            <w:vAlign w:val="top"/>
          </w:tcPr>
          <w:p w14:paraId="53475319">
            <w:pPr>
              <w:pStyle w:val="6"/>
              <w:spacing w:before="242" w:line="220" w:lineRule="auto"/>
              <w:ind w:left="72"/>
              <w:rPr>
                <w:sz w:val="23"/>
                <w:szCs w:val="23"/>
              </w:rPr>
            </w:pPr>
            <w:r>
              <w:rPr>
                <w:spacing w:val="-2"/>
                <w:sz w:val="23"/>
                <w:szCs w:val="23"/>
              </w:rPr>
              <w:t>场界距离53m</w:t>
            </w:r>
          </w:p>
        </w:tc>
        <w:tc>
          <w:tcPr>
            <w:tcW w:w="1109" w:type="dxa"/>
            <w:vAlign w:val="top"/>
          </w:tcPr>
          <w:p w14:paraId="6DC5A68B">
            <w:pPr>
              <w:pStyle w:val="6"/>
              <w:spacing w:before="264" w:line="239" w:lineRule="auto"/>
              <w:ind w:left="314"/>
              <w:rPr>
                <w:sz w:val="23"/>
                <w:szCs w:val="23"/>
              </w:rPr>
            </w:pPr>
            <w:r>
              <w:rPr>
                <w:spacing w:val="-3"/>
                <w:sz w:val="23"/>
                <w:szCs w:val="23"/>
              </w:rPr>
              <w:t>59.8</w:t>
            </w:r>
          </w:p>
        </w:tc>
        <w:tc>
          <w:tcPr>
            <w:tcW w:w="919" w:type="dxa"/>
            <w:vAlign w:val="top"/>
          </w:tcPr>
          <w:p w14:paraId="0427A295">
            <w:pPr>
              <w:pStyle w:val="6"/>
              <w:spacing w:before="263"/>
              <w:ind w:left="335"/>
              <w:rPr>
                <w:sz w:val="23"/>
                <w:szCs w:val="23"/>
              </w:rPr>
            </w:pPr>
            <w:r>
              <w:rPr>
                <w:spacing w:val="-4"/>
                <w:sz w:val="23"/>
                <w:szCs w:val="23"/>
              </w:rPr>
              <w:t>52</w:t>
            </w:r>
          </w:p>
        </w:tc>
        <w:tc>
          <w:tcPr>
            <w:tcW w:w="769" w:type="dxa"/>
            <w:vAlign w:val="top"/>
          </w:tcPr>
          <w:p w14:paraId="36EDC2DC">
            <w:pPr>
              <w:pStyle w:val="6"/>
              <w:spacing w:before="264" w:line="239" w:lineRule="auto"/>
              <w:ind w:left="85"/>
              <w:rPr>
                <w:sz w:val="23"/>
                <w:szCs w:val="23"/>
              </w:rPr>
            </w:pPr>
            <w:r>
              <w:rPr>
                <w:spacing w:val="-2"/>
                <w:sz w:val="23"/>
                <w:szCs w:val="23"/>
              </w:rPr>
              <w:t>60.47</w:t>
            </w:r>
          </w:p>
        </w:tc>
        <w:tc>
          <w:tcPr>
            <w:tcW w:w="1219" w:type="dxa"/>
            <w:vAlign w:val="top"/>
          </w:tcPr>
          <w:p w14:paraId="52A00437">
            <w:pPr>
              <w:pStyle w:val="6"/>
              <w:spacing w:before="264" w:line="239" w:lineRule="auto"/>
              <w:jc w:val="right"/>
              <w:rPr>
                <w:sz w:val="23"/>
                <w:szCs w:val="23"/>
              </w:rPr>
            </w:pPr>
            <w:r>
              <w:rPr>
                <w:spacing w:val="-3"/>
                <w:sz w:val="23"/>
                <w:szCs w:val="23"/>
              </w:rPr>
              <w:t>8.47</w:t>
            </w:r>
          </w:p>
        </w:tc>
        <w:tc>
          <w:tcPr>
            <w:tcW w:w="799" w:type="dxa"/>
            <w:vAlign w:val="top"/>
          </w:tcPr>
          <w:p w14:paraId="3AC5BD06">
            <w:pPr>
              <w:pStyle w:val="6"/>
              <w:spacing w:before="263"/>
              <w:ind w:left="277"/>
              <w:rPr>
                <w:sz w:val="23"/>
                <w:szCs w:val="23"/>
              </w:rPr>
            </w:pPr>
            <w:r>
              <w:rPr>
                <w:spacing w:val="-4"/>
                <w:sz w:val="23"/>
                <w:szCs w:val="23"/>
              </w:rPr>
              <w:t>55</w:t>
            </w:r>
          </w:p>
        </w:tc>
        <w:tc>
          <w:tcPr>
            <w:tcW w:w="594" w:type="dxa"/>
            <w:vAlign w:val="top"/>
          </w:tcPr>
          <w:p w14:paraId="4C12A27D">
            <w:pPr>
              <w:pStyle w:val="6"/>
              <w:spacing w:before="242" w:line="220" w:lineRule="auto"/>
              <w:ind w:left="99"/>
              <w:rPr>
                <w:sz w:val="23"/>
                <w:szCs w:val="23"/>
              </w:rPr>
            </w:pPr>
            <w:r>
              <w:rPr>
                <w:spacing w:val="-3"/>
                <w:sz w:val="23"/>
                <w:szCs w:val="23"/>
              </w:rPr>
              <w:t>超标</w:t>
            </w:r>
          </w:p>
        </w:tc>
      </w:tr>
      <w:tr w14:paraId="47C96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04" w:type="dxa"/>
            <w:vMerge w:val="continue"/>
            <w:tcBorders>
              <w:top w:val="nil"/>
              <w:bottom w:val="nil"/>
            </w:tcBorders>
            <w:vAlign w:val="top"/>
          </w:tcPr>
          <w:p w14:paraId="7BC88468">
            <w:pPr>
              <w:rPr>
                <w:rFonts w:ascii="Arial"/>
                <w:sz w:val="21"/>
              </w:rPr>
            </w:pPr>
          </w:p>
        </w:tc>
        <w:tc>
          <w:tcPr>
            <w:tcW w:w="310" w:type="dxa"/>
            <w:vAlign w:val="top"/>
          </w:tcPr>
          <w:p w14:paraId="5F98EB53">
            <w:pPr>
              <w:pStyle w:val="6"/>
              <w:spacing w:before="75" w:line="188" w:lineRule="auto"/>
              <w:ind w:left="31"/>
              <w:rPr>
                <w:sz w:val="23"/>
                <w:szCs w:val="23"/>
              </w:rPr>
            </w:pPr>
            <w:r>
              <w:rPr>
                <w:spacing w:val="-7"/>
                <w:sz w:val="23"/>
                <w:szCs w:val="23"/>
              </w:rPr>
              <w:t>19</w:t>
            </w:r>
          </w:p>
        </w:tc>
        <w:tc>
          <w:tcPr>
            <w:tcW w:w="1159" w:type="dxa"/>
            <w:vAlign w:val="top"/>
          </w:tcPr>
          <w:p w14:paraId="441FCBAB">
            <w:pPr>
              <w:pStyle w:val="6"/>
              <w:spacing w:before="52" w:line="207" w:lineRule="auto"/>
              <w:ind w:left="11"/>
              <w:rPr>
                <w:sz w:val="23"/>
                <w:szCs w:val="23"/>
              </w:rPr>
            </w:pPr>
            <w:r>
              <w:rPr>
                <w:spacing w:val="5"/>
                <w:sz w:val="23"/>
                <w:szCs w:val="23"/>
              </w:rPr>
              <w:t>新村</w:t>
            </w:r>
          </w:p>
        </w:tc>
        <w:tc>
          <w:tcPr>
            <w:tcW w:w="1438" w:type="dxa"/>
            <w:vAlign w:val="top"/>
          </w:tcPr>
          <w:p w14:paraId="0E1A096D">
            <w:pPr>
              <w:pStyle w:val="6"/>
              <w:spacing w:before="53" w:line="206" w:lineRule="auto"/>
              <w:ind w:left="22"/>
              <w:rPr>
                <w:sz w:val="23"/>
                <w:szCs w:val="23"/>
              </w:rPr>
            </w:pPr>
            <w:r>
              <w:rPr>
                <w:spacing w:val="-1"/>
                <w:sz w:val="23"/>
                <w:szCs w:val="23"/>
              </w:rPr>
              <w:t>场界距离158m</w:t>
            </w:r>
          </w:p>
        </w:tc>
        <w:tc>
          <w:tcPr>
            <w:tcW w:w="1109" w:type="dxa"/>
            <w:vAlign w:val="top"/>
          </w:tcPr>
          <w:p w14:paraId="4CE77801">
            <w:pPr>
              <w:pStyle w:val="6"/>
              <w:spacing w:before="75" w:line="188" w:lineRule="auto"/>
              <w:ind w:left="254"/>
              <w:rPr>
                <w:sz w:val="23"/>
                <w:szCs w:val="23"/>
              </w:rPr>
            </w:pPr>
            <w:r>
              <w:rPr>
                <w:spacing w:val="-3"/>
                <w:sz w:val="23"/>
                <w:szCs w:val="23"/>
              </w:rPr>
              <w:t>50.32</w:t>
            </w:r>
          </w:p>
        </w:tc>
        <w:tc>
          <w:tcPr>
            <w:tcW w:w="919" w:type="dxa"/>
            <w:vAlign w:val="top"/>
          </w:tcPr>
          <w:p w14:paraId="079F5273">
            <w:pPr>
              <w:pStyle w:val="6"/>
              <w:spacing w:before="75" w:line="188" w:lineRule="auto"/>
              <w:ind w:left="335"/>
              <w:rPr>
                <w:sz w:val="23"/>
                <w:szCs w:val="23"/>
              </w:rPr>
            </w:pPr>
            <w:r>
              <w:rPr>
                <w:spacing w:val="-4"/>
                <w:sz w:val="23"/>
                <w:szCs w:val="23"/>
              </w:rPr>
              <w:t>52</w:t>
            </w:r>
          </w:p>
        </w:tc>
        <w:tc>
          <w:tcPr>
            <w:tcW w:w="769" w:type="dxa"/>
            <w:vAlign w:val="top"/>
          </w:tcPr>
          <w:p w14:paraId="4E1BD15B">
            <w:pPr>
              <w:pStyle w:val="6"/>
              <w:spacing w:before="75" w:line="188" w:lineRule="auto"/>
              <w:ind w:left="85"/>
              <w:rPr>
                <w:sz w:val="23"/>
                <w:szCs w:val="23"/>
              </w:rPr>
            </w:pPr>
            <w:r>
              <w:rPr>
                <w:spacing w:val="-3"/>
                <w:sz w:val="23"/>
                <w:szCs w:val="23"/>
              </w:rPr>
              <w:t>54.25</w:t>
            </w:r>
          </w:p>
        </w:tc>
        <w:tc>
          <w:tcPr>
            <w:tcW w:w="1219" w:type="dxa"/>
            <w:vAlign w:val="top"/>
          </w:tcPr>
          <w:p w14:paraId="1F178E1D">
            <w:pPr>
              <w:pStyle w:val="6"/>
              <w:spacing w:before="75" w:line="188" w:lineRule="auto"/>
              <w:jc w:val="right"/>
              <w:rPr>
                <w:sz w:val="23"/>
                <w:szCs w:val="23"/>
              </w:rPr>
            </w:pPr>
            <w:r>
              <w:rPr>
                <w:spacing w:val="-3"/>
                <w:sz w:val="23"/>
                <w:szCs w:val="23"/>
              </w:rPr>
              <w:t>2.25</w:t>
            </w:r>
          </w:p>
        </w:tc>
        <w:tc>
          <w:tcPr>
            <w:tcW w:w="799" w:type="dxa"/>
            <w:vAlign w:val="top"/>
          </w:tcPr>
          <w:p w14:paraId="454F4959">
            <w:pPr>
              <w:pStyle w:val="6"/>
              <w:spacing w:before="75" w:line="188" w:lineRule="auto"/>
              <w:ind w:left="277"/>
              <w:rPr>
                <w:sz w:val="23"/>
                <w:szCs w:val="23"/>
              </w:rPr>
            </w:pPr>
            <w:r>
              <w:rPr>
                <w:spacing w:val="-4"/>
                <w:sz w:val="23"/>
                <w:szCs w:val="23"/>
              </w:rPr>
              <w:t>55</w:t>
            </w:r>
          </w:p>
        </w:tc>
        <w:tc>
          <w:tcPr>
            <w:tcW w:w="594" w:type="dxa"/>
            <w:vAlign w:val="top"/>
          </w:tcPr>
          <w:p w14:paraId="778D067F">
            <w:pPr>
              <w:pStyle w:val="6"/>
              <w:spacing w:before="53" w:line="206" w:lineRule="auto"/>
              <w:ind w:left="99"/>
              <w:rPr>
                <w:sz w:val="23"/>
                <w:szCs w:val="23"/>
              </w:rPr>
            </w:pPr>
            <w:r>
              <w:rPr>
                <w:spacing w:val="-3"/>
                <w:sz w:val="23"/>
                <w:szCs w:val="23"/>
              </w:rPr>
              <w:t>达标</w:t>
            </w:r>
          </w:p>
        </w:tc>
      </w:tr>
      <w:tr w14:paraId="71363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904" w:type="dxa"/>
            <w:vMerge w:val="continue"/>
            <w:tcBorders>
              <w:top w:val="nil"/>
              <w:bottom w:val="nil"/>
            </w:tcBorders>
            <w:vAlign w:val="top"/>
          </w:tcPr>
          <w:p w14:paraId="157019AB">
            <w:pPr>
              <w:rPr>
                <w:rFonts w:ascii="Arial"/>
                <w:sz w:val="21"/>
              </w:rPr>
            </w:pPr>
          </w:p>
        </w:tc>
        <w:tc>
          <w:tcPr>
            <w:tcW w:w="310" w:type="dxa"/>
            <w:vAlign w:val="top"/>
          </w:tcPr>
          <w:p w14:paraId="248C8BCC">
            <w:pPr>
              <w:pStyle w:val="6"/>
              <w:spacing w:before="264"/>
              <w:ind w:left="31"/>
              <w:rPr>
                <w:sz w:val="23"/>
                <w:szCs w:val="23"/>
              </w:rPr>
            </w:pPr>
            <w:r>
              <w:rPr>
                <w:spacing w:val="-3"/>
                <w:sz w:val="23"/>
                <w:szCs w:val="23"/>
              </w:rPr>
              <w:t>20</w:t>
            </w:r>
          </w:p>
        </w:tc>
        <w:tc>
          <w:tcPr>
            <w:tcW w:w="1159" w:type="dxa"/>
            <w:vAlign w:val="top"/>
          </w:tcPr>
          <w:p w14:paraId="3EE11D16">
            <w:pPr>
              <w:pStyle w:val="6"/>
              <w:spacing w:before="11" w:line="193" w:lineRule="auto"/>
              <w:jc w:val="right"/>
              <w:rPr>
                <w:sz w:val="23"/>
                <w:szCs w:val="23"/>
              </w:rPr>
            </w:pPr>
            <w:r>
              <w:rPr>
                <w:spacing w:val="-20"/>
                <w:w w:val="98"/>
                <w:sz w:val="23"/>
                <w:szCs w:val="23"/>
              </w:rPr>
              <w:t>大地村散户</w:t>
            </w:r>
            <w:r>
              <w:rPr>
                <w:spacing w:val="-14"/>
                <w:w w:val="98"/>
                <w:sz w:val="23"/>
                <w:szCs w:val="23"/>
              </w:rPr>
              <w:t>7</w:t>
            </w:r>
          </w:p>
          <w:p w14:paraId="1DBF03C1">
            <w:pPr>
              <w:pStyle w:val="6"/>
              <w:spacing w:line="179" w:lineRule="auto"/>
              <w:ind w:left="11" w:firstLine="49"/>
              <w:rPr>
                <w:sz w:val="23"/>
                <w:szCs w:val="23"/>
              </w:rPr>
            </w:pPr>
            <w:r>
              <w:rPr>
                <w:spacing w:val="-34"/>
                <w:sz w:val="23"/>
                <w:szCs w:val="23"/>
              </w:rPr>
              <w:t>(田间农户</w:t>
            </w:r>
            <w:r>
              <w:rPr>
                <w:spacing w:val="-10"/>
                <w:sz w:val="23"/>
                <w:szCs w:val="23"/>
              </w:rPr>
              <w:t>看</w:t>
            </w:r>
            <w:r>
              <w:rPr>
                <w:spacing w:val="1"/>
                <w:sz w:val="23"/>
                <w:szCs w:val="23"/>
              </w:rPr>
              <w:t xml:space="preserve"> </w:t>
            </w:r>
            <w:r>
              <w:rPr>
                <w:spacing w:val="-5"/>
                <w:sz w:val="23"/>
                <w:szCs w:val="23"/>
              </w:rPr>
              <w:t>地</w:t>
            </w:r>
            <w:r>
              <w:rPr>
                <w:spacing w:val="-51"/>
                <w:sz w:val="23"/>
                <w:szCs w:val="23"/>
              </w:rPr>
              <w:t xml:space="preserve"> </w:t>
            </w:r>
            <w:r>
              <w:rPr>
                <w:spacing w:val="-5"/>
                <w:sz w:val="23"/>
                <w:szCs w:val="23"/>
              </w:rPr>
              <w:t>)</w:t>
            </w:r>
          </w:p>
        </w:tc>
        <w:tc>
          <w:tcPr>
            <w:tcW w:w="1438" w:type="dxa"/>
            <w:vAlign w:val="top"/>
          </w:tcPr>
          <w:p w14:paraId="0114BD68">
            <w:pPr>
              <w:pStyle w:val="6"/>
              <w:spacing w:before="243" w:line="220" w:lineRule="auto"/>
              <w:ind w:left="132"/>
              <w:rPr>
                <w:sz w:val="23"/>
                <w:szCs w:val="23"/>
              </w:rPr>
            </w:pPr>
            <w:r>
              <w:rPr>
                <w:spacing w:val="-2"/>
                <w:sz w:val="23"/>
                <w:szCs w:val="23"/>
              </w:rPr>
              <w:t>场界距离1m</w:t>
            </w:r>
          </w:p>
        </w:tc>
        <w:tc>
          <w:tcPr>
            <w:tcW w:w="1109" w:type="dxa"/>
            <w:vAlign w:val="top"/>
          </w:tcPr>
          <w:p w14:paraId="4730F52D">
            <w:pPr>
              <w:pStyle w:val="6"/>
              <w:spacing w:before="265" w:line="239" w:lineRule="auto"/>
              <w:ind w:left="254"/>
              <w:rPr>
                <w:sz w:val="23"/>
                <w:szCs w:val="23"/>
              </w:rPr>
            </w:pPr>
            <w:r>
              <w:rPr>
                <w:spacing w:val="-2"/>
                <w:sz w:val="23"/>
                <w:szCs w:val="23"/>
              </w:rPr>
              <w:t>94.29</w:t>
            </w:r>
          </w:p>
        </w:tc>
        <w:tc>
          <w:tcPr>
            <w:tcW w:w="919" w:type="dxa"/>
            <w:vAlign w:val="top"/>
          </w:tcPr>
          <w:p w14:paraId="69D15E89">
            <w:pPr>
              <w:pStyle w:val="6"/>
              <w:spacing w:before="264"/>
              <w:ind w:left="335"/>
              <w:rPr>
                <w:sz w:val="23"/>
                <w:szCs w:val="23"/>
              </w:rPr>
            </w:pPr>
            <w:r>
              <w:rPr>
                <w:spacing w:val="-4"/>
                <w:sz w:val="23"/>
                <w:szCs w:val="23"/>
              </w:rPr>
              <w:t>50</w:t>
            </w:r>
          </w:p>
        </w:tc>
        <w:tc>
          <w:tcPr>
            <w:tcW w:w="769" w:type="dxa"/>
            <w:vAlign w:val="top"/>
          </w:tcPr>
          <w:p w14:paraId="7DB609B8">
            <w:pPr>
              <w:pStyle w:val="6"/>
              <w:spacing w:before="265" w:line="239" w:lineRule="auto"/>
              <w:ind w:left="85"/>
              <w:rPr>
                <w:sz w:val="23"/>
                <w:szCs w:val="23"/>
              </w:rPr>
            </w:pPr>
            <w:r>
              <w:rPr>
                <w:spacing w:val="-2"/>
                <w:sz w:val="23"/>
                <w:szCs w:val="23"/>
              </w:rPr>
              <w:t>94.29</w:t>
            </w:r>
          </w:p>
        </w:tc>
        <w:tc>
          <w:tcPr>
            <w:tcW w:w="1219" w:type="dxa"/>
            <w:vAlign w:val="top"/>
          </w:tcPr>
          <w:p w14:paraId="58FBAC4D">
            <w:pPr>
              <w:pStyle w:val="6"/>
              <w:spacing w:before="265" w:line="239" w:lineRule="auto"/>
              <w:ind w:right="3"/>
              <w:jc w:val="right"/>
              <w:rPr>
                <w:sz w:val="23"/>
                <w:szCs w:val="23"/>
              </w:rPr>
            </w:pPr>
            <w:r>
              <w:rPr>
                <w:spacing w:val="-2"/>
                <w:sz w:val="23"/>
                <w:szCs w:val="23"/>
              </w:rPr>
              <w:t>44.29</w:t>
            </w:r>
          </w:p>
        </w:tc>
        <w:tc>
          <w:tcPr>
            <w:tcW w:w="799" w:type="dxa"/>
            <w:vAlign w:val="top"/>
          </w:tcPr>
          <w:p w14:paraId="551F0BFE">
            <w:pPr>
              <w:pStyle w:val="6"/>
              <w:spacing w:before="264"/>
              <w:ind w:left="277"/>
              <w:rPr>
                <w:sz w:val="23"/>
                <w:szCs w:val="23"/>
              </w:rPr>
            </w:pPr>
            <w:r>
              <w:rPr>
                <w:spacing w:val="-4"/>
                <w:sz w:val="23"/>
                <w:szCs w:val="23"/>
              </w:rPr>
              <w:t>55</w:t>
            </w:r>
          </w:p>
        </w:tc>
        <w:tc>
          <w:tcPr>
            <w:tcW w:w="594" w:type="dxa"/>
            <w:vAlign w:val="top"/>
          </w:tcPr>
          <w:p w14:paraId="3C95D6F5">
            <w:pPr>
              <w:pStyle w:val="6"/>
              <w:spacing w:before="243" w:line="220" w:lineRule="auto"/>
              <w:ind w:left="99"/>
              <w:rPr>
                <w:sz w:val="23"/>
                <w:szCs w:val="23"/>
              </w:rPr>
            </w:pPr>
            <w:r>
              <w:rPr>
                <w:spacing w:val="-3"/>
                <w:sz w:val="23"/>
                <w:szCs w:val="23"/>
              </w:rPr>
              <w:t>超标</w:t>
            </w:r>
          </w:p>
        </w:tc>
      </w:tr>
      <w:tr w14:paraId="24DB7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904" w:type="dxa"/>
            <w:vMerge w:val="continue"/>
            <w:tcBorders>
              <w:top w:val="nil"/>
              <w:bottom w:val="nil"/>
            </w:tcBorders>
            <w:vAlign w:val="top"/>
          </w:tcPr>
          <w:p w14:paraId="2F29CB06">
            <w:pPr>
              <w:rPr>
                <w:rFonts w:ascii="Arial"/>
                <w:sz w:val="21"/>
              </w:rPr>
            </w:pPr>
          </w:p>
        </w:tc>
        <w:tc>
          <w:tcPr>
            <w:tcW w:w="310" w:type="dxa"/>
            <w:vAlign w:val="top"/>
          </w:tcPr>
          <w:p w14:paraId="4307558C">
            <w:pPr>
              <w:pStyle w:val="6"/>
              <w:spacing w:before="256" w:line="241" w:lineRule="auto"/>
              <w:ind w:left="31"/>
              <w:rPr>
                <w:sz w:val="23"/>
                <w:szCs w:val="23"/>
              </w:rPr>
            </w:pPr>
            <w:r>
              <w:rPr>
                <w:spacing w:val="-3"/>
                <w:sz w:val="23"/>
                <w:szCs w:val="23"/>
              </w:rPr>
              <w:t>21</w:t>
            </w:r>
          </w:p>
        </w:tc>
        <w:tc>
          <w:tcPr>
            <w:tcW w:w="1159" w:type="dxa"/>
            <w:vAlign w:val="top"/>
          </w:tcPr>
          <w:p w14:paraId="739E8FAE">
            <w:pPr>
              <w:pStyle w:val="6"/>
              <w:spacing w:before="12" w:line="193" w:lineRule="auto"/>
              <w:jc w:val="right"/>
              <w:rPr>
                <w:sz w:val="23"/>
                <w:szCs w:val="23"/>
              </w:rPr>
            </w:pPr>
            <w:r>
              <w:rPr>
                <w:spacing w:val="-19"/>
                <w:w w:val="98"/>
                <w:sz w:val="23"/>
                <w:szCs w:val="23"/>
              </w:rPr>
              <w:t>大地村散户</w:t>
            </w:r>
            <w:r>
              <w:rPr>
                <w:spacing w:val="-13"/>
                <w:w w:val="98"/>
                <w:sz w:val="23"/>
                <w:szCs w:val="23"/>
              </w:rPr>
              <w:t>9</w:t>
            </w:r>
          </w:p>
          <w:p w14:paraId="6A635215">
            <w:pPr>
              <w:pStyle w:val="6"/>
              <w:spacing w:before="1" w:line="174" w:lineRule="auto"/>
              <w:ind w:left="11" w:firstLine="9"/>
              <w:rPr>
                <w:sz w:val="21"/>
                <w:szCs w:val="21"/>
              </w:rPr>
            </w:pPr>
            <w:r>
              <w:rPr>
                <w:spacing w:val="-26"/>
                <w:sz w:val="23"/>
                <w:szCs w:val="23"/>
              </w:rPr>
              <w:t>(田间</w:t>
            </w:r>
            <w:r>
              <w:rPr>
                <w:spacing w:val="-25"/>
                <w:sz w:val="23"/>
                <w:szCs w:val="23"/>
              </w:rPr>
              <w:t>农户</w:t>
            </w:r>
            <w:r>
              <w:rPr>
                <w:spacing w:val="-10"/>
                <w:sz w:val="23"/>
                <w:szCs w:val="23"/>
              </w:rPr>
              <w:t>看</w:t>
            </w:r>
            <w:r>
              <w:rPr>
                <w:sz w:val="23"/>
                <w:szCs w:val="23"/>
              </w:rPr>
              <w:t xml:space="preserve"> </w:t>
            </w:r>
            <w:r>
              <w:rPr>
                <w:spacing w:val="-5"/>
                <w:sz w:val="21"/>
                <w:szCs w:val="21"/>
              </w:rPr>
              <w:t>地</w:t>
            </w:r>
            <w:r>
              <w:rPr>
                <w:spacing w:val="-47"/>
                <w:sz w:val="21"/>
                <w:szCs w:val="21"/>
              </w:rPr>
              <w:t xml:space="preserve"> </w:t>
            </w:r>
            <w:r>
              <w:rPr>
                <w:spacing w:val="-5"/>
                <w:sz w:val="21"/>
                <w:szCs w:val="21"/>
              </w:rPr>
              <w:t>)</w:t>
            </w:r>
          </w:p>
        </w:tc>
        <w:tc>
          <w:tcPr>
            <w:tcW w:w="1438" w:type="dxa"/>
            <w:vAlign w:val="top"/>
          </w:tcPr>
          <w:p w14:paraId="1B60035A">
            <w:pPr>
              <w:pStyle w:val="6"/>
              <w:spacing w:before="234" w:line="220" w:lineRule="auto"/>
              <w:ind w:left="22"/>
              <w:rPr>
                <w:sz w:val="23"/>
                <w:szCs w:val="23"/>
              </w:rPr>
            </w:pPr>
            <w:r>
              <w:rPr>
                <w:spacing w:val="-1"/>
                <w:sz w:val="23"/>
                <w:szCs w:val="23"/>
              </w:rPr>
              <w:t>场界距离117m</w:t>
            </w:r>
          </w:p>
        </w:tc>
        <w:tc>
          <w:tcPr>
            <w:tcW w:w="1109" w:type="dxa"/>
            <w:vAlign w:val="top"/>
          </w:tcPr>
          <w:p w14:paraId="2ABA90B8">
            <w:pPr>
              <w:pStyle w:val="6"/>
              <w:spacing w:before="256" w:line="239" w:lineRule="auto"/>
              <w:ind w:left="254"/>
              <w:rPr>
                <w:sz w:val="23"/>
                <w:szCs w:val="23"/>
              </w:rPr>
            </w:pPr>
            <w:r>
              <w:rPr>
                <w:spacing w:val="-3"/>
                <w:sz w:val="23"/>
                <w:szCs w:val="23"/>
              </w:rPr>
              <w:t>52.93</w:t>
            </w:r>
          </w:p>
        </w:tc>
        <w:tc>
          <w:tcPr>
            <w:tcW w:w="919" w:type="dxa"/>
            <w:vAlign w:val="top"/>
          </w:tcPr>
          <w:p w14:paraId="0A365A33">
            <w:pPr>
              <w:pStyle w:val="6"/>
              <w:spacing w:before="255"/>
              <w:ind w:left="335"/>
              <w:rPr>
                <w:sz w:val="23"/>
                <w:szCs w:val="23"/>
              </w:rPr>
            </w:pPr>
            <w:r>
              <w:rPr>
                <w:spacing w:val="-4"/>
                <w:sz w:val="23"/>
                <w:szCs w:val="23"/>
              </w:rPr>
              <w:t>52</w:t>
            </w:r>
          </w:p>
        </w:tc>
        <w:tc>
          <w:tcPr>
            <w:tcW w:w="769" w:type="dxa"/>
            <w:vAlign w:val="top"/>
          </w:tcPr>
          <w:p w14:paraId="553BF14F">
            <w:pPr>
              <w:pStyle w:val="6"/>
              <w:spacing w:before="256" w:line="239" w:lineRule="auto"/>
              <w:ind w:left="146"/>
              <w:rPr>
                <w:sz w:val="23"/>
                <w:szCs w:val="23"/>
              </w:rPr>
            </w:pPr>
            <w:r>
              <w:rPr>
                <w:spacing w:val="-3"/>
                <w:sz w:val="23"/>
                <w:szCs w:val="23"/>
              </w:rPr>
              <w:t>55.5</w:t>
            </w:r>
          </w:p>
        </w:tc>
        <w:tc>
          <w:tcPr>
            <w:tcW w:w="1219" w:type="dxa"/>
            <w:vAlign w:val="top"/>
          </w:tcPr>
          <w:p w14:paraId="4B80A2FB">
            <w:pPr>
              <w:pStyle w:val="6"/>
              <w:spacing w:before="256" w:line="239" w:lineRule="auto"/>
              <w:ind w:right="5"/>
              <w:jc w:val="right"/>
              <w:rPr>
                <w:sz w:val="23"/>
                <w:szCs w:val="23"/>
              </w:rPr>
            </w:pPr>
            <w:r>
              <w:rPr>
                <w:spacing w:val="-4"/>
                <w:sz w:val="23"/>
                <w:szCs w:val="23"/>
              </w:rPr>
              <w:t>3.5</w:t>
            </w:r>
          </w:p>
        </w:tc>
        <w:tc>
          <w:tcPr>
            <w:tcW w:w="799" w:type="dxa"/>
            <w:vAlign w:val="top"/>
          </w:tcPr>
          <w:p w14:paraId="528D9FC5">
            <w:pPr>
              <w:pStyle w:val="6"/>
              <w:spacing w:before="255"/>
              <w:ind w:left="277"/>
              <w:rPr>
                <w:sz w:val="23"/>
                <w:szCs w:val="23"/>
              </w:rPr>
            </w:pPr>
            <w:r>
              <w:rPr>
                <w:spacing w:val="-4"/>
                <w:sz w:val="23"/>
                <w:szCs w:val="23"/>
              </w:rPr>
              <w:t>55</w:t>
            </w:r>
          </w:p>
        </w:tc>
        <w:tc>
          <w:tcPr>
            <w:tcW w:w="594" w:type="dxa"/>
            <w:vAlign w:val="top"/>
          </w:tcPr>
          <w:p w14:paraId="22DC9F63">
            <w:pPr>
              <w:pStyle w:val="6"/>
              <w:spacing w:before="234" w:line="220" w:lineRule="auto"/>
              <w:ind w:left="99"/>
              <w:rPr>
                <w:sz w:val="23"/>
                <w:szCs w:val="23"/>
              </w:rPr>
            </w:pPr>
            <w:r>
              <w:rPr>
                <w:spacing w:val="-3"/>
                <w:sz w:val="23"/>
                <w:szCs w:val="23"/>
              </w:rPr>
              <w:t>超标</w:t>
            </w:r>
          </w:p>
        </w:tc>
      </w:tr>
      <w:tr w14:paraId="17C8C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04" w:type="dxa"/>
            <w:vMerge w:val="continue"/>
            <w:tcBorders>
              <w:top w:val="nil"/>
              <w:bottom w:val="nil"/>
            </w:tcBorders>
            <w:vAlign w:val="top"/>
          </w:tcPr>
          <w:p w14:paraId="3D3B15B6">
            <w:pPr>
              <w:rPr>
                <w:rFonts w:ascii="Arial"/>
                <w:sz w:val="21"/>
              </w:rPr>
            </w:pPr>
          </w:p>
        </w:tc>
        <w:tc>
          <w:tcPr>
            <w:tcW w:w="310" w:type="dxa"/>
            <w:vAlign w:val="top"/>
          </w:tcPr>
          <w:p w14:paraId="0FA80CA1">
            <w:pPr>
              <w:pStyle w:val="6"/>
              <w:spacing w:before="77" w:line="187" w:lineRule="auto"/>
              <w:ind w:left="31"/>
              <w:rPr>
                <w:sz w:val="23"/>
                <w:szCs w:val="23"/>
              </w:rPr>
            </w:pPr>
            <w:r>
              <w:rPr>
                <w:spacing w:val="-3"/>
                <w:sz w:val="23"/>
                <w:szCs w:val="23"/>
              </w:rPr>
              <w:t>22</w:t>
            </w:r>
          </w:p>
        </w:tc>
        <w:tc>
          <w:tcPr>
            <w:tcW w:w="1159" w:type="dxa"/>
            <w:vAlign w:val="top"/>
          </w:tcPr>
          <w:p w14:paraId="661DA05C">
            <w:pPr>
              <w:pStyle w:val="6"/>
              <w:spacing w:before="54" w:line="205" w:lineRule="auto"/>
              <w:ind w:left="11"/>
              <w:rPr>
                <w:sz w:val="23"/>
                <w:szCs w:val="23"/>
              </w:rPr>
            </w:pPr>
            <w:r>
              <w:rPr>
                <w:spacing w:val="3"/>
                <w:sz w:val="23"/>
                <w:szCs w:val="23"/>
              </w:rPr>
              <w:t>小紫处</w:t>
            </w:r>
          </w:p>
        </w:tc>
        <w:tc>
          <w:tcPr>
            <w:tcW w:w="1438" w:type="dxa"/>
            <w:vAlign w:val="top"/>
          </w:tcPr>
          <w:p w14:paraId="199B8630">
            <w:pPr>
              <w:pStyle w:val="6"/>
              <w:spacing w:before="54" w:line="205" w:lineRule="auto"/>
              <w:ind w:left="72"/>
              <w:rPr>
                <w:sz w:val="23"/>
                <w:szCs w:val="23"/>
              </w:rPr>
            </w:pPr>
            <w:r>
              <w:rPr>
                <w:spacing w:val="-2"/>
                <w:sz w:val="23"/>
                <w:szCs w:val="23"/>
              </w:rPr>
              <w:t>场界距离53m</w:t>
            </w:r>
          </w:p>
        </w:tc>
        <w:tc>
          <w:tcPr>
            <w:tcW w:w="1109" w:type="dxa"/>
            <w:vAlign w:val="top"/>
          </w:tcPr>
          <w:p w14:paraId="7F4DDDA9">
            <w:pPr>
              <w:pStyle w:val="6"/>
              <w:spacing w:before="77" w:line="187" w:lineRule="auto"/>
              <w:ind w:left="314"/>
              <w:rPr>
                <w:sz w:val="23"/>
                <w:szCs w:val="23"/>
              </w:rPr>
            </w:pPr>
            <w:r>
              <w:rPr>
                <w:spacing w:val="-3"/>
                <w:sz w:val="23"/>
                <w:szCs w:val="23"/>
              </w:rPr>
              <w:t>59.8</w:t>
            </w:r>
          </w:p>
        </w:tc>
        <w:tc>
          <w:tcPr>
            <w:tcW w:w="919" w:type="dxa"/>
            <w:vAlign w:val="top"/>
          </w:tcPr>
          <w:p w14:paraId="3BB909B5">
            <w:pPr>
              <w:pStyle w:val="6"/>
              <w:spacing w:before="77" w:line="187" w:lineRule="auto"/>
              <w:ind w:left="335"/>
              <w:rPr>
                <w:sz w:val="23"/>
                <w:szCs w:val="23"/>
              </w:rPr>
            </w:pPr>
            <w:r>
              <w:rPr>
                <w:spacing w:val="-4"/>
                <w:sz w:val="23"/>
                <w:szCs w:val="23"/>
              </w:rPr>
              <w:t>52</w:t>
            </w:r>
          </w:p>
        </w:tc>
        <w:tc>
          <w:tcPr>
            <w:tcW w:w="769" w:type="dxa"/>
            <w:vAlign w:val="top"/>
          </w:tcPr>
          <w:p w14:paraId="5EA649E7">
            <w:pPr>
              <w:pStyle w:val="6"/>
              <w:spacing w:before="77" w:line="187" w:lineRule="auto"/>
              <w:ind w:left="85"/>
              <w:rPr>
                <w:sz w:val="23"/>
                <w:szCs w:val="23"/>
              </w:rPr>
            </w:pPr>
            <w:r>
              <w:rPr>
                <w:spacing w:val="-2"/>
                <w:sz w:val="23"/>
                <w:szCs w:val="23"/>
              </w:rPr>
              <w:t>60.47</w:t>
            </w:r>
          </w:p>
        </w:tc>
        <w:tc>
          <w:tcPr>
            <w:tcW w:w="1219" w:type="dxa"/>
            <w:vAlign w:val="top"/>
          </w:tcPr>
          <w:p w14:paraId="3B549DED">
            <w:pPr>
              <w:pStyle w:val="6"/>
              <w:spacing w:before="77" w:line="187" w:lineRule="auto"/>
              <w:jc w:val="right"/>
              <w:rPr>
                <w:sz w:val="23"/>
                <w:szCs w:val="23"/>
              </w:rPr>
            </w:pPr>
            <w:r>
              <w:rPr>
                <w:spacing w:val="-3"/>
                <w:sz w:val="23"/>
                <w:szCs w:val="23"/>
              </w:rPr>
              <w:t>8.47</w:t>
            </w:r>
          </w:p>
        </w:tc>
        <w:tc>
          <w:tcPr>
            <w:tcW w:w="799" w:type="dxa"/>
            <w:vAlign w:val="top"/>
          </w:tcPr>
          <w:p w14:paraId="0429AE9A">
            <w:pPr>
              <w:pStyle w:val="6"/>
              <w:spacing w:before="77" w:line="187" w:lineRule="auto"/>
              <w:ind w:left="277"/>
              <w:rPr>
                <w:sz w:val="23"/>
                <w:szCs w:val="23"/>
              </w:rPr>
            </w:pPr>
            <w:r>
              <w:rPr>
                <w:spacing w:val="-4"/>
                <w:sz w:val="23"/>
                <w:szCs w:val="23"/>
              </w:rPr>
              <w:t>55</w:t>
            </w:r>
          </w:p>
        </w:tc>
        <w:tc>
          <w:tcPr>
            <w:tcW w:w="594" w:type="dxa"/>
            <w:vAlign w:val="top"/>
          </w:tcPr>
          <w:p w14:paraId="291C51DB">
            <w:pPr>
              <w:pStyle w:val="6"/>
              <w:spacing w:before="54" w:line="205" w:lineRule="auto"/>
              <w:ind w:left="99"/>
              <w:rPr>
                <w:sz w:val="23"/>
                <w:szCs w:val="23"/>
              </w:rPr>
            </w:pPr>
            <w:r>
              <w:rPr>
                <w:spacing w:val="-3"/>
                <w:sz w:val="23"/>
                <w:szCs w:val="23"/>
              </w:rPr>
              <w:t>超标</w:t>
            </w:r>
          </w:p>
        </w:tc>
      </w:tr>
      <w:tr w14:paraId="667B5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04" w:type="dxa"/>
            <w:vMerge w:val="continue"/>
            <w:tcBorders>
              <w:top w:val="nil"/>
              <w:bottom w:val="nil"/>
            </w:tcBorders>
            <w:vAlign w:val="top"/>
          </w:tcPr>
          <w:p w14:paraId="04E039CD">
            <w:pPr>
              <w:rPr>
                <w:rFonts w:ascii="Arial"/>
                <w:sz w:val="21"/>
              </w:rPr>
            </w:pPr>
          </w:p>
        </w:tc>
        <w:tc>
          <w:tcPr>
            <w:tcW w:w="310" w:type="dxa"/>
            <w:vAlign w:val="top"/>
          </w:tcPr>
          <w:p w14:paraId="6B2025D5">
            <w:pPr>
              <w:pStyle w:val="6"/>
              <w:spacing w:before="77" w:line="187" w:lineRule="auto"/>
              <w:ind w:left="31"/>
              <w:rPr>
                <w:sz w:val="23"/>
                <w:szCs w:val="23"/>
              </w:rPr>
            </w:pPr>
            <w:r>
              <w:rPr>
                <w:spacing w:val="-3"/>
                <w:sz w:val="23"/>
                <w:szCs w:val="23"/>
              </w:rPr>
              <w:t>23</w:t>
            </w:r>
          </w:p>
        </w:tc>
        <w:tc>
          <w:tcPr>
            <w:tcW w:w="1159" w:type="dxa"/>
            <w:vAlign w:val="top"/>
          </w:tcPr>
          <w:p w14:paraId="039E11B3">
            <w:pPr>
              <w:pStyle w:val="6"/>
              <w:spacing w:before="54" w:line="205" w:lineRule="auto"/>
              <w:jc w:val="right"/>
              <w:rPr>
                <w:sz w:val="23"/>
                <w:szCs w:val="23"/>
              </w:rPr>
            </w:pPr>
            <w:r>
              <w:rPr>
                <w:spacing w:val="-22"/>
                <w:sz w:val="23"/>
                <w:szCs w:val="23"/>
              </w:rPr>
              <w:t>橡子坡散户1</w:t>
            </w:r>
          </w:p>
        </w:tc>
        <w:tc>
          <w:tcPr>
            <w:tcW w:w="1438" w:type="dxa"/>
            <w:vAlign w:val="top"/>
          </w:tcPr>
          <w:p w14:paraId="605A8EDD">
            <w:pPr>
              <w:pStyle w:val="6"/>
              <w:spacing w:before="54" w:line="205" w:lineRule="auto"/>
              <w:ind w:left="72"/>
              <w:rPr>
                <w:sz w:val="23"/>
                <w:szCs w:val="23"/>
              </w:rPr>
            </w:pPr>
            <w:r>
              <w:rPr>
                <w:spacing w:val="-2"/>
                <w:sz w:val="23"/>
                <w:szCs w:val="23"/>
              </w:rPr>
              <w:t>场界距离30m</w:t>
            </w:r>
          </w:p>
        </w:tc>
        <w:tc>
          <w:tcPr>
            <w:tcW w:w="1109" w:type="dxa"/>
            <w:vAlign w:val="top"/>
          </w:tcPr>
          <w:p w14:paraId="4A345CCE">
            <w:pPr>
              <w:pStyle w:val="6"/>
              <w:spacing w:before="77" w:line="187" w:lineRule="auto"/>
              <w:ind w:left="254"/>
              <w:rPr>
                <w:sz w:val="23"/>
                <w:szCs w:val="23"/>
              </w:rPr>
            </w:pPr>
            <w:r>
              <w:rPr>
                <w:spacing w:val="-2"/>
                <w:sz w:val="23"/>
                <w:szCs w:val="23"/>
              </w:rPr>
              <w:t>64.75</w:t>
            </w:r>
          </w:p>
        </w:tc>
        <w:tc>
          <w:tcPr>
            <w:tcW w:w="919" w:type="dxa"/>
            <w:vAlign w:val="top"/>
          </w:tcPr>
          <w:p w14:paraId="0E413145">
            <w:pPr>
              <w:pStyle w:val="6"/>
              <w:spacing w:before="77" w:line="187" w:lineRule="auto"/>
              <w:ind w:left="335"/>
              <w:rPr>
                <w:sz w:val="23"/>
                <w:szCs w:val="23"/>
              </w:rPr>
            </w:pPr>
            <w:r>
              <w:rPr>
                <w:spacing w:val="-3"/>
                <w:sz w:val="23"/>
                <w:szCs w:val="23"/>
              </w:rPr>
              <w:t>49</w:t>
            </w:r>
          </w:p>
        </w:tc>
        <w:tc>
          <w:tcPr>
            <w:tcW w:w="769" w:type="dxa"/>
            <w:vAlign w:val="top"/>
          </w:tcPr>
          <w:p w14:paraId="3CD0445C">
            <w:pPr>
              <w:pStyle w:val="6"/>
              <w:spacing w:before="77" w:line="187" w:lineRule="auto"/>
              <w:ind w:left="85"/>
              <w:rPr>
                <w:sz w:val="23"/>
                <w:szCs w:val="23"/>
              </w:rPr>
            </w:pPr>
            <w:r>
              <w:rPr>
                <w:spacing w:val="-2"/>
                <w:sz w:val="23"/>
                <w:szCs w:val="23"/>
              </w:rPr>
              <w:t>64.86</w:t>
            </w:r>
          </w:p>
        </w:tc>
        <w:tc>
          <w:tcPr>
            <w:tcW w:w="1219" w:type="dxa"/>
            <w:vAlign w:val="top"/>
          </w:tcPr>
          <w:p w14:paraId="11F9C945">
            <w:pPr>
              <w:pStyle w:val="6"/>
              <w:spacing w:before="77" w:line="187" w:lineRule="auto"/>
              <w:ind w:right="17"/>
              <w:jc w:val="right"/>
              <w:rPr>
                <w:sz w:val="23"/>
                <w:szCs w:val="23"/>
              </w:rPr>
            </w:pPr>
            <w:r>
              <w:rPr>
                <w:spacing w:val="-5"/>
                <w:sz w:val="23"/>
                <w:szCs w:val="23"/>
              </w:rPr>
              <w:t>15.86</w:t>
            </w:r>
          </w:p>
        </w:tc>
        <w:tc>
          <w:tcPr>
            <w:tcW w:w="799" w:type="dxa"/>
            <w:vAlign w:val="top"/>
          </w:tcPr>
          <w:p w14:paraId="34B24551">
            <w:pPr>
              <w:pStyle w:val="6"/>
              <w:spacing w:before="77" w:line="187" w:lineRule="auto"/>
              <w:ind w:left="277"/>
              <w:rPr>
                <w:sz w:val="23"/>
                <w:szCs w:val="23"/>
              </w:rPr>
            </w:pPr>
            <w:r>
              <w:rPr>
                <w:spacing w:val="-4"/>
                <w:sz w:val="23"/>
                <w:szCs w:val="23"/>
              </w:rPr>
              <w:t>55</w:t>
            </w:r>
          </w:p>
        </w:tc>
        <w:tc>
          <w:tcPr>
            <w:tcW w:w="594" w:type="dxa"/>
            <w:vAlign w:val="top"/>
          </w:tcPr>
          <w:p w14:paraId="443F4D86">
            <w:pPr>
              <w:pStyle w:val="6"/>
              <w:spacing w:before="54" w:line="205" w:lineRule="auto"/>
              <w:ind w:left="99"/>
              <w:rPr>
                <w:sz w:val="23"/>
                <w:szCs w:val="23"/>
              </w:rPr>
            </w:pPr>
            <w:r>
              <w:rPr>
                <w:spacing w:val="-3"/>
                <w:sz w:val="23"/>
                <w:szCs w:val="23"/>
              </w:rPr>
              <w:t>超标</w:t>
            </w:r>
          </w:p>
        </w:tc>
      </w:tr>
      <w:tr w14:paraId="36504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904" w:type="dxa"/>
            <w:vMerge w:val="continue"/>
            <w:tcBorders>
              <w:top w:val="nil"/>
              <w:bottom w:val="nil"/>
            </w:tcBorders>
            <w:vAlign w:val="top"/>
          </w:tcPr>
          <w:p w14:paraId="3C7C1CD2">
            <w:pPr>
              <w:rPr>
                <w:rFonts w:ascii="Arial"/>
                <w:sz w:val="21"/>
              </w:rPr>
            </w:pPr>
          </w:p>
        </w:tc>
        <w:tc>
          <w:tcPr>
            <w:tcW w:w="310" w:type="dxa"/>
            <w:vAlign w:val="top"/>
          </w:tcPr>
          <w:p w14:paraId="7D143994">
            <w:pPr>
              <w:pStyle w:val="6"/>
              <w:spacing w:before="267" w:line="241" w:lineRule="auto"/>
              <w:ind w:left="31"/>
              <w:rPr>
                <w:sz w:val="23"/>
                <w:szCs w:val="23"/>
              </w:rPr>
            </w:pPr>
            <w:r>
              <w:rPr>
                <w:spacing w:val="-3"/>
                <w:sz w:val="23"/>
                <w:szCs w:val="23"/>
              </w:rPr>
              <w:t>24</w:t>
            </w:r>
          </w:p>
        </w:tc>
        <w:tc>
          <w:tcPr>
            <w:tcW w:w="1159" w:type="dxa"/>
            <w:vAlign w:val="top"/>
          </w:tcPr>
          <w:p w14:paraId="32F5EF1D">
            <w:pPr>
              <w:pStyle w:val="6"/>
              <w:spacing w:before="23" w:line="193" w:lineRule="auto"/>
              <w:jc w:val="right"/>
              <w:rPr>
                <w:sz w:val="23"/>
                <w:szCs w:val="23"/>
              </w:rPr>
            </w:pPr>
            <w:r>
              <w:rPr>
                <w:spacing w:val="-19"/>
                <w:w w:val="98"/>
                <w:sz w:val="23"/>
                <w:szCs w:val="23"/>
              </w:rPr>
              <w:t>橡子坡</w:t>
            </w:r>
            <w:r>
              <w:rPr>
                <w:spacing w:val="-18"/>
                <w:w w:val="98"/>
                <w:sz w:val="23"/>
                <w:szCs w:val="23"/>
              </w:rPr>
              <w:t>散户</w:t>
            </w:r>
            <w:r>
              <w:rPr>
                <w:spacing w:val="-15"/>
                <w:w w:val="98"/>
                <w:sz w:val="23"/>
                <w:szCs w:val="23"/>
              </w:rPr>
              <w:t>2</w:t>
            </w:r>
          </w:p>
          <w:p w14:paraId="7E6F152E">
            <w:pPr>
              <w:pStyle w:val="6"/>
              <w:spacing w:before="1" w:line="174" w:lineRule="auto"/>
              <w:ind w:left="11" w:firstLine="9"/>
              <w:rPr>
                <w:sz w:val="23"/>
                <w:szCs w:val="23"/>
              </w:rPr>
            </w:pPr>
            <w:r>
              <w:rPr>
                <w:spacing w:val="-26"/>
                <w:sz w:val="23"/>
                <w:szCs w:val="23"/>
              </w:rPr>
              <w:t>(田间</w:t>
            </w:r>
            <w:r>
              <w:rPr>
                <w:spacing w:val="-25"/>
                <w:sz w:val="23"/>
                <w:szCs w:val="23"/>
              </w:rPr>
              <w:t>农户</w:t>
            </w:r>
            <w:r>
              <w:rPr>
                <w:spacing w:val="-10"/>
                <w:sz w:val="23"/>
                <w:szCs w:val="23"/>
              </w:rPr>
              <w:t>看</w:t>
            </w:r>
            <w:r>
              <w:rPr>
                <w:sz w:val="23"/>
                <w:szCs w:val="23"/>
              </w:rPr>
              <w:t xml:space="preserve"> </w:t>
            </w:r>
            <w:r>
              <w:rPr>
                <w:spacing w:val="-5"/>
                <w:sz w:val="23"/>
                <w:szCs w:val="23"/>
              </w:rPr>
              <w:t>地</w:t>
            </w:r>
            <w:r>
              <w:rPr>
                <w:spacing w:val="-51"/>
                <w:sz w:val="23"/>
                <w:szCs w:val="23"/>
              </w:rPr>
              <w:t xml:space="preserve"> </w:t>
            </w:r>
            <w:r>
              <w:rPr>
                <w:spacing w:val="-5"/>
                <w:sz w:val="23"/>
                <w:szCs w:val="23"/>
              </w:rPr>
              <w:t>)</w:t>
            </w:r>
          </w:p>
        </w:tc>
        <w:tc>
          <w:tcPr>
            <w:tcW w:w="1438" w:type="dxa"/>
            <w:vAlign w:val="top"/>
          </w:tcPr>
          <w:p w14:paraId="2AAEF34D">
            <w:pPr>
              <w:pStyle w:val="6"/>
              <w:spacing w:before="245" w:line="220" w:lineRule="auto"/>
              <w:ind w:left="72"/>
              <w:rPr>
                <w:sz w:val="23"/>
                <w:szCs w:val="23"/>
              </w:rPr>
            </w:pPr>
            <w:r>
              <w:rPr>
                <w:spacing w:val="-2"/>
                <w:sz w:val="23"/>
                <w:szCs w:val="23"/>
              </w:rPr>
              <w:t>场界距离22m</w:t>
            </w:r>
          </w:p>
        </w:tc>
        <w:tc>
          <w:tcPr>
            <w:tcW w:w="1109" w:type="dxa"/>
            <w:vAlign w:val="top"/>
          </w:tcPr>
          <w:p w14:paraId="1D20DC4F">
            <w:pPr>
              <w:pStyle w:val="6"/>
              <w:spacing w:before="267" w:line="239" w:lineRule="auto"/>
              <w:ind w:left="254"/>
              <w:rPr>
                <w:sz w:val="23"/>
                <w:szCs w:val="23"/>
              </w:rPr>
            </w:pPr>
            <w:r>
              <w:rPr>
                <w:spacing w:val="-2"/>
                <w:sz w:val="23"/>
                <w:szCs w:val="23"/>
              </w:rPr>
              <w:t>67.44</w:t>
            </w:r>
          </w:p>
        </w:tc>
        <w:tc>
          <w:tcPr>
            <w:tcW w:w="919" w:type="dxa"/>
            <w:vAlign w:val="top"/>
          </w:tcPr>
          <w:p w14:paraId="40B4FFB5">
            <w:pPr>
              <w:pStyle w:val="6"/>
              <w:spacing w:before="266"/>
              <w:ind w:left="335"/>
              <w:rPr>
                <w:sz w:val="23"/>
                <w:szCs w:val="23"/>
              </w:rPr>
            </w:pPr>
            <w:r>
              <w:rPr>
                <w:spacing w:val="-4"/>
                <w:sz w:val="23"/>
                <w:szCs w:val="23"/>
              </w:rPr>
              <w:t>50</w:t>
            </w:r>
          </w:p>
        </w:tc>
        <w:tc>
          <w:tcPr>
            <w:tcW w:w="769" w:type="dxa"/>
            <w:vAlign w:val="top"/>
          </w:tcPr>
          <w:p w14:paraId="42539FED">
            <w:pPr>
              <w:pStyle w:val="6"/>
              <w:spacing w:before="267" w:line="239" w:lineRule="auto"/>
              <w:ind w:left="85"/>
              <w:rPr>
                <w:sz w:val="23"/>
                <w:szCs w:val="23"/>
              </w:rPr>
            </w:pPr>
            <w:r>
              <w:rPr>
                <w:spacing w:val="-2"/>
                <w:sz w:val="23"/>
                <w:szCs w:val="23"/>
              </w:rPr>
              <w:t>67.52</w:t>
            </w:r>
          </w:p>
        </w:tc>
        <w:tc>
          <w:tcPr>
            <w:tcW w:w="1219" w:type="dxa"/>
            <w:vAlign w:val="top"/>
          </w:tcPr>
          <w:p w14:paraId="23E8AFEE">
            <w:pPr>
              <w:pStyle w:val="6"/>
              <w:spacing w:before="267" w:line="239" w:lineRule="auto"/>
              <w:ind w:right="17"/>
              <w:jc w:val="right"/>
              <w:rPr>
                <w:sz w:val="23"/>
                <w:szCs w:val="23"/>
              </w:rPr>
            </w:pPr>
            <w:r>
              <w:rPr>
                <w:spacing w:val="-5"/>
                <w:sz w:val="23"/>
                <w:szCs w:val="23"/>
              </w:rPr>
              <w:t>17.52</w:t>
            </w:r>
          </w:p>
        </w:tc>
        <w:tc>
          <w:tcPr>
            <w:tcW w:w="799" w:type="dxa"/>
            <w:vAlign w:val="top"/>
          </w:tcPr>
          <w:p w14:paraId="6F2F85AB">
            <w:pPr>
              <w:pStyle w:val="6"/>
              <w:spacing w:before="266"/>
              <w:ind w:left="277"/>
              <w:rPr>
                <w:sz w:val="23"/>
                <w:szCs w:val="23"/>
              </w:rPr>
            </w:pPr>
            <w:r>
              <w:rPr>
                <w:spacing w:val="-4"/>
                <w:sz w:val="23"/>
                <w:szCs w:val="23"/>
              </w:rPr>
              <w:t>55</w:t>
            </w:r>
          </w:p>
        </w:tc>
        <w:tc>
          <w:tcPr>
            <w:tcW w:w="594" w:type="dxa"/>
            <w:vAlign w:val="top"/>
          </w:tcPr>
          <w:p w14:paraId="26C2328C">
            <w:pPr>
              <w:pStyle w:val="6"/>
              <w:spacing w:before="245" w:line="220" w:lineRule="auto"/>
              <w:ind w:left="99"/>
              <w:rPr>
                <w:sz w:val="23"/>
                <w:szCs w:val="23"/>
              </w:rPr>
            </w:pPr>
            <w:r>
              <w:rPr>
                <w:spacing w:val="-3"/>
                <w:sz w:val="23"/>
                <w:szCs w:val="23"/>
              </w:rPr>
              <w:t>超标</w:t>
            </w:r>
          </w:p>
        </w:tc>
      </w:tr>
      <w:tr w14:paraId="1DDBC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1" w:hRule="atLeast"/>
        </w:trPr>
        <w:tc>
          <w:tcPr>
            <w:tcW w:w="904" w:type="dxa"/>
            <w:vMerge w:val="continue"/>
            <w:tcBorders>
              <w:top w:val="nil"/>
            </w:tcBorders>
            <w:vAlign w:val="top"/>
          </w:tcPr>
          <w:p w14:paraId="5056600C">
            <w:pPr>
              <w:rPr>
                <w:rFonts w:ascii="Arial"/>
                <w:sz w:val="21"/>
              </w:rPr>
            </w:pPr>
          </w:p>
        </w:tc>
        <w:tc>
          <w:tcPr>
            <w:tcW w:w="8316" w:type="dxa"/>
            <w:gridSpan w:val="9"/>
            <w:vAlign w:val="top"/>
          </w:tcPr>
          <w:p w14:paraId="0A9433F1">
            <w:pPr>
              <w:pStyle w:val="6"/>
              <w:spacing w:before="52" w:line="374" w:lineRule="auto"/>
              <w:ind w:left="34" w:right="480" w:firstLine="439"/>
              <w:rPr>
                <w:sz w:val="23"/>
                <w:szCs w:val="23"/>
              </w:rPr>
            </w:pPr>
            <w:r>
              <w:rPr>
                <w:b/>
                <w:bCs/>
                <w:spacing w:val="-3"/>
                <w:sz w:val="23"/>
                <w:szCs w:val="23"/>
              </w:rPr>
              <w:t>注：背景值选取监测值的最大值，夜间禁止施工。其他未进行监测的关心</w:t>
            </w:r>
            <w:r>
              <w:rPr>
                <w:spacing w:val="8"/>
                <w:sz w:val="23"/>
                <w:szCs w:val="23"/>
              </w:rPr>
              <w:t xml:space="preserve"> </w:t>
            </w:r>
            <w:r>
              <w:rPr>
                <w:b/>
                <w:bCs/>
                <w:spacing w:val="-3"/>
                <w:sz w:val="23"/>
                <w:szCs w:val="23"/>
              </w:rPr>
              <w:t>点背景值类比本次监测中关心点监测值的最大值。</w:t>
            </w:r>
          </w:p>
          <w:p w14:paraId="70FE7B5E">
            <w:pPr>
              <w:pStyle w:val="6"/>
              <w:spacing w:before="2" w:line="377" w:lineRule="auto"/>
              <w:ind w:left="21" w:right="124" w:firstLine="479"/>
              <w:rPr>
                <w:sz w:val="23"/>
                <w:szCs w:val="23"/>
              </w:rPr>
            </w:pPr>
            <w:r>
              <w:rPr>
                <w:sz w:val="23"/>
                <w:szCs w:val="23"/>
              </w:rPr>
              <w:t>从声环境保护目标的分布情况来看，施工期间，在所有施工机械设备同时运</w:t>
            </w:r>
            <w:r>
              <w:rPr>
                <w:spacing w:val="7"/>
                <w:sz w:val="23"/>
                <w:szCs w:val="23"/>
              </w:rPr>
              <w:t xml:space="preserve"> </w:t>
            </w:r>
            <w:r>
              <w:rPr>
                <w:spacing w:val="3"/>
                <w:sz w:val="23"/>
                <w:szCs w:val="23"/>
              </w:rPr>
              <w:t>行情况下，项目将对声环境保护目标产生一定影响，不同机械同时联合施工的情</w:t>
            </w:r>
            <w:r>
              <w:rPr>
                <w:spacing w:val="4"/>
                <w:sz w:val="23"/>
                <w:szCs w:val="23"/>
              </w:rPr>
              <w:t xml:space="preserve"> </w:t>
            </w:r>
            <w:r>
              <w:rPr>
                <w:spacing w:val="3"/>
                <w:sz w:val="23"/>
                <w:szCs w:val="23"/>
              </w:rPr>
              <w:t>况下，项目声环境评价范围内的栗树园村、栗树园村散户1、栗树园村散户2、</w:t>
            </w:r>
          </w:p>
          <w:p w14:paraId="08DF821A">
            <w:pPr>
              <w:pStyle w:val="6"/>
              <w:spacing w:before="7" w:line="219" w:lineRule="auto"/>
              <w:ind w:left="21"/>
              <w:rPr>
                <w:sz w:val="23"/>
                <w:szCs w:val="23"/>
              </w:rPr>
            </w:pPr>
            <w:r>
              <w:rPr>
                <w:spacing w:val="1"/>
                <w:sz w:val="23"/>
                <w:szCs w:val="23"/>
              </w:rPr>
              <w:t>栗树园村散户3(田间农户看地)、栗树园村散户4(田间</w:t>
            </w:r>
            <w:r>
              <w:rPr>
                <w:sz w:val="23"/>
                <w:szCs w:val="23"/>
              </w:rPr>
              <w:t>农户看地)、发峨哨</w:t>
            </w:r>
          </w:p>
          <w:p w14:paraId="7D94D3D0">
            <w:pPr>
              <w:pStyle w:val="6"/>
              <w:spacing w:before="179" w:line="362" w:lineRule="auto"/>
              <w:ind w:left="11" w:right="451" w:firstLine="10"/>
              <w:rPr>
                <w:sz w:val="23"/>
                <w:szCs w:val="23"/>
              </w:rPr>
            </w:pPr>
            <w:r>
              <w:rPr>
                <w:sz w:val="23"/>
                <w:szCs w:val="23"/>
              </w:rPr>
              <w:t>小学、发峨哨散户1、大莫古集镇(包括大莫古镇完小、大莫古镇一中、大莫古</w:t>
            </w:r>
            <w:r>
              <w:rPr>
                <w:spacing w:val="12"/>
                <w:sz w:val="23"/>
                <w:szCs w:val="23"/>
              </w:rPr>
              <w:t xml:space="preserve"> </w:t>
            </w:r>
            <w:r>
              <w:rPr>
                <w:spacing w:val="1"/>
                <w:sz w:val="23"/>
                <w:szCs w:val="23"/>
              </w:rPr>
              <w:t>幼儿园)、放马沟散户7(田间农户看地)、大地村</w:t>
            </w:r>
            <w:r>
              <w:rPr>
                <w:sz w:val="23"/>
                <w:szCs w:val="23"/>
              </w:rPr>
              <w:t>散户2、大莫古散户1(田</w:t>
            </w:r>
          </w:p>
          <w:p w14:paraId="3F172220">
            <w:pPr>
              <w:pStyle w:val="6"/>
              <w:spacing w:before="28" w:line="369" w:lineRule="auto"/>
              <w:ind w:left="21" w:right="470"/>
              <w:rPr>
                <w:sz w:val="23"/>
                <w:szCs w:val="23"/>
              </w:rPr>
            </w:pPr>
            <w:r>
              <w:rPr>
                <w:spacing w:val="3"/>
                <w:sz w:val="23"/>
                <w:szCs w:val="23"/>
              </w:rPr>
              <w:t>间农户看地)、大地村散户5(田间农户看地)、大地村散户6(田间农户看</w:t>
            </w:r>
            <w:r>
              <w:rPr>
                <w:spacing w:val="2"/>
                <w:sz w:val="23"/>
                <w:szCs w:val="23"/>
              </w:rPr>
              <w:t>地)、</w:t>
            </w:r>
            <w:r>
              <w:rPr>
                <w:sz w:val="23"/>
                <w:szCs w:val="23"/>
              </w:rPr>
              <w:t xml:space="preserve"> 大地村散户7(田间农户看地)、大地村散户9(田间农户看地)、小紫处、橡</w:t>
            </w:r>
          </w:p>
          <w:p w14:paraId="5845267B">
            <w:pPr>
              <w:pStyle w:val="6"/>
              <w:spacing w:line="219" w:lineRule="auto"/>
              <w:ind w:left="21"/>
              <w:rPr>
                <w:sz w:val="23"/>
                <w:szCs w:val="23"/>
              </w:rPr>
            </w:pPr>
            <w:r>
              <w:rPr>
                <w:spacing w:val="1"/>
                <w:sz w:val="23"/>
                <w:szCs w:val="23"/>
              </w:rPr>
              <w:t>子坡散户1、橡子坡散户2(田间农户看地)昼间噪声预</w:t>
            </w:r>
            <w:r>
              <w:rPr>
                <w:sz w:val="23"/>
                <w:szCs w:val="23"/>
              </w:rPr>
              <w:t>测值均超过《声环境质</w:t>
            </w:r>
          </w:p>
          <w:p w14:paraId="1DD96FE3">
            <w:pPr>
              <w:pStyle w:val="6"/>
              <w:spacing w:before="205" w:line="219" w:lineRule="auto"/>
              <w:ind w:left="11"/>
              <w:rPr>
                <w:sz w:val="23"/>
                <w:szCs w:val="23"/>
              </w:rPr>
            </w:pPr>
            <w:r>
              <w:rPr>
                <w:sz w:val="23"/>
                <w:szCs w:val="23"/>
              </w:rPr>
              <w:t>量标准》(GB3096-2008)1类区和4a类区的标准，但实</w:t>
            </w:r>
            <w:r>
              <w:rPr>
                <w:spacing w:val="-1"/>
                <w:sz w:val="23"/>
                <w:szCs w:val="23"/>
              </w:rPr>
              <w:t>际施工过程中，所有机</w:t>
            </w:r>
          </w:p>
          <w:p w14:paraId="6309C246">
            <w:pPr>
              <w:pStyle w:val="6"/>
              <w:spacing w:before="188" w:line="219" w:lineRule="auto"/>
              <w:ind w:left="11"/>
              <w:rPr>
                <w:sz w:val="23"/>
                <w:szCs w:val="23"/>
              </w:rPr>
            </w:pPr>
            <w:r>
              <w:rPr>
                <w:sz w:val="23"/>
                <w:szCs w:val="23"/>
              </w:rPr>
              <w:t>械设备在同一区域同时施工的情景几乎不会出现，施工机</w:t>
            </w:r>
            <w:r>
              <w:rPr>
                <w:spacing w:val="-1"/>
                <w:sz w:val="23"/>
                <w:szCs w:val="23"/>
              </w:rPr>
              <w:t>械设备噪声对敏感目标</w:t>
            </w:r>
          </w:p>
        </w:tc>
      </w:tr>
    </w:tbl>
    <w:p w14:paraId="6EEBAE5D">
      <w:pPr>
        <w:pStyle w:val="2"/>
      </w:pPr>
    </w:p>
    <w:p w14:paraId="5E9A395D">
      <w:pPr>
        <w:sectPr>
          <w:headerReference r:id="rId142" w:type="default"/>
          <w:footerReference r:id="rId143" w:type="default"/>
          <w:pgSz w:w="11910" w:h="16830"/>
          <w:pgMar w:top="400" w:right="1435" w:bottom="1259" w:left="1244" w:header="0" w:footer="1079" w:gutter="0"/>
          <w:cols w:space="720" w:num="1"/>
        </w:sectPr>
      </w:pPr>
    </w:p>
    <w:p w14:paraId="56536DB9">
      <w:pPr>
        <w:spacing w:before="18"/>
      </w:pPr>
    </w:p>
    <w:p w14:paraId="61D0DB01">
      <w:pPr>
        <w:spacing w:before="17"/>
      </w:pPr>
    </w:p>
    <w:p w14:paraId="71819EDE">
      <w:pPr>
        <w:spacing w:before="17"/>
      </w:pPr>
    </w:p>
    <w:p w14:paraId="45DB2BF1">
      <w:pPr>
        <w:spacing w:before="17"/>
      </w:pPr>
    </w:p>
    <w:tbl>
      <w:tblPr>
        <w:tblStyle w:val="5"/>
        <w:tblW w:w="9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160"/>
        <w:gridCol w:w="1099"/>
        <w:gridCol w:w="609"/>
        <w:gridCol w:w="609"/>
        <w:gridCol w:w="969"/>
        <w:gridCol w:w="1099"/>
        <w:gridCol w:w="919"/>
        <w:gridCol w:w="689"/>
        <w:gridCol w:w="859"/>
        <w:gridCol w:w="709"/>
        <w:gridCol w:w="550"/>
        <w:gridCol w:w="205"/>
      </w:tblGrid>
      <w:tr w14:paraId="653D0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0" w:hRule="atLeast"/>
        </w:trPr>
        <w:tc>
          <w:tcPr>
            <w:tcW w:w="884" w:type="dxa"/>
            <w:vMerge w:val="restart"/>
            <w:tcBorders>
              <w:bottom w:val="nil"/>
            </w:tcBorders>
            <w:vAlign w:val="top"/>
          </w:tcPr>
          <w:p w14:paraId="6CEDB6B7">
            <w:pPr>
              <w:rPr>
                <w:rFonts w:ascii="Arial"/>
                <w:sz w:val="21"/>
              </w:rPr>
            </w:pPr>
          </w:p>
        </w:tc>
        <w:tc>
          <w:tcPr>
            <w:tcW w:w="8476" w:type="dxa"/>
            <w:gridSpan w:val="12"/>
            <w:vAlign w:val="top"/>
          </w:tcPr>
          <w:p w14:paraId="5EFA7085">
            <w:pPr>
              <w:pStyle w:val="6"/>
              <w:spacing w:before="23" w:line="219" w:lineRule="auto"/>
              <w:ind w:left="81"/>
              <w:rPr>
                <w:sz w:val="23"/>
                <w:szCs w:val="23"/>
              </w:rPr>
            </w:pPr>
            <w:r>
              <w:rPr>
                <w:sz w:val="23"/>
                <w:szCs w:val="23"/>
              </w:rPr>
              <w:t>的影响比预测值远远要小，且由于光伏阵列区施工仅进行钻孔及电缆开挖，施工</w:t>
            </w:r>
          </w:p>
          <w:p w14:paraId="721F3371">
            <w:pPr>
              <w:pStyle w:val="6"/>
              <w:spacing w:before="198" w:line="377" w:lineRule="auto"/>
              <w:ind w:left="91" w:right="202" w:firstLine="109"/>
              <w:rPr>
                <w:sz w:val="23"/>
                <w:szCs w:val="23"/>
              </w:rPr>
            </w:pPr>
            <w:r>
              <w:rPr>
                <w:sz w:val="23"/>
                <w:szCs w:val="23"/>
              </w:rPr>
              <w:t>工程量小，且施工时间短，施工用的设备为小型风钻设备，噪声影响范围会进一</w:t>
            </w:r>
            <w:r>
              <w:rPr>
                <w:spacing w:val="11"/>
                <w:sz w:val="23"/>
                <w:szCs w:val="23"/>
              </w:rPr>
              <w:t xml:space="preserve"> </w:t>
            </w:r>
            <w:r>
              <w:rPr>
                <w:spacing w:val="-1"/>
                <w:sz w:val="23"/>
                <w:szCs w:val="23"/>
              </w:rPr>
              <w:t>步缩减至100m。</w:t>
            </w:r>
          </w:p>
          <w:p w14:paraId="4D74CEE4">
            <w:pPr>
              <w:pStyle w:val="6"/>
              <w:spacing w:line="371" w:lineRule="auto"/>
              <w:ind w:left="101" w:right="313" w:firstLine="469"/>
              <w:rPr>
                <w:sz w:val="23"/>
                <w:szCs w:val="23"/>
              </w:rPr>
            </w:pPr>
            <w:r>
              <w:rPr>
                <w:sz w:val="23"/>
                <w:szCs w:val="23"/>
              </w:rPr>
              <w:t>采取合理规划施工时间及施工时序，夜间项目不施工；并</w:t>
            </w:r>
            <w:r>
              <w:rPr>
                <w:spacing w:val="-1"/>
                <w:sz w:val="23"/>
                <w:szCs w:val="23"/>
              </w:rPr>
              <w:t>在靠近居民点100m</w:t>
            </w:r>
            <w:r>
              <w:rPr>
                <w:sz w:val="23"/>
                <w:szCs w:val="23"/>
              </w:rPr>
              <w:t xml:space="preserve"> 范围内的光伏阵区或集电线路施工时采用人工开挖基础等措施来</w:t>
            </w:r>
            <w:r>
              <w:rPr>
                <w:spacing w:val="-1"/>
                <w:sz w:val="23"/>
                <w:szCs w:val="23"/>
              </w:rPr>
              <w:t>控制噪声影响，</w:t>
            </w:r>
          </w:p>
          <w:p w14:paraId="4190BD48">
            <w:pPr>
              <w:pStyle w:val="6"/>
              <w:spacing w:before="5" w:line="378" w:lineRule="auto"/>
              <w:ind w:left="111" w:right="199" w:firstLine="89"/>
              <w:rPr>
                <w:sz w:val="23"/>
                <w:szCs w:val="23"/>
              </w:rPr>
            </w:pPr>
            <w:r>
              <w:rPr>
                <w:sz w:val="23"/>
                <w:szCs w:val="23"/>
              </w:rPr>
              <w:t>合理安排施工场地，将高噪声设备尽量远离居民区，合理规划施工时间、施工时</w:t>
            </w:r>
            <w:r>
              <w:rPr>
                <w:spacing w:val="12"/>
                <w:sz w:val="23"/>
                <w:szCs w:val="23"/>
              </w:rPr>
              <w:t xml:space="preserve"> </w:t>
            </w:r>
            <w:r>
              <w:rPr>
                <w:spacing w:val="3"/>
                <w:sz w:val="23"/>
                <w:szCs w:val="23"/>
              </w:rPr>
              <w:t>序，禁止夜间施工，确需夜间施工的，须办理相关手续，并公告周边居民等</w:t>
            </w:r>
            <w:r>
              <w:rPr>
                <w:spacing w:val="2"/>
                <w:sz w:val="23"/>
                <w:szCs w:val="23"/>
              </w:rPr>
              <w:t>噪声</w:t>
            </w:r>
            <w:r>
              <w:rPr>
                <w:sz w:val="23"/>
                <w:szCs w:val="23"/>
              </w:rPr>
              <w:t xml:space="preserve"> </w:t>
            </w:r>
            <w:r>
              <w:rPr>
                <w:spacing w:val="3"/>
                <w:sz w:val="23"/>
                <w:szCs w:val="23"/>
              </w:rPr>
              <w:t>防控措施后施工噪声对外环境的影响将进一步降低。采取上述措施后在上述关心</w:t>
            </w:r>
            <w:r>
              <w:rPr>
                <w:sz w:val="23"/>
                <w:szCs w:val="23"/>
              </w:rPr>
              <w:t xml:space="preserve"> 点附近施工时可能存在的施工设备仅为钻孔机、电焊机，噪声源强叠加值为</w:t>
            </w:r>
          </w:p>
          <w:p w14:paraId="3305D877">
            <w:pPr>
              <w:pStyle w:val="6"/>
              <w:spacing w:before="20" w:line="222" w:lineRule="auto"/>
              <w:ind w:left="81"/>
              <w:rPr>
                <w:sz w:val="23"/>
                <w:szCs w:val="23"/>
              </w:rPr>
            </w:pPr>
            <w:r>
              <w:rPr>
                <w:spacing w:val="-4"/>
                <w:sz w:val="23"/>
                <w:szCs w:val="23"/>
              </w:rPr>
              <w:t>92.27dB(A)。</w:t>
            </w:r>
          </w:p>
          <w:p w14:paraId="1F5B9A65">
            <w:pPr>
              <w:pStyle w:val="6"/>
              <w:spacing w:before="156" w:line="216" w:lineRule="auto"/>
              <w:ind w:left="571"/>
              <w:rPr>
                <w:sz w:val="23"/>
                <w:szCs w:val="23"/>
              </w:rPr>
            </w:pPr>
            <w:r>
              <w:rPr>
                <w:sz w:val="23"/>
                <w:szCs w:val="23"/>
              </w:rPr>
              <w:t>遮挡围挡一般可降低20dB(A),移动式隔声屏障一般可降低20dB(A)。</w:t>
            </w:r>
          </w:p>
          <w:p w14:paraId="489B955F">
            <w:pPr>
              <w:pStyle w:val="6"/>
              <w:spacing w:before="194" w:line="377" w:lineRule="auto"/>
              <w:ind w:left="111" w:right="513"/>
              <w:rPr>
                <w:sz w:val="23"/>
                <w:szCs w:val="23"/>
              </w:rPr>
            </w:pPr>
            <w:r>
              <w:rPr>
                <w:spacing w:val="1"/>
                <w:sz w:val="23"/>
                <w:szCs w:val="23"/>
              </w:rPr>
              <w:t>本项目针对采取措施后的施工期噪声影响预测</w:t>
            </w:r>
            <w:r>
              <w:rPr>
                <w:sz w:val="23"/>
                <w:szCs w:val="23"/>
              </w:rPr>
              <w:t xml:space="preserve">时采用本环评要求的设置遮挡围 </w:t>
            </w:r>
            <w:r>
              <w:rPr>
                <w:spacing w:val="-1"/>
                <w:sz w:val="23"/>
                <w:szCs w:val="23"/>
              </w:rPr>
              <w:t>挡和移动式隔声屏障后的关心点进行预测复核。</w:t>
            </w:r>
          </w:p>
          <w:p w14:paraId="1E7B9F0F">
            <w:pPr>
              <w:pStyle w:val="6"/>
              <w:spacing w:before="2" w:line="371" w:lineRule="auto"/>
              <w:ind w:left="111" w:right="508" w:firstLine="379"/>
              <w:rPr>
                <w:sz w:val="23"/>
                <w:szCs w:val="23"/>
              </w:rPr>
            </w:pPr>
            <w:r>
              <w:rPr>
                <w:sz w:val="23"/>
                <w:szCs w:val="23"/>
              </w:rPr>
              <w:t>采取措施后的施工噪声对敏感目标的影响预测(背景</w:t>
            </w:r>
            <w:r>
              <w:rPr>
                <w:spacing w:val="-1"/>
                <w:sz w:val="23"/>
                <w:szCs w:val="23"/>
              </w:rPr>
              <w:t>值取本次现状监测结果</w:t>
            </w:r>
            <w:r>
              <w:rPr>
                <w:sz w:val="23"/>
                <w:szCs w:val="23"/>
              </w:rPr>
              <w:t xml:space="preserve"> 中最大值)情况详见表4-7。</w:t>
            </w:r>
          </w:p>
          <w:p w14:paraId="3916E6E3">
            <w:pPr>
              <w:pStyle w:val="6"/>
              <w:spacing w:before="19" w:line="201" w:lineRule="auto"/>
              <w:ind w:left="804"/>
              <w:rPr>
                <w:sz w:val="23"/>
                <w:szCs w:val="23"/>
              </w:rPr>
            </w:pPr>
            <w:r>
              <w:rPr>
                <w:b/>
                <w:bCs/>
                <w:spacing w:val="-3"/>
                <w:sz w:val="23"/>
                <w:szCs w:val="23"/>
              </w:rPr>
              <w:t>表4-7</w:t>
            </w:r>
            <w:r>
              <w:rPr>
                <w:spacing w:val="-3"/>
                <w:sz w:val="23"/>
                <w:szCs w:val="23"/>
              </w:rPr>
              <w:t xml:space="preserve">   </w:t>
            </w:r>
            <w:r>
              <w:rPr>
                <w:b/>
                <w:bCs/>
                <w:spacing w:val="-3"/>
                <w:sz w:val="23"/>
                <w:szCs w:val="23"/>
              </w:rPr>
              <w:t>施工期噪声(采取措施后)对保护目标预测情况一览表</w:t>
            </w:r>
          </w:p>
        </w:tc>
      </w:tr>
      <w:tr w14:paraId="5DD54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884" w:type="dxa"/>
            <w:vMerge w:val="continue"/>
            <w:tcBorders>
              <w:top w:val="nil"/>
              <w:bottom w:val="nil"/>
            </w:tcBorders>
            <w:vAlign w:val="top"/>
          </w:tcPr>
          <w:p w14:paraId="1C2A368B">
            <w:pPr>
              <w:rPr>
                <w:rFonts w:ascii="Arial"/>
                <w:sz w:val="21"/>
              </w:rPr>
            </w:pPr>
          </w:p>
        </w:tc>
        <w:tc>
          <w:tcPr>
            <w:tcW w:w="160" w:type="dxa"/>
            <w:vMerge w:val="restart"/>
            <w:tcBorders>
              <w:bottom w:val="nil"/>
            </w:tcBorders>
            <w:vAlign w:val="top"/>
          </w:tcPr>
          <w:p w14:paraId="34EE0FA6">
            <w:pPr>
              <w:rPr>
                <w:rFonts w:ascii="Arial"/>
                <w:sz w:val="21"/>
              </w:rPr>
            </w:pPr>
          </w:p>
        </w:tc>
        <w:tc>
          <w:tcPr>
            <w:tcW w:w="1099" w:type="dxa"/>
            <w:vAlign w:val="top"/>
          </w:tcPr>
          <w:p w14:paraId="1ED42A17">
            <w:pPr>
              <w:spacing w:line="344" w:lineRule="auto"/>
              <w:rPr>
                <w:rFonts w:ascii="Arial"/>
                <w:sz w:val="21"/>
              </w:rPr>
            </w:pPr>
          </w:p>
          <w:p w14:paraId="56326771">
            <w:pPr>
              <w:pStyle w:val="6"/>
              <w:spacing w:before="75" w:line="219" w:lineRule="auto"/>
              <w:ind w:left="84"/>
              <w:rPr>
                <w:sz w:val="23"/>
                <w:szCs w:val="23"/>
              </w:rPr>
            </w:pPr>
            <w:r>
              <w:rPr>
                <w:b/>
                <w:bCs/>
                <w:spacing w:val="-5"/>
                <w:sz w:val="23"/>
                <w:szCs w:val="23"/>
              </w:rPr>
              <w:t>敏感目标</w:t>
            </w:r>
          </w:p>
        </w:tc>
        <w:tc>
          <w:tcPr>
            <w:tcW w:w="609" w:type="dxa"/>
            <w:vAlign w:val="top"/>
          </w:tcPr>
          <w:p w14:paraId="5D1EED28">
            <w:pPr>
              <w:pStyle w:val="6"/>
              <w:spacing w:before="152" w:line="215" w:lineRule="auto"/>
              <w:ind w:left="185" w:right="81" w:hanging="120"/>
              <w:rPr>
                <w:sz w:val="23"/>
                <w:szCs w:val="23"/>
              </w:rPr>
            </w:pPr>
            <w:r>
              <w:rPr>
                <w:b/>
                <w:bCs/>
                <w:spacing w:val="-7"/>
                <w:sz w:val="23"/>
                <w:szCs w:val="23"/>
              </w:rPr>
              <w:t>距离</w:t>
            </w:r>
            <w:r>
              <w:rPr>
                <w:sz w:val="23"/>
                <w:szCs w:val="23"/>
              </w:rPr>
              <w:t xml:space="preserve"> </w:t>
            </w:r>
            <w:r>
              <w:rPr>
                <w:b/>
                <w:bCs/>
                <w:spacing w:val="-10"/>
                <w:w w:val="95"/>
                <w:sz w:val="23"/>
                <w:szCs w:val="23"/>
              </w:rPr>
              <w:t>(m</w:t>
            </w:r>
          </w:p>
          <w:p w14:paraId="3C551275">
            <w:pPr>
              <w:pStyle w:val="6"/>
              <w:spacing w:line="222" w:lineRule="auto"/>
              <w:ind w:left="232"/>
              <w:rPr>
                <w:sz w:val="23"/>
                <w:szCs w:val="23"/>
              </w:rPr>
            </w:pPr>
            <w:r>
              <w:rPr>
                <w:sz w:val="23"/>
                <w:szCs w:val="23"/>
              </w:rPr>
              <w:t>)</w:t>
            </w:r>
          </w:p>
        </w:tc>
        <w:tc>
          <w:tcPr>
            <w:tcW w:w="609" w:type="dxa"/>
            <w:vAlign w:val="top"/>
          </w:tcPr>
          <w:p w14:paraId="2E20E479">
            <w:pPr>
              <w:spacing w:line="345" w:lineRule="auto"/>
              <w:rPr>
                <w:rFonts w:ascii="Arial"/>
                <w:sz w:val="21"/>
              </w:rPr>
            </w:pPr>
          </w:p>
          <w:p w14:paraId="7DB2519D">
            <w:pPr>
              <w:pStyle w:val="6"/>
              <w:spacing w:before="75" w:line="221" w:lineRule="auto"/>
              <w:ind w:left="66"/>
              <w:rPr>
                <w:sz w:val="23"/>
                <w:szCs w:val="23"/>
              </w:rPr>
            </w:pPr>
            <w:r>
              <w:rPr>
                <w:b/>
                <w:bCs/>
                <w:spacing w:val="-2"/>
                <w:sz w:val="23"/>
                <w:szCs w:val="23"/>
              </w:rPr>
              <w:t>时段</w:t>
            </w:r>
          </w:p>
        </w:tc>
        <w:tc>
          <w:tcPr>
            <w:tcW w:w="969" w:type="dxa"/>
            <w:vAlign w:val="top"/>
          </w:tcPr>
          <w:p w14:paraId="43EAE4B4">
            <w:pPr>
              <w:pStyle w:val="6"/>
              <w:spacing w:before="139" w:line="219" w:lineRule="auto"/>
              <w:ind w:left="17"/>
              <w:rPr>
                <w:sz w:val="23"/>
                <w:szCs w:val="23"/>
              </w:rPr>
            </w:pPr>
            <w:r>
              <w:rPr>
                <w:b/>
                <w:bCs/>
                <w:spacing w:val="-5"/>
                <w:sz w:val="23"/>
                <w:szCs w:val="23"/>
              </w:rPr>
              <w:t>未采取措</w:t>
            </w:r>
          </w:p>
          <w:p w14:paraId="0A156B88">
            <w:pPr>
              <w:pStyle w:val="6"/>
              <w:spacing w:before="9" w:line="234" w:lineRule="auto"/>
              <w:ind w:left="77" w:right="29" w:hanging="60"/>
              <w:rPr>
                <w:sz w:val="23"/>
                <w:szCs w:val="23"/>
              </w:rPr>
            </w:pPr>
            <w:r>
              <w:rPr>
                <w:b/>
                <w:bCs/>
                <w:spacing w:val="-5"/>
                <w:sz w:val="23"/>
                <w:szCs w:val="23"/>
              </w:rPr>
              <w:t>施前贡献</w:t>
            </w:r>
            <w:r>
              <w:rPr>
                <w:spacing w:val="1"/>
                <w:sz w:val="23"/>
                <w:szCs w:val="23"/>
              </w:rPr>
              <w:t xml:space="preserve"> </w:t>
            </w:r>
            <w:r>
              <w:rPr>
                <w:b/>
                <w:bCs/>
                <w:spacing w:val="6"/>
                <w:sz w:val="23"/>
                <w:szCs w:val="23"/>
              </w:rPr>
              <w:t>值</w:t>
            </w:r>
            <w:r>
              <w:rPr>
                <w:b/>
                <w:bCs/>
                <w:sz w:val="23"/>
                <w:szCs w:val="23"/>
              </w:rPr>
              <w:t>dB</w:t>
            </w:r>
            <w:r>
              <w:rPr>
                <w:b/>
                <w:bCs/>
                <w:spacing w:val="6"/>
                <w:sz w:val="23"/>
                <w:szCs w:val="23"/>
              </w:rPr>
              <w:t>(A)</w:t>
            </w:r>
          </w:p>
        </w:tc>
        <w:tc>
          <w:tcPr>
            <w:tcW w:w="1099" w:type="dxa"/>
            <w:vAlign w:val="top"/>
          </w:tcPr>
          <w:p w14:paraId="3BDCC4A8">
            <w:pPr>
              <w:spacing w:line="342" w:lineRule="auto"/>
              <w:rPr>
                <w:rFonts w:ascii="Arial"/>
                <w:sz w:val="21"/>
              </w:rPr>
            </w:pPr>
          </w:p>
          <w:p w14:paraId="15919487">
            <w:pPr>
              <w:pStyle w:val="6"/>
              <w:spacing w:before="75" w:line="219" w:lineRule="auto"/>
              <w:ind w:left="88"/>
              <w:rPr>
                <w:sz w:val="23"/>
                <w:szCs w:val="23"/>
              </w:rPr>
            </w:pPr>
            <w:r>
              <w:rPr>
                <w:b/>
                <w:bCs/>
                <w:spacing w:val="-4"/>
                <w:sz w:val="23"/>
                <w:szCs w:val="23"/>
              </w:rPr>
              <w:t>采取措施</w:t>
            </w:r>
          </w:p>
        </w:tc>
        <w:tc>
          <w:tcPr>
            <w:tcW w:w="919" w:type="dxa"/>
            <w:vAlign w:val="top"/>
          </w:tcPr>
          <w:p w14:paraId="03A04503">
            <w:pPr>
              <w:pStyle w:val="6"/>
              <w:spacing w:before="19" w:line="219" w:lineRule="auto"/>
              <w:ind w:left="109"/>
              <w:rPr>
                <w:sz w:val="23"/>
                <w:szCs w:val="23"/>
              </w:rPr>
            </w:pPr>
            <w:r>
              <w:rPr>
                <w:b/>
                <w:bCs/>
                <w:spacing w:val="-5"/>
                <w:sz w:val="23"/>
                <w:szCs w:val="23"/>
              </w:rPr>
              <w:t>采取措</w:t>
            </w:r>
          </w:p>
          <w:p w14:paraId="4292FBD0">
            <w:pPr>
              <w:pStyle w:val="6"/>
              <w:spacing w:before="19" w:line="208" w:lineRule="auto"/>
              <w:ind w:left="109"/>
              <w:rPr>
                <w:sz w:val="23"/>
                <w:szCs w:val="23"/>
              </w:rPr>
            </w:pPr>
            <w:r>
              <w:rPr>
                <w:b/>
                <w:bCs/>
                <w:spacing w:val="-5"/>
                <w:sz w:val="23"/>
                <w:szCs w:val="23"/>
              </w:rPr>
              <w:t>施后贡</w:t>
            </w:r>
          </w:p>
          <w:p w14:paraId="411D3E11">
            <w:pPr>
              <w:pStyle w:val="6"/>
              <w:spacing w:line="211" w:lineRule="auto"/>
              <w:ind w:left="229"/>
              <w:rPr>
                <w:sz w:val="23"/>
                <w:szCs w:val="23"/>
              </w:rPr>
            </w:pPr>
            <w:r>
              <w:rPr>
                <w:b/>
                <w:bCs/>
                <w:spacing w:val="-5"/>
                <w:sz w:val="23"/>
                <w:szCs w:val="23"/>
              </w:rPr>
              <w:t>献值</w:t>
            </w:r>
          </w:p>
          <w:p w14:paraId="01B768DD">
            <w:pPr>
              <w:pStyle w:val="6"/>
              <w:spacing w:line="180" w:lineRule="auto"/>
              <w:ind w:left="169"/>
              <w:rPr>
                <w:sz w:val="23"/>
                <w:szCs w:val="23"/>
              </w:rPr>
            </w:pPr>
            <w:r>
              <w:rPr>
                <w:b/>
                <w:bCs/>
                <w:spacing w:val="-5"/>
                <w:sz w:val="23"/>
                <w:szCs w:val="23"/>
              </w:rPr>
              <w:t>dB(A)</w:t>
            </w:r>
          </w:p>
        </w:tc>
        <w:tc>
          <w:tcPr>
            <w:tcW w:w="689" w:type="dxa"/>
            <w:vAlign w:val="top"/>
          </w:tcPr>
          <w:p w14:paraId="3BA32858">
            <w:pPr>
              <w:pStyle w:val="6"/>
              <w:spacing w:before="160" w:line="219" w:lineRule="auto"/>
              <w:ind w:left="229" w:right="121" w:hanging="119"/>
              <w:rPr>
                <w:sz w:val="23"/>
                <w:szCs w:val="23"/>
              </w:rPr>
            </w:pPr>
            <w:r>
              <w:rPr>
                <w:b/>
                <w:bCs/>
                <w:spacing w:val="-9"/>
                <w:sz w:val="23"/>
                <w:szCs w:val="23"/>
              </w:rPr>
              <w:t>背景</w:t>
            </w:r>
            <w:r>
              <w:rPr>
                <w:sz w:val="23"/>
                <w:szCs w:val="23"/>
              </w:rPr>
              <w:t xml:space="preserve"> </w:t>
            </w:r>
            <w:r>
              <w:rPr>
                <w:b/>
                <w:bCs/>
                <w:spacing w:val="-3"/>
                <w:sz w:val="23"/>
                <w:szCs w:val="23"/>
              </w:rPr>
              <w:t>值</w:t>
            </w:r>
          </w:p>
          <w:p w14:paraId="4C2920F2">
            <w:pPr>
              <w:pStyle w:val="6"/>
              <w:spacing w:before="28" w:line="222" w:lineRule="auto"/>
              <w:ind w:left="50"/>
              <w:rPr>
                <w:sz w:val="23"/>
                <w:szCs w:val="23"/>
              </w:rPr>
            </w:pPr>
            <w:r>
              <w:rPr>
                <w:b/>
                <w:bCs/>
                <w:spacing w:val="-5"/>
                <w:sz w:val="23"/>
                <w:szCs w:val="23"/>
              </w:rPr>
              <w:t>dB(A)</w:t>
            </w:r>
          </w:p>
        </w:tc>
        <w:tc>
          <w:tcPr>
            <w:tcW w:w="859" w:type="dxa"/>
            <w:vAlign w:val="top"/>
          </w:tcPr>
          <w:p w14:paraId="15D86146">
            <w:pPr>
              <w:pStyle w:val="6"/>
              <w:spacing w:before="301" w:line="231" w:lineRule="auto"/>
              <w:ind w:left="141" w:right="88" w:hanging="60"/>
              <w:rPr>
                <w:sz w:val="23"/>
                <w:szCs w:val="23"/>
              </w:rPr>
            </w:pPr>
            <w:r>
              <w:rPr>
                <w:b/>
                <w:bCs/>
                <w:spacing w:val="-7"/>
                <w:sz w:val="23"/>
                <w:szCs w:val="23"/>
              </w:rPr>
              <w:t>预测值</w:t>
            </w:r>
            <w:r>
              <w:rPr>
                <w:spacing w:val="1"/>
                <w:sz w:val="23"/>
                <w:szCs w:val="23"/>
              </w:rPr>
              <w:t xml:space="preserve"> </w:t>
            </w:r>
            <w:r>
              <w:rPr>
                <w:b/>
                <w:bCs/>
                <w:spacing w:val="-5"/>
                <w:sz w:val="23"/>
                <w:szCs w:val="23"/>
              </w:rPr>
              <w:t>dB(A)</w:t>
            </w:r>
          </w:p>
        </w:tc>
        <w:tc>
          <w:tcPr>
            <w:tcW w:w="709" w:type="dxa"/>
            <w:vAlign w:val="top"/>
          </w:tcPr>
          <w:p w14:paraId="2C79E3CB">
            <w:pPr>
              <w:pStyle w:val="6"/>
              <w:spacing w:before="151" w:line="226" w:lineRule="auto"/>
              <w:ind w:left="241" w:right="126" w:hanging="119"/>
              <w:rPr>
                <w:sz w:val="23"/>
                <w:szCs w:val="23"/>
              </w:rPr>
            </w:pPr>
            <w:r>
              <w:rPr>
                <w:b/>
                <w:bCs/>
                <w:spacing w:val="-8"/>
                <w:sz w:val="23"/>
                <w:szCs w:val="23"/>
              </w:rPr>
              <w:t>标准</w:t>
            </w:r>
            <w:r>
              <w:rPr>
                <w:sz w:val="23"/>
                <w:szCs w:val="23"/>
              </w:rPr>
              <w:t xml:space="preserve"> </w:t>
            </w:r>
            <w:r>
              <w:rPr>
                <w:b/>
                <w:bCs/>
                <w:spacing w:val="-3"/>
                <w:sz w:val="23"/>
                <w:szCs w:val="23"/>
              </w:rPr>
              <w:t>值</w:t>
            </w:r>
          </w:p>
          <w:p w14:paraId="476123F1">
            <w:pPr>
              <w:pStyle w:val="6"/>
              <w:spacing w:before="9" w:line="222" w:lineRule="auto"/>
              <w:ind w:left="62"/>
              <w:rPr>
                <w:sz w:val="23"/>
                <w:szCs w:val="23"/>
              </w:rPr>
            </w:pPr>
            <w:r>
              <w:rPr>
                <w:b/>
                <w:bCs/>
                <w:spacing w:val="-5"/>
                <w:sz w:val="23"/>
                <w:szCs w:val="23"/>
              </w:rPr>
              <w:t>dB(A)</w:t>
            </w:r>
          </w:p>
        </w:tc>
        <w:tc>
          <w:tcPr>
            <w:tcW w:w="550" w:type="dxa"/>
            <w:vAlign w:val="top"/>
          </w:tcPr>
          <w:p w14:paraId="0D485395">
            <w:pPr>
              <w:pStyle w:val="6"/>
              <w:spacing w:before="271" w:line="217" w:lineRule="auto"/>
              <w:ind w:left="43"/>
              <w:rPr>
                <w:sz w:val="23"/>
                <w:szCs w:val="23"/>
              </w:rPr>
            </w:pPr>
            <w:r>
              <w:rPr>
                <w:b/>
                <w:bCs/>
                <w:spacing w:val="-5"/>
                <w:sz w:val="23"/>
                <w:szCs w:val="23"/>
              </w:rPr>
              <w:t>达标</w:t>
            </w:r>
          </w:p>
          <w:p w14:paraId="4938EDCE">
            <w:pPr>
              <w:pStyle w:val="6"/>
              <w:spacing w:line="220" w:lineRule="auto"/>
              <w:ind w:left="43"/>
              <w:rPr>
                <w:sz w:val="23"/>
                <w:szCs w:val="23"/>
              </w:rPr>
            </w:pPr>
            <w:r>
              <w:rPr>
                <w:b/>
                <w:bCs/>
                <w:spacing w:val="-5"/>
                <w:sz w:val="23"/>
                <w:szCs w:val="23"/>
              </w:rPr>
              <w:t>情况</w:t>
            </w:r>
          </w:p>
        </w:tc>
        <w:tc>
          <w:tcPr>
            <w:tcW w:w="205" w:type="dxa"/>
            <w:vMerge w:val="restart"/>
            <w:tcBorders>
              <w:bottom w:val="nil"/>
            </w:tcBorders>
            <w:vAlign w:val="top"/>
          </w:tcPr>
          <w:p w14:paraId="36EC021E">
            <w:pPr>
              <w:rPr>
                <w:rFonts w:ascii="Arial"/>
                <w:sz w:val="21"/>
              </w:rPr>
            </w:pPr>
          </w:p>
        </w:tc>
      </w:tr>
      <w:tr w14:paraId="06EF1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84" w:type="dxa"/>
            <w:vMerge w:val="continue"/>
            <w:tcBorders>
              <w:top w:val="nil"/>
              <w:bottom w:val="nil"/>
            </w:tcBorders>
            <w:vAlign w:val="top"/>
          </w:tcPr>
          <w:p w14:paraId="03BB337C">
            <w:pPr>
              <w:rPr>
                <w:rFonts w:ascii="Arial"/>
                <w:sz w:val="21"/>
              </w:rPr>
            </w:pPr>
          </w:p>
        </w:tc>
        <w:tc>
          <w:tcPr>
            <w:tcW w:w="160" w:type="dxa"/>
            <w:vMerge w:val="continue"/>
            <w:tcBorders>
              <w:top w:val="nil"/>
              <w:bottom w:val="nil"/>
            </w:tcBorders>
            <w:vAlign w:val="top"/>
          </w:tcPr>
          <w:p w14:paraId="38860A93">
            <w:pPr>
              <w:rPr>
                <w:rFonts w:ascii="Arial"/>
                <w:sz w:val="21"/>
              </w:rPr>
            </w:pPr>
          </w:p>
        </w:tc>
        <w:tc>
          <w:tcPr>
            <w:tcW w:w="1099" w:type="dxa"/>
            <w:vAlign w:val="top"/>
          </w:tcPr>
          <w:p w14:paraId="09CA16B8">
            <w:pPr>
              <w:pStyle w:val="6"/>
              <w:spacing w:before="54" w:line="205" w:lineRule="auto"/>
              <w:ind w:left="81"/>
              <w:rPr>
                <w:sz w:val="23"/>
                <w:szCs w:val="23"/>
              </w:rPr>
            </w:pPr>
            <w:r>
              <w:rPr>
                <w:spacing w:val="-2"/>
                <w:sz w:val="23"/>
                <w:szCs w:val="23"/>
              </w:rPr>
              <w:t>栗树园村</w:t>
            </w:r>
          </w:p>
        </w:tc>
        <w:tc>
          <w:tcPr>
            <w:tcW w:w="609" w:type="dxa"/>
            <w:vAlign w:val="top"/>
          </w:tcPr>
          <w:p w14:paraId="4F68EBE7">
            <w:pPr>
              <w:pStyle w:val="6"/>
              <w:spacing w:before="78" w:line="186" w:lineRule="auto"/>
              <w:ind w:left="232"/>
              <w:rPr>
                <w:sz w:val="23"/>
                <w:szCs w:val="23"/>
              </w:rPr>
            </w:pPr>
            <w:r>
              <w:rPr>
                <w:sz w:val="23"/>
                <w:szCs w:val="23"/>
              </w:rPr>
              <w:t>3</w:t>
            </w:r>
          </w:p>
        </w:tc>
        <w:tc>
          <w:tcPr>
            <w:tcW w:w="609" w:type="dxa"/>
            <w:vAlign w:val="top"/>
          </w:tcPr>
          <w:p w14:paraId="2F5C4B72">
            <w:pPr>
              <w:pStyle w:val="6"/>
              <w:spacing w:before="58" w:line="202" w:lineRule="auto"/>
              <w:ind w:left="63"/>
              <w:rPr>
                <w:sz w:val="23"/>
                <w:szCs w:val="23"/>
              </w:rPr>
            </w:pPr>
            <w:r>
              <w:rPr>
                <w:spacing w:val="11"/>
                <w:sz w:val="23"/>
                <w:szCs w:val="23"/>
              </w:rPr>
              <w:t>昼间</w:t>
            </w:r>
          </w:p>
        </w:tc>
        <w:tc>
          <w:tcPr>
            <w:tcW w:w="969" w:type="dxa"/>
            <w:vAlign w:val="top"/>
          </w:tcPr>
          <w:p w14:paraId="7E49BF97">
            <w:pPr>
              <w:pStyle w:val="6"/>
              <w:spacing w:before="78" w:line="186" w:lineRule="auto"/>
              <w:ind w:left="184"/>
              <w:rPr>
                <w:sz w:val="23"/>
                <w:szCs w:val="23"/>
              </w:rPr>
            </w:pPr>
            <w:r>
              <w:rPr>
                <w:spacing w:val="-2"/>
                <w:sz w:val="23"/>
                <w:szCs w:val="23"/>
              </w:rPr>
              <w:t>82.73</w:t>
            </w:r>
          </w:p>
        </w:tc>
        <w:tc>
          <w:tcPr>
            <w:tcW w:w="1099" w:type="dxa"/>
            <w:vMerge w:val="restart"/>
            <w:tcBorders>
              <w:bottom w:val="nil"/>
            </w:tcBorders>
            <w:vAlign w:val="top"/>
          </w:tcPr>
          <w:p w14:paraId="4B180453">
            <w:pPr>
              <w:pStyle w:val="6"/>
              <w:spacing w:before="275" w:line="217" w:lineRule="auto"/>
              <w:jc w:val="right"/>
              <w:rPr>
                <w:sz w:val="23"/>
                <w:szCs w:val="23"/>
              </w:rPr>
            </w:pPr>
            <w:r>
              <w:rPr>
                <w:spacing w:val="-16"/>
                <w:sz w:val="23"/>
                <w:szCs w:val="23"/>
              </w:rPr>
              <w:t>施工围挡、</w:t>
            </w:r>
          </w:p>
          <w:p w14:paraId="42523684">
            <w:pPr>
              <w:pStyle w:val="6"/>
              <w:spacing w:before="1" w:line="215" w:lineRule="auto"/>
              <w:ind w:left="85"/>
              <w:rPr>
                <w:sz w:val="23"/>
                <w:szCs w:val="23"/>
              </w:rPr>
            </w:pPr>
            <w:r>
              <w:rPr>
                <w:spacing w:val="4"/>
                <w:sz w:val="23"/>
                <w:szCs w:val="23"/>
              </w:rPr>
              <w:t>移动声屏</w:t>
            </w:r>
          </w:p>
          <w:p w14:paraId="0AA2654F">
            <w:pPr>
              <w:pStyle w:val="6"/>
              <w:spacing w:line="219" w:lineRule="auto"/>
              <w:ind w:left="425"/>
              <w:rPr>
                <w:sz w:val="23"/>
                <w:szCs w:val="23"/>
              </w:rPr>
            </w:pPr>
            <w:r>
              <w:rPr>
                <w:sz w:val="23"/>
                <w:szCs w:val="23"/>
              </w:rPr>
              <w:t>障</w:t>
            </w:r>
          </w:p>
        </w:tc>
        <w:tc>
          <w:tcPr>
            <w:tcW w:w="919" w:type="dxa"/>
            <w:vAlign w:val="top"/>
          </w:tcPr>
          <w:p w14:paraId="5017E16B">
            <w:pPr>
              <w:pStyle w:val="6"/>
              <w:spacing w:before="78" w:line="186" w:lineRule="auto"/>
              <w:ind w:left="166"/>
              <w:rPr>
                <w:sz w:val="23"/>
                <w:szCs w:val="23"/>
              </w:rPr>
            </w:pPr>
            <w:r>
              <w:rPr>
                <w:spacing w:val="-2"/>
                <w:sz w:val="23"/>
                <w:szCs w:val="23"/>
              </w:rPr>
              <w:t>42.73</w:t>
            </w:r>
          </w:p>
        </w:tc>
        <w:tc>
          <w:tcPr>
            <w:tcW w:w="689" w:type="dxa"/>
            <w:vAlign w:val="top"/>
          </w:tcPr>
          <w:p w14:paraId="5DC46D70">
            <w:pPr>
              <w:pStyle w:val="6"/>
              <w:spacing w:before="78" w:line="186" w:lineRule="auto"/>
              <w:ind w:left="227"/>
              <w:rPr>
                <w:sz w:val="23"/>
                <w:szCs w:val="23"/>
              </w:rPr>
            </w:pPr>
            <w:r>
              <w:rPr>
                <w:spacing w:val="-3"/>
                <w:sz w:val="23"/>
                <w:szCs w:val="23"/>
              </w:rPr>
              <w:t>66</w:t>
            </w:r>
          </w:p>
        </w:tc>
        <w:tc>
          <w:tcPr>
            <w:tcW w:w="859" w:type="dxa"/>
            <w:vAlign w:val="top"/>
          </w:tcPr>
          <w:p w14:paraId="5DBD6F84">
            <w:pPr>
              <w:pStyle w:val="6"/>
              <w:spacing w:before="78" w:line="186" w:lineRule="auto"/>
              <w:ind w:left="138"/>
              <w:rPr>
                <w:sz w:val="23"/>
                <w:szCs w:val="23"/>
              </w:rPr>
            </w:pPr>
            <w:r>
              <w:rPr>
                <w:spacing w:val="-2"/>
                <w:sz w:val="23"/>
                <w:szCs w:val="23"/>
              </w:rPr>
              <w:t>66.02</w:t>
            </w:r>
          </w:p>
        </w:tc>
        <w:tc>
          <w:tcPr>
            <w:tcW w:w="709" w:type="dxa"/>
            <w:vAlign w:val="top"/>
          </w:tcPr>
          <w:p w14:paraId="0B8FCA9E">
            <w:pPr>
              <w:pStyle w:val="6"/>
              <w:spacing w:before="78" w:line="186" w:lineRule="auto"/>
              <w:ind w:left="239"/>
              <w:rPr>
                <w:sz w:val="23"/>
                <w:szCs w:val="23"/>
              </w:rPr>
            </w:pPr>
            <w:r>
              <w:rPr>
                <w:spacing w:val="-4"/>
                <w:sz w:val="23"/>
                <w:szCs w:val="23"/>
              </w:rPr>
              <w:t>70</w:t>
            </w:r>
          </w:p>
        </w:tc>
        <w:tc>
          <w:tcPr>
            <w:tcW w:w="550" w:type="dxa"/>
            <w:vAlign w:val="top"/>
          </w:tcPr>
          <w:p w14:paraId="006D42CC">
            <w:pPr>
              <w:pStyle w:val="6"/>
              <w:spacing w:before="55" w:line="204" w:lineRule="auto"/>
              <w:ind w:left="39"/>
              <w:rPr>
                <w:sz w:val="23"/>
                <w:szCs w:val="23"/>
              </w:rPr>
            </w:pPr>
            <w:r>
              <w:rPr>
                <w:spacing w:val="-3"/>
                <w:sz w:val="23"/>
                <w:szCs w:val="23"/>
              </w:rPr>
              <w:t>达标</w:t>
            </w:r>
          </w:p>
        </w:tc>
        <w:tc>
          <w:tcPr>
            <w:tcW w:w="205" w:type="dxa"/>
            <w:vMerge w:val="continue"/>
            <w:tcBorders>
              <w:top w:val="nil"/>
              <w:bottom w:val="nil"/>
            </w:tcBorders>
            <w:vAlign w:val="top"/>
          </w:tcPr>
          <w:p w14:paraId="01EE4166">
            <w:pPr>
              <w:rPr>
                <w:rFonts w:ascii="Arial"/>
                <w:sz w:val="21"/>
              </w:rPr>
            </w:pPr>
          </w:p>
        </w:tc>
      </w:tr>
      <w:tr w14:paraId="7A6BF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884" w:type="dxa"/>
            <w:vMerge w:val="continue"/>
            <w:tcBorders>
              <w:top w:val="nil"/>
              <w:bottom w:val="nil"/>
            </w:tcBorders>
            <w:vAlign w:val="top"/>
          </w:tcPr>
          <w:p w14:paraId="40B56D60">
            <w:pPr>
              <w:rPr>
                <w:rFonts w:ascii="Arial"/>
                <w:sz w:val="21"/>
              </w:rPr>
            </w:pPr>
          </w:p>
        </w:tc>
        <w:tc>
          <w:tcPr>
            <w:tcW w:w="160" w:type="dxa"/>
            <w:vMerge w:val="continue"/>
            <w:tcBorders>
              <w:top w:val="nil"/>
              <w:bottom w:val="nil"/>
            </w:tcBorders>
            <w:vAlign w:val="top"/>
          </w:tcPr>
          <w:p w14:paraId="3AB3399A">
            <w:pPr>
              <w:rPr>
                <w:rFonts w:ascii="Arial"/>
                <w:sz w:val="21"/>
              </w:rPr>
            </w:pPr>
          </w:p>
        </w:tc>
        <w:tc>
          <w:tcPr>
            <w:tcW w:w="1099" w:type="dxa"/>
            <w:vAlign w:val="top"/>
          </w:tcPr>
          <w:p w14:paraId="19C67CD8">
            <w:pPr>
              <w:pStyle w:val="6"/>
              <w:spacing w:before="24" w:line="178" w:lineRule="auto"/>
              <w:ind w:left="359" w:hanging="349"/>
              <w:rPr>
                <w:sz w:val="21"/>
                <w:szCs w:val="21"/>
              </w:rPr>
            </w:pPr>
            <w:r>
              <w:rPr>
                <w:spacing w:val="-17"/>
                <w:sz w:val="23"/>
                <w:szCs w:val="23"/>
              </w:rPr>
              <w:t>栗树</w:t>
            </w:r>
            <w:r>
              <w:rPr>
                <w:spacing w:val="-16"/>
                <w:sz w:val="23"/>
                <w:szCs w:val="23"/>
              </w:rPr>
              <w:t>园村</w:t>
            </w:r>
            <w:r>
              <w:rPr>
                <w:spacing w:val="-9"/>
                <w:sz w:val="23"/>
                <w:szCs w:val="23"/>
              </w:rPr>
              <w:t>散</w:t>
            </w:r>
            <w:r>
              <w:rPr>
                <w:spacing w:val="2"/>
                <w:sz w:val="23"/>
                <w:szCs w:val="23"/>
              </w:rPr>
              <w:t xml:space="preserve"> </w:t>
            </w:r>
            <w:r>
              <w:rPr>
                <w:spacing w:val="13"/>
                <w:sz w:val="21"/>
                <w:szCs w:val="21"/>
              </w:rPr>
              <w:t>户1</w:t>
            </w:r>
          </w:p>
        </w:tc>
        <w:tc>
          <w:tcPr>
            <w:tcW w:w="609" w:type="dxa"/>
            <w:vAlign w:val="top"/>
          </w:tcPr>
          <w:p w14:paraId="19B437A0">
            <w:pPr>
              <w:pStyle w:val="6"/>
              <w:spacing w:before="147"/>
              <w:ind w:left="232"/>
              <w:rPr>
                <w:sz w:val="23"/>
                <w:szCs w:val="23"/>
              </w:rPr>
            </w:pPr>
            <w:r>
              <w:rPr>
                <w:sz w:val="23"/>
                <w:szCs w:val="23"/>
              </w:rPr>
              <w:t>3</w:t>
            </w:r>
          </w:p>
        </w:tc>
        <w:tc>
          <w:tcPr>
            <w:tcW w:w="609" w:type="dxa"/>
            <w:vAlign w:val="top"/>
          </w:tcPr>
          <w:p w14:paraId="17EC80BF">
            <w:pPr>
              <w:pStyle w:val="6"/>
              <w:spacing w:before="129" w:line="222" w:lineRule="auto"/>
              <w:ind w:left="63"/>
              <w:rPr>
                <w:sz w:val="23"/>
                <w:szCs w:val="23"/>
              </w:rPr>
            </w:pPr>
            <w:r>
              <w:rPr>
                <w:spacing w:val="11"/>
                <w:sz w:val="23"/>
                <w:szCs w:val="23"/>
              </w:rPr>
              <w:t>昼间</w:t>
            </w:r>
          </w:p>
        </w:tc>
        <w:tc>
          <w:tcPr>
            <w:tcW w:w="969" w:type="dxa"/>
            <w:vAlign w:val="top"/>
          </w:tcPr>
          <w:p w14:paraId="7E6BF948">
            <w:pPr>
              <w:pStyle w:val="6"/>
              <w:spacing w:before="148" w:line="239" w:lineRule="auto"/>
              <w:ind w:left="184"/>
              <w:rPr>
                <w:sz w:val="23"/>
                <w:szCs w:val="23"/>
              </w:rPr>
            </w:pPr>
            <w:r>
              <w:rPr>
                <w:spacing w:val="-2"/>
                <w:sz w:val="23"/>
                <w:szCs w:val="23"/>
              </w:rPr>
              <w:t>82.73</w:t>
            </w:r>
          </w:p>
        </w:tc>
        <w:tc>
          <w:tcPr>
            <w:tcW w:w="1099" w:type="dxa"/>
            <w:vMerge w:val="continue"/>
            <w:tcBorders>
              <w:top w:val="nil"/>
              <w:bottom w:val="nil"/>
            </w:tcBorders>
            <w:vAlign w:val="top"/>
          </w:tcPr>
          <w:p w14:paraId="55406CE8">
            <w:pPr>
              <w:rPr>
                <w:rFonts w:ascii="Arial"/>
                <w:sz w:val="21"/>
              </w:rPr>
            </w:pPr>
          </w:p>
        </w:tc>
        <w:tc>
          <w:tcPr>
            <w:tcW w:w="919" w:type="dxa"/>
            <w:vAlign w:val="top"/>
          </w:tcPr>
          <w:p w14:paraId="1ECB86FF">
            <w:pPr>
              <w:pStyle w:val="6"/>
              <w:spacing w:before="148" w:line="239" w:lineRule="auto"/>
              <w:ind w:left="166"/>
              <w:rPr>
                <w:sz w:val="23"/>
                <w:szCs w:val="23"/>
              </w:rPr>
            </w:pPr>
            <w:r>
              <w:rPr>
                <w:spacing w:val="-2"/>
                <w:sz w:val="23"/>
                <w:szCs w:val="23"/>
              </w:rPr>
              <w:t>42.73</w:t>
            </w:r>
          </w:p>
        </w:tc>
        <w:tc>
          <w:tcPr>
            <w:tcW w:w="689" w:type="dxa"/>
            <w:vAlign w:val="top"/>
          </w:tcPr>
          <w:p w14:paraId="508215D1">
            <w:pPr>
              <w:pStyle w:val="6"/>
              <w:spacing w:before="148" w:line="241" w:lineRule="auto"/>
              <w:ind w:left="227"/>
              <w:rPr>
                <w:sz w:val="23"/>
                <w:szCs w:val="23"/>
              </w:rPr>
            </w:pPr>
            <w:r>
              <w:rPr>
                <w:spacing w:val="-3"/>
                <w:sz w:val="23"/>
                <w:szCs w:val="23"/>
              </w:rPr>
              <w:t>44</w:t>
            </w:r>
          </w:p>
        </w:tc>
        <w:tc>
          <w:tcPr>
            <w:tcW w:w="859" w:type="dxa"/>
            <w:vAlign w:val="top"/>
          </w:tcPr>
          <w:p w14:paraId="0E88AB8F">
            <w:pPr>
              <w:pStyle w:val="6"/>
              <w:spacing w:before="148" w:line="239" w:lineRule="auto"/>
              <w:ind w:left="138"/>
              <w:rPr>
                <w:sz w:val="23"/>
                <w:szCs w:val="23"/>
              </w:rPr>
            </w:pPr>
            <w:r>
              <w:rPr>
                <w:spacing w:val="-2"/>
                <w:sz w:val="23"/>
                <w:szCs w:val="23"/>
              </w:rPr>
              <w:t>46.42</w:t>
            </w:r>
          </w:p>
        </w:tc>
        <w:tc>
          <w:tcPr>
            <w:tcW w:w="709" w:type="dxa"/>
            <w:vAlign w:val="top"/>
          </w:tcPr>
          <w:p w14:paraId="42347A64">
            <w:pPr>
              <w:pStyle w:val="6"/>
              <w:spacing w:before="147"/>
              <w:ind w:left="239"/>
              <w:rPr>
                <w:sz w:val="23"/>
                <w:szCs w:val="23"/>
              </w:rPr>
            </w:pPr>
            <w:r>
              <w:rPr>
                <w:spacing w:val="-4"/>
                <w:sz w:val="23"/>
                <w:szCs w:val="23"/>
              </w:rPr>
              <w:t>55</w:t>
            </w:r>
          </w:p>
        </w:tc>
        <w:tc>
          <w:tcPr>
            <w:tcW w:w="550" w:type="dxa"/>
            <w:vAlign w:val="top"/>
          </w:tcPr>
          <w:p w14:paraId="050F072D">
            <w:pPr>
              <w:pStyle w:val="6"/>
              <w:spacing w:before="126" w:line="220" w:lineRule="auto"/>
              <w:ind w:left="39"/>
              <w:rPr>
                <w:sz w:val="23"/>
                <w:szCs w:val="23"/>
              </w:rPr>
            </w:pPr>
            <w:r>
              <w:rPr>
                <w:spacing w:val="-3"/>
                <w:sz w:val="23"/>
                <w:szCs w:val="23"/>
              </w:rPr>
              <w:t>达标</w:t>
            </w:r>
          </w:p>
        </w:tc>
        <w:tc>
          <w:tcPr>
            <w:tcW w:w="205" w:type="dxa"/>
            <w:vMerge w:val="continue"/>
            <w:tcBorders>
              <w:top w:val="nil"/>
              <w:bottom w:val="nil"/>
            </w:tcBorders>
            <w:vAlign w:val="top"/>
          </w:tcPr>
          <w:p w14:paraId="73622CE5">
            <w:pPr>
              <w:rPr>
                <w:rFonts w:ascii="Arial"/>
                <w:sz w:val="21"/>
              </w:rPr>
            </w:pPr>
          </w:p>
        </w:tc>
      </w:tr>
      <w:tr w14:paraId="0BEC0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884" w:type="dxa"/>
            <w:vMerge w:val="continue"/>
            <w:tcBorders>
              <w:top w:val="nil"/>
              <w:bottom w:val="nil"/>
            </w:tcBorders>
            <w:vAlign w:val="top"/>
          </w:tcPr>
          <w:p w14:paraId="4B16AEC8">
            <w:pPr>
              <w:rPr>
                <w:rFonts w:ascii="Arial"/>
                <w:sz w:val="21"/>
              </w:rPr>
            </w:pPr>
          </w:p>
        </w:tc>
        <w:tc>
          <w:tcPr>
            <w:tcW w:w="160" w:type="dxa"/>
            <w:vMerge w:val="continue"/>
            <w:tcBorders>
              <w:top w:val="nil"/>
              <w:bottom w:val="nil"/>
            </w:tcBorders>
            <w:vAlign w:val="top"/>
          </w:tcPr>
          <w:p w14:paraId="0DB077A5">
            <w:pPr>
              <w:rPr>
                <w:rFonts w:ascii="Arial"/>
                <w:sz w:val="21"/>
              </w:rPr>
            </w:pPr>
          </w:p>
        </w:tc>
        <w:tc>
          <w:tcPr>
            <w:tcW w:w="1099" w:type="dxa"/>
            <w:vAlign w:val="top"/>
          </w:tcPr>
          <w:p w14:paraId="31E1A5A3">
            <w:pPr>
              <w:pStyle w:val="6"/>
              <w:spacing w:before="45" w:line="186" w:lineRule="auto"/>
              <w:jc w:val="right"/>
              <w:rPr>
                <w:sz w:val="23"/>
                <w:szCs w:val="23"/>
              </w:rPr>
            </w:pPr>
            <w:r>
              <w:rPr>
                <w:spacing w:val="-17"/>
                <w:sz w:val="23"/>
                <w:szCs w:val="23"/>
              </w:rPr>
              <w:t>栗树</w:t>
            </w:r>
            <w:r>
              <w:rPr>
                <w:spacing w:val="-16"/>
                <w:sz w:val="23"/>
                <w:szCs w:val="23"/>
              </w:rPr>
              <w:t>园村</w:t>
            </w:r>
            <w:r>
              <w:rPr>
                <w:spacing w:val="-9"/>
                <w:sz w:val="23"/>
                <w:szCs w:val="23"/>
              </w:rPr>
              <w:t>散</w:t>
            </w:r>
          </w:p>
          <w:p w14:paraId="39FA4A54">
            <w:pPr>
              <w:pStyle w:val="6"/>
              <w:spacing w:before="1" w:line="162" w:lineRule="auto"/>
              <w:ind w:left="361"/>
              <w:rPr>
                <w:sz w:val="23"/>
                <w:szCs w:val="23"/>
              </w:rPr>
            </w:pPr>
            <w:r>
              <w:rPr>
                <w:spacing w:val="9"/>
                <w:sz w:val="23"/>
                <w:szCs w:val="23"/>
              </w:rPr>
              <w:t>户2</w:t>
            </w:r>
          </w:p>
        </w:tc>
        <w:tc>
          <w:tcPr>
            <w:tcW w:w="609" w:type="dxa"/>
            <w:vAlign w:val="top"/>
          </w:tcPr>
          <w:p w14:paraId="61FE0E1A">
            <w:pPr>
              <w:pStyle w:val="6"/>
              <w:spacing w:before="159" w:line="241" w:lineRule="auto"/>
              <w:ind w:left="232"/>
              <w:rPr>
                <w:sz w:val="23"/>
                <w:szCs w:val="23"/>
              </w:rPr>
            </w:pPr>
            <w:r>
              <w:rPr>
                <w:sz w:val="23"/>
                <w:szCs w:val="23"/>
              </w:rPr>
              <w:t>1</w:t>
            </w:r>
          </w:p>
        </w:tc>
        <w:tc>
          <w:tcPr>
            <w:tcW w:w="609" w:type="dxa"/>
            <w:vAlign w:val="top"/>
          </w:tcPr>
          <w:p w14:paraId="291820BB">
            <w:pPr>
              <w:pStyle w:val="6"/>
              <w:spacing w:before="140" w:line="222" w:lineRule="auto"/>
              <w:ind w:left="63"/>
              <w:rPr>
                <w:sz w:val="23"/>
                <w:szCs w:val="23"/>
              </w:rPr>
            </w:pPr>
            <w:r>
              <w:rPr>
                <w:spacing w:val="11"/>
                <w:sz w:val="23"/>
                <w:szCs w:val="23"/>
              </w:rPr>
              <w:t>昼间</w:t>
            </w:r>
          </w:p>
        </w:tc>
        <w:tc>
          <w:tcPr>
            <w:tcW w:w="969" w:type="dxa"/>
            <w:vAlign w:val="top"/>
          </w:tcPr>
          <w:p w14:paraId="352703A8">
            <w:pPr>
              <w:pStyle w:val="6"/>
              <w:spacing w:before="159" w:line="239" w:lineRule="auto"/>
              <w:ind w:left="184"/>
              <w:rPr>
                <w:sz w:val="23"/>
                <w:szCs w:val="23"/>
              </w:rPr>
            </w:pPr>
            <w:r>
              <w:rPr>
                <w:spacing w:val="-2"/>
                <w:sz w:val="23"/>
                <w:szCs w:val="23"/>
              </w:rPr>
              <w:t>92.27</w:t>
            </w:r>
          </w:p>
        </w:tc>
        <w:tc>
          <w:tcPr>
            <w:tcW w:w="1099" w:type="dxa"/>
            <w:vMerge w:val="continue"/>
            <w:tcBorders>
              <w:top w:val="nil"/>
            </w:tcBorders>
            <w:vAlign w:val="top"/>
          </w:tcPr>
          <w:p w14:paraId="315B89C0">
            <w:pPr>
              <w:rPr>
                <w:rFonts w:ascii="Arial"/>
                <w:sz w:val="21"/>
              </w:rPr>
            </w:pPr>
          </w:p>
        </w:tc>
        <w:tc>
          <w:tcPr>
            <w:tcW w:w="919" w:type="dxa"/>
            <w:vAlign w:val="top"/>
          </w:tcPr>
          <w:p w14:paraId="0B62FA78">
            <w:pPr>
              <w:pStyle w:val="6"/>
              <w:spacing w:before="159" w:line="239" w:lineRule="auto"/>
              <w:ind w:left="166"/>
              <w:rPr>
                <w:sz w:val="23"/>
                <w:szCs w:val="23"/>
              </w:rPr>
            </w:pPr>
            <w:r>
              <w:rPr>
                <w:spacing w:val="-3"/>
                <w:sz w:val="23"/>
                <w:szCs w:val="23"/>
              </w:rPr>
              <w:t>52.27</w:t>
            </w:r>
          </w:p>
        </w:tc>
        <w:tc>
          <w:tcPr>
            <w:tcW w:w="689" w:type="dxa"/>
            <w:vAlign w:val="top"/>
          </w:tcPr>
          <w:p w14:paraId="12B22BA8">
            <w:pPr>
              <w:pStyle w:val="6"/>
              <w:spacing w:before="158"/>
              <w:ind w:left="227"/>
              <w:rPr>
                <w:sz w:val="23"/>
                <w:szCs w:val="23"/>
              </w:rPr>
            </w:pPr>
            <w:r>
              <w:rPr>
                <w:spacing w:val="-4"/>
                <w:sz w:val="23"/>
                <w:szCs w:val="23"/>
              </w:rPr>
              <w:t>50</w:t>
            </w:r>
          </w:p>
        </w:tc>
        <w:tc>
          <w:tcPr>
            <w:tcW w:w="859" w:type="dxa"/>
            <w:vAlign w:val="top"/>
          </w:tcPr>
          <w:p w14:paraId="755DE8F0">
            <w:pPr>
              <w:pStyle w:val="6"/>
              <w:spacing w:before="159" w:line="239" w:lineRule="auto"/>
              <w:ind w:left="138"/>
              <w:rPr>
                <w:sz w:val="23"/>
                <w:szCs w:val="23"/>
              </w:rPr>
            </w:pPr>
            <w:r>
              <w:rPr>
                <w:spacing w:val="-3"/>
                <w:sz w:val="23"/>
                <w:szCs w:val="23"/>
              </w:rPr>
              <w:t>54.29</w:t>
            </w:r>
          </w:p>
        </w:tc>
        <w:tc>
          <w:tcPr>
            <w:tcW w:w="709" w:type="dxa"/>
            <w:vAlign w:val="top"/>
          </w:tcPr>
          <w:p w14:paraId="54D0A196">
            <w:pPr>
              <w:pStyle w:val="6"/>
              <w:spacing w:before="158"/>
              <w:ind w:left="239"/>
              <w:rPr>
                <w:sz w:val="23"/>
                <w:szCs w:val="23"/>
              </w:rPr>
            </w:pPr>
            <w:r>
              <w:rPr>
                <w:spacing w:val="-4"/>
                <w:sz w:val="23"/>
                <w:szCs w:val="23"/>
              </w:rPr>
              <w:t>55</w:t>
            </w:r>
          </w:p>
        </w:tc>
        <w:tc>
          <w:tcPr>
            <w:tcW w:w="550" w:type="dxa"/>
            <w:vAlign w:val="top"/>
          </w:tcPr>
          <w:p w14:paraId="5017F357">
            <w:pPr>
              <w:pStyle w:val="6"/>
              <w:spacing w:before="137" w:line="220" w:lineRule="auto"/>
              <w:ind w:left="39"/>
              <w:rPr>
                <w:sz w:val="23"/>
                <w:szCs w:val="23"/>
              </w:rPr>
            </w:pPr>
            <w:r>
              <w:rPr>
                <w:spacing w:val="-3"/>
                <w:sz w:val="23"/>
                <w:szCs w:val="23"/>
              </w:rPr>
              <w:t>达标</w:t>
            </w:r>
          </w:p>
        </w:tc>
        <w:tc>
          <w:tcPr>
            <w:tcW w:w="205" w:type="dxa"/>
            <w:vMerge w:val="continue"/>
            <w:tcBorders>
              <w:top w:val="nil"/>
              <w:bottom w:val="nil"/>
            </w:tcBorders>
            <w:vAlign w:val="top"/>
          </w:tcPr>
          <w:p w14:paraId="34C96BF2">
            <w:pPr>
              <w:rPr>
                <w:rFonts w:ascii="Arial"/>
                <w:sz w:val="21"/>
              </w:rPr>
            </w:pPr>
          </w:p>
        </w:tc>
      </w:tr>
      <w:tr w14:paraId="430B0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884" w:type="dxa"/>
            <w:vMerge w:val="continue"/>
            <w:tcBorders>
              <w:top w:val="nil"/>
              <w:bottom w:val="nil"/>
            </w:tcBorders>
            <w:vAlign w:val="top"/>
          </w:tcPr>
          <w:p w14:paraId="122FA83E">
            <w:pPr>
              <w:rPr>
                <w:rFonts w:ascii="Arial"/>
                <w:sz w:val="21"/>
              </w:rPr>
            </w:pPr>
          </w:p>
        </w:tc>
        <w:tc>
          <w:tcPr>
            <w:tcW w:w="160" w:type="dxa"/>
            <w:vMerge w:val="continue"/>
            <w:tcBorders>
              <w:top w:val="nil"/>
              <w:bottom w:val="nil"/>
            </w:tcBorders>
            <w:vAlign w:val="top"/>
          </w:tcPr>
          <w:p w14:paraId="24E9EAAC">
            <w:pPr>
              <w:rPr>
                <w:rFonts w:ascii="Arial"/>
                <w:sz w:val="21"/>
              </w:rPr>
            </w:pPr>
          </w:p>
        </w:tc>
        <w:tc>
          <w:tcPr>
            <w:tcW w:w="1099" w:type="dxa"/>
            <w:vAlign w:val="top"/>
          </w:tcPr>
          <w:p w14:paraId="4A538DD5">
            <w:pPr>
              <w:pStyle w:val="6"/>
              <w:spacing w:before="15" w:line="194" w:lineRule="auto"/>
              <w:jc w:val="right"/>
              <w:rPr>
                <w:sz w:val="23"/>
                <w:szCs w:val="23"/>
              </w:rPr>
            </w:pPr>
            <w:r>
              <w:rPr>
                <w:spacing w:val="-17"/>
                <w:sz w:val="23"/>
                <w:szCs w:val="23"/>
              </w:rPr>
              <w:t>栗树</w:t>
            </w:r>
            <w:r>
              <w:rPr>
                <w:spacing w:val="-16"/>
                <w:sz w:val="23"/>
                <w:szCs w:val="23"/>
              </w:rPr>
              <w:t>园村</w:t>
            </w:r>
            <w:r>
              <w:rPr>
                <w:spacing w:val="-9"/>
                <w:sz w:val="23"/>
                <w:szCs w:val="23"/>
              </w:rPr>
              <w:t>散</w:t>
            </w:r>
          </w:p>
          <w:p w14:paraId="1F1AAC82">
            <w:pPr>
              <w:pStyle w:val="6"/>
              <w:spacing w:line="191" w:lineRule="auto"/>
              <w:jc w:val="right"/>
              <w:rPr>
                <w:sz w:val="23"/>
                <w:szCs w:val="23"/>
              </w:rPr>
            </w:pPr>
            <w:r>
              <w:rPr>
                <w:spacing w:val="-12"/>
                <w:sz w:val="23"/>
                <w:szCs w:val="23"/>
              </w:rPr>
              <w:t>户3(田间农</w:t>
            </w:r>
          </w:p>
          <w:p w14:paraId="43B06B28">
            <w:pPr>
              <w:pStyle w:val="6"/>
              <w:spacing w:line="161" w:lineRule="auto"/>
              <w:ind w:left="131"/>
              <w:rPr>
                <w:sz w:val="21"/>
                <w:szCs w:val="21"/>
              </w:rPr>
            </w:pPr>
            <w:r>
              <w:rPr>
                <w:spacing w:val="12"/>
                <w:sz w:val="21"/>
                <w:szCs w:val="21"/>
              </w:rPr>
              <w:t>户看地)</w:t>
            </w:r>
          </w:p>
        </w:tc>
        <w:tc>
          <w:tcPr>
            <w:tcW w:w="609" w:type="dxa"/>
            <w:vAlign w:val="top"/>
          </w:tcPr>
          <w:p w14:paraId="2BF8B382">
            <w:pPr>
              <w:pStyle w:val="6"/>
              <w:spacing w:before="258"/>
              <w:ind w:left="182"/>
              <w:rPr>
                <w:sz w:val="23"/>
                <w:szCs w:val="23"/>
              </w:rPr>
            </w:pPr>
            <w:r>
              <w:rPr>
                <w:spacing w:val="-7"/>
                <w:sz w:val="23"/>
                <w:szCs w:val="23"/>
              </w:rPr>
              <w:t>16</w:t>
            </w:r>
          </w:p>
        </w:tc>
        <w:tc>
          <w:tcPr>
            <w:tcW w:w="609" w:type="dxa"/>
            <w:vAlign w:val="top"/>
          </w:tcPr>
          <w:p w14:paraId="0AFAF166">
            <w:pPr>
              <w:pStyle w:val="6"/>
              <w:spacing w:before="240" w:line="222" w:lineRule="auto"/>
              <w:ind w:left="63"/>
              <w:rPr>
                <w:sz w:val="23"/>
                <w:szCs w:val="23"/>
              </w:rPr>
            </w:pPr>
            <w:r>
              <w:rPr>
                <w:spacing w:val="11"/>
                <w:sz w:val="23"/>
                <w:szCs w:val="23"/>
              </w:rPr>
              <w:t>昼间</w:t>
            </w:r>
          </w:p>
        </w:tc>
        <w:tc>
          <w:tcPr>
            <w:tcW w:w="969" w:type="dxa"/>
            <w:vAlign w:val="top"/>
          </w:tcPr>
          <w:p w14:paraId="1DC35447">
            <w:pPr>
              <w:pStyle w:val="6"/>
              <w:spacing w:before="259" w:line="239" w:lineRule="auto"/>
              <w:ind w:left="184"/>
              <w:rPr>
                <w:sz w:val="23"/>
                <w:szCs w:val="23"/>
              </w:rPr>
            </w:pPr>
            <w:r>
              <w:rPr>
                <w:spacing w:val="-2"/>
                <w:sz w:val="23"/>
                <w:szCs w:val="23"/>
              </w:rPr>
              <w:t>68.19</w:t>
            </w:r>
          </w:p>
        </w:tc>
        <w:tc>
          <w:tcPr>
            <w:tcW w:w="1099" w:type="dxa"/>
            <w:vAlign w:val="top"/>
          </w:tcPr>
          <w:p w14:paraId="4506B540">
            <w:pPr>
              <w:pStyle w:val="6"/>
              <w:spacing w:before="236" w:line="219" w:lineRule="auto"/>
              <w:ind w:left="85"/>
              <w:rPr>
                <w:sz w:val="23"/>
                <w:szCs w:val="23"/>
              </w:rPr>
            </w:pPr>
            <w:r>
              <w:rPr>
                <w:spacing w:val="4"/>
                <w:sz w:val="23"/>
                <w:szCs w:val="23"/>
              </w:rPr>
              <w:t>施工围挡</w:t>
            </w:r>
          </w:p>
        </w:tc>
        <w:tc>
          <w:tcPr>
            <w:tcW w:w="919" w:type="dxa"/>
            <w:vAlign w:val="top"/>
          </w:tcPr>
          <w:p w14:paraId="44441B0A">
            <w:pPr>
              <w:pStyle w:val="6"/>
              <w:spacing w:before="259" w:line="239" w:lineRule="auto"/>
              <w:ind w:left="166"/>
              <w:rPr>
                <w:sz w:val="23"/>
                <w:szCs w:val="23"/>
              </w:rPr>
            </w:pPr>
            <w:r>
              <w:rPr>
                <w:spacing w:val="-2"/>
                <w:sz w:val="23"/>
                <w:szCs w:val="23"/>
              </w:rPr>
              <w:t>48.19</w:t>
            </w:r>
          </w:p>
        </w:tc>
        <w:tc>
          <w:tcPr>
            <w:tcW w:w="689" w:type="dxa"/>
            <w:vAlign w:val="top"/>
          </w:tcPr>
          <w:p w14:paraId="58883A9C">
            <w:pPr>
              <w:pStyle w:val="6"/>
              <w:spacing w:before="258"/>
              <w:ind w:left="227"/>
              <w:rPr>
                <w:sz w:val="23"/>
                <w:szCs w:val="23"/>
              </w:rPr>
            </w:pPr>
            <w:r>
              <w:rPr>
                <w:spacing w:val="-3"/>
                <w:sz w:val="23"/>
                <w:szCs w:val="23"/>
              </w:rPr>
              <w:t>67</w:t>
            </w:r>
          </w:p>
        </w:tc>
        <w:tc>
          <w:tcPr>
            <w:tcW w:w="859" w:type="dxa"/>
            <w:vAlign w:val="top"/>
          </w:tcPr>
          <w:p w14:paraId="0E5B50BC">
            <w:pPr>
              <w:pStyle w:val="6"/>
              <w:spacing w:before="259" w:line="239" w:lineRule="auto"/>
              <w:ind w:left="138"/>
              <w:rPr>
                <w:sz w:val="23"/>
                <w:szCs w:val="23"/>
              </w:rPr>
            </w:pPr>
            <w:r>
              <w:rPr>
                <w:spacing w:val="-2"/>
                <w:sz w:val="23"/>
                <w:szCs w:val="23"/>
              </w:rPr>
              <w:t>67.06</w:t>
            </w:r>
          </w:p>
        </w:tc>
        <w:tc>
          <w:tcPr>
            <w:tcW w:w="709" w:type="dxa"/>
            <w:vAlign w:val="top"/>
          </w:tcPr>
          <w:p w14:paraId="2C4C719A">
            <w:pPr>
              <w:pStyle w:val="6"/>
              <w:spacing w:before="258"/>
              <w:ind w:left="239"/>
              <w:rPr>
                <w:sz w:val="23"/>
                <w:szCs w:val="23"/>
              </w:rPr>
            </w:pPr>
            <w:r>
              <w:rPr>
                <w:spacing w:val="-4"/>
                <w:sz w:val="23"/>
                <w:szCs w:val="23"/>
              </w:rPr>
              <w:t>70</w:t>
            </w:r>
          </w:p>
        </w:tc>
        <w:tc>
          <w:tcPr>
            <w:tcW w:w="550" w:type="dxa"/>
            <w:vAlign w:val="top"/>
          </w:tcPr>
          <w:p w14:paraId="164DE3A5">
            <w:pPr>
              <w:pStyle w:val="6"/>
              <w:spacing w:before="237" w:line="220" w:lineRule="auto"/>
              <w:ind w:left="39"/>
              <w:rPr>
                <w:sz w:val="23"/>
                <w:szCs w:val="23"/>
              </w:rPr>
            </w:pPr>
            <w:r>
              <w:rPr>
                <w:spacing w:val="-3"/>
                <w:sz w:val="23"/>
                <w:szCs w:val="23"/>
              </w:rPr>
              <w:t>达标</w:t>
            </w:r>
          </w:p>
        </w:tc>
        <w:tc>
          <w:tcPr>
            <w:tcW w:w="205" w:type="dxa"/>
            <w:vMerge w:val="continue"/>
            <w:tcBorders>
              <w:top w:val="nil"/>
              <w:bottom w:val="nil"/>
            </w:tcBorders>
            <w:vAlign w:val="top"/>
          </w:tcPr>
          <w:p w14:paraId="6B595DAB">
            <w:pPr>
              <w:rPr>
                <w:rFonts w:ascii="Arial"/>
                <w:sz w:val="21"/>
              </w:rPr>
            </w:pPr>
          </w:p>
        </w:tc>
      </w:tr>
      <w:tr w14:paraId="04FE1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884" w:type="dxa"/>
            <w:vMerge w:val="continue"/>
            <w:tcBorders>
              <w:top w:val="nil"/>
              <w:bottom w:val="nil"/>
            </w:tcBorders>
            <w:vAlign w:val="top"/>
          </w:tcPr>
          <w:p w14:paraId="07FFF7FB">
            <w:pPr>
              <w:rPr>
                <w:rFonts w:ascii="Arial"/>
                <w:sz w:val="21"/>
              </w:rPr>
            </w:pPr>
          </w:p>
        </w:tc>
        <w:tc>
          <w:tcPr>
            <w:tcW w:w="160" w:type="dxa"/>
            <w:vMerge w:val="continue"/>
            <w:tcBorders>
              <w:top w:val="nil"/>
              <w:bottom w:val="nil"/>
            </w:tcBorders>
            <w:vAlign w:val="top"/>
          </w:tcPr>
          <w:p w14:paraId="6ACBC19D">
            <w:pPr>
              <w:rPr>
                <w:rFonts w:ascii="Arial"/>
                <w:sz w:val="21"/>
              </w:rPr>
            </w:pPr>
          </w:p>
        </w:tc>
        <w:tc>
          <w:tcPr>
            <w:tcW w:w="1099" w:type="dxa"/>
            <w:vAlign w:val="top"/>
          </w:tcPr>
          <w:p w14:paraId="41B047C9">
            <w:pPr>
              <w:pStyle w:val="6"/>
              <w:spacing w:before="77" w:line="193" w:lineRule="auto"/>
              <w:ind w:left="10"/>
              <w:jc w:val="right"/>
              <w:rPr>
                <w:sz w:val="23"/>
                <w:szCs w:val="23"/>
              </w:rPr>
            </w:pPr>
            <w:r>
              <w:rPr>
                <w:spacing w:val="-17"/>
                <w:sz w:val="23"/>
                <w:szCs w:val="23"/>
              </w:rPr>
              <w:t>栗树</w:t>
            </w:r>
            <w:r>
              <w:rPr>
                <w:spacing w:val="-16"/>
                <w:sz w:val="23"/>
                <w:szCs w:val="23"/>
              </w:rPr>
              <w:t>园村</w:t>
            </w:r>
            <w:r>
              <w:rPr>
                <w:spacing w:val="-14"/>
                <w:sz w:val="23"/>
                <w:szCs w:val="23"/>
              </w:rPr>
              <w:t>散</w:t>
            </w:r>
            <w:r>
              <w:rPr>
                <w:spacing w:val="2"/>
                <w:sz w:val="23"/>
                <w:szCs w:val="23"/>
              </w:rPr>
              <w:t xml:space="preserve"> </w:t>
            </w:r>
            <w:r>
              <w:rPr>
                <w:spacing w:val="-12"/>
                <w:sz w:val="23"/>
                <w:szCs w:val="23"/>
              </w:rPr>
              <w:t>户4(田间农</w:t>
            </w:r>
            <w:r>
              <w:rPr>
                <w:sz w:val="23"/>
                <w:szCs w:val="23"/>
              </w:rPr>
              <w:t xml:space="preserve"> </w:t>
            </w:r>
            <w:r>
              <w:rPr>
                <w:spacing w:val="12"/>
                <w:sz w:val="23"/>
                <w:szCs w:val="23"/>
              </w:rPr>
              <w:t>户看地)</w:t>
            </w:r>
          </w:p>
        </w:tc>
        <w:tc>
          <w:tcPr>
            <w:tcW w:w="609" w:type="dxa"/>
            <w:vAlign w:val="top"/>
          </w:tcPr>
          <w:p w14:paraId="2C07C0EC">
            <w:pPr>
              <w:spacing w:line="244" w:lineRule="auto"/>
              <w:rPr>
                <w:rFonts w:ascii="Arial"/>
                <w:sz w:val="21"/>
              </w:rPr>
            </w:pPr>
          </w:p>
          <w:p w14:paraId="684FA255">
            <w:pPr>
              <w:pStyle w:val="6"/>
              <w:spacing w:before="74" w:line="241" w:lineRule="auto"/>
              <w:ind w:left="232"/>
              <w:rPr>
                <w:sz w:val="23"/>
                <w:szCs w:val="23"/>
              </w:rPr>
            </w:pPr>
            <w:r>
              <w:rPr>
                <w:sz w:val="23"/>
                <w:szCs w:val="23"/>
              </w:rPr>
              <w:t>1</w:t>
            </w:r>
          </w:p>
        </w:tc>
        <w:tc>
          <w:tcPr>
            <w:tcW w:w="609" w:type="dxa"/>
            <w:vAlign w:val="top"/>
          </w:tcPr>
          <w:p w14:paraId="67EF6C97">
            <w:pPr>
              <w:pStyle w:val="6"/>
              <w:spacing w:before="301" w:line="222" w:lineRule="auto"/>
              <w:ind w:left="63"/>
              <w:rPr>
                <w:sz w:val="23"/>
                <w:szCs w:val="23"/>
              </w:rPr>
            </w:pPr>
            <w:r>
              <w:rPr>
                <w:spacing w:val="11"/>
                <w:sz w:val="23"/>
                <w:szCs w:val="23"/>
              </w:rPr>
              <w:t>昼间</w:t>
            </w:r>
          </w:p>
        </w:tc>
        <w:tc>
          <w:tcPr>
            <w:tcW w:w="969" w:type="dxa"/>
            <w:vAlign w:val="top"/>
          </w:tcPr>
          <w:p w14:paraId="0792BFC3">
            <w:pPr>
              <w:spacing w:line="243" w:lineRule="auto"/>
              <w:rPr>
                <w:rFonts w:ascii="Arial"/>
                <w:sz w:val="21"/>
              </w:rPr>
            </w:pPr>
          </w:p>
          <w:p w14:paraId="3F996B25">
            <w:pPr>
              <w:pStyle w:val="6"/>
              <w:spacing w:before="75" w:line="239" w:lineRule="auto"/>
              <w:ind w:left="184"/>
              <w:rPr>
                <w:sz w:val="23"/>
                <w:szCs w:val="23"/>
              </w:rPr>
            </w:pPr>
            <w:r>
              <w:rPr>
                <w:spacing w:val="-2"/>
                <w:sz w:val="23"/>
                <w:szCs w:val="23"/>
              </w:rPr>
              <w:t>92.27</w:t>
            </w:r>
          </w:p>
        </w:tc>
        <w:tc>
          <w:tcPr>
            <w:tcW w:w="1099" w:type="dxa"/>
            <w:vAlign w:val="top"/>
          </w:tcPr>
          <w:p w14:paraId="4CF65229">
            <w:pPr>
              <w:pStyle w:val="6"/>
              <w:spacing w:before="47" w:line="219" w:lineRule="auto"/>
              <w:jc w:val="right"/>
              <w:rPr>
                <w:sz w:val="23"/>
                <w:szCs w:val="23"/>
              </w:rPr>
            </w:pPr>
            <w:r>
              <w:rPr>
                <w:spacing w:val="-16"/>
                <w:sz w:val="23"/>
                <w:szCs w:val="23"/>
              </w:rPr>
              <w:t>施工围挡、</w:t>
            </w:r>
          </w:p>
          <w:p w14:paraId="1AC8A3DF">
            <w:pPr>
              <w:pStyle w:val="6"/>
              <w:spacing w:before="7" w:line="200" w:lineRule="auto"/>
              <w:ind w:left="85"/>
              <w:rPr>
                <w:sz w:val="23"/>
                <w:szCs w:val="23"/>
              </w:rPr>
            </w:pPr>
            <w:r>
              <w:rPr>
                <w:spacing w:val="4"/>
                <w:sz w:val="23"/>
                <w:szCs w:val="23"/>
              </w:rPr>
              <w:t>移动声屏</w:t>
            </w:r>
          </w:p>
          <w:p w14:paraId="6254A943">
            <w:pPr>
              <w:pStyle w:val="6"/>
              <w:spacing w:line="178" w:lineRule="auto"/>
              <w:ind w:left="425"/>
              <w:rPr>
                <w:sz w:val="23"/>
                <w:szCs w:val="23"/>
              </w:rPr>
            </w:pPr>
            <w:r>
              <w:rPr>
                <w:sz w:val="23"/>
                <w:szCs w:val="23"/>
              </w:rPr>
              <w:t>障</w:t>
            </w:r>
          </w:p>
        </w:tc>
        <w:tc>
          <w:tcPr>
            <w:tcW w:w="919" w:type="dxa"/>
            <w:vAlign w:val="top"/>
          </w:tcPr>
          <w:p w14:paraId="2CFF0486">
            <w:pPr>
              <w:spacing w:line="243" w:lineRule="auto"/>
              <w:rPr>
                <w:rFonts w:ascii="Arial"/>
                <w:sz w:val="21"/>
              </w:rPr>
            </w:pPr>
          </w:p>
          <w:p w14:paraId="45FAFF4E">
            <w:pPr>
              <w:pStyle w:val="6"/>
              <w:spacing w:before="75" w:line="239" w:lineRule="auto"/>
              <w:ind w:left="166"/>
              <w:rPr>
                <w:sz w:val="23"/>
                <w:szCs w:val="23"/>
              </w:rPr>
            </w:pPr>
            <w:r>
              <w:rPr>
                <w:spacing w:val="-3"/>
                <w:sz w:val="23"/>
                <w:szCs w:val="23"/>
              </w:rPr>
              <w:t>52.27</w:t>
            </w:r>
          </w:p>
        </w:tc>
        <w:tc>
          <w:tcPr>
            <w:tcW w:w="689" w:type="dxa"/>
            <w:vAlign w:val="top"/>
          </w:tcPr>
          <w:p w14:paraId="016B6506">
            <w:pPr>
              <w:spacing w:line="243" w:lineRule="auto"/>
              <w:rPr>
                <w:rFonts w:ascii="Arial"/>
                <w:sz w:val="21"/>
              </w:rPr>
            </w:pPr>
          </w:p>
          <w:p w14:paraId="3DC7447A">
            <w:pPr>
              <w:pStyle w:val="6"/>
              <w:spacing w:before="75"/>
              <w:ind w:left="227"/>
              <w:rPr>
                <w:sz w:val="23"/>
                <w:szCs w:val="23"/>
              </w:rPr>
            </w:pPr>
            <w:r>
              <w:rPr>
                <w:spacing w:val="-4"/>
                <w:sz w:val="23"/>
                <w:szCs w:val="23"/>
              </w:rPr>
              <w:t>54</w:t>
            </w:r>
          </w:p>
        </w:tc>
        <w:tc>
          <w:tcPr>
            <w:tcW w:w="859" w:type="dxa"/>
            <w:vAlign w:val="top"/>
          </w:tcPr>
          <w:p w14:paraId="7D76EB30">
            <w:pPr>
              <w:spacing w:line="243" w:lineRule="auto"/>
              <w:rPr>
                <w:rFonts w:ascii="Arial"/>
                <w:sz w:val="21"/>
              </w:rPr>
            </w:pPr>
          </w:p>
          <w:p w14:paraId="3E389C7C">
            <w:pPr>
              <w:pStyle w:val="6"/>
              <w:spacing w:before="75" w:line="239" w:lineRule="auto"/>
              <w:ind w:left="138"/>
              <w:rPr>
                <w:sz w:val="23"/>
                <w:szCs w:val="23"/>
              </w:rPr>
            </w:pPr>
            <w:r>
              <w:rPr>
                <w:spacing w:val="-3"/>
                <w:sz w:val="23"/>
                <w:szCs w:val="23"/>
              </w:rPr>
              <w:t>56.23</w:t>
            </w:r>
          </w:p>
        </w:tc>
        <w:tc>
          <w:tcPr>
            <w:tcW w:w="709" w:type="dxa"/>
            <w:vAlign w:val="top"/>
          </w:tcPr>
          <w:p w14:paraId="69A09E72">
            <w:pPr>
              <w:spacing w:line="243" w:lineRule="auto"/>
              <w:rPr>
                <w:rFonts w:ascii="Arial"/>
                <w:sz w:val="21"/>
              </w:rPr>
            </w:pPr>
          </w:p>
          <w:p w14:paraId="1E26C8EC">
            <w:pPr>
              <w:pStyle w:val="6"/>
              <w:spacing w:before="75"/>
              <w:ind w:left="239"/>
              <w:rPr>
                <w:sz w:val="23"/>
                <w:szCs w:val="23"/>
              </w:rPr>
            </w:pPr>
            <w:r>
              <w:rPr>
                <w:spacing w:val="-4"/>
                <w:sz w:val="23"/>
                <w:szCs w:val="23"/>
              </w:rPr>
              <w:t>70</w:t>
            </w:r>
          </w:p>
        </w:tc>
        <w:tc>
          <w:tcPr>
            <w:tcW w:w="550" w:type="dxa"/>
            <w:vAlign w:val="top"/>
          </w:tcPr>
          <w:p w14:paraId="62053E2C">
            <w:pPr>
              <w:pStyle w:val="6"/>
              <w:spacing w:before="298" w:line="220" w:lineRule="auto"/>
              <w:ind w:left="39"/>
              <w:rPr>
                <w:sz w:val="23"/>
                <w:szCs w:val="23"/>
              </w:rPr>
            </w:pPr>
            <w:r>
              <w:rPr>
                <w:spacing w:val="-3"/>
                <w:sz w:val="23"/>
                <w:szCs w:val="23"/>
              </w:rPr>
              <w:t>达标</w:t>
            </w:r>
          </w:p>
        </w:tc>
        <w:tc>
          <w:tcPr>
            <w:tcW w:w="205" w:type="dxa"/>
            <w:vMerge w:val="continue"/>
            <w:tcBorders>
              <w:top w:val="nil"/>
              <w:bottom w:val="nil"/>
            </w:tcBorders>
            <w:vAlign w:val="top"/>
          </w:tcPr>
          <w:p w14:paraId="2F7E2B81">
            <w:pPr>
              <w:rPr>
                <w:rFonts w:ascii="Arial"/>
                <w:sz w:val="21"/>
              </w:rPr>
            </w:pPr>
          </w:p>
        </w:tc>
      </w:tr>
      <w:tr w14:paraId="0398C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84" w:type="dxa"/>
            <w:vMerge w:val="continue"/>
            <w:tcBorders>
              <w:top w:val="nil"/>
              <w:bottom w:val="nil"/>
            </w:tcBorders>
            <w:vAlign w:val="top"/>
          </w:tcPr>
          <w:p w14:paraId="3FC15022">
            <w:pPr>
              <w:rPr>
                <w:rFonts w:ascii="Arial"/>
                <w:sz w:val="21"/>
              </w:rPr>
            </w:pPr>
          </w:p>
        </w:tc>
        <w:tc>
          <w:tcPr>
            <w:tcW w:w="160" w:type="dxa"/>
            <w:vMerge w:val="continue"/>
            <w:tcBorders>
              <w:top w:val="nil"/>
              <w:bottom w:val="nil"/>
            </w:tcBorders>
            <w:vAlign w:val="top"/>
          </w:tcPr>
          <w:p w14:paraId="3AB6D566">
            <w:pPr>
              <w:rPr>
                <w:rFonts w:ascii="Arial"/>
                <w:sz w:val="21"/>
              </w:rPr>
            </w:pPr>
          </w:p>
        </w:tc>
        <w:tc>
          <w:tcPr>
            <w:tcW w:w="1099" w:type="dxa"/>
            <w:vAlign w:val="top"/>
          </w:tcPr>
          <w:p w14:paraId="7C736B08">
            <w:pPr>
              <w:pStyle w:val="6"/>
              <w:spacing w:before="69" w:line="217" w:lineRule="auto"/>
              <w:jc w:val="right"/>
              <w:rPr>
                <w:sz w:val="23"/>
                <w:szCs w:val="23"/>
              </w:rPr>
            </w:pPr>
            <w:r>
              <w:rPr>
                <w:spacing w:val="-16"/>
                <w:sz w:val="23"/>
                <w:szCs w:val="23"/>
              </w:rPr>
              <w:t>发峨</w:t>
            </w:r>
            <w:r>
              <w:rPr>
                <w:spacing w:val="-15"/>
                <w:sz w:val="23"/>
                <w:szCs w:val="23"/>
              </w:rPr>
              <w:t>哨小</w:t>
            </w:r>
            <w:r>
              <w:rPr>
                <w:spacing w:val="-13"/>
                <w:sz w:val="23"/>
                <w:szCs w:val="23"/>
              </w:rPr>
              <w:t>学</w:t>
            </w:r>
          </w:p>
        </w:tc>
        <w:tc>
          <w:tcPr>
            <w:tcW w:w="609" w:type="dxa"/>
            <w:vAlign w:val="top"/>
          </w:tcPr>
          <w:p w14:paraId="29E07043">
            <w:pPr>
              <w:pStyle w:val="6"/>
              <w:spacing w:before="92" w:line="199" w:lineRule="auto"/>
              <w:ind w:left="182"/>
              <w:rPr>
                <w:sz w:val="23"/>
                <w:szCs w:val="23"/>
              </w:rPr>
            </w:pPr>
            <w:r>
              <w:rPr>
                <w:spacing w:val="-4"/>
                <w:sz w:val="23"/>
                <w:szCs w:val="23"/>
              </w:rPr>
              <w:t>50</w:t>
            </w:r>
          </w:p>
        </w:tc>
        <w:tc>
          <w:tcPr>
            <w:tcW w:w="609" w:type="dxa"/>
            <w:vAlign w:val="top"/>
          </w:tcPr>
          <w:p w14:paraId="629C86FC">
            <w:pPr>
              <w:pStyle w:val="6"/>
              <w:spacing w:before="72" w:line="215" w:lineRule="auto"/>
              <w:ind w:left="63"/>
              <w:rPr>
                <w:sz w:val="23"/>
                <w:szCs w:val="23"/>
              </w:rPr>
            </w:pPr>
            <w:r>
              <w:rPr>
                <w:spacing w:val="11"/>
                <w:sz w:val="23"/>
                <w:szCs w:val="23"/>
              </w:rPr>
              <w:t>昼间</w:t>
            </w:r>
          </w:p>
        </w:tc>
        <w:tc>
          <w:tcPr>
            <w:tcW w:w="969" w:type="dxa"/>
            <w:vAlign w:val="top"/>
          </w:tcPr>
          <w:p w14:paraId="5DC4C2D1">
            <w:pPr>
              <w:pStyle w:val="6"/>
              <w:spacing w:before="92" w:line="199" w:lineRule="auto"/>
              <w:ind w:left="184"/>
              <w:rPr>
                <w:sz w:val="23"/>
                <w:szCs w:val="23"/>
              </w:rPr>
            </w:pPr>
            <w:r>
              <w:rPr>
                <w:spacing w:val="-3"/>
                <w:sz w:val="23"/>
                <w:szCs w:val="23"/>
              </w:rPr>
              <w:t>58.29</w:t>
            </w:r>
          </w:p>
        </w:tc>
        <w:tc>
          <w:tcPr>
            <w:tcW w:w="1099" w:type="dxa"/>
            <w:vAlign w:val="top"/>
          </w:tcPr>
          <w:p w14:paraId="46C70134">
            <w:pPr>
              <w:pStyle w:val="6"/>
              <w:spacing w:before="68" w:line="218" w:lineRule="auto"/>
              <w:ind w:left="85"/>
              <w:rPr>
                <w:sz w:val="23"/>
                <w:szCs w:val="23"/>
              </w:rPr>
            </w:pPr>
            <w:r>
              <w:rPr>
                <w:spacing w:val="4"/>
                <w:sz w:val="23"/>
                <w:szCs w:val="23"/>
              </w:rPr>
              <w:t>施工围挡</w:t>
            </w:r>
          </w:p>
        </w:tc>
        <w:tc>
          <w:tcPr>
            <w:tcW w:w="919" w:type="dxa"/>
            <w:vAlign w:val="top"/>
          </w:tcPr>
          <w:p w14:paraId="0604C69E">
            <w:pPr>
              <w:pStyle w:val="6"/>
              <w:spacing w:before="92" w:line="199" w:lineRule="auto"/>
              <w:ind w:left="166"/>
              <w:rPr>
                <w:sz w:val="23"/>
                <w:szCs w:val="23"/>
              </w:rPr>
            </w:pPr>
            <w:r>
              <w:rPr>
                <w:spacing w:val="-3"/>
                <w:sz w:val="23"/>
                <w:szCs w:val="23"/>
              </w:rPr>
              <w:t>38.29</w:t>
            </w:r>
          </w:p>
        </w:tc>
        <w:tc>
          <w:tcPr>
            <w:tcW w:w="689" w:type="dxa"/>
            <w:vAlign w:val="top"/>
          </w:tcPr>
          <w:p w14:paraId="380E7A76">
            <w:pPr>
              <w:pStyle w:val="6"/>
              <w:spacing w:before="92" w:line="199" w:lineRule="auto"/>
              <w:ind w:left="227"/>
              <w:rPr>
                <w:sz w:val="23"/>
                <w:szCs w:val="23"/>
              </w:rPr>
            </w:pPr>
            <w:r>
              <w:rPr>
                <w:spacing w:val="-4"/>
                <w:sz w:val="23"/>
                <w:szCs w:val="23"/>
              </w:rPr>
              <w:t>50</w:t>
            </w:r>
          </w:p>
        </w:tc>
        <w:tc>
          <w:tcPr>
            <w:tcW w:w="859" w:type="dxa"/>
            <w:vAlign w:val="top"/>
          </w:tcPr>
          <w:p w14:paraId="4D621693">
            <w:pPr>
              <w:pStyle w:val="6"/>
              <w:spacing w:before="92" w:line="199" w:lineRule="auto"/>
              <w:ind w:left="138"/>
              <w:rPr>
                <w:sz w:val="23"/>
                <w:szCs w:val="23"/>
              </w:rPr>
            </w:pPr>
            <w:r>
              <w:rPr>
                <w:spacing w:val="-3"/>
                <w:sz w:val="23"/>
                <w:szCs w:val="23"/>
              </w:rPr>
              <w:t>50.28</w:t>
            </w:r>
          </w:p>
        </w:tc>
        <w:tc>
          <w:tcPr>
            <w:tcW w:w="709" w:type="dxa"/>
            <w:vAlign w:val="top"/>
          </w:tcPr>
          <w:p w14:paraId="3AC79275">
            <w:pPr>
              <w:pStyle w:val="6"/>
              <w:spacing w:before="92" w:line="199" w:lineRule="auto"/>
              <w:ind w:left="239"/>
              <w:rPr>
                <w:sz w:val="23"/>
                <w:szCs w:val="23"/>
              </w:rPr>
            </w:pPr>
            <w:r>
              <w:rPr>
                <w:spacing w:val="-4"/>
                <w:sz w:val="23"/>
                <w:szCs w:val="23"/>
              </w:rPr>
              <w:t>55</w:t>
            </w:r>
          </w:p>
        </w:tc>
        <w:tc>
          <w:tcPr>
            <w:tcW w:w="550" w:type="dxa"/>
            <w:vAlign w:val="top"/>
          </w:tcPr>
          <w:p w14:paraId="0804D8B6">
            <w:pPr>
              <w:pStyle w:val="6"/>
              <w:spacing w:before="69" w:line="217" w:lineRule="auto"/>
              <w:ind w:left="39"/>
              <w:rPr>
                <w:sz w:val="23"/>
                <w:szCs w:val="23"/>
              </w:rPr>
            </w:pPr>
            <w:r>
              <w:rPr>
                <w:spacing w:val="-3"/>
                <w:sz w:val="23"/>
                <w:szCs w:val="23"/>
              </w:rPr>
              <w:t>达标</w:t>
            </w:r>
          </w:p>
        </w:tc>
        <w:tc>
          <w:tcPr>
            <w:tcW w:w="205" w:type="dxa"/>
            <w:vMerge w:val="continue"/>
            <w:tcBorders>
              <w:top w:val="nil"/>
              <w:bottom w:val="nil"/>
            </w:tcBorders>
            <w:vAlign w:val="top"/>
          </w:tcPr>
          <w:p w14:paraId="1CD5BE32">
            <w:pPr>
              <w:rPr>
                <w:rFonts w:ascii="Arial"/>
                <w:sz w:val="21"/>
              </w:rPr>
            </w:pPr>
          </w:p>
        </w:tc>
      </w:tr>
      <w:tr w14:paraId="6EFB4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4" w:type="dxa"/>
            <w:vMerge w:val="continue"/>
            <w:tcBorders>
              <w:top w:val="nil"/>
              <w:bottom w:val="nil"/>
            </w:tcBorders>
            <w:vAlign w:val="top"/>
          </w:tcPr>
          <w:p w14:paraId="1EB40B6F">
            <w:pPr>
              <w:rPr>
                <w:rFonts w:ascii="Arial"/>
                <w:sz w:val="21"/>
              </w:rPr>
            </w:pPr>
          </w:p>
        </w:tc>
        <w:tc>
          <w:tcPr>
            <w:tcW w:w="160" w:type="dxa"/>
            <w:vMerge w:val="continue"/>
            <w:tcBorders>
              <w:top w:val="nil"/>
              <w:bottom w:val="nil"/>
            </w:tcBorders>
            <w:vAlign w:val="top"/>
          </w:tcPr>
          <w:p w14:paraId="2CE6D910">
            <w:pPr>
              <w:rPr>
                <w:rFonts w:ascii="Arial"/>
                <w:sz w:val="21"/>
              </w:rPr>
            </w:pPr>
          </w:p>
        </w:tc>
        <w:tc>
          <w:tcPr>
            <w:tcW w:w="1099" w:type="dxa"/>
            <w:vAlign w:val="top"/>
          </w:tcPr>
          <w:p w14:paraId="329266C5">
            <w:pPr>
              <w:pStyle w:val="6"/>
              <w:spacing w:before="48" w:line="176" w:lineRule="auto"/>
              <w:ind w:left="470" w:hanging="460"/>
              <w:rPr>
                <w:sz w:val="17"/>
                <w:szCs w:val="17"/>
              </w:rPr>
            </w:pPr>
            <w:r>
              <w:rPr>
                <w:spacing w:val="-15"/>
                <w:sz w:val="23"/>
                <w:szCs w:val="23"/>
              </w:rPr>
              <w:t>发峨哨散户</w:t>
            </w:r>
            <w:r>
              <w:rPr>
                <w:spacing w:val="2"/>
                <w:sz w:val="23"/>
                <w:szCs w:val="23"/>
              </w:rPr>
              <w:t xml:space="preserve"> </w:t>
            </w:r>
            <w:r>
              <w:rPr>
                <w:sz w:val="17"/>
                <w:szCs w:val="17"/>
              </w:rPr>
              <w:t>1</w:t>
            </w:r>
          </w:p>
        </w:tc>
        <w:tc>
          <w:tcPr>
            <w:tcW w:w="609" w:type="dxa"/>
            <w:vAlign w:val="top"/>
          </w:tcPr>
          <w:p w14:paraId="6709979F">
            <w:pPr>
              <w:pStyle w:val="6"/>
              <w:spacing w:before="140" w:line="232" w:lineRule="auto"/>
              <w:ind w:left="182"/>
              <w:rPr>
                <w:sz w:val="23"/>
                <w:szCs w:val="23"/>
              </w:rPr>
            </w:pPr>
            <w:r>
              <w:rPr>
                <w:spacing w:val="-4"/>
                <w:sz w:val="23"/>
                <w:szCs w:val="23"/>
              </w:rPr>
              <w:t>36</w:t>
            </w:r>
          </w:p>
        </w:tc>
        <w:tc>
          <w:tcPr>
            <w:tcW w:w="609" w:type="dxa"/>
            <w:vAlign w:val="top"/>
          </w:tcPr>
          <w:p w14:paraId="77C15E85">
            <w:pPr>
              <w:pStyle w:val="6"/>
              <w:spacing w:before="122" w:line="222" w:lineRule="auto"/>
              <w:ind w:left="63"/>
              <w:rPr>
                <w:sz w:val="23"/>
                <w:szCs w:val="23"/>
              </w:rPr>
            </w:pPr>
            <w:r>
              <w:rPr>
                <w:spacing w:val="11"/>
                <w:sz w:val="23"/>
                <w:szCs w:val="23"/>
              </w:rPr>
              <w:t>昼间</w:t>
            </w:r>
          </w:p>
        </w:tc>
        <w:tc>
          <w:tcPr>
            <w:tcW w:w="969" w:type="dxa"/>
            <w:vAlign w:val="top"/>
          </w:tcPr>
          <w:p w14:paraId="48E0F329">
            <w:pPr>
              <w:pStyle w:val="6"/>
              <w:spacing w:before="140" w:line="232" w:lineRule="auto"/>
              <w:ind w:left="184"/>
              <w:rPr>
                <w:sz w:val="23"/>
                <w:szCs w:val="23"/>
              </w:rPr>
            </w:pPr>
            <w:r>
              <w:rPr>
                <w:spacing w:val="-2"/>
                <w:sz w:val="23"/>
                <w:szCs w:val="23"/>
              </w:rPr>
              <w:t>61.14</w:t>
            </w:r>
          </w:p>
        </w:tc>
        <w:tc>
          <w:tcPr>
            <w:tcW w:w="1099" w:type="dxa"/>
            <w:vAlign w:val="top"/>
          </w:tcPr>
          <w:p w14:paraId="7FB0F8FC">
            <w:pPr>
              <w:pStyle w:val="6"/>
              <w:spacing w:before="118" w:line="219" w:lineRule="auto"/>
              <w:ind w:left="85"/>
              <w:rPr>
                <w:sz w:val="23"/>
                <w:szCs w:val="23"/>
              </w:rPr>
            </w:pPr>
            <w:r>
              <w:rPr>
                <w:spacing w:val="4"/>
                <w:sz w:val="23"/>
                <w:szCs w:val="23"/>
              </w:rPr>
              <w:t>施工围挡</w:t>
            </w:r>
          </w:p>
        </w:tc>
        <w:tc>
          <w:tcPr>
            <w:tcW w:w="919" w:type="dxa"/>
            <w:vAlign w:val="top"/>
          </w:tcPr>
          <w:p w14:paraId="2D1FD017">
            <w:pPr>
              <w:pStyle w:val="6"/>
              <w:spacing w:before="140" w:line="232" w:lineRule="auto"/>
              <w:ind w:left="166"/>
              <w:rPr>
                <w:sz w:val="23"/>
                <w:szCs w:val="23"/>
              </w:rPr>
            </w:pPr>
            <w:r>
              <w:rPr>
                <w:spacing w:val="-2"/>
                <w:sz w:val="23"/>
                <w:szCs w:val="23"/>
              </w:rPr>
              <w:t>41.14</w:t>
            </w:r>
          </w:p>
        </w:tc>
        <w:tc>
          <w:tcPr>
            <w:tcW w:w="689" w:type="dxa"/>
            <w:vAlign w:val="top"/>
          </w:tcPr>
          <w:p w14:paraId="69C9D24A">
            <w:pPr>
              <w:pStyle w:val="6"/>
              <w:spacing w:before="140" w:line="232" w:lineRule="auto"/>
              <w:ind w:left="227"/>
              <w:rPr>
                <w:sz w:val="23"/>
                <w:szCs w:val="23"/>
              </w:rPr>
            </w:pPr>
            <w:r>
              <w:rPr>
                <w:spacing w:val="-3"/>
                <w:sz w:val="23"/>
                <w:szCs w:val="23"/>
              </w:rPr>
              <w:t>43</w:t>
            </w:r>
          </w:p>
        </w:tc>
        <w:tc>
          <w:tcPr>
            <w:tcW w:w="859" w:type="dxa"/>
            <w:vAlign w:val="top"/>
          </w:tcPr>
          <w:p w14:paraId="2D5BAC16">
            <w:pPr>
              <w:pStyle w:val="6"/>
              <w:spacing w:before="140" w:line="232" w:lineRule="auto"/>
              <w:ind w:left="138"/>
              <w:rPr>
                <w:sz w:val="23"/>
                <w:szCs w:val="23"/>
              </w:rPr>
            </w:pPr>
            <w:r>
              <w:rPr>
                <w:spacing w:val="-2"/>
                <w:sz w:val="23"/>
                <w:szCs w:val="23"/>
              </w:rPr>
              <w:t>45.18</w:t>
            </w:r>
          </w:p>
        </w:tc>
        <w:tc>
          <w:tcPr>
            <w:tcW w:w="709" w:type="dxa"/>
            <w:vAlign w:val="top"/>
          </w:tcPr>
          <w:p w14:paraId="33B1ED5B">
            <w:pPr>
              <w:pStyle w:val="6"/>
              <w:spacing w:before="140" w:line="232" w:lineRule="auto"/>
              <w:ind w:left="239"/>
              <w:rPr>
                <w:sz w:val="23"/>
                <w:szCs w:val="23"/>
              </w:rPr>
            </w:pPr>
            <w:r>
              <w:rPr>
                <w:spacing w:val="-4"/>
                <w:sz w:val="23"/>
                <w:szCs w:val="23"/>
              </w:rPr>
              <w:t>55</w:t>
            </w:r>
          </w:p>
        </w:tc>
        <w:tc>
          <w:tcPr>
            <w:tcW w:w="550" w:type="dxa"/>
            <w:vAlign w:val="top"/>
          </w:tcPr>
          <w:p w14:paraId="0AA2A487">
            <w:pPr>
              <w:pStyle w:val="6"/>
              <w:spacing w:before="119" w:line="220" w:lineRule="auto"/>
              <w:ind w:left="39"/>
              <w:rPr>
                <w:sz w:val="23"/>
                <w:szCs w:val="23"/>
              </w:rPr>
            </w:pPr>
            <w:r>
              <w:rPr>
                <w:spacing w:val="-3"/>
                <w:sz w:val="23"/>
                <w:szCs w:val="23"/>
              </w:rPr>
              <w:t>达标</w:t>
            </w:r>
          </w:p>
        </w:tc>
        <w:tc>
          <w:tcPr>
            <w:tcW w:w="205" w:type="dxa"/>
            <w:vMerge w:val="continue"/>
            <w:tcBorders>
              <w:top w:val="nil"/>
              <w:bottom w:val="nil"/>
            </w:tcBorders>
            <w:vAlign w:val="top"/>
          </w:tcPr>
          <w:p w14:paraId="78E03D13">
            <w:pPr>
              <w:rPr>
                <w:rFonts w:ascii="Arial"/>
                <w:sz w:val="21"/>
              </w:rPr>
            </w:pPr>
          </w:p>
        </w:tc>
      </w:tr>
      <w:tr w14:paraId="3E025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884" w:type="dxa"/>
            <w:vMerge w:val="continue"/>
            <w:tcBorders>
              <w:top w:val="nil"/>
              <w:bottom w:val="nil"/>
            </w:tcBorders>
            <w:vAlign w:val="top"/>
          </w:tcPr>
          <w:p w14:paraId="3361B2ED">
            <w:pPr>
              <w:rPr>
                <w:rFonts w:ascii="Arial"/>
                <w:sz w:val="21"/>
              </w:rPr>
            </w:pPr>
          </w:p>
        </w:tc>
        <w:tc>
          <w:tcPr>
            <w:tcW w:w="160" w:type="dxa"/>
            <w:vMerge w:val="continue"/>
            <w:tcBorders>
              <w:top w:val="nil"/>
              <w:bottom w:val="nil"/>
            </w:tcBorders>
            <w:vAlign w:val="top"/>
          </w:tcPr>
          <w:p w14:paraId="1153BC5F">
            <w:pPr>
              <w:rPr>
                <w:rFonts w:ascii="Arial"/>
                <w:sz w:val="21"/>
              </w:rPr>
            </w:pPr>
          </w:p>
        </w:tc>
        <w:tc>
          <w:tcPr>
            <w:tcW w:w="1099" w:type="dxa"/>
            <w:vAlign w:val="top"/>
          </w:tcPr>
          <w:p w14:paraId="692AFD03">
            <w:pPr>
              <w:pStyle w:val="6"/>
              <w:spacing w:before="78" w:line="193" w:lineRule="auto"/>
              <w:jc w:val="right"/>
              <w:rPr>
                <w:sz w:val="23"/>
                <w:szCs w:val="23"/>
              </w:rPr>
            </w:pPr>
            <w:r>
              <w:rPr>
                <w:spacing w:val="-15"/>
                <w:sz w:val="23"/>
                <w:szCs w:val="23"/>
              </w:rPr>
              <w:t>放马沟散户</w:t>
            </w:r>
          </w:p>
          <w:p w14:paraId="6D274C5E">
            <w:pPr>
              <w:pStyle w:val="6"/>
              <w:spacing w:before="1" w:line="192" w:lineRule="auto"/>
              <w:ind w:left="245" w:hanging="235"/>
              <w:rPr>
                <w:sz w:val="23"/>
                <w:szCs w:val="23"/>
              </w:rPr>
            </w:pPr>
            <w:r>
              <w:rPr>
                <w:spacing w:val="-12"/>
                <w:sz w:val="23"/>
                <w:szCs w:val="23"/>
              </w:rPr>
              <w:t>7(田间农户</w:t>
            </w:r>
            <w:r>
              <w:rPr>
                <w:sz w:val="23"/>
                <w:szCs w:val="23"/>
              </w:rPr>
              <w:t xml:space="preserve"> </w:t>
            </w:r>
            <w:r>
              <w:rPr>
                <w:spacing w:val="10"/>
                <w:sz w:val="23"/>
                <w:szCs w:val="23"/>
              </w:rPr>
              <w:t>看地)</w:t>
            </w:r>
          </w:p>
        </w:tc>
        <w:tc>
          <w:tcPr>
            <w:tcW w:w="609" w:type="dxa"/>
            <w:vAlign w:val="top"/>
          </w:tcPr>
          <w:p w14:paraId="7DDEDF0E">
            <w:pPr>
              <w:spacing w:line="244" w:lineRule="auto"/>
              <w:rPr>
                <w:rFonts w:ascii="Arial"/>
                <w:sz w:val="21"/>
              </w:rPr>
            </w:pPr>
          </w:p>
          <w:p w14:paraId="644EDF95">
            <w:pPr>
              <w:pStyle w:val="6"/>
              <w:spacing w:before="75"/>
              <w:ind w:left="232"/>
              <w:rPr>
                <w:sz w:val="23"/>
                <w:szCs w:val="23"/>
              </w:rPr>
            </w:pPr>
            <w:r>
              <w:rPr>
                <w:sz w:val="23"/>
                <w:szCs w:val="23"/>
              </w:rPr>
              <w:t>7</w:t>
            </w:r>
          </w:p>
        </w:tc>
        <w:tc>
          <w:tcPr>
            <w:tcW w:w="609" w:type="dxa"/>
            <w:vAlign w:val="top"/>
          </w:tcPr>
          <w:p w14:paraId="114BA2BA">
            <w:pPr>
              <w:pStyle w:val="6"/>
              <w:spacing w:before="302" w:line="222" w:lineRule="auto"/>
              <w:ind w:left="63"/>
              <w:rPr>
                <w:sz w:val="23"/>
                <w:szCs w:val="23"/>
              </w:rPr>
            </w:pPr>
            <w:r>
              <w:rPr>
                <w:spacing w:val="11"/>
                <w:sz w:val="23"/>
                <w:szCs w:val="23"/>
              </w:rPr>
              <w:t>昼间</w:t>
            </w:r>
          </w:p>
        </w:tc>
        <w:tc>
          <w:tcPr>
            <w:tcW w:w="969" w:type="dxa"/>
            <w:vAlign w:val="top"/>
          </w:tcPr>
          <w:p w14:paraId="1112297B">
            <w:pPr>
              <w:spacing w:line="244" w:lineRule="auto"/>
              <w:rPr>
                <w:rFonts w:ascii="Arial"/>
                <w:sz w:val="21"/>
              </w:rPr>
            </w:pPr>
          </w:p>
          <w:p w14:paraId="0FCA1837">
            <w:pPr>
              <w:pStyle w:val="6"/>
              <w:spacing w:before="75" w:line="239" w:lineRule="auto"/>
              <w:ind w:left="184"/>
              <w:rPr>
                <w:sz w:val="23"/>
                <w:szCs w:val="23"/>
              </w:rPr>
            </w:pPr>
            <w:r>
              <w:rPr>
                <w:spacing w:val="-3"/>
                <w:sz w:val="23"/>
                <w:szCs w:val="23"/>
              </w:rPr>
              <w:t>75.37</w:t>
            </w:r>
          </w:p>
        </w:tc>
        <w:tc>
          <w:tcPr>
            <w:tcW w:w="1099" w:type="dxa"/>
            <w:vAlign w:val="top"/>
          </w:tcPr>
          <w:p w14:paraId="3A4B33FF">
            <w:pPr>
              <w:pStyle w:val="6"/>
              <w:spacing w:before="48" w:line="219" w:lineRule="auto"/>
              <w:jc w:val="right"/>
              <w:rPr>
                <w:sz w:val="23"/>
                <w:szCs w:val="23"/>
              </w:rPr>
            </w:pPr>
            <w:r>
              <w:rPr>
                <w:spacing w:val="-16"/>
                <w:sz w:val="23"/>
                <w:szCs w:val="23"/>
              </w:rPr>
              <w:t>施工围挡、</w:t>
            </w:r>
          </w:p>
          <w:p w14:paraId="74151A2E">
            <w:pPr>
              <w:pStyle w:val="6"/>
              <w:spacing w:before="7" w:line="200" w:lineRule="auto"/>
              <w:ind w:left="85"/>
              <w:rPr>
                <w:sz w:val="23"/>
                <w:szCs w:val="23"/>
              </w:rPr>
            </w:pPr>
            <w:r>
              <w:rPr>
                <w:spacing w:val="4"/>
                <w:sz w:val="23"/>
                <w:szCs w:val="23"/>
              </w:rPr>
              <w:t>移动声屏</w:t>
            </w:r>
          </w:p>
          <w:p w14:paraId="19A5F6B9">
            <w:pPr>
              <w:pStyle w:val="6"/>
              <w:spacing w:line="177" w:lineRule="auto"/>
              <w:ind w:left="425"/>
              <w:rPr>
                <w:sz w:val="23"/>
                <w:szCs w:val="23"/>
              </w:rPr>
            </w:pPr>
            <w:r>
              <w:rPr>
                <w:sz w:val="23"/>
                <w:szCs w:val="23"/>
              </w:rPr>
              <w:t>障</w:t>
            </w:r>
          </w:p>
        </w:tc>
        <w:tc>
          <w:tcPr>
            <w:tcW w:w="919" w:type="dxa"/>
            <w:vAlign w:val="top"/>
          </w:tcPr>
          <w:p w14:paraId="7F6C94FB">
            <w:pPr>
              <w:spacing w:line="244" w:lineRule="auto"/>
              <w:rPr>
                <w:rFonts w:ascii="Arial"/>
                <w:sz w:val="21"/>
              </w:rPr>
            </w:pPr>
          </w:p>
          <w:p w14:paraId="4076B312">
            <w:pPr>
              <w:pStyle w:val="6"/>
              <w:spacing w:before="75" w:line="239" w:lineRule="auto"/>
              <w:ind w:left="166"/>
              <w:rPr>
                <w:sz w:val="23"/>
                <w:szCs w:val="23"/>
              </w:rPr>
            </w:pPr>
            <w:r>
              <w:rPr>
                <w:spacing w:val="-3"/>
                <w:sz w:val="23"/>
                <w:szCs w:val="23"/>
              </w:rPr>
              <w:t>35.37</w:t>
            </w:r>
          </w:p>
        </w:tc>
        <w:tc>
          <w:tcPr>
            <w:tcW w:w="689" w:type="dxa"/>
            <w:vAlign w:val="top"/>
          </w:tcPr>
          <w:p w14:paraId="08F7396B">
            <w:pPr>
              <w:spacing w:line="244" w:lineRule="auto"/>
              <w:rPr>
                <w:rFonts w:ascii="Arial"/>
                <w:sz w:val="21"/>
              </w:rPr>
            </w:pPr>
          </w:p>
          <w:p w14:paraId="5276E60F">
            <w:pPr>
              <w:pStyle w:val="6"/>
              <w:spacing w:before="75"/>
              <w:ind w:left="227"/>
              <w:rPr>
                <w:sz w:val="23"/>
                <w:szCs w:val="23"/>
              </w:rPr>
            </w:pPr>
            <w:r>
              <w:rPr>
                <w:spacing w:val="-4"/>
                <w:sz w:val="23"/>
                <w:szCs w:val="23"/>
              </w:rPr>
              <w:t>51</w:t>
            </w:r>
          </w:p>
        </w:tc>
        <w:tc>
          <w:tcPr>
            <w:tcW w:w="859" w:type="dxa"/>
            <w:vAlign w:val="top"/>
          </w:tcPr>
          <w:p w14:paraId="5B13337F">
            <w:pPr>
              <w:spacing w:line="244" w:lineRule="auto"/>
              <w:rPr>
                <w:rFonts w:ascii="Arial"/>
                <w:sz w:val="21"/>
              </w:rPr>
            </w:pPr>
          </w:p>
          <w:p w14:paraId="2F1CAA63">
            <w:pPr>
              <w:pStyle w:val="6"/>
              <w:spacing w:before="75" w:line="239" w:lineRule="auto"/>
              <w:ind w:left="138"/>
              <w:rPr>
                <w:sz w:val="23"/>
                <w:szCs w:val="23"/>
              </w:rPr>
            </w:pPr>
            <w:r>
              <w:rPr>
                <w:spacing w:val="-3"/>
                <w:sz w:val="23"/>
                <w:szCs w:val="23"/>
              </w:rPr>
              <w:t>51.12</w:t>
            </w:r>
          </w:p>
        </w:tc>
        <w:tc>
          <w:tcPr>
            <w:tcW w:w="709" w:type="dxa"/>
            <w:vAlign w:val="top"/>
          </w:tcPr>
          <w:p w14:paraId="5FC4B779">
            <w:pPr>
              <w:spacing w:line="244" w:lineRule="auto"/>
              <w:rPr>
                <w:rFonts w:ascii="Arial"/>
                <w:sz w:val="21"/>
              </w:rPr>
            </w:pPr>
          </w:p>
          <w:p w14:paraId="3C6DC667">
            <w:pPr>
              <w:pStyle w:val="6"/>
              <w:spacing w:before="75"/>
              <w:ind w:left="239"/>
              <w:rPr>
                <w:sz w:val="23"/>
                <w:szCs w:val="23"/>
              </w:rPr>
            </w:pPr>
            <w:r>
              <w:rPr>
                <w:spacing w:val="-4"/>
                <w:sz w:val="23"/>
                <w:szCs w:val="23"/>
              </w:rPr>
              <w:t>55</w:t>
            </w:r>
          </w:p>
        </w:tc>
        <w:tc>
          <w:tcPr>
            <w:tcW w:w="550" w:type="dxa"/>
            <w:vAlign w:val="top"/>
          </w:tcPr>
          <w:p w14:paraId="3F3C71AB">
            <w:pPr>
              <w:pStyle w:val="6"/>
              <w:spacing w:before="299" w:line="220" w:lineRule="auto"/>
              <w:ind w:left="39"/>
              <w:rPr>
                <w:sz w:val="23"/>
                <w:szCs w:val="23"/>
              </w:rPr>
            </w:pPr>
            <w:r>
              <w:rPr>
                <w:spacing w:val="-3"/>
                <w:sz w:val="23"/>
                <w:szCs w:val="23"/>
              </w:rPr>
              <w:t>达标</w:t>
            </w:r>
          </w:p>
        </w:tc>
        <w:tc>
          <w:tcPr>
            <w:tcW w:w="205" w:type="dxa"/>
            <w:vMerge w:val="continue"/>
            <w:tcBorders>
              <w:top w:val="nil"/>
              <w:bottom w:val="nil"/>
            </w:tcBorders>
            <w:vAlign w:val="top"/>
          </w:tcPr>
          <w:p w14:paraId="39197C80">
            <w:pPr>
              <w:rPr>
                <w:rFonts w:ascii="Arial"/>
                <w:sz w:val="21"/>
              </w:rPr>
            </w:pPr>
          </w:p>
        </w:tc>
      </w:tr>
      <w:tr w14:paraId="260CB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84" w:type="dxa"/>
            <w:vMerge w:val="continue"/>
            <w:tcBorders>
              <w:top w:val="nil"/>
              <w:bottom w:val="nil"/>
            </w:tcBorders>
            <w:vAlign w:val="top"/>
          </w:tcPr>
          <w:p w14:paraId="26E28F38">
            <w:pPr>
              <w:rPr>
                <w:rFonts w:ascii="Arial"/>
                <w:sz w:val="21"/>
              </w:rPr>
            </w:pPr>
          </w:p>
        </w:tc>
        <w:tc>
          <w:tcPr>
            <w:tcW w:w="160" w:type="dxa"/>
            <w:vMerge w:val="continue"/>
            <w:tcBorders>
              <w:top w:val="nil"/>
              <w:bottom w:val="nil"/>
            </w:tcBorders>
            <w:vAlign w:val="top"/>
          </w:tcPr>
          <w:p w14:paraId="0B4859A7">
            <w:pPr>
              <w:rPr>
                <w:rFonts w:ascii="Arial"/>
                <w:sz w:val="21"/>
              </w:rPr>
            </w:pPr>
          </w:p>
        </w:tc>
        <w:tc>
          <w:tcPr>
            <w:tcW w:w="1099" w:type="dxa"/>
            <w:vAlign w:val="top"/>
          </w:tcPr>
          <w:p w14:paraId="05A84BA9">
            <w:pPr>
              <w:pStyle w:val="6"/>
              <w:spacing w:before="28" w:line="177" w:lineRule="auto"/>
              <w:ind w:left="10"/>
              <w:rPr>
                <w:sz w:val="21"/>
                <w:szCs w:val="21"/>
              </w:rPr>
            </w:pPr>
            <w:r>
              <w:rPr>
                <w:spacing w:val="-15"/>
                <w:sz w:val="23"/>
                <w:szCs w:val="23"/>
              </w:rPr>
              <w:t>大地村散户</w:t>
            </w:r>
            <w:r>
              <w:rPr>
                <w:spacing w:val="2"/>
                <w:sz w:val="23"/>
                <w:szCs w:val="23"/>
              </w:rPr>
              <w:t xml:space="preserve"> </w:t>
            </w:r>
            <w:r>
              <w:rPr>
                <w:sz w:val="21"/>
                <w:szCs w:val="21"/>
              </w:rPr>
              <w:t>2</w:t>
            </w:r>
          </w:p>
        </w:tc>
        <w:tc>
          <w:tcPr>
            <w:tcW w:w="609" w:type="dxa"/>
            <w:vAlign w:val="top"/>
          </w:tcPr>
          <w:p w14:paraId="659C90CC">
            <w:pPr>
              <w:pStyle w:val="6"/>
              <w:spacing w:before="152" w:line="239" w:lineRule="auto"/>
              <w:ind w:left="182"/>
              <w:rPr>
                <w:sz w:val="23"/>
                <w:szCs w:val="23"/>
              </w:rPr>
            </w:pPr>
            <w:r>
              <w:rPr>
                <w:spacing w:val="-3"/>
                <w:sz w:val="23"/>
                <w:szCs w:val="23"/>
              </w:rPr>
              <w:t>91</w:t>
            </w:r>
          </w:p>
        </w:tc>
        <w:tc>
          <w:tcPr>
            <w:tcW w:w="609" w:type="dxa"/>
            <w:vAlign w:val="top"/>
          </w:tcPr>
          <w:p w14:paraId="61FFAB66">
            <w:pPr>
              <w:pStyle w:val="6"/>
              <w:spacing w:before="133" w:line="222" w:lineRule="auto"/>
              <w:ind w:left="63"/>
              <w:rPr>
                <w:sz w:val="23"/>
                <w:szCs w:val="23"/>
              </w:rPr>
            </w:pPr>
            <w:r>
              <w:rPr>
                <w:spacing w:val="11"/>
                <w:sz w:val="23"/>
                <w:szCs w:val="23"/>
              </w:rPr>
              <w:t>昼间</w:t>
            </w:r>
          </w:p>
        </w:tc>
        <w:tc>
          <w:tcPr>
            <w:tcW w:w="969" w:type="dxa"/>
            <w:vAlign w:val="top"/>
          </w:tcPr>
          <w:p w14:paraId="45E95433">
            <w:pPr>
              <w:pStyle w:val="6"/>
              <w:spacing w:before="152" w:line="239" w:lineRule="auto"/>
              <w:ind w:left="184"/>
              <w:rPr>
                <w:sz w:val="23"/>
                <w:szCs w:val="23"/>
              </w:rPr>
            </w:pPr>
            <w:r>
              <w:rPr>
                <w:spacing w:val="-3"/>
                <w:sz w:val="23"/>
                <w:szCs w:val="23"/>
              </w:rPr>
              <w:t>53.09</w:t>
            </w:r>
          </w:p>
        </w:tc>
        <w:tc>
          <w:tcPr>
            <w:tcW w:w="1099" w:type="dxa"/>
            <w:vAlign w:val="top"/>
          </w:tcPr>
          <w:p w14:paraId="21941119">
            <w:pPr>
              <w:pStyle w:val="6"/>
              <w:spacing w:before="129" w:line="219" w:lineRule="auto"/>
              <w:ind w:left="85"/>
              <w:rPr>
                <w:sz w:val="23"/>
                <w:szCs w:val="23"/>
              </w:rPr>
            </w:pPr>
            <w:r>
              <w:rPr>
                <w:spacing w:val="4"/>
                <w:sz w:val="23"/>
                <w:szCs w:val="23"/>
              </w:rPr>
              <w:t>施工围挡</w:t>
            </w:r>
          </w:p>
        </w:tc>
        <w:tc>
          <w:tcPr>
            <w:tcW w:w="919" w:type="dxa"/>
            <w:vAlign w:val="top"/>
          </w:tcPr>
          <w:p w14:paraId="4C74507D">
            <w:pPr>
              <w:pStyle w:val="6"/>
              <w:spacing w:before="152" w:line="239" w:lineRule="auto"/>
              <w:ind w:left="166"/>
              <w:rPr>
                <w:sz w:val="23"/>
                <w:szCs w:val="23"/>
              </w:rPr>
            </w:pPr>
            <w:r>
              <w:rPr>
                <w:spacing w:val="-3"/>
                <w:sz w:val="23"/>
                <w:szCs w:val="23"/>
              </w:rPr>
              <w:t>33.09</w:t>
            </w:r>
          </w:p>
        </w:tc>
        <w:tc>
          <w:tcPr>
            <w:tcW w:w="689" w:type="dxa"/>
            <w:vAlign w:val="top"/>
          </w:tcPr>
          <w:p w14:paraId="470976E0">
            <w:pPr>
              <w:pStyle w:val="6"/>
              <w:spacing w:before="152" w:line="239" w:lineRule="auto"/>
              <w:ind w:left="227"/>
              <w:rPr>
                <w:sz w:val="23"/>
                <w:szCs w:val="23"/>
              </w:rPr>
            </w:pPr>
            <w:r>
              <w:rPr>
                <w:spacing w:val="-4"/>
                <w:sz w:val="23"/>
                <w:szCs w:val="23"/>
              </w:rPr>
              <w:t>52</w:t>
            </w:r>
          </w:p>
        </w:tc>
        <w:tc>
          <w:tcPr>
            <w:tcW w:w="859" w:type="dxa"/>
            <w:vAlign w:val="top"/>
          </w:tcPr>
          <w:p w14:paraId="2F77A4AC">
            <w:pPr>
              <w:pStyle w:val="6"/>
              <w:spacing w:before="152" w:line="239" w:lineRule="auto"/>
              <w:ind w:left="138"/>
              <w:rPr>
                <w:sz w:val="23"/>
                <w:szCs w:val="23"/>
              </w:rPr>
            </w:pPr>
            <w:r>
              <w:rPr>
                <w:spacing w:val="-3"/>
                <w:sz w:val="23"/>
                <w:szCs w:val="23"/>
              </w:rPr>
              <w:t>52.06</w:t>
            </w:r>
          </w:p>
        </w:tc>
        <w:tc>
          <w:tcPr>
            <w:tcW w:w="709" w:type="dxa"/>
            <w:vAlign w:val="top"/>
          </w:tcPr>
          <w:p w14:paraId="28D8042B">
            <w:pPr>
              <w:pStyle w:val="6"/>
              <w:spacing w:before="152" w:line="239" w:lineRule="auto"/>
              <w:ind w:left="239"/>
              <w:rPr>
                <w:sz w:val="23"/>
                <w:szCs w:val="23"/>
              </w:rPr>
            </w:pPr>
            <w:r>
              <w:rPr>
                <w:spacing w:val="-4"/>
                <w:sz w:val="23"/>
                <w:szCs w:val="23"/>
              </w:rPr>
              <w:t>55</w:t>
            </w:r>
          </w:p>
        </w:tc>
        <w:tc>
          <w:tcPr>
            <w:tcW w:w="550" w:type="dxa"/>
            <w:vAlign w:val="top"/>
          </w:tcPr>
          <w:p w14:paraId="6EB72815">
            <w:pPr>
              <w:pStyle w:val="6"/>
              <w:spacing w:before="130" w:line="220" w:lineRule="auto"/>
              <w:ind w:left="39"/>
              <w:rPr>
                <w:sz w:val="23"/>
                <w:szCs w:val="23"/>
              </w:rPr>
            </w:pPr>
            <w:r>
              <w:rPr>
                <w:spacing w:val="-3"/>
                <w:sz w:val="23"/>
                <w:szCs w:val="23"/>
              </w:rPr>
              <w:t>达标</w:t>
            </w:r>
          </w:p>
        </w:tc>
        <w:tc>
          <w:tcPr>
            <w:tcW w:w="205" w:type="dxa"/>
            <w:vMerge w:val="continue"/>
            <w:tcBorders>
              <w:top w:val="nil"/>
              <w:bottom w:val="nil"/>
            </w:tcBorders>
            <w:vAlign w:val="top"/>
          </w:tcPr>
          <w:p w14:paraId="6968E384">
            <w:pPr>
              <w:rPr>
                <w:rFonts w:ascii="Arial"/>
                <w:sz w:val="21"/>
              </w:rPr>
            </w:pPr>
          </w:p>
        </w:tc>
      </w:tr>
      <w:tr w14:paraId="62783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884" w:type="dxa"/>
            <w:vMerge w:val="continue"/>
            <w:tcBorders>
              <w:top w:val="nil"/>
            </w:tcBorders>
            <w:vAlign w:val="top"/>
          </w:tcPr>
          <w:p w14:paraId="38DCCB1C">
            <w:pPr>
              <w:rPr>
                <w:rFonts w:ascii="Arial"/>
                <w:sz w:val="21"/>
              </w:rPr>
            </w:pPr>
          </w:p>
        </w:tc>
        <w:tc>
          <w:tcPr>
            <w:tcW w:w="160" w:type="dxa"/>
            <w:vMerge w:val="continue"/>
            <w:tcBorders>
              <w:top w:val="nil"/>
            </w:tcBorders>
            <w:vAlign w:val="top"/>
          </w:tcPr>
          <w:p w14:paraId="472A968F">
            <w:pPr>
              <w:rPr>
                <w:rFonts w:ascii="Arial"/>
                <w:sz w:val="21"/>
              </w:rPr>
            </w:pPr>
          </w:p>
        </w:tc>
        <w:tc>
          <w:tcPr>
            <w:tcW w:w="1099" w:type="dxa"/>
            <w:vAlign w:val="top"/>
          </w:tcPr>
          <w:p w14:paraId="1F7E9A02">
            <w:pPr>
              <w:pStyle w:val="6"/>
              <w:spacing w:before="19" w:line="176" w:lineRule="auto"/>
              <w:ind w:left="10"/>
            </w:pPr>
            <w:r>
              <w:rPr>
                <w:spacing w:val="-21"/>
                <w:sz w:val="23"/>
                <w:szCs w:val="23"/>
              </w:rPr>
              <w:t>大莫古散户</w:t>
            </w:r>
            <w:r>
              <w:rPr>
                <w:spacing w:val="3"/>
                <w:sz w:val="23"/>
                <w:szCs w:val="23"/>
              </w:rPr>
              <w:t xml:space="preserve"> </w:t>
            </w:r>
            <w:r>
              <w:rPr>
                <w:spacing w:val="-4"/>
              </w:rPr>
              <w:t>1(田间农户</w:t>
            </w:r>
          </w:p>
        </w:tc>
        <w:tc>
          <w:tcPr>
            <w:tcW w:w="609" w:type="dxa"/>
            <w:vAlign w:val="top"/>
          </w:tcPr>
          <w:p w14:paraId="27C130AE">
            <w:pPr>
              <w:pStyle w:val="6"/>
              <w:spacing w:before="142" w:line="241" w:lineRule="auto"/>
              <w:ind w:left="232"/>
              <w:rPr>
                <w:sz w:val="23"/>
                <w:szCs w:val="23"/>
              </w:rPr>
            </w:pPr>
            <w:r>
              <w:rPr>
                <w:sz w:val="23"/>
                <w:szCs w:val="23"/>
              </w:rPr>
              <w:t>2</w:t>
            </w:r>
          </w:p>
        </w:tc>
        <w:tc>
          <w:tcPr>
            <w:tcW w:w="609" w:type="dxa"/>
            <w:vAlign w:val="top"/>
          </w:tcPr>
          <w:p w14:paraId="7303D4D2">
            <w:pPr>
              <w:pStyle w:val="6"/>
              <w:spacing w:before="123" w:line="222" w:lineRule="auto"/>
              <w:ind w:left="63"/>
              <w:rPr>
                <w:sz w:val="23"/>
                <w:szCs w:val="23"/>
              </w:rPr>
            </w:pPr>
            <w:r>
              <w:rPr>
                <w:spacing w:val="11"/>
                <w:sz w:val="23"/>
                <w:szCs w:val="23"/>
              </w:rPr>
              <w:t>昼间</w:t>
            </w:r>
          </w:p>
        </w:tc>
        <w:tc>
          <w:tcPr>
            <w:tcW w:w="969" w:type="dxa"/>
            <w:vAlign w:val="top"/>
          </w:tcPr>
          <w:p w14:paraId="5F25AF77">
            <w:pPr>
              <w:pStyle w:val="6"/>
              <w:spacing w:before="142" w:line="239" w:lineRule="auto"/>
              <w:ind w:left="184"/>
              <w:rPr>
                <w:sz w:val="23"/>
                <w:szCs w:val="23"/>
              </w:rPr>
            </w:pPr>
            <w:r>
              <w:rPr>
                <w:spacing w:val="-2"/>
                <w:sz w:val="23"/>
                <w:szCs w:val="23"/>
              </w:rPr>
              <w:t>86.25</w:t>
            </w:r>
          </w:p>
        </w:tc>
        <w:tc>
          <w:tcPr>
            <w:tcW w:w="1099" w:type="dxa"/>
            <w:vAlign w:val="top"/>
          </w:tcPr>
          <w:p w14:paraId="244E81AB">
            <w:pPr>
              <w:pStyle w:val="6"/>
              <w:spacing w:before="119" w:line="219" w:lineRule="auto"/>
              <w:jc w:val="right"/>
              <w:rPr>
                <w:sz w:val="23"/>
                <w:szCs w:val="23"/>
              </w:rPr>
            </w:pPr>
            <w:r>
              <w:rPr>
                <w:spacing w:val="-16"/>
                <w:sz w:val="23"/>
                <w:szCs w:val="23"/>
              </w:rPr>
              <w:t>施工围挡、</w:t>
            </w:r>
          </w:p>
        </w:tc>
        <w:tc>
          <w:tcPr>
            <w:tcW w:w="919" w:type="dxa"/>
            <w:vAlign w:val="top"/>
          </w:tcPr>
          <w:p w14:paraId="0B0DB752">
            <w:pPr>
              <w:pStyle w:val="6"/>
              <w:spacing w:before="142" w:line="239" w:lineRule="auto"/>
              <w:ind w:left="166"/>
              <w:rPr>
                <w:sz w:val="23"/>
                <w:szCs w:val="23"/>
              </w:rPr>
            </w:pPr>
            <w:r>
              <w:rPr>
                <w:spacing w:val="-2"/>
                <w:sz w:val="23"/>
                <w:szCs w:val="23"/>
              </w:rPr>
              <w:t>46.25</w:t>
            </w:r>
          </w:p>
        </w:tc>
        <w:tc>
          <w:tcPr>
            <w:tcW w:w="689" w:type="dxa"/>
            <w:vAlign w:val="top"/>
          </w:tcPr>
          <w:p w14:paraId="69CD1F46">
            <w:pPr>
              <w:pStyle w:val="6"/>
              <w:spacing w:before="141"/>
              <w:ind w:left="227"/>
              <w:rPr>
                <w:sz w:val="23"/>
                <w:szCs w:val="23"/>
              </w:rPr>
            </w:pPr>
            <w:r>
              <w:rPr>
                <w:spacing w:val="-4"/>
                <w:sz w:val="23"/>
                <w:szCs w:val="23"/>
              </w:rPr>
              <w:t>52</w:t>
            </w:r>
          </w:p>
        </w:tc>
        <w:tc>
          <w:tcPr>
            <w:tcW w:w="859" w:type="dxa"/>
            <w:vAlign w:val="top"/>
          </w:tcPr>
          <w:p w14:paraId="4C3F62FF">
            <w:pPr>
              <w:pStyle w:val="6"/>
              <w:spacing w:before="142" w:line="239" w:lineRule="auto"/>
              <w:ind w:left="138"/>
              <w:rPr>
                <w:sz w:val="23"/>
                <w:szCs w:val="23"/>
              </w:rPr>
            </w:pPr>
            <w:r>
              <w:rPr>
                <w:spacing w:val="-3"/>
                <w:sz w:val="23"/>
                <w:szCs w:val="23"/>
              </w:rPr>
              <w:t>53.02</w:t>
            </w:r>
          </w:p>
        </w:tc>
        <w:tc>
          <w:tcPr>
            <w:tcW w:w="709" w:type="dxa"/>
            <w:vAlign w:val="top"/>
          </w:tcPr>
          <w:p w14:paraId="12A32B77">
            <w:pPr>
              <w:pStyle w:val="6"/>
              <w:spacing w:before="141"/>
              <w:ind w:left="239"/>
              <w:rPr>
                <w:sz w:val="23"/>
                <w:szCs w:val="23"/>
              </w:rPr>
            </w:pPr>
            <w:r>
              <w:rPr>
                <w:spacing w:val="-4"/>
                <w:sz w:val="23"/>
                <w:szCs w:val="23"/>
              </w:rPr>
              <w:t>55</w:t>
            </w:r>
          </w:p>
        </w:tc>
        <w:tc>
          <w:tcPr>
            <w:tcW w:w="550" w:type="dxa"/>
            <w:vAlign w:val="top"/>
          </w:tcPr>
          <w:p w14:paraId="3E347AF6">
            <w:pPr>
              <w:pStyle w:val="6"/>
              <w:spacing w:before="120" w:line="220" w:lineRule="auto"/>
              <w:ind w:left="39"/>
              <w:rPr>
                <w:sz w:val="23"/>
                <w:szCs w:val="23"/>
              </w:rPr>
            </w:pPr>
            <w:r>
              <w:rPr>
                <w:spacing w:val="-3"/>
                <w:sz w:val="23"/>
                <w:szCs w:val="23"/>
              </w:rPr>
              <w:t>达标</w:t>
            </w:r>
          </w:p>
        </w:tc>
        <w:tc>
          <w:tcPr>
            <w:tcW w:w="205" w:type="dxa"/>
            <w:vMerge w:val="continue"/>
            <w:tcBorders>
              <w:top w:val="nil"/>
            </w:tcBorders>
            <w:vAlign w:val="top"/>
          </w:tcPr>
          <w:p w14:paraId="3684E8B0">
            <w:pPr>
              <w:rPr>
                <w:rFonts w:ascii="Arial"/>
                <w:sz w:val="21"/>
              </w:rPr>
            </w:pPr>
          </w:p>
        </w:tc>
      </w:tr>
    </w:tbl>
    <w:p w14:paraId="06B11AFB">
      <w:pPr>
        <w:pStyle w:val="2"/>
      </w:pPr>
    </w:p>
    <w:p w14:paraId="4687DA34">
      <w:pPr>
        <w:sectPr>
          <w:footerReference r:id="rId144" w:type="default"/>
          <w:pgSz w:w="11910" w:h="16830"/>
          <w:pgMar w:top="400" w:right="1294" w:bottom="1245" w:left="1244" w:header="0" w:footer="1083" w:gutter="0"/>
          <w:cols w:space="720" w:num="1"/>
        </w:sectPr>
      </w:pPr>
    </w:p>
    <w:p w14:paraId="1D756A19">
      <w:pPr>
        <w:spacing w:before="15"/>
      </w:pPr>
    </w:p>
    <w:p w14:paraId="162A6851">
      <w:pPr>
        <w:spacing w:before="15"/>
      </w:pPr>
    </w:p>
    <w:p w14:paraId="459DAA60">
      <w:pPr>
        <w:spacing w:before="15"/>
      </w:pPr>
    </w:p>
    <w:p w14:paraId="0539BFBD">
      <w:pPr>
        <w:spacing w:before="14"/>
      </w:pPr>
    </w:p>
    <w:tbl>
      <w:tblPr>
        <w:tblStyle w:val="5"/>
        <w:tblW w:w="93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190"/>
        <w:gridCol w:w="1089"/>
        <w:gridCol w:w="600"/>
        <w:gridCol w:w="629"/>
        <w:gridCol w:w="959"/>
        <w:gridCol w:w="1119"/>
        <w:gridCol w:w="899"/>
        <w:gridCol w:w="659"/>
        <w:gridCol w:w="879"/>
        <w:gridCol w:w="709"/>
        <w:gridCol w:w="569"/>
        <w:gridCol w:w="195"/>
      </w:tblGrid>
      <w:tr w14:paraId="009F7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884" w:type="dxa"/>
            <w:vMerge w:val="restart"/>
            <w:tcBorders>
              <w:bottom w:val="nil"/>
            </w:tcBorders>
            <w:vAlign w:val="top"/>
          </w:tcPr>
          <w:p w14:paraId="0E93B492">
            <w:pPr>
              <w:rPr>
                <w:rFonts w:ascii="Arial"/>
                <w:sz w:val="21"/>
              </w:rPr>
            </w:pPr>
          </w:p>
        </w:tc>
        <w:tc>
          <w:tcPr>
            <w:tcW w:w="190" w:type="dxa"/>
            <w:vMerge w:val="restart"/>
            <w:tcBorders>
              <w:bottom w:val="nil"/>
            </w:tcBorders>
            <w:vAlign w:val="top"/>
          </w:tcPr>
          <w:p w14:paraId="20959FBE">
            <w:pPr>
              <w:rPr>
                <w:rFonts w:ascii="Arial"/>
                <w:sz w:val="21"/>
              </w:rPr>
            </w:pPr>
          </w:p>
        </w:tc>
        <w:tc>
          <w:tcPr>
            <w:tcW w:w="1089" w:type="dxa"/>
            <w:vAlign w:val="top"/>
          </w:tcPr>
          <w:p w14:paraId="4681EE35">
            <w:pPr>
              <w:pStyle w:val="6"/>
              <w:spacing w:before="74" w:line="219" w:lineRule="auto"/>
              <w:ind w:left="11"/>
              <w:rPr>
                <w:sz w:val="23"/>
                <w:szCs w:val="23"/>
              </w:rPr>
            </w:pPr>
            <w:r>
              <w:rPr>
                <w:spacing w:val="15"/>
                <w:sz w:val="23"/>
                <w:szCs w:val="23"/>
              </w:rPr>
              <w:t>看地)</w:t>
            </w:r>
          </w:p>
        </w:tc>
        <w:tc>
          <w:tcPr>
            <w:tcW w:w="600" w:type="dxa"/>
            <w:vAlign w:val="top"/>
          </w:tcPr>
          <w:p w14:paraId="6AFACABD">
            <w:pPr>
              <w:rPr>
                <w:rFonts w:ascii="Arial"/>
                <w:sz w:val="21"/>
              </w:rPr>
            </w:pPr>
          </w:p>
        </w:tc>
        <w:tc>
          <w:tcPr>
            <w:tcW w:w="629" w:type="dxa"/>
            <w:vAlign w:val="top"/>
          </w:tcPr>
          <w:p w14:paraId="4C6CB06B">
            <w:pPr>
              <w:rPr>
                <w:rFonts w:ascii="Arial"/>
                <w:sz w:val="21"/>
              </w:rPr>
            </w:pPr>
          </w:p>
        </w:tc>
        <w:tc>
          <w:tcPr>
            <w:tcW w:w="959" w:type="dxa"/>
            <w:vAlign w:val="top"/>
          </w:tcPr>
          <w:p w14:paraId="2A519289">
            <w:pPr>
              <w:rPr>
                <w:rFonts w:ascii="Arial"/>
                <w:sz w:val="21"/>
              </w:rPr>
            </w:pPr>
          </w:p>
        </w:tc>
        <w:tc>
          <w:tcPr>
            <w:tcW w:w="1119" w:type="dxa"/>
            <w:vMerge w:val="restart"/>
            <w:tcBorders>
              <w:bottom w:val="nil"/>
            </w:tcBorders>
            <w:vAlign w:val="top"/>
          </w:tcPr>
          <w:p w14:paraId="70ACFBF1">
            <w:pPr>
              <w:pStyle w:val="6"/>
              <w:spacing w:before="45" w:line="218" w:lineRule="auto"/>
              <w:ind w:left="434" w:right="78" w:hanging="340"/>
              <w:rPr>
                <w:sz w:val="23"/>
                <w:szCs w:val="23"/>
              </w:rPr>
            </w:pPr>
            <w:r>
              <w:rPr>
                <w:spacing w:val="4"/>
                <w:sz w:val="23"/>
                <w:szCs w:val="23"/>
              </w:rPr>
              <w:t>移动声屏</w:t>
            </w:r>
            <w:r>
              <w:rPr>
                <w:sz w:val="23"/>
                <w:szCs w:val="23"/>
              </w:rPr>
              <w:t xml:space="preserve"> 障</w:t>
            </w:r>
          </w:p>
        </w:tc>
        <w:tc>
          <w:tcPr>
            <w:tcW w:w="899" w:type="dxa"/>
            <w:vAlign w:val="top"/>
          </w:tcPr>
          <w:p w14:paraId="09944ECE">
            <w:pPr>
              <w:rPr>
                <w:rFonts w:ascii="Arial"/>
                <w:sz w:val="21"/>
              </w:rPr>
            </w:pPr>
          </w:p>
        </w:tc>
        <w:tc>
          <w:tcPr>
            <w:tcW w:w="659" w:type="dxa"/>
            <w:vAlign w:val="top"/>
          </w:tcPr>
          <w:p w14:paraId="58CA556F">
            <w:pPr>
              <w:rPr>
                <w:rFonts w:ascii="Arial"/>
                <w:sz w:val="21"/>
              </w:rPr>
            </w:pPr>
          </w:p>
        </w:tc>
        <w:tc>
          <w:tcPr>
            <w:tcW w:w="879" w:type="dxa"/>
            <w:vAlign w:val="top"/>
          </w:tcPr>
          <w:p w14:paraId="024EC5EC">
            <w:pPr>
              <w:rPr>
                <w:rFonts w:ascii="Arial"/>
                <w:sz w:val="21"/>
              </w:rPr>
            </w:pPr>
          </w:p>
        </w:tc>
        <w:tc>
          <w:tcPr>
            <w:tcW w:w="709" w:type="dxa"/>
            <w:vAlign w:val="top"/>
          </w:tcPr>
          <w:p w14:paraId="13073102">
            <w:pPr>
              <w:rPr>
                <w:rFonts w:ascii="Arial"/>
                <w:sz w:val="21"/>
              </w:rPr>
            </w:pPr>
          </w:p>
        </w:tc>
        <w:tc>
          <w:tcPr>
            <w:tcW w:w="569" w:type="dxa"/>
            <w:vAlign w:val="top"/>
          </w:tcPr>
          <w:p w14:paraId="1130CF16">
            <w:pPr>
              <w:rPr>
                <w:rFonts w:ascii="Arial"/>
                <w:sz w:val="21"/>
              </w:rPr>
            </w:pPr>
          </w:p>
        </w:tc>
        <w:tc>
          <w:tcPr>
            <w:tcW w:w="195" w:type="dxa"/>
            <w:vMerge w:val="restart"/>
            <w:tcBorders>
              <w:bottom w:val="nil"/>
            </w:tcBorders>
            <w:vAlign w:val="top"/>
          </w:tcPr>
          <w:p w14:paraId="02AA2DB8">
            <w:pPr>
              <w:rPr>
                <w:rFonts w:ascii="Arial"/>
                <w:sz w:val="21"/>
              </w:rPr>
            </w:pPr>
          </w:p>
        </w:tc>
      </w:tr>
      <w:tr w14:paraId="6F269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884" w:type="dxa"/>
            <w:vMerge w:val="continue"/>
            <w:tcBorders>
              <w:top w:val="nil"/>
              <w:bottom w:val="nil"/>
            </w:tcBorders>
            <w:vAlign w:val="top"/>
          </w:tcPr>
          <w:p w14:paraId="635487D1">
            <w:pPr>
              <w:rPr>
                <w:rFonts w:ascii="Arial"/>
                <w:sz w:val="21"/>
              </w:rPr>
            </w:pPr>
          </w:p>
        </w:tc>
        <w:tc>
          <w:tcPr>
            <w:tcW w:w="190" w:type="dxa"/>
            <w:vMerge w:val="continue"/>
            <w:tcBorders>
              <w:top w:val="nil"/>
              <w:bottom w:val="nil"/>
            </w:tcBorders>
            <w:vAlign w:val="top"/>
          </w:tcPr>
          <w:p w14:paraId="109603DC">
            <w:pPr>
              <w:rPr>
                <w:rFonts w:ascii="Arial"/>
                <w:sz w:val="21"/>
              </w:rPr>
            </w:pPr>
          </w:p>
        </w:tc>
        <w:tc>
          <w:tcPr>
            <w:tcW w:w="1089" w:type="dxa"/>
            <w:vAlign w:val="top"/>
          </w:tcPr>
          <w:p w14:paraId="5294D00A">
            <w:pPr>
              <w:pStyle w:val="6"/>
              <w:spacing w:before="8" w:line="186" w:lineRule="auto"/>
              <w:jc w:val="right"/>
              <w:rPr>
                <w:sz w:val="23"/>
                <w:szCs w:val="23"/>
              </w:rPr>
            </w:pPr>
            <w:r>
              <w:rPr>
                <w:spacing w:val="-17"/>
                <w:sz w:val="23"/>
                <w:szCs w:val="23"/>
              </w:rPr>
              <w:t>大地村散户</w:t>
            </w:r>
          </w:p>
          <w:p w14:paraId="208FEBB4">
            <w:pPr>
              <w:pStyle w:val="6"/>
              <w:spacing w:before="2" w:line="175" w:lineRule="auto"/>
              <w:ind w:left="11"/>
            </w:pPr>
            <w:r>
              <w:rPr>
                <w:spacing w:val="-14"/>
                <w:sz w:val="23"/>
                <w:szCs w:val="23"/>
              </w:rPr>
              <w:t>5(田间农户</w:t>
            </w:r>
            <w:r>
              <w:rPr>
                <w:sz w:val="23"/>
                <w:szCs w:val="23"/>
              </w:rPr>
              <w:t xml:space="preserve"> </w:t>
            </w:r>
            <w:r>
              <w:rPr>
                <w:spacing w:val="11"/>
              </w:rPr>
              <w:t>看地)</w:t>
            </w:r>
          </w:p>
        </w:tc>
        <w:tc>
          <w:tcPr>
            <w:tcW w:w="600" w:type="dxa"/>
            <w:vAlign w:val="top"/>
          </w:tcPr>
          <w:p w14:paraId="213169A1">
            <w:pPr>
              <w:pStyle w:val="6"/>
              <w:spacing w:before="252" w:line="241" w:lineRule="auto"/>
              <w:ind w:left="232"/>
              <w:rPr>
                <w:sz w:val="23"/>
                <w:szCs w:val="23"/>
              </w:rPr>
            </w:pPr>
            <w:r>
              <w:rPr>
                <w:sz w:val="23"/>
                <w:szCs w:val="23"/>
              </w:rPr>
              <w:t>2</w:t>
            </w:r>
          </w:p>
        </w:tc>
        <w:tc>
          <w:tcPr>
            <w:tcW w:w="629" w:type="dxa"/>
            <w:vAlign w:val="top"/>
          </w:tcPr>
          <w:p w14:paraId="3456B150">
            <w:pPr>
              <w:pStyle w:val="6"/>
              <w:spacing w:before="233" w:line="222" w:lineRule="auto"/>
              <w:ind w:left="72"/>
              <w:rPr>
                <w:sz w:val="23"/>
                <w:szCs w:val="23"/>
              </w:rPr>
            </w:pPr>
            <w:r>
              <w:rPr>
                <w:spacing w:val="11"/>
                <w:sz w:val="23"/>
                <w:szCs w:val="23"/>
              </w:rPr>
              <w:t>昼间</w:t>
            </w:r>
          </w:p>
        </w:tc>
        <w:tc>
          <w:tcPr>
            <w:tcW w:w="959" w:type="dxa"/>
            <w:vAlign w:val="top"/>
          </w:tcPr>
          <w:p w14:paraId="24B5407F">
            <w:pPr>
              <w:pStyle w:val="6"/>
              <w:spacing w:before="252" w:line="239" w:lineRule="auto"/>
              <w:ind w:left="183"/>
              <w:rPr>
                <w:sz w:val="23"/>
                <w:szCs w:val="23"/>
              </w:rPr>
            </w:pPr>
            <w:r>
              <w:rPr>
                <w:spacing w:val="-2"/>
                <w:sz w:val="23"/>
                <w:szCs w:val="23"/>
              </w:rPr>
              <w:t>86.25</w:t>
            </w:r>
          </w:p>
        </w:tc>
        <w:tc>
          <w:tcPr>
            <w:tcW w:w="1119" w:type="dxa"/>
            <w:vMerge w:val="continue"/>
            <w:tcBorders>
              <w:top w:val="nil"/>
            </w:tcBorders>
            <w:vAlign w:val="top"/>
          </w:tcPr>
          <w:p w14:paraId="0359E641">
            <w:pPr>
              <w:rPr>
                <w:rFonts w:ascii="Arial"/>
                <w:sz w:val="21"/>
              </w:rPr>
            </w:pPr>
          </w:p>
        </w:tc>
        <w:tc>
          <w:tcPr>
            <w:tcW w:w="899" w:type="dxa"/>
            <w:vAlign w:val="top"/>
          </w:tcPr>
          <w:p w14:paraId="71590020">
            <w:pPr>
              <w:pStyle w:val="6"/>
              <w:spacing w:before="252" w:line="239" w:lineRule="auto"/>
              <w:ind w:left="155"/>
              <w:rPr>
                <w:sz w:val="23"/>
                <w:szCs w:val="23"/>
              </w:rPr>
            </w:pPr>
            <w:r>
              <w:rPr>
                <w:spacing w:val="-2"/>
                <w:sz w:val="23"/>
                <w:szCs w:val="23"/>
              </w:rPr>
              <w:t>46.25</w:t>
            </w:r>
          </w:p>
        </w:tc>
        <w:tc>
          <w:tcPr>
            <w:tcW w:w="659" w:type="dxa"/>
            <w:vAlign w:val="top"/>
          </w:tcPr>
          <w:p w14:paraId="1DE9FABA">
            <w:pPr>
              <w:pStyle w:val="6"/>
              <w:spacing w:before="251"/>
              <w:ind w:left="206"/>
              <w:rPr>
                <w:sz w:val="23"/>
                <w:szCs w:val="23"/>
              </w:rPr>
            </w:pPr>
            <w:r>
              <w:rPr>
                <w:spacing w:val="-4"/>
                <w:sz w:val="23"/>
                <w:szCs w:val="23"/>
              </w:rPr>
              <w:t>52</w:t>
            </w:r>
          </w:p>
        </w:tc>
        <w:tc>
          <w:tcPr>
            <w:tcW w:w="879" w:type="dxa"/>
            <w:vAlign w:val="top"/>
          </w:tcPr>
          <w:p w14:paraId="2CB46B25">
            <w:pPr>
              <w:pStyle w:val="6"/>
              <w:spacing w:before="252" w:line="239" w:lineRule="auto"/>
              <w:ind w:left="147"/>
              <w:rPr>
                <w:sz w:val="23"/>
                <w:szCs w:val="23"/>
              </w:rPr>
            </w:pPr>
            <w:r>
              <w:rPr>
                <w:spacing w:val="-3"/>
                <w:sz w:val="23"/>
                <w:szCs w:val="23"/>
              </w:rPr>
              <w:t>53.02</w:t>
            </w:r>
          </w:p>
        </w:tc>
        <w:tc>
          <w:tcPr>
            <w:tcW w:w="709" w:type="dxa"/>
            <w:vAlign w:val="top"/>
          </w:tcPr>
          <w:p w14:paraId="379F0B51">
            <w:pPr>
              <w:pStyle w:val="6"/>
              <w:spacing w:before="251"/>
              <w:ind w:left="238"/>
              <w:rPr>
                <w:sz w:val="23"/>
                <w:szCs w:val="23"/>
              </w:rPr>
            </w:pPr>
            <w:r>
              <w:rPr>
                <w:spacing w:val="-4"/>
                <w:sz w:val="23"/>
                <w:szCs w:val="23"/>
              </w:rPr>
              <w:t>55</w:t>
            </w:r>
          </w:p>
        </w:tc>
        <w:tc>
          <w:tcPr>
            <w:tcW w:w="569" w:type="dxa"/>
            <w:vAlign w:val="top"/>
          </w:tcPr>
          <w:p w14:paraId="6D3A3218">
            <w:pPr>
              <w:pStyle w:val="6"/>
              <w:spacing w:before="230" w:line="220" w:lineRule="auto"/>
              <w:ind w:left="49"/>
              <w:rPr>
                <w:sz w:val="23"/>
                <w:szCs w:val="23"/>
              </w:rPr>
            </w:pPr>
            <w:r>
              <w:rPr>
                <w:spacing w:val="-3"/>
                <w:sz w:val="23"/>
                <w:szCs w:val="23"/>
              </w:rPr>
              <w:t>达标</w:t>
            </w:r>
          </w:p>
        </w:tc>
        <w:tc>
          <w:tcPr>
            <w:tcW w:w="195" w:type="dxa"/>
            <w:vMerge w:val="continue"/>
            <w:tcBorders>
              <w:top w:val="nil"/>
              <w:bottom w:val="nil"/>
            </w:tcBorders>
            <w:vAlign w:val="top"/>
          </w:tcPr>
          <w:p w14:paraId="23AD7410">
            <w:pPr>
              <w:rPr>
                <w:rFonts w:ascii="Arial"/>
                <w:sz w:val="21"/>
              </w:rPr>
            </w:pPr>
          </w:p>
        </w:tc>
      </w:tr>
      <w:tr w14:paraId="38CC1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884" w:type="dxa"/>
            <w:vMerge w:val="continue"/>
            <w:tcBorders>
              <w:top w:val="nil"/>
              <w:bottom w:val="nil"/>
            </w:tcBorders>
            <w:vAlign w:val="top"/>
          </w:tcPr>
          <w:p w14:paraId="58370413">
            <w:pPr>
              <w:rPr>
                <w:rFonts w:ascii="Arial"/>
                <w:sz w:val="21"/>
              </w:rPr>
            </w:pPr>
          </w:p>
        </w:tc>
        <w:tc>
          <w:tcPr>
            <w:tcW w:w="190" w:type="dxa"/>
            <w:vMerge w:val="continue"/>
            <w:tcBorders>
              <w:top w:val="nil"/>
              <w:bottom w:val="nil"/>
            </w:tcBorders>
            <w:vAlign w:val="top"/>
          </w:tcPr>
          <w:p w14:paraId="592CEF15">
            <w:pPr>
              <w:rPr>
                <w:rFonts w:ascii="Arial"/>
                <w:sz w:val="21"/>
              </w:rPr>
            </w:pPr>
          </w:p>
        </w:tc>
        <w:tc>
          <w:tcPr>
            <w:tcW w:w="1089" w:type="dxa"/>
            <w:vAlign w:val="top"/>
          </w:tcPr>
          <w:p w14:paraId="3F5CC667">
            <w:pPr>
              <w:pStyle w:val="6"/>
              <w:spacing w:before="39" w:line="194" w:lineRule="auto"/>
              <w:jc w:val="right"/>
              <w:rPr>
                <w:sz w:val="23"/>
                <w:szCs w:val="23"/>
              </w:rPr>
            </w:pPr>
            <w:r>
              <w:rPr>
                <w:spacing w:val="-17"/>
                <w:sz w:val="23"/>
                <w:szCs w:val="23"/>
              </w:rPr>
              <w:t>大地村散户</w:t>
            </w:r>
          </w:p>
          <w:p w14:paraId="3B028CD5">
            <w:pPr>
              <w:pStyle w:val="6"/>
              <w:spacing w:before="2" w:line="175" w:lineRule="auto"/>
              <w:ind w:left="11"/>
            </w:pPr>
            <w:r>
              <w:rPr>
                <w:spacing w:val="-14"/>
                <w:sz w:val="23"/>
                <w:szCs w:val="23"/>
              </w:rPr>
              <w:t>6(田间农户</w:t>
            </w:r>
            <w:r>
              <w:rPr>
                <w:sz w:val="23"/>
                <w:szCs w:val="23"/>
              </w:rPr>
              <w:t xml:space="preserve"> </w:t>
            </w:r>
            <w:r>
              <w:rPr>
                <w:spacing w:val="12"/>
              </w:rPr>
              <w:t>看地)</w:t>
            </w:r>
          </w:p>
        </w:tc>
        <w:tc>
          <w:tcPr>
            <w:tcW w:w="600" w:type="dxa"/>
            <w:vAlign w:val="top"/>
          </w:tcPr>
          <w:p w14:paraId="43ADFAE8">
            <w:pPr>
              <w:pStyle w:val="6"/>
              <w:spacing w:before="272"/>
              <w:ind w:left="172"/>
              <w:rPr>
                <w:sz w:val="23"/>
                <w:szCs w:val="23"/>
              </w:rPr>
            </w:pPr>
            <w:r>
              <w:rPr>
                <w:spacing w:val="-4"/>
                <w:sz w:val="23"/>
                <w:szCs w:val="23"/>
              </w:rPr>
              <w:t>53</w:t>
            </w:r>
          </w:p>
        </w:tc>
        <w:tc>
          <w:tcPr>
            <w:tcW w:w="629" w:type="dxa"/>
            <w:vAlign w:val="top"/>
          </w:tcPr>
          <w:p w14:paraId="545005BA">
            <w:pPr>
              <w:pStyle w:val="6"/>
              <w:spacing w:before="254" w:line="222" w:lineRule="auto"/>
              <w:ind w:left="72"/>
              <w:rPr>
                <w:sz w:val="23"/>
                <w:szCs w:val="23"/>
              </w:rPr>
            </w:pPr>
            <w:r>
              <w:rPr>
                <w:spacing w:val="11"/>
                <w:sz w:val="23"/>
                <w:szCs w:val="23"/>
              </w:rPr>
              <w:t>昼间</w:t>
            </w:r>
          </w:p>
        </w:tc>
        <w:tc>
          <w:tcPr>
            <w:tcW w:w="959" w:type="dxa"/>
            <w:vAlign w:val="top"/>
          </w:tcPr>
          <w:p w14:paraId="65B2668A">
            <w:pPr>
              <w:pStyle w:val="6"/>
              <w:spacing w:before="273" w:line="239" w:lineRule="auto"/>
              <w:ind w:left="183"/>
              <w:rPr>
                <w:sz w:val="23"/>
                <w:szCs w:val="23"/>
              </w:rPr>
            </w:pPr>
            <w:r>
              <w:rPr>
                <w:spacing w:val="-3"/>
                <w:sz w:val="23"/>
                <w:szCs w:val="23"/>
              </w:rPr>
              <w:t>57.78</w:t>
            </w:r>
          </w:p>
        </w:tc>
        <w:tc>
          <w:tcPr>
            <w:tcW w:w="1119" w:type="dxa"/>
            <w:vAlign w:val="top"/>
          </w:tcPr>
          <w:p w14:paraId="75365177">
            <w:pPr>
              <w:pStyle w:val="6"/>
              <w:spacing w:before="250" w:line="219" w:lineRule="auto"/>
              <w:ind w:left="94"/>
              <w:rPr>
                <w:sz w:val="23"/>
                <w:szCs w:val="23"/>
              </w:rPr>
            </w:pPr>
            <w:r>
              <w:rPr>
                <w:spacing w:val="4"/>
                <w:sz w:val="23"/>
                <w:szCs w:val="23"/>
              </w:rPr>
              <w:t>施工围挡</w:t>
            </w:r>
          </w:p>
        </w:tc>
        <w:tc>
          <w:tcPr>
            <w:tcW w:w="899" w:type="dxa"/>
            <w:vAlign w:val="top"/>
          </w:tcPr>
          <w:p w14:paraId="43F0DDF7">
            <w:pPr>
              <w:pStyle w:val="6"/>
              <w:spacing w:before="273" w:line="239" w:lineRule="auto"/>
              <w:ind w:left="155"/>
              <w:rPr>
                <w:sz w:val="23"/>
                <w:szCs w:val="23"/>
              </w:rPr>
            </w:pPr>
            <w:r>
              <w:rPr>
                <w:spacing w:val="-3"/>
                <w:sz w:val="23"/>
                <w:szCs w:val="23"/>
              </w:rPr>
              <w:t>37.78</w:t>
            </w:r>
          </w:p>
        </w:tc>
        <w:tc>
          <w:tcPr>
            <w:tcW w:w="659" w:type="dxa"/>
            <w:vAlign w:val="top"/>
          </w:tcPr>
          <w:p w14:paraId="4BFDE6FD">
            <w:pPr>
              <w:pStyle w:val="6"/>
              <w:spacing w:before="272"/>
              <w:ind w:left="206"/>
              <w:rPr>
                <w:sz w:val="23"/>
                <w:szCs w:val="23"/>
              </w:rPr>
            </w:pPr>
            <w:r>
              <w:rPr>
                <w:spacing w:val="-4"/>
                <w:sz w:val="23"/>
                <w:szCs w:val="23"/>
              </w:rPr>
              <w:t>52</w:t>
            </w:r>
          </w:p>
        </w:tc>
        <w:tc>
          <w:tcPr>
            <w:tcW w:w="879" w:type="dxa"/>
            <w:vAlign w:val="top"/>
          </w:tcPr>
          <w:p w14:paraId="00D21AC5">
            <w:pPr>
              <w:pStyle w:val="6"/>
              <w:spacing w:before="273" w:line="239" w:lineRule="auto"/>
              <w:ind w:left="147"/>
              <w:rPr>
                <w:sz w:val="23"/>
                <w:szCs w:val="23"/>
              </w:rPr>
            </w:pPr>
            <w:r>
              <w:rPr>
                <w:spacing w:val="-3"/>
                <w:sz w:val="23"/>
                <w:szCs w:val="23"/>
              </w:rPr>
              <w:t>52.16</w:t>
            </w:r>
          </w:p>
        </w:tc>
        <w:tc>
          <w:tcPr>
            <w:tcW w:w="709" w:type="dxa"/>
            <w:vAlign w:val="top"/>
          </w:tcPr>
          <w:p w14:paraId="279B402B">
            <w:pPr>
              <w:pStyle w:val="6"/>
              <w:spacing w:before="272"/>
              <w:ind w:left="238"/>
              <w:rPr>
                <w:sz w:val="23"/>
                <w:szCs w:val="23"/>
              </w:rPr>
            </w:pPr>
            <w:r>
              <w:rPr>
                <w:spacing w:val="-4"/>
                <w:sz w:val="23"/>
                <w:szCs w:val="23"/>
              </w:rPr>
              <w:t>55</w:t>
            </w:r>
          </w:p>
        </w:tc>
        <w:tc>
          <w:tcPr>
            <w:tcW w:w="569" w:type="dxa"/>
            <w:vAlign w:val="top"/>
          </w:tcPr>
          <w:p w14:paraId="0EB484A9">
            <w:pPr>
              <w:pStyle w:val="6"/>
              <w:spacing w:before="251" w:line="220" w:lineRule="auto"/>
              <w:ind w:left="49"/>
              <w:rPr>
                <w:sz w:val="23"/>
                <w:szCs w:val="23"/>
              </w:rPr>
            </w:pPr>
            <w:r>
              <w:rPr>
                <w:spacing w:val="-3"/>
                <w:sz w:val="23"/>
                <w:szCs w:val="23"/>
              </w:rPr>
              <w:t>达标</w:t>
            </w:r>
          </w:p>
        </w:tc>
        <w:tc>
          <w:tcPr>
            <w:tcW w:w="195" w:type="dxa"/>
            <w:vMerge w:val="continue"/>
            <w:tcBorders>
              <w:top w:val="nil"/>
              <w:bottom w:val="nil"/>
            </w:tcBorders>
            <w:vAlign w:val="top"/>
          </w:tcPr>
          <w:p w14:paraId="24DD7E22">
            <w:pPr>
              <w:rPr>
                <w:rFonts w:ascii="Arial"/>
                <w:sz w:val="21"/>
              </w:rPr>
            </w:pPr>
          </w:p>
        </w:tc>
      </w:tr>
      <w:tr w14:paraId="29FE3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884" w:type="dxa"/>
            <w:vMerge w:val="continue"/>
            <w:tcBorders>
              <w:top w:val="nil"/>
              <w:bottom w:val="nil"/>
            </w:tcBorders>
            <w:vAlign w:val="top"/>
          </w:tcPr>
          <w:p w14:paraId="39163B21">
            <w:pPr>
              <w:rPr>
                <w:rFonts w:ascii="Arial"/>
                <w:sz w:val="21"/>
              </w:rPr>
            </w:pPr>
          </w:p>
        </w:tc>
        <w:tc>
          <w:tcPr>
            <w:tcW w:w="190" w:type="dxa"/>
            <w:vMerge w:val="continue"/>
            <w:tcBorders>
              <w:top w:val="nil"/>
              <w:bottom w:val="nil"/>
            </w:tcBorders>
            <w:vAlign w:val="top"/>
          </w:tcPr>
          <w:p w14:paraId="70012445">
            <w:pPr>
              <w:rPr>
                <w:rFonts w:ascii="Arial"/>
                <w:sz w:val="21"/>
              </w:rPr>
            </w:pPr>
          </w:p>
        </w:tc>
        <w:tc>
          <w:tcPr>
            <w:tcW w:w="1089" w:type="dxa"/>
            <w:vAlign w:val="top"/>
          </w:tcPr>
          <w:p w14:paraId="13665538">
            <w:pPr>
              <w:pStyle w:val="6"/>
              <w:spacing w:before="79" w:line="194" w:lineRule="auto"/>
              <w:jc w:val="right"/>
              <w:rPr>
                <w:sz w:val="23"/>
                <w:szCs w:val="23"/>
              </w:rPr>
            </w:pPr>
            <w:r>
              <w:rPr>
                <w:spacing w:val="-17"/>
                <w:sz w:val="23"/>
                <w:szCs w:val="23"/>
              </w:rPr>
              <w:t>大地村散户</w:t>
            </w:r>
          </w:p>
          <w:p w14:paraId="6CF6D483">
            <w:pPr>
              <w:pStyle w:val="6"/>
              <w:spacing w:before="2" w:line="195" w:lineRule="auto"/>
              <w:ind w:left="11"/>
              <w:rPr>
                <w:sz w:val="23"/>
                <w:szCs w:val="23"/>
              </w:rPr>
            </w:pPr>
            <w:r>
              <w:rPr>
                <w:spacing w:val="-14"/>
                <w:sz w:val="23"/>
                <w:szCs w:val="23"/>
              </w:rPr>
              <w:t>7(田间农户</w:t>
            </w:r>
            <w:r>
              <w:rPr>
                <w:sz w:val="23"/>
                <w:szCs w:val="23"/>
              </w:rPr>
              <w:t xml:space="preserve"> </w:t>
            </w:r>
            <w:r>
              <w:rPr>
                <w:spacing w:val="10"/>
                <w:sz w:val="23"/>
                <w:szCs w:val="23"/>
              </w:rPr>
              <w:t>看地)</w:t>
            </w:r>
          </w:p>
        </w:tc>
        <w:tc>
          <w:tcPr>
            <w:tcW w:w="600" w:type="dxa"/>
            <w:vAlign w:val="top"/>
          </w:tcPr>
          <w:p w14:paraId="4D51295F">
            <w:pPr>
              <w:spacing w:line="247" w:lineRule="auto"/>
              <w:rPr>
                <w:rFonts w:ascii="Arial"/>
                <w:sz w:val="21"/>
              </w:rPr>
            </w:pPr>
          </w:p>
          <w:p w14:paraId="656EBFD4">
            <w:pPr>
              <w:pStyle w:val="6"/>
              <w:spacing w:before="74" w:line="241" w:lineRule="auto"/>
              <w:ind w:left="232"/>
              <w:rPr>
                <w:sz w:val="23"/>
                <w:szCs w:val="23"/>
              </w:rPr>
            </w:pPr>
            <w:r>
              <w:rPr>
                <w:sz w:val="23"/>
                <w:szCs w:val="23"/>
              </w:rPr>
              <w:t>1</w:t>
            </w:r>
          </w:p>
        </w:tc>
        <w:tc>
          <w:tcPr>
            <w:tcW w:w="629" w:type="dxa"/>
            <w:vAlign w:val="top"/>
          </w:tcPr>
          <w:p w14:paraId="71DF8418">
            <w:pPr>
              <w:pStyle w:val="6"/>
              <w:spacing w:before="304" w:line="222" w:lineRule="auto"/>
              <w:ind w:left="72"/>
              <w:rPr>
                <w:sz w:val="23"/>
                <w:szCs w:val="23"/>
              </w:rPr>
            </w:pPr>
            <w:r>
              <w:rPr>
                <w:spacing w:val="11"/>
                <w:sz w:val="23"/>
                <w:szCs w:val="23"/>
              </w:rPr>
              <w:t>昼间</w:t>
            </w:r>
          </w:p>
        </w:tc>
        <w:tc>
          <w:tcPr>
            <w:tcW w:w="959" w:type="dxa"/>
            <w:vAlign w:val="top"/>
          </w:tcPr>
          <w:p w14:paraId="40FD006E">
            <w:pPr>
              <w:spacing w:line="246" w:lineRule="auto"/>
              <w:rPr>
                <w:rFonts w:ascii="Arial"/>
                <w:sz w:val="21"/>
              </w:rPr>
            </w:pPr>
          </w:p>
          <w:p w14:paraId="6882CCE9">
            <w:pPr>
              <w:pStyle w:val="6"/>
              <w:spacing w:before="75" w:line="239" w:lineRule="auto"/>
              <w:ind w:left="183"/>
              <w:rPr>
                <w:sz w:val="23"/>
                <w:szCs w:val="23"/>
              </w:rPr>
            </w:pPr>
            <w:r>
              <w:rPr>
                <w:spacing w:val="-2"/>
                <w:sz w:val="23"/>
                <w:szCs w:val="23"/>
              </w:rPr>
              <w:t>92.27</w:t>
            </w:r>
          </w:p>
        </w:tc>
        <w:tc>
          <w:tcPr>
            <w:tcW w:w="1119" w:type="dxa"/>
            <w:vAlign w:val="top"/>
          </w:tcPr>
          <w:p w14:paraId="7BD22E44">
            <w:pPr>
              <w:pStyle w:val="6"/>
              <w:spacing w:before="20" w:line="219" w:lineRule="auto"/>
              <w:jc w:val="right"/>
              <w:rPr>
                <w:sz w:val="23"/>
                <w:szCs w:val="23"/>
              </w:rPr>
            </w:pPr>
            <w:r>
              <w:rPr>
                <w:spacing w:val="-12"/>
                <w:sz w:val="23"/>
                <w:szCs w:val="23"/>
              </w:rPr>
              <w:t>施工围挡、</w:t>
            </w:r>
          </w:p>
          <w:p w14:paraId="0EF34656">
            <w:pPr>
              <w:pStyle w:val="6"/>
              <w:spacing w:before="7" w:line="216" w:lineRule="auto"/>
              <w:ind w:left="94"/>
              <w:rPr>
                <w:sz w:val="23"/>
                <w:szCs w:val="23"/>
              </w:rPr>
            </w:pPr>
            <w:r>
              <w:rPr>
                <w:spacing w:val="4"/>
                <w:sz w:val="23"/>
                <w:szCs w:val="23"/>
              </w:rPr>
              <w:t>移动声屏</w:t>
            </w:r>
          </w:p>
          <w:p w14:paraId="47F97273">
            <w:pPr>
              <w:pStyle w:val="6"/>
              <w:spacing w:line="191" w:lineRule="auto"/>
              <w:ind w:left="434"/>
              <w:rPr>
                <w:sz w:val="23"/>
                <w:szCs w:val="23"/>
              </w:rPr>
            </w:pPr>
            <w:r>
              <w:rPr>
                <w:sz w:val="23"/>
                <w:szCs w:val="23"/>
              </w:rPr>
              <w:t>障</w:t>
            </w:r>
          </w:p>
        </w:tc>
        <w:tc>
          <w:tcPr>
            <w:tcW w:w="899" w:type="dxa"/>
            <w:vAlign w:val="top"/>
          </w:tcPr>
          <w:p w14:paraId="25822CF9">
            <w:pPr>
              <w:spacing w:line="246" w:lineRule="auto"/>
              <w:rPr>
                <w:rFonts w:ascii="Arial"/>
                <w:sz w:val="21"/>
              </w:rPr>
            </w:pPr>
          </w:p>
          <w:p w14:paraId="1BC1D1AA">
            <w:pPr>
              <w:pStyle w:val="6"/>
              <w:spacing w:before="75" w:line="239" w:lineRule="auto"/>
              <w:ind w:left="155"/>
              <w:rPr>
                <w:sz w:val="23"/>
                <w:szCs w:val="23"/>
              </w:rPr>
            </w:pPr>
            <w:r>
              <w:rPr>
                <w:spacing w:val="-3"/>
                <w:sz w:val="23"/>
                <w:szCs w:val="23"/>
              </w:rPr>
              <w:t>52.27</w:t>
            </w:r>
          </w:p>
        </w:tc>
        <w:tc>
          <w:tcPr>
            <w:tcW w:w="659" w:type="dxa"/>
            <w:vAlign w:val="top"/>
          </w:tcPr>
          <w:p w14:paraId="766D73AB">
            <w:pPr>
              <w:spacing w:line="246" w:lineRule="auto"/>
              <w:rPr>
                <w:rFonts w:ascii="Arial"/>
                <w:sz w:val="21"/>
              </w:rPr>
            </w:pPr>
          </w:p>
          <w:p w14:paraId="1ABD82CE">
            <w:pPr>
              <w:pStyle w:val="6"/>
              <w:spacing w:before="75"/>
              <w:ind w:left="206"/>
              <w:rPr>
                <w:sz w:val="23"/>
                <w:szCs w:val="23"/>
              </w:rPr>
            </w:pPr>
            <w:r>
              <w:rPr>
                <w:spacing w:val="-4"/>
                <w:sz w:val="23"/>
                <w:szCs w:val="23"/>
              </w:rPr>
              <w:t>50</w:t>
            </w:r>
          </w:p>
        </w:tc>
        <w:tc>
          <w:tcPr>
            <w:tcW w:w="879" w:type="dxa"/>
            <w:vAlign w:val="top"/>
          </w:tcPr>
          <w:p w14:paraId="2E243B63">
            <w:pPr>
              <w:spacing w:line="246" w:lineRule="auto"/>
              <w:rPr>
                <w:rFonts w:ascii="Arial"/>
                <w:sz w:val="21"/>
              </w:rPr>
            </w:pPr>
          </w:p>
          <w:p w14:paraId="7E9499C6">
            <w:pPr>
              <w:pStyle w:val="6"/>
              <w:spacing w:before="75" w:line="239" w:lineRule="auto"/>
              <w:ind w:left="147"/>
              <w:rPr>
                <w:sz w:val="23"/>
                <w:szCs w:val="23"/>
              </w:rPr>
            </w:pPr>
            <w:r>
              <w:rPr>
                <w:spacing w:val="-3"/>
                <w:sz w:val="23"/>
                <w:szCs w:val="23"/>
              </w:rPr>
              <w:t>54.29</w:t>
            </w:r>
          </w:p>
        </w:tc>
        <w:tc>
          <w:tcPr>
            <w:tcW w:w="709" w:type="dxa"/>
            <w:vAlign w:val="top"/>
          </w:tcPr>
          <w:p w14:paraId="79F4BC7E">
            <w:pPr>
              <w:spacing w:line="246" w:lineRule="auto"/>
              <w:rPr>
                <w:rFonts w:ascii="Arial"/>
                <w:sz w:val="21"/>
              </w:rPr>
            </w:pPr>
          </w:p>
          <w:p w14:paraId="69702FFE">
            <w:pPr>
              <w:pStyle w:val="6"/>
              <w:spacing w:before="75"/>
              <w:ind w:left="238"/>
              <w:rPr>
                <w:sz w:val="23"/>
                <w:szCs w:val="23"/>
              </w:rPr>
            </w:pPr>
            <w:r>
              <w:rPr>
                <w:spacing w:val="-4"/>
                <w:sz w:val="23"/>
                <w:szCs w:val="23"/>
              </w:rPr>
              <w:t>55</w:t>
            </w:r>
          </w:p>
        </w:tc>
        <w:tc>
          <w:tcPr>
            <w:tcW w:w="569" w:type="dxa"/>
            <w:vAlign w:val="top"/>
          </w:tcPr>
          <w:p w14:paraId="01E4CAEF">
            <w:pPr>
              <w:pStyle w:val="6"/>
              <w:spacing w:before="301" w:line="220" w:lineRule="auto"/>
              <w:ind w:left="49"/>
              <w:rPr>
                <w:sz w:val="23"/>
                <w:szCs w:val="23"/>
              </w:rPr>
            </w:pPr>
            <w:r>
              <w:rPr>
                <w:spacing w:val="-3"/>
                <w:sz w:val="23"/>
                <w:szCs w:val="23"/>
              </w:rPr>
              <w:t>达标</w:t>
            </w:r>
          </w:p>
        </w:tc>
        <w:tc>
          <w:tcPr>
            <w:tcW w:w="195" w:type="dxa"/>
            <w:vMerge w:val="continue"/>
            <w:tcBorders>
              <w:top w:val="nil"/>
              <w:bottom w:val="nil"/>
            </w:tcBorders>
            <w:vAlign w:val="top"/>
          </w:tcPr>
          <w:p w14:paraId="034583B2">
            <w:pPr>
              <w:rPr>
                <w:rFonts w:ascii="Arial"/>
                <w:sz w:val="21"/>
              </w:rPr>
            </w:pPr>
          </w:p>
        </w:tc>
      </w:tr>
      <w:tr w14:paraId="456A2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884" w:type="dxa"/>
            <w:vMerge w:val="continue"/>
            <w:tcBorders>
              <w:top w:val="nil"/>
              <w:bottom w:val="nil"/>
            </w:tcBorders>
            <w:vAlign w:val="top"/>
          </w:tcPr>
          <w:p w14:paraId="363D2822">
            <w:pPr>
              <w:rPr>
                <w:rFonts w:ascii="Arial"/>
                <w:sz w:val="21"/>
              </w:rPr>
            </w:pPr>
          </w:p>
        </w:tc>
        <w:tc>
          <w:tcPr>
            <w:tcW w:w="190" w:type="dxa"/>
            <w:vMerge w:val="continue"/>
            <w:tcBorders>
              <w:top w:val="nil"/>
              <w:bottom w:val="nil"/>
            </w:tcBorders>
            <w:vAlign w:val="top"/>
          </w:tcPr>
          <w:p w14:paraId="0584EBE4">
            <w:pPr>
              <w:rPr>
                <w:rFonts w:ascii="Arial"/>
                <w:sz w:val="21"/>
              </w:rPr>
            </w:pPr>
          </w:p>
        </w:tc>
        <w:tc>
          <w:tcPr>
            <w:tcW w:w="1089" w:type="dxa"/>
            <w:vAlign w:val="top"/>
          </w:tcPr>
          <w:p w14:paraId="0AF296DC">
            <w:pPr>
              <w:pStyle w:val="6"/>
              <w:spacing w:before="10" w:line="186" w:lineRule="auto"/>
              <w:jc w:val="right"/>
              <w:rPr>
                <w:sz w:val="23"/>
                <w:szCs w:val="23"/>
              </w:rPr>
            </w:pPr>
            <w:r>
              <w:rPr>
                <w:spacing w:val="-17"/>
                <w:sz w:val="23"/>
                <w:szCs w:val="23"/>
              </w:rPr>
              <w:t>大地村散户</w:t>
            </w:r>
          </w:p>
          <w:p w14:paraId="7D2E1D51">
            <w:pPr>
              <w:pStyle w:val="6"/>
              <w:spacing w:line="179" w:lineRule="auto"/>
              <w:ind w:left="11"/>
              <w:rPr>
                <w:sz w:val="23"/>
                <w:szCs w:val="23"/>
              </w:rPr>
            </w:pPr>
            <w:r>
              <w:rPr>
                <w:spacing w:val="-14"/>
                <w:sz w:val="23"/>
                <w:szCs w:val="23"/>
              </w:rPr>
              <w:t>9(田间农户</w:t>
            </w:r>
            <w:r>
              <w:rPr>
                <w:sz w:val="23"/>
                <w:szCs w:val="23"/>
              </w:rPr>
              <w:t xml:space="preserve"> </w:t>
            </w:r>
            <w:r>
              <w:rPr>
                <w:spacing w:val="10"/>
                <w:sz w:val="23"/>
                <w:szCs w:val="23"/>
              </w:rPr>
              <w:t>看地)</w:t>
            </w:r>
          </w:p>
        </w:tc>
        <w:tc>
          <w:tcPr>
            <w:tcW w:w="600" w:type="dxa"/>
            <w:vAlign w:val="top"/>
          </w:tcPr>
          <w:p w14:paraId="647D4CEA">
            <w:pPr>
              <w:pStyle w:val="6"/>
              <w:spacing w:before="263"/>
              <w:ind w:left="112"/>
              <w:rPr>
                <w:sz w:val="23"/>
                <w:szCs w:val="23"/>
              </w:rPr>
            </w:pPr>
            <w:r>
              <w:rPr>
                <w:spacing w:val="-6"/>
                <w:sz w:val="23"/>
                <w:szCs w:val="23"/>
              </w:rPr>
              <w:t>117</w:t>
            </w:r>
          </w:p>
        </w:tc>
        <w:tc>
          <w:tcPr>
            <w:tcW w:w="629" w:type="dxa"/>
            <w:vAlign w:val="top"/>
          </w:tcPr>
          <w:p w14:paraId="3264641A">
            <w:pPr>
              <w:pStyle w:val="6"/>
              <w:spacing w:before="245" w:line="222" w:lineRule="auto"/>
              <w:ind w:left="72"/>
              <w:rPr>
                <w:sz w:val="23"/>
                <w:szCs w:val="23"/>
              </w:rPr>
            </w:pPr>
            <w:r>
              <w:rPr>
                <w:spacing w:val="11"/>
                <w:sz w:val="23"/>
                <w:szCs w:val="23"/>
              </w:rPr>
              <w:t>昼间</w:t>
            </w:r>
          </w:p>
        </w:tc>
        <w:tc>
          <w:tcPr>
            <w:tcW w:w="959" w:type="dxa"/>
            <w:vAlign w:val="top"/>
          </w:tcPr>
          <w:p w14:paraId="1635F3F1">
            <w:pPr>
              <w:pStyle w:val="6"/>
              <w:spacing w:before="264" w:line="239" w:lineRule="auto"/>
              <w:ind w:left="183"/>
              <w:rPr>
                <w:sz w:val="23"/>
                <w:szCs w:val="23"/>
              </w:rPr>
            </w:pPr>
            <w:r>
              <w:rPr>
                <w:spacing w:val="-3"/>
                <w:sz w:val="23"/>
                <w:szCs w:val="23"/>
              </w:rPr>
              <w:t>59.24</w:t>
            </w:r>
          </w:p>
        </w:tc>
        <w:tc>
          <w:tcPr>
            <w:tcW w:w="1119" w:type="dxa"/>
            <w:vAlign w:val="top"/>
          </w:tcPr>
          <w:p w14:paraId="6F1EAFC7">
            <w:pPr>
              <w:pStyle w:val="6"/>
              <w:spacing w:before="241" w:line="219" w:lineRule="auto"/>
              <w:ind w:left="94"/>
              <w:rPr>
                <w:sz w:val="23"/>
                <w:szCs w:val="23"/>
              </w:rPr>
            </w:pPr>
            <w:r>
              <w:rPr>
                <w:spacing w:val="4"/>
                <w:sz w:val="23"/>
                <w:szCs w:val="23"/>
              </w:rPr>
              <w:t>施工围挡</w:t>
            </w:r>
          </w:p>
        </w:tc>
        <w:tc>
          <w:tcPr>
            <w:tcW w:w="899" w:type="dxa"/>
            <w:vAlign w:val="top"/>
          </w:tcPr>
          <w:p w14:paraId="784BF133">
            <w:pPr>
              <w:pStyle w:val="6"/>
              <w:spacing w:before="264" w:line="239" w:lineRule="auto"/>
              <w:ind w:left="155"/>
              <w:rPr>
                <w:sz w:val="23"/>
                <w:szCs w:val="23"/>
              </w:rPr>
            </w:pPr>
            <w:r>
              <w:rPr>
                <w:spacing w:val="-3"/>
                <w:sz w:val="23"/>
                <w:szCs w:val="23"/>
              </w:rPr>
              <w:t>39.24</w:t>
            </w:r>
          </w:p>
        </w:tc>
        <w:tc>
          <w:tcPr>
            <w:tcW w:w="659" w:type="dxa"/>
            <w:vAlign w:val="top"/>
          </w:tcPr>
          <w:p w14:paraId="4F5E9F33">
            <w:pPr>
              <w:pStyle w:val="6"/>
              <w:spacing w:before="263"/>
              <w:ind w:left="206"/>
              <w:rPr>
                <w:sz w:val="23"/>
                <w:szCs w:val="23"/>
              </w:rPr>
            </w:pPr>
            <w:r>
              <w:rPr>
                <w:spacing w:val="-4"/>
                <w:sz w:val="23"/>
                <w:szCs w:val="23"/>
              </w:rPr>
              <w:t>52</w:t>
            </w:r>
          </w:p>
        </w:tc>
        <w:tc>
          <w:tcPr>
            <w:tcW w:w="879" w:type="dxa"/>
            <w:vAlign w:val="top"/>
          </w:tcPr>
          <w:p w14:paraId="1ACCD12B">
            <w:pPr>
              <w:pStyle w:val="6"/>
              <w:spacing w:before="264" w:line="239" w:lineRule="auto"/>
              <w:ind w:left="147"/>
              <w:rPr>
                <w:sz w:val="23"/>
                <w:szCs w:val="23"/>
              </w:rPr>
            </w:pPr>
            <w:r>
              <w:rPr>
                <w:spacing w:val="-3"/>
                <w:sz w:val="23"/>
                <w:szCs w:val="23"/>
              </w:rPr>
              <w:t>52.22</w:t>
            </w:r>
          </w:p>
        </w:tc>
        <w:tc>
          <w:tcPr>
            <w:tcW w:w="709" w:type="dxa"/>
            <w:vAlign w:val="top"/>
          </w:tcPr>
          <w:p w14:paraId="2F72B19C">
            <w:pPr>
              <w:pStyle w:val="6"/>
              <w:spacing w:before="263"/>
              <w:ind w:left="238"/>
              <w:rPr>
                <w:sz w:val="23"/>
                <w:szCs w:val="23"/>
              </w:rPr>
            </w:pPr>
            <w:r>
              <w:rPr>
                <w:spacing w:val="-4"/>
                <w:sz w:val="23"/>
                <w:szCs w:val="23"/>
              </w:rPr>
              <w:t>55</w:t>
            </w:r>
          </w:p>
        </w:tc>
        <w:tc>
          <w:tcPr>
            <w:tcW w:w="569" w:type="dxa"/>
            <w:vAlign w:val="top"/>
          </w:tcPr>
          <w:p w14:paraId="1A9A592B">
            <w:pPr>
              <w:pStyle w:val="6"/>
              <w:spacing w:before="242" w:line="220" w:lineRule="auto"/>
              <w:ind w:left="49"/>
              <w:rPr>
                <w:sz w:val="23"/>
                <w:szCs w:val="23"/>
              </w:rPr>
            </w:pPr>
            <w:r>
              <w:rPr>
                <w:spacing w:val="-3"/>
                <w:sz w:val="23"/>
                <w:szCs w:val="23"/>
              </w:rPr>
              <w:t>达标</w:t>
            </w:r>
          </w:p>
        </w:tc>
        <w:tc>
          <w:tcPr>
            <w:tcW w:w="195" w:type="dxa"/>
            <w:vMerge w:val="continue"/>
            <w:tcBorders>
              <w:top w:val="nil"/>
              <w:bottom w:val="nil"/>
            </w:tcBorders>
            <w:vAlign w:val="top"/>
          </w:tcPr>
          <w:p w14:paraId="3004B537">
            <w:pPr>
              <w:rPr>
                <w:rFonts w:ascii="Arial"/>
                <w:sz w:val="21"/>
              </w:rPr>
            </w:pPr>
          </w:p>
        </w:tc>
      </w:tr>
      <w:tr w14:paraId="4EEE2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84" w:type="dxa"/>
            <w:vMerge w:val="continue"/>
            <w:tcBorders>
              <w:top w:val="nil"/>
              <w:bottom w:val="nil"/>
            </w:tcBorders>
            <w:vAlign w:val="top"/>
          </w:tcPr>
          <w:p w14:paraId="503CBE58">
            <w:pPr>
              <w:rPr>
                <w:rFonts w:ascii="Arial"/>
                <w:sz w:val="21"/>
              </w:rPr>
            </w:pPr>
          </w:p>
        </w:tc>
        <w:tc>
          <w:tcPr>
            <w:tcW w:w="190" w:type="dxa"/>
            <w:vMerge w:val="continue"/>
            <w:tcBorders>
              <w:top w:val="nil"/>
              <w:bottom w:val="nil"/>
            </w:tcBorders>
            <w:vAlign w:val="top"/>
          </w:tcPr>
          <w:p w14:paraId="02A20A58">
            <w:pPr>
              <w:rPr>
                <w:rFonts w:ascii="Arial"/>
                <w:sz w:val="21"/>
              </w:rPr>
            </w:pPr>
          </w:p>
        </w:tc>
        <w:tc>
          <w:tcPr>
            <w:tcW w:w="1089" w:type="dxa"/>
            <w:vAlign w:val="top"/>
          </w:tcPr>
          <w:p w14:paraId="26103DE4">
            <w:pPr>
              <w:pStyle w:val="6"/>
              <w:spacing w:before="52" w:line="207" w:lineRule="auto"/>
              <w:ind w:left="11"/>
              <w:rPr>
                <w:sz w:val="23"/>
                <w:szCs w:val="23"/>
              </w:rPr>
            </w:pPr>
            <w:r>
              <w:rPr>
                <w:spacing w:val="3"/>
                <w:sz w:val="23"/>
                <w:szCs w:val="23"/>
              </w:rPr>
              <w:t>小紫处</w:t>
            </w:r>
          </w:p>
        </w:tc>
        <w:tc>
          <w:tcPr>
            <w:tcW w:w="600" w:type="dxa"/>
            <w:vAlign w:val="top"/>
          </w:tcPr>
          <w:p w14:paraId="6DD31E40">
            <w:pPr>
              <w:pStyle w:val="6"/>
              <w:spacing w:before="75" w:line="188" w:lineRule="auto"/>
              <w:ind w:left="172"/>
              <w:rPr>
                <w:sz w:val="23"/>
                <w:szCs w:val="23"/>
              </w:rPr>
            </w:pPr>
            <w:r>
              <w:rPr>
                <w:spacing w:val="-4"/>
                <w:sz w:val="23"/>
                <w:szCs w:val="23"/>
              </w:rPr>
              <w:t>53</w:t>
            </w:r>
          </w:p>
        </w:tc>
        <w:tc>
          <w:tcPr>
            <w:tcW w:w="629" w:type="dxa"/>
            <w:vAlign w:val="top"/>
          </w:tcPr>
          <w:p w14:paraId="24A8AE25">
            <w:pPr>
              <w:pStyle w:val="6"/>
              <w:spacing w:before="55" w:line="204" w:lineRule="auto"/>
              <w:ind w:left="72"/>
              <w:rPr>
                <w:sz w:val="23"/>
                <w:szCs w:val="23"/>
              </w:rPr>
            </w:pPr>
            <w:r>
              <w:rPr>
                <w:spacing w:val="11"/>
                <w:sz w:val="23"/>
                <w:szCs w:val="23"/>
              </w:rPr>
              <w:t>昼间</w:t>
            </w:r>
          </w:p>
        </w:tc>
        <w:tc>
          <w:tcPr>
            <w:tcW w:w="959" w:type="dxa"/>
            <w:vAlign w:val="top"/>
          </w:tcPr>
          <w:p w14:paraId="04EF7880">
            <w:pPr>
              <w:pStyle w:val="6"/>
              <w:spacing w:before="75" w:line="188" w:lineRule="auto"/>
              <w:ind w:left="183"/>
              <w:rPr>
                <w:sz w:val="23"/>
                <w:szCs w:val="23"/>
              </w:rPr>
            </w:pPr>
            <w:r>
              <w:rPr>
                <w:spacing w:val="-3"/>
                <w:sz w:val="23"/>
                <w:szCs w:val="23"/>
              </w:rPr>
              <w:t>57.78</w:t>
            </w:r>
          </w:p>
        </w:tc>
        <w:tc>
          <w:tcPr>
            <w:tcW w:w="1119" w:type="dxa"/>
            <w:vAlign w:val="top"/>
          </w:tcPr>
          <w:p w14:paraId="2305A45F">
            <w:pPr>
              <w:pStyle w:val="6"/>
              <w:spacing w:before="52" w:line="207" w:lineRule="auto"/>
              <w:ind w:left="94"/>
              <w:rPr>
                <w:sz w:val="23"/>
                <w:szCs w:val="23"/>
              </w:rPr>
            </w:pPr>
            <w:r>
              <w:rPr>
                <w:spacing w:val="4"/>
                <w:sz w:val="23"/>
                <w:szCs w:val="23"/>
              </w:rPr>
              <w:t>施工围挡</w:t>
            </w:r>
          </w:p>
        </w:tc>
        <w:tc>
          <w:tcPr>
            <w:tcW w:w="899" w:type="dxa"/>
            <w:vAlign w:val="top"/>
          </w:tcPr>
          <w:p w14:paraId="0FAEC8C9">
            <w:pPr>
              <w:pStyle w:val="6"/>
              <w:spacing w:before="75" w:line="188" w:lineRule="auto"/>
              <w:ind w:left="155"/>
              <w:rPr>
                <w:sz w:val="23"/>
                <w:szCs w:val="23"/>
              </w:rPr>
            </w:pPr>
            <w:r>
              <w:rPr>
                <w:spacing w:val="-3"/>
                <w:sz w:val="23"/>
                <w:szCs w:val="23"/>
              </w:rPr>
              <w:t>37.78</w:t>
            </w:r>
          </w:p>
        </w:tc>
        <w:tc>
          <w:tcPr>
            <w:tcW w:w="659" w:type="dxa"/>
            <w:vAlign w:val="top"/>
          </w:tcPr>
          <w:p w14:paraId="64197601">
            <w:pPr>
              <w:pStyle w:val="6"/>
              <w:spacing w:before="75" w:line="188" w:lineRule="auto"/>
              <w:ind w:left="206"/>
              <w:rPr>
                <w:sz w:val="23"/>
                <w:szCs w:val="23"/>
              </w:rPr>
            </w:pPr>
            <w:r>
              <w:rPr>
                <w:spacing w:val="-4"/>
                <w:sz w:val="23"/>
                <w:szCs w:val="23"/>
              </w:rPr>
              <w:t>52</w:t>
            </w:r>
          </w:p>
        </w:tc>
        <w:tc>
          <w:tcPr>
            <w:tcW w:w="879" w:type="dxa"/>
            <w:vAlign w:val="top"/>
          </w:tcPr>
          <w:p w14:paraId="1FD28516">
            <w:pPr>
              <w:pStyle w:val="6"/>
              <w:spacing w:before="75" w:line="188" w:lineRule="auto"/>
              <w:ind w:left="147"/>
              <w:rPr>
                <w:sz w:val="23"/>
                <w:szCs w:val="23"/>
              </w:rPr>
            </w:pPr>
            <w:r>
              <w:rPr>
                <w:spacing w:val="-3"/>
                <w:sz w:val="23"/>
                <w:szCs w:val="23"/>
              </w:rPr>
              <w:t>52.16</w:t>
            </w:r>
          </w:p>
        </w:tc>
        <w:tc>
          <w:tcPr>
            <w:tcW w:w="709" w:type="dxa"/>
            <w:vAlign w:val="top"/>
          </w:tcPr>
          <w:p w14:paraId="0F4117C1">
            <w:pPr>
              <w:pStyle w:val="6"/>
              <w:spacing w:before="75" w:line="188" w:lineRule="auto"/>
              <w:ind w:left="238"/>
              <w:rPr>
                <w:sz w:val="23"/>
                <w:szCs w:val="23"/>
              </w:rPr>
            </w:pPr>
            <w:r>
              <w:rPr>
                <w:spacing w:val="-4"/>
                <w:sz w:val="23"/>
                <w:szCs w:val="23"/>
              </w:rPr>
              <w:t>55</w:t>
            </w:r>
          </w:p>
        </w:tc>
        <w:tc>
          <w:tcPr>
            <w:tcW w:w="569" w:type="dxa"/>
            <w:vAlign w:val="top"/>
          </w:tcPr>
          <w:p w14:paraId="1C350B04">
            <w:pPr>
              <w:pStyle w:val="6"/>
              <w:spacing w:before="53" w:line="206" w:lineRule="auto"/>
              <w:ind w:left="49"/>
              <w:rPr>
                <w:sz w:val="23"/>
                <w:szCs w:val="23"/>
              </w:rPr>
            </w:pPr>
            <w:r>
              <w:rPr>
                <w:spacing w:val="-3"/>
                <w:sz w:val="23"/>
                <w:szCs w:val="23"/>
              </w:rPr>
              <w:t>达标</w:t>
            </w:r>
          </w:p>
        </w:tc>
        <w:tc>
          <w:tcPr>
            <w:tcW w:w="195" w:type="dxa"/>
            <w:vMerge w:val="continue"/>
            <w:tcBorders>
              <w:top w:val="nil"/>
              <w:bottom w:val="nil"/>
            </w:tcBorders>
            <w:vAlign w:val="top"/>
          </w:tcPr>
          <w:p w14:paraId="5CBE9035">
            <w:pPr>
              <w:rPr>
                <w:rFonts w:ascii="Arial"/>
                <w:sz w:val="21"/>
              </w:rPr>
            </w:pPr>
          </w:p>
        </w:tc>
      </w:tr>
      <w:tr w14:paraId="02E3D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884" w:type="dxa"/>
            <w:vMerge w:val="continue"/>
            <w:tcBorders>
              <w:top w:val="nil"/>
              <w:bottom w:val="nil"/>
            </w:tcBorders>
            <w:vAlign w:val="top"/>
          </w:tcPr>
          <w:p w14:paraId="016E99A3">
            <w:pPr>
              <w:rPr>
                <w:rFonts w:ascii="Arial"/>
                <w:sz w:val="21"/>
              </w:rPr>
            </w:pPr>
          </w:p>
        </w:tc>
        <w:tc>
          <w:tcPr>
            <w:tcW w:w="190" w:type="dxa"/>
            <w:vMerge w:val="continue"/>
            <w:tcBorders>
              <w:top w:val="nil"/>
              <w:bottom w:val="nil"/>
            </w:tcBorders>
            <w:vAlign w:val="top"/>
          </w:tcPr>
          <w:p w14:paraId="2259D4DE">
            <w:pPr>
              <w:rPr>
                <w:rFonts w:ascii="Arial"/>
                <w:sz w:val="21"/>
              </w:rPr>
            </w:pPr>
          </w:p>
        </w:tc>
        <w:tc>
          <w:tcPr>
            <w:tcW w:w="1089" w:type="dxa"/>
            <w:vAlign w:val="top"/>
          </w:tcPr>
          <w:p w14:paraId="4C992FC3">
            <w:pPr>
              <w:pStyle w:val="6"/>
              <w:spacing w:before="21" w:line="184" w:lineRule="auto"/>
              <w:ind w:left="11" w:firstLine="9"/>
              <w:rPr>
                <w:sz w:val="19"/>
                <w:szCs w:val="19"/>
              </w:rPr>
            </w:pPr>
            <w:r>
              <w:rPr>
                <w:spacing w:val="-18"/>
                <w:w w:val="99"/>
                <w:sz w:val="23"/>
                <w:szCs w:val="23"/>
              </w:rPr>
              <w:t>橡子坡散户</w:t>
            </w:r>
            <w:r>
              <w:rPr>
                <w:spacing w:val="8"/>
                <w:sz w:val="23"/>
                <w:szCs w:val="23"/>
              </w:rPr>
              <w:t xml:space="preserve"> </w:t>
            </w:r>
            <w:r>
              <w:rPr>
                <w:sz w:val="19"/>
                <w:szCs w:val="19"/>
              </w:rPr>
              <w:t>1</w:t>
            </w:r>
          </w:p>
        </w:tc>
        <w:tc>
          <w:tcPr>
            <w:tcW w:w="600" w:type="dxa"/>
            <w:vAlign w:val="top"/>
          </w:tcPr>
          <w:p w14:paraId="7D35BC17">
            <w:pPr>
              <w:pStyle w:val="6"/>
              <w:spacing w:before="134"/>
              <w:ind w:left="172"/>
              <w:rPr>
                <w:sz w:val="23"/>
                <w:szCs w:val="23"/>
              </w:rPr>
            </w:pPr>
            <w:r>
              <w:rPr>
                <w:spacing w:val="-4"/>
                <w:sz w:val="23"/>
                <w:szCs w:val="23"/>
              </w:rPr>
              <w:t>30</w:t>
            </w:r>
          </w:p>
        </w:tc>
        <w:tc>
          <w:tcPr>
            <w:tcW w:w="629" w:type="dxa"/>
            <w:vAlign w:val="top"/>
          </w:tcPr>
          <w:p w14:paraId="26DBB070">
            <w:pPr>
              <w:pStyle w:val="6"/>
              <w:spacing w:before="116" w:line="222" w:lineRule="auto"/>
              <w:ind w:left="72"/>
              <w:rPr>
                <w:sz w:val="23"/>
                <w:szCs w:val="23"/>
              </w:rPr>
            </w:pPr>
            <w:r>
              <w:rPr>
                <w:spacing w:val="11"/>
                <w:sz w:val="23"/>
                <w:szCs w:val="23"/>
              </w:rPr>
              <w:t>昼间</w:t>
            </w:r>
          </w:p>
        </w:tc>
        <w:tc>
          <w:tcPr>
            <w:tcW w:w="959" w:type="dxa"/>
            <w:vAlign w:val="top"/>
          </w:tcPr>
          <w:p w14:paraId="4CBE0F7D">
            <w:pPr>
              <w:pStyle w:val="6"/>
              <w:spacing w:before="135" w:line="239" w:lineRule="auto"/>
              <w:ind w:left="183"/>
              <w:rPr>
                <w:sz w:val="23"/>
                <w:szCs w:val="23"/>
              </w:rPr>
            </w:pPr>
            <w:r>
              <w:rPr>
                <w:spacing w:val="-2"/>
                <w:sz w:val="23"/>
                <w:szCs w:val="23"/>
              </w:rPr>
              <w:t>62.73</w:t>
            </w:r>
          </w:p>
        </w:tc>
        <w:tc>
          <w:tcPr>
            <w:tcW w:w="1119" w:type="dxa"/>
            <w:vAlign w:val="top"/>
          </w:tcPr>
          <w:p w14:paraId="1414345F">
            <w:pPr>
              <w:pStyle w:val="6"/>
              <w:spacing w:before="112" w:line="219" w:lineRule="auto"/>
              <w:ind w:left="94"/>
              <w:rPr>
                <w:sz w:val="23"/>
                <w:szCs w:val="23"/>
              </w:rPr>
            </w:pPr>
            <w:r>
              <w:rPr>
                <w:spacing w:val="4"/>
                <w:sz w:val="23"/>
                <w:szCs w:val="23"/>
              </w:rPr>
              <w:t>施工围挡</w:t>
            </w:r>
          </w:p>
        </w:tc>
        <w:tc>
          <w:tcPr>
            <w:tcW w:w="899" w:type="dxa"/>
            <w:vAlign w:val="top"/>
          </w:tcPr>
          <w:p w14:paraId="5E36B1DE">
            <w:pPr>
              <w:pStyle w:val="6"/>
              <w:spacing w:before="135" w:line="239" w:lineRule="auto"/>
              <w:ind w:left="155"/>
              <w:rPr>
                <w:sz w:val="23"/>
                <w:szCs w:val="23"/>
              </w:rPr>
            </w:pPr>
            <w:r>
              <w:rPr>
                <w:spacing w:val="-2"/>
                <w:sz w:val="23"/>
                <w:szCs w:val="23"/>
              </w:rPr>
              <w:t>42.73</w:t>
            </w:r>
          </w:p>
        </w:tc>
        <w:tc>
          <w:tcPr>
            <w:tcW w:w="659" w:type="dxa"/>
            <w:vAlign w:val="top"/>
          </w:tcPr>
          <w:p w14:paraId="1C5D9629">
            <w:pPr>
              <w:pStyle w:val="6"/>
              <w:spacing w:before="134"/>
              <w:ind w:left="206"/>
              <w:rPr>
                <w:sz w:val="23"/>
                <w:szCs w:val="23"/>
              </w:rPr>
            </w:pPr>
            <w:r>
              <w:rPr>
                <w:spacing w:val="-3"/>
                <w:sz w:val="23"/>
                <w:szCs w:val="23"/>
              </w:rPr>
              <w:t>49</w:t>
            </w:r>
          </w:p>
        </w:tc>
        <w:tc>
          <w:tcPr>
            <w:tcW w:w="879" w:type="dxa"/>
            <w:vAlign w:val="top"/>
          </w:tcPr>
          <w:p w14:paraId="42CE008D">
            <w:pPr>
              <w:pStyle w:val="6"/>
              <w:spacing w:before="135" w:line="239" w:lineRule="auto"/>
              <w:ind w:left="147"/>
              <w:rPr>
                <w:sz w:val="23"/>
                <w:szCs w:val="23"/>
              </w:rPr>
            </w:pPr>
            <w:r>
              <w:rPr>
                <w:spacing w:val="-2"/>
                <w:sz w:val="23"/>
                <w:szCs w:val="23"/>
              </w:rPr>
              <w:t>49.92</w:t>
            </w:r>
          </w:p>
        </w:tc>
        <w:tc>
          <w:tcPr>
            <w:tcW w:w="709" w:type="dxa"/>
            <w:vAlign w:val="top"/>
          </w:tcPr>
          <w:p w14:paraId="1D1C7AC9">
            <w:pPr>
              <w:pStyle w:val="6"/>
              <w:spacing w:before="134"/>
              <w:ind w:left="238"/>
              <w:rPr>
                <w:sz w:val="23"/>
                <w:szCs w:val="23"/>
              </w:rPr>
            </w:pPr>
            <w:r>
              <w:rPr>
                <w:spacing w:val="-4"/>
                <w:sz w:val="23"/>
                <w:szCs w:val="23"/>
              </w:rPr>
              <w:t>55</w:t>
            </w:r>
          </w:p>
        </w:tc>
        <w:tc>
          <w:tcPr>
            <w:tcW w:w="569" w:type="dxa"/>
            <w:vAlign w:val="top"/>
          </w:tcPr>
          <w:p w14:paraId="2ED64427">
            <w:pPr>
              <w:pStyle w:val="6"/>
              <w:spacing w:before="113" w:line="220" w:lineRule="auto"/>
              <w:ind w:left="49"/>
              <w:rPr>
                <w:sz w:val="23"/>
                <w:szCs w:val="23"/>
              </w:rPr>
            </w:pPr>
            <w:r>
              <w:rPr>
                <w:spacing w:val="-3"/>
                <w:sz w:val="23"/>
                <w:szCs w:val="23"/>
              </w:rPr>
              <w:t>达标</w:t>
            </w:r>
          </w:p>
        </w:tc>
        <w:tc>
          <w:tcPr>
            <w:tcW w:w="195" w:type="dxa"/>
            <w:vMerge w:val="continue"/>
            <w:tcBorders>
              <w:top w:val="nil"/>
              <w:bottom w:val="nil"/>
            </w:tcBorders>
            <w:vAlign w:val="top"/>
          </w:tcPr>
          <w:p w14:paraId="4AF4FCA3">
            <w:pPr>
              <w:rPr>
                <w:rFonts w:ascii="Arial"/>
                <w:sz w:val="21"/>
              </w:rPr>
            </w:pPr>
          </w:p>
        </w:tc>
      </w:tr>
      <w:tr w14:paraId="736F4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884" w:type="dxa"/>
            <w:vMerge w:val="continue"/>
            <w:tcBorders>
              <w:top w:val="nil"/>
              <w:bottom w:val="nil"/>
            </w:tcBorders>
            <w:vAlign w:val="top"/>
          </w:tcPr>
          <w:p w14:paraId="3D3731A0">
            <w:pPr>
              <w:rPr>
                <w:rFonts w:ascii="Arial"/>
                <w:sz w:val="21"/>
              </w:rPr>
            </w:pPr>
          </w:p>
        </w:tc>
        <w:tc>
          <w:tcPr>
            <w:tcW w:w="190" w:type="dxa"/>
            <w:vMerge w:val="continue"/>
            <w:tcBorders>
              <w:top w:val="nil"/>
            </w:tcBorders>
            <w:vAlign w:val="top"/>
          </w:tcPr>
          <w:p w14:paraId="5C83C42B">
            <w:pPr>
              <w:rPr>
                <w:rFonts w:ascii="Arial"/>
                <w:sz w:val="21"/>
              </w:rPr>
            </w:pPr>
          </w:p>
        </w:tc>
        <w:tc>
          <w:tcPr>
            <w:tcW w:w="1089" w:type="dxa"/>
            <w:vAlign w:val="top"/>
          </w:tcPr>
          <w:p w14:paraId="4B35839D">
            <w:pPr>
              <w:pStyle w:val="6"/>
              <w:spacing w:before="12" w:line="193" w:lineRule="auto"/>
              <w:jc w:val="right"/>
              <w:rPr>
                <w:sz w:val="23"/>
                <w:szCs w:val="23"/>
              </w:rPr>
            </w:pPr>
            <w:r>
              <w:rPr>
                <w:spacing w:val="-17"/>
                <w:sz w:val="23"/>
                <w:szCs w:val="23"/>
              </w:rPr>
              <w:t>橡子坡散户</w:t>
            </w:r>
          </w:p>
          <w:p w14:paraId="5B35ACBE">
            <w:pPr>
              <w:pStyle w:val="6"/>
              <w:spacing w:before="2" w:line="174" w:lineRule="auto"/>
              <w:ind w:left="11"/>
              <w:rPr>
                <w:sz w:val="23"/>
                <w:szCs w:val="23"/>
              </w:rPr>
            </w:pPr>
            <w:r>
              <w:rPr>
                <w:spacing w:val="-14"/>
                <w:sz w:val="23"/>
                <w:szCs w:val="23"/>
              </w:rPr>
              <w:t>2(田间农户</w:t>
            </w:r>
            <w:r>
              <w:rPr>
                <w:sz w:val="23"/>
                <w:szCs w:val="23"/>
              </w:rPr>
              <w:t xml:space="preserve"> </w:t>
            </w:r>
            <w:r>
              <w:rPr>
                <w:spacing w:val="10"/>
                <w:sz w:val="23"/>
                <w:szCs w:val="23"/>
              </w:rPr>
              <w:t>看地)</w:t>
            </w:r>
          </w:p>
        </w:tc>
        <w:tc>
          <w:tcPr>
            <w:tcW w:w="600" w:type="dxa"/>
            <w:vAlign w:val="top"/>
          </w:tcPr>
          <w:p w14:paraId="5EBFD1DF">
            <w:pPr>
              <w:pStyle w:val="6"/>
              <w:spacing w:before="265" w:line="241" w:lineRule="auto"/>
              <w:ind w:left="172"/>
              <w:rPr>
                <w:sz w:val="23"/>
                <w:szCs w:val="23"/>
              </w:rPr>
            </w:pPr>
            <w:r>
              <w:rPr>
                <w:spacing w:val="-3"/>
                <w:sz w:val="23"/>
                <w:szCs w:val="23"/>
              </w:rPr>
              <w:t>22</w:t>
            </w:r>
          </w:p>
        </w:tc>
        <w:tc>
          <w:tcPr>
            <w:tcW w:w="629" w:type="dxa"/>
            <w:vAlign w:val="top"/>
          </w:tcPr>
          <w:p w14:paraId="729D1369">
            <w:pPr>
              <w:pStyle w:val="6"/>
              <w:spacing w:before="246" w:line="222" w:lineRule="auto"/>
              <w:ind w:left="72"/>
              <w:rPr>
                <w:sz w:val="23"/>
                <w:szCs w:val="23"/>
              </w:rPr>
            </w:pPr>
            <w:r>
              <w:rPr>
                <w:spacing w:val="11"/>
                <w:sz w:val="23"/>
                <w:szCs w:val="23"/>
              </w:rPr>
              <w:t>昼间</w:t>
            </w:r>
          </w:p>
        </w:tc>
        <w:tc>
          <w:tcPr>
            <w:tcW w:w="959" w:type="dxa"/>
            <w:vAlign w:val="top"/>
          </w:tcPr>
          <w:p w14:paraId="03DA4586">
            <w:pPr>
              <w:pStyle w:val="6"/>
              <w:spacing w:before="265" w:line="239" w:lineRule="auto"/>
              <w:ind w:left="183"/>
              <w:rPr>
                <w:sz w:val="23"/>
                <w:szCs w:val="23"/>
              </w:rPr>
            </w:pPr>
            <w:r>
              <w:rPr>
                <w:spacing w:val="-2"/>
                <w:sz w:val="23"/>
                <w:szCs w:val="23"/>
              </w:rPr>
              <w:t>65.42</w:t>
            </w:r>
          </w:p>
        </w:tc>
        <w:tc>
          <w:tcPr>
            <w:tcW w:w="1119" w:type="dxa"/>
            <w:vAlign w:val="top"/>
          </w:tcPr>
          <w:p w14:paraId="21208905">
            <w:pPr>
              <w:pStyle w:val="6"/>
              <w:spacing w:before="242" w:line="219" w:lineRule="auto"/>
              <w:ind w:left="94"/>
              <w:rPr>
                <w:sz w:val="23"/>
                <w:szCs w:val="23"/>
              </w:rPr>
            </w:pPr>
            <w:r>
              <w:rPr>
                <w:spacing w:val="4"/>
                <w:sz w:val="23"/>
                <w:szCs w:val="23"/>
              </w:rPr>
              <w:t>施工围挡</w:t>
            </w:r>
          </w:p>
        </w:tc>
        <w:tc>
          <w:tcPr>
            <w:tcW w:w="899" w:type="dxa"/>
            <w:vAlign w:val="top"/>
          </w:tcPr>
          <w:p w14:paraId="3EE87C91">
            <w:pPr>
              <w:pStyle w:val="6"/>
              <w:spacing w:before="265" w:line="239" w:lineRule="auto"/>
              <w:ind w:left="155"/>
              <w:rPr>
                <w:sz w:val="23"/>
                <w:szCs w:val="23"/>
              </w:rPr>
            </w:pPr>
            <w:r>
              <w:rPr>
                <w:spacing w:val="-2"/>
                <w:sz w:val="23"/>
                <w:szCs w:val="23"/>
              </w:rPr>
              <w:t>45.42</w:t>
            </w:r>
          </w:p>
        </w:tc>
        <w:tc>
          <w:tcPr>
            <w:tcW w:w="659" w:type="dxa"/>
            <w:vAlign w:val="top"/>
          </w:tcPr>
          <w:p w14:paraId="4FD8340F">
            <w:pPr>
              <w:pStyle w:val="6"/>
              <w:spacing w:before="264"/>
              <w:ind w:left="206"/>
              <w:rPr>
                <w:sz w:val="23"/>
                <w:szCs w:val="23"/>
              </w:rPr>
            </w:pPr>
            <w:r>
              <w:rPr>
                <w:spacing w:val="-3"/>
                <w:sz w:val="23"/>
                <w:szCs w:val="23"/>
              </w:rPr>
              <w:t>49</w:t>
            </w:r>
          </w:p>
        </w:tc>
        <w:tc>
          <w:tcPr>
            <w:tcW w:w="879" w:type="dxa"/>
            <w:vAlign w:val="top"/>
          </w:tcPr>
          <w:p w14:paraId="32B8C3C4">
            <w:pPr>
              <w:pStyle w:val="6"/>
              <w:spacing w:before="265" w:line="239" w:lineRule="auto"/>
              <w:ind w:left="147"/>
              <w:rPr>
                <w:sz w:val="23"/>
                <w:szCs w:val="23"/>
              </w:rPr>
            </w:pPr>
            <w:r>
              <w:rPr>
                <w:spacing w:val="-3"/>
                <w:sz w:val="23"/>
                <w:szCs w:val="23"/>
              </w:rPr>
              <w:t>50.58</w:t>
            </w:r>
          </w:p>
        </w:tc>
        <w:tc>
          <w:tcPr>
            <w:tcW w:w="709" w:type="dxa"/>
            <w:vAlign w:val="top"/>
          </w:tcPr>
          <w:p w14:paraId="35C1A60D">
            <w:pPr>
              <w:pStyle w:val="6"/>
              <w:spacing w:before="264"/>
              <w:ind w:left="238"/>
              <w:rPr>
                <w:sz w:val="23"/>
                <w:szCs w:val="23"/>
              </w:rPr>
            </w:pPr>
            <w:r>
              <w:rPr>
                <w:spacing w:val="-4"/>
                <w:sz w:val="23"/>
                <w:szCs w:val="23"/>
              </w:rPr>
              <w:t>55</w:t>
            </w:r>
          </w:p>
        </w:tc>
        <w:tc>
          <w:tcPr>
            <w:tcW w:w="569" w:type="dxa"/>
            <w:vAlign w:val="top"/>
          </w:tcPr>
          <w:p w14:paraId="23912C61">
            <w:pPr>
              <w:pStyle w:val="6"/>
              <w:spacing w:before="243" w:line="220" w:lineRule="auto"/>
              <w:ind w:left="49"/>
              <w:rPr>
                <w:sz w:val="23"/>
                <w:szCs w:val="23"/>
              </w:rPr>
            </w:pPr>
            <w:r>
              <w:rPr>
                <w:spacing w:val="-3"/>
                <w:sz w:val="23"/>
                <w:szCs w:val="23"/>
              </w:rPr>
              <w:t>达标</w:t>
            </w:r>
          </w:p>
        </w:tc>
        <w:tc>
          <w:tcPr>
            <w:tcW w:w="195" w:type="dxa"/>
            <w:vMerge w:val="continue"/>
            <w:tcBorders>
              <w:top w:val="nil"/>
            </w:tcBorders>
            <w:vAlign w:val="top"/>
          </w:tcPr>
          <w:p w14:paraId="7CF45AC7">
            <w:pPr>
              <w:rPr>
                <w:rFonts w:ascii="Arial"/>
                <w:sz w:val="21"/>
              </w:rPr>
            </w:pPr>
          </w:p>
        </w:tc>
      </w:tr>
      <w:tr w14:paraId="03376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8" w:hRule="atLeast"/>
        </w:trPr>
        <w:tc>
          <w:tcPr>
            <w:tcW w:w="884" w:type="dxa"/>
            <w:vMerge w:val="continue"/>
            <w:tcBorders>
              <w:top w:val="nil"/>
            </w:tcBorders>
            <w:vAlign w:val="top"/>
          </w:tcPr>
          <w:p w14:paraId="0B931B5F">
            <w:pPr>
              <w:rPr>
                <w:rFonts w:ascii="Arial"/>
                <w:sz w:val="21"/>
              </w:rPr>
            </w:pPr>
          </w:p>
        </w:tc>
        <w:tc>
          <w:tcPr>
            <w:tcW w:w="8496" w:type="dxa"/>
            <w:gridSpan w:val="12"/>
            <w:vAlign w:val="top"/>
          </w:tcPr>
          <w:p w14:paraId="1849FB7D">
            <w:pPr>
              <w:pStyle w:val="6"/>
              <w:spacing w:before="50" w:line="219" w:lineRule="auto"/>
              <w:ind w:left="514"/>
              <w:rPr>
                <w:sz w:val="23"/>
                <w:szCs w:val="23"/>
              </w:rPr>
            </w:pPr>
            <w:r>
              <w:rPr>
                <w:b/>
                <w:bCs/>
                <w:spacing w:val="-4"/>
                <w:sz w:val="23"/>
                <w:szCs w:val="23"/>
              </w:rPr>
              <w:t>注：项目夜间禁止施工。</w:t>
            </w:r>
          </w:p>
          <w:p w14:paraId="610DAE67">
            <w:pPr>
              <w:pStyle w:val="6"/>
              <w:spacing w:before="119" w:line="379" w:lineRule="auto"/>
              <w:ind w:left="121" w:right="308" w:firstLine="449"/>
              <w:rPr>
                <w:sz w:val="23"/>
                <w:szCs w:val="23"/>
              </w:rPr>
            </w:pPr>
            <w:r>
              <w:rPr>
                <w:sz w:val="23"/>
                <w:szCs w:val="23"/>
              </w:rPr>
              <w:t>根据上述预测结果表明，项目在施工阶段，通过在采取设置施工围挡及移动</w:t>
            </w:r>
            <w:r>
              <w:rPr>
                <w:spacing w:val="14"/>
                <w:sz w:val="23"/>
                <w:szCs w:val="23"/>
              </w:rPr>
              <w:t xml:space="preserve"> </w:t>
            </w:r>
            <w:r>
              <w:rPr>
                <w:spacing w:val="-1"/>
                <w:sz w:val="23"/>
                <w:szCs w:val="23"/>
              </w:rPr>
              <w:t>式隔声屏障后，本项目声环境保护目标声环境质量可满足《声环境质量标准》</w:t>
            </w:r>
          </w:p>
          <w:p w14:paraId="6CE088A2">
            <w:pPr>
              <w:pStyle w:val="6"/>
              <w:spacing w:before="6" w:line="219" w:lineRule="auto"/>
              <w:ind w:left="211"/>
              <w:rPr>
                <w:sz w:val="23"/>
                <w:szCs w:val="23"/>
              </w:rPr>
            </w:pPr>
            <w:r>
              <w:rPr>
                <w:spacing w:val="-1"/>
                <w:sz w:val="23"/>
                <w:szCs w:val="23"/>
              </w:rPr>
              <w:t>(GB3096-2008)1类和4a标准要求。</w:t>
            </w:r>
          </w:p>
          <w:p w14:paraId="607C2DEE">
            <w:pPr>
              <w:pStyle w:val="6"/>
              <w:spacing w:before="175" w:line="219" w:lineRule="auto"/>
              <w:ind w:left="501"/>
              <w:rPr>
                <w:sz w:val="23"/>
                <w:szCs w:val="23"/>
              </w:rPr>
            </w:pPr>
            <w:r>
              <w:rPr>
                <w:sz w:val="23"/>
                <w:szCs w:val="23"/>
              </w:rPr>
              <w:t>9#光伏阵列东侧、10#光伏阵列西侧、9#光伏阵列</w:t>
            </w:r>
            <w:r>
              <w:rPr>
                <w:spacing w:val="-1"/>
                <w:sz w:val="23"/>
                <w:szCs w:val="23"/>
              </w:rPr>
              <w:t>西北侧设置施工围挡、移</w:t>
            </w:r>
          </w:p>
          <w:p w14:paraId="4A7E72E9">
            <w:pPr>
              <w:pStyle w:val="6"/>
              <w:spacing w:before="207" w:line="219" w:lineRule="auto"/>
              <w:ind w:left="111"/>
              <w:rPr>
                <w:sz w:val="23"/>
                <w:szCs w:val="23"/>
              </w:rPr>
            </w:pPr>
            <w:r>
              <w:rPr>
                <w:sz w:val="23"/>
                <w:szCs w:val="23"/>
              </w:rPr>
              <w:t>动声屏障，8#光伏阵列南侧设置施工围挡，11#光伏阵列西南侧设置施工围挡，</w:t>
            </w:r>
          </w:p>
          <w:p w14:paraId="254CF82E">
            <w:pPr>
              <w:pStyle w:val="6"/>
              <w:spacing w:before="187" w:line="219" w:lineRule="auto"/>
              <w:ind w:left="121"/>
              <w:rPr>
                <w:sz w:val="23"/>
                <w:szCs w:val="23"/>
              </w:rPr>
            </w:pPr>
            <w:r>
              <w:rPr>
                <w:sz w:val="23"/>
                <w:szCs w:val="23"/>
              </w:rPr>
              <w:t>10#光伏阵列西北侧设置施工围挡，12#光伏阵列西侧设置施工围挡，16#光伏阵</w:t>
            </w:r>
          </w:p>
          <w:p w14:paraId="57408DEB">
            <w:pPr>
              <w:pStyle w:val="6"/>
              <w:spacing w:before="197" w:line="219" w:lineRule="auto"/>
              <w:ind w:left="211"/>
              <w:rPr>
                <w:sz w:val="23"/>
                <w:szCs w:val="23"/>
              </w:rPr>
            </w:pPr>
            <w:r>
              <w:rPr>
                <w:sz w:val="23"/>
                <w:szCs w:val="23"/>
              </w:rPr>
              <w:t>列北侧设置施工围挡、移动声屏障，18#光伏阵列北侧设置施工围挡，19#光伏阵</w:t>
            </w:r>
          </w:p>
          <w:p w14:paraId="5273D2B6">
            <w:pPr>
              <w:pStyle w:val="6"/>
              <w:spacing w:before="198" w:line="371" w:lineRule="auto"/>
              <w:ind w:left="81" w:right="213" w:firstLine="129"/>
              <w:rPr>
                <w:sz w:val="23"/>
                <w:szCs w:val="23"/>
              </w:rPr>
            </w:pPr>
            <w:r>
              <w:rPr>
                <w:sz w:val="23"/>
                <w:szCs w:val="23"/>
              </w:rPr>
              <w:t>列周边、20#光伏阵列西侧设置施工围挡、移动声屏障，20#光伏阵列西南侧、北</w:t>
            </w:r>
            <w:r>
              <w:rPr>
                <w:spacing w:val="10"/>
                <w:sz w:val="23"/>
                <w:szCs w:val="23"/>
              </w:rPr>
              <w:t xml:space="preserve"> </w:t>
            </w:r>
            <w:r>
              <w:rPr>
                <w:sz w:val="23"/>
                <w:szCs w:val="23"/>
              </w:rPr>
              <w:t>侧设置施工围挡，20#光伏阵列北侧设置施工围挡、移动声屏障，21#光伏阵列西</w:t>
            </w:r>
          </w:p>
          <w:p w14:paraId="220C5CB9">
            <w:pPr>
              <w:pStyle w:val="6"/>
              <w:spacing w:before="5" w:line="372" w:lineRule="auto"/>
              <w:ind w:left="111" w:right="213" w:firstLine="99"/>
              <w:rPr>
                <w:sz w:val="23"/>
                <w:szCs w:val="23"/>
              </w:rPr>
            </w:pPr>
            <w:r>
              <w:rPr>
                <w:sz w:val="23"/>
                <w:szCs w:val="23"/>
              </w:rPr>
              <w:t>南侧、24#光伏阵列西北侧、东南侧、24#光伏阵列北侧置施工围挡。如果要用备</w:t>
            </w:r>
            <w:r>
              <w:rPr>
                <w:spacing w:val="10"/>
                <w:sz w:val="23"/>
                <w:szCs w:val="23"/>
              </w:rPr>
              <w:t xml:space="preserve"> </w:t>
            </w:r>
            <w:r>
              <w:rPr>
                <w:spacing w:val="-1"/>
                <w:sz w:val="23"/>
                <w:szCs w:val="23"/>
              </w:rPr>
              <w:t>用地，需要在备用地2西侧设置施工围挡。</w:t>
            </w:r>
          </w:p>
          <w:p w14:paraId="410296A8">
            <w:pPr>
              <w:pStyle w:val="6"/>
              <w:spacing w:before="3" w:line="219" w:lineRule="auto"/>
              <w:ind w:left="671"/>
              <w:rPr>
                <w:sz w:val="23"/>
                <w:szCs w:val="23"/>
              </w:rPr>
            </w:pPr>
            <w:r>
              <w:rPr>
                <w:sz w:val="23"/>
                <w:szCs w:val="23"/>
              </w:rPr>
              <w:t>项目施工时间短，在上述单个村庄周边200m范围内光伏阵列施工时间较</w:t>
            </w:r>
          </w:p>
          <w:p w14:paraId="78C0DBAD">
            <w:pPr>
              <w:pStyle w:val="6"/>
              <w:spacing w:before="198" w:line="377" w:lineRule="auto"/>
              <w:ind w:left="121" w:right="422" w:hanging="10"/>
              <w:rPr>
                <w:sz w:val="23"/>
                <w:szCs w:val="23"/>
              </w:rPr>
            </w:pPr>
            <w:r>
              <w:rPr>
                <w:sz w:val="23"/>
                <w:szCs w:val="23"/>
              </w:rPr>
              <w:t>短，仅在5～10天左右。施工噪声影响是暂时的，随着施工结束这些影响也将消</w:t>
            </w:r>
            <w:r>
              <w:rPr>
                <w:spacing w:val="16"/>
                <w:sz w:val="23"/>
                <w:szCs w:val="23"/>
              </w:rPr>
              <w:t xml:space="preserve"> </w:t>
            </w:r>
            <w:r>
              <w:rPr>
                <w:spacing w:val="-1"/>
                <w:sz w:val="23"/>
                <w:szCs w:val="23"/>
              </w:rPr>
              <w:t>失，故施工噪声对周边环境影响可接受。</w:t>
            </w:r>
          </w:p>
          <w:p w14:paraId="16E52EFF">
            <w:pPr>
              <w:pStyle w:val="6"/>
              <w:spacing w:before="1" w:line="218" w:lineRule="auto"/>
              <w:ind w:left="501"/>
              <w:rPr>
                <w:sz w:val="23"/>
                <w:szCs w:val="23"/>
              </w:rPr>
            </w:pPr>
            <w:r>
              <w:rPr>
                <w:sz w:val="23"/>
                <w:szCs w:val="23"/>
              </w:rPr>
              <w:t>综上所述，项目在采取合理安排施工场地，将高噪声设备尽量</w:t>
            </w:r>
            <w:r>
              <w:rPr>
                <w:spacing w:val="-1"/>
                <w:sz w:val="23"/>
                <w:szCs w:val="23"/>
              </w:rPr>
              <w:t>远离居民区，</w:t>
            </w:r>
          </w:p>
          <w:p w14:paraId="7CA6AAD4">
            <w:pPr>
              <w:pStyle w:val="6"/>
              <w:spacing w:before="189" w:line="373" w:lineRule="auto"/>
              <w:ind w:left="111" w:right="234" w:firstLine="99"/>
              <w:rPr>
                <w:sz w:val="23"/>
                <w:szCs w:val="23"/>
              </w:rPr>
            </w:pPr>
            <w:r>
              <w:rPr>
                <w:sz w:val="23"/>
                <w:szCs w:val="23"/>
              </w:rPr>
              <w:t>合理规划施工时间、施工时序，禁止夜间施工，确需夜</w:t>
            </w:r>
            <w:r>
              <w:rPr>
                <w:spacing w:val="-1"/>
                <w:sz w:val="23"/>
                <w:szCs w:val="23"/>
              </w:rPr>
              <w:t>间施工的，须办理相关手</w:t>
            </w:r>
            <w:r>
              <w:rPr>
                <w:sz w:val="23"/>
                <w:szCs w:val="23"/>
              </w:rPr>
              <w:t xml:space="preserve"> 续，并公告周边居民等噪声防控措施后施工噪声对外环境的影响将进一步降低，</w:t>
            </w:r>
          </w:p>
          <w:p w14:paraId="3FDB32BA">
            <w:pPr>
              <w:pStyle w:val="6"/>
              <w:spacing w:line="219" w:lineRule="auto"/>
              <w:ind w:left="111"/>
              <w:rPr>
                <w:sz w:val="23"/>
                <w:szCs w:val="23"/>
              </w:rPr>
            </w:pPr>
            <w:r>
              <w:rPr>
                <w:spacing w:val="1"/>
                <w:sz w:val="23"/>
                <w:szCs w:val="23"/>
              </w:rPr>
              <w:t>确保施工场界噪声满足《建筑施工场界环境噪声排放标准》(</w:t>
            </w:r>
            <w:r>
              <w:rPr>
                <w:sz w:val="23"/>
                <w:szCs w:val="23"/>
              </w:rPr>
              <w:t>GB</w:t>
            </w:r>
            <w:r>
              <w:rPr>
                <w:spacing w:val="1"/>
                <w:sz w:val="23"/>
                <w:szCs w:val="23"/>
              </w:rPr>
              <w:t>12523-2011)</w:t>
            </w:r>
          </w:p>
        </w:tc>
      </w:tr>
    </w:tbl>
    <w:p w14:paraId="6F711531">
      <w:pPr>
        <w:pStyle w:val="2"/>
      </w:pPr>
    </w:p>
    <w:p w14:paraId="6C9E25BA">
      <w:pPr>
        <w:sectPr>
          <w:footerReference r:id="rId145" w:type="default"/>
          <w:pgSz w:w="11910" w:h="16830"/>
          <w:pgMar w:top="400" w:right="1284" w:bottom="1259" w:left="1234" w:header="0" w:footer="1079" w:gutter="0"/>
          <w:cols w:space="720" w:num="1"/>
        </w:sectPr>
      </w:pPr>
    </w:p>
    <w:p w14:paraId="303599F1">
      <w:pPr>
        <w:spacing w:before="18"/>
      </w:pPr>
    </w:p>
    <w:p w14:paraId="32EC6F98">
      <w:pPr>
        <w:spacing w:before="17"/>
      </w:pPr>
    </w:p>
    <w:p w14:paraId="4B08B2A5">
      <w:pPr>
        <w:spacing w:before="17"/>
      </w:pPr>
    </w:p>
    <w:p w14:paraId="0FF6FF95">
      <w:pPr>
        <w:spacing w:before="17"/>
      </w:pPr>
    </w:p>
    <w:tbl>
      <w:tblPr>
        <w:tblStyle w:val="5"/>
        <w:tblW w:w="936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20"/>
        <w:gridCol w:w="1568"/>
        <w:gridCol w:w="1379"/>
        <w:gridCol w:w="1868"/>
        <w:gridCol w:w="1758"/>
        <w:gridCol w:w="1648"/>
        <w:gridCol w:w="151"/>
      </w:tblGrid>
      <w:tr w14:paraId="526C2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7" w:hRule="atLeast"/>
        </w:trPr>
        <w:tc>
          <w:tcPr>
            <w:tcW w:w="874" w:type="dxa"/>
            <w:vMerge w:val="restart"/>
            <w:tcBorders>
              <w:bottom w:val="nil"/>
            </w:tcBorders>
            <w:vAlign w:val="top"/>
          </w:tcPr>
          <w:p w14:paraId="25284351">
            <w:pPr>
              <w:rPr>
                <w:rFonts w:ascii="Arial"/>
                <w:sz w:val="21"/>
              </w:rPr>
            </w:pPr>
          </w:p>
        </w:tc>
        <w:tc>
          <w:tcPr>
            <w:tcW w:w="8492" w:type="dxa"/>
            <w:gridSpan w:val="7"/>
            <w:vAlign w:val="top"/>
          </w:tcPr>
          <w:p w14:paraId="6ED2BC82">
            <w:pPr>
              <w:pStyle w:val="6"/>
              <w:spacing w:before="25" w:line="360" w:lineRule="auto"/>
              <w:ind w:left="91" w:right="35" w:hanging="60"/>
              <w:rPr>
                <w:sz w:val="24"/>
                <w:szCs w:val="24"/>
              </w:rPr>
            </w:pPr>
            <w:r>
              <w:rPr>
                <w:sz w:val="24"/>
                <w:szCs w:val="24"/>
              </w:rPr>
              <w:t>的要求，并且项目施工时间短，施工噪声影响将随施工结束而消失，故施工噪声</w:t>
            </w:r>
            <w:r>
              <w:rPr>
                <w:spacing w:val="14"/>
                <w:sz w:val="24"/>
                <w:szCs w:val="24"/>
              </w:rPr>
              <w:t xml:space="preserve"> </w:t>
            </w:r>
            <w:r>
              <w:rPr>
                <w:sz w:val="24"/>
                <w:szCs w:val="24"/>
              </w:rPr>
              <w:t>对周边环境影响可接受。</w:t>
            </w:r>
          </w:p>
          <w:p w14:paraId="2F95C987">
            <w:pPr>
              <w:pStyle w:val="6"/>
              <w:spacing w:line="219" w:lineRule="auto"/>
              <w:ind w:left="84"/>
              <w:rPr>
                <w:sz w:val="24"/>
                <w:szCs w:val="24"/>
              </w:rPr>
            </w:pPr>
            <w:r>
              <w:rPr>
                <w:b/>
                <w:bCs/>
                <w:spacing w:val="-4"/>
                <w:sz w:val="24"/>
                <w:szCs w:val="24"/>
              </w:rPr>
              <w:t>4.2运输噪声影响分析</w:t>
            </w:r>
          </w:p>
          <w:p w14:paraId="681437A7">
            <w:pPr>
              <w:pStyle w:val="6"/>
              <w:spacing w:before="187" w:line="359" w:lineRule="auto"/>
              <w:ind w:left="31" w:firstLine="549"/>
              <w:jc w:val="both"/>
              <w:rPr>
                <w:sz w:val="24"/>
                <w:szCs w:val="24"/>
              </w:rPr>
            </w:pPr>
            <w:r>
              <w:rPr>
                <w:spacing w:val="-1"/>
                <w:sz w:val="24"/>
                <w:szCs w:val="24"/>
              </w:rPr>
              <w:t>本工程运输的主要为光伏部件以及混凝土、钢筋和砂料等施工材料，运输车</w:t>
            </w:r>
            <w:r>
              <w:rPr>
                <w:spacing w:val="13"/>
                <w:sz w:val="24"/>
                <w:szCs w:val="24"/>
              </w:rPr>
              <w:t xml:space="preserve"> </w:t>
            </w:r>
            <w:r>
              <w:rPr>
                <w:sz w:val="24"/>
                <w:szCs w:val="24"/>
              </w:rPr>
              <w:t>辆多为大、中型车，设备、材料运输车辆行驶过程中产生交通噪声，对道路沿线</w:t>
            </w:r>
            <w:r>
              <w:rPr>
                <w:spacing w:val="7"/>
                <w:sz w:val="24"/>
                <w:szCs w:val="24"/>
              </w:rPr>
              <w:t xml:space="preserve"> 敏感点产生一定的影响。</w:t>
            </w:r>
          </w:p>
          <w:p w14:paraId="41A935A8">
            <w:pPr>
              <w:pStyle w:val="6"/>
              <w:spacing w:before="2" w:line="358" w:lineRule="auto"/>
              <w:ind w:left="31" w:firstLine="572"/>
              <w:jc w:val="both"/>
              <w:rPr>
                <w:sz w:val="24"/>
                <w:szCs w:val="24"/>
              </w:rPr>
            </w:pPr>
            <w:r>
              <w:rPr>
                <w:spacing w:val="-4"/>
                <w:sz w:val="24"/>
                <w:szCs w:val="24"/>
              </w:rPr>
              <w:t>由于物料运输利用现有道路及新建场内道路，沿线分布有</w:t>
            </w:r>
            <w:r>
              <w:rPr>
                <w:spacing w:val="-5"/>
                <w:sz w:val="24"/>
                <w:szCs w:val="24"/>
              </w:rPr>
              <w:t>不少村庄，有的村</w:t>
            </w:r>
            <w:r>
              <w:rPr>
                <w:sz w:val="24"/>
                <w:szCs w:val="24"/>
              </w:rPr>
              <w:t xml:space="preserve"> </w:t>
            </w:r>
            <w:r>
              <w:rPr>
                <w:spacing w:val="-3"/>
                <w:sz w:val="24"/>
                <w:szCs w:val="24"/>
              </w:rPr>
              <w:t>庄居民点直接分布于道路两侧，机电设备、物料运输过程中产生的噪声造成的影</w:t>
            </w:r>
            <w:r>
              <w:rPr>
                <w:spacing w:val="3"/>
                <w:sz w:val="24"/>
                <w:szCs w:val="24"/>
              </w:rPr>
              <w:t xml:space="preserve">  </w:t>
            </w:r>
            <w:r>
              <w:rPr>
                <w:spacing w:val="-3"/>
                <w:sz w:val="24"/>
                <w:szCs w:val="24"/>
              </w:rPr>
              <w:t>响是不可忽视的。位于运输道路两侧的栗树园村、发峨哨、上村子、发峨哨、放</w:t>
            </w:r>
            <w:r>
              <w:rPr>
                <w:spacing w:val="3"/>
                <w:sz w:val="24"/>
                <w:szCs w:val="24"/>
              </w:rPr>
              <w:t xml:space="preserve">  </w:t>
            </w:r>
            <w:r>
              <w:rPr>
                <w:spacing w:val="-3"/>
                <w:sz w:val="24"/>
                <w:szCs w:val="24"/>
              </w:rPr>
              <w:t>马沟、大地村、新村、大莫古、小紫处、橡子坡、小芭蕉等，容易受到交通噪声</w:t>
            </w:r>
            <w:r>
              <w:rPr>
                <w:spacing w:val="6"/>
                <w:sz w:val="24"/>
                <w:szCs w:val="24"/>
              </w:rPr>
              <w:t xml:space="preserve">  </w:t>
            </w:r>
            <w:r>
              <w:rPr>
                <w:spacing w:val="-3"/>
                <w:sz w:val="24"/>
                <w:szCs w:val="24"/>
              </w:rPr>
              <w:t>的影响。由于本工程施工运输交通量不大，交通噪声影响是短暂、非连续的。施</w:t>
            </w:r>
            <w:r>
              <w:rPr>
                <w:spacing w:val="3"/>
                <w:sz w:val="24"/>
                <w:szCs w:val="24"/>
              </w:rPr>
              <w:t xml:space="preserve">  </w:t>
            </w:r>
            <w:r>
              <w:rPr>
                <w:spacing w:val="-5"/>
                <w:sz w:val="24"/>
                <w:szCs w:val="24"/>
              </w:rPr>
              <w:t>工单位施工时需优化运输时间，物料和设备运输安排在昼</w:t>
            </w:r>
            <w:r>
              <w:rPr>
                <w:spacing w:val="-6"/>
                <w:sz w:val="24"/>
                <w:szCs w:val="24"/>
              </w:rPr>
              <w:t>间运输，禁止夜间运输；</w:t>
            </w:r>
            <w:r>
              <w:rPr>
                <w:sz w:val="24"/>
                <w:szCs w:val="24"/>
              </w:rPr>
              <w:t xml:space="preserve"> </w:t>
            </w:r>
            <w:r>
              <w:rPr>
                <w:spacing w:val="-3"/>
                <w:sz w:val="24"/>
                <w:szCs w:val="24"/>
              </w:rPr>
              <w:t>途经沿线居民点时注意控制车速、减速慢行，并禁</w:t>
            </w:r>
            <w:r>
              <w:rPr>
                <w:spacing w:val="-4"/>
                <w:sz w:val="24"/>
                <w:szCs w:val="24"/>
              </w:rPr>
              <w:t>止鸣笛。由于工程运输车流量</w:t>
            </w:r>
            <w:r>
              <w:rPr>
                <w:sz w:val="24"/>
                <w:szCs w:val="24"/>
              </w:rPr>
              <w:t xml:space="preserve">  </w:t>
            </w:r>
            <w:r>
              <w:rPr>
                <w:spacing w:val="-3"/>
                <w:sz w:val="24"/>
                <w:szCs w:val="24"/>
              </w:rPr>
              <w:t>不大，且运输噪声为短暂影响，施工结束后影响随即消除，在采取以上防治措施</w:t>
            </w:r>
            <w:r>
              <w:rPr>
                <w:spacing w:val="4"/>
                <w:sz w:val="24"/>
                <w:szCs w:val="24"/>
              </w:rPr>
              <w:t xml:space="preserve">  </w:t>
            </w:r>
            <w:r>
              <w:rPr>
                <w:spacing w:val="-1"/>
                <w:sz w:val="24"/>
                <w:szCs w:val="24"/>
              </w:rPr>
              <w:t>后，运输噪声对沿线敏感点声环境的影响在可接受的范围内。</w:t>
            </w:r>
          </w:p>
          <w:p w14:paraId="6BF10329">
            <w:pPr>
              <w:pStyle w:val="6"/>
              <w:spacing w:before="6" w:line="219" w:lineRule="auto"/>
              <w:ind w:left="84"/>
              <w:rPr>
                <w:sz w:val="24"/>
                <w:szCs w:val="24"/>
              </w:rPr>
            </w:pPr>
            <w:r>
              <w:rPr>
                <w:b/>
                <w:bCs/>
                <w:spacing w:val="-4"/>
                <w:sz w:val="24"/>
                <w:szCs w:val="24"/>
              </w:rPr>
              <w:t>5固体废弃物环境影响分析</w:t>
            </w:r>
          </w:p>
          <w:p w14:paraId="52DBF193">
            <w:pPr>
              <w:pStyle w:val="6"/>
              <w:spacing w:before="178" w:line="219" w:lineRule="auto"/>
              <w:ind w:left="571"/>
              <w:rPr>
                <w:sz w:val="24"/>
                <w:szCs w:val="24"/>
              </w:rPr>
            </w:pPr>
            <w:r>
              <w:rPr>
                <w:sz w:val="24"/>
                <w:szCs w:val="24"/>
              </w:rPr>
              <w:t>施工现场产生的固体废物主要为土石方和施工人员生活垃</w:t>
            </w:r>
            <w:r>
              <w:rPr>
                <w:spacing w:val="-1"/>
                <w:sz w:val="24"/>
                <w:szCs w:val="24"/>
              </w:rPr>
              <w:t>圾。</w:t>
            </w:r>
          </w:p>
          <w:p w14:paraId="62EF16C0">
            <w:pPr>
              <w:pStyle w:val="6"/>
              <w:spacing w:before="184" w:line="221" w:lineRule="auto"/>
              <w:ind w:left="74"/>
              <w:rPr>
                <w:sz w:val="24"/>
                <w:szCs w:val="24"/>
              </w:rPr>
            </w:pPr>
            <w:r>
              <w:rPr>
                <w:b/>
                <w:bCs/>
                <w:spacing w:val="-4"/>
                <w:sz w:val="24"/>
                <w:szCs w:val="24"/>
              </w:rPr>
              <w:t>5.1土石方</w:t>
            </w:r>
          </w:p>
          <w:p w14:paraId="2C169E06">
            <w:pPr>
              <w:pStyle w:val="6"/>
              <w:spacing w:before="181" w:line="219" w:lineRule="auto"/>
              <w:ind w:left="84"/>
              <w:rPr>
                <w:sz w:val="24"/>
                <w:szCs w:val="24"/>
              </w:rPr>
            </w:pPr>
            <w:r>
              <w:rPr>
                <w:b/>
                <w:bCs/>
                <w:spacing w:val="-4"/>
                <w:sz w:val="24"/>
                <w:szCs w:val="24"/>
              </w:rPr>
              <w:t>5.1.1剥离、收集表土</w:t>
            </w:r>
          </w:p>
          <w:p w14:paraId="22709E8B">
            <w:pPr>
              <w:pStyle w:val="6"/>
              <w:spacing w:before="175" w:line="216" w:lineRule="auto"/>
              <w:ind w:left="581"/>
              <w:rPr>
                <w:sz w:val="24"/>
                <w:szCs w:val="24"/>
              </w:rPr>
            </w:pPr>
            <w:r>
              <w:rPr>
                <w:spacing w:val="1"/>
                <w:sz w:val="24"/>
                <w:szCs w:val="24"/>
              </w:rPr>
              <w:t>根据《栗树园村光伏发电项目水土保持方案</w:t>
            </w:r>
            <w:r>
              <w:rPr>
                <w:sz w:val="24"/>
                <w:szCs w:val="24"/>
              </w:rPr>
              <w:t>报告书》(送审稿),受项目区</w:t>
            </w:r>
          </w:p>
          <w:p w14:paraId="284D0E9E">
            <w:pPr>
              <w:pStyle w:val="6"/>
              <w:spacing w:before="204" w:line="355" w:lineRule="auto"/>
              <w:ind w:left="101" w:right="31" w:hanging="70"/>
              <w:rPr>
                <w:sz w:val="24"/>
                <w:szCs w:val="24"/>
              </w:rPr>
            </w:pPr>
            <w:r>
              <w:rPr>
                <w:sz w:val="24"/>
                <w:szCs w:val="24"/>
              </w:rPr>
              <w:t>地形条件影响，表土分布厚度差异较大，表土剥离地类主要为草地，根据现场调</w:t>
            </w:r>
            <w:r>
              <w:rPr>
                <w:spacing w:val="18"/>
                <w:sz w:val="24"/>
                <w:szCs w:val="24"/>
              </w:rPr>
              <w:t xml:space="preserve"> </w:t>
            </w:r>
            <w:r>
              <w:rPr>
                <w:spacing w:val="2"/>
                <w:sz w:val="24"/>
                <w:szCs w:val="24"/>
              </w:rPr>
              <w:t>查，由于是荒草地，且有裸露岩石惨杂其中，草地表土</w:t>
            </w:r>
            <w:r>
              <w:rPr>
                <w:spacing w:val="1"/>
                <w:sz w:val="24"/>
                <w:szCs w:val="24"/>
              </w:rPr>
              <w:t>层约10~15</w:t>
            </w:r>
            <w:r>
              <w:rPr>
                <w:sz w:val="24"/>
                <w:szCs w:val="24"/>
              </w:rPr>
              <w:t>cm</w:t>
            </w:r>
            <w:r>
              <w:rPr>
                <w:spacing w:val="1"/>
                <w:sz w:val="24"/>
                <w:szCs w:val="24"/>
              </w:rPr>
              <w:t>,且表层土</w:t>
            </w:r>
            <w:r>
              <w:rPr>
                <w:sz w:val="24"/>
                <w:szCs w:val="24"/>
              </w:rPr>
              <w:t xml:space="preserve">  </w:t>
            </w:r>
            <w:r>
              <w:rPr>
                <w:spacing w:val="-1"/>
                <w:sz w:val="24"/>
                <w:szCs w:val="24"/>
              </w:rPr>
              <w:t>土质条件较差，多为砂砾石夹土。</w:t>
            </w:r>
          </w:p>
          <w:p w14:paraId="3C548B0C">
            <w:pPr>
              <w:pStyle w:val="6"/>
              <w:spacing w:before="2" w:line="220" w:lineRule="auto"/>
              <w:ind w:left="2974"/>
              <w:rPr>
                <w:sz w:val="24"/>
                <w:szCs w:val="24"/>
              </w:rPr>
            </w:pPr>
            <w:r>
              <w:rPr>
                <w:b/>
                <w:bCs/>
                <w:spacing w:val="-4"/>
                <w:sz w:val="24"/>
                <w:szCs w:val="24"/>
              </w:rPr>
              <w:t>表4-8可剥离表土分析表</w:t>
            </w:r>
          </w:p>
        </w:tc>
      </w:tr>
      <w:tr w14:paraId="35D70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874" w:type="dxa"/>
            <w:vMerge w:val="continue"/>
            <w:tcBorders>
              <w:top w:val="nil"/>
              <w:bottom w:val="nil"/>
            </w:tcBorders>
            <w:vAlign w:val="top"/>
          </w:tcPr>
          <w:p w14:paraId="6038F0A9">
            <w:pPr>
              <w:rPr>
                <w:rFonts w:ascii="Arial"/>
                <w:sz w:val="21"/>
              </w:rPr>
            </w:pPr>
          </w:p>
        </w:tc>
        <w:tc>
          <w:tcPr>
            <w:tcW w:w="120" w:type="dxa"/>
            <w:tcBorders>
              <w:bottom w:val="nil"/>
            </w:tcBorders>
            <w:vAlign w:val="top"/>
          </w:tcPr>
          <w:p w14:paraId="04F0F0AE">
            <w:pPr>
              <w:rPr>
                <w:rFonts w:ascii="Arial"/>
                <w:sz w:val="21"/>
              </w:rPr>
            </w:pPr>
          </w:p>
        </w:tc>
        <w:tc>
          <w:tcPr>
            <w:tcW w:w="1568" w:type="dxa"/>
            <w:vMerge w:val="restart"/>
            <w:tcBorders>
              <w:bottom w:val="nil"/>
            </w:tcBorders>
            <w:vAlign w:val="top"/>
          </w:tcPr>
          <w:p w14:paraId="6B2C416E">
            <w:pPr>
              <w:pStyle w:val="6"/>
              <w:spacing w:before="308" w:line="220" w:lineRule="auto"/>
              <w:ind w:left="291"/>
              <w:rPr>
                <w:sz w:val="24"/>
                <w:szCs w:val="24"/>
              </w:rPr>
            </w:pPr>
            <w:r>
              <w:rPr>
                <w:spacing w:val="2"/>
                <w:sz w:val="24"/>
                <w:szCs w:val="24"/>
              </w:rPr>
              <w:t>项目组成</w:t>
            </w:r>
          </w:p>
        </w:tc>
        <w:tc>
          <w:tcPr>
            <w:tcW w:w="1379" w:type="dxa"/>
            <w:vAlign w:val="top"/>
          </w:tcPr>
          <w:p w14:paraId="0F3C4092">
            <w:pPr>
              <w:pStyle w:val="6"/>
              <w:spacing w:before="38" w:line="210" w:lineRule="auto"/>
              <w:ind w:left="83"/>
              <w:rPr>
                <w:sz w:val="24"/>
                <w:szCs w:val="24"/>
              </w:rPr>
            </w:pPr>
            <w:r>
              <w:rPr>
                <w:spacing w:val="3"/>
                <w:sz w:val="24"/>
                <w:szCs w:val="24"/>
              </w:rPr>
              <w:t>可剥离面积</w:t>
            </w:r>
          </w:p>
          <w:p w14:paraId="2D9F7EEC">
            <w:pPr>
              <w:pStyle w:val="6"/>
              <w:spacing w:line="172" w:lineRule="exact"/>
              <w:ind w:left="323"/>
              <w:rPr>
                <w:sz w:val="24"/>
                <w:szCs w:val="24"/>
              </w:rPr>
            </w:pPr>
            <w:r>
              <w:rPr>
                <w:spacing w:val="-9"/>
                <w:position w:val="-1"/>
                <w:sz w:val="24"/>
                <w:szCs w:val="24"/>
              </w:rPr>
              <w:t>(hm²)</w:t>
            </w:r>
          </w:p>
        </w:tc>
        <w:tc>
          <w:tcPr>
            <w:tcW w:w="1868" w:type="dxa"/>
            <w:vAlign w:val="top"/>
          </w:tcPr>
          <w:p w14:paraId="537A5F46">
            <w:pPr>
              <w:pStyle w:val="6"/>
              <w:spacing w:before="158" w:line="220" w:lineRule="auto"/>
              <w:ind w:left="144"/>
              <w:rPr>
                <w:sz w:val="24"/>
                <w:szCs w:val="24"/>
              </w:rPr>
            </w:pPr>
            <w:r>
              <w:rPr>
                <w:spacing w:val="6"/>
                <w:sz w:val="24"/>
                <w:szCs w:val="24"/>
              </w:rPr>
              <w:t>可剥离厚度(m)</w:t>
            </w:r>
          </w:p>
        </w:tc>
        <w:tc>
          <w:tcPr>
            <w:tcW w:w="1758" w:type="dxa"/>
            <w:vMerge w:val="restart"/>
            <w:tcBorders>
              <w:bottom w:val="nil"/>
            </w:tcBorders>
            <w:vAlign w:val="top"/>
          </w:tcPr>
          <w:p w14:paraId="70916D2E">
            <w:pPr>
              <w:pStyle w:val="6"/>
              <w:spacing w:before="188" w:line="208" w:lineRule="auto"/>
              <w:ind w:left="156"/>
              <w:rPr>
                <w:sz w:val="24"/>
                <w:szCs w:val="24"/>
              </w:rPr>
            </w:pPr>
            <w:r>
              <w:rPr>
                <w:spacing w:val="1"/>
                <w:sz w:val="24"/>
                <w:szCs w:val="24"/>
              </w:rPr>
              <w:t>可剥离表土量</w:t>
            </w:r>
          </w:p>
          <w:p w14:paraId="108CB0A6">
            <w:pPr>
              <w:pStyle w:val="6"/>
              <w:spacing w:line="220" w:lineRule="auto"/>
              <w:ind w:left="456"/>
              <w:rPr>
                <w:sz w:val="24"/>
                <w:szCs w:val="24"/>
              </w:rPr>
            </w:pPr>
            <w:r>
              <w:rPr>
                <w:spacing w:val="-16"/>
                <w:sz w:val="24"/>
                <w:szCs w:val="24"/>
              </w:rPr>
              <w:t>(</w:t>
            </w:r>
            <w:r>
              <w:rPr>
                <w:spacing w:val="-45"/>
                <w:sz w:val="24"/>
                <w:szCs w:val="24"/>
              </w:rPr>
              <w:t xml:space="preserve"> </w:t>
            </w:r>
            <w:r>
              <w:rPr>
                <w:spacing w:val="-16"/>
                <w:sz w:val="24"/>
                <w:szCs w:val="24"/>
              </w:rPr>
              <w:t>万</w:t>
            </w:r>
            <w:r>
              <w:rPr>
                <w:spacing w:val="-62"/>
                <w:sz w:val="24"/>
                <w:szCs w:val="24"/>
              </w:rPr>
              <w:t xml:space="preserve"> </w:t>
            </w:r>
            <w:r>
              <w:rPr>
                <w:spacing w:val="-16"/>
                <w:sz w:val="24"/>
                <w:szCs w:val="24"/>
              </w:rPr>
              <w:t>m</w:t>
            </w:r>
            <w:r>
              <w:rPr>
                <w:spacing w:val="-58"/>
                <w:sz w:val="24"/>
                <w:szCs w:val="24"/>
              </w:rPr>
              <w:t xml:space="preserve"> </w:t>
            </w:r>
            <w:r>
              <w:rPr>
                <w:spacing w:val="-16"/>
                <w:sz w:val="24"/>
                <w:szCs w:val="24"/>
              </w:rPr>
              <w:t>³</w:t>
            </w:r>
            <w:r>
              <w:rPr>
                <w:spacing w:val="-54"/>
                <w:sz w:val="24"/>
                <w:szCs w:val="24"/>
              </w:rPr>
              <w:t xml:space="preserve"> </w:t>
            </w:r>
            <w:r>
              <w:rPr>
                <w:spacing w:val="-16"/>
                <w:sz w:val="24"/>
                <w:szCs w:val="24"/>
              </w:rPr>
              <w:t>)</w:t>
            </w:r>
          </w:p>
        </w:tc>
        <w:tc>
          <w:tcPr>
            <w:tcW w:w="1648" w:type="dxa"/>
            <w:vMerge w:val="restart"/>
            <w:tcBorders>
              <w:bottom w:val="nil"/>
            </w:tcBorders>
            <w:vAlign w:val="top"/>
          </w:tcPr>
          <w:p w14:paraId="361609EA">
            <w:pPr>
              <w:pStyle w:val="6"/>
              <w:spacing w:before="309" w:line="221" w:lineRule="auto"/>
              <w:ind w:left="578"/>
              <w:rPr>
                <w:sz w:val="24"/>
                <w:szCs w:val="24"/>
              </w:rPr>
            </w:pPr>
            <w:r>
              <w:rPr>
                <w:spacing w:val="6"/>
                <w:sz w:val="24"/>
                <w:szCs w:val="24"/>
              </w:rPr>
              <w:t>备注</w:t>
            </w:r>
          </w:p>
        </w:tc>
        <w:tc>
          <w:tcPr>
            <w:tcW w:w="151" w:type="dxa"/>
            <w:vMerge w:val="restart"/>
            <w:tcBorders>
              <w:bottom w:val="nil"/>
            </w:tcBorders>
            <w:vAlign w:val="top"/>
          </w:tcPr>
          <w:p w14:paraId="7012E9F9">
            <w:pPr>
              <w:rPr>
                <w:rFonts w:ascii="Arial"/>
                <w:sz w:val="21"/>
              </w:rPr>
            </w:pPr>
          </w:p>
        </w:tc>
      </w:tr>
      <w:tr w14:paraId="1B175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874" w:type="dxa"/>
            <w:vMerge w:val="continue"/>
            <w:tcBorders>
              <w:top w:val="nil"/>
              <w:bottom w:val="nil"/>
            </w:tcBorders>
            <w:vAlign w:val="top"/>
          </w:tcPr>
          <w:p w14:paraId="5A1CADEF">
            <w:pPr>
              <w:rPr>
                <w:rFonts w:ascii="Arial"/>
                <w:sz w:val="21"/>
              </w:rPr>
            </w:pPr>
          </w:p>
        </w:tc>
        <w:tc>
          <w:tcPr>
            <w:tcW w:w="120" w:type="dxa"/>
            <w:tcBorders>
              <w:top w:val="nil"/>
              <w:bottom w:val="nil"/>
            </w:tcBorders>
            <w:vAlign w:val="top"/>
          </w:tcPr>
          <w:p w14:paraId="24115DE9">
            <w:pPr>
              <w:rPr>
                <w:rFonts w:ascii="Arial"/>
                <w:sz w:val="21"/>
              </w:rPr>
            </w:pPr>
          </w:p>
        </w:tc>
        <w:tc>
          <w:tcPr>
            <w:tcW w:w="1568" w:type="dxa"/>
            <w:vMerge w:val="continue"/>
            <w:tcBorders>
              <w:top w:val="nil"/>
            </w:tcBorders>
            <w:vAlign w:val="top"/>
          </w:tcPr>
          <w:p w14:paraId="2DE732CD">
            <w:pPr>
              <w:rPr>
                <w:rFonts w:ascii="Arial"/>
                <w:sz w:val="21"/>
              </w:rPr>
            </w:pPr>
          </w:p>
        </w:tc>
        <w:tc>
          <w:tcPr>
            <w:tcW w:w="1379" w:type="dxa"/>
            <w:vAlign w:val="top"/>
          </w:tcPr>
          <w:p w14:paraId="0E7DE632">
            <w:pPr>
              <w:pStyle w:val="6"/>
              <w:spacing w:before="73" w:line="186" w:lineRule="auto"/>
              <w:ind w:left="443"/>
              <w:rPr>
                <w:sz w:val="24"/>
                <w:szCs w:val="24"/>
              </w:rPr>
            </w:pPr>
            <w:r>
              <w:rPr>
                <w:spacing w:val="4"/>
                <w:sz w:val="24"/>
                <w:szCs w:val="24"/>
              </w:rPr>
              <w:t>草地</w:t>
            </w:r>
          </w:p>
        </w:tc>
        <w:tc>
          <w:tcPr>
            <w:tcW w:w="1868" w:type="dxa"/>
            <w:vAlign w:val="top"/>
          </w:tcPr>
          <w:p w14:paraId="0E5AB0A5">
            <w:pPr>
              <w:pStyle w:val="6"/>
              <w:spacing w:before="73" w:line="186" w:lineRule="auto"/>
              <w:ind w:left="684"/>
              <w:rPr>
                <w:sz w:val="24"/>
                <w:szCs w:val="24"/>
              </w:rPr>
            </w:pPr>
            <w:r>
              <w:rPr>
                <w:spacing w:val="4"/>
                <w:sz w:val="24"/>
                <w:szCs w:val="24"/>
              </w:rPr>
              <w:t>草地</w:t>
            </w:r>
          </w:p>
        </w:tc>
        <w:tc>
          <w:tcPr>
            <w:tcW w:w="1758" w:type="dxa"/>
            <w:vMerge w:val="continue"/>
            <w:tcBorders>
              <w:top w:val="nil"/>
            </w:tcBorders>
            <w:vAlign w:val="top"/>
          </w:tcPr>
          <w:p w14:paraId="10556C47">
            <w:pPr>
              <w:rPr>
                <w:rFonts w:ascii="Arial"/>
                <w:sz w:val="21"/>
              </w:rPr>
            </w:pPr>
          </w:p>
        </w:tc>
        <w:tc>
          <w:tcPr>
            <w:tcW w:w="1648" w:type="dxa"/>
            <w:vMerge w:val="continue"/>
            <w:tcBorders>
              <w:top w:val="nil"/>
            </w:tcBorders>
            <w:vAlign w:val="top"/>
          </w:tcPr>
          <w:p w14:paraId="168C727D">
            <w:pPr>
              <w:rPr>
                <w:rFonts w:ascii="Arial"/>
                <w:sz w:val="21"/>
              </w:rPr>
            </w:pPr>
          </w:p>
        </w:tc>
        <w:tc>
          <w:tcPr>
            <w:tcW w:w="151" w:type="dxa"/>
            <w:vMerge w:val="continue"/>
            <w:tcBorders>
              <w:top w:val="nil"/>
              <w:bottom w:val="nil"/>
            </w:tcBorders>
            <w:vAlign w:val="top"/>
          </w:tcPr>
          <w:p w14:paraId="49DD889B">
            <w:pPr>
              <w:rPr>
                <w:rFonts w:ascii="Arial"/>
                <w:sz w:val="21"/>
              </w:rPr>
            </w:pPr>
          </w:p>
        </w:tc>
      </w:tr>
      <w:tr w14:paraId="20CAD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74" w:type="dxa"/>
            <w:vMerge w:val="continue"/>
            <w:tcBorders>
              <w:top w:val="nil"/>
              <w:bottom w:val="nil"/>
            </w:tcBorders>
            <w:vAlign w:val="top"/>
          </w:tcPr>
          <w:p w14:paraId="4E101CCF">
            <w:pPr>
              <w:rPr>
                <w:rFonts w:ascii="Arial"/>
                <w:sz w:val="21"/>
              </w:rPr>
            </w:pPr>
          </w:p>
        </w:tc>
        <w:tc>
          <w:tcPr>
            <w:tcW w:w="120" w:type="dxa"/>
            <w:tcBorders>
              <w:top w:val="nil"/>
              <w:bottom w:val="nil"/>
            </w:tcBorders>
            <w:vAlign w:val="top"/>
          </w:tcPr>
          <w:p w14:paraId="1113F3F6">
            <w:pPr>
              <w:rPr>
                <w:rFonts w:ascii="Arial"/>
                <w:sz w:val="21"/>
              </w:rPr>
            </w:pPr>
          </w:p>
        </w:tc>
        <w:tc>
          <w:tcPr>
            <w:tcW w:w="1568" w:type="dxa"/>
            <w:vAlign w:val="top"/>
          </w:tcPr>
          <w:p w14:paraId="4CEE7D04">
            <w:pPr>
              <w:pStyle w:val="6"/>
              <w:spacing w:before="40" w:line="192" w:lineRule="auto"/>
              <w:ind w:left="291"/>
              <w:rPr>
                <w:sz w:val="24"/>
                <w:szCs w:val="24"/>
              </w:rPr>
            </w:pPr>
            <w:r>
              <w:rPr>
                <w:spacing w:val="5"/>
                <w:sz w:val="24"/>
                <w:szCs w:val="24"/>
              </w:rPr>
              <w:t>升压站区</w:t>
            </w:r>
          </w:p>
        </w:tc>
        <w:tc>
          <w:tcPr>
            <w:tcW w:w="1379" w:type="dxa"/>
            <w:vAlign w:val="top"/>
          </w:tcPr>
          <w:p w14:paraId="5F6B12CA">
            <w:pPr>
              <w:pStyle w:val="6"/>
              <w:spacing w:before="62" w:line="175" w:lineRule="auto"/>
              <w:ind w:left="443"/>
              <w:rPr>
                <w:sz w:val="24"/>
                <w:szCs w:val="24"/>
              </w:rPr>
            </w:pPr>
            <w:r>
              <w:rPr>
                <w:spacing w:val="-3"/>
                <w:sz w:val="24"/>
                <w:szCs w:val="24"/>
              </w:rPr>
              <w:t>0.48</w:t>
            </w:r>
          </w:p>
        </w:tc>
        <w:tc>
          <w:tcPr>
            <w:tcW w:w="1868" w:type="dxa"/>
            <w:vAlign w:val="top"/>
          </w:tcPr>
          <w:p w14:paraId="2F5D10A5">
            <w:pPr>
              <w:pStyle w:val="6"/>
              <w:spacing w:before="62" w:line="175" w:lineRule="auto"/>
              <w:ind w:left="444"/>
              <w:rPr>
                <w:sz w:val="24"/>
                <w:szCs w:val="24"/>
              </w:rPr>
            </w:pPr>
            <w:r>
              <w:rPr>
                <w:spacing w:val="-2"/>
                <w:sz w:val="24"/>
                <w:szCs w:val="24"/>
              </w:rPr>
              <w:t>0.1-0.15</w:t>
            </w:r>
          </w:p>
        </w:tc>
        <w:tc>
          <w:tcPr>
            <w:tcW w:w="1758" w:type="dxa"/>
            <w:vAlign w:val="top"/>
          </w:tcPr>
          <w:p w14:paraId="2F245A06">
            <w:pPr>
              <w:pStyle w:val="6"/>
              <w:spacing w:before="62" w:line="175" w:lineRule="auto"/>
              <w:ind w:left="636"/>
              <w:rPr>
                <w:sz w:val="24"/>
                <w:szCs w:val="24"/>
              </w:rPr>
            </w:pPr>
            <w:r>
              <w:rPr>
                <w:spacing w:val="-3"/>
                <w:sz w:val="24"/>
                <w:szCs w:val="24"/>
              </w:rPr>
              <w:t>0.07</w:t>
            </w:r>
          </w:p>
        </w:tc>
        <w:tc>
          <w:tcPr>
            <w:tcW w:w="1648" w:type="dxa"/>
            <w:vAlign w:val="top"/>
          </w:tcPr>
          <w:p w14:paraId="1C042236">
            <w:pPr>
              <w:rPr>
                <w:rFonts w:ascii="Arial"/>
                <w:sz w:val="21"/>
              </w:rPr>
            </w:pPr>
          </w:p>
        </w:tc>
        <w:tc>
          <w:tcPr>
            <w:tcW w:w="151" w:type="dxa"/>
            <w:vMerge w:val="continue"/>
            <w:tcBorders>
              <w:top w:val="nil"/>
              <w:bottom w:val="nil"/>
            </w:tcBorders>
            <w:vAlign w:val="top"/>
          </w:tcPr>
          <w:p w14:paraId="6608CE7A">
            <w:pPr>
              <w:rPr>
                <w:rFonts w:ascii="Arial"/>
                <w:sz w:val="21"/>
              </w:rPr>
            </w:pPr>
          </w:p>
        </w:tc>
      </w:tr>
      <w:tr w14:paraId="46CF8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74" w:type="dxa"/>
            <w:vMerge w:val="continue"/>
            <w:tcBorders>
              <w:top w:val="nil"/>
              <w:bottom w:val="nil"/>
            </w:tcBorders>
            <w:vAlign w:val="top"/>
          </w:tcPr>
          <w:p w14:paraId="1AEFB4BF">
            <w:pPr>
              <w:rPr>
                <w:rFonts w:ascii="Arial"/>
                <w:sz w:val="21"/>
              </w:rPr>
            </w:pPr>
          </w:p>
        </w:tc>
        <w:tc>
          <w:tcPr>
            <w:tcW w:w="120" w:type="dxa"/>
            <w:tcBorders>
              <w:top w:val="nil"/>
              <w:bottom w:val="nil"/>
            </w:tcBorders>
            <w:vAlign w:val="top"/>
          </w:tcPr>
          <w:p w14:paraId="175072E9">
            <w:pPr>
              <w:rPr>
                <w:rFonts w:ascii="Arial"/>
                <w:sz w:val="21"/>
              </w:rPr>
            </w:pPr>
          </w:p>
        </w:tc>
        <w:tc>
          <w:tcPr>
            <w:tcW w:w="1568" w:type="dxa"/>
            <w:vAlign w:val="top"/>
          </w:tcPr>
          <w:p w14:paraId="4C60F0CB">
            <w:pPr>
              <w:pStyle w:val="6"/>
              <w:spacing w:before="38" w:line="186" w:lineRule="auto"/>
              <w:ind w:left="171"/>
              <w:rPr>
                <w:sz w:val="24"/>
                <w:szCs w:val="24"/>
              </w:rPr>
            </w:pPr>
            <w:r>
              <w:rPr>
                <w:spacing w:val="4"/>
                <w:sz w:val="24"/>
                <w:szCs w:val="24"/>
              </w:rPr>
              <w:t>集电线路区</w:t>
            </w:r>
          </w:p>
        </w:tc>
        <w:tc>
          <w:tcPr>
            <w:tcW w:w="1379" w:type="dxa"/>
            <w:vAlign w:val="top"/>
          </w:tcPr>
          <w:p w14:paraId="38ED3DCA">
            <w:pPr>
              <w:pStyle w:val="6"/>
              <w:spacing w:before="62" w:line="167" w:lineRule="auto"/>
              <w:ind w:left="443"/>
              <w:rPr>
                <w:sz w:val="24"/>
                <w:szCs w:val="24"/>
              </w:rPr>
            </w:pPr>
            <w:r>
              <w:rPr>
                <w:spacing w:val="-3"/>
                <w:sz w:val="24"/>
                <w:szCs w:val="24"/>
              </w:rPr>
              <w:t>2.94</w:t>
            </w:r>
          </w:p>
        </w:tc>
        <w:tc>
          <w:tcPr>
            <w:tcW w:w="1868" w:type="dxa"/>
            <w:vAlign w:val="top"/>
          </w:tcPr>
          <w:p w14:paraId="41FF748B">
            <w:pPr>
              <w:pStyle w:val="6"/>
              <w:spacing w:before="62" w:line="167" w:lineRule="auto"/>
              <w:ind w:left="444"/>
              <w:rPr>
                <w:sz w:val="24"/>
                <w:szCs w:val="24"/>
              </w:rPr>
            </w:pPr>
            <w:r>
              <w:rPr>
                <w:spacing w:val="-2"/>
                <w:sz w:val="24"/>
                <w:szCs w:val="24"/>
              </w:rPr>
              <w:t>0.1-0.15</w:t>
            </w:r>
          </w:p>
        </w:tc>
        <w:tc>
          <w:tcPr>
            <w:tcW w:w="1758" w:type="dxa"/>
            <w:vAlign w:val="top"/>
          </w:tcPr>
          <w:p w14:paraId="0F964113">
            <w:pPr>
              <w:pStyle w:val="6"/>
              <w:spacing w:before="62" w:line="167" w:lineRule="auto"/>
              <w:ind w:left="636"/>
              <w:rPr>
                <w:sz w:val="24"/>
                <w:szCs w:val="24"/>
              </w:rPr>
            </w:pPr>
            <w:r>
              <w:rPr>
                <w:spacing w:val="-3"/>
                <w:sz w:val="24"/>
                <w:szCs w:val="24"/>
              </w:rPr>
              <w:t>0.35</w:t>
            </w:r>
          </w:p>
        </w:tc>
        <w:tc>
          <w:tcPr>
            <w:tcW w:w="1648" w:type="dxa"/>
            <w:vAlign w:val="top"/>
          </w:tcPr>
          <w:p w14:paraId="7FD421AA">
            <w:pPr>
              <w:rPr>
                <w:rFonts w:ascii="Arial"/>
                <w:sz w:val="21"/>
              </w:rPr>
            </w:pPr>
          </w:p>
        </w:tc>
        <w:tc>
          <w:tcPr>
            <w:tcW w:w="151" w:type="dxa"/>
            <w:vMerge w:val="continue"/>
            <w:tcBorders>
              <w:top w:val="nil"/>
              <w:bottom w:val="nil"/>
            </w:tcBorders>
            <w:vAlign w:val="top"/>
          </w:tcPr>
          <w:p w14:paraId="0A74B797">
            <w:pPr>
              <w:rPr>
                <w:rFonts w:ascii="Arial"/>
                <w:sz w:val="21"/>
              </w:rPr>
            </w:pPr>
          </w:p>
        </w:tc>
      </w:tr>
      <w:tr w14:paraId="73A6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874" w:type="dxa"/>
            <w:vMerge w:val="continue"/>
            <w:tcBorders>
              <w:top w:val="nil"/>
              <w:bottom w:val="nil"/>
            </w:tcBorders>
            <w:vAlign w:val="top"/>
          </w:tcPr>
          <w:p w14:paraId="5B40E930">
            <w:pPr>
              <w:rPr>
                <w:rFonts w:ascii="Arial"/>
                <w:sz w:val="21"/>
              </w:rPr>
            </w:pPr>
          </w:p>
        </w:tc>
        <w:tc>
          <w:tcPr>
            <w:tcW w:w="120" w:type="dxa"/>
            <w:tcBorders>
              <w:top w:val="nil"/>
              <w:bottom w:val="nil"/>
            </w:tcBorders>
            <w:vAlign w:val="top"/>
          </w:tcPr>
          <w:p w14:paraId="15E98FDD">
            <w:pPr>
              <w:rPr>
                <w:rFonts w:ascii="Arial"/>
                <w:sz w:val="21"/>
              </w:rPr>
            </w:pPr>
          </w:p>
        </w:tc>
        <w:tc>
          <w:tcPr>
            <w:tcW w:w="1568" w:type="dxa"/>
            <w:vAlign w:val="top"/>
          </w:tcPr>
          <w:p w14:paraId="2759A72D">
            <w:pPr>
              <w:pStyle w:val="6"/>
              <w:spacing w:before="38" w:line="185" w:lineRule="auto"/>
              <w:ind w:left="171"/>
              <w:rPr>
                <w:sz w:val="24"/>
                <w:szCs w:val="24"/>
              </w:rPr>
            </w:pPr>
            <w:r>
              <w:rPr>
                <w:spacing w:val="4"/>
                <w:sz w:val="24"/>
                <w:szCs w:val="24"/>
              </w:rPr>
              <w:t>道路工程区</w:t>
            </w:r>
          </w:p>
        </w:tc>
        <w:tc>
          <w:tcPr>
            <w:tcW w:w="1379" w:type="dxa"/>
            <w:vAlign w:val="top"/>
          </w:tcPr>
          <w:p w14:paraId="75B1D2F0">
            <w:pPr>
              <w:pStyle w:val="6"/>
              <w:spacing w:before="63" w:line="166" w:lineRule="auto"/>
              <w:ind w:left="443"/>
              <w:rPr>
                <w:sz w:val="24"/>
                <w:szCs w:val="24"/>
              </w:rPr>
            </w:pPr>
            <w:r>
              <w:rPr>
                <w:spacing w:val="-3"/>
                <w:sz w:val="24"/>
                <w:szCs w:val="24"/>
              </w:rPr>
              <w:t>5.04</w:t>
            </w:r>
          </w:p>
        </w:tc>
        <w:tc>
          <w:tcPr>
            <w:tcW w:w="1868" w:type="dxa"/>
            <w:vAlign w:val="top"/>
          </w:tcPr>
          <w:p w14:paraId="71B420B0">
            <w:pPr>
              <w:pStyle w:val="6"/>
              <w:spacing w:before="63" w:line="166" w:lineRule="auto"/>
              <w:ind w:left="444"/>
              <w:rPr>
                <w:sz w:val="24"/>
                <w:szCs w:val="24"/>
              </w:rPr>
            </w:pPr>
            <w:r>
              <w:rPr>
                <w:spacing w:val="-2"/>
                <w:sz w:val="24"/>
                <w:szCs w:val="24"/>
              </w:rPr>
              <w:t>0.1-0.15</w:t>
            </w:r>
          </w:p>
        </w:tc>
        <w:tc>
          <w:tcPr>
            <w:tcW w:w="1758" w:type="dxa"/>
            <w:vAlign w:val="top"/>
          </w:tcPr>
          <w:p w14:paraId="4905A67A">
            <w:pPr>
              <w:pStyle w:val="6"/>
              <w:spacing w:before="63" w:line="166" w:lineRule="auto"/>
              <w:ind w:left="636"/>
              <w:rPr>
                <w:sz w:val="24"/>
                <w:szCs w:val="24"/>
              </w:rPr>
            </w:pPr>
            <w:r>
              <w:rPr>
                <w:spacing w:val="-3"/>
                <w:sz w:val="24"/>
                <w:szCs w:val="24"/>
              </w:rPr>
              <w:t>0.60</w:t>
            </w:r>
          </w:p>
        </w:tc>
        <w:tc>
          <w:tcPr>
            <w:tcW w:w="1648" w:type="dxa"/>
            <w:vAlign w:val="top"/>
          </w:tcPr>
          <w:p w14:paraId="1BD3DAA5">
            <w:pPr>
              <w:rPr>
                <w:rFonts w:ascii="Arial"/>
                <w:sz w:val="21"/>
              </w:rPr>
            </w:pPr>
          </w:p>
        </w:tc>
        <w:tc>
          <w:tcPr>
            <w:tcW w:w="151" w:type="dxa"/>
            <w:vMerge w:val="continue"/>
            <w:tcBorders>
              <w:top w:val="nil"/>
              <w:bottom w:val="nil"/>
            </w:tcBorders>
            <w:vAlign w:val="top"/>
          </w:tcPr>
          <w:p w14:paraId="4E8FDAEC">
            <w:pPr>
              <w:rPr>
                <w:rFonts w:ascii="Arial"/>
                <w:sz w:val="21"/>
              </w:rPr>
            </w:pPr>
          </w:p>
        </w:tc>
      </w:tr>
      <w:tr w14:paraId="06047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74" w:type="dxa"/>
            <w:vMerge w:val="continue"/>
            <w:tcBorders>
              <w:top w:val="nil"/>
              <w:bottom w:val="nil"/>
            </w:tcBorders>
            <w:vAlign w:val="top"/>
          </w:tcPr>
          <w:p w14:paraId="1B2B6BDD">
            <w:pPr>
              <w:rPr>
                <w:rFonts w:ascii="Arial"/>
                <w:sz w:val="21"/>
              </w:rPr>
            </w:pPr>
          </w:p>
        </w:tc>
        <w:tc>
          <w:tcPr>
            <w:tcW w:w="120" w:type="dxa"/>
            <w:tcBorders>
              <w:top w:val="nil"/>
              <w:bottom w:val="nil"/>
            </w:tcBorders>
            <w:vAlign w:val="top"/>
          </w:tcPr>
          <w:p w14:paraId="014610DE">
            <w:pPr>
              <w:rPr>
                <w:rFonts w:ascii="Arial"/>
                <w:sz w:val="21"/>
              </w:rPr>
            </w:pPr>
          </w:p>
        </w:tc>
        <w:tc>
          <w:tcPr>
            <w:tcW w:w="1568" w:type="dxa"/>
            <w:vAlign w:val="top"/>
          </w:tcPr>
          <w:p w14:paraId="45F1C2A3">
            <w:pPr>
              <w:pStyle w:val="6"/>
              <w:spacing w:before="160" w:line="220" w:lineRule="auto"/>
              <w:ind w:left="51"/>
              <w:rPr>
                <w:sz w:val="24"/>
                <w:szCs w:val="24"/>
              </w:rPr>
            </w:pPr>
            <w:r>
              <w:rPr>
                <w:spacing w:val="3"/>
                <w:sz w:val="24"/>
                <w:szCs w:val="24"/>
              </w:rPr>
              <w:t>施工营场地区</w:t>
            </w:r>
          </w:p>
        </w:tc>
        <w:tc>
          <w:tcPr>
            <w:tcW w:w="1379" w:type="dxa"/>
            <w:vAlign w:val="top"/>
          </w:tcPr>
          <w:p w14:paraId="186436B4">
            <w:pPr>
              <w:pStyle w:val="6"/>
              <w:spacing w:before="183" w:line="239" w:lineRule="auto"/>
              <w:ind w:left="443"/>
              <w:rPr>
                <w:sz w:val="24"/>
                <w:szCs w:val="24"/>
              </w:rPr>
            </w:pPr>
            <w:r>
              <w:rPr>
                <w:spacing w:val="-3"/>
                <w:sz w:val="24"/>
                <w:szCs w:val="24"/>
              </w:rPr>
              <w:t>0.45</w:t>
            </w:r>
          </w:p>
        </w:tc>
        <w:tc>
          <w:tcPr>
            <w:tcW w:w="1868" w:type="dxa"/>
            <w:vAlign w:val="top"/>
          </w:tcPr>
          <w:p w14:paraId="06A0FB1F">
            <w:pPr>
              <w:pStyle w:val="6"/>
              <w:spacing w:before="183" w:line="239" w:lineRule="auto"/>
              <w:ind w:left="444"/>
              <w:rPr>
                <w:sz w:val="24"/>
                <w:szCs w:val="24"/>
              </w:rPr>
            </w:pPr>
            <w:r>
              <w:rPr>
                <w:spacing w:val="-2"/>
                <w:sz w:val="24"/>
                <w:szCs w:val="24"/>
              </w:rPr>
              <w:t>0.1-0.15</w:t>
            </w:r>
          </w:p>
        </w:tc>
        <w:tc>
          <w:tcPr>
            <w:tcW w:w="1758" w:type="dxa"/>
            <w:vAlign w:val="top"/>
          </w:tcPr>
          <w:p w14:paraId="67DD6006">
            <w:pPr>
              <w:pStyle w:val="6"/>
              <w:spacing w:before="183" w:line="239" w:lineRule="auto"/>
              <w:ind w:left="636"/>
              <w:rPr>
                <w:sz w:val="24"/>
                <w:szCs w:val="24"/>
              </w:rPr>
            </w:pPr>
            <w:r>
              <w:rPr>
                <w:spacing w:val="-3"/>
                <w:sz w:val="24"/>
                <w:szCs w:val="24"/>
              </w:rPr>
              <w:t>0.06</w:t>
            </w:r>
          </w:p>
        </w:tc>
        <w:tc>
          <w:tcPr>
            <w:tcW w:w="1648" w:type="dxa"/>
            <w:vAlign w:val="top"/>
          </w:tcPr>
          <w:p w14:paraId="517BCD2D">
            <w:pPr>
              <w:pStyle w:val="6"/>
              <w:spacing w:before="37" w:line="189" w:lineRule="auto"/>
              <w:ind w:left="337" w:right="85" w:hanging="239"/>
              <w:rPr>
                <w:sz w:val="24"/>
                <w:szCs w:val="24"/>
              </w:rPr>
            </w:pPr>
            <w:r>
              <w:rPr>
                <w:spacing w:val="2"/>
                <w:sz w:val="24"/>
                <w:szCs w:val="24"/>
              </w:rPr>
              <w:t>位于光伏发电</w:t>
            </w:r>
            <w:r>
              <w:rPr>
                <w:spacing w:val="1"/>
                <w:sz w:val="24"/>
                <w:szCs w:val="24"/>
              </w:rPr>
              <w:t xml:space="preserve"> </w:t>
            </w:r>
            <w:r>
              <w:rPr>
                <w:spacing w:val="8"/>
                <w:sz w:val="24"/>
                <w:szCs w:val="24"/>
              </w:rPr>
              <w:t>区红线内</w:t>
            </w:r>
          </w:p>
        </w:tc>
        <w:tc>
          <w:tcPr>
            <w:tcW w:w="151" w:type="dxa"/>
            <w:vMerge w:val="continue"/>
            <w:tcBorders>
              <w:top w:val="nil"/>
              <w:bottom w:val="nil"/>
            </w:tcBorders>
            <w:vAlign w:val="top"/>
          </w:tcPr>
          <w:p w14:paraId="5CB6ECB8">
            <w:pPr>
              <w:rPr>
                <w:rFonts w:ascii="Arial"/>
                <w:sz w:val="21"/>
              </w:rPr>
            </w:pPr>
          </w:p>
        </w:tc>
      </w:tr>
      <w:tr w14:paraId="663B3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74" w:type="dxa"/>
            <w:vMerge w:val="continue"/>
            <w:tcBorders>
              <w:top w:val="nil"/>
            </w:tcBorders>
            <w:vAlign w:val="top"/>
          </w:tcPr>
          <w:p w14:paraId="7DDE92B1">
            <w:pPr>
              <w:rPr>
                <w:rFonts w:ascii="Arial"/>
                <w:sz w:val="21"/>
              </w:rPr>
            </w:pPr>
          </w:p>
        </w:tc>
        <w:tc>
          <w:tcPr>
            <w:tcW w:w="120" w:type="dxa"/>
            <w:tcBorders>
              <w:top w:val="nil"/>
            </w:tcBorders>
            <w:vAlign w:val="top"/>
          </w:tcPr>
          <w:p w14:paraId="2EBCC520">
            <w:pPr>
              <w:rPr>
                <w:rFonts w:ascii="Arial"/>
                <w:sz w:val="21"/>
              </w:rPr>
            </w:pPr>
          </w:p>
        </w:tc>
        <w:tc>
          <w:tcPr>
            <w:tcW w:w="1568" w:type="dxa"/>
            <w:vAlign w:val="top"/>
          </w:tcPr>
          <w:p w14:paraId="1E289C4F">
            <w:pPr>
              <w:pStyle w:val="6"/>
              <w:spacing w:before="52" w:line="194" w:lineRule="auto"/>
              <w:ind w:left="531"/>
              <w:rPr>
                <w:sz w:val="24"/>
                <w:szCs w:val="24"/>
              </w:rPr>
            </w:pPr>
            <w:r>
              <w:rPr>
                <w:spacing w:val="5"/>
                <w:sz w:val="24"/>
                <w:szCs w:val="24"/>
              </w:rPr>
              <w:t>合计</w:t>
            </w:r>
          </w:p>
        </w:tc>
        <w:tc>
          <w:tcPr>
            <w:tcW w:w="1379" w:type="dxa"/>
            <w:vAlign w:val="top"/>
          </w:tcPr>
          <w:p w14:paraId="50643571">
            <w:pPr>
              <w:pStyle w:val="6"/>
              <w:spacing w:before="74" w:line="177" w:lineRule="auto"/>
              <w:ind w:left="443"/>
              <w:rPr>
                <w:sz w:val="24"/>
                <w:szCs w:val="24"/>
              </w:rPr>
            </w:pPr>
            <w:r>
              <w:rPr>
                <w:spacing w:val="-2"/>
                <w:sz w:val="24"/>
                <w:szCs w:val="24"/>
              </w:rPr>
              <w:t>8.91</w:t>
            </w:r>
          </w:p>
        </w:tc>
        <w:tc>
          <w:tcPr>
            <w:tcW w:w="1868" w:type="dxa"/>
            <w:vAlign w:val="top"/>
          </w:tcPr>
          <w:p w14:paraId="5F28B8A6">
            <w:pPr>
              <w:rPr>
                <w:rFonts w:ascii="Arial"/>
                <w:sz w:val="21"/>
              </w:rPr>
            </w:pPr>
          </w:p>
        </w:tc>
        <w:tc>
          <w:tcPr>
            <w:tcW w:w="1758" w:type="dxa"/>
            <w:vAlign w:val="top"/>
          </w:tcPr>
          <w:p w14:paraId="3BDD1FF1">
            <w:pPr>
              <w:pStyle w:val="6"/>
              <w:spacing w:before="74" w:line="177" w:lineRule="auto"/>
              <w:ind w:left="636"/>
              <w:rPr>
                <w:sz w:val="24"/>
                <w:szCs w:val="24"/>
              </w:rPr>
            </w:pPr>
            <w:r>
              <w:rPr>
                <w:spacing w:val="-6"/>
                <w:sz w:val="24"/>
                <w:szCs w:val="24"/>
              </w:rPr>
              <w:t>1.08</w:t>
            </w:r>
          </w:p>
        </w:tc>
        <w:tc>
          <w:tcPr>
            <w:tcW w:w="1648" w:type="dxa"/>
            <w:vAlign w:val="top"/>
          </w:tcPr>
          <w:p w14:paraId="1C4A46DC">
            <w:pPr>
              <w:rPr>
                <w:rFonts w:ascii="Arial"/>
                <w:sz w:val="21"/>
              </w:rPr>
            </w:pPr>
          </w:p>
        </w:tc>
        <w:tc>
          <w:tcPr>
            <w:tcW w:w="151" w:type="dxa"/>
            <w:vMerge w:val="continue"/>
            <w:tcBorders>
              <w:top w:val="nil"/>
            </w:tcBorders>
            <w:vAlign w:val="top"/>
          </w:tcPr>
          <w:p w14:paraId="0B018DBA">
            <w:pPr>
              <w:rPr>
                <w:rFonts w:ascii="Arial"/>
                <w:sz w:val="21"/>
              </w:rPr>
            </w:pPr>
          </w:p>
        </w:tc>
      </w:tr>
    </w:tbl>
    <w:p w14:paraId="2B5CDC38">
      <w:pPr>
        <w:pStyle w:val="2"/>
      </w:pPr>
    </w:p>
    <w:p w14:paraId="5C955E53">
      <w:pPr>
        <w:sectPr>
          <w:footerReference r:id="rId146" w:type="default"/>
          <w:pgSz w:w="11910" w:h="16830"/>
          <w:pgMar w:top="400" w:right="1288" w:bottom="1259" w:left="1244" w:header="0" w:footer="1079" w:gutter="0"/>
          <w:cols w:space="720" w:num="1"/>
        </w:sectPr>
      </w:pPr>
    </w:p>
    <w:p w14:paraId="05DEFA9C">
      <w:pPr>
        <w:spacing w:before="15"/>
      </w:pPr>
    </w:p>
    <w:p w14:paraId="0BD578D4">
      <w:pPr>
        <w:spacing w:before="15"/>
      </w:pPr>
    </w:p>
    <w:p w14:paraId="54DB9400">
      <w:pPr>
        <w:spacing w:before="15"/>
      </w:pPr>
    </w:p>
    <w:p w14:paraId="53F11493">
      <w:pPr>
        <w:spacing w:before="14"/>
      </w:pPr>
    </w:p>
    <w:tbl>
      <w:tblPr>
        <w:tblStyle w:val="5"/>
        <w:tblW w:w="92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140"/>
        <w:gridCol w:w="619"/>
        <w:gridCol w:w="549"/>
        <w:gridCol w:w="579"/>
        <w:gridCol w:w="519"/>
        <w:gridCol w:w="569"/>
        <w:gridCol w:w="200"/>
        <w:gridCol w:w="270"/>
        <w:gridCol w:w="639"/>
        <w:gridCol w:w="599"/>
        <w:gridCol w:w="300"/>
        <w:gridCol w:w="410"/>
        <w:gridCol w:w="589"/>
        <w:gridCol w:w="869"/>
        <w:gridCol w:w="330"/>
        <w:gridCol w:w="360"/>
        <w:gridCol w:w="250"/>
        <w:gridCol w:w="100"/>
        <w:gridCol w:w="350"/>
        <w:gridCol w:w="145"/>
      </w:tblGrid>
      <w:tr w14:paraId="32072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1" w:hRule="atLeast"/>
        </w:trPr>
        <w:tc>
          <w:tcPr>
            <w:tcW w:w="884" w:type="dxa"/>
            <w:vMerge w:val="restart"/>
            <w:tcBorders>
              <w:bottom w:val="nil"/>
            </w:tcBorders>
            <w:vAlign w:val="top"/>
          </w:tcPr>
          <w:p w14:paraId="4E6CD47F">
            <w:pPr>
              <w:rPr>
                <w:rFonts w:ascii="Arial"/>
                <w:sz w:val="21"/>
              </w:rPr>
            </w:pPr>
          </w:p>
        </w:tc>
        <w:tc>
          <w:tcPr>
            <w:tcW w:w="8241" w:type="dxa"/>
            <w:gridSpan w:val="19"/>
            <w:vAlign w:val="top"/>
          </w:tcPr>
          <w:p w14:paraId="25573A0C">
            <w:pPr>
              <w:pStyle w:val="6"/>
              <w:spacing w:before="22" w:line="364" w:lineRule="auto"/>
              <w:ind w:left="11" w:firstLine="379"/>
              <w:rPr>
                <w:sz w:val="24"/>
                <w:szCs w:val="24"/>
              </w:rPr>
            </w:pPr>
            <w:r>
              <w:rPr>
                <w:spacing w:val="-3"/>
                <w:sz w:val="24"/>
                <w:szCs w:val="24"/>
              </w:rPr>
              <w:t>根据设计资料及各区实际情况，项目建设后期对升压站区绿化区域、光伏发</w:t>
            </w:r>
            <w:r>
              <w:rPr>
                <w:spacing w:val="17"/>
                <w:sz w:val="24"/>
                <w:szCs w:val="24"/>
              </w:rPr>
              <w:t xml:space="preserve"> </w:t>
            </w:r>
            <w:r>
              <w:rPr>
                <w:spacing w:val="-6"/>
                <w:sz w:val="24"/>
                <w:szCs w:val="24"/>
              </w:rPr>
              <w:t>电区施工扰动区域、集电线路区直埋电缆沟扰动区域、施工营场地区进行植被恢</w:t>
            </w:r>
            <w:r>
              <w:rPr>
                <w:spacing w:val="18"/>
                <w:sz w:val="24"/>
                <w:szCs w:val="24"/>
              </w:rPr>
              <w:t xml:space="preserve"> </w:t>
            </w:r>
            <w:r>
              <w:rPr>
                <w:spacing w:val="2"/>
                <w:sz w:val="24"/>
                <w:szCs w:val="24"/>
              </w:rPr>
              <w:t>复，植被恢复面积为14.55</w:t>
            </w:r>
            <w:r>
              <w:rPr>
                <w:sz w:val="24"/>
                <w:szCs w:val="24"/>
              </w:rPr>
              <w:t>hm</w:t>
            </w:r>
            <w:r>
              <w:rPr>
                <w:spacing w:val="2"/>
                <w:sz w:val="24"/>
                <w:szCs w:val="24"/>
              </w:rPr>
              <w:t>²。其中升压站区</w:t>
            </w:r>
            <w:r>
              <w:rPr>
                <w:spacing w:val="1"/>
                <w:sz w:val="24"/>
                <w:szCs w:val="24"/>
              </w:rPr>
              <w:t>、集电线路区、道路工程区、施</w:t>
            </w:r>
            <w:r>
              <w:rPr>
                <w:sz w:val="24"/>
                <w:szCs w:val="24"/>
              </w:rPr>
              <w:t xml:space="preserve"> </w:t>
            </w:r>
            <w:r>
              <w:rPr>
                <w:spacing w:val="4"/>
                <w:sz w:val="24"/>
                <w:szCs w:val="24"/>
              </w:rPr>
              <w:t>工营场地区域需要进行覆土，覆土面积3.</w:t>
            </w:r>
            <w:r>
              <w:rPr>
                <w:spacing w:val="3"/>
                <w:sz w:val="24"/>
                <w:szCs w:val="24"/>
              </w:rPr>
              <w:t>87</w:t>
            </w:r>
            <w:r>
              <w:rPr>
                <w:sz w:val="24"/>
                <w:szCs w:val="24"/>
              </w:rPr>
              <w:t>hm</w:t>
            </w:r>
            <w:r>
              <w:rPr>
                <w:spacing w:val="3"/>
                <w:sz w:val="24"/>
                <w:szCs w:val="24"/>
              </w:rPr>
              <w:t>²,根据区域不同覆土厚度在</w:t>
            </w:r>
          </w:p>
          <w:p w14:paraId="05D1841E">
            <w:pPr>
              <w:pStyle w:val="6"/>
              <w:spacing w:before="10" w:line="219" w:lineRule="auto"/>
              <w:ind w:left="11"/>
              <w:rPr>
                <w:sz w:val="24"/>
                <w:szCs w:val="24"/>
              </w:rPr>
            </w:pPr>
            <w:r>
              <w:rPr>
                <w:spacing w:val="4"/>
                <w:sz w:val="24"/>
                <w:szCs w:val="24"/>
              </w:rPr>
              <w:t>0.2~0.3m之间，经计算确定后期绿化覆土量为1.0</w:t>
            </w:r>
            <w:r>
              <w:rPr>
                <w:spacing w:val="3"/>
                <w:sz w:val="24"/>
                <w:szCs w:val="24"/>
              </w:rPr>
              <w:t>8万m³。</w:t>
            </w:r>
          </w:p>
          <w:p w14:paraId="54EAC0E8">
            <w:pPr>
              <w:pStyle w:val="6"/>
              <w:spacing w:before="171" w:line="356" w:lineRule="auto"/>
              <w:ind w:left="11" w:firstLine="379"/>
              <w:rPr>
                <w:sz w:val="24"/>
                <w:szCs w:val="24"/>
              </w:rPr>
            </w:pPr>
            <w:r>
              <w:rPr>
                <w:spacing w:val="3"/>
                <w:sz w:val="24"/>
                <w:szCs w:val="24"/>
              </w:rPr>
              <w:t>项目区共剥离表土1.08万m³,根据项目特点，由于项目分部交广，为堆存</w:t>
            </w:r>
            <w:r>
              <w:rPr>
                <w:spacing w:val="5"/>
                <w:sz w:val="24"/>
                <w:szCs w:val="24"/>
              </w:rPr>
              <w:t xml:space="preserve">  这些表土，方案考虑在项目区分布新增布设表土堆场7个，共计占地0.60</w:t>
            </w:r>
            <w:r>
              <w:rPr>
                <w:sz w:val="24"/>
                <w:szCs w:val="24"/>
              </w:rPr>
              <w:t>hm</w:t>
            </w:r>
            <w:r>
              <w:rPr>
                <w:spacing w:val="4"/>
                <w:sz w:val="24"/>
                <w:szCs w:val="24"/>
              </w:rPr>
              <w:t>²,</w:t>
            </w:r>
            <w:r>
              <w:rPr>
                <w:sz w:val="24"/>
                <w:szCs w:val="24"/>
              </w:rPr>
              <w:t xml:space="preserve"> </w:t>
            </w:r>
            <w:r>
              <w:rPr>
                <w:spacing w:val="-5"/>
                <w:sz w:val="24"/>
                <w:szCs w:val="24"/>
              </w:rPr>
              <w:t>均位于光伏发电区红线范围内，为重复占地，</w:t>
            </w:r>
            <w:r>
              <w:rPr>
                <w:spacing w:val="-6"/>
                <w:sz w:val="24"/>
                <w:szCs w:val="24"/>
              </w:rPr>
              <w:t>不重复计列。表土堆场堆平均堆存</w:t>
            </w:r>
          </w:p>
          <w:p w14:paraId="37A78472">
            <w:pPr>
              <w:pStyle w:val="6"/>
              <w:spacing w:before="20" w:line="354" w:lineRule="auto"/>
              <w:ind w:left="11" w:right="649"/>
              <w:rPr>
                <w:sz w:val="24"/>
                <w:szCs w:val="24"/>
              </w:rPr>
            </w:pPr>
            <w:r>
              <w:rPr>
                <w:spacing w:val="6"/>
                <w:sz w:val="24"/>
                <w:szCs w:val="24"/>
              </w:rPr>
              <w:t>高度为3m,规划容量为1.62万m³,实际堆存1.08万m³(自然方),后期回采</w:t>
            </w:r>
            <w:r>
              <w:rPr>
                <w:spacing w:val="9"/>
                <w:sz w:val="24"/>
                <w:szCs w:val="24"/>
              </w:rPr>
              <w:t xml:space="preserve"> </w:t>
            </w:r>
            <w:r>
              <w:rPr>
                <w:sz w:val="24"/>
                <w:szCs w:val="24"/>
              </w:rPr>
              <w:t>堆存表土后对堆场区域进行撒草恢复，各表土堆场特性详见下表。</w:t>
            </w:r>
          </w:p>
          <w:p w14:paraId="6F791D70">
            <w:pPr>
              <w:pStyle w:val="6"/>
              <w:spacing w:line="219" w:lineRule="auto"/>
              <w:ind w:left="2934"/>
              <w:rPr>
                <w:sz w:val="24"/>
                <w:szCs w:val="24"/>
              </w:rPr>
            </w:pPr>
            <w:r>
              <w:rPr>
                <w:b/>
                <w:bCs/>
                <w:spacing w:val="-4"/>
                <w:sz w:val="24"/>
                <w:szCs w:val="24"/>
              </w:rPr>
              <w:t>表4-9表土堆场特性表</w:t>
            </w:r>
          </w:p>
        </w:tc>
        <w:tc>
          <w:tcPr>
            <w:tcW w:w="145" w:type="dxa"/>
            <w:tcBorders>
              <w:bottom w:val="nil"/>
            </w:tcBorders>
            <w:vAlign w:val="top"/>
          </w:tcPr>
          <w:p w14:paraId="75DC61ED">
            <w:pPr>
              <w:rPr>
                <w:rFonts w:ascii="Arial"/>
                <w:sz w:val="21"/>
              </w:rPr>
            </w:pPr>
          </w:p>
        </w:tc>
      </w:tr>
      <w:tr w14:paraId="13B19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84" w:type="dxa"/>
            <w:vMerge w:val="continue"/>
            <w:tcBorders>
              <w:top w:val="nil"/>
              <w:bottom w:val="nil"/>
            </w:tcBorders>
            <w:vAlign w:val="top"/>
          </w:tcPr>
          <w:p w14:paraId="124A6712">
            <w:pPr>
              <w:rPr>
                <w:rFonts w:ascii="Arial"/>
                <w:sz w:val="21"/>
              </w:rPr>
            </w:pPr>
          </w:p>
        </w:tc>
        <w:tc>
          <w:tcPr>
            <w:tcW w:w="1308" w:type="dxa"/>
            <w:gridSpan w:val="3"/>
            <w:vMerge w:val="restart"/>
            <w:tcBorders>
              <w:bottom w:val="nil"/>
            </w:tcBorders>
            <w:vAlign w:val="top"/>
          </w:tcPr>
          <w:p w14:paraId="6A4D03AE">
            <w:pPr>
              <w:pStyle w:val="6"/>
              <w:spacing w:before="291" w:line="219" w:lineRule="auto"/>
              <w:ind w:left="460"/>
              <w:rPr>
                <w:sz w:val="18"/>
                <w:szCs w:val="18"/>
              </w:rPr>
            </w:pPr>
            <w:r>
              <w:rPr>
                <w:spacing w:val="-3"/>
                <w:sz w:val="18"/>
                <w:szCs w:val="18"/>
              </w:rPr>
              <w:t>编号</w:t>
            </w:r>
          </w:p>
        </w:tc>
        <w:tc>
          <w:tcPr>
            <w:tcW w:w="1867" w:type="dxa"/>
            <w:gridSpan w:val="4"/>
            <w:vMerge w:val="restart"/>
            <w:tcBorders>
              <w:bottom w:val="nil"/>
            </w:tcBorders>
            <w:vAlign w:val="top"/>
          </w:tcPr>
          <w:p w14:paraId="5D4E14E3">
            <w:pPr>
              <w:pStyle w:val="6"/>
              <w:spacing w:before="292" w:line="221" w:lineRule="auto"/>
              <w:ind w:left="743"/>
              <w:rPr>
                <w:sz w:val="18"/>
                <w:szCs w:val="18"/>
              </w:rPr>
            </w:pPr>
            <w:r>
              <w:rPr>
                <w:spacing w:val="-2"/>
                <w:sz w:val="18"/>
                <w:szCs w:val="18"/>
              </w:rPr>
              <w:t>位置</w:t>
            </w:r>
          </w:p>
        </w:tc>
        <w:tc>
          <w:tcPr>
            <w:tcW w:w="909" w:type="dxa"/>
            <w:gridSpan w:val="2"/>
            <w:vAlign w:val="top"/>
          </w:tcPr>
          <w:p w14:paraId="572A4075">
            <w:pPr>
              <w:pStyle w:val="6"/>
              <w:spacing w:before="13" w:line="224" w:lineRule="auto"/>
              <w:ind w:left="315" w:right="175" w:hanging="139"/>
              <w:rPr>
                <w:sz w:val="18"/>
                <w:szCs w:val="18"/>
              </w:rPr>
            </w:pPr>
            <w:r>
              <w:rPr>
                <w:spacing w:val="2"/>
                <w:sz w:val="18"/>
                <w:szCs w:val="18"/>
              </w:rPr>
              <w:t>占地面</w:t>
            </w:r>
            <w:r>
              <w:rPr>
                <w:sz w:val="18"/>
                <w:szCs w:val="18"/>
              </w:rPr>
              <w:t xml:space="preserve"> 积</w:t>
            </w:r>
          </w:p>
        </w:tc>
        <w:tc>
          <w:tcPr>
            <w:tcW w:w="899" w:type="dxa"/>
            <w:gridSpan w:val="2"/>
            <w:vAlign w:val="top"/>
          </w:tcPr>
          <w:p w14:paraId="1F2B0B73">
            <w:pPr>
              <w:pStyle w:val="6"/>
              <w:spacing w:before="11" w:line="217" w:lineRule="auto"/>
              <w:ind w:left="347" w:right="178" w:hanging="170"/>
              <w:rPr>
                <w:sz w:val="18"/>
                <w:szCs w:val="18"/>
              </w:rPr>
            </w:pPr>
            <w:r>
              <w:rPr>
                <w:spacing w:val="-3"/>
                <w:sz w:val="18"/>
                <w:szCs w:val="18"/>
              </w:rPr>
              <w:t>平均堆</w:t>
            </w:r>
            <w:r>
              <w:rPr>
                <w:spacing w:val="1"/>
                <w:sz w:val="18"/>
                <w:szCs w:val="18"/>
              </w:rPr>
              <w:t xml:space="preserve"> </w:t>
            </w:r>
            <w:r>
              <w:rPr>
                <w:sz w:val="18"/>
                <w:szCs w:val="18"/>
              </w:rPr>
              <w:t>高</w:t>
            </w:r>
          </w:p>
        </w:tc>
        <w:tc>
          <w:tcPr>
            <w:tcW w:w="999" w:type="dxa"/>
            <w:gridSpan w:val="2"/>
            <w:vAlign w:val="top"/>
          </w:tcPr>
          <w:p w14:paraId="6BC192F2">
            <w:pPr>
              <w:pStyle w:val="6"/>
              <w:spacing w:before="141" w:line="220" w:lineRule="auto"/>
              <w:ind w:left="138"/>
              <w:rPr>
                <w:sz w:val="18"/>
                <w:szCs w:val="18"/>
              </w:rPr>
            </w:pPr>
            <w:r>
              <w:rPr>
                <w:spacing w:val="-2"/>
                <w:sz w:val="18"/>
                <w:szCs w:val="18"/>
              </w:rPr>
              <w:t>规划容量</w:t>
            </w:r>
          </w:p>
        </w:tc>
        <w:tc>
          <w:tcPr>
            <w:tcW w:w="1809" w:type="dxa"/>
            <w:gridSpan w:val="4"/>
            <w:vAlign w:val="top"/>
          </w:tcPr>
          <w:p w14:paraId="0BFCFCBD">
            <w:pPr>
              <w:pStyle w:val="6"/>
              <w:spacing w:before="141" w:line="219" w:lineRule="auto"/>
              <w:ind w:left="89"/>
              <w:rPr>
                <w:sz w:val="18"/>
                <w:szCs w:val="18"/>
              </w:rPr>
            </w:pPr>
            <w:r>
              <w:rPr>
                <w:spacing w:val="12"/>
                <w:sz w:val="18"/>
                <w:szCs w:val="18"/>
              </w:rPr>
              <w:t>实际堆存量(万m³)</w:t>
            </w:r>
          </w:p>
        </w:tc>
        <w:tc>
          <w:tcPr>
            <w:tcW w:w="450" w:type="dxa"/>
            <w:gridSpan w:val="2"/>
            <w:vAlign w:val="top"/>
          </w:tcPr>
          <w:p w14:paraId="229BBE16">
            <w:pPr>
              <w:pStyle w:val="6"/>
              <w:spacing w:before="21" w:line="219" w:lineRule="auto"/>
              <w:ind w:left="40"/>
              <w:rPr>
                <w:sz w:val="18"/>
                <w:szCs w:val="18"/>
              </w:rPr>
            </w:pPr>
            <w:r>
              <w:rPr>
                <w:spacing w:val="-2"/>
                <w:sz w:val="18"/>
                <w:szCs w:val="18"/>
              </w:rPr>
              <w:t>堆存</w:t>
            </w:r>
          </w:p>
          <w:p w14:paraId="4351AE96">
            <w:pPr>
              <w:pStyle w:val="6"/>
              <w:spacing w:before="17" w:line="203" w:lineRule="auto"/>
              <w:ind w:left="40"/>
              <w:rPr>
                <w:sz w:val="18"/>
                <w:szCs w:val="18"/>
              </w:rPr>
            </w:pPr>
            <w:r>
              <w:rPr>
                <w:spacing w:val="-2"/>
                <w:sz w:val="18"/>
                <w:szCs w:val="18"/>
              </w:rPr>
              <w:t>周期</w:t>
            </w:r>
          </w:p>
        </w:tc>
        <w:tc>
          <w:tcPr>
            <w:tcW w:w="145" w:type="dxa"/>
            <w:tcBorders>
              <w:top w:val="nil"/>
              <w:bottom w:val="nil"/>
            </w:tcBorders>
            <w:vAlign w:val="top"/>
          </w:tcPr>
          <w:p w14:paraId="30A89006">
            <w:pPr>
              <w:rPr>
                <w:rFonts w:ascii="Arial"/>
                <w:sz w:val="21"/>
              </w:rPr>
            </w:pPr>
          </w:p>
        </w:tc>
      </w:tr>
      <w:tr w14:paraId="116E8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84" w:type="dxa"/>
            <w:vMerge w:val="continue"/>
            <w:tcBorders>
              <w:top w:val="nil"/>
              <w:bottom w:val="nil"/>
            </w:tcBorders>
            <w:vAlign w:val="top"/>
          </w:tcPr>
          <w:p w14:paraId="751ED9FE">
            <w:pPr>
              <w:rPr>
                <w:rFonts w:ascii="Arial"/>
                <w:sz w:val="21"/>
              </w:rPr>
            </w:pPr>
          </w:p>
        </w:tc>
        <w:tc>
          <w:tcPr>
            <w:tcW w:w="1308" w:type="dxa"/>
            <w:gridSpan w:val="3"/>
            <w:vMerge w:val="continue"/>
            <w:tcBorders>
              <w:top w:val="nil"/>
            </w:tcBorders>
            <w:vAlign w:val="top"/>
          </w:tcPr>
          <w:p w14:paraId="52B97549">
            <w:pPr>
              <w:rPr>
                <w:rFonts w:ascii="Arial"/>
                <w:sz w:val="21"/>
              </w:rPr>
            </w:pPr>
          </w:p>
        </w:tc>
        <w:tc>
          <w:tcPr>
            <w:tcW w:w="1867" w:type="dxa"/>
            <w:gridSpan w:val="4"/>
            <w:vMerge w:val="continue"/>
            <w:tcBorders>
              <w:top w:val="nil"/>
            </w:tcBorders>
            <w:vAlign w:val="top"/>
          </w:tcPr>
          <w:p w14:paraId="0BF53C50">
            <w:pPr>
              <w:rPr>
                <w:rFonts w:ascii="Arial"/>
                <w:sz w:val="21"/>
              </w:rPr>
            </w:pPr>
          </w:p>
        </w:tc>
        <w:tc>
          <w:tcPr>
            <w:tcW w:w="909" w:type="dxa"/>
            <w:gridSpan w:val="2"/>
            <w:vAlign w:val="top"/>
          </w:tcPr>
          <w:p w14:paraId="5EC0318C">
            <w:pPr>
              <w:pStyle w:val="6"/>
              <w:spacing w:before="54" w:line="221" w:lineRule="auto"/>
              <w:ind w:left="176"/>
              <w:rPr>
                <w:sz w:val="18"/>
                <w:szCs w:val="18"/>
              </w:rPr>
            </w:pPr>
            <w:r>
              <w:rPr>
                <w:spacing w:val="-7"/>
                <w:sz w:val="18"/>
                <w:szCs w:val="18"/>
              </w:rPr>
              <w:t>(hm²)</w:t>
            </w:r>
          </w:p>
        </w:tc>
        <w:tc>
          <w:tcPr>
            <w:tcW w:w="899" w:type="dxa"/>
            <w:gridSpan w:val="2"/>
            <w:vAlign w:val="top"/>
          </w:tcPr>
          <w:p w14:paraId="02B2A842">
            <w:pPr>
              <w:pStyle w:val="6"/>
              <w:spacing w:before="54" w:line="221" w:lineRule="auto"/>
              <w:ind w:left="307"/>
              <w:rPr>
                <w:sz w:val="18"/>
                <w:szCs w:val="18"/>
              </w:rPr>
            </w:pPr>
            <w:r>
              <w:rPr>
                <w:spacing w:val="-9"/>
                <w:sz w:val="18"/>
                <w:szCs w:val="18"/>
              </w:rPr>
              <w:t>(m)</w:t>
            </w:r>
          </w:p>
        </w:tc>
        <w:tc>
          <w:tcPr>
            <w:tcW w:w="999" w:type="dxa"/>
            <w:gridSpan w:val="2"/>
            <w:vAlign w:val="top"/>
          </w:tcPr>
          <w:p w14:paraId="7438E563">
            <w:pPr>
              <w:pStyle w:val="6"/>
              <w:spacing w:before="51" w:line="220" w:lineRule="auto"/>
              <w:ind w:left="178"/>
              <w:rPr>
                <w:sz w:val="18"/>
                <w:szCs w:val="18"/>
              </w:rPr>
            </w:pPr>
            <w:r>
              <w:rPr>
                <w:spacing w:val="-12"/>
                <w:sz w:val="18"/>
                <w:szCs w:val="18"/>
              </w:rPr>
              <w:t>(</w:t>
            </w:r>
            <w:r>
              <w:rPr>
                <w:spacing w:val="-34"/>
                <w:sz w:val="18"/>
                <w:szCs w:val="18"/>
              </w:rPr>
              <w:t xml:space="preserve"> </w:t>
            </w:r>
            <w:r>
              <w:rPr>
                <w:spacing w:val="-12"/>
                <w:sz w:val="18"/>
                <w:szCs w:val="18"/>
              </w:rPr>
              <w:t>万</w:t>
            </w:r>
            <w:r>
              <w:rPr>
                <w:spacing w:val="-46"/>
                <w:sz w:val="18"/>
                <w:szCs w:val="18"/>
              </w:rPr>
              <w:t xml:space="preserve"> </w:t>
            </w:r>
            <w:r>
              <w:rPr>
                <w:spacing w:val="-12"/>
                <w:sz w:val="18"/>
                <w:szCs w:val="18"/>
              </w:rPr>
              <w:t>m</w:t>
            </w:r>
            <w:r>
              <w:rPr>
                <w:spacing w:val="-44"/>
                <w:sz w:val="18"/>
                <w:szCs w:val="18"/>
              </w:rPr>
              <w:t xml:space="preserve"> </w:t>
            </w:r>
            <w:r>
              <w:rPr>
                <w:spacing w:val="-12"/>
                <w:sz w:val="18"/>
                <w:szCs w:val="18"/>
              </w:rPr>
              <w:t>³</w:t>
            </w:r>
            <w:r>
              <w:rPr>
                <w:spacing w:val="-40"/>
                <w:sz w:val="18"/>
                <w:szCs w:val="18"/>
              </w:rPr>
              <w:t xml:space="preserve"> </w:t>
            </w:r>
            <w:r>
              <w:rPr>
                <w:spacing w:val="-12"/>
                <w:sz w:val="18"/>
                <w:szCs w:val="18"/>
              </w:rPr>
              <w:t>)</w:t>
            </w:r>
          </w:p>
        </w:tc>
        <w:tc>
          <w:tcPr>
            <w:tcW w:w="869" w:type="dxa"/>
            <w:vAlign w:val="top"/>
          </w:tcPr>
          <w:p w14:paraId="369EFE08">
            <w:pPr>
              <w:pStyle w:val="6"/>
              <w:spacing w:before="51" w:line="220" w:lineRule="auto"/>
              <w:ind w:left="158"/>
              <w:rPr>
                <w:sz w:val="18"/>
                <w:szCs w:val="18"/>
              </w:rPr>
            </w:pPr>
            <w:r>
              <w:rPr>
                <w:spacing w:val="2"/>
                <w:sz w:val="18"/>
                <w:szCs w:val="18"/>
              </w:rPr>
              <w:t>自然方</w:t>
            </w:r>
          </w:p>
        </w:tc>
        <w:tc>
          <w:tcPr>
            <w:tcW w:w="940" w:type="dxa"/>
            <w:gridSpan w:val="3"/>
            <w:vAlign w:val="top"/>
          </w:tcPr>
          <w:p w14:paraId="40DEF71B">
            <w:pPr>
              <w:pStyle w:val="6"/>
              <w:spacing w:before="51" w:line="219" w:lineRule="auto"/>
              <w:ind w:left="290"/>
              <w:rPr>
                <w:sz w:val="18"/>
                <w:szCs w:val="18"/>
              </w:rPr>
            </w:pPr>
            <w:r>
              <w:rPr>
                <w:spacing w:val="-2"/>
                <w:sz w:val="18"/>
                <w:szCs w:val="18"/>
              </w:rPr>
              <w:t>松方</w:t>
            </w:r>
          </w:p>
        </w:tc>
        <w:tc>
          <w:tcPr>
            <w:tcW w:w="450" w:type="dxa"/>
            <w:gridSpan w:val="2"/>
            <w:vAlign w:val="top"/>
          </w:tcPr>
          <w:p w14:paraId="00369FE7">
            <w:pPr>
              <w:pStyle w:val="6"/>
              <w:spacing w:before="54" w:line="221" w:lineRule="auto"/>
              <w:ind w:left="90"/>
              <w:rPr>
                <w:sz w:val="18"/>
                <w:szCs w:val="18"/>
              </w:rPr>
            </w:pPr>
            <w:r>
              <w:rPr>
                <w:spacing w:val="-9"/>
                <w:sz w:val="18"/>
                <w:szCs w:val="18"/>
              </w:rPr>
              <w:t>(a)</w:t>
            </w:r>
          </w:p>
        </w:tc>
        <w:tc>
          <w:tcPr>
            <w:tcW w:w="145" w:type="dxa"/>
            <w:tcBorders>
              <w:top w:val="nil"/>
              <w:bottom w:val="nil"/>
            </w:tcBorders>
            <w:vAlign w:val="top"/>
          </w:tcPr>
          <w:p w14:paraId="37206030">
            <w:pPr>
              <w:rPr>
                <w:rFonts w:ascii="Arial"/>
                <w:sz w:val="21"/>
              </w:rPr>
            </w:pPr>
          </w:p>
        </w:tc>
      </w:tr>
      <w:tr w14:paraId="6FF73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84" w:type="dxa"/>
            <w:vMerge w:val="continue"/>
            <w:tcBorders>
              <w:top w:val="nil"/>
              <w:bottom w:val="nil"/>
            </w:tcBorders>
            <w:vAlign w:val="top"/>
          </w:tcPr>
          <w:p w14:paraId="516A6450">
            <w:pPr>
              <w:rPr>
                <w:rFonts w:ascii="Arial"/>
                <w:sz w:val="21"/>
              </w:rPr>
            </w:pPr>
          </w:p>
        </w:tc>
        <w:tc>
          <w:tcPr>
            <w:tcW w:w="1308" w:type="dxa"/>
            <w:gridSpan w:val="3"/>
            <w:vAlign w:val="top"/>
          </w:tcPr>
          <w:p w14:paraId="17B919C8">
            <w:pPr>
              <w:pStyle w:val="6"/>
              <w:spacing w:before="61" w:line="220" w:lineRule="auto"/>
              <w:ind w:left="190"/>
              <w:rPr>
                <w:sz w:val="18"/>
                <w:szCs w:val="18"/>
              </w:rPr>
            </w:pPr>
            <w:r>
              <w:rPr>
                <w:spacing w:val="1"/>
                <w:sz w:val="18"/>
                <w:szCs w:val="18"/>
              </w:rPr>
              <w:t>1#表土堆场</w:t>
            </w:r>
          </w:p>
        </w:tc>
        <w:tc>
          <w:tcPr>
            <w:tcW w:w="1867" w:type="dxa"/>
            <w:gridSpan w:val="4"/>
            <w:vAlign w:val="top"/>
          </w:tcPr>
          <w:p w14:paraId="263E9BA8">
            <w:pPr>
              <w:pStyle w:val="6"/>
              <w:spacing w:before="61" w:line="219" w:lineRule="auto"/>
              <w:ind w:left="473"/>
              <w:rPr>
                <w:sz w:val="18"/>
                <w:szCs w:val="18"/>
              </w:rPr>
            </w:pPr>
            <w:r>
              <w:rPr>
                <w:spacing w:val="2"/>
                <w:sz w:val="18"/>
                <w:szCs w:val="18"/>
              </w:rPr>
              <w:t>升压站西侧</w:t>
            </w:r>
          </w:p>
        </w:tc>
        <w:tc>
          <w:tcPr>
            <w:tcW w:w="909" w:type="dxa"/>
            <w:gridSpan w:val="2"/>
            <w:vAlign w:val="top"/>
          </w:tcPr>
          <w:p w14:paraId="7D60B095">
            <w:pPr>
              <w:pStyle w:val="6"/>
              <w:spacing w:before="79" w:line="206" w:lineRule="auto"/>
              <w:ind w:left="265"/>
              <w:rPr>
                <w:sz w:val="18"/>
                <w:szCs w:val="18"/>
              </w:rPr>
            </w:pPr>
            <w:r>
              <w:rPr>
                <w:spacing w:val="-2"/>
                <w:sz w:val="18"/>
                <w:szCs w:val="18"/>
              </w:rPr>
              <w:t>0.04</w:t>
            </w:r>
          </w:p>
        </w:tc>
        <w:tc>
          <w:tcPr>
            <w:tcW w:w="899" w:type="dxa"/>
            <w:gridSpan w:val="2"/>
            <w:vAlign w:val="top"/>
          </w:tcPr>
          <w:p w14:paraId="77E9EBBA">
            <w:pPr>
              <w:pStyle w:val="6"/>
              <w:spacing w:before="79" w:line="206" w:lineRule="auto"/>
              <w:ind w:left="397"/>
              <w:rPr>
                <w:sz w:val="18"/>
                <w:szCs w:val="18"/>
              </w:rPr>
            </w:pPr>
            <w:r>
              <w:rPr>
                <w:sz w:val="18"/>
                <w:szCs w:val="18"/>
              </w:rPr>
              <w:t>3</w:t>
            </w:r>
          </w:p>
        </w:tc>
        <w:tc>
          <w:tcPr>
            <w:tcW w:w="999" w:type="dxa"/>
            <w:gridSpan w:val="2"/>
            <w:vAlign w:val="top"/>
          </w:tcPr>
          <w:p w14:paraId="711457DE">
            <w:pPr>
              <w:pStyle w:val="6"/>
              <w:spacing w:before="79" w:line="206" w:lineRule="auto"/>
              <w:ind w:left="358"/>
              <w:rPr>
                <w:sz w:val="18"/>
                <w:szCs w:val="18"/>
              </w:rPr>
            </w:pPr>
            <w:r>
              <w:rPr>
                <w:spacing w:val="-2"/>
                <w:sz w:val="18"/>
                <w:szCs w:val="18"/>
              </w:rPr>
              <w:t>0.1</w:t>
            </w:r>
          </w:p>
        </w:tc>
        <w:tc>
          <w:tcPr>
            <w:tcW w:w="869" w:type="dxa"/>
            <w:vAlign w:val="top"/>
          </w:tcPr>
          <w:p w14:paraId="2F15D784">
            <w:pPr>
              <w:pStyle w:val="6"/>
              <w:spacing w:before="79" w:line="206" w:lineRule="auto"/>
              <w:ind w:left="249"/>
              <w:rPr>
                <w:sz w:val="18"/>
                <w:szCs w:val="18"/>
              </w:rPr>
            </w:pPr>
            <w:r>
              <w:rPr>
                <w:spacing w:val="-2"/>
                <w:sz w:val="18"/>
                <w:szCs w:val="18"/>
              </w:rPr>
              <w:t>0.07</w:t>
            </w:r>
          </w:p>
        </w:tc>
        <w:tc>
          <w:tcPr>
            <w:tcW w:w="940" w:type="dxa"/>
            <w:gridSpan w:val="3"/>
            <w:vAlign w:val="top"/>
          </w:tcPr>
          <w:p w14:paraId="08DE9015">
            <w:pPr>
              <w:pStyle w:val="6"/>
              <w:spacing w:before="79" w:line="206" w:lineRule="auto"/>
              <w:ind w:left="290"/>
              <w:rPr>
                <w:sz w:val="18"/>
                <w:szCs w:val="18"/>
              </w:rPr>
            </w:pPr>
            <w:r>
              <w:rPr>
                <w:spacing w:val="-2"/>
                <w:sz w:val="18"/>
                <w:szCs w:val="18"/>
              </w:rPr>
              <w:t>0.09</w:t>
            </w:r>
          </w:p>
        </w:tc>
        <w:tc>
          <w:tcPr>
            <w:tcW w:w="450" w:type="dxa"/>
            <w:gridSpan w:val="2"/>
            <w:vAlign w:val="top"/>
          </w:tcPr>
          <w:p w14:paraId="413A4F01">
            <w:pPr>
              <w:pStyle w:val="6"/>
              <w:spacing w:before="79" w:line="206" w:lineRule="auto"/>
              <w:ind w:left="40"/>
              <w:rPr>
                <w:sz w:val="18"/>
                <w:szCs w:val="18"/>
              </w:rPr>
            </w:pPr>
            <w:r>
              <w:rPr>
                <w:spacing w:val="-2"/>
                <w:sz w:val="18"/>
                <w:szCs w:val="18"/>
              </w:rPr>
              <w:t>0.42</w:t>
            </w:r>
          </w:p>
        </w:tc>
        <w:tc>
          <w:tcPr>
            <w:tcW w:w="145" w:type="dxa"/>
            <w:tcBorders>
              <w:top w:val="nil"/>
              <w:bottom w:val="nil"/>
            </w:tcBorders>
            <w:vAlign w:val="top"/>
          </w:tcPr>
          <w:p w14:paraId="49C36C02">
            <w:pPr>
              <w:rPr>
                <w:rFonts w:ascii="Arial"/>
                <w:sz w:val="21"/>
              </w:rPr>
            </w:pPr>
          </w:p>
        </w:tc>
      </w:tr>
      <w:tr w14:paraId="2AB6A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884" w:type="dxa"/>
            <w:vMerge w:val="continue"/>
            <w:tcBorders>
              <w:top w:val="nil"/>
              <w:bottom w:val="nil"/>
            </w:tcBorders>
            <w:vAlign w:val="top"/>
          </w:tcPr>
          <w:p w14:paraId="6D7E7448">
            <w:pPr>
              <w:rPr>
                <w:rFonts w:ascii="Arial"/>
                <w:sz w:val="21"/>
              </w:rPr>
            </w:pPr>
          </w:p>
        </w:tc>
        <w:tc>
          <w:tcPr>
            <w:tcW w:w="1308" w:type="dxa"/>
            <w:gridSpan w:val="3"/>
            <w:vAlign w:val="top"/>
          </w:tcPr>
          <w:p w14:paraId="28C8D663">
            <w:pPr>
              <w:pStyle w:val="6"/>
              <w:spacing w:before="61" w:line="220" w:lineRule="auto"/>
              <w:ind w:left="190"/>
              <w:rPr>
                <w:sz w:val="18"/>
                <w:szCs w:val="18"/>
              </w:rPr>
            </w:pPr>
            <w:r>
              <w:rPr>
                <w:spacing w:val="1"/>
                <w:sz w:val="18"/>
                <w:szCs w:val="18"/>
              </w:rPr>
              <w:t>2#表土堆场</w:t>
            </w:r>
          </w:p>
        </w:tc>
        <w:tc>
          <w:tcPr>
            <w:tcW w:w="1867" w:type="dxa"/>
            <w:gridSpan w:val="4"/>
            <w:vAlign w:val="top"/>
          </w:tcPr>
          <w:p w14:paraId="3FE3D065">
            <w:pPr>
              <w:pStyle w:val="6"/>
              <w:spacing w:before="61" w:line="219" w:lineRule="auto"/>
              <w:ind w:left="113"/>
              <w:rPr>
                <w:sz w:val="18"/>
                <w:szCs w:val="18"/>
              </w:rPr>
            </w:pPr>
            <w:r>
              <w:rPr>
                <w:spacing w:val="-1"/>
                <w:sz w:val="18"/>
                <w:szCs w:val="18"/>
              </w:rPr>
              <w:t>T2箱变北侧方阵空地</w:t>
            </w:r>
          </w:p>
        </w:tc>
        <w:tc>
          <w:tcPr>
            <w:tcW w:w="909" w:type="dxa"/>
            <w:gridSpan w:val="2"/>
            <w:vAlign w:val="top"/>
          </w:tcPr>
          <w:p w14:paraId="6D1A7F3C">
            <w:pPr>
              <w:pStyle w:val="6"/>
              <w:spacing w:before="79" w:line="205" w:lineRule="auto"/>
              <w:ind w:left="265"/>
              <w:rPr>
                <w:sz w:val="18"/>
                <w:szCs w:val="18"/>
              </w:rPr>
            </w:pPr>
            <w:r>
              <w:rPr>
                <w:spacing w:val="-2"/>
                <w:sz w:val="18"/>
                <w:szCs w:val="18"/>
              </w:rPr>
              <w:t>0.09</w:t>
            </w:r>
          </w:p>
        </w:tc>
        <w:tc>
          <w:tcPr>
            <w:tcW w:w="899" w:type="dxa"/>
            <w:gridSpan w:val="2"/>
            <w:vAlign w:val="top"/>
          </w:tcPr>
          <w:p w14:paraId="6FE918F5">
            <w:pPr>
              <w:pStyle w:val="6"/>
              <w:spacing w:before="79" w:line="205" w:lineRule="auto"/>
              <w:ind w:left="397"/>
              <w:rPr>
                <w:sz w:val="18"/>
                <w:szCs w:val="18"/>
              </w:rPr>
            </w:pPr>
            <w:r>
              <w:rPr>
                <w:sz w:val="18"/>
                <w:szCs w:val="18"/>
              </w:rPr>
              <w:t>3</w:t>
            </w:r>
          </w:p>
        </w:tc>
        <w:tc>
          <w:tcPr>
            <w:tcW w:w="999" w:type="dxa"/>
            <w:gridSpan w:val="2"/>
            <w:vAlign w:val="top"/>
          </w:tcPr>
          <w:p w14:paraId="6740EFE4">
            <w:pPr>
              <w:pStyle w:val="6"/>
              <w:spacing w:before="79" w:line="205" w:lineRule="auto"/>
              <w:ind w:left="318"/>
              <w:rPr>
                <w:sz w:val="18"/>
                <w:szCs w:val="18"/>
              </w:rPr>
            </w:pPr>
            <w:r>
              <w:rPr>
                <w:spacing w:val="-2"/>
                <w:sz w:val="18"/>
                <w:szCs w:val="18"/>
              </w:rPr>
              <w:t>0.24</w:t>
            </w:r>
          </w:p>
        </w:tc>
        <w:tc>
          <w:tcPr>
            <w:tcW w:w="869" w:type="dxa"/>
            <w:vAlign w:val="top"/>
          </w:tcPr>
          <w:p w14:paraId="168BCA7F">
            <w:pPr>
              <w:pStyle w:val="6"/>
              <w:spacing w:before="79" w:line="205" w:lineRule="auto"/>
              <w:ind w:left="249"/>
              <w:rPr>
                <w:sz w:val="18"/>
                <w:szCs w:val="18"/>
              </w:rPr>
            </w:pPr>
            <w:r>
              <w:rPr>
                <w:spacing w:val="-2"/>
                <w:sz w:val="18"/>
                <w:szCs w:val="18"/>
              </w:rPr>
              <w:t>0.16</w:t>
            </w:r>
          </w:p>
        </w:tc>
        <w:tc>
          <w:tcPr>
            <w:tcW w:w="940" w:type="dxa"/>
            <w:gridSpan w:val="3"/>
            <w:vAlign w:val="top"/>
          </w:tcPr>
          <w:p w14:paraId="2A06BE71">
            <w:pPr>
              <w:pStyle w:val="6"/>
              <w:spacing w:before="79" w:line="205" w:lineRule="auto"/>
              <w:ind w:left="290"/>
              <w:rPr>
                <w:sz w:val="18"/>
                <w:szCs w:val="18"/>
              </w:rPr>
            </w:pPr>
            <w:r>
              <w:rPr>
                <w:spacing w:val="-2"/>
                <w:sz w:val="18"/>
                <w:szCs w:val="18"/>
              </w:rPr>
              <w:t>0.21</w:t>
            </w:r>
          </w:p>
        </w:tc>
        <w:tc>
          <w:tcPr>
            <w:tcW w:w="450" w:type="dxa"/>
            <w:gridSpan w:val="2"/>
            <w:vAlign w:val="top"/>
          </w:tcPr>
          <w:p w14:paraId="42C37A0C">
            <w:pPr>
              <w:pStyle w:val="6"/>
              <w:spacing w:before="79" w:line="205" w:lineRule="auto"/>
              <w:ind w:left="40"/>
              <w:rPr>
                <w:sz w:val="18"/>
                <w:szCs w:val="18"/>
              </w:rPr>
            </w:pPr>
            <w:r>
              <w:rPr>
                <w:spacing w:val="-2"/>
                <w:sz w:val="18"/>
                <w:szCs w:val="18"/>
              </w:rPr>
              <w:t>0.42</w:t>
            </w:r>
          </w:p>
        </w:tc>
        <w:tc>
          <w:tcPr>
            <w:tcW w:w="145" w:type="dxa"/>
            <w:tcBorders>
              <w:top w:val="nil"/>
              <w:bottom w:val="nil"/>
            </w:tcBorders>
            <w:vAlign w:val="top"/>
          </w:tcPr>
          <w:p w14:paraId="66B3CA42">
            <w:pPr>
              <w:rPr>
                <w:rFonts w:ascii="Arial"/>
                <w:sz w:val="21"/>
              </w:rPr>
            </w:pPr>
          </w:p>
        </w:tc>
      </w:tr>
      <w:tr w14:paraId="3C0F6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84" w:type="dxa"/>
            <w:vMerge w:val="continue"/>
            <w:tcBorders>
              <w:top w:val="nil"/>
              <w:bottom w:val="nil"/>
            </w:tcBorders>
            <w:vAlign w:val="top"/>
          </w:tcPr>
          <w:p w14:paraId="24541B8A">
            <w:pPr>
              <w:rPr>
                <w:rFonts w:ascii="Arial"/>
                <w:sz w:val="21"/>
              </w:rPr>
            </w:pPr>
          </w:p>
        </w:tc>
        <w:tc>
          <w:tcPr>
            <w:tcW w:w="1308" w:type="dxa"/>
            <w:gridSpan w:val="3"/>
            <w:vAlign w:val="top"/>
          </w:tcPr>
          <w:p w14:paraId="755631AC">
            <w:pPr>
              <w:pStyle w:val="6"/>
              <w:spacing w:before="42" w:line="213" w:lineRule="auto"/>
              <w:ind w:left="190"/>
              <w:rPr>
                <w:sz w:val="18"/>
                <w:szCs w:val="18"/>
              </w:rPr>
            </w:pPr>
            <w:r>
              <w:rPr>
                <w:spacing w:val="1"/>
                <w:sz w:val="18"/>
                <w:szCs w:val="18"/>
              </w:rPr>
              <w:t>3#表土堆场</w:t>
            </w:r>
          </w:p>
        </w:tc>
        <w:tc>
          <w:tcPr>
            <w:tcW w:w="1867" w:type="dxa"/>
            <w:gridSpan w:val="4"/>
            <w:vAlign w:val="top"/>
          </w:tcPr>
          <w:p w14:paraId="5EC5C4FB">
            <w:pPr>
              <w:pStyle w:val="6"/>
              <w:spacing w:before="42" w:line="213" w:lineRule="auto"/>
              <w:ind w:left="113"/>
              <w:rPr>
                <w:sz w:val="18"/>
                <w:szCs w:val="18"/>
              </w:rPr>
            </w:pPr>
            <w:r>
              <w:rPr>
                <w:spacing w:val="-1"/>
                <w:sz w:val="18"/>
                <w:szCs w:val="18"/>
              </w:rPr>
              <w:t>T5箱变西侧方阵空地</w:t>
            </w:r>
          </w:p>
        </w:tc>
        <w:tc>
          <w:tcPr>
            <w:tcW w:w="909" w:type="dxa"/>
            <w:gridSpan w:val="2"/>
            <w:vAlign w:val="top"/>
          </w:tcPr>
          <w:p w14:paraId="1DF7365B">
            <w:pPr>
              <w:pStyle w:val="6"/>
              <w:spacing w:before="59" w:line="195" w:lineRule="auto"/>
              <w:ind w:left="265"/>
              <w:rPr>
                <w:sz w:val="18"/>
                <w:szCs w:val="18"/>
              </w:rPr>
            </w:pPr>
            <w:r>
              <w:rPr>
                <w:spacing w:val="-2"/>
                <w:sz w:val="18"/>
                <w:szCs w:val="18"/>
              </w:rPr>
              <w:t>0.10</w:t>
            </w:r>
          </w:p>
        </w:tc>
        <w:tc>
          <w:tcPr>
            <w:tcW w:w="899" w:type="dxa"/>
            <w:gridSpan w:val="2"/>
            <w:vAlign w:val="top"/>
          </w:tcPr>
          <w:p w14:paraId="3CCCC5A9">
            <w:pPr>
              <w:pStyle w:val="6"/>
              <w:spacing w:before="59" w:line="195" w:lineRule="auto"/>
              <w:ind w:left="397"/>
              <w:rPr>
                <w:sz w:val="18"/>
                <w:szCs w:val="18"/>
              </w:rPr>
            </w:pPr>
            <w:r>
              <w:rPr>
                <w:sz w:val="18"/>
                <w:szCs w:val="18"/>
              </w:rPr>
              <w:t>3</w:t>
            </w:r>
          </w:p>
        </w:tc>
        <w:tc>
          <w:tcPr>
            <w:tcW w:w="999" w:type="dxa"/>
            <w:gridSpan w:val="2"/>
            <w:vAlign w:val="top"/>
          </w:tcPr>
          <w:p w14:paraId="27BD9EB6">
            <w:pPr>
              <w:pStyle w:val="6"/>
              <w:spacing w:before="59" w:line="195" w:lineRule="auto"/>
              <w:ind w:left="318"/>
              <w:rPr>
                <w:sz w:val="18"/>
                <w:szCs w:val="18"/>
              </w:rPr>
            </w:pPr>
            <w:r>
              <w:rPr>
                <w:spacing w:val="-2"/>
                <w:sz w:val="18"/>
                <w:szCs w:val="18"/>
              </w:rPr>
              <w:t>0.27</w:t>
            </w:r>
          </w:p>
        </w:tc>
        <w:tc>
          <w:tcPr>
            <w:tcW w:w="869" w:type="dxa"/>
            <w:vAlign w:val="top"/>
          </w:tcPr>
          <w:p w14:paraId="2BBBE45A">
            <w:pPr>
              <w:pStyle w:val="6"/>
              <w:spacing w:before="59" w:line="195" w:lineRule="auto"/>
              <w:ind w:left="249"/>
              <w:rPr>
                <w:sz w:val="18"/>
                <w:szCs w:val="18"/>
              </w:rPr>
            </w:pPr>
            <w:r>
              <w:rPr>
                <w:spacing w:val="-2"/>
                <w:sz w:val="18"/>
                <w:szCs w:val="18"/>
              </w:rPr>
              <w:t>0.18</w:t>
            </w:r>
          </w:p>
        </w:tc>
        <w:tc>
          <w:tcPr>
            <w:tcW w:w="940" w:type="dxa"/>
            <w:gridSpan w:val="3"/>
            <w:vAlign w:val="top"/>
          </w:tcPr>
          <w:p w14:paraId="013A6B23">
            <w:pPr>
              <w:pStyle w:val="6"/>
              <w:spacing w:before="59" w:line="195" w:lineRule="auto"/>
              <w:ind w:left="290"/>
              <w:rPr>
                <w:sz w:val="18"/>
                <w:szCs w:val="18"/>
              </w:rPr>
            </w:pPr>
            <w:r>
              <w:rPr>
                <w:spacing w:val="-2"/>
                <w:sz w:val="18"/>
                <w:szCs w:val="18"/>
              </w:rPr>
              <w:t>0.24</w:t>
            </w:r>
          </w:p>
        </w:tc>
        <w:tc>
          <w:tcPr>
            <w:tcW w:w="450" w:type="dxa"/>
            <w:gridSpan w:val="2"/>
            <w:vAlign w:val="top"/>
          </w:tcPr>
          <w:p w14:paraId="34B2AD21">
            <w:pPr>
              <w:pStyle w:val="6"/>
              <w:spacing w:before="59" w:line="195" w:lineRule="auto"/>
              <w:ind w:left="40"/>
              <w:rPr>
                <w:sz w:val="18"/>
                <w:szCs w:val="18"/>
              </w:rPr>
            </w:pPr>
            <w:r>
              <w:rPr>
                <w:spacing w:val="-2"/>
                <w:sz w:val="18"/>
                <w:szCs w:val="18"/>
              </w:rPr>
              <w:t>0.42</w:t>
            </w:r>
          </w:p>
        </w:tc>
        <w:tc>
          <w:tcPr>
            <w:tcW w:w="145" w:type="dxa"/>
            <w:tcBorders>
              <w:top w:val="nil"/>
              <w:bottom w:val="nil"/>
            </w:tcBorders>
            <w:vAlign w:val="top"/>
          </w:tcPr>
          <w:p w14:paraId="3AA020B5">
            <w:pPr>
              <w:rPr>
                <w:rFonts w:ascii="Arial"/>
                <w:sz w:val="21"/>
              </w:rPr>
            </w:pPr>
          </w:p>
        </w:tc>
      </w:tr>
      <w:tr w14:paraId="7CB50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884" w:type="dxa"/>
            <w:vMerge w:val="continue"/>
            <w:tcBorders>
              <w:top w:val="nil"/>
              <w:bottom w:val="nil"/>
            </w:tcBorders>
            <w:vAlign w:val="top"/>
          </w:tcPr>
          <w:p w14:paraId="67BBC53D">
            <w:pPr>
              <w:rPr>
                <w:rFonts w:ascii="Arial"/>
                <w:sz w:val="21"/>
              </w:rPr>
            </w:pPr>
          </w:p>
        </w:tc>
        <w:tc>
          <w:tcPr>
            <w:tcW w:w="1308" w:type="dxa"/>
            <w:gridSpan w:val="3"/>
            <w:vAlign w:val="top"/>
          </w:tcPr>
          <w:p w14:paraId="1A1FD553">
            <w:pPr>
              <w:pStyle w:val="6"/>
              <w:spacing w:before="63" w:line="220" w:lineRule="auto"/>
              <w:ind w:left="190"/>
              <w:rPr>
                <w:sz w:val="18"/>
                <w:szCs w:val="18"/>
              </w:rPr>
            </w:pPr>
            <w:r>
              <w:rPr>
                <w:spacing w:val="-1"/>
                <w:sz w:val="18"/>
                <w:szCs w:val="18"/>
              </w:rPr>
              <w:t>4#表土堆场</w:t>
            </w:r>
          </w:p>
        </w:tc>
        <w:tc>
          <w:tcPr>
            <w:tcW w:w="1867" w:type="dxa"/>
            <w:gridSpan w:val="4"/>
            <w:vAlign w:val="top"/>
          </w:tcPr>
          <w:p w14:paraId="40124C6E">
            <w:pPr>
              <w:pStyle w:val="6"/>
              <w:spacing w:before="62" w:line="219" w:lineRule="auto"/>
              <w:ind w:left="293"/>
              <w:rPr>
                <w:sz w:val="18"/>
                <w:szCs w:val="18"/>
              </w:rPr>
            </w:pPr>
            <w:r>
              <w:rPr>
                <w:spacing w:val="-1"/>
                <w:sz w:val="18"/>
                <w:szCs w:val="18"/>
              </w:rPr>
              <w:t>施工营场地南侧</w:t>
            </w:r>
          </w:p>
        </w:tc>
        <w:tc>
          <w:tcPr>
            <w:tcW w:w="909" w:type="dxa"/>
            <w:gridSpan w:val="2"/>
            <w:vAlign w:val="top"/>
          </w:tcPr>
          <w:p w14:paraId="5BE7872D">
            <w:pPr>
              <w:pStyle w:val="6"/>
              <w:spacing w:before="80" w:line="204" w:lineRule="auto"/>
              <w:ind w:left="265"/>
              <w:rPr>
                <w:sz w:val="18"/>
                <w:szCs w:val="18"/>
              </w:rPr>
            </w:pPr>
            <w:r>
              <w:rPr>
                <w:spacing w:val="-2"/>
                <w:sz w:val="18"/>
                <w:szCs w:val="18"/>
              </w:rPr>
              <w:t>0.05</w:t>
            </w:r>
          </w:p>
        </w:tc>
        <w:tc>
          <w:tcPr>
            <w:tcW w:w="899" w:type="dxa"/>
            <w:gridSpan w:val="2"/>
            <w:vAlign w:val="top"/>
          </w:tcPr>
          <w:p w14:paraId="65BE6D6C">
            <w:pPr>
              <w:pStyle w:val="6"/>
              <w:spacing w:before="80" w:line="204" w:lineRule="auto"/>
              <w:ind w:left="397"/>
              <w:rPr>
                <w:sz w:val="18"/>
                <w:szCs w:val="18"/>
              </w:rPr>
            </w:pPr>
            <w:r>
              <w:rPr>
                <w:sz w:val="18"/>
                <w:szCs w:val="18"/>
              </w:rPr>
              <w:t>3</w:t>
            </w:r>
          </w:p>
        </w:tc>
        <w:tc>
          <w:tcPr>
            <w:tcW w:w="999" w:type="dxa"/>
            <w:gridSpan w:val="2"/>
            <w:vAlign w:val="top"/>
          </w:tcPr>
          <w:p w14:paraId="0EFE477C">
            <w:pPr>
              <w:pStyle w:val="6"/>
              <w:spacing w:before="80" w:line="204" w:lineRule="auto"/>
              <w:ind w:left="318"/>
              <w:rPr>
                <w:sz w:val="18"/>
                <w:szCs w:val="18"/>
              </w:rPr>
            </w:pPr>
            <w:r>
              <w:rPr>
                <w:spacing w:val="-2"/>
                <w:sz w:val="18"/>
                <w:szCs w:val="18"/>
              </w:rPr>
              <w:t>0.14</w:t>
            </w:r>
          </w:p>
        </w:tc>
        <w:tc>
          <w:tcPr>
            <w:tcW w:w="869" w:type="dxa"/>
            <w:vAlign w:val="top"/>
          </w:tcPr>
          <w:p w14:paraId="76E45706">
            <w:pPr>
              <w:pStyle w:val="6"/>
              <w:spacing w:before="80" w:line="204" w:lineRule="auto"/>
              <w:ind w:left="249"/>
              <w:rPr>
                <w:sz w:val="18"/>
                <w:szCs w:val="18"/>
              </w:rPr>
            </w:pPr>
            <w:r>
              <w:rPr>
                <w:spacing w:val="-2"/>
                <w:sz w:val="18"/>
                <w:szCs w:val="18"/>
              </w:rPr>
              <w:t>0.09</w:t>
            </w:r>
          </w:p>
        </w:tc>
        <w:tc>
          <w:tcPr>
            <w:tcW w:w="940" w:type="dxa"/>
            <w:gridSpan w:val="3"/>
            <w:vAlign w:val="top"/>
          </w:tcPr>
          <w:p w14:paraId="53130EE2">
            <w:pPr>
              <w:pStyle w:val="6"/>
              <w:spacing w:before="80" w:line="204" w:lineRule="auto"/>
              <w:ind w:left="290"/>
              <w:rPr>
                <w:sz w:val="18"/>
                <w:szCs w:val="18"/>
              </w:rPr>
            </w:pPr>
            <w:r>
              <w:rPr>
                <w:spacing w:val="-2"/>
                <w:sz w:val="18"/>
                <w:szCs w:val="18"/>
              </w:rPr>
              <w:t>0.12</w:t>
            </w:r>
          </w:p>
        </w:tc>
        <w:tc>
          <w:tcPr>
            <w:tcW w:w="450" w:type="dxa"/>
            <w:gridSpan w:val="2"/>
            <w:vAlign w:val="top"/>
          </w:tcPr>
          <w:p w14:paraId="2653D75B">
            <w:pPr>
              <w:pStyle w:val="6"/>
              <w:spacing w:before="80" w:line="204" w:lineRule="auto"/>
              <w:ind w:left="40"/>
              <w:rPr>
                <w:sz w:val="18"/>
                <w:szCs w:val="18"/>
              </w:rPr>
            </w:pPr>
            <w:r>
              <w:rPr>
                <w:spacing w:val="-2"/>
                <w:sz w:val="18"/>
                <w:szCs w:val="18"/>
              </w:rPr>
              <w:t>0.42</w:t>
            </w:r>
          </w:p>
        </w:tc>
        <w:tc>
          <w:tcPr>
            <w:tcW w:w="145" w:type="dxa"/>
            <w:tcBorders>
              <w:top w:val="nil"/>
              <w:bottom w:val="nil"/>
            </w:tcBorders>
            <w:vAlign w:val="top"/>
          </w:tcPr>
          <w:p w14:paraId="7C16D2EE">
            <w:pPr>
              <w:rPr>
                <w:rFonts w:ascii="Arial"/>
                <w:sz w:val="21"/>
              </w:rPr>
            </w:pPr>
          </w:p>
        </w:tc>
      </w:tr>
      <w:tr w14:paraId="08B04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84" w:type="dxa"/>
            <w:vMerge w:val="continue"/>
            <w:tcBorders>
              <w:top w:val="nil"/>
              <w:bottom w:val="nil"/>
            </w:tcBorders>
            <w:vAlign w:val="top"/>
          </w:tcPr>
          <w:p w14:paraId="6F182A23">
            <w:pPr>
              <w:rPr>
                <w:rFonts w:ascii="Arial"/>
                <w:sz w:val="21"/>
              </w:rPr>
            </w:pPr>
          </w:p>
        </w:tc>
        <w:tc>
          <w:tcPr>
            <w:tcW w:w="1308" w:type="dxa"/>
            <w:gridSpan w:val="3"/>
            <w:vAlign w:val="top"/>
          </w:tcPr>
          <w:p w14:paraId="3296AAE2">
            <w:pPr>
              <w:pStyle w:val="6"/>
              <w:spacing w:before="153" w:line="220" w:lineRule="auto"/>
              <w:ind w:left="190"/>
              <w:rPr>
                <w:sz w:val="18"/>
                <w:szCs w:val="18"/>
              </w:rPr>
            </w:pPr>
            <w:r>
              <w:rPr>
                <w:spacing w:val="1"/>
                <w:sz w:val="18"/>
                <w:szCs w:val="18"/>
              </w:rPr>
              <w:t>5#表土堆场</w:t>
            </w:r>
          </w:p>
        </w:tc>
        <w:tc>
          <w:tcPr>
            <w:tcW w:w="1867" w:type="dxa"/>
            <w:gridSpan w:val="4"/>
            <w:vAlign w:val="top"/>
          </w:tcPr>
          <w:p w14:paraId="3C9D81F6">
            <w:pPr>
              <w:pStyle w:val="6"/>
              <w:spacing w:before="42" w:line="219" w:lineRule="auto"/>
              <w:ind w:left="832" w:right="168" w:hanging="669"/>
              <w:rPr>
                <w:sz w:val="18"/>
                <w:szCs w:val="18"/>
              </w:rPr>
            </w:pPr>
            <w:r>
              <w:rPr>
                <w:spacing w:val="-1"/>
                <w:sz w:val="18"/>
                <w:szCs w:val="18"/>
              </w:rPr>
              <w:t>T14箱变南侧方阵空</w:t>
            </w:r>
            <w:r>
              <w:rPr>
                <w:spacing w:val="4"/>
                <w:sz w:val="18"/>
                <w:szCs w:val="18"/>
              </w:rPr>
              <w:t xml:space="preserve"> </w:t>
            </w:r>
            <w:r>
              <w:rPr>
                <w:sz w:val="18"/>
                <w:szCs w:val="18"/>
              </w:rPr>
              <w:t>地</w:t>
            </w:r>
          </w:p>
        </w:tc>
        <w:tc>
          <w:tcPr>
            <w:tcW w:w="909" w:type="dxa"/>
            <w:gridSpan w:val="2"/>
            <w:vAlign w:val="top"/>
          </w:tcPr>
          <w:p w14:paraId="794EE7AB">
            <w:pPr>
              <w:pStyle w:val="6"/>
              <w:spacing w:before="171" w:line="239" w:lineRule="auto"/>
              <w:ind w:left="265"/>
              <w:rPr>
                <w:sz w:val="18"/>
                <w:szCs w:val="18"/>
              </w:rPr>
            </w:pPr>
            <w:r>
              <w:rPr>
                <w:spacing w:val="-2"/>
                <w:sz w:val="18"/>
                <w:szCs w:val="18"/>
              </w:rPr>
              <w:t>0.09</w:t>
            </w:r>
          </w:p>
        </w:tc>
        <w:tc>
          <w:tcPr>
            <w:tcW w:w="899" w:type="dxa"/>
            <w:gridSpan w:val="2"/>
            <w:vAlign w:val="top"/>
          </w:tcPr>
          <w:p w14:paraId="0D75C1EC">
            <w:pPr>
              <w:pStyle w:val="6"/>
              <w:spacing w:before="170"/>
              <w:ind w:left="397"/>
              <w:rPr>
                <w:sz w:val="18"/>
                <w:szCs w:val="18"/>
              </w:rPr>
            </w:pPr>
            <w:r>
              <w:rPr>
                <w:sz w:val="18"/>
                <w:szCs w:val="18"/>
              </w:rPr>
              <w:t>3</w:t>
            </w:r>
          </w:p>
        </w:tc>
        <w:tc>
          <w:tcPr>
            <w:tcW w:w="999" w:type="dxa"/>
            <w:gridSpan w:val="2"/>
            <w:vAlign w:val="top"/>
          </w:tcPr>
          <w:p w14:paraId="3EF3C176">
            <w:pPr>
              <w:pStyle w:val="6"/>
              <w:spacing w:before="171" w:line="239" w:lineRule="auto"/>
              <w:ind w:left="318"/>
              <w:rPr>
                <w:sz w:val="18"/>
                <w:szCs w:val="18"/>
              </w:rPr>
            </w:pPr>
            <w:r>
              <w:rPr>
                <w:spacing w:val="-2"/>
                <w:sz w:val="18"/>
                <w:szCs w:val="18"/>
              </w:rPr>
              <w:t>0.24</w:t>
            </w:r>
          </w:p>
        </w:tc>
        <w:tc>
          <w:tcPr>
            <w:tcW w:w="869" w:type="dxa"/>
            <w:vAlign w:val="top"/>
          </w:tcPr>
          <w:p w14:paraId="6D4116BF">
            <w:pPr>
              <w:pStyle w:val="6"/>
              <w:spacing w:before="171" w:line="239" w:lineRule="auto"/>
              <w:ind w:left="249"/>
              <w:rPr>
                <w:sz w:val="18"/>
                <w:szCs w:val="18"/>
              </w:rPr>
            </w:pPr>
            <w:r>
              <w:rPr>
                <w:spacing w:val="-2"/>
                <w:sz w:val="18"/>
                <w:szCs w:val="18"/>
              </w:rPr>
              <w:t>0.16</w:t>
            </w:r>
          </w:p>
        </w:tc>
        <w:tc>
          <w:tcPr>
            <w:tcW w:w="940" w:type="dxa"/>
            <w:gridSpan w:val="3"/>
            <w:vAlign w:val="top"/>
          </w:tcPr>
          <w:p w14:paraId="7F33EF9B">
            <w:pPr>
              <w:pStyle w:val="6"/>
              <w:spacing w:before="171" w:line="239" w:lineRule="auto"/>
              <w:ind w:left="290"/>
              <w:rPr>
                <w:sz w:val="18"/>
                <w:szCs w:val="18"/>
              </w:rPr>
            </w:pPr>
            <w:r>
              <w:rPr>
                <w:spacing w:val="-2"/>
                <w:sz w:val="18"/>
                <w:szCs w:val="18"/>
              </w:rPr>
              <w:t>0.21</w:t>
            </w:r>
          </w:p>
        </w:tc>
        <w:tc>
          <w:tcPr>
            <w:tcW w:w="450" w:type="dxa"/>
            <w:gridSpan w:val="2"/>
            <w:vAlign w:val="top"/>
          </w:tcPr>
          <w:p w14:paraId="220627E4">
            <w:pPr>
              <w:pStyle w:val="6"/>
              <w:spacing w:before="171" w:line="239" w:lineRule="auto"/>
              <w:ind w:left="40"/>
              <w:rPr>
                <w:sz w:val="18"/>
                <w:szCs w:val="18"/>
              </w:rPr>
            </w:pPr>
            <w:r>
              <w:rPr>
                <w:spacing w:val="-2"/>
                <w:sz w:val="18"/>
                <w:szCs w:val="18"/>
              </w:rPr>
              <w:t>0.42</w:t>
            </w:r>
          </w:p>
        </w:tc>
        <w:tc>
          <w:tcPr>
            <w:tcW w:w="145" w:type="dxa"/>
            <w:tcBorders>
              <w:top w:val="nil"/>
              <w:bottom w:val="nil"/>
            </w:tcBorders>
            <w:vAlign w:val="top"/>
          </w:tcPr>
          <w:p w14:paraId="49C664FB">
            <w:pPr>
              <w:rPr>
                <w:rFonts w:ascii="Arial"/>
                <w:sz w:val="21"/>
              </w:rPr>
            </w:pPr>
          </w:p>
        </w:tc>
      </w:tr>
      <w:tr w14:paraId="00746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884" w:type="dxa"/>
            <w:vMerge w:val="continue"/>
            <w:tcBorders>
              <w:top w:val="nil"/>
              <w:bottom w:val="nil"/>
            </w:tcBorders>
            <w:vAlign w:val="top"/>
          </w:tcPr>
          <w:p w14:paraId="2639FBEF">
            <w:pPr>
              <w:rPr>
                <w:rFonts w:ascii="Arial"/>
                <w:sz w:val="21"/>
              </w:rPr>
            </w:pPr>
          </w:p>
        </w:tc>
        <w:tc>
          <w:tcPr>
            <w:tcW w:w="1308" w:type="dxa"/>
            <w:gridSpan w:val="3"/>
            <w:vAlign w:val="top"/>
          </w:tcPr>
          <w:p w14:paraId="671E2C9E">
            <w:pPr>
              <w:pStyle w:val="6"/>
              <w:spacing w:before="143" w:line="220" w:lineRule="auto"/>
              <w:ind w:left="190"/>
              <w:rPr>
                <w:sz w:val="18"/>
                <w:szCs w:val="18"/>
              </w:rPr>
            </w:pPr>
            <w:r>
              <w:rPr>
                <w:spacing w:val="-2"/>
                <w:sz w:val="18"/>
                <w:szCs w:val="18"/>
              </w:rPr>
              <w:t>6#表土堆场</w:t>
            </w:r>
          </w:p>
        </w:tc>
        <w:tc>
          <w:tcPr>
            <w:tcW w:w="1867" w:type="dxa"/>
            <w:gridSpan w:val="4"/>
            <w:vAlign w:val="top"/>
          </w:tcPr>
          <w:p w14:paraId="07D457AE">
            <w:pPr>
              <w:pStyle w:val="6"/>
              <w:spacing w:before="33" w:line="213" w:lineRule="auto"/>
              <w:ind w:left="812" w:right="168" w:hanging="649"/>
              <w:rPr>
                <w:sz w:val="18"/>
                <w:szCs w:val="18"/>
              </w:rPr>
            </w:pPr>
            <w:r>
              <w:rPr>
                <w:spacing w:val="-1"/>
                <w:sz w:val="18"/>
                <w:szCs w:val="18"/>
              </w:rPr>
              <w:t>T19箱变东侧方阵空</w:t>
            </w:r>
            <w:r>
              <w:rPr>
                <w:spacing w:val="4"/>
                <w:sz w:val="18"/>
                <w:szCs w:val="18"/>
              </w:rPr>
              <w:t xml:space="preserve"> </w:t>
            </w:r>
            <w:r>
              <w:rPr>
                <w:sz w:val="18"/>
                <w:szCs w:val="18"/>
              </w:rPr>
              <w:t>地</w:t>
            </w:r>
          </w:p>
        </w:tc>
        <w:tc>
          <w:tcPr>
            <w:tcW w:w="909" w:type="dxa"/>
            <w:gridSpan w:val="2"/>
            <w:vAlign w:val="top"/>
          </w:tcPr>
          <w:p w14:paraId="20B1CC3F">
            <w:pPr>
              <w:pStyle w:val="6"/>
              <w:spacing w:before="161" w:line="239" w:lineRule="auto"/>
              <w:ind w:left="265"/>
              <w:rPr>
                <w:sz w:val="18"/>
                <w:szCs w:val="18"/>
              </w:rPr>
            </w:pPr>
            <w:r>
              <w:rPr>
                <w:spacing w:val="-2"/>
                <w:sz w:val="18"/>
                <w:szCs w:val="18"/>
              </w:rPr>
              <w:t>0.09</w:t>
            </w:r>
          </w:p>
        </w:tc>
        <w:tc>
          <w:tcPr>
            <w:tcW w:w="899" w:type="dxa"/>
            <w:gridSpan w:val="2"/>
            <w:vAlign w:val="top"/>
          </w:tcPr>
          <w:p w14:paraId="0628E9F7">
            <w:pPr>
              <w:pStyle w:val="6"/>
              <w:spacing w:before="160"/>
              <w:ind w:left="397"/>
              <w:rPr>
                <w:sz w:val="18"/>
                <w:szCs w:val="18"/>
              </w:rPr>
            </w:pPr>
            <w:r>
              <w:rPr>
                <w:sz w:val="18"/>
                <w:szCs w:val="18"/>
              </w:rPr>
              <w:t>3</w:t>
            </w:r>
          </w:p>
        </w:tc>
        <w:tc>
          <w:tcPr>
            <w:tcW w:w="999" w:type="dxa"/>
            <w:gridSpan w:val="2"/>
            <w:vAlign w:val="top"/>
          </w:tcPr>
          <w:p w14:paraId="7253BAF7">
            <w:pPr>
              <w:pStyle w:val="6"/>
              <w:spacing w:before="161" w:line="239" w:lineRule="auto"/>
              <w:ind w:left="318"/>
              <w:rPr>
                <w:sz w:val="18"/>
                <w:szCs w:val="18"/>
              </w:rPr>
            </w:pPr>
            <w:r>
              <w:rPr>
                <w:spacing w:val="-2"/>
                <w:sz w:val="18"/>
                <w:szCs w:val="18"/>
              </w:rPr>
              <w:t>0.24</w:t>
            </w:r>
          </w:p>
        </w:tc>
        <w:tc>
          <w:tcPr>
            <w:tcW w:w="869" w:type="dxa"/>
            <w:vAlign w:val="top"/>
          </w:tcPr>
          <w:p w14:paraId="5EB632EC">
            <w:pPr>
              <w:pStyle w:val="6"/>
              <w:spacing w:before="161" w:line="239" w:lineRule="auto"/>
              <w:ind w:left="249"/>
              <w:rPr>
                <w:sz w:val="18"/>
                <w:szCs w:val="18"/>
              </w:rPr>
            </w:pPr>
            <w:r>
              <w:rPr>
                <w:spacing w:val="-2"/>
                <w:sz w:val="18"/>
                <w:szCs w:val="18"/>
              </w:rPr>
              <w:t>0.16</w:t>
            </w:r>
          </w:p>
        </w:tc>
        <w:tc>
          <w:tcPr>
            <w:tcW w:w="940" w:type="dxa"/>
            <w:gridSpan w:val="3"/>
            <w:vAlign w:val="top"/>
          </w:tcPr>
          <w:p w14:paraId="602E6C52">
            <w:pPr>
              <w:pStyle w:val="6"/>
              <w:spacing w:before="161" w:line="239" w:lineRule="auto"/>
              <w:ind w:left="290"/>
              <w:rPr>
                <w:sz w:val="18"/>
                <w:szCs w:val="18"/>
              </w:rPr>
            </w:pPr>
            <w:r>
              <w:rPr>
                <w:spacing w:val="-2"/>
                <w:sz w:val="18"/>
                <w:szCs w:val="18"/>
              </w:rPr>
              <w:t>0.21</w:t>
            </w:r>
          </w:p>
        </w:tc>
        <w:tc>
          <w:tcPr>
            <w:tcW w:w="450" w:type="dxa"/>
            <w:gridSpan w:val="2"/>
            <w:vAlign w:val="top"/>
          </w:tcPr>
          <w:p w14:paraId="0E939EB2">
            <w:pPr>
              <w:pStyle w:val="6"/>
              <w:spacing w:before="161" w:line="239" w:lineRule="auto"/>
              <w:ind w:left="40"/>
              <w:rPr>
                <w:sz w:val="18"/>
                <w:szCs w:val="18"/>
              </w:rPr>
            </w:pPr>
            <w:r>
              <w:rPr>
                <w:spacing w:val="-2"/>
                <w:sz w:val="18"/>
                <w:szCs w:val="18"/>
              </w:rPr>
              <w:t>0.42</w:t>
            </w:r>
          </w:p>
        </w:tc>
        <w:tc>
          <w:tcPr>
            <w:tcW w:w="145" w:type="dxa"/>
            <w:tcBorders>
              <w:top w:val="nil"/>
              <w:bottom w:val="nil"/>
            </w:tcBorders>
            <w:vAlign w:val="top"/>
          </w:tcPr>
          <w:p w14:paraId="5DDD59B0">
            <w:pPr>
              <w:rPr>
                <w:rFonts w:ascii="Arial"/>
                <w:sz w:val="21"/>
              </w:rPr>
            </w:pPr>
          </w:p>
        </w:tc>
      </w:tr>
      <w:tr w14:paraId="00871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84" w:type="dxa"/>
            <w:vMerge w:val="continue"/>
            <w:tcBorders>
              <w:top w:val="nil"/>
              <w:bottom w:val="nil"/>
            </w:tcBorders>
            <w:vAlign w:val="top"/>
          </w:tcPr>
          <w:p w14:paraId="23E515A2">
            <w:pPr>
              <w:rPr>
                <w:rFonts w:ascii="Arial"/>
                <w:sz w:val="21"/>
              </w:rPr>
            </w:pPr>
          </w:p>
        </w:tc>
        <w:tc>
          <w:tcPr>
            <w:tcW w:w="1308" w:type="dxa"/>
            <w:gridSpan w:val="3"/>
            <w:vAlign w:val="top"/>
          </w:tcPr>
          <w:p w14:paraId="775B417A">
            <w:pPr>
              <w:pStyle w:val="6"/>
              <w:spacing w:before="154" w:line="220" w:lineRule="auto"/>
              <w:ind w:left="190"/>
              <w:rPr>
                <w:sz w:val="18"/>
                <w:szCs w:val="18"/>
              </w:rPr>
            </w:pPr>
            <w:r>
              <w:rPr>
                <w:spacing w:val="1"/>
                <w:sz w:val="18"/>
                <w:szCs w:val="18"/>
              </w:rPr>
              <w:t>7#表土堆场</w:t>
            </w:r>
          </w:p>
        </w:tc>
        <w:tc>
          <w:tcPr>
            <w:tcW w:w="1867" w:type="dxa"/>
            <w:gridSpan w:val="4"/>
            <w:vAlign w:val="top"/>
          </w:tcPr>
          <w:p w14:paraId="6E98CC70">
            <w:pPr>
              <w:pStyle w:val="6"/>
              <w:spacing w:before="44" w:line="218" w:lineRule="auto"/>
              <w:ind w:left="832" w:right="168" w:hanging="669"/>
              <w:rPr>
                <w:sz w:val="18"/>
                <w:szCs w:val="18"/>
              </w:rPr>
            </w:pPr>
            <w:r>
              <w:rPr>
                <w:spacing w:val="-1"/>
                <w:sz w:val="18"/>
                <w:szCs w:val="18"/>
              </w:rPr>
              <w:t>T22箱变南侧方阵空</w:t>
            </w:r>
            <w:r>
              <w:rPr>
                <w:spacing w:val="4"/>
                <w:sz w:val="18"/>
                <w:szCs w:val="18"/>
              </w:rPr>
              <w:t xml:space="preserve"> </w:t>
            </w:r>
            <w:r>
              <w:rPr>
                <w:sz w:val="18"/>
                <w:szCs w:val="18"/>
              </w:rPr>
              <w:t>地</w:t>
            </w:r>
          </w:p>
        </w:tc>
        <w:tc>
          <w:tcPr>
            <w:tcW w:w="909" w:type="dxa"/>
            <w:gridSpan w:val="2"/>
            <w:vAlign w:val="top"/>
          </w:tcPr>
          <w:p w14:paraId="448960EA">
            <w:pPr>
              <w:pStyle w:val="6"/>
              <w:spacing w:before="172" w:line="239" w:lineRule="auto"/>
              <w:ind w:left="265"/>
              <w:rPr>
                <w:sz w:val="18"/>
                <w:szCs w:val="18"/>
              </w:rPr>
            </w:pPr>
            <w:r>
              <w:rPr>
                <w:spacing w:val="-2"/>
                <w:sz w:val="18"/>
                <w:szCs w:val="18"/>
              </w:rPr>
              <w:t>0.14</w:t>
            </w:r>
          </w:p>
        </w:tc>
        <w:tc>
          <w:tcPr>
            <w:tcW w:w="899" w:type="dxa"/>
            <w:gridSpan w:val="2"/>
            <w:vAlign w:val="top"/>
          </w:tcPr>
          <w:p w14:paraId="6B32A1B3">
            <w:pPr>
              <w:pStyle w:val="6"/>
              <w:spacing w:before="171"/>
              <w:ind w:left="397"/>
              <w:rPr>
                <w:sz w:val="18"/>
                <w:szCs w:val="18"/>
              </w:rPr>
            </w:pPr>
            <w:r>
              <w:rPr>
                <w:sz w:val="18"/>
                <w:szCs w:val="18"/>
              </w:rPr>
              <w:t>3</w:t>
            </w:r>
          </w:p>
        </w:tc>
        <w:tc>
          <w:tcPr>
            <w:tcW w:w="999" w:type="dxa"/>
            <w:gridSpan w:val="2"/>
            <w:vAlign w:val="top"/>
          </w:tcPr>
          <w:p w14:paraId="7CAAC40E">
            <w:pPr>
              <w:pStyle w:val="6"/>
              <w:spacing w:before="172" w:line="239" w:lineRule="auto"/>
              <w:ind w:left="318"/>
              <w:rPr>
                <w:sz w:val="18"/>
                <w:szCs w:val="18"/>
              </w:rPr>
            </w:pPr>
            <w:r>
              <w:rPr>
                <w:spacing w:val="-2"/>
                <w:sz w:val="18"/>
                <w:szCs w:val="18"/>
              </w:rPr>
              <w:t>0.39</w:t>
            </w:r>
          </w:p>
        </w:tc>
        <w:tc>
          <w:tcPr>
            <w:tcW w:w="869" w:type="dxa"/>
            <w:vAlign w:val="top"/>
          </w:tcPr>
          <w:p w14:paraId="547EA8E3">
            <w:pPr>
              <w:pStyle w:val="6"/>
              <w:spacing w:before="172" w:line="239" w:lineRule="auto"/>
              <w:ind w:left="249"/>
              <w:rPr>
                <w:sz w:val="18"/>
                <w:szCs w:val="18"/>
              </w:rPr>
            </w:pPr>
            <w:r>
              <w:rPr>
                <w:spacing w:val="-2"/>
                <w:sz w:val="18"/>
                <w:szCs w:val="18"/>
              </w:rPr>
              <w:t>0.26</w:t>
            </w:r>
          </w:p>
        </w:tc>
        <w:tc>
          <w:tcPr>
            <w:tcW w:w="940" w:type="dxa"/>
            <w:gridSpan w:val="3"/>
            <w:vAlign w:val="top"/>
          </w:tcPr>
          <w:p w14:paraId="0FD444F9">
            <w:pPr>
              <w:pStyle w:val="6"/>
              <w:spacing w:before="172" w:line="239" w:lineRule="auto"/>
              <w:ind w:left="290"/>
              <w:rPr>
                <w:sz w:val="18"/>
                <w:szCs w:val="18"/>
              </w:rPr>
            </w:pPr>
            <w:r>
              <w:rPr>
                <w:spacing w:val="-2"/>
                <w:sz w:val="18"/>
                <w:szCs w:val="18"/>
              </w:rPr>
              <w:t>0.35</w:t>
            </w:r>
          </w:p>
        </w:tc>
        <w:tc>
          <w:tcPr>
            <w:tcW w:w="450" w:type="dxa"/>
            <w:gridSpan w:val="2"/>
            <w:vAlign w:val="top"/>
          </w:tcPr>
          <w:p w14:paraId="55CD1277">
            <w:pPr>
              <w:pStyle w:val="6"/>
              <w:spacing w:before="172" w:line="239" w:lineRule="auto"/>
              <w:ind w:left="40"/>
              <w:rPr>
                <w:sz w:val="18"/>
                <w:szCs w:val="18"/>
              </w:rPr>
            </w:pPr>
            <w:r>
              <w:rPr>
                <w:spacing w:val="-2"/>
                <w:sz w:val="18"/>
                <w:szCs w:val="18"/>
              </w:rPr>
              <w:t>0.42</w:t>
            </w:r>
          </w:p>
        </w:tc>
        <w:tc>
          <w:tcPr>
            <w:tcW w:w="145" w:type="dxa"/>
            <w:tcBorders>
              <w:top w:val="nil"/>
              <w:bottom w:val="nil"/>
            </w:tcBorders>
            <w:vAlign w:val="top"/>
          </w:tcPr>
          <w:p w14:paraId="36324CC3">
            <w:pPr>
              <w:rPr>
                <w:rFonts w:ascii="Arial"/>
                <w:sz w:val="21"/>
              </w:rPr>
            </w:pPr>
          </w:p>
        </w:tc>
      </w:tr>
      <w:tr w14:paraId="5E5B0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84" w:type="dxa"/>
            <w:vMerge w:val="continue"/>
            <w:tcBorders>
              <w:top w:val="nil"/>
              <w:bottom w:val="nil"/>
            </w:tcBorders>
            <w:vAlign w:val="top"/>
          </w:tcPr>
          <w:p w14:paraId="1041721F">
            <w:pPr>
              <w:rPr>
                <w:rFonts w:ascii="Arial"/>
                <w:sz w:val="21"/>
              </w:rPr>
            </w:pPr>
          </w:p>
        </w:tc>
        <w:tc>
          <w:tcPr>
            <w:tcW w:w="3175" w:type="dxa"/>
            <w:gridSpan w:val="7"/>
            <w:vAlign w:val="top"/>
          </w:tcPr>
          <w:p w14:paraId="6769F2C0">
            <w:pPr>
              <w:pStyle w:val="6"/>
              <w:spacing w:before="55" w:line="220" w:lineRule="auto"/>
              <w:ind w:left="1401"/>
              <w:rPr>
                <w:sz w:val="18"/>
                <w:szCs w:val="18"/>
              </w:rPr>
            </w:pPr>
            <w:r>
              <w:rPr>
                <w:spacing w:val="-2"/>
                <w:sz w:val="18"/>
                <w:szCs w:val="18"/>
              </w:rPr>
              <w:t>合计</w:t>
            </w:r>
          </w:p>
        </w:tc>
        <w:tc>
          <w:tcPr>
            <w:tcW w:w="909" w:type="dxa"/>
            <w:gridSpan w:val="2"/>
            <w:vAlign w:val="top"/>
          </w:tcPr>
          <w:p w14:paraId="5AE7B525">
            <w:pPr>
              <w:pStyle w:val="6"/>
              <w:spacing w:before="72" w:line="203" w:lineRule="auto"/>
              <w:ind w:left="265"/>
              <w:rPr>
                <w:sz w:val="18"/>
                <w:szCs w:val="18"/>
              </w:rPr>
            </w:pPr>
            <w:r>
              <w:rPr>
                <w:spacing w:val="-2"/>
                <w:sz w:val="18"/>
                <w:szCs w:val="18"/>
              </w:rPr>
              <w:t>0.60</w:t>
            </w:r>
          </w:p>
        </w:tc>
        <w:tc>
          <w:tcPr>
            <w:tcW w:w="899" w:type="dxa"/>
            <w:gridSpan w:val="2"/>
            <w:vAlign w:val="top"/>
          </w:tcPr>
          <w:p w14:paraId="76C15EC5">
            <w:pPr>
              <w:rPr>
                <w:rFonts w:ascii="Arial"/>
                <w:sz w:val="21"/>
              </w:rPr>
            </w:pPr>
          </w:p>
        </w:tc>
        <w:tc>
          <w:tcPr>
            <w:tcW w:w="999" w:type="dxa"/>
            <w:gridSpan w:val="2"/>
            <w:vAlign w:val="top"/>
          </w:tcPr>
          <w:p w14:paraId="78AA1013">
            <w:pPr>
              <w:pStyle w:val="6"/>
              <w:spacing w:before="72" w:line="203" w:lineRule="auto"/>
              <w:ind w:left="318"/>
              <w:rPr>
                <w:sz w:val="18"/>
                <w:szCs w:val="18"/>
              </w:rPr>
            </w:pPr>
            <w:r>
              <w:rPr>
                <w:spacing w:val="-4"/>
                <w:sz w:val="18"/>
                <w:szCs w:val="18"/>
              </w:rPr>
              <w:t>1.62</w:t>
            </w:r>
          </w:p>
        </w:tc>
        <w:tc>
          <w:tcPr>
            <w:tcW w:w="869" w:type="dxa"/>
            <w:vAlign w:val="top"/>
          </w:tcPr>
          <w:p w14:paraId="1F09298D">
            <w:pPr>
              <w:pStyle w:val="6"/>
              <w:spacing w:before="72" w:line="203" w:lineRule="auto"/>
              <w:ind w:left="249"/>
              <w:rPr>
                <w:sz w:val="18"/>
                <w:szCs w:val="18"/>
              </w:rPr>
            </w:pPr>
            <w:r>
              <w:rPr>
                <w:spacing w:val="-4"/>
                <w:sz w:val="18"/>
                <w:szCs w:val="18"/>
              </w:rPr>
              <w:t>1.08</w:t>
            </w:r>
          </w:p>
        </w:tc>
        <w:tc>
          <w:tcPr>
            <w:tcW w:w="940" w:type="dxa"/>
            <w:gridSpan w:val="3"/>
            <w:vAlign w:val="top"/>
          </w:tcPr>
          <w:p w14:paraId="200C466C">
            <w:pPr>
              <w:pStyle w:val="6"/>
              <w:spacing w:before="72" w:line="203" w:lineRule="auto"/>
              <w:ind w:left="290"/>
              <w:rPr>
                <w:sz w:val="18"/>
                <w:szCs w:val="18"/>
              </w:rPr>
            </w:pPr>
            <w:r>
              <w:rPr>
                <w:spacing w:val="-4"/>
                <w:sz w:val="18"/>
                <w:szCs w:val="18"/>
              </w:rPr>
              <w:t>1.43</w:t>
            </w:r>
          </w:p>
        </w:tc>
        <w:tc>
          <w:tcPr>
            <w:tcW w:w="450" w:type="dxa"/>
            <w:gridSpan w:val="2"/>
            <w:vAlign w:val="top"/>
          </w:tcPr>
          <w:p w14:paraId="78859000">
            <w:pPr>
              <w:rPr>
                <w:rFonts w:ascii="Arial"/>
                <w:sz w:val="21"/>
              </w:rPr>
            </w:pPr>
          </w:p>
        </w:tc>
        <w:tc>
          <w:tcPr>
            <w:tcW w:w="145" w:type="dxa"/>
            <w:tcBorders>
              <w:top w:val="nil"/>
              <w:bottom w:val="nil"/>
            </w:tcBorders>
            <w:vAlign w:val="top"/>
          </w:tcPr>
          <w:p w14:paraId="640C7C4F">
            <w:pPr>
              <w:rPr>
                <w:rFonts w:ascii="Arial"/>
                <w:sz w:val="21"/>
              </w:rPr>
            </w:pPr>
          </w:p>
        </w:tc>
      </w:tr>
      <w:tr w14:paraId="4D0F5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8" w:hRule="atLeast"/>
        </w:trPr>
        <w:tc>
          <w:tcPr>
            <w:tcW w:w="884" w:type="dxa"/>
            <w:vMerge w:val="continue"/>
            <w:tcBorders>
              <w:top w:val="nil"/>
              <w:bottom w:val="nil"/>
            </w:tcBorders>
            <w:vAlign w:val="top"/>
          </w:tcPr>
          <w:p w14:paraId="092464CA">
            <w:pPr>
              <w:rPr>
                <w:rFonts w:ascii="Arial"/>
                <w:sz w:val="21"/>
              </w:rPr>
            </w:pPr>
          </w:p>
        </w:tc>
        <w:tc>
          <w:tcPr>
            <w:tcW w:w="8241" w:type="dxa"/>
            <w:gridSpan w:val="19"/>
            <w:vAlign w:val="top"/>
          </w:tcPr>
          <w:p w14:paraId="25F1E94A">
            <w:pPr>
              <w:pStyle w:val="6"/>
              <w:spacing w:before="23" w:line="193" w:lineRule="auto"/>
              <w:ind w:left="14"/>
              <w:rPr>
                <w:sz w:val="24"/>
                <w:szCs w:val="24"/>
              </w:rPr>
            </w:pPr>
            <w:r>
              <w:rPr>
                <w:b/>
                <w:bCs/>
                <w:spacing w:val="-3"/>
                <w:sz w:val="24"/>
                <w:szCs w:val="24"/>
              </w:rPr>
              <w:t>注：表土堆场位于项目红线范围内，因此，表土堆场占地不再单独计列。</w:t>
            </w:r>
          </w:p>
          <w:p w14:paraId="6149B5E8">
            <w:pPr>
              <w:pStyle w:val="6"/>
              <w:spacing w:line="220" w:lineRule="auto"/>
              <w:ind w:left="44"/>
              <w:rPr>
                <w:sz w:val="24"/>
                <w:szCs w:val="24"/>
              </w:rPr>
            </w:pPr>
            <w:r>
              <w:rPr>
                <w:b/>
                <w:bCs/>
                <w:spacing w:val="-2"/>
                <w:sz w:val="24"/>
                <w:szCs w:val="24"/>
              </w:rPr>
              <w:t>5.1.2土石方平衡及流向</w:t>
            </w:r>
          </w:p>
          <w:p w14:paraId="0F5DA2D2">
            <w:pPr>
              <w:pStyle w:val="6"/>
              <w:spacing w:before="183" w:line="359" w:lineRule="auto"/>
              <w:ind w:left="11" w:right="389" w:firstLine="380"/>
              <w:jc w:val="both"/>
              <w:rPr>
                <w:sz w:val="24"/>
                <w:szCs w:val="24"/>
              </w:rPr>
            </w:pPr>
            <w:r>
              <w:rPr>
                <w:spacing w:val="7"/>
                <w:sz w:val="24"/>
                <w:szCs w:val="24"/>
              </w:rPr>
              <w:t>本项目建设共计开挖土石方总量为3.88万m³(其中表土</w:t>
            </w:r>
            <w:r>
              <w:rPr>
                <w:spacing w:val="6"/>
                <w:sz w:val="24"/>
                <w:szCs w:val="24"/>
              </w:rPr>
              <w:t>1.08万m³,一般</w:t>
            </w:r>
            <w:r>
              <w:rPr>
                <w:sz w:val="24"/>
                <w:szCs w:val="24"/>
              </w:rPr>
              <w:t xml:space="preserve"> </w:t>
            </w:r>
            <w:r>
              <w:rPr>
                <w:spacing w:val="9"/>
                <w:sz w:val="24"/>
                <w:szCs w:val="24"/>
              </w:rPr>
              <w:t>土石方2.80万m³),回填一般土石方3.88万m³(其中表土1.</w:t>
            </w:r>
            <w:r>
              <w:rPr>
                <w:spacing w:val="8"/>
                <w:sz w:val="24"/>
                <w:szCs w:val="24"/>
              </w:rPr>
              <w:t>08万m³,一般土</w:t>
            </w:r>
            <w:r>
              <w:rPr>
                <w:sz w:val="24"/>
                <w:szCs w:val="24"/>
              </w:rPr>
              <w:t xml:space="preserve"> </w:t>
            </w:r>
            <w:r>
              <w:rPr>
                <w:spacing w:val="3"/>
                <w:sz w:val="24"/>
                <w:szCs w:val="24"/>
              </w:rPr>
              <w:t>石方2.80万m³),项目建设不产生余方。土石方平衡及流向汇总详见下表。</w:t>
            </w:r>
          </w:p>
          <w:p w14:paraId="7A178351">
            <w:pPr>
              <w:pStyle w:val="6"/>
              <w:spacing w:line="203" w:lineRule="auto"/>
              <w:ind w:left="1544"/>
              <w:rPr>
                <w:sz w:val="24"/>
                <w:szCs w:val="24"/>
              </w:rPr>
            </w:pPr>
            <w:r>
              <w:rPr>
                <w:b/>
                <w:bCs/>
                <w:spacing w:val="4"/>
                <w:sz w:val="24"/>
                <w:szCs w:val="24"/>
              </w:rPr>
              <w:t>表4-10土石方平衡及流向汇总分析表单位：万m³</w:t>
            </w:r>
          </w:p>
        </w:tc>
        <w:tc>
          <w:tcPr>
            <w:tcW w:w="145" w:type="dxa"/>
            <w:tcBorders>
              <w:top w:val="nil"/>
              <w:bottom w:val="nil"/>
            </w:tcBorders>
            <w:vAlign w:val="top"/>
          </w:tcPr>
          <w:p w14:paraId="216B3D42">
            <w:pPr>
              <w:rPr>
                <w:rFonts w:ascii="Arial"/>
                <w:sz w:val="21"/>
              </w:rPr>
            </w:pPr>
          </w:p>
        </w:tc>
      </w:tr>
      <w:tr w14:paraId="5875F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4" w:type="dxa"/>
            <w:vMerge w:val="continue"/>
            <w:tcBorders>
              <w:top w:val="nil"/>
              <w:bottom w:val="nil"/>
            </w:tcBorders>
            <w:vAlign w:val="top"/>
          </w:tcPr>
          <w:p w14:paraId="1803946A">
            <w:pPr>
              <w:rPr>
                <w:rFonts w:ascii="Arial"/>
                <w:sz w:val="21"/>
              </w:rPr>
            </w:pPr>
          </w:p>
        </w:tc>
        <w:tc>
          <w:tcPr>
            <w:tcW w:w="140" w:type="dxa"/>
            <w:vMerge w:val="restart"/>
            <w:tcBorders>
              <w:bottom w:val="nil"/>
            </w:tcBorders>
            <w:vAlign w:val="top"/>
          </w:tcPr>
          <w:p w14:paraId="1955568B">
            <w:pPr>
              <w:rPr>
                <w:rFonts w:ascii="Arial"/>
                <w:sz w:val="21"/>
              </w:rPr>
            </w:pPr>
          </w:p>
        </w:tc>
        <w:tc>
          <w:tcPr>
            <w:tcW w:w="619" w:type="dxa"/>
            <w:vMerge w:val="restart"/>
            <w:tcBorders>
              <w:bottom w:val="nil"/>
            </w:tcBorders>
            <w:vAlign w:val="top"/>
          </w:tcPr>
          <w:p w14:paraId="5093042B">
            <w:pPr>
              <w:spacing w:line="252" w:lineRule="auto"/>
              <w:rPr>
                <w:rFonts w:ascii="Arial"/>
                <w:sz w:val="21"/>
              </w:rPr>
            </w:pPr>
          </w:p>
          <w:p w14:paraId="3A71B1B3">
            <w:pPr>
              <w:spacing w:line="253" w:lineRule="auto"/>
              <w:rPr>
                <w:rFonts w:ascii="Arial"/>
                <w:sz w:val="21"/>
              </w:rPr>
            </w:pPr>
          </w:p>
          <w:p w14:paraId="57CC30CC">
            <w:pPr>
              <w:pStyle w:val="6"/>
              <w:spacing w:before="59" w:line="229" w:lineRule="auto"/>
              <w:ind w:left="121" w:right="93"/>
              <w:rPr>
                <w:sz w:val="18"/>
                <w:szCs w:val="18"/>
              </w:rPr>
            </w:pPr>
            <w:r>
              <w:rPr>
                <w:spacing w:val="-26"/>
                <w:sz w:val="18"/>
                <w:szCs w:val="18"/>
              </w:rPr>
              <w:t>项</w:t>
            </w:r>
            <w:r>
              <w:rPr>
                <w:spacing w:val="-5"/>
                <w:sz w:val="18"/>
                <w:szCs w:val="18"/>
              </w:rPr>
              <w:t xml:space="preserve"> </w:t>
            </w:r>
            <w:r>
              <w:rPr>
                <w:spacing w:val="-26"/>
                <w:sz w:val="18"/>
                <w:szCs w:val="18"/>
              </w:rPr>
              <w:t>目</w:t>
            </w:r>
            <w:r>
              <w:rPr>
                <w:sz w:val="18"/>
                <w:szCs w:val="18"/>
              </w:rPr>
              <w:t xml:space="preserve"> </w:t>
            </w:r>
            <w:r>
              <w:rPr>
                <w:spacing w:val="-3"/>
                <w:sz w:val="18"/>
                <w:szCs w:val="18"/>
              </w:rPr>
              <w:t>组成</w:t>
            </w:r>
          </w:p>
        </w:tc>
        <w:tc>
          <w:tcPr>
            <w:tcW w:w="1647" w:type="dxa"/>
            <w:gridSpan w:val="3"/>
            <w:vAlign w:val="top"/>
          </w:tcPr>
          <w:p w14:paraId="01A4CF4C">
            <w:pPr>
              <w:pStyle w:val="6"/>
              <w:spacing w:before="87" w:line="221" w:lineRule="auto"/>
              <w:ind w:left="622"/>
              <w:rPr>
                <w:sz w:val="18"/>
                <w:szCs w:val="18"/>
              </w:rPr>
            </w:pPr>
            <w:r>
              <w:rPr>
                <w:spacing w:val="-2"/>
                <w:sz w:val="18"/>
                <w:szCs w:val="18"/>
              </w:rPr>
              <w:t>挖方</w:t>
            </w:r>
          </w:p>
        </w:tc>
        <w:tc>
          <w:tcPr>
            <w:tcW w:w="1678" w:type="dxa"/>
            <w:gridSpan w:val="4"/>
            <w:vAlign w:val="top"/>
          </w:tcPr>
          <w:p w14:paraId="519994FE">
            <w:pPr>
              <w:pStyle w:val="6"/>
              <w:spacing w:before="86" w:line="220" w:lineRule="auto"/>
              <w:ind w:left="625"/>
              <w:rPr>
                <w:sz w:val="18"/>
                <w:szCs w:val="18"/>
              </w:rPr>
            </w:pPr>
            <w:r>
              <w:rPr>
                <w:spacing w:val="-3"/>
                <w:sz w:val="18"/>
                <w:szCs w:val="18"/>
              </w:rPr>
              <w:t>填方</w:t>
            </w:r>
          </w:p>
        </w:tc>
        <w:tc>
          <w:tcPr>
            <w:tcW w:w="1309" w:type="dxa"/>
            <w:gridSpan w:val="3"/>
            <w:vAlign w:val="top"/>
          </w:tcPr>
          <w:p w14:paraId="00322EB8">
            <w:pPr>
              <w:pStyle w:val="6"/>
              <w:spacing w:before="88" w:line="221" w:lineRule="auto"/>
              <w:ind w:left="487"/>
              <w:rPr>
                <w:sz w:val="18"/>
                <w:szCs w:val="18"/>
              </w:rPr>
            </w:pPr>
            <w:r>
              <w:rPr>
                <w:spacing w:val="-3"/>
                <w:sz w:val="18"/>
                <w:szCs w:val="18"/>
              </w:rPr>
              <w:t>调入</w:t>
            </w:r>
          </w:p>
        </w:tc>
        <w:tc>
          <w:tcPr>
            <w:tcW w:w="1458" w:type="dxa"/>
            <w:gridSpan w:val="2"/>
            <w:vAlign w:val="top"/>
          </w:tcPr>
          <w:p w14:paraId="488AB713">
            <w:pPr>
              <w:pStyle w:val="6"/>
              <w:spacing w:before="88" w:line="221" w:lineRule="auto"/>
              <w:ind w:left="548"/>
              <w:rPr>
                <w:sz w:val="18"/>
                <w:szCs w:val="18"/>
              </w:rPr>
            </w:pPr>
            <w:r>
              <w:rPr>
                <w:spacing w:val="10"/>
                <w:sz w:val="18"/>
                <w:szCs w:val="18"/>
              </w:rPr>
              <w:t>调出</w:t>
            </w:r>
          </w:p>
        </w:tc>
        <w:tc>
          <w:tcPr>
            <w:tcW w:w="690" w:type="dxa"/>
            <w:gridSpan w:val="2"/>
            <w:vAlign w:val="top"/>
          </w:tcPr>
          <w:p w14:paraId="3698659E">
            <w:pPr>
              <w:pStyle w:val="6"/>
              <w:spacing w:before="85" w:line="219" w:lineRule="auto"/>
              <w:ind w:left="170"/>
              <w:rPr>
                <w:sz w:val="18"/>
                <w:szCs w:val="18"/>
              </w:rPr>
            </w:pPr>
            <w:r>
              <w:rPr>
                <w:spacing w:val="-3"/>
                <w:sz w:val="18"/>
                <w:szCs w:val="18"/>
              </w:rPr>
              <w:t>外借</w:t>
            </w:r>
          </w:p>
        </w:tc>
        <w:tc>
          <w:tcPr>
            <w:tcW w:w="700" w:type="dxa"/>
            <w:gridSpan w:val="3"/>
            <w:vAlign w:val="top"/>
          </w:tcPr>
          <w:p w14:paraId="42FB1278">
            <w:pPr>
              <w:pStyle w:val="6"/>
              <w:spacing w:before="86" w:line="219" w:lineRule="auto"/>
              <w:ind w:left="160"/>
              <w:rPr>
                <w:sz w:val="18"/>
                <w:szCs w:val="18"/>
              </w:rPr>
            </w:pPr>
            <w:r>
              <w:rPr>
                <w:spacing w:val="-3"/>
                <w:sz w:val="18"/>
                <w:szCs w:val="18"/>
              </w:rPr>
              <w:t>弃方</w:t>
            </w:r>
          </w:p>
        </w:tc>
        <w:tc>
          <w:tcPr>
            <w:tcW w:w="145" w:type="dxa"/>
            <w:tcBorders>
              <w:top w:val="nil"/>
              <w:bottom w:val="nil"/>
            </w:tcBorders>
            <w:vAlign w:val="top"/>
          </w:tcPr>
          <w:p w14:paraId="5118BDA2">
            <w:pPr>
              <w:rPr>
                <w:rFonts w:ascii="Arial"/>
                <w:sz w:val="21"/>
              </w:rPr>
            </w:pPr>
          </w:p>
        </w:tc>
      </w:tr>
      <w:tr w14:paraId="38103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884" w:type="dxa"/>
            <w:vMerge w:val="continue"/>
            <w:tcBorders>
              <w:top w:val="nil"/>
              <w:bottom w:val="nil"/>
            </w:tcBorders>
            <w:vAlign w:val="top"/>
          </w:tcPr>
          <w:p w14:paraId="47330042">
            <w:pPr>
              <w:rPr>
                <w:rFonts w:ascii="Arial"/>
                <w:sz w:val="21"/>
              </w:rPr>
            </w:pPr>
          </w:p>
        </w:tc>
        <w:tc>
          <w:tcPr>
            <w:tcW w:w="140" w:type="dxa"/>
            <w:vMerge w:val="continue"/>
            <w:tcBorders>
              <w:top w:val="nil"/>
              <w:bottom w:val="nil"/>
            </w:tcBorders>
            <w:vAlign w:val="top"/>
          </w:tcPr>
          <w:p w14:paraId="72D6643A">
            <w:pPr>
              <w:rPr>
                <w:rFonts w:ascii="Arial"/>
                <w:sz w:val="21"/>
              </w:rPr>
            </w:pPr>
          </w:p>
        </w:tc>
        <w:tc>
          <w:tcPr>
            <w:tcW w:w="619" w:type="dxa"/>
            <w:vMerge w:val="continue"/>
            <w:tcBorders>
              <w:top w:val="nil"/>
            </w:tcBorders>
            <w:vAlign w:val="top"/>
          </w:tcPr>
          <w:p w14:paraId="203AAEFB">
            <w:pPr>
              <w:rPr>
                <w:rFonts w:ascii="Arial"/>
                <w:sz w:val="21"/>
              </w:rPr>
            </w:pPr>
          </w:p>
        </w:tc>
        <w:tc>
          <w:tcPr>
            <w:tcW w:w="549" w:type="dxa"/>
            <w:vAlign w:val="top"/>
          </w:tcPr>
          <w:p w14:paraId="10214298">
            <w:pPr>
              <w:spacing w:line="436" w:lineRule="auto"/>
              <w:rPr>
                <w:rFonts w:ascii="Arial"/>
                <w:sz w:val="21"/>
              </w:rPr>
            </w:pPr>
          </w:p>
          <w:p w14:paraId="1581E905">
            <w:pPr>
              <w:pStyle w:val="6"/>
              <w:spacing w:before="58" w:line="221" w:lineRule="auto"/>
              <w:ind w:left="82"/>
              <w:rPr>
                <w:sz w:val="18"/>
                <w:szCs w:val="18"/>
              </w:rPr>
            </w:pPr>
            <w:r>
              <w:rPr>
                <w:spacing w:val="-2"/>
                <w:sz w:val="18"/>
                <w:szCs w:val="18"/>
              </w:rPr>
              <w:t>表土</w:t>
            </w:r>
          </w:p>
        </w:tc>
        <w:tc>
          <w:tcPr>
            <w:tcW w:w="579" w:type="dxa"/>
            <w:textDirection w:val="tbRlV"/>
            <w:vAlign w:val="top"/>
          </w:tcPr>
          <w:p w14:paraId="3E230B64">
            <w:pPr>
              <w:pStyle w:val="6"/>
              <w:spacing w:before="222" w:line="203" w:lineRule="auto"/>
              <w:jc w:val="right"/>
              <w:rPr>
                <w:sz w:val="18"/>
                <w:szCs w:val="18"/>
              </w:rPr>
            </w:pPr>
            <w:r>
              <w:rPr>
                <w:color w:val="100020"/>
                <w:spacing w:val="-20"/>
                <w:w w:val="43"/>
                <w:position w:val="1"/>
                <w:sz w:val="6"/>
                <w:szCs w:val="6"/>
              </w:rPr>
              <w:t>一</w:t>
            </w:r>
            <w:r>
              <w:rPr>
                <w:color w:val="100020"/>
                <w:spacing w:val="4"/>
                <w:position w:val="1"/>
                <w:sz w:val="6"/>
                <w:szCs w:val="6"/>
              </w:rPr>
              <w:t xml:space="preserve">   </w:t>
            </w:r>
            <w:r>
              <w:rPr>
                <w:spacing w:val="-1"/>
                <w:sz w:val="18"/>
                <w:szCs w:val="18"/>
              </w:rPr>
              <w:t>般</w:t>
            </w:r>
            <w:r>
              <w:rPr>
                <w:spacing w:val="-11"/>
                <w:sz w:val="18"/>
                <w:szCs w:val="18"/>
              </w:rPr>
              <w:t xml:space="preserve"> </w:t>
            </w:r>
            <w:r>
              <w:rPr>
                <w:spacing w:val="-1"/>
                <w:sz w:val="18"/>
                <w:szCs w:val="18"/>
              </w:rPr>
              <w:t>土</w:t>
            </w:r>
            <w:r>
              <w:rPr>
                <w:spacing w:val="-12"/>
                <w:sz w:val="18"/>
                <w:szCs w:val="18"/>
              </w:rPr>
              <w:t xml:space="preserve"> </w:t>
            </w:r>
            <w:r>
              <w:rPr>
                <w:spacing w:val="-1"/>
                <w:sz w:val="18"/>
                <w:szCs w:val="18"/>
              </w:rPr>
              <w:t>石</w:t>
            </w:r>
            <w:r>
              <w:rPr>
                <w:spacing w:val="-13"/>
                <w:sz w:val="18"/>
                <w:szCs w:val="18"/>
              </w:rPr>
              <w:t xml:space="preserve"> </w:t>
            </w:r>
            <w:r>
              <w:rPr>
                <w:spacing w:val="-1"/>
                <w:sz w:val="18"/>
                <w:szCs w:val="18"/>
              </w:rPr>
              <w:t>方</w:t>
            </w:r>
          </w:p>
        </w:tc>
        <w:tc>
          <w:tcPr>
            <w:tcW w:w="519" w:type="dxa"/>
            <w:textDirection w:val="tbRlV"/>
            <w:vAlign w:val="top"/>
          </w:tcPr>
          <w:p w14:paraId="0CC500F1">
            <w:pPr>
              <w:pStyle w:val="6"/>
              <w:spacing w:before="172" w:line="202" w:lineRule="auto"/>
              <w:ind w:left="328"/>
              <w:rPr>
                <w:sz w:val="18"/>
                <w:szCs w:val="18"/>
              </w:rPr>
            </w:pPr>
            <w:r>
              <w:rPr>
                <w:sz w:val="18"/>
                <w:szCs w:val="18"/>
              </w:rPr>
              <w:t>小</w:t>
            </w:r>
            <w:r>
              <w:rPr>
                <w:spacing w:val="45"/>
                <w:sz w:val="18"/>
                <w:szCs w:val="18"/>
              </w:rPr>
              <w:t xml:space="preserve"> </w:t>
            </w:r>
            <w:r>
              <w:rPr>
                <w:sz w:val="18"/>
                <w:szCs w:val="18"/>
              </w:rPr>
              <w:t>计</w:t>
            </w:r>
          </w:p>
        </w:tc>
        <w:tc>
          <w:tcPr>
            <w:tcW w:w="569" w:type="dxa"/>
            <w:vAlign w:val="top"/>
          </w:tcPr>
          <w:p w14:paraId="49A02989">
            <w:pPr>
              <w:spacing w:line="436" w:lineRule="auto"/>
              <w:rPr>
                <w:rFonts w:ascii="Arial"/>
                <w:sz w:val="21"/>
              </w:rPr>
            </w:pPr>
          </w:p>
          <w:p w14:paraId="50A70D1B">
            <w:pPr>
              <w:pStyle w:val="6"/>
              <w:spacing w:before="58" w:line="221" w:lineRule="auto"/>
              <w:ind w:left="95"/>
              <w:rPr>
                <w:sz w:val="18"/>
                <w:szCs w:val="18"/>
              </w:rPr>
            </w:pPr>
            <w:r>
              <w:rPr>
                <w:spacing w:val="-2"/>
                <w:sz w:val="18"/>
                <w:szCs w:val="18"/>
              </w:rPr>
              <w:t>表土</w:t>
            </w:r>
          </w:p>
        </w:tc>
        <w:tc>
          <w:tcPr>
            <w:tcW w:w="470" w:type="dxa"/>
            <w:gridSpan w:val="2"/>
            <w:textDirection w:val="tbRlV"/>
            <w:vAlign w:val="top"/>
          </w:tcPr>
          <w:p w14:paraId="42A221D5">
            <w:pPr>
              <w:pStyle w:val="6"/>
              <w:spacing w:before="151" w:line="209" w:lineRule="auto"/>
              <w:ind w:right="5"/>
              <w:jc w:val="right"/>
              <w:rPr>
                <w:sz w:val="18"/>
                <w:szCs w:val="18"/>
              </w:rPr>
            </w:pPr>
            <w:r>
              <w:rPr>
                <w:spacing w:val="-62"/>
                <w:w w:val="44"/>
                <w:sz w:val="18"/>
                <w:szCs w:val="18"/>
              </w:rPr>
              <w:t>一</w:t>
            </w:r>
            <w:r>
              <w:rPr>
                <w:spacing w:val="17"/>
                <w:sz w:val="18"/>
                <w:szCs w:val="18"/>
              </w:rPr>
              <w:t>般</w:t>
            </w:r>
            <w:r>
              <w:rPr>
                <w:spacing w:val="-17"/>
                <w:sz w:val="18"/>
                <w:szCs w:val="18"/>
              </w:rPr>
              <w:t xml:space="preserve"> </w:t>
            </w:r>
            <w:r>
              <w:rPr>
                <w:spacing w:val="17"/>
                <w:sz w:val="18"/>
                <w:szCs w:val="18"/>
              </w:rPr>
              <w:t>土</w:t>
            </w:r>
            <w:r>
              <w:rPr>
                <w:spacing w:val="-19"/>
                <w:sz w:val="18"/>
                <w:szCs w:val="18"/>
              </w:rPr>
              <w:t xml:space="preserve"> </w:t>
            </w:r>
            <w:r>
              <w:rPr>
                <w:spacing w:val="17"/>
                <w:sz w:val="18"/>
                <w:szCs w:val="18"/>
              </w:rPr>
              <w:t>石</w:t>
            </w:r>
            <w:r>
              <w:rPr>
                <w:spacing w:val="-19"/>
                <w:sz w:val="18"/>
                <w:szCs w:val="18"/>
              </w:rPr>
              <w:t xml:space="preserve"> </w:t>
            </w:r>
            <w:r>
              <w:rPr>
                <w:spacing w:val="17"/>
                <w:sz w:val="18"/>
                <w:szCs w:val="18"/>
              </w:rPr>
              <w:t>方</w:t>
            </w:r>
          </w:p>
        </w:tc>
        <w:tc>
          <w:tcPr>
            <w:tcW w:w="639" w:type="dxa"/>
            <w:vAlign w:val="top"/>
          </w:tcPr>
          <w:p w14:paraId="7AB7A8DB">
            <w:pPr>
              <w:spacing w:line="436" w:lineRule="auto"/>
              <w:rPr>
                <w:rFonts w:ascii="Arial"/>
                <w:sz w:val="21"/>
              </w:rPr>
            </w:pPr>
          </w:p>
          <w:p w14:paraId="78BECDCC">
            <w:pPr>
              <w:pStyle w:val="6"/>
              <w:spacing w:before="58" w:line="221" w:lineRule="auto"/>
              <w:ind w:left="136"/>
              <w:rPr>
                <w:sz w:val="18"/>
                <w:szCs w:val="18"/>
              </w:rPr>
            </w:pPr>
            <w:r>
              <w:rPr>
                <w:spacing w:val="-3"/>
                <w:sz w:val="18"/>
                <w:szCs w:val="18"/>
              </w:rPr>
              <w:t>小计</w:t>
            </w:r>
          </w:p>
        </w:tc>
        <w:tc>
          <w:tcPr>
            <w:tcW w:w="599" w:type="dxa"/>
            <w:vAlign w:val="top"/>
          </w:tcPr>
          <w:p w14:paraId="17536C42">
            <w:pPr>
              <w:spacing w:line="435" w:lineRule="auto"/>
              <w:rPr>
                <w:rFonts w:ascii="Arial"/>
                <w:sz w:val="21"/>
              </w:rPr>
            </w:pPr>
          </w:p>
          <w:p w14:paraId="3613DE72">
            <w:pPr>
              <w:pStyle w:val="6"/>
              <w:spacing w:before="58" w:line="219" w:lineRule="auto"/>
              <w:ind w:left="107"/>
              <w:rPr>
                <w:sz w:val="18"/>
                <w:szCs w:val="18"/>
              </w:rPr>
            </w:pPr>
            <w:r>
              <w:rPr>
                <w:spacing w:val="-3"/>
                <w:sz w:val="18"/>
                <w:szCs w:val="18"/>
              </w:rPr>
              <w:t>数量</w:t>
            </w:r>
          </w:p>
        </w:tc>
        <w:tc>
          <w:tcPr>
            <w:tcW w:w="710" w:type="dxa"/>
            <w:gridSpan w:val="2"/>
            <w:vAlign w:val="top"/>
          </w:tcPr>
          <w:p w14:paraId="7303A4C6">
            <w:pPr>
              <w:spacing w:line="435" w:lineRule="auto"/>
              <w:rPr>
                <w:rFonts w:ascii="Arial"/>
                <w:sz w:val="21"/>
              </w:rPr>
            </w:pPr>
          </w:p>
          <w:p w14:paraId="455014F6">
            <w:pPr>
              <w:pStyle w:val="6"/>
              <w:spacing w:before="58" w:line="219" w:lineRule="auto"/>
              <w:ind w:left="168"/>
              <w:rPr>
                <w:sz w:val="18"/>
                <w:szCs w:val="18"/>
              </w:rPr>
            </w:pPr>
            <w:r>
              <w:rPr>
                <w:spacing w:val="-2"/>
                <w:sz w:val="18"/>
                <w:szCs w:val="18"/>
              </w:rPr>
              <w:t>来源</w:t>
            </w:r>
          </w:p>
        </w:tc>
        <w:tc>
          <w:tcPr>
            <w:tcW w:w="589" w:type="dxa"/>
            <w:vAlign w:val="top"/>
          </w:tcPr>
          <w:p w14:paraId="4BE48B56">
            <w:pPr>
              <w:spacing w:line="435" w:lineRule="auto"/>
              <w:rPr>
                <w:rFonts w:ascii="Arial"/>
                <w:sz w:val="21"/>
              </w:rPr>
            </w:pPr>
          </w:p>
          <w:p w14:paraId="6ED4E19D">
            <w:pPr>
              <w:pStyle w:val="6"/>
              <w:spacing w:before="58" w:line="219" w:lineRule="auto"/>
              <w:ind w:left="108"/>
              <w:rPr>
                <w:sz w:val="18"/>
                <w:szCs w:val="18"/>
              </w:rPr>
            </w:pPr>
            <w:r>
              <w:rPr>
                <w:spacing w:val="-3"/>
                <w:sz w:val="18"/>
                <w:szCs w:val="18"/>
              </w:rPr>
              <w:t>数量</w:t>
            </w:r>
          </w:p>
        </w:tc>
        <w:tc>
          <w:tcPr>
            <w:tcW w:w="869" w:type="dxa"/>
            <w:vAlign w:val="top"/>
          </w:tcPr>
          <w:p w14:paraId="7EBE318A">
            <w:pPr>
              <w:spacing w:line="436" w:lineRule="auto"/>
              <w:rPr>
                <w:rFonts w:ascii="Arial"/>
                <w:sz w:val="21"/>
              </w:rPr>
            </w:pPr>
          </w:p>
          <w:p w14:paraId="2C37D0D1">
            <w:pPr>
              <w:pStyle w:val="6"/>
              <w:spacing w:before="58" w:line="221" w:lineRule="auto"/>
              <w:ind w:left="249"/>
              <w:rPr>
                <w:sz w:val="18"/>
                <w:szCs w:val="18"/>
              </w:rPr>
            </w:pPr>
            <w:r>
              <w:rPr>
                <w:spacing w:val="9"/>
                <w:sz w:val="18"/>
                <w:szCs w:val="18"/>
              </w:rPr>
              <w:t>去向</w:t>
            </w:r>
          </w:p>
        </w:tc>
        <w:tc>
          <w:tcPr>
            <w:tcW w:w="330" w:type="dxa"/>
            <w:textDirection w:val="tbRlV"/>
            <w:vAlign w:val="top"/>
          </w:tcPr>
          <w:p w14:paraId="12219D46">
            <w:pPr>
              <w:pStyle w:val="6"/>
              <w:spacing w:before="106" w:line="201" w:lineRule="auto"/>
              <w:ind w:left="330"/>
              <w:rPr>
                <w:sz w:val="18"/>
                <w:szCs w:val="18"/>
              </w:rPr>
            </w:pPr>
            <w:r>
              <w:rPr>
                <w:sz w:val="18"/>
                <w:szCs w:val="18"/>
              </w:rPr>
              <w:t>数</w:t>
            </w:r>
            <w:r>
              <w:rPr>
                <w:spacing w:val="47"/>
                <w:sz w:val="18"/>
                <w:szCs w:val="18"/>
              </w:rPr>
              <w:t xml:space="preserve"> </w:t>
            </w:r>
            <w:r>
              <w:rPr>
                <w:sz w:val="18"/>
                <w:szCs w:val="18"/>
              </w:rPr>
              <w:t>量</w:t>
            </w:r>
          </w:p>
        </w:tc>
        <w:tc>
          <w:tcPr>
            <w:tcW w:w="360" w:type="dxa"/>
            <w:textDirection w:val="tbRlV"/>
            <w:vAlign w:val="top"/>
          </w:tcPr>
          <w:p w14:paraId="0D53E6DE">
            <w:pPr>
              <w:pStyle w:val="6"/>
              <w:spacing w:before="107" w:line="201" w:lineRule="auto"/>
              <w:ind w:left="340"/>
              <w:rPr>
                <w:sz w:val="18"/>
                <w:szCs w:val="18"/>
              </w:rPr>
            </w:pPr>
            <w:r>
              <w:rPr>
                <w:spacing w:val="21"/>
                <w:sz w:val="18"/>
                <w:szCs w:val="18"/>
              </w:rPr>
              <w:t>来</w:t>
            </w:r>
            <w:r>
              <w:rPr>
                <w:color w:val="405040"/>
                <w:spacing w:val="21"/>
                <w:sz w:val="18"/>
                <w:szCs w:val="18"/>
              </w:rPr>
              <w:t>源</w:t>
            </w:r>
          </w:p>
        </w:tc>
        <w:tc>
          <w:tcPr>
            <w:tcW w:w="350" w:type="dxa"/>
            <w:gridSpan w:val="2"/>
            <w:textDirection w:val="tbRlV"/>
            <w:vAlign w:val="top"/>
          </w:tcPr>
          <w:p w14:paraId="6E3ED442">
            <w:pPr>
              <w:pStyle w:val="6"/>
              <w:spacing w:before="106" w:line="201" w:lineRule="auto"/>
              <w:ind w:left="340"/>
              <w:rPr>
                <w:sz w:val="18"/>
                <w:szCs w:val="18"/>
              </w:rPr>
            </w:pPr>
            <w:r>
              <w:rPr>
                <w:sz w:val="18"/>
                <w:szCs w:val="18"/>
              </w:rPr>
              <w:t>数</w:t>
            </w:r>
            <w:r>
              <w:rPr>
                <w:spacing w:val="27"/>
                <w:w w:val="101"/>
                <w:sz w:val="18"/>
                <w:szCs w:val="18"/>
              </w:rPr>
              <w:t xml:space="preserve"> </w:t>
            </w:r>
            <w:r>
              <w:rPr>
                <w:sz w:val="18"/>
                <w:szCs w:val="18"/>
              </w:rPr>
              <w:t>量</w:t>
            </w:r>
          </w:p>
        </w:tc>
        <w:tc>
          <w:tcPr>
            <w:tcW w:w="350" w:type="dxa"/>
            <w:textDirection w:val="tbRlV"/>
            <w:vAlign w:val="top"/>
          </w:tcPr>
          <w:p w14:paraId="2CAD3F80">
            <w:pPr>
              <w:pStyle w:val="6"/>
              <w:spacing w:before="111" w:line="195" w:lineRule="auto"/>
              <w:ind w:left="339"/>
              <w:rPr>
                <w:sz w:val="18"/>
                <w:szCs w:val="18"/>
              </w:rPr>
            </w:pPr>
            <w:r>
              <w:rPr>
                <w:sz w:val="18"/>
                <w:szCs w:val="18"/>
              </w:rPr>
              <w:t>去</w:t>
            </w:r>
            <w:r>
              <w:rPr>
                <w:spacing w:val="24"/>
                <w:sz w:val="18"/>
                <w:szCs w:val="18"/>
              </w:rPr>
              <w:t xml:space="preserve"> </w:t>
            </w:r>
            <w:r>
              <w:rPr>
                <w:sz w:val="18"/>
                <w:szCs w:val="18"/>
              </w:rPr>
              <w:t>向</w:t>
            </w:r>
          </w:p>
        </w:tc>
        <w:tc>
          <w:tcPr>
            <w:tcW w:w="145" w:type="dxa"/>
            <w:tcBorders>
              <w:top w:val="nil"/>
              <w:bottom w:val="nil"/>
            </w:tcBorders>
            <w:vAlign w:val="top"/>
          </w:tcPr>
          <w:p w14:paraId="24F5FF80">
            <w:pPr>
              <w:rPr>
                <w:rFonts w:ascii="Arial"/>
                <w:sz w:val="21"/>
              </w:rPr>
            </w:pPr>
          </w:p>
        </w:tc>
      </w:tr>
      <w:tr w14:paraId="59A1D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884" w:type="dxa"/>
            <w:vMerge w:val="continue"/>
            <w:tcBorders>
              <w:top w:val="nil"/>
            </w:tcBorders>
            <w:vAlign w:val="top"/>
          </w:tcPr>
          <w:p w14:paraId="176C57EB">
            <w:pPr>
              <w:rPr>
                <w:rFonts w:ascii="Arial"/>
                <w:sz w:val="21"/>
              </w:rPr>
            </w:pPr>
          </w:p>
        </w:tc>
        <w:tc>
          <w:tcPr>
            <w:tcW w:w="140" w:type="dxa"/>
            <w:vMerge w:val="continue"/>
            <w:tcBorders>
              <w:top w:val="nil"/>
            </w:tcBorders>
            <w:vAlign w:val="top"/>
          </w:tcPr>
          <w:p w14:paraId="786EE0EB">
            <w:pPr>
              <w:rPr>
                <w:rFonts w:ascii="Arial"/>
                <w:sz w:val="21"/>
              </w:rPr>
            </w:pPr>
          </w:p>
        </w:tc>
        <w:tc>
          <w:tcPr>
            <w:tcW w:w="619" w:type="dxa"/>
            <w:vAlign w:val="top"/>
          </w:tcPr>
          <w:p w14:paraId="6A5396D2">
            <w:pPr>
              <w:pStyle w:val="6"/>
              <w:spacing w:before="278" w:line="251" w:lineRule="auto"/>
              <w:ind w:left="121" w:right="112"/>
              <w:rPr>
                <w:sz w:val="18"/>
                <w:szCs w:val="18"/>
              </w:rPr>
            </w:pPr>
            <w:r>
              <w:rPr>
                <w:spacing w:val="-5"/>
                <w:sz w:val="18"/>
                <w:szCs w:val="18"/>
              </w:rPr>
              <w:t>升压</w:t>
            </w:r>
            <w:r>
              <w:rPr>
                <w:sz w:val="18"/>
                <w:szCs w:val="18"/>
              </w:rPr>
              <w:t xml:space="preserve"> </w:t>
            </w:r>
            <w:r>
              <w:rPr>
                <w:spacing w:val="7"/>
                <w:sz w:val="18"/>
                <w:szCs w:val="18"/>
              </w:rPr>
              <w:t>站区</w:t>
            </w:r>
          </w:p>
        </w:tc>
        <w:tc>
          <w:tcPr>
            <w:tcW w:w="549" w:type="dxa"/>
            <w:vAlign w:val="top"/>
          </w:tcPr>
          <w:p w14:paraId="2F65E737">
            <w:pPr>
              <w:spacing w:line="344" w:lineRule="auto"/>
              <w:rPr>
                <w:rFonts w:ascii="Arial"/>
                <w:sz w:val="21"/>
              </w:rPr>
            </w:pPr>
          </w:p>
          <w:p w14:paraId="57C52F8F">
            <w:pPr>
              <w:pStyle w:val="6"/>
              <w:spacing w:before="59" w:line="239" w:lineRule="auto"/>
              <w:ind w:left="82"/>
              <w:rPr>
                <w:sz w:val="18"/>
                <w:szCs w:val="18"/>
              </w:rPr>
            </w:pPr>
            <w:r>
              <w:rPr>
                <w:spacing w:val="-2"/>
                <w:sz w:val="18"/>
                <w:szCs w:val="18"/>
              </w:rPr>
              <w:t>0.07</w:t>
            </w:r>
          </w:p>
        </w:tc>
        <w:tc>
          <w:tcPr>
            <w:tcW w:w="579" w:type="dxa"/>
            <w:vAlign w:val="top"/>
          </w:tcPr>
          <w:p w14:paraId="7466169D">
            <w:pPr>
              <w:spacing w:line="344" w:lineRule="auto"/>
              <w:rPr>
                <w:rFonts w:ascii="Arial"/>
                <w:sz w:val="21"/>
              </w:rPr>
            </w:pPr>
          </w:p>
          <w:p w14:paraId="5A46A723">
            <w:pPr>
              <w:pStyle w:val="6"/>
              <w:spacing w:before="59" w:line="239" w:lineRule="auto"/>
              <w:ind w:left="103"/>
              <w:rPr>
                <w:sz w:val="18"/>
                <w:szCs w:val="18"/>
              </w:rPr>
            </w:pPr>
            <w:r>
              <w:rPr>
                <w:spacing w:val="-4"/>
                <w:sz w:val="18"/>
                <w:szCs w:val="18"/>
              </w:rPr>
              <w:t>1.07</w:t>
            </w:r>
          </w:p>
        </w:tc>
        <w:tc>
          <w:tcPr>
            <w:tcW w:w="519" w:type="dxa"/>
            <w:vAlign w:val="top"/>
          </w:tcPr>
          <w:p w14:paraId="435B36F7">
            <w:pPr>
              <w:spacing w:line="245" w:lineRule="auto"/>
              <w:rPr>
                <w:rFonts w:ascii="Arial"/>
                <w:sz w:val="21"/>
              </w:rPr>
            </w:pPr>
          </w:p>
          <w:p w14:paraId="52AFB1F3">
            <w:pPr>
              <w:pStyle w:val="6"/>
              <w:spacing w:before="58" w:line="205" w:lineRule="auto"/>
              <w:ind w:left="114"/>
              <w:rPr>
                <w:sz w:val="18"/>
                <w:szCs w:val="18"/>
              </w:rPr>
            </w:pPr>
            <w:r>
              <w:rPr>
                <w:spacing w:val="-5"/>
                <w:sz w:val="18"/>
                <w:szCs w:val="18"/>
              </w:rPr>
              <w:t>1.1</w:t>
            </w:r>
          </w:p>
          <w:p w14:paraId="391BA0E1">
            <w:pPr>
              <w:pStyle w:val="6"/>
              <w:ind w:left="204"/>
              <w:rPr>
                <w:sz w:val="18"/>
                <w:szCs w:val="18"/>
              </w:rPr>
            </w:pPr>
            <w:r>
              <w:rPr>
                <w:sz w:val="18"/>
                <w:szCs w:val="18"/>
              </w:rPr>
              <w:t>4</w:t>
            </w:r>
          </w:p>
        </w:tc>
        <w:tc>
          <w:tcPr>
            <w:tcW w:w="569" w:type="dxa"/>
            <w:vAlign w:val="top"/>
          </w:tcPr>
          <w:p w14:paraId="3DF99A51">
            <w:pPr>
              <w:spacing w:line="344" w:lineRule="auto"/>
              <w:rPr>
                <w:rFonts w:ascii="Arial"/>
                <w:sz w:val="21"/>
              </w:rPr>
            </w:pPr>
          </w:p>
          <w:p w14:paraId="6E6D30CA">
            <w:pPr>
              <w:pStyle w:val="6"/>
              <w:spacing w:before="59" w:line="239" w:lineRule="auto"/>
              <w:ind w:left="95"/>
              <w:rPr>
                <w:sz w:val="18"/>
                <w:szCs w:val="18"/>
              </w:rPr>
            </w:pPr>
            <w:r>
              <w:rPr>
                <w:spacing w:val="-2"/>
                <w:sz w:val="18"/>
                <w:szCs w:val="18"/>
              </w:rPr>
              <w:t>0.05</w:t>
            </w:r>
          </w:p>
        </w:tc>
        <w:tc>
          <w:tcPr>
            <w:tcW w:w="470" w:type="dxa"/>
            <w:gridSpan w:val="2"/>
            <w:vAlign w:val="top"/>
          </w:tcPr>
          <w:p w14:paraId="5342B43F">
            <w:pPr>
              <w:spacing w:line="255" w:lineRule="auto"/>
              <w:rPr>
                <w:rFonts w:ascii="Arial"/>
                <w:sz w:val="21"/>
              </w:rPr>
            </w:pPr>
          </w:p>
          <w:p w14:paraId="32431324">
            <w:pPr>
              <w:pStyle w:val="6"/>
              <w:spacing w:before="58" w:line="205" w:lineRule="auto"/>
              <w:ind w:left="96"/>
              <w:rPr>
                <w:sz w:val="18"/>
                <w:szCs w:val="18"/>
              </w:rPr>
            </w:pPr>
            <w:r>
              <w:rPr>
                <w:spacing w:val="-2"/>
                <w:sz w:val="18"/>
                <w:szCs w:val="18"/>
              </w:rPr>
              <w:t>0.5</w:t>
            </w:r>
          </w:p>
          <w:p w14:paraId="667B60DC">
            <w:pPr>
              <w:pStyle w:val="6"/>
              <w:spacing w:line="239" w:lineRule="auto"/>
              <w:ind w:left="185"/>
              <w:rPr>
                <w:sz w:val="18"/>
                <w:szCs w:val="18"/>
              </w:rPr>
            </w:pPr>
            <w:r>
              <w:rPr>
                <w:sz w:val="18"/>
                <w:szCs w:val="18"/>
              </w:rPr>
              <w:t>6</w:t>
            </w:r>
          </w:p>
        </w:tc>
        <w:tc>
          <w:tcPr>
            <w:tcW w:w="639" w:type="dxa"/>
            <w:vAlign w:val="top"/>
          </w:tcPr>
          <w:p w14:paraId="4867FC0B">
            <w:pPr>
              <w:spacing w:line="344" w:lineRule="auto"/>
              <w:rPr>
                <w:rFonts w:ascii="Arial"/>
                <w:sz w:val="21"/>
              </w:rPr>
            </w:pPr>
          </w:p>
          <w:p w14:paraId="53D97917">
            <w:pPr>
              <w:pStyle w:val="6"/>
              <w:spacing w:before="59" w:line="239" w:lineRule="auto"/>
              <w:ind w:left="136"/>
              <w:rPr>
                <w:sz w:val="18"/>
                <w:szCs w:val="18"/>
              </w:rPr>
            </w:pPr>
            <w:r>
              <w:rPr>
                <w:spacing w:val="-2"/>
                <w:sz w:val="18"/>
                <w:szCs w:val="18"/>
              </w:rPr>
              <w:t>0.61</w:t>
            </w:r>
          </w:p>
        </w:tc>
        <w:tc>
          <w:tcPr>
            <w:tcW w:w="599" w:type="dxa"/>
            <w:vAlign w:val="top"/>
          </w:tcPr>
          <w:p w14:paraId="1267F7FE">
            <w:pPr>
              <w:rPr>
                <w:rFonts w:ascii="Arial"/>
                <w:sz w:val="21"/>
              </w:rPr>
            </w:pPr>
          </w:p>
        </w:tc>
        <w:tc>
          <w:tcPr>
            <w:tcW w:w="710" w:type="dxa"/>
            <w:gridSpan w:val="2"/>
            <w:vAlign w:val="top"/>
          </w:tcPr>
          <w:p w14:paraId="6DD3FBF5">
            <w:pPr>
              <w:rPr>
                <w:rFonts w:ascii="Arial"/>
                <w:sz w:val="21"/>
              </w:rPr>
            </w:pPr>
          </w:p>
        </w:tc>
        <w:tc>
          <w:tcPr>
            <w:tcW w:w="589" w:type="dxa"/>
            <w:vAlign w:val="top"/>
          </w:tcPr>
          <w:p w14:paraId="0C6A7728">
            <w:pPr>
              <w:spacing w:line="344" w:lineRule="auto"/>
              <w:rPr>
                <w:rFonts w:ascii="Arial"/>
                <w:sz w:val="21"/>
              </w:rPr>
            </w:pPr>
          </w:p>
          <w:p w14:paraId="2251FB39">
            <w:pPr>
              <w:pStyle w:val="6"/>
              <w:spacing w:before="59" w:line="239" w:lineRule="auto"/>
              <w:ind w:left="108"/>
              <w:rPr>
                <w:sz w:val="18"/>
                <w:szCs w:val="18"/>
              </w:rPr>
            </w:pPr>
            <w:r>
              <w:rPr>
                <w:spacing w:val="-2"/>
                <w:sz w:val="18"/>
                <w:szCs w:val="18"/>
              </w:rPr>
              <w:t>0.53</w:t>
            </w:r>
          </w:p>
        </w:tc>
        <w:tc>
          <w:tcPr>
            <w:tcW w:w="869" w:type="dxa"/>
            <w:vAlign w:val="top"/>
          </w:tcPr>
          <w:p w14:paraId="0C9D4D55">
            <w:pPr>
              <w:pStyle w:val="6"/>
              <w:spacing w:before="27" w:line="219" w:lineRule="auto"/>
              <w:ind w:left="158"/>
              <w:rPr>
                <w:sz w:val="18"/>
                <w:szCs w:val="18"/>
              </w:rPr>
            </w:pPr>
            <w:r>
              <w:rPr>
                <w:spacing w:val="-2"/>
                <w:sz w:val="18"/>
                <w:szCs w:val="18"/>
              </w:rPr>
              <w:t>道路工</w:t>
            </w:r>
          </w:p>
          <w:p w14:paraId="0C059E3F">
            <w:pPr>
              <w:pStyle w:val="6"/>
              <w:spacing w:before="26" w:line="219" w:lineRule="auto"/>
              <w:ind w:left="69"/>
              <w:rPr>
                <w:sz w:val="18"/>
                <w:szCs w:val="18"/>
              </w:rPr>
            </w:pPr>
            <w:r>
              <w:rPr>
                <w:spacing w:val="-2"/>
                <w:sz w:val="18"/>
                <w:szCs w:val="18"/>
              </w:rPr>
              <w:t>程区、集</w:t>
            </w:r>
          </w:p>
          <w:p w14:paraId="568B2B68">
            <w:pPr>
              <w:pStyle w:val="6"/>
              <w:spacing w:before="16" w:line="219" w:lineRule="auto"/>
              <w:ind w:left="158"/>
              <w:rPr>
                <w:sz w:val="18"/>
                <w:szCs w:val="18"/>
              </w:rPr>
            </w:pPr>
            <w:r>
              <w:rPr>
                <w:spacing w:val="2"/>
                <w:sz w:val="18"/>
                <w:szCs w:val="18"/>
              </w:rPr>
              <w:t>电线路</w:t>
            </w:r>
          </w:p>
          <w:p w14:paraId="3D0EAE20">
            <w:pPr>
              <w:pStyle w:val="6"/>
              <w:spacing w:before="30" w:line="197" w:lineRule="auto"/>
              <w:ind w:left="339"/>
              <w:rPr>
                <w:sz w:val="18"/>
                <w:szCs w:val="18"/>
              </w:rPr>
            </w:pPr>
            <w:r>
              <w:rPr>
                <w:sz w:val="18"/>
                <w:szCs w:val="18"/>
              </w:rPr>
              <w:t>区</w:t>
            </w:r>
          </w:p>
        </w:tc>
        <w:tc>
          <w:tcPr>
            <w:tcW w:w="330" w:type="dxa"/>
            <w:vAlign w:val="top"/>
          </w:tcPr>
          <w:p w14:paraId="0DCA2678">
            <w:pPr>
              <w:rPr>
                <w:rFonts w:ascii="Arial"/>
                <w:sz w:val="21"/>
              </w:rPr>
            </w:pPr>
          </w:p>
        </w:tc>
        <w:tc>
          <w:tcPr>
            <w:tcW w:w="360" w:type="dxa"/>
            <w:vAlign w:val="top"/>
          </w:tcPr>
          <w:p w14:paraId="5F419B6B">
            <w:pPr>
              <w:rPr>
                <w:rFonts w:ascii="Arial"/>
                <w:sz w:val="21"/>
              </w:rPr>
            </w:pPr>
          </w:p>
        </w:tc>
        <w:tc>
          <w:tcPr>
            <w:tcW w:w="350" w:type="dxa"/>
            <w:gridSpan w:val="2"/>
            <w:vAlign w:val="top"/>
          </w:tcPr>
          <w:p w14:paraId="61AF0D20">
            <w:pPr>
              <w:rPr>
                <w:rFonts w:ascii="Arial"/>
                <w:sz w:val="21"/>
              </w:rPr>
            </w:pPr>
          </w:p>
        </w:tc>
        <w:tc>
          <w:tcPr>
            <w:tcW w:w="350" w:type="dxa"/>
            <w:vAlign w:val="top"/>
          </w:tcPr>
          <w:p w14:paraId="488510D6">
            <w:pPr>
              <w:rPr>
                <w:rFonts w:ascii="Arial"/>
                <w:sz w:val="21"/>
              </w:rPr>
            </w:pPr>
          </w:p>
        </w:tc>
        <w:tc>
          <w:tcPr>
            <w:tcW w:w="145" w:type="dxa"/>
            <w:tcBorders>
              <w:top w:val="nil"/>
            </w:tcBorders>
            <w:vAlign w:val="top"/>
          </w:tcPr>
          <w:p w14:paraId="579F2D6A">
            <w:pPr>
              <w:rPr>
                <w:rFonts w:ascii="Arial"/>
                <w:sz w:val="21"/>
              </w:rPr>
            </w:pPr>
          </w:p>
        </w:tc>
      </w:tr>
    </w:tbl>
    <w:p w14:paraId="54644A85">
      <w:pPr>
        <w:pStyle w:val="2"/>
      </w:pPr>
    </w:p>
    <w:p w14:paraId="136F5FE1">
      <w:pPr>
        <w:sectPr>
          <w:footerReference r:id="rId147" w:type="default"/>
          <w:pgSz w:w="11910" w:h="16830"/>
          <w:pgMar w:top="400" w:right="1395" w:bottom="1259" w:left="1234" w:header="0" w:footer="1079" w:gutter="0"/>
          <w:cols w:space="720" w:num="1"/>
        </w:sectPr>
      </w:pPr>
    </w:p>
    <w:p w14:paraId="364661CF">
      <w:pPr>
        <w:spacing w:before="23"/>
      </w:pPr>
    </w:p>
    <w:p w14:paraId="7EB13541">
      <w:pPr>
        <w:spacing w:before="22"/>
      </w:pPr>
    </w:p>
    <w:p w14:paraId="0E45E7E4">
      <w:pPr>
        <w:spacing w:before="22"/>
      </w:pPr>
    </w:p>
    <w:p w14:paraId="705BB379">
      <w:pPr>
        <w:spacing w:before="22"/>
      </w:pPr>
    </w:p>
    <w:tbl>
      <w:tblPr>
        <w:tblStyle w:val="5"/>
        <w:tblW w:w="92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0"/>
        <w:gridCol w:w="619"/>
        <w:gridCol w:w="629"/>
        <w:gridCol w:w="569"/>
        <w:gridCol w:w="520"/>
        <w:gridCol w:w="569"/>
        <w:gridCol w:w="490"/>
        <w:gridCol w:w="659"/>
        <w:gridCol w:w="569"/>
        <w:gridCol w:w="729"/>
        <w:gridCol w:w="629"/>
        <w:gridCol w:w="859"/>
        <w:gridCol w:w="340"/>
        <w:gridCol w:w="350"/>
        <w:gridCol w:w="360"/>
        <w:gridCol w:w="345"/>
      </w:tblGrid>
      <w:tr w14:paraId="056C9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904" w:type="dxa"/>
            <w:vMerge w:val="restart"/>
            <w:tcBorders>
              <w:bottom w:val="nil"/>
            </w:tcBorders>
            <w:vAlign w:val="top"/>
          </w:tcPr>
          <w:p w14:paraId="0A003823">
            <w:pPr>
              <w:rPr>
                <w:rFonts w:ascii="Arial"/>
                <w:sz w:val="21"/>
              </w:rPr>
            </w:pPr>
          </w:p>
        </w:tc>
        <w:tc>
          <w:tcPr>
            <w:tcW w:w="110" w:type="dxa"/>
            <w:tcBorders>
              <w:bottom w:val="nil"/>
            </w:tcBorders>
            <w:vAlign w:val="top"/>
          </w:tcPr>
          <w:p w14:paraId="4AFFA48B">
            <w:pPr>
              <w:rPr>
                <w:rFonts w:ascii="Arial"/>
                <w:sz w:val="21"/>
              </w:rPr>
            </w:pPr>
          </w:p>
        </w:tc>
        <w:tc>
          <w:tcPr>
            <w:tcW w:w="619" w:type="dxa"/>
            <w:vAlign w:val="top"/>
          </w:tcPr>
          <w:p w14:paraId="0C37A514">
            <w:pPr>
              <w:pStyle w:val="6"/>
              <w:spacing w:before="51" w:line="219" w:lineRule="auto"/>
              <w:ind w:left="121"/>
              <w:rPr>
                <w:sz w:val="18"/>
                <w:szCs w:val="18"/>
              </w:rPr>
            </w:pPr>
            <w:r>
              <w:rPr>
                <w:spacing w:val="-3"/>
                <w:sz w:val="18"/>
                <w:szCs w:val="18"/>
              </w:rPr>
              <w:t>光伏</w:t>
            </w:r>
          </w:p>
          <w:p w14:paraId="7F1F3AD4">
            <w:pPr>
              <w:pStyle w:val="6"/>
              <w:spacing w:before="27" w:line="211" w:lineRule="auto"/>
              <w:ind w:left="211" w:right="117" w:hanging="90"/>
              <w:rPr>
                <w:sz w:val="18"/>
                <w:szCs w:val="18"/>
              </w:rPr>
            </w:pPr>
            <w:r>
              <w:rPr>
                <w:spacing w:val="5"/>
                <w:sz w:val="18"/>
                <w:szCs w:val="18"/>
              </w:rPr>
              <w:t>发电</w:t>
            </w:r>
            <w:r>
              <w:rPr>
                <w:sz w:val="18"/>
                <w:szCs w:val="18"/>
              </w:rPr>
              <w:t xml:space="preserve"> 区</w:t>
            </w:r>
          </w:p>
        </w:tc>
        <w:tc>
          <w:tcPr>
            <w:tcW w:w="629" w:type="dxa"/>
            <w:vAlign w:val="top"/>
          </w:tcPr>
          <w:p w14:paraId="7C843C6A">
            <w:pPr>
              <w:pStyle w:val="6"/>
              <w:spacing w:before="290" w:line="239" w:lineRule="auto"/>
              <w:ind w:left="122"/>
              <w:rPr>
                <w:sz w:val="18"/>
                <w:szCs w:val="18"/>
              </w:rPr>
            </w:pPr>
            <w:r>
              <w:rPr>
                <w:spacing w:val="-2"/>
                <w:sz w:val="18"/>
                <w:szCs w:val="18"/>
              </w:rPr>
              <w:t>0.00</w:t>
            </w:r>
          </w:p>
        </w:tc>
        <w:tc>
          <w:tcPr>
            <w:tcW w:w="569" w:type="dxa"/>
            <w:vAlign w:val="top"/>
          </w:tcPr>
          <w:p w14:paraId="34782D19">
            <w:pPr>
              <w:pStyle w:val="6"/>
              <w:spacing w:before="290" w:line="239" w:lineRule="auto"/>
              <w:ind w:left="93"/>
              <w:rPr>
                <w:sz w:val="18"/>
                <w:szCs w:val="18"/>
              </w:rPr>
            </w:pPr>
            <w:r>
              <w:rPr>
                <w:spacing w:val="-2"/>
                <w:sz w:val="18"/>
                <w:szCs w:val="18"/>
              </w:rPr>
              <w:t>0.26</w:t>
            </w:r>
          </w:p>
        </w:tc>
        <w:tc>
          <w:tcPr>
            <w:tcW w:w="520" w:type="dxa"/>
            <w:vAlign w:val="top"/>
          </w:tcPr>
          <w:p w14:paraId="52093492">
            <w:pPr>
              <w:pStyle w:val="6"/>
              <w:spacing w:before="220" w:line="205" w:lineRule="auto"/>
              <w:ind w:left="114"/>
              <w:rPr>
                <w:sz w:val="18"/>
                <w:szCs w:val="18"/>
              </w:rPr>
            </w:pPr>
            <w:r>
              <w:rPr>
                <w:spacing w:val="-2"/>
                <w:sz w:val="18"/>
                <w:szCs w:val="18"/>
              </w:rPr>
              <w:t>0.2</w:t>
            </w:r>
          </w:p>
          <w:p w14:paraId="7C29E625">
            <w:pPr>
              <w:pStyle w:val="6"/>
              <w:spacing w:line="239" w:lineRule="auto"/>
              <w:ind w:left="204"/>
              <w:rPr>
                <w:sz w:val="18"/>
                <w:szCs w:val="18"/>
              </w:rPr>
            </w:pPr>
            <w:r>
              <w:rPr>
                <w:sz w:val="18"/>
                <w:szCs w:val="18"/>
              </w:rPr>
              <w:t>6</w:t>
            </w:r>
          </w:p>
        </w:tc>
        <w:tc>
          <w:tcPr>
            <w:tcW w:w="569" w:type="dxa"/>
            <w:vAlign w:val="top"/>
          </w:tcPr>
          <w:p w14:paraId="0FA13019">
            <w:pPr>
              <w:pStyle w:val="6"/>
              <w:spacing w:before="290" w:line="239" w:lineRule="auto"/>
              <w:ind w:left="94"/>
              <w:rPr>
                <w:sz w:val="18"/>
                <w:szCs w:val="18"/>
              </w:rPr>
            </w:pPr>
            <w:r>
              <w:rPr>
                <w:spacing w:val="-2"/>
                <w:sz w:val="18"/>
                <w:szCs w:val="18"/>
              </w:rPr>
              <w:t>0.00</w:t>
            </w:r>
          </w:p>
        </w:tc>
        <w:tc>
          <w:tcPr>
            <w:tcW w:w="490" w:type="dxa"/>
            <w:vAlign w:val="top"/>
          </w:tcPr>
          <w:p w14:paraId="48F0B9F8">
            <w:pPr>
              <w:pStyle w:val="6"/>
              <w:spacing w:before="220" w:line="205" w:lineRule="auto"/>
              <w:ind w:left="105"/>
              <w:rPr>
                <w:sz w:val="18"/>
                <w:szCs w:val="18"/>
              </w:rPr>
            </w:pPr>
            <w:r>
              <w:rPr>
                <w:spacing w:val="-2"/>
                <w:sz w:val="18"/>
                <w:szCs w:val="18"/>
              </w:rPr>
              <w:t>0.2</w:t>
            </w:r>
          </w:p>
          <w:p w14:paraId="088F39DE">
            <w:pPr>
              <w:pStyle w:val="6"/>
              <w:spacing w:line="239" w:lineRule="auto"/>
              <w:ind w:left="195"/>
              <w:rPr>
                <w:sz w:val="18"/>
                <w:szCs w:val="18"/>
              </w:rPr>
            </w:pPr>
            <w:r>
              <w:rPr>
                <w:sz w:val="18"/>
                <w:szCs w:val="18"/>
              </w:rPr>
              <w:t>6</w:t>
            </w:r>
          </w:p>
        </w:tc>
        <w:tc>
          <w:tcPr>
            <w:tcW w:w="659" w:type="dxa"/>
            <w:vAlign w:val="top"/>
          </w:tcPr>
          <w:p w14:paraId="4543F29F">
            <w:pPr>
              <w:pStyle w:val="6"/>
              <w:spacing w:before="290" w:line="239" w:lineRule="auto"/>
              <w:ind w:left="145"/>
              <w:rPr>
                <w:sz w:val="18"/>
                <w:szCs w:val="18"/>
              </w:rPr>
            </w:pPr>
            <w:r>
              <w:rPr>
                <w:spacing w:val="-2"/>
                <w:sz w:val="18"/>
                <w:szCs w:val="18"/>
              </w:rPr>
              <w:t>0.26</w:t>
            </w:r>
          </w:p>
        </w:tc>
        <w:tc>
          <w:tcPr>
            <w:tcW w:w="569" w:type="dxa"/>
            <w:vAlign w:val="top"/>
          </w:tcPr>
          <w:p w14:paraId="0D04FABB">
            <w:pPr>
              <w:rPr>
                <w:rFonts w:ascii="Arial"/>
                <w:sz w:val="21"/>
              </w:rPr>
            </w:pPr>
          </w:p>
        </w:tc>
        <w:tc>
          <w:tcPr>
            <w:tcW w:w="729" w:type="dxa"/>
            <w:vAlign w:val="top"/>
          </w:tcPr>
          <w:p w14:paraId="5412186D">
            <w:pPr>
              <w:rPr>
                <w:rFonts w:ascii="Arial"/>
                <w:sz w:val="21"/>
              </w:rPr>
            </w:pPr>
          </w:p>
        </w:tc>
        <w:tc>
          <w:tcPr>
            <w:tcW w:w="629" w:type="dxa"/>
            <w:vAlign w:val="top"/>
          </w:tcPr>
          <w:p w14:paraId="38A1097F">
            <w:pPr>
              <w:rPr>
                <w:rFonts w:ascii="Arial"/>
                <w:sz w:val="21"/>
              </w:rPr>
            </w:pPr>
          </w:p>
        </w:tc>
        <w:tc>
          <w:tcPr>
            <w:tcW w:w="859" w:type="dxa"/>
            <w:vAlign w:val="top"/>
          </w:tcPr>
          <w:p w14:paraId="22DC3AC8">
            <w:pPr>
              <w:rPr>
                <w:rFonts w:ascii="Arial"/>
                <w:sz w:val="21"/>
              </w:rPr>
            </w:pPr>
          </w:p>
        </w:tc>
        <w:tc>
          <w:tcPr>
            <w:tcW w:w="340" w:type="dxa"/>
            <w:vAlign w:val="top"/>
          </w:tcPr>
          <w:p w14:paraId="7AB85714">
            <w:pPr>
              <w:rPr>
                <w:rFonts w:ascii="Arial"/>
                <w:sz w:val="21"/>
              </w:rPr>
            </w:pPr>
          </w:p>
        </w:tc>
        <w:tc>
          <w:tcPr>
            <w:tcW w:w="350" w:type="dxa"/>
            <w:vAlign w:val="top"/>
          </w:tcPr>
          <w:p w14:paraId="559FFD81">
            <w:pPr>
              <w:rPr>
                <w:rFonts w:ascii="Arial"/>
                <w:sz w:val="21"/>
              </w:rPr>
            </w:pPr>
          </w:p>
        </w:tc>
        <w:tc>
          <w:tcPr>
            <w:tcW w:w="360" w:type="dxa"/>
            <w:vAlign w:val="top"/>
          </w:tcPr>
          <w:p w14:paraId="19DBD682">
            <w:pPr>
              <w:rPr>
                <w:rFonts w:ascii="Arial"/>
                <w:sz w:val="21"/>
              </w:rPr>
            </w:pPr>
          </w:p>
        </w:tc>
        <w:tc>
          <w:tcPr>
            <w:tcW w:w="345" w:type="dxa"/>
            <w:vAlign w:val="top"/>
          </w:tcPr>
          <w:p w14:paraId="7DC4E923">
            <w:pPr>
              <w:rPr>
                <w:rFonts w:ascii="Arial"/>
                <w:sz w:val="21"/>
              </w:rPr>
            </w:pPr>
          </w:p>
        </w:tc>
      </w:tr>
      <w:tr w14:paraId="3F6F7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904" w:type="dxa"/>
            <w:vMerge w:val="continue"/>
            <w:tcBorders>
              <w:top w:val="nil"/>
              <w:bottom w:val="nil"/>
            </w:tcBorders>
            <w:vAlign w:val="top"/>
          </w:tcPr>
          <w:p w14:paraId="2F229117">
            <w:pPr>
              <w:rPr>
                <w:rFonts w:ascii="Arial"/>
                <w:sz w:val="21"/>
              </w:rPr>
            </w:pPr>
          </w:p>
        </w:tc>
        <w:tc>
          <w:tcPr>
            <w:tcW w:w="110" w:type="dxa"/>
            <w:tcBorders>
              <w:top w:val="nil"/>
              <w:bottom w:val="nil"/>
            </w:tcBorders>
            <w:vAlign w:val="top"/>
          </w:tcPr>
          <w:p w14:paraId="3178D3B4">
            <w:pPr>
              <w:rPr>
                <w:rFonts w:ascii="Arial"/>
                <w:sz w:val="21"/>
              </w:rPr>
            </w:pPr>
          </w:p>
        </w:tc>
        <w:tc>
          <w:tcPr>
            <w:tcW w:w="619" w:type="dxa"/>
            <w:vAlign w:val="top"/>
          </w:tcPr>
          <w:p w14:paraId="6BBCAA46">
            <w:pPr>
              <w:pStyle w:val="6"/>
              <w:spacing w:before="278" w:line="215" w:lineRule="auto"/>
              <w:ind w:left="121"/>
              <w:rPr>
                <w:sz w:val="18"/>
                <w:szCs w:val="18"/>
              </w:rPr>
            </w:pPr>
            <w:r>
              <w:rPr>
                <w:spacing w:val="-2"/>
                <w:sz w:val="18"/>
                <w:szCs w:val="18"/>
              </w:rPr>
              <w:t>集电</w:t>
            </w:r>
          </w:p>
          <w:p w14:paraId="690004DE">
            <w:pPr>
              <w:pStyle w:val="6"/>
              <w:spacing w:before="1" w:line="255" w:lineRule="auto"/>
              <w:ind w:left="211" w:right="137" w:hanging="90"/>
              <w:rPr>
                <w:sz w:val="18"/>
                <w:szCs w:val="18"/>
              </w:rPr>
            </w:pPr>
            <w:r>
              <w:rPr>
                <w:spacing w:val="-5"/>
                <w:sz w:val="18"/>
                <w:szCs w:val="18"/>
              </w:rPr>
              <w:t>线路</w:t>
            </w:r>
            <w:r>
              <w:rPr>
                <w:sz w:val="18"/>
                <w:szCs w:val="18"/>
              </w:rPr>
              <w:t xml:space="preserve"> 区</w:t>
            </w:r>
          </w:p>
        </w:tc>
        <w:tc>
          <w:tcPr>
            <w:tcW w:w="629" w:type="dxa"/>
            <w:vAlign w:val="top"/>
          </w:tcPr>
          <w:p w14:paraId="37BD4400">
            <w:pPr>
              <w:spacing w:line="464" w:lineRule="auto"/>
              <w:rPr>
                <w:rFonts w:ascii="Arial"/>
                <w:sz w:val="21"/>
              </w:rPr>
            </w:pPr>
          </w:p>
          <w:p w14:paraId="61724658">
            <w:pPr>
              <w:pStyle w:val="6"/>
              <w:spacing w:before="59" w:line="239" w:lineRule="auto"/>
              <w:ind w:left="122"/>
              <w:rPr>
                <w:sz w:val="18"/>
                <w:szCs w:val="18"/>
              </w:rPr>
            </w:pPr>
            <w:r>
              <w:rPr>
                <w:spacing w:val="-2"/>
                <w:sz w:val="18"/>
                <w:szCs w:val="18"/>
              </w:rPr>
              <w:t>0.35</w:t>
            </w:r>
          </w:p>
        </w:tc>
        <w:tc>
          <w:tcPr>
            <w:tcW w:w="569" w:type="dxa"/>
            <w:vAlign w:val="top"/>
          </w:tcPr>
          <w:p w14:paraId="05D15FF0">
            <w:pPr>
              <w:spacing w:line="464" w:lineRule="auto"/>
              <w:rPr>
                <w:rFonts w:ascii="Arial"/>
                <w:sz w:val="21"/>
              </w:rPr>
            </w:pPr>
          </w:p>
          <w:p w14:paraId="6956D195">
            <w:pPr>
              <w:pStyle w:val="6"/>
              <w:spacing w:before="59" w:line="239" w:lineRule="auto"/>
              <w:ind w:left="93"/>
              <w:rPr>
                <w:sz w:val="18"/>
                <w:szCs w:val="18"/>
              </w:rPr>
            </w:pPr>
            <w:r>
              <w:rPr>
                <w:spacing w:val="-4"/>
                <w:sz w:val="18"/>
                <w:szCs w:val="18"/>
              </w:rPr>
              <w:t>1.15</w:t>
            </w:r>
          </w:p>
        </w:tc>
        <w:tc>
          <w:tcPr>
            <w:tcW w:w="520" w:type="dxa"/>
            <w:vAlign w:val="top"/>
          </w:tcPr>
          <w:p w14:paraId="6FE60D89">
            <w:pPr>
              <w:spacing w:line="385" w:lineRule="auto"/>
              <w:rPr>
                <w:rFonts w:ascii="Arial"/>
                <w:sz w:val="21"/>
              </w:rPr>
            </w:pPr>
          </w:p>
          <w:p w14:paraId="19519F78">
            <w:pPr>
              <w:pStyle w:val="6"/>
              <w:spacing w:before="59" w:line="215" w:lineRule="auto"/>
              <w:ind w:left="114"/>
              <w:rPr>
                <w:sz w:val="18"/>
                <w:szCs w:val="18"/>
              </w:rPr>
            </w:pPr>
            <w:r>
              <w:rPr>
                <w:spacing w:val="-5"/>
                <w:sz w:val="18"/>
                <w:szCs w:val="18"/>
              </w:rPr>
              <w:t>1.5</w:t>
            </w:r>
          </w:p>
          <w:p w14:paraId="39FABDE3">
            <w:pPr>
              <w:pStyle w:val="6"/>
              <w:spacing w:line="239" w:lineRule="auto"/>
              <w:ind w:left="204"/>
              <w:rPr>
                <w:sz w:val="18"/>
                <w:szCs w:val="18"/>
              </w:rPr>
            </w:pPr>
            <w:r>
              <w:rPr>
                <w:sz w:val="18"/>
                <w:szCs w:val="18"/>
              </w:rPr>
              <w:t>0</w:t>
            </w:r>
          </w:p>
        </w:tc>
        <w:tc>
          <w:tcPr>
            <w:tcW w:w="569" w:type="dxa"/>
            <w:vAlign w:val="top"/>
          </w:tcPr>
          <w:p w14:paraId="6648CF95">
            <w:pPr>
              <w:spacing w:line="464" w:lineRule="auto"/>
              <w:rPr>
                <w:rFonts w:ascii="Arial"/>
                <w:sz w:val="21"/>
              </w:rPr>
            </w:pPr>
          </w:p>
          <w:p w14:paraId="04158A86">
            <w:pPr>
              <w:pStyle w:val="6"/>
              <w:spacing w:before="59" w:line="239" w:lineRule="auto"/>
              <w:ind w:left="94"/>
              <w:rPr>
                <w:sz w:val="18"/>
                <w:szCs w:val="18"/>
              </w:rPr>
            </w:pPr>
            <w:r>
              <w:rPr>
                <w:spacing w:val="-2"/>
                <w:sz w:val="18"/>
                <w:szCs w:val="18"/>
              </w:rPr>
              <w:t>0.88</w:t>
            </w:r>
          </w:p>
        </w:tc>
        <w:tc>
          <w:tcPr>
            <w:tcW w:w="490" w:type="dxa"/>
            <w:vAlign w:val="top"/>
          </w:tcPr>
          <w:p w14:paraId="402EFA94">
            <w:pPr>
              <w:spacing w:line="375" w:lineRule="auto"/>
              <w:rPr>
                <w:rFonts w:ascii="Arial"/>
                <w:sz w:val="21"/>
              </w:rPr>
            </w:pPr>
          </w:p>
          <w:p w14:paraId="7CC2BFCF">
            <w:pPr>
              <w:pStyle w:val="6"/>
              <w:spacing w:before="59" w:line="205" w:lineRule="auto"/>
              <w:ind w:left="105"/>
              <w:rPr>
                <w:sz w:val="18"/>
                <w:szCs w:val="18"/>
              </w:rPr>
            </w:pPr>
            <w:r>
              <w:rPr>
                <w:spacing w:val="-5"/>
                <w:sz w:val="18"/>
                <w:szCs w:val="18"/>
              </w:rPr>
              <w:t>1.1</w:t>
            </w:r>
          </w:p>
          <w:p w14:paraId="653C6FD6">
            <w:pPr>
              <w:pStyle w:val="6"/>
              <w:spacing w:line="239" w:lineRule="auto"/>
              <w:ind w:left="195"/>
              <w:rPr>
                <w:sz w:val="18"/>
                <w:szCs w:val="18"/>
              </w:rPr>
            </w:pPr>
            <w:r>
              <w:rPr>
                <w:sz w:val="18"/>
                <w:szCs w:val="18"/>
              </w:rPr>
              <w:t>5</w:t>
            </w:r>
          </w:p>
        </w:tc>
        <w:tc>
          <w:tcPr>
            <w:tcW w:w="659" w:type="dxa"/>
            <w:vAlign w:val="top"/>
          </w:tcPr>
          <w:p w14:paraId="2AB613CD">
            <w:pPr>
              <w:spacing w:line="464" w:lineRule="auto"/>
              <w:rPr>
                <w:rFonts w:ascii="Arial"/>
                <w:sz w:val="21"/>
              </w:rPr>
            </w:pPr>
          </w:p>
          <w:p w14:paraId="17E7FCAD">
            <w:pPr>
              <w:pStyle w:val="6"/>
              <w:spacing w:before="59" w:line="239" w:lineRule="auto"/>
              <w:ind w:left="145"/>
              <w:rPr>
                <w:sz w:val="18"/>
                <w:szCs w:val="18"/>
              </w:rPr>
            </w:pPr>
            <w:r>
              <w:rPr>
                <w:spacing w:val="-2"/>
                <w:sz w:val="18"/>
                <w:szCs w:val="18"/>
              </w:rPr>
              <w:t>2.03</w:t>
            </w:r>
          </w:p>
        </w:tc>
        <w:tc>
          <w:tcPr>
            <w:tcW w:w="569" w:type="dxa"/>
            <w:vAlign w:val="top"/>
          </w:tcPr>
          <w:p w14:paraId="291B46D3">
            <w:pPr>
              <w:spacing w:line="464" w:lineRule="auto"/>
              <w:rPr>
                <w:rFonts w:ascii="Arial"/>
                <w:sz w:val="21"/>
              </w:rPr>
            </w:pPr>
          </w:p>
          <w:p w14:paraId="1CEED937">
            <w:pPr>
              <w:pStyle w:val="6"/>
              <w:spacing w:before="59" w:line="239" w:lineRule="auto"/>
              <w:ind w:left="96"/>
              <w:rPr>
                <w:sz w:val="18"/>
                <w:szCs w:val="18"/>
              </w:rPr>
            </w:pPr>
            <w:r>
              <w:rPr>
                <w:spacing w:val="-2"/>
                <w:sz w:val="18"/>
                <w:szCs w:val="18"/>
              </w:rPr>
              <w:t>0.53</w:t>
            </w:r>
          </w:p>
        </w:tc>
        <w:tc>
          <w:tcPr>
            <w:tcW w:w="729" w:type="dxa"/>
            <w:vAlign w:val="top"/>
          </w:tcPr>
          <w:p w14:paraId="3B2E9DD0">
            <w:pPr>
              <w:pStyle w:val="6"/>
              <w:spacing w:before="58" w:line="219" w:lineRule="auto"/>
              <w:ind w:left="177"/>
              <w:rPr>
                <w:sz w:val="18"/>
                <w:szCs w:val="18"/>
              </w:rPr>
            </w:pPr>
            <w:r>
              <w:rPr>
                <w:spacing w:val="-2"/>
                <w:sz w:val="18"/>
                <w:szCs w:val="18"/>
              </w:rPr>
              <w:t>道路</w:t>
            </w:r>
          </w:p>
          <w:p w14:paraId="683DABB8">
            <w:pPr>
              <w:pStyle w:val="6"/>
              <w:spacing w:before="6" w:line="220" w:lineRule="auto"/>
              <w:ind w:left="177"/>
              <w:rPr>
                <w:sz w:val="18"/>
                <w:szCs w:val="18"/>
              </w:rPr>
            </w:pPr>
            <w:r>
              <w:rPr>
                <w:spacing w:val="-3"/>
                <w:sz w:val="18"/>
                <w:szCs w:val="18"/>
              </w:rPr>
              <w:t>工程</w:t>
            </w:r>
          </w:p>
          <w:p w14:paraId="540902E1">
            <w:pPr>
              <w:pStyle w:val="6"/>
              <w:spacing w:before="5" w:line="221" w:lineRule="auto"/>
              <w:ind w:left="87"/>
              <w:rPr>
                <w:sz w:val="18"/>
                <w:szCs w:val="18"/>
              </w:rPr>
            </w:pPr>
            <w:r>
              <w:rPr>
                <w:spacing w:val="3"/>
                <w:sz w:val="18"/>
                <w:szCs w:val="18"/>
              </w:rPr>
              <w:t>区、升</w:t>
            </w:r>
          </w:p>
          <w:p w14:paraId="599F53EF">
            <w:pPr>
              <w:pStyle w:val="6"/>
              <w:spacing w:before="46" w:line="222" w:lineRule="auto"/>
              <w:ind w:left="177"/>
              <w:rPr>
                <w:sz w:val="18"/>
                <w:szCs w:val="18"/>
              </w:rPr>
            </w:pPr>
            <w:r>
              <w:rPr>
                <w:spacing w:val="-2"/>
                <w:sz w:val="18"/>
                <w:szCs w:val="18"/>
              </w:rPr>
              <w:t>压站</w:t>
            </w:r>
          </w:p>
          <w:p w14:paraId="0BFD8AB4">
            <w:pPr>
              <w:pStyle w:val="6"/>
              <w:spacing w:before="6" w:line="201" w:lineRule="auto"/>
              <w:ind w:left="267"/>
              <w:rPr>
                <w:sz w:val="18"/>
                <w:szCs w:val="18"/>
              </w:rPr>
            </w:pPr>
            <w:r>
              <w:rPr>
                <w:sz w:val="18"/>
                <w:szCs w:val="18"/>
              </w:rPr>
              <w:t>区</w:t>
            </w:r>
          </w:p>
        </w:tc>
        <w:tc>
          <w:tcPr>
            <w:tcW w:w="629" w:type="dxa"/>
            <w:vAlign w:val="top"/>
          </w:tcPr>
          <w:p w14:paraId="236DED58">
            <w:pPr>
              <w:rPr>
                <w:rFonts w:ascii="Arial"/>
                <w:sz w:val="21"/>
              </w:rPr>
            </w:pPr>
          </w:p>
        </w:tc>
        <w:tc>
          <w:tcPr>
            <w:tcW w:w="859" w:type="dxa"/>
            <w:vAlign w:val="top"/>
          </w:tcPr>
          <w:p w14:paraId="4F5C9565">
            <w:pPr>
              <w:rPr>
                <w:rFonts w:ascii="Arial"/>
                <w:sz w:val="21"/>
              </w:rPr>
            </w:pPr>
          </w:p>
        </w:tc>
        <w:tc>
          <w:tcPr>
            <w:tcW w:w="340" w:type="dxa"/>
            <w:vAlign w:val="top"/>
          </w:tcPr>
          <w:p w14:paraId="1A271C1F">
            <w:pPr>
              <w:rPr>
                <w:rFonts w:ascii="Arial"/>
                <w:sz w:val="21"/>
              </w:rPr>
            </w:pPr>
          </w:p>
        </w:tc>
        <w:tc>
          <w:tcPr>
            <w:tcW w:w="350" w:type="dxa"/>
            <w:vAlign w:val="top"/>
          </w:tcPr>
          <w:p w14:paraId="70D37488">
            <w:pPr>
              <w:rPr>
                <w:rFonts w:ascii="Arial"/>
                <w:sz w:val="21"/>
              </w:rPr>
            </w:pPr>
          </w:p>
        </w:tc>
        <w:tc>
          <w:tcPr>
            <w:tcW w:w="360" w:type="dxa"/>
            <w:vAlign w:val="top"/>
          </w:tcPr>
          <w:p w14:paraId="58F96655">
            <w:pPr>
              <w:rPr>
                <w:rFonts w:ascii="Arial"/>
                <w:sz w:val="21"/>
              </w:rPr>
            </w:pPr>
          </w:p>
        </w:tc>
        <w:tc>
          <w:tcPr>
            <w:tcW w:w="345" w:type="dxa"/>
            <w:vAlign w:val="top"/>
          </w:tcPr>
          <w:p w14:paraId="12CA4823">
            <w:pPr>
              <w:rPr>
                <w:rFonts w:ascii="Arial"/>
                <w:sz w:val="21"/>
              </w:rPr>
            </w:pPr>
          </w:p>
        </w:tc>
      </w:tr>
      <w:tr w14:paraId="60269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904" w:type="dxa"/>
            <w:vMerge w:val="continue"/>
            <w:tcBorders>
              <w:top w:val="nil"/>
              <w:bottom w:val="nil"/>
            </w:tcBorders>
            <w:vAlign w:val="top"/>
          </w:tcPr>
          <w:p w14:paraId="67C055BA">
            <w:pPr>
              <w:rPr>
                <w:rFonts w:ascii="Arial"/>
                <w:sz w:val="21"/>
              </w:rPr>
            </w:pPr>
          </w:p>
        </w:tc>
        <w:tc>
          <w:tcPr>
            <w:tcW w:w="110" w:type="dxa"/>
            <w:tcBorders>
              <w:top w:val="nil"/>
              <w:bottom w:val="nil"/>
            </w:tcBorders>
            <w:vAlign w:val="top"/>
          </w:tcPr>
          <w:p w14:paraId="7B2600D6">
            <w:pPr>
              <w:rPr>
                <w:rFonts w:ascii="Arial"/>
                <w:sz w:val="21"/>
              </w:rPr>
            </w:pPr>
          </w:p>
        </w:tc>
        <w:tc>
          <w:tcPr>
            <w:tcW w:w="619" w:type="dxa"/>
            <w:vAlign w:val="top"/>
          </w:tcPr>
          <w:p w14:paraId="4D5E974E">
            <w:pPr>
              <w:pStyle w:val="6"/>
              <w:spacing w:before="129" w:line="219" w:lineRule="auto"/>
              <w:ind w:left="121"/>
              <w:rPr>
                <w:sz w:val="18"/>
                <w:szCs w:val="18"/>
              </w:rPr>
            </w:pPr>
            <w:r>
              <w:rPr>
                <w:spacing w:val="-2"/>
                <w:sz w:val="18"/>
                <w:szCs w:val="18"/>
              </w:rPr>
              <w:t>道路</w:t>
            </w:r>
          </w:p>
          <w:p w14:paraId="570B18E6">
            <w:pPr>
              <w:pStyle w:val="6"/>
              <w:spacing w:before="37" w:line="224" w:lineRule="auto"/>
              <w:ind w:left="211" w:right="137" w:hanging="90"/>
              <w:rPr>
                <w:sz w:val="18"/>
                <w:szCs w:val="18"/>
              </w:rPr>
            </w:pPr>
            <w:r>
              <w:rPr>
                <w:spacing w:val="-5"/>
                <w:sz w:val="18"/>
                <w:szCs w:val="18"/>
              </w:rPr>
              <w:t>工程</w:t>
            </w:r>
            <w:r>
              <w:rPr>
                <w:sz w:val="18"/>
                <w:szCs w:val="18"/>
              </w:rPr>
              <w:t xml:space="preserve"> 区</w:t>
            </w:r>
          </w:p>
        </w:tc>
        <w:tc>
          <w:tcPr>
            <w:tcW w:w="629" w:type="dxa"/>
            <w:vAlign w:val="top"/>
          </w:tcPr>
          <w:p w14:paraId="4072CD0B">
            <w:pPr>
              <w:spacing w:line="336" w:lineRule="auto"/>
              <w:rPr>
                <w:rFonts w:ascii="Arial"/>
                <w:sz w:val="21"/>
              </w:rPr>
            </w:pPr>
          </w:p>
          <w:p w14:paraId="1FDD6D2E">
            <w:pPr>
              <w:pStyle w:val="6"/>
              <w:spacing w:before="59" w:line="239" w:lineRule="auto"/>
              <w:ind w:left="122"/>
              <w:rPr>
                <w:sz w:val="18"/>
                <w:szCs w:val="18"/>
              </w:rPr>
            </w:pPr>
            <w:r>
              <w:rPr>
                <w:spacing w:val="-2"/>
                <w:sz w:val="18"/>
                <w:szCs w:val="18"/>
              </w:rPr>
              <w:t>0.60</w:t>
            </w:r>
          </w:p>
        </w:tc>
        <w:tc>
          <w:tcPr>
            <w:tcW w:w="569" w:type="dxa"/>
            <w:vAlign w:val="top"/>
          </w:tcPr>
          <w:p w14:paraId="11299489">
            <w:pPr>
              <w:spacing w:line="336" w:lineRule="auto"/>
              <w:rPr>
                <w:rFonts w:ascii="Arial"/>
                <w:sz w:val="21"/>
              </w:rPr>
            </w:pPr>
          </w:p>
          <w:p w14:paraId="3999EC03">
            <w:pPr>
              <w:pStyle w:val="6"/>
              <w:spacing w:before="59" w:line="239" w:lineRule="auto"/>
              <w:ind w:left="93"/>
              <w:rPr>
                <w:sz w:val="18"/>
                <w:szCs w:val="18"/>
              </w:rPr>
            </w:pPr>
            <w:r>
              <w:rPr>
                <w:spacing w:val="-2"/>
                <w:sz w:val="18"/>
                <w:szCs w:val="18"/>
              </w:rPr>
              <w:t>0.20</w:t>
            </w:r>
          </w:p>
        </w:tc>
        <w:tc>
          <w:tcPr>
            <w:tcW w:w="520" w:type="dxa"/>
            <w:vAlign w:val="top"/>
          </w:tcPr>
          <w:p w14:paraId="32BBADF4">
            <w:pPr>
              <w:spacing w:line="247" w:lineRule="auto"/>
              <w:rPr>
                <w:rFonts w:ascii="Arial"/>
                <w:sz w:val="21"/>
              </w:rPr>
            </w:pPr>
          </w:p>
          <w:p w14:paraId="1B92A24D">
            <w:pPr>
              <w:pStyle w:val="6"/>
              <w:spacing w:before="58" w:line="205" w:lineRule="auto"/>
              <w:ind w:left="114"/>
              <w:rPr>
                <w:sz w:val="18"/>
                <w:szCs w:val="18"/>
              </w:rPr>
            </w:pPr>
            <w:r>
              <w:rPr>
                <w:spacing w:val="-2"/>
                <w:sz w:val="18"/>
                <w:szCs w:val="18"/>
              </w:rPr>
              <w:t>0.8</w:t>
            </w:r>
          </w:p>
          <w:p w14:paraId="51FE30E7">
            <w:pPr>
              <w:pStyle w:val="6"/>
              <w:spacing w:line="239" w:lineRule="auto"/>
              <w:ind w:left="204"/>
              <w:rPr>
                <w:sz w:val="18"/>
                <w:szCs w:val="18"/>
              </w:rPr>
            </w:pPr>
            <w:r>
              <w:rPr>
                <w:sz w:val="18"/>
                <w:szCs w:val="18"/>
              </w:rPr>
              <w:t>0</w:t>
            </w:r>
          </w:p>
        </w:tc>
        <w:tc>
          <w:tcPr>
            <w:tcW w:w="569" w:type="dxa"/>
            <w:vAlign w:val="top"/>
          </w:tcPr>
          <w:p w14:paraId="3BD1D4C2">
            <w:pPr>
              <w:spacing w:line="336" w:lineRule="auto"/>
              <w:rPr>
                <w:rFonts w:ascii="Arial"/>
                <w:sz w:val="21"/>
              </w:rPr>
            </w:pPr>
          </w:p>
          <w:p w14:paraId="3C1B8618">
            <w:pPr>
              <w:pStyle w:val="6"/>
              <w:spacing w:before="59" w:line="239" w:lineRule="auto"/>
              <w:ind w:left="94"/>
              <w:rPr>
                <w:sz w:val="18"/>
                <w:szCs w:val="18"/>
              </w:rPr>
            </w:pPr>
            <w:r>
              <w:rPr>
                <w:spacing w:val="-2"/>
                <w:sz w:val="18"/>
                <w:szCs w:val="18"/>
              </w:rPr>
              <w:t>0.06</w:t>
            </w:r>
          </w:p>
        </w:tc>
        <w:tc>
          <w:tcPr>
            <w:tcW w:w="490" w:type="dxa"/>
            <w:vAlign w:val="top"/>
          </w:tcPr>
          <w:p w14:paraId="74AA63CD">
            <w:pPr>
              <w:pStyle w:val="6"/>
              <w:spacing w:before="297" w:line="205" w:lineRule="auto"/>
              <w:ind w:left="105"/>
              <w:rPr>
                <w:sz w:val="18"/>
                <w:szCs w:val="18"/>
              </w:rPr>
            </w:pPr>
            <w:r>
              <w:rPr>
                <w:spacing w:val="-2"/>
                <w:sz w:val="18"/>
                <w:szCs w:val="18"/>
              </w:rPr>
              <w:t>0.7</w:t>
            </w:r>
          </w:p>
          <w:p w14:paraId="535BA51D">
            <w:pPr>
              <w:pStyle w:val="6"/>
              <w:ind w:left="195"/>
              <w:rPr>
                <w:sz w:val="18"/>
                <w:szCs w:val="18"/>
              </w:rPr>
            </w:pPr>
            <w:r>
              <w:rPr>
                <w:sz w:val="18"/>
                <w:szCs w:val="18"/>
              </w:rPr>
              <w:t>1</w:t>
            </w:r>
          </w:p>
        </w:tc>
        <w:tc>
          <w:tcPr>
            <w:tcW w:w="659" w:type="dxa"/>
            <w:vAlign w:val="top"/>
          </w:tcPr>
          <w:p w14:paraId="3A0267A0">
            <w:pPr>
              <w:spacing w:line="336" w:lineRule="auto"/>
              <w:rPr>
                <w:rFonts w:ascii="Arial"/>
                <w:sz w:val="21"/>
              </w:rPr>
            </w:pPr>
          </w:p>
          <w:p w14:paraId="06D4C32C">
            <w:pPr>
              <w:pStyle w:val="6"/>
              <w:spacing w:before="59" w:line="239" w:lineRule="auto"/>
              <w:ind w:left="145"/>
              <w:rPr>
                <w:sz w:val="18"/>
                <w:szCs w:val="18"/>
              </w:rPr>
            </w:pPr>
            <w:r>
              <w:rPr>
                <w:spacing w:val="-2"/>
                <w:sz w:val="18"/>
                <w:szCs w:val="18"/>
              </w:rPr>
              <w:t>0.77</w:t>
            </w:r>
          </w:p>
        </w:tc>
        <w:tc>
          <w:tcPr>
            <w:tcW w:w="569" w:type="dxa"/>
            <w:vAlign w:val="top"/>
          </w:tcPr>
          <w:p w14:paraId="0072D2CD">
            <w:pPr>
              <w:spacing w:line="336" w:lineRule="auto"/>
              <w:rPr>
                <w:rFonts w:ascii="Arial"/>
                <w:sz w:val="21"/>
              </w:rPr>
            </w:pPr>
          </w:p>
          <w:p w14:paraId="3D3936E9">
            <w:pPr>
              <w:pStyle w:val="6"/>
              <w:spacing w:before="59" w:line="239" w:lineRule="auto"/>
              <w:ind w:left="96"/>
              <w:rPr>
                <w:sz w:val="18"/>
                <w:szCs w:val="18"/>
              </w:rPr>
            </w:pPr>
            <w:r>
              <w:rPr>
                <w:spacing w:val="-2"/>
                <w:sz w:val="18"/>
                <w:szCs w:val="18"/>
              </w:rPr>
              <w:t>0.51</w:t>
            </w:r>
          </w:p>
        </w:tc>
        <w:tc>
          <w:tcPr>
            <w:tcW w:w="729" w:type="dxa"/>
            <w:vAlign w:val="top"/>
          </w:tcPr>
          <w:p w14:paraId="472C7622">
            <w:pPr>
              <w:pStyle w:val="6"/>
              <w:spacing w:before="270" w:line="241" w:lineRule="auto"/>
              <w:ind w:left="177" w:right="166"/>
              <w:rPr>
                <w:sz w:val="18"/>
                <w:szCs w:val="18"/>
              </w:rPr>
            </w:pPr>
            <w:r>
              <w:rPr>
                <w:spacing w:val="-5"/>
                <w:sz w:val="18"/>
                <w:szCs w:val="18"/>
              </w:rPr>
              <w:t>升压</w:t>
            </w:r>
            <w:r>
              <w:rPr>
                <w:sz w:val="18"/>
                <w:szCs w:val="18"/>
              </w:rPr>
              <w:t xml:space="preserve"> </w:t>
            </w:r>
            <w:r>
              <w:rPr>
                <w:spacing w:val="7"/>
                <w:sz w:val="18"/>
                <w:szCs w:val="18"/>
              </w:rPr>
              <w:t>站区</w:t>
            </w:r>
          </w:p>
        </w:tc>
        <w:tc>
          <w:tcPr>
            <w:tcW w:w="629" w:type="dxa"/>
            <w:vAlign w:val="top"/>
          </w:tcPr>
          <w:p w14:paraId="4E9B8802">
            <w:pPr>
              <w:spacing w:line="336" w:lineRule="auto"/>
              <w:rPr>
                <w:rFonts w:ascii="Arial"/>
                <w:sz w:val="21"/>
              </w:rPr>
            </w:pPr>
          </w:p>
          <w:p w14:paraId="245495BD">
            <w:pPr>
              <w:pStyle w:val="6"/>
              <w:spacing w:before="59" w:line="239" w:lineRule="auto"/>
              <w:ind w:left="128"/>
              <w:rPr>
                <w:sz w:val="18"/>
                <w:szCs w:val="18"/>
              </w:rPr>
            </w:pPr>
            <w:r>
              <w:rPr>
                <w:spacing w:val="-2"/>
                <w:sz w:val="18"/>
                <w:szCs w:val="18"/>
              </w:rPr>
              <w:t>0.54</w:t>
            </w:r>
          </w:p>
        </w:tc>
        <w:tc>
          <w:tcPr>
            <w:tcW w:w="859" w:type="dxa"/>
            <w:vAlign w:val="top"/>
          </w:tcPr>
          <w:p w14:paraId="02C32FA7">
            <w:pPr>
              <w:pStyle w:val="6"/>
              <w:spacing w:before="29" w:line="219" w:lineRule="auto"/>
              <w:ind w:left="159"/>
              <w:rPr>
                <w:sz w:val="18"/>
                <w:szCs w:val="18"/>
              </w:rPr>
            </w:pPr>
            <w:r>
              <w:rPr>
                <w:spacing w:val="-2"/>
                <w:sz w:val="18"/>
                <w:szCs w:val="18"/>
              </w:rPr>
              <w:t>集电线</w:t>
            </w:r>
          </w:p>
          <w:p w14:paraId="3A3E1287">
            <w:pPr>
              <w:pStyle w:val="6"/>
              <w:spacing w:before="26" w:line="219" w:lineRule="auto"/>
              <w:ind w:left="69"/>
              <w:rPr>
                <w:sz w:val="18"/>
                <w:szCs w:val="18"/>
              </w:rPr>
            </w:pPr>
            <w:r>
              <w:rPr>
                <w:spacing w:val="-2"/>
                <w:sz w:val="18"/>
                <w:szCs w:val="18"/>
              </w:rPr>
              <w:t>路区、施</w:t>
            </w:r>
          </w:p>
          <w:p w14:paraId="36F9C004">
            <w:pPr>
              <w:pStyle w:val="6"/>
              <w:spacing w:before="6" w:line="220" w:lineRule="auto"/>
              <w:ind w:left="159"/>
              <w:rPr>
                <w:sz w:val="18"/>
                <w:szCs w:val="18"/>
              </w:rPr>
            </w:pPr>
            <w:r>
              <w:rPr>
                <w:spacing w:val="3"/>
                <w:sz w:val="18"/>
                <w:szCs w:val="18"/>
              </w:rPr>
              <w:t>工营场</w:t>
            </w:r>
          </w:p>
          <w:p w14:paraId="14F3EC23">
            <w:pPr>
              <w:pStyle w:val="6"/>
              <w:spacing w:before="23" w:line="206" w:lineRule="auto"/>
              <w:ind w:left="319"/>
              <w:rPr>
                <w:sz w:val="18"/>
                <w:szCs w:val="18"/>
              </w:rPr>
            </w:pPr>
            <w:r>
              <w:rPr>
                <w:sz w:val="18"/>
                <w:szCs w:val="18"/>
              </w:rPr>
              <w:t>地</w:t>
            </w:r>
          </w:p>
        </w:tc>
        <w:tc>
          <w:tcPr>
            <w:tcW w:w="340" w:type="dxa"/>
            <w:vAlign w:val="top"/>
          </w:tcPr>
          <w:p w14:paraId="0C0E26FA">
            <w:pPr>
              <w:rPr>
                <w:rFonts w:ascii="Arial"/>
                <w:sz w:val="21"/>
              </w:rPr>
            </w:pPr>
          </w:p>
        </w:tc>
        <w:tc>
          <w:tcPr>
            <w:tcW w:w="350" w:type="dxa"/>
            <w:vAlign w:val="top"/>
          </w:tcPr>
          <w:p w14:paraId="5B3DC7FF">
            <w:pPr>
              <w:rPr>
                <w:rFonts w:ascii="Arial"/>
                <w:sz w:val="21"/>
              </w:rPr>
            </w:pPr>
          </w:p>
        </w:tc>
        <w:tc>
          <w:tcPr>
            <w:tcW w:w="360" w:type="dxa"/>
            <w:vAlign w:val="top"/>
          </w:tcPr>
          <w:p w14:paraId="45619EC2">
            <w:pPr>
              <w:rPr>
                <w:rFonts w:ascii="Arial"/>
                <w:sz w:val="21"/>
              </w:rPr>
            </w:pPr>
          </w:p>
        </w:tc>
        <w:tc>
          <w:tcPr>
            <w:tcW w:w="345" w:type="dxa"/>
            <w:vAlign w:val="top"/>
          </w:tcPr>
          <w:p w14:paraId="4B9A6F05">
            <w:pPr>
              <w:rPr>
                <w:rFonts w:ascii="Arial"/>
                <w:sz w:val="21"/>
              </w:rPr>
            </w:pPr>
          </w:p>
        </w:tc>
      </w:tr>
      <w:tr w14:paraId="519AF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904" w:type="dxa"/>
            <w:vMerge w:val="continue"/>
            <w:tcBorders>
              <w:top w:val="nil"/>
              <w:bottom w:val="nil"/>
            </w:tcBorders>
            <w:vAlign w:val="top"/>
          </w:tcPr>
          <w:p w14:paraId="3F892D61">
            <w:pPr>
              <w:rPr>
                <w:rFonts w:ascii="Arial"/>
                <w:sz w:val="21"/>
              </w:rPr>
            </w:pPr>
          </w:p>
        </w:tc>
        <w:tc>
          <w:tcPr>
            <w:tcW w:w="110" w:type="dxa"/>
            <w:tcBorders>
              <w:top w:val="nil"/>
              <w:bottom w:val="nil"/>
            </w:tcBorders>
            <w:vAlign w:val="top"/>
          </w:tcPr>
          <w:p w14:paraId="441D1087">
            <w:pPr>
              <w:rPr>
                <w:rFonts w:ascii="Arial"/>
                <w:sz w:val="21"/>
              </w:rPr>
            </w:pPr>
          </w:p>
        </w:tc>
        <w:tc>
          <w:tcPr>
            <w:tcW w:w="619" w:type="dxa"/>
            <w:vAlign w:val="top"/>
          </w:tcPr>
          <w:p w14:paraId="5F6009BF">
            <w:pPr>
              <w:pStyle w:val="6"/>
              <w:spacing w:before="31" w:line="225" w:lineRule="auto"/>
              <w:ind w:left="91" w:right="116" w:firstLine="30"/>
              <w:jc w:val="both"/>
              <w:rPr>
                <w:sz w:val="18"/>
                <w:szCs w:val="18"/>
              </w:rPr>
            </w:pPr>
            <w:r>
              <w:rPr>
                <w:spacing w:val="-4"/>
                <w:sz w:val="18"/>
                <w:szCs w:val="18"/>
              </w:rPr>
              <w:t>施工</w:t>
            </w:r>
            <w:r>
              <w:rPr>
                <w:sz w:val="18"/>
                <w:szCs w:val="18"/>
              </w:rPr>
              <w:t xml:space="preserve"> </w:t>
            </w:r>
            <w:r>
              <w:rPr>
                <w:spacing w:val="20"/>
                <w:sz w:val="18"/>
                <w:szCs w:val="18"/>
              </w:rPr>
              <w:t>营场</w:t>
            </w:r>
            <w:r>
              <w:rPr>
                <w:sz w:val="18"/>
                <w:szCs w:val="18"/>
              </w:rPr>
              <w:t xml:space="preserve"> </w:t>
            </w:r>
            <w:r>
              <w:rPr>
                <w:spacing w:val="7"/>
                <w:sz w:val="18"/>
                <w:szCs w:val="18"/>
              </w:rPr>
              <w:t>地区</w:t>
            </w:r>
          </w:p>
        </w:tc>
        <w:tc>
          <w:tcPr>
            <w:tcW w:w="629" w:type="dxa"/>
            <w:vAlign w:val="top"/>
          </w:tcPr>
          <w:p w14:paraId="2C3629A0">
            <w:pPr>
              <w:pStyle w:val="6"/>
              <w:spacing w:before="278" w:line="239" w:lineRule="auto"/>
              <w:ind w:left="122"/>
              <w:rPr>
                <w:sz w:val="18"/>
                <w:szCs w:val="18"/>
              </w:rPr>
            </w:pPr>
            <w:r>
              <w:rPr>
                <w:spacing w:val="-2"/>
                <w:sz w:val="18"/>
                <w:szCs w:val="18"/>
              </w:rPr>
              <w:t>0.06</w:t>
            </w:r>
          </w:p>
        </w:tc>
        <w:tc>
          <w:tcPr>
            <w:tcW w:w="569" w:type="dxa"/>
            <w:vAlign w:val="top"/>
          </w:tcPr>
          <w:p w14:paraId="4D66F114">
            <w:pPr>
              <w:pStyle w:val="6"/>
              <w:spacing w:before="278" w:line="239" w:lineRule="auto"/>
              <w:ind w:left="93"/>
              <w:rPr>
                <w:sz w:val="18"/>
                <w:szCs w:val="18"/>
              </w:rPr>
            </w:pPr>
            <w:r>
              <w:rPr>
                <w:spacing w:val="-2"/>
                <w:sz w:val="18"/>
                <w:szCs w:val="18"/>
              </w:rPr>
              <w:t>0.12</w:t>
            </w:r>
          </w:p>
        </w:tc>
        <w:tc>
          <w:tcPr>
            <w:tcW w:w="520" w:type="dxa"/>
            <w:vAlign w:val="top"/>
          </w:tcPr>
          <w:p w14:paraId="675153B9">
            <w:pPr>
              <w:pStyle w:val="6"/>
              <w:spacing w:before="198" w:line="215" w:lineRule="auto"/>
              <w:ind w:left="114"/>
              <w:rPr>
                <w:sz w:val="18"/>
                <w:szCs w:val="18"/>
              </w:rPr>
            </w:pPr>
            <w:r>
              <w:rPr>
                <w:spacing w:val="-2"/>
                <w:sz w:val="18"/>
                <w:szCs w:val="18"/>
              </w:rPr>
              <w:t>0.1</w:t>
            </w:r>
          </w:p>
          <w:p w14:paraId="5BE94DF6">
            <w:pPr>
              <w:pStyle w:val="6"/>
              <w:spacing w:line="239" w:lineRule="auto"/>
              <w:ind w:left="204"/>
              <w:rPr>
                <w:sz w:val="18"/>
                <w:szCs w:val="18"/>
              </w:rPr>
            </w:pPr>
            <w:r>
              <w:rPr>
                <w:sz w:val="18"/>
                <w:szCs w:val="18"/>
              </w:rPr>
              <w:t>8</w:t>
            </w:r>
          </w:p>
        </w:tc>
        <w:tc>
          <w:tcPr>
            <w:tcW w:w="569" w:type="dxa"/>
            <w:vAlign w:val="top"/>
          </w:tcPr>
          <w:p w14:paraId="4774615D">
            <w:pPr>
              <w:pStyle w:val="6"/>
              <w:spacing w:before="278" w:line="239" w:lineRule="auto"/>
              <w:ind w:left="94"/>
              <w:rPr>
                <w:sz w:val="18"/>
                <w:szCs w:val="18"/>
              </w:rPr>
            </w:pPr>
            <w:r>
              <w:rPr>
                <w:spacing w:val="-2"/>
                <w:sz w:val="18"/>
                <w:szCs w:val="18"/>
              </w:rPr>
              <w:t>0.09</w:t>
            </w:r>
          </w:p>
        </w:tc>
        <w:tc>
          <w:tcPr>
            <w:tcW w:w="490" w:type="dxa"/>
            <w:vAlign w:val="top"/>
          </w:tcPr>
          <w:p w14:paraId="60C72E79">
            <w:pPr>
              <w:pStyle w:val="6"/>
              <w:spacing w:before="198" w:line="205" w:lineRule="auto"/>
              <w:ind w:left="105"/>
              <w:rPr>
                <w:sz w:val="18"/>
                <w:szCs w:val="18"/>
              </w:rPr>
            </w:pPr>
            <w:r>
              <w:rPr>
                <w:spacing w:val="-2"/>
                <w:sz w:val="18"/>
                <w:szCs w:val="18"/>
              </w:rPr>
              <w:t>0.1</w:t>
            </w:r>
          </w:p>
          <w:p w14:paraId="7DEA2611">
            <w:pPr>
              <w:pStyle w:val="6"/>
              <w:ind w:left="195"/>
              <w:rPr>
                <w:sz w:val="18"/>
                <w:szCs w:val="18"/>
              </w:rPr>
            </w:pPr>
            <w:r>
              <w:rPr>
                <w:sz w:val="18"/>
                <w:szCs w:val="18"/>
              </w:rPr>
              <w:t>2</w:t>
            </w:r>
          </w:p>
        </w:tc>
        <w:tc>
          <w:tcPr>
            <w:tcW w:w="659" w:type="dxa"/>
            <w:vAlign w:val="top"/>
          </w:tcPr>
          <w:p w14:paraId="12718BE9">
            <w:pPr>
              <w:pStyle w:val="6"/>
              <w:spacing w:before="278" w:line="239" w:lineRule="auto"/>
              <w:ind w:left="145"/>
              <w:rPr>
                <w:sz w:val="18"/>
                <w:szCs w:val="18"/>
              </w:rPr>
            </w:pPr>
            <w:r>
              <w:rPr>
                <w:spacing w:val="-2"/>
                <w:sz w:val="18"/>
                <w:szCs w:val="18"/>
              </w:rPr>
              <w:t>0.21</w:t>
            </w:r>
          </w:p>
        </w:tc>
        <w:tc>
          <w:tcPr>
            <w:tcW w:w="569" w:type="dxa"/>
            <w:vAlign w:val="top"/>
          </w:tcPr>
          <w:p w14:paraId="29234FE1">
            <w:pPr>
              <w:pStyle w:val="6"/>
              <w:spacing w:before="278" w:line="239" w:lineRule="auto"/>
              <w:ind w:left="96"/>
              <w:rPr>
                <w:sz w:val="18"/>
                <w:szCs w:val="18"/>
              </w:rPr>
            </w:pPr>
            <w:r>
              <w:rPr>
                <w:spacing w:val="-2"/>
                <w:sz w:val="18"/>
                <w:szCs w:val="18"/>
              </w:rPr>
              <w:t>0.03</w:t>
            </w:r>
          </w:p>
        </w:tc>
        <w:tc>
          <w:tcPr>
            <w:tcW w:w="729" w:type="dxa"/>
            <w:vAlign w:val="top"/>
          </w:tcPr>
          <w:p w14:paraId="642464E0">
            <w:pPr>
              <w:pStyle w:val="6"/>
              <w:spacing w:before="30" w:line="219" w:lineRule="auto"/>
              <w:ind w:left="177"/>
              <w:rPr>
                <w:sz w:val="18"/>
                <w:szCs w:val="18"/>
              </w:rPr>
            </w:pPr>
            <w:r>
              <w:rPr>
                <w:spacing w:val="-2"/>
                <w:sz w:val="18"/>
                <w:szCs w:val="18"/>
              </w:rPr>
              <w:t>道路</w:t>
            </w:r>
          </w:p>
          <w:p w14:paraId="343D70CA">
            <w:pPr>
              <w:pStyle w:val="6"/>
              <w:spacing w:before="26" w:line="215" w:lineRule="auto"/>
              <w:ind w:left="267" w:right="191" w:hanging="90"/>
              <w:rPr>
                <w:sz w:val="18"/>
                <w:szCs w:val="18"/>
              </w:rPr>
            </w:pPr>
            <w:r>
              <w:rPr>
                <w:spacing w:val="-5"/>
                <w:sz w:val="18"/>
                <w:szCs w:val="18"/>
              </w:rPr>
              <w:t>工程</w:t>
            </w:r>
            <w:r>
              <w:rPr>
                <w:sz w:val="18"/>
                <w:szCs w:val="18"/>
              </w:rPr>
              <w:t xml:space="preserve"> 区</w:t>
            </w:r>
          </w:p>
        </w:tc>
        <w:tc>
          <w:tcPr>
            <w:tcW w:w="629" w:type="dxa"/>
            <w:vAlign w:val="top"/>
          </w:tcPr>
          <w:p w14:paraId="28EE738E">
            <w:pPr>
              <w:rPr>
                <w:rFonts w:ascii="Arial"/>
                <w:sz w:val="21"/>
              </w:rPr>
            </w:pPr>
          </w:p>
        </w:tc>
        <w:tc>
          <w:tcPr>
            <w:tcW w:w="859" w:type="dxa"/>
            <w:vAlign w:val="top"/>
          </w:tcPr>
          <w:p w14:paraId="6941DEF9">
            <w:pPr>
              <w:rPr>
                <w:rFonts w:ascii="Arial"/>
                <w:sz w:val="21"/>
              </w:rPr>
            </w:pPr>
          </w:p>
        </w:tc>
        <w:tc>
          <w:tcPr>
            <w:tcW w:w="340" w:type="dxa"/>
            <w:vAlign w:val="top"/>
          </w:tcPr>
          <w:p w14:paraId="33C4AB28">
            <w:pPr>
              <w:rPr>
                <w:rFonts w:ascii="Arial"/>
                <w:sz w:val="21"/>
              </w:rPr>
            </w:pPr>
          </w:p>
        </w:tc>
        <w:tc>
          <w:tcPr>
            <w:tcW w:w="350" w:type="dxa"/>
            <w:vAlign w:val="top"/>
          </w:tcPr>
          <w:p w14:paraId="44C32E4E">
            <w:pPr>
              <w:rPr>
                <w:rFonts w:ascii="Arial"/>
                <w:sz w:val="21"/>
              </w:rPr>
            </w:pPr>
          </w:p>
        </w:tc>
        <w:tc>
          <w:tcPr>
            <w:tcW w:w="360" w:type="dxa"/>
            <w:vAlign w:val="top"/>
          </w:tcPr>
          <w:p w14:paraId="4287AA50">
            <w:pPr>
              <w:rPr>
                <w:rFonts w:ascii="Arial"/>
                <w:sz w:val="21"/>
              </w:rPr>
            </w:pPr>
          </w:p>
        </w:tc>
        <w:tc>
          <w:tcPr>
            <w:tcW w:w="345" w:type="dxa"/>
            <w:vAlign w:val="top"/>
          </w:tcPr>
          <w:p w14:paraId="5ED1C5AA">
            <w:pPr>
              <w:rPr>
                <w:rFonts w:ascii="Arial"/>
                <w:sz w:val="21"/>
              </w:rPr>
            </w:pPr>
          </w:p>
        </w:tc>
      </w:tr>
      <w:tr w14:paraId="6E78D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04" w:type="dxa"/>
            <w:vMerge w:val="continue"/>
            <w:tcBorders>
              <w:top w:val="nil"/>
              <w:bottom w:val="nil"/>
            </w:tcBorders>
            <w:vAlign w:val="top"/>
          </w:tcPr>
          <w:p w14:paraId="4D94489C">
            <w:pPr>
              <w:rPr>
                <w:rFonts w:ascii="Arial"/>
                <w:sz w:val="21"/>
              </w:rPr>
            </w:pPr>
          </w:p>
        </w:tc>
        <w:tc>
          <w:tcPr>
            <w:tcW w:w="110" w:type="dxa"/>
            <w:tcBorders>
              <w:top w:val="nil"/>
            </w:tcBorders>
            <w:vAlign w:val="top"/>
          </w:tcPr>
          <w:p w14:paraId="4A428514">
            <w:pPr>
              <w:rPr>
                <w:rFonts w:ascii="Arial"/>
                <w:sz w:val="21"/>
              </w:rPr>
            </w:pPr>
          </w:p>
        </w:tc>
        <w:tc>
          <w:tcPr>
            <w:tcW w:w="619" w:type="dxa"/>
            <w:vAlign w:val="top"/>
          </w:tcPr>
          <w:p w14:paraId="5D4268AD">
            <w:pPr>
              <w:pStyle w:val="6"/>
              <w:spacing w:before="121" w:line="221" w:lineRule="auto"/>
              <w:ind w:left="121"/>
              <w:rPr>
                <w:sz w:val="18"/>
                <w:szCs w:val="18"/>
              </w:rPr>
            </w:pPr>
            <w:r>
              <w:rPr>
                <w:spacing w:val="-2"/>
                <w:sz w:val="18"/>
                <w:szCs w:val="18"/>
              </w:rPr>
              <w:t>合计</w:t>
            </w:r>
          </w:p>
        </w:tc>
        <w:tc>
          <w:tcPr>
            <w:tcW w:w="629" w:type="dxa"/>
            <w:vAlign w:val="top"/>
          </w:tcPr>
          <w:p w14:paraId="7EFF852A">
            <w:pPr>
              <w:pStyle w:val="6"/>
              <w:spacing w:before="138" w:line="239" w:lineRule="auto"/>
              <w:ind w:left="122"/>
              <w:rPr>
                <w:sz w:val="18"/>
                <w:szCs w:val="18"/>
              </w:rPr>
            </w:pPr>
            <w:r>
              <w:rPr>
                <w:spacing w:val="-4"/>
                <w:sz w:val="18"/>
                <w:szCs w:val="18"/>
              </w:rPr>
              <w:t>1.08</w:t>
            </w:r>
          </w:p>
        </w:tc>
        <w:tc>
          <w:tcPr>
            <w:tcW w:w="569" w:type="dxa"/>
            <w:vAlign w:val="top"/>
          </w:tcPr>
          <w:p w14:paraId="586EEEBD">
            <w:pPr>
              <w:pStyle w:val="6"/>
              <w:spacing w:before="138" w:line="239" w:lineRule="auto"/>
              <w:ind w:left="143"/>
              <w:rPr>
                <w:sz w:val="18"/>
                <w:szCs w:val="18"/>
              </w:rPr>
            </w:pPr>
            <w:r>
              <w:rPr>
                <w:spacing w:val="-3"/>
                <w:sz w:val="18"/>
                <w:szCs w:val="18"/>
              </w:rPr>
              <w:t>2.8</w:t>
            </w:r>
          </w:p>
        </w:tc>
        <w:tc>
          <w:tcPr>
            <w:tcW w:w="520" w:type="dxa"/>
            <w:vAlign w:val="top"/>
          </w:tcPr>
          <w:p w14:paraId="352EAF0C">
            <w:pPr>
              <w:pStyle w:val="6"/>
              <w:spacing w:before="48" w:line="195" w:lineRule="auto"/>
              <w:ind w:left="114"/>
              <w:rPr>
                <w:sz w:val="18"/>
                <w:szCs w:val="18"/>
              </w:rPr>
            </w:pPr>
            <w:r>
              <w:rPr>
                <w:spacing w:val="-3"/>
                <w:sz w:val="18"/>
                <w:szCs w:val="18"/>
              </w:rPr>
              <w:t>3.8</w:t>
            </w:r>
          </w:p>
          <w:p w14:paraId="79327ECD">
            <w:pPr>
              <w:pStyle w:val="6"/>
              <w:spacing w:line="175" w:lineRule="auto"/>
              <w:ind w:left="204"/>
              <w:rPr>
                <w:sz w:val="18"/>
                <w:szCs w:val="18"/>
              </w:rPr>
            </w:pPr>
            <w:r>
              <w:rPr>
                <w:sz w:val="18"/>
                <w:szCs w:val="18"/>
              </w:rPr>
              <w:t>8</w:t>
            </w:r>
          </w:p>
        </w:tc>
        <w:tc>
          <w:tcPr>
            <w:tcW w:w="569" w:type="dxa"/>
            <w:vAlign w:val="top"/>
          </w:tcPr>
          <w:p w14:paraId="7E663112">
            <w:pPr>
              <w:pStyle w:val="6"/>
              <w:spacing w:before="138" w:line="239" w:lineRule="auto"/>
              <w:ind w:left="94"/>
              <w:rPr>
                <w:sz w:val="18"/>
                <w:szCs w:val="18"/>
              </w:rPr>
            </w:pPr>
            <w:r>
              <w:rPr>
                <w:spacing w:val="-4"/>
                <w:sz w:val="18"/>
                <w:szCs w:val="18"/>
              </w:rPr>
              <w:t>1.08</w:t>
            </w:r>
          </w:p>
        </w:tc>
        <w:tc>
          <w:tcPr>
            <w:tcW w:w="490" w:type="dxa"/>
            <w:vAlign w:val="top"/>
          </w:tcPr>
          <w:p w14:paraId="36BC7E9A">
            <w:pPr>
              <w:pStyle w:val="6"/>
              <w:spacing w:before="138" w:line="239" w:lineRule="auto"/>
              <w:ind w:left="105"/>
              <w:rPr>
                <w:sz w:val="18"/>
                <w:szCs w:val="18"/>
              </w:rPr>
            </w:pPr>
            <w:r>
              <w:rPr>
                <w:spacing w:val="-3"/>
                <w:sz w:val="18"/>
                <w:szCs w:val="18"/>
              </w:rPr>
              <w:t>2.8</w:t>
            </w:r>
          </w:p>
        </w:tc>
        <w:tc>
          <w:tcPr>
            <w:tcW w:w="659" w:type="dxa"/>
            <w:vAlign w:val="top"/>
          </w:tcPr>
          <w:p w14:paraId="58EFDF5F">
            <w:pPr>
              <w:pStyle w:val="6"/>
              <w:spacing w:before="138" w:line="239" w:lineRule="auto"/>
              <w:ind w:left="145"/>
              <w:rPr>
                <w:sz w:val="18"/>
                <w:szCs w:val="18"/>
              </w:rPr>
            </w:pPr>
            <w:r>
              <w:rPr>
                <w:spacing w:val="-2"/>
                <w:sz w:val="18"/>
                <w:szCs w:val="18"/>
              </w:rPr>
              <w:t>3.88</w:t>
            </w:r>
          </w:p>
        </w:tc>
        <w:tc>
          <w:tcPr>
            <w:tcW w:w="569" w:type="dxa"/>
            <w:vAlign w:val="top"/>
          </w:tcPr>
          <w:p w14:paraId="49FCA33E">
            <w:pPr>
              <w:pStyle w:val="6"/>
              <w:spacing w:before="138" w:line="239" w:lineRule="auto"/>
              <w:ind w:left="96"/>
              <w:rPr>
                <w:sz w:val="18"/>
                <w:szCs w:val="18"/>
              </w:rPr>
            </w:pPr>
            <w:r>
              <w:rPr>
                <w:spacing w:val="-4"/>
                <w:sz w:val="18"/>
                <w:szCs w:val="18"/>
              </w:rPr>
              <w:t>1.07</w:t>
            </w:r>
          </w:p>
        </w:tc>
        <w:tc>
          <w:tcPr>
            <w:tcW w:w="729" w:type="dxa"/>
            <w:vAlign w:val="top"/>
          </w:tcPr>
          <w:p w14:paraId="315B4DE8">
            <w:pPr>
              <w:rPr>
                <w:rFonts w:ascii="Arial"/>
                <w:sz w:val="21"/>
              </w:rPr>
            </w:pPr>
          </w:p>
        </w:tc>
        <w:tc>
          <w:tcPr>
            <w:tcW w:w="629" w:type="dxa"/>
            <w:vAlign w:val="top"/>
          </w:tcPr>
          <w:p w14:paraId="7E0CCD28">
            <w:pPr>
              <w:pStyle w:val="6"/>
              <w:spacing w:before="138" w:line="239" w:lineRule="auto"/>
              <w:ind w:left="128"/>
              <w:rPr>
                <w:sz w:val="18"/>
                <w:szCs w:val="18"/>
              </w:rPr>
            </w:pPr>
            <w:r>
              <w:rPr>
                <w:spacing w:val="-4"/>
                <w:sz w:val="18"/>
                <w:szCs w:val="18"/>
              </w:rPr>
              <w:t>1.07</w:t>
            </w:r>
          </w:p>
        </w:tc>
        <w:tc>
          <w:tcPr>
            <w:tcW w:w="859" w:type="dxa"/>
            <w:vAlign w:val="top"/>
          </w:tcPr>
          <w:p w14:paraId="71FB7889">
            <w:pPr>
              <w:rPr>
                <w:rFonts w:ascii="Arial"/>
                <w:sz w:val="21"/>
              </w:rPr>
            </w:pPr>
          </w:p>
        </w:tc>
        <w:tc>
          <w:tcPr>
            <w:tcW w:w="340" w:type="dxa"/>
            <w:vAlign w:val="top"/>
          </w:tcPr>
          <w:p w14:paraId="006FA3E9">
            <w:pPr>
              <w:rPr>
                <w:rFonts w:ascii="Arial"/>
                <w:sz w:val="21"/>
              </w:rPr>
            </w:pPr>
          </w:p>
        </w:tc>
        <w:tc>
          <w:tcPr>
            <w:tcW w:w="350" w:type="dxa"/>
            <w:vAlign w:val="top"/>
          </w:tcPr>
          <w:p w14:paraId="3221738D">
            <w:pPr>
              <w:rPr>
                <w:rFonts w:ascii="Arial"/>
                <w:sz w:val="21"/>
              </w:rPr>
            </w:pPr>
          </w:p>
        </w:tc>
        <w:tc>
          <w:tcPr>
            <w:tcW w:w="360" w:type="dxa"/>
            <w:vAlign w:val="top"/>
          </w:tcPr>
          <w:p w14:paraId="703CEC6B">
            <w:pPr>
              <w:rPr>
                <w:rFonts w:ascii="Arial"/>
                <w:sz w:val="21"/>
              </w:rPr>
            </w:pPr>
          </w:p>
        </w:tc>
        <w:tc>
          <w:tcPr>
            <w:tcW w:w="345" w:type="dxa"/>
            <w:vAlign w:val="top"/>
          </w:tcPr>
          <w:p w14:paraId="45E475C9">
            <w:pPr>
              <w:rPr>
                <w:rFonts w:ascii="Arial"/>
                <w:sz w:val="21"/>
              </w:rPr>
            </w:pPr>
          </w:p>
        </w:tc>
      </w:tr>
      <w:tr w14:paraId="15B2C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8" w:hRule="atLeast"/>
        </w:trPr>
        <w:tc>
          <w:tcPr>
            <w:tcW w:w="904" w:type="dxa"/>
            <w:vMerge w:val="continue"/>
            <w:tcBorders>
              <w:top w:val="nil"/>
            </w:tcBorders>
            <w:vAlign w:val="top"/>
          </w:tcPr>
          <w:p w14:paraId="649CF1C7">
            <w:pPr>
              <w:rPr>
                <w:rFonts w:ascii="Arial"/>
                <w:sz w:val="21"/>
              </w:rPr>
            </w:pPr>
          </w:p>
        </w:tc>
        <w:tc>
          <w:tcPr>
            <w:tcW w:w="8346" w:type="dxa"/>
            <w:gridSpan w:val="16"/>
            <w:vAlign w:val="top"/>
          </w:tcPr>
          <w:p w14:paraId="50DF08D7">
            <w:pPr>
              <w:pStyle w:val="6"/>
              <w:spacing w:before="50" w:line="219" w:lineRule="auto"/>
              <w:ind w:left="91"/>
              <w:rPr>
                <w:sz w:val="18"/>
                <w:szCs w:val="18"/>
              </w:rPr>
            </w:pPr>
            <w:r>
              <w:rPr>
                <w:sz w:val="18"/>
                <w:szCs w:val="18"/>
              </w:rPr>
              <w:t>说明：1.表中数字均为自然方；2.表中土石方平衡计算公式为：“开挖+调入+外借=回填+调出+废弃”。</w:t>
            </w:r>
          </w:p>
          <w:p w14:paraId="782F3CBB">
            <w:pPr>
              <w:spacing w:line="273" w:lineRule="auto"/>
              <w:rPr>
                <w:rFonts w:ascii="Arial"/>
                <w:sz w:val="21"/>
              </w:rPr>
            </w:pPr>
          </w:p>
          <w:p w14:paraId="35C3A2EF">
            <w:pPr>
              <w:spacing w:line="273" w:lineRule="auto"/>
              <w:rPr>
                <w:rFonts w:ascii="Arial"/>
                <w:sz w:val="21"/>
              </w:rPr>
            </w:pPr>
          </w:p>
          <w:p w14:paraId="30C3AC76">
            <w:pPr>
              <w:pStyle w:val="6"/>
              <w:spacing w:before="58" w:line="221" w:lineRule="auto"/>
              <w:ind w:left="2781"/>
              <w:rPr>
                <w:sz w:val="18"/>
                <w:szCs w:val="18"/>
              </w:rPr>
            </w:pPr>
            <w:r>
              <w:rPr>
                <w:spacing w:val="12"/>
                <w:sz w:val="18"/>
                <w:szCs w:val="18"/>
                <w:u w:val="single" w:color="auto"/>
              </w:rPr>
              <w:t>土石方开挖3.88m³</w:t>
            </w:r>
            <w:r>
              <w:rPr>
                <w:spacing w:val="5"/>
                <w:sz w:val="18"/>
                <w:szCs w:val="18"/>
              </w:rPr>
              <w:t xml:space="preserve">              </w:t>
            </w:r>
            <w:r>
              <w:rPr>
                <w:spacing w:val="-71"/>
                <w:sz w:val="18"/>
                <w:szCs w:val="18"/>
                <w:u w:val="single" w:color="auto"/>
              </w:rPr>
              <w:t xml:space="preserve"> </w:t>
            </w:r>
            <w:r>
              <w:rPr>
                <w:spacing w:val="12"/>
                <w:sz w:val="18"/>
                <w:szCs w:val="18"/>
                <w:u w:val="single" w:color="auto"/>
              </w:rPr>
              <w:t>土方回填3.88万m³</w:t>
            </w:r>
          </w:p>
          <w:p w14:paraId="0577CF74">
            <w:pPr>
              <w:spacing w:line="252" w:lineRule="auto"/>
              <w:rPr>
                <w:rFonts w:ascii="Arial"/>
                <w:sz w:val="21"/>
              </w:rPr>
            </w:pPr>
          </w:p>
          <w:p w14:paraId="4EEBA798">
            <w:pPr>
              <w:pStyle w:val="6"/>
              <w:spacing w:before="58" w:line="239" w:lineRule="auto"/>
              <w:ind w:left="7411"/>
              <w:rPr>
                <w:sz w:val="18"/>
                <w:szCs w:val="18"/>
              </w:rPr>
            </w:pPr>
            <w:r>
              <w:rPr>
                <w:spacing w:val="-2"/>
                <w:sz w:val="18"/>
                <w:szCs w:val="18"/>
              </w:rPr>
              <w:t>0.51-</w:t>
            </w:r>
          </w:p>
          <w:p w14:paraId="34C19FDF">
            <w:pPr>
              <w:pStyle w:val="6"/>
              <w:spacing w:before="49" w:line="219" w:lineRule="auto"/>
              <w:ind w:left="2681"/>
              <w:rPr>
                <w:sz w:val="18"/>
                <w:szCs w:val="18"/>
              </w:rPr>
            </w:pPr>
            <w:r>
              <w:rPr>
                <w:spacing w:val="12"/>
                <w:sz w:val="18"/>
                <w:szCs w:val="18"/>
                <w:u w:val="single" w:color="auto"/>
              </w:rPr>
              <w:t>一般土石方1.07万m³</w:t>
            </w:r>
            <w:r>
              <w:rPr>
                <w:spacing w:val="12"/>
                <w:sz w:val="18"/>
                <w:szCs w:val="18"/>
              </w:rPr>
              <w:t xml:space="preserve">           </w:t>
            </w:r>
            <w:r>
              <w:rPr>
                <w:spacing w:val="12"/>
                <w:sz w:val="18"/>
                <w:szCs w:val="18"/>
                <w:u w:val="single" w:color="auto"/>
              </w:rPr>
              <w:t xml:space="preserve">   回填</w:t>
            </w:r>
            <w:r>
              <w:rPr>
                <w:spacing w:val="11"/>
                <w:sz w:val="18"/>
                <w:szCs w:val="18"/>
                <w:u w:val="single" w:color="auto"/>
              </w:rPr>
              <w:t>0.56万m³</w:t>
            </w:r>
          </w:p>
          <w:p w14:paraId="17B36193">
            <w:pPr>
              <w:pStyle w:val="6"/>
              <w:spacing w:before="17" w:line="221" w:lineRule="auto"/>
              <w:ind w:left="700"/>
              <w:rPr>
                <w:sz w:val="18"/>
                <w:szCs w:val="18"/>
              </w:rPr>
            </w:pPr>
            <w:r>
              <w:rPr>
                <w:spacing w:val="3"/>
                <w:sz w:val="18"/>
                <w:szCs w:val="18"/>
                <w:u w:val="single" w:color="auto"/>
              </w:rPr>
              <w:t>升压站区</w:t>
            </w:r>
          </w:p>
          <w:p w14:paraId="1AEF3F3A">
            <w:pPr>
              <w:pStyle w:val="6"/>
              <w:spacing w:before="114" w:line="220" w:lineRule="auto"/>
              <w:ind w:left="2771"/>
              <w:rPr>
                <w:sz w:val="18"/>
                <w:szCs w:val="18"/>
              </w:rPr>
            </w:pPr>
            <w:r>
              <w:rPr>
                <w:spacing w:val="11"/>
                <w:sz w:val="18"/>
                <w:szCs w:val="18"/>
                <w:u w:val="single" w:color="auto"/>
              </w:rPr>
              <w:t>表土剥离0.07万m³</w:t>
            </w:r>
            <w:r>
              <w:rPr>
                <w:spacing w:val="11"/>
                <w:sz w:val="18"/>
                <w:szCs w:val="18"/>
              </w:rPr>
              <w:t xml:space="preserve">            </w:t>
            </w:r>
            <w:r>
              <w:rPr>
                <w:spacing w:val="11"/>
                <w:sz w:val="18"/>
                <w:szCs w:val="18"/>
                <w:u w:val="single" w:color="auto"/>
              </w:rPr>
              <w:t xml:space="preserve">   覆土0.0</w:t>
            </w:r>
            <w:r>
              <w:rPr>
                <w:spacing w:val="10"/>
                <w:sz w:val="18"/>
                <w:szCs w:val="18"/>
                <w:u w:val="single" w:color="auto"/>
              </w:rPr>
              <w:t>5万m</w:t>
            </w:r>
            <w:r>
              <w:rPr>
                <w:spacing w:val="-68"/>
                <w:sz w:val="18"/>
                <w:szCs w:val="18"/>
                <w:u w:val="single" w:color="auto"/>
              </w:rPr>
              <w:t xml:space="preserve"> </w:t>
            </w:r>
            <w:r>
              <w:rPr>
                <w:spacing w:val="10"/>
                <w:sz w:val="18"/>
                <w:szCs w:val="18"/>
                <w:u w:val="single" w:color="auto"/>
              </w:rPr>
              <w:t>³</w:t>
            </w:r>
            <w:r>
              <w:rPr>
                <w:sz w:val="18"/>
                <w:szCs w:val="18"/>
                <w:u w:val="single" w:color="auto"/>
              </w:rPr>
              <w:t xml:space="preserve">   </w:t>
            </w:r>
          </w:p>
          <w:p w14:paraId="2B8907D3">
            <w:pPr>
              <w:spacing w:line="414" w:lineRule="auto"/>
              <w:rPr>
                <w:rFonts w:ascii="Arial"/>
                <w:sz w:val="21"/>
              </w:rPr>
            </w:pPr>
          </w:p>
          <w:p w14:paraId="2654339E">
            <w:pPr>
              <w:pStyle w:val="6"/>
              <w:spacing w:before="58" w:line="229" w:lineRule="auto"/>
              <w:ind w:left="641"/>
              <w:rPr>
                <w:sz w:val="18"/>
                <w:szCs w:val="18"/>
              </w:rPr>
            </w:pPr>
            <w:r>
              <w:rPr>
                <w:spacing w:val="9"/>
                <w:sz w:val="18"/>
                <w:szCs w:val="18"/>
                <w:u w:val="single" w:color="auto"/>
              </w:rPr>
              <w:t>光伏发电</w:t>
            </w:r>
            <w:r>
              <w:rPr>
                <w:spacing w:val="9"/>
                <w:sz w:val="18"/>
                <w:szCs w:val="18"/>
              </w:rPr>
              <w:t xml:space="preserve">区            </w:t>
            </w:r>
            <w:r>
              <w:rPr>
                <w:spacing w:val="-80"/>
                <w:sz w:val="18"/>
                <w:szCs w:val="18"/>
                <w:u w:val="single" w:color="auto"/>
              </w:rPr>
              <w:t xml:space="preserve"> </w:t>
            </w:r>
            <w:r>
              <w:rPr>
                <w:spacing w:val="9"/>
                <w:sz w:val="18"/>
                <w:szCs w:val="18"/>
                <w:u w:val="single" w:color="auto"/>
              </w:rPr>
              <w:t>一般</w:t>
            </w:r>
            <w:r>
              <w:rPr>
                <w:spacing w:val="8"/>
                <w:sz w:val="18"/>
                <w:szCs w:val="18"/>
                <w:u w:val="single" w:color="auto"/>
              </w:rPr>
              <w:t>土石方0.26万m³</w:t>
            </w:r>
            <w:r>
              <w:rPr>
                <w:spacing w:val="2"/>
                <w:sz w:val="18"/>
                <w:szCs w:val="18"/>
              </w:rPr>
              <w:t xml:space="preserve">            </w:t>
            </w:r>
            <w:r>
              <w:rPr>
                <w:spacing w:val="8"/>
                <w:position w:val="1"/>
                <w:sz w:val="18"/>
                <w:szCs w:val="18"/>
                <w:u w:val="single" w:color="auto"/>
              </w:rPr>
              <w:t xml:space="preserve">   回填0.26万m³</w:t>
            </w:r>
          </w:p>
          <w:p w14:paraId="13B77840">
            <w:pPr>
              <w:pStyle w:val="6"/>
              <w:spacing w:before="94" w:line="239" w:lineRule="auto"/>
              <w:ind w:left="4760"/>
              <w:rPr>
                <w:sz w:val="18"/>
                <w:szCs w:val="18"/>
              </w:rPr>
            </w:pPr>
            <w:r>
              <w:rPr>
                <w:spacing w:val="-2"/>
                <w:sz w:val="18"/>
                <w:szCs w:val="18"/>
              </w:rPr>
              <w:t>0.02</w:t>
            </w:r>
          </w:p>
          <w:p w14:paraId="3F12DF6C">
            <w:pPr>
              <w:pStyle w:val="6"/>
              <w:spacing w:before="90" w:line="220" w:lineRule="auto"/>
              <w:ind w:left="2701"/>
              <w:rPr>
                <w:sz w:val="18"/>
                <w:szCs w:val="18"/>
              </w:rPr>
            </w:pPr>
            <w:r>
              <w:drawing>
                <wp:anchor distT="0" distB="0" distL="0" distR="0" simplePos="0" relativeHeight="251704320" behindDoc="0" locked="0" layoutInCell="1" allowOverlap="1">
                  <wp:simplePos x="0" y="0"/>
                  <wp:positionH relativeFrom="column">
                    <wp:posOffset>1708785</wp:posOffset>
                  </wp:positionH>
                  <wp:positionV relativeFrom="paragraph">
                    <wp:posOffset>165100</wp:posOffset>
                  </wp:positionV>
                  <wp:extent cx="2771140" cy="6350"/>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302"/>
                          <a:stretch>
                            <a:fillRect/>
                          </a:stretch>
                        </pic:blipFill>
                        <pic:spPr>
                          <a:xfrm>
                            <a:off x="0" y="0"/>
                            <a:ext cx="2771248" cy="6350"/>
                          </a:xfrm>
                          <a:prstGeom prst="rect">
                            <a:avLst/>
                          </a:prstGeom>
                        </pic:spPr>
                      </pic:pic>
                    </a:graphicData>
                  </a:graphic>
                </wp:anchor>
              </w:drawing>
            </w:r>
            <w:r>
              <w:rPr>
                <w:spacing w:val="10"/>
                <w:sz w:val="18"/>
                <w:szCs w:val="18"/>
              </w:rPr>
              <w:t>一般土石方1.15万m³              回填1.</w:t>
            </w:r>
            <w:r>
              <w:rPr>
                <w:spacing w:val="-47"/>
                <w:sz w:val="18"/>
                <w:szCs w:val="18"/>
              </w:rPr>
              <w:t xml:space="preserve"> </w:t>
            </w:r>
            <w:r>
              <w:rPr>
                <w:spacing w:val="10"/>
                <w:sz w:val="18"/>
                <w:szCs w:val="18"/>
              </w:rPr>
              <w:t>15万m³</w:t>
            </w:r>
          </w:p>
          <w:p w14:paraId="69F870DB">
            <w:pPr>
              <w:pStyle w:val="6"/>
              <w:spacing w:before="95" w:line="219" w:lineRule="auto"/>
              <w:ind w:left="641"/>
              <w:rPr>
                <w:sz w:val="18"/>
                <w:szCs w:val="18"/>
              </w:rPr>
            </w:pPr>
            <w:r>
              <w:rPr>
                <w:spacing w:val="3"/>
                <w:sz w:val="18"/>
                <w:szCs w:val="18"/>
                <w:u w:val="single" w:color="auto"/>
              </w:rPr>
              <w:t>集电线路区</w:t>
            </w:r>
          </w:p>
          <w:p w14:paraId="560BECCD">
            <w:pPr>
              <w:pStyle w:val="6"/>
              <w:spacing w:before="87" w:line="230" w:lineRule="auto"/>
              <w:ind w:left="2811"/>
              <w:rPr>
                <w:sz w:val="18"/>
                <w:szCs w:val="18"/>
              </w:rPr>
            </w:pPr>
            <w:r>
              <w:drawing>
                <wp:anchor distT="0" distB="0" distL="0" distR="0" simplePos="0" relativeHeight="251703296" behindDoc="0" locked="0" layoutInCell="1" allowOverlap="1">
                  <wp:simplePos x="0" y="0"/>
                  <wp:positionH relativeFrom="column">
                    <wp:posOffset>1780540</wp:posOffset>
                  </wp:positionH>
                  <wp:positionV relativeFrom="paragraph">
                    <wp:posOffset>163830</wp:posOffset>
                  </wp:positionV>
                  <wp:extent cx="2693035" cy="18415"/>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303"/>
                          <a:stretch>
                            <a:fillRect/>
                          </a:stretch>
                        </pic:blipFill>
                        <pic:spPr>
                          <a:xfrm>
                            <a:off x="0" y="0"/>
                            <a:ext cx="2692730" cy="18432"/>
                          </a:xfrm>
                          <a:prstGeom prst="rect">
                            <a:avLst/>
                          </a:prstGeom>
                        </pic:spPr>
                      </pic:pic>
                    </a:graphicData>
                  </a:graphic>
                </wp:anchor>
              </w:drawing>
            </w:r>
            <w:r>
              <w:rPr>
                <w:spacing w:val="13"/>
                <w:sz w:val="18"/>
                <w:szCs w:val="18"/>
              </w:rPr>
              <w:t>表土剥离0.35万m³</w:t>
            </w:r>
            <w:r>
              <w:rPr>
                <w:sz w:val="18"/>
                <w:szCs w:val="18"/>
              </w:rPr>
              <w:t xml:space="preserve">                </w:t>
            </w:r>
            <w:r>
              <w:rPr>
                <w:spacing w:val="13"/>
                <w:position w:val="1"/>
                <w:sz w:val="18"/>
                <w:szCs w:val="18"/>
              </w:rPr>
              <w:t>覆土0.88万m³</w:t>
            </w:r>
          </w:p>
          <w:p w14:paraId="7A729DCE">
            <w:pPr>
              <w:spacing w:line="265" w:lineRule="auto"/>
              <w:rPr>
                <w:rFonts w:ascii="Arial"/>
                <w:sz w:val="21"/>
              </w:rPr>
            </w:pPr>
          </w:p>
          <w:p w14:paraId="13427974">
            <w:pPr>
              <w:pStyle w:val="6"/>
              <w:spacing w:before="59" w:line="220" w:lineRule="auto"/>
              <w:ind w:left="2711"/>
              <w:rPr>
                <w:sz w:val="18"/>
                <w:szCs w:val="18"/>
              </w:rPr>
            </w:pPr>
            <w:r>
              <w:drawing>
                <wp:anchor distT="0" distB="0" distL="0" distR="0" simplePos="0" relativeHeight="251701248" behindDoc="0" locked="0" layoutInCell="1" allowOverlap="1">
                  <wp:simplePos x="0" y="0"/>
                  <wp:positionH relativeFrom="column">
                    <wp:posOffset>1715135</wp:posOffset>
                  </wp:positionH>
                  <wp:positionV relativeFrom="paragraph">
                    <wp:posOffset>145415</wp:posOffset>
                  </wp:positionV>
                  <wp:extent cx="2764790" cy="16510"/>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304"/>
                          <a:stretch>
                            <a:fillRect/>
                          </a:stretch>
                        </pic:blipFill>
                        <pic:spPr>
                          <a:xfrm>
                            <a:off x="0" y="0"/>
                            <a:ext cx="2764895" cy="16802"/>
                          </a:xfrm>
                          <a:prstGeom prst="rect">
                            <a:avLst/>
                          </a:prstGeom>
                        </pic:spPr>
                      </pic:pic>
                    </a:graphicData>
                  </a:graphic>
                </wp:anchor>
              </w:drawing>
            </w:r>
            <w:r>
              <w:rPr>
                <w:spacing w:val="12"/>
                <w:sz w:val="18"/>
                <w:szCs w:val="18"/>
              </w:rPr>
              <w:t>一般土石方0.20万m³</w:t>
            </w:r>
            <w:r>
              <w:rPr>
                <w:spacing w:val="2"/>
                <w:sz w:val="18"/>
                <w:szCs w:val="18"/>
              </w:rPr>
              <w:t xml:space="preserve">               </w:t>
            </w:r>
            <w:r>
              <w:rPr>
                <w:spacing w:val="12"/>
                <w:sz w:val="18"/>
                <w:szCs w:val="18"/>
              </w:rPr>
              <w:t>回填0.71万m³</w:t>
            </w:r>
          </w:p>
          <w:p w14:paraId="244F0E9E">
            <w:pPr>
              <w:spacing w:line="65" w:lineRule="exact"/>
            </w:pPr>
          </w:p>
          <w:tbl>
            <w:tblPr>
              <w:tblStyle w:val="5"/>
              <w:tblW w:w="6736" w:type="dxa"/>
              <w:tblInd w:w="63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09"/>
              <w:gridCol w:w="2879"/>
              <w:gridCol w:w="2348"/>
            </w:tblGrid>
            <w:tr w14:paraId="13A004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00" w:hRule="atLeast"/>
              </w:trPr>
              <w:tc>
                <w:tcPr>
                  <w:tcW w:w="1509" w:type="dxa"/>
                  <w:vAlign w:val="top"/>
                </w:tcPr>
                <w:p w14:paraId="6F770CAD">
                  <w:pPr>
                    <w:pStyle w:val="6"/>
                    <w:spacing w:line="219" w:lineRule="auto"/>
                    <w:ind w:left="6"/>
                    <w:rPr>
                      <w:sz w:val="18"/>
                      <w:szCs w:val="18"/>
                    </w:rPr>
                  </w:pPr>
                  <w:r>
                    <w:rPr>
                      <w:spacing w:val="3"/>
                      <w:position w:val="1"/>
                      <w:sz w:val="18"/>
                      <w:szCs w:val="18"/>
                      <w:u w:val="single" w:color="auto"/>
                    </w:rPr>
                    <w:t>道路工程区</w:t>
                  </w:r>
                </w:p>
              </w:tc>
              <w:tc>
                <w:tcPr>
                  <w:tcW w:w="2879" w:type="dxa"/>
                  <w:vAlign w:val="top"/>
                </w:tcPr>
                <w:p w14:paraId="0B9E90F5">
                  <w:pPr>
                    <w:spacing w:line="250" w:lineRule="auto"/>
                    <w:rPr>
                      <w:rFonts w:ascii="Arial"/>
                      <w:sz w:val="21"/>
                    </w:rPr>
                  </w:pPr>
                </w:p>
                <w:p w14:paraId="1D6BB3EC">
                  <w:pPr>
                    <w:pStyle w:val="6"/>
                    <w:spacing w:before="59" w:line="220" w:lineRule="auto"/>
                    <w:ind w:left="647"/>
                    <w:rPr>
                      <w:sz w:val="18"/>
                      <w:szCs w:val="18"/>
                    </w:rPr>
                  </w:pPr>
                  <w:r>
                    <w:rPr>
                      <w:spacing w:val="12"/>
                      <w:sz w:val="18"/>
                      <w:szCs w:val="18"/>
                      <w:u w:val="single" w:color="auto"/>
                    </w:rPr>
                    <w:t>表土剥离0.60万m³</w:t>
                  </w:r>
                </w:p>
                <w:p w14:paraId="613FE023">
                  <w:pPr>
                    <w:spacing w:line="433" w:lineRule="auto"/>
                    <w:rPr>
                      <w:rFonts w:ascii="Arial"/>
                      <w:sz w:val="21"/>
                    </w:rPr>
                  </w:pPr>
                </w:p>
                <w:p w14:paraId="5371E447">
                  <w:pPr>
                    <w:pStyle w:val="6"/>
                    <w:spacing w:before="59" w:line="174" w:lineRule="auto"/>
                    <w:ind w:left="587"/>
                    <w:rPr>
                      <w:sz w:val="18"/>
                      <w:szCs w:val="18"/>
                    </w:rPr>
                  </w:pPr>
                  <w:r>
                    <w:drawing>
                      <wp:anchor distT="0" distB="0" distL="0" distR="0" simplePos="0" relativeHeight="251702272" behindDoc="0" locked="0" layoutInCell="1" allowOverlap="1">
                        <wp:simplePos x="0" y="0"/>
                        <wp:positionH relativeFrom="column">
                          <wp:posOffset>366395</wp:posOffset>
                        </wp:positionH>
                        <wp:positionV relativeFrom="paragraph">
                          <wp:posOffset>145415</wp:posOffset>
                        </wp:positionV>
                        <wp:extent cx="1120140" cy="6350"/>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305"/>
                                <a:stretch>
                                  <a:fillRect/>
                                </a:stretch>
                              </pic:blipFill>
                              <pic:spPr>
                                <a:xfrm>
                                  <a:off x="0" y="0"/>
                                  <a:ext cx="1120278" cy="6350"/>
                                </a:xfrm>
                                <a:prstGeom prst="rect">
                                  <a:avLst/>
                                </a:prstGeom>
                              </pic:spPr>
                            </pic:pic>
                          </a:graphicData>
                        </a:graphic>
                      </wp:anchor>
                    </w:drawing>
                  </w:r>
                  <w:r>
                    <w:rPr>
                      <w:spacing w:val="11"/>
                      <w:sz w:val="18"/>
                      <w:szCs w:val="18"/>
                    </w:rPr>
                    <w:t>一般土石方0.12万m³</w:t>
                  </w:r>
                </w:p>
              </w:tc>
              <w:tc>
                <w:tcPr>
                  <w:tcW w:w="2348" w:type="dxa"/>
                  <w:vAlign w:val="top"/>
                </w:tcPr>
                <w:p w14:paraId="223D3A74">
                  <w:pPr>
                    <w:pStyle w:val="6"/>
                    <w:tabs>
                      <w:tab w:val="left" w:pos="798"/>
                      <w:tab w:val="left" w:pos="840"/>
                    </w:tabs>
                    <w:spacing w:before="28" w:line="292" w:lineRule="auto"/>
                    <w:ind w:left="577" w:hanging="39"/>
                    <w:rPr>
                      <w:sz w:val="18"/>
                      <w:szCs w:val="18"/>
                    </w:rPr>
                  </w:pPr>
                  <w:r>
                    <w:rPr>
                      <w:position w:val="-1"/>
                      <w:sz w:val="18"/>
                      <w:szCs w:val="18"/>
                      <w:u w:val="single" w:color="auto"/>
                    </w:rPr>
                    <w:tab/>
                  </w:r>
                  <w:r>
                    <w:rPr>
                      <w:position w:val="-1"/>
                      <w:sz w:val="18"/>
                      <w:szCs w:val="18"/>
                      <w:u w:val="single" w:color="auto"/>
                    </w:rPr>
                    <w:tab/>
                  </w:r>
                  <w:r>
                    <w:rPr>
                      <w:spacing w:val="-2"/>
                      <w:position w:val="-1"/>
                      <w:sz w:val="18"/>
                      <w:szCs w:val="18"/>
                      <w:u w:val="single" w:color="auto"/>
                    </w:rPr>
                    <w:t>0.51-</w:t>
                  </w:r>
                  <w:r>
                    <w:rPr>
                      <w:spacing w:val="2"/>
                      <w:position w:val="-1"/>
                      <w:sz w:val="18"/>
                      <w:szCs w:val="18"/>
                      <w:u w:val="single" w:color="auto"/>
                    </w:rPr>
                    <w:t xml:space="preserve">            </w:t>
                  </w:r>
                  <w:r>
                    <w:rPr>
                      <w:spacing w:val="4"/>
                      <w:position w:val="-1"/>
                      <w:sz w:val="18"/>
                      <w:szCs w:val="18"/>
                    </w:rPr>
                    <w:t xml:space="preserve"> </w:t>
                  </w:r>
                  <w:r>
                    <w:rPr>
                      <w:sz w:val="18"/>
                      <w:szCs w:val="18"/>
                      <w:u w:val="single" w:color="auto"/>
                    </w:rPr>
                    <w:tab/>
                  </w:r>
                  <w:r>
                    <w:rPr>
                      <w:sz w:val="18"/>
                      <w:szCs w:val="18"/>
                      <w:u w:val="single" w:color="auto"/>
                    </w:rPr>
                    <w:tab/>
                  </w:r>
                  <w:r>
                    <w:rPr>
                      <w:spacing w:val="-75"/>
                      <w:sz w:val="18"/>
                      <w:szCs w:val="18"/>
                      <w:u w:val="single" w:color="auto"/>
                    </w:rPr>
                    <w:t xml:space="preserve"> </w:t>
                  </w:r>
                  <w:r>
                    <w:rPr>
                      <w:spacing w:val="14"/>
                      <w:sz w:val="18"/>
                      <w:szCs w:val="18"/>
                      <w:u w:val="single" w:color="auto"/>
                    </w:rPr>
                    <w:t>覆土0.06万m³</w:t>
                  </w:r>
                </w:p>
                <w:p w14:paraId="6C6B6BCE">
                  <w:pPr>
                    <w:pStyle w:val="6"/>
                    <w:spacing w:before="120" w:line="239" w:lineRule="auto"/>
                    <w:ind w:left="798"/>
                    <w:rPr>
                      <w:sz w:val="18"/>
                      <w:szCs w:val="18"/>
                    </w:rPr>
                  </w:pPr>
                  <w:r>
                    <w:rPr>
                      <w:spacing w:val="-2"/>
                      <w:sz w:val="18"/>
                      <w:szCs w:val="18"/>
                    </w:rPr>
                    <w:t>0.03-</w:t>
                  </w:r>
                </w:p>
                <w:p w14:paraId="70C76BCB">
                  <w:pPr>
                    <w:pStyle w:val="6"/>
                    <w:spacing w:before="69" w:line="174" w:lineRule="auto"/>
                    <w:ind w:left="828"/>
                    <w:rPr>
                      <w:sz w:val="18"/>
                      <w:szCs w:val="18"/>
                    </w:rPr>
                  </w:pPr>
                  <w:r>
                    <w:drawing>
                      <wp:anchor distT="0" distB="0" distL="0" distR="0" simplePos="0" relativeHeight="251700224" behindDoc="0" locked="0" layoutInCell="1" allowOverlap="1">
                        <wp:simplePos x="0" y="0"/>
                        <wp:positionH relativeFrom="column">
                          <wp:posOffset>347980</wp:posOffset>
                        </wp:positionH>
                        <wp:positionV relativeFrom="paragraph">
                          <wp:posOffset>152400</wp:posOffset>
                        </wp:positionV>
                        <wp:extent cx="948690" cy="1651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306"/>
                                <a:stretch>
                                  <a:fillRect/>
                                </a:stretch>
                              </pic:blipFill>
                              <pic:spPr>
                                <a:xfrm>
                                  <a:off x="0" y="0"/>
                                  <a:ext cx="948895" cy="16802"/>
                                </a:xfrm>
                                <a:prstGeom prst="rect">
                                  <a:avLst/>
                                </a:prstGeom>
                              </pic:spPr>
                            </pic:pic>
                          </a:graphicData>
                        </a:graphic>
                      </wp:anchor>
                    </w:drawing>
                  </w:r>
                  <w:r>
                    <w:rPr>
                      <w:spacing w:val="10"/>
                      <w:sz w:val="18"/>
                      <w:szCs w:val="18"/>
                    </w:rPr>
                    <w:t>回填0.</w:t>
                  </w:r>
                  <w:r>
                    <w:rPr>
                      <w:spacing w:val="-47"/>
                      <w:sz w:val="18"/>
                      <w:szCs w:val="18"/>
                    </w:rPr>
                    <w:t xml:space="preserve"> </w:t>
                  </w:r>
                  <w:r>
                    <w:rPr>
                      <w:spacing w:val="10"/>
                      <w:sz w:val="18"/>
                      <w:szCs w:val="18"/>
                    </w:rPr>
                    <w:t>12万m³</w:t>
                  </w:r>
                </w:p>
              </w:tc>
            </w:tr>
          </w:tbl>
          <w:p w14:paraId="5BD5970E">
            <w:pPr>
              <w:pStyle w:val="6"/>
              <w:spacing w:before="100" w:line="205" w:lineRule="auto"/>
              <w:ind w:left="561"/>
              <w:rPr>
                <w:sz w:val="18"/>
                <w:szCs w:val="18"/>
              </w:rPr>
            </w:pPr>
            <w:r>
              <w:rPr>
                <w:spacing w:val="-2"/>
                <w:sz w:val="18"/>
                <w:szCs w:val="18"/>
                <w:u w:val="single" w:color="auto"/>
              </w:rPr>
              <w:t>施工营场地</w:t>
            </w:r>
            <w:r>
              <w:rPr>
                <w:spacing w:val="-2"/>
                <w:sz w:val="18"/>
                <w:szCs w:val="18"/>
              </w:rPr>
              <w:t>区</w:t>
            </w:r>
          </w:p>
          <w:p w14:paraId="4F3EDBB7">
            <w:pPr>
              <w:pStyle w:val="6"/>
              <w:spacing w:before="1" w:line="230" w:lineRule="auto"/>
              <w:ind w:left="2801"/>
              <w:rPr>
                <w:sz w:val="18"/>
                <w:szCs w:val="18"/>
              </w:rPr>
            </w:pPr>
            <w:r>
              <w:rPr>
                <w:spacing w:val="12"/>
                <w:sz w:val="18"/>
                <w:szCs w:val="18"/>
                <w:u w:val="single" w:color="auto"/>
              </w:rPr>
              <w:t>表土剥离0.06万m³</w:t>
            </w:r>
            <w:r>
              <w:rPr>
                <w:spacing w:val="12"/>
                <w:sz w:val="18"/>
                <w:szCs w:val="18"/>
              </w:rPr>
              <w:t xml:space="preserve">            </w:t>
            </w:r>
            <w:r>
              <w:rPr>
                <w:sz w:val="18"/>
                <w:szCs w:val="18"/>
                <w:u w:val="single" w:color="auto"/>
              </w:rPr>
              <w:t xml:space="preserve">   </w:t>
            </w:r>
            <w:r>
              <w:rPr>
                <w:spacing w:val="12"/>
                <w:sz w:val="18"/>
                <w:szCs w:val="18"/>
                <w:u w:val="single" w:color="auto"/>
              </w:rPr>
              <w:t>覆土0.09万m³</w:t>
            </w:r>
          </w:p>
          <w:p w14:paraId="233C6114">
            <w:pPr>
              <w:spacing w:line="290" w:lineRule="auto"/>
              <w:rPr>
                <w:rFonts w:ascii="Arial"/>
                <w:sz w:val="21"/>
              </w:rPr>
            </w:pPr>
          </w:p>
          <w:p w14:paraId="46FD1543">
            <w:pPr>
              <w:spacing w:line="290" w:lineRule="auto"/>
              <w:rPr>
                <w:rFonts w:ascii="Arial"/>
                <w:sz w:val="21"/>
              </w:rPr>
            </w:pPr>
          </w:p>
          <w:p w14:paraId="0D5DBDD7">
            <w:pPr>
              <w:pStyle w:val="6"/>
              <w:spacing w:before="59" w:line="220" w:lineRule="auto"/>
              <w:ind w:left="2233"/>
              <w:rPr>
                <w:sz w:val="18"/>
                <w:szCs w:val="18"/>
              </w:rPr>
            </w:pPr>
            <w:r>
              <w:rPr>
                <w:b/>
                <w:bCs/>
                <w:spacing w:val="-11"/>
                <w:sz w:val="18"/>
                <w:szCs w:val="18"/>
              </w:rPr>
              <w:t>图</w:t>
            </w:r>
            <w:r>
              <w:rPr>
                <w:spacing w:val="-11"/>
                <w:sz w:val="18"/>
                <w:szCs w:val="18"/>
              </w:rPr>
              <w:t xml:space="preserve"> </w:t>
            </w:r>
            <w:r>
              <w:rPr>
                <w:b/>
                <w:bCs/>
                <w:spacing w:val="-11"/>
                <w:sz w:val="18"/>
                <w:szCs w:val="18"/>
              </w:rPr>
              <w:t>4</w:t>
            </w:r>
            <w:r>
              <w:rPr>
                <w:spacing w:val="-12"/>
                <w:sz w:val="18"/>
                <w:szCs w:val="18"/>
              </w:rPr>
              <w:t xml:space="preserve"> </w:t>
            </w:r>
            <w:r>
              <w:rPr>
                <w:b/>
                <w:bCs/>
                <w:spacing w:val="-11"/>
                <w:sz w:val="18"/>
                <w:szCs w:val="18"/>
              </w:rPr>
              <w:t>-</w:t>
            </w:r>
            <w:r>
              <w:rPr>
                <w:spacing w:val="-11"/>
                <w:sz w:val="18"/>
                <w:szCs w:val="18"/>
              </w:rPr>
              <w:t xml:space="preserve"> </w:t>
            </w:r>
            <w:r>
              <w:rPr>
                <w:b/>
                <w:bCs/>
                <w:spacing w:val="-11"/>
                <w:sz w:val="18"/>
                <w:szCs w:val="18"/>
              </w:rPr>
              <w:t>1</w:t>
            </w:r>
            <w:r>
              <w:rPr>
                <w:spacing w:val="-11"/>
                <w:sz w:val="18"/>
                <w:szCs w:val="18"/>
              </w:rPr>
              <w:t xml:space="preserve"> </w:t>
            </w:r>
            <w:r>
              <w:rPr>
                <w:b/>
                <w:bCs/>
                <w:spacing w:val="-11"/>
                <w:sz w:val="18"/>
                <w:szCs w:val="18"/>
              </w:rPr>
              <w:t>土</w:t>
            </w:r>
            <w:r>
              <w:rPr>
                <w:spacing w:val="-11"/>
                <w:sz w:val="18"/>
                <w:szCs w:val="18"/>
              </w:rPr>
              <w:t xml:space="preserve"> </w:t>
            </w:r>
            <w:r>
              <w:rPr>
                <w:b/>
                <w:bCs/>
                <w:spacing w:val="-11"/>
                <w:sz w:val="18"/>
                <w:szCs w:val="18"/>
              </w:rPr>
              <w:t>石</w:t>
            </w:r>
            <w:r>
              <w:rPr>
                <w:spacing w:val="-12"/>
                <w:sz w:val="18"/>
                <w:szCs w:val="18"/>
              </w:rPr>
              <w:t xml:space="preserve"> </w:t>
            </w:r>
            <w:r>
              <w:rPr>
                <w:b/>
                <w:bCs/>
                <w:spacing w:val="-11"/>
                <w:sz w:val="18"/>
                <w:szCs w:val="18"/>
              </w:rPr>
              <w:t>方</w:t>
            </w:r>
            <w:r>
              <w:rPr>
                <w:spacing w:val="-13"/>
                <w:sz w:val="18"/>
                <w:szCs w:val="18"/>
              </w:rPr>
              <w:t xml:space="preserve"> </w:t>
            </w:r>
            <w:r>
              <w:rPr>
                <w:b/>
                <w:bCs/>
                <w:spacing w:val="-11"/>
                <w:sz w:val="18"/>
                <w:szCs w:val="18"/>
              </w:rPr>
              <w:t>平</w:t>
            </w:r>
            <w:r>
              <w:rPr>
                <w:spacing w:val="-13"/>
                <w:sz w:val="18"/>
                <w:szCs w:val="18"/>
              </w:rPr>
              <w:t xml:space="preserve"> </w:t>
            </w:r>
            <w:r>
              <w:rPr>
                <w:b/>
                <w:bCs/>
                <w:spacing w:val="-11"/>
                <w:sz w:val="18"/>
                <w:szCs w:val="18"/>
              </w:rPr>
              <w:t>衡</w:t>
            </w:r>
            <w:r>
              <w:rPr>
                <w:spacing w:val="-12"/>
                <w:sz w:val="18"/>
                <w:szCs w:val="18"/>
              </w:rPr>
              <w:t xml:space="preserve"> </w:t>
            </w:r>
            <w:r>
              <w:rPr>
                <w:b/>
                <w:bCs/>
                <w:spacing w:val="-11"/>
                <w:sz w:val="18"/>
                <w:szCs w:val="18"/>
              </w:rPr>
              <w:t>流</w:t>
            </w:r>
            <w:r>
              <w:rPr>
                <w:spacing w:val="-11"/>
                <w:sz w:val="18"/>
                <w:szCs w:val="18"/>
              </w:rPr>
              <w:t xml:space="preserve"> </w:t>
            </w:r>
            <w:r>
              <w:rPr>
                <w:b/>
                <w:bCs/>
                <w:spacing w:val="-11"/>
                <w:sz w:val="18"/>
                <w:szCs w:val="18"/>
              </w:rPr>
              <w:t>向</w:t>
            </w:r>
            <w:r>
              <w:rPr>
                <w:spacing w:val="-11"/>
                <w:sz w:val="18"/>
                <w:szCs w:val="18"/>
              </w:rPr>
              <w:t xml:space="preserve"> </w:t>
            </w:r>
            <w:r>
              <w:rPr>
                <w:b/>
                <w:bCs/>
                <w:spacing w:val="-11"/>
                <w:sz w:val="18"/>
                <w:szCs w:val="18"/>
              </w:rPr>
              <w:t>图</w:t>
            </w:r>
            <w:r>
              <w:rPr>
                <w:spacing w:val="-11"/>
                <w:sz w:val="18"/>
                <w:szCs w:val="18"/>
              </w:rPr>
              <w:t xml:space="preserve"> </w:t>
            </w:r>
            <w:r>
              <w:rPr>
                <w:b/>
                <w:bCs/>
                <w:spacing w:val="-11"/>
                <w:sz w:val="18"/>
                <w:szCs w:val="18"/>
              </w:rPr>
              <w:t>单</w:t>
            </w:r>
            <w:r>
              <w:rPr>
                <w:spacing w:val="-11"/>
                <w:sz w:val="18"/>
                <w:szCs w:val="18"/>
              </w:rPr>
              <w:t xml:space="preserve"> </w:t>
            </w:r>
            <w:r>
              <w:rPr>
                <w:b/>
                <w:bCs/>
                <w:spacing w:val="-11"/>
                <w:sz w:val="18"/>
                <w:szCs w:val="18"/>
              </w:rPr>
              <w:t>位</w:t>
            </w:r>
            <w:r>
              <w:rPr>
                <w:spacing w:val="-11"/>
                <w:sz w:val="18"/>
                <w:szCs w:val="18"/>
              </w:rPr>
              <w:t xml:space="preserve"> </w:t>
            </w:r>
            <w:r>
              <w:rPr>
                <w:b/>
                <w:bCs/>
                <w:spacing w:val="-11"/>
                <w:sz w:val="18"/>
                <w:szCs w:val="18"/>
              </w:rPr>
              <w:t>：</w:t>
            </w:r>
            <w:r>
              <w:rPr>
                <w:spacing w:val="-11"/>
                <w:sz w:val="18"/>
                <w:szCs w:val="18"/>
              </w:rPr>
              <w:t xml:space="preserve"> </w:t>
            </w:r>
            <w:r>
              <w:rPr>
                <w:b/>
                <w:bCs/>
                <w:spacing w:val="-11"/>
                <w:sz w:val="18"/>
                <w:szCs w:val="18"/>
              </w:rPr>
              <w:t>万</w:t>
            </w:r>
            <w:r>
              <w:rPr>
                <w:spacing w:val="-11"/>
                <w:sz w:val="18"/>
                <w:szCs w:val="18"/>
              </w:rPr>
              <w:t xml:space="preserve"> </w:t>
            </w:r>
            <w:r>
              <w:rPr>
                <w:b/>
                <w:bCs/>
                <w:spacing w:val="-11"/>
                <w:sz w:val="18"/>
                <w:szCs w:val="18"/>
              </w:rPr>
              <w:t>m</w:t>
            </w:r>
            <w:r>
              <w:rPr>
                <w:spacing w:val="-11"/>
                <w:sz w:val="18"/>
                <w:szCs w:val="18"/>
              </w:rPr>
              <w:t xml:space="preserve"> </w:t>
            </w:r>
            <w:r>
              <w:rPr>
                <w:b/>
                <w:bCs/>
                <w:spacing w:val="-11"/>
                <w:sz w:val="18"/>
                <w:szCs w:val="18"/>
              </w:rPr>
              <w:t>³</w:t>
            </w:r>
          </w:p>
          <w:p w14:paraId="78D25C04">
            <w:pPr>
              <w:pStyle w:val="6"/>
              <w:spacing w:before="95" w:line="220" w:lineRule="auto"/>
              <w:ind w:left="63"/>
              <w:rPr>
                <w:sz w:val="18"/>
                <w:szCs w:val="18"/>
              </w:rPr>
            </w:pPr>
            <w:r>
              <w:rPr>
                <w:b/>
                <w:bCs/>
                <w:spacing w:val="-9"/>
                <w:sz w:val="18"/>
                <w:szCs w:val="18"/>
              </w:rPr>
              <w:t>5</w:t>
            </w:r>
            <w:r>
              <w:rPr>
                <w:spacing w:val="-9"/>
                <w:sz w:val="18"/>
                <w:szCs w:val="18"/>
              </w:rPr>
              <w:t xml:space="preserve"> </w:t>
            </w:r>
            <w:r>
              <w:rPr>
                <w:b/>
                <w:bCs/>
                <w:spacing w:val="-9"/>
                <w:sz w:val="18"/>
                <w:szCs w:val="18"/>
              </w:rPr>
              <w:t>.</w:t>
            </w:r>
            <w:r>
              <w:rPr>
                <w:spacing w:val="-9"/>
                <w:sz w:val="18"/>
                <w:szCs w:val="18"/>
              </w:rPr>
              <w:t xml:space="preserve"> </w:t>
            </w:r>
            <w:r>
              <w:rPr>
                <w:b/>
                <w:bCs/>
                <w:spacing w:val="-9"/>
                <w:sz w:val="18"/>
                <w:szCs w:val="18"/>
              </w:rPr>
              <w:t>2</w:t>
            </w:r>
            <w:r>
              <w:rPr>
                <w:spacing w:val="-9"/>
                <w:sz w:val="18"/>
                <w:szCs w:val="18"/>
              </w:rPr>
              <w:t xml:space="preserve"> </w:t>
            </w:r>
            <w:r>
              <w:rPr>
                <w:b/>
                <w:bCs/>
                <w:spacing w:val="-9"/>
                <w:sz w:val="18"/>
                <w:szCs w:val="18"/>
              </w:rPr>
              <w:t>建</w:t>
            </w:r>
            <w:r>
              <w:rPr>
                <w:spacing w:val="-9"/>
                <w:sz w:val="18"/>
                <w:szCs w:val="18"/>
              </w:rPr>
              <w:t xml:space="preserve"> </w:t>
            </w:r>
            <w:r>
              <w:rPr>
                <w:b/>
                <w:bCs/>
                <w:spacing w:val="-9"/>
                <w:sz w:val="18"/>
                <w:szCs w:val="18"/>
              </w:rPr>
              <w:t>筑</w:t>
            </w:r>
            <w:r>
              <w:rPr>
                <w:spacing w:val="-9"/>
                <w:sz w:val="18"/>
                <w:szCs w:val="18"/>
              </w:rPr>
              <w:t xml:space="preserve"> </w:t>
            </w:r>
            <w:r>
              <w:rPr>
                <w:b/>
                <w:bCs/>
                <w:spacing w:val="-9"/>
                <w:sz w:val="18"/>
                <w:szCs w:val="18"/>
              </w:rPr>
              <w:t>垃</w:t>
            </w:r>
            <w:r>
              <w:rPr>
                <w:spacing w:val="-6"/>
                <w:sz w:val="18"/>
                <w:szCs w:val="18"/>
              </w:rPr>
              <w:t xml:space="preserve"> </w:t>
            </w:r>
            <w:r>
              <w:rPr>
                <w:b/>
                <w:bCs/>
                <w:spacing w:val="-9"/>
                <w:sz w:val="18"/>
                <w:szCs w:val="18"/>
              </w:rPr>
              <w:t>圾</w:t>
            </w:r>
          </w:p>
          <w:p w14:paraId="0E550B45">
            <w:pPr>
              <w:pStyle w:val="6"/>
              <w:spacing w:before="268" w:line="457" w:lineRule="auto"/>
              <w:ind w:left="31" w:firstLine="479"/>
              <w:jc w:val="both"/>
              <w:rPr>
                <w:sz w:val="18"/>
                <w:szCs w:val="18"/>
              </w:rPr>
            </w:pPr>
            <w:r>
              <w:rPr>
                <w:spacing w:val="-10"/>
                <w:sz w:val="18"/>
                <w:szCs w:val="18"/>
              </w:rPr>
              <w:t>建</w:t>
            </w:r>
            <w:r>
              <w:rPr>
                <w:spacing w:val="-17"/>
                <w:sz w:val="18"/>
                <w:szCs w:val="18"/>
              </w:rPr>
              <w:t xml:space="preserve"> </w:t>
            </w:r>
            <w:r>
              <w:rPr>
                <w:spacing w:val="-10"/>
                <w:sz w:val="18"/>
                <w:szCs w:val="18"/>
              </w:rPr>
              <w:t>筑</w:t>
            </w:r>
            <w:r>
              <w:rPr>
                <w:spacing w:val="-22"/>
                <w:sz w:val="18"/>
                <w:szCs w:val="18"/>
              </w:rPr>
              <w:t xml:space="preserve"> </w:t>
            </w:r>
            <w:r>
              <w:rPr>
                <w:spacing w:val="-10"/>
                <w:sz w:val="18"/>
                <w:szCs w:val="18"/>
              </w:rPr>
              <w:t>垃</w:t>
            </w:r>
            <w:r>
              <w:rPr>
                <w:spacing w:val="-23"/>
                <w:sz w:val="18"/>
                <w:szCs w:val="18"/>
              </w:rPr>
              <w:t xml:space="preserve"> </w:t>
            </w:r>
            <w:r>
              <w:rPr>
                <w:spacing w:val="-10"/>
                <w:sz w:val="18"/>
                <w:szCs w:val="18"/>
              </w:rPr>
              <w:t>圾</w:t>
            </w:r>
            <w:r>
              <w:rPr>
                <w:spacing w:val="-24"/>
                <w:sz w:val="18"/>
                <w:szCs w:val="18"/>
              </w:rPr>
              <w:t xml:space="preserve"> </w:t>
            </w:r>
            <w:r>
              <w:rPr>
                <w:spacing w:val="-10"/>
                <w:sz w:val="18"/>
                <w:szCs w:val="18"/>
              </w:rPr>
              <w:t>包</w:t>
            </w:r>
            <w:r>
              <w:rPr>
                <w:spacing w:val="-24"/>
                <w:sz w:val="18"/>
                <w:szCs w:val="18"/>
              </w:rPr>
              <w:t xml:space="preserve"> </w:t>
            </w:r>
            <w:r>
              <w:rPr>
                <w:spacing w:val="-10"/>
                <w:sz w:val="18"/>
                <w:szCs w:val="18"/>
              </w:rPr>
              <w:t>括</w:t>
            </w:r>
            <w:r>
              <w:rPr>
                <w:spacing w:val="-24"/>
                <w:sz w:val="18"/>
                <w:szCs w:val="18"/>
              </w:rPr>
              <w:t xml:space="preserve"> </w:t>
            </w:r>
            <w:r>
              <w:rPr>
                <w:spacing w:val="-10"/>
                <w:sz w:val="18"/>
                <w:szCs w:val="18"/>
              </w:rPr>
              <w:t>废</w:t>
            </w:r>
            <w:r>
              <w:rPr>
                <w:spacing w:val="-21"/>
                <w:sz w:val="18"/>
                <w:szCs w:val="18"/>
              </w:rPr>
              <w:t xml:space="preserve"> </w:t>
            </w:r>
            <w:r>
              <w:rPr>
                <w:spacing w:val="-10"/>
                <w:sz w:val="18"/>
                <w:szCs w:val="18"/>
              </w:rPr>
              <w:t>弃</w:t>
            </w:r>
            <w:r>
              <w:rPr>
                <w:spacing w:val="-24"/>
                <w:sz w:val="18"/>
                <w:szCs w:val="18"/>
              </w:rPr>
              <w:t xml:space="preserve"> </w:t>
            </w:r>
            <w:r>
              <w:rPr>
                <w:spacing w:val="-10"/>
                <w:sz w:val="18"/>
                <w:szCs w:val="18"/>
              </w:rPr>
              <w:t>砖</w:t>
            </w:r>
            <w:r>
              <w:rPr>
                <w:spacing w:val="-23"/>
                <w:sz w:val="18"/>
                <w:szCs w:val="18"/>
              </w:rPr>
              <w:t xml:space="preserve"> </w:t>
            </w:r>
            <w:r>
              <w:rPr>
                <w:spacing w:val="-10"/>
                <w:sz w:val="18"/>
                <w:szCs w:val="18"/>
              </w:rPr>
              <w:t>石 、</w:t>
            </w:r>
            <w:r>
              <w:rPr>
                <w:spacing w:val="-21"/>
                <w:sz w:val="18"/>
                <w:szCs w:val="18"/>
              </w:rPr>
              <w:t xml:space="preserve"> </w:t>
            </w:r>
            <w:r>
              <w:rPr>
                <w:spacing w:val="-10"/>
                <w:sz w:val="18"/>
                <w:szCs w:val="18"/>
              </w:rPr>
              <w:t>水</w:t>
            </w:r>
            <w:r>
              <w:rPr>
                <w:spacing w:val="-23"/>
                <w:sz w:val="18"/>
                <w:szCs w:val="18"/>
              </w:rPr>
              <w:t xml:space="preserve"> </w:t>
            </w:r>
            <w:r>
              <w:rPr>
                <w:spacing w:val="-10"/>
                <w:sz w:val="18"/>
                <w:szCs w:val="18"/>
              </w:rPr>
              <w:t>泥</w:t>
            </w:r>
            <w:r>
              <w:rPr>
                <w:spacing w:val="-24"/>
                <w:sz w:val="18"/>
                <w:szCs w:val="18"/>
              </w:rPr>
              <w:t xml:space="preserve"> </w:t>
            </w:r>
            <w:r>
              <w:rPr>
                <w:spacing w:val="-10"/>
                <w:sz w:val="18"/>
                <w:szCs w:val="18"/>
              </w:rPr>
              <w:t>凝 结</w:t>
            </w:r>
            <w:r>
              <w:rPr>
                <w:spacing w:val="-25"/>
                <w:sz w:val="18"/>
                <w:szCs w:val="18"/>
              </w:rPr>
              <w:t xml:space="preserve"> </w:t>
            </w:r>
            <w:r>
              <w:rPr>
                <w:spacing w:val="-10"/>
                <w:sz w:val="18"/>
                <w:szCs w:val="18"/>
              </w:rPr>
              <w:t>废</w:t>
            </w:r>
            <w:r>
              <w:rPr>
                <w:spacing w:val="-23"/>
                <w:sz w:val="18"/>
                <w:szCs w:val="18"/>
              </w:rPr>
              <w:t xml:space="preserve"> </w:t>
            </w:r>
            <w:r>
              <w:rPr>
                <w:spacing w:val="-10"/>
                <w:sz w:val="18"/>
                <w:szCs w:val="18"/>
              </w:rPr>
              <w:t>渣 、</w:t>
            </w:r>
            <w:r>
              <w:rPr>
                <w:spacing w:val="-25"/>
                <w:sz w:val="18"/>
                <w:szCs w:val="18"/>
              </w:rPr>
              <w:t xml:space="preserve"> </w:t>
            </w:r>
            <w:r>
              <w:rPr>
                <w:spacing w:val="-10"/>
                <w:sz w:val="18"/>
                <w:szCs w:val="18"/>
              </w:rPr>
              <w:t>废</w:t>
            </w:r>
            <w:r>
              <w:rPr>
                <w:spacing w:val="-21"/>
                <w:sz w:val="18"/>
                <w:szCs w:val="18"/>
              </w:rPr>
              <w:t xml:space="preserve"> </w:t>
            </w:r>
            <w:r>
              <w:rPr>
                <w:spacing w:val="-10"/>
                <w:sz w:val="18"/>
                <w:szCs w:val="18"/>
              </w:rPr>
              <w:t>弃</w:t>
            </w:r>
            <w:r>
              <w:rPr>
                <w:spacing w:val="-24"/>
                <w:sz w:val="18"/>
                <w:szCs w:val="18"/>
              </w:rPr>
              <w:t xml:space="preserve"> </w:t>
            </w:r>
            <w:r>
              <w:rPr>
                <w:spacing w:val="-10"/>
                <w:sz w:val="18"/>
                <w:szCs w:val="18"/>
              </w:rPr>
              <w:t>铁</w:t>
            </w:r>
            <w:r>
              <w:rPr>
                <w:spacing w:val="-23"/>
                <w:sz w:val="18"/>
                <w:szCs w:val="18"/>
              </w:rPr>
              <w:t xml:space="preserve"> </w:t>
            </w:r>
            <w:r>
              <w:rPr>
                <w:spacing w:val="-10"/>
                <w:sz w:val="18"/>
                <w:szCs w:val="18"/>
              </w:rPr>
              <w:t>质</w:t>
            </w:r>
            <w:r>
              <w:rPr>
                <w:spacing w:val="-25"/>
                <w:sz w:val="18"/>
                <w:szCs w:val="18"/>
              </w:rPr>
              <w:t xml:space="preserve"> </w:t>
            </w:r>
            <w:r>
              <w:rPr>
                <w:spacing w:val="-10"/>
                <w:sz w:val="18"/>
                <w:szCs w:val="18"/>
              </w:rPr>
              <w:t>及</w:t>
            </w:r>
            <w:r>
              <w:rPr>
                <w:spacing w:val="-23"/>
                <w:sz w:val="18"/>
                <w:szCs w:val="18"/>
              </w:rPr>
              <w:t xml:space="preserve"> </w:t>
            </w:r>
            <w:r>
              <w:rPr>
                <w:spacing w:val="-10"/>
                <w:sz w:val="18"/>
                <w:szCs w:val="18"/>
              </w:rPr>
              <w:t>木</w:t>
            </w:r>
            <w:r>
              <w:rPr>
                <w:spacing w:val="-23"/>
                <w:sz w:val="18"/>
                <w:szCs w:val="18"/>
              </w:rPr>
              <w:t xml:space="preserve"> </w:t>
            </w:r>
            <w:r>
              <w:rPr>
                <w:spacing w:val="-10"/>
                <w:sz w:val="18"/>
                <w:szCs w:val="18"/>
              </w:rPr>
              <w:t>质</w:t>
            </w:r>
            <w:r>
              <w:rPr>
                <w:spacing w:val="-21"/>
                <w:sz w:val="18"/>
                <w:szCs w:val="18"/>
              </w:rPr>
              <w:t xml:space="preserve"> </w:t>
            </w:r>
            <w:r>
              <w:rPr>
                <w:spacing w:val="-10"/>
                <w:sz w:val="18"/>
                <w:szCs w:val="18"/>
              </w:rPr>
              <w:t>建</w:t>
            </w:r>
            <w:r>
              <w:rPr>
                <w:spacing w:val="-24"/>
                <w:sz w:val="18"/>
                <w:szCs w:val="18"/>
              </w:rPr>
              <w:t xml:space="preserve"> </w:t>
            </w:r>
            <w:r>
              <w:rPr>
                <w:spacing w:val="-10"/>
                <w:sz w:val="18"/>
                <w:szCs w:val="18"/>
              </w:rPr>
              <w:t>材</w:t>
            </w:r>
            <w:r>
              <w:rPr>
                <w:spacing w:val="-22"/>
                <w:sz w:val="18"/>
                <w:szCs w:val="18"/>
              </w:rPr>
              <w:t xml:space="preserve"> </w:t>
            </w:r>
            <w:r>
              <w:rPr>
                <w:spacing w:val="-10"/>
                <w:sz w:val="18"/>
                <w:szCs w:val="18"/>
              </w:rPr>
              <w:t>等 ，</w:t>
            </w:r>
            <w:r>
              <w:rPr>
                <w:spacing w:val="-21"/>
                <w:sz w:val="18"/>
                <w:szCs w:val="18"/>
              </w:rPr>
              <w:t xml:space="preserve"> </w:t>
            </w:r>
            <w:r>
              <w:rPr>
                <w:spacing w:val="-10"/>
                <w:sz w:val="18"/>
                <w:szCs w:val="18"/>
              </w:rPr>
              <w:t>项 目</w:t>
            </w:r>
            <w:r>
              <w:rPr>
                <w:spacing w:val="-24"/>
                <w:sz w:val="18"/>
                <w:szCs w:val="18"/>
              </w:rPr>
              <w:t xml:space="preserve"> </w:t>
            </w:r>
            <w:r>
              <w:rPr>
                <w:spacing w:val="-10"/>
                <w:sz w:val="18"/>
                <w:szCs w:val="18"/>
              </w:rPr>
              <w:t>应</w:t>
            </w:r>
            <w:r>
              <w:rPr>
                <w:spacing w:val="-24"/>
                <w:sz w:val="18"/>
                <w:szCs w:val="18"/>
              </w:rPr>
              <w:t xml:space="preserve"> </w:t>
            </w:r>
            <w:r>
              <w:rPr>
                <w:spacing w:val="-10"/>
                <w:sz w:val="18"/>
                <w:szCs w:val="18"/>
              </w:rPr>
              <w:t>对</w:t>
            </w:r>
            <w:r>
              <w:rPr>
                <w:sz w:val="18"/>
                <w:szCs w:val="18"/>
              </w:rPr>
              <w:t xml:space="preserve"> </w:t>
            </w:r>
            <w:r>
              <w:rPr>
                <w:spacing w:val="-11"/>
                <w:sz w:val="18"/>
                <w:szCs w:val="18"/>
              </w:rPr>
              <w:t>其 进 行</w:t>
            </w:r>
            <w:r>
              <w:rPr>
                <w:spacing w:val="-17"/>
                <w:sz w:val="18"/>
                <w:szCs w:val="18"/>
              </w:rPr>
              <w:t xml:space="preserve"> </w:t>
            </w:r>
            <w:r>
              <w:rPr>
                <w:spacing w:val="-11"/>
                <w:sz w:val="18"/>
                <w:szCs w:val="18"/>
              </w:rPr>
              <w:t>分</w:t>
            </w:r>
            <w:r>
              <w:rPr>
                <w:spacing w:val="-18"/>
                <w:sz w:val="18"/>
                <w:szCs w:val="18"/>
              </w:rPr>
              <w:t xml:space="preserve"> </w:t>
            </w:r>
            <w:r>
              <w:rPr>
                <w:spacing w:val="-11"/>
                <w:sz w:val="18"/>
                <w:szCs w:val="18"/>
              </w:rPr>
              <w:t>类</w:t>
            </w:r>
            <w:r>
              <w:rPr>
                <w:spacing w:val="-19"/>
                <w:sz w:val="18"/>
                <w:szCs w:val="18"/>
              </w:rPr>
              <w:t xml:space="preserve"> </w:t>
            </w:r>
            <w:r>
              <w:rPr>
                <w:spacing w:val="-11"/>
                <w:sz w:val="18"/>
                <w:szCs w:val="18"/>
              </w:rPr>
              <w:t>集 中 堆</w:t>
            </w:r>
            <w:r>
              <w:rPr>
                <w:spacing w:val="-19"/>
                <w:sz w:val="18"/>
                <w:szCs w:val="18"/>
              </w:rPr>
              <w:t xml:space="preserve"> </w:t>
            </w:r>
            <w:r>
              <w:rPr>
                <w:spacing w:val="-11"/>
                <w:sz w:val="18"/>
                <w:szCs w:val="18"/>
              </w:rPr>
              <w:t>存 ，</w:t>
            </w:r>
            <w:r>
              <w:rPr>
                <w:spacing w:val="-12"/>
                <w:sz w:val="18"/>
                <w:szCs w:val="18"/>
              </w:rPr>
              <w:t xml:space="preserve"> </w:t>
            </w:r>
            <w:r>
              <w:rPr>
                <w:spacing w:val="-11"/>
                <w:sz w:val="18"/>
                <w:szCs w:val="18"/>
              </w:rPr>
              <w:t>能 回 收</w:t>
            </w:r>
            <w:r>
              <w:rPr>
                <w:spacing w:val="-18"/>
                <w:sz w:val="18"/>
                <w:szCs w:val="18"/>
              </w:rPr>
              <w:t xml:space="preserve"> </w:t>
            </w:r>
            <w:r>
              <w:rPr>
                <w:spacing w:val="-11"/>
                <w:sz w:val="18"/>
                <w:szCs w:val="18"/>
              </w:rPr>
              <w:t>利</w:t>
            </w:r>
            <w:r>
              <w:rPr>
                <w:spacing w:val="-17"/>
                <w:sz w:val="18"/>
                <w:szCs w:val="18"/>
              </w:rPr>
              <w:t xml:space="preserve"> </w:t>
            </w:r>
            <w:r>
              <w:rPr>
                <w:spacing w:val="-11"/>
                <w:sz w:val="18"/>
                <w:szCs w:val="18"/>
              </w:rPr>
              <w:t>用 的 回 收</w:t>
            </w:r>
            <w:r>
              <w:rPr>
                <w:spacing w:val="-18"/>
                <w:sz w:val="18"/>
                <w:szCs w:val="18"/>
              </w:rPr>
              <w:t xml:space="preserve"> </w:t>
            </w:r>
            <w:r>
              <w:rPr>
                <w:spacing w:val="-11"/>
                <w:sz w:val="18"/>
                <w:szCs w:val="18"/>
              </w:rPr>
              <w:t>利</w:t>
            </w:r>
            <w:r>
              <w:rPr>
                <w:spacing w:val="-17"/>
                <w:sz w:val="18"/>
                <w:szCs w:val="18"/>
              </w:rPr>
              <w:t xml:space="preserve"> </w:t>
            </w:r>
            <w:r>
              <w:rPr>
                <w:spacing w:val="-11"/>
                <w:sz w:val="18"/>
                <w:szCs w:val="18"/>
              </w:rPr>
              <w:t>用 ，</w:t>
            </w:r>
            <w:r>
              <w:rPr>
                <w:spacing w:val="-19"/>
                <w:sz w:val="18"/>
                <w:szCs w:val="18"/>
              </w:rPr>
              <w:t xml:space="preserve"> </w:t>
            </w:r>
            <w:r>
              <w:rPr>
                <w:spacing w:val="-11"/>
                <w:sz w:val="18"/>
                <w:szCs w:val="18"/>
              </w:rPr>
              <w:t>例 如</w:t>
            </w:r>
            <w:r>
              <w:rPr>
                <w:spacing w:val="-18"/>
                <w:sz w:val="18"/>
                <w:szCs w:val="18"/>
              </w:rPr>
              <w:t xml:space="preserve"> </w:t>
            </w:r>
            <w:r>
              <w:rPr>
                <w:spacing w:val="-11"/>
                <w:sz w:val="18"/>
                <w:szCs w:val="18"/>
              </w:rPr>
              <w:t>木</w:t>
            </w:r>
            <w:r>
              <w:rPr>
                <w:spacing w:val="-18"/>
                <w:sz w:val="18"/>
                <w:szCs w:val="18"/>
              </w:rPr>
              <w:t xml:space="preserve"> </w:t>
            </w:r>
            <w:r>
              <w:rPr>
                <w:spacing w:val="-11"/>
                <w:sz w:val="18"/>
                <w:szCs w:val="18"/>
              </w:rPr>
              <w:t>制 ( 铁</w:t>
            </w:r>
            <w:r>
              <w:rPr>
                <w:spacing w:val="-18"/>
                <w:sz w:val="18"/>
                <w:szCs w:val="18"/>
              </w:rPr>
              <w:t xml:space="preserve"> </w:t>
            </w:r>
            <w:r>
              <w:rPr>
                <w:spacing w:val="-11"/>
                <w:sz w:val="18"/>
                <w:szCs w:val="18"/>
              </w:rPr>
              <w:t>制</w:t>
            </w:r>
            <w:r>
              <w:rPr>
                <w:spacing w:val="-18"/>
                <w:sz w:val="18"/>
                <w:szCs w:val="18"/>
              </w:rPr>
              <w:t xml:space="preserve"> </w:t>
            </w:r>
            <w:r>
              <w:rPr>
                <w:spacing w:val="-11"/>
                <w:sz w:val="18"/>
                <w:szCs w:val="18"/>
              </w:rPr>
              <w:t>)</w:t>
            </w:r>
            <w:r>
              <w:rPr>
                <w:spacing w:val="-19"/>
                <w:sz w:val="18"/>
                <w:szCs w:val="18"/>
              </w:rPr>
              <w:t xml:space="preserve"> </w:t>
            </w:r>
            <w:r>
              <w:rPr>
                <w:spacing w:val="-11"/>
                <w:sz w:val="18"/>
                <w:szCs w:val="18"/>
              </w:rPr>
              <w:t>材</w:t>
            </w:r>
            <w:r>
              <w:rPr>
                <w:spacing w:val="-18"/>
                <w:sz w:val="18"/>
                <w:szCs w:val="18"/>
              </w:rPr>
              <w:t xml:space="preserve"> </w:t>
            </w:r>
            <w:r>
              <w:rPr>
                <w:spacing w:val="-11"/>
                <w:sz w:val="18"/>
                <w:szCs w:val="18"/>
              </w:rPr>
              <w:t>料</w:t>
            </w:r>
            <w:r>
              <w:rPr>
                <w:spacing w:val="-18"/>
                <w:sz w:val="18"/>
                <w:szCs w:val="18"/>
              </w:rPr>
              <w:t xml:space="preserve"> </w:t>
            </w:r>
            <w:r>
              <w:rPr>
                <w:spacing w:val="-11"/>
                <w:sz w:val="18"/>
                <w:szCs w:val="18"/>
              </w:rPr>
              <w:t>等 ，</w:t>
            </w:r>
            <w:r>
              <w:rPr>
                <w:spacing w:val="-12"/>
                <w:sz w:val="18"/>
                <w:szCs w:val="18"/>
              </w:rPr>
              <w:t xml:space="preserve"> 交 回</w:t>
            </w:r>
            <w:r>
              <w:rPr>
                <w:sz w:val="18"/>
                <w:szCs w:val="18"/>
              </w:rPr>
              <w:t xml:space="preserve"> </w:t>
            </w:r>
            <w:r>
              <w:rPr>
                <w:spacing w:val="-13"/>
                <w:sz w:val="18"/>
                <w:szCs w:val="18"/>
              </w:rPr>
              <w:t>收</w:t>
            </w:r>
            <w:r>
              <w:rPr>
                <w:spacing w:val="-17"/>
                <w:sz w:val="18"/>
                <w:szCs w:val="18"/>
              </w:rPr>
              <w:t xml:space="preserve"> </w:t>
            </w:r>
            <w:r>
              <w:rPr>
                <w:spacing w:val="-13"/>
                <w:sz w:val="18"/>
                <w:szCs w:val="18"/>
              </w:rPr>
              <w:t>购</w:t>
            </w:r>
            <w:r>
              <w:rPr>
                <w:spacing w:val="-12"/>
                <w:sz w:val="18"/>
                <w:szCs w:val="18"/>
              </w:rPr>
              <w:t xml:space="preserve"> 商</w:t>
            </w:r>
            <w:r>
              <w:rPr>
                <w:spacing w:val="-25"/>
                <w:sz w:val="18"/>
                <w:szCs w:val="18"/>
              </w:rPr>
              <w:t xml:space="preserve"> </w:t>
            </w:r>
            <w:r>
              <w:rPr>
                <w:spacing w:val="-12"/>
                <w:sz w:val="18"/>
                <w:szCs w:val="18"/>
              </w:rPr>
              <w:t>进</w:t>
            </w:r>
            <w:r>
              <w:rPr>
                <w:spacing w:val="-20"/>
                <w:sz w:val="18"/>
                <w:szCs w:val="18"/>
              </w:rPr>
              <w:t xml:space="preserve"> </w:t>
            </w:r>
            <w:r>
              <w:rPr>
                <w:spacing w:val="-12"/>
                <w:sz w:val="18"/>
                <w:szCs w:val="18"/>
              </w:rPr>
              <w:t>行 收</w:t>
            </w:r>
            <w:r>
              <w:rPr>
                <w:spacing w:val="-25"/>
                <w:sz w:val="18"/>
                <w:szCs w:val="18"/>
              </w:rPr>
              <w:t xml:space="preserve"> </w:t>
            </w:r>
            <w:r>
              <w:rPr>
                <w:spacing w:val="-12"/>
                <w:sz w:val="18"/>
                <w:szCs w:val="18"/>
              </w:rPr>
              <w:t>购</w:t>
            </w:r>
            <w:r>
              <w:rPr>
                <w:spacing w:val="-20"/>
                <w:sz w:val="18"/>
                <w:szCs w:val="18"/>
              </w:rPr>
              <w:t xml:space="preserve"> </w:t>
            </w:r>
            <w:r>
              <w:rPr>
                <w:spacing w:val="-12"/>
                <w:sz w:val="18"/>
                <w:szCs w:val="18"/>
              </w:rPr>
              <w:t>处</w:t>
            </w:r>
            <w:r>
              <w:rPr>
                <w:spacing w:val="-25"/>
                <w:sz w:val="18"/>
                <w:szCs w:val="18"/>
              </w:rPr>
              <w:t xml:space="preserve"> </w:t>
            </w:r>
            <w:r>
              <w:rPr>
                <w:spacing w:val="-12"/>
                <w:sz w:val="18"/>
                <w:szCs w:val="18"/>
              </w:rPr>
              <w:t>置 ，</w:t>
            </w:r>
            <w:r>
              <w:rPr>
                <w:spacing w:val="-23"/>
                <w:sz w:val="18"/>
                <w:szCs w:val="18"/>
              </w:rPr>
              <w:t xml:space="preserve"> </w:t>
            </w:r>
            <w:r>
              <w:rPr>
                <w:spacing w:val="-12"/>
                <w:sz w:val="18"/>
                <w:szCs w:val="18"/>
              </w:rPr>
              <w:t>重</w:t>
            </w:r>
            <w:r>
              <w:rPr>
                <w:spacing w:val="-19"/>
                <w:sz w:val="18"/>
                <w:szCs w:val="18"/>
              </w:rPr>
              <w:t xml:space="preserve"> </w:t>
            </w:r>
            <w:r>
              <w:rPr>
                <w:spacing w:val="-12"/>
                <w:sz w:val="18"/>
                <w:szCs w:val="18"/>
              </w:rPr>
              <w:t>复</w:t>
            </w:r>
            <w:r>
              <w:rPr>
                <w:spacing w:val="-22"/>
                <w:sz w:val="18"/>
                <w:szCs w:val="18"/>
              </w:rPr>
              <w:t xml:space="preserve"> </w:t>
            </w:r>
            <w:r>
              <w:rPr>
                <w:spacing w:val="-12"/>
                <w:sz w:val="18"/>
                <w:szCs w:val="18"/>
              </w:rPr>
              <w:t>利</w:t>
            </w:r>
            <w:r>
              <w:rPr>
                <w:spacing w:val="-23"/>
                <w:sz w:val="18"/>
                <w:szCs w:val="18"/>
              </w:rPr>
              <w:t xml:space="preserve"> </w:t>
            </w:r>
            <w:r>
              <w:rPr>
                <w:spacing w:val="-12"/>
                <w:sz w:val="18"/>
                <w:szCs w:val="18"/>
              </w:rPr>
              <w:t>用 ；</w:t>
            </w:r>
            <w:r>
              <w:rPr>
                <w:spacing w:val="-20"/>
                <w:sz w:val="18"/>
                <w:szCs w:val="18"/>
              </w:rPr>
              <w:t xml:space="preserve"> </w:t>
            </w:r>
            <w:r>
              <w:rPr>
                <w:spacing w:val="-12"/>
                <w:sz w:val="18"/>
                <w:szCs w:val="18"/>
              </w:rPr>
              <w:t>不</w:t>
            </w:r>
            <w:r>
              <w:rPr>
                <w:spacing w:val="-17"/>
                <w:sz w:val="18"/>
                <w:szCs w:val="18"/>
              </w:rPr>
              <w:t xml:space="preserve"> </w:t>
            </w:r>
            <w:r>
              <w:rPr>
                <w:spacing w:val="-12"/>
                <w:sz w:val="18"/>
                <w:szCs w:val="18"/>
              </w:rPr>
              <w:t>能 回</w:t>
            </w:r>
            <w:r>
              <w:rPr>
                <w:spacing w:val="-17"/>
                <w:sz w:val="18"/>
                <w:szCs w:val="18"/>
              </w:rPr>
              <w:t xml:space="preserve"> </w:t>
            </w:r>
            <w:r>
              <w:rPr>
                <w:spacing w:val="-12"/>
                <w:sz w:val="18"/>
                <w:szCs w:val="18"/>
              </w:rPr>
              <w:t>收</w:t>
            </w:r>
            <w:r>
              <w:rPr>
                <w:spacing w:val="-23"/>
                <w:sz w:val="18"/>
                <w:szCs w:val="18"/>
              </w:rPr>
              <w:t xml:space="preserve"> </w:t>
            </w:r>
            <w:r>
              <w:rPr>
                <w:spacing w:val="-12"/>
                <w:sz w:val="18"/>
                <w:szCs w:val="18"/>
              </w:rPr>
              <w:t>利</w:t>
            </w:r>
            <w:r>
              <w:rPr>
                <w:spacing w:val="-22"/>
                <w:sz w:val="18"/>
                <w:szCs w:val="18"/>
              </w:rPr>
              <w:t xml:space="preserve"> </w:t>
            </w:r>
            <w:r>
              <w:rPr>
                <w:spacing w:val="-12"/>
                <w:sz w:val="18"/>
                <w:szCs w:val="18"/>
              </w:rPr>
              <w:t>用 的</w:t>
            </w:r>
            <w:r>
              <w:rPr>
                <w:spacing w:val="-21"/>
                <w:sz w:val="18"/>
                <w:szCs w:val="18"/>
              </w:rPr>
              <w:t xml:space="preserve"> </w:t>
            </w:r>
            <w:r>
              <w:rPr>
                <w:spacing w:val="-12"/>
                <w:sz w:val="18"/>
                <w:szCs w:val="18"/>
              </w:rPr>
              <w:t>建</w:t>
            </w:r>
            <w:r>
              <w:rPr>
                <w:spacing w:val="-23"/>
                <w:sz w:val="18"/>
                <w:szCs w:val="18"/>
              </w:rPr>
              <w:t xml:space="preserve"> </w:t>
            </w:r>
            <w:r>
              <w:rPr>
                <w:spacing w:val="-12"/>
                <w:sz w:val="18"/>
                <w:szCs w:val="18"/>
              </w:rPr>
              <w:t>筑</w:t>
            </w:r>
            <w:r>
              <w:rPr>
                <w:spacing w:val="-22"/>
                <w:sz w:val="18"/>
                <w:szCs w:val="18"/>
              </w:rPr>
              <w:t xml:space="preserve"> </w:t>
            </w:r>
            <w:r>
              <w:rPr>
                <w:spacing w:val="-12"/>
                <w:sz w:val="18"/>
                <w:szCs w:val="18"/>
              </w:rPr>
              <w:t>垃</w:t>
            </w:r>
            <w:r>
              <w:rPr>
                <w:spacing w:val="-22"/>
                <w:sz w:val="18"/>
                <w:szCs w:val="18"/>
              </w:rPr>
              <w:t xml:space="preserve"> </w:t>
            </w:r>
            <w:r>
              <w:rPr>
                <w:spacing w:val="-12"/>
                <w:sz w:val="18"/>
                <w:szCs w:val="18"/>
              </w:rPr>
              <w:t>圾 ，</w:t>
            </w:r>
            <w:r>
              <w:rPr>
                <w:spacing w:val="-24"/>
                <w:sz w:val="18"/>
                <w:szCs w:val="18"/>
              </w:rPr>
              <w:t xml:space="preserve"> </w:t>
            </w:r>
            <w:r>
              <w:rPr>
                <w:spacing w:val="-12"/>
                <w:sz w:val="18"/>
                <w:szCs w:val="18"/>
              </w:rPr>
              <w:t>加</w:t>
            </w:r>
            <w:r>
              <w:rPr>
                <w:spacing w:val="-19"/>
                <w:sz w:val="18"/>
                <w:szCs w:val="18"/>
              </w:rPr>
              <w:t xml:space="preserve"> </w:t>
            </w:r>
            <w:r>
              <w:rPr>
                <w:spacing w:val="-12"/>
                <w:sz w:val="18"/>
                <w:szCs w:val="18"/>
              </w:rPr>
              <w:t>强</w:t>
            </w:r>
            <w:r>
              <w:rPr>
                <w:spacing w:val="-19"/>
                <w:sz w:val="18"/>
                <w:szCs w:val="18"/>
              </w:rPr>
              <w:t xml:space="preserve"> </w:t>
            </w:r>
            <w:r>
              <w:rPr>
                <w:spacing w:val="-12"/>
                <w:sz w:val="18"/>
                <w:szCs w:val="18"/>
              </w:rPr>
              <w:t>管</w:t>
            </w:r>
            <w:r>
              <w:rPr>
                <w:spacing w:val="-22"/>
                <w:sz w:val="18"/>
                <w:szCs w:val="18"/>
              </w:rPr>
              <w:t xml:space="preserve"> </w:t>
            </w:r>
            <w:r>
              <w:rPr>
                <w:spacing w:val="-12"/>
                <w:sz w:val="18"/>
                <w:szCs w:val="18"/>
              </w:rPr>
              <w:t>理</w:t>
            </w:r>
            <w:r>
              <w:rPr>
                <w:spacing w:val="-9"/>
                <w:sz w:val="18"/>
                <w:szCs w:val="18"/>
              </w:rPr>
              <w:t xml:space="preserve"> </w:t>
            </w:r>
            <w:r>
              <w:rPr>
                <w:spacing w:val="-12"/>
                <w:sz w:val="18"/>
                <w:szCs w:val="18"/>
              </w:rPr>
              <w:t>，</w:t>
            </w:r>
            <w:r>
              <w:rPr>
                <w:spacing w:val="-20"/>
                <w:sz w:val="18"/>
                <w:szCs w:val="18"/>
              </w:rPr>
              <w:t xml:space="preserve"> </w:t>
            </w:r>
            <w:r>
              <w:rPr>
                <w:spacing w:val="-12"/>
                <w:sz w:val="18"/>
                <w:szCs w:val="18"/>
              </w:rPr>
              <w:t>项 目</w:t>
            </w:r>
            <w:r>
              <w:rPr>
                <w:spacing w:val="-22"/>
                <w:sz w:val="18"/>
                <w:szCs w:val="18"/>
              </w:rPr>
              <w:t xml:space="preserve"> </w:t>
            </w:r>
            <w:r>
              <w:rPr>
                <w:spacing w:val="-10"/>
                <w:sz w:val="18"/>
                <w:szCs w:val="18"/>
              </w:rPr>
              <w:t>完</w:t>
            </w:r>
          </w:p>
        </w:tc>
      </w:tr>
    </w:tbl>
    <w:p w14:paraId="0AF326E2">
      <w:pPr>
        <w:pStyle w:val="2"/>
      </w:pPr>
    </w:p>
    <w:p w14:paraId="3B3ED730">
      <w:pPr>
        <w:sectPr>
          <w:headerReference r:id="rId148" w:type="default"/>
          <w:footerReference r:id="rId149" w:type="default"/>
          <w:pgSz w:w="11910" w:h="16830"/>
          <w:pgMar w:top="400" w:right="1415" w:bottom="1259" w:left="1234" w:header="0" w:footer="1079" w:gutter="0"/>
          <w:cols w:space="720" w:num="1"/>
        </w:sectPr>
      </w:pPr>
    </w:p>
    <w:p w14:paraId="65B2CA43">
      <w:pPr>
        <w:spacing w:before="15"/>
      </w:pPr>
    </w:p>
    <w:p w14:paraId="12D8099A">
      <w:pPr>
        <w:spacing w:before="15"/>
      </w:pPr>
    </w:p>
    <w:p w14:paraId="100F7C20">
      <w:pPr>
        <w:spacing w:before="15"/>
      </w:pPr>
    </w:p>
    <w:p w14:paraId="1B189D66">
      <w:pPr>
        <w:spacing w:before="14"/>
      </w:pPr>
    </w:p>
    <w:tbl>
      <w:tblPr>
        <w:tblStyle w:val="5"/>
        <w:tblW w:w="938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8508"/>
      </w:tblGrid>
      <w:tr w14:paraId="30212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1" w:hRule="atLeast"/>
        </w:trPr>
        <w:tc>
          <w:tcPr>
            <w:tcW w:w="874" w:type="dxa"/>
            <w:vAlign w:val="top"/>
          </w:tcPr>
          <w:p w14:paraId="066B5F54">
            <w:pPr>
              <w:rPr>
                <w:rFonts w:ascii="Arial"/>
                <w:sz w:val="21"/>
              </w:rPr>
            </w:pPr>
          </w:p>
        </w:tc>
        <w:tc>
          <w:tcPr>
            <w:tcW w:w="8508" w:type="dxa"/>
            <w:vAlign w:val="top"/>
          </w:tcPr>
          <w:p w14:paraId="3BE2DB52">
            <w:pPr>
              <w:pStyle w:val="6"/>
              <w:spacing w:before="33" w:line="361" w:lineRule="auto"/>
              <w:ind w:left="101" w:right="46" w:hanging="60"/>
              <w:rPr>
                <w:sz w:val="24"/>
                <w:szCs w:val="24"/>
              </w:rPr>
            </w:pPr>
            <w:r>
              <w:rPr>
                <w:sz w:val="24"/>
                <w:szCs w:val="24"/>
              </w:rPr>
              <w:t>工后，要及时收集，统一清运，按照相关主管部门的要求运至指定的建筑垃圾处</w:t>
            </w:r>
            <w:r>
              <w:rPr>
                <w:spacing w:val="9"/>
                <w:sz w:val="24"/>
                <w:szCs w:val="24"/>
              </w:rPr>
              <w:t xml:space="preserve"> </w:t>
            </w:r>
            <w:r>
              <w:rPr>
                <w:sz w:val="24"/>
                <w:szCs w:val="24"/>
              </w:rPr>
              <w:t>置场进行处置，禁止与生活垃圾混合处置，禁止随意丢</w:t>
            </w:r>
            <w:r>
              <w:rPr>
                <w:spacing w:val="-1"/>
                <w:sz w:val="24"/>
                <w:szCs w:val="24"/>
              </w:rPr>
              <w:t>弃。</w:t>
            </w:r>
          </w:p>
          <w:p w14:paraId="767C05FF">
            <w:pPr>
              <w:pStyle w:val="6"/>
              <w:spacing w:line="220" w:lineRule="auto"/>
              <w:ind w:left="74"/>
              <w:rPr>
                <w:sz w:val="24"/>
                <w:szCs w:val="24"/>
              </w:rPr>
            </w:pPr>
            <w:r>
              <w:rPr>
                <w:b/>
                <w:bCs/>
                <w:spacing w:val="-4"/>
                <w:sz w:val="24"/>
                <w:szCs w:val="24"/>
              </w:rPr>
              <w:t>5.3施工人员生活垃圾</w:t>
            </w:r>
          </w:p>
          <w:p w14:paraId="14EDC5F2">
            <w:pPr>
              <w:pStyle w:val="6"/>
              <w:spacing w:before="194" w:line="356" w:lineRule="auto"/>
              <w:ind w:left="41" w:firstLine="529"/>
              <w:jc w:val="both"/>
              <w:rPr>
                <w:sz w:val="24"/>
                <w:szCs w:val="24"/>
              </w:rPr>
            </w:pPr>
            <w:r>
              <w:rPr>
                <w:sz w:val="24"/>
                <w:szCs w:val="24"/>
              </w:rPr>
              <w:t>施工期间，施工人员和项目管理人员生活设施依托周边村庄的生活设施，在</w:t>
            </w:r>
            <w:r>
              <w:rPr>
                <w:spacing w:val="6"/>
                <w:sz w:val="24"/>
                <w:szCs w:val="24"/>
              </w:rPr>
              <w:t xml:space="preserve"> </w:t>
            </w:r>
            <w:r>
              <w:rPr>
                <w:sz w:val="24"/>
                <w:szCs w:val="24"/>
              </w:rPr>
              <w:t>施在施工场地设置垃圾收集桶，产生的生活</w:t>
            </w:r>
            <w:r>
              <w:rPr>
                <w:spacing w:val="-1"/>
                <w:sz w:val="24"/>
                <w:szCs w:val="24"/>
              </w:rPr>
              <w:t>垃圾经收集后就近运至大莫古镇垃圾</w:t>
            </w:r>
            <w:r>
              <w:rPr>
                <w:sz w:val="24"/>
                <w:szCs w:val="24"/>
              </w:rPr>
              <w:t xml:space="preserve"> 收集点处置。施工人员居住周边村庄产生的生活垃圾依托周边村庄已经建成的垃</w:t>
            </w:r>
            <w:r>
              <w:rPr>
                <w:spacing w:val="2"/>
                <w:sz w:val="24"/>
                <w:szCs w:val="24"/>
              </w:rPr>
              <w:t xml:space="preserve"> </w:t>
            </w:r>
            <w:r>
              <w:rPr>
                <w:spacing w:val="6"/>
                <w:sz w:val="24"/>
                <w:szCs w:val="24"/>
              </w:rPr>
              <w:t>圾收运设施。</w:t>
            </w:r>
          </w:p>
          <w:p w14:paraId="4B1DDAEB">
            <w:pPr>
              <w:pStyle w:val="6"/>
              <w:spacing w:before="2" w:line="348" w:lineRule="auto"/>
              <w:ind w:left="111" w:firstLine="459"/>
              <w:rPr>
                <w:sz w:val="24"/>
                <w:szCs w:val="24"/>
              </w:rPr>
            </w:pPr>
            <w:r>
              <w:rPr>
                <w:sz w:val="24"/>
                <w:szCs w:val="24"/>
              </w:rPr>
              <w:t>综上所述，项目施工期间对各类固体废弃物采取了合理的处置措施及综合利</w:t>
            </w:r>
            <w:r>
              <w:rPr>
                <w:spacing w:val="6"/>
                <w:sz w:val="24"/>
                <w:szCs w:val="24"/>
              </w:rPr>
              <w:t xml:space="preserve"> </w:t>
            </w:r>
            <w:r>
              <w:rPr>
                <w:sz w:val="24"/>
                <w:szCs w:val="24"/>
              </w:rPr>
              <w:t>用措施，施工期间固体废弃物不外排，对评价</w:t>
            </w:r>
            <w:r>
              <w:rPr>
                <w:spacing w:val="-1"/>
                <w:sz w:val="24"/>
                <w:szCs w:val="24"/>
              </w:rPr>
              <w:t>区域环境基本没有影响。</w:t>
            </w:r>
          </w:p>
        </w:tc>
      </w:tr>
      <w:tr w14:paraId="37575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9" w:hRule="atLeast"/>
        </w:trPr>
        <w:tc>
          <w:tcPr>
            <w:tcW w:w="874" w:type="dxa"/>
            <w:vAlign w:val="top"/>
          </w:tcPr>
          <w:p w14:paraId="04066BD7">
            <w:pPr>
              <w:rPr>
                <w:rFonts w:ascii="Arial"/>
                <w:sz w:val="21"/>
              </w:rPr>
            </w:pPr>
          </w:p>
          <w:p w14:paraId="0817E439">
            <w:pPr>
              <w:rPr>
                <w:rFonts w:ascii="Arial"/>
                <w:sz w:val="21"/>
              </w:rPr>
            </w:pPr>
          </w:p>
          <w:p w14:paraId="6B636FE9">
            <w:pPr>
              <w:rPr>
                <w:rFonts w:ascii="Arial"/>
                <w:sz w:val="21"/>
              </w:rPr>
            </w:pPr>
          </w:p>
          <w:p w14:paraId="4417C27F">
            <w:pPr>
              <w:rPr>
                <w:rFonts w:ascii="Arial"/>
                <w:sz w:val="21"/>
              </w:rPr>
            </w:pPr>
          </w:p>
          <w:p w14:paraId="4322CC61">
            <w:pPr>
              <w:spacing w:line="241" w:lineRule="auto"/>
              <w:rPr>
                <w:rFonts w:ascii="Arial"/>
                <w:sz w:val="21"/>
              </w:rPr>
            </w:pPr>
          </w:p>
          <w:p w14:paraId="5941C415">
            <w:pPr>
              <w:spacing w:line="241" w:lineRule="auto"/>
              <w:rPr>
                <w:rFonts w:ascii="Arial"/>
                <w:sz w:val="21"/>
              </w:rPr>
            </w:pPr>
          </w:p>
          <w:p w14:paraId="17338A08">
            <w:pPr>
              <w:spacing w:line="241" w:lineRule="auto"/>
              <w:rPr>
                <w:rFonts w:ascii="Arial"/>
                <w:sz w:val="21"/>
              </w:rPr>
            </w:pPr>
          </w:p>
          <w:p w14:paraId="7A2488F4">
            <w:pPr>
              <w:spacing w:line="241" w:lineRule="auto"/>
              <w:rPr>
                <w:rFonts w:ascii="Arial"/>
                <w:sz w:val="21"/>
              </w:rPr>
            </w:pPr>
          </w:p>
          <w:p w14:paraId="7209CA2D">
            <w:pPr>
              <w:spacing w:line="241" w:lineRule="auto"/>
              <w:rPr>
                <w:rFonts w:ascii="Arial"/>
                <w:sz w:val="21"/>
              </w:rPr>
            </w:pPr>
          </w:p>
          <w:p w14:paraId="11DCFDDA">
            <w:pPr>
              <w:spacing w:line="241" w:lineRule="auto"/>
              <w:rPr>
                <w:rFonts w:ascii="Arial"/>
                <w:sz w:val="21"/>
              </w:rPr>
            </w:pPr>
          </w:p>
          <w:p w14:paraId="51869804">
            <w:pPr>
              <w:spacing w:line="241" w:lineRule="auto"/>
              <w:rPr>
                <w:rFonts w:ascii="Arial"/>
                <w:sz w:val="21"/>
              </w:rPr>
            </w:pPr>
          </w:p>
          <w:p w14:paraId="54CCC3B6">
            <w:pPr>
              <w:spacing w:line="241" w:lineRule="auto"/>
              <w:rPr>
                <w:rFonts w:ascii="Arial"/>
                <w:sz w:val="21"/>
              </w:rPr>
            </w:pPr>
          </w:p>
          <w:p w14:paraId="3E238E44">
            <w:pPr>
              <w:pStyle w:val="6"/>
              <w:spacing w:before="78" w:line="217" w:lineRule="auto"/>
              <w:ind w:left="65"/>
              <w:rPr>
                <w:sz w:val="24"/>
                <w:szCs w:val="24"/>
              </w:rPr>
            </w:pPr>
            <w:r>
              <w:rPr>
                <w:spacing w:val="5"/>
                <w:sz w:val="24"/>
                <w:szCs w:val="24"/>
              </w:rPr>
              <w:t>运营期</w:t>
            </w:r>
          </w:p>
          <w:p w14:paraId="557B7651">
            <w:pPr>
              <w:pStyle w:val="6"/>
              <w:spacing w:line="206" w:lineRule="auto"/>
              <w:ind w:left="65"/>
              <w:rPr>
                <w:sz w:val="24"/>
                <w:szCs w:val="24"/>
              </w:rPr>
            </w:pPr>
            <w:r>
              <w:rPr>
                <w:spacing w:val="4"/>
                <w:sz w:val="24"/>
                <w:szCs w:val="24"/>
              </w:rPr>
              <w:t>生态环</w:t>
            </w:r>
          </w:p>
          <w:p w14:paraId="6A19169C">
            <w:pPr>
              <w:pStyle w:val="6"/>
              <w:spacing w:line="206" w:lineRule="auto"/>
              <w:ind w:left="185" w:right="59" w:hanging="120"/>
              <w:rPr>
                <w:sz w:val="24"/>
                <w:szCs w:val="24"/>
              </w:rPr>
            </w:pPr>
            <w:r>
              <w:rPr>
                <w:spacing w:val="6"/>
                <w:sz w:val="24"/>
                <w:szCs w:val="24"/>
              </w:rPr>
              <w:t>境影响</w:t>
            </w:r>
            <w:r>
              <w:rPr>
                <w:sz w:val="24"/>
                <w:szCs w:val="24"/>
              </w:rPr>
              <w:t xml:space="preserve"> </w:t>
            </w:r>
            <w:r>
              <w:rPr>
                <w:spacing w:val="5"/>
                <w:sz w:val="24"/>
                <w:szCs w:val="24"/>
              </w:rPr>
              <w:t>分析</w:t>
            </w:r>
          </w:p>
        </w:tc>
        <w:tc>
          <w:tcPr>
            <w:tcW w:w="8508" w:type="dxa"/>
            <w:vAlign w:val="top"/>
          </w:tcPr>
          <w:p w14:paraId="4027A0D0">
            <w:pPr>
              <w:pStyle w:val="6"/>
              <w:spacing w:before="21" w:line="220" w:lineRule="auto"/>
              <w:ind w:left="84"/>
              <w:rPr>
                <w:sz w:val="24"/>
                <w:szCs w:val="24"/>
              </w:rPr>
            </w:pPr>
            <w:r>
              <w:rPr>
                <w:b/>
                <w:bCs/>
                <w:spacing w:val="-3"/>
                <w:sz w:val="24"/>
                <w:szCs w:val="24"/>
              </w:rPr>
              <w:t>1运营期工艺流程</w:t>
            </w:r>
          </w:p>
          <w:p w14:paraId="0577BDAF">
            <w:pPr>
              <w:pStyle w:val="6"/>
              <w:spacing w:before="186" w:line="360" w:lineRule="auto"/>
              <w:ind w:left="41" w:firstLine="529"/>
              <w:rPr>
                <w:sz w:val="24"/>
                <w:szCs w:val="24"/>
              </w:rPr>
            </w:pPr>
            <w:r>
              <w:rPr>
                <w:sz w:val="24"/>
                <w:szCs w:val="24"/>
              </w:rPr>
              <w:t>光伏发电原理：光伏发电是利用半导体界面的光生伏特效应而将光能直接转</w:t>
            </w:r>
            <w:r>
              <w:rPr>
                <w:spacing w:val="6"/>
                <w:sz w:val="24"/>
                <w:szCs w:val="24"/>
              </w:rPr>
              <w:t xml:space="preserve"> </w:t>
            </w:r>
            <w:r>
              <w:rPr>
                <w:sz w:val="24"/>
                <w:szCs w:val="24"/>
              </w:rPr>
              <w:t>变为电能的一种技术。这种技术的关键元件是太</w:t>
            </w:r>
            <w:r>
              <w:rPr>
                <w:spacing w:val="-1"/>
                <w:sz w:val="24"/>
                <w:szCs w:val="24"/>
              </w:rPr>
              <w:t>阳能电池。太阳能电池经过串联</w:t>
            </w:r>
            <w:r>
              <w:rPr>
                <w:sz w:val="24"/>
                <w:szCs w:val="24"/>
              </w:rPr>
              <w:t xml:space="preserve"> 后进行封装保护可形成大面积的太阳电池组件，再配合上功率控制器等部件就形</w:t>
            </w:r>
            <w:r>
              <w:rPr>
                <w:spacing w:val="6"/>
                <w:sz w:val="24"/>
                <w:szCs w:val="24"/>
              </w:rPr>
              <w:t xml:space="preserve"> </w:t>
            </w:r>
            <w:r>
              <w:rPr>
                <w:spacing w:val="1"/>
                <w:sz w:val="24"/>
                <w:szCs w:val="24"/>
              </w:rPr>
              <w:t>成了光伏发电装置。太阳光照在半导体p-n结上，形成新的空穴-电子对，在p-n</w:t>
            </w:r>
            <w:r>
              <w:rPr>
                <w:spacing w:val="3"/>
                <w:sz w:val="24"/>
                <w:szCs w:val="24"/>
              </w:rPr>
              <w:t xml:space="preserve">  </w:t>
            </w:r>
            <w:r>
              <w:rPr>
                <w:spacing w:val="2"/>
                <w:sz w:val="24"/>
                <w:szCs w:val="24"/>
              </w:rPr>
              <w:t>结内建电场的作用下，空穴由n区流向p区，电子由p区流向n区，接通电路后</w:t>
            </w:r>
          </w:p>
          <w:p w14:paraId="7E06146F">
            <w:pPr>
              <w:pStyle w:val="6"/>
              <w:spacing w:line="219" w:lineRule="auto"/>
              <w:ind w:left="101"/>
              <w:rPr>
                <w:sz w:val="24"/>
                <w:szCs w:val="24"/>
              </w:rPr>
            </w:pPr>
            <w:r>
              <w:rPr>
                <w:sz w:val="24"/>
                <w:szCs w:val="24"/>
              </w:rPr>
              <w:t>就形成电流。这就是光电效应太阳能电池的工作原</w:t>
            </w:r>
            <w:r>
              <w:rPr>
                <w:spacing w:val="-1"/>
                <w:sz w:val="24"/>
                <w:szCs w:val="24"/>
              </w:rPr>
              <w:t>理。</w:t>
            </w:r>
          </w:p>
          <w:p w14:paraId="1FD90BA4">
            <w:pPr>
              <w:pStyle w:val="6"/>
              <w:spacing w:before="183" w:line="219" w:lineRule="auto"/>
              <w:ind w:left="460"/>
              <w:rPr>
                <w:sz w:val="24"/>
                <w:szCs w:val="24"/>
              </w:rPr>
            </w:pPr>
            <w:r>
              <w:rPr>
                <w:spacing w:val="-3"/>
                <w:sz w:val="24"/>
                <w:szCs w:val="24"/>
              </w:rPr>
              <w:t>光—电直接转换方式该方式是利用光伏效应，将太阳</w:t>
            </w:r>
            <w:r>
              <w:rPr>
                <w:spacing w:val="-4"/>
                <w:sz w:val="24"/>
                <w:szCs w:val="24"/>
              </w:rPr>
              <w:t>辐射能直接转换成电</w:t>
            </w:r>
          </w:p>
          <w:p w14:paraId="04B206EA">
            <w:pPr>
              <w:pStyle w:val="6"/>
              <w:spacing w:before="199" w:line="353" w:lineRule="auto"/>
              <w:ind w:left="41" w:right="34" w:firstLine="60"/>
              <w:rPr>
                <w:sz w:val="24"/>
                <w:szCs w:val="24"/>
              </w:rPr>
            </w:pPr>
            <w:r>
              <w:rPr>
                <w:spacing w:val="-3"/>
                <w:sz w:val="24"/>
                <w:szCs w:val="24"/>
              </w:rPr>
              <w:t>能，光—电转换的基本装置就是太阳能电池。太阳能电池是一种由</w:t>
            </w:r>
            <w:r>
              <w:rPr>
                <w:spacing w:val="-4"/>
                <w:sz w:val="24"/>
                <w:szCs w:val="24"/>
              </w:rPr>
              <w:t>于光生伏特效</w:t>
            </w:r>
            <w:r>
              <w:rPr>
                <w:sz w:val="24"/>
                <w:szCs w:val="24"/>
              </w:rPr>
              <w:t xml:space="preserve"> 应而将太阳光能直接转化为电能的器件，是一个半导体光电二极管，当太阳光照</w:t>
            </w:r>
            <w:r>
              <w:rPr>
                <w:spacing w:val="18"/>
                <w:sz w:val="24"/>
                <w:szCs w:val="24"/>
              </w:rPr>
              <w:t xml:space="preserve"> </w:t>
            </w:r>
            <w:r>
              <w:rPr>
                <w:spacing w:val="1"/>
                <w:sz w:val="24"/>
                <w:szCs w:val="24"/>
              </w:rPr>
              <w:t>到光电二极管上时，光电二极管就会把太阳的光</w:t>
            </w:r>
            <w:r>
              <w:rPr>
                <w:sz w:val="24"/>
                <w:szCs w:val="24"/>
              </w:rPr>
              <w:t>能变成电能，产生电流。当许多 个电池串联或并联起来就可以成为有比较大的输出功率</w:t>
            </w:r>
            <w:r>
              <w:rPr>
                <w:spacing w:val="-1"/>
                <w:sz w:val="24"/>
                <w:szCs w:val="24"/>
              </w:rPr>
              <w:t>的太阳能电池方阵了。太</w:t>
            </w:r>
            <w:r>
              <w:rPr>
                <w:sz w:val="24"/>
                <w:szCs w:val="24"/>
              </w:rPr>
              <w:t xml:space="preserve"> </w:t>
            </w:r>
            <w:r>
              <w:rPr>
                <w:spacing w:val="2"/>
                <w:sz w:val="24"/>
                <w:szCs w:val="24"/>
              </w:rPr>
              <w:t>阳能电池是-种大有前途的新型电源，具有永久性、清洁性和灵活性三大优点太</w:t>
            </w:r>
            <w:r>
              <w:rPr>
                <w:sz w:val="24"/>
                <w:szCs w:val="24"/>
              </w:rPr>
              <w:t xml:space="preserve"> 阳能电池寿命长，只要太阳存在，太阳能电池就可以一次投资而长期使用；与火</w:t>
            </w:r>
            <w:r>
              <w:rPr>
                <w:spacing w:val="8"/>
                <w:sz w:val="24"/>
                <w:szCs w:val="24"/>
              </w:rPr>
              <w:t xml:space="preserve"> </w:t>
            </w:r>
            <w:r>
              <w:rPr>
                <w:spacing w:val="2"/>
                <w:sz w:val="24"/>
                <w:szCs w:val="24"/>
              </w:rPr>
              <w:t>力发电、核能发电相比，太阳能电池不会引起环境污染。</w:t>
            </w:r>
          </w:p>
        </w:tc>
      </w:tr>
    </w:tbl>
    <w:p w14:paraId="51683D15">
      <w:pPr>
        <w:pStyle w:val="2"/>
      </w:pPr>
    </w:p>
    <w:p w14:paraId="50A9DFF5">
      <w:pPr>
        <w:sectPr>
          <w:headerReference r:id="rId150" w:type="default"/>
          <w:footerReference r:id="rId151" w:type="default"/>
          <w:pgSz w:w="11910" w:h="16830"/>
          <w:pgMar w:top="400" w:right="1262" w:bottom="1259" w:left="1254" w:header="0" w:footer="1079" w:gutter="0"/>
          <w:cols w:space="720" w:num="1"/>
        </w:sectPr>
      </w:pPr>
    </w:p>
    <w:p w14:paraId="0A4A602C">
      <w:pPr>
        <w:spacing w:before="15"/>
      </w:pPr>
    </w:p>
    <w:p w14:paraId="2764D0B8">
      <w:pPr>
        <w:spacing w:before="15"/>
      </w:pPr>
    </w:p>
    <w:p w14:paraId="3859BF10">
      <w:pPr>
        <w:spacing w:before="15"/>
      </w:pPr>
    </w:p>
    <w:p w14:paraId="1C7A223B">
      <w:pPr>
        <w:spacing w:before="14"/>
      </w:pPr>
    </w:p>
    <w:tbl>
      <w:tblPr>
        <w:tblStyle w:val="5"/>
        <w:tblW w:w="93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4"/>
        <w:gridCol w:w="3771"/>
        <w:gridCol w:w="4715"/>
      </w:tblGrid>
      <w:tr w14:paraId="693A8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5" w:hRule="atLeast"/>
        </w:trPr>
        <w:tc>
          <w:tcPr>
            <w:tcW w:w="894" w:type="dxa"/>
            <w:vMerge w:val="restart"/>
            <w:tcBorders>
              <w:bottom w:val="nil"/>
            </w:tcBorders>
            <w:vAlign w:val="top"/>
          </w:tcPr>
          <w:p w14:paraId="7794EF61">
            <w:pPr>
              <w:rPr>
                <w:rFonts w:ascii="Arial"/>
                <w:sz w:val="21"/>
              </w:rPr>
            </w:pPr>
          </w:p>
        </w:tc>
        <w:tc>
          <w:tcPr>
            <w:tcW w:w="8486" w:type="dxa"/>
            <w:gridSpan w:val="2"/>
            <w:tcBorders>
              <w:bottom w:val="nil"/>
            </w:tcBorders>
            <w:vAlign w:val="top"/>
          </w:tcPr>
          <w:p w14:paraId="1B9F4F11">
            <w:pPr>
              <w:spacing w:line="358" w:lineRule="auto"/>
              <w:rPr>
                <w:rFonts w:ascii="Arial"/>
                <w:sz w:val="21"/>
              </w:rPr>
            </w:pPr>
          </w:p>
          <w:p w14:paraId="6D66EFF1">
            <w:pPr>
              <w:spacing w:line="358" w:lineRule="auto"/>
              <w:rPr>
                <w:rFonts w:ascii="Arial"/>
                <w:sz w:val="21"/>
              </w:rPr>
            </w:pPr>
          </w:p>
          <w:p w14:paraId="1CBC713A">
            <w:pPr>
              <w:pStyle w:val="6"/>
              <w:spacing w:before="75" w:line="160" w:lineRule="auto"/>
              <w:ind w:left="4711"/>
              <w:rPr>
                <w:sz w:val="23"/>
                <w:szCs w:val="23"/>
              </w:rPr>
            </w:pPr>
            <w:r>
              <w:drawing>
                <wp:anchor distT="0" distB="0" distL="0" distR="0" simplePos="0" relativeHeight="251705344" behindDoc="1" locked="0" layoutInCell="1" allowOverlap="1">
                  <wp:simplePos x="0" y="0"/>
                  <wp:positionH relativeFrom="column">
                    <wp:posOffset>178435</wp:posOffset>
                  </wp:positionH>
                  <wp:positionV relativeFrom="paragraph">
                    <wp:posOffset>-441325</wp:posOffset>
                  </wp:positionV>
                  <wp:extent cx="5048250" cy="1797050"/>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307"/>
                          <a:stretch>
                            <a:fillRect/>
                          </a:stretch>
                        </pic:blipFill>
                        <pic:spPr>
                          <a:xfrm>
                            <a:off x="0" y="0"/>
                            <a:ext cx="5048277" cy="1797027"/>
                          </a:xfrm>
                          <a:prstGeom prst="rect">
                            <a:avLst/>
                          </a:prstGeom>
                        </pic:spPr>
                      </pic:pic>
                    </a:graphicData>
                  </a:graphic>
                </wp:anchor>
              </w:drawing>
            </w:r>
            <w:r>
              <w:rPr>
                <w:spacing w:val="-1"/>
                <w:sz w:val="23"/>
                <w:szCs w:val="23"/>
              </w:rPr>
              <w:t>PN结</w:t>
            </w:r>
          </w:p>
          <w:p w14:paraId="1EB3AA27">
            <w:pPr>
              <w:pStyle w:val="6"/>
              <w:spacing w:line="202" w:lineRule="auto"/>
              <w:ind w:left="1761"/>
              <w:rPr>
                <w:sz w:val="23"/>
                <w:szCs w:val="23"/>
              </w:rPr>
            </w:pPr>
            <w:r>
              <w:rPr>
                <w:spacing w:val="-1"/>
                <w:sz w:val="23"/>
                <w:szCs w:val="23"/>
              </w:rPr>
              <w:t>N型</w:t>
            </w:r>
          </w:p>
          <w:p w14:paraId="047B9038">
            <w:pPr>
              <w:spacing w:line="300" w:lineRule="auto"/>
              <w:rPr>
                <w:rFonts w:ascii="Arial"/>
                <w:sz w:val="21"/>
              </w:rPr>
            </w:pPr>
          </w:p>
          <w:p w14:paraId="55FD2E87">
            <w:pPr>
              <w:pStyle w:val="6"/>
              <w:spacing w:before="75" w:line="186" w:lineRule="auto"/>
              <w:ind w:left="4631"/>
              <w:rPr>
                <w:sz w:val="23"/>
                <w:szCs w:val="23"/>
              </w:rPr>
            </w:pPr>
            <w:r>
              <w:pict>
                <v:shape id="_x0000_s1098" o:spid="_x0000_s1098" o:spt="202" type="#_x0000_t202" style="position:absolute;left:0pt;margin-left:339.55pt;margin-top:-10.4pt;height:46pt;width:21pt;z-index:251707392;mso-width-relative:page;mso-height-relative:page;" filled="f" stroked="f" coordsize="21600,21600">
                  <v:path/>
                  <v:fill on="f" focussize="0,0"/>
                  <v:stroke on="f"/>
                  <v:imagedata o:title=""/>
                  <o:lock v:ext="edit" aspectratio="f"/>
                  <v:textbox inset="0mm,0mm,0mm,0mm">
                    <w:txbxContent>
                      <w:p w14:paraId="7F60495F">
                        <w:pPr>
                          <w:pStyle w:val="6"/>
                          <w:spacing w:before="20" w:line="361" w:lineRule="auto"/>
                          <w:ind w:left="40" w:right="20" w:hanging="20"/>
                          <w:rPr>
                            <w:sz w:val="23"/>
                            <w:szCs w:val="23"/>
                          </w:rPr>
                        </w:pPr>
                        <w:r>
                          <w:rPr>
                            <w:spacing w:val="-1"/>
                            <w:sz w:val="23"/>
                            <w:szCs w:val="23"/>
                          </w:rPr>
                          <w:t>N区</w:t>
                        </w:r>
                        <w:r>
                          <w:rPr>
                            <w:sz w:val="23"/>
                            <w:szCs w:val="23"/>
                          </w:rPr>
                          <w:t xml:space="preserve"> </w:t>
                        </w:r>
                        <w:r>
                          <w:rPr>
                            <w:spacing w:val="7"/>
                            <w:sz w:val="23"/>
                            <w:szCs w:val="23"/>
                          </w:rPr>
                          <w:t>P区</w:t>
                        </w:r>
                      </w:p>
                    </w:txbxContent>
                  </v:textbox>
                </v:shape>
              </w:pict>
            </w:r>
            <w:r>
              <w:pict>
                <v:shape id="_x0000_s1099" o:spid="_x0000_s1099" o:spt="202" type="#_x0000_t202" style="position:absolute;left:0pt;margin-left:64.05pt;margin-top:4.35pt;height:15.8pt;width:36.25pt;z-index:251706368;mso-width-relative:page;mso-height-relative:page;" filled="f" stroked="f" coordsize="21600,21600">
                  <v:path/>
                  <v:fill on="f" focussize="0,0"/>
                  <v:stroke on="f"/>
                  <v:imagedata o:title=""/>
                  <o:lock v:ext="edit" aspectratio="f"/>
                  <v:textbox inset="0mm,0mm,0mm,0mm">
                    <w:txbxContent>
                      <w:p w14:paraId="1154A046">
                        <w:pPr>
                          <w:pStyle w:val="6"/>
                          <w:spacing w:before="19" w:line="221" w:lineRule="auto"/>
                          <w:ind w:left="20"/>
                          <w:rPr>
                            <w:sz w:val="23"/>
                            <w:szCs w:val="23"/>
                          </w:rPr>
                        </w:pPr>
                        <w:r>
                          <w:rPr>
                            <w:spacing w:val="-1"/>
                            <w:sz w:val="23"/>
                            <w:szCs w:val="23"/>
                          </w:rPr>
                          <w:t>PN结合</w:t>
                        </w:r>
                      </w:p>
                    </w:txbxContent>
                  </v:textbox>
                </v:shape>
              </w:pict>
            </w:r>
            <w:r>
              <w:rPr>
                <w:spacing w:val="16"/>
                <w:sz w:val="23"/>
                <w:szCs w:val="23"/>
              </w:rPr>
              <w:t>电势</w:t>
            </w:r>
          </w:p>
          <w:p w14:paraId="747B3317">
            <w:pPr>
              <w:pStyle w:val="6"/>
              <w:spacing w:line="220" w:lineRule="auto"/>
              <w:ind w:left="5491"/>
              <w:rPr>
                <w:sz w:val="23"/>
                <w:szCs w:val="23"/>
              </w:rPr>
            </w:pPr>
            <w:r>
              <w:rPr>
                <w:sz w:val="23"/>
                <w:szCs w:val="23"/>
              </w:rPr>
              <w:t>十</w:t>
            </w:r>
          </w:p>
          <w:p w14:paraId="37BB4571">
            <w:pPr>
              <w:pStyle w:val="6"/>
              <w:spacing w:before="213" w:line="227" w:lineRule="auto"/>
              <w:ind w:left="1681"/>
              <w:rPr>
                <w:sz w:val="23"/>
                <w:szCs w:val="23"/>
              </w:rPr>
            </w:pPr>
            <w:r>
              <w:rPr>
                <w:spacing w:val="-1"/>
                <w:sz w:val="23"/>
                <w:szCs w:val="23"/>
              </w:rPr>
              <w:t>P型</w:t>
            </w:r>
          </w:p>
        </w:tc>
      </w:tr>
      <w:tr w14:paraId="267EB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3" w:hRule="atLeast"/>
        </w:trPr>
        <w:tc>
          <w:tcPr>
            <w:tcW w:w="894" w:type="dxa"/>
            <w:vMerge w:val="continue"/>
            <w:tcBorders>
              <w:top w:val="nil"/>
              <w:bottom w:val="nil"/>
            </w:tcBorders>
            <w:vAlign w:val="top"/>
          </w:tcPr>
          <w:p w14:paraId="20A98298">
            <w:pPr>
              <w:rPr>
                <w:rFonts w:ascii="Arial"/>
                <w:sz w:val="21"/>
              </w:rPr>
            </w:pPr>
          </w:p>
        </w:tc>
        <w:tc>
          <w:tcPr>
            <w:tcW w:w="8486" w:type="dxa"/>
            <w:gridSpan w:val="2"/>
            <w:tcBorders>
              <w:top w:val="nil"/>
              <w:bottom w:val="nil"/>
            </w:tcBorders>
            <w:vAlign w:val="top"/>
          </w:tcPr>
          <w:p w14:paraId="6CF79BEB">
            <w:pPr>
              <w:pStyle w:val="6"/>
              <w:spacing w:before="144" w:line="219" w:lineRule="auto"/>
              <w:ind w:left="2634"/>
              <w:rPr>
                <w:sz w:val="23"/>
                <w:szCs w:val="23"/>
              </w:rPr>
            </w:pPr>
            <w:r>
              <w:rPr>
                <w:b/>
                <w:bCs/>
                <w:spacing w:val="-2"/>
                <w:sz w:val="23"/>
                <w:szCs w:val="23"/>
              </w:rPr>
              <w:t>图4-2</w:t>
            </w:r>
            <w:r>
              <w:rPr>
                <w:spacing w:val="-2"/>
                <w:sz w:val="23"/>
                <w:szCs w:val="23"/>
              </w:rPr>
              <w:t xml:space="preserve">   </w:t>
            </w:r>
            <w:r>
              <w:rPr>
                <w:b/>
                <w:bCs/>
                <w:spacing w:val="-2"/>
                <w:sz w:val="23"/>
                <w:szCs w:val="23"/>
              </w:rPr>
              <w:t>太阳能光伏发电原理</w:t>
            </w:r>
          </w:p>
          <w:p w14:paraId="48D35D6C">
            <w:pPr>
              <w:pStyle w:val="6"/>
              <w:spacing w:before="179" w:line="374" w:lineRule="auto"/>
              <w:ind w:left="121" w:right="79" w:firstLine="449"/>
              <w:rPr>
                <w:sz w:val="23"/>
                <w:szCs w:val="23"/>
              </w:rPr>
            </w:pPr>
            <w:r>
              <w:rPr>
                <w:sz w:val="23"/>
                <w:szCs w:val="23"/>
              </w:rPr>
              <w:t>工艺流程：本项目为光伏发电项目。项目太阳</w:t>
            </w:r>
            <w:r>
              <w:rPr>
                <w:spacing w:val="-1"/>
                <w:sz w:val="23"/>
                <w:szCs w:val="23"/>
              </w:rPr>
              <w:t>能电池子方阵由太阳能电池组</w:t>
            </w:r>
            <w:r>
              <w:rPr>
                <w:sz w:val="23"/>
                <w:szCs w:val="23"/>
              </w:rPr>
              <w:t xml:space="preserve">   串、逆变设备及升压设备构成。太阳能电池组件经日光照射后，形成</w:t>
            </w:r>
            <w:r>
              <w:rPr>
                <w:spacing w:val="-1"/>
                <w:sz w:val="23"/>
                <w:szCs w:val="23"/>
              </w:rPr>
              <w:t>低压直流电，</w:t>
            </w:r>
          </w:p>
          <w:p w14:paraId="32048BDD">
            <w:pPr>
              <w:pStyle w:val="6"/>
              <w:spacing w:line="375" w:lineRule="auto"/>
              <w:ind w:left="111" w:right="528" w:firstLine="10"/>
              <w:rPr>
                <w:sz w:val="23"/>
                <w:szCs w:val="23"/>
              </w:rPr>
            </w:pPr>
            <w:r>
              <w:rPr>
                <w:sz w:val="23"/>
                <w:szCs w:val="23"/>
              </w:rPr>
              <w:t>电池组件并联后的直流电经电缆送至逆变器，逆变后的交流电经电缆引至35kV</w:t>
            </w:r>
            <w:r>
              <w:rPr>
                <w:spacing w:val="5"/>
                <w:sz w:val="23"/>
                <w:szCs w:val="23"/>
              </w:rPr>
              <w:t xml:space="preserve"> </w:t>
            </w:r>
            <w:r>
              <w:rPr>
                <w:sz w:val="23"/>
                <w:szCs w:val="23"/>
              </w:rPr>
              <w:t>箱式升压变压器，电压由交流0.8kV升至35kV,后通过</w:t>
            </w:r>
            <w:r>
              <w:rPr>
                <w:spacing w:val="-1"/>
                <w:sz w:val="23"/>
                <w:szCs w:val="23"/>
              </w:rPr>
              <w:t>集电线路接入110kV升</w:t>
            </w:r>
          </w:p>
          <w:p w14:paraId="593E9BD9">
            <w:pPr>
              <w:pStyle w:val="6"/>
              <w:spacing w:before="9" w:line="222" w:lineRule="auto"/>
              <w:ind w:left="101"/>
              <w:rPr>
                <w:sz w:val="23"/>
                <w:szCs w:val="23"/>
              </w:rPr>
            </w:pPr>
            <w:r>
              <w:rPr>
                <w:spacing w:val="-2"/>
                <w:sz w:val="23"/>
                <w:szCs w:val="23"/>
              </w:rPr>
              <w:t>压站。</w:t>
            </w:r>
          </w:p>
          <w:p w14:paraId="2F777427">
            <w:pPr>
              <w:pStyle w:val="6"/>
              <w:spacing w:before="208" w:line="219" w:lineRule="auto"/>
              <w:ind w:left="611"/>
              <w:rPr>
                <w:sz w:val="23"/>
                <w:szCs w:val="23"/>
              </w:rPr>
            </w:pPr>
            <w:r>
              <w:rPr>
                <w:sz w:val="23"/>
                <w:szCs w:val="23"/>
              </w:rPr>
              <w:t>本项目光伏发电工艺流程及主要产污环节见图4-2。</w:t>
            </w:r>
          </w:p>
          <w:p w14:paraId="46466D93">
            <w:pPr>
              <w:pStyle w:val="6"/>
              <w:spacing w:before="269" w:line="220" w:lineRule="auto"/>
              <w:ind w:left="2401"/>
              <w:rPr>
                <w:sz w:val="23"/>
                <w:szCs w:val="23"/>
              </w:rPr>
            </w:pPr>
            <w:r>
              <w:rPr>
                <w:spacing w:val="3"/>
                <w:sz w:val="23"/>
                <w:szCs w:val="23"/>
              </w:rPr>
              <w:t>太阳能</w:t>
            </w:r>
          </w:p>
        </w:tc>
      </w:tr>
      <w:tr w14:paraId="33BD4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4" w:hRule="atLeast"/>
        </w:trPr>
        <w:tc>
          <w:tcPr>
            <w:tcW w:w="894" w:type="dxa"/>
            <w:vMerge w:val="continue"/>
            <w:tcBorders>
              <w:top w:val="nil"/>
              <w:bottom w:val="nil"/>
            </w:tcBorders>
            <w:vAlign w:val="top"/>
          </w:tcPr>
          <w:p w14:paraId="01DEAAEB">
            <w:pPr>
              <w:rPr>
                <w:rFonts w:ascii="Arial"/>
                <w:sz w:val="21"/>
              </w:rPr>
            </w:pPr>
          </w:p>
        </w:tc>
        <w:tc>
          <w:tcPr>
            <w:tcW w:w="3771" w:type="dxa"/>
            <w:tcBorders>
              <w:top w:val="nil"/>
              <w:bottom w:val="nil"/>
              <w:right w:val="nil"/>
            </w:tcBorders>
            <w:vAlign w:val="top"/>
          </w:tcPr>
          <w:p w14:paraId="0C18FDCC">
            <w:pPr>
              <w:spacing w:line="387" w:lineRule="auto"/>
              <w:rPr>
                <w:rFonts w:ascii="Arial"/>
                <w:sz w:val="21"/>
              </w:rPr>
            </w:pPr>
          </w:p>
          <w:p w14:paraId="0916AB68">
            <w:pPr>
              <w:pStyle w:val="6"/>
              <w:spacing w:before="75" w:line="219" w:lineRule="auto"/>
              <w:ind w:left="2301"/>
              <w:rPr>
                <w:sz w:val="23"/>
                <w:szCs w:val="23"/>
              </w:rPr>
            </w:pPr>
            <w:r>
              <w:rPr>
                <w:spacing w:val="2"/>
                <w:sz w:val="23"/>
                <w:szCs w:val="23"/>
              </w:rPr>
              <w:t>光伏方阵</w:t>
            </w:r>
          </w:p>
          <w:p w14:paraId="1A191FDC">
            <w:pPr>
              <w:spacing w:line="260" w:lineRule="auto"/>
              <w:rPr>
                <w:rFonts w:ascii="Arial"/>
                <w:sz w:val="21"/>
              </w:rPr>
            </w:pPr>
          </w:p>
          <w:p w14:paraId="3593266E">
            <w:pPr>
              <w:spacing w:line="260" w:lineRule="auto"/>
              <w:rPr>
                <w:rFonts w:ascii="Arial"/>
                <w:sz w:val="21"/>
              </w:rPr>
            </w:pPr>
          </w:p>
          <w:p w14:paraId="079E0D50">
            <w:pPr>
              <w:spacing w:line="260" w:lineRule="auto"/>
              <w:rPr>
                <w:rFonts w:ascii="Arial"/>
                <w:sz w:val="21"/>
              </w:rPr>
            </w:pPr>
          </w:p>
          <w:p w14:paraId="2B059E00">
            <w:pPr>
              <w:pStyle w:val="6"/>
              <w:spacing w:before="75" w:line="221" w:lineRule="auto"/>
              <w:ind w:left="2381"/>
              <w:rPr>
                <w:sz w:val="23"/>
                <w:szCs w:val="23"/>
              </w:rPr>
            </w:pPr>
            <w:r>
              <w:rPr>
                <w:spacing w:val="-2"/>
                <w:sz w:val="23"/>
                <w:szCs w:val="23"/>
              </w:rPr>
              <w:t>逆变器</w:t>
            </w:r>
          </w:p>
        </w:tc>
        <w:tc>
          <w:tcPr>
            <w:tcW w:w="4715" w:type="dxa"/>
            <w:tcBorders>
              <w:top w:val="nil"/>
              <w:left w:val="nil"/>
              <w:bottom w:val="nil"/>
            </w:tcBorders>
            <w:vAlign w:val="top"/>
          </w:tcPr>
          <w:p w14:paraId="33BABD21">
            <w:pPr>
              <w:spacing w:line="270" w:lineRule="auto"/>
              <w:rPr>
                <w:rFonts w:ascii="Arial"/>
                <w:sz w:val="21"/>
              </w:rPr>
            </w:pPr>
          </w:p>
          <w:p w14:paraId="3024E3D4">
            <w:pPr>
              <w:pStyle w:val="6"/>
              <w:spacing w:before="75" w:line="209" w:lineRule="auto"/>
              <w:ind w:left="535" w:right="2553"/>
              <w:rPr>
                <w:sz w:val="23"/>
                <w:szCs w:val="23"/>
              </w:rPr>
            </w:pPr>
            <w:r>
              <w:rPr>
                <w:spacing w:val="1"/>
                <w:sz w:val="23"/>
                <w:szCs w:val="23"/>
              </w:rPr>
              <w:t>清洗废水、报废</w:t>
            </w:r>
            <w:r>
              <w:rPr>
                <w:spacing w:val="3"/>
                <w:sz w:val="23"/>
                <w:szCs w:val="23"/>
              </w:rPr>
              <w:t xml:space="preserve"> </w:t>
            </w:r>
            <w:r>
              <w:rPr>
                <w:spacing w:val="1"/>
                <w:sz w:val="23"/>
                <w:szCs w:val="23"/>
              </w:rPr>
              <w:t>的太阳能电池板</w:t>
            </w:r>
          </w:p>
          <w:p w14:paraId="7D0A83B7">
            <w:pPr>
              <w:spacing w:line="305" w:lineRule="auto"/>
              <w:rPr>
                <w:rFonts w:ascii="Arial"/>
                <w:sz w:val="21"/>
              </w:rPr>
            </w:pPr>
          </w:p>
          <w:p w14:paraId="36C3E624">
            <w:pPr>
              <w:spacing w:line="305" w:lineRule="auto"/>
              <w:rPr>
                <w:rFonts w:ascii="Arial"/>
                <w:sz w:val="21"/>
              </w:rPr>
            </w:pPr>
          </w:p>
          <w:p w14:paraId="0BDFEFA3">
            <w:pPr>
              <w:pStyle w:val="6"/>
              <w:spacing w:before="75" w:line="220" w:lineRule="auto"/>
              <w:ind w:left="555"/>
              <w:rPr>
                <w:sz w:val="23"/>
                <w:szCs w:val="23"/>
              </w:rPr>
            </w:pPr>
            <w:r>
              <w:rPr>
                <w:spacing w:val="7"/>
                <w:sz w:val="23"/>
                <w:szCs w:val="23"/>
              </w:rPr>
              <w:t>噪声</w:t>
            </w:r>
          </w:p>
        </w:tc>
      </w:tr>
      <w:tr w14:paraId="7E1CB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7" w:hRule="atLeast"/>
        </w:trPr>
        <w:tc>
          <w:tcPr>
            <w:tcW w:w="894" w:type="dxa"/>
            <w:vMerge w:val="continue"/>
            <w:tcBorders>
              <w:top w:val="nil"/>
            </w:tcBorders>
            <w:vAlign w:val="top"/>
          </w:tcPr>
          <w:p w14:paraId="7452D59D">
            <w:pPr>
              <w:rPr>
                <w:rFonts w:ascii="Arial"/>
                <w:sz w:val="21"/>
              </w:rPr>
            </w:pPr>
          </w:p>
        </w:tc>
        <w:tc>
          <w:tcPr>
            <w:tcW w:w="8486" w:type="dxa"/>
            <w:gridSpan w:val="2"/>
            <w:tcBorders>
              <w:top w:val="nil"/>
            </w:tcBorders>
            <w:vAlign w:val="top"/>
          </w:tcPr>
          <w:p w14:paraId="1C2FA570">
            <w:pPr>
              <w:spacing w:line="375" w:lineRule="auto"/>
              <w:rPr>
                <w:rFonts w:ascii="Arial"/>
                <w:sz w:val="21"/>
              </w:rPr>
            </w:pPr>
          </w:p>
          <w:p w14:paraId="1997AB79">
            <w:pPr>
              <w:pStyle w:val="6"/>
              <w:spacing w:before="74" w:line="228" w:lineRule="auto"/>
              <w:ind w:left="2301"/>
              <w:rPr>
                <w:sz w:val="23"/>
                <w:szCs w:val="23"/>
              </w:rPr>
            </w:pPr>
            <w:r>
              <w:rPr>
                <w:spacing w:val="3"/>
                <w:sz w:val="23"/>
                <w:szCs w:val="23"/>
              </w:rPr>
              <w:t>35</w:t>
            </w:r>
            <w:r>
              <w:rPr>
                <w:sz w:val="23"/>
                <w:szCs w:val="23"/>
              </w:rPr>
              <w:t>kV</w:t>
            </w:r>
            <w:r>
              <w:rPr>
                <w:spacing w:val="3"/>
                <w:sz w:val="23"/>
                <w:szCs w:val="23"/>
              </w:rPr>
              <w:t>箱变</w:t>
            </w:r>
            <w:r>
              <w:rPr>
                <w:sz w:val="23"/>
                <w:szCs w:val="23"/>
              </w:rPr>
              <w:t xml:space="preserve">        </w:t>
            </w:r>
            <w:r>
              <w:rPr>
                <w:spacing w:val="3"/>
                <w:sz w:val="23"/>
                <w:szCs w:val="23"/>
              </w:rPr>
              <w:t>噪声、检修废油</w:t>
            </w:r>
          </w:p>
          <w:p w14:paraId="6F94ABAB">
            <w:pPr>
              <w:spacing w:line="338" w:lineRule="auto"/>
              <w:rPr>
                <w:rFonts w:ascii="Arial"/>
                <w:sz w:val="21"/>
              </w:rPr>
            </w:pPr>
          </w:p>
          <w:p w14:paraId="408B00C6">
            <w:pPr>
              <w:spacing w:line="338" w:lineRule="auto"/>
              <w:rPr>
                <w:rFonts w:ascii="Arial"/>
                <w:sz w:val="21"/>
              </w:rPr>
            </w:pPr>
          </w:p>
          <w:p w14:paraId="035A1DF0">
            <w:pPr>
              <w:pStyle w:val="6"/>
              <w:spacing w:before="75" w:line="174" w:lineRule="auto"/>
              <w:ind w:left="2291"/>
              <w:rPr>
                <w:sz w:val="23"/>
                <w:szCs w:val="23"/>
              </w:rPr>
            </w:pPr>
            <w:r>
              <w:rPr>
                <w:spacing w:val="6"/>
                <w:position w:val="-3"/>
                <w:sz w:val="23"/>
                <w:szCs w:val="23"/>
              </w:rPr>
              <w:t xml:space="preserve">110升压站       </w:t>
            </w:r>
            <w:r>
              <w:rPr>
                <w:spacing w:val="6"/>
                <w:position w:val="2"/>
                <w:sz w:val="23"/>
                <w:szCs w:val="23"/>
              </w:rPr>
              <w:t>噪声、检修和事故废油、</w:t>
            </w:r>
          </w:p>
          <w:p w14:paraId="3416CE79">
            <w:pPr>
              <w:pStyle w:val="6"/>
              <w:spacing w:line="199" w:lineRule="auto"/>
              <w:ind w:left="4411"/>
              <w:rPr>
                <w:sz w:val="23"/>
                <w:szCs w:val="23"/>
              </w:rPr>
            </w:pPr>
            <w:r>
              <w:rPr>
                <w:spacing w:val="1"/>
                <w:sz w:val="23"/>
                <w:szCs w:val="23"/>
              </w:rPr>
              <w:t>工频电场、工频磁场</w:t>
            </w:r>
          </w:p>
          <w:p w14:paraId="6D401F7C">
            <w:pPr>
              <w:spacing w:line="338" w:lineRule="auto"/>
              <w:rPr>
                <w:rFonts w:ascii="Arial"/>
                <w:sz w:val="21"/>
              </w:rPr>
            </w:pPr>
          </w:p>
          <w:p w14:paraId="139BD5C3">
            <w:pPr>
              <w:spacing w:line="338" w:lineRule="auto"/>
              <w:rPr>
                <w:rFonts w:ascii="Arial"/>
                <w:sz w:val="21"/>
              </w:rPr>
            </w:pPr>
          </w:p>
          <w:p w14:paraId="1D0AAE5C">
            <w:pPr>
              <w:pStyle w:val="6"/>
              <w:spacing w:before="75" w:line="219" w:lineRule="auto"/>
              <w:ind w:left="2311"/>
              <w:rPr>
                <w:sz w:val="23"/>
                <w:szCs w:val="23"/>
              </w:rPr>
            </w:pPr>
            <w:r>
              <w:rPr>
                <w:spacing w:val="5"/>
                <w:sz w:val="23"/>
                <w:szCs w:val="23"/>
              </w:rPr>
              <w:t>公共电网</w:t>
            </w:r>
          </w:p>
        </w:tc>
      </w:tr>
    </w:tbl>
    <w:p w14:paraId="1A511CF3">
      <w:pPr>
        <w:pStyle w:val="2"/>
      </w:pPr>
    </w:p>
    <w:p w14:paraId="08872C1B">
      <w:pPr>
        <w:sectPr>
          <w:headerReference r:id="rId152" w:type="default"/>
          <w:footerReference r:id="rId153" w:type="default"/>
          <w:pgSz w:w="11910" w:h="16830"/>
          <w:pgMar w:top="400" w:right="1284" w:bottom="1259" w:left="1234" w:header="0" w:footer="1079" w:gutter="0"/>
          <w:cols w:space="720" w:num="1"/>
        </w:sectPr>
      </w:pPr>
    </w:p>
    <w:p w14:paraId="15AF08C0">
      <w:pPr>
        <w:spacing w:before="15"/>
      </w:pPr>
    </w:p>
    <w:p w14:paraId="517D306D">
      <w:pPr>
        <w:spacing w:before="15"/>
      </w:pPr>
    </w:p>
    <w:p w14:paraId="75846F15">
      <w:pPr>
        <w:spacing w:before="15"/>
      </w:pPr>
    </w:p>
    <w:p w14:paraId="5ED7D462">
      <w:pPr>
        <w:spacing w:before="14"/>
      </w:pPr>
    </w:p>
    <w:tbl>
      <w:tblPr>
        <w:tblStyle w:val="5"/>
        <w:tblW w:w="93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9"/>
        <w:gridCol w:w="8454"/>
      </w:tblGrid>
      <w:tr w14:paraId="42889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trPr>
        <w:tc>
          <w:tcPr>
            <w:tcW w:w="939" w:type="dxa"/>
            <w:vMerge w:val="restart"/>
            <w:tcBorders>
              <w:left w:val="nil"/>
              <w:bottom w:val="nil"/>
            </w:tcBorders>
            <w:vAlign w:val="top"/>
          </w:tcPr>
          <w:p w14:paraId="34DC4412">
            <w:pPr>
              <w:rPr>
                <w:rFonts w:ascii="Arial"/>
                <w:sz w:val="21"/>
              </w:rPr>
            </w:pPr>
          </w:p>
        </w:tc>
        <w:tc>
          <w:tcPr>
            <w:tcW w:w="8454" w:type="dxa"/>
            <w:tcBorders>
              <w:bottom w:val="nil"/>
            </w:tcBorders>
            <w:vAlign w:val="top"/>
          </w:tcPr>
          <w:p w14:paraId="0FA2518C">
            <w:pPr>
              <w:pStyle w:val="6"/>
              <w:spacing w:before="113" w:line="184" w:lineRule="auto"/>
              <w:ind w:left="3865"/>
            </w:pPr>
            <w:r>
              <mc:AlternateContent>
                <mc:Choice Requires="wps">
                  <w:drawing>
                    <wp:anchor distT="0" distB="0" distL="0" distR="0" simplePos="0" relativeHeight="251709440" behindDoc="1" locked="0" layoutInCell="1" allowOverlap="1">
                      <wp:simplePos x="0" y="0"/>
                      <wp:positionH relativeFrom="column">
                        <wp:posOffset>-2540</wp:posOffset>
                      </wp:positionH>
                      <wp:positionV relativeFrom="paragraph">
                        <wp:posOffset>-2540</wp:posOffset>
                      </wp:positionV>
                      <wp:extent cx="5360035" cy="977900"/>
                      <wp:effectExtent l="0" t="0" r="0" b="0"/>
                      <wp:wrapNone/>
                      <wp:docPr id="108" name="Rect 108"/>
                      <wp:cNvGraphicFramePr/>
                      <a:graphic xmlns:a="http://schemas.openxmlformats.org/drawingml/2006/main">
                        <a:graphicData uri="http://schemas.microsoft.com/office/word/2010/wordprocessingShape">
                          <wps:wsp>
                            <wps:cNvSpPr/>
                            <wps:spPr>
                              <a:xfrm>
                                <a:off x="-2580" y="-3086"/>
                                <a:ext cx="5360034" cy="977900"/>
                              </a:xfrm>
                              <a:prstGeom prst="rect">
                                <a:avLst/>
                              </a:prstGeom>
                              <a:solidFill>
                                <a:srgbClr val="FFFFFF"/>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08" o:spid="_x0000_s1026" o:spt="1" style="position:absolute;left:0pt;margin-left:-0.2pt;margin-top:-0.2pt;height:77pt;width:422.05pt;z-index:-251607040;mso-width-relative:page;mso-height-relative:page;" fillcolor="#FFFFFF" filled="t" stroked="f" coordsize="21600,21600" o:gfxdata="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WXNWdYAAAAHAQAADwAAAAAAAAABACAAAAAiAAAAZHJzL2Rvd25yZXYueG1sUEsB&#10;AhQAFAAAAAgAh07iQAEEA20wAgAAbgQAAA4AAAAAAAAAAQAgAAAAJQEAAGRycy9lMm9Eb2MueG1s&#10;UEsFBgAAAAAGAAYAWQEAAMcFAAAAAA==&#10;">
                      <v:fill on="t" focussize="0,0"/>
                      <v:stroke on="f" weight="0pt"/>
                      <v:imagedata o:title=""/>
                      <o:lock v:ext="edit" aspectratio="f"/>
                      <v:textbox inset="0mm,0mm,0mm,0mm"/>
                    </v:rect>
                  </w:pict>
                </mc:Fallback>
              </mc:AlternateContent>
            </w:r>
            <w:r>
              <w:drawing>
                <wp:anchor distT="0" distB="0" distL="0" distR="0" simplePos="0" relativeHeight="251708416" behindDoc="1" locked="0" layoutInCell="1" allowOverlap="1">
                  <wp:simplePos x="0" y="0"/>
                  <wp:positionH relativeFrom="column">
                    <wp:posOffset>9525</wp:posOffset>
                  </wp:positionH>
                  <wp:positionV relativeFrom="paragraph">
                    <wp:posOffset>28575</wp:posOffset>
                  </wp:positionV>
                  <wp:extent cx="5194300" cy="990600"/>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308"/>
                          <a:stretch>
                            <a:fillRect/>
                          </a:stretch>
                        </pic:blipFill>
                        <pic:spPr>
                          <a:xfrm>
                            <a:off x="0" y="0"/>
                            <a:ext cx="5194317" cy="990582"/>
                          </a:xfrm>
                          <a:prstGeom prst="rect">
                            <a:avLst/>
                          </a:prstGeom>
                        </pic:spPr>
                      </pic:pic>
                    </a:graphicData>
                  </a:graphic>
                </wp:anchor>
              </w:drawing>
            </w:r>
            <w:r>
              <w:pict>
                <v:group id="_x0000_s1100" o:spid="_x0000_s1100" o:spt="203" style="position:absolute;left:0pt;margin-left:1.55pt;margin-top:49.1pt;height:26.65pt;width:143.85pt;mso-position-horizontal-relative:page;mso-position-vertical-relative:page;z-index:251712512;mso-width-relative:page;mso-height-relative:page;" coordsize="2877,532">
                  <o:lock v:ext="edit"/>
                  <v:shape id="_x0000_s1101" o:spid="_x0000_s1101" o:spt="75" type="#_x0000_t75" style="position:absolute;left:0;top:12;height:520;width:2850;" filled="f" stroked="f" coordsize="21600,21600">
                    <v:path/>
                    <v:fill on="f" focussize="0,0"/>
                    <v:stroke on="f"/>
                    <v:imagedata r:id="rId309" o:title=""/>
                    <o:lock v:ext="edit" aspectratio="t"/>
                  </v:shape>
                  <v:shape id="_x0000_s1102" o:spid="_x0000_s1102" o:spt="202" type="#_x0000_t202" style="position:absolute;left:-20;top:-20;height:617;width:2917;" filled="f" stroked="f" coordsize="21600,21600">
                    <v:path/>
                    <v:fill on="f" focussize="0,0"/>
                    <v:stroke on="f"/>
                    <v:imagedata o:title=""/>
                    <o:lock v:ext="edit" aspectratio="f"/>
                    <v:textbox inset="0mm,0mm,0mm,0mm">
                      <w:txbxContent>
                        <w:p w14:paraId="5AD6DA6F">
                          <w:pPr>
                            <w:pStyle w:val="6"/>
                            <w:spacing w:before="20" w:line="228" w:lineRule="auto"/>
                            <w:ind w:left="169" w:right="20" w:firstLine="1760"/>
                            <w:rPr>
                              <w:sz w:val="24"/>
                              <w:szCs w:val="24"/>
                            </w:rPr>
                          </w:pPr>
                          <w:r>
                            <w:rPr>
                              <w:spacing w:val="-15"/>
                              <w:w w:val="95"/>
                              <w:sz w:val="19"/>
                              <w:szCs w:val="19"/>
                            </w:rPr>
                            <w:t>35KV集电线路</w:t>
                          </w:r>
                          <w:r>
                            <w:rPr>
                              <w:spacing w:val="2"/>
                              <w:sz w:val="19"/>
                              <w:szCs w:val="19"/>
                            </w:rPr>
                            <w:t xml:space="preserve"> </w:t>
                          </w:r>
                          <w:r>
                            <w:rPr>
                              <w:spacing w:val="1"/>
                              <w:sz w:val="24"/>
                              <w:szCs w:val="24"/>
                            </w:rPr>
                            <w:t>光伏及箱式变电器</w:t>
                          </w:r>
                        </w:p>
                      </w:txbxContent>
                    </v:textbox>
                  </v:shape>
                </v:group>
              </w:pict>
            </w:r>
            <w:r>
              <w:pict>
                <v:group id="_x0000_s1103" o:spid="_x0000_s1103" o:spt="203" style="position:absolute;left:0pt;margin-left:147.05pt;margin-top:49.7pt;height:26.05pt;width:81.7pt;mso-position-horizontal-relative:page;mso-position-vertical-relative:page;z-index:251713536;mso-width-relative:page;mso-height-relative:page;" coordsize="1633,520">
                  <o:lock v:ext="edit"/>
                  <v:shape id="_x0000_s1104" o:spid="_x0000_s1104" o:spt="75" type="#_x0000_t75" style="position:absolute;left:0;top:0;height:520;width:1620;" filled="f" stroked="f" coordsize="21600,21600">
                    <v:path/>
                    <v:fill on="f" focussize="0,0"/>
                    <v:stroke on="f"/>
                    <v:imagedata r:id="rId310" o:title=""/>
                    <o:lock v:ext="edit" aspectratio="t"/>
                  </v:shape>
                  <v:shape id="_x0000_s1105" o:spid="_x0000_s1105" o:spt="202" type="#_x0000_t202" style="position:absolute;left:-20;top:-20;height:607;width:1673;" filled="f" stroked="f" coordsize="21600,21600">
                    <v:path/>
                    <v:fill on="f" focussize="0,0"/>
                    <v:stroke on="f"/>
                    <v:imagedata o:title=""/>
                    <o:lock v:ext="edit" aspectratio="f"/>
                    <v:textbox inset="0mm,0mm,0mm,0mm">
                      <w:txbxContent>
                        <w:p w14:paraId="21A55E50">
                          <w:pPr>
                            <w:pStyle w:val="6"/>
                            <w:spacing w:before="151" w:line="221" w:lineRule="auto"/>
                            <w:ind w:right="20"/>
                            <w:jc w:val="right"/>
                            <w:rPr>
                              <w:sz w:val="24"/>
                              <w:szCs w:val="24"/>
                            </w:rPr>
                          </w:pPr>
                          <w:r>
                            <w:rPr>
                              <w:spacing w:val="2"/>
                              <w:sz w:val="24"/>
                              <w:szCs w:val="24"/>
                            </w:rPr>
                            <w:t>110升压站</w:t>
                          </w:r>
                        </w:p>
                      </w:txbxContent>
                    </v:textbox>
                  </v:shape>
                </v:group>
              </w:pict>
            </w:r>
            <w:r>
              <w:rPr>
                <w:spacing w:val="35"/>
              </w:rPr>
              <w:t>生活污水</w:t>
            </w:r>
            <w:r>
              <w:rPr>
                <w:spacing w:val="-45"/>
              </w:rPr>
              <w:t xml:space="preserve"> </w:t>
            </w:r>
            <w:r>
              <w:rPr>
                <w:spacing w:val="35"/>
              </w:rPr>
              <w:t>、</w:t>
            </w:r>
          </w:p>
          <w:p w14:paraId="6C8E7BB7">
            <w:pPr>
              <w:pStyle w:val="6"/>
              <w:spacing w:line="195" w:lineRule="auto"/>
              <w:ind w:left="3595"/>
              <w:rPr>
                <w:sz w:val="18"/>
                <w:szCs w:val="18"/>
              </w:rPr>
            </w:pPr>
            <w:r>
              <w:pict>
                <v:shape id="_x0000_s1106" o:spid="_x0000_s1106" o:spt="202" type="#_x0000_t202" style="position:absolute;left:0pt;margin-left:18.25pt;margin-top:-2.45pt;height:25pt;width:106.65pt;z-index:251711488;mso-width-relative:page;mso-height-relative:page;" filled="f" stroked="f" coordsize="21600,21600">
                  <v:path/>
                  <v:fill on="f" focussize="0,0"/>
                  <v:stroke on="f"/>
                  <v:imagedata o:title=""/>
                  <o:lock v:ext="edit" aspectratio="f"/>
                  <v:textbox inset="0mm,0mm,0mm,0mm">
                    <w:txbxContent>
                      <w:p w14:paraId="296E3284">
                        <w:pPr>
                          <w:pStyle w:val="6"/>
                          <w:spacing w:before="19" w:line="185" w:lineRule="auto"/>
                          <w:ind w:left="159"/>
                          <w:rPr>
                            <w:sz w:val="21"/>
                            <w:szCs w:val="21"/>
                          </w:rPr>
                        </w:pPr>
                        <w:r>
                          <w:rPr>
                            <w:spacing w:val="13"/>
                            <w:sz w:val="21"/>
                            <w:szCs w:val="21"/>
                          </w:rPr>
                          <w:t>噪声</w:t>
                        </w:r>
                        <w:r>
                          <w:rPr>
                            <w:spacing w:val="-30"/>
                            <w:sz w:val="21"/>
                            <w:szCs w:val="21"/>
                          </w:rPr>
                          <w:t xml:space="preserve"> </w:t>
                        </w:r>
                        <w:r>
                          <w:rPr>
                            <w:spacing w:val="13"/>
                            <w:sz w:val="21"/>
                            <w:szCs w:val="21"/>
                          </w:rPr>
                          <w:t>、</w:t>
                        </w:r>
                        <w:r>
                          <w:rPr>
                            <w:spacing w:val="-46"/>
                            <w:sz w:val="21"/>
                            <w:szCs w:val="21"/>
                          </w:rPr>
                          <w:t xml:space="preserve"> </w:t>
                        </w:r>
                        <w:r>
                          <w:rPr>
                            <w:spacing w:val="13"/>
                            <w:sz w:val="21"/>
                            <w:szCs w:val="21"/>
                          </w:rPr>
                          <w:t>光污染</w:t>
                        </w:r>
                        <w:r>
                          <w:rPr>
                            <w:spacing w:val="-56"/>
                            <w:sz w:val="21"/>
                            <w:szCs w:val="21"/>
                          </w:rPr>
                          <w:t xml:space="preserve"> </w:t>
                        </w:r>
                        <w:r>
                          <w:rPr>
                            <w:spacing w:val="13"/>
                            <w:sz w:val="21"/>
                            <w:szCs w:val="21"/>
                          </w:rPr>
                          <w:t>、</w:t>
                        </w:r>
                      </w:p>
                      <w:p w14:paraId="10568E06">
                        <w:pPr>
                          <w:pStyle w:val="6"/>
                          <w:spacing w:line="219" w:lineRule="auto"/>
                          <w:ind w:left="20"/>
                          <w:rPr>
                            <w:sz w:val="21"/>
                            <w:szCs w:val="21"/>
                          </w:rPr>
                        </w:pPr>
                        <w:r>
                          <w:rPr>
                            <w:spacing w:val="22"/>
                            <w:sz w:val="21"/>
                            <w:szCs w:val="21"/>
                          </w:rPr>
                          <w:t>事故废油、检修废油</w:t>
                        </w:r>
                      </w:p>
                    </w:txbxContent>
                  </v:textbox>
                </v:shape>
              </w:pict>
            </w:r>
            <w:r>
              <w:rPr>
                <w:spacing w:val="18"/>
                <w:sz w:val="18"/>
                <w:szCs w:val="18"/>
              </w:rPr>
              <w:t>食堂油烟、生活垃圾</w:t>
            </w:r>
          </w:p>
          <w:p w14:paraId="7CCFB7BA">
            <w:pPr>
              <w:pStyle w:val="6"/>
              <w:spacing w:line="220" w:lineRule="auto"/>
              <w:ind w:left="3415"/>
              <w:rPr>
                <w:sz w:val="20"/>
                <w:szCs w:val="20"/>
              </w:rPr>
            </w:pPr>
            <w:r>
              <w:rPr>
                <w:spacing w:val="21"/>
                <w:sz w:val="20"/>
                <w:szCs w:val="20"/>
              </w:rPr>
              <w:t>噪声、事故废油、电磁场</w:t>
            </w:r>
          </w:p>
          <w:p w14:paraId="5F52A5D5">
            <w:pPr>
              <w:pStyle w:val="6"/>
              <w:spacing w:before="207" w:line="535" w:lineRule="exact"/>
              <w:ind w:firstLine="4605"/>
            </w:pPr>
            <w:r>
              <w:rPr>
                <w:position w:val="-10"/>
              </w:rPr>
              <w:pict>
                <v:group id="_x0000_s1107" o:spid="_x0000_s1107" o:spt="203" style="height:26.8pt;width:179.55pt;" coordsize="3591,535">
                  <o:lock v:ext="edit"/>
                  <v:shape id="_x0000_s1108" o:spid="_x0000_s1108" o:spt="75" type="#_x0000_t75" style="position:absolute;left:0;top:15;height:520;width:3591;" filled="f" stroked="f" coordsize="21600,21600">
                    <v:path/>
                    <v:fill on="f" focussize="0,0"/>
                    <v:stroke on="f"/>
                    <v:imagedata r:id="rId311" o:title=""/>
                    <o:lock v:ext="edit" aspectratio="t"/>
                  </v:shape>
                  <v:shape id="_x0000_s1109" o:spid="_x0000_s1109" o:spt="202" type="#_x0000_t202" style="position:absolute;left:-20;top:-20;height:575;width:3631;" filled="f" stroked="f" coordsize="21600,21600">
                    <v:path/>
                    <v:fill on="f" focussize="0,0"/>
                    <v:stroke on="f"/>
                    <v:imagedata o:title=""/>
                    <o:lock v:ext="edit" aspectratio="f"/>
                    <v:textbox inset="0mm,0mm,0mm,0mm">
                      <w:txbxContent>
                        <w:p w14:paraId="4D60B60B">
                          <w:pPr>
                            <w:spacing w:before="20" w:line="206" w:lineRule="auto"/>
                            <w:ind w:left="640"/>
                            <w:rPr>
                              <w:rFonts w:ascii="宋体" w:hAnsi="宋体" w:eastAsia="宋体" w:cs="宋体"/>
                              <w:sz w:val="11"/>
                              <w:szCs w:val="11"/>
                            </w:rPr>
                          </w:pPr>
                          <w:r>
                            <w:rPr>
                              <w:rFonts w:ascii="宋体" w:hAnsi="宋体" w:eastAsia="宋体" w:cs="宋体"/>
                              <w:spacing w:val="9"/>
                              <w:sz w:val="11"/>
                              <w:szCs w:val="11"/>
                            </w:rPr>
                            <w:t>220</w:t>
                          </w:r>
                          <w:r>
                            <w:rPr>
                              <w:rFonts w:ascii="宋体" w:hAnsi="宋体" w:eastAsia="宋体" w:cs="宋体"/>
                              <w:sz w:val="11"/>
                              <w:szCs w:val="11"/>
                            </w:rPr>
                            <w:t>KV</w:t>
                          </w:r>
                          <w:r>
                            <w:rPr>
                              <w:rFonts w:ascii="宋体" w:hAnsi="宋体" w:eastAsia="宋体" w:cs="宋体"/>
                              <w:spacing w:val="9"/>
                              <w:sz w:val="11"/>
                              <w:szCs w:val="11"/>
                            </w:rPr>
                            <w:t>送出线路</w:t>
                          </w:r>
                        </w:p>
                        <w:p w14:paraId="74C33DE0">
                          <w:pPr>
                            <w:spacing w:line="191" w:lineRule="auto"/>
                            <w:ind w:left="370"/>
                            <w:rPr>
                              <w:rFonts w:ascii="宋体" w:hAnsi="宋体" w:eastAsia="宋体" w:cs="宋体"/>
                              <w:sz w:val="22"/>
                              <w:szCs w:val="22"/>
                            </w:rPr>
                          </w:pPr>
                          <w:r>
                            <w:rPr>
                              <w:rFonts w:ascii="宋体" w:hAnsi="宋体" w:eastAsia="宋体" w:cs="宋体"/>
                              <w:spacing w:val="22"/>
                              <w:sz w:val="22"/>
                              <w:szCs w:val="22"/>
                            </w:rPr>
                            <w:t>(不属于本次评价内容)</w:t>
                          </w:r>
                        </w:p>
                        <w:p w14:paraId="6DEA44BA">
                          <w:pPr>
                            <w:spacing w:line="220" w:lineRule="auto"/>
                            <w:ind w:left="2560"/>
                            <w:rPr>
                              <w:rFonts w:ascii="宋体" w:hAnsi="宋体" w:eastAsia="宋体" w:cs="宋体"/>
                              <w:sz w:val="11"/>
                              <w:szCs w:val="11"/>
                            </w:rPr>
                          </w:pPr>
                          <w:r>
                            <w:rPr>
                              <w:rFonts w:ascii="宋体" w:hAnsi="宋体" w:eastAsia="宋体" w:cs="宋体"/>
                              <w:spacing w:val="12"/>
                              <w:sz w:val="11"/>
                              <w:szCs w:val="11"/>
                            </w:rPr>
                            <w:t>纳入电网</w:t>
                          </w:r>
                        </w:p>
                      </w:txbxContent>
                    </v:textbox>
                  </v:shape>
                  <w10:wrap type="none"/>
                  <w10:anchorlock/>
                </v:group>
              </w:pict>
            </w:r>
          </w:p>
          <w:p w14:paraId="32B37D4D">
            <w:pPr>
              <w:spacing w:before="50" w:line="50" w:lineRule="exact"/>
              <w:ind w:firstLine="25"/>
            </w:pPr>
            <w:r>
              <w:drawing>
                <wp:inline distT="0" distB="0" distL="0" distR="0">
                  <wp:extent cx="5194300" cy="31115"/>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312"/>
                          <a:stretch>
                            <a:fillRect/>
                          </a:stretch>
                        </pic:blipFill>
                        <pic:spPr>
                          <a:xfrm>
                            <a:off x="0" y="0"/>
                            <a:ext cx="5194316" cy="31739"/>
                          </a:xfrm>
                          <a:prstGeom prst="rect">
                            <a:avLst/>
                          </a:prstGeom>
                        </pic:spPr>
                      </pic:pic>
                    </a:graphicData>
                  </a:graphic>
                </wp:inline>
              </w:drawing>
            </w:r>
          </w:p>
        </w:tc>
      </w:tr>
      <w:tr w14:paraId="1C5E4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1" w:hRule="atLeast"/>
        </w:trPr>
        <w:tc>
          <w:tcPr>
            <w:tcW w:w="939" w:type="dxa"/>
            <w:vMerge w:val="continue"/>
            <w:tcBorders>
              <w:top w:val="nil"/>
              <w:left w:val="nil"/>
              <w:bottom w:val="nil"/>
            </w:tcBorders>
            <w:vAlign w:val="top"/>
          </w:tcPr>
          <w:p w14:paraId="125E3DBE">
            <w:pPr>
              <w:rPr>
                <w:rFonts w:ascii="Arial"/>
                <w:sz w:val="21"/>
              </w:rPr>
            </w:pPr>
          </w:p>
        </w:tc>
        <w:tc>
          <w:tcPr>
            <w:tcW w:w="8454" w:type="dxa"/>
            <w:tcBorders>
              <w:top w:val="nil"/>
              <w:bottom w:val="single" w:color="000000" w:sz="8" w:space="0"/>
            </w:tcBorders>
            <w:vAlign w:val="top"/>
          </w:tcPr>
          <w:p w14:paraId="429CA68B">
            <w:pPr>
              <w:pStyle w:val="6"/>
              <w:spacing w:before="75" w:line="224" w:lineRule="auto"/>
              <w:ind w:left="1299"/>
              <w:rPr>
                <w:sz w:val="24"/>
                <w:szCs w:val="24"/>
              </w:rPr>
            </w:pPr>
            <w:r>
              <w:rPr>
                <w:b/>
                <w:bCs/>
                <w:spacing w:val="-2"/>
                <w:position w:val="2"/>
                <w:sz w:val="24"/>
                <w:szCs w:val="24"/>
              </w:rPr>
              <w:t>图4-3</w:t>
            </w:r>
            <w:r>
              <w:rPr>
                <w:spacing w:val="30"/>
                <w:position w:val="2"/>
                <w:sz w:val="24"/>
                <w:szCs w:val="24"/>
              </w:rPr>
              <w:t xml:space="preserve">   </w:t>
            </w:r>
            <w:r>
              <w:rPr>
                <w:b/>
                <w:bCs/>
                <w:spacing w:val="-2"/>
                <w:sz w:val="24"/>
                <w:szCs w:val="24"/>
              </w:rPr>
              <w:t>本项目运营期工艺流程及主要产污环节示意图</w:t>
            </w:r>
          </w:p>
          <w:p w14:paraId="347D573B">
            <w:pPr>
              <w:pStyle w:val="6"/>
              <w:spacing w:before="137" w:line="360" w:lineRule="auto"/>
              <w:ind w:left="105" w:firstLine="457"/>
              <w:jc w:val="both"/>
              <w:rPr>
                <w:sz w:val="24"/>
                <w:szCs w:val="24"/>
              </w:rPr>
            </w:pPr>
            <w:r>
              <w:rPr>
                <w:b/>
                <w:bCs/>
                <w:spacing w:val="2"/>
                <w:sz w:val="24"/>
                <w:szCs w:val="24"/>
              </w:rPr>
              <w:t>服务期满后流程简述：</w:t>
            </w:r>
            <w:r>
              <w:rPr>
                <w:spacing w:val="2"/>
                <w:sz w:val="24"/>
                <w:szCs w:val="24"/>
              </w:rPr>
              <w:t>本项目太阳能电池板寿命约25年，待项目运行期满</w:t>
            </w:r>
            <w:r>
              <w:rPr>
                <w:sz w:val="24"/>
                <w:szCs w:val="24"/>
              </w:rPr>
              <w:t xml:space="preserve">  </w:t>
            </w:r>
            <w:r>
              <w:rPr>
                <w:spacing w:val="-5"/>
                <w:sz w:val="24"/>
                <w:szCs w:val="24"/>
              </w:rPr>
              <w:t>后，建设单位若继续从事太阳能发电工程，则只需要更换光伏发电区的太阳能电</w:t>
            </w:r>
            <w:r>
              <w:rPr>
                <w:spacing w:val="3"/>
                <w:sz w:val="24"/>
                <w:szCs w:val="24"/>
              </w:rPr>
              <w:t xml:space="preserve">  </w:t>
            </w:r>
            <w:r>
              <w:rPr>
                <w:spacing w:val="-8"/>
                <w:sz w:val="24"/>
                <w:szCs w:val="24"/>
              </w:rPr>
              <w:t>池板即可。若项目服务期满后建设单位放弃本项</w:t>
            </w:r>
            <w:r>
              <w:rPr>
                <w:spacing w:val="-9"/>
                <w:sz w:val="24"/>
                <w:szCs w:val="24"/>
              </w:rPr>
              <w:t>目，届时将拆除项目光伏发电区。</w:t>
            </w:r>
            <w:r>
              <w:rPr>
                <w:sz w:val="24"/>
                <w:szCs w:val="24"/>
              </w:rPr>
              <w:t xml:space="preserve"> </w:t>
            </w:r>
            <w:r>
              <w:rPr>
                <w:spacing w:val="-3"/>
                <w:sz w:val="24"/>
                <w:szCs w:val="24"/>
              </w:rPr>
              <w:t>若服务期满后建设单位放弃本项目，则光伏电站服务期满后影响主要为：</w:t>
            </w:r>
          </w:p>
          <w:p w14:paraId="7D14A530">
            <w:pPr>
              <w:pStyle w:val="6"/>
              <w:spacing w:line="218" w:lineRule="auto"/>
              <w:ind w:left="696"/>
              <w:rPr>
                <w:sz w:val="24"/>
                <w:szCs w:val="24"/>
              </w:rPr>
            </w:pPr>
            <w:r>
              <w:rPr>
                <w:spacing w:val="7"/>
                <w:sz w:val="24"/>
                <w:szCs w:val="24"/>
              </w:rPr>
              <w:t>(1)拆除的太阳能电池板等固体废物；</w:t>
            </w:r>
          </w:p>
          <w:p w14:paraId="20E1A2BA">
            <w:pPr>
              <w:pStyle w:val="6"/>
              <w:spacing w:before="186" w:line="219" w:lineRule="auto"/>
              <w:ind w:left="696"/>
              <w:rPr>
                <w:sz w:val="24"/>
                <w:szCs w:val="24"/>
              </w:rPr>
            </w:pPr>
            <w:r>
              <w:rPr>
                <w:sz w:val="24"/>
                <w:szCs w:val="24"/>
              </w:rPr>
              <w:t>(2)基础拆除造成地表扰动，破坏生态环境。</w:t>
            </w:r>
          </w:p>
        </w:tc>
      </w:tr>
      <w:tr w14:paraId="41098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939" w:type="dxa"/>
            <w:tcBorders>
              <w:top w:val="nil"/>
              <w:left w:val="nil"/>
              <w:bottom w:val="nil"/>
            </w:tcBorders>
            <w:vAlign w:val="top"/>
          </w:tcPr>
          <w:p w14:paraId="62FAF8EE">
            <w:pPr>
              <w:rPr>
                <w:rFonts w:ascii="Arial"/>
                <w:sz w:val="21"/>
              </w:rPr>
            </w:pPr>
          </w:p>
        </w:tc>
        <w:tc>
          <w:tcPr>
            <w:tcW w:w="8454" w:type="dxa"/>
            <w:tcBorders>
              <w:top w:val="single" w:color="000000" w:sz="8" w:space="0"/>
              <w:bottom w:val="single" w:color="000000" w:sz="8" w:space="0"/>
              <w:right w:val="nil"/>
            </w:tcBorders>
            <w:vAlign w:val="top"/>
          </w:tcPr>
          <w:p w14:paraId="4781CCD0">
            <w:pPr>
              <w:pStyle w:val="6"/>
              <w:spacing w:before="55" w:line="720" w:lineRule="exact"/>
            </w:pPr>
            <w:r>
              <w:drawing>
                <wp:anchor distT="0" distB="0" distL="0" distR="0" simplePos="0" relativeHeight="251710464" behindDoc="1" locked="0" layoutInCell="1" allowOverlap="1">
                  <wp:simplePos x="0" y="0"/>
                  <wp:positionH relativeFrom="rightMargin">
                    <wp:posOffset>-5285105</wp:posOffset>
                  </wp:positionH>
                  <wp:positionV relativeFrom="topMargin">
                    <wp:posOffset>-21590</wp:posOffset>
                  </wp:positionV>
                  <wp:extent cx="5187950" cy="546100"/>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313"/>
                          <a:stretch>
                            <a:fillRect/>
                          </a:stretch>
                        </pic:blipFill>
                        <pic:spPr>
                          <a:xfrm>
                            <a:off x="0" y="0"/>
                            <a:ext cx="5187888" cy="546108"/>
                          </a:xfrm>
                          <a:prstGeom prst="rect">
                            <a:avLst/>
                          </a:prstGeom>
                        </pic:spPr>
                      </pic:pic>
                    </a:graphicData>
                  </a:graphic>
                </wp:anchor>
              </w:drawing>
            </w:r>
            <w:r>
              <w:rPr>
                <w:position w:val="-14"/>
              </w:rPr>
              <w:pict>
                <v:group id="_x0000_s1110" o:spid="_x0000_s1110" o:spt="203" style="height:36pt;width:422.15pt;" coordsize="8442,720">
                  <o:lock v:ext="edit"/>
                  <v:rect id="_x0000_s1111" o:spid="_x0000_s1111" o:spt="1" style="position:absolute;left:0;top:0;height:720;width:8440;" fillcolor="#FFFFFF" filled="t" stroked="f" coordsize="21600,21600">
                    <v:path/>
                    <v:fill on="t" focussize="0,0"/>
                    <v:stroke on="f"/>
                    <v:imagedata o:title=""/>
                    <o:lock v:ext="edit"/>
                  </v:rect>
                  <v:shape id="_x0000_s1112" o:spid="_x0000_s1112" o:spt="75" type="#_x0000_t75" style="position:absolute;left:140;top:29;height:660;width:8170;" filled="f" stroked="f" coordsize="21600,21600">
                    <v:path/>
                    <v:fill on="f" focussize="0,0"/>
                    <v:stroke on="f"/>
                    <v:imagedata r:id="rId314" o:title=""/>
                    <o:lock v:ext="edit" aspectratio="t"/>
                  </v:shape>
                  <v:shape id="_x0000_s1113" o:spid="_x0000_s1113" o:spt="202" type="#_x0000_t202" style="position:absolute;left:5919;top:88;height:550;width:2543;" filled="f" stroked="f" coordsize="21600,21600">
                    <v:path/>
                    <v:fill on="f" focussize="0,0"/>
                    <v:stroke on="f"/>
                    <v:imagedata o:title=""/>
                    <o:lock v:ext="edit" aspectratio="f"/>
                    <v:textbox inset="0mm,0mm,0mm,0mm">
                      <w:txbxContent>
                        <w:p w14:paraId="78499E8F">
                          <w:pPr>
                            <w:spacing w:before="19" w:line="214" w:lineRule="auto"/>
                            <w:ind w:left="20" w:right="20"/>
                            <w:rPr>
                              <w:rFonts w:ascii="宋体" w:hAnsi="宋体" w:eastAsia="宋体" w:cs="宋体"/>
                              <w:sz w:val="24"/>
                              <w:szCs w:val="24"/>
                            </w:rPr>
                          </w:pPr>
                          <w:r>
                            <w:rPr>
                              <w:rFonts w:ascii="宋体" w:hAnsi="宋体" w:eastAsia="宋体" w:cs="宋体"/>
                              <w:spacing w:val="-28"/>
                              <w:w w:val="98"/>
                              <w:sz w:val="24"/>
                              <w:szCs w:val="24"/>
                            </w:rPr>
                            <w:t>报废太阳能电池板、废旧电</w:t>
                          </w:r>
                          <w:r>
                            <w:rPr>
                              <w:rFonts w:ascii="宋体" w:hAnsi="宋体" w:eastAsia="宋体" w:cs="宋体"/>
                              <w:spacing w:val="14"/>
                              <w:sz w:val="24"/>
                              <w:szCs w:val="24"/>
                            </w:rPr>
                            <w:t xml:space="preserve"> </w:t>
                          </w:r>
                          <w:r>
                            <w:rPr>
                              <w:rFonts w:ascii="宋体" w:hAnsi="宋体" w:eastAsia="宋体" w:cs="宋体"/>
                              <w:spacing w:val="-26"/>
                              <w:w w:val="97"/>
                              <w:sz w:val="24"/>
                              <w:szCs w:val="24"/>
                            </w:rPr>
                            <w:t>气设备、建筑垃圾、噪声等</w:t>
                          </w:r>
                        </w:p>
                      </w:txbxContent>
                    </v:textbox>
                  </v:shape>
                  <v:shape id="_x0000_s1114" o:spid="_x0000_s1114" o:spt="202" type="#_x0000_t202" style="position:absolute;left:2740;top:68;height:550;width:2471;" filled="f" stroked="f" coordsize="21600,21600">
                    <v:path/>
                    <v:fill on="f" focussize="0,0"/>
                    <v:stroke on="f"/>
                    <v:imagedata o:title=""/>
                    <o:lock v:ext="edit" aspectratio="f"/>
                    <v:textbox inset="0mm,0mm,0mm,0mm">
                      <w:txbxContent>
                        <w:p w14:paraId="06A916E9">
                          <w:pPr>
                            <w:spacing w:before="19" w:line="214" w:lineRule="auto"/>
                            <w:ind w:left="20" w:right="20" w:firstLine="20"/>
                            <w:rPr>
                              <w:rFonts w:ascii="宋体" w:hAnsi="宋体" w:eastAsia="宋体" w:cs="宋体"/>
                              <w:sz w:val="24"/>
                              <w:szCs w:val="24"/>
                            </w:rPr>
                          </w:pPr>
                          <w:r>
                            <w:rPr>
                              <w:rFonts w:ascii="宋体" w:hAnsi="宋体" w:eastAsia="宋体" w:cs="宋体"/>
                              <w:spacing w:val="1"/>
                              <w:sz w:val="24"/>
                              <w:szCs w:val="24"/>
                            </w:rPr>
                            <w:t>光伏组件、电气设备拆</w:t>
                          </w:r>
                          <w:r>
                            <w:rPr>
                              <w:rFonts w:ascii="宋体" w:hAnsi="宋体" w:eastAsia="宋体" w:cs="宋体"/>
                              <w:sz w:val="24"/>
                              <w:szCs w:val="24"/>
                            </w:rPr>
                            <w:t xml:space="preserve"> </w:t>
                          </w:r>
                          <w:r>
                            <w:rPr>
                              <w:rFonts w:ascii="宋体" w:hAnsi="宋体" w:eastAsia="宋体" w:cs="宋体"/>
                              <w:spacing w:val="1"/>
                              <w:sz w:val="24"/>
                              <w:szCs w:val="24"/>
                            </w:rPr>
                            <w:t>除，建构筑物拆除</w:t>
                          </w:r>
                        </w:p>
                      </w:txbxContent>
                    </v:textbox>
                  </v:shape>
                  <v:shape id="_x0000_s1115" o:spid="_x0000_s1115" o:spt="202" type="#_x0000_t202" style="position:absolute;left:499;top:199;height:280;width:1258;" filled="f" stroked="f" coordsize="21600,21600">
                    <v:path/>
                    <v:fill on="f" focussize="0,0"/>
                    <v:stroke on="f"/>
                    <v:imagedata o:title=""/>
                    <o:lock v:ext="edit" aspectratio="f"/>
                    <v:textbox inset="0mm,0mm,0mm,0mm">
                      <w:txbxContent>
                        <w:p w14:paraId="538D9E2B">
                          <w:pPr>
                            <w:spacing w:before="20" w:line="219" w:lineRule="auto"/>
                            <w:ind w:left="20"/>
                            <w:rPr>
                              <w:rFonts w:ascii="宋体" w:hAnsi="宋体" w:eastAsia="宋体" w:cs="宋体"/>
                              <w:sz w:val="24"/>
                              <w:szCs w:val="24"/>
                            </w:rPr>
                          </w:pPr>
                          <w:r>
                            <w:rPr>
                              <w:rFonts w:ascii="宋体" w:hAnsi="宋体" w:eastAsia="宋体" w:cs="宋体"/>
                              <w:spacing w:val="3"/>
                              <w:sz w:val="24"/>
                              <w:szCs w:val="24"/>
                            </w:rPr>
                            <w:t>服务期满后</w:t>
                          </w:r>
                        </w:p>
                      </w:txbxContent>
                    </v:textbox>
                  </v:shape>
                  <w10:wrap type="none"/>
                  <w10:anchorlock/>
                </v:group>
              </w:pict>
            </w:r>
          </w:p>
        </w:tc>
      </w:tr>
      <w:tr w14:paraId="152AF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7" w:hRule="atLeast"/>
        </w:trPr>
        <w:tc>
          <w:tcPr>
            <w:tcW w:w="939" w:type="dxa"/>
            <w:tcBorders>
              <w:top w:val="nil"/>
              <w:left w:val="nil"/>
            </w:tcBorders>
            <w:vAlign w:val="top"/>
          </w:tcPr>
          <w:p w14:paraId="4717D7D9">
            <w:pPr>
              <w:rPr>
                <w:rFonts w:ascii="Arial"/>
                <w:sz w:val="21"/>
              </w:rPr>
            </w:pPr>
          </w:p>
        </w:tc>
        <w:tc>
          <w:tcPr>
            <w:tcW w:w="8454" w:type="dxa"/>
            <w:tcBorders>
              <w:top w:val="single" w:color="000000" w:sz="8" w:space="0"/>
              <w:right w:val="nil"/>
            </w:tcBorders>
            <w:vAlign w:val="top"/>
          </w:tcPr>
          <w:p w14:paraId="787558DD">
            <w:pPr>
              <w:pStyle w:val="6"/>
              <w:spacing w:before="236" w:line="221" w:lineRule="auto"/>
              <w:ind w:left="1669"/>
              <w:rPr>
                <w:sz w:val="24"/>
                <w:szCs w:val="24"/>
              </w:rPr>
            </w:pPr>
            <w:r>
              <w:rPr>
                <w:b/>
                <w:bCs/>
                <w:spacing w:val="-1"/>
                <w:sz w:val="24"/>
                <w:szCs w:val="24"/>
              </w:rPr>
              <w:t>图4-4</w:t>
            </w:r>
            <w:r>
              <w:rPr>
                <w:spacing w:val="-1"/>
                <w:sz w:val="24"/>
                <w:szCs w:val="24"/>
              </w:rPr>
              <w:t xml:space="preserve">   </w:t>
            </w:r>
            <w:r>
              <w:rPr>
                <w:b/>
                <w:bCs/>
                <w:spacing w:val="-1"/>
                <w:sz w:val="24"/>
                <w:szCs w:val="24"/>
              </w:rPr>
              <w:t>本项目服务期满后主要产污环节示意图</w:t>
            </w:r>
          </w:p>
          <w:p w14:paraId="53C6CFC3">
            <w:pPr>
              <w:pStyle w:val="6"/>
              <w:spacing w:before="155" w:line="220" w:lineRule="auto"/>
              <w:ind w:left="89"/>
              <w:rPr>
                <w:sz w:val="24"/>
                <w:szCs w:val="24"/>
              </w:rPr>
            </w:pPr>
            <w:r>
              <w:rPr>
                <w:b/>
                <w:bCs/>
                <w:spacing w:val="-4"/>
                <w:sz w:val="24"/>
                <w:szCs w:val="24"/>
              </w:rPr>
              <w:t>2生态环境影响分析</w:t>
            </w:r>
          </w:p>
          <w:p w14:paraId="53F1A8AF">
            <w:pPr>
              <w:pStyle w:val="6"/>
              <w:spacing w:before="173" w:line="219" w:lineRule="auto"/>
              <w:ind w:left="89"/>
              <w:rPr>
                <w:sz w:val="24"/>
                <w:szCs w:val="24"/>
              </w:rPr>
            </w:pPr>
            <w:r>
              <w:rPr>
                <w:b/>
                <w:bCs/>
                <w:spacing w:val="-1"/>
                <w:sz w:val="24"/>
                <w:szCs w:val="24"/>
              </w:rPr>
              <w:t>2.1对植物的影响</w:t>
            </w:r>
          </w:p>
          <w:p w14:paraId="65C39915">
            <w:pPr>
              <w:pStyle w:val="6"/>
              <w:spacing w:before="188" w:line="363" w:lineRule="auto"/>
              <w:ind w:left="85" w:right="9" w:firstLine="479"/>
              <w:rPr>
                <w:sz w:val="24"/>
                <w:szCs w:val="24"/>
              </w:rPr>
            </w:pPr>
            <w:r>
              <w:rPr>
                <w:spacing w:val="-2"/>
                <w:sz w:val="24"/>
                <w:szCs w:val="24"/>
              </w:rPr>
              <w:t>项目建成后会架起大量的太阳能光伏组件，太阳能光伏组件遮挡形成的遮荫</w:t>
            </w:r>
            <w:r>
              <w:rPr>
                <w:spacing w:val="18"/>
                <w:sz w:val="24"/>
                <w:szCs w:val="24"/>
              </w:rPr>
              <w:t xml:space="preserve"> </w:t>
            </w:r>
            <w:r>
              <w:rPr>
                <w:spacing w:val="1"/>
                <w:sz w:val="24"/>
                <w:szCs w:val="24"/>
              </w:rPr>
              <w:t>作用会对区域内的植物造成一定的影响，主</w:t>
            </w:r>
            <w:r>
              <w:rPr>
                <w:sz w:val="24"/>
                <w:szCs w:val="24"/>
              </w:rPr>
              <w:t>要表现在以下几个方面：</w:t>
            </w:r>
          </w:p>
          <w:p w14:paraId="14239B0D">
            <w:pPr>
              <w:pStyle w:val="6"/>
              <w:spacing w:before="15" w:line="355" w:lineRule="auto"/>
              <w:ind w:left="85" w:firstLine="479"/>
              <w:jc w:val="both"/>
              <w:rPr>
                <w:sz w:val="24"/>
                <w:szCs w:val="24"/>
              </w:rPr>
            </w:pPr>
            <w:r>
              <w:rPr>
                <w:spacing w:val="-2"/>
                <w:sz w:val="24"/>
                <w:szCs w:val="24"/>
              </w:rPr>
              <w:t>①对植物光合作用的影响——植物的生存和生长离不开光合作用，对阳生植</w:t>
            </w:r>
            <w:r>
              <w:rPr>
                <w:spacing w:val="10"/>
                <w:sz w:val="24"/>
                <w:szCs w:val="24"/>
              </w:rPr>
              <w:t xml:space="preserve"> </w:t>
            </w:r>
            <w:r>
              <w:rPr>
                <w:spacing w:val="-2"/>
                <w:sz w:val="24"/>
                <w:szCs w:val="24"/>
              </w:rPr>
              <w:t>物而言，这种影响表现得更为突出，会使植物的生长处在一个不良的环境条件之</w:t>
            </w:r>
            <w:r>
              <w:rPr>
                <w:spacing w:val="13"/>
                <w:sz w:val="24"/>
                <w:szCs w:val="24"/>
              </w:rPr>
              <w:t xml:space="preserve"> </w:t>
            </w:r>
            <w:r>
              <w:rPr>
                <w:spacing w:val="-1"/>
                <w:sz w:val="24"/>
                <w:szCs w:val="24"/>
              </w:rPr>
              <w:t>中；②对植物水分利用效率的影响——由于缺乏必要的光照，植物的生长</w:t>
            </w:r>
            <w:r>
              <w:rPr>
                <w:spacing w:val="-2"/>
                <w:sz w:val="24"/>
                <w:szCs w:val="24"/>
              </w:rPr>
              <w:t>异常缓</w:t>
            </w:r>
            <w:r>
              <w:rPr>
                <w:sz w:val="24"/>
                <w:szCs w:val="24"/>
              </w:rPr>
              <w:t xml:space="preserve"> </w:t>
            </w:r>
            <w:r>
              <w:rPr>
                <w:spacing w:val="-2"/>
                <w:sz w:val="24"/>
                <w:szCs w:val="24"/>
              </w:rPr>
              <w:t>慢甚至停滞，这样一来，大大减少了植物对水的利用效率；③由于受遮盖后小环</w:t>
            </w:r>
            <w:r>
              <w:rPr>
                <w:spacing w:val="16"/>
                <w:sz w:val="24"/>
                <w:szCs w:val="24"/>
              </w:rPr>
              <w:t xml:space="preserve"> </w:t>
            </w:r>
            <w:r>
              <w:rPr>
                <w:spacing w:val="-2"/>
                <w:sz w:val="24"/>
                <w:szCs w:val="24"/>
              </w:rPr>
              <w:t>境的影响，阳生植物的生境质量大大降低，但同时又为阴生植物提供了大量适宜</w:t>
            </w:r>
            <w:r>
              <w:rPr>
                <w:spacing w:val="18"/>
                <w:sz w:val="24"/>
                <w:szCs w:val="24"/>
              </w:rPr>
              <w:t xml:space="preserve"> </w:t>
            </w:r>
            <w:r>
              <w:rPr>
                <w:spacing w:val="5"/>
                <w:sz w:val="24"/>
                <w:szCs w:val="24"/>
              </w:rPr>
              <w:t>的生境。总的说来，受太阳能光伏组件遮挡，喜阳植物(如禾本科植物等)个体</w:t>
            </w:r>
            <w:r>
              <w:rPr>
                <w:spacing w:val="9"/>
                <w:sz w:val="24"/>
                <w:szCs w:val="24"/>
              </w:rPr>
              <w:t xml:space="preserve"> </w:t>
            </w:r>
            <w:r>
              <w:rPr>
                <w:spacing w:val="-2"/>
                <w:sz w:val="24"/>
                <w:szCs w:val="24"/>
              </w:rPr>
              <w:t>将生长不良，无法繁殖甚至死亡；而对耐阴植物来说，影响不是很大，不会导致</w:t>
            </w:r>
            <w:r>
              <w:rPr>
                <w:spacing w:val="13"/>
                <w:sz w:val="24"/>
                <w:szCs w:val="24"/>
              </w:rPr>
              <w:t xml:space="preserve"> </w:t>
            </w:r>
            <w:r>
              <w:rPr>
                <w:spacing w:val="5"/>
                <w:sz w:val="24"/>
                <w:szCs w:val="24"/>
              </w:rPr>
              <w:t>其个体的死亡；对喜阴植物(如一些蕨类植物)来说，由于适宜生境的增加，在</w:t>
            </w:r>
            <w:r>
              <w:rPr>
                <w:spacing w:val="11"/>
                <w:sz w:val="24"/>
                <w:szCs w:val="24"/>
              </w:rPr>
              <w:t xml:space="preserve"> </w:t>
            </w:r>
            <w:r>
              <w:rPr>
                <w:spacing w:val="-1"/>
                <w:sz w:val="24"/>
                <w:szCs w:val="24"/>
              </w:rPr>
              <w:t>一定程度上，其个体数量将会增加，这将在一定程</w:t>
            </w:r>
            <w:r>
              <w:rPr>
                <w:spacing w:val="-2"/>
                <w:sz w:val="24"/>
                <w:szCs w:val="24"/>
              </w:rPr>
              <w:t>度上改变项目区内原有物种的</w:t>
            </w:r>
            <w:r>
              <w:rPr>
                <w:sz w:val="24"/>
                <w:szCs w:val="24"/>
              </w:rPr>
              <w:t xml:space="preserve"> </w:t>
            </w:r>
            <w:r>
              <w:rPr>
                <w:spacing w:val="-1"/>
                <w:sz w:val="24"/>
                <w:szCs w:val="24"/>
              </w:rPr>
              <w:t>种群数量及其分布格局。但受影响的植物都为常见种</w:t>
            </w:r>
            <w:r>
              <w:rPr>
                <w:spacing w:val="-2"/>
                <w:sz w:val="24"/>
                <w:szCs w:val="24"/>
              </w:rPr>
              <w:t>，无珍稀濒危物种，受影响</w:t>
            </w:r>
            <w:r>
              <w:rPr>
                <w:sz w:val="24"/>
                <w:szCs w:val="24"/>
              </w:rPr>
              <w:t xml:space="preserve"> </w:t>
            </w:r>
            <w:r>
              <w:rPr>
                <w:spacing w:val="-1"/>
                <w:sz w:val="24"/>
                <w:szCs w:val="24"/>
              </w:rPr>
              <w:t>植物在周边区域广泛分布，项目建设不会造成物种</w:t>
            </w:r>
            <w:r>
              <w:rPr>
                <w:spacing w:val="-2"/>
                <w:sz w:val="24"/>
                <w:szCs w:val="24"/>
              </w:rPr>
              <w:t>的濒危，更不会造成任何物种</w:t>
            </w:r>
          </w:p>
        </w:tc>
      </w:tr>
    </w:tbl>
    <w:p w14:paraId="242B9CB6">
      <w:pPr>
        <w:pStyle w:val="2"/>
      </w:pPr>
    </w:p>
    <w:p w14:paraId="208DF9B6">
      <w:pPr>
        <w:sectPr>
          <w:headerReference r:id="rId154" w:type="default"/>
          <w:footerReference r:id="rId155" w:type="default"/>
          <w:pgSz w:w="11910" w:h="16830"/>
          <w:pgMar w:top="400" w:right="1311" w:bottom="1259" w:left="1200" w:header="0" w:footer="1079" w:gutter="0"/>
          <w:cols w:space="720" w:num="1"/>
        </w:sectPr>
      </w:pPr>
    </w:p>
    <w:p w14:paraId="60E14F9D">
      <w:pPr>
        <w:spacing w:before="15"/>
      </w:pPr>
    </w:p>
    <w:p w14:paraId="4CA83E8C">
      <w:pPr>
        <w:spacing w:before="15"/>
      </w:pPr>
    </w:p>
    <w:p w14:paraId="7B3F6DBC">
      <w:pPr>
        <w:spacing w:before="15"/>
      </w:pPr>
    </w:p>
    <w:p w14:paraId="2404841B">
      <w:pPr>
        <w:spacing w:before="14"/>
      </w:pPr>
    </w:p>
    <w:tbl>
      <w:tblPr>
        <w:tblStyle w:val="5"/>
        <w:tblW w:w="94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4"/>
        <w:gridCol w:w="8511"/>
      </w:tblGrid>
      <w:tr w14:paraId="408CA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69" w:hRule="atLeast"/>
        </w:trPr>
        <w:tc>
          <w:tcPr>
            <w:tcW w:w="894" w:type="dxa"/>
            <w:vAlign w:val="top"/>
          </w:tcPr>
          <w:p w14:paraId="46887450">
            <w:pPr>
              <w:rPr>
                <w:rFonts w:ascii="Arial"/>
                <w:sz w:val="21"/>
              </w:rPr>
            </w:pPr>
          </w:p>
        </w:tc>
        <w:tc>
          <w:tcPr>
            <w:tcW w:w="8511" w:type="dxa"/>
            <w:vAlign w:val="top"/>
          </w:tcPr>
          <w:p w14:paraId="1CFB721A">
            <w:pPr>
              <w:pStyle w:val="6"/>
              <w:spacing w:before="16" w:line="221" w:lineRule="auto"/>
              <w:ind w:left="81"/>
              <w:rPr>
                <w:sz w:val="24"/>
                <w:szCs w:val="24"/>
              </w:rPr>
            </w:pPr>
            <w:r>
              <w:rPr>
                <w:sz w:val="24"/>
                <w:szCs w:val="24"/>
              </w:rPr>
              <w:t>的消失，影响较小。</w:t>
            </w:r>
          </w:p>
          <w:p w14:paraId="4F3C19B7">
            <w:pPr>
              <w:pStyle w:val="6"/>
              <w:spacing w:before="197" w:line="364" w:lineRule="auto"/>
              <w:ind w:left="91" w:right="17" w:firstLine="479"/>
              <w:rPr>
                <w:sz w:val="24"/>
                <w:szCs w:val="24"/>
              </w:rPr>
            </w:pPr>
            <w:r>
              <w:rPr>
                <w:sz w:val="24"/>
                <w:szCs w:val="24"/>
              </w:rPr>
              <w:t>④运行期集电线路下方植物若生长至安全高度以上，需</w:t>
            </w:r>
            <w:r>
              <w:rPr>
                <w:spacing w:val="-1"/>
                <w:sz w:val="24"/>
                <w:szCs w:val="24"/>
              </w:rPr>
              <w:t>要进行修剪，本次评</w:t>
            </w:r>
            <w:r>
              <w:rPr>
                <w:sz w:val="24"/>
                <w:szCs w:val="24"/>
              </w:rPr>
              <w:t xml:space="preserve"> 价要求修剪下方植被时禁止砍伐植被，应以打顶为</w:t>
            </w:r>
            <w:r>
              <w:rPr>
                <w:spacing w:val="-1"/>
                <w:sz w:val="24"/>
                <w:szCs w:val="24"/>
              </w:rPr>
              <w:t>主。</w:t>
            </w:r>
          </w:p>
          <w:p w14:paraId="1109A433">
            <w:pPr>
              <w:pStyle w:val="6"/>
              <w:spacing w:before="17" w:line="360" w:lineRule="auto"/>
              <w:ind w:left="41" w:right="5" w:firstLine="550"/>
              <w:jc w:val="both"/>
              <w:rPr>
                <w:sz w:val="24"/>
                <w:szCs w:val="24"/>
              </w:rPr>
            </w:pPr>
            <w:r>
              <w:rPr>
                <w:spacing w:val="-1"/>
                <w:sz w:val="24"/>
                <w:szCs w:val="24"/>
              </w:rPr>
              <w:t>总体来说，本工程建设会对评价区内的植被和植物产生一定的不利影响，工</w:t>
            </w:r>
            <w:r>
              <w:rPr>
                <w:spacing w:val="16"/>
                <w:sz w:val="24"/>
                <w:szCs w:val="24"/>
              </w:rPr>
              <w:t xml:space="preserve"> </w:t>
            </w:r>
            <w:r>
              <w:rPr>
                <w:sz w:val="24"/>
                <w:szCs w:val="24"/>
              </w:rPr>
              <w:t>程占地将造成部分植物种群规模的局部减小，但影响范围</w:t>
            </w:r>
            <w:r>
              <w:rPr>
                <w:spacing w:val="-1"/>
                <w:sz w:val="24"/>
                <w:szCs w:val="24"/>
              </w:rPr>
              <w:t>和程度有限，不会使评</w:t>
            </w:r>
            <w:r>
              <w:rPr>
                <w:sz w:val="24"/>
                <w:szCs w:val="24"/>
              </w:rPr>
              <w:t xml:space="preserve"> 价区内的物种在空间分布格局和遗传结构上发生明显的改变，不会改变评价区的</w:t>
            </w:r>
            <w:r>
              <w:rPr>
                <w:spacing w:val="17"/>
                <w:sz w:val="24"/>
                <w:szCs w:val="24"/>
              </w:rPr>
              <w:t xml:space="preserve"> </w:t>
            </w:r>
            <w:r>
              <w:rPr>
                <w:spacing w:val="2"/>
                <w:sz w:val="24"/>
                <w:szCs w:val="24"/>
              </w:rPr>
              <w:t>植物区系组成及造成某一种物种在该区域消失，影响较小。</w:t>
            </w:r>
          </w:p>
          <w:p w14:paraId="75D36BA1">
            <w:pPr>
              <w:pStyle w:val="6"/>
              <w:spacing w:before="4" w:line="220" w:lineRule="auto"/>
              <w:ind w:left="84"/>
              <w:rPr>
                <w:sz w:val="24"/>
                <w:szCs w:val="24"/>
              </w:rPr>
            </w:pPr>
            <w:r>
              <w:rPr>
                <w:b/>
                <w:bCs/>
                <w:spacing w:val="-2"/>
                <w:sz w:val="24"/>
                <w:szCs w:val="24"/>
              </w:rPr>
              <w:t>2.2对野生动物的影响</w:t>
            </w:r>
          </w:p>
          <w:p w14:paraId="63A1278B">
            <w:pPr>
              <w:pStyle w:val="6"/>
              <w:spacing w:before="181" w:line="359" w:lineRule="auto"/>
              <w:ind w:left="41" w:right="3" w:firstLine="550"/>
              <w:jc w:val="both"/>
              <w:rPr>
                <w:sz w:val="24"/>
                <w:szCs w:val="24"/>
              </w:rPr>
            </w:pPr>
            <w:r>
              <w:rPr>
                <w:spacing w:val="-1"/>
                <w:sz w:val="24"/>
                <w:szCs w:val="24"/>
              </w:rPr>
              <w:t>项目运营期对野生动物的影响主要体现在机械噪声、电池板光反射对野生动</w:t>
            </w:r>
            <w:r>
              <w:rPr>
                <w:spacing w:val="18"/>
                <w:sz w:val="24"/>
                <w:szCs w:val="24"/>
              </w:rPr>
              <w:t xml:space="preserve"> </w:t>
            </w:r>
            <w:r>
              <w:rPr>
                <w:sz w:val="24"/>
                <w:szCs w:val="24"/>
              </w:rPr>
              <w:t>物繁殖的影响。本项目建成后，项目区域设置围栏，以及光伏列阵的支架占用部</w:t>
            </w:r>
            <w:r>
              <w:rPr>
                <w:spacing w:val="12"/>
                <w:sz w:val="24"/>
                <w:szCs w:val="24"/>
              </w:rPr>
              <w:t xml:space="preserve"> </w:t>
            </w:r>
            <w:r>
              <w:rPr>
                <w:sz w:val="24"/>
                <w:szCs w:val="24"/>
              </w:rPr>
              <w:t>分地面，将减少地面动物的活动区域，但围栏遮挡以及支架使用的面积较小，影</w:t>
            </w:r>
            <w:r>
              <w:rPr>
                <w:spacing w:val="9"/>
                <w:sz w:val="24"/>
                <w:szCs w:val="24"/>
              </w:rPr>
              <w:t xml:space="preserve"> </w:t>
            </w:r>
            <w:r>
              <w:rPr>
                <w:sz w:val="24"/>
                <w:szCs w:val="24"/>
              </w:rPr>
              <w:t>响范围小；本项目噪声源产生的噪声经光伏组件隔声和距离衰减后，不会对地面</w:t>
            </w:r>
            <w:r>
              <w:rPr>
                <w:spacing w:val="9"/>
                <w:sz w:val="24"/>
                <w:szCs w:val="24"/>
              </w:rPr>
              <w:t xml:space="preserve"> </w:t>
            </w:r>
            <w:r>
              <w:rPr>
                <w:sz w:val="24"/>
                <w:szCs w:val="24"/>
              </w:rPr>
              <w:t>上动物的日常迁徙及鸟类正常活动造成影响；现场维护和检修等工作均在昼间进</w:t>
            </w:r>
            <w:r>
              <w:rPr>
                <w:spacing w:val="8"/>
                <w:sz w:val="24"/>
                <w:szCs w:val="24"/>
              </w:rPr>
              <w:t xml:space="preserve"> </w:t>
            </w:r>
            <w:r>
              <w:rPr>
                <w:sz w:val="24"/>
                <w:szCs w:val="24"/>
              </w:rPr>
              <w:t>行，避免影响周边动物夜间正常活动。项目逆变器的风机运行噪声可能会使对声</w:t>
            </w:r>
            <w:r>
              <w:rPr>
                <w:spacing w:val="15"/>
                <w:sz w:val="24"/>
                <w:szCs w:val="24"/>
              </w:rPr>
              <w:t xml:space="preserve"> </w:t>
            </w:r>
            <w:r>
              <w:rPr>
                <w:sz w:val="24"/>
                <w:szCs w:val="24"/>
              </w:rPr>
              <w:t>环境敏感的动物迁移至远离光伏发电区，但项目逆变器风机产生的噪声经距离衰</w:t>
            </w:r>
            <w:r>
              <w:rPr>
                <w:spacing w:val="10"/>
                <w:sz w:val="24"/>
                <w:szCs w:val="24"/>
              </w:rPr>
              <w:t xml:space="preserve"> </w:t>
            </w:r>
            <w:r>
              <w:rPr>
                <w:spacing w:val="1"/>
                <w:sz w:val="24"/>
                <w:szCs w:val="24"/>
              </w:rPr>
              <w:t>减后到达厂界的噪声值较小，且影响范围较小。电池板光反射反射</w:t>
            </w:r>
            <w:r>
              <w:rPr>
                <w:sz w:val="24"/>
                <w:szCs w:val="24"/>
              </w:rPr>
              <w:t>光有一定的角 度及高度，且陆地野生动物及空中鸟类有一定的行动能力</w:t>
            </w:r>
            <w:r>
              <w:rPr>
                <w:spacing w:val="-1"/>
                <w:sz w:val="24"/>
                <w:szCs w:val="24"/>
              </w:rPr>
              <w:t>可通过移动，避让反射</w:t>
            </w:r>
            <w:r>
              <w:rPr>
                <w:sz w:val="24"/>
                <w:szCs w:val="24"/>
              </w:rPr>
              <w:t xml:space="preserve"> 光对它们的影响。因此，项目运营不会对项目所在区域内野生动物的日常迁徙和</w:t>
            </w:r>
            <w:r>
              <w:rPr>
                <w:spacing w:val="18"/>
                <w:sz w:val="24"/>
                <w:szCs w:val="24"/>
              </w:rPr>
              <w:t xml:space="preserve"> </w:t>
            </w:r>
            <w:r>
              <w:rPr>
                <w:spacing w:val="6"/>
                <w:sz w:val="24"/>
                <w:szCs w:val="24"/>
              </w:rPr>
              <w:t>活动造成明显影响。</w:t>
            </w:r>
          </w:p>
          <w:p w14:paraId="4E2FFE70">
            <w:pPr>
              <w:pStyle w:val="6"/>
              <w:spacing w:before="1" w:line="220" w:lineRule="auto"/>
              <w:ind w:left="94"/>
              <w:rPr>
                <w:sz w:val="24"/>
                <w:szCs w:val="24"/>
              </w:rPr>
            </w:pPr>
            <w:r>
              <w:rPr>
                <w:b/>
                <w:bCs/>
                <w:spacing w:val="-2"/>
                <w:sz w:val="24"/>
                <w:szCs w:val="24"/>
              </w:rPr>
              <w:t>2.3对土地利用的影响</w:t>
            </w:r>
          </w:p>
          <w:p w14:paraId="2ACC77C3">
            <w:pPr>
              <w:pStyle w:val="6"/>
              <w:spacing w:before="183" w:line="356" w:lineRule="auto"/>
              <w:ind w:left="101" w:right="9" w:firstLine="479"/>
              <w:rPr>
                <w:sz w:val="24"/>
                <w:szCs w:val="24"/>
              </w:rPr>
            </w:pPr>
            <w:r>
              <w:rPr>
                <w:sz w:val="24"/>
                <w:szCs w:val="24"/>
              </w:rPr>
              <w:t>运营期光伏板下可以进行草地种植。运营期仅占用</w:t>
            </w:r>
            <w:r>
              <w:rPr>
                <w:spacing w:val="-1"/>
                <w:sz w:val="24"/>
                <w:szCs w:val="24"/>
              </w:rPr>
              <w:t>了少量的永久占地，对区</w:t>
            </w:r>
            <w:r>
              <w:rPr>
                <w:sz w:val="24"/>
                <w:szCs w:val="24"/>
              </w:rPr>
              <w:t xml:space="preserve"> 域土地利现状影响较小，不会明显改变区域土地利用格</w:t>
            </w:r>
            <w:r>
              <w:rPr>
                <w:spacing w:val="-1"/>
                <w:sz w:val="24"/>
                <w:szCs w:val="24"/>
              </w:rPr>
              <w:t>局。</w:t>
            </w:r>
          </w:p>
          <w:p w14:paraId="1A23C4C0">
            <w:pPr>
              <w:pStyle w:val="6"/>
              <w:spacing w:before="13" w:line="219" w:lineRule="auto"/>
              <w:ind w:left="94"/>
              <w:rPr>
                <w:sz w:val="24"/>
                <w:szCs w:val="24"/>
              </w:rPr>
            </w:pPr>
            <w:r>
              <w:rPr>
                <w:b/>
                <w:bCs/>
                <w:spacing w:val="-2"/>
                <w:sz w:val="24"/>
                <w:szCs w:val="24"/>
              </w:rPr>
              <w:t>2.4水土流失影响</w:t>
            </w:r>
          </w:p>
          <w:p w14:paraId="26E5850A">
            <w:pPr>
              <w:pStyle w:val="6"/>
              <w:spacing w:before="177" w:line="352" w:lineRule="auto"/>
              <w:ind w:left="41" w:firstLine="529"/>
              <w:rPr>
                <w:sz w:val="24"/>
                <w:szCs w:val="24"/>
              </w:rPr>
            </w:pPr>
            <w:r>
              <w:rPr>
                <w:sz w:val="24"/>
                <w:szCs w:val="24"/>
              </w:rPr>
              <w:t>项目投入运行后，其水土流失防护工程也完成并开始发挥作用，可有效控制</w:t>
            </w:r>
            <w:r>
              <w:rPr>
                <w:spacing w:val="9"/>
                <w:sz w:val="24"/>
                <w:szCs w:val="24"/>
              </w:rPr>
              <w:t xml:space="preserve"> </w:t>
            </w:r>
            <w:r>
              <w:rPr>
                <w:spacing w:val="1"/>
                <w:sz w:val="24"/>
                <w:szCs w:val="24"/>
              </w:rPr>
              <w:t>项目建设引起的水土流失。光伏板部分区域采取种植草地，有保持水土的功效，</w:t>
            </w:r>
            <w:r>
              <w:rPr>
                <w:spacing w:val="13"/>
                <w:sz w:val="24"/>
                <w:szCs w:val="24"/>
              </w:rPr>
              <w:t xml:space="preserve"> </w:t>
            </w:r>
            <w:r>
              <w:rPr>
                <w:spacing w:val="1"/>
                <w:sz w:val="24"/>
                <w:szCs w:val="24"/>
              </w:rPr>
              <w:t>但是项目部分区域采用植物措施，临时占地范围内的植被恢复一般在3年内才能</w:t>
            </w:r>
            <w:r>
              <w:rPr>
                <w:spacing w:val="2"/>
                <w:sz w:val="24"/>
                <w:szCs w:val="24"/>
              </w:rPr>
              <w:t xml:space="preserve">  </w:t>
            </w:r>
            <w:r>
              <w:rPr>
                <w:sz w:val="24"/>
                <w:szCs w:val="24"/>
              </w:rPr>
              <w:t>逐步稳定，达到较好的水土保持效果。在水土保持工程和植物措施有效发挥作用</w:t>
            </w:r>
            <w:r>
              <w:rPr>
                <w:spacing w:val="17"/>
                <w:sz w:val="24"/>
                <w:szCs w:val="24"/>
              </w:rPr>
              <w:t xml:space="preserve"> </w:t>
            </w:r>
            <w:r>
              <w:rPr>
                <w:sz w:val="24"/>
                <w:szCs w:val="24"/>
              </w:rPr>
              <w:t>后，项目区内的水土流失可得到完全控制，项目建设区的水土流失可达到轻度以</w:t>
            </w:r>
            <w:r>
              <w:rPr>
                <w:spacing w:val="9"/>
                <w:sz w:val="24"/>
                <w:szCs w:val="24"/>
              </w:rPr>
              <w:t xml:space="preserve"> </w:t>
            </w:r>
            <w:r>
              <w:rPr>
                <w:sz w:val="24"/>
                <w:szCs w:val="24"/>
              </w:rPr>
              <w:t>下水平，工程建设造成的水土流失可得到基本治理，并使工程占地区域内水</w:t>
            </w:r>
            <w:r>
              <w:rPr>
                <w:spacing w:val="-1"/>
                <w:sz w:val="24"/>
                <w:szCs w:val="24"/>
              </w:rPr>
              <w:t>土流</w:t>
            </w:r>
          </w:p>
        </w:tc>
      </w:tr>
    </w:tbl>
    <w:p w14:paraId="41A4CC08">
      <w:pPr>
        <w:pStyle w:val="2"/>
      </w:pPr>
    </w:p>
    <w:p w14:paraId="185417D5">
      <w:pPr>
        <w:sectPr>
          <w:footerReference r:id="rId156" w:type="default"/>
          <w:pgSz w:w="11910" w:h="16830"/>
          <w:pgMar w:top="400" w:right="1259" w:bottom="1259" w:left="1234" w:header="0" w:footer="1079" w:gutter="0"/>
          <w:cols w:space="720" w:num="1"/>
        </w:sectPr>
      </w:pPr>
    </w:p>
    <w:p w14:paraId="4173AEDA">
      <w:pPr>
        <w:spacing w:before="18"/>
      </w:pPr>
    </w:p>
    <w:p w14:paraId="056C3739">
      <w:pPr>
        <w:spacing w:before="17"/>
      </w:pPr>
    </w:p>
    <w:p w14:paraId="7145BF85">
      <w:pPr>
        <w:spacing w:before="17"/>
      </w:pPr>
    </w:p>
    <w:p w14:paraId="39DBB8A2">
      <w:pPr>
        <w:spacing w:before="17"/>
      </w:pPr>
    </w:p>
    <w:tbl>
      <w:tblPr>
        <w:tblStyle w:val="5"/>
        <w:tblW w:w="940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110"/>
        <w:gridCol w:w="2277"/>
        <w:gridCol w:w="1219"/>
        <w:gridCol w:w="1099"/>
        <w:gridCol w:w="1219"/>
        <w:gridCol w:w="1099"/>
        <w:gridCol w:w="1358"/>
        <w:gridCol w:w="142"/>
      </w:tblGrid>
      <w:tr w14:paraId="5AF47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65" w:hRule="atLeast"/>
        </w:trPr>
        <w:tc>
          <w:tcPr>
            <w:tcW w:w="884" w:type="dxa"/>
            <w:vMerge w:val="restart"/>
            <w:tcBorders>
              <w:bottom w:val="nil"/>
            </w:tcBorders>
            <w:vAlign w:val="top"/>
          </w:tcPr>
          <w:p w14:paraId="718AB54F">
            <w:pPr>
              <w:rPr>
                <w:rFonts w:ascii="Arial"/>
                <w:sz w:val="21"/>
              </w:rPr>
            </w:pPr>
          </w:p>
        </w:tc>
        <w:tc>
          <w:tcPr>
            <w:tcW w:w="8523" w:type="dxa"/>
            <w:gridSpan w:val="8"/>
            <w:vAlign w:val="top"/>
          </w:tcPr>
          <w:p w14:paraId="5C912723">
            <w:pPr>
              <w:pStyle w:val="6"/>
              <w:spacing w:before="23" w:line="219" w:lineRule="auto"/>
              <w:ind w:left="91"/>
              <w:rPr>
                <w:sz w:val="24"/>
                <w:szCs w:val="24"/>
              </w:rPr>
            </w:pPr>
            <w:r>
              <w:rPr>
                <w:sz w:val="24"/>
                <w:szCs w:val="24"/>
              </w:rPr>
              <w:t>失状况得到明显改善。因此，项目运营期不会引起不良的水土流</w:t>
            </w:r>
            <w:r>
              <w:rPr>
                <w:spacing w:val="-1"/>
                <w:sz w:val="24"/>
                <w:szCs w:val="24"/>
              </w:rPr>
              <w:t>失。</w:t>
            </w:r>
          </w:p>
          <w:p w14:paraId="49872D0B">
            <w:pPr>
              <w:pStyle w:val="6"/>
              <w:spacing w:before="173" w:line="219" w:lineRule="auto"/>
              <w:ind w:left="94"/>
              <w:rPr>
                <w:sz w:val="24"/>
                <w:szCs w:val="24"/>
              </w:rPr>
            </w:pPr>
            <w:r>
              <w:rPr>
                <w:b/>
                <w:bCs/>
                <w:spacing w:val="-4"/>
                <w:sz w:val="24"/>
                <w:szCs w:val="24"/>
              </w:rPr>
              <w:t>3地表水环境影响分析</w:t>
            </w:r>
          </w:p>
          <w:p w14:paraId="48F41302">
            <w:pPr>
              <w:pStyle w:val="6"/>
              <w:spacing w:before="185" w:line="219" w:lineRule="auto"/>
              <w:ind w:left="94"/>
              <w:rPr>
                <w:sz w:val="24"/>
                <w:szCs w:val="24"/>
              </w:rPr>
            </w:pPr>
            <w:r>
              <w:rPr>
                <w:b/>
                <w:bCs/>
                <w:spacing w:val="-4"/>
                <w:sz w:val="24"/>
                <w:szCs w:val="24"/>
              </w:rPr>
              <w:t>3.1废水源强分析</w:t>
            </w:r>
          </w:p>
          <w:p w14:paraId="72F3E3BB">
            <w:pPr>
              <w:pStyle w:val="6"/>
              <w:spacing w:before="186" w:line="219" w:lineRule="auto"/>
              <w:ind w:left="710"/>
              <w:rPr>
                <w:sz w:val="24"/>
                <w:szCs w:val="24"/>
              </w:rPr>
            </w:pPr>
            <w:r>
              <w:rPr>
                <w:sz w:val="24"/>
                <w:szCs w:val="24"/>
              </w:rPr>
              <w:t>(1)太阳能电池板的清洗废水</w:t>
            </w:r>
          </w:p>
          <w:p w14:paraId="108F686E">
            <w:pPr>
              <w:pStyle w:val="6"/>
              <w:spacing w:before="176" w:line="359" w:lineRule="auto"/>
              <w:ind w:left="81" w:right="19" w:firstLine="479"/>
              <w:rPr>
                <w:sz w:val="24"/>
                <w:szCs w:val="24"/>
              </w:rPr>
            </w:pPr>
            <w:r>
              <w:rPr>
                <w:sz w:val="24"/>
                <w:szCs w:val="24"/>
              </w:rPr>
              <w:t>太阳能电池板正常情况下每年清洗一次，遇到恶劣天气及时清洗，不使用清</w:t>
            </w:r>
            <w:r>
              <w:rPr>
                <w:spacing w:val="11"/>
                <w:sz w:val="24"/>
                <w:szCs w:val="24"/>
              </w:rPr>
              <w:t xml:space="preserve"> </w:t>
            </w:r>
            <w:r>
              <w:rPr>
                <w:spacing w:val="1"/>
                <w:sz w:val="24"/>
                <w:szCs w:val="24"/>
              </w:rPr>
              <w:t>洗剂，清洗方式为使用用人工+抹布带水擦拭光伏电池板，分片区对一个小范围</w:t>
            </w:r>
            <w:r>
              <w:rPr>
                <w:spacing w:val="6"/>
                <w:sz w:val="24"/>
                <w:szCs w:val="24"/>
              </w:rPr>
              <w:t xml:space="preserve"> </w:t>
            </w:r>
            <w:r>
              <w:rPr>
                <w:spacing w:val="44"/>
                <w:sz w:val="24"/>
                <w:szCs w:val="24"/>
              </w:rPr>
              <w:t>区域逐</w:t>
            </w:r>
            <w:r>
              <w:rPr>
                <w:spacing w:val="-51"/>
                <w:sz w:val="24"/>
                <w:szCs w:val="24"/>
              </w:rPr>
              <w:t xml:space="preserve"> </w:t>
            </w:r>
            <w:r>
              <w:rPr>
                <w:spacing w:val="44"/>
                <w:sz w:val="24"/>
                <w:szCs w:val="24"/>
              </w:rPr>
              <w:t>一</w:t>
            </w:r>
            <w:r>
              <w:rPr>
                <w:spacing w:val="-62"/>
                <w:sz w:val="24"/>
                <w:szCs w:val="24"/>
              </w:rPr>
              <w:t xml:space="preserve"> </w:t>
            </w:r>
            <w:r>
              <w:rPr>
                <w:spacing w:val="44"/>
                <w:sz w:val="24"/>
                <w:szCs w:val="24"/>
              </w:rPr>
              <w:t>进行清洗。本项目太阳能电池板共95348片，每片尺寸为</w:t>
            </w:r>
            <w:r>
              <w:rPr>
                <w:sz w:val="24"/>
                <w:szCs w:val="24"/>
              </w:rPr>
              <w:t xml:space="preserve"> </w:t>
            </w:r>
            <w:r>
              <w:rPr>
                <w:spacing w:val="3"/>
                <w:sz w:val="24"/>
                <w:szCs w:val="24"/>
              </w:rPr>
              <w:t>2382</w:t>
            </w:r>
            <w:r>
              <w:rPr>
                <w:sz w:val="24"/>
                <w:szCs w:val="24"/>
              </w:rPr>
              <w:t>mm</w:t>
            </w:r>
            <w:r>
              <w:rPr>
                <w:spacing w:val="3"/>
                <w:sz w:val="24"/>
                <w:szCs w:val="24"/>
              </w:rPr>
              <w:t>×1134</w:t>
            </w:r>
            <w:r>
              <w:rPr>
                <w:sz w:val="24"/>
                <w:szCs w:val="24"/>
              </w:rPr>
              <w:t>mm</w:t>
            </w:r>
            <w:r>
              <w:rPr>
                <w:spacing w:val="3"/>
                <w:sz w:val="24"/>
                <w:szCs w:val="24"/>
              </w:rPr>
              <w:t>×30</w:t>
            </w:r>
            <w:r>
              <w:rPr>
                <w:sz w:val="24"/>
                <w:szCs w:val="24"/>
              </w:rPr>
              <w:t>mm</w:t>
            </w:r>
            <w:r>
              <w:rPr>
                <w:spacing w:val="3"/>
                <w:sz w:val="24"/>
                <w:szCs w:val="24"/>
              </w:rPr>
              <w:t>,用水量以经验数据0.5L/m²计，经计算本工程太阳能</w:t>
            </w:r>
          </w:p>
          <w:p w14:paraId="2AFC6127">
            <w:pPr>
              <w:pStyle w:val="6"/>
              <w:spacing w:before="1" w:line="216" w:lineRule="auto"/>
              <w:ind w:left="111"/>
              <w:rPr>
                <w:sz w:val="24"/>
                <w:szCs w:val="24"/>
              </w:rPr>
            </w:pPr>
            <w:r>
              <w:rPr>
                <w:spacing w:val="6"/>
                <w:sz w:val="24"/>
                <w:szCs w:val="24"/>
              </w:rPr>
              <w:t>电池板表面积约257552.87m²,则每次清洗用水量约128.78m³</w:t>
            </w:r>
            <w:r>
              <w:rPr>
                <w:spacing w:val="5"/>
                <w:sz w:val="24"/>
                <w:szCs w:val="24"/>
              </w:rPr>
              <w:t>,则年用水量为</w:t>
            </w:r>
          </w:p>
          <w:p w14:paraId="47E0773B">
            <w:pPr>
              <w:pStyle w:val="6"/>
              <w:spacing w:before="190" w:line="360" w:lineRule="auto"/>
              <w:ind w:left="81" w:right="22" w:firstLine="30"/>
              <w:rPr>
                <w:sz w:val="24"/>
                <w:szCs w:val="24"/>
              </w:rPr>
            </w:pPr>
            <w:r>
              <w:rPr>
                <w:spacing w:val="3"/>
                <w:sz w:val="24"/>
                <w:szCs w:val="24"/>
              </w:rPr>
              <w:t>128.78m³/a,本项目清洗过程中部分水在清洗过程中就被蒸发，废水产生量按</w:t>
            </w:r>
            <w:r>
              <w:rPr>
                <w:spacing w:val="7"/>
                <w:sz w:val="24"/>
                <w:szCs w:val="24"/>
              </w:rPr>
              <w:t xml:space="preserve">  </w:t>
            </w:r>
            <w:r>
              <w:rPr>
                <w:spacing w:val="3"/>
                <w:sz w:val="24"/>
                <w:szCs w:val="24"/>
              </w:rPr>
              <w:t>90%计算，则太阳能电池板清洗废水产生量为115.9m³/次</w:t>
            </w:r>
            <w:r>
              <w:rPr>
                <w:spacing w:val="2"/>
                <w:sz w:val="24"/>
                <w:szCs w:val="24"/>
              </w:rPr>
              <w:t>、115.9m³/a,由于电池</w:t>
            </w:r>
            <w:r>
              <w:rPr>
                <w:sz w:val="24"/>
                <w:szCs w:val="24"/>
              </w:rPr>
              <w:t xml:space="preserve"> 板清洗为清水清洗，不需添加清洗剂，性质与雨水基本相同，清洗废水污染物主</w:t>
            </w:r>
            <w:r>
              <w:rPr>
                <w:spacing w:val="8"/>
                <w:sz w:val="24"/>
                <w:szCs w:val="24"/>
              </w:rPr>
              <w:t xml:space="preserve"> </w:t>
            </w:r>
            <w:r>
              <w:rPr>
                <w:spacing w:val="1"/>
                <w:sz w:val="24"/>
                <w:szCs w:val="24"/>
              </w:rPr>
              <w:t>要为</w:t>
            </w:r>
            <w:r>
              <w:rPr>
                <w:sz w:val="24"/>
                <w:szCs w:val="24"/>
              </w:rPr>
              <w:t>SS</w:t>
            </w:r>
            <w:r>
              <w:rPr>
                <w:spacing w:val="1"/>
                <w:sz w:val="24"/>
                <w:szCs w:val="24"/>
              </w:rPr>
              <w:t>,分散于各个片区，不含有毒物质，因此，太阳能电池板的清洗废水直</w:t>
            </w:r>
          </w:p>
          <w:p w14:paraId="37B58559">
            <w:pPr>
              <w:pStyle w:val="6"/>
              <w:spacing w:line="219" w:lineRule="auto"/>
              <w:ind w:left="101"/>
              <w:rPr>
                <w:sz w:val="24"/>
                <w:szCs w:val="24"/>
              </w:rPr>
            </w:pPr>
            <w:r>
              <w:rPr>
                <w:sz w:val="24"/>
                <w:szCs w:val="24"/>
              </w:rPr>
              <w:t>接顺着流在太阳能电池组件下面的草地上，作为草地灌溉补充水，不外</w:t>
            </w:r>
            <w:r>
              <w:rPr>
                <w:spacing w:val="-1"/>
                <w:sz w:val="24"/>
                <w:szCs w:val="24"/>
              </w:rPr>
              <w:t>排。</w:t>
            </w:r>
          </w:p>
          <w:p w14:paraId="10B44D15">
            <w:pPr>
              <w:pStyle w:val="6"/>
              <w:spacing w:before="196" w:line="219" w:lineRule="auto"/>
              <w:ind w:left="710"/>
              <w:rPr>
                <w:sz w:val="24"/>
                <w:szCs w:val="24"/>
              </w:rPr>
            </w:pPr>
            <w:r>
              <w:rPr>
                <w:spacing w:val="1"/>
                <w:sz w:val="24"/>
                <w:szCs w:val="24"/>
              </w:rPr>
              <w:t>(2)生活污水</w:t>
            </w:r>
          </w:p>
          <w:p w14:paraId="1201ED11">
            <w:pPr>
              <w:pStyle w:val="6"/>
              <w:spacing w:before="173" w:line="219" w:lineRule="auto"/>
              <w:ind w:left="591"/>
              <w:rPr>
                <w:sz w:val="24"/>
                <w:szCs w:val="24"/>
              </w:rPr>
            </w:pPr>
            <w:r>
              <w:rPr>
                <w:spacing w:val="-1"/>
                <w:sz w:val="24"/>
                <w:szCs w:val="24"/>
              </w:rPr>
              <w:t>本项目升压站内工作人员共6人，根据《云南省地方标准用水定额》</w:t>
            </w:r>
          </w:p>
          <w:p w14:paraId="2CD6EDE0">
            <w:pPr>
              <w:pStyle w:val="6"/>
              <w:spacing w:before="174" w:line="216" w:lineRule="auto"/>
              <w:ind w:left="231"/>
              <w:rPr>
                <w:sz w:val="24"/>
                <w:szCs w:val="24"/>
              </w:rPr>
            </w:pPr>
            <w:r>
              <w:rPr>
                <w:spacing w:val="-2"/>
                <w:sz w:val="24"/>
                <w:szCs w:val="24"/>
              </w:rPr>
              <w:t>(DB53/T</w:t>
            </w:r>
            <w:r>
              <w:rPr>
                <w:spacing w:val="29"/>
                <w:sz w:val="24"/>
                <w:szCs w:val="24"/>
              </w:rPr>
              <w:t xml:space="preserve"> </w:t>
            </w:r>
            <w:r>
              <w:rPr>
                <w:spacing w:val="-2"/>
                <w:sz w:val="24"/>
                <w:szCs w:val="24"/>
              </w:rPr>
              <w:t>168-2019),办公生活用水</w:t>
            </w:r>
            <w:r>
              <w:rPr>
                <w:spacing w:val="-3"/>
                <w:sz w:val="24"/>
                <w:szCs w:val="24"/>
              </w:rPr>
              <w:t>取120L/人</w:t>
            </w:r>
            <w:r>
              <w:rPr>
                <w:spacing w:val="-26"/>
                <w:sz w:val="24"/>
                <w:szCs w:val="24"/>
              </w:rPr>
              <w:t xml:space="preserve"> </w:t>
            </w:r>
            <w:r>
              <w:rPr>
                <w:spacing w:val="-3"/>
                <w:sz w:val="24"/>
                <w:szCs w:val="24"/>
              </w:rPr>
              <w:t>·d,则运营期办公生活用水量为</w:t>
            </w:r>
          </w:p>
          <w:p w14:paraId="7EAD62DB">
            <w:pPr>
              <w:pStyle w:val="6"/>
              <w:spacing w:before="179" w:line="366" w:lineRule="auto"/>
              <w:ind w:left="61" w:right="24" w:firstLine="30"/>
              <w:rPr>
                <w:sz w:val="24"/>
                <w:szCs w:val="24"/>
              </w:rPr>
            </w:pPr>
            <w:r>
              <w:rPr>
                <w:spacing w:val="3"/>
                <w:sz w:val="24"/>
                <w:szCs w:val="24"/>
              </w:rPr>
              <w:t>0.72m³/d,262.8m³/a,办公生活用水主要包</w:t>
            </w:r>
            <w:r>
              <w:rPr>
                <w:spacing w:val="2"/>
                <w:sz w:val="24"/>
                <w:szCs w:val="24"/>
              </w:rPr>
              <w:t>括食堂用水、职工盥洗、办公等其它</w:t>
            </w:r>
            <w:r>
              <w:rPr>
                <w:sz w:val="24"/>
                <w:szCs w:val="24"/>
              </w:rPr>
              <w:t xml:space="preserve"> 生活用水。</w:t>
            </w:r>
          </w:p>
          <w:p w14:paraId="73FCE232">
            <w:pPr>
              <w:pStyle w:val="6"/>
              <w:spacing w:before="2" w:line="219" w:lineRule="auto"/>
              <w:jc w:val="right"/>
              <w:rPr>
                <w:sz w:val="24"/>
                <w:szCs w:val="24"/>
              </w:rPr>
            </w:pPr>
            <w:r>
              <w:rPr>
                <w:sz w:val="24"/>
                <w:szCs w:val="24"/>
              </w:rPr>
              <w:t>食堂用排水：食堂用水定额按30L/(人</w:t>
            </w:r>
            <w:r>
              <w:rPr>
                <w:spacing w:val="-23"/>
                <w:sz w:val="24"/>
                <w:szCs w:val="24"/>
              </w:rPr>
              <w:t xml:space="preserve"> </w:t>
            </w:r>
            <w:r>
              <w:rPr>
                <w:sz w:val="24"/>
                <w:szCs w:val="24"/>
              </w:rPr>
              <w:t>·</w:t>
            </w:r>
            <w:r>
              <w:rPr>
                <w:spacing w:val="-101"/>
                <w:sz w:val="24"/>
                <w:szCs w:val="24"/>
              </w:rPr>
              <w:t xml:space="preserve"> </w:t>
            </w:r>
            <w:r>
              <w:rPr>
                <w:sz w:val="24"/>
                <w:szCs w:val="24"/>
              </w:rPr>
              <w:t>d)计，</w:t>
            </w:r>
            <w:r>
              <w:rPr>
                <w:spacing w:val="-1"/>
                <w:sz w:val="24"/>
                <w:szCs w:val="24"/>
              </w:rPr>
              <w:t>则食堂用水量为0.18m³/d、</w:t>
            </w:r>
          </w:p>
          <w:p w14:paraId="3DCA9F25">
            <w:pPr>
              <w:pStyle w:val="6"/>
              <w:spacing w:before="171" w:line="363" w:lineRule="auto"/>
              <w:ind w:left="81" w:right="609" w:firstLine="10"/>
              <w:rPr>
                <w:sz w:val="24"/>
                <w:szCs w:val="24"/>
              </w:rPr>
            </w:pPr>
            <w:r>
              <w:rPr>
                <w:spacing w:val="3"/>
                <w:sz w:val="24"/>
                <w:szCs w:val="24"/>
              </w:rPr>
              <w:t>65.7m³/a,食堂废水的产生率按用水量的80%计算，则食堂废水的产生量为</w:t>
            </w:r>
            <w:r>
              <w:rPr>
                <w:spacing w:val="17"/>
                <w:sz w:val="24"/>
                <w:szCs w:val="24"/>
              </w:rPr>
              <w:t xml:space="preserve"> </w:t>
            </w:r>
            <w:r>
              <w:rPr>
                <w:spacing w:val="-2"/>
                <w:sz w:val="24"/>
                <w:szCs w:val="24"/>
              </w:rPr>
              <w:t>0.144m³/d、52.56m³/a。</w:t>
            </w:r>
          </w:p>
          <w:p w14:paraId="7DA81DA2">
            <w:pPr>
              <w:pStyle w:val="6"/>
              <w:spacing w:before="1" w:line="355" w:lineRule="auto"/>
              <w:ind w:left="111" w:firstLine="459"/>
              <w:rPr>
                <w:sz w:val="24"/>
                <w:szCs w:val="24"/>
              </w:rPr>
            </w:pPr>
            <w:r>
              <w:rPr>
                <w:spacing w:val="-5"/>
                <w:sz w:val="24"/>
                <w:szCs w:val="24"/>
              </w:rPr>
              <w:t>职工生活和办公用排水：职工盥洗、办公等其它生活用水定额按90L/</w:t>
            </w:r>
            <w:r>
              <w:rPr>
                <w:spacing w:val="-6"/>
                <w:sz w:val="24"/>
                <w:szCs w:val="24"/>
              </w:rPr>
              <w:t>(人</w:t>
            </w:r>
            <w:r>
              <w:rPr>
                <w:spacing w:val="-29"/>
                <w:sz w:val="24"/>
                <w:szCs w:val="24"/>
              </w:rPr>
              <w:t xml:space="preserve"> </w:t>
            </w:r>
            <w:r>
              <w:rPr>
                <w:spacing w:val="-6"/>
                <w:sz w:val="24"/>
                <w:szCs w:val="24"/>
              </w:rPr>
              <w:t>·d)</w:t>
            </w:r>
            <w:r>
              <w:rPr>
                <w:sz w:val="24"/>
                <w:szCs w:val="24"/>
              </w:rPr>
              <w:t xml:space="preserve"> </w:t>
            </w:r>
            <w:r>
              <w:rPr>
                <w:spacing w:val="-1"/>
                <w:sz w:val="24"/>
                <w:szCs w:val="24"/>
              </w:rPr>
              <w:t>计，则办公、盥洗的用水量为0.54m³/d、197.1m³/a,职工盥洗、办公等生活废水</w:t>
            </w:r>
            <w:r>
              <w:rPr>
                <w:spacing w:val="4"/>
                <w:sz w:val="24"/>
                <w:szCs w:val="24"/>
              </w:rPr>
              <w:t xml:space="preserve"> </w:t>
            </w:r>
            <w:r>
              <w:rPr>
                <w:sz w:val="24"/>
                <w:szCs w:val="24"/>
              </w:rPr>
              <w:t>的产生率按用水量的80%计算，则项目职工洗浴、盥洗等其它生活废水的产生</w:t>
            </w:r>
          </w:p>
          <w:p w14:paraId="598E0CA3">
            <w:pPr>
              <w:pStyle w:val="6"/>
              <w:spacing w:before="6" w:line="221" w:lineRule="auto"/>
              <w:ind w:left="101"/>
              <w:rPr>
                <w:sz w:val="24"/>
                <w:szCs w:val="24"/>
              </w:rPr>
            </w:pPr>
            <w:r>
              <w:rPr>
                <w:spacing w:val="10"/>
                <w:sz w:val="24"/>
                <w:szCs w:val="24"/>
              </w:rPr>
              <w:t>量约为0.432m³/d、157.68m³/a。</w:t>
            </w:r>
          </w:p>
          <w:p w14:paraId="0EA494B9">
            <w:pPr>
              <w:pStyle w:val="6"/>
              <w:spacing w:before="181" w:line="356" w:lineRule="auto"/>
              <w:ind w:left="81" w:right="31" w:firstLine="509"/>
              <w:rPr>
                <w:sz w:val="24"/>
                <w:szCs w:val="24"/>
              </w:rPr>
            </w:pPr>
            <w:r>
              <w:rPr>
                <w:spacing w:val="-3"/>
                <w:sz w:val="24"/>
                <w:szCs w:val="24"/>
              </w:rPr>
              <w:t>因此，项目生活污水的产生量共计为0.576</w:t>
            </w:r>
            <w:r>
              <w:rPr>
                <w:spacing w:val="-4"/>
                <w:sz w:val="24"/>
                <w:szCs w:val="24"/>
              </w:rPr>
              <w:t>m³/d、210.24m³/a。生活污水污染</w:t>
            </w:r>
            <w:r>
              <w:rPr>
                <w:sz w:val="24"/>
                <w:szCs w:val="24"/>
              </w:rPr>
              <w:t xml:space="preserve"> </w:t>
            </w:r>
            <w:r>
              <w:rPr>
                <w:spacing w:val="-1"/>
                <w:sz w:val="24"/>
                <w:szCs w:val="24"/>
              </w:rPr>
              <w:t>物产生情况如下表。</w:t>
            </w:r>
          </w:p>
          <w:p w14:paraId="33ACAFFF">
            <w:pPr>
              <w:pStyle w:val="6"/>
              <w:spacing w:before="1" w:line="203" w:lineRule="auto"/>
              <w:ind w:left="2364"/>
              <w:rPr>
                <w:sz w:val="24"/>
                <w:szCs w:val="24"/>
              </w:rPr>
            </w:pPr>
            <w:r>
              <w:rPr>
                <w:b/>
                <w:bCs/>
                <w:spacing w:val="-4"/>
                <w:sz w:val="24"/>
                <w:szCs w:val="24"/>
              </w:rPr>
              <w:t>表4-11升压站生活污水产生情况</w:t>
            </w:r>
          </w:p>
        </w:tc>
      </w:tr>
      <w:tr w14:paraId="4D719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84" w:type="dxa"/>
            <w:vMerge w:val="continue"/>
            <w:tcBorders>
              <w:top w:val="nil"/>
            </w:tcBorders>
            <w:vAlign w:val="top"/>
          </w:tcPr>
          <w:p w14:paraId="5AB65C54">
            <w:pPr>
              <w:rPr>
                <w:rFonts w:ascii="Arial"/>
                <w:sz w:val="21"/>
              </w:rPr>
            </w:pPr>
          </w:p>
        </w:tc>
        <w:tc>
          <w:tcPr>
            <w:tcW w:w="110" w:type="dxa"/>
            <w:tcBorders>
              <w:right w:val="single" w:color="000000" w:sz="4" w:space="0"/>
            </w:tcBorders>
            <w:vAlign w:val="top"/>
          </w:tcPr>
          <w:p w14:paraId="2259F27F">
            <w:pPr>
              <w:rPr>
                <w:rFonts w:ascii="Arial"/>
                <w:sz w:val="21"/>
              </w:rPr>
            </w:pPr>
          </w:p>
        </w:tc>
        <w:tc>
          <w:tcPr>
            <w:tcW w:w="2277" w:type="dxa"/>
            <w:tcBorders>
              <w:left w:val="single" w:color="000000" w:sz="4" w:space="0"/>
            </w:tcBorders>
            <w:vAlign w:val="top"/>
          </w:tcPr>
          <w:p w14:paraId="5993446B">
            <w:pPr>
              <w:pStyle w:val="6"/>
              <w:spacing w:before="60" w:line="211" w:lineRule="auto"/>
              <w:ind w:left="610"/>
              <w:rPr>
                <w:sz w:val="24"/>
                <w:szCs w:val="24"/>
              </w:rPr>
            </w:pPr>
            <w:r>
              <w:rPr>
                <w:spacing w:val="2"/>
                <w:sz w:val="24"/>
                <w:szCs w:val="24"/>
              </w:rPr>
              <w:t>主要污染物</w:t>
            </w:r>
          </w:p>
        </w:tc>
        <w:tc>
          <w:tcPr>
            <w:tcW w:w="1219" w:type="dxa"/>
            <w:vAlign w:val="top"/>
          </w:tcPr>
          <w:p w14:paraId="604966A4">
            <w:pPr>
              <w:pStyle w:val="6"/>
              <w:spacing w:before="121" w:line="164" w:lineRule="auto"/>
              <w:ind w:left="314"/>
              <w:rPr>
                <w:sz w:val="24"/>
                <w:szCs w:val="24"/>
              </w:rPr>
            </w:pPr>
            <w:r>
              <w:rPr>
                <w:spacing w:val="-2"/>
                <w:sz w:val="24"/>
                <w:szCs w:val="24"/>
              </w:rPr>
              <w:t>CODcr</w:t>
            </w:r>
          </w:p>
        </w:tc>
        <w:tc>
          <w:tcPr>
            <w:tcW w:w="1099" w:type="dxa"/>
            <w:vAlign w:val="top"/>
          </w:tcPr>
          <w:p w14:paraId="4C0A3196">
            <w:pPr>
              <w:pStyle w:val="6"/>
              <w:spacing w:before="96" w:line="183" w:lineRule="auto"/>
              <w:ind w:left="265"/>
              <w:rPr>
                <w:rFonts w:ascii="Calibri" w:hAnsi="Calibri" w:eastAsia="Calibri" w:cs="Calibri"/>
                <w:sz w:val="24"/>
                <w:szCs w:val="24"/>
              </w:rPr>
            </w:pPr>
            <w:r>
              <w:rPr>
                <w:spacing w:val="-1"/>
                <w:sz w:val="24"/>
                <w:szCs w:val="24"/>
              </w:rPr>
              <w:t>BOD</w:t>
            </w:r>
            <w:r>
              <w:rPr>
                <w:rFonts w:ascii="Calibri" w:hAnsi="Calibri" w:eastAsia="Calibri" w:cs="Calibri"/>
                <w:spacing w:val="-1"/>
                <w:sz w:val="24"/>
                <w:szCs w:val="24"/>
              </w:rPr>
              <w:t>₅</w:t>
            </w:r>
          </w:p>
        </w:tc>
        <w:tc>
          <w:tcPr>
            <w:tcW w:w="1219" w:type="dxa"/>
            <w:vAlign w:val="top"/>
          </w:tcPr>
          <w:p w14:paraId="6E776B83">
            <w:pPr>
              <w:pStyle w:val="6"/>
              <w:spacing w:before="97" w:line="182" w:lineRule="auto"/>
              <w:ind w:left="276"/>
              <w:rPr>
                <w:sz w:val="24"/>
                <w:szCs w:val="24"/>
              </w:rPr>
            </w:pPr>
            <w:r>
              <w:rPr>
                <w:spacing w:val="-1"/>
                <w:sz w:val="24"/>
                <w:szCs w:val="24"/>
              </w:rPr>
              <w:t>NH</w:t>
            </w:r>
            <w:r>
              <w:rPr>
                <w:rFonts w:ascii="Calibri" w:hAnsi="Calibri" w:eastAsia="Calibri" w:cs="Calibri"/>
                <w:spacing w:val="-1"/>
                <w:sz w:val="24"/>
                <w:szCs w:val="24"/>
              </w:rPr>
              <w:t>₃</w:t>
            </w:r>
            <w:r>
              <w:rPr>
                <w:spacing w:val="-1"/>
                <w:sz w:val="24"/>
                <w:szCs w:val="24"/>
              </w:rPr>
              <w:t>-N</w:t>
            </w:r>
          </w:p>
        </w:tc>
        <w:tc>
          <w:tcPr>
            <w:tcW w:w="1099" w:type="dxa"/>
            <w:vAlign w:val="top"/>
          </w:tcPr>
          <w:p w14:paraId="38BC5BA8">
            <w:pPr>
              <w:pStyle w:val="6"/>
              <w:spacing w:before="121" w:line="164" w:lineRule="auto"/>
              <w:ind w:left="407"/>
              <w:rPr>
                <w:sz w:val="24"/>
                <w:szCs w:val="24"/>
              </w:rPr>
            </w:pPr>
            <w:r>
              <w:rPr>
                <w:spacing w:val="-3"/>
                <w:sz w:val="24"/>
                <w:szCs w:val="24"/>
              </w:rPr>
              <w:t>SS</w:t>
            </w:r>
          </w:p>
        </w:tc>
        <w:tc>
          <w:tcPr>
            <w:tcW w:w="1358" w:type="dxa"/>
            <w:tcBorders>
              <w:right w:val="single" w:color="000000" w:sz="4" w:space="0"/>
            </w:tcBorders>
            <w:vAlign w:val="top"/>
          </w:tcPr>
          <w:p w14:paraId="4ACC12DB">
            <w:pPr>
              <w:pStyle w:val="6"/>
              <w:spacing w:before="59" w:line="212" w:lineRule="auto"/>
              <w:ind w:left="268"/>
              <w:rPr>
                <w:sz w:val="24"/>
                <w:szCs w:val="24"/>
              </w:rPr>
            </w:pPr>
            <w:r>
              <w:rPr>
                <w:spacing w:val="6"/>
                <w:sz w:val="24"/>
                <w:szCs w:val="24"/>
              </w:rPr>
              <w:t>动植物油</w:t>
            </w:r>
          </w:p>
        </w:tc>
        <w:tc>
          <w:tcPr>
            <w:tcW w:w="142" w:type="dxa"/>
            <w:tcBorders>
              <w:left w:val="single" w:color="000000" w:sz="4" w:space="0"/>
            </w:tcBorders>
            <w:vAlign w:val="top"/>
          </w:tcPr>
          <w:p w14:paraId="009F3ED4">
            <w:pPr>
              <w:rPr>
                <w:rFonts w:ascii="Arial"/>
                <w:sz w:val="21"/>
              </w:rPr>
            </w:pPr>
          </w:p>
        </w:tc>
      </w:tr>
    </w:tbl>
    <w:p w14:paraId="27C9ACBB">
      <w:pPr>
        <w:pStyle w:val="2"/>
      </w:pPr>
    </w:p>
    <w:p w14:paraId="266DA755">
      <w:pPr>
        <w:sectPr>
          <w:footerReference r:id="rId157" w:type="default"/>
          <w:pgSz w:w="11910" w:h="16830"/>
          <w:pgMar w:top="400" w:right="1247" w:bottom="1252" w:left="1244" w:header="0" w:footer="1081" w:gutter="0"/>
          <w:cols w:space="720" w:num="1"/>
        </w:sectPr>
      </w:pPr>
    </w:p>
    <w:p w14:paraId="3A88A02B">
      <w:pPr>
        <w:spacing w:before="18"/>
      </w:pPr>
    </w:p>
    <w:p w14:paraId="6EF44612">
      <w:pPr>
        <w:spacing w:before="17"/>
      </w:pPr>
    </w:p>
    <w:p w14:paraId="356F00AA">
      <w:pPr>
        <w:spacing w:before="17"/>
      </w:pPr>
    </w:p>
    <w:p w14:paraId="4D84F6B2">
      <w:pPr>
        <w:spacing w:before="17"/>
      </w:pPr>
    </w:p>
    <w:tbl>
      <w:tblPr>
        <w:tblStyle w:val="5"/>
        <w:tblW w:w="937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4"/>
        <w:gridCol w:w="100"/>
        <w:gridCol w:w="1328"/>
        <w:gridCol w:w="969"/>
        <w:gridCol w:w="1199"/>
        <w:gridCol w:w="1089"/>
        <w:gridCol w:w="1219"/>
        <w:gridCol w:w="1119"/>
        <w:gridCol w:w="1338"/>
        <w:gridCol w:w="121"/>
      </w:tblGrid>
      <w:tr w14:paraId="3A25A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94" w:type="dxa"/>
            <w:vMerge w:val="restart"/>
            <w:tcBorders>
              <w:bottom w:val="nil"/>
            </w:tcBorders>
            <w:vAlign w:val="top"/>
          </w:tcPr>
          <w:p w14:paraId="172C3972">
            <w:pPr>
              <w:rPr>
                <w:rFonts w:ascii="Arial"/>
                <w:sz w:val="21"/>
              </w:rPr>
            </w:pPr>
          </w:p>
        </w:tc>
        <w:tc>
          <w:tcPr>
            <w:tcW w:w="100" w:type="dxa"/>
            <w:tcBorders>
              <w:bottom w:val="nil"/>
            </w:tcBorders>
            <w:vAlign w:val="top"/>
          </w:tcPr>
          <w:p w14:paraId="2A6D49F4">
            <w:pPr>
              <w:rPr>
                <w:rFonts w:ascii="Arial"/>
                <w:sz w:val="21"/>
              </w:rPr>
            </w:pPr>
          </w:p>
        </w:tc>
        <w:tc>
          <w:tcPr>
            <w:tcW w:w="2297" w:type="dxa"/>
            <w:gridSpan w:val="2"/>
            <w:vAlign w:val="top"/>
          </w:tcPr>
          <w:p w14:paraId="2DFD0C0C">
            <w:pPr>
              <w:pStyle w:val="6"/>
              <w:spacing w:before="46" w:line="214" w:lineRule="auto"/>
              <w:ind w:left="471"/>
              <w:rPr>
                <w:sz w:val="24"/>
                <w:szCs w:val="24"/>
              </w:rPr>
            </w:pPr>
            <w:r>
              <w:rPr>
                <w:spacing w:val="8"/>
                <w:sz w:val="24"/>
                <w:szCs w:val="24"/>
              </w:rPr>
              <w:t>浓度(</w:t>
            </w:r>
            <w:r>
              <w:rPr>
                <w:sz w:val="24"/>
                <w:szCs w:val="24"/>
              </w:rPr>
              <w:t>mg</w:t>
            </w:r>
            <w:r>
              <w:rPr>
                <w:spacing w:val="8"/>
                <w:sz w:val="24"/>
                <w:szCs w:val="24"/>
              </w:rPr>
              <w:t>/L)</w:t>
            </w:r>
          </w:p>
        </w:tc>
        <w:tc>
          <w:tcPr>
            <w:tcW w:w="1199" w:type="dxa"/>
            <w:vAlign w:val="top"/>
          </w:tcPr>
          <w:p w14:paraId="07DFA921">
            <w:pPr>
              <w:pStyle w:val="6"/>
              <w:spacing w:before="78" w:line="197" w:lineRule="auto"/>
              <w:ind w:left="414"/>
              <w:rPr>
                <w:sz w:val="24"/>
                <w:szCs w:val="24"/>
              </w:rPr>
            </w:pPr>
            <w:r>
              <w:rPr>
                <w:spacing w:val="-4"/>
                <w:sz w:val="24"/>
                <w:szCs w:val="24"/>
              </w:rPr>
              <w:t>350</w:t>
            </w:r>
          </w:p>
        </w:tc>
        <w:tc>
          <w:tcPr>
            <w:tcW w:w="1089" w:type="dxa"/>
            <w:vAlign w:val="top"/>
          </w:tcPr>
          <w:p w14:paraId="33BB5A2A">
            <w:pPr>
              <w:pStyle w:val="6"/>
              <w:spacing w:before="78" w:line="197" w:lineRule="auto"/>
              <w:ind w:left="354"/>
              <w:rPr>
                <w:sz w:val="24"/>
                <w:szCs w:val="24"/>
              </w:rPr>
            </w:pPr>
            <w:r>
              <w:rPr>
                <w:spacing w:val="-3"/>
                <w:sz w:val="24"/>
                <w:szCs w:val="24"/>
              </w:rPr>
              <w:t>200</w:t>
            </w:r>
          </w:p>
        </w:tc>
        <w:tc>
          <w:tcPr>
            <w:tcW w:w="1219" w:type="dxa"/>
            <w:vAlign w:val="top"/>
          </w:tcPr>
          <w:p w14:paraId="3A5D8BFA">
            <w:pPr>
              <w:pStyle w:val="6"/>
              <w:spacing w:before="78" w:line="197" w:lineRule="auto"/>
              <w:ind w:left="486"/>
              <w:rPr>
                <w:sz w:val="24"/>
                <w:szCs w:val="24"/>
              </w:rPr>
            </w:pPr>
            <w:r>
              <w:rPr>
                <w:spacing w:val="-4"/>
                <w:sz w:val="24"/>
                <w:szCs w:val="24"/>
              </w:rPr>
              <w:t>25</w:t>
            </w:r>
          </w:p>
        </w:tc>
        <w:tc>
          <w:tcPr>
            <w:tcW w:w="1119" w:type="dxa"/>
            <w:vAlign w:val="top"/>
          </w:tcPr>
          <w:p w14:paraId="6F54E652">
            <w:pPr>
              <w:pStyle w:val="6"/>
              <w:spacing w:before="78" w:line="197" w:lineRule="auto"/>
              <w:ind w:left="377"/>
              <w:rPr>
                <w:sz w:val="24"/>
                <w:szCs w:val="24"/>
              </w:rPr>
            </w:pPr>
            <w:r>
              <w:rPr>
                <w:spacing w:val="-3"/>
                <w:sz w:val="24"/>
                <w:szCs w:val="24"/>
              </w:rPr>
              <w:t>250</w:t>
            </w:r>
          </w:p>
        </w:tc>
        <w:tc>
          <w:tcPr>
            <w:tcW w:w="1338" w:type="dxa"/>
            <w:vAlign w:val="top"/>
          </w:tcPr>
          <w:p w14:paraId="4F375864">
            <w:pPr>
              <w:pStyle w:val="6"/>
              <w:spacing w:before="78" w:line="197" w:lineRule="auto"/>
              <w:ind w:left="548"/>
              <w:rPr>
                <w:sz w:val="24"/>
                <w:szCs w:val="24"/>
              </w:rPr>
            </w:pPr>
            <w:r>
              <w:rPr>
                <w:spacing w:val="-4"/>
                <w:sz w:val="24"/>
                <w:szCs w:val="24"/>
              </w:rPr>
              <w:t>20</w:t>
            </w:r>
          </w:p>
        </w:tc>
        <w:tc>
          <w:tcPr>
            <w:tcW w:w="121" w:type="dxa"/>
            <w:tcBorders>
              <w:bottom w:val="nil"/>
            </w:tcBorders>
            <w:vAlign w:val="top"/>
          </w:tcPr>
          <w:p w14:paraId="2103A2BE">
            <w:pPr>
              <w:rPr>
                <w:rFonts w:ascii="Arial"/>
                <w:sz w:val="21"/>
              </w:rPr>
            </w:pPr>
          </w:p>
        </w:tc>
      </w:tr>
      <w:tr w14:paraId="4DD20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894" w:type="dxa"/>
            <w:vMerge w:val="continue"/>
            <w:tcBorders>
              <w:top w:val="nil"/>
              <w:bottom w:val="nil"/>
            </w:tcBorders>
            <w:vAlign w:val="top"/>
          </w:tcPr>
          <w:p w14:paraId="6D9679F8">
            <w:pPr>
              <w:rPr>
                <w:rFonts w:ascii="Arial"/>
                <w:sz w:val="21"/>
              </w:rPr>
            </w:pPr>
          </w:p>
        </w:tc>
        <w:tc>
          <w:tcPr>
            <w:tcW w:w="100" w:type="dxa"/>
            <w:tcBorders>
              <w:top w:val="nil"/>
              <w:bottom w:val="nil"/>
            </w:tcBorders>
            <w:vAlign w:val="top"/>
          </w:tcPr>
          <w:p w14:paraId="72F3E567">
            <w:pPr>
              <w:rPr>
                <w:rFonts w:ascii="Arial"/>
                <w:sz w:val="21"/>
              </w:rPr>
            </w:pPr>
          </w:p>
        </w:tc>
        <w:tc>
          <w:tcPr>
            <w:tcW w:w="1328" w:type="dxa"/>
            <w:vMerge w:val="restart"/>
            <w:tcBorders>
              <w:bottom w:val="nil"/>
            </w:tcBorders>
            <w:vAlign w:val="top"/>
          </w:tcPr>
          <w:p w14:paraId="4350FBCF">
            <w:pPr>
              <w:pStyle w:val="6"/>
              <w:spacing w:before="220" w:line="219" w:lineRule="auto"/>
              <w:ind w:left="330"/>
              <w:rPr>
                <w:sz w:val="24"/>
                <w:szCs w:val="24"/>
              </w:rPr>
            </w:pPr>
            <w:r>
              <w:rPr>
                <w:spacing w:val="-3"/>
                <w:sz w:val="24"/>
                <w:szCs w:val="24"/>
              </w:rPr>
              <w:t>产生量</w:t>
            </w:r>
          </w:p>
        </w:tc>
        <w:tc>
          <w:tcPr>
            <w:tcW w:w="969" w:type="dxa"/>
            <w:vAlign w:val="top"/>
          </w:tcPr>
          <w:p w14:paraId="742D2681">
            <w:pPr>
              <w:pStyle w:val="6"/>
              <w:spacing w:before="41" w:line="211" w:lineRule="auto"/>
              <w:ind w:left="233"/>
              <w:rPr>
                <w:sz w:val="24"/>
                <w:szCs w:val="24"/>
              </w:rPr>
            </w:pPr>
            <w:r>
              <w:rPr>
                <w:spacing w:val="-2"/>
                <w:sz w:val="24"/>
                <w:szCs w:val="24"/>
              </w:rPr>
              <w:t>kg/d</w:t>
            </w:r>
          </w:p>
        </w:tc>
        <w:tc>
          <w:tcPr>
            <w:tcW w:w="1199" w:type="dxa"/>
            <w:vAlign w:val="top"/>
          </w:tcPr>
          <w:p w14:paraId="05E32B04">
            <w:pPr>
              <w:pStyle w:val="6"/>
              <w:spacing w:before="74" w:line="186" w:lineRule="auto"/>
              <w:ind w:left="354"/>
              <w:rPr>
                <w:sz w:val="24"/>
                <w:szCs w:val="24"/>
              </w:rPr>
            </w:pPr>
            <w:r>
              <w:rPr>
                <w:spacing w:val="-3"/>
                <w:sz w:val="24"/>
                <w:szCs w:val="24"/>
              </w:rPr>
              <w:t>0.21</w:t>
            </w:r>
          </w:p>
        </w:tc>
        <w:tc>
          <w:tcPr>
            <w:tcW w:w="1089" w:type="dxa"/>
            <w:vAlign w:val="top"/>
          </w:tcPr>
          <w:p w14:paraId="1A77A19E">
            <w:pPr>
              <w:pStyle w:val="6"/>
              <w:spacing w:before="74" w:line="186" w:lineRule="auto"/>
              <w:ind w:left="235"/>
              <w:rPr>
                <w:sz w:val="24"/>
                <w:szCs w:val="24"/>
              </w:rPr>
            </w:pPr>
            <w:r>
              <w:rPr>
                <w:spacing w:val="-2"/>
                <w:sz w:val="24"/>
                <w:szCs w:val="24"/>
              </w:rPr>
              <w:t>0.115</w:t>
            </w:r>
          </w:p>
        </w:tc>
        <w:tc>
          <w:tcPr>
            <w:tcW w:w="1219" w:type="dxa"/>
            <w:vAlign w:val="top"/>
          </w:tcPr>
          <w:p w14:paraId="2359BD89">
            <w:pPr>
              <w:pStyle w:val="6"/>
              <w:spacing w:before="74" w:line="186" w:lineRule="auto"/>
              <w:ind w:left="246"/>
              <w:rPr>
                <w:sz w:val="24"/>
                <w:szCs w:val="24"/>
              </w:rPr>
            </w:pPr>
            <w:r>
              <w:rPr>
                <w:spacing w:val="-2"/>
                <w:sz w:val="24"/>
                <w:szCs w:val="24"/>
              </w:rPr>
              <w:t>0.0144</w:t>
            </w:r>
          </w:p>
        </w:tc>
        <w:tc>
          <w:tcPr>
            <w:tcW w:w="1119" w:type="dxa"/>
            <w:vAlign w:val="top"/>
          </w:tcPr>
          <w:p w14:paraId="7B9E2DCA">
            <w:pPr>
              <w:pStyle w:val="6"/>
              <w:spacing w:before="74" w:line="186" w:lineRule="auto"/>
              <w:ind w:left="257"/>
              <w:rPr>
                <w:sz w:val="24"/>
                <w:szCs w:val="24"/>
              </w:rPr>
            </w:pPr>
            <w:r>
              <w:rPr>
                <w:spacing w:val="-2"/>
                <w:sz w:val="24"/>
                <w:szCs w:val="24"/>
              </w:rPr>
              <w:t>0.144</w:t>
            </w:r>
          </w:p>
        </w:tc>
        <w:tc>
          <w:tcPr>
            <w:tcW w:w="1338" w:type="dxa"/>
            <w:vAlign w:val="top"/>
          </w:tcPr>
          <w:p w14:paraId="59ABE81B">
            <w:pPr>
              <w:pStyle w:val="6"/>
              <w:spacing w:before="74" w:line="186" w:lineRule="auto"/>
              <w:ind w:left="308"/>
              <w:rPr>
                <w:sz w:val="24"/>
                <w:szCs w:val="24"/>
              </w:rPr>
            </w:pPr>
            <w:r>
              <w:rPr>
                <w:spacing w:val="-2"/>
                <w:sz w:val="24"/>
                <w:szCs w:val="24"/>
              </w:rPr>
              <w:t>0.0115</w:t>
            </w:r>
          </w:p>
        </w:tc>
        <w:tc>
          <w:tcPr>
            <w:tcW w:w="121" w:type="dxa"/>
            <w:tcBorders>
              <w:top w:val="nil"/>
              <w:bottom w:val="nil"/>
            </w:tcBorders>
            <w:vAlign w:val="top"/>
          </w:tcPr>
          <w:p w14:paraId="0DA47639">
            <w:pPr>
              <w:rPr>
                <w:rFonts w:ascii="Arial"/>
                <w:sz w:val="21"/>
              </w:rPr>
            </w:pPr>
          </w:p>
        </w:tc>
      </w:tr>
      <w:tr w14:paraId="15628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894" w:type="dxa"/>
            <w:vMerge w:val="continue"/>
            <w:tcBorders>
              <w:top w:val="nil"/>
              <w:bottom w:val="nil"/>
            </w:tcBorders>
            <w:vAlign w:val="top"/>
          </w:tcPr>
          <w:p w14:paraId="40D76474">
            <w:pPr>
              <w:rPr>
                <w:rFonts w:ascii="Arial"/>
                <w:sz w:val="21"/>
              </w:rPr>
            </w:pPr>
          </w:p>
        </w:tc>
        <w:tc>
          <w:tcPr>
            <w:tcW w:w="100" w:type="dxa"/>
            <w:tcBorders>
              <w:top w:val="nil"/>
            </w:tcBorders>
            <w:vAlign w:val="top"/>
          </w:tcPr>
          <w:p w14:paraId="7C830B71">
            <w:pPr>
              <w:rPr>
                <w:rFonts w:ascii="Arial"/>
                <w:sz w:val="21"/>
              </w:rPr>
            </w:pPr>
          </w:p>
        </w:tc>
        <w:tc>
          <w:tcPr>
            <w:tcW w:w="1328" w:type="dxa"/>
            <w:vMerge w:val="continue"/>
            <w:tcBorders>
              <w:top w:val="nil"/>
            </w:tcBorders>
            <w:vAlign w:val="top"/>
          </w:tcPr>
          <w:p w14:paraId="60CD8AC4">
            <w:pPr>
              <w:rPr>
                <w:rFonts w:ascii="Arial"/>
                <w:sz w:val="21"/>
              </w:rPr>
            </w:pPr>
          </w:p>
        </w:tc>
        <w:tc>
          <w:tcPr>
            <w:tcW w:w="969" w:type="dxa"/>
            <w:vAlign w:val="top"/>
          </w:tcPr>
          <w:p w14:paraId="28A89AD6">
            <w:pPr>
              <w:pStyle w:val="6"/>
              <w:spacing w:before="70" w:line="202" w:lineRule="auto"/>
              <w:ind w:left="293"/>
              <w:rPr>
                <w:sz w:val="24"/>
                <w:szCs w:val="24"/>
              </w:rPr>
            </w:pPr>
            <w:r>
              <w:rPr>
                <w:spacing w:val="-4"/>
                <w:sz w:val="24"/>
                <w:szCs w:val="24"/>
              </w:rPr>
              <w:t>t/a</w:t>
            </w:r>
          </w:p>
        </w:tc>
        <w:tc>
          <w:tcPr>
            <w:tcW w:w="1199" w:type="dxa"/>
            <w:vAlign w:val="top"/>
          </w:tcPr>
          <w:p w14:paraId="05EE598D">
            <w:pPr>
              <w:pStyle w:val="6"/>
              <w:spacing w:before="87" w:line="189" w:lineRule="auto"/>
              <w:ind w:left="294"/>
              <w:rPr>
                <w:sz w:val="24"/>
                <w:szCs w:val="24"/>
              </w:rPr>
            </w:pPr>
            <w:r>
              <w:rPr>
                <w:spacing w:val="-2"/>
                <w:sz w:val="24"/>
                <w:szCs w:val="24"/>
              </w:rPr>
              <w:t>0.074</w:t>
            </w:r>
          </w:p>
        </w:tc>
        <w:tc>
          <w:tcPr>
            <w:tcW w:w="1089" w:type="dxa"/>
            <w:vAlign w:val="top"/>
          </w:tcPr>
          <w:p w14:paraId="27B95155">
            <w:pPr>
              <w:pStyle w:val="6"/>
              <w:spacing w:before="87" w:line="189" w:lineRule="auto"/>
              <w:ind w:left="235"/>
              <w:rPr>
                <w:sz w:val="24"/>
                <w:szCs w:val="24"/>
              </w:rPr>
            </w:pPr>
            <w:r>
              <w:rPr>
                <w:spacing w:val="-2"/>
                <w:sz w:val="24"/>
                <w:szCs w:val="24"/>
              </w:rPr>
              <w:t>0.042</w:t>
            </w:r>
          </w:p>
        </w:tc>
        <w:tc>
          <w:tcPr>
            <w:tcW w:w="1219" w:type="dxa"/>
            <w:vAlign w:val="top"/>
          </w:tcPr>
          <w:p w14:paraId="5A7B7678">
            <w:pPr>
              <w:pStyle w:val="6"/>
              <w:spacing w:before="87" w:line="189" w:lineRule="auto"/>
              <w:ind w:left="246"/>
              <w:rPr>
                <w:sz w:val="24"/>
                <w:szCs w:val="24"/>
              </w:rPr>
            </w:pPr>
            <w:r>
              <w:rPr>
                <w:spacing w:val="-2"/>
                <w:sz w:val="24"/>
                <w:szCs w:val="24"/>
              </w:rPr>
              <w:t>0.0052</w:t>
            </w:r>
          </w:p>
        </w:tc>
        <w:tc>
          <w:tcPr>
            <w:tcW w:w="1119" w:type="dxa"/>
            <w:vAlign w:val="top"/>
          </w:tcPr>
          <w:p w14:paraId="7E877176">
            <w:pPr>
              <w:pStyle w:val="6"/>
              <w:spacing w:before="87" w:line="189" w:lineRule="auto"/>
              <w:ind w:left="257"/>
              <w:rPr>
                <w:sz w:val="24"/>
                <w:szCs w:val="24"/>
              </w:rPr>
            </w:pPr>
            <w:r>
              <w:rPr>
                <w:spacing w:val="-2"/>
                <w:sz w:val="24"/>
                <w:szCs w:val="24"/>
              </w:rPr>
              <w:t>0.053</w:t>
            </w:r>
          </w:p>
        </w:tc>
        <w:tc>
          <w:tcPr>
            <w:tcW w:w="1338" w:type="dxa"/>
            <w:vAlign w:val="top"/>
          </w:tcPr>
          <w:p w14:paraId="3B6F5A43">
            <w:pPr>
              <w:pStyle w:val="6"/>
              <w:spacing w:before="87" w:line="189" w:lineRule="auto"/>
              <w:ind w:left="308"/>
              <w:rPr>
                <w:sz w:val="24"/>
                <w:szCs w:val="24"/>
              </w:rPr>
            </w:pPr>
            <w:r>
              <w:rPr>
                <w:spacing w:val="-2"/>
                <w:sz w:val="24"/>
                <w:szCs w:val="24"/>
              </w:rPr>
              <w:t>0.0042</w:t>
            </w:r>
          </w:p>
        </w:tc>
        <w:tc>
          <w:tcPr>
            <w:tcW w:w="121" w:type="dxa"/>
            <w:tcBorders>
              <w:top w:val="nil"/>
            </w:tcBorders>
            <w:vAlign w:val="top"/>
          </w:tcPr>
          <w:p w14:paraId="421E1777">
            <w:pPr>
              <w:rPr>
                <w:rFonts w:ascii="Arial"/>
                <w:sz w:val="21"/>
              </w:rPr>
            </w:pPr>
          </w:p>
        </w:tc>
      </w:tr>
      <w:tr w14:paraId="49CAB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6" w:hRule="atLeast"/>
        </w:trPr>
        <w:tc>
          <w:tcPr>
            <w:tcW w:w="894" w:type="dxa"/>
            <w:vMerge w:val="continue"/>
            <w:tcBorders>
              <w:top w:val="nil"/>
            </w:tcBorders>
            <w:vAlign w:val="top"/>
          </w:tcPr>
          <w:p w14:paraId="734770B3">
            <w:pPr>
              <w:rPr>
                <w:rFonts w:ascii="Arial"/>
                <w:sz w:val="21"/>
              </w:rPr>
            </w:pPr>
          </w:p>
        </w:tc>
        <w:tc>
          <w:tcPr>
            <w:tcW w:w="8482" w:type="dxa"/>
            <w:gridSpan w:val="9"/>
            <w:vAlign w:val="top"/>
          </w:tcPr>
          <w:p w14:paraId="1EA33D48">
            <w:pPr>
              <w:pStyle w:val="6"/>
              <w:spacing w:before="48" w:line="353" w:lineRule="auto"/>
              <w:ind w:left="91" w:firstLine="459"/>
              <w:rPr>
                <w:sz w:val="24"/>
                <w:szCs w:val="24"/>
              </w:rPr>
            </w:pPr>
            <w:r>
              <w:rPr>
                <w:sz w:val="24"/>
                <w:szCs w:val="24"/>
              </w:rPr>
              <w:t xml:space="preserve">根据同类光伏发电站运行经验，结合项目可研报告要求，本评价要求在升压 </w:t>
            </w:r>
            <w:r>
              <w:rPr>
                <w:spacing w:val="3"/>
                <w:sz w:val="24"/>
                <w:szCs w:val="24"/>
              </w:rPr>
              <w:t>站办公生活区内设置食堂废水隔油池(1座、不小于容积为0.2m³),食堂废水</w:t>
            </w:r>
          </w:p>
          <w:p w14:paraId="67C3C7EC">
            <w:pPr>
              <w:pStyle w:val="6"/>
              <w:spacing w:before="14" w:line="219" w:lineRule="auto"/>
              <w:ind w:left="91"/>
              <w:rPr>
                <w:sz w:val="24"/>
                <w:szCs w:val="24"/>
              </w:rPr>
            </w:pPr>
            <w:r>
              <w:rPr>
                <w:spacing w:val="5"/>
                <w:sz w:val="24"/>
                <w:szCs w:val="24"/>
              </w:rPr>
              <w:t>经隔油预处理后与其他生活废水一起进入化粪池(1</w:t>
            </w:r>
            <w:r>
              <w:rPr>
                <w:spacing w:val="4"/>
                <w:sz w:val="24"/>
                <w:szCs w:val="24"/>
              </w:rPr>
              <w:t>座、不小于容积为1.0m³)</w:t>
            </w:r>
          </w:p>
          <w:p w14:paraId="6F2493C3">
            <w:pPr>
              <w:pStyle w:val="6"/>
              <w:spacing w:before="184" w:line="356" w:lineRule="auto"/>
              <w:ind w:left="91" w:right="208"/>
              <w:rPr>
                <w:sz w:val="24"/>
                <w:szCs w:val="24"/>
              </w:rPr>
            </w:pPr>
            <w:r>
              <w:rPr>
                <w:spacing w:val="3"/>
                <w:sz w:val="24"/>
                <w:szCs w:val="24"/>
              </w:rPr>
              <w:t>预处理，后统一进入一体化生活废水处理站(处理规模边不小于1.0m³/d)进行</w:t>
            </w:r>
            <w:r>
              <w:rPr>
                <w:spacing w:val="17"/>
                <w:sz w:val="24"/>
                <w:szCs w:val="24"/>
              </w:rPr>
              <w:t xml:space="preserve"> </w:t>
            </w:r>
            <w:r>
              <w:rPr>
                <w:spacing w:val="1"/>
                <w:sz w:val="24"/>
                <w:szCs w:val="24"/>
              </w:rPr>
              <w:t>处理，处理达到《城市污水再生利用城市杂用水水质》</w:t>
            </w:r>
            <w:r>
              <w:rPr>
                <w:sz w:val="24"/>
                <w:szCs w:val="24"/>
              </w:rPr>
              <w:t>(GB/T18920-2020)中</w:t>
            </w:r>
          </w:p>
          <w:p w14:paraId="1DE5027C">
            <w:pPr>
              <w:pStyle w:val="6"/>
              <w:spacing w:before="14" w:line="356" w:lineRule="auto"/>
              <w:ind w:left="128" w:right="68" w:hanging="129"/>
              <w:rPr>
                <w:sz w:val="24"/>
                <w:szCs w:val="24"/>
              </w:rPr>
            </w:pPr>
            <w:r>
              <w:rPr>
                <w:spacing w:val="7"/>
                <w:sz w:val="24"/>
                <w:szCs w:val="24"/>
              </w:rPr>
              <w:t>“城市绿化、道路清扫”标准后排入生活废水</w:t>
            </w:r>
            <w:r>
              <w:rPr>
                <w:spacing w:val="6"/>
                <w:sz w:val="24"/>
                <w:szCs w:val="24"/>
              </w:rPr>
              <w:t>收集池(1座、不小于容积为4m³)</w:t>
            </w:r>
            <w:r>
              <w:rPr>
                <w:sz w:val="24"/>
                <w:szCs w:val="24"/>
              </w:rPr>
              <w:t xml:space="preserve"> </w:t>
            </w:r>
            <w:r>
              <w:rPr>
                <w:spacing w:val="-1"/>
                <w:sz w:val="24"/>
                <w:szCs w:val="24"/>
              </w:rPr>
              <w:t>作为升压站场区晴天绿化、道路降尘用水回</w:t>
            </w:r>
            <w:r>
              <w:rPr>
                <w:spacing w:val="-2"/>
                <w:sz w:val="24"/>
                <w:szCs w:val="24"/>
              </w:rPr>
              <w:t>用，雨天储存，不外排。</w:t>
            </w:r>
          </w:p>
          <w:p w14:paraId="6EEAD9CF">
            <w:pPr>
              <w:pStyle w:val="6"/>
              <w:spacing w:before="25" w:line="219" w:lineRule="auto"/>
              <w:ind w:left="700"/>
              <w:rPr>
                <w:sz w:val="24"/>
                <w:szCs w:val="24"/>
              </w:rPr>
            </w:pPr>
            <w:r>
              <w:rPr>
                <w:spacing w:val="1"/>
                <w:sz w:val="24"/>
                <w:szCs w:val="24"/>
              </w:rPr>
              <w:t>(3)绿化、降尘用水</w:t>
            </w:r>
          </w:p>
          <w:p w14:paraId="26AC8C96">
            <w:pPr>
              <w:pStyle w:val="6"/>
              <w:spacing w:before="160" w:line="358" w:lineRule="auto"/>
              <w:ind w:left="91" w:right="111" w:firstLine="459"/>
              <w:rPr>
                <w:sz w:val="24"/>
                <w:szCs w:val="24"/>
              </w:rPr>
            </w:pPr>
            <w:r>
              <w:rPr>
                <w:spacing w:val="4"/>
                <w:sz w:val="24"/>
                <w:szCs w:val="24"/>
              </w:rPr>
              <w:t>根据初步设计，项目升压站内绿化面积为350m²</w:t>
            </w:r>
            <w:r>
              <w:rPr>
                <w:spacing w:val="3"/>
                <w:sz w:val="24"/>
                <w:szCs w:val="24"/>
              </w:rPr>
              <w:t>,绿化用水参照《云南省地</w:t>
            </w:r>
            <w:r>
              <w:rPr>
                <w:sz w:val="24"/>
                <w:szCs w:val="24"/>
              </w:rPr>
              <w:t xml:space="preserve"> 方标准用水定额》(DB53/T</w:t>
            </w:r>
            <w:r>
              <w:rPr>
                <w:spacing w:val="34"/>
                <w:sz w:val="24"/>
                <w:szCs w:val="24"/>
              </w:rPr>
              <w:t xml:space="preserve"> </w:t>
            </w:r>
            <w:r>
              <w:rPr>
                <w:sz w:val="24"/>
                <w:szCs w:val="24"/>
              </w:rPr>
              <w:t>168-2019)取3</w:t>
            </w:r>
            <w:r>
              <w:rPr>
                <w:spacing w:val="-1"/>
                <w:sz w:val="24"/>
                <w:szCs w:val="24"/>
              </w:rPr>
              <w:t>L/m²</w:t>
            </w:r>
            <w:r>
              <w:rPr>
                <w:spacing w:val="-25"/>
                <w:sz w:val="24"/>
                <w:szCs w:val="24"/>
              </w:rPr>
              <w:t xml:space="preserve"> </w:t>
            </w:r>
            <w:r>
              <w:rPr>
                <w:spacing w:val="-1"/>
                <w:sz w:val="24"/>
                <w:szCs w:val="24"/>
              </w:rPr>
              <w:t>·</w:t>
            </w:r>
            <w:r>
              <w:rPr>
                <w:spacing w:val="-101"/>
                <w:sz w:val="24"/>
                <w:szCs w:val="24"/>
              </w:rPr>
              <w:t xml:space="preserve"> </w:t>
            </w:r>
            <w:r>
              <w:rPr>
                <w:spacing w:val="-1"/>
                <w:sz w:val="24"/>
                <w:szCs w:val="24"/>
              </w:rPr>
              <w:t>次，晴天每天浇灌1次，雨天</w:t>
            </w:r>
            <w:r>
              <w:rPr>
                <w:sz w:val="24"/>
                <w:szCs w:val="24"/>
              </w:rPr>
              <w:t xml:space="preserve"> </w:t>
            </w:r>
            <w:r>
              <w:rPr>
                <w:spacing w:val="1"/>
                <w:sz w:val="24"/>
                <w:szCs w:val="24"/>
              </w:rPr>
              <w:t>不进行绿化浇灌。项目区年降雨天数为137天，晴天为228</w:t>
            </w:r>
            <w:r>
              <w:rPr>
                <w:sz w:val="24"/>
                <w:szCs w:val="24"/>
              </w:rPr>
              <w:t xml:space="preserve">天。则升压站绿化用 </w:t>
            </w:r>
            <w:r>
              <w:rPr>
                <w:spacing w:val="11"/>
                <w:sz w:val="24"/>
                <w:szCs w:val="24"/>
              </w:rPr>
              <w:t>水量为1.05m³/d、239.4m³/a。</w:t>
            </w:r>
          </w:p>
          <w:p w14:paraId="4E58FB48">
            <w:pPr>
              <w:pStyle w:val="6"/>
              <w:spacing w:before="1" w:line="362" w:lineRule="auto"/>
              <w:ind w:left="91" w:right="311" w:firstLine="479"/>
              <w:jc w:val="both"/>
              <w:rPr>
                <w:sz w:val="24"/>
                <w:szCs w:val="24"/>
              </w:rPr>
            </w:pPr>
            <w:r>
              <w:rPr>
                <w:spacing w:val="4"/>
                <w:sz w:val="24"/>
                <w:szCs w:val="24"/>
              </w:rPr>
              <w:t>升压站内道路及广场面积为900m²,降尘用水量参照《云南省地方标准用</w:t>
            </w:r>
            <w:r>
              <w:rPr>
                <w:spacing w:val="12"/>
                <w:sz w:val="24"/>
                <w:szCs w:val="24"/>
              </w:rPr>
              <w:t xml:space="preserve"> </w:t>
            </w:r>
            <w:r>
              <w:rPr>
                <w:sz w:val="24"/>
                <w:szCs w:val="24"/>
              </w:rPr>
              <w:t>水定额》(DB53/T168-2019)取2L/m²</w:t>
            </w:r>
            <w:r>
              <w:rPr>
                <w:spacing w:val="-8"/>
                <w:sz w:val="24"/>
                <w:szCs w:val="24"/>
              </w:rPr>
              <w:t xml:space="preserve"> </w:t>
            </w:r>
            <w:r>
              <w:rPr>
                <w:sz w:val="24"/>
                <w:szCs w:val="24"/>
              </w:rPr>
              <w:t>·</w:t>
            </w:r>
            <w:r>
              <w:rPr>
                <w:spacing w:val="-101"/>
                <w:sz w:val="24"/>
                <w:szCs w:val="24"/>
              </w:rPr>
              <w:t xml:space="preserve"> </w:t>
            </w:r>
            <w:r>
              <w:rPr>
                <w:sz w:val="24"/>
                <w:szCs w:val="24"/>
              </w:rPr>
              <w:t xml:space="preserve">次，晴天每日降尘2次，雨天不进行洒 </w:t>
            </w:r>
            <w:r>
              <w:rPr>
                <w:spacing w:val="8"/>
                <w:sz w:val="24"/>
                <w:szCs w:val="24"/>
              </w:rPr>
              <w:t>水降尘，则升压站降尘用水量为3.6m³/d、820</w:t>
            </w:r>
            <w:r>
              <w:rPr>
                <w:spacing w:val="7"/>
                <w:sz w:val="24"/>
                <w:szCs w:val="24"/>
              </w:rPr>
              <w:t>.8m³/a。</w:t>
            </w:r>
          </w:p>
          <w:p w14:paraId="26979E67">
            <w:pPr>
              <w:pStyle w:val="6"/>
              <w:spacing w:before="3" w:line="353" w:lineRule="auto"/>
              <w:ind w:left="91" w:right="9" w:firstLine="479"/>
              <w:rPr>
                <w:sz w:val="24"/>
                <w:szCs w:val="24"/>
              </w:rPr>
            </w:pPr>
            <w:r>
              <w:rPr>
                <w:spacing w:val="-1"/>
                <w:sz w:val="24"/>
                <w:szCs w:val="24"/>
              </w:rPr>
              <w:t>因此，项目升压站绿化、道路降尘用水共计4.65m³/d、1060.2m³/a。用水随</w:t>
            </w:r>
            <w:r>
              <w:rPr>
                <w:spacing w:val="12"/>
                <w:sz w:val="24"/>
                <w:szCs w:val="24"/>
              </w:rPr>
              <w:t xml:space="preserve"> </w:t>
            </w:r>
            <w:r>
              <w:rPr>
                <w:sz w:val="24"/>
                <w:szCs w:val="24"/>
              </w:rPr>
              <w:t>地面吸收或蒸发，无废水产生。</w:t>
            </w:r>
          </w:p>
          <w:p w14:paraId="622AFE10">
            <w:pPr>
              <w:pStyle w:val="6"/>
              <w:spacing w:line="219" w:lineRule="auto"/>
              <w:ind w:left="571"/>
              <w:rPr>
                <w:sz w:val="24"/>
                <w:szCs w:val="24"/>
              </w:rPr>
            </w:pPr>
            <w:r>
              <w:rPr>
                <w:spacing w:val="1"/>
                <w:sz w:val="24"/>
                <w:szCs w:val="24"/>
              </w:rPr>
              <w:t>项目运营期间水量平衡图见图4-4。</w:t>
            </w:r>
          </w:p>
        </w:tc>
      </w:tr>
    </w:tbl>
    <w:p w14:paraId="00787E5D">
      <w:pPr>
        <w:pStyle w:val="2"/>
      </w:pPr>
    </w:p>
    <w:p w14:paraId="0AD269DB">
      <w:pPr>
        <w:sectPr>
          <w:footerReference r:id="rId158" w:type="default"/>
          <w:pgSz w:w="11910" w:h="16830"/>
          <w:pgMar w:top="400" w:right="1278" w:bottom="1245" w:left="1244" w:header="0" w:footer="1083" w:gutter="0"/>
          <w:cols w:space="720" w:num="1"/>
        </w:sectPr>
      </w:pPr>
    </w:p>
    <w:p w14:paraId="425D18D6">
      <w:pPr>
        <w:spacing w:before="18"/>
      </w:pPr>
    </w:p>
    <w:p w14:paraId="151B277A">
      <w:pPr>
        <w:spacing w:before="17"/>
      </w:pPr>
    </w:p>
    <w:p w14:paraId="5EC1A93E">
      <w:pPr>
        <w:spacing w:before="17"/>
      </w:pPr>
    </w:p>
    <w:p w14:paraId="23B6DB16">
      <w:pPr>
        <w:spacing w:before="17"/>
      </w:pPr>
    </w:p>
    <w:tbl>
      <w:tblPr>
        <w:tblStyle w:val="5"/>
        <w:tblW w:w="93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4"/>
        <w:gridCol w:w="8496"/>
      </w:tblGrid>
      <w:tr w14:paraId="0DD9F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1" w:hRule="atLeast"/>
        </w:trPr>
        <w:tc>
          <w:tcPr>
            <w:tcW w:w="894" w:type="dxa"/>
            <w:vMerge w:val="restart"/>
            <w:tcBorders>
              <w:bottom w:val="nil"/>
            </w:tcBorders>
            <w:vAlign w:val="top"/>
          </w:tcPr>
          <w:p w14:paraId="170BD867">
            <w:pPr>
              <w:rPr>
                <w:rFonts w:ascii="Arial"/>
                <w:sz w:val="21"/>
              </w:rPr>
            </w:pPr>
          </w:p>
        </w:tc>
        <w:tc>
          <w:tcPr>
            <w:tcW w:w="8496" w:type="dxa"/>
            <w:tcBorders>
              <w:bottom w:val="nil"/>
            </w:tcBorders>
            <w:vAlign w:val="top"/>
          </w:tcPr>
          <w:p w14:paraId="5BD78C91">
            <w:pPr>
              <w:pStyle w:val="6"/>
              <w:spacing w:before="195" w:line="4860" w:lineRule="exact"/>
              <w:ind w:firstLine="361"/>
            </w:pPr>
            <w:r>
              <w:rPr>
                <w:position w:val="-97"/>
              </w:rPr>
              <w:pict>
                <v:group id="_x0000_s1116" o:spid="_x0000_s1116" o:spt="203" style="height:243pt;width:399.05pt;" coordsize="7980,4860">
                  <o:lock v:ext="edit"/>
                  <v:shape id="_x0000_s1117" o:spid="_x0000_s1117" o:spt="75" type="#_x0000_t75" style="position:absolute;left:909;top:0;height:4860;width:6270;" filled="f" stroked="f" coordsize="21600,21600">
                    <v:path/>
                    <v:fill on="f" focussize="0,0"/>
                    <v:stroke on="f"/>
                    <v:imagedata r:id="rId315" o:title=""/>
                    <o:lock v:ext="edit" aspectratio="t"/>
                  </v:shape>
                  <v:shape id="_x0000_s1118" o:spid="_x0000_s1118" o:spt="202" type="#_x0000_t202" style="position:absolute;left:-20;top:199;height:4532;width:8020;" filled="f" stroked="f" coordsize="21600,21600">
                    <v:path/>
                    <v:fill on="f" focussize="0,0"/>
                    <v:stroke on="f"/>
                    <v:imagedata o:title=""/>
                    <o:lock v:ext="edit" aspectratio="f"/>
                    <v:textbox inset="0mm,0mm,0mm,0mm">
                      <w:txbxContent>
                        <w:p w14:paraId="2940DE6A">
                          <w:pPr>
                            <w:spacing w:before="20" w:line="219" w:lineRule="auto"/>
                            <w:ind w:left="20"/>
                            <w:rPr>
                              <w:rFonts w:ascii="宋体" w:hAnsi="宋体" w:eastAsia="宋体" w:cs="宋体"/>
                              <w:sz w:val="23"/>
                              <w:szCs w:val="23"/>
                            </w:rPr>
                          </w:pPr>
                          <w:r>
                            <w:rPr>
                              <w:rFonts w:ascii="宋体" w:hAnsi="宋体" w:eastAsia="宋体" w:cs="宋体"/>
                              <w:spacing w:val="-2"/>
                              <w:sz w:val="23"/>
                              <w:szCs w:val="23"/>
                            </w:rPr>
                            <w:t>新水1241.54</w:t>
                          </w:r>
                        </w:p>
                        <w:p w14:paraId="32C59C6C">
                          <w:pPr>
                            <w:spacing w:line="276" w:lineRule="auto"/>
                            <w:rPr>
                              <w:rFonts w:ascii="Arial"/>
                              <w:sz w:val="21"/>
                            </w:rPr>
                          </w:pPr>
                        </w:p>
                        <w:p w14:paraId="650A6AC5">
                          <w:pPr>
                            <w:spacing w:line="276" w:lineRule="auto"/>
                            <w:rPr>
                              <w:rFonts w:ascii="Arial"/>
                              <w:sz w:val="21"/>
                            </w:rPr>
                          </w:pPr>
                        </w:p>
                        <w:p w14:paraId="78196731">
                          <w:pPr>
                            <w:spacing w:before="75" w:line="172" w:lineRule="auto"/>
                            <w:ind w:left="2750"/>
                            <w:rPr>
                              <w:rFonts w:ascii="宋体" w:hAnsi="宋体" w:eastAsia="宋体" w:cs="宋体"/>
                              <w:sz w:val="23"/>
                              <w:szCs w:val="23"/>
                            </w:rPr>
                          </w:pPr>
                          <w:r>
                            <w:rPr>
                              <w:rFonts w:ascii="宋体" w:hAnsi="宋体" w:eastAsia="宋体" w:cs="宋体"/>
                              <w:spacing w:val="-5"/>
                              <w:sz w:val="23"/>
                              <w:szCs w:val="23"/>
                            </w:rPr>
                            <w:t>12.89</w:t>
                          </w:r>
                        </w:p>
                        <w:p w14:paraId="1F07C583">
                          <w:pPr>
                            <w:spacing w:line="228" w:lineRule="auto"/>
                            <w:ind w:left="1130"/>
                            <w:rPr>
                              <w:rFonts w:ascii="宋体" w:hAnsi="宋体" w:eastAsia="宋体" w:cs="宋体"/>
                              <w:sz w:val="23"/>
                              <w:szCs w:val="23"/>
                            </w:rPr>
                          </w:pPr>
                          <w:r>
                            <w:rPr>
                              <w:rFonts w:ascii="宋体" w:hAnsi="宋体" w:eastAsia="宋体" w:cs="宋体"/>
                              <w:spacing w:val="-2"/>
                              <w:position w:val="6"/>
                              <w:sz w:val="23"/>
                              <w:szCs w:val="23"/>
                              <w:u w:val="single" w:color="auto"/>
                            </w:rPr>
                            <w:t xml:space="preserve">128.78  </w:t>
                          </w:r>
                          <w:r>
                            <w:rPr>
                              <w:rFonts w:ascii="宋体" w:hAnsi="宋体" w:eastAsia="宋体" w:cs="宋体"/>
                              <w:spacing w:val="-2"/>
                              <w:sz w:val="21"/>
                              <w:szCs w:val="21"/>
                              <w:u w:val="double" w:color="auto"/>
                            </w:rPr>
                            <w:t>太</w:t>
                          </w:r>
                          <w:r>
                            <w:rPr>
                              <w:rFonts w:ascii="宋体" w:hAnsi="宋体" w:eastAsia="宋体" w:cs="宋体"/>
                              <w:spacing w:val="-56"/>
                              <w:sz w:val="21"/>
                              <w:szCs w:val="21"/>
                              <w:u w:val="single" w:color="auto"/>
                            </w:rPr>
                            <w:t xml:space="preserve"> </w:t>
                          </w:r>
                          <w:r>
                            <w:rPr>
                              <w:rFonts w:ascii="宋体" w:hAnsi="宋体" w:eastAsia="宋体" w:cs="宋体"/>
                              <w:strike/>
                              <w:spacing w:val="-2"/>
                              <w:sz w:val="21"/>
                              <w:szCs w:val="21"/>
                              <w:u w:val="single" w:color="auto"/>
                            </w:rPr>
                            <w:t>阳能电池板清</w:t>
                          </w:r>
                          <w:r>
                            <w:rPr>
                              <w:rFonts w:ascii="宋体" w:hAnsi="宋体" w:eastAsia="宋体" w:cs="宋体"/>
                              <w:strike/>
                              <w:spacing w:val="-2"/>
                              <w:position w:val="14"/>
                              <w:sz w:val="16"/>
                              <w:szCs w:val="16"/>
                              <w:u w:val="single" w:color="auto"/>
                            </w:rPr>
                            <w:t>1</w:t>
                          </w:r>
                          <w:r>
                            <w:rPr>
                              <w:rFonts w:ascii="宋体" w:hAnsi="宋体" w:eastAsia="宋体" w:cs="宋体"/>
                              <w:strike/>
                              <w:spacing w:val="-2"/>
                              <w:position w:val="7"/>
                              <w:sz w:val="21"/>
                              <w:szCs w:val="21"/>
                              <w:u w:val="single" w:color="auto"/>
                            </w:rPr>
                            <w:t>洗</w:t>
                          </w:r>
                          <w:r>
                            <w:rPr>
                              <w:rFonts w:ascii="宋体" w:hAnsi="宋体" w:eastAsia="宋体" w:cs="宋体"/>
                              <w:strike/>
                              <w:spacing w:val="-2"/>
                              <w:position w:val="7"/>
                              <w:sz w:val="16"/>
                              <w:szCs w:val="16"/>
                              <w:u w:val="single" w:color="auto"/>
                            </w:rPr>
                            <w:t>15</w:t>
                          </w:r>
                          <w:r>
                            <w:rPr>
                              <w:rFonts w:ascii="宋体" w:hAnsi="宋体" w:eastAsia="宋体" w:cs="宋体"/>
                              <w:strike/>
                              <w:spacing w:val="-2"/>
                              <w:position w:val="14"/>
                              <w:sz w:val="16"/>
                              <w:szCs w:val="16"/>
                            </w:rPr>
                            <w:t>.9</w:t>
                          </w:r>
                          <w:r>
                            <w:rPr>
                              <w:rFonts w:ascii="宋体" w:hAnsi="宋体" w:eastAsia="宋体" w:cs="宋体"/>
                              <w:spacing w:val="-22"/>
                              <w:position w:val="14"/>
                              <w:sz w:val="16"/>
                              <w:szCs w:val="16"/>
                            </w:rPr>
                            <w:t xml:space="preserve"> </w:t>
                          </w:r>
                          <w:r>
                            <w:rPr>
                              <w:rFonts w:ascii="宋体" w:hAnsi="宋体" w:eastAsia="宋体" w:cs="宋体"/>
                              <w:strike/>
                              <w:spacing w:val="-2"/>
                              <w:position w:val="14"/>
                              <w:sz w:val="16"/>
                              <w:szCs w:val="16"/>
                            </w:rPr>
                            <w:t xml:space="preserve"> </w:t>
                          </w:r>
                          <w:r>
                            <w:rPr>
                              <w:rFonts w:ascii="宋体" w:hAnsi="宋体" w:eastAsia="宋体" w:cs="宋体"/>
                              <w:strike/>
                              <w:spacing w:val="-3"/>
                              <w:position w:val="14"/>
                              <w:sz w:val="16"/>
                              <w:szCs w:val="16"/>
                            </w:rPr>
                            <w:t xml:space="preserve">      </w:t>
                          </w:r>
                          <w:r>
                            <w:rPr>
                              <w:rFonts w:ascii="宋体" w:hAnsi="宋体" w:eastAsia="宋体" w:cs="宋体"/>
                              <w:spacing w:val="-3"/>
                              <w:sz w:val="23"/>
                              <w:szCs w:val="23"/>
                            </w:rPr>
                            <w:t>作为光伏板下草地灌溉用水</w:t>
                          </w:r>
                        </w:p>
                        <w:p w14:paraId="3E54A593">
                          <w:pPr>
                            <w:spacing w:line="423" w:lineRule="auto"/>
                            <w:rPr>
                              <w:rFonts w:ascii="Arial"/>
                              <w:sz w:val="21"/>
                            </w:rPr>
                          </w:pPr>
                        </w:p>
                        <w:p w14:paraId="41E750D9">
                          <w:pPr>
                            <w:tabs>
                              <w:tab w:val="left" w:pos="2760"/>
                            </w:tabs>
                            <w:spacing w:before="75" w:line="177" w:lineRule="auto"/>
                            <w:ind w:left="1819"/>
                            <w:rPr>
                              <w:rFonts w:ascii="宋体" w:hAnsi="宋体" w:eastAsia="宋体" w:cs="宋体"/>
                              <w:sz w:val="23"/>
                              <w:szCs w:val="23"/>
                            </w:rPr>
                          </w:pPr>
                          <w:r>
                            <w:rPr>
                              <w:rFonts w:ascii="宋体" w:hAnsi="宋体" w:eastAsia="宋体" w:cs="宋体"/>
                              <w:sz w:val="23"/>
                              <w:szCs w:val="23"/>
                              <w:u w:val="single" w:color="auto"/>
                            </w:rPr>
                            <w:tab/>
                          </w:r>
                          <w:r>
                            <w:rPr>
                              <w:rFonts w:ascii="宋体" w:hAnsi="宋体" w:eastAsia="宋体" w:cs="宋体"/>
                              <w:spacing w:val="-5"/>
                              <w:sz w:val="23"/>
                              <w:szCs w:val="23"/>
                              <w:u w:val="single" w:color="auto"/>
                            </w:rPr>
                            <w:t>13.14</w:t>
                          </w:r>
                        </w:p>
                        <w:p w14:paraId="44418020">
                          <w:pPr>
                            <w:spacing w:line="212" w:lineRule="auto"/>
                            <w:ind w:left="1130"/>
                            <w:rPr>
                              <w:rFonts w:ascii="宋体" w:hAnsi="宋体" w:eastAsia="宋体" w:cs="宋体"/>
                              <w:sz w:val="18"/>
                              <w:szCs w:val="18"/>
                            </w:rPr>
                          </w:pPr>
                          <w:r>
                            <w:rPr>
                              <w:rFonts w:ascii="宋体" w:hAnsi="宋体" w:eastAsia="宋体" w:cs="宋体"/>
                              <w:spacing w:val="-1"/>
                              <w:position w:val="1"/>
                              <w:sz w:val="23"/>
                              <w:szCs w:val="23"/>
                              <w:u w:val="single" w:color="auto"/>
                            </w:rPr>
                            <w:t xml:space="preserve">65.7    </w:t>
                          </w:r>
                          <w:r>
                            <w:rPr>
                              <w:rFonts w:ascii="宋体" w:hAnsi="宋体" w:eastAsia="宋体" w:cs="宋体"/>
                              <w:spacing w:val="-1"/>
                              <w:sz w:val="18"/>
                              <w:szCs w:val="18"/>
                              <w:u w:val="single" w:color="auto"/>
                            </w:rPr>
                            <w:t>升压站食堂用水</w:t>
                          </w:r>
                          <w:r>
                            <w:rPr>
                              <w:rFonts w:ascii="宋体" w:hAnsi="宋体" w:eastAsia="宋体" w:cs="宋体"/>
                              <w:spacing w:val="9"/>
                              <w:sz w:val="18"/>
                              <w:szCs w:val="18"/>
                              <w:u w:val="single" w:color="auto"/>
                            </w:rPr>
                            <w:t xml:space="preserve">    </w:t>
                          </w:r>
                          <w:r>
                            <w:rPr>
                              <w:rFonts w:ascii="宋体" w:hAnsi="宋体" w:eastAsia="宋体" w:cs="宋体"/>
                              <w:spacing w:val="-1"/>
                              <w:position w:val="3"/>
                              <w:sz w:val="23"/>
                              <w:szCs w:val="23"/>
                              <w:u w:val="single" w:color="auto"/>
                            </w:rPr>
                            <w:t>52.56</w:t>
                          </w:r>
                          <w:r>
                            <w:rPr>
                              <w:rFonts w:ascii="宋体" w:hAnsi="宋体" w:eastAsia="宋体" w:cs="宋体"/>
                              <w:spacing w:val="30"/>
                              <w:position w:val="3"/>
                              <w:sz w:val="23"/>
                              <w:szCs w:val="23"/>
                              <w:u w:val="single" w:color="auto"/>
                            </w:rPr>
                            <w:t xml:space="preserve">  </w:t>
                          </w:r>
                          <w:r>
                            <w:rPr>
                              <w:rFonts w:ascii="宋体" w:hAnsi="宋体" w:eastAsia="宋体" w:cs="宋体"/>
                              <w:spacing w:val="-1"/>
                              <w:sz w:val="18"/>
                              <w:szCs w:val="18"/>
                              <w:u w:val="double" w:color="auto"/>
                            </w:rPr>
                            <w:t>隔</w:t>
                          </w:r>
                          <w:r>
                            <w:rPr>
                              <w:rFonts w:ascii="宋体" w:hAnsi="宋体" w:eastAsia="宋体" w:cs="宋体"/>
                              <w:spacing w:val="-2"/>
                              <w:sz w:val="18"/>
                              <w:szCs w:val="18"/>
                              <w:u w:val="single" w:color="auto"/>
                            </w:rPr>
                            <w:t>油池</w:t>
                          </w:r>
                        </w:p>
                        <w:p w14:paraId="6C296733">
                          <w:pPr>
                            <w:spacing w:before="215" w:line="209" w:lineRule="auto"/>
                            <w:ind w:left="4239"/>
                            <w:rPr>
                              <w:rFonts w:ascii="宋体" w:hAnsi="宋体" w:eastAsia="宋体" w:cs="宋体"/>
                              <w:sz w:val="23"/>
                              <w:szCs w:val="23"/>
                            </w:rPr>
                          </w:pPr>
                          <w:r>
                            <w:rPr>
                              <w:rFonts w:ascii="宋体" w:hAnsi="宋体" w:eastAsia="宋体" w:cs="宋体"/>
                              <w:spacing w:val="-3"/>
                              <w:sz w:val="23"/>
                              <w:szCs w:val="23"/>
                            </w:rPr>
                            <w:t>52.56</w:t>
                          </w:r>
                        </w:p>
                        <w:p w14:paraId="57B452C9">
                          <w:pPr>
                            <w:spacing w:line="177" w:lineRule="auto"/>
                            <w:ind w:left="2760"/>
                            <w:rPr>
                              <w:rFonts w:ascii="宋体" w:hAnsi="宋体" w:eastAsia="宋体" w:cs="宋体"/>
                              <w:sz w:val="23"/>
                              <w:szCs w:val="23"/>
                            </w:rPr>
                          </w:pPr>
                          <w:r>
                            <w:rPr>
                              <w:rFonts w:ascii="宋体" w:hAnsi="宋体" w:eastAsia="宋体" w:cs="宋体"/>
                              <w:spacing w:val="-5"/>
                              <w:sz w:val="23"/>
                              <w:szCs w:val="23"/>
                            </w:rPr>
                            <w:t>12.89</w:t>
                          </w:r>
                        </w:p>
                        <w:p w14:paraId="11809B0C">
                          <w:pPr>
                            <w:spacing w:before="1" w:line="223" w:lineRule="auto"/>
                            <w:ind w:right="20"/>
                            <w:jc w:val="right"/>
                            <w:rPr>
                              <w:rFonts w:ascii="宋体" w:hAnsi="宋体" w:eastAsia="宋体" w:cs="宋体"/>
                              <w:sz w:val="23"/>
                              <w:szCs w:val="23"/>
                            </w:rPr>
                          </w:pPr>
                          <w:r>
                            <w:rPr>
                              <w:rFonts w:ascii="宋体" w:hAnsi="宋体" w:eastAsia="宋体" w:cs="宋体"/>
                              <w:position w:val="4"/>
                              <w:sz w:val="23"/>
                              <w:szCs w:val="23"/>
                              <w:u w:val="single" w:color="auto"/>
                            </w:rPr>
                            <w:t xml:space="preserve">197.1   </w:t>
                          </w:r>
                          <w:r>
                            <w:rPr>
                              <w:rFonts w:ascii="宋体" w:hAnsi="宋体" w:eastAsia="宋体" w:cs="宋体"/>
                              <w:sz w:val="18"/>
                              <w:szCs w:val="18"/>
                              <w:u w:val="double" w:color="auto"/>
                            </w:rPr>
                            <w:t>升压</w:t>
                          </w:r>
                          <w:r>
                            <w:rPr>
                              <w:rFonts w:ascii="宋体" w:hAnsi="宋体" w:eastAsia="宋体" w:cs="宋体"/>
                              <w:strike/>
                              <w:sz w:val="18"/>
                              <w:szCs w:val="18"/>
                              <w:u w:val="single" w:color="auto"/>
                            </w:rPr>
                            <w:t>站其他生活用水</w:t>
                          </w:r>
                          <w:r>
                            <w:rPr>
                              <w:rFonts w:ascii="宋体" w:hAnsi="宋体" w:eastAsia="宋体" w:cs="宋体"/>
                              <w:strike/>
                              <w:spacing w:val="-41"/>
                              <w:sz w:val="18"/>
                              <w:szCs w:val="18"/>
                            </w:rPr>
                            <w:t xml:space="preserve"> </w:t>
                          </w:r>
                          <w:r>
                            <w:rPr>
                              <w:rFonts w:ascii="宋体" w:hAnsi="宋体" w:eastAsia="宋体" w:cs="宋体"/>
                              <w:strike/>
                              <w:position w:val="9"/>
                              <w:sz w:val="18"/>
                              <w:szCs w:val="18"/>
                            </w:rPr>
                            <w:t>157.6</w:t>
                          </w:r>
                          <w:r>
                            <w:rPr>
                              <w:rFonts w:ascii="宋体" w:hAnsi="宋体" w:eastAsia="宋体" w:cs="宋体"/>
                              <w:strike/>
                              <w:spacing w:val="-1"/>
                              <w:position w:val="9"/>
                              <w:sz w:val="18"/>
                              <w:szCs w:val="18"/>
                            </w:rPr>
                            <w:t>8</w:t>
                          </w:r>
                          <w:r>
                            <w:rPr>
                              <w:rFonts w:ascii="宋体" w:hAnsi="宋体" w:eastAsia="宋体" w:cs="宋体"/>
                              <w:spacing w:val="-70"/>
                              <w:position w:val="9"/>
                              <w:sz w:val="18"/>
                              <w:szCs w:val="18"/>
                            </w:rPr>
                            <w:t xml:space="preserve"> </w:t>
                          </w:r>
                          <w:r>
                            <w:rPr>
                              <w:rFonts w:ascii="宋体" w:hAnsi="宋体" w:eastAsia="宋体" w:cs="宋体"/>
                              <w:strike/>
                              <w:spacing w:val="26"/>
                              <w:sz w:val="18"/>
                              <w:szCs w:val="18"/>
                            </w:rPr>
                            <w:t xml:space="preserve">  </w:t>
                          </w:r>
                          <w:r>
                            <w:rPr>
                              <w:rFonts w:ascii="宋体" w:hAnsi="宋体" w:eastAsia="宋体" w:cs="宋体"/>
                              <w:strike/>
                              <w:spacing w:val="-82"/>
                              <w:sz w:val="18"/>
                              <w:szCs w:val="18"/>
                              <w:u w:val="single" w:color="auto"/>
                            </w:rPr>
                            <w:t xml:space="preserve"> </w:t>
                          </w:r>
                          <w:r>
                            <w:rPr>
                              <w:rFonts w:ascii="宋体" w:hAnsi="宋体" w:eastAsia="宋体" w:cs="宋体"/>
                              <w:spacing w:val="-1"/>
                              <w:sz w:val="18"/>
                              <w:szCs w:val="18"/>
                              <w:u w:val="single" w:color="auto"/>
                            </w:rPr>
                            <w:t>化粪池</w:t>
                          </w:r>
                          <w:r>
                            <w:rPr>
                              <w:rFonts w:ascii="宋体" w:hAnsi="宋体" w:eastAsia="宋体" w:cs="宋体"/>
                              <w:strike/>
                              <w:spacing w:val="-1"/>
                              <w:position w:val="9"/>
                              <w:sz w:val="18"/>
                              <w:szCs w:val="18"/>
                            </w:rPr>
                            <w:t>210.24</w:t>
                          </w:r>
                          <w:r>
                            <w:rPr>
                              <w:rFonts w:ascii="宋体" w:hAnsi="宋体" w:eastAsia="宋体" w:cs="宋体"/>
                              <w:spacing w:val="-81"/>
                              <w:position w:val="9"/>
                              <w:sz w:val="18"/>
                              <w:szCs w:val="18"/>
                            </w:rPr>
                            <w:t xml:space="preserve"> </w:t>
                          </w:r>
                          <w:r>
                            <w:rPr>
                              <w:rFonts w:ascii="宋体" w:hAnsi="宋体" w:eastAsia="宋体" w:cs="宋体"/>
                              <w:strike/>
                              <w:spacing w:val="16"/>
                              <w:position w:val="9"/>
                              <w:sz w:val="18"/>
                              <w:szCs w:val="18"/>
                            </w:rPr>
                            <w:t xml:space="preserve">   </w:t>
                          </w:r>
                          <w:r>
                            <w:rPr>
                              <w:rFonts w:ascii="宋体" w:hAnsi="宋体" w:eastAsia="宋体" w:cs="宋体"/>
                              <w:spacing w:val="-70"/>
                              <w:position w:val="9"/>
                              <w:sz w:val="18"/>
                              <w:szCs w:val="18"/>
                            </w:rPr>
                            <w:t xml:space="preserve"> </w:t>
                          </w:r>
                          <w:r>
                            <w:rPr>
                              <w:rFonts w:ascii="宋体" w:hAnsi="宋体" w:eastAsia="宋体" w:cs="宋体"/>
                              <w:spacing w:val="-103"/>
                              <w:position w:val="-4"/>
                              <w:sz w:val="23"/>
                              <w:szCs w:val="23"/>
                              <w:u w:val="single" w:color="auto"/>
                            </w:rPr>
                            <w:t xml:space="preserve"> </w:t>
                          </w:r>
                          <w:r>
                            <w:rPr>
                              <w:rFonts w:ascii="宋体" w:hAnsi="宋体" w:eastAsia="宋体" w:cs="宋体"/>
                              <w:spacing w:val="-1"/>
                              <w:position w:val="-4"/>
                              <w:sz w:val="23"/>
                              <w:szCs w:val="23"/>
                              <w:u w:val="single" w:color="auto"/>
                            </w:rPr>
                            <w:t>一体化污水处理设施</w:t>
                          </w:r>
                        </w:p>
                        <w:p w14:paraId="56F29D69">
                          <w:pPr>
                            <w:spacing w:line="402" w:lineRule="auto"/>
                            <w:rPr>
                              <w:rFonts w:ascii="Arial"/>
                              <w:sz w:val="21"/>
                            </w:rPr>
                          </w:pPr>
                        </w:p>
                        <w:p w14:paraId="2FF8295F">
                          <w:pPr>
                            <w:tabs>
                              <w:tab w:val="left" w:pos="2818"/>
                            </w:tabs>
                            <w:spacing w:before="75" w:line="162" w:lineRule="auto"/>
                            <w:ind w:left="1779"/>
                            <w:rPr>
                              <w:rFonts w:ascii="宋体" w:hAnsi="宋体" w:eastAsia="宋体" w:cs="宋体"/>
                              <w:sz w:val="23"/>
                              <w:szCs w:val="23"/>
                            </w:rPr>
                          </w:pPr>
                          <w:r>
                            <w:rPr>
                              <w:rFonts w:ascii="宋体" w:hAnsi="宋体" w:eastAsia="宋体" w:cs="宋体"/>
                              <w:sz w:val="23"/>
                              <w:szCs w:val="23"/>
                              <w:u w:val="single" w:color="auto"/>
                            </w:rPr>
                            <w:tab/>
                          </w:r>
                          <w:r>
                            <w:rPr>
                              <w:rFonts w:ascii="宋体" w:hAnsi="宋体" w:eastAsia="宋体" w:cs="宋体"/>
                              <w:spacing w:val="-4"/>
                              <w:sz w:val="23"/>
                              <w:szCs w:val="23"/>
                              <w:u w:val="single" w:color="auto"/>
                            </w:rPr>
                            <w:t>1060.2</w:t>
                          </w:r>
                        </w:p>
                        <w:p w14:paraId="5090B2C8">
                          <w:pPr>
                            <w:spacing w:line="214" w:lineRule="auto"/>
                            <w:ind w:left="1089"/>
                            <w:rPr>
                              <w:rFonts w:ascii="宋体" w:hAnsi="宋体" w:eastAsia="宋体" w:cs="宋体"/>
                              <w:sz w:val="23"/>
                              <w:szCs w:val="23"/>
                            </w:rPr>
                          </w:pPr>
                          <w:r>
                            <w:rPr>
                              <w:rFonts w:ascii="宋体" w:hAnsi="宋体" w:eastAsia="宋体" w:cs="宋体"/>
                              <w:spacing w:val="-2"/>
                              <w:position w:val="4"/>
                              <w:sz w:val="23"/>
                              <w:szCs w:val="23"/>
                              <w:u w:val="single" w:color="auto"/>
                            </w:rPr>
                            <w:t>849.96,</w:t>
                          </w:r>
                          <w:r>
                            <w:rPr>
                              <w:rFonts w:ascii="宋体" w:hAnsi="宋体" w:eastAsia="宋体" w:cs="宋体"/>
                              <w:spacing w:val="-26"/>
                              <w:position w:val="4"/>
                              <w:sz w:val="23"/>
                              <w:szCs w:val="23"/>
                              <w:u w:val="single" w:color="auto"/>
                            </w:rPr>
                            <w:t xml:space="preserve"> </w:t>
                          </w:r>
                          <w:r>
                            <w:rPr>
                              <w:rFonts w:ascii="宋体" w:hAnsi="宋体" w:eastAsia="宋体" w:cs="宋体"/>
                              <w:spacing w:val="-2"/>
                              <w:position w:val="-2"/>
                              <w:sz w:val="18"/>
                              <w:szCs w:val="18"/>
                              <w:u w:val="double" w:color="auto"/>
                            </w:rPr>
                            <w:t>升压</w:t>
                          </w:r>
                          <w:r>
                            <w:rPr>
                              <w:rFonts w:ascii="宋体" w:hAnsi="宋体" w:eastAsia="宋体" w:cs="宋体"/>
                              <w:spacing w:val="-2"/>
                              <w:position w:val="-2"/>
                              <w:sz w:val="18"/>
                              <w:szCs w:val="18"/>
                              <w:u w:val="single" w:color="auto"/>
                            </w:rPr>
                            <w:t>站绿化降尘用水-</w:t>
                          </w:r>
                          <w:r>
                            <w:rPr>
                              <w:rFonts w:ascii="宋体" w:hAnsi="宋体" w:eastAsia="宋体" w:cs="宋体"/>
                              <w:spacing w:val="-81"/>
                              <w:position w:val="-2"/>
                              <w:sz w:val="18"/>
                              <w:szCs w:val="18"/>
                            </w:rPr>
                            <w:t xml:space="preserve"> </w:t>
                          </w:r>
                          <w:r>
                            <w:rPr>
                              <w:rFonts w:ascii="宋体" w:hAnsi="宋体" w:eastAsia="宋体" w:cs="宋体"/>
                              <w:spacing w:val="18"/>
                              <w:position w:val="-2"/>
                              <w:sz w:val="23"/>
                              <w:szCs w:val="23"/>
                              <w:u w:val="single" w:color="auto"/>
                            </w:rPr>
                            <w:t xml:space="preserve">   </w:t>
                          </w:r>
                          <w:r>
                            <w:rPr>
                              <w:rFonts w:ascii="宋体" w:hAnsi="宋体" w:eastAsia="宋体" w:cs="宋体"/>
                              <w:spacing w:val="-2"/>
                              <w:position w:val="-2"/>
                              <w:sz w:val="23"/>
                              <w:szCs w:val="23"/>
                              <w:u w:val="single" w:color="auto"/>
                            </w:rPr>
                            <w:t>210.24</w:t>
                          </w:r>
                          <w:r>
                            <w:rPr>
                              <w:rFonts w:ascii="宋体" w:hAnsi="宋体" w:eastAsia="宋体" w:cs="宋体"/>
                              <w:position w:val="-2"/>
                              <w:sz w:val="23"/>
                              <w:szCs w:val="23"/>
                              <w:u w:val="single" w:color="auto"/>
                            </w:rPr>
                            <w:t xml:space="preserve">                     </w:t>
                          </w:r>
                        </w:p>
                      </w:txbxContent>
                    </v:textbox>
                  </v:shape>
                  <v:shape id="_x0000_s1119" o:spid="_x0000_s1119" o:spt="75" type="#_x0000_t75" style="position:absolute;left:1910;top:3390;height:12;width:1380;" filled="f" stroked="f" coordsize="21600,21600">
                    <v:path/>
                    <v:fill on="f" focussize="0,0"/>
                    <v:stroke on="f"/>
                    <v:imagedata r:id="rId316" o:title=""/>
                    <o:lock v:ext="edit" aspectratio="t"/>
                  </v:shape>
                  <v:shape id="_x0000_s1120" o:spid="_x0000_s1120" o:spt="75" type="#_x0000_t75" style="position:absolute;left:1910;top:1340;height:12;width:1370;" filled="f" stroked="f" coordsize="21600,21600">
                    <v:path/>
                    <v:fill on="f" focussize="0,0"/>
                    <v:stroke on="f"/>
                    <v:imagedata r:id="rId317" o:title=""/>
                    <o:lock v:ext="edit" aspectratio="t"/>
                  </v:shape>
                  <w10:wrap type="none"/>
                  <w10:anchorlock/>
                </v:group>
              </w:pict>
            </w:r>
          </w:p>
        </w:tc>
      </w:tr>
      <w:tr w14:paraId="2C527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9" w:hRule="atLeast"/>
        </w:trPr>
        <w:tc>
          <w:tcPr>
            <w:tcW w:w="894" w:type="dxa"/>
            <w:vMerge w:val="continue"/>
            <w:tcBorders>
              <w:top w:val="nil"/>
            </w:tcBorders>
            <w:vAlign w:val="top"/>
          </w:tcPr>
          <w:p w14:paraId="17EF575B">
            <w:pPr>
              <w:rPr>
                <w:rFonts w:ascii="Arial"/>
                <w:sz w:val="21"/>
              </w:rPr>
            </w:pPr>
          </w:p>
        </w:tc>
        <w:tc>
          <w:tcPr>
            <w:tcW w:w="8496" w:type="dxa"/>
            <w:tcBorders>
              <w:top w:val="nil"/>
            </w:tcBorders>
            <w:vAlign w:val="top"/>
          </w:tcPr>
          <w:p w14:paraId="08C6ECC2">
            <w:pPr>
              <w:pStyle w:val="6"/>
              <w:spacing w:before="244" w:line="224" w:lineRule="auto"/>
              <w:ind w:left="1474"/>
              <w:rPr>
                <w:sz w:val="23"/>
                <w:szCs w:val="23"/>
              </w:rPr>
            </w:pPr>
            <w:r>
              <w:rPr>
                <w:b/>
                <w:bCs/>
                <w:spacing w:val="1"/>
                <w:sz w:val="23"/>
                <w:szCs w:val="23"/>
              </w:rPr>
              <w:t>图4-5</w:t>
            </w:r>
            <w:r>
              <w:rPr>
                <w:spacing w:val="1"/>
                <w:sz w:val="23"/>
                <w:szCs w:val="23"/>
              </w:rPr>
              <w:t xml:space="preserve">  </w:t>
            </w:r>
            <w:r>
              <w:rPr>
                <w:b/>
                <w:bCs/>
                <w:spacing w:val="1"/>
                <w:sz w:val="23"/>
                <w:szCs w:val="23"/>
              </w:rPr>
              <w:t>项目运营期间水量平衡图</w:t>
            </w:r>
            <w:r>
              <w:rPr>
                <w:spacing w:val="10"/>
                <w:sz w:val="23"/>
                <w:szCs w:val="23"/>
              </w:rPr>
              <w:t xml:space="preserve">        </w:t>
            </w:r>
            <w:r>
              <w:rPr>
                <w:spacing w:val="1"/>
                <w:sz w:val="23"/>
                <w:szCs w:val="23"/>
              </w:rPr>
              <w:t>单位：</w:t>
            </w:r>
            <w:r>
              <w:rPr>
                <w:spacing w:val="-60"/>
                <w:sz w:val="23"/>
                <w:szCs w:val="23"/>
              </w:rPr>
              <w:t xml:space="preserve"> </w:t>
            </w:r>
            <w:r>
              <w:rPr>
                <w:spacing w:val="1"/>
                <w:sz w:val="23"/>
                <w:szCs w:val="23"/>
              </w:rPr>
              <w:t>m³/a</w:t>
            </w:r>
          </w:p>
          <w:p w14:paraId="4030E2C2">
            <w:pPr>
              <w:pStyle w:val="6"/>
              <w:spacing w:before="217" w:line="219" w:lineRule="auto"/>
              <w:ind w:left="94"/>
              <w:rPr>
                <w:sz w:val="23"/>
                <w:szCs w:val="23"/>
              </w:rPr>
            </w:pPr>
            <w:r>
              <w:rPr>
                <w:b/>
                <w:bCs/>
                <w:spacing w:val="-4"/>
                <w:sz w:val="23"/>
                <w:szCs w:val="23"/>
              </w:rPr>
              <w:t>3.2污水处置措施的可行性和可靠性分析</w:t>
            </w:r>
          </w:p>
          <w:p w14:paraId="0F583A14">
            <w:pPr>
              <w:pStyle w:val="6"/>
              <w:spacing w:before="168" w:line="219" w:lineRule="auto"/>
              <w:ind w:left="700"/>
              <w:rPr>
                <w:sz w:val="23"/>
                <w:szCs w:val="23"/>
              </w:rPr>
            </w:pPr>
            <w:r>
              <w:rPr>
                <w:sz w:val="23"/>
                <w:szCs w:val="23"/>
              </w:rPr>
              <w:t>(1)太阳能电池板清洗废水处置可行性分析</w:t>
            </w:r>
          </w:p>
          <w:p w14:paraId="0D2A6D62">
            <w:pPr>
              <w:pStyle w:val="6"/>
              <w:spacing w:before="186" w:line="376" w:lineRule="auto"/>
              <w:ind w:left="111" w:right="275" w:firstLine="499"/>
              <w:rPr>
                <w:sz w:val="23"/>
                <w:szCs w:val="23"/>
              </w:rPr>
            </w:pPr>
            <w:r>
              <w:rPr>
                <w:sz w:val="23"/>
                <w:szCs w:val="23"/>
              </w:rPr>
              <w:t>由于电池板清洗为清水清洗，不需添加清洗剂，性质与雨水基本相同，清洗</w:t>
            </w:r>
            <w:r>
              <w:rPr>
                <w:spacing w:val="8"/>
                <w:sz w:val="23"/>
                <w:szCs w:val="23"/>
              </w:rPr>
              <w:t xml:space="preserve"> </w:t>
            </w:r>
            <w:r>
              <w:rPr>
                <w:sz w:val="23"/>
                <w:szCs w:val="23"/>
              </w:rPr>
              <w:t>废水污染物主要为SS,分散于各个片区，不含有毒物质，</w:t>
            </w:r>
            <w:r>
              <w:rPr>
                <w:spacing w:val="-1"/>
                <w:sz w:val="23"/>
                <w:szCs w:val="23"/>
              </w:rPr>
              <w:t>因此，项目太阳能电</w:t>
            </w:r>
          </w:p>
          <w:p w14:paraId="416B6182">
            <w:pPr>
              <w:pStyle w:val="6"/>
              <w:spacing w:before="4" w:line="377" w:lineRule="auto"/>
              <w:ind w:left="91" w:right="308" w:firstLine="20"/>
              <w:rPr>
                <w:sz w:val="23"/>
                <w:szCs w:val="23"/>
              </w:rPr>
            </w:pPr>
            <w:r>
              <w:rPr>
                <w:sz w:val="23"/>
                <w:szCs w:val="23"/>
              </w:rPr>
              <w:t>池板的清洗废水可直接顺着流在太阳能电池组件下面的草地上，作为草地灌溉补</w:t>
            </w:r>
            <w:r>
              <w:rPr>
                <w:spacing w:val="15"/>
                <w:sz w:val="23"/>
                <w:szCs w:val="23"/>
              </w:rPr>
              <w:t xml:space="preserve"> </w:t>
            </w:r>
            <w:r>
              <w:rPr>
                <w:sz w:val="23"/>
                <w:szCs w:val="23"/>
              </w:rPr>
              <w:t>充水，不外排；此外，项目太阳能光伏板清洗频率为每年1</w:t>
            </w:r>
            <w:r>
              <w:rPr>
                <w:spacing w:val="-1"/>
                <w:sz w:val="23"/>
                <w:szCs w:val="23"/>
              </w:rPr>
              <w:t>次。</w:t>
            </w:r>
          </w:p>
          <w:p w14:paraId="060EF900">
            <w:pPr>
              <w:pStyle w:val="6"/>
              <w:spacing w:before="3" w:line="373" w:lineRule="auto"/>
              <w:ind w:left="91" w:right="319" w:firstLine="489"/>
              <w:rPr>
                <w:sz w:val="23"/>
                <w:szCs w:val="23"/>
              </w:rPr>
            </w:pPr>
            <w:r>
              <w:rPr>
                <w:sz w:val="23"/>
                <w:szCs w:val="23"/>
              </w:rPr>
              <w:t>陆良县整体的气候特点为干湿分明，处于北亚热带季风气候区</w:t>
            </w:r>
            <w:r>
              <w:rPr>
                <w:spacing w:val="-1"/>
                <w:sz w:val="23"/>
                <w:szCs w:val="23"/>
              </w:rPr>
              <w:t>，气候温和，</w:t>
            </w:r>
            <w:r>
              <w:rPr>
                <w:sz w:val="23"/>
                <w:szCs w:val="23"/>
              </w:rPr>
              <w:t xml:space="preserve"> </w:t>
            </w:r>
            <w:r>
              <w:rPr>
                <w:spacing w:val="1"/>
                <w:sz w:val="23"/>
                <w:szCs w:val="23"/>
              </w:rPr>
              <w:t>冬无严寒，夏无酷暑，四季如春，无霜期300天；而清</w:t>
            </w:r>
            <w:r>
              <w:rPr>
                <w:sz w:val="23"/>
                <w:szCs w:val="23"/>
              </w:rPr>
              <w:t>洗太阳能电池组件一般是  在没有降雨的时候，也是属于区域较干旱的时候，因此，清洗电池组件产生的废</w:t>
            </w:r>
            <w:r>
              <w:rPr>
                <w:spacing w:val="10"/>
                <w:sz w:val="23"/>
                <w:szCs w:val="23"/>
              </w:rPr>
              <w:t xml:space="preserve"> </w:t>
            </w:r>
            <w:r>
              <w:rPr>
                <w:sz w:val="23"/>
                <w:szCs w:val="23"/>
              </w:rPr>
              <w:t>水部分在清洗过程中就被蒸发部分，其余清洗废水可直接顺着流在太阳能电池组</w:t>
            </w:r>
            <w:r>
              <w:rPr>
                <w:spacing w:val="7"/>
                <w:sz w:val="23"/>
                <w:szCs w:val="23"/>
              </w:rPr>
              <w:t xml:space="preserve"> </w:t>
            </w:r>
            <w:r>
              <w:rPr>
                <w:sz w:val="23"/>
                <w:szCs w:val="23"/>
              </w:rPr>
              <w:t>件下面的农作物上，作为草地灌溉补充水，不外排(项目太阳能光伏板清洗频率</w:t>
            </w:r>
            <w:r>
              <w:rPr>
                <w:spacing w:val="5"/>
                <w:sz w:val="23"/>
                <w:szCs w:val="23"/>
              </w:rPr>
              <w:t xml:space="preserve">  </w:t>
            </w:r>
            <w:r>
              <w:rPr>
                <w:sz w:val="23"/>
                <w:szCs w:val="23"/>
              </w:rPr>
              <w:t>为每年1次),项目运营期无废水外排，对外界环境影响可接</w:t>
            </w:r>
            <w:r>
              <w:rPr>
                <w:spacing w:val="-1"/>
                <w:sz w:val="23"/>
                <w:szCs w:val="23"/>
              </w:rPr>
              <w:t>受。</w:t>
            </w:r>
          </w:p>
          <w:p w14:paraId="26A76DA1">
            <w:pPr>
              <w:pStyle w:val="6"/>
              <w:spacing w:line="377" w:lineRule="auto"/>
              <w:ind w:left="111" w:right="299" w:firstLine="469"/>
              <w:rPr>
                <w:sz w:val="23"/>
                <w:szCs w:val="23"/>
              </w:rPr>
            </w:pPr>
            <w:r>
              <w:rPr>
                <w:sz w:val="23"/>
                <w:szCs w:val="23"/>
              </w:rPr>
              <w:t>通过调查了解，由于云南的特殊地理位置、气候等条件，现云南省内各地已</w:t>
            </w:r>
            <w:r>
              <w:rPr>
                <w:spacing w:val="14"/>
                <w:sz w:val="23"/>
                <w:szCs w:val="23"/>
              </w:rPr>
              <w:t xml:space="preserve"> </w:t>
            </w:r>
            <w:r>
              <w:rPr>
                <w:sz w:val="23"/>
                <w:szCs w:val="23"/>
              </w:rPr>
              <w:t>建成的光伏项目清洗电池组件产生废水基本均是通过自然蒸发或作为周边植被</w:t>
            </w:r>
          </w:p>
          <w:p w14:paraId="09866DC3">
            <w:pPr>
              <w:pStyle w:val="6"/>
              <w:spacing w:before="1" w:line="219" w:lineRule="auto"/>
              <w:ind w:left="91"/>
              <w:rPr>
                <w:sz w:val="23"/>
                <w:szCs w:val="23"/>
              </w:rPr>
            </w:pPr>
            <w:r>
              <w:rPr>
                <w:spacing w:val="-1"/>
                <w:sz w:val="23"/>
                <w:szCs w:val="23"/>
              </w:rPr>
              <w:t>灌溉，均能做到无废水外排。</w:t>
            </w:r>
          </w:p>
          <w:p w14:paraId="1B898714">
            <w:pPr>
              <w:pStyle w:val="6"/>
              <w:spacing w:before="185" w:line="219" w:lineRule="auto"/>
              <w:ind w:left="571"/>
              <w:rPr>
                <w:sz w:val="23"/>
                <w:szCs w:val="23"/>
              </w:rPr>
            </w:pPr>
            <w:r>
              <w:rPr>
                <w:sz w:val="23"/>
                <w:szCs w:val="23"/>
              </w:rPr>
              <w:t>因此，太阳能电池板清洗废水作为草地灌溉补充</w:t>
            </w:r>
            <w:r>
              <w:rPr>
                <w:spacing w:val="-1"/>
                <w:sz w:val="23"/>
                <w:szCs w:val="23"/>
              </w:rPr>
              <w:t>水是可行的。</w:t>
            </w:r>
          </w:p>
          <w:p w14:paraId="6CBA78BA">
            <w:pPr>
              <w:pStyle w:val="6"/>
              <w:spacing w:before="219" w:line="219" w:lineRule="auto"/>
              <w:ind w:left="700"/>
              <w:rPr>
                <w:sz w:val="23"/>
                <w:szCs w:val="23"/>
              </w:rPr>
            </w:pPr>
            <w:r>
              <w:rPr>
                <w:sz w:val="23"/>
                <w:szCs w:val="23"/>
              </w:rPr>
              <w:t>(2)升压站生活污水处置可行性分析</w:t>
            </w:r>
          </w:p>
        </w:tc>
      </w:tr>
    </w:tbl>
    <w:p w14:paraId="4AF8FC19">
      <w:pPr>
        <w:pStyle w:val="2"/>
        <w:spacing w:line="229" w:lineRule="exact"/>
        <w:rPr>
          <w:sz w:val="19"/>
        </w:rPr>
      </w:pPr>
    </w:p>
    <w:p w14:paraId="64914D88">
      <w:pPr>
        <w:spacing w:line="229" w:lineRule="exact"/>
        <w:rPr>
          <w:sz w:val="19"/>
          <w:szCs w:val="19"/>
        </w:rPr>
        <w:sectPr>
          <w:footerReference r:id="rId159" w:type="default"/>
          <w:pgSz w:w="11910" w:h="16830"/>
          <w:pgMar w:top="400" w:right="1264" w:bottom="1245" w:left="1244" w:header="0" w:footer="1083" w:gutter="0"/>
          <w:cols w:space="720" w:num="1"/>
        </w:sectPr>
      </w:pPr>
    </w:p>
    <w:p w14:paraId="7AB11EC4">
      <w:pPr>
        <w:spacing w:before="15"/>
      </w:pPr>
    </w:p>
    <w:p w14:paraId="072AC868">
      <w:pPr>
        <w:spacing w:before="15"/>
      </w:pPr>
    </w:p>
    <w:p w14:paraId="263EAE11">
      <w:pPr>
        <w:spacing w:before="15"/>
      </w:pPr>
    </w:p>
    <w:p w14:paraId="764A7800">
      <w:pPr>
        <w:spacing w:before="14"/>
      </w:pPr>
    </w:p>
    <w:tbl>
      <w:tblPr>
        <w:tblStyle w:val="5"/>
        <w:tblW w:w="942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522"/>
      </w:tblGrid>
      <w:tr w14:paraId="456A6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904" w:type="dxa"/>
            <w:vAlign w:val="top"/>
          </w:tcPr>
          <w:p w14:paraId="14B5581A">
            <w:pPr>
              <w:rPr>
                <w:rFonts w:ascii="Arial"/>
                <w:sz w:val="21"/>
              </w:rPr>
            </w:pPr>
          </w:p>
        </w:tc>
        <w:tc>
          <w:tcPr>
            <w:tcW w:w="8522" w:type="dxa"/>
            <w:vAlign w:val="top"/>
          </w:tcPr>
          <w:p w14:paraId="6722FBAF">
            <w:pPr>
              <w:pStyle w:val="6"/>
              <w:spacing w:before="21" w:line="360" w:lineRule="auto"/>
              <w:ind w:left="101" w:firstLine="459"/>
              <w:jc w:val="both"/>
              <w:rPr>
                <w:sz w:val="24"/>
                <w:szCs w:val="24"/>
              </w:rPr>
            </w:pPr>
            <w:r>
              <w:rPr>
                <w:spacing w:val="3"/>
                <w:sz w:val="24"/>
                <w:szCs w:val="24"/>
              </w:rPr>
              <w:t>本项目实施后，升压站生活污水的产生量共计为0.57</w:t>
            </w:r>
            <w:r>
              <w:rPr>
                <w:spacing w:val="2"/>
                <w:sz w:val="24"/>
                <w:szCs w:val="24"/>
              </w:rPr>
              <w:t>m³/d、208.05m³/a,其</w:t>
            </w:r>
            <w:r>
              <w:rPr>
                <w:sz w:val="24"/>
                <w:szCs w:val="24"/>
              </w:rPr>
              <w:t xml:space="preserve"> </w:t>
            </w:r>
            <w:r>
              <w:rPr>
                <w:spacing w:val="-1"/>
                <w:sz w:val="24"/>
                <w:szCs w:val="24"/>
              </w:rPr>
              <w:t>中食堂废水的产生量为0.14m³/d、51.1m³/a。根据同类光伏电站运行经验，结合</w:t>
            </w:r>
            <w:r>
              <w:rPr>
                <w:spacing w:val="10"/>
                <w:sz w:val="24"/>
                <w:szCs w:val="24"/>
              </w:rPr>
              <w:t xml:space="preserve"> </w:t>
            </w:r>
            <w:r>
              <w:rPr>
                <w:spacing w:val="-1"/>
                <w:sz w:val="24"/>
                <w:szCs w:val="24"/>
              </w:rPr>
              <w:t>项目可研报告要求，本评价要求在升压站办公生活区内设置食堂废水隔油池，食</w:t>
            </w:r>
            <w:r>
              <w:rPr>
                <w:spacing w:val="10"/>
                <w:sz w:val="24"/>
                <w:szCs w:val="24"/>
              </w:rPr>
              <w:t xml:space="preserve"> </w:t>
            </w:r>
            <w:r>
              <w:rPr>
                <w:spacing w:val="-1"/>
                <w:sz w:val="24"/>
                <w:szCs w:val="24"/>
              </w:rPr>
              <w:t>堂废水经隔油预处理后与其他生活废水一起进入化粪池进行预处理，后统一进入</w:t>
            </w:r>
            <w:r>
              <w:rPr>
                <w:spacing w:val="11"/>
                <w:sz w:val="24"/>
                <w:szCs w:val="24"/>
              </w:rPr>
              <w:t xml:space="preserve"> </w:t>
            </w:r>
            <w:r>
              <w:rPr>
                <w:spacing w:val="-1"/>
                <w:sz w:val="24"/>
                <w:szCs w:val="24"/>
              </w:rPr>
              <w:t>一体化生活废水处理站进行处理，处理达标后排入生活废水收集池作为升压站场</w:t>
            </w:r>
            <w:r>
              <w:rPr>
                <w:spacing w:val="10"/>
                <w:sz w:val="24"/>
                <w:szCs w:val="24"/>
              </w:rPr>
              <w:t xml:space="preserve"> </w:t>
            </w:r>
            <w:r>
              <w:rPr>
                <w:sz w:val="24"/>
                <w:szCs w:val="24"/>
              </w:rPr>
              <w:t>区晴天绿化、道路降尘用水回用，雨天储存，不外排。食堂隔油池容积为0.2m³;</w:t>
            </w:r>
            <w:r>
              <w:rPr>
                <w:spacing w:val="9"/>
                <w:sz w:val="24"/>
                <w:szCs w:val="24"/>
              </w:rPr>
              <w:t xml:space="preserve"> 化粪池容积为1.0m³。</w:t>
            </w:r>
          </w:p>
          <w:p w14:paraId="6ED972F7">
            <w:pPr>
              <w:pStyle w:val="6"/>
              <w:spacing w:before="8" w:line="220" w:lineRule="auto"/>
              <w:ind w:left="571"/>
              <w:rPr>
                <w:sz w:val="24"/>
                <w:szCs w:val="24"/>
              </w:rPr>
            </w:pPr>
            <w:r>
              <w:rPr>
                <w:spacing w:val="-1"/>
                <w:sz w:val="24"/>
                <w:szCs w:val="24"/>
              </w:rPr>
              <w:t>处理设施效果分析：</w:t>
            </w:r>
          </w:p>
          <w:p w14:paraId="709E4CBB">
            <w:pPr>
              <w:pStyle w:val="6"/>
              <w:spacing w:before="173" w:line="220" w:lineRule="auto"/>
              <w:ind w:left="561"/>
              <w:rPr>
                <w:sz w:val="24"/>
                <w:szCs w:val="24"/>
              </w:rPr>
            </w:pPr>
            <w:r>
              <w:rPr>
                <w:sz w:val="24"/>
                <w:szCs w:val="24"/>
              </w:rPr>
              <w:t>A.隔油池效果分析</w:t>
            </w:r>
          </w:p>
          <w:p w14:paraId="22CEF941">
            <w:pPr>
              <w:pStyle w:val="6"/>
              <w:spacing w:before="181" w:line="218" w:lineRule="auto"/>
              <w:ind w:left="571"/>
              <w:rPr>
                <w:sz w:val="24"/>
                <w:szCs w:val="24"/>
              </w:rPr>
            </w:pPr>
            <w:r>
              <w:rPr>
                <w:sz w:val="24"/>
                <w:szCs w:val="24"/>
              </w:rPr>
              <w:t>根据国家环境保护标准HJ554-2010《饮食业环境保护技术规范》规定：含</w:t>
            </w:r>
          </w:p>
          <w:p w14:paraId="4BD766F3">
            <w:pPr>
              <w:pStyle w:val="6"/>
              <w:spacing w:before="188" w:line="219" w:lineRule="auto"/>
              <w:ind w:left="101"/>
              <w:rPr>
                <w:sz w:val="24"/>
                <w:szCs w:val="24"/>
              </w:rPr>
            </w:pPr>
            <w:r>
              <w:rPr>
                <w:sz w:val="24"/>
                <w:szCs w:val="24"/>
              </w:rPr>
              <w:t>油污水的水力停留时间不宜小于0.5h;池内水流流速不宜大于0.005m/s;池内分</w:t>
            </w:r>
          </w:p>
          <w:p w14:paraId="35589617">
            <w:pPr>
              <w:pStyle w:val="6"/>
              <w:spacing w:before="174" w:line="362" w:lineRule="auto"/>
              <w:ind w:left="71" w:right="20" w:firstLine="30"/>
              <w:rPr>
                <w:sz w:val="24"/>
                <w:szCs w:val="24"/>
              </w:rPr>
            </w:pPr>
            <w:r>
              <w:rPr>
                <w:sz w:val="24"/>
                <w:szCs w:val="24"/>
              </w:rPr>
              <w:t>格宜取两档三格；人工除油的隔油池内存油部分的容积</w:t>
            </w:r>
            <w:r>
              <w:rPr>
                <w:spacing w:val="-1"/>
                <w:sz w:val="24"/>
                <w:szCs w:val="24"/>
              </w:rPr>
              <w:t>不得小于该池有效容积的</w:t>
            </w:r>
            <w:r>
              <w:rPr>
                <w:sz w:val="24"/>
                <w:szCs w:val="24"/>
              </w:rPr>
              <w:t xml:space="preserve"> </w:t>
            </w:r>
            <w:r>
              <w:rPr>
                <w:spacing w:val="1"/>
                <w:sz w:val="24"/>
                <w:szCs w:val="24"/>
              </w:rPr>
              <w:t>25%,隔油池出水管管底至池底的深度，不</w:t>
            </w:r>
            <w:r>
              <w:rPr>
                <w:sz w:val="24"/>
                <w:szCs w:val="24"/>
              </w:rPr>
              <w:t>得小于1.2m。</w:t>
            </w:r>
          </w:p>
          <w:p w14:paraId="60C8A958">
            <w:pPr>
              <w:pStyle w:val="6"/>
              <w:spacing w:line="219" w:lineRule="auto"/>
              <w:ind w:left="581"/>
              <w:rPr>
                <w:sz w:val="24"/>
                <w:szCs w:val="24"/>
              </w:rPr>
            </w:pPr>
            <w:r>
              <w:rPr>
                <w:sz w:val="24"/>
                <w:szCs w:val="24"/>
              </w:rPr>
              <w:t>隔油池有效容积计算：V=Q×60×t</w:t>
            </w:r>
          </w:p>
          <w:p w14:paraId="64686555">
            <w:pPr>
              <w:pStyle w:val="6"/>
              <w:spacing w:before="175" w:line="360" w:lineRule="auto"/>
              <w:ind w:left="101" w:right="239" w:firstLine="479"/>
              <w:rPr>
                <w:sz w:val="24"/>
                <w:szCs w:val="24"/>
              </w:rPr>
            </w:pPr>
            <w:r>
              <w:rPr>
                <w:sz w:val="24"/>
                <w:szCs w:val="24"/>
              </w:rPr>
              <w:t>式中：V=隔油池的有效容积，Q为设计污水最大秒流量，t为含油污水在池</w:t>
            </w:r>
            <w:r>
              <w:rPr>
                <w:spacing w:val="10"/>
                <w:sz w:val="24"/>
                <w:szCs w:val="24"/>
              </w:rPr>
              <w:t xml:space="preserve"> </w:t>
            </w:r>
            <w:r>
              <w:rPr>
                <w:sz w:val="24"/>
                <w:szCs w:val="24"/>
              </w:rPr>
              <w:t>内的停留时间。</w:t>
            </w:r>
          </w:p>
          <w:p w14:paraId="4BD27F07">
            <w:pPr>
              <w:pStyle w:val="6"/>
              <w:spacing w:before="2" w:line="358" w:lineRule="auto"/>
              <w:ind w:left="101" w:right="20" w:firstLine="459"/>
              <w:rPr>
                <w:sz w:val="24"/>
                <w:szCs w:val="24"/>
              </w:rPr>
            </w:pPr>
            <w:r>
              <w:rPr>
                <w:spacing w:val="3"/>
                <w:sz w:val="24"/>
                <w:szCs w:val="24"/>
              </w:rPr>
              <w:t>根据上述规定计算：本项目食堂废水产生量为0.14m³/d,按食堂运行时间每</w:t>
            </w:r>
            <w:r>
              <w:rPr>
                <w:spacing w:val="18"/>
                <w:sz w:val="24"/>
                <w:szCs w:val="24"/>
              </w:rPr>
              <w:t xml:space="preserve"> </w:t>
            </w:r>
            <w:r>
              <w:rPr>
                <w:sz w:val="24"/>
                <w:szCs w:val="24"/>
              </w:rPr>
              <w:t>天3h计，废水停留时间取2h,预留30%的存油空间，则隔油池容积不应小于</w:t>
            </w:r>
          </w:p>
          <w:p w14:paraId="1761D9BF">
            <w:pPr>
              <w:pStyle w:val="6"/>
              <w:spacing w:before="4" w:line="360" w:lineRule="auto"/>
              <w:ind w:left="81" w:right="137"/>
              <w:rPr>
                <w:sz w:val="24"/>
                <w:szCs w:val="24"/>
              </w:rPr>
            </w:pPr>
            <w:r>
              <w:rPr>
                <w:spacing w:val="3"/>
                <w:sz w:val="24"/>
                <w:szCs w:val="24"/>
              </w:rPr>
              <w:t>0.121m³。本评价要求在升压站办公生活区内设置食堂废水隔油池1个，容积不</w:t>
            </w:r>
            <w:r>
              <w:rPr>
                <w:spacing w:val="18"/>
                <w:sz w:val="24"/>
                <w:szCs w:val="24"/>
              </w:rPr>
              <w:t xml:space="preserve"> </w:t>
            </w:r>
            <w:r>
              <w:rPr>
                <w:spacing w:val="4"/>
                <w:sz w:val="24"/>
                <w:szCs w:val="24"/>
              </w:rPr>
              <w:t>小于0.2m³。而根据《饮食业环境保护技术规范》(</w:t>
            </w:r>
            <w:r>
              <w:rPr>
                <w:sz w:val="24"/>
                <w:szCs w:val="24"/>
              </w:rPr>
              <w:t>HJ</w:t>
            </w:r>
            <w:r>
              <w:rPr>
                <w:spacing w:val="4"/>
                <w:sz w:val="24"/>
                <w:szCs w:val="24"/>
              </w:rPr>
              <w:t>554-2010)的要求，含油</w:t>
            </w:r>
            <w:r>
              <w:rPr>
                <w:spacing w:val="13"/>
                <w:sz w:val="24"/>
                <w:szCs w:val="24"/>
              </w:rPr>
              <w:t xml:space="preserve"> </w:t>
            </w:r>
            <w:r>
              <w:rPr>
                <w:sz w:val="24"/>
                <w:szCs w:val="24"/>
              </w:rPr>
              <w:t>污水的水力停留时间不宜小于0.5h,故项目隔油池能够保证食堂含油污水的处理</w:t>
            </w:r>
            <w:r>
              <w:rPr>
                <w:spacing w:val="7"/>
                <w:sz w:val="24"/>
                <w:szCs w:val="24"/>
              </w:rPr>
              <w:t xml:space="preserve"> </w:t>
            </w:r>
            <w:r>
              <w:rPr>
                <w:sz w:val="24"/>
                <w:szCs w:val="24"/>
              </w:rPr>
              <w:t>效果。</w:t>
            </w:r>
          </w:p>
          <w:p w14:paraId="6A8AEFFD">
            <w:pPr>
              <w:pStyle w:val="6"/>
              <w:spacing w:before="6" w:line="219" w:lineRule="auto"/>
              <w:ind w:left="561"/>
              <w:rPr>
                <w:sz w:val="24"/>
                <w:szCs w:val="24"/>
              </w:rPr>
            </w:pPr>
            <w:r>
              <w:rPr>
                <w:spacing w:val="-1"/>
                <w:sz w:val="24"/>
                <w:szCs w:val="24"/>
              </w:rPr>
              <w:t>B.化粪池效果分析</w:t>
            </w:r>
          </w:p>
          <w:p w14:paraId="1124DDCD">
            <w:pPr>
              <w:pStyle w:val="6"/>
              <w:spacing w:before="180" w:line="363" w:lineRule="auto"/>
              <w:ind w:left="101" w:right="18" w:firstLine="459"/>
              <w:rPr>
                <w:sz w:val="24"/>
                <w:szCs w:val="24"/>
              </w:rPr>
            </w:pPr>
            <w:r>
              <w:rPr>
                <w:spacing w:val="4"/>
                <w:sz w:val="24"/>
                <w:szCs w:val="24"/>
              </w:rPr>
              <w:t>本项目实施后，升压站生活污水的产生量共计</w:t>
            </w:r>
            <w:r>
              <w:rPr>
                <w:spacing w:val="3"/>
                <w:sz w:val="24"/>
                <w:szCs w:val="24"/>
              </w:rPr>
              <w:t>为0.57m³/d,本项目化粪池容</w:t>
            </w:r>
            <w:r>
              <w:rPr>
                <w:sz w:val="24"/>
                <w:szCs w:val="24"/>
              </w:rPr>
              <w:t xml:space="preserve"> </w:t>
            </w:r>
            <w:r>
              <w:rPr>
                <w:spacing w:val="3"/>
                <w:sz w:val="24"/>
                <w:szCs w:val="24"/>
              </w:rPr>
              <w:t>积为1.0m³,化粪池可容纳1.75天生活污水，而根据《建筑给水排水设计规范》</w:t>
            </w:r>
          </w:p>
          <w:p w14:paraId="5ADFAE8F">
            <w:pPr>
              <w:pStyle w:val="6"/>
              <w:spacing w:before="1" w:line="353" w:lineRule="auto"/>
              <w:ind w:left="91" w:right="252" w:firstLine="109"/>
              <w:rPr>
                <w:sz w:val="24"/>
                <w:szCs w:val="24"/>
              </w:rPr>
            </w:pPr>
            <w:r>
              <w:rPr>
                <w:sz w:val="24"/>
                <w:szCs w:val="24"/>
              </w:rPr>
              <w:t>(GB50015-2009)要求：化粪池有效停留时间12～24h。因此，本项目所设置的</w:t>
            </w:r>
            <w:r>
              <w:rPr>
                <w:spacing w:val="17"/>
                <w:sz w:val="24"/>
                <w:szCs w:val="24"/>
              </w:rPr>
              <w:t xml:space="preserve"> </w:t>
            </w:r>
            <w:r>
              <w:rPr>
                <w:sz w:val="24"/>
                <w:szCs w:val="24"/>
              </w:rPr>
              <w:t>化粪池能满足项目生活废水的处置要求，且满足水力停留时间要求。</w:t>
            </w:r>
          </w:p>
          <w:p w14:paraId="4D4652F1">
            <w:pPr>
              <w:pStyle w:val="6"/>
              <w:spacing w:before="1" w:line="341" w:lineRule="auto"/>
              <w:ind w:left="91" w:right="259" w:firstLine="469"/>
              <w:rPr>
                <w:sz w:val="24"/>
                <w:szCs w:val="24"/>
              </w:rPr>
            </w:pPr>
            <w:r>
              <w:rPr>
                <w:sz w:val="24"/>
                <w:szCs w:val="24"/>
              </w:rPr>
              <w:t>根据以上分析，本评价针对生活污水设置的1个隔油池和1个化粪池能够满</w:t>
            </w:r>
            <w:r>
              <w:rPr>
                <w:spacing w:val="10"/>
                <w:sz w:val="24"/>
                <w:szCs w:val="24"/>
              </w:rPr>
              <w:t xml:space="preserve"> </w:t>
            </w:r>
            <w:r>
              <w:rPr>
                <w:sz w:val="24"/>
                <w:szCs w:val="24"/>
              </w:rPr>
              <w:t>足项目生活废水的预处理要求。</w:t>
            </w:r>
          </w:p>
        </w:tc>
      </w:tr>
    </w:tbl>
    <w:p w14:paraId="12D81D8A">
      <w:pPr>
        <w:pStyle w:val="2"/>
      </w:pPr>
    </w:p>
    <w:p w14:paraId="7FCEF8C6">
      <w:pPr>
        <w:sectPr>
          <w:footerReference r:id="rId160" w:type="default"/>
          <w:pgSz w:w="11910" w:h="16830"/>
          <w:pgMar w:top="400" w:right="1238" w:bottom="1245" w:left="1234" w:header="0" w:footer="1083" w:gutter="0"/>
          <w:cols w:space="720" w:num="1"/>
        </w:sectPr>
      </w:pPr>
    </w:p>
    <w:p w14:paraId="6FF99185">
      <w:pPr>
        <w:spacing w:before="15"/>
      </w:pPr>
    </w:p>
    <w:p w14:paraId="346DE0E5">
      <w:pPr>
        <w:spacing w:before="15"/>
      </w:pPr>
    </w:p>
    <w:p w14:paraId="3D7C7BD9">
      <w:pPr>
        <w:spacing w:before="15"/>
      </w:pPr>
    </w:p>
    <w:p w14:paraId="4175CDAE">
      <w:pPr>
        <w:spacing w:before="14"/>
      </w:pPr>
    </w:p>
    <w:tbl>
      <w:tblPr>
        <w:tblStyle w:val="5"/>
        <w:tblW w:w="93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93"/>
      </w:tblGrid>
      <w:tr w14:paraId="608B3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904" w:type="dxa"/>
            <w:vAlign w:val="top"/>
          </w:tcPr>
          <w:p w14:paraId="5B510B1B">
            <w:pPr>
              <w:rPr>
                <w:rFonts w:ascii="Arial"/>
                <w:sz w:val="21"/>
              </w:rPr>
            </w:pPr>
          </w:p>
        </w:tc>
        <w:tc>
          <w:tcPr>
            <w:tcW w:w="8493" w:type="dxa"/>
            <w:vAlign w:val="top"/>
          </w:tcPr>
          <w:p w14:paraId="02D5E308">
            <w:pPr>
              <w:pStyle w:val="6"/>
              <w:spacing w:before="44" w:line="219" w:lineRule="auto"/>
              <w:ind w:left="581"/>
              <w:rPr>
                <w:sz w:val="24"/>
                <w:szCs w:val="24"/>
              </w:rPr>
            </w:pPr>
            <w:r>
              <w:rPr>
                <w:spacing w:val="-1"/>
                <w:sz w:val="24"/>
                <w:szCs w:val="24"/>
              </w:rPr>
              <w:t>C.一体化生活废水处理站效果分析</w:t>
            </w:r>
          </w:p>
          <w:p w14:paraId="597BBBA5">
            <w:pPr>
              <w:pStyle w:val="6"/>
              <w:spacing w:before="152" w:line="217" w:lineRule="auto"/>
              <w:ind w:left="571"/>
              <w:rPr>
                <w:sz w:val="24"/>
                <w:szCs w:val="24"/>
              </w:rPr>
            </w:pPr>
            <w:r>
              <w:rPr>
                <w:spacing w:val="2"/>
                <w:sz w:val="24"/>
                <w:szCs w:val="24"/>
              </w:rPr>
              <w:t>①处理工艺</w:t>
            </w:r>
          </w:p>
          <w:p w14:paraId="6B02255A">
            <w:pPr>
              <w:pStyle w:val="6"/>
              <w:spacing w:before="191" w:line="357" w:lineRule="auto"/>
              <w:ind w:left="101" w:firstLine="499"/>
              <w:rPr>
                <w:sz w:val="24"/>
                <w:szCs w:val="24"/>
              </w:rPr>
            </w:pPr>
            <w:r>
              <w:rPr>
                <w:spacing w:val="-1"/>
                <w:sz w:val="24"/>
                <w:szCs w:val="24"/>
              </w:rPr>
              <w:t>由于项目产生的生活污水中污染物浓度均较低，属低浓度生</w:t>
            </w:r>
            <w:r>
              <w:rPr>
                <w:spacing w:val="-2"/>
                <w:sz w:val="24"/>
                <w:szCs w:val="24"/>
              </w:rPr>
              <w:t>活污水，可生化</w:t>
            </w:r>
            <w:r>
              <w:rPr>
                <w:sz w:val="24"/>
                <w:szCs w:val="24"/>
              </w:rPr>
              <w:t xml:space="preserve"> </w:t>
            </w:r>
            <w:r>
              <w:rPr>
                <w:spacing w:val="1"/>
                <w:sz w:val="24"/>
                <w:szCs w:val="24"/>
              </w:rPr>
              <w:t>性也较好，因此，采用生物法进行处理较为合适。本次评</w:t>
            </w:r>
            <w:r>
              <w:rPr>
                <w:sz w:val="24"/>
                <w:szCs w:val="24"/>
              </w:rPr>
              <w:t>价推荐使用“MBR一</w:t>
            </w:r>
          </w:p>
          <w:p w14:paraId="53767C22">
            <w:pPr>
              <w:pStyle w:val="6"/>
              <w:spacing w:line="218" w:lineRule="auto"/>
              <w:jc w:val="right"/>
              <w:rPr>
                <w:sz w:val="24"/>
                <w:szCs w:val="24"/>
              </w:rPr>
            </w:pPr>
            <w:r>
              <w:rPr>
                <w:spacing w:val="-7"/>
                <w:sz w:val="24"/>
                <w:szCs w:val="24"/>
              </w:rPr>
              <w:t>体化处理工艺”(此工艺为环评推荐工艺，项目实际设计的工艺以设计资料为准)。</w:t>
            </w:r>
          </w:p>
          <w:p w14:paraId="5FDD1C6A">
            <w:pPr>
              <w:pStyle w:val="6"/>
              <w:spacing w:before="195" w:line="219" w:lineRule="auto"/>
              <w:ind w:left="561"/>
              <w:rPr>
                <w:sz w:val="24"/>
                <w:szCs w:val="24"/>
              </w:rPr>
            </w:pPr>
            <w:r>
              <w:rPr>
                <w:sz w:val="24"/>
                <w:szCs w:val="24"/>
              </w:rPr>
              <w:t>MBR一体化污水处理工艺是膜分离技术与生物技术有机结合的新型</w:t>
            </w:r>
            <w:r>
              <w:rPr>
                <w:spacing w:val="-1"/>
                <w:sz w:val="24"/>
                <w:szCs w:val="24"/>
              </w:rPr>
              <w:t>废水处</w:t>
            </w:r>
          </w:p>
          <w:p w14:paraId="64A25A00">
            <w:pPr>
              <w:pStyle w:val="6"/>
              <w:spacing w:before="177" w:line="219" w:lineRule="auto"/>
              <w:ind w:left="101"/>
              <w:rPr>
                <w:sz w:val="24"/>
                <w:szCs w:val="24"/>
              </w:rPr>
            </w:pPr>
            <w:r>
              <w:rPr>
                <w:sz w:val="24"/>
                <w:szCs w:val="24"/>
              </w:rPr>
              <w:t>理技术，核心部件为膜生物反应器。MBR一体化污水处理设备中培养有大量的</w:t>
            </w:r>
          </w:p>
          <w:p w14:paraId="1F0B91D2">
            <w:pPr>
              <w:pStyle w:val="6"/>
              <w:spacing w:before="195" w:line="359" w:lineRule="auto"/>
              <w:ind w:left="81" w:firstLine="19"/>
              <w:rPr>
                <w:sz w:val="24"/>
                <w:szCs w:val="24"/>
              </w:rPr>
            </w:pPr>
            <w:r>
              <w:rPr>
                <w:spacing w:val="-1"/>
                <w:sz w:val="24"/>
                <w:szCs w:val="24"/>
              </w:rPr>
              <w:t>驯化细菌，在兼氧、好氧微生物的新陈代谢作用下，污水中的各类污染物得到去</w:t>
            </w:r>
            <w:r>
              <w:rPr>
                <w:spacing w:val="15"/>
                <w:sz w:val="24"/>
                <w:szCs w:val="24"/>
              </w:rPr>
              <w:t xml:space="preserve"> </w:t>
            </w:r>
            <w:r>
              <w:rPr>
                <w:spacing w:val="5"/>
                <w:sz w:val="24"/>
                <w:szCs w:val="24"/>
              </w:rPr>
              <w:t>除，它不仅能有效去除污水中的</w:t>
            </w:r>
            <w:r>
              <w:rPr>
                <w:sz w:val="24"/>
                <w:szCs w:val="24"/>
              </w:rPr>
              <w:t>BOD</w:t>
            </w:r>
            <w:r>
              <w:rPr>
                <w:rFonts w:ascii="Calibri" w:hAnsi="Calibri" w:eastAsia="Calibri" w:cs="Calibri"/>
                <w:spacing w:val="5"/>
                <w:sz w:val="24"/>
                <w:szCs w:val="24"/>
              </w:rPr>
              <w:t>₅</w:t>
            </w:r>
            <w:r>
              <w:rPr>
                <w:spacing w:val="5"/>
                <w:sz w:val="24"/>
                <w:szCs w:val="24"/>
              </w:rPr>
              <w:t>等有机物，而且能有效去除污水中的氮化</w:t>
            </w:r>
            <w:r>
              <w:rPr>
                <w:spacing w:val="2"/>
                <w:sz w:val="24"/>
                <w:szCs w:val="24"/>
              </w:rPr>
              <w:t xml:space="preserve">  </w:t>
            </w:r>
            <w:r>
              <w:rPr>
                <w:spacing w:val="-1"/>
                <w:sz w:val="24"/>
                <w:szCs w:val="24"/>
              </w:rPr>
              <w:t>合物。</w:t>
            </w:r>
          </w:p>
          <w:p w14:paraId="24A1CB84">
            <w:pPr>
              <w:pStyle w:val="6"/>
              <w:spacing w:before="3" w:line="354" w:lineRule="auto"/>
              <w:ind w:left="101" w:firstLine="459"/>
              <w:rPr>
                <w:sz w:val="24"/>
                <w:szCs w:val="24"/>
              </w:rPr>
            </w:pPr>
            <w:r>
              <w:rPr>
                <w:sz w:val="24"/>
                <w:szCs w:val="24"/>
              </w:rPr>
              <w:t>污水流经格栅井截留形状较大的固体废物后进入调节池，由调节池调配后使</w:t>
            </w:r>
            <w:r>
              <w:rPr>
                <w:spacing w:val="1"/>
                <w:sz w:val="24"/>
                <w:szCs w:val="24"/>
              </w:rPr>
              <w:t xml:space="preserve"> </w:t>
            </w:r>
            <w:r>
              <w:rPr>
                <w:sz w:val="24"/>
                <w:szCs w:val="24"/>
              </w:rPr>
              <w:t>用污水提升泵提升进入MBR系统，MBR系统A区为兼氧区，放置填料，并与</w:t>
            </w:r>
          </w:p>
          <w:p w14:paraId="6240F909">
            <w:pPr>
              <w:pStyle w:val="6"/>
              <w:spacing w:before="15" w:line="219" w:lineRule="auto"/>
              <w:ind w:left="101"/>
              <w:rPr>
                <w:sz w:val="24"/>
                <w:szCs w:val="24"/>
              </w:rPr>
            </w:pPr>
            <w:r>
              <w:rPr>
                <w:sz w:val="24"/>
                <w:szCs w:val="24"/>
              </w:rPr>
              <w:t>活性污泥进行充分接触。O区为好氧区，放置膜组器，使用PVDF膜将活性污</w:t>
            </w:r>
          </w:p>
          <w:p w14:paraId="2A37DDBD">
            <w:pPr>
              <w:pStyle w:val="6"/>
              <w:spacing w:before="178" w:line="356" w:lineRule="auto"/>
              <w:ind w:left="110" w:hanging="9"/>
              <w:rPr>
                <w:sz w:val="24"/>
                <w:szCs w:val="24"/>
              </w:rPr>
            </w:pPr>
            <w:r>
              <w:rPr>
                <w:spacing w:val="-1"/>
                <w:sz w:val="24"/>
                <w:szCs w:val="24"/>
              </w:rPr>
              <w:t>泥和大分子有机物质截留住，不设二沉池，活性污泥浓度因而大大提高，水力停</w:t>
            </w:r>
            <w:r>
              <w:rPr>
                <w:spacing w:val="15"/>
                <w:sz w:val="24"/>
                <w:szCs w:val="24"/>
              </w:rPr>
              <w:t xml:space="preserve"> </w:t>
            </w:r>
            <w:r>
              <w:rPr>
                <w:sz w:val="24"/>
                <w:szCs w:val="24"/>
              </w:rPr>
              <w:t>留时间(GYT)和污泥停留时间(SRT)可以分别控制，而难降解的物质在反应</w:t>
            </w:r>
          </w:p>
          <w:p w14:paraId="233BF21C">
            <w:pPr>
              <w:pStyle w:val="6"/>
              <w:spacing w:before="9" w:line="359" w:lineRule="auto"/>
              <w:ind w:left="101" w:firstLine="10"/>
              <w:rPr>
                <w:sz w:val="24"/>
                <w:szCs w:val="24"/>
              </w:rPr>
            </w:pPr>
            <w:r>
              <w:rPr>
                <w:spacing w:val="-4"/>
                <w:sz w:val="24"/>
                <w:szCs w:val="24"/>
              </w:rPr>
              <w:t>器中不断反应、降解，通过膜的过滤作用做到“固液分离”,从而保</w:t>
            </w:r>
            <w:r>
              <w:rPr>
                <w:spacing w:val="-5"/>
                <w:sz w:val="24"/>
                <w:szCs w:val="24"/>
              </w:rPr>
              <w:t>证出水浊度降</w:t>
            </w:r>
            <w:r>
              <w:rPr>
                <w:sz w:val="24"/>
                <w:szCs w:val="24"/>
              </w:rPr>
              <w:t xml:space="preserve"> 至极低，污水中的各类污染物也通过膜的过滤作用得到进一步的去除。</w:t>
            </w:r>
          </w:p>
          <w:p w14:paraId="72417EFD">
            <w:pPr>
              <w:pStyle w:val="6"/>
              <w:spacing w:before="2" w:line="219" w:lineRule="auto"/>
              <w:ind w:left="561"/>
              <w:rPr>
                <w:sz w:val="24"/>
                <w:szCs w:val="24"/>
              </w:rPr>
            </w:pPr>
            <w:r>
              <w:rPr>
                <w:sz w:val="24"/>
                <w:szCs w:val="24"/>
              </w:rPr>
              <w:t>MBR反应池内装浸没式平片膜，反应池中的微生物将污水中的可生</w:t>
            </w:r>
            <w:r>
              <w:rPr>
                <w:spacing w:val="-1"/>
                <w:sz w:val="24"/>
                <w:szCs w:val="24"/>
              </w:rPr>
              <w:t>化污染</w:t>
            </w:r>
          </w:p>
          <w:p w14:paraId="4777C283">
            <w:pPr>
              <w:pStyle w:val="6"/>
              <w:spacing w:before="171" w:line="216" w:lineRule="auto"/>
              <w:ind w:left="101"/>
              <w:rPr>
                <w:sz w:val="24"/>
                <w:szCs w:val="24"/>
              </w:rPr>
            </w:pPr>
            <w:r>
              <w:rPr>
                <w:spacing w:val="8"/>
                <w:sz w:val="24"/>
                <w:szCs w:val="24"/>
              </w:rPr>
              <w:t>物进行同化和异化，异化产物多数成为无害的</w:t>
            </w:r>
            <w:r>
              <w:rPr>
                <w:sz w:val="24"/>
                <w:szCs w:val="24"/>
              </w:rPr>
              <w:t>CO</w:t>
            </w:r>
            <w:r>
              <w:rPr>
                <w:rFonts w:ascii="Calibri" w:hAnsi="Calibri" w:eastAsia="Calibri" w:cs="Calibri"/>
                <w:spacing w:val="8"/>
                <w:sz w:val="24"/>
                <w:szCs w:val="24"/>
              </w:rPr>
              <w:t>₂</w:t>
            </w:r>
            <w:r>
              <w:rPr>
                <w:spacing w:val="8"/>
                <w:sz w:val="24"/>
                <w:szCs w:val="24"/>
              </w:rPr>
              <w:t>和H</w:t>
            </w:r>
            <w:r>
              <w:rPr>
                <w:rFonts w:ascii="Calibri" w:hAnsi="Calibri" w:eastAsia="Calibri" w:cs="Calibri"/>
                <w:spacing w:val="8"/>
                <w:sz w:val="24"/>
                <w:szCs w:val="24"/>
              </w:rPr>
              <w:t>₂</w:t>
            </w:r>
            <w:r>
              <w:rPr>
                <w:spacing w:val="8"/>
                <w:sz w:val="24"/>
                <w:szCs w:val="24"/>
              </w:rPr>
              <w:t>O,同化产物成为微生</w:t>
            </w:r>
          </w:p>
          <w:p w14:paraId="370DF8E6">
            <w:pPr>
              <w:pStyle w:val="6"/>
              <w:spacing w:before="202" w:line="356" w:lineRule="auto"/>
              <w:ind w:left="101"/>
              <w:rPr>
                <w:sz w:val="24"/>
                <w:szCs w:val="24"/>
              </w:rPr>
            </w:pPr>
            <w:r>
              <w:rPr>
                <w:spacing w:val="-1"/>
                <w:sz w:val="24"/>
                <w:szCs w:val="24"/>
              </w:rPr>
              <w:t>物的组成物质。膜单元部分主要用于固液分离，微生物固体可有效地被截留在反</w:t>
            </w:r>
            <w:r>
              <w:rPr>
                <w:spacing w:val="15"/>
                <w:sz w:val="24"/>
                <w:szCs w:val="24"/>
              </w:rPr>
              <w:t xml:space="preserve"> </w:t>
            </w:r>
            <w:r>
              <w:rPr>
                <w:sz w:val="24"/>
                <w:szCs w:val="24"/>
              </w:rPr>
              <w:t>应器中，保证了出水水质的稳定。MBR池中的污泥一部分排入污泥消化池，一</w:t>
            </w:r>
          </w:p>
          <w:p w14:paraId="7E687ED4">
            <w:pPr>
              <w:pStyle w:val="6"/>
              <w:spacing w:before="14" w:line="219" w:lineRule="auto"/>
              <w:ind w:left="101"/>
              <w:rPr>
                <w:sz w:val="24"/>
                <w:szCs w:val="24"/>
              </w:rPr>
            </w:pPr>
            <w:r>
              <w:rPr>
                <w:sz w:val="24"/>
                <w:szCs w:val="24"/>
              </w:rPr>
              <w:t>部分回流入缺氧池，为缺氧段提供硝酸盐和亚硝酸盐，达到脱氮的目的。</w:t>
            </w:r>
          </w:p>
          <w:p w14:paraId="3CC2246C">
            <w:pPr>
              <w:pStyle w:val="6"/>
              <w:spacing w:before="187" w:line="356" w:lineRule="auto"/>
              <w:ind w:left="91" w:right="373" w:firstLine="459"/>
              <w:rPr>
                <w:sz w:val="24"/>
                <w:szCs w:val="24"/>
              </w:rPr>
            </w:pPr>
            <w:r>
              <w:rPr>
                <w:sz w:val="24"/>
                <w:szCs w:val="24"/>
              </w:rPr>
              <w:t>MBR反应池出水直接进入清水池，投加消毒剂杀死毒菌，并去除色</w:t>
            </w:r>
            <w:r>
              <w:rPr>
                <w:spacing w:val="-1"/>
                <w:sz w:val="24"/>
                <w:szCs w:val="24"/>
              </w:rPr>
              <w:t>度，各</w:t>
            </w:r>
            <w:r>
              <w:rPr>
                <w:sz w:val="24"/>
                <w:szCs w:val="24"/>
              </w:rPr>
              <w:t xml:space="preserve"> 项水质指标达标后，出水可以达标排放或回</w:t>
            </w:r>
            <w:r>
              <w:rPr>
                <w:spacing w:val="-1"/>
                <w:sz w:val="24"/>
                <w:szCs w:val="24"/>
              </w:rPr>
              <w:t>用。</w:t>
            </w:r>
          </w:p>
          <w:p w14:paraId="5B7E9765">
            <w:pPr>
              <w:pStyle w:val="6"/>
              <w:spacing w:before="15" w:line="347" w:lineRule="auto"/>
              <w:ind w:left="91" w:firstLine="469"/>
              <w:rPr>
                <w:sz w:val="24"/>
                <w:szCs w:val="24"/>
              </w:rPr>
            </w:pPr>
            <w:r>
              <w:rPr>
                <w:sz w:val="24"/>
                <w:szCs w:val="24"/>
              </w:rPr>
              <w:t>项目污水处理站自动化程度较高，不配备全职人员值守，故单独设置密闭式</w:t>
            </w:r>
            <w:r>
              <w:rPr>
                <w:spacing w:val="1"/>
                <w:sz w:val="24"/>
                <w:szCs w:val="24"/>
              </w:rPr>
              <w:t xml:space="preserve"> </w:t>
            </w:r>
            <w:r>
              <w:rPr>
                <w:sz w:val="24"/>
                <w:szCs w:val="24"/>
              </w:rPr>
              <w:t>污泥浓缩池收集暂存剩余污泥，污泥周期性</w:t>
            </w:r>
            <w:r>
              <w:rPr>
                <w:spacing w:val="-1"/>
                <w:sz w:val="24"/>
                <w:szCs w:val="24"/>
              </w:rPr>
              <w:t>清运处置即可。</w:t>
            </w:r>
          </w:p>
          <w:p w14:paraId="47F7BD3A">
            <w:pPr>
              <w:pStyle w:val="6"/>
              <w:spacing w:before="17" w:line="219" w:lineRule="auto"/>
              <w:ind w:left="581"/>
              <w:rPr>
                <w:sz w:val="24"/>
                <w:szCs w:val="24"/>
              </w:rPr>
            </w:pPr>
            <w:r>
              <w:rPr>
                <w:sz w:val="24"/>
                <w:szCs w:val="24"/>
              </w:rPr>
              <w:t>此外，输送到MBR系统中的空气也是处理过程中非常重要的一部分，它可</w:t>
            </w:r>
          </w:p>
          <w:p w14:paraId="414CFE7E">
            <w:pPr>
              <w:pStyle w:val="6"/>
              <w:spacing w:before="194" w:line="333" w:lineRule="auto"/>
              <w:ind w:left="91" w:right="8" w:firstLine="20"/>
              <w:rPr>
                <w:sz w:val="24"/>
                <w:szCs w:val="24"/>
              </w:rPr>
            </w:pPr>
            <w:r>
              <w:rPr>
                <w:spacing w:val="-1"/>
                <w:sz w:val="24"/>
                <w:szCs w:val="24"/>
              </w:rPr>
              <w:t>以促进反应器中流体的循环流动，提高活性污泥的降解效率，还可以使中</w:t>
            </w:r>
            <w:r>
              <w:rPr>
                <w:spacing w:val="-2"/>
                <w:sz w:val="24"/>
                <w:szCs w:val="24"/>
              </w:rPr>
              <w:t>空纤维</w:t>
            </w:r>
            <w:r>
              <w:rPr>
                <w:sz w:val="24"/>
                <w:szCs w:val="24"/>
              </w:rPr>
              <w:t xml:space="preserve"> </w:t>
            </w:r>
            <w:r>
              <w:rPr>
                <w:spacing w:val="-1"/>
                <w:sz w:val="24"/>
                <w:szCs w:val="24"/>
              </w:rPr>
              <w:t>膜膜丝之间发生相互摩擦，清洁膜组件。</w:t>
            </w:r>
          </w:p>
        </w:tc>
      </w:tr>
    </w:tbl>
    <w:p w14:paraId="35DC5E88">
      <w:pPr>
        <w:pStyle w:val="2"/>
      </w:pPr>
    </w:p>
    <w:p w14:paraId="6DBEF00C">
      <w:pPr>
        <w:sectPr>
          <w:footerReference r:id="rId161" w:type="default"/>
          <w:pgSz w:w="11910" w:h="16830"/>
          <w:pgMar w:top="400" w:right="1267" w:bottom="1243" w:left="1234" w:header="0" w:footer="1081" w:gutter="0"/>
          <w:cols w:space="720" w:num="1"/>
        </w:sectPr>
      </w:pPr>
    </w:p>
    <w:p w14:paraId="69254851">
      <w:pPr>
        <w:spacing w:before="15"/>
      </w:pPr>
    </w:p>
    <w:p w14:paraId="1D704C78">
      <w:pPr>
        <w:spacing w:before="15"/>
      </w:pPr>
    </w:p>
    <w:p w14:paraId="2ADE7B74">
      <w:pPr>
        <w:spacing w:before="15"/>
      </w:pPr>
    </w:p>
    <w:p w14:paraId="1832EF85">
      <w:pPr>
        <w:spacing w:before="14"/>
      </w:pPr>
    </w:p>
    <w:tbl>
      <w:tblPr>
        <w:tblStyle w:val="5"/>
        <w:tblW w:w="93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66"/>
      </w:tblGrid>
      <w:tr w14:paraId="0E55F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904" w:type="dxa"/>
            <w:vAlign w:val="top"/>
          </w:tcPr>
          <w:p w14:paraId="5377AA20">
            <w:pPr>
              <w:rPr>
                <w:rFonts w:ascii="Arial"/>
                <w:sz w:val="21"/>
              </w:rPr>
            </w:pPr>
          </w:p>
        </w:tc>
        <w:tc>
          <w:tcPr>
            <w:tcW w:w="8466" w:type="dxa"/>
            <w:vAlign w:val="top"/>
          </w:tcPr>
          <w:p w14:paraId="7105BF18">
            <w:pPr>
              <w:pStyle w:val="6"/>
              <w:spacing w:before="25" w:line="219" w:lineRule="auto"/>
              <w:ind w:left="440"/>
              <w:rPr>
                <w:sz w:val="24"/>
                <w:szCs w:val="24"/>
              </w:rPr>
            </w:pPr>
            <w:r>
              <w:rPr>
                <w:sz w:val="24"/>
                <w:szCs w:val="24"/>
              </w:rPr>
              <w:t>MBR生活污水处理技术已较为成熟，运行稳定，在国内外范围应用</w:t>
            </w:r>
            <w:r>
              <w:rPr>
                <w:spacing w:val="-1"/>
                <w:sz w:val="24"/>
                <w:szCs w:val="24"/>
              </w:rPr>
              <w:t>均十分</w:t>
            </w:r>
          </w:p>
          <w:p w14:paraId="0440D868">
            <w:pPr>
              <w:pStyle w:val="6"/>
              <w:spacing w:before="175" w:line="358" w:lineRule="auto"/>
              <w:ind w:left="21" w:right="5" w:firstLine="120"/>
              <w:rPr>
                <w:sz w:val="24"/>
                <w:szCs w:val="24"/>
              </w:rPr>
            </w:pPr>
            <w:r>
              <w:rPr>
                <w:sz w:val="24"/>
                <w:szCs w:val="24"/>
              </w:rPr>
              <w:t>广泛，污水处理工艺成熟，出水可稳定达到《城市污水再生利用城市杂用水水</w:t>
            </w:r>
            <w:r>
              <w:rPr>
                <w:spacing w:val="5"/>
                <w:sz w:val="24"/>
                <w:szCs w:val="24"/>
              </w:rPr>
              <w:t xml:space="preserve">  </w:t>
            </w:r>
            <w:r>
              <w:rPr>
                <w:spacing w:val="1"/>
                <w:sz w:val="24"/>
                <w:szCs w:val="24"/>
              </w:rPr>
              <w:t>质》(</w:t>
            </w:r>
            <w:r>
              <w:rPr>
                <w:sz w:val="24"/>
                <w:szCs w:val="24"/>
              </w:rPr>
              <w:t>GB</w:t>
            </w:r>
            <w:r>
              <w:rPr>
                <w:spacing w:val="1"/>
                <w:sz w:val="24"/>
                <w:szCs w:val="24"/>
              </w:rPr>
              <w:t>/T18920-2020)中“城市绿化、道路清扫”</w:t>
            </w:r>
            <w:r>
              <w:rPr>
                <w:sz w:val="24"/>
                <w:szCs w:val="24"/>
              </w:rPr>
              <w:t xml:space="preserve">标准，可回用于项目区绿化用 </w:t>
            </w:r>
            <w:r>
              <w:rPr>
                <w:spacing w:val="20"/>
                <w:sz w:val="24"/>
                <w:szCs w:val="24"/>
              </w:rPr>
              <w:t>水。</w:t>
            </w:r>
          </w:p>
          <w:p w14:paraId="1C6E82BE">
            <w:pPr>
              <w:pStyle w:val="6"/>
              <w:spacing w:line="217" w:lineRule="auto"/>
              <w:ind w:left="561"/>
              <w:rPr>
                <w:sz w:val="24"/>
                <w:szCs w:val="24"/>
              </w:rPr>
            </w:pPr>
            <w:r>
              <w:rPr>
                <w:spacing w:val="-1"/>
                <w:sz w:val="24"/>
                <w:szCs w:val="24"/>
              </w:rPr>
              <w:t>②污水处理设备处理工艺可行性分析</w:t>
            </w:r>
          </w:p>
          <w:p w14:paraId="063A8C3C">
            <w:pPr>
              <w:pStyle w:val="6"/>
              <w:spacing w:before="200" w:line="219" w:lineRule="auto"/>
              <w:ind w:left="551"/>
              <w:rPr>
                <w:sz w:val="24"/>
                <w:szCs w:val="24"/>
              </w:rPr>
            </w:pPr>
            <w:r>
              <w:rPr>
                <w:sz w:val="24"/>
                <w:szCs w:val="24"/>
              </w:rPr>
              <w:t>根据MBR一体化处理工艺，各单元的去除效果如下表所示：</w:t>
            </w:r>
          </w:p>
          <w:p w14:paraId="2BD1FAB3">
            <w:pPr>
              <w:pStyle w:val="6"/>
              <w:spacing w:before="163" w:line="214" w:lineRule="auto"/>
              <w:ind w:left="204"/>
              <w:rPr>
                <w:sz w:val="24"/>
                <w:szCs w:val="24"/>
              </w:rPr>
            </w:pPr>
            <w:r>
              <w:rPr>
                <w:b/>
                <w:bCs/>
                <w:spacing w:val="-3"/>
                <w:sz w:val="24"/>
                <w:szCs w:val="24"/>
              </w:rPr>
              <w:t>表4-12项目污水处理工艺各单元污染物去除效果分析一览表</w:t>
            </w:r>
            <w:r>
              <w:rPr>
                <w:spacing w:val="-3"/>
                <w:sz w:val="24"/>
                <w:szCs w:val="24"/>
              </w:rPr>
              <w:t xml:space="preserve"> </w:t>
            </w:r>
            <w:r>
              <w:rPr>
                <w:b/>
                <w:bCs/>
                <w:spacing w:val="-3"/>
                <w:sz w:val="24"/>
                <w:szCs w:val="24"/>
              </w:rPr>
              <w:t>浓度单位：mg/L</w:t>
            </w:r>
          </w:p>
          <w:p w14:paraId="1D2DF35D">
            <w:pPr>
              <w:spacing w:line="19" w:lineRule="exact"/>
            </w:pPr>
          </w:p>
          <w:tbl>
            <w:tblPr>
              <w:tblStyle w:val="5"/>
              <w:tblW w:w="8249" w:type="dxa"/>
              <w:tblInd w:w="1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3"/>
              <w:gridCol w:w="1239"/>
              <w:gridCol w:w="1418"/>
              <w:gridCol w:w="1408"/>
              <w:gridCol w:w="1408"/>
              <w:gridCol w:w="1433"/>
            </w:tblGrid>
            <w:tr w14:paraId="4AE3C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82" w:type="dxa"/>
                  <w:gridSpan w:val="2"/>
                  <w:vAlign w:val="top"/>
                </w:tcPr>
                <w:p w14:paraId="494AE5B5">
                  <w:pPr>
                    <w:pStyle w:val="6"/>
                    <w:spacing w:before="73" w:line="220" w:lineRule="auto"/>
                    <w:ind w:left="884"/>
                    <w:rPr>
                      <w:sz w:val="20"/>
                      <w:szCs w:val="20"/>
                    </w:rPr>
                  </w:pPr>
                  <w:r>
                    <w:rPr>
                      <w:spacing w:val="9"/>
                      <w:sz w:val="20"/>
                      <w:szCs w:val="20"/>
                    </w:rPr>
                    <w:t>指标项目</w:t>
                  </w:r>
                </w:p>
              </w:tc>
              <w:tc>
                <w:tcPr>
                  <w:tcW w:w="1418" w:type="dxa"/>
                  <w:vAlign w:val="top"/>
                </w:tcPr>
                <w:p w14:paraId="5D61855D">
                  <w:pPr>
                    <w:pStyle w:val="6"/>
                    <w:spacing w:before="124" w:line="183" w:lineRule="auto"/>
                    <w:ind w:left="552"/>
                    <w:rPr>
                      <w:sz w:val="20"/>
                      <w:szCs w:val="20"/>
                    </w:rPr>
                  </w:pPr>
                  <w:r>
                    <w:rPr>
                      <w:spacing w:val="-2"/>
                      <w:sz w:val="20"/>
                      <w:szCs w:val="20"/>
                    </w:rPr>
                    <w:t>COD</w:t>
                  </w:r>
                </w:p>
              </w:tc>
              <w:tc>
                <w:tcPr>
                  <w:tcW w:w="1408" w:type="dxa"/>
                  <w:vAlign w:val="top"/>
                </w:tcPr>
                <w:p w14:paraId="733B3DDC">
                  <w:pPr>
                    <w:pStyle w:val="6"/>
                    <w:spacing w:before="103" w:line="183" w:lineRule="auto"/>
                    <w:ind w:left="444"/>
                    <w:rPr>
                      <w:rFonts w:ascii="Calibri" w:hAnsi="Calibri" w:eastAsia="Calibri" w:cs="Calibri"/>
                      <w:sz w:val="20"/>
                      <w:szCs w:val="20"/>
                    </w:rPr>
                  </w:pPr>
                  <w:r>
                    <w:rPr>
                      <w:spacing w:val="-1"/>
                      <w:sz w:val="20"/>
                      <w:szCs w:val="20"/>
                    </w:rPr>
                    <w:t>BOD</w:t>
                  </w:r>
                  <w:r>
                    <w:rPr>
                      <w:rFonts w:ascii="Calibri" w:hAnsi="Calibri" w:eastAsia="Calibri" w:cs="Calibri"/>
                      <w:spacing w:val="-1"/>
                      <w:sz w:val="20"/>
                      <w:szCs w:val="20"/>
                    </w:rPr>
                    <w:t>₅</w:t>
                  </w:r>
                </w:p>
              </w:tc>
              <w:tc>
                <w:tcPr>
                  <w:tcW w:w="1408" w:type="dxa"/>
                  <w:vAlign w:val="top"/>
                </w:tcPr>
                <w:p w14:paraId="2216BB63">
                  <w:pPr>
                    <w:pStyle w:val="6"/>
                    <w:spacing w:before="124" w:line="183" w:lineRule="auto"/>
                    <w:ind w:left="596"/>
                    <w:rPr>
                      <w:sz w:val="20"/>
                      <w:szCs w:val="20"/>
                    </w:rPr>
                  </w:pPr>
                  <w:r>
                    <w:rPr>
                      <w:spacing w:val="-3"/>
                      <w:sz w:val="20"/>
                      <w:szCs w:val="20"/>
                    </w:rPr>
                    <w:t>SS</w:t>
                  </w:r>
                </w:p>
              </w:tc>
              <w:tc>
                <w:tcPr>
                  <w:tcW w:w="1433" w:type="dxa"/>
                  <w:vAlign w:val="top"/>
                </w:tcPr>
                <w:p w14:paraId="22D76331">
                  <w:pPr>
                    <w:pStyle w:val="6"/>
                    <w:spacing w:before="71" w:line="219" w:lineRule="auto"/>
                    <w:ind w:left="509"/>
                    <w:rPr>
                      <w:sz w:val="20"/>
                      <w:szCs w:val="20"/>
                    </w:rPr>
                  </w:pPr>
                  <w:r>
                    <w:rPr>
                      <w:spacing w:val="-2"/>
                      <w:sz w:val="20"/>
                      <w:szCs w:val="20"/>
                    </w:rPr>
                    <w:t>氨氮</w:t>
                  </w:r>
                </w:p>
              </w:tc>
            </w:tr>
            <w:tr w14:paraId="5664F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343" w:type="dxa"/>
                  <w:vMerge w:val="restart"/>
                  <w:tcBorders>
                    <w:bottom w:val="nil"/>
                  </w:tcBorders>
                  <w:vAlign w:val="top"/>
                </w:tcPr>
                <w:p w14:paraId="7A7E840F">
                  <w:pPr>
                    <w:spacing w:line="342" w:lineRule="auto"/>
                    <w:rPr>
                      <w:rFonts w:ascii="Arial"/>
                      <w:sz w:val="21"/>
                    </w:rPr>
                  </w:pPr>
                </w:p>
                <w:p w14:paraId="162B8048">
                  <w:pPr>
                    <w:pStyle w:val="6"/>
                    <w:spacing w:before="65" w:line="219" w:lineRule="auto"/>
                    <w:ind w:left="364"/>
                    <w:rPr>
                      <w:sz w:val="20"/>
                      <w:szCs w:val="20"/>
                    </w:rPr>
                  </w:pPr>
                  <w:r>
                    <w:rPr>
                      <w:spacing w:val="-2"/>
                      <w:sz w:val="20"/>
                      <w:szCs w:val="20"/>
                    </w:rPr>
                    <w:t>化粪池</w:t>
                  </w:r>
                </w:p>
              </w:tc>
              <w:tc>
                <w:tcPr>
                  <w:tcW w:w="1239" w:type="dxa"/>
                  <w:vAlign w:val="top"/>
                </w:tcPr>
                <w:p w14:paraId="4C56B599">
                  <w:pPr>
                    <w:pStyle w:val="6"/>
                    <w:spacing w:before="59" w:line="219" w:lineRule="auto"/>
                    <w:ind w:left="411"/>
                    <w:rPr>
                      <w:sz w:val="20"/>
                      <w:szCs w:val="20"/>
                    </w:rPr>
                  </w:pPr>
                  <w:r>
                    <w:rPr>
                      <w:spacing w:val="-2"/>
                      <w:sz w:val="20"/>
                      <w:szCs w:val="20"/>
                    </w:rPr>
                    <w:t>进水</w:t>
                  </w:r>
                </w:p>
              </w:tc>
              <w:tc>
                <w:tcPr>
                  <w:tcW w:w="1418" w:type="dxa"/>
                  <w:vAlign w:val="top"/>
                </w:tcPr>
                <w:p w14:paraId="2275B1B9">
                  <w:pPr>
                    <w:pStyle w:val="6"/>
                    <w:spacing w:before="79" w:line="203" w:lineRule="auto"/>
                    <w:ind w:left="552"/>
                    <w:rPr>
                      <w:sz w:val="20"/>
                      <w:szCs w:val="20"/>
                    </w:rPr>
                  </w:pPr>
                  <w:r>
                    <w:rPr>
                      <w:spacing w:val="-3"/>
                      <w:sz w:val="20"/>
                      <w:szCs w:val="20"/>
                    </w:rPr>
                    <w:t>350</w:t>
                  </w:r>
                </w:p>
              </w:tc>
              <w:tc>
                <w:tcPr>
                  <w:tcW w:w="1408" w:type="dxa"/>
                  <w:vAlign w:val="top"/>
                </w:tcPr>
                <w:p w14:paraId="41A466C3">
                  <w:pPr>
                    <w:pStyle w:val="6"/>
                    <w:spacing w:before="79" w:line="203" w:lineRule="auto"/>
                    <w:ind w:left="544"/>
                    <w:rPr>
                      <w:sz w:val="20"/>
                      <w:szCs w:val="20"/>
                    </w:rPr>
                  </w:pPr>
                  <w:r>
                    <w:rPr>
                      <w:spacing w:val="-3"/>
                      <w:sz w:val="20"/>
                      <w:szCs w:val="20"/>
                    </w:rPr>
                    <w:t>200</w:t>
                  </w:r>
                </w:p>
              </w:tc>
              <w:tc>
                <w:tcPr>
                  <w:tcW w:w="1408" w:type="dxa"/>
                  <w:vAlign w:val="top"/>
                </w:tcPr>
                <w:p w14:paraId="67D9F681">
                  <w:pPr>
                    <w:pStyle w:val="6"/>
                    <w:spacing w:before="79" w:line="203" w:lineRule="auto"/>
                    <w:ind w:left="547"/>
                    <w:rPr>
                      <w:sz w:val="20"/>
                      <w:szCs w:val="20"/>
                    </w:rPr>
                  </w:pPr>
                  <w:r>
                    <w:rPr>
                      <w:spacing w:val="-3"/>
                      <w:sz w:val="20"/>
                      <w:szCs w:val="20"/>
                    </w:rPr>
                    <w:t>250</w:t>
                  </w:r>
                </w:p>
              </w:tc>
              <w:tc>
                <w:tcPr>
                  <w:tcW w:w="1433" w:type="dxa"/>
                  <w:vAlign w:val="top"/>
                </w:tcPr>
                <w:p w14:paraId="6482C3A3">
                  <w:pPr>
                    <w:pStyle w:val="6"/>
                    <w:spacing w:before="79" w:line="203" w:lineRule="auto"/>
                    <w:ind w:left="608"/>
                    <w:rPr>
                      <w:sz w:val="20"/>
                      <w:szCs w:val="20"/>
                    </w:rPr>
                  </w:pPr>
                  <w:r>
                    <w:rPr>
                      <w:spacing w:val="-3"/>
                      <w:sz w:val="20"/>
                      <w:szCs w:val="20"/>
                    </w:rPr>
                    <w:t>25</w:t>
                  </w:r>
                </w:p>
              </w:tc>
            </w:tr>
            <w:tr w14:paraId="5393D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343" w:type="dxa"/>
                  <w:vMerge w:val="continue"/>
                  <w:tcBorders>
                    <w:top w:val="nil"/>
                    <w:bottom w:val="nil"/>
                  </w:tcBorders>
                  <w:vAlign w:val="top"/>
                </w:tcPr>
                <w:p w14:paraId="76730DDA">
                  <w:pPr>
                    <w:rPr>
                      <w:rFonts w:ascii="Arial"/>
                      <w:sz w:val="21"/>
                    </w:rPr>
                  </w:pPr>
                </w:p>
              </w:tc>
              <w:tc>
                <w:tcPr>
                  <w:tcW w:w="1239" w:type="dxa"/>
                  <w:vAlign w:val="top"/>
                </w:tcPr>
                <w:p w14:paraId="69BE94E3">
                  <w:pPr>
                    <w:pStyle w:val="6"/>
                    <w:spacing w:before="80" w:line="219" w:lineRule="auto"/>
                    <w:ind w:left="411"/>
                    <w:rPr>
                      <w:sz w:val="20"/>
                      <w:szCs w:val="20"/>
                    </w:rPr>
                  </w:pPr>
                  <w:r>
                    <w:rPr>
                      <w:spacing w:val="4"/>
                      <w:sz w:val="20"/>
                      <w:szCs w:val="20"/>
                    </w:rPr>
                    <w:t>出水</w:t>
                  </w:r>
                </w:p>
              </w:tc>
              <w:tc>
                <w:tcPr>
                  <w:tcW w:w="1418" w:type="dxa"/>
                  <w:vAlign w:val="top"/>
                </w:tcPr>
                <w:p w14:paraId="3A9DC99A">
                  <w:pPr>
                    <w:pStyle w:val="6"/>
                    <w:spacing w:before="100" w:line="220" w:lineRule="auto"/>
                    <w:ind w:left="452"/>
                    <w:rPr>
                      <w:sz w:val="20"/>
                      <w:szCs w:val="20"/>
                    </w:rPr>
                  </w:pPr>
                  <w:r>
                    <w:rPr>
                      <w:spacing w:val="-2"/>
                      <w:sz w:val="20"/>
                      <w:szCs w:val="20"/>
                    </w:rPr>
                    <w:t>297.5</w:t>
                  </w:r>
                </w:p>
              </w:tc>
              <w:tc>
                <w:tcPr>
                  <w:tcW w:w="1408" w:type="dxa"/>
                  <w:vAlign w:val="top"/>
                </w:tcPr>
                <w:p w14:paraId="1756EA00">
                  <w:pPr>
                    <w:pStyle w:val="6"/>
                    <w:spacing w:before="100" w:line="220" w:lineRule="auto"/>
                    <w:ind w:left="544"/>
                    <w:rPr>
                      <w:sz w:val="20"/>
                      <w:szCs w:val="20"/>
                    </w:rPr>
                  </w:pPr>
                  <w:r>
                    <w:rPr>
                      <w:spacing w:val="-6"/>
                      <w:sz w:val="20"/>
                      <w:szCs w:val="20"/>
                    </w:rPr>
                    <w:t>174</w:t>
                  </w:r>
                </w:p>
              </w:tc>
              <w:tc>
                <w:tcPr>
                  <w:tcW w:w="1408" w:type="dxa"/>
                  <w:vAlign w:val="top"/>
                </w:tcPr>
                <w:p w14:paraId="769E3F5F">
                  <w:pPr>
                    <w:pStyle w:val="6"/>
                    <w:spacing w:before="100" w:line="220" w:lineRule="auto"/>
                    <w:ind w:left="547"/>
                    <w:rPr>
                      <w:sz w:val="20"/>
                      <w:szCs w:val="20"/>
                    </w:rPr>
                  </w:pPr>
                  <w:r>
                    <w:rPr>
                      <w:spacing w:val="-6"/>
                      <w:sz w:val="20"/>
                      <w:szCs w:val="20"/>
                    </w:rPr>
                    <w:t>175</w:t>
                  </w:r>
                </w:p>
              </w:tc>
              <w:tc>
                <w:tcPr>
                  <w:tcW w:w="1433" w:type="dxa"/>
                  <w:vAlign w:val="top"/>
                </w:tcPr>
                <w:p w14:paraId="67E4BB29">
                  <w:pPr>
                    <w:pStyle w:val="6"/>
                    <w:spacing w:before="100" w:line="220" w:lineRule="auto"/>
                    <w:ind w:left="458"/>
                    <w:rPr>
                      <w:sz w:val="20"/>
                      <w:szCs w:val="20"/>
                    </w:rPr>
                  </w:pPr>
                  <w:r>
                    <w:rPr>
                      <w:spacing w:val="-2"/>
                      <w:sz w:val="20"/>
                      <w:szCs w:val="20"/>
                    </w:rPr>
                    <w:t>24.25</w:t>
                  </w:r>
                </w:p>
              </w:tc>
            </w:tr>
            <w:tr w14:paraId="22BA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43" w:type="dxa"/>
                  <w:vMerge w:val="continue"/>
                  <w:tcBorders>
                    <w:top w:val="nil"/>
                  </w:tcBorders>
                  <w:vAlign w:val="top"/>
                </w:tcPr>
                <w:p w14:paraId="122B2C06">
                  <w:pPr>
                    <w:rPr>
                      <w:rFonts w:ascii="Arial"/>
                      <w:sz w:val="21"/>
                    </w:rPr>
                  </w:pPr>
                </w:p>
              </w:tc>
              <w:tc>
                <w:tcPr>
                  <w:tcW w:w="1239" w:type="dxa"/>
                  <w:vAlign w:val="top"/>
                </w:tcPr>
                <w:p w14:paraId="391CF2D7">
                  <w:pPr>
                    <w:pStyle w:val="6"/>
                    <w:spacing w:before="71" w:line="219" w:lineRule="auto"/>
                    <w:ind w:left="312"/>
                    <w:rPr>
                      <w:sz w:val="20"/>
                      <w:szCs w:val="20"/>
                    </w:rPr>
                  </w:pPr>
                  <w:r>
                    <w:rPr>
                      <w:spacing w:val="3"/>
                      <w:sz w:val="20"/>
                      <w:szCs w:val="20"/>
                    </w:rPr>
                    <w:t>去除率</w:t>
                  </w:r>
                </w:p>
              </w:tc>
              <w:tc>
                <w:tcPr>
                  <w:tcW w:w="1418" w:type="dxa"/>
                  <w:vAlign w:val="top"/>
                </w:tcPr>
                <w:p w14:paraId="5637FB06">
                  <w:pPr>
                    <w:pStyle w:val="6"/>
                    <w:spacing w:before="91" w:line="220" w:lineRule="auto"/>
                    <w:ind w:left="552"/>
                    <w:rPr>
                      <w:sz w:val="20"/>
                      <w:szCs w:val="20"/>
                    </w:rPr>
                  </w:pPr>
                  <w:r>
                    <w:rPr>
                      <w:spacing w:val="-6"/>
                      <w:sz w:val="20"/>
                      <w:szCs w:val="20"/>
                    </w:rPr>
                    <w:t>15%</w:t>
                  </w:r>
                </w:p>
              </w:tc>
              <w:tc>
                <w:tcPr>
                  <w:tcW w:w="1408" w:type="dxa"/>
                  <w:vAlign w:val="top"/>
                </w:tcPr>
                <w:p w14:paraId="3905F50E">
                  <w:pPr>
                    <w:pStyle w:val="6"/>
                    <w:spacing w:before="91" w:line="220" w:lineRule="auto"/>
                    <w:ind w:left="544"/>
                    <w:rPr>
                      <w:sz w:val="20"/>
                      <w:szCs w:val="20"/>
                    </w:rPr>
                  </w:pPr>
                  <w:r>
                    <w:rPr>
                      <w:spacing w:val="-6"/>
                      <w:sz w:val="20"/>
                      <w:szCs w:val="20"/>
                    </w:rPr>
                    <w:t>13%</w:t>
                  </w:r>
                </w:p>
              </w:tc>
              <w:tc>
                <w:tcPr>
                  <w:tcW w:w="1408" w:type="dxa"/>
                  <w:vAlign w:val="top"/>
                </w:tcPr>
                <w:p w14:paraId="1ED37648">
                  <w:pPr>
                    <w:pStyle w:val="6"/>
                    <w:spacing w:before="91" w:line="220" w:lineRule="auto"/>
                    <w:ind w:left="547"/>
                    <w:rPr>
                      <w:sz w:val="20"/>
                      <w:szCs w:val="20"/>
                    </w:rPr>
                  </w:pPr>
                  <w:r>
                    <w:rPr>
                      <w:spacing w:val="-3"/>
                      <w:sz w:val="20"/>
                      <w:szCs w:val="20"/>
                    </w:rPr>
                    <w:t>30%</w:t>
                  </w:r>
                </w:p>
              </w:tc>
              <w:tc>
                <w:tcPr>
                  <w:tcW w:w="1433" w:type="dxa"/>
                  <w:vAlign w:val="top"/>
                </w:tcPr>
                <w:p w14:paraId="189DEBFA">
                  <w:pPr>
                    <w:pStyle w:val="6"/>
                    <w:spacing w:before="91" w:line="220" w:lineRule="auto"/>
                    <w:ind w:left="608"/>
                    <w:rPr>
                      <w:sz w:val="20"/>
                      <w:szCs w:val="20"/>
                    </w:rPr>
                  </w:pPr>
                  <w:r>
                    <w:rPr>
                      <w:spacing w:val="-3"/>
                      <w:sz w:val="20"/>
                      <w:szCs w:val="20"/>
                    </w:rPr>
                    <w:t>3%</w:t>
                  </w:r>
                </w:p>
              </w:tc>
            </w:tr>
            <w:tr w14:paraId="7AE53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343" w:type="dxa"/>
                  <w:vMerge w:val="restart"/>
                  <w:tcBorders>
                    <w:bottom w:val="nil"/>
                  </w:tcBorders>
                  <w:vAlign w:val="top"/>
                </w:tcPr>
                <w:p w14:paraId="7983C1B0">
                  <w:pPr>
                    <w:spacing w:line="344" w:lineRule="auto"/>
                    <w:rPr>
                      <w:rFonts w:ascii="Arial"/>
                      <w:sz w:val="21"/>
                    </w:rPr>
                  </w:pPr>
                </w:p>
                <w:p w14:paraId="5F059392">
                  <w:pPr>
                    <w:pStyle w:val="6"/>
                    <w:spacing w:before="65" w:line="219" w:lineRule="auto"/>
                    <w:ind w:left="364"/>
                    <w:rPr>
                      <w:sz w:val="20"/>
                      <w:szCs w:val="20"/>
                    </w:rPr>
                  </w:pPr>
                  <w:r>
                    <w:rPr>
                      <w:spacing w:val="-2"/>
                      <w:sz w:val="20"/>
                      <w:szCs w:val="20"/>
                    </w:rPr>
                    <w:t>格栅井</w:t>
                  </w:r>
                </w:p>
              </w:tc>
              <w:tc>
                <w:tcPr>
                  <w:tcW w:w="1239" w:type="dxa"/>
                  <w:vAlign w:val="top"/>
                </w:tcPr>
                <w:p w14:paraId="5828B323">
                  <w:pPr>
                    <w:pStyle w:val="6"/>
                    <w:spacing w:before="71" w:line="219" w:lineRule="auto"/>
                    <w:ind w:left="411"/>
                    <w:rPr>
                      <w:sz w:val="20"/>
                      <w:szCs w:val="20"/>
                    </w:rPr>
                  </w:pPr>
                  <w:r>
                    <w:rPr>
                      <w:spacing w:val="-2"/>
                      <w:sz w:val="20"/>
                      <w:szCs w:val="20"/>
                    </w:rPr>
                    <w:t>进水</w:t>
                  </w:r>
                </w:p>
              </w:tc>
              <w:tc>
                <w:tcPr>
                  <w:tcW w:w="1418" w:type="dxa"/>
                  <w:vAlign w:val="top"/>
                </w:tcPr>
                <w:p w14:paraId="51A7A724">
                  <w:pPr>
                    <w:pStyle w:val="6"/>
                    <w:spacing w:before="91" w:line="219" w:lineRule="auto"/>
                    <w:ind w:left="452"/>
                    <w:rPr>
                      <w:sz w:val="20"/>
                      <w:szCs w:val="20"/>
                    </w:rPr>
                  </w:pPr>
                  <w:r>
                    <w:rPr>
                      <w:spacing w:val="-2"/>
                      <w:sz w:val="20"/>
                      <w:szCs w:val="20"/>
                    </w:rPr>
                    <w:t>297.5</w:t>
                  </w:r>
                </w:p>
              </w:tc>
              <w:tc>
                <w:tcPr>
                  <w:tcW w:w="1408" w:type="dxa"/>
                  <w:vAlign w:val="top"/>
                </w:tcPr>
                <w:p w14:paraId="04F3C745">
                  <w:pPr>
                    <w:pStyle w:val="6"/>
                    <w:spacing w:before="91" w:line="219" w:lineRule="auto"/>
                    <w:ind w:left="544"/>
                    <w:rPr>
                      <w:sz w:val="20"/>
                      <w:szCs w:val="20"/>
                    </w:rPr>
                  </w:pPr>
                  <w:r>
                    <w:rPr>
                      <w:spacing w:val="-6"/>
                      <w:sz w:val="20"/>
                      <w:szCs w:val="20"/>
                    </w:rPr>
                    <w:t>174</w:t>
                  </w:r>
                </w:p>
              </w:tc>
              <w:tc>
                <w:tcPr>
                  <w:tcW w:w="1408" w:type="dxa"/>
                  <w:vAlign w:val="top"/>
                </w:tcPr>
                <w:p w14:paraId="6DABB754">
                  <w:pPr>
                    <w:pStyle w:val="6"/>
                    <w:spacing w:before="91" w:line="219" w:lineRule="auto"/>
                    <w:ind w:left="547"/>
                    <w:rPr>
                      <w:sz w:val="20"/>
                      <w:szCs w:val="20"/>
                    </w:rPr>
                  </w:pPr>
                  <w:r>
                    <w:rPr>
                      <w:spacing w:val="-6"/>
                      <w:sz w:val="20"/>
                      <w:szCs w:val="20"/>
                    </w:rPr>
                    <w:t>175</w:t>
                  </w:r>
                </w:p>
              </w:tc>
              <w:tc>
                <w:tcPr>
                  <w:tcW w:w="1433" w:type="dxa"/>
                  <w:vAlign w:val="top"/>
                </w:tcPr>
                <w:p w14:paraId="46C3AF3C">
                  <w:pPr>
                    <w:pStyle w:val="6"/>
                    <w:spacing w:before="91" w:line="219" w:lineRule="auto"/>
                    <w:ind w:left="458"/>
                    <w:rPr>
                      <w:sz w:val="20"/>
                      <w:szCs w:val="20"/>
                    </w:rPr>
                  </w:pPr>
                  <w:r>
                    <w:rPr>
                      <w:spacing w:val="-2"/>
                      <w:sz w:val="20"/>
                      <w:szCs w:val="20"/>
                    </w:rPr>
                    <w:t>24.25</w:t>
                  </w:r>
                </w:p>
              </w:tc>
            </w:tr>
            <w:tr w14:paraId="5B4BE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343" w:type="dxa"/>
                  <w:vMerge w:val="continue"/>
                  <w:tcBorders>
                    <w:top w:val="nil"/>
                    <w:bottom w:val="nil"/>
                  </w:tcBorders>
                  <w:vAlign w:val="top"/>
                </w:tcPr>
                <w:p w14:paraId="2725C960">
                  <w:pPr>
                    <w:rPr>
                      <w:rFonts w:ascii="Arial"/>
                      <w:sz w:val="21"/>
                    </w:rPr>
                  </w:pPr>
                </w:p>
              </w:tc>
              <w:tc>
                <w:tcPr>
                  <w:tcW w:w="1239" w:type="dxa"/>
                  <w:vAlign w:val="top"/>
                </w:tcPr>
                <w:p w14:paraId="5B42B761">
                  <w:pPr>
                    <w:pStyle w:val="6"/>
                    <w:spacing w:before="62" w:line="219" w:lineRule="auto"/>
                    <w:ind w:left="411"/>
                    <w:rPr>
                      <w:sz w:val="20"/>
                      <w:szCs w:val="20"/>
                    </w:rPr>
                  </w:pPr>
                  <w:r>
                    <w:rPr>
                      <w:spacing w:val="4"/>
                      <w:sz w:val="20"/>
                      <w:szCs w:val="20"/>
                    </w:rPr>
                    <w:t>出水</w:t>
                  </w:r>
                </w:p>
              </w:tc>
              <w:tc>
                <w:tcPr>
                  <w:tcW w:w="1418" w:type="dxa"/>
                  <w:vAlign w:val="top"/>
                </w:tcPr>
                <w:p w14:paraId="25474728">
                  <w:pPr>
                    <w:pStyle w:val="6"/>
                    <w:spacing w:before="82" w:line="210" w:lineRule="auto"/>
                    <w:ind w:left="403"/>
                    <w:rPr>
                      <w:sz w:val="20"/>
                      <w:szCs w:val="20"/>
                    </w:rPr>
                  </w:pPr>
                  <w:r>
                    <w:rPr>
                      <w:spacing w:val="-2"/>
                      <w:sz w:val="20"/>
                      <w:szCs w:val="20"/>
                    </w:rPr>
                    <w:t>282.63</w:t>
                  </w:r>
                </w:p>
              </w:tc>
              <w:tc>
                <w:tcPr>
                  <w:tcW w:w="1408" w:type="dxa"/>
                  <w:vAlign w:val="top"/>
                </w:tcPr>
                <w:p w14:paraId="27E6350E">
                  <w:pPr>
                    <w:pStyle w:val="6"/>
                    <w:spacing w:before="82" w:line="210" w:lineRule="auto"/>
                    <w:ind w:left="444"/>
                    <w:rPr>
                      <w:sz w:val="20"/>
                      <w:szCs w:val="20"/>
                    </w:rPr>
                  </w:pPr>
                  <w:r>
                    <w:rPr>
                      <w:spacing w:val="-4"/>
                      <w:sz w:val="20"/>
                      <w:szCs w:val="20"/>
                    </w:rPr>
                    <w:t>165.3</w:t>
                  </w:r>
                </w:p>
              </w:tc>
              <w:tc>
                <w:tcPr>
                  <w:tcW w:w="1408" w:type="dxa"/>
                  <w:vAlign w:val="top"/>
                </w:tcPr>
                <w:p w14:paraId="69DB7422">
                  <w:pPr>
                    <w:pStyle w:val="6"/>
                    <w:spacing w:before="82" w:line="210" w:lineRule="auto"/>
                    <w:ind w:left="396"/>
                    <w:rPr>
                      <w:sz w:val="20"/>
                      <w:szCs w:val="20"/>
                    </w:rPr>
                  </w:pPr>
                  <w:r>
                    <w:rPr>
                      <w:spacing w:val="-4"/>
                      <w:sz w:val="20"/>
                      <w:szCs w:val="20"/>
                    </w:rPr>
                    <w:t>148.75</w:t>
                  </w:r>
                </w:p>
              </w:tc>
              <w:tc>
                <w:tcPr>
                  <w:tcW w:w="1433" w:type="dxa"/>
                  <w:vAlign w:val="top"/>
                </w:tcPr>
                <w:p w14:paraId="5FE426A0">
                  <w:pPr>
                    <w:pStyle w:val="6"/>
                    <w:spacing w:before="82" w:line="210" w:lineRule="auto"/>
                    <w:ind w:left="458"/>
                    <w:rPr>
                      <w:sz w:val="20"/>
                      <w:szCs w:val="20"/>
                    </w:rPr>
                  </w:pPr>
                  <w:r>
                    <w:rPr>
                      <w:spacing w:val="-2"/>
                      <w:sz w:val="20"/>
                      <w:szCs w:val="20"/>
                    </w:rPr>
                    <w:t>24.25</w:t>
                  </w:r>
                </w:p>
              </w:tc>
            </w:tr>
            <w:tr w14:paraId="49176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43" w:type="dxa"/>
                  <w:vMerge w:val="continue"/>
                  <w:tcBorders>
                    <w:top w:val="nil"/>
                  </w:tcBorders>
                  <w:vAlign w:val="top"/>
                </w:tcPr>
                <w:p w14:paraId="60F42F9A">
                  <w:pPr>
                    <w:rPr>
                      <w:rFonts w:ascii="Arial"/>
                      <w:sz w:val="21"/>
                    </w:rPr>
                  </w:pPr>
                </w:p>
              </w:tc>
              <w:tc>
                <w:tcPr>
                  <w:tcW w:w="1239" w:type="dxa"/>
                  <w:vAlign w:val="top"/>
                </w:tcPr>
                <w:p w14:paraId="05956245">
                  <w:pPr>
                    <w:pStyle w:val="6"/>
                    <w:spacing w:before="72" w:line="219" w:lineRule="auto"/>
                    <w:ind w:left="312"/>
                    <w:rPr>
                      <w:sz w:val="20"/>
                      <w:szCs w:val="20"/>
                    </w:rPr>
                  </w:pPr>
                  <w:r>
                    <w:rPr>
                      <w:spacing w:val="3"/>
                      <w:sz w:val="20"/>
                      <w:szCs w:val="20"/>
                    </w:rPr>
                    <w:t>去除率</w:t>
                  </w:r>
                </w:p>
              </w:tc>
              <w:tc>
                <w:tcPr>
                  <w:tcW w:w="1418" w:type="dxa"/>
                  <w:vAlign w:val="top"/>
                </w:tcPr>
                <w:p w14:paraId="0CF4EF81">
                  <w:pPr>
                    <w:pStyle w:val="6"/>
                    <w:spacing w:before="91" w:line="220" w:lineRule="auto"/>
                    <w:ind w:left="602"/>
                    <w:rPr>
                      <w:sz w:val="20"/>
                      <w:szCs w:val="20"/>
                    </w:rPr>
                  </w:pPr>
                  <w:r>
                    <w:rPr>
                      <w:spacing w:val="-3"/>
                      <w:sz w:val="20"/>
                      <w:szCs w:val="20"/>
                    </w:rPr>
                    <w:t>5%</w:t>
                  </w:r>
                </w:p>
              </w:tc>
              <w:tc>
                <w:tcPr>
                  <w:tcW w:w="1408" w:type="dxa"/>
                  <w:vAlign w:val="top"/>
                </w:tcPr>
                <w:p w14:paraId="3BC356D0">
                  <w:pPr>
                    <w:pStyle w:val="6"/>
                    <w:spacing w:before="91" w:line="220" w:lineRule="auto"/>
                    <w:ind w:left="594"/>
                    <w:rPr>
                      <w:sz w:val="20"/>
                      <w:szCs w:val="20"/>
                    </w:rPr>
                  </w:pPr>
                  <w:r>
                    <w:rPr>
                      <w:spacing w:val="-3"/>
                      <w:sz w:val="20"/>
                      <w:szCs w:val="20"/>
                    </w:rPr>
                    <w:t>5%</w:t>
                  </w:r>
                </w:p>
              </w:tc>
              <w:tc>
                <w:tcPr>
                  <w:tcW w:w="1408" w:type="dxa"/>
                  <w:vAlign w:val="top"/>
                </w:tcPr>
                <w:p w14:paraId="770DEAD3">
                  <w:pPr>
                    <w:pStyle w:val="6"/>
                    <w:spacing w:before="91" w:line="220" w:lineRule="auto"/>
                    <w:ind w:left="547"/>
                    <w:rPr>
                      <w:sz w:val="20"/>
                      <w:szCs w:val="20"/>
                    </w:rPr>
                  </w:pPr>
                  <w:r>
                    <w:rPr>
                      <w:spacing w:val="-6"/>
                      <w:sz w:val="20"/>
                      <w:szCs w:val="20"/>
                    </w:rPr>
                    <w:t>15%</w:t>
                  </w:r>
                </w:p>
              </w:tc>
              <w:tc>
                <w:tcPr>
                  <w:tcW w:w="1433" w:type="dxa"/>
                  <w:vAlign w:val="top"/>
                </w:tcPr>
                <w:p w14:paraId="08136959">
                  <w:pPr>
                    <w:pStyle w:val="6"/>
                    <w:spacing w:before="226" w:line="103" w:lineRule="exact"/>
                    <w:ind w:left="608"/>
                    <w:rPr>
                      <w:sz w:val="20"/>
                      <w:szCs w:val="20"/>
                    </w:rPr>
                  </w:pPr>
                  <w:r>
                    <w:rPr>
                      <w:spacing w:val="-2"/>
                      <w:position w:val="-4"/>
                      <w:sz w:val="20"/>
                      <w:szCs w:val="20"/>
                    </w:rPr>
                    <w:t>--</w:t>
                  </w:r>
                </w:p>
              </w:tc>
            </w:tr>
            <w:tr w14:paraId="24245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343" w:type="dxa"/>
                  <w:vMerge w:val="restart"/>
                  <w:tcBorders>
                    <w:bottom w:val="nil"/>
                  </w:tcBorders>
                  <w:vAlign w:val="top"/>
                </w:tcPr>
                <w:p w14:paraId="7C497B6E">
                  <w:pPr>
                    <w:spacing w:line="345" w:lineRule="auto"/>
                    <w:rPr>
                      <w:rFonts w:ascii="Arial"/>
                      <w:sz w:val="21"/>
                    </w:rPr>
                  </w:pPr>
                </w:p>
                <w:p w14:paraId="5FCFB104">
                  <w:pPr>
                    <w:pStyle w:val="6"/>
                    <w:spacing w:before="65" w:line="220" w:lineRule="auto"/>
                    <w:ind w:left="364"/>
                    <w:rPr>
                      <w:sz w:val="20"/>
                      <w:szCs w:val="20"/>
                    </w:rPr>
                  </w:pPr>
                  <w:r>
                    <w:rPr>
                      <w:spacing w:val="-3"/>
                      <w:sz w:val="20"/>
                      <w:szCs w:val="20"/>
                    </w:rPr>
                    <w:t>调节池</w:t>
                  </w:r>
                </w:p>
              </w:tc>
              <w:tc>
                <w:tcPr>
                  <w:tcW w:w="1239" w:type="dxa"/>
                  <w:vAlign w:val="top"/>
                </w:tcPr>
                <w:p w14:paraId="4BA39BF8">
                  <w:pPr>
                    <w:pStyle w:val="6"/>
                    <w:spacing w:before="72" w:line="219" w:lineRule="auto"/>
                    <w:ind w:left="411"/>
                    <w:rPr>
                      <w:sz w:val="20"/>
                      <w:szCs w:val="20"/>
                    </w:rPr>
                  </w:pPr>
                  <w:r>
                    <w:rPr>
                      <w:spacing w:val="-2"/>
                      <w:sz w:val="20"/>
                      <w:szCs w:val="20"/>
                    </w:rPr>
                    <w:t>进水</w:t>
                  </w:r>
                </w:p>
              </w:tc>
              <w:tc>
                <w:tcPr>
                  <w:tcW w:w="1418" w:type="dxa"/>
                  <w:vAlign w:val="top"/>
                </w:tcPr>
                <w:p w14:paraId="70543CBE">
                  <w:pPr>
                    <w:pStyle w:val="6"/>
                    <w:spacing w:before="91" w:line="219" w:lineRule="auto"/>
                    <w:ind w:left="403"/>
                    <w:rPr>
                      <w:sz w:val="20"/>
                      <w:szCs w:val="20"/>
                    </w:rPr>
                  </w:pPr>
                  <w:r>
                    <w:rPr>
                      <w:spacing w:val="-2"/>
                      <w:sz w:val="20"/>
                      <w:szCs w:val="20"/>
                    </w:rPr>
                    <w:t>282.63</w:t>
                  </w:r>
                </w:p>
              </w:tc>
              <w:tc>
                <w:tcPr>
                  <w:tcW w:w="1408" w:type="dxa"/>
                  <w:vAlign w:val="top"/>
                </w:tcPr>
                <w:p w14:paraId="551F3184">
                  <w:pPr>
                    <w:pStyle w:val="6"/>
                    <w:spacing w:before="91" w:line="219" w:lineRule="auto"/>
                    <w:ind w:left="444"/>
                    <w:rPr>
                      <w:sz w:val="20"/>
                      <w:szCs w:val="20"/>
                    </w:rPr>
                  </w:pPr>
                  <w:r>
                    <w:rPr>
                      <w:spacing w:val="-4"/>
                      <w:sz w:val="20"/>
                      <w:szCs w:val="20"/>
                    </w:rPr>
                    <w:t>165.3</w:t>
                  </w:r>
                </w:p>
              </w:tc>
              <w:tc>
                <w:tcPr>
                  <w:tcW w:w="1408" w:type="dxa"/>
                  <w:vAlign w:val="top"/>
                </w:tcPr>
                <w:p w14:paraId="4735F982">
                  <w:pPr>
                    <w:pStyle w:val="6"/>
                    <w:spacing w:before="91" w:line="219" w:lineRule="auto"/>
                    <w:ind w:left="396"/>
                    <w:rPr>
                      <w:sz w:val="20"/>
                      <w:szCs w:val="20"/>
                    </w:rPr>
                  </w:pPr>
                  <w:r>
                    <w:rPr>
                      <w:spacing w:val="-4"/>
                      <w:sz w:val="20"/>
                      <w:szCs w:val="20"/>
                    </w:rPr>
                    <w:t>148.75</w:t>
                  </w:r>
                </w:p>
              </w:tc>
              <w:tc>
                <w:tcPr>
                  <w:tcW w:w="1433" w:type="dxa"/>
                  <w:vAlign w:val="top"/>
                </w:tcPr>
                <w:p w14:paraId="32FC6479">
                  <w:pPr>
                    <w:pStyle w:val="6"/>
                    <w:spacing w:before="91" w:line="219" w:lineRule="auto"/>
                    <w:ind w:left="458"/>
                    <w:rPr>
                      <w:sz w:val="20"/>
                      <w:szCs w:val="20"/>
                    </w:rPr>
                  </w:pPr>
                  <w:r>
                    <w:rPr>
                      <w:spacing w:val="-2"/>
                      <w:sz w:val="20"/>
                      <w:szCs w:val="20"/>
                    </w:rPr>
                    <w:t>24.25</w:t>
                  </w:r>
                </w:p>
              </w:tc>
            </w:tr>
            <w:tr w14:paraId="20325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343" w:type="dxa"/>
                  <w:vMerge w:val="continue"/>
                  <w:tcBorders>
                    <w:top w:val="nil"/>
                    <w:bottom w:val="nil"/>
                  </w:tcBorders>
                  <w:vAlign w:val="top"/>
                </w:tcPr>
                <w:p w14:paraId="22547CD5">
                  <w:pPr>
                    <w:rPr>
                      <w:rFonts w:ascii="Arial"/>
                      <w:sz w:val="21"/>
                    </w:rPr>
                  </w:pPr>
                </w:p>
              </w:tc>
              <w:tc>
                <w:tcPr>
                  <w:tcW w:w="1239" w:type="dxa"/>
                  <w:vAlign w:val="top"/>
                </w:tcPr>
                <w:p w14:paraId="013FBC31">
                  <w:pPr>
                    <w:pStyle w:val="6"/>
                    <w:spacing w:before="63" w:line="219" w:lineRule="auto"/>
                    <w:ind w:left="411"/>
                    <w:rPr>
                      <w:sz w:val="20"/>
                      <w:szCs w:val="20"/>
                    </w:rPr>
                  </w:pPr>
                  <w:r>
                    <w:rPr>
                      <w:spacing w:val="4"/>
                      <w:sz w:val="20"/>
                      <w:szCs w:val="20"/>
                    </w:rPr>
                    <w:t>出水</w:t>
                  </w:r>
                </w:p>
              </w:tc>
              <w:tc>
                <w:tcPr>
                  <w:tcW w:w="1418" w:type="dxa"/>
                  <w:vAlign w:val="top"/>
                </w:tcPr>
                <w:p w14:paraId="026B523A">
                  <w:pPr>
                    <w:pStyle w:val="6"/>
                    <w:spacing w:before="83" w:line="209" w:lineRule="auto"/>
                    <w:ind w:left="403"/>
                    <w:rPr>
                      <w:sz w:val="20"/>
                      <w:szCs w:val="20"/>
                    </w:rPr>
                  </w:pPr>
                  <w:r>
                    <w:rPr>
                      <w:spacing w:val="-2"/>
                      <w:sz w:val="20"/>
                      <w:szCs w:val="20"/>
                    </w:rPr>
                    <w:t>254.37</w:t>
                  </w:r>
                </w:p>
              </w:tc>
              <w:tc>
                <w:tcPr>
                  <w:tcW w:w="1408" w:type="dxa"/>
                  <w:vAlign w:val="top"/>
                </w:tcPr>
                <w:p w14:paraId="1BA8DD5E">
                  <w:pPr>
                    <w:pStyle w:val="6"/>
                    <w:spacing w:before="83" w:line="209" w:lineRule="auto"/>
                    <w:ind w:left="394"/>
                    <w:rPr>
                      <w:sz w:val="20"/>
                      <w:szCs w:val="20"/>
                    </w:rPr>
                  </w:pPr>
                  <w:r>
                    <w:rPr>
                      <w:spacing w:val="-4"/>
                      <w:sz w:val="20"/>
                      <w:szCs w:val="20"/>
                    </w:rPr>
                    <w:t>148.77</w:t>
                  </w:r>
                </w:p>
              </w:tc>
              <w:tc>
                <w:tcPr>
                  <w:tcW w:w="1408" w:type="dxa"/>
                  <w:vAlign w:val="top"/>
                </w:tcPr>
                <w:p w14:paraId="28799D38">
                  <w:pPr>
                    <w:pStyle w:val="6"/>
                    <w:spacing w:before="83" w:line="209" w:lineRule="auto"/>
                    <w:ind w:left="396"/>
                    <w:rPr>
                      <w:sz w:val="20"/>
                      <w:szCs w:val="20"/>
                    </w:rPr>
                  </w:pPr>
                  <w:r>
                    <w:rPr>
                      <w:spacing w:val="-4"/>
                      <w:sz w:val="20"/>
                      <w:szCs w:val="20"/>
                    </w:rPr>
                    <w:t>133.88</w:t>
                  </w:r>
                </w:p>
              </w:tc>
              <w:tc>
                <w:tcPr>
                  <w:tcW w:w="1433" w:type="dxa"/>
                  <w:vAlign w:val="top"/>
                </w:tcPr>
                <w:p w14:paraId="612ADE26">
                  <w:pPr>
                    <w:pStyle w:val="6"/>
                    <w:spacing w:before="83" w:line="209" w:lineRule="auto"/>
                    <w:ind w:left="458"/>
                    <w:rPr>
                      <w:sz w:val="20"/>
                      <w:szCs w:val="20"/>
                    </w:rPr>
                  </w:pPr>
                  <w:r>
                    <w:rPr>
                      <w:spacing w:val="-2"/>
                      <w:sz w:val="20"/>
                      <w:szCs w:val="20"/>
                    </w:rPr>
                    <w:t>24.25</w:t>
                  </w:r>
                </w:p>
              </w:tc>
            </w:tr>
            <w:tr w14:paraId="651DB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43" w:type="dxa"/>
                  <w:vMerge w:val="continue"/>
                  <w:tcBorders>
                    <w:top w:val="nil"/>
                  </w:tcBorders>
                  <w:vAlign w:val="top"/>
                </w:tcPr>
                <w:p w14:paraId="76D9F8A3">
                  <w:pPr>
                    <w:rPr>
                      <w:rFonts w:ascii="Arial"/>
                      <w:sz w:val="21"/>
                    </w:rPr>
                  </w:pPr>
                </w:p>
              </w:tc>
              <w:tc>
                <w:tcPr>
                  <w:tcW w:w="1239" w:type="dxa"/>
                  <w:vAlign w:val="top"/>
                </w:tcPr>
                <w:p w14:paraId="5BDC7F94">
                  <w:pPr>
                    <w:pStyle w:val="6"/>
                    <w:spacing w:before="73" w:line="219" w:lineRule="auto"/>
                    <w:ind w:left="312"/>
                    <w:rPr>
                      <w:sz w:val="20"/>
                      <w:szCs w:val="20"/>
                    </w:rPr>
                  </w:pPr>
                  <w:r>
                    <w:rPr>
                      <w:spacing w:val="3"/>
                      <w:sz w:val="20"/>
                      <w:szCs w:val="20"/>
                    </w:rPr>
                    <w:t>去除率</w:t>
                  </w:r>
                </w:p>
              </w:tc>
              <w:tc>
                <w:tcPr>
                  <w:tcW w:w="1418" w:type="dxa"/>
                  <w:vAlign w:val="top"/>
                </w:tcPr>
                <w:p w14:paraId="032C3BF3">
                  <w:pPr>
                    <w:pStyle w:val="6"/>
                    <w:spacing w:before="92" w:line="219" w:lineRule="auto"/>
                    <w:ind w:left="552"/>
                    <w:rPr>
                      <w:sz w:val="20"/>
                      <w:szCs w:val="20"/>
                    </w:rPr>
                  </w:pPr>
                  <w:r>
                    <w:rPr>
                      <w:spacing w:val="-6"/>
                      <w:sz w:val="20"/>
                      <w:szCs w:val="20"/>
                    </w:rPr>
                    <w:t>10%</w:t>
                  </w:r>
                </w:p>
              </w:tc>
              <w:tc>
                <w:tcPr>
                  <w:tcW w:w="1408" w:type="dxa"/>
                  <w:vAlign w:val="top"/>
                </w:tcPr>
                <w:p w14:paraId="254DCDD0">
                  <w:pPr>
                    <w:pStyle w:val="6"/>
                    <w:spacing w:before="92" w:line="219" w:lineRule="auto"/>
                    <w:ind w:left="544"/>
                    <w:rPr>
                      <w:sz w:val="20"/>
                      <w:szCs w:val="20"/>
                    </w:rPr>
                  </w:pPr>
                  <w:r>
                    <w:rPr>
                      <w:spacing w:val="-6"/>
                      <w:sz w:val="20"/>
                      <w:szCs w:val="20"/>
                    </w:rPr>
                    <w:t>10%</w:t>
                  </w:r>
                </w:p>
              </w:tc>
              <w:tc>
                <w:tcPr>
                  <w:tcW w:w="1408" w:type="dxa"/>
                  <w:vAlign w:val="top"/>
                </w:tcPr>
                <w:p w14:paraId="3B76F93C">
                  <w:pPr>
                    <w:pStyle w:val="6"/>
                    <w:spacing w:before="92" w:line="219" w:lineRule="auto"/>
                    <w:ind w:left="547"/>
                    <w:rPr>
                      <w:sz w:val="20"/>
                      <w:szCs w:val="20"/>
                    </w:rPr>
                  </w:pPr>
                  <w:r>
                    <w:rPr>
                      <w:spacing w:val="-6"/>
                      <w:sz w:val="20"/>
                      <w:szCs w:val="20"/>
                    </w:rPr>
                    <w:t>10%</w:t>
                  </w:r>
                </w:p>
              </w:tc>
              <w:tc>
                <w:tcPr>
                  <w:tcW w:w="1433" w:type="dxa"/>
                  <w:vAlign w:val="top"/>
                </w:tcPr>
                <w:p w14:paraId="5E15F3A8">
                  <w:pPr>
                    <w:pStyle w:val="6"/>
                    <w:spacing w:before="227" w:line="103" w:lineRule="exact"/>
                    <w:ind w:left="608"/>
                    <w:rPr>
                      <w:sz w:val="20"/>
                      <w:szCs w:val="20"/>
                    </w:rPr>
                  </w:pPr>
                  <w:r>
                    <w:rPr>
                      <w:spacing w:val="-2"/>
                      <w:position w:val="-4"/>
                      <w:sz w:val="20"/>
                      <w:szCs w:val="20"/>
                    </w:rPr>
                    <w:t>--</w:t>
                  </w:r>
                </w:p>
              </w:tc>
            </w:tr>
            <w:tr w14:paraId="73F04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343" w:type="dxa"/>
                  <w:vMerge w:val="restart"/>
                  <w:tcBorders>
                    <w:bottom w:val="nil"/>
                  </w:tcBorders>
                  <w:vAlign w:val="top"/>
                </w:tcPr>
                <w:p w14:paraId="3C269B0A">
                  <w:pPr>
                    <w:spacing w:line="344" w:lineRule="auto"/>
                    <w:rPr>
                      <w:rFonts w:ascii="Arial"/>
                      <w:sz w:val="21"/>
                    </w:rPr>
                  </w:pPr>
                </w:p>
                <w:p w14:paraId="330F80B5">
                  <w:pPr>
                    <w:pStyle w:val="6"/>
                    <w:spacing w:before="65" w:line="219" w:lineRule="auto"/>
                    <w:ind w:left="364"/>
                    <w:rPr>
                      <w:sz w:val="20"/>
                      <w:szCs w:val="20"/>
                    </w:rPr>
                  </w:pPr>
                  <w:r>
                    <w:rPr>
                      <w:spacing w:val="-2"/>
                      <w:sz w:val="20"/>
                      <w:szCs w:val="20"/>
                    </w:rPr>
                    <w:t>缺氧池</w:t>
                  </w:r>
                </w:p>
              </w:tc>
              <w:tc>
                <w:tcPr>
                  <w:tcW w:w="1239" w:type="dxa"/>
                  <w:vAlign w:val="top"/>
                </w:tcPr>
                <w:p w14:paraId="2F599F03">
                  <w:pPr>
                    <w:pStyle w:val="6"/>
                    <w:spacing w:before="73" w:line="219" w:lineRule="auto"/>
                    <w:ind w:left="411"/>
                    <w:rPr>
                      <w:sz w:val="20"/>
                      <w:szCs w:val="20"/>
                    </w:rPr>
                  </w:pPr>
                  <w:r>
                    <w:rPr>
                      <w:spacing w:val="-2"/>
                      <w:sz w:val="20"/>
                      <w:szCs w:val="20"/>
                    </w:rPr>
                    <w:t>进水</w:t>
                  </w:r>
                </w:p>
              </w:tc>
              <w:tc>
                <w:tcPr>
                  <w:tcW w:w="1418" w:type="dxa"/>
                  <w:vAlign w:val="top"/>
                </w:tcPr>
                <w:p w14:paraId="62F4A976">
                  <w:pPr>
                    <w:pStyle w:val="6"/>
                    <w:spacing w:before="92" w:line="218" w:lineRule="auto"/>
                    <w:ind w:left="403"/>
                    <w:rPr>
                      <w:sz w:val="20"/>
                      <w:szCs w:val="20"/>
                    </w:rPr>
                  </w:pPr>
                  <w:r>
                    <w:rPr>
                      <w:spacing w:val="-2"/>
                      <w:sz w:val="20"/>
                      <w:szCs w:val="20"/>
                    </w:rPr>
                    <w:t>254.37</w:t>
                  </w:r>
                </w:p>
              </w:tc>
              <w:tc>
                <w:tcPr>
                  <w:tcW w:w="1408" w:type="dxa"/>
                  <w:vAlign w:val="top"/>
                </w:tcPr>
                <w:p w14:paraId="212EF416">
                  <w:pPr>
                    <w:pStyle w:val="6"/>
                    <w:spacing w:before="92" w:line="218" w:lineRule="auto"/>
                    <w:ind w:left="394"/>
                    <w:rPr>
                      <w:sz w:val="20"/>
                      <w:szCs w:val="20"/>
                    </w:rPr>
                  </w:pPr>
                  <w:r>
                    <w:rPr>
                      <w:spacing w:val="-4"/>
                      <w:sz w:val="20"/>
                      <w:szCs w:val="20"/>
                    </w:rPr>
                    <w:t>148.77</w:t>
                  </w:r>
                </w:p>
              </w:tc>
              <w:tc>
                <w:tcPr>
                  <w:tcW w:w="1408" w:type="dxa"/>
                  <w:vAlign w:val="top"/>
                </w:tcPr>
                <w:p w14:paraId="30128BB6">
                  <w:pPr>
                    <w:pStyle w:val="6"/>
                    <w:spacing w:before="92" w:line="218" w:lineRule="auto"/>
                    <w:ind w:left="396"/>
                    <w:rPr>
                      <w:sz w:val="20"/>
                      <w:szCs w:val="20"/>
                    </w:rPr>
                  </w:pPr>
                  <w:r>
                    <w:rPr>
                      <w:spacing w:val="-4"/>
                      <w:sz w:val="20"/>
                      <w:szCs w:val="20"/>
                    </w:rPr>
                    <w:t>133.88</w:t>
                  </w:r>
                </w:p>
              </w:tc>
              <w:tc>
                <w:tcPr>
                  <w:tcW w:w="1433" w:type="dxa"/>
                  <w:vAlign w:val="top"/>
                </w:tcPr>
                <w:p w14:paraId="4BF35DB0">
                  <w:pPr>
                    <w:pStyle w:val="6"/>
                    <w:spacing w:before="92" w:line="218" w:lineRule="auto"/>
                    <w:ind w:left="458"/>
                    <w:rPr>
                      <w:sz w:val="20"/>
                      <w:szCs w:val="20"/>
                    </w:rPr>
                  </w:pPr>
                  <w:r>
                    <w:rPr>
                      <w:spacing w:val="-2"/>
                      <w:sz w:val="20"/>
                      <w:szCs w:val="20"/>
                    </w:rPr>
                    <w:t>24.25</w:t>
                  </w:r>
                </w:p>
              </w:tc>
            </w:tr>
            <w:tr w14:paraId="7F87F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343" w:type="dxa"/>
                  <w:vMerge w:val="continue"/>
                  <w:tcBorders>
                    <w:top w:val="nil"/>
                    <w:bottom w:val="nil"/>
                  </w:tcBorders>
                  <w:vAlign w:val="top"/>
                </w:tcPr>
                <w:p w14:paraId="02FC5FF3">
                  <w:pPr>
                    <w:rPr>
                      <w:rFonts w:ascii="Arial"/>
                      <w:sz w:val="21"/>
                    </w:rPr>
                  </w:pPr>
                </w:p>
              </w:tc>
              <w:tc>
                <w:tcPr>
                  <w:tcW w:w="1239" w:type="dxa"/>
                  <w:vAlign w:val="top"/>
                </w:tcPr>
                <w:p w14:paraId="51CD4FB5">
                  <w:pPr>
                    <w:pStyle w:val="6"/>
                    <w:spacing w:before="84" w:line="219" w:lineRule="auto"/>
                    <w:ind w:left="411"/>
                    <w:rPr>
                      <w:sz w:val="20"/>
                      <w:szCs w:val="20"/>
                    </w:rPr>
                  </w:pPr>
                  <w:r>
                    <w:rPr>
                      <w:spacing w:val="4"/>
                      <w:sz w:val="20"/>
                      <w:szCs w:val="20"/>
                    </w:rPr>
                    <w:t>出水</w:t>
                  </w:r>
                </w:p>
              </w:tc>
              <w:tc>
                <w:tcPr>
                  <w:tcW w:w="1418" w:type="dxa"/>
                  <w:vAlign w:val="top"/>
                </w:tcPr>
                <w:p w14:paraId="55953F0D">
                  <w:pPr>
                    <w:pStyle w:val="6"/>
                    <w:spacing w:before="103" w:line="217" w:lineRule="auto"/>
                    <w:ind w:left="403"/>
                    <w:rPr>
                      <w:sz w:val="20"/>
                      <w:szCs w:val="20"/>
                    </w:rPr>
                  </w:pPr>
                  <w:r>
                    <w:rPr>
                      <w:spacing w:val="-4"/>
                      <w:sz w:val="20"/>
                      <w:szCs w:val="20"/>
                    </w:rPr>
                    <w:t>178.06</w:t>
                  </w:r>
                </w:p>
              </w:tc>
              <w:tc>
                <w:tcPr>
                  <w:tcW w:w="1408" w:type="dxa"/>
                  <w:vAlign w:val="top"/>
                </w:tcPr>
                <w:p w14:paraId="611A24D0">
                  <w:pPr>
                    <w:pStyle w:val="6"/>
                    <w:spacing w:before="103" w:line="217" w:lineRule="auto"/>
                    <w:ind w:left="394"/>
                    <w:rPr>
                      <w:sz w:val="20"/>
                      <w:szCs w:val="20"/>
                    </w:rPr>
                  </w:pPr>
                  <w:r>
                    <w:rPr>
                      <w:spacing w:val="-4"/>
                      <w:sz w:val="20"/>
                      <w:szCs w:val="20"/>
                    </w:rPr>
                    <w:t>104.14</w:t>
                  </w:r>
                </w:p>
              </w:tc>
              <w:tc>
                <w:tcPr>
                  <w:tcW w:w="1408" w:type="dxa"/>
                  <w:vAlign w:val="top"/>
                </w:tcPr>
                <w:p w14:paraId="36C304D6">
                  <w:pPr>
                    <w:pStyle w:val="6"/>
                    <w:spacing w:before="103" w:line="217" w:lineRule="auto"/>
                    <w:ind w:left="396"/>
                    <w:rPr>
                      <w:sz w:val="20"/>
                      <w:szCs w:val="20"/>
                    </w:rPr>
                  </w:pPr>
                  <w:r>
                    <w:rPr>
                      <w:spacing w:val="-4"/>
                      <w:sz w:val="20"/>
                      <w:szCs w:val="20"/>
                    </w:rPr>
                    <w:t>107.10</w:t>
                  </w:r>
                </w:p>
              </w:tc>
              <w:tc>
                <w:tcPr>
                  <w:tcW w:w="1433" w:type="dxa"/>
                  <w:vAlign w:val="top"/>
                </w:tcPr>
                <w:p w14:paraId="211CBE14">
                  <w:pPr>
                    <w:pStyle w:val="6"/>
                    <w:spacing w:before="103" w:line="217" w:lineRule="auto"/>
                    <w:ind w:left="509"/>
                    <w:rPr>
                      <w:sz w:val="20"/>
                      <w:szCs w:val="20"/>
                    </w:rPr>
                  </w:pPr>
                  <w:r>
                    <w:rPr>
                      <w:spacing w:val="-5"/>
                      <w:sz w:val="20"/>
                      <w:szCs w:val="20"/>
                    </w:rPr>
                    <w:t>19.4</w:t>
                  </w:r>
                </w:p>
              </w:tc>
            </w:tr>
            <w:tr w14:paraId="63F2C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343" w:type="dxa"/>
                  <w:vMerge w:val="continue"/>
                  <w:tcBorders>
                    <w:top w:val="nil"/>
                  </w:tcBorders>
                  <w:vAlign w:val="top"/>
                </w:tcPr>
                <w:p w14:paraId="1966DE3F">
                  <w:pPr>
                    <w:rPr>
                      <w:rFonts w:ascii="Arial"/>
                      <w:sz w:val="21"/>
                    </w:rPr>
                  </w:pPr>
                </w:p>
              </w:tc>
              <w:tc>
                <w:tcPr>
                  <w:tcW w:w="1239" w:type="dxa"/>
                  <w:vAlign w:val="top"/>
                </w:tcPr>
                <w:p w14:paraId="76C62F81">
                  <w:pPr>
                    <w:pStyle w:val="6"/>
                    <w:spacing w:before="64" w:line="217" w:lineRule="auto"/>
                    <w:ind w:left="312"/>
                    <w:rPr>
                      <w:sz w:val="20"/>
                      <w:szCs w:val="20"/>
                    </w:rPr>
                  </w:pPr>
                  <w:r>
                    <w:rPr>
                      <w:spacing w:val="3"/>
                      <w:sz w:val="20"/>
                      <w:szCs w:val="20"/>
                    </w:rPr>
                    <w:t>去除率</w:t>
                  </w:r>
                </w:p>
              </w:tc>
              <w:tc>
                <w:tcPr>
                  <w:tcW w:w="1418" w:type="dxa"/>
                  <w:vAlign w:val="top"/>
                </w:tcPr>
                <w:p w14:paraId="06C359B7">
                  <w:pPr>
                    <w:pStyle w:val="6"/>
                    <w:spacing w:before="85" w:line="198" w:lineRule="auto"/>
                    <w:ind w:left="552"/>
                    <w:rPr>
                      <w:sz w:val="20"/>
                      <w:szCs w:val="20"/>
                    </w:rPr>
                  </w:pPr>
                  <w:r>
                    <w:rPr>
                      <w:spacing w:val="-3"/>
                      <w:sz w:val="20"/>
                      <w:szCs w:val="20"/>
                    </w:rPr>
                    <w:t>30%</w:t>
                  </w:r>
                </w:p>
              </w:tc>
              <w:tc>
                <w:tcPr>
                  <w:tcW w:w="1408" w:type="dxa"/>
                  <w:vAlign w:val="top"/>
                </w:tcPr>
                <w:p w14:paraId="7E61A667">
                  <w:pPr>
                    <w:pStyle w:val="6"/>
                    <w:spacing w:before="85" w:line="198" w:lineRule="auto"/>
                    <w:ind w:left="544"/>
                    <w:rPr>
                      <w:sz w:val="20"/>
                      <w:szCs w:val="20"/>
                    </w:rPr>
                  </w:pPr>
                  <w:r>
                    <w:rPr>
                      <w:spacing w:val="-3"/>
                      <w:sz w:val="20"/>
                      <w:szCs w:val="20"/>
                    </w:rPr>
                    <w:t>30%</w:t>
                  </w:r>
                </w:p>
              </w:tc>
              <w:tc>
                <w:tcPr>
                  <w:tcW w:w="1408" w:type="dxa"/>
                  <w:vAlign w:val="top"/>
                </w:tcPr>
                <w:p w14:paraId="0033AE94">
                  <w:pPr>
                    <w:pStyle w:val="6"/>
                    <w:spacing w:before="85" w:line="198" w:lineRule="auto"/>
                    <w:ind w:left="547"/>
                    <w:rPr>
                      <w:sz w:val="20"/>
                      <w:szCs w:val="20"/>
                    </w:rPr>
                  </w:pPr>
                  <w:r>
                    <w:rPr>
                      <w:spacing w:val="-3"/>
                      <w:sz w:val="20"/>
                      <w:szCs w:val="20"/>
                    </w:rPr>
                    <w:t>20%</w:t>
                  </w:r>
                </w:p>
              </w:tc>
              <w:tc>
                <w:tcPr>
                  <w:tcW w:w="1433" w:type="dxa"/>
                  <w:vAlign w:val="top"/>
                </w:tcPr>
                <w:p w14:paraId="4C76C6FF">
                  <w:pPr>
                    <w:pStyle w:val="6"/>
                    <w:spacing w:before="85" w:line="198" w:lineRule="auto"/>
                    <w:ind w:left="558"/>
                    <w:rPr>
                      <w:sz w:val="20"/>
                      <w:szCs w:val="20"/>
                    </w:rPr>
                  </w:pPr>
                  <w:r>
                    <w:rPr>
                      <w:spacing w:val="-3"/>
                      <w:sz w:val="20"/>
                      <w:szCs w:val="20"/>
                    </w:rPr>
                    <w:t>20%</w:t>
                  </w:r>
                </w:p>
              </w:tc>
            </w:tr>
            <w:tr w14:paraId="2E984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343" w:type="dxa"/>
                  <w:vMerge w:val="restart"/>
                  <w:tcBorders>
                    <w:bottom w:val="nil"/>
                  </w:tcBorders>
                  <w:vAlign w:val="top"/>
                </w:tcPr>
                <w:p w14:paraId="68B8D582">
                  <w:pPr>
                    <w:spacing w:line="349" w:lineRule="auto"/>
                    <w:rPr>
                      <w:rFonts w:ascii="Arial"/>
                      <w:sz w:val="21"/>
                    </w:rPr>
                  </w:pPr>
                </w:p>
                <w:p w14:paraId="6B7DD16A">
                  <w:pPr>
                    <w:pStyle w:val="6"/>
                    <w:spacing w:before="65" w:line="221" w:lineRule="auto"/>
                    <w:ind w:left="84"/>
                    <w:rPr>
                      <w:sz w:val="20"/>
                      <w:szCs w:val="20"/>
                    </w:rPr>
                  </w:pPr>
                  <w:r>
                    <w:rPr>
                      <w:spacing w:val="-5"/>
                      <w:sz w:val="20"/>
                      <w:szCs w:val="20"/>
                    </w:rPr>
                    <w:t>M</w:t>
                  </w:r>
                  <w:r>
                    <w:rPr>
                      <w:spacing w:val="-41"/>
                      <w:sz w:val="20"/>
                      <w:szCs w:val="20"/>
                    </w:rPr>
                    <w:t xml:space="preserve"> </w:t>
                  </w:r>
                  <w:r>
                    <w:rPr>
                      <w:spacing w:val="-5"/>
                      <w:sz w:val="20"/>
                      <w:szCs w:val="20"/>
                    </w:rPr>
                    <w:t>B</w:t>
                  </w:r>
                  <w:r>
                    <w:rPr>
                      <w:spacing w:val="-40"/>
                      <w:sz w:val="20"/>
                      <w:szCs w:val="20"/>
                    </w:rPr>
                    <w:t xml:space="preserve"> </w:t>
                  </w:r>
                  <w:r>
                    <w:rPr>
                      <w:spacing w:val="-5"/>
                      <w:sz w:val="20"/>
                      <w:szCs w:val="20"/>
                    </w:rPr>
                    <w:t>R</w:t>
                  </w:r>
                  <w:r>
                    <w:rPr>
                      <w:spacing w:val="-37"/>
                      <w:sz w:val="20"/>
                      <w:szCs w:val="20"/>
                    </w:rPr>
                    <w:t xml:space="preserve"> </w:t>
                  </w:r>
                  <w:r>
                    <w:rPr>
                      <w:spacing w:val="-5"/>
                      <w:sz w:val="20"/>
                      <w:szCs w:val="20"/>
                    </w:rPr>
                    <w:t>反</w:t>
                  </w:r>
                  <w:r>
                    <w:rPr>
                      <w:spacing w:val="-38"/>
                      <w:sz w:val="20"/>
                      <w:szCs w:val="20"/>
                    </w:rPr>
                    <w:t xml:space="preserve"> </w:t>
                  </w:r>
                  <w:r>
                    <w:rPr>
                      <w:spacing w:val="-5"/>
                      <w:sz w:val="20"/>
                      <w:szCs w:val="20"/>
                    </w:rPr>
                    <w:t>应</w:t>
                  </w:r>
                  <w:r>
                    <w:rPr>
                      <w:spacing w:val="-38"/>
                      <w:sz w:val="20"/>
                      <w:szCs w:val="20"/>
                    </w:rPr>
                    <w:t xml:space="preserve"> </w:t>
                  </w:r>
                  <w:r>
                    <w:rPr>
                      <w:spacing w:val="-5"/>
                      <w:sz w:val="20"/>
                      <w:szCs w:val="20"/>
                    </w:rPr>
                    <w:t>池</w:t>
                  </w:r>
                </w:p>
              </w:tc>
              <w:tc>
                <w:tcPr>
                  <w:tcW w:w="1239" w:type="dxa"/>
                  <w:vAlign w:val="top"/>
                </w:tcPr>
                <w:p w14:paraId="619882EB">
                  <w:pPr>
                    <w:pStyle w:val="6"/>
                    <w:spacing w:before="75" w:line="219" w:lineRule="auto"/>
                    <w:ind w:left="411"/>
                    <w:rPr>
                      <w:sz w:val="20"/>
                      <w:szCs w:val="20"/>
                    </w:rPr>
                  </w:pPr>
                  <w:r>
                    <w:rPr>
                      <w:spacing w:val="-2"/>
                      <w:sz w:val="20"/>
                      <w:szCs w:val="20"/>
                    </w:rPr>
                    <w:t>进水</w:t>
                  </w:r>
                </w:p>
              </w:tc>
              <w:tc>
                <w:tcPr>
                  <w:tcW w:w="1418" w:type="dxa"/>
                  <w:vAlign w:val="top"/>
                </w:tcPr>
                <w:p w14:paraId="3AE66C18">
                  <w:pPr>
                    <w:pStyle w:val="6"/>
                    <w:spacing w:before="95" w:line="216" w:lineRule="auto"/>
                    <w:ind w:left="403"/>
                    <w:rPr>
                      <w:sz w:val="20"/>
                      <w:szCs w:val="20"/>
                    </w:rPr>
                  </w:pPr>
                  <w:r>
                    <w:rPr>
                      <w:spacing w:val="-4"/>
                      <w:sz w:val="20"/>
                      <w:szCs w:val="20"/>
                    </w:rPr>
                    <w:t>178.06</w:t>
                  </w:r>
                </w:p>
              </w:tc>
              <w:tc>
                <w:tcPr>
                  <w:tcW w:w="1408" w:type="dxa"/>
                  <w:vAlign w:val="top"/>
                </w:tcPr>
                <w:p w14:paraId="601A259A">
                  <w:pPr>
                    <w:pStyle w:val="6"/>
                    <w:spacing w:before="95" w:line="216" w:lineRule="auto"/>
                    <w:ind w:left="394"/>
                    <w:rPr>
                      <w:sz w:val="20"/>
                      <w:szCs w:val="20"/>
                    </w:rPr>
                  </w:pPr>
                  <w:r>
                    <w:rPr>
                      <w:spacing w:val="-4"/>
                      <w:sz w:val="20"/>
                      <w:szCs w:val="20"/>
                    </w:rPr>
                    <w:t>104.14</w:t>
                  </w:r>
                </w:p>
              </w:tc>
              <w:tc>
                <w:tcPr>
                  <w:tcW w:w="1408" w:type="dxa"/>
                  <w:vAlign w:val="top"/>
                </w:tcPr>
                <w:p w14:paraId="76BE60BD">
                  <w:pPr>
                    <w:pStyle w:val="6"/>
                    <w:spacing w:before="95" w:line="216" w:lineRule="auto"/>
                    <w:ind w:left="396"/>
                    <w:rPr>
                      <w:sz w:val="20"/>
                      <w:szCs w:val="20"/>
                    </w:rPr>
                  </w:pPr>
                  <w:r>
                    <w:rPr>
                      <w:spacing w:val="-4"/>
                      <w:sz w:val="20"/>
                      <w:szCs w:val="20"/>
                    </w:rPr>
                    <w:t>107.10</w:t>
                  </w:r>
                </w:p>
              </w:tc>
              <w:tc>
                <w:tcPr>
                  <w:tcW w:w="1433" w:type="dxa"/>
                  <w:vAlign w:val="top"/>
                </w:tcPr>
                <w:p w14:paraId="3EFA8697">
                  <w:pPr>
                    <w:pStyle w:val="6"/>
                    <w:spacing w:before="95" w:line="216" w:lineRule="auto"/>
                    <w:ind w:left="509"/>
                    <w:rPr>
                      <w:sz w:val="20"/>
                      <w:szCs w:val="20"/>
                    </w:rPr>
                  </w:pPr>
                  <w:r>
                    <w:rPr>
                      <w:spacing w:val="-5"/>
                      <w:sz w:val="20"/>
                      <w:szCs w:val="20"/>
                    </w:rPr>
                    <w:t>19.4</w:t>
                  </w:r>
                </w:p>
              </w:tc>
            </w:tr>
            <w:tr w14:paraId="2FC50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343" w:type="dxa"/>
                  <w:vMerge w:val="continue"/>
                  <w:tcBorders>
                    <w:top w:val="nil"/>
                    <w:bottom w:val="nil"/>
                  </w:tcBorders>
                  <w:vAlign w:val="top"/>
                </w:tcPr>
                <w:p w14:paraId="0D6CD0CA">
                  <w:pPr>
                    <w:rPr>
                      <w:rFonts w:ascii="Arial"/>
                      <w:sz w:val="21"/>
                    </w:rPr>
                  </w:pPr>
                </w:p>
              </w:tc>
              <w:tc>
                <w:tcPr>
                  <w:tcW w:w="1239" w:type="dxa"/>
                  <w:vAlign w:val="top"/>
                </w:tcPr>
                <w:p w14:paraId="6193023F">
                  <w:pPr>
                    <w:pStyle w:val="6"/>
                    <w:spacing w:before="86" w:line="219" w:lineRule="auto"/>
                    <w:ind w:left="411"/>
                    <w:rPr>
                      <w:sz w:val="20"/>
                      <w:szCs w:val="20"/>
                    </w:rPr>
                  </w:pPr>
                  <w:r>
                    <w:rPr>
                      <w:spacing w:val="4"/>
                      <w:sz w:val="20"/>
                      <w:szCs w:val="20"/>
                    </w:rPr>
                    <w:t>出水</w:t>
                  </w:r>
                </w:p>
              </w:tc>
              <w:tc>
                <w:tcPr>
                  <w:tcW w:w="1418" w:type="dxa"/>
                  <w:vAlign w:val="top"/>
                </w:tcPr>
                <w:p w14:paraId="023C47BF">
                  <w:pPr>
                    <w:pStyle w:val="6"/>
                    <w:spacing w:before="106" w:line="215" w:lineRule="auto"/>
                    <w:ind w:left="452"/>
                    <w:rPr>
                      <w:sz w:val="20"/>
                      <w:szCs w:val="20"/>
                    </w:rPr>
                  </w:pPr>
                  <w:r>
                    <w:rPr>
                      <w:spacing w:val="-2"/>
                      <w:sz w:val="20"/>
                      <w:szCs w:val="20"/>
                    </w:rPr>
                    <w:t>35.61</w:t>
                  </w:r>
                </w:p>
              </w:tc>
              <w:tc>
                <w:tcPr>
                  <w:tcW w:w="1408" w:type="dxa"/>
                  <w:vAlign w:val="top"/>
                </w:tcPr>
                <w:p w14:paraId="7FE0662A">
                  <w:pPr>
                    <w:pStyle w:val="6"/>
                    <w:spacing w:before="106" w:line="215" w:lineRule="auto"/>
                    <w:ind w:left="494"/>
                    <w:rPr>
                      <w:sz w:val="20"/>
                      <w:szCs w:val="20"/>
                    </w:rPr>
                  </w:pPr>
                  <w:r>
                    <w:rPr>
                      <w:spacing w:val="-2"/>
                      <w:sz w:val="20"/>
                      <w:szCs w:val="20"/>
                    </w:rPr>
                    <w:t>8.33</w:t>
                  </w:r>
                </w:p>
              </w:tc>
              <w:tc>
                <w:tcPr>
                  <w:tcW w:w="1408" w:type="dxa"/>
                  <w:vAlign w:val="top"/>
                </w:tcPr>
                <w:p w14:paraId="6A00DEB1">
                  <w:pPr>
                    <w:pStyle w:val="6"/>
                    <w:spacing w:before="106" w:line="215" w:lineRule="auto"/>
                    <w:ind w:left="446"/>
                    <w:rPr>
                      <w:sz w:val="20"/>
                      <w:szCs w:val="20"/>
                    </w:rPr>
                  </w:pPr>
                  <w:r>
                    <w:rPr>
                      <w:spacing w:val="-2"/>
                      <w:sz w:val="20"/>
                      <w:szCs w:val="20"/>
                    </w:rPr>
                    <w:t>21.42</w:t>
                  </w:r>
                </w:p>
              </w:tc>
              <w:tc>
                <w:tcPr>
                  <w:tcW w:w="1433" w:type="dxa"/>
                  <w:vAlign w:val="top"/>
                </w:tcPr>
                <w:p w14:paraId="726C1708">
                  <w:pPr>
                    <w:pStyle w:val="6"/>
                    <w:spacing w:before="106" w:line="215" w:lineRule="auto"/>
                    <w:ind w:left="509"/>
                    <w:rPr>
                      <w:sz w:val="20"/>
                      <w:szCs w:val="20"/>
                    </w:rPr>
                  </w:pPr>
                  <w:r>
                    <w:rPr>
                      <w:spacing w:val="-3"/>
                      <w:sz w:val="20"/>
                      <w:szCs w:val="20"/>
                    </w:rPr>
                    <w:t>5.82</w:t>
                  </w:r>
                </w:p>
              </w:tc>
            </w:tr>
            <w:tr w14:paraId="7E7DA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343" w:type="dxa"/>
                  <w:vMerge w:val="continue"/>
                  <w:tcBorders>
                    <w:top w:val="nil"/>
                  </w:tcBorders>
                  <w:vAlign w:val="top"/>
                </w:tcPr>
                <w:p w14:paraId="2C1012B8">
                  <w:pPr>
                    <w:rPr>
                      <w:rFonts w:ascii="Arial"/>
                      <w:sz w:val="21"/>
                    </w:rPr>
                  </w:pPr>
                </w:p>
              </w:tc>
              <w:tc>
                <w:tcPr>
                  <w:tcW w:w="1239" w:type="dxa"/>
                  <w:vAlign w:val="top"/>
                </w:tcPr>
                <w:p w14:paraId="456B3CEF">
                  <w:pPr>
                    <w:pStyle w:val="6"/>
                    <w:spacing w:before="67" w:line="215" w:lineRule="auto"/>
                    <w:ind w:left="312"/>
                    <w:rPr>
                      <w:sz w:val="20"/>
                      <w:szCs w:val="20"/>
                    </w:rPr>
                  </w:pPr>
                  <w:r>
                    <w:rPr>
                      <w:spacing w:val="3"/>
                      <w:sz w:val="20"/>
                      <w:szCs w:val="20"/>
                    </w:rPr>
                    <w:t>去除率</w:t>
                  </w:r>
                </w:p>
              </w:tc>
              <w:tc>
                <w:tcPr>
                  <w:tcW w:w="1418" w:type="dxa"/>
                  <w:vAlign w:val="top"/>
                </w:tcPr>
                <w:p w14:paraId="0003915E">
                  <w:pPr>
                    <w:pStyle w:val="6"/>
                    <w:spacing w:before="87" w:line="196" w:lineRule="auto"/>
                    <w:ind w:left="552"/>
                    <w:rPr>
                      <w:sz w:val="20"/>
                      <w:szCs w:val="20"/>
                    </w:rPr>
                  </w:pPr>
                  <w:r>
                    <w:rPr>
                      <w:spacing w:val="-2"/>
                      <w:sz w:val="20"/>
                      <w:szCs w:val="20"/>
                    </w:rPr>
                    <w:t>80%</w:t>
                  </w:r>
                </w:p>
              </w:tc>
              <w:tc>
                <w:tcPr>
                  <w:tcW w:w="1408" w:type="dxa"/>
                  <w:vAlign w:val="top"/>
                </w:tcPr>
                <w:p w14:paraId="6F6264A5">
                  <w:pPr>
                    <w:pStyle w:val="6"/>
                    <w:spacing w:before="87" w:line="196" w:lineRule="auto"/>
                    <w:ind w:left="544"/>
                    <w:rPr>
                      <w:sz w:val="20"/>
                      <w:szCs w:val="20"/>
                    </w:rPr>
                  </w:pPr>
                  <w:r>
                    <w:rPr>
                      <w:spacing w:val="-2"/>
                      <w:sz w:val="20"/>
                      <w:szCs w:val="20"/>
                    </w:rPr>
                    <w:t>92%</w:t>
                  </w:r>
                </w:p>
              </w:tc>
              <w:tc>
                <w:tcPr>
                  <w:tcW w:w="1408" w:type="dxa"/>
                  <w:vAlign w:val="top"/>
                </w:tcPr>
                <w:p w14:paraId="056E5908">
                  <w:pPr>
                    <w:pStyle w:val="6"/>
                    <w:spacing w:before="87" w:line="196" w:lineRule="auto"/>
                    <w:ind w:left="547"/>
                    <w:rPr>
                      <w:sz w:val="20"/>
                      <w:szCs w:val="20"/>
                    </w:rPr>
                  </w:pPr>
                  <w:r>
                    <w:rPr>
                      <w:spacing w:val="-2"/>
                      <w:sz w:val="20"/>
                      <w:szCs w:val="20"/>
                    </w:rPr>
                    <w:t>80%</w:t>
                  </w:r>
                </w:p>
              </w:tc>
              <w:tc>
                <w:tcPr>
                  <w:tcW w:w="1433" w:type="dxa"/>
                  <w:vAlign w:val="top"/>
                </w:tcPr>
                <w:p w14:paraId="3985D285">
                  <w:pPr>
                    <w:pStyle w:val="6"/>
                    <w:spacing w:before="87" w:line="196" w:lineRule="auto"/>
                    <w:ind w:left="558"/>
                    <w:rPr>
                      <w:sz w:val="20"/>
                      <w:szCs w:val="20"/>
                    </w:rPr>
                  </w:pPr>
                  <w:r>
                    <w:rPr>
                      <w:spacing w:val="-3"/>
                      <w:sz w:val="20"/>
                      <w:szCs w:val="20"/>
                    </w:rPr>
                    <w:t>70%</w:t>
                  </w:r>
                </w:p>
              </w:tc>
            </w:tr>
            <w:tr w14:paraId="299BC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582" w:type="dxa"/>
                  <w:gridSpan w:val="2"/>
                  <w:vAlign w:val="top"/>
                </w:tcPr>
                <w:p w14:paraId="22BDD6ED">
                  <w:pPr>
                    <w:pStyle w:val="6"/>
                    <w:spacing w:before="77" w:line="219" w:lineRule="auto"/>
                    <w:ind w:left="684"/>
                    <w:rPr>
                      <w:sz w:val="20"/>
                      <w:szCs w:val="20"/>
                    </w:rPr>
                  </w:pPr>
                  <w:r>
                    <w:rPr>
                      <w:spacing w:val="-2"/>
                      <w:sz w:val="20"/>
                      <w:szCs w:val="20"/>
                    </w:rPr>
                    <w:t>执行标准限值</w:t>
                  </w:r>
                </w:p>
              </w:tc>
              <w:tc>
                <w:tcPr>
                  <w:tcW w:w="1418" w:type="dxa"/>
                  <w:vAlign w:val="top"/>
                </w:tcPr>
                <w:p w14:paraId="61076049">
                  <w:pPr>
                    <w:pStyle w:val="6"/>
                    <w:spacing w:before="83" w:line="224" w:lineRule="auto"/>
                    <w:ind w:left="652"/>
                    <w:rPr>
                      <w:sz w:val="20"/>
                      <w:szCs w:val="20"/>
                    </w:rPr>
                  </w:pPr>
                  <w:r>
                    <w:rPr>
                      <w:sz w:val="20"/>
                      <w:szCs w:val="20"/>
                    </w:rPr>
                    <w:t>/</w:t>
                  </w:r>
                </w:p>
              </w:tc>
              <w:tc>
                <w:tcPr>
                  <w:tcW w:w="1408" w:type="dxa"/>
                  <w:vAlign w:val="top"/>
                </w:tcPr>
                <w:p w14:paraId="661C18F6">
                  <w:pPr>
                    <w:pStyle w:val="6"/>
                    <w:spacing w:before="97" w:line="214" w:lineRule="auto"/>
                    <w:ind w:left="594"/>
                    <w:rPr>
                      <w:sz w:val="20"/>
                      <w:szCs w:val="20"/>
                    </w:rPr>
                  </w:pPr>
                  <w:r>
                    <w:rPr>
                      <w:spacing w:val="-6"/>
                      <w:sz w:val="20"/>
                      <w:szCs w:val="20"/>
                    </w:rPr>
                    <w:t>10</w:t>
                  </w:r>
                </w:p>
              </w:tc>
              <w:tc>
                <w:tcPr>
                  <w:tcW w:w="1408" w:type="dxa"/>
                  <w:vAlign w:val="top"/>
                </w:tcPr>
                <w:p w14:paraId="41A07CAC">
                  <w:pPr>
                    <w:pStyle w:val="6"/>
                    <w:spacing w:before="83" w:line="224" w:lineRule="auto"/>
                    <w:ind w:left="646"/>
                    <w:rPr>
                      <w:sz w:val="20"/>
                      <w:szCs w:val="20"/>
                    </w:rPr>
                  </w:pPr>
                  <w:r>
                    <w:rPr>
                      <w:sz w:val="20"/>
                      <w:szCs w:val="20"/>
                    </w:rPr>
                    <w:t>/</w:t>
                  </w:r>
                </w:p>
              </w:tc>
              <w:tc>
                <w:tcPr>
                  <w:tcW w:w="1433" w:type="dxa"/>
                  <w:vAlign w:val="top"/>
                </w:tcPr>
                <w:p w14:paraId="0856BB21">
                  <w:pPr>
                    <w:pStyle w:val="6"/>
                    <w:spacing w:before="97" w:line="214" w:lineRule="auto"/>
                    <w:ind w:left="658"/>
                    <w:rPr>
                      <w:sz w:val="20"/>
                      <w:szCs w:val="20"/>
                    </w:rPr>
                  </w:pPr>
                  <w:r>
                    <w:rPr>
                      <w:sz w:val="20"/>
                      <w:szCs w:val="20"/>
                    </w:rPr>
                    <w:t>8</w:t>
                  </w:r>
                </w:p>
              </w:tc>
            </w:tr>
            <w:tr w14:paraId="50F5F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82" w:type="dxa"/>
                  <w:gridSpan w:val="2"/>
                  <w:vAlign w:val="top"/>
                </w:tcPr>
                <w:p w14:paraId="569F4C02">
                  <w:pPr>
                    <w:pStyle w:val="6"/>
                    <w:spacing w:before="78" w:line="220" w:lineRule="auto"/>
                    <w:ind w:left="884"/>
                    <w:rPr>
                      <w:sz w:val="20"/>
                      <w:szCs w:val="20"/>
                    </w:rPr>
                  </w:pPr>
                  <w:r>
                    <w:rPr>
                      <w:spacing w:val="-3"/>
                      <w:sz w:val="20"/>
                      <w:szCs w:val="20"/>
                    </w:rPr>
                    <w:t>是否达标</w:t>
                  </w:r>
                </w:p>
              </w:tc>
              <w:tc>
                <w:tcPr>
                  <w:tcW w:w="1418" w:type="dxa"/>
                  <w:vAlign w:val="top"/>
                </w:tcPr>
                <w:p w14:paraId="47D05E15">
                  <w:pPr>
                    <w:pStyle w:val="6"/>
                    <w:spacing w:before="84" w:line="224" w:lineRule="auto"/>
                    <w:ind w:left="652"/>
                    <w:rPr>
                      <w:sz w:val="20"/>
                      <w:szCs w:val="20"/>
                    </w:rPr>
                  </w:pPr>
                  <w:r>
                    <w:rPr>
                      <w:sz w:val="20"/>
                      <w:szCs w:val="20"/>
                    </w:rPr>
                    <w:t>/</w:t>
                  </w:r>
                </w:p>
              </w:tc>
              <w:tc>
                <w:tcPr>
                  <w:tcW w:w="1408" w:type="dxa"/>
                  <w:vAlign w:val="top"/>
                </w:tcPr>
                <w:p w14:paraId="35812AB7">
                  <w:pPr>
                    <w:pStyle w:val="6"/>
                    <w:spacing w:before="78" w:line="220" w:lineRule="auto"/>
                    <w:ind w:left="494"/>
                    <w:rPr>
                      <w:sz w:val="20"/>
                      <w:szCs w:val="20"/>
                    </w:rPr>
                  </w:pPr>
                  <w:r>
                    <w:rPr>
                      <w:spacing w:val="-2"/>
                      <w:sz w:val="20"/>
                      <w:szCs w:val="20"/>
                    </w:rPr>
                    <w:t>达标</w:t>
                  </w:r>
                </w:p>
              </w:tc>
              <w:tc>
                <w:tcPr>
                  <w:tcW w:w="1408" w:type="dxa"/>
                  <w:vAlign w:val="top"/>
                </w:tcPr>
                <w:p w14:paraId="3CC40468">
                  <w:pPr>
                    <w:pStyle w:val="6"/>
                    <w:spacing w:before="84" w:line="224" w:lineRule="auto"/>
                    <w:ind w:left="646"/>
                    <w:rPr>
                      <w:sz w:val="20"/>
                      <w:szCs w:val="20"/>
                    </w:rPr>
                  </w:pPr>
                  <w:r>
                    <w:rPr>
                      <w:sz w:val="20"/>
                      <w:szCs w:val="20"/>
                    </w:rPr>
                    <w:t>/</w:t>
                  </w:r>
                </w:p>
              </w:tc>
              <w:tc>
                <w:tcPr>
                  <w:tcW w:w="1433" w:type="dxa"/>
                  <w:vAlign w:val="top"/>
                </w:tcPr>
                <w:p w14:paraId="5A7DD376">
                  <w:pPr>
                    <w:pStyle w:val="6"/>
                    <w:spacing w:before="78" w:line="220" w:lineRule="auto"/>
                    <w:ind w:left="509"/>
                    <w:rPr>
                      <w:sz w:val="20"/>
                      <w:szCs w:val="20"/>
                    </w:rPr>
                  </w:pPr>
                  <w:r>
                    <w:rPr>
                      <w:spacing w:val="-2"/>
                      <w:sz w:val="20"/>
                      <w:szCs w:val="20"/>
                    </w:rPr>
                    <w:t>达标</w:t>
                  </w:r>
                </w:p>
              </w:tc>
            </w:tr>
          </w:tbl>
          <w:p w14:paraId="096FF733">
            <w:pPr>
              <w:pStyle w:val="6"/>
              <w:spacing w:before="43" w:line="362" w:lineRule="auto"/>
              <w:ind w:left="91" w:firstLine="459"/>
              <w:rPr>
                <w:sz w:val="24"/>
                <w:szCs w:val="24"/>
              </w:rPr>
            </w:pPr>
            <w:r>
              <w:rPr>
                <w:spacing w:val="-1"/>
                <w:sz w:val="24"/>
                <w:szCs w:val="24"/>
              </w:rPr>
              <w:t>经上表分析，结合本项目污水特质，按照推荐工艺进行污水处理后，出水水</w:t>
            </w:r>
            <w:r>
              <w:rPr>
                <w:spacing w:val="17"/>
                <w:sz w:val="24"/>
                <w:szCs w:val="24"/>
              </w:rPr>
              <w:t xml:space="preserve"> </w:t>
            </w:r>
            <w:r>
              <w:rPr>
                <w:sz w:val="24"/>
                <w:szCs w:val="24"/>
              </w:rPr>
              <w:t>质能够满足《城市污水再生利用城市杂用水水质》(GB/T18920-2020)中“城</w:t>
            </w:r>
          </w:p>
          <w:p w14:paraId="0097B4C7">
            <w:pPr>
              <w:pStyle w:val="6"/>
              <w:spacing w:line="219" w:lineRule="auto"/>
              <w:ind w:left="21"/>
              <w:rPr>
                <w:sz w:val="24"/>
                <w:szCs w:val="24"/>
              </w:rPr>
            </w:pPr>
            <w:r>
              <w:rPr>
                <w:sz w:val="24"/>
                <w:szCs w:val="24"/>
              </w:rPr>
              <w:t>市绿化、道路清扫”标准，可回用于厂区绿化及洒水降尘。处理达标的污水贮存</w:t>
            </w:r>
          </w:p>
          <w:p w14:paraId="670DC403">
            <w:pPr>
              <w:pStyle w:val="6"/>
              <w:spacing w:before="176" w:line="219" w:lineRule="auto"/>
              <w:ind w:left="21"/>
              <w:rPr>
                <w:sz w:val="24"/>
                <w:szCs w:val="24"/>
              </w:rPr>
            </w:pPr>
            <w:r>
              <w:rPr>
                <w:spacing w:val="4"/>
                <w:sz w:val="24"/>
                <w:szCs w:val="24"/>
              </w:rPr>
              <w:t>于4m³的生活废水收集池内，晴天用于升压站</w:t>
            </w:r>
            <w:r>
              <w:rPr>
                <w:spacing w:val="3"/>
                <w:sz w:val="24"/>
                <w:szCs w:val="24"/>
              </w:rPr>
              <w:t>场区绿化、道路降尘，不外排。全</w:t>
            </w:r>
          </w:p>
          <w:p w14:paraId="5EAE96ED">
            <w:pPr>
              <w:pStyle w:val="6"/>
              <w:spacing w:before="191" w:line="216" w:lineRule="auto"/>
              <w:ind w:left="141"/>
              <w:rPr>
                <w:sz w:val="24"/>
                <w:szCs w:val="24"/>
              </w:rPr>
            </w:pPr>
            <w:r>
              <w:rPr>
                <w:spacing w:val="6"/>
                <w:sz w:val="24"/>
                <w:szCs w:val="24"/>
              </w:rPr>
              <w:t>站生活废水产生总量为0.576m³/d、210.24m³/a,绿化、道</w:t>
            </w:r>
            <w:r>
              <w:rPr>
                <w:spacing w:val="5"/>
                <w:sz w:val="24"/>
                <w:szCs w:val="24"/>
              </w:rPr>
              <w:t>路降尘总用水量为</w:t>
            </w:r>
          </w:p>
          <w:p w14:paraId="1D33D1C8">
            <w:pPr>
              <w:pStyle w:val="6"/>
              <w:spacing w:before="180" w:line="216" w:lineRule="auto"/>
              <w:jc w:val="right"/>
              <w:rPr>
                <w:sz w:val="24"/>
                <w:szCs w:val="24"/>
              </w:rPr>
            </w:pPr>
            <w:r>
              <w:rPr>
                <w:spacing w:val="4"/>
                <w:sz w:val="24"/>
                <w:szCs w:val="24"/>
              </w:rPr>
              <w:t>4.65m³/d、1060.2m³/a,大于建设项目生活废水产</w:t>
            </w:r>
            <w:r>
              <w:rPr>
                <w:spacing w:val="3"/>
                <w:sz w:val="24"/>
                <w:szCs w:val="24"/>
              </w:rPr>
              <w:t>生总量，晴天每天的绿化、道</w:t>
            </w:r>
          </w:p>
          <w:p w14:paraId="21A4EE88">
            <w:pPr>
              <w:pStyle w:val="6"/>
              <w:spacing w:before="182" w:line="219" w:lineRule="auto"/>
              <w:ind w:left="21"/>
              <w:rPr>
                <w:sz w:val="24"/>
                <w:szCs w:val="24"/>
              </w:rPr>
            </w:pPr>
            <w:r>
              <w:rPr>
                <w:sz w:val="24"/>
                <w:szCs w:val="24"/>
              </w:rPr>
              <w:t>路降尘用水量大于项目生活废水每天的产生量，故生活废水经一体化处理设施处</w:t>
            </w:r>
          </w:p>
          <w:p w14:paraId="3E470D68">
            <w:pPr>
              <w:pStyle w:val="6"/>
              <w:spacing w:before="196" w:line="219" w:lineRule="auto"/>
              <w:jc w:val="right"/>
              <w:rPr>
                <w:sz w:val="24"/>
                <w:szCs w:val="24"/>
              </w:rPr>
            </w:pPr>
            <w:r>
              <w:rPr>
                <w:spacing w:val="-4"/>
                <w:sz w:val="24"/>
                <w:szCs w:val="24"/>
              </w:rPr>
              <w:t>理后晴天可全部回用于绿化、道路降尘。一体化污水处理设置规模不小于1</w:t>
            </w:r>
            <w:r>
              <w:rPr>
                <w:spacing w:val="-5"/>
                <w:sz w:val="24"/>
                <w:szCs w:val="24"/>
              </w:rPr>
              <w:t>m³/d。</w:t>
            </w:r>
          </w:p>
          <w:p w14:paraId="0032B7FA">
            <w:pPr>
              <w:pStyle w:val="6"/>
              <w:spacing w:before="175" w:line="219" w:lineRule="auto"/>
              <w:ind w:left="440"/>
              <w:rPr>
                <w:sz w:val="24"/>
                <w:szCs w:val="24"/>
              </w:rPr>
            </w:pPr>
            <w:r>
              <w:rPr>
                <w:spacing w:val="3"/>
                <w:sz w:val="24"/>
                <w:szCs w:val="24"/>
              </w:rPr>
              <w:t>项目设置了1座4m³的生活废水收集池，可以容纳7天生活废水的贮存量。</w:t>
            </w:r>
          </w:p>
        </w:tc>
      </w:tr>
    </w:tbl>
    <w:p w14:paraId="6A5353FE">
      <w:pPr>
        <w:pStyle w:val="2"/>
      </w:pPr>
    </w:p>
    <w:p w14:paraId="16B3A6F1">
      <w:pPr>
        <w:sectPr>
          <w:footerReference r:id="rId162" w:type="default"/>
          <w:pgSz w:w="11910" w:h="16830"/>
          <w:pgMar w:top="400" w:right="1294" w:bottom="1257" w:left="1234" w:header="0" w:footer="1076" w:gutter="0"/>
          <w:cols w:space="720" w:num="1"/>
        </w:sectPr>
      </w:pPr>
    </w:p>
    <w:p w14:paraId="238213EB">
      <w:pPr>
        <w:spacing w:before="15"/>
      </w:pPr>
    </w:p>
    <w:p w14:paraId="62B5AD7D">
      <w:pPr>
        <w:spacing w:before="15"/>
      </w:pPr>
    </w:p>
    <w:p w14:paraId="3ACA87AD">
      <w:pPr>
        <w:spacing w:before="15"/>
      </w:pPr>
    </w:p>
    <w:p w14:paraId="05D42701">
      <w:pPr>
        <w:spacing w:before="14"/>
      </w:pPr>
    </w:p>
    <w:tbl>
      <w:tblPr>
        <w:tblStyle w:val="5"/>
        <w:tblW w:w="93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93"/>
      </w:tblGrid>
      <w:tr w14:paraId="29A26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904" w:type="dxa"/>
            <w:vAlign w:val="top"/>
          </w:tcPr>
          <w:p w14:paraId="27CB21ED">
            <w:pPr>
              <w:rPr>
                <w:rFonts w:ascii="Arial"/>
                <w:sz w:val="21"/>
              </w:rPr>
            </w:pPr>
          </w:p>
        </w:tc>
        <w:tc>
          <w:tcPr>
            <w:tcW w:w="8493" w:type="dxa"/>
            <w:vAlign w:val="top"/>
          </w:tcPr>
          <w:p w14:paraId="6558F459">
            <w:pPr>
              <w:pStyle w:val="6"/>
              <w:spacing w:before="13" w:line="362" w:lineRule="auto"/>
              <w:ind w:left="101" w:right="121" w:hanging="10"/>
              <w:rPr>
                <w:sz w:val="24"/>
                <w:szCs w:val="24"/>
              </w:rPr>
            </w:pPr>
            <w:r>
              <w:rPr>
                <w:sz w:val="24"/>
                <w:szCs w:val="24"/>
              </w:rPr>
              <w:t>根据曲靖市气象资料显示，连续最大降雨天数一般在5</w:t>
            </w:r>
            <w:r>
              <w:rPr>
                <w:spacing w:val="-1"/>
                <w:sz w:val="24"/>
                <w:szCs w:val="24"/>
              </w:rPr>
              <w:t>天左右，因此，项目生活</w:t>
            </w:r>
            <w:r>
              <w:rPr>
                <w:sz w:val="24"/>
                <w:szCs w:val="24"/>
              </w:rPr>
              <w:t xml:space="preserve"> 废水收集池可以满足项目雨天生活废水的储存需</w:t>
            </w:r>
            <w:r>
              <w:rPr>
                <w:spacing w:val="-1"/>
                <w:sz w:val="24"/>
                <w:szCs w:val="24"/>
              </w:rPr>
              <w:t>要。</w:t>
            </w:r>
          </w:p>
          <w:p w14:paraId="7658E8E8">
            <w:pPr>
              <w:pStyle w:val="6"/>
              <w:spacing w:before="5" w:line="358" w:lineRule="auto"/>
              <w:ind w:left="31" w:firstLine="549"/>
              <w:jc w:val="both"/>
              <w:rPr>
                <w:sz w:val="24"/>
                <w:szCs w:val="24"/>
              </w:rPr>
            </w:pPr>
            <w:r>
              <w:rPr>
                <w:spacing w:val="-1"/>
                <w:sz w:val="24"/>
                <w:szCs w:val="24"/>
              </w:rPr>
              <w:t>此外，在一体化生活废水处理站污水处理设施故障的情况下，可将生活废水</w:t>
            </w:r>
            <w:r>
              <w:rPr>
                <w:spacing w:val="14"/>
                <w:sz w:val="24"/>
                <w:szCs w:val="24"/>
              </w:rPr>
              <w:t xml:space="preserve"> </w:t>
            </w:r>
            <w:r>
              <w:rPr>
                <w:sz w:val="24"/>
                <w:szCs w:val="24"/>
              </w:rPr>
              <w:t>暂存于生活污水收集池内，待处理系统恢复运行后将污水排入一体化生活废水处</w:t>
            </w:r>
            <w:r>
              <w:rPr>
                <w:spacing w:val="1"/>
                <w:sz w:val="24"/>
                <w:szCs w:val="24"/>
              </w:rPr>
              <w:t xml:space="preserve"> </w:t>
            </w:r>
            <w:r>
              <w:rPr>
                <w:sz w:val="24"/>
                <w:szCs w:val="24"/>
              </w:rPr>
              <w:t>理站处理。</w:t>
            </w:r>
            <w:r>
              <w:rPr>
                <w:spacing w:val="-57"/>
                <w:sz w:val="24"/>
                <w:szCs w:val="24"/>
              </w:rPr>
              <w:t xml:space="preserve"> </w:t>
            </w:r>
            <w:r>
              <w:rPr>
                <w:sz w:val="24"/>
                <w:szCs w:val="24"/>
              </w:rPr>
              <w:t>一体化生活废水处理站故障一般可在48h内恢复，故可保证项目</w:t>
            </w:r>
            <w:r>
              <w:rPr>
                <w:spacing w:val="-1"/>
                <w:sz w:val="24"/>
                <w:szCs w:val="24"/>
              </w:rPr>
              <w:t>事故</w:t>
            </w:r>
            <w:r>
              <w:rPr>
                <w:sz w:val="24"/>
                <w:szCs w:val="24"/>
              </w:rPr>
              <w:t xml:space="preserve">  </w:t>
            </w:r>
            <w:r>
              <w:rPr>
                <w:spacing w:val="5"/>
                <w:sz w:val="24"/>
                <w:szCs w:val="24"/>
              </w:rPr>
              <w:t>情况下废水不外排。</w:t>
            </w:r>
          </w:p>
          <w:p w14:paraId="25EC070B">
            <w:pPr>
              <w:pStyle w:val="6"/>
              <w:spacing w:line="219" w:lineRule="auto"/>
              <w:ind w:left="84"/>
              <w:rPr>
                <w:sz w:val="24"/>
                <w:szCs w:val="24"/>
              </w:rPr>
            </w:pPr>
            <w:r>
              <w:rPr>
                <w:b/>
                <w:bCs/>
                <w:spacing w:val="-4"/>
                <w:sz w:val="24"/>
                <w:szCs w:val="24"/>
              </w:rPr>
              <w:t>3.3地表水环境影响分析结论</w:t>
            </w:r>
          </w:p>
          <w:p w14:paraId="0B8B03D5">
            <w:pPr>
              <w:pStyle w:val="6"/>
              <w:spacing w:before="197" w:line="357" w:lineRule="auto"/>
              <w:ind w:left="31" w:firstLine="529"/>
              <w:rPr>
                <w:sz w:val="24"/>
                <w:szCs w:val="24"/>
              </w:rPr>
            </w:pPr>
            <w:r>
              <w:rPr>
                <w:sz w:val="24"/>
                <w:szCs w:val="24"/>
              </w:rPr>
              <w:t>项目运营期废水主要为光伏板清洗、升压站办公生活区生活污水。光伏板清</w:t>
            </w:r>
            <w:r>
              <w:rPr>
                <w:spacing w:val="1"/>
                <w:sz w:val="24"/>
                <w:szCs w:val="24"/>
              </w:rPr>
              <w:t xml:space="preserve"> </w:t>
            </w:r>
            <w:r>
              <w:rPr>
                <w:spacing w:val="3"/>
                <w:sz w:val="24"/>
                <w:szCs w:val="24"/>
              </w:rPr>
              <w:t>洗用水不添加清洗剂，清洗周期为1年/次，废水产生量为128.78m³/次，主要污</w:t>
            </w:r>
            <w:r>
              <w:rPr>
                <w:sz w:val="24"/>
                <w:szCs w:val="24"/>
              </w:rPr>
              <w:t xml:space="preserve"> </w:t>
            </w:r>
            <w:r>
              <w:rPr>
                <w:spacing w:val="5"/>
                <w:sz w:val="24"/>
                <w:szCs w:val="24"/>
              </w:rPr>
              <w:t>染物为</w:t>
            </w:r>
            <w:r>
              <w:rPr>
                <w:sz w:val="24"/>
                <w:szCs w:val="24"/>
              </w:rPr>
              <w:t>SS</w:t>
            </w:r>
            <w:r>
              <w:rPr>
                <w:spacing w:val="5"/>
                <w:sz w:val="24"/>
                <w:szCs w:val="24"/>
              </w:rPr>
              <w:t>,光伏清洗废水可直接顺着流在太阳能电池组件下面的草地上，作为</w:t>
            </w:r>
          </w:p>
          <w:p w14:paraId="0BE1AC07">
            <w:pPr>
              <w:pStyle w:val="6"/>
              <w:spacing w:before="8" w:line="358" w:lineRule="auto"/>
              <w:ind w:left="31" w:right="42" w:firstLine="120"/>
              <w:rPr>
                <w:sz w:val="24"/>
                <w:szCs w:val="24"/>
              </w:rPr>
            </w:pPr>
            <w:r>
              <w:rPr>
                <w:spacing w:val="1"/>
                <w:sz w:val="24"/>
                <w:szCs w:val="24"/>
              </w:rPr>
              <w:t>草地灌溉补充水，不外排；项目在升压站办公生活区</w:t>
            </w:r>
            <w:r>
              <w:rPr>
                <w:sz w:val="24"/>
                <w:szCs w:val="24"/>
              </w:rPr>
              <w:t xml:space="preserve">内设置食堂废水隔油池(1  </w:t>
            </w:r>
            <w:r>
              <w:rPr>
                <w:spacing w:val="7"/>
                <w:sz w:val="24"/>
                <w:szCs w:val="24"/>
              </w:rPr>
              <w:t>座、不小于容积为0.2m³),食堂废水经隔油预处理后与</w:t>
            </w:r>
            <w:r>
              <w:rPr>
                <w:spacing w:val="6"/>
                <w:sz w:val="24"/>
                <w:szCs w:val="24"/>
              </w:rPr>
              <w:t>其他生活废水一起进入</w:t>
            </w:r>
            <w:r>
              <w:rPr>
                <w:sz w:val="24"/>
                <w:szCs w:val="24"/>
              </w:rPr>
              <w:t xml:space="preserve">  </w:t>
            </w:r>
            <w:r>
              <w:rPr>
                <w:spacing w:val="8"/>
                <w:sz w:val="24"/>
                <w:szCs w:val="24"/>
              </w:rPr>
              <w:t>化粪池(1座、不小于容积为1.0m³)预处理，后统一进入一体化生活废水处理</w:t>
            </w:r>
            <w:r>
              <w:rPr>
                <w:spacing w:val="5"/>
                <w:sz w:val="24"/>
                <w:szCs w:val="24"/>
              </w:rPr>
              <w:t xml:space="preserve">  </w:t>
            </w:r>
            <w:r>
              <w:rPr>
                <w:spacing w:val="7"/>
                <w:sz w:val="24"/>
                <w:szCs w:val="24"/>
              </w:rPr>
              <w:t>站(处理规模不小于1.0m³/d)进行处理，处理达到《城市</w:t>
            </w:r>
            <w:r>
              <w:rPr>
                <w:spacing w:val="6"/>
                <w:sz w:val="24"/>
                <w:szCs w:val="24"/>
              </w:rPr>
              <w:t>污水再生利用城市杂</w:t>
            </w:r>
            <w:r>
              <w:rPr>
                <w:sz w:val="24"/>
                <w:szCs w:val="24"/>
              </w:rPr>
              <w:t xml:space="preserve">  用水水质》(GB/T18920-2020)中“城市绿化、道路清扫”标准后排入生活废水收</w:t>
            </w:r>
            <w:r>
              <w:rPr>
                <w:spacing w:val="8"/>
                <w:sz w:val="24"/>
                <w:szCs w:val="24"/>
              </w:rPr>
              <w:t xml:space="preserve"> </w:t>
            </w:r>
            <w:r>
              <w:rPr>
                <w:spacing w:val="9"/>
                <w:sz w:val="24"/>
                <w:szCs w:val="24"/>
              </w:rPr>
              <w:t>集池(1座、容积为4m³)作为升压站场区晴天</w:t>
            </w:r>
            <w:r>
              <w:rPr>
                <w:spacing w:val="8"/>
                <w:sz w:val="24"/>
                <w:szCs w:val="24"/>
              </w:rPr>
              <w:t>绿化、道路降尘用水回用，雨天</w:t>
            </w:r>
            <w:r>
              <w:rPr>
                <w:sz w:val="24"/>
                <w:szCs w:val="24"/>
              </w:rPr>
              <w:t xml:space="preserve">  </w:t>
            </w:r>
            <w:r>
              <w:rPr>
                <w:spacing w:val="2"/>
                <w:sz w:val="24"/>
                <w:szCs w:val="24"/>
              </w:rPr>
              <w:t>储存，不外排。因此，本项目运营期对地表水环境的影响可接受。</w:t>
            </w:r>
          </w:p>
          <w:p w14:paraId="080CFAD7">
            <w:pPr>
              <w:pStyle w:val="6"/>
              <w:spacing w:line="220" w:lineRule="auto"/>
              <w:ind w:left="84"/>
              <w:rPr>
                <w:sz w:val="24"/>
                <w:szCs w:val="24"/>
              </w:rPr>
            </w:pPr>
            <w:r>
              <w:rPr>
                <w:b/>
                <w:bCs/>
                <w:spacing w:val="-4"/>
                <w:sz w:val="24"/>
                <w:szCs w:val="24"/>
              </w:rPr>
              <w:t>4大气环境影响分析</w:t>
            </w:r>
          </w:p>
          <w:p w14:paraId="1E0A54C6">
            <w:pPr>
              <w:pStyle w:val="6"/>
              <w:spacing w:before="183" w:line="362" w:lineRule="auto"/>
              <w:ind w:left="31" w:firstLine="529"/>
              <w:rPr>
                <w:sz w:val="24"/>
                <w:szCs w:val="24"/>
              </w:rPr>
            </w:pPr>
            <w:r>
              <w:rPr>
                <w:sz w:val="24"/>
                <w:szCs w:val="24"/>
              </w:rPr>
              <w:t xml:space="preserve">项目光伏电站运行期间仅每1年/次使用水车运水产生的道路扬尘和汽车尾   </w:t>
            </w:r>
            <w:r>
              <w:rPr>
                <w:spacing w:val="1"/>
                <w:sz w:val="24"/>
                <w:szCs w:val="24"/>
              </w:rPr>
              <w:t>气外，无其他废气产生，由于项目仅有2～3辆水车进行清洗水运输，且运距短，</w:t>
            </w:r>
            <w:r>
              <w:rPr>
                <w:spacing w:val="14"/>
                <w:sz w:val="24"/>
                <w:szCs w:val="24"/>
              </w:rPr>
              <w:t xml:space="preserve"> </w:t>
            </w:r>
            <w:r>
              <w:rPr>
                <w:sz w:val="24"/>
                <w:szCs w:val="24"/>
              </w:rPr>
              <w:t>故道路扬尘和汽车尾气产生量均较小。此外，项目营运期废气还有升压站内食堂</w:t>
            </w:r>
            <w:r>
              <w:rPr>
                <w:spacing w:val="4"/>
                <w:sz w:val="24"/>
                <w:szCs w:val="24"/>
              </w:rPr>
              <w:t xml:space="preserve"> </w:t>
            </w:r>
            <w:r>
              <w:rPr>
                <w:sz w:val="24"/>
                <w:szCs w:val="24"/>
              </w:rPr>
              <w:t>烹饪产生的极少量油烟，油烟主要是动植物油过热裂解后与</w:t>
            </w:r>
            <w:r>
              <w:rPr>
                <w:rFonts w:hint="eastAsia"/>
                <w:sz w:val="24"/>
                <w:szCs w:val="24"/>
                <w:lang w:eastAsia="zh-CN"/>
              </w:rPr>
              <w:t>水蒸气</w:t>
            </w:r>
            <w:r>
              <w:rPr>
                <w:sz w:val="24"/>
                <w:szCs w:val="24"/>
              </w:rPr>
              <w:t>一起挥发出来</w:t>
            </w:r>
            <w:r>
              <w:rPr>
                <w:spacing w:val="1"/>
                <w:sz w:val="24"/>
                <w:szCs w:val="24"/>
              </w:rPr>
              <w:t xml:space="preserve"> </w:t>
            </w:r>
            <w:r>
              <w:rPr>
                <w:spacing w:val="14"/>
                <w:sz w:val="24"/>
                <w:szCs w:val="24"/>
              </w:rPr>
              <w:t>的烟气。</w:t>
            </w:r>
          </w:p>
          <w:p w14:paraId="3B8877E4">
            <w:pPr>
              <w:pStyle w:val="6"/>
              <w:spacing w:before="1" w:line="351" w:lineRule="auto"/>
              <w:ind w:left="101" w:right="2" w:firstLine="459"/>
              <w:rPr>
                <w:sz w:val="24"/>
                <w:szCs w:val="24"/>
              </w:rPr>
            </w:pPr>
            <w:r>
              <w:rPr>
                <w:sz w:val="24"/>
                <w:szCs w:val="24"/>
              </w:rPr>
              <w:t>升压站职工食堂就餐人数6人，食堂基准灶台2个，使用电或液化气为燃</w:t>
            </w:r>
            <w:r>
              <w:rPr>
                <w:spacing w:val="-1"/>
                <w:sz w:val="24"/>
                <w:szCs w:val="24"/>
              </w:rPr>
              <w:t>料，</w:t>
            </w:r>
            <w:r>
              <w:rPr>
                <w:sz w:val="24"/>
                <w:szCs w:val="24"/>
              </w:rPr>
              <w:t xml:space="preserve"> 不燃煤。对照《饮食业油烟排放标准》(GB18483-2001),食堂规模属于小型。</w:t>
            </w:r>
          </w:p>
          <w:p w14:paraId="5571DA0F">
            <w:pPr>
              <w:pStyle w:val="6"/>
              <w:spacing w:before="9" w:line="365" w:lineRule="auto"/>
              <w:ind w:left="91" w:right="160" w:firstLine="60"/>
              <w:rPr>
                <w:sz w:val="24"/>
                <w:szCs w:val="24"/>
              </w:rPr>
            </w:pPr>
            <w:r>
              <w:rPr>
                <w:sz w:val="24"/>
                <w:szCs w:val="24"/>
              </w:rPr>
              <w:t>根据类比调查和有关资料显示，每人每天食用油耗量约为30g,在烹饪时油烟挥</w:t>
            </w:r>
            <w:r>
              <w:rPr>
                <w:spacing w:val="9"/>
                <w:sz w:val="24"/>
                <w:szCs w:val="24"/>
              </w:rPr>
              <w:t xml:space="preserve"> </w:t>
            </w:r>
            <w:r>
              <w:rPr>
                <w:sz w:val="24"/>
                <w:szCs w:val="24"/>
              </w:rPr>
              <w:t>发量约3%。本工程食堂每天烹饪时间3h,并加装</w:t>
            </w:r>
            <w:r>
              <w:rPr>
                <w:spacing w:val="-1"/>
                <w:sz w:val="24"/>
                <w:szCs w:val="24"/>
              </w:rPr>
              <w:t>油烟净化器，净化效率达60%</w:t>
            </w:r>
          </w:p>
          <w:p w14:paraId="6A307D72">
            <w:pPr>
              <w:pStyle w:val="6"/>
              <w:spacing w:before="2" w:line="335" w:lineRule="auto"/>
              <w:ind w:left="31" w:firstLine="59"/>
              <w:rPr>
                <w:sz w:val="24"/>
                <w:szCs w:val="24"/>
              </w:rPr>
            </w:pPr>
            <w:r>
              <w:rPr>
                <w:spacing w:val="5"/>
                <w:sz w:val="24"/>
                <w:szCs w:val="24"/>
              </w:rPr>
              <w:t>以上，排风量按1200m³/h,则油烟产生量约为5.4g/d,产生浓度约为2.5</w:t>
            </w:r>
            <w:r>
              <w:rPr>
                <w:sz w:val="24"/>
                <w:szCs w:val="24"/>
              </w:rPr>
              <w:t>mg</w:t>
            </w:r>
            <w:r>
              <w:rPr>
                <w:spacing w:val="5"/>
                <w:sz w:val="24"/>
                <w:szCs w:val="24"/>
              </w:rPr>
              <w:t>/m³。</w:t>
            </w:r>
            <w:r>
              <w:rPr>
                <w:spacing w:val="10"/>
                <w:sz w:val="24"/>
                <w:szCs w:val="24"/>
              </w:rPr>
              <w:t xml:space="preserve"> </w:t>
            </w:r>
            <w:r>
              <w:rPr>
                <w:sz w:val="24"/>
                <w:szCs w:val="24"/>
              </w:rPr>
              <w:t>食堂油烟经高效油烟处理装置净化后，引至楼顶排放，经处理后的油烟排放浓度</w:t>
            </w:r>
          </w:p>
        </w:tc>
      </w:tr>
    </w:tbl>
    <w:p w14:paraId="235928D8">
      <w:pPr>
        <w:pStyle w:val="2"/>
      </w:pPr>
    </w:p>
    <w:p w14:paraId="52B4DCD6">
      <w:pPr>
        <w:sectPr>
          <w:footerReference r:id="rId163" w:type="default"/>
          <w:pgSz w:w="11910" w:h="16830"/>
          <w:pgMar w:top="400" w:right="1267" w:bottom="1259" w:left="1234" w:header="0" w:footer="1079" w:gutter="0"/>
          <w:cols w:space="720" w:num="1"/>
        </w:sectPr>
      </w:pPr>
      <w:bookmarkStart w:id="12" w:name="_GoBack"/>
      <w:bookmarkEnd w:id="12"/>
    </w:p>
    <w:p w14:paraId="619C3A18">
      <w:pPr>
        <w:spacing w:before="18"/>
      </w:pPr>
    </w:p>
    <w:p w14:paraId="2AE86A69">
      <w:pPr>
        <w:spacing w:before="17"/>
      </w:pPr>
    </w:p>
    <w:p w14:paraId="6D68A968">
      <w:pPr>
        <w:spacing w:before="17"/>
      </w:pPr>
    </w:p>
    <w:p w14:paraId="123D2B4E">
      <w:pPr>
        <w:spacing w:before="17"/>
      </w:pPr>
    </w:p>
    <w:tbl>
      <w:tblPr>
        <w:tblStyle w:val="5"/>
        <w:tblW w:w="930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180"/>
        <w:gridCol w:w="310"/>
        <w:gridCol w:w="160"/>
        <w:gridCol w:w="340"/>
        <w:gridCol w:w="949"/>
        <w:gridCol w:w="479"/>
        <w:gridCol w:w="240"/>
        <w:gridCol w:w="420"/>
        <w:gridCol w:w="639"/>
        <w:gridCol w:w="579"/>
        <w:gridCol w:w="479"/>
        <w:gridCol w:w="719"/>
        <w:gridCol w:w="529"/>
        <w:gridCol w:w="729"/>
        <w:gridCol w:w="350"/>
        <w:gridCol w:w="260"/>
        <w:gridCol w:w="330"/>
        <w:gridCol w:w="609"/>
        <w:gridCol w:w="148"/>
      </w:tblGrid>
      <w:tr w14:paraId="2011C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1" w:hRule="atLeast"/>
        </w:trPr>
        <w:tc>
          <w:tcPr>
            <w:tcW w:w="854" w:type="dxa"/>
            <w:vMerge w:val="restart"/>
            <w:tcBorders>
              <w:bottom w:val="nil"/>
            </w:tcBorders>
            <w:vAlign w:val="top"/>
          </w:tcPr>
          <w:p w14:paraId="35F6E0F3">
            <w:pPr>
              <w:rPr>
                <w:rFonts w:ascii="Arial"/>
                <w:sz w:val="21"/>
              </w:rPr>
            </w:pPr>
          </w:p>
        </w:tc>
        <w:tc>
          <w:tcPr>
            <w:tcW w:w="8449" w:type="dxa"/>
            <w:gridSpan w:val="19"/>
            <w:vAlign w:val="top"/>
          </w:tcPr>
          <w:p w14:paraId="35F97EC5">
            <w:pPr>
              <w:pStyle w:val="6"/>
              <w:spacing w:before="27" w:line="353" w:lineRule="auto"/>
              <w:ind w:left="81" w:right="208" w:hanging="20"/>
              <w:rPr>
                <w:sz w:val="24"/>
                <w:szCs w:val="24"/>
              </w:rPr>
            </w:pPr>
            <w:r>
              <w:rPr>
                <w:spacing w:val="3"/>
                <w:sz w:val="24"/>
                <w:szCs w:val="24"/>
              </w:rPr>
              <w:t>约为0.6</w:t>
            </w:r>
            <w:r>
              <w:rPr>
                <w:sz w:val="24"/>
                <w:szCs w:val="24"/>
              </w:rPr>
              <w:t>mg</w:t>
            </w:r>
            <w:r>
              <w:rPr>
                <w:spacing w:val="3"/>
                <w:sz w:val="24"/>
                <w:szCs w:val="24"/>
              </w:rPr>
              <w:t>/m³,油烟排放量约为2.16g/d;其排放浓度满足《饮食业油烟排放标</w:t>
            </w:r>
            <w:r>
              <w:rPr>
                <w:spacing w:val="8"/>
                <w:sz w:val="24"/>
                <w:szCs w:val="24"/>
              </w:rPr>
              <w:t xml:space="preserve"> </w:t>
            </w:r>
            <w:r>
              <w:rPr>
                <w:spacing w:val="3"/>
                <w:sz w:val="24"/>
                <w:szCs w:val="24"/>
              </w:rPr>
              <w:t>准》(</w:t>
            </w:r>
            <w:r>
              <w:rPr>
                <w:sz w:val="24"/>
                <w:szCs w:val="24"/>
              </w:rPr>
              <w:t>GB</w:t>
            </w:r>
            <w:r>
              <w:rPr>
                <w:spacing w:val="3"/>
                <w:sz w:val="24"/>
                <w:szCs w:val="24"/>
              </w:rPr>
              <w:t>18483-2001)表2小型标准的要求，即油烟排放浓度≤2.0</w:t>
            </w:r>
            <w:r>
              <w:rPr>
                <w:sz w:val="24"/>
                <w:szCs w:val="24"/>
              </w:rPr>
              <w:t>mg</w:t>
            </w:r>
            <w:r>
              <w:rPr>
                <w:spacing w:val="3"/>
                <w:sz w:val="24"/>
                <w:szCs w:val="24"/>
              </w:rPr>
              <w:t>/m³。对</w:t>
            </w:r>
          </w:p>
          <w:p w14:paraId="0C472267">
            <w:pPr>
              <w:pStyle w:val="6"/>
              <w:spacing w:before="10" w:line="220" w:lineRule="auto"/>
              <w:ind w:left="91"/>
              <w:rPr>
                <w:sz w:val="24"/>
                <w:szCs w:val="24"/>
              </w:rPr>
            </w:pPr>
            <w:r>
              <w:rPr>
                <w:spacing w:val="-1"/>
                <w:sz w:val="24"/>
                <w:szCs w:val="24"/>
              </w:rPr>
              <w:t>周围环境影响可接受。</w:t>
            </w:r>
          </w:p>
          <w:p w14:paraId="67EB9255">
            <w:pPr>
              <w:pStyle w:val="6"/>
              <w:spacing w:before="180" w:line="220" w:lineRule="auto"/>
              <w:ind w:left="54"/>
              <w:rPr>
                <w:sz w:val="24"/>
                <w:szCs w:val="24"/>
              </w:rPr>
            </w:pPr>
            <w:r>
              <w:rPr>
                <w:b/>
                <w:bCs/>
                <w:spacing w:val="-5"/>
                <w:sz w:val="24"/>
                <w:szCs w:val="24"/>
              </w:rPr>
              <w:t>5声环境影响分析</w:t>
            </w:r>
          </w:p>
          <w:p w14:paraId="751BE3F7">
            <w:pPr>
              <w:pStyle w:val="6"/>
              <w:spacing w:before="183" w:line="219" w:lineRule="auto"/>
              <w:ind w:left="44"/>
              <w:rPr>
                <w:sz w:val="24"/>
                <w:szCs w:val="24"/>
              </w:rPr>
            </w:pPr>
            <w:r>
              <w:rPr>
                <w:b/>
                <w:bCs/>
                <w:spacing w:val="-4"/>
                <w:sz w:val="24"/>
                <w:szCs w:val="24"/>
              </w:rPr>
              <w:t>5.1噪声来源及源强</w:t>
            </w:r>
          </w:p>
          <w:p w14:paraId="4B141828">
            <w:pPr>
              <w:pStyle w:val="6"/>
              <w:spacing w:before="173" w:line="219" w:lineRule="auto"/>
              <w:ind w:left="44"/>
              <w:rPr>
                <w:sz w:val="24"/>
                <w:szCs w:val="24"/>
              </w:rPr>
            </w:pPr>
            <w:r>
              <w:rPr>
                <w:b/>
                <w:bCs/>
                <w:spacing w:val="-1"/>
                <w:sz w:val="24"/>
                <w:szCs w:val="24"/>
              </w:rPr>
              <w:t>5.1.1光伏场区</w:t>
            </w:r>
          </w:p>
          <w:p w14:paraId="7FED37BE">
            <w:pPr>
              <w:pStyle w:val="6"/>
              <w:spacing w:before="209" w:line="219" w:lineRule="auto"/>
              <w:ind w:left="531"/>
              <w:rPr>
                <w:sz w:val="24"/>
                <w:szCs w:val="24"/>
              </w:rPr>
            </w:pPr>
            <w:r>
              <w:rPr>
                <w:sz w:val="24"/>
                <w:szCs w:val="24"/>
              </w:rPr>
              <w:t>光伏发电本身没有机械传动机构或运动部件，</w:t>
            </w:r>
            <w:r>
              <w:rPr>
                <w:spacing w:val="-1"/>
                <w:sz w:val="24"/>
                <w:szCs w:val="24"/>
              </w:rPr>
              <w:t>在太阳能转变成电能的过程</w:t>
            </w:r>
          </w:p>
          <w:p w14:paraId="653BA5D2">
            <w:pPr>
              <w:pStyle w:val="6"/>
              <w:spacing w:before="167" w:line="356" w:lineRule="auto"/>
              <w:ind w:left="71" w:firstLine="9"/>
              <w:rPr>
                <w:sz w:val="24"/>
                <w:szCs w:val="24"/>
              </w:rPr>
            </w:pPr>
            <w:r>
              <w:rPr>
                <w:spacing w:val="-1"/>
                <w:sz w:val="24"/>
                <w:szCs w:val="24"/>
              </w:rPr>
              <w:t>中，光伏场区噪音主要是通过逆变器将直流电转换为交流电</w:t>
            </w:r>
            <w:r>
              <w:rPr>
                <w:spacing w:val="-2"/>
                <w:sz w:val="24"/>
                <w:szCs w:val="24"/>
              </w:rPr>
              <w:t>过程中产生的噪声以</w:t>
            </w:r>
            <w:r>
              <w:rPr>
                <w:sz w:val="24"/>
                <w:szCs w:val="24"/>
              </w:rPr>
              <w:t xml:space="preserve"> 及项目箱变产生的噪声，逆变器1m处噪声</w:t>
            </w:r>
            <w:r>
              <w:rPr>
                <w:spacing w:val="-1"/>
                <w:sz w:val="24"/>
                <w:szCs w:val="24"/>
              </w:rPr>
              <w:t>级一般在65dB(A)左右，箱变1m处</w:t>
            </w:r>
          </w:p>
          <w:p w14:paraId="74AEC12A">
            <w:pPr>
              <w:pStyle w:val="6"/>
              <w:spacing w:before="3" w:line="355" w:lineRule="auto"/>
              <w:ind w:left="61" w:right="73" w:firstLine="10"/>
              <w:jc w:val="both"/>
              <w:rPr>
                <w:sz w:val="24"/>
                <w:szCs w:val="24"/>
              </w:rPr>
            </w:pPr>
            <w:r>
              <w:rPr>
                <w:sz w:val="24"/>
                <w:szCs w:val="24"/>
              </w:rPr>
              <w:t>噪声级一般在70dB(A)左右。逆变器及箱变均设置在隔声箱内，经隔声后，因密</w:t>
            </w:r>
            <w:r>
              <w:rPr>
                <w:spacing w:val="13"/>
                <w:sz w:val="24"/>
                <w:szCs w:val="24"/>
              </w:rPr>
              <w:t xml:space="preserve"> </w:t>
            </w:r>
            <w:r>
              <w:rPr>
                <w:sz w:val="24"/>
                <w:szCs w:val="24"/>
              </w:rPr>
              <w:t>闭性较好，经衰减后箱外平均可衰减5~10dB(A)。以上设备产生的噪声对人员活</w:t>
            </w:r>
            <w:r>
              <w:rPr>
                <w:spacing w:val="18"/>
                <w:sz w:val="24"/>
                <w:szCs w:val="24"/>
              </w:rPr>
              <w:t xml:space="preserve"> </w:t>
            </w:r>
            <w:r>
              <w:rPr>
                <w:sz w:val="24"/>
                <w:szCs w:val="24"/>
              </w:rPr>
              <w:t>动产生的影响小。项目光伏区上述设备噪声源强见表4-13。</w:t>
            </w:r>
          </w:p>
          <w:p w14:paraId="4F351D44">
            <w:pPr>
              <w:pStyle w:val="6"/>
              <w:spacing w:before="34" w:line="191" w:lineRule="auto"/>
              <w:ind w:left="1494"/>
              <w:rPr>
                <w:sz w:val="24"/>
                <w:szCs w:val="24"/>
              </w:rPr>
            </w:pPr>
            <w:r>
              <w:rPr>
                <w:b/>
                <w:bCs/>
                <w:spacing w:val="-3"/>
                <w:sz w:val="24"/>
                <w:szCs w:val="24"/>
              </w:rPr>
              <w:t>表4-13</w:t>
            </w:r>
            <w:r>
              <w:rPr>
                <w:spacing w:val="-3"/>
                <w:sz w:val="24"/>
                <w:szCs w:val="24"/>
              </w:rPr>
              <w:t xml:space="preserve">  </w:t>
            </w:r>
            <w:r>
              <w:rPr>
                <w:b/>
                <w:bCs/>
                <w:spacing w:val="-3"/>
                <w:sz w:val="24"/>
                <w:szCs w:val="24"/>
              </w:rPr>
              <w:t>项目箱式变压器、逆变器噪声源强一览表</w:t>
            </w:r>
          </w:p>
        </w:tc>
      </w:tr>
      <w:tr w14:paraId="64B40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54" w:type="dxa"/>
            <w:vMerge w:val="continue"/>
            <w:tcBorders>
              <w:top w:val="nil"/>
              <w:bottom w:val="nil"/>
            </w:tcBorders>
            <w:vAlign w:val="top"/>
          </w:tcPr>
          <w:p w14:paraId="2245D6AA">
            <w:pPr>
              <w:rPr>
                <w:rFonts w:ascii="Arial"/>
                <w:sz w:val="21"/>
              </w:rPr>
            </w:pPr>
          </w:p>
        </w:tc>
        <w:tc>
          <w:tcPr>
            <w:tcW w:w="490" w:type="dxa"/>
            <w:gridSpan w:val="2"/>
            <w:textDirection w:val="tbRlV"/>
            <w:vAlign w:val="top"/>
          </w:tcPr>
          <w:p w14:paraId="48432074">
            <w:pPr>
              <w:pStyle w:val="6"/>
              <w:spacing w:before="143" w:line="199" w:lineRule="auto"/>
              <w:ind w:left="21"/>
              <w:rPr>
                <w:sz w:val="24"/>
                <w:szCs w:val="24"/>
              </w:rPr>
            </w:pPr>
            <w:r>
              <w:rPr>
                <w:sz w:val="24"/>
                <w:szCs w:val="24"/>
              </w:rPr>
              <w:t>序号</w:t>
            </w:r>
          </w:p>
        </w:tc>
        <w:tc>
          <w:tcPr>
            <w:tcW w:w="1449" w:type="dxa"/>
            <w:gridSpan w:val="3"/>
            <w:vAlign w:val="top"/>
          </w:tcPr>
          <w:p w14:paraId="051AC9ED">
            <w:pPr>
              <w:pStyle w:val="6"/>
              <w:spacing w:before="43" w:line="195" w:lineRule="auto"/>
              <w:ind w:left="230" w:right="116" w:hanging="119"/>
              <w:rPr>
                <w:sz w:val="24"/>
                <w:szCs w:val="24"/>
              </w:rPr>
            </w:pPr>
            <w:r>
              <w:rPr>
                <w:spacing w:val="2"/>
                <w:sz w:val="24"/>
                <w:szCs w:val="24"/>
              </w:rPr>
              <w:t>主要产噪设</w:t>
            </w:r>
            <w:r>
              <w:rPr>
                <w:sz w:val="24"/>
                <w:szCs w:val="24"/>
              </w:rPr>
              <w:t xml:space="preserve"> </w:t>
            </w:r>
            <w:r>
              <w:rPr>
                <w:spacing w:val="3"/>
                <w:sz w:val="24"/>
                <w:szCs w:val="24"/>
              </w:rPr>
              <w:t>备及型号</w:t>
            </w:r>
          </w:p>
        </w:tc>
        <w:tc>
          <w:tcPr>
            <w:tcW w:w="719" w:type="dxa"/>
            <w:gridSpan w:val="2"/>
            <w:vAlign w:val="top"/>
          </w:tcPr>
          <w:p w14:paraId="286C279D">
            <w:pPr>
              <w:pStyle w:val="6"/>
              <w:spacing w:before="164" w:line="219" w:lineRule="auto"/>
              <w:ind w:left="111"/>
              <w:rPr>
                <w:sz w:val="24"/>
                <w:szCs w:val="24"/>
              </w:rPr>
            </w:pPr>
            <w:r>
              <w:rPr>
                <w:spacing w:val="7"/>
                <w:sz w:val="24"/>
                <w:szCs w:val="24"/>
              </w:rPr>
              <w:t>类型</w:t>
            </w:r>
          </w:p>
        </w:tc>
        <w:tc>
          <w:tcPr>
            <w:tcW w:w="1059" w:type="dxa"/>
            <w:gridSpan w:val="2"/>
            <w:vAlign w:val="top"/>
          </w:tcPr>
          <w:p w14:paraId="44E23B39">
            <w:pPr>
              <w:pStyle w:val="6"/>
              <w:spacing w:before="32" w:line="199" w:lineRule="auto"/>
              <w:ind w:left="222" w:right="33" w:hanging="179"/>
              <w:rPr>
                <w:sz w:val="24"/>
                <w:szCs w:val="24"/>
              </w:rPr>
            </w:pPr>
            <w:r>
              <w:rPr>
                <w:spacing w:val="3"/>
                <w:sz w:val="24"/>
                <w:szCs w:val="24"/>
              </w:rPr>
              <w:t>产生源强</w:t>
            </w:r>
            <w:r>
              <w:rPr>
                <w:sz w:val="24"/>
                <w:szCs w:val="24"/>
              </w:rPr>
              <w:t xml:space="preserve"> </w:t>
            </w:r>
            <w:r>
              <w:rPr>
                <w:spacing w:val="-3"/>
                <w:sz w:val="24"/>
                <w:szCs w:val="24"/>
              </w:rPr>
              <w:t>dB(A)</w:t>
            </w:r>
          </w:p>
        </w:tc>
        <w:tc>
          <w:tcPr>
            <w:tcW w:w="1777" w:type="dxa"/>
            <w:gridSpan w:val="3"/>
            <w:vAlign w:val="top"/>
          </w:tcPr>
          <w:p w14:paraId="6EC6A113">
            <w:pPr>
              <w:pStyle w:val="6"/>
              <w:spacing w:before="165" w:line="221" w:lineRule="auto"/>
              <w:ind w:left="644"/>
              <w:rPr>
                <w:sz w:val="24"/>
                <w:szCs w:val="24"/>
              </w:rPr>
            </w:pPr>
            <w:r>
              <w:rPr>
                <w:spacing w:val="-3"/>
                <w:sz w:val="24"/>
                <w:szCs w:val="24"/>
              </w:rPr>
              <w:t>位置</w:t>
            </w:r>
          </w:p>
        </w:tc>
        <w:tc>
          <w:tcPr>
            <w:tcW w:w="1258" w:type="dxa"/>
            <w:gridSpan w:val="2"/>
            <w:vAlign w:val="top"/>
          </w:tcPr>
          <w:p w14:paraId="729EDFFD">
            <w:pPr>
              <w:pStyle w:val="6"/>
              <w:spacing w:before="164" w:line="220" w:lineRule="auto"/>
              <w:jc w:val="right"/>
              <w:rPr>
                <w:sz w:val="24"/>
                <w:szCs w:val="24"/>
              </w:rPr>
            </w:pPr>
            <w:r>
              <w:rPr>
                <w:spacing w:val="-18"/>
                <w:w w:val="92"/>
                <w:sz w:val="24"/>
                <w:szCs w:val="24"/>
              </w:rPr>
              <w:t>声源控制措</w:t>
            </w:r>
            <w:r>
              <w:rPr>
                <w:spacing w:val="-12"/>
                <w:w w:val="92"/>
                <w:sz w:val="24"/>
                <w:szCs w:val="24"/>
              </w:rPr>
              <w:t>施</w:t>
            </w:r>
          </w:p>
        </w:tc>
        <w:tc>
          <w:tcPr>
            <w:tcW w:w="940" w:type="dxa"/>
            <w:gridSpan w:val="3"/>
            <w:vAlign w:val="top"/>
          </w:tcPr>
          <w:p w14:paraId="475632ED">
            <w:pPr>
              <w:pStyle w:val="6"/>
              <w:spacing w:before="56" w:line="190" w:lineRule="auto"/>
              <w:ind w:left="28" w:hanging="9"/>
              <w:rPr>
                <w:sz w:val="24"/>
                <w:szCs w:val="24"/>
              </w:rPr>
            </w:pPr>
            <w:r>
              <w:rPr>
                <w:spacing w:val="-13"/>
                <w:sz w:val="24"/>
                <w:szCs w:val="24"/>
              </w:rPr>
              <w:t>排放源强</w:t>
            </w:r>
            <w:r>
              <w:rPr>
                <w:spacing w:val="1"/>
                <w:sz w:val="24"/>
                <w:szCs w:val="24"/>
              </w:rPr>
              <w:t xml:space="preserve"> </w:t>
            </w:r>
            <w:r>
              <w:rPr>
                <w:spacing w:val="-4"/>
                <w:sz w:val="24"/>
                <w:szCs w:val="24"/>
              </w:rPr>
              <w:t>dB(A)</w:t>
            </w:r>
          </w:p>
        </w:tc>
        <w:tc>
          <w:tcPr>
            <w:tcW w:w="757" w:type="dxa"/>
            <w:gridSpan w:val="2"/>
            <w:vAlign w:val="top"/>
          </w:tcPr>
          <w:p w14:paraId="4B8A2287">
            <w:pPr>
              <w:pStyle w:val="6"/>
              <w:spacing w:before="34" w:line="201" w:lineRule="auto"/>
              <w:ind w:left="129"/>
              <w:rPr>
                <w:sz w:val="24"/>
                <w:szCs w:val="24"/>
              </w:rPr>
            </w:pPr>
            <w:r>
              <w:rPr>
                <w:spacing w:val="6"/>
                <w:sz w:val="24"/>
                <w:szCs w:val="24"/>
              </w:rPr>
              <w:t>运行</w:t>
            </w:r>
          </w:p>
          <w:p w14:paraId="4D1C58C0">
            <w:pPr>
              <w:pStyle w:val="6"/>
              <w:spacing w:line="195" w:lineRule="auto"/>
              <w:ind w:left="129"/>
              <w:rPr>
                <w:sz w:val="24"/>
                <w:szCs w:val="24"/>
              </w:rPr>
            </w:pPr>
            <w:r>
              <w:rPr>
                <w:spacing w:val="4"/>
                <w:sz w:val="24"/>
                <w:szCs w:val="24"/>
              </w:rPr>
              <w:t>时段</w:t>
            </w:r>
          </w:p>
        </w:tc>
      </w:tr>
      <w:tr w14:paraId="52937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854" w:type="dxa"/>
            <w:vMerge w:val="continue"/>
            <w:tcBorders>
              <w:top w:val="nil"/>
              <w:bottom w:val="nil"/>
            </w:tcBorders>
            <w:vAlign w:val="top"/>
          </w:tcPr>
          <w:p w14:paraId="0C038657">
            <w:pPr>
              <w:rPr>
                <w:rFonts w:ascii="Arial"/>
                <w:sz w:val="21"/>
              </w:rPr>
            </w:pPr>
          </w:p>
        </w:tc>
        <w:tc>
          <w:tcPr>
            <w:tcW w:w="490" w:type="dxa"/>
            <w:gridSpan w:val="2"/>
            <w:vAlign w:val="top"/>
          </w:tcPr>
          <w:p w14:paraId="792B5A2A">
            <w:pPr>
              <w:pStyle w:val="6"/>
              <w:spacing w:before="317" w:line="241" w:lineRule="auto"/>
              <w:ind w:left="170"/>
              <w:rPr>
                <w:sz w:val="24"/>
                <w:szCs w:val="24"/>
              </w:rPr>
            </w:pPr>
            <w:r>
              <w:rPr>
                <w:sz w:val="24"/>
                <w:szCs w:val="24"/>
              </w:rPr>
              <w:t>1</w:t>
            </w:r>
          </w:p>
        </w:tc>
        <w:tc>
          <w:tcPr>
            <w:tcW w:w="1449" w:type="dxa"/>
            <w:gridSpan w:val="3"/>
            <w:vAlign w:val="top"/>
          </w:tcPr>
          <w:p w14:paraId="7D8685E8">
            <w:pPr>
              <w:pStyle w:val="6"/>
              <w:spacing w:before="294" w:line="220" w:lineRule="auto"/>
              <w:ind w:left="111"/>
              <w:rPr>
                <w:sz w:val="24"/>
                <w:szCs w:val="24"/>
              </w:rPr>
            </w:pPr>
            <w:r>
              <w:rPr>
                <w:spacing w:val="2"/>
                <w:sz w:val="24"/>
                <w:szCs w:val="24"/>
              </w:rPr>
              <w:t>箱式变压器</w:t>
            </w:r>
          </w:p>
        </w:tc>
        <w:tc>
          <w:tcPr>
            <w:tcW w:w="719" w:type="dxa"/>
            <w:gridSpan w:val="2"/>
            <w:vMerge w:val="restart"/>
            <w:tcBorders>
              <w:bottom w:val="nil"/>
            </w:tcBorders>
            <w:vAlign w:val="top"/>
          </w:tcPr>
          <w:p w14:paraId="136F2896">
            <w:pPr>
              <w:spacing w:line="256" w:lineRule="auto"/>
              <w:rPr>
                <w:rFonts w:ascii="Arial"/>
                <w:sz w:val="21"/>
              </w:rPr>
            </w:pPr>
          </w:p>
          <w:p w14:paraId="32CD9DF7">
            <w:pPr>
              <w:spacing w:line="257" w:lineRule="auto"/>
              <w:rPr>
                <w:rFonts w:ascii="Arial"/>
                <w:sz w:val="21"/>
              </w:rPr>
            </w:pPr>
          </w:p>
          <w:p w14:paraId="70903660">
            <w:pPr>
              <w:pStyle w:val="6"/>
              <w:spacing w:before="78" w:line="192" w:lineRule="auto"/>
              <w:ind w:left="111"/>
              <w:rPr>
                <w:sz w:val="24"/>
                <w:szCs w:val="24"/>
              </w:rPr>
            </w:pPr>
            <w:r>
              <w:rPr>
                <w:spacing w:val="7"/>
                <w:sz w:val="24"/>
                <w:szCs w:val="24"/>
              </w:rPr>
              <w:t>固定</w:t>
            </w:r>
          </w:p>
          <w:p w14:paraId="4EEBA047">
            <w:pPr>
              <w:pStyle w:val="6"/>
              <w:spacing w:line="220" w:lineRule="auto"/>
              <w:ind w:left="111"/>
              <w:rPr>
                <w:sz w:val="24"/>
                <w:szCs w:val="24"/>
              </w:rPr>
            </w:pPr>
            <w:r>
              <w:rPr>
                <w:spacing w:val="5"/>
                <w:sz w:val="24"/>
                <w:szCs w:val="24"/>
              </w:rPr>
              <w:t>声源</w:t>
            </w:r>
          </w:p>
        </w:tc>
        <w:tc>
          <w:tcPr>
            <w:tcW w:w="1059" w:type="dxa"/>
            <w:gridSpan w:val="2"/>
            <w:vAlign w:val="top"/>
          </w:tcPr>
          <w:p w14:paraId="6A029699">
            <w:pPr>
              <w:pStyle w:val="6"/>
              <w:spacing w:before="317"/>
              <w:ind w:left="403"/>
              <w:rPr>
                <w:sz w:val="24"/>
                <w:szCs w:val="24"/>
              </w:rPr>
            </w:pPr>
            <w:r>
              <w:rPr>
                <w:spacing w:val="-4"/>
                <w:sz w:val="24"/>
                <w:szCs w:val="24"/>
              </w:rPr>
              <w:t>70</w:t>
            </w:r>
          </w:p>
        </w:tc>
        <w:tc>
          <w:tcPr>
            <w:tcW w:w="1777" w:type="dxa"/>
            <w:gridSpan w:val="3"/>
            <w:vAlign w:val="top"/>
          </w:tcPr>
          <w:p w14:paraId="632D535E">
            <w:pPr>
              <w:pStyle w:val="6"/>
              <w:spacing w:before="292" w:line="219" w:lineRule="auto"/>
              <w:ind w:left="283"/>
              <w:rPr>
                <w:sz w:val="24"/>
                <w:szCs w:val="24"/>
              </w:rPr>
            </w:pPr>
            <w:r>
              <w:rPr>
                <w:spacing w:val="5"/>
                <w:sz w:val="24"/>
                <w:szCs w:val="24"/>
              </w:rPr>
              <w:t>光伏阵列中</w:t>
            </w:r>
          </w:p>
        </w:tc>
        <w:tc>
          <w:tcPr>
            <w:tcW w:w="1258" w:type="dxa"/>
            <w:gridSpan w:val="2"/>
            <w:vAlign w:val="top"/>
          </w:tcPr>
          <w:p w14:paraId="12193977">
            <w:pPr>
              <w:pStyle w:val="6"/>
              <w:spacing w:before="54" w:line="192" w:lineRule="auto"/>
              <w:jc w:val="right"/>
              <w:rPr>
                <w:sz w:val="24"/>
                <w:szCs w:val="24"/>
              </w:rPr>
            </w:pPr>
            <w:r>
              <w:rPr>
                <w:spacing w:val="-27"/>
                <w:w w:val="96"/>
                <w:sz w:val="24"/>
                <w:szCs w:val="24"/>
              </w:rPr>
              <w:t>低噪声设备、</w:t>
            </w:r>
          </w:p>
          <w:p w14:paraId="00EDB135">
            <w:pPr>
              <w:pStyle w:val="6"/>
              <w:spacing w:line="192" w:lineRule="auto"/>
              <w:jc w:val="right"/>
              <w:rPr>
                <w:sz w:val="24"/>
                <w:szCs w:val="24"/>
              </w:rPr>
            </w:pPr>
            <w:r>
              <w:rPr>
                <w:spacing w:val="-32"/>
                <w:w w:val="97"/>
                <w:sz w:val="24"/>
                <w:szCs w:val="24"/>
              </w:rPr>
              <w:t>隔声</w:t>
            </w:r>
            <w:r>
              <w:rPr>
                <w:spacing w:val="-31"/>
                <w:w w:val="97"/>
                <w:sz w:val="24"/>
                <w:szCs w:val="24"/>
              </w:rPr>
              <w:t>箱、减</w:t>
            </w:r>
            <w:r>
              <w:rPr>
                <w:spacing w:val="-11"/>
                <w:w w:val="97"/>
                <w:sz w:val="24"/>
                <w:szCs w:val="24"/>
              </w:rPr>
              <w:t>振</w:t>
            </w:r>
          </w:p>
          <w:p w14:paraId="5FBE3E3B">
            <w:pPr>
              <w:pStyle w:val="6"/>
              <w:spacing w:before="1" w:line="187" w:lineRule="auto"/>
              <w:ind w:left="386"/>
              <w:rPr>
                <w:sz w:val="24"/>
                <w:szCs w:val="24"/>
              </w:rPr>
            </w:pPr>
            <w:r>
              <w:rPr>
                <w:spacing w:val="5"/>
                <w:sz w:val="24"/>
                <w:szCs w:val="24"/>
              </w:rPr>
              <w:t>措施</w:t>
            </w:r>
          </w:p>
        </w:tc>
        <w:tc>
          <w:tcPr>
            <w:tcW w:w="940" w:type="dxa"/>
            <w:gridSpan w:val="3"/>
            <w:vAlign w:val="top"/>
          </w:tcPr>
          <w:p w14:paraId="53E94F6E">
            <w:pPr>
              <w:pStyle w:val="6"/>
              <w:spacing w:before="317"/>
              <w:ind w:left="349"/>
              <w:rPr>
                <w:sz w:val="24"/>
                <w:szCs w:val="24"/>
              </w:rPr>
            </w:pPr>
            <w:r>
              <w:rPr>
                <w:spacing w:val="-3"/>
                <w:sz w:val="24"/>
                <w:szCs w:val="24"/>
              </w:rPr>
              <w:t>65</w:t>
            </w:r>
          </w:p>
        </w:tc>
        <w:tc>
          <w:tcPr>
            <w:tcW w:w="757" w:type="dxa"/>
            <w:gridSpan w:val="2"/>
            <w:vMerge w:val="restart"/>
            <w:tcBorders>
              <w:bottom w:val="nil"/>
            </w:tcBorders>
            <w:vAlign w:val="top"/>
          </w:tcPr>
          <w:p w14:paraId="33E9DD78">
            <w:pPr>
              <w:spacing w:line="322" w:lineRule="auto"/>
              <w:rPr>
                <w:rFonts w:ascii="Arial"/>
                <w:sz w:val="21"/>
              </w:rPr>
            </w:pPr>
          </w:p>
          <w:p w14:paraId="18697E37">
            <w:pPr>
              <w:spacing w:line="323" w:lineRule="auto"/>
              <w:rPr>
                <w:rFonts w:ascii="Arial"/>
                <w:sz w:val="21"/>
              </w:rPr>
            </w:pPr>
          </w:p>
          <w:p w14:paraId="59695546">
            <w:pPr>
              <w:pStyle w:val="6"/>
              <w:spacing w:before="78" w:line="241" w:lineRule="auto"/>
              <w:ind w:left="189"/>
              <w:rPr>
                <w:sz w:val="24"/>
                <w:szCs w:val="24"/>
              </w:rPr>
            </w:pPr>
            <w:r>
              <w:rPr>
                <w:spacing w:val="-3"/>
                <w:sz w:val="24"/>
                <w:szCs w:val="24"/>
              </w:rPr>
              <w:t>24h</w:t>
            </w:r>
          </w:p>
        </w:tc>
      </w:tr>
      <w:tr w14:paraId="34F4F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854" w:type="dxa"/>
            <w:vMerge w:val="continue"/>
            <w:tcBorders>
              <w:top w:val="nil"/>
              <w:bottom w:val="nil"/>
            </w:tcBorders>
            <w:vAlign w:val="top"/>
          </w:tcPr>
          <w:p w14:paraId="116E8EE0">
            <w:pPr>
              <w:rPr>
                <w:rFonts w:ascii="Arial"/>
                <w:sz w:val="21"/>
              </w:rPr>
            </w:pPr>
          </w:p>
        </w:tc>
        <w:tc>
          <w:tcPr>
            <w:tcW w:w="490" w:type="dxa"/>
            <w:gridSpan w:val="2"/>
            <w:vAlign w:val="top"/>
          </w:tcPr>
          <w:p w14:paraId="3A6C2E4F">
            <w:pPr>
              <w:pStyle w:val="6"/>
              <w:spacing w:before="318" w:line="241" w:lineRule="auto"/>
              <w:ind w:left="170"/>
              <w:rPr>
                <w:sz w:val="24"/>
                <w:szCs w:val="24"/>
              </w:rPr>
            </w:pPr>
            <w:r>
              <w:rPr>
                <w:sz w:val="24"/>
                <w:szCs w:val="24"/>
              </w:rPr>
              <w:t>2</w:t>
            </w:r>
          </w:p>
        </w:tc>
        <w:tc>
          <w:tcPr>
            <w:tcW w:w="1449" w:type="dxa"/>
            <w:gridSpan w:val="3"/>
            <w:vAlign w:val="top"/>
          </w:tcPr>
          <w:p w14:paraId="4A8CCA83">
            <w:pPr>
              <w:pStyle w:val="6"/>
              <w:spacing w:before="295" w:line="220" w:lineRule="auto"/>
              <w:jc w:val="right"/>
              <w:rPr>
                <w:sz w:val="24"/>
                <w:szCs w:val="24"/>
              </w:rPr>
            </w:pPr>
            <w:r>
              <w:rPr>
                <w:spacing w:val="-3"/>
                <w:sz w:val="24"/>
                <w:szCs w:val="24"/>
              </w:rPr>
              <w:t>组串式逆变器</w:t>
            </w:r>
          </w:p>
        </w:tc>
        <w:tc>
          <w:tcPr>
            <w:tcW w:w="719" w:type="dxa"/>
            <w:gridSpan w:val="2"/>
            <w:vMerge w:val="continue"/>
            <w:tcBorders>
              <w:top w:val="nil"/>
            </w:tcBorders>
            <w:vAlign w:val="top"/>
          </w:tcPr>
          <w:p w14:paraId="308BC75E">
            <w:pPr>
              <w:rPr>
                <w:rFonts w:ascii="Arial"/>
                <w:sz w:val="21"/>
              </w:rPr>
            </w:pPr>
          </w:p>
        </w:tc>
        <w:tc>
          <w:tcPr>
            <w:tcW w:w="1059" w:type="dxa"/>
            <w:gridSpan w:val="2"/>
            <w:vAlign w:val="top"/>
          </w:tcPr>
          <w:p w14:paraId="164A1BF7">
            <w:pPr>
              <w:pStyle w:val="6"/>
              <w:spacing w:before="318"/>
              <w:ind w:left="403"/>
              <w:rPr>
                <w:sz w:val="24"/>
                <w:szCs w:val="24"/>
              </w:rPr>
            </w:pPr>
            <w:r>
              <w:rPr>
                <w:spacing w:val="-3"/>
                <w:sz w:val="24"/>
                <w:szCs w:val="24"/>
              </w:rPr>
              <w:t>65</w:t>
            </w:r>
          </w:p>
        </w:tc>
        <w:tc>
          <w:tcPr>
            <w:tcW w:w="1777" w:type="dxa"/>
            <w:gridSpan w:val="3"/>
            <w:vAlign w:val="top"/>
          </w:tcPr>
          <w:p w14:paraId="012A683C">
            <w:pPr>
              <w:pStyle w:val="6"/>
              <w:spacing w:before="293" w:line="219" w:lineRule="auto"/>
              <w:ind w:left="283"/>
              <w:rPr>
                <w:sz w:val="24"/>
                <w:szCs w:val="24"/>
              </w:rPr>
            </w:pPr>
            <w:r>
              <w:rPr>
                <w:spacing w:val="5"/>
                <w:sz w:val="24"/>
                <w:szCs w:val="24"/>
              </w:rPr>
              <w:t>光伏阵列中</w:t>
            </w:r>
          </w:p>
        </w:tc>
        <w:tc>
          <w:tcPr>
            <w:tcW w:w="1258" w:type="dxa"/>
            <w:gridSpan w:val="2"/>
            <w:vAlign w:val="top"/>
          </w:tcPr>
          <w:p w14:paraId="31983F24">
            <w:pPr>
              <w:pStyle w:val="6"/>
              <w:spacing w:before="45" w:line="192" w:lineRule="auto"/>
              <w:jc w:val="right"/>
              <w:rPr>
                <w:sz w:val="24"/>
                <w:szCs w:val="24"/>
              </w:rPr>
            </w:pPr>
            <w:r>
              <w:rPr>
                <w:spacing w:val="-27"/>
                <w:w w:val="96"/>
                <w:sz w:val="24"/>
                <w:szCs w:val="24"/>
              </w:rPr>
              <w:t>低噪声设备、</w:t>
            </w:r>
          </w:p>
          <w:p w14:paraId="28CDBF74">
            <w:pPr>
              <w:pStyle w:val="6"/>
              <w:spacing w:line="192" w:lineRule="auto"/>
              <w:jc w:val="right"/>
              <w:rPr>
                <w:sz w:val="24"/>
                <w:szCs w:val="24"/>
              </w:rPr>
            </w:pPr>
            <w:r>
              <w:rPr>
                <w:spacing w:val="-32"/>
                <w:w w:val="97"/>
                <w:sz w:val="24"/>
                <w:szCs w:val="24"/>
              </w:rPr>
              <w:t>隔声</w:t>
            </w:r>
            <w:r>
              <w:rPr>
                <w:spacing w:val="-31"/>
                <w:w w:val="97"/>
                <w:sz w:val="24"/>
                <w:szCs w:val="24"/>
              </w:rPr>
              <w:t>箱、减</w:t>
            </w:r>
            <w:r>
              <w:rPr>
                <w:spacing w:val="-11"/>
                <w:w w:val="97"/>
                <w:sz w:val="24"/>
                <w:szCs w:val="24"/>
              </w:rPr>
              <w:t>振</w:t>
            </w:r>
          </w:p>
          <w:p w14:paraId="6E2C35BF">
            <w:pPr>
              <w:pStyle w:val="6"/>
              <w:spacing w:before="1" w:line="194" w:lineRule="auto"/>
              <w:ind w:left="386"/>
              <w:rPr>
                <w:sz w:val="24"/>
                <w:szCs w:val="24"/>
              </w:rPr>
            </w:pPr>
            <w:r>
              <w:rPr>
                <w:spacing w:val="5"/>
                <w:sz w:val="24"/>
                <w:szCs w:val="24"/>
              </w:rPr>
              <w:t>措施</w:t>
            </w:r>
          </w:p>
        </w:tc>
        <w:tc>
          <w:tcPr>
            <w:tcW w:w="940" w:type="dxa"/>
            <w:gridSpan w:val="3"/>
            <w:vAlign w:val="top"/>
          </w:tcPr>
          <w:p w14:paraId="5E8B48E4">
            <w:pPr>
              <w:pStyle w:val="6"/>
              <w:spacing w:before="318"/>
              <w:ind w:left="349"/>
              <w:rPr>
                <w:sz w:val="24"/>
                <w:szCs w:val="24"/>
              </w:rPr>
            </w:pPr>
            <w:r>
              <w:rPr>
                <w:spacing w:val="-3"/>
                <w:sz w:val="24"/>
                <w:szCs w:val="24"/>
              </w:rPr>
              <w:t>60</w:t>
            </w:r>
          </w:p>
        </w:tc>
        <w:tc>
          <w:tcPr>
            <w:tcW w:w="757" w:type="dxa"/>
            <w:gridSpan w:val="2"/>
            <w:vMerge w:val="continue"/>
            <w:tcBorders>
              <w:top w:val="nil"/>
            </w:tcBorders>
            <w:vAlign w:val="top"/>
          </w:tcPr>
          <w:p w14:paraId="33BE570C">
            <w:pPr>
              <w:rPr>
                <w:rFonts w:ascii="Arial"/>
                <w:sz w:val="21"/>
              </w:rPr>
            </w:pPr>
          </w:p>
        </w:tc>
      </w:tr>
      <w:tr w14:paraId="54ECB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4" w:type="dxa"/>
            <w:vMerge w:val="continue"/>
            <w:tcBorders>
              <w:top w:val="nil"/>
              <w:bottom w:val="nil"/>
            </w:tcBorders>
            <w:vAlign w:val="top"/>
          </w:tcPr>
          <w:p w14:paraId="50FC6362">
            <w:pPr>
              <w:rPr>
                <w:rFonts w:ascii="Arial"/>
                <w:sz w:val="21"/>
              </w:rPr>
            </w:pPr>
          </w:p>
        </w:tc>
        <w:tc>
          <w:tcPr>
            <w:tcW w:w="8449" w:type="dxa"/>
            <w:gridSpan w:val="19"/>
            <w:vAlign w:val="top"/>
          </w:tcPr>
          <w:p w14:paraId="3EEF1EFC">
            <w:pPr>
              <w:pStyle w:val="6"/>
              <w:spacing w:before="51" w:line="191" w:lineRule="auto"/>
              <w:ind w:left="724"/>
              <w:rPr>
                <w:sz w:val="24"/>
                <w:szCs w:val="24"/>
              </w:rPr>
            </w:pPr>
            <w:r>
              <w:rPr>
                <w:b/>
                <w:bCs/>
                <w:spacing w:val="1"/>
                <w:position w:val="-1"/>
                <w:sz w:val="24"/>
                <w:szCs w:val="24"/>
              </w:rPr>
              <w:t>表4-14</w:t>
            </w:r>
            <w:r>
              <w:rPr>
                <w:spacing w:val="1"/>
                <w:position w:val="-1"/>
                <w:sz w:val="24"/>
                <w:szCs w:val="24"/>
              </w:rPr>
              <w:t xml:space="preserve">   </w:t>
            </w:r>
            <w:r>
              <w:rPr>
                <w:b/>
                <w:bCs/>
                <w:spacing w:val="1"/>
                <w:sz w:val="24"/>
                <w:szCs w:val="24"/>
              </w:rPr>
              <w:t>项目光伏场区工业企业噪声源</w:t>
            </w:r>
            <w:r>
              <w:rPr>
                <w:b/>
                <w:bCs/>
                <w:sz w:val="24"/>
                <w:szCs w:val="24"/>
              </w:rPr>
              <w:t>强调查清单(室外声源)</w:t>
            </w:r>
          </w:p>
        </w:tc>
      </w:tr>
      <w:tr w14:paraId="68F35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54" w:type="dxa"/>
            <w:vMerge w:val="continue"/>
            <w:tcBorders>
              <w:top w:val="nil"/>
              <w:bottom w:val="nil"/>
            </w:tcBorders>
            <w:vAlign w:val="top"/>
          </w:tcPr>
          <w:p w14:paraId="3CAA42AF">
            <w:pPr>
              <w:rPr>
                <w:rFonts w:ascii="Arial"/>
                <w:sz w:val="21"/>
              </w:rPr>
            </w:pPr>
          </w:p>
        </w:tc>
        <w:tc>
          <w:tcPr>
            <w:tcW w:w="180" w:type="dxa"/>
            <w:vMerge w:val="restart"/>
            <w:tcBorders>
              <w:bottom w:val="nil"/>
            </w:tcBorders>
            <w:vAlign w:val="top"/>
          </w:tcPr>
          <w:p w14:paraId="01503A45">
            <w:pPr>
              <w:rPr>
                <w:rFonts w:ascii="Arial"/>
                <w:sz w:val="21"/>
              </w:rPr>
            </w:pPr>
          </w:p>
        </w:tc>
        <w:tc>
          <w:tcPr>
            <w:tcW w:w="470" w:type="dxa"/>
            <w:gridSpan w:val="2"/>
            <w:vMerge w:val="restart"/>
            <w:tcBorders>
              <w:bottom w:val="nil"/>
            </w:tcBorders>
            <w:vAlign w:val="top"/>
          </w:tcPr>
          <w:p w14:paraId="4A68117B">
            <w:pPr>
              <w:spacing w:line="385" w:lineRule="auto"/>
              <w:rPr>
                <w:rFonts w:ascii="Arial"/>
                <w:sz w:val="21"/>
              </w:rPr>
            </w:pPr>
          </w:p>
          <w:p w14:paraId="2D80B612">
            <w:pPr>
              <w:pStyle w:val="6"/>
              <w:spacing w:before="68" w:line="221" w:lineRule="auto"/>
              <w:ind w:left="10"/>
              <w:rPr>
                <w:sz w:val="21"/>
                <w:szCs w:val="21"/>
              </w:rPr>
            </w:pPr>
            <w:r>
              <w:rPr>
                <w:spacing w:val="6"/>
                <w:sz w:val="21"/>
                <w:szCs w:val="21"/>
              </w:rPr>
              <w:t>序号</w:t>
            </w:r>
          </w:p>
        </w:tc>
        <w:tc>
          <w:tcPr>
            <w:tcW w:w="1289" w:type="dxa"/>
            <w:gridSpan w:val="2"/>
            <w:vMerge w:val="restart"/>
            <w:tcBorders>
              <w:bottom w:val="nil"/>
            </w:tcBorders>
            <w:vAlign w:val="top"/>
          </w:tcPr>
          <w:p w14:paraId="25BB6C2F">
            <w:pPr>
              <w:spacing w:line="384" w:lineRule="auto"/>
              <w:rPr>
                <w:rFonts w:ascii="Arial"/>
                <w:sz w:val="21"/>
              </w:rPr>
            </w:pPr>
          </w:p>
          <w:p w14:paraId="0BB907F7">
            <w:pPr>
              <w:pStyle w:val="6"/>
              <w:spacing w:before="69" w:line="220" w:lineRule="auto"/>
              <w:ind w:left="211"/>
              <w:rPr>
                <w:sz w:val="21"/>
                <w:szCs w:val="21"/>
              </w:rPr>
            </w:pPr>
            <w:r>
              <w:rPr>
                <w:spacing w:val="2"/>
                <w:sz w:val="21"/>
                <w:szCs w:val="21"/>
              </w:rPr>
              <w:t>声源名称</w:t>
            </w:r>
          </w:p>
        </w:tc>
        <w:tc>
          <w:tcPr>
            <w:tcW w:w="479" w:type="dxa"/>
            <w:vMerge w:val="restart"/>
            <w:tcBorders>
              <w:bottom w:val="nil"/>
            </w:tcBorders>
            <w:vAlign w:val="top"/>
          </w:tcPr>
          <w:p w14:paraId="2167E67A">
            <w:pPr>
              <w:spacing w:line="384" w:lineRule="auto"/>
              <w:rPr>
                <w:rFonts w:ascii="Arial"/>
                <w:sz w:val="21"/>
              </w:rPr>
            </w:pPr>
          </w:p>
          <w:p w14:paraId="6D4E4C47">
            <w:pPr>
              <w:pStyle w:val="6"/>
              <w:spacing w:before="68" w:line="219" w:lineRule="auto"/>
              <w:ind w:left="22"/>
              <w:rPr>
                <w:sz w:val="21"/>
                <w:szCs w:val="21"/>
              </w:rPr>
            </w:pPr>
            <w:r>
              <w:rPr>
                <w:spacing w:val="4"/>
                <w:sz w:val="21"/>
                <w:szCs w:val="21"/>
              </w:rPr>
              <w:t>台数</w:t>
            </w:r>
          </w:p>
        </w:tc>
        <w:tc>
          <w:tcPr>
            <w:tcW w:w="1878" w:type="dxa"/>
            <w:gridSpan w:val="4"/>
            <w:vAlign w:val="top"/>
          </w:tcPr>
          <w:p w14:paraId="04F83A55">
            <w:pPr>
              <w:pStyle w:val="6"/>
              <w:spacing w:before="46" w:line="212" w:lineRule="auto"/>
              <w:ind w:left="822" w:right="297" w:hanging="519"/>
              <w:rPr>
                <w:sz w:val="21"/>
                <w:szCs w:val="21"/>
              </w:rPr>
            </w:pPr>
            <w:r>
              <w:rPr>
                <w:spacing w:val="1"/>
                <w:sz w:val="21"/>
                <w:szCs w:val="21"/>
              </w:rPr>
              <w:t>空间相对位置</w:t>
            </w:r>
            <w:r>
              <w:rPr>
                <w:sz w:val="21"/>
                <w:szCs w:val="21"/>
              </w:rPr>
              <w:t xml:space="preserve"> </w:t>
            </w:r>
            <w:r>
              <w:rPr>
                <w:spacing w:val="-2"/>
                <w:sz w:val="21"/>
                <w:szCs w:val="21"/>
              </w:rPr>
              <w:t>/m</w:t>
            </w:r>
          </w:p>
        </w:tc>
        <w:tc>
          <w:tcPr>
            <w:tcW w:w="1727" w:type="dxa"/>
            <w:gridSpan w:val="3"/>
            <w:vAlign w:val="top"/>
          </w:tcPr>
          <w:p w14:paraId="3009B7D5">
            <w:pPr>
              <w:pStyle w:val="6"/>
              <w:spacing w:before="35" w:line="217" w:lineRule="auto"/>
              <w:ind w:left="174" w:right="60" w:hanging="109"/>
              <w:rPr>
                <w:sz w:val="21"/>
                <w:szCs w:val="21"/>
              </w:rPr>
            </w:pPr>
            <w:r>
              <w:rPr>
                <w:spacing w:val="2"/>
                <w:sz w:val="21"/>
                <w:szCs w:val="21"/>
              </w:rPr>
              <w:t>声源源强(控制措</w:t>
            </w:r>
            <w:r>
              <w:rPr>
                <w:sz w:val="21"/>
                <w:szCs w:val="21"/>
              </w:rPr>
              <w:t xml:space="preserve"> </w:t>
            </w:r>
            <w:r>
              <w:rPr>
                <w:spacing w:val="5"/>
                <w:sz w:val="21"/>
                <w:szCs w:val="21"/>
              </w:rPr>
              <w:t>施实施后源强)</w:t>
            </w:r>
          </w:p>
        </w:tc>
        <w:tc>
          <w:tcPr>
            <w:tcW w:w="1079" w:type="dxa"/>
            <w:gridSpan w:val="2"/>
            <w:vMerge w:val="restart"/>
            <w:tcBorders>
              <w:bottom w:val="nil"/>
            </w:tcBorders>
            <w:vAlign w:val="top"/>
          </w:tcPr>
          <w:p w14:paraId="5BBF349A">
            <w:pPr>
              <w:pStyle w:val="6"/>
              <w:spacing w:before="305" w:line="220" w:lineRule="auto"/>
              <w:jc w:val="right"/>
              <w:rPr>
                <w:sz w:val="21"/>
                <w:szCs w:val="21"/>
              </w:rPr>
            </w:pPr>
            <w:r>
              <w:rPr>
                <w:spacing w:val="2"/>
                <w:sz w:val="21"/>
                <w:szCs w:val="21"/>
              </w:rPr>
              <w:t>声源控制措</w:t>
            </w:r>
          </w:p>
          <w:p w14:paraId="61F8496D">
            <w:pPr>
              <w:pStyle w:val="6"/>
              <w:spacing w:before="42" w:line="222" w:lineRule="auto"/>
              <w:ind w:left="427"/>
              <w:rPr>
                <w:sz w:val="21"/>
                <w:szCs w:val="21"/>
              </w:rPr>
            </w:pPr>
            <w:r>
              <w:rPr>
                <w:sz w:val="21"/>
                <w:szCs w:val="21"/>
              </w:rPr>
              <w:t>施</w:t>
            </w:r>
          </w:p>
        </w:tc>
        <w:tc>
          <w:tcPr>
            <w:tcW w:w="1199" w:type="dxa"/>
            <w:gridSpan w:val="3"/>
            <w:vMerge w:val="restart"/>
            <w:tcBorders>
              <w:bottom w:val="nil"/>
            </w:tcBorders>
            <w:vAlign w:val="top"/>
          </w:tcPr>
          <w:p w14:paraId="0B49E8D8">
            <w:pPr>
              <w:spacing w:line="384" w:lineRule="auto"/>
              <w:rPr>
                <w:rFonts w:ascii="Arial"/>
                <w:sz w:val="21"/>
              </w:rPr>
            </w:pPr>
          </w:p>
          <w:p w14:paraId="36E51DD0">
            <w:pPr>
              <w:pStyle w:val="6"/>
              <w:spacing w:before="69" w:line="220" w:lineRule="auto"/>
              <w:ind w:left="179"/>
              <w:rPr>
                <w:sz w:val="21"/>
                <w:szCs w:val="21"/>
              </w:rPr>
            </w:pPr>
            <w:r>
              <w:rPr>
                <w:spacing w:val="-2"/>
                <w:sz w:val="21"/>
                <w:szCs w:val="21"/>
              </w:rPr>
              <w:t>运行时段</w:t>
            </w:r>
          </w:p>
        </w:tc>
        <w:tc>
          <w:tcPr>
            <w:tcW w:w="148" w:type="dxa"/>
            <w:vMerge w:val="restart"/>
            <w:tcBorders>
              <w:top w:val="nil"/>
              <w:bottom w:val="nil"/>
            </w:tcBorders>
            <w:vAlign w:val="top"/>
          </w:tcPr>
          <w:p w14:paraId="68439F6B">
            <w:pPr>
              <w:rPr>
                <w:rFonts w:ascii="Arial"/>
                <w:sz w:val="21"/>
              </w:rPr>
            </w:pPr>
          </w:p>
        </w:tc>
      </w:tr>
      <w:tr w14:paraId="77831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54" w:type="dxa"/>
            <w:vMerge w:val="continue"/>
            <w:tcBorders>
              <w:top w:val="nil"/>
              <w:bottom w:val="nil"/>
            </w:tcBorders>
            <w:vAlign w:val="top"/>
          </w:tcPr>
          <w:p w14:paraId="4C26AE2C">
            <w:pPr>
              <w:rPr>
                <w:rFonts w:ascii="Arial"/>
                <w:sz w:val="21"/>
              </w:rPr>
            </w:pPr>
          </w:p>
        </w:tc>
        <w:tc>
          <w:tcPr>
            <w:tcW w:w="180" w:type="dxa"/>
            <w:vMerge w:val="continue"/>
            <w:tcBorders>
              <w:top w:val="nil"/>
            </w:tcBorders>
            <w:vAlign w:val="top"/>
          </w:tcPr>
          <w:p w14:paraId="10FDE0FB">
            <w:pPr>
              <w:rPr>
                <w:rFonts w:ascii="Arial"/>
                <w:sz w:val="21"/>
              </w:rPr>
            </w:pPr>
          </w:p>
        </w:tc>
        <w:tc>
          <w:tcPr>
            <w:tcW w:w="470" w:type="dxa"/>
            <w:gridSpan w:val="2"/>
            <w:vMerge w:val="continue"/>
            <w:tcBorders>
              <w:top w:val="nil"/>
            </w:tcBorders>
            <w:vAlign w:val="top"/>
          </w:tcPr>
          <w:p w14:paraId="114AE0B6">
            <w:pPr>
              <w:rPr>
                <w:rFonts w:ascii="Arial"/>
                <w:sz w:val="21"/>
              </w:rPr>
            </w:pPr>
          </w:p>
        </w:tc>
        <w:tc>
          <w:tcPr>
            <w:tcW w:w="1289" w:type="dxa"/>
            <w:gridSpan w:val="2"/>
            <w:vMerge w:val="continue"/>
            <w:tcBorders>
              <w:top w:val="nil"/>
            </w:tcBorders>
            <w:vAlign w:val="top"/>
          </w:tcPr>
          <w:p w14:paraId="5E1FE982">
            <w:pPr>
              <w:rPr>
                <w:rFonts w:ascii="Arial"/>
                <w:sz w:val="21"/>
              </w:rPr>
            </w:pPr>
          </w:p>
        </w:tc>
        <w:tc>
          <w:tcPr>
            <w:tcW w:w="479" w:type="dxa"/>
            <w:vMerge w:val="continue"/>
            <w:tcBorders>
              <w:top w:val="nil"/>
            </w:tcBorders>
            <w:vAlign w:val="top"/>
          </w:tcPr>
          <w:p w14:paraId="7ECD9482">
            <w:pPr>
              <w:rPr>
                <w:rFonts w:ascii="Arial"/>
                <w:sz w:val="21"/>
              </w:rPr>
            </w:pPr>
          </w:p>
        </w:tc>
        <w:tc>
          <w:tcPr>
            <w:tcW w:w="660" w:type="dxa"/>
            <w:gridSpan w:val="2"/>
            <w:vAlign w:val="top"/>
          </w:tcPr>
          <w:p w14:paraId="1BE1A2FF">
            <w:pPr>
              <w:pStyle w:val="6"/>
              <w:spacing w:before="240" w:line="182" w:lineRule="auto"/>
              <w:ind w:left="263"/>
              <w:rPr>
                <w:sz w:val="21"/>
                <w:szCs w:val="21"/>
              </w:rPr>
            </w:pPr>
            <w:r>
              <w:rPr>
                <w:sz w:val="21"/>
                <w:szCs w:val="21"/>
              </w:rPr>
              <w:t>X</w:t>
            </w:r>
          </w:p>
        </w:tc>
        <w:tc>
          <w:tcPr>
            <w:tcW w:w="639" w:type="dxa"/>
            <w:vAlign w:val="top"/>
          </w:tcPr>
          <w:p w14:paraId="0D438E89">
            <w:pPr>
              <w:pStyle w:val="6"/>
              <w:spacing w:before="240" w:line="182" w:lineRule="auto"/>
              <w:ind w:left="253"/>
              <w:rPr>
                <w:sz w:val="21"/>
                <w:szCs w:val="21"/>
              </w:rPr>
            </w:pPr>
            <w:r>
              <w:rPr>
                <w:sz w:val="21"/>
                <w:szCs w:val="21"/>
              </w:rPr>
              <w:t>Y</w:t>
            </w:r>
          </w:p>
        </w:tc>
        <w:tc>
          <w:tcPr>
            <w:tcW w:w="579" w:type="dxa"/>
            <w:vAlign w:val="top"/>
          </w:tcPr>
          <w:p w14:paraId="756B8310">
            <w:pPr>
              <w:pStyle w:val="6"/>
              <w:spacing w:before="240" w:line="182" w:lineRule="auto"/>
              <w:ind w:left="223"/>
              <w:rPr>
                <w:sz w:val="21"/>
                <w:szCs w:val="21"/>
              </w:rPr>
            </w:pPr>
            <w:r>
              <w:rPr>
                <w:sz w:val="21"/>
                <w:szCs w:val="21"/>
              </w:rPr>
              <w:t>Z</w:t>
            </w:r>
          </w:p>
        </w:tc>
        <w:tc>
          <w:tcPr>
            <w:tcW w:w="1727" w:type="dxa"/>
            <w:gridSpan w:val="3"/>
            <w:vAlign w:val="top"/>
          </w:tcPr>
          <w:p w14:paraId="26CC54DD">
            <w:pPr>
              <w:pStyle w:val="6"/>
              <w:spacing w:before="47" w:line="221" w:lineRule="auto"/>
              <w:ind w:left="15" w:firstLine="108"/>
              <w:rPr>
                <w:sz w:val="21"/>
                <w:szCs w:val="21"/>
              </w:rPr>
            </w:pPr>
            <w:r>
              <w:rPr>
                <w:spacing w:val="-2"/>
                <w:sz w:val="21"/>
                <w:szCs w:val="21"/>
              </w:rPr>
              <w:t>(声压级/距声源</w:t>
            </w:r>
            <w:r>
              <w:rPr>
                <w:spacing w:val="1"/>
                <w:sz w:val="21"/>
                <w:szCs w:val="21"/>
              </w:rPr>
              <w:t xml:space="preserve">  距离)/(</w:t>
            </w:r>
            <w:r>
              <w:rPr>
                <w:sz w:val="21"/>
                <w:szCs w:val="21"/>
              </w:rPr>
              <w:t>dB</w:t>
            </w:r>
            <w:r>
              <w:rPr>
                <w:spacing w:val="1"/>
                <w:sz w:val="21"/>
                <w:szCs w:val="21"/>
              </w:rPr>
              <w:t>(A)/1m)</w:t>
            </w:r>
          </w:p>
        </w:tc>
        <w:tc>
          <w:tcPr>
            <w:tcW w:w="1079" w:type="dxa"/>
            <w:gridSpan w:val="2"/>
            <w:vMerge w:val="continue"/>
            <w:tcBorders>
              <w:top w:val="nil"/>
            </w:tcBorders>
            <w:vAlign w:val="top"/>
          </w:tcPr>
          <w:p w14:paraId="62914702">
            <w:pPr>
              <w:rPr>
                <w:rFonts w:ascii="Arial"/>
                <w:sz w:val="21"/>
              </w:rPr>
            </w:pPr>
          </w:p>
        </w:tc>
        <w:tc>
          <w:tcPr>
            <w:tcW w:w="1199" w:type="dxa"/>
            <w:gridSpan w:val="3"/>
            <w:vMerge w:val="continue"/>
            <w:tcBorders>
              <w:top w:val="nil"/>
            </w:tcBorders>
            <w:vAlign w:val="top"/>
          </w:tcPr>
          <w:p w14:paraId="41B7A5E0">
            <w:pPr>
              <w:rPr>
                <w:rFonts w:ascii="Arial"/>
                <w:sz w:val="21"/>
              </w:rPr>
            </w:pPr>
          </w:p>
        </w:tc>
        <w:tc>
          <w:tcPr>
            <w:tcW w:w="148" w:type="dxa"/>
            <w:vMerge w:val="continue"/>
            <w:tcBorders>
              <w:top w:val="nil"/>
              <w:bottom w:val="nil"/>
            </w:tcBorders>
            <w:vAlign w:val="top"/>
          </w:tcPr>
          <w:p w14:paraId="7757EA06">
            <w:pPr>
              <w:rPr>
                <w:rFonts w:ascii="Arial"/>
                <w:sz w:val="21"/>
              </w:rPr>
            </w:pPr>
          </w:p>
        </w:tc>
      </w:tr>
      <w:tr w14:paraId="5649F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854" w:type="dxa"/>
            <w:vMerge w:val="continue"/>
            <w:tcBorders>
              <w:top w:val="nil"/>
              <w:bottom w:val="nil"/>
            </w:tcBorders>
            <w:vAlign w:val="top"/>
          </w:tcPr>
          <w:p w14:paraId="1CAB3432">
            <w:pPr>
              <w:rPr>
                <w:rFonts w:ascii="Arial"/>
                <w:sz w:val="21"/>
              </w:rPr>
            </w:pPr>
          </w:p>
        </w:tc>
        <w:tc>
          <w:tcPr>
            <w:tcW w:w="180" w:type="dxa"/>
            <w:vAlign w:val="top"/>
          </w:tcPr>
          <w:p w14:paraId="14C83FB5">
            <w:pPr>
              <w:rPr>
                <w:rFonts w:ascii="Arial"/>
                <w:sz w:val="21"/>
              </w:rPr>
            </w:pPr>
          </w:p>
        </w:tc>
        <w:tc>
          <w:tcPr>
            <w:tcW w:w="470" w:type="dxa"/>
            <w:gridSpan w:val="2"/>
            <w:vAlign w:val="top"/>
          </w:tcPr>
          <w:p w14:paraId="2516F869">
            <w:pPr>
              <w:pStyle w:val="6"/>
              <w:spacing w:before="196" w:line="241" w:lineRule="auto"/>
              <w:ind w:left="171"/>
              <w:rPr>
                <w:sz w:val="21"/>
                <w:szCs w:val="21"/>
              </w:rPr>
            </w:pPr>
            <w:r>
              <w:rPr>
                <w:sz w:val="21"/>
                <w:szCs w:val="21"/>
              </w:rPr>
              <w:t>1</w:t>
            </w:r>
          </w:p>
        </w:tc>
        <w:tc>
          <w:tcPr>
            <w:tcW w:w="1289" w:type="dxa"/>
            <w:gridSpan w:val="2"/>
            <w:vAlign w:val="top"/>
          </w:tcPr>
          <w:p w14:paraId="3874A942">
            <w:pPr>
              <w:pStyle w:val="6"/>
              <w:spacing w:before="34" w:line="219" w:lineRule="auto"/>
              <w:ind w:left="50"/>
              <w:rPr>
                <w:sz w:val="21"/>
                <w:szCs w:val="21"/>
              </w:rPr>
            </w:pPr>
            <w:r>
              <w:rPr>
                <w:spacing w:val="2"/>
                <w:sz w:val="21"/>
                <w:szCs w:val="21"/>
              </w:rPr>
              <w:t>逆变器(光伏</w:t>
            </w:r>
          </w:p>
          <w:p w14:paraId="754A4749">
            <w:pPr>
              <w:pStyle w:val="6"/>
              <w:spacing w:before="22" w:line="197" w:lineRule="auto"/>
              <w:ind w:left="370"/>
              <w:rPr>
                <w:sz w:val="21"/>
                <w:szCs w:val="21"/>
              </w:rPr>
            </w:pPr>
            <w:r>
              <w:rPr>
                <w:spacing w:val="13"/>
                <w:sz w:val="21"/>
                <w:szCs w:val="21"/>
              </w:rPr>
              <w:t>场区)</w:t>
            </w:r>
          </w:p>
        </w:tc>
        <w:tc>
          <w:tcPr>
            <w:tcW w:w="479" w:type="dxa"/>
            <w:vAlign w:val="top"/>
          </w:tcPr>
          <w:p w14:paraId="0A1460EB">
            <w:pPr>
              <w:pStyle w:val="6"/>
              <w:spacing w:before="196"/>
              <w:ind w:left="71"/>
              <w:rPr>
                <w:sz w:val="21"/>
                <w:szCs w:val="21"/>
              </w:rPr>
            </w:pPr>
            <w:r>
              <w:rPr>
                <w:spacing w:val="-6"/>
                <w:sz w:val="21"/>
                <w:szCs w:val="21"/>
              </w:rPr>
              <w:t>179</w:t>
            </w:r>
          </w:p>
        </w:tc>
        <w:tc>
          <w:tcPr>
            <w:tcW w:w="660" w:type="dxa"/>
            <w:gridSpan w:val="2"/>
            <w:vAlign w:val="top"/>
          </w:tcPr>
          <w:p w14:paraId="10A922AD">
            <w:pPr>
              <w:pStyle w:val="6"/>
              <w:spacing w:before="181" w:line="224" w:lineRule="auto"/>
              <w:ind w:left="263"/>
              <w:rPr>
                <w:sz w:val="21"/>
                <w:szCs w:val="21"/>
              </w:rPr>
            </w:pPr>
            <w:r>
              <w:rPr>
                <w:sz w:val="21"/>
                <w:szCs w:val="21"/>
              </w:rPr>
              <w:t>/</w:t>
            </w:r>
          </w:p>
        </w:tc>
        <w:tc>
          <w:tcPr>
            <w:tcW w:w="639" w:type="dxa"/>
            <w:vAlign w:val="top"/>
          </w:tcPr>
          <w:p w14:paraId="55098340">
            <w:pPr>
              <w:pStyle w:val="6"/>
              <w:spacing w:before="181" w:line="224" w:lineRule="auto"/>
              <w:ind w:left="253"/>
              <w:rPr>
                <w:sz w:val="21"/>
                <w:szCs w:val="21"/>
              </w:rPr>
            </w:pPr>
            <w:r>
              <w:rPr>
                <w:sz w:val="21"/>
                <w:szCs w:val="21"/>
              </w:rPr>
              <w:t>/</w:t>
            </w:r>
          </w:p>
        </w:tc>
        <w:tc>
          <w:tcPr>
            <w:tcW w:w="579" w:type="dxa"/>
            <w:vAlign w:val="top"/>
          </w:tcPr>
          <w:p w14:paraId="60082B96">
            <w:pPr>
              <w:pStyle w:val="6"/>
              <w:spacing w:before="181" w:line="224" w:lineRule="auto"/>
              <w:ind w:left="223"/>
              <w:rPr>
                <w:sz w:val="21"/>
                <w:szCs w:val="21"/>
              </w:rPr>
            </w:pPr>
            <w:r>
              <w:rPr>
                <w:sz w:val="21"/>
                <w:szCs w:val="21"/>
              </w:rPr>
              <w:t>/</w:t>
            </w:r>
          </w:p>
        </w:tc>
        <w:tc>
          <w:tcPr>
            <w:tcW w:w="1727" w:type="dxa"/>
            <w:gridSpan w:val="3"/>
            <w:vAlign w:val="top"/>
          </w:tcPr>
          <w:p w14:paraId="2FCD7C8E">
            <w:pPr>
              <w:pStyle w:val="6"/>
              <w:spacing w:before="196"/>
              <w:ind w:left="754"/>
              <w:rPr>
                <w:sz w:val="21"/>
                <w:szCs w:val="21"/>
              </w:rPr>
            </w:pPr>
            <w:r>
              <w:rPr>
                <w:spacing w:val="-3"/>
                <w:sz w:val="21"/>
                <w:szCs w:val="21"/>
              </w:rPr>
              <w:t>65</w:t>
            </w:r>
          </w:p>
        </w:tc>
        <w:tc>
          <w:tcPr>
            <w:tcW w:w="1079" w:type="dxa"/>
            <w:gridSpan w:val="2"/>
            <w:vAlign w:val="top"/>
          </w:tcPr>
          <w:p w14:paraId="6B02DD1A">
            <w:pPr>
              <w:pStyle w:val="6"/>
              <w:spacing w:before="176" w:line="220" w:lineRule="auto"/>
              <w:ind w:left="117"/>
              <w:rPr>
                <w:sz w:val="21"/>
                <w:szCs w:val="21"/>
              </w:rPr>
            </w:pPr>
            <w:r>
              <w:rPr>
                <w:spacing w:val="3"/>
                <w:sz w:val="21"/>
                <w:szCs w:val="21"/>
              </w:rPr>
              <w:t>箱体隔声</w:t>
            </w:r>
          </w:p>
        </w:tc>
        <w:tc>
          <w:tcPr>
            <w:tcW w:w="1199" w:type="dxa"/>
            <w:gridSpan w:val="3"/>
            <w:vMerge w:val="restart"/>
            <w:tcBorders>
              <w:bottom w:val="nil"/>
            </w:tcBorders>
            <w:vAlign w:val="top"/>
          </w:tcPr>
          <w:p w14:paraId="37E163C5">
            <w:pPr>
              <w:spacing w:line="395" w:lineRule="auto"/>
              <w:rPr>
                <w:rFonts w:ascii="Arial"/>
                <w:sz w:val="21"/>
              </w:rPr>
            </w:pPr>
          </w:p>
          <w:p w14:paraId="5025C03F">
            <w:pPr>
              <w:pStyle w:val="6"/>
              <w:spacing w:before="68" w:line="239" w:lineRule="auto"/>
              <w:ind w:left="68"/>
              <w:rPr>
                <w:sz w:val="21"/>
                <w:szCs w:val="21"/>
              </w:rPr>
            </w:pPr>
            <w:r>
              <w:rPr>
                <w:spacing w:val="-2"/>
                <w:sz w:val="21"/>
                <w:szCs w:val="21"/>
              </w:rPr>
              <w:t>7:00~19:00</w:t>
            </w:r>
          </w:p>
        </w:tc>
        <w:tc>
          <w:tcPr>
            <w:tcW w:w="148" w:type="dxa"/>
            <w:vMerge w:val="continue"/>
            <w:tcBorders>
              <w:top w:val="nil"/>
              <w:bottom w:val="nil"/>
            </w:tcBorders>
            <w:vAlign w:val="top"/>
          </w:tcPr>
          <w:p w14:paraId="09B7B4FA">
            <w:pPr>
              <w:rPr>
                <w:rFonts w:ascii="Arial"/>
                <w:sz w:val="21"/>
              </w:rPr>
            </w:pPr>
          </w:p>
        </w:tc>
      </w:tr>
      <w:tr w14:paraId="63253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54" w:type="dxa"/>
            <w:vMerge w:val="continue"/>
            <w:tcBorders>
              <w:top w:val="nil"/>
              <w:bottom w:val="nil"/>
            </w:tcBorders>
            <w:vAlign w:val="top"/>
          </w:tcPr>
          <w:p w14:paraId="47ED9D27">
            <w:pPr>
              <w:rPr>
                <w:rFonts w:ascii="Arial"/>
                <w:sz w:val="21"/>
              </w:rPr>
            </w:pPr>
          </w:p>
        </w:tc>
        <w:tc>
          <w:tcPr>
            <w:tcW w:w="180" w:type="dxa"/>
            <w:vAlign w:val="top"/>
          </w:tcPr>
          <w:p w14:paraId="57CF0037">
            <w:pPr>
              <w:rPr>
                <w:rFonts w:ascii="Arial"/>
                <w:sz w:val="21"/>
              </w:rPr>
            </w:pPr>
          </w:p>
        </w:tc>
        <w:tc>
          <w:tcPr>
            <w:tcW w:w="470" w:type="dxa"/>
            <w:gridSpan w:val="2"/>
            <w:vAlign w:val="top"/>
          </w:tcPr>
          <w:p w14:paraId="67532CA1">
            <w:pPr>
              <w:pStyle w:val="6"/>
              <w:spacing w:before="196" w:line="241" w:lineRule="auto"/>
              <w:ind w:left="171"/>
              <w:rPr>
                <w:sz w:val="21"/>
                <w:szCs w:val="21"/>
              </w:rPr>
            </w:pPr>
            <w:r>
              <w:rPr>
                <w:sz w:val="21"/>
                <w:szCs w:val="21"/>
              </w:rPr>
              <w:t>2</w:t>
            </w:r>
          </w:p>
        </w:tc>
        <w:tc>
          <w:tcPr>
            <w:tcW w:w="1289" w:type="dxa"/>
            <w:gridSpan w:val="2"/>
            <w:vAlign w:val="top"/>
          </w:tcPr>
          <w:p w14:paraId="1686C469">
            <w:pPr>
              <w:pStyle w:val="6"/>
              <w:spacing w:before="176" w:line="220" w:lineRule="auto"/>
              <w:ind w:left="110"/>
              <w:rPr>
                <w:sz w:val="21"/>
                <w:szCs w:val="21"/>
              </w:rPr>
            </w:pPr>
            <w:r>
              <w:rPr>
                <w:spacing w:val="-2"/>
                <w:sz w:val="21"/>
                <w:szCs w:val="21"/>
              </w:rPr>
              <w:t>箱式变压器</w:t>
            </w:r>
          </w:p>
        </w:tc>
        <w:tc>
          <w:tcPr>
            <w:tcW w:w="479" w:type="dxa"/>
            <w:vAlign w:val="top"/>
          </w:tcPr>
          <w:p w14:paraId="01F99F8F">
            <w:pPr>
              <w:pStyle w:val="6"/>
              <w:spacing w:before="196" w:line="241" w:lineRule="auto"/>
              <w:ind w:left="121"/>
              <w:rPr>
                <w:sz w:val="21"/>
                <w:szCs w:val="21"/>
              </w:rPr>
            </w:pPr>
            <w:r>
              <w:rPr>
                <w:spacing w:val="-3"/>
                <w:sz w:val="21"/>
                <w:szCs w:val="21"/>
              </w:rPr>
              <w:t>24</w:t>
            </w:r>
          </w:p>
        </w:tc>
        <w:tc>
          <w:tcPr>
            <w:tcW w:w="660" w:type="dxa"/>
            <w:gridSpan w:val="2"/>
            <w:vAlign w:val="top"/>
          </w:tcPr>
          <w:p w14:paraId="1F7488E9">
            <w:pPr>
              <w:pStyle w:val="6"/>
              <w:spacing w:before="181" w:line="224" w:lineRule="auto"/>
              <w:ind w:left="263"/>
              <w:rPr>
                <w:sz w:val="21"/>
                <w:szCs w:val="21"/>
              </w:rPr>
            </w:pPr>
            <w:r>
              <w:rPr>
                <w:sz w:val="21"/>
                <w:szCs w:val="21"/>
              </w:rPr>
              <w:t>/</w:t>
            </w:r>
          </w:p>
        </w:tc>
        <w:tc>
          <w:tcPr>
            <w:tcW w:w="639" w:type="dxa"/>
            <w:vAlign w:val="top"/>
          </w:tcPr>
          <w:p w14:paraId="0B361A93">
            <w:pPr>
              <w:pStyle w:val="6"/>
              <w:spacing w:before="181" w:line="224" w:lineRule="auto"/>
              <w:ind w:left="253"/>
              <w:rPr>
                <w:sz w:val="21"/>
                <w:szCs w:val="21"/>
              </w:rPr>
            </w:pPr>
            <w:r>
              <w:rPr>
                <w:sz w:val="21"/>
                <w:szCs w:val="21"/>
              </w:rPr>
              <w:t>/</w:t>
            </w:r>
          </w:p>
        </w:tc>
        <w:tc>
          <w:tcPr>
            <w:tcW w:w="579" w:type="dxa"/>
            <w:vAlign w:val="top"/>
          </w:tcPr>
          <w:p w14:paraId="1C01BB8A">
            <w:pPr>
              <w:pStyle w:val="6"/>
              <w:spacing w:before="196" w:line="241" w:lineRule="auto"/>
              <w:ind w:left="223"/>
              <w:rPr>
                <w:sz w:val="21"/>
                <w:szCs w:val="21"/>
              </w:rPr>
            </w:pPr>
            <w:r>
              <w:rPr>
                <w:sz w:val="21"/>
                <w:szCs w:val="21"/>
              </w:rPr>
              <w:t>1</w:t>
            </w:r>
          </w:p>
        </w:tc>
        <w:tc>
          <w:tcPr>
            <w:tcW w:w="1727" w:type="dxa"/>
            <w:gridSpan w:val="3"/>
            <w:vAlign w:val="top"/>
          </w:tcPr>
          <w:p w14:paraId="635ED7D6">
            <w:pPr>
              <w:pStyle w:val="6"/>
              <w:spacing w:before="196"/>
              <w:ind w:left="754"/>
              <w:rPr>
                <w:sz w:val="21"/>
                <w:szCs w:val="21"/>
              </w:rPr>
            </w:pPr>
            <w:r>
              <w:rPr>
                <w:spacing w:val="-3"/>
                <w:sz w:val="21"/>
                <w:szCs w:val="21"/>
              </w:rPr>
              <w:t>60</w:t>
            </w:r>
          </w:p>
        </w:tc>
        <w:tc>
          <w:tcPr>
            <w:tcW w:w="1079" w:type="dxa"/>
            <w:gridSpan w:val="2"/>
            <w:vAlign w:val="top"/>
          </w:tcPr>
          <w:p w14:paraId="09BC12DE">
            <w:pPr>
              <w:pStyle w:val="6"/>
              <w:spacing w:before="58" w:line="207" w:lineRule="auto"/>
              <w:ind w:left="108" w:hanging="100"/>
              <w:rPr>
                <w:sz w:val="21"/>
                <w:szCs w:val="21"/>
              </w:rPr>
            </w:pPr>
            <w:r>
              <w:rPr>
                <w:spacing w:val="2"/>
                <w:sz w:val="21"/>
                <w:szCs w:val="21"/>
              </w:rPr>
              <w:t>低噪设备、</w:t>
            </w:r>
            <w:r>
              <w:rPr>
                <w:sz w:val="21"/>
                <w:szCs w:val="21"/>
              </w:rPr>
              <w:t xml:space="preserve"> </w:t>
            </w:r>
            <w:r>
              <w:rPr>
                <w:spacing w:val="-11"/>
                <w:sz w:val="21"/>
                <w:szCs w:val="21"/>
              </w:rPr>
              <w:t>箱体隔声</w:t>
            </w:r>
          </w:p>
        </w:tc>
        <w:tc>
          <w:tcPr>
            <w:tcW w:w="1199" w:type="dxa"/>
            <w:gridSpan w:val="3"/>
            <w:vMerge w:val="continue"/>
            <w:tcBorders>
              <w:top w:val="nil"/>
            </w:tcBorders>
            <w:vAlign w:val="top"/>
          </w:tcPr>
          <w:p w14:paraId="2C5AAAE7">
            <w:pPr>
              <w:rPr>
                <w:rFonts w:ascii="Arial"/>
                <w:sz w:val="21"/>
              </w:rPr>
            </w:pPr>
          </w:p>
        </w:tc>
        <w:tc>
          <w:tcPr>
            <w:tcW w:w="148" w:type="dxa"/>
            <w:vMerge w:val="continue"/>
            <w:tcBorders>
              <w:top w:val="nil"/>
              <w:bottom w:val="nil"/>
            </w:tcBorders>
            <w:vAlign w:val="top"/>
          </w:tcPr>
          <w:p w14:paraId="3B5A5A4E">
            <w:pPr>
              <w:rPr>
                <w:rFonts w:ascii="Arial"/>
                <w:sz w:val="21"/>
              </w:rPr>
            </w:pPr>
          </w:p>
        </w:tc>
      </w:tr>
      <w:tr w14:paraId="386F3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8" w:hRule="atLeast"/>
        </w:trPr>
        <w:tc>
          <w:tcPr>
            <w:tcW w:w="854" w:type="dxa"/>
            <w:vMerge w:val="continue"/>
            <w:tcBorders>
              <w:top w:val="nil"/>
              <w:bottom w:val="nil"/>
            </w:tcBorders>
            <w:vAlign w:val="top"/>
          </w:tcPr>
          <w:p w14:paraId="046AAD88">
            <w:pPr>
              <w:rPr>
                <w:rFonts w:ascii="Arial"/>
                <w:sz w:val="21"/>
              </w:rPr>
            </w:pPr>
          </w:p>
        </w:tc>
        <w:tc>
          <w:tcPr>
            <w:tcW w:w="8449" w:type="dxa"/>
            <w:gridSpan w:val="19"/>
            <w:vAlign w:val="top"/>
          </w:tcPr>
          <w:p w14:paraId="506BFD9A">
            <w:pPr>
              <w:pStyle w:val="6"/>
              <w:spacing w:before="65" w:line="221" w:lineRule="auto"/>
              <w:ind w:left="44"/>
              <w:rPr>
                <w:sz w:val="24"/>
                <w:szCs w:val="24"/>
              </w:rPr>
            </w:pPr>
            <w:r>
              <w:rPr>
                <w:b/>
                <w:bCs/>
                <w:spacing w:val="-2"/>
                <w:sz w:val="24"/>
                <w:szCs w:val="24"/>
              </w:rPr>
              <w:t>5.1.2升压站</w:t>
            </w:r>
          </w:p>
          <w:p w14:paraId="3042FD99">
            <w:pPr>
              <w:pStyle w:val="6"/>
              <w:spacing w:before="184" w:line="219" w:lineRule="auto"/>
              <w:jc w:val="right"/>
              <w:rPr>
                <w:sz w:val="24"/>
                <w:szCs w:val="24"/>
              </w:rPr>
            </w:pPr>
            <w:r>
              <w:rPr>
                <w:spacing w:val="-1"/>
                <w:sz w:val="24"/>
                <w:szCs w:val="24"/>
              </w:rPr>
              <w:t>项目运营期噪声主要还来源于升压站内的电气设备噪声。升压站内，主变压</w:t>
            </w:r>
          </w:p>
          <w:p w14:paraId="3127ECE8">
            <w:pPr>
              <w:pStyle w:val="6"/>
              <w:spacing w:before="171" w:line="355" w:lineRule="auto"/>
              <w:ind w:left="81" w:right="533" w:firstLine="10"/>
              <w:rPr>
                <w:sz w:val="24"/>
                <w:szCs w:val="24"/>
              </w:rPr>
            </w:pPr>
            <w:r>
              <w:rPr>
                <w:sz w:val="24"/>
                <w:szCs w:val="24"/>
              </w:rPr>
              <w:t>器、配电装置(GIS)等电气设备噪声值在55～65dB(A),水泵房水泵运行时产</w:t>
            </w:r>
            <w:r>
              <w:rPr>
                <w:spacing w:val="13"/>
                <w:sz w:val="24"/>
                <w:szCs w:val="24"/>
              </w:rPr>
              <w:t xml:space="preserve"> </w:t>
            </w:r>
            <w:r>
              <w:rPr>
                <w:spacing w:val="-1"/>
                <w:sz w:val="24"/>
                <w:szCs w:val="24"/>
              </w:rPr>
              <w:t>生的噪声值在75～85dB(A)。</w:t>
            </w:r>
          </w:p>
          <w:p w14:paraId="07337517">
            <w:pPr>
              <w:pStyle w:val="6"/>
              <w:spacing w:line="218" w:lineRule="auto"/>
              <w:ind w:left="551"/>
              <w:rPr>
                <w:sz w:val="24"/>
                <w:szCs w:val="24"/>
              </w:rPr>
            </w:pPr>
            <w:r>
              <w:rPr>
                <w:sz w:val="24"/>
                <w:szCs w:val="24"/>
              </w:rPr>
              <w:t>项目升压站运营期噪声源强及拟采取的减缓措施见表4-15。</w:t>
            </w:r>
          </w:p>
          <w:p w14:paraId="441DB089">
            <w:pPr>
              <w:pStyle w:val="6"/>
              <w:spacing w:before="182" w:line="204" w:lineRule="auto"/>
              <w:ind w:left="384"/>
              <w:rPr>
                <w:sz w:val="24"/>
                <w:szCs w:val="24"/>
              </w:rPr>
            </w:pPr>
            <w:r>
              <w:rPr>
                <w:b/>
                <w:bCs/>
                <w:spacing w:val="-3"/>
                <w:sz w:val="24"/>
                <w:szCs w:val="24"/>
              </w:rPr>
              <w:t>表4-15本项目110kV升压站运营期噪声源强及拟采取的减缓措施一览表</w:t>
            </w:r>
          </w:p>
        </w:tc>
      </w:tr>
      <w:tr w14:paraId="5ED4F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854" w:type="dxa"/>
            <w:vMerge w:val="continue"/>
            <w:tcBorders>
              <w:top w:val="nil"/>
            </w:tcBorders>
            <w:vAlign w:val="top"/>
          </w:tcPr>
          <w:p w14:paraId="14186D46">
            <w:pPr>
              <w:rPr>
                <w:rFonts w:ascii="Arial"/>
                <w:sz w:val="21"/>
              </w:rPr>
            </w:pPr>
          </w:p>
        </w:tc>
        <w:tc>
          <w:tcPr>
            <w:tcW w:w="990" w:type="dxa"/>
            <w:gridSpan w:val="4"/>
            <w:vAlign w:val="top"/>
          </w:tcPr>
          <w:p w14:paraId="4B89F63A">
            <w:pPr>
              <w:pStyle w:val="6"/>
              <w:spacing w:before="61" w:line="203" w:lineRule="auto"/>
              <w:ind w:left="210"/>
              <w:rPr>
                <w:sz w:val="24"/>
                <w:szCs w:val="24"/>
              </w:rPr>
            </w:pPr>
            <w:r>
              <w:rPr>
                <w:spacing w:val="3"/>
                <w:sz w:val="24"/>
                <w:szCs w:val="24"/>
              </w:rPr>
              <w:t>噪声源</w:t>
            </w:r>
          </w:p>
        </w:tc>
        <w:tc>
          <w:tcPr>
            <w:tcW w:w="1428" w:type="dxa"/>
            <w:gridSpan w:val="2"/>
            <w:vAlign w:val="top"/>
          </w:tcPr>
          <w:p w14:paraId="34824465">
            <w:pPr>
              <w:pStyle w:val="6"/>
              <w:spacing w:before="61" w:line="203" w:lineRule="auto"/>
              <w:ind w:left="490"/>
              <w:rPr>
                <w:sz w:val="24"/>
                <w:szCs w:val="24"/>
              </w:rPr>
            </w:pPr>
            <w:r>
              <w:rPr>
                <w:spacing w:val="-3"/>
                <w:sz w:val="24"/>
                <w:szCs w:val="24"/>
              </w:rPr>
              <w:t>位置</w:t>
            </w:r>
          </w:p>
        </w:tc>
        <w:tc>
          <w:tcPr>
            <w:tcW w:w="660" w:type="dxa"/>
            <w:gridSpan w:val="2"/>
            <w:vAlign w:val="top"/>
          </w:tcPr>
          <w:p w14:paraId="536399B3">
            <w:pPr>
              <w:pStyle w:val="6"/>
              <w:spacing w:before="61" w:line="203" w:lineRule="auto"/>
              <w:ind w:left="93"/>
              <w:rPr>
                <w:sz w:val="24"/>
                <w:szCs w:val="24"/>
              </w:rPr>
            </w:pPr>
            <w:r>
              <w:rPr>
                <w:spacing w:val="5"/>
                <w:sz w:val="24"/>
                <w:szCs w:val="24"/>
              </w:rPr>
              <w:t>声源</w:t>
            </w:r>
          </w:p>
        </w:tc>
        <w:tc>
          <w:tcPr>
            <w:tcW w:w="639" w:type="dxa"/>
            <w:vAlign w:val="top"/>
          </w:tcPr>
          <w:p w14:paraId="1188C0A9">
            <w:pPr>
              <w:pStyle w:val="6"/>
              <w:spacing w:before="59" w:line="204" w:lineRule="auto"/>
              <w:ind w:left="213"/>
              <w:rPr>
                <w:sz w:val="24"/>
                <w:szCs w:val="24"/>
              </w:rPr>
            </w:pPr>
            <w:r>
              <w:rPr>
                <w:sz w:val="24"/>
                <w:szCs w:val="24"/>
              </w:rPr>
              <w:t>数</w:t>
            </w:r>
          </w:p>
        </w:tc>
        <w:tc>
          <w:tcPr>
            <w:tcW w:w="1058" w:type="dxa"/>
            <w:gridSpan w:val="2"/>
            <w:vAlign w:val="top"/>
          </w:tcPr>
          <w:p w14:paraId="1BA1080D">
            <w:pPr>
              <w:pStyle w:val="6"/>
              <w:spacing w:before="59" w:line="204" w:lineRule="auto"/>
              <w:ind w:right="1"/>
              <w:jc w:val="right"/>
              <w:rPr>
                <w:sz w:val="24"/>
                <w:szCs w:val="24"/>
              </w:rPr>
            </w:pPr>
            <w:r>
              <w:rPr>
                <w:spacing w:val="3"/>
                <w:sz w:val="24"/>
                <w:szCs w:val="24"/>
              </w:rPr>
              <w:t>产生源强</w:t>
            </w:r>
          </w:p>
        </w:tc>
        <w:tc>
          <w:tcPr>
            <w:tcW w:w="2587" w:type="dxa"/>
            <w:gridSpan w:val="5"/>
            <w:vAlign w:val="top"/>
          </w:tcPr>
          <w:p w14:paraId="13DE94DC">
            <w:pPr>
              <w:pStyle w:val="6"/>
              <w:spacing w:before="59" w:line="204" w:lineRule="auto"/>
              <w:ind w:left="866"/>
              <w:rPr>
                <w:sz w:val="24"/>
                <w:szCs w:val="24"/>
              </w:rPr>
            </w:pPr>
            <w:r>
              <w:rPr>
                <w:spacing w:val="2"/>
                <w:sz w:val="24"/>
                <w:szCs w:val="24"/>
              </w:rPr>
              <w:t>降噪措施</w:t>
            </w:r>
          </w:p>
        </w:tc>
        <w:tc>
          <w:tcPr>
            <w:tcW w:w="1087" w:type="dxa"/>
            <w:gridSpan w:val="3"/>
            <w:vAlign w:val="top"/>
          </w:tcPr>
          <w:p w14:paraId="36F48106">
            <w:pPr>
              <w:pStyle w:val="6"/>
              <w:spacing w:before="61" w:line="203" w:lineRule="auto"/>
              <w:jc w:val="right"/>
              <w:rPr>
                <w:sz w:val="24"/>
                <w:szCs w:val="24"/>
              </w:rPr>
            </w:pPr>
            <w:r>
              <w:rPr>
                <w:spacing w:val="2"/>
                <w:sz w:val="24"/>
                <w:szCs w:val="24"/>
              </w:rPr>
              <w:t>排放源强</w:t>
            </w:r>
          </w:p>
        </w:tc>
      </w:tr>
    </w:tbl>
    <w:p w14:paraId="1071C823">
      <w:pPr>
        <w:pStyle w:val="2"/>
      </w:pPr>
    </w:p>
    <w:p w14:paraId="1F30D6B8">
      <w:pPr>
        <w:sectPr>
          <w:footerReference r:id="rId164" w:type="default"/>
          <w:pgSz w:w="11910" w:h="16830"/>
          <w:pgMar w:top="400" w:right="1271" w:bottom="1243" w:left="1324" w:header="0" w:footer="1081" w:gutter="0"/>
          <w:cols w:space="720" w:num="1"/>
        </w:sectPr>
      </w:pPr>
    </w:p>
    <w:p w14:paraId="54E6AFBE">
      <w:pPr>
        <w:spacing w:before="9"/>
      </w:pPr>
      <w:r>
        <w:pict>
          <v:shape id="_x0000_s1121" o:spid="_x0000_s1121" style="position:absolute;left:0pt;margin-left:525.2pt;margin-top:71.95pt;height:159.5pt;width:0.5pt;mso-position-horizontal-relative:page;mso-position-vertical-relative:page;z-index:-251600896;mso-width-relative:page;mso-height-relative:page;" filled="f" stroked="t" coordsize="10,3190" o:allowincell="f" path="m5,0l5,3189e">
            <v:fill on="f" focussize="0,0"/>
            <v:stroke weight="0.5pt" color="#000000" miterlimit="10" joinstyle="miter"/>
            <v:imagedata o:title=""/>
            <o:lock v:ext="edit"/>
          </v:shape>
        </w:pict>
      </w:r>
      <w:r>
        <w:pict>
          <v:shape id="_x0000_s1122" o:spid="_x0000_s1122" style="position:absolute;left:0pt;margin-left:111.75pt;margin-top:71.95pt;height:159.5pt;width:0.5pt;mso-position-horizontal-relative:page;mso-position-vertical-relative:page;z-index:-251599872;mso-width-relative:page;mso-height-relative:page;" filled="f" stroked="t" coordsize="10,3190" o:allowincell="f" path="m5,0l5,3189e">
            <v:fill on="f" focussize="0,0"/>
            <v:stroke weight="0.5pt" color="#000000" miterlimit="10" joinstyle="miter"/>
            <v:imagedata o:title=""/>
            <o:lock v:ext="edit"/>
          </v:shape>
        </w:pict>
      </w:r>
    </w:p>
    <w:p w14:paraId="3F697C49">
      <w:pPr>
        <w:spacing w:before="9"/>
      </w:pPr>
    </w:p>
    <w:p w14:paraId="7A1761E0">
      <w:pPr>
        <w:spacing w:before="8"/>
      </w:pPr>
    </w:p>
    <w:p w14:paraId="18E1F636">
      <w:pPr>
        <w:spacing w:before="8"/>
      </w:pPr>
    </w:p>
    <w:tbl>
      <w:tblPr>
        <w:tblStyle w:val="5"/>
        <w:tblW w:w="9409"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3"/>
        <w:gridCol w:w="95"/>
        <w:gridCol w:w="903"/>
        <w:gridCol w:w="814"/>
        <w:gridCol w:w="594"/>
        <w:gridCol w:w="264"/>
        <w:gridCol w:w="414"/>
        <w:gridCol w:w="304"/>
        <w:gridCol w:w="235"/>
        <w:gridCol w:w="504"/>
        <w:gridCol w:w="594"/>
        <w:gridCol w:w="284"/>
        <w:gridCol w:w="799"/>
        <w:gridCol w:w="868"/>
        <w:gridCol w:w="644"/>
        <w:gridCol w:w="274"/>
        <w:gridCol w:w="819"/>
        <w:gridCol w:w="87"/>
      </w:tblGrid>
      <w:tr w14:paraId="3F862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13" w:type="dxa"/>
            <w:vMerge w:val="restart"/>
            <w:tcBorders>
              <w:left w:val="single" w:color="000000" w:sz="8" w:space="0"/>
              <w:bottom w:val="nil"/>
            </w:tcBorders>
            <w:vAlign w:val="top"/>
          </w:tcPr>
          <w:p w14:paraId="1BA0F016">
            <w:pPr>
              <w:rPr>
                <w:rFonts w:ascii="Arial"/>
                <w:sz w:val="21"/>
              </w:rPr>
            </w:pPr>
          </w:p>
        </w:tc>
        <w:tc>
          <w:tcPr>
            <w:tcW w:w="998" w:type="dxa"/>
            <w:gridSpan w:val="2"/>
            <w:vAlign w:val="top"/>
          </w:tcPr>
          <w:p w14:paraId="64CB3DFA">
            <w:pPr>
              <w:rPr>
                <w:rFonts w:ascii="Arial"/>
                <w:sz w:val="21"/>
              </w:rPr>
            </w:pPr>
          </w:p>
        </w:tc>
        <w:tc>
          <w:tcPr>
            <w:tcW w:w="1408" w:type="dxa"/>
            <w:gridSpan w:val="2"/>
            <w:vAlign w:val="top"/>
          </w:tcPr>
          <w:p w14:paraId="0FC1DBE2">
            <w:pPr>
              <w:rPr>
                <w:rFonts w:ascii="Arial"/>
                <w:sz w:val="21"/>
              </w:rPr>
            </w:pPr>
          </w:p>
        </w:tc>
        <w:tc>
          <w:tcPr>
            <w:tcW w:w="678" w:type="dxa"/>
            <w:gridSpan w:val="2"/>
            <w:vAlign w:val="top"/>
          </w:tcPr>
          <w:p w14:paraId="0FB9780D">
            <w:pPr>
              <w:pStyle w:val="6"/>
              <w:spacing w:before="99" w:line="219" w:lineRule="auto"/>
              <w:ind w:left="115"/>
            </w:pPr>
            <w:r>
              <w:rPr>
                <w:spacing w:val="7"/>
              </w:rPr>
              <w:t>类型</w:t>
            </w:r>
          </w:p>
        </w:tc>
        <w:tc>
          <w:tcPr>
            <w:tcW w:w="539" w:type="dxa"/>
            <w:gridSpan w:val="2"/>
            <w:vAlign w:val="top"/>
          </w:tcPr>
          <w:p w14:paraId="399427CB">
            <w:pPr>
              <w:pStyle w:val="6"/>
              <w:spacing w:before="105" w:line="222" w:lineRule="auto"/>
              <w:ind w:left="157"/>
            </w:pPr>
            <w:r>
              <w:t>量</w:t>
            </w:r>
          </w:p>
        </w:tc>
        <w:tc>
          <w:tcPr>
            <w:tcW w:w="1098" w:type="dxa"/>
            <w:gridSpan w:val="2"/>
            <w:vAlign w:val="top"/>
          </w:tcPr>
          <w:p w14:paraId="5CD5DA2F">
            <w:pPr>
              <w:pStyle w:val="6"/>
              <w:spacing w:before="102" w:line="222" w:lineRule="auto"/>
              <w:ind w:left="268"/>
            </w:pPr>
            <w:r>
              <w:rPr>
                <w:spacing w:val="-3"/>
              </w:rPr>
              <w:t>dB(A)</w:t>
            </w:r>
          </w:p>
        </w:tc>
        <w:tc>
          <w:tcPr>
            <w:tcW w:w="2595" w:type="dxa"/>
            <w:gridSpan w:val="4"/>
            <w:vAlign w:val="top"/>
          </w:tcPr>
          <w:p w14:paraId="4C0A2618">
            <w:pPr>
              <w:rPr>
                <w:rFonts w:ascii="Arial"/>
                <w:sz w:val="21"/>
              </w:rPr>
            </w:pPr>
          </w:p>
        </w:tc>
        <w:tc>
          <w:tcPr>
            <w:tcW w:w="1180" w:type="dxa"/>
            <w:gridSpan w:val="3"/>
            <w:tcBorders>
              <w:right w:val="single" w:color="000000" w:sz="8" w:space="0"/>
            </w:tcBorders>
            <w:vAlign w:val="top"/>
          </w:tcPr>
          <w:p w14:paraId="06C43316">
            <w:pPr>
              <w:pStyle w:val="6"/>
              <w:spacing w:before="102" w:line="222" w:lineRule="auto"/>
              <w:ind w:left="255"/>
            </w:pPr>
            <w:r>
              <w:rPr>
                <w:spacing w:val="-3"/>
              </w:rPr>
              <w:t>dB(A)</w:t>
            </w:r>
          </w:p>
        </w:tc>
      </w:tr>
      <w:tr w14:paraId="55F37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13" w:type="dxa"/>
            <w:vMerge w:val="continue"/>
            <w:tcBorders>
              <w:top w:val="nil"/>
              <w:left w:val="single" w:color="000000" w:sz="8" w:space="0"/>
              <w:bottom w:val="nil"/>
            </w:tcBorders>
            <w:vAlign w:val="top"/>
          </w:tcPr>
          <w:p w14:paraId="7634E128">
            <w:pPr>
              <w:rPr>
                <w:rFonts w:ascii="Arial"/>
                <w:sz w:val="21"/>
              </w:rPr>
            </w:pPr>
          </w:p>
        </w:tc>
        <w:tc>
          <w:tcPr>
            <w:tcW w:w="998" w:type="dxa"/>
            <w:gridSpan w:val="2"/>
            <w:vAlign w:val="top"/>
          </w:tcPr>
          <w:p w14:paraId="54C0F3DB">
            <w:pPr>
              <w:pStyle w:val="6"/>
              <w:spacing w:before="30" w:line="221" w:lineRule="auto"/>
              <w:ind w:left="211"/>
            </w:pPr>
            <w:r>
              <w:rPr>
                <w:spacing w:val="3"/>
              </w:rPr>
              <w:t>主变压</w:t>
            </w:r>
          </w:p>
          <w:p w14:paraId="46056830">
            <w:pPr>
              <w:pStyle w:val="6"/>
              <w:spacing w:before="11" w:line="188" w:lineRule="auto"/>
              <w:ind w:left="432"/>
            </w:pPr>
            <w:r>
              <w:t>器</w:t>
            </w:r>
          </w:p>
        </w:tc>
        <w:tc>
          <w:tcPr>
            <w:tcW w:w="1408" w:type="dxa"/>
            <w:gridSpan w:val="2"/>
            <w:vAlign w:val="top"/>
          </w:tcPr>
          <w:p w14:paraId="7476110B">
            <w:pPr>
              <w:pStyle w:val="6"/>
              <w:spacing w:before="159" w:line="219" w:lineRule="auto"/>
              <w:ind w:left="253"/>
            </w:pPr>
            <w:r>
              <w:rPr>
                <w:spacing w:val="7"/>
              </w:rPr>
              <w:t>升压站内</w:t>
            </w:r>
          </w:p>
        </w:tc>
        <w:tc>
          <w:tcPr>
            <w:tcW w:w="678" w:type="dxa"/>
            <w:gridSpan w:val="2"/>
            <w:vAlign w:val="top"/>
          </w:tcPr>
          <w:p w14:paraId="3342844A">
            <w:pPr>
              <w:pStyle w:val="6"/>
              <w:spacing w:before="159" w:line="220" w:lineRule="auto"/>
              <w:ind w:left="115"/>
            </w:pPr>
            <w:r>
              <w:rPr>
                <w:spacing w:val="-3"/>
              </w:rPr>
              <w:t>频发</w:t>
            </w:r>
          </w:p>
        </w:tc>
        <w:tc>
          <w:tcPr>
            <w:tcW w:w="539" w:type="dxa"/>
            <w:gridSpan w:val="2"/>
            <w:vAlign w:val="top"/>
          </w:tcPr>
          <w:p w14:paraId="5A48AC7D">
            <w:pPr>
              <w:pStyle w:val="6"/>
              <w:spacing w:before="181" w:line="241" w:lineRule="auto"/>
              <w:ind w:left="207"/>
            </w:pPr>
            <w:r>
              <w:t>1</w:t>
            </w:r>
          </w:p>
        </w:tc>
        <w:tc>
          <w:tcPr>
            <w:tcW w:w="1098" w:type="dxa"/>
            <w:gridSpan w:val="2"/>
            <w:vAlign w:val="top"/>
          </w:tcPr>
          <w:p w14:paraId="19C58891">
            <w:pPr>
              <w:pStyle w:val="6"/>
              <w:spacing w:before="180"/>
              <w:ind w:left="218"/>
            </w:pPr>
            <w:r>
              <w:rPr>
                <w:spacing w:val="-3"/>
              </w:rPr>
              <w:t>55～65</w:t>
            </w:r>
          </w:p>
        </w:tc>
        <w:tc>
          <w:tcPr>
            <w:tcW w:w="2595" w:type="dxa"/>
            <w:gridSpan w:val="4"/>
            <w:vAlign w:val="top"/>
          </w:tcPr>
          <w:p w14:paraId="5D9E678B">
            <w:pPr>
              <w:pStyle w:val="6"/>
              <w:spacing w:before="159" w:line="220" w:lineRule="auto"/>
              <w:ind w:left="311"/>
            </w:pPr>
            <w:r>
              <w:rPr>
                <w:spacing w:val="-1"/>
              </w:rPr>
              <w:t>低噪设备、厂界围墙</w:t>
            </w:r>
          </w:p>
        </w:tc>
        <w:tc>
          <w:tcPr>
            <w:tcW w:w="1180" w:type="dxa"/>
            <w:gridSpan w:val="3"/>
            <w:tcBorders>
              <w:right w:val="single" w:color="000000" w:sz="8" w:space="0"/>
            </w:tcBorders>
            <w:vAlign w:val="top"/>
          </w:tcPr>
          <w:p w14:paraId="73BDC7F0">
            <w:pPr>
              <w:pStyle w:val="6"/>
              <w:spacing w:before="180"/>
              <w:ind w:left="415"/>
            </w:pPr>
            <w:r>
              <w:rPr>
                <w:spacing w:val="-3"/>
              </w:rPr>
              <w:t>60</w:t>
            </w:r>
          </w:p>
        </w:tc>
      </w:tr>
      <w:tr w14:paraId="696E3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913" w:type="dxa"/>
            <w:vMerge w:val="continue"/>
            <w:tcBorders>
              <w:top w:val="nil"/>
              <w:left w:val="single" w:color="000000" w:sz="8" w:space="0"/>
              <w:bottom w:val="nil"/>
            </w:tcBorders>
            <w:vAlign w:val="top"/>
          </w:tcPr>
          <w:p w14:paraId="3AB2CE71">
            <w:pPr>
              <w:rPr>
                <w:rFonts w:ascii="Arial"/>
                <w:sz w:val="21"/>
              </w:rPr>
            </w:pPr>
          </w:p>
        </w:tc>
        <w:tc>
          <w:tcPr>
            <w:tcW w:w="998" w:type="dxa"/>
            <w:gridSpan w:val="2"/>
            <w:vAlign w:val="top"/>
          </w:tcPr>
          <w:p w14:paraId="693818D1">
            <w:pPr>
              <w:pStyle w:val="6"/>
              <w:spacing w:before="126" w:line="178" w:lineRule="auto"/>
              <w:ind w:left="381"/>
            </w:pPr>
            <w:r>
              <w:rPr>
                <w:spacing w:val="-3"/>
              </w:rPr>
              <w:t>SVG</w:t>
            </w:r>
          </w:p>
        </w:tc>
        <w:tc>
          <w:tcPr>
            <w:tcW w:w="1408" w:type="dxa"/>
            <w:gridSpan w:val="2"/>
            <w:vAlign w:val="top"/>
          </w:tcPr>
          <w:p w14:paraId="2DED9C8A">
            <w:pPr>
              <w:pStyle w:val="6"/>
              <w:spacing w:before="70" w:line="219" w:lineRule="auto"/>
              <w:ind w:left="253"/>
            </w:pPr>
            <w:r>
              <w:rPr>
                <w:spacing w:val="7"/>
              </w:rPr>
              <w:t>升压站内</w:t>
            </w:r>
          </w:p>
        </w:tc>
        <w:tc>
          <w:tcPr>
            <w:tcW w:w="678" w:type="dxa"/>
            <w:gridSpan w:val="2"/>
            <w:vAlign w:val="top"/>
          </w:tcPr>
          <w:p w14:paraId="696A7325">
            <w:pPr>
              <w:pStyle w:val="6"/>
              <w:spacing w:before="70" w:line="220" w:lineRule="auto"/>
              <w:ind w:left="115"/>
            </w:pPr>
            <w:r>
              <w:rPr>
                <w:spacing w:val="-3"/>
              </w:rPr>
              <w:t>频发</w:t>
            </w:r>
          </w:p>
        </w:tc>
        <w:tc>
          <w:tcPr>
            <w:tcW w:w="539" w:type="dxa"/>
            <w:gridSpan w:val="2"/>
            <w:vAlign w:val="top"/>
          </w:tcPr>
          <w:p w14:paraId="0CBA8AEA">
            <w:pPr>
              <w:pStyle w:val="6"/>
              <w:spacing w:before="92" w:line="207" w:lineRule="auto"/>
              <w:ind w:left="207"/>
            </w:pPr>
            <w:r>
              <w:t>1</w:t>
            </w:r>
          </w:p>
        </w:tc>
        <w:tc>
          <w:tcPr>
            <w:tcW w:w="1098" w:type="dxa"/>
            <w:gridSpan w:val="2"/>
            <w:vAlign w:val="top"/>
          </w:tcPr>
          <w:p w14:paraId="67F502B3">
            <w:pPr>
              <w:pStyle w:val="6"/>
              <w:spacing w:before="92" w:line="207" w:lineRule="auto"/>
              <w:ind w:left="218"/>
            </w:pPr>
            <w:r>
              <w:rPr>
                <w:spacing w:val="-3"/>
              </w:rPr>
              <w:t>55～65</w:t>
            </w:r>
          </w:p>
        </w:tc>
        <w:tc>
          <w:tcPr>
            <w:tcW w:w="2595" w:type="dxa"/>
            <w:gridSpan w:val="4"/>
            <w:vAlign w:val="top"/>
          </w:tcPr>
          <w:p w14:paraId="6479E709">
            <w:pPr>
              <w:pStyle w:val="6"/>
              <w:spacing w:before="70" w:line="220" w:lineRule="auto"/>
              <w:ind w:left="311"/>
            </w:pPr>
            <w:r>
              <w:rPr>
                <w:spacing w:val="-1"/>
              </w:rPr>
              <w:t>低噪设备、厂界围墙</w:t>
            </w:r>
          </w:p>
        </w:tc>
        <w:tc>
          <w:tcPr>
            <w:tcW w:w="1180" w:type="dxa"/>
            <w:gridSpan w:val="3"/>
            <w:tcBorders>
              <w:right w:val="single" w:color="000000" w:sz="8" w:space="0"/>
            </w:tcBorders>
            <w:vAlign w:val="top"/>
          </w:tcPr>
          <w:p w14:paraId="4B927B72">
            <w:pPr>
              <w:pStyle w:val="6"/>
              <w:spacing w:before="92" w:line="207" w:lineRule="auto"/>
              <w:ind w:left="415"/>
            </w:pPr>
            <w:r>
              <w:rPr>
                <w:spacing w:val="-3"/>
              </w:rPr>
              <w:t>60</w:t>
            </w:r>
          </w:p>
        </w:tc>
      </w:tr>
      <w:tr w14:paraId="0EDFC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13" w:type="dxa"/>
            <w:vMerge w:val="continue"/>
            <w:tcBorders>
              <w:top w:val="nil"/>
              <w:left w:val="single" w:color="000000" w:sz="8" w:space="0"/>
              <w:bottom w:val="nil"/>
            </w:tcBorders>
            <w:vAlign w:val="top"/>
          </w:tcPr>
          <w:p w14:paraId="0B76251B">
            <w:pPr>
              <w:rPr>
                <w:rFonts w:ascii="Arial"/>
                <w:sz w:val="21"/>
              </w:rPr>
            </w:pPr>
          </w:p>
        </w:tc>
        <w:tc>
          <w:tcPr>
            <w:tcW w:w="998" w:type="dxa"/>
            <w:gridSpan w:val="2"/>
            <w:vAlign w:val="top"/>
          </w:tcPr>
          <w:p w14:paraId="2E05C711">
            <w:pPr>
              <w:pStyle w:val="6"/>
              <w:spacing w:before="21" w:line="220" w:lineRule="auto"/>
              <w:ind w:left="211"/>
            </w:pPr>
            <w:r>
              <w:rPr>
                <w:spacing w:val="-2"/>
              </w:rPr>
              <w:t>配电装</w:t>
            </w:r>
          </w:p>
          <w:p w14:paraId="4E8FAB15">
            <w:pPr>
              <w:pStyle w:val="6"/>
              <w:spacing w:before="13" w:line="194" w:lineRule="auto"/>
              <w:ind w:left="432"/>
            </w:pPr>
            <w:r>
              <w:t>置</w:t>
            </w:r>
          </w:p>
        </w:tc>
        <w:tc>
          <w:tcPr>
            <w:tcW w:w="1408" w:type="dxa"/>
            <w:gridSpan w:val="2"/>
            <w:vAlign w:val="top"/>
          </w:tcPr>
          <w:p w14:paraId="51DD9E86">
            <w:pPr>
              <w:pStyle w:val="6"/>
              <w:spacing w:before="161" w:line="219" w:lineRule="auto"/>
              <w:ind w:left="253"/>
            </w:pPr>
            <w:r>
              <w:rPr>
                <w:spacing w:val="7"/>
              </w:rPr>
              <w:t>升压站内</w:t>
            </w:r>
          </w:p>
        </w:tc>
        <w:tc>
          <w:tcPr>
            <w:tcW w:w="678" w:type="dxa"/>
            <w:gridSpan w:val="2"/>
            <w:vAlign w:val="top"/>
          </w:tcPr>
          <w:p w14:paraId="293440F2">
            <w:pPr>
              <w:pStyle w:val="6"/>
              <w:spacing w:before="161" w:line="220" w:lineRule="auto"/>
              <w:ind w:left="115"/>
            </w:pPr>
            <w:r>
              <w:rPr>
                <w:spacing w:val="-3"/>
              </w:rPr>
              <w:t>频发</w:t>
            </w:r>
          </w:p>
        </w:tc>
        <w:tc>
          <w:tcPr>
            <w:tcW w:w="539" w:type="dxa"/>
            <w:gridSpan w:val="2"/>
            <w:vAlign w:val="top"/>
          </w:tcPr>
          <w:p w14:paraId="72EA3DAB">
            <w:pPr>
              <w:pStyle w:val="6"/>
              <w:spacing w:before="183" w:line="241" w:lineRule="auto"/>
              <w:ind w:left="207"/>
            </w:pPr>
            <w:r>
              <w:t>1</w:t>
            </w:r>
          </w:p>
        </w:tc>
        <w:tc>
          <w:tcPr>
            <w:tcW w:w="1098" w:type="dxa"/>
            <w:gridSpan w:val="2"/>
            <w:vAlign w:val="top"/>
          </w:tcPr>
          <w:p w14:paraId="3A99CFB2">
            <w:pPr>
              <w:pStyle w:val="6"/>
              <w:spacing w:before="182"/>
              <w:ind w:left="218"/>
            </w:pPr>
            <w:r>
              <w:rPr>
                <w:spacing w:val="-3"/>
              </w:rPr>
              <w:t>55～65</w:t>
            </w:r>
          </w:p>
        </w:tc>
        <w:tc>
          <w:tcPr>
            <w:tcW w:w="2595" w:type="dxa"/>
            <w:gridSpan w:val="4"/>
            <w:vAlign w:val="top"/>
          </w:tcPr>
          <w:p w14:paraId="34F40D4E">
            <w:pPr>
              <w:pStyle w:val="6"/>
              <w:spacing w:before="161" w:line="220" w:lineRule="auto"/>
              <w:ind w:left="311"/>
            </w:pPr>
            <w:r>
              <w:rPr>
                <w:spacing w:val="-1"/>
              </w:rPr>
              <w:t>低噪设备、厂界围墙</w:t>
            </w:r>
          </w:p>
        </w:tc>
        <w:tc>
          <w:tcPr>
            <w:tcW w:w="1180" w:type="dxa"/>
            <w:gridSpan w:val="3"/>
            <w:tcBorders>
              <w:right w:val="single" w:color="000000" w:sz="8" w:space="0"/>
            </w:tcBorders>
            <w:vAlign w:val="top"/>
          </w:tcPr>
          <w:p w14:paraId="1A99E491">
            <w:pPr>
              <w:pStyle w:val="6"/>
              <w:spacing w:before="182"/>
              <w:ind w:left="415"/>
            </w:pPr>
            <w:r>
              <w:rPr>
                <w:spacing w:val="-3"/>
              </w:rPr>
              <w:t>60</w:t>
            </w:r>
          </w:p>
        </w:tc>
      </w:tr>
      <w:tr w14:paraId="14299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13" w:type="dxa"/>
            <w:vMerge w:val="continue"/>
            <w:tcBorders>
              <w:top w:val="nil"/>
              <w:left w:val="single" w:color="000000" w:sz="8" w:space="0"/>
              <w:bottom w:val="nil"/>
            </w:tcBorders>
            <w:vAlign w:val="top"/>
          </w:tcPr>
          <w:p w14:paraId="468457E2">
            <w:pPr>
              <w:rPr>
                <w:rFonts w:ascii="Arial"/>
                <w:sz w:val="21"/>
              </w:rPr>
            </w:pPr>
          </w:p>
        </w:tc>
        <w:tc>
          <w:tcPr>
            <w:tcW w:w="998" w:type="dxa"/>
            <w:gridSpan w:val="2"/>
            <w:vAlign w:val="top"/>
          </w:tcPr>
          <w:p w14:paraId="3B43DD9F">
            <w:pPr>
              <w:pStyle w:val="6"/>
              <w:spacing w:before="32" w:line="220" w:lineRule="auto"/>
              <w:ind w:left="211"/>
            </w:pPr>
            <w:r>
              <w:rPr>
                <w:spacing w:val="-2"/>
              </w:rPr>
              <w:t>储能设</w:t>
            </w:r>
          </w:p>
          <w:p w14:paraId="166B5D39">
            <w:pPr>
              <w:pStyle w:val="6"/>
              <w:spacing w:before="10" w:line="188" w:lineRule="auto"/>
              <w:ind w:left="432"/>
            </w:pPr>
            <w:r>
              <w:t>施</w:t>
            </w:r>
          </w:p>
        </w:tc>
        <w:tc>
          <w:tcPr>
            <w:tcW w:w="1408" w:type="dxa"/>
            <w:gridSpan w:val="2"/>
            <w:vAlign w:val="top"/>
          </w:tcPr>
          <w:p w14:paraId="284776DF">
            <w:pPr>
              <w:pStyle w:val="6"/>
              <w:spacing w:before="162" w:line="219" w:lineRule="auto"/>
              <w:ind w:left="253"/>
            </w:pPr>
            <w:r>
              <w:rPr>
                <w:spacing w:val="7"/>
              </w:rPr>
              <w:t>升压站内</w:t>
            </w:r>
          </w:p>
        </w:tc>
        <w:tc>
          <w:tcPr>
            <w:tcW w:w="678" w:type="dxa"/>
            <w:gridSpan w:val="2"/>
            <w:vAlign w:val="top"/>
          </w:tcPr>
          <w:p w14:paraId="468ECA34">
            <w:pPr>
              <w:pStyle w:val="6"/>
              <w:spacing w:before="162" w:line="220" w:lineRule="auto"/>
              <w:ind w:left="115"/>
            </w:pPr>
            <w:r>
              <w:rPr>
                <w:spacing w:val="-3"/>
              </w:rPr>
              <w:t>频发</w:t>
            </w:r>
          </w:p>
        </w:tc>
        <w:tc>
          <w:tcPr>
            <w:tcW w:w="539" w:type="dxa"/>
            <w:gridSpan w:val="2"/>
            <w:vAlign w:val="top"/>
          </w:tcPr>
          <w:p w14:paraId="3D6F50EF">
            <w:pPr>
              <w:pStyle w:val="6"/>
              <w:spacing w:before="184" w:line="241" w:lineRule="auto"/>
              <w:ind w:left="207"/>
            </w:pPr>
            <w:r>
              <w:t>2</w:t>
            </w:r>
          </w:p>
        </w:tc>
        <w:tc>
          <w:tcPr>
            <w:tcW w:w="1098" w:type="dxa"/>
            <w:gridSpan w:val="2"/>
            <w:vAlign w:val="top"/>
          </w:tcPr>
          <w:p w14:paraId="382C8F4C">
            <w:pPr>
              <w:pStyle w:val="6"/>
              <w:spacing w:before="183"/>
              <w:ind w:left="218"/>
            </w:pPr>
            <w:r>
              <w:rPr>
                <w:spacing w:val="-3"/>
              </w:rPr>
              <w:t>55～65</w:t>
            </w:r>
          </w:p>
        </w:tc>
        <w:tc>
          <w:tcPr>
            <w:tcW w:w="2595" w:type="dxa"/>
            <w:gridSpan w:val="4"/>
            <w:vAlign w:val="top"/>
          </w:tcPr>
          <w:p w14:paraId="088E9126">
            <w:pPr>
              <w:pStyle w:val="6"/>
              <w:spacing w:before="162" w:line="220" w:lineRule="auto"/>
              <w:ind w:left="200"/>
            </w:pPr>
            <w:r>
              <w:rPr>
                <w:spacing w:val="1"/>
              </w:rPr>
              <w:t>低噪设备、预制舱隔声</w:t>
            </w:r>
          </w:p>
        </w:tc>
        <w:tc>
          <w:tcPr>
            <w:tcW w:w="1180" w:type="dxa"/>
            <w:gridSpan w:val="3"/>
            <w:tcBorders>
              <w:right w:val="single" w:color="000000" w:sz="8" w:space="0"/>
            </w:tcBorders>
            <w:vAlign w:val="top"/>
          </w:tcPr>
          <w:p w14:paraId="4BF8221E">
            <w:pPr>
              <w:pStyle w:val="6"/>
              <w:spacing w:before="183"/>
              <w:ind w:left="415"/>
            </w:pPr>
            <w:r>
              <w:rPr>
                <w:spacing w:val="-3"/>
              </w:rPr>
              <w:t>60</w:t>
            </w:r>
          </w:p>
        </w:tc>
      </w:tr>
      <w:tr w14:paraId="0B373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913" w:type="dxa"/>
            <w:vMerge w:val="continue"/>
            <w:tcBorders>
              <w:top w:val="nil"/>
              <w:left w:val="single" w:color="000000" w:sz="8" w:space="0"/>
              <w:bottom w:val="nil"/>
            </w:tcBorders>
            <w:vAlign w:val="top"/>
          </w:tcPr>
          <w:p w14:paraId="5234F3B9">
            <w:pPr>
              <w:rPr>
                <w:rFonts w:ascii="Arial"/>
                <w:sz w:val="21"/>
              </w:rPr>
            </w:pPr>
          </w:p>
        </w:tc>
        <w:tc>
          <w:tcPr>
            <w:tcW w:w="998" w:type="dxa"/>
            <w:gridSpan w:val="2"/>
            <w:vAlign w:val="top"/>
          </w:tcPr>
          <w:p w14:paraId="134E4469">
            <w:pPr>
              <w:pStyle w:val="6"/>
              <w:spacing w:before="303" w:line="219" w:lineRule="auto"/>
              <w:ind w:left="321"/>
            </w:pPr>
            <w:r>
              <w:rPr>
                <w:spacing w:val="5"/>
              </w:rPr>
              <w:t>水泵</w:t>
            </w:r>
          </w:p>
        </w:tc>
        <w:tc>
          <w:tcPr>
            <w:tcW w:w="1408" w:type="dxa"/>
            <w:gridSpan w:val="2"/>
            <w:vAlign w:val="top"/>
          </w:tcPr>
          <w:p w14:paraId="7AAB0B37">
            <w:pPr>
              <w:pStyle w:val="6"/>
              <w:spacing w:before="303" w:line="219" w:lineRule="auto"/>
              <w:ind w:left="253"/>
            </w:pPr>
            <w:r>
              <w:rPr>
                <w:spacing w:val="7"/>
              </w:rPr>
              <w:t>升压站内</w:t>
            </w:r>
          </w:p>
        </w:tc>
        <w:tc>
          <w:tcPr>
            <w:tcW w:w="678" w:type="dxa"/>
            <w:gridSpan w:val="2"/>
            <w:vAlign w:val="top"/>
          </w:tcPr>
          <w:p w14:paraId="42DD93C2">
            <w:pPr>
              <w:pStyle w:val="6"/>
              <w:spacing w:before="301" w:line="219" w:lineRule="auto"/>
              <w:ind w:left="115"/>
            </w:pPr>
            <w:r>
              <w:rPr>
                <w:spacing w:val="-3"/>
              </w:rPr>
              <w:t>偶发</w:t>
            </w:r>
          </w:p>
        </w:tc>
        <w:tc>
          <w:tcPr>
            <w:tcW w:w="539" w:type="dxa"/>
            <w:gridSpan w:val="2"/>
            <w:vAlign w:val="top"/>
          </w:tcPr>
          <w:p w14:paraId="785436BC">
            <w:pPr>
              <w:spacing w:line="251" w:lineRule="auto"/>
              <w:rPr>
                <w:rFonts w:ascii="Arial"/>
                <w:sz w:val="21"/>
              </w:rPr>
            </w:pPr>
          </w:p>
          <w:p w14:paraId="50BB308D">
            <w:pPr>
              <w:pStyle w:val="6"/>
              <w:spacing w:before="72" w:line="241" w:lineRule="auto"/>
              <w:ind w:left="207"/>
            </w:pPr>
            <w:r>
              <w:t>4</w:t>
            </w:r>
          </w:p>
        </w:tc>
        <w:tc>
          <w:tcPr>
            <w:tcW w:w="1098" w:type="dxa"/>
            <w:gridSpan w:val="2"/>
            <w:vAlign w:val="top"/>
          </w:tcPr>
          <w:p w14:paraId="46CA1253">
            <w:pPr>
              <w:spacing w:line="251" w:lineRule="auto"/>
              <w:rPr>
                <w:rFonts w:ascii="Arial"/>
                <w:sz w:val="21"/>
              </w:rPr>
            </w:pPr>
          </w:p>
          <w:p w14:paraId="63BFC61E">
            <w:pPr>
              <w:pStyle w:val="6"/>
              <w:spacing w:before="71"/>
              <w:ind w:left="268"/>
            </w:pPr>
            <w:r>
              <w:rPr>
                <w:spacing w:val="-3"/>
              </w:rPr>
              <w:t>75~85</w:t>
            </w:r>
          </w:p>
        </w:tc>
        <w:tc>
          <w:tcPr>
            <w:tcW w:w="2595" w:type="dxa"/>
            <w:gridSpan w:val="4"/>
            <w:vAlign w:val="top"/>
          </w:tcPr>
          <w:p w14:paraId="25605454">
            <w:pPr>
              <w:pStyle w:val="6"/>
              <w:spacing w:before="43" w:line="219" w:lineRule="auto"/>
              <w:jc w:val="right"/>
            </w:pPr>
            <w:r>
              <w:rPr>
                <w:spacing w:val="6"/>
              </w:rPr>
              <w:t>低噪设备、置于泵房内、</w:t>
            </w:r>
          </w:p>
          <w:p w14:paraId="2F7105DC">
            <w:pPr>
              <w:pStyle w:val="6"/>
              <w:spacing w:before="8" w:line="194" w:lineRule="auto"/>
              <w:ind w:left="90"/>
            </w:pPr>
            <w:r>
              <w:rPr>
                <w:spacing w:val="-1"/>
              </w:rPr>
              <w:t>厂界围墙，水泵夜间不运</w:t>
            </w:r>
          </w:p>
          <w:p w14:paraId="23E0EE2C">
            <w:pPr>
              <w:pStyle w:val="6"/>
              <w:spacing w:line="220" w:lineRule="auto"/>
              <w:ind w:left="1060"/>
            </w:pPr>
            <w:r>
              <w:t>行。</w:t>
            </w:r>
          </w:p>
        </w:tc>
        <w:tc>
          <w:tcPr>
            <w:tcW w:w="1180" w:type="dxa"/>
            <w:gridSpan w:val="3"/>
            <w:tcBorders>
              <w:right w:val="single" w:color="000000" w:sz="8" w:space="0"/>
            </w:tcBorders>
            <w:vAlign w:val="top"/>
          </w:tcPr>
          <w:p w14:paraId="4191727C">
            <w:pPr>
              <w:spacing w:line="251" w:lineRule="auto"/>
              <w:rPr>
                <w:rFonts w:ascii="Arial"/>
                <w:sz w:val="21"/>
              </w:rPr>
            </w:pPr>
          </w:p>
          <w:p w14:paraId="7EE24977">
            <w:pPr>
              <w:pStyle w:val="6"/>
              <w:spacing w:before="71"/>
              <w:ind w:left="415"/>
            </w:pPr>
            <w:r>
              <w:rPr>
                <w:spacing w:val="-3"/>
              </w:rPr>
              <w:t>65</w:t>
            </w:r>
          </w:p>
        </w:tc>
      </w:tr>
      <w:tr w14:paraId="35431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13" w:type="dxa"/>
            <w:vMerge w:val="continue"/>
            <w:tcBorders>
              <w:top w:val="nil"/>
              <w:left w:val="single" w:color="000000" w:sz="8" w:space="0"/>
            </w:tcBorders>
            <w:vAlign w:val="top"/>
          </w:tcPr>
          <w:p w14:paraId="59D37162">
            <w:pPr>
              <w:rPr>
                <w:rFonts w:ascii="Arial"/>
                <w:sz w:val="21"/>
              </w:rPr>
            </w:pPr>
          </w:p>
        </w:tc>
        <w:tc>
          <w:tcPr>
            <w:tcW w:w="8496" w:type="dxa"/>
            <w:gridSpan w:val="17"/>
            <w:tcBorders>
              <w:right w:val="single" w:color="000000" w:sz="8" w:space="0"/>
            </w:tcBorders>
            <w:vAlign w:val="top"/>
          </w:tcPr>
          <w:p w14:paraId="577781EA">
            <w:pPr>
              <w:pStyle w:val="6"/>
              <w:spacing w:before="43" w:line="207" w:lineRule="auto"/>
              <w:ind w:left="581"/>
            </w:pPr>
            <w:r>
              <w:rPr>
                <w:spacing w:val="-1"/>
              </w:rPr>
              <w:t>项目产生噪声的噪声源强调查清单见下表。</w:t>
            </w:r>
          </w:p>
        </w:tc>
      </w:tr>
      <w:tr w14:paraId="28C6D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0" w:hRule="atLeast"/>
        </w:trPr>
        <w:tc>
          <w:tcPr>
            <w:tcW w:w="913" w:type="dxa"/>
            <w:vMerge w:val="restart"/>
            <w:tcBorders>
              <w:left w:val="single" w:color="000000" w:sz="8" w:space="0"/>
              <w:bottom w:val="nil"/>
            </w:tcBorders>
            <w:vAlign w:val="top"/>
          </w:tcPr>
          <w:p w14:paraId="69854FAE">
            <w:pPr>
              <w:rPr>
                <w:rFonts w:ascii="Arial"/>
                <w:sz w:val="21"/>
              </w:rPr>
            </w:pPr>
          </w:p>
        </w:tc>
        <w:tc>
          <w:tcPr>
            <w:tcW w:w="8496" w:type="dxa"/>
            <w:gridSpan w:val="17"/>
            <w:tcBorders>
              <w:right w:val="single" w:color="000000" w:sz="8" w:space="0"/>
            </w:tcBorders>
            <w:vAlign w:val="top"/>
          </w:tcPr>
          <w:p w14:paraId="47269730">
            <w:pPr>
              <w:pStyle w:val="6"/>
              <w:spacing w:before="182" w:line="205" w:lineRule="auto"/>
              <w:ind w:left="1091"/>
              <w:rPr>
                <w:sz w:val="25"/>
                <w:szCs w:val="25"/>
              </w:rPr>
            </w:pPr>
            <w:r>
              <w:rPr>
                <w:position w:val="-2"/>
                <w:sz w:val="25"/>
                <w:szCs w:val="25"/>
              </w:rPr>
              <w:t>表4-16</w:t>
            </w:r>
            <w:r>
              <w:rPr>
                <w:spacing w:val="18"/>
                <w:position w:val="-2"/>
                <w:sz w:val="25"/>
                <w:szCs w:val="25"/>
              </w:rPr>
              <w:t xml:space="preserve">     </w:t>
            </w:r>
            <w:r>
              <w:rPr>
                <w:b/>
                <w:bCs/>
                <w:sz w:val="25"/>
                <w:szCs w:val="25"/>
              </w:rPr>
              <w:t>项目工业企业噪声源强调查清单(室外声源)</w:t>
            </w:r>
          </w:p>
          <w:tbl>
            <w:tblPr>
              <w:tblStyle w:val="5"/>
              <w:tblW w:w="8140" w:type="dxa"/>
              <w:tblInd w:w="1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5"/>
              <w:gridCol w:w="1278"/>
              <w:gridCol w:w="489"/>
              <w:gridCol w:w="609"/>
              <w:gridCol w:w="709"/>
              <w:gridCol w:w="569"/>
              <w:gridCol w:w="1718"/>
              <w:gridCol w:w="1089"/>
              <w:gridCol w:w="1204"/>
            </w:tblGrid>
            <w:tr w14:paraId="4A790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75" w:type="dxa"/>
                  <w:vMerge w:val="restart"/>
                  <w:tcBorders>
                    <w:bottom w:val="nil"/>
                  </w:tcBorders>
                  <w:vAlign w:val="top"/>
                </w:tcPr>
                <w:p w14:paraId="2669EF98">
                  <w:pPr>
                    <w:spacing w:line="384" w:lineRule="auto"/>
                    <w:rPr>
                      <w:rFonts w:ascii="Arial"/>
                      <w:sz w:val="21"/>
                    </w:rPr>
                  </w:pPr>
                </w:p>
                <w:p w14:paraId="0D96C80C">
                  <w:pPr>
                    <w:pStyle w:val="6"/>
                    <w:spacing w:before="68" w:line="221" w:lineRule="auto"/>
                    <w:ind w:left="15"/>
                    <w:rPr>
                      <w:sz w:val="21"/>
                      <w:szCs w:val="21"/>
                    </w:rPr>
                  </w:pPr>
                  <w:r>
                    <w:rPr>
                      <w:spacing w:val="6"/>
                      <w:sz w:val="21"/>
                      <w:szCs w:val="21"/>
                    </w:rPr>
                    <w:t>序号</w:t>
                  </w:r>
                </w:p>
              </w:tc>
              <w:tc>
                <w:tcPr>
                  <w:tcW w:w="1278" w:type="dxa"/>
                  <w:vMerge w:val="restart"/>
                  <w:tcBorders>
                    <w:bottom w:val="nil"/>
                  </w:tcBorders>
                  <w:vAlign w:val="top"/>
                </w:tcPr>
                <w:p w14:paraId="52B97160">
                  <w:pPr>
                    <w:spacing w:line="383" w:lineRule="auto"/>
                    <w:rPr>
                      <w:rFonts w:ascii="Arial"/>
                      <w:sz w:val="21"/>
                    </w:rPr>
                  </w:pPr>
                </w:p>
                <w:p w14:paraId="7A619E1B">
                  <w:pPr>
                    <w:pStyle w:val="6"/>
                    <w:spacing w:before="68" w:line="220" w:lineRule="auto"/>
                    <w:ind w:left="210"/>
                    <w:rPr>
                      <w:sz w:val="21"/>
                      <w:szCs w:val="21"/>
                    </w:rPr>
                  </w:pPr>
                  <w:r>
                    <w:rPr>
                      <w:spacing w:val="2"/>
                      <w:sz w:val="21"/>
                      <w:szCs w:val="21"/>
                    </w:rPr>
                    <w:t>声源名称</w:t>
                  </w:r>
                </w:p>
              </w:tc>
              <w:tc>
                <w:tcPr>
                  <w:tcW w:w="489" w:type="dxa"/>
                  <w:vMerge w:val="restart"/>
                  <w:tcBorders>
                    <w:bottom w:val="nil"/>
                  </w:tcBorders>
                  <w:vAlign w:val="top"/>
                </w:tcPr>
                <w:p w14:paraId="04D0C292">
                  <w:pPr>
                    <w:spacing w:line="383" w:lineRule="auto"/>
                    <w:rPr>
                      <w:rFonts w:ascii="Arial"/>
                      <w:sz w:val="21"/>
                    </w:rPr>
                  </w:pPr>
                </w:p>
                <w:p w14:paraId="77A1B61A">
                  <w:pPr>
                    <w:pStyle w:val="6"/>
                    <w:spacing w:before="68" w:line="219" w:lineRule="auto"/>
                    <w:ind w:left="22"/>
                    <w:rPr>
                      <w:sz w:val="21"/>
                      <w:szCs w:val="21"/>
                    </w:rPr>
                  </w:pPr>
                  <w:r>
                    <w:rPr>
                      <w:spacing w:val="4"/>
                      <w:sz w:val="21"/>
                      <w:szCs w:val="21"/>
                    </w:rPr>
                    <w:t>台数</w:t>
                  </w:r>
                </w:p>
              </w:tc>
              <w:tc>
                <w:tcPr>
                  <w:tcW w:w="1887" w:type="dxa"/>
                  <w:gridSpan w:val="3"/>
                  <w:vAlign w:val="top"/>
                </w:tcPr>
                <w:p w14:paraId="19F71CA5">
                  <w:pPr>
                    <w:pStyle w:val="6"/>
                    <w:spacing w:before="45" w:line="219" w:lineRule="auto"/>
                    <w:ind w:left="832" w:right="306" w:hanging="529"/>
                    <w:rPr>
                      <w:sz w:val="21"/>
                      <w:szCs w:val="21"/>
                    </w:rPr>
                  </w:pPr>
                  <w:r>
                    <w:rPr>
                      <w:spacing w:val="1"/>
                      <w:sz w:val="21"/>
                      <w:szCs w:val="21"/>
                    </w:rPr>
                    <w:t>空间相对位置</w:t>
                  </w:r>
                  <w:r>
                    <w:rPr>
                      <w:sz w:val="21"/>
                      <w:szCs w:val="21"/>
                    </w:rPr>
                    <w:t xml:space="preserve"> </w:t>
                  </w:r>
                  <w:r>
                    <w:rPr>
                      <w:spacing w:val="-2"/>
                      <w:sz w:val="21"/>
                      <w:szCs w:val="21"/>
                    </w:rPr>
                    <w:t>/m</w:t>
                  </w:r>
                </w:p>
              </w:tc>
              <w:tc>
                <w:tcPr>
                  <w:tcW w:w="1718" w:type="dxa"/>
                  <w:vAlign w:val="top"/>
                </w:tcPr>
                <w:p w14:paraId="2FC9720A">
                  <w:pPr>
                    <w:pStyle w:val="6"/>
                    <w:spacing w:before="34" w:line="224" w:lineRule="auto"/>
                    <w:ind w:left="166" w:right="79" w:hanging="100"/>
                    <w:rPr>
                      <w:sz w:val="21"/>
                      <w:szCs w:val="21"/>
                    </w:rPr>
                  </w:pPr>
                  <w:r>
                    <w:rPr>
                      <w:spacing w:val="-2"/>
                      <w:sz w:val="21"/>
                      <w:szCs w:val="21"/>
                    </w:rPr>
                    <w:t>声源源强(控制措</w:t>
                  </w:r>
                  <w:r>
                    <w:rPr>
                      <w:spacing w:val="2"/>
                      <w:sz w:val="21"/>
                      <w:szCs w:val="21"/>
                    </w:rPr>
                    <w:t xml:space="preserve"> </w:t>
                  </w:r>
                  <w:r>
                    <w:rPr>
                      <w:spacing w:val="7"/>
                      <w:sz w:val="21"/>
                      <w:szCs w:val="21"/>
                    </w:rPr>
                    <w:t>施实施后源强)</w:t>
                  </w:r>
                </w:p>
              </w:tc>
              <w:tc>
                <w:tcPr>
                  <w:tcW w:w="1089" w:type="dxa"/>
                  <w:vMerge w:val="restart"/>
                  <w:tcBorders>
                    <w:bottom w:val="nil"/>
                  </w:tcBorders>
                  <w:vAlign w:val="top"/>
                </w:tcPr>
                <w:p w14:paraId="415AB098">
                  <w:pPr>
                    <w:pStyle w:val="6"/>
                    <w:spacing w:before="304" w:line="252" w:lineRule="auto"/>
                    <w:ind w:left="427" w:hanging="409"/>
                    <w:rPr>
                      <w:sz w:val="21"/>
                      <w:szCs w:val="21"/>
                    </w:rPr>
                  </w:pPr>
                  <w:r>
                    <w:rPr>
                      <w:spacing w:val="2"/>
                      <w:sz w:val="21"/>
                      <w:szCs w:val="21"/>
                    </w:rPr>
                    <w:t>声源控制措</w:t>
                  </w:r>
                  <w:r>
                    <w:rPr>
                      <w:sz w:val="21"/>
                      <w:szCs w:val="21"/>
                    </w:rPr>
                    <w:t xml:space="preserve"> 施</w:t>
                  </w:r>
                </w:p>
              </w:tc>
              <w:tc>
                <w:tcPr>
                  <w:tcW w:w="1204" w:type="dxa"/>
                  <w:vMerge w:val="restart"/>
                  <w:tcBorders>
                    <w:bottom w:val="nil"/>
                  </w:tcBorders>
                  <w:vAlign w:val="top"/>
                </w:tcPr>
                <w:p w14:paraId="6296E1F8">
                  <w:pPr>
                    <w:spacing w:line="383" w:lineRule="auto"/>
                    <w:rPr>
                      <w:rFonts w:ascii="Arial"/>
                      <w:sz w:val="21"/>
                    </w:rPr>
                  </w:pPr>
                </w:p>
                <w:p w14:paraId="0611A17B">
                  <w:pPr>
                    <w:pStyle w:val="6"/>
                    <w:spacing w:before="68" w:line="220" w:lineRule="auto"/>
                    <w:ind w:left="179"/>
                    <w:rPr>
                      <w:sz w:val="21"/>
                      <w:szCs w:val="21"/>
                    </w:rPr>
                  </w:pPr>
                  <w:r>
                    <w:rPr>
                      <w:spacing w:val="-2"/>
                      <w:sz w:val="21"/>
                      <w:szCs w:val="21"/>
                    </w:rPr>
                    <w:t>运行时段</w:t>
                  </w:r>
                </w:p>
              </w:tc>
            </w:tr>
            <w:tr w14:paraId="3FD1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75" w:type="dxa"/>
                  <w:vMerge w:val="continue"/>
                  <w:tcBorders>
                    <w:top w:val="nil"/>
                  </w:tcBorders>
                  <w:vAlign w:val="top"/>
                </w:tcPr>
                <w:p w14:paraId="37831F99">
                  <w:pPr>
                    <w:rPr>
                      <w:rFonts w:ascii="Arial"/>
                      <w:sz w:val="21"/>
                    </w:rPr>
                  </w:pPr>
                </w:p>
              </w:tc>
              <w:tc>
                <w:tcPr>
                  <w:tcW w:w="1278" w:type="dxa"/>
                  <w:vMerge w:val="continue"/>
                  <w:tcBorders>
                    <w:top w:val="nil"/>
                  </w:tcBorders>
                  <w:vAlign w:val="top"/>
                </w:tcPr>
                <w:p w14:paraId="24769CD5">
                  <w:pPr>
                    <w:rPr>
                      <w:rFonts w:ascii="Arial"/>
                      <w:sz w:val="21"/>
                    </w:rPr>
                  </w:pPr>
                </w:p>
              </w:tc>
              <w:tc>
                <w:tcPr>
                  <w:tcW w:w="489" w:type="dxa"/>
                  <w:vMerge w:val="continue"/>
                  <w:tcBorders>
                    <w:top w:val="nil"/>
                  </w:tcBorders>
                  <w:vAlign w:val="top"/>
                </w:tcPr>
                <w:p w14:paraId="5A0E61C9">
                  <w:pPr>
                    <w:rPr>
                      <w:rFonts w:ascii="Arial"/>
                      <w:sz w:val="21"/>
                    </w:rPr>
                  </w:pPr>
                </w:p>
              </w:tc>
              <w:tc>
                <w:tcPr>
                  <w:tcW w:w="609" w:type="dxa"/>
                  <w:vAlign w:val="top"/>
                </w:tcPr>
                <w:p w14:paraId="1F646FA6">
                  <w:pPr>
                    <w:pStyle w:val="6"/>
                    <w:spacing w:before="224" w:line="182" w:lineRule="auto"/>
                    <w:ind w:left="243"/>
                    <w:rPr>
                      <w:sz w:val="21"/>
                      <w:szCs w:val="21"/>
                    </w:rPr>
                  </w:pPr>
                  <w:r>
                    <w:rPr>
                      <w:sz w:val="21"/>
                      <w:szCs w:val="21"/>
                    </w:rPr>
                    <w:t>X</w:t>
                  </w:r>
                </w:p>
              </w:tc>
              <w:tc>
                <w:tcPr>
                  <w:tcW w:w="709" w:type="dxa"/>
                  <w:vAlign w:val="top"/>
                </w:tcPr>
                <w:p w14:paraId="0FE5D7B5">
                  <w:pPr>
                    <w:pStyle w:val="6"/>
                    <w:spacing w:before="224" w:line="182" w:lineRule="auto"/>
                    <w:ind w:left="294"/>
                    <w:rPr>
                      <w:sz w:val="21"/>
                      <w:szCs w:val="21"/>
                    </w:rPr>
                  </w:pPr>
                  <w:r>
                    <w:rPr>
                      <w:sz w:val="21"/>
                      <w:szCs w:val="21"/>
                    </w:rPr>
                    <w:t>Y</w:t>
                  </w:r>
                </w:p>
              </w:tc>
              <w:tc>
                <w:tcPr>
                  <w:tcW w:w="569" w:type="dxa"/>
                  <w:vAlign w:val="top"/>
                </w:tcPr>
                <w:p w14:paraId="1BA3D6CD">
                  <w:pPr>
                    <w:pStyle w:val="6"/>
                    <w:spacing w:before="224" w:line="182" w:lineRule="auto"/>
                    <w:ind w:left="225"/>
                    <w:rPr>
                      <w:sz w:val="21"/>
                      <w:szCs w:val="21"/>
                    </w:rPr>
                  </w:pPr>
                  <w:r>
                    <w:rPr>
                      <w:sz w:val="21"/>
                      <w:szCs w:val="21"/>
                    </w:rPr>
                    <w:t>Z</w:t>
                  </w:r>
                </w:p>
              </w:tc>
              <w:tc>
                <w:tcPr>
                  <w:tcW w:w="1718" w:type="dxa"/>
                  <w:vAlign w:val="top"/>
                </w:tcPr>
                <w:p w14:paraId="442860C1">
                  <w:pPr>
                    <w:pStyle w:val="6"/>
                    <w:spacing w:before="30" w:line="219" w:lineRule="auto"/>
                    <w:ind w:left="16" w:firstLine="98"/>
                    <w:rPr>
                      <w:sz w:val="21"/>
                      <w:szCs w:val="21"/>
                    </w:rPr>
                  </w:pPr>
                  <w:r>
                    <w:rPr>
                      <w:spacing w:val="-3"/>
                      <w:sz w:val="21"/>
                      <w:szCs w:val="21"/>
                    </w:rPr>
                    <w:t>(声压级/距声源</w:t>
                  </w:r>
                  <w:r>
                    <w:rPr>
                      <w:spacing w:val="1"/>
                      <w:sz w:val="21"/>
                      <w:szCs w:val="21"/>
                    </w:rPr>
                    <w:t xml:space="preserve">  </w:t>
                  </w:r>
                  <w:r>
                    <w:rPr>
                      <w:sz w:val="21"/>
                      <w:szCs w:val="21"/>
                    </w:rPr>
                    <w:t>距离)/(dB(A)/1m)</w:t>
                  </w:r>
                </w:p>
              </w:tc>
              <w:tc>
                <w:tcPr>
                  <w:tcW w:w="1089" w:type="dxa"/>
                  <w:vMerge w:val="continue"/>
                  <w:tcBorders>
                    <w:top w:val="nil"/>
                  </w:tcBorders>
                  <w:vAlign w:val="top"/>
                </w:tcPr>
                <w:p w14:paraId="57CB8914">
                  <w:pPr>
                    <w:rPr>
                      <w:rFonts w:ascii="Arial"/>
                      <w:sz w:val="21"/>
                    </w:rPr>
                  </w:pPr>
                </w:p>
              </w:tc>
              <w:tc>
                <w:tcPr>
                  <w:tcW w:w="1204" w:type="dxa"/>
                  <w:vMerge w:val="continue"/>
                  <w:tcBorders>
                    <w:top w:val="nil"/>
                  </w:tcBorders>
                  <w:vAlign w:val="top"/>
                </w:tcPr>
                <w:p w14:paraId="517D0ACE">
                  <w:pPr>
                    <w:rPr>
                      <w:rFonts w:ascii="Arial"/>
                      <w:sz w:val="21"/>
                    </w:rPr>
                  </w:pPr>
                </w:p>
              </w:tc>
            </w:tr>
            <w:tr w14:paraId="33EEF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75" w:type="dxa"/>
                  <w:vAlign w:val="top"/>
                </w:tcPr>
                <w:p w14:paraId="52EECCFF">
                  <w:pPr>
                    <w:pStyle w:val="6"/>
                    <w:spacing w:before="191" w:line="241" w:lineRule="auto"/>
                    <w:ind w:left="175"/>
                    <w:rPr>
                      <w:sz w:val="21"/>
                      <w:szCs w:val="21"/>
                    </w:rPr>
                  </w:pPr>
                  <w:r>
                    <w:rPr>
                      <w:sz w:val="21"/>
                      <w:szCs w:val="21"/>
                    </w:rPr>
                    <w:t>1</w:t>
                  </w:r>
                </w:p>
              </w:tc>
              <w:tc>
                <w:tcPr>
                  <w:tcW w:w="1278" w:type="dxa"/>
                  <w:vAlign w:val="top"/>
                </w:tcPr>
                <w:p w14:paraId="28561EE6">
                  <w:pPr>
                    <w:pStyle w:val="6"/>
                    <w:spacing w:before="171" w:line="221" w:lineRule="auto"/>
                    <w:ind w:left="210"/>
                    <w:rPr>
                      <w:sz w:val="21"/>
                      <w:szCs w:val="21"/>
                    </w:rPr>
                  </w:pPr>
                  <w:r>
                    <w:rPr>
                      <w:spacing w:val="-2"/>
                      <w:sz w:val="21"/>
                      <w:szCs w:val="21"/>
                    </w:rPr>
                    <w:t>主变压器</w:t>
                  </w:r>
                </w:p>
              </w:tc>
              <w:tc>
                <w:tcPr>
                  <w:tcW w:w="489" w:type="dxa"/>
                  <w:vAlign w:val="top"/>
                </w:tcPr>
                <w:p w14:paraId="0EB4969F">
                  <w:pPr>
                    <w:pStyle w:val="6"/>
                    <w:spacing w:before="191" w:line="241" w:lineRule="auto"/>
                    <w:ind w:left="182"/>
                    <w:rPr>
                      <w:sz w:val="21"/>
                      <w:szCs w:val="21"/>
                    </w:rPr>
                  </w:pPr>
                  <w:r>
                    <w:rPr>
                      <w:sz w:val="21"/>
                      <w:szCs w:val="21"/>
                    </w:rPr>
                    <w:t>1</w:t>
                  </w:r>
                </w:p>
              </w:tc>
              <w:tc>
                <w:tcPr>
                  <w:tcW w:w="609" w:type="dxa"/>
                  <w:vAlign w:val="top"/>
                </w:tcPr>
                <w:p w14:paraId="4B6D2913">
                  <w:pPr>
                    <w:pStyle w:val="6"/>
                    <w:spacing w:before="191" w:line="239" w:lineRule="auto"/>
                    <w:ind w:left="33"/>
                    <w:rPr>
                      <w:sz w:val="21"/>
                      <w:szCs w:val="21"/>
                    </w:rPr>
                  </w:pPr>
                  <w:r>
                    <w:rPr>
                      <w:spacing w:val="-2"/>
                      <w:sz w:val="21"/>
                      <w:szCs w:val="21"/>
                    </w:rPr>
                    <w:t>45.87</w:t>
                  </w:r>
                </w:p>
              </w:tc>
              <w:tc>
                <w:tcPr>
                  <w:tcW w:w="709" w:type="dxa"/>
                  <w:vAlign w:val="top"/>
                </w:tcPr>
                <w:p w14:paraId="0FB775BF">
                  <w:pPr>
                    <w:pStyle w:val="6"/>
                    <w:spacing w:before="191" w:line="239" w:lineRule="auto"/>
                    <w:ind w:left="84"/>
                    <w:rPr>
                      <w:sz w:val="21"/>
                      <w:szCs w:val="21"/>
                    </w:rPr>
                  </w:pPr>
                  <w:r>
                    <w:rPr>
                      <w:spacing w:val="-2"/>
                      <w:sz w:val="21"/>
                      <w:szCs w:val="21"/>
                    </w:rPr>
                    <w:t>32.93</w:t>
                  </w:r>
                </w:p>
              </w:tc>
              <w:tc>
                <w:tcPr>
                  <w:tcW w:w="569" w:type="dxa"/>
                  <w:vAlign w:val="top"/>
                </w:tcPr>
                <w:p w14:paraId="71F26FCC">
                  <w:pPr>
                    <w:pStyle w:val="6"/>
                    <w:spacing w:before="191" w:line="239" w:lineRule="auto"/>
                    <w:ind w:left="115"/>
                    <w:rPr>
                      <w:sz w:val="21"/>
                      <w:szCs w:val="21"/>
                    </w:rPr>
                  </w:pPr>
                  <w:r>
                    <w:rPr>
                      <w:spacing w:val="-6"/>
                      <w:sz w:val="21"/>
                      <w:szCs w:val="21"/>
                    </w:rPr>
                    <w:t>1.0</w:t>
                  </w:r>
                </w:p>
              </w:tc>
              <w:tc>
                <w:tcPr>
                  <w:tcW w:w="1718" w:type="dxa"/>
                  <w:vAlign w:val="top"/>
                </w:tcPr>
                <w:p w14:paraId="49204C3A">
                  <w:pPr>
                    <w:pStyle w:val="6"/>
                    <w:spacing w:before="191"/>
                    <w:ind w:left="746"/>
                    <w:rPr>
                      <w:sz w:val="21"/>
                      <w:szCs w:val="21"/>
                    </w:rPr>
                  </w:pPr>
                  <w:r>
                    <w:rPr>
                      <w:spacing w:val="-3"/>
                      <w:sz w:val="21"/>
                      <w:szCs w:val="21"/>
                    </w:rPr>
                    <w:t>60</w:t>
                  </w:r>
                </w:p>
              </w:tc>
              <w:tc>
                <w:tcPr>
                  <w:tcW w:w="1089" w:type="dxa"/>
                  <w:vAlign w:val="top"/>
                </w:tcPr>
                <w:p w14:paraId="4DECBDE4">
                  <w:pPr>
                    <w:pStyle w:val="6"/>
                    <w:spacing w:before="43" w:line="218" w:lineRule="auto"/>
                    <w:ind w:left="18"/>
                    <w:rPr>
                      <w:sz w:val="21"/>
                      <w:szCs w:val="21"/>
                    </w:rPr>
                  </w:pPr>
                  <w:r>
                    <w:rPr>
                      <w:spacing w:val="2"/>
                      <w:sz w:val="21"/>
                      <w:szCs w:val="21"/>
                    </w:rPr>
                    <w:t>低噪设备、</w:t>
                  </w:r>
                  <w:r>
                    <w:rPr>
                      <w:sz w:val="21"/>
                      <w:szCs w:val="21"/>
                    </w:rPr>
                    <w:t xml:space="preserve"> </w:t>
                  </w:r>
                  <w:r>
                    <w:rPr>
                      <w:spacing w:val="-15"/>
                      <w:sz w:val="21"/>
                      <w:szCs w:val="21"/>
                    </w:rPr>
                    <w:t>厂界围墙</w:t>
                  </w:r>
                </w:p>
              </w:tc>
              <w:tc>
                <w:tcPr>
                  <w:tcW w:w="1204" w:type="dxa"/>
                  <w:vMerge w:val="restart"/>
                  <w:tcBorders>
                    <w:bottom w:val="nil"/>
                  </w:tcBorders>
                  <w:vAlign w:val="top"/>
                </w:tcPr>
                <w:p w14:paraId="6588C450">
                  <w:pPr>
                    <w:spacing w:line="339" w:lineRule="auto"/>
                    <w:rPr>
                      <w:rFonts w:ascii="Arial"/>
                      <w:sz w:val="21"/>
                    </w:rPr>
                  </w:pPr>
                </w:p>
                <w:p w14:paraId="7701D63F">
                  <w:pPr>
                    <w:spacing w:line="339" w:lineRule="auto"/>
                    <w:rPr>
                      <w:rFonts w:ascii="Arial"/>
                      <w:sz w:val="21"/>
                    </w:rPr>
                  </w:pPr>
                </w:p>
                <w:p w14:paraId="74FB5883">
                  <w:pPr>
                    <w:pStyle w:val="6"/>
                    <w:spacing w:before="69" w:line="239" w:lineRule="auto"/>
                    <w:ind w:left="69"/>
                    <w:rPr>
                      <w:sz w:val="21"/>
                      <w:szCs w:val="21"/>
                    </w:rPr>
                  </w:pPr>
                  <w:r>
                    <w:rPr>
                      <w:spacing w:val="-1"/>
                      <w:sz w:val="21"/>
                      <w:szCs w:val="21"/>
                    </w:rPr>
                    <w:t>0:00~24:00</w:t>
                  </w:r>
                </w:p>
              </w:tc>
            </w:tr>
            <w:tr w14:paraId="5608E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75" w:type="dxa"/>
                  <w:vAlign w:val="top"/>
                </w:tcPr>
                <w:p w14:paraId="570A1A65">
                  <w:pPr>
                    <w:pStyle w:val="6"/>
                    <w:spacing w:before="192" w:line="241" w:lineRule="auto"/>
                    <w:ind w:left="175"/>
                    <w:rPr>
                      <w:sz w:val="21"/>
                      <w:szCs w:val="21"/>
                    </w:rPr>
                  </w:pPr>
                  <w:r>
                    <w:rPr>
                      <w:sz w:val="21"/>
                      <w:szCs w:val="21"/>
                    </w:rPr>
                    <w:t>2</w:t>
                  </w:r>
                </w:p>
              </w:tc>
              <w:tc>
                <w:tcPr>
                  <w:tcW w:w="1278" w:type="dxa"/>
                  <w:vAlign w:val="top"/>
                </w:tcPr>
                <w:p w14:paraId="38DDCFC2">
                  <w:pPr>
                    <w:pStyle w:val="6"/>
                    <w:spacing w:before="224" w:line="184" w:lineRule="auto"/>
                    <w:ind w:left="420"/>
                    <w:rPr>
                      <w:sz w:val="21"/>
                      <w:szCs w:val="21"/>
                    </w:rPr>
                  </w:pPr>
                  <w:r>
                    <w:rPr>
                      <w:spacing w:val="-2"/>
                      <w:sz w:val="21"/>
                      <w:szCs w:val="21"/>
                    </w:rPr>
                    <w:t>SVG1</w:t>
                  </w:r>
                </w:p>
              </w:tc>
              <w:tc>
                <w:tcPr>
                  <w:tcW w:w="489" w:type="dxa"/>
                  <w:vAlign w:val="top"/>
                </w:tcPr>
                <w:p w14:paraId="41FEBC6B">
                  <w:pPr>
                    <w:pStyle w:val="6"/>
                    <w:spacing w:before="192" w:line="241" w:lineRule="auto"/>
                    <w:ind w:left="182"/>
                    <w:rPr>
                      <w:sz w:val="21"/>
                      <w:szCs w:val="21"/>
                    </w:rPr>
                  </w:pPr>
                  <w:r>
                    <w:rPr>
                      <w:sz w:val="21"/>
                      <w:szCs w:val="21"/>
                    </w:rPr>
                    <w:t>1</w:t>
                  </w:r>
                </w:p>
              </w:tc>
              <w:tc>
                <w:tcPr>
                  <w:tcW w:w="609" w:type="dxa"/>
                  <w:vAlign w:val="top"/>
                </w:tcPr>
                <w:p w14:paraId="5C546022">
                  <w:pPr>
                    <w:pStyle w:val="6"/>
                    <w:spacing w:before="192" w:line="239" w:lineRule="auto"/>
                    <w:ind w:left="33"/>
                    <w:rPr>
                      <w:sz w:val="21"/>
                      <w:szCs w:val="21"/>
                    </w:rPr>
                  </w:pPr>
                  <w:r>
                    <w:rPr>
                      <w:spacing w:val="-2"/>
                      <w:sz w:val="21"/>
                      <w:szCs w:val="21"/>
                    </w:rPr>
                    <w:t>29.74</w:t>
                  </w:r>
                </w:p>
              </w:tc>
              <w:tc>
                <w:tcPr>
                  <w:tcW w:w="709" w:type="dxa"/>
                  <w:vAlign w:val="top"/>
                </w:tcPr>
                <w:p w14:paraId="4831426D">
                  <w:pPr>
                    <w:pStyle w:val="6"/>
                    <w:spacing w:before="192" w:line="239" w:lineRule="auto"/>
                    <w:ind w:left="84"/>
                    <w:rPr>
                      <w:sz w:val="21"/>
                      <w:szCs w:val="21"/>
                    </w:rPr>
                  </w:pPr>
                  <w:r>
                    <w:rPr>
                      <w:spacing w:val="-2"/>
                      <w:sz w:val="21"/>
                      <w:szCs w:val="21"/>
                    </w:rPr>
                    <w:t>31.66</w:t>
                  </w:r>
                </w:p>
              </w:tc>
              <w:tc>
                <w:tcPr>
                  <w:tcW w:w="569" w:type="dxa"/>
                  <w:vAlign w:val="top"/>
                </w:tcPr>
                <w:p w14:paraId="3DB0ABF5">
                  <w:pPr>
                    <w:pStyle w:val="6"/>
                    <w:spacing w:before="192" w:line="239" w:lineRule="auto"/>
                    <w:ind w:left="115"/>
                    <w:rPr>
                      <w:sz w:val="21"/>
                      <w:szCs w:val="21"/>
                    </w:rPr>
                  </w:pPr>
                  <w:r>
                    <w:rPr>
                      <w:spacing w:val="-6"/>
                      <w:sz w:val="21"/>
                      <w:szCs w:val="21"/>
                    </w:rPr>
                    <w:t>1.0</w:t>
                  </w:r>
                </w:p>
              </w:tc>
              <w:tc>
                <w:tcPr>
                  <w:tcW w:w="1718" w:type="dxa"/>
                  <w:vAlign w:val="top"/>
                </w:tcPr>
                <w:p w14:paraId="43265309">
                  <w:pPr>
                    <w:pStyle w:val="6"/>
                    <w:spacing w:before="191"/>
                    <w:ind w:left="746"/>
                    <w:rPr>
                      <w:sz w:val="21"/>
                      <w:szCs w:val="21"/>
                    </w:rPr>
                  </w:pPr>
                  <w:r>
                    <w:rPr>
                      <w:spacing w:val="-3"/>
                      <w:sz w:val="21"/>
                      <w:szCs w:val="21"/>
                    </w:rPr>
                    <w:t>60</w:t>
                  </w:r>
                </w:p>
              </w:tc>
              <w:tc>
                <w:tcPr>
                  <w:tcW w:w="1089" w:type="dxa"/>
                  <w:vAlign w:val="top"/>
                </w:tcPr>
                <w:p w14:paraId="5AA755AC">
                  <w:pPr>
                    <w:pStyle w:val="6"/>
                    <w:spacing w:before="43" w:line="218" w:lineRule="auto"/>
                    <w:ind w:left="54" w:hanging="36"/>
                    <w:rPr>
                      <w:sz w:val="21"/>
                      <w:szCs w:val="21"/>
                    </w:rPr>
                  </w:pPr>
                  <w:r>
                    <w:rPr>
                      <w:spacing w:val="2"/>
                      <w:sz w:val="21"/>
                      <w:szCs w:val="21"/>
                    </w:rPr>
                    <w:t>低噪设备、</w:t>
                  </w:r>
                  <w:r>
                    <w:rPr>
                      <w:sz w:val="21"/>
                      <w:szCs w:val="21"/>
                    </w:rPr>
                    <w:t xml:space="preserve"> </w:t>
                  </w:r>
                  <w:r>
                    <w:rPr>
                      <w:spacing w:val="-15"/>
                      <w:sz w:val="21"/>
                      <w:szCs w:val="21"/>
                    </w:rPr>
                    <w:t>厂界围墙</w:t>
                  </w:r>
                </w:p>
              </w:tc>
              <w:tc>
                <w:tcPr>
                  <w:tcW w:w="1204" w:type="dxa"/>
                  <w:vMerge w:val="continue"/>
                  <w:tcBorders>
                    <w:top w:val="nil"/>
                    <w:bottom w:val="nil"/>
                  </w:tcBorders>
                  <w:vAlign w:val="top"/>
                </w:tcPr>
                <w:p w14:paraId="0C22EDA2">
                  <w:pPr>
                    <w:rPr>
                      <w:rFonts w:ascii="Arial"/>
                      <w:sz w:val="21"/>
                    </w:rPr>
                  </w:pPr>
                </w:p>
              </w:tc>
            </w:tr>
            <w:tr w14:paraId="02CBD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75" w:type="dxa"/>
                  <w:vAlign w:val="top"/>
                </w:tcPr>
                <w:p w14:paraId="6A6AA88A">
                  <w:pPr>
                    <w:pStyle w:val="6"/>
                    <w:spacing w:before="193"/>
                    <w:ind w:left="175"/>
                    <w:rPr>
                      <w:sz w:val="21"/>
                      <w:szCs w:val="21"/>
                    </w:rPr>
                  </w:pPr>
                  <w:r>
                    <w:rPr>
                      <w:sz w:val="21"/>
                      <w:szCs w:val="21"/>
                    </w:rPr>
                    <w:t>3</w:t>
                  </w:r>
                </w:p>
              </w:tc>
              <w:tc>
                <w:tcPr>
                  <w:tcW w:w="1278" w:type="dxa"/>
                  <w:vAlign w:val="top"/>
                </w:tcPr>
                <w:p w14:paraId="582F89FB">
                  <w:pPr>
                    <w:pStyle w:val="6"/>
                    <w:spacing w:before="173" w:line="220" w:lineRule="auto"/>
                    <w:ind w:left="210"/>
                    <w:rPr>
                      <w:sz w:val="21"/>
                      <w:szCs w:val="21"/>
                    </w:rPr>
                  </w:pPr>
                  <w:r>
                    <w:rPr>
                      <w:spacing w:val="-2"/>
                      <w:sz w:val="21"/>
                      <w:szCs w:val="21"/>
                    </w:rPr>
                    <w:t>配电装置</w:t>
                  </w:r>
                </w:p>
              </w:tc>
              <w:tc>
                <w:tcPr>
                  <w:tcW w:w="489" w:type="dxa"/>
                  <w:vAlign w:val="top"/>
                </w:tcPr>
                <w:p w14:paraId="39B874A3">
                  <w:pPr>
                    <w:pStyle w:val="6"/>
                    <w:spacing w:before="193" w:line="241" w:lineRule="auto"/>
                    <w:ind w:left="182"/>
                    <w:rPr>
                      <w:sz w:val="21"/>
                      <w:szCs w:val="21"/>
                    </w:rPr>
                  </w:pPr>
                  <w:r>
                    <w:rPr>
                      <w:sz w:val="21"/>
                      <w:szCs w:val="21"/>
                    </w:rPr>
                    <w:t>1</w:t>
                  </w:r>
                </w:p>
              </w:tc>
              <w:tc>
                <w:tcPr>
                  <w:tcW w:w="609" w:type="dxa"/>
                  <w:vAlign w:val="top"/>
                </w:tcPr>
                <w:p w14:paraId="45F3938F">
                  <w:pPr>
                    <w:pStyle w:val="6"/>
                    <w:spacing w:before="193" w:line="239" w:lineRule="auto"/>
                    <w:ind w:left="33"/>
                    <w:rPr>
                      <w:sz w:val="21"/>
                      <w:szCs w:val="21"/>
                    </w:rPr>
                  </w:pPr>
                  <w:r>
                    <w:rPr>
                      <w:spacing w:val="-2"/>
                      <w:sz w:val="21"/>
                      <w:szCs w:val="21"/>
                    </w:rPr>
                    <w:t>46.47</w:t>
                  </w:r>
                </w:p>
              </w:tc>
              <w:tc>
                <w:tcPr>
                  <w:tcW w:w="709" w:type="dxa"/>
                  <w:vAlign w:val="top"/>
                </w:tcPr>
                <w:p w14:paraId="0E0E3121">
                  <w:pPr>
                    <w:pStyle w:val="6"/>
                    <w:spacing w:before="193" w:line="239" w:lineRule="auto"/>
                    <w:ind w:left="84"/>
                    <w:rPr>
                      <w:sz w:val="21"/>
                      <w:szCs w:val="21"/>
                    </w:rPr>
                  </w:pPr>
                  <w:r>
                    <w:rPr>
                      <w:spacing w:val="-2"/>
                      <w:sz w:val="21"/>
                      <w:szCs w:val="21"/>
                    </w:rPr>
                    <w:t>20.78</w:t>
                  </w:r>
                </w:p>
              </w:tc>
              <w:tc>
                <w:tcPr>
                  <w:tcW w:w="569" w:type="dxa"/>
                  <w:vAlign w:val="top"/>
                </w:tcPr>
                <w:p w14:paraId="316D50C5">
                  <w:pPr>
                    <w:pStyle w:val="6"/>
                    <w:spacing w:before="193" w:line="239" w:lineRule="auto"/>
                    <w:ind w:left="115"/>
                    <w:rPr>
                      <w:sz w:val="21"/>
                      <w:szCs w:val="21"/>
                    </w:rPr>
                  </w:pPr>
                  <w:r>
                    <w:rPr>
                      <w:spacing w:val="-6"/>
                      <w:sz w:val="21"/>
                      <w:szCs w:val="21"/>
                    </w:rPr>
                    <w:t>1.0</w:t>
                  </w:r>
                </w:p>
              </w:tc>
              <w:tc>
                <w:tcPr>
                  <w:tcW w:w="1718" w:type="dxa"/>
                  <w:vAlign w:val="top"/>
                </w:tcPr>
                <w:p w14:paraId="7A581F06">
                  <w:pPr>
                    <w:pStyle w:val="6"/>
                    <w:spacing w:before="193"/>
                    <w:ind w:left="746"/>
                    <w:rPr>
                      <w:sz w:val="21"/>
                      <w:szCs w:val="21"/>
                    </w:rPr>
                  </w:pPr>
                  <w:r>
                    <w:rPr>
                      <w:spacing w:val="-3"/>
                      <w:sz w:val="21"/>
                      <w:szCs w:val="21"/>
                    </w:rPr>
                    <w:t>60</w:t>
                  </w:r>
                </w:p>
              </w:tc>
              <w:tc>
                <w:tcPr>
                  <w:tcW w:w="1089" w:type="dxa"/>
                  <w:vAlign w:val="top"/>
                </w:tcPr>
                <w:p w14:paraId="65DA8597">
                  <w:pPr>
                    <w:pStyle w:val="6"/>
                    <w:spacing w:before="33" w:line="222" w:lineRule="auto"/>
                    <w:ind w:left="18"/>
                    <w:rPr>
                      <w:sz w:val="21"/>
                      <w:szCs w:val="21"/>
                    </w:rPr>
                  </w:pPr>
                  <w:r>
                    <w:rPr>
                      <w:spacing w:val="2"/>
                      <w:sz w:val="21"/>
                      <w:szCs w:val="21"/>
                    </w:rPr>
                    <w:t>低噪设备、</w:t>
                  </w:r>
                  <w:r>
                    <w:rPr>
                      <w:sz w:val="21"/>
                      <w:szCs w:val="21"/>
                    </w:rPr>
                    <w:t xml:space="preserve"> </w:t>
                  </w:r>
                  <w:r>
                    <w:rPr>
                      <w:spacing w:val="-15"/>
                      <w:sz w:val="21"/>
                      <w:szCs w:val="21"/>
                    </w:rPr>
                    <w:t>厂界围墙</w:t>
                  </w:r>
                </w:p>
              </w:tc>
              <w:tc>
                <w:tcPr>
                  <w:tcW w:w="1204" w:type="dxa"/>
                  <w:vMerge w:val="continue"/>
                  <w:tcBorders>
                    <w:top w:val="nil"/>
                  </w:tcBorders>
                  <w:vAlign w:val="top"/>
                </w:tcPr>
                <w:p w14:paraId="43CDA2E2">
                  <w:pPr>
                    <w:rPr>
                      <w:rFonts w:ascii="Arial"/>
                      <w:sz w:val="21"/>
                    </w:rPr>
                  </w:pPr>
                </w:p>
              </w:tc>
            </w:tr>
            <w:tr w14:paraId="05963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475" w:type="dxa"/>
                  <w:vAlign w:val="top"/>
                </w:tcPr>
                <w:p w14:paraId="51DC6FF9">
                  <w:pPr>
                    <w:pStyle w:val="6"/>
                    <w:spacing w:before="94" w:line="206" w:lineRule="auto"/>
                    <w:ind w:left="175"/>
                    <w:rPr>
                      <w:sz w:val="21"/>
                      <w:szCs w:val="21"/>
                    </w:rPr>
                  </w:pPr>
                  <w:r>
                    <w:rPr>
                      <w:sz w:val="21"/>
                      <w:szCs w:val="21"/>
                    </w:rPr>
                    <w:t>4</w:t>
                  </w:r>
                </w:p>
              </w:tc>
              <w:tc>
                <w:tcPr>
                  <w:tcW w:w="1278" w:type="dxa"/>
                  <w:vAlign w:val="top"/>
                </w:tcPr>
                <w:p w14:paraId="29FC4F50">
                  <w:pPr>
                    <w:pStyle w:val="6"/>
                    <w:spacing w:before="74" w:line="220" w:lineRule="auto"/>
                    <w:ind w:left="150"/>
                    <w:rPr>
                      <w:sz w:val="21"/>
                      <w:szCs w:val="21"/>
                    </w:rPr>
                  </w:pPr>
                  <w:r>
                    <w:rPr>
                      <w:spacing w:val="5"/>
                      <w:sz w:val="21"/>
                      <w:szCs w:val="21"/>
                    </w:rPr>
                    <w:t>储能装置1</w:t>
                  </w:r>
                </w:p>
              </w:tc>
              <w:tc>
                <w:tcPr>
                  <w:tcW w:w="489" w:type="dxa"/>
                  <w:vAlign w:val="top"/>
                </w:tcPr>
                <w:p w14:paraId="63FC64A7">
                  <w:pPr>
                    <w:pStyle w:val="6"/>
                    <w:spacing w:before="94" w:line="206" w:lineRule="auto"/>
                    <w:ind w:left="182"/>
                    <w:rPr>
                      <w:sz w:val="21"/>
                      <w:szCs w:val="21"/>
                    </w:rPr>
                  </w:pPr>
                  <w:r>
                    <w:rPr>
                      <w:sz w:val="21"/>
                      <w:szCs w:val="21"/>
                    </w:rPr>
                    <w:t>1</w:t>
                  </w:r>
                </w:p>
              </w:tc>
              <w:tc>
                <w:tcPr>
                  <w:tcW w:w="609" w:type="dxa"/>
                  <w:vAlign w:val="top"/>
                </w:tcPr>
                <w:p w14:paraId="4B0B09B2">
                  <w:pPr>
                    <w:pStyle w:val="6"/>
                    <w:spacing w:before="94" w:line="206" w:lineRule="auto"/>
                    <w:ind w:left="33"/>
                    <w:rPr>
                      <w:sz w:val="21"/>
                      <w:szCs w:val="21"/>
                    </w:rPr>
                  </w:pPr>
                  <w:r>
                    <w:rPr>
                      <w:spacing w:val="-4"/>
                      <w:sz w:val="21"/>
                      <w:szCs w:val="21"/>
                    </w:rPr>
                    <w:t>10.97</w:t>
                  </w:r>
                </w:p>
              </w:tc>
              <w:tc>
                <w:tcPr>
                  <w:tcW w:w="709" w:type="dxa"/>
                  <w:vAlign w:val="top"/>
                </w:tcPr>
                <w:p w14:paraId="01436450">
                  <w:pPr>
                    <w:pStyle w:val="6"/>
                    <w:spacing w:before="94" w:line="206" w:lineRule="auto"/>
                    <w:ind w:left="84"/>
                    <w:rPr>
                      <w:sz w:val="21"/>
                      <w:szCs w:val="21"/>
                    </w:rPr>
                  </w:pPr>
                  <w:r>
                    <w:rPr>
                      <w:spacing w:val="-2"/>
                      <w:sz w:val="21"/>
                      <w:szCs w:val="21"/>
                    </w:rPr>
                    <w:t>32.26</w:t>
                  </w:r>
                </w:p>
              </w:tc>
              <w:tc>
                <w:tcPr>
                  <w:tcW w:w="569" w:type="dxa"/>
                  <w:vAlign w:val="top"/>
                </w:tcPr>
                <w:p w14:paraId="6667F6BB">
                  <w:pPr>
                    <w:pStyle w:val="6"/>
                    <w:spacing w:before="94" w:line="206" w:lineRule="auto"/>
                    <w:ind w:left="115"/>
                    <w:rPr>
                      <w:sz w:val="21"/>
                      <w:szCs w:val="21"/>
                    </w:rPr>
                  </w:pPr>
                  <w:r>
                    <w:rPr>
                      <w:spacing w:val="-6"/>
                      <w:sz w:val="21"/>
                      <w:szCs w:val="21"/>
                    </w:rPr>
                    <w:t>1.0</w:t>
                  </w:r>
                </w:p>
              </w:tc>
              <w:tc>
                <w:tcPr>
                  <w:tcW w:w="1718" w:type="dxa"/>
                  <w:vAlign w:val="top"/>
                </w:tcPr>
                <w:p w14:paraId="6CC84B40">
                  <w:pPr>
                    <w:pStyle w:val="6"/>
                    <w:spacing w:before="94" w:line="206" w:lineRule="auto"/>
                    <w:ind w:left="746"/>
                    <w:rPr>
                      <w:sz w:val="21"/>
                      <w:szCs w:val="21"/>
                    </w:rPr>
                  </w:pPr>
                  <w:r>
                    <w:rPr>
                      <w:spacing w:val="-3"/>
                      <w:sz w:val="21"/>
                      <w:szCs w:val="21"/>
                    </w:rPr>
                    <w:t>60</w:t>
                  </w:r>
                </w:p>
              </w:tc>
              <w:tc>
                <w:tcPr>
                  <w:tcW w:w="1089" w:type="dxa"/>
                  <w:vMerge w:val="restart"/>
                  <w:tcBorders>
                    <w:bottom w:val="nil"/>
                  </w:tcBorders>
                  <w:vAlign w:val="top"/>
                </w:tcPr>
                <w:p w14:paraId="78095A58">
                  <w:pPr>
                    <w:pStyle w:val="6"/>
                    <w:spacing w:before="45" w:line="227" w:lineRule="auto"/>
                    <w:ind w:left="18"/>
                    <w:jc w:val="both"/>
                    <w:rPr>
                      <w:sz w:val="21"/>
                      <w:szCs w:val="21"/>
                    </w:rPr>
                  </w:pPr>
                  <w:r>
                    <w:rPr>
                      <w:spacing w:val="2"/>
                      <w:sz w:val="21"/>
                      <w:szCs w:val="21"/>
                    </w:rPr>
                    <w:t>低噪设备、</w:t>
                  </w:r>
                  <w:r>
                    <w:rPr>
                      <w:sz w:val="21"/>
                      <w:szCs w:val="21"/>
                    </w:rPr>
                    <w:t xml:space="preserve"> </w:t>
                  </w:r>
                  <w:r>
                    <w:rPr>
                      <w:spacing w:val="-13"/>
                      <w:sz w:val="21"/>
                      <w:szCs w:val="21"/>
                    </w:rPr>
                    <w:t>集装箱式房</w:t>
                  </w:r>
                  <w:r>
                    <w:rPr>
                      <w:spacing w:val="1"/>
                      <w:sz w:val="21"/>
                      <w:szCs w:val="21"/>
                    </w:rPr>
                    <w:t xml:space="preserve"> </w:t>
                  </w:r>
                  <w:r>
                    <w:rPr>
                      <w:spacing w:val="2"/>
                      <w:sz w:val="21"/>
                      <w:szCs w:val="21"/>
                    </w:rPr>
                    <w:t>舱体隔声、</w:t>
                  </w:r>
                  <w:r>
                    <w:rPr>
                      <w:sz w:val="21"/>
                      <w:szCs w:val="21"/>
                    </w:rPr>
                    <w:t xml:space="preserve"> </w:t>
                  </w:r>
                  <w:r>
                    <w:rPr>
                      <w:spacing w:val="-8"/>
                      <w:sz w:val="21"/>
                      <w:szCs w:val="21"/>
                    </w:rPr>
                    <w:t>厂界围墙</w:t>
                  </w:r>
                </w:p>
              </w:tc>
              <w:tc>
                <w:tcPr>
                  <w:tcW w:w="1204" w:type="dxa"/>
                  <w:vMerge w:val="restart"/>
                  <w:tcBorders>
                    <w:bottom w:val="nil"/>
                  </w:tcBorders>
                  <w:vAlign w:val="top"/>
                </w:tcPr>
                <w:p w14:paraId="43242397">
                  <w:pPr>
                    <w:spacing w:line="393" w:lineRule="auto"/>
                    <w:rPr>
                      <w:rFonts w:ascii="Arial"/>
                      <w:sz w:val="21"/>
                    </w:rPr>
                  </w:pPr>
                </w:p>
                <w:p w14:paraId="60EF157D">
                  <w:pPr>
                    <w:pStyle w:val="6"/>
                    <w:spacing w:before="69" w:line="239" w:lineRule="auto"/>
                    <w:ind w:left="69"/>
                    <w:rPr>
                      <w:sz w:val="21"/>
                      <w:szCs w:val="21"/>
                    </w:rPr>
                  </w:pPr>
                  <w:r>
                    <w:rPr>
                      <w:spacing w:val="-1"/>
                      <w:sz w:val="21"/>
                      <w:szCs w:val="21"/>
                    </w:rPr>
                    <w:t>0:00~24:00</w:t>
                  </w:r>
                </w:p>
              </w:tc>
            </w:tr>
            <w:tr w14:paraId="0B673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475" w:type="dxa"/>
                  <w:vAlign w:val="top"/>
                </w:tcPr>
                <w:p w14:paraId="05DCB9DE">
                  <w:pPr>
                    <w:pStyle w:val="6"/>
                    <w:spacing w:before="295"/>
                    <w:ind w:left="175"/>
                    <w:rPr>
                      <w:sz w:val="21"/>
                      <w:szCs w:val="21"/>
                    </w:rPr>
                  </w:pPr>
                  <w:r>
                    <w:rPr>
                      <w:sz w:val="21"/>
                      <w:szCs w:val="21"/>
                    </w:rPr>
                    <w:t>5</w:t>
                  </w:r>
                </w:p>
              </w:tc>
              <w:tc>
                <w:tcPr>
                  <w:tcW w:w="1278" w:type="dxa"/>
                  <w:vAlign w:val="top"/>
                </w:tcPr>
                <w:p w14:paraId="036A682D">
                  <w:pPr>
                    <w:pStyle w:val="6"/>
                    <w:spacing w:before="275" w:line="220" w:lineRule="auto"/>
                    <w:ind w:left="150"/>
                    <w:rPr>
                      <w:sz w:val="21"/>
                      <w:szCs w:val="21"/>
                    </w:rPr>
                  </w:pPr>
                  <w:r>
                    <w:rPr>
                      <w:spacing w:val="3"/>
                      <w:sz w:val="21"/>
                      <w:szCs w:val="21"/>
                    </w:rPr>
                    <w:t>储能装置2</w:t>
                  </w:r>
                </w:p>
              </w:tc>
              <w:tc>
                <w:tcPr>
                  <w:tcW w:w="489" w:type="dxa"/>
                  <w:vAlign w:val="top"/>
                </w:tcPr>
                <w:p w14:paraId="34EF47B9">
                  <w:pPr>
                    <w:pStyle w:val="6"/>
                    <w:spacing w:before="295" w:line="241" w:lineRule="auto"/>
                    <w:ind w:left="182"/>
                    <w:rPr>
                      <w:sz w:val="21"/>
                      <w:szCs w:val="21"/>
                    </w:rPr>
                  </w:pPr>
                  <w:r>
                    <w:rPr>
                      <w:sz w:val="21"/>
                      <w:szCs w:val="21"/>
                    </w:rPr>
                    <w:t>1</w:t>
                  </w:r>
                </w:p>
              </w:tc>
              <w:tc>
                <w:tcPr>
                  <w:tcW w:w="609" w:type="dxa"/>
                  <w:vAlign w:val="top"/>
                </w:tcPr>
                <w:p w14:paraId="142400FC">
                  <w:pPr>
                    <w:pStyle w:val="6"/>
                    <w:spacing w:before="295" w:line="239" w:lineRule="auto"/>
                    <w:ind w:left="33"/>
                    <w:rPr>
                      <w:sz w:val="21"/>
                      <w:szCs w:val="21"/>
                    </w:rPr>
                  </w:pPr>
                  <w:r>
                    <w:rPr>
                      <w:spacing w:val="-4"/>
                      <w:sz w:val="21"/>
                      <w:szCs w:val="21"/>
                    </w:rPr>
                    <w:t>15.99</w:t>
                  </w:r>
                </w:p>
              </w:tc>
              <w:tc>
                <w:tcPr>
                  <w:tcW w:w="709" w:type="dxa"/>
                  <w:vAlign w:val="top"/>
                </w:tcPr>
                <w:p w14:paraId="23595DC0">
                  <w:pPr>
                    <w:pStyle w:val="6"/>
                    <w:spacing w:before="295" w:line="239" w:lineRule="auto"/>
                    <w:ind w:left="84"/>
                    <w:rPr>
                      <w:sz w:val="21"/>
                      <w:szCs w:val="21"/>
                    </w:rPr>
                  </w:pPr>
                  <w:r>
                    <w:rPr>
                      <w:spacing w:val="-2"/>
                      <w:sz w:val="21"/>
                      <w:szCs w:val="21"/>
                    </w:rPr>
                    <w:t>31.78</w:t>
                  </w:r>
                </w:p>
              </w:tc>
              <w:tc>
                <w:tcPr>
                  <w:tcW w:w="569" w:type="dxa"/>
                  <w:vAlign w:val="top"/>
                </w:tcPr>
                <w:p w14:paraId="649E9DDC">
                  <w:pPr>
                    <w:pStyle w:val="6"/>
                    <w:spacing w:before="295" w:line="239" w:lineRule="auto"/>
                    <w:ind w:left="115"/>
                    <w:rPr>
                      <w:sz w:val="21"/>
                      <w:szCs w:val="21"/>
                    </w:rPr>
                  </w:pPr>
                  <w:r>
                    <w:rPr>
                      <w:spacing w:val="-6"/>
                      <w:sz w:val="21"/>
                      <w:szCs w:val="21"/>
                    </w:rPr>
                    <w:t>1.0</w:t>
                  </w:r>
                </w:p>
              </w:tc>
              <w:tc>
                <w:tcPr>
                  <w:tcW w:w="1718" w:type="dxa"/>
                  <w:vAlign w:val="top"/>
                </w:tcPr>
                <w:p w14:paraId="54743BC9">
                  <w:pPr>
                    <w:pStyle w:val="6"/>
                    <w:spacing w:before="295"/>
                    <w:ind w:left="746"/>
                    <w:rPr>
                      <w:sz w:val="21"/>
                      <w:szCs w:val="21"/>
                    </w:rPr>
                  </w:pPr>
                  <w:r>
                    <w:rPr>
                      <w:spacing w:val="-3"/>
                      <w:sz w:val="21"/>
                      <w:szCs w:val="21"/>
                    </w:rPr>
                    <w:t>60</w:t>
                  </w:r>
                </w:p>
              </w:tc>
              <w:tc>
                <w:tcPr>
                  <w:tcW w:w="1089" w:type="dxa"/>
                  <w:vMerge w:val="continue"/>
                  <w:tcBorders>
                    <w:top w:val="nil"/>
                  </w:tcBorders>
                  <w:vAlign w:val="top"/>
                </w:tcPr>
                <w:p w14:paraId="66D2497D">
                  <w:pPr>
                    <w:rPr>
                      <w:rFonts w:ascii="Arial"/>
                      <w:sz w:val="21"/>
                    </w:rPr>
                  </w:pPr>
                </w:p>
              </w:tc>
              <w:tc>
                <w:tcPr>
                  <w:tcW w:w="1204" w:type="dxa"/>
                  <w:vMerge w:val="continue"/>
                  <w:tcBorders>
                    <w:top w:val="nil"/>
                  </w:tcBorders>
                  <w:vAlign w:val="top"/>
                </w:tcPr>
                <w:p w14:paraId="192F51A4">
                  <w:pPr>
                    <w:rPr>
                      <w:rFonts w:ascii="Arial"/>
                      <w:sz w:val="21"/>
                    </w:rPr>
                  </w:pPr>
                </w:p>
              </w:tc>
            </w:tr>
            <w:tr w14:paraId="7EB9A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475" w:type="dxa"/>
                  <w:vAlign w:val="top"/>
                </w:tcPr>
                <w:p w14:paraId="31DBD178">
                  <w:pPr>
                    <w:pStyle w:val="6"/>
                    <w:spacing w:before="96" w:line="213" w:lineRule="auto"/>
                    <w:ind w:left="175"/>
                    <w:rPr>
                      <w:sz w:val="21"/>
                      <w:szCs w:val="21"/>
                    </w:rPr>
                  </w:pPr>
                  <w:r>
                    <w:rPr>
                      <w:sz w:val="21"/>
                      <w:szCs w:val="21"/>
                    </w:rPr>
                    <w:t>6</w:t>
                  </w:r>
                </w:p>
              </w:tc>
              <w:tc>
                <w:tcPr>
                  <w:tcW w:w="1278" w:type="dxa"/>
                  <w:vAlign w:val="top"/>
                </w:tcPr>
                <w:p w14:paraId="461B85C5">
                  <w:pPr>
                    <w:pStyle w:val="6"/>
                    <w:spacing w:before="75" w:line="219" w:lineRule="auto"/>
                    <w:ind w:left="360"/>
                    <w:rPr>
                      <w:sz w:val="21"/>
                      <w:szCs w:val="21"/>
                    </w:rPr>
                  </w:pPr>
                  <w:r>
                    <w:rPr>
                      <w:spacing w:val="8"/>
                      <w:sz w:val="21"/>
                      <w:szCs w:val="21"/>
                    </w:rPr>
                    <w:t>水泵1</w:t>
                  </w:r>
                </w:p>
              </w:tc>
              <w:tc>
                <w:tcPr>
                  <w:tcW w:w="489" w:type="dxa"/>
                  <w:vAlign w:val="top"/>
                </w:tcPr>
                <w:p w14:paraId="28D5B41A">
                  <w:pPr>
                    <w:pStyle w:val="6"/>
                    <w:spacing w:before="96" w:line="213" w:lineRule="auto"/>
                    <w:ind w:left="182"/>
                    <w:rPr>
                      <w:sz w:val="21"/>
                      <w:szCs w:val="21"/>
                    </w:rPr>
                  </w:pPr>
                  <w:r>
                    <w:rPr>
                      <w:sz w:val="21"/>
                      <w:szCs w:val="21"/>
                    </w:rPr>
                    <w:t>1</w:t>
                  </w:r>
                </w:p>
              </w:tc>
              <w:tc>
                <w:tcPr>
                  <w:tcW w:w="609" w:type="dxa"/>
                  <w:vAlign w:val="top"/>
                </w:tcPr>
                <w:p w14:paraId="3C8A7C59">
                  <w:pPr>
                    <w:pStyle w:val="6"/>
                    <w:spacing w:before="96" w:line="213" w:lineRule="auto"/>
                    <w:ind w:left="33"/>
                    <w:rPr>
                      <w:sz w:val="21"/>
                      <w:szCs w:val="21"/>
                    </w:rPr>
                  </w:pPr>
                  <w:r>
                    <w:rPr>
                      <w:spacing w:val="-3"/>
                      <w:sz w:val="21"/>
                      <w:szCs w:val="21"/>
                    </w:rPr>
                    <w:t>79.58</w:t>
                  </w:r>
                </w:p>
              </w:tc>
              <w:tc>
                <w:tcPr>
                  <w:tcW w:w="709" w:type="dxa"/>
                  <w:vAlign w:val="top"/>
                </w:tcPr>
                <w:p w14:paraId="37A84196">
                  <w:pPr>
                    <w:pStyle w:val="6"/>
                    <w:spacing w:before="96" w:line="213" w:lineRule="auto"/>
                    <w:ind w:left="84"/>
                    <w:rPr>
                      <w:sz w:val="21"/>
                      <w:szCs w:val="21"/>
                    </w:rPr>
                  </w:pPr>
                  <w:r>
                    <w:rPr>
                      <w:spacing w:val="-2"/>
                      <w:sz w:val="21"/>
                      <w:szCs w:val="21"/>
                    </w:rPr>
                    <w:t>48.75</w:t>
                  </w:r>
                </w:p>
              </w:tc>
              <w:tc>
                <w:tcPr>
                  <w:tcW w:w="569" w:type="dxa"/>
                  <w:vAlign w:val="top"/>
                </w:tcPr>
                <w:p w14:paraId="5A486427">
                  <w:pPr>
                    <w:pStyle w:val="6"/>
                    <w:spacing w:before="96" w:line="213" w:lineRule="auto"/>
                    <w:ind w:left="115"/>
                    <w:rPr>
                      <w:sz w:val="21"/>
                      <w:szCs w:val="21"/>
                    </w:rPr>
                  </w:pPr>
                  <w:r>
                    <w:rPr>
                      <w:spacing w:val="-6"/>
                      <w:sz w:val="21"/>
                      <w:szCs w:val="21"/>
                    </w:rPr>
                    <w:t>1.0</w:t>
                  </w:r>
                </w:p>
              </w:tc>
              <w:tc>
                <w:tcPr>
                  <w:tcW w:w="1718" w:type="dxa"/>
                  <w:vAlign w:val="top"/>
                </w:tcPr>
                <w:p w14:paraId="5F1A9135">
                  <w:pPr>
                    <w:pStyle w:val="6"/>
                    <w:spacing w:before="96" w:line="213" w:lineRule="auto"/>
                    <w:ind w:left="746"/>
                    <w:rPr>
                      <w:sz w:val="21"/>
                      <w:szCs w:val="21"/>
                    </w:rPr>
                  </w:pPr>
                  <w:r>
                    <w:rPr>
                      <w:spacing w:val="-3"/>
                      <w:sz w:val="21"/>
                      <w:szCs w:val="21"/>
                    </w:rPr>
                    <w:t>65</w:t>
                  </w:r>
                </w:p>
              </w:tc>
              <w:tc>
                <w:tcPr>
                  <w:tcW w:w="1089" w:type="dxa"/>
                  <w:vMerge w:val="restart"/>
                  <w:tcBorders>
                    <w:bottom w:val="nil"/>
                  </w:tcBorders>
                  <w:vAlign w:val="top"/>
                </w:tcPr>
                <w:p w14:paraId="62744108">
                  <w:pPr>
                    <w:pStyle w:val="6"/>
                    <w:spacing w:before="76" w:line="233" w:lineRule="auto"/>
                    <w:ind w:left="18"/>
                    <w:rPr>
                      <w:sz w:val="21"/>
                      <w:szCs w:val="21"/>
                    </w:rPr>
                  </w:pPr>
                  <w:r>
                    <w:rPr>
                      <w:spacing w:val="2"/>
                      <w:sz w:val="21"/>
                      <w:szCs w:val="21"/>
                    </w:rPr>
                    <w:t>低噪设备、</w:t>
                  </w:r>
                  <w:r>
                    <w:rPr>
                      <w:sz w:val="21"/>
                      <w:szCs w:val="21"/>
                    </w:rPr>
                    <w:t xml:space="preserve"> </w:t>
                  </w:r>
                  <w:r>
                    <w:rPr>
                      <w:spacing w:val="6"/>
                      <w:sz w:val="21"/>
                      <w:szCs w:val="21"/>
                    </w:rPr>
                    <w:t>置于泵房</w:t>
                  </w:r>
                  <w:r>
                    <w:rPr>
                      <w:sz w:val="21"/>
                      <w:szCs w:val="21"/>
                    </w:rPr>
                    <w:t xml:space="preserve">   </w:t>
                  </w:r>
                  <w:r>
                    <w:rPr>
                      <w:spacing w:val="-14"/>
                      <w:sz w:val="21"/>
                      <w:szCs w:val="21"/>
                    </w:rPr>
                    <w:t>内、厂界围</w:t>
                  </w:r>
                  <w:r>
                    <w:rPr>
                      <w:spacing w:val="1"/>
                      <w:sz w:val="21"/>
                      <w:szCs w:val="21"/>
                    </w:rPr>
                    <w:t xml:space="preserve"> </w:t>
                  </w:r>
                  <w:r>
                    <w:rPr>
                      <w:spacing w:val="-19"/>
                      <w:sz w:val="21"/>
                      <w:szCs w:val="21"/>
                    </w:rPr>
                    <w:t>墙，水泵夜</w:t>
                  </w:r>
                  <w:r>
                    <w:rPr>
                      <w:sz w:val="21"/>
                      <w:szCs w:val="21"/>
                    </w:rPr>
                    <w:t xml:space="preserve">  </w:t>
                  </w:r>
                  <w:r>
                    <w:rPr>
                      <w:spacing w:val="-14"/>
                      <w:sz w:val="21"/>
                      <w:szCs w:val="21"/>
                    </w:rPr>
                    <w:t>间不运行。</w:t>
                  </w:r>
                </w:p>
              </w:tc>
              <w:tc>
                <w:tcPr>
                  <w:tcW w:w="1204" w:type="dxa"/>
                  <w:vMerge w:val="restart"/>
                  <w:tcBorders>
                    <w:bottom w:val="nil"/>
                  </w:tcBorders>
                  <w:vAlign w:val="top"/>
                </w:tcPr>
                <w:p w14:paraId="73F29604">
                  <w:pPr>
                    <w:spacing w:line="277" w:lineRule="auto"/>
                    <w:rPr>
                      <w:rFonts w:ascii="Arial"/>
                      <w:sz w:val="21"/>
                    </w:rPr>
                  </w:pPr>
                </w:p>
                <w:p w14:paraId="526ADA47">
                  <w:pPr>
                    <w:spacing w:line="277" w:lineRule="auto"/>
                    <w:rPr>
                      <w:rFonts w:ascii="Arial"/>
                      <w:sz w:val="21"/>
                    </w:rPr>
                  </w:pPr>
                </w:p>
                <w:p w14:paraId="77F789B5">
                  <w:pPr>
                    <w:pStyle w:val="6"/>
                    <w:spacing w:before="68" w:line="239" w:lineRule="auto"/>
                    <w:ind w:left="69"/>
                    <w:rPr>
                      <w:sz w:val="21"/>
                      <w:szCs w:val="21"/>
                    </w:rPr>
                  </w:pPr>
                  <w:r>
                    <w:rPr>
                      <w:spacing w:val="-1"/>
                      <w:sz w:val="21"/>
                      <w:szCs w:val="21"/>
                    </w:rPr>
                    <w:t>6:00~22:00</w:t>
                  </w:r>
                </w:p>
              </w:tc>
            </w:tr>
            <w:tr w14:paraId="54DE5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75" w:type="dxa"/>
                  <w:vAlign w:val="top"/>
                </w:tcPr>
                <w:p w14:paraId="0A91A1D9">
                  <w:pPr>
                    <w:pStyle w:val="6"/>
                    <w:spacing w:before="97" w:line="204" w:lineRule="auto"/>
                    <w:ind w:left="175"/>
                    <w:rPr>
                      <w:sz w:val="21"/>
                      <w:szCs w:val="21"/>
                    </w:rPr>
                  </w:pPr>
                  <w:r>
                    <w:rPr>
                      <w:sz w:val="21"/>
                      <w:szCs w:val="21"/>
                    </w:rPr>
                    <w:t>7</w:t>
                  </w:r>
                </w:p>
              </w:tc>
              <w:tc>
                <w:tcPr>
                  <w:tcW w:w="1278" w:type="dxa"/>
                  <w:vAlign w:val="top"/>
                </w:tcPr>
                <w:p w14:paraId="20558AF8">
                  <w:pPr>
                    <w:pStyle w:val="6"/>
                    <w:spacing w:before="76" w:line="219" w:lineRule="auto"/>
                    <w:ind w:left="360"/>
                    <w:rPr>
                      <w:sz w:val="21"/>
                      <w:szCs w:val="21"/>
                    </w:rPr>
                  </w:pPr>
                  <w:r>
                    <w:rPr>
                      <w:spacing w:val="6"/>
                      <w:sz w:val="21"/>
                      <w:szCs w:val="21"/>
                    </w:rPr>
                    <w:t>水泵2</w:t>
                  </w:r>
                </w:p>
              </w:tc>
              <w:tc>
                <w:tcPr>
                  <w:tcW w:w="489" w:type="dxa"/>
                  <w:vAlign w:val="top"/>
                </w:tcPr>
                <w:p w14:paraId="62C2E9B5">
                  <w:pPr>
                    <w:pStyle w:val="6"/>
                    <w:spacing w:before="97" w:line="204" w:lineRule="auto"/>
                    <w:ind w:left="182"/>
                    <w:rPr>
                      <w:sz w:val="21"/>
                      <w:szCs w:val="21"/>
                    </w:rPr>
                  </w:pPr>
                  <w:r>
                    <w:rPr>
                      <w:sz w:val="21"/>
                      <w:szCs w:val="21"/>
                    </w:rPr>
                    <w:t>1</w:t>
                  </w:r>
                </w:p>
              </w:tc>
              <w:tc>
                <w:tcPr>
                  <w:tcW w:w="609" w:type="dxa"/>
                  <w:vAlign w:val="top"/>
                </w:tcPr>
                <w:p w14:paraId="73741C4A">
                  <w:pPr>
                    <w:pStyle w:val="6"/>
                    <w:spacing w:before="97" w:line="204" w:lineRule="auto"/>
                    <w:ind w:left="33"/>
                    <w:rPr>
                      <w:sz w:val="21"/>
                      <w:szCs w:val="21"/>
                    </w:rPr>
                  </w:pPr>
                  <w:r>
                    <w:rPr>
                      <w:spacing w:val="-2"/>
                      <w:sz w:val="21"/>
                      <w:szCs w:val="21"/>
                    </w:rPr>
                    <w:t>83.41</w:t>
                  </w:r>
                </w:p>
              </w:tc>
              <w:tc>
                <w:tcPr>
                  <w:tcW w:w="709" w:type="dxa"/>
                  <w:vAlign w:val="top"/>
                </w:tcPr>
                <w:p w14:paraId="3219A898">
                  <w:pPr>
                    <w:pStyle w:val="6"/>
                    <w:spacing w:before="97" w:line="204" w:lineRule="auto"/>
                    <w:ind w:left="84"/>
                    <w:rPr>
                      <w:sz w:val="21"/>
                      <w:szCs w:val="21"/>
                    </w:rPr>
                  </w:pPr>
                  <w:r>
                    <w:rPr>
                      <w:spacing w:val="-2"/>
                      <w:sz w:val="21"/>
                      <w:szCs w:val="21"/>
                    </w:rPr>
                    <w:t>48.51</w:t>
                  </w:r>
                </w:p>
              </w:tc>
              <w:tc>
                <w:tcPr>
                  <w:tcW w:w="569" w:type="dxa"/>
                  <w:vAlign w:val="top"/>
                </w:tcPr>
                <w:p w14:paraId="0DF1A273">
                  <w:pPr>
                    <w:pStyle w:val="6"/>
                    <w:spacing w:before="97" w:line="204" w:lineRule="auto"/>
                    <w:ind w:left="115"/>
                    <w:rPr>
                      <w:sz w:val="21"/>
                      <w:szCs w:val="21"/>
                    </w:rPr>
                  </w:pPr>
                  <w:r>
                    <w:rPr>
                      <w:spacing w:val="-6"/>
                      <w:sz w:val="21"/>
                      <w:szCs w:val="21"/>
                    </w:rPr>
                    <w:t>1.0</w:t>
                  </w:r>
                </w:p>
              </w:tc>
              <w:tc>
                <w:tcPr>
                  <w:tcW w:w="1718" w:type="dxa"/>
                  <w:vAlign w:val="top"/>
                </w:tcPr>
                <w:p w14:paraId="19A6DBE5">
                  <w:pPr>
                    <w:pStyle w:val="6"/>
                    <w:spacing w:before="97" w:line="204" w:lineRule="auto"/>
                    <w:ind w:left="746"/>
                    <w:rPr>
                      <w:sz w:val="21"/>
                      <w:szCs w:val="21"/>
                    </w:rPr>
                  </w:pPr>
                  <w:r>
                    <w:rPr>
                      <w:spacing w:val="-3"/>
                      <w:sz w:val="21"/>
                      <w:szCs w:val="21"/>
                    </w:rPr>
                    <w:t>65</w:t>
                  </w:r>
                </w:p>
              </w:tc>
              <w:tc>
                <w:tcPr>
                  <w:tcW w:w="1089" w:type="dxa"/>
                  <w:vMerge w:val="continue"/>
                  <w:tcBorders>
                    <w:top w:val="nil"/>
                    <w:bottom w:val="nil"/>
                  </w:tcBorders>
                  <w:vAlign w:val="top"/>
                </w:tcPr>
                <w:p w14:paraId="5FF3CCD8">
                  <w:pPr>
                    <w:rPr>
                      <w:rFonts w:ascii="Arial"/>
                      <w:sz w:val="21"/>
                    </w:rPr>
                  </w:pPr>
                </w:p>
              </w:tc>
              <w:tc>
                <w:tcPr>
                  <w:tcW w:w="1204" w:type="dxa"/>
                  <w:vMerge w:val="continue"/>
                  <w:tcBorders>
                    <w:top w:val="nil"/>
                    <w:bottom w:val="nil"/>
                  </w:tcBorders>
                  <w:vAlign w:val="top"/>
                </w:tcPr>
                <w:p w14:paraId="0CEA67CA">
                  <w:pPr>
                    <w:rPr>
                      <w:rFonts w:ascii="Arial"/>
                      <w:sz w:val="21"/>
                    </w:rPr>
                  </w:pPr>
                </w:p>
              </w:tc>
            </w:tr>
            <w:tr w14:paraId="75B8A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475" w:type="dxa"/>
                  <w:vAlign w:val="top"/>
                </w:tcPr>
                <w:p w14:paraId="2EA48330">
                  <w:pPr>
                    <w:pStyle w:val="6"/>
                    <w:spacing w:before="97" w:line="212" w:lineRule="auto"/>
                    <w:ind w:left="175"/>
                    <w:rPr>
                      <w:sz w:val="21"/>
                      <w:szCs w:val="21"/>
                    </w:rPr>
                  </w:pPr>
                  <w:r>
                    <w:rPr>
                      <w:sz w:val="21"/>
                      <w:szCs w:val="21"/>
                    </w:rPr>
                    <w:t>8</w:t>
                  </w:r>
                </w:p>
              </w:tc>
              <w:tc>
                <w:tcPr>
                  <w:tcW w:w="1278" w:type="dxa"/>
                  <w:vAlign w:val="top"/>
                </w:tcPr>
                <w:p w14:paraId="31FD17E9">
                  <w:pPr>
                    <w:pStyle w:val="6"/>
                    <w:spacing w:before="76" w:line="219" w:lineRule="auto"/>
                    <w:ind w:left="360"/>
                    <w:rPr>
                      <w:sz w:val="21"/>
                      <w:szCs w:val="21"/>
                    </w:rPr>
                  </w:pPr>
                  <w:r>
                    <w:rPr>
                      <w:spacing w:val="6"/>
                      <w:sz w:val="21"/>
                      <w:szCs w:val="21"/>
                    </w:rPr>
                    <w:t>水泵3</w:t>
                  </w:r>
                </w:p>
              </w:tc>
              <w:tc>
                <w:tcPr>
                  <w:tcW w:w="489" w:type="dxa"/>
                  <w:vAlign w:val="top"/>
                </w:tcPr>
                <w:p w14:paraId="38C322F4">
                  <w:pPr>
                    <w:pStyle w:val="6"/>
                    <w:spacing w:before="97" w:line="212" w:lineRule="auto"/>
                    <w:ind w:left="182"/>
                    <w:rPr>
                      <w:sz w:val="21"/>
                      <w:szCs w:val="21"/>
                    </w:rPr>
                  </w:pPr>
                  <w:r>
                    <w:rPr>
                      <w:sz w:val="21"/>
                      <w:szCs w:val="21"/>
                    </w:rPr>
                    <w:t>1</w:t>
                  </w:r>
                </w:p>
              </w:tc>
              <w:tc>
                <w:tcPr>
                  <w:tcW w:w="609" w:type="dxa"/>
                  <w:vAlign w:val="top"/>
                </w:tcPr>
                <w:p w14:paraId="5FF57A1F">
                  <w:pPr>
                    <w:pStyle w:val="6"/>
                    <w:spacing w:before="97" w:line="212" w:lineRule="auto"/>
                    <w:ind w:left="33"/>
                    <w:rPr>
                      <w:sz w:val="21"/>
                      <w:szCs w:val="21"/>
                    </w:rPr>
                  </w:pPr>
                  <w:r>
                    <w:rPr>
                      <w:spacing w:val="-2"/>
                      <w:sz w:val="21"/>
                      <w:szCs w:val="21"/>
                    </w:rPr>
                    <w:t>85.44</w:t>
                  </w:r>
                </w:p>
              </w:tc>
              <w:tc>
                <w:tcPr>
                  <w:tcW w:w="709" w:type="dxa"/>
                  <w:vAlign w:val="top"/>
                </w:tcPr>
                <w:p w14:paraId="26104DDE">
                  <w:pPr>
                    <w:pStyle w:val="6"/>
                    <w:spacing w:before="97" w:line="212" w:lineRule="auto"/>
                    <w:ind w:left="84"/>
                    <w:rPr>
                      <w:sz w:val="21"/>
                      <w:szCs w:val="21"/>
                    </w:rPr>
                  </w:pPr>
                  <w:r>
                    <w:rPr>
                      <w:spacing w:val="-4"/>
                      <w:sz w:val="21"/>
                      <w:szCs w:val="21"/>
                    </w:rPr>
                    <w:t>16.72</w:t>
                  </w:r>
                </w:p>
              </w:tc>
              <w:tc>
                <w:tcPr>
                  <w:tcW w:w="569" w:type="dxa"/>
                  <w:vAlign w:val="top"/>
                </w:tcPr>
                <w:p w14:paraId="1B507312">
                  <w:pPr>
                    <w:pStyle w:val="6"/>
                    <w:spacing w:before="97" w:line="212" w:lineRule="auto"/>
                    <w:ind w:left="115"/>
                    <w:rPr>
                      <w:sz w:val="21"/>
                      <w:szCs w:val="21"/>
                    </w:rPr>
                  </w:pPr>
                  <w:r>
                    <w:rPr>
                      <w:spacing w:val="-6"/>
                      <w:sz w:val="21"/>
                      <w:szCs w:val="21"/>
                    </w:rPr>
                    <w:t>1.0</w:t>
                  </w:r>
                </w:p>
              </w:tc>
              <w:tc>
                <w:tcPr>
                  <w:tcW w:w="1718" w:type="dxa"/>
                  <w:vAlign w:val="top"/>
                </w:tcPr>
                <w:p w14:paraId="38A04905">
                  <w:pPr>
                    <w:pStyle w:val="6"/>
                    <w:spacing w:before="97" w:line="212" w:lineRule="auto"/>
                    <w:ind w:left="746"/>
                    <w:rPr>
                      <w:sz w:val="21"/>
                      <w:szCs w:val="21"/>
                    </w:rPr>
                  </w:pPr>
                  <w:r>
                    <w:rPr>
                      <w:spacing w:val="-3"/>
                      <w:sz w:val="21"/>
                      <w:szCs w:val="21"/>
                    </w:rPr>
                    <w:t>65</w:t>
                  </w:r>
                </w:p>
              </w:tc>
              <w:tc>
                <w:tcPr>
                  <w:tcW w:w="1089" w:type="dxa"/>
                  <w:vMerge w:val="continue"/>
                  <w:tcBorders>
                    <w:top w:val="nil"/>
                    <w:bottom w:val="nil"/>
                  </w:tcBorders>
                  <w:vAlign w:val="top"/>
                </w:tcPr>
                <w:p w14:paraId="407FF91D">
                  <w:pPr>
                    <w:rPr>
                      <w:rFonts w:ascii="Arial"/>
                      <w:sz w:val="21"/>
                    </w:rPr>
                  </w:pPr>
                </w:p>
              </w:tc>
              <w:tc>
                <w:tcPr>
                  <w:tcW w:w="1204" w:type="dxa"/>
                  <w:vMerge w:val="continue"/>
                  <w:tcBorders>
                    <w:top w:val="nil"/>
                    <w:bottom w:val="nil"/>
                  </w:tcBorders>
                  <w:vAlign w:val="top"/>
                </w:tcPr>
                <w:p w14:paraId="565FF083">
                  <w:pPr>
                    <w:rPr>
                      <w:rFonts w:ascii="Arial"/>
                      <w:sz w:val="21"/>
                    </w:rPr>
                  </w:pPr>
                </w:p>
              </w:tc>
            </w:tr>
            <w:tr w14:paraId="2B986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475" w:type="dxa"/>
                  <w:vAlign w:val="top"/>
                </w:tcPr>
                <w:p w14:paraId="3E978557">
                  <w:pPr>
                    <w:pStyle w:val="6"/>
                    <w:spacing w:before="98" w:line="207" w:lineRule="auto"/>
                    <w:ind w:left="175"/>
                    <w:rPr>
                      <w:sz w:val="21"/>
                      <w:szCs w:val="21"/>
                    </w:rPr>
                  </w:pPr>
                  <w:r>
                    <w:rPr>
                      <w:sz w:val="21"/>
                      <w:szCs w:val="21"/>
                    </w:rPr>
                    <w:t>9</w:t>
                  </w:r>
                </w:p>
              </w:tc>
              <w:tc>
                <w:tcPr>
                  <w:tcW w:w="1278" w:type="dxa"/>
                  <w:vAlign w:val="top"/>
                </w:tcPr>
                <w:p w14:paraId="3BA96608">
                  <w:pPr>
                    <w:pStyle w:val="6"/>
                    <w:spacing w:before="77" w:line="219" w:lineRule="auto"/>
                    <w:ind w:left="360"/>
                    <w:rPr>
                      <w:sz w:val="21"/>
                      <w:szCs w:val="21"/>
                    </w:rPr>
                  </w:pPr>
                  <w:r>
                    <w:rPr>
                      <w:spacing w:val="4"/>
                      <w:sz w:val="21"/>
                      <w:szCs w:val="21"/>
                    </w:rPr>
                    <w:t>水泵4</w:t>
                  </w:r>
                </w:p>
              </w:tc>
              <w:tc>
                <w:tcPr>
                  <w:tcW w:w="489" w:type="dxa"/>
                  <w:vAlign w:val="top"/>
                </w:tcPr>
                <w:p w14:paraId="1CD9CC8E">
                  <w:pPr>
                    <w:pStyle w:val="6"/>
                    <w:spacing w:before="98" w:line="207" w:lineRule="auto"/>
                    <w:ind w:left="182"/>
                    <w:rPr>
                      <w:sz w:val="21"/>
                      <w:szCs w:val="21"/>
                    </w:rPr>
                  </w:pPr>
                  <w:r>
                    <w:rPr>
                      <w:sz w:val="21"/>
                      <w:szCs w:val="21"/>
                    </w:rPr>
                    <w:t>1</w:t>
                  </w:r>
                </w:p>
              </w:tc>
              <w:tc>
                <w:tcPr>
                  <w:tcW w:w="609" w:type="dxa"/>
                  <w:vAlign w:val="top"/>
                </w:tcPr>
                <w:p w14:paraId="5D9146F9">
                  <w:pPr>
                    <w:pStyle w:val="6"/>
                    <w:spacing w:before="98" w:line="207" w:lineRule="auto"/>
                    <w:ind w:left="33"/>
                    <w:rPr>
                      <w:sz w:val="21"/>
                      <w:szCs w:val="21"/>
                    </w:rPr>
                  </w:pPr>
                  <w:r>
                    <w:rPr>
                      <w:spacing w:val="-2"/>
                      <w:sz w:val="21"/>
                      <w:szCs w:val="21"/>
                    </w:rPr>
                    <w:t>85.56</w:t>
                  </w:r>
                </w:p>
              </w:tc>
              <w:tc>
                <w:tcPr>
                  <w:tcW w:w="709" w:type="dxa"/>
                  <w:vAlign w:val="top"/>
                </w:tcPr>
                <w:p w14:paraId="505C5D74">
                  <w:pPr>
                    <w:pStyle w:val="6"/>
                    <w:spacing w:before="98" w:line="207" w:lineRule="auto"/>
                    <w:ind w:left="84"/>
                    <w:rPr>
                      <w:sz w:val="21"/>
                      <w:szCs w:val="21"/>
                    </w:rPr>
                  </w:pPr>
                  <w:r>
                    <w:rPr>
                      <w:spacing w:val="-4"/>
                      <w:sz w:val="21"/>
                      <w:szCs w:val="21"/>
                    </w:rPr>
                    <w:t>14.21</w:t>
                  </w:r>
                </w:p>
              </w:tc>
              <w:tc>
                <w:tcPr>
                  <w:tcW w:w="569" w:type="dxa"/>
                  <w:vAlign w:val="top"/>
                </w:tcPr>
                <w:p w14:paraId="7D7E4E1C">
                  <w:pPr>
                    <w:pStyle w:val="6"/>
                    <w:spacing w:before="98" w:line="207" w:lineRule="auto"/>
                    <w:ind w:left="115"/>
                    <w:rPr>
                      <w:sz w:val="21"/>
                      <w:szCs w:val="21"/>
                    </w:rPr>
                  </w:pPr>
                  <w:r>
                    <w:rPr>
                      <w:spacing w:val="-6"/>
                      <w:sz w:val="21"/>
                      <w:szCs w:val="21"/>
                    </w:rPr>
                    <w:t>1.0</w:t>
                  </w:r>
                </w:p>
              </w:tc>
              <w:tc>
                <w:tcPr>
                  <w:tcW w:w="1718" w:type="dxa"/>
                  <w:vAlign w:val="top"/>
                </w:tcPr>
                <w:p w14:paraId="202CCA0A">
                  <w:pPr>
                    <w:pStyle w:val="6"/>
                    <w:spacing w:before="98" w:line="207" w:lineRule="auto"/>
                    <w:ind w:left="746"/>
                    <w:rPr>
                      <w:sz w:val="21"/>
                      <w:szCs w:val="21"/>
                    </w:rPr>
                  </w:pPr>
                  <w:r>
                    <w:rPr>
                      <w:spacing w:val="-3"/>
                      <w:sz w:val="21"/>
                      <w:szCs w:val="21"/>
                    </w:rPr>
                    <w:t>65</w:t>
                  </w:r>
                </w:p>
              </w:tc>
              <w:tc>
                <w:tcPr>
                  <w:tcW w:w="1089" w:type="dxa"/>
                  <w:vMerge w:val="continue"/>
                  <w:tcBorders>
                    <w:top w:val="nil"/>
                  </w:tcBorders>
                  <w:vAlign w:val="top"/>
                </w:tcPr>
                <w:p w14:paraId="1FD31D37">
                  <w:pPr>
                    <w:rPr>
                      <w:rFonts w:ascii="Arial"/>
                      <w:sz w:val="21"/>
                    </w:rPr>
                  </w:pPr>
                </w:p>
              </w:tc>
              <w:tc>
                <w:tcPr>
                  <w:tcW w:w="1204" w:type="dxa"/>
                  <w:vMerge w:val="continue"/>
                  <w:tcBorders>
                    <w:top w:val="nil"/>
                  </w:tcBorders>
                  <w:vAlign w:val="top"/>
                </w:tcPr>
                <w:p w14:paraId="32E620FC">
                  <w:pPr>
                    <w:rPr>
                      <w:rFonts w:ascii="Arial"/>
                      <w:sz w:val="21"/>
                    </w:rPr>
                  </w:pPr>
                </w:p>
              </w:tc>
            </w:tr>
          </w:tbl>
          <w:p w14:paraId="1FE2F9CA">
            <w:pPr>
              <w:pStyle w:val="6"/>
              <w:spacing w:before="60" w:line="219" w:lineRule="auto"/>
              <w:ind w:left="95"/>
              <w:rPr>
                <w:sz w:val="25"/>
                <w:szCs w:val="25"/>
              </w:rPr>
            </w:pPr>
            <w:r>
              <w:rPr>
                <w:b/>
                <w:bCs/>
                <w:spacing w:val="-4"/>
                <w:sz w:val="25"/>
                <w:szCs w:val="25"/>
              </w:rPr>
              <w:t>5.2光伏区噪声预测结果及达标性分析</w:t>
            </w:r>
          </w:p>
          <w:p w14:paraId="05383D49">
            <w:pPr>
              <w:pStyle w:val="6"/>
              <w:spacing w:before="146" w:line="219" w:lineRule="auto"/>
              <w:ind w:left="571"/>
              <w:rPr>
                <w:sz w:val="24"/>
                <w:szCs w:val="24"/>
              </w:rPr>
            </w:pPr>
            <w:r>
              <w:rPr>
                <w:sz w:val="24"/>
                <w:szCs w:val="24"/>
              </w:rPr>
              <w:t>本项目运营期逆变器、箱式变压器噪声随距离衰减贡献值见表4-17。</w:t>
            </w:r>
          </w:p>
          <w:p w14:paraId="07A16D9D">
            <w:pPr>
              <w:pStyle w:val="6"/>
              <w:spacing w:before="202" w:line="184" w:lineRule="auto"/>
              <w:ind w:left="125"/>
              <w:rPr>
                <w:sz w:val="25"/>
                <w:szCs w:val="25"/>
              </w:rPr>
            </w:pPr>
            <w:r>
              <w:rPr>
                <w:b/>
                <w:bCs/>
                <w:spacing w:val="-3"/>
                <w:sz w:val="25"/>
                <w:szCs w:val="25"/>
              </w:rPr>
              <w:t>表4-17运营期逆变器、箱式变压器噪声随距离衰减贡献值(单位：</w:t>
            </w:r>
            <w:r>
              <w:rPr>
                <w:spacing w:val="-69"/>
                <w:sz w:val="25"/>
                <w:szCs w:val="25"/>
              </w:rPr>
              <w:t xml:space="preserve"> </w:t>
            </w:r>
            <w:r>
              <w:rPr>
                <w:b/>
                <w:bCs/>
                <w:spacing w:val="-3"/>
                <w:sz w:val="25"/>
                <w:szCs w:val="25"/>
              </w:rPr>
              <w:t>dB(A))</w:t>
            </w:r>
          </w:p>
        </w:tc>
      </w:tr>
      <w:tr w14:paraId="4E6B6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13" w:type="dxa"/>
            <w:vMerge w:val="continue"/>
            <w:tcBorders>
              <w:top w:val="nil"/>
              <w:left w:val="single" w:color="000000" w:sz="8" w:space="0"/>
              <w:bottom w:val="nil"/>
            </w:tcBorders>
            <w:vAlign w:val="top"/>
          </w:tcPr>
          <w:p w14:paraId="7C4E43F9">
            <w:pPr>
              <w:rPr>
                <w:rFonts w:ascii="Arial"/>
                <w:sz w:val="21"/>
              </w:rPr>
            </w:pPr>
          </w:p>
        </w:tc>
        <w:tc>
          <w:tcPr>
            <w:tcW w:w="1812" w:type="dxa"/>
            <w:gridSpan w:val="3"/>
            <w:vMerge w:val="restart"/>
            <w:tcBorders>
              <w:bottom w:val="nil"/>
            </w:tcBorders>
            <w:vAlign w:val="top"/>
          </w:tcPr>
          <w:p w14:paraId="5D21B7A9">
            <w:pPr>
              <w:pStyle w:val="6"/>
              <w:spacing w:before="94" w:line="235" w:lineRule="auto"/>
              <w:ind w:left="101" w:firstLine="926"/>
              <w:rPr>
                <w:sz w:val="21"/>
                <w:szCs w:val="21"/>
              </w:rPr>
            </w:pPr>
            <w:r>
              <w:pict>
                <v:shape id="_x0000_s1123" o:spid="_x0000_s1123" style="position:absolute;left:0pt;margin-left:4.1pt;margin-top:0.75pt;height:32.5pt;width:0.5pt;mso-position-horizontal-relative:page;mso-position-vertical-relative:page;z-index:-251601920;mso-width-relative:page;mso-height-relative:page;" filled="f" stroked="t" coordsize="10,650" path="m5,0l5,649e">
                  <v:fill on="f" focussize="0,0"/>
                  <v:stroke weight="0.5pt" color="#000000" miterlimit="10" joinstyle="miter"/>
                  <v:imagedata o:title=""/>
                  <o:lock v:ext="edit"/>
                </v:shape>
              </w:pict>
            </w:r>
            <w:r>
              <w:rPr>
                <w:spacing w:val="7"/>
                <w:sz w:val="21"/>
                <w:szCs w:val="21"/>
              </w:rPr>
              <w:t>距离(m)</w:t>
            </w:r>
            <w:r>
              <w:rPr>
                <w:spacing w:val="2"/>
                <w:sz w:val="21"/>
                <w:szCs w:val="21"/>
              </w:rPr>
              <w:t xml:space="preserve"> </w:t>
            </w:r>
            <w:r>
              <w:rPr>
                <w:spacing w:val="-2"/>
                <w:sz w:val="21"/>
                <w:szCs w:val="21"/>
              </w:rPr>
              <w:t>机械名称</w:t>
            </w:r>
          </w:p>
        </w:tc>
        <w:tc>
          <w:tcPr>
            <w:tcW w:w="6597" w:type="dxa"/>
            <w:gridSpan w:val="13"/>
            <w:vAlign w:val="top"/>
          </w:tcPr>
          <w:p w14:paraId="5C306B10">
            <w:pPr>
              <w:pStyle w:val="6"/>
              <w:spacing w:before="73" w:line="207" w:lineRule="auto"/>
              <w:ind w:left="2249"/>
              <w:rPr>
                <w:sz w:val="21"/>
                <w:szCs w:val="21"/>
              </w:rPr>
            </w:pPr>
            <w:r>
              <w:rPr>
                <w:spacing w:val="-2"/>
                <w:sz w:val="21"/>
                <w:szCs w:val="21"/>
              </w:rPr>
              <w:t>不同距离处噪声贡献值</w:t>
            </w:r>
          </w:p>
        </w:tc>
        <w:tc>
          <w:tcPr>
            <w:tcW w:w="87" w:type="dxa"/>
            <w:tcBorders>
              <w:right w:val="single" w:color="000000" w:sz="8" w:space="0"/>
            </w:tcBorders>
            <w:vAlign w:val="top"/>
          </w:tcPr>
          <w:p w14:paraId="521E94A8">
            <w:pPr>
              <w:rPr>
                <w:rFonts w:ascii="Arial"/>
                <w:sz w:val="21"/>
              </w:rPr>
            </w:pPr>
          </w:p>
        </w:tc>
      </w:tr>
      <w:tr w14:paraId="7D74D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13" w:type="dxa"/>
            <w:vMerge w:val="continue"/>
            <w:tcBorders>
              <w:top w:val="nil"/>
              <w:left w:val="single" w:color="000000" w:sz="8" w:space="0"/>
              <w:bottom w:val="nil"/>
            </w:tcBorders>
            <w:vAlign w:val="top"/>
          </w:tcPr>
          <w:p w14:paraId="6161E4CE">
            <w:pPr>
              <w:rPr>
                <w:rFonts w:ascii="Arial"/>
                <w:sz w:val="21"/>
              </w:rPr>
            </w:pPr>
          </w:p>
        </w:tc>
        <w:tc>
          <w:tcPr>
            <w:tcW w:w="1812" w:type="dxa"/>
            <w:gridSpan w:val="3"/>
            <w:vMerge w:val="continue"/>
            <w:tcBorders>
              <w:top w:val="nil"/>
            </w:tcBorders>
            <w:vAlign w:val="top"/>
          </w:tcPr>
          <w:p w14:paraId="5110E699">
            <w:pPr>
              <w:rPr>
                <w:rFonts w:ascii="Arial"/>
                <w:sz w:val="21"/>
              </w:rPr>
            </w:pPr>
          </w:p>
        </w:tc>
        <w:tc>
          <w:tcPr>
            <w:tcW w:w="858" w:type="dxa"/>
            <w:gridSpan w:val="2"/>
            <w:vAlign w:val="top"/>
          </w:tcPr>
          <w:p w14:paraId="0C9911D2">
            <w:pPr>
              <w:pStyle w:val="6"/>
              <w:spacing w:before="86" w:line="188" w:lineRule="auto"/>
              <w:ind w:left="359"/>
              <w:rPr>
                <w:sz w:val="21"/>
                <w:szCs w:val="21"/>
              </w:rPr>
            </w:pPr>
            <w:r>
              <w:rPr>
                <w:sz w:val="21"/>
                <w:szCs w:val="21"/>
              </w:rPr>
              <w:t>1</w:t>
            </w:r>
          </w:p>
        </w:tc>
        <w:tc>
          <w:tcPr>
            <w:tcW w:w="718" w:type="dxa"/>
            <w:gridSpan w:val="2"/>
            <w:vAlign w:val="top"/>
          </w:tcPr>
          <w:p w14:paraId="71A1ACD4">
            <w:pPr>
              <w:pStyle w:val="6"/>
              <w:spacing w:before="86" w:line="188" w:lineRule="auto"/>
              <w:ind w:left="291"/>
              <w:rPr>
                <w:sz w:val="21"/>
                <w:szCs w:val="21"/>
              </w:rPr>
            </w:pPr>
            <w:r>
              <w:rPr>
                <w:sz w:val="21"/>
                <w:szCs w:val="21"/>
              </w:rPr>
              <w:t>2</w:t>
            </w:r>
          </w:p>
        </w:tc>
        <w:tc>
          <w:tcPr>
            <w:tcW w:w="739" w:type="dxa"/>
            <w:gridSpan w:val="2"/>
            <w:vAlign w:val="top"/>
          </w:tcPr>
          <w:p w14:paraId="0269A27D">
            <w:pPr>
              <w:pStyle w:val="6"/>
              <w:spacing w:before="86" w:line="188" w:lineRule="auto"/>
              <w:ind w:left="303"/>
              <w:rPr>
                <w:sz w:val="21"/>
                <w:szCs w:val="21"/>
              </w:rPr>
            </w:pPr>
            <w:r>
              <w:rPr>
                <w:sz w:val="21"/>
                <w:szCs w:val="21"/>
              </w:rPr>
              <w:t>5</w:t>
            </w:r>
          </w:p>
        </w:tc>
        <w:tc>
          <w:tcPr>
            <w:tcW w:w="878" w:type="dxa"/>
            <w:gridSpan w:val="2"/>
            <w:vAlign w:val="top"/>
          </w:tcPr>
          <w:p w14:paraId="06109260">
            <w:pPr>
              <w:pStyle w:val="6"/>
              <w:spacing w:before="86" w:line="188" w:lineRule="auto"/>
              <w:ind w:left="324"/>
              <w:rPr>
                <w:sz w:val="21"/>
                <w:szCs w:val="21"/>
              </w:rPr>
            </w:pPr>
            <w:r>
              <w:rPr>
                <w:spacing w:val="-6"/>
                <w:sz w:val="21"/>
                <w:szCs w:val="21"/>
              </w:rPr>
              <w:t>10</w:t>
            </w:r>
          </w:p>
        </w:tc>
        <w:tc>
          <w:tcPr>
            <w:tcW w:w="799" w:type="dxa"/>
            <w:vAlign w:val="top"/>
          </w:tcPr>
          <w:p w14:paraId="43D2C7DD">
            <w:pPr>
              <w:pStyle w:val="6"/>
              <w:spacing w:before="86" w:line="188" w:lineRule="auto"/>
              <w:ind w:left="286"/>
              <w:rPr>
                <w:sz w:val="21"/>
                <w:szCs w:val="21"/>
              </w:rPr>
            </w:pPr>
            <w:r>
              <w:rPr>
                <w:spacing w:val="-3"/>
                <w:sz w:val="21"/>
                <w:szCs w:val="21"/>
              </w:rPr>
              <w:t>20</w:t>
            </w:r>
          </w:p>
        </w:tc>
        <w:tc>
          <w:tcPr>
            <w:tcW w:w="868" w:type="dxa"/>
            <w:vAlign w:val="top"/>
          </w:tcPr>
          <w:p w14:paraId="755A5C19">
            <w:pPr>
              <w:pStyle w:val="6"/>
              <w:spacing w:before="86" w:line="188" w:lineRule="auto"/>
              <w:ind w:left="327"/>
              <w:rPr>
                <w:sz w:val="21"/>
                <w:szCs w:val="21"/>
              </w:rPr>
            </w:pPr>
            <w:r>
              <w:rPr>
                <w:spacing w:val="-4"/>
                <w:sz w:val="21"/>
                <w:szCs w:val="21"/>
              </w:rPr>
              <w:t>30</w:t>
            </w:r>
          </w:p>
        </w:tc>
        <w:tc>
          <w:tcPr>
            <w:tcW w:w="918" w:type="dxa"/>
            <w:gridSpan w:val="2"/>
            <w:vAlign w:val="top"/>
          </w:tcPr>
          <w:p w14:paraId="7F8F892D">
            <w:pPr>
              <w:pStyle w:val="6"/>
              <w:spacing w:before="86" w:line="188" w:lineRule="auto"/>
              <w:ind w:left="349"/>
              <w:rPr>
                <w:sz w:val="21"/>
                <w:szCs w:val="21"/>
              </w:rPr>
            </w:pPr>
            <w:r>
              <w:rPr>
                <w:spacing w:val="-4"/>
                <w:sz w:val="21"/>
                <w:szCs w:val="21"/>
              </w:rPr>
              <w:t>50</w:t>
            </w:r>
          </w:p>
        </w:tc>
        <w:tc>
          <w:tcPr>
            <w:tcW w:w="819" w:type="dxa"/>
            <w:vAlign w:val="top"/>
          </w:tcPr>
          <w:p w14:paraId="6DE33F9D">
            <w:pPr>
              <w:pStyle w:val="6"/>
              <w:spacing w:before="86" w:line="188" w:lineRule="auto"/>
              <w:ind w:left="251"/>
              <w:rPr>
                <w:sz w:val="21"/>
                <w:szCs w:val="21"/>
              </w:rPr>
            </w:pPr>
            <w:r>
              <w:rPr>
                <w:spacing w:val="-6"/>
                <w:sz w:val="21"/>
                <w:szCs w:val="21"/>
              </w:rPr>
              <w:t>100</w:t>
            </w:r>
          </w:p>
        </w:tc>
        <w:tc>
          <w:tcPr>
            <w:tcW w:w="87" w:type="dxa"/>
            <w:tcBorders>
              <w:right w:val="single" w:color="000000" w:sz="8" w:space="0"/>
            </w:tcBorders>
            <w:vAlign w:val="top"/>
          </w:tcPr>
          <w:p w14:paraId="2A378EF2">
            <w:pPr>
              <w:rPr>
                <w:rFonts w:ascii="Arial"/>
                <w:sz w:val="21"/>
              </w:rPr>
            </w:pPr>
          </w:p>
        </w:tc>
      </w:tr>
      <w:tr w14:paraId="03857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913" w:type="dxa"/>
            <w:vMerge w:val="continue"/>
            <w:tcBorders>
              <w:top w:val="nil"/>
              <w:left w:val="single" w:color="000000" w:sz="8" w:space="0"/>
              <w:bottom w:val="nil"/>
            </w:tcBorders>
            <w:vAlign w:val="top"/>
          </w:tcPr>
          <w:p w14:paraId="5B3E6843">
            <w:pPr>
              <w:rPr>
                <w:rFonts w:ascii="Arial"/>
                <w:sz w:val="21"/>
              </w:rPr>
            </w:pPr>
          </w:p>
        </w:tc>
        <w:tc>
          <w:tcPr>
            <w:tcW w:w="95" w:type="dxa"/>
            <w:vAlign w:val="top"/>
          </w:tcPr>
          <w:p w14:paraId="2E2900F5">
            <w:pPr>
              <w:rPr>
                <w:rFonts w:ascii="Arial"/>
                <w:sz w:val="21"/>
              </w:rPr>
            </w:pPr>
          </w:p>
        </w:tc>
        <w:tc>
          <w:tcPr>
            <w:tcW w:w="1717" w:type="dxa"/>
            <w:gridSpan w:val="2"/>
            <w:vAlign w:val="top"/>
          </w:tcPr>
          <w:p w14:paraId="780A97F0">
            <w:pPr>
              <w:pStyle w:val="6"/>
              <w:spacing w:before="75" w:line="214" w:lineRule="auto"/>
              <w:ind w:left="636"/>
              <w:rPr>
                <w:sz w:val="21"/>
                <w:szCs w:val="21"/>
              </w:rPr>
            </w:pPr>
            <w:r>
              <w:rPr>
                <w:spacing w:val="-3"/>
                <w:sz w:val="21"/>
                <w:szCs w:val="21"/>
              </w:rPr>
              <w:t>箱变</w:t>
            </w:r>
          </w:p>
        </w:tc>
        <w:tc>
          <w:tcPr>
            <w:tcW w:w="858" w:type="dxa"/>
            <w:gridSpan w:val="2"/>
            <w:vAlign w:val="top"/>
          </w:tcPr>
          <w:p w14:paraId="1A0FDEB7">
            <w:pPr>
              <w:pStyle w:val="6"/>
              <w:spacing w:before="96" w:line="196" w:lineRule="auto"/>
              <w:ind w:left="309"/>
              <w:rPr>
                <w:sz w:val="21"/>
                <w:szCs w:val="21"/>
              </w:rPr>
            </w:pPr>
            <w:r>
              <w:rPr>
                <w:spacing w:val="-3"/>
                <w:sz w:val="21"/>
                <w:szCs w:val="21"/>
              </w:rPr>
              <w:t>65</w:t>
            </w:r>
          </w:p>
        </w:tc>
        <w:tc>
          <w:tcPr>
            <w:tcW w:w="718" w:type="dxa"/>
            <w:gridSpan w:val="2"/>
            <w:vAlign w:val="top"/>
          </w:tcPr>
          <w:p w14:paraId="6B545D46">
            <w:pPr>
              <w:pStyle w:val="6"/>
              <w:spacing w:before="96" w:line="196" w:lineRule="auto"/>
              <w:ind w:left="81"/>
              <w:rPr>
                <w:sz w:val="21"/>
                <w:szCs w:val="21"/>
              </w:rPr>
            </w:pPr>
            <w:r>
              <w:rPr>
                <w:spacing w:val="-2"/>
                <w:sz w:val="21"/>
                <w:szCs w:val="21"/>
              </w:rPr>
              <w:t>58.98</w:t>
            </w:r>
          </w:p>
        </w:tc>
        <w:tc>
          <w:tcPr>
            <w:tcW w:w="739" w:type="dxa"/>
            <w:gridSpan w:val="2"/>
            <w:vAlign w:val="top"/>
          </w:tcPr>
          <w:p w14:paraId="2B70CFEF">
            <w:pPr>
              <w:pStyle w:val="6"/>
              <w:spacing w:before="96" w:line="196" w:lineRule="auto"/>
              <w:ind w:left="93"/>
              <w:rPr>
                <w:sz w:val="21"/>
                <w:szCs w:val="21"/>
              </w:rPr>
            </w:pPr>
            <w:r>
              <w:rPr>
                <w:spacing w:val="-2"/>
                <w:sz w:val="21"/>
                <w:szCs w:val="21"/>
              </w:rPr>
              <w:t>51.02</w:t>
            </w:r>
          </w:p>
        </w:tc>
        <w:tc>
          <w:tcPr>
            <w:tcW w:w="878" w:type="dxa"/>
            <w:gridSpan w:val="2"/>
            <w:vAlign w:val="top"/>
          </w:tcPr>
          <w:p w14:paraId="085B4643">
            <w:pPr>
              <w:pStyle w:val="6"/>
              <w:spacing w:before="96" w:line="196" w:lineRule="auto"/>
              <w:ind w:left="324"/>
              <w:rPr>
                <w:sz w:val="21"/>
                <w:szCs w:val="21"/>
              </w:rPr>
            </w:pPr>
            <w:r>
              <w:rPr>
                <w:spacing w:val="-2"/>
                <w:sz w:val="21"/>
                <w:szCs w:val="21"/>
              </w:rPr>
              <w:t>45</w:t>
            </w:r>
          </w:p>
        </w:tc>
        <w:tc>
          <w:tcPr>
            <w:tcW w:w="799" w:type="dxa"/>
            <w:vAlign w:val="top"/>
          </w:tcPr>
          <w:p w14:paraId="62562970">
            <w:pPr>
              <w:pStyle w:val="6"/>
              <w:spacing w:before="96" w:line="196" w:lineRule="auto"/>
              <w:ind w:left="126"/>
              <w:rPr>
                <w:sz w:val="21"/>
                <w:szCs w:val="21"/>
              </w:rPr>
            </w:pPr>
            <w:r>
              <w:rPr>
                <w:spacing w:val="-2"/>
                <w:sz w:val="21"/>
                <w:szCs w:val="21"/>
              </w:rPr>
              <w:t>38.98</w:t>
            </w:r>
          </w:p>
        </w:tc>
        <w:tc>
          <w:tcPr>
            <w:tcW w:w="868" w:type="dxa"/>
            <w:vAlign w:val="top"/>
          </w:tcPr>
          <w:p w14:paraId="57827AA9">
            <w:pPr>
              <w:pStyle w:val="6"/>
              <w:spacing w:before="96" w:line="196" w:lineRule="auto"/>
              <w:ind w:left="167"/>
              <w:rPr>
                <w:sz w:val="21"/>
                <w:szCs w:val="21"/>
              </w:rPr>
            </w:pPr>
            <w:r>
              <w:rPr>
                <w:spacing w:val="-2"/>
                <w:sz w:val="21"/>
                <w:szCs w:val="21"/>
              </w:rPr>
              <w:t>35.46</w:t>
            </w:r>
          </w:p>
        </w:tc>
        <w:tc>
          <w:tcPr>
            <w:tcW w:w="918" w:type="dxa"/>
            <w:gridSpan w:val="2"/>
            <w:vAlign w:val="top"/>
          </w:tcPr>
          <w:p w14:paraId="39463DF6">
            <w:pPr>
              <w:pStyle w:val="6"/>
              <w:spacing w:before="96" w:line="196" w:lineRule="auto"/>
              <w:ind w:left="189"/>
              <w:rPr>
                <w:sz w:val="21"/>
                <w:szCs w:val="21"/>
              </w:rPr>
            </w:pPr>
            <w:r>
              <w:rPr>
                <w:spacing w:val="-2"/>
                <w:sz w:val="21"/>
                <w:szCs w:val="21"/>
              </w:rPr>
              <w:t>31.02</w:t>
            </w:r>
          </w:p>
        </w:tc>
        <w:tc>
          <w:tcPr>
            <w:tcW w:w="819" w:type="dxa"/>
            <w:vAlign w:val="top"/>
          </w:tcPr>
          <w:p w14:paraId="136835A3">
            <w:pPr>
              <w:pStyle w:val="6"/>
              <w:spacing w:before="96" w:line="196" w:lineRule="auto"/>
              <w:ind w:left="301"/>
              <w:rPr>
                <w:sz w:val="21"/>
                <w:szCs w:val="21"/>
              </w:rPr>
            </w:pPr>
            <w:r>
              <w:rPr>
                <w:spacing w:val="-3"/>
                <w:sz w:val="21"/>
                <w:szCs w:val="21"/>
              </w:rPr>
              <w:t>25</w:t>
            </w:r>
          </w:p>
        </w:tc>
        <w:tc>
          <w:tcPr>
            <w:tcW w:w="87" w:type="dxa"/>
            <w:tcBorders>
              <w:right w:val="single" w:color="000000" w:sz="8" w:space="0"/>
            </w:tcBorders>
            <w:vAlign w:val="top"/>
          </w:tcPr>
          <w:p w14:paraId="4D032E40">
            <w:pPr>
              <w:rPr>
                <w:rFonts w:ascii="Arial"/>
                <w:sz w:val="21"/>
              </w:rPr>
            </w:pPr>
          </w:p>
        </w:tc>
      </w:tr>
      <w:tr w14:paraId="38EDE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13" w:type="dxa"/>
            <w:vMerge w:val="continue"/>
            <w:tcBorders>
              <w:top w:val="nil"/>
              <w:left w:val="single" w:color="000000" w:sz="8" w:space="0"/>
              <w:bottom w:val="nil"/>
            </w:tcBorders>
            <w:vAlign w:val="top"/>
          </w:tcPr>
          <w:p w14:paraId="055367E6">
            <w:pPr>
              <w:rPr>
                <w:rFonts w:ascii="Arial"/>
                <w:sz w:val="21"/>
              </w:rPr>
            </w:pPr>
          </w:p>
        </w:tc>
        <w:tc>
          <w:tcPr>
            <w:tcW w:w="95" w:type="dxa"/>
            <w:vAlign w:val="top"/>
          </w:tcPr>
          <w:p w14:paraId="17257979">
            <w:pPr>
              <w:rPr>
                <w:rFonts w:ascii="Arial"/>
                <w:sz w:val="21"/>
              </w:rPr>
            </w:pPr>
          </w:p>
        </w:tc>
        <w:tc>
          <w:tcPr>
            <w:tcW w:w="1717" w:type="dxa"/>
            <w:gridSpan w:val="2"/>
            <w:vAlign w:val="top"/>
          </w:tcPr>
          <w:p w14:paraId="59ECF36F">
            <w:pPr>
              <w:pStyle w:val="6"/>
              <w:spacing w:before="66" w:line="205" w:lineRule="auto"/>
              <w:ind w:left="526"/>
              <w:rPr>
                <w:sz w:val="21"/>
                <w:szCs w:val="21"/>
              </w:rPr>
            </w:pPr>
            <w:r>
              <w:rPr>
                <w:spacing w:val="-2"/>
                <w:sz w:val="21"/>
                <w:szCs w:val="21"/>
              </w:rPr>
              <w:t>逆变器</w:t>
            </w:r>
          </w:p>
        </w:tc>
        <w:tc>
          <w:tcPr>
            <w:tcW w:w="858" w:type="dxa"/>
            <w:gridSpan w:val="2"/>
            <w:vAlign w:val="top"/>
          </w:tcPr>
          <w:p w14:paraId="6447F9C4">
            <w:pPr>
              <w:pStyle w:val="6"/>
              <w:spacing w:before="86" w:line="188" w:lineRule="auto"/>
              <w:ind w:left="309"/>
              <w:rPr>
                <w:sz w:val="21"/>
                <w:szCs w:val="21"/>
              </w:rPr>
            </w:pPr>
            <w:r>
              <w:rPr>
                <w:spacing w:val="-3"/>
                <w:sz w:val="21"/>
                <w:szCs w:val="21"/>
              </w:rPr>
              <w:t>60</w:t>
            </w:r>
          </w:p>
        </w:tc>
        <w:tc>
          <w:tcPr>
            <w:tcW w:w="718" w:type="dxa"/>
            <w:gridSpan w:val="2"/>
            <w:vAlign w:val="top"/>
          </w:tcPr>
          <w:p w14:paraId="2BE4EAC1">
            <w:pPr>
              <w:pStyle w:val="6"/>
              <w:spacing w:before="86" w:line="188" w:lineRule="auto"/>
              <w:ind w:left="81"/>
              <w:rPr>
                <w:sz w:val="21"/>
                <w:szCs w:val="21"/>
              </w:rPr>
            </w:pPr>
            <w:r>
              <w:rPr>
                <w:spacing w:val="-2"/>
                <w:sz w:val="21"/>
                <w:szCs w:val="21"/>
              </w:rPr>
              <w:t>53.98</w:t>
            </w:r>
          </w:p>
        </w:tc>
        <w:tc>
          <w:tcPr>
            <w:tcW w:w="739" w:type="dxa"/>
            <w:gridSpan w:val="2"/>
            <w:vAlign w:val="top"/>
          </w:tcPr>
          <w:p w14:paraId="20188457">
            <w:pPr>
              <w:pStyle w:val="6"/>
              <w:spacing w:before="86" w:line="188" w:lineRule="auto"/>
              <w:ind w:left="93"/>
              <w:rPr>
                <w:sz w:val="21"/>
                <w:szCs w:val="21"/>
              </w:rPr>
            </w:pPr>
            <w:r>
              <w:rPr>
                <w:spacing w:val="-2"/>
                <w:sz w:val="21"/>
                <w:szCs w:val="21"/>
              </w:rPr>
              <w:t>46.02</w:t>
            </w:r>
          </w:p>
        </w:tc>
        <w:tc>
          <w:tcPr>
            <w:tcW w:w="878" w:type="dxa"/>
            <w:gridSpan w:val="2"/>
            <w:vAlign w:val="top"/>
          </w:tcPr>
          <w:p w14:paraId="43220836">
            <w:pPr>
              <w:pStyle w:val="6"/>
              <w:spacing w:before="86" w:line="188" w:lineRule="auto"/>
              <w:ind w:left="324"/>
              <w:rPr>
                <w:sz w:val="21"/>
                <w:szCs w:val="21"/>
              </w:rPr>
            </w:pPr>
            <w:r>
              <w:rPr>
                <w:spacing w:val="-2"/>
                <w:sz w:val="21"/>
                <w:szCs w:val="21"/>
              </w:rPr>
              <w:t>40</w:t>
            </w:r>
          </w:p>
        </w:tc>
        <w:tc>
          <w:tcPr>
            <w:tcW w:w="799" w:type="dxa"/>
            <w:vAlign w:val="top"/>
          </w:tcPr>
          <w:p w14:paraId="78545FB5">
            <w:pPr>
              <w:pStyle w:val="6"/>
              <w:spacing w:before="86" w:line="188" w:lineRule="auto"/>
              <w:ind w:left="126"/>
              <w:rPr>
                <w:sz w:val="21"/>
                <w:szCs w:val="21"/>
              </w:rPr>
            </w:pPr>
            <w:r>
              <w:rPr>
                <w:spacing w:val="-2"/>
                <w:sz w:val="21"/>
                <w:szCs w:val="21"/>
              </w:rPr>
              <w:t>33.98</w:t>
            </w:r>
          </w:p>
        </w:tc>
        <w:tc>
          <w:tcPr>
            <w:tcW w:w="868" w:type="dxa"/>
            <w:vAlign w:val="top"/>
          </w:tcPr>
          <w:p w14:paraId="70873AA4">
            <w:pPr>
              <w:pStyle w:val="6"/>
              <w:spacing w:before="86" w:line="188" w:lineRule="auto"/>
              <w:ind w:left="167"/>
              <w:rPr>
                <w:sz w:val="21"/>
                <w:szCs w:val="21"/>
              </w:rPr>
            </w:pPr>
            <w:r>
              <w:rPr>
                <w:spacing w:val="-2"/>
                <w:sz w:val="21"/>
                <w:szCs w:val="21"/>
              </w:rPr>
              <w:t>30.46</w:t>
            </w:r>
          </w:p>
        </w:tc>
        <w:tc>
          <w:tcPr>
            <w:tcW w:w="918" w:type="dxa"/>
            <w:gridSpan w:val="2"/>
            <w:vAlign w:val="top"/>
          </w:tcPr>
          <w:p w14:paraId="6A1B7684">
            <w:pPr>
              <w:pStyle w:val="6"/>
              <w:spacing w:before="86" w:line="188" w:lineRule="auto"/>
              <w:ind w:left="189"/>
              <w:rPr>
                <w:sz w:val="21"/>
                <w:szCs w:val="21"/>
              </w:rPr>
            </w:pPr>
            <w:r>
              <w:rPr>
                <w:spacing w:val="-2"/>
                <w:sz w:val="21"/>
                <w:szCs w:val="21"/>
              </w:rPr>
              <w:t>26.02</w:t>
            </w:r>
          </w:p>
        </w:tc>
        <w:tc>
          <w:tcPr>
            <w:tcW w:w="819" w:type="dxa"/>
            <w:vAlign w:val="top"/>
          </w:tcPr>
          <w:p w14:paraId="646BB7E7">
            <w:pPr>
              <w:pStyle w:val="6"/>
              <w:spacing w:before="86" w:line="188" w:lineRule="auto"/>
              <w:ind w:left="301"/>
              <w:rPr>
                <w:sz w:val="21"/>
                <w:szCs w:val="21"/>
              </w:rPr>
            </w:pPr>
            <w:r>
              <w:rPr>
                <w:spacing w:val="-3"/>
                <w:sz w:val="21"/>
                <w:szCs w:val="21"/>
              </w:rPr>
              <w:t>20</w:t>
            </w:r>
          </w:p>
        </w:tc>
        <w:tc>
          <w:tcPr>
            <w:tcW w:w="87" w:type="dxa"/>
            <w:tcBorders>
              <w:right w:val="single" w:color="000000" w:sz="8" w:space="0"/>
            </w:tcBorders>
            <w:vAlign w:val="top"/>
          </w:tcPr>
          <w:p w14:paraId="044BC415">
            <w:pPr>
              <w:rPr>
                <w:rFonts w:ascii="Arial"/>
                <w:sz w:val="21"/>
              </w:rPr>
            </w:pPr>
          </w:p>
        </w:tc>
      </w:tr>
      <w:tr w14:paraId="40930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7" w:hRule="atLeast"/>
        </w:trPr>
        <w:tc>
          <w:tcPr>
            <w:tcW w:w="913" w:type="dxa"/>
            <w:vMerge w:val="continue"/>
            <w:tcBorders>
              <w:top w:val="nil"/>
              <w:left w:val="single" w:color="000000" w:sz="8" w:space="0"/>
              <w:bottom w:val="single" w:color="000000" w:sz="8" w:space="0"/>
            </w:tcBorders>
            <w:vAlign w:val="top"/>
          </w:tcPr>
          <w:p w14:paraId="32876CE5">
            <w:pPr>
              <w:rPr>
                <w:rFonts w:ascii="Arial"/>
                <w:sz w:val="21"/>
              </w:rPr>
            </w:pPr>
          </w:p>
        </w:tc>
        <w:tc>
          <w:tcPr>
            <w:tcW w:w="8496" w:type="dxa"/>
            <w:gridSpan w:val="17"/>
            <w:tcBorders>
              <w:bottom w:val="single" w:color="000000" w:sz="8" w:space="0"/>
              <w:right w:val="single" w:color="000000" w:sz="8" w:space="0"/>
            </w:tcBorders>
            <w:vAlign w:val="top"/>
          </w:tcPr>
          <w:p w14:paraId="76B54017">
            <w:pPr>
              <w:pStyle w:val="6"/>
              <w:spacing w:before="41" w:line="353" w:lineRule="auto"/>
              <w:ind w:left="91" w:right="108" w:firstLine="489"/>
              <w:jc w:val="both"/>
              <w:rPr>
                <w:sz w:val="24"/>
                <w:szCs w:val="24"/>
              </w:rPr>
            </w:pPr>
            <w:r>
              <w:rPr>
                <w:spacing w:val="1"/>
                <w:sz w:val="25"/>
                <w:szCs w:val="25"/>
              </w:rPr>
              <w:t>根据表4-23,项目光伏场区箱变噪声贡献值在10m处即</w:t>
            </w:r>
            <w:r>
              <w:rPr>
                <w:sz w:val="25"/>
                <w:szCs w:val="25"/>
              </w:rPr>
              <w:t xml:space="preserve">可达到《声环境质 </w:t>
            </w:r>
            <w:r>
              <w:rPr>
                <w:spacing w:val="2"/>
                <w:sz w:val="24"/>
                <w:szCs w:val="24"/>
              </w:rPr>
              <w:t>量标准》</w:t>
            </w:r>
            <w:r>
              <w:rPr>
                <w:spacing w:val="-60"/>
                <w:sz w:val="24"/>
                <w:szCs w:val="24"/>
              </w:rPr>
              <w:t xml:space="preserve"> </w:t>
            </w:r>
            <w:r>
              <w:rPr>
                <w:spacing w:val="2"/>
                <w:sz w:val="24"/>
                <w:szCs w:val="24"/>
              </w:rPr>
              <w:t>(</w:t>
            </w:r>
            <w:r>
              <w:rPr>
                <w:spacing w:val="-58"/>
                <w:sz w:val="24"/>
                <w:szCs w:val="24"/>
              </w:rPr>
              <w:t xml:space="preserve"> </w:t>
            </w:r>
            <w:r>
              <w:rPr>
                <w:rFonts w:ascii="Times New Roman" w:hAnsi="Times New Roman" w:eastAsia="Times New Roman" w:cs="Times New Roman"/>
                <w:sz w:val="24"/>
                <w:szCs w:val="24"/>
              </w:rPr>
              <w:t>GB</w:t>
            </w:r>
            <w:r>
              <w:rPr>
                <w:rFonts w:ascii="Times New Roman" w:hAnsi="Times New Roman" w:eastAsia="Times New Roman" w:cs="Times New Roman"/>
                <w:spacing w:val="2"/>
                <w:sz w:val="24"/>
                <w:szCs w:val="24"/>
              </w:rPr>
              <w:t>3096-2008)</w:t>
            </w:r>
            <w:r>
              <w:rPr>
                <w:rFonts w:ascii="Times New Roman" w:hAnsi="Times New Roman" w:eastAsia="Times New Roman" w:cs="Times New Roman"/>
                <w:spacing w:val="22"/>
                <w:w w:val="101"/>
                <w:sz w:val="24"/>
                <w:szCs w:val="24"/>
              </w:rPr>
              <w:t xml:space="preserve">  </w:t>
            </w:r>
            <w:r>
              <w:rPr>
                <w:spacing w:val="2"/>
                <w:sz w:val="24"/>
                <w:szCs w:val="24"/>
              </w:rPr>
              <w:t>中的1类昼夜</w:t>
            </w:r>
            <w:r>
              <w:rPr>
                <w:spacing w:val="1"/>
                <w:sz w:val="24"/>
                <w:szCs w:val="24"/>
              </w:rPr>
              <w:t>间声环境功能区的要求；项目光伏场区</w:t>
            </w:r>
            <w:r>
              <w:rPr>
                <w:sz w:val="24"/>
                <w:szCs w:val="24"/>
              </w:rPr>
              <w:t xml:space="preserve"> </w:t>
            </w:r>
            <w:r>
              <w:rPr>
                <w:spacing w:val="3"/>
                <w:sz w:val="24"/>
                <w:szCs w:val="24"/>
              </w:rPr>
              <w:t>逆变器噪声在6</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14"/>
                <w:sz w:val="24"/>
                <w:szCs w:val="24"/>
              </w:rPr>
              <w:t xml:space="preserve"> </w:t>
            </w:r>
            <w:r>
              <w:rPr>
                <w:spacing w:val="3"/>
                <w:sz w:val="24"/>
                <w:szCs w:val="24"/>
              </w:rPr>
              <w:t>处可达到《声环境质量标准》 (</w:t>
            </w:r>
            <w:r>
              <w:rPr>
                <w:spacing w:val="-49"/>
                <w:sz w:val="24"/>
                <w:szCs w:val="24"/>
              </w:rPr>
              <w:t xml:space="preserve"> </w:t>
            </w:r>
            <w:r>
              <w:rPr>
                <w:rFonts w:ascii="Times New Roman" w:hAnsi="Times New Roman" w:eastAsia="Times New Roman" w:cs="Times New Roman"/>
                <w:sz w:val="24"/>
                <w:szCs w:val="24"/>
              </w:rPr>
              <w:t>GB</w:t>
            </w:r>
            <w:r>
              <w:rPr>
                <w:rFonts w:ascii="Times New Roman" w:hAnsi="Times New Roman" w:eastAsia="Times New Roman" w:cs="Times New Roman"/>
                <w:spacing w:val="3"/>
                <w:sz w:val="24"/>
                <w:szCs w:val="24"/>
              </w:rPr>
              <w:t>3096-</w:t>
            </w:r>
            <w:r>
              <w:rPr>
                <w:rFonts w:ascii="Times New Roman" w:hAnsi="Times New Roman" w:eastAsia="Times New Roman" w:cs="Times New Roman"/>
                <w:spacing w:val="2"/>
                <w:sz w:val="24"/>
                <w:szCs w:val="24"/>
              </w:rPr>
              <w:t>2008)</w:t>
            </w:r>
            <w:r>
              <w:rPr>
                <w:rFonts w:ascii="Times New Roman" w:hAnsi="Times New Roman" w:eastAsia="Times New Roman" w:cs="Times New Roman"/>
                <w:spacing w:val="23"/>
                <w:sz w:val="24"/>
                <w:szCs w:val="24"/>
              </w:rPr>
              <w:t xml:space="preserve">  </w:t>
            </w:r>
            <w:r>
              <w:rPr>
                <w:spacing w:val="2"/>
                <w:sz w:val="24"/>
                <w:szCs w:val="24"/>
              </w:rPr>
              <w:t>中的1类昼夜</w:t>
            </w:r>
            <w:r>
              <w:rPr>
                <w:sz w:val="24"/>
                <w:szCs w:val="24"/>
              </w:rPr>
              <w:t xml:space="preserve"> </w:t>
            </w:r>
            <w:r>
              <w:rPr>
                <w:spacing w:val="-4"/>
                <w:sz w:val="24"/>
                <w:szCs w:val="24"/>
              </w:rPr>
              <w:t>间声环境功能区的要求。</w:t>
            </w:r>
          </w:p>
        </w:tc>
      </w:tr>
    </w:tbl>
    <w:p w14:paraId="327B147C">
      <w:pPr>
        <w:pStyle w:val="2"/>
      </w:pPr>
    </w:p>
    <w:p w14:paraId="35AA5499">
      <w:pPr>
        <w:sectPr>
          <w:footerReference r:id="rId165" w:type="default"/>
          <w:pgSz w:w="11910" w:h="16830"/>
          <w:pgMar w:top="400" w:right="1269" w:bottom="1245" w:left="1210" w:header="0" w:footer="1083" w:gutter="0"/>
          <w:cols w:space="720" w:num="1"/>
        </w:sectPr>
      </w:pPr>
    </w:p>
    <w:p w14:paraId="44D8D6E0">
      <w:pPr>
        <w:spacing w:before="20"/>
      </w:pPr>
    </w:p>
    <w:p w14:paraId="0C9A82FC">
      <w:pPr>
        <w:spacing w:before="20"/>
      </w:pPr>
    </w:p>
    <w:p w14:paraId="7B802ADD">
      <w:pPr>
        <w:spacing w:before="20"/>
      </w:pPr>
    </w:p>
    <w:p w14:paraId="422798D9">
      <w:pPr>
        <w:spacing w:before="19"/>
      </w:pPr>
    </w:p>
    <w:tbl>
      <w:tblPr>
        <w:tblStyle w:val="5"/>
        <w:tblW w:w="92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4"/>
        <w:gridCol w:w="250"/>
        <w:gridCol w:w="1229"/>
        <w:gridCol w:w="1418"/>
        <w:gridCol w:w="1219"/>
        <w:gridCol w:w="899"/>
        <w:gridCol w:w="719"/>
        <w:gridCol w:w="1179"/>
        <w:gridCol w:w="799"/>
        <w:gridCol w:w="604"/>
      </w:tblGrid>
      <w:tr w14:paraId="47592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934" w:type="dxa"/>
            <w:vMerge w:val="restart"/>
            <w:tcBorders>
              <w:bottom w:val="nil"/>
            </w:tcBorders>
            <w:vAlign w:val="top"/>
          </w:tcPr>
          <w:p w14:paraId="4CCC051C">
            <w:pPr>
              <w:rPr>
                <w:rFonts w:ascii="Arial"/>
                <w:sz w:val="21"/>
              </w:rPr>
            </w:pPr>
          </w:p>
        </w:tc>
        <w:tc>
          <w:tcPr>
            <w:tcW w:w="8316" w:type="dxa"/>
            <w:gridSpan w:val="9"/>
            <w:vAlign w:val="top"/>
          </w:tcPr>
          <w:p w14:paraId="44A87B20">
            <w:pPr>
              <w:pStyle w:val="6"/>
              <w:spacing w:before="32" w:line="408" w:lineRule="auto"/>
              <w:ind w:left="31" w:firstLine="429"/>
              <w:rPr>
                <w:sz w:val="21"/>
                <w:szCs w:val="21"/>
              </w:rPr>
            </w:pPr>
            <w:r>
              <w:rPr>
                <w:spacing w:val="37"/>
                <w:sz w:val="21"/>
                <w:szCs w:val="21"/>
              </w:rPr>
              <w:t>本次项目运营期逆变器和变压器的对声环境影响分析按照项目50m声环境</w:t>
            </w:r>
            <w:r>
              <w:rPr>
                <w:spacing w:val="8"/>
                <w:sz w:val="21"/>
                <w:szCs w:val="21"/>
              </w:rPr>
              <w:t xml:space="preserve"> </w:t>
            </w:r>
            <w:r>
              <w:rPr>
                <w:spacing w:val="-1"/>
                <w:sz w:val="21"/>
                <w:szCs w:val="21"/>
              </w:rPr>
              <w:t>敏感目标分析。</w:t>
            </w:r>
          </w:p>
          <w:p w14:paraId="3CFB6C30">
            <w:pPr>
              <w:pStyle w:val="6"/>
              <w:spacing w:line="220" w:lineRule="auto"/>
              <w:ind w:left="284"/>
              <w:rPr>
                <w:sz w:val="21"/>
                <w:szCs w:val="21"/>
              </w:rPr>
            </w:pPr>
            <w:r>
              <w:rPr>
                <w:b/>
                <w:bCs/>
                <w:spacing w:val="-1"/>
                <w:sz w:val="21"/>
                <w:szCs w:val="21"/>
              </w:rPr>
              <w:t>表4</w:t>
            </w:r>
            <w:r>
              <w:rPr>
                <w:spacing w:val="-49"/>
                <w:sz w:val="21"/>
                <w:szCs w:val="21"/>
              </w:rPr>
              <w:t xml:space="preserve"> </w:t>
            </w:r>
            <w:r>
              <w:rPr>
                <w:b/>
                <w:bCs/>
                <w:spacing w:val="-1"/>
                <w:sz w:val="21"/>
                <w:szCs w:val="21"/>
              </w:rPr>
              <w:t>-</w:t>
            </w:r>
            <w:r>
              <w:rPr>
                <w:spacing w:val="-36"/>
                <w:sz w:val="21"/>
                <w:szCs w:val="21"/>
              </w:rPr>
              <w:t xml:space="preserve"> </w:t>
            </w:r>
            <w:r>
              <w:rPr>
                <w:b/>
                <w:bCs/>
                <w:spacing w:val="-1"/>
                <w:sz w:val="21"/>
                <w:szCs w:val="21"/>
              </w:rPr>
              <w:t>18</w:t>
            </w:r>
            <w:r>
              <w:rPr>
                <w:spacing w:val="33"/>
                <w:sz w:val="21"/>
                <w:szCs w:val="21"/>
              </w:rPr>
              <w:t xml:space="preserve">   </w:t>
            </w:r>
            <w:r>
              <w:rPr>
                <w:b/>
                <w:bCs/>
                <w:spacing w:val="-1"/>
                <w:sz w:val="21"/>
                <w:szCs w:val="21"/>
              </w:rPr>
              <w:t>项目逆变器运营期声环境保护目标噪声预测结果与达标分析表</w:t>
            </w:r>
          </w:p>
        </w:tc>
      </w:tr>
      <w:tr w14:paraId="43ED3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934" w:type="dxa"/>
            <w:vMerge w:val="continue"/>
            <w:tcBorders>
              <w:top w:val="nil"/>
              <w:bottom w:val="nil"/>
            </w:tcBorders>
            <w:vAlign w:val="top"/>
          </w:tcPr>
          <w:p w14:paraId="4836BEC6">
            <w:pPr>
              <w:rPr>
                <w:rFonts w:ascii="Arial"/>
                <w:sz w:val="21"/>
              </w:rPr>
            </w:pPr>
          </w:p>
        </w:tc>
        <w:tc>
          <w:tcPr>
            <w:tcW w:w="1479" w:type="dxa"/>
            <w:gridSpan w:val="2"/>
            <w:vAlign w:val="top"/>
          </w:tcPr>
          <w:p w14:paraId="49971602">
            <w:pPr>
              <w:pStyle w:val="6"/>
              <w:spacing w:before="300" w:line="220" w:lineRule="auto"/>
              <w:ind w:left="321"/>
              <w:rPr>
                <w:sz w:val="21"/>
                <w:szCs w:val="21"/>
              </w:rPr>
            </w:pPr>
            <w:r>
              <w:rPr>
                <w:spacing w:val="-2"/>
                <w:sz w:val="21"/>
                <w:szCs w:val="21"/>
              </w:rPr>
              <w:t>保护目标</w:t>
            </w:r>
          </w:p>
        </w:tc>
        <w:tc>
          <w:tcPr>
            <w:tcW w:w="1418" w:type="dxa"/>
            <w:vAlign w:val="top"/>
          </w:tcPr>
          <w:p w14:paraId="19DBABC4">
            <w:pPr>
              <w:pStyle w:val="6"/>
              <w:spacing w:before="28" w:line="219" w:lineRule="auto"/>
              <w:ind w:left="72"/>
              <w:rPr>
                <w:sz w:val="21"/>
                <w:szCs w:val="21"/>
              </w:rPr>
            </w:pPr>
            <w:r>
              <w:rPr>
                <w:spacing w:val="1"/>
                <w:sz w:val="21"/>
                <w:szCs w:val="21"/>
              </w:rPr>
              <w:t>与项目光伏阵</w:t>
            </w:r>
          </w:p>
          <w:p w14:paraId="365B36A7">
            <w:pPr>
              <w:pStyle w:val="6"/>
              <w:spacing w:before="32" w:line="211" w:lineRule="auto"/>
              <w:ind w:left="72"/>
              <w:rPr>
                <w:sz w:val="21"/>
                <w:szCs w:val="21"/>
              </w:rPr>
            </w:pPr>
            <w:r>
              <w:rPr>
                <w:spacing w:val="-2"/>
                <w:sz w:val="21"/>
                <w:szCs w:val="21"/>
              </w:rPr>
              <w:t>列区场界位置</w:t>
            </w:r>
          </w:p>
          <w:p w14:paraId="354A7A3D">
            <w:pPr>
              <w:pStyle w:val="6"/>
              <w:spacing w:line="218" w:lineRule="auto"/>
              <w:ind w:left="492"/>
              <w:rPr>
                <w:sz w:val="21"/>
                <w:szCs w:val="21"/>
              </w:rPr>
            </w:pPr>
            <w:r>
              <w:rPr>
                <w:spacing w:val="9"/>
                <w:sz w:val="21"/>
                <w:szCs w:val="21"/>
              </w:rPr>
              <w:t>关系</w:t>
            </w:r>
          </w:p>
        </w:tc>
        <w:tc>
          <w:tcPr>
            <w:tcW w:w="1219" w:type="dxa"/>
            <w:vAlign w:val="top"/>
          </w:tcPr>
          <w:p w14:paraId="4BA9D0C9">
            <w:pPr>
              <w:pStyle w:val="6"/>
              <w:spacing w:before="149" w:line="239" w:lineRule="auto"/>
              <w:ind w:left="24" w:firstLine="49"/>
              <w:rPr>
                <w:sz w:val="21"/>
                <w:szCs w:val="21"/>
              </w:rPr>
            </w:pPr>
            <w:r>
              <w:rPr>
                <w:sz w:val="21"/>
                <w:szCs w:val="21"/>
              </w:rPr>
              <w:t>逆变器噪声</w:t>
            </w:r>
            <w:r>
              <w:rPr>
                <w:spacing w:val="3"/>
                <w:sz w:val="21"/>
                <w:szCs w:val="21"/>
              </w:rPr>
              <w:t xml:space="preserve"> </w:t>
            </w:r>
            <w:r>
              <w:rPr>
                <w:spacing w:val="4"/>
                <w:sz w:val="21"/>
                <w:szCs w:val="21"/>
              </w:rPr>
              <w:t>贡献值</w:t>
            </w:r>
            <w:r>
              <w:rPr>
                <w:sz w:val="21"/>
                <w:szCs w:val="21"/>
              </w:rPr>
              <w:t>dB</w:t>
            </w:r>
            <w:r>
              <w:rPr>
                <w:spacing w:val="4"/>
                <w:sz w:val="21"/>
                <w:szCs w:val="21"/>
              </w:rPr>
              <w:t>(A)</w:t>
            </w:r>
          </w:p>
        </w:tc>
        <w:tc>
          <w:tcPr>
            <w:tcW w:w="899" w:type="dxa"/>
            <w:vAlign w:val="top"/>
          </w:tcPr>
          <w:p w14:paraId="6060697C">
            <w:pPr>
              <w:pStyle w:val="6"/>
              <w:spacing w:before="168" w:line="262" w:lineRule="auto"/>
              <w:ind w:left="175" w:right="145" w:hanging="50"/>
              <w:rPr>
                <w:sz w:val="21"/>
                <w:szCs w:val="21"/>
              </w:rPr>
            </w:pPr>
            <w:r>
              <w:rPr>
                <w:spacing w:val="-4"/>
                <w:sz w:val="21"/>
                <w:szCs w:val="21"/>
              </w:rPr>
              <w:t>背景值</w:t>
            </w:r>
            <w:r>
              <w:rPr>
                <w:sz w:val="21"/>
                <w:szCs w:val="21"/>
              </w:rPr>
              <w:t xml:space="preserve"> </w:t>
            </w:r>
            <w:r>
              <w:rPr>
                <w:spacing w:val="-2"/>
                <w:sz w:val="21"/>
                <w:szCs w:val="21"/>
              </w:rPr>
              <w:t>dB(A)</w:t>
            </w:r>
          </w:p>
        </w:tc>
        <w:tc>
          <w:tcPr>
            <w:tcW w:w="719" w:type="dxa"/>
            <w:vAlign w:val="top"/>
          </w:tcPr>
          <w:p w14:paraId="2C5FB79E">
            <w:pPr>
              <w:pStyle w:val="6"/>
              <w:spacing w:before="178" w:line="253" w:lineRule="auto"/>
              <w:ind w:left="86" w:right="52" w:hanging="50"/>
              <w:rPr>
                <w:sz w:val="21"/>
                <w:szCs w:val="21"/>
              </w:rPr>
            </w:pPr>
            <w:r>
              <w:rPr>
                <w:spacing w:val="-4"/>
                <w:sz w:val="21"/>
                <w:szCs w:val="21"/>
              </w:rPr>
              <w:t>预测值</w:t>
            </w:r>
            <w:r>
              <w:rPr>
                <w:spacing w:val="1"/>
                <w:sz w:val="21"/>
                <w:szCs w:val="21"/>
              </w:rPr>
              <w:t xml:space="preserve"> </w:t>
            </w:r>
            <w:r>
              <w:rPr>
                <w:spacing w:val="-2"/>
                <w:sz w:val="21"/>
                <w:szCs w:val="21"/>
              </w:rPr>
              <w:t>dB(A)</w:t>
            </w:r>
          </w:p>
        </w:tc>
        <w:tc>
          <w:tcPr>
            <w:tcW w:w="1179" w:type="dxa"/>
            <w:vAlign w:val="top"/>
          </w:tcPr>
          <w:p w14:paraId="7A3A8B49">
            <w:pPr>
              <w:pStyle w:val="6"/>
              <w:spacing w:before="179" w:line="219" w:lineRule="auto"/>
              <w:ind w:left="57"/>
              <w:rPr>
                <w:sz w:val="21"/>
                <w:szCs w:val="21"/>
              </w:rPr>
            </w:pPr>
            <w:r>
              <w:rPr>
                <w:spacing w:val="-2"/>
                <w:sz w:val="21"/>
                <w:szCs w:val="21"/>
              </w:rPr>
              <w:t>较现状增量</w:t>
            </w:r>
          </w:p>
          <w:p w14:paraId="0505F14B">
            <w:pPr>
              <w:pStyle w:val="6"/>
              <w:spacing w:before="34" w:line="222" w:lineRule="auto"/>
              <w:ind w:left="317"/>
              <w:rPr>
                <w:sz w:val="21"/>
                <w:szCs w:val="21"/>
              </w:rPr>
            </w:pPr>
            <w:r>
              <w:rPr>
                <w:spacing w:val="-2"/>
                <w:sz w:val="21"/>
                <w:szCs w:val="21"/>
              </w:rPr>
              <w:t>dB(A)</w:t>
            </w:r>
          </w:p>
        </w:tc>
        <w:tc>
          <w:tcPr>
            <w:tcW w:w="799" w:type="dxa"/>
            <w:vAlign w:val="top"/>
          </w:tcPr>
          <w:p w14:paraId="04561171">
            <w:pPr>
              <w:pStyle w:val="6"/>
              <w:spacing w:before="178" w:line="253" w:lineRule="auto"/>
              <w:ind w:left="128" w:right="89" w:hanging="50"/>
              <w:rPr>
                <w:sz w:val="21"/>
                <w:szCs w:val="21"/>
              </w:rPr>
            </w:pPr>
            <w:r>
              <w:rPr>
                <w:spacing w:val="-4"/>
                <w:sz w:val="21"/>
                <w:szCs w:val="21"/>
              </w:rPr>
              <w:t>标准值</w:t>
            </w:r>
            <w:r>
              <w:rPr>
                <w:spacing w:val="1"/>
                <w:sz w:val="21"/>
                <w:szCs w:val="21"/>
              </w:rPr>
              <w:t xml:space="preserve"> </w:t>
            </w:r>
            <w:r>
              <w:rPr>
                <w:spacing w:val="-2"/>
                <w:sz w:val="21"/>
                <w:szCs w:val="21"/>
              </w:rPr>
              <w:t>dB(A)</w:t>
            </w:r>
          </w:p>
        </w:tc>
        <w:tc>
          <w:tcPr>
            <w:tcW w:w="604" w:type="dxa"/>
            <w:vAlign w:val="top"/>
          </w:tcPr>
          <w:p w14:paraId="372C4A83">
            <w:pPr>
              <w:pStyle w:val="6"/>
              <w:spacing w:before="140" w:line="220" w:lineRule="auto"/>
              <w:ind w:left="89"/>
              <w:rPr>
                <w:sz w:val="21"/>
                <w:szCs w:val="21"/>
              </w:rPr>
            </w:pPr>
            <w:r>
              <w:rPr>
                <w:spacing w:val="-2"/>
                <w:sz w:val="21"/>
                <w:szCs w:val="21"/>
              </w:rPr>
              <w:t>达标</w:t>
            </w:r>
          </w:p>
          <w:p w14:paraId="05894DA4">
            <w:pPr>
              <w:pStyle w:val="6"/>
              <w:spacing w:before="49" w:line="220" w:lineRule="auto"/>
              <w:ind w:left="89"/>
              <w:rPr>
                <w:sz w:val="21"/>
                <w:szCs w:val="21"/>
              </w:rPr>
            </w:pPr>
            <w:r>
              <w:rPr>
                <w:spacing w:val="-3"/>
                <w:sz w:val="21"/>
                <w:szCs w:val="21"/>
              </w:rPr>
              <w:t>情况</w:t>
            </w:r>
          </w:p>
        </w:tc>
      </w:tr>
      <w:tr w14:paraId="7194D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34" w:type="dxa"/>
            <w:vMerge w:val="continue"/>
            <w:tcBorders>
              <w:top w:val="nil"/>
              <w:bottom w:val="nil"/>
            </w:tcBorders>
            <w:vAlign w:val="top"/>
          </w:tcPr>
          <w:p w14:paraId="3EA64C08">
            <w:pPr>
              <w:rPr>
                <w:rFonts w:ascii="Arial"/>
                <w:sz w:val="21"/>
              </w:rPr>
            </w:pPr>
          </w:p>
        </w:tc>
        <w:tc>
          <w:tcPr>
            <w:tcW w:w="8316" w:type="dxa"/>
            <w:gridSpan w:val="9"/>
            <w:vAlign w:val="top"/>
          </w:tcPr>
          <w:p w14:paraId="301BB703">
            <w:pPr>
              <w:pStyle w:val="6"/>
              <w:spacing w:before="60" w:line="219" w:lineRule="auto"/>
              <w:ind w:left="3934"/>
              <w:rPr>
                <w:sz w:val="21"/>
                <w:szCs w:val="21"/>
              </w:rPr>
            </w:pPr>
            <w:r>
              <w:rPr>
                <w:b/>
                <w:bCs/>
                <w:spacing w:val="5"/>
                <w:sz w:val="21"/>
                <w:szCs w:val="21"/>
              </w:rPr>
              <w:t>昼间</w:t>
            </w:r>
          </w:p>
        </w:tc>
      </w:tr>
      <w:tr w14:paraId="6F3AE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34" w:type="dxa"/>
            <w:vMerge w:val="continue"/>
            <w:tcBorders>
              <w:top w:val="nil"/>
              <w:bottom w:val="nil"/>
            </w:tcBorders>
            <w:vAlign w:val="top"/>
          </w:tcPr>
          <w:p w14:paraId="4AC4D823">
            <w:pPr>
              <w:rPr>
                <w:rFonts w:ascii="Arial"/>
                <w:sz w:val="21"/>
              </w:rPr>
            </w:pPr>
          </w:p>
        </w:tc>
        <w:tc>
          <w:tcPr>
            <w:tcW w:w="250" w:type="dxa"/>
            <w:vAlign w:val="top"/>
          </w:tcPr>
          <w:p w14:paraId="7C5A5329">
            <w:pPr>
              <w:pStyle w:val="6"/>
              <w:spacing w:before="191" w:line="241" w:lineRule="auto"/>
              <w:ind w:left="41"/>
              <w:rPr>
                <w:sz w:val="21"/>
                <w:szCs w:val="21"/>
              </w:rPr>
            </w:pPr>
            <w:r>
              <w:rPr>
                <w:sz w:val="21"/>
                <w:szCs w:val="21"/>
              </w:rPr>
              <w:t>1</w:t>
            </w:r>
          </w:p>
        </w:tc>
        <w:tc>
          <w:tcPr>
            <w:tcW w:w="1229" w:type="dxa"/>
            <w:vAlign w:val="top"/>
          </w:tcPr>
          <w:p w14:paraId="22B03C7D">
            <w:pPr>
              <w:pStyle w:val="6"/>
              <w:spacing w:before="30" w:line="224" w:lineRule="auto"/>
              <w:ind w:left="500" w:right="70" w:hanging="419"/>
              <w:rPr>
                <w:sz w:val="21"/>
                <w:szCs w:val="21"/>
              </w:rPr>
            </w:pPr>
            <w:r>
              <w:rPr>
                <w:spacing w:val="2"/>
                <w:sz w:val="21"/>
                <w:szCs w:val="21"/>
              </w:rPr>
              <w:t>1#发峨哨小</w:t>
            </w:r>
            <w:r>
              <w:rPr>
                <w:spacing w:val="4"/>
                <w:sz w:val="21"/>
                <w:szCs w:val="21"/>
              </w:rPr>
              <w:t xml:space="preserve"> </w:t>
            </w:r>
            <w:r>
              <w:rPr>
                <w:sz w:val="21"/>
                <w:szCs w:val="21"/>
              </w:rPr>
              <w:t>学</w:t>
            </w:r>
          </w:p>
        </w:tc>
        <w:tc>
          <w:tcPr>
            <w:tcW w:w="1418" w:type="dxa"/>
            <w:vAlign w:val="top"/>
          </w:tcPr>
          <w:p w14:paraId="48AA3E64">
            <w:pPr>
              <w:pStyle w:val="6"/>
              <w:spacing w:before="171" w:line="220" w:lineRule="auto"/>
              <w:ind w:left="122"/>
              <w:rPr>
                <w:sz w:val="21"/>
                <w:szCs w:val="21"/>
              </w:rPr>
            </w:pPr>
            <w:r>
              <w:rPr>
                <w:spacing w:val="-1"/>
                <w:sz w:val="21"/>
                <w:szCs w:val="21"/>
              </w:rPr>
              <w:t>场界距离50m</w:t>
            </w:r>
          </w:p>
        </w:tc>
        <w:tc>
          <w:tcPr>
            <w:tcW w:w="1219" w:type="dxa"/>
            <w:vAlign w:val="top"/>
          </w:tcPr>
          <w:p w14:paraId="5FC18594">
            <w:pPr>
              <w:pStyle w:val="6"/>
              <w:spacing w:before="191" w:line="239" w:lineRule="auto"/>
              <w:ind w:left="334"/>
              <w:rPr>
                <w:sz w:val="21"/>
                <w:szCs w:val="21"/>
              </w:rPr>
            </w:pPr>
            <w:r>
              <w:rPr>
                <w:spacing w:val="-2"/>
                <w:sz w:val="21"/>
                <w:szCs w:val="21"/>
              </w:rPr>
              <w:t>26.02</w:t>
            </w:r>
          </w:p>
        </w:tc>
        <w:tc>
          <w:tcPr>
            <w:tcW w:w="899" w:type="dxa"/>
            <w:vAlign w:val="top"/>
          </w:tcPr>
          <w:p w14:paraId="6F3BED8B">
            <w:pPr>
              <w:pStyle w:val="6"/>
              <w:spacing w:before="191"/>
              <w:ind w:left="334"/>
              <w:rPr>
                <w:sz w:val="21"/>
                <w:szCs w:val="21"/>
              </w:rPr>
            </w:pPr>
            <w:r>
              <w:rPr>
                <w:spacing w:val="-4"/>
                <w:sz w:val="21"/>
                <w:szCs w:val="21"/>
              </w:rPr>
              <w:t>50</w:t>
            </w:r>
          </w:p>
        </w:tc>
        <w:tc>
          <w:tcPr>
            <w:tcW w:w="719" w:type="dxa"/>
            <w:vAlign w:val="top"/>
          </w:tcPr>
          <w:p w14:paraId="75ED3EA8">
            <w:pPr>
              <w:pStyle w:val="6"/>
              <w:spacing w:before="191" w:line="239" w:lineRule="auto"/>
              <w:ind w:left="86"/>
              <w:rPr>
                <w:sz w:val="21"/>
                <w:szCs w:val="21"/>
              </w:rPr>
            </w:pPr>
            <w:r>
              <w:rPr>
                <w:spacing w:val="-2"/>
                <w:sz w:val="21"/>
                <w:szCs w:val="21"/>
              </w:rPr>
              <w:t>50.02</w:t>
            </w:r>
          </w:p>
        </w:tc>
        <w:tc>
          <w:tcPr>
            <w:tcW w:w="1179" w:type="dxa"/>
            <w:vAlign w:val="top"/>
          </w:tcPr>
          <w:p w14:paraId="370186DE">
            <w:pPr>
              <w:pStyle w:val="6"/>
              <w:spacing w:before="191" w:line="239" w:lineRule="auto"/>
              <w:ind w:left="377"/>
              <w:rPr>
                <w:sz w:val="21"/>
                <w:szCs w:val="21"/>
              </w:rPr>
            </w:pPr>
            <w:r>
              <w:rPr>
                <w:spacing w:val="-2"/>
                <w:sz w:val="21"/>
                <w:szCs w:val="21"/>
              </w:rPr>
              <w:t>0.02</w:t>
            </w:r>
          </w:p>
        </w:tc>
        <w:tc>
          <w:tcPr>
            <w:tcW w:w="799" w:type="dxa"/>
            <w:vAlign w:val="top"/>
          </w:tcPr>
          <w:p w14:paraId="6890E15C">
            <w:pPr>
              <w:pStyle w:val="6"/>
              <w:spacing w:before="191"/>
              <w:ind w:left="288"/>
              <w:rPr>
                <w:sz w:val="21"/>
                <w:szCs w:val="21"/>
              </w:rPr>
            </w:pPr>
            <w:r>
              <w:rPr>
                <w:spacing w:val="-4"/>
                <w:sz w:val="21"/>
                <w:szCs w:val="21"/>
              </w:rPr>
              <w:t>55</w:t>
            </w:r>
          </w:p>
        </w:tc>
        <w:tc>
          <w:tcPr>
            <w:tcW w:w="604" w:type="dxa"/>
            <w:vAlign w:val="top"/>
          </w:tcPr>
          <w:p w14:paraId="48901C75">
            <w:pPr>
              <w:pStyle w:val="6"/>
              <w:spacing w:before="171" w:line="220" w:lineRule="auto"/>
              <w:ind w:left="89"/>
              <w:rPr>
                <w:sz w:val="21"/>
                <w:szCs w:val="21"/>
              </w:rPr>
            </w:pPr>
            <w:r>
              <w:rPr>
                <w:spacing w:val="-2"/>
                <w:sz w:val="21"/>
                <w:szCs w:val="21"/>
              </w:rPr>
              <w:t>达标</w:t>
            </w:r>
          </w:p>
        </w:tc>
      </w:tr>
      <w:tr w14:paraId="0FB84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934" w:type="dxa"/>
            <w:vMerge w:val="continue"/>
            <w:tcBorders>
              <w:top w:val="nil"/>
              <w:bottom w:val="nil"/>
            </w:tcBorders>
            <w:vAlign w:val="top"/>
          </w:tcPr>
          <w:p w14:paraId="644B6CB4">
            <w:pPr>
              <w:rPr>
                <w:rFonts w:ascii="Arial"/>
                <w:sz w:val="21"/>
              </w:rPr>
            </w:pPr>
          </w:p>
        </w:tc>
        <w:tc>
          <w:tcPr>
            <w:tcW w:w="250" w:type="dxa"/>
            <w:vAlign w:val="top"/>
          </w:tcPr>
          <w:p w14:paraId="42F50D2E">
            <w:pPr>
              <w:pStyle w:val="6"/>
              <w:spacing w:before="301" w:line="241" w:lineRule="auto"/>
              <w:ind w:right="4"/>
              <w:jc w:val="right"/>
              <w:rPr>
                <w:sz w:val="21"/>
                <w:szCs w:val="21"/>
              </w:rPr>
            </w:pPr>
            <w:r>
              <w:rPr>
                <w:sz w:val="21"/>
                <w:szCs w:val="21"/>
              </w:rPr>
              <w:t>2</w:t>
            </w:r>
          </w:p>
        </w:tc>
        <w:tc>
          <w:tcPr>
            <w:tcW w:w="1229" w:type="dxa"/>
            <w:vAlign w:val="top"/>
          </w:tcPr>
          <w:p w14:paraId="5892CA30">
            <w:pPr>
              <w:pStyle w:val="6"/>
              <w:spacing w:before="31" w:line="220" w:lineRule="auto"/>
              <w:ind w:left="131"/>
              <w:rPr>
                <w:sz w:val="21"/>
                <w:szCs w:val="21"/>
              </w:rPr>
            </w:pPr>
            <w:r>
              <w:rPr>
                <w:spacing w:val="1"/>
                <w:sz w:val="21"/>
                <w:szCs w:val="21"/>
              </w:rPr>
              <w:t>10#放马沟</w:t>
            </w:r>
          </w:p>
          <w:p w14:paraId="10A165BE">
            <w:pPr>
              <w:pStyle w:val="6"/>
              <w:spacing w:before="19" w:line="202" w:lineRule="auto"/>
              <w:ind w:left="21"/>
              <w:rPr>
                <w:sz w:val="21"/>
                <w:szCs w:val="21"/>
              </w:rPr>
            </w:pPr>
            <w:r>
              <w:rPr>
                <w:spacing w:val="2"/>
                <w:sz w:val="21"/>
                <w:szCs w:val="21"/>
              </w:rPr>
              <w:t>散户(田间农</w:t>
            </w:r>
          </w:p>
          <w:p w14:paraId="05D0BE6B">
            <w:pPr>
              <w:pStyle w:val="6"/>
              <w:spacing w:line="201" w:lineRule="auto"/>
              <w:ind w:left="261"/>
              <w:rPr>
                <w:sz w:val="21"/>
                <w:szCs w:val="21"/>
              </w:rPr>
            </w:pPr>
            <w:r>
              <w:rPr>
                <w:spacing w:val="10"/>
                <w:sz w:val="21"/>
                <w:szCs w:val="21"/>
              </w:rPr>
              <w:t>户看地)</w:t>
            </w:r>
          </w:p>
        </w:tc>
        <w:tc>
          <w:tcPr>
            <w:tcW w:w="1418" w:type="dxa"/>
            <w:vAlign w:val="top"/>
          </w:tcPr>
          <w:p w14:paraId="3ED4811F">
            <w:pPr>
              <w:pStyle w:val="6"/>
              <w:spacing w:before="281" w:line="220" w:lineRule="auto"/>
              <w:ind w:left="172"/>
              <w:rPr>
                <w:sz w:val="21"/>
                <w:szCs w:val="21"/>
              </w:rPr>
            </w:pPr>
            <w:r>
              <w:rPr>
                <w:spacing w:val="-2"/>
                <w:sz w:val="21"/>
                <w:szCs w:val="21"/>
              </w:rPr>
              <w:t>场界距离7m</w:t>
            </w:r>
          </w:p>
        </w:tc>
        <w:tc>
          <w:tcPr>
            <w:tcW w:w="1219" w:type="dxa"/>
            <w:vAlign w:val="top"/>
          </w:tcPr>
          <w:p w14:paraId="4FEA1721">
            <w:pPr>
              <w:pStyle w:val="6"/>
              <w:spacing w:before="301" w:line="239" w:lineRule="auto"/>
              <w:ind w:left="394"/>
              <w:rPr>
                <w:sz w:val="21"/>
                <w:szCs w:val="21"/>
              </w:rPr>
            </w:pPr>
            <w:r>
              <w:rPr>
                <w:spacing w:val="-2"/>
                <w:sz w:val="21"/>
                <w:szCs w:val="21"/>
              </w:rPr>
              <w:t>43.1</w:t>
            </w:r>
          </w:p>
        </w:tc>
        <w:tc>
          <w:tcPr>
            <w:tcW w:w="899" w:type="dxa"/>
            <w:vAlign w:val="top"/>
          </w:tcPr>
          <w:p w14:paraId="49858FCA">
            <w:pPr>
              <w:pStyle w:val="6"/>
              <w:spacing w:before="301"/>
              <w:ind w:left="334"/>
              <w:rPr>
                <w:sz w:val="21"/>
                <w:szCs w:val="21"/>
              </w:rPr>
            </w:pPr>
            <w:r>
              <w:rPr>
                <w:spacing w:val="-4"/>
                <w:sz w:val="21"/>
                <w:szCs w:val="21"/>
              </w:rPr>
              <w:t>51</w:t>
            </w:r>
          </w:p>
        </w:tc>
        <w:tc>
          <w:tcPr>
            <w:tcW w:w="719" w:type="dxa"/>
            <w:vAlign w:val="top"/>
          </w:tcPr>
          <w:p w14:paraId="54887077">
            <w:pPr>
              <w:pStyle w:val="6"/>
              <w:spacing w:before="301" w:line="239" w:lineRule="auto"/>
              <w:ind w:left="86"/>
              <w:rPr>
                <w:sz w:val="21"/>
                <w:szCs w:val="21"/>
              </w:rPr>
            </w:pPr>
            <w:r>
              <w:rPr>
                <w:spacing w:val="-2"/>
                <w:sz w:val="21"/>
                <w:szCs w:val="21"/>
              </w:rPr>
              <w:t>51.65</w:t>
            </w:r>
          </w:p>
        </w:tc>
        <w:tc>
          <w:tcPr>
            <w:tcW w:w="1179" w:type="dxa"/>
            <w:vAlign w:val="top"/>
          </w:tcPr>
          <w:p w14:paraId="7311C4C0">
            <w:pPr>
              <w:pStyle w:val="6"/>
              <w:spacing w:before="301" w:line="239" w:lineRule="auto"/>
              <w:ind w:left="377"/>
              <w:rPr>
                <w:sz w:val="21"/>
                <w:szCs w:val="21"/>
              </w:rPr>
            </w:pPr>
            <w:r>
              <w:rPr>
                <w:spacing w:val="-2"/>
                <w:sz w:val="21"/>
                <w:szCs w:val="21"/>
              </w:rPr>
              <w:t>0.65</w:t>
            </w:r>
          </w:p>
        </w:tc>
        <w:tc>
          <w:tcPr>
            <w:tcW w:w="799" w:type="dxa"/>
            <w:vAlign w:val="top"/>
          </w:tcPr>
          <w:p w14:paraId="43C2EE9B">
            <w:pPr>
              <w:pStyle w:val="6"/>
              <w:spacing w:before="301"/>
              <w:ind w:left="288"/>
              <w:rPr>
                <w:sz w:val="21"/>
                <w:szCs w:val="21"/>
              </w:rPr>
            </w:pPr>
            <w:r>
              <w:rPr>
                <w:spacing w:val="-4"/>
                <w:sz w:val="21"/>
                <w:szCs w:val="21"/>
              </w:rPr>
              <w:t>55</w:t>
            </w:r>
          </w:p>
        </w:tc>
        <w:tc>
          <w:tcPr>
            <w:tcW w:w="604" w:type="dxa"/>
            <w:vAlign w:val="top"/>
          </w:tcPr>
          <w:p w14:paraId="30558099">
            <w:pPr>
              <w:pStyle w:val="6"/>
              <w:spacing w:before="281" w:line="220" w:lineRule="auto"/>
              <w:ind w:left="89"/>
              <w:rPr>
                <w:sz w:val="21"/>
                <w:szCs w:val="21"/>
              </w:rPr>
            </w:pPr>
            <w:r>
              <w:rPr>
                <w:spacing w:val="-2"/>
                <w:sz w:val="21"/>
                <w:szCs w:val="21"/>
              </w:rPr>
              <w:t>达标</w:t>
            </w:r>
          </w:p>
        </w:tc>
      </w:tr>
      <w:tr w14:paraId="39832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934" w:type="dxa"/>
            <w:vMerge w:val="continue"/>
            <w:tcBorders>
              <w:top w:val="nil"/>
              <w:bottom w:val="nil"/>
            </w:tcBorders>
            <w:vAlign w:val="top"/>
          </w:tcPr>
          <w:p w14:paraId="2FA39EA5">
            <w:pPr>
              <w:rPr>
                <w:rFonts w:ascii="Arial"/>
                <w:sz w:val="21"/>
              </w:rPr>
            </w:pPr>
          </w:p>
        </w:tc>
        <w:tc>
          <w:tcPr>
            <w:tcW w:w="250" w:type="dxa"/>
            <w:vAlign w:val="top"/>
          </w:tcPr>
          <w:p w14:paraId="7278CCE9">
            <w:pPr>
              <w:spacing w:line="242" w:lineRule="auto"/>
              <w:rPr>
                <w:rFonts w:ascii="Arial"/>
                <w:sz w:val="21"/>
              </w:rPr>
            </w:pPr>
          </w:p>
          <w:p w14:paraId="566FE840">
            <w:pPr>
              <w:pStyle w:val="6"/>
              <w:spacing w:before="68"/>
              <w:ind w:right="4"/>
              <w:jc w:val="right"/>
              <w:rPr>
                <w:sz w:val="21"/>
                <w:szCs w:val="21"/>
              </w:rPr>
            </w:pPr>
            <w:r>
              <w:rPr>
                <w:sz w:val="21"/>
                <w:szCs w:val="21"/>
              </w:rPr>
              <w:t>3</w:t>
            </w:r>
          </w:p>
        </w:tc>
        <w:tc>
          <w:tcPr>
            <w:tcW w:w="1229" w:type="dxa"/>
            <w:vAlign w:val="top"/>
          </w:tcPr>
          <w:p w14:paraId="7C4A3B1D">
            <w:pPr>
              <w:pStyle w:val="6"/>
              <w:spacing w:before="41" w:line="216" w:lineRule="auto"/>
              <w:ind w:left="81" w:right="67" w:firstLine="50"/>
              <w:jc w:val="both"/>
              <w:rPr>
                <w:sz w:val="21"/>
                <w:szCs w:val="21"/>
              </w:rPr>
            </w:pPr>
            <w:r>
              <w:rPr>
                <w:sz w:val="21"/>
                <w:szCs w:val="21"/>
              </w:rPr>
              <w:t>15#大地村</w:t>
            </w:r>
            <w:r>
              <w:rPr>
                <w:spacing w:val="3"/>
                <w:sz w:val="21"/>
                <w:szCs w:val="21"/>
              </w:rPr>
              <w:t xml:space="preserve"> 散户5(田间</w:t>
            </w:r>
            <w:r>
              <w:rPr>
                <w:spacing w:val="1"/>
                <w:sz w:val="21"/>
                <w:szCs w:val="21"/>
              </w:rPr>
              <w:t xml:space="preserve"> </w:t>
            </w:r>
            <w:r>
              <w:rPr>
                <w:spacing w:val="18"/>
                <w:sz w:val="21"/>
                <w:szCs w:val="21"/>
              </w:rPr>
              <w:t>农户看地)</w:t>
            </w:r>
          </w:p>
        </w:tc>
        <w:tc>
          <w:tcPr>
            <w:tcW w:w="1418" w:type="dxa"/>
            <w:vAlign w:val="top"/>
          </w:tcPr>
          <w:p w14:paraId="721E2779">
            <w:pPr>
              <w:pStyle w:val="6"/>
              <w:spacing w:before="292" w:line="220" w:lineRule="auto"/>
              <w:ind w:left="172"/>
              <w:rPr>
                <w:sz w:val="21"/>
                <w:szCs w:val="21"/>
              </w:rPr>
            </w:pPr>
            <w:r>
              <w:rPr>
                <w:spacing w:val="-2"/>
                <w:sz w:val="21"/>
                <w:szCs w:val="21"/>
              </w:rPr>
              <w:t>场界距离2m</w:t>
            </w:r>
          </w:p>
        </w:tc>
        <w:tc>
          <w:tcPr>
            <w:tcW w:w="1219" w:type="dxa"/>
            <w:vAlign w:val="top"/>
          </w:tcPr>
          <w:p w14:paraId="0B7A6D51">
            <w:pPr>
              <w:spacing w:line="242" w:lineRule="auto"/>
              <w:rPr>
                <w:rFonts w:ascii="Arial"/>
                <w:sz w:val="21"/>
              </w:rPr>
            </w:pPr>
          </w:p>
          <w:p w14:paraId="03DE75EC">
            <w:pPr>
              <w:pStyle w:val="6"/>
              <w:spacing w:before="68" w:line="239" w:lineRule="auto"/>
              <w:ind w:left="334"/>
              <w:rPr>
                <w:sz w:val="21"/>
                <w:szCs w:val="21"/>
              </w:rPr>
            </w:pPr>
            <w:r>
              <w:rPr>
                <w:spacing w:val="-2"/>
                <w:sz w:val="21"/>
                <w:szCs w:val="21"/>
              </w:rPr>
              <w:t>53.98</w:t>
            </w:r>
          </w:p>
        </w:tc>
        <w:tc>
          <w:tcPr>
            <w:tcW w:w="899" w:type="dxa"/>
            <w:vAlign w:val="top"/>
          </w:tcPr>
          <w:p w14:paraId="5380EC9C">
            <w:pPr>
              <w:spacing w:line="242" w:lineRule="auto"/>
              <w:rPr>
                <w:rFonts w:ascii="Arial"/>
                <w:sz w:val="21"/>
              </w:rPr>
            </w:pPr>
          </w:p>
          <w:p w14:paraId="7FEA467E">
            <w:pPr>
              <w:pStyle w:val="6"/>
              <w:spacing w:before="68"/>
              <w:ind w:left="334"/>
              <w:rPr>
                <w:sz w:val="21"/>
                <w:szCs w:val="21"/>
              </w:rPr>
            </w:pPr>
            <w:r>
              <w:rPr>
                <w:spacing w:val="-4"/>
                <w:sz w:val="21"/>
                <w:szCs w:val="21"/>
              </w:rPr>
              <w:t>52</w:t>
            </w:r>
          </w:p>
        </w:tc>
        <w:tc>
          <w:tcPr>
            <w:tcW w:w="719" w:type="dxa"/>
            <w:vAlign w:val="top"/>
          </w:tcPr>
          <w:p w14:paraId="6208BDC7">
            <w:pPr>
              <w:spacing w:line="242" w:lineRule="auto"/>
              <w:rPr>
                <w:rFonts w:ascii="Arial"/>
                <w:sz w:val="21"/>
              </w:rPr>
            </w:pPr>
          </w:p>
          <w:p w14:paraId="3187031F">
            <w:pPr>
              <w:pStyle w:val="6"/>
              <w:spacing w:before="68" w:line="239" w:lineRule="auto"/>
              <w:ind w:left="86"/>
              <w:rPr>
                <w:sz w:val="21"/>
                <w:szCs w:val="21"/>
              </w:rPr>
            </w:pPr>
            <w:r>
              <w:rPr>
                <w:spacing w:val="-2"/>
                <w:sz w:val="21"/>
                <w:szCs w:val="21"/>
              </w:rPr>
              <w:t>56.11</w:t>
            </w:r>
          </w:p>
        </w:tc>
        <w:tc>
          <w:tcPr>
            <w:tcW w:w="1179" w:type="dxa"/>
            <w:vAlign w:val="top"/>
          </w:tcPr>
          <w:p w14:paraId="5FA8D3AF">
            <w:pPr>
              <w:spacing w:line="242" w:lineRule="auto"/>
              <w:rPr>
                <w:rFonts w:ascii="Arial"/>
                <w:sz w:val="21"/>
              </w:rPr>
            </w:pPr>
          </w:p>
          <w:p w14:paraId="26EE85E6">
            <w:pPr>
              <w:pStyle w:val="6"/>
              <w:spacing w:before="68" w:line="239" w:lineRule="auto"/>
              <w:ind w:left="377"/>
              <w:rPr>
                <w:sz w:val="21"/>
                <w:szCs w:val="21"/>
              </w:rPr>
            </w:pPr>
            <w:r>
              <w:rPr>
                <w:spacing w:val="-2"/>
                <w:sz w:val="21"/>
                <w:szCs w:val="21"/>
              </w:rPr>
              <w:t>4.11</w:t>
            </w:r>
          </w:p>
        </w:tc>
        <w:tc>
          <w:tcPr>
            <w:tcW w:w="799" w:type="dxa"/>
            <w:vAlign w:val="top"/>
          </w:tcPr>
          <w:p w14:paraId="32C1C816">
            <w:pPr>
              <w:spacing w:line="242" w:lineRule="auto"/>
              <w:rPr>
                <w:rFonts w:ascii="Arial"/>
                <w:sz w:val="21"/>
              </w:rPr>
            </w:pPr>
          </w:p>
          <w:p w14:paraId="47C9F976">
            <w:pPr>
              <w:pStyle w:val="6"/>
              <w:spacing w:before="68"/>
              <w:ind w:left="288"/>
              <w:rPr>
                <w:sz w:val="21"/>
                <w:szCs w:val="21"/>
              </w:rPr>
            </w:pPr>
            <w:r>
              <w:rPr>
                <w:spacing w:val="-4"/>
                <w:sz w:val="21"/>
                <w:szCs w:val="21"/>
              </w:rPr>
              <w:t>55</w:t>
            </w:r>
          </w:p>
        </w:tc>
        <w:tc>
          <w:tcPr>
            <w:tcW w:w="604" w:type="dxa"/>
            <w:vAlign w:val="top"/>
          </w:tcPr>
          <w:p w14:paraId="751A2904">
            <w:pPr>
              <w:pStyle w:val="6"/>
              <w:spacing w:before="292" w:line="220" w:lineRule="auto"/>
              <w:ind w:left="89"/>
              <w:rPr>
                <w:sz w:val="21"/>
                <w:szCs w:val="21"/>
              </w:rPr>
            </w:pPr>
            <w:r>
              <w:rPr>
                <w:spacing w:val="-2"/>
                <w:sz w:val="21"/>
                <w:szCs w:val="21"/>
              </w:rPr>
              <w:t>超标</w:t>
            </w:r>
          </w:p>
        </w:tc>
      </w:tr>
      <w:tr w14:paraId="4C0AF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934" w:type="dxa"/>
            <w:vMerge w:val="continue"/>
            <w:tcBorders>
              <w:top w:val="nil"/>
              <w:bottom w:val="nil"/>
            </w:tcBorders>
            <w:vAlign w:val="top"/>
          </w:tcPr>
          <w:p w14:paraId="46A82A55">
            <w:pPr>
              <w:rPr>
                <w:rFonts w:ascii="Arial"/>
                <w:sz w:val="21"/>
              </w:rPr>
            </w:pPr>
          </w:p>
        </w:tc>
        <w:tc>
          <w:tcPr>
            <w:tcW w:w="250" w:type="dxa"/>
            <w:vAlign w:val="top"/>
          </w:tcPr>
          <w:p w14:paraId="2011047D">
            <w:pPr>
              <w:pStyle w:val="6"/>
              <w:spacing w:before="303" w:line="241" w:lineRule="auto"/>
              <w:ind w:right="4"/>
              <w:jc w:val="right"/>
              <w:rPr>
                <w:sz w:val="21"/>
                <w:szCs w:val="21"/>
              </w:rPr>
            </w:pPr>
            <w:r>
              <w:rPr>
                <w:sz w:val="21"/>
                <w:szCs w:val="21"/>
              </w:rPr>
              <w:t>4</w:t>
            </w:r>
          </w:p>
        </w:tc>
        <w:tc>
          <w:tcPr>
            <w:tcW w:w="1229" w:type="dxa"/>
            <w:vAlign w:val="top"/>
          </w:tcPr>
          <w:p w14:paraId="579E111E">
            <w:pPr>
              <w:pStyle w:val="6"/>
              <w:spacing w:before="52" w:line="207" w:lineRule="auto"/>
              <w:ind w:left="81" w:right="67" w:firstLine="50"/>
              <w:jc w:val="both"/>
              <w:rPr>
                <w:sz w:val="21"/>
                <w:szCs w:val="21"/>
              </w:rPr>
            </w:pPr>
            <w:r>
              <w:rPr>
                <w:sz w:val="21"/>
                <w:szCs w:val="21"/>
              </w:rPr>
              <w:t>17#大地村</w:t>
            </w:r>
            <w:r>
              <w:rPr>
                <w:spacing w:val="3"/>
                <w:sz w:val="21"/>
                <w:szCs w:val="21"/>
              </w:rPr>
              <w:t xml:space="preserve"> 散户7(田间</w:t>
            </w:r>
            <w:r>
              <w:rPr>
                <w:spacing w:val="1"/>
                <w:sz w:val="21"/>
                <w:szCs w:val="21"/>
              </w:rPr>
              <w:t xml:space="preserve"> </w:t>
            </w:r>
            <w:r>
              <w:rPr>
                <w:spacing w:val="18"/>
                <w:sz w:val="21"/>
                <w:szCs w:val="21"/>
              </w:rPr>
              <w:t>农户看地)</w:t>
            </w:r>
          </w:p>
        </w:tc>
        <w:tc>
          <w:tcPr>
            <w:tcW w:w="1418" w:type="dxa"/>
            <w:vAlign w:val="top"/>
          </w:tcPr>
          <w:p w14:paraId="18ECDD71">
            <w:pPr>
              <w:pStyle w:val="6"/>
              <w:spacing w:before="283" w:line="220" w:lineRule="auto"/>
              <w:ind w:left="172"/>
              <w:rPr>
                <w:sz w:val="21"/>
                <w:szCs w:val="21"/>
              </w:rPr>
            </w:pPr>
            <w:r>
              <w:rPr>
                <w:spacing w:val="-2"/>
                <w:sz w:val="21"/>
                <w:szCs w:val="21"/>
              </w:rPr>
              <w:t>场界距离1m</w:t>
            </w:r>
          </w:p>
        </w:tc>
        <w:tc>
          <w:tcPr>
            <w:tcW w:w="1219" w:type="dxa"/>
            <w:vAlign w:val="top"/>
          </w:tcPr>
          <w:p w14:paraId="24B5E5B8">
            <w:pPr>
              <w:pStyle w:val="6"/>
              <w:spacing w:before="303"/>
              <w:ind w:left="494"/>
              <w:rPr>
                <w:sz w:val="21"/>
                <w:szCs w:val="21"/>
              </w:rPr>
            </w:pPr>
            <w:r>
              <w:rPr>
                <w:spacing w:val="-3"/>
                <w:sz w:val="21"/>
                <w:szCs w:val="21"/>
              </w:rPr>
              <w:t>60</w:t>
            </w:r>
          </w:p>
        </w:tc>
        <w:tc>
          <w:tcPr>
            <w:tcW w:w="899" w:type="dxa"/>
            <w:vAlign w:val="top"/>
          </w:tcPr>
          <w:p w14:paraId="640CCF84">
            <w:pPr>
              <w:pStyle w:val="6"/>
              <w:spacing w:before="303"/>
              <w:ind w:left="334"/>
              <w:rPr>
                <w:sz w:val="21"/>
                <w:szCs w:val="21"/>
              </w:rPr>
            </w:pPr>
            <w:r>
              <w:rPr>
                <w:spacing w:val="-4"/>
                <w:sz w:val="21"/>
                <w:szCs w:val="21"/>
              </w:rPr>
              <w:t>50</w:t>
            </w:r>
          </w:p>
        </w:tc>
        <w:tc>
          <w:tcPr>
            <w:tcW w:w="719" w:type="dxa"/>
            <w:vAlign w:val="top"/>
          </w:tcPr>
          <w:p w14:paraId="008E9A6D">
            <w:pPr>
              <w:pStyle w:val="6"/>
              <w:spacing w:before="303" w:line="239" w:lineRule="auto"/>
              <w:ind w:left="86"/>
              <w:rPr>
                <w:sz w:val="21"/>
                <w:szCs w:val="21"/>
              </w:rPr>
            </w:pPr>
            <w:r>
              <w:rPr>
                <w:spacing w:val="-2"/>
                <w:sz w:val="21"/>
                <w:szCs w:val="21"/>
              </w:rPr>
              <w:t>60.41</w:t>
            </w:r>
          </w:p>
        </w:tc>
        <w:tc>
          <w:tcPr>
            <w:tcW w:w="1179" w:type="dxa"/>
            <w:vAlign w:val="top"/>
          </w:tcPr>
          <w:p w14:paraId="2EE40138">
            <w:pPr>
              <w:pStyle w:val="6"/>
              <w:spacing w:before="303" w:line="239" w:lineRule="auto"/>
              <w:ind w:left="317"/>
              <w:rPr>
                <w:sz w:val="21"/>
                <w:szCs w:val="21"/>
              </w:rPr>
            </w:pPr>
            <w:r>
              <w:rPr>
                <w:spacing w:val="-4"/>
                <w:sz w:val="21"/>
                <w:szCs w:val="21"/>
              </w:rPr>
              <w:t>10.41</w:t>
            </w:r>
          </w:p>
        </w:tc>
        <w:tc>
          <w:tcPr>
            <w:tcW w:w="799" w:type="dxa"/>
            <w:vAlign w:val="top"/>
          </w:tcPr>
          <w:p w14:paraId="7668C50E">
            <w:pPr>
              <w:pStyle w:val="6"/>
              <w:spacing w:before="303"/>
              <w:ind w:left="288"/>
              <w:rPr>
                <w:sz w:val="21"/>
                <w:szCs w:val="21"/>
              </w:rPr>
            </w:pPr>
            <w:r>
              <w:rPr>
                <w:spacing w:val="-4"/>
                <w:sz w:val="21"/>
                <w:szCs w:val="21"/>
              </w:rPr>
              <w:t>55</w:t>
            </w:r>
          </w:p>
        </w:tc>
        <w:tc>
          <w:tcPr>
            <w:tcW w:w="604" w:type="dxa"/>
            <w:vAlign w:val="top"/>
          </w:tcPr>
          <w:p w14:paraId="47C4BF48">
            <w:pPr>
              <w:pStyle w:val="6"/>
              <w:spacing w:before="283" w:line="220" w:lineRule="auto"/>
              <w:ind w:left="89"/>
              <w:rPr>
                <w:sz w:val="21"/>
                <w:szCs w:val="21"/>
              </w:rPr>
            </w:pPr>
            <w:r>
              <w:rPr>
                <w:spacing w:val="-2"/>
                <w:sz w:val="21"/>
                <w:szCs w:val="21"/>
              </w:rPr>
              <w:t>超标</w:t>
            </w:r>
          </w:p>
        </w:tc>
      </w:tr>
      <w:tr w14:paraId="51D8B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34" w:type="dxa"/>
            <w:vMerge w:val="continue"/>
            <w:tcBorders>
              <w:top w:val="nil"/>
              <w:bottom w:val="nil"/>
            </w:tcBorders>
            <w:vAlign w:val="top"/>
          </w:tcPr>
          <w:p w14:paraId="249C018A">
            <w:pPr>
              <w:rPr>
                <w:rFonts w:ascii="Arial"/>
                <w:sz w:val="21"/>
              </w:rPr>
            </w:pPr>
          </w:p>
        </w:tc>
        <w:tc>
          <w:tcPr>
            <w:tcW w:w="250" w:type="dxa"/>
            <w:vAlign w:val="top"/>
          </w:tcPr>
          <w:p w14:paraId="506D4893">
            <w:pPr>
              <w:pStyle w:val="6"/>
              <w:spacing w:before="193"/>
              <w:ind w:right="4"/>
              <w:jc w:val="right"/>
              <w:rPr>
                <w:sz w:val="21"/>
                <w:szCs w:val="21"/>
              </w:rPr>
            </w:pPr>
            <w:r>
              <w:rPr>
                <w:sz w:val="21"/>
                <w:szCs w:val="21"/>
              </w:rPr>
              <w:t>5</w:t>
            </w:r>
          </w:p>
        </w:tc>
        <w:tc>
          <w:tcPr>
            <w:tcW w:w="1229" w:type="dxa"/>
            <w:vAlign w:val="top"/>
          </w:tcPr>
          <w:p w14:paraId="4602D7B6">
            <w:pPr>
              <w:pStyle w:val="6"/>
              <w:spacing w:before="53" w:line="194" w:lineRule="auto"/>
              <w:ind w:left="81"/>
              <w:rPr>
                <w:sz w:val="21"/>
                <w:szCs w:val="21"/>
              </w:rPr>
            </w:pPr>
            <w:r>
              <w:rPr>
                <w:spacing w:val="-2"/>
                <w:sz w:val="21"/>
                <w:szCs w:val="21"/>
              </w:rPr>
              <w:t>2#栗树园散</w:t>
            </w:r>
          </w:p>
          <w:p w14:paraId="23CDCA02">
            <w:pPr>
              <w:pStyle w:val="6"/>
              <w:spacing w:line="220" w:lineRule="auto"/>
              <w:ind w:left="430"/>
              <w:rPr>
                <w:sz w:val="21"/>
                <w:szCs w:val="21"/>
              </w:rPr>
            </w:pPr>
            <w:r>
              <w:rPr>
                <w:spacing w:val="8"/>
                <w:sz w:val="21"/>
                <w:szCs w:val="21"/>
              </w:rPr>
              <w:t>户1</w:t>
            </w:r>
          </w:p>
        </w:tc>
        <w:tc>
          <w:tcPr>
            <w:tcW w:w="1418" w:type="dxa"/>
            <w:vAlign w:val="top"/>
          </w:tcPr>
          <w:p w14:paraId="31D3DBE7">
            <w:pPr>
              <w:pStyle w:val="6"/>
              <w:spacing w:before="174" w:line="220" w:lineRule="auto"/>
              <w:ind w:left="172"/>
              <w:rPr>
                <w:sz w:val="21"/>
                <w:szCs w:val="21"/>
              </w:rPr>
            </w:pPr>
            <w:r>
              <w:rPr>
                <w:spacing w:val="-2"/>
                <w:sz w:val="21"/>
                <w:szCs w:val="21"/>
              </w:rPr>
              <w:t>场界距离3m</w:t>
            </w:r>
          </w:p>
        </w:tc>
        <w:tc>
          <w:tcPr>
            <w:tcW w:w="1219" w:type="dxa"/>
            <w:vAlign w:val="top"/>
          </w:tcPr>
          <w:p w14:paraId="1EFD1E60">
            <w:pPr>
              <w:pStyle w:val="6"/>
              <w:spacing w:before="194" w:line="239" w:lineRule="auto"/>
              <w:ind w:left="334"/>
              <w:rPr>
                <w:sz w:val="21"/>
                <w:szCs w:val="21"/>
              </w:rPr>
            </w:pPr>
            <w:r>
              <w:rPr>
                <w:spacing w:val="-2"/>
                <w:sz w:val="21"/>
                <w:szCs w:val="21"/>
              </w:rPr>
              <w:t>50.46</w:t>
            </w:r>
          </w:p>
        </w:tc>
        <w:tc>
          <w:tcPr>
            <w:tcW w:w="899" w:type="dxa"/>
            <w:vAlign w:val="top"/>
          </w:tcPr>
          <w:p w14:paraId="18BACD93">
            <w:pPr>
              <w:pStyle w:val="6"/>
              <w:spacing w:before="194" w:line="241" w:lineRule="auto"/>
              <w:ind w:left="334"/>
              <w:rPr>
                <w:sz w:val="21"/>
                <w:szCs w:val="21"/>
              </w:rPr>
            </w:pPr>
            <w:r>
              <w:rPr>
                <w:spacing w:val="-2"/>
                <w:sz w:val="21"/>
                <w:szCs w:val="21"/>
              </w:rPr>
              <w:t>44</w:t>
            </w:r>
          </w:p>
        </w:tc>
        <w:tc>
          <w:tcPr>
            <w:tcW w:w="719" w:type="dxa"/>
            <w:vAlign w:val="top"/>
          </w:tcPr>
          <w:p w14:paraId="1AE1EDBD">
            <w:pPr>
              <w:pStyle w:val="6"/>
              <w:spacing w:before="194" w:line="239" w:lineRule="auto"/>
              <w:ind w:left="86"/>
              <w:rPr>
                <w:sz w:val="21"/>
                <w:szCs w:val="21"/>
              </w:rPr>
            </w:pPr>
            <w:r>
              <w:rPr>
                <w:spacing w:val="-2"/>
                <w:sz w:val="21"/>
                <w:szCs w:val="21"/>
              </w:rPr>
              <w:t>51.34</w:t>
            </w:r>
          </w:p>
        </w:tc>
        <w:tc>
          <w:tcPr>
            <w:tcW w:w="1179" w:type="dxa"/>
            <w:vAlign w:val="top"/>
          </w:tcPr>
          <w:p w14:paraId="41D191B0">
            <w:pPr>
              <w:pStyle w:val="6"/>
              <w:spacing w:before="194" w:line="239" w:lineRule="auto"/>
              <w:ind w:left="377"/>
              <w:rPr>
                <w:sz w:val="21"/>
                <w:szCs w:val="21"/>
              </w:rPr>
            </w:pPr>
            <w:r>
              <w:rPr>
                <w:spacing w:val="-3"/>
                <w:sz w:val="21"/>
                <w:szCs w:val="21"/>
              </w:rPr>
              <w:t>7.34</w:t>
            </w:r>
          </w:p>
        </w:tc>
        <w:tc>
          <w:tcPr>
            <w:tcW w:w="799" w:type="dxa"/>
            <w:vAlign w:val="top"/>
          </w:tcPr>
          <w:p w14:paraId="1808E3DC">
            <w:pPr>
              <w:pStyle w:val="6"/>
              <w:spacing w:before="193"/>
              <w:ind w:left="288"/>
              <w:rPr>
                <w:sz w:val="21"/>
                <w:szCs w:val="21"/>
              </w:rPr>
            </w:pPr>
            <w:r>
              <w:rPr>
                <w:spacing w:val="-4"/>
                <w:sz w:val="21"/>
                <w:szCs w:val="21"/>
              </w:rPr>
              <w:t>55</w:t>
            </w:r>
          </w:p>
        </w:tc>
        <w:tc>
          <w:tcPr>
            <w:tcW w:w="604" w:type="dxa"/>
            <w:vAlign w:val="top"/>
          </w:tcPr>
          <w:p w14:paraId="376977BE">
            <w:pPr>
              <w:pStyle w:val="6"/>
              <w:spacing w:before="174" w:line="220" w:lineRule="auto"/>
              <w:ind w:left="89"/>
              <w:rPr>
                <w:sz w:val="21"/>
                <w:szCs w:val="21"/>
              </w:rPr>
            </w:pPr>
            <w:r>
              <w:rPr>
                <w:spacing w:val="-2"/>
                <w:sz w:val="21"/>
                <w:szCs w:val="21"/>
              </w:rPr>
              <w:t>达标</w:t>
            </w:r>
          </w:p>
        </w:tc>
      </w:tr>
      <w:tr w14:paraId="298B1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34" w:type="dxa"/>
            <w:vMerge w:val="continue"/>
            <w:tcBorders>
              <w:top w:val="nil"/>
              <w:bottom w:val="nil"/>
            </w:tcBorders>
            <w:vAlign w:val="top"/>
          </w:tcPr>
          <w:p w14:paraId="2B572668">
            <w:pPr>
              <w:rPr>
                <w:rFonts w:ascii="Arial"/>
                <w:sz w:val="21"/>
              </w:rPr>
            </w:pPr>
          </w:p>
        </w:tc>
        <w:tc>
          <w:tcPr>
            <w:tcW w:w="250" w:type="dxa"/>
            <w:vAlign w:val="top"/>
          </w:tcPr>
          <w:p w14:paraId="1B83E048">
            <w:pPr>
              <w:pStyle w:val="6"/>
              <w:spacing w:before="194"/>
              <w:ind w:right="4"/>
              <w:jc w:val="right"/>
              <w:rPr>
                <w:sz w:val="21"/>
                <w:szCs w:val="21"/>
              </w:rPr>
            </w:pPr>
            <w:r>
              <w:rPr>
                <w:sz w:val="21"/>
                <w:szCs w:val="21"/>
              </w:rPr>
              <w:t>6</w:t>
            </w:r>
          </w:p>
        </w:tc>
        <w:tc>
          <w:tcPr>
            <w:tcW w:w="1229" w:type="dxa"/>
            <w:vAlign w:val="top"/>
          </w:tcPr>
          <w:p w14:paraId="7EE60E41">
            <w:pPr>
              <w:pStyle w:val="6"/>
              <w:spacing w:before="53" w:line="214" w:lineRule="auto"/>
              <w:ind w:left="340" w:right="153" w:hanging="209"/>
              <w:rPr>
                <w:sz w:val="21"/>
                <w:szCs w:val="21"/>
              </w:rPr>
            </w:pPr>
            <w:r>
              <w:rPr>
                <w:spacing w:val="-2"/>
                <w:sz w:val="21"/>
                <w:szCs w:val="21"/>
              </w:rPr>
              <w:t>21#橡子坡</w:t>
            </w:r>
            <w:r>
              <w:rPr>
                <w:sz w:val="21"/>
                <w:szCs w:val="21"/>
              </w:rPr>
              <w:t xml:space="preserve"> </w:t>
            </w:r>
            <w:r>
              <w:rPr>
                <w:spacing w:val="5"/>
                <w:sz w:val="21"/>
                <w:szCs w:val="21"/>
              </w:rPr>
              <w:t>散户1</w:t>
            </w:r>
          </w:p>
        </w:tc>
        <w:tc>
          <w:tcPr>
            <w:tcW w:w="1418" w:type="dxa"/>
            <w:vAlign w:val="top"/>
          </w:tcPr>
          <w:p w14:paraId="55D717EB">
            <w:pPr>
              <w:pStyle w:val="6"/>
              <w:spacing w:before="174" w:line="220" w:lineRule="auto"/>
              <w:ind w:left="122"/>
              <w:rPr>
                <w:sz w:val="21"/>
                <w:szCs w:val="21"/>
              </w:rPr>
            </w:pPr>
            <w:r>
              <w:rPr>
                <w:spacing w:val="-1"/>
                <w:sz w:val="21"/>
                <w:szCs w:val="21"/>
              </w:rPr>
              <w:t>场界距离30m</w:t>
            </w:r>
          </w:p>
        </w:tc>
        <w:tc>
          <w:tcPr>
            <w:tcW w:w="1219" w:type="dxa"/>
            <w:vAlign w:val="top"/>
          </w:tcPr>
          <w:p w14:paraId="711FEE09">
            <w:pPr>
              <w:pStyle w:val="6"/>
              <w:spacing w:before="194" w:line="239" w:lineRule="auto"/>
              <w:ind w:left="334"/>
              <w:rPr>
                <w:sz w:val="21"/>
                <w:szCs w:val="21"/>
              </w:rPr>
            </w:pPr>
            <w:r>
              <w:rPr>
                <w:spacing w:val="-2"/>
                <w:sz w:val="21"/>
                <w:szCs w:val="21"/>
              </w:rPr>
              <w:t>30.46</w:t>
            </w:r>
          </w:p>
        </w:tc>
        <w:tc>
          <w:tcPr>
            <w:tcW w:w="899" w:type="dxa"/>
            <w:vAlign w:val="top"/>
          </w:tcPr>
          <w:p w14:paraId="575B198F">
            <w:pPr>
              <w:pStyle w:val="6"/>
              <w:spacing w:before="194"/>
              <w:ind w:left="334"/>
              <w:rPr>
                <w:sz w:val="21"/>
                <w:szCs w:val="21"/>
              </w:rPr>
            </w:pPr>
            <w:r>
              <w:rPr>
                <w:spacing w:val="-2"/>
                <w:sz w:val="21"/>
                <w:szCs w:val="21"/>
              </w:rPr>
              <w:t>49</w:t>
            </w:r>
          </w:p>
        </w:tc>
        <w:tc>
          <w:tcPr>
            <w:tcW w:w="719" w:type="dxa"/>
            <w:vAlign w:val="top"/>
          </w:tcPr>
          <w:p w14:paraId="7C296CF3">
            <w:pPr>
              <w:pStyle w:val="6"/>
              <w:spacing w:before="194" w:line="239" w:lineRule="auto"/>
              <w:ind w:left="86"/>
              <w:rPr>
                <w:sz w:val="21"/>
                <w:szCs w:val="21"/>
              </w:rPr>
            </w:pPr>
            <w:r>
              <w:rPr>
                <w:spacing w:val="-2"/>
                <w:sz w:val="21"/>
                <w:szCs w:val="21"/>
              </w:rPr>
              <w:t>49.06</w:t>
            </w:r>
          </w:p>
        </w:tc>
        <w:tc>
          <w:tcPr>
            <w:tcW w:w="1179" w:type="dxa"/>
            <w:vAlign w:val="top"/>
          </w:tcPr>
          <w:p w14:paraId="2C4DA5A7">
            <w:pPr>
              <w:pStyle w:val="6"/>
              <w:spacing w:before="194" w:line="239" w:lineRule="auto"/>
              <w:ind w:left="377"/>
              <w:rPr>
                <w:sz w:val="21"/>
                <w:szCs w:val="21"/>
              </w:rPr>
            </w:pPr>
            <w:r>
              <w:rPr>
                <w:spacing w:val="-2"/>
                <w:sz w:val="21"/>
                <w:szCs w:val="21"/>
              </w:rPr>
              <w:t>0.06</w:t>
            </w:r>
          </w:p>
        </w:tc>
        <w:tc>
          <w:tcPr>
            <w:tcW w:w="799" w:type="dxa"/>
            <w:vAlign w:val="top"/>
          </w:tcPr>
          <w:p w14:paraId="0E19FBBD">
            <w:pPr>
              <w:pStyle w:val="6"/>
              <w:spacing w:before="194"/>
              <w:ind w:left="288"/>
              <w:rPr>
                <w:sz w:val="21"/>
                <w:szCs w:val="21"/>
              </w:rPr>
            </w:pPr>
            <w:r>
              <w:rPr>
                <w:spacing w:val="-4"/>
                <w:sz w:val="21"/>
                <w:szCs w:val="21"/>
              </w:rPr>
              <w:t>55</w:t>
            </w:r>
          </w:p>
        </w:tc>
        <w:tc>
          <w:tcPr>
            <w:tcW w:w="604" w:type="dxa"/>
            <w:vAlign w:val="top"/>
          </w:tcPr>
          <w:p w14:paraId="31D7D585">
            <w:pPr>
              <w:pStyle w:val="6"/>
              <w:spacing w:before="174" w:line="220" w:lineRule="auto"/>
              <w:ind w:left="89"/>
              <w:rPr>
                <w:sz w:val="21"/>
                <w:szCs w:val="21"/>
              </w:rPr>
            </w:pPr>
            <w:r>
              <w:rPr>
                <w:spacing w:val="-2"/>
                <w:sz w:val="21"/>
                <w:szCs w:val="21"/>
              </w:rPr>
              <w:t>达标</w:t>
            </w:r>
          </w:p>
        </w:tc>
      </w:tr>
      <w:tr w14:paraId="5DB6A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934" w:type="dxa"/>
            <w:vMerge w:val="continue"/>
            <w:tcBorders>
              <w:top w:val="nil"/>
              <w:bottom w:val="nil"/>
            </w:tcBorders>
            <w:vAlign w:val="top"/>
          </w:tcPr>
          <w:p w14:paraId="5A13FBC0">
            <w:pPr>
              <w:rPr>
                <w:rFonts w:ascii="Arial"/>
                <w:sz w:val="21"/>
              </w:rPr>
            </w:pPr>
          </w:p>
        </w:tc>
        <w:tc>
          <w:tcPr>
            <w:tcW w:w="250" w:type="dxa"/>
            <w:vAlign w:val="top"/>
          </w:tcPr>
          <w:p w14:paraId="702A2016">
            <w:pPr>
              <w:spacing w:line="244" w:lineRule="auto"/>
              <w:rPr>
                <w:rFonts w:ascii="Arial"/>
                <w:sz w:val="21"/>
              </w:rPr>
            </w:pPr>
          </w:p>
          <w:p w14:paraId="5DA95596">
            <w:pPr>
              <w:pStyle w:val="6"/>
              <w:spacing w:before="68"/>
              <w:ind w:right="4"/>
              <w:jc w:val="right"/>
              <w:rPr>
                <w:sz w:val="21"/>
                <w:szCs w:val="21"/>
              </w:rPr>
            </w:pPr>
            <w:r>
              <w:rPr>
                <w:sz w:val="21"/>
                <w:szCs w:val="21"/>
              </w:rPr>
              <w:t>7</w:t>
            </w:r>
          </w:p>
        </w:tc>
        <w:tc>
          <w:tcPr>
            <w:tcW w:w="1229" w:type="dxa"/>
            <w:vAlign w:val="top"/>
          </w:tcPr>
          <w:p w14:paraId="09E72A3E">
            <w:pPr>
              <w:pStyle w:val="6"/>
              <w:spacing w:before="65" w:line="209" w:lineRule="auto"/>
              <w:ind w:left="81" w:right="67" w:firstLine="50"/>
              <w:jc w:val="both"/>
              <w:rPr>
                <w:sz w:val="21"/>
                <w:szCs w:val="21"/>
              </w:rPr>
            </w:pPr>
            <w:r>
              <w:rPr>
                <w:spacing w:val="-2"/>
                <w:sz w:val="21"/>
                <w:szCs w:val="21"/>
              </w:rPr>
              <w:t>22#橡子坡</w:t>
            </w:r>
            <w:r>
              <w:rPr>
                <w:sz w:val="21"/>
                <w:szCs w:val="21"/>
              </w:rPr>
              <w:t xml:space="preserve">  </w:t>
            </w:r>
            <w:r>
              <w:rPr>
                <w:spacing w:val="3"/>
                <w:sz w:val="21"/>
                <w:szCs w:val="21"/>
              </w:rPr>
              <w:t>散户2(田间</w:t>
            </w:r>
            <w:r>
              <w:rPr>
                <w:spacing w:val="1"/>
                <w:sz w:val="21"/>
                <w:szCs w:val="21"/>
              </w:rPr>
              <w:t xml:space="preserve"> </w:t>
            </w:r>
            <w:r>
              <w:rPr>
                <w:spacing w:val="18"/>
                <w:sz w:val="21"/>
                <w:szCs w:val="21"/>
              </w:rPr>
              <w:t>农户看地)</w:t>
            </w:r>
          </w:p>
        </w:tc>
        <w:tc>
          <w:tcPr>
            <w:tcW w:w="1418" w:type="dxa"/>
            <w:vAlign w:val="top"/>
          </w:tcPr>
          <w:p w14:paraId="6A1A0F23">
            <w:pPr>
              <w:pStyle w:val="6"/>
              <w:spacing w:before="294" w:line="220" w:lineRule="auto"/>
              <w:ind w:left="122"/>
              <w:rPr>
                <w:sz w:val="21"/>
                <w:szCs w:val="21"/>
              </w:rPr>
            </w:pPr>
            <w:r>
              <w:rPr>
                <w:spacing w:val="-1"/>
                <w:sz w:val="21"/>
                <w:szCs w:val="21"/>
              </w:rPr>
              <w:t>场界距离22m</w:t>
            </w:r>
          </w:p>
        </w:tc>
        <w:tc>
          <w:tcPr>
            <w:tcW w:w="1219" w:type="dxa"/>
            <w:vAlign w:val="top"/>
          </w:tcPr>
          <w:p w14:paraId="0502E4DB">
            <w:pPr>
              <w:spacing w:line="244" w:lineRule="auto"/>
              <w:rPr>
                <w:rFonts w:ascii="Arial"/>
                <w:sz w:val="21"/>
              </w:rPr>
            </w:pPr>
          </w:p>
          <w:p w14:paraId="4989A524">
            <w:pPr>
              <w:pStyle w:val="6"/>
              <w:spacing w:before="68" w:line="239" w:lineRule="auto"/>
              <w:ind w:left="334"/>
              <w:rPr>
                <w:sz w:val="21"/>
                <w:szCs w:val="21"/>
              </w:rPr>
            </w:pPr>
            <w:r>
              <w:rPr>
                <w:spacing w:val="-2"/>
                <w:sz w:val="21"/>
                <w:szCs w:val="21"/>
              </w:rPr>
              <w:t>33.15</w:t>
            </w:r>
          </w:p>
        </w:tc>
        <w:tc>
          <w:tcPr>
            <w:tcW w:w="899" w:type="dxa"/>
            <w:vAlign w:val="top"/>
          </w:tcPr>
          <w:p w14:paraId="0FE8E834">
            <w:pPr>
              <w:spacing w:line="244" w:lineRule="auto"/>
              <w:rPr>
                <w:rFonts w:ascii="Arial"/>
                <w:sz w:val="21"/>
              </w:rPr>
            </w:pPr>
          </w:p>
          <w:p w14:paraId="7D20B350">
            <w:pPr>
              <w:pStyle w:val="6"/>
              <w:spacing w:before="68"/>
              <w:ind w:left="334"/>
              <w:rPr>
                <w:sz w:val="21"/>
                <w:szCs w:val="21"/>
              </w:rPr>
            </w:pPr>
            <w:r>
              <w:rPr>
                <w:spacing w:val="-4"/>
                <w:sz w:val="21"/>
                <w:szCs w:val="21"/>
              </w:rPr>
              <w:t>50</w:t>
            </w:r>
          </w:p>
        </w:tc>
        <w:tc>
          <w:tcPr>
            <w:tcW w:w="719" w:type="dxa"/>
            <w:vAlign w:val="top"/>
          </w:tcPr>
          <w:p w14:paraId="312878CB">
            <w:pPr>
              <w:spacing w:line="244" w:lineRule="auto"/>
              <w:rPr>
                <w:rFonts w:ascii="Arial"/>
                <w:sz w:val="21"/>
              </w:rPr>
            </w:pPr>
          </w:p>
          <w:p w14:paraId="4370691E">
            <w:pPr>
              <w:pStyle w:val="6"/>
              <w:spacing w:before="68" w:line="239" w:lineRule="auto"/>
              <w:ind w:left="86"/>
              <w:rPr>
                <w:sz w:val="21"/>
                <w:szCs w:val="21"/>
              </w:rPr>
            </w:pPr>
            <w:r>
              <w:rPr>
                <w:spacing w:val="-2"/>
                <w:sz w:val="21"/>
                <w:szCs w:val="21"/>
              </w:rPr>
              <w:t>50.09</w:t>
            </w:r>
          </w:p>
        </w:tc>
        <w:tc>
          <w:tcPr>
            <w:tcW w:w="1179" w:type="dxa"/>
            <w:vAlign w:val="top"/>
          </w:tcPr>
          <w:p w14:paraId="3637B810">
            <w:pPr>
              <w:spacing w:line="244" w:lineRule="auto"/>
              <w:rPr>
                <w:rFonts w:ascii="Arial"/>
                <w:sz w:val="21"/>
              </w:rPr>
            </w:pPr>
          </w:p>
          <w:p w14:paraId="2239DBBC">
            <w:pPr>
              <w:pStyle w:val="6"/>
              <w:spacing w:before="68" w:line="239" w:lineRule="auto"/>
              <w:ind w:left="377"/>
              <w:rPr>
                <w:sz w:val="21"/>
                <w:szCs w:val="21"/>
              </w:rPr>
            </w:pPr>
            <w:r>
              <w:rPr>
                <w:spacing w:val="-2"/>
                <w:sz w:val="21"/>
                <w:szCs w:val="21"/>
              </w:rPr>
              <w:t>0.09</w:t>
            </w:r>
          </w:p>
        </w:tc>
        <w:tc>
          <w:tcPr>
            <w:tcW w:w="799" w:type="dxa"/>
            <w:vAlign w:val="top"/>
          </w:tcPr>
          <w:p w14:paraId="12C6FF0D">
            <w:pPr>
              <w:spacing w:line="244" w:lineRule="auto"/>
              <w:rPr>
                <w:rFonts w:ascii="Arial"/>
                <w:sz w:val="21"/>
              </w:rPr>
            </w:pPr>
          </w:p>
          <w:p w14:paraId="176EF01E">
            <w:pPr>
              <w:pStyle w:val="6"/>
              <w:spacing w:before="68"/>
              <w:ind w:left="288"/>
              <w:rPr>
                <w:sz w:val="21"/>
                <w:szCs w:val="21"/>
              </w:rPr>
            </w:pPr>
            <w:r>
              <w:rPr>
                <w:spacing w:val="-4"/>
                <w:sz w:val="21"/>
                <w:szCs w:val="21"/>
              </w:rPr>
              <w:t>55</w:t>
            </w:r>
          </w:p>
        </w:tc>
        <w:tc>
          <w:tcPr>
            <w:tcW w:w="604" w:type="dxa"/>
            <w:vAlign w:val="top"/>
          </w:tcPr>
          <w:p w14:paraId="4DA923AB">
            <w:pPr>
              <w:pStyle w:val="6"/>
              <w:spacing w:before="294" w:line="220" w:lineRule="auto"/>
              <w:ind w:left="89"/>
              <w:rPr>
                <w:sz w:val="21"/>
                <w:szCs w:val="21"/>
              </w:rPr>
            </w:pPr>
            <w:r>
              <w:rPr>
                <w:spacing w:val="-2"/>
                <w:sz w:val="21"/>
                <w:szCs w:val="21"/>
              </w:rPr>
              <w:t>达标</w:t>
            </w:r>
          </w:p>
        </w:tc>
      </w:tr>
      <w:tr w14:paraId="4EF52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934" w:type="dxa"/>
            <w:vMerge w:val="continue"/>
            <w:tcBorders>
              <w:top w:val="nil"/>
              <w:bottom w:val="nil"/>
            </w:tcBorders>
            <w:vAlign w:val="top"/>
          </w:tcPr>
          <w:p w14:paraId="2B7C1036">
            <w:pPr>
              <w:rPr>
                <w:rFonts w:ascii="Arial"/>
                <w:sz w:val="21"/>
              </w:rPr>
            </w:pPr>
          </w:p>
        </w:tc>
        <w:tc>
          <w:tcPr>
            <w:tcW w:w="250" w:type="dxa"/>
            <w:vAlign w:val="top"/>
          </w:tcPr>
          <w:p w14:paraId="43C91B6B">
            <w:pPr>
              <w:spacing w:line="255" w:lineRule="auto"/>
              <w:rPr>
                <w:rFonts w:ascii="Arial"/>
                <w:sz w:val="21"/>
              </w:rPr>
            </w:pPr>
          </w:p>
          <w:p w14:paraId="51DB8EAB">
            <w:pPr>
              <w:pStyle w:val="6"/>
              <w:spacing w:before="68"/>
              <w:ind w:right="4"/>
              <w:jc w:val="right"/>
              <w:rPr>
                <w:sz w:val="21"/>
                <w:szCs w:val="21"/>
              </w:rPr>
            </w:pPr>
            <w:r>
              <w:rPr>
                <w:sz w:val="21"/>
                <w:szCs w:val="21"/>
              </w:rPr>
              <w:t>8</w:t>
            </w:r>
          </w:p>
        </w:tc>
        <w:tc>
          <w:tcPr>
            <w:tcW w:w="1229" w:type="dxa"/>
            <w:vAlign w:val="top"/>
          </w:tcPr>
          <w:p w14:paraId="04759F7D">
            <w:pPr>
              <w:pStyle w:val="6"/>
              <w:spacing w:before="45" w:line="218" w:lineRule="auto"/>
              <w:ind w:left="81" w:right="67" w:firstLine="50"/>
              <w:jc w:val="both"/>
              <w:rPr>
                <w:sz w:val="21"/>
                <w:szCs w:val="21"/>
              </w:rPr>
            </w:pPr>
            <w:r>
              <w:rPr>
                <w:spacing w:val="-2"/>
                <w:sz w:val="21"/>
                <w:szCs w:val="21"/>
              </w:rPr>
              <w:t>23#大莫古</w:t>
            </w:r>
            <w:r>
              <w:rPr>
                <w:sz w:val="21"/>
                <w:szCs w:val="21"/>
              </w:rPr>
              <w:t xml:space="preserve">  </w:t>
            </w:r>
            <w:r>
              <w:rPr>
                <w:spacing w:val="3"/>
                <w:sz w:val="21"/>
                <w:szCs w:val="21"/>
              </w:rPr>
              <w:t>散户1(田间</w:t>
            </w:r>
            <w:r>
              <w:rPr>
                <w:spacing w:val="1"/>
                <w:sz w:val="21"/>
                <w:szCs w:val="21"/>
              </w:rPr>
              <w:t xml:space="preserve"> </w:t>
            </w:r>
            <w:r>
              <w:rPr>
                <w:spacing w:val="18"/>
                <w:sz w:val="21"/>
                <w:szCs w:val="21"/>
              </w:rPr>
              <w:t>农户看地)</w:t>
            </w:r>
          </w:p>
        </w:tc>
        <w:tc>
          <w:tcPr>
            <w:tcW w:w="1418" w:type="dxa"/>
            <w:vAlign w:val="top"/>
          </w:tcPr>
          <w:p w14:paraId="64BB76BF">
            <w:pPr>
              <w:pStyle w:val="6"/>
              <w:spacing w:before="305" w:line="220" w:lineRule="auto"/>
              <w:ind w:left="172"/>
              <w:rPr>
                <w:sz w:val="21"/>
                <w:szCs w:val="21"/>
              </w:rPr>
            </w:pPr>
            <w:r>
              <w:rPr>
                <w:spacing w:val="-2"/>
                <w:sz w:val="21"/>
                <w:szCs w:val="21"/>
              </w:rPr>
              <w:t>场界距离2m</w:t>
            </w:r>
          </w:p>
        </w:tc>
        <w:tc>
          <w:tcPr>
            <w:tcW w:w="1219" w:type="dxa"/>
            <w:vAlign w:val="top"/>
          </w:tcPr>
          <w:p w14:paraId="6E2D2C97">
            <w:pPr>
              <w:spacing w:line="255" w:lineRule="auto"/>
              <w:rPr>
                <w:rFonts w:ascii="Arial"/>
                <w:sz w:val="21"/>
              </w:rPr>
            </w:pPr>
          </w:p>
          <w:p w14:paraId="0664EC5B">
            <w:pPr>
              <w:pStyle w:val="6"/>
              <w:spacing w:before="68" w:line="239" w:lineRule="auto"/>
              <w:ind w:left="334"/>
              <w:rPr>
                <w:sz w:val="21"/>
                <w:szCs w:val="21"/>
              </w:rPr>
            </w:pPr>
            <w:r>
              <w:rPr>
                <w:spacing w:val="-2"/>
                <w:sz w:val="21"/>
                <w:szCs w:val="21"/>
              </w:rPr>
              <w:t>53.98</w:t>
            </w:r>
          </w:p>
        </w:tc>
        <w:tc>
          <w:tcPr>
            <w:tcW w:w="899" w:type="dxa"/>
            <w:vAlign w:val="top"/>
          </w:tcPr>
          <w:p w14:paraId="330361BF">
            <w:pPr>
              <w:spacing w:line="255" w:lineRule="auto"/>
              <w:rPr>
                <w:rFonts w:ascii="Arial"/>
                <w:sz w:val="21"/>
              </w:rPr>
            </w:pPr>
          </w:p>
          <w:p w14:paraId="672963E1">
            <w:pPr>
              <w:pStyle w:val="6"/>
              <w:spacing w:before="68"/>
              <w:ind w:left="334"/>
              <w:rPr>
                <w:sz w:val="21"/>
                <w:szCs w:val="21"/>
              </w:rPr>
            </w:pPr>
            <w:r>
              <w:rPr>
                <w:spacing w:val="-4"/>
                <w:sz w:val="21"/>
                <w:szCs w:val="21"/>
              </w:rPr>
              <w:t>50</w:t>
            </w:r>
          </w:p>
        </w:tc>
        <w:tc>
          <w:tcPr>
            <w:tcW w:w="719" w:type="dxa"/>
            <w:vAlign w:val="top"/>
          </w:tcPr>
          <w:p w14:paraId="663CB907">
            <w:pPr>
              <w:spacing w:line="255" w:lineRule="auto"/>
              <w:rPr>
                <w:rFonts w:ascii="Arial"/>
                <w:sz w:val="21"/>
              </w:rPr>
            </w:pPr>
          </w:p>
          <w:p w14:paraId="1386CC52">
            <w:pPr>
              <w:pStyle w:val="6"/>
              <w:spacing w:before="68" w:line="239" w:lineRule="auto"/>
              <w:ind w:left="86"/>
              <w:rPr>
                <w:sz w:val="21"/>
                <w:szCs w:val="21"/>
              </w:rPr>
            </w:pPr>
            <w:r>
              <w:rPr>
                <w:spacing w:val="-2"/>
                <w:sz w:val="21"/>
                <w:szCs w:val="21"/>
              </w:rPr>
              <w:t>55.44</w:t>
            </w:r>
          </w:p>
        </w:tc>
        <w:tc>
          <w:tcPr>
            <w:tcW w:w="1179" w:type="dxa"/>
            <w:vAlign w:val="top"/>
          </w:tcPr>
          <w:p w14:paraId="7D0728CE">
            <w:pPr>
              <w:spacing w:line="255" w:lineRule="auto"/>
              <w:rPr>
                <w:rFonts w:ascii="Arial"/>
                <w:sz w:val="21"/>
              </w:rPr>
            </w:pPr>
          </w:p>
          <w:p w14:paraId="7CA321D3">
            <w:pPr>
              <w:pStyle w:val="6"/>
              <w:spacing w:before="68" w:line="239" w:lineRule="auto"/>
              <w:ind w:left="377"/>
              <w:rPr>
                <w:sz w:val="21"/>
                <w:szCs w:val="21"/>
              </w:rPr>
            </w:pPr>
            <w:r>
              <w:rPr>
                <w:spacing w:val="-3"/>
                <w:sz w:val="21"/>
                <w:szCs w:val="21"/>
              </w:rPr>
              <w:t>5.44</w:t>
            </w:r>
          </w:p>
        </w:tc>
        <w:tc>
          <w:tcPr>
            <w:tcW w:w="799" w:type="dxa"/>
            <w:vAlign w:val="top"/>
          </w:tcPr>
          <w:p w14:paraId="2DAB8F0C">
            <w:pPr>
              <w:spacing w:line="255" w:lineRule="auto"/>
              <w:rPr>
                <w:rFonts w:ascii="Arial"/>
                <w:sz w:val="21"/>
              </w:rPr>
            </w:pPr>
          </w:p>
          <w:p w14:paraId="3BFDB93A">
            <w:pPr>
              <w:pStyle w:val="6"/>
              <w:spacing w:before="68"/>
              <w:ind w:left="288"/>
              <w:rPr>
                <w:sz w:val="21"/>
                <w:szCs w:val="21"/>
              </w:rPr>
            </w:pPr>
            <w:r>
              <w:rPr>
                <w:spacing w:val="-4"/>
                <w:sz w:val="21"/>
                <w:szCs w:val="21"/>
              </w:rPr>
              <w:t>55</w:t>
            </w:r>
          </w:p>
        </w:tc>
        <w:tc>
          <w:tcPr>
            <w:tcW w:w="604" w:type="dxa"/>
            <w:vAlign w:val="top"/>
          </w:tcPr>
          <w:p w14:paraId="25DB624F">
            <w:pPr>
              <w:pStyle w:val="6"/>
              <w:spacing w:before="305" w:line="220" w:lineRule="auto"/>
              <w:ind w:left="89"/>
              <w:rPr>
                <w:sz w:val="21"/>
                <w:szCs w:val="21"/>
              </w:rPr>
            </w:pPr>
            <w:r>
              <w:rPr>
                <w:spacing w:val="-2"/>
                <w:sz w:val="21"/>
                <w:szCs w:val="21"/>
              </w:rPr>
              <w:t>超标</w:t>
            </w:r>
          </w:p>
        </w:tc>
      </w:tr>
      <w:tr w14:paraId="3BEA5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4" w:type="dxa"/>
            <w:vMerge w:val="continue"/>
            <w:tcBorders>
              <w:top w:val="nil"/>
              <w:bottom w:val="nil"/>
            </w:tcBorders>
            <w:vAlign w:val="top"/>
          </w:tcPr>
          <w:p w14:paraId="2451D02C">
            <w:pPr>
              <w:rPr>
                <w:rFonts w:ascii="Arial"/>
                <w:sz w:val="21"/>
              </w:rPr>
            </w:pPr>
          </w:p>
        </w:tc>
        <w:tc>
          <w:tcPr>
            <w:tcW w:w="250" w:type="dxa"/>
            <w:vAlign w:val="top"/>
          </w:tcPr>
          <w:p w14:paraId="49AD9B00">
            <w:pPr>
              <w:pStyle w:val="6"/>
              <w:spacing w:before="196"/>
              <w:ind w:right="4"/>
              <w:jc w:val="right"/>
              <w:rPr>
                <w:sz w:val="21"/>
                <w:szCs w:val="21"/>
              </w:rPr>
            </w:pPr>
            <w:r>
              <w:rPr>
                <w:sz w:val="21"/>
                <w:szCs w:val="21"/>
              </w:rPr>
              <w:t>9</w:t>
            </w:r>
          </w:p>
        </w:tc>
        <w:tc>
          <w:tcPr>
            <w:tcW w:w="1229" w:type="dxa"/>
            <w:vAlign w:val="top"/>
          </w:tcPr>
          <w:p w14:paraId="784071B4">
            <w:pPr>
              <w:pStyle w:val="6"/>
              <w:spacing w:before="25" w:line="219" w:lineRule="auto"/>
              <w:ind w:left="81"/>
              <w:rPr>
                <w:sz w:val="21"/>
                <w:szCs w:val="21"/>
              </w:rPr>
            </w:pPr>
            <w:r>
              <w:rPr>
                <w:spacing w:val="1"/>
                <w:sz w:val="21"/>
                <w:szCs w:val="21"/>
              </w:rPr>
              <w:t>3#栗树园散</w:t>
            </w:r>
          </w:p>
          <w:p w14:paraId="661BD923">
            <w:pPr>
              <w:pStyle w:val="6"/>
              <w:spacing w:before="20" w:line="206" w:lineRule="auto"/>
              <w:ind w:left="441"/>
              <w:rPr>
                <w:sz w:val="21"/>
                <w:szCs w:val="21"/>
              </w:rPr>
            </w:pPr>
            <w:r>
              <w:rPr>
                <w:spacing w:val="9"/>
                <w:sz w:val="21"/>
                <w:szCs w:val="21"/>
              </w:rPr>
              <w:t>户2</w:t>
            </w:r>
          </w:p>
        </w:tc>
        <w:tc>
          <w:tcPr>
            <w:tcW w:w="1418" w:type="dxa"/>
            <w:vAlign w:val="top"/>
          </w:tcPr>
          <w:p w14:paraId="3C71A873">
            <w:pPr>
              <w:pStyle w:val="6"/>
              <w:spacing w:before="176" w:line="220" w:lineRule="auto"/>
              <w:ind w:left="172"/>
              <w:rPr>
                <w:sz w:val="21"/>
                <w:szCs w:val="21"/>
              </w:rPr>
            </w:pPr>
            <w:r>
              <w:rPr>
                <w:spacing w:val="-2"/>
                <w:sz w:val="21"/>
                <w:szCs w:val="21"/>
              </w:rPr>
              <w:t>场界距离1m</w:t>
            </w:r>
          </w:p>
        </w:tc>
        <w:tc>
          <w:tcPr>
            <w:tcW w:w="1219" w:type="dxa"/>
            <w:vAlign w:val="top"/>
          </w:tcPr>
          <w:p w14:paraId="41EFCE95">
            <w:pPr>
              <w:pStyle w:val="6"/>
              <w:spacing w:before="196"/>
              <w:ind w:left="494"/>
              <w:rPr>
                <w:sz w:val="21"/>
                <w:szCs w:val="21"/>
              </w:rPr>
            </w:pPr>
            <w:r>
              <w:rPr>
                <w:spacing w:val="-3"/>
                <w:sz w:val="21"/>
                <w:szCs w:val="21"/>
              </w:rPr>
              <w:t>60</w:t>
            </w:r>
          </w:p>
        </w:tc>
        <w:tc>
          <w:tcPr>
            <w:tcW w:w="899" w:type="dxa"/>
            <w:vAlign w:val="top"/>
          </w:tcPr>
          <w:p w14:paraId="070ABD94">
            <w:pPr>
              <w:pStyle w:val="6"/>
              <w:spacing w:before="196"/>
              <w:ind w:left="334"/>
              <w:rPr>
                <w:sz w:val="21"/>
                <w:szCs w:val="21"/>
              </w:rPr>
            </w:pPr>
            <w:r>
              <w:rPr>
                <w:spacing w:val="-4"/>
                <w:sz w:val="21"/>
                <w:szCs w:val="21"/>
              </w:rPr>
              <w:t>50</w:t>
            </w:r>
          </w:p>
        </w:tc>
        <w:tc>
          <w:tcPr>
            <w:tcW w:w="719" w:type="dxa"/>
            <w:vAlign w:val="top"/>
          </w:tcPr>
          <w:p w14:paraId="1CCE7B58">
            <w:pPr>
              <w:pStyle w:val="6"/>
              <w:spacing w:before="196" w:line="239" w:lineRule="auto"/>
              <w:ind w:left="86"/>
              <w:rPr>
                <w:sz w:val="21"/>
                <w:szCs w:val="21"/>
              </w:rPr>
            </w:pPr>
            <w:r>
              <w:rPr>
                <w:spacing w:val="-2"/>
                <w:sz w:val="21"/>
                <w:szCs w:val="21"/>
              </w:rPr>
              <w:t>60.41</w:t>
            </w:r>
          </w:p>
        </w:tc>
        <w:tc>
          <w:tcPr>
            <w:tcW w:w="1179" w:type="dxa"/>
            <w:vAlign w:val="top"/>
          </w:tcPr>
          <w:p w14:paraId="56171229">
            <w:pPr>
              <w:pStyle w:val="6"/>
              <w:spacing w:before="196" w:line="239" w:lineRule="auto"/>
              <w:ind w:left="317"/>
              <w:rPr>
                <w:sz w:val="21"/>
                <w:szCs w:val="21"/>
              </w:rPr>
            </w:pPr>
            <w:r>
              <w:rPr>
                <w:spacing w:val="-4"/>
                <w:sz w:val="21"/>
                <w:szCs w:val="21"/>
              </w:rPr>
              <w:t>10.41</w:t>
            </w:r>
          </w:p>
        </w:tc>
        <w:tc>
          <w:tcPr>
            <w:tcW w:w="799" w:type="dxa"/>
            <w:vAlign w:val="top"/>
          </w:tcPr>
          <w:p w14:paraId="4C6E0836">
            <w:pPr>
              <w:pStyle w:val="6"/>
              <w:spacing w:before="196"/>
              <w:ind w:left="288"/>
              <w:rPr>
                <w:sz w:val="21"/>
                <w:szCs w:val="21"/>
              </w:rPr>
            </w:pPr>
            <w:r>
              <w:rPr>
                <w:spacing w:val="-4"/>
                <w:sz w:val="21"/>
                <w:szCs w:val="21"/>
              </w:rPr>
              <w:t>55</w:t>
            </w:r>
          </w:p>
        </w:tc>
        <w:tc>
          <w:tcPr>
            <w:tcW w:w="604" w:type="dxa"/>
            <w:vAlign w:val="top"/>
          </w:tcPr>
          <w:p w14:paraId="65FA22D0">
            <w:pPr>
              <w:pStyle w:val="6"/>
              <w:spacing w:before="176" w:line="220" w:lineRule="auto"/>
              <w:ind w:left="89"/>
              <w:rPr>
                <w:sz w:val="21"/>
                <w:szCs w:val="21"/>
              </w:rPr>
            </w:pPr>
            <w:r>
              <w:rPr>
                <w:spacing w:val="-2"/>
                <w:sz w:val="21"/>
                <w:szCs w:val="21"/>
              </w:rPr>
              <w:t>超标</w:t>
            </w:r>
          </w:p>
        </w:tc>
      </w:tr>
      <w:tr w14:paraId="620A2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34" w:type="dxa"/>
            <w:vMerge w:val="continue"/>
            <w:tcBorders>
              <w:top w:val="nil"/>
              <w:bottom w:val="nil"/>
            </w:tcBorders>
            <w:vAlign w:val="top"/>
          </w:tcPr>
          <w:p w14:paraId="1482B151">
            <w:pPr>
              <w:rPr>
                <w:rFonts w:ascii="Arial"/>
                <w:sz w:val="21"/>
              </w:rPr>
            </w:pPr>
          </w:p>
        </w:tc>
        <w:tc>
          <w:tcPr>
            <w:tcW w:w="250" w:type="dxa"/>
            <w:vAlign w:val="top"/>
          </w:tcPr>
          <w:p w14:paraId="5EE74FC3">
            <w:pPr>
              <w:pStyle w:val="6"/>
              <w:spacing w:before="76" w:line="188" w:lineRule="auto"/>
              <w:ind w:left="11"/>
              <w:rPr>
                <w:sz w:val="21"/>
                <w:szCs w:val="21"/>
              </w:rPr>
            </w:pPr>
            <w:r>
              <w:rPr>
                <w:spacing w:val="-6"/>
                <w:sz w:val="21"/>
                <w:szCs w:val="21"/>
              </w:rPr>
              <w:t>10</w:t>
            </w:r>
          </w:p>
        </w:tc>
        <w:tc>
          <w:tcPr>
            <w:tcW w:w="1229" w:type="dxa"/>
            <w:vAlign w:val="top"/>
          </w:tcPr>
          <w:p w14:paraId="09B39C8D">
            <w:pPr>
              <w:pStyle w:val="6"/>
              <w:spacing w:before="55" w:line="206" w:lineRule="auto"/>
              <w:ind w:left="181"/>
              <w:rPr>
                <w:sz w:val="21"/>
                <w:szCs w:val="21"/>
              </w:rPr>
            </w:pPr>
            <w:r>
              <w:rPr>
                <w:spacing w:val="3"/>
                <w:sz w:val="21"/>
                <w:szCs w:val="21"/>
              </w:rPr>
              <w:t>4#栗树园</w:t>
            </w:r>
          </w:p>
        </w:tc>
        <w:tc>
          <w:tcPr>
            <w:tcW w:w="1418" w:type="dxa"/>
            <w:vAlign w:val="top"/>
          </w:tcPr>
          <w:p w14:paraId="7AAF4A9B">
            <w:pPr>
              <w:pStyle w:val="6"/>
              <w:spacing w:before="55" w:line="206" w:lineRule="auto"/>
              <w:ind w:left="172"/>
              <w:rPr>
                <w:sz w:val="21"/>
                <w:szCs w:val="21"/>
              </w:rPr>
            </w:pPr>
            <w:r>
              <w:rPr>
                <w:spacing w:val="-2"/>
                <w:sz w:val="21"/>
                <w:szCs w:val="21"/>
              </w:rPr>
              <w:t>场界距离3m</w:t>
            </w:r>
          </w:p>
        </w:tc>
        <w:tc>
          <w:tcPr>
            <w:tcW w:w="1219" w:type="dxa"/>
            <w:vAlign w:val="top"/>
          </w:tcPr>
          <w:p w14:paraId="41DA4C68">
            <w:pPr>
              <w:pStyle w:val="6"/>
              <w:spacing w:before="76" w:line="188" w:lineRule="auto"/>
              <w:ind w:left="334"/>
              <w:rPr>
                <w:sz w:val="21"/>
                <w:szCs w:val="21"/>
              </w:rPr>
            </w:pPr>
            <w:r>
              <w:rPr>
                <w:spacing w:val="-2"/>
                <w:sz w:val="21"/>
                <w:szCs w:val="21"/>
              </w:rPr>
              <w:t>50.46</w:t>
            </w:r>
          </w:p>
        </w:tc>
        <w:tc>
          <w:tcPr>
            <w:tcW w:w="899" w:type="dxa"/>
            <w:vAlign w:val="top"/>
          </w:tcPr>
          <w:p w14:paraId="32732565">
            <w:pPr>
              <w:pStyle w:val="6"/>
              <w:spacing w:before="76" w:line="188" w:lineRule="auto"/>
              <w:ind w:left="334"/>
              <w:rPr>
                <w:sz w:val="21"/>
                <w:szCs w:val="21"/>
              </w:rPr>
            </w:pPr>
            <w:r>
              <w:rPr>
                <w:spacing w:val="-3"/>
                <w:sz w:val="21"/>
                <w:szCs w:val="21"/>
              </w:rPr>
              <w:t>66</w:t>
            </w:r>
          </w:p>
        </w:tc>
        <w:tc>
          <w:tcPr>
            <w:tcW w:w="719" w:type="dxa"/>
            <w:vAlign w:val="top"/>
          </w:tcPr>
          <w:p w14:paraId="3DE98704">
            <w:pPr>
              <w:pStyle w:val="6"/>
              <w:spacing w:before="76" w:line="188" w:lineRule="auto"/>
              <w:ind w:left="86"/>
              <w:rPr>
                <w:sz w:val="21"/>
                <w:szCs w:val="21"/>
              </w:rPr>
            </w:pPr>
            <w:r>
              <w:rPr>
                <w:spacing w:val="-2"/>
                <w:sz w:val="21"/>
                <w:szCs w:val="21"/>
              </w:rPr>
              <w:t>66.12</w:t>
            </w:r>
          </w:p>
        </w:tc>
        <w:tc>
          <w:tcPr>
            <w:tcW w:w="1179" w:type="dxa"/>
            <w:vAlign w:val="top"/>
          </w:tcPr>
          <w:p w14:paraId="48835FEA">
            <w:pPr>
              <w:pStyle w:val="6"/>
              <w:spacing w:before="76" w:line="188" w:lineRule="auto"/>
              <w:ind w:left="377"/>
              <w:rPr>
                <w:sz w:val="21"/>
                <w:szCs w:val="21"/>
              </w:rPr>
            </w:pPr>
            <w:r>
              <w:rPr>
                <w:spacing w:val="-2"/>
                <w:sz w:val="21"/>
                <w:szCs w:val="21"/>
              </w:rPr>
              <w:t>0.12</w:t>
            </w:r>
          </w:p>
        </w:tc>
        <w:tc>
          <w:tcPr>
            <w:tcW w:w="799" w:type="dxa"/>
            <w:vAlign w:val="top"/>
          </w:tcPr>
          <w:p w14:paraId="4F418C1C">
            <w:pPr>
              <w:pStyle w:val="6"/>
              <w:spacing w:before="76" w:line="188" w:lineRule="auto"/>
              <w:ind w:left="288"/>
              <w:rPr>
                <w:sz w:val="21"/>
                <w:szCs w:val="21"/>
              </w:rPr>
            </w:pPr>
            <w:r>
              <w:rPr>
                <w:spacing w:val="-4"/>
                <w:sz w:val="21"/>
                <w:szCs w:val="21"/>
              </w:rPr>
              <w:t>70</w:t>
            </w:r>
          </w:p>
        </w:tc>
        <w:tc>
          <w:tcPr>
            <w:tcW w:w="604" w:type="dxa"/>
            <w:vAlign w:val="top"/>
          </w:tcPr>
          <w:p w14:paraId="417179D3">
            <w:pPr>
              <w:pStyle w:val="6"/>
              <w:spacing w:before="55" w:line="206" w:lineRule="auto"/>
              <w:ind w:left="89"/>
              <w:rPr>
                <w:sz w:val="21"/>
                <w:szCs w:val="21"/>
              </w:rPr>
            </w:pPr>
            <w:r>
              <w:rPr>
                <w:spacing w:val="-2"/>
                <w:sz w:val="21"/>
                <w:szCs w:val="21"/>
              </w:rPr>
              <w:t>达标</w:t>
            </w:r>
          </w:p>
        </w:tc>
      </w:tr>
      <w:tr w14:paraId="00673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934" w:type="dxa"/>
            <w:vMerge w:val="continue"/>
            <w:tcBorders>
              <w:top w:val="nil"/>
              <w:bottom w:val="nil"/>
            </w:tcBorders>
            <w:vAlign w:val="top"/>
          </w:tcPr>
          <w:p w14:paraId="685C796B">
            <w:pPr>
              <w:rPr>
                <w:rFonts w:ascii="Arial"/>
                <w:sz w:val="21"/>
              </w:rPr>
            </w:pPr>
          </w:p>
        </w:tc>
        <w:tc>
          <w:tcPr>
            <w:tcW w:w="250" w:type="dxa"/>
            <w:vAlign w:val="top"/>
          </w:tcPr>
          <w:p w14:paraId="0821DCD8">
            <w:pPr>
              <w:spacing w:line="256" w:lineRule="auto"/>
              <w:rPr>
                <w:rFonts w:ascii="Arial"/>
                <w:sz w:val="21"/>
              </w:rPr>
            </w:pPr>
          </w:p>
          <w:p w14:paraId="6D64E063">
            <w:pPr>
              <w:pStyle w:val="6"/>
              <w:spacing w:before="68" w:line="241" w:lineRule="auto"/>
              <w:ind w:left="31"/>
              <w:rPr>
                <w:sz w:val="21"/>
                <w:szCs w:val="21"/>
              </w:rPr>
            </w:pPr>
            <w:r>
              <w:rPr>
                <w:spacing w:val="-6"/>
                <w:sz w:val="21"/>
                <w:szCs w:val="21"/>
              </w:rPr>
              <w:t>11</w:t>
            </w:r>
          </w:p>
        </w:tc>
        <w:tc>
          <w:tcPr>
            <w:tcW w:w="1229" w:type="dxa"/>
            <w:vAlign w:val="top"/>
          </w:tcPr>
          <w:p w14:paraId="5581F8D4">
            <w:pPr>
              <w:pStyle w:val="6"/>
              <w:spacing w:before="55" w:line="215" w:lineRule="auto"/>
              <w:ind w:left="81" w:right="51"/>
              <w:jc w:val="both"/>
              <w:rPr>
                <w:sz w:val="21"/>
                <w:szCs w:val="21"/>
              </w:rPr>
            </w:pPr>
            <w:r>
              <w:rPr>
                <w:spacing w:val="1"/>
                <w:sz w:val="21"/>
                <w:szCs w:val="21"/>
              </w:rPr>
              <w:t>5#栗树园村</w:t>
            </w:r>
            <w:r>
              <w:rPr>
                <w:spacing w:val="2"/>
                <w:sz w:val="21"/>
                <w:szCs w:val="21"/>
              </w:rPr>
              <w:t xml:space="preserve"> </w:t>
            </w:r>
            <w:r>
              <w:rPr>
                <w:spacing w:val="3"/>
                <w:sz w:val="21"/>
                <w:szCs w:val="21"/>
              </w:rPr>
              <w:t>散户3(田间</w:t>
            </w:r>
            <w:r>
              <w:rPr>
                <w:spacing w:val="1"/>
                <w:sz w:val="21"/>
                <w:szCs w:val="21"/>
              </w:rPr>
              <w:t xml:space="preserve"> </w:t>
            </w:r>
            <w:r>
              <w:rPr>
                <w:spacing w:val="28"/>
                <w:sz w:val="21"/>
                <w:szCs w:val="21"/>
              </w:rPr>
              <w:t>农户看地)</w:t>
            </w:r>
          </w:p>
        </w:tc>
        <w:tc>
          <w:tcPr>
            <w:tcW w:w="1418" w:type="dxa"/>
            <w:vAlign w:val="top"/>
          </w:tcPr>
          <w:p w14:paraId="7CF94E8B">
            <w:pPr>
              <w:pStyle w:val="6"/>
              <w:spacing w:before="306" w:line="220" w:lineRule="auto"/>
              <w:ind w:left="122"/>
              <w:rPr>
                <w:sz w:val="21"/>
                <w:szCs w:val="21"/>
              </w:rPr>
            </w:pPr>
            <w:r>
              <w:rPr>
                <w:spacing w:val="-1"/>
                <w:sz w:val="21"/>
                <w:szCs w:val="21"/>
              </w:rPr>
              <w:t>场界距离16m</w:t>
            </w:r>
          </w:p>
        </w:tc>
        <w:tc>
          <w:tcPr>
            <w:tcW w:w="1219" w:type="dxa"/>
            <w:vAlign w:val="top"/>
          </w:tcPr>
          <w:p w14:paraId="0E22B3E3">
            <w:pPr>
              <w:spacing w:line="256" w:lineRule="auto"/>
              <w:rPr>
                <w:rFonts w:ascii="Arial"/>
                <w:sz w:val="21"/>
              </w:rPr>
            </w:pPr>
          </w:p>
          <w:p w14:paraId="4588A9E0">
            <w:pPr>
              <w:pStyle w:val="6"/>
              <w:spacing w:before="68" w:line="239" w:lineRule="auto"/>
              <w:ind w:left="334"/>
              <w:rPr>
                <w:sz w:val="21"/>
                <w:szCs w:val="21"/>
              </w:rPr>
            </w:pPr>
            <w:r>
              <w:rPr>
                <w:spacing w:val="-2"/>
                <w:sz w:val="21"/>
                <w:szCs w:val="21"/>
              </w:rPr>
              <w:t>35.92</w:t>
            </w:r>
          </w:p>
        </w:tc>
        <w:tc>
          <w:tcPr>
            <w:tcW w:w="899" w:type="dxa"/>
            <w:vAlign w:val="top"/>
          </w:tcPr>
          <w:p w14:paraId="790E376E">
            <w:pPr>
              <w:spacing w:line="256" w:lineRule="auto"/>
              <w:rPr>
                <w:rFonts w:ascii="Arial"/>
                <w:sz w:val="21"/>
              </w:rPr>
            </w:pPr>
          </w:p>
          <w:p w14:paraId="57B34EFF">
            <w:pPr>
              <w:pStyle w:val="6"/>
              <w:spacing w:before="68"/>
              <w:ind w:left="334"/>
              <w:rPr>
                <w:sz w:val="21"/>
                <w:szCs w:val="21"/>
              </w:rPr>
            </w:pPr>
            <w:r>
              <w:rPr>
                <w:spacing w:val="-3"/>
                <w:sz w:val="21"/>
                <w:szCs w:val="21"/>
              </w:rPr>
              <w:t>68</w:t>
            </w:r>
          </w:p>
        </w:tc>
        <w:tc>
          <w:tcPr>
            <w:tcW w:w="719" w:type="dxa"/>
            <w:vAlign w:val="top"/>
          </w:tcPr>
          <w:p w14:paraId="0A1A7D7C">
            <w:pPr>
              <w:spacing w:line="256" w:lineRule="auto"/>
              <w:rPr>
                <w:rFonts w:ascii="Arial"/>
                <w:sz w:val="21"/>
              </w:rPr>
            </w:pPr>
          </w:p>
          <w:p w14:paraId="0E4DE46B">
            <w:pPr>
              <w:pStyle w:val="6"/>
              <w:spacing w:before="68"/>
              <w:ind w:left="245"/>
              <w:rPr>
                <w:sz w:val="21"/>
                <w:szCs w:val="21"/>
              </w:rPr>
            </w:pPr>
            <w:r>
              <w:rPr>
                <w:spacing w:val="-3"/>
                <w:sz w:val="21"/>
                <w:szCs w:val="21"/>
              </w:rPr>
              <w:t>68</w:t>
            </w:r>
          </w:p>
        </w:tc>
        <w:tc>
          <w:tcPr>
            <w:tcW w:w="1179" w:type="dxa"/>
            <w:vAlign w:val="top"/>
          </w:tcPr>
          <w:p w14:paraId="57A8DE2F">
            <w:pPr>
              <w:spacing w:line="256" w:lineRule="auto"/>
              <w:rPr>
                <w:rFonts w:ascii="Arial"/>
                <w:sz w:val="21"/>
              </w:rPr>
            </w:pPr>
          </w:p>
          <w:p w14:paraId="38B90D28">
            <w:pPr>
              <w:pStyle w:val="6"/>
              <w:spacing w:before="68"/>
              <w:ind w:left="527"/>
              <w:rPr>
                <w:sz w:val="21"/>
                <w:szCs w:val="21"/>
              </w:rPr>
            </w:pPr>
            <w:r>
              <w:rPr>
                <w:sz w:val="21"/>
                <w:szCs w:val="21"/>
              </w:rPr>
              <w:t>0</w:t>
            </w:r>
          </w:p>
        </w:tc>
        <w:tc>
          <w:tcPr>
            <w:tcW w:w="799" w:type="dxa"/>
            <w:vAlign w:val="top"/>
          </w:tcPr>
          <w:p w14:paraId="4614093D">
            <w:pPr>
              <w:spacing w:line="256" w:lineRule="auto"/>
              <w:rPr>
                <w:rFonts w:ascii="Arial"/>
                <w:sz w:val="21"/>
              </w:rPr>
            </w:pPr>
          </w:p>
          <w:p w14:paraId="7E5CFE06">
            <w:pPr>
              <w:pStyle w:val="6"/>
              <w:spacing w:before="68"/>
              <w:ind w:left="288"/>
              <w:rPr>
                <w:sz w:val="21"/>
                <w:szCs w:val="21"/>
              </w:rPr>
            </w:pPr>
            <w:r>
              <w:rPr>
                <w:spacing w:val="-4"/>
                <w:sz w:val="21"/>
                <w:szCs w:val="21"/>
              </w:rPr>
              <w:t>70</w:t>
            </w:r>
          </w:p>
        </w:tc>
        <w:tc>
          <w:tcPr>
            <w:tcW w:w="604" w:type="dxa"/>
            <w:vAlign w:val="top"/>
          </w:tcPr>
          <w:p w14:paraId="255C5B69">
            <w:pPr>
              <w:pStyle w:val="6"/>
              <w:spacing w:before="306" w:line="220" w:lineRule="auto"/>
              <w:ind w:left="89"/>
              <w:rPr>
                <w:sz w:val="21"/>
                <w:szCs w:val="21"/>
              </w:rPr>
            </w:pPr>
            <w:r>
              <w:rPr>
                <w:spacing w:val="-2"/>
                <w:sz w:val="21"/>
                <w:szCs w:val="21"/>
              </w:rPr>
              <w:t>达标</w:t>
            </w:r>
          </w:p>
        </w:tc>
      </w:tr>
      <w:tr w14:paraId="6D97B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34" w:type="dxa"/>
            <w:vMerge w:val="continue"/>
            <w:tcBorders>
              <w:top w:val="nil"/>
              <w:bottom w:val="nil"/>
            </w:tcBorders>
            <w:vAlign w:val="top"/>
          </w:tcPr>
          <w:p w14:paraId="42E836AA">
            <w:pPr>
              <w:rPr>
                <w:rFonts w:ascii="Arial"/>
                <w:sz w:val="21"/>
              </w:rPr>
            </w:pPr>
          </w:p>
        </w:tc>
        <w:tc>
          <w:tcPr>
            <w:tcW w:w="250" w:type="dxa"/>
            <w:vAlign w:val="top"/>
          </w:tcPr>
          <w:p w14:paraId="056B5C07">
            <w:pPr>
              <w:pStyle w:val="6"/>
              <w:spacing w:before="87" w:line="196" w:lineRule="auto"/>
              <w:ind w:left="21"/>
              <w:rPr>
                <w:sz w:val="21"/>
                <w:szCs w:val="21"/>
              </w:rPr>
            </w:pPr>
            <w:r>
              <w:rPr>
                <w:spacing w:val="-6"/>
                <w:sz w:val="21"/>
                <w:szCs w:val="21"/>
              </w:rPr>
              <w:t>12</w:t>
            </w:r>
          </w:p>
        </w:tc>
        <w:tc>
          <w:tcPr>
            <w:tcW w:w="1229" w:type="dxa"/>
            <w:vAlign w:val="top"/>
          </w:tcPr>
          <w:p w14:paraId="37053B0C">
            <w:pPr>
              <w:pStyle w:val="6"/>
              <w:spacing w:before="66" w:line="214" w:lineRule="auto"/>
              <w:ind w:left="81"/>
              <w:rPr>
                <w:sz w:val="21"/>
                <w:szCs w:val="21"/>
              </w:rPr>
            </w:pPr>
            <w:r>
              <w:rPr>
                <w:spacing w:val="-2"/>
                <w:sz w:val="21"/>
                <w:szCs w:val="21"/>
              </w:rPr>
              <w:t>6#大莫古镇</w:t>
            </w:r>
          </w:p>
        </w:tc>
        <w:tc>
          <w:tcPr>
            <w:tcW w:w="1418" w:type="dxa"/>
            <w:vAlign w:val="top"/>
          </w:tcPr>
          <w:p w14:paraId="4C5ED166">
            <w:pPr>
              <w:pStyle w:val="6"/>
              <w:spacing w:before="67" w:line="213" w:lineRule="auto"/>
              <w:ind w:left="122"/>
              <w:rPr>
                <w:sz w:val="21"/>
                <w:szCs w:val="21"/>
              </w:rPr>
            </w:pPr>
            <w:r>
              <w:rPr>
                <w:spacing w:val="-1"/>
                <w:sz w:val="21"/>
                <w:szCs w:val="21"/>
              </w:rPr>
              <w:t>场界距离38m</w:t>
            </w:r>
          </w:p>
        </w:tc>
        <w:tc>
          <w:tcPr>
            <w:tcW w:w="1219" w:type="dxa"/>
            <w:vAlign w:val="top"/>
          </w:tcPr>
          <w:p w14:paraId="5E11E3CF">
            <w:pPr>
              <w:pStyle w:val="6"/>
              <w:spacing w:before="87" w:line="196" w:lineRule="auto"/>
              <w:ind w:left="394"/>
              <w:rPr>
                <w:sz w:val="21"/>
                <w:szCs w:val="21"/>
              </w:rPr>
            </w:pPr>
            <w:r>
              <w:rPr>
                <w:spacing w:val="-3"/>
                <w:sz w:val="21"/>
                <w:szCs w:val="21"/>
              </w:rPr>
              <w:t>28.4</w:t>
            </w:r>
          </w:p>
        </w:tc>
        <w:tc>
          <w:tcPr>
            <w:tcW w:w="899" w:type="dxa"/>
            <w:vAlign w:val="top"/>
          </w:tcPr>
          <w:p w14:paraId="1D06A92D">
            <w:pPr>
              <w:pStyle w:val="6"/>
              <w:spacing w:before="87" w:line="196" w:lineRule="auto"/>
              <w:ind w:left="334"/>
              <w:rPr>
                <w:sz w:val="21"/>
                <w:szCs w:val="21"/>
              </w:rPr>
            </w:pPr>
            <w:r>
              <w:rPr>
                <w:spacing w:val="-4"/>
                <w:sz w:val="21"/>
                <w:szCs w:val="21"/>
              </w:rPr>
              <w:t>54</w:t>
            </w:r>
          </w:p>
        </w:tc>
        <w:tc>
          <w:tcPr>
            <w:tcW w:w="719" w:type="dxa"/>
            <w:vAlign w:val="top"/>
          </w:tcPr>
          <w:p w14:paraId="7BE3876C">
            <w:pPr>
              <w:pStyle w:val="6"/>
              <w:spacing w:before="87" w:line="196" w:lineRule="auto"/>
              <w:ind w:left="86"/>
              <w:rPr>
                <w:sz w:val="21"/>
                <w:szCs w:val="21"/>
              </w:rPr>
            </w:pPr>
            <w:r>
              <w:rPr>
                <w:spacing w:val="-2"/>
                <w:sz w:val="21"/>
                <w:szCs w:val="21"/>
              </w:rPr>
              <w:t>54.01</w:t>
            </w:r>
          </w:p>
        </w:tc>
        <w:tc>
          <w:tcPr>
            <w:tcW w:w="1179" w:type="dxa"/>
            <w:vAlign w:val="top"/>
          </w:tcPr>
          <w:p w14:paraId="1CD0C829">
            <w:pPr>
              <w:pStyle w:val="6"/>
              <w:spacing w:before="87" w:line="196" w:lineRule="auto"/>
              <w:ind w:left="377"/>
              <w:rPr>
                <w:sz w:val="21"/>
                <w:szCs w:val="21"/>
              </w:rPr>
            </w:pPr>
            <w:r>
              <w:rPr>
                <w:spacing w:val="-2"/>
                <w:sz w:val="21"/>
                <w:szCs w:val="21"/>
              </w:rPr>
              <w:t>0.01</w:t>
            </w:r>
          </w:p>
        </w:tc>
        <w:tc>
          <w:tcPr>
            <w:tcW w:w="799" w:type="dxa"/>
            <w:vAlign w:val="top"/>
          </w:tcPr>
          <w:p w14:paraId="7E058C82">
            <w:pPr>
              <w:pStyle w:val="6"/>
              <w:spacing w:before="87" w:line="196" w:lineRule="auto"/>
              <w:ind w:left="288"/>
              <w:rPr>
                <w:sz w:val="21"/>
                <w:szCs w:val="21"/>
              </w:rPr>
            </w:pPr>
            <w:r>
              <w:rPr>
                <w:spacing w:val="-4"/>
                <w:sz w:val="21"/>
                <w:szCs w:val="21"/>
              </w:rPr>
              <w:t>70</w:t>
            </w:r>
          </w:p>
        </w:tc>
        <w:tc>
          <w:tcPr>
            <w:tcW w:w="604" w:type="dxa"/>
            <w:vAlign w:val="top"/>
          </w:tcPr>
          <w:p w14:paraId="29C40102">
            <w:pPr>
              <w:pStyle w:val="6"/>
              <w:spacing w:before="67" w:line="213" w:lineRule="auto"/>
              <w:ind w:left="89"/>
              <w:rPr>
                <w:sz w:val="21"/>
                <w:szCs w:val="21"/>
              </w:rPr>
            </w:pPr>
            <w:r>
              <w:rPr>
                <w:spacing w:val="-2"/>
                <w:sz w:val="21"/>
                <w:szCs w:val="21"/>
              </w:rPr>
              <w:t>达标</w:t>
            </w:r>
          </w:p>
        </w:tc>
      </w:tr>
      <w:tr w14:paraId="3B738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934" w:type="dxa"/>
            <w:vMerge w:val="continue"/>
            <w:tcBorders>
              <w:top w:val="nil"/>
              <w:bottom w:val="nil"/>
            </w:tcBorders>
            <w:vAlign w:val="top"/>
          </w:tcPr>
          <w:p w14:paraId="52F63672">
            <w:pPr>
              <w:rPr>
                <w:rFonts w:ascii="Arial"/>
                <w:sz w:val="21"/>
              </w:rPr>
            </w:pPr>
          </w:p>
        </w:tc>
        <w:tc>
          <w:tcPr>
            <w:tcW w:w="250" w:type="dxa"/>
            <w:vAlign w:val="top"/>
          </w:tcPr>
          <w:p w14:paraId="08CC0027">
            <w:pPr>
              <w:pStyle w:val="6"/>
              <w:spacing w:before="307"/>
              <w:ind w:left="21"/>
              <w:rPr>
                <w:sz w:val="21"/>
                <w:szCs w:val="21"/>
              </w:rPr>
            </w:pPr>
            <w:r>
              <w:rPr>
                <w:spacing w:val="-6"/>
                <w:sz w:val="21"/>
                <w:szCs w:val="21"/>
              </w:rPr>
              <w:t>13</w:t>
            </w:r>
          </w:p>
        </w:tc>
        <w:tc>
          <w:tcPr>
            <w:tcW w:w="1229" w:type="dxa"/>
            <w:vAlign w:val="top"/>
          </w:tcPr>
          <w:p w14:paraId="1C35D9A7">
            <w:pPr>
              <w:pStyle w:val="6"/>
              <w:spacing w:before="35" w:line="219" w:lineRule="auto"/>
              <w:ind w:left="81"/>
              <w:rPr>
                <w:sz w:val="21"/>
                <w:szCs w:val="21"/>
              </w:rPr>
            </w:pPr>
            <w:r>
              <w:rPr>
                <w:spacing w:val="1"/>
                <w:sz w:val="21"/>
                <w:szCs w:val="21"/>
              </w:rPr>
              <w:t>7#栗树园村</w:t>
            </w:r>
          </w:p>
          <w:p w14:paraId="2D5B23E0">
            <w:pPr>
              <w:pStyle w:val="6"/>
              <w:spacing w:before="21" w:line="199" w:lineRule="auto"/>
              <w:ind w:left="131" w:right="67" w:hanging="50"/>
              <w:rPr>
                <w:sz w:val="21"/>
                <w:szCs w:val="21"/>
              </w:rPr>
            </w:pPr>
            <w:r>
              <w:rPr>
                <w:spacing w:val="3"/>
                <w:sz w:val="21"/>
                <w:szCs w:val="21"/>
              </w:rPr>
              <w:t>散户4(田间</w:t>
            </w:r>
            <w:r>
              <w:rPr>
                <w:spacing w:val="1"/>
                <w:sz w:val="21"/>
                <w:szCs w:val="21"/>
              </w:rPr>
              <w:t xml:space="preserve"> </w:t>
            </w:r>
            <w:r>
              <w:rPr>
                <w:spacing w:val="8"/>
                <w:sz w:val="21"/>
                <w:szCs w:val="21"/>
              </w:rPr>
              <w:t>农户看地)</w:t>
            </w:r>
          </w:p>
        </w:tc>
        <w:tc>
          <w:tcPr>
            <w:tcW w:w="1418" w:type="dxa"/>
            <w:vAlign w:val="top"/>
          </w:tcPr>
          <w:p w14:paraId="4F5817E2">
            <w:pPr>
              <w:pStyle w:val="6"/>
              <w:spacing w:before="287" w:line="220" w:lineRule="auto"/>
              <w:ind w:left="172"/>
              <w:rPr>
                <w:sz w:val="21"/>
                <w:szCs w:val="21"/>
              </w:rPr>
            </w:pPr>
            <w:r>
              <w:rPr>
                <w:spacing w:val="-2"/>
                <w:sz w:val="21"/>
                <w:szCs w:val="21"/>
              </w:rPr>
              <w:t>场界距离1m</w:t>
            </w:r>
          </w:p>
        </w:tc>
        <w:tc>
          <w:tcPr>
            <w:tcW w:w="1219" w:type="dxa"/>
            <w:vAlign w:val="top"/>
          </w:tcPr>
          <w:p w14:paraId="51E19794">
            <w:pPr>
              <w:pStyle w:val="6"/>
              <w:spacing w:before="307"/>
              <w:ind w:left="494"/>
              <w:rPr>
                <w:sz w:val="21"/>
                <w:szCs w:val="21"/>
              </w:rPr>
            </w:pPr>
            <w:r>
              <w:rPr>
                <w:spacing w:val="-3"/>
                <w:sz w:val="21"/>
                <w:szCs w:val="21"/>
              </w:rPr>
              <w:t>60</w:t>
            </w:r>
          </w:p>
        </w:tc>
        <w:tc>
          <w:tcPr>
            <w:tcW w:w="899" w:type="dxa"/>
            <w:vAlign w:val="top"/>
          </w:tcPr>
          <w:p w14:paraId="6904016A">
            <w:pPr>
              <w:pStyle w:val="6"/>
              <w:spacing w:before="307"/>
              <w:ind w:left="334"/>
              <w:rPr>
                <w:sz w:val="21"/>
                <w:szCs w:val="21"/>
              </w:rPr>
            </w:pPr>
            <w:r>
              <w:rPr>
                <w:spacing w:val="-4"/>
                <w:sz w:val="21"/>
                <w:szCs w:val="21"/>
              </w:rPr>
              <w:t>54</w:t>
            </w:r>
          </w:p>
        </w:tc>
        <w:tc>
          <w:tcPr>
            <w:tcW w:w="719" w:type="dxa"/>
            <w:vAlign w:val="top"/>
          </w:tcPr>
          <w:p w14:paraId="72DF7A1B">
            <w:pPr>
              <w:pStyle w:val="6"/>
              <w:spacing w:before="307" w:line="239" w:lineRule="auto"/>
              <w:ind w:left="86"/>
              <w:rPr>
                <w:sz w:val="21"/>
                <w:szCs w:val="21"/>
              </w:rPr>
            </w:pPr>
            <w:r>
              <w:rPr>
                <w:spacing w:val="-2"/>
                <w:sz w:val="21"/>
                <w:szCs w:val="21"/>
              </w:rPr>
              <w:t>60.97</w:t>
            </w:r>
          </w:p>
        </w:tc>
        <w:tc>
          <w:tcPr>
            <w:tcW w:w="1179" w:type="dxa"/>
            <w:vAlign w:val="top"/>
          </w:tcPr>
          <w:p w14:paraId="094E0725">
            <w:pPr>
              <w:pStyle w:val="6"/>
              <w:spacing w:before="307" w:line="239" w:lineRule="auto"/>
              <w:ind w:left="377"/>
              <w:rPr>
                <w:sz w:val="21"/>
                <w:szCs w:val="21"/>
              </w:rPr>
            </w:pPr>
            <w:r>
              <w:rPr>
                <w:spacing w:val="-2"/>
                <w:sz w:val="21"/>
                <w:szCs w:val="21"/>
              </w:rPr>
              <w:t>6.97</w:t>
            </w:r>
          </w:p>
        </w:tc>
        <w:tc>
          <w:tcPr>
            <w:tcW w:w="799" w:type="dxa"/>
            <w:vAlign w:val="top"/>
          </w:tcPr>
          <w:p w14:paraId="547DD487">
            <w:pPr>
              <w:pStyle w:val="6"/>
              <w:spacing w:before="307"/>
              <w:ind w:left="288"/>
              <w:rPr>
                <w:sz w:val="21"/>
                <w:szCs w:val="21"/>
              </w:rPr>
            </w:pPr>
            <w:r>
              <w:rPr>
                <w:spacing w:val="-4"/>
                <w:sz w:val="21"/>
                <w:szCs w:val="21"/>
              </w:rPr>
              <w:t>70</w:t>
            </w:r>
          </w:p>
        </w:tc>
        <w:tc>
          <w:tcPr>
            <w:tcW w:w="604" w:type="dxa"/>
            <w:vAlign w:val="top"/>
          </w:tcPr>
          <w:p w14:paraId="7B43142E">
            <w:pPr>
              <w:pStyle w:val="6"/>
              <w:spacing w:before="287" w:line="220" w:lineRule="auto"/>
              <w:ind w:left="89"/>
              <w:rPr>
                <w:sz w:val="21"/>
                <w:szCs w:val="21"/>
              </w:rPr>
            </w:pPr>
            <w:r>
              <w:rPr>
                <w:spacing w:val="-2"/>
                <w:sz w:val="21"/>
                <w:szCs w:val="21"/>
              </w:rPr>
              <w:t>达标</w:t>
            </w:r>
          </w:p>
        </w:tc>
      </w:tr>
      <w:tr w14:paraId="7126F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4" w:type="dxa"/>
            <w:vMerge w:val="continue"/>
            <w:tcBorders>
              <w:top w:val="nil"/>
              <w:bottom w:val="nil"/>
            </w:tcBorders>
            <w:vAlign w:val="top"/>
          </w:tcPr>
          <w:p w14:paraId="20FAD236">
            <w:pPr>
              <w:rPr>
                <w:rFonts w:ascii="Arial"/>
                <w:sz w:val="21"/>
              </w:rPr>
            </w:pPr>
          </w:p>
        </w:tc>
        <w:tc>
          <w:tcPr>
            <w:tcW w:w="250" w:type="dxa"/>
            <w:vAlign w:val="top"/>
          </w:tcPr>
          <w:p w14:paraId="281882C4">
            <w:pPr>
              <w:pStyle w:val="6"/>
              <w:spacing w:before="198" w:line="241" w:lineRule="auto"/>
              <w:ind w:left="31"/>
              <w:rPr>
                <w:sz w:val="21"/>
                <w:szCs w:val="21"/>
              </w:rPr>
            </w:pPr>
            <w:r>
              <w:rPr>
                <w:spacing w:val="-6"/>
                <w:sz w:val="21"/>
                <w:szCs w:val="21"/>
              </w:rPr>
              <w:t>14</w:t>
            </w:r>
          </w:p>
        </w:tc>
        <w:tc>
          <w:tcPr>
            <w:tcW w:w="1229" w:type="dxa"/>
            <w:vAlign w:val="top"/>
          </w:tcPr>
          <w:p w14:paraId="3BB1A67D">
            <w:pPr>
              <w:pStyle w:val="6"/>
              <w:spacing w:before="47" w:line="212" w:lineRule="auto"/>
              <w:ind w:left="391" w:right="96" w:hanging="310"/>
              <w:rPr>
                <w:sz w:val="21"/>
                <w:szCs w:val="21"/>
              </w:rPr>
            </w:pPr>
            <w:r>
              <w:rPr>
                <w:spacing w:val="-2"/>
                <w:sz w:val="21"/>
                <w:szCs w:val="21"/>
              </w:rPr>
              <w:t>8#发峨哨村</w:t>
            </w:r>
            <w:r>
              <w:rPr>
                <w:spacing w:val="1"/>
                <w:sz w:val="21"/>
                <w:szCs w:val="21"/>
              </w:rPr>
              <w:t xml:space="preserve"> </w:t>
            </w:r>
            <w:r>
              <w:rPr>
                <w:spacing w:val="14"/>
                <w:sz w:val="21"/>
                <w:szCs w:val="21"/>
              </w:rPr>
              <w:t>散户</w:t>
            </w:r>
          </w:p>
        </w:tc>
        <w:tc>
          <w:tcPr>
            <w:tcW w:w="1418" w:type="dxa"/>
            <w:vAlign w:val="top"/>
          </w:tcPr>
          <w:p w14:paraId="7E417370">
            <w:pPr>
              <w:pStyle w:val="6"/>
              <w:spacing w:before="178" w:line="220" w:lineRule="auto"/>
              <w:ind w:left="122"/>
              <w:rPr>
                <w:sz w:val="21"/>
                <w:szCs w:val="21"/>
              </w:rPr>
            </w:pPr>
            <w:r>
              <w:rPr>
                <w:spacing w:val="-1"/>
                <w:sz w:val="21"/>
                <w:szCs w:val="21"/>
              </w:rPr>
              <w:t>场界距离38m</w:t>
            </w:r>
          </w:p>
        </w:tc>
        <w:tc>
          <w:tcPr>
            <w:tcW w:w="1219" w:type="dxa"/>
            <w:vAlign w:val="top"/>
          </w:tcPr>
          <w:p w14:paraId="726854F3">
            <w:pPr>
              <w:pStyle w:val="6"/>
              <w:spacing w:before="198" w:line="239" w:lineRule="auto"/>
              <w:ind w:left="394"/>
              <w:rPr>
                <w:sz w:val="21"/>
                <w:szCs w:val="21"/>
              </w:rPr>
            </w:pPr>
            <w:r>
              <w:rPr>
                <w:spacing w:val="-3"/>
                <w:sz w:val="21"/>
                <w:szCs w:val="21"/>
              </w:rPr>
              <w:t>28.4</w:t>
            </w:r>
          </w:p>
        </w:tc>
        <w:tc>
          <w:tcPr>
            <w:tcW w:w="899" w:type="dxa"/>
            <w:vAlign w:val="top"/>
          </w:tcPr>
          <w:p w14:paraId="4CC70AC6">
            <w:pPr>
              <w:pStyle w:val="6"/>
              <w:spacing w:before="198"/>
              <w:ind w:left="334"/>
              <w:rPr>
                <w:sz w:val="21"/>
                <w:szCs w:val="21"/>
              </w:rPr>
            </w:pPr>
            <w:r>
              <w:rPr>
                <w:spacing w:val="-2"/>
                <w:sz w:val="21"/>
                <w:szCs w:val="21"/>
              </w:rPr>
              <w:t>43</w:t>
            </w:r>
          </w:p>
        </w:tc>
        <w:tc>
          <w:tcPr>
            <w:tcW w:w="719" w:type="dxa"/>
            <w:vAlign w:val="top"/>
          </w:tcPr>
          <w:p w14:paraId="13F663B9">
            <w:pPr>
              <w:pStyle w:val="6"/>
              <w:spacing w:before="198"/>
              <w:ind w:left="146"/>
              <w:rPr>
                <w:sz w:val="21"/>
                <w:szCs w:val="21"/>
              </w:rPr>
            </w:pPr>
            <w:r>
              <w:rPr>
                <w:spacing w:val="-2"/>
                <w:sz w:val="21"/>
                <w:szCs w:val="21"/>
              </w:rPr>
              <w:t>4315</w:t>
            </w:r>
          </w:p>
        </w:tc>
        <w:tc>
          <w:tcPr>
            <w:tcW w:w="1179" w:type="dxa"/>
            <w:vAlign w:val="top"/>
          </w:tcPr>
          <w:p w14:paraId="6A78C1AC">
            <w:pPr>
              <w:pStyle w:val="6"/>
              <w:spacing w:before="198"/>
              <w:ind w:left="377"/>
              <w:rPr>
                <w:sz w:val="21"/>
                <w:szCs w:val="21"/>
              </w:rPr>
            </w:pPr>
            <w:r>
              <w:rPr>
                <w:spacing w:val="-2"/>
                <w:sz w:val="21"/>
                <w:szCs w:val="21"/>
              </w:rPr>
              <w:t>4272</w:t>
            </w:r>
          </w:p>
        </w:tc>
        <w:tc>
          <w:tcPr>
            <w:tcW w:w="799" w:type="dxa"/>
            <w:vAlign w:val="top"/>
          </w:tcPr>
          <w:p w14:paraId="1631E9C9">
            <w:pPr>
              <w:pStyle w:val="6"/>
              <w:spacing w:before="198"/>
              <w:ind w:left="288"/>
              <w:rPr>
                <w:sz w:val="21"/>
                <w:szCs w:val="21"/>
              </w:rPr>
            </w:pPr>
            <w:r>
              <w:rPr>
                <w:spacing w:val="-4"/>
                <w:sz w:val="21"/>
                <w:szCs w:val="21"/>
              </w:rPr>
              <w:t>55</w:t>
            </w:r>
          </w:p>
        </w:tc>
        <w:tc>
          <w:tcPr>
            <w:tcW w:w="604" w:type="dxa"/>
            <w:vAlign w:val="top"/>
          </w:tcPr>
          <w:p w14:paraId="0FCF0EE0">
            <w:pPr>
              <w:pStyle w:val="6"/>
              <w:spacing w:before="178" w:line="220" w:lineRule="auto"/>
              <w:ind w:left="89"/>
              <w:rPr>
                <w:sz w:val="21"/>
                <w:szCs w:val="21"/>
              </w:rPr>
            </w:pPr>
            <w:r>
              <w:rPr>
                <w:spacing w:val="-2"/>
                <w:sz w:val="21"/>
                <w:szCs w:val="21"/>
              </w:rPr>
              <w:t>达标</w:t>
            </w:r>
          </w:p>
        </w:tc>
      </w:tr>
      <w:tr w14:paraId="4DDF0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34" w:type="dxa"/>
            <w:vMerge w:val="continue"/>
            <w:tcBorders>
              <w:top w:val="nil"/>
              <w:bottom w:val="nil"/>
            </w:tcBorders>
            <w:vAlign w:val="top"/>
          </w:tcPr>
          <w:p w14:paraId="52AA9AD2">
            <w:pPr>
              <w:rPr>
                <w:rFonts w:ascii="Arial"/>
                <w:sz w:val="21"/>
              </w:rPr>
            </w:pPr>
          </w:p>
        </w:tc>
        <w:tc>
          <w:tcPr>
            <w:tcW w:w="8316" w:type="dxa"/>
            <w:gridSpan w:val="9"/>
            <w:vAlign w:val="top"/>
          </w:tcPr>
          <w:p w14:paraId="7C086E1F">
            <w:pPr>
              <w:pStyle w:val="6"/>
              <w:spacing w:before="64" w:line="216" w:lineRule="auto"/>
              <w:ind w:left="3934"/>
              <w:rPr>
                <w:sz w:val="21"/>
                <w:szCs w:val="21"/>
              </w:rPr>
            </w:pPr>
            <w:r>
              <w:rPr>
                <w:b/>
                <w:bCs/>
                <w:spacing w:val="5"/>
                <w:sz w:val="21"/>
                <w:szCs w:val="21"/>
              </w:rPr>
              <w:t>夜间</w:t>
            </w:r>
          </w:p>
        </w:tc>
      </w:tr>
      <w:tr w14:paraId="413DC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934" w:type="dxa"/>
            <w:vMerge w:val="continue"/>
            <w:tcBorders>
              <w:top w:val="nil"/>
              <w:bottom w:val="nil"/>
            </w:tcBorders>
            <w:vAlign w:val="top"/>
          </w:tcPr>
          <w:p w14:paraId="39C1D59C">
            <w:pPr>
              <w:rPr>
                <w:rFonts w:ascii="Arial"/>
                <w:sz w:val="21"/>
              </w:rPr>
            </w:pPr>
          </w:p>
        </w:tc>
        <w:tc>
          <w:tcPr>
            <w:tcW w:w="250" w:type="dxa"/>
            <w:vAlign w:val="top"/>
          </w:tcPr>
          <w:p w14:paraId="48906FAD">
            <w:pPr>
              <w:pStyle w:val="6"/>
              <w:spacing w:before="198" w:line="241" w:lineRule="auto"/>
              <w:ind w:right="4"/>
              <w:jc w:val="right"/>
              <w:rPr>
                <w:sz w:val="21"/>
                <w:szCs w:val="21"/>
              </w:rPr>
            </w:pPr>
            <w:r>
              <w:rPr>
                <w:sz w:val="21"/>
                <w:szCs w:val="21"/>
              </w:rPr>
              <w:t>1</w:t>
            </w:r>
          </w:p>
        </w:tc>
        <w:tc>
          <w:tcPr>
            <w:tcW w:w="1229" w:type="dxa"/>
            <w:vAlign w:val="top"/>
          </w:tcPr>
          <w:p w14:paraId="0952235B">
            <w:pPr>
              <w:pStyle w:val="6"/>
              <w:spacing w:before="38" w:line="216" w:lineRule="auto"/>
              <w:ind w:left="500" w:right="70" w:hanging="419"/>
              <w:rPr>
                <w:sz w:val="21"/>
                <w:szCs w:val="21"/>
              </w:rPr>
            </w:pPr>
            <w:r>
              <w:rPr>
                <w:spacing w:val="2"/>
                <w:sz w:val="21"/>
                <w:szCs w:val="21"/>
              </w:rPr>
              <w:t>1#发峨哨小</w:t>
            </w:r>
            <w:r>
              <w:rPr>
                <w:spacing w:val="4"/>
                <w:sz w:val="21"/>
                <w:szCs w:val="21"/>
              </w:rPr>
              <w:t xml:space="preserve"> </w:t>
            </w:r>
            <w:r>
              <w:rPr>
                <w:sz w:val="21"/>
                <w:szCs w:val="21"/>
              </w:rPr>
              <w:t>学</w:t>
            </w:r>
          </w:p>
        </w:tc>
        <w:tc>
          <w:tcPr>
            <w:tcW w:w="1418" w:type="dxa"/>
            <w:vAlign w:val="top"/>
          </w:tcPr>
          <w:p w14:paraId="4AE410B3">
            <w:pPr>
              <w:pStyle w:val="6"/>
              <w:spacing w:before="178" w:line="220" w:lineRule="auto"/>
              <w:ind w:left="122"/>
              <w:rPr>
                <w:sz w:val="21"/>
                <w:szCs w:val="21"/>
              </w:rPr>
            </w:pPr>
            <w:r>
              <w:rPr>
                <w:spacing w:val="-1"/>
                <w:sz w:val="21"/>
                <w:szCs w:val="21"/>
              </w:rPr>
              <w:t>场界距离50m</w:t>
            </w:r>
          </w:p>
        </w:tc>
        <w:tc>
          <w:tcPr>
            <w:tcW w:w="1219" w:type="dxa"/>
            <w:vAlign w:val="top"/>
          </w:tcPr>
          <w:p w14:paraId="209A6595">
            <w:pPr>
              <w:pStyle w:val="6"/>
              <w:spacing w:before="198" w:line="239" w:lineRule="auto"/>
              <w:ind w:left="334"/>
              <w:rPr>
                <w:sz w:val="21"/>
                <w:szCs w:val="21"/>
              </w:rPr>
            </w:pPr>
            <w:r>
              <w:rPr>
                <w:spacing w:val="-2"/>
                <w:sz w:val="21"/>
                <w:szCs w:val="21"/>
              </w:rPr>
              <w:t>26.02</w:t>
            </w:r>
          </w:p>
        </w:tc>
        <w:tc>
          <w:tcPr>
            <w:tcW w:w="899" w:type="dxa"/>
            <w:vAlign w:val="top"/>
          </w:tcPr>
          <w:p w14:paraId="3EA49771">
            <w:pPr>
              <w:pStyle w:val="6"/>
              <w:spacing w:before="198" w:line="241" w:lineRule="auto"/>
              <w:ind w:left="334"/>
              <w:rPr>
                <w:sz w:val="21"/>
                <w:szCs w:val="21"/>
              </w:rPr>
            </w:pPr>
            <w:r>
              <w:rPr>
                <w:spacing w:val="-2"/>
                <w:sz w:val="21"/>
                <w:szCs w:val="21"/>
              </w:rPr>
              <w:t>42</w:t>
            </w:r>
          </w:p>
        </w:tc>
        <w:tc>
          <w:tcPr>
            <w:tcW w:w="719" w:type="dxa"/>
            <w:vAlign w:val="top"/>
          </w:tcPr>
          <w:p w14:paraId="755BE17D">
            <w:pPr>
              <w:pStyle w:val="6"/>
              <w:spacing w:before="198" w:line="239" w:lineRule="auto"/>
              <w:ind w:left="86"/>
              <w:rPr>
                <w:sz w:val="21"/>
                <w:szCs w:val="21"/>
              </w:rPr>
            </w:pPr>
            <w:r>
              <w:rPr>
                <w:spacing w:val="-2"/>
                <w:sz w:val="21"/>
                <w:szCs w:val="21"/>
              </w:rPr>
              <w:t>42.11</w:t>
            </w:r>
          </w:p>
        </w:tc>
        <w:tc>
          <w:tcPr>
            <w:tcW w:w="1179" w:type="dxa"/>
            <w:vAlign w:val="top"/>
          </w:tcPr>
          <w:p w14:paraId="4F727F21">
            <w:pPr>
              <w:pStyle w:val="6"/>
              <w:spacing w:before="198" w:line="239" w:lineRule="auto"/>
              <w:ind w:left="377"/>
              <w:rPr>
                <w:sz w:val="21"/>
                <w:szCs w:val="21"/>
              </w:rPr>
            </w:pPr>
            <w:r>
              <w:rPr>
                <w:spacing w:val="-2"/>
                <w:sz w:val="21"/>
                <w:szCs w:val="21"/>
              </w:rPr>
              <w:t>0.11</w:t>
            </w:r>
          </w:p>
        </w:tc>
        <w:tc>
          <w:tcPr>
            <w:tcW w:w="799" w:type="dxa"/>
            <w:vAlign w:val="top"/>
          </w:tcPr>
          <w:p w14:paraId="186A6D1E">
            <w:pPr>
              <w:pStyle w:val="6"/>
              <w:spacing w:before="197"/>
              <w:ind w:left="288"/>
              <w:rPr>
                <w:sz w:val="21"/>
                <w:szCs w:val="21"/>
              </w:rPr>
            </w:pPr>
            <w:r>
              <w:rPr>
                <w:spacing w:val="-2"/>
                <w:sz w:val="21"/>
                <w:szCs w:val="21"/>
              </w:rPr>
              <w:t>45</w:t>
            </w:r>
          </w:p>
        </w:tc>
        <w:tc>
          <w:tcPr>
            <w:tcW w:w="604" w:type="dxa"/>
            <w:vAlign w:val="top"/>
          </w:tcPr>
          <w:p w14:paraId="527C6C4C">
            <w:pPr>
              <w:pStyle w:val="6"/>
              <w:spacing w:before="178" w:line="220" w:lineRule="auto"/>
              <w:ind w:left="89"/>
              <w:rPr>
                <w:sz w:val="21"/>
                <w:szCs w:val="21"/>
              </w:rPr>
            </w:pPr>
            <w:r>
              <w:rPr>
                <w:spacing w:val="-2"/>
                <w:sz w:val="21"/>
                <w:szCs w:val="21"/>
              </w:rPr>
              <w:t>达标</w:t>
            </w:r>
          </w:p>
        </w:tc>
      </w:tr>
      <w:tr w14:paraId="4B218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934" w:type="dxa"/>
            <w:vMerge w:val="continue"/>
            <w:tcBorders>
              <w:top w:val="nil"/>
              <w:bottom w:val="nil"/>
            </w:tcBorders>
            <w:vAlign w:val="top"/>
          </w:tcPr>
          <w:p w14:paraId="5BEF882F">
            <w:pPr>
              <w:rPr>
                <w:rFonts w:ascii="Arial"/>
                <w:sz w:val="21"/>
              </w:rPr>
            </w:pPr>
          </w:p>
        </w:tc>
        <w:tc>
          <w:tcPr>
            <w:tcW w:w="250" w:type="dxa"/>
            <w:vAlign w:val="top"/>
          </w:tcPr>
          <w:p w14:paraId="59C09FFB">
            <w:pPr>
              <w:spacing w:line="258" w:lineRule="auto"/>
              <w:rPr>
                <w:rFonts w:ascii="Arial"/>
                <w:sz w:val="21"/>
              </w:rPr>
            </w:pPr>
          </w:p>
          <w:p w14:paraId="5129E6E2">
            <w:pPr>
              <w:pStyle w:val="6"/>
              <w:spacing w:before="68" w:line="241" w:lineRule="auto"/>
              <w:ind w:right="4"/>
              <w:jc w:val="right"/>
              <w:rPr>
                <w:sz w:val="21"/>
                <w:szCs w:val="21"/>
              </w:rPr>
            </w:pPr>
            <w:r>
              <w:rPr>
                <w:sz w:val="21"/>
                <w:szCs w:val="21"/>
              </w:rPr>
              <w:t>2</w:t>
            </w:r>
          </w:p>
        </w:tc>
        <w:tc>
          <w:tcPr>
            <w:tcW w:w="1229" w:type="dxa"/>
            <w:vAlign w:val="top"/>
          </w:tcPr>
          <w:p w14:paraId="13824805">
            <w:pPr>
              <w:pStyle w:val="6"/>
              <w:spacing w:before="58" w:line="220" w:lineRule="auto"/>
              <w:ind w:left="131"/>
              <w:rPr>
                <w:sz w:val="21"/>
                <w:szCs w:val="21"/>
              </w:rPr>
            </w:pPr>
            <w:r>
              <w:rPr>
                <w:spacing w:val="1"/>
                <w:sz w:val="21"/>
                <w:szCs w:val="21"/>
              </w:rPr>
              <w:t>10#放马沟</w:t>
            </w:r>
          </w:p>
          <w:p w14:paraId="3A487DCD">
            <w:pPr>
              <w:pStyle w:val="6"/>
              <w:spacing w:before="29" w:line="202" w:lineRule="auto"/>
              <w:ind w:left="21"/>
              <w:rPr>
                <w:sz w:val="21"/>
                <w:szCs w:val="21"/>
              </w:rPr>
            </w:pPr>
            <w:r>
              <w:rPr>
                <w:spacing w:val="2"/>
                <w:sz w:val="21"/>
                <w:szCs w:val="21"/>
              </w:rPr>
              <w:t>散户(田间农</w:t>
            </w:r>
          </w:p>
          <w:p w14:paraId="02D1B6CA">
            <w:pPr>
              <w:pStyle w:val="6"/>
              <w:spacing w:line="194" w:lineRule="auto"/>
              <w:ind w:left="261"/>
              <w:rPr>
                <w:sz w:val="21"/>
                <w:szCs w:val="21"/>
              </w:rPr>
            </w:pPr>
            <w:r>
              <w:rPr>
                <w:spacing w:val="10"/>
                <w:sz w:val="21"/>
                <w:szCs w:val="21"/>
              </w:rPr>
              <w:t>户看地)</w:t>
            </w:r>
          </w:p>
        </w:tc>
        <w:tc>
          <w:tcPr>
            <w:tcW w:w="1418" w:type="dxa"/>
            <w:vAlign w:val="top"/>
          </w:tcPr>
          <w:p w14:paraId="20092E79">
            <w:pPr>
              <w:pStyle w:val="6"/>
              <w:spacing w:before="308" w:line="220" w:lineRule="auto"/>
              <w:ind w:left="172"/>
              <w:rPr>
                <w:sz w:val="21"/>
                <w:szCs w:val="21"/>
              </w:rPr>
            </w:pPr>
            <w:r>
              <w:rPr>
                <w:spacing w:val="-2"/>
                <w:sz w:val="21"/>
                <w:szCs w:val="21"/>
              </w:rPr>
              <w:t>场界距离7m</w:t>
            </w:r>
          </w:p>
        </w:tc>
        <w:tc>
          <w:tcPr>
            <w:tcW w:w="1219" w:type="dxa"/>
            <w:vAlign w:val="top"/>
          </w:tcPr>
          <w:p w14:paraId="7A69D82B">
            <w:pPr>
              <w:spacing w:line="258" w:lineRule="auto"/>
              <w:rPr>
                <w:rFonts w:ascii="Arial"/>
                <w:sz w:val="21"/>
              </w:rPr>
            </w:pPr>
          </w:p>
          <w:p w14:paraId="70C415FA">
            <w:pPr>
              <w:pStyle w:val="6"/>
              <w:spacing w:before="68" w:line="239" w:lineRule="auto"/>
              <w:ind w:left="394"/>
              <w:rPr>
                <w:sz w:val="21"/>
                <w:szCs w:val="21"/>
              </w:rPr>
            </w:pPr>
            <w:r>
              <w:rPr>
                <w:spacing w:val="-2"/>
                <w:sz w:val="21"/>
                <w:szCs w:val="21"/>
              </w:rPr>
              <w:t>43.1</w:t>
            </w:r>
          </w:p>
        </w:tc>
        <w:tc>
          <w:tcPr>
            <w:tcW w:w="899" w:type="dxa"/>
            <w:vAlign w:val="top"/>
          </w:tcPr>
          <w:p w14:paraId="3E8E894F">
            <w:pPr>
              <w:spacing w:line="258" w:lineRule="auto"/>
              <w:rPr>
                <w:rFonts w:ascii="Arial"/>
                <w:sz w:val="21"/>
              </w:rPr>
            </w:pPr>
          </w:p>
          <w:p w14:paraId="0BC82001">
            <w:pPr>
              <w:pStyle w:val="6"/>
              <w:spacing w:before="68"/>
              <w:ind w:left="334"/>
              <w:rPr>
                <w:sz w:val="21"/>
                <w:szCs w:val="21"/>
              </w:rPr>
            </w:pPr>
            <w:r>
              <w:rPr>
                <w:spacing w:val="-2"/>
                <w:sz w:val="21"/>
                <w:szCs w:val="21"/>
              </w:rPr>
              <w:t>43</w:t>
            </w:r>
          </w:p>
        </w:tc>
        <w:tc>
          <w:tcPr>
            <w:tcW w:w="719" w:type="dxa"/>
            <w:vAlign w:val="top"/>
          </w:tcPr>
          <w:p w14:paraId="1D58D609">
            <w:pPr>
              <w:spacing w:line="258" w:lineRule="auto"/>
              <w:rPr>
                <w:rFonts w:ascii="Arial"/>
                <w:sz w:val="21"/>
              </w:rPr>
            </w:pPr>
          </w:p>
          <w:p w14:paraId="4F0A7658">
            <w:pPr>
              <w:pStyle w:val="6"/>
              <w:spacing w:before="68" w:line="239" w:lineRule="auto"/>
              <w:ind w:left="86"/>
              <w:rPr>
                <w:sz w:val="21"/>
                <w:szCs w:val="21"/>
              </w:rPr>
            </w:pPr>
            <w:r>
              <w:rPr>
                <w:spacing w:val="-2"/>
                <w:sz w:val="21"/>
                <w:szCs w:val="21"/>
              </w:rPr>
              <w:t>46.06</w:t>
            </w:r>
          </w:p>
        </w:tc>
        <w:tc>
          <w:tcPr>
            <w:tcW w:w="1179" w:type="dxa"/>
            <w:vAlign w:val="top"/>
          </w:tcPr>
          <w:p w14:paraId="02DFC397">
            <w:pPr>
              <w:spacing w:line="258" w:lineRule="auto"/>
              <w:rPr>
                <w:rFonts w:ascii="Arial"/>
                <w:sz w:val="21"/>
              </w:rPr>
            </w:pPr>
          </w:p>
          <w:p w14:paraId="648073E6">
            <w:pPr>
              <w:pStyle w:val="6"/>
              <w:spacing w:before="68" w:line="239" w:lineRule="auto"/>
              <w:ind w:left="377"/>
              <w:rPr>
                <w:sz w:val="21"/>
                <w:szCs w:val="21"/>
              </w:rPr>
            </w:pPr>
            <w:r>
              <w:rPr>
                <w:spacing w:val="-3"/>
                <w:sz w:val="21"/>
                <w:szCs w:val="21"/>
              </w:rPr>
              <w:t>3.06</w:t>
            </w:r>
          </w:p>
        </w:tc>
        <w:tc>
          <w:tcPr>
            <w:tcW w:w="799" w:type="dxa"/>
            <w:vAlign w:val="top"/>
          </w:tcPr>
          <w:p w14:paraId="2360F6C1">
            <w:pPr>
              <w:spacing w:line="258" w:lineRule="auto"/>
              <w:rPr>
                <w:rFonts w:ascii="Arial"/>
                <w:sz w:val="21"/>
              </w:rPr>
            </w:pPr>
          </w:p>
          <w:p w14:paraId="4CDE8823">
            <w:pPr>
              <w:pStyle w:val="6"/>
              <w:spacing w:before="68"/>
              <w:ind w:left="288"/>
              <w:rPr>
                <w:sz w:val="21"/>
                <w:szCs w:val="21"/>
              </w:rPr>
            </w:pPr>
            <w:r>
              <w:rPr>
                <w:spacing w:val="-2"/>
                <w:sz w:val="21"/>
                <w:szCs w:val="21"/>
              </w:rPr>
              <w:t>45</w:t>
            </w:r>
          </w:p>
        </w:tc>
        <w:tc>
          <w:tcPr>
            <w:tcW w:w="604" w:type="dxa"/>
            <w:vAlign w:val="top"/>
          </w:tcPr>
          <w:p w14:paraId="4C0B235E">
            <w:pPr>
              <w:pStyle w:val="6"/>
              <w:spacing w:before="308" w:line="220" w:lineRule="auto"/>
              <w:ind w:left="89"/>
              <w:rPr>
                <w:sz w:val="21"/>
                <w:szCs w:val="21"/>
              </w:rPr>
            </w:pPr>
            <w:r>
              <w:rPr>
                <w:spacing w:val="-2"/>
                <w:sz w:val="21"/>
                <w:szCs w:val="21"/>
              </w:rPr>
              <w:t>超标</w:t>
            </w:r>
          </w:p>
        </w:tc>
      </w:tr>
      <w:tr w14:paraId="67C4F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934" w:type="dxa"/>
            <w:vMerge w:val="continue"/>
            <w:tcBorders>
              <w:top w:val="nil"/>
            </w:tcBorders>
            <w:vAlign w:val="top"/>
          </w:tcPr>
          <w:p w14:paraId="1ED15DA4">
            <w:pPr>
              <w:rPr>
                <w:rFonts w:ascii="Arial"/>
                <w:sz w:val="21"/>
              </w:rPr>
            </w:pPr>
          </w:p>
        </w:tc>
        <w:tc>
          <w:tcPr>
            <w:tcW w:w="250" w:type="dxa"/>
            <w:vAlign w:val="top"/>
          </w:tcPr>
          <w:p w14:paraId="1E7564B2">
            <w:pPr>
              <w:pStyle w:val="6"/>
              <w:spacing w:before="309"/>
              <w:ind w:right="4"/>
              <w:jc w:val="right"/>
              <w:rPr>
                <w:sz w:val="21"/>
                <w:szCs w:val="21"/>
              </w:rPr>
            </w:pPr>
            <w:r>
              <w:rPr>
                <w:sz w:val="21"/>
                <w:szCs w:val="21"/>
              </w:rPr>
              <w:t>3</w:t>
            </w:r>
          </w:p>
        </w:tc>
        <w:tc>
          <w:tcPr>
            <w:tcW w:w="1229" w:type="dxa"/>
            <w:vAlign w:val="top"/>
          </w:tcPr>
          <w:p w14:paraId="477669D8">
            <w:pPr>
              <w:pStyle w:val="6"/>
              <w:spacing w:before="38" w:line="210" w:lineRule="auto"/>
              <w:ind w:left="81" w:right="67" w:firstLine="50"/>
              <w:jc w:val="both"/>
              <w:rPr>
                <w:sz w:val="21"/>
                <w:szCs w:val="21"/>
              </w:rPr>
            </w:pPr>
            <w:r>
              <w:rPr>
                <w:sz w:val="21"/>
                <w:szCs w:val="21"/>
              </w:rPr>
              <w:t>15#大地村</w:t>
            </w:r>
            <w:r>
              <w:rPr>
                <w:spacing w:val="3"/>
                <w:sz w:val="21"/>
                <w:szCs w:val="21"/>
              </w:rPr>
              <w:t xml:space="preserve"> 散户5(田间</w:t>
            </w:r>
            <w:r>
              <w:rPr>
                <w:spacing w:val="1"/>
                <w:sz w:val="21"/>
                <w:szCs w:val="21"/>
              </w:rPr>
              <w:t xml:space="preserve"> </w:t>
            </w:r>
            <w:r>
              <w:rPr>
                <w:spacing w:val="18"/>
                <w:sz w:val="21"/>
                <w:szCs w:val="21"/>
              </w:rPr>
              <w:t>农户看地)</w:t>
            </w:r>
          </w:p>
        </w:tc>
        <w:tc>
          <w:tcPr>
            <w:tcW w:w="1418" w:type="dxa"/>
            <w:vAlign w:val="top"/>
          </w:tcPr>
          <w:p w14:paraId="3A74166B">
            <w:pPr>
              <w:pStyle w:val="6"/>
              <w:spacing w:before="289" w:line="220" w:lineRule="auto"/>
              <w:ind w:left="172"/>
              <w:rPr>
                <w:sz w:val="21"/>
                <w:szCs w:val="21"/>
              </w:rPr>
            </w:pPr>
            <w:r>
              <w:rPr>
                <w:spacing w:val="-2"/>
                <w:sz w:val="21"/>
                <w:szCs w:val="21"/>
              </w:rPr>
              <w:t>场界距离2m</w:t>
            </w:r>
          </w:p>
        </w:tc>
        <w:tc>
          <w:tcPr>
            <w:tcW w:w="1219" w:type="dxa"/>
            <w:vAlign w:val="top"/>
          </w:tcPr>
          <w:p w14:paraId="0C6CFFF0">
            <w:pPr>
              <w:pStyle w:val="6"/>
              <w:spacing w:before="309" w:line="239" w:lineRule="auto"/>
              <w:ind w:left="334"/>
              <w:rPr>
                <w:sz w:val="21"/>
                <w:szCs w:val="21"/>
              </w:rPr>
            </w:pPr>
            <w:r>
              <w:rPr>
                <w:spacing w:val="-2"/>
                <w:sz w:val="21"/>
                <w:szCs w:val="21"/>
              </w:rPr>
              <w:t>53.98</w:t>
            </w:r>
          </w:p>
        </w:tc>
        <w:tc>
          <w:tcPr>
            <w:tcW w:w="899" w:type="dxa"/>
            <w:vAlign w:val="top"/>
          </w:tcPr>
          <w:p w14:paraId="6D8BE2B9">
            <w:pPr>
              <w:pStyle w:val="6"/>
              <w:spacing w:before="309" w:line="241" w:lineRule="auto"/>
              <w:ind w:left="334"/>
              <w:rPr>
                <w:sz w:val="21"/>
                <w:szCs w:val="21"/>
              </w:rPr>
            </w:pPr>
            <w:r>
              <w:rPr>
                <w:spacing w:val="-2"/>
                <w:sz w:val="21"/>
                <w:szCs w:val="21"/>
              </w:rPr>
              <w:t>44</w:t>
            </w:r>
          </w:p>
        </w:tc>
        <w:tc>
          <w:tcPr>
            <w:tcW w:w="719" w:type="dxa"/>
            <w:vAlign w:val="top"/>
          </w:tcPr>
          <w:p w14:paraId="17A0FB60">
            <w:pPr>
              <w:pStyle w:val="6"/>
              <w:spacing w:before="309" w:line="239" w:lineRule="auto"/>
              <w:ind w:left="146"/>
              <w:rPr>
                <w:sz w:val="21"/>
                <w:szCs w:val="21"/>
              </w:rPr>
            </w:pPr>
            <w:r>
              <w:rPr>
                <w:spacing w:val="-3"/>
                <w:sz w:val="21"/>
                <w:szCs w:val="21"/>
              </w:rPr>
              <w:t>54.4</w:t>
            </w:r>
          </w:p>
        </w:tc>
        <w:tc>
          <w:tcPr>
            <w:tcW w:w="1179" w:type="dxa"/>
            <w:vAlign w:val="top"/>
          </w:tcPr>
          <w:p w14:paraId="227E5DB8">
            <w:pPr>
              <w:pStyle w:val="6"/>
              <w:spacing w:before="309" w:line="239" w:lineRule="auto"/>
              <w:ind w:left="377"/>
              <w:rPr>
                <w:sz w:val="21"/>
                <w:szCs w:val="21"/>
              </w:rPr>
            </w:pPr>
            <w:r>
              <w:rPr>
                <w:spacing w:val="-5"/>
                <w:sz w:val="21"/>
                <w:szCs w:val="21"/>
              </w:rPr>
              <w:t>10.4</w:t>
            </w:r>
          </w:p>
        </w:tc>
        <w:tc>
          <w:tcPr>
            <w:tcW w:w="799" w:type="dxa"/>
            <w:vAlign w:val="top"/>
          </w:tcPr>
          <w:p w14:paraId="2FEAC92A">
            <w:pPr>
              <w:pStyle w:val="6"/>
              <w:spacing w:before="309"/>
              <w:ind w:left="288"/>
              <w:rPr>
                <w:sz w:val="21"/>
                <w:szCs w:val="21"/>
              </w:rPr>
            </w:pPr>
            <w:r>
              <w:rPr>
                <w:spacing w:val="-2"/>
                <w:sz w:val="21"/>
                <w:szCs w:val="21"/>
              </w:rPr>
              <w:t>45</w:t>
            </w:r>
          </w:p>
        </w:tc>
        <w:tc>
          <w:tcPr>
            <w:tcW w:w="604" w:type="dxa"/>
            <w:vAlign w:val="top"/>
          </w:tcPr>
          <w:p w14:paraId="39E1A7DE">
            <w:pPr>
              <w:pStyle w:val="6"/>
              <w:spacing w:before="289" w:line="220" w:lineRule="auto"/>
              <w:ind w:left="89"/>
              <w:rPr>
                <w:sz w:val="21"/>
                <w:szCs w:val="21"/>
              </w:rPr>
            </w:pPr>
            <w:r>
              <w:rPr>
                <w:spacing w:val="-2"/>
                <w:sz w:val="21"/>
                <w:szCs w:val="21"/>
              </w:rPr>
              <w:t>超标</w:t>
            </w:r>
          </w:p>
        </w:tc>
      </w:tr>
    </w:tbl>
    <w:p w14:paraId="59879BBD">
      <w:pPr>
        <w:pStyle w:val="2"/>
      </w:pPr>
    </w:p>
    <w:p w14:paraId="6F7CD326">
      <w:pPr>
        <w:sectPr>
          <w:footerReference r:id="rId166" w:type="default"/>
          <w:pgSz w:w="11910" w:h="16830"/>
          <w:pgMar w:top="400" w:right="1405" w:bottom="1245" w:left="1244" w:header="0" w:footer="1083" w:gutter="0"/>
          <w:cols w:space="720" w:num="1"/>
        </w:sectPr>
      </w:pPr>
    </w:p>
    <w:p w14:paraId="37B8F78E">
      <w:pPr>
        <w:spacing w:before="18"/>
      </w:pPr>
    </w:p>
    <w:p w14:paraId="46E877DC">
      <w:pPr>
        <w:spacing w:before="17"/>
      </w:pPr>
    </w:p>
    <w:p w14:paraId="1AE00471">
      <w:pPr>
        <w:spacing w:before="17"/>
      </w:pPr>
    </w:p>
    <w:p w14:paraId="523C8CA9">
      <w:pPr>
        <w:spacing w:before="17"/>
      </w:pPr>
    </w:p>
    <w:tbl>
      <w:tblPr>
        <w:tblStyle w:val="5"/>
        <w:tblW w:w="92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260"/>
        <w:gridCol w:w="1229"/>
        <w:gridCol w:w="1418"/>
        <w:gridCol w:w="1229"/>
        <w:gridCol w:w="889"/>
        <w:gridCol w:w="719"/>
        <w:gridCol w:w="1179"/>
        <w:gridCol w:w="799"/>
        <w:gridCol w:w="604"/>
      </w:tblGrid>
      <w:tr w14:paraId="22602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884" w:type="dxa"/>
            <w:vMerge w:val="restart"/>
            <w:tcBorders>
              <w:bottom w:val="nil"/>
            </w:tcBorders>
            <w:vAlign w:val="top"/>
          </w:tcPr>
          <w:p w14:paraId="4339E1C0">
            <w:pPr>
              <w:rPr>
                <w:rFonts w:ascii="Arial"/>
                <w:sz w:val="21"/>
              </w:rPr>
            </w:pPr>
          </w:p>
        </w:tc>
        <w:tc>
          <w:tcPr>
            <w:tcW w:w="260" w:type="dxa"/>
            <w:vAlign w:val="top"/>
          </w:tcPr>
          <w:p w14:paraId="4D061662">
            <w:pPr>
              <w:pStyle w:val="6"/>
              <w:spacing w:before="307" w:line="241" w:lineRule="auto"/>
              <w:ind w:left="121"/>
              <w:rPr>
                <w:sz w:val="23"/>
                <w:szCs w:val="23"/>
              </w:rPr>
            </w:pPr>
            <w:r>
              <w:rPr>
                <w:sz w:val="23"/>
                <w:szCs w:val="23"/>
              </w:rPr>
              <w:t>4</w:t>
            </w:r>
          </w:p>
        </w:tc>
        <w:tc>
          <w:tcPr>
            <w:tcW w:w="1229" w:type="dxa"/>
            <w:vAlign w:val="top"/>
          </w:tcPr>
          <w:p w14:paraId="58E46A00">
            <w:pPr>
              <w:pStyle w:val="6"/>
              <w:spacing w:before="45" w:line="195" w:lineRule="auto"/>
              <w:ind w:left="31" w:right="15" w:firstLine="50"/>
              <w:jc w:val="both"/>
              <w:rPr>
                <w:sz w:val="23"/>
                <w:szCs w:val="23"/>
              </w:rPr>
            </w:pPr>
            <w:r>
              <w:rPr>
                <w:spacing w:val="2"/>
                <w:sz w:val="23"/>
                <w:szCs w:val="23"/>
              </w:rPr>
              <w:t xml:space="preserve">17#大地村 </w:t>
            </w:r>
            <w:r>
              <w:rPr>
                <w:spacing w:val="3"/>
                <w:sz w:val="23"/>
                <w:szCs w:val="23"/>
              </w:rPr>
              <w:t xml:space="preserve">散户7(田间 </w:t>
            </w:r>
            <w:r>
              <w:rPr>
                <w:spacing w:val="21"/>
                <w:sz w:val="23"/>
                <w:szCs w:val="23"/>
              </w:rPr>
              <w:t>农户看地)</w:t>
            </w:r>
          </w:p>
        </w:tc>
        <w:tc>
          <w:tcPr>
            <w:tcW w:w="1418" w:type="dxa"/>
            <w:vAlign w:val="top"/>
          </w:tcPr>
          <w:p w14:paraId="04307350">
            <w:pPr>
              <w:pStyle w:val="6"/>
              <w:spacing w:before="285" w:line="220" w:lineRule="auto"/>
              <w:ind w:left="122"/>
              <w:rPr>
                <w:sz w:val="23"/>
                <w:szCs w:val="23"/>
              </w:rPr>
            </w:pPr>
            <w:r>
              <w:rPr>
                <w:spacing w:val="-2"/>
                <w:sz w:val="23"/>
                <w:szCs w:val="23"/>
              </w:rPr>
              <w:t>场界距离1m</w:t>
            </w:r>
          </w:p>
        </w:tc>
        <w:tc>
          <w:tcPr>
            <w:tcW w:w="1229" w:type="dxa"/>
            <w:vAlign w:val="top"/>
          </w:tcPr>
          <w:p w14:paraId="70624A1E">
            <w:pPr>
              <w:pStyle w:val="6"/>
              <w:spacing w:before="306"/>
              <w:ind w:left="494"/>
              <w:rPr>
                <w:sz w:val="23"/>
                <w:szCs w:val="23"/>
              </w:rPr>
            </w:pPr>
            <w:r>
              <w:rPr>
                <w:spacing w:val="-3"/>
                <w:sz w:val="23"/>
                <w:szCs w:val="23"/>
              </w:rPr>
              <w:t>60</w:t>
            </w:r>
          </w:p>
        </w:tc>
        <w:tc>
          <w:tcPr>
            <w:tcW w:w="889" w:type="dxa"/>
            <w:vAlign w:val="top"/>
          </w:tcPr>
          <w:p w14:paraId="4455700A">
            <w:pPr>
              <w:pStyle w:val="6"/>
              <w:spacing w:before="306"/>
              <w:ind w:left="325"/>
              <w:rPr>
                <w:sz w:val="23"/>
                <w:szCs w:val="23"/>
              </w:rPr>
            </w:pPr>
            <w:r>
              <w:rPr>
                <w:spacing w:val="-3"/>
                <w:sz w:val="23"/>
                <w:szCs w:val="23"/>
              </w:rPr>
              <w:t>43</w:t>
            </w:r>
          </w:p>
        </w:tc>
        <w:tc>
          <w:tcPr>
            <w:tcW w:w="719" w:type="dxa"/>
            <w:vAlign w:val="top"/>
          </w:tcPr>
          <w:p w14:paraId="6D27BD4B">
            <w:pPr>
              <w:pStyle w:val="6"/>
              <w:spacing w:before="307" w:line="239" w:lineRule="auto"/>
              <w:ind w:left="66"/>
              <w:rPr>
                <w:sz w:val="23"/>
                <w:szCs w:val="23"/>
              </w:rPr>
            </w:pPr>
            <w:r>
              <w:rPr>
                <w:spacing w:val="-2"/>
                <w:sz w:val="23"/>
                <w:szCs w:val="23"/>
              </w:rPr>
              <w:t>60.09</w:t>
            </w:r>
          </w:p>
        </w:tc>
        <w:tc>
          <w:tcPr>
            <w:tcW w:w="1179" w:type="dxa"/>
            <w:vAlign w:val="top"/>
          </w:tcPr>
          <w:p w14:paraId="5D43C59F">
            <w:pPr>
              <w:pStyle w:val="6"/>
              <w:spacing w:before="307" w:line="239" w:lineRule="auto"/>
              <w:ind w:left="297"/>
              <w:rPr>
                <w:sz w:val="23"/>
                <w:szCs w:val="23"/>
              </w:rPr>
            </w:pPr>
            <w:r>
              <w:rPr>
                <w:spacing w:val="-5"/>
                <w:sz w:val="23"/>
                <w:szCs w:val="23"/>
              </w:rPr>
              <w:t>17.09</w:t>
            </w:r>
          </w:p>
        </w:tc>
        <w:tc>
          <w:tcPr>
            <w:tcW w:w="799" w:type="dxa"/>
            <w:vAlign w:val="top"/>
          </w:tcPr>
          <w:p w14:paraId="7C9F3F67">
            <w:pPr>
              <w:pStyle w:val="6"/>
              <w:spacing w:before="306"/>
              <w:ind w:left="277"/>
              <w:rPr>
                <w:sz w:val="23"/>
                <w:szCs w:val="23"/>
              </w:rPr>
            </w:pPr>
            <w:r>
              <w:rPr>
                <w:spacing w:val="-3"/>
                <w:sz w:val="23"/>
                <w:szCs w:val="23"/>
              </w:rPr>
              <w:t>45</w:t>
            </w:r>
          </w:p>
        </w:tc>
        <w:tc>
          <w:tcPr>
            <w:tcW w:w="604" w:type="dxa"/>
            <w:vAlign w:val="top"/>
          </w:tcPr>
          <w:p w14:paraId="5CD1EF27">
            <w:pPr>
              <w:pStyle w:val="6"/>
              <w:spacing w:before="285" w:line="220" w:lineRule="auto"/>
              <w:ind w:left="69"/>
              <w:rPr>
                <w:sz w:val="23"/>
                <w:szCs w:val="23"/>
              </w:rPr>
            </w:pPr>
            <w:r>
              <w:rPr>
                <w:spacing w:val="-3"/>
                <w:sz w:val="23"/>
                <w:szCs w:val="23"/>
              </w:rPr>
              <w:t>超标</w:t>
            </w:r>
          </w:p>
        </w:tc>
      </w:tr>
      <w:tr w14:paraId="63ED9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84" w:type="dxa"/>
            <w:vMerge w:val="continue"/>
            <w:tcBorders>
              <w:top w:val="nil"/>
              <w:bottom w:val="nil"/>
            </w:tcBorders>
            <w:vAlign w:val="top"/>
          </w:tcPr>
          <w:p w14:paraId="7B214321">
            <w:pPr>
              <w:rPr>
                <w:rFonts w:ascii="Arial"/>
                <w:sz w:val="21"/>
              </w:rPr>
            </w:pPr>
          </w:p>
        </w:tc>
        <w:tc>
          <w:tcPr>
            <w:tcW w:w="260" w:type="dxa"/>
            <w:vAlign w:val="top"/>
          </w:tcPr>
          <w:p w14:paraId="3BE98A68">
            <w:pPr>
              <w:pStyle w:val="6"/>
              <w:spacing w:before="182"/>
              <w:ind w:left="121"/>
              <w:rPr>
                <w:sz w:val="23"/>
                <w:szCs w:val="23"/>
              </w:rPr>
            </w:pPr>
            <w:r>
              <w:rPr>
                <w:sz w:val="23"/>
                <w:szCs w:val="23"/>
              </w:rPr>
              <w:t>5</w:t>
            </w:r>
          </w:p>
        </w:tc>
        <w:tc>
          <w:tcPr>
            <w:tcW w:w="1229" w:type="dxa"/>
            <w:vAlign w:val="top"/>
          </w:tcPr>
          <w:p w14:paraId="38DCA584">
            <w:pPr>
              <w:pStyle w:val="6"/>
              <w:spacing w:before="30" w:line="209" w:lineRule="auto"/>
              <w:ind w:left="31"/>
              <w:rPr>
                <w:sz w:val="23"/>
                <w:szCs w:val="23"/>
              </w:rPr>
            </w:pPr>
            <w:r>
              <w:rPr>
                <w:spacing w:val="1"/>
                <w:sz w:val="23"/>
                <w:szCs w:val="23"/>
              </w:rPr>
              <w:t>2#栗树园散</w:t>
            </w:r>
          </w:p>
          <w:p w14:paraId="146C8BD0">
            <w:pPr>
              <w:pStyle w:val="6"/>
              <w:spacing w:line="199" w:lineRule="auto"/>
              <w:ind w:left="431"/>
              <w:rPr>
                <w:sz w:val="23"/>
                <w:szCs w:val="23"/>
              </w:rPr>
            </w:pPr>
            <w:r>
              <w:rPr>
                <w:spacing w:val="9"/>
                <w:sz w:val="23"/>
                <w:szCs w:val="23"/>
              </w:rPr>
              <w:t>户1</w:t>
            </w:r>
          </w:p>
        </w:tc>
        <w:tc>
          <w:tcPr>
            <w:tcW w:w="1418" w:type="dxa"/>
            <w:vAlign w:val="top"/>
          </w:tcPr>
          <w:p w14:paraId="38A735A9">
            <w:pPr>
              <w:pStyle w:val="6"/>
              <w:spacing w:before="161" w:line="220" w:lineRule="auto"/>
              <w:ind w:left="122"/>
              <w:rPr>
                <w:sz w:val="23"/>
                <w:szCs w:val="23"/>
              </w:rPr>
            </w:pPr>
            <w:r>
              <w:rPr>
                <w:spacing w:val="-2"/>
                <w:sz w:val="23"/>
                <w:szCs w:val="23"/>
              </w:rPr>
              <w:t>场界距离3m</w:t>
            </w:r>
          </w:p>
        </w:tc>
        <w:tc>
          <w:tcPr>
            <w:tcW w:w="1229" w:type="dxa"/>
            <w:vAlign w:val="top"/>
          </w:tcPr>
          <w:p w14:paraId="428298DF">
            <w:pPr>
              <w:pStyle w:val="6"/>
              <w:spacing w:before="183" w:line="239" w:lineRule="auto"/>
              <w:ind w:left="314"/>
              <w:rPr>
                <w:sz w:val="23"/>
                <w:szCs w:val="23"/>
              </w:rPr>
            </w:pPr>
            <w:r>
              <w:rPr>
                <w:spacing w:val="-3"/>
                <w:sz w:val="23"/>
                <w:szCs w:val="23"/>
              </w:rPr>
              <w:t>50.46</w:t>
            </w:r>
          </w:p>
        </w:tc>
        <w:tc>
          <w:tcPr>
            <w:tcW w:w="889" w:type="dxa"/>
            <w:vAlign w:val="top"/>
          </w:tcPr>
          <w:p w14:paraId="0326293F">
            <w:pPr>
              <w:pStyle w:val="6"/>
              <w:spacing w:before="183" w:line="241" w:lineRule="auto"/>
              <w:ind w:left="325"/>
              <w:rPr>
                <w:sz w:val="23"/>
                <w:szCs w:val="23"/>
              </w:rPr>
            </w:pPr>
            <w:r>
              <w:rPr>
                <w:spacing w:val="-3"/>
                <w:sz w:val="23"/>
                <w:szCs w:val="23"/>
              </w:rPr>
              <w:t>42</w:t>
            </w:r>
          </w:p>
        </w:tc>
        <w:tc>
          <w:tcPr>
            <w:tcW w:w="719" w:type="dxa"/>
            <w:vAlign w:val="top"/>
          </w:tcPr>
          <w:p w14:paraId="2B553FE8">
            <w:pPr>
              <w:pStyle w:val="6"/>
              <w:spacing w:before="183" w:line="239" w:lineRule="auto"/>
              <w:ind w:left="66"/>
              <w:rPr>
                <w:sz w:val="23"/>
                <w:szCs w:val="23"/>
              </w:rPr>
            </w:pPr>
            <w:r>
              <w:rPr>
                <w:spacing w:val="-3"/>
                <w:sz w:val="23"/>
                <w:szCs w:val="23"/>
              </w:rPr>
              <w:t>51.04</w:t>
            </w:r>
          </w:p>
        </w:tc>
        <w:tc>
          <w:tcPr>
            <w:tcW w:w="1179" w:type="dxa"/>
            <w:vAlign w:val="top"/>
          </w:tcPr>
          <w:p w14:paraId="7365EB60">
            <w:pPr>
              <w:pStyle w:val="6"/>
              <w:spacing w:before="183" w:line="239" w:lineRule="auto"/>
              <w:ind w:left="357"/>
              <w:rPr>
                <w:sz w:val="23"/>
                <w:szCs w:val="23"/>
              </w:rPr>
            </w:pPr>
            <w:r>
              <w:rPr>
                <w:spacing w:val="-2"/>
                <w:sz w:val="23"/>
                <w:szCs w:val="23"/>
              </w:rPr>
              <w:t>9.04</w:t>
            </w:r>
          </w:p>
        </w:tc>
        <w:tc>
          <w:tcPr>
            <w:tcW w:w="799" w:type="dxa"/>
            <w:vAlign w:val="top"/>
          </w:tcPr>
          <w:p w14:paraId="3FF0BC37">
            <w:pPr>
              <w:pStyle w:val="6"/>
              <w:spacing w:before="182"/>
              <w:ind w:left="277"/>
              <w:rPr>
                <w:sz w:val="23"/>
                <w:szCs w:val="23"/>
              </w:rPr>
            </w:pPr>
            <w:r>
              <w:rPr>
                <w:spacing w:val="-3"/>
                <w:sz w:val="23"/>
                <w:szCs w:val="23"/>
              </w:rPr>
              <w:t>45</w:t>
            </w:r>
          </w:p>
        </w:tc>
        <w:tc>
          <w:tcPr>
            <w:tcW w:w="604" w:type="dxa"/>
            <w:vAlign w:val="top"/>
          </w:tcPr>
          <w:p w14:paraId="61FBDA61">
            <w:pPr>
              <w:pStyle w:val="6"/>
              <w:spacing w:before="161" w:line="220" w:lineRule="auto"/>
              <w:ind w:left="69"/>
              <w:rPr>
                <w:sz w:val="23"/>
                <w:szCs w:val="23"/>
              </w:rPr>
            </w:pPr>
            <w:r>
              <w:rPr>
                <w:spacing w:val="-3"/>
                <w:sz w:val="23"/>
                <w:szCs w:val="23"/>
              </w:rPr>
              <w:t>超标</w:t>
            </w:r>
          </w:p>
        </w:tc>
      </w:tr>
      <w:tr w14:paraId="33186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84" w:type="dxa"/>
            <w:vMerge w:val="continue"/>
            <w:tcBorders>
              <w:top w:val="nil"/>
              <w:bottom w:val="nil"/>
            </w:tcBorders>
            <w:vAlign w:val="top"/>
          </w:tcPr>
          <w:p w14:paraId="08B84F6B">
            <w:pPr>
              <w:rPr>
                <w:rFonts w:ascii="Arial"/>
                <w:sz w:val="21"/>
              </w:rPr>
            </w:pPr>
          </w:p>
        </w:tc>
        <w:tc>
          <w:tcPr>
            <w:tcW w:w="260" w:type="dxa"/>
            <w:vAlign w:val="top"/>
          </w:tcPr>
          <w:p w14:paraId="2E45FC9B">
            <w:pPr>
              <w:pStyle w:val="6"/>
              <w:spacing w:before="182"/>
              <w:ind w:left="121"/>
              <w:rPr>
                <w:sz w:val="23"/>
                <w:szCs w:val="23"/>
              </w:rPr>
            </w:pPr>
            <w:r>
              <w:rPr>
                <w:sz w:val="23"/>
                <w:szCs w:val="23"/>
              </w:rPr>
              <w:t>6</w:t>
            </w:r>
          </w:p>
        </w:tc>
        <w:tc>
          <w:tcPr>
            <w:tcW w:w="1229" w:type="dxa"/>
            <w:vAlign w:val="top"/>
          </w:tcPr>
          <w:p w14:paraId="44C12263">
            <w:pPr>
              <w:pStyle w:val="6"/>
              <w:spacing w:before="31" w:line="216" w:lineRule="auto"/>
              <w:ind w:left="81"/>
              <w:rPr>
                <w:sz w:val="23"/>
                <w:szCs w:val="23"/>
              </w:rPr>
            </w:pPr>
            <w:r>
              <w:rPr>
                <w:spacing w:val="2"/>
                <w:sz w:val="23"/>
                <w:szCs w:val="23"/>
              </w:rPr>
              <w:t>21#橡子坡</w:t>
            </w:r>
          </w:p>
          <w:p w14:paraId="36B8E764">
            <w:pPr>
              <w:pStyle w:val="6"/>
              <w:spacing w:line="192" w:lineRule="auto"/>
              <w:ind w:left="311"/>
              <w:rPr>
                <w:sz w:val="23"/>
                <w:szCs w:val="23"/>
              </w:rPr>
            </w:pPr>
            <w:r>
              <w:rPr>
                <w:spacing w:val="9"/>
                <w:sz w:val="23"/>
                <w:szCs w:val="23"/>
              </w:rPr>
              <w:t>散户1</w:t>
            </w:r>
          </w:p>
        </w:tc>
        <w:tc>
          <w:tcPr>
            <w:tcW w:w="1418" w:type="dxa"/>
            <w:vAlign w:val="top"/>
          </w:tcPr>
          <w:p w14:paraId="51DF2DFE">
            <w:pPr>
              <w:pStyle w:val="6"/>
              <w:spacing w:before="161" w:line="220" w:lineRule="auto"/>
              <w:ind w:left="62"/>
              <w:rPr>
                <w:sz w:val="23"/>
                <w:szCs w:val="23"/>
              </w:rPr>
            </w:pPr>
            <w:r>
              <w:rPr>
                <w:spacing w:val="-2"/>
                <w:sz w:val="23"/>
                <w:szCs w:val="23"/>
              </w:rPr>
              <w:t>场界距离30m</w:t>
            </w:r>
          </w:p>
        </w:tc>
        <w:tc>
          <w:tcPr>
            <w:tcW w:w="1229" w:type="dxa"/>
            <w:vAlign w:val="top"/>
          </w:tcPr>
          <w:p w14:paraId="12AD1D97">
            <w:pPr>
              <w:pStyle w:val="6"/>
              <w:spacing w:before="183" w:line="239" w:lineRule="auto"/>
              <w:ind w:left="314"/>
              <w:rPr>
                <w:sz w:val="23"/>
                <w:szCs w:val="23"/>
              </w:rPr>
            </w:pPr>
            <w:r>
              <w:rPr>
                <w:spacing w:val="-3"/>
                <w:sz w:val="23"/>
                <w:szCs w:val="23"/>
              </w:rPr>
              <w:t>30.46</w:t>
            </w:r>
          </w:p>
        </w:tc>
        <w:tc>
          <w:tcPr>
            <w:tcW w:w="889" w:type="dxa"/>
            <w:vAlign w:val="top"/>
          </w:tcPr>
          <w:p w14:paraId="2A82C612">
            <w:pPr>
              <w:pStyle w:val="6"/>
              <w:spacing w:before="183" w:line="241" w:lineRule="auto"/>
              <w:ind w:left="325"/>
              <w:rPr>
                <w:sz w:val="23"/>
                <w:szCs w:val="23"/>
              </w:rPr>
            </w:pPr>
            <w:r>
              <w:rPr>
                <w:spacing w:val="-3"/>
                <w:sz w:val="23"/>
                <w:szCs w:val="23"/>
              </w:rPr>
              <w:t>44</w:t>
            </w:r>
          </w:p>
        </w:tc>
        <w:tc>
          <w:tcPr>
            <w:tcW w:w="719" w:type="dxa"/>
            <w:vAlign w:val="top"/>
          </w:tcPr>
          <w:p w14:paraId="3A133B53">
            <w:pPr>
              <w:pStyle w:val="6"/>
              <w:spacing w:before="183" w:line="239" w:lineRule="auto"/>
              <w:ind w:left="66"/>
              <w:rPr>
                <w:sz w:val="23"/>
                <w:szCs w:val="23"/>
              </w:rPr>
            </w:pPr>
            <w:r>
              <w:rPr>
                <w:spacing w:val="-2"/>
                <w:sz w:val="23"/>
                <w:szCs w:val="23"/>
              </w:rPr>
              <w:t>44.19</w:t>
            </w:r>
          </w:p>
        </w:tc>
        <w:tc>
          <w:tcPr>
            <w:tcW w:w="1179" w:type="dxa"/>
            <w:vAlign w:val="top"/>
          </w:tcPr>
          <w:p w14:paraId="3763D8C4">
            <w:pPr>
              <w:pStyle w:val="6"/>
              <w:spacing w:before="183" w:line="239" w:lineRule="auto"/>
              <w:ind w:left="357"/>
              <w:rPr>
                <w:sz w:val="23"/>
                <w:szCs w:val="23"/>
              </w:rPr>
            </w:pPr>
            <w:r>
              <w:rPr>
                <w:spacing w:val="-3"/>
                <w:sz w:val="23"/>
                <w:szCs w:val="23"/>
              </w:rPr>
              <w:t>0.19</w:t>
            </w:r>
          </w:p>
        </w:tc>
        <w:tc>
          <w:tcPr>
            <w:tcW w:w="799" w:type="dxa"/>
            <w:vAlign w:val="top"/>
          </w:tcPr>
          <w:p w14:paraId="4F27B566">
            <w:pPr>
              <w:pStyle w:val="6"/>
              <w:spacing w:before="182"/>
              <w:ind w:left="277"/>
              <w:rPr>
                <w:sz w:val="23"/>
                <w:szCs w:val="23"/>
              </w:rPr>
            </w:pPr>
            <w:r>
              <w:rPr>
                <w:spacing w:val="-3"/>
                <w:sz w:val="23"/>
                <w:szCs w:val="23"/>
              </w:rPr>
              <w:t>45</w:t>
            </w:r>
          </w:p>
        </w:tc>
        <w:tc>
          <w:tcPr>
            <w:tcW w:w="604" w:type="dxa"/>
            <w:vAlign w:val="top"/>
          </w:tcPr>
          <w:p w14:paraId="607BBBBA">
            <w:pPr>
              <w:pStyle w:val="6"/>
              <w:spacing w:before="161" w:line="220" w:lineRule="auto"/>
              <w:ind w:left="69"/>
              <w:rPr>
                <w:sz w:val="23"/>
                <w:szCs w:val="23"/>
              </w:rPr>
            </w:pPr>
            <w:r>
              <w:rPr>
                <w:spacing w:val="-3"/>
                <w:sz w:val="23"/>
                <w:szCs w:val="23"/>
              </w:rPr>
              <w:t>达标</w:t>
            </w:r>
          </w:p>
        </w:tc>
      </w:tr>
      <w:tr w14:paraId="27EB8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884" w:type="dxa"/>
            <w:vMerge w:val="continue"/>
            <w:tcBorders>
              <w:top w:val="nil"/>
              <w:bottom w:val="nil"/>
            </w:tcBorders>
            <w:vAlign w:val="top"/>
          </w:tcPr>
          <w:p w14:paraId="66683395">
            <w:pPr>
              <w:rPr>
                <w:rFonts w:ascii="Arial"/>
                <w:sz w:val="21"/>
              </w:rPr>
            </w:pPr>
          </w:p>
        </w:tc>
        <w:tc>
          <w:tcPr>
            <w:tcW w:w="260" w:type="dxa"/>
            <w:vAlign w:val="top"/>
          </w:tcPr>
          <w:p w14:paraId="6981326C">
            <w:pPr>
              <w:pStyle w:val="6"/>
              <w:spacing w:before="292"/>
              <w:ind w:left="121"/>
              <w:rPr>
                <w:sz w:val="23"/>
                <w:szCs w:val="23"/>
              </w:rPr>
            </w:pPr>
            <w:r>
              <w:rPr>
                <w:sz w:val="23"/>
                <w:szCs w:val="23"/>
              </w:rPr>
              <w:t>7</w:t>
            </w:r>
          </w:p>
        </w:tc>
        <w:tc>
          <w:tcPr>
            <w:tcW w:w="1229" w:type="dxa"/>
            <w:vAlign w:val="top"/>
          </w:tcPr>
          <w:p w14:paraId="3A65CD88">
            <w:pPr>
              <w:pStyle w:val="6"/>
              <w:spacing w:before="41" w:line="192" w:lineRule="auto"/>
              <w:ind w:left="31" w:right="15" w:firstLine="50"/>
              <w:jc w:val="both"/>
              <w:rPr>
                <w:sz w:val="23"/>
                <w:szCs w:val="23"/>
              </w:rPr>
            </w:pPr>
            <w:r>
              <w:rPr>
                <w:spacing w:val="2"/>
                <w:sz w:val="23"/>
                <w:szCs w:val="23"/>
              </w:rPr>
              <w:t xml:space="preserve">22#橡子坡 </w:t>
            </w:r>
            <w:r>
              <w:rPr>
                <w:spacing w:val="3"/>
                <w:sz w:val="23"/>
                <w:szCs w:val="23"/>
              </w:rPr>
              <w:t xml:space="preserve">散户2(田间 </w:t>
            </w:r>
            <w:r>
              <w:rPr>
                <w:spacing w:val="21"/>
                <w:sz w:val="23"/>
                <w:szCs w:val="23"/>
              </w:rPr>
              <w:t>农户看地)</w:t>
            </w:r>
          </w:p>
        </w:tc>
        <w:tc>
          <w:tcPr>
            <w:tcW w:w="1418" w:type="dxa"/>
            <w:vAlign w:val="top"/>
          </w:tcPr>
          <w:p w14:paraId="6F68298C">
            <w:pPr>
              <w:pStyle w:val="6"/>
              <w:spacing w:before="271" w:line="220" w:lineRule="auto"/>
              <w:ind w:left="62"/>
              <w:rPr>
                <w:sz w:val="23"/>
                <w:szCs w:val="23"/>
              </w:rPr>
            </w:pPr>
            <w:r>
              <w:rPr>
                <w:spacing w:val="-2"/>
                <w:sz w:val="23"/>
                <w:szCs w:val="23"/>
              </w:rPr>
              <w:t>场界距离22m</w:t>
            </w:r>
          </w:p>
        </w:tc>
        <w:tc>
          <w:tcPr>
            <w:tcW w:w="1229" w:type="dxa"/>
            <w:vAlign w:val="top"/>
          </w:tcPr>
          <w:p w14:paraId="29D3FD09">
            <w:pPr>
              <w:pStyle w:val="6"/>
              <w:spacing w:before="293" w:line="239" w:lineRule="auto"/>
              <w:ind w:left="314"/>
              <w:rPr>
                <w:sz w:val="23"/>
                <w:szCs w:val="23"/>
              </w:rPr>
            </w:pPr>
            <w:r>
              <w:rPr>
                <w:spacing w:val="-3"/>
                <w:sz w:val="23"/>
                <w:szCs w:val="23"/>
              </w:rPr>
              <w:t>33.15</w:t>
            </w:r>
          </w:p>
        </w:tc>
        <w:tc>
          <w:tcPr>
            <w:tcW w:w="889" w:type="dxa"/>
            <w:vAlign w:val="top"/>
          </w:tcPr>
          <w:p w14:paraId="572D9361">
            <w:pPr>
              <w:pStyle w:val="6"/>
              <w:spacing w:before="293" w:line="241" w:lineRule="auto"/>
              <w:ind w:left="325"/>
              <w:rPr>
                <w:sz w:val="23"/>
                <w:szCs w:val="23"/>
              </w:rPr>
            </w:pPr>
            <w:r>
              <w:rPr>
                <w:spacing w:val="-3"/>
                <w:sz w:val="23"/>
                <w:szCs w:val="23"/>
              </w:rPr>
              <w:t>44</w:t>
            </w:r>
          </w:p>
        </w:tc>
        <w:tc>
          <w:tcPr>
            <w:tcW w:w="719" w:type="dxa"/>
            <w:vAlign w:val="top"/>
          </w:tcPr>
          <w:p w14:paraId="5F758320">
            <w:pPr>
              <w:pStyle w:val="6"/>
              <w:spacing w:before="293" w:line="239" w:lineRule="auto"/>
              <w:ind w:left="66"/>
              <w:rPr>
                <w:sz w:val="23"/>
                <w:szCs w:val="23"/>
              </w:rPr>
            </w:pPr>
            <w:r>
              <w:rPr>
                <w:spacing w:val="-2"/>
                <w:sz w:val="23"/>
                <w:szCs w:val="23"/>
              </w:rPr>
              <w:t>44.35</w:t>
            </w:r>
          </w:p>
        </w:tc>
        <w:tc>
          <w:tcPr>
            <w:tcW w:w="1179" w:type="dxa"/>
            <w:vAlign w:val="top"/>
          </w:tcPr>
          <w:p w14:paraId="3A1F94D3">
            <w:pPr>
              <w:pStyle w:val="6"/>
              <w:spacing w:before="293" w:line="239" w:lineRule="auto"/>
              <w:ind w:left="357"/>
              <w:rPr>
                <w:sz w:val="23"/>
                <w:szCs w:val="23"/>
              </w:rPr>
            </w:pPr>
            <w:r>
              <w:rPr>
                <w:spacing w:val="-3"/>
                <w:sz w:val="23"/>
                <w:szCs w:val="23"/>
              </w:rPr>
              <w:t>0.35</w:t>
            </w:r>
          </w:p>
        </w:tc>
        <w:tc>
          <w:tcPr>
            <w:tcW w:w="799" w:type="dxa"/>
            <w:vAlign w:val="top"/>
          </w:tcPr>
          <w:p w14:paraId="63B53B79">
            <w:pPr>
              <w:pStyle w:val="6"/>
              <w:spacing w:before="292"/>
              <w:ind w:left="277"/>
              <w:rPr>
                <w:sz w:val="23"/>
                <w:szCs w:val="23"/>
              </w:rPr>
            </w:pPr>
            <w:r>
              <w:rPr>
                <w:spacing w:val="-3"/>
                <w:sz w:val="23"/>
                <w:szCs w:val="23"/>
              </w:rPr>
              <w:t>45</w:t>
            </w:r>
          </w:p>
        </w:tc>
        <w:tc>
          <w:tcPr>
            <w:tcW w:w="604" w:type="dxa"/>
            <w:vAlign w:val="top"/>
          </w:tcPr>
          <w:p w14:paraId="280783BF">
            <w:pPr>
              <w:pStyle w:val="6"/>
              <w:spacing w:before="271" w:line="220" w:lineRule="auto"/>
              <w:ind w:left="69"/>
              <w:rPr>
                <w:sz w:val="23"/>
                <w:szCs w:val="23"/>
              </w:rPr>
            </w:pPr>
            <w:r>
              <w:rPr>
                <w:spacing w:val="-3"/>
                <w:sz w:val="23"/>
                <w:szCs w:val="23"/>
              </w:rPr>
              <w:t>达标</w:t>
            </w:r>
          </w:p>
        </w:tc>
      </w:tr>
      <w:tr w14:paraId="6D6F5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84" w:type="dxa"/>
            <w:vMerge w:val="continue"/>
            <w:tcBorders>
              <w:top w:val="nil"/>
              <w:bottom w:val="nil"/>
            </w:tcBorders>
            <w:vAlign w:val="top"/>
          </w:tcPr>
          <w:p w14:paraId="62CFBB63">
            <w:pPr>
              <w:rPr>
                <w:rFonts w:ascii="Arial"/>
                <w:sz w:val="21"/>
              </w:rPr>
            </w:pPr>
          </w:p>
        </w:tc>
        <w:tc>
          <w:tcPr>
            <w:tcW w:w="260" w:type="dxa"/>
            <w:vAlign w:val="top"/>
          </w:tcPr>
          <w:p w14:paraId="2D60D198">
            <w:pPr>
              <w:pStyle w:val="6"/>
              <w:spacing w:before="313"/>
              <w:ind w:left="121"/>
              <w:rPr>
                <w:sz w:val="23"/>
                <w:szCs w:val="23"/>
              </w:rPr>
            </w:pPr>
            <w:r>
              <w:rPr>
                <w:sz w:val="23"/>
                <w:szCs w:val="23"/>
              </w:rPr>
              <w:t>8</w:t>
            </w:r>
          </w:p>
        </w:tc>
        <w:tc>
          <w:tcPr>
            <w:tcW w:w="1229" w:type="dxa"/>
            <w:vAlign w:val="top"/>
          </w:tcPr>
          <w:p w14:paraId="1D4EF537">
            <w:pPr>
              <w:pStyle w:val="6"/>
              <w:spacing w:before="60" w:line="209" w:lineRule="auto"/>
              <w:ind w:left="81"/>
              <w:rPr>
                <w:sz w:val="23"/>
                <w:szCs w:val="23"/>
              </w:rPr>
            </w:pPr>
            <w:r>
              <w:rPr>
                <w:spacing w:val="3"/>
                <w:sz w:val="23"/>
                <w:szCs w:val="23"/>
              </w:rPr>
              <w:t>23#大莫古</w:t>
            </w:r>
          </w:p>
          <w:p w14:paraId="2886F10C">
            <w:pPr>
              <w:pStyle w:val="6"/>
              <w:spacing w:before="1" w:line="187" w:lineRule="auto"/>
              <w:ind w:left="81" w:right="15" w:hanging="50"/>
              <w:rPr>
                <w:sz w:val="23"/>
                <w:szCs w:val="23"/>
              </w:rPr>
            </w:pPr>
            <w:r>
              <w:rPr>
                <w:spacing w:val="3"/>
                <w:sz w:val="23"/>
                <w:szCs w:val="23"/>
              </w:rPr>
              <w:t xml:space="preserve">散户1(田间 </w:t>
            </w:r>
            <w:r>
              <w:rPr>
                <w:spacing w:val="11"/>
                <w:sz w:val="23"/>
                <w:szCs w:val="23"/>
              </w:rPr>
              <w:t>农户看地)</w:t>
            </w:r>
          </w:p>
        </w:tc>
        <w:tc>
          <w:tcPr>
            <w:tcW w:w="1418" w:type="dxa"/>
            <w:vAlign w:val="top"/>
          </w:tcPr>
          <w:p w14:paraId="6FE944B3">
            <w:pPr>
              <w:pStyle w:val="6"/>
              <w:spacing w:before="292" w:line="220" w:lineRule="auto"/>
              <w:ind w:left="122"/>
              <w:rPr>
                <w:sz w:val="23"/>
                <w:szCs w:val="23"/>
              </w:rPr>
            </w:pPr>
            <w:r>
              <w:rPr>
                <w:spacing w:val="-2"/>
                <w:sz w:val="23"/>
                <w:szCs w:val="23"/>
              </w:rPr>
              <w:t>场界距离2m</w:t>
            </w:r>
          </w:p>
        </w:tc>
        <w:tc>
          <w:tcPr>
            <w:tcW w:w="1229" w:type="dxa"/>
            <w:vAlign w:val="top"/>
          </w:tcPr>
          <w:p w14:paraId="78A6510B">
            <w:pPr>
              <w:pStyle w:val="6"/>
              <w:spacing w:before="314" w:line="239" w:lineRule="auto"/>
              <w:ind w:left="314"/>
              <w:rPr>
                <w:sz w:val="23"/>
                <w:szCs w:val="23"/>
              </w:rPr>
            </w:pPr>
            <w:r>
              <w:rPr>
                <w:spacing w:val="-3"/>
                <w:sz w:val="23"/>
                <w:szCs w:val="23"/>
              </w:rPr>
              <w:t>53.98</w:t>
            </w:r>
          </w:p>
        </w:tc>
        <w:tc>
          <w:tcPr>
            <w:tcW w:w="889" w:type="dxa"/>
            <w:vAlign w:val="top"/>
          </w:tcPr>
          <w:p w14:paraId="12CBBCCC">
            <w:pPr>
              <w:pStyle w:val="6"/>
              <w:spacing w:before="313"/>
              <w:ind w:left="325"/>
              <w:rPr>
                <w:sz w:val="23"/>
                <w:szCs w:val="23"/>
              </w:rPr>
            </w:pPr>
            <w:r>
              <w:rPr>
                <w:spacing w:val="-3"/>
                <w:sz w:val="23"/>
                <w:szCs w:val="23"/>
              </w:rPr>
              <w:t>43</w:t>
            </w:r>
          </w:p>
        </w:tc>
        <w:tc>
          <w:tcPr>
            <w:tcW w:w="719" w:type="dxa"/>
            <w:vAlign w:val="top"/>
          </w:tcPr>
          <w:p w14:paraId="530D9787">
            <w:pPr>
              <w:pStyle w:val="6"/>
              <w:spacing w:before="314" w:line="239" w:lineRule="auto"/>
              <w:ind w:left="66"/>
              <w:rPr>
                <w:sz w:val="23"/>
                <w:szCs w:val="23"/>
              </w:rPr>
            </w:pPr>
            <w:r>
              <w:rPr>
                <w:spacing w:val="-3"/>
                <w:sz w:val="23"/>
                <w:szCs w:val="23"/>
              </w:rPr>
              <w:t>54.31</w:t>
            </w:r>
          </w:p>
        </w:tc>
        <w:tc>
          <w:tcPr>
            <w:tcW w:w="1179" w:type="dxa"/>
            <w:vAlign w:val="top"/>
          </w:tcPr>
          <w:p w14:paraId="7682A025">
            <w:pPr>
              <w:pStyle w:val="6"/>
              <w:spacing w:before="314" w:line="239" w:lineRule="auto"/>
              <w:ind w:left="297"/>
              <w:rPr>
                <w:sz w:val="23"/>
                <w:szCs w:val="23"/>
              </w:rPr>
            </w:pPr>
            <w:r>
              <w:rPr>
                <w:spacing w:val="-5"/>
                <w:sz w:val="23"/>
                <w:szCs w:val="23"/>
              </w:rPr>
              <w:t>11.31</w:t>
            </w:r>
          </w:p>
        </w:tc>
        <w:tc>
          <w:tcPr>
            <w:tcW w:w="799" w:type="dxa"/>
            <w:vAlign w:val="top"/>
          </w:tcPr>
          <w:p w14:paraId="1F8053F5">
            <w:pPr>
              <w:pStyle w:val="6"/>
              <w:spacing w:before="313"/>
              <w:ind w:left="277"/>
              <w:rPr>
                <w:sz w:val="23"/>
                <w:szCs w:val="23"/>
              </w:rPr>
            </w:pPr>
            <w:r>
              <w:rPr>
                <w:spacing w:val="-3"/>
                <w:sz w:val="23"/>
                <w:szCs w:val="23"/>
              </w:rPr>
              <w:t>45</w:t>
            </w:r>
          </w:p>
        </w:tc>
        <w:tc>
          <w:tcPr>
            <w:tcW w:w="604" w:type="dxa"/>
            <w:vAlign w:val="top"/>
          </w:tcPr>
          <w:p w14:paraId="77553C37">
            <w:pPr>
              <w:pStyle w:val="6"/>
              <w:spacing w:before="292" w:line="220" w:lineRule="auto"/>
              <w:ind w:left="69"/>
              <w:rPr>
                <w:sz w:val="23"/>
                <w:szCs w:val="23"/>
              </w:rPr>
            </w:pPr>
            <w:r>
              <w:rPr>
                <w:spacing w:val="-3"/>
                <w:sz w:val="23"/>
                <w:szCs w:val="23"/>
              </w:rPr>
              <w:t>超标</w:t>
            </w:r>
          </w:p>
        </w:tc>
      </w:tr>
      <w:tr w14:paraId="5F69F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884" w:type="dxa"/>
            <w:vMerge w:val="continue"/>
            <w:tcBorders>
              <w:top w:val="nil"/>
              <w:bottom w:val="nil"/>
            </w:tcBorders>
            <w:vAlign w:val="top"/>
          </w:tcPr>
          <w:p w14:paraId="698391DA">
            <w:pPr>
              <w:rPr>
                <w:rFonts w:ascii="Arial"/>
                <w:sz w:val="21"/>
              </w:rPr>
            </w:pPr>
          </w:p>
        </w:tc>
        <w:tc>
          <w:tcPr>
            <w:tcW w:w="260" w:type="dxa"/>
            <w:vAlign w:val="top"/>
          </w:tcPr>
          <w:p w14:paraId="17255A24">
            <w:pPr>
              <w:pStyle w:val="6"/>
              <w:spacing w:before="184"/>
              <w:ind w:left="121"/>
              <w:rPr>
                <w:sz w:val="23"/>
                <w:szCs w:val="23"/>
              </w:rPr>
            </w:pPr>
            <w:r>
              <w:rPr>
                <w:sz w:val="23"/>
                <w:szCs w:val="23"/>
              </w:rPr>
              <w:t>9</w:t>
            </w:r>
          </w:p>
        </w:tc>
        <w:tc>
          <w:tcPr>
            <w:tcW w:w="1229" w:type="dxa"/>
            <w:vAlign w:val="top"/>
          </w:tcPr>
          <w:p w14:paraId="5F28B055">
            <w:pPr>
              <w:pStyle w:val="6"/>
              <w:spacing w:before="41" w:line="196" w:lineRule="auto"/>
              <w:ind w:left="431" w:right="28" w:hanging="400"/>
              <w:rPr>
                <w:sz w:val="23"/>
                <w:szCs w:val="23"/>
              </w:rPr>
            </w:pPr>
            <w:r>
              <w:rPr>
                <w:spacing w:val="1"/>
                <w:sz w:val="23"/>
                <w:szCs w:val="23"/>
              </w:rPr>
              <w:t>3#栗树园散</w:t>
            </w:r>
            <w:r>
              <w:rPr>
                <w:spacing w:val="2"/>
                <w:sz w:val="23"/>
                <w:szCs w:val="23"/>
              </w:rPr>
              <w:t xml:space="preserve"> </w:t>
            </w:r>
            <w:r>
              <w:rPr>
                <w:spacing w:val="-4"/>
                <w:sz w:val="23"/>
                <w:szCs w:val="23"/>
              </w:rPr>
              <w:t>户2</w:t>
            </w:r>
          </w:p>
        </w:tc>
        <w:tc>
          <w:tcPr>
            <w:tcW w:w="1418" w:type="dxa"/>
            <w:vAlign w:val="top"/>
          </w:tcPr>
          <w:p w14:paraId="4B9C868B">
            <w:pPr>
              <w:pStyle w:val="6"/>
              <w:spacing w:before="163" w:line="220" w:lineRule="auto"/>
              <w:ind w:left="122"/>
              <w:rPr>
                <w:sz w:val="23"/>
                <w:szCs w:val="23"/>
              </w:rPr>
            </w:pPr>
            <w:r>
              <w:rPr>
                <w:spacing w:val="-2"/>
                <w:sz w:val="23"/>
                <w:szCs w:val="23"/>
              </w:rPr>
              <w:t>场界距离1m</w:t>
            </w:r>
          </w:p>
        </w:tc>
        <w:tc>
          <w:tcPr>
            <w:tcW w:w="1229" w:type="dxa"/>
            <w:vAlign w:val="top"/>
          </w:tcPr>
          <w:p w14:paraId="5B072D64">
            <w:pPr>
              <w:pStyle w:val="6"/>
              <w:spacing w:before="184"/>
              <w:ind w:left="494"/>
              <w:rPr>
                <w:sz w:val="23"/>
                <w:szCs w:val="23"/>
              </w:rPr>
            </w:pPr>
            <w:r>
              <w:rPr>
                <w:spacing w:val="-3"/>
                <w:sz w:val="23"/>
                <w:szCs w:val="23"/>
              </w:rPr>
              <w:t>60</w:t>
            </w:r>
          </w:p>
        </w:tc>
        <w:tc>
          <w:tcPr>
            <w:tcW w:w="889" w:type="dxa"/>
            <w:vAlign w:val="top"/>
          </w:tcPr>
          <w:p w14:paraId="73933A27">
            <w:pPr>
              <w:pStyle w:val="6"/>
              <w:spacing w:before="184"/>
              <w:ind w:left="325"/>
              <w:rPr>
                <w:sz w:val="23"/>
                <w:szCs w:val="23"/>
              </w:rPr>
            </w:pPr>
            <w:r>
              <w:rPr>
                <w:spacing w:val="-3"/>
                <w:sz w:val="23"/>
                <w:szCs w:val="23"/>
              </w:rPr>
              <w:t>43</w:t>
            </w:r>
          </w:p>
        </w:tc>
        <w:tc>
          <w:tcPr>
            <w:tcW w:w="719" w:type="dxa"/>
            <w:vAlign w:val="top"/>
          </w:tcPr>
          <w:p w14:paraId="162B7970">
            <w:pPr>
              <w:pStyle w:val="6"/>
              <w:spacing w:before="185" w:line="239" w:lineRule="auto"/>
              <w:ind w:left="66"/>
              <w:rPr>
                <w:sz w:val="23"/>
                <w:szCs w:val="23"/>
              </w:rPr>
            </w:pPr>
            <w:r>
              <w:rPr>
                <w:spacing w:val="-2"/>
                <w:sz w:val="23"/>
                <w:szCs w:val="23"/>
              </w:rPr>
              <w:t>60.09</w:t>
            </w:r>
          </w:p>
        </w:tc>
        <w:tc>
          <w:tcPr>
            <w:tcW w:w="1179" w:type="dxa"/>
            <w:vAlign w:val="top"/>
          </w:tcPr>
          <w:p w14:paraId="00C39EA7">
            <w:pPr>
              <w:pStyle w:val="6"/>
              <w:spacing w:before="185" w:line="239" w:lineRule="auto"/>
              <w:ind w:left="297"/>
              <w:rPr>
                <w:sz w:val="23"/>
                <w:szCs w:val="23"/>
              </w:rPr>
            </w:pPr>
            <w:r>
              <w:rPr>
                <w:spacing w:val="-5"/>
                <w:sz w:val="23"/>
                <w:szCs w:val="23"/>
              </w:rPr>
              <w:t>17.09</w:t>
            </w:r>
          </w:p>
        </w:tc>
        <w:tc>
          <w:tcPr>
            <w:tcW w:w="799" w:type="dxa"/>
            <w:vAlign w:val="top"/>
          </w:tcPr>
          <w:p w14:paraId="6588F21A">
            <w:pPr>
              <w:pStyle w:val="6"/>
              <w:spacing w:before="184"/>
              <w:ind w:left="277"/>
              <w:rPr>
                <w:sz w:val="23"/>
                <w:szCs w:val="23"/>
              </w:rPr>
            </w:pPr>
            <w:r>
              <w:rPr>
                <w:spacing w:val="-3"/>
                <w:sz w:val="23"/>
                <w:szCs w:val="23"/>
              </w:rPr>
              <w:t>45</w:t>
            </w:r>
          </w:p>
        </w:tc>
        <w:tc>
          <w:tcPr>
            <w:tcW w:w="604" w:type="dxa"/>
            <w:vAlign w:val="top"/>
          </w:tcPr>
          <w:p w14:paraId="340C2321">
            <w:pPr>
              <w:pStyle w:val="6"/>
              <w:spacing w:before="163" w:line="220" w:lineRule="auto"/>
              <w:ind w:left="69"/>
              <w:rPr>
                <w:sz w:val="23"/>
                <w:szCs w:val="23"/>
              </w:rPr>
            </w:pPr>
            <w:r>
              <w:rPr>
                <w:spacing w:val="-3"/>
                <w:sz w:val="23"/>
                <w:szCs w:val="23"/>
              </w:rPr>
              <w:t>超标</w:t>
            </w:r>
          </w:p>
        </w:tc>
      </w:tr>
      <w:tr w14:paraId="6AA3F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84" w:type="dxa"/>
            <w:vMerge w:val="continue"/>
            <w:tcBorders>
              <w:top w:val="nil"/>
              <w:bottom w:val="nil"/>
            </w:tcBorders>
            <w:vAlign w:val="top"/>
          </w:tcPr>
          <w:p w14:paraId="670BBEC0">
            <w:pPr>
              <w:rPr>
                <w:rFonts w:ascii="Arial"/>
                <w:sz w:val="21"/>
              </w:rPr>
            </w:pPr>
          </w:p>
        </w:tc>
        <w:tc>
          <w:tcPr>
            <w:tcW w:w="260" w:type="dxa"/>
            <w:vAlign w:val="top"/>
          </w:tcPr>
          <w:p w14:paraId="7BED54E7">
            <w:pPr>
              <w:pStyle w:val="6"/>
              <w:spacing w:before="75" w:line="196" w:lineRule="auto"/>
              <w:ind w:left="1"/>
              <w:rPr>
                <w:sz w:val="23"/>
                <w:szCs w:val="23"/>
              </w:rPr>
            </w:pPr>
            <w:r>
              <w:rPr>
                <w:spacing w:val="-7"/>
                <w:sz w:val="23"/>
                <w:szCs w:val="23"/>
              </w:rPr>
              <w:t>10</w:t>
            </w:r>
          </w:p>
        </w:tc>
        <w:tc>
          <w:tcPr>
            <w:tcW w:w="1229" w:type="dxa"/>
            <w:vAlign w:val="top"/>
          </w:tcPr>
          <w:p w14:paraId="026B7743">
            <w:pPr>
              <w:pStyle w:val="6"/>
              <w:spacing w:before="52" w:line="215" w:lineRule="auto"/>
              <w:ind w:left="141"/>
              <w:rPr>
                <w:sz w:val="23"/>
                <w:szCs w:val="23"/>
              </w:rPr>
            </w:pPr>
            <w:r>
              <w:rPr>
                <w:spacing w:val="4"/>
                <w:sz w:val="23"/>
                <w:szCs w:val="23"/>
              </w:rPr>
              <w:t>4#栗树园</w:t>
            </w:r>
          </w:p>
        </w:tc>
        <w:tc>
          <w:tcPr>
            <w:tcW w:w="1418" w:type="dxa"/>
            <w:vAlign w:val="top"/>
          </w:tcPr>
          <w:p w14:paraId="135E83CA">
            <w:pPr>
              <w:pStyle w:val="6"/>
              <w:spacing w:before="53" w:line="214" w:lineRule="auto"/>
              <w:ind w:left="122"/>
              <w:rPr>
                <w:sz w:val="23"/>
                <w:szCs w:val="23"/>
              </w:rPr>
            </w:pPr>
            <w:r>
              <w:rPr>
                <w:spacing w:val="-2"/>
                <w:sz w:val="23"/>
                <w:szCs w:val="23"/>
              </w:rPr>
              <w:t>场界距离3m</w:t>
            </w:r>
          </w:p>
        </w:tc>
        <w:tc>
          <w:tcPr>
            <w:tcW w:w="1229" w:type="dxa"/>
            <w:vAlign w:val="top"/>
          </w:tcPr>
          <w:p w14:paraId="1257A63D">
            <w:pPr>
              <w:pStyle w:val="6"/>
              <w:spacing w:before="75" w:line="196" w:lineRule="auto"/>
              <w:ind w:left="314"/>
              <w:rPr>
                <w:sz w:val="23"/>
                <w:szCs w:val="23"/>
              </w:rPr>
            </w:pPr>
            <w:r>
              <w:rPr>
                <w:spacing w:val="-3"/>
                <w:sz w:val="23"/>
                <w:szCs w:val="23"/>
              </w:rPr>
              <w:t>50.46</w:t>
            </w:r>
          </w:p>
        </w:tc>
        <w:tc>
          <w:tcPr>
            <w:tcW w:w="889" w:type="dxa"/>
            <w:vAlign w:val="top"/>
          </w:tcPr>
          <w:p w14:paraId="74CD5656">
            <w:pPr>
              <w:pStyle w:val="6"/>
              <w:spacing w:before="75" w:line="196" w:lineRule="auto"/>
              <w:ind w:left="325"/>
              <w:rPr>
                <w:sz w:val="23"/>
                <w:szCs w:val="23"/>
              </w:rPr>
            </w:pPr>
            <w:r>
              <w:rPr>
                <w:spacing w:val="-3"/>
                <w:sz w:val="23"/>
                <w:szCs w:val="23"/>
              </w:rPr>
              <w:t>42</w:t>
            </w:r>
          </w:p>
        </w:tc>
        <w:tc>
          <w:tcPr>
            <w:tcW w:w="719" w:type="dxa"/>
            <w:vAlign w:val="top"/>
          </w:tcPr>
          <w:p w14:paraId="4155C5F5">
            <w:pPr>
              <w:pStyle w:val="6"/>
              <w:spacing w:before="75" w:line="196" w:lineRule="auto"/>
              <w:ind w:left="66"/>
              <w:rPr>
                <w:sz w:val="23"/>
                <w:szCs w:val="23"/>
              </w:rPr>
            </w:pPr>
            <w:r>
              <w:rPr>
                <w:spacing w:val="-3"/>
                <w:sz w:val="23"/>
                <w:szCs w:val="23"/>
              </w:rPr>
              <w:t>51.04</w:t>
            </w:r>
          </w:p>
        </w:tc>
        <w:tc>
          <w:tcPr>
            <w:tcW w:w="1179" w:type="dxa"/>
            <w:vAlign w:val="top"/>
          </w:tcPr>
          <w:p w14:paraId="6454E83A">
            <w:pPr>
              <w:pStyle w:val="6"/>
              <w:spacing w:before="75" w:line="196" w:lineRule="auto"/>
              <w:ind w:left="357"/>
              <w:rPr>
                <w:sz w:val="23"/>
                <w:szCs w:val="23"/>
              </w:rPr>
            </w:pPr>
            <w:r>
              <w:rPr>
                <w:spacing w:val="-2"/>
                <w:sz w:val="23"/>
                <w:szCs w:val="23"/>
              </w:rPr>
              <w:t>9.04</w:t>
            </w:r>
          </w:p>
        </w:tc>
        <w:tc>
          <w:tcPr>
            <w:tcW w:w="799" w:type="dxa"/>
            <w:vAlign w:val="top"/>
          </w:tcPr>
          <w:p w14:paraId="31F3AC52">
            <w:pPr>
              <w:pStyle w:val="6"/>
              <w:spacing w:before="75" w:line="196" w:lineRule="auto"/>
              <w:ind w:left="277"/>
              <w:rPr>
                <w:sz w:val="23"/>
                <w:szCs w:val="23"/>
              </w:rPr>
            </w:pPr>
            <w:r>
              <w:rPr>
                <w:spacing w:val="-4"/>
                <w:sz w:val="23"/>
                <w:szCs w:val="23"/>
              </w:rPr>
              <w:t>55</w:t>
            </w:r>
          </w:p>
        </w:tc>
        <w:tc>
          <w:tcPr>
            <w:tcW w:w="604" w:type="dxa"/>
            <w:vAlign w:val="top"/>
          </w:tcPr>
          <w:p w14:paraId="60576268">
            <w:pPr>
              <w:pStyle w:val="6"/>
              <w:spacing w:before="53" w:line="214" w:lineRule="auto"/>
              <w:ind w:left="69"/>
              <w:rPr>
                <w:sz w:val="23"/>
                <w:szCs w:val="23"/>
              </w:rPr>
            </w:pPr>
            <w:r>
              <w:rPr>
                <w:spacing w:val="-3"/>
                <w:sz w:val="23"/>
                <w:szCs w:val="23"/>
              </w:rPr>
              <w:t>达标</w:t>
            </w:r>
          </w:p>
        </w:tc>
      </w:tr>
      <w:tr w14:paraId="47E49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884" w:type="dxa"/>
            <w:vMerge w:val="continue"/>
            <w:tcBorders>
              <w:top w:val="nil"/>
              <w:bottom w:val="nil"/>
            </w:tcBorders>
            <w:vAlign w:val="top"/>
          </w:tcPr>
          <w:p w14:paraId="53AEE8BA">
            <w:pPr>
              <w:rPr>
                <w:rFonts w:ascii="Arial"/>
                <w:sz w:val="21"/>
              </w:rPr>
            </w:pPr>
          </w:p>
        </w:tc>
        <w:tc>
          <w:tcPr>
            <w:tcW w:w="260" w:type="dxa"/>
            <w:vAlign w:val="top"/>
          </w:tcPr>
          <w:p w14:paraId="0DAFDFC9">
            <w:pPr>
              <w:pStyle w:val="6"/>
              <w:spacing w:before="305" w:line="241" w:lineRule="auto"/>
              <w:ind w:left="1"/>
              <w:rPr>
                <w:sz w:val="23"/>
                <w:szCs w:val="23"/>
              </w:rPr>
            </w:pPr>
            <w:r>
              <w:rPr>
                <w:spacing w:val="-7"/>
                <w:sz w:val="23"/>
                <w:szCs w:val="23"/>
              </w:rPr>
              <w:t>11</w:t>
            </w:r>
          </w:p>
        </w:tc>
        <w:tc>
          <w:tcPr>
            <w:tcW w:w="1229" w:type="dxa"/>
            <w:vAlign w:val="top"/>
          </w:tcPr>
          <w:p w14:paraId="503AD118">
            <w:pPr>
              <w:pStyle w:val="6"/>
              <w:spacing w:before="51" w:line="209" w:lineRule="auto"/>
              <w:ind w:left="31"/>
              <w:rPr>
                <w:sz w:val="23"/>
                <w:szCs w:val="23"/>
              </w:rPr>
            </w:pPr>
            <w:r>
              <w:rPr>
                <w:spacing w:val="1"/>
                <w:sz w:val="23"/>
                <w:szCs w:val="23"/>
              </w:rPr>
              <w:t>5#栗树园村</w:t>
            </w:r>
          </w:p>
          <w:p w14:paraId="2682961A">
            <w:pPr>
              <w:pStyle w:val="6"/>
              <w:spacing w:line="187" w:lineRule="auto"/>
              <w:ind w:left="81" w:right="15" w:hanging="50"/>
              <w:rPr>
                <w:sz w:val="23"/>
                <w:szCs w:val="23"/>
              </w:rPr>
            </w:pPr>
            <w:r>
              <w:rPr>
                <w:spacing w:val="3"/>
                <w:sz w:val="23"/>
                <w:szCs w:val="23"/>
              </w:rPr>
              <w:t xml:space="preserve">散户3(田间 </w:t>
            </w:r>
            <w:r>
              <w:rPr>
                <w:spacing w:val="11"/>
                <w:sz w:val="23"/>
                <w:szCs w:val="23"/>
              </w:rPr>
              <w:t>农户看地)</w:t>
            </w:r>
          </w:p>
        </w:tc>
        <w:tc>
          <w:tcPr>
            <w:tcW w:w="1418" w:type="dxa"/>
            <w:vAlign w:val="top"/>
          </w:tcPr>
          <w:p w14:paraId="25EF3636">
            <w:pPr>
              <w:pStyle w:val="6"/>
              <w:spacing w:before="283" w:line="220" w:lineRule="auto"/>
              <w:ind w:left="62"/>
              <w:rPr>
                <w:sz w:val="23"/>
                <w:szCs w:val="23"/>
              </w:rPr>
            </w:pPr>
            <w:r>
              <w:rPr>
                <w:spacing w:val="-2"/>
                <w:sz w:val="23"/>
                <w:szCs w:val="23"/>
              </w:rPr>
              <w:t>场界距离16m</w:t>
            </w:r>
          </w:p>
        </w:tc>
        <w:tc>
          <w:tcPr>
            <w:tcW w:w="1229" w:type="dxa"/>
            <w:vAlign w:val="top"/>
          </w:tcPr>
          <w:p w14:paraId="67BF3D7A">
            <w:pPr>
              <w:pStyle w:val="6"/>
              <w:spacing w:before="305" w:line="239" w:lineRule="auto"/>
              <w:ind w:left="314"/>
              <w:rPr>
                <w:sz w:val="23"/>
                <w:szCs w:val="23"/>
              </w:rPr>
            </w:pPr>
            <w:r>
              <w:rPr>
                <w:spacing w:val="-3"/>
                <w:sz w:val="23"/>
                <w:szCs w:val="23"/>
              </w:rPr>
              <w:t>35.92</w:t>
            </w:r>
          </w:p>
        </w:tc>
        <w:tc>
          <w:tcPr>
            <w:tcW w:w="889" w:type="dxa"/>
            <w:vAlign w:val="top"/>
          </w:tcPr>
          <w:p w14:paraId="4896C41F">
            <w:pPr>
              <w:pStyle w:val="6"/>
              <w:spacing w:before="304"/>
              <w:ind w:left="325"/>
              <w:rPr>
                <w:sz w:val="23"/>
                <w:szCs w:val="23"/>
              </w:rPr>
            </w:pPr>
            <w:r>
              <w:rPr>
                <w:spacing w:val="-4"/>
                <w:sz w:val="23"/>
                <w:szCs w:val="23"/>
              </w:rPr>
              <w:t>55</w:t>
            </w:r>
          </w:p>
        </w:tc>
        <w:tc>
          <w:tcPr>
            <w:tcW w:w="719" w:type="dxa"/>
            <w:vAlign w:val="top"/>
          </w:tcPr>
          <w:p w14:paraId="3F3403F8">
            <w:pPr>
              <w:pStyle w:val="6"/>
              <w:spacing w:before="305" w:line="239" w:lineRule="auto"/>
              <w:ind w:left="66"/>
              <w:rPr>
                <w:sz w:val="23"/>
                <w:szCs w:val="23"/>
              </w:rPr>
            </w:pPr>
            <w:r>
              <w:rPr>
                <w:spacing w:val="-3"/>
                <w:sz w:val="23"/>
                <w:szCs w:val="23"/>
              </w:rPr>
              <w:t>55.05</w:t>
            </w:r>
          </w:p>
        </w:tc>
        <w:tc>
          <w:tcPr>
            <w:tcW w:w="1179" w:type="dxa"/>
            <w:vAlign w:val="top"/>
          </w:tcPr>
          <w:p w14:paraId="2897F0BB">
            <w:pPr>
              <w:pStyle w:val="6"/>
              <w:spacing w:before="305" w:line="239" w:lineRule="auto"/>
              <w:ind w:left="357"/>
              <w:rPr>
                <w:sz w:val="23"/>
                <w:szCs w:val="23"/>
              </w:rPr>
            </w:pPr>
            <w:r>
              <w:rPr>
                <w:spacing w:val="-3"/>
                <w:sz w:val="23"/>
                <w:szCs w:val="23"/>
              </w:rPr>
              <w:t>0.05</w:t>
            </w:r>
          </w:p>
        </w:tc>
        <w:tc>
          <w:tcPr>
            <w:tcW w:w="799" w:type="dxa"/>
            <w:vAlign w:val="top"/>
          </w:tcPr>
          <w:p w14:paraId="4A2785E4">
            <w:pPr>
              <w:pStyle w:val="6"/>
              <w:spacing w:before="304"/>
              <w:ind w:left="277"/>
              <w:rPr>
                <w:sz w:val="23"/>
                <w:szCs w:val="23"/>
              </w:rPr>
            </w:pPr>
            <w:r>
              <w:rPr>
                <w:spacing w:val="-4"/>
                <w:sz w:val="23"/>
                <w:szCs w:val="23"/>
              </w:rPr>
              <w:t>55</w:t>
            </w:r>
          </w:p>
        </w:tc>
        <w:tc>
          <w:tcPr>
            <w:tcW w:w="604" w:type="dxa"/>
            <w:vAlign w:val="top"/>
          </w:tcPr>
          <w:p w14:paraId="33B224C2">
            <w:pPr>
              <w:pStyle w:val="6"/>
              <w:spacing w:before="283" w:line="220" w:lineRule="auto"/>
              <w:ind w:left="69"/>
              <w:rPr>
                <w:sz w:val="23"/>
                <w:szCs w:val="23"/>
              </w:rPr>
            </w:pPr>
            <w:r>
              <w:rPr>
                <w:spacing w:val="-3"/>
                <w:sz w:val="23"/>
                <w:szCs w:val="23"/>
              </w:rPr>
              <w:t>超标</w:t>
            </w:r>
          </w:p>
        </w:tc>
      </w:tr>
      <w:tr w14:paraId="098A0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84" w:type="dxa"/>
            <w:vMerge w:val="continue"/>
            <w:tcBorders>
              <w:top w:val="nil"/>
              <w:bottom w:val="nil"/>
            </w:tcBorders>
            <w:vAlign w:val="top"/>
          </w:tcPr>
          <w:p w14:paraId="0A04DD4C">
            <w:pPr>
              <w:rPr>
                <w:rFonts w:ascii="Arial"/>
                <w:sz w:val="21"/>
              </w:rPr>
            </w:pPr>
          </w:p>
        </w:tc>
        <w:tc>
          <w:tcPr>
            <w:tcW w:w="260" w:type="dxa"/>
            <w:vAlign w:val="top"/>
          </w:tcPr>
          <w:p w14:paraId="0B7B14B4">
            <w:pPr>
              <w:pStyle w:val="6"/>
              <w:spacing w:before="66" w:line="179" w:lineRule="auto"/>
              <w:ind w:left="11"/>
              <w:rPr>
                <w:sz w:val="23"/>
                <w:szCs w:val="23"/>
              </w:rPr>
            </w:pPr>
            <w:r>
              <w:rPr>
                <w:spacing w:val="-7"/>
                <w:sz w:val="23"/>
                <w:szCs w:val="23"/>
              </w:rPr>
              <w:t>12</w:t>
            </w:r>
          </w:p>
        </w:tc>
        <w:tc>
          <w:tcPr>
            <w:tcW w:w="1229" w:type="dxa"/>
            <w:vAlign w:val="top"/>
          </w:tcPr>
          <w:p w14:paraId="4AAEEE99">
            <w:pPr>
              <w:pStyle w:val="6"/>
              <w:spacing w:before="43" w:line="198" w:lineRule="auto"/>
              <w:ind w:left="31"/>
              <w:rPr>
                <w:sz w:val="23"/>
                <w:szCs w:val="23"/>
              </w:rPr>
            </w:pPr>
            <w:r>
              <w:rPr>
                <w:spacing w:val="-2"/>
                <w:sz w:val="23"/>
                <w:szCs w:val="23"/>
              </w:rPr>
              <w:t>6#大莫古镇</w:t>
            </w:r>
          </w:p>
        </w:tc>
        <w:tc>
          <w:tcPr>
            <w:tcW w:w="1418" w:type="dxa"/>
            <w:vAlign w:val="top"/>
          </w:tcPr>
          <w:p w14:paraId="47D7F978">
            <w:pPr>
              <w:pStyle w:val="6"/>
              <w:spacing w:before="44" w:line="197" w:lineRule="auto"/>
              <w:ind w:left="62"/>
              <w:rPr>
                <w:sz w:val="23"/>
                <w:szCs w:val="23"/>
              </w:rPr>
            </w:pPr>
            <w:r>
              <w:rPr>
                <w:spacing w:val="-2"/>
                <w:sz w:val="23"/>
                <w:szCs w:val="23"/>
              </w:rPr>
              <w:t>场界距离38m</w:t>
            </w:r>
          </w:p>
        </w:tc>
        <w:tc>
          <w:tcPr>
            <w:tcW w:w="1229" w:type="dxa"/>
            <w:vAlign w:val="top"/>
          </w:tcPr>
          <w:p w14:paraId="2E9402AC">
            <w:pPr>
              <w:pStyle w:val="6"/>
              <w:spacing w:before="66" w:line="179" w:lineRule="auto"/>
              <w:ind w:left="374"/>
              <w:rPr>
                <w:sz w:val="23"/>
                <w:szCs w:val="23"/>
              </w:rPr>
            </w:pPr>
            <w:r>
              <w:rPr>
                <w:spacing w:val="-3"/>
                <w:sz w:val="23"/>
                <w:szCs w:val="23"/>
              </w:rPr>
              <w:t>28.4</w:t>
            </w:r>
          </w:p>
        </w:tc>
        <w:tc>
          <w:tcPr>
            <w:tcW w:w="889" w:type="dxa"/>
            <w:vAlign w:val="top"/>
          </w:tcPr>
          <w:p w14:paraId="226C08FA">
            <w:pPr>
              <w:pStyle w:val="6"/>
              <w:spacing w:before="66" w:line="179" w:lineRule="auto"/>
              <w:ind w:left="325"/>
              <w:rPr>
                <w:sz w:val="23"/>
                <w:szCs w:val="23"/>
              </w:rPr>
            </w:pPr>
            <w:r>
              <w:rPr>
                <w:spacing w:val="-4"/>
                <w:sz w:val="23"/>
                <w:szCs w:val="23"/>
              </w:rPr>
              <w:t>53</w:t>
            </w:r>
          </w:p>
        </w:tc>
        <w:tc>
          <w:tcPr>
            <w:tcW w:w="719" w:type="dxa"/>
            <w:vAlign w:val="top"/>
          </w:tcPr>
          <w:p w14:paraId="1B6741BA">
            <w:pPr>
              <w:pStyle w:val="6"/>
              <w:spacing w:before="66" w:line="179" w:lineRule="auto"/>
              <w:ind w:left="66"/>
              <w:rPr>
                <w:sz w:val="23"/>
                <w:szCs w:val="23"/>
              </w:rPr>
            </w:pPr>
            <w:r>
              <w:rPr>
                <w:spacing w:val="-3"/>
                <w:sz w:val="23"/>
                <w:szCs w:val="23"/>
              </w:rPr>
              <w:t>53.02</w:t>
            </w:r>
          </w:p>
        </w:tc>
        <w:tc>
          <w:tcPr>
            <w:tcW w:w="1179" w:type="dxa"/>
            <w:vAlign w:val="top"/>
          </w:tcPr>
          <w:p w14:paraId="70E5D39E">
            <w:pPr>
              <w:pStyle w:val="6"/>
              <w:spacing w:before="66" w:line="179" w:lineRule="auto"/>
              <w:ind w:left="357"/>
              <w:rPr>
                <w:sz w:val="23"/>
                <w:szCs w:val="23"/>
              </w:rPr>
            </w:pPr>
            <w:r>
              <w:rPr>
                <w:spacing w:val="-3"/>
                <w:sz w:val="23"/>
                <w:szCs w:val="23"/>
              </w:rPr>
              <w:t>0.02</w:t>
            </w:r>
          </w:p>
        </w:tc>
        <w:tc>
          <w:tcPr>
            <w:tcW w:w="799" w:type="dxa"/>
            <w:vAlign w:val="top"/>
          </w:tcPr>
          <w:p w14:paraId="1307FB5E">
            <w:pPr>
              <w:pStyle w:val="6"/>
              <w:spacing w:before="66" w:line="179" w:lineRule="auto"/>
              <w:ind w:left="277"/>
              <w:rPr>
                <w:sz w:val="23"/>
                <w:szCs w:val="23"/>
              </w:rPr>
            </w:pPr>
            <w:r>
              <w:rPr>
                <w:spacing w:val="-4"/>
                <w:sz w:val="23"/>
                <w:szCs w:val="23"/>
              </w:rPr>
              <w:t>55</w:t>
            </w:r>
          </w:p>
        </w:tc>
        <w:tc>
          <w:tcPr>
            <w:tcW w:w="604" w:type="dxa"/>
            <w:vAlign w:val="top"/>
          </w:tcPr>
          <w:p w14:paraId="7D889055">
            <w:pPr>
              <w:pStyle w:val="6"/>
              <w:spacing w:before="44" w:line="197" w:lineRule="auto"/>
              <w:ind w:left="69"/>
              <w:rPr>
                <w:sz w:val="23"/>
                <w:szCs w:val="23"/>
              </w:rPr>
            </w:pPr>
            <w:r>
              <w:rPr>
                <w:spacing w:val="-3"/>
                <w:sz w:val="23"/>
                <w:szCs w:val="23"/>
              </w:rPr>
              <w:t>达标</w:t>
            </w:r>
          </w:p>
        </w:tc>
      </w:tr>
      <w:tr w14:paraId="5297486C">
        <w:tblPrEx>
          <w:tblCellMar>
            <w:top w:w="0" w:type="dxa"/>
            <w:left w:w="0" w:type="dxa"/>
            <w:bottom w:w="0" w:type="dxa"/>
            <w:right w:w="0" w:type="dxa"/>
          </w:tblCellMar>
        </w:tblPrEx>
        <w:trPr>
          <w:trHeight w:val="799" w:hRule="atLeast"/>
        </w:trPr>
        <w:tc>
          <w:tcPr>
            <w:tcW w:w="884" w:type="dxa"/>
            <w:vMerge w:val="continue"/>
            <w:tcBorders>
              <w:top w:val="nil"/>
              <w:bottom w:val="nil"/>
            </w:tcBorders>
            <w:vAlign w:val="top"/>
          </w:tcPr>
          <w:p w14:paraId="5289DEA8">
            <w:pPr>
              <w:rPr>
                <w:rFonts w:ascii="Arial"/>
                <w:sz w:val="21"/>
              </w:rPr>
            </w:pPr>
          </w:p>
        </w:tc>
        <w:tc>
          <w:tcPr>
            <w:tcW w:w="260" w:type="dxa"/>
            <w:vAlign w:val="top"/>
          </w:tcPr>
          <w:p w14:paraId="5497A256">
            <w:pPr>
              <w:pStyle w:val="6"/>
              <w:spacing w:before="315"/>
              <w:ind w:left="1"/>
              <w:rPr>
                <w:sz w:val="23"/>
                <w:szCs w:val="23"/>
              </w:rPr>
            </w:pPr>
            <w:r>
              <w:rPr>
                <w:spacing w:val="-7"/>
                <w:sz w:val="23"/>
                <w:szCs w:val="23"/>
              </w:rPr>
              <w:t>13</w:t>
            </w:r>
          </w:p>
        </w:tc>
        <w:tc>
          <w:tcPr>
            <w:tcW w:w="1229" w:type="dxa"/>
            <w:vAlign w:val="top"/>
          </w:tcPr>
          <w:p w14:paraId="5A6D569E">
            <w:pPr>
              <w:pStyle w:val="6"/>
              <w:spacing w:before="52" w:line="217" w:lineRule="auto"/>
              <w:ind w:left="31"/>
              <w:rPr>
                <w:sz w:val="23"/>
                <w:szCs w:val="23"/>
              </w:rPr>
            </w:pPr>
            <w:r>
              <w:rPr>
                <w:spacing w:val="1"/>
                <w:sz w:val="23"/>
                <w:szCs w:val="23"/>
              </w:rPr>
              <w:t>7#栗树园村</w:t>
            </w:r>
          </w:p>
          <w:p w14:paraId="6DBBE2A1">
            <w:pPr>
              <w:pStyle w:val="6"/>
              <w:spacing w:before="2" w:line="186" w:lineRule="auto"/>
              <w:ind w:left="81" w:right="15" w:hanging="50"/>
              <w:rPr>
                <w:sz w:val="23"/>
                <w:szCs w:val="23"/>
              </w:rPr>
            </w:pPr>
            <w:r>
              <w:rPr>
                <w:spacing w:val="3"/>
                <w:sz w:val="23"/>
                <w:szCs w:val="23"/>
              </w:rPr>
              <w:t xml:space="preserve">散户4(田间 </w:t>
            </w:r>
            <w:r>
              <w:rPr>
                <w:spacing w:val="11"/>
                <w:sz w:val="23"/>
                <w:szCs w:val="23"/>
              </w:rPr>
              <w:t>农户看地)</w:t>
            </w:r>
          </w:p>
        </w:tc>
        <w:tc>
          <w:tcPr>
            <w:tcW w:w="1418" w:type="dxa"/>
            <w:vAlign w:val="top"/>
          </w:tcPr>
          <w:p w14:paraId="1AD2F613">
            <w:pPr>
              <w:pStyle w:val="6"/>
              <w:spacing w:before="294" w:line="220" w:lineRule="auto"/>
              <w:ind w:left="122"/>
              <w:rPr>
                <w:sz w:val="23"/>
                <w:szCs w:val="23"/>
              </w:rPr>
            </w:pPr>
            <w:r>
              <w:rPr>
                <w:spacing w:val="-2"/>
                <w:sz w:val="23"/>
                <w:szCs w:val="23"/>
              </w:rPr>
              <w:t>场界距离1m</w:t>
            </w:r>
          </w:p>
        </w:tc>
        <w:tc>
          <w:tcPr>
            <w:tcW w:w="1229" w:type="dxa"/>
            <w:vAlign w:val="top"/>
          </w:tcPr>
          <w:p w14:paraId="68120649">
            <w:pPr>
              <w:pStyle w:val="6"/>
              <w:spacing w:before="315"/>
              <w:ind w:left="494"/>
              <w:rPr>
                <w:sz w:val="23"/>
                <w:szCs w:val="23"/>
              </w:rPr>
            </w:pPr>
            <w:r>
              <w:rPr>
                <w:spacing w:val="-3"/>
                <w:sz w:val="23"/>
                <w:szCs w:val="23"/>
              </w:rPr>
              <w:t>60</w:t>
            </w:r>
          </w:p>
        </w:tc>
        <w:tc>
          <w:tcPr>
            <w:tcW w:w="889" w:type="dxa"/>
            <w:vAlign w:val="top"/>
          </w:tcPr>
          <w:p w14:paraId="16C4FB7C">
            <w:pPr>
              <w:rPr>
                <w:rFonts w:ascii="Arial"/>
                <w:sz w:val="21"/>
              </w:rPr>
            </w:pPr>
          </w:p>
          <w:p w14:paraId="5EB956F2">
            <w:pPr>
              <w:pStyle w:val="6"/>
              <w:spacing w:before="75" w:line="241" w:lineRule="auto"/>
              <w:ind w:left="325"/>
              <w:rPr>
                <w:sz w:val="23"/>
                <w:szCs w:val="23"/>
              </w:rPr>
            </w:pPr>
            <w:r>
              <w:rPr>
                <w:spacing w:val="-3"/>
                <w:sz w:val="23"/>
                <w:szCs w:val="23"/>
              </w:rPr>
              <w:t>44</w:t>
            </w:r>
          </w:p>
        </w:tc>
        <w:tc>
          <w:tcPr>
            <w:tcW w:w="719" w:type="dxa"/>
            <w:vAlign w:val="top"/>
          </w:tcPr>
          <w:p w14:paraId="5AEC11F3">
            <w:pPr>
              <w:rPr>
                <w:rFonts w:ascii="Arial"/>
                <w:sz w:val="21"/>
              </w:rPr>
            </w:pPr>
          </w:p>
          <w:p w14:paraId="1E5AE883">
            <w:pPr>
              <w:pStyle w:val="6"/>
              <w:spacing w:before="74" w:line="239" w:lineRule="auto"/>
              <w:ind w:left="66"/>
              <w:rPr>
                <w:sz w:val="23"/>
                <w:szCs w:val="23"/>
              </w:rPr>
            </w:pPr>
            <w:r>
              <w:rPr>
                <w:spacing w:val="-2"/>
                <w:sz w:val="23"/>
                <w:szCs w:val="23"/>
              </w:rPr>
              <w:t>60.11</w:t>
            </w:r>
          </w:p>
        </w:tc>
        <w:tc>
          <w:tcPr>
            <w:tcW w:w="1179" w:type="dxa"/>
            <w:vAlign w:val="top"/>
          </w:tcPr>
          <w:p w14:paraId="3064B06E">
            <w:pPr>
              <w:rPr>
                <w:rFonts w:ascii="Arial"/>
                <w:sz w:val="21"/>
              </w:rPr>
            </w:pPr>
          </w:p>
          <w:p w14:paraId="0AD93751">
            <w:pPr>
              <w:pStyle w:val="6"/>
              <w:spacing w:before="74" w:line="239" w:lineRule="auto"/>
              <w:ind w:left="297"/>
              <w:rPr>
                <w:sz w:val="23"/>
                <w:szCs w:val="23"/>
              </w:rPr>
            </w:pPr>
            <w:r>
              <w:rPr>
                <w:spacing w:val="-5"/>
                <w:sz w:val="23"/>
                <w:szCs w:val="23"/>
              </w:rPr>
              <w:t>16.11</w:t>
            </w:r>
          </w:p>
        </w:tc>
        <w:tc>
          <w:tcPr>
            <w:tcW w:w="799" w:type="dxa"/>
            <w:vAlign w:val="top"/>
          </w:tcPr>
          <w:p w14:paraId="17A4AF2A">
            <w:pPr>
              <w:pStyle w:val="6"/>
              <w:spacing w:before="315"/>
              <w:ind w:left="277"/>
              <w:rPr>
                <w:sz w:val="23"/>
                <w:szCs w:val="23"/>
              </w:rPr>
            </w:pPr>
            <w:r>
              <w:rPr>
                <w:spacing w:val="-4"/>
                <w:sz w:val="23"/>
                <w:szCs w:val="23"/>
              </w:rPr>
              <w:t>55</w:t>
            </w:r>
          </w:p>
        </w:tc>
        <w:tc>
          <w:tcPr>
            <w:tcW w:w="604" w:type="dxa"/>
            <w:vAlign w:val="top"/>
          </w:tcPr>
          <w:p w14:paraId="44560E7E">
            <w:pPr>
              <w:pStyle w:val="6"/>
              <w:spacing w:before="294" w:line="220" w:lineRule="auto"/>
              <w:ind w:left="69"/>
              <w:rPr>
                <w:sz w:val="23"/>
                <w:szCs w:val="23"/>
              </w:rPr>
            </w:pPr>
            <w:r>
              <w:rPr>
                <w:spacing w:val="-3"/>
                <w:sz w:val="23"/>
                <w:szCs w:val="23"/>
              </w:rPr>
              <w:t>超标</w:t>
            </w:r>
          </w:p>
        </w:tc>
      </w:tr>
      <w:tr w14:paraId="64D61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884" w:type="dxa"/>
            <w:vMerge w:val="continue"/>
            <w:tcBorders>
              <w:top w:val="nil"/>
              <w:bottom w:val="nil"/>
            </w:tcBorders>
            <w:vAlign w:val="top"/>
          </w:tcPr>
          <w:p w14:paraId="72DC9242">
            <w:pPr>
              <w:rPr>
                <w:rFonts w:ascii="Arial"/>
                <w:sz w:val="21"/>
              </w:rPr>
            </w:pPr>
          </w:p>
        </w:tc>
        <w:tc>
          <w:tcPr>
            <w:tcW w:w="260" w:type="dxa"/>
            <w:vAlign w:val="top"/>
          </w:tcPr>
          <w:p w14:paraId="45A98272">
            <w:pPr>
              <w:pStyle w:val="6"/>
              <w:spacing w:before="187" w:line="241" w:lineRule="auto"/>
              <w:ind w:left="1"/>
              <w:rPr>
                <w:sz w:val="23"/>
                <w:szCs w:val="23"/>
              </w:rPr>
            </w:pPr>
            <w:r>
              <w:rPr>
                <w:spacing w:val="-7"/>
                <w:sz w:val="23"/>
                <w:szCs w:val="23"/>
              </w:rPr>
              <w:t>14</w:t>
            </w:r>
          </w:p>
        </w:tc>
        <w:tc>
          <w:tcPr>
            <w:tcW w:w="1229" w:type="dxa"/>
            <w:vAlign w:val="top"/>
          </w:tcPr>
          <w:p w14:paraId="64879070">
            <w:pPr>
              <w:pStyle w:val="6"/>
              <w:spacing w:before="43" w:line="193" w:lineRule="auto"/>
              <w:ind w:left="31"/>
              <w:rPr>
                <w:sz w:val="23"/>
                <w:szCs w:val="23"/>
              </w:rPr>
            </w:pPr>
            <w:r>
              <w:rPr>
                <w:spacing w:val="1"/>
                <w:sz w:val="23"/>
                <w:szCs w:val="23"/>
              </w:rPr>
              <w:t>8#发峨哨村</w:t>
            </w:r>
          </w:p>
          <w:p w14:paraId="32843731">
            <w:pPr>
              <w:pStyle w:val="6"/>
              <w:spacing w:line="197" w:lineRule="auto"/>
              <w:ind w:left="371"/>
              <w:rPr>
                <w:sz w:val="23"/>
                <w:szCs w:val="23"/>
              </w:rPr>
            </w:pPr>
            <w:r>
              <w:rPr>
                <w:spacing w:val="15"/>
                <w:sz w:val="23"/>
                <w:szCs w:val="23"/>
              </w:rPr>
              <w:t>散户</w:t>
            </w:r>
          </w:p>
        </w:tc>
        <w:tc>
          <w:tcPr>
            <w:tcW w:w="1418" w:type="dxa"/>
            <w:vAlign w:val="top"/>
          </w:tcPr>
          <w:p w14:paraId="45DB989D">
            <w:pPr>
              <w:pStyle w:val="6"/>
              <w:spacing w:before="165" w:line="220" w:lineRule="auto"/>
              <w:ind w:left="62"/>
              <w:rPr>
                <w:sz w:val="23"/>
                <w:szCs w:val="23"/>
              </w:rPr>
            </w:pPr>
            <w:r>
              <w:rPr>
                <w:spacing w:val="-2"/>
                <w:sz w:val="23"/>
                <w:szCs w:val="23"/>
              </w:rPr>
              <w:t>场界距离38m</w:t>
            </w:r>
          </w:p>
        </w:tc>
        <w:tc>
          <w:tcPr>
            <w:tcW w:w="1229" w:type="dxa"/>
            <w:vAlign w:val="top"/>
          </w:tcPr>
          <w:p w14:paraId="04F8E2D5">
            <w:pPr>
              <w:pStyle w:val="6"/>
              <w:spacing w:before="187" w:line="239" w:lineRule="auto"/>
              <w:ind w:left="374"/>
              <w:rPr>
                <w:sz w:val="23"/>
                <w:szCs w:val="23"/>
              </w:rPr>
            </w:pPr>
            <w:r>
              <w:rPr>
                <w:spacing w:val="-3"/>
                <w:sz w:val="23"/>
                <w:szCs w:val="23"/>
              </w:rPr>
              <w:t>28.4</w:t>
            </w:r>
          </w:p>
        </w:tc>
        <w:tc>
          <w:tcPr>
            <w:tcW w:w="889" w:type="dxa"/>
            <w:vAlign w:val="top"/>
          </w:tcPr>
          <w:p w14:paraId="330E0C36">
            <w:pPr>
              <w:pStyle w:val="6"/>
              <w:spacing w:before="186"/>
              <w:ind w:left="325"/>
              <w:rPr>
                <w:sz w:val="23"/>
                <w:szCs w:val="23"/>
              </w:rPr>
            </w:pPr>
            <w:r>
              <w:rPr>
                <w:spacing w:val="-3"/>
                <w:sz w:val="23"/>
                <w:szCs w:val="23"/>
              </w:rPr>
              <w:t>43</w:t>
            </w:r>
          </w:p>
        </w:tc>
        <w:tc>
          <w:tcPr>
            <w:tcW w:w="719" w:type="dxa"/>
            <w:vAlign w:val="top"/>
          </w:tcPr>
          <w:p w14:paraId="140D20F7">
            <w:pPr>
              <w:pStyle w:val="6"/>
              <w:spacing w:before="187" w:line="239" w:lineRule="auto"/>
              <w:ind w:left="66"/>
              <w:rPr>
                <w:sz w:val="23"/>
                <w:szCs w:val="23"/>
              </w:rPr>
            </w:pPr>
            <w:r>
              <w:rPr>
                <w:spacing w:val="-2"/>
                <w:sz w:val="23"/>
                <w:szCs w:val="23"/>
              </w:rPr>
              <w:t>43.15</w:t>
            </w:r>
          </w:p>
        </w:tc>
        <w:tc>
          <w:tcPr>
            <w:tcW w:w="1179" w:type="dxa"/>
            <w:vAlign w:val="top"/>
          </w:tcPr>
          <w:p w14:paraId="638F2C18">
            <w:pPr>
              <w:pStyle w:val="6"/>
              <w:spacing w:before="187" w:line="239" w:lineRule="auto"/>
              <w:ind w:left="357"/>
              <w:rPr>
                <w:sz w:val="23"/>
                <w:szCs w:val="23"/>
              </w:rPr>
            </w:pPr>
            <w:r>
              <w:rPr>
                <w:spacing w:val="-3"/>
                <w:sz w:val="23"/>
                <w:szCs w:val="23"/>
              </w:rPr>
              <w:t>0.15</w:t>
            </w:r>
          </w:p>
        </w:tc>
        <w:tc>
          <w:tcPr>
            <w:tcW w:w="799" w:type="dxa"/>
            <w:vAlign w:val="top"/>
          </w:tcPr>
          <w:p w14:paraId="0EED9DFE">
            <w:pPr>
              <w:pStyle w:val="6"/>
              <w:spacing w:before="186"/>
              <w:ind w:left="277"/>
              <w:rPr>
                <w:sz w:val="23"/>
                <w:szCs w:val="23"/>
              </w:rPr>
            </w:pPr>
            <w:r>
              <w:rPr>
                <w:spacing w:val="-3"/>
                <w:sz w:val="23"/>
                <w:szCs w:val="23"/>
              </w:rPr>
              <w:t>45</w:t>
            </w:r>
          </w:p>
        </w:tc>
        <w:tc>
          <w:tcPr>
            <w:tcW w:w="604" w:type="dxa"/>
            <w:vAlign w:val="top"/>
          </w:tcPr>
          <w:p w14:paraId="4BEAD967">
            <w:pPr>
              <w:pStyle w:val="6"/>
              <w:spacing w:before="165" w:line="220" w:lineRule="auto"/>
              <w:ind w:left="69"/>
              <w:rPr>
                <w:sz w:val="23"/>
                <w:szCs w:val="23"/>
              </w:rPr>
            </w:pPr>
            <w:r>
              <w:rPr>
                <w:spacing w:val="-3"/>
                <w:sz w:val="23"/>
                <w:szCs w:val="23"/>
              </w:rPr>
              <w:t>达标</w:t>
            </w:r>
          </w:p>
        </w:tc>
      </w:tr>
      <w:tr w14:paraId="41E3E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0" w:hRule="atLeast"/>
        </w:trPr>
        <w:tc>
          <w:tcPr>
            <w:tcW w:w="884" w:type="dxa"/>
            <w:vMerge w:val="continue"/>
            <w:tcBorders>
              <w:top w:val="nil"/>
            </w:tcBorders>
            <w:vAlign w:val="top"/>
          </w:tcPr>
          <w:p w14:paraId="4055C8A0">
            <w:pPr>
              <w:rPr>
                <w:rFonts w:ascii="Arial"/>
                <w:sz w:val="21"/>
              </w:rPr>
            </w:pPr>
          </w:p>
        </w:tc>
        <w:tc>
          <w:tcPr>
            <w:tcW w:w="8326" w:type="dxa"/>
            <w:gridSpan w:val="9"/>
            <w:vAlign w:val="top"/>
          </w:tcPr>
          <w:p w14:paraId="28AAE424">
            <w:pPr>
              <w:pStyle w:val="6"/>
              <w:spacing w:before="41" w:line="219" w:lineRule="auto"/>
              <w:ind w:left="524"/>
              <w:rPr>
                <w:sz w:val="23"/>
                <w:szCs w:val="23"/>
              </w:rPr>
            </w:pPr>
            <w:r>
              <w:rPr>
                <w:b/>
                <w:bCs/>
                <w:spacing w:val="-4"/>
                <w:sz w:val="23"/>
                <w:szCs w:val="23"/>
              </w:rPr>
              <w:t>注：背景值选取监测值的最大值。</w:t>
            </w:r>
          </w:p>
          <w:p w14:paraId="07C2F889">
            <w:pPr>
              <w:pStyle w:val="6"/>
              <w:spacing w:before="200" w:line="377" w:lineRule="auto"/>
              <w:ind w:left="31" w:right="219" w:firstLine="479"/>
              <w:rPr>
                <w:sz w:val="23"/>
                <w:szCs w:val="23"/>
              </w:rPr>
            </w:pPr>
            <w:r>
              <w:rPr>
                <w:spacing w:val="3"/>
                <w:sz w:val="23"/>
                <w:szCs w:val="23"/>
              </w:rPr>
              <w:t>根据上述噪声预测结果，1#发峨哨小学、10#放马沟散户(田间农户看地)、</w:t>
            </w:r>
            <w:r>
              <w:rPr>
                <w:spacing w:val="1"/>
                <w:sz w:val="23"/>
                <w:szCs w:val="23"/>
              </w:rPr>
              <w:t xml:space="preserve"> </w:t>
            </w:r>
            <w:r>
              <w:rPr>
                <w:sz w:val="23"/>
                <w:szCs w:val="23"/>
              </w:rPr>
              <w:t>15#大地村散户5(田间农户看地)、21#橡子坡散户1、22#橡子坡散户2(田间</w:t>
            </w:r>
          </w:p>
          <w:p w14:paraId="06E6BC08">
            <w:pPr>
              <w:pStyle w:val="6"/>
              <w:spacing w:before="3" w:line="370" w:lineRule="auto"/>
              <w:ind w:left="11" w:right="579" w:firstLine="20"/>
              <w:rPr>
                <w:sz w:val="23"/>
                <w:szCs w:val="23"/>
              </w:rPr>
            </w:pPr>
            <w:r>
              <w:rPr>
                <w:spacing w:val="1"/>
                <w:sz w:val="23"/>
                <w:szCs w:val="23"/>
              </w:rPr>
              <w:t>农户看地)、23#大莫古散户1(田间农户看地)、5</w:t>
            </w:r>
            <w:r>
              <w:rPr>
                <w:sz w:val="23"/>
                <w:szCs w:val="23"/>
              </w:rPr>
              <w:t xml:space="preserve">#栗树园村散户3(田间农户  </w:t>
            </w:r>
            <w:r>
              <w:rPr>
                <w:spacing w:val="4"/>
                <w:sz w:val="23"/>
                <w:szCs w:val="23"/>
              </w:rPr>
              <w:t>看地)、6#大莫古镇、7#栗树园村散户4</w:t>
            </w:r>
            <w:r>
              <w:rPr>
                <w:spacing w:val="3"/>
                <w:sz w:val="23"/>
                <w:szCs w:val="23"/>
              </w:rPr>
              <w:t>(田间农户看地)、8#发峨哨村散户、</w:t>
            </w:r>
            <w:r>
              <w:rPr>
                <w:sz w:val="23"/>
                <w:szCs w:val="23"/>
              </w:rPr>
              <w:t xml:space="preserve"> </w:t>
            </w:r>
            <w:r>
              <w:rPr>
                <w:spacing w:val="1"/>
                <w:sz w:val="23"/>
                <w:szCs w:val="23"/>
              </w:rPr>
              <w:t>4#栗树园昼间噪声预测值均可以满足《声环境质</w:t>
            </w:r>
            <w:r>
              <w:rPr>
                <w:sz w:val="23"/>
                <w:szCs w:val="23"/>
              </w:rPr>
              <w:t>量标准》(GB3096-2008)1</w:t>
            </w:r>
          </w:p>
          <w:p w14:paraId="08CC2EC8">
            <w:pPr>
              <w:pStyle w:val="6"/>
              <w:spacing w:before="13" w:line="375" w:lineRule="auto"/>
              <w:ind w:left="31" w:right="922" w:hanging="20"/>
              <w:jc w:val="both"/>
              <w:rPr>
                <w:sz w:val="23"/>
                <w:szCs w:val="23"/>
              </w:rPr>
            </w:pPr>
            <w:r>
              <w:rPr>
                <w:sz w:val="23"/>
                <w:szCs w:val="23"/>
              </w:rPr>
              <w:t>类区和4a类区的要求。17#大地村散户7(田间农户看地)、15#大地村散户5</w:t>
            </w:r>
            <w:r>
              <w:rPr>
                <w:spacing w:val="12"/>
                <w:sz w:val="23"/>
                <w:szCs w:val="23"/>
              </w:rPr>
              <w:t xml:space="preserve"> </w:t>
            </w:r>
            <w:r>
              <w:rPr>
                <w:spacing w:val="3"/>
                <w:sz w:val="23"/>
                <w:szCs w:val="23"/>
              </w:rPr>
              <w:t>(田间农户看地)、23#大莫古散户1(田间农户看地)、3#栗树园散户2昼间</w:t>
            </w:r>
            <w:r>
              <w:rPr>
                <w:spacing w:val="5"/>
                <w:sz w:val="23"/>
                <w:szCs w:val="23"/>
              </w:rPr>
              <w:t xml:space="preserve"> </w:t>
            </w:r>
            <w:r>
              <w:rPr>
                <w:sz w:val="23"/>
                <w:szCs w:val="23"/>
              </w:rPr>
              <w:t>预测值均不满足《声环境质量标准》(GB3096-2008)1类</w:t>
            </w:r>
            <w:r>
              <w:rPr>
                <w:spacing w:val="-1"/>
                <w:sz w:val="23"/>
                <w:szCs w:val="23"/>
              </w:rPr>
              <w:t>的要求。</w:t>
            </w:r>
          </w:p>
          <w:p w14:paraId="7C461670">
            <w:pPr>
              <w:pStyle w:val="6"/>
              <w:spacing w:line="219" w:lineRule="auto"/>
              <w:ind w:left="491"/>
              <w:rPr>
                <w:sz w:val="23"/>
                <w:szCs w:val="23"/>
              </w:rPr>
            </w:pPr>
            <w:r>
              <w:rPr>
                <w:sz w:val="23"/>
                <w:szCs w:val="23"/>
              </w:rPr>
              <w:t>夜间除了1#发峨哨小学、21#橡子坡散户1、2</w:t>
            </w:r>
            <w:r>
              <w:rPr>
                <w:spacing w:val="-1"/>
                <w:sz w:val="23"/>
                <w:szCs w:val="23"/>
              </w:rPr>
              <w:t>2#橡子坡散户2(田间农户看</w:t>
            </w:r>
          </w:p>
          <w:p w14:paraId="4FE498B3">
            <w:pPr>
              <w:pStyle w:val="6"/>
              <w:spacing w:before="186" w:line="373" w:lineRule="auto"/>
              <w:ind w:left="31" w:right="128"/>
              <w:rPr>
                <w:sz w:val="23"/>
                <w:szCs w:val="23"/>
              </w:rPr>
            </w:pPr>
            <w:r>
              <w:rPr>
                <w:sz w:val="23"/>
                <w:szCs w:val="23"/>
              </w:rPr>
              <w:t>地)、4#栗树园、6#大莫古镇、8#发峨哨村散户，其余声环</w:t>
            </w:r>
            <w:r>
              <w:rPr>
                <w:spacing w:val="-1"/>
                <w:sz w:val="23"/>
                <w:szCs w:val="23"/>
              </w:rPr>
              <w:t>境敏感点均不满足《声</w:t>
            </w:r>
            <w:r>
              <w:rPr>
                <w:sz w:val="23"/>
                <w:szCs w:val="23"/>
              </w:rPr>
              <w:t xml:space="preserve"> 环境质量标准》(GB3096-2008)1类区和4a</w:t>
            </w:r>
            <w:r>
              <w:rPr>
                <w:spacing w:val="-1"/>
                <w:sz w:val="23"/>
                <w:szCs w:val="23"/>
              </w:rPr>
              <w:t>类区的要求。</w:t>
            </w:r>
          </w:p>
          <w:p w14:paraId="73622C59">
            <w:pPr>
              <w:pStyle w:val="6"/>
              <w:spacing w:line="377" w:lineRule="auto"/>
              <w:ind w:left="31" w:right="239" w:firstLine="459"/>
              <w:rPr>
                <w:sz w:val="23"/>
                <w:szCs w:val="23"/>
              </w:rPr>
            </w:pPr>
            <w:r>
              <w:rPr>
                <w:spacing w:val="3"/>
                <w:sz w:val="23"/>
                <w:szCs w:val="23"/>
              </w:rPr>
              <w:t>超标点10#放马沟散户(田间农户看地)、15#大地村散户5(田间农</w:t>
            </w:r>
            <w:r>
              <w:rPr>
                <w:spacing w:val="2"/>
                <w:sz w:val="23"/>
                <w:szCs w:val="23"/>
              </w:rPr>
              <w:t>户看地)、</w:t>
            </w:r>
            <w:r>
              <w:rPr>
                <w:sz w:val="23"/>
                <w:szCs w:val="23"/>
              </w:rPr>
              <w:t xml:space="preserve"> </w:t>
            </w:r>
            <w:r>
              <w:rPr>
                <w:spacing w:val="1"/>
                <w:sz w:val="23"/>
                <w:szCs w:val="23"/>
              </w:rPr>
              <w:t>17#大地村散户7(田间农户看地)、2#栗</w:t>
            </w:r>
            <w:r>
              <w:rPr>
                <w:sz w:val="23"/>
                <w:szCs w:val="23"/>
              </w:rPr>
              <w:t>树园散户1、23#大莫古散户1(田间</w:t>
            </w:r>
          </w:p>
          <w:p w14:paraId="112E0CA1">
            <w:pPr>
              <w:pStyle w:val="6"/>
              <w:spacing w:before="1" w:line="218" w:lineRule="auto"/>
              <w:ind w:left="11"/>
              <w:rPr>
                <w:sz w:val="23"/>
                <w:szCs w:val="23"/>
              </w:rPr>
            </w:pPr>
            <w:r>
              <w:rPr>
                <w:sz w:val="23"/>
                <w:szCs w:val="23"/>
              </w:rPr>
              <w:t>农户看地)、3#栗树园散户2、5#栗树园村散户3(田间农户看地)、7#栗树园</w:t>
            </w:r>
          </w:p>
        </w:tc>
      </w:tr>
    </w:tbl>
    <w:p w14:paraId="2F934A73">
      <w:pPr>
        <w:pStyle w:val="2"/>
      </w:pPr>
    </w:p>
    <w:p w14:paraId="7D17078F">
      <w:pPr>
        <w:sectPr>
          <w:footerReference r:id="rId167" w:type="default"/>
          <w:pgSz w:w="11910" w:h="16830"/>
          <w:pgMar w:top="400" w:right="1445" w:bottom="1259" w:left="1244" w:header="0" w:footer="1079" w:gutter="0"/>
          <w:cols w:space="720" w:num="1"/>
        </w:sectPr>
      </w:pPr>
    </w:p>
    <w:p w14:paraId="49D7CB3B">
      <w:pPr>
        <w:spacing w:before="18"/>
      </w:pPr>
    </w:p>
    <w:p w14:paraId="5702DDAE">
      <w:pPr>
        <w:spacing w:before="17"/>
      </w:pPr>
    </w:p>
    <w:p w14:paraId="303AE984">
      <w:pPr>
        <w:spacing w:before="17"/>
      </w:pPr>
    </w:p>
    <w:p w14:paraId="6FDD1B98">
      <w:pPr>
        <w:spacing w:before="17"/>
      </w:pPr>
    </w:p>
    <w:tbl>
      <w:tblPr>
        <w:tblStyle w:val="5"/>
        <w:tblW w:w="91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310"/>
        <w:gridCol w:w="1189"/>
        <w:gridCol w:w="1428"/>
        <w:gridCol w:w="1209"/>
        <w:gridCol w:w="879"/>
        <w:gridCol w:w="739"/>
        <w:gridCol w:w="1188"/>
        <w:gridCol w:w="799"/>
        <w:gridCol w:w="594"/>
      </w:tblGrid>
      <w:tr w14:paraId="16A16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2" w:hRule="atLeast"/>
        </w:trPr>
        <w:tc>
          <w:tcPr>
            <w:tcW w:w="854" w:type="dxa"/>
            <w:vMerge w:val="restart"/>
            <w:tcBorders>
              <w:bottom w:val="nil"/>
            </w:tcBorders>
            <w:vAlign w:val="top"/>
          </w:tcPr>
          <w:p w14:paraId="303E420D">
            <w:pPr>
              <w:rPr>
                <w:rFonts w:ascii="Arial"/>
                <w:sz w:val="21"/>
              </w:rPr>
            </w:pPr>
          </w:p>
        </w:tc>
        <w:tc>
          <w:tcPr>
            <w:tcW w:w="8335" w:type="dxa"/>
            <w:gridSpan w:val="9"/>
            <w:vAlign w:val="top"/>
          </w:tcPr>
          <w:p w14:paraId="1B108C7E">
            <w:pPr>
              <w:pStyle w:val="6"/>
              <w:spacing w:before="13" w:line="219" w:lineRule="auto"/>
              <w:ind w:left="11"/>
              <w:rPr>
                <w:sz w:val="23"/>
                <w:szCs w:val="23"/>
              </w:rPr>
            </w:pPr>
            <w:r>
              <w:rPr>
                <w:sz w:val="23"/>
                <w:szCs w:val="23"/>
              </w:rPr>
              <w:t>村散户4(田间农户看地)、8#发峨哨村散户对应的光伏</w:t>
            </w:r>
            <w:r>
              <w:rPr>
                <w:spacing w:val="-1"/>
                <w:sz w:val="23"/>
                <w:szCs w:val="23"/>
              </w:rPr>
              <w:t>阵列分别是16#光伏阵</w:t>
            </w:r>
          </w:p>
          <w:p w14:paraId="557C593F">
            <w:pPr>
              <w:pStyle w:val="6"/>
              <w:spacing w:before="198" w:line="374" w:lineRule="auto"/>
              <w:ind w:left="21" w:right="124" w:firstLine="109"/>
              <w:rPr>
                <w:sz w:val="23"/>
                <w:szCs w:val="23"/>
              </w:rPr>
            </w:pPr>
            <w:r>
              <w:rPr>
                <w:sz w:val="23"/>
                <w:szCs w:val="23"/>
              </w:rPr>
              <w:t>列北侧、20#光伏阵列西侧、20#光伏阵列北侧、10#光伏阵列西侧、19#光伏阵列</w:t>
            </w:r>
            <w:r>
              <w:rPr>
                <w:spacing w:val="18"/>
                <w:sz w:val="23"/>
                <w:szCs w:val="23"/>
              </w:rPr>
              <w:t xml:space="preserve"> </w:t>
            </w:r>
            <w:r>
              <w:rPr>
                <w:spacing w:val="3"/>
                <w:sz w:val="23"/>
                <w:szCs w:val="23"/>
              </w:rPr>
              <w:t>周边、9#光伏阵列西北侧、8#光伏阵列南侧、11#光伏阵列西南侧、12#光伏阵列</w:t>
            </w:r>
            <w:r>
              <w:rPr>
                <w:spacing w:val="7"/>
                <w:sz w:val="23"/>
                <w:szCs w:val="23"/>
              </w:rPr>
              <w:t xml:space="preserve"> </w:t>
            </w:r>
            <w:r>
              <w:rPr>
                <w:spacing w:val="-1"/>
                <w:sz w:val="23"/>
                <w:szCs w:val="23"/>
              </w:rPr>
              <w:t>西侧。由于项目光伏场区逆变器噪声在6m处可达到《声环境质量标准》</w:t>
            </w:r>
          </w:p>
          <w:p w14:paraId="70CEB1DE">
            <w:pPr>
              <w:pStyle w:val="6"/>
              <w:spacing w:before="1" w:line="217" w:lineRule="auto"/>
              <w:ind w:left="120"/>
              <w:rPr>
                <w:sz w:val="23"/>
                <w:szCs w:val="23"/>
              </w:rPr>
            </w:pPr>
            <w:r>
              <w:rPr>
                <w:sz w:val="23"/>
                <w:szCs w:val="23"/>
              </w:rPr>
              <w:t>(GB3096-2008)中的1类昼夜间声环境功能区的要求。本次评价要求建设单位</w:t>
            </w:r>
          </w:p>
          <w:p w14:paraId="4C582F12">
            <w:pPr>
              <w:pStyle w:val="6"/>
              <w:spacing w:before="209" w:line="371" w:lineRule="auto"/>
              <w:ind w:left="31" w:right="132" w:firstLine="99"/>
              <w:rPr>
                <w:sz w:val="23"/>
                <w:szCs w:val="23"/>
              </w:rPr>
            </w:pPr>
            <w:r>
              <w:rPr>
                <w:sz w:val="23"/>
                <w:szCs w:val="23"/>
              </w:rPr>
              <w:t>16#光伏阵列、20#光伏阵列、10#光伏阵列、19#光伏阵列、9#光伏阵列、8#光伏</w:t>
            </w:r>
            <w:r>
              <w:rPr>
                <w:spacing w:val="10"/>
                <w:sz w:val="23"/>
                <w:szCs w:val="23"/>
              </w:rPr>
              <w:t xml:space="preserve"> </w:t>
            </w:r>
            <w:r>
              <w:rPr>
                <w:sz w:val="23"/>
                <w:szCs w:val="23"/>
              </w:rPr>
              <w:t>阵列、11#光伏阵列、12#光伏阵列，逆变器的布置需要远离保护目标15m以上，</w:t>
            </w:r>
          </w:p>
          <w:p w14:paraId="4B1816E5">
            <w:pPr>
              <w:pStyle w:val="6"/>
              <w:spacing w:before="15" w:line="219" w:lineRule="auto"/>
              <w:ind w:left="31"/>
              <w:rPr>
                <w:sz w:val="23"/>
                <w:szCs w:val="23"/>
              </w:rPr>
            </w:pPr>
            <w:r>
              <w:rPr>
                <w:sz w:val="23"/>
                <w:szCs w:val="23"/>
              </w:rPr>
              <w:t>采取措施后，运营期逆变器对保护目标的影响分</w:t>
            </w:r>
            <w:r>
              <w:rPr>
                <w:spacing w:val="-1"/>
                <w:sz w:val="23"/>
                <w:szCs w:val="23"/>
              </w:rPr>
              <w:t>析详见下表。</w:t>
            </w:r>
          </w:p>
          <w:p w14:paraId="5B4A3446">
            <w:pPr>
              <w:pStyle w:val="6"/>
              <w:spacing w:before="194" w:line="218" w:lineRule="auto"/>
              <w:ind w:left="804"/>
              <w:rPr>
                <w:sz w:val="23"/>
                <w:szCs w:val="23"/>
              </w:rPr>
            </w:pPr>
            <w:r>
              <w:rPr>
                <w:b/>
                <w:bCs/>
                <w:spacing w:val="-3"/>
                <w:sz w:val="23"/>
                <w:szCs w:val="23"/>
              </w:rPr>
              <w:t>表4-19</w:t>
            </w:r>
            <w:r>
              <w:rPr>
                <w:spacing w:val="-3"/>
                <w:sz w:val="23"/>
                <w:szCs w:val="23"/>
              </w:rPr>
              <w:t xml:space="preserve">   </w:t>
            </w:r>
            <w:r>
              <w:rPr>
                <w:b/>
                <w:bCs/>
                <w:spacing w:val="-3"/>
                <w:sz w:val="23"/>
                <w:szCs w:val="23"/>
              </w:rPr>
              <w:t>项目逆变器运营期声环境保护目标采取措施后预测值</w:t>
            </w:r>
          </w:p>
        </w:tc>
      </w:tr>
      <w:tr w14:paraId="278E1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854" w:type="dxa"/>
            <w:vMerge w:val="continue"/>
            <w:tcBorders>
              <w:top w:val="nil"/>
              <w:bottom w:val="nil"/>
            </w:tcBorders>
            <w:vAlign w:val="top"/>
          </w:tcPr>
          <w:p w14:paraId="32B4FD6D">
            <w:pPr>
              <w:rPr>
                <w:rFonts w:ascii="Arial"/>
                <w:sz w:val="21"/>
              </w:rPr>
            </w:pPr>
          </w:p>
        </w:tc>
        <w:tc>
          <w:tcPr>
            <w:tcW w:w="1499" w:type="dxa"/>
            <w:gridSpan w:val="2"/>
            <w:vAlign w:val="top"/>
          </w:tcPr>
          <w:p w14:paraId="0D5BE587">
            <w:pPr>
              <w:pStyle w:val="6"/>
              <w:spacing w:before="153" w:line="220" w:lineRule="auto"/>
              <w:ind w:left="311"/>
              <w:rPr>
                <w:sz w:val="23"/>
                <w:szCs w:val="23"/>
              </w:rPr>
            </w:pPr>
            <w:r>
              <w:rPr>
                <w:spacing w:val="-2"/>
                <w:sz w:val="23"/>
                <w:szCs w:val="23"/>
              </w:rPr>
              <w:t>保护目标</w:t>
            </w:r>
          </w:p>
        </w:tc>
        <w:tc>
          <w:tcPr>
            <w:tcW w:w="1428" w:type="dxa"/>
            <w:vAlign w:val="top"/>
          </w:tcPr>
          <w:p w14:paraId="068FEDD1">
            <w:pPr>
              <w:pStyle w:val="6"/>
              <w:spacing w:before="24" w:line="199" w:lineRule="auto"/>
              <w:ind w:left="131" w:right="8" w:hanging="120"/>
              <w:rPr>
                <w:sz w:val="23"/>
                <w:szCs w:val="23"/>
              </w:rPr>
            </w:pPr>
            <w:r>
              <w:rPr>
                <w:spacing w:val="2"/>
                <w:sz w:val="23"/>
                <w:szCs w:val="23"/>
              </w:rPr>
              <w:t>逆变器与保护</w:t>
            </w:r>
            <w:r>
              <w:rPr>
                <w:spacing w:val="4"/>
                <w:sz w:val="23"/>
                <w:szCs w:val="23"/>
              </w:rPr>
              <w:t xml:space="preserve"> </w:t>
            </w:r>
            <w:r>
              <w:rPr>
                <w:spacing w:val="2"/>
                <w:sz w:val="23"/>
                <w:szCs w:val="23"/>
              </w:rPr>
              <w:t>目标的距离</w:t>
            </w:r>
          </w:p>
        </w:tc>
        <w:tc>
          <w:tcPr>
            <w:tcW w:w="1209" w:type="dxa"/>
            <w:vAlign w:val="top"/>
          </w:tcPr>
          <w:p w14:paraId="7EAB8284">
            <w:pPr>
              <w:pStyle w:val="6"/>
              <w:spacing w:before="24" w:line="199" w:lineRule="auto"/>
              <w:ind w:left="14" w:firstLine="9"/>
              <w:rPr>
                <w:sz w:val="23"/>
                <w:szCs w:val="23"/>
              </w:rPr>
            </w:pPr>
            <w:r>
              <w:rPr>
                <w:spacing w:val="-6"/>
                <w:sz w:val="23"/>
                <w:szCs w:val="23"/>
              </w:rPr>
              <w:t>逆变器噪声</w:t>
            </w:r>
            <w:r>
              <w:rPr>
                <w:spacing w:val="2"/>
                <w:sz w:val="23"/>
                <w:szCs w:val="23"/>
              </w:rPr>
              <w:t xml:space="preserve"> </w:t>
            </w:r>
            <w:r>
              <w:rPr>
                <w:spacing w:val="-11"/>
                <w:sz w:val="23"/>
                <w:szCs w:val="23"/>
              </w:rPr>
              <w:t>贡献值dB(A)</w:t>
            </w:r>
          </w:p>
        </w:tc>
        <w:tc>
          <w:tcPr>
            <w:tcW w:w="879" w:type="dxa"/>
            <w:vAlign w:val="top"/>
          </w:tcPr>
          <w:p w14:paraId="203FA31F">
            <w:pPr>
              <w:pStyle w:val="6"/>
              <w:spacing w:before="31" w:line="196" w:lineRule="auto"/>
              <w:ind w:left="144" w:right="84" w:hanging="60"/>
              <w:rPr>
                <w:sz w:val="23"/>
                <w:szCs w:val="23"/>
              </w:rPr>
            </w:pPr>
            <w:r>
              <w:rPr>
                <w:spacing w:val="3"/>
                <w:sz w:val="23"/>
                <w:szCs w:val="23"/>
              </w:rPr>
              <w:t>背景值</w:t>
            </w:r>
            <w:r>
              <w:rPr>
                <w:sz w:val="23"/>
                <w:szCs w:val="23"/>
              </w:rPr>
              <w:t xml:space="preserve"> </w:t>
            </w:r>
            <w:r>
              <w:rPr>
                <w:spacing w:val="-3"/>
                <w:sz w:val="23"/>
                <w:szCs w:val="23"/>
              </w:rPr>
              <w:t>dB(A)</w:t>
            </w:r>
          </w:p>
        </w:tc>
        <w:tc>
          <w:tcPr>
            <w:tcW w:w="739" w:type="dxa"/>
            <w:vAlign w:val="top"/>
          </w:tcPr>
          <w:p w14:paraId="4A1195DF">
            <w:pPr>
              <w:pStyle w:val="6"/>
              <w:spacing w:before="21" w:line="200" w:lineRule="auto"/>
              <w:ind w:left="75" w:right="33" w:hanging="60"/>
              <w:rPr>
                <w:sz w:val="23"/>
                <w:szCs w:val="23"/>
              </w:rPr>
            </w:pPr>
            <w:r>
              <w:rPr>
                <w:spacing w:val="-4"/>
                <w:sz w:val="23"/>
                <w:szCs w:val="23"/>
              </w:rPr>
              <w:t>预测值</w:t>
            </w:r>
            <w:r>
              <w:rPr>
                <w:sz w:val="23"/>
                <w:szCs w:val="23"/>
              </w:rPr>
              <w:t xml:space="preserve"> </w:t>
            </w:r>
            <w:r>
              <w:rPr>
                <w:spacing w:val="-3"/>
                <w:sz w:val="23"/>
                <w:szCs w:val="23"/>
              </w:rPr>
              <w:t>dB(A)</w:t>
            </w:r>
          </w:p>
        </w:tc>
        <w:tc>
          <w:tcPr>
            <w:tcW w:w="1188" w:type="dxa"/>
            <w:vAlign w:val="top"/>
          </w:tcPr>
          <w:p w14:paraId="44DECC66">
            <w:pPr>
              <w:pStyle w:val="6"/>
              <w:spacing w:before="22" w:line="219" w:lineRule="auto"/>
              <w:ind w:left="17"/>
              <w:rPr>
                <w:sz w:val="23"/>
                <w:szCs w:val="23"/>
              </w:rPr>
            </w:pPr>
            <w:r>
              <w:rPr>
                <w:spacing w:val="-2"/>
                <w:sz w:val="23"/>
                <w:szCs w:val="23"/>
              </w:rPr>
              <w:t>较现状增量</w:t>
            </w:r>
          </w:p>
          <w:p w14:paraId="723413E1">
            <w:pPr>
              <w:pStyle w:val="6"/>
              <w:spacing w:line="180" w:lineRule="auto"/>
              <w:ind w:left="297"/>
              <w:rPr>
                <w:sz w:val="23"/>
                <w:szCs w:val="23"/>
              </w:rPr>
            </w:pPr>
            <w:r>
              <w:rPr>
                <w:spacing w:val="-3"/>
                <w:sz w:val="23"/>
                <w:szCs w:val="23"/>
              </w:rPr>
              <w:t>dB(A)</w:t>
            </w:r>
          </w:p>
        </w:tc>
        <w:tc>
          <w:tcPr>
            <w:tcW w:w="799" w:type="dxa"/>
            <w:vAlign w:val="top"/>
          </w:tcPr>
          <w:p w14:paraId="13C1A8FB">
            <w:pPr>
              <w:pStyle w:val="6"/>
              <w:spacing w:before="31" w:line="196" w:lineRule="auto"/>
              <w:ind w:left="108" w:right="59" w:hanging="60"/>
              <w:rPr>
                <w:sz w:val="23"/>
                <w:szCs w:val="23"/>
              </w:rPr>
            </w:pPr>
            <w:r>
              <w:rPr>
                <w:spacing w:val="-4"/>
                <w:sz w:val="23"/>
                <w:szCs w:val="23"/>
              </w:rPr>
              <w:t>标准值</w:t>
            </w:r>
            <w:r>
              <w:rPr>
                <w:spacing w:val="1"/>
                <w:sz w:val="23"/>
                <w:szCs w:val="23"/>
              </w:rPr>
              <w:t xml:space="preserve"> </w:t>
            </w:r>
            <w:r>
              <w:rPr>
                <w:spacing w:val="-3"/>
                <w:sz w:val="23"/>
                <w:szCs w:val="23"/>
              </w:rPr>
              <w:t>dB(A)</w:t>
            </w:r>
          </w:p>
        </w:tc>
        <w:tc>
          <w:tcPr>
            <w:tcW w:w="594" w:type="dxa"/>
            <w:vAlign w:val="top"/>
          </w:tcPr>
          <w:p w14:paraId="2FA76806">
            <w:pPr>
              <w:pStyle w:val="6"/>
              <w:spacing w:before="13" w:line="220" w:lineRule="auto"/>
              <w:ind w:left="100"/>
              <w:rPr>
                <w:sz w:val="23"/>
                <w:szCs w:val="23"/>
              </w:rPr>
            </w:pPr>
            <w:r>
              <w:rPr>
                <w:spacing w:val="-3"/>
                <w:sz w:val="23"/>
                <w:szCs w:val="23"/>
              </w:rPr>
              <w:t>达标</w:t>
            </w:r>
          </w:p>
          <w:p w14:paraId="61C48046">
            <w:pPr>
              <w:pStyle w:val="6"/>
              <w:spacing w:before="5" w:line="182" w:lineRule="auto"/>
              <w:ind w:left="100"/>
              <w:rPr>
                <w:sz w:val="23"/>
                <w:szCs w:val="23"/>
              </w:rPr>
            </w:pPr>
            <w:r>
              <w:rPr>
                <w:spacing w:val="-3"/>
                <w:sz w:val="23"/>
                <w:szCs w:val="23"/>
              </w:rPr>
              <w:t>情况</w:t>
            </w:r>
          </w:p>
        </w:tc>
      </w:tr>
      <w:tr w14:paraId="69488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4" w:type="dxa"/>
            <w:vMerge w:val="continue"/>
            <w:tcBorders>
              <w:top w:val="nil"/>
              <w:bottom w:val="nil"/>
            </w:tcBorders>
            <w:vAlign w:val="top"/>
          </w:tcPr>
          <w:p w14:paraId="0D4CF9E9">
            <w:pPr>
              <w:rPr>
                <w:rFonts w:ascii="Arial"/>
                <w:sz w:val="21"/>
              </w:rPr>
            </w:pPr>
          </w:p>
        </w:tc>
        <w:tc>
          <w:tcPr>
            <w:tcW w:w="8335" w:type="dxa"/>
            <w:gridSpan w:val="9"/>
            <w:vAlign w:val="top"/>
          </w:tcPr>
          <w:p w14:paraId="4413B77C">
            <w:pPr>
              <w:pStyle w:val="6"/>
              <w:spacing w:before="52" w:line="207" w:lineRule="auto"/>
              <w:ind w:left="3934"/>
              <w:rPr>
                <w:sz w:val="23"/>
                <w:szCs w:val="23"/>
              </w:rPr>
            </w:pPr>
            <w:r>
              <w:rPr>
                <w:b/>
                <w:bCs/>
                <w:spacing w:val="5"/>
                <w:sz w:val="23"/>
                <w:szCs w:val="23"/>
              </w:rPr>
              <w:t>昼间</w:t>
            </w:r>
          </w:p>
        </w:tc>
      </w:tr>
      <w:tr w14:paraId="55EF3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854" w:type="dxa"/>
            <w:vMerge w:val="continue"/>
            <w:tcBorders>
              <w:top w:val="nil"/>
              <w:bottom w:val="nil"/>
            </w:tcBorders>
            <w:vAlign w:val="top"/>
          </w:tcPr>
          <w:p w14:paraId="03E3404F">
            <w:pPr>
              <w:rPr>
                <w:rFonts w:ascii="Arial"/>
                <w:sz w:val="21"/>
              </w:rPr>
            </w:pPr>
          </w:p>
        </w:tc>
        <w:tc>
          <w:tcPr>
            <w:tcW w:w="310" w:type="dxa"/>
            <w:vAlign w:val="top"/>
          </w:tcPr>
          <w:p w14:paraId="08A6C624">
            <w:pPr>
              <w:pStyle w:val="6"/>
              <w:spacing w:before="305" w:line="241" w:lineRule="auto"/>
              <w:ind w:left="81"/>
              <w:rPr>
                <w:sz w:val="23"/>
                <w:szCs w:val="23"/>
              </w:rPr>
            </w:pPr>
            <w:r>
              <w:rPr>
                <w:sz w:val="23"/>
                <w:szCs w:val="23"/>
              </w:rPr>
              <w:t>1</w:t>
            </w:r>
          </w:p>
        </w:tc>
        <w:tc>
          <w:tcPr>
            <w:tcW w:w="1189" w:type="dxa"/>
            <w:vAlign w:val="top"/>
          </w:tcPr>
          <w:p w14:paraId="3C2031D1">
            <w:pPr>
              <w:pStyle w:val="6"/>
              <w:spacing w:before="21" w:line="200" w:lineRule="auto"/>
              <w:ind w:left="11" w:firstLine="168"/>
              <w:jc w:val="both"/>
              <w:rPr>
                <w:sz w:val="23"/>
                <w:szCs w:val="23"/>
              </w:rPr>
            </w:pPr>
            <w:r>
              <w:rPr>
                <w:spacing w:val="-6"/>
                <w:sz w:val="23"/>
                <w:szCs w:val="23"/>
              </w:rPr>
              <w:t>17#大地村</w:t>
            </w:r>
            <w:r>
              <w:rPr>
                <w:sz w:val="23"/>
                <w:szCs w:val="23"/>
              </w:rPr>
              <w:t xml:space="preserve"> </w:t>
            </w:r>
            <w:r>
              <w:rPr>
                <w:spacing w:val="1"/>
                <w:sz w:val="23"/>
                <w:szCs w:val="23"/>
              </w:rPr>
              <w:t>散户7(田间</w:t>
            </w:r>
            <w:r>
              <w:rPr>
                <w:spacing w:val="4"/>
                <w:sz w:val="23"/>
                <w:szCs w:val="23"/>
              </w:rPr>
              <w:t xml:space="preserve"> </w:t>
            </w:r>
            <w:r>
              <w:rPr>
                <w:spacing w:val="18"/>
                <w:sz w:val="23"/>
                <w:szCs w:val="23"/>
              </w:rPr>
              <w:t>农户看地)</w:t>
            </w:r>
          </w:p>
        </w:tc>
        <w:tc>
          <w:tcPr>
            <w:tcW w:w="1428" w:type="dxa"/>
            <w:vAlign w:val="top"/>
          </w:tcPr>
          <w:p w14:paraId="1B16FD41">
            <w:pPr>
              <w:pStyle w:val="6"/>
              <w:spacing w:before="283" w:line="220" w:lineRule="auto"/>
              <w:ind w:left="301"/>
              <w:rPr>
                <w:sz w:val="23"/>
                <w:szCs w:val="23"/>
              </w:rPr>
            </w:pPr>
            <w:r>
              <w:rPr>
                <w:spacing w:val="-2"/>
                <w:sz w:val="23"/>
                <w:szCs w:val="23"/>
              </w:rPr>
              <w:t>距离15m</w:t>
            </w:r>
          </w:p>
        </w:tc>
        <w:tc>
          <w:tcPr>
            <w:tcW w:w="1209" w:type="dxa"/>
            <w:vAlign w:val="top"/>
          </w:tcPr>
          <w:p w14:paraId="5F642AAD">
            <w:pPr>
              <w:pStyle w:val="6"/>
              <w:spacing w:before="305" w:line="239" w:lineRule="auto"/>
              <w:ind w:left="304"/>
              <w:rPr>
                <w:sz w:val="23"/>
                <w:szCs w:val="23"/>
              </w:rPr>
            </w:pPr>
            <w:r>
              <w:rPr>
                <w:spacing w:val="-3"/>
                <w:sz w:val="23"/>
                <w:szCs w:val="23"/>
              </w:rPr>
              <w:t>36.48</w:t>
            </w:r>
          </w:p>
        </w:tc>
        <w:tc>
          <w:tcPr>
            <w:tcW w:w="879" w:type="dxa"/>
            <w:vAlign w:val="top"/>
          </w:tcPr>
          <w:p w14:paraId="0106B683">
            <w:pPr>
              <w:pStyle w:val="6"/>
              <w:spacing w:before="304"/>
              <w:ind w:left="314"/>
              <w:rPr>
                <w:sz w:val="23"/>
                <w:szCs w:val="23"/>
              </w:rPr>
            </w:pPr>
            <w:r>
              <w:rPr>
                <w:spacing w:val="-4"/>
                <w:sz w:val="23"/>
                <w:szCs w:val="23"/>
              </w:rPr>
              <w:t>50</w:t>
            </w:r>
          </w:p>
        </w:tc>
        <w:tc>
          <w:tcPr>
            <w:tcW w:w="739" w:type="dxa"/>
            <w:vAlign w:val="top"/>
          </w:tcPr>
          <w:p w14:paraId="41C2CB45">
            <w:pPr>
              <w:pStyle w:val="6"/>
              <w:spacing w:before="305" w:line="239" w:lineRule="auto"/>
              <w:ind w:left="75"/>
              <w:rPr>
                <w:sz w:val="23"/>
                <w:szCs w:val="23"/>
              </w:rPr>
            </w:pPr>
            <w:r>
              <w:rPr>
                <w:spacing w:val="-3"/>
                <w:sz w:val="23"/>
                <w:szCs w:val="23"/>
              </w:rPr>
              <w:t>50.19</w:t>
            </w:r>
          </w:p>
        </w:tc>
        <w:tc>
          <w:tcPr>
            <w:tcW w:w="1188" w:type="dxa"/>
            <w:vAlign w:val="top"/>
          </w:tcPr>
          <w:p w14:paraId="615E3DA2">
            <w:pPr>
              <w:pStyle w:val="6"/>
              <w:spacing w:before="305" w:line="239" w:lineRule="auto"/>
              <w:ind w:left="356"/>
              <w:rPr>
                <w:sz w:val="23"/>
                <w:szCs w:val="23"/>
              </w:rPr>
            </w:pPr>
            <w:r>
              <w:rPr>
                <w:spacing w:val="-3"/>
                <w:sz w:val="23"/>
                <w:szCs w:val="23"/>
              </w:rPr>
              <w:t>0.19</w:t>
            </w:r>
          </w:p>
        </w:tc>
        <w:tc>
          <w:tcPr>
            <w:tcW w:w="799" w:type="dxa"/>
            <w:vAlign w:val="top"/>
          </w:tcPr>
          <w:p w14:paraId="7E9ECA4C">
            <w:pPr>
              <w:pStyle w:val="6"/>
              <w:spacing w:before="304"/>
              <w:ind w:left="278"/>
              <w:rPr>
                <w:sz w:val="23"/>
                <w:szCs w:val="23"/>
              </w:rPr>
            </w:pPr>
            <w:r>
              <w:rPr>
                <w:spacing w:val="-4"/>
                <w:sz w:val="23"/>
                <w:szCs w:val="23"/>
              </w:rPr>
              <w:t>55</w:t>
            </w:r>
          </w:p>
        </w:tc>
        <w:tc>
          <w:tcPr>
            <w:tcW w:w="594" w:type="dxa"/>
            <w:vAlign w:val="top"/>
          </w:tcPr>
          <w:p w14:paraId="422930DF">
            <w:pPr>
              <w:pStyle w:val="6"/>
              <w:spacing w:before="283" w:line="220" w:lineRule="auto"/>
              <w:ind w:left="100"/>
              <w:rPr>
                <w:sz w:val="23"/>
                <w:szCs w:val="23"/>
              </w:rPr>
            </w:pPr>
            <w:r>
              <w:rPr>
                <w:spacing w:val="-3"/>
                <w:sz w:val="23"/>
                <w:szCs w:val="23"/>
              </w:rPr>
              <w:t>达标</w:t>
            </w:r>
          </w:p>
        </w:tc>
      </w:tr>
      <w:tr w14:paraId="30E56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854" w:type="dxa"/>
            <w:vMerge w:val="continue"/>
            <w:tcBorders>
              <w:top w:val="nil"/>
              <w:bottom w:val="nil"/>
            </w:tcBorders>
            <w:vAlign w:val="top"/>
          </w:tcPr>
          <w:p w14:paraId="4768F1CB">
            <w:pPr>
              <w:rPr>
                <w:rFonts w:ascii="Arial"/>
                <w:sz w:val="21"/>
              </w:rPr>
            </w:pPr>
          </w:p>
        </w:tc>
        <w:tc>
          <w:tcPr>
            <w:tcW w:w="310" w:type="dxa"/>
            <w:vAlign w:val="top"/>
          </w:tcPr>
          <w:p w14:paraId="7A57EE7C">
            <w:pPr>
              <w:pStyle w:val="6"/>
              <w:spacing w:before="296" w:line="241" w:lineRule="auto"/>
              <w:ind w:left="81"/>
              <w:rPr>
                <w:sz w:val="23"/>
                <w:szCs w:val="23"/>
              </w:rPr>
            </w:pPr>
            <w:r>
              <w:rPr>
                <w:sz w:val="23"/>
                <w:szCs w:val="23"/>
              </w:rPr>
              <w:t>2</w:t>
            </w:r>
          </w:p>
        </w:tc>
        <w:tc>
          <w:tcPr>
            <w:tcW w:w="1189" w:type="dxa"/>
            <w:vAlign w:val="top"/>
          </w:tcPr>
          <w:p w14:paraId="58C96895">
            <w:pPr>
              <w:pStyle w:val="6"/>
              <w:spacing w:before="41" w:line="192" w:lineRule="auto"/>
              <w:ind w:left="11" w:firstLine="159"/>
              <w:jc w:val="both"/>
              <w:rPr>
                <w:sz w:val="23"/>
                <w:szCs w:val="23"/>
              </w:rPr>
            </w:pPr>
            <w:r>
              <w:rPr>
                <w:spacing w:val="-5"/>
                <w:sz w:val="23"/>
                <w:szCs w:val="23"/>
              </w:rPr>
              <w:t>15#大地村</w:t>
            </w:r>
            <w:r>
              <w:rPr>
                <w:sz w:val="23"/>
                <w:szCs w:val="23"/>
              </w:rPr>
              <w:t xml:space="preserve"> </w:t>
            </w:r>
            <w:r>
              <w:rPr>
                <w:spacing w:val="2"/>
                <w:sz w:val="23"/>
                <w:szCs w:val="23"/>
              </w:rPr>
              <w:t>散户5(田间</w:t>
            </w:r>
            <w:r>
              <w:rPr>
                <w:spacing w:val="4"/>
                <w:sz w:val="23"/>
                <w:szCs w:val="23"/>
              </w:rPr>
              <w:t xml:space="preserve"> </w:t>
            </w:r>
            <w:r>
              <w:rPr>
                <w:spacing w:val="20"/>
                <w:sz w:val="23"/>
                <w:szCs w:val="23"/>
              </w:rPr>
              <w:t>农户看地)</w:t>
            </w:r>
          </w:p>
        </w:tc>
        <w:tc>
          <w:tcPr>
            <w:tcW w:w="1428" w:type="dxa"/>
            <w:vAlign w:val="top"/>
          </w:tcPr>
          <w:p w14:paraId="27AC1488">
            <w:pPr>
              <w:pStyle w:val="6"/>
              <w:spacing w:before="274" w:line="220" w:lineRule="auto"/>
              <w:ind w:left="301"/>
              <w:rPr>
                <w:sz w:val="23"/>
                <w:szCs w:val="23"/>
              </w:rPr>
            </w:pPr>
            <w:r>
              <w:rPr>
                <w:spacing w:val="-2"/>
                <w:sz w:val="23"/>
                <w:szCs w:val="23"/>
              </w:rPr>
              <w:t>距离15m</w:t>
            </w:r>
          </w:p>
        </w:tc>
        <w:tc>
          <w:tcPr>
            <w:tcW w:w="1209" w:type="dxa"/>
            <w:vAlign w:val="top"/>
          </w:tcPr>
          <w:p w14:paraId="613FD7C2">
            <w:pPr>
              <w:pStyle w:val="6"/>
              <w:spacing w:before="296" w:line="239" w:lineRule="auto"/>
              <w:ind w:left="304"/>
              <w:rPr>
                <w:sz w:val="23"/>
                <w:szCs w:val="23"/>
              </w:rPr>
            </w:pPr>
            <w:r>
              <w:rPr>
                <w:spacing w:val="-3"/>
                <w:sz w:val="23"/>
                <w:szCs w:val="23"/>
              </w:rPr>
              <w:t>36.48</w:t>
            </w:r>
          </w:p>
        </w:tc>
        <w:tc>
          <w:tcPr>
            <w:tcW w:w="879" w:type="dxa"/>
            <w:vAlign w:val="top"/>
          </w:tcPr>
          <w:p w14:paraId="22389C6D">
            <w:pPr>
              <w:pStyle w:val="6"/>
              <w:spacing w:before="295"/>
              <w:ind w:left="314"/>
              <w:rPr>
                <w:sz w:val="23"/>
                <w:szCs w:val="23"/>
              </w:rPr>
            </w:pPr>
            <w:r>
              <w:rPr>
                <w:spacing w:val="-4"/>
                <w:sz w:val="23"/>
                <w:szCs w:val="23"/>
              </w:rPr>
              <w:t>52</w:t>
            </w:r>
          </w:p>
        </w:tc>
        <w:tc>
          <w:tcPr>
            <w:tcW w:w="739" w:type="dxa"/>
            <w:vAlign w:val="top"/>
          </w:tcPr>
          <w:p w14:paraId="6117FD47">
            <w:pPr>
              <w:pStyle w:val="6"/>
              <w:spacing w:before="296" w:line="239" w:lineRule="auto"/>
              <w:ind w:left="75"/>
              <w:rPr>
                <w:sz w:val="23"/>
                <w:szCs w:val="23"/>
              </w:rPr>
            </w:pPr>
            <w:r>
              <w:rPr>
                <w:spacing w:val="-3"/>
                <w:sz w:val="23"/>
                <w:szCs w:val="23"/>
              </w:rPr>
              <w:t>52.12</w:t>
            </w:r>
          </w:p>
        </w:tc>
        <w:tc>
          <w:tcPr>
            <w:tcW w:w="1188" w:type="dxa"/>
            <w:vAlign w:val="top"/>
          </w:tcPr>
          <w:p w14:paraId="327DBA82">
            <w:pPr>
              <w:pStyle w:val="6"/>
              <w:spacing w:before="296" w:line="239" w:lineRule="auto"/>
              <w:ind w:left="356"/>
              <w:rPr>
                <w:sz w:val="23"/>
                <w:szCs w:val="23"/>
              </w:rPr>
            </w:pPr>
            <w:r>
              <w:rPr>
                <w:spacing w:val="-3"/>
                <w:sz w:val="23"/>
                <w:szCs w:val="23"/>
              </w:rPr>
              <w:t>0.12</w:t>
            </w:r>
          </w:p>
        </w:tc>
        <w:tc>
          <w:tcPr>
            <w:tcW w:w="799" w:type="dxa"/>
            <w:vAlign w:val="top"/>
          </w:tcPr>
          <w:p w14:paraId="68342CDF">
            <w:pPr>
              <w:pStyle w:val="6"/>
              <w:spacing w:before="295"/>
              <w:ind w:left="278"/>
              <w:rPr>
                <w:sz w:val="23"/>
                <w:szCs w:val="23"/>
              </w:rPr>
            </w:pPr>
            <w:r>
              <w:rPr>
                <w:spacing w:val="-4"/>
                <w:sz w:val="23"/>
                <w:szCs w:val="23"/>
              </w:rPr>
              <w:t>55</w:t>
            </w:r>
          </w:p>
        </w:tc>
        <w:tc>
          <w:tcPr>
            <w:tcW w:w="594" w:type="dxa"/>
            <w:vAlign w:val="top"/>
          </w:tcPr>
          <w:p w14:paraId="56BBB6EE">
            <w:pPr>
              <w:pStyle w:val="6"/>
              <w:spacing w:before="274" w:line="220" w:lineRule="auto"/>
              <w:ind w:left="100"/>
              <w:rPr>
                <w:sz w:val="23"/>
                <w:szCs w:val="23"/>
              </w:rPr>
            </w:pPr>
            <w:r>
              <w:rPr>
                <w:spacing w:val="-3"/>
                <w:sz w:val="23"/>
                <w:szCs w:val="23"/>
              </w:rPr>
              <w:t>达标</w:t>
            </w:r>
          </w:p>
        </w:tc>
      </w:tr>
      <w:tr w14:paraId="4D9E5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54" w:type="dxa"/>
            <w:vMerge w:val="continue"/>
            <w:tcBorders>
              <w:top w:val="nil"/>
              <w:bottom w:val="nil"/>
            </w:tcBorders>
            <w:vAlign w:val="top"/>
          </w:tcPr>
          <w:p w14:paraId="64AA9A19">
            <w:pPr>
              <w:rPr>
                <w:rFonts w:ascii="Arial"/>
                <w:sz w:val="21"/>
              </w:rPr>
            </w:pPr>
          </w:p>
        </w:tc>
        <w:tc>
          <w:tcPr>
            <w:tcW w:w="310" w:type="dxa"/>
            <w:vAlign w:val="top"/>
          </w:tcPr>
          <w:p w14:paraId="7873D4B2">
            <w:pPr>
              <w:pStyle w:val="6"/>
              <w:spacing w:before="196"/>
              <w:ind w:left="81"/>
              <w:rPr>
                <w:sz w:val="23"/>
                <w:szCs w:val="23"/>
              </w:rPr>
            </w:pPr>
            <w:r>
              <w:rPr>
                <w:sz w:val="23"/>
                <w:szCs w:val="23"/>
              </w:rPr>
              <w:t>3</w:t>
            </w:r>
          </w:p>
        </w:tc>
        <w:tc>
          <w:tcPr>
            <w:tcW w:w="1189" w:type="dxa"/>
            <w:vAlign w:val="top"/>
          </w:tcPr>
          <w:p w14:paraId="09C25BDF">
            <w:pPr>
              <w:pStyle w:val="6"/>
              <w:spacing w:before="54" w:line="209" w:lineRule="auto"/>
              <w:ind w:left="11"/>
              <w:rPr>
                <w:sz w:val="23"/>
                <w:szCs w:val="23"/>
              </w:rPr>
            </w:pPr>
            <w:r>
              <w:rPr>
                <w:spacing w:val="1"/>
                <w:sz w:val="23"/>
                <w:szCs w:val="23"/>
              </w:rPr>
              <w:t>2#栗树园散</w:t>
            </w:r>
          </w:p>
          <w:p w14:paraId="482C793A">
            <w:pPr>
              <w:pStyle w:val="6"/>
              <w:spacing w:line="187" w:lineRule="auto"/>
              <w:ind w:left="410"/>
              <w:rPr>
                <w:sz w:val="23"/>
                <w:szCs w:val="23"/>
              </w:rPr>
            </w:pPr>
            <w:r>
              <w:rPr>
                <w:spacing w:val="9"/>
                <w:sz w:val="23"/>
                <w:szCs w:val="23"/>
              </w:rPr>
              <w:t>户1</w:t>
            </w:r>
          </w:p>
        </w:tc>
        <w:tc>
          <w:tcPr>
            <w:tcW w:w="1428" w:type="dxa"/>
            <w:vAlign w:val="top"/>
          </w:tcPr>
          <w:p w14:paraId="5E19BB8F">
            <w:pPr>
              <w:pStyle w:val="6"/>
              <w:spacing w:before="175" w:line="220" w:lineRule="auto"/>
              <w:ind w:left="301"/>
              <w:rPr>
                <w:sz w:val="23"/>
                <w:szCs w:val="23"/>
              </w:rPr>
            </w:pPr>
            <w:r>
              <w:rPr>
                <w:spacing w:val="-2"/>
                <w:sz w:val="23"/>
                <w:szCs w:val="23"/>
              </w:rPr>
              <w:t>距离15m</w:t>
            </w:r>
          </w:p>
        </w:tc>
        <w:tc>
          <w:tcPr>
            <w:tcW w:w="1209" w:type="dxa"/>
            <w:vAlign w:val="top"/>
          </w:tcPr>
          <w:p w14:paraId="449B796B">
            <w:pPr>
              <w:pStyle w:val="6"/>
              <w:spacing w:before="197" w:line="239" w:lineRule="auto"/>
              <w:ind w:left="304"/>
              <w:rPr>
                <w:sz w:val="23"/>
                <w:szCs w:val="23"/>
              </w:rPr>
            </w:pPr>
            <w:r>
              <w:rPr>
                <w:spacing w:val="-3"/>
                <w:sz w:val="23"/>
                <w:szCs w:val="23"/>
              </w:rPr>
              <w:t>36.48</w:t>
            </w:r>
          </w:p>
        </w:tc>
        <w:tc>
          <w:tcPr>
            <w:tcW w:w="879" w:type="dxa"/>
            <w:vAlign w:val="top"/>
          </w:tcPr>
          <w:p w14:paraId="1FE04A22">
            <w:pPr>
              <w:pStyle w:val="6"/>
              <w:spacing w:before="197" w:line="241" w:lineRule="auto"/>
              <w:ind w:left="314"/>
              <w:rPr>
                <w:sz w:val="23"/>
                <w:szCs w:val="23"/>
              </w:rPr>
            </w:pPr>
            <w:r>
              <w:rPr>
                <w:spacing w:val="-3"/>
                <w:sz w:val="23"/>
                <w:szCs w:val="23"/>
              </w:rPr>
              <w:t>44</w:t>
            </w:r>
          </w:p>
        </w:tc>
        <w:tc>
          <w:tcPr>
            <w:tcW w:w="739" w:type="dxa"/>
            <w:vAlign w:val="top"/>
          </w:tcPr>
          <w:p w14:paraId="53558D91">
            <w:pPr>
              <w:pStyle w:val="6"/>
              <w:spacing w:before="197" w:line="239" w:lineRule="auto"/>
              <w:ind w:left="75"/>
              <w:rPr>
                <w:sz w:val="23"/>
                <w:szCs w:val="23"/>
              </w:rPr>
            </w:pPr>
            <w:r>
              <w:rPr>
                <w:spacing w:val="-2"/>
                <w:sz w:val="23"/>
                <w:szCs w:val="23"/>
              </w:rPr>
              <w:t>44.71</w:t>
            </w:r>
          </w:p>
        </w:tc>
        <w:tc>
          <w:tcPr>
            <w:tcW w:w="1188" w:type="dxa"/>
            <w:vAlign w:val="top"/>
          </w:tcPr>
          <w:p w14:paraId="62EA994C">
            <w:pPr>
              <w:pStyle w:val="6"/>
              <w:spacing w:before="197" w:line="239" w:lineRule="auto"/>
              <w:ind w:left="356"/>
              <w:rPr>
                <w:sz w:val="23"/>
                <w:szCs w:val="23"/>
              </w:rPr>
            </w:pPr>
            <w:r>
              <w:rPr>
                <w:spacing w:val="-3"/>
                <w:sz w:val="23"/>
                <w:szCs w:val="23"/>
              </w:rPr>
              <w:t>0.71</w:t>
            </w:r>
          </w:p>
        </w:tc>
        <w:tc>
          <w:tcPr>
            <w:tcW w:w="799" w:type="dxa"/>
            <w:vAlign w:val="top"/>
          </w:tcPr>
          <w:p w14:paraId="246A0FD7">
            <w:pPr>
              <w:pStyle w:val="6"/>
              <w:spacing w:before="196"/>
              <w:ind w:left="278"/>
              <w:rPr>
                <w:sz w:val="23"/>
                <w:szCs w:val="23"/>
              </w:rPr>
            </w:pPr>
            <w:r>
              <w:rPr>
                <w:spacing w:val="-4"/>
                <w:sz w:val="23"/>
                <w:szCs w:val="23"/>
              </w:rPr>
              <w:t>55</w:t>
            </w:r>
          </w:p>
        </w:tc>
        <w:tc>
          <w:tcPr>
            <w:tcW w:w="594" w:type="dxa"/>
            <w:vAlign w:val="top"/>
          </w:tcPr>
          <w:p w14:paraId="70246AC9">
            <w:pPr>
              <w:pStyle w:val="6"/>
              <w:spacing w:before="175" w:line="220" w:lineRule="auto"/>
              <w:ind w:left="100"/>
              <w:rPr>
                <w:sz w:val="23"/>
                <w:szCs w:val="23"/>
              </w:rPr>
            </w:pPr>
            <w:r>
              <w:rPr>
                <w:spacing w:val="-3"/>
                <w:sz w:val="23"/>
                <w:szCs w:val="23"/>
              </w:rPr>
              <w:t>达标</w:t>
            </w:r>
          </w:p>
        </w:tc>
      </w:tr>
      <w:tr w14:paraId="34909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854" w:type="dxa"/>
            <w:vMerge w:val="continue"/>
            <w:tcBorders>
              <w:top w:val="nil"/>
              <w:bottom w:val="nil"/>
            </w:tcBorders>
            <w:vAlign w:val="top"/>
          </w:tcPr>
          <w:p w14:paraId="70DEFB72">
            <w:pPr>
              <w:rPr>
                <w:rFonts w:ascii="Arial"/>
                <w:sz w:val="21"/>
              </w:rPr>
            </w:pPr>
          </w:p>
        </w:tc>
        <w:tc>
          <w:tcPr>
            <w:tcW w:w="310" w:type="dxa"/>
            <w:vAlign w:val="top"/>
          </w:tcPr>
          <w:p w14:paraId="587E0EB7">
            <w:pPr>
              <w:pStyle w:val="6"/>
              <w:spacing w:before="188" w:line="241" w:lineRule="auto"/>
              <w:ind w:left="81"/>
              <w:rPr>
                <w:sz w:val="23"/>
                <w:szCs w:val="23"/>
              </w:rPr>
            </w:pPr>
            <w:r>
              <w:rPr>
                <w:sz w:val="23"/>
                <w:szCs w:val="23"/>
              </w:rPr>
              <w:t>4</w:t>
            </w:r>
          </w:p>
        </w:tc>
        <w:tc>
          <w:tcPr>
            <w:tcW w:w="1189" w:type="dxa"/>
            <w:vAlign w:val="top"/>
          </w:tcPr>
          <w:p w14:paraId="60B3465B">
            <w:pPr>
              <w:pStyle w:val="6"/>
              <w:spacing w:before="34" w:line="199" w:lineRule="auto"/>
              <w:ind w:left="410" w:right="9" w:hanging="399"/>
              <w:rPr>
                <w:sz w:val="23"/>
                <w:szCs w:val="23"/>
              </w:rPr>
            </w:pPr>
            <w:r>
              <w:rPr>
                <w:spacing w:val="1"/>
                <w:sz w:val="23"/>
                <w:szCs w:val="23"/>
              </w:rPr>
              <w:t xml:space="preserve">3#栗树园散 </w:t>
            </w:r>
            <w:r>
              <w:rPr>
                <w:spacing w:val="-4"/>
                <w:sz w:val="23"/>
                <w:szCs w:val="23"/>
              </w:rPr>
              <w:t>户2</w:t>
            </w:r>
          </w:p>
        </w:tc>
        <w:tc>
          <w:tcPr>
            <w:tcW w:w="1428" w:type="dxa"/>
            <w:vAlign w:val="top"/>
          </w:tcPr>
          <w:p w14:paraId="33155154">
            <w:pPr>
              <w:pStyle w:val="6"/>
              <w:spacing w:before="166" w:line="220" w:lineRule="auto"/>
              <w:ind w:left="301"/>
              <w:rPr>
                <w:sz w:val="23"/>
                <w:szCs w:val="23"/>
              </w:rPr>
            </w:pPr>
            <w:r>
              <w:rPr>
                <w:spacing w:val="-2"/>
                <w:sz w:val="23"/>
                <w:szCs w:val="23"/>
              </w:rPr>
              <w:t>距离15m</w:t>
            </w:r>
          </w:p>
        </w:tc>
        <w:tc>
          <w:tcPr>
            <w:tcW w:w="1209" w:type="dxa"/>
            <w:vAlign w:val="top"/>
          </w:tcPr>
          <w:p w14:paraId="181EF7AF">
            <w:pPr>
              <w:pStyle w:val="6"/>
              <w:spacing w:before="188" w:line="239" w:lineRule="auto"/>
              <w:ind w:left="304"/>
              <w:rPr>
                <w:sz w:val="23"/>
                <w:szCs w:val="23"/>
              </w:rPr>
            </w:pPr>
            <w:r>
              <w:rPr>
                <w:spacing w:val="-3"/>
                <w:sz w:val="23"/>
                <w:szCs w:val="23"/>
              </w:rPr>
              <w:t>36.48</w:t>
            </w:r>
          </w:p>
        </w:tc>
        <w:tc>
          <w:tcPr>
            <w:tcW w:w="879" w:type="dxa"/>
            <w:vAlign w:val="top"/>
          </w:tcPr>
          <w:p w14:paraId="1B5EEBD7">
            <w:pPr>
              <w:pStyle w:val="6"/>
              <w:spacing w:before="187"/>
              <w:ind w:left="314"/>
              <w:rPr>
                <w:sz w:val="23"/>
                <w:szCs w:val="23"/>
              </w:rPr>
            </w:pPr>
            <w:r>
              <w:rPr>
                <w:spacing w:val="-4"/>
                <w:sz w:val="23"/>
                <w:szCs w:val="23"/>
              </w:rPr>
              <w:t>50</w:t>
            </w:r>
          </w:p>
        </w:tc>
        <w:tc>
          <w:tcPr>
            <w:tcW w:w="739" w:type="dxa"/>
            <w:vAlign w:val="top"/>
          </w:tcPr>
          <w:p w14:paraId="0F655DFC">
            <w:pPr>
              <w:pStyle w:val="6"/>
              <w:spacing w:before="188" w:line="239" w:lineRule="auto"/>
              <w:ind w:left="75"/>
              <w:rPr>
                <w:sz w:val="23"/>
                <w:szCs w:val="23"/>
              </w:rPr>
            </w:pPr>
            <w:r>
              <w:rPr>
                <w:spacing w:val="-3"/>
                <w:sz w:val="23"/>
                <w:szCs w:val="23"/>
              </w:rPr>
              <w:t>50.19</w:t>
            </w:r>
          </w:p>
        </w:tc>
        <w:tc>
          <w:tcPr>
            <w:tcW w:w="1188" w:type="dxa"/>
            <w:vAlign w:val="top"/>
          </w:tcPr>
          <w:p w14:paraId="3A867888">
            <w:pPr>
              <w:pStyle w:val="6"/>
              <w:spacing w:before="188" w:line="239" w:lineRule="auto"/>
              <w:ind w:left="356"/>
              <w:rPr>
                <w:sz w:val="23"/>
                <w:szCs w:val="23"/>
              </w:rPr>
            </w:pPr>
            <w:r>
              <w:rPr>
                <w:spacing w:val="-3"/>
                <w:sz w:val="23"/>
                <w:szCs w:val="23"/>
              </w:rPr>
              <w:t>0.19</w:t>
            </w:r>
          </w:p>
        </w:tc>
        <w:tc>
          <w:tcPr>
            <w:tcW w:w="799" w:type="dxa"/>
            <w:vAlign w:val="top"/>
          </w:tcPr>
          <w:p w14:paraId="1A130817">
            <w:pPr>
              <w:pStyle w:val="6"/>
              <w:spacing w:before="187"/>
              <w:ind w:left="278"/>
              <w:rPr>
                <w:sz w:val="23"/>
                <w:szCs w:val="23"/>
              </w:rPr>
            </w:pPr>
            <w:r>
              <w:rPr>
                <w:spacing w:val="-4"/>
                <w:sz w:val="23"/>
                <w:szCs w:val="23"/>
              </w:rPr>
              <w:t>55</w:t>
            </w:r>
          </w:p>
        </w:tc>
        <w:tc>
          <w:tcPr>
            <w:tcW w:w="594" w:type="dxa"/>
            <w:vAlign w:val="top"/>
          </w:tcPr>
          <w:p w14:paraId="58F9C2CC">
            <w:pPr>
              <w:pStyle w:val="6"/>
              <w:spacing w:before="166" w:line="220" w:lineRule="auto"/>
              <w:ind w:left="100"/>
              <w:rPr>
                <w:sz w:val="23"/>
                <w:szCs w:val="23"/>
              </w:rPr>
            </w:pPr>
            <w:r>
              <w:rPr>
                <w:spacing w:val="-3"/>
                <w:sz w:val="23"/>
                <w:szCs w:val="23"/>
              </w:rPr>
              <w:t>达标</w:t>
            </w:r>
          </w:p>
        </w:tc>
      </w:tr>
      <w:tr w14:paraId="58FE8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4" w:type="dxa"/>
            <w:vMerge w:val="continue"/>
            <w:tcBorders>
              <w:top w:val="nil"/>
              <w:bottom w:val="nil"/>
            </w:tcBorders>
            <w:vAlign w:val="top"/>
          </w:tcPr>
          <w:p w14:paraId="107966B0">
            <w:pPr>
              <w:rPr>
                <w:rFonts w:ascii="Arial"/>
                <w:sz w:val="21"/>
              </w:rPr>
            </w:pPr>
          </w:p>
        </w:tc>
        <w:tc>
          <w:tcPr>
            <w:tcW w:w="8335" w:type="dxa"/>
            <w:gridSpan w:val="9"/>
            <w:vAlign w:val="top"/>
          </w:tcPr>
          <w:p w14:paraId="5CB842D0">
            <w:pPr>
              <w:pStyle w:val="6"/>
              <w:spacing w:before="52" w:line="207" w:lineRule="auto"/>
              <w:ind w:left="3934"/>
              <w:rPr>
                <w:sz w:val="23"/>
                <w:szCs w:val="23"/>
              </w:rPr>
            </w:pPr>
            <w:r>
              <w:rPr>
                <w:b/>
                <w:bCs/>
                <w:spacing w:val="5"/>
                <w:sz w:val="23"/>
                <w:szCs w:val="23"/>
              </w:rPr>
              <w:t>夜间</w:t>
            </w:r>
          </w:p>
        </w:tc>
      </w:tr>
      <w:tr w14:paraId="3F668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854" w:type="dxa"/>
            <w:vMerge w:val="continue"/>
            <w:tcBorders>
              <w:top w:val="nil"/>
              <w:bottom w:val="nil"/>
            </w:tcBorders>
            <w:vAlign w:val="top"/>
          </w:tcPr>
          <w:p w14:paraId="2F8ED4A9">
            <w:pPr>
              <w:rPr>
                <w:rFonts w:ascii="Arial"/>
                <w:sz w:val="21"/>
              </w:rPr>
            </w:pPr>
          </w:p>
        </w:tc>
        <w:tc>
          <w:tcPr>
            <w:tcW w:w="310" w:type="dxa"/>
            <w:vAlign w:val="top"/>
          </w:tcPr>
          <w:p w14:paraId="380D0E0C">
            <w:pPr>
              <w:pStyle w:val="6"/>
              <w:spacing w:before="308" w:line="241" w:lineRule="auto"/>
              <w:ind w:left="81"/>
              <w:rPr>
                <w:sz w:val="23"/>
                <w:szCs w:val="23"/>
              </w:rPr>
            </w:pPr>
            <w:r>
              <w:rPr>
                <w:sz w:val="23"/>
                <w:szCs w:val="23"/>
              </w:rPr>
              <w:t>1</w:t>
            </w:r>
          </w:p>
        </w:tc>
        <w:tc>
          <w:tcPr>
            <w:tcW w:w="1189" w:type="dxa"/>
            <w:vAlign w:val="top"/>
          </w:tcPr>
          <w:p w14:paraId="6FFBA366">
            <w:pPr>
              <w:pStyle w:val="6"/>
              <w:spacing w:before="36" w:line="196" w:lineRule="auto"/>
              <w:ind w:left="11" w:firstLine="168"/>
              <w:jc w:val="right"/>
              <w:rPr>
                <w:sz w:val="23"/>
                <w:szCs w:val="23"/>
              </w:rPr>
            </w:pPr>
            <w:r>
              <w:rPr>
                <w:spacing w:val="-6"/>
                <w:sz w:val="23"/>
                <w:szCs w:val="23"/>
              </w:rPr>
              <w:t>10#放马沟</w:t>
            </w:r>
            <w:r>
              <w:rPr>
                <w:sz w:val="23"/>
                <w:szCs w:val="23"/>
              </w:rPr>
              <w:t xml:space="preserve"> </w:t>
            </w:r>
            <w:r>
              <w:rPr>
                <w:spacing w:val="-18"/>
                <w:sz w:val="23"/>
                <w:szCs w:val="23"/>
              </w:rPr>
              <w:t>散户(田间农</w:t>
            </w:r>
            <w:r>
              <w:rPr>
                <w:spacing w:val="3"/>
                <w:sz w:val="23"/>
                <w:szCs w:val="23"/>
              </w:rPr>
              <w:t xml:space="preserve"> </w:t>
            </w:r>
            <w:r>
              <w:rPr>
                <w:spacing w:val="9"/>
                <w:sz w:val="23"/>
                <w:szCs w:val="23"/>
              </w:rPr>
              <w:t>户看地)</w:t>
            </w:r>
          </w:p>
        </w:tc>
        <w:tc>
          <w:tcPr>
            <w:tcW w:w="1428" w:type="dxa"/>
            <w:vAlign w:val="top"/>
          </w:tcPr>
          <w:p w14:paraId="6FFB5190">
            <w:pPr>
              <w:pStyle w:val="6"/>
              <w:spacing w:before="286" w:line="220" w:lineRule="auto"/>
              <w:ind w:left="301"/>
              <w:rPr>
                <w:sz w:val="23"/>
                <w:szCs w:val="23"/>
              </w:rPr>
            </w:pPr>
            <w:r>
              <w:rPr>
                <w:spacing w:val="-2"/>
                <w:sz w:val="23"/>
                <w:szCs w:val="23"/>
              </w:rPr>
              <w:t>距离15m</w:t>
            </w:r>
          </w:p>
        </w:tc>
        <w:tc>
          <w:tcPr>
            <w:tcW w:w="1209" w:type="dxa"/>
            <w:vAlign w:val="top"/>
          </w:tcPr>
          <w:p w14:paraId="5A420022">
            <w:pPr>
              <w:pStyle w:val="6"/>
              <w:spacing w:before="308" w:line="239" w:lineRule="auto"/>
              <w:ind w:left="304"/>
              <w:rPr>
                <w:sz w:val="23"/>
                <w:szCs w:val="23"/>
              </w:rPr>
            </w:pPr>
            <w:r>
              <w:rPr>
                <w:spacing w:val="-3"/>
                <w:sz w:val="23"/>
                <w:szCs w:val="23"/>
              </w:rPr>
              <w:t>36.48</w:t>
            </w:r>
          </w:p>
        </w:tc>
        <w:tc>
          <w:tcPr>
            <w:tcW w:w="879" w:type="dxa"/>
            <w:vAlign w:val="top"/>
          </w:tcPr>
          <w:p w14:paraId="5788BEE8">
            <w:pPr>
              <w:pStyle w:val="6"/>
              <w:spacing w:before="307"/>
              <w:ind w:left="314"/>
              <w:rPr>
                <w:sz w:val="23"/>
                <w:szCs w:val="23"/>
              </w:rPr>
            </w:pPr>
            <w:r>
              <w:rPr>
                <w:spacing w:val="-3"/>
                <w:sz w:val="23"/>
                <w:szCs w:val="23"/>
              </w:rPr>
              <w:t>43</w:t>
            </w:r>
          </w:p>
        </w:tc>
        <w:tc>
          <w:tcPr>
            <w:tcW w:w="739" w:type="dxa"/>
            <w:vAlign w:val="top"/>
          </w:tcPr>
          <w:p w14:paraId="01A0981B">
            <w:pPr>
              <w:pStyle w:val="6"/>
              <w:spacing w:before="308" w:line="239" w:lineRule="auto"/>
              <w:ind w:left="75"/>
              <w:rPr>
                <w:sz w:val="23"/>
                <w:szCs w:val="23"/>
              </w:rPr>
            </w:pPr>
            <w:r>
              <w:rPr>
                <w:spacing w:val="-2"/>
                <w:sz w:val="23"/>
                <w:szCs w:val="23"/>
              </w:rPr>
              <w:t>43.87</w:t>
            </w:r>
          </w:p>
        </w:tc>
        <w:tc>
          <w:tcPr>
            <w:tcW w:w="1188" w:type="dxa"/>
            <w:vAlign w:val="top"/>
          </w:tcPr>
          <w:p w14:paraId="16D847BE">
            <w:pPr>
              <w:pStyle w:val="6"/>
              <w:spacing w:before="308" w:line="239" w:lineRule="auto"/>
              <w:ind w:left="356"/>
              <w:rPr>
                <w:sz w:val="23"/>
                <w:szCs w:val="23"/>
              </w:rPr>
            </w:pPr>
            <w:r>
              <w:rPr>
                <w:spacing w:val="-3"/>
                <w:sz w:val="23"/>
                <w:szCs w:val="23"/>
              </w:rPr>
              <w:t>0.87</w:t>
            </w:r>
          </w:p>
        </w:tc>
        <w:tc>
          <w:tcPr>
            <w:tcW w:w="799" w:type="dxa"/>
            <w:vAlign w:val="top"/>
          </w:tcPr>
          <w:p w14:paraId="23BB1DAC">
            <w:pPr>
              <w:pStyle w:val="6"/>
              <w:spacing w:before="307"/>
              <w:ind w:left="278"/>
              <w:rPr>
                <w:sz w:val="23"/>
                <w:szCs w:val="23"/>
              </w:rPr>
            </w:pPr>
            <w:r>
              <w:rPr>
                <w:spacing w:val="-3"/>
                <w:sz w:val="23"/>
                <w:szCs w:val="23"/>
              </w:rPr>
              <w:t>45</w:t>
            </w:r>
          </w:p>
        </w:tc>
        <w:tc>
          <w:tcPr>
            <w:tcW w:w="594" w:type="dxa"/>
            <w:vAlign w:val="top"/>
          </w:tcPr>
          <w:p w14:paraId="7D7196BE">
            <w:pPr>
              <w:pStyle w:val="6"/>
              <w:spacing w:before="286" w:line="220" w:lineRule="auto"/>
              <w:ind w:left="100"/>
              <w:rPr>
                <w:sz w:val="23"/>
                <w:szCs w:val="23"/>
              </w:rPr>
            </w:pPr>
            <w:r>
              <w:rPr>
                <w:spacing w:val="-3"/>
                <w:sz w:val="23"/>
                <w:szCs w:val="23"/>
              </w:rPr>
              <w:t>达标</w:t>
            </w:r>
          </w:p>
        </w:tc>
      </w:tr>
      <w:tr w14:paraId="4BFB9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854" w:type="dxa"/>
            <w:vMerge w:val="continue"/>
            <w:tcBorders>
              <w:top w:val="nil"/>
              <w:bottom w:val="nil"/>
            </w:tcBorders>
            <w:vAlign w:val="top"/>
          </w:tcPr>
          <w:p w14:paraId="455D996B">
            <w:pPr>
              <w:rPr>
                <w:rFonts w:ascii="Arial"/>
                <w:sz w:val="21"/>
              </w:rPr>
            </w:pPr>
          </w:p>
        </w:tc>
        <w:tc>
          <w:tcPr>
            <w:tcW w:w="310" w:type="dxa"/>
            <w:vAlign w:val="top"/>
          </w:tcPr>
          <w:p w14:paraId="1DA6A7B0">
            <w:pPr>
              <w:pStyle w:val="6"/>
              <w:spacing w:before="309" w:line="241" w:lineRule="auto"/>
              <w:ind w:left="81"/>
              <w:rPr>
                <w:sz w:val="23"/>
                <w:szCs w:val="23"/>
              </w:rPr>
            </w:pPr>
            <w:r>
              <w:rPr>
                <w:sz w:val="23"/>
                <w:szCs w:val="23"/>
              </w:rPr>
              <w:t>2</w:t>
            </w:r>
          </w:p>
        </w:tc>
        <w:tc>
          <w:tcPr>
            <w:tcW w:w="1189" w:type="dxa"/>
            <w:vAlign w:val="top"/>
          </w:tcPr>
          <w:p w14:paraId="615CBA8D">
            <w:pPr>
              <w:pStyle w:val="6"/>
              <w:spacing w:before="36" w:line="199" w:lineRule="auto"/>
              <w:ind w:left="11" w:firstLine="168"/>
              <w:jc w:val="both"/>
              <w:rPr>
                <w:sz w:val="23"/>
                <w:szCs w:val="23"/>
              </w:rPr>
            </w:pPr>
            <w:r>
              <w:rPr>
                <w:spacing w:val="-6"/>
                <w:sz w:val="23"/>
                <w:szCs w:val="23"/>
              </w:rPr>
              <w:t>15#大地村</w:t>
            </w:r>
            <w:r>
              <w:rPr>
                <w:sz w:val="23"/>
                <w:szCs w:val="23"/>
              </w:rPr>
              <w:t xml:space="preserve"> </w:t>
            </w:r>
            <w:r>
              <w:rPr>
                <w:spacing w:val="1"/>
                <w:sz w:val="23"/>
                <w:szCs w:val="23"/>
              </w:rPr>
              <w:t>散户5(田间</w:t>
            </w:r>
            <w:r>
              <w:rPr>
                <w:spacing w:val="4"/>
                <w:sz w:val="23"/>
                <w:szCs w:val="23"/>
              </w:rPr>
              <w:t xml:space="preserve"> </w:t>
            </w:r>
            <w:r>
              <w:rPr>
                <w:spacing w:val="18"/>
                <w:sz w:val="23"/>
                <w:szCs w:val="23"/>
              </w:rPr>
              <w:t>农户看地)</w:t>
            </w:r>
          </w:p>
        </w:tc>
        <w:tc>
          <w:tcPr>
            <w:tcW w:w="1428" w:type="dxa"/>
            <w:vAlign w:val="top"/>
          </w:tcPr>
          <w:p w14:paraId="0F07031D">
            <w:pPr>
              <w:pStyle w:val="6"/>
              <w:spacing w:before="287" w:line="220" w:lineRule="auto"/>
              <w:ind w:left="301"/>
              <w:rPr>
                <w:sz w:val="23"/>
                <w:szCs w:val="23"/>
              </w:rPr>
            </w:pPr>
            <w:r>
              <w:rPr>
                <w:spacing w:val="-2"/>
                <w:sz w:val="23"/>
                <w:szCs w:val="23"/>
              </w:rPr>
              <w:t>距离15m</w:t>
            </w:r>
          </w:p>
        </w:tc>
        <w:tc>
          <w:tcPr>
            <w:tcW w:w="1209" w:type="dxa"/>
            <w:vAlign w:val="top"/>
          </w:tcPr>
          <w:p w14:paraId="527720D1">
            <w:pPr>
              <w:pStyle w:val="6"/>
              <w:spacing w:before="309" w:line="239" w:lineRule="auto"/>
              <w:ind w:left="304"/>
              <w:rPr>
                <w:sz w:val="23"/>
                <w:szCs w:val="23"/>
              </w:rPr>
            </w:pPr>
            <w:r>
              <w:rPr>
                <w:spacing w:val="-3"/>
                <w:sz w:val="23"/>
                <w:szCs w:val="23"/>
              </w:rPr>
              <w:t>36.48</w:t>
            </w:r>
          </w:p>
        </w:tc>
        <w:tc>
          <w:tcPr>
            <w:tcW w:w="879" w:type="dxa"/>
            <w:vAlign w:val="top"/>
          </w:tcPr>
          <w:p w14:paraId="4821B1DB">
            <w:pPr>
              <w:pStyle w:val="6"/>
              <w:spacing w:before="309" w:line="241" w:lineRule="auto"/>
              <w:ind w:left="314"/>
              <w:rPr>
                <w:sz w:val="23"/>
                <w:szCs w:val="23"/>
              </w:rPr>
            </w:pPr>
            <w:r>
              <w:rPr>
                <w:spacing w:val="-3"/>
                <w:sz w:val="23"/>
                <w:szCs w:val="23"/>
              </w:rPr>
              <w:t>44</w:t>
            </w:r>
          </w:p>
        </w:tc>
        <w:tc>
          <w:tcPr>
            <w:tcW w:w="739" w:type="dxa"/>
            <w:vAlign w:val="top"/>
          </w:tcPr>
          <w:p w14:paraId="6A575364">
            <w:pPr>
              <w:pStyle w:val="6"/>
              <w:spacing w:before="309" w:line="239" w:lineRule="auto"/>
              <w:ind w:left="75"/>
              <w:rPr>
                <w:sz w:val="23"/>
                <w:szCs w:val="23"/>
              </w:rPr>
            </w:pPr>
            <w:r>
              <w:rPr>
                <w:spacing w:val="-2"/>
                <w:sz w:val="23"/>
                <w:szCs w:val="23"/>
              </w:rPr>
              <w:t>44.71</w:t>
            </w:r>
          </w:p>
        </w:tc>
        <w:tc>
          <w:tcPr>
            <w:tcW w:w="1188" w:type="dxa"/>
            <w:vAlign w:val="top"/>
          </w:tcPr>
          <w:p w14:paraId="4B6E0843">
            <w:pPr>
              <w:pStyle w:val="6"/>
              <w:spacing w:before="309" w:line="239" w:lineRule="auto"/>
              <w:ind w:left="356"/>
              <w:rPr>
                <w:sz w:val="23"/>
                <w:szCs w:val="23"/>
              </w:rPr>
            </w:pPr>
            <w:r>
              <w:rPr>
                <w:spacing w:val="-3"/>
                <w:sz w:val="23"/>
                <w:szCs w:val="23"/>
              </w:rPr>
              <w:t>0.71</w:t>
            </w:r>
          </w:p>
        </w:tc>
        <w:tc>
          <w:tcPr>
            <w:tcW w:w="799" w:type="dxa"/>
            <w:vAlign w:val="top"/>
          </w:tcPr>
          <w:p w14:paraId="029F4528">
            <w:pPr>
              <w:pStyle w:val="6"/>
              <w:spacing w:before="308"/>
              <w:ind w:left="278"/>
              <w:rPr>
                <w:sz w:val="23"/>
                <w:szCs w:val="23"/>
              </w:rPr>
            </w:pPr>
            <w:r>
              <w:rPr>
                <w:spacing w:val="-3"/>
                <w:sz w:val="23"/>
                <w:szCs w:val="23"/>
              </w:rPr>
              <w:t>45</w:t>
            </w:r>
          </w:p>
        </w:tc>
        <w:tc>
          <w:tcPr>
            <w:tcW w:w="594" w:type="dxa"/>
            <w:vAlign w:val="top"/>
          </w:tcPr>
          <w:p w14:paraId="74F77FDC">
            <w:pPr>
              <w:pStyle w:val="6"/>
              <w:spacing w:before="287" w:line="220" w:lineRule="auto"/>
              <w:ind w:left="100"/>
              <w:rPr>
                <w:sz w:val="23"/>
                <w:szCs w:val="23"/>
              </w:rPr>
            </w:pPr>
            <w:r>
              <w:rPr>
                <w:spacing w:val="-3"/>
                <w:sz w:val="23"/>
                <w:szCs w:val="23"/>
              </w:rPr>
              <w:t>达标</w:t>
            </w:r>
          </w:p>
        </w:tc>
      </w:tr>
      <w:tr w14:paraId="180C0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854" w:type="dxa"/>
            <w:vMerge w:val="continue"/>
            <w:tcBorders>
              <w:top w:val="nil"/>
              <w:bottom w:val="nil"/>
            </w:tcBorders>
            <w:vAlign w:val="top"/>
          </w:tcPr>
          <w:p w14:paraId="44E0D7A4">
            <w:pPr>
              <w:rPr>
                <w:rFonts w:ascii="Arial"/>
                <w:sz w:val="21"/>
              </w:rPr>
            </w:pPr>
          </w:p>
        </w:tc>
        <w:tc>
          <w:tcPr>
            <w:tcW w:w="310" w:type="dxa"/>
            <w:vAlign w:val="top"/>
          </w:tcPr>
          <w:p w14:paraId="7DD5FF80">
            <w:pPr>
              <w:pStyle w:val="6"/>
              <w:spacing w:before="308"/>
              <w:ind w:left="81"/>
              <w:rPr>
                <w:sz w:val="23"/>
                <w:szCs w:val="23"/>
              </w:rPr>
            </w:pPr>
            <w:r>
              <w:rPr>
                <w:sz w:val="23"/>
                <w:szCs w:val="23"/>
              </w:rPr>
              <w:t>3</w:t>
            </w:r>
          </w:p>
        </w:tc>
        <w:tc>
          <w:tcPr>
            <w:tcW w:w="1189" w:type="dxa"/>
            <w:vAlign w:val="top"/>
          </w:tcPr>
          <w:p w14:paraId="59D47746">
            <w:pPr>
              <w:pStyle w:val="6"/>
              <w:spacing w:before="43" w:line="194" w:lineRule="auto"/>
              <w:ind w:left="11" w:firstLine="49"/>
              <w:jc w:val="both"/>
              <w:rPr>
                <w:sz w:val="23"/>
                <w:szCs w:val="23"/>
              </w:rPr>
            </w:pPr>
            <w:r>
              <w:rPr>
                <w:spacing w:val="1"/>
                <w:sz w:val="23"/>
                <w:szCs w:val="23"/>
              </w:rPr>
              <w:t>17#大地村</w:t>
            </w:r>
            <w:r>
              <w:rPr>
                <w:spacing w:val="4"/>
                <w:sz w:val="23"/>
                <w:szCs w:val="23"/>
              </w:rPr>
              <w:t xml:space="preserve"> </w:t>
            </w:r>
            <w:r>
              <w:rPr>
                <w:spacing w:val="2"/>
                <w:sz w:val="23"/>
                <w:szCs w:val="23"/>
              </w:rPr>
              <w:t>散户7(田间</w:t>
            </w:r>
            <w:r>
              <w:rPr>
                <w:spacing w:val="4"/>
                <w:sz w:val="23"/>
                <w:szCs w:val="23"/>
              </w:rPr>
              <w:t xml:space="preserve"> </w:t>
            </w:r>
            <w:r>
              <w:rPr>
                <w:spacing w:val="20"/>
                <w:sz w:val="23"/>
                <w:szCs w:val="23"/>
              </w:rPr>
              <w:t>农户看地)</w:t>
            </w:r>
          </w:p>
        </w:tc>
        <w:tc>
          <w:tcPr>
            <w:tcW w:w="1428" w:type="dxa"/>
            <w:vAlign w:val="top"/>
          </w:tcPr>
          <w:p w14:paraId="512EABDE">
            <w:pPr>
              <w:pStyle w:val="6"/>
              <w:spacing w:before="287" w:line="220" w:lineRule="auto"/>
              <w:ind w:left="301"/>
              <w:rPr>
                <w:sz w:val="23"/>
                <w:szCs w:val="23"/>
              </w:rPr>
            </w:pPr>
            <w:r>
              <w:rPr>
                <w:spacing w:val="-2"/>
                <w:sz w:val="23"/>
                <w:szCs w:val="23"/>
              </w:rPr>
              <w:t>距离15m</w:t>
            </w:r>
          </w:p>
        </w:tc>
        <w:tc>
          <w:tcPr>
            <w:tcW w:w="1209" w:type="dxa"/>
            <w:vAlign w:val="top"/>
          </w:tcPr>
          <w:p w14:paraId="763CA51B">
            <w:pPr>
              <w:pStyle w:val="6"/>
              <w:spacing w:before="309" w:line="239" w:lineRule="auto"/>
              <w:ind w:left="304"/>
              <w:rPr>
                <w:sz w:val="23"/>
                <w:szCs w:val="23"/>
              </w:rPr>
            </w:pPr>
            <w:r>
              <w:rPr>
                <w:spacing w:val="-3"/>
                <w:sz w:val="23"/>
                <w:szCs w:val="23"/>
              </w:rPr>
              <w:t>36.48</w:t>
            </w:r>
          </w:p>
        </w:tc>
        <w:tc>
          <w:tcPr>
            <w:tcW w:w="879" w:type="dxa"/>
            <w:vAlign w:val="top"/>
          </w:tcPr>
          <w:p w14:paraId="7CEFAEA6">
            <w:pPr>
              <w:pStyle w:val="6"/>
              <w:spacing w:before="308"/>
              <w:ind w:left="314"/>
              <w:rPr>
                <w:sz w:val="23"/>
                <w:szCs w:val="23"/>
              </w:rPr>
            </w:pPr>
            <w:r>
              <w:rPr>
                <w:spacing w:val="-3"/>
                <w:sz w:val="23"/>
                <w:szCs w:val="23"/>
              </w:rPr>
              <w:t>43</w:t>
            </w:r>
          </w:p>
        </w:tc>
        <w:tc>
          <w:tcPr>
            <w:tcW w:w="739" w:type="dxa"/>
            <w:vAlign w:val="top"/>
          </w:tcPr>
          <w:p w14:paraId="13ED99C4">
            <w:pPr>
              <w:pStyle w:val="6"/>
              <w:spacing w:before="309" w:line="239" w:lineRule="auto"/>
              <w:ind w:left="75"/>
              <w:rPr>
                <w:sz w:val="23"/>
                <w:szCs w:val="23"/>
              </w:rPr>
            </w:pPr>
            <w:r>
              <w:rPr>
                <w:spacing w:val="-2"/>
                <w:sz w:val="23"/>
                <w:szCs w:val="23"/>
              </w:rPr>
              <w:t>43.87</w:t>
            </w:r>
          </w:p>
        </w:tc>
        <w:tc>
          <w:tcPr>
            <w:tcW w:w="1188" w:type="dxa"/>
            <w:vAlign w:val="top"/>
          </w:tcPr>
          <w:p w14:paraId="08CF6C3F">
            <w:pPr>
              <w:pStyle w:val="6"/>
              <w:spacing w:before="309" w:line="239" w:lineRule="auto"/>
              <w:ind w:left="356"/>
              <w:rPr>
                <w:sz w:val="23"/>
                <w:szCs w:val="23"/>
              </w:rPr>
            </w:pPr>
            <w:r>
              <w:rPr>
                <w:spacing w:val="-3"/>
                <w:sz w:val="23"/>
                <w:szCs w:val="23"/>
              </w:rPr>
              <w:t>0.87</w:t>
            </w:r>
          </w:p>
        </w:tc>
        <w:tc>
          <w:tcPr>
            <w:tcW w:w="799" w:type="dxa"/>
            <w:vAlign w:val="top"/>
          </w:tcPr>
          <w:p w14:paraId="441C2042">
            <w:pPr>
              <w:pStyle w:val="6"/>
              <w:spacing w:before="308"/>
              <w:ind w:left="278"/>
              <w:rPr>
                <w:sz w:val="23"/>
                <w:szCs w:val="23"/>
              </w:rPr>
            </w:pPr>
            <w:r>
              <w:rPr>
                <w:spacing w:val="-3"/>
                <w:sz w:val="23"/>
                <w:szCs w:val="23"/>
              </w:rPr>
              <w:t>45</w:t>
            </w:r>
          </w:p>
        </w:tc>
        <w:tc>
          <w:tcPr>
            <w:tcW w:w="594" w:type="dxa"/>
            <w:vAlign w:val="top"/>
          </w:tcPr>
          <w:p w14:paraId="0FC9D838">
            <w:pPr>
              <w:pStyle w:val="6"/>
              <w:spacing w:before="287" w:line="220" w:lineRule="auto"/>
              <w:ind w:left="59"/>
              <w:rPr>
                <w:sz w:val="23"/>
                <w:szCs w:val="23"/>
              </w:rPr>
            </w:pPr>
            <w:r>
              <w:rPr>
                <w:spacing w:val="-3"/>
                <w:sz w:val="23"/>
                <w:szCs w:val="23"/>
              </w:rPr>
              <w:t>达标</w:t>
            </w:r>
          </w:p>
        </w:tc>
      </w:tr>
      <w:tr w14:paraId="00FCF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854" w:type="dxa"/>
            <w:vMerge w:val="continue"/>
            <w:tcBorders>
              <w:top w:val="nil"/>
              <w:bottom w:val="nil"/>
            </w:tcBorders>
            <w:vAlign w:val="top"/>
          </w:tcPr>
          <w:p w14:paraId="4DCE9D34">
            <w:pPr>
              <w:rPr>
                <w:rFonts w:ascii="Arial"/>
                <w:sz w:val="21"/>
              </w:rPr>
            </w:pPr>
          </w:p>
        </w:tc>
        <w:tc>
          <w:tcPr>
            <w:tcW w:w="310" w:type="dxa"/>
            <w:vAlign w:val="top"/>
          </w:tcPr>
          <w:p w14:paraId="275108C8">
            <w:pPr>
              <w:pStyle w:val="6"/>
              <w:spacing w:before="190" w:line="241" w:lineRule="auto"/>
              <w:ind w:left="81"/>
              <w:rPr>
                <w:sz w:val="23"/>
                <w:szCs w:val="23"/>
              </w:rPr>
            </w:pPr>
            <w:r>
              <w:rPr>
                <w:sz w:val="23"/>
                <w:szCs w:val="23"/>
              </w:rPr>
              <w:t>4</w:t>
            </w:r>
          </w:p>
        </w:tc>
        <w:tc>
          <w:tcPr>
            <w:tcW w:w="1189" w:type="dxa"/>
            <w:vAlign w:val="top"/>
          </w:tcPr>
          <w:p w14:paraId="46436350">
            <w:pPr>
              <w:pStyle w:val="6"/>
              <w:spacing w:before="47" w:line="193" w:lineRule="auto"/>
              <w:ind w:left="11"/>
              <w:rPr>
                <w:sz w:val="23"/>
                <w:szCs w:val="23"/>
              </w:rPr>
            </w:pPr>
            <w:r>
              <w:rPr>
                <w:spacing w:val="1"/>
                <w:sz w:val="23"/>
                <w:szCs w:val="23"/>
              </w:rPr>
              <w:t>2#栗树园散</w:t>
            </w:r>
          </w:p>
          <w:p w14:paraId="35AA6007">
            <w:pPr>
              <w:pStyle w:val="6"/>
              <w:spacing w:line="194" w:lineRule="auto"/>
              <w:ind w:left="410"/>
              <w:rPr>
                <w:sz w:val="23"/>
                <w:szCs w:val="23"/>
              </w:rPr>
            </w:pPr>
            <w:r>
              <w:rPr>
                <w:spacing w:val="9"/>
                <w:sz w:val="23"/>
                <w:szCs w:val="23"/>
              </w:rPr>
              <w:t>户1</w:t>
            </w:r>
          </w:p>
        </w:tc>
        <w:tc>
          <w:tcPr>
            <w:tcW w:w="1428" w:type="dxa"/>
            <w:vAlign w:val="top"/>
          </w:tcPr>
          <w:p w14:paraId="0487AE4F">
            <w:pPr>
              <w:pStyle w:val="6"/>
              <w:spacing w:before="168" w:line="220" w:lineRule="auto"/>
              <w:ind w:left="301"/>
              <w:rPr>
                <w:sz w:val="23"/>
                <w:szCs w:val="23"/>
              </w:rPr>
            </w:pPr>
            <w:r>
              <w:rPr>
                <w:spacing w:val="-2"/>
                <w:sz w:val="23"/>
                <w:szCs w:val="23"/>
              </w:rPr>
              <w:t>距离15m</w:t>
            </w:r>
          </w:p>
        </w:tc>
        <w:tc>
          <w:tcPr>
            <w:tcW w:w="1209" w:type="dxa"/>
            <w:vAlign w:val="top"/>
          </w:tcPr>
          <w:p w14:paraId="1EBF2C7A">
            <w:pPr>
              <w:pStyle w:val="6"/>
              <w:spacing w:before="190" w:line="239" w:lineRule="auto"/>
              <w:ind w:left="304"/>
              <w:rPr>
                <w:sz w:val="23"/>
                <w:szCs w:val="23"/>
              </w:rPr>
            </w:pPr>
            <w:r>
              <w:rPr>
                <w:spacing w:val="-3"/>
                <w:sz w:val="23"/>
                <w:szCs w:val="23"/>
              </w:rPr>
              <w:t>36.48</w:t>
            </w:r>
          </w:p>
        </w:tc>
        <w:tc>
          <w:tcPr>
            <w:tcW w:w="879" w:type="dxa"/>
            <w:vAlign w:val="top"/>
          </w:tcPr>
          <w:p w14:paraId="69F4016A">
            <w:pPr>
              <w:pStyle w:val="6"/>
              <w:spacing w:before="190" w:line="241" w:lineRule="auto"/>
              <w:ind w:left="314"/>
              <w:rPr>
                <w:sz w:val="23"/>
                <w:szCs w:val="23"/>
              </w:rPr>
            </w:pPr>
            <w:r>
              <w:rPr>
                <w:spacing w:val="-3"/>
                <w:sz w:val="23"/>
                <w:szCs w:val="23"/>
              </w:rPr>
              <w:t>42</w:t>
            </w:r>
          </w:p>
        </w:tc>
        <w:tc>
          <w:tcPr>
            <w:tcW w:w="739" w:type="dxa"/>
            <w:vAlign w:val="top"/>
          </w:tcPr>
          <w:p w14:paraId="57CF9414">
            <w:pPr>
              <w:pStyle w:val="6"/>
              <w:spacing w:before="190" w:line="239" w:lineRule="auto"/>
              <w:ind w:left="75"/>
              <w:rPr>
                <w:sz w:val="23"/>
                <w:szCs w:val="23"/>
              </w:rPr>
            </w:pPr>
            <w:r>
              <w:rPr>
                <w:spacing w:val="-2"/>
                <w:sz w:val="23"/>
                <w:szCs w:val="23"/>
              </w:rPr>
              <w:t>43.07</w:t>
            </w:r>
          </w:p>
        </w:tc>
        <w:tc>
          <w:tcPr>
            <w:tcW w:w="1188" w:type="dxa"/>
            <w:vAlign w:val="top"/>
          </w:tcPr>
          <w:p w14:paraId="2ACE06CE">
            <w:pPr>
              <w:pStyle w:val="6"/>
              <w:spacing w:before="190" w:line="239" w:lineRule="auto"/>
              <w:ind w:left="356"/>
              <w:rPr>
                <w:sz w:val="23"/>
                <w:szCs w:val="23"/>
              </w:rPr>
            </w:pPr>
            <w:r>
              <w:rPr>
                <w:spacing w:val="-5"/>
                <w:sz w:val="23"/>
                <w:szCs w:val="23"/>
              </w:rPr>
              <w:t>1.07</w:t>
            </w:r>
          </w:p>
        </w:tc>
        <w:tc>
          <w:tcPr>
            <w:tcW w:w="799" w:type="dxa"/>
            <w:vAlign w:val="top"/>
          </w:tcPr>
          <w:p w14:paraId="568E3744">
            <w:pPr>
              <w:pStyle w:val="6"/>
              <w:spacing w:before="189"/>
              <w:ind w:left="278"/>
              <w:rPr>
                <w:sz w:val="23"/>
                <w:szCs w:val="23"/>
              </w:rPr>
            </w:pPr>
            <w:r>
              <w:rPr>
                <w:spacing w:val="-3"/>
                <w:sz w:val="23"/>
                <w:szCs w:val="23"/>
              </w:rPr>
              <w:t>45</w:t>
            </w:r>
          </w:p>
        </w:tc>
        <w:tc>
          <w:tcPr>
            <w:tcW w:w="594" w:type="dxa"/>
            <w:vAlign w:val="top"/>
          </w:tcPr>
          <w:p w14:paraId="453F2195">
            <w:pPr>
              <w:pStyle w:val="6"/>
              <w:spacing w:before="168" w:line="220" w:lineRule="auto"/>
              <w:ind w:left="100"/>
              <w:rPr>
                <w:sz w:val="23"/>
                <w:szCs w:val="23"/>
              </w:rPr>
            </w:pPr>
            <w:r>
              <w:rPr>
                <w:spacing w:val="-3"/>
                <w:sz w:val="23"/>
                <w:szCs w:val="23"/>
              </w:rPr>
              <w:t>达标</w:t>
            </w:r>
          </w:p>
        </w:tc>
      </w:tr>
      <w:tr w14:paraId="5AAA3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854" w:type="dxa"/>
            <w:vMerge w:val="continue"/>
            <w:tcBorders>
              <w:top w:val="nil"/>
              <w:bottom w:val="nil"/>
            </w:tcBorders>
            <w:vAlign w:val="top"/>
          </w:tcPr>
          <w:p w14:paraId="3C91D888">
            <w:pPr>
              <w:rPr>
                <w:rFonts w:ascii="Arial"/>
                <w:sz w:val="21"/>
              </w:rPr>
            </w:pPr>
          </w:p>
        </w:tc>
        <w:tc>
          <w:tcPr>
            <w:tcW w:w="310" w:type="dxa"/>
            <w:vAlign w:val="top"/>
          </w:tcPr>
          <w:p w14:paraId="16E54BDA">
            <w:pPr>
              <w:pStyle w:val="6"/>
              <w:spacing w:before="309"/>
              <w:ind w:left="81"/>
              <w:rPr>
                <w:sz w:val="23"/>
                <w:szCs w:val="23"/>
              </w:rPr>
            </w:pPr>
            <w:r>
              <w:rPr>
                <w:sz w:val="23"/>
                <w:szCs w:val="23"/>
              </w:rPr>
              <w:t>8</w:t>
            </w:r>
          </w:p>
        </w:tc>
        <w:tc>
          <w:tcPr>
            <w:tcW w:w="1189" w:type="dxa"/>
            <w:vAlign w:val="top"/>
          </w:tcPr>
          <w:p w14:paraId="62A16D07">
            <w:pPr>
              <w:pStyle w:val="6"/>
              <w:spacing w:before="37" w:line="219" w:lineRule="auto"/>
              <w:ind w:left="61"/>
              <w:rPr>
                <w:sz w:val="23"/>
                <w:szCs w:val="23"/>
              </w:rPr>
            </w:pPr>
            <w:r>
              <w:rPr>
                <w:spacing w:val="3"/>
                <w:sz w:val="23"/>
                <w:szCs w:val="23"/>
              </w:rPr>
              <w:t>23#大莫古</w:t>
            </w:r>
          </w:p>
          <w:p w14:paraId="68FB1FF0">
            <w:pPr>
              <w:pStyle w:val="6"/>
              <w:spacing w:before="7" w:line="185" w:lineRule="auto"/>
              <w:ind w:left="60" w:hanging="49"/>
              <w:rPr>
                <w:sz w:val="23"/>
                <w:szCs w:val="23"/>
              </w:rPr>
            </w:pPr>
            <w:r>
              <w:rPr>
                <w:spacing w:val="2"/>
                <w:sz w:val="23"/>
                <w:szCs w:val="23"/>
              </w:rPr>
              <w:t>散户1(田间</w:t>
            </w:r>
            <w:r>
              <w:rPr>
                <w:spacing w:val="4"/>
                <w:sz w:val="23"/>
                <w:szCs w:val="23"/>
              </w:rPr>
              <w:t xml:space="preserve"> </w:t>
            </w:r>
            <w:r>
              <w:rPr>
                <w:spacing w:val="10"/>
                <w:sz w:val="23"/>
                <w:szCs w:val="23"/>
              </w:rPr>
              <w:t>农户看地)</w:t>
            </w:r>
          </w:p>
        </w:tc>
        <w:tc>
          <w:tcPr>
            <w:tcW w:w="1428" w:type="dxa"/>
            <w:vAlign w:val="top"/>
          </w:tcPr>
          <w:p w14:paraId="38779BCC">
            <w:pPr>
              <w:pStyle w:val="6"/>
              <w:spacing w:before="288" w:line="220" w:lineRule="auto"/>
              <w:ind w:left="301"/>
              <w:rPr>
                <w:sz w:val="23"/>
                <w:szCs w:val="23"/>
              </w:rPr>
            </w:pPr>
            <w:r>
              <w:rPr>
                <w:spacing w:val="-2"/>
                <w:sz w:val="23"/>
                <w:szCs w:val="23"/>
              </w:rPr>
              <w:t>距离15m</w:t>
            </w:r>
          </w:p>
        </w:tc>
        <w:tc>
          <w:tcPr>
            <w:tcW w:w="1209" w:type="dxa"/>
            <w:vAlign w:val="top"/>
          </w:tcPr>
          <w:p w14:paraId="27C61B98">
            <w:pPr>
              <w:pStyle w:val="6"/>
              <w:spacing w:before="310" w:line="239" w:lineRule="auto"/>
              <w:ind w:left="304"/>
              <w:rPr>
                <w:sz w:val="23"/>
                <w:szCs w:val="23"/>
              </w:rPr>
            </w:pPr>
            <w:r>
              <w:rPr>
                <w:spacing w:val="-3"/>
                <w:sz w:val="23"/>
                <w:szCs w:val="23"/>
              </w:rPr>
              <w:t>36.48</w:t>
            </w:r>
          </w:p>
        </w:tc>
        <w:tc>
          <w:tcPr>
            <w:tcW w:w="879" w:type="dxa"/>
            <w:vAlign w:val="top"/>
          </w:tcPr>
          <w:p w14:paraId="7996CEDC">
            <w:pPr>
              <w:pStyle w:val="6"/>
              <w:spacing w:before="309"/>
              <w:ind w:left="314"/>
              <w:rPr>
                <w:sz w:val="23"/>
                <w:szCs w:val="23"/>
              </w:rPr>
            </w:pPr>
            <w:r>
              <w:rPr>
                <w:spacing w:val="-3"/>
                <w:sz w:val="23"/>
                <w:szCs w:val="23"/>
              </w:rPr>
              <w:t>43</w:t>
            </w:r>
          </w:p>
        </w:tc>
        <w:tc>
          <w:tcPr>
            <w:tcW w:w="739" w:type="dxa"/>
            <w:vAlign w:val="top"/>
          </w:tcPr>
          <w:p w14:paraId="3211C2BF">
            <w:pPr>
              <w:pStyle w:val="6"/>
              <w:spacing w:before="310" w:line="239" w:lineRule="auto"/>
              <w:ind w:left="75"/>
              <w:rPr>
                <w:sz w:val="23"/>
                <w:szCs w:val="23"/>
              </w:rPr>
            </w:pPr>
            <w:r>
              <w:rPr>
                <w:spacing w:val="-2"/>
                <w:sz w:val="23"/>
                <w:szCs w:val="23"/>
              </w:rPr>
              <w:t>43.87</w:t>
            </w:r>
          </w:p>
        </w:tc>
        <w:tc>
          <w:tcPr>
            <w:tcW w:w="1188" w:type="dxa"/>
            <w:vAlign w:val="top"/>
          </w:tcPr>
          <w:p w14:paraId="63CEFC07">
            <w:pPr>
              <w:pStyle w:val="6"/>
              <w:spacing w:before="310" w:line="239" w:lineRule="auto"/>
              <w:ind w:left="356"/>
              <w:rPr>
                <w:sz w:val="23"/>
                <w:szCs w:val="23"/>
              </w:rPr>
            </w:pPr>
            <w:r>
              <w:rPr>
                <w:spacing w:val="-3"/>
                <w:sz w:val="23"/>
                <w:szCs w:val="23"/>
              </w:rPr>
              <w:t>0.87</w:t>
            </w:r>
          </w:p>
        </w:tc>
        <w:tc>
          <w:tcPr>
            <w:tcW w:w="799" w:type="dxa"/>
            <w:vAlign w:val="top"/>
          </w:tcPr>
          <w:p w14:paraId="2D86E066">
            <w:pPr>
              <w:pStyle w:val="6"/>
              <w:spacing w:before="309"/>
              <w:ind w:left="278"/>
              <w:rPr>
                <w:sz w:val="23"/>
                <w:szCs w:val="23"/>
              </w:rPr>
            </w:pPr>
            <w:r>
              <w:rPr>
                <w:spacing w:val="-3"/>
                <w:sz w:val="23"/>
                <w:szCs w:val="23"/>
              </w:rPr>
              <w:t>45</w:t>
            </w:r>
          </w:p>
        </w:tc>
        <w:tc>
          <w:tcPr>
            <w:tcW w:w="594" w:type="dxa"/>
            <w:vAlign w:val="top"/>
          </w:tcPr>
          <w:p w14:paraId="2542A265">
            <w:pPr>
              <w:pStyle w:val="6"/>
              <w:spacing w:before="288" w:line="220" w:lineRule="auto"/>
              <w:ind w:left="100"/>
              <w:rPr>
                <w:sz w:val="23"/>
                <w:szCs w:val="23"/>
              </w:rPr>
            </w:pPr>
            <w:r>
              <w:rPr>
                <w:spacing w:val="-3"/>
                <w:sz w:val="23"/>
                <w:szCs w:val="23"/>
              </w:rPr>
              <w:t>达标</w:t>
            </w:r>
          </w:p>
        </w:tc>
      </w:tr>
      <w:tr w14:paraId="6A842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854" w:type="dxa"/>
            <w:vMerge w:val="continue"/>
            <w:tcBorders>
              <w:top w:val="nil"/>
              <w:bottom w:val="nil"/>
            </w:tcBorders>
            <w:vAlign w:val="top"/>
          </w:tcPr>
          <w:p w14:paraId="1BC86EEE">
            <w:pPr>
              <w:rPr>
                <w:rFonts w:ascii="Arial"/>
                <w:sz w:val="21"/>
              </w:rPr>
            </w:pPr>
          </w:p>
        </w:tc>
        <w:tc>
          <w:tcPr>
            <w:tcW w:w="310" w:type="dxa"/>
            <w:vAlign w:val="top"/>
          </w:tcPr>
          <w:p w14:paraId="4AF4062E">
            <w:pPr>
              <w:pStyle w:val="6"/>
              <w:spacing w:before="190"/>
              <w:ind w:left="81"/>
              <w:rPr>
                <w:sz w:val="23"/>
                <w:szCs w:val="23"/>
              </w:rPr>
            </w:pPr>
            <w:r>
              <w:rPr>
                <w:sz w:val="23"/>
                <w:szCs w:val="23"/>
              </w:rPr>
              <w:t>9</w:t>
            </w:r>
          </w:p>
        </w:tc>
        <w:tc>
          <w:tcPr>
            <w:tcW w:w="1189" w:type="dxa"/>
            <w:vAlign w:val="top"/>
          </w:tcPr>
          <w:p w14:paraId="5805361A">
            <w:pPr>
              <w:pStyle w:val="6"/>
              <w:spacing w:before="39" w:line="197" w:lineRule="auto"/>
              <w:ind w:left="410" w:right="9" w:hanging="399"/>
              <w:rPr>
                <w:sz w:val="23"/>
                <w:szCs w:val="23"/>
              </w:rPr>
            </w:pPr>
            <w:r>
              <w:rPr>
                <w:spacing w:val="1"/>
                <w:sz w:val="23"/>
                <w:szCs w:val="23"/>
              </w:rPr>
              <w:t xml:space="preserve">3#栗树园散 </w:t>
            </w:r>
            <w:r>
              <w:rPr>
                <w:spacing w:val="-4"/>
                <w:sz w:val="23"/>
                <w:szCs w:val="23"/>
              </w:rPr>
              <w:t>户2</w:t>
            </w:r>
          </w:p>
        </w:tc>
        <w:tc>
          <w:tcPr>
            <w:tcW w:w="1428" w:type="dxa"/>
            <w:vAlign w:val="top"/>
          </w:tcPr>
          <w:p w14:paraId="2C4470D5">
            <w:pPr>
              <w:pStyle w:val="6"/>
              <w:spacing w:before="169" w:line="220" w:lineRule="auto"/>
              <w:ind w:left="301"/>
              <w:rPr>
                <w:sz w:val="23"/>
                <w:szCs w:val="23"/>
              </w:rPr>
            </w:pPr>
            <w:r>
              <w:rPr>
                <w:spacing w:val="-2"/>
                <w:sz w:val="23"/>
                <w:szCs w:val="23"/>
              </w:rPr>
              <w:t>距离15m</w:t>
            </w:r>
          </w:p>
        </w:tc>
        <w:tc>
          <w:tcPr>
            <w:tcW w:w="1209" w:type="dxa"/>
            <w:vAlign w:val="top"/>
          </w:tcPr>
          <w:p w14:paraId="74090242">
            <w:pPr>
              <w:pStyle w:val="6"/>
              <w:spacing w:before="191" w:line="239" w:lineRule="auto"/>
              <w:ind w:left="304"/>
              <w:rPr>
                <w:sz w:val="23"/>
                <w:szCs w:val="23"/>
              </w:rPr>
            </w:pPr>
            <w:r>
              <w:rPr>
                <w:spacing w:val="-3"/>
                <w:sz w:val="23"/>
                <w:szCs w:val="23"/>
              </w:rPr>
              <w:t>36.48</w:t>
            </w:r>
          </w:p>
        </w:tc>
        <w:tc>
          <w:tcPr>
            <w:tcW w:w="879" w:type="dxa"/>
            <w:vAlign w:val="top"/>
          </w:tcPr>
          <w:p w14:paraId="682D3CAE">
            <w:pPr>
              <w:pStyle w:val="6"/>
              <w:spacing w:before="190"/>
              <w:ind w:left="314"/>
              <w:rPr>
                <w:sz w:val="23"/>
                <w:szCs w:val="23"/>
              </w:rPr>
            </w:pPr>
            <w:r>
              <w:rPr>
                <w:spacing w:val="-3"/>
                <w:sz w:val="23"/>
                <w:szCs w:val="23"/>
              </w:rPr>
              <w:t>43</w:t>
            </w:r>
          </w:p>
        </w:tc>
        <w:tc>
          <w:tcPr>
            <w:tcW w:w="739" w:type="dxa"/>
            <w:vAlign w:val="top"/>
          </w:tcPr>
          <w:p w14:paraId="72025E3D">
            <w:pPr>
              <w:pStyle w:val="6"/>
              <w:spacing w:before="191" w:line="239" w:lineRule="auto"/>
              <w:ind w:left="75"/>
              <w:rPr>
                <w:sz w:val="23"/>
                <w:szCs w:val="23"/>
              </w:rPr>
            </w:pPr>
            <w:r>
              <w:rPr>
                <w:spacing w:val="-2"/>
                <w:sz w:val="23"/>
                <w:szCs w:val="23"/>
              </w:rPr>
              <w:t>43.87</w:t>
            </w:r>
          </w:p>
        </w:tc>
        <w:tc>
          <w:tcPr>
            <w:tcW w:w="1188" w:type="dxa"/>
            <w:vAlign w:val="top"/>
          </w:tcPr>
          <w:p w14:paraId="03C659C9">
            <w:pPr>
              <w:pStyle w:val="6"/>
              <w:spacing w:before="191" w:line="239" w:lineRule="auto"/>
              <w:ind w:left="356"/>
              <w:rPr>
                <w:sz w:val="23"/>
                <w:szCs w:val="23"/>
              </w:rPr>
            </w:pPr>
            <w:r>
              <w:rPr>
                <w:spacing w:val="-3"/>
                <w:sz w:val="23"/>
                <w:szCs w:val="23"/>
              </w:rPr>
              <w:t>0.87</w:t>
            </w:r>
          </w:p>
        </w:tc>
        <w:tc>
          <w:tcPr>
            <w:tcW w:w="799" w:type="dxa"/>
            <w:vAlign w:val="top"/>
          </w:tcPr>
          <w:p w14:paraId="6221B297">
            <w:pPr>
              <w:pStyle w:val="6"/>
              <w:spacing w:before="190"/>
              <w:ind w:left="278"/>
              <w:rPr>
                <w:sz w:val="23"/>
                <w:szCs w:val="23"/>
              </w:rPr>
            </w:pPr>
            <w:r>
              <w:rPr>
                <w:spacing w:val="-3"/>
                <w:sz w:val="23"/>
                <w:szCs w:val="23"/>
              </w:rPr>
              <w:t>45</w:t>
            </w:r>
          </w:p>
        </w:tc>
        <w:tc>
          <w:tcPr>
            <w:tcW w:w="594" w:type="dxa"/>
            <w:vAlign w:val="top"/>
          </w:tcPr>
          <w:p w14:paraId="35D81C6F">
            <w:pPr>
              <w:pStyle w:val="6"/>
              <w:spacing w:before="169" w:line="220" w:lineRule="auto"/>
              <w:ind w:left="100"/>
              <w:rPr>
                <w:sz w:val="23"/>
                <w:szCs w:val="23"/>
              </w:rPr>
            </w:pPr>
            <w:r>
              <w:rPr>
                <w:spacing w:val="-3"/>
                <w:sz w:val="23"/>
                <w:szCs w:val="23"/>
              </w:rPr>
              <w:t>达标</w:t>
            </w:r>
          </w:p>
        </w:tc>
      </w:tr>
      <w:tr w14:paraId="7359A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4" w:type="dxa"/>
            <w:vMerge w:val="continue"/>
            <w:tcBorders>
              <w:top w:val="nil"/>
              <w:bottom w:val="nil"/>
            </w:tcBorders>
            <w:vAlign w:val="top"/>
          </w:tcPr>
          <w:p w14:paraId="25FB1ACD">
            <w:pPr>
              <w:rPr>
                <w:rFonts w:ascii="Arial"/>
                <w:sz w:val="21"/>
              </w:rPr>
            </w:pPr>
          </w:p>
        </w:tc>
        <w:tc>
          <w:tcPr>
            <w:tcW w:w="310" w:type="dxa"/>
            <w:vAlign w:val="top"/>
          </w:tcPr>
          <w:p w14:paraId="249962E9">
            <w:pPr>
              <w:pStyle w:val="6"/>
              <w:spacing w:before="82" w:line="183" w:lineRule="auto"/>
              <w:ind w:left="31"/>
              <w:rPr>
                <w:sz w:val="23"/>
                <w:szCs w:val="23"/>
              </w:rPr>
            </w:pPr>
            <w:r>
              <w:rPr>
                <w:spacing w:val="-7"/>
                <w:sz w:val="23"/>
                <w:szCs w:val="23"/>
              </w:rPr>
              <w:t>10</w:t>
            </w:r>
          </w:p>
        </w:tc>
        <w:tc>
          <w:tcPr>
            <w:tcW w:w="1189" w:type="dxa"/>
            <w:vAlign w:val="top"/>
          </w:tcPr>
          <w:p w14:paraId="612C030D">
            <w:pPr>
              <w:pStyle w:val="6"/>
              <w:spacing w:before="58" w:line="202" w:lineRule="auto"/>
              <w:ind w:left="120"/>
              <w:rPr>
                <w:sz w:val="23"/>
                <w:szCs w:val="23"/>
              </w:rPr>
            </w:pPr>
            <w:r>
              <w:rPr>
                <w:spacing w:val="4"/>
                <w:sz w:val="23"/>
                <w:szCs w:val="23"/>
              </w:rPr>
              <w:t>4#栗树园</w:t>
            </w:r>
          </w:p>
        </w:tc>
        <w:tc>
          <w:tcPr>
            <w:tcW w:w="1428" w:type="dxa"/>
            <w:vAlign w:val="top"/>
          </w:tcPr>
          <w:p w14:paraId="75C9CC54">
            <w:pPr>
              <w:pStyle w:val="6"/>
              <w:spacing w:before="59" w:line="201" w:lineRule="auto"/>
              <w:ind w:left="301"/>
              <w:rPr>
                <w:sz w:val="23"/>
                <w:szCs w:val="23"/>
              </w:rPr>
            </w:pPr>
            <w:r>
              <w:rPr>
                <w:spacing w:val="-2"/>
                <w:sz w:val="23"/>
                <w:szCs w:val="23"/>
              </w:rPr>
              <w:t>距离15m</w:t>
            </w:r>
          </w:p>
        </w:tc>
        <w:tc>
          <w:tcPr>
            <w:tcW w:w="1209" w:type="dxa"/>
            <w:vAlign w:val="top"/>
          </w:tcPr>
          <w:p w14:paraId="15DF113B">
            <w:pPr>
              <w:pStyle w:val="6"/>
              <w:spacing w:before="82" w:line="183" w:lineRule="auto"/>
              <w:ind w:left="304"/>
              <w:rPr>
                <w:sz w:val="23"/>
                <w:szCs w:val="23"/>
              </w:rPr>
            </w:pPr>
            <w:r>
              <w:rPr>
                <w:spacing w:val="-3"/>
                <w:sz w:val="23"/>
                <w:szCs w:val="23"/>
              </w:rPr>
              <w:t>36.48</w:t>
            </w:r>
          </w:p>
        </w:tc>
        <w:tc>
          <w:tcPr>
            <w:tcW w:w="879" w:type="dxa"/>
            <w:vAlign w:val="top"/>
          </w:tcPr>
          <w:p w14:paraId="4BBD0DC6">
            <w:pPr>
              <w:pStyle w:val="6"/>
              <w:spacing w:before="82" w:line="183" w:lineRule="auto"/>
              <w:ind w:left="314"/>
              <w:rPr>
                <w:sz w:val="23"/>
                <w:szCs w:val="23"/>
              </w:rPr>
            </w:pPr>
            <w:r>
              <w:rPr>
                <w:spacing w:val="-3"/>
                <w:sz w:val="23"/>
                <w:szCs w:val="23"/>
              </w:rPr>
              <w:t>42</w:t>
            </w:r>
          </w:p>
        </w:tc>
        <w:tc>
          <w:tcPr>
            <w:tcW w:w="739" w:type="dxa"/>
            <w:vAlign w:val="top"/>
          </w:tcPr>
          <w:p w14:paraId="3CF6F9E6">
            <w:pPr>
              <w:pStyle w:val="6"/>
              <w:spacing w:before="82" w:line="183" w:lineRule="auto"/>
              <w:ind w:left="75"/>
              <w:rPr>
                <w:sz w:val="23"/>
                <w:szCs w:val="23"/>
              </w:rPr>
            </w:pPr>
            <w:r>
              <w:rPr>
                <w:spacing w:val="-2"/>
                <w:sz w:val="23"/>
                <w:szCs w:val="23"/>
              </w:rPr>
              <w:t>43.07</w:t>
            </w:r>
          </w:p>
        </w:tc>
        <w:tc>
          <w:tcPr>
            <w:tcW w:w="1188" w:type="dxa"/>
            <w:vAlign w:val="top"/>
          </w:tcPr>
          <w:p w14:paraId="1E4FF77F">
            <w:pPr>
              <w:pStyle w:val="6"/>
              <w:spacing w:before="82" w:line="183" w:lineRule="auto"/>
              <w:ind w:left="356"/>
              <w:rPr>
                <w:sz w:val="23"/>
                <w:szCs w:val="23"/>
              </w:rPr>
            </w:pPr>
            <w:r>
              <w:rPr>
                <w:spacing w:val="-5"/>
                <w:sz w:val="23"/>
                <w:szCs w:val="23"/>
              </w:rPr>
              <w:t>1.07</w:t>
            </w:r>
          </w:p>
        </w:tc>
        <w:tc>
          <w:tcPr>
            <w:tcW w:w="799" w:type="dxa"/>
            <w:vAlign w:val="top"/>
          </w:tcPr>
          <w:p w14:paraId="6781B2F6">
            <w:pPr>
              <w:pStyle w:val="6"/>
              <w:spacing w:before="82" w:line="183" w:lineRule="auto"/>
              <w:ind w:left="278"/>
              <w:rPr>
                <w:sz w:val="23"/>
                <w:szCs w:val="23"/>
              </w:rPr>
            </w:pPr>
            <w:r>
              <w:rPr>
                <w:spacing w:val="-4"/>
                <w:sz w:val="23"/>
                <w:szCs w:val="23"/>
              </w:rPr>
              <w:t>55</w:t>
            </w:r>
          </w:p>
        </w:tc>
        <w:tc>
          <w:tcPr>
            <w:tcW w:w="594" w:type="dxa"/>
            <w:vAlign w:val="top"/>
          </w:tcPr>
          <w:p w14:paraId="6112C0A6">
            <w:pPr>
              <w:pStyle w:val="6"/>
              <w:spacing w:before="59" w:line="201" w:lineRule="auto"/>
              <w:ind w:left="100"/>
              <w:rPr>
                <w:sz w:val="23"/>
                <w:szCs w:val="23"/>
              </w:rPr>
            </w:pPr>
            <w:r>
              <w:rPr>
                <w:spacing w:val="-3"/>
                <w:sz w:val="23"/>
                <w:szCs w:val="23"/>
              </w:rPr>
              <w:t>达标</w:t>
            </w:r>
          </w:p>
        </w:tc>
      </w:tr>
      <w:tr w14:paraId="16CF9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854" w:type="dxa"/>
            <w:vMerge w:val="continue"/>
            <w:tcBorders>
              <w:top w:val="nil"/>
              <w:bottom w:val="nil"/>
            </w:tcBorders>
            <w:vAlign w:val="top"/>
          </w:tcPr>
          <w:p w14:paraId="3A8B7127">
            <w:pPr>
              <w:rPr>
                <w:rFonts w:ascii="Arial"/>
                <w:sz w:val="21"/>
              </w:rPr>
            </w:pPr>
          </w:p>
        </w:tc>
        <w:tc>
          <w:tcPr>
            <w:tcW w:w="310" w:type="dxa"/>
            <w:vAlign w:val="top"/>
          </w:tcPr>
          <w:p w14:paraId="5CA116E2">
            <w:pPr>
              <w:pStyle w:val="6"/>
              <w:spacing w:before="311" w:line="241" w:lineRule="auto"/>
              <w:ind w:left="31"/>
              <w:rPr>
                <w:sz w:val="23"/>
                <w:szCs w:val="23"/>
              </w:rPr>
            </w:pPr>
            <w:r>
              <w:rPr>
                <w:spacing w:val="-7"/>
                <w:sz w:val="23"/>
                <w:szCs w:val="23"/>
              </w:rPr>
              <w:t>11</w:t>
            </w:r>
          </w:p>
        </w:tc>
        <w:tc>
          <w:tcPr>
            <w:tcW w:w="1189" w:type="dxa"/>
            <w:vAlign w:val="top"/>
          </w:tcPr>
          <w:p w14:paraId="739BDE92">
            <w:pPr>
              <w:pStyle w:val="6"/>
              <w:spacing w:before="47" w:line="217" w:lineRule="auto"/>
              <w:ind w:left="11"/>
              <w:rPr>
                <w:sz w:val="23"/>
                <w:szCs w:val="23"/>
              </w:rPr>
            </w:pPr>
            <w:r>
              <w:rPr>
                <w:spacing w:val="1"/>
                <w:sz w:val="23"/>
                <w:szCs w:val="23"/>
              </w:rPr>
              <w:t>5#栗树园村</w:t>
            </w:r>
          </w:p>
          <w:p w14:paraId="0A027F9C">
            <w:pPr>
              <w:pStyle w:val="6"/>
              <w:spacing w:before="2" w:line="184" w:lineRule="auto"/>
              <w:ind w:left="60" w:hanging="49"/>
              <w:rPr>
                <w:sz w:val="23"/>
                <w:szCs w:val="23"/>
              </w:rPr>
            </w:pPr>
            <w:r>
              <w:rPr>
                <w:spacing w:val="2"/>
                <w:sz w:val="23"/>
                <w:szCs w:val="23"/>
              </w:rPr>
              <w:t>散户3(田间</w:t>
            </w:r>
            <w:r>
              <w:rPr>
                <w:spacing w:val="4"/>
                <w:sz w:val="23"/>
                <w:szCs w:val="23"/>
              </w:rPr>
              <w:t xml:space="preserve"> </w:t>
            </w:r>
            <w:r>
              <w:rPr>
                <w:spacing w:val="10"/>
                <w:sz w:val="23"/>
                <w:szCs w:val="23"/>
              </w:rPr>
              <w:t>农户看地)</w:t>
            </w:r>
          </w:p>
        </w:tc>
        <w:tc>
          <w:tcPr>
            <w:tcW w:w="1428" w:type="dxa"/>
            <w:vAlign w:val="top"/>
          </w:tcPr>
          <w:p w14:paraId="4B3B1210">
            <w:pPr>
              <w:pStyle w:val="6"/>
              <w:spacing w:before="289" w:line="220" w:lineRule="auto"/>
              <w:ind w:left="301"/>
              <w:rPr>
                <w:sz w:val="23"/>
                <w:szCs w:val="23"/>
              </w:rPr>
            </w:pPr>
            <w:r>
              <w:rPr>
                <w:spacing w:val="-2"/>
                <w:sz w:val="23"/>
                <w:szCs w:val="23"/>
              </w:rPr>
              <w:t>距离15m</w:t>
            </w:r>
          </w:p>
        </w:tc>
        <w:tc>
          <w:tcPr>
            <w:tcW w:w="1209" w:type="dxa"/>
            <w:vAlign w:val="top"/>
          </w:tcPr>
          <w:p w14:paraId="189253D1">
            <w:pPr>
              <w:pStyle w:val="6"/>
              <w:spacing w:before="311" w:line="239" w:lineRule="auto"/>
              <w:ind w:left="304"/>
              <w:rPr>
                <w:sz w:val="23"/>
                <w:szCs w:val="23"/>
              </w:rPr>
            </w:pPr>
            <w:r>
              <w:rPr>
                <w:spacing w:val="-3"/>
                <w:sz w:val="23"/>
                <w:szCs w:val="23"/>
              </w:rPr>
              <w:t>36.48</w:t>
            </w:r>
          </w:p>
        </w:tc>
        <w:tc>
          <w:tcPr>
            <w:tcW w:w="879" w:type="dxa"/>
            <w:vAlign w:val="top"/>
          </w:tcPr>
          <w:p w14:paraId="48D23C88">
            <w:pPr>
              <w:pStyle w:val="6"/>
              <w:spacing w:before="310"/>
              <w:ind w:left="314"/>
              <w:rPr>
                <w:sz w:val="23"/>
                <w:szCs w:val="23"/>
              </w:rPr>
            </w:pPr>
            <w:r>
              <w:rPr>
                <w:spacing w:val="-4"/>
                <w:sz w:val="23"/>
                <w:szCs w:val="23"/>
              </w:rPr>
              <w:t>55</w:t>
            </w:r>
          </w:p>
        </w:tc>
        <w:tc>
          <w:tcPr>
            <w:tcW w:w="739" w:type="dxa"/>
            <w:vAlign w:val="top"/>
          </w:tcPr>
          <w:p w14:paraId="09810FE5">
            <w:pPr>
              <w:pStyle w:val="6"/>
              <w:spacing w:before="310"/>
              <w:ind w:left="245"/>
              <w:rPr>
                <w:sz w:val="23"/>
                <w:szCs w:val="23"/>
              </w:rPr>
            </w:pPr>
            <w:r>
              <w:rPr>
                <w:spacing w:val="-4"/>
                <w:sz w:val="23"/>
                <w:szCs w:val="23"/>
              </w:rPr>
              <w:t>55</w:t>
            </w:r>
          </w:p>
        </w:tc>
        <w:tc>
          <w:tcPr>
            <w:tcW w:w="1188" w:type="dxa"/>
            <w:vAlign w:val="top"/>
          </w:tcPr>
          <w:p w14:paraId="76AEA6FD">
            <w:pPr>
              <w:pStyle w:val="6"/>
              <w:spacing w:before="310"/>
              <w:ind w:left="527"/>
              <w:rPr>
                <w:sz w:val="23"/>
                <w:szCs w:val="23"/>
              </w:rPr>
            </w:pPr>
            <w:r>
              <w:rPr>
                <w:sz w:val="23"/>
                <w:szCs w:val="23"/>
              </w:rPr>
              <w:t>0</w:t>
            </w:r>
          </w:p>
        </w:tc>
        <w:tc>
          <w:tcPr>
            <w:tcW w:w="799" w:type="dxa"/>
            <w:vAlign w:val="top"/>
          </w:tcPr>
          <w:p w14:paraId="79E5F8AC">
            <w:pPr>
              <w:pStyle w:val="6"/>
              <w:spacing w:before="310"/>
              <w:ind w:left="278"/>
              <w:rPr>
                <w:sz w:val="23"/>
                <w:szCs w:val="23"/>
              </w:rPr>
            </w:pPr>
            <w:r>
              <w:rPr>
                <w:spacing w:val="-4"/>
                <w:sz w:val="23"/>
                <w:szCs w:val="23"/>
              </w:rPr>
              <w:t>55</w:t>
            </w:r>
          </w:p>
        </w:tc>
        <w:tc>
          <w:tcPr>
            <w:tcW w:w="594" w:type="dxa"/>
            <w:vAlign w:val="top"/>
          </w:tcPr>
          <w:p w14:paraId="030BF8A6">
            <w:pPr>
              <w:pStyle w:val="6"/>
              <w:spacing w:before="289" w:line="220" w:lineRule="auto"/>
              <w:ind w:left="100"/>
              <w:rPr>
                <w:sz w:val="23"/>
                <w:szCs w:val="23"/>
              </w:rPr>
            </w:pPr>
            <w:r>
              <w:rPr>
                <w:spacing w:val="-3"/>
                <w:sz w:val="23"/>
                <w:szCs w:val="23"/>
              </w:rPr>
              <w:t>达标</w:t>
            </w:r>
          </w:p>
        </w:tc>
      </w:tr>
      <w:tr w14:paraId="09C92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854" w:type="dxa"/>
            <w:vMerge w:val="continue"/>
            <w:tcBorders>
              <w:top w:val="nil"/>
            </w:tcBorders>
            <w:vAlign w:val="top"/>
          </w:tcPr>
          <w:p w14:paraId="5DC8843C">
            <w:pPr>
              <w:rPr>
                <w:rFonts w:ascii="Arial"/>
                <w:sz w:val="21"/>
              </w:rPr>
            </w:pPr>
          </w:p>
        </w:tc>
        <w:tc>
          <w:tcPr>
            <w:tcW w:w="310" w:type="dxa"/>
            <w:vAlign w:val="top"/>
          </w:tcPr>
          <w:p w14:paraId="1704D7F9">
            <w:pPr>
              <w:pStyle w:val="6"/>
              <w:spacing w:before="82" w:line="187" w:lineRule="auto"/>
              <w:ind w:left="31"/>
              <w:rPr>
                <w:sz w:val="23"/>
                <w:szCs w:val="23"/>
              </w:rPr>
            </w:pPr>
            <w:r>
              <w:rPr>
                <w:spacing w:val="-7"/>
                <w:sz w:val="23"/>
                <w:szCs w:val="23"/>
              </w:rPr>
              <w:t>13</w:t>
            </w:r>
          </w:p>
        </w:tc>
        <w:tc>
          <w:tcPr>
            <w:tcW w:w="1189" w:type="dxa"/>
            <w:vAlign w:val="top"/>
          </w:tcPr>
          <w:p w14:paraId="56ED6E7D">
            <w:pPr>
              <w:pStyle w:val="6"/>
              <w:spacing w:before="58" w:line="206" w:lineRule="auto"/>
              <w:ind w:left="11"/>
              <w:rPr>
                <w:sz w:val="23"/>
                <w:szCs w:val="23"/>
              </w:rPr>
            </w:pPr>
            <w:r>
              <w:rPr>
                <w:spacing w:val="1"/>
                <w:sz w:val="23"/>
                <w:szCs w:val="23"/>
              </w:rPr>
              <w:t>7#栗树园村</w:t>
            </w:r>
          </w:p>
        </w:tc>
        <w:tc>
          <w:tcPr>
            <w:tcW w:w="1428" w:type="dxa"/>
            <w:vAlign w:val="top"/>
          </w:tcPr>
          <w:p w14:paraId="43C6B71B">
            <w:pPr>
              <w:pStyle w:val="6"/>
              <w:spacing w:before="59" w:line="205" w:lineRule="auto"/>
              <w:ind w:left="301"/>
              <w:rPr>
                <w:sz w:val="23"/>
                <w:szCs w:val="23"/>
              </w:rPr>
            </w:pPr>
            <w:r>
              <w:rPr>
                <w:spacing w:val="-2"/>
                <w:sz w:val="23"/>
                <w:szCs w:val="23"/>
              </w:rPr>
              <w:t>距离15m</w:t>
            </w:r>
          </w:p>
        </w:tc>
        <w:tc>
          <w:tcPr>
            <w:tcW w:w="1209" w:type="dxa"/>
            <w:vAlign w:val="top"/>
          </w:tcPr>
          <w:p w14:paraId="4D2302CF">
            <w:pPr>
              <w:pStyle w:val="6"/>
              <w:spacing w:before="82" w:line="187" w:lineRule="auto"/>
              <w:ind w:left="304"/>
              <w:rPr>
                <w:sz w:val="23"/>
                <w:szCs w:val="23"/>
              </w:rPr>
            </w:pPr>
            <w:r>
              <w:rPr>
                <w:spacing w:val="-3"/>
                <w:sz w:val="23"/>
                <w:szCs w:val="23"/>
              </w:rPr>
              <w:t>36.48</w:t>
            </w:r>
          </w:p>
        </w:tc>
        <w:tc>
          <w:tcPr>
            <w:tcW w:w="879" w:type="dxa"/>
            <w:vAlign w:val="top"/>
          </w:tcPr>
          <w:p w14:paraId="51925DB1">
            <w:pPr>
              <w:pStyle w:val="6"/>
              <w:spacing w:before="82" w:line="187" w:lineRule="auto"/>
              <w:ind w:left="314"/>
              <w:rPr>
                <w:sz w:val="23"/>
                <w:szCs w:val="23"/>
              </w:rPr>
            </w:pPr>
            <w:r>
              <w:rPr>
                <w:spacing w:val="-3"/>
                <w:sz w:val="23"/>
                <w:szCs w:val="23"/>
              </w:rPr>
              <w:t>44</w:t>
            </w:r>
          </w:p>
        </w:tc>
        <w:tc>
          <w:tcPr>
            <w:tcW w:w="739" w:type="dxa"/>
            <w:vAlign w:val="top"/>
          </w:tcPr>
          <w:p w14:paraId="1DCA6BC0">
            <w:pPr>
              <w:pStyle w:val="6"/>
              <w:spacing w:before="82" w:line="187" w:lineRule="auto"/>
              <w:ind w:left="75"/>
              <w:rPr>
                <w:sz w:val="23"/>
                <w:szCs w:val="23"/>
              </w:rPr>
            </w:pPr>
            <w:r>
              <w:rPr>
                <w:spacing w:val="-2"/>
                <w:sz w:val="23"/>
                <w:szCs w:val="23"/>
              </w:rPr>
              <w:t>44.71</w:t>
            </w:r>
          </w:p>
        </w:tc>
        <w:tc>
          <w:tcPr>
            <w:tcW w:w="1188" w:type="dxa"/>
            <w:vAlign w:val="top"/>
          </w:tcPr>
          <w:p w14:paraId="15CF22AF">
            <w:pPr>
              <w:pStyle w:val="6"/>
              <w:spacing w:before="82" w:line="187" w:lineRule="auto"/>
              <w:ind w:left="356"/>
              <w:rPr>
                <w:sz w:val="23"/>
                <w:szCs w:val="23"/>
              </w:rPr>
            </w:pPr>
            <w:r>
              <w:rPr>
                <w:spacing w:val="-3"/>
                <w:sz w:val="23"/>
                <w:szCs w:val="23"/>
              </w:rPr>
              <w:t>0.71</w:t>
            </w:r>
          </w:p>
        </w:tc>
        <w:tc>
          <w:tcPr>
            <w:tcW w:w="799" w:type="dxa"/>
            <w:vAlign w:val="top"/>
          </w:tcPr>
          <w:p w14:paraId="13EE4D67">
            <w:pPr>
              <w:pStyle w:val="6"/>
              <w:spacing w:before="82" w:line="187" w:lineRule="auto"/>
              <w:ind w:left="278"/>
              <w:rPr>
                <w:sz w:val="23"/>
                <w:szCs w:val="23"/>
              </w:rPr>
            </w:pPr>
            <w:r>
              <w:rPr>
                <w:spacing w:val="-4"/>
                <w:sz w:val="23"/>
                <w:szCs w:val="23"/>
              </w:rPr>
              <w:t>55</w:t>
            </w:r>
          </w:p>
        </w:tc>
        <w:tc>
          <w:tcPr>
            <w:tcW w:w="594" w:type="dxa"/>
            <w:vAlign w:val="top"/>
          </w:tcPr>
          <w:p w14:paraId="400AD1F2">
            <w:pPr>
              <w:pStyle w:val="6"/>
              <w:spacing w:before="59" w:line="205" w:lineRule="auto"/>
              <w:ind w:left="70"/>
              <w:rPr>
                <w:sz w:val="23"/>
                <w:szCs w:val="23"/>
              </w:rPr>
            </w:pPr>
            <w:r>
              <w:rPr>
                <w:spacing w:val="-3"/>
                <w:sz w:val="23"/>
                <w:szCs w:val="23"/>
              </w:rPr>
              <w:t>达标</w:t>
            </w:r>
          </w:p>
        </w:tc>
      </w:tr>
    </w:tbl>
    <w:p w14:paraId="76D3D365">
      <w:pPr>
        <w:pStyle w:val="2"/>
      </w:pPr>
    </w:p>
    <w:p w14:paraId="5AF7D554">
      <w:pPr>
        <w:sectPr>
          <w:footerReference r:id="rId168" w:type="default"/>
          <w:pgSz w:w="11910" w:h="16830"/>
          <w:pgMar w:top="400" w:right="1385" w:bottom="1245" w:left="1324" w:header="0" w:footer="1083" w:gutter="0"/>
          <w:cols w:space="720" w:num="1"/>
        </w:sectPr>
      </w:pPr>
    </w:p>
    <w:p w14:paraId="382A1BEB">
      <w:pPr>
        <w:spacing w:before="15"/>
      </w:pPr>
    </w:p>
    <w:p w14:paraId="255A9C55">
      <w:pPr>
        <w:spacing w:before="15"/>
      </w:pPr>
    </w:p>
    <w:p w14:paraId="16904138">
      <w:pPr>
        <w:spacing w:before="15"/>
      </w:pPr>
    </w:p>
    <w:p w14:paraId="11EB3A15">
      <w:pPr>
        <w:spacing w:before="14"/>
      </w:pPr>
    </w:p>
    <w:tbl>
      <w:tblPr>
        <w:tblStyle w:val="5"/>
        <w:tblW w:w="93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300"/>
        <w:gridCol w:w="1189"/>
        <w:gridCol w:w="1418"/>
        <w:gridCol w:w="1249"/>
        <w:gridCol w:w="869"/>
        <w:gridCol w:w="739"/>
        <w:gridCol w:w="1169"/>
        <w:gridCol w:w="809"/>
        <w:gridCol w:w="704"/>
      </w:tblGrid>
      <w:tr w14:paraId="34DEA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904" w:type="dxa"/>
            <w:vMerge w:val="restart"/>
            <w:tcBorders>
              <w:bottom w:val="nil"/>
            </w:tcBorders>
            <w:vAlign w:val="top"/>
          </w:tcPr>
          <w:p w14:paraId="01D466C3">
            <w:pPr>
              <w:rPr>
                <w:rFonts w:ascii="Arial"/>
                <w:sz w:val="21"/>
              </w:rPr>
            </w:pPr>
          </w:p>
        </w:tc>
        <w:tc>
          <w:tcPr>
            <w:tcW w:w="300" w:type="dxa"/>
            <w:vAlign w:val="top"/>
          </w:tcPr>
          <w:p w14:paraId="5BB609E2">
            <w:pPr>
              <w:rPr>
                <w:rFonts w:ascii="Arial"/>
                <w:sz w:val="21"/>
              </w:rPr>
            </w:pPr>
          </w:p>
        </w:tc>
        <w:tc>
          <w:tcPr>
            <w:tcW w:w="1189" w:type="dxa"/>
            <w:vAlign w:val="top"/>
          </w:tcPr>
          <w:p w14:paraId="7EB5DC56">
            <w:pPr>
              <w:pStyle w:val="6"/>
              <w:spacing w:before="33" w:line="193" w:lineRule="auto"/>
              <w:ind w:left="60" w:hanging="49"/>
              <w:rPr>
                <w:sz w:val="23"/>
                <w:szCs w:val="23"/>
              </w:rPr>
            </w:pPr>
            <w:r>
              <w:rPr>
                <w:spacing w:val="2"/>
                <w:sz w:val="23"/>
                <w:szCs w:val="23"/>
              </w:rPr>
              <w:t>散户4(田间</w:t>
            </w:r>
            <w:r>
              <w:rPr>
                <w:spacing w:val="4"/>
                <w:sz w:val="23"/>
                <w:szCs w:val="23"/>
              </w:rPr>
              <w:t xml:space="preserve"> </w:t>
            </w:r>
            <w:r>
              <w:rPr>
                <w:spacing w:val="10"/>
                <w:sz w:val="23"/>
                <w:szCs w:val="23"/>
              </w:rPr>
              <w:t>农户看地)</w:t>
            </w:r>
          </w:p>
        </w:tc>
        <w:tc>
          <w:tcPr>
            <w:tcW w:w="1418" w:type="dxa"/>
            <w:vAlign w:val="top"/>
          </w:tcPr>
          <w:p w14:paraId="255ABEF8">
            <w:pPr>
              <w:rPr>
                <w:rFonts w:ascii="Arial"/>
                <w:sz w:val="21"/>
              </w:rPr>
            </w:pPr>
          </w:p>
        </w:tc>
        <w:tc>
          <w:tcPr>
            <w:tcW w:w="1249" w:type="dxa"/>
            <w:vAlign w:val="top"/>
          </w:tcPr>
          <w:p w14:paraId="6AF74747">
            <w:pPr>
              <w:rPr>
                <w:rFonts w:ascii="Arial"/>
                <w:sz w:val="21"/>
              </w:rPr>
            </w:pPr>
          </w:p>
        </w:tc>
        <w:tc>
          <w:tcPr>
            <w:tcW w:w="869" w:type="dxa"/>
            <w:vAlign w:val="top"/>
          </w:tcPr>
          <w:p w14:paraId="291AF7ED">
            <w:pPr>
              <w:rPr>
                <w:rFonts w:ascii="Arial"/>
                <w:sz w:val="21"/>
              </w:rPr>
            </w:pPr>
          </w:p>
        </w:tc>
        <w:tc>
          <w:tcPr>
            <w:tcW w:w="739" w:type="dxa"/>
            <w:vAlign w:val="top"/>
          </w:tcPr>
          <w:p w14:paraId="5BB62F2C">
            <w:pPr>
              <w:rPr>
                <w:rFonts w:ascii="Arial"/>
                <w:sz w:val="21"/>
              </w:rPr>
            </w:pPr>
          </w:p>
        </w:tc>
        <w:tc>
          <w:tcPr>
            <w:tcW w:w="1169" w:type="dxa"/>
            <w:vAlign w:val="top"/>
          </w:tcPr>
          <w:p w14:paraId="24BCD19A">
            <w:pPr>
              <w:rPr>
                <w:rFonts w:ascii="Arial"/>
                <w:sz w:val="21"/>
              </w:rPr>
            </w:pPr>
          </w:p>
        </w:tc>
        <w:tc>
          <w:tcPr>
            <w:tcW w:w="809" w:type="dxa"/>
            <w:vAlign w:val="top"/>
          </w:tcPr>
          <w:p w14:paraId="2539FBB4">
            <w:pPr>
              <w:rPr>
                <w:rFonts w:ascii="Arial"/>
                <w:sz w:val="21"/>
              </w:rPr>
            </w:pPr>
          </w:p>
        </w:tc>
        <w:tc>
          <w:tcPr>
            <w:tcW w:w="704" w:type="dxa"/>
            <w:vAlign w:val="top"/>
          </w:tcPr>
          <w:p w14:paraId="201BA0BE">
            <w:pPr>
              <w:rPr>
                <w:rFonts w:ascii="Arial"/>
                <w:sz w:val="21"/>
              </w:rPr>
            </w:pPr>
          </w:p>
        </w:tc>
      </w:tr>
      <w:tr w14:paraId="49008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7" w:hRule="atLeast"/>
        </w:trPr>
        <w:tc>
          <w:tcPr>
            <w:tcW w:w="904" w:type="dxa"/>
            <w:vMerge w:val="continue"/>
            <w:tcBorders>
              <w:top w:val="nil"/>
              <w:bottom w:val="nil"/>
            </w:tcBorders>
            <w:vAlign w:val="top"/>
          </w:tcPr>
          <w:p w14:paraId="18E1650F">
            <w:pPr>
              <w:rPr>
                <w:rFonts w:ascii="Arial"/>
                <w:sz w:val="21"/>
              </w:rPr>
            </w:pPr>
          </w:p>
        </w:tc>
        <w:tc>
          <w:tcPr>
            <w:tcW w:w="8446" w:type="dxa"/>
            <w:gridSpan w:val="9"/>
            <w:vAlign w:val="top"/>
          </w:tcPr>
          <w:p w14:paraId="12E33746">
            <w:pPr>
              <w:pStyle w:val="6"/>
              <w:spacing w:before="28" w:line="375" w:lineRule="auto"/>
              <w:ind w:left="81" w:right="313" w:firstLine="479"/>
              <w:rPr>
                <w:sz w:val="23"/>
                <w:szCs w:val="23"/>
              </w:rPr>
            </w:pPr>
            <w:r>
              <w:rPr>
                <w:sz w:val="23"/>
                <w:szCs w:val="23"/>
              </w:rPr>
              <w:t>由上表可知，建设单位16#光伏阵列、20#光伏阵列、10#光伏阵列、19#光</w:t>
            </w:r>
            <w:r>
              <w:rPr>
                <w:spacing w:val="4"/>
                <w:sz w:val="23"/>
                <w:szCs w:val="23"/>
              </w:rPr>
              <w:t xml:space="preserve">  </w:t>
            </w:r>
            <w:r>
              <w:rPr>
                <w:sz w:val="23"/>
                <w:szCs w:val="23"/>
              </w:rPr>
              <w:t>伏阵列、9#光伏阵列、8#光伏阵列、11#光伏阵列、12#光</w:t>
            </w:r>
            <w:r>
              <w:rPr>
                <w:spacing w:val="-1"/>
                <w:sz w:val="23"/>
                <w:szCs w:val="23"/>
              </w:rPr>
              <w:t>伏阵列，逆变器的布置</w:t>
            </w:r>
            <w:r>
              <w:rPr>
                <w:sz w:val="23"/>
                <w:szCs w:val="23"/>
              </w:rPr>
              <w:t xml:space="preserve"> 需要远离保护目标15m以上，声环境敏感点预测值可以满足《声环境质量标准》</w:t>
            </w:r>
          </w:p>
          <w:p w14:paraId="1E485BD9">
            <w:pPr>
              <w:pStyle w:val="6"/>
              <w:spacing w:line="219" w:lineRule="auto"/>
              <w:ind w:left="181"/>
              <w:rPr>
                <w:sz w:val="23"/>
                <w:szCs w:val="23"/>
              </w:rPr>
            </w:pPr>
            <w:r>
              <w:rPr>
                <w:spacing w:val="-1"/>
                <w:sz w:val="23"/>
                <w:szCs w:val="23"/>
              </w:rPr>
              <w:t>(GB3096-2008)1类区和4a类区的要求。</w:t>
            </w:r>
          </w:p>
          <w:p w14:paraId="7406C2E2">
            <w:pPr>
              <w:pStyle w:val="6"/>
              <w:spacing w:before="186" w:line="371" w:lineRule="auto"/>
              <w:ind w:left="71" w:right="313" w:firstLine="469"/>
              <w:jc w:val="both"/>
              <w:rPr>
                <w:sz w:val="23"/>
                <w:szCs w:val="23"/>
              </w:rPr>
            </w:pPr>
            <w:r>
              <w:rPr>
                <w:sz w:val="23"/>
                <w:szCs w:val="23"/>
              </w:rPr>
              <w:t>根据总平图和周边关系图分析，光伏阵列中的箱变距</w:t>
            </w:r>
            <w:r>
              <w:rPr>
                <w:spacing w:val="-1"/>
                <w:sz w:val="23"/>
                <w:szCs w:val="23"/>
              </w:rPr>
              <w:t>离声环境敏感目标较近</w:t>
            </w:r>
            <w:r>
              <w:rPr>
                <w:sz w:val="23"/>
                <w:szCs w:val="23"/>
              </w:rPr>
              <w:t xml:space="preserve"> </w:t>
            </w:r>
            <w:r>
              <w:rPr>
                <w:spacing w:val="1"/>
                <w:sz w:val="23"/>
                <w:szCs w:val="23"/>
              </w:rPr>
              <w:t>的为20#光伏阵列、19#光伏阵列、9#光</w:t>
            </w:r>
            <w:r>
              <w:rPr>
                <w:sz w:val="23"/>
                <w:szCs w:val="23"/>
              </w:rPr>
              <w:t>伏阵列、10#光伏阵列，根据设计提供的 总平面布置图，20#光伏阵列、19#光伏阵列、9#光伏阵列、10#光伏阵列的箱式</w:t>
            </w:r>
            <w:r>
              <w:rPr>
                <w:spacing w:val="1"/>
                <w:sz w:val="23"/>
                <w:szCs w:val="23"/>
              </w:rPr>
              <w:t xml:space="preserve">  </w:t>
            </w:r>
            <w:r>
              <w:rPr>
                <w:spacing w:val="-1"/>
                <w:sz w:val="23"/>
                <w:szCs w:val="23"/>
              </w:rPr>
              <w:t>变压器运营期声环境保护目标预测情况详见下表。</w:t>
            </w:r>
          </w:p>
          <w:p w14:paraId="27C8665D">
            <w:pPr>
              <w:pStyle w:val="6"/>
              <w:spacing w:before="1" w:line="225" w:lineRule="auto"/>
              <w:ind w:left="1504"/>
              <w:rPr>
                <w:sz w:val="23"/>
                <w:szCs w:val="23"/>
              </w:rPr>
            </w:pPr>
            <w:r>
              <w:rPr>
                <w:b/>
                <w:bCs/>
                <w:spacing w:val="-2"/>
                <w:position w:val="1"/>
                <w:sz w:val="23"/>
                <w:szCs w:val="23"/>
              </w:rPr>
              <w:t>表4-20</w:t>
            </w:r>
            <w:r>
              <w:rPr>
                <w:spacing w:val="-2"/>
                <w:position w:val="1"/>
                <w:sz w:val="23"/>
                <w:szCs w:val="23"/>
              </w:rPr>
              <w:t xml:space="preserve">     </w:t>
            </w:r>
            <w:r>
              <w:rPr>
                <w:b/>
                <w:bCs/>
                <w:spacing w:val="-2"/>
                <w:sz w:val="23"/>
                <w:szCs w:val="23"/>
              </w:rPr>
              <w:t>项目箱变运营期声环境保护目标预测值</w:t>
            </w:r>
          </w:p>
        </w:tc>
      </w:tr>
      <w:tr w14:paraId="1F298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04" w:type="dxa"/>
            <w:vMerge w:val="continue"/>
            <w:tcBorders>
              <w:top w:val="nil"/>
              <w:bottom w:val="nil"/>
            </w:tcBorders>
            <w:vAlign w:val="top"/>
          </w:tcPr>
          <w:p w14:paraId="7092C1AD">
            <w:pPr>
              <w:rPr>
                <w:rFonts w:ascii="Arial"/>
                <w:sz w:val="21"/>
              </w:rPr>
            </w:pPr>
          </w:p>
        </w:tc>
        <w:tc>
          <w:tcPr>
            <w:tcW w:w="1489" w:type="dxa"/>
            <w:gridSpan w:val="2"/>
            <w:vAlign w:val="top"/>
          </w:tcPr>
          <w:p w14:paraId="29C9A852">
            <w:pPr>
              <w:pStyle w:val="6"/>
              <w:spacing w:before="154" w:line="220" w:lineRule="auto"/>
              <w:ind w:left="321"/>
              <w:rPr>
                <w:sz w:val="23"/>
                <w:szCs w:val="23"/>
              </w:rPr>
            </w:pPr>
            <w:r>
              <w:rPr>
                <w:spacing w:val="-2"/>
                <w:sz w:val="23"/>
                <w:szCs w:val="23"/>
              </w:rPr>
              <w:t>保护目标</w:t>
            </w:r>
          </w:p>
        </w:tc>
        <w:tc>
          <w:tcPr>
            <w:tcW w:w="1418" w:type="dxa"/>
            <w:vAlign w:val="top"/>
          </w:tcPr>
          <w:p w14:paraId="5EBC2668">
            <w:pPr>
              <w:pStyle w:val="6"/>
              <w:spacing w:before="24" w:line="195" w:lineRule="auto"/>
              <w:ind w:left="351" w:right="6" w:hanging="340"/>
              <w:rPr>
                <w:sz w:val="23"/>
                <w:szCs w:val="23"/>
              </w:rPr>
            </w:pPr>
            <w:r>
              <w:rPr>
                <w:spacing w:val="1"/>
                <w:sz w:val="23"/>
                <w:szCs w:val="23"/>
              </w:rPr>
              <w:t>与项目箱变位</w:t>
            </w:r>
            <w:r>
              <w:rPr>
                <w:spacing w:val="2"/>
                <w:sz w:val="23"/>
                <w:szCs w:val="23"/>
              </w:rPr>
              <w:t xml:space="preserve"> </w:t>
            </w:r>
            <w:r>
              <w:rPr>
                <w:spacing w:val="7"/>
                <w:sz w:val="23"/>
                <w:szCs w:val="23"/>
              </w:rPr>
              <w:t>置关系</w:t>
            </w:r>
          </w:p>
        </w:tc>
        <w:tc>
          <w:tcPr>
            <w:tcW w:w="1249" w:type="dxa"/>
            <w:vAlign w:val="top"/>
          </w:tcPr>
          <w:p w14:paraId="578E7120">
            <w:pPr>
              <w:pStyle w:val="6"/>
              <w:spacing w:before="24" w:line="195" w:lineRule="auto"/>
              <w:ind w:left="94" w:right="35" w:hanging="50"/>
              <w:rPr>
                <w:sz w:val="23"/>
                <w:szCs w:val="23"/>
              </w:rPr>
            </w:pPr>
            <w:r>
              <w:rPr>
                <w:spacing w:val="1"/>
                <w:sz w:val="23"/>
                <w:szCs w:val="23"/>
              </w:rPr>
              <w:t>箱变噪声贡</w:t>
            </w:r>
            <w:r>
              <w:rPr>
                <w:spacing w:val="3"/>
                <w:sz w:val="23"/>
                <w:szCs w:val="23"/>
              </w:rPr>
              <w:t xml:space="preserve"> </w:t>
            </w:r>
            <w:r>
              <w:rPr>
                <w:spacing w:val="11"/>
                <w:sz w:val="23"/>
                <w:szCs w:val="23"/>
              </w:rPr>
              <w:t>献值</w:t>
            </w:r>
            <w:r>
              <w:rPr>
                <w:sz w:val="23"/>
                <w:szCs w:val="23"/>
              </w:rPr>
              <w:t>dB</w:t>
            </w:r>
            <w:r>
              <w:rPr>
                <w:spacing w:val="11"/>
                <w:sz w:val="23"/>
                <w:szCs w:val="23"/>
              </w:rPr>
              <w:t>(A)</w:t>
            </w:r>
          </w:p>
        </w:tc>
        <w:tc>
          <w:tcPr>
            <w:tcW w:w="869" w:type="dxa"/>
            <w:vAlign w:val="top"/>
          </w:tcPr>
          <w:p w14:paraId="6EA629E8">
            <w:pPr>
              <w:pStyle w:val="6"/>
              <w:spacing w:before="34" w:line="191" w:lineRule="auto"/>
              <w:ind w:left="135" w:right="74" w:hanging="50"/>
              <w:rPr>
                <w:sz w:val="23"/>
                <w:szCs w:val="23"/>
              </w:rPr>
            </w:pPr>
            <w:r>
              <w:rPr>
                <w:spacing w:val="3"/>
                <w:sz w:val="23"/>
                <w:szCs w:val="23"/>
              </w:rPr>
              <w:t>背景值</w:t>
            </w:r>
            <w:r>
              <w:rPr>
                <w:sz w:val="23"/>
                <w:szCs w:val="23"/>
              </w:rPr>
              <w:t xml:space="preserve"> </w:t>
            </w:r>
            <w:r>
              <w:rPr>
                <w:spacing w:val="-3"/>
                <w:sz w:val="23"/>
                <w:szCs w:val="23"/>
              </w:rPr>
              <w:t>dB(A)</w:t>
            </w:r>
          </w:p>
        </w:tc>
        <w:tc>
          <w:tcPr>
            <w:tcW w:w="739" w:type="dxa"/>
            <w:vAlign w:val="top"/>
          </w:tcPr>
          <w:p w14:paraId="48CFB6BC">
            <w:pPr>
              <w:pStyle w:val="6"/>
              <w:spacing w:before="34" w:line="191" w:lineRule="auto"/>
              <w:ind w:left="75" w:right="33" w:hanging="60"/>
              <w:rPr>
                <w:sz w:val="23"/>
                <w:szCs w:val="23"/>
              </w:rPr>
            </w:pPr>
            <w:r>
              <w:rPr>
                <w:spacing w:val="-4"/>
                <w:sz w:val="23"/>
                <w:szCs w:val="23"/>
              </w:rPr>
              <w:t>预测值</w:t>
            </w:r>
            <w:r>
              <w:rPr>
                <w:sz w:val="23"/>
                <w:szCs w:val="23"/>
              </w:rPr>
              <w:t xml:space="preserve"> </w:t>
            </w:r>
            <w:r>
              <w:rPr>
                <w:spacing w:val="-3"/>
                <w:sz w:val="23"/>
                <w:szCs w:val="23"/>
              </w:rPr>
              <w:t>dB(A)</w:t>
            </w:r>
          </w:p>
        </w:tc>
        <w:tc>
          <w:tcPr>
            <w:tcW w:w="1169" w:type="dxa"/>
            <w:vAlign w:val="top"/>
          </w:tcPr>
          <w:p w14:paraId="1CF99A7A">
            <w:pPr>
              <w:pStyle w:val="6"/>
              <w:spacing w:before="32" w:line="204" w:lineRule="auto"/>
              <w:jc w:val="right"/>
              <w:rPr>
                <w:sz w:val="23"/>
                <w:szCs w:val="23"/>
              </w:rPr>
            </w:pPr>
            <w:r>
              <w:rPr>
                <w:spacing w:val="-2"/>
                <w:sz w:val="23"/>
                <w:szCs w:val="23"/>
              </w:rPr>
              <w:t>较现状增量</w:t>
            </w:r>
          </w:p>
          <w:p w14:paraId="47D33B22">
            <w:pPr>
              <w:pStyle w:val="6"/>
              <w:spacing w:line="179" w:lineRule="auto"/>
              <w:ind w:left="286"/>
              <w:rPr>
                <w:sz w:val="23"/>
                <w:szCs w:val="23"/>
              </w:rPr>
            </w:pPr>
            <w:r>
              <w:rPr>
                <w:spacing w:val="-3"/>
                <w:sz w:val="23"/>
                <w:szCs w:val="23"/>
              </w:rPr>
              <w:t>dB(A)</w:t>
            </w:r>
          </w:p>
        </w:tc>
        <w:tc>
          <w:tcPr>
            <w:tcW w:w="809" w:type="dxa"/>
            <w:vAlign w:val="top"/>
          </w:tcPr>
          <w:p w14:paraId="11FEBC52">
            <w:pPr>
              <w:pStyle w:val="6"/>
              <w:spacing w:before="34" w:line="191" w:lineRule="auto"/>
              <w:ind w:left="108" w:right="60" w:hanging="50"/>
              <w:rPr>
                <w:sz w:val="23"/>
                <w:szCs w:val="23"/>
              </w:rPr>
            </w:pPr>
            <w:r>
              <w:rPr>
                <w:spacing w:val="-4"/>
                <w:sz w:val="23"/>
                <w:szCs w:val="23"/>
              </w:rPr>
              <w:t>标准值</w:t>
            </w:r>
            <w:r>
              <w:rPr>
                <w:spacing w:val="1"/>
                <w:sz w:val="23"/>
                <w:szCs w:val="23"/>
              </w:rPr>
              <w:t xml:space="preserve"> </w:t>
            </w:r>
            <w:r>
              <w:rPr>
                <w:spacing w:val="-3"/>
                <w:sz w:val="23"/>
                <w:szCs w:val="23"/>
              </w:rPr>
              <w:t>dB(A)</w:t>
            </w:r>
          </w:p>
        </w:tc>
        <w:tc>
          <w:tcPr>
            <w:tcW w:w="704" w:type="dxa"/>
            <w:vAlign w:val="top"/>
          </w:tcPr>
          <w:p w14:paraId="04808AFF">
            <w:pPr>
              <w:pStyle w:val="6"/>
              <w:spacing w:before="23" w:line="209" w:lineRule="auto"/>
              <w:ind w:left="119"/>
              <w:rPr>
                <w:sz w:val="23"/>
                <w:szCs w:val="23"/>
              </w:rPr>
            </w:pPr>
            <w:r>
              <w:rPr>
                <w:spacing w:val="-3"/>
                <w:sz w:val="23"/>
                <w:szCs w:val="23"/>
              </w:rPr>
              <w:t>达标</w:t>
            </w:r>
          </w:p>
          <w:p w14:paraId="7CD91B6D">
            <w:pPr>
              <w:pStyle w:val="6"/>
              <w:spacing w:line="181" w:lineRule="auto"/>
              <w:ind w:left="119"/>
              <w:rPr>
                <w:sz w:val="23"/>
                <w:szCs w:val="23"/>
              </w:rPr>
            </w:pPr>
            <w:r>
              <w:rPr>
                <w:spacing w:val="-3"/>
                <w:sz w:val="23"/>
                <w:szCs w:val="23"/>
              </w:rPr>
              <w:t>情况</w:t>
            </w:r>
          </w:p>
        </w:tc>
      </w:tr>
      <w:tr w14:paraId="65E45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04" w:type="dxa"/>
            <w:vMerge w:val="continue"/>
            <w:tcBorders>
              <w:top w:val="nil"/>
              <w:bottom w:val="nil"/>
            </w:tcBorders>
            <w:vAlign w:val="top"/>
          </w:tcPr>
          <w:p w14:paraId="399A82D1">
            <w:pPr>
              <w:rPr>
                <w:rFonts w:ascii="Arial"/>
                <w:sz w:val="21"/>
              </w:rPr>
            </w:pPr>
          </w:p>
        </w:tc>
        <w:tc>
          <w:tcPr>
            <w:tcW w:w="8446" w:type="dxa"/>
            <w:gridSpan w:val="9"/>
            <w:vAlign w:val="top"/>
          </w:tcPr>
          <w:p w14:paraId="50E696ED">
            <w:pPr>
              <w:pStyle w:val="6"/>
              <w:spacing w:before="49" w:line="209" w:lineRule="auto"/>
              <w:ind w:left="4004"/>
              <w:rPr>
                <w:sz w:val="23"/>
                <w:szCs w:val="23"/>
              </w:rPr>
            </w:pPr>
            <w:r>
              <w:rPr>
                <w:b/>
                <w:bCs/>
                <w:spacing w:val="5"/>
                <w:sz w:val="23"/>
                <w:szCs w:val="23"/>
              </w:rPr>
              <w:t>夜间</w:t>
            </w:r>
          </w:p>
        </w:tc>
      </w:tr>
      <w:tr w14:paraId="594BF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904" w:type="dxa"/>
            <w:vMerge w:val="continue"/>
            <w:tcBorders>
              <w:top w:val="nil"/>
              <w:bottom w:val="nil"/>
            </w:tcBorders>
            <w:vAlign w:val="top"/>
          </w:tcPr>
          <w:p w14:paraId="3CD234A1">
            <w:pPr>
              <w:rPr>
                <w:rFonts w:ascii="Arial"/>
                <w:sz w:val="21"/>
              </w:rPr>
            </w:pPr>
          </w:p>
        </w:tc>
        <w:tc>
          <w:tcPr>
            <w:tcW w:w="300" w:type="dxa"/>
            <w:vAlign w:val="top"/>
          </w:tcPr>
          <w:p w14:paraId="638C96A7">
            <w:pPr>
              <w:rPr>
                <w:rFonts w:ascii="Arial"/>
                <w:sz w:val="21"/>
              </w:rPr>
            </w:pPr>
          </w:p>
          <w:p w14:paraId="12E5961B">
            <w:pPr>
              <w:pStyle w:val="6"/>
              <w:spacing w:before="74" w:line="241" w:lineRule="auto"/>
              <w:ind w:left="81"/>
              <w:rPr>
                <w:sz w:val="23"/>
                <w:szCs w:val="23"/>
              </w:rPr>
            </w:pPr>
            <w:r>
              <w:rPr>
                <w:sz w:val="23"/>
                <w:szCs w:val="23"/>
              </w:rPr>
              <w:t>1</w:t>
            </w:r>
          </w:p>
        </w:tc>
        <w:tc>
          <w:tcPr>
            <w:tcW w:w="1189" w:type="dxa"/>
            <w:vAlign w:val="top"/>
          </w:tcPr>
          <w:p w14:paraId="09181037">
            <w:pPr>
              <w:pStyle w:val="6"/>
              <w:spacing w:before="34" w:line="202" w:lineRule="auto"/>
              <w:ind w:left="11" w:firstLine="176"/>
              <w:jc w:val="both"/>
              <w:rPr>
                <w:sz w:val="23"/>
                <w:szCs w:val="23"/>
              </w:rPr>
            </w:pPr>
            <w:r>
              <w:rPr>
                <w:spacing w:val="-8"/>
                <w:sz w:val="23"/>
                <w:szCs w:val="23"/>
              </w:rPr>
              <w:t>15#大地村</w:t>
            </w:r>
            <w:r>
              <w:rPr>
                <w:spacing w:val="3"/>
                <w:sz w:val="23"/>
                <w:szCs w:val="23"/>
              </w:rPr>
              <w:t xml:space="preserve"> </w:t>
            </w:r>
            <w:r>
              <w:rPr>
                <w:sz w:val="23"/>
                <w:szCs w:val="23"/>
              </w:rPr>
              <w:t xml:space="preserve">散户5(田间 </w:t>
            </w:r>
            <w:r>
              <w:rPr>
                <w:spacing w:val="17"/>
                <w:sz w:val="23"/>
                <w:szCs w:val="23"/>
              </w:rPr>
              <w:t>农户看地)</w:t>
            </w:r>
          </w:p>
        </w:tc>
        <w:tc>
          <w:tcPr>
            <w:tcW w:w="1418" w:type="dxa"/>
            <w:vAlign w:val="top"/>
          </w:tcPr>
          <w:p w14:paraId="4B04D97E">
            <w:pPr>
              <w:pStyle w:val="6"/>
              <w:spacing w:before="315"/>
              <w:ind w:left="521"/>
              <w:rPr>
                <w:sz w:val="23"/>
                <w:szCs w:val="23"/>
              </w:rPr>
            </w:pPr>
            <w:r>
              <w:rPr>
                <w:spacing w:val="-3"/>
                <w:sz w:val="23"/>
                <w:szCs w:val="23"/>
              </w:rPr>
              <w:t>68m</w:t>
            </w:r>
          </w:p>
        </w:tc>
        <w:tc>
          <w:tcPr>
            <w:tcW w:w="1249" w:type="dxa"/>
            <w:vAlign w:val="top"/>
          </w:tcPr>
          <w:p w14:paraId="117C4DE7">
            <w:pPr>
              <w:pStyle w:val="6"/>
              <w:spacing w:before="316" w:line="239" w:lineRule="auto"/>
              <w:ind w:left="324"/>
              <w:rPr>
                <w:sz w:val="23"/>
                <w:szCs w:val="23"/>
              </w:rPr>
            </w:pPr>
            <w:r>
              <w:rPr>
                <w:spacing w:val="-2"/>
                <w:sz w:val="23"/>
                <w:szCs w:val="23"/>
              </w:rPr>
              <w:t>28.35</w:t>
            </w:r>
          </w:p>
        </w:tc>
        <w:tc>
          <w:tcPr>
            <w:tcW w:w="869" w:type="dxa"/>
            <w:vAlign w:val="top"/>
          </w:tcPr>
          <w:p w14:paraId="66049F48">
            <w:pPr>
              <w:rPr>
                <w:rFonts w:ascii="Arial"/>
                <w:sz w:val="21"/>
              </w:rPr>
            </w:pPr>
          </w:p>
          <w:p w14:paraId="62E53CA4">
            <w:pPr>
              <w:pStyle w:val="6"/>
              <w:spacing w:before="74" w:line="241" w:lineRule="auto"/>
              <w:ind w:left="314"/>
              <w:rPr>
                <w:sz w:val="23"/>
                <w:szCs w:val="23"/>
              </w:rPr>
            </w:pPr>
            <w:r>
              <w:rPr>
                <w:spacing w:val="-3"/>
                <w:sz w:val="23"/>
                <w:szCs w:val="23"/>
              </w:rPr>
              <w:t>44</w:t>
            </w:r>
          </w:p>
        </w:tc>
        <w:tc>
          <w:tcPr>
            <w:tcW w:w="739" w:type="dxa"/>
            <w:vAlign w:val="top"/>
          </w:tcPr>
          <w:p w14:paraId="43E1657D">
            <w:pPr>
              <w:pStyle w:val="6"/>
              <w:spacing w:before="316" w:line="239" w:lineRule="auto"/>
              <w:ind w:left="76"/>
              <w:rPr>
                <w:sz w:val="23"/>
                <w:szCs w:val="23"/>
              </w:rPr>
            </w:pPr>
            <w:r>
              <w:rPr>
                <w:spacing w:val="-2"/>
                <w:sz w:val="23"/>
                <w:szCs w:val="23"/>
              </w:rPr>
              <w:t>44.12</w:t>
            </w:r>
          </w:p>
        </w:tc>
        <w:tc>
          <w:tcPr>
            <w:tcW w:w="1169" w:type="dxa"/>
            <w:vAlign w:val="top"/>
          </w:tcPr>
          <w:p w14:paraId="5340D43E">
            <w:pPr>
              <w:pStyle w:val="6"/>
              <w:spacing w:before="316" w:line="239" w:lineRule="auto"/>
              <w:ind w:left="346"/>
              <w:rPr>
                <w:sz w:val="23"/>
                <w:szCs w:val="23"/>
              </w:rPr>
            </w:pPr>
            <w:r>
              <w:rPr>
                <w:spacing w:val="-3"/>
                <w:sz w:val="23"/>
                <w:szCs w:val="23"/>
              </w:rPr>
              <w:t>0.12</w:t>
            </w:r>
          </w:p>
        </w:tc>
        <w:tc>
          <w:tcPr>
            <w:tcW w:w="809" w:type="dxa"/>
            <w:vAlign w:val="top"/>
          </w:tcPr>
          <w:p w14:paraId="32B8B549">
            <w:pPr>
              <w:pStyle w:val="6"/>
              <w:spacing w:before="315"/>
              <w:ind w:left="288"/>
              <w:rPr>
                <w:sz w:val="23"/>
                <w:szCs w:val="23"/>
              </w:rPr>
            </w:pPr>
            <w:r>
              <w:rPr>
                <w:spacing w:val="-3"/>
                <w:sz w:val="23"/>
                <w:szCs w:val="23"/>
              </w:rPr>
              <w:t>45</w:t>
            </w:r>
          </w:p>
        </w:tc>
        <w:tc>
          <w:tcPr>
            <w:tcW w:w="704" w:type="dxa"/>
            <w:vAlign w:val="top"/>
          </w:tcPr>
          <w:p w14:paraId="19228BDB">
            <w:pPr>
              <w:pStyle w:val="6"/>
              <w:spacing w:before="294" w:line="220" w:lineRule="auto"/>
              <w:ind w:left="119"/>
              <w:rPr>
                <w:sz w:val="23"/>
                <w:szCs w:val="23"/>
              </w:rPr>
            </w:pPr>
            <w:r>
              <w:rPr>
                <w:spacing w:val="-3"/>
                <w:sz w:val="23"/>
                <w:szCs w:val="23"/>
              </w:rPr>
              <w:t>达标</w:t>
            </w:r>
          </w:p>
        </w:tc>
      </w:tr>
      <w:tr w14:paraId="316F4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04" w:type="dxa"/>
            <w:vMerge w:val="continue"/>
            <w:tcBorders>
              <w:top w:val="nil"/>
              <w:bottom w:val="nil"/>
            </w:tcBorders>
            <w:vAlign w:val="top"/>
          </w:tcPr>
          <w:p w14:paraId="5E435828">
            <w:pPr>
              <w:rPr>
                <w:rFonts w:ascii="Arial"/>
                <w:sz w:val="21"/>
              </w:rPr>
            </w:pPr>
          </w:p>
        </w:tc>
        <w:tc>
          <w:tcPr>
            <w:tcW w:w="300" w:type="dxa"/>
            <w:vAlign w:val="top"/>
          </w:tcPr>
          <w:p w14:paraId="6180CD04">
            <w:pPr>
              <w:pStyle w:val="6"/>
              <w:spacing w:before="177" w:line="241" w:lineRule="auto"/>
              <w:ind w:left="81"/>
              <w:rPr>
                <w:sz w:val="23"/>
                <w:szCs w:val="23"/>
              </w:rPr>
            </w:pPr>
            <w:r>
              <w:rPr>
                <w:sz w:val="23"/>
                <w:szCs w:val="23"/>
              </w:rPr>
              <w:t>2</w:t>
            </w:r>
          </w:p>
        </w:tc>
        <w:tc>
          <w:tcPr>
            <w:tcW w:w="1189" w:type="dxa"/>
            <w:vAlign w:val="top"/>
          </w:tcPr>
          <w:p w14:paraId="3C14A9E5">
            <w:pPr>
              <w:pStyle w:val="6"/>
              <w:spacing w:before="34" w:line="193" w:lineRule="auto"/>
              <w:ind w:left="11"/>
              <w:rPr>
                <w:sz w:val="23"/>
                <w:szCs w:val="23"/>
              </w:rPr>
            </w:pPr>
            <w:r>
              <w:rPr>
                <w:spacing w:val="1"/>
                <w:sz w:val="23"/>
                <w:szCs w:val="23"/>
              </w:rPr>
              <w:t>2#栗树园散</w:t>
            </w:r>
          </w:p>
          <w:p w14:paraId="6E906721">
            <w:pPr>
              <w:pStyle w:val="6"/>
              <w:spacing w:line="196" w:lineRule="auto"/>
              <w:ind w:left="410"/>
              <w:rPr>
                <w:sz w:val="23"/>
                <w:szCs w:val="23"/>
              </w:rPr>
            </w:pPr>
            <w:r>
              <w:rPr>
                <w:spacing w:val="9"/>
                <w:sz w:val="23"/>
                <w:szCs w:val="23"/>
              </w:rPr>
              <w:t>户1</w:t>
            </w:r>
          </w:p>
        </w:tc>
        <w:tc>
          <w:tcPr>
            <w:tcW w:w="1418" w:type="dxa"/>
            <w:vAlign w:val="top"/>
          </w:tcPr>
          <w:p w14:paraId="02707A13">
            <w:pPr>
              <w:pStyle w:val="6"/>
              <w:spacing w:before="176"/>
              <w:ind w:left="521"/>
              <w:rPr>
                <w:sz w:val="23"/>
                <w:szCs w:val="23"/>
              </w:rPr>
            </w:pPr>
            <w:r>
              <w:rPr>
                <w:spacing w:val="-3"/>
                <w:sz w:val="23"/>
                <w:szCs w:val="23"/>
              </w:rPr>
              <w:t>67m</w:t>
            </w:r>
          </w:p>
        </w:tc>
        <w:tc>
          <w:tcPr>
            <w:tcW w:w="1249" w:type="dxa"/>
            <w:vAlign w:val="top"/>
          </w:tcPr>
          <w:p w14:paraId="7F5F2293">
            <w:pPr>
              <w:pStyle w:val="6"/>
              <w:spacing w:before="177" w:line="239" w:lineRule="auto"/>
              <w:ind w:left="324"/>
              <w:rPr>
                <w:sz w:val="23"/>
                <w:szCs w:val="23"/>
              </w:rPr>
            </w:pPr>
            <w:r>
              <w:rPr>
                <w:spacing w:val="-2"/>
                <w:sz w:val="23"/>
                <w:szCs w:val="23"/>
              </w:rPr>
              <w:t>28.48</w:t>
            </w:r>
          </w:p>
        </w:tc>
        <w:tc>
          <w:tcPr>
            <w:tcW w:w="869" w:type="dxa"/>
            <w:vAlign w:val="top"/>
          </w:tcPr>
          <w:p w14:paraId="7A39443C">
            <w:pPr>
              <w:pStyle w:val="6"/>
              <w:spacing w:before="177" w:line="241" w:lineRule="auto"/>
              <w:ind w:left="314"/>
              <w:rPr>
                <w:sz w:val="23"/>
                <w:szCs w:val="23"/>
              </w:rPr>
            </w:pPr>
            <w:r>
              <w:rPr>
                <w:spacing w:val="-3"/>
                <w:sz w:val="23"/>
                <w:szCs w:val="23"/>
              </w:rPr>
              <w:t>42</w:t>
            </w:r>
          </w:p>
        </w:tc>
        <w:tc>
          <w:tcPr>
            <w:tcW w:w="739" w:type="dxa"/>
            <w:vAlign w:val="top"/>
          </w:tcPr>
          <w:p w14:paraId="680520AD">
            <w:pPr>
              <w:pStyle w:val="6"/>
              <w:spacing w:before="177" w:line="239" w:lineRule="auto"/>
              <w:ind w:left="76"/>
              <w:rPr>
                <w:sz w:val="23"/>
                <w:szCs w:val="23"/>
              </w:rPr>
            </w:pPr>
            <w:r>
              <w:rPr>
                <w:spacing w:val="-2"/>
                <w:sz w:val="23"/>
                <w:szCs w:val="23"/>
              </w:rPr>
              <w:t>42.19</w:t>
            </w:r>
          </w:p>
        </w:tc>
        <w:tc>
          <w:tcPr>
            <w:tcW w:w="1169" w:type="dxa"/>
            <w:vAlign w:val="top"/>
          </w:tcPr>
          <w:p w14:paraId="25E84A02">
            <w:pPr>
              <w:pStyle w:val="6"/>
              <w:spacing w:before="177" w:line="239" w:lineRule="auto"/>
              <w:ind w:left="346"/>
              <w:rPr>
                <w:sz w:val="23"/>
                <w:szCs w:val="23"/>
              </w:rPr>
            </w:pPr>
            <w:r>
              <w:rPr>
                <w:spacing w:val="-3"/>
                <w:sz w:val="23"/>
                <w:szCs w:val="23"/>
              </w:rPr>
              <w:t>0.19</w:t>
            </w:r>
          </w:p>
        </w:tc>
        <w:tc>
          <w:tcPr>
            <w:tcW w:w="809" w:type="dxa"/>
            <w:vAlign w:val="top"/>
          </w:tcPr>
          <w:p w14:paraId="521BFE24">
            <w:pPr>
              <w:pStyle w:val="6"/>
              <w:spacing w:before="176"/>
              <w:ind w:left="288"/>
              <w:rPr>
                <w:sz w:val="23"/>
                <w:szCs w:val="23"/>
              </w:rPr>
            </w:pPr>
            <w:r>
              <w:rPr>
                <w:spacing w:val="-3"/>
                <w:sz w:val="23"/>
                <w:szCs w:val="23"/>
              </w:rPr>
              <w:t>45</w:t>
            </w:r>
          </w:p>
        </w:tc>
        <w:tc>
          <w:tcPr>
            <w:tcW w:w="704" w:type="dxa"/>
            <w:vAlign w:val="top"/>
          </w:tcPr>
          <w:p w14:paraId="1DBE0A2E">
            <w:pPr>
              <w:pStyle w:val="6"/>
              <w:spacing w:before="155" w:line="220" w:lineRule="auto"/>
              <w:ind w:left="119"/>
              <w:rPr>
                <w:sz w:val="23"/>
                <w:szCs w:val="23"/>
              </w:rPr>
            </w:pPr>
            <w:r>
              <w:rPr>
                <w:spacing w:val="-3"/>
                <w:sz w:val="23"/>
                <w:szCs w:val="23"/>
              </w:rPr>
              <w:t>达标</w:t>
            </w:r>
          </w:p>
        </w:tc>
      </w:tr>
      <w:tr w14:paraId="3DE31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904" w:type="dxa"/>
            <w:vMerge w:val="continue"/>
            <w:tcBorders>
              <w:top w:val="nil"/>
              <w:bottom w:val="nil"/>
            </w:tcBorders>
            <w:vAlign w:val="top"/>
          </w:tcPr>
          <w:p w14:paraId="5BDA4031">
            <w:pPr>
              <w:rPr>
                <w:rFonts w:ascii="Arial"/>
                <w:sz w:val="21"/>
              </w:rPr>
            </w:pPr>
          </w:p>
        </w:tc>
        <w:tc>
          <w:tcPr>
            <w:tcW w:w="300" w:type="dxa"/>
            <w:vAlign w:val="top"/>
          </w:tcPr>
          <w:p w14:paraId="235336FD">
            <w:pPr>
              <w:pStyle w:val="6"/>
              <w:spacing w:before="306"/>
              <w:ind w:left="81"/>
              <w:rPr>
                <w:sz w:val="23"/>
                <w:szCs w:val="23"/>
              </w:rPr>
            </w:pPr>
            <w:r>
              <w:rPr>
                <w:sz w:val="23"/>
                <w:szCs w:val="23"/>
              </w:rPr>
              <w:t>3</w:t>
            </w:r>
          </w:p>
        </w:tc>
        <w:tc>
          <w:tcPr>
            <w:tcW w:w="1189" w:type="dxa"/>
            <w:vAlign w:val="top"/>
          </w:tcPr>
          <w:p w14:paraId="0EE1FBBE">
            <w:pPr>
              <w:pStyle w:val="6"/>
              <w:spacing w:before="43" w:line="194" w:lineRule="auto"/>
              <w:ind w:left="11" w:firstLine="157"/>
              <w:jc w:val="both"/>
              <w:rPr>
                <w:sz w:val="23"/>
                <w:szCs w:val="23"/>
              </w:rPr>
            </w:pPr>
            <w:r>
              <w:rPr>
                <w:spacing w:val="-5"/>
                <w:sz w:val="23"/>
                <w:szCs w:val="23"/>
              </w:rPr>
              <w:t>23#大莫古</w:t>
            </w:r>
            <w:r>
              <w:rPr>
                <w:spacing w:val="4"/>
                <w:sz w:val="23"/>
                <w:szCs w:val="23"/>
              </w:rPr>
              <w:t xml:space="preserve"> </w:t>
            </w:r>
            <w:r>
              <w:rPr>
                <w:spacing w:val="1"/>
                <w:sz w:val="23"/>
                <w:szCs w:val="23"/>
              </w:rPr>
              <w:t>散户1(田间</w:t>
            </w:r>
            <w:r>
              <w:rPr>
                <w:sz w:val="23"/>
                <w:szCs w:val="23"/>
              </w:rPr>
              <w:t xml:space="preserve"> </w:t>
            </w:r>
            <w:r>
              <w:rPr>
                <w:spacing w:val="18"/>
                <w:sz w:val="23"/>
                <w:szCs w:val="23"/>
              </w:rPr>
              <w:t>农户看地)</w:t>
            </w:r>
          </w:p>
        </w:tc>
        <w:tc>
          <w:tcPr>
            <w:tcW w:w="1418" w:type="dxa"/>
            <w:vAlign w:val="top"/>
          </w:tcPr>
          <w:p w14:paraId="685D0CD3">
            <w:pPr>
              <w:pStyle w:val="6"/>
              <w:spacing w:before="306"/>
              <w:ind w:left="521"/>
              <w:rPr>
                <w:sz w:val="23"/>
                <w:szCs w:val="23"/>
              </w:rPr>
            </w:pPr>
            <w:r>
              <w:rPr>
                <w:spacing w:val="-3"/>
                <w:sz w:val="23"/>
                <w:szCs w:val="23"/>
              </w:rPr>
              <w:t>60m</w:t>
            </w:r>
          </w:p>
        </w:tc>
        <w:tc>
          <w:tcPr>
            <w:tcW w:w="1249" w:type="dxa"/>
            <w:vAlign w:val="top"/>
          </w:tcPr>
          <w:p w14:paraId="015CB81E">
            <w:pPr>
              <w:pStyle w:val="6"/>
              <w:spacing w:before="307" w:line="239" w:lineRule="auto"/>
              <w:ind w:left="324"/>
              <w:rPr>
                <w:sz w:val="23"/>
                <w:szCs w:val="23"/>
              </w:rPr>
            </w:pPr>
            <w:r>
              <w:rPr>
                <w:spacing w:val="-2"/>
                <w:sz w:val="23"/>
                <w:szCs w:val="23"/>
              </w:rPr>
              <w:t>29.44</w:t>
            </w:r>
          </w:p>
        </w:tc>
        <w:tc>
          <w:tcPr>
            <w:tcW w:w="869" w:type="dxa"/>
            <w:vAlign w:val="top"/>
          </w:tcPr>
          <w:p w14:paraId="398A0EC4">
            <w:pPr>
              <w:pStyle w:val="6"/>
              <w:spacing w:before="306"/>
              <w:ind w:left="314"/>
              <w:rPr>
                <w:sz w:val="23"/>
                <w:szCs w:val="23"/>
              </w:rPr>
            </w:pPr>
            <w:r>
              <w:rPr>
                <w:spacing w:val="-3"/>
                <w:sz w:val="23"/>
                <w:szCs w:val="23"/>
              </w:rPr>
              <w:t>43</w:t>
            </w:r>
          </w:p>
        </w:tc>
        <w:tc>
          <w:tcPr>
            <w:tcW w:w="739" w:type="dxa"/>
            <w:vAlign w:val="top"/>
          </w:tcPr>
          <w:p w14:paraId="424BD19C">
            <w:pPr>
              <w:pStyle w:val="6"/>
              <w:spacing w:before="307" w:line="239" w:lineRule="auto"/>
              <w:ind w:left="76"/>
              <w:rPr>
                <w:sz w:val="23"/>
                <w:szCs w:val="23"/>
              </w:rPr>
            </w:pPr>
            <w:r>
              <w:rPr>
                <w:spacing w:val="-2"/>
                <w:sz w:val="23"/>
                <w:szCs w:val="23"/>
              </w:rPr>
              <w:t>43.19</w:t>
            </w:r>
          </w:p>
        </w:tc>
        <w:tc>
          <w:tcPr>
            <w:tcW w:w="1169" w:type="dxa"/>
            <w:vAlign w:val="top"/>
          </w:tcPr>
          <w:p w14:paraId="2416E396">
            <w:pPr>
              <w:pStyle w:val="6"/>
              <w:spacing w:before="307" w:line="239" w:lineRule="auto"/>
              <w:ind w:left="346"/>
              <w:rPr>
                <w:sz w:val="23"/>
                <w:szCs w:val="23"/>
              </w:rPr>
            </w:pPr>
            <w:r>
              <w:rPr>
                <w:spacing w:val="-3"/>
                <w:sz w:val="23"/>
                <w:szCs w:val="23"/>
              </w:rPr>
              <w:t>0.19</w:t>
            </w:r>
          </w:p>
        </w:tc>
        <w:tc>
          <w:tcPr>
            <w:tcW w:w="809" w:type="dxa"/>
            <w:vAlign w:val="top"/>
          </w:tcPr>
          <w:p w14:paraId="1FC5BF63">
            <w:pPr>
              <w:pStyle w:val="6"/>
              <w:spacing w:before="306"/>
              <w:ind w:left="288"/>
              <w:rPr>
                <w:sz w:val="23"/>
                <w:szCs w:val="23"/>
              </w:rPr>
            </w:pPr>
            <w:r>
              <w:rPr>
                <w:spacing w:val="-3"/>
                <w:sz w:val="23"/>
                <w:szCs w:val="23"/>
              </w:rPr>
              <w:t>45</w:t>
            </w:r>
          </w:p>
        </w:tc>
        <w:tc>
          <w:tcPr>
            <w:tcW w:w="704" w:type="dxa"/>
            <w:vAlign w:val="top"/>
          </w:tcPr>
          <w:p w14:paraId="2CF80139">
            <w:pPr>
              <w:pStyle w:val="6"/>
              <w:spacing w:before="285" w:line="220" w:lineRule="auto"/>
              <w:ind w:left="119"/>
              <w:rPr>
                <w:sz w:val="23"/>
                <w:szCs w:val="23"/>
              </w:rPr>
            </w:pPr>
            <w:r>
              <w:rPr>
                <w:spacing w:val="-3"/>
                <w:sz w:val="23"/>
                <w:szCs w:val="23"/>
              </w:rPr>
              <w:t>达标</w:t>
            </w:r>
          </w:p>
        </w:tc>
      </w:tr>
      <w:tr w14:paraId="73B2F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04" w:type="dxa"/>
            <w:vMerge w:val="continue"/>
            <w:tcBorders>
              <w:top w:val="nil"/>
              <w:bottom w:val="nil"/>
            </w:tcBorders>
            <w:vAlign w:val="top"/>
          </w:tcPr>
          <w:p w14:paraId="2C76A56E">
            <w:pPr>
              <w:rPr>
                <w:rFonts w:ascii="Arial"/>
                <w:sz w:val="21"/>
              </w:rPr>
            </w:pPr>
          </w:p>
        </w:tc>
        <w:tc>
          <w:tcPr>
            <w:tcW w:w="300" w:type="dxa"/>
            <w:vAlign w:val="top"/>
          </w:tcPr>
          <w:p w14:paraId="13CD8D18">
            <w:pPr>
              <w:pStyle w:val="6"/>
              <w:spacing w:before="198" w:line="241" w:lineRule="auto"/>
              <w:ind w:left="81"/>
              <w:rPr>
                <w:sz w:val="23"/>
                <w:szCs w:val="23"/>
              </w:rPr>
            </w:pPr>
            <w:r>
              <w:rPr>
                <w:sz w:val="23"/>
                <w:szCs w:val="23"/>
              </w:rPr>
              <w:t>4</w:t>
            </w:r>
          </w:p>
        </w:tc>
        <w:tc>
          <w:tcPr>
            <w:tcW w:w="1189" w:type="dxa"/>
            <w:vAlign w:val="top"/>
          </w:tcPr>
          <w:p w14:paraId="39FACAA7">
            <w:pPr>
              <w:pStyle w:val="6"/>
              <w:spacing w:before="54" w:line="199" w:lineRule="auto"/>
              <w:ind w:left="410" w:right="9" w:hanging="399"/>
              <w:rPr>
                <w:sz w:val="23"/>
                <w:szCs w:val="23"/>
              </w:rPr>
            </w:pPr>
            <w:r>
              <w:rPr>
                <w:spacing w:val="1"/>
                <w:sz w:val="23"/>
                <w:szCs w:val="23"/>
              </w:rPr>
              <w:t xml:space="preserve">3#栗树园散 </w:t>
            </w:r>
            <w:r>
              <w:rPr>
                <w:spacing w:val="-4"/>
                <w:sz w:val="23"/>
                <w:szCs w:val="23"/>
              </w:rPr>
              <w:t>户2</w:t>
            </w:r>
          </w:p>
        </w:tc>
        <w:tc>
          <w:tcPr>
            <w:tcW w:w="1418" w:type="dxa"/>
            <w:vAlign w:val="top"/>
          </w:tcPr>
          <w:p w14:paraId="5B04C78B">
            <w:pPr>
              <w:pStyle w:val="6"/>
              <w:spacing w:before="197"/>
              <w:ind w:left="521"/>
              <w:rPr>
                <w:sz w:val="23"/>
                <w:szCs w:val="23"/>
              </w:rPr>
            </w:pPr>
            <w:r>
              <w:rPr>
                <w:spacing w:val="-4"/>
                <w:sz w:val="23"/>
                <w:szCs w:val="23"/>
              </w:rPr>
              <w:t>33m</w:t>
            </w:r>
          </w:p>
        </w:tc>
        <w:tc>
          <w:tcPr>
            <w:tcW w:w="1249" w:type="dxa"/>
            <w:vAlign w:val="top"/>
          </w:tcPr>
          <w:p w14:paraId="71CF2C7F">
            <w:pPr>
              <w:pStyle w:val="6"/>
              <w:spacing w:before="198" w:line="239" w:lineRule="auto"/>
              <w:ind w:left="324"/>
              <w:rPr>
                <w:sz w:val="23"/>
                <w:szCs w:val="23"/>
              </w:rPr>
            </w:pPr>
            <w:r>
              <w:rPr>
                <w:spacing w:val="-3"/>
                <w:sz w:val="23"/>
                <w:szCs w:val="23"/>
              </w:rPr>
              <w:t>34.64</w:t>
            </w:r>
          </w:p>
        </w:tc>
        <w:tc>
          <w:tcPr>
            <w:tcW w:w="869" w:type="dxa"/>
            <w:vAlign w:val="top"/>
          </w:tcPr>
          <w:p w14:paraId="1E0F84E5">
            <w:pPr>
              <w:pStyle w:val="6"/>
              <w:spacing w:before="197"/>
              <w:ind w:left="314"/>
              <w:rPr>
                <w:sz w:val="23"/>
                <w:szCs w:val="23"/>
              </w:rPr>
            </w:pPr>
            <w:r>
              <w:rPr>
                <w:spacing w:val="-3"/>
                <w:sz w:val="23"/>
                <w:szCs w:val="23"/>
              </w:rPr>
              <w:t>43</w:t>
            </w:r>
          </w:p>
        </w:tc>
        <w:tc>
          <w:tcPr>
            <w:tcW w:w="739" w:type="dxa"/>
            <w:vAlign w:val="top"/>
          </w:tcPr>
          <w:p w14:paraId="503ED20F">
            <w:pPr>
              <w:pStyle w:val="6"/>
              <w:spacing w:before="198" w:line="239" w:lineRule="auto"/>
              <w:ind w:left="76"/>
              <w:rPr>
                <w:sz w:val="23"/>
                <w:szCs w:val="23"/>
              </w:rPr>
            </w:pPr>
            <w:r>
              <w:rPr>
                <w:spacing w:val="-2"/>
                <w:sz w:val="23"/>
                <w:szCs w:val="23"/>
              </w:rPr>
              <w:t>43.59</w:t>
            </w:r>
          </w:p>
        </w:tc>
        <w:tc>
          <w:tcPr>
            <w:tcW w:w="1169" w:type="dxa"/>
            <w:vAlign w:val="top"/>
          </w:tcPr>
          <w:p w14:paraId="29EA28A8">
            <w:pPr>
              <w:pStyle w:val="6"/>
              <w:spacing w:before="198" w:line="239" w:lineRule="auto"/>
              <w:ind w:left="346"/>
              <w:rPr>
                <w:sz w:val="23"/>
                <w:szCs w:val="23"/>
              </w:rPr>
            </w:pPr>
            <w:r>
              <w:rPr>
                <w:spacing w:val="-3"/>
                <w:sz w:val="23"/>
                <w:szCs w:val="23"/>
              </w:rPr>
              <w:t>0.59</w:t>
            </w:r>
          </w:p>
        </w:tc>
        <w:tc>
          <w:tcPr>
            <w:tcW w:w="809" w:type="dxa"/>
            <w:vAlign w:val="top"/>
          </w:tcPr>
          <w:p w14:paraId="3F5C53DF">
            <w:pPr>
              <w:pStyle w:val="6"/>
              <w:spacing w:before="197"/>
              <w:ind w:left="288"/>
              <w:rPr>
                <w:sz w:val="23"/>
                <w:szCs w:val="23"/>
              </w:rPr>
            </w:pPr>
            <w:r>
              <w:rPr>
                <w:spacing w:val="-3"/>
                <w:sz w:val="23"/>
                <w:szCs w:val="23"/>
              </w:rPr>
              <w:t>45</w:t>
            </w:r>
          </w:p>
        </w:tc>
        <w:tc>
          <w:tcPr>
            <w:tcW w:w="704" w:type="dxa"/>
            <w:vAlign w:val="top"/>
          </w:tcPr>
          <w:p w14:paraId="76DC6B83">
            <w:pPr>
              <w:pStyle w:val="6"/>
              <w:spacing w:before="176" w:line="220" w:lineRule="auto"/>
              <w:ind w:left="119"/>
              <w:rPr>
                <w:sz w:val="23"/>
                <w:szCs w:val="23"/>
              </w:rPr>
            </w:pPr>
            <w:r>
              <w:rPr>
                <w:spacing w:val="-3"/>
                <w:sz w:val="23"/>
                <w:szCs w:val="23"/>
              </w:rPr>
              <w:t>达标</w:t>
            </w:r>
          </w:p>
        </w:tc>
      </w:tr>
      <w:tr w14:paraId="76A10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04" w:type="dxa"/>
            <w:vMerge w:val="continue"/>
            <w:tcBorders>
              <w:top w:val="nil"/>
              <w:bottom w:val="nil"/>
            </w:tcBorders>
            <w:vAlign w:val="top"/>
          </w:tcPr>
          <w:p w14:paraId="45F05EA5">
            <w:pPr>
              <w:rPr>
                <w:rFonts w:ascii="Arial"/>
                <w:sz w:val="21"/>
              </w:rPr>
            </w:pPr>
          </w:p>
        </w:tc>
        <w:tc>
          <w:tcPr>
            <w:tcW w:w="8446" w:type="dxa"/>
            <w:gridSpan w:val="9"/>
            <w:vAlign w:val="top"/>
          </w:tcPr>
          <w:p w14:paraId="7E663082">
            <w:pPr>
              <w:pStyle w:val="6"/>
              <w:spacing w:before="48" w:line="202" w:lineRule="auto"/>
              <w:ind w:left="4001"/>
              <w:rPr>
                <w:sz w:val="23"/>
                <w:szCs w:val="23"/>
              </w:rPr>
            </w:pPr>
            <w:r>
              <w:rPr>
                <w:spacing w:val="11"/>
                <w:sz w:val="23"/>
                <w:szCs w:val="23"/>
              </w:rPr>
              <w:t>昼间</w:t>
            </w:r>
          </w:p>
        </w:tc>
      </w:tr>
      <w:tr w14:paraId="7A7FA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904" w:type="dxa"/>
            <w:vMerge w:val="continue"/>
            <w:tcBorders>
              <w:top w:val="nil"/>
              <w:bottom w:val="nil"/>
            </w:tcBorders>
            <w:vAlign w:val="top"/>
          </w:tcPr>
          <w:p w14:paraId="6DE5BC25">
            <w:pPr>
              <w:rPr>
                <w:rFonts w:ascii="Arial"/>
                <w:sz w:val="21"/>
              </w:rPr>
            </w:pPr>
          </w:p>
        </w:tc>
        <w:tc>
          <w:tcPr>
            <w:tcW w:w="300" w:type="dxa"/>
            <w:vAlign w:val="top"/>
          </w:tcPr>
          <w:p w14:paraId="342A03AC">
            <w:pPr>
              <w:pStyle w:val="6"/>
              <w:spacing w:before="308" w:line="241" w:lineRule="auto"/>
              <w:ind w:left="81"/>
              <w:rPr>
                <w:sz w:val="23"/>
                <w:szCs w:val="23"/>
              </w:rPr>
            </w:pPr>
            <w:r>
              <w:rPr>
                <w:sz w:val="23"/>
                <w:szCs w:val="23"/>
              </w:rPr>
              <w:t>1</w:t>
            </w:r>
          </w:p>
        </w:tc>
        <w:tc>
          <w:tcPr>
            <w:tcW w:w="1189" w:type="dxa"/>
            <w:vAlign w:val="top"/>
          </w:tcPr>
          <w:p w14:paraId="0B8F3018">
            <w:pPr>
              <w:pStyle w:val="6"/>
              <w:spacing w:before="32" w:line="197" w:lineRule="auto"/>
              <w:ind w:left="11" w:firstLine="159"/>
              <w:jc w:val="both"/>
              <w:rPr>
                <w:sz w:val="23"/>
                <w:szCs w:val="23"/>
              </w:rPr>
            </w:pPr>
            <w:r>
              <w:rPr>
                <w:spacing w:val="-5"/>
                <w:sz w:val="23"/>
                <w:szCs w:val="23"/>
              </w:rPr>
              <w:t>15#大地村</w:t>
            </w:r>
            <w:r>
              <w:rPr>
                <w:sz w:val="23"/>
                <w:szCs w:val="23"/>
              </w:rPr>
              <w:t xml:space="preserve"> </w:t>
            </w:r>
            <w:r>
              <w:rPr>
                <w:spacing w:val="2"/>
                <w:sz w:val="23"/>
                <w:szCs w:val="23"/>
              </w:rPr>
              <w:t>散户5(田间</w:t>
            </w:r>
            <w:r>
              <w:rPr>
                <w:spacing w:val="4"/>
                <w:sz w:val="23"/>
                <w:szCs w:val="23"/>
              </w:rPr>
              <w:t xml:space="preserve"> </w:t>
            </w:r>
            <w:r>
              <w:rPr>
                <w:spacing w:val="20"/>
                <w:sz w:val="23"/>
                <w:szCs w:val="23"/>
              </w:rPr>
              <w:t>农户看地)</w:t>
            </w:r>
          </w:p>
        </w:tc>
        <w:tc>
          <w:tcPr>
            <w:tcW w:w="1418" w:type="dxa"/>
            <w:vAlign w:val="top"/>
          </w:tcPr>
          <w:p w14:paraId="60AEFF2A">
            <w:pPr>
              <w:pStyle w:val="6"/>
              <w:spacing w:before="307"/>
              <w:ind w:left="521"/>
              <w:rPr>
                <w:sz w:val="23"/>
                <w:szCs w:val="23"/>
              </w:rPr>
            </w:pPr>
            <w:r>
              <w:rPr>
                <w:spacing w:val="-3"/>
                <w:sz w:val="23"/>
                <w:szCs w:val="23"/>
              </w:rPr>
              <w:t>68m</w:t>
            </w:r>
          </w:p>
        </w:tc>
        <w:tc>
          <w:tcPr>
            <w:tcW w:w="1249" w:type="dxa"/>
            <w:vAlign w:val="top"/>
          </w:tcPr>
          <w:p w14:paraId="76D2F133">
            <w:pPr>
              <w:pStyle w:val="6"/>
              <w:spacing w:before="308" w:line="239" w:lineRule="auto"/>
              <w:ind w:left="324"/>
              <w:rPr>
                <w:sz w:val="23"/>
                <w:szCs w:val="23"/>
              </w:rPr>
            </w:pPr>
            <w:r>
              <w:rPr>
                <w:spacing w:val="-2"/>
                <w:sz w:val="23"/>
                <w:szCs w:val="23"/>
              </w:rPr>
              <w:t>28.35</w:t>
            </w:r>
          </w:p>
        </w:tc>
        <w:tc>
          <w:tcPr>
            <w:tcW w:w="869" w:type="dxa"/>
            <w:vAlign w:val="top"/>
          </w:tcPr>
          <w:p w14:paraId="65F1F4CA">
            <w:pPr>
              <w:pStyle w:val="6"/>
              <w:spacing w:before="307"/>
              <w:ind w:left="314"/>
              <w:rPr>
                <w:sz w:val="23"/>
                <w:szCs w:val="23"/>
              </w:rPr>
            </w:pPr>
            <w:r>
              <w:rPr>
                <w:spacing w:val="-4"/>
                <w:sz w:val="23"/>
                <w:szCs w:val="23"/>
              </w:rPr>
              <w:t>52</w:t>
            </w:r>
          </w:p>
        </w:tc>
        <w:tc>
          <w:tcPr>
            <w:tcW w:w="739" w:type="dxa"/>
            <w:vAlign w:val="top"/>
          </w:tcPr>
          <w:p w14:paraId="0E879738">
            <w:pPr>
              <w:pStyle w:val="6"/>
              <w:spacing w:before="308" w:line="239" w:lineRule="auto"/>
              <w:ind w:left="76"/>
              <w:rPr>
                <w:sz w:val="23"/>
                <w:szCs w:val="23"/>
              </w:rPr>
            </w:pPr>
            <w:r>
              <w:rPr>
                <w:spacing w:val="-3"/>
                <w:sz w:val="23"/>
                <w:szCs w:val="23"/>
              </w:rPr>
              <w:t>52.02</w:t>
            </w:r>
          </w:p>
        </w:tc>
        <w:tc>
          <w:tcPr>
            <w:tcW w:w="1169" w:type="dxa"/>
            <w:vAlign w:val="top"/>
          </w:tcPr>
          <w:p w14:paraId="55710889">
            <w:pPr>
              <w:pStyle w:val="6"/>
              <w:spacing w:before="308" w:line="239" w:lineRule="auto"/>
              <w:ind w:left="346"/>
              <w:rPr>
                <w:sz w:val="23"/>
                <w:szCs w:val="23"/>
              </w:rPr>
            </w:pPr>
            <w:r>
              <w:rPr>
                <w:spacing w:val="-3"/>
                <w:sz w:val="23"/>
                <w:szCs w:val="23"/>
              </w:rPr>
              <w:t>0.02</w:t>
            </w:r>
          </w:p>
        </w:tc>
        <w:tc>
          <w:tcPr>
            <w:tcW w:w="809" w:type="dxa"/>
            <w:vAlign w:val="top"/>
          </w:tcPr>
          <w:p w14:paraId="0A3BF588">
            <w:pPr>
              <w:pStyle w:val="6"/>
              <w:spacing w:before="307"/>
              <w:ind w:left="288"/>
              <w:rPr>
                <w:sz w:val="23"/>
                <w:szCs w:val="23"/>
              </w:rPr>
            </w:pPr>
            <w:r>
              <w:rPr>
                <w:spacing w:val="-4"/>
                <w:sz w:val="23"/>
                <w:szCs w:val="23"/>
              </w:rPr>
              <w:t>55</w:t>
            </w:r>
          </w:p>
        </w:tc>
        <w:tc>
          <w:tcPr>
            <w:tcW w:w="704" w:type="dxa"/>
            <w:vAlign w:val="top"/>
          </w:tcPr>
          <w:p w14:paraId="2BF66CDA">
            <w:pPr>
              <w:pStyle w:val="6"/>
              <w:spacing w:before="286" w:line="220" w:lineRule="auto"/>
              <w:ind w:left="119"/>
              <w:rPr>
                <w:sz w:val="23"/>
                <w:szCs w:val="23"/>
              </w:rPr>
            </w:pPr>
            <w:r>
              <w:rPr>
                <w:spacing w:val="-3"/>
                <w:sz w:val="23"/>
                <w:szCs w:val="23"/>
              </w:rPr>
              <w:t>达标</w:t>
            </w:r>
          </w:p>
        </w:tc>
      </w:tr>
      <w:tr w14:paraId="44157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04" w:type="dxa"/>
            <w:vMerge w:val="continue"/>
            <w:tcBorders>
              <w:top w:val="nil"/>
              <w:bottom w:val="nil"/>
            </w:tcBorders>
            <w:vAlign w:val="top"/>
          </w:tcPr>
          <w:p w14:paraId="11C63A63">
            <w:pPr>
              <w:rPr>
                <w:rFonts w:ascii="Arial"/>
                <w:sz w:val="21"/>
              </w:rPr>
            </w:pPr>
          </w:p>
        </w:tc>
        <w:tc>
          <w:tcPr>
            <w:tcW w:w="300" w:type="dxa"/>
            <w:vAlign w:val="top"/>
          </w:tcPr>
          <w:p w14:paraId="70C9A93C">
            <w:pPr>
              <w:pStyle w:val="6"/>
              <w:spacing w:before="199" w:line="241" w:lineRule="auto"/>
              <w:ind w:left="81"/>
              <w:rPr>
                <w:sz w:val="23"/>
                <w:szCs w:val="23"/>
              </w:rPr>
            </w:pPr>
            <w:r>
              <w:rPr>
                <w:sz w:val="23"/>
                <w:szCs w:val="23"/>
              </w:rPr>
              <w:t>2</w:t>
            </w:r>
          </w:p>
        </w:tc>
        <w:tc>
          <w:tcPr>
            <w:tcW w:w="1189" w:type="dxa"/>
            <w:vAlign w:val="top"/>
          </w:tcPr>
          <w:p w14:paraId="38D14948">
            <w:pPr>
              <w:pStyle w:val="6"/>
              <w:spacing w:before="36" w:line="217" w:lineRule="auto"/>
              <w:ind w:left="11"/>
              <w:rPr>
                <w:sz w:val="23"/>
                <w:szCs w:val="23"/>
              </w:rPr>
            </w:pPr>
            <w:r>
              <w:rPr>
                <w:spacing w:val="1"/>
                <w:sz w:val="23"/>
                <w:szCs w:val="23"/>
              </w:rPr>
              <w:t>2#栗树园散</w:t>
            </w:r>
          </w:p>
          <w:p w14:paraId="18DB1F65">
            <w:pPr>
              <w:pStyle w:val="6"/>
              <w:spacing w:line="195" w:lineRule="auto"/>
              <w:ind w:left="410"/>
              <w:rPr>
                <w:sz w:val="23"/>
                <w:szCs w:val="23"/>
              </w:rPr>
            </w:pPr>
            <w:r>
              <w:rPr>
                <w:spacing w:val="9"/>
                <w:sz w:val="23"/>
                <w:szCs w:val="23"/>
              </w:rPr>
              <w:t>户1</w:t>
            </w:r>
          </w:p>
        </w:tc>
        <w:tc>
          <w:tcPr>
            <w:tcW w:w="1418" w:type="dxa"/>
            <w:vAlign w:val="top"/>
          </w:tcPr>
          <w:p w14:paraId="7212B39C">
            <w:pPr>
              <w:pStyle w:val="6"/>
              <w:spacing w:before="198"/>
              <w:ind w:left="521"/>
              <w:rPr>
                <w:sz w:val="23"/>
                <w:szCs w:val="23"/>
              </w:rPr>
            </w:pPr>
            <w:r>
              <w:rPr>
                <w:spacing w:val="-3"/>
                <w:sz w:val="23"/>
                <w:szCs w:val="23"/>
              </w:rPr>
              <w:t>67m</w:t>
            </w:r>
          </w:p>
        </w:tc>
        <w:tc>
          <w:tcPr>
            <w:tcW w:w="1249" w:type="dxa"/>
            <w:vAlign w:val="top"/>
          </w:tcPr>
          <w:p w14:paraId="14B82C5B">
            <w:pPr>
              <w:pStyle w:val="6"/>
              <w:spacing w:before="199" w:line="239" w:lineRule="auto"/>
              <w:ind w:left="324"/>
              <w:rPr>
                <w:sz w:val="23"/>
                <w:szCs w:val="23"/>
              </w:rPr>
            </w:pPr>
            <w:r>
              <w:rPr>
                <w:spacing w:val="-2"/>
                <w:sz w:val="23"/>
                <w:szCs w:val="23"/>
              </w:rPr>
              <w:t>28.48</w:t>
            </w:r>
          </w:p>
        </w:tc>
        <w:tc>
          <w:tcPr>
            <w:tcW w:w="869" w:type="dxa"/>
            <w:vAlign w:val="top"/>
          </w:tcPr>
          <w:p w14:paraId="5249D885">
            <w:pPr>
              <w:pStyle w:val="6"/>
              <w:spacing w:before="199" w:line="241" w:lineRule="auto"/>
              <w:ind w:left="314"/>
              <w:rPr>
                <w:sz w:val="23"/>
                <w:szCs w:val="23"/>
              </w:rPr>
            </w:pPr>
            <w:r>
              <w:rPr>
                <w:spacing w:val="-3"/>
                <w:sz w:val="23"/>
                <w:szCs w:val="23"/>
              </w:rPr>
              <w:t>44</w:t>
            </w:r>
          </w:p>
        </w:tc>
        <w:tc>
          <w:tcPr>
            <w:tcW w:w="739" w:type="dxa"/>
            <w:vAlign w:val="top"/>
          </w:tcPr>
          <w:p w14:paraId="3A336FD9">
            <w:pPr>
              <w:pStyle w:val="6"/>
              <w:spacing w:before="199" w:line="239" w:lineRule="auto"/>
              <w:ind w:left="76"/>
              <w:rPr>
                <w:sz w:val="23"/>
                <w:szCs w:val="23"/>
              </w:rPr>
            </w:pPr>
            <w:r>
              <w:rPr>
                <w:spacing w:val="-2"/>
                <w:sz w:val="23"/>
                <w:szCs w:val="23"/>
              </w:rPr>
              <w:t>44.12</w:t>
            </w:r>
          </w:p>
        </w:tc>
        <w:tc>
          <w:tcPr>
            <w:tcW w:w="1169" w:type="dxa"/>
            <w:vAlign w:val="top"/>
          </w:tcPr>
          <w:p w14:paraId="6B538909">
            <w:pPr>
              <w:pStyle w:val="6"/>
              <w:spacing w:before="199" w:line="239" w:lineRule="auto"/>
              <w:ind w:left="346"/>
              <w:rPr>
                <w:sz w:val="23"/>
                <w:szCs w:val="23"/>
              </w:rPr>
            </w:pPr>
            <w:r>
              <w:rPr>
                <w:spacing w:val="-3"/>
                <w:sz w:val="23"/>
                <w:szCs w:val="23"/>
              </w:rPr>
              <w:t>0.12</w:t>
            </w:r>
          </w:p>
        </w:tc>
        <w:tc>
          <w:tcPr>
            <w:tcW w:w="809" w:type="dxa"/>
            <w:vAlign w:val="top"/>
          </w:tcPr>
          <w:p w14:paraId="353A9A4C">
            <w:pPr>
              <w:pStyle w:val="6"/>
              <w:spacing w:before="198"/>
              <w:ind w:left="288"/>
              <w:rPr>
                <w:sz w:val="23"/>
                <w:szCs w:val="23"/>
              </w:rPr>
            </w:pPr>
            <w:r>
              <w:rPr>
                <w:spacing w:val="-4"/>
                <w:sz w:val="23"/>
                <w:szCs w:val="23"/>
              </w:rPr>
              <w:t>55</w:t>
            </w:r>
          </w:p>
        </w:tc>
        <w:tc>
          <w:tcPr>
            <w:tcW w:w="704" w:type="dxa"/>
            <w:vAlign w:val="top"/>
          </w:tcPr>
          <w:p w14:paraId="1A9CAEB2">
            <w:pPr>
              <w:pStyle w:val="6"/>
              <w:spacing w:before="177" w:line="220" w:lineRule="auto"/>
              <w:ind w:left="119"/>
              <w:rPr>
                <w:sz w:val="23"/>
                <w:szCs w:val="23"/>
              </w:rPr>
            </w:pPr>
            <w:r>
              <w:rPr>
                <w:spacing w:val="-3"/>
                <w:sz w:val="23"/>
                <w:szCs w:val="23"/>
              </w:rPr>
              <w:t>达标</w:t>
            </w:r>
          </w:p>
        </w:tc>
      </w:tr>
      <w:tr w14:paraId="4713B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904" w:type="dxa"/>
            <w:vMerge w:val="continue"/>
            <w:tcBorders>
              <w:top w:val="nil"/>
              <w:bottom w:val="nil"/>
            </w:tcBorders>
            <w:vAlign w:val="top"/>
          </w:tcPr>
          <w:p w14:paraId="7769DF49">
            <w:pPr>
              <w:rPr>
                <w:rFonts w:ascii="Arial"/>
                <w:sz w:val="21"/>
              </w:rPr>
            </w:pPr>
          </w:p>
        </w:tc>
        <w:tc>
          <w:tcPr>
            <w:tcW w:w="300" w:type="dxa"/>
            <w:vAlign w:val="top"/>
          </w:tcPr>
          <w:p w14:paraId="1C49B90D">
            <w:pPr>
              <w:pStyle w:val="6"/>
              <w:spacing w:before="308"/>
              <w:ind w:left="81"/>
              <w:rPr>
                <w:sz w:val="23"/>
                <w:szCs w:val="23"/>
              </w:rPr>
            </w:pPr>
            <w:r>
              <w:rPr>
                <w:sz w:val="23"/>
                <w:szCs w:val="23"/>
              </w:rPr>
              <w:t>3</w:t>
            </w:r>
          </w:p>
        </w:tc>
        <w:tc>
          <w:tcPr>
            <w:tcW w:w="1189" w:type="dxa"/>
            <w:vAlign w:val="top"/>
          </w:tcPr>
          <w:p w14:paraId="6BD6B079">
            <w:pPr>
              <w:pStyle w:val="6"/>
              <w:spacing w:before="36" w:line="196" w:lineRule="auto"/>
              <w:ind w:left="11" w:firstLine="139"/>
              <w:jc w:val="both"/>
              <w:rPr>
                <w:sz w:val="23"/>
                <w:szCs w:val="23"/>
              </w:rPr>
            </w:pPr>
            <w:r>
              <w:rPr>
                <w:spacing w:val="-3"/>
                <w:sz w:val="23"/>
                <w:szCs w:val="23"/>
              </w:rPr>
              <w:t>23#大莫古</w:t>
            </w:r>
            <w:r>
              <w:rPr>
                <w:spacing w:val="1"/>
                <w:sz w:val="23"/>
                <w:szCs w:val="23"/>
              </w:rPr>
              <w:t xml:space="preserve"> </w:t>
            </w:r>
            <w:r>
              <w:rPr>
                <w:spacing w:val="2"/>
                <w:sz w:val="23"/>
                <w:szCs w:val="23"/>
              </w:rPr>
              <w:t>散户1(田间</w:t>
            </w:r>
            <w:r>
              <w:rPr>
                <w:spacing w:val="4"/>
                <w:sz w:val="23"/>
                <w:szCs w:val="23"/>
              </w:rPr>
              <w:t xml:space="preserve"> </w:t>
            </w:r>
            <w:r>
              <w:rPr>
                <w:spacing w:val="20"/>
                <w:sz w:val="23"/>
                <w:szCs w:val="23"/>
              </w:rPr>
              <w:t>农户看地)</w:t>
            </w:r>
          </w:p>
        </w:tc>
        <w:tc>
          <w:tcPr>
            <w:tcW w:w="1418" w:type="dxa"/>
            <w:vAlign w:val="top"/>
          </w:tcPr>
          <w:p w14:paraId="77686FDF">
            <w:pPr>
              <w:pStyle w:val="6"/>
              <w:spacing w:before="308"/>
              <w:ind w:left="521"/>
              <w:rPr>
                <w:sz w:val="23"/>
                <w:szCs w:val="23"/>
              </w:rPr>
            </w:pPr>
            <w:r>
              <w:rPr>
                <w:spacing w:val="-3"/>
                <w:sz w:val="23"/>
                <w:szCs w:val="23"/>
              </w:rPr>
              <w:t>60m</w:t>
            </w:r>
          </w:p>
        </w:tc>
        <w:tc>
          <w:tcPr>
            <w:tcW w:w="1249" w:type="dxa"/>
            <w:vAlign w:val="top"/>
          </w:tcPr>
          <w:p w14:paraId="321A7BE8">
            <w:pPr>
              <w:pStyle w:val="6"/>
              <w:spacing w:before="309" w:line="239" w:lineRule="auto"/>
              <w:ind w:left="324"/>
              <w:rPr>
                <w:sz w:val="23"/>
                <w:szCs w:val="23"/>
              </w:rPr>
            </w:pPr>
            <w:r>
              <w:rPr>
                <w:spacing w:val="-2"/>
                <w:sz w:val="23"/>
                <w:szCs w:val="23"/>
              </w:rPr>
              <w:t>29.44</w:t>
            </w:r>
          </w:p>
        </w:tc>
        <w:tc>
          <w:tcPr>
            <w:tcW w:w="869" w:type="dxa"/>
            <w:vAlign w:val="top"/>
          </w:tcPr>
          <w:p w14:paraId="15C5AFA8">
            <w:pPr>
              <w:pStyle w:val="6"/>
              <w:spacing w:before="308"/>
              <w:ind w:left="314"/>
              <w:rPr>
                <w:sz w:val="23"/>
                <w:szCs w:val="23"/>
              </w:rPr>
            </w:pPr>
            <w:r>
              <w:rPr>
                <w:spacing w:val="-4"/>
                <w:sz w:val="23"/>
                <w:szCs w:val="23"/>
              </w:rPr>
              <w:t>50</w:t>
            </w:r>
          </w:p>
        </w:tc>
        <w:tc>
          <w:tcPr>
            <w:tcW w:w="739" w:type="dxa"/>
            <w:vAlign w:val="top"/>
          </w:tcPr>
          <w:p w14:paraId="6FC77F76">
            <w:pPr>
              <w:pStyle w:val="6"/>
              <w:spacing w:before="309" w:line="239" w:lineRule="auto"/>
              <w:ind w:left="76"/>
              <w:rPr>
                <w:sz w:val="23"/>
                <w:szCs w:val="23"/>
              </w:rPr>
            </w:pPr>
            <w:r>
              <w:rPr>
                <w:spacing w:val="-3"/>
                <w:sz w:val="23"/>
                <w:szCs w:val="23"/>
              </w:rPr>
              <w:t>50.04</w:t>
            </w:r>
          </w:p>
        </w:tc>
        <w:tc>
          <w:tcPr>
            <w:tcW w:w="1169" w:type="dxa"/>
            <w:vAlign w:val="top"/>
          </w:tcPr>
          <w:p w14:paraId="66F6FEF0">
            <w:pPr>
              <w:pStyle w:val="6"/>
              <w:spacing w:before="309" w:line="239" w:lineRule="auto"/>
              <w:ind w:left="346"/>
              <w:rPr>
                <w:sz w:val="23"/>
                <w:szCs w:val="23"/>
              </w:rPr>
            </w:pPr>
            <w:r>
              <w:rPr>
                <w:spacing w:val="-3"/>
                <w:sz w:val="23"/>
                <w:szCs w:val="23"/>
              </w:rPr>
              <w:t>0.04</w:t>
            </w:r>
          </w:p>
        </w:tc>
        <w:tc>
          <w:tcPr>
            <w:tcW w:w="809" w:type="dxa"/>
            <w:vAlign w:val="top"/>
          </w:tcPr>
          <w:p w14:paraId="596061AC">
            <w:pPr>
              <w:pStyle w:val="6"/>
              <w:spacing w:before="308"/>
              <w:ind w:left="288"/>
              <w:rPr>
                <w:sz w:val="23"/>
                <w:szCs w:val="23"/>
              </w:rPr>
            </w:pPr>
            <w:r>
              <w:rPr>
                <w:spacing w:val="-4"/>
                <w:sz w:val="23"/>
                <w:szCs w:val="23"/>
              </w:rPr>
              <w:t>55</w:t>
            </w:r>
          </w:p>
        </w:tc>
        <w:tc>
          <w:tcPr>
            <w:tcW w:w="704" w:type="dxa"/>
            <w:vAlign w:val="top"/>
          </w:tcPr>
          <w:p w14:paraId="05C6B0AE">
            <w:pPr>
              <w:pStyle w:val="6"/>
              <w:spacing w:before="287" w:line="220" w:lineRule="auto"/>
              <w:ind w:left="119"/>
              <w:rPr>
                <w:sz w:val="23"/>
                <w:szCs w:val="23"/>
              </w:rPr>
            </w:pPr>
            <w:r>
              <w:rPr>
                <w:spacing w:val="-3"/>
                <w:sz w:val="23"/>
                <w:szCs w:val="23"/>
              </w:rPr>
              <w:t>达标</w:t>
            </w:r>
          </w:p>
        </w:tc>
      </w:tr>
      <w:tr w14:paraId="4379F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04" w:type="dxa"/>
            <w:vMerge w:val="continue"/>
            <w:tcBorders>
              <w:top w:val="nil"/>
              <w:bottom w:val="nil"/>
            </w:tcBorders>
            <w:vAlign w:val="top"/>
          </w:tcPr>
          <w:p w14:paraId="1154C3BF">
            <w:pPr>
              <w:rPr>
                <w:rFonts w:ascii="Arial"/>
                <w:sz w:val="21"/>
              </w:rPr>
            </w:pPr>
          </w:p>
        </w:tc>
        <w:tc>
          <w:tcPr>
            <w:tcW w:w="300" w:type="dxa"/>
            <w:vAlign w:val="top"/>
          </w:tcPr>
          <w:p w14:paraId="165EA666">
            <w:pPr>
              <w:pStyle w:val="6"/>
              <w:spacing w:before="180" w:line="241" w:lineRule="auto"/>
              <w:ind w:left="81"/>
              <w:rPr>
                <w:sz w:val="23"/>
                <w:szCs w:val="23"/>
              </w:rPr>
            </w:pPr>
            <w:r>
              <w:rPr>
                <w:sz w:val="23"/>
                <w:szCs w:val="23"/>
              </w:rPr>
              <w:t>4</w:t>
            </w:r>
          </w:p>
        </w:tc>
        <w:tc>
          <w:tcPr>
            <w:tcW w:w="1189" w:type="dxa"/>
            <w:vAlign w:val="top"/>
          </w:tcPr>
          <w:p w14:paraId="24EBEF67">
            <w:pPr>
              <w:pStyle w:val="6"/>
              <w:spacing w:before="38" w:line="193" w:lineRule="auto"/>
              <w:ind w:left="410" w:right="9" w:hanging="399"/>
              <w:rPr>
                <w:sz w:val="23"/>
                <w:szCs w:val="23"/>
              </w:rPr>
            </w:pPr>
            <w:r>
              <w:rPr>
                <w:spacing w:val="1"/>
                <w:sz w:val="23"/>
                <w:szCs w:val="23"/>
              </w:rPr>
              <w:t xml:space="preserve">3#栗树园散 </w:t>
            </w:r>
            <w:r>
              <w:rPr>
                <w:spacing w:val="-4"/>
                <w:sz w:val="23"/>
                <w:szCs w:val="23"/>
              </w:rPr>
              <w:t>户2</w:t>
            </w:r>
          </w:p>
        </w:tc>
        <w:tc>
          <w:tcPr>
            <w:tcW w:w="1418" w:type="dxa"/>
            <w:vAlign w:val="top"/>
          </w:tcPr>
          <w:p w14:paraId="2DC1A143">
            <w:pPr>
              <w:pStyle w:val="6"/>
              <w:spacing w:before="179"/>
              <w:ind w:left="521"/>
              <w:rPr>
                <w:sz w:val="23"/>
                <w:szCs w:val="23"/>
              </w:rPr>
            </w:pPr>
            <w:r>
              <w:rPr>
                <w:spacing w:val="-4"/>
                <w:sz w:val="23"/>
                <w:szCs w:val="23"/>
              </w:rPr>
              <w:t>33m</w:t>
            </w:r>
          </w:p>
        </w:tc>
        <w:tc>
          <w:tcPr>
            <w:tcW w:w="1249" w:type="dxa"/>
            <w:vAlign w:val="top"/>
          </w:tcPr>
          <w:p w14:paraId="74D70F6D">
            <w:pPr>
              <w:pStyle w:val="6"/>
              <w:spacing w:before="180" w:line="239" w:lineRule="auto"/>
              <w:ind w:left="324"/>
              <w:rPr>
                <w:sz w:val="23"/>
                <w:szCs w:val="23"/>
              </w:rPr>
            </w:pPr>
            <w:r>
              <w:rPr>
                <w:spacing w:val="-3"/>
                <w:sz w:val="23"/>
                <w:szCs w:val="23"/>
              </w:rPr>
              <w:t>34.64</w:t>
            </w:r>
          </w:p>
        </w:tc>
        <w:tc>
          <w:tcPr>
            <w:tcW w:w="869" w:type="dxa"/>
            <w:vAlign w:val="top"/>
          </w:tcPr>
          <w:p w14:paraId="592E7514">
            <w:pPr>
              <w:pStyle w:val="6"/>
              <w:spacing w:before="179"/>
              <w:ind w:left="314"/>
              <w:rPr>
                <w:sz w:val="23"/>
                <w:szCs w:val="23"/>
              </w:rPr>
            </w:pPr>
            <w:r>
              <w:rPr>
                <w:spacing w:val="-4"/>
                <w:sz w:val="23"/>
                <w:szCs w:val="23"/>
              </w:rPr>
              <w:t>50</w:t>
            </w:r>
          </w:p>
        </w:tc>
        <w:tc>
          <w:tcPr>
            <w:tcW w:w="739" w:type="dxa"/>
            <w:vAlign w:val="top"/>
          </w:tcPr>
          <w:p w14:paraId="6D8DE932">
            <w:pPr>
              <w:pStyle w:val="6"/>
              <w:spacing w:before="180" w:line="239" w:lineRule="auto"/>
              <w:ind w:left="76"/>
              <w:rPr>
                <w:sz w:val="23"/>
                <w:szCs w:val="23"/>
              </w:rPr>
            </w:pPr>
            <w:r>
              <w:rPr>
                <w:spacing w:val="-3"/>
                <w:sz w:val="23"/>
                <w:szCs w:val="23"/>
              </w:rPr>
              <w:t>50.12</w:t>
            </w:r>
          </w:p>
        </w:tc>
        <w:tc>
          <w:tcPr>
            <w:tcW w:w="1169" w:type="dxa"/>
            <w:vAlign w:val="top"/>
          </w:tcPr>
          <w:p w14:paraId="6C6D35B3">
            <w:pPr>
              <w:pStyle w:val="6"/>
              <w:spacing w:before="180" w:line="239" w:lineRule="auto"/>
              <w:ind w:left="346"/>
              <w:rPr>
                <w:sz w:val="23"/>
                <w:szCs w:val="23"/>
              </w:rPr>
            </w:pPr>
            <w:r>
              <w:rPr>
                <w:spacing w:val="-3"/>
                <w:sz w:val="23"/>
                <w:szCs w:val="23"/>
              </w:rPr>
              <w:t>0.12</w:t>
            </w:r>
          </w:p>
        </w:tc>
        <w:tc>
          <w:tcPr>
            <w:tcW w:w="809" w:type="dxa"/>
            <w:vAlign w:val="top"/>
          </w:tcPr>
          <w:p w14:paraId="0534EB05">
            <w:pPr>
              <w:pStyle w:val="6"/>
              <w:spacing w:before="179"/>
              <w:ind w:left="288"/>
              <w:rPr>
                <w:sz w:val="23"/>
                <w:szCs w:val="23"/>
              </w:rPr>
            </w:pPr>
            <w:r>
              <w:rPr>
                <w:spacing w:val="-4"/>
                <w:sz w:val="23"/>
                <w:szCs w:val="23"/>
              </w:rPr>
              <w:t>55</w:t>
            </w:r>
          </w:p>
        </w:tc>
        <w:tc>
          <w:tcPr>
            <w:tcW w:w="704" w:type="dxa"/>
            <w:vAlign w:val="top"/>
          </w:tcPr>
          <w:p w14:paraId="613BB1AA">
            <w:pPr>
              <w:pStyle w:val="6"/>
              <w:spacing w:before="158" w:line="220" w:lineRule="auto"/>
              <w:ind w:left="119"/>
              <w:rPr>
                <w:sz w:val="23"/>
                <w:szCs w:val="23"/>
              </w:rPr>
            </w:pPr>
            <w:r>
              <w:rPr>
                <w:spacing w:val="-3"/>
                <w:sz w:val="23"/>
                <w:szCs w:val="23"/>
              </w:rPr>
              <w:t>达标</w:t>
            </w:r>
          </w:p>
        </w:tc>
      </w:tr>
      <w:tr w14:paraId="65769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3" w:hRule="atLeast"/>
        </w:trPr>
        <w:tc>
          <w:tcPr>
            <w:tcW w:w="904" w:type="dxa"/>
            <w:vMerge w:val="continue"/>
            <w:tcBorders>
              <w:top w:val="nil"/>
            </w:tcBorders>
            <w:vAlign w:val="top"/>
          </w:tcPr>
          <w:p w14:paraId="74EF4491">
            <w:pPr>
              <w:rPr>
                <w:rFonts w:ascii="Arial"/>
                <w:sz w:val="21"/>
              </w:rPr>
            </w:pPr>
          </w:p>
        </w:tc>
        <w:tc>
          <w:tcPr>
            <w:tcW w:w="8446" w:type="dxa"/>
            <w:gridSpan w:val="9"/>
            <w:vAlign w:val="top"/>
          </w:tcPr>
          <w:p w14:paraId="2CC461B9">
            <w:pPr>
              <w:pStyle w:val="6"/>
              <w:spacing w:before="66" w:line="374" w:lineRule="auto"/>
              <w:ind w:left="81" w:right="723" w:firstLine="469"/>
              <w:rPr>
                <w:sz w:val="23"/>
                <w:szCs w:val="23"/>
              </w:rPr>
            </w:pPr>
            <w:r>
              <w:rPr>
                <w:spacing w:val="1"/>
                <w:sz w:val="23"/>
                <w:szCs w:val="23"/>
              </w:rPr>
              <w:t>根据项目箱式变压器对15#大地村散户5(田间农户看地)、2#</w:t>
            </w:r>
            <w:r>
              <w:rPr>
                <w:sz w:val="23"/>
                <w:szCs w:val="23"/>
              </w:rPr>
              <w:t>栗树园散户 1、23#大莫古散户1(田间农户看地)、3#栗树园散户2的昼(夜)间噪声贡献</w:t>
            </w:r>
          </w:p>
          <w:p w14:paraId="6752C018">
            <w:pPr>
              <w:pStyle w:val="6"/>
              <w:spacing w:line="219" w:lineRule="auto"/>
              <w:ind w:left="81"/>
              <w:rPr>
                <w:sz w:val="23"/>
                <w:szCs w:val="23"/>
              </w:rPr>
            </w:pPr>
            <w:r>
              <w:rPr>
                <w:sz w:val="23"/>
                <w:szCs w:val="23"/>
              </w:rPr>
              <w:t>值、预测值均可达到《声环境质量标准》(GB3096-2008)1类区</w:t>
            </w:r>
            <w:r>
              <w:rPr>
                <w:spacing w:val="-1"/>
                <w:sz w:val="23"/>
                <w:szCs w:val="23"/>
              </w:rPr>
              <w:t>的要求。</w:t>
            </w:r>
          </w:p>
          <w:p w14:paraId="2404AEA1">
            <w:pPr>
              <w:pStyle w:val="6"/>
              <w:spacing w:before="197" w:line="351" w:lineRule="auto"/>
              <w:ind w:left="71" w:right="284" w:firstLine="479"/>
              <w:rPr>
                <w:sz w:val="23"/>
                <w:szCs w:val="23"/>
              </w:rPr>
            </w:pPr>
            <w:r>
              <w:rPr>
                <w:sz w:val="23"/>
                <w:szCs w:val="23"/>
              </w:rPr>
              <w:t>综上所述，通过采取措施后，项目箱变及逆变器运营过程中对周边的声环境</w:t>
            </w:r>
            <w:r>
              <w:rPr>
                <w:spacing w:val="9"/>
                <w:sz w:val="23"/>
                <w:szCs w:val="23"/>
              </w:rPr>
              <w:t xml:space="preserve"> </w:t>
            </w:r>
            <w:r>
              <w:rPr>
                <w:spacing w:val="-1"/>
                <w:sz w:val="23"/>
                <w:szCs w:val="23"/>
              </w:rPr>
              <w:t>影响可接受。</w:t>
            </w:r>
          </w:p>
        </w:tc>
      </w:tr>
    </w:tbl>
    <w:p w14:paraId="314FEB66">
      <w:pPr>
        <w:pStyle w:val="2"/>
      </w:pPr>
    </w:p>
    <w:p w14:paraId="2DC5A478">
      <w:pPr>
        <w:sectPr>
          <w:footerReference r:id="rId169" w:type="default"/>
          <w:pgSz w:w="11910" w:h="16830"/>
          <w:pgMar w:top="400" w:right="1254" w:bottom="1245" w:left="1294" w:header="0" w:footer="1083" w:gutter="0"/>
          <w:cols w:space="720" w:num="1"/>
        </w:sectPr>
      </w:pPr>
    </w:p>
    <w:p w14:paraId="420A3DA2">
      <w:pPr>
        <w:spacing w:before="18"/>
      </w:pPr>
    </w:p>
    <w:p w14:paraId="6FE6DE54">
      <w:pPr>
        <w:spacing w:before="17"/>
      </w:pPr>
    </w:p>
    <w:p w14:paraId="2CE4D455">
      <w:pPr>
        <w:spacing w:before="17"/>
      </w:pPr>
    </w:p>
    <w:p w14:paraId="20FF6521">
      <w:pPr>
        <w:spacing w:before="17"/>
      </w:pPr>
    </w:p>
    <w:tbl>
      <w:tblPr>
        <w:tblStyle w:val="5"/>
        <w:tblW w:w="941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8532"/>
      </w:tblGrid>
      <w:tr w14:paraId="05348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50" w:hRule="atLeast"/>
        </w:trPr>
        <w:tc>
          <w:tcPr>
            <w:tcW w:w="884" w:type="dxa"/>
            <w:vAlign w:val="top"/>
          </w:tcPr>
          <w:p w14:paraId="75FD0EA8">
            <w:pPr>
              <w:rPr>
                <w:rFonts w:ascii="Arial"/>
                <w:sz w:val="21"/>
              </w:rPr>
            </w:pPr>
          </w:p>
        </w:tc>
        <w:tc>
          <w:tcPr>
            <w:tcW w:w="8532" w:type="dxa"/>
            <w:vAlign w:val="top"/>
          </w:tcPr>
          <w:p w14:paraId="447B5F8C">
            <w:pPr>
              <w:pStyle w:val="6"/>
              <w:spacing w:before="75" w:line="347" w:lineRule="auto"/>
              <w:ind w:left="111" w:right="39" w:firstLine="469"/>
              <w:rPr>
                <w:sz w:val="25"/>
                <w:szCs w:val="25"/>
              </w:rPr>
            </w:pPr>
            <w:r>
              <w:rPr>
                <w:spacing w:val="-2"/>
                <w:sz w:val="25"/>
                <w:szCs w:val="25"/>
              </w:rPr>
              <w:t>光伏厂界达标要求：1#-7#、9#-10#、12#-</w:t>
            </w:r>
            <w:r>
              <w:rPr>
                <w:spacing w:val="-3"/>
                <w:sz w:val="25"/>
                <w:szCs w:val="25"/>
              </w:rPr>
              <w:t>24#方阵逆变器设置距离厂界6m</w:t>
            </w:r>
            <w:r>
              <w:rPr>
                <w:sz w:val="25"/>
                <w:szCs w:val="25"/>
              </w:rPr>
              <w:t xml:space="preserve"> 以上，可以满足厂界噪声昼夜满足《工业企业厂界环境噪</w:t>
            </w:r>
            <w:r>
              <w:rPr>
                <w:spacing w:val="-1"/>
                <w:sz w:val="25"/>
                <w:szCs w:val="25"/>
              </w:rPr>
              <w:t>声排放标准》</w:t>
            </w:r>
          </w:p>
          <w:p w14:paraId="06F7F628">
            <w:pPr>
              <w:pStyle w:val="6"/>
              <w:spacing w:before="1" w:line="345" w:lineRule="auto"/>
              <w:ind w:left="91" w:right="56" w:firstLine="119"/>
              <w:rPr>
                <w:sz w:val="25"/>
                <w:szCs w:val="25"/>
              </w:rPr>
            </w:pPr>
            <w:r>
              <w:rPr>
                <w:spacing w:val="1"/>
                <w:sz w:val="25"/>
                <w:szCs w:val="25"/>
              </w:rPr>
              <w:t>(</w:t>
            </w:r>
            <w:r>
              <w:rPr>
                <w:sz w:val="25"/>
                <w:szCs w:val="25"/>
              </w:rPr>
              <w:t>GB</w:t>
            </w:r>
            <w:r>
              <w:rPr>
                <w:spacing w:val="1"/>
                <w:sz w:val="25"/>
                <w:szCs w:val="25"/>
              </w:rPr>
              <w:t>12348-2008)1类标准。8#和1</w:t>
            </w:r>
            <w:r>
              <w:rPr>
                <w:sz w:val="25"/>
                <w:szCs w:val="25"/>
              </w:rPr>
              <w:t xml:space="preserve">1#方阵逆变器设置距离厂界2m以上，可以   </w:t>
            </w:r>
            <w:r>
              <w:rPr>
                <w:spacing w:val="2"/>
                <w:sz w:val="25"/>
                <w:szCs w:val="25"/>
              </w:rPr>
              <w:t>满足厂界噪声昼夜满足《工业企业厂界环境噪声排放标准》</w:t>
            </w:r>
            <w:r>
              <w:rPr>
                <w:spacing w:val="1"/>
                <w:sz w:val="25"/>
                <w:szCs w:val="25"/>
              </w:rPr>
              <w:t>(</w:t>
            </w:r>
            <w:r>
              <w:rPr>
                <w:sz w:val="25"/>
                <w:szCs w:val="25"/>
              </w:rPr>
              <w:t>GB</w:t>
            </w:r>
            <w:r>
              <w:rPr>
                <w:spacing w:val="1"/>
                <w:sz w:val="25"/>
                <w:szCs w:val="25"/>
              </w:rPr>
              <w:t>12348-2008)</w:t>
            </w:r>
            <w:r>
              <w:rPr>
                <w:sz w:val="25"/>
                <w:szCs w:val="25"/>
              </w:rPr>
              <w:t xml:space="preserve"> 4a类标准。1#-7#、9#-10#、12#-24#方阵箱式变压器设置距离厂界10m以</w:t>
            </w:r>
            <w:r>
              <w:rPr>
                <w:spacing w:val="-1"/>
                <w:sz w:val="25"/>
                <w:szCs w:val="25"/>
              </w:rPr>
              <w:t>上，</w:t>
            </w:r>
            <w:r>
              <w:rPr>
                <w:sz w:val="25"/>
                <w:szCs w:val="25"/>
              </w:rPr>
              <w:t xml:space="preserve"> 可以满足厂界噪声昼夜满足《工业企业厂界环境噪声排放标准》</w:t>
            </w:r>
          </w:p>
          <w:p w14:paraId="2C12DB6A">
            <w:pPr>
              <w:pStyle w:val="6"/>
              <w:spacing w:before="2" w:line="341" w:lineRule="auto"/>
              <w:ind w:left="111" w:right="306" w:firstLine="109"/>
              <w:rPr>
                <w:sz w:val="25"/>
                <w:szCs w:val="25"/>
              </w:rPr>
            </w:pPr>
            <w:r>
              <w:rPr>
                <w:sz w:val="25"/>
                <w:szCs w:val="25"/>
              </w:rPr>
              <w:t>(GB12348-2008)1类标准。8#和11#方阵箱式变压器设置距离</w:t>
            </w:r>
            <w:r>
              <w:rPr>
                <w:spacing w:val="-1"/>
                <w:sz w:val="25"/>
                <w:szCs w:val="25"/>
              </w:rPr>
              <w:t>厂界4m以上，</w:t>
            </w:r>
            <w:r>
              <w:rPr>
                <w:sz w:val="25"/>
                <w:szCs w:val="25"/>
              </w:rPr>
              <w:t xml:space="preserve"> </w:t>
            </w:r>
            <w:r>
              <w:rPr>
                <w:spacing w:val="-1"/>
                <w:sz w:val="25"/>
                <w:szCs w:val="25"/>
              </w:rPr>
              <w:t>可以满足厂界噪声昼夜满足《工业企业厂界环境噪声排放标准》</w:t>
            </w:r>
          </w:p>
          <w:p w14:paraId="74F8D697">
            <w:pPr>
              <w:pStyle w:val="6"/>
              <w:spacing w:before="14" w:line="219" w:lineRule="auto"/>
              <w:ind w:left="221"/>
              <w:rPr>
                <w:sz w:val="25"/>
                <w:szCs w:val="25"/>
              </w:rPr>
            </w:pPr>
            <w:r>
              <w:rPr>
                <w:spacing w:val="-1"/>
                <w:sz w:val="25"/>
                <w:szCs w:val="25"/>
              </w:rPr>
              <w:t>(GB12348-2008)4a类标准。</w:t>
            </w:r>
          </w:p>
          <w:p w14:paraId="6CE13759">
            <w:pPr>
              <w:pStyle w:val="6"/>
              <w:spacing w:before="320" w:line="220" w:lineRule="auto"/>
              <w:ind w:left="84"/>
              <w:rPr>
                <w:sz w:val="25"/>
                <w:szCs w:val="25"/>
              </w:rPr>
            </w:pPr>
            <w:r>
              <w:rPr>
                <w:b/>
                <w:bCs/>
                <w:spacing w:val="-4"/>
                <w:sz w:val="25"/>
                <w:szCs w:val="25"/>
              </w:rPr>
              <w:t>5.3升压站对声环境的影响分析</w:t>
            </w:r>
          </w:p>
          <w:p w14:paraId="50917DFD">
            <w:pPr>
              <w:pStyle w:val="6"/>
              <w:spacing w:before="163" w:line="347" w:lineRule="auto"/>
              <w:ind w:left="121" w:right="66" w:firstLine="469"/>
              <w:rPr>
                <w:sz w:val="25"/>
                <w:szCs w:val="25"/>
              </w:rPr>
            </w:pPr>
            <w:r>
              <w:rPr>
                <w:sz w:val="25"/>
                <w:szCs w:val="25"/>
              </w:rPr>
              <w:t>本项目新建一座110kV升压站，根据项目建设</w:t>
            </w:r>
            <w:r>
              <w:rPr>
                <w:spacing w:val="-1"/>
                <w:sz w:val="25"/>
                <w:szCs w:val="25"/>
              </w:rPr>
              <w:t>内容及《环境影响评价技术</w:t>
            </w:r>
            <w:r>
              <w:rPr>
                <w:sz w:val="25"/>
                <w:szCs w:val="25"/>
              </w:rPr>
              <w:t xml:space="preserve"> 导则声环境》(HJ2.4-2021)的要求，项目声环境预测采用的模型为《环境</w:t>
            </w:r>
          </w:p>
          <w:p w14:paraId="602F87EA">
            <w:pPr>
              <w:pStyle w:val="6"/>
              <w:spacing w:before="1" w:line="217" w:lineRule="auto"/>
              <w:ind w:left="111"/>
              <w:rPr>
                <w:sz w:val="25"/>
                <w:szCs w:val="25"/>
              </w:rPr>
            </w:pPr>
            <w:r>
              <w:rPr>
                <w:sz w:val="25"/>
                <w:szCs w:val="25"/>
              </w:rPr>
              <w:t>影响评价技术导则声环境》(HJ2.4-2021)附录A(</w:t>
            </w:r>
            <w:r>
              <w:rPr>
                <w:spacing w:val="-1"/>
                <w:sz w:val="25"/>
                <w:szCs w:val="25"/>
              </w:rPr>
              <w:t>规范性附录)户外声传播</w:t>
            </w:r>
          </w:p>
          <w:p w14:paraId="5F24FE72">
            <w:pPr>
              <w:pStyle w:val="6"/>
              <w:spacing w:before="177" w:line="347" w:lineRule="auto"/>
              <w:ind w:left="111"/>
              <w:rPr>
                <w:sz w:val="25"/>
                <w:szCs w:val="25"/>
              </w:rPr>
            </w:pPr>
            <w:r>
              <w:rPr>
                <w:spacing w:val="-2"/>
                <w:sz w:val="25"/>
                <w:szCs w:val="25"/>
              </w:rPr>
              <w:t>的衰减和附录B(规范性附录)中“B.1工业噪声预测计算模型”。根据项目主</w:t>
            </w:r>
            <w:r>
              <w:rPr>
                <w:spacing w:val="1"/>
                <w:sz w:val="25"/>
                <w:szCs w:val="25"/>
              </w:rPr>
              <w:t xml:space="preserve">  </w:t>
            </w:r>
            <w:r>
              <w:rPr>
                <w:spacing w:val="-3"/>
                <w:sz w:val="25"/>
                <w:szCs w:val="25"/>
              </w:rPr>
              <w:t>要设备结构特点及作业环境条件，对声环境影响采用点源衰减模式进行预测，</w:t>
            </w:r>
            <w:r>
              <w:rPr>
                <w:spacing w:val="11"/>
                <w:sz w:val="25"/>
                <w:szCs w:val="25"/>
              </w:rPr>
              <w:t xml:space="preserve"> </w:t>
            </w:r>
            <w:r>
              <w:rPr>
                <w:spacing w:val="-3"/>
                <w:sz w:val="25"/>
                <w:szCs w:val="25"/>
              </w:rPr>
              <w:t>预测只计算声源至受声点的几何发散衰减。</w:t>
            </w:r>
          </w:p>
          <w:p w14:paraId="28717A96">
            <w:pPr>
              <w:pStyle w:val="6"/>
              <w:spacing w:line="219" w:lineRule="auto"/>
              <w:ind w:left="710"/>
              <w:rPr>
                <w:sz w:val="25"/>
                <w:szCs w:val="25"/>
              </w:rPr>
            </w:pPr>
            <w:r>
              <w:rPr>
                <w:sz w:val="25"/>
                <w:szCs w:val="25"/>
              </w:rPr>
              <w:t>(1)预测因子及执行标准</w:t>
            </w:r>
          </w:p>
          <w:p w14:paraId="0D2672AB">
            <w:pPr>
              <w:pStyle w:val="6"/>
              <w:spacing w:before="177" w:line="214" w:lineRule="auto"/>
              <w:ind w:left="591"/>
              <w:rPr>
                <w:sz w:val="25"/>
                <w:szCs w:val="25"/>
              </w:rPr>
            </w:pPr>
            <w:r>
              <w:rPr>
                <w:spacing w:val="4"/>
                <w:sz w:val="25"/>
                <w:szCs w:val="25"/>
              </w:rPr>
              <w:t>预测因子：</w:t>
            </w:r>
            <w:r>
              <w:rPr>
                <w:sz w:val="25"/>
                <w:szCs w:val="25"/>
              </w:rPr>
              <w:t>Leq</w:t>
            </w:r>
            <w:r>
              <w:rPr>
                <w:spacing w:val="4"/>
                <w:sz w:val="25"/>
                <w:szCs w:val="25"/>
              </w:rPr>
              <w:t>[</w:t>
            </w:r>
            <w:r>
              <w:rPr>
                <w:sz w:val="25"/>
                <w:szCs w:val="25"/>
              </w:rPr>
              <w:t>dB</w:t>
            </w:r>
            <w:r>
              <w:rPr>
                <w:spacing w:val="4"/>
                <w:sz w:val="25"/>
                <w:szCs w:val="25"/>
              </w:rPr>
              <w:t>(A)]</w:t>
            </w:r>
          </w:p>
          <w:p w14:paraId="1D27A89B">
            <w:pPr>
              <w:pStyle w:val="6"/>
              <w:spacing w:before="167" w:line="349" w:lineRule="auto"/>
              <w:ind w:left="111" w:firstLine="455"/>
              <w:rPr>
                <w:sz w:val="25"/>
                <w:szCs w:val="25"/>
              </w:rPr>
            </w:pPr>
            <w:r>
              <w:rPr>
                <w:spacing w:val="-4"/>
                <w:sz w:val="25"/>
                <w:szCs w:val="25"/>
              </w:rPr>
              <w:t>执行标准：升压站场界执行GB12348-2008《工业企业厂</w:t>
            </w:r>
            <w:r>
              <w:rPr>
                <w:spacing w:val="-5"/>
                <w:sz w:val="25"/>
                <w:szCs w:val="25"/>
              </w:rPr>
              <w:t>界环境噪声排放标</w:t>
            </w:r>
            <w:r>
              <w:rPr>
                <w:sz w:val="25"/>
                <w:szCs w:val="25"/>
              </w:rPr>
              <w:t xml:space="preserve">  </w:t>
            </w:r>
            <w:r>
              <w:rPr>
                <w:spacing w:val="-5"/>
                <w:sz w:val="25"/>
                <w:szCs w:val="25"/>
              </w:rPr>
              <w:t>准》1类标准；声环境保护目标执行GB3096-2008《声环</w:t>
            </w:r>
            <w:r>
              <w:rPr>
                <w:spacing w:val="-6"/>
                <w:sz w:val="25"/>
                <w:szCs w:val="25"/>
              </w:rPr>
              <w:t>境质量标准》1类标准。</w:t>
            </w:r>
          </w:p>
          <w:p w14:paraId="5F634357">
            <w:pPr>
              <w:pStyle w:val="6"/>
              <w:spacing w:before="15" w:line="220" w:lineRule="auto"/>
              <w:ind w:left="710"/>
              <w:rPr>
                <w:sz w:val="25"/>
                <w:szCs w:val="25"/>
              </w:rPr>
            </w:pPr>
            <w:r>
              <w:rPr>
                <w:sz w:val="25"/>
                <w:szCs w:val="25"/>
              </w:rPr>
              <w:t>(2)预测时段</w:t>
            </w:r>
          </w:p>
          <w:p w14:paraId="50C9D984">
            <w:pPr>
              <w:pStyle w:val="6"/>
              <w:spacing w:before="151" w:line="344" w:lineRule="auto"/>
              <w:ind w:left="101" w:firstLine="479"/>
              <w:rPr>
                <w:sz w:val="25"/>
                <w:szCs w:val="25"/>
              </w:rPr>
            </w:pPr>
            <w:r>
              <w:rPr>
                <w:spacing w:val="-14"/>
                <w:sz w:val="25"/>
                <w:szCs w:val="25"/>
              </w:rPr>
              <w:t>根据升压站工作制度，针对昼间、夜间两个时段进行预测。根据(HJ2.4-2021)</w:t>
            </w:r>
            <w:r>
              <w:rPr>
                <w:sz w:val="25"/>
                <w:szCs w:val="25"/>
              </w:rPr>
              <w:t xml:space="preserve"> </w:t>
            </w:r>
            <w:r>
              <w:rPr>
                <w:spacing w:val="-4"/>
                <w:sz w:val="25"/>
                <w:szCs w:val="25"/>
              </w:rPr>
              <w:t>《环境影响评价技术导则</w:t>
            </w:r>
            <w:r>
              <w:rPr>
                <w:spacing w:val="35"/>
                <w:sz w:val="25"/>
                <w:szCs w:val="25"/>
              </w:rPr>
              <w:t xml:space="preserve"> </w:t>
            </w:r>
            <w:r>
              <w:rPr>
                <w:spacing w:val="-4"/>
                <w:sz w:val="25"/>
                <w:szCs w:val="25"/>
              </w:rPr>
              <w:t>声环境》“8.5.1预</w:t>
            </w:r>
            <w:r>
              <w:rPr>
                <w:spacing w:val="-5"/>
                <w:sz w:val="25"/>
                <w:szCs w:val="25"/>
              </w:rPr>
              <w:t>测建设项目在施工期和运营期所</w:t>
            </w:r>
            <w:r>
              <w:rPr>
                <w:sz w:val="25"/>
                <w:szCs w:val="25"/>
              </w:rPr>
              <w:t xml:space="preserve"> </w:t>
            </w:r>
            <w:r>
              <w:rPr>
                <w:spacing w:val="-7"/>
                <w:sz w:val="25"/>
                <w:szCs w:val="25"/>
              </w:rPr>
              <w:t>有声环境保护目标处的噪声贡献值和预测值，评价其超标和达标情况；8.5.2预</w:t>
            </w:r>
            <w:r>
              <w:rPr>
                <w:spacing w:val="13"/>
                <w:sz w:val="25"/>
                <w:szCs w:val="25"/>
              </w:rPr>
              <w:t xml:space="preserve"> </w:t>
            </w:r>
            <w:r>
              <w:rPr>
                <w:spacing w:val="-3"/>
                <w:sz w:val="25"/>
                <w:szCs w:val="25"/>
              </w:rPr>
              <w:t>测和评价建设项目在施工期和运营期厂界(</w:t>
            </w:r>
            <w:r>
              <w:rPr>
                <w:spacing w:val="-4"/>
                <w:sz w:val="25"/>
                <w:szCs w:val="25"/>
              </w:rPr>
              <w:t>场界、边界)噪声贡献值，评价其超</w:t>
            </w:r>
            <w:r>
              <w:rPr>
                <w:sz w:val="25"/>
                <w:szCs w:val="25"/>
              </w:rPr>
              <w:t xml:space="preserve"> </w:t>
            </w:r>
            <w:r>
              <w:rPr>
                <w:spacing w:val="-1"/>
                <w:sz w:val="25"/>
                <w:szCs w:val="25"/>
              </w:rPr>
              <w:t>标和达标情况”。故本项目升压站场界噪声仅对贡献值进行预测。</w:t>
            </w:r>
          </w:p>
          <w:p w14:paraId="25B9AAD7">
            <w:pPr>
              <w:pStyle w:val="6"/>
              <w:spacing w:before="22" w:line="220" w:lineRule="auto"/>
              <w:ind w:left="710"/>
              <w:rPr>
                <w:sz w:val="25"/>
                <w:szCs w:val="25"/>
              </w:rPr>
            </w:pPr>
            <w:r>
              <w:rPr>
                <w:sz w:val="25"/>
                <w:szCs w:val="25"/>
              </w:rPr>
              <w:t>(3)噪声源</w:t>
            </w:r>
          </w:p>
          <w:p w14:paraId="5AAFA733">
            <w:pPr>
              <w:pStyle w:val="6"/>
              <w:spacing w:before="138" w:line="328" w:lineRule="auto"/>
              <w:ind w:left="91" w:right="208" w:firstLine="590"/>
              <w:rPr>
                <w:sz w:val="25"/>
                <w:szCs w:val="25"/>
              </w:rPr>
            </w:pPr>
            <w:r>
              <w:rPr>
                <w:sz w:val="25"/>
                <w:szCs w:val="25"/>
              </w:rPr>
              <w:t>取最不利条件下(即运行期主要产噪设备同时运行时),预测噪声源对升</w:t>
            </w:r>
            <w:r>
              <w:rPr>
                <w:spacing w:val="6"/>
                <w:sz w:val="25"/>
                <w:szCs w:val="25"/>
              </w:rPr>
              <w:t xml:space="preserve"> </w:t>
            </w:r>
            <w:r>
              <w:rPr>
                <w:spacing w:val="-1"/>
                <w:sz w:val="25"/>
                <w:szCs w:val="25"/>
              </w:rPr>
              <w:t>压站场界的影响。</w:t>
            </w:r>
          </w:p>
        </w:tc>
      </w:tr>
    </w:tbl>
    <w:p w14:paraId="66C9EBAF">
      <w:pPr>
        <w:pStyle w:val="2"/>
      </w:pPr>
    </w:p>
    <w:p w14:paraId="101083F9">
      <w:pPr>
        <w:sectPr>
          <w:footerReference r:id="rId170" w:type="default"/>
          <w:pgSz w:w="11910" w:h="16830"/>
          <w:pgMar w:top="400" w:right="1238" w:bottom="1245" w:left="1244" w:header="0" w:footer="1083" w:gutter="0"/>
          <w:cols w:space="720" w:num="1"/>
        </w:sectPr>
      </w:pPr>
    </w:p>
    <w:p w14:paraId="0144FD7B">
      <w:pPr>
        <w:spacing w:before="18"/>
      </w:pPr>
    </w:p>
    <w:p w14:paraId="14B5150F">
      <w:pPr>
        <w:spacing w:before="17"/>
      </w:pPr>
    </w:p>
    <w:p w14:paraId="0A559199">
      <w:pPr>
        <w:spacing w:before="17"/>
      </w:pPr>
    </w:p>
    <w:p w14:paraId="500E18D8">
      <w:pPr>
        <w:spacing w:before="17"/>
      </w:pPr>
    </w:p>
    <w:tbl>
      <w:tblPr>
        <w:tblStyle w:val="5"/>
        <w:tblW w:w="92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4"/>
        <w:gridCol w:w="2797"/>
        <w:gridCol w:w="1039"/>
        <w:gridCol w:w="879"/>
        <w:gridCol w:w="859"/>
        <w:gridCol w:w="959"/>
        <w:gridCol w:w="939"/>
        <w:gridCol w:w="864"/>
      </w:tblGrid>
      <w:tr w14:paraId="5BAF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3" w:hRule="atLeast"/>
        </w:trPr>
        <w:tc>
          <w:tcPr>
            <w:tcW w:w="914" w:type="dxa"/>
            <w:vMerge w:val="restart"/>
            <w:tcBorders>
              <w:bottom w:val="nil"/>
            </w:tcBorders>
            <w:vAlign w:val="top"/>
          </w:tcPr>
          <w:p w14:paraId="434CCF72">
            <w:pPr>
              <w:rPr>
                <w:rFonts w:ascii="Arial"/>
                <w:sz w:val="21"/>
              </w:rPr>
            </w:pPr>
          </w:p>
        </w:tc>
        <w:tc>
          <w:tcPr>
            <w:tcW w:w="8336" w:type="dxa"/>
            <w:gridSpan w:val="7"/>
            <w:vAlign w:val="top"/>
          </w:tcPr>
          <w:p w14:paraId="37D13C7B">
            <w:pPr>
              <w:pStyle w:val="6"/>
              <w:spacing w:before="15" w:line="221" w:lineRule="auto"/>
              <w:ind w:left="660"/>
            </w:pPr>
            <w:r>
              <w:rPr>
                <w:spacing w:val="-15"/>
              </w:rPr>
              <w:t>(</w:t>
            </w:r>
            <w:r>
              <w:rPr>
                <w:spacing w:val="-36"/>
              </w:rPr>
              <w:t xml:space="preserve"> </w:t>
            </w:r>
            <w:r>
              <w:rPr>
                <w:spacing w:val="-15"/>
              </w:rPr>
              <w:t>4</w:t>
            </w:r>
            <w:r>
              <w:rPr>
                <w:spacing w:val="-37"/>
              </w:rPr>
              <w:t xml:space="preserve"> </w:t>
            </w:r>
            <w:r>
              <w:rPr>
                <w:spacing w:val="-15"/>
              </w:rPr>
              <w:t>)</w:t>
            </w:r>
            <w:r>
              <w:rPr>
                <w:spacing w:val="-38"/>
              </w:rPr>
              <w:t xml:space="preserve"> </w:t>
            </w:r>
            <w:r>
              <w:rPr>
                <w:spacing w:val="-15"/>
              </w:rPr>
              <w:t>接</w:t>
            </w:r>
            <w:r>
              <w:rPr>
                <w:spacing w:val="-34"/>
              </w:rPr>
              <w:t xml:space="preserve"> </w:t>
            </w:r>
            <w:r>
              <w:rPr>
                <w:spacing w:val="-15"/>
              </w:rPr>
              <w:t>受</w:t>
            </w:r>
            <w:r>
              <w:rPr>
                <w:spacing w:val="-27"/>
              </w:rPr>
              <w:t xml:space="preserve"> </w:t>
            </w:r>
            <w:r>
              <w:rPr>
                <w:spacing w:val="-15"/>
              </w:rPr>
              <w:t>点</w:t>
            </w:r>
          </w:p>
          <w:p w14:paraId="78E78570">
            <w:pPr>
              <w:pStyle w:val="6"/>
              <w:spacing w:before="204" w:line="395" w:lineRule="auto"/>
              <w:ind w:left="61" w:right="683" w:firstLine="419"/>
            </w:pPr>
            <w:r>
              <w:t>项目升压站生产区东、南、西、各北场界(预测点均布置在距离设备噪声最</w:t>
            </w:r>
            <w:r>
              <w:rPr>
                <w:spacing w:val="10"/>
              </w:rPr>
              <w:t xml:space="preserve"> </w:t>
            </w:r>
            <w:r>
              <w:rPr>
                <w:spacing w:val="-9"/>
              </w:rPr>
              <w:t>近</w:t>
            </w:r>
            <w:r>
              <w:rPr>
                <w:spacing w:val="-50"/>
              </w:rPr>
              <w:t xml:space="preserve"> </w:t>
            </w:r>
            <w:r>
              <w:rPr>
                <w:spacing w:val="-9"/>
              </w:rPr>
              <w:t>场</w:t>
            </w:r>
            <w:r>
              <w:rPr>
                <w:spacing w:val="-44"/>
              </w:rPr>
              <w:t xml:space="preserve"> </w:t>
            </w:r>
            <w:r>
              <w:rPr>
                <w:spacing w:val="-9"/>
              </w:rPr>
              <w:t>界</w:t>
            </w:r>
            <w:r>
              <w:rPr>
                <w:spacing w:val="-45"/>
              </w:rPr>
              <w:t xml:space="preserve"> </w:t>
            </w:r>
            <w:r>
              <w:rPr>
                <w:spacing w:val="-9"/>
              </w:rPr>
              <w:t>处</w:t>
            </w:r>
            <w:r>
              <w:rPr>
                <w:spacing w:val="-49"/>
              </w:rPr>
              <w:t xml:space="preserve"> </w:t>
            </w:r>
            <w:r>
              <w:rPr>
                <w:spacing w:val="-9"/>
              </w:rPr>
              <w:t>)</w:t>
            </w:r>
            <w:r>
              <w:rPr>
                <w:spacing w:val="-58"/>
              </w:rPr>
              <w:t xml:space="preserve"> </w:t>
            </w:r>
            <w:r>
              <w:rPr>
                <w:spacing w:val="-9"/>
              </w:rPr>
              <w:t>。</w:t>
            </w:r>
          </w:p>
          <w:p w14:paraId="2EDE0873">
            <w:pPr>
              <w:pStyle w:val="6"/>
              <w:spacing w:line="220" w:lineRule="auto"/>
              <w:ind w:left="631"/>
            </w:pPr>
            <w:r>
              <w:t>(5)升压站厂界预测结果及影响分析</w:t>
            </w:r>
          </w:p>
          <w:p w14:paraId="3D1520FB">
            <w:pPr>
              <w:pStyle w:val="6"/>
              <w:spacing w:before="201" w:line="401" w:lineRule="auto"/>
              <w:ind w:left="21" w:right="373" w:firstLine="459"/>
            </w:pPr>
            <w:r>
              <w:t>根据“环境噪声影响评价系统NoiseSystem3.3”噪声预</w:t>
            </w:r>
            <w:r>
              <w:rPr>
                <w:spacing w:val="-1"/>
              </w:rPr>
              <w:t>测软件预测结果，各接</w:t>
            </w:r>
            <w:r>
              <w:t xml:space="preserve"> 受点的预测结果见表4-21。</w:t>
            </w:r>
          </w:p>
          <w:p w14:paraId="40F3F163">
            <w:pPr>
              <w:pStyle w:val="6"/>
              <w:spacing w:before="7" w:line="203" w:lineRule="auto"/>
              <w:ind w:left="1914"/>
            </w:pPr>
            <w:r>
              <w:rPr>
                <w:b/>
                <w:bCs/>
                <w:spacing w:val="-3"/>
              </w:rPr>
              <w:t>表4-21</w:t>
            </w:r>
            <w:r>
              <w:rPr>
                <w:spacing w:val="-3"/>
              </w:rPr>
              <w:t xml:space="preserve">  </w:t>
            </w:r>
            <w:r>
              <w:rPr>
                <w:b/>
                <w:bCs/>
                <w:spacing w:val="-3"/>
              </w:rPr>
              <w:t>升压站运营期噪声影响预测结果</w:t>
            </w:r>
          </w:p>
        </w:tc>
      </w:tr>
      <w:tr w14:paraId="6E27F429">
        <w:tblPrEx>
          <w:tblCellMar>
            <w:top w:w="0" w:type="dxa"/>
            <w:left w:w="0" w:type="dxa"/>
            <w:bottom w:w="0" w:type="dxa"/>
            <w:right w:w="0" w:type="dxa"/>
          </w:tblCellMar>
        </w:tblPrEx>
        <w:trPr>
          <w:trHeight w:val="340" w:hRule="atLeast"/>
        </w:trPr>
        <w:tc>
          <w:tcPr>
            <w:tcW w:w="914" w:type="dxa"/>
            <w:vMerge w:val="continue"/>
            <w:tcBorders>
              <w:top w:val="nil"/>
              <w:bottom w:val="nil"/>
            </w:tcBorders>
            <w:vAlign w:val="top"/>
          </w:tcPr>
          <w:p w14:paraId="4A83F953">
            <w:pPr>
              <w:rPr>
                <w:rFonts w:ascii="Arial"/>
                <w:sz w:val="21"/>
              </w:rPr>
            </w:pPr>
          </w:p>
        </w:tc>
        <w:tc>
          <w:tcPr>
            <w:tcW w:w="2797" w:type="dxa"/>
            <w:vMerge w:val="restart"/>
            <w:tcBorders>
              <w:bottom w:val="nil"/>
              <w:tl2br w:val="single" w:color="000000" w:sz="4" w:space="0"/>
            </w:tcBorders>
            <w:vAlign w:val="top"/>
          </w:tcPr>
          <w:p w14:paraId="5FFFFB20">
            <w:pPr>
              <w:pStyle w:val="6"/>
              <w:spacing w:before="201" w:line="229" w:lineRule="auto"/>
              <w:ind w:left="101" w:right="943" w:firstLine="849"/>
            </w:pPr>
            <w:r>
              <w:rPr>
                <w:spacing w:val="3"/>
              </w:rPr>
              <w:t>预测结果</w:t>
            </w:r>
            <w:r>
              <w:t xml:space="preserve"> </w:t>
            </w:r>
            <w:r>
              <w:rPr>
                <w:spacing w:val="6"/>
              </w:rPr>
              <w:t>预测点</w:t>
            </w:r>
          </w:p>
        </w:tc>
        <w:tc>
          <w:tcPr>
            <w:tcW w:w="2777" w:type="dxa"/>
            <w:gridSpan w:val="3"/>
            <w:vAlign w:val="top"/>
          </w:tcPr>
          <w:p w14:paraId="484464BD">
            <w:pPr>
              <w:pStyle w:val="6"/>
              <w:spacing w:before="64" w:line="222" w:lineRule="auto"/>
              <w:ind w:left="883"/>
            </w:pPr>
            <w:r>
              <w:rPr>
                <w:spacing w:val="9"/>
              </w:rPr>
              <w:t>昼间</w:t>
            </w:r>
            <w:r>
              <w:t>dB</w:t>
            </w:r>
            <w:r>
              <w:rPr>
                <w:spacing w:val="9"/>
              </w:rPr>
              <w:t>(A)</w:t>
            </w:r>
          </w:p>
        </w:tc>
        <w:tc>
          <w:tcPr>
            <w:tcW w:w="2762" w:type="dxa"/>
            <w:gridSpan w:val="3"/>
            <w:vAlign w:val="top"/>
          </w:tcPr>
          <w:p w14:paraId="4E7D9D02">
            <w:pPr>
              <w:pStyle w:val="6"/>
              <w:spacing w:before="61" w:line="219" w:lineRule="auto"/>
              <w:ind w:left="877"/>
            </w:pPr>
            <w:r>
              <w:rPr>
                <w:spacing w:val="9"/>
              </w:rPr>
              <w:t>夜间</w:t>
            </w:r>
            <w:r>
              <w:t>dB</w:t>
            </w:r>
            <w:r>
              <w:rPr>
                <w:spacing w:val="9"/>
              </w:rPr>
              <w:t>(A)</w:t>
            </w:r>
          </w:p>
        </w:tc>
      </w:tr>
      <w:tr w14:paraId="5FAA6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14" w:type="dxa"/>
            <w:vMerge w:val="continue"/>
            <w:tcBorders>
              <w:top w:val="nil"/>
              <w:bottom w:val="nil"/>
            </w:tcBorders>
            <w:vAlign w:val="top"/>
          </w:tcPr>
          <w:p w14:paraId="06A9A831">
            <w:pPr>
              <w:rPr>
                <w:rFonts w:ascii="Arial"/>
                <w:sz w:val="21"/>
              </w:rPr>
            </w:pPr>
          </w:p>
        </w:tc>
        <w:tc>
          <w:tcPr>
            <w:tcW w:w="2797" w:type="dxa"/>
            <w:vMerge w:val="continue"/>
            <w:tcBorders>
              <w:top w:val="nil"/>
              <w:tl2br w:val="single" w:color="000000" w:sz="4" w:space="0"/>
            </w:tcBorders>
            <w:vAlign w:val="top"/>
          </w:tcPr>
          <w:p w14:paraId="111A30C4">
            <w:pPr>
              <w:rPr>
                <w:rFonts w:ascii="Arial"/>
                <w:sz w:val="21"/>
              </w:rPr>
            </w:pPr>
          </w:p>
        </w:tc>
        <w:tc>
          <w:tcPr>
            <w:tcW w:w="1039" w:type="dxa"/>
            <w:vAlign w:val="top"/>
          </w:tcPr>
          <w:p w14:paraId="7725429D">
            <w:pPr>
              <w:pStyle w:val="6"/>
              <w:spacing w:before="161" w:line="219" w:lineRule="auto"/>
              <w:ind w:left="284"/>
            </w:pPr>
            <w:r>
              <w:rPr>
                <w:spacing w:val="-3"/>
              </w:rPr>
              <w:t>贡献值</w:t>
            </w:r>
          </w:p>
        </w:tc>
        <w:tc>
          <w:tcPr>
            <w:tcW w:w="879" w:type="dxa"/>
            <w:vAlign w:val="top"/>
          </w:tcPr>
          <w:p w14:paraId="3D6DAFB9">
            <w:pPr>
              <w:pStyle w:val="6"/>
              <w:spacing w:before="161" w:line="219" w:lineRule="auto"/>
              <w:ind w:left="104"/>
            </w:pPr>
            <w:r>
              <w:rPr>
                <w:spacing w:val="-3"/>
              </w:rPr>
              <w:t>标准值</w:t>
            </w:r>
          </w:p>
        </w:tc>
        <w:tc>
          <w:tcPr>
            <w:tcW w:w="859" w:type="dxa"/>
            <w:vAlign w:val="top"/>
          </w:tcPr>
          <w:p w14:paraId="3CEC0527">
            <w:pPr>
              <w:pStyle w:val="6"/>
              <w:spacing w:before="11" w:line="220" w:lineRule="auto"/>
              <w:ind w:left="206"/>
            </w:pPr>
            <w:r>
              <w:rPr>
                <w:spacing w:val="-2"/>
              </w:rPr>
              <w:t>达标</w:t>
            </w:r>
          </w:p>
          <w:p w14:paraId="42D8B35A">
            <w:pPr>
              <w:pStyle w:val="6"/>
              <w:spacing w:before="27" w:line="191" w:lineRule="auto"/>
              <w:ind w:left="206"/>
            </w:pPr>
            <w:r>
              <w:rPr>
                <w:spacing w:val="-3"/>
              </w:rPr>
              <w:t>情况</w:t>
            </w:r>
          </w:p>
        </w:tc>
        <w:tc>
          <w:tcPr>
            <w:tcW w:w="959" w:type="dxa"/>
            <w:vAlign w:val="top"/>
          </w:tcPr>
          <w:p w14:paraId="1CA541D8">
            <w:pPr>
              <w:pStyle w:val="6"/>
              <w:spacing w:before="161" w:line="219" w:lineRule="auto"/>
              <w:ind w:left="226"/>
            </w:pPr>
            <w:r>
              <w:rPr>
                <w:spacing w:val="-3"/>
              </w:rPr>
              <w:t>贡献值</w:t>
            </w:r>
          </w:p>
        </w:tc>
        <w:tc>
          <w:tcPr>
            <w:tcW w:w="939" w:type="dxa"/>
            <w:vAlign w:val="top"/>
          </w:tcPr>
          <w:p w14:paraId="78513897">
            <w:pPr>
              <w:pStyle w:val="6"/>
              <w:spacing w:before="161" w:line="219" w:lineRule="auto"/>
              <w:ind w:left="138"/>
            </w:pPr>
            <w:r>
              <w:rPr>
                <w:spacing w:val="-3"/>
              </w:rPr>
              <w:t>标准值</w:t>
            </w:r>
          </w:p>
        </w:tc>
        <w:tc>
          <w:tcPr>
            <w:tcW w:w="864" w:type="dxa"/>
            <w:vAlign w:val="top"/>
          </w:tcPr>
          <w:p w14:paraId="3B0C9F25">
            <w:pPr>
              <w:pStyle w:val="6"/>
              <w:spacing w:before="11" w:line="220" w:lineRule="auto"/>
              <w:ind w:left="209"/>
            </w:pPr>
            <w:r>
              <w:rPr>
                <w:spacing w:val="-2"/>
              </w:rPr>
              <w:t>达标</w:t>
            </w:r>
          </w:p>
          <w:p w14:paraId="2746AAD8">
            <w:pPr>
              <w:pStyle w:val="6"/>
              <w:spacing w:before="27" w:line="191" w:lineRule="auto"/>
              <w:ind w:left="209"/>
            </w:pPr>
            <w:r>
              <w:rPr>
                <w:spacing w:val="-3"/>
              </w:rPr>
              <w:t>情况</w:t>
            </w:r>
          </w:p>
        </w:tc>
      </w:tr>
      <w:tr w14:paraId="1F57E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914" w:type="dxa"/>
            <w:vMerge w:val="continue"/>
            <w:tcBorders>
              <w:top w:val="nil"/>
              <w:bottom w:val="nil"/>
            </w:tcBorders>
            <w:vAlign w:val="top"/>
          </w:tcPr>
          <w:p w14:paraId="094D7582">
            <w:pPr>
              <w:rPr>
                <w:rFonts w:ascii="Arial"/>
                <w:sz w:val="21"/>
              </w:rPr>
            </w:pPr>
          </w:p>
        </w:tc>
        <w:tc>
          <w:tcPr>
            <w:tcW w:w="2797" w:type="dxa"/>
            <w:vAlign w:val="top"/>
          </w:tcPr>
          <w:p w14:paraId="3F3C6BB1">
            <w:pPr>
              <w:pStyle w:val="6"/>
              <w:spacing w:before="72" w:line="220" w:lineRule="auto"/>
              <w:ind w:left="561"/>
            </w:pPr>
            <w:r>
              <w:rPr>
                <w:spacing w:val="2"/>
              </w:rPr>
              <w:t>升压站场界北面1</w:t>
            </w:r>
          </w:p>
        </w:tc>
        <w:tc>
          <w:tcPr>
            <w:tcW w:w="1039" w:type="dxa"/>
            <w:vAlign w:val="top"/>
          </w:tcPr>
          <w:p w14:paraId="71D98D40">
            <w:pPr>
              <w:pStyle w:val="6"/>
              <w:spacing w:before="94" w:line="206" w:lineRule="auto"/>
              <w:ind w:left="394"/>
            </w:pPr>
            <w:r>
              <w:rPr>
                <w:spacing w:val="-2"/>
              </w:rPr>
              <w:t>26.29</w:t>
            </w:r>
          </w:p>
        </w:tc>
        <w:tc>
          <w:tcPr>
            <w:tcW w:w="879" w:type="dxa"/>
            <w:vAlign w:val="top"/>
          </w:tcPr>
          <w:p w14:paraId="0A704C20">
            <w:pPr>
              <w:pStyle w:val="6"/>
              <w:spacing w:before="94" w:line="206" w:lineRule="auto"/>
              <w:ind w:left="325"/>
            </w:pPr>
            <w:r>
              <w:rPr>
                <w:spacing w:val="-4"/>
              </w:rPr>
              <w:t>55</w:t>
            </w:r>
          </w:p>
        </w:tc>
        <w:tc>
          <w:tcPr>
            <w:tcW w:w="859" w:type="dxa"/>
            <w:vAlign w:val="top"/>
          </w:tcPr>
          <w:p w14:paraId="5F778146">
            <w:pPr>
              <w:pStyle w:val="6"/>
              <w:spacing w:before="72" w:line="220" w:lineRule="auto"/>
              <w:ind w:left="206"/>
            </w:pPr>
            <w:r>
              <w:rPr>
                <w:spacing w:val="-2"/>
              </w:rPr>
              <w:t>达标</w:t>
            </w:r>
          </w:p>
        </w:tc>
        <w:tc>
          <w:tcPr>
            <w:tcW w:w="959" w:type="dxa"/>
            <w:vAlign w:val="top"/>
          </w:tcPr>
          <w:p w14:paraId="47026CC1">
            <w:pPr>
              <w:pStyle w:val="6"/>
              <w:spacing w:before="94" w:line="206" w:lineRule="auto"/>
              <w:ind w:left="337"/>
            </w:pPr>
            <w:r>
              <w:rPr>
                <w:spacing w:val="-2"/>
              </w:rPr>
              <w:t>25.02</w:t>
            </w:r>
          </w:p>
        </w:tc>
        <w:tc>
          <w:tcPr>
            <w:tcW w:w="939" w:type="dxa"/>
            <w:vAlign w:val="top"/>
          </w:tcPr>
          <w:p w14:paraId="412B4D3A">
            <w:pPr>
              <w:pStyle w:val="6"/>
              <w:spacing w:before="94" w:line="206" w:lineRule="auto"/>
              <w:ind w:left="357"/>
            </w:pPr>
            <w:r>
              <w:rPr>
                <w:spacing w:val="-2"/>
              </w:rPr>
              <w:t>45</w:t>
            </w:r>
          </w:p>
        </w:tc>
        <w:tc>
          <w:tcPr>
            <w:tcW w:w="864" w:type="dxa"/>
            <w:vAlign w:val="top"/>
          </w:tcPr>
          <w:p w14:paraId="512B4E0F">
            <w:pPr>
              <w:pStyle w:val="6"/>
              <w:spacing w:before="72" w:line="220" w:lineRule="auto"/>
              <w:ind w:left="209"/>
            </w:pPr>
            <w:r>
              <w:rPr>
                <w:spacing w:val="-2"/>
              </w:rPr>
              <w:t>达标</w:t>
            </w:r>
          </w:p>
        </w:tc>
      </w:tr>
      <w:tr w14:paraId="38428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14" w:type="dxa"/>
            <w:vMerge w:val="continue"/>
            <w:tcBorders>
              <w:top w:val="nil"/>
              <w:bottom w:val="nil"/>
            </w:tcBorders>
            <w:vAlign w:val="top"/>
          </w:tcPr>
          <w:p w14:paraId="05308ABE">
            <w:pPr>
              <w:rPr>
                <w:rFonts w:ascii="Arial"/>
                <w:sz w:val="21"/>
              </w:rPr>
            </w:pPr>
          </w:p>
        </w:tc>
        <w:tc>
          <w:tcPr>
            <w:tcW w:w="2797" w:type="dxa"/>
            <w:vAlign w:val="top"/>
          </w:tcPr>
          <w:p w14:paraId="0AE12165">
            <w:pPr>
              <w:pStyle w:val="6"/>
              <w:spacing w:before="52" w:line="215" w:lineRule="auto"/>
              <w:ind w:left="561"/>
            </w:pPr>
            <w:r>
              <w:rPr>
                <w:spacing w:val="1"/>
              </w:rPr>
              <w:t>升压站场界北面2</w:t>
            </w:r>
          </w:p>
        </w:tc>
        <w:tc>
          <w:tcPr>
            <w:tcW w:w="1039" w:type="dxa"/>
            <w:vAlign w:val="top"/>
          </w:tcPr>
          <w:p w14:paraId="416C43D8">
            <w:pPr>
              <w:pStyle w:val="6"/>
              <w:spacing w:before="74" w:line="197" w:lineRule="auto"/>
              <w:ind w:left="394"/>
            </w:pPr>
            <w:r>
              <w:rPr>
                <w:spacing w:val="-2"/>
              </w:rPr>
              <w:t>27.49</w:t>
            </w:r>
          </w:p>
        </w:tc>
        <w:tc>
          <w:tcPr>
            <w:tcW w:w="879" w:type="dxa"/>
            <w:vAlign w:val="top"/>
          </w:tcPr>
          <w:p w14:paraId="77F88391">
            <w:pPr>
              <w:pStyle w:val="6"/>
              <w:spacing w:before="74" w:line="197" w:lineRule="auto"/>
              <w:ind w:left="325"/>
            </w:pPr>
            <w:r>
              <w:rPr>
                <w:spacing w:val="-4"/>
              </w:rPr>
              <w:t>55</w:t>
            </w:r>
          </w:p>
        </w:tc>
        <w:tc>
          <w:tcPr>
            <w:tcW w:w="859" w:type="dxa"/>
            <w:vAlign w:val="top"/>
          </w:tcPr>
          <w:p w14:paraId="0664B874">
            <w:pPr>
              <w:pStyle w:val="6"/>
              <w:spacing w:before="52" w:line="215" w:lineRule="auto"/>
              <w:ind w:left="206"/>
            </w:pPr>
            <w:r>
              <w:rPr>
                <w:spacing w:val="-2"/>
              </w:rPr>
              <w:t>达标</w:t>
            </w:r>
          </w:p>
        </w:tc>
        <w:tc>
          <w:tcPr>
            <w:tcW w:w="959" w:type="dxa"/>
            <w:vAlign w:val="top"/>
          </w:tcPr>
          <w:p w14:paraId="3FEF62D2">
            <w:pPr>
              <w:pStyle w:val="6"/>
              <w:spacing w:before="74" w:line="197" w:lineRule="auto"/>
              <w:ind w:left="337"/>
            </w:pPr>
            <w:r>
              <w:rPr>
                <w:spacing w:val="-2"/>
              </w:rPr>
              <w:t>25.75</w:t>
            </w:r>
          </w:p>
        </w:tc>
        <w:tc>
          <w:tcPr>
            <w:tcW w:w="939" w:type="dxa"/>
            <w:vAlign w:val="top"/>
          </w:tcPr>
          <w:p w14:paraId="61D45F47">
            <w:pPr>
              <w:pStyle w:val="6"/>
              <w:spacing w:before="74" w:line="197" w:lineRule="auto"/>
              <w:ind w:left="357"/>
            </w:pPr>
            <w:r>
              <w:rPr>
                <w:spacing w:val="-2"/>
              </w:rPr>
              <w:t>45</w:t>
            </w:r>
          </w:p>
        </w:tc>
        <w:tc>
          <w:tcPr>
            <w:tcW w:w="864" w:type="dxa"/>
            <w:vAlign w:val="top"/>
          </w:tcPr>
          <w:p w14:paraId="2AE2C26D">
            <w:pPr>
              <w:pStyle w:val="6"/>
              <w:spacing w:before="52" w:line="215" w:lineRule="auto"/>
              <w:ind w:left="209"/>
            </w:pPr>
            <w:r>
              <w:rPr>
                <w:spacing w:val="-2"/>
              </w:rPr>
              <w:t>达标</w:t>
            </w:r>
          </w:p>
        </w:tc>
      </w:tr>
      <w:tr w14:paraId="2C77C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14" w:type="dxa"/>
            <w:vMerge w:val="continue"/>
            <w:tcBorders>
              <w:top w:val="nil"/>
              <w:bottom w:val="nil"/>
            </w:tcBorders>
            <w:vAlign w:val="top"/>
          </w:tcPr>
          <w:p w14:paraId="4653F4BD">
            <w:pPr>
              <w:rPr>
                <w:rFonts w:ascii="Arial"/>
                <w:sz w:val="21"/>
              </w:rPr>
            </w:pPr>
          </w:p>
        </w:tc>
        <w:tc>
          <w:tcPr>
            <w:tcW w:w="2797" w:type="dxa"/>
            <w:vAlign w:val="top"/>
          </w:tcPr>
          <w:p w14:paraId="4C51899E">
            <w:pPr>
              <w:pStyle w:val="6"/>
              <w:spacing w:before="63" w:line="220" w:lineRule="auto"/>
              <w:ind w:left="561"/>
            </w:pPr>
            <w:r>
              <w:rPr>
                <w:spacing w:val="1"/>
              </w:rPr>
              <w:t>升压站场界北面3</w:t>
            </w:r>
          </w:p>
        </w:tc>
        <w:tc>
          <w:tcPr>
            <w:tcW w:w="1039" w:type="dxa"/>
            <w:vAlign w:val="top"/>
          </w:tcPr>
          <w:p w14:paraId="0CC65F16">
            <w:pPr>
              <w:pStyle w:val="6"/>
              <w:spacing w:before="84" w:line="206" w:lineRule="auto"/>
              <w:ind w:left="394"/>
            </w:pPr>
            <w:r>
              <w:rPr>
                <w:spacing w:val="-2"/>
              </w:rPr>
              <w:t>28.84</w:t>
            </w:r>
          </w:p>
        </w:tc>
        <w:tc>
          <w:tcPr>
            <w:tcW w:w="879" w:type="dxa"/>
            <w:vAlign w:val="top"/>
          </w:tcPr>
          <w:p w14:paraId="2CC4E001">
            <w:pPr>
              <w:pStyle w:val="6"/>
              <w:spacing w:before="84" w:line="206" w:lineRule="auto"/>
              <w:ind w:left="325"/>
            </w:pPr>
            <w:r>
              <w:rPr>
                <w:spacing w:val="-4"/>
              </w:rPr>
              <w:t>55</w:t>
            </w:r>
          </w:p>
        </w:tc>
        <w:tc>
          <w:tcPr>
            <w:tcW w:w="859" w:type="dxa"/>
            <w:vAlign w:val="top"/>
          </w:tcPr>
          <w:p w14:paraId="6BF598EA">
            <w:pPr>
              <w:pStyle w:val="6"/>
              <w:spacing w:before="63" w:line="220" w:lineRule="auto"/>
              <w:ind w:left="206"/>
            </w:pPr>
            <w:r>
              <w:rPr>
                <w:spacing w:val="-2"/>
              </w:rPr>
              <w:t>达标</w:t>
            </w:r>
          </w:p>
        </w:tc>
        <w:tc>
          <w:tcPr>
            <w:tcW w:w="959" w:type="dxa"/>
            <w:vAlign w:val="top"/>
          </w:tcPr>
          <w:p w14:paraId="270FD156">
            <w:pPr>
              <w:pStyle w:val="6"/>
              <w:spacing w:before="84" w:line="206" w:lineRule="auto"/>
              <w:ind w:left="337"/>
            </w:pPr>
            <w:r>
              <w:rPr>
                <w:spacing w:val="-2"/>
              </w:rPr>
              <w:t>25.07</w:t>
            </w:r>
          </w:p>
        </w:tc>
        <w:tc>
          <w:tcPr>
            <w:tcW w:w="939" w:type="dxa"/>
            <w:vAlign w:val="top"/>
          </w:tcPr>
          <w:p w14:paraId="5E0372D8">
            <w:pPr>
              <w:pStyle w:val="6"/>
              <w:spacing w:before="84" w:line="206" w:lineRule="auto"/>
              <w:ind w:left="357"/>
            </w:pPr>
            <w:r>
              <w:rPr>
                <w:spacing w:val="-2"/>
              </w:rPr>
              <w:t>45</w:t>
            </w:r>
          </w:p>
        </w:tc>
        <w:tc>
          <w:tcPr>
            <w:tcW w:w="864" w:type="dxa"/>
            <w:vAlign w:val="top"/>
          </w:tcPr>
          <w:p w14:paraId="442780CE">
            <w:pPr>
              <w:pStyle w:val="6"/>
              <w:spacing w:before="63" w:line="220" w:lineRule="auto"/>
              <w:ind w:left="209"/>
            </w:pPr>
            <w:r>
              <w:rPr>
                <w:spacing w:val="-2"/>
              </w:rPr>
              <w:t>达标</w:t>
            </w:r>
          </w:p>
        </w:tc>
      </w:tr>
      <w:tr w14:paraId="7151C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914" w:type="dxa"/>
            <w:vMerge w:val="continue"/>
            <w:tcBorders>
              <w:top w:val="nil"/>
              <w:bottom w:val="nil"/>
            </w:tcBorders>
            <w:vAlign w:val="top"/>
          </w:tcPr>
          <w:p w14:paraId="49551528">
            <w:pPr>
              <w:rPr>
                <w:rFonts w:ascii="Arial"/>
                <w:sz w:val="21"/>
              </w:rPr>
            </w:pPr>
          </w:p>
        </w:tc>
        <w:tc>
          <w:tcPr>
            <w:tcW w:w="2797" w:type="dxa"/>
            <w:vAlign w:val="top"/>
          </w:tcPr>
          <w:p w14:paraId="5479A582">
            <w:pPr>
              <w:pStyle w:val="6"/>
              <w:spacing w:before="73" w:line="220" w:lineRule="auto"/>
              <w:ind w:left="561"/>
            </w:pPr>
            <w:r>
              <w:rPr>
                <w:spacing w:val="-2"/>
              </w:rPr>
              <w:t>升压站场界北面4</w:t>
            </w:r>
          </w:p>
        </w:tc>
        <w:tc>
          <w:tcPr>
            <w:tcW w:w="1039" w:type="dxa"/>
            <w:vAlign w:val="top"/>
          </w:tcPr>
          <w:p w14:paraId="7A1074EF">
            <w:pPr>
              <w:pStyle w:val="6"/>
              <w:spacing w:before="94" w:line="206" w:lineRule="auto"/>
              <w:ind w:left="394"/>
            </w:pPr>
            <w:r>
              <w:rPr>
                <w:spacing w:val="-3"/>
              </w:rPr>
              <w:t>34.68</w:t>
            </w:r>
          </w:p>
        </w:tc>
        <w:tc>
          <w:tcPr>
            <w:tcW w:w="879" w:type="dxa"/>
            <w:vAlign w:val="top"/>
          </w:tcPr>
          <w:p w14:paraId="03877B9C">
            <w:pPr>
              <w:pStyle w:val="6"/>
              <w:spacing w:before="94" w:line="206" w:lineRule="auto"/>
              <w:ind w:left="325"/>
            </w:pPr>
            <w:r>
              <w:rPr>
                <w:spacing w:val="-4"/>
              </w:rPr>
              <w:t>55</w:t>
            </w:r>
          </w:p>
        </w:tc>
        <w:tc>
          <w:tcPr>
            <w:tcW w:w="859" w:type="dxa"/>
            <w:vAlign w:val="top"/>
          </w:tcPr>
          <w:p w14:paraId="5AA7270E">
            <w:pPr>
              <w:pStyle w:val="6"/>
              <w:spacing w:before="73" w:line="220" w:lineRule="auto"/>
              <w:ind w:left="206"/>
            </w:pPr>
            <w:r>
              <w:rPr>
                <w:spacing w:val="-2"/>
              </w:rPr>
              <w:t>达标</w:t>
            </w:r>
          </w:p>
        </w:tc>
        <w:tc>
          <w:tcPr>
            <w:tcW w:w="959" w:type="dxa"/>
            <w:vAlign w:val="top"/>
          </w:tcPr>
          <w:p w14:paraId="6FC949A3">
            <w:pPr>
              <w:pStyle w:val="6"/>
              <w:spacing w:before="94" w:line="206" w:lineRule="auto"/>
              <w:ind w:left="337"/>
            </w:pPr>
            <w:r>
              <w:rPr>
                <w:spacing w:val="-2"/>
              </w:rPr>
              <w:t>22.12</w:t>
            </w:r>
          </w:p>
        </w:tc>
        <w:tc>
          <w:tcPr>
            <w:tcW w:w="939" w:type="dxa"/>
            <w:vAlign w:val="top"/>
          </w:tcPr>
          <w:p w14:paraId="0AE3C48A">
            <w:pPr>
              <w:pStyle w:val="6"/>
              <w:spacing w:before="94" w:line="206" w:lineRule="auto"/>
              <w:ind w:left="357"/>
            </w:pPr>
            <w:r>
              <w:rPr>
                <w:spacing w:val="-2"/>
              </w:rPr>
              <w:t>45</w:t>
            </w:r>
          </w:p>
        </w:tc>
        <w:tc>
          <w:tcPr>
            <w:tcW w:w="864" w:type="dxa"/>
            <w:vAlign w:val="top"/>
          </w:tcPr>
          <w:p w14:paraId="249D15B5">
            <w:pPr>
              <w:pStyle w:val="6"/>
              <w:spacing w:before="73" w:line="220" w:lineRule="auto"/>
              <w:ind w:left="209"/>
            </w:pPr>
            <w:r>
              <w:rPr>
                <w:spacing w:val="-2"/>
              </w:rPr>
              <w:t>达标</w:t>
            </w:r>
          </w:p>
        </w:tc>
      </w:tr>
      <w:tr w14:paraId="24A1A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914" w:type="dxa"/>
            <w:vMerge w:val="continue"/>
            <w:tcBorders>
              <w:top w:val="nil"/>
              <w:bottom w:val="nil"/>
            </w:tcBorders>
            <w:vAlign w:val="top"/>
          </w:tcPr>
          <w:p w14:paraId="58C18663">
            <w:pPr>
              <w:rPr>
                <w:rFonts w:ascii="Arial"/>
                <w:sz w:val="21"/>
              </w:rPr>
            </w:pPr>
          </w:p>
        </w:tc>
        <w:tc>
          <w:tcPr>
            <w:tcW w:w="2797" w:type="dxa"/>
            <w:vAlign w:val="top"/>
          </w:tcPr>
          <w:p w14:paraId="75326513">
            <w:pPr>
              <w:pStyle w:val="6"/>
              <w:spacing w:before="73" w:line="220" w:lineRule="auto"/>
              <w:ind w:left="561"/>
            </w:pPr>
            <w:r>
              <w:rPr>
                <w:spacing w:val="1"/>
              </w:rPr>
              <w:t>升压站场界北面5</w:t>
            </w:r>
          </w:p>
        </w:tc>
        <w:tc>
          <w:tcPr>
            <w:tcW w:w="1039" w:type="dxa"/>
            <w:vAlign w:val="top"/>
          </w:tcPr>
          <w:p w14:paraId="462BA8A3">
            <w:pPr>
              <w:pStyle w:val="6"/>
              <w:spacing w:before="94" w:line="206" w:lineRule="auto"/>
              <w:ind w:left="394"/>
            </w:pPr>
            <w:r>
              <w:rPr>
                <w:spacing w:val="-3"/>
              </w:rPr>
              <w:t>38.29</w:t>
            </w:r>
          </w:p>
        </w:tc>
        <w:tc>
          <w:tcPr>
            <w:tcW w:w="879" w:type="dxa"/>
            <w:vAlign w:val="top"/>
          </w:tcPr>
          <w:p w14:paraId="7833D54B">
            <w:pPr>
              <w:pStyle w:val="6"/>
              <w:spacing w:before="94" w:line="206" w:lineRule="auto"/>
              <w:ind w:left="325"/>
            </w:pPr>
            <w:r>
              <w:rPr>
                <w:spacing w:val="-4"/>
              </w:rPr>
              <w:t>55</w:t>
            </w:r>
          </w:p>
        </w:tc>
        <w:tc>
          <w:tcPr>
            <w:tcW w:w="859" w:type="dxa"/>
            <w:vAlign w:val="top"/>
          </w:tcPr>
          <w:p w14:paraId="0FDE5D9D">
            <w:pPr>
              <w:pStyle w:val="6"/>
              <w:spacing w:before="73" w:line="220" w:lineRule="auto"/>
              <w:ind w:left="206"/>
            </w:pPr>
            <w:r>
              <w:rPr>
                <w:spacing w:val="-2"/>
              </w:rPr>
              <w:t>达标</w:t>
            </w:r>
          </w:p>
        </w:tc>
        <w:tc>
          <w:tcPr>
            <w:tcW w:w="959" w:type="dxa"/>
            <w:vAlign w:val="top"/>
          </w:tcPr>
          <w:p w14:paraId="5A3DA646">
            <w:pPr>
              <w:pStyle w:val="6"/>
              <w:spacing w:before="94" w:line="206" w:lineRule="auto"/>
              <w:ind w:left="337"/>
            </w:pPr>
            <w:r>
              <w:rPr>
                <w:spacing w:val="-4"/>
              </w:rPr>
              <w:t>19.03</w:t>
            </w:r>
          </w:p>
        </w:tc>
        <w:tc>
          <w:tcPr>
            <w:tcW w:w="939" w:type="dxa"/>
            <w:vAlign w:val="top"/>
          </w:tcPr>
          <w:p w14:paraId="58484B18">
            <w:pPr>
              <w:pStyle w:val="6"/>
              <w:spacing w:before="94" w:line="206" w:lineRule="auto"/>
              <w:ind w:left="357"/>
            </w:pPr>
            <w:r>
              <w:rPr>
                <w:spacing w:val="-2"/>
              </w:rPr>
              <w:t>45</w:t>
            </w:r>
          </w:p>
        </w:tc>
        <w:tc>
          <w:tcPr>
            <w:tcW w:w="864" w:type="dxa"/>
            <w:vAlign w:val="top"/>
          </w:tcPr>
          <w:p w14:paraId="30C70A52">
            <w:pPr>
              <w:pStyle w:val="6"/>
              <w:spacing w:before="73" w:line="220" w:lineRule="auto"/>
              <w:ind w:left="209"/>
            </w:pPr>
            <w:r>
              <w:rPr>
                <w:spacing w:val="-2"/>
              </w:rPr>
              <w:t>达标</w:t>
            </w:r>
          </w:p>
        </w:tc>
      </w:tr>
      <w:tr w14:paraId="6BFC8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14" w:type="dxa"/>
            <w:vMerge w:val="continue"/>
            <w:tcBorders>
              <w:top w:val="nil"/>
              <w:bottom w:val="nil"/>
            </w:tcBorders>
            <w:vAlign w:val="top"/>
          </w:tcPr>
          <w:p w14:paraId="46E8B779">
            <w:pPr>
              <w:rPr>
                <w:rFonts w:ascii="Arial"/>
                <w:sz w:val="21"/>
              </w:rPr>
            </w:pPr>
          </w:p>
        </w:tc>
        <w:tc>
          <w:tcPr>
            <w:tcW w:w="2797" w:type="dxa"/>
            <w:vAlign w:val="top"/>
          </w:tcPr>
          <w:p w14:paraId="7CD06AD6">
            <w:pPr>
              <w:pStyle w:val="6"/>
              <w:spacing w:before="52" w:line="216" w:lineRule="auto"/>
              <w:ind w:left="561"/>
            </w:pPr>
            <w:r>
              <w:rPr>
                <w:spacing w:val="2"/>
              </w:rPr>
              <w:t>升压站场界东面1</w:t>
            </w:r>
          </w:p>
        </w:tc>
        <w:tc>
          <w:tcPr>
            <w:tcW w:w="1039" w:type="dxa"/>
            <w:vAlign w:val="top"/>
          </w:tcPr>
          <w:p w14:paraId="2DED1CA9">
            <w:pPr>
              <w:pStyle w:val="6"/>
              <w:spacing w:before="75" w:line="197" w:lineRule="auto"/>
              <w:ind w:left="394"/>
            </w:pPr>
            <w:r>
              <w:rPr>
                <w:spacing w:val="-2"/>
              </w:rPr>
              <w:t>40.55</w:t>
            </w:r>
          </w:p>
        </w:tc>
        <w:tc>
          <w:tcPr>
            <w:tcW w:w="879" w:type="dxa"/>
            <w:vAlign w:val="top"/>
          </w:tcPr>
          <w:p w14:paraId="5EBBE446">
            <w:pPr>
              <w:pStyle w:val="6"/>
              <w:spacing w:before="75" w:line="197" w:lineRule="auto"/>
              <w:ind w:left="325"/>
            </w:pPr>
            <w:r>
              <w:rPr>
                <w:spacing w:val="-4"/>
              </w:rPr>
              <w:t>55</w:t>
            </w:r>
          </w:p>
        </w:tc>
        <w:tc>
          <w:tcPr>
            <w:tcW w:w="859" w:type="dxa"/>
            <w:vAlign w:val="top"/>
          </w:tcPr>
          <w:p w14:paraId="2C0A4D5B">
            <w:pPr>
              <w:pStyle w:val="6"/>
              <w:spacing w:before="53" w:line="215" w:lineRule="auto"/>
              <w:ind w:left="206"/>
            </w:pPr>
            <w:r>
              <w:rPr>
                <w:spacing w:val="-2"/>
              </w:rPr>
              <w:t>达标</w:t>
            </w:r>
          </w:p>
        </w:tc>
        <w:tc>
          <w:tcPr>
            <w:tcW w:w="959" w:type="dxa"/>
            <w:vAlign w:val="top"/>
          </w:tcPr>
          <w:p w14:paraId="0AC50825">
            <w:pPr>
              <w:pStyle w:val="6"/>
              <w:spacing w:before="75" w:line="197" w:lineRule="auto"/>
              <w:ind w:left="337"/>
            </w:pPr>
            <w:r>
              <w:rPr>
                <w:spacing w:val="-2"/>
              </w:rPr>
              <w:t>20.02</w:t>
            </w:r>
          </w:p>
        </w:tc>
        <w:tc>
          <w:tcPr>
            <w:tcW w:w="939" w:type="dxa"/>
            <w:vAlign w:val="top"/>
          </w:tcPr>
          <w:p w14:paraId="22003929">
            <w:pPr>
              <w:pStyle w:val="6"/>
              <w:spacing w:before="75" w:line="197" w:lineRule="auto"/>
              <w:ind w:left="357"/>
            </w:pPr>
            <w:r>
              <w:rPr>
                <w:spacing w:val="-2"/>
              </w:rPr>
              <w:t>45</w:t>
            </w:r>
          </w:p>
        </w:tc>
        <w:tc>
          <w:tcPr>
            <w:tcW w:w="864" w:type="dxa"/>
            <w:vAlign w:val="top"/>
          </w:tcPr>
          <w:p w14:paraId="71A2AAA2">
            <w:pPr>
              <w:pStyle w:val="6"/>
              <w:spacing w:before="53" w:line="215" w:lineRule="auto"/>
              <w:ind w:left="209"/>
            </w:pPr>
            <w:r>
              <w:rPr>
                <w:spacing w:val="-2"/>
              </w:rPr>
              <w:t>达标</w:t>
            </w:r>
          </w:p>
        </w:tc>
      </w:tr>
      <w:tr w14:paraId="48D75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914" w:type="dxa"/>
            <w:vMerge w:val="continue"/>
            <w:tcBorders>
              <w:top w:val="nil"/>
              <w:bottom w:val="nil"/>
            </w:tcBorders>
            <w:vAlign w:val="top"/>
          </w:tcPr>
          <w:p w14:paraId="1277E634">
            <w:pPr>
              <w:rPr>
                <w:rFonts w:ascii="Arial"/>
                <w:sz w:val="21"/>
              </w:rPr>
            </w:pPr>
          </w:p>
        </w:tc>
        <w:tc>
          <w:tcPr>
            <w:tcW w:w="2797" w:type="dxa"/>
            <w:vAlign w:val="top"/>
          </w:tcPr>
          <w:p w14:paraId="39CD866D">
            <w:pPr>
              <w:pStyle w:val="6"/>
              <w:spacing w:before="73" w:line="219" w:lineRule="auto"/>
              <w:ind w:left="561"/>
            </w:pPr>
            <w:r>
              <w:rPr>
                <w:spacing w:val="1"/>
              </w:rPr>
              <w:t>升压站场界东面2</w:t>
            </w:r>
          </w:p>
        </w:tc>
        <w:tc>
          <w:tcPr>
            <w:tcW w:w="1039" w:type="dxa"/>
            <w:vAlign w:val="top"/>
          </w:tcPr>
          <w:p w14:paraId="4D75D100">
            <w:pPr>
              <w:pStyle w:val="6"/>
              <w:spacing w:before="94" w:line="206" w:lineRule="auto"/>
              <w:ind w:left="394"/>
            </w:pPr>
            <w:r>
              <w:rPr>
                <w:spacing w:val="-2"/>
              </w:rPr>
              <w:t>42.95</w:t>
            </w:r>
          </w:p>
        </w:tc>
        <w:tc>
          <w:tcPr>
            <w:tcW w:w="879" w:type="dxa"/>
            <w:vAlign w:val="top"/>
          </w:tcPr>
          <w:p w14:paraId="0FB02027">
            <w:pPr>
              <w:pStyle w:val="6"/>
              <w:spacing w:before="94" w:line="206" w:lineRule="auto"/>
              <w:ind w:left="325"/>
            </w:pPr>
            <w:r>
              <w:rPr>
                <w:spacing w:val="-4"/>
              </w:rPr>
              <w:t>55</w:t>
            </w:r>
          </w:p>
        </w:tc>
        <w:tc>
          <w:tcPr>
            <w:tcW w:w="859" w:type="dxa"/>
            <w:vAlign w:val="top"/>
          </w:tcPr>
          <w:p w14:paraId="031C9DBA">
            <w:pPr>
              <w:pStyle w:val="6"/>
              <w:spacing w:before="73" w:line="220" w:lineRule="auto"/>
              <w:ind w:left="206"/>
            </w:pPr>
            <w:r>
              <w:rPr>
                <w:spacing w:val="-2"/>
              </w:rPr>
              <w:t>达标</w:t>
            </w:r>
          </w:p>
        </w:tc>
        <w:tc>
          <w:tcPr>
            <w:tcW w:w="959" w:type="dxa"/>
            <w:vAlign w:val="top"/>
          </w:tcPr>
          <w:p w14:paraId="6E4548CA">
            <w:pPr>
              <w:pStyle w:val="6"/>
              <w:spacing w:before="94" w:line="206" w:lineRule="auto"/>
              <w:ind w:left="337"/>
            </w:pPr>
            <w:r>
              <w:rPr>
                <w:spacing w:val="-2"/>
              </w:rPr>
              <w:t>20.36</w:t>
            </w:r>
          </w:p>
        </w:tc>
        <w:tc>
          <w:tcPr>
            <w:tcW w:w="939" w:type="dxa"/>
            <w:vAlign w:val="top"/>
          </w:tcPr>
          <w:p w14:paraId="0538EC0E">
            <w:pPr>
              <w:pStyle w:val="6"/>
              <w:spacing w:before="94" w:line="206" w:lineRule="auto"/>
              <w:ind w:left="357"/>
            </w:pPr>
            <w:r>
              <w:rPr>
                <w:spacing w:val="-2"/>
              </w:rPr>
              <w:t>45</w:t>
            </w:r>
          </w:p>
        </w:tc>
        <w:tc>
          <w:tcPr>
            <w:tcW w:w="864" w:type="dxa"/>
            <w:vAlign w:val="top"/>
          </w:tcPr>
          <w:p w14:paraId="4536EB9C">
            <w:pPr>
              <w:pStyle w:val="6"/>
              <w:spacing w:before="73" w:line="220" w:lineRule="auto"/>
              <w:ind w:left="209"/>
            </w:pPr>
            <w:r>
              <w:rPr>
                <w:spacing w:val="-2"/>
              </w:rPr>
              <w:t>达标</w:t>
            </w:r>
          </w:p>
        </w:tc>
      </w:tr>
      <w:tr w14:paraId="5B140C36">
        <w:tblPrEx>
          <w:tblCellMar>
            <w:top w:w="0" w:type="dxa"/>
            <w:left w:w="0" w:type="dxa"/>
            <w:bottom w:w="0" w:type="dxa"/>
            <w:right w:w="0" w:type="dxa"/>
          </w:tblCellMar>
        </w:tblPrEx>
        <w:trPr>
          <w:trHeight w:val="350" w:hRule="atLeast"/>
        </w:trPr>
        <w:tc>
          <w:tcPr>
            <w:tcW w:w="914" w:type="dxa"/>
            <w:vMerge w:val="continue"/>
            <w:tcBorders>
              <w:top w:val="nil"/>
              <w:bottom w:val="nil"/>
            </w:tcBorders>
            <w:vAlign w:val="top"/>
          </w:tcPr>
          <w:p w14:paraId="34A2B013">
            <w:pPr>
              <w:rPr>
                <w:rFonts w:ascii="Arial"/>
                <w:sz w:val="21"/>
              </w:rPr>
            </w:pPr>
          </w:p>
        </w:tc>
        <w:tc>
          <w:tcPr>
            <w:tcW w:w="2797" w:type="dxa"/>
            <w:vAlign w:val="top"/>
          </w:tcPr>
          <w:p w14:paraId="74A5EA92">
            <w:pPr>
              <w:pStyle w:val="6"/>
              <w:spacing w:before="73" w:line="220" w:lineRule="auto"/>
              <w:ind w:left="561"/>
            </w:pPr>
            <w:r>
              <w:rPr>
                <w:spacing w:val="2"/>
              </w:rPr>
              <w:t>升压站场界南面1</w:t>
            </w:r>
          </w:p>
        </w:tc>
        <w:tc>
          <w:tcPr>
            <w:tcW w:w="1039" w:type="dxa"/>
            <w:vAlign w:val="top"/>
          </w:tcPr>
          <w:p w14:paraId="2DEF6791">
            <w:pPr>
              <w:pStyle w:val="6"/>
              <w:spacing w:before="94" w:line="206" w:lineRule="auto"/>
              <w:ind w:left="394"/>
            </w:pPr>
            <w:r>
              <w:rPr>
                <w:spacing w:val="-2"/>
              </w:rPr>
              <w:t>40.61</w:t>
            </w:r>
          </w:p>
        </w:tc>
        <w:tc>
          <w:tcPr>
            <w:tcW w:w="879" w:type="dxa"/>
            <w:vAlign w:val="top"/>
          </w:tcPr>
          <w:p w14:paraId="0D30EDFF">
            <w:pPr>
              <w:pStyle w:val="6"/>
              <w:spacing w:before="94" w:line="206" w:lineRule="auto"/>
              <w:ind w:left="325"/>
            </w:pPr>
            <w:r>
              <w:rPr>
                <w:spacing w:val="-4"/>
              </w:rPr>
              <w:t>55</w:t>
            </w:r>
          </w:p>
        </w:tc>
        <w:tc>
          <w:tcPr>
            <w:tcW w:w="859" w:type="dxa"/>
            <w:vAlign w:val="top"/>
          </w:tcPr>
          <w:p w14:paraId="6EFEA25F">
            <w:pPr>
              <w:pStyle w:val="6"/>
              <w:spacing w:before="73" w:line="220" w:lineRule="auto"/>
              <w:ind w:left="206"/>
            </w:pPr>
            <w:r>
              <w:rPr>
                <w:spacing w:val="-2"/>
              </w:rPr>
              <w:t>达标</w:t>
            </w:r>
          </w:p>
        </w:tc>
        <w:tc>
          <w:tcPr>
            <w:tcW w:w="959" w:type="dxa"/>
            <w:vAlign w:val="top"/>
          </w:tcPr>
          <w:p w14:paraId="4AE2CE21">
            <w:pPr>
              <w:pStyle w:val="6"/>
              <w:spacing w:before="94" w:line="206" w:lineRule="auto"/>
              <w:ind w:left="337"/>
            </w:pPr>
            <w:r>
              <w:rPr>
                <w:spacing w:val="-4"/>
              </w:rPr>
              <w:t>19.85</w:t>
            </w:r>
          </w:p>
        </w:tc>
        <w:tc>
          <w:tcPr>
            <w:tcW w:w="939" w:type="dxa"/>
            <w:vAlign w:val="top"/>
          </w:tcPr>
          <w:p w14:paraId="3A8CD51D">
            <w:pPr>
              <w:pStyle w:val="6"/>
              <w:spacing w:before="94" w:line="206" w:lineRule="auto"/>
              <w:ind w:left="357"/>
            </w:pPr>
            <w:r>
              <w:rPr>
                <w:spacing w:val="-2"/>
              </w:rPr>
              <w:t>45</w:t>
            </w:r>
          </w:p>
        </w:tc>
        <w:tc>
          <w:tcPr>
            <w:tcW w:w="864" w:type="dxa"/>
            <w:vAlign w:val="top"/>
          </w:tcPr>
          <w:p w14:paraId="210F6316">
            <w:pPr>
              <w:pStyle w:val="6"/>
              <w:spacing w:before="73" w:line="220" w:lineRule="auto"/>
              <w:ind w:left="209"/>
            </w:pPr>
            <w:r>
              <w:rPr>
                <w:spacing w:val="-2"/>
              </w:rPr>
              <w:t>达标</w:t>
            </w:r>
          </w:p>
        </w:tc>
      </w:tr>
      <w:tr w14:paraId="6DFA0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14" w:type="dxa"/>
            <w:vMerge w:val="continue"/>
            <w:tcBorders>
              <w:top w:val="nil"/>
              <w:bottom w:val="nil"/>
            </w:tcBorders>
            <w:vAlign w:val="top"/>
          </w:tcPr>
          <w:p w14:paraId="7378B785">
            <w:pPr>
              <w:rPr>
                <w:rFonts w:ascii="Arial"/>
                <w:sz w:val="21"/>
              </w:rPr>
            </w:pPr>
          </w:p>
        </w:tc>
        <w:tc>
          <w:tcPr>
            <w:tcW w:w="2797" w:type="dxa"/>
            <w:vAlign w:val="top"/>
          </w:tcPr>
          <w:p w14:paraId="5D9C63E2">
            <w:pPr>
              <w:pStyle w:val="6"/>
              <w:spacing w:before="63" w:line="220" w:lineRule="auto"/>
              <w:ind w:left="561"/>
            </w:pPr>
            <w:r>
              <w:rPr>
                <w:spacing w:val="1"/>
              </w:rPr>
              <w:t>升压站场界南面2</w:t>
            </w:r>
          </w:p>
        </w:tc>
        <w:tc>
          <w:tcPr>
            <w:tcW w:w="1039" w:type="dxa"/>
            <w:vAlign w:val="top"/>
          </w:tcPr>
          <w:p w14:paraId="76F9D391">
            <w:pPr>
              <w:pStyle w:val="6"/>
              <w:spacing w:before="84" w:line="206" w:lineRule="auto"/>
              <w:ind w:left="394"/>
            </w:pPr>
            <w:r>
              <w:rPr>
                <w:spacing w:val="-3"/>
              </w:rPr>
              <w:t>35.12</w:t>
            </w:r>
          </w:p>
        </w:tc>
        <w:tc>
          <w:tcPr>
            <w:tcW w:w="879" w:type="dxa"/>
            <w:vAlign w:val="top"/>
          </w:tcPr>
          <w:p w14:paraId="73A30D4F">
            <w:pPr>
              <w:pStyle w:val="6"/>
              <w:spacing w:before="84" w:line="206" w:lineRule="auto"/>
              <w:ind w:left="325"/>
            </w:pPr>
            <w:r>
              <w:rPr>
                <w:spacing w:val="-4"/>
              </w:rPr>
              <w:t>55</w:t>
            </w:r>
          </w:p>
        </w:tc>
        <w:tc>
          <w:tcPr>
            <w:tcW w:w="859" w:type="dxa"/>
            <w:vAlign w:val="top"/>
          </w:tcPr>
          <w:p w14:paraId="22101A00">
            <w:pPr>
              <w:pStyle w:val="6"/>
              <w:spacing w:before="63" w:line="220" w:lineRule="auto"/>
              <w:ind w:left="206"/>
            </w:pPr>
            <w:r>
              <w:rPr>
                <w:spacing w:val="-2"/>
              </w:rPr>
              <w:t>达标</w:t>
            </w:r>
          </w:p>
        </w:tc>
        <w:tc>
          <w:tcPr>
            <w:tcW w:w="959" w:type="dxa"/>
            <w:vAlign w:val="top"/>
          </w:tcPr>
          <w:p w14:paraId="28E8FC8D">
            <w:pPr>
              <w:pStyle w:val="6"/>
              <w:spacing w:before="84" w:line="206" w:lineRule="auto"/>
              <w:ind w:left="337"/>
            </w:pPr>
            <w:r>
              <w:rPr>
                <w:spacing w:val="-2"/>
              </w:rPr>
              <w:t>23.35</w:t>
            </w:r>
          </w:p>
        </w:tc>
        <w:tc>
          <w:tcPr>
            <w:tcW w:w="939" w:type="dxa"/>
            <w:vAlign w:val="top"/>
          </w:tcPr>
          <w:p w14:paraId="0CD2C2E0">
            <w:pPr>
              <w:pStyle w:val="6"/>
              <w:spacing w:before="84" w:line="206" w:lineRule="auto"/>
              <w:ind w:left="357"/>
            </w:pPr>
            <w:r>
              <w:rPr>
                <w:spacing w:val="-2"/>
              </w:rPr>
              <w:t>45</w:t>
            </w:r>
          </w:p>
        </w:tc>
        <w:tc>
          <w:tcPr>
            <w:tcW w:w="864" w:type="dxa"/>
            <w:vAlign w:val="top"/>
          </w:tcPr>
          <w:p w14:paraId="5300608E">
            <w:pPr>
              <w:pStyle w:val="6"/>
              <w:spacing w:before="63" w:line="220" w:lineRule="auto"/>
              <w:ind w:left="209"/>
            </w:pPr>
            <w:r>
              <w:rPr>
                <w:spacing w:val="-2"/>
              </w:rPr>
              <w:t>达标</w:t>
            </w:r>
          </w:p>
        </w:tc>
      </w:tr>
      <w:tr w14:paraId="1D7DC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914" w:type="dxa"/>
            <w:vMerge w:val="continue"/>
            <w:tcBorders>
              <w:top w:val="nil"/>
              <w:bottom w:val="nil"/>
            </w:tcBorders>
            <w:vAlign w:val="top"/>
          </w:tcPr>
          <w:p w14:paraId="6ED4FF52">
            <w:pPr>
              <w:rPr>
                <w:rFonts w:ascii="Arial"/>
                <w:sz w:val="21"/>
              </w:rPr>
            </w:pPr>
          </w:p>
        </w:tc>
        <w:tc>
          <w:tcPr>
            <w:tcW w:w="2797" w:type="dxa"/>
            <w:vAlign w:val="top"/>
          </w:tcPr>
          <w:p w14:paraId="774D6BDD">
            <w:pPr>
              <w:pStyle w:val="6"/>
              <w:spacing w:before="63" w:line="214" w:lineRule="auto"/>
              <w:ind w:left="561"/>
            </w:pPr>
            <w:r>
              <w:rPr>
                <w:spacing w:val="1"/>
              </w:rPr>
              <w:t>升压站场界南面3</w:t>
            </w:r>
          </w:p>
        </w:tc>
        <w:tc>
          <w:tcPr>
            <w:tcW w:w="1039" w:type="dxa"/>
            <w:vAlign w:val="top"/>
          </w:tcPr>
          <w:p w14:paraId="56DD828B">
            <w:pPr>
              <w:pStyle w:val="6"/>
              <w:spacing w:before="85" w:line="196" w:lineRule="auto"/>
              <w:ind w:left="394"/>
            </w:pPr>
            <w:r>
              <w:rPr>
                <w:spacing w:val="-3"/>
              </w:rPr>
              <w:t>31.59</w:t>
            </w:r>
          </w:p>
        </w:tc>
        <w:tc>
          <w:tcPr>
            <w:tcW w:w="879" w:type="dxa"/>
            <w:vAlign w:val="top"/>
          </w:tcPr>
          <w:p w14:paraId="54D8FC30">
            <w:pPr>
              <w:pStyle w:val="6"/>
              <w:spacing w:before="85" w:line="196" w:lineRule="auto"/>
              <w:ind w:left="325"/>
            </w:pPr>
            <w:r>
              <w:rPr>
                <w:spacing w:val="-4"/>
              </w:rPr>
              <w:t>55</w:t>
            </w:r>
          </w:p>
        </w:tc>
        <w:tc>
          <w:tcPr>
            <w:tcW w:w="859" w:type="dxa"/>
            <w:vAlign w:val="top"/>
          </w:tcPr>
          <w:p w14:paraId="60C7D022">
            <w:pPr>
              <w:pStyle w:val="6"/>
              <w:spacing w:before="63" w:line="214" w:lineRule="auto"/>
              <w:ind w:left="206"/>
            </w:pPr>
            <w:r>
              <w:rPr>
                <w:spacing w:val="-2"/>
              </w:rPr>
              <w:t>达标</w:t>
            </w:r>
          </w:p>
        </w:tc>
        <w:tc>
          <w:tcPr>
            <w:tcW w:w="959" w:type="dxa"/>
            <w:vAlign w:val="top"/>
          </w:tcPr>
          <w:p w14:paraId="7C7C6922">
            <w:pPr>
              <w:pStyle w:val="6"/>
              <w:spacing w:before="85" w:line="196" w:lineRule="auto"/>
              <w:ind w:left="337"/>
            </w:pPr>
            <w:r>
              <w:rPr>
                <w:spacing w:val="-2"/>
              </w:rPr>
              <w:t>29.98</w:t>
            </w:r>
          </w:p>
        </w:tc>
        <w:tc>
          <w:tcPr>
            <w:tcW w:w="939" w:type="dxa"/>
            <w:vAlign w:val="top"/>
          </w:tcPr>
          <w:p w14:paraId="2BF3695C">
            <w:pPr>
              <w:pStyle w:val="6"/>
              <w:spacing w:before="85" w:line="196" w:lineRule="auto"/>
              <w:ind w:left="357"/>
            </w:pPr>
            <w:r>
              <w:rPr>
                <w:spacing w:val="-2"/>
              </w:rPr>
              <w:t>45</w:t>
            </w:r>
          </w:p>
        </w:tc>
        <w:tc>
          <w:tcPr>
            <w:tcW w:w="864" w:type="dxa"/>
            <w:vAlign w:val="top"/>
          </w:tcPr>
          <w:p w14:paraId="6973C913">
            <w:pPr>
              <w:pStyle w:val="6"/>
              <w:spacing w:before="63" w:line="214" w:lineRule="auto"/>
              <w:ind w:left="209"/>
            </w:pPr>
            <w:r>
              <w:rPr>
                <w:spacing w:val="-2"/>
              </w:rPr>
              <w:t>达标</w:t>
            </w:r>
          </w:p>
        </w:tc>
      </w:tr>
      <w:tr w14:paraId="5F406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914" w:type="dxa"/>
            <w:vMerge w:val="continue"/>
            <w:tcBorders>
              <w:top w:val="nil"/>
              <w:bottom w:val="nil"/>
            </w:tcBorders>
            <w:vAlign w:val="top"/>
          </w:tcPr>
          <w:p w14:paraId="11F2E839">
            <w:pPr>
              <w:rPr>
                <w:rFonts w:ascii="Arial"/>
                <w:sz w:val="21"/>
              </w:rPr>
            </w:pPr>
          </w:p>
        </w:tc>
        <w:tc>
          <w:tcPr>
            <w:tcW w:w="2797" w:type="dxa"/>
            <w:vAlign w:val="top"/>
          </w:tcPr>
          <w:p w14:paraId="3DF5FB95">
            <w:pPr>
              <w:pStyle w:val="6"/>
              <w:spacing w:before="64" w:line="220" w:lineRule="auto"/>
              <w:ind w:left="561"/>
            </w:pPr>
            <w:r>
              <w:rPr>
                <w:spacing w:val="-2"/>
              </w:rPr>
              <w:t>升压站场界南面4</w:t>
            </w:r>
          </w:p>
        </w:tc>
        <w:tc>
          <w:tcPr>
            <w:tcW w:w="1039" w:type="dxa"/>
            <w:vAlign w:val="top"/>
          </w:tcPr>
          <w:p w14:paraId="03A6E8AA">
            <w:pPr>
              <w:pStyle w:val="6"/>
              <w:spacing w:before="85" w:line="204" w:lineRule="auto"/>
              <w:ind w:left="394"/>
            </w:pPr>
            <w:r>
              <w:rPr>
                <w:spacing w:val="-2"/>
              </w:rPr>
              <w:t>28.91</w:t>
            </w:r>
          </w:p>
        </w:tc>
        <w:tc>
          <w:tcPr>
            <w:tcW w:w="879" w:type="dxa"/>
            <w:vAlign w:val="top"/>
          </w:tcPr>
          <w:p w14:paraId="363C441D">
            <w:pPr>
              <w:pStyle w:val="6"/>
              <w:spacing w:before="85" w:line="204" w:lineRule="auto"/>
              <w:ind w:left="325"/>
            </w:pPr>
            <w:r>
              <w:rPr>
                <w:spacing w:val="-4"/>
              </w:rPr>
              <w:t>55</w:t>
            </w:r>
          </w:p>
        </w:tc>
        <w:tc>
          <w:tcPr>
            <w:tcW w:w="859" w:type="dxa"/>
            <w:vAlign w:val="top"/>
          </w:tcPr>
          <w:p w14:paraId="6AF5CD6C">
            <w:pPr>
              <w:pStyle w:val="6"/>
              <w:spacing w:before="64" w:line="220" w:lineRule="auto"/>
              <w:ind w:left="206"/>
            </w:pPr>
            <w:r>
              <w:rPr>
                <w:spacing w:val="-2"/>
              </w:rPr>
              <w:t>达标</w:t>
            </w:r>
          </w:p>
        </w:tc>
        <w:tc>
          <w:tcPr>
            <w:tcW w:w="959" w:type="dxa"/>
            <w:vAlign w:val="top"/>
          </w:tcPr>
          <w:p w14:paraId="384BEC50">
            <w:pPr>
              <w:pStyle w:val="6"/>
              <w:spacing w:before="85" w:line="204" w:lineRule="auto"/>
              <w:ind w:left="337"/>
            </w:pPr>
            <w:r>
              <w:rPr>
                <w:spacing w:val="-2"/>
              </w:rPr>
              <w:t>27.63</w:t>
            </w:r>
          </w:p>
        </w:tc>
        <w:tc>
          <w:tcPr>
            <w:tcW w:w="939" w:type="dxa"/>
            <w:vAlign w:val="top"/>
          </w:tcPr>
          <w:p w14:paraId="5A8F18C6">
            <w:pPr>
              <w:pStyle w:val="6"/>
              <w:spacing w:before="85" w:line="204" w:lineRule="auto"/>
              <w:ind w:left="357"/>
            </w:pPr>
            <w:r>
              <w:rPr>
                <w:spacing w:val="-2"/>
              </w:rPr>
              <w:t>45</w:t>
            </w:r>
          </w:p>
        </w:tc>
        <w:tc>
          <w:tcPr>
            <w:tcW w:w="864" w:type="dxa"/>
            <w:vAlign w:val="top"/>
          </w:tcPr>
          <w:p w14:paraId="09A362ED">
            <w:pPr>
              <w:pStyle w:val="6"/>
              <w:spacing w:before="64" w:line="220" w:lineRule="auto"/>
              <w:ind w:left="209"/>
            </w:pPr>
            <w:r>
              <w:rPr>
                <w:spacing w:val="-2"/>
              </w:rPr>
              <w:t>达标</w:t>
            </w:r>
          </w:p>
        </w:tc>
      </w:tr>
      <w:tr w14:paraId="24F90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914" w:type="dxa"/>
            <w:vMerge w:val="continue"/>
            <w:tcBorders>
              <w:top w:val="nil"/>
              <w:bottom w:val="nil"/>
            </w:tcBorders>
            <w:vAlign w:val="top"/>
          </w:tcPr>
          <w:p w14:paraId="781FFC2B">
            <w:pPr>
              <w:rPr>
                <w:rFonts w:ascii="Arial"/>
                <w:sz w:val="21"/>
              </w:rPr>
            </w:pPr>
          </w:p>
        </w:tc>
        <w:tc>
          <w:tcPr>
            <w:tcW w:w="2797" w:type="dxa"/>
            <w:vAlign w:val="top"/>
          </w:tcPr>
          <w:p w14:paraId="2D669EB7">
            <w:pPr>
              <w:pStyle w:val="6"/>
              <w:spacing w:before="75" w:line="220" w:lineRule="auto"/>
              <w:ind w:left="561"/>
            </w:pPr>
            <w:r>
              <w:rPr>
                <w:spacing w:val="1"/>
              </w:rPr>
              <w:t>升压站场界南面5</w:t>
            </w:r>
          </w:p>
        </w:tc>
        <w:tc>
          <w:tcPr>
            <w:tcW w:w="1039" w:type="dxa"/>
            <w:vAlign w:val="top"/>
          </w:tcPr>
          <w:p w14:paraId="3E1BE7BE">
            <w:pPr>
              <w:pStyle w:val="6"/>
              <w:spacing w:before="96" w:line="204" w:lineRule="auto"/>
              <w:ind w:left="394"/>
            </w:pPr>
            <w:r>
              <w:rPr>
                <w:spacing w:val="-2"/>
              </w:rPr>
              <w:t>26.74</w:t>
            </w:r>
          </w:p>
        </w:tc>
        <w:tc>
          <w:tcPr>
            <w:tcW w:w="879" w:type="dxa"/>
            <w:vAlign w:val="top"/>
          </w:tcPr>
          <w:p w14:paraId="50B9387C">
            <w:pPr>
              <w:pStyle w:val="6"/>
              <w:spacing w:before="96" w:line="204" w:lineRule="auto"/>
              <w:ind w:left="325"/>
            </w:pPr>
            <w:r>
              <w:rPr>
                <w:spacing w:val="-4"/>
              </w:rPr>
              <w:t>55</w:t>
            </w:r>
          </w:p>
        </w:tc>
        <w:tc>
          <w:tcPr>
            <w:tcW w:w="859" w:type="dxa"/>
            <w:vAlign w:val="top"/>
          </w:tcPr>
          <w:p w14:paraId="7913F5A2">
            <w:pPr>
              <w:pStyle w:val="6"/>
              <w:spacing w:before="75" w:line="220" w:lineRule="auto"/>
              <w:ind w:left="206"/>
            </w:pPr>
            <w:r>
              <w:rPr>
                <w:spacing w:val="-2"/>
              </w:rPr>
              <w:t>达标</w:t>
            </w:r>
          </w:p>
        </w:tc>
        <w:tc>
          <w:tcPr>
            <w:tcW w:w="959" w:type="dxa"/>
            <w:vAlign w:val="top"/>
          </w:tcPr>
          <w:p w14:paraId="74AB7466">
            <w:pPr>
              <w:pStyle w:val="6"/>
              <w:spacing w:before="96" w:line="204" w:lineRule="auto"/>
              <w:ind w:left="337"/>
            </w:pPr>
            <w:r>
              <w:rPr>
                <w:spacing w:val="-2"/>
              </w:rPr>
              <w:t>25.64</w:t>
            </w:r>
          </w:p>
        </w:tc>
        <w:tc>
          <w:tcPr>
            <w:tcW w:w="939" w:type="dxa"/>
            <w:vAlign w:val="top"/>
          </w:tcPr>
          <w:p w14:paraId="632D977D">
            <w:pPr>
              <w:pStyle w:val="6"/>
              <w:spacing w:before="96" w:line="204" w:lineRule="auto"/>
              <w:ind w:left="357"/>
            </w:pPr>
            <w:r>
              <w:rPr>
                <w:spacing w:val="-2"/>
              </w:rPr>
              <w:t>45</w:t>
            </w:r>
          </w:p>
        </w:tc>
        <w:tc>
          <w:tcPr>
            <w:tcW w:w="864" w:type="dxa"/>
            <w:vAlign w:val="top"/>
          </w:tcPr>
          <w:p w14:paraId="08DD6A08">
            <w:pPr>
              <w:pStyle w:val="6"/>
              <w:spacing w:before="75" w:line="220" w:lineRule="auto"/>
              <w:ind w:left="209"/>
            </w:pPr>
            <w:r>
              <w:rPr>
                <w:spacing w:val="-2"/>
              </w:rPr>
              <w:t>达标</w:t>
            </w:r>
          </w:p>
        </w:tc>
      </w:tr>
      <w:tr w14:paraId="438D0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14" w:type="dxa"/>
            <w:vMerge w:val="continue"/>
            <w:tcBorders>
              <w:top w:val="nil"/>
              <w:bottom w:val="nil"/>
            </w:tcBorders>
            <w:vAlign w:val="top"/>
          </w:tcPr>
          <w:p w14:paraId="487D9339">
            <w:pPr>
              <w:rPr>
                <w:rFonts w:ascii="Arial"/>
                <w:sz w:val="21"/>
              </w:rPr>
            </w:pPr>
          </w:p>
        </w:tc>
        <w:tc>
          <w:tcPr>
            <w:tcW w:w="2797" w:type="dxa"/>
            <w:vAlign w:val="top"/>
          </w:tcPr>
          <w:p w14:paraId="17443EAB">
            <w:pPr>
              <w:pStyle w:val="6"/>
              <w:spacing w:before="55" w:line="213" w:lineRule="auto"/>
              <w:ind w:left="561"/>
            </w:pPr>
            <w:r>
              <w:rPr>
                <w:spacing w:val="2"/>
              </w:rPr>
              <w:t>升压站场界西面1</w:t>
            </w:r>
          </w:p>
        </w:tc>
        <w:tc>
          <w:tcPr>
            <w:tcW w:w="1039" w:type="dxa"/>
            <w:vAlign w:val="top"/>
          </w:tcPr>
          <w:p w14:paraId="0F6A5318">
            <w:pPr>
              <w:pStyle w:val="6"/>
              <w:spacing w:before="76" w:line="195" w:lineRule="auto"/>
              <w:ind w:left="394"/>
            </w:pPr>
            <w:r>
              <w:rPr>
                <w:spacing w:val="-3"/>
              </w:rPr>
              <w:t>32.97</w:t>
            </w:r>
          </w:p>
        </w:tc>
        <w:tc>
          <w:tcPr>
            <w:tcW w:w="879" w:type="dxa"/>
            <w:vAlign w:val="top"/>
          </w:tcPr>
          <w:p w14:paraId="7C469385">
            <w:pPr>
              <w:pStyle w:val="6"/>
              <w:spacing w:before="76" w:line="195" w:lineRule="auto"/>
              <w:ind w:left="325"/>
            </w:pPr>
            <w:r>
              <w:rPr>
                <w:spacing w:val="-4"/>
              </w:rPr>
              <w:t>55</w:t>
            </w:r>
          </w:p>
        </w:tc>
        <w:tc>
          <w:tcPr>
            <w:tcW w:w="859" w:type="dxa"/>
            <w:vAlign w:val="top"/>
          </w:tcPr>
          <w:p w14:paraId="1AE2C8B8">
            <w:pPr>
              <w:pStyle w:val="6"/>
              <w:spacing w:before="55" w:line="213" w:lineRule="auto"/>
              <w:ind w:left="206"/>
            </w:pPr>
            <w:r>
              <w:rPr>
                <w:spacing w:val="-2"/>
              </w:rPr>
              <w:t>达标</w:t>
            </w:r>
          </w:p>
        </w:tc>
        <w:tc>
          <w:tcPr>
            <w:tcW w:w="959" w:type="dxa"/>
            <w:vAlign w:val="top"/>
          </w:tcPr>
          <w:p w14:paraId="54A9772C">
            <w:pPr>
              <w:pStyle w:val="6"/>
              <w:spacing w:before="76" w:line="195" w:lineRule="auto"/>
              <w:ind w:left="337"/>
            </w:pPr>
            <w:r>
              <w:rPr>
                <w:spacing w:val="-3"/>
              </w:rPr>
              <w:t>32.72</w:t>
            </w:r>
          </w:p>
        </w:tc>
        <w:tc>
          <w:tcPr>
            <w:tcW w:w="939" w:type="dxa"/>
            <w:vAlign w:val="top"/>
          </w:tcPr>
          <w:p w14:paraId="1E5A251C">
            <w:pPr>
              <w:pStyle w:val="6"/>
              <w:spacing w:before="76" w:line="195" w:lineRule="auto"/>
              <w:ind w:left="357"/>
            </w:pPr>
            <w:r>
              <w:rPr>
                <w:spacing w:val="-2"/>
              </w:rPr>
              <w:t>45</w:t>
            </w:r>
          </w:p>
        </w:tc>
        <w:tc>
          <w:tcPr>
            <w:tcW w:w="864" w:type="dxa"/>
            <w:vAlign w:val="top"/>
          </w:tcPr>
          <w:p w14:paraId="392FC978">
            <w:pPr>
              <w:pStyle w:val="6"/>
              <w:spacing w:before="55" w:line="213" w:lineRule="auto"/>
              <w:ind w:left="209"/>
            </w:pPr>
            <w:r>
              <w:rPr>
                <w:spacing w:val="-2"/>
              </w:rPr>
              <w:t>达标</w:t>
            </w:r>
          </w:p>
        </w:tc>
      </w:tr>
      <w:tr w14:paraId="24CD21F9">
        <w:tblPrEx>
          <w:tblCellMar>
            <w:top w:w="0" w:type="dxa"/>
            <w:left w:w="0" w:type="dxa"/>
            <w:bottom w:w="0" w:type="dxa"/>
            <w:right w:w="0" w:type="dxa"/>
          </w:tblCellMar>
        </w:tblPrEx>
        <w:trPr>
          <w:trHeight w:val="350" w:hRule="atLeast"/>
        </w:trPr>
        <w:tc>
          <w:tcPr>
            <w:tcW w:w="914" w:type="dxa"/>
            <w:vMerge w:val="continue"/>
            <w:tcBorders>
              <w:top w:val="nil"/>
              <w:bottom w:val="nil"/>
            </w:tcBorders>
            <w:vAlign w:val="top"/>
          </w:tcPr>
          <w:p w14:paraId="3B90993C">
            <w:pPr>
              <w:rPr>
                <w:rFonts w:ascii="Arial"/>
                <w:sz w:val="21"/>
              </w:rPr>
            </w:pPr>
          </w:p>
        </w:tc>
        <w:tc>
          <w:tcPr>
            <w:tcW w:w="2797" w:type="dxa"/>
            <w:vAlign w:val="top"/>
          </w:tcPr>
          <w:p w14:paraId="01A894D2">
            <w:pPr>
              <w:pStyle w:val="6"/>
              <w:spacing w:before="76" w:line="220" w:lineRule="auto"/>
              <w:ind w:left="561"/>
            </w:pPr>
            <w:r>
              <w:rPr>
                <w:spacing w:val="1"/>
              </w:rPr>
              <w:t>升压站场界西面2</w:t>
            </w:r>
          </w:p>
        </w:tc>
        <w:tc>
          <w:tcPr>
            <w:tcW w:w="1039" w:type="dxa"/>
            <w:vAlign w:val="top"/>
          </w:tcPr>
          <w:p w14:paraId="1B5B964D">
            <w:pPr>
              <w:pStyle w:val="6"/>
              <w:spacing w:before="98" w:line="203" w:lineRule="auto"/>
              <w:ind w:left="394"/>
            </w:pPr>
            <w:r>
              <w:rPr>
                <w:spacing w:val="-3"/>
              </w:rPr>
              <w:t>33.42</w:t>
            </w:r>
          </w:p>
        </w:tc>
        <w:tc>
          <w:tcPr>
            <w:tcW w:w="879" w:type="dxa"/>
            <w:vAlign w:val="top"/>
          </w:tcPr>
          <w:p w14:paraId="472F3FFB">
            <w:pPr>
              <w:pStyle w:val="6"/>
              <w:spacing w:before="98" w:line="203" w:lineRule="auto"/>
              <w:ind w:left="325"/>
            </w:pPr>
            <w:r>
              <w:rPr>
                <w:spacing w:val="-4"/>
              </w:rPr>
              <w:t>55</w:t>
            </w:r>
          </w:p>
        </w:tc>
        <w:tc>
          <w:tcPr>
            <w:tcW w:w="859" w:type="dxa"/>
            <w:vAlign w:val="top"/>
          </w:tcPr>
          <w:p w14:paraId="249EC107">
            <w:pPr>
              <w:pStyle w:val="6"/>
              <w:spacing w:before="76" w:line="220" w:lineRule="auto"/>
              <w:ind w:left="206"/>
            </w:pPr>
            <w:r>
              <w:rPr>
                <w:spacing w:val="-2"/>
              </w:rPr>
              <w:t>达标</w:t>
            </w:r>
          </w:p>
        </w:tc>
        <w:tc>
          <w:tcPr>
            <w:tcW w:w="959" w:type="dxa"/>
            <w:vAlign w:val="top"/>
          </w:tcPr>
          <w:p w14:paraId="3451E681">
            <w:pPr>
              <w:pStyle w:val="6"/>
              <w:spacing w:before="98" w:line="203" w:lineRule="auto"/>
              <w:ind w:left="337"/>
            </w:pPr>
            <w:r>
              <w:rPr>
                <w:spacing w:val="-3"/>
              </w:rPr>
              <w:t>33.19</w:t>
            </w:r>
          </w:p>
        </w:tc>
        <w:tc>
          <w:tcPr>
            <w:tcW w:w="939" w:type="dxa"/>
            <w:vAlign w:val="top"/>
          </w:tcPr>
          <w:p w14:paraId="5807EA49">
            <w:pPr>
              <w:pStyle w:val="6"/>
              <w:spacing w:before="98" w:line="203" w:lineRule="auto"/>
              <w:ind w:left="357"/>
            </w:pPr>
            <w:r>
              <w:rPr>
                <w:spacing w:val="-2"/>
              </w:rPr>
              <w:t>45</w:t>
            </w:r>
          </w:p>
        </w:tc>
        <w:tc>
          <w:tcPr>
            <w:tcW w:w="864" w:type="dxa"/>
            <w:vAlign w:val="top"/>
          </w:tcPr>
          <w:p w14:paraId="0C1415D0">
            <w:pPr>
              <w:pStyle w:val="6"/>
              <w:spacing w:before="76" w:line="220" w:lineRule="auto"/>
              <w:ind w:left="209"/>
            </w:pPr>
            <w:r>
              <w:rPr>
                <w:spacing w:val="-2"/>
              </w:rPr>
              <w:t>达标</w:t>
            </w:r>
          </w:p>
        </w:tc>
      </w:tr>
      <w:tr w14:paraId="2C20D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1" w:hRule="atLeast"/>
        </w:trPr>
        <w:tc>
          <w:tcPr>
            <w:tcW w:w="914" w:type="dxa"/>
            <w:vMerge w:val="continue"/>
            <w:tcBorders>
              <w:top w:val="nil"/>
            </w:tcBorders>
            <w:vAlign w:val="top"/>
          </w:tcPr>
          <w:p w14:paraId="0C7C77AF">
            <w:pPr>
              <w:rPr>
                <w:rFonts w:ascii="Arial"/>
                <w:sz w:val="21"/>
              </w:rPr>
            </w:pPr>
          </w:p>
        </w:tc>
        <w:tc>
          <w:tcPr>
            <w:tcW w:w="7472" w:type="dxa"/>
            <w:gridSpan w:val="6"/>
            <w:tcBorders>
              <w:right w:val="nil"/>
            </w:tcBorders>
            <w:vAlign w:val="top"/>
          </w:tcPr>
          <w:p w14:paraId="733EF40A">
            <w:pPr>
              <w:pStyle w:val="6"/>
              <w:spacing w:before="56" w:line="219" w:lineRule="auto"/>
              <w:ind w:left="410"/>
            </w:pPr>
            <w:r>
              <w:rPr>
                <w:spacing w:val="-1"/>
              </w:rPr>
              <w:t>注：项目水泵夜间不运行。</w:t>
            </w:r>
          </w:p>
          <w:p w14:paraId="0A6B189B">
            <w:pPr>
              <w:spacing w:line="255" w:lineRule="auto"/>
              <w:rPr>
                <w:rFonts w:ascii="Arial"/>
                <w:sz w:val="21"/>
              </w:rPr>
            </w:pPr>
          </w:p>
          <w:p w14:paraId="18F5842E">
            <w:pPr>
              <w:spacing w:line="255" w:lineRule="auto"/>
              <w:rPr>
                <w:rFonts w:ascii="Arial"/>
                <w:sz w:val="21"/>
              </w:rPr>
            </w:pPr>
          </w:p>
          <w:p w14:paraId="52B3F686">
            <w:pPr>
              <w:spacing w:line="255" w:lineRule="auto"/>
              <w:rPr>
                <w:rFonts w:ascii="Arial"/>
                <w:sz w:val="21"/>
              </w:rPr>
            </w:pPr>
          </w:p>
          <w:p w14:paraId="204CC5E4">
            <w:pPr>
              <w:spacing w:line="3169" w:lineRule="exact"/>
              <w:ind w:firstLine="2280"/>
            </w:pPr>
            <w:r>
              <w:rPr>
                <w:position w:val="-63"/>
              </w:rPr>
              <w:drawing>
                <wp:inline distT="0" distB="0" distL="0" distR="0">
                  <wp:extent cx="2711450" cy="2012315"/>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318"/>
                          <a:stretch>
                            <a:fillRect/>
                          </a:stretch>
                        </pic:blipFill>
                        <pic:spPr>
                          <a:xfrm>
                            <a:off x="0" y="0"/>
                            <a:ext cx="2711508" cy="2012905"/>
                          </a:xfrm>
                          <a:prstGeom prst="rect">
                            <a:avLst/>
                          </a:prstGeom>
                        </pic:spPr>
                      </pic:pic>
                    </a:graphicData>
                  </a:graphic>
                </wp:inline>
              </w:drawing>
            </w:r>
          </w:p>
        </w:tc>
        <w:tc>
          <w:tcPr>
            <w:tcW w:w="864" w:type="dxa"/>
            <w:tcBorders>
              <w:left w:val="nil"/>
            </w:tcBorders>
            <w:vAlign w:val="top"/>
          </w:tcPr>
          <w:p w14:paraId="7BDA01DF">
            <w:pPr>
              <w:spacing w:line="342" w:lineRule="auto"/>
              <w:rPr>
                <w:rFonts w:ascii="Arial"/>
                <w:sz w:val="21"/>
              </w:rPr>
            </w:pPr>
            <w:r>
              <w:drawing>
                <wp:anchor distT="0" distB="0" distL="0" distR="0" simplePos="0" relativeHeight="251717632" behindDoc="1" locked="0" layoutInCell="1" allowOverlap="1">
                  <wp:simplePos x="0" y="0"/>
                  <wp:positionH relativeFrom="rightMargin">
                    <wp:posOffset>-440690</wp:posOffset>
                  </wp:positionH>
                  <wp:positionV relativeFrom="topMargin">
                    <wp:posOffset>302260</wp:posOffset>
                  </wp:positionV>
                  <wp:extent cx="184150" cy="1828800"/>
                  <wp:effectExtent l="0" t="0" r="0" b="0"/>
                  <wp:wrapNone/>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319"/>
                          <a:stretch>
                            <a:fillRect/>
                          </a:stretch>
                        </pic:blipFill>
                        <pic:spPr>
                          <a:xfrm>
                            <a:off x="0" y="0"/>
                            <a:ext cx="184155" cy="1828874"/>
                          </a:xfrm>
                          <a:prstGeom prst="rect">
                            <a:avLst/>
                          </a:prstGeom>
                        </pic:spPr>
                      </pic:pic>
                    </a:graphicData>
                  </a:graphic>
                </wp:anchor>
              </w:drawing>
            </w:r>
          </w:p>
          <w:p w14:paraId="194D001D">
            <w:pPr>
              <w:spacing w:line="343" w:lineRule="auto"/>
              <w:rPr>
                <w:rFonts w:ascii="Arial"/>
                <w:sz w:val="21"/>
              </w:rPr>
            </w:pPr>
          </w:p>
          <w:p w14:paraId="0F21AD6E">
            <w:pPr>
              <w:pStyle w:val="6"/>
              <w:spacing w:before="68" w:line="214" w:lineRule="auto"/>
              <w:ind w:left="374" w:firstLine="39"/>
            </w:pPr>
            <w:r>
              <w:rPr>
                <w:spacing w:val="-19"/>
                <w:sz w:val="21"/>
                <w:szCs w:val="21"/>
              </w:rPr>
              <w:t>8</w:t>
            </w:r>
            <w:r>
              <w:rPr>
                <w:spacing w:val="-18"/>
                <w:sz w:val="21"/>
                <w:szCs w:val="21"/>
              </w:rPr>
              <w:t>0.0</w:t>
            </w:r>
            <w:r>
              <w:rPr>
                <w:spacing w:val="-12"/>
                <w:sz w:val="21"/>
                <w:szCs w:val="21"/>
              </w:rPr>
              <w:t>0</w:t>
            </w:r>
            <w:r>
              <w:rPr>
                <w:spacing w:val="3"/>
                <w:sz w:val="21"/>
                <w:szCs w:val="21"/>
              </w:rPr>
              <w:t xml:space="preserve"> </w:t>
            </w:r>
            <w:r>
              <w:rPr>
                <w:spacing w:val="-9"/>
                <w:sz w:val="21"/>
                <w:szCs w:val="21"/>
              </w:rPr>
              <w:t>75.00</w:t>
            </w:r>
            <w:r>
              <w:rPr>
                <w:spacing w:val="3"/>
                <w:sz w:val="21"/>
                <w:szCs w:val="21"/>
              </w:rPr>
              <w:t xml:space="preserve"> </w:t>
            </w:r>
            <w:r>
              <w:rPr>
                <w:spacing w:val="-9"/>
                <w:sz w:val="21"/>
                <w:szCs w:val="21"/>
              </w:rPr>
              <w:t>70.00</w:t>
            </w:r>
            <w:r>
              <w:rPr>
                <w:spacing w:val="3"/>
                <w:sz w:val="21"/>
                <w:szCs w:val="21"/>
              </w:rPr>
              <w:t xml:space="preserve"> </w:t>
            </w:r>
            <w:r>
              <w:rPr>
                <w:spacing w:val="-9"/>
                <w:sz w:val="21"/>
                <w:szCs w:val="21"/>
              </w:rPr>
              <w:t>65.00</w:t>
            </w:r>
            <w:r>
              <w:rPr>
                <w:spacing w:val="3"/>
                <w:sz w:val="21"/>
                <w:szCs w:val="21"/>
              </w:rPr>
              <w:t xml:space="preserve"> </w:t>
            </w:r>
            <w:r>
              <w:rPr>
                <w:spacing w:val="-9"/>
                <w:sz w:val="21"/>
                <w:szCs w:val="21"/>
              </w:rPr>
              <w:t>60.00</w:t>
            </w:r>
            <w:r>
              <w:rPr>
                <w:spacing w:val="3"/>
                <w:sz w:val="21"/>
                <w:szCs w:val="21"/>
              </w:rPr>
              <w:t xml:space="preserve"> </w:t>
            </w:r>
            <w:r>
              <w:rPr>
                <w:spacing w:val="-9"/>
                <w:sz w:val="21"/>
                <w:szCs w:val="21"/>
              </w:rPr>
              <w:t>55.00</w:t>
            </w:r>
            <w:r>
              <w:rPr>
                <w:spacing w:val="3"/>
                <w:sz w:val="21"/>
                <w:szCs w:val="21"/>
              </w:rPr>
              <w:t xml:space="preserve"> </w:t>
            </w:r>
            <w:r>
              <w:rPr>
                <w:spacing w:val="-15"/>
              </w:rPr>
              <w:t>50</w:t>
            </w:r>
            <w:r>
              <w:rPr>
                <w:spacing w:val="-14"/>
              </w:rPr>
              <w:t>.0</w:t>
            </w:r>
            <w:r>
              <w:rPr>
                <w:spacing w:val="-12"/>
              </w:rPr>
              <w:t>0</w:t>
            </w:r>
            <w:r>
              <w:rPr>
                <w:spacing w:val="3"/>
              </w:rPr>
              <w:t xml:space="preserve"> </w:t>
            </w:r>
            <w:r>
              <w:rPr>
                <w:spacing w:val="-15"/>
              </w:rPr>
              <w:t>45</w:t>
            </w:r>
            <w:r>
              <w:rPr>
                <w:spacing w:val="-14"/>
              </w:rPr>
              <w:t>.0</w:t>
            </w:r>
            <w:r>
              <w:rPr>
                <w:spacing w:val="-12"/>
              </w:rPr>
              <w:t>0</w:t>
            </w:r>
            <w:r>
              <w:rPr>
                <w:spacing w:val="3"/>
              </w:rPr>
              <w:t xml:space="preserve"> </w:t>
            </w:r>
            <w:r>
              <w:rPr>
                <w:spacing w:val="-15"/>
              </w:rPr>
              <w:t>40</w:t>
            </w:r>
            <w:r>
              <w:rPr>
                <w:spacing w:val="-14"/>
              </w:rPr>
              <w:t>.0</w:t>
            </w:r>
            <w:r>
              <w:rPr>
                <w:spacing w:val="-12"/>
              </w:rPr>
              <w:t>0</w:t>
            </w:r>
            <w:r>
              <w:rPr>
                <w:spacing w:val="3"/>
              </w:rPr>
              <w:t xml:space="preserve"> </w:t>
            </w:r>
            <w:r>
              <w:rPr>
                <w:spacing w:val="-15"/>
              </w:rPr>
              <w:t>35</w:t>
            </w:r>
            <w:r>
              <w:rPr>
                <w:spacing w:val="-14"/>
              </w:rPr>
              <w:t>.0</w:t>
            </w:r>
            <w:r>
              <w:rPr>
                <w:spacing w:val="-12"/>
              </w:rPr>
              <w:t>0</w:t>
            </w:r>
          </w:p>
          <w:p w14:paraId="3E00A578">
            <w:pPr>
              <w:pStyle w:val="6"/>
              <w:spacing w:line="238" w:lineRule="auto"/>
              <w:jc w:val="right"/>
            </w:pPr>
            <w:r>
              <w:rPr>
                <w:spacing w:val="-12"/>
              </w:rPr>
              <w:t>30.00</w:t>
            </w:r>
          </w:p>
        </w:tc>
      </w:tr>
    </w:tbl>
    <w:p w14:paraId="0FBA52E2">
      <w:pPr>
        <w:pStyle w:val="2"/>
      </w:pPr>
    </w:p>
    <w:p w14:paraId="51858E21">
      <w:pPr>
        <w:sectPr>
          <w:footerReference r:id="rId171" w:type="default"/>
          <w:pgSz w:w="11910" w:h="16830"/>
          <w:pgMar w:top="400" w:right="1385" w:bottom="1259" w:left="1264" w:header="0" w:footer="1079" w:gutter="0"/>
          <w:cols w:space="720" w:num="1"/>
        </w:sectPr>
      </w:pPr>
    </w:p>
    <w:p w14:paraId="52B7A35A">
      <w:pPr>
        <w:spacing w:before="18"/>
      </w:pPr>
    </w:p>
    <w:p w14:paraId="0E294701">
      <w:pPr>
        <w:spacing w:before="17"/>
      </w:pPr>
    </w:p>
    <w:p w14:paraId="5567A958">
      <w:pPr>
        <w:spacing w:before="17"/>
      </w:pPr>
    </w:p>
    <w:p w14:paraId="343DA4F9">
      <w:pPr>
        <w:spacing w:before="17"/>
      </w:pPr>
    </w:p>
    <w:tbl>
      <w:tblPr>
        <w:tblStyle w:val="5"/>
        <w:tblW w:w="945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7216"/>
        <w:gridCol w:w="1338"/>
      </w:tblGrid>
      <w:tr w14:paraId="3C0FF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9" w:hRule="atLeast"/>
        </w:trPr>
        <w:tc>
          <w:tcPr>
            <w:tcW w:w="904" w:type="dxa"/>
            <w:vMerge w:val="restart"/>
            <w:tcBorders>
              <w:bottom w:val="nil"/>
            </w:tcBorders>
            <w:vAlign w:val="top"/>
          </w:tcPr>
          <w:p w14:paraId="347B532D">
            <w:pPr>
              <w:rPr>
                <w:rFonts w:ascii="Arial"/>
                <w:sz w:val="21"/>
              </w:rPr>
            </w:pPr>
          </w:p>
        </w:tc>
        <w:tc>
          <w:tcPr>
            <w:tcW w:w="7216" w:type="dxa"/>
            <w:tcBorders>
              <w:bottom w:val="nil"/>
              <w:right w:val="nil"/>
            </w:tcBorders>
            <w:vAlign w:val="top"/>
          </w:tcPr>
          <w:p w14:paraId="03DBB57C">
            <w:pPr>
              <w:pStyle w:val="6"/>
              <w:spacing w:before="41" w:line="219" w:lineRule="auto"/>
              <w:ind w:left="1614"/>
              <w:rPr>
                <w:sz w:val="24"/>
                <w:szCs w:val="24"/>
              </w:rPr>
            </w:pPr>
            <w:r>
              <w:rPr>
                <w:b/>
                <w:bCs/>
                <w:spacing w:val="-2"/>
                <w:sz w:val="24"/>
                <w:szCs w:val="24"/>
              </w:rPr>
              <w:t>图4-6</w:t>
            </w:r>
            <w:r>
              <w:rPr>
                <w:spacing w:val="-2"/>
                <w:sz w:val="24"/>
                <w:szCs w:val="24"/>
              </w:rPr>
              <w:t xml:space="preserve">  </w:t>
            </w:r>
            <w:r>
              <w:rPr>
                <w:b/>
                <w:bCs/>
                <w:spacing w:val="-2"/>
                <w:sz w:val="24"/>
                <w:szCs w:val="24"/>
              </w:rPr>
              <w:t>升压站运营期厂界噪声贡献昼间等值线图</w:t>
            </w:r>
          </w:p>
          <w:p w14:paraId="08B3E68A">
            <w:pPr>
              <w:spacing w:line="287" w:lineRule="auto"/>
              <w:rPr>
                <w:rFonts w:ascii="Arial"/>
                <w:sz w:val="21"/>
              </w:rPr>
            </w:pPr>
          </w:p>
          <w:p w14:paraId="0CAA4149">
            <w:pPr>
              <w:spacing w:line="288" w:lineRule="auto"/>
              <w:rPr>
                <w:rFonts w:ascii="Arial"/>
                <w:sz w:val="21"/>
              </w:rPr>
            </w:pPr>
          </w:p>
          <w:p w14:paraId="10DD6282">
            <w:pPr>
              <w:spacing w:line="288" w:lineRule="auto"/>
              <w:rPr>
                <w:rFonts w:ascii="Arial"/>
                <w:sz w:val="21"/>
              </w:rPr>
            </w:pPr>
          </w:p>
          <w:p w14:paraId="196D57CE">
            <w:pPr>
              <w:spacing w:line="2980" w:lineRule="exact"/>
              <w:ind w:firstLine="771"/>
            </w:pPr>
            <w:r>
              <w:rPr>
                <w:position w:val="-59"/>
              </w:rPr>
              <w:drawing>
                <wp:inline distT="0" distB="0" distL="0" distR="0">
                  <wp:extent cx="3035300" cy="1892300"/>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320"/>
                          <a:stretch>
                            <a:fillRect/>
                          </a:stretch>
                        </pic:blipFill>
                        <pic:spPr>
                          <a:xfrm>
                            <a:off x="0" y="0"/>
                            <a:ext cx="3035349" cy="1892355"/>
                          </a:xfrm>
                          <a:prstGeom prst="rect">
                            <a:avLst/>
                          </a:prstGeom>
                        </pic:spPr>
                      </pic:pic>
                    </a:graphicData>
                  </a:graphic>
                </wp:inline>
              </w:drawing>
            </w:r>
          </w:p>
        </w:tc>
        <w:tc>
          <w:tcPr>
            <w:tcW w:w="1338" w:type="dxa"/>
            <w:tcBorders>
              <w:left w:val="nil"/>
              <w:bottom w:val="nil"/>
            </w:tcBorders>
            <w:vAlign w:val="top"/>
          </w:tcPr>
          <w:p w14:paraId="156F7C30">
            <w:pPr>
              <w:spacing w:line="283" w:lineRule="auto"/>
              <w:rPr>
                <w:rFonts w:ascii="Arial"/>
                <w:sz w:val="21"/>
              </w:rPr>
            </w:pPr>
          </w:p>
          <w:p w14:paraId="188C6C5A">
            <w:pPr>
              <w:pStyle w:val="6"/>
              <w:spacing w:line="3443" w:lineRule="exact"/>
              <w:ind w:firstLine="430"/>
            </w:pPr>
            <w:r>
              <w:rPr>
                <w:position w:val="-68"/>
              </w:rPr>
              <w:pict>
                <v:group id="_x0000_s1124" o:spid="_x0000_s1124" o:spt="203" style="height:172.2pt;width:41.45pt;" coordsize="829,3443">
                  <o:lock v:ext="edit"/>
                  <v:shape id="_x0000_s1125" o:spid="_x0000_s1125" o:spt="75" type="#_x0000_t75" style="position:absolute;left:0;top:0;height:3330;width:810;" filled="f" stroked="f" coordsize="21600,21600">
                    <v:path/>
                    <v:fill on="f" focussize="0,0"/>
                    <v:stroke on="f"/>
                    <v:imagedata r:id="rId321" o:title=""/>
                    <o:lock v:ext="edit" aspectratio="t"/>
                  </v:shape>
                  <v:shape id="_x0000_s1126" o:spid="_x0000_s1126" o:spt="202" type="#_x0000_t202" style="position:absolute;left:-20;top:-20;height:3483;width:869;" filled="f" stroked="f" coordsize="21600,21600">
                    <v:path/>
                    <v:fill on="f" focussize="0,0"/>
                    <v:stroke on="f"/>
                    <v:imagedata o:title=""/>
                    <o:lock v:ext="edit" aspectratio="f"/>
                    <v:textbox inset="0mm,0mm,0mm,0mm">
                      <w:txbxContent>
                        <w:p w14:paraId="3B2D81CA">
                          <w:pPr>
                            <w:spacing w:line="281" w:lineRule="auto"/>
                            <w:rPr>
                              <w:rFonts w:ascii="Arial"/>
                              <w:sz w:val="21"/>
                            </w:rPr>
                          </w:pPr>
                        </w:p>
                        <w:p w14:paraId="2C8CEC65">
                          <w:pPr>
                            <w:spacing w:line="281" w:lineRule="auto"/>
                            <w:rPr>
                              <w:rFonts w:ascii="Arial"/>
                              <w:sz w:val="21"/>
                            </w:rPr>
                          </w:pPr>
                        </w:p>
                        <w:p w14:paraId="7E7B3018">
                          <w:pPr>
                            <w:spacing w:before="78" w:line="239" w:lineRule="auto"/>
                            <w:ind w:left="199"/>
                            <w:rPr>
                              <w:rFonts w:ascii="宋体" w:hAnsi="宋体" w:eastAsia="宋体" w:cs="宋体"/>
                              <w:sz w:val="24"/>
                              <w:szCs w:val="24"/>
                            </w:rPr>
                          </w:pPr>
                          <w:r>
                            <w:rPr>
                              <w:rFonts w:ascii="宋体" w:hAnsi="宋体" w:eastAsia="宋体" w:cs="宋体"/>
                              <w:spacing w:val="-3"/>
                              <w:sz w:val="24"/>
                              <w:szCs w:val="24"/>
                            </w:rPr>
                            <w:t>75.00</w:t>
                          </w:r>
                        </w:p>
                        <w:p w14:paraId="65300637">
                          <w:pPr>
                            <w:spacing w:before="271" w:line="234" w:lineRule="auto"/>
                            <w:ind w:left="259" w:right="20"/>
                            <w:rPr>
                              <w:rFonts w:ascii="宋体" w:hAnsi="宋体" w:eastAsia="宋体" w:cs="宋体"/>
                              <w:sz w:val="16"/>
                              <w:szCs w:val="16"/>
                            </w:rPr>
                          </w:pPr>
                          <w:r>
                            <w:rPr>
                              <w:rFonts w:ascii="宋体" w:hAnsi="宋体" w:eastAsia="宋体" w:cs="宋体"/>
                              <w:spacing w:val="-3"/>
                              <w:sz w:val="24"/>
                              <w:szCs w:val="24"/>
                            </w:rPr>
                            <w:t>65</w:t>
                          </w:r>
                          <w:r>
                            <w:rPr>
                              <w:rFonts w:ascii="宋体" w:hAnsi="宋体" w:eastAsia="宋体" w:cs="宋体"/>
                              <w:color w:val="1020B0"/>
                              <w:spacing w:val="-3"/>
                              <w:sz w:val="24"/>
                              <w:szCs w:val="24"/>
                            </w:rPr>
                            <w:t>.</w:t>
                          </w:r>
                          <w:r>
                            <w:rPr>
                              <w:rFonts w:ascii="宋体" w:hAnsi="宋体" w:eastAsia="宋体" w:cs="宋体"/>
                              <w:spacing w:val="-3"/>
                              <w:sz w:val="24"/>
                              <w:szCs w:val="24"/>
                            </w:rPr>
                            <w:t>00</w:t>
                          </w:r>
                          <w:r>
                            <w:rPr>
                              <w:rFonts w:ascii="宋体" w:hAnsi="宋体" w:eastAsia="宋体" w:cs="宋体"/>
                              <w:spacing w:val="2"/>
                              <w:sz w:val="24"/>
                              <w:szCs w:val="24"/>
                            </w:rPr>
                            <w:t xml:space="preserve"> </w:t>
                          </w:r>
                          <w:r>
                            <w:rPr>
                              <w:rFonts w:ascii="宋体" w:hAnsi="宋体" w:eastAsia="宋体" w:cs="宋体"/>
                              <w:spacing w:val="-3"/>
                              <w:sz w:val="24"/>
                              <w:szCs w:val="24"/>
                            </w:rPr>
                            <w:t>60.00</w:t>
                          </w:r>
                          <w:r>
                            <w:rPr>
                              <w:rFonts w:ascii="宋体" w:hAnsi="宋体" w:eastAsia="宋体" w:cs="宋体"/>
                              <w:spacing w:val="2"/>
                              <w:sz w:val="24"/>
                              <w:szCs w:val="24"/>
                            </w:rPr>
                            <w:t xml:space="preserve"> </w:t>
                          </w:r>
                          <w:r>
                            <w:rPr>
                              <w:rFonts w:ascii="宋体" w:hAnsi="宋体" w:eastAsia="宋体" w:cs="宋体"/>
                              <w:color w:val="204050"/>
                              <w:spacing w:val="-3"/>
                              <w:sz w:val="24"/>
                              <w:szCs w:val="24"/>
                            </w:rPr>
                            <w:t>55.</w:t>
                          </w:r>
                          <w:r>
                            <w:rPr>
                              <w:rFonts w:ascii="宋体" w:hAnsi="宋体" w:eastAsia="宋体" w:cs="宋体"/>
                              <w:spacing w:val="-3"/>
                              <w:sz w:val="24"/>
                              <w:szCs w:val="24"/>
                            </w:rPr>
                            <w:t>00</w:t>
                          </w:r>
                          <w:r>
                            <w:rPr>
                              <w:rFonts w:ascii="宋体" w:hAnsi="宋体" w:eastAsia="宋体" w:cs="宋体"/>
                              <w:spacing w:val="2"/>
                              <w:sz w:val="24"/>
                              <w:szCs w:val="24"/>
                            </w:rPr>
                            <w:t xml:space="preserve"> </w:t>
                          </w:r>
                          <w:r>
                            <w:rPr>
                              <w:rFonts w:ascii="宋体" w:hAnsi="宋体" w:eastAsia="宋体" w:cs="宋体"/>
                              <w:color w:val="203040"/>
                              <w:spacing w:val="2"/>
                              <w:sz w:val="18"/>
                              <w:szCs w:val="18"/>
                            </w:rPr>
                            <w:t>50.</w:t>
                          </w:r>
                          <w:r>
                            <w:rPr>
                              <w:rFonts w:ascii="宋体" w:hAnsi="宋体" w:eastAsia="宋体" w:cs="宋体"/>
                              <w:spacing w:val="2"/>
                              <w:sz w:val="18"/>
                              <w:szCs w:val="18"/>
                            </w:rPr>
                            <w:t>00</w:t>
                          </w:r>
                          <w:r>
                            <w:rPr>
                              <w:rFonts w:ascii="宋体" w:hAnsi="宋体" w:eastAsia="宋体" w:cs="宋体"/>
                              <w:sz w:val="18"/>
                              <w:szCs w:val="18"/>
                            </w:rPr>
                            <w:t xml:space="preserve">  </w:t>
                          </w:r>
                          <w:r>
                            <w:rPr>
                              <w:rFonts w:ascii="宋体" w:hAnsi="宋体" w:eastAsia="宋体" w:cs="宋体"/>
                              <w:color w:val="204050"/>
                              <w:spacing w:val="2"/>
                              <w:sz w:val="16"/>
                              <w:szCs w:val="16"/>
                            </w:rPr>
                            <w:t>45.</w:t>
                          </w:r>
                          <w:r>
                            <w:rPr>
                              <w:rFonts w:ascii="宋体" w:hAnsi="宋体" w:eastAsia="宋体" w:cs="宋体"/>
                              <w:spacing w:val="2"/>
                              <w:sz w:val="16"/>
                              <w:szCs w:val="16"/>
                            </w:rPr>
                            <w:t>00</w:t>
                          </w:r>
                        </w:p>
                        <w:p w14:paraId="5A47694D">
                          <w:pPr>
                            <w:spacing w:before="67" w:line="251" w:lineRule="auto"/>
                            <w:ind w:left="279" w:right="20"/>
                            <w:rPr>
                              <w:rFonts w:ascii="宋体" w:hAnsi="宋体" w:eastAsia="宋体" w:cs="宋体"/>
                              <w:sz w:val="24"/>
                              <w:szCs w:val="24"/>
                            </w:rPr>
                          </w:pPr>
                          <w:r>
                            <w:rPr>
                              <w:rFonts w:ascii="宋体" w:hAnsi="宋体" w:eastAsia="宋体" w:cs="宋体"/>
                              <w:spacing w:val="-2"/>
                              <w:sz w:val="18"/>
                              <w:szCs w:val="18"/>
                            </w:rPr>
                            <w:t>40.00</w:t>
                          </w:r>
                          <w:r>
                            <w:rPr>
                              <w:rFonts w:ascii="宋体" w:hAnsi="宋体" w:eastAsia="宋体" w:cs="宋体"/>
                              <w:spacing w:val="1"/>
                              <w:sz w:val="18"/>
                              <w:szCs w:val="18"/>
                            </w:rPr>
                            <w:t xml:space="preserve">  </w:t>
                          </w:r>
                          <w:r>
                            <w:rPr>
                              <w:rFonts w:ascii="宋体" w:hAnsi="宋体" w:eastAsia="宋体" w:cs="宋体"/>
                              <w:color w:val="407060"/>
                              <w:spacing w:val="-7"/>
                              <w:sz w:val="24"/>
                              <w:szCs w:val="24"/>
                            </w:rPr>
                            <w:t>35.</w:t>
                          </w:r>
                          <w:r>
                            <w:rPr>
                              <w:rFonts w:ascii="宋体" w:hAnsi="宋体" w:eastAsia="宋体" w:cs="宋体"/>
                              <w:spacing w:val="-7"/>
                              <w:sz w:val="24"/>
                              <w:szCs w:val="24"/>
                            </w:rPr>
                            <w:t>00</w:t>
                          </w:r>
                          <w:r>
                            <w:rPr>
                              <w:rFonts w:ascii="宋体" w:hAnsi="宋体" w:eastAsia="宋体" w:cs="宋体"/>
                              <w:spacing w:val="2"/>
                              <w:sz w:val="24"/>
                              <w:szCs w:val="24"/>
                            </w:rPr>
                            <w:t xml:space="preserve"> </w:t>
                          </w:r>
                          <w:r>
                            <w:rPr>
                              <w:rFonts w:ascii="宋体" w:hAnsi="宋体" w:eastAsia="宋体" w:cs="宋体"/>
                              <w:color w:val="306060"/>
                              <w:spacing w:val="-7"/>
                              <w:sz w:val="24"/>
                              <w:szCs w:val="24"/>
                            </w:rPr>
                            <w:t>30.</w:t>
                          </w:r>
                          <w:r>
                            <w:rPr>
                              <w:rFonts w:ascii="宋体" w:hAnsi="宋体" w:eastAsia="宋体" w:cs="宋体"/>
                              <w:spacing w:val="-7"/>
                              <w:sz w:val="24"/>
                              <w:szCs w:val="24"/>
                            </w:rPr>
                            <w:t>00</w:t>
                          </w:r>
                        </w:p>
                      </w:txbxContent>
                    </v:textbox>
                  </v:shape>
                  <w10:wrap type="none"/>
                  <w10:anchorlock/>
                </v:group>
              </w:pict>
            </w:r>
          </w:p>
        </w:tc>
      </w:tr>
      <w:tr w14:paraId="7A7E2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0" w:hRule="atLeast"/>
        </w:trPr>
        <w:tc>
          <w:tcPr>
            <w:tcW w:w="904" w:type="dxa"/>
            <w:vMerge w:val="continue"/>
            <w:tcBorders>
              <w:top w:val="nil"/>
            </w:tcBorders>
            <w:vAlign w:val="top"/>
          </w:tcPr>
          <w:p w14:paraId="7F11B209">
            <w:pPr>
              <w:rPr>
                <w:rFonts w:ascii="Arial"/>
                <w:sz w:val="21"/>
              </w:rPr>
            </w:pPr>
          </w:p>
        </w:tc>
        <w:tc>
          <w:tcPr>
            <w:tcW w:w="8554" w:type="dxa"/>
            <w:gridSpan w:val="2"/>
            <w:tcBorders>
              <w:top w:val="nil"/>
            </w:tcBorders>
            <w:vAlign w:val="top"/>
          </w:tcPr>
          <w:p w14:paraId="3F3D9265">
            <w:pPr>
              <w:pStyle w:val="6"/>
              <w:spacing w:before="292" w:line="219" w:lineRule="auto"/>
              <w:ind w:left="1664"/>
              <w:rPr>
                <w:sz w:val="24"/>
                <w:szCs w:val="24"/>
              </w:rPr>
            </w:pPr>
            <w:r>
              <w:rPr>
                <w:b/>
                <w:bCs/>
                <w:spacing w:val="-2"/>
                <w:sz w:val="24"/>
                <w:szCs w:val="24"/>
              </w:rPr>
              <w:t>图4-7升压站运营期厂界噪声贡献夜间等值线图</w:t>
            </w:r>
          </w:p>
          <w:p w14:paraId="66F53AA1">
            <w:pPr>
              <w:pStyle w:val="6"/>
              <w:spacing w:before="179" w:line="359" w:lineRule="auto"/>
              <w:ind w:left="111" w:right="52" w:firstLine="469"/>
              <w:jc w:val="both"/>
              <w:rPr>
                <w:sz w:val="24"/>
                <w:szCs w:val="24"/>
              </w:rPr>
            </w:pPr>
            <w:r>
              <w:rPr>
                <w:sz w:val="24"/>
                <w:szCs w:val="24"/>
              </w:rPr>
              <w:t>根据以上预测结果，项目运营期昼间、夜间升压站</w:t>
            </w:r>
            <w:r>
              <w:rPr>
                <w:spacing w:val="-1"/>
                <w:sz w:val="24"/>
                <w:szCs w:val="24"/>
              </w:rPr>
              <w:t>各场界的噪声贡献值均能</w:t>
            </w:r>
            <w:r>
              <w:rPr>
                <w:sz w:val="24"/>
                <w:szCs w:val="24"/>
              </w:rPr>
              <w:t xml:space="preserve"> </w:t>
            </w:r>
            <w:r>
              <w:rPr>
                <w:spacing w:val="1"/>
                <w:sz w:val="24"/>
                <w:szCs w:val="24"/>
              </w:rPr>
              <w:t>达到《工业企业厂界环境噪声排放标准》1类标准。表明其受</w:t>
            </w:r>
            <w:r>
              <w:rPr>
                <w:sz w:val="24"/>
                <w:szCs w:val="24"/>
              </w:rPr>
              <w:t xml:space="preserve">升压站运营噪声的 </w:t>
            </w:r>
            <w:r>
              <w:rPr>
                <w:spacing w:val="-1"/>
                <w:sz w:val="24"/>
                <w:szCs w:val="24"/>
              </w:rPr>
              <w:t>影响可接受。</w:t>
            </w:r>
          </w:p>
          <w:p w14:paraId="33C58DAE">
            <w:pPr>
              <w:pStyle w:val="6"/>
              <w:spacing w:line="220" w:lineRule="auto"/>
              <w:ind w:left="721"/>
              <w:rPr>
                <w:sz w:val="24"/>
                <w:szCs w:val="24"/>
              </w:rPr>
            </w:pPr>
            <w:r>
              <w:rPr>
                <w:spacing w:val="1"/>
                <w:sz w:val="24"/>
                <w:szCs w:val="24"/>
              </w:rPr>
              <w:t>(6)关心点噪声分析</w:t>
            </w:r>
          </w:p>
          <w:p w14:paraId="66FDCB13">
            <w:pPr>
              <w:pStyle w:val="6"/>
              <w:spacing w:before="181" w:line="219" w:lineRule="auto"/>
              <w:ind w:left="581"/>
              <w:rPr>
                <w:sz w:val="24"/>
                <w:szCs w:val="24"/>
              </w:rPr>
            </w:pPr>
            <w:r>
              <w:rPr>
                <w:sz w:val="24"/>
                <w:szCs w:val="24"/>
              </w:rPr>
              <w:t>本项目升压站周边200m范围没有声环境敏感目</w:t>
            </w:r>
            <w:r>
              <w:rPr>
                <w:spacing w:val="-1"/>
                <w:sz w:val="24"/>
                <w:szCs w:val="24"/>
              </w:rPr>
              <w:t>标。</w:t>
            </w:r>
          </w:p>
          <w:p w14:paraId="006383EA">
            <w:pPr>
              <w:pStyle w:val="6"/>
              <w:spacing w:before="173" w:line="219" w:lineRule="auto"/>
              <w:ind w:left="104"/>
              <w:rPr>
                <w:sz w:val="24"/>
                <w:szCs w:val="24"/>
              </w:rPr>
            </w:pPr>
            <w:r>
              <w:rPr>
                <w:b/>
                <w:bCs/>
                <w:spacing w:val="-4"/>
                <w:sz w:val="24"/>
                <w:szCs w:val="24"/>
              </w:rPr>
              <w:t>6固体废弃物环境影响分析</w:t>
            </w:r>
          </w:p>
          <w:p w14:paraId="4B3B24E9">
            <w:pPr>
              <w:pStyle w:val="6"/>
              <w:spacing w:before="198" w:line="356" w:lineRule="auto"/>
              <w:ind w:left="131" w:firstLine="466"/>
              <w:rPr>
                <w:sz w:val="24"/>
                <w:szCs w:val="24"/>
              </w:rPr>
            </w:pPr>
            <w:r>
              <w:rPr>
                <w:spacing w:val="-2"/>
                <w:sz w:val="24"/>
                <w:szCs w:val="24"/>
              </w:rPr>
              <w:t>项目运营期产生的固体废物包括废太阳能电池组件、变压器事故废油、</w:t>
            </w:r>
            <w:r>
              <w:rPr>
                <w:spacing w:val="-3"/>
                <w:sz w:val="24"/>
                <w:szCs w:val="24"/>
              </w:rPr>
              <w:t>废铅</w:t>
            </w:r>
            <w:r>
              <w:rPr>
                <w:sz w:val="24"/>
                <w:szCs w:val="24"/>
              </w:rPr>
              <w:t xml:space="preserve"> </w:t>
            </w:r>
            <w:r>
              <w:rPr>
                <w:spacing w:val="-6"/>
                <w:sz w:val="24"/>
                <w:szCs w:val="24"/>
              </w:rPr>
              <w:t>蓄电池、员工生活垃圾、餐厨垃圾、化粪池污泥、一</w:t>
            </w:r>
            <w:r>
              <w:rPr>
                <w:spacing w:val="-7"/>
                <w:sz w:val="24"/>
                <w:szCs w:val="24"/>
              </w:rPr>
              <w:t>体化生活废水处理站污泥等。</w:t>
            </w:r>
          </w:p>
          <w:p w14:paraId="6991F016">
            <w:pPr>
              <w:pStyle w:val="6"/>
              <w:spacing w:before="2" w:line="220" w:lineRule="auto"/>
              <w:ind w:left="94"/>
              <w:rPr>
                <w:sz w:val="24"/>
                <w:szCs w:val="24"/>
              </w:rPr>
            </w:pPr>
            <w:r>
              <w:rPr>
                <w:b/>
                <w:bCs/>
                <w:spacing w:val="-4"/>
                <w:sz w:val="24"/>
                <w:szCs w:val="24"/>
              </w:rPr>
              <w:t>6.1工业固废</w:t>
            </w:r>
          </w:p>
          <w:p w14:paraId="6612AC44">
            <w:pPr>
              <w:pStyle w:val="6"/>
              <w:spacing w:before="197" w:line="219" w:lineRule="auto"/>
              <w:ind w:left="721"/>
              <w:rPr>
                <w:sz w:val="24"/>
                <w:szCs w:val="24"/>
              </w:rPr>
            </w:pPr>
            <w:r>
              <w:rPr>
                <w:sz w:val="24"/>
                <w:szCs w:val="24"/>
              </w:rPr>
              <w:t>(1)废太阳能电池组件</w:t>
            </w:r>
          </w:p>
          <w:p w14:paraId="0E36F53C">
            <w:pPr>
              <w:pStyle w:val="6"/>
              <w:spacing w:before="163" w:line="219" w:lineRule="auto"/>
              <w:ind w:left="571"/>
              <w:rPr>
                <w:sz w:val="24"/>
                <w:szCs w:val="24"/>
              </w:rPr>
            </w:pPr>
            <w:r>
              <w:rPr>
                <w:sz w:val="24"/>
                <w:szCs w:val="24"/>
              </w:rPr>
              <w:t>项目光伏组件设计使用寿命25年，为保障光伏发电正常稳定运行，由专业</w:t>
            </w:r>
          </w:p>
          <w:p w14:paraId="4CBE2260">
            <w:pPr>
              <w:pStyle w:val="6"/>
              <w:spacing w:before="176" w:line="359" w:lineRule="auto"/>
              <w:ind w:left="111"/>
              <w:rPr>
                <w:sz w:val="24"/>
                <w:szCs w:val="24"/>
              </w:rPr>
            </w:pPr>
            <w:r>
              <w:rPr>
                <w:spacing w:val="-1"/>
                <w:sz w:val="24"/>
                <w:szCs w:val="24"/>
              </w:rPr>
              <w:t>公司进行定期维护，当检查及维护到光伏太阳能电板寿命到期或电板存在质量问</w:t>
            </w:r>
            <w:r>
              <w:rPr>
                <w:spacing w:val="6"/>
                <w:sz w:val="24"/>
                <w:szCs w:val="24"/>
              </w:rPr>
              <w:t xml:space="preserve"> </w:t>
            </w:r>
            <w:r>
              <w:rPr>
                <w:spacing w:val="-2"/>
                <w:sz w:val="24"/>
                <w:szCs w:val="24"/>
              </w:rPr>
              <w:t>题时需要进行更换，更换量按照0.01%计，光伏电池板共95348块，每块约34.6kg,</w:t>
            </w:r>
            <w:r>
              <w:rPr>
                <w:sz w:val="24"/>
                <w:szCs w:val="24"/>
              </w:rPr>
              <w:t xml:space="preserve"> </w:t>
            </w:r>
            <w:r>
              <w:rPr>
                <w:spacing w:val="-3"/>
                <w:sz w:val="24"/>
                <w:szCs w:val="24"/>
              </w:rPr>
              <w:t>则废旧光伏电池板产生量约0.33t/a。更换下来的废旧光伏电</w:t>
            </w:r>
            <w:r>
              <w:rPr>
                <w:spacing w:val="-4"/>
                <w:sz w:val="24"/>
                <w:szCs w:val="24"/>
              </w:rPr>
              <w:t>池板由专业维护公司</w:t>
            </w:r>
          </w:p>
          <w:p w14:paraId="209AFD68">
            <w:pPr>
              <w:pStyle w:val="6"/>
              <w:spacing w:before="11" w:line="352" w:lineRule="auto"/>
              <w:ind w:left="111" w:right="44"/>
              <w:rPr>
                <w:sz w:val="24"/>
                <w:szCs w:val="24"/>
              </w:rPr>
            </w:pPr>
            <w:r>
              <w:rPr>
                <w:sz w:val="24"/>
                <w:szCs w:val="24"/>
              </w:rPr>
              <w:t>直接带走，不在项目区暂存；平时如有碎裂的废旧</w:t>
            </w:r>
            <w:r>
              <w:rPr>
                <w:spacing w:val="-1"/>
                <w:sz w:val="24"/>
                <w:szCs w:val="24"/>
              </w:rPr>
              <w:t>光伏电池板，贮存于综合楼内</w:t>
            </w:r>
            <w:r>
              <w:rPr>
                <w:sz w:val="24"/>
                <w:szCs w:val="24"/>
              </w:rPr>
              <w:t xml:space="preserve"> </w:t>
            </w:r>
            <w:r>
              <w:rPr>
                <w:spacing w:val="4"/>
                <w:sz w:val="24"/>
                <w:szCs w:val="24"/>
              </w:rPr>
              <w:t>的一般废物储存间(保持干燥通风，建筑面积为20m²</w:t>
            </w:r>
            <w:r>
              <w:rPr>
                <w:spacing w:val="3"/>
                <w:sz w:val="24"/>
                <w:szCs w:val="24"/>
              </w:rPr>
              <w:t>),最终由专业的维护公</w:t>
            </w:r>
          </w:p>
          <w:p w14:paraId="4FEDE8FA">
            <w:pPr>
              <w:pStyle w:val="6"/>
              <w:spacing w:before="28" w:line="221" w:lineRule="auto"/>
              <w:ind w:left="101"/>
              <w:rPr>
                <w:sz w:val="24"/>
                <w:szCs w:val="24"/>
              </w:rPr>
            </w:pPr>
            <w:r>
              <w:rPr>
                <w:sz w:val="24"/>
                <w:szCs w:val="24"/>
              </w:rPr>
              <w:t>司处理。</w:t>
            </w:r>
          </w:p>
          <w:p w14:paraId="0DB7BFD9">
            <w:pPr>
              <w:pStyle w:val="6"/>
              <w:spacing w:before="166" w:line="216" w:lineRule="auto"/>
              <w:ind w:left="581"/>
              <w:rPr>
                <w:sz w:val="24"/>
                <w:szCs w:val="24"/>
              </w:rPr>
            </w:pPr>
            <w:r>
              <w:rPr>
                <w:sz w:val="24"/>
                <w:szCs w:val="24"/>
              </w:rPr>
              <w:t>根据《国家危险废物名录》,太阳能电池板中不含名录中所列的危险废</w:t>
            </w:r>
            <w:r>
              <w:rPr>
                <w:spacing w:val="-1"/>
                <w:sz w:val="24"/>
                <w:szCs w:val="24"/>
              </w:rPr>
              <w:t>物。</w:t>
            </w:r>
          </w:p>
        </w:tc>
      </w:tr>
    </w:tbl>
    <w:p w14:paraId="2934C500">
      <w:pPr>
        <w:pStyle w:val="2"/>
      </w:pPr>
    </w:p>
    <w:p w14:paraId="76B010CD">
      <w:pPr>
        <w:sectPr>
          <w:footerReference r:id="rId172" w:type="default"/>
          <w:pgSz w:w="11910" w:h="16830"/>
          <w:pgMar w:top="400" w:right="1206" w:bottom="1259" w:left="1234" w:header="0" w:footer="1079" w:gutter="0"/>
          <w:cols w:space="720" w:num="1"/>
        </w:sectPr>
      </w:pPr>
    </w:p>
    <w:p w14:paraId="43B72C05">
      <w:pPr>
        <w:spacing w:before="15"/>
      </w:pPr>
    </w:p>
    <w:p w14:paraId="034E26CE">
      <w:pPr>
        <w:spacing w:before="15"/>
      </w:pPr>
    </w:p>
    <w:p w14:paraId="2FCB6420">
      <w:pPr>
        <w:spacing w:before="15"/>
      </w:pPr>
    </w:p>
    <w:p w14:paraId="265B932D">
      <w:pPr>
        <w:spacing w:before="14"/>
      </w:pPr>
    </w:p>
    <w:tbl>
      <w:tblPr>
        <w:tblStyle w:val="5"/>
        <w:tblW w:w="94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96"/>
      </w:tblGrid>
      <w:tr w14:paraId="44A5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904" w:type="dxa"/>
            <w:vAlign w:val="top"/>
          </w:tcPr>
          <w:p w14:paraId="4780AD34">
            <w:pPr>
              <w:rPr>
                <w:rFonts w:ascii="Arial"/>
                <w:sz w:val="21"/>
              </w:rPr>
            </w:pPr>
          </w:p>
        </w:tc>
        <w:tc>
          <w:tcPr>
            <w:tcW w:w="8496" w:type="dxa"/>
            <w:vAlign w:val="top"/>
          </w:tcPr>
          <w:p w14:paraId="38051B06">
            <w:pPr>
              <w:pStyle w:val="6"/>
              <w:spacing w:before="20" w:line="358" w:lineRule="auto"/>
              <w:ind w:left="111" w:right="374" w:hanging="30"/>
              <w:rPr>
                <w:sz w:val="24"/>
                <w:szCs w:val="24"/>
              </w:rPr>
            </w:pPr>
            <w:r>
              <w:rPr>
                <w:sz w:val="24"/>
                <w:szCs w:val="24"/>
              </w:rPr>
              <w:t>太阳能电池采用的材料是晶体硅，硅电池片所含主要化学</w:t>
            </w:r>
            <w:r>
              <w:rPr>
                <w:spacing w:val="-1"/>
                <w:sz w:val="24"/>
                <w:szCs w:val="24"/>
              </w:rPr>
              <w:t>成分有Si、P和B,硅</w:t>
            </w:r>
            <w:r>
              <w:rPr>
                <w:sz w:val="24"/>
                <w:szCs w:val="24"/>
              </w:rPr>
              <w:t xml:space="preserve"> 电池中晶体Si纯度为6个9(6N)以上的高纯硅材料，即纯度为99.9999%以上</w:t>
            </w:r>
          </w:p>
          <w:p w14:paraId="45587A44">
            <w:pPr>
              <w:pStyle w:val="6"/>
              <w:spacing w:before="2" w:line="360" w:lineRule="auto"/>
              <w:ind w:left="31" w:right="46" w:firstLine="120"/>
              <w:jc w:val="both"/>
              <w:rPr>
                <w:sz w:val="24"/>
                <w:szCs w:val="24"/>
              </w:rPr>
            </w:pPr>
            <w:r>
              <w:rPr>
                <w:sz w:val="24"/>
                <w:szCs w:val="24"/>
              </w:rPr>
              <w:t>的硅材料。Si、P和B均以晶体形式存在，不具有腐蚀性、易燃性、毒性、反应</w:t>
            </w:r>
            <w:r>
              <w:rPr>
                <w:spacing w:val="4"/>
                <w:sz w:val="24"/>
                <w:szCs w:val="24"/>
              </w:rPr>
              <w:t xml:space="preserve">  </w:t>
            </w:r>
            <w:r>
              <w:rPr>
                <w:sz w:val="24"/>
                <w:szCs w:val="24"/>
              </w:rPr>
              <w:t>性和感染性的危险特性。因此，本项目所使用的太阳能电池板报废后属一般工业</w:t>
            </w:r>
            <w:r>
              <w:rPr>
                <w:spacing w:val="7"/>
                <w:sz w:val="24"/>
                <w:szCs w:val="24"/>
              </w:rPr>
              <w:t xml:space="preserve"> </w:t>
            </w:r>
            <w:r>
              <w:rPr>
                <w:spacing w:val="4"/>
                <w:sz w:val="24"/>
                <w:szCs w:val="24"/>
              </w:rPr>
              <w:t>固体废物，不属于危险废物。</w:t>
            </w:r>
          </w:p>
          <w:p w14:paraId="7286EC06">
            <w:pPr>
              <w:pStyle w:val="6"/>
              <w:spacing w:before="7" w:line="220" w:lineRule="auto"/>
              <w:ind w:left="700"/>
              <w:rPr>
                <w:sz w:val="24"/>
                <w:szCs w:val="24"/>
              </w:rPr>
            </w:pPr>
            <w:r>
              <w:rPr>
                <w:spacing w:val="2"/>
                <w:sz w:val="24"/>
                <w:szCs w:val="24"/>
              </w:rPr>
              <w:t>(2)变压器事故废油</w:t>
            </w:r>
          </w:p>
          <w:p w14:paraId="2FA26A27">
            <w:pPr>
              <w:pStyle w:val="6"/>
              <w:spacing w:before="171" w:line="362" w:lineRule="auto"/>
              <w:ind w:left="91" w:right="4" w:firstLine="469"/>
              <w:rPr>
                <w:sz w:val="24"/>
                <w:szCs w:val="24"/>
              </w:rPr>
            </w:pPr>
            <w:r>
              <w:rPr>
                <w:sz w:val="24"/>
                <w:szCs w:val="24"/>
              </w:rPr>
              <w:t>本项目升压站主变压器及光伏阵列配套的箱式变压器均选用油浸式变压器， 依靠变压器油作冷却介质。</w:t>
            </w:r>
          </w:p>
          <w:p w14:paraId="1AB1C080">
            <w:pPr>
              <w:pStyle w:val="6"/>
              <w:spacing w:line="358" w:lineRule="auto"/>
              <w:ind w:left="31" w:right="4" w:firstLine="539"/>
              <w:rPr>
                <w:sz w:val="24"/>
                <w:szCs w:val="24"/>
              </w:rPr>
            </w:pPr>
            <w:r>
              <w:rPr>
                <w:sz w:val="24"/>
                <w:szCs w:val="24"/>
              </w:rPr>
              <w:t>根据与建设单位核实，本项目为节能环保项目，在</w:t>
            </w:r>
            <w:r>
              <w:rPr>
                <w:spacing w:val="-1"/>
                <w:sz w:val="24"/>
                <w:szCs w:val="24"/>
              </w:rPr>
              <w:t>运营期间，变压器内的油</w:t>
            </w:r>
            <w:r>
              <w:rPr>
                <w:sz w:val="24"/>
                <w:szCs w:val="24"/>
              </w:rPr>
              <w:t xml:space="preserve"> 不进行更换，也不会泄露，因此正常情况下不会产生废变压器油。在维修和事故</w:t>
            </w:r>
            <w:r>
              <w:rPr>
                <w:spacing w:val="9"/>
                <w:sz w:val="24"/>
                <w:szCs w:val="24"/>
              </w:rPr>
              <w:t xml:space="preserve"> </w:t>
            </w:r>
            <w:r>
              <w:rPr>
                <w:color w:val="304040"/>
                <w:spacing w:val="3"/>
                <w:sz w:val="24"/>
                <w:szCs w:val="24"/>
              </w:rPr>
              <w:t>情</w:t>
            </w:r>
            <w:r>
              <w:rPr>
                <w:spacing w:val="3"/>
                <w:sz w:val="24"/>
                <w:szCs w:val="24"/>
              </w:rPr>
              <w:t>况下，主变压器和箱式变压器产生的废油产生量约为15.42t/a(事故检修时，</w:t>
            </w:r>
          </w:p>
          <w:p w14:paraId="19EDFD30">
            <w:pPr>
              <w:pStyle w:val="6"/>
              <w:spacing w:before="2" w:line="362" w:lineRule="auto"/>
              <w:ind w:left="101" w:right="594"/>
              <w:rPr>
                <w:sz w:val="24"/>
                <w:szCs w:val="24"/>
              </w:rPr>
            </w:pPr>
            <w:r>
              <w:rPr>
                <w:sz w:val="24"/>
                <w:szCs w:val="24"/>
              </w:rPr>
              <w:t>产生量按变压器油总量的20%计，(29.1+2×24)×20%=1</w:t>
            </w:r>
            <w:r>
              <w:rPr>
                <w:spacing w:val="-1"/>
                <w:sz w:val="24"/>
                <w:szCs w:val="24"/>
              </w:rPr>
              <w:t>5.42,大部分油回收</w:t>
            </w:r>
            <w:r>
              <w:rPr>
                <w:sz w:val="24"/>
                <w:szCs w:val="24"/>
              </w:rPr>
              <w:t xml:space="preserve"> 利用，少量无法利用的废油产生量即为废变压器油产生量)。</w:t>
            </w:r>
          </w:p>
          <w:p w14:paraId="34A5F62B">
            <w:pPr>
              <w:pStyle w:val="6"/>
              <w:spacing w:before="4" w:line="356" w:lineRule="auto"/>
              <w:ind w:left="151" w:firstLine="449"/>
              <w:rPr>
                <w:sz w:val="24"/>
                <w:szCs w:val="24"/>
              </w:rPr>
            </w:pPr>
            <w:r>
              <w:rPr>
                <w:spacing w:val="-1"/>
                <w:sz w:val="24"/>
                <w:szCs w:val="24"/>
              </w:rPr>
              <w:t>当箱式变压器发生故障时，设备检修拟委托有资质的电力运营维护专</w:t>
            </w:r>
            <w:r>
              <w:rPr>
                <w:spacing w:val="-2"/>
                <w:sz w:val="24"/>
                <w:szCs w:val="24"/>
              </w:rPr>
              <w:t>业公司</w:t>
            </w:r>
            <w:r>
              <w:rPr>
                <w:sz w:val="24"/>
                <w:szCs w:val="24"/>
              </w:rPr>
              <w:t xml:space="preserve"> </w:t>
            </w:r>
            <w:r>
              <w:rPr>
                <w:spacing w:val="4"/>
                <w:sz w:val="24"/>
                <w:szCs w:val="24"/>
              </w:rPr>
              <w:t>进行。为预防箱变在检修过程中废油泄漏，箱变事故</w:t>
            </w:r>
            <w:r>
              <w:rPr>
                <w:spacing w:val="3"/>
                <w:sz w:val="24"/>
                <w:szCs w:val="24"/>
              </w:rPr>
              <w:t>油池容积为4.84m³(每台</w:t>
            </w:r>
            <w:r>
              <w:rPr>
                <w:sz w:val="24"/>
                <w:szCs w:val="24"/>
              </w:rPr>
              <w:t xml:space="preserve">  </w:t>
            </w:r>
            <w:r>
              <w:rPr>
                <w:spacing w:val="7"/>
                <w:sz w:val="24"/>
                <w:szCs w:val="24"/>
              </w:rPr>
              <w:t>箱变油重2t,变压器油容重为0.895t/m³,故每台箱变油容积为2.23m³)(本项</w:t>
            </w:r>
          </w:p>
          <w:p w14:paraId="734B6F9D">
            <w:pPr>
              <w:pStyle w:val="6"/>
              <w:spacing w:before="10" w:line="358" w:lineRule="auto"/>
              <w:ind w:left="31" w:right="41" w:firstLine="120"/>
              <w:rPr>
                <w:sz w:val="24"/>
                <w:szCs w:val="24"/>
              </w:rPr>
            </w:pPr>
            <w:r>
              <w:rPr>
                <w:spacing w:val="3"/>
                <w:sz w:val="24"/>
                <w:szCs w:val="24"/>
              </w:rPr>
              <w:t>目共计设置24个箱变事故油池，容积均为4.84m³)。当发生事故时变压器油泄</w:t>
            </w:r>
            <w:r>
              <w:rPr>
                <w:spacing w:val="7"/>
                <w:sz w:val="24"/>
                <w:szCs w:val="24"/>
              </w:rPr>
              <w:t xml:space="preserve">  </w:t>
            </w:r>
            <w:r>
              <w:rPr>
                <w:sz w:val="24"/>
                <w:szCs w:val="24"/>
              </w:rPr>
              <w:t>漏时，废油可排入事故油池收集贮存，项目所设事故油池可满足箱式变压器全部</w:t>
            </w:r>
            <w:r>
              <w:rPr>
                <w:spacing w:val="12"/>
                <w:sz w:val="24"/>
                <w:szCs w:val="24"/>
              </w:rPr>
              <w:t xml:space="preserve"> </w:t>
            </w:r>
            <w:r>
              <w:rPr>
                <w:sz w:val="24"/>
                <w:szCs w:val="24"/>
              </w:rPr>
              <w:t>变压器油的暂存要求；事故油池中的变压器油大部分能回收利用，不能利用的废</w:t>
            </w:r>
            <w:r>
              <w:rPr>
                <w:spacing w:val="11"/>
                <w:sz w:val="24"/>
                <w:szCs w:val="24"/>
              </w:rPr>
              <w:t xml:space="preserve"> </w:t>
            </w:r>
            <w:r>
              <w:rPr>
                <w:sz w:val="24"/>
                <w:szCs w:val="24"/>
              </w:rPr>
              <w:t>油用矿物油收集桶收集，存放在升压站危险废物暂存间内，定期委托有资质的单</w:t>
            </w:r>
            <w:r>
              <w:rPr>
                <w:spacing w:val="9"/>
                <w:sz w:val="24"/>
                <w:szCs w:val="24"/>
              </w:rPr>
              <w:t xml:space="preserve"> 位进行处置。</w:t>
            </w:r>
          </w:p>
          <w:p w14:paraId="4361FE18">
            <w:pPr>
              <w:pStyle w:val="6"/>
              <w:spacing w:before="4" w:line="360" w:lineRule="auto"/>
              <w:ind w:left="91" w:right="9" w:firstLine="489"/>
              <w:rPr>
                <w:sz w:val="24"/>
                <w:szCs w:val="24"/>
              </w:rPr>
            </w:pPr>
            <w:r>
              <w:rPr>
                <w:spacing w:val="-1"/>
                <w:sz w:val="24"/>
                <w:szCs w:val="24"/>
              </w:rPr>
              <w:t>当升压站主变压器发生事故时，设备检修拟委托有资质的电力运营维护专业</w:t>
            </w:r>
            <w:r>
              <w:rPr>
                <w:spacing w:val="7"/>
                <w:sz w:val="24"/>
                <w:szCs w:val="24"/>
              </w:rPr>
              <w:t xml:space="preserve"> </w:t>
            </w:r>
            <w:r>
              <w:rPr>
                <w:sz w:val="24"/>
                <w:szCs w:val="24"/>
              </w:rPr>
              <w:t>公司进行。为预防事故废油泄漏，可研设计要求在主变下方设置集油井(容积不</w:t>
            </w:r>
            <w:r>
              <w:rPr>
                <w:spacing w:val="12"/>
                <w:sz w:val="24"/>
                <w:szCs w:val="24"/>
              </w:rPr>
              <w:t xml:space="preserve"> </w:t>
            </w:r>
            <w:r>
              <w:rPr>
                <w:spacing w:val="6"/>
                <w:sz w:val="24"/>
                <w:szCs w:val="24"/>
              </w:rPr>
              <w:t>低于30m³)和事故油池(事故油池容积不低于50m³,可存油量约为44.75t,变</w:t>
            </w:r>
          </w:p>
          <w:p w14:paraId="5CB71043">
            <w:pPr>
              <w:pStyle w:val="6"/>
              <w:spacing w:line="216" w:lineRule="auto"/>
              <w:ind w:left="101"/>
              <w:rPr>
                <w:sz w:val="24"/>
                <w:szCs w:val="24"/>
              </w:rPr>
            </w:pPr>
            <w:r>
              <w:rPr>
                <w:spacing w:val="3"/>
                <w:sz w:val="24"/>
                <w:szCs w:val="24"/>
              </w:rPr>
              <w:t>压器油容重为0.895t/m³),本项目共设有1个50</w:t>
            </w:r>
            <w:r>
              <w:rPr>
                <w:sz w:val="24"/>
                <w:szCs w:val="24"/>
              </w:rPr>
              <w:t>MVA</w:t>
            </w:r>
            <w:r>
              <w:rPr>
                <w:spacing w:val="3"/>
                <w:sz w:val="24"/>
                <w:szCs w:val="24"/>
              </w:rPr>
              <w:t>主变压器，一个主变内冷</w:t>
            </w:r>
          </w:p>
          <w:p w14:paraId="0B64403E">
            <w:pPr>
              <w:pStyle w:val="6"/>
              <w:spacing w:before="193" w:line="219" w:lineRule="auto"/>
              <w:ind w:left="151"/>
              <w:rPr>
                <w:sz w:val="24"/>
                <w:szCs w:val="24"/>
              </w:rPr>
            </w:pPr>
            <w:r>
              <w:rPr>
                <w:sz w:val="24"/>
                <w:szCs w:val="24"/>
              </w:rPr>
              <w:t>却油量约29.1吨，项目所设事故油池能满足单台主变压器事故状态下100%的排</w:t>
            </w:r>
          </w:p>
          <w:p w14:paraId="6E36F42E">
            <w:pPr>
              <w:pStyle w:val="6"/>
              <w:spacing w:before="185" w:line="345" w:lineRule="auto"/>
              <w:ind w:left="31" w:right="43"/>
              <w:jc w:val="both"/>
              <w:rPr>
                <w:sz w:val="24"/>
                <w:szCs w:val="24"/>
              </w:rPr>
            </w:pPr>
            <w:r>
              <w:rPr>
                <w:sz w:val="24"/>
                <w:szCs w:val="24"/>
              </w:rPr>
              <w:t>油量。升压站主变下方集油井与总事故油池有排油管道连接，主变漏油时，变压</w:t>
            </w:r>
            <w:r>
              <w:rPr>
                <w:spacing w:val="10"/>
                <w:sz w:val="24"/>
                <w:szCs w:val="24"/>
              </w:rPr>
              <w:t xml:space="preserve"> </w:t>
            </w:r>
            <w:r>
              <w:rPr>
                <w:sz w:val="24"/>
                <w:szCs w:val="24"/>
              </w:rPr>
              <w:t>器废油经集油井、排油管道进入总事故油池，主变压器</w:t>
            </w:r>
            <w:r>
              <w:rPr>
                <w:spacing w:val="-1"/>
                <w:sz w:val="24"/>
                <w:szCs w:val="24"/>
              </w:rPr>
              <w:t>事故排油经收集后大部分</w:t>
            </w:r>
            <w:r>
              <w:rPr>
                <w:sz w:val="24"/>
                <w:szCs w:val="24"/>
              </w:rPr>
              <w:t xml:space="preserve"> 油回收利用，少量无法利用的废油经收集后储存在升压站危废暂存间内，定期委</w:t>
            </w:r>
          </w:p>
        </w:tc>
      </w:tr>
    </w:tbl>
    <w:p w14:paraId="1CF1CD1C">
      <w:pPr>
        <w:pStyle w:val="2"/>
      </w:pPr>
    </w:p>
    <w:p w14:paraId="1233267B">
      <w:pPr>
        <w:sectPr>
          <w:footerReference r:id="rId173" w:type="default"/>
          <w:pgSz w:w="11910" w:h="16830"/>
          <w:pgMar w:top="400" w:right="1264" w:bottom="1259" w:left="1234" w:header="0" w:footer="1079" w:gutter="0"/>
          <w:cols w:space="720" w:num="1"/>
        </w:sectPr>
      </w:pPr>
    </w:p>
    <w:p w14:paraId="5B072A24">
      <w:pPr>
        <w:spacing w:before="15"/>
      </w:pPr>
    </w:p>
    <w:p w14:paraId="296FB115">
      <w:pPr>
        <w:spacing w:before="15"/>
      </w:pPr>
    </w:p>
    <w:p w14:paraId="7A6AD616">
      <w:pPr>
        <w:spacing w:before="15"/>
      </w:pPr>
    </w:p>
    <w:p w14:paraId="4904BABC">
      <w:pPr>
        <w:spacing w:before="14"/>
      </w:pPr>
    </w:p>
    <w:tbl>
      <w:tblPr>
        <w:tblStyle w:val="5"/>
        <w:tblW w:w="92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3966"/>
        <w:gridCol w:w="3536"/>
        <w:gridCol w:w="834"/>
      </w:tblGrid>
      <w:tr w14:paraId="10162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2" w:hRule="atLeast"/>
        </w:trPr>
        <w:tc>
          <w:tcPr>
            <w:tcW w:w="904" w:type="dxa"/>
            <w:vMerge w:val="restart"/>
            <w:tcBorders>
              <w:bottom w:val="nil"/>
            </w:tcBorders>
            <w:vAlign w:val="top"/>
          </w:tcPr>
          <w:p w14:paraId="7AA89E15">
            <w:pPr>
              <w:rPr>
                <w:rFonts w:ascii="Arial"/>
                <w:sz w:val="21"/>
              </w:rPr>
            </w:pPr>
          </w:p>
        </w:tc>
        <w:tc>
          <w:tcPr>
            <w:tcW w:w="8336" w:type="dxa"/>
            <w:gridSpan w:val="3"/>
            <w:vAlign w:val="top"/>
          </w:tcPr>
          <w:p w14:paraId="0688A241">
            <w:pPr>
              <w:pStyle w:val="6"/>
              <w:spacing w:before="15" w:line="220" w:lineRule="auto"/>
              <w:ind w:left="41"/>
              <w:rPr>
                <w:sz w:val="23"/>
                <w:szCs w:val="23"/>
              </w:rPr>
            </w:pPr>
            <w:r>
              <w:rPr>
                <w:spacing w:val="-1"/>
                <w:sz w:val="23"/>
                <w:szCs w:val="23"/>
              </w:rPr>
              <w:t>托有资质的单位进行清运及处置。</w:t>
            </w:r>
          </w:p>
          <w:p w14:paraId="07913698">
            <w:pPr>
              <w:pStyle w:val="6"/>
              <w:spacing w:before="191" w:line="216" w:lineRule="auto"/>
              <w:ind w:left="481"/>
              <w:rPr>
                <w:sz w:val="23"/>
                <w:szCs w:val="23"/>
              </w:rPr>
            </w:pPr>
            <w:r>
              <w:rPr>
                <w:sz w:val="23"/>
                <w:szCs w:val="23"/>
              </w:rPr>
              <w:t>根据《国家危险废物名录(2021年版)》,上述变压器</w:t>
            </w:r>
            <w:r>
              <w:rPr>
                <w:spacing w:val="-1"/>
                <w:sz w:val="23"/>
                <w:szCs w:val="23"/>
              </w:rPr>
              <w:t>事故废油属于HW08</w:t>
            </w:r>
          </w:p>
          <w:p w14:paraId="75FCCF20">
            <w:pPr>
              <w:pStyle w:val="6"/>
              <w:spacing w:before="200" w:line="216" w:lineRule="auto"/>
              <w:ind w:left="71"/>
              <w:rPr>
                <w:sz w:val="23"/>
                <w:szCs w:val="23"/>
              </w:rPr>
            </w:pPr>
            <w:r>
              <w:rPr>
                <w:sz w:val="23"/>
                <w:szCs w:val="23"/>
              </w:rPr>
              <w:t>中900-220-08“变压器维护、更换和拆解过程中产生的废变压器油”,因此，箱式</w:t>
            </w:r>
          </w:p>
          <w:p w14:paraId="1BA1F281">
            <w:pPr>
              <w:pStyle w:val="6"/>
              <w:spacing w:before="204" w:line="371" w:lineRule="auto"/>
              <w:ind w:left="11" w:right="153" w:firstLine="120"/>
              <w:rPr>
                <w:sz w:val="23"/>
                <w:szCs w:val="23"/>
              </w:rPr>
            </w:pPr>
            <w:r>
              <w:rPr>
                <w:sz w:val="23"/>
                <w:szCs w:val="23"/>
              </w:rPr>
              <w:t>变压器事故废油和升压站事故废油应严格按危险废物要求</w:t>
            </w:r>
            <w:r>
              <w:rPr>
                <w:spacing w:val="-1"/>
                <w:sz w:val="23"/>
                <w:szCs w:val="23"/>
              </w:rPr>
              <w:t>进行管理和处置。升压</w:t>
            </w:r>
            <w:r>
              <w:rPr>
                <w:sz w:val="23"/>
                <w:szCs w:val="23"/>
              </w:rPr>
              <w:t xml:space="preserve"> </w:t>
            </w:r>
            <w:r>
              <w:rPr>
                <w:spacing w:val="1"/>
                <w:sz w:val="23"/>
                <w:szCs w:val="23"/>
              </w:rPr>
              <w:t>站危险废物暂存间应严格按照《危险废物贮存污染控制标准》(</w:t>
            </w:r>
            <w:r>
              <w:rPr>
                <w:sz w:val="23"/>
                <w:szCs w:val="23"/>
              </w:rPr>
              <w:t>GB</w:t>
            </w:r>
            <w:r>
              <w:rPr>
                <w:spacing w:val="1"/>
                <w:sz w:val="23"/>
                <w:szCs w:val="23"/>
              </w:rPr>
              <w:t>18597-2023)</w:t>
            </w:r>
          </w:p>
          <w:p w14:paraId="380A690E">
            <w:pPr>
              <w:pStyle w:val="6"/>
              <w:spacing w:before="15" w:line="380" w:lineRule="auto"/>
              <w:ind w:left="11" w:right="136" w:firstLine="120"/>
              <w:rPr>
                <w:sz w:val="23"/>
                <w:szCs w:val="23"/>
              </w:rPr>
            </w:pPr>
            <w:r>
              <w:rPr>
                <w:sz w:val="23"/>
                <w:szCs w:val="23"/>
              </w:rPr>
              <w:t>的要求进行设计、建设并临时贮存废变压器油，定期委托有资质的单位进行清运</w:t>
            </w:r>
            <w:r>
              <w:rPr>
                <w:spacing w:val="7"/>
                <w:sz w:val="23"/>
                <w:szCs w:val="23"/>
              </w:rPr>
              <w:t xml:space="preserve"> </w:t>
            </w:r>
            <w:r>
              <w:rPr>
                <w:spacing w:val="-1"/>
                <w:sz w:val="23"/>
                <w:szCs w:val="23"/>
              </w:rPr>
              <w:t>及处置。</w:t>
            </w:r>
          </w:p>
          <w:p w14:paraId="5AF27828">
            <w:pPr>
              <w:pStyle w:val="6"/>
              <w:spacing w:line="219" w:lineRule="auto"/>
              <w:ind w:left="71"/>
              <w:rPr>
                <w:sz w:val="23"/>
                <w:szCs w:val="23"/>
              </w:rPr>
            </w:pPr>
            <w:r>
              <w:rPr>
                <w:spacing w:val="-5"/>
                <w:sz w:val="23"/>
                <w:szCs w:val="23"/>
              </w:rPr>
              <w:t>表</w:t>
            </w:r>
            <w:r>
              <w:rPr>
                <w:b/>
                <w:bCs/>
                <w:spacing w:val="-5"/>
                <w:sz w:val="23"/>
                <w:szCs w:val="23"/>
              </w:rPr>
              <w:t>4-22</w:t>
            </w:r>
            <w:r>
              <w:rPr>
                <w:spacing w:val="-5"/>
                <w:sz w:val="23"/>
                <w:szCs w:val="23"/>
              </w:rPr>
              <w:t xml:space="preserve">   </w:t>
            </w:r>
            <w:r>
              <w:rPr>
                <w:b/>
                <w:bCs/>
                <w:spacing w:val="-5"/>
                <w:sz w:val="23"/>
                <w:szCs w:val="23"/>
              </w:rPr>
              <w:t>项目升压站事故油池容积与《火力发电厂与变电站设计防火标准</w:t>
            </w:r>
            <w:r>
              <w:rPr>
                <w:spacing w:val="-5"/>
                <w:sz w:val="23"/>
                <w:szCs w:val="23"/>
              </w:rPr>
              <w:t>》</w:t>
            </w:r>
          </w:p>
          <w:p w14:paraId="53F12727">
            <w:pPr>
              <w:pStyle w:val="6"/>
              <w:spacing w:before="17" w:line="218" w:lineRule="auto"/>
              <w:ind w:left="2664"/>
              <w:rPr>
                <w:sz w:val="23"/>
                <w:szCs w:val="23"/>
              </w:rPr>
            </w:pPr>
            <w:r>
              <w:rPr>
                <w:b/>
                <w:bCs/>
                <w:spacing w:val="-3"/>
                <w:sz w:val="23"/>
                <w:szCs w:val="23"/>
              </w:rPr>
              <w:t>(GB50229-2019)符合性分析</w:t>
            </w:r>
          </w:p>
        </w:tc>
      </w:tr>
      <w:tr w14:paraId="241A4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04" w:type="dxa"/>
            <w:vMerge w:val="continue"/>
            <w:tcBorders>
              <w:top w:val="nil"/>
              <w:bottom w:val="nil"/>
            </w:tcBorders>
            <w:vAlign w:val="top"/>
          </w:tcPr>
          <w:p w14:paraId="455003E6">
            <w:pPr>
              <w:rPr>
                <w:rFonts w:ascii="Arial"/>
                <w:sz w:val="21"/>
              </w:rPr>
            </w:pPr>
          </w:p>
        </w:tc>
        <w:tc>
          <w:tcPr>
            <w:tcW w:w="3966" w:type="dxa"/>
            <w:vAlign w:val="top"/>
          </w:tcPr>
          <w:p w14:paraId="4833FD73">
            <w:pPr>
              <w:pStyle w:val="6"/>
              <w:spacing w:before="163" w:line="220" w:lineRule="auto"/>
              <w:ind w:left="1510"/>
              <w:rPr>
                <w:sz w:val="23"/>
                <w:szCs w:val="23"/>
              </w:rPr>
            </w:pPr>
            <w:r>
              <w:rPr>
                <w:spacing w:val="2"/>
                <w:sz w:val="23"/>
                <w:szCs w:val="23"/>
              </w:rPr>
              <w:t>标准要求</w:t>
            </w:r>
          </w:p>
        </w:tc>
        <w:tc>
          <w:tcPr>
            <w:tcW w:w="3536" w:type="dxa"/>
            <w:vAlign w:val="top"/>
          </w:tcPr>
          <w:p w14:paraId="785367B3">
            <w:pPr>
              <w:pStyle w:val="6"/>
              <w:spacing w:before="161" w:line="219" w:lineRule="auto"/>
              <w:ind w:left="155"/>
              <w:rPr>
                <w:sz w:val="23"/>
                <w:szCs w:val="23"/>
              </w:rPr>
            </w:pPr>
            <w:r>
              <w:rPr>
                <w:spacing w:val="-1"/>
                <w:sz w:val="23"/>
                <w:szCs w:val="23"/>
              </w:rPr>
              <w:t>本项目升压站事故油池建设情况</w:t>
            </w:r>
          </w:p>
        </w:tc>
        <w:tc>
          <w:tcPr>
            <w:tcW w:w="834" w:type="dxa"/>
            <w:vAlign w:val="top"/>
          </w:tcPr>
          <w:p w14:paraId="4370C872">
            <w:pPr>
              <w:pStyle w:val="6"/>
              <w:spacing w:before="42" w:line="212" w:lineRule="auto"/>
              <w:ind w:left="69"/>
              <w:rPr>
                <w:sz w:val="23"/>
                <w:szCs w:val="23"/>
              </w:rPr>
            </w:pPr>
            <w:r>
              <w:rPr>
                <w:spacing w:val="3"/>
                <w:sz w:val="23"/>
                <w:szCs w:val="23"/>
              </w:rPr>
              <w:t>是否符</w:t>
            </w:r>
          </w:p>
          <w:p w14:paraId="5AC3B975">
            <w:pPr>
              <w:pStyle w:val="6"/>
              <w:spacing w:line="187" w:lineRule="auto"/>
              <w:ind w:left="299"/>
              <w:rPr>
                <w:sz w:val="23"/>
                <w:szCs w:val="23"/>
              </w:rPr>
            </w:pPr>
            <w:r>
              <w:rPr>
                <w:sz w:val="23"/>
                <w:szCs w:val="23"/>
              </w:rPr>
              <w:t>合</w:t>
            </w:r>
          </w:p>
        </w:tc>
      </w:tr>
      <w:tr w14:paraId="209C2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8" w:hRule="atLeast"/>
        </w:trPr>
        <w:tc>
          <w:tcPr>
            <w:tcW w:w="904" w:type="dxa"/>
            <w:vMerge w:val="continue"/>
            <w:tcBorders>
              <w:top w:val="nil"/>
              <w:bottom w:val="nil"/>
            </w:tcBorders>
            <w:vAlign w:val="top"/>
          </w:tcPr>
          <w:p w14:paraId="4BD18568">
            <w:pPr>
              <w:rPr>
                <w:rFonts w:ascii="Arial"/>
                <w:sz w:val="21"/>
              </w:rPr>
            </w:pPr>
          </w:p>
        </w:tc>
        <w:tc>
          <w:tcPr>
            <w:tcW w:w="3966" w:type="dxa"/>
            <w:vAlign w:val="top"/>
          </w:tcPr>
          <w:p w14:paraId="2C636310">
            <w:pPr>
              <w:pStyle w:val="6"/>
              <w:spacing w:before="34" w:line="214" w:lineRule="auto"/>
              <w:jc w:val="right"/>
              <w:rPr>
                <w:sz w:val="23"/>
                <w:szCs w:val="23"/>
              </w:rPr>
            </w:pPr>
            <w:r>
              <w:rPr>
                <w:spacing w:val="-10"/>
                <w:sz w:val="23"/>
                <w:szCs w:val="23"/>
              </w:rPr>
              <w:t>户外单台油量为1000kg以上的电气设备，</w:t>
            </w:r>
          </w:p>
          <w:p w14:paraId="4F2729BC">
            <w:pPr>
              <w:pStyle w:val="6"/>
              <w:spacing w:before="20" w:line="209" w:lineRule="auto"/>
              <w:jc w:val="right"/>
              <w:rPr>
                <w:sz w:val="23"/>
                <w:szCs w:val="23"/>
              </w:rPr>
            </w:pPr>
            <w:r>
              <w:rPr>
                <w:spacing w:val="-15"/>
                <w:sz w:val="23"/>
                <w:szCs w:val="23"/>
              </w:rPr>
              <w:t>应设置</w:t>
            </w:r>
            <w:r>
              <w:rPr>
                <w:spacing w:val="-14"/>
                <w:sz w:val="23"/>
                <w:szCs w:val="23"/>
              </w:rPr>
              <w:t>贮油或挡油设施，其容积宜按设</w:t>
            </w:r>
            <w:r>
              <w:rPr>
                <w:spacing w:val="-11"/>
                <w:sz w:val="23"/>
                <w:szCs w:val="23"/>
              </w:rPr>
              <w:t>备</w:t>
            </w:r>
          </w:p>
          <w:p w14:paraId="4D8DC101">
            <w:pPr>
              <w:pStyle w:val="6"/>
              <w:spacing w:before="1" w:line="216" w:lineRule="auto"/>
              <w:jc w:val="right"/>
              <w:rPr>
                <w:sz w:val="23"/>
                <w:szCs w:val="23"/>
              </w:rPr>
            </w:pPr>
            <w:r>
              <w:rPr>
                <w:spacing w:val="-5"/>
                <w:sz w:val="23"/>
                <w:szCs w:val="23"/>
              </w:rPr>
              <w:t>油量的20%设计，并能将事故油排至总事</w:t>
            </w:r>
          </w:p>
          <w:p w14:paraId="048F0717">
            <w:pPr>
              <w:pStyle w:val="6"/>
              <w:spacing w:line="219" w:lineRule="auto"/>
              <w:jc w:val="right"/>
              <w:rPr>
                <w:sz w:val="23"/>
                <w:szCs w:val="23"/>
              </w:rPr>
            </w:pPr>
            <w:r>
              <w:rPr>
                <w:spacing w:val="-16"/>
                <w:sz w:val="23"/>
                <w:szCs w:val="23"/>
              </w:rPr>
              <w:t>故贮油池。总</w:t>
            </w:r>
            <w:r>
              <w:rPr>
                <w:spacing w:val="-15"/>
                <w:sz w:val="23"/>
                <w:szCs w:val="23"/>
              </w:rPr>
              <w:t>事故贮油池的容量应按其</w:t>
            </w:r>
            <w:r>
              <w:rPr>
                <w:spacing w:val="-9"/>
                <w:sz w:val="23"/>
                <w:szCs w:val="23"/>
              </w:rPr>
              <w:t>接</w:t>
            </w:r>
          </w:p>
          <w:p w14:paraId="6DE4F4B6">
            <w:pPr>
              <w:pStyle w:val="6"/>
              <w:spacing w:before="16" w:line="209" w:lineRule="auto"/>
              <w:jc w:val="right"/>
              <w:rPr>
                <w:sz w:val="23"/>
                <w:szCs w:val="23"/>
              </w:rPr>
            </w:pPr>
            <w:r>
              <w:rPr>
                <w:spacing w:val="-16"/>
                <w:sz w:val="23"/>
                <w:szCs w:val="23"/>
              </w:rPr>
              <w:t>入的油量最大的一台设备确定，并设置油</w:t>
            </w:r>
          </w:p>
          <w:p w14:paraId="2340361C">
            <w:pPr>
              <w:pStyle w:val="6"/>
              <w:spacing w:line="219" w:lineRule="auto"/>
              <w:jc w:val="right"/>
              <w:rPr>
                <w:sz w:val="23"/>
                <w:szCs w:val="23"/>
              </w:rPr>
            </w:pPr>
            <w:r>
              <w:rPr>
                <w:spacing w:val="-17"/>
                <w:sz w:val="23"/>
                <w:szCs w:val="23"/>
              </w:rPr>
              <w:t>水分离装置。</w:t>
            </w:r>
            <w:r>
              <w:rPr>
                <w:spacing w:val="-16"/>
                <w:sz w:val="23"/>
                <w:szCs w:val="23"/>
              </w:rPr>
              <w:t>当不能满足上述要求时，</w:t>
            </w:r>
            <w:r>
              <w:rPr>
                <w:spacing w:val="-10"/>
                <w:sz w:val="23"/>
                <w:szCs w:val="23"/>
              </w:rPr>
              <w:t>应</w:t>
            </w:r>
          </w:p>
          <w:p w14:paraId="64B833E5">
            <w:pPr>
              <w:pStyle w:val="6"/>
              <w:spacing w:before="16" w:line="209" w:lineRule="auto"/>
              <w:jc w:val="right"/>
              <w:rPr>
                <w:sz w:val="23"/>
                <w:szCs w:val="23"/>
              </w:rPr>
            </w:pPr>
            <w:r>
              <w:rPr>
                <w:spacing w:val="-16"/>
                <w:sz w:val="23"/>
                <w:szCs w:val="23"/>
              </w:rPr>
              <w:t>设置能容纳相应电气设备全部油量的贮油</w:t>
            </w:r>
          </w:p>
          <w:p w14:paraId="6F811B7C">
            <w:pPr>
              <w:pStyle w:val="6"/>
              <w:spacing w:before="1" w:line="200" w:lineRule="auto"/>
              <w:jc w:val="right"/>
              <w:rPr>
                <w:sz w:val="23"/>
                <w:szCs w:val="23"/>
              </w:rPr>
            </w:pPr>
            <w:r>
              <w:rPr>
                <w:spacing w:val="-16"/>
                <w:sz w:val="23"/>
                <w:szCs w:val="23"/>
              </w:rPr>
              <w:t>设施，并设置油水分离装置。贮油或挡油</w:t>
            </w:r>
          </w:p>
          <w:p w14:paraId="7A7A19A0">
            <w:pPr>
              <w:pStyle w:val="6"/>
              <w:spacing w:line="181" w:lineRule="auto"/>
              <w:ind w:left="421"/>
              <w:rPr>
                <w:sz w:val="23"/>
                <w:szCs w:val="23"/>
              </w:rPr>
            </w:pPr>
            <w:r>
              <w:rPr>
                <w:spacing w:val="-1"/>
                <w:sz w:val="23"/>
                <w:szCs w:val="23"/>
              </w:rPr>
              <w:t>设施应大于设备外廓每边各1m。</w:t>
            </w:r>
          </w:p>
        </w:tc>
        <w:tc>
          <w:tcPr>
            <w:tcW w:w="3536" w:type="dxa"/>
            <w:vAlign w:val="top"/>
          </w:tcPr>
          <w:p w14:paraId="106D31FC">
            <w:pPr>
              <w:pStyle w:val="6"/>
              <w:spacing w:before="30" w:line="219" w:lineRule="auto"/>
              <w:ind w:left="205"/>
              <w:rPr>
                <w:sz w:val="23"/>
                <w:szCs w:val="23"/>
              </w:rPr>
            </w:pPr>
            <w:r>
              <w:rPr>
                <w:spacing w:val="2"/>
                <w:sz w:val="23"/>
                <w:szCs w:val="23"/>
              </w:rPr>
              <w:t>本项目升压站内本次共设置1台</w:t>
            </w:r>
          </w:p>
          <w:p w14:paraId="6EA6643A">
            <w:pPr>
              <w:pStyle w:val="6"/>
              <w:spacing w:before="18" w:line="206" w:lineRule="auto"/>
              <w:ind w:left="205"/>
              <w:rPr>
                <w:sz w:val="23"/>
                <w:szCs w:val="23"/>
              </w:rPr>
            </w:pPr>
            <w:r>
              <w:rPr>
                <w:spacing w:val="1"/>
                <w:sz w:val="23"/>
                <w:szCs w:val="23"/>
              </w:rPr>
              <w:t>50</w:t>
            </w:r>
            <w:r>
              <w:rPr>
                <w:sz w:val="23"/>
                <w:szCs w:val="23"/>
              </w:rPr>
              <w:t>MVA</w:t>
            </w:r>
            <w:r>
              <w:rPr>
                <w:spacing w:val="1"/>
                <w:sz w:val="23"/>
                <w:szCs w:val="23"/>
              </w:rPr>
              <w:t>主变，主变的矿物油大约</w:t>
            </w:r>
          </w:p>
          <w:p w14:paraId="1A4D6798">
            <w:pPr>
              <w:pStyle w:val="6"/>
              <w:spacing w:line="216" w:lineRule="auto"/>
              <w:jc w:val="right"/>
              <w:rPr>
                <w:sz w:val="23"/>
                <w:szCs w:val="23"/>
              </w:rPr>
            </w:pPr>
            <w:r>
              <w:rPr>
                <w:spacing w:val="-14"/>
                <w:sz w:val="23"/>
                <w:szCs w:val="23"/>
              </w:rPr>
              <w:t>29.</w:t>
            </w:r>
            <w:r>
              <w:rPr>
                <w:spacing w:val="-13"/>
                <w:sz w:val="23"/>
                <w:szCs w:val="23"/>
              </w:rPr>
              <w:t>1t,矿物油的密度按照0.895t/m³</w:t>
            </w:r>
            <w:r>
              <w:rPr>
                <w:spacing w:val="-10"/>
                <w:sz w:val="23"/>
                <w:szCs w:val="23"/>
              </w:rPr>
              <w:t>计</w:t>
            </w:r>
          </w:p>
          <w:p w14:paraId="4BA76948">
            <w:pPr>
              <w:pStyle w:val="6"/>
              <w:spacing w:before="4" w:line="219" w:lineRule="auto"/>
              <w:jc w:val="right"/>
              <w:rPr>
                <w:sz w:val="23"/>
                <w:szCs w:val="23"/>
              </w:rPr>
            </w:pPr>
            <w:r>
              <w:rPr>
                <w:spacing w:val="-16"/>
                <w:sz w:val="23"/>
                <w:szCs w:val="23"/>
              </w:rPr>
              <w:t>算，一台主变约合32.51m³的矿物油，</w:t>
            </w:r>
          </w:p>
          <w:p w14:paraId="2A3BD44C">
            <w:pPr>
              <w:pStyle w:val="6"/>
              <w:spacing w:before="16" w:line="206" w:lineRule="auto"/>
              <w:jc w:val="right"/>
              <w:rPr>
                <w:sz w:val="23"/>
                <w:szCs w:val="23"/>
              </w:rPr>
            </w:pPr>
            <w:r>
              <w:rPr>
                <w:spacing w:val="-10"/>
                <w:sz w:val="23"/>
                <w:szCs w:val="23"/>
              </w:rPr>
              <w:t>再按照100%的容量来设计，则容积为</w:t>
            </w:r>
          </w:p>
          <w:p w14:paraId="427A7E63">
            <w:pPr>
              <w:pStyle w:val="6"/>
              <w:spacing w:before="1" w:line="216" w:lineRule="auto"/>
              <w:jc w:val="right"/>
              <w:rPr>
                <w:sz w:val="23"/>
                <w:szCs w:val="23"/>
              </w:rPr>
            </w:pPr>
            <w:r>
              <w:rPr>
                <w:spacing w:val="-5"/>
                <w:sz w:val="23"/>
                <w:szCs w:val="23"/>
              </w:rPr>
              <w:t>32.51m³,因此项目升压站建设1座有</w:t>
            </w:r>
          </w:p>
          <w:p w14:paraId="1DB0CD5D">
            <w:pPr>
              <w:pStyle w:val="6"/>
              <w:spacing w:before="24" w:line="192" w:lineRule="auto"/>
              <w:jc w:val="right"/>
              <w:rPr>
                <w:sz w:val="23"/>
                <w:szCs w:val="23"/>
              </w:rPr>
            </w:pPr>
            <w:r>
              <w:rPr>
                <w:spacing w:val="-12"/>
                <w:sz w:val="23"/>
                <w:szCs w:val="23"/>
              </w:rPr>
              <w:t>效容积不低于50m³的事故油池，可以</w:t>
            </w:r>
          </w:p>
          <w:p w14:paraId="7E6BB101">
            <w:pPr>
              <w:pStyle w:val="6"/>
              <w:spacing w:before="1" w:line="192" w:lineRule="auto"/>
              <w:jc w:val="right"/>
              <w:rPr>
                <w:sz w:val="23"/>
                <w:szCs w:val="23"/>
              </w:rPr>
            </w:pPr>
            <w:r>
              <w:rPr>
                <w:spacing w:val="-16"/>
                <w:sz w:val="23"/>
                <w:szCs w:val="23"/>
              </w:rPr>
              <w:t>满足事故状态</w:t>
            </w:r>
            <w:r>
              <w:rPr>
                <w:spacing w:val="-15"/>
                <w:sz w:val="23"/>
                <w:szCs w:val="23"/>
              </w:rPr>
              <w:t>下对废矿物油的应急</w:t>
            </w:r>
            <w:r>
              <w:rPr>
                <w:spacing w:val="-9"/>
                <w:sz w:val="23"/>
                <w:szCs w:val="23"/>
              </w:rPr>
              <w:t>收</w:t>
            </w:r>
          </w:p>
          <w:p w14:paraId="06A886F7">
            <w:pPr>
              <w:pStyle w:val="6"/>
              <w:spacing w:before="1" w:line="205" w:lineRule="auto"/>
              <w:ind w:left="1585"/>
              <w:rPr>
                <w:sz w:val="23"/>
                <w:szCs w:val="23"/>
              </w:rPr>
            </w:pPr>
            <w:r>
              <w:rPr>
                <w:spacing w:val="2"/>
                <w:sz w:val="23"/>
                <w:szCs w:val="23"/>
              </w:rPr>
              <w:t>集。</w:t>
            </w:r>
          </w:p>
        </w:tc>
        <w:tc>
          <w:tcPr>
            <w:tcW w:w="834" w:type="dxa"/>
            <w:vAlign w:val="top"/>
          </w:tcPr>
          <w:p w14:paraId="4FC2265D">
            <w:pPr>
              <w:spacing w:line="257" w:lineRule="auto"/>
              <w:rPr>
                <w:rFonts w:ascii="Arial"/>
                <w:sz w:val="21"/>
              </w:rPr>
            </w:pPr>
          </w:p>
          <w:p w14:paraId="30E62A5A">
            <w:pPr>
              <w:spacing w:line="258" w:lineRule="auto"/>
              <w:rPr>
                <w:rFonts w:ascii="Arial"/>
                <w:sz w:val="21"/>
              </w:rPr>
            </w:pPr>
          </w:p>
          <w:p w14:paraId="6BF02121">
            <w:pPr>
              <w:spacing w:line="258" w:lineRule="auto"/>
              <w:rPr>
                <w:rFonts w:ascii="Arial"/>
                <w:sz w:val="21"/>
              </w:rPr>
            </w:pPr>
          </w:p>
          <w:p w14:paraId="19184E09">
            <w:pPr>
              <w:spacing w:line="258" w:lineRule="auto"/>
              <w:rPr>
                <w:rFonts w:ascii="Arial"/>
                <w:sz w:val="21"/>
              </w:rPr>
            </w:pPr>
          </w:p>
          <w:p w14:paraId="13CD48DE">
            <w:pPr>
              <w:pStyle w:val="6"/>
              <w:spacing w:before="75" w:line="219" w:lineRule="auto"/>
              <w:ind w:left="179"/>
              <w:rPr>
                <w:sz w:val="23"/>
                <w:szCs w:val="23"/>
              </w:rPr>
            </w:pPr>
            <w:r>
              <w:rPr>
                <w:spacing w:val="4"/>
                <w:sz w:val="23"/>
                <w:szCs w:val="23"/>
              </w:rPr>
              <w:t>符合</w:t>
            </w:r>
          </w:p>
        </w:tc>
      </w:tr>
      <w:tr w14:paraId="42A4E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04" w:type="dxa"/>
            <w:vMerge w:val="continue"/>
            <w:tcBorders>
              <w:top w:val="nil"/>
              <w:bottom w:val="nil"/>
            </w:tcBorders>
            <w:vAlign w:val="top"/>
          </w:tcPr>
          <w:p w14:paraId="4BDFFAB9">
            <w:pPr>
              <w:rPr>
                <w:rFonts w:ascii="Arial"/>
                <w:sz w:val="21"/>
              </w:rPr>
            </w:pPr>
          </w:p>
        </w:tc>
        <w:tc>
          <w:tcPr>
            <w:tcW w:w="3966" w:type="dxa"/>
            <w:vAlign w:val="top"/>
          </w:tcPr>
          <w:p w14:paraId="6A40429B">
            <w:pPr>
              <w:pStyle w:val="6"/>
              <w:spacing w:before="54" w:line="199" w:lineRule="auto"/>
              <w:ind w:left="250" w:hanging="239"/>
              <w:rPr>
                <w:sz w:val="23"/>
                <w:szCs w:val="23"/>
              </w:rPr>
            </w:pPr>
            <w:r>
              <w:rPr>
                <w:spacing w:val="-11"/>
                <w:sz w:val="23"/>
                <w:szCs w:val="23"/>
              </w:rPr>
              <w:t>贮油设施内应铺设卵石层，其厚度不应小</w:t>
            </w:r>
            <w:r>
              <w:rPr>
                <w:spacing w:val="1"/>
                <w:sz w:val="23"/>
                <w:szCs w:val="23"/>
              </w:rPr>
              <w:t xml:space="preserve"> </w:t>
            </w:r>
            <w:r>
              <w:rPr>
                <w:spacing w:val="-1"/>
                <w:sz w:val="23"/>
                <w:szCs w:val="23"/>
              </w:rPr>
              <w:t>于250mm,卵石直径宜为50mm~80mm。</w:t>
            </w:r>
          </w:p>
        </w:tc>
        <w:tc>
          <w:tcPr>
            <w:tcW w:w="3536" w:type="dxa"/>
            <w:vAlign w:val="top"/>
          </w:tcPr>
          <w:p w14:paraId="4045F4A5">
            <w:pPr>
              <w:pStyle w:val="6"/>
              <w:spacing w:before="54" w:line="199" w:lineRule="auto"/>
              <w:ind w:left="154" w:hanging="139"/>
              <w:rPr>
                <w:sz w:val="23"/>
                <w:szCs w:val="23"/>
              </w:rPr>
            </w:pPr>
            <w:r>
              <w:rPr>
                <w:spacing w:val="-11"/>
                <w:sz w:val="23"/>
                <w:szCs w:val="23"/>
              </w:rPr>
              <w:t>贮油设施内已铺设卵石层，其厚度大</w:t>
            </w:r>
            <w:r>
              <w:rPr>
                <w:spacing w:val="5"/>
                <w:sz w:val="23"/>
                <w:szCs w:val="23"/>
              </w:rPr>
              <w:t xml:space="preserve"> </w:t>
            </w:r>
            <w:r>
              <w:rPr>
                <w:spacing w:val="-1"/>
                <w:sz w:val="23"/>
                <w:szCs w:val="23"/>
              </w:rPr>
              <w:t>于250mm,卵石直径为50mm~80mm。</w:t>
            </w:r>
          </w:p>
        </w:tc>
        <w:tc>
          <w:tcPr>
            <w:tcW w:w="834" w:type="dxa"/>
            <w:vAlign w:val="top"/>
          </w:tcPr>
          <w:p w14:paraId="371D9527">
            <w:pPr>
              <w:pStyle w:val="6"/>
              <w:spacing w:before="174" w:line="219" w:lineRule="auto"/>
              <w:ind w:left="179"/>
              <w:rPr>
                <w:sz w:val="23"/>
                <w:szCs w:val="23"/>
              </w:rPr>
            </w:pPr>
            <w:r>
              <w:rPr>
                <w:spacing w:val="4"/>
                <w:sz w:val="23"/>
                <w:szCs w:val="23"/>
              </w:rPr>
              <w:t>符合</w:t>
            </w:r>
          </w:p>
        </w:tc>
      </w:tr>
      <w:tr w14:paraId="199C8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0" w:hRule="atLeast"/>
        </w:trPr>
        <w:tc>
          <w:tcPr>
            <w:tcW w:w="904" w:type="dxa"/>
            <w:vMerge w:val="continue"/>
            <w:tcBorders>
              <w:top w:val="nil"/>
            </w:tcBorders>
            <w:vAlign w:val="top"/>
          </w:tcPr>
          <w:p w14:paraId="189B9DE5">
            <w:pPr>
              <w:rPr>
                <w:rFonts w:ascii="Arial"/>
                <w:sz w:val="21"/>
              </w:rPr>
            </w:pPr>
          </w:p>
        </w:tc>
        <w:tc>
          <w:tcPr>
            <w:tcW w:w="8336" w:type="dxa"/>
            <w:gridSpan w:val="3"/>
            <w:vAlign w:val="top"/>
          </w:tcPr>
          <w:p w14:paraId="339702B5">
            <w:pPr>
              <w:pStyle w:val="6"/>
              <w:spacing w:before="44" w:line="219" w:lineRule="auto"/>
              <w:ind w:left="501"/>
              <w:rPr>
                <w:sz w:val="23"/>
                <w:szCs w:val="23"/>
              </w:rPr>
            </w:pPr>
            <w:r>
              <w:rPr>
                <w:sz w:val="23"/>
                <w:szCs w:val="23"/>
              </w:rPr>
              <w:t>根据上表分析，项目升压站的集油井和总事故油池容积符合《火力发电厂与</w:t>
            </w:r>
          </w:p>
          <w:p w14:paraId="10644EB9">
            <w:pPr>
              <w:pStyle w:val="6"/>
              <w:spacing w:before="187" w:line="379" w:lineRule="auto"/>
              <w:ind w:left="11" w:right="694" w:firstLine="10"/>
              <w:rPr>
                <w:sz w:val="23"/>
                <w:szCs w:val="23"/>
              </w:rPr>
            </w:pPr>
            <w:r>
              <w:rPr>
                <w:spacing w:val="1"/>
                <w:sz w:val="23"/>
                <w:szCs w:val="23"/>
              </w:rPr>
              <w:t>变电站设计防火标准》(</w:t>
            </w:r>
            <w:r>
              <w:rPr>
                <w:sz w:val="23"/>
                <w:szCs w:val="23"/>
              </w:rPr>
              <w:t>GB</w:t>
            </w:r>
            <w:r>
              <w:rPr>
                <w:spacing w:val="1"/>
                <w:sz w:val="23"/>
                <w:szCs w:val="23"/>
              </w:rPr>
              <w:t>50229-20</w:t>
            </w:r>
            <w:r>
              <w:rPr>
                <w:sz w:val="23"/>
                <w:szCs w:val="23"/>
              </w:rPr>
              <w:t>19)中对事故油池容积的相关规定，可以 满足事故状态下对废矿物油的应急收集，容量的设置</w:t>
            </w:r>
            <w:r>
              <w:rPr>
                <w:spacing w:val="-1"/>
                <w:sz w:val="23"/>
                <w:szCs w:val="23"/>
              </w:rPr>
              <w:t>是合理可行的。</w:t>
            </w:r>
          </w:p>
          <w:p w14:paraId="077A51BF">
            <w:pPr>
              <w:pStyle w:val="6"/>
              <w:spacing w:before="15" w:line="219" w:lineRule="auto"/>
              <w:ind w:left="621"/>
              <w:rPr>
                <w:sz w:val="23"/>
                <w:szCs w:val="23"/>
              </w:rPr>
            </w:pPr>
            <w:r>
              <w:rPr>
                <w:sz w:val="23"/>
                <w:szCs w:val="23"/>
              </w:rPr>
              <w:t>(3)废铅蓄电池</w:t>
            </w:r>
          </w:p>
          <w:p w14:paraId="4BF265AF">
            <w:pPr>
              <w:pStyle w:val="6"/>
              <w:spacing w:before="177" w:line="371" w:lineRule="auto"/>
              <w:ind w:left="21" w:right="532" w:firstLine="509"/>
              <w:rPr>
                <w:sz w:val="23"/>
                <w:szCs w:val="23"/>
              </w:rPr>
            </w:pPr>
            <w:r>
              <w:rPr>
                <w:sz w:val="23"/>
                <w:szCs w:val="23"/>
              </w:rPr>
              <w:t>升压站内需要使用废铅蓄电池作为应急照明，铅蓄电池一般4-5年更换一</w:t>
            </w:r>
            <w:r>
              <w:rPr>
                <w:spacing w:val="16"/>
                <w:sz w:val="23"/>
                <w:szCs w:val="23"/>
              </w:rPr>
              <w:t xml:space="preserve"> </w:t>
            </w:r>
            <w:r>
              <w:rPr>
                <w:sz w:val="23"/>
                <w:szCs w:val="23"/>
              </w:rPr>
              <w:t>组，更换量为2t/次。废铅蓄电池为危险废物，废物</w:t>
            </w:r>
            <w:r>
              <w:rPr>
                <w:spacing w:val="-1"/>
                <w:sz w:val="23"/>
                <w:szCs w:val="23"/>
              </w:rPr>
              <w:t>类别为HW31含铅废物，废</w:t>
            </w:r>
          </w:p>
          <w:p w14:paraId="0AC59836">
            <w:pPr>
              <w:pStyle w:val="6"/>
              <w:spacing w:before="12" w:line="374" w:lineRule="auto"/>
              <w:ind w:left="21" w:right="378"/>
              <w:rPr>
                <w:sz w:val="23"/>
                <w:szCs w:val="23"/>
              </w:rPr>
            </w:pPr>
            <w:r>
              <w:rPr>
                <w:sz w:val="23"/>
                <w:szCs w:val="23"/>
              </w:rPr>
              <w:t>物代码为900-052-31,经收集后，放置在危废暂存间暂存</w:t>
            </w:r>
            <w:r>
              <w:rPr>
                <w:spacing w:val="-1"/>
                <w:sz w:val="23"/>
                <w:szCs w:val="23"/>
              </w:rPr>
              <w:t>后，交有资质的单位处</w:t>
            </w:r>
            <w:r>
              <w:rPr>
                <w:sz w:val="23"/>
                <w:szCs w:val="23"/>
              </w:rPr>
              <w:t xml:space="preserve"> </w:t>
            </w:r>
            <w:r>
              <w:rPr>
                <w:spacing w:val="-2"/>
                <w:sz w:val="23"/>
                <w:szCs w:val="23"/>
              </w:rPr>
              <w:t>置。</w:t>
            </w:r>
          </w:p>
          <w:p w14:paraId="39C99BC8">
            <w:pPr>
              <w:pStyle w:val="6"/>
              <w:spacing w:line="218" w:lineRule="auto"/>
              <w:ind w:left="481"/>
              <w:rPr>
                <w:sz w:val="23"/>
                <w:szCs w:val="23"/>
              </w:rPr>
            </w:pPr>
            <w:r>
              <w:rPr>
                <w:spacing w:val="4"/>
                <w:sz w:val="23"/>
                <w:szCs w:val="23"/>
              </w:rPr>
              <w:t>升压站内设置1间面积为32m²的危险废物暂存间，危废暂存间采用全</w:t>
            </w:r>
            <w:r>
              <w:rPr>
                <w:spacing w:val="3"/>
                <w:sz w:val="23"/>
                <w:szCs w:val="23"/>
              </w:rPr>
              <w:t>封闭</w:t>
            </w:r>
          </w:p>
          <w:p w14:paraId="53EF2B5C">
            <w:pPr>
              <w:pStyle w:val="6"/>
              <w:spacing w:before="189" w:line="219" w:lineRule="auto"/>
              <w:ind w:left="21"/>
              <w:rPr>
                <w:sz w:val="23"/>
                <w:szCs w:val="23"/>
              </w:rPr>
            </w:pPr>
            <w:r>
              <w:rPr>
                <w:sz w:val="23"/>
                <w:szCs w:val="23"/>
              </w:rPr>
              <w:t>式，严格按照《危险废物贮存污染控制标准》(GB18597-2023)的有关要求进</w:t>
            </w:r>
          </w:p>
          <w:p w14:paraId="5BEE93CE">
            <w:pPr>
              <w:pStyle w:val="6"/>
              <w:spacing w:before="197" w:line="360" w:lineRule="auto"/>
              <w:ind w:left="131" w:right="131"/>
              <w:rPr>
                <w:sz w:val="23"/>
                <w:szCs w:val="23"/>
              </w:rPr>
            </w:pPr>
            <w:r>
              <w:rPr>
                <w:sz w:val="23"/>
                <w:szCs w:val="23"/>
              </w:rPr>
              <w:t>行设计及建设，基础必须进行防渗，并配设醒目的警示标识。定期委托具备相应</w:t>
            </w:r>
            <w:r>
              <w:rPr>
                <w:spacing w:val="8"/>
                <w:sz w:val="23"/>
                <w:szCs w:val="23"/>
              </w:rPr>
              <w:t xml:space="preserve"> </w:t>
            </w:r>
            <w:r>
              <w:rPr>
                <w:sz w:val="23"/>
                <w:szCs w:val="23"/>
              </w:rPr>
              <w:t>危废处置资质的单位进行回收处置，其转移严格按照《危险废物转移联单管理办</w:t>
            </w:r>
            <w:r>
              <w:rPr>
                <w:spacing w:val="12"/>
                <w:sz w:val="23"/>
                <w:szCs w:val="23"/>
              </w:rPr>
              <w:t xml:space="preserve"> </w:t>
            </w:r>
            <w:r>
              <w:rPr>
                <w:sz w:val="23"/>
                <w:szCs w:val="23"/>
              </w:rPr>
              <w:t>法》要求执行。设置专人专职对危险废物进行收集、暂存和保管。建立危险废物</w:t>
            </w:r>
          </w:p>
        </w:tc>
      </w:tr>
    </w:tbl>
    <w:p w14:paraId="61D48139">
      <w:pPr>
        <w:pStyle w:val="2"/>
      </w:pPr>
    </w:p>
    <w:p w14:paraId="25325EEA">
      <w:pPr>
        <w:sectPr>
          <w:footerReference r:id="rId174" w:type="default"/>
          <w:pgSz w:w="11910" w:h="16830"/>
          <w:pgMar w:top="400" w:right="1425" w:bottom="1245" w:left="1234" w:header="0" w:footer="1083" w:gutter="0"/>
          <w:cols w:space="720" w:num="1"/>
        </w:sectPr>
      </w:pPr>
    </w:p>
    <w:p w14:paraId="323FFA66">
      <w:pPr>
        <w:spacing w:before="15"/>
      </w:pPr>
    </w:p>
    <w:p w14:paraId="26584C34">
      <w:pPr>
        <w:spacing w:before="15"/>
      </w:pPr>
    </w:p>
    <w:p w14:paraId="6C65162B">
      <w:pPr>
        <w:spacing w:before="15"/>
      </w:pPr>
    </w:p>
    <w:p w14:paraId="02D26198">
      <w:pPr>
        <w:spacing w:before="14"/>
      </w:pPr>
    </w:p>
    <w:tbl>
      <w:tblPr>
        <w:tblStyle w:val="5"/>
        <w:tblW w:w="944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8564"/>
      </w:tblGrid>
      <w:tr w14:paraId="3DFF8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9" w:hRule="atLeast"/>
        </w:trPr>
        <w:tc>
          <w:tcPr>
            <w:tcW w:w="884" w:type="dxa"/>
            <w:vAlign w:val="top"/>
          </w:tcPr>
          <w:p w14:paraId="77C035E5">
            <w:pPr>
              <w:rPr>
                <w:rFonts w:ascii="Arial"/>
                <w:sz w:val="21"/>
              </w:rPr>
            </w:pPr>
          </w:p>
        </w:tc>
        <w:tc>
          <w:tcPr>
            <w:tcW w:w="8564" w:type="dxa"/>
            <w:vAlign w:val="top"/>
          </w:tcPr>
          <w:p w14:paraId="211EE23F">
            <w:pPr>
              <w:pStyle w:val="6"/>
              <w:spacing w:before="14" w:line="364" w:lineRule="auto"/>
              <w:ind w:left="121" w:right="40" w:hanging="20"/>
              <w:rPr>
                <w:sz w:val="24"/>
                <w:szCs w:val="24"/>
              </w:rPr>
            </w:pPr>
            <w:r>
              <w:rPr>
                <w:sz w:val="24"/>
                <w:szCs w:val="24"/>
              </w:rPr>
              <w:t>产生记录台账，定期核查自行贮存和处置的危险废物记录及相关证明材料，妥善</w:t>
            </w:r>
            <w:r>
              <w:rPr>
                <w:spacing w:val="11"/>
                <w:sz w:val="24"/>
                <w:szCs w:val="24"/>
              </w:rPr>
              <w:t xml:space="preserve"> </w:t>
            </w:r>
            <w:r>
              <w:rPr>
                <w:sz w:val="24"/>
                <w:szCs w:val="24"/>
              </w:rPr>
              <w:t>保存规定期限内对危废转移联单及危废处置协议等相关资料。</w:t>
            </w:r>
          </w:p>
          <w:p w14:paraId="32357B1A">
            <w:pPr>
              <w:pStyle w:val="6"/>
              <w:spacing w:before="4" w:line="219" w:lineRule="auto"/>
              <w:ind w:left="720"/>
              <w:rPr>
                <w:sz w:val="24"/>
                <w:szCs w:val="24"/>
              </w:rPr>
            </w:pPr>
            <w:r>
              <w:rPr>
                <w:spacing w:val="3"/>
                <w:sz w:val="24"/>
                <w:szCs w:val="24"/>
              </w:rPr>
              <w:t>(4)检修废油</w:t>
            </w:r>
          </w:p>
          <w:p w14:paraId="06338F01">
            <w:pPr>
              <w:pStyle w:val="6"/>
              <w:spacing w:before="174" w:line="352" w:lineRule="auto"/>
              <w:ind w:left="121" w:right="280" w:firstLine="459"/>
              <w:rPr>
                <w:sz w:val="24"/>
                <w:szCs w:val="24"/>
              </w:rPr>
            </w:pPr>
            <w:r>
              <w:rPr>
                <w:sz w:val="24"/>
                <w:szCs w:val="24"/>
              </w:rPr>
              <w:t>检修废油包括箱变液压油和主变液压油(主要成分矿物油和锂皂基、锂-钙</w:t>
            </w:r>
            <w:r>
              <w:rPr>
                <w:spacing w:val="11"/>
                <w:sz w:val="24"/>
                <w:szCs w:val="24"/>
              </w:rPr>
              <w:t xml:space="preserve"> </w:t>
            </w:r>
            <w:r>
              <w:rPr>
                <w:sz w:val="24"/>
                <w:szCs w:val="24"/>
              </w:rPr>
              <w:t>复合基为主的危险废弃物),根据《国家危险废物名录》(2021版),检修废</w:t>
            </w:r>
          </w:p>
          <w:p w14:paraId="2C8E9D7C">
            <w:pPr>
              <w:pStyle w:val="6"/>
              <w:spacing w:before="26" w:line="219" w:lineRule="auto"/>
              <w:ind w:left="121"/>
              <w:rPr>
                <w:sz w:val="24"/>
                <w:szCs w:val="24"/>
              </w:rPr>
            </w:pPr>
            <w:r>
              <w:rPr>
                <w:sz w:val="24"/>
                <w:szCs w:val="24"/>
              </w:rPr>
              <w:t>油废物类别为：HW08废矿物油与含矿物油废物中“变压器维护、更换和拆解过</w:t>
            </w:r>
          </w:p>
          <w:p w14:paraId="39DF7AE0">
            <w:pPr>
              <w:pStyle w:val="6"/>
              <w:spacing w:before="171" w:line="216" w:lineRule="auto"/>
              <w:ind w:left="121"/>
              <w:rPr>
                <w:sz w:val="24"/>
                <w:szCs w:val="24"/>
              </w:rPr>
            </w:pPr>
            <w:r>
              <w:rPr>
                <w:sz w:val="24"/>
                <w:szCs w:val="24"/>
              </w:rPr>
              <w:t>程中产生的废变压器油”(废物代码900-220-08),项目</w:t>
            </w:r>
            <w:r>
              <w:rPr>
                <w:spacing w:val="-1"/>
                <w:sz w:val="24"/>
                <w:szCs w:val="24"/>
              </w:rPr>
              <w:t>检修废油经专用容器收</w:t>
            </w:r>
          </w:p>
          <w:p w14:paraId="5765C49B">
            <w:pPr>
              <w:pStyle w:val="6"/>
              <w:spacing w:before="199" w:line="216" w:lineRule="auto"/>
              <w:ind w:left="121"/>
              <w:rPr>
                <w:sz w:val="24"/>
                <w:szCs w:val="24"/>
              </w:rPr>
            </w:pPr>
            <w:r>
              <w:rPr>
                <w:sz w:val="24"/>
                <w:szCs w:val="24"/>
              </w:rPr>
              <w:t>集后暂存于升压站危险废物贮存库(与其它危废分区存放),定期委托有资质的</w:t>
            </w:r>
          </w:p>
          <w:p w14:paraId="5996DF02">
            <w:pPr>
              <w:pStyle w:val="6"/>
              <w:spacing w:before="178" w:line="362" w:lineRule="auto"/>
              <w:ind w:left="121"/>
              <w:rPr>
                <w:sz w:val="24"/>
                <w:szCs w:val="24"/>
              </w:rPr>
            </w:pPr>
            <w:r>
              <w:rPr>
                <w:spacing w:val="-2"/>
                <w:sz w:val="24"/>
                <w:szCs w:val="24"/>
              </w:rPr>
              <w:t>单位处置，对环境影响小。类比同类型行业，检修过程中产生的</w:t>
            </w:r>
            <w:r>
              <w:rPr>
                <w:spacing w:val="-3"/>
                <w:sz w:val="24"/>
                <w:szCs w:val="24"/>
              </w:rPr>
              <w:t>废油约为0.2t/a,</w:t>
            </w:r>
            <w:r>
              <w:rPr>
                <w:sz w:val="24"/>
                <w:szCs w:val="24"/>
              </w:rPr>
              <w:t xml:space="preserve"> 收集后储存在升压站危险废物贮存库内，定期委托有资质的单位进行清运及处</w:t>
            </w:r>
          </w:p>
          <w:p w14:paraId="73E1E040">
            <w:pPr>
              <w:pStyle w:val="6"/>
              <w:spacing w:line="225" w:lineRule="auto"/>
              <w:ind w:left="91"/>
              <w:rPr>
                <w:sz w:val="24"/>
                <w:szCs w:val="24"/>
              </w:rPr>
            </w:pPr>
            <w:r>
              <w:rPr>
                <w:spacing w:val="-1"/>
                <w:sz w:val="24"/>
                <w:szCs w:val="24"/>
              </w:rPr>
              <w:t>置。</w:t>
            </w:r>
          </w:p>
          <w:p w14:paraId="4541973C">
            <w:pPr>
              <w:pStyle w:val="6"/>
              <w:spacing w:before="287" w:line="219" w:lineRule="auto"/>
              <w:ind w:left="84"/>
              <w:rPr>
                <w:sz w:val="24"/>
                <w:szCs w:val="24"/>
              </w:rPr>
            </w:pPr>
            <w:r>
              <w:rPr>
                <w:b/>
                <w:bCs/>
                <w:spacing w:val="-4"/>
                <w:sz w:val="24"/>
                <w:szCs w:val="24"/>
              </w:rPr>
              <w:t>6.2生活垃圾等</w:t>
            </w:r>
          </w:p>
          <w:p w14:paraId="3C9537D6">
            <w:pPr>
              <w:pStyle w:val="6"/>
              <w:spacing w:before="209" w:line="220" w:lineRule="auto"/>
              <w:ind w:left="720"/>
              <w:rPr>
                <w:sz w:val="24"/>
                <w:szCs w:val="24"/>
              </w:rPr>
            </w:pPr>
            <w:r>
              <w:rPr>
                <w:spacing w:val="1"/>
                <w:sz w:val="24"/>
                <w:szCs w:val="24"/>
              </w:rPr>
              <w:t>(1)生活垃圾</w:t>
            </w:r>
          </w:p>
          <w:p w14:paraId="12CC83FE">
            <w:pPr>
              <w:pStyle w:val="6"/>
              <w:spacing w:before="157" w:line="361" w:lineRule="auto"/>
              <w:ind w:left="111" w:right="134" w:firstLine="489"/>
              <w:rPr>
                <w:sz w:val="24"/>
                <w:szCs w:val="24"/>
              </w:rPr>
            </w:pPr>
            <w:r>
              <w:rPr>
                <w:spacing w:val="-2"/>
                <w:sz w:val="24"/>
                <w:szCs w:val="24"/>
              </w:rPr>
              <w:t>本项目升压站内工作人员6人，生活垃圾的发生</w:t>
            </w:r>
            <w:r>
              <w:rPr>
                <w:spacing w:val="-3"/>
                <w:sz w:val="24"/>
                <w:szCs w:val="24"/>
              </w:rPr>
              <w:t>量按1kg/人</w:t>
            </w:r>
            <w:r>
              <w:rPr>
                <w:spacing w:val="-27"/>
                <w:sz w:val="24"/>
                <w:szCs w:val="24"/>
              </w:rPr>
              <w:t xml:space="preserve"> </w:t>
            </w:r>
            <w:r>
              <w:rPr>
                <w:spacing w:val="-3"/>
                <w:sz w:val="24"/>
                <w:szCs w:val="24"/>
              </w:rPr>
              <w:t>·天计，生活垃</w:t>
            </w:r>
            <w:r>
              <w:rPr>
                <w:sz w:val="24"/>
                <w:szCs w:val="24"/>
              </w:rPr>
              <w:t xml:space="preserve"> </w:t>
            </w:r>
            <w:r>
              <w:rPr>
                <w:spacing w:val="1"/>
                <w:sz w:val="24"/>
                <w:szCs w:val="24"/>
              </w:rPr>
              <w:t>圾产生量为6</w:t>
            </w:r>
            <w:r>
              <w:rPr>
                <w:sz w:val="24"/>
                <w:szCs w:val="24"/>
              </w:rPr>
              <w:t>kg</w:t>
            </w:r>
            <w:r>
              <w:rPr>
                <w:spacing w:val="1"/>
                <w:sz w:val="24"/>
                <w:szCs w:val="24"/>
              </w:rPr>
              <w:t>/d、2.19t/a。在升压站内设置3~4</w:t>
            </w:r>
            <w:r>
              <w:rPr>
                <w:sz w:val="24"/>
                <w:szCs w:val="24"/>
              </w:rPr>
              <w:t>个移动式带盖垃圾桶，产生的 生活垃圾经收集后运至周边村庄垃圾收集点处置。</w:t>
            </w:r>
          </w:p>
          <w:p w14:paraId="04E8A677">
            <w:pPr>
              <w:pStyle w:val="6"/>
              <w:spacing w:before="19" w:line="219" w:lineRule="auto"/>
              <w:ind w:left="720"/>
              <w:rPr>
                <w:sz w:val="24"/>
                <w:szCs w:val="24"/>
              </w:rPr>
            </w:pPr>
            <w:r>
              <w:rPr>
                <w:spacing w:val="1"/>
                <w:sz w:val="24"/>
                <w:szCs w:val="24"/>
              </w:rPr>
              <w:t>(2)餐厨垃圾</w:t>
            </w:r>
          </w:p>
          <w:p w14:paraId="13FAA74E">
            <w:pPr>
              <w:pStyle w:val="6"/>
              <w:spacing w:before="153" w:line="364" w:lineRule="auto"/>
              <w:ind w:left="101" w:right="142" w:firstLine="499"/>
              <w:rPr>
                <w:sz w:val="24"/>
                <w:szCs w:val="24"/>
              </w:rPr>
            </w:pPr>
            <w:r>
              <w:rPr>
                <w:sz w:val="24"/>
                <w:szCs w:val="24"/>
              </w:rPr>
              <w:t>主要成分为废菜叶、泔水等，项目有职工6名，按照每天每人产生餐厨垃圾</w:t>
            </w:r>
            <w:r>
              <w:rPr>
                <w:spacing w:val="9"/>
                <w:sz w:val="24"/>
                <w:szCs w:val="24"/>
              </w:rPr>
              <w:t xml:space="preserve"> </w:t>
            </w:r>
            <w:r>
              <w:rPr>
                <w:sz w:val="24"/>
                <w:szCs w:val="24"/>
              </w:rPr>
              <w:t>0.2kg核算，则项目餐厨垃圾产生量为1.2kg/d,年产生量为0.44t/a,收集后委托</w:t>
            </w:r>
            <w:r>
              <w:rPr>
                <w:spacing w:val="7"/>
                <w:sz w:val="24"/>
                <w:szCs w:val="24"/>
              </w:rPr>
              <w:t xml:space="preserve"> </w:t>
            </w:r>
            <w:r>
              <w:rPr>
                <w:spacing w:val="1"/>
                <w:sz w:val="24"/>
                <w:szCs w:val="24"/>
              </w:rPr>
              <w:t>有资质的单位进行清运、处置。</w:t>
            </w:r>
          </w:p>
          <w:p w14:paraId="4DDF0A04">
            <w:pPr>
              <w:pStyle w:val="6"/>
              <w:spacing w:before="12" w:line="219" w:lineRule="auto"/>
              <w:ind w:left="720"/>
              <w:rPr>
                <w:sz w:val="24"/>
                <w:szCs w:val="24"/>
              </w:rPr>
            </w:pPr>
            <w:r>
              <w:rPr>
                <w:spacing w:val="1"/>
                <w:sz w:val="24"/>
                <w:szCs w:val="24"/>
              </w:rPr>
              <w:t>(3)化粪池污泥</w:t>
            </w:r>
          </w:p>
          <w:p w14:paraId="75C8FB12">
            <w:pPr>
              <w:pStyle w:val="6"/>
              <w:spacing w:before="161" w:line="360" w:lineRule="auto"/>
              <w:ind w:left="81" w:right="66" w:firstLine="499"/>
              <w:rPr>
                <w:sz w:val="24"/>
                <w:szCs w:val="24"/>
              </w:rPr>
            </w:pPr>
            <w:r>
              <w:rPr>
                <w:sz w:val="24"/>
                <w:szCs w:val="24"/>
              </w:rPr>
              <w:t>项目进入化粪池的污水量为0.576m³/d、210.24</w:t>
            </w:r>
            <w:r>
              <w:rPr>
                <w:spacing w:val="-1"/>
                <w:sz w:val="24"/>
                <w:szCs w:val="24"/>
              </w:rPr>
              <w:t>m³/a,产生粪渣的计算按照其</w:t>
            </w:r>
            <w:r>
              <w:rPr>
                <w:sz w:val="24"/>
                <w:szCs w:val="24"/>
              </w:rPr>
              <w:t xml:space="preserve"> </w:t>
            </w:r>
            <w:r>
              <w:rPr>
                <w:spacing w:val="1"/>
                <w:sz w:val="24"/>
                <w:szCs w:val="24"/>
              </w:rPr>
              <w:t>处理量的0.05%计算，粪渣产生量约为0.11t/a,定期委托当地环卫部门清掏后清</w:t>
            </w:r>
            <w:r>
              <w:rPr>
                <w:spacing w:val="10"/>
                <w:sz w:val="24"/>
                <w:szCs w:val="24"/>
              </w:rPr>
              <w:t xml:space="preserve"> </w:t>
            </w:r>
            <w:r>
              <w:rPr>
                <w:sz w:val="24"/>
                <w:szCs w:val="24"/>
              </w:rPr>
              <w:t>运及处置。</w:t>
            </w:r>
          </w:p>
          <w:p w14:paraId="3BF4BB2D">
            <w:pPr>
              <w:pStyle w:val="6"/>
              <w:spacing w:before="1" w:line="219" w:lineRule="auto"/>
              <w:ind w:left="720"/>
              <w:rPr>
                <w:sz w:val="24"/>
                <w:szCs w:val="24"/>
              </w:rPr>
            </w:pPr>
            <w:r>
              <w:rPr>
                <w:sz w:val="24"/>
                <w:szCs w:val="24"/>
              </w:rPr>
              <w:t>(4)一体化生活废水处理站污泥</w:t>
            </w:r>
          </w:p>
          <w:p w14:paraId="6BD73EC7">
            <w:pPr>
              <w:pStyle w:val="6"/>
              <w:spacing w:before="185" w:line="347" w:lineRule="auto"/>
              <w:ind w:left="101" w:right="40" w:firstLine="489"/>
              <w:rPr>
                <w:sz w:val="24"/>
                <w:szCs w:val="24"/>
              </w:rPr>
            </w:pPr>
            <w:r>
              <w:rPr>
                <w:spacing w:val="3"/>
                <w:sz w:val="24"/>
                <w:szCs w:val="24"/>
              </w:rPr>
              <w:t>项目生活污水采用1.0m³/d的一体化生活废水处理站进行处理，产生污泥的</w:t>
            </w:r>
            <w:r>
              <w:rPr>
                <w:spacing w:val="9"/>
                <w:sz w:val="24"/>
                <w:szCs w:val="24"/>
              </w:rPr>
              <w:t xml:space="preserve"> </w:t>
            </w:r>
            <w:r>
              <w:rPr>
                <w:spacing w:val="1"/>
                <w:sz w:val="24"/>
                <w:szCs w:val="24"/>
              </w:rPr>
              <w:t>计算按照其处理量的0.15%计算。根据水平衡显示，进入一体化生活废水处理站</w:t>
            </w:r>
            <w:r>
              <w:rPr>
                <w:spacing w:val="4"/>
                <w:sz w:val="24"/>
                <w:szCs w:val="24"/>
              </w:rPr>
              <w:t xml:space="preserve"> 的总废水量为0.576m³/d,则拟建项目一体化生活废水处理站污泥的</w:t>
            </w:r>
            <w:r>
              <w:rPr>
                <w:spacing w:val="3"/>
                <w:sz w:val="24"/>
                <w:szCs w:val="24"/>
              </w:rPr>
              <w:t>产生量约为</w:t>
            </w:r>
            <w:r>
              <w:rPr>
                <w:sz w:val="24"/>
                <w:szCs w:val="24"/>
              </w:rPr>
              <w:t xml:space="preserve"> 0.864kg/d,0.32t/a,本环评要求，一体化生活废水处理站的污泥定期委托当地环</w:t>
            </w:r>
          </w:p>
        </w:tc>
      </w:tr>
    </w:tbl>
    <w:p w14:paraId="71802750">
      <w:pPr>
        <w:pStyle w:val="2"/>
      </w:pPr>
    </w:p>
    <w:p w14:paraId="5DD8B5F3">
      <w:pPr>
        <w:sectPr>
          <w:footerReference r:id="rId175" w:type="default"/>
          <w:pgSz w:w="11910" w:h="16830"/>
          <w:pgMar w:top="400" w:right="1216" w:bottom="1259" w:left="1234" w:header="0" w:footer="1079" w:gutter="0"/>
          <w:cols w:space="720" w:num="1"/>
        </w:sectPr>
      </w:pPr>
    </w:p>
    <w:p w14:paraId="2989905C">
      <w:pPr>
        <w:spacing w:before="13"/>
      </w:pPr>
    </w:p>
    <w:p w14:paraId="505A9ED5">
      <w:pPr>
        <w:spacing w:before="12"/>
      </w:pPr>
    </w:p>
    <w:p w14:paraId="564F74D9">
      <w:pPr>
        <w:spacing w:before="12"/>
      </w:pPr>
    </w:p>
    <w:p w14:paraId="18916444">
      <w:pPr>
        <w:spacing w:before="12"/>
      </w:pPr>
    </w:p>
    <w:tbl>
      <w:tblPr>
        <w:tblStyle w:val="5"/>
        <w:tblW w:w="8369" w:type="dxa"/>
        <w:tblInd w:w="3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33"/>
        <w:gridCol w:w="2177"/>
        <w:gridCol w:w="2447"/>
        <w:gridCol w:w="2012"/>
      </w:tblGrid>
      <w:tr w14:paraId="569D8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8369" w:type="dxa"/>
            <w:gridSpan w:val="4"/>
            <w:vAlign w:val="top"/>
          </w:tcPr>
          <w:p w14:paraId="09552370">
            <w:pPr>
              <w:pStyle w:val="6"/>
              <w:spacing w:before="50" w:line="219" w:lineRule="auto"/>
              <w:ind w:left="78"/>
              <w:rPr>
                <w:sz w:val="21"/>
                <w:szCs w:val="21"/>
              </w:rPr>
            </w:pPr>
            <w:r>
              <w:rPr>
                <w:b/>
                <w:bCs/>
                <w:spacing w:val="-4"/>
                <w:sz w:val="21"/>
                <w:szCs w:val="21"/>
              </w:rPr>
              <w:t>卫部门清掏后清运及处置。</w:t>
            </w:r>
          </w:p>
          <w:p w14:paraId="0F64B412">
            <w:pPr>
              <w:pStyle w:val="6"/>
              <w:spacing w:before="220" w:line="219" w:lineRule="auto"/>
              <w:ind w:left="1567"/>
              <w:rPr>
                <w:sz w:val="21"/>
                <w:szCs w:val="21"/>
              </w:rPr>
            </w:pPr>
            <w:r>
              <w:rPr>
                <w:b/>
                <w:bCs/>
                <w:spacing w:val="-3"/>
                <w:sz w:val="21"/>
                <w:szCs w:val="21"/>
              </w:rPr>
              <w:t>表4-23</w:t>
            </w:r>
            <w:r>
              <w:rPr>
                <w:spacing w:val="-3"/>
                <w:sz w:val="21"/>
                <w:szCs w:val="21"/>
              </w:rPr>
              <w:t xml:space="preserve">  </w:t>
            </w:r>
            <w:r>
              <w:rPr>
                <w:b/>
                <w:bCs/>
                <w:spacing w:val="-3"/>
                <w:sz w:val="21"/>
                <w:szCs w:val="21"/>
              </w:rPr>
              <w:t>营运期固体废物产生及处置情况汇总表</w:t>
            </w:r>
          </w:p>
        </w:tc>
      </w:tr>
      <w:tr w14:paraId="1631D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733" w:type="dxa"/>
            <w:vAlign w:val="top"/>
          </w:tcPr>
          <w:p w14:paraId="4CF74F6F">
            <w:pPr>
              <w:pStyle w:val="6"/>
              <w:spacing w:before="39" w:line="203" w:lineRule="auto"/>
              <w:ind w:left="648"/>
              <w:rPr>
                <w:sz w:val="21"/>
                <w:szCs w:val="21"/>
              </w:rPr>
            </w:pPr>
            <w:r>
              <w:rPr>
                <w:b/>
                <w:bCs/>
                <w:spacing w:val="-5"/>
                <w:sz w:val="21"/>
                <w:szCs w:val="21"/>
              </w:rPr>
              <w:t>名称</w:t>
            </w:r>
          </w:p>
        </w:tc>
        <w:tc>
          <w:tcPr>
            <w:tcW w:w="2177" w:type="dxa"/>
            <w:vAlign w:val="top"/>
          </w:tcPr>
          <w:p w14:paraId="5B1A2573">
            <w:pPr>
              <w:pStyle w:val="6"/>
              <w:spacing w:before="39" w:line="203" w:lineRule="auto"/>
              <w:ind w:left="131"/>
              <w:rPr>
                <w:sz w:val="21"/>
                <w:szCs w:val="21"/>
              </w:rPr>
            </w:pPr>
            <w:r>
              <w:rPr>
                <w:spacing w:val="-1"/>
                <w:sz w:val="21"/>
                <w:szCs w:val="21"/>
              </w:rPr>
              <w:t>废光伏太阳能电池板</w:t>
            </w:r>
          </w:p>
        </w:tc>
        <w:tc>
          <w:tcPr>
            <w:tcW w:w="2447" w:type="dxa"/>
            <w:vAlign w:val="top"/>
          </w:tcPr>
          <w:p w14:paraId="3CCFB43D">
            <w:pPr>
              <w:pStyle w:val="6"/>
              <w:spacing w:before="40" w:line="202" w:lineRule="auto"/>
              <w:ind w:left="695"/>
              <w:rPr>
                <w:sz w:val="21"/>
                <w:szCs w:val="21"/>
              </w:rPr>
            </w:pPr>
            <w:r>
              <w:rPr>
                <w:spacing w:val="4"/>
                <w:sz w:val="21"/>
                <w:szCs w:val="21"/>
              </w:rPr>
              <w:t>废变压器油</w:t>
            </w:r>
          </w:p>
        </w:tc>
        <w:tc>
          <w:tcPr>
            <w:tcW w:w="2012" w:type="dxa"/>
            <w:vAlign w:val="top"/>
          </w:tcPr>
          <w:p w14:paraId="42BF570E">
            <w:pPr>
              <w:pStyle w:val="6"/>
              <w:spacing w:before="45" w:line="197" w:lineRule="auto"/>
              <w:ind w:left="948"/>
              <w:rPr>
                <w:sz w:val="21"/>
                <w:szCs w:val="21"/>
              </w:rPr>
            </w:pPr>
            <w:r>
              <w:rPr>
                <w:sz w:val="21"/>
                <w:szCs w:val="21"/>
              </w:rPr>
              <w:t>/</w:t>
            </w:r>
          </w:p>
        </w:tc>
      </w:tr>
      <w:tr w14:paraId="58F4C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733" w:type="dxa"/>
            <w:vAlign w:val="top"/>
          </w:tcPr>
          <w:p w14:paraId="0425DE1C">
            <w:pPr>
              <w:pStyle w:val="6"/>
              <w:spacing w:before="26" w:line="205" w:lineRule="auto"/>
              <w:ind w:left="437"/>
              <w:rPr>
                <w:sz w:val="21"/>
                <w:szCs w:val="21"/>
              </w:rPr>
            </w:pPr>
            <w:r>
              <w:rPr>
                <w:b/>
                <w:bCs/>
                <w:sz w:val="21"/>
                <w:szCs w:val="21"/>
              </w:rPr>
              <w:t>危废类别</w:t>
            </w:r>
          </w:p>
        </w:tc>
        <w:tc>
          <w:tcPr>
            <w:tcW w:w="2177" w:type="dxa"/>
            <w:vAlign w:val="top"/>
          </w:tcPr>
          <w:p w14:paraId="7DE10F9B">
            <w:pPr>
              <w:pStyle w:val="6"/>
              <w:spacing w:before="34" w:line="198" w:lineRule="auto"/>
              <w:ind w:left="1022"/>
              <w:rPr>
                <w:sz w:val="21"/>
                <w:szCs w:val="21"/>
              </w:rPr>
            </w:pPr>
            <w:r>
              <w:rPr>
                <w:sz w:val="21"/>
                <w:szCs w:val="21"/>
              </w:rPr>
              <w:t>/</w:t>
            </w:r>
          </w:p>
        </w:tc>
        <w:tc>
          <w:tcPr>
            <w:tcW w:w="2447" w:type="dxa"/>
            <w:vAlign w:val="top"/>
          </w:tcPr>
          <w:p w14:paraId="116B9CED">
            <w:pPr>
              <w:pStyle w:val="6"/>
              <w:spacing w:before="83" w:line="177" w:lineRule="exact"/>
              <w:ind w:left="1005"/>
              <w:rPr>
                <w:sz w:val="21"/>
                <w:szCs w:val="21"/>
              </w:rPr>
            </w:pPr>
            <w:r>
              <w:rPr>
                <w:spacing w:val="-1"/>
                <w:position w:val="-2"/>
                <w:sz w:val="21"/>
                <w:szCs w:val="21"/>
              </w:rPr>
              <w:t>HW08</w:t>
            </w:r>
          </w:p>
        </w:tc>
        <w:tc>
          <w:tcPr>
            <w:tcW w:w="2012" w:type="dxa"/>
            <w:vAlign w:val="top"/>
          </w:tcPr>
          <w:p w14:paraId="57C0B672">
            <w:pPr>
              <w:pStyle w:val="6"/>
              <w:spacing w:before="34" w:line="198" w:lineRule="auto"/>
              <w:ind w:left="948"/>
              <w:rPr>
                <w:sz w:val="21"/>
                <w:szCs w:val="21"/>
              </w:rPr>
            </w:pPr>
            <w:r>
              <w:rPr>
                <w:sz w:val="21"/>
                <w:szCs w:val="21"/>
              </w:rPr>
              <w:t>/</w:t>
            </w:r>
          </w:p>
        </w:tc>
      </w:tr>
      <w:tr w14:paraId="7B8CD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33" w:type="dxa"/>
            <w:vAlign w:val="top"/>
          </w:tcPr>
          <w:p w14:paraId="5C733F56">
            <w:pPr>
              <w:pStyle w:val="6"/>
              <w:spacing w:before="36" w:line="214" w:lineRule="auto"/>
              <w:ind w:left="648"/>
              <w:rPr>
                <w:sz w:val="21"/>
                <w:szCs w:val="21"/>
              </w:rPr>
            </w:pPr>
            <w:r>
              <w:rPr>
                <w:b/>
                <w:bCs/>
                <w:spacing w:val="-5"/>
                <w:sz w:val="21"/>
                <w:szCs w:val="21"/>
              </w:rPr>
              <w:t>代码</w:t>
            </w:r>
          </w:p>
        </w:tc>
        <w:tc>
          <w:tcPr>
            <w:tcW w:w="2177" w:type="dxa"/>
            <w:vAlign w:val="top"/>
          </w:tcPr>
          <w:p w14:paraId="0351CC58">
            <w:pPr>
              <w:pStyle w:val="6"/>
              <w:spacing w:before="60" w:line="193" w:lineRule="auto"/>
              <w:ind w:left="502"/>
              <w:rPr>
                <w:sz w:val="21"/>
                <w:szCs w:val="21"/>
              </w:rPr>
            </w:pPr>
            <w:r>
              <w:rPr>
                <w:spacing w:val="-1"/>
                <w:sz w:val="21"/>
                <w:szCs w:val="21"/>
              </w:rPr>
              <w:t>900-015-S17</w:t>
            </w:r>
          </w:p>
        </w:tc>
        <w:tc>
          <w:tcPr>
            <w:tcW w:w="2447" w:type="dxa"/>
            <w:vAlign w:val="top"/>
          </w:tcPr>
          <w:p w14:paraId="04583EA0">
            <w:pPr>
              <w:pStyle w:val="6"/>
              <w:spacing w:before="60" w:line="193" w:lineRule="auto"/>
              <w:ind w:left="695"/>
              <w:rPr>
                <w:sz w:val="21"/>
                <w:szCs w:val="21"/>
              </w:rPr>
            </w:pPr>
            <w:r>
              <w:rPr>
                <w:spacing w:val="-1"/>
                <w:sz w:val="21"/>
                <w:szCs w:val="21"/>
              </w:rPr>
              <w:t>900-220-08</w:t>
            </w:r>
          </w:p>
        </w:tc>
        <w:tc>
          <w:tcPr>
            <w:tcW w:w="2012" w:type="dxa"/>
            <w:vAlign w:val="top"/>
          </w:tcPr>
          <w:p w14:paraId="1BFE1DC2">
            <w:pPr>
              <w:pStyle w:val="6"/>
              <w:spacing w:before="45" w:line="206" w:lineRule="auto"/>
              <w:ind w:left="948"/>
              <w:rPr>
                <w:sz w:val="21"/>
                <w:szCs w:val="21"/>
              </w:rPr>
            </w:pPr>
            <w:r>
              <w:rPr>
                <w:sz w:val="21"/>
                <w:szCs w:val="21"/>
              </w:rPr>
              <w:t>/</w:t>
            </w:r>
          </w:p>
        </w:tc>
      </w:tr>
      <w:tr w14:paraId="5E93C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1733" w:type="dxa"/>
            <w:vAlign w:val="top"/>
          </w:tcPr>
          <w:p w14:paraId="3E52137F">
            <w:pPr>
              <w:spacing w:line="252" w:lineRule="auto"/>
              <w:rPr>
                <w:rFonts w:ascii="Arial"/>
                <w:sz w:val="21"/>
              </w:rPr>
            </w:pPr>
          </w:p>
          <w:p w14:paraId="4B5067D8">
            <w:pPr>
              <w:spacing w:line="253" w:lineRule="auto"/>
              <w:rPr>
                <w:rFonts w:ascii="Arial"/>
                <w:sz w:val="21"/>
              </w:rPr>
            </w:pPr>
          </w:p>
          <w:p w14:paraId="099477A8">
            <w:pPr>
              <w:pStyle w:val="6"/>
              <w:spacing w:before="68" w:line="219" w:lineRule="auto"/>
              <w:ind w:left="278"/>
              <w:rPr>
                <w:sz w:val="21"/>
                <w:szCs w:val="21"/>
              </w:rPr>
            </w:pPr>
            <w:r>
              <w:rPr>
                <w:b/>
                <w:bCs/>
                <w:spacing w:val="3"/>
                <w:sz w:val="21"/>
                <w:szCs w:val="21"/>
              </w:rPr>
              <w:t>产生量(t/a)</w:t>
            </w:r>
          </w:p>
        </w:tc>
        <w:tc>
          <w:tcPr>
            <w:tcW w:w="2177" w:type="dxa"/>
            <w:vAlign w:val="top"/>
          </w:tcPr>
          <w:p w14:paraId="27574D72">
            <w:pPr>
              <w:spacing w:line="264" w:lineRule="auto"/>
              <w:rPr>
                <w:rFonts w:ascii="Arial"/>
                <w:sz w:val="21"/>
              </w:rPr>
            </w:pPr>
          </w:p>
          <w:p w14:paraId="789B5899">
            <w:pPr>
              <w:spacing w:line="264" w:lineRule="auto"/>
              <w:rPr>
                <w:rFonts w:ascii="Arial"/>
                <w:sz w:val="21"/>
              </w:rPr>
            </w:pPr>
          </w:p>
          <w:p w14:paraId="00101906">
            <w:pPr>
              <w:pStyle w:val="6"/>
              <w:spacing w:before="69" w:line="239" w:lineRule="auto"/>
              <w:ind w:left="871"/>
              <w:rPr>
                <w:sz w:val="21"/>
                <w:szCs w:val="21"/>
              </w:rPr>
            </w:pPr>
            <w:r>
              <w:rPr>
                <w:spacing w:val="-2"/>
                <w:sz w:val="21"/>
                <w:szCs w:val="21"/>
              </w:rPr>
              <w:t>0.33</w:t>
            </w:r>
          </w:p>
        </w:tc>
        <w:tc>
          <w:tcPr>
            <w:tcW w:w="2447" w:type="dxa"/>
            <w:vAlign w:val="top"/>
          </w:tcPr>
          <w:p w14:paraId="62D8BB04">
            <w:pPr>
              <w:pStyle w:val="6"/>
              <w:spacing w:before="49" w:line="219" w:lineRule="auto"/>
              <w:ind w:left="64"/>
              <w:rPr>
                <w:sz w:val="21"/>
                <w:szCs w:val="21"/>
              </w:rPr>
            </w:pPr>
            <w:r>
              <w:rPr>
                <w:sz w:val="21"/>
                <w:szCs w:val="21"/>
              </w:rPr>
              <w:t>15.42(事故检修时，产生</w:t>
            </w:r>
          </w:p>
          <w:p w14:paraId="1F9CD50D">
            <w:pPr>
              <w:pStyle w:val="6"/>
              <w:spacing w:before="8" w:line="231" w:lineRule="auto"/>
              <w:ind w:left="5" w:firstLine="109"/>
              <w:rPr>
                <w:sz w:val="21"/>
                <w:szCs w:val="21"/>
              </w:rPr>
            </w:pPr>
            <w:r>
              <w:rPr>
                <w:spacing w:val="-2"/>
                <w:sz w:val="21"/>
                <w:szCs w:val="21"/>
              </w:rPr>
              <w:t>量按变压器油总量的20%</w:t>
            </w:r>
            <w:r>
              <w:rPr>
                <w:spacing w:val="4"/>
                <w:sz w:val="21"/>
                <w:szCs w:val="21"/>
              </w:rPr>
              <w:t xml:space="preserve">  </w:t>
            </w:r>
            <w:r>
              <w:rPr>
                <w:spacing w:val="1"/>
                <w:sz w:val="21"/>
                <w:szCs w:val="21"/>
              </w:rPr>
              <w:t>计(大部分油回收利用，少</w:t>
            </w:r>
            <w:r>
              <w:rPr>
                <w:spacing w:val="3"/>
                <w:sz w:val="21"/>
                <w:szCs w:val="21"/>
              </w:rPr>
              <w:t xml:space="preserve"> </w:t>
            </w:r>
            <w:r>
              <w:rPr>
                <w:spacing w:val="4"/>
                <w:sz w:val="21"/>
                <w:szCs w:val="21"/>
              </w:rPr>
              <w:t>量无法利用的废油产生量</w:t>
            </w:r>
            <w:r>
              <w:rPr>
                <w:sz w:val="21"/>
                <w:szCs w:val="21"/>
              </w:rPr>
              <w:t xml:space="preserve"> </w:t>
            </w:r>
            <w:r>
              <w:rPr>
                <w:spacing w:val="8"/>
                <w:sz w:val="21"/>
                <w:szCs w:val="21"/>
              </w:rPr>
              <w:t>即为废变压器油产生量))</w:t>
            </w:r>
          </w:p>
        </w:tc>
        <w:tc>
          <w:tcPr>
            <w:tcW w:w="2012" w:type="dxa"/>
            <w:vAlign w:val="top"/>
          </w:tcPr>
          <w:p w14:paraId="4FB0C879">
            <w:pPr>
              <w:spacing w:line="264" w:lineRule="auto"/>
              <w:rPr>
                <w:rFonts w:ascii="Arial"/>
                <w:sz w:val="21"/>
              </w:rPr>
            </w:pPr>
          </w:p>
          <w:p w14:paraId="52290A66">
            <w:pPr>
              <w:spacing w:line="265" w:lineRule="auto"/>
              <w:rPr>
                <w:rFonts w:ascii="Arial"/>
                <w:sz w:val="21"/>
              </w:rPr>
            </w:pPr>
          </w:p>
          <w:p w14:paraId="41208B04">
            <w:pPr>
              <w:pStyle w:val="6"/>
              <w:spacing w:before="68" w:line="241" w:lineRule="auto"/>
              <w:ind w:left="948"/>
              <w:rPr>
                <w:sz w:val="21"/>
                <w:szCs w:val="21"/>
              </w:rPr>
            </w:pPr>
            <w:r>
              <w:rPr>
                <w:sz w:val="21"/>
                <w:szCs w:val="21"/>
              </w:rPr>
              <w:t>I</w:t>
            </w:r>
          </w:p>
        </w:tc>
      </w:tr>
      <w:tr w14:paraId="7E5B0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733" w:type="dxa"/>
            <w:vAlign w:val="top"/>
          </w:tcPr>
          <w:p w14:paraId="71350C2D">
            <w:pPr>
              <w:pStyle w:val="6"/>
              <w:spacing w:before="27" w:line="196" w:lineRule="auto"/>
              <w:ind w:left="128"/>
              <w:rPr>
                <w:sz w:val="21"/>
                <w:szCs w:val="21"/>
              </w:rPr>
            </w:pPr>
            <w:r>
              <w:rPr>
                <w:b/>
                <w:bCs/>
                <w:spacing w:val="-4"/>
                <w:sz w:val="21"/>
                <w:szCs w:val="21"/>
              </w:rPr>
              <w:t>产生工序及装置</w:t>
            </w:r>
          </w:p>
        </w:tc>
        <w:tc>
          <w:tcPr>
            <w:tcW w:w="2177" w:type="dxa"/>
            <w:vAlign w:val="top"/>
          </w:tcPr>
          <w:p w14:paraId="7399EF9E">
            <w:pPr>
              <w:pStyle w:val="6"/>
              <w:spacing w:before="29" w:line="194" w:lineRule="auto"/>
              <w:ind w:left="661"/>
              <w:rPr>
                <w:sz w:val="21"/>
                <w:szCs w:val="21"/>
              </w:rPr>
            </w:pPr>
            <w:r>
              <w:rPr>
                <w:spacing w:val="-2"/>
                <w:sz w:val="21"/>
                <w:szCs w:val="21"/>
              </w:rPr>
              <w:t>光伏组件</w:t>
            </w:r>
          </w:p>
        </w:tc>
        <w:tc>
          <w:tcPr>
            <w:tcW w:w="2447" w:type="dxa"/>
            <w:vAlign w:val="top"/>
          </w:tcPr>
          <w:p w14:paraId="1C913433">
            <w:pPr>
              <w:pStyle w:val="6"/>
              <w:spacing w:before="31" w:line="192" w:lineRule="auto"/>
              <w:ind w:left="374"/>
              <w:rPr>
                <w:sz w:val="21"/>
                <w:szCs w:val="21"/>
              </w:rPr>
            </w:pPr>
            <w:r>
              <w:rPr>
                <w:spacing w:val="-2"/>
                <w:sz w:val="21"/>
                <w:szCs w:val="21"/>
              </w:rPr>
              <w:t>箱式变压器、主变</w:t>
            </w:r>
          </w:p>
        </w:tc>
        <w:tc>
          <w:tcPr>
            <w:tcW w:w="2012" w:type="dxa"/>
            <w:vAlign w:val="top"/>
          </w:tcPr>
          <w:p w14:paraId="27C4D368">
            <w:pPr>
              <w:pStyle w:val="6"/>
              <w:spacing w:before="36" w:line="188" w:lineRule="auto"/>
              <w:ind w:left="948"/>
              <w:rPr>
                <w:sz w:val="21"/>
                <w:szCs w:val="21"/>
              </w:rPr>
            </w:pPr>
            <w:r>
              <w:rPr>
                <w:sz w:val="21"/>
                <w:szCs w:val="21"/>
              </w:rPr>
              <w:t>/</w:t>
            </w:r>
          </w:p>
        </w:tc>
      </w:tr>
      <w:tr w14:paraId="33B2A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733" w:type="dxa"/>
            <w:vAlign w:val="top"/>
          </w:tcPr>
          <w:p w14:paraId="79CC0CE5">
            <w:pPr>
              <w:pStyle w:val="6"/>
              <w:spacing w:before="30" w:line="202" w:lineRule="auto"/>
              <w:ind w:left="648"/>
              <w:rPr>
                <w:sz w:val="21"/>
                <w:szCs w:val="21"/>
              </w:rPr>
            </w:pPr>
            <w:r>
              <w:rPr>
                <w:b/>
                <w:bCs/>
                <w:spacing w:val="-5"/>
                <w:sz w:val="21"/>
                <w:szCs w:val="21"/>
              </w:rPr>
              <w:t>形态</w:t>
            </w:r>
          </w:p>
        </w:tc>
        <w:tc>
          <w:tcPr>
            <w:tcW w:w="2177" w:type="dxa"/>
            <w:vAlign w:val="top"/>
          </w:tcPr>
          <w:p w14:paraId="7AD04FFB">
            <w:pPr>
              <w:pStyle w:val="6"/>
              <w:spacing w:before="31" w:line="201" w:lineRule="auto"/>
              <w:ind w:left="871"/>
              <w:rPr>
                <w:sz w:val="21"/>
                <w:szCs w:val="21"/>
              </w:rPr>
            </w:pPr>
            <w:r>
              <w:rPr>
                <w:spacing w:val="5"/>
                <w:sz w:val="21"/>
                <w:szCs w:val="21"/>
              </w:rPr>
              <w:t>固态</w:t>
            </w:r>
          </w:p>
        </w:tc>
        <w:tc>
          <w:tcPr>
            <w:tcW w:w="2447" w:type="dxa"/>
            <w:vAlign w:val="top"/>
          </w:tcPr>
          <w:p w14:paraId="661AA828">
            <w:pPr>
              <w:pStyle w:val="6"/>
              <w:spacing w:before="31" w:line="201" w:lineRule="auto"/>
              <w:ind w:left="1005"/>
              <w:rPr>
                <w:sz w:val="21"/>
                <w:szCs w:val="21"/>
              </w:rPr>
            </w:pPr>
            <w:r>
              <w:rPr>
                <w:spacing w:val="5"/>
                <w:sz w:val="21"/>
                <w:szCs w:val="21"/>
              </w:rPr>
              <w:t>液态</w:t>
            </w:r>
          </w:p>
        </w:tc>
        <w:tc>
          <w:tcPr>
            <w:tcW w:w="2012" w:type="dxa"/>
            <w:vAlign w:val="top"/>
          </w:tcPr>
          <w:p w14:paraId="5AE0F3EE">
            <w:pPr>
              <w:pStyle w:val="6"/>
              <w:spacing w:before="35" w:line="197" w:lineRule="auto"/>
              <w:ind w:left="948"/>
              <w:rPr>
                <w:sz w:val="21"/>
                <w:szCs w:val="21"/>
              </w:rPr>
            </w:pPr>
            <w:r>
              <w:rPr>
                <w:sz w:val="21"/>
                <w:szCs w:val="21"/>
              </w:rPr>
              <w:t>/</w:t>
            </w:r>
          </w:p>
        </w:tc>
      </w:tr>
      <w:tr w14:paraId="7F070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33" w:type="dxa"/>
            <w:vAlign w:val="top"/>
          </w:tcPr>
          <w:p w14:paraId="7D024251">
            <w:pPr>
              <w:pStyle w:val="6"/>
              <w:spacing w:before="38" w:line="212" w:lineRule="auto"/>
              <w:ind w:left="437"/>
              <w:rPr>
                <w:sz w:val="21"/>
                <w:szCs w:val="21"/>
              </w:rPr>
            </w:pPr>
            <w:r>
              <w:rPr>
                <w:b/>
                <w:bCs/>
                <w:spacing w:val="-5"/>
                <w:sz w:val="21"/>
                <w:szCs w:val="21"/>
              </w:rPr>
              <w:t>主要成分</w:t>
            </w:r>
          </w:p>
        </w:tc>
        <w:tc>
          <w:tcPr>
            <w:tcW w:w="2177" w:type="dxa"/>
            <w:vAlign w:val="top"/>
          </w:tcPr>
          <w:p w14:paraId="3460646D">
            <w:pPr>
              <w:pStyle w:val="6"/>
              <w:spacing w:before="39" w:line="211" w:lineRule="auto"/>
              <w:ind w:left="452"/>
              <w:rPr>
                <w:sz w:val="21"/>
                <w:szCs w:val="21"/>
              </w:rPr>
            </w:pPr>
            <w:r>
              <w:rPr>
                <w:spacing w:val="-2"/>
                <w:sz w:val="21"/>
                <w:szCs w:val="21"/>
              </w:rPr>
              <w:t>太阳能电池板</w:t>
            </w:r>
          </w:p>
        </w:tc>
        <w:tc>
          <w:tcPr>
            <w:tcW w:w="2447" w:type="dxa"/>
            <w:vAlign w:val="top"/>
          </w:tcPr>
          <w:p w14:paraId="7385DC64">
            <w:pPr>
              <w:pStyle w:val="6"/>
              <w:spacing w:before="39" w:line="211" w:lineRule="auto"/>
              <w:ind w:left="904"/>
              <w:rPr>
                <w:sz w:val="21"/>
                <w:szCs w:val="21"/>
              </w:rPr>
            </w:pPr>
            <w:r>
              <w:rPr>
                <w:spacing w:val="7"/>
                <w:sz w:val="21"/>
                <w:szCs w:val="21"/>
              </w:rPr>
              <w:t>矿物油</w:t>
            </w:r>
          </w:p>
        </w:tc>
        <w:tc>
          <w:tcPr>
            <w:tcW w:w="2012" w:type="dxa"/>
            <w:vAlign w:val="top"/>
          </w:tcPr>
          <w:p w14:paraId="354C5510">
            <w:pPr>
              <w:pStyle w:val="6"/>
              <w:spacing w:before="46" w:line="205" w:lineRule="auto"/>
              <w:ind w:left="948"/>
              <w:rPr>
                <w:sz w:val="21"/>
                <w:szCs w:val="21"/>
              </w:rPr>
            </w:pPr>
            <w:r>
              <w:rPr>
                <w:sz w:val="21"/>
                <w:szCs w:val="21"/>
              </w:rPr>
              <w:t>/</w:t>
            </w:r>
          </w:p>
        </w:tc>
      </w:tr>
      <w:tr w14:paraId="7B100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733" w:type="dxa"/>
            <w:vAlign w:val="top"/>
          </w:tcPr>
          <w:p w14:paraId="4ECEA4E5">
            <w:pPr>
              <w:pStyle w:val="6"/>
              <w:spacing w:before="28" w:line="195" w:lineRule="auto"/>
              <w:ind w:left="437"/>
              <w:rPr>
                <w:sz w:val="21"/>
                <w:szCs w:val="21"/>
              </w:rPr>
            </w:pPr>
            <w:r>
              <w:rPr>
                <w:b/>
                <w:bCs/>
                <w:spacing w:val="-4"/>
                <w:sz w:val="21"/>
                <w:szCs w:val="21"/>
              </w:rPr>
              <w:t>有害成分</w:t>
            </w:r>
          </w:p>
        </w:tc>
        <w:tc>
          <w:tcPr>
            <w:tcW w:w="2177" w:type="dxa"/>
            <w:vAlign w:val="top"/>
          </w:tcPr>
          <w:p w14:paraId="3922A584">
            <w:pPr>
              <w:pStyle w:val="6"/>
              <w:spacing w:before="52" w:line="174" w:lineRule="auto"/>
              <w:ind w:left="1022"/>
              <w:rPr>
                <w:sz w:val="21"/>
                <w:szCs w:val="21"/>
              </w:rPr>
            </w:pPr>
            <w:r>
              <w:rPr>
                <w:sz w:val="21"/>
                <w:szCs w:val="21"/>
              </w:rPr>
              <w:t>1</w:t>
            </w:r>
          </w:p>
        </w:tc>
        <w:tc>
          <w:tcPr>
            <w:tcW w:w="2447" w:type="dxa"/>
            <w:vAlign w:val="top"/>
          </w:tcPr>
          <w:p w14:paraId="0C57A36D">
            <w:pPr>
              <w:pStyle w:val="6"/>
              <w:spacing w:before="30" w:line="193" w:lineRule="auto"/>
              <w:ind w:left="904"/>
              <w:rPr>
                <w:sz w:val="21"/>
                <w:szCs w:val="21"/>
              </w:rPr>
            </w:pPr>
            <w:r>
              <w:rPr>
                <w:spacing w:val="7"/>
                <w:sz w:val="21"/>
                <w:szCs w:val="21"/>
              </w:rPr>
              <w:t>矿物油</w:t>
            </w:r>
          </w:p>
        </w:tc>
        <w:tc>
          <w:tcPr>
            <w:tcW w:w="2012" w:type="dxa"/>
            <w:vAlign w:val="top"/>
          </w:tcPr>
          <w:p w14:paraId="377B1DA4">
            <w:pPr>
              <w:pStyle w:val="6"/>
              <w:spacing w:before="36" w:line="188" w:lineRule="auto"/>
              <w:ind w:left="948"/>
              <w:rPr>
                <w:sz w:val="21"/>
                <w:szCs w:val="21"/>
              </w:rPr>
            </w:pPr>
            <w:r>
              <w:rPr>
                <w:sz w:val="21"/>
                <w:szCs w:val="21"/>
              </w:rPr>
              <w:t>/</w:t>
            </w:r>
          </w:p>
        </w:tc>
      </w:tr>
      <w:tr w14:paraId="78720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733" w:type="dxa"/>
            <w:vAlign w:val="top"/>
          </w:tcPr>
          <w:p w14:paraId="08726094">
            <w:pPr>
              <w:pStyle w:val="6"/>
              <w:spacing w:before="47" w:line="213" w:lineRule="auto"/>
              <w:ind w:left="437"/>
              <w:rPr>
                <w:sz w:val="21"/>
                <w:szCs w:val="21"/>
              </w:rPr>
            </w:pPr>
            <w:r>
              <w:rPr>
                <w:b/>
                <w:bCs/>
                <w:spacing w:val="-4"/>
                <w:sz w:val="21"/>
                <w:szCs w:val="21"/>
              </w:rPr>
              <w:t>产废周期</w:t>
            </w:r>
          </w:p>
        </w:tc>
        <w:tc>
          <w:tcPr>
            <w:tcW w:w="2177" w:type="dxa"/>
            <w:vAlign w:val="top"/>
          </w:tcPr>
          <w:p w14:paraId="354C8EAF">
            <w:pPr>
              <w:pStyle w:val="6"/>
              <w:spacing w:before="49" w:line="211" w:lineRule="auto"/>
              <w:ind w:left="871"/>
              <w:rPr>
                <w:sz w:val="21"/>
                <w:szCs w:val="21"/>
              </w:rPr>
            </w:pPr>
            <w:r>
              <w:rPr>
                <w:spacing w:val="-2"/>
                <w:sz w:val="21"/>
                <w:szCs w:val="21"/>
              </w:rPr>
              <w:t>25年</w:t>
            </w:r>
          </w:p>
        </w:tc>
        <w:tc>
          <w:tcPr>
            <w:tcW w:w="2447" w:type="dxa"/>
            <w:vAlign w:val="top"/>
          </w:tcPr>
          <w:p w14:paraId="248AFD36">
            <w:pPr>
              <w:pStyle w:val="6"/>
              <w:spacing w:before="49" w:line="211" w:lineRule="auto"/>
              <w:ind w:left="695"/>
              <w:rPr>
                <w:sz w:val="21"/>
                <w:szCs w:val="21"/>
              </w:rPr>
            </w:pPr>
            <w:r>
              <w:rPr>
                <w:spacing w:val="2"/>
                <w:sz w:val="21"/>
                <w:szCs w:val="21"/>
              </w:rPr>
              <w:t>事故检修时</w:t>
            </w:r>
          </w:p>
        </w:tc>
        <w:tc>
          <w:tcPr>
            <w:tcW w:w="2012" w:type="dxa"/>
            <w:vAlign w:val="top"/>
          </w:tcPr>
          <w:p w14:paraId="00871EF5">
            <w:pPr>
              <w:pStyle w:val="6"/>
              <w:spacing w:before="56" w:line="205" w:lineRule="auto"/>
              <w:ind w:left="948"/>
              <w:rPr>
                <w:sz w:val="21"/>
                <w:szCs w:val="21"/>
              </w:rPr>
            </w:pPr>
            <w:r>
              <w:rPr>
                <w:sz w:val="21"/>
                <w:szCs w:val="21"/>
              </w:rPr>
              <w:t>/</w:t>
            </w:r>
          </w:p>
        </w:tc>
      </w:tr>
      <w:tr w14:paraId="27D62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733" w:type="dxa"/>
            <w:vAlign w:val="top"/>
          </w:tcPr>
          <w:p w14:paraId="0D3C8B1F">
            <w:pPr>
              <w:pStyle w:val="6"/>
              <w:spacing w:before="27" w:line="196" w:lineRule="auto"/>
              <w:ind w:left="437"/>
              <w:rPr>
                <w:sz w:val="21"/>
                <w:szCs w:val="21"/>
              </w:rPr>
            </w:pPr>
            <w:r>
              <w:rPr>
                <w:b/>
                <w:bCs/>
                <w:spacing w:val="-5"/>
                <w:sz w:val="21"/>
                <w:szCs w:val="21"/>
              </w:rPr>
              <w:t>危险特性</w:t>
            </w:r>
          </w:p>
        </w:tc>
        <w:tc>
          <w:tcPr>
            <w:tcW w:w="2177" w:type="dxa"/>
            <w:vAlign w:val="top"/>
          </w:tcPr>
          <w:p w14:paraId="4A20064E">
            <w:pPr>
              <w:pStyle w:val="6"/>
              <w:spacing w:before="36" w:line="188" w:lineRule="auto"/>
              <w:ind w:left="1022"/>
              <w:rPr>
                <w:sz w:val="21"/>
                <w:szCs w:val="21"/>
              </w:rPr>
            </w:pPr>
            <w:r>
              <w:rPr>
                <w:sz w:val="21"/>
                <w:szCs w:val="21"/>
              </w:rPr>
              <w:t>/</w:t>
            </w:r>
          </w:p>
        </w:tc>
        <w:tc>
          <w:tcPr>
            <w:tcW w:w="2447" w:type="dxa"/>
            <w:vAlign w:val="top"/>
          </w:tcPr>
          <w:p w14:paraId="18AF58E3">
            <w:pPr>
              <w:pStyle w:val="6"/>
              <w:spacing w:before="62" w:line="165" w:lineRule="auto"/>
              <w:ind w:left="1055"/>
              <w:rPr>
                <w:sz w:val="21"/>
                <w:szCs w:val="21"/>
              </w:rPr>
            </w:pPr>
            <w:r>
              <w:rPr>
                <w:spacing w:val="-2"/>
                <w:sz w:val="21"/>
                <w:szCs w:val="21"/>
              </w:rPr>
              <w:t>T,I</w:t>
            </w:r>
          </w:p>
        </w:tc>
        <w:tc>
          <w:tcPr>
            <w:tcW w:w="2012" w:type="dxa"/>
            <w:vAlign w:val="top"/>
          </w:tcPr>
          <w:p w14:paraId="65445D73">
            <w:pPr>
              <w:pStyle w:val="6"/>
              <w:spacing w:before="36" w:line="188" w:lineRule="auto"/>
              <w:ind w:left="948"/>
              <w:rPr>
                <w:sz w:val="21"/>
                <w:szCs w:val="21"/>
              </w:rPr>
            </w:pPr>
            <w:r>
              <w:rPr>
                <w:sz w:val="21"/>
                <w:szCs w:val="21"/>
              </w:rPr>
              <w:t>/</w:t>
            </w:r>
          </w:p>
        </w:tc>
      </w:tr>
      <w:tr w14:paraId="5B6A5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733" w:type="dxa"/>
            <w:vAlign w:val="top"/>
          </w:tcPr>
          <w:p w14:paraId="794ABE4E">
            <w:pPr>
              <w:spacing w:line="248" w:lineRule="auto"/>
              <w:rPr>
                <w:rFonts w:ascii="Arial"/>
                <w:sz w:val="21"/>
              </w:rPr>
            </w:pPr>
          </w:p>
          <w:p w14:paraId="0F898B07">
            <w:pPr>
              <w:pStyle w:val="6"/>
              <w:spacing w:before="68" w:line="220" w:lineRule="auto"/>
              <w:ind w:left="227"/>
              <w:rPr>
                <w:sz w:val="21"/>
                <w:szCs w:val="21"/>
              </w:rPr>
            </w:pPr>
            <w:r>
              <w:rPr>
                <w:b/>
                <w:bCs/>
                <w:spacing w:val="-4"/>
                <w:sz w:val="21"/>
                <w:szCs w:val="21"/>
              </w:rPr>
              <w:t>污染防治措施</w:t>
            </w:r>
          </w:p>
        </w:tc>
        <w:tc>
          <w:tcPr>
            <w:tcW w:w="2177" w:type="dxa"/>
            <w:vAlign w:val="top"/>
          </w:tcPr>
          <w:p w14:paraId="6877BF7B">
            <w:pPr>
              <w:spacing w:line="250" w:lineRule="auto"/>
              <w:rPr>
                <w:rFonts w:ascii="Arial"/>
                <w:sz w:val="21"/>
              </w:rPr>
            </w:pPr>
          </w:p>
          <w:p w14:paraId="4D62F6CE">
            <w:pPr>
              <w:pStyle w:val="6"/>
              <w:spacing w:before="69" w:line="219" w:lineRule="auto"/>
              <w:ind w:left="661"/>
              <w:rPr>
                <w:sz w:val="21"/>
                <w:szCs w:val="21"/>
              </w:rPr>
            </w:pPr>
            <w:r>
              <w:rPr>
                <w:spacing w:val="-3"/>
                <w:sz w:val="21"/>
                <w:szCs w:val="21"/>
              </w:rPr>
              <w:t>厂家回收</w:t>
            </w:r>
          </w:p>
        </w:tc>
        <w:tc>
          <w:tcPr>
            <w:tcW w:w="2447" w:type="dxa"/>
            <w:vAlign w:val="top"/>
          </w:tcPr>
          <w:p w14:paraId="480AE37E">
            <w:pPr>
              <w:pStyle w:val="6"/>
              <w:spacing w:before="50" w:line="219" w:lineRule="auto"/>
              <w:jc w:val="right"/>
              <w:rPr>
                <w:sz w:val="21"/>
                <w:szCs w:val="21"/>
              </w:rPr>
            </w:pPr>
            <w:r>
              <w:rPr>
                <w:spacing w:val="-9"/>
                <w:sz w:val="21"/>
                <w:szCs w:val="21"/>
              </w:rPr>
              <w:t>危废暂存间暂存，定期委托</w:t>
            </w:r>
          </w:p>
          <w:p w14:paraId="7877A50F">
            <w:pPr>
              <w:pStyle w:val="6"/>
              <w:spacing w:before="31" w:line="220" w:lineRule="auto"/>
              <w:ind w:left="64"/>
              <w:rPr>
                <w:sz w:val="21"/>
                <w:szCs w:val="21"/>
              </w:rPr>
            </w:pPr>
            <w:r>
              <w:rPr>
                <w:spacing w:val="1"/>
                <w:sz w:val="21"/>
                <w:szCs w:val="21"/>
              </w:rPr>
              <w:t>有组织的单位进行清运及</w:t>
            </w:r>
          </w:p>
          <w:p w14:paraId="6308A1A0">
            <w:pPr>
              <w:pStyle w:val="6"/>
              <w:spacing w:before="3" w:line="214" w:lineRule="auto"/>
              <w:ind w:left="1005"/>
              <w:rPr>
                <w:sz w:val="21"/>
                <w:szCs w:val="21"/>
              </w:rPr>
            </w:pPr>
            <w:r>
              <w:rPr>
                <w:spacing w:val="-4"/>
                <w:sz w:val="21"/>
                <w:szCs w:val="21"/>
              </w:rPr>
              <w:t>处置</w:t>
            </w:r>
          </w:p>
        </w:tc>
        <w:tc>
          <w:tcPr>
            <w:tcW w:w="2012" w:type="dxa"/>
            <w:vAlign w:val="top"/>
          </w:tcPr>
          <w:p w14:paraId="4825D773">
            <w:pPr>
              <w:spacing w:line="256" w:lineRule="auto"/>
              <w:rPr>
                <w:rFonts w:ascii="Arial"/>
                <w:sz w:val="21"/>
              </w:rPr>
            </w:pPr>
          </w:p>
          <w:p w14:paraId="16C31044">
            <w:pPr>
              <w:pStyle w:val="6"/>
              <w:spacing w:before="69" w:line="224" w:lineRule="auto"/>
              <w:ind w:left="948"/>
              <w:rPr>
                <w:sz w:val="21"/>
                <w:szCs w:val="21"/>
              </w:rPr>
            </w:pPr>
            <w:r>
              <w:rPr>
                <w:sz w:val="21"/>
                <w:szCs w:val="21"/>
              </w:rPr>
              <w:t>/</w:t>
            </w:r>
          </w:p>
        </w:tc>
      </w:tr>
      <w:tr w14:paraId="67E7E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733" w:type="dxa"/>
            <w:vAlign w:val="top"/>
          </w:tcPr>
          <w:p w14:paraId="56D6D108">
            <w:pPr>
              <w:pStyle w:val="6"/>
              <w:spacing w:before="171" w:line="221" w:lineRule="auto"/>
              <w:ind w:left="648"/>
              <w:rPr>
                <w:sz w:val="21"/>
                <w:szCs w:val="21"/>
              </w:rPr>
            </w:pPr>
            <w:r>
              <w:rPr>
                <w:b/>
                <w:bCs/>
                <w:spacing w:val="-5"/>
                <w:sz w:val="21"/>
                <w:szCs w:val="21"/>
              </w:rPr>
              <w:t>名称</w:t>
            </w:r>
          </w:p>
        </w:tc>
        <w:tc>
          <w:tcPr>
            <w:tcW w:w="2177" w:type="dxa"/>
            <w:vAlign w:val="top"/>
          </w:tcPr>
          <w:p w14:paraId="383AEFC4">
            <w:pPr>
              <w:pStyle w:val="6"/>
              <w:spacing w:before="171" w:line="219" w:lineRule="auto"/>
              <w:ind w:left="552"/>
              <w:rPr>
                <w:sz w:val="21"/>
                <w:szCs w:val="21"/>
              </w:rPr>
            </w:pPr>
            <w:r>
              <w:rPr>
                <w:spacing w:val="-2"/>
                <w:sz w:val="21"/>
                <w:szCs w:val="21"/>
              </w:rPr>
              <w:t>废铅蓄电池</w:t>
            </w:r>
          </w:p>
        </w:tc>
        <w:tc>
          <w:tcPr>
            <w:tcW w:w="2447" w:type="dxa"/>
            <w:vAlign w:val="top"/>
          </w:tcPr>
          <w:p w14:paraId="4D46C6C8">
            <w:pPr>
              <w:pStyle w:val="6"/>
              <w:spacing w:before="171" w:line="219" w:lineRule="auto"/>
              <w:ind w:left="695"/>
              <w:rPr>
                <w:sz w:val="21"/>
                <w:szCs w:val="21"/>
              </w:rPr>
            </w:pPr>
            <w:r>
              <w:rPr>
                <w:spacing w:val="2"/>
                <w:sz w:val="21"/>
                <w:szCs w:val="21"/>
              </w:rPr>
              <w:t>化粪池污泥</w:t>
            </w:r>
          </w:p>
        </w:tc>
        <w:tc>
          <w:tcPr>
            <w:tcW w:w="2012" w:type="dxa"/>
            <w:vAlign w:val="top"/>
          </w:tcPr>
          <w:p w14:paraId="6AB70B14">
            <w:pPr>
              <w:pStyle w:val="6"/>
              <w:spacing w:before="30" w:line="219" w:lineRule="auto"/>
              <w:ind w:left="687" w:right="65" w:hanging="630"/>
              <w:rPr>
                <w:sz w:val="21"/>
                <w:szCs w:val="21"/>
              </w:rPr>
            </w:pPr>
            <w:r>
              <w:rPr>
                <w:spacing w:val="-2"/>
                <w:sz w:val="21"/>
                <w:szCs w:val="21"/>
              </w:rPr>
              <w:t>一体化生活废水处理</w:t>
            </w:r>
            <w:r>
              <w:rPr>
                <w:spacing w:val="5"/>
                <w:sz w:val="21"/>
                <w:szCs w:val="21"/>
              </w:rPr>
              <w:t xml:space="preserve"> </w:t>
            </w:r>
            <w:r>
              <w:rPr>
                <w:spacing w:val="3"/>
                <w:sz w:val="21"/>
                <w:szCs w:val="21"/>
              </w:rPr>
              <w:t>站污泥</w:t>
            </w:r>
          </w:p>
        </w:tc>
      </w:tr>
      <w:tr w14:paraId="6C831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733" w:type="dxa"/>
            <w:vAlign w:val="top"/>
          </w:tcPr>
          <w:p w14:paraId="6C871E9D">
            <w:pPr>
              <w:pStyle w:val="6"/>
              <w:spacing w:before="29" w:line="202" w:lineRule="auto"/>
              <w:ind w:left="437"/>
              <w:rPr>
                <w:sz w:val="21"/>
                <w:szCs w:val="21"/>
              </w:rPr>
            </w:pPr>
            <w:r>
              <w:rPr>
                <w:b/>
                <w:bCs/>
                <w:sz w:val="21"/>
                <w:szCs w:val="21"/>
              </w:rPr>
              <w:t>危废类别</w:t>
            </w:r>
          </w:p>
        </w:tc>
        <w:tc>
          <w:tcPr>
            <w:tcW w:w="2177" w:type="dxa"/>
            <w:vAlign w:val="top"/>
          </w:tcPr>
          <w:p w14:paraId="4240D636">
            <w:pPr>
              <w:pStyle w:val="6"/>
              <w:spacing w:before="86" w:line="173" w:lineRule="exact"/>
              <w:ind w:left="871"/>
              <w:rPr>
                <w:sz w:val="21"/>
                <w:szCs w:val="21"/>
              </w:rPr>
            </w:pPr>
            <w:r>
              <w:rPr>
                <w:spacing w:val="-1"/>
                <w:position w:val="-2"/>
                <w:sz w:val="21"/>
                <w:szCs w:val="21"/>
              </w:rPr>
              <w:t>HW31</w:t>
            </w:r>
          </w:p>
        </w:tc>
        <w:tc>
          <w:tcPr>
            <w:tcW w:w="2447" w:type="dxa"/>
            <w:vAlign w:val="top"/>
          </w:tcPr>
          <w:p w14:paraId="05245A1D">
            <w:pPr>
              <w:pStyle w:val="6"/>
              <w:spacing w:before="38" w:line="194" w:lineRule="auto"/>
              <w:ind w:left="1164"/>
              <w:rPr>
                <w:sz w:val="21"/>
                <w:szCs w:val="21"/>
              </w:rPr>
            </w:pPr>
            <w:r>
              <w:rPr>
                <w:sz w:val="21"/>
                <w:szCs w:val="21"/>
              </w:rPr>
              <w:t>/</w:t>
            </w:r>
          </w:p>
        </w:tc>
        <w:tc>
          <w:tcPr>
            <w:tcW w:w="2012" w:type="dxa"/>
            <w:vAlign w:val="top"/>
          </w:tcPr>
          <w:p w14:paraId="7578D9C8">
            <w:pPr>
              <w:pStyle w:val="6"/>
              <w:spacing w:before="38" w:line="194" w:lineRule="auto"/>
              <w:ind w:left="948"/>
              <w:rPr>
                <w:sz w:val="21"/>
                <w:szCs w:val="21"/>
              </w:rPr>
            </w:pPr>
            <w:r>
              <w:rPr>
                <w:sz w:val="21"/>
                <w:szCs w:val="21"/>
              </w:rPr>
              <w:t>/</w:t>
            </w:r>
          </w:p>
        </w:tc>
      </w:tr>
      <w:tr w14:paraId="17DBF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33" w:type="dxa"/>
            <w:vAlign w:val="top"/>
          </w:tcPr>
          <w:p w14:paraId="0416E678">
            <w:pPr>
              <w:pStyle w:val="6"/>
              <w:spacing w:before="39" w:line="211" w:lineRule="auto"/>
              <w:ind w:left="648"/>
              <w:rPr>
                <w:sz w:val="21"/>
                <w:szCs w:val="21"/>
              </w:rPr>
            </w:pPr>
            <w:r>
              <w:rPr>
                <w:b/>
                <w:bCs/>
                <w:spacing w:val="-5"/>
                <w:sz w:val="21"/>
                <w:szCs w:val="21"/>
              </w:rPr>
              <w:t>代码</w:t>
            </w:r>
          </w:p>
        </w:tc>
        <w:tc>
          <w:tcPr>
            <w:tcW w:w="2177" w:type="dxa"/>
            <w:vAlign w:val="top"/>
          </w:tcPr>
          <w:p w14:paraId="00BFEE30">
            <w:pPr>
              <w:pStyle w:val="6"/>
              <w:spacing w:before="65" w:line="189" w:lineRule="auto"/>
              <w:ind w:left="552"/>
              <w:rPr>
                <w:sz w:val="21"/>
                <w:szCs w:val="21"/>
              </w:rPr>
            </w:pPr>
            <w:r>
              <w:rPr>
                <w:spacing w:val="-1"/>
                <w:sz w:val="21"/>
                <w:szCs w:val="21"/>
              </w:rPr>
              <w:t>900-052-31</w:t>
            </w:r>
          </w:p>
        </w:tc>
        <w:tc>
          <w:tcPr>
            <w:tcW w:w="2447" w:type="dxa"/>
            <w:vAlign w:val="top"/>
          </w:tcPr>
          <w:p w14:paraId="239CE349">
            <w:pPr>
              <w:pStyle w:val="6"/>
              <w:spacing w:before="65" w:line="189" w:lineRule="auto"/>
              <w:ind w:left="634"/>
              <w:rPr>
                <w:sz w:val="21"/>
                <w:szCs w:val="21"/>
              </w:rPr>
            </w:pPr>
            <w:r>
              <w:rPr>
                <w:spacing w:val="-1"/>
                <w:sz w:val="21"/>
                <w:szCs w:val="21"/>
              </w:rPr>
              <w:t>900-002-S64</w:t>
            </w:r>
          </w:p>
        </w:tc>
        <w:tc>
          <w:tcPr>
            <w:tcW w:w="2012" w:type="dxa"/>
            <w:vAlign w:val="top"/>
          </w:tcPr>
          <w:p w14:paraId="0CC07521">
            <w:pPr>
              <w:pStyle w:val="6"/>
              <w:spacing w:before="65" w:line="189" w:lineRule="auto"/>
              <w:ind w:left="418"/>
              <w:rPr>
                <w:sz w:val="21"/>
                <w:szCs w:val="21"/>
              </w:rPr>
            </w:pPr>
            <w:r>
              <w:rPr>
                <w:spacing w:val="-1"/>
                <w:sz w:val="21"/>
                <w:szCs w:val="21"/>
              </w:rPr>
              <w:t>462-001-S90</w:t>
            </w:r>
          </w:p>
        </w:tc>
      </w:tr>
      <w:tr w14:paraId="05E1D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733" w:type="dxa"/>
            <w:vAlign w:val="top"/>
          </w:tcPr>
          <w:p w14:paraId="067D2225">
            <w:pPr>
              <w:pStyle w:val="6"/>
              <w:spacing w:before="30" w:line="202" w:lineRule="auto"/>
              <w:ind w:left="278"/>
              <w:rPr>
                <w:sz w:val="21"/>
                <w:szCs w:val="21"/>
              </w:rPr>
            </w:pPr>
            <w:r>
              <w:rPr>
                <w:b/>
                <w:bCs/>
                <w:spacing w:val="3"/>
                <w:sz w:val="21"/>
                <w:szCs w:val="21"/>
              </w:rPr>
              <w:t>产生量(t/a)</w:t>
            </w:r>
          </w:p>
        </w:tc>
        <w:tc>
          <w:tcPr>
            <w:tcW w:w="2177" w:type="dxa"/>
            <w:vAlign w:val="top"/>
          </w:tcPr>
          <w:p w14:paraId="6D41E423">
            <w:pPr>
              <w:pStyle w:val="6"/>
              <w:spacing w:before="33" w:line="199" w:lineRule="auto"/>
              <w:ind w:left="812"/>
              <w:rPr>
                <w:sz w:val="21"/>
                <w:szCs w:val="21"/>
              </w:rPr>
            </w:pPr>
            <w:r>
              <w:rPr>
                <w:spacing w:val="3"/>
                <w:sz w:val="21"/>
                <w:szCs w:val="21"/>
              </w:rPr>
              <w:t>2t/次</w:t>
            </w:r>
          </w:p>
        </w:tc>
        <w:tc>
          <w:tcPr>
            <w:tcW w:w="2447" w:type="dxa"/>
            <w:vAlign w:val="top"/>
          </w:tcPr>
          <w:p w14:paraId="4BE19677">
            <w:pPr>
              <w:pStyle w:val="6"/>
              <w:spacing w:before="54" w:line="181" w:lineRule="auto"/>
              <w:ind w:left="1005"/>
              <w:rPr>
                <w:sz w:val="21"/>
                <w:szCs w:val="21"/>
              </w:rPr>
            </w:pPr>
            <w:r>
              <w:rPr>
                <w:spacing w:val="-2"/>
                <w:sz w:val="21"/>
                <w:szCs w:val="21"/>
              </w:rPr>
              <w:t>0.11</w:t>
            </w:r>
          </w:p>
        </w:tc>
        <w:tc>
          <w:tcPr>
            <w:tcW w:w="2012" w:type="dxa"/>
            <w:vAlign w:val="top"/>
          </w:tcPr>
          <w:p w14:paraId="57893E8B">
            <w:pPr>
              <w:pStyle w:val="6"/>
              <w:spacing w:before="54" w:line="181" w:lineRule="auto"/>
              <w:ind w:left="788"/>
              <w:rPr>
                <w:sz w:val="21"/>
                <w:szCs w:val="21"/>
              </w:rPr>
            </w:pPr>
            <w:r>
              <w:rPr>
                <w:spacing w:val="-2"/>
                <w:sz w:val="21"/>
                <w:szCs w:val="21"/>
              </w:rPr>
              <w:t>0.32</w:t>
            </w:r>
          </w:p>
        </w:tc>
      </w:tr>
      <w:tr w14:paraId="05E25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733" w:type="dxa"/>
            <w:vAlign w:val="top"/>
          </w:tcPr>
          <w:p w14:paraId="12CD137C">
            <w:pPr>
              <w:pStyle w:val="6"/>
              <w:spacing w:before="180" w:line="219" w:lineRule="auto"/>
              <w:ind w:left="128"/>
              <w:rPr>
                <w:sz w:val="21"/>
                <w:szCs w:val="21"/>
              </w:rPr>
            </w:pPr>
            <w:r>
              <w:rPr>
                <w:b/>
                <w:bCs/>
                <w:spacing w:val="-4"/>
                <w:sz w:val="21"/>
                <w:szCs w:val="21"/>
              </w:rPr>
              <w:t>产生工序及装置</w:t>
            </w:r>
          </w:p>
        </w:tc>
        <w:tc>
          <w:tcPr>
            <w:tcW w:w="2177" w:type="dxa"/>
            <w:vAlign w:val="top"/>
          </w:tcPr>
          <w:p w14:paraId="2FD5BACB">
            <w:pPr>
              <w:pStyle w:val="6"/>
              <w:spacing w:before="183" w:line="219" w:lineRule="auto"/>
              <w:ind w:left="661"/>
              <w:rPr>
                <w:sz w:val="21"/>
                <w:szCs w:val="21"/>
              </w:rPr>
            </w:pPr>
            <w:r>
              <w:rPr>
                <w:spacing w:val="5"/>
                <w:sz w:val="21"/>
                <w:szCs w:val="21"/>
              </w:rPr>
              <w:t>应急照明</w:t>
            </w:r>
          </w:p>
        </w:tc>
        <w:tc>
          <w:tcPr>
            <w:tcW w:w="2447" w:type="dxa"/>
            <w:vAlign w:val="top"/>
          </w:tcPr>
          <w:p w14:paraId="4B6B7883">
            <w:pPr>
              <w:pStyle w:val="6"/>
              <w:spacing w:before="183" w:line="219" w:lineRule="auto"/>
              <w:ind w:left="904"/>
              <w:rPr>
                <w:sz w:val="21"/>
                <w:szCs w:val="21"/>
              </w:rPr>
            </w:pPr>
            <w:r>
              <w:rPr>
                <w:spacing w:val="-3"/>
                <w:sz w:val="21"/>
                <w:szCs w:val="21"/>
              </w:rPr>
              <w:t>化粪池</w:t>
            </w:r>
          </w:p>
        </w:tc>
        <w:tc>
          <w:tcPr>
            <w:tcW w:w="2012" w:type="dxa"/>
            <w:vAlign w:val="top"/>
          </w:tcPr>
          <w:p w14:paraId="73C40936">
            <w:pPr>
              <w:pStyle w:val="6"/>
              <w:spacing w:before="53" w:line="218" w:lineRule="auto"/>
              <w:ind w:left="687" w:right="65" w:hanging="630"/>
              <w:rPr>
                <w:sz w:val="21"/>
                <w:szCs w:val="21"/>
              </w:rPr>
            </w:pPr>
            <w:r>
              <w:rPr>
                <w:spacing w:val="-2"/>
                <w:sz w:val="21"/>
                <w:szCs w:val="21"/>
              </w:rPr>
              <w:t>一体化生活废水处理</w:t>
            </w:r>
            <w:r>
              <w:rPr>
                <w:spacing w:val="5"/>
                <w:sz w:val="21"/>
                <w:szCs w:val="21"/>
              </w:rPr>
              <w:t xml:space="preserve"> </w:t>
            </w:r>
            <w:r>
              <w:rPr>
                <w:spacing w:val="-3"/>
                <w:sz w:val="21"/>
                <w:szCs w:val="21"/>
              </w:rPr>
              <w:t>站设施</w:t>
            </w:r>
          </w:p>
        </w:tc>
      </w:tr>
      <w:tr w14:paraId="3FF1C56F">
        <w:tblPrEx>
          <w:tblCellMar>
            <w:top w:w="0" w:type="dxa"/>
            <w:left w:w="0" w:type="dxa"/>
            <w:bottom w:w="0" w:type="dxa"/>
            <w:right w:w="0" w:type="dxa"/>
          </w:tblCellMar>
        </w:tblPrEx>
        <w:trPr>
          <w:trHeight w:val="269" w:hRule="atLeast"/>
        </w:trPr>
        <w:tc>
          <w:tcPr>
            <w:tcW w:w="1733" w:type="dxa"/>
            <w:vAlign w:val="top"/>
          </w:tcPr>
          <w:p w14:paraId="534BFEE1">
            <w:pPr>
              <w:pStyle w:val="6"/>
              <w:spacing w:before="33" w:line="198" w:lineRule="auto"/>
              <w:ind w:left="648"/>
              <w:rPr>
                <w:sz w:val="21"/>
                <w:szCs w:val="21"/>
              </w:rPr>
            </w:pPr>
            <w:r>
              <w:rPr>
                <w:b/>
                <w:bCs/>
                <w:spacing w:val="-5"/>
                <w:sz w:val="21"/>
                <w:szCs w:val="21"/>
              </w:rPr>
              <w:t>形态</w:t>
            </w:r>
          </w:p>
        </w:tc>
        <w:tc>
          <w:tcPr>
            <w:tcW w:w="2177" w:type="dxa"/>
            <w:vAlign w:val="top"/>
          </w:tcPr>
          <w:p w14:paraId="6253C9B0">
            <w:pPr>
              <w:pStyle w:val="6"/>
              <w:spacing w:before="34" w:line="197" w:lineRule="auto"/>
              <w:ind w:left="871"/>
              <w:rPr>
                <w:sz w:val="21"/>
                <w:szCs w:val="21"/>
              </w:rPr>
            </w:pPr>
            <w:r>
              <w:rPr>
                <w:spacing w:val="5"/>
                <w:sz w:val="21"/>
                <w:szCs w:val="21"/>
              </w:rPr>
              <w:t>固废</w:t>
            </w:r>
          </w:p>
        </w:tc>
        <w:tc>
          <w:tcPr>
            <w:tcW w:w="2447" w:type="dxa"/>
            <w:vAlign w:val="top"/>
          </w:tcPr>
          <w:p w14:paraId="083523E1">
            <w:pPr>
              <w:pStyle w:val="6"/>
              <w:spacing w:before="34" w:line="197" w:lineRule="auto"/>
              <w:ind w:left="1005"/>
              <w:rPr>
                <w:sz w:val="21"/>
                <w:szCs w:val="21"/>
              </w:rPr>
            </w:pPr>
            <w:r>
              <w:rPr>
                <w:spacing w:val="5"/>
                <w:sz w:val="21"/>
                <w:szCs w:val="21"/>
              </w:rPr>
              <w:t>固态</w:t>
            </w:r>
          </w:p>
        </w:tc>
        <w:tc>
          <w:tcPr>
            <w:tcW w:w="2012" w:type="dxa"/>
            <w:vAlign w:val="top"/>
          </w:tcPr>
          <w:p w14:paraId="559DCAD6">
            <w:pPr>
              <w:pStyle w:val="6"/>
              <w:spacing w:before="34" w:line="197" w:lineRule="auto"/>
              <w:ind w:left="788"/>
              <w:rPr>
                <w:sz w:val="21"/>
                <w:szCs w:val="21"/>
              </w:rPr>
            </w:pPr>
            <w:r>
              <w:rPr>
                <w:spacing w:val="5"/>
                <w:sz w:val="21"/>
                <w:szCs w:val="21"/>
              </w:rPr>
              <w:t>固态</w:t>
            </w:r>
          </w:p>
        </w:tc>
      </w:tr>
      <w:tr w14:paraId="61C21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33" w:type="dxa"/>
            <w:vAlign w:val="top"/>
          </w:tcPr>
          <w:p w14:paraId="1D28A32F">
            <w:pPr>
              <w:pStyle w:val="6"/>
              <w:spacing w:before="43" w:line="208" w:lineRule="auto"/>
              <w:ind w:left="437"/>
              <w:rPr>
                <w:sz w:val="21"/>
                <w:szCs w:val="21"/>
              </w:rPr>
            </w:pPr>
            <w:r>
              <w:rPr>
                <w:b/>
                <w:bCs/>
                <w:spacing w:val="-5"/>
                <w:sz w:val="21"/>
                <w:szCs w:val="21"/>
              </w:rPr>
              <w:t>主要成分</w:t>
            </w:r>
          </w:p>
        </w:tc>
        <w:tc>
          <w:tcPr>
            <w:tcW w:w="2177" w:type="dxa"/>
            <w:vAlign w:val="top"/>
          </w:tcPr>
          <w:p w14:paraId="657B2928">
            <w:pPr>
              <w:pStyle w:val="6"/>
              <w:spacing w:before="45" w:line="206" w:lineRule="auto"/>
              <w:ind w:left="661"/>
              <w:rPr>
                <w:sz w:val="21"/>
                <w:szCs w:val="21"/>
              </w:rPr>
            </w:pPr>
            <w:r>
              <w:rPr>
                <w:spacing w:val="-2"/>
                <w:sz w:val="21"/>
                <w:szCs w:val="21"/>
              </w:rPr>
              <w:t>含铅废物</w:t>
            </w:r>
          </w:p>
        </w:tc>
        <w:tc>
          <w:tcPr>
            <w:tcW w:w="2447" w:type="dxa"/>
            <w:vAlign w:val="top"/>
          </w:tcPr>
          <w:p w14:paraId="5AD70EB6">
            <w:pPr>
              <w:pStyle w:val="6"/>
              <w:spacing w:before="45" w:line="206" w:lineRule="auto"/>
              <w:ind w:left="1005"/>
              <w:rPr>
                <w:sz w:val="21"/>
                <w:szCs w:val="21"/>
              </w:rPr>
            </w:pPr>
            <w:r>
              <w:rPr>
                <w:spacing w:val="-3"/>
                <w:sz w:val="21"/>
                <w:szCs w:val="21"/>
              </w:rPr>
              <w:t>粪渣</w:t>
            </w:r>
          </w:p>
        </w:tc>
        <w:tc>
          <w:tcPr>
            <w:tcW w:w="2012" w:type="dxa"/>
            <w:vAlign w:val="top"/>
          </w:tcPr>
          <w:p w14:paraId="3C90AD60">
            <w:pPr>
              <w:pStyle w:val="6"/>
              <w:spacing w:before="47" w:line="204" w:lineRule="auto"/>
              <w:ind w:left="788"/>
              <w:rPr>
                <w:sz w:val="21"/>
                <w:szCs w:val="21"/>
              </w:rPr>
            </w:pPr>
            <w:r>
              <w:rPr>
                <w:spacing w:val="5"/>
                <w:sz w:val="21"/>
                <w:szCs w:val="21"/>
              </w:rPr>
              <w:t>污泥</w:t>
            </w:r>
          </w:p>
        </w:tc>
      </w:tr>
      <w:tr w14:paraId="4FF24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733" w:type="dxa"/>
            <w:vAlign w:val="top"/>
          </w:tcPr>
          <w:p w14:paraId="0FBD3835">
            <w:pPr>
              <w:pStyle w:val="6"/>
              <w:spacing w:before="33" w:line="199" w:lineRule="auto"/>
              <w:ind w:left="437"/>
              <w:rPr>
                <w:sz w:val="21"/>
                <w:szCs w:val="21"/>
              </w:rPr>
            </w:pPr>
            <w:r>
              <w:rPr>
                <w:b/>
                <w:bCs/>
                <w:spacing w:val="-4"/>
                <w:sz w:val="21"/>
                <w:szCs w:val="21"/>
              </w:rPr>
              <w:t>有害成分</w:t>
            </w:r>
          </w:p>
        </w:tc>
        <w:tc>
          <w:tcPr>
            <w:tcW w:w="2177" w:type="dxa"/>
            <w:vAlign w:val="top"/>
          </w:tcPr>
          <w:p w14:paraId="362721DC">
            <w:pPr>
              <w:pStyle w:val="6"/>
              <w:spacing w:before="35" w:line="197" w:lineRule="auto"/>
              <w:ind w:left="661"/>
              <w:rPr>
                <w:sz w:val="21"/>
                <w:szCs w:val="21"/>
              </w:rPr>
            </w:pPr>
            <w:r>
              <w:rPr>
                <w:spacing w:val="-2"/>
                <w:sz w:val="21"/>
                <w:szCs w:val="21"/>
              </w:rPr>
              <w:t>含铅废物</w:t>
            </w:r>
          </w:p>
        </w:tc>
        <w:tc>
          <w:tcPr>
            <w:tcW w:w="2447" w:type="dxa"/>
            <w:vAlign w:val="top"/>
          </w:tcPr>
          <w:p w14:paraId="5562DE88">
            <w:pPr>
              <w:pStyle w:val="6"/>
              <w:spacing w:before="41" w:line="192" w:lineRule="auto"/>
              <w:ind w:left="1164"/>
              <w:rPr>
                <w:sz w:val="21"/>
                <w:szCs w:val="21"/>
              </w:rPr>
            </w:pPr>
            <w:r>
              <w:rPr>
                <w:sz w:val="21"/>
                <w:szCs w:val="21"/>
              </w:rPr>
              <w:t>/</w:t>
            </w:r>
          </w:p>
        </w:tc>
        <w:tc>
          <w:tcPr>
            <w:tcW w:w="2012" w:type="dxa"/>
            <w:vAlign w:val="top"/>
          </w:tcPr>
          <w:p w14:paraId="554AA5E9">
            <w:pPr>
              <w:pStyle w:val="6"/>
              <w:spacing w:before="41" w:line="192" w:lineRule="auto"/>
              <w:ind w:left="948"/>
              <w:rPr>
                <w:sz w:val="21"/>
                <w:szCs w:val="21"/>
              </w:rPr>
            </w:pPr>
            <w:r>
              <w:rPr>
                <w:sz w:val="21"/>
                <w:szCs w:val="21"/>
              </w:rPr>
              <w:t>/</w:t>
            </w:r>
          </w:p>
        </w:tc>
      </w:tr>
      <w:tr w14:paraId="32035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733" w:type="dxa"/>
            <w:vAlign w:val="top"/>
          </w:tcPr>
          <w:p w14:paraId="024B6562">
            <w:pPr>
              <w:pStyle w:val="6"/>
              <w:spacing w:before="42" w:line="200" w:lineRule="auto"/>
              <w:ind w:left="437"/>
              <w:rPr>
                <w:sz w:val="21"/>
                <w:szCs w:val="21"/>
              </w:rPr>
            </w:pPr>
            <w:r>
              <w:rPr>
                <w:b/>
                <w:bCs/>
                <w:spacing w:val="-4"/>
                <w:sz w:val="21"/>
                <w:szCs w:val="21"/>
              </w:rPr>
              <w:t>产废周期</w:t>
            </w:r>
          </w:p>
        </w:tc>
        <w:tc>
          <w:tcPr>
            <w:tcW w:w="2177" w:type="dxa"/>
            <w:vAlign w:val="top"/>
          </w:tcPr>
          <w:p w14:paraId="4F2E1BC9">
            <w:pPr>
              <w:pStyle w:val="6"/>
              <w:spacing w:before="51" w:line="192" w:lineRule="auto"/>
              <w:ind w:left="1022"/>
              <w:rPr>
                <w:sz w:val="21"/>
                <w:szCs w:val="21"/>
              </w:rPr>
            </w:pPr>
            <w:r>
              <w:rPr>
                <w:sz w:val="21"/>
                <w:szCs w:val="21"/>
              </w:rPr>
              <w:t>/</w:t>
            </w:r>
          </w:p>
        </w:tc>
        <w:tc>
          <w:tcPr>
            <w:tcW w:w="2447" w:type="dxa"/>
            <w:vAlign w:val="top"/>
          </w:tcPr>
          <w:p w14:paraId="12708B09">
            <w:pPr>
              <w:pStyle w:val="6"/>
              <w:spacing w:before="45" w:line="197" w:lineRule="auto"/>
              <w:ind w:left="1005"/>
              <w:rPr>
                <w:sz w:val="21"/>
                <w:szCs w:val="21"/>
              </w:rPr>
            </w:pPr>
            <w:r>
              <w:rPr>
                <w:spacing w:val="-3"/>
                <w:sz w:val="21"/>
                <w:szCs w:val="21"/>
              </w:rPr>
              <w:t>每天</w:t>
            </w:r>
          </w:p>
        </w:tc>
        <w:tc>
          <w:tcPr>
            <w:tcW w:w="2012" w:type="dxa"/>
            <w:vAlign w:val="top"/>
          </w:tcPr>
          <w:p w14:paraId="2689E249">
            <w:pPr>
              <w:pStyle w:val="6"/>
              <w:spacing w:before="45" w:line="197" w:lineRule="auto"/>
              <w:ind w:left="788"/>
              <w:rPr>
                <w:sz w:val="21"/>
                <w:szCs w:val="21"/>
              </w:rPr>
            </w:pPr>
            <w:r>
              <w:rPr>
                <w:spacing w:val="-3"/>
                <w:sz w:val="21"/>
                <w:szCs w:val="21"/>
              </w:rPr>
              <w:t>每天</w:t>
            </w:r>
          </w:p>
        </w:tc>
      </w:tr>
      <w:tr w14:paraId="73D4D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733" w:type="dxa"/>
            <w:vAlign w:val="top"/>
          </w:tcPr>
          <w:p w14:paraId="479CE846">
            <w:pPr>
              <w:pStyle w:val="6"/>
              <w:spacing w:before="32" w:line="199" w:lineRule="auto"/>
              <w:ind w:left="437"/>
              <w:rPr>
                <w:sz w:val="21"/>
                <w:szCs w:val="21"/>
              </w:rPr>
            </w:pPr>
            <w:r>
              <w:rPr>
                <w:b/>
                <w:bCs/>
                <w:spacing w:val="-5"/>
                <w:sz w:val="21"/>
                <w:szCs w:val="21"/>
              </w:rPr>
              <w:t>危险特性</w:t>
            </w:r>
          </w:p>
        </w:tc>
        <w:tc>
          <w:tcPr>
            <w:tcW w:w="2177" w:type="dxa"/>
            <w:vAlign w:val="top"/>
          </w:tcPr>
          <w:p w14:paraId="3A247681">
            <w:pPr>
              <w:pStyle w:val="6"/>
              <w:spacing w:before="65" w:line="170" w:lineRule="auto"/>
              <w:ind w:left="921"/>
              <w:rPr>
                <w:sz w:val="21"/>
                <w:szCs w:val="21"/>
              </w:rPr>
            </w:pPr>
            <w:r>
              <w:rPr>
                <w:spacing w:val="-2"/>
                <w:sz w:val="21"/>
                <w:szCs w:val="21"/>
              </w:rPr>
              <w:t>T,C</w:t>
            </w:r>
          </w:p>
        </w:tc>
        <w:tc>
          <w:tcPr>
            <w:tcW w:w="2447" w:type="dxa"/>
            <w:vAlign w:val="top"/>
          </w:tcPr>
          <w:p w14:paraId="1A4BDF7A">
            <w:pPr>
              <w:pStyle w:val="6"/>
              <w:spacing w:before="41" w:line="191" w:lineRule="auto"/>
              <w:ind w:left="1164"/>
              <w:rPr>
                <w:sz w:val="21"/>
                <w:szCs w:val="21"/>
              </w:rPr>
            </w:pPr>
            <w:r>
              <w:rPr>
                <w:sz w:val="21"/>
                <w:szCs w:val="21"/>
              </w:rPr>
              <w:t>/</w:t>
            </w:r>
          </w:p>
        </w:tc>
        <w:tc>
          <w:tcPr>
            <w:tcW w:w="2012" w:type="dxa"/>
            <w:vAlign w:val="top"/>
          </w:tcPr>
          <w:p w14:paraId="21B7C58A">
            <w:pPr>
              <w:pStyle w:val="6"/>
              <w:spacing w:before="41" w:line="191" w:lineRule="auto"/>
              <w:ind w:left="948"/>
              <w:rPr>
                <w:sz w:val="21"/>
                <w:szCs w:val="21"/>
              </w:rPr>
            </w:pPr>
            <w:r>
              <w:rPr>
                <w:sz w:val="21"/>
                <w:szCs w:val="21"/>
              </w:rPr>
              <w:t>/</w:t>
            </w:r>
          </w:p>
        </w:tc>
      </w:tr>
      <w:tr w14:paraId="0FF4B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733" w:type="dxa"/>
            <w:vAlign w:val="top"/>
          </w:tcPr>
          <w:p w14:paraId="5D3DA4F5">
            <w:pPr>
              <w:pStyle w:val="6"/>
              <w:spacing w:before="174" w:line="220" w:lineRule="auto"/>
              <w:ind w:left="227"/>
              <w:rPr>
                <w:sz w:val="21"/>
                <w:szCs w:val="21"/>
              </w:rPr>
            </w:pPr>
            <w:r>
              <w:rPr>
                <w:b/>
                <w:bCs/>
                <w:spacing w:val="-4"/>
                <w:sz w:val="21"/>
                <w:szCs w:val="21"/>
              </w:rPr>
              <w:t>污染防治措施</w:t>
            </w:r>
          </w:p>
        </w:tc>
        <w:tc>
          <w:tcPr>
            <w:tcW w:w="2177" w:type="dxa"/>
            <w:vAlign w:val="top"/>
          </w:tcPr>
          <w:p w14:paraId="614C6850">
            <w:pPr>
              <w:pStyle w:val="6"/>
              <w:spacing w:before="35" w:line="217" w:lineRule="auto"/>
              <w:ind w:left="341" w:right="45" w:hanging="309"/>
              <w:rPr>
                <w:sz w:val="21"/>
                <w:szCs w:val="21"/>
              </w:rPr>
            </w:pPr>
            <w:r>
              <w:rPr>
                <w:spacing w:val="-2"/>
                <w:sz w:val="21"/>
                <w:szCs w:val="21"/>
              </w:rPr>
              <w:t>危废暂存间暂存，委托</w:t>
            </w:r>
            <w:r>
              <w:rPr>
                <w:spacing w:val="8"/>
                <w:sz w:val="21"/>
                <w:szCs w:val="21"/>
              </w:rPr>
              <w:t xml:space="preserve"> </w:t>
            </w:r>
            <w:r>
              <w:rPr>
                <w:spacing w:val="-2"/>
                <w:sz w:val="21"/>
                <w:szCs w:val="21"/>
              </w:rPr>
              <w:t>有资质单位处置</w:t>
            </w:r>
          </w:p>
        </w:tc>
        <w:tc>
          <w:tcPr>
            <w:tcW w:w="2447" w:type="dxa"/>
            <w:vAlign w:val="top"/>
          </w:tcPr>
          <w:p w14:paraId="3700B444">
            <w:pPr>
              <w:pStyle w:val="6"/>
              <w:spacing w:before="56" w:line="219" w:lineRule="auto"/>
              <w:ind w:left="64"/>
              <w:rPr>
                <w:sz w:val="21"/>
                <w:szCs w:val="21"/>
              </w:rPr>
            </w:pPr>
            <w:r>
              <w:rPr>
                <w:sz w:val="21"/>
                <w:szCs w:val="21"/>
              </w:rPr>
              <w:t>定期委托当地环卫部门清</w:t>
            </w:r>
          </w:p>
          <w:p w14:paraId="585D1379">
            <w:pPr>
              <w:pStyle w:val="6"/>
              <w:spacing w:before="1" w:line="195" w:lineRule="auto"/>
              <w:ind w:left="425"/>
              <w:rPr>
                <w:sz w:val="21"/>
                <w:szCs w:val="21"/>
              </w:rPr>
            </w:pPr>
            <w:r>
              <w:rPr>
                <w:sz w:val="21"/>
                <w:szCs w:val="21"/>
              </w:rPr>
              <w:t>掏后清运及处置。</w:t>
            </w:r>
          </w:p>
        </w:tc>
        <w:tc>
          <w:tcPr>
            <w:tcW w:w="2012" w:type="dxa"/>
            <w:vAlign w:val="top"/>
          </w:tcPr>
          <w:p w14:paraId="68694133">
            <w:pPr>
              <w:pStyle w:val="6"/>
              <w:spacing w:before="35" w:line="217" w:lineRule="auto"/>
              <w:ind w:left="17" w:firstLine="38"/>
              <w:rPr>
                <w:sz w:val="21"/>
                <w:szCs w:val="21"/>
              </w:rPr>
            </w:pPr>
            <w:r>
              <w:rPr>
                <w:spacing w:val="-9"/>
                <w:sz w:val="21"/>
                <w:szCs w:val="21"/>
              </w:rPr>
              <w:t>定期委托当地环卫部</w:t>
            </w:r>
            <w:r>
              <w:rPr>
                <w:sz w:val="21"/>
                <w:szCs w:val="21"/>
              </w:rPr>
              <w:t xml:space="preserve">  </w:t>
            </w:r>
            <w:r>
              <w:rPr>
                <w:spacing w:val="-12"/>
                <w:sz w:val="21"/>
                <w:szCs w:val="21"/>
              </w:rPr>
              <w:t>门清掏后清运及处置。</w:t>
            </w:r>
          </w:p>
        </w:tc>
      </w:tr>
      <w:tr w14:paraId="4CCEB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733" w:type="dxa"/>
            <w:vAlign w:val="top"/>
          </w:tcPr>
          <w:p w14:paraId="792B338C">
            <w:pPr>
              <w:pStyle w:val="6"/>
              <w:spacing w:before="56" w:line="205" w:lineRule="auto"/>
              <w:ind w:left="648"/>
              <w:rPr>
                <w:sz w:val="21"/>
                <w:szCs w:val="21"/>
              </w:rPr>
            </w:pPr>
            <w:r>
              <w:rPr>
                <w:b/>
                <w:bCs/>
                <w:spacing w:val="-5"/>
                <w:sz w:val="21"/>
                <w:szCs w:val="21"/>
              </w:rPr>
              <w:t>名称</w:t>
            </w:r>
          </w:p>
        </w:tc>
        <w:tc>
          <w:tcPr>
            <w:tcW w:w="2177" w:type="dxa"/>
            <w:vAlign w:val="top"/>
          </w:tcPr>
          <w:p w14:paraId="11E06077">
            <w:pPr>
              <w:pStyle w:val="6"/>
              <w:spacing w:before="57" w:line="204" w:lineRule="auto"/>
              <w:ind w:left="661"/>
              <w:rPr>
                <w:sz w:val="21"/>
                <w:szCs w:val="21"/>
              </w:rPr>
            </w:pPr>
            <w:r>
              <w:rPr>
                <w:spacing w:val="-2"/>
                <w:sz w:val="21"/>
                <w:szCs w:val="21"/>
              </w:rPr>
              <w:t>生活垃圾</w:t>
            </w:r>
          </w:p>
        </w:tc>
        <w:tc>
          <w:tcPr>
            <w:tcW w:w="2447" w:type="dxa"/>
            <w:vAlign w:val="top"/>
          </w:tcPr>
          <w:p w14:paraId="26958914">
            <w:pPr>
              <w:pStyle w:val="6"/>
              <w:spacing w:before="57" w:line="204" w:lineRule="auto"/>
              <w:ind w:left="795"/>
              <w:rPr>
                <w:sz w:val="21"/>
                <w:szCs w:val="21"/>
              </w:rPr>
            </w:pPr>
            <w:r>
              <w:rPr>
                <w:spacing w:val="-2"/>
                <w:sz w:val="21"/>
                <w:szCs w:val="21"/>
              </w:rPr>
              <w:t>餐厨垃圾</w:t>
            </w:r>
          </w:p>
        </w:tc>
        <w:tc>
          <w:tcPr>
            <w:tcW w:w="2012" w:type="dxa"/>
            <w:vAlign w:val="top"/>
          </w:tcPr>
          <w:p w14:paraId="1DAEBF80">
            <w:pPr>
              <w:pStyle w:val="6"/>
              <w:spacing w:before="57" w:line="204" w:lineRule="auto"/>
              <w:ind w:left="577"/>
              <w:rPr>
                <w:sz w:val="21"/>
                <w:szCs w:val="21"/>
              </w:rPr>
            </w:pPr>
            <w:r>
              <w:rPr>
                <w:spacing w:val="5"/>
                <w:sz w:val="21"/>
                <w:szCs w:val="21"/>
              </w:rPr>
              <w:t>检修废油</w:t>
            </w:r>
          </w:p>
        </w:tc>
      </w:tr>
      <w:tr w14:paraId="7B962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733" w:type="dxa"/>
            <w:vAlign w:val="top"/>
          </w:tcPr>
          <w:p w14:paraId="3154DE5F">
            <w:pPr>
              <w:pStyle w:val="6"/>
              <w:spacing w:before="33" w:line="190" w:lineRule="auto"/>
              <w:ind w:left="437"/>
              <w:rPr>
                <w:sz w:val="21"/>
                <w:szCs w:val="21"/>
              </w:rPr>
            </w:pPr>
            <w:r>
              <w:rPr>
                <w:b/>
                <w:bCs/>
                <w:sz w:val="21"/>
                <w:szCs w:val="21"/>
              </w:rPr>
              <w:t>危废类别</w:t>
            </w:r>
          </w:p>
        </w:tc>
        <w:tc>
          <w:tcPr>
            <w:tcW w:w="2177" w:type="dxa"/>
            <w:vAlign w:val="top"/>
          </w:tcPr>
          <w:p w14:paraId="1A395274">
            <w:pPr>
              <w:pStyle w:val="6"/>
              <w:spacing w:before="42" w:line="182" w:lineRule="auto"/>
              <w:ind w:left="1022"/>
              <w:rPr>
                <w:sz w:val="21"/>
                <w:szCs w:val="21"/>
              </w:rPr>
            </w:pPr>
            <w:r>
              <w:rPr>
                <w:sz w:val="21"/>
                <w:szCs w:val="21"/>
              </w:rPr>
              <w:t>/</w:t>
            </w:r>
          </w:p>
        </w:tc>
        <w:tc>
          <w:tcPr>
            <w:tcW w:w="2447" w:type="dxa"/>
            <w:vAlign w:val="top"/>
          </w:tcPr>
          <w:p w14:paraId="4FA9D739">
            <w:pPr>
              <w:pStyle w:val="6"/>
              <w:spacing w:before="42" w:line="182" w:lineRule="auto"/>
              <w:ind w:left="1164"/>
              <w:rPr>
                <w:sz w:val="21"/>
                <w:szCs w:val="21"/>
              </w:rPr>
            </w:pPr>
            <w:r>
              <w:rPr>
                <w:sz w:val="21"/>
                <w:szCs w:val="21"/>
              </w:rPr>
              <w:t>/</w:t>
            </w:r>
          </w:p>
        </w:tc>
        <w:tc>
          <w:tcPr>
            <w:tcW w:w="2012" w:type="dxa"/>
            <w:vAlign w:val="top"/>
          </w:tcPr>
          <w:p w14:paraId="63D7E5E3">
            <w:pPr>
              <w:pStyle w:val="6"/>
              <w:spacing w:before="91" w:line="158" w:lineRule="exact"/>
              <w:ind w:left="788"/>
              <w:rPr>
                <w:sz w:val="21"/>
                <w:szCs w:val="21"/>
              </w:rPr>
            </w:pPr>
            <w:r>
              <w:rPr>
                <w:spacing w:val="-1"/>
                <w:position w:val="-3"/>
                <w:sz w:val="21"/>
                <w:szCs w:val="21"/>
              </w:rPr>
              <w:t>HW08</w:t>
            </w:r>
          </w:p>
        </w:tc>
      </w:tr>
      <w:tr w14:paraId="1F39C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33" w:type="dxa"/>
            <w:vAlign w:val="top"/>
          </w:tcPr>
          <w:p w14:paraId="1181636C">
            <w:pPr>
              <w:pStyle w:val="6"/>
              <w:spacing w:before="44" w:line="207" w:lineRule="auto"/>
              <w:ind w:left="648"/>
              <w:rPr>
                <w:sz w:val="21"/>
                <w:szCs w:val="21"/>
              </w:rPr>
            </w:pPr>
            <w:r>
              <w:rPr>
                <w:b/>
                <w:bCs/>
                <w:spacing w:val="-5"/>
                <w:sz w:val="21"/>
                <w:szCs w:val="21"/>
              </w:rPr>
              <w:t>代码</w:t>
            </w:r>
          </w:p>
        </w:tc>
        <w:tc>
          <w:tcPr>
            <w:tcW w:w="2177" w:type="dxa"/>
            <w:vAlign w:val="top"/>
          </w:tcPr>
          <w:p w14:paraId="1AD471DF">
            <w:pPr>
              <w:pStyle w:val="6"/>
              <w:spacing w:before="53" w:line="199" w:lineRule="auto"/>
              <w:ind w:left="1022"/>
              <w:rPr>
                <w:sz w:val="21"/>
                <w:szCs w:val="21"/>
              </w:rPr>
            </w:pPr>
            <w:r>
              <w:rPr>
                <w:sz w:val="21"/>
                <w:szCs w:val="21"/>
              </w:rPr>
              <w:t>/</w:t>
            </w:r>
          </w:p>
        </w:tc>
        <w:tc>
          <w:tcPr>
            <w:tcW w:w="2447" w:type="dxa"/>
            <w:vAlign w:val="top"/>
          </w:tcPr>
          <w:p w14:paraId="2FDC9BAB">
            <w:pPr>
              <w:pStyle w:val="6"/>
              <w:spacing w:before="68" w:line="186" w:lineRule="auto"/>
              <w:ind w:left="634"/>
              <w:rPr>
                <w:sz w:val="21"/>
                <w:szCs w:val="21"/>
              </w:rPr>
            </w:pPr>
            <w:r>
              <w:rPr>
                <w:spacing w:val="-1"/>
                <w:sz w:val="21"/>
                <w:szCs w:val="21"/>
              </w:rPr>
              <w:t>900-002-S61</w:t>
            </w:r>
          </w:p>
        </w:tc>
        <w:tc>
          <w:tcPr>
            <w:tcW w:w="2012" w:type="dxa"/>
            <w:vAlign w:val="top"/>
          </w:tcPr>
          <w:p w14:paraId="3BDB4B20">
            <w:pPr>
              <w:pStyle w:val="6"/>
              <w:spacing w:before="68" w:line="186" w:lineRule="auto"/>
              <w:ind w:left="478"/>
              <w:rPr>
                <w:sz w:val="21"/>
                <w:szCs w:val="21"/>
              </w:rPr>
            </w:pPr>
            <w:r>
              <w:rPr>
                <w:spacing w:val="-1"/>
                <w:sz w:val="21"/>
                <w:szCs w:val="21"/>
              </w:rPr>
              <w:t>900-220-08</w:t>
            </w:r>
          </w:p>
        </w:tc>
      </w:tr>
      <w:tr w14:paraId="09761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733" w:type="dxa"/>
            <w:vAlign w:val="top"/>
          </w:tcPr>
          <w:p w14:paraId="7570B47E">
            <w:pPr>
              <w:pStyle w:val="6"/>
              <w:spacing w:before="34" w:line="198" w:lineRule="auto"/>
              <w:ind w:left="278"/>
              <w:rPr>
                <w:sz w:val="21"/>
                <w:szCs w:val="21"/>
              </w:rPr>
            </w:pPr>
            <w:r>
              <w:rPr>
                <w:b/>
                <w:bCs/>
                <w:spacing w:val="3"/>
                <w:sz w:val="21"/>
                <w:szCs w:val="21"/>
              </w:rPr>
              <w:t>产生量(t/a)</w:t>
            </w:r>
          </w:p>
        </w:tc>
        <w:tc>
          <w:tcPr>
            <w:tcW w:w="2177" w:type="dxa"/>
            <w:vAlign w:val="top"/>
          </w:tcPr>
          <w:p w14:paraId="2F90C238">
            <w:pPr>
              <w:pStyle w:val="6"/>
              <w:spacing w:before="58" w:line="177" w:lineRule="auto"/>
              <w:ind w:left="871"/>
              <w:rPr>
                <w:sz w:val="21"/>
                <w:szCs w:val="21"/>
              </w:rPr>
            </w:pPr>
            <w:r>
              <w:rPr>
                <w:spacing w:val="-3"/>
                <w:sz w:val="21"/>
                <w:szCs w:val="21"/>
              </w:rPr>
              <w:t>2.19</w:t>
            </w:r>
          </w:p>
        </w:tc>
        <w:tc>
          <w:tcPr>
            <w:tcW w:w="2447" w:type="dxa"/>
            <w:vAlign w:val="top"/>
          </w:tcPr>
          <w:p w14:paraId="601808F6">
            <w:pPr>
              <w:pStyle w:val="6"/>
              <w:spacing w:before="58" w:line="177" w:lineRule="auto"/>
              <w:ind w:left="1005"/>
              <w:rPr>
                <w:sz w:val="21"/>
                <w:szCs w:val="21"/>
              </w:rPr>
            </w:pPr>
            <w:r>
              <w:rPr>
                <w:spacing w:val="-2"/>
                <w:sz w:val="21"/>
                <w:szCs w:val="21"/>
              </w:rPr>
              <w:t>0.44</w:t>
            </w:r>
          </w:p>
        </w:tc>
        <w:tc>
          <w:tcPr>
            <w:tcW w:w="2012" w:type="dxa"/>
            <w:vAlign w:val="top"/>
          </w:tcPr>
          <w:p w14:paraId="5395E6BA">
            <w:pPr>
              <w:pStyle w:val="6"/>
              <w:spacing w:before="58" w:line="177" w:lineRule="auto"/>
              <w:ind w:left="837"/>
              <w:rPr>
                <w:sz w:val="21"/>
                <w:szCs w:val="21"/>
              </w:rPr>
            </w:pPr>
            <w:r>
              <w:rPr>
                <w:spacing w:val="-3"/>
                <w:sz w:val="21"/>
                <w:szCs w:val="21"/>
              </w:rPr>
              <w:t>0.2</w:t>
            </w:r>
          </w:p>
        </w:tc>
      </w:tr>
      <w:tr w14:paraId="59651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33" w:type="dxa"/>
            <w:vAlign w:val="top"/>
          </w:tcPr>
          <w:p w14:paraId="3F88F5AC">
            <w:pPr>
              <w:pStyle w:val="6"/>
              <w:spacing w:before="44" w:line="207" w:lineRule="auto"/>
              <w:ind w:left="128"/>
              <w:rPr>
                <w:sz w:val="21"/>
                <w:szCs w:val="21"/>
              </w:rPr>
            </w:pPr>
            <w:r>
              <w:rPr>
                <w:b/>
                <w:bCs/>
                <w:spacing w:val="-4"/>
                <w:sz w:val="21"/>
                <w:szCs w:val="21"/>
              </w:rPr>
              <w:t>产生工序及装置</w:t>
            </w:r>
          </w:p>
        </w:tc>
        <w:tc>
          <w:tcPr>
            <w:tcW w:w="2177" w:type="dxa"/>
            <w:vAlign w:val="top"/>
          </w:tcPr>
          <w:p w14:paraId="6769CD47">
            <w:pPr>
              <w:pStyle w:val="6"/>
              <w:spacing w:before="47" w:line="204" w:lineRule="auto"/>
              <w:ind w:left="242"/>
              <w:rPr>
                <w:sz w:val="21"/>
                <w:szCs w:val="21"/>
              </w:rPr>
            </w:pPr>
            <w:r>
              <w:rPr>
                <w:spacing w:val="1"/>
                <w:sz w:val="21"/>
                <w:szCs w:val="21"/>
              </w:rPr>
              <w:t>工作人员生活工作</w:t>
            </w:r>
          </w:p>
        </w:tc>
        <w:tc>
          <w:tcPr>
            <w:tcW w:w="2447" w:type="dxa"/>
            <w:vAlign w:val="top"/>
          </w:tcPr>
          <w:p w14:paraId="11C1C116">
            <w:pPr>
              <w:pStyle w:val="6"/>
              <w:spacing w:before="47" w:line="204" w:lineRule="auto"/>
              <w:ind w:left="584"/>
              <w:rPr>
                <w:sz w:val="21"/>
                <w:szCs w:val="21"/>
              </w:rPr>
            </w:pPr>
            <w:r>
              <w:rPr>
                <w:spacing w:val="-2"/>
                <w:sz w:val="21"/>
                <w:szCs w:val="21"/>
              </w:rPr>
              <w:t>工作人员就餐</w:t>
            </w:r>
          </w:p>
        </w:tc>
        <w:tc>
          <w:tcPr>
            <w:tcW w:w="2012" w:type="dxa"/>
            <w:vAlign w:val="top"/>
          </w:tcPr>
          <w:p w14:paraId="3FEE4DC0">
            <w:pPr>
              <w:pStyle w:val="6"/>
              <w:spacing w:before="47" w:line="204" w:lineRule="auto"/>
              <w:ind w:left="158"/>
              <w:rPr>
                <w:sz w:val="21"/>
                <w:szCs w:val="21"/>
              </w:rPr>
            </w:pPr>
            <w:r>
              <w:rPr>
                <w:spacing w:val="-2"/>
                <w:sz w:val="21"/>
                <w:szCs w:val="21"/>
              </w:rPr>
              <w:t>箱式变压器、主变</w:t>
            </w:r>
          </w:p>
        </w:tc>
      </w:tr>
      <w:tr w14:paraId="4E4FE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733" w:type="dxa"/>
            <w:vAlign w:val="top"/>
          </w:tcPr>
          <w:p w14:paraId="6E6F9DD4">
            <w:pPr>
              <w:pStyle w:val="6"/>
              <w:spacing w:before="37" w:line="196" w:lineRule="auto"/>
              <w:ind w:left="648"/>
              <w:rPr>
                <w:sz w:val="21"/>
                <w:szCs w:val="21"/>
              </w:rPr>
            </w:pPr>
            <w:r>
              <w:rPr>
                <w:b/>
                <w:bCs/>
                <w:spacing w:val="-5"/>
                <w:sz w:val="21"/>
                <w:szCs w:val="21"/>
              </w:rPr>
              <w:t>形态</w:t>
            </w:r>
          </w:p>
        </w:tc>
        <w:tc>
          <w:tcPr>
            <w:tcW w:w="2177" w:type="dxa"/>
            <w:vAlign w:val="top"/>
          </w:tcPr>
          <w:p w14:paraId="37C4138D">
            <w:pPr>
              <w:pStyle w:val="6"/>
              <w:spacing w:before="38" w:line="195" w:lineRule="auto"/>
              <w:ind w:left="871"/>
              <w:rPr>
                <w:sz w:val="21"/>
                <w:szCs w:val="21"/>
              </w:rPr>
            </w:pPr>
            <w:r>
              <w:rPr>
                <w:spacing w:val="5"/>
                <w:sz w:val="21"/>
                <w:szCs w:val="21"/>
              </w:rPr>
              <w:t>固态</w:t>
            </w:r>
          </w:p>
        </w:tc>
        <w:tc>
          <w:tcPr>
            <w:tcW w:w="2447" w:type="dxa"/>
            <w:vAlign w:val="top"/>
          </w:tcPr>
          <w:p w14:paraId="08F33EB6">
            <w:pPr>
              <w:pStyle w:val="6"/>
              <w:spacing w:before="38" w:line="195" w:lineRule="auto"/>
              <w:ind w:left="745"/>
              <w:rPr>
                <w:sz w:val="21"/>
                <w:szCs w:val="21"/>
              </w:rPr>
            </w:pPr>
            <w:r>
              <w:rPr>
                <w:spacing w:val="1"/>
                <w:sz w:val="21"/>
                <w:szCs w:val="21"/>
              </w:rPr>
              <w:t>固态/液态</w:t>
            </w:r>
          </w:p>
        </w:tc>
        <w:tc>
          <w:tcPr>
            <w:tcW w:w="2012" w:type="dxa"/>
            <w:vAlign w:val="top"/>
          </w:tcPr>
          <w:p w14:paraId="11B56913">
            <w:pPr>
              <w:pStyle w:val="6"/>
              <w:spacing w:before="38" w:line="195" w:lineRule="auto"/>
              <w:ind w:left="788"/>
              <w:rPr>
                <w:sz w:val="21"/>
                <w:szCs w:val="21"/>
              </w:rPr>
            </w:pPr>
            <w:r>
              <w:rPr>
                <w:spacing w:val="5"/>
                <w:sz w:val="21"/>
                <w:szCs w:val="21"/>
              </w:rPr>
              <w:t>液态</w:t>
            </w:r>
          </w:p>
        </w:tc>
      </w:tr>
      <w:tr w14:paraId="62873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33" w:type="dxa"/>
            <w:vAlign w:val="top"/>
          </w:tcPr>
          <w:p w14:paraId="4833A20C">
            <w:pPr>
              <w:pStyle w:val="6"/>
              <w:spacing w:before="45" w:line="206" w:lineRule="auto"/>
              <w:ind w:left="437"/>
              <w:rPr>
                <w:sz w:val="21"/>
                <w:szCs w:val="21"/>
              </w:rPr>
            </w:pPr>
            <w:r>
              <w:rPr>
                <w:b/>
                <w:bCs/>
                <w:spacing w:val="-5"/>
                <w:sz w:val="21"/>
                <w:szCs w:val="21"/>
              </w:rPr>
              <w:t>主要成分</w:t>
            </w:r>
          </w:p>
        </w:tc>
        <w:tc>
          <w:tcPr>
            <w:tcW w:w="2177" w:type="dxa"/>
            <w:vAlign w:val="top"/>
          </w:tcPr>
          <w:p w14:paraId="6C1F50CB">
            <w:pPr>
              <w:pStyle w:val="6"/>
              <w:spacing w:before="47" w:line="204" w:lineRule="auto"/>
              <w:ind w:left="871"/>
              <w:rPr>
                <w:sz w:val="21"/>
                <w:szCs w:val="21"/>
              </w:rPr>
            </w:pPr>
            <w:r>
              <w:rPr>
                <w:spacing w:val="-3"/>
                <w:sz w:val="21"/>
                <w:szCs w:val="21"/>
              </w:rPr>
              <w:t>垃圾</w:t>
            </w:r>
          </w:p>
        </w:tc>
        <w:tc>
          <w:tcPr>
            <w:tcW w:w="2447" w:type="dxa"/>
            <w:vAlign w:val="top"/>
          </w:tcPr>
          <w:p w14:paraId="31E2DEBB">
            <w:pPr>
              <w:pStyle w:val="6"/>
              <w:spacing w:before="47" w:line="204" w:lineRule="auto"/>
              <w:ind w:left="485"/>
              <w:rPr>
                <w:sz w:val="21"/>
                <w:szCs w:val="21"/>
              </w:rPr>
            </w:pPr>
            <w:r>
              <w:rPr>
                <w:spacing w:val="-1"/>
                <w:sz w:val="21"/>
                <w:szCs w:val="21"/>
              </w:rPr>
              <w:t>废菜叶、泔水等</w:t>
            </w:r>
          </w:p>
        </w:tc>
        <w:tc>
          <w:tcPr>
            <w:tcW w:w="2012" w:type="dxa"/>
            <w:vAlign w:val="top"/>
          </w:tcPr>
          <w:p w14:paraId="2F08AACD">
            <w:pPr>
              <w:pStyle w:val="6"/>
              <w:spacing w:before="47" w:line="204" w:lineRule="auto"/>
              <w:ind w:left="688"/>
              <w:rPr>
                <w:sz w:val="21"/>
                <w:szCs w:val="21"/>
              </w:rPr>
            </w:pPr>
            <w:r>
              <w:rPr>
                <w:spacing w:val="7"/>
                <w:sz w:val="21"/>
                <w:szCs w:val="21"/>
              </w:rPr>
              <w:t>矿物油</w:t>
            </w:r>
          </w:p>
        </w:tc>
      </w:tr>
      <w:tr w14:paraId="36D91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733" w:type="dxa"/>
            <w:vAlign w:val="top"/>
          </w:tcPr>
          <w:p w14:paraId="7D74C868">
            <w:pPr>
              <w:pStyle w:val="6"/>
              <w:spacing w:before="35" w:line="189" w:lineRule="auto"/>
              <w:ind w:left="437"/>
              <w:rPr>
                <w:sz w:val="21"/>
                <w:szCs w:val="21"/>
              </w:rPr>
            </w:pPr>
            <w:r>
              <w:rPr>
                <w:b/>
                <w:bCs/>
                <w:spacing w:val="-4"/>
                <w:sz w:val="21"/>
                <w:szCs w:val="21"/>
              </w:rPr>
              <w:t>有害成分</w:t>
            </w:r>
          </w:p>
        </w:tc>
        <w:tc>
          <w:tcPr>
            <w:tcW w:w="2177" w:type="dxa"/>
            <w:vAlign w:val="top"/>
          </w:tcPr>
          <w:p w14:paraId="3A46662A">
            <w:pPr>
              <w:pStyle w:val="6"/>
              <w:spacing w:before="42" w:line="182" w:lineRule="auto"/>
              <w:ind w:left="1022"/>
              <w:rPr>
                <w:sz w:val="21"/>
                <w:szCs w:val="21"/>
              </w:rPr>
            </w:pPr>
            <w:r>
              <w:rPr>
                <w:sz w:val="21"/>
                <w:szCs w:val="21"/>
              </w:rPr>
              <w:t>/</w:t>
            </w:r>
          </w:p>
        </w:tc>
        <w:tc>
          <w:tcPr>
            <w:tcW w:w="2447" w:type="dxa"/>
            <w:vAlign w:val="top"/>
          </w:tcPr>
          <w:p w14:paraId="545398C7">
            <w:pPr>
              <w:pStyle w:val="6"/>
              <w:spacing w:before="42" w:line="182" w:lineRule="auto"/>
              <w:ind w:left="1164"/>
              <w:rPr>
                <w:sz w:val="21"/>
                <w:szCs w:val="21"/>
              </w:rPr>
            </w:pPr>
            <w:r>
              <w:rPr>
                <w:sz w:val="21"/>
                <w:szCs w:val="21"/>
              </w:rPr>
              <w:t>/</w:t>
            </w:r>
          </w:p>
        </w:tc>
        <w:tc>
          <w:tcPr>
            <w:tcW w:w="2012" w:type="dxa"/>
            <w:vAlign w:val="top"/>
          </w:tcPr>
          <w:p w14:paraId="29B8C06E">
            <w:pPr>
              <w:pStyle w:val="6"/>
              <w:spacing w:before="37" w:line="187" w:lineRule="auto"/>
              <w:ind w:left="688"/>
              <w:rPr>
                <w:sz w:val="21"/>
                <w:szCs w:val="21"/>
              </w:rPr>
            </w:pPr>
            <w:r>
              <w:rPr>
                <w:spacing w:val="7"/>
                <w:sz w:val="21"/>
                <w:szCs w:val="21"/>
              </w:rPr>
              <w:t>矿物油</w:t>
            </w:r>
          </w:p>
        </w:tc>
      </w:tr>
      <w:tr w14:paraId="2C7E2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733" w:type="dxa"/>
            <w:vAlign w:val="top"/>
          </w:tcPr>
          <w:p w14:paraId="51F7AF68">
            <w:pPr>
              <w:pStyle w:val="6"/>
              <w:spacing w:before="44" w:line="198" w:lineRule="auto"/>
              <w:ind w:left="437"/>
              <w:rPr>
                <w:sz w:val="21"/>
                <w:szCs w:val="21"/>
              </w:rPr>
            </w:pPr>
            <w:r>
              <w:rPr>
                <w:b/>
                <w:bCs/>
                <w:spacing w:val="-4"/>
                <w:sz w:val="21"/>
                <w:szCs w:val="21"/>
              </w:rPr>
              <w:t>产废周期</w:t>
            </w:r>
          </w:p>
        </w:tc>
        <w:tc>
          <w:tcPr>
            <w:tcW w:w="2177" w:type="dxa"/>
            <w:vAlign w:val="top"/>
          </w:tcPr>
          <w:p w14:paraId="7B669F84">
            <w:pPr>
              <w:pStyle w:val="6"/>
              <w:spacing w:before="47" w:line="196" w:lineRule="auto"/>
              <w:ind w:left="871"/>
              <w:rPr>
                <w:sz w:val="21"/>
                <w:szCs w:val="21"/>
              </w:rPr>
            </w:pPr>
            <w:r>
              <w:rPr>
                <w:spacing w:val="-3"/>
                <w:sz w:val="21"/>
                <w:szCs w:val="21"/>
              </w:rPr>
              <w:t>每天</w:t>
            </w:r>
          </w:p>
        </w:tc>
        <w:tc>
          <w:tcPr>
            <w:tcW w:w="2447" w:type="dxa"/>
            <w:vAlign w:val="top"/>
          </w:tcPr>
          <w:p w14:paraId="0AB2B187">
            <w:pPr>
              <w:pStyle w:val="6"/>
              <w:spacing w:before="47" w:line="196" w:lineRule="auto"/>
              <w:ind w:left="1005"/>
              <w:rPr>
                <w:sz w:val="21"/>
                <w:szCs w:val="21"/>
              </w:rPr>
            </w:pPr>
            <w:r>
              <w:rPr>
                <w:spacing w:val="-3"/>
                <w:sz w:val="21"/>
                <w:szCs w:val="21"/>
              </w:rPr>
              <w:t>每天</w:t>
            </w:r>
          </w:p>
        </w:tc>
        <w:tc>
          <w:tcPr>
            <w:tcW w:w="2012" w:type="dxa"/>
            <w:vAlign w:val="top"/>
          </w:tcPr>
          <w:p w14:paraId="69B5EE05">
            <w:pPr>
              <w:pStyle w:val="6"/>
              <w:spacing w:before="47" w:line="196" w:lineRule="auto"/>
              <w:ind w:left="788"/>
              <w:rPr>
                <w:sz w:val="21"/>
                <w:szCs w:val="21"/>
              </w:rPr>
            </w:pPr>
            <w:r>
              <w:rPr>
                <w:spacing w:val="-3"/>
                <w:sz w:val="21"/>
                <w:szCs w:val="21"/>
              </w:rPr>
              <w:t>检修</w:t>
            </w:r>
          </w:p>
        </w:tc>
      </w:tr>
      <w:tr w14:paraId="11756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733" w:type="dxa"/>
            <w:vAlign w:val="top"/>
          </w:tcPr>
          <w:p w14:paraId="1A1001D6">
            <w:pPr>
              <w:pStyle w:val="6"/>
              <w:spacing w:before="44" w:line="198" w:lineRule="auto"/>
              <w:ind w:left="437"/>
              <w:rPr>
                <w:sz w:val="21"/>
                <w:szCs w:val="21"/>
              </w:rPr>
            </w:pPr>
            <w:r>
              <w:rPr>
                <w:b/>
                <w:bCs/>
                <w:spacing w:val="-5"/>
                <w:sz w:val="21"/>
                <w:szCs w:val="21"/>
              </w:rPr>
              <w:t>危险特性</w:t>
            </w:r>
          </w:p>
        </w:tc>
        <w:tc>
          <w:tcPr>
            <w:tcW w:w="2177" w:type="dxa"/>
            <w:vAlign w:val="top"/>
          </w:tcPr>
          <w:p w14:paraId="297972A2">
            <w:pPr>
              <w:pStyle w:val="6"/>
              <w:spacing w:before="52" w:line="191" w:lineRule="auto"/>
              <w:ind w:left="1022"/>
              <w:rPr>
                <w:sz w:val="21"/>
                <w:szCs w:val="21"/>
              </w:rPr>
            </w:pPr>
            <w:r>
              <w:rPr>
                <w:sz w:val="21"/>
                <w:szCs w:val="21"/>
              </w:rPr>
              <w:t>/</w:t>
            </w:r>
          </w:p>
        </w:tc>
        <w:tc>
          <w:tcPr>
            <w:tcW w:w="2447" w:type="dxa"/>
            <w:vAlign w:val="top"/>
          </w:tcPr>
          <w:p w14:paraId="43782AF4">
            <w:pPr>
              <w:pStyle w:val="6"/>
              <w:spacing w:before="52" w:line="191" w:lineRule="auto"/>
              <w:ind w:left="1164"/>
              <w:rPr>
                <w:sz w:val="21"/>
                <w:szCs w:val="21"/>
              </w:rPr>
            </w:pPr>
            <w:r>
              <w:rPr>
                <w:sz w:val="21"/>
                <w:szCs w:val="21"/>
              </w:rPr>
              <w:t>/</w:t>
            </w:r>
          </w:p>
        </w:tc>
        <w:tc>
          <w:tcPr>
            <w:tcW w:w="2012" w:type="dxa"/>
            <w:vAlign w:val="top"/>
          </w:tcPr>
          <w:p w14:paraId="3FF6B42F">
            <w:pPr>
              <w:pStyle w:val="6"/>
              <w:spacing w:before="78" w:line="168" w:lineRule="auto"/>
              <w:ind w:left="837"/>
              <w:rPr>
                <w:sz w:val="21"/>
                <w:szCs w:val="21"/>
              </w:rPr>
            </w:pPr>
            <w:r>
              <w:rPr>
                <w:spacing w:val="-2"/>
                <w:sz w:val="21"/>
                <w:szCs w:val="21"/>
              </w:rPr>
              <w:t>T,I</w:t>
            </w:r>
          </w:p>
        </w:tc>
      </w:tr>
      <w:tr w14:paraId="3C1BD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1733" w:type="dxa"/>
            <w:vAlign w:val="top"/>
          </w:tcPr>
          <w:p w14:paraId="2FEB09DD">
            <w:pPr>
              <w:pStyle w:val="6"/>
              <w:spacing w:before="305" w:line="220" w:lineRule="auto"/>
              <w:ind w:left="227"/>
              <w:rPr>
                <w:sz w:val="21"/>
                <w:szCs w:val="21"/>
              </w:rPr>
            </w:pPr>
            <w:r>
              <w:rPr>
                <w:b/>
                <w:bCs/>
                <w:spacing w:val="-4"/>
                <w:sz w:val="21"/>
                <w:szCs w:val="21"/>
              </w:rPr>
              <w:t>污染防治措施</w:t>
            </w:r>
          </w:p>
        </w:tc>
        <w:tc>
          <w:tcPr>
            <w:tcW w:w="2177" w:type="dxa"/>
            <w:vAlign w:val="top"/>
          </w:tcPr>
          <w:p w14:paraId="2837EB5D">
            <w:pPr>
              <w:pStyle w:val="6"/>
              <w:spacing w:before="176" w:line="249" w:lineRule="auto"/>
              <w:ind w:left="341" w:right="24" w:hanging="309"/>
              <w:rPr>
                <w:sz w:val="21"/>
                <w:szCs w:val="21"/>
              </w:rPr>
            </w:pPr>
            <w:r>
              <w:rPr>
                <w:spacing w:val="1"/>
                <w:sz w:val="21"/>
                <w:szCs w:val="21"/>
              </w:rPr>
              <w:t>经收集后运至周边村庄</w:t>
            </w:r>
            <w:r>
              <w:rPr>
                <w:sz w:val="21"/>
                <w:szCs w:val="21"/>
              </w:rPr>
              <w:t xml:space="preserve"> </w:t>
            </w:r>
            <w:r>
              <w:rPr>
                <w:spacing w:val="-2"/>
                <w:sz w:val="21"/>
                <w:szCs w:val="21"/>
              </w:rPr>
              <w:t>垃圾收集点处置</w:t>
            </w:r>
          </w:p>
        </w:tc>
        <w:tc>
          <w:tcPr>
            <w:tcW w:w="2447" w:type="dxa"/>
            <w:vAlign w:val="top"/>
          </w:tcPr>
          <w:p w14:paraId="34A6E014">
            <w:pPr>
              <w:pStyle w:val="6"/>
              <w:spacing w:before="177" w:line="219" w:lineRule="auto"/>
              <w:ind w:left="64"/>
              <w:rPr>
                <w:sz w:val="21"/>
                <w:szCs w:val="21"/>
              </w:rPr>
            </w:pPr>
            <w:r>
              <w:rPr>
                <w:sz w:val="21"/>
                <w:szCs w:val="21"/>
              </w:rPr>
              <w:t>收集后委托有资质的单位</w:t>
            </w:r>
          </w:p>
          <w:p w14:paraId="0EE7BD9A">
            <w:pPr>
              <w:pStyle w:val="6"/>
              <w:spacing w:before="21" w:line="220" w:lineRule="auto"/>
              <w:ind w:left="425"/>
              <w:rPr>
                <w:sz w:val="21"/>
                <w:szCs w:val="21"/>
              </w:rPr>
            </w:pPr>
            <w:r>
              <w:rPr>
                <w:sz w:val="21"/>
                <w:szCs w:val="21"/>
              </w:rPr>
              <w:t>进行清运、处置。</w:t>
            </w:r>
          </w:p>
        </w:tc>
        <w:tc>
          <w:tcPr>
            <w:tcW w:w="2012" w:type="dxa"/>
            <w:vAlign w:val="top"/>
          </w:tcPr>
          <w:p w14:paraId="6FE21381">
            <w:pPr>
              <w:pStyle w:val="6"/>
              <w:spacing w:before="47" w:line="219" w:lineRule="auto"/>
              <w:jc w:val="right"/>
              <w:rPr>
                <w:sz w:val="21"/>
                <w:szCs w:val="21"/>
              </w:rPr>
            </w:pPr>
            <w:r>
              <w:rPr>
                <w:spacing w:val="-12"/>
                <w:sz w:val="21"/>
                <w:szCs w:val="21"/>
              </w:rPr>
              <w:t>危废暂存间暂存，定期</w:t>
            </w:r>
          </w:p>
          <w:p w14:paraId="466F98B1">
            <w:pPr>
              <w:pStyle w:val="6"/>
              <w:spacing w:before="21" w:line="220" w:lineRule="auto"/>
              <w:ind w:left="57"/>
              <w:rPr>
                <w:sz w:val="21"/>
                <w:szCs w:val="21"/>
              </w:rPr>
            </w:pPr>
            <w:r>
              <w:rPr>
                <w:spacing w:val="-1"/>
                <w:sz w:val="21"/>
                <w:szCs w:val="21"/>
              </w:rPr>
              <w:t>委托有组织的单位进</w:t>
            </w:r>
          </w:p>
          <w:p w14:paraId="057D1035">
            <w:pPr>
              <w:pStyle w:val="6"/>
              <w:spacing w:before="9" w:line="194" w:lineRule="auto"/>
              <w:ind w:left="367"/>
              <w:rPr>
                <w:sz w:val="21"/>
                <w:szCs w:val="21"/>
              </w:rPr>
            </w:pPr>
            <w:r>
              <w:rPr>
                <w:spacing w:val="-2"/>
                <w:sz w:val="21"/>
                <w:szCs w:val="21"/>
              </w:rPr>
              <w:t>行清运及处置</w:t>
            </w:r>
          </w:p>
        </w:tc>
      </w:tr>
      <w:tr w14:paraId="7FA70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8369" w:type="dxa"/>
            <w:gridSpan w:val="4"/>
            <w:vAlign w:val="top"/>
          </w:tcPr>
          <w:p w14:paraId="390DE48B">
            <w:pPr>
              <w:pStyle w:val="6"/>
              <w:spacing w:before="134" w:line="219" w:lineRule="auto"/>
              <w:ind w:left="517"/>
              <w:rPr>
                <w:sz w:val="21"/>
                <w:szCs w:val="21"/>
              </w:rPr>
            </w:pPr>
            <w:r>
              <w:rPr>
                <w:b/>
                <w:bCs/>
                <w:spacing w:val="-2"/>
                <w:sz w:val="21"/>
                <w:szCs w:val="21"/>
              </w:rPr>
              <w:t>综上，本项目运营期产生的各类固体废弃物均得到妥善处置，对外环境影响</w:t>
            </w:r>
          </w:p>
        </w:tc>
      </w:tr>
    </w:tbl>
    <w:p w14:paraId="67FFF649">
      <w:pPr>
        <w:pStyle w:val="2"/>
      </w:pPr>
    </w:p>
    <w:p w14:paraId="441784A6">
      <w:pPr>
        <w:sectPr>
          <w:footerReference r:id="rId176" w:type="default"/>
          <w:pgSz w:w="11910" w:h="16830"/>
          <w:pgMar w:top="400" w:right="1385" w:bottom="1245" w:left="1786" w:header="0" w:footer="1083" w:gutter="0"/>
          <w:cols w:space="720" w:num="1"/>
        </w:sectPr>
      </w:pPr>
    </w:p>
    <w:p w14:paraId="5532AAD5">
      <w:pPr>
        <w:spacing w:before="15"/>
      </w:pPr>
    </w:p>
    <w:p w14:paraId="7730F7D3">
      <w:pPr>
        <w:spacing w:before="15"/>
      </w:pPr>
    </w:p>
    <w:p w14:paraId="7D91ACB9">
      <w:pPr>
        <w:spacing w:before="15"/>
      </w:pPr>
    </w:p>
    <w:p w14:paraId="4A7A37DC">
      <w:pPr>
        <w:spacing w:before="14"/>
      </w:pPr>
    </w:p>
    <w:tbl>
      <w:tblPr>
        <w:tblStyle w:val="5"/>
        <w:tblW w:w="936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8489"/>
      </w:tblGrid>
      <w:tr w14:paraId="5D0F0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9" w:hRule="atLeast"/>
        </w:trPr>
        <w:tc>
          <w:tcPr>
            <w:tcW w:w="874" w:type="dxa"/>
            <w:vAlign w:val="top"/>
          </w:tcPr>
          <w:p w14:paraId="0DBECBA9">
            <w:pPr>
              <w:rPr>
                <w:rFonts w:ascii="Arial"/>
                <w:sz w:val="21"/>
              </w:rPr>
            </w:pPr>
          </w:p>
        </w:tc>
        <w:tc>
          <w:tcPr>
            <w:tcW w:w="8489" w:type="dxa"/>
            <w:vAlign w:val="top"/>
          </w:tcPr>
          <w:p w14:paraId="7DF77693">
            <w:pPr>
              <w:pStyle w:val="6"/>
              <w:spacing w:before="25" w:line="220" w:lineRule="auto"/>
              <w:ind w:left="91"/>
              <w:rPr>
                <w:sz w:val="24"/>
                <w:szCs w:val="24"/>
              </w:rPr>
            </w:pPr>
            <w:r>
              <w:rPr>
                <w:sz w:val="24"/>
                <w:szCs w:val="24"/>
              </w:rPr>
              <w:t>不大。</w:t>
            </w:r>
          </w:p>
          <w:p w14:paraId="036930A1">
            <w:pPr>
              <w:spacing w:line="339" w:lineRule="auto"/>
              <w:rPr>
                <w:rFonts w:ascii="Arial"/>
                <w:sz w:val="21"/>
              </w:rPr>
            </w:pPr>
          </w:p>
          <w:p w14:paraId="377D83CB">
            <w:pPr>
              <w:pStyle w:val="6"/>
              <w:spacing w:before="78" w:line="219" w:lineRule="auto"/>
              <w:ind w:left="2544"/>
              <w:rPr>
                <w:sz w:val="24"/>
                <w:szCs w:val="24"/>
              </w:rPr>
            </w:pPr>
            <w:r>
              <w:rPr>
                <w:b/>
                <w:bCs/>
                <w:spacing w:val="-4"/>
                <w:sz w:val="24"/>
                <w:szCs w:val="24"/>
              </w:rPr>
              <w:t>表4-24危险废物产生及治理情况</w:t>
            </w:r>
          </w:p>
          <w:p w14:paraId="1CC16EA5">
            <w:pPr>
              <w:spacing w:line="53" w:lineRule="exact"/>
            </w:pPr>
          </w:p>
          <w:tbl>
            <w:tblPr>
              <w:tblStyle w:val="5"/>
              <w:tblW w:w="8249" w:type="dxa"/>
              <w:tblInd w:w="1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689"/>
              <w:gridCol w:w="709"/>
              <w:gridCol w:w="719"/>
              <w:gridCol w:w="709"/>
              <w:gridCol w:w="869"/>
              <w:gridCol w:w="609"/>
              <w:gridCol w:w="749"/>
              <w:gridCol w:w="739"/>
              <w:gridCol w:w="789"/>
              <w:gridCol w:w="1154"/>
            </w:tblGrid>
            <w:tr w14:paraId="2E005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514" w:type="dxa"/>
                  <w:textDirection w:val="tbRlV"/>
                  <w:vAlign w:val="top"/>
                </w:tcPr>
                <w:p w14:paraId="34987348">
                  <w:pPr>
                    <w:pStyle w:val="6"/>
                    <w:spacing w:before="232" w:line="199" w:lineRule="auto"/>
                    <w:ind w:left="3"/>
                  </w:pPr>
                  <w:r>
                    <w:t>序</w:t>
                  </w:r>
                  <w:r>
                    <w:rPr>
                      <w:spacing w:val="-13"/>
                    </w:rPr>
                    <w:t xml:space="preserve"> </w:t>
                  </w:r>
                  <w:r>
                    <w:t>号</w:t>
                  </w:r>
                </w:p>
              </w:tc>
              <w:tc>
                <w:tcPr>
                  <w:tcW w:w="689" w:type="dxa"/>
                  <w:vAlign w:val="top"/>
                </w:tcPr>
                <w:p w14:paraId="5081EBDD">
                  <w:pPr>
                    <w:pStyle w:val="6"/>
                    <w:spacing w:before="34" w:line="220" w:lineRule="auto"/>
                    <w:ind w:left="110"/>
                  </w:pPr>
                  <w:r>
                    <w:rPr>
                      <w:spacing w:val="5"/>
                    </w:rPr>
                    <w:t>危废</w:t>
                  </w:r>
                </w:p>
                <w:p w14:paraId="6D48A77A">
                  <w:pPr>
                    <w:pStyle w:val="6"/>
                    <w:spacing w:before="29" w:line="190" w:lineRule="auto"/>
                    <w:ind w:left="110"/>
                  </w:pPr>
                  <w:r>
                    <w:rPr>
                      <w:spacing w:val="5"/>
                    </w:rPr>
                    <w:t>名称</w:t>
                  </w:r>
                </w:p>
              </w:tc>
              <w:tc>
                <w:tcPr>
                  <w:tcW w:w="709" w:type="dxa"/>
                  <w:vAlign w:val="top"/>
                </w:tcPr>
                <w:p w14:paraId="21B50DE6">
                  <w:pPr>
                    <w:pStyle w:val="6"/>
                    <w:spacing w:before="34" w:line="220" w:lineRule="auto"/>
                    <w:ind w:left="121"/>
                  </w:pPr>
                  <w:r>
                    <w:rPr>
                      <w:spacing w:val="5"/>
                    </w:rPr>
                    <w:t>危废</w:t>
                  </w:r>
                </w:p>
                <w:p w14:paraId="76617768">
                  <w:pPr>
                    <w:pStyle w:val="6"/>
                    <w:spacing w:before="27" w:line="192" w:lineRule="auto"/>
                    <w:ind w:left="121"/>
                  </w:pPr>
                  <w:r>
                    <w:rPr>
                      <w:spacing w:val="8"/>
                    </w:rPr>
                    <w:t>类别</w:t>
                  </w:r>
                </w:p>
              </w:tc>
              <w:tc>
                <w:tcPr>
                  <w:tcW w:w="719" w:type="dxa"/>
                  <w:vAlign w:val="top"/>
                </w:tcPr>
                <w:p w14:paraId="1660DF6C">
                  <w:pPr>
                    <w:pStyle w:val="6"/>
                    <w:spacing w:before="34" w:line="220" w:lineRule="auto"/>
                    <w:ind w:left="132"/>
                  </w:pPr>
                  <w:r>
                    <w:rPr>
                      <w:spacing w:val="5"/>
                    </w:rPr>
                    <w:t>危废</w:t>
                  </w:r>
                </w:p>
                <w:p w14:paraId="3EE84034">
                  <w:pPr>
                    <w:pStyle w:val="6"/>
                    <w:spacing w:before="27" w:line="192" w:lineRule="auto"/>
                    <w:ind w:left="132"/>
                  </w:pPr>
                  <w:r>
                    <w:rPr>
                      <w:spacing w:val="-2"/>
                    </w:rPr>
                    <w:t>代码</w:t>
                  </w:r>
                </w:p>
              </w:tc>
              <w:tc>
                <w:tcPr>
                  <w:tcW w:w="709" w:type="dxa"/>
                  <w:vAlign w:val="top"/>
                </w:tcPr>
                <w:p w14:paraId="682E3732">
                  <w:pPr>
                    <w:pStyle w:val="6"/>
                    <w:spacing w:before="23" w:line="222" w:lineRule="auto"/>
                    <w:ind w:left="74" w:right="83" w:firstLine="50"/>
                  </w:pPr>
                  <w:r>
                    <w:rPr>
                      <w:spacing w:val="-5"/>
                    </w:rPr>
                    <w:t>产生</w:t>
                  </w:r>
                  <w:r>
                    <w:t xml:space="preserve"> </w:t>
                  </w:r>
                  <w:r>
                    <w:rPr>
                      <w:spacing w:val="-3"/>
                    </w:rPr>
                    <w:t>量t/a</w:t>
                  </w:r>
                </w:p>
              </w:tc>
              <w:tc>
                <w:tcPr>
                  <w:tcW w:w="869" w:type="dxa"/>
                  <w:vAlign w:val="top"/>
                </w:tcPr>
                <w:p w14:paraId="63E2993A">
                  <w:pPr>
                    <w:pStyle w:val="6"/>
                    <w:spacing w:before="33" w:line="218" w:lineRule="auto"/>
                    <w:ind w:left="104" w:right="91" w:hanging="10"/>
                  </w:pPr>
                  <w:r>
                    <w:rPr>
                      <w:spacing w:val="4"/>
                    </w:rPr>
                    <w:t>产生工</w:t>
                  </w:r>
                  <w:r>
                    <w:t xml:space="preserve"> 序</w:t>
                  </w:r>
                </w:p>
              </w:tc>
              <w:tc>
                <w:tcPr>
                  <w:tcW w:w="609" w:type="dxa"/>
                  <w:textDirection w:val="tbRlV"/>
                  <w:vAlign w:val="top"/>
                </w:tcPr>
                <w:p w14:paraId="0B4FFD0C">
                  <w:pPr>
                    <w:pStyle w:val="6"/>
                    <w:spacing w:before="303" w:line="201" w:lineRule="auto"/>
                  </w:pPr>
                  <w:r>
                    <w:rPr>
                      <w:spacing w:val="-2"/>
                    </w:rPr>
                    <w:t>形 态</w:t>
                  </w:r>
                </w:p>
              </w:tc>
              <w:tc>
                <w:tcPr>
                  <w:tcW w:w="749" w:type="dxa"/>
                  <w:vAlign w:val="top"/>
                </w:tcPr>
                <w:p w14:paraId="1E5B16ED">
                  <w:pPr>
                    <w:pStyle w:val="6"/>
                    <w:spacing w:before="38" w:line="216" w:lineRule="auto"/>
                    <w:ind w:left="146" w:right="80" w:hanging="59"/>
                  </w:pPr>
                  <w:r>
                    <w:rPr>
                      <w:spacing w:val="-10"/>
                    </w:rPr>
                    <w:t>主</w:t>
                  </w:r>
                  <w:r>
                    <w:rPr>
                      <w:spacing w:val="41"/>
                    </w:rPr>
                    <w:t xml:space="preserve"> </w:t>
                  </w:r>
                  <w:r>
                    <w:rPr>
                      <w:spacing w:val="-10"/>
                    </w:rPr>
                    <w:t>要</w:t>
                  </w:r>
                  <w:r>
                    <w:t xml:space="preserve"> </w:t>
                  </w:r>
                  <w:r>
                    <w:rPr>
                      <w:spacing w:val="-3"/>
                    </w:rPr>
                    <w:t>成分</w:t>
                  </w:r>
                </w:p>
              </w:tc>
              <w:tc>
                <w:tcPr>
                  <w:tcW w:w="739" w:type="dxa"/>
                  <w:vAlign w:val="top"/>
                </w:tcPr>
                <w:p w14:paraId="2B692D81">
                  <w:pPr>
                    <w:pStyle w:val="6"/>
                    <w:spacing w:before="33" w:line="218" w:lineRule="auto"/>
                    <w:ind w:left="147" w:right="66" w:hanging="60"/>
                  </w:pPr>
                  <w:r>
                    <w:rPr>
                      <w:spacing w:val="-12"/>
                    </w:rPr>
                    <w:t>有</w:t>
                  </w:r>
                  <w:r>
                    <w:rPr>
                      <w:spacing w:val="47"/>
                    </w:rPr>
                    <w:t xml:space="preserve"> </w:t>
                  </w:r>
                  <w:r>
                    <w:rPr>
                      <w:spacing w:val="-12"/>
                    </w:rPr>
                    <w:t>害</w:t>
                  </w:r>
                  <w:r>
                    <w:t xml:space="preserve"> </w:t>
                  </w:r>
                  <w:r>
                    <w:rPr>
                      <w:spacing w:val="-3"/>
                    </w:rPr>
                    <w:t>成分</w:t>
                  </w:r>
                </w:p>
              </w:tc>
              <w:tc>
                <w:tcPr>
                  <w:tcW w:w="789" w:type="dxa"/>
                  <w:vAlign w:val="top"/>
                </w:tcPr>
                <w:p w14:paraId="79F6C638">
                  <w:pPr>
                    <w:pStyle w:val="6"/>
                    <w:spacing w:before="33" w:line="218" w:lineRule="auto"/>
                    <w:ind w:left="98" w:right="59" w:hanging="10"/>
                  </w:pPr>
                  <w:r>
                    <w:rPr>
                      <w:spacing w:val="-10"/>
                    </w:rPr>
                    <w:t>产</w:t>
                  </w:r>
                  <w:r>
                    <w:rPr>
                      <w:spacing w:val="99"/>
                    </w:rPr>
                    <w:t xml:space="preserve"> </w:t>
                  </w:r>
                  <w:r>
                    <w:rPr>
                      <w:spacing w:val="-10"/>
                    </w:rPr>
                    <w:t>生</w:t>
                  </w:r>
                  <w:r>
                    <w:t xml:space="preserve"> </w:t>
                  </w:r>
                  <w:r>
                    <w:rPr>
                      <w:spacing w:val="7"/>
                    </w:rPr>
                    <w:t>周期</w:t>
                  </w:r>
                </w:p>
              </w:tc>
              <w:tc>
                <w:tcPr>
                  <w:tcW w:w="1154" w:type="dxa"/>
                  <w:vAlign w:val="top"/>
                </w:tcPr>
                <w:p w14:paraId="7CB4152B">
                  <w:pPr>
                    <w:pStyle w:val="6"/>
                    <w:spacing w:before="33" w:line="218" w:lineRule="auto"/>
                    <w:ind w:left="109" w:right="115" w:firstLine="20"/>
                  </w:pPr>
                  <w:r>
                    <w:rPr>
                      <w:spacing w:val="4"/>
                    </w:rPr>
                    <w:t>污染防治</w:t>
                  </w:r>
                  <w:r>
                    <w:rPr>
                      <w:spacing w:val="1"/>
                    </w:rPr>
                    <w:t xml:space="preserve"> </w:t>
                  </w:r>
                  <w:r>
                    <w:rPr>
                      <w:spacing w:val="-3"/>
                    </w:rPr>
                    <w:t>措施</w:t>
                  </w:r>
                </w:p>
              </w:tc>
            </w:tr>
            <w:tr w14:paraId="0A6A4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514" w:type="dxa"/>
                  <w:vAlign w:val="top"/>
                </w:tcPr>
                <w:p w14:paraId="0BC81B28">
                  <w:pPr>
                    <w:pStyle w:val="6"/>
                    <w:spacing w:before="42" w:line="173" w:lineRule="auto"/>
                    <w:ind w:left="65"/>
                  </w:pPr>
                  <w:r>
                    <w:t>1</w:t>
                  </w:r>
                </w:p>
              </w:tc>
              <w:tc>
                <w:tcPr>
                  <w:tcW w:w="689" w:type="dxa"/>
                  <w:vMerge w:val="restart"/>
                  <w:tcBorders>
                    <w:bottom w:val="nil"/>
                  </w:tcBorders>
                  <w:vAlign w:val="top"/>
                </w:tcPr>
                <w:p w14:paraId="5911E368">
                  <w:pPr>
                    <w:pStyle w:val="6"/>
                    <w:spacing w:before="31" w:line="220" w:lineRule="auto"/>
                    <w:ind w:left="110"/>
                  </w:pPr>
                  <w:r>
                    <w:rPr>
                      <w:spacing w:val="-2"/>
                    </w:rPr>
                    <w:t>废变</w:t>
                  </w:r>
                </w:p>
                <w:p w14:paraId="7A0A34BF">
                  <w:pPr>
                    <w:pStyle w:val="6"/>
                    <w:spacing w:before="1" w:line="217" w:lineRule="auto"/>
                    <w:ind w:left="91" w:right="137" w:firstLine="19"/>
                  </w:pPr>
                  <w:r>
                    <w:rPr>
                      <w:spacing w:val="-5"/>
                    </w:rPr>
                    <w:t>压器</w:t>
                  </w:r>
                  <w:r>
                    <w:t xml:space="preserve"> 油</w:t>
                  </w:r>
                </w:p>
              </w:tc>
              <w:tc>
                <w:tcPr>
                  <w:tcW w:w="709" w:type="dxa"/>
                  <w:vMerge w:val="restart"/>
                  <w:tcBorders>
                    <w:bottom w:val="nil"/>
                  </w:tcBorders>
                  <w:vAlign w:val="top"/>
                </w:tcPr>
                <w:p w14:paraId="1B07145C">
                  <w:pPr>
                    <w:pStyle w:val="6"/>
                    <w:spacing w:before="31" w:line="220" w:lineRule="auto"/>
                    <w:ind w:left="121"/>
                  </w:pPr>
                  <w:r>
                    <w:rPr>
                      <w:spacing w:val="5"/>
                    </w:rPr>
                    <w:t>危废</w:t>
                  </w:r>
                </w:p>
              </w:tc>
              <w:tc>
                <w:tcPr>
                  <w:tcW w:w="719" w:type="dxa"/>
                  <w:vMerge w:val="restart"/>
                  <w:tcBorders>
                    <w:bottom w:val="nil"/>
                  </w:tcBorders>
                  <w:vAlign w:val="top"/>
                </w:tcPr>
                <w:p w14:paraId="579AF3A9">
                  <w:pPr>
                    <w:pStyle w:val="6"/>
                    <w:spacing w:before="98" w:line="172" w:lineRule="auto"/>
                    <w:ind w:left="182"/>
                  </w:pPr>
                  <w:r>
                    <w:rPr>
                      <w:spacing w:val="-2"/>
                    </w:rPr>
                    <w:t>HW0</w:t>
                  </w:r>
                </w:p>
                <w:p w14:paraId="73D95AA8">
                  <w:pPr>
                    <w:pStyle w:val="6"/>
                    <w:spacing w:before="1" w:line="192" w:lineRule="auto"/>
                    <w:ind w:left="62"/>
                  </w:pPr>
                  <w:r>
                    <w:t>8</w:t>
                  </w:r>
                </w:p>
                <w:p w14:paraId="51F70649">
                  <w:pPr>
                    <w:pStyle w:val="6"/>
                    <w:spacing w:before="1" w:line="209" w:lineRule="auto"/>
                    <w:ind w:left="72"/>
                  </w:pPr>
                  <w:r>
                    <w:rPr>
                      <w:spacing w:val="-2"/>
                    </w:rPr>
                    <w:t>900-2</w:t>
                  </w:r>
                </w:p>
                <w:p w14:paraId="0DEB0E42">
                  <w:pPr>
                    <w:pStyle w:val="6"/>
                    <w:spacing w:line="239" w:lineRule="auto"/>
                    <w:ind w:left="72"/>
                  </w:pPr>
                  <w:r>
                    <w:rPr>
                      <w:spacing w:val="-3"/>
                    </w:rPr>
                    <w:t>20-08</w:t>
                  </w:r>
                </w:p>
              </w:tc>
              <w:tc>
                <w:tcPr>
                  <w:tcW w:w="709" w:type="dxa"/>
                  <w:vAlign w:val="top"/>
                </w:tcPr>
                <w:p w14:paraId="5B4389BA">
                  <w:pPr>
                    <w:pStyle w:val="6"/>
                    <w:spacing w:before="42" w:line="173" w:lineRule="auto"/>
                    <w:ind w:left="183"/>
                  </w:pPr>
                  <w:r>
                    <w:rPr>
                      <w:spacing w:val="-3"/>
                    </w:rPr>
                    <w:t>0.2</w:t>
                  </w:r>
                </w:p>
              </w:tc>
              <w:tc>
                <w:tcPr>
                  <w:tcW w:w="869" w:type="dxa"/>
                  <w:vAlign w:val="top"/>
                </w:tcPr>
                <w:p w14:paraId="5F9B3B79">
                  <w:pPr>
                    <w:pStyle w:val="6"/>
                    <w:spacing w:before="21" w:line="191" w:lineRule="auto"/>
                    <w:ind w:left="104"/>
                  </w:pPr>
                  <w:r>
                    <w:rPr>
                      <w:spacing w:val="-3"/>
                    </w:rPr>
                    <w:t>检修</w:t>
                  </w:r>
                </w:p>
              </w:tc>
              <w:tc>
                <w:tcPr>
                  <w:tcW w:w="609" w:type="dxa"/>
                  <w:vMerge w:val="restart"/>
                  <w:tcBorders>
                    <w:bottom w:val="nil"/>
                  </w:tcBorders>
                  <w:textDirection w:val="tbRlV"/>
                  <w:vAlign w:val="top"/>
                </w:tcPr>
                <w:p w14:paraId="5E556C5A">
                  <w:pPr>
                    <w:pStyle w:val="6"/>
                    <w:spacing w:before="302" w:line="201" w:lineRule="auto"/>
                  </w:pPr>
                  <w:r>
                    <w:rPr>
                      <w:spacing w:val="6"/>
                    </w:rPr>
                    <w:t>液态</w:t>
                  </w:r>
                </w:p>
              </w:tc>
              <w:tc>
                <w:tcPr>
                  <w:tcW w:w="749" w:type="dxa"/>
                  <w:vMerge w:val="restart"/>
                  <w:tcBorders>
                    <w:bottom w:val="nil"/>
                  </w:tcBorders>
                  <w:vAlign w:val="top"/>
                </w:tcPr>
                <w:p w14:paraId="0F14AFC7">
                  <w:pPr>
                    <w:pStyle w:val="6"/>
                    <w:spacing w:before="35" w:line="218" w:lineRule="auto"/>
                    <w:ind w:left="97" w:right="68" w:hanging="10"/>
                  </w:pPr>
                  <w:r>
                    <w:rPr>
                      <w:spacing w:val="-11"/>
                    </w:rPr>
                    <w:t>石</w:t>
                  </w:r>
                  <w:r>
                    <w:rPr>
                      <w:spacing w:val="54"/>
                    </w:rPr>
                    <w:t xml:space="preserve"> </w:t>
                  </w:r>
                  <w:r>
                    <w:rPr>
                      <w:spacing w:val="-11"/>
                    </w:rPr>
                    <w:t>油</w:t>
                  </w:r>
                  <w:r>
                    <w:t xml:space="preserve"> 烃</w:t>
                  </w:r>
                </w:p>
              </w:tc>
              <w:tc>
                <w:tcPr>
                  <w:tcW w:w="739" w:type="dxa"/>
                  <w:vMerge w:val="restart"/>
                  <w:tcBorders>
                    <w:bottom w:val="nil"/>
                  </w:tcBorders>
                  <w:vAlign w:val="top"/>
                </w:tcPr>
                <w:p w14:paraId="1783A72E">
                  <w:pPr>
                    <w:pStyle w:val="6"/>
                    <w:spacing w:before="30" w:line="219" w:lineRule="auto"/>
                    <w:ind w:left="87"/>
                  </w:pPr>
                  <w:r>
                    <w:rPr>
                      <w:spacing w:val="-6"/>
                    </w:rPr>
                    <w:t>持</w:t>
                  </w:r>
                  <w:r>
                    <w:rPr>
                      <w:spacing w:val="44"/>
                    </w:rPr>
                    <w:t xml:space="preserve"> </w:t>
                  </w:r>
                  <w:r>
                    <w:rPr>
                      <w:spacing w:val="-6"/>
                    </w:rPr>
                    <w:t>久</w:t>
                  </w:r>
                </w:p>
                <w:p w14:paraId="62474B5C">
                  <w:pPr>
                    <w:pStyle w:val="6"/>
                    <w:spacing w:line="220" w:lineRule="auto"/>
                    <w:ind w:left="87"/>
                  </w:pPr>
                  <w:r>
                    <w:rPr>
                      <w:spacing w:val="-6"/>
                    </w:rPr>
                    <w:t>性</w:t>
                  </w:r>
                  <w:r>
                    <w:rPr>
                      <w:spacing w:val="41"/>
                    </w:rPr>
                    <w:t xml:space="preserve"> </w:t>
                  </w:r>
                  <w:r>
                    <w:rPr>
                      <w:spacing w:val="-6"/>
                    </w:rPr>
                    <w:t>有</w:t>
                  </w:r>
                </w:p>
                <w:p w14:paraId="7324064B">
                  <w:pPr>
                    <w:pStyle w:val="6"/>
                    <w:spacing w:before="15" w:line="219" w:lineRule="auto"/>
                    <w:ind w:left="148"/>
                  </w:pPr>
                  <w:r>
                    <w:rPr>
                      <w:spacing w:val="-2"/>
                    </w:rPr>
                    <w:t>机污</w:t>
                  </w:r>
                </w:p>
                <w:p w14:paraId="726CAB98">
                  <w:pPr>
                    <w:pStyle w:val="6"/>
                    <w:spacing w:before="10" w:line="197" w:lineRule="auto"/>
                    <w:ind w:left="148"/>
                  </w:pPr>
                  <w:r>
                    <w:rPr>
                      <w:spacing w:val="5"/>
                    </w:rPr>
                    <w:t>染物</w:t>
                  </w:r>
                </w:p>
              </w:tc>
              <w:tc>
                <w:tcPr>
                  <w:tcW w:w="789" w:type="dxa"/>
                  <w:vAlign w:val="top"/>
                </w:tcPr>
                <w:p w14:paraId="390C1F18">
                  <w:pPr>
                    <w:pStyle w:val="6"/>
                    <w:spacing w:before="21" w:line="191" w:lineRule="auto"/>
                    <w:ind w:left="98"/>
                  </w:pPr>
                  <w:r>
                    <w:t>年</w:t>
                  </w:r>
                </w:p>
              </w:tc>
              <w:tc>
                <w:tcPr>
                  <w:tcW w:w="1154" w:type="dxa"/>
                  <w:vMerge w:val="restart"/>
                  <w:tcBorders>
                    <w:bottom w:val="nil"/>
                  </w:tcBorders>
                  <w:vAlign w:val="top"/>
                </w:tcPr>
                <w:p w14:paraId="5D55B585">
                  <w:pPr>
                    <w:pStyle w:val="6"/>
                    <w:spacing w:before="29" w:line="229" w:lineRule="auto"/>
                    <w:ind w:left="129" w:right="108"/>
                    <w:jc w:val="both"/>
                  </w:pPr>
                  <w:r>
                    <w:rPr>
                      <w:spacing w:val="-2"/>
                    </w:rPr>
                    <w:t>废变压器</w:t>
                  </w:r>
                  <w:r>
                    <w:t xml:space="preserve"> </w:t>
                  </w:r>
                  <w:r>
                    <w:rPr>
                      <w:spacing w:val="6"/>
                    </w:rPr>
                    <w:t>油及废旧</w:t>
                  </w:r>
                  <w:r>
                    <w:t xml:space="preserve"> </w:t>
                  </w:r>
                  <w:r>
                    <w:rPr>
                      <w:spacing w:val="-3"/>
                    </w:rPr>
                    <w:t>铅蓄电池</w:t>
                  </w:r>
                  <w:r>
                    <w:rPr>
                      <w:spacing w:val="2"/>
                    </w:rPr>
                    <w:t xml:space="preserve"> 收集后分</w:t>
                  </w:r>
                </w:p>
                <w:p w14:paraId="345AEE18">
                  <w:pPr>
                    <w:pStyle w:val="6"/>
                    <w:spacing w:line="219" w:lineRule="auto"/>
                    <w:ind w:left="129"/>
                  </w:pPr>
                  <w:r>
                    <w:rPr>
                      <w:spacing w:val="3"/>
                    </w:rPr>
                    <w:t>区暂存项</w:t>
                  </w:r>
                </w:p>
                <w:p w14:paraId="48850B5D">
                  <w:pPr>
                    <w:pStyle w:val="6"/>
                    <w:spacing w:before="19" w:line="209" w:lineRule="auto"/>
                    <w:ind w:left="129"/>
                  </w:pPr>
                  <w:r>
                    <w:rPr>
                      <w:spacing w:val="2"/>
                    </w:rPr>
                    <w:t>目危险废</w:t>
                  </w:r>
                </w:p>
                <w:p w14:paraId="5809FA14">
                  <w:pPr>
                    <w:pStyle w:val="6"/>
                    <w:spacing w:line="219" w:lineRule="auto"/>
                    <w:ind w:left="129"/>
                  </w:pPr>
                  <w:r>
                    <w:rPr>
                      <w:spacing w:val="5"/>
                    </w:rPr>
                    <w:t>物暂存间</w:t>
                  </w:r>
                </w:p>
                <w:p w14:paraId="76EA9ACC">
                  <w:pPr>
                    <w:pStyle w:val="6"/>
                    <w:spacing w:before="19" w:line="220" w:lineRule="auto"/>
                    <w:ind w:left="129"/>
                  </w:pPr>
                  <w:r>
                    <w:rPr>
                      <w:spacing w:val="2"/>
                    </w:rPr>
                    <w:t>后委托有</w:t>
                  </w:r>
                </w:p>
                <w:p w14:paraId="34275AB4">
                  <w:pPr>
                    <w:pStyle w:val="6"/>
                    <w:spacing w:before="8" w:line="203" w:lineRule="auto"/>
                    <w:ind w:left="119" w:right="124" w:firstLine="10"/>
                  </w:pPr>
                  <w:r>
                    <w:rPr>
                      <w:spacing w:val="2"/>
                    </w:rPr>
                    <w:t>资质的单</w:t>
                  </w:r>
                  <w:r>
                    <w:t xml:space="preserve"> </w:t>
                  </w:r>
                  <w:r>
                    <w:rPr>
                      <w:spacing w:val="-1"/>
                    </w:rPr>
                    <w:t>位处置。</w:t>
                  </w:r>
                </w:p>
              </w:tc>
            </w:tr>
            <w:tr w14:paraId="1D3E7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14" w:type="dxa"/>
                  <w:vAlign w:val="top"/>
                </w:tcPr>
                <w:p w14:paraId="6439244D">
                  <w:pPr>
                    <w:pStyle w:val="6"/>
                    <w:spacing w:before="43" w:line="241" w:lineRule="auto"/>
                    <w:ind w:left="65"/>
                  </w:pPr>
                  <w:r>
                    <w:t>2</w:t>
                  </w:r>
                </w:p>
              </w:tc>
              <w:tc>
                <w:tcPr>
                  <w:tcW w:w="689" w:type="dxa"/>
                  <w:vMerge w:val="continue"/>
                  <w:tcBorders>
                    <w:top w:val="nil"/>
                  </w:tcBorders>
                  <w:vAlign w:val="top"/>
                </w:tcPr>
                <w:p w14:paraId="3BDBA835">
                  <w:pPr>
                    <w:rPr>
                      <w:rFonts w:ascii="Arial"/>
                      <w:sz w:val="21"/>
                    </w:rPr>
                  </w:pPr>
                </w:p>
              </w:tc>
              <w:tc>
                <w:tcPr>
                  <w:tcW w:w="709" w:type="dxa"/>
                  <w:vMerge w:val="continue"/>
                  <w:tcBorders>
                    <w:top w:val="nil"/>
                    <w:bottom w:val="nil"/>
                  </w:tcBorders>
                  <w:vAlign w:val="top"/>
                </w:tcPr>
                <w:p w14:paraId="5E585439">
                  <w:pPr>
                    <w:rPr>
                      <w:rFonts w:ascii="Arial"/>
                      <w:sz w:val="21"/>
                    </w:rPr>
                  </w:pPr>
                </w:p>
              </w:tc>
              <w:tc>
                <w:tcPr>
                  <w:tcW w:w="719" w:type="dxa"/>
                  <w:vMerge w:val="continue"/>
                  <w:tcBorders>
                    <w:top w:val="nil"/>
                  </w:tcBorders>
                  <w:vAlign w:val="top"/>
                </w:tcPr>
                <w:p w14:paraId="05E53E1B">
                  <w:pPr>
                    <w:rPr>
                      <w:rFonts w:ascii="Arial"/>
                      <w:sz w:val="21"/>
                    </w:rPr>
                  </w:pPr>
                </w:p>
              </w:tc>
              <w:tc>
                <w:tcPr>
                  <w:tcW w:w="709" w:type="dxa"/>
                  <w:vAlign w:val="top"/>
                </w:tcPr>
                <w:p w14:paraId="03BDA7FE">
                  <w:pPr>
                    <w:pStyle w:val="6"/>
                    <w:spacing w:before="43" w:line="239" w:lineRule="auto"/>
                    <w:ind w:left="74"/>
                  </w:pPr>
                  <w:r>
                    <w:rPr>
                      <w:spacing w:val="-4"/>
                    </w:rPr>
                    <w:t>15.42</w:t>
                  </w:r>
                </w:p>
              </w:tc>
              <w:tc>
                <w:tcPr>
                  <w:tcW w:w="869" w:type="dxa"/>
                  <w:vAlign w:val="top"/>
                </w:tcPr>
                <w:p w14:paraId="2B16BEB1">
                  <w:pPr>
                    <w:pStyle w:val="6"/>
                    <w:spacing w:before="42" w:line="220" w:lineRule="auto"/>
                    <w:ind w:left="94"/>
                  </w:pPr>
                  <w:r>
                    <w:rPr>
                      <w:spacing w:val="3"/>
                    </w:rPr>
                    <w:t>箱变事</w:t>
                  </w:r>
                </w:p>
                <w:p w14:paraId="5802C301">
                  <w:pPr>
                    <w:pStyle w:val="6"/>
                    <w:spacing w:before="2" w:line="210" w:lineRule="auto"/>
                    <w:ind w:left="94" w:right="91"/>
                  </w:pPr>
                  <w:r>
                    <w:rPr>
                      <w:spacing w:val="4"/>
                    </w:rPr>
                    <w:t>故和主</w:t>
                  </w:r>
                  <w:r>
                    <w:t xml:space="preserve"> </w:t>
                  </w:r>
                  <w:r>
                    <w:rPr>
                      <w:spacing w:val="-2"/>
                    </w:rPr>
                    <w:t>变事故</w:t>
                  </w:r>
                </w:p>
              </w:tc>
              <w:tc>
                <w:tcPr>
                  <w:tcW w:w="609" w:type="dxa"/>
                  <w:vMerge w:val="continue"/>
                  <w:tcBorders>
                    <w:top w:val="nil"/>
                  </w:tcBorders>
                  <w:textDirection w:val="tbRlV"/>
                  <w:vAlign w:val="top"/>
                </w:tcPr>
                <w:p w14:paraId="3F4631CF">
                  <w:pPr>
                    <w:rPr>
                      <w:rFonts w:ascii="Arial"/>
                      <w:sz w:val="21"/>
                    </w:rPr>
                  </w:pPr>
                </w:p>
              </w:tc>
              <w:tc>
                <w:tcPr>
                  <w:tcW w:w="749" w:type="dxa"/>
                  <w:vMerge w:val="continue"/>
                  <w:tcBorders>
                    <w:top w:val="nil"/>
                  </w:tcBorders>
                  <w:vAlign w:val="top"/>
                </w:tcPr>
                <w:p w14:paraId="79D13ADA">
                  <w:pPr>
                    <w:rPr>
                      <w:rFonts w:ascii="Arial"/>
                      <w:sz w:val="21"/>
                    </w:rPr>
                  </w:pPr>
                </w:p>
              </w:tc>
              <w:tc>
                <w:tcPr>
                  <w:tcW w:w="739" w:type="dxa"/>
                  <w:vMerge w:val="continue"/>
                  <w:tcBorders>
                    <w:top w:val="nil"/>
                  </w:tcBorders>
                  <w:vAlign w:val="top"/>
                </w:tcPr>
                <w:p w14:paraId="2034E8F0">
                  <w:pPr>
                    <w:rPr>
                      <w:rFonts w:ascii="Arial"/>
                      <w:sz w:val="21"/>
                    </w:rPr>
                  </w:pPr>
                </w:p>
              </w:tc>
              <w:tc>
                <w:tcPr>
                  <w:tcW w:w="789" w:type="dxa"/>
                  <w:vAlign w:val="top"/>
                </w:tcPr>
                <w:p w14:paraId="13C0E8C4">
                  <w:pPr>
                    <w:pStyle w:val="6"/>
                    <w:spacing w:before="42" w:line="229" w:lineRule="auto"/>
                    <w:ind w:left="98" w:right="45"/>
                  </w:pPr>
                  <w:r>
                    <w:rPr>
                      <w:spacing w:val="-13"/>
                    </w:rPr>
                    <w:t>不</w:t>
                  </w:r>
                  <w:r>
                    <w:t xml:space="preserve">  </w:t>
                  </w:r>
                  <w:r>
                    <w:rPr>
                      <w:spacing w:val="-13"/>
                    </w:rPr>
                    <w:t>定</w:t>
                  </w:r>
                  <w:r>
                    <w:t xml:space="preserve"> 期</w:t>
                  </w:r>
                </w:p>
              </w:tc>
              <w:tc>
                <w:tcPr>
                  <w:tcW w:w="1154" w:type="dxa"/>
                  <w:vMerge w:val="continue"/>
                  <w:tcBorders>
                    <w:top w:val="nil"/>
                    <w:bottom w:val="nil"/>
                  </w:tcBorders>
                  <w:vAlign w:val="top"/>
                </w:tcPr>
                <w:p w14:paraId="54F6D541">
                  <w:pPr>
                    <w:rPr>
                      <w:rFonts w:ascii="Arial"/>
                      <w:sz w:val="21"/>
                    </w:rPr>
                  </w:pPr>
                </w:p>
              </w:tc>
            </w:tr>
            <w:tr w14:paraId="4D734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0" w:hRule="atLeast"/>
              </w:trPr>
              <w:tc>
                <w:tcPr>
                  <w:tcW w:w="514" w:type="dxa"/>
                  <w:vAlign w:val="top"/>
                </w:tcPr>
                <w:p w14:paraId="6943FE42">
                  <w:pPr>
                    <w:pStyle w:val="6"/>
                    <w:spacing w:before="56"/>
                    <w:ind w:left="65"/>
                  </w:pPr>
                  <w:r>
                    <w:t>3</w:t>
                  </w:r>
                </w:p>
              </w:tc>
              <w:tc>
                <w:tcPr>
                  <w:tcW w:w="689" w:type="dxa"/>
                  <w:vAlign w:val="top"/>
                </w:tcPr>
                <w:p w14:paraId="631D66AE">
                  <w:pPr>
                    <w:pStyle w:val="6"/>
                    <w:spacing w:before="45" w:line="220" w:lineRule="auto"/>
                    <w:ind w:left="110"/>
                  </w:pPr>
                  <w:r>
                    <w:rPr>
                      <w:spacing w:val="12"/>
                    </w:rPr>
                    <w:t>废旧</w:t>
                  </w:r>
                </w:p>
                <w:p w14:paraId="64444D1F">
                  <w:pPr>
                    <w:pStyle w:val="6"/>
                    <w:spacing w:before="7" w:line="219" w:lineRule="auto"/>
                    <w:ind w:left="110"/>
                  </w:pPr>
                  <w:r>
                    <w:rPr>
                      <w:spacing w:val="8"/>
                    </w:rPr>
                    <w:t>铅蓄</w:t>
                  </w:r>
                </w:p>
                <w:p w14:paraId="5EB038DC">
                  <w:pPr>
                    <w:pStyle w:val="6"/>
                    <w:spacing w:before="15" w:line="225" w:lineRule="auto"/>
                    <w:ind w:left="110"/>
                  </w:pPr>
                  <w:r>
                    <w:rPr>
                      <w:spacing w:val="5"/>
                    </w:rPr>
                    <w:t>电池</w:t>
                  </w:r>
                </w:p>
              </w:tc>
              <w:tc>
                <w:tcPr>
                  <w:tcW w:w="709" w:type="dxa"/>
                  <w:vMerge w:val="continue"/>
                  <w:tcBorders>
                    <w:top w:val="nil"/>
                  </w:tcBorders>
                  <w:vAlign w:val="top"/>
                </w:tcPr>
                <w:p w14:paraId="4A7698D9">
                  <w:pPr>
                    <w:rPr>
                      <w:rFonts w:ascii="Arial"/>
                      <w:sz w:val="21"/>
                    </w:rPr>
                  </w:pPr>
                </w:p>
              </w:tc>
              <w:tc>
                <w:tcPr>
                  <w:tcW w:w="719" w:type="dxa"/>
                  <w:vAlign w:val="top"/>
                </w:tcPr>
                <w:p w14:paraId="5EFC1868">
                  <w:pPr>
                    <w:pStyle w:val="6"/>
                    <w:spacing w:before="121" w:line="172" w:lineRule="auto"/>
                    <w:ind w:left="182"/>
                  </w:pPr>
                  <w:r>
                    <w:rPr>
                      <w:spacing w:val="-2"/>
                    </w:rPr>
                    <w:t>HW3</w:t>
                  </w:r>
                </w:p>
                <w:p w14:paraId="32135408">
                  <w:pPr>
                    <w:pStyle w:val="6"/>
                    <w:spacing w:line="193" w:lineRule="auto"/>
                    <w:ind w:left="92"/>
                  </w:pPr>
                  <w:r>
                    <w:t>1</w:t>
                  </w:r>
                </w:p>
                <w:p w14:paraId="525A511C">
                  <w:pPr>
                    <w:pStyle w:val="6"/>
                    <w:spacing w:line="193" w:lineRule="auto"/>
                    <w:ind w:left="72"/>
                  </w:pPr>
                  <w:r>
                    <w:rPr>
                      <w:spacing w:val="-2"/>
                    </w:rPr>
                    <w:t>900-0</w:t>
                  </w:r>
                </w:p>
                <w:p w14:paraId="75A0892C">
                  <w:pPr>
                    <w:pStyle w:val="6"/>
                    <w:spacing w:line="239" w:lineRule="auto"/>
                    <w:ind w:left="72"/>
                  </w:pPr>
                  <w:r>
                    <w:rPr>
                      <w:spacing w:val="-3"/>
                    </w:rPr>
                    <w:t>52-31</w:t>
                  </w:r>
                </w:p>
              </w:tc>
              <w:tc>
                <w:tcPr>
                  <w:tcW w:w="709" w:type="dxa"/>
                  <w:vAlign w:val="top"/>
                </w:tcPr>
                <w:p w14:paraId="51BD16B3">
                  <w:pPr>
                    <w:pStyle w:val="6"/>
                    <w:spacing w:before="45" w:line="219" w:lineRule="auto"/>
                    <w:ind w:left="74"/>
                  </w:pPr>
                  <w:r>
                    <w:rPr>
                      <w:spacing w:val="-2"/>
                    </w:rPr>
                    <w:t>2t/次</w:t>
                  </w:r>
                </w:p>
              </w:tc>
              <w:tc>
                <w:tcPr>
                  <w:tcW w:w="869" w:type="dxa"/>
                  <w:vAlign w:val="top"/>
                </w:tcPr>
                <w:p w14:paraId="3B12C9A9">
                  <w:pPr>
                    <w:pStyle w:val="6"/>
                    <w:spacing w:before="33" w:line="247" w:lineRule="auto"/>
                    <w:ind w:left="94" w:right="110"/>
                  </w:pPr>
                  <w:r>
                    <w:rPr>
                      <w:spacing w:val="-3"/>
                    </w:rPr>
                    <w:t>报废更</w:t>
                  </w:r>
                  <w:r>
                    <w:rPr>
                      <w:spacing w:val="1"/>
                    </w:rPr>
                    <w:t xml:space="preserve"> </w:t>
                  </w:r>
                  <w:r>
                    <w:t>换</w:t>
                  </w:r>
                </w:p>
              </w:tc>
              <w:tc>
                <w:tcPr>
                  <w:tcW w:w="609" w:type="dxa"/>
                  <w:textDirection w:val="tbRlV"/>
                  <w:vAlign w:val="top"/>
                </w:tcPr>
                <w:p w14:paraId="335C7736">
                  <w:pPr>
                    <w:pStyle w:val="6"/>
                    <w:spacing w:before="294" w:line="199" w:lineRule="auto"/>
                    <w:ind w:left="2"/>
                  </w:pPr>
                  <w:r>
                    <w:rPr>
                      <w:spacing w:val="11"/>
                    </w:rPr>
                    <w:t>固态</w:t>
                  </w:r>
                </w:p>
              </w:tc>
              <w:tc>
                <w:tcPr>
                  <w:tcW w:w="749" w:type="dxa"/>
                  <w:vAlign w:val="top"/>
                </w:tcPr>
                <w:p w14:paraId="36AE186C">
                  <w:pPr>
                    <w:pStyle w:val="6"/>
                    <w:spacing w:before="45" w:line="219" w:lineRule="auto"/>
                    <w:ind w:left="87"/>
                  </w:pPr>
                  <w:r>
                    <w:rPr>
                      <w:spacing w:val="-5"/>
                    </w:rPr>
                    <w:t>含</w:t>
                  </w:r>
                  <w:r>
                    <w:rPr>
                      <w:spacing w:val="37"/>
                    </w:rPr>
                    <w:t xml:space="preserve"> </w:t>
                  </w:r>
                  <w:r>
                    <w:rPr>
                      <w:spacing w:val="-5"/>
                    </w:rPr>
                    <w:t>铅</w:t>
                  </w:r>
                </w:p>
                <w:p w14:paraId="6A8A0E6C">
                  <w:pPr>
                    <w:pStyle w:val="6"/>
                    <w:spacing w:before="19" w:line="220" w:lineRule="auto"/>
                    <w:ind w:left="146"/>
                  </w:pPr>
                  <w:r>
                    <w:rPr>
                      <w:spacing w:val="-2"/>
                    </w:rPr>
                    <w:t>废物</w:t>
                  </w:r>
                </w:p>
              </w:tc>
              <w:tc>
                <w:tcPr>
                  <w:tcW w:w="739" w:type="dxa"/>
                  <w:vAlign w:val="top"/>
                </w:tcPr>
                <w:p w14:paraId="32DE6B7C">
                  <w:pPr>
                    <w:pStyle w:val="6"/>
                    <w:spacing w:before="45" w:line="220" w:lineRule="auto"/>
                    <w:ind w:left="87"/>
                  </w:pPr>
                  <w:r>
                    <w:rPr>
                      <w:spacing w:val="-4"/>
                    </w:rPr>
                    <w:t>废</w:t>
                  </w:r>
                  <w:r>
                    <w:rPr>
                      <w:spacing w:val="35"/>
                    </w:rPr>
                    <w:t xml:space="preserve"> </w:t>
                  </w:r>
                  <w:r>
                    <w:rPr>
                      <w:spacing w:val="-4"/>
                    </w:rPr>
                    <w:t>铅</w:t>
                  </w:r>
                </w:p>
                <w:p w14:paraId="4433A519">
                  <w:pPr>
                    <w:pStyle w:val="6"/>
                    <w:spacing w:before="15" w:line="219" w:lineRule="auto"/>
                    <w:jc w:val="right"/>
                  </w:pPr>
                  <w:r>
                    <w:rPr>
                      <w:spacing w:val="-21"/>
                    </w:rPr>
                    <w:t>板</w:t>
                  </w:r>
                  <w:r>
                    <w:rPr>
                      <w:spacing w:val="41"/>
                    </w:rPr>
                    <w:t xml:space="preserve"> </w:t>
                  </w:r>
                  <w:r>
                    <w:rPr>
                      <w:spacing w:val="-21"/>
                    </w:rPr>
                    <w:t>、</w:t>
                  </w:r>
                </w:p>
                <w:p w14:paraId="5E4F5548">
                  <w:pPr>
                    <w:pStyle w:val="6"/>
                    <w:spacing w:line="217" w:lineRule="auto"/>
                    <w:ind w:left="87"/>
                  </w:pPr>
                  <w:r>
                    <w:rPr>
                      <w:spacing w:val="-4"/>
                    </w:rPr>
                    <w:t>废</w:t>
                  </w:r>
                  <w:r>
                    <w:rPr>
                      <w:spacing w:val="35"/>
                    </w:rPr>
                    <w:t xml:space="preserve"> </w:t>
                  </w:r>
                  <w:r>
                    <w:rPr>
                      <w:spacing w:val="-4"/>
                    </w:rPr>
                    <w:t>铅</w:t>
                  </w:r>
                </w:p>
                <w:p w14:paraId="79EBF754">
                  <w:pPr>
                    <w:pStyle w:val="6"/>
                    <w:spacing w:before="1" w:line="218" w:lineRule="auto"/>
                    <w:ind w:left="148"/>
                  </w:pPr>
                  <w:r>
                    <w:rPr>
                      <w:spacing w:val="8"/>
                    </w:rPr>
                    <w:t>膏和</w:t>
                  </w:r>
                </w:p>
                <w:p w14:paraId="3A93E219">
                  <w:pPr>
                    <w:pStyle w:val="6"/>
                    <w:spacing w:before="21" w:line="220" w:lineRule="auto"/>
                    <w:ind w:left="148"/>
                  </w:pPr>
                  <w:r>
                    <w:rPr>
                      <w:spacing w:val="-3"/>
                    </w:rPr>
                    <w:t>酸液</w:t>
                  </w:r>
                </w:p>
              </w:tc>
              <w:tc>
                <w:tcPr>
                  <w:tcW w:w="789" w:type="dxa"/>
                  <w:vAlign w:val="top"/>
                </w:tcPr>
                <w:p w14:paraId="21489717">
                  <w:pPr>
                    <w:pStyle w:val="6"/>
                    <w:spacing w:before="45" w:line="231" w:lineRule="auto"/>
                    <w:ind w:left="98" w:right="112" w:hanging="10"/>
                    <w:jc w:val="both"/>
                  </w:pPr>
                  <w:r>
                    <w:rPr>
                      <w:spacing w:val="-2"/>
                    </w:rPr>
                    <w:t>4-5更</w:t>
                  </w:r>
                  <w:r>
                    <w:t xml:space="preserve"> </w:t>
                  </w:r>
                  <w:r>
                    <w:rPr>
                      <w:spacing w:val="-12"/>
                    </w:rPr>
                    <w:t>换</w:t>
                  </w:r>
                  <w:r>
                    <w:rPr>
                      <w:spacing w:val="40"/>
                    </w:rPr>
                    <w:t xml:space="preserve"> </w:t>
                  </w:r>
                  <w:r>
                    <w:rPr>
                      <w:spacing w:val="-12"/>
                      <w:position w:val="-2"/>
                    </w:rPr>
                    <w:t>一</w:t>
                  </w:r>
                  <w:r>
                    <w:rPr>
                      <w:position w:val="-2"/>
                    </w:rPr>
                    <w:t xml:space="preserve"> </w:t>
                  </w:r>
                  <w:r>
                    <w:t>组</w:t>
                  </w:r>
                </w:p>
              </w:tc>
              <w:tc>
                <w:tcPr>
                  <w:tcW w:w="1154" w:type="dxa"/>
                  <w:vMerge w:val="continue"/>
                  <w:tcBorders>
                    <w:top w:val="nil"/>
                  </w:tcBorders>
                  <w:vAlign w:val="top"/>
                </w:tcPr>
                <w:p w14:paraId="02DBA542">
                  <w:pPr>
                    <w:rPr>
                      <w:rFonts w:ascii="Arial"/>
                      <w:sz w:val="21"/>
                    </w:rPr>
                  </w:pPr>
                </w:p>
              </w:tc>
            </w:tr>
          </w:tbl>
          <w:p w14:paraId="34FE2666">
            <w:pPr>
              <w:pStyle w:val="6"/>
              <w:spacing w:before="51" w:line="219" w:lineRule="auto"/>
              <w:ind w:left="94"/>
              <w:rPr>
                <w:sz w:val="24"/>
                <w:szCs w:val="24"/>
              </w:rPr>
            </w:pPr>
            <w:r>
              <w:rPr>
                <w:b/>
                <w:bCs/>
                <w:spacing w:val="-5"/>
                <w:sz w:val="24"/>
                <w:szCs w:val="24"/>
              </w:rPr>
              <w:t>7光污染影响分析</w:t>
            </w:r>
          </w:p>
          <w:p w14:paraId="723EC147">
            <w:pPr>
              <w:pStyle w:val="6"/>
              <w:spacing w:before="186" w:line="220" w:lineRule="auto"/>
              <w:ind w:left="114"/>
              <w:rPr>
                <w:sz w:val="24"/>
                <w:szCs w:val="24"/>
              </w:rPr>
            </w:pPr>
            <w:r>
              <w:rPr>
                <w:b/>
                <w:bCs/>
                <w:spacing w:val="-4"/>
                <w:sz w:val="24"/>
                <w:szCs w:val="24"/>
              </w:rPr>
              <w:t>7.1对项目周边关心点的影响分析</w:t>
            </w:r>
          </w:p>
          <w:p w14:paraId="32DA3DB0">
            <w:pPr>
              <w:pStyle w:val="6"/>
              <w:spacing w:before="173" w:line="360" w:lineRule="auto"/>
              <w:ind w:left="21" w:firstLine="539"/>
              <w:jc w:val="both"/>
              <w:rPr>
                <w:sz w:val="24"/>
                <w:szCs w:val="24"/>
              </w:rPr>
            </w:pPr>
            <w:r>
              <w:rPr>
                <w:spacing w:val="-1"/>
                <w:sz w:val="24"/>
                <w:szCs w:val="24"/>
              </w:rPr>
              <w:t>项目的光污染，主要是指太阳能列阵中的太阳能光伏板在吸收太阳能的过程</w:t>
            </w:r>
            <w:r>
              <w:rPr>
                <w:spacing w:val="17"/>
                <w:sz w:val="24"/>
                <w:szCs w:val="24"/>
              </w:rPr>
              <w:t xml:space="preserve"> </w:t>
            </w:r>
            <w:r>
              <w:rPr>
                <w:spacing w:val="1"/>
                <w:sz w:val="24"/>
                <w:szCs w:val="24"/>
              </w:rPr>
              <w:t>中，会反射、折射太阳光，对周围的人可能产生的一定光污染。分析如下：项目</w:t>
            </w:r>
            <w:r>
              <w:rPr>
                <w:spacing w:val="7"/>
                <w:sz w:val="24"/>
                <w:szCs w:val="24"/>
              </w:rPr>
              <w:t xml:space="preserve"> </w:t>
            </w:r>
            <w:r>
              <w:rPr>
                <w:spacing w:val="1"/>
                <w:sz w:val="24"/>
                <w:szCs w:val="24"/>
              </w:rPr>
              <w:t>使用的太阳能电池组件为单晶硅电池组件，属于硅基太阳能</w:t>
            </w:r>
            <w:r>
              <w:rPr>
                <w:sz w:val="24"/>
                <w:szCs w:val="24"/>
              </w:rPr>
              <w:t>电池。单晶硅主要用 作太阳能电池的吸收层材料，是封装在两层光伏玻璃之间，电池本身并不向外辐</w:t>
            </w:r>
            <w:r>
              <w:rPr>
                <w:spacing w:val="14"/>
                <w:sz w:val="24"/>
                <w:szCs w:val="24"/>
              </w:rPr>
              <w:t xml:space="preserve"> </w:t>
            </w:r>
            <w:r>
              <w:rPr>
                <w:spacing w:val="2"/>
                <w:sz w:val="24"/>
                <w:szCs w:val="24"/>
              </w:rPr>
              <w:t>射任何形式的光，电磁波未被吸收的太阳光中一</w:t>
            </w:r>
            <w:r>
              <w:rPr>
                <w:spacing w:val="1"/>
                <w:sz w:val="24"/>
                <w:szCs w:val="24"/>
              </w:rPr>
              <w:t>部分将被前面板玻璃反射回去，</w:t>
            </w:r>
            <w:r>
              <w:rPr>
                <w:sz w:val="24"/>
                <w:szCs w:val="24"/>
              </w:rPr>
              <w:t xml:space="preserve"> 面板玻璃为普通的特种钢化玻璃；另一部分将穿透前面板、硅材料吸收层和背面</w:t>
            </w:r>
            <w:r>
              <w:rPr>
                <w:spacing w:val="7"/>
                <w:sz w:val="24"/>
                <w:szCs w:val="24"/>
              </w:rPr>
              <w:t xml:space="preserve"> </w:t>
            </w:r>
            <w:r>
              <w:rPr>
                <w:sz w:val="24"/>
                <w:szCs w:val="24"/>
              </w:rPr>
              <w:t>板玻璃，就如同穿透普通玻璃一般，没有任何变化。本工程采用的光伏组件最外</w:t>
            </w:r>
            <w:r>
              <w:rPr>
                <w:spacing w:val="12"/>
                <w:sz w:val="24"/>
                <w:szCs w:val="24"/>
              </w:rPr>
              <w:t xml:space="preserve"> </w:t>
            </w:r>
            <w:r>
              <w:rPr>
                <w:spacing w:val="2"/>
                <w:sz w:val="24"/>
                <w:szCs w:val="24"/>
              </w:rPr>
              <w:t>层均为特种钢化玻璃，这种钢化玻璃的透光率极高，达95%以上。</w:t>
            </w:r>
          </w:p>
          <w:p w14:paraId="4985CB47">
            <w:pPr>
              <w:pStyle w:val="6"/>
              <w:spacing w:line="361" w:lineRule="auto"/>
              <w:ind w:left="101" w:firstLine="479"/>
              <w:rPr>
                <w:sz w:val="24"/>
                <w:szCs w:val="24"/>
              </w:rPr>
            </w:pPr>
            <w:r>
              <w:rPr>
                <w:spacing w:val="-1"/>
                <w:sz w:val="24"/>
                <w:szCs w:val="24"/>
              </w:rPr>
              <w:t>单晶硅电池一般呈深色，在制作中具有减反射的设计，目的是减少入射光的</w:t>
            </w:r>
            <w:r>
              <w:rPr>
                <w:spacing w:val="10"/>
                <w:sz w:val="24"/>
                <w:szCs w:val="24"/>
              </w:rPr>
              <w:t xml:space="preserve"> </w:t>
            </w:r>
            <w:r>
              <w:rPr>
                <w:spacing w:val="-1"/>
                <w:sz w:val="24"/>
                <w:szCs w:val="24"/>
              </w:rPr>
              <w:t>反射，增加光的吸收，提高光电转换效率。主要包括以下几点：</w:t>
            </w:r>
          </w:p>
          <w:p w14:paraId="0B034939">
            <w:pPr>
              <w:pStyle w:val="6"/>
              <w:spacing w:before="2" w:line="311" w:lineRule="auto"/>
              <w:ind w:left="21" w:firstLine="679"/>
              <w:rPr>
                <w:sz w:val="24"/>
                <w:szCs w:val="24"/>
              </w:rPr>
            </w:pPr>
            <w:r>
              <w:rPr>
                <w:sz w:val="24"/>
                <w:szCs w:val="24"/>
              </w:rPr>
              <w:t>(1)光的反射问题对于太阳能电池板来说是一个非常重要的因素，过多的</w:t>
            </w:r>
            <w:r>
              <w:rPr>
                <w:spacing w:val="8"/>
                <w:sz w:val="24"/>
                <w:szCs w:val="24"/>
              </w:rPr>
              <w:t xml:space="preserve">  </w:t>
            </w:r>
            <w:r>
              <w:rPr>
                <w:sz w:val="24"/>
                <w:szCs w:val="24"/>
              </w:rPr>
              <w:t>光反射会造成整体效率的降低以及对人体的伤害，因此在晶体硅电池板的制作过</w:t>
            </w:r>
            <w:r>
              <w:rPr>
                <w:spacing w:val="6"/>
                <w:sz w:val="24"/>
                <w:szCs w:val="24"/>
              </w:rPr>
              <w:t xml:space="preserve"> </w:t>
            </w:r>
            <w:r>
              <w:rPr>
                <w:spacing w:val="2"/>
                <w:sz w:val="24"/>
                <w:szCs w:val="24"/>
              </w:rPr>
              <w:t>程中会采用一些先进的技术来降低硅片对太阳光</w:t>
            </w:r>
            <w:r>
              <w:rPr>
                <w:spacing w:val="1"/>
                <w:sz w:val="24"/>
                <w:szCs w:val="24"/>
              </w:rPr>
              <w:t>的反射，尤其是可见光的反射。</w:t>
            </w:r>
          </w:p>
          <w:p w14:paraId="248CC5F6">
            <w:pPr>
              <w:pStyle w:val="6"/>
              <w:spacing w:before="203" w:line="216" w:lineRule="auto"/>
              <w:ind w:left="701"/>
              <w:rPr>
                <w:sz w:val="24"/>
                <w:szCs w:val="24"/>
              </w:rPr>
            </w:pPr>
            <w:r>
              <w:rPr>
                <w:sz w:val="24"/>
                <w:szCs w:val="24"/>
              </w:rPr>
              <w:t>(2)晶体硅电池板对太阳光谱吸收的波长范围是0.4um-1.1um,可见光波</w:t>
            </w:r>
          </w:p>
          <w:p w14:paraId="65A98589">
            <w:pPr>
              <w:pStyle w:val="6"/>
              <w:spacing w:before="181" w:line="324" w:lineRule="auto"/>
              <w:ind w:left="21" w:right="46" w:firstLine="60"/>
              <w:rPr>
                <w:sz w:val="24"/>
                <w:szCs w:val="24"/>
              </w:rPr>
            </w:pPr>
            <w:r>
              <w:rPr>
                <w:spacing w:val="1"/>
                <w:sz w:val="24"/>
                <w:szCs w:val="24"/>
              </w:rPr>
              <w:t>长范围是0.39</w:t>
            </w:r>
            <w:r>
              <w:rPr>
                <w:sz w:val="24"/>
                <w:szCs w:val="24"/>
              </w:rPr>
              <w:t>um</w:t>
            </w:r>
            <w:r>
              <w:rPr>
                <w:spacing w:val="1"/>
                <w:sz w:val="24"/>
                <w:szCs w:val="24"/>
              </w:rPr>
              <w:t>-0.78</w:t>
            </w:r>
            <w:r>
              <w:rPr>
                <w:sz w:val="24"/>
                <w:szCs w:val="24"/>
              </w:rPr>
              <w:t>um</w:t>
            </w:r>
            <w:r>
              <w:rPr>
                <w:spacing w:val="1"/>
                <w:sz w:val="24"/>
                <w:szCs w:val="24"/>
              </w:rPr>
              <w:t>。晶体硅电池一般利用硅切</w:t>
            </w:r>
            <w:r>
              <w:rPr>
                <w:sz w:val="24"/>
                <w:szCs w:val="24"/>
              </w:rPr>
              <w:t xml:space="preserve">片，由于在硅片切割过程中 </w:t>
            </w:r>
            <w:r>
              <w:rPr>
                <w:spacing w:val="5"/>
                <w:sz w:val="24"/>
                <w:szCs w:val="24"/>
              </w:rPr>
              <w:t>刀片的作用，使得硅片表面有一层10-20</w:t>
            </w:r>
            <w:r>
              <w:rPr>
                <w:sz w:val="24"/>
                <w:szCs w:val="24"/>
              </w:rPr>
              <w:t>um</w:t>
            </w:r>
            <w:r>
              <w:rPr>
                <w:spacing w:val="5"/>
                <w:sz w:val="24"/>
                <w:szCs w:val="24"/>
              </w:rPr>
              <w:t>的损伤层，在太阳能电池制造时首</w:t>
            </w:r>
            <w:r>
              <w:rPr>
                <w:spacing w:val="8"/>
                <w:sz w:val="24"/>
                <w:szCs w:val="24"/>
              </w:rPr>
              <w:t xml:space="preserve">  </w:t>
            </w:r>
            <w:r>
              <w:rPr>
                <w:sz w:val="24"/>
                <w:szCs w:val="24"/>
              </w:rPr>
              <w:t>先需要利用化学腐蚀将损伤层去除，使得硅片表面得到抛光，而抛光后的硅片表</w:t>
            </w:r>
            <w:r>
              <w:rPr>
                <w:spacing w:val="10"/>
                <w:sz w:val="24"/>
                <w:szCs w:val="24"/>
              </w:rPr>
              <w:t xml:space="preserve"> </w:t>
            </w:r>
            <w:r>
              <w:rPr>
                <w:spacing w:val="6"/>
                <w:sz w:val="24"/>
                <w:szCs w:val="24"/>
              </w:rPr>
              <w:t>面对可见光的反射约为30%。在抛光结束后</w:t>
            </w:r>
            <w:r>
              <w:rPr>
                <w:spacing w:val="5"/>
                <w:sz w:val="24"/>
                <w:szCs w:val="24"/>
              </w:rPr>
              <w:t>，会采用制绒过程，即选用化学腐</w:t>
            </w:r>
          </w:p>
        </w:tc>
      </w:tr>
    </w:tbl>
    <w:p w14:paraId="761DC65F">
      <w:pPr>
        <w:pStyle w:val="2"/>
      </w:pPr>
    </w:p>
    <w:p w14:paraId="48EEC8E4">
      <w:pPr>
        <w:sectPr>
          <w:footerReference r:id="rId177" w:type="default"/>
          <w:pgSz w:w="11910" w:h="16830"/>
          <w:pgMar w:top="400" w:right="1291" w:bottom="1259" w:left="1244" w:header="0" w:footer="1079" w:gutter="0"/>
          <w:cols w:space="720" w:num="1"/>
        </w:sectPr>
      </w:pPr>
    </w:p>
    <w:p w14:paraId="7EBF61A2">
      <w:pPr>
        <w:spacing w:before="15"/>
      </w:pPr>
    </w:p>
    <w:p w14:paraId="25F71EBA">
      <w:pPr>
        <w:spacing w:before="15"/>
      </w:pPr>
    </w:p>
    <w:p w14:paraId="26A3D1A2">
      <w:pPr>
        <w:spacing w:before="15"/>
      </w:pPr>
    </w:p>
    <w:p w14:paraId="24B32BA1">
      <w:pPr>
        <w:spacing w:before="14"/>
      </w:pPr>
    </w:p>
    <w:tbl>
      <w:tblPr>
        <w:tblStyle w:val="5"/>
        <w:tblW w:w="94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8516"/>
      </w:tblGrid>
      <w:tr w14:paraId="1ED07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69" w:hRule="atLeast"/>
        </w:trPr>
        <w:tc>
          <w:tcPr>
            <w:tcW w:w="884" w:type="dxa"/>
            <w:vAlign w:val="top"/>
          </w:tcPr>
          <w:p w14:paraId="28952D78">
            <w:pPr>
              <w:rPr>
                <w:rFonts w:ascii="Arial"/>
                <w:sz w:val="21"/>
              </w:rPr>
            </w:pPr>
          </w:p>
        </w:tc>
        <w:tc>
          <w:tcPr>
            <w:tcW w:w="8516" w:type="dxa"/>
            <w:vAlign w:val="top"/>
          </w:tcPr>
          <w:p w14:paraId="5951C364">
            <w:pPr>
              <w:pStyle w:val="6"/>
              <w:spacing w:before="33" w:line="219" w:lineRule="auto"/>
              <w:ind w:left="51"/>
              <w:rPr>
                <w:sz w:val="24"/>
                <w:szCs w:val="24"/>
              </w:rPr>
            </w:pPr>
            <w:r>
              <w:rPr>
                <w:sz w:val="24"/>
                <w:szCs w:val="24"/>
              </w:rPr>
              <w:t>蚀剂在硅片表面形成金字塔结构，成为绒面结构，又称表面结构化。这种结构比</w:t>
            </w:r>
          </w:p>
          <w:p w14:paraId="3005A0DD">
            <w:pPr>
              <w:pStyle w:val="6"/>
              <w:spacing w:before="174" w:line="360" w:lineRule="auto"/>
              <w:ind w:left="11" w:firstLine="157"/>
              <w:rPr>
                <w:sz w:val="24"/>
                <w:szCs w:val="24"/>
              </w:rPr>
            </w:pPr>
            <w:r>
              <w:rPr>
                <w:spacing w:val="-4"/>
                <w:sz w:val="24"/>
                <w:szCs w:val="24"/>
              </w:rPr>
              <w:t>平整的抛光的硅片表面具有更好的减反射效果，能够更好的吸收和利用太阳光</w:t>
            </w:r>
            <w:r>
              <w:rPr>
                <w:spacing w:val="5"/>
                <w:sz w:val="24"/>
                <w:szCs w:val="24"/>
              </w:rPr>
              <w:t xml:space="preserve">   </w:t>
            </w:r>
            <w:r>
              <w:rPr>
                <w:spacing w:val="-4"/>
                <w:sz w:val="24"/>
                <w:szCs w:val="24"/>
              </w:rPr>
              <w:t>线。如果光线照射在金字塔绒面结构上，反射的光会进一步照射在相邻的绒</w:t>
            </w:r>
            <w:r>
              <w:rPr>
                <w:spacing w:val="-5"/>
                <w:sz w:val="24"/>
                <w:szCs w:val="24"/>
              </w:rPr>
              <w:t>面上，</w:t>
            </w:r>
            <w:r>
              <w:rPr>
                <w:sz w:val="24"/>
                <w:szCs w:val="24"/>
              </w:rPr>
              <w:t xml:space="preserve"> </w:t>
            </w:r>
            <w:r>
              <w:rPr>
                <w:spacing w:val="-2"/>
                <w:sz w:val="24"/>
                <w:szCs w:val="24"/>
              </w:rPr>
              <w:t>减少了太阳光反射；同时，光线斜射入晶体硅，增</w:t>
            </w:r>
            <w:r>
              <w:rPr>
                <w:spacing w:val="-3"/>
                <w:sz w:val="24"/>
                <w:szCs w:val="24"/>
              </w:rPr>
              <w:t>加了太阳光在硅片内部的有效</w:t>
            </w:r>
            <w:r>
              <w:rPr>
                <w:sz w:val="24"/>
                <w:szCs w:val="24"/>
              </w:rPr>
              <w:t xml:space="preserve">  </w:t>
            </w:r>
            <w:r>
              <w:rPr>
                <w:spacing w:val="1"/>
                <w:sz w:val="24"/>
                <w:szCs w:val="24"/>
              </w:rPr>
              <w:t>运动长度，也就是增加了光线被吸收的机会。</w:t>
            </w:r>
          </w:p>
          <w:p w14:paraId="46FFE271">
            <w:pPr>
              <w:pStyle w:val="6"/>
              <w:spacing w:before="9" w:line="356" w:lineRule="auto"/>
              <w:ind w:left="121" w:right="325" w:firstLine="609"/>
              <w:rPr>
                <w:sz w:val="24"/>
                <w:szCs w:val="24"/>
              </w:rPr>
            </w:pPr>
            <w:r>
              <w:rPr>
                <w:sz w:val="24"/>
                <w:szCs w:val="24"/>
              </w:rPr>
              <w:t>(3)通过绒面处理后的硅片太阳能电池对可见光(0.39um-0.78um)的反射</w:t>
            </w:r>
            <w:r>
              <w:rPr>
                <w:spacing w:val="8"/>
                <w:sz w:val="24"/>
                <w:szCs w:val="24"/>
              </w:rPr>
              <w:t xml:space="preserve"> </w:t>
            </w:r>
            <w:r>
              <w:rPr>
                <w:sz w:val="24"/>
                <w:szCs w:val="24"/>
              </w:rPr>
              <w:t>率约为30%。晶体硅太阳能电池的绒面结构可以减少硅片表面的太阳光反</w:t>
            </w:r>
            <w:r>
              <w:rPr>
                <w:spacing w:val="-1"/>
                <w:sz w:val="24"/>
                <w:szCs w:val="24"/>
              </w:rPr>
              <w:t>射，</w:t>
            </w:r>
          </w:p>
          <w:p w14:paraId="00961446">
            <w:pPr>
              <w:pStyle w:val="6"/>
              <w:spacing w:before="15" w:line="219" w:lineRule="auto"/>
              <w:ind w:left="171"/>
              <w:rPr>
                <w:sz w:val="24"/>
                <w:szCs w:val="24"/>
              </w:rPr>
            </w:pPr>
            <w:r>
              <w:rPr>
                <w:spacing w:val="2"/>
                <w:sz w:val="24"/>
                <w:szCs w:val="24"/>
              </w:rPr>
              <w:t>增加电池对光的吸收。除此之外，在硅片表</w:t>
            </w:r>
            <w:r>
              <w:rPr>
                <w:spacing w:val="1"/>
                <w:sz w:val="24"/>
                <w:szCs w:val="24"/>
              </w:rPr>
              <w:t>面增加一层减反射层(</w:t>
            </w:r>
            <w:r>
              <w:rPr>
                <w:sz w:val="24"/>
                <w:szCs w:val="24"/>
              </w:rPr>
              <w:t>TiO</w:t>
            </w:r>
            <w:r>
              <w:rPr>
                <w:spacing w:val="1"/>
                <w:sz w:val="24"/>
                <w:szCs w:val="24"/>
              </w:rPr>
              <w:t>2或</w:t>
            </w:r>
            <w:r>
              <w:rPr>
                <w:sz w:val="24"/>
                <w:szCs w:val="24"/>
              </w:rPr>
              <w:t>SiNx</w:t>
            </w:r>
            <w:r>
              <w:rPr>
                <w:spacing w:val="1"/>
                <w:sz w:val="24"/>
                <w:szCs w:val="24"/>
              </w:rPr>
              <w:t>)</w:t>
            </w:r>
          </w:p>
          <w:p w14:paraId="08D78AA4">
            <w:pPr>
              <w:pStyle w:val="6"/>
              <w:spacing w:before="163" w:line="219" w:lineRule="auto"/>
              <w:ind w:left="51"/>
              <w:rPr>
                <w:sz w:val="24"/>
                <w:szCs w:val="24"/>
              </w:rPr>
            </w:pPr>
            <w:r>
              <w:rPr>
                <w:sz w:val="24"/>
                <w:szCs w:val="24"/>
              </w:rPr>
              <w:t>也是一种有效减少太阳能反射的方法，也成为防反射膜的基本原理是利用光在减</w:t>
            </w:r>
          </w:p>
          <w:p w14:paraId="6D7104F2">
            <w:pPr>
              <w:pStyle w:val="6"/>
              <w:spacing w:before="185" w:line="219" w:lineRule="auto"/>
              <w:jc w:val="right"/>
              <w:rPr>
                <w:sz w:val="24"/>
                <w:szCs w:val="24"/>
              </w:rPr>
            </w:pPr>
            <w:r>
              <w:rPr>
                <w:spacing w:val="-7"/>
                <w:sz w:val="24"/>
                <w:szCs w:val="24"/>
              </w:rPr>
              <w:t>反射膜上下表面反射所产生的光程差，使得两束</w:t>
            </w:r>
            <w:r>
              <w:rPr>
                <w:spacing w:val="-8"/>
                <w:sz w:val="24"/>
                <w:szCs w:val="24"/>
              </w:rPr>
              <w:t>反射光干涉相消，从而减弱反射，</w:t>
            </w:r>
          </w:p>
          <w:p w14:paraId="4BE3B1D7">
            <w:pPr>
              <w:pStyle w:val="6"/>
              <w:spacing w:before="185" w:line="219" w:lineRule="auto"/>
              <w:ind w:left="51"/>
              <w:rPr>
                <w:sz w:val="24"/>
                <w:szCs w:val="24"/>
              </w:rPr>
            </w:pPr>
            <w:r>
              <w:rPr>
                <w:sz w:val="24"/>
                <w:szCs w:val="24"/>
              </w:rPr>
              <w:t>增加透射。由此可见项目使用的单晶硅电池组件是经过制绒和防反射镀膜的工艺</w:t>
            </w:r>
          </w:p>
          <w:p w14:paraId="1BFC2E95">
            <w:pPr>
              <w:pStyle w:val="6"/>
              <w:spacing w:before="174" w:line="216" w:lineRule="auto"/>
              <w:ind w:left="231"/>
              <w:rPr>
                <w:sz w:val="24"/>
                <w:szCs w:val="24"/>
              </w:rPr>
            </w:pPr>
            <w:r>
              <w:rPr>
                <w:sz w:val="24"/>
                <w:szCs w:val="24"/>
              </w:rPr>
              <w:t>过程后的晶体硅太阳能电池，晶体硅对可见光的反射率小于5%,不会对周围环</w:t>
            </w:r>
          </w:p>
          <w:p w14:paraId="44366B95">
            <w:pPr>
              <w:pStyle w:val="6"/>
              <w:spacing w:before="203" w:line="219" w:lineRule="auto"/>
              <w:ind w:left="51"/>
              <w:rPr>
                <w:sz w:val="24"/>
                <w:szCs w:val="24"/>
              </w:rPr>
            </w:pPr>
            <w:r>
              <w:rPr>
                <w:sz w:val="24"/>
                <w:szCs w:val="24"/>
              </w:rPr>
              <w:t>境及人员造成光污染。且生产厂家为降低反射，对太</w:t>
            </w:r>
            <w:r>
              <w:rPr>
                <w:spacing w:val="-1"/>
                <w:sz w:val="24"/>
                <w:szCs w:val="24"/>
              </w:rPr>
              <w:t>阳能电池表面涂覆有防反射</w:t>
            </w:r>
          </w:p>
          <w:p w14:paraId="06D07C35">
            <w:pPr>
              <w:pStyle w:val="6"/>
              <w:spacing w:before="173" w:line="219" w:lineRule="auto"/>
              <w:ind w:left="51"/>
              <w:rPr>
                <w:sz w:val="24"/>
                <w:szCs w:val="24"/>
              </w:rPr>
            </w:pPr>
            <w:r>
              <w:rPr>
                <w:sz w:val="24"/>
                <w:szCs w:val="24"/>
              </w:rPr>
              <w:t>涂层，同时封装玻璃表面已经过防反射处理，因此太阳能光伏组件对阳光的反射</w:t>
            </w:r>
          </w:p>
          <w:p w14:paraId="4CB39166">
            <w:pPr>
              <w:pStyle w:val="6"/>
              <w:spacing w:before="176" w:line="219" w:lineRule="auto"/>
              <w:jc w:val="right"/>
              <w:rPr>
                <w:sz w:val="24"/>
                <w:szCs w:val="24"/>
              </w:rPr>
            </w:pPr>
            <w:r>
              <w:rPr>
                <w:sz w:val="24"/>
                <w:szCs w:val="24"/>
              </w:rPr>
              <w:t>以散射为主，其总反射率远低于玻璃幕栏，无眩光，产生光污染</w:t>
            </w:r>
            <w:r>
              <w:rPr>
                <w:spacing w:val="-1"/>
                <w:sz w:val="24"/>
                <w:szCs w:val="24"/>
              </w:rPr>
              <w:t>的可能性较小。</w:t>
            </w:r>
          </w:p>
          <w:p w14:paraId="42DD90FB">
            <w:pPr>
              <w:pStyle w:val="6"/>
              <w:spacing w:before="185" w:line="219" w:lineRule="auto"/>
              <w:ind w:left="591"/>
              <w:rPr>
                <w:sz w:val="24"/>
                <w:szCs w:val="24"/>
              </w:rPr>
            </w:pPr>
            <w:r>
              <w:rPr>
                <w:spacing w:val="-1"/>
                <w:sz w:val="24"/>
                <w:szCs w:val="24"/>
              </w:rPr>
              <w:t>下表4-25列出几种不同情况的反射率。</w:t>
            </w:r>
          </w:p>
          <w:p w14:paraId="476FBE18">
            <w:pPr>
              <w:pStyle w:val="6"/>
              <w:spacing w:before="172" w:line="213" w:lineRule="auto"/>
              <w:ind w:left="2694"/>
              <w:rPr>
                <w:sz w:val="24"/>
                <w:szCs w:val="24"/>
              </w:rPr>
            </w:pPr>
            <w:r>
              <w:rPr>
                <w:b/>
                <w:bCs/>
                <w:spacing w:val="-4"/>
                <w:sz w:val="24"/>
                <w:szCs w:val="24"/>
              </w:rPr>
              <w:t>表4-25几种不同情况的反射率</w:t>
            </w:r>
          </w:p>
          <w:p w14:paraId="7BF3723D">
            <w:pPr>
              <w:pStyle w:val="6"/>
              <w:spacing w:before="1" w:line="230" w:lineRule="auto"/>
              <w:ind w:left="4111"/>
              <w:rPr>
                <w:sz w:val="12"/>
                <w:szCs w:val="12"/>
              </w:rPr>
            </w:pPr>
            <w:r>
              <w:pict>
                <v:shape id="_x0000_s1127" o:spid="_x0000_s1127" o:spt="202" type="#_x0000_t202" style="position:absolute;left:0pt;margin-left:24.8pt;margin-top:2.65pt;height:54pt;width:365pt;z-index:251718656;mso-width-relative:page;mso-height-relative:page;" filled="f" stroked="f" coordsize="21600,21600">
                  <v:path/>
                  <v:fill on="f" focussize="0,0"/>
                  <v:stroke on="f"/>
                  <v:imagedata o:title=""/>
                  <o:lock v:ext="edit" aspectratio="f"/>
                  <v:textbox inset="0mm,0mm,0mm,0mm">
                    <w:txbxContent>
                      <w:p w14:paraId="5AACCAFA">
                        <w:pPr>
                          <w:spacing w:line="20" w:lineRule="exact"/>
                        </w:pPr>
                      </w:p>
                      <w:tbl>
                        <w:tblPr>
                          <w:tblStyle w:val="5"/>
                          <w:tblW w:w="7249"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3"/>
                          <w:gridCol w:w="1138"/>
                          <w:gridCol w:w="1338"/>
                          <w:gridCol w:w="1198"/>
                          <w:gridCol w:w="1248"/>
                          <w:gridCol w:w="964"/>
                        </w:tblGrid>
                        <w:tr w14:paraId="7D625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1363" w:type="dxa"/>
                              <w:vAlign w:val="top"/>
                            </w:tcPr>
                            <w:p w14:paraId="12C3D332">
                              <w:pPr>
                                <w:pStyle w:val="6"/>
                                <w:spacing w:before="32" w:line="193" w:lineRule="auto"/>
                                <w:ind w:left="474"/>
                                <w:rPr>
                                  <w:sz w:val="20"/>
                                  <w:szCs w:val="20"/>
                                </w:rPr>
                              </w:pPr>
                              <w:r>
                                <w:rPr>
                                  <w:spacing w:val="6"/>
                                  <w:sz w:val="20"/>
                                  <w:szCs w:val="20"/>
                                </w:rPr>
                                <w:t>类型</w:t>
                              </w:r>
                            </w:p>
                          </w:tc>
                          <w:tc>
                            <w:tcPr>
                              <w:tcW w:w="1138" w:type="dxa"/>
                              <w:vAlign w:val="top"/>
                            </w:tcPr>
                            <w:p w14:paraId="2BEA239E">
                              <w:pPr>
                                <w:pStyle w:val="6"/>
                                <w:spacing w:before="32" w:line="193" w:lineRule="auto"/>
                                <w:ind w:left="262"/>
                                <w:rPr>
                                  <w:sz w:val="20"/>
                                  <w:szCs w:val="20"/>
                                </w:rPr>
                              </w:pPr>
                              <w:r>
                                <w:rPr>
                                  <w:spacing w:val="-2"/>
                                  <w:sz w:val="20"/>
                                  <w:szCs w:val="20"/>
                                </w:rPr>
                                <w:t>反射率</w:t>
                              </w:r>
                            </w:p>
                          </w:tc>
                          <w:tc>
                            <w:tcPr>
                              <w:tcW w:w="1338" w:type="dxa"/>
                              <w:vAlign w:val="top"/>
                            </w:tcPr>
                            <w:p w14:paraId="7B02F924">
                              <w:pPr>
                                <w:pStyle w:val="6"/>
                                <w:spacing w:before="32" w:line="193" w:lineRule="auto"/>
                                <w:ind w:left="463"/>
                                <w:rPr>
                                  <w:sz w:val="20"/>
                                  <w:szCs w:val="20"/>
                                </w:rPr>
                              </w:pPr>
                              <w:r>
                                <w:rPr>
                                  <w:spacing w:val="6"/>
                                  <w:sz w:val="20"/>
                                  <w:szCs w:val="20"/>
                                </w:rPr>
                                <w:t>类型</w:t>
                              </w:r>
                            </w:p>
                          </w:tc>
                          <w:tc>
                            <w:tcPr>
                              <w:tcW w:w="1198" w:type="dxa"/>
                              <w:vAlign w:val="top"/>
                            </w:tcPr>
                            <w:p w14:paraId="55F697B2">
                              <w:pPr>
                                <w:pStyle w:val="6"/>
                                <w:spacing w:before="32" w:line="193" w:lineRule="auto"/>
                                <w:ind w:left="296"/>
                                <w:rPr>
                                  <w:sz w:val="20"/>
                                  <w:szCs w:val="20"/>
                                </w:rPr>
                              </w:pPr>
                              <w:r>
                                <w:rPr>
                                  <w:spacing w:val="-2"/>
                                  <w:sz w:val="20"/>
                                  <w:szCs w:val="20"/>
                                </w:rPr>
                                <w:t>反射率</w:t>
                              </w:r>
                            </w:p>
                          </w:tc>
                          <w:tc>
                            <w:tcPr>
                              <w:tcW w:w="1248" w:type="dxa"/>
                              <w:vAlign w:val="top"/>
                            </w:tcPr>
                            <w:p w14:paraId="5754BA91">
                              <w:pPr>
                                <w:pStyle w:val="6"/>
                                <w:spacing w:before="32" w:line="193" w:lineRule="auto"/>
                                <w:ind w:left="418"/>
                                <w:rPr>
                                  <w:sz w:val="20"/>
                                  <w:szCs w:val="20"/>
                                </w:rPr>
                              </w:pPr>
                              <w:r>
                                <w:rPr>
                                  <w:spacing w:val="6"/>
                                  <w:sz w:val="20"/>
                                  <w:szCs w:val="20"/>
                                </w:rPr>
                                <w:t>类型</w:t>
                              </w:r>
                            </w:p>
                          </w:tc>
                          <w:tc>
                            <w:tcPr>
                              <w:tcW w:w="964" w:type="dxa"/>
                              <w:vAlign w:val="top"/>
                            </w:tcPr>
                            <w:p w14:paraId="54FF7729">
                              <w:pPr>
                                <w:pStyle w:val="6"/>
                                <w:spacing w:before="32" w:line="193" w:lineRule="auto"/>
                                <w:ind w:left="179"/>
                                <w:rPr>
                                  <w:sz w:val="20"/>
                                  <w:szCs w:val="20"/>
                                </w:rPr>
                              </w:pPr>
                              <w:r>
                                <w:rPr>
                                  <w:spacing w:val="-3"/>
                                  <w:sz w:val="20"/>
                                  <w:szCs w:val="20"/>
                                </w:rPr>
                                <w:t>反</w:t>
                              </w:r>
                              <w:r>
                                <w:rPr>
                                  <w:color w:val="202040"/>
                                  <w:spacing w:val="-3"/>
                                  <w:sz w:val="20"/>
                                  <w:szCs w:val="20"/>
                                </w:rPr>
                                <w:t>射</w:t>
                              </w:r>
                              <w:r>
                                <w:rPr>
                                  <w:spacing w:val="-3"/>
                                  <w:sz w:val="20"/>
                                  <w:szCs w:val="20"/>
                                </w:rPr>
                                <w:t>率</w:t>
                              </w:r>
                            </w:p>
                          </w:tc>
                        </w:tr>
                        <w:tr w14:paraId="30DF8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1363" w:type="dxa"/>
                              <w:vAlign w:val="top"/>
                            </w:tcPr>
                            <w:p w14:paraId="28DAE7AF">
                              <w:pPr>
                                <w:pStyle w:val="6"/>
                                <w:spacing w:before="31" w:line="199" w:lineRule="auto"/>
                                <w:ind w:left="474"/>
                                <w:rPr>
                                  <w:sz w:val="20"/>
                                  <w:szCs w:val="20"/>
                                </w:rPr>
                              </w:pPr>
                              <w:r>
                                <w:rPr>
                                  <w:spacing w:val="6"/>
                                  <w:sz w:val="20"/>
                                  <w:szCs w:val="20"/>
                                </w:rPr>
                                <w:t>积雪</w:t>
                              </w:r>
                            </w:p>
                          </w:tc>
                          <w:tc>
                            <w:tcPr>
                              <w:tcW w:w="1138" w:type="dxa"/>
                              <w:vAlign w:val="top"/>
                            </w:tcPr>
                            <w:p w14:paraId="029C657A">
                              <w:pPr>
                                <w:pStyle w:val="6"/>
                                <w:spacing w:before="50" w:line="181" w:lineRule="auto"/>
                                <w:ind w:left="312"/>
                                <w:rPr>
                                  <w:sz w:val="20"/>
                                  <w:szCs w:val="20"/>
                                </w:rPr>
                              </w:pPr>
                              <w:r>
                                <w:rPr>
                                  <w:spacing w:val="-3"/>
                                  <w:sz w:val="20"/>
                                  <w:szCs w:val="20"/>
                                </w:rPr>
                                <w:t>70-85</w:t>
                              </w:r>
                            </w:p>
                          </w:tc>
                          <w:tc>
                            <w:tcPr>
                              <w:tcW w:w="1338" w:type="dxa"/>
                              <w:vAlign w:val="top"/>
                            </w:tcPr>
                            <w:p w14:paraId="36FF127D">
                              <w:pPr>
                                <w:pStyle w:val="6"/>
                                <w:spacing w:before="31" w:line="199" w:lineRule="auto"/>
                                <w:ind w:left="264"/>
                                <w:rPr>
                                  <w:sz w:val="20"/>
                                  <w:szCs w:val="20"/>
                                </w:rPr>
                              </w:pPr>
                              <w:r>
                                <w:rPr>
                                  <w:spacing w:val="-3"/>
                                  <w:sz w:val="20"/>
                                  <w:szCs w:val="20"/>
                                </w:rPr>
                                <w:t>浅色草地</w:t>
                              </w:r>
                            </w:p>
                          </w:tc>
                          <w:tc>
                            <w:tcPr>
                              <w:tcW w:w="1198" w:type="dxa"/>
                              <w:vAlign w:val="top"/>
                            </w:tcPr>
                            <w:p w14:paraId="6E166ABF">
                              <w:pPr>
                                <w:pStyle w:val="6"/>
                                <w:spacing w:before="50" w:line="181" w:lineRule="auto"/>
                                <w:ind w:left="496"/>
                                <w:rPr>
                                  <w:sz w:val="20"/>
                                  <w:szCs w:val="20"/>
                                </w:rPr>
                              </w:pPr>
                              <w:r>
                                <w:rPr>
                                  <w:spacing w:val="-3"/>
                                  <w:sz w:val="20"/>
                                  <w:szCs w:val="20"/>
                                </w:rPr>
                                <w:t>25</w:t>
                              </w:r>
                            </w:p>
                          </w:tc>
                          <w:tc>
                            <w:tcPr>
                              <w:tcW w:w="1248" w:type="dxa"/>
                              <w:vAlign w:val="top"/>
                            </w:tcPr>
                            <w:p w14:paraId="0D14E52E">
                              <w:pPr>
                                <w:pStyle w:val="6"/>
                                <w:spacing w:before="32" w:line="198" w:lineRule="auto"/>
                                <w:ind w:left="218"/>
                                <w:rPr>
                                  <w:sz w:val="20"/>
                                  <w:szCs w:val="20"/>
                                </w:rPr>
                              </w:pPr>
                              <w:r>
                                <w:rPr>
                                  <w:spacing w:val="2"/>
                                  <w:sz w:val="20"/>
                                  <w:szCs w:val="20"/>
                                </w:rPr>
                                <w:t>浅色硬土</w:t>
                              </w:r>
                            </w:p>
                          </w:tc>
                          <w:tc>
                            <w:tcPr>
                              <w:tcW w:w="964" w:type="dxa"/>
                              <w:vAlign w:val="top"/>
                            </w:tcPr>
                            <w:p w14:paraId="777FE55C">
                              <w:pPr>
                                <w:pStyle w:val="6"/>
                                <w:spacing w:before="50" w:line="181" w:lineRule="auto"/>
                                <w:ind w:left="380"/>
                                <w:rPr>
                                  <w:sz w:val="20"/>
                                  <w:szCs w:val="20"/>
                                </w:rPr>
                              </w:pPr>
                              <w:r>
                                <w:rPr>
                                  <w:spacing w:val="-3"/>
                                  <w:sz w:val="20"/>
                                  <w:szCs w:val="20"/>
                                </w:rPr>
                                <w:t>35</w:t>
                              </w:r>
                            </w:p>
                          </w:tc>
                        </w:tr>
                        <w:tr w14:paraId="1C887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 w:hRule="atLeast"/>
                          </w:trPr>
                          <w:tc>
                            <w:tcPr>
                              <w:tcW w:w="1363" w:type="dxa"/>
                              <w:vAlign w:val="top"/>
                            </w:tcPr>
                            <w:p w14:paraId="10CF8FE4">
                              <w:pPr>
                                <w:pStyle w:val="6"/>
                                <w:spacing w:before="28" w:line="175" w:lineRule="auto"/>
                                <w:ind w:left="474"/>
                                <w:rPr>
                                  <w:sz w:val="20"/>
                                  <w:szCs w:val="20"/>
                                </w:rPr>
                              </w:pPr>
                              <w:r>
                                <w:rPr>
                                  <w:spacing w:val="-3"/>
                                  <w:sz w:val="20"/>
                                  <w:szCs w:val="20"/>
                                </w:rPr>
                                <w:t>沙地</w:t>
                              </w:r>
                            </w:p>
                          </w:tc>
                          <w:tc>
                            <w:tcPr>
                              <w:tcW w:w="1138" w:type="dxa"/>
                              <w:vAlign w:val="top"/>
                            </w:tcPr>
                            <w:p w14:paraId="1EC4A985">
                              <w:pPr>
                                <w:pStyle w:val="6"/>
                                <w:spacing w:before="44" w:line="160" w:lineRule="auto"/>
                                <w:ind w:left="312"/>
                                <w:rPr>
                                  <w:sz w:val="20"/>
                                  <w:szCs w:val="20"/>
                                </w:rPr>
                              </w:pPr>
                              <w:r>
                                <w:rPr>
                                  <w:spacing w:val="-3"/>
                                  <w:sz w:val="20"/>
                                  <w:szCs w:val="20"/>
                                </w:rPr>
                                <w:t>25-40</w:t>
                              </w:r>
                            </w:p>
                          </w:tc>
                          <w:tc>
                            <w:tcPr>
                              <w:tcW w:w="1338" w:type="dxa"/>
                              <w:vAlign w:val="top"/>
                            </w:tcPr>
                            <w:p w14:paraId="2DBF9982">
                              <w:pPr>
                                <w:pStyle w:val="6"/>
                                <w:spacing w:before="24" w:line="179" w:lineRule="auto"/>
                                <w:ind w:left="264"/>
                                <w:rPr>
                                  <w:sz w:val="20"/>
                                  <w:szCs w:val="20"/>
                                </w:rPr>
                              </w:pPr>
                              <w:r>
                                <w:rPr>
                                  <w:spacing w:val="-2"/>
                                  <w:sz w:val="20"/>
                                  <w:szCs w:val="20"/>
                                </w:rPr>
                                <w:t>落叶地面</w:t>
                              </w:r>
                            </w:p>
                          </w:tc>
                          <w:tc>
                            <w:tcPr>
                              <w:tcW w:w="1198" w:type="dxa"/>
                              <w:vAlign w:val="top"/>
                            </w:tcPr>
                            <w:p w14:paraId="61A7C2A8">
                              <w:pPr>
                                <w:pStyle w:val="6"/>
                                <w:spacing w:before="44" w:line="160" w:lineRule="auto"/>
                                <w:ind w:left="346"/>
                                <w:rPr>
                                  <w:sz w:val="20"/>
                                  <w:szCs w:val="20"/>
                                </w:rPr>
                              </w:pPr>
                              <w:r>
                                <w:rPr>
                                  <w:spacing w:val="-3"/>
                                  <w:sz w:val="20"/>
                                  <w:szCs w:val="20"/>
                                </w:rPr>
                                <w:t>33-38</w:t>
                              </w:r>
                            </w:p>
                          </w:tc>
                          <w:tc>
                            <w:tcPr>
                              <w:tcW w:w="1248" w:type="dxa"/>
                              <w:vAlign w:val="top"/>
                            </w:tcPr>
                            <w:p w14:paraId="7E62D62A">
                              <w:pPr>
                                <w:pStyle w:val="6"/>
                                <w:spacing w:before="25" w:line="178" w:lineRule="auto"/>
                                <w:ind w:left="218"/>
                                <w:rPr>
                                  <w:sz w:val="20"/>
                                  <w:szCs w:val="20"/>
                                </w:rPr>
                              </w:pPr>
                              <w:r>
                                <w:rPr>
                                  <w:spacing w:val="-2"/>
                                  <w:sz w:val="20"/>
                                  <w:szCs w:val="20"/>
                                </w:rPr>
                                <w:t>深色硬土</w:t>
                              </w:r>
                            </w:p>
                          </w:tc>
                          <w:tc>
                            <w:tcPr>
                              <w:tcW w:w="964" w:type="dxa"/>
                              <w:vAlign w:val="top"/>
                            </w:tcPr>
                            <w:p w14:paraId="069474BF">
                              <w:pPr>
                                <w:pStyle w:val="6"/>
                                <w:spacing w:before="44" w:line="160" w:lineRule="auto"/>
                                <w:ind w:left="380"/>
                                <w:rPr>
                                  <w:sz w:val="20"/>
                                  <w:szCs w:val="20"/>
                                </w:rPr>
                              </w:pPr>
                              <w:r>
                                <w:rPr>
                                  <w:spacing w:val="-6"/>
                                  <w:sz w:val="20"/>
                                  <w:szCs w:val="20"/>
                                </w:rPr>
                                <w:t>15</w:t>
                              </w:r>
                            </w:p>
                          </w:tc>
                        </w:tr>
                        <w:tr w14:paraId="5C123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1363" w:type="dxa"/>
                              <w:vAlign w:val="top"/>
                            </w:tcPr>
                            <w:p w14:paraId="130A3FF9">
                              <w:pPr>
                                <w:pStyle w:val="6"/>
                                <w:spacing w:before="36" w:line="190" w:lineRule="auto"/>
                                <w:ind w:left="375"/>
                                <w:rPr>
                                  <w:sz w:val="20"/>
                                  <w:szCs w:val="20"/>
                                </w:rPr>
                              </w:pPr>
                              <w:r>
                                <w:rPr>
                                  <w:spacing w:val="-3"/>
                                  <w:sz w:val="20"/>
                                  <w:szCs w:val="20"/>
                                </w:rPr>
                                <w:t>绿草地</w:t>
                              </w:r>
                            </w:p>
                          </w:tc>
                          <w:tc>
                            <w:tcPr>
                              <w:tcW w:w="1138" w:type="dxa"/>
                              <w:vAlign w:val="top"/>
                            </w:tcPr>
                            <w:p w14:paraId="0EBAA983">
                              <w:pPr>
                                <w:pStyle w:val="6"/>
                                <w:spacing w:before="55" w:line="172" w:lineRule="auto"/>
                                <w:ind w:left="312"/>
                                <w:rPr>
                                  <w:sz w:val="20"/>
                                  <w:szCs w:val="20"/>
                                </w:rPr>
                              </w:pPr>
                              <w:r>
                                <w:rPr>
                                  <w:spacing w:val="-5"/>
                                  <w:sz w:val="20"/>
                                  <w:szCs w:val="20"/>
                                </w:rPr>
                                <w:t>16-27</w:t>
                              </w:r>
                            </w:p>
                          </w:tc>
                          <w:tc>
                            <w:tcPr>
                              <w:tcW w:w="1338" w:type="dxa"/>
                              <w:vAlign w:val="top"/>
                            </w:tcPr>
                            <w:p w14:paraId="51F84297">
                              <w:pPr>
                                <w:pStyle w:val="6"/>
                                <w:spacing w:before="36" w:line="190" w:lineRule="auto"/>
                                <w:ind w:left="264"/>
                                <w:rPr>
                                  <w:sz w:val="20"/>
                                  <w:szCs w:val="20"/>
                                </w:rPr>
                              </w:pPr>
                              <w:r>
                                <w:rPr>
                                  <w:spacing w:val="-2"/>
                                  <w:sz w:val="20"/>
                                  <w:szCs w:val="20"/>
                                </w:rPr>
                                <w:t>松软地面</w:t>
                              </w:r>
                            </w:p>
                          </w:tc>
                          <w:tc>
                            <w:tcPr>
                              <w:tcW w:w="1198" w:type="dxa"/>
                              <w:vAlign w:val="top"/>
                            </w:tcPr>
                            <w:p w14:paraId="4C4B1349">
                              <w:pPr>
                                <w:pStyle w:val="6"/>
                                <w:spacing w:before="55" w:line="172" w:lineRule="auto"/>
                                <w:ind w:left="346"/>
                                <w:rPr>
                                  <w:sz w:val="20"/>
                                  <w:szCs w:val="20"/>
                                </w:rPr>
                              </w:pPr>
                              <w:r>
                                <w:rPr>
                                  <w:spacing w:val="-5"/>
                                  <w:sz w:val="20"/>
                                  <w:szCs w:val="20"/>
                                </w:rPr>
                                <w:t>12-20</w:t>
                              </w:r>
                            </w:p>
                          </w:tc>
                          <w:tc>
                            <w:tcPr>
                              <w:tcW w:w="1248" w:type="dxa"/>
                              <w:vAlign w:val="top"/>
                            </w:tcPr>
                            <w:p w14:paraId="30A92189">
                              <w:pPr>
                                <w:pStyle w:val="6"/>
                                <w:spacing w:before="36" w:line="190" w:lineRule="auto"/>
                                <w:ind w:left="218"/>
                                <w:rPr>
                                  <w:sz w:val="20"/>
                                  <w:szCs w:val="20"/>
                                </w:rPr>
                              </w:pPr>
                              <w:r>
                                <w:rPr>
                                  <w:spacing w:val="-2"/>
                                  <w:sz w:val="20"/>
                                  <w:szCs w:val="20"/>
                                </w:rPr>
                                <w:t>水泥地面</w:t>
                              </w:r>
                            </w:p>
                          </w:tc>
                          <w:tc>
                            <w:tcPr>
                              <w:tcW w:w="964" w:type="dxa"/>
                              <w:vAlign w:val="top"/>
                            </w:tcPr>
                            <w:p w14:paraId="4F3F8B15">
                              <w:pPr>
                                <w:pStyle w:val="6"/>
                                <w:spacing w:before="55" w:line="172" w:lineRule="auto"/>
                                <w:ind w:left="230"/>
                                <w:rPr>
                                  <w:sz w:val="20"/>
                                  <w:szCs w:val="20"/>
                                </w:rPr>
                              </w:pPr>
                              <w:r>
                                <w:rPr>
                                  <w:spacing w:val="-2"/>
                                  <w:sz w:val="20"/>
                                  <w:szCs w:val="20"/>
                                </w:rPr>
                                <w:t>3</w:t>
                              </w:r>
                              <w:r>
                                <w:rPr>
                                  <w:color w:val="000030"/>
                                  <w:spacing w:val="-2"/>
                                  <w:sz w:val="20"/>
                                  <w:szCs w:val="20"/>
                                </w:rPr>
                                <w:t>0-</w:t>
                              </w:r>
                              <w:r>
                                <w:rPr>
                                  <w:spacing w:val="-2"/>
                                  <w:sz w:val="20"/>
                                  <w:szCs w:val="20"/>
                                </w:rPr>
                                <w:t>4</w:t>
                              </w:r>
                              <w:r>
                                <w:rPr>
                                  <w:color w:val="502030"/>
                                  <w:spacing w:val="-2"/>
                                  <w:sz w:val="20"/>
                                  <w:szCs w:val="20"/>
                                </w:rPr>
                                <w:t>0</w:t>
                              </w:r>
                            </w:p>
                          </w:tc>
                        </w:tr>
                      </w:tbl>
                      <w:p w14:paraId="2CCBDB3A">
                        <w:pPr>
                          <w:rPr>
                            <w:rFonts w:ascii="Arial"/>
                            <w:sz w:val="21"/>
                          </w:rPr>
                        </w:pPr>
                      </w:p>
                    </w:txbxContent>
                  </v:textbox>
                </v:shape>
              </w:pict>
            </w:r>
            <w:r>
              <w:rPr>
                <w:color w:val="103060"/>
                <w:spacing w:val="-3"/>
                <w:sz w:val="12"/>
                <w:szCs w:val="12"/>
              </w:rPr>
              <w:t>1Iin</w:t>
            </w:r>
            <w:r>
              <w:rPr>
                <w:color w:val="103060"/>
                <w:spacing w:val="3"/>
                <w:sz w:val="12"/>
                <w:szCs w:val="12"/>
              </w:rPr>
              <w:t xml:space="preserve">              </w:t>
            </w:r>
            <w:r>
              <w:rPr>
                <w:spacing w:val="-3"/>
                <w:sz w:val="12"/>
                <w:szCs w:val="12"/>
              </w:rPr>
              <w:t>4</w:t>
            </w:r>
            <w:r>
              <w:rPr>
                <w:spacing w:val="-14"/>
                <w:sz w:val="12"/>
                <w:szCs w:val="12"/>
              </w:rPr>
              <w:t xml:space="preserve"> </w:t>
            </w:r>
            <w:r>
              <w:rPr>
                <w:spacing w:val="-3"/>
                <w:sz w:val="12"/>
                <w:szCs w:val="12"/>
              </w:rPr>
              <w:t>王</w:t>
            </w:r>
          </w:p>
          <w:p w14:paraId="200550C4">
            <w:pPr>
              <w:spacing w:line="280" w:lineRule="auto"/>
              <w:rPr>
                <w:rFonts w:ascii="Arial"/>
                <w:sz w:val="21"/>
              </w:rPr>
            </w:pPr>
          </w:p>
          <w:p w14:paraId="6602615C">
            <w:pPr>
              <w:spacing w:line="280" w:lineRule="auto"/>
              <w:rPr>
                <w:rFonts w:ascii="Arial"/>
                <w:sz w:val="21"/>
              </w:rPr>
            </w:pPr>
          </w:p>
          <w:p w14:paraId="420ACD9F">
            <w:pPr>
              <w:spacing w:line="280" w:lineRule="auto"/>
              <w:rPr>
                <w:rFonts w:ascii="Arial"/>
                <w:sz w:val="21"/>
              </w:rPr>
            </w:pPr>
          </w:p>
          <w:p w14:paraId="7992A793">
            <w:pPr>
              <w:spacing w:line="281" w:lineRule="auto"/>
              <w:rPr>
                <w:rFonts w:ascii="Arial"/>
                <w:sz w:val="21"/>
              </w:rPr>
            </w:pPr>
          </w:p>
          <w:p w14:paraId="20412632">
            <w:pPr>
              <w:pStyle w:val="6"/>
              <w:spacing w:before="78" w:line="357" w:lineRule="auto"/>
              <w:ind w:left="51" w:firstLine="549"/>
              <w:rPr>
                <w:sz w:val="24"/>
                <w:szCs w:val="24"/>
              </w:rPr>
            </w:pPr>
            <w:r>
              <w:rPr>
                <w:spacing w:val="-1"/>
                <w:sz w:val="24"/>
                <w:szCs w:val="24"/>
              </w:rPr>
              <w:t>经上表比较，项目太阳能电池板的反射率远小于草地、硬土、水泥地面等，</w:t>
            </w:r>
            <w:r>
              <w:rPr>
                <w:spacing w:val="17"/>
                <w:sz w:val="24"/>
                <w:szCs w:val="24"/>
              </w:rPr>
              <w:t xml:space="preserve"> </w:t>
            </w:r>
            <w:r>
              <w:rPr>
                <w:sz w:val="24"/>
                <w:szCs w:val="24"/>
              </w:rPr>
              <w:t>反射率很小。场区周围较为空旷，无高大建筑和设施。项目光伏区均布置于向阳</w:t>
            </w:r>
            <w:r>
              <w:rPr>
                <w:spacing w:val="10"/>
                <w:sz w:val="24"/>
                <w:szCs w:val="24"/>
              </w:rPr>
              <w:t xml:space="preserve"> </w:t>
            </w:r>
            <w:r>
              <w:rPr>
                <w:spacing w:val="6"/>
                <w:sz w:val="24"/>
                <w:szCs w:val="24"/>
              </w:rPr>
              <w:t>面(南面),固定支架组件采用25°为最佳倾角布置，柔性</w:t>
            </w:r>
            <w:r>
              <w:rPr>
                <w:spacing w:val="5"/>
                <w:sz w:val="24"/>
                <w:szCs w:val="24"/>
              </w:rPr>
              <w:t>支架组件采用15°</w:t>
            </w:r>
          </w:p>
          <w:p w14:paraId="4A83F1E1">
            <w:pPr>
              <w:pStyle w:val="6"/>
              <w:spacing w:before="7" w:line="356" w:lineRule="auto"/>
              <w:ind w:left="51" w:right="40"/>
              <w:rPr>
                <w:sz w:val="24"/>
                <w:szCs w:val="24"/>
              </w:rPr>
            </w:pPr>
            <w:r>
              <w:rPr>
                <w:sz w:val="24"/>
                <w:szCs w:val="24"/>
              </w:rPr>
              <w:t>倾角布置，不存在光伏面板正对居民点的情况，减弱了</w:t>
            </w:r>
            <w:r>
              <w:rPr>
                <w:spacing w:val="-1"/>
                <w:sz w:val="24"/>
                <w:szCs w:val="24"/>
              </w:rPr>
              <w:t>光线的反射，基本不会对</w:t>
            </w:r>
            <w:r>
              <w:rPr>
                <w:sz w:val="24"/>
                <w:szCs w:val="24"/>
              </w:rPr>
              <w:t xml:space="preserve"> 人的视觉以及飞机和动物的飞行产生不利影响，也不会对居民生活和地面交通产</w:t>
            </w:r>
            <w:r>
              <w:rPr>
                <w:spacing w:val="13"/>
                <w:sz w:val="24"/>
                <w:szCs w:val="24"/>
              </w:rPr>
              <w:t xml:space="preserve"> </w:t>
            </w:r>
            <w:r>
              <w:rPr>
                <w:spacing w:val="12"/>
                <w:sz w:val="24"/>
                <w:szCs w:val="24"/>
              </w:rPr>
              <w:t>生影响。</w:t>
            </w:r>
          </w:p>
          <w:p w14:paraId="620D3CB8">
            <w:pPr>
              <w:pStyle w:val="6"/>
              <w:spacing w:line="219" w:lineRule="auto"/>
              <w:ind w:left="104"/>
              <w:rPr>
                <w:sz w:val="24"/>
                <w:szCs w:val="24"/>
              </w:rPr>
            </w:pPr>
            <w:r>
              <w:rPr>
                <w:b/>
                <w:bCs/>
                <w:spacing w:val="-2"/>
                <w:sz w:val="24"/>
                <w:szCs w:val="24"/>
              </w:rPr>
              <w:t>7.2对G324福昆线及G78汕昆高速的影响</w:t>
            </w:r>
          </w:p>
          <w:p w14:paraId="27CBD621">
            <w:pPr>
              <w:pStyle w:val="6"/>
              <w:spacing w:before="189" w:line="336" w:lineRule="auto"/>
              <w:ind w:left="111" w:right="584" w:firstLine="479"/>
              <w:rPr>
                <w:sz w:val="24"/>
                <w:szCs w:val="24"/>
              </w:rPr>
            </w:pPr>
            <w:r>
              <w:rPr>
                <w:sz w:val="24"/>
                <w:szCs w:val="24"/>
              </w:rPr>
              <w:t>项目周边距离最近的主要道路为项目区周边的G324福昆线及G78汕昆高</w:t>
            </w:r>
            <w:r>
              <w:rPr>
                <w:spacing w:val="9"/>
                <w:sz w:val="24"/>
                <w:szCs w:val="24"/>
              </w:rPr>
              <w:t xml:space="preserve"> </w:t>
            </w:r>
            <w:r>
              <w:rPr>
                <w:sz w:val="24"/>
                <w:szCs w:val="24"/>
              </w:rPr>
              <w:t>速。项目光伏阵列与国道和高速公路的关系如下图所</w:t>
            </w:r>
            <w:r>
              <w:rPr>
                <w:spacing w:val="-1"/>
                <w:sz w:val="24"/>
                <w:szCs w:val="24"/>
              </w:rPr>
              <w:t>示。</w:t>
            </w:r>
          </w:p>
        </w:tc>
      </w:tr>
    </w:tbl>
    <w:p w14:paraId="5D99432E">
      <w:pPr>
        <w:pStyle w:val="2"/>
      </w:pPr>
    </w:p>
    <w:p w14:paraId="53EEB3AA">
      <w:pPr>
        <w:sectPr>
          <w:footerReference r:id="rId178" w:type="default"/>
          <w:pgSz w:w="11910" w:h="16830"/>
          <w:pgMar w:top="400" w:right="1264" w:bottom="1245" w:left="1234" w:header="0" w:footer="1083" w:gutter="0"/>
          <w:cols w:space="720" w:num="1"/>
        </w:sectPr>
      </w:pPr>
    </w:p>
    <w:p w14:paraId="5A5773AF">
      <w:pPr>
        <w:spacing w:before="15"/>
      </w:pPr>
    </w:p>
    <w:p w14:paraId="12244ACD">
      <w:pPr>
        <w:spacing w:before="15"/>
      </w:pPr>
    </w:p>
    <w:p w14:paraId="795EFF6B">
      <w:pPr>
        <w:spacing w:before="15"/>
      </w:pPr>
    </w:p>
    <w:p w14:paraId="1283FB4C">
      <w:pPr>
        <w:spacing w:before="14"/>
      </w:pPr>
    </w:p>
    <w:tbl>
      <w:tblPr>
        <w:tblStyle w:val="5"/>
        <w:tblW w:w="939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4"/>
        <w:gridCol w:w="8502"/>
      </w:tblGrid>
      <w:tr w14:paraId="112D3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1" w:hRule="atLeast"/>
        </w:trPr>
        <w:tc>
          <w:tcPr>
            <w:tcW w:w="894" w:type="dxa"/>
            <w:vMerge w:val="restart"/>
            <w:tcBorders>
              <w:bottom w:val="nil"/>
            </w:tcBorders>
            <w:vAlign w:val="top"/>
          </w:tcPr>
          <w:p w14:paraId="6A994A2A">
            <w:pPr>
              <w:rPr>
                <w:rFonts w:ascii="Arial"/>
                <w:sz w:val="21"/>
              </w:rPr>
            </w:pPr>
          </w:p>
        </w:tc>
        <w:tc>
          <w:tcPr>
            <w:tcW w:w="8502" w:type="dxa"/>
            <w:tcBorders>
              <w:bottom w:val="nil"/>
            </w:tcBorders>
            <w:vAlign w:val="top"/>
          </w:tcPr>
          <w:p w14:paraId="11544970">
            <w:pPr>
              <w:spacing w:line="257" w:lineRule="auto"/>
              <w:rPr>
                <w:rFonts w:ascii="Arial"/>
                <w:sz w:val="21"/>
              </w:rPr>
            </w:pPr>
          </w:p>
          <w:p w14:paraId="32F53DD9">
            <w:pPr>
              <w:spacing w:line="257" w:lineRule="auto"/>
              <w:rPr>
                <w:rFonts w:ascii="Arial"/>
                <w:sz w:val="21"/>
              </w:rPr>
            </w:pPr>
          </w:p>
          <w:p w14:paraId="1DDD1DAE">
            <w:pPr>
              <w:pStyle w:val="6"/>
              <w:spacing w:before="78" w:line="220" w:lineRule="auto"/>
              <w:ind w:left="3541"/>
              <w:rPr>
                <w:sz w:val="24"/>
                <w:szCs w:val="24"/>
              </w:rPr>
            </w:pPr>
            <w:r>
              <w:drawing>
                <wp:anchor distT="0" distB="0" distL="0" distR="0" simplePos="0" relativeHeight="251719680" behindDoc="1" locked="0" layoutInCell="1" allowOverlap="1">
                  <wp:simplePos x="0" y="0"/>
                  <wp:positionH relativeFrom="column">
                    <wp:posOffset>45085</wp:posOffset>
                  </wp:positionH>
                  <wp:positionV relativeFrom="paragraph">
                    <wp:posOffset>-312420</wp:posOffset>
                  </wp:positionV>
                  <wp:extent cx="5321300" cy="3105150"/>
                  <wp:effectExtent l="0" t="0" r="0" b="0"/>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322"/>
                          <a:stretch>
                            <a:fillRect/>
                          </a:stretch>
                        </pic:blipFill>
                        <pic:spPr>
                          <a:xfrm>
                            <a:off x="0" y="0"/>
                            <a:ext cx="5321296" cy="3105122"/>
                          </a:xfrm>
                          <a:prstGeom prst="rect">
                            <a:avLst/>
                          </a:prstGeom>
                        </pic:spPr>
                      </pic:pic>
                    </a:graphicData>
                  </a:graphic>
                </wp:anchor>
              </w:drawing>
            </w:r>
            <w:r>
              <w:rPr>
                <w:spacing w:val="5"/>
                <w:sz w:val="24"/>
                <w:szCs w:val="24"/>
              </w:rPr>
              <w:t>福昆线</w:t>
            </w:r>
          </w:p>
          <w:p w14:paraId="1577A300">
            <w:pPr>
              <w:spacing w:line="330" w:lineRule="auto"/>
              <w:rPr>
                <w:rFonts w:ascii="Arial"/>
                <w:sz w:val="21"/>
              </w:rPr>
            </w:pPr>
          </w:p>
          <w:p w14:paraId="3C631963">
            <w:pPr>
              <w:spacing w:line="331" w:lineRule="auto"/>
              <w:rPr>
                <w:rFonts w:ascii="Arial"/>
                <w:sz w:val="21"/>
              </w:rPr>
            </w:pPr>
          </w:p>
          <w:p w14:paraId="7A7C7D50">
            <w:pPr>
              <w:pStyle w:val="6"/>
              <w:spacing w:before="78" w:line="219" w:lineRule="auto"/>
              <w:ind w:left="6390"/>
              <w:rPr>
                <w:sz w:val="24"/>
                <w:szCs w:val="24"/>
              </w:rPr>
            </w:pPr>
            <w:r>
              <w:rPr>
                <w:spacing w:val="2"/>
                <w:sz w:val="24"/>
                <w:szCs w:val="24"/>
              </w:rPr>
              <w:t>汕昆高速</w:t>
            </w:r>
          </w:p>
          <w:p w14:paraId="0D7ED19A">
            <w:pPr>
              <w:spacing w:line="257" w:lineRule="auto"/>
              <w:rPr>
                <w:rFonts w:ascii="Arial"/>
                <w:sz w:val="21"/>
              </w:rPr>
            </w:pPr>
          </w:p>
          <w:p w14:paraId="1D5CA594">
            <w:pPr>
              <w:spacing w:line="257" w:lineRule="auto"/>
              <w:rPr>
                <w:rFonts w:ascii="Arial"/>
                <w:sz w:val="21"/>
              </w:rPr>
            </w:pPr>
          </w:p>
          <w:p w14:paraId="3F3624DD">
            <w:pPr>
              <w:spacing w:line="257" w:lineRule="auto"/>
              <w:rPr>
                <w:rFonts w:ascii="Arial"/>
                <w:sz w:val="21"/>
              </w:rPr>
            </w:pPr>
          </w:p>
          <w:p w14:paraId="6C92BF02">
            <w:pPr>
              <w:spacing w:line="257" w:lineRule="auto"/>
              <w:rPr>
                <w:rFonts w:ascii="Arial"/>
                <w:sz w:val="21"/>
              </w:rPr>
            </w:pPr>
          </w:p>
          <w:p w14:paraId="59E54323">
            <w:pPr>
              <w:spacing w:line="257" w:lineRule="auto"/>
              <w:rPr>
                <w:rFonts w:ascii="Arial"/>
                <w:sz w:val="21"/>
              </w:rPr>
            </w:pPr>
          </w:p>
          <w:p w14:paraId="3F0AE79D">
            <w:pPr>
              <w:spacing w:line="257" w:lineRule="auto"/>
              <w:rPr>
                <w:rFonts w:ascii="Arial"/>
                <w:sz w:val="21"/>
              </w:rPr>
            </w:pPr>
          </w:p>
          <w:p w14:paraId="638E62E7">
            <w:pPr>
              <w:spacing w:line="258" w:lineRule="auto"/>
              <w:rPr>
                <w:rFonts w:ascii="Arial"/>
                <w:sz w:val="21"/>
              </w:rPr>
            </w:pPr>
          </w:p>
          <w:p w14:paraId="1139C0C6">
            <w:pPr>
              <w:pStyle w:val="6"/>
              <w:spacing w:before="78" w:line="237" w:lineRule="auto"/>
              <w:jc w:val="right"/>
              <w:rPr>
                <w:sz w:val="17"/>
                <w:szCs w:val="17"/>
              </w:rPr>
            </w:pPr>
            <w:r>
              <w:rPr>
                <w:color w:val="F03000"/>
                <w:spacing w:val="-14"/>
                <w:position w:val="1"/>
                <w:sz w:val="24"/>
                <w:szCs w:val="24"/>
              </w:rPr>
              <w:t>9</w:t>
            </w:r>
            <w:r>
              <w:rPr>
                <w:color w:val="F03000"/>
                <w:spacing w:val="-45"/>
                <w:position w:val="1"/>
                <w:sz w:val="24"/>
                <w:szCs w:val="24"/>
              </w:rPr>
              <w:t xml:space="preserve"> </w:t>
            </w:r>
            <w:r>
              <w:rPr>
                <w:color w:val="E05060"/>
                <w:spacing w:val="-14"/>
                <w:sz w:val="17"/>
                <w:szCs w:val="17"/>
              </w:rPr>
              <w:t>00“</w:t>
            </w:r>
            <w:r>
              <w:rPr>
                <w:color w:val="E05060"/>
                <w:spacing w:val="-13"/>
                <w:sz w:val="17"/>
                <w:szCs w:val="17"/>
              </w:rPr>
              <w:t>813B³480%。2082410.</w:t>
            </w:r>
            <w:r>
              <w:rPr>
                <w:color w:val="E05060"/>
                <w:spacing w:val="-9"/>
                <w:sz w:val="17"/>
                <w:szCs w:val="17"/>
              </w:rPr>
              <w:t>0</w:t>
            </w:r>
          </w:p>
        </w:tc>
      </w:tr>
      <w:tr w14:paraId="5B7DC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8" w:hRule="atLeast"/>
        </w:trPr>
        <w:tc>
          <w:tcPr>
            <w:tcW w:w="894" w:type="dxa"/>
            <w:vMerge w:val="continue"/>
            <w:tcBorders>
              <w:top w:val="nil"/>
            </w:tcBorders>
            <w:vAlign w:val="top"/>
          </w:tcPr>
          <w:p w14:paraId="1BBC4ACD">
            <w:pPr>
              <w:rPr>
                <w:rFonts w:ascii="Arial"/>
                <w:sz w:val="21"/>
              </w:rPr>
            </w:pPr>
          </w:p>
        </w:tc>
        <w:tc>
          <w:tcPr>
            <w:tcW w:w="8502" w:type="dxa"/>
            <w:tcBorders>
              <w:top w:val="nil"/>
            </w:tcBorders>
            <w:vAlign w:val="top"/>
          </w:tcPr>
          <w:p w14:paraId="1244BB0C">
            <w:pPr>
              <w:pStyle w:val="6"/>
              <w:spacing w:before="178" w:line="219" w:lineRule="auto"/>
              <w:ind w:left="2114"/>
              <w:rPr>
                <w:sz w:val="24"/>
                <w:szCs w:val="24"/>
              </w:rPr>
            </w:pPr>
            <w:r>
              <w:rPr>
                <w:b/>
                <w:bCs/>
                <w:spacing w:val="-2"/>
                <w:sz w:val="24"/>
                <w:szCs w:val="24"/>
              </w:rPr>
              <w:t>图4-8项目光伏阵列与国道和高速公路的关系</w:t>
            </w:r>
          </w:p>
          <w:p w14:paraId="4E72E4B8">
            <w:pPr>
              <w:pStyle w:val="6"/>
              <w:spacing w:before="178" w:line="361" w:lineRule="auto"/>
              <w:ind w:left="111" w:firstLine="479"/>
              <w:rPr>
                <w:sz w:val="24"/>
                <w:szCs w:val="24"/>
              </w:rPr>
            </w:pPr>
            <w:r>
              <w:rPr>
                <w:spacing w:val="-1"/>
                <w:sz w:val="24"/>
                <w:szCs w:val="24"/>
              </w:rPr>
              <w:t>在项目所在区域内福昆线和汕昆高速的走向基本一致的，是属于东北向西南</w:t>
            </w:r>
            <w:r>
              <w:rPr>
                <w:spacing w:val="13"/>
                <w:sz w:val="24"/>
                <w:szCs w:val="24"/>
              </w:rPr>
              <w:t xml:space="preserve"> </w:t>
            </w:r>
            <w:r>
              <w:rPr>
                <w:sz w:val="24"/>
                <w:szCs w:val="24"/>
              </w:rPr>
              <w:t>走向，其中8#和11#光伏阵列位于福昆线和汕昆高速中间。项目光伏区均布置于</w:t>
            </w:r>
            <w:r>
              <w:rPr>
                <w:spacing w:val="2"/>
                <w:sz w:val="24"/>
                <w:szCs w:val="24"/>
              </w:rPr>
              <w:t xml:space="preserve"> </w:t>
            </w:r>
            <w:r>
              <w:rPr>
                <w:sz w:val="24"/>
                <w:szCs w:val="24"/>
              </w:rPr>
              <w:t>向阳面(南面),固定支架组件采用25°为最佳倾角布置，柔性支架组件采用</w:t>
            </w:r>
          </w:p>
          <w:p w14:paraId="717CFF44">
            <w:pPr>
              <w:pStyle w:val="6"/>
              <w:spacing w:before="1" w:line="356" w:lineRule="auto"/>
              <w:ind w:left="101" w:right="178" w:firstLine="20"/>
              <w:rPr>
                <w:sz w:val="24"/>
                <w:szCs w:val="24"/>
              </w:rPr>
            </w:pPr>
            <w:r>
              <w:rPr>
                <w:spacing w:val="1"/>
                <w:sz w:val="24"/>
                <w:szCs w:val="24"/>
              </w:rPr>
              <w:t>15°倾角布置，故14#至24#光伏板布设均位于福昆线和汕昆高</w:t>
            </w:r>
            <w:r>
              <w:rPr>
                <w:sz w:val="24"/>
                <w:szCs w:val="24"/>
              </w:rPr>
              <w:t xml:space="preserve">速背面，驾驶员 </w:t>
            </w:r>
            <w:r>
              <w:rPr>
                <w:spacing w:val="-1"/>
                <w:sz w:val="24"/>
                <w:szCs w:val="24"/>
              </w:rPr>
              <w:t>不会正面对向光伏阵列。</w:t>
            </w:r>
          </w:p>
          <w:p w14:paraId="2EFFE9F2">
            <w:pPr>
              <w:pStyle w:val="6"/>
              <w:spacing w:before="17" w:line="359" w:lineRule="auto"/>
              <w:ind w:left="91" w:right="90" w:firstLine="499"/>
              <w:rPr>
                <w:sz w:val="24"/>
                <w:szCs w:val="24"/>
              </w:rPr>
            </w:pPr>
            <w:r>
              <w:rPr>
                <w:sz w:val="24"/>
                <w:szCs w:val="24"/>
              </w:rPr>
              <w:t>1#至13#光伏阵列位于福昆线和汕昆高速的北侧和西北侧，福昆线和汕昆高</w:t>
            </w:r>
            <w:r>
              <w:rPr>
                <w:spacing w:val="9"/>
                <w:sz w:val="24"/>
                <w:szCs w:val="24"/>
              </w:rPr>
              <w:t xml:space="preserve"> </w:t>
            </w:r>
            <w:r>
              <w:rPr>
                <w:spacing w:val="1"/>
                <w:sz w:val="24"/>
                <w:szCs w:val="24"/>
              </w:rPr>
              <w:t>速在1#至13#光伏阵列附近为东西走向和东北向西南走向，故1#至13#光伏阵列</w:t>
            </w:r>
            <w:r>
              <w:rPr>
                <w:sz w:val="24"/>
                <w:szCs w:val="24"/>
              </w:rPr>
              <w:t xml:space="preserve">  </w:t>
            </w:r>
            <w:r>
              <w:rPr>
                <w:spacing w:val="1"/>
                <w:sz w:val="24"/>
                <w:szCs w:val="24"/>
              </w:rPr>
              <w:t>南向布设光伏板不会对福昆线和汕昆高速东西走向和东北向西南</w:t>
            </w:r>
            <w:r>
              <w:rPr>
                <w:sz w:val="24"/>
                <w:szCs w:val="24"/>
              </w:rPr>
              <w:t>走向双车道造  成影响。</w:t>
            </w:r>
          </w:p>
          <w:p w14:paraId="62E01242">
            <w:pPr>
              <w:pStyle w:val="6"/>
              <w:spacing w:line="220" w:lineRule="auto"/>
              <w:ind w:left="74"/>
              <w:rPr>
                <w:sz w:val="24"/>
                <w:szCs w:val="24"/>
              </w:rPr>
            </w:pPr>
            <w:r>
              <w:rPr>
                <w:b/>
                <w:bCs/>
                <w:spacing w:val="-4"/>
                <w:sz w:val="24"/>
                <w:szCs w:val="24"/>
              </w:rPr>
              <w:t>8电磁环境影响分析</w:t>
            </w:r>
          </w:p>
          <w:p w14:paraId="78882AB6">
            <w:pPr>
              <w:pStyle w:val="6"/>
              <w:spacing w:before="175" w:line="358" w:lineRule="auto"/>
              <w:ind w:left="71" w:firstLine="499"/>
              <w:rPr>
                <w:sz w:val="24"/>
                <w:szCs w:val="24"/>
              </w:rPr>
            </w:pPr>
            <w:r>
              <w:rPr>
                <w:sz w:val="24"/>
                <w:szCs w:val="24"/>
              </w:rPr>
              <w:t xml:space="preserve">本次评价采用类比分析方法，预测升压站运行后工频电磁场对周围环境的影 </w:t>
            </w:r>
            <w:r>
              <w:rPr>
                <w:spacing w:val="-11"/>
                <w:sz w:val="24"/>
                <w:szCs w:val="24"/>
              </w:rPr>
              <w:t>响</w:t>
            </w:r>
            <w:r>
              <w:rPr>
                <w:spacing w:val="-64"/>
                <w:sz w:val="24"/>
                <w:szCs w:val="24"/>
              </w:rPr>
              <w:t xml:space="preserve"> </w:t>
            </w:r>
            <w:r>
              <w:rPr>
                <w:spacing w:val="-11"/>
                <w:sz w:val="24"/>
                <w:szCs w:val="24"/>
              </w:rPr>
              <w:t>。</w:t>
            </w:r>
          </w:p>
          <w:p w14:paraId="0BA76246">
            <w:pPr>
              <w:pStyle w:val="6"/>
              <w:spacing w:before="1" w:line="365" w:lineRule="auto"/>
              <w:ind w:left="111" w:right="10" w:firstLine="459"/>
              <w:rPr>
                <w:sz w:val="24"/>
                <w:szCs w:val="24"/>
              </w:rPr>
            </w:pPr>
            <w:r>
              <w:rPr>
                <w:sz w:val="24"/>
                <w:szCs w:val="24"/>
              </w:rPr>
              <w:t>根据电磁辐射现状监测结果，本项目拟建升压站场</w:t>
            </w:r>
            <w:r>
              <w:rPr>
                <w:spacing w:val="-1"/>
                <w:sz w:val="24"/>
                <w:szCs w:val="24"/>
              </w:rPr>
              <w:t>址区域工频电场、工频磁</w:t>
            </w:r>
            <w:r>
              <w:rPr>
                <w:sz w:val="24"/>
                <w:szCs w:val="24"/>
              </w:rPr>
              <w:t xml:space="preserve"> </w:t>
            </w:r>
            <w:r>
              <w:rPr>
                <w:spacing w:val="1"/>
                <w:sz w:val="24"/>
                <w:szCs w:val="24"/>
              </w:rPr>
              <w:t>场均满足《电磁环境控制限值》(</w:t>
            </w:r>
            <w:r>
              <w:rPr>
                <w:sz w:val="24"/>
                <w:szCs w:val="24"/>
              </w:rPr>
              <w:t>GB</w:t>
            </w:r>
            <w:r>
              <w:rPr>
                <w:spacing w:val="1"/>
                <w:sz w:val="24"/>
                <w:szCs w:val="24"/>
              </w:rPr>
              <w:t>8702</w:t>
            </w:r>
            <w:r>
              <w:rPr>
                <w:sz w:val="24"/>
                <w:szCs w:val="24"/>
              </w:rPr>
              <w:t>-2014)中工频电场强度公众曝露控制</w:t>
            </w:r>
          </w:p>
          <w:p w14:paraId="1C99206D">
            <w:pPr>
              <w:pStyle w:val="6"/>
              <w:spacing w:before="1" w:line="219" w:lineRule="auto"/>
              <w:ind w:left="101"/>
              <w:rPr>
                <w:sz w:val="24"/>
                <w:szCs w:val="24"/>
              </w:rPr>
            </w:pPr>
            <w:r>
              <w:rPr>
                <w:sz w:val="24"/>
                <w:szCs w:val="24"/>
              </w:rPr>
              <w:t>限值4kV/m和工频磁感应强度公众曝露控制限值100μT的要</w:t>
            </w:r>
            <w:r>
              <w:rPr>
                <w:spacing w:val="-1"/>
                <w:sz w:val="24"/>
                <w:szCs w:val="24"/>
              </w:rPr>
              <w:t>求。</w:t>
            </w:r>
          </w:p>
          <w:p w14:paraId="56095A13">
            <w:pPr>
              <w:pStyle w:val="6"/>
              <w:spacing w:before="165" w:line="340" w:lineRule="auto"/>
              <w:ind w:left="91" w:right="360" w:firstLine="489"/>
              <w:rPr>
                <w:sz w:val="24"/>
                <w:szCs w:val="24"/>
              </w:rPr>
            </w:pPr>
            <w:r>
              <w:rPr>
                <w:sz w:val="24"/>
                <w:szCs w:val="24"/>
              </w:rPr>
              <w:t>根据类比分析及预测，本项目110kV升压站运行</w:t>
            </w:r>
            <w:r>
              <w:rPr>
                <w:spacing w:val="-1"/>
                <w:sz w:val="24"/>
                <w:szCs w:val="24"/>
              </w:rPr>
              <w:t>期产生的工频电场强度预</w:t>
            </w:r>
            <w:r>
              <w:rPr>
                <w:sz w:val="24"/>
                <w:szCs w:val="24"/>
              </w:rPr>
              <w:t xml:space="preserve"> 测值在77.4~664.874V/m之</w:t>
            </w:r>
            <w:r>
              <w:rPr>
                <w:spacing w:val="-1"/>
                <w:sz w:val="24"/>
                <w:szCs w:val="24"/>
              </w:rPr>
              <w:t>间，工频电场强度满足《电磁环境控制限值》</w:t>
            </w:r>
          </w:p>
        </w:tc>
      </w:tr>
    </w:tbl>
    <w:p w14:paraId="6D578D41">
      <w:pPr>
        <w:pStyle w:val="2"/>
      </w:pPr>
    </w:p>
    <w:p w14:paraId="5D8FB3C9">
      <w:pPr>
        <w:sectPr>
          <w:footerReference r:id="rId179" w:type="default"/>
          <w:pgSz w:w="11910" w:h="16830"/>
          <w:pgMar w:top="400" w:right="1268" w:bottom="1245" w:left="1234" w:header="0" w:footer="1083" w:gutter="0"/>
          <w:cols w:space="720" w:num="1"/>
        </w:sectPr>
      </w:pPr>
    </w:p>
    <w:p w14:paraId="4342E05F">
      <w:pPr>
        <w:spacing w:before="18"/>
      </w:pPr>
    </w:p>
    <w:p w14:paraId="14C73AAF">
      <w:pPr>
        <w:spacing w:before="17"/>
      </w:pPr>
    </w:p>
    <w:p w14:paraId="3CF4F5CB">
      <w:pPr>
        <w:spacing w:before="17"/>
      </w:pPr>
    </w:p>
    <w:p w14:paraId="578C0EA4">
      <w:pPr>
        <w:spacing w:before="17"/>
      </w:pPr>
    </w:p>
    <w:tbl>
      <w:tblPr>
        <w:tblStyle w:val="5"/>
        <w:tblW w:w="939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8512"/>
      </w:tblGrid>
      <w:tr w14:paraId="63C8D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39" w:hRule="atLeast"/>
        </w:trPr>
        <w:tc>
          <w:tcPr>
            <w:tcW w:w="884" w:type="dxa"/>
            <w:vAlign w:val="top"/>
          </w:tcPr>
          <w:p w14:paraId="0F991ADF">
            <w:pPr>
              <w:rPr>
                <w:rFonts w:ascii="Arial"/>
                <w:sz w:val="21"/>
              </w:rPr>
            </w:pPr>
          </w:p>
        </w:tc>
        <w:tc>
          <w:tcPr>
            <w:tcW w:w="8512" w:type="dxa"/>
            <w:vAlign w:val="top"/>
          </w:tcPr>
          <w:p w14:paraId="629DC13C">
            <w:pPr>
              <w:pStyle w:val="6"/>
              <w:spacing w:before="13" w:line="218" w:lineRule="auto"/>
              <w:ind w:left="201"/>
              <w:rPr>
                <w:sz w:val="25"/>
                <w:szCs w:val="25"/>
              </w:rPr>
            </w:pPr>
            <w:r>
              <w:rPr>
                <w:sz w:val="25"/>
                <w:szCs w:val="25"/>
              </w:rPr>
              <w:t>(GB8702-2014)中评价标准4kV/m的限值要求。工频磁感应强度预测值在</w:t>
            </w:r>
          </w:p>
          <w:p w14:paraId="7DFCD9C9">
            <w:pPr>
              <w:pStyle w:val="6"/>
              <w:spacing w:before="176" w:line="347" w:lineRule="auto"/>
              <w:ind w:left="120" w:hanging="9"/>
              <w:rPr>
                <w:sz w:val="25"/>
                <w:szCs w:val="25"/>
              </w:rPr>
            </w:pPr>
            <w:r>
              <w:rPr>
                <w:spacing w:val="-12"/>
                <w:sz w:val="25"/>
                <w:szCs w:val="25"/>
              </w:rPr>
              <w:t>1.783~20.075μT之间，工频磁感应强度满足</w:t>
            </w:r>
            <w:r>
              <w:rPr>
                <w:spacing w:val="-13"/>
                <w:sz w:val="25"/>
                <w:szCs w:val="25"/>
              </w:rPr>
              <w:t>《电磁环境控制限值》(GB8702-2014)</w:t>
            </w:r>
            <w:r>
              <w:rPr>
                <w:sz w:val="25"/>
                <w:szCs w:val="25"/>
              </w:rPr>
              <w:t xml:space="preserve"> </w:t>
            </w:r>
            <w:r>
              <w:rPr>
                <w:spacing w:val="-1"/>
                <w:sz w:val="25"/>
                <w:szCs w:val="25"/>
              </w:rPr>
              <w:t>中评价标准100μT的限值要求。</w:t>
            </w:r>
          </w:p>
          <w:p w14:paraId="6972379C">
            <w:pPr>
              <w:pStyle w:val="6"/>
              <w:spacing w:before="4" w:line="344" w:lineRule="auto"/>
              <w:ind w:left="91" w:right="21" w:firstLine="479"/>
              <w:jc w:val="both"/>
              <w:rPr>
                <w:sz w:val="25"/>
                <w:szCs w:val="25"/>
              </w:rPr>
            </w:pPr>
            <w:r>
              <w:rPr>
                <w:sz w:val="25"/>
                <w:szCs w:val="25"/>
              </w:rPr>
              <w:t>此外，根据现场踏勘，本项目110kV升压站距</w:t>
            </w:r>
            <w:r>
              <w:rPr>
                <w:spacing w:val="-1"/>
                <w:sz w:val="25"/>
                <w:szCs w:val="25"/>
              </w:rPr>
              <w:t>离最近居民点为升压站东南</w:t>
            </w:r>
            <w:r>
              <w:rPr>
                <w:sz w:val="25"/>
                <w:szCs w:val="25"/>
              </w:rPr>
              <w:t xml:space="preserve"> </w:t>
            </w:r>
            <w:r>
              <w:rPr>
                <w:spacing w:val="-3"/>
                <w:sz w:val="25"/>
                <w:szCs w:val="25"/>
              </w:rPr>
              <w:t>侧285m的栗树园，距离较远，电场强度和磁感应强度均有随距离增加</w:t>
            </w:r>
            <w:r>
              <w:rPr>
                <w:spacing w:val="-4"/>
                <w:sz w:val="25"/>
                <w:szCs w:val="25"/>
              </w:rPr>
              <w:t>而减小的</w:t>
            </w:r>
            <w:r>
              <w:rPr>
                <w:sz w:val="25"/>
                <w:szCs w:val="25"/>
              </w:rPr>
              <w:t xml:space="preserve"> </w:t>
            </w:r>
            <w:r>
              <w:rPr>
                <w:spacing w:val="-11"/>
                <w:sz w:val="25"/>
                <w:szCs w:val="25"/>
              </w:rPr>
              <w:t>特征，因此，本项目升压站产生的工频电场和工频磁场对周围关心点的影响可接</w:t>
            </w:r>
            <w:r>
              <w:rPr>
                <w:spacing w:val="13"/>
                <w:sz w:val="25"/>
                <w:szCs w:val="25"/>
              </w:rPr>
              <w:t xml:space="preserve"> </w:t>
            </w:r>
            <w:r>
              <w:rPr>
                <w:spacing w:val="-1"/>
                <w:sz w:val="25"/>
                <w:szCs w:val="25"/>
              </w:rPr>
              <w:t>受。本次评价不设置电磁环境防护距离。</w:t>
            </w:r>
          </w:p>
          <w:p w14:paraId="050FB23F">
            <w:pPr>
              <w:pStyle w:val="6"/>
              <w:spacing w:line="220" w:lineRule="auto"/>
              <w:ind w:left="84"/>
              <w:rPr>
                <w:sz w:val="25"/>
                <w:szCs w:val="25"/>
              </w:rPr>
            </w:pPr>
            <w:r>
              <w:rPr>
                <w:b/>
                <w:bCs/>
                <w:spacing w:val="-4"/>
                <w:sz w:val="25"/>
                <w:szCs w:val="25"/>
              </w:rPr>
              <w:t>9环境风险分析</w:t>
            </w:r>
          </w:p>
          <w:p w14:paraId="5CE646AC">
            <w:pPr>
              <w:pStyle w:val="6"/>
              <w:spacing w:before="162" w:line="220" w:lineRule="auto"/>
              <w:ind w:left="74"/>
              <w:rPr>
                <w:sz w:val="25"/>
                <w:szCs w:val="25"/>
              </w:rPr>
            </w:pPr>
            <w:r>
              <w:rPr>
                <w:b/>
                <w:bCs/>
                <w:spacing w:val="-4"/>
                <w:sz w:val="25"/>
                <w:szCs w:val="25"/>
              </w:rPr>
              <w:t>9.1环境风险调查</w:t>
            </w:r>
          </w:p>
          <w:p w14:paraId="7A94C26E">
            <w:pPr>
              <w:pStyle w:val="6"/>
              <w:spacing w:before="172" w:line="345" w:lineRule="auto"/>
              <w:ind w:left="101" w:firstLine="465"/>
              <w:rPr>
                <w:sz w:val="25"/>
                <w:szCs w:val="25"/>
              </w:rPr>
            </w:pPr>
            <w:r>
              <w:rPr>
                <w:spacing w:val="-10"/>
                <w:sz w:val="25"/>
                <w:szCs w:val="25"/>
              </w:rPr>
              <w:t>本光伏电站在运行过程中使用的有毒有害、易燃易爆物质主要有变压器油、</w:t>
            </w:r>
            <w:r>
              <w:rPr>
                <w:spacing w:val="14"/>
                <w:sz w:val="25"/>
                <w:szCs w:val="25"/>
              </w:rPr>
              <w:t xml:space="preserve"> </w:t>
            </w:r>
            <w:r>
              <w:rPr>
                <w:spacing w:val="-3"/>
                <w:sz w:val="25"/>
                <w:szCs w:val="25"/>
              </w:rPr>
              <w:t>润滑油、液压油。根据可研资料，每台箱式变压器油约2t,本项目共24台箱式</w:t>
            </w:r>
            <w:r>
              <w:rPr>
                <w:spacing w:val="6"/>
                <w:sz w:val="25"/>
                <w:szCs w:val="25"/>
              </w:rPr>
              <w:t xml:space="preserve">  </w:t>
            </w:r>
            <w:r>
              <w:rPr>
                <w:spacing w:val="-5"/>
                <w:sz w:val="25"/>
                <w:szCs w:val="25"/>
              </w:rPr>
              <w:t>变压器，1台主变中变压器油约为29.1t,则项目可</w:t>
            </w:r>
            <w:r>
              <w:rPr>
                <w:spacing w:val="-6"/>
                <w:sz w:val="25"/>
                <w:szCs w:val="25"/>
              </w:rPr>
              <w:t>能存在变压器油为77.1t。根</w:t>
            </w:r>
            <w:r>
              <w:rPr>
                <w:sz w:val="25"/>
                <w:szCs w:val="25"/>
              </w:rPr>
              <w:t xml:space="preserve">  </w:t>
            </w:r>
            <w:r>
              <w:rPr>
                <w:spacing w:val="-2"/>
                <w:sz w:val="25"/>
                <w:szCs w:val="25"/>
              </w:rPr>
              <w:t>据《国家危险废物名录(2021年版)》,</w:t>
            </w:r>
            <w:r>
              <w:rPr>
                <w:spacing w:val="-3"/>
                <w:sz w:val="25"/>
                <w:szCs w:val="25"/>
              </w:rPr>
              <w:t>检修或者事故情况下产生的废变压器</w:t>
            </w:r>
          </w:p>
          <w:p w14:paraId="6121AE71">
            <w:pPr>
              <w:pStyle w:val="6"/>
              <w:spacing w:before="1" w:line="347" w:lineRule="auto"/>
              <w:ind w:left="101"/>
              <w:rPr>
                <w:sz w:val="25"/>
                <w:szCs w:val="25"/>
              </w:rPr>
            </w:pPr>
            <w:r>
              <w:rPr>
                <w:spacing w:val="-6"/>
                <w:sz w:val="25"/>
                <w:szCs w:val="25"/>
              </w:rPr>
              <w:t>油为危险废物，类别为HW08,项目产生的废变压器油最大在线量以年产</w:t>
            </w:r>
            <w:r>
              <w:rPr>
                <w:spacing w:val="-7"/>
                <w:sz w:val="25"/>
                <w:szCs w:val="25"/>
              </w:rPr>
              <w:t>生量计，</w:t>
            </w:r>
            <w:r>
              <w:rPr>
                <w:sz w:val="25"/>
                <w:szCs w:val="25"/>
              </w:rPr>
              <w:t xml:space="preserve"> </w:t>
            </w:r>
            <w:r>
              <w:rPr>
                <w:spacing w:val="-2"/>
                <w:sz w:val="25"/>
                <w:szCs w:val="25"/>
              </w:rPr>
              <w:t>为15.42t。废旧蓄电池按照更换周期当</w:t>
            </w:r>
            <w:r>
              <w:rPr>
                <w:spacing w:val="-3"/>
                <w:sz w:val="25"/>
                <w:szCs w:val="25"/>
              </w:rPr>
              <w:t>年最大量进行核算。</w:t>
            </w:r>
          </w:p>
          <w:p w14:paraId="29C02823">
            <w:pPr>
              <w:pStyle w:val="6"/>
              <w:spacing w:line="197" w:lineRule="auto"/>
              <w:ind w:left="2094"/>
              <w:rPr>
                <w:sz w:val="25"/>
                <w:szCs w:val="25"/>
              </w:rPr>
            </w:pPr>
            <w:r>
              <w:rPr>
                <w:b/>
                <w:bCs/>
                <w:spacing w:val="-4"/>
                <w:sz w:val="25"/>
                <w:szCs w:val="25"/>
              </w:rPr>
              <w:t>表4-26工程主要危险有害物质一览表</w:t>
            </w:r>
          </w:p>
          <w:tbl>
            <w:tblPr>
              <w:tblStyle w:val="5"/>
              <w:tblW w:w="8259" w:type="dxa"/>
              <w:tblInd w:w="1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598"/>
              <w:gridCol w:w="2596"/>
              <w:gridCol w:w="879"/>
              <w:gridCol w:w="2312"/>
            </w:tblGrid>
            <w:tr w14:paraId="7C464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874" w:type="dxa"/>
                  <w:vAlign w:val="top"/>
                </w:tcPr>
                <w:p w14:paraId="60DE2E71">
                  <w:pPr>
                    <w:pStyle w:val="6"/>
                    <w:spacing w:before="64" w:line="221" w:lineRule="auto"/>
                    <w:ind w:left="214"/>
                    <w:rPr>
                      <w:sz w:val="21"/>
                      <w:szCs w:val="21"/>
                    </w:rPr>
                  </w:pPr>
                  <w:r>
                    <w:rPr>
                      <w:spacing w:val="6"/>
                      <w:sz w:val="21"/>
                      <w:szCs w:val="21"/>
                    </w:rPr>
                    <w:t>序号</w:t>
                  </w:r>
                </w:p>
              </w:tc>
              <w:tc>
                <w:tcPr>
                  <w:tcW w:w="1598" w:type="dxa"/>
                  <w:vAlign w:val="top"/>
                </w:tcPr>
                <w:p w14:paraId="640CBE6D">
                  <w:pPr>
                    <w:pStyle w:val="6"/>
                    <w:spacing w:before="64" w:line="220" w:lineRule="auto"/>
                    <w:ind w:left="580"/>
                    <w:rPr>
                      <w:sz w:val="21"/>
                      <w:szCs w:val="21"/>
                    </w:rPr>
                  </w:pPr>
                  <w:r>
                    <w:rPr>
                      <w:spacing w:val="-3"/>
                      <w:sz w:val="21"/>
                      <w:szCs w:val="21"/>
                    </w:rPr>
                    <w:t>物料</w:t>
                  </w:r>
                </w:p>
              </w:tc>
              <w:tc>
                <w:tcPr>
                  <w:tcW w:w="2596" w:type="dxa"/>
                  <w:vAlign w:val="top"/>
                </w:tcPr>
                <w:p w14:paraId="21DEE083">
                  <w:pPr>
                    <w:pStyle w:val="6"/>
                    <w:spacing w:before="63" w:line="219" w:lineRule="auto"/>
                    <w:ind w:left="872"/>
                    <w:rPr>
                      <w:sz w:val="21"/>
                      <w:szCs w:val="21"/>
                    </w:rPr>
                  </w:pPr>
                  <w:r>
                    <w:rPr>
                      <w:spacing w:val="-2"/>
                      <w:sz w:val="21"/>
                      <w:szCs w:val="21"/>
                    </w:rPr>
                    <w:t>存在位置</w:t>
                  </w:r>
                </w:p>
              </w:tc>
              <w:tc>
                <w:tcPr>
                  <w:tcW w:w="879" w:type="dxa"/>
                  <w:vAlign w:val="top"/>
                </w:tcPr>
                <w:p w14:paraId="734849AF">
                  <w:pPr>
                    <w:pStyle w:val="6"/>
                    <w:spacing w:before="63" w:line="219" w:lineRule="auto"/>
                    <w:ind w:left="226"/>
                    <w:rPr>
                      <w:sz w:val="21"/>
                      <w:szCs w:val="21"/>
                    </w:rPr>
                  </w:pPr>
                  <w:r>
                    <w:rPr>
                      <w:spacing w:val="-3"/>
                      <w:sz w:val="21"/>
                      <w:szCs w:val="21"/>
                    </w:rPr>
                    <w:t>数量</w:t>
                  </w:r>
                </w:p>
              </w:tc>
              <w:tc>
                <w:tcPr>
                  <w:tcW w:w="2312" w:type="dxa"/>
                  <w:vAlign w:val="top"/>
                </w:tcPr>
                <w:p w14:paraId="42B786AC">
                  <w:pPr>
                    <w:pStyle w:val="6"/>
                    <w:spacing w:before="64" w:line="221" w:lineRule="auto"/>
                    <w:ind w:left="937"/>
                    <w:rPr>
                      <w:sz w:val="21"/>
                      <w:szCs w:val="21"/>
                    </w:rPr>
                  </w:pPr>
                  <w:r>
                    <w:rPr>
                      <w:spacing w:val="-3"/>
                      <w:sz w:val="21"/>
                      <w:szCs w:val="21"/>
                    </w:rPr>
                    <w:t>用途</w:t>
                  </w:r>
                </w:p>
              </w:tc>
            </w:tr>
            <w:tr w14:paraId="59F4D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874" w:type="dxa"/>
                  <w:vAlign w:val="top"/>
                </w:tcPr>
                <w:p w14:paraId="0F1F7784">
                  <w:pPr>
                    <w:pStyle w:val="6"/>
                    <w:spacing w:before="91" w:line="217" w:lineRule="auto"/>
                    <w:ind w:left="374"/>
                    <w:rPr>
                      <w:sz w:val="21"/>
                      <w:szCs w:val="21"/>
                    </w:rPr>
                  </w:pPr>
                  <w:r>
                    <w:rPr>
                      <w:sz w:val="21"/>
                      <w:szCs w:val="21"/>
                    </w:rPr>
                    <w:t>1</w:t>
                  </w:r>
                </w:p>
              </w:tc>
              <w:tc>
                <w:tcPr>
                  <w:tcW w:w="1598" w:type="dxa"/>
                  <w:vAlign w:val="top"/>
                </w:tcPr>
                <w:p w14:paraId="6B09A5E7">
                  <w:pPr>
                    <w:pStyle w:val="6"/>
                    <w:spacing w:before="71" w:line="221" w:lineRule="auto"/>
                    <w:ind w:left="370"/>
                    <w:rPr>
                      <w:sz w:val="21"/>
                      <w:szCs w:val="21"/>
                    </w:rPr>
                  </w:pPr>
                  <w:r>
                    <w:rPr>
                      <w:spacing w:val="5"/>
                      <w:sz w:val="21"/>
                      <w:szCs w:val="21"/>
                    </w:rPr>
                    <w:t>变压器油</w:t>
                  </w:r>
                </w:p>
              </w:tc>
              <w:tc>
                <w:tcPr>
                  <w:tcW w:w="2596" w:type="dxa"/>
                  <w:vAlign w:val="top"/>
                </w:tcPr>
                <w:p w14:paraId="2C896ABE">
                  <w:pPr>
                    <w:pStyle w:val="6"/>
                    <w:spacing w:before="71" w:line="220" w:lineRule="auto"/>
                    <w:ind w:left="762"/>
                    <w:rPr>
                      <w:sz w:val="21"/>
                      <w:szCs w:val="21"/>
                    </w:rPr>
                  </w:pPr>
                  <w:r>
                    <w:rPr>
                      <w:spacing w:val="-2"/>
                      <w:sz w:val="21"/>
                      <w:szCs w:val="21"/>
                    </w:rPr>
                    <w:t>主变、箱变</w:t>
                  </w:r>
                </w:p>
              </w:tc>
              <w:tc>
                <w:tcPr>
                  <w:tcW w:w="879" w:type="dxa"/>
                  <w:vAlign w:val="top"/>
                </w:tcPr>
                <w:p w14:paraId="7651FF72">
                  <w:pPr>
                    <w:pStyle w:val="6"/>
                    <w:spacing w:before="91" w:line="217" w:lineRule="auto"/>
                    <w:ind w:left="166"/>
                    <w:rPr>
                      <w:sz w:val="21"/>
                      <w:szCs w:val="21"/>
                    </w:rPr>
                  </w:pPr>
                  <w:r>
                    <w:rPr>
                      <w:spacing w:val="-1"/>
                      <w:sz w:val="21"/>
                      <w:szCs w:val="21"/>
                    </w:rPr>
                    <w:t>77.1t</w:t>
                  </w:r>
                </w:p>
              </w:tc>
              <w:tc>
                <w:tcPr>
                  <w:tcW w:w="2312" w:type="dxa"/>
                  <w:vAlign w:val="top"/>
                </w:tcPr>
                <w:p w14:paraId="55ED62CD">
                  <w:pPr>
                    <w:pStyle w:val="6"/>
                    <w:spacing w:before="73" w:line="221" w:lineRule="auto"/>
                    <w:ind w:left="937"/>
                    <w:rPr>
                      <w:sz w:val="21"/>
                      <w:szCs w:val="21"/>
                    </w:rPr>
                  </w:pPr>
                  <w:r>
                    <w:rPr>
                      <w:spacing w:val="10"/>
                      <w:sz w:val="21"/>
                      <w:szCs w:val="21"/>
                    </w:rPr>
                    <w:t>冷却</w:t>
                  </w:r>
                </w:p>
              </w:tc>
            </w:tr>
            <w:tr w14:paraId="4BDCB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4" w:type="dxa"/>
                  <w:vAlign w:val="top"/>
                </w:tcPr>
                <w:p w14:paraId="4A4FAD34">
                  <w:pPr>
                    <w:pStyle w:val="6"/>
                    <w:spacing w:before="83" w:line="197" w:lineRule="auto"/>
                    <w:ind w:left="374"/>
                    <w:rPr>
                      <w:sz w:val="21"/>
                      <w:szCs w:val="21"/>
                    </w:rPr>
                  </w:pPr>
                  <w:r>
                    <w:rPr>
                      <w:sz w:val="21"/>
                      <w:szCs w:val="21"/>
                    </w:rPr>
                    <w:t>2</w:t>
                  </w:r>
                </w:p>
              </w:tc>
              <w:tc>
                <w:tcPr>
                  <w:tcW w:w="1598" w:type="dxa"/>
                  <w:vAlign w:val="top"/>
                </w:tcPr>
                <w:p w14:paraId="0222941E">
                  <w:pPr>
                    <w:pStyle w:val="6"/>
                    <w:spacing w:before="62" w:line="216" w:lineRule="auto"/>
                    <w:ind w:left="261"/>
                    <w:rPr>
                      <w:sz w:val="21"/>
                      <w:szCs w:val="21"/>
                    </w:rPr>
                  </w:pPr>
                  <w:r>
                    <w:rPr>
                      <w:spacing w:val="-2"/>
                      <w:sz w:val="21"/>
                      <w:szCs w:val="21"/>
                    </w:rPr>
                    <w:t>废旧蓄电池</w:t>
                  </w:r>
                </w:p>
              </w:tc>
              <w:tc>
                <w:tcPr>
                  <w:tcW w:w="2596" w:type="dxa"/>
                  <w:vAlign w:val="top"/>
                </w:tcPr>
                <w:p w14:paraId="0D2968B7">
                  <w:pPr>
                    <w:pStyle w:val="6"/>
                    <w:spacing w:before="62" w:line="216" w:lineRule="auto"/>
                    <w:ind w:left="662"/>
                    <w:rPr>
                      <w:sz w:val="21"/>
                      <w:szCs w:val="21"/>
                    </w:rPr>
                  </w:pPr>
                  <w:r>
                    <w:rPr>
                      <w:spacing w:val="4"/>
                      <w:sz w:val="21"/>
                      <w:szCs w:val="21"/>
                    </w:rPr>
                    <w:t>危废暂存间内</w:t>
                  </w:r>
                </w:p>
              </w:tc>
              <w:tc>
                <w:tcPr>
                  <w:tcW w:w="879" w:type="dxa"/>
                  <w:vAlign w:val="top"/>
                </w:tcPr>
                <w:p w14:paraId="2AF753A4">
                  <w:pPr>
                    <w:pStyle w:val="6"/>
                    <w:spacing w:before="83" w:line="197" w:lineRule="auto"/>
                    <w:ind w:left="326"/>
                    <w:rPr>
                      <w:sz w:val="21"/>
                      <w:szCs w:val="21"/>
                    </w:rPr>
                  </w:pPr>
                  <w:r>
                    <w:rPr>
                      <w:spacing w:val="-3"/>
                      <w:sz w:val="21"/>
                      <w:szCs w:val="21"/>
                    </w:rPr>
                    <w:t>2t</w:t>
                  </w:r>
                </w:p>
              </w:tc>
              <w:tc>
                <w:tcPr>
                  <w:tcW w:w="2312" w:type="dxa"/>
                  <w:vAlign w:val="top"/>
                </w:tcPr>
                <w:p w14:paraId="372447BC">
                  <w:pPr>
                    <w:pStyle w:val="6"/>
                    <w:spacing w:before="62" w:line="216" w:lineRule="auto"/>
                    <w:ind w:left="517"/>
                    <w:rPr>
                      <w:sz w:val="21"/>
                      <w:szCs w:val="21"/>
                    </w:rPr>
                  </w:pPr>
                  <w:r>
                    <w:rPr>
                      <w:spacing w:val="1"/>
                      <w:sz w:val="21"/>
                      <w:szCs w:val="21"/>
                    </w:rPr>
                    <w:t>断电提供电源</w:t>
                  </w:r>
                </w:p>
              </w:tc>
            </w:tr>
            <w:tr w14:paraId="3BE18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874" w:type="dxa"/>
                  <w:vAlign w:val="top"/>
                </w:tcPr>
                <w:p w14:paraId="0CC02352">
                  <w:pPr>
                    <w:pStyle w:val="6"/>
                    <w:spacing w:before="95" w:line="213" w:lineRule="auto"/>
                    <w:ind w:left="374"/>
                    <w:rPr>
                      <w:sz w:val="21"/>
                      <w:szCs w:val="21"/>
                    </w:rPr>
                  </w:pPr>
                  <w:r>
                    <w:rPr>
                      <w:sz w:val="21"/>
                      <w:szCs w:val="21"/>
                    </w:rPr>
                    <w:t>3</w:t>
                  </w:r>
                </w:p>
              </w:tc>
              <w:tc>
                <w:tcPr>
                  <w:tcW w:w="1598" w:type="dxa"/>
                  <w:vAlign w:val="top"/>
                </w:tcPr>
                <w:p w14:paraId="6D163B33">
                  <w:pPr>
                    <w:pStyle w:val="6"/>
                    <w:spacing w:before="75" w:line="220" w:lineRule="auto"/>
                    <w:ind w:left="261"/>
                    <w:rPr>
                      <w:sz w:val="21"/>
                      <w:szCs w:val="21"/>
                    </w:rPr>
                  </w:pPr>
                  <w:r>
                    <w:rPr>
                      <w:spacing w:val="4"/>
                      <w:sz w:val="21"/>
                      <w:szCs w:val="21"/>
                    </w:rPr>
                    <w:t>废变压器油</w:t>
                  </w:r>
                </w:p>
              </w:tc>
              <w:tc>
                <w:tcPr>
                  <w:tcW w:w="2596" w:type="dxa"/>
                  <w:vAlign w:val="top"/>
                </w:tcPr>
                <w:p w14:paraId="685DFC70">
                  <w:pPr>
                    <w:pStyle w:val="6"/>
                    <w:spacing w:before="74" w:line="219" w:lineRule="auto"/>
                    <w:ind w:left="662"/>
                    <w:rPr>
                      <w:sz w:val="21"/>
                      <w:szCs w:val="21"/>
                    </w:rPr>
                  </w:pPr>
                  <w:r>
                    <w:rPr>
                      <w:spacing w:val="4"/>
                      <w:sz w:val="21"/>
                      <w:szCs w:val="21"/>
                    </w:rPr>
                    <w:t>危废暂存间内</w:t>
                  </w:r>
                </w:p>
              </w:tc>
              <w:tc>
                <w:tcPr>
                  <w:tcW w:w="879" w:type="dxa"/>
                  <w:vAlign w:val="top"/>
                </w:tcPr>
                <w:p w14:paraId="07E4D5F5">
                  <w:pPr>
                    <w:pStyle w:val="6"/>
                    <w:spacing w:before="95" w:line="213" w:lineRule="auto"/>
                    <w:ind w:left="117"/>
                    <w:rPr>
                      <w:sz w:val="21"/>
                      <w:szCs w:val="21"/>
                    </w:rPr>
                  </w:pPr>
                  <w:r>
                    <w:rPr>
                      <w:spacing w:val="-4"/>
                      <w:sz w:val="21"/>
                      <w:szCs w:val="21"/>
                    </w:rPr>
                    <w:t>15.42t</w:t>
                  </w:r>
                </w:p>
              </w:tc>
              <w:tc>
                <w:tcPr>
                  <w:tcW w:w="2312" w:type="dxa"/>
                  <w:vAlign w:val="top"/>
                </w:tcPr>
                <w:p w14:paraId="2CF7B048">
                  <w:pPr>
                    <w:pStyle w:val="6"/>
                    <w:spacing w:before="80" w:line="224" w:lineRule="auto"/>
                    <w:ind w:left="1098"/>
                    <w:rPr>
                      <w:sz w:val="21"/>
                      <w:szCs w:val="21"/>
                    </w:rPr>
                  </w:pPr>
                  <w:r>
                    <w:rPr>
                      <w:sz w:val="21"/>
                      <w:szCs w:val="21"/>
                    </w:rPr>
                    <w:t>/</w:t>
                  </w:r>
                </w:p>
              </w:tc>
            </w:tr>
            <w:tr w14:paraId="0580A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874" w:type="dxa"/>
                  <w:vAlign w:val="top"/>
                </w:tcPr>
                <w:p w14:paraId="48B61003">
                  <w:pPr>
                    <w:pStyle w:val="6"/>
                    <w:spacing w:before="97" w:line="216" w:lineRule="auto"/>
                    <w:ind w:left="374"/>
                    <w:rPr>
                      <w:sz w:val="21"/>
                      <w:szCs w:val="21"/>
                    </w:rPr>
                  </w:pPr>
                  <w:r>
                    <w:rPr>
                      <w:sz w:val="21"/>
                      <w:szCs w:val="21"/>
                    </w:rPr>
                    <w:t>4</w:t>
                  </w:r>
                </w:p>
              </w:tc>
              <w:tc>
                <w:tcPr>
                  <w:tcW w:w="1598" w:type="dxa"/>
                  <w:vAlign w:val="top"/>
                </w:tcPr>
                <w:p w14:paraId="08EE43C9">
                  <w:pPr>
                    <w:pStyle w:val="6"/>
                    <w:spacing w:before="76" w:line="219" w:lineRule="auto"/>
                    <w:ind w:left="370"/>
                    <w:rPr>
                      <w:sz w:val="21"/>
                      <w:szCs w:val="21"/>
                    </w:rPr>
                  </w:pPr>
                  <w:r>
                    <w:rPr>
                      <w:spacing w:val="5"/>
                      <w:sz w:val="21"/>
                      <w:szCs w:val="21"/>
                    </w:rPr>
                    <w:t>检修废油</w:t>
                  </w:r>
                </w:p>
              </w:tc>
              <w:tc>
                <w:tcPr>
                  <w:tcW w:w="2596" w:type="dxa"/>
                  <w:vAlign w:val="top"/>
                </w:tcPr>
                <w:p w14:paraId="37804E00">
                  <w:pPr>
                    <w:pStyle w:val="6"/>
                    <w:spacing w:before="76" w:line="219" w:lineRule="auto"/>
                    <w:ind w:left="452"/>
                    <w:rPr>
                      <w:sz w:val="21"/>
                      <w:szCs w:val="21"/>
                    </w:rPr>
                  </w:pPr>
                  <w:r>
                    <w:rPr>
                      <w:spacing w:val="3"/>
                      <w:sz w:val="21"/>
                      <w:szCs w:val="21"/>
                    </w:rPr>
                    <w:t>危险废物贮存库内</w:t>
                  </w:r>
                </w:p>
              </w:tc>
              <w:tc>
                <w:tcPr>
                  <w:tcW w:w="879" w:type="dxa"/>
                  <w:vAlign w:val="top"/>
                </w:tcPr>
                <w:p w14:paraId="0E5BF4AC">
                  <w:pPr>
                    <w:pStyle w:val="6"/>
                    <w:spacing w:before="97" w:line="216" w:lineRule="auto"/>
                    <w:ind w:left="226"/>
                    <w:rPr>
                      <w:sz w:val="21"/>
                      <w:szCs w:val="21"/>
                    </w:rPr>
                  </w:pPr>
                  <w:r>
                    <w:rPr>
                      <w:spacing w:val="-2"/>
                      <w:sz w:val="21"/>
                      <w:szCs w:val="21"/>
                    </w:rPr>
                    <w:t>0.2t</w:t>
                  </w:r>
                </w:p>
              </w:tc>
              <w:tc>
                <w:tcPr>
                  <w:tcW w:w="2312" w:type="dxa"/>
                  <w:vAlign w:val="top"/>
                </w:tcPr>
                <w:p w14:paraId="702DA8EE">
                  <w:pPr>
                    <w:pStyle w:val="6"/>
                    <w:spacing w:before="76" w:line="219" w:lineRule="auto"/>
                    <w:ind w:left="937"/>
                    <w:rPr>
                      <w:sz w:val="21"/>
                      <w:szCs w:val="21"/>
                    </w:rPr>
                  </w:pPr>
                  <w:r>
                    <w:rPr>
                      <w:spacing w:val="-3"/>
                      <w:sz w:val="21"/>
                      <w:szCs w:val="21"/>
                    </w:rPr>
                    <w:t>检修</w:t>
                  </w:r>
                </w:p>
              </w:tc>
            </w:tr>
          </w:tbl>
          <w:p w14:paraId="27ACEAAE">
            <w:pPr>
              <w:pStyle w:val="6"/>
              <w:spacing w:before="42" w:line="219" w:lineRule="auto"/>
              <w:ind w:left="94"/>
              <w:rPr>
                <w:sz w:val="25"/>
                <w:szCs w:val="25"/>
              </w:rPr>
            </w:pPr>
            <w:r>
              <w:rPr>
                <w:b/>
                <w:bCs/>
                <w:spacing w:val="-4"/>
                <w:sz w:val="25"/>
                <w:szCs w:val="25"/>
              </w:rPr>
              <w:t>9.2风险潜势初判</w:t>
            </w:r>
          </w:p>
          <w:p w14:paraId="4F48F6E6">
            <w:pPr>
              <w:pStyle w:val="6"/>
              <w:spacing w:before="172" w:line="348" w:lineRule="auto"/>
              <w:ind w:left="111" w:right="176" w:firstLine="449"/>
              <w:rPr>
                <w:sz w:val="25"/>
                <w:szCs w:val="25"/>
              </w:rPr>
            </w:pPr>
            <w:r>
              <w:rPr>
                <w:sz w:val="25"/>
                <w:szCs w:val="25"/>
              </w:rPr>
              <w:t>根据HJ169-2018附录C,计算所涉及的每种危险物质在厂界内的最大存在</w:t>
            </w:r>
            <w:r>
              <w:rPr>
                <w:spacing w:val="13"/>
                <w:sz w:val="25"/>
                <w:szCs w:val="25"/>
              </w:rPr>
              <w:t xml:space="preserve"> </w:t>
            </w:r>
            <w:r>
              <w:rPr>
                <w:sz w:val="25"/>
                <w:szCs w:val="25"/>
              </w:rPr>
              <w:t>总量与其在附录B中对应临界量的比值Q,当只涉及一种危险物质时，计算该</w:t>
            </w:r>
          </w:p>
          <w:p w14:paraId="4382D919">
            <w:pPr>
              <w:pStyle w:val="6"/>
              <w:spacing w:before="1" w:line="341" w:lineRule="auto"/>
              <w:ind w:left="101" w:right="28"/>
              <w:rPr>
                <w:sz w:val="25"/>
                <w:szCs w:val="25"/>
              </w:rPr>
            </w:pPr>
            <w:r>
              <w:rPr>
                <w:spacing w:val="-4"/>
                <w:sz w:val="25"/>
                <w:szCs w:val="25"/>
              </w:rPr>
              <w:t>物质的总量与其临界量比值，即为Q;当存在多种危险物质时，则按下式计算物</w:t>
            </w:r>
            <w:r>
              <w:rPr>
                <w:spacing w:val="11"/>
                <w:sz w:val="25"/>
                <w:szCs w:val="25"/>
              </w:rPr>
              <w:t xml:space="preserve"> </w:t>
            </w:r>
            <w:r>
              <w:rPr>
                <w:sz w:val="25"/>
                <w:szCs w:val="25"/>
              </w:rPr>
              <w:t>质总量与其临界量比值(Q)。</w:t>
            </w:r>
          </w:p>
          <w:p w14:paraId="67F3A974">
            <w:pPr>
              <w:pStyle w:val="6"/>
              <w:spacing w:before="1" w:line="214" w:lineRule="auto"/>
              <w:ind w:left="2831"/>
              <w:rPr>
                <w:sz w:val="25"/>
                <w:szCs w:val="25"/>
              </w:rPr>
            </w:pPr>
            <w:r>
              <w:rPr>
                <w:spacing w:val="-1"/>
                <w:sz w:val="25"/>
                <w:szCs w:val="25"/>
              </w:rPr>
              <w:t>Q=q1/Q1+q2/Q2+..+qn/Qn</w:t>
            </w:r>
          </w:p>
          <w:p w14:paraId="4BF08907">
            <w:pPr>
              <w:pStyle w:val="6"/>
              <w:spacing w:before="130" w:line="214" w:lineRule="auto"/>
              <w:ind w:left="561"/>
              <w:rPr>
                <w:sz w:val="25"/>
                <w:szCs w:val="25"/>
              </w:rPr>
            </w:pPr>
            <w:r>
              <w:rPr>
                <w:spacing w:val="-5"/>
                <w:sz w:val="25"/>
                <w:szCs w:val="25"/>
              </w:rPr>
              <w:t>式中：q1,q2,…,qn——每种危险物</w:t>
            </w:r>
            <w:r>
              <w:rPr>
                <w:spacing w:val="-6"/>
                <w:sz w:val="25"/>
                <w:szCs w:val="25"/>
              </w:rPr>
              <w:t>质的最大存在总量，单位为吨(t);</w:t>
            </w:r>
          </w:p>
          <w:p w14:paraId="7A462209">
            <w:pPr>
              <w:pStyle w:val="6"/>
              <w:spacing w:before="214" w:line="216" w:lineRule="auto"/>
              <w:ind w:left="1311"/>
              <w:rPr>
                <w:sz w:val="25"/>
                <w:szCs w:val="25"/>
              </w:rPr>
            </w:pPr>
            <w:r>
              <w:rPr>
                <w:spacing w:val="-7"/>
                <w:sz w:val="25"/>
                <w:szCs w:val="25"/>
              </w:rPr>
              <w:t>Q1,Q2,…,Qn——每种危险物质相对应的临界量</w:t>
            </w:r>
            <w:r>
              <w:rPr>
                <w:spacing w:val="-8"/>
                <w:sz w:val="25"/>
                <w:szCs w:val="25"/>
              </w:rPr>
              <w:t>，单位为吨(t)。</w:t>
            </w:r>
          </w:p>
          <w:p w14:paraId="2ACC4172">
            <w:pPr>
              <w:pStyle w:val="6"/>
              <w:spacing w:before="201" w:line="219" w:lineRule="auto"/>
              <w:ind w:left="601"/>
              <w:rPr>
                <w:sz w:val="25"/>
                <w:szCs w:val="25"/>
              </w:rPr>
            </w:pPr>
            <w:r>
              <w:rPr>
                <w:spacing w:val="-1"/>
                <w:sz w:val="25"/>
                <w:szCs w:val="25"/>
              </w:rPr>
              <w:t>当Q&lt;1时，该项目风险潜势为I。</w:t>
            </w:r>
          </w:p>
          <w:p w14:paraId="1DB86D98">
            <w:pPr>
              <w:pStyle w:val="6"/>
              <w:spacing w:before="173" w:line="219" w:lineRule="auto"/>
              <w:ind w:left="591"/>
              <w:rPr>
                <w:sz w:val="25"/>
                <w:szCs w:val="25"/>
              </w:rPr>
            </w:pPr>
            <w:r>
              <w:rPr>
                <w:sz w:val="25"/>
                <w:szCs w:val="25"/>
              </w:rPr>
              <w:t>当Q≥1时，将Q值划分为(1)1≤Q&lt;10;(2)10≤Q&lt;100;(3)</w:t>
            </w:r>
            <w:r>
              <w:rPr>
                <w:spacing w:val="-1"/>
                <w:sz w:val="25"/>
                <w:szCs w:val="25"/>
              </w:rPr>
              <w:t>Q≥100。</w:t>
            </w:r>
          </w:p>
        </w:tc>
      </w:tr>
    </w:tbl>
    <w:p w14:paraId="2FDCBBA7">
      <w:pPr>
        <w:pStyle w:val="2"/>
      </w:pPr>
    </w:p>
    <w:p w14:paraId="4C76278B">
      <w:pPr>
        <w:sectPr>
          <w:footerReference r:id="rId180" w:type="default"/>
          <w:pgSz w:w="11910" w:h="16830"/>
          <w:pgMar w:top="400" w:right="1258" w:bottom="1245" w:left="1244" w:header="0" w:footer="1083" w:gutter="0"/>
          <w:cols w:space="720" w:num="1"/>
        </w:sectPr>
      </w:pPr>
    </w:p>
    <w:p w14:paraId="3C3AABCD">
      <w:pPr>
        <w:spacing w:before="15"/>
      </w:pPr>
    </w:p>
    <w:p w14:paraId="0EBA4ACD">
      <w:pPr>
        <w:spacing w:before="15"/>
      </w:pPr>
    </w:p>
    <w:p w14:paraId="1FC6400D">
      <w:pPr>
        <w:spacing w:before="15"/>
      </w:pPr>
    </w:p>
    <w:p w14:paraId="1BD71D4D">
      <w:pPr>
        <w:spacing w:before="14"/>
      </w:pPr>
    </w:p>
    <w:tbl>
      <w:tblPr>
        <w:tblStyle w:val="5"/>
        <w:tblW w:w="93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4"/>
        <w:gridCol w:w="540"/>
        <w:gridCol w:w="699"/>
        <w:gridCol w:w="272"/>
        <w:gridCol w:w="617"/>
        <w:gridCol w:w="819"/>
        <w:gridCol w:w="1119"/>
        <w:gridCol w:w="1578"/>
        <w:gridCol w:w="1229"/>
        <w:gridCol w:w="1009"/>
        <w:gridCol w:w="544"/>
      </w:tblGrid>
      <w:tr w14:paraId="65CC0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914" w:type="dxa"/>
            <w:vMerge w:val="restart"/>
            <w:tcBorders>
              <w:bottom w:val="nil"/>
            </w:tcBorders>
            <w:vAlign w:val="top"/>
          </w:tcPr>
          <w:p w14:paraId="74C14933">
            <w:pPr>
              <w:rPr>
                <w:rFonts w:ascii="Arial"/>
                <w:sz w:val="21"/>
              </w:rPr>
            </w:pPr>
          </w:p>
        </w:tc>
        <w:tc>
          <w:tcPr>
            <w:tcW w:w="8426" w:type="dxa"/>
            <w:gridSpan w:val="10"/>
            <w:vAlign w:val="top"/>
          </w:tcPr>
          <w:p w14:paraId="6088F651">
            <w:pPr>
              <w:pStyle w:val="6"/>
              <w:spacing w:before="23" w:line="376" w:lineRule="auto"/>
              <w:ind w:left="61" w:right="523" w:firstLine="479"/>
              <w:rPr>
                <w:sz w:val="23"/>
                <w:szCs w:val="23"/>
              </w:rPr>
            </w:pPr>
            <w:r>
              <w:rPr>
                <w:sz w:val="23"/>
                <w:szCs w:val="23"/>
              </w:rPr>
              <w:t>根据《建设项目环境风险评价技术导则》(HJ169-201</w:t>
            </w:r>
            <w:r>
              <w:rPr>
                <w:spacing w:val="-1"/>
                <w:sz w:val="23"/>
                <w:szCs w:val="23"/>
              </w:rPr>
              <w:t>8)相关规定以及附录</w:t>
            </w:r>
            <w:r>
              <w:rPr>
                <w:sz w:val="23"/>
                <w:szCs w:val="23"/>
              </w:rPr>
              <w:t xml:space="preserve"> B,项目涉及的风险物质临界量及其Q值计算结果见表4-27。</w:t>
            </w:r>
          </w:p>
          <w:p w14:paraId="01900195">
            <w:pPr>
              <w:pStyle w:val="6"/>
              <w:spacing w:before="10" w:line="219" w:lineRule="auto"/>
              <w:ind w:left="2624"/>
              <w:rPr>
                <w:sz w:val="23"/>
                <w:szCs w:val="23"/>
              </w:rPr>
            </w:pPr>
            <w:r>
              <w:rPr>
                <w:b/>
                <w:bCs/>
                <w:spacing w:val="-15"/>
                <w:sz w:val="23"/>
                <w:szCs w:val="23"/>
              </w:rPr>
              <w:t>表</w:t>
            </w:r>
            <w:r>
              <w:rPr>
                <w:spacing w:val="-46"/>
                <w:sz w:val="23"/>
                <w:szCs w:val="23"/>
              </w:rPr>
              <w:t xml:space="preserve"> </w:t>
            </w:r>
            <w:r>
              <w:rPr>
                <w:b/>
                <w:bCs/>
                <w:spacing w:val="-15"/>
                <w:sz w:val="23"/>
                <w:szCs w:val="23"/>
              </w:rPr>
              <w:t>4</w:t>
            </w:r>
            <w:r>
              <w:rPr>
                <w:spacing w:val="-52"/>
                <w:sz w:val="23"/>
                <w:szCs w:val="23"/>
              </w:rPr>
              <w:t xml:space="preserve"> </w:t>
            </w:r>
            <w:r>
              <w:rPr>
                <w:b/>
                <w:bCs/>
                <w:spacing w:val="-15"/>
                <w:sz w:val="23"/>
                <w:szCs w:val="23"/>
              </w:rPr>
              <w:t>-</w:t>
            </w:r>
            <w:r>
              <w:rPr>
                <w:spacing w:val="-48"/>
                <w:sz w:val="23"/>
                <w:szCs w:val="23"/>
              </w:rPr>
              <w:t xml:space="preserve"> </w:t>
            </w:r>
            <w:r>
              <w:rPr>
                <w:b/>
                <w:bCs/>
                <w:spacing w:val="-15"/>
                <w:sz w:val="23"/>
                <w:szCs w:val="23"/>
              </w:rPr>
              <w:t>2</w:t>
            </w:r>
            <w:r>
              <w:rPr>
                <w:spacing w:val="-44"/>
                <w:sz w:val="23"/>
                <w:szCs w:val="23"/>
              </w:rPr>
              <w:t xml:space="preserve"> </w:t>
            </w:r>
            <w:r>
              <w:rPr>
                <w:b/>
                <w:bCs/>
                <w:spacing w:val="-15"/>
                <w:sz w:val="23"/>
                <w:szCs w:val="23"/>
              </w:rPr>
              <w:t>7</w:t>
            </w:r>
            <w:r>
              <w:rPr>
                <w:spacing w:val="-48"/>
                <w:sz w:val="23"/>
                <w:szCs w:val="23"/>
              </w:rPr>
              <w:t xml:space="preserve"> </w:t>
            </w:r>
            <w:r>
              <w:rPr>
                <w:b/>
                <w:bCs/>
                <w:spacing w:val="-15"/>
                <w:sz w:val="23"/>
                <w:szCs w:val="23"/>
              </w:rPr>
              <w:t>建</w:t>
            </w:r>
            <w:r>
              <w:rPr>
                <w:spacing w:val="-46"/>
                <w:sz w:val="23"/>
                <w:szCs w:val="23"/>
              </w:rPr>
              <w:t xml:space="preserve"> </w:t>
            </w:r>
            <w:r>
              <w:rPr>
                <w:b/>
                <w:bCs/>
                <w:spacing w:val="-15"/>
                <w:sz w:val="23"/>
                <w:szCs w:val="23"/>
              </w:rPr>
              <w:t>设</w:t>
            </w:r>
            <w:r>
              <w:rPr>
                <w:spacing w:val="-46"/>
                <w:sz w:val="23"/>
                <w:szCs w:val="23"/>
              </w:rPr>
              <w:t xml:space="preserve"> </w:t>
            </w:r>
            <w:r>
              <w:rPr>
                <w:b/>
                <w:bCs/>
                <w:spacing w:val="-15"/>
                <w:sz w:val="23"/>
                <w:szCs w:val="23"/>
              </w:rPr>
              <w:t>项</w:t>
            </w:r>
            <w:r>
              <w:rPr>
                <w:spacing w:val="-15"/>
                <w:sz w:val="23"/>
                <w:szCs w:val="23"/>
              </w:rPr>
              <w:t xml:space="preserve"> </w:t>
            </w:r>
            <w:r>
              <w:rPr>
                <w:b/>
                <w:bCs/>
                <w:spacing w:val="-15"/>
                <w:sz w:val="23"/>
                <w:szCs w:val="23"/>
              </w:rPr>
              <w:t>目</w:t>
            </w:r>
            <w:r>
              <w:rPr>
                <w:spacing w:val="-52"/>
                <w:sz w:val="23"/>
                <w:szCs w:val="23"/>
              </w:rPr>
              <w:t xml:space="preserve"> </w:t>
            </w:r>
            <w:r>
              <w:rPr>
                <w:b/>
                <w:bCs/>
                <w:spacing w:val="-15"/>
                <w:sz w:val="23"/>
                <w:szCs w:val="23"/>
              </w:rPr>
              <w:t>Q</w:t>
            </w:r>
            <w:r>
              <w:rPr>
                <w:spacing w:val="-50"/>
                <w:sz w:val="23"/>
                <w:szCs w:val="23"/>
              </w:rPr>
              <w:t xml:space="preserve"> </w:t>
            </w:r>
            <w:r>
              <w:rPr>
                <w:b/>
                <w:bCs/>
                <w:spacing w:val="-15"/>
                <w:sz w:val="23"/>
                <w:szCs w:val="23"/>
              </w:rPr>
              <w:t>值</w:t>
            </w:r>
            <w:r>
              <w:rPr>
                <w:spacing w:val="-51"/>
                <w:sz w:val="23"/>
                <w:szCs w:val="23"/>
              </w:rPr>
              <w:t xml:space="preserve"> </w:t>
            </w:r>
            <w:r>
              <w:rPr>
                <w:b/>
                <w:bCs/>
                <w:spacing w:val="-15"/>
                <w:sz w:val="23"/>
                <w:szCs w:val="23"/>
              </w:rPr>
              <w:t>确</w:t>
            </w:r>
            <w:r>
              <w:rPr>
                <w:spacing w:val="-44"/>
                <w:sz w:val="23"/>
                <w:szCs w:val="23"/>
              </w:rPr>
              <w:t xml:space="preserve"> </w:t>
            </w:r>
            <w:r>
              <w:rPr>
                <w:b/>
                <w:bCs/>
                <w:spacing w:val="-15"/>
                <w:sz w:val="23"/>
                <w:szCs w:val="23"/>
              </w:rPr>
              <w:t>定</w:t>
            </w:r>
            <w:r>
              <w:rPr>
                <w:spacing w:val="-51"/>
                <w:sz w:val="23"/>
                <w:szCs w:val="23"/>
              </w:rPr>
              <w:t xml:space="preserve"> </w:t>
            </w:r>
            <w:r>
              <w:rPr>
                <w:b/>
                <w:bCs/>
                <w:spacing w:val="-15"/>
                <w:sz w:val="23"/>
                <w:szCs w:val="23"/>
              </w:rPr>
              <w:t>表</w:t>
            </w:r>
          </w:p>
        </w:tc>
      </w:tr>
      <w:tr w14:paraId="0BC4E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14" w:type="dxa"/>
            <w:vMerge w:val="continue"/>
            <w:tcBorders>
              <w:top w:val="nil"/>
              <w:bottom w:val="nil"/>
            </w:tcBorders>
            <w:vAlign w:val="top"/>
          </w:tcPr>
          <w:p w14:paraId="685BF31A">
            <w:pPr>
              <w:rPr>
                <w:rFonts w:ascii="Arial"/>
                <w:sz w:val="21"/>
              </w:rPr>
            </w:pPr>
          </w:p>
        </w:tc>
        <w:tc>
          <w:tcPr>
            <w:tcW w:w="540" w:type="dxa"/>
            <w:textDirection w:val="tbRlV"/>
            <w:vAlign w:val="top"/>
          </w:tcPr>
          <w:p w14:paraId="626EF2E6">
            <w:pPr>
              <w:pStyle w:val="6"/>
              <w:spacing w:before="172" w:line="199" w:lineRule="auto"/>
              <w:ind w:left="18"/>
              <w:rPr>
                <w:sz w:val="23"/>
                <w:szCs w:val="23"/>
              </w:rPr>
            </w:pPr>
            <w:r>
              <w:rPr>
                <w:sz w:val="23"/>
                <w:szCs w:val="23"/>
              </w:rPr>
              <w:t>序号</w:t>
            </w:r>
          </w:p>
        </w:tc>
        <w:tc>
          <w:tcPr>
            <w:tcW w:w="2407" w:type="dxa"/>
            <w:gridSpan w:val="4"/>
            <w:vAlign w:val="top"/>
          </w:tcPr>
          <w:p w14:paraId="304DE2B6">
            <w:pPr>
              <w:pStyle w:val="6"/>
              <w:spacing w:before="151" w:line="220" w:lineRule="auto"/>
              <w:ind w:left="501"/>
              <w:rPr>
                <w:sz w:val="23"/>
                <w:szCs w:val="23"/>
              </w:rPr>
            </w:pPr>
            <w:r>
              <w:rPr>
                <w:spacing w:val="1"/>
                <w:sz w:val="23"/>
                <w:szCs w:val="23"/>
              </w:rPr>
              <w:t>危险物质名称</w:t>
            </w:r>
          </w:p>
        </w:tc>
        <w:tc>
          <w:tcPr>
            <w:tcW w:w="1119" w:type="dxa"/>
            <w:vAlign w:val="top"/>
          </w:tcPr>
          <w:p w14:paraId="50E09593">
            <w:pPr>
              <w:pStyle w:val="6"/>
              <w:spacing w:before="151" w:line="221" w:lineRule="auto"/>
              <w:ind w:left="264"/>
              <w:rPr>
                <w:sz w:val="23"/>
                <w:szCs w:val="23"/>
              </w:rPr>
            </w:pPr>
            <w:r>
              <w:rPr>
                <w:spacing w:val="-2"/>
                <w:sz w:val="23"/>
                <w:szCs w:val="23"/>
              </w:rPr>
              <w:t>CAS号</w:t>
            </w:r>
          </w:p>
        </w:tc>
        <w:tc>
          <w:tcPr>
            <w:tcW w:w="1578" w:type="dxa"/>
            <w:vAlign w:val="top"/>
          </w:tcPr>
          <w:p w14:paraId="56967A6D">
            <w:pPr>
              <w:pStyle w:val="6"/>
              <w:spacing w:before="29" w:line="197" w:lineRule="auto"/>
              <w:ind w:left="554" w:right="83" w:hanging="459"/>
              <w:rPr>
                <w:sz w:val="23"/>
                <w:szCs w:val="23"/>
              </w:rPr>
            </w:pPr>
            <w:r>
              <w:rPr>
                <w:spacing w:val="1"/>
                <w:sz w:val="23"/>
                <w:szCs w:val="23"/>
              </w:rPr>
              <w:t xml:space="preserve">最大存在总量 </w:t>
            </w:r>
            <w:r>
              <w:rPr>
                <w:spacing w:val="-3"/>
                <w:sz w:val="23"/>
                <w:szCs w:val="23"/>
              </w:rPr>
              <w:t>qn/t</w:t>
            </w:r>
          </w:p>
        </w:tc>
        <w:tc>
          <w:tcPr>
            <w:tcW w:w="1229" w:type="dxa"/>
            <w:vAlign w:val="top"/>
          </w:tcPr>
          <w:p w14:paraId="3962CA69">
            <w:pPr>
              <w:pStyle w:val="6"/>
              <w:spacing w:before="150" w:line="219" w:lineRule="auto"/>
              <w:ind w:left="37"/>
              <w:rPr>
                <w:sz w:val="23"/>
                <w:szCs w:val="23"/>
              </w:rPr>
            </w:pPr>
            <w:r>
              <w:rPr>
                <w:spacing w:val="3"/>
                <w:sz w:val="23"/>
                <w:szCs w:val="23"/>
              </w:rPr>
              <w:t>临界量</w:t>
            </w:r>
            <w:r>
              <w:rPr>
                <w:sz w:val="23"/>
                <w:szCs w:val="23"/>
              </w:rPr>
              <w:t>Qn</w:t>
            </w:r>
            <w:r>
              <w:rPr>
                <w:spacing w:val="3"/>
                <w:sz w:val="23"/>
                <w:szCs w:val="23"/>
              </w:rPr>
              <w:t>/t</w:t>
            </w:r>
          </w:p>
        </w:tc>
        <w:tc>
          <w:tcPr>
            <w:tcW w:w="1553" w:type="dxa"/>
            <w:gridSpan w:val="2"/>
            <w:vAlign w:val="top"/>
          </w:tcPr>
          <w:p w14:paraId="17723648">
            <w:pPr>
              <w:pStyle w:val="6"/>
              <w:spacing w:before="150" w:line="219" w:lineRule="auto"/>
              <w:ind w:left="138"/>
              <w:rPr>
                <w:sz w:val="23"/>
                <w:szCs w:val="23"/>
              </w:rPr>
            </w:pPr>
            <w:r>
              <w:rPr>
                <w:spacing w:val="-2"/>
                <w:sz w:val="23"/>
                <w:szCs w:val="23"/>
              </w:rPr>
              <w:t>危险物质Q值</w:t>
            </w:r>
          </w:p>
        </w:tc>
      </w:tr>
      <w:tr w14:paraId="60472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14" w:type="dxa"/>
            <w:vMerge w:val="continue"/>
            <w:tcBorders>
              <w:top w:val="nil"/>
              <w:bottom w:val="nil"/>
            </w:tcBorders>
            <w:vAlign w:val="top"/>
          </w:tcPr>
          <w:p w14:paraId="408A3F6E">
            <w:pPr>
              <w:rPr>
                <w:rFonts w:ascii="Arial"/>
                <w:sz w:val="21"/>
              </w:rPr>
            </w:pPr>
          </w:p>
        </w:tc>
        <w:tc>
          <w:tcPr>
            <w:tcW w:w="540" w:type="dxa"/>
            <w:vAlign w:val="top"/>
          </w:tcPr>
          <w:p w14:paraId="1D8E630B">
            <w:pPr>
              <w:pStyle w:val="6"/>
              <w:spacing w:before="83" w:line="198" w:lineRule="auto"/>
              <w:ind w:left="201"/>
              <w:rPr>
                <w:sz w:val="23"/>
                <w:szCs w:val="23"/>
              </w:rPr>
            </w:pPr>
            <w:r>
              <w:rPr>
                <w:sz w:val="23"/>
                <w:szCs w:val="23"/>
              </w:rPr>
              <w:t>1</w:t>
            </w:r>
          </w:p>
        </w:tc>
        <w:tc>
          <w:tcPr>
            <w:tcW w:w="2407" w:type="dxa"/>
            <w:gridSpan w:val="4"/>
            <w:vAlign w:val="top"/>
          </w:tcPr>
          <w:p w14:paraId="4D4CF9E4">
            <w:pPr>
              <w:pStyle w:val="6"/>
              <w:spacing w:before="59" w:line="217" w:lineRule="auto"/>
              <w:ind w:left="161"/>
              <w:rPr>
                <w:sz w:val="23"/>
                <w:szCs w:val="23"/>
              </w:rPr>
            </w:pPr>
            <w:r>
              <w:rPr>
                <w:spacing w:val="5"/>
                <w:sz w:val="23"/>
                <w:szCs w:val="23"/>
              </w:rPr>
              <w:t>油类物质(变压器油)</w:t>
            </w:r>
          </w:p>
        </w:tc>
        <w:tc>
          <w:tcPr>
            <w:tcW w:w="1119" w:type="dxa"/>
            <w:vAlign w:val="top"/>
          </w:tcPr>
          <w:p w14:paraId="4AACF1CB">
            <w:pPr>
              <w:pStyle w:val="6"/>
              <w:spacing w:before="67" w:line="211" w:lineRule="auto"/>
              <w:ind w:left="494"/>
              <w:rPr>
                <w:sz w:val="23"/>
                <w:szCs w:val="23"/>
              </w:rPr>
            </w:pPr>
            <w:r>
              <w:rPr>
                <w:sz w:val="23"/>
                <w:szCs w:val="23"/>
              </w:rPr>
              <w:t>/</w:t>
            </w:r>
          </w:p>
        </w:tc>
        <w:tc>
          <w:tcPr>
            <w:tcW w:w="1578" w:type="dxa"/>
            <w:vAlign w:val="top"/>
          </w:tcPr>
          <w:p w14:paraId="63291BB2">
            <w:pPr>
              <w:pStyle w:val="6"/>
              <w:spacing w:before="83" w:line="198" w:lineRule="auto"/>
              <w:ind w:left="555"/>
              <w:rPr>
                <w:sz w:val="23"/>
                <w:szCs w:val="23"/>
              </w:rPr>
            </w:pPr>
            <w:r>
              <w:rPr>
                <w:spacing w:val="-3"/>
                <w:sz w:val="23"/>
                <w:szCs w:val="23"/>
              </w:rPr>
              <w:t>77.1</w:t>
            </w:r>
          </w:p>
        </w:tc>
        <w:tc>
          <w:tcPr>
            <w:tcW w:w="1229" w:type="dxa"/>
            <w:vAlign w:val="top"/>
          </w:tcPr>
          <w:p w14:paraId="0DAF0DAB">
            <w:pPr>
              <w:pStyle w:val="6"/>
              <w:spacing w:before="83" w:line="198" w:lineRule="auto"/>
              <w:ind w:left="377"/>
              <w:rPr>
                <w:sz w:val="23"/>
                <w:szCs w:val="23"/>
              </w:rPr>
            </w:pPr>
            <w:r>
              <w:rPr>
                <w:spacing w:val="-3"/>
                <w:sz w:val="23"/>
                <w:szCs w:val="23"/>
              </w:rPr>
              <w:t>2500</w:t>
            </w:r>
          </w:p>
        </w:tc>
        <w:tc>
          <w:tcPr>
            <w:tcW w:w="1553" w:type="dxa"/>
            <w:gridSpan w:val="2"/>
            <w:vAlign w:val="top"/>
          </w:tcPr>
          <w:p w14:paraId="14FA868E">
            <w:pPr>
              <w:pStyle w:val="6"/>
              <w:spacing w:before="83" w:line="198" w:lineRule="auto"/>
              <w:ind w:left="478"/>
              <w:rPr>
                <w:sz w:val="23"/>
                <w:szCs w:val="23"/>
              </w:rPr>
            </w:pPr>
            <w:r>
              <w:rPr>
                <w:spacing w:val="-2"/>
                <w:sz w:val="23"/>
                <w:szCs w:val="23"/>
              </w:rPr>
              <w:t>0.031</w:t>
            </w:r>
          </w:p>
        </w:tc>
      </w:tr>
      <w:tr w14:paraId="043C1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914" w:type="dxa"/>
            <w:vMerge w:val="continue"/>
            <w:tcBorders>
              <w:top w:val="nil"/>
              <w:bottom w:val="nil"/>
            </w:tcBorders>
            <w:vAlign w:val="top"/>
          </w:tcPr>
          <w:p w14:paraId="4F1C4033">
            <w:pPr>
              <w:rPr>
                <w:rFonts w:ascii="Arial"/>
                <w:sz w:val="21"/>
              </w:rPr>
            </w:pPr>
          </w:p>
        </w:tc>
        <w:tc>
          <w:tcPr>
            <w:tcW w:w="540" w:type="dxa"/>
            <w:vAlign w:val="top"/>
          </w:tcPr>
          <w:p w14:paraId="19232AB0">
            <w:pPr>
              <w:pStyle w:val="6"/>
              <w:spacing w:before="83" w:line="206" w:lineRule="auto"/>
              <w:ind w:left="201"/>
              <w:rPr>
                <w:sz w:val="23"/>
                <w:szCs w:val="23"/>
              </w:rPr>
            </w:pPr>
            <w:r>
              <w:rPr>
                <w:sz w:val="23"/>
                <w:szCs w:val="23"/>
              </w:rPr>
              <w:t>2</w:t>
            </w:r>
          </w:p>
        </w:tc>
        <w:tc>
          <w:tcPr>
            <w:tcW w:w="2407" w:type="dxa"/>
            <w:gridSpan w:val="4"/>
            <w:vAlign w:val="top"/>
          </w:tcPr>
          <w:p w14:paraId="165FADBA">
            <w:pPr>
              <w:pStyle w:val="6"/>
              <w:spacing w:before="60" w:line="219" w:lineRule="auto"/>
              <w:ind w:right="5"/>
              <w:jc w:val="right"/>
              <w:rPr>
                <w:sz w:val="23"/>
                <w:szCs w:val="23"/>
              </w:rPr>
            </w:pPr>
            <w:r>
              <w:rPr>
                <w:spacing w:val="4"/>
                <w:sz w:val="23"/>
                <w:szCs w:val="23"/>
              </w:rPr>
              <w:t>油类物质(废变压器油)</w:t>
            </w:r>
          </w:p>
        </w:tc>
        <w:tc>
          <w:tcPr>
            <w:tcW w:w="1119" w:type="dxa"/>
            <w:vAlign w:val="top"/>
          </w:tcPr>
          <w:p w14:paraId="70317F55">
            <w:pPr>
              <w:pStyle w:val="6"/>
              <w:spacing w:before="67" w:line="219" w:lineRule="auto"/>
              <w:ind w:left="494"/>
              <w:rPr>
                <w:sz w:val="23"/>
                <w:szCs w:val="23"/>
              </w:rPr>
            </w:pPr>
            <w:r>
              <w:rPr>
                <w:sz w:val="23"/>
                <w:szCs w:val="23"/>
              </w:rPr>
              <w:t>/</w:t>
            </w:r>
          </w:p>
        </w:tc>
        <w:tc>
          <w:tcPr>
            <w:tcW w:w="1578" w:type="dxa"/>
            <w:vAlign w:val="top"/>
          </w:tcPr>
          <w:p w14:paraId="397AC9AB">
            <w:pPr>
              <w:pStyle w:val="6"/>
              <w:spacing w:before="83" w:line="206" w:lineRule="auto"/>
              <w:ind w:left="495"/>
              <w:rPr>
                <w:sz w:val="23"/>
                <w:szCs w:val="23"/>
              </w:rPr>
            </w:pPr>
            <w:r>
              <w:rPr>
                <w:spacing w:val="-5"/>
                <w:sz w:val="23"/>
                <w:szCs w:val="23"/>
              </w:rPr>
              <w:t>15.42</w:t>
            </w:r>
          </w:p>
        </w:tc>
        <w:tc>
          <w:tcPr>
            <w:tcW w:w="1229" w:type="dxa"/>
            <w:vAlign w:val="top"/>
          </w:tcPr>
          <w:p w14:paraId="0A36BEFA">
            <w:pPr>
              <w:pStyle w:val="6"/>
              <w:spacing w:before="83" w:line="206" w:lineRule="auto"/>
              <w:ind w:left="377"/>
              <w:rPr>
                <w:sz w:val="23"/>
                <w:szCs w:val="23"/>
              </w:rPr>
            </w:pPr>
            <w:r>
              <w:rPr>
                <w:spacing w:val="-3"/>
                <w:sz w:val="23"/>
                <w:szCs w:val="23"/>
              </w:rPr>
              <w:t>2500</w:t>
            </w:r>
          </w:p>
        </w:tc>
        <w:tc>
          <w:tcPr>
            <w:tcW w:w="1553" w:type="dxa"/>
            <w:gridSpan w:val="2"/>
            <w:vAlign w:val="top"/>
          </w:tcPr>
          <w:p w14:paraId="3EA6F028">
            <w:pPr>
              <w:pStyle w:val="6"/>
              <w:spacing w:before="83" w:line="206" w:lineRule="auto"/>
              <w:ind w:left="428"/>
              <w:rPr>
                <w:sz w:val="23"/>
                <w:szCs w:val="23"/>
              </w:rPr>
            </w:pPr>
            <w:r>
              <w:rPr>
                <w:spacing w:val="-2"/>
                <w:sz w:val="23"/>
                <w:szCs w:val="23"/>
              </w:rPr>
              <w:t>0.0061</w:t>
            </w:r>
          </w:p>
        </w:tc>
      </w:tr>
      <w:tr w14:paraId="2837A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14" w:type="dxa"/>
            <w:vMerge w:val="continue"/>
            <w:tcBorders>
              <w:top w:val="nil"/>
              <w:bottom w:val="nil"/>
            </w:tcBorders>
            <w:vAlign w:val="top"/>
          </w:tcPr>
          <w:p w14:paraId="54D4AF54">
            <w:pPr>
              <w:rPr>
                <w:rFonts w:ascii="Arial"/>
                <w:sz w:val="21"/>
              </w:rPr>
            </w:pPr>
          </w:p>
        </w:tc>
        <w:tc>
          <w:tcPr>
            <w:tcW w:w="540" w:type="dxa"/>
            <w:vAlign w:val="top"/>
          </w:tcPr>
          <w:p w14:paraId="4530C322">
            <w:pPr>
              <w:pStyle w:val="6"/>
              <w:spacing w:before="83" w:line="198" w:lineRule="auto"/>
              <w:ind w:left="201"/>
              <w:rPr>
                <w:sz w:val="23"/>
                <w:szCs w:val="23"/>
              </w:rPr>
            </w:pPr>
            <w:r>
              <w:rPr>
                <w:sz w:val="23"/>
                <w:szCs w:val="23"/>
              </w:rPr>
              <w:t>3</w:t>
            </w:r>
          </w:p>
        </w:tc>
        <w:tc>
          <w:tcPr>
            <w:tcW w:w="2407" w:type="dxa"/>
            <w:gridSpan w:val="4"/>
            <w:vAlign w:val="top"/>
          </w:tcPr>
          <w:p w14:paraId="0C7AD8E8">
            <w:pPr>
              <w:pStyle w:val="6"/>
              <w:spacing w:before="59" w:line="217" w:lineRule="auto"/>
              <w:ind w:left="161"/>
              <w:rPr>
                <w:sz w:val="23"/>
                <w:szCs w:val="23"/>
              </w:rPr>
            </w:pPr>
            <w:r>
              <w:rPr>
                <w:spacing w:val="5"/>
                <w:sz w:val="23"/>
                <w:szCs w:val="23"/>
              </w:rPr>
              <w:t>油类物质(检修废油)</w:t>
            </w:r>
          </w:p>
        </w:tc>
        <w:tc>
          <w:tcPr>
            <w:tcW w:w="1119" w:type="dxa"/>
            <w:vAlign w:val="top"/>
          </w:tcPr>
          <w:p w14:paraId="496E7C1F">
            <w:pPr>
              <w:pStyle w:val="6"/>
              <w:spacing w:before="67" w:line="211" w:lineRule="auto"/>
              <w:ind w:left="494"/>
              <w:rPr>
                <w:sz w:val="23"/>
                <w:szCs w:val="23"/>
              </w:rPr>
            </w:pPr>
            <w:r>
              <w:rPr>
                <w:sz w:val="23"/>
                <w:szCs w:val="23"/>
              </w:rPr>
              <w:t>/</w:t>
            </w:r>
          </w:p>
        </w:tc>
        <w:tc>
          <w:tcPr>
            <w:tcW w:w="1578" w:type="dxa"/>
            <w:vAlign w:val="top"/>
          </w:tcPr>
          <w:p w14:paraId="2B928349">
            <w:pPr>
              <w:pStyle w:val="6"/>
              <w:spacing w:before="83" w:line="198" w:lineRule="auto"/>
              <w:ind w:left="605"/>
              <w:rPr>
                <w:sz w:val="23"/>
                <w:szCs w:val="23"/>
              </w:rPr>
            </w:pPr>
            <w:r>
              <w:rPr>
                <w:spacing w:val="-3"/>
                <w:sz w:val="23"/>
                <w:szCs w:val="23"/>
              </w:rPr>
              <w:t>0.2</w:t>
            </w:r>
          </w:p>
        </w:tc>
        <w:tc>
          <w:tcPr>
            <w:tcW w:w="1229" w:type="dxa"/>
            <w:vAlign w:val="top"/>
          </w:tcPr>
          <w:p w14:paraId="619662BF">
            <w:pPr>
              <w:pStyle w:val="6"/>
              <w:spacing w:before="83" w:line="198" w:lineRule="auto"/>
              <w:ind w:left="377"/>
              <w:rPr>
                <w:sz w:val="23"/>
                <w:szCs w:val="23"/>
              </w:rPr>
            </w:pPr>
            <w:r>
              <w:rPr>
                <w:spacing w:val="-3"/>
                <w:sz w:val="23"/>
                <w:szCs w:val="23"/>
              </w:rPr>
              <w:t>2500</w:t>
            </w:r>
          </w:p>
        </w:tc>
        <w:tc>
          <w:tcPr>
            <w:tcW w:w="1553" w:type="dxa"/>
            <w:gridSpan w:val="2"/>
            <w:vAlign w:val="top"/>
          </w:tcPr>
          <w:p w14:paraId="7111C497">
            <w:pPr>
              <w:pStyle w:val="6"/>
              <w:spacing w:before="83" w:line="198" w:lineRule="auto"/>
              <w:ind w:left="368"/>
              <w:rPr>
                <w:sz w:val="23"/>
                <w:szCs w:val="23"/>
              </w:rPr>
            </w:pPr>
            <w:r>
              <w:rPr>
                <w:spacing w:val="-2"/>
                <w:sz w:val="23"/>
                <w:szCs w:val="23"/>
              </w:rPr>
              <w:t>0.00008</w:t>
            </w:r>
          </w:p>
        </w:tc>
      </w:tr>
      <w:tr w14:paraId="619C2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914" w:type="dxa"/>
            <w:vMerge w:val="continue"/>
            <w:tcBorders>
              <w:top w:val="nil"/>
              <w:bottom w:val="nil"/>
            </w:tcBorders>
            <w:vAlign w:val="top"/>
          </w:tcPr>
          <w:p w14:paraId="483F25C6">
            <w:pPr>
              <w:rPr>
                <w:rFonts w:ascii="Arial"/>
                <w:sz w:val="21"/>
              </w:rPr>
            </w:pPr>
          </w:p>
        </w:tc>
        <w:tc>
          <w:tcPr>
            <w:tcW w:w="540" w:type="dxa"/>
            <w:vAlign w:val="top"/>
          </w:tcPr>
          <w:p w14:paraId="5B82677F">
            <w:pPr>
              <w:pStyle w:val="6"/>
              <w:spacing w:before="312"/>
              <w:ind w:left="201"/>
              <w:rPr>
                <w:sz w:val="23"/>
                <w:szCs w:val="23"/>
              </w:rPr>
            </w:pPr>
            <w:r>
              <w:rPr>
                <w:sz w:val="23"/>
                <w:szCs w:val="23"/>
              </w:rPr>
              <w:t>3</w:t>
            </w:r>
          </w:p>
        </w:tc>
        <w:tc>
          <w:tcPr>
            <w:tcW w:w="2407" w:type="dxa"/>
            <w:gridSpan w:val="4"/>
            <w:vAlign w:val="top"/>
          </w:tcPr>
          <w:p w14:paraId="430E82CE">
            <w:pPr>
              <w:pStyle w:val="6"/>
              <w:spacing w:before="39" w:line="217" w:lineRule="auto"/>
              <w:ind w:left="101"/>
              <w:rPr>
                <w:sz w:val="23"/>
                <w:szCs w:val="23"/>
              </w:rPr>
            </w:pPr>
            <w:r>
              <w:rPr>
                <w:spacing w:val="-1"/>
                <w:sz w:val="23"/>
                <w:szCs w:val="23"/>
              </w:rPr>
              <w:t>硫酸(废铅蓄电池)(铅</w:t>
            </w:r>
          </w:p>
          <w:p w14:paraId="60954E43">
            <w:pPr>
              <w:pStyle w:val="6"/>
              <w:spacing w:line="210" w:lineRule="auto"/>
              <w:ind w:left="161"/>
              <w:rPr>
                <w:sz w:val="23"/>
                <w:szCs w:val="23"/>
              </w:rPr>
            </w:pPr>
            <w:r>
              <w:rPr>
                <w:spacing w:val="2"/>
                <w:sz w:val="23"/>
                <w:szCs w:val="23"/>
              </w:rPr>
              <w:t>酸蓄电池硫酸含量以</w:t>
            </w:r>
          </w:p>
          <w:p w14:paraId="472D78D2">
            <w:pPr>
              <w:pStyle w:val="6"/>
              <w:spacing w:line="182" w:lineRule="auto"/>
              <w:ind w:left="901"/>
              <w:rPr>
                <w:sz w:val="23"/>
                <w:szCs w:val="23"/>
              </w:rPr>
            </w:pPr>
            <w:r>
              <w:rPr>
                <w:spacing w:val="13"/>
                <w:sz w:val="23"/>
                <w:szCs w:val="23"/>
              </w:rPr>
              <w:t>7%计)</w:t>
            </w:r>
          </w:p>
        </w:tc>
        <w:tc>
          <w:tcPr>
            <w:tcW w:w="1119" w:type="dxa"/>
            <w:vAlign w:val="top"/>
          </w:tcPr>
          <w:p w14:paraId="31AF44F3">
            <w:pPr>
              <w:pStyle w:val="6"/>
              <w:spacing w:before="312"/>
              <w:ind w:left="34"/>
              <w:rPr>
                <w:sz w:val="23"/>
                <w:szCs w:val="23"/>
              </w:rPr>
            </w:pPr>
            <w:r>
              <w:rPr>
                <w:spacing w:val="-2"/>
                <w:sz w:val="23"/>
                <w:szCs w:val="23"/>
              </w:rPr>
              <w:t>7664-93-9</w:t>
            </w:r>
          </w:p>
        </w:tc>
        <w:tc>
          <w:tcPr>
            <w:tcW w:w="1578" w:type="dxa"/>
            <w:vAlign w:val="top"/>
          </w:tcPr>
          <w:p w14:paraId="34B23288">
            <w:pPr>
              <w:pStyle w:val="6"/>
              <w:spacing w:before="313" w:line="239" w:lineRule="auto"/>
              <w:ind w:left="555"/>
              <w:rPr>
                <w:sz w:val="23"/>
                <w:szCs w:val="23"/>
              </w:rPr>
            </w:pPr>
            <w:r>
              <w:rPr>
                <w:spacing w:val="-3"/>
                <w:sz w:val="23"/>
                <w:szCs w:val="23"/>
              </w:rPr>
              <w:t>0.14</w:t>
            </w:r>
          </w:p>
        </w:tc>
        <w:tc>
          <w:tcPr>
            <w:tcW w:w="1229" w:type="dxa"/>
            <w:vAlign w:val="top"/>
          </w:tcPr>
          <w:p w14:paraId="4F1B2AD8">
            <w:pPr>
              <w:pStyle w:val="6"/>
              <w:spacing w:before="312"/>
              <w:ind w:left="497"/>
              <w:rPr>
                <w:sz w:val="23"/>
                <w:szCs w:val="23"/>
              </w:rPr>
            </w:pPr>
            <w:r>
              <w:rPr>
                <w:spacing w:val="-7"/>
                <w:sz w:val="23"/>
                <w:szCs w:val="23"/>
              </w:rPr>
              <w:t>10</w:t>
            </w:r>
          </w:p>
        </w:tc>
        <w:tc>
          <w:tcPr>
            <w:tcW w:w="1553" w:type="dxa"/>
            <w:gridSpan w:val="2"/>
            <w:vAlign w:val="top"/>
          </w:tcPr>
          <w:p w14:paraId="0DF0FDC1">
            <w:pPr>
              <w:pStyle w:val="6"/>
              <w:spacing w:before="313" w:line="239" w:lineRule="auto"/>
              <w:ind w:left="478"/>
              <w:rPr>
                <w:sz w:val="23"/>
                <w:szCs w:val="23"/>
              </w:rPr>
            </w:pPr>
            <w:r>
              <w:rPr>
                <w:spacing w:val="-2"/>
                <w:sz w:val="23"/>
                <w:szCs w:val="23"/>
              </w:rPr>
              <w:t>0.014</w:t>
            </w:r>
          </w:p>
        </w:tc>
      </w:tr>
      <w:tr w14:paraId="400FA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914" w:type="dxa"/>
            <w:vMerge w:val="continue"/>
            <w:tcBorders>
              <w:top w:val="nil"/>
              <w:bottom w:val="nil"/>
            </w:tcBorders>
            <w:vAlign w:val="top"/>
          </w:tcPr>
          <w:p w14:paraId="3EB87064">
            <w:pPr>
              <w:rPr>
                <w:rFonts w:ascii="Arial"/>
                <w:sz w:val="21"/>
              </w:rPr>
            </w:pPr>
          </w:p>
        </w:tc>
        <w:tc>
          <w:tcPr>
            <w:tcW w:w="6873" w:type="dxa"/>
            <w:gridSpan w:val="8"/>
            <w:vAlign w:val="top"/>
          </w:tcPr>
          <w:p w14:paraId="2006A9A2">
            <w:pPr>
              <w:pStyle w:val="6"/>
              <w:spacing w:before="72" w:line="221" w:lineRule="auto"/>
              <w:ind w:left="3221"/>
              <w:rPr>
                <w:sz w:val="23"/>
                <w:szCs w:val="23"/>
              </w:rPr>
            </w:pPr>
            <w:r>
              <w:rPr>
                <w:spacing w:val="-3"/>
                <w:sz w:val="23"/>
                <w:szCs w:val="23"/>
              </w:rPr>
              <w:t>合计</w:t>
            </w:r>
          </w:p>
        </w:tc>
        <w:tc>
          <w:tcPr>
            <w:tcW w:w="1553" w:type="dxa"/>
            <w:gridSpan w:val="2"/>
            <w:vAlign w:val="top"/>
          </w:tcPr>
          <w:p w14:paraId="68CD86FA">
            <w:pPr>
              <w:pStyle w:val="6"/>
              <w:spacing w:before="94" w:line="213" w:lineRule="auto"/>
              <w:ind w:right="29"/>
              <w:jc w:val="right"/>
              <w:rPr>
                <w:sz w:val="23"/>
                <w:szCs w:val="23"/>
              </w:rPr>
            </w:pPr>
            <w:r>
              <w:rPr>
                <w:spacing w:val="-2"/>
                <w:sz w:val="23"/>
                <w:szCs w:val="23"/>
              </w:rPr>
              <w:t>0.05118</w:t>
            </w:r>
          </w:p>
        </w:tc>
      </w:tr>
      <w:tr w14:paraId="6B00A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7" w:hRule="atLeast"/>
        </w:trPr>
        <w:tc>
          <w:tcPr>
            <w:tcW w:w="914" w:type="dxa"/>
            <w:vMerge w:val="continue"/>
            <w:tcBorders>
              <w:top w:val="nil"/>
              <w:bottom w:val="nil"/>
            </w:tcBorders>
            <w:vAlign w:val="top"/>
          </w:tcPr>
          <w:p w14:paraId="4E21CBA2">
            <w:pPr>
              <w:rPr>
                <w:rFonts w:ascii="Arial"/>
                <w:sz w:val="21"/>
              </w:rPr>
            </w:pPr>
          </w:p>
        </w:tc>
        <w:tc>
          <w:tcPr>
            <w:tcW w:w="8426" w:type="dxa"/>
            <w:gridSpan w:val="10"/>
            <w:vAlign w:val="top"/>
          </w:tcPr>
          <w:p w14:paraId="50157BB4">
            <w:pPr>
              <w:pStyle w:val="6"/>
              <w:spacing w:before="22" w:line="219" w:lineRule="auto"/>
              <w:ind w:left="61" w:firstLine="9"/>
              <w:rPr>
                <w:sz w:val="23"/>
                <w:szCs w:val="23"/>
              </w:rPr>
            </w:pPr>
            <w:r>
              <w:rPr>
                <w:spacing w:val="-14"/>
                <w:sz w:val="23"/>
                <w:szCs w:val="23"/>
              </w:rPr>
              <w:t>注：</w:t>
            </w:r>
            <w:r>
              <w:rPr>
                <w:spacing w:val="-13"/>
                <w:sz w:val="23"/>
                <w:szCs w:val="23"/>
              </w:rPr>
              <w:t>项目废铅蓄电池中含有铅和硫酸，其中铅占电池总重量的82%左右，硫酸占电池总</w:t>
            </w:r>
            <w:r>
              <w:rPr>
                <w:spacing w:val="-11"/>
                <w:sz w:val="23"/>
                <w:szCs w:val="23"/>
              </w:rPr>
              <w:t>重</w:t>
            </w:r>
            <w:r>
              <w:rPr>
                <w:spacing w:val="8"/>
                <w:sz w:val="23"/>
                <w:szCs w:val="23"/>
              </w:rPr>
              <w:t xml:space="preserve"> </w:t>
            </w:r>
            <w:r>
              <w:rPr>
                <w:sz w:val="23"/>
                <w:szCs w:val="23"/>
              </w:rPr>
              <w:t>量的7%左右。</w:t>
            </w:r>
          </w:p>
          <w:p w14:paraId="2B599C34">
            <w:pPr>
              <w:pStyle w:val="6"/>
              <w:spacing w:before="1" w:line="381" w:lineRule="auto"/>
              <w:ind w:left="61" w:right="739" w:firstLine="469"/>
              <w:rPr>
                <w:sz w:val="23"/>
                <w:szCs w:val="23"/>
              </w:rPr>
            </w:pPr>
            <w:r>
              <w:rPr>
                <w:sz w:val="23"/>
                <w:szCs w:val="23"/>
              </w:rPr>
              <w:t>本项目Q&lt;1,环境风险潜势判定为I,根据《建设项目环境风险评价技术导</w:t>
            </w:r>
            <w:r>
              <w:rPr>
                <w:spacing w:val="14"/>
                <w:sz w:val="23"/>
                <w:szCs w:val="23"/>
              </w:rPr>
              <w:t xml:space="preserve"> </w:t>
            </w:r>
            <w:r>
              <w:rPr>
                <w:sz w:val="23"/>
                <w:szCs w:val="23"/>
              </w:rPr>
              <w:t>则》(HJ169-2018),本次评价进行简单分析。</w:t>
            </w:r>
          </w:p>
          <w:p w14:paraId="1E60E860">
            <w:pPr>
              <w:pStyle w:val="6"/>
              <w:spacing w:line="220" w:lineRule="auto"/>
              <w:ind w:left="64"/>
              <w:rPr>
                <w:sz w:val="23"/>
                <w:szCs w:val="23"/>
              </w:rPr>
            </w:pPr>
            <w:r>
              <w:rPr>
                <w:b/>
                <w:bCs/>
                <w:spacing w:val="-1"/>
                <w:sz w:val="23"/>
                <w:szCs w:val="23"/>
              </w:rPr>
              <w:t>9.3环境风险识别</w:t>
            </w:r>
          </w:p>
          <w:p w14:paraId="159F7621">
            <w:pPr>
              <w:pStyle w:val="6"/>
              <w:spacing w:before="178" w:line="219" w:lineRule="auto"/>
              <w:ind w:left="551"/>
              <w:rPr>
                <w:sz w:val="23"/>
                <w:szCs w:val="23"/>
              </w:rPr>
            </w:pPr>
            <w:r>
              <w:rPr>
                <w:sz w:val="23"/>
                <w:szCs w:val="23"/>
              </w:rPr>
              <w:t>项目环境风险主要包括：变压器油等可燃物(或助燃物)泄漏污</w:t>
            </w:r>
            <w:r>
              <w:rPr>
                <w:spacing w:val="-1"/>
                <w:sz w:val="23"/>
                <w:szCs w:val="23"/>
              </w:rPr>
              <w:t>染周边水体。</w:t>
            </w:r>
          </w:p>
          <w:p w14:paraId="1994FB6B">
            <w:pPr>
              <w:pStyle w:val="6"/>
              <w:spacing w:before="207" w:line="219" w:lineRule="auto"/>
              <w:ind w:left="681"/>
              <w:rPr>
                <w:sz w:val="23"/>
                <w:szCs w:val="23"/>
              </w:rPr>
            </w:pPr>
            <w:r>
              <w:rPr>
                <w:spacing w:val="1"/>
                <w:sz w:val="23"/>
                <w:szCs w:val="23"/>
              </w:rPr>
              <w:t>(1)风险物质危险特性及理化性质</w:t>
            </w:r>
          </w:p>
          <w:p w14:paraId="2B207382">
            <w:pPr>
              <w:pStyle w:val="6"/>
              <w:spacing w:before="217" w:line="219" w:lineRule="auto"/>
              <w:ind w:left="541"/>
              <w:rPr>
                <w:sz w:val="23"/>
                <w:szCs w:val="23"/>
              </w:rPr>
            </w:pPr>
            <w:r>
              <w:rPr>
                <w:sz w:val="23"/>
                <w:szCs w:val="23"/>
              </w:rPr>
              <w:t>项目所涉及的环境风险物质的危险特性及理</w:t>
            </w:r>
            <w:r>
              <w:rPr>
                <w:spacing w:val="-1"/>
                <w:sz w:val="23"/>
                <w:szCs w:val="23"/>
              </w:rPr>
              <w:t>化性质如下：</w:t>
            </w:r>
          </w:p>
          <w:p w14:paraId="644FD692">
            <w:pPr>
              <w:pStyle w:val="6"/>
              <w:spacing w:before="184" w:line="183" w:lineRule="auto"/>
              <w:ind w:left="2504"/>
              <w:rPr>
                <w:sz w:val="23"/>
                <w:szCs w:val="23"/>
              </w:rPr>
            </w:pPr>
            <w:r>
              <w:rPr>
                <w:b/>
                <w:bCs/>
                <w:spacing w:val="-2"/>
                <w:sz w:val="23"/>
                <w:szCs w:val="23"/>
              </w:rPr>
              <w:t>表4-28</w:t>
            </w:r>
            <w:r>
              <w:rPr>
                <w:spacing w:val="-2"/>
                <w:sz w:val="23"/>
                <w:szCs w:val="23"/>
              </w:rPr>
              <w:t xml:space="preserve">   </w:t>
            </w:r>
            <w:r>
              <w:rPr>
                <w:b/>
                <w:bCs/>
                <w:color w:val="504050"/>
                <w:spacing w:val="-2"/>
                <w:sz w:val="23"/>
                <w:szCs w:val="23"/>
              </w:rPr>
              <w:t>项</w:t>
            </w:r>
            <w:r>
              <w:rPr>
                <w:b/>
                <w:bCs/>
                <w:spacing w:val="-2"/>
                <w:sz w:val="23"/>
                <w:szCs w:val="23"/>
              </w:rPr>
              <w:t>目变压器油理化性质</w:t>
            </w:r>
          </w:p>
        </w:tc>
      </w:tr>
      <w:tr w14:paraId="5D30C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914" w:type="dxa"/>
            <w:vMerge w:val="continue"/>
            <w:tcBorders>
              <w:top w:val="nil"/>
              <w:bottom w:val="nil"/>
            </w:tcBorders>
            <w:vAlign w:val="top"/>
          </w:tcPr>
          <w:p w14:paraId="2CD1C99E">
            <w:pPr>
              <w:rPr>
                <w:rFonts w:ascii="Arial"/>
                <w:sz w:val="21"/>
              </w:rPr>
            </w:pPr>
          </w:p>
        </w:tc>
        <w:tc>
          <w:tcPr>
            <w:tcW w:w="2128" w:type="dxa"/>
            <w:gridSpan w:val="4"/>
            <w:tcBorders>
              <w:bottom w:val="nil"/>
            </w:tcBorders>
            <w:vAlign w:val="top"/>
          </w:tcPr>
          <w:p w14:paraId="2BF0C0CF">
            <w:pPr>
              <w:pStyle w:val="6"/>
              <w:spacing w:before="47" w:line="221" w:lineRule="auto"/>
              <w:ind w:left="901"/>
              <w:rPr>
                <w:sz w:val="23"/>
                <w:szCs w:val="23"/>
              </w:rPr>
            </w:pPr>
            <w:r>
              <w:rPr>
                <w:spacing w:val="5"/>
                <w:sz w:val="23"/>
                <w:szCs w:val="23"/>
              </w:rPr>
              <w:t>名称</w:t>
            </w:r>
          </w:p>
        </w:tc>
        <w:tc>
          <w:tcPr>
            <w:tcW w:w="5754" w:type="dxa"/>
            <w:gridSpan w:val="5"/>
            <w:vMerge w:val="restart"/>
            <w:tcBorders>
              <w:bottom w:val="nil"/>
            </w:tcBorders>
            <w:vAlign w:val="top"/>
          </w:tcPr>
          <w:p w14:paraId="5663A984">
            <w:pPr>
              <w:pStyle w:val="6"/>
              <w:spacing w:before="55" w:line="220" w:lineRule="auto"/>
              <w:ind w:left="2413"/>
              <w:rPr>
                <w:sz w:val="23"/>
                <w:szCs w:val="23"/>
              </w:rPr>
            </w:pPr>
            <w:r>
              <w:rPr>
                <w:spacing w:val="6"/>
                <w:sz w:val="23"/>
                <w:szCs w:val="23"/>
              </w:rPr>
              <w:t>理化性质</w:t>
            </w:r>
          </w:p>
          <w:p w14:paraId="02002CC3">
            <w:pPr>
              <w:pStyle w:val="6"/>
              <w:spacing w:before="34" w:line="209" w:lineRule="auto"/>
              <w:ind w:left="13"/>
              <w:rPr>
                <w:sz w:val="23"/>
                <w:szCs w:val="23"/>
              </w:rPr>
            </w:pPr>
            <w:r>
              <w:rPr>
                <w:spacing w:val="7"/>
                <w:sz w:val="23"/>
                <w:szCs w:val="23"/>
              </w:rPr>
              <w:t>外观与性状：稍有粘稠半透明液体；</w:t>
            </w:r>
          </w:p>
          <w:p w14:paraId="41F38809">
            <w:pPr>
              <w:pStyle w:val="6"/>
              <w:spacing w:line="217" w:lineRule="auto"/>
              <w:ind w:left="13"/>
              <w:rPr>
                <w:sz w:val="23"/>
                <w:szCs w:val="23"/>
              </w:rPr>
            </w:pPr>
            <w:r>
              <w:rPr>
                <w:spacing w:val="2"/>
                <w:sz w:val="23"/>
                <w:szCs w:val="23"/>
              </w:rPr>
              <w:t>相对密度(水=1):0.86~0.895;</w:t>
            </w:r>
          </w:p>
          <w:p w14:paraId="20EF345E">
            <w:pPr>
              <w:pStyle w:val="6"/>
              <w:spacing w:line="212" w:lineRule="auto"/>
              <w:ind w:left="23" w:right="2812" w:hanging="10"/>
              <w:rPr>
                <w:sz w:val="23"/>
                <w:szCs w:val="23"/>
              </w:rPr>
            </w:pPr>
            <w:r>
              <w:rPr>
                <w:spacing w:val="2"/>
                <w:sz w:val="23"/>
                <w:szCs w:val="23"/>
              </w:rPr>
              <w:t>相对蒸气密度(空气=1):1.4;</w:t>
            </w:r>
            <w:r>
              <w:rPr>
                <w:spacing w:val="8"/>
                <w:sz w:val="23"/>
                <w:szCs w:val="23"/>
              </w:rPr>
              <w:t xml:space="preserve"> </w:t>
            </w:r>
            <w:r>
              <w:rPr>
                <w:spacing w:val="4"/>
                <w:sz w:val="23"/>
                <w:szCs w:val="23"/>
              </w:rPr>
              <w:t>点(℃):≥135;</w:t>
            </w:r>
          </w:p>
          <w:p w14:paraId="1B3895E9">
            <w:pPr>
              <w:pStyle w:val="6"/>
              <w:spacing w:line="219" w:lineRule="auto"/>
              <w:ind w:left="13"/>
              <w:rPr>
                <w:sz w:val="23"/>
                <w:szCs w:val="23"/>
              </w:rPr>
            </w:pPr>
            <w:r>
              <w:rPr>
                <w:spacing w:val="-1"/>
                <w:sz w:val="23"/>
                <w:szCs w:val="23"/>
              </w:rPr>
              <w:t>解性：不溶于水。</w:t>
            </w:r>
          </w:p>
          <w:p w14:paraId="28851383">
            <w:pPr>
              <w:pStyle w:val="6"/>
              <w:spacing w:before="17" w:line="203" w:lineRule="auto"/>
              <w:ind w:left="13"/>
              <w:rPr>
                <w:sz w:val="23"/>
                <w:szCs w:val="23"/>
              </w:rPr>
            </w:pPr>
            <w:r>
              <w:rPr>
                <w:spacing w:val="-1"/>
                <w:sz w:val="23"/>
                <w:szCs w:val="23"/>
              </w:rPr>
              <w:t>灾类别：丙类，可燃液体。</w:t>
            </w:r>
          </w:p>
          <w:p w14:paraId="7A8CA308">
            <w:pPr>
              <w:pStyle w:val="6"/>
              <w:spacing w:before="1" w:line="208" w:lineRule="auto"/>
              <w:ind w:left="53"/>
              <w:rPr>
                <w:sz w:val="23"/>
                <w:szCs w:val="23"/>
              </w:rPr>
            </w:pPr>
            <w:r>
              <w:rPr>
                <w:spacing w:val="4"/>
                <w:sz w:val="23"/>
                <w:szCs w:val="23"/>
              </w:rPr>
              <w:t>性毒性：大鼠吸入</w:t>
            </w:r>
            <w:r>
              <w:rPr>
                <w:sz w:val="23"/>
                <w:szCs w:val="23"/>
              </w:rPr>
              <w:t>LC</w:t>
            </w:r>
            <w:r>
              <w:rPr>
                <w:spacing w:val="4"/>
                <w:sz w:val="23"/>
                <w:szCs w:val="23"/>
              </w:rPr>
              <w:t>50:300000</w:t>
            </w:r>
            <w:r>
              <w:rPr>
                <w:sz w:val="23"/>
                <w:szCs w:val="23"/>
              </w:rPr>
              <w:t>mg</w:t>
            </w:r>
            <w:r>
              <w:rPr>
                <w:spacing w:val="4"/>
                <w:sz w:val="23"/>
                <w:szCs w:val="23"/>
              </w:rPr>
              <w:t>/m³(5个月);小鼠</w:t>
            </w:r>
            <w:r>
              <w:rPr>
                <w:spacing w:val="3"/>
                <w:sz w:val="23"/>
                <w:szCs w:val="23"/>
              </w:rPr>
              <w:t>吸入</w:t>
            </w:r>
          </w:p>
          <w:p w14:paraId="39CD2138">
            <w:pPr>
              <w:pStyle w:val="6"/>
              <w:spacing w:line="213" w:lineRule="auto"/>
              <w:ind w:left="13"/>
              <w:rPr>
                <w:sz w:val="23"/>
                <w:szCs w:val="23"/>
              </w:rPr>
            </w:pPr>
            <w:r>
              <w:rPr>
                <w:spacing w:val="6"/>
                <w:sz w:val="23"/>
                <w:szCs w:val="23"/>
              </w:rPr>
              <w:t>50:300000</w:t>
            </w:r>
            <w:r>
              <w:rPr>
                <w:sz w:val="23"/>
                <w:szCs w:val="23"/>
              </w:rPr>
              <w:t>mg</w:t>
            </w:r>
            <w:r>
              <w:rPr>
                <w:spacing w:val="6"/>
                <w:sz w:val="23"/>
                <w:szCs w:val="23"/>
              </w:rPr>
              <w:t>/m³(5个月)。</w:t>
            </w:r>
          </w:p>
          <w:p w14:paraId="742E6E33">
            <w:pPr>
              <w:pStyle w:val="6"/>
              <w:spacing w:before="38" w:line="206" w:lineRule="auto"/>
              <w:ind w:left="16"/>
              <w:rPr>
                <w:sz w:val="23"/>
                <w:szCs w:val="23"/>
              </w:rPr>
            </w:pPr>
            <w:r>
              <w:rPr>
                <w:b/>
                <w:bCs/>
                <w:spacing w:val="-3"/>
                <w:sz w:val="23"/>
                <w:szCs w:val="23"/>
              </w:rPr>
              <w:t>-29</w:t>
            </w:r>
            <w:r>
              <w:rPr>
                <w:spacing w:val="-3"/>
                <w:sz w:val="23"/>
                <w:szCs w:val="23"/>
              </w:rPr>
              <w:t xml:space="preserve">   </w:t>
            </w:r>
            <w:r>
              <w:rPr>
                <w:b/>
                <w:bCs/>
                <w:spacing w:val="-3"/>
                <w:sz w:val="23"/>
                <w:szCs w:val="23"/>
              </w:rPr>
              <w:t>危险物质主要成分基本性质一览表</w:t>
            </w:r>
          </w:p>
        </w:tc>
        <w:tc>
          <w:tcPr>
            <w:tcW w:w="544" w:type="dxa"/>
            <w:vMerge w:val="restart"/>
            <w:tcBorders>
              <w:bottom w:val="nil"/>
            </w:tcBorders>
            <w:vAlign w:val="top"/>
          </w:tcPr>
          <w:p w14:paraId="473F30F0">
            <w:pPr>
              <w:rPr>
                <w:rFonts w:ascii="Arial"/>
                <w:sz w:val="21"/>
              </w:rPr>
            </w:pPr>
          </w:p>
        </w:tc>
      </w:tr>
      <w:tr w14:paraId="47E88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7" w:hRule="atLeast"/>
        </w:trPr>
        <w:tc>
          <w:tcPr>
            <w:tcW w:w="914" w:type="dxa"/>
            <w:vMerge w:val="continue"/>
            <w:tcBorders>
              <w:top w:val="nil"/>
              <w:bottom w:val="nil"/>
            </w:tcBorders>
            <w:vAlign w:val="top"/>
          </w:tcPr>
          <w:p w14:paraId="4DF84E06">
            <w:pPr>
              <w:rPr>
                <w:rFonts w:ascii="Arial"/>
                <w:sz w:val="21"/>
              </w:rPr>
            </w:pPr>
          </w:p>
        </w:tc>
        <w:tc>
          <w:tcPr>
            <w:tcW w:w="1511" w:type="dxa"/>
            <w:gridSpan w:val="3"/>
            <w:tcBorders>
              <w:top w:val="nil"/>
              <w:right w:val="nil"/>
            </w:tcBorders>
            <w:vAlign w:val="top"/>
          </w:tcPr>
          <w:p w14:paraId="3EB6CD6C">
            <w:pPr>
              <w:spacing w:line="278" w:lineRule="auto"/>
              <w:rPr>
                <w:rFonts w:ascii="Arial"/>
                <w:sz w:val="21"/>
              </w:rPr>
            </w:pPr>
          </w:p>
          <w:p w14:paraId="1FED4158">
            <w:pPr>
              <w:spacing w:line="278" w:lineRule="auto"/>
              <w:rPr>
                <w:rFonts w:ascii="Arial"/>
                <w:sz w:val="21"/>
              </w:rPr>
            </w:pPr>
          </w:p>
          <w:p w14:paraId="54594D6E">
            <w:pPr>
              <w:pStyle w:val="6"/>
              <w:spacing w:before="75" w:line="219" w:lineRule="auto"/>
              <w:ind w:left="631"/>
              <w:rPr>
                <w:sz w:val="23"/>
                <w:szCs w:val="23"/>
              </w:rPr>
            </w:pPr>
            <w:r>
              <w:rPr>
                <w:spacing w:val="8"/>
                <w:sz w:val="23"/>
                <w:szCs w:val="23"/>
              </w:rPr>
              <w:t>矿物油</w:t>
            </w:r>
          </w:p>
        </w:tc>
        <w:tc>
          <w:tcPr>
            <w:tcW w:w="617" w:type="dxa"/>
            <w:tcBorders>
              <w:top w:val="nil"/>
              <w:left w:val="nil"/>
            </w:tcBorders>
            <w:vAlign w:val="top"/>
          </w:tcPr>
          <w:p w14:paraId="55CCB978">
            <w:pPr>
              <w:spacing w:line="318" w:lineRule="auto"/>
              <w:rPr>
                <w:rFonts w:ascii="Arial"/>
                <w:sz w:val="21"/>
              </w:rPr>
            </w:pPr>
          </w:p>
          <w:p w14:paraId="473B6EA2">
            <w:pPr>
              <w:pStyle w:val="6"/>
              <w:spacing w:before="75" w:line="220" w:lineRule="auto"/>
              <w:jc w:val="right"/>
              <w:rPr>
                <w:sz w:val="23"/>
                <w:szCs w:val="23"/>
              </w:rPr>
            </w:pPr>
            <w:r>
              <w:rPr>
                <w:spacing w:val="-30"/>
                <w:sz w:val="23"/>
                <w:szCs w:val="23"/>
              </w:rPr>
              <w:t>闪</w:t>
            </w:r>
          </w:p>
          <w:p w14:paraId="6BD574C5">
            <w:pPr>
              <w:pStyle w:val="6"/>
              <w:spacing w:before="145" w:line="208" w:lineRule="auto"/>
              <w:ind w:left="295" w:right="8" w:firstLine="90"/>
              <w:jc w:val="both"/>
              <w:rPr>
                <w:sz w:val="23"/>
                <w:szCs w:val="23"/>
              </w:rPr>
            </w:pPr>
            <w:r>
              <w:rPr>
                <w:spacing w:val="-12"/>
                <w:sz w:val="23"/>
                <w:szCs w:val="23"/>
              </w:rPr>
              <w:t>溶</w:t>
            </w:r>
            <w:r>
              <w:rPr>
                <w:sz w:val="23"/>
                <w:szCs w:val="23"/>
              </w:rPr>
              <w:t xml:space="preserve"> </w:t>
            </w:r>
            <w:r>
              <w:rPr>
                <w:spacing w:val="29"/>
                <w:sz w:val="23"/>
                <w:szCs w:val="23"/>
              </w:rPr>
              <w:t>火</w:t>
            </w:r>
            <w:r>
              <w:rPr>
                <w:sz w:val="23"/>
                <w:szCs w:val="23"/>
              </w:rPr>
              <w:t xml:space="preserve"> 急</w:t>
            </w:r>
          </w:p>
          <w:p w14:paraId="6F248C83">
            <w:pPr>
              <w:pStyle w:val="6"/>
              <w:spacing w:before="41" w:line="183" w:lineRule="auto"/>
              <w:ind w:left="155"/>
              <w:rPr>
                <w:sz w:val="23"/>
                <w:szCs w:val="23"/>
              </w:rPr>
            </w:pPr>
            <w:r>
              <w:rPr>
                <w:spacing w:val="-2"/>
                <w:sz w:val="23"/>
                <w:szCs w:val="23"/>
              </w:rPr>
              <w:t>LC</w:t>
            </w:r>
          </w:p>
          <w:p w14:paraId="5958016C">
            <w:pPr>
              <w:pStyle w:val="6"/>
              <w:spacing w:before="11" w:line="204" w:lineRule="auto"/>
              <w:ind w:left="168"/>
              <w:rPr>
                <w:sz w:val="23"/>
                <w:szCs w:val="23"/>
              </w:rPr>
            </w:pPr>
            <w:r>
              <w:rPr>
                <w:b/>
                <w:bCs/>
                <w:spacing w:val="-6"/>
                <w:sz w:val="23"/>
                <w:szCs w:val="23"/>
              </w:rPr>
              <w:t>表4</w:t>
            </w:r>
          </w:p>
        </w:tc>
        <w:tc>
          <w:tcPr>
            <w:tcW w:w="5754" w:type="dxa"/>
            <w:gridSpan w:val="5"/>
            <w:vMerge w:val="continue"/>
            <w:tcBorders>
              <w:top w:val="nil"/>
            </w:tcBorders>
            <w:vAlign w:val="top"/>
          </w:tcPr>
          <w:p w14:paraId="3D82AA4B">
            <w:pPr>
              <w:rPr>
                <w:rFonts w:ascii="Arial"/>
                <w:sz w:val="21"/>
              </w:rPr>
            </w:pPr>
          </w:p>
        </w:tc>
        <w:tc>
          <w:tcPr>
            <w:tcW w:w="544" w:type="dxa"/>
            <w:vMerge w:val="continue"/>
            <w:tcBorders>
              <w:top w:val="nil"/>
              <w:bottom w:val="nil"/>
            </w:tcBorders>
            <w:vAlign w:val="top"/>
          </w:tcPr>
          <w:p w14:paraId="15F8EC81">
            <w:pPr>
              <w:rPr>
                <w:rFonts w:ascii="Arial"/>
                <w:sz w:val="21"/>
              </w:rPr>
            </w:pPr>
          </w:p>
        </w:tc>
      </w:tr>
      <w:tr w14:paraId="7CECE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14" w:type="dxa"/>
            <w:vMerge w:val="continue"/>
            <w:tcBorders>
              <w:top w:val="nil"/>
              <w:bottom w:val="nil"/>
            </w:tcBorders>
            <w:vAlign w:val="top"/>
          </w:tcPr>
          <w:p w14:paraId="7E1DE039">
            <w:pPr>
              <w:rPr>
                <w:rFonts w:ascii="Arial"/>
                <w:sz w:val="21"/>
              </w:rPr>
            </w:pPr>
          </w:p>
        </w:tc>
        <w:tc>
          <w:tcPr>
            <w:tcW w:w="1239" w:type="dxa"/>
            <w:gridSpan w:val="2"/>
            <w:vMerge w:val="restart"/>
            <w:tcBorders>
              <w:bottom w:val="nil"/>
            </w:tcBorders>
            <w:vAlign w:val="top"/>
          </w:tcPr>
          <w:p w14:paraId="57B80D22">
            <w:pPr>
              <w:spacing w:line="249" w:lineRule="auto"/>
              <w:rPr>
                <w:rFonts w:ascii="Arial"/>
                <w:sz w:val="21"/>
              </w:rPr>
            </w:pPr>
          </w:p>
          <w:p w14:paraId="601D19D3">
            <w:pPr>
              <w:spacing w:line="249" w:lineRule="auto"/>
              <w:rPr>
                <w:rFonts w:ascii="Arial"/>
                <w:sz w:val="21"/>
              </w:rPr>
            </w:pPr>
          </w:p>
          <w:p w14:paraId="0C6024D2">
            <w:pPr>
              <w:spacing w:line="250" w:lineRule="auto"/>
              <w:rPr>
                <w:rFonts w:ascii="Arial"/>
                <w:sz w:val="21"/>
              </w:rPr>
            </w:pPr>
          </w:p>
          <w:p w14:paraId="2C02B928">
            <w:pPr>
              <w:pStyle w:val="6"/>
              <w:spacing w:before="75" w:line="220" w:lineRule="auto"/>
              <w:ind w:left="151"/>
              <w:rPr>
                <w:sz w:val="23"/>
                <w:szCs w:val="23"/>
              </w:rPr>
            </w:pPr>
            <w:r>
              <w:rPr>
                <w:spacing w:val="6"/>
                <w:sz w:val="23"/>
                <w:szCs w:val="23"/>
              </w:rPr>
              <w:t>废变压油</w:t>
            </w:r>
          </w:p>
        </w:tc>
        <w:tc>
          <w:tcPr>
            <w:tcW w:w="889" w:type="dxa"/>
            <w:gridSpan w:val="2"/>
            <w:vAlign w:val="top"/>
          </w:tcPr>
          <w:p w14:paraId="196AC61A">
            <w:pPr>
              <w:pStyle w:val="6"/>
              <w:spacing w:before="48" w:line="202" w:lineRule="auto"/>
              <w:jc w:val="right"/>
              <w:rPr>
                <w:sz w:val="23"/>
                <w:szCs w:val="23"/>
              </w:rPr>
            </w:pPr>
            <w:r>
              <w:rPr>
                <w:spacing w:val="-15"/>
                <w:sz w:val="23"/>
                <w:szCs w:val="23"/>
              </w:rPr>
              <w:t>危险</w:t>
            </w:r>
            <w:r>
              <w:rPr>
                <w:spacing w:val="-14"/>
                <w:sz w:val="23"/>
                <w:szCs w:val="23"/>
              </w:rPr>
              <w:t>废</w:t>
            </w:r>
            <w:r>
              <w:rPr>
                <w:spacing w:val="-12"/>
                <w:sz w:val="23"/>
                <w:szCs w:val="23"/>
              </w:rPr>
              <w:t>物</w:t>
            </w:r>
          </w:p>
        </w:tc>
        <w:tc>
          <w:tcPr>
            <w:tcW w:w="5754" w:type="dxa"/>
            <w:gridSpan w:val="5"/>
            <w:vAlign w:val="top"/>
          </w:tcPr>
          <w:p w14:paraId="2949F34C">
            <w:pPr>
              <w:pStyle w:val="6"/>
              <w:spacing w:before="47" w:line="203" w:lineRule="auto"/>
              <w:ind w:left="283"/>
              <w:rPr>
                <w:sz w:val="23"/>
                <w:szCs w:val="23"/>
              </w:rPr>
            </w:pPr>
            <w:r>
              <w:rPr>
                <w:spacing w:val="-1"/>
                <w:sz w:val="23"/>
                <w:szCs w:val="23"/>
              </w:rPr>
              <w:t>变压器维护、更换和拆解过程中产生的废变压器油。</w:t>
            </w:r>
          </w:p>
        </w:tc>
        <w:tc>
          <w:tcPr>
            <w:tcW w:w="544" w:type="dxa"/>
            <w:vMerge w:val="continue"/>
            <w:tcBorders>
              <w:top w:val="nil"/>
              <w:bottom w:val="nil"/>
            </w:tcBorders>
            <w:vAlign w:val="top"/>
          </w:tcPr>
          <w:p w14:paraId="21C7C33A">
            <w:pPr>
              <w:rPr>
                <w:rFonts w:ascii="Arial"/>
                <w:sz w:val="21"/>
              </w:rPr>
            </w:pPr>
          </w:p>
        </w:tc>
      </w:tr>
      <w:tr w14:paraId="39116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14" w:type="dxa"/>
            <w:vMerge w:val="continue"/>
            <w:tcBorders>
              <w:top w:val="nil"/>
              <w:bottom w:val="nil"/>
            </w:tcBorders>
            <w:vAlign w:val="top"/>
          </w:tcPr>
          <w:p w14:paraId="066AC1D7">
            <w:pPr>
              <w:rPr>
                <w:rFonts w:ascii="Arial"/>
                <w:sz w:val="21"/>
              </w:rPr>
            </w:pPr>
          </w:p>
        </w:tc>
        <w:tc>
          <w:tcPr>
            <w:tcW w:w="1239" w:type="dxa"/>
            <w:gridSpan w:val="2"/>
            <w:vMerge w:val="continue"/>
            <w:tcBorders>
              <w:top w:val="nil"/>
              <w:bottom w:val="nil"/>
            </w:tcBorders>
            <w:vAlign w:val="top"/>
          </w:tcPr>
          <w:p w14:paraId="13934656">
            <w:pPr>
              <w:rPr>
                <w:rFonts w:ascii="Arial"/>
                <w:sz w:val="21"/>
              </w:rPr>
            </w:pPr>
          </w:p>
        </w:tc>
        <w:tc>
          <w:tcPr>
            <w:tcW w:w="889" w:type="dxa"/>
            <w:gridSpan w:val="2"/>
            <w:vAlign w:val="top"/>
          </w:tcPr>
          <w:p w14:paraId="58AF3B5F">
            <w:pPr>
              <w:pStyle w:val="6"/>
              <w:spacing w:before="57" w:line="202" w:lineRule="auto"/>
              <w:jc w:val="right"/>
              <w:rPr>
                <w:sz w:val="23"/>
                <w:szCs w:val="23"/>
              </w:rPr>
            </w:pPr>
            <w:r>
              <w:rPr>
                <w:spacing w:val="-14"/>
                <w:sz w:val="23"/>
                <w:szCs w:val="23"/>
              </w:rPr>
              <w:t>废物类别</w:t>
            </w:r>
          </w:p>
        </w:tc>
        <w:tc>
          <w:tcPr>
            <w:tcW w:w="5754" w:type="dxa"/>
            <w:gridSpan w:val="5"/>
            <w:vAlign w:val="top"/>
          </w:tcPr>
          <w:p w14:paraId="7AA7CD1A">
            <w:pPr>
              <w:pStyle w:val="6"/>
              <w:spacing w:before="57" w:line="202" w:lineRule="auto"/>
              <w:ind w:left="1313"/>
              <w:rPr>
                <w:sz w:val="23"/>
                <w:szCs w:val="23"/>
              </w:rPr>
            </w:pPr>
            <w:r>
              <w:rPr>
                <w:sz w:val="23"/>
                <w:szCs w:val="23"/>
              </w:rPr>
              <w:t>HW08废矿物油与含矿物油废物。</w:t>
            </w:r>
          </w:p>
        </w:tc>
        <w:tc>
          <w:tcPr>
            <w:tcW w:w="544" w:type="dxa"/>
            <w:vMerge w:val="continue"/>
            <w:tcBorders>
              <w:top w:val="nil"/>
              <w:bottom w:val="nil"/>
            </w:tcBorders>
            <w:vAlign w:val="top"/>
          </w:tcPr>
          <w:p w14:paraId="0F3F04FF">
            <w:pPr>
              <w:rPr>
                <w:rFonts w:ascii="Arial"/>
                <w:sz w:val="21"/>
              </w:rPr>
            </w:pPr>
          </w:p>
        </w:tc>
      </w:tr>
      <w:tr w14:paraId="3C6EB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14" w:type="dxa"/>
            <w:vMerge w:val="continue"/>
            <w:tcBorders>
              <w:top w:val="nil"/>
              <w:bottom w:val="nil"/>
            </w:tcBorders>
            <w:vAlign w:val="top"/>
          </w:tcPr>
          <w:p w14:paraId="37D6B499">
            <w:pPr>
              <w:rPr>
                <w:rFonts w:ascii="Arial"/>
                <w:sz w:val="21"/>
              </w:rPr>
            </w:pPr>
          </w:p>
        </w:tc>
        <w:tc>
          <w:tcPr>
            <w:tcW w:w="1239" w:type="dxa"/>
            <w:gridSpan w:val="2"/>
            <w:vMerge w:val="continue"/>
            <w:tcBorders>
              <w:top w:val="nil"/>
              <w:bottom w:val="nil"/>
            </w:tcBorders>
            <w:vAlign w:val="top"/>
          </w:tcPr>
          <w:p w14:paraId="0156D207">
            <w:pPr>
              <w:rPr>
                <w:rFonts w:ascii="Arial"/>
                <w:sz w:val="21"/>
              </w:rPr>
            </w:pPr>
          </w:p>
        </w:tc>
        <w:tc>
          <w:tcPr>
            <w:tcW w:w="889" w:type="dxa"/>
            <w:gridSpan w:val="2"/>
            <w:vAlign w:val="top"/>
          </w:tcPr>
          <w:p w14:paraId="4B680585">
            <w:pPr>
              <w:pStyle w:val="6"/>
              <w:spacing w:before="48" w:line="202" w:lineRule="auto"/>
              <w:jc w:val="right"/>
              <w:rPr>
                <w:sz w:val="23"/>
                <w:szCs w:val="23"/>
              </w:rPr>
            </w:pPr>
            <w:r>
              <w:rPr>
                <w:spacing w:val="-15"/>
                <w:sz w:val="23"/>
                <w:szCs w:val="23"/>
              </w:rPr>
              <w:t>危险</w:t>
            </w:r>
            <w:r>
              <w:rPr>
                <w:spacing w:val="-14"/>
                <w:sz w:val="23"/>
                <w:szCs w:val="23"/>
              </w:rPr>
              <w:t>代</w:t>
            </w:r>
            <w:r>
              <w:rPr>
                <w:spacing w:val="-12"/>
                <w:sz w:val="23"/>
                <w:szCs w:val="23"/>
              </w:rPr>
              <w:t>码</w:t>
            </w:r>
          </w:p>
        </w:tc>
        <w:tc>
          <w:tcPr>
            <w:tcW w:w="5754" w:type="dxa"/>
            <w:gridSpan w:val="5"/>
            <w:vAlign w:val="top"/>
          </w:tcPr>
          <w:p w14:paraId="531EAA01">
            <w:pPr>
              <w:pStyle w:val="6"/>
              <w:spacing w:before="72" w:line="183" w:lineRule="auto"/>
              <w:ind w:left="2293"/>
              <w:rPr>
                <w:sz w:val="23"/>
                <w:szCs w:val="23"/>
              </w:rPr>
            </w:pPr>
            <w:r>
              <w:rPr>
                <w:spacing w:val="-1"/>
                <w:sz w:val="23"/>
                <w:szCs w:val="23"/>
              </w:rPr>
              <w:t>900-220-08</w:t>
            </w:r>
          </w:p>
        </w:tc>
        <w:tc>
          <w:tcPr>
            <w:tcW w:w="544" w:type="dxa"/>
            <w:vMerge w:val="continue"/>
            <w:tcBorders>
              <w:top w:val="nil"/>
              <w:bottom w:val="nil"/>
            </w:tcBorders>
            <w:vAlign w:val="top"/>
          </w:tcPr>
          <w:p w14:paraId="29972864">
            <w:pPr>
              <w:rPr>
                <w:rFonts w:ascii="Arial"/>
                <w:sz w:val="21"/>
              </w:rPr>
            </w:pPr>
          </w:p>
        </w:tc>
      </w:tr>
      <w:tr w14:paraId="7EACD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914" w:type="dxa"/>
            <w:vMerge w:val="continue"/>
            <w:tcBorders>
              <w:top w:val="nil"/>
              <w:bottom w:val="nil"/>
            </w:tcBorders>
            <w:vAlign w:val="top"/>
          </w:tcPr>
          <w:p w14:paraId="17A722B6">
            <w:pPr>
              <w:rPr>
                <w:rFonts w:ascii="Arial"/>
                <w:sz w:val="21"/>
              </w:rPr>
            </w:pPr>
          </w:p>
        </w:tc>
        <w:tc>
          <w:tcPr>
            <w:tcW w:w="1239" w:type="dxa"/>
            <w:gridSpan w:val="2"/>
            <w:vMerge w:val="continue"/>
            <w:tcBorders>
              <w:top w:val="nil"/>
              <w:bottom w:val="nil"/>
            </w:tcBorders>
            <w:vAlign w:val="top"/>
          </w:tcPr>
          <w:p w14:paraId="6F832146">
            <w:pPr>
              <w:rPr>
                <w:rFonts w:ascii="Arial"/>
                <w:sz w:val="21"/>
              </w:rPr>
            </w:pPr>
          </w:p>
        </w:tc>
        <w:tc>
          <w:tcPr>
            <w:tcW w:w="889" w:type="dxa"/>
            <w:gridSpan w:val="2"/>
            <w:vAlign w:val="top"/>
          </w:tcPr>
          <w:p w14:paraId="6E708B3D">
            <w:pPr>
              <w:pStyle w:val="6"/>
              <w:spacing w:before="68" w:line="209" w:lineRule="auto"/>
              <w:jc w:val="right"/>
              <w:rPr>
                <w:sz w:val="23"/>
                <w:szCs w:val="23"/>
              </w:rPr>
            </w:pPr>
            <w:r>
              <w:rPr>
                <w:spacing w:val="-15"/>
                <w:sz w:val="23"/>
                <w:szCs w:val="23"/>
              </w:rPr>
              <w:t>危险特</w:t>
            </w:r>
            <w:r>
              <w:rPr>
                <w:spacing w:val="-11"/>
                <w:sz w:val="23"/>
                <w:szCs w:val="23"/>
              </w:rPr>
              <w:t>征</w:t>
            </w:r>
          </w:p>
        </w:tc>
        <w:tc>
          <w:tcPr>
            <w:tcW w:w="5754" w:type="dxa"/>
            <w:gridSpan w:val="5"/>
            <w:vAlign w:val="top"/>
          </w:tcPr>
          <w:p w14:paraId="11E9EE02">
            <w:pPr>
              <w:pStyle w:val="6"/>
              <w:spacing w:before="64" w:line="212" w:lineRule="auto"/>
              <w:ind w:left="1893"/>
              <w:rPr>
                <w:sz w:val="23"/>
                <w:szCs w:val="23"/>
              </w:rPr>
            </w:pPr>
            <w:r>
              <w:rPr>
                <w:spacing w:val="3"/>
                <w:sz w:val="23"/>
                <w:szCs w:val="23"/>
              </w:rPr>
              <w:t>T(毒性),I(易燃性)</w:t>
            </w:r>
          </w:p>
        </w:tc>
        <w:tc>
          <w:tcPr>
            <w:tcW w:w="544" w:type="dxa"/>
            <w:vMerge w:val="continue"/>
            <w:tcBorders>
              <w:top w:val="nil"/>
              <w:bottom w:val="nil"/>
            </w:tcBorders>
            <w:vAlign w:val="top"/>
          </w:tcPr>
          <w:p w14:paraId="26162EA2">
            <w:pPr>
              <w:rPr>
                <w:rFonts w:ascii="Arial"/>
                <w:sz w:val="21"/>
              </w:rPr>
            </w:pPr>
          </w:p>
        </w:tc>
      </w:tr>
      <w:tr w14:paraId="227FC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14" w:type="dxa"/>
            <w:vMerge w:val="continue"/>
            <w:tcBorders>
              <w:top w:val="nil"/>
              <w:bottom w:val="nil"/>
            </w:tcBorders>
            <w:vAlign w:val="top"/>
          </w:tcPr>
          <w:p w14:paraId="75C72247">
            <w:pPr>
              <w:rPr>
                <w:rFonts w:ascii="Arial"/>
                <w:sz w:val="21"/>
              </w:rPr>
            </w:pPr>
          </w:p>
        </w:tc>
        <w:tc>
          <w:tcPr>
            <w:tcW w:w="1239" w:type="dxa"/>
            <w:gridSpan w:val="2"/>
            <w:vMerge w:val="continue"/>
            <w:tcBorders>
              <w:top w:val="nil"/>
            </w:tcBorders>
            <w:vAlign w:val="top"/>
          </w:tcPr>
          <w:p w14:paraId="6A812C32">
            <w:pPr>
              <w:rPr>
                <w:rFonts w:ascii="Arial"/>
                <w:sz w:val="21"/>
              </w:rPr>
            </w:pPr>
          </w:p>
        </w:tc>
        <w:tc>
          <w:tcPr>
            <w:tcW w:w="889" w:type="dxa"/>
            <w:gridSpan w:val="2"/>
            <w:vAlign w:val="top"/>
          </w:tcPr>
          <w:p w14:paraId="38A81FF5">
            <w:pPr>
              <w:pStyle w:val="6"/>
              <w:spacing w:before="169" w:line="219" w:lineRule="auto"/>
              <w:jc w:val="right"/>
              <w:rPr>
                <w:sz w:val="23"/>
                <w:szCs w:val="23"/>
              </w:rPr>
            </w:pPr>
            <w:r>
              <w:rPr>
                <w:spacing w:val="-16"/>
                <w:sz w:val="23"/>
                <w:szCs w:val="23"/>
              </w:rPr>
              <w:t>危险</w:t>
            </w:r>
            <w:r>
              <w:rPr>
                <w:spacing w:val="-15"/>
                <w:sz w:val="23"/>
                <w:szCs w:val="23"/>
              </w:rPr>
              <w:t>特</w:t>
            </w:r>
            <w:r>
              <w:rPr>
                <w:spacing w:val="-9"/>
                <w:sz w:val="23"/>
                <w:szCs w:val="23"/>
              </w:rPr>
              <w:t>性</w:t>
            </w:r>
          </w:p>
        </w:tc>
        <w:tc>
          <w:tcPr>
            <w:tcW w:w="5754" w:type="dxa"/>
            <w:gridSpan w:val="5"/>
            <w:vAlign w:val="top"/>
          </w:tcPr>
          <w:p w14:paraId="5C896493">
            <w:pPr>
              <w:pStyle w:val="6"/>
              <w:spacing w:before="59" w:line="193" w:lineRule="auto"/>
              <w:ind w:left="1597" w:hanging="1584"/>
              <w:rPr>
                <w:sz w:val="23"/>
                <w:szCs w:val="23"/>
              </w:rPr>
            </w:pPr>
            <w:r>
              <w:rPr>
                <w:spacing w:val="-10"/>
                <w:sz w:val="23"/>
                <w:szCs w:val="23"/>
              </w:rPr>
              <w:t>废变压油中含有致癌，致突变，致变形物质及废酸，重金属</w:t>
            </w:r>
            <w:r>
              <w:rPr>
                <w:spacing w:val="9"/>
                <w:sz w:val="23"/>
                <w:szCs w:val="23"/>
              </w:rPr>
              <w:t xml:space="preserve"> </w:t>
            </w:r>
            <w:r>
              <w:rPr>
                <w:sz w:val="23"/>
                <w:szCs w:val="23"/>
              </w:rPr>
              <w:t>等物质，对人体危害极大</w:t>
            </w:r>
          </w:p>
        </w:tc>
        <w:tc>
          <w:tcPr>
            <w:tcW w:w="544" w:type="dxa"/>
            <w:vMerge w:val="continue"/>
            <w:tcBorders>
              <w:top w:val="nil"/>
              <w:bottom w:val="nil"/>
            </w:tcBorders>
            <w:vAlign w:val="top"/>
          </w:tcPr>
          <w:p w14:paraId="55829417">
            <w:pPr>
              <w:rPr>
                <w:rFonts w:ascii="Arial"/>
                <w:sz w:val="21"/>
              </w:rPr>
            </w:pPr>
          </w:p>
        </w:tc>
      </w:tr>
      <w:tr w14:paraId="3C3D1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14" w:type="dxa"/>
            <w:vMerge w:val="continue"/>
            <w:tcBorders>
              <w:top w:val="nil"/>
              <w:bottom w:val="nil"/>
            </w:tcBorders>
            <w:vAlign w:val="top"/>
          </w:tcPr>
          <w:p w14:paraId="4D9F0905">
            <w:pPr>
              <w:rPr>
                <w:rFonts w:ascii="Arial"/>
                <w:sz w:val="21"/>
              </w:rPr>
            </w:pPr>
          </w:p>
        </w:tc>
        <w:tc>
          <w:tcPr>
            <w:tcW w:w="1239" w:type="dxa"/>
            <w:gridSpan w:val="2"/>
            <w:vMerge w:val="restart"/>
            <w:tcBorders>
              <w:bottom w:val="nil"/>
            </w:tcBorders>
            <w:vAlign w:val="top"/>
          </w:tcPr>
          <w:p w14:paraId="5EEDC0ED">
            <w:pPr>
              <w:spacing w:line="412" w:lineRule="auto"/>
              <w:rPr>
                <w:rFonts w:ascii="Arial"/>
                <w:sz w:val="21"/>
              </w:rPr>
            </w:pPr>
          </w:p>
          <w:p w14:paraId="05C34712">
            <w:pPr>
              <w:pStyle w:val="6"/>
              <w:spacing w:before="74" w:line="219" w:lineRule="auto"/>
              <w:ind w:left="31"/>
              <w:rPr>
                <w:sz w:val="23"/>
                <w:szCs w:val="23"/>
              </w:rPr>
            </w:pPr>
            <w:r>
              <w:rPr>
                <w:spacing w:val="-2"/>
                <w:sz w:val="23"/>
                <w:szCs w:val="23"/>
              </w:rPr>
              <w:t>废铅蓄电池</w:t>
            </w:r>
          </w:p>
        </w:tc>
        <w:tc>
          <w:tcPr>
            <w:tcW w:w="889" w:type="dxa"/>
            <w:gridSpan w:val="2"/>
            <w:vAlign w:val="top"/>
          </w:tcPr>
          <w:p w14:paraId="436CEFEE">
            <w:pPr>
              <w:pStyle w:val="6"/>
              <w:spacing w:before="160" w:line="220" w:lineRule="auto"/>
              <w:jc w:val="right"/>
              <w:rPr>
                <w:sz w:val="23"/>
                <w:szCs w:val="23"/>
              </w:rPr>
            </w:pPr>
            <w:r>
              <w:rPr>
                <w:spacing w:val="-15"/>
                <w:sz w:val="23"/>
                <w:szCs w:val="23"/>
              </w:rPr>
              <w:t>危险</w:t>
            </w:r>
            <w:r>
              <w:rPr>
                <w:spacing w:val="-14"/>
                <w:sz w:val="23"/>
                <w:szCs w:val="23"/>
              </w:rPr>
              <w:t>废</w:t>
            </w:r>
            <w:r>
              <w:rPr>
                <w:spacing w:val="-12"/>
                <w:sz w:val="23"/>
                <w:szCs w:val="23"/>
              </w:rPr>
              <w:t>物</w:t>
            </w:r>
          </w:p>
        </w:tc>
        <w:tc>
          <w:tcPr>
            <w:tcW w:w="5754" w:type="dxa"/>
            <w:gridSpan w:val="5"/>
            <w:vAlign w:val="top"/>
          </w:tcPr>
          <w:p w14:paraId="50BE2C17">
            <w:pPr>
              <w:pStyle w:val="6"/>
              <w:spacing w:before="58" w:line="194" w:lineRule="auto"/>
              <w:jc w:val="right"/>
              <w:rPr>
                <w:sz w:val="23"/>
                <w:szCs w:val="23"/>
              </w:rPr>
            </w:pPr>
            <w:r>
              <w:rPr>
                <w:spacing w:val="-10"/>
                <w:sz w:val="23"/>
                <w:szCs w:val="23"/>
              </w:rPr>
              <w:t>废铅蓄电池及废铅蓄电池拆解过程中产生的废铅板、废铅膏</w:t>
            </w:r>
          </w:p>
          <w:p w14:paraId="0B859CD1">
            <w:pPr>
              <w:pStyle w:val="6"/>
              <w:spacing w:line="175" w:lineRule="auto"/>
              <w:ind w:left="2463"/>
              <w:rPr>
                <w:sz w:val="23"/>
                <w:szCs w:val="23"/>
              </w:rPr>
            </w:pPr>
            <w:r>
              <w:rPr>
                <w:spacing w:val="1"/>
                <w:sz w:val="23"/>
                <w:szCs w:val="23"/>
              </w:rPr>
              <w:t>和酸液。</w:t>
            </w:r>
          </w:p>
        </w:tc>
        <w:tc>
          <w:tcPr>
            <w:tcW w:w="544" w:type="dxa"/>
            <w:vMerge w:val="continue"/>
            <w:tcBorders>
              <w:top w:val="nil"/>
              <w:bottom w:val="nil"/>
            </w:tcBorders>
            <w:vAlign w:val="top"/>
          </w:tcPr>
          <w:p w14:paraId="2B2149F7">
            <w:pPr>
              <w:rPr>
                <w:rFonts w:ascii="Arial"/>
                <w:sz w:val="21"/>
              </w:rPr>
            </w:pPr>
          </w:p>
        </w:tc>
      </w:tr>
      <w:tr w14:paraId="08695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14" w:type="dxa"/>
            <w:vMerge w:val="continue"/>
            <w:tcBorders>
              <w:top w:val="nil"/>
              <w:bottom w:val="nil"/>
            </w:tcBorders>
            <w:vAlign w:val="top"/>
          </w:tcPr>
          <w:p w14:paraId="42457343">
            <w:pPr>
              <w:rPr>
                <w:rFonts w:ascii="Arial"/>
                <w:sz w:val="21"/>
              </w:rPr>
            </w:pPr>
          </w:p>
        </w:tc>
        <w:tc>
          <w:tcPr>
            <w:tcW w:w="1239" w:type="dxa"/>
            <w:gridSpan w:val="2"/>
            <w:vMerge w:val="continue"/>
            <w:tcBorders>
              <w:top w:val="nil"/>
              <w:bottom w:val="nil"/>
            </w:tcBorders>
            <w:vAlign w:val="top"/>
          </w:tcPr>
          <w:p w14:paraId="29C9AD52">
            <w:pPr>
              <w:rPr>
                <w:rFonts w:ascii="Arial"/>
                <w:sz w:val="21"/>
              </w:rPr>
            </w:pPr>
          </w:p>
        </w:tc>
        <w:tc>
          <w:tcPr>
            <w:tcW w:w="889" w:type="dxa"/>
            <w:gridSpan w:val="2"/>
            <w:vAlign w:val="top"/>
          </w:tcPr>
          <w:p w14:paraId="1536767A">
            <w:pPr>
              <w:pStyle w:val="6"/>
              <w:spacing w:before="59" w:line="201" w:lineRule="auto"/>
              <w:jc w:val="right"/>
              <w:rPr>
                <w:sz w:val="23"/>
                <w:szCs w:val="23"/>
              </w:rPr>
            </w:pPr>
            <w:r>
              <w:rPr>
                <w:spacing w:val="-14"/>
                <w:sz w:val="23"/>
                <w:szCs w:val="23"/>
              </w:rPr>
              <w:t>废物类别</w:t>
            </w:r>
          </w:p>
        </w:tc>
        <w:tc>
          <w:tcPr>
            <w:tcW w:w="5754" w:type="dxa"/>
            <w:gridSpan w:val="5"/>
            <w:vAlign w:val="top"/>
          </w:tcPr>
          <w:p w14:paraId="64372DDA">
            <w:pPr>
              <w:pStyle w:val="6"/>
              <w:spacing w:before="59" w:line="201" w:lineRule="auto"/>
              <w:ind w:left="2183"/>
              <w:rPr>
                <w:sz w:val="23"/>
                <w:szCs w:val="23"/>
              </w:rPr>
            </w:pPr>
            <w:r>
              <w:rPr>
                <w:spacing w:val="-1"/>
                <w:sz w:val="23"/>
                <w:szCs w:val="23"/>
              </w:rPr>
              <w:t>HW31含铅废物</w:t>
            </w:r>
          </w:p>
        </w:tc>
        <w:tc>
          <w:tcPr>
            <w:tcW w:w="544" w:type="dxa"/>
            <w:vMerge w:val="continue"/>
            <w:tcBorders>
              <w:top w:val="nil"/>
              <w:bottom w:val="nil"/>
            </w:tcBorders>
            <w:vAlign w:val="top"/>
          </w:tcPr>
          <w:p w14:paraId="1ECF5299">
            <w:pPr>
              <w:rPr>
                <w:rFonts w:ascii="Arial"/>
                <w:sz w:val="21"/>
              </w:rPr>
            </w:pPr>
          </w:p>
        </w:tc>
      </w:tr>
      <w:tr w14:paraId="75157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914" w:type="dxa"/>
            <w:vMerge w:val="continue"/>
            <w:tcBorders>
              <w:top w:val="nil"/>
            </w:tcBorders>
            <w:vAlign w:val="top"/>
          </w:tcPr>
          <w:p w14:paraId="494CBFF2">
            <w:pPr>
              <w:rPr>
                <w:rFonts w:ascii="Arial"/>
                <w:sz w:val="21"/>
              </w:rPr>
            </w:pPr>
          </w:p>
        </w:tc>
        <w:tc>
          <w:tcPr>
            <w:tcW w:w="1239" w:type="dxa"/>
            <w:gridSpan w:val="2"/>
            <w:vMerge w:val="continue"/>
            <w:tcBorders>
              <w:top w:val="nil"/>
            </w:tcBorders>
            <w:vAlign w:val="top"/>
          </w:tcPr>
          <w:p w14:paraId="1DAD98AA">
            <w:pPr>
              <w:rPr>
                <w:rFonts w:ascii="Arial"/>
                <w:sz w:val="21"/>
              </w:rPr>
            </w:pPr>
          </w:p>
        </w:tc>
        <w:tc>
          <w:tcPr>
            <w:tcW w:w="889" w:type="dxa"/>
            <w:gridSpan w:val="2"/>
            <w:vAlign w:val="top"/>
          </w:tcPr>
          <w:p w14:paraId="7B9B38F1">
            <w:pPr>
              <w:pStyle w:val="6"/>
              <w:spacing w:before="49" w:line="205" w:lineRule="auto"/>
              <w:jc w:val="right"/>
              <w:rPr>
                <w:sz w:val="23"/>
                <w:szCs w:val="23"/>
              </w:rPr>
            </w:pPr>
            <w:r>
              <w:rPr>
                <w:spacing w:val="-15"/>
                <w:sz w:val="23"/>
                <w:szCs w:val="23"/>
              </w:rPr>
              <w:t>危险</w:t>
            </w:r>
            <w:r>
              <w:rPr>
                <w:spacing w:val="-14"/>
                <w:sz w:val="23"/>
                <w:szCs w:val="23"/>
              </w:rPr>
              <w:t>代</w:t>
            </w:r>
            <w:r>
              <w:rPr>
                <w:spacing w:val="-12"/>
                <w:sz w:val="23"/>
                <w:szCs w:val="23"/>
              </w:rPr>
              <w:t>码</w:t>
            </w:r>
          </w:p>
        </w:tc>
        <w:tc>
          <w:tcPr>
            <w:tcW w:w="5754" w:type="dxa"/>
            <w:gridSpan w:val="5"/>
            <w:vAlign w:val="top"/>
          </w:tcPr>
          <w:p w14:paraId="24360B0F">
            <w:pPr>
              <w:pStyle w:val="6"/>
              <w:spacing w:before="73" w:line="186" w:lineRule="auto"/>
              <w:ind w:left="2293"/>
              <w:rPr>
                <w:sz w:val="23"/>
                <w:szCs w:val="23"/>
              </w:rPr>
            </w:pPr>
            <w:r>
              <w:rPr>
                <w:spacing w:val="-1"/>
                <w:sz w:val="23"/>
                <w:szCs w:val="23"/>
              </w:rPr>
              <w:t>900-052-31</w:t>
            </w:r>
          </w:p>
        </w:tc>
        <w:tc>
          <w:tcPr>
            <w:tcW w:w="544" w:type="dxa"/>
            <w:vMerge w:val="continue"/>
            <w:tcBorders>
              <w:top w:val="nil"/>
            </w:tcBorders>
            <w:vAlign w:val="top"/>
          </w:tcPr>
          <w:p w14:paraId="71C140BE">
            <w:pPr>
              <w:rPr>
                <w:rFonts w:ascii="Arial"/>
                <w:sz w:val="21"/>
              </w:rPr>
            </w:pPr>
          </w:p>
        </w:tc>
      </w:tr>
    </w:tbl>
    <w:p w14:paraId="5202872B">
      <w:pPr>
        <w:pStyle w:val="2"/>
      </w:pPr>
    </w:p>
    <w:p w14:paraId="04442C9F">
      <w:pPr>
        <w:sectPr>
          <w:footerReference r:id="rId181" w:type="default"/>
          <w:pgSz w:w="11910" w:h="16830"/>
          <w:pgMar w:top="400" w:right="1344" w:bottom="1245" w:left="1214" w:header="0" w:footer="1083" w:gutter="0"/>
          <w:cols w:space="720" w:num="1"/>
        </w:sectPr>
      </w:pPr>
    </w:p>
    <w:p w14:paraId="7E26B2CC">
      <w:pPr>
        <w:spacing w:before="15"/>
      </w:pPr>
    </w:p>
    <w:p w14:paraId="547B2DEE">
      <w:pPr>
        <w:spacing w:before="15"/>
      </w:pPr>
    </w:p>
    <w:p w14:paraId="2E19BDC8">
      <w:pPr>
        <w:spacing w:before="15"/>
      </w:pPr>
    </w:p>
    <w:p w14:paraId="33C0A6B9">
      <w:pPr>
        <w:spacing w:before="14"/>
      </w:pPr>
    </w:p>
    <w:tbl>
      <w:tblPr>
        <w:tblStyle w:val="5"/>
        <w:tblW w:w="94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229"/>
        <w:gridCol w:w="1119"/>
        <w:gridCol w:w="329"/>
        <w:gridCol w:w="2148"/>
        <w:gridCol w:w="3186"/>
        <w:gridCol w:w="520"/>
      </w:tblGrid>
      <w:tr w14:paraId="4C1B3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874" w:type="dxa"/>
            <w:vMerge w:val="restart"/>
            <w:tcBorders>
              <w:bottom w:val="nil"/>
            </w:tcBorders>
            <w:vAlign w:val="top"/>
          </w:tcPr>
          <w:p w14:paraId="527547B0">
            <w:pPr>
              <w:rPr>
                <w:rFonts w:ascii="Arial"/>
                <w:sz w:val="21"/>
              </w:rPr>
            </w:pPr>
          </w:p>
        </w:tc>
        <w:tc>
          <w:tcPr>
            <w:tcW w:w="1229" w:type="dxa"/>
            <w:vMerge w:val="restart"/>
            <w:tcBorders>
              <w:bottom w:val="nil"/>
            </w:tcBorders>
            <w:vAlign w:val="top"/>
          </w:tcPr>
          <w:p w14:paraId="4689ADCC">
            <w:pPr>
              <w:rPr>
                <w:rFonts w:ascii="Arial"/>
                <w:sz w:val="21"/>
              </w:rPr>
            </w:pPr>
          </w:p>
        </w:tc>
        <w:tc>
          <w:tcPr>
            <w:tcW w:w="1119" w:type="dxa"/>
            <w:vAlign w:val="top"/>
          </w:tcPr>
          <w:p w14:paraId="6A6416E2">
            <w:pPr>
              <w:pStyle w:val="6"/>
              <w:spacing w:before="44" w:line="208" w:lineRule="auto"/>
              <w:ind w:left="72"/>
              <w:rPr>
                <w:sz w:val="24"/>
                <w:szCs w:val="24"/>
              </w:rPr>
            </w:pPr>
            <w:r>
              <w:rPr>
                <w:spacing w:val="2"/>
                <w:sz w:val="24"/>
                <w:szCs w:val="24"/>
              </w:rPr>
              <w:t>危险特征</w:t>
            </w:r>
          </w:p>
        </w:tc>
        <w:tc>
          <w:tcPr>
            <w:tcW w:w="5663" w:type="dxa"/>
            <w:gridSpan w:val="3"/>
            <w:vAlign w:val="top"/>
          </w:tcPr>
          <w:p w14:paraId="5596D242">
            <w:pPr>
              <w:pStyle w:val="6"/>
              <w:spacing w:before="40" w:line="211" w:lineRule="auto"/>
              <w:ind w:left="1803"/>
              <w:rPr>
                <w:sz w:val="24"/>
                <w:szCs w:val="24"/>
              </w:rPr>
            </w:pPr>
            <w:r>
              <w:rPr>
                <w:spacing w:val="4"/>
                <w:sz w:val="24"/>
                <w:szCs w:val="24"/>
              </w:rPr>
              <w:t>T(毒性),C(腐蚀性)</w:t>
            </w:r>
          </w:p>
        </w:tc>
        <w:tc>
          <w:tcPr>
            <w:tcW w:w="520" w:type="dxa"/>
            <w:vMerge w:val="restart"/>
            <w:tcBorders>
              <w:bottom w:val="nil"/>
            </w:tcBorders>
            <w:vAlign w:val="top"/>
          </w:tcPr>
          <w:p w14:paraId="4804E56C">
            <w:pPr>
              <w:rPr>
                <w:rFonts w:ascii="Arial"/>
                <w:sz w:val="21"/>
              </w:rPr>
            </w:pPr>
          </w:p>
        </w:tc>
      </w:tr>
      <w:tr w14:paraId="6E52A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874" w:type="dxa"/>
            <w:vMerge w:val="continue"/>
            <w:tcBorders>
              <w:top w:val="nil"/>
              <w:bottom w:val="nil"/>
            </w:tcBorders>
            <w:vAlign w:val="top"/>
          </w:tcPr>
          <w:p w14:paraId="212E80F7">
            <w:pPr>
              <w:rPr>
                <w:rFonts w:ascii="Arial"/>
                <w:sz w:val="21"/>
              </w:rPr>
            </w:pPr>
          </w:p>
        </w:tc>
        <w:tc>
          <w:tcPr>
            <w:tcW w:w="1229" w:type="dxa"/>
            <w:vMerge w:val="continue"/>
            <w:tcBorders>
              <w:top w:val="nil"/>
            </w:tcBorders>
            <w:vAlign w:val="top"/>
          </w:tcPr>
          <w:p w14:paraId="72D899BA">
            <w:pPr>
              <w:rPr>
                <w:rFonts w:ascii="Arial"/>
                <w:sz w:val="21"/>
              </w:rPr>
            </w:pPr>
          </w:p>
        </w:tc>
        <w:tc>
          <w:tcPr>
            <w:tcW w:w="1119" w:type="dxa"/>
            <w:vAlign w:val="top"/>
          </w:tcPr>
          <w:p w14:paraId="2AD098A8">
            <w:pPr>
              <w:spacing w:line="244" w:lineRule="auto"/>
              <w:rPr>
                <w:rFonts w:ascii="Arial"/>
                <w:sz w:val="21"/>
              </w:rPr>
            </w:pPr>
          </w:p>
          <w:p w14:paraId="48D4FB2E">
            <w:pPr>
              <w:spacing w:line="244" w:lineRule="auto"/>
              <w:rPr>
                <w:rFonts w:ascii="Arial"/>
                <w:sz w:val="21"/>
              </w:rPr>
            </w:pPr>
          </w:p>
          <w:p w14:paraId="335856B2">
            <w:pPr>
              <w:pStyle w:val="6"/>
              <w:spacing w:before="78" w:line="219" w:lineRule="auto"/>
              <w:ind w:left="72"/>
              <w:rPr>
                <w:sz w:val="24"/>
                <w:szCs w:val="24"/>
              </w:rPr>
            </w:pPr>
            <w:r>
              <w:rPr>
                <w:spacing w:val="2"/>
                <w:sz w:val="24"/>
                <w:szCs w:val="24"/>
              </w:rPr>
              <w:t>危险特性</w:t>
            </w:r>
          </w:p>
        </w:tc>
        <w:tc>
          <w:tcPr>
            <w:tcW w:w="5663" w:type="dxa"/>
            <w:gridSpan w:val="3"/>
            <w:vAlign w:val="top"/>
          </w:tcPr>
          <w:p w14:paraId="60FE927D">
            <w:pPr>
              <w:pStyle w:val="6"/>
              <w:spacing w:before="39" w:line="219" w:lineRule="auto"/>
              <w:jc w:val="right"/>
              <w:rPr>
                <w:sz w:val="24"/>
                <w:szCs w:val="24"/>
              </w:rPr>
            </w:pPr>
            <w:r>
              <w:rPr>
                <w:spacing w:val="-24"/>
                <w:sz w:val="24"/>
                <w:szCs w:val="24"/>
              </w:rPr>
              <w:t>废旧电池的危</w:t>
            </w:r>
            <w:r>
              <w:rPr>
                <w:spacing w:val="-23"/>
                <w:sz w:val="24"/>
                <w:szCs w:val="24"/>
              </w:rPr>
              <w:t>害主要集中在其中所含的少量的重金属</w:t>
            </w:r>
            <w:r>
              <w:rPr>
                <w:spacing w:val="-24"/>
                <w:sz w:val="24"/>
                <w:szCs w:val="24"/>
              </w:rPr>
              <w:t>上，</w:t>
            </w:r>
            <w:r>
              <w:rPr>
                <w:spacing w:val="-18"/>
                <w:sz w:val="24"/>
                <w:szCs w:val="24"/>
              </w:rPr>
              <w:t>如</w:t>
            </w:r>
          </w:p>
          <w:p w14:paraId="3454DB0E">
            <w:pPr>
              <w:pStyle w:val="6"/>
              <w:spacing w:before="4" w:line="200" w:lineRule="auto"/>
              <w:jc w:val="right"/>
              <w:rPr>
                <w:sz w:val="24"/>
                <w:szCs w:val="24"/>
              </w:rPr>
            </w:pPr>
            <w:r>
              <w:rPr>
                <w:spacing w:val="-24"/>
                <w:sz w:val="24"/>
                <w:szCs w:val="24"/>
              </w:rPr>
              <w:t>铅、汞、镉等。这些有毒物</w:t>
            </w:r>
            <w:r>
              <w:rPr>
                <w:spacing w:val="-23"/>
                <w:sz w:val="24"/>
                <w:szCs w:val="24"/>
              </w:rPr>
              <w:t>质通过各种途径进入人体</w:t>
            </w:r>
            <w:r>
              <w:rPr>
                <w:spacing w:val="-24"/>
                <w:sz w:val="24"/>
                <w:szCs w:val="24"/>
              </w:rPr>
              <w:t>内，</w:t>
            </w:r>
            <w:r>
              <w:rPr>
                <w:spacing w:val="-12"/>
                <w:sz w:val="24"/>
                <w:szCs w:val="24"/>
              </w:rPr>
              <w:t>长</w:t>
            </w:r>
          </w:p>
          <w:p w14:paraId="59C089F9">
            <w:pPr>
              <w:pStyle w:val="6"/>
              <w:spacing w:line="219" w:lineRule="auto"/>
              <w:jc w:val="right"/>
              <w:rPr>
                <w:sz w:val="24"/>
                <w:szCs w:val="24"/>
              </w:rPr>
            </w:pPr>
            <w:r>
              <w:rPr>
                <w:spacing w:val="-24"/>
                <w:sz w:val="24"/>
                <w:szCs w:val="24"/>
              </w:rPr>
              <w:t>期积蓄难以排除，损害神经系</w:t>
            </w:r>
            <w:r>
              <w:rPr>
                <w:spacing w:val="-23"/>
                <w:sz w:val="24"/>
                <w:szCs w:val="24"/>
              </w:rPr>
              <w:t>统、造血功能和骨骼，</w:t>
            </w:r>
            <w:r>
              <w:rPr>
                <w:spacing w:val="-24"/>
                <w:sz w:val="24"/>
                <w:szCs w:val="24"/>
              </w:rPr>
              <w:t>甚至</w:t>
            </w:r>
            <w:r>
              <w:rPr>
                <w:spacing w:val="-11"/>
                <w:sz w:val="24"/>
                <w:szCs w:val="24"/>
              </w:rPr>
              <w:t>可</w:t>
            </w:r>
          </w:p>
          <w:p w14:paraId="6C1CD700">
            <w:pPr>
              <w:pStyle w:val="6"/>
              <w:spacing w:before="4" w:line="208" w:lineRule="auto"/>
              <w:jc w:val="right"/>
              <w:rPr>
                <w:sz w:val="24"/>
                <w:szCs w:val="24"/>
              </w:rPr>
            </w:pPr>
            <w:r>
              <w:rPr>
                <w:spacing w:val="-24"/>
                <w:sz w:val="24"/>
                <w:szCs w:val="24"/>
              </w:rPr>
              <w:t>以致癌。废铅蓄电池内含有硫</w:t>
            </w:r>
            <w:r>
              <w:rPr>
                <w:spacing w:val="-23"/>
                <w:sz w:val="24"/>
                <w:szCs w:val="24"/>
              </w:rPr>
              <w:t>酸，具有腐蚀性，一旦</w:t>
            </w:r>
            <w:r>
              <w:rPr>
                <w:spacing w:val="-24"/>
                <w:sz w:val="24"/>
                <w:szCs w:val="24"/>
              </w:rPr>
              <w:t>接触</w:t>
            </w:r>
            <w:r>
              <w:rPr>
                <w:spacing w:val="-11"/>
                <w:sz w:val="24"/>
                <w:szCs w:val="24"/>
              </w:rPr>
              <w:t>人</w:t>
            </w:r>
          </w:p>
          <w:p w14:paraId="3268BA0C">
            <w:pPr>
              <w:pStyle w:val="6"/>
              <w:spacing w:before="1" w:line="168" w:lineRule="auto"/>
              <w:ind w:left="1683"/>
              <w:rPr>
                <w:sz w:val="24"/>
                <w:szCs w:val="24"/>
              </w:rPr>
            </w:pPr>
            <w:r>
              <w:rPr>
                <w:sz w:val="24"/>
                <w:szCs w:val="24"/>
              </w:rPr>
              <w:t>体将对皮肤造成灼伤。</w:t>
            </w:r>
          </w:p>
        </w:tc>
        <w:tc>
          <w:tcPr>
            <w:tcW w:w="520" w:type="dxa"/>
            <w:vMerge w:val="continue"/>
            <w:tcBorders>
              <w:top w:val="nil"/>
            </w:tcBorders>
            <w:vAlign w:val="top"/>
          </w:tcPr>
          <w:p w14:paraId="1B7860AD">
            <w:pPr>
              <w:rPr>
                <w:rFonts w:ascii="Arial"/>
                <w:sz w:val="21"/>
              </w:rPr>
            </w:pPr>
          </w:p>
        </w:tc>
      </w:tr>
      <w:tr w14:paraId="4B335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8" w:hRule="atLeast"/>
        </w:trPr>
        <w:tc>
          <w:tcPr>
            <w:tcW w:w="874" w:type="dxa"/>
            <w:vMerge w:val="continue"/>
            <w:tcBorders>
              <w:top w:val="nil"/>
              <w:bottom w:val="nil"/>
            </w:tcBorders>
            <w:vAlign w:val="top"/>
          </w:tcPr>
          <w:p w14:paraId="08B546C6">
            <w:pPr>
              <w:rPr>
                <w:rFonts w:ascii="Arial"/>
                <w:sz w:val="21"/>
              </w:rPr>
            </w:pPr>
          </w:p>
        </w:tc>
        <w:tc>
          <w:tcPr>
            <w:tcW w:w="8011" w:type="dxa"/>
            <w:gridSpan w:val="5"/>
            <w:vAlign w:val="top"/>
          </w:tcPr>
          <w:p w14:paraId="164A8FCC">
            <w:pPr>
              <w:pStyle w:val="6"/>
              <w:spacing w:before="31" w:line="219" w:lineRule="auto"/>
              <w:ind w:left="651"/>
              <w:rPr>
                <w:sz w:val="24"/>
                <w:szCs w:val="24"/>
              </w:rPr>
            </w:pPr>
            <w:r>
              <w:rPr>
                <w:sz w:val="24"/>
                <w:szCs w:val="24"/>
              </w:rPr>
              <w:t>(2)风险物质对环境的可能影响途径</w:t>
            </w:r>
          </w:p>
          <w:p w14:paraId="6AF01432">
            <w:pPr>
              <w:pStyle w:val="6"/>
              <w:spacing w:before="194" w:line="354" w:lineRule="auto"/>
              <w:ind w:left="1" w:firstLine="537"/>
              <w:rPr>
                <w:sz w:val="24"/>
                <w:szCs w:val="24"/>
              </w:rPr>
            </w:pPr>
            <w:r>
              <w:rPr>
                <w:spacing w:val="-1"/>
                <w:sz w:val="24"/>
                <w:szCs w:val="24"/>
              </w:rPr>
              <w:t>根据项目风险物质的储存使用情况，可能产生环境风险的生产设施主要</w:t>
            </w:r>
            <w:r>
              <w:rPr>
                <w:spacing w:val="4"/>
                <w:sz w:val="24"/>
                <w:szCs w:val="24"/>
              </w:rPr>
              <w:t xml:space="preserve"> </w:t>
            </w:r>
            <w:r>
              <w:rPr>
                <w:spacing w:val="2"/>
                <w:sz w:val="24"/>
                <w:szCs w:val="24"/>
              </w:rPr>
              <w:t>变、箱变、危废暂存间。风险物质向环境转移的途径主要是在油品在使用、</w:t>
            </w:r>
            <w:r>
              <w:rPr>
                <w:spacing w:val="12"/>
                <w:sz w:val="24"/>
                <w:szCs w:val="24"/>
              </w:rPr>
              <w:t xml:space="preserve"> </w:t>
            </w:r>
            <w:r>
              <w:rPr>
                <w:spacing w:val="-2"/>
                <w:sz w:val="24"/>
                <w:szCs w:val="24"/>
              </w:rPr>
              <w:t>过程中若操作不当，造成物质泄漏，以及遇火源或在高温(高于闪点)等特</w:t>
            </w:r>
          </w:p>
          <w:p w14:paraId="0088A527">
            <w:pPr>
              <w:pStyle w:val="6"/>
              <w:spacing w:line="364" w:lineRule="auto"/>
              <w:ind w:left="1" w:right="69"/>
              <w:rPr>
                <w:sz w:val="24"/>
                <w:szCs w:val="24"/>
              </w:rPr>
            </w:pPr>
            <w:r>
              <w:rPr>
                <w:sz w:val="24"/>
                <w:szCs w:val="24"/>
              </w:rPr>
              <w:t>况下，产生CO等次生污染物排放；此外废铅蓄电池在暂存过程中，如电解液</w:t>
            </w:r>
            <w:r>
              <w:rPr>
                <w:spacing w:val="9"/>
                <w:sz w:val="24"/>
                <w:szCs w:val="24"/>
              </w:rPr>
              <w:t xml:space="preserve"> </w:t>
            </w:r>
            <w:r>
              <w:rPr>
                <w:sz w:val="24"/>
                <w:szCs w:val="24"/>
              </w:rPr>
              <w:t>露，可能污染土壤及地下水。</w:t>
            </w:r>
          </w:p>
          <w:p w14:paraId="4D1BE6E6">
            <w:pPr>
              <w:pStyle w:val="6"/>
              <w:spacing w:line="200" w:lineRule="auto"/>
              <w:ind w:left="1054"/>
              <w:rPr>
                <w:sz w:val="24"/>
                <w:szCs w:val="24"/>
              </w:rPr>
            </w:pPr>
            <w:r>
              <w:rPr>
                <w:b/>
                <w:bCs/>
                <w:spacing w:val="-3"/>
                <w:sz w:val="24"/>
                <w:szCs w:val="24"/>
              </w:rPr>
              <w:t>表4-30</w:t>
            </w:r>
            <w:r>
              <w:rPr>
                <w:spacing w:val="-3"/>
                <w:sz w:val="24"/>
                <w:szCs w:val="24"/>
              </w:rPr>
              <w:t xml:space="preserve">  </w:t>
            </w:r>
            <w:r>
              <w:rPr>
                <w:b/>
                <w:bCs/>
                <w:spacing w:val="-3"/>
                <w:sz w:val="24"/>
                <w:szCs w:val="24"/>
              </w:rPr>
              <w:t>生产设施危险性识别及风险物质向环境的转移途径</w:t>
            </w:r>
          </w:p>
        </w:tc>
        <w:tc>
          <w:tcPr>
            <w:tcW w:w="520" w:type="dxa"/>
            <w:vMerge w:val="restart"/>
            <w:tcBorders>
              <w:bottom w:val="nil"/>
            </w:tcBorders>
            <w:vAlign w:val="top"/>
          </w:tcPr>
          <w:p w14:paraId="3AD3EFC1">
            <w:pPr>
              <w:spacing w:line="430" w:lineRule="auto"/>
              <w:rPr>
                <w:rFonts w:ascii="Arial"/>
                <w:sz w:val="21"/>
              </w:rPr>
            </w:pPr>
          </w:p>
          <w:p w14:paraId="61780DB7">
            <w:pPr>
              <w:pStyle w:val="6"/>
              <w:spacing w:before="78" w:line="220" w:lineRule="auto"/>
              <w:ind w:left="10"/>
              <w:rPr>
                <w:sz w:val="24"/>
                <w:szCs w:val="24"/>
              </w:rPr>
            </w:pPr>
            <w:r>
              <w:rPr>
                <w:spacing w:val="6"/>
                <w:sz w:val="24"/>
                <w:szCs w:val="24"/>
              </w:rPr>
              <w:t>有主</w:t>
            </w:r>
          </w:p>
          <w:p w14:paraId="11DB1CAF">
            <w:pPr>
              <w:pStyle w:val="6"/>
              <w:spacing w:before="184" w:line="220" w:lineRule="auto"/>
              <w:ind w:left="10"/>
              <w:rPr>
                <w:sz w:val="24"/>
                <w:szCs w:val="24"/>
              </w:rPr>
            </w:pPr>
            <w:r>
              <w:rPr>
                <w:spacing w:val="-3"/>
                <w:sz w:val="24"/>
                <w:szCs w:val="24"/>
              </w:rPr>
              <w:t>储运</w:t>
            </w:r>
          </w:p>
          <w:p w14:paraId="57D8E425">
            <w:pPr>
              <w:pStyle w:val="6"/>
              <w:spacing w:before="173" w:line="220" w:lineRule="auto"/>
              <w:ind w:left="10"/>
              <w:rPr>
                <w:sz w:val="24"/>
                <w:szCs w:val="24"/>
              </w:rPr>
            </w:pPr>
            <w:r>
              <w:rPr>
                <w:spacing w:val="5"/>
                <w:sz w:val="24"/>
                <w:szCs w:val="24"/>
              </w:rPr>
              <w:t>殊情</w:t>
            </w:r>
          </w:p>
          <w:p w14:paraId="0360E27B">
            <w:pPr>
              <w:pStyle w:val="6"/>
              <w:spacing w:before="181" w:line="226" w:lineRule="auto"/>
              <w:ind w:left="130"/>
              <w:rPr>
                <w:sz w:val="24"/>
                <w:szCs w:val="24"/>
              </w:rPr>
            </w:pPr>
            <w:r>
              <w:rPr>
                <w:sz w:val="24"/>
                <w:szCs w:val="24"/>
              </w:rPr>
              <w:t>泄</w:t>
            </w:r>
          </w:p>
        </w:tc>
      </w:tr>
      <w:tr w14:paraId="1A13D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74" w:type="dxa"/>
            <w:vMerge w:val="continue"/>
            <w:tcBorders>
              <w:top w:val="nil"/>
              <w:bottom w:val="nil"/>
            </w:tcBorders>
            <w:vAlign w:val="top"/>
          </w:tcPr>
          <w:p w14:paraId="04C7D73F">
            <w:pPr>
              <w:rPr>
                <w:rFonts w:ascii="Arial"/>
                <w:sz w:val="21"/>
              </w:rPr>
            </w:pPr>
          </w:p>
        </w:tc>
        <w:tc>
          <w:tcPr>
            <w:tcW w:w="1229" w:type="dxa"/>
            <w:vAlign w:val="top"/>
          </w:tcPr>
          <w:p w14:paraId="6A66CF1F">
            <w:pPr>
              <w:pStyle w:val="6"/>
              <w:spacing w:before="43" w:line="205" w:lineRule="auto"/>
              <w:ind w:left="121"/>
              <w:rPr>
                <w:sz w:val="24"/>
                <w:szCs w:val="24"/>
              </w:rPr>
            </w:pPr>
            <w:r>
              <w:rPr>
                <w:spacing w:val="6"/>
                <w:sz w:val="24"/>
                <w:szCs w:val="24"/>
              </w:rPr>
              <w:t>危险物质</w:t>
            </w:r>
          </w:p>
        </w:tc>
        <w:tc>
          <w:tcPr>
            <w:tcW w:w="1448" w:type="dxa"/>
            <w:gridSpan w:val="2"/>
            <w:vAlign w:val="top"/>
          </w:tcPr>
          <w:p w14:paraId="1790FAF2">
            <w:pPr>
              <w:pStyle w:val="6"/>
              <w:spacing w:before="43" w:line="205" w:lineRule="auto"/>
              <w:ind w:left="232"/>
              <w:rPr>
                <w:sz w:val="24"/>
                <w:szCs w:val="24"/>
              </w:rPr>
            </w:pPr>
            <w:r>
              <w:rPr>
                <w:spacing w:val="2"/>
                <w:sz w:val="24"/>
                <w:szCs w:val="24"/>
              </w:rPr>
              <w:t>风险单元</w:t>
            </w:r>
          </w:p>
        </w:tc>
        <w:tc>
          <w:tcPr>
            <w:tcW w:w="2148" w:type="dxa"/>
            <w:vAlign w:val="top"/>
          </w:tcPr>
          <w:p w14:paraId="2653DB6C">
            <w:pPr>
              <w:pStyle w:val="6"/>
              <w:spacing w:before="42" w:line="206" w:lineRule="auto"/>
              <w:ind w:left="344"/>
              <w:rPr>
                <w:sz w:val="24"/>
                <w:szCs w:val="24"/>
              </w:rPr>
            </w:pPr>
            <w:r>
              <w:rPr>
                <w:spacing w:val="2"/>
                <w:sz w:val="24"/>
                <w:szCs w:val="24"/>
              </w:rPr>
              <w:t>环境风险类型</w:t>
            </w:r>
          </w:p>
        </w:tc>
        <w:tc>
          <w:tcPr>
            <w:tcW w:w="3186" w:type="dxa"/>
            <w:vAlign w:val="top"/>
          </w:tcPr>
          <w:p w14:paraId="094923AB">
            <w:pPr>
              <w:pStyle w:val="6"/>
              <w:spacing w:before="42" w:line="206" w:lineRule="auto"/>
              <w:ind w:left="746"/>
              <w:rPr>
                <w:sz w:val="24"/>
                <w:szCs w:val="24"/>
              </w:rPr>
            </w:pPr>
            <w:r>
              <w:rPr>
                <w:spacing w:val="1"/>
                <w:sz w:val="24"/>
                <w:szCs w:val="24"/>
              </w:rPr>
              <w:t>影响环境的途径</w:t>
            </w:r>
          </w:p>
        </w:tc>
        <w:tc>
          <w:tcPr>
            <w:tcW w:w="520" w:type="dxa"/>
            <w:vMerge w:val="continue"/>
            <w:tcBorders>
              <w:top w:val="nil"/>
              <w:bottom w:val="nil"/>
            </w:tcBorders>
            <w:vAlign w:val="top"/>
          </w:tcPr>
          <w:p w14:paraId="7ECBF583">
            <w:pPr>
              <w:rPr>
                <w:rFonts w:ascii="Arial"/>
                <w:sz w:val="21"/>
              </w:rPr>
            </w:pPr>
          </w:p>
        </w:tc>
      </w:tr>
      <w:tr w14:paraId="59A35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74" w:type="dxa"/>
            <w:vMerge w:val="continue"/>
            <w:tcBorders>
              <w:top w:val="nil"/>
              <w:bottom w:val="nil"/>
            </w:tcBorders>
            <w:vAlign w:val="top"/>
          </w:tcPr>
          <w:p w14:paraId="2799E46A">
            <w:pPr>
              <w:rPr>
                <w:rFonts w:ascii="Arial"/>
                <w:sz w:val="21"/>
              </w:rPr>
            </w:pPr>
          </w:p>
        </w:tc>
        <w:tc>
          <w:tcPr>
            <w:tcW w:w="1229" w:type="dxa"/>
            <w:vMerge w:val="restart"/>
            <w:tcBorders>
              <w:bottom w:val="nil"/>
            </w:tcBorders>
            <w:vAlign w:val="top"/>
          </w:tcPr>
          <w:p w14:paraId="5EEF0E82">
            <w:pPr>
              <w:pStyle w:val="6"/>
              <w:spacing w:before="313" w:line="219" w:lineRule="auto"/>
              <w:ind w:left="241"/>
              <w:rPr>
                <w:sz w:val="24"/>
                <w:szCs w:val="24"/>
              </w:rPr>
            </w:pPr>
            <w:r>
              <w:rPr>
                <w:spacing w:val="8"/>
                <w:sz w:val="24"/>
                <w:szCs w:val="24"/>
              </w:rPr>
              <w:t>矿物油</w:t>
            </w:r>
          </w:p>
        </w:tc>
        <w:tc>
          <w:tcPr>
            <w:tcW w:w="1448" w:type="dxa"/>
            <w:gridSpan w:val="2"/>
            <w:vMerge w:val="restart"/>
            <w:tcBorders>
              <w:bottom w:val="nil"/>
            </w:tcBorders>
            <w:vAlign w:val="top"/>
          </w:tcPr>
          <w:p w14:paraId="196FF14E">
            <w:pPr>
              <w:pStyle w:val="6"/>
              <w:spacing w:before="193" w:line="217" w:lineRule="auto"/>
              <w:ind w:left="104" w:hanging="92"/>
              <w:rPr>
                <w:sz w:val="24"/>
                <w:szCs w:val="24"/>
              </w:rPr>
            </w:pPr>
            <w:r>
              <w:rPr>
                <w:spacing w:val="-3"/>
                <w:sz w:val="24"/>
                <w:szCs w:val="24"/>
              </w:rPr>
              <w:t>主变、箱变、</w:t>
            </w:r>
            <w:r>
              <w:rPr>
                <w:spacing w:val="2"/>
                <w:sz w:val="24"/>
                <w:szCs w:val="24"/>
              </w:rPr>
              <w:t xml:space="preserve"> </w:t>
            </w:r>
            <w:r>
              <w:rPr>
                <w:spacing w:val="-11"/>
                <w:sz w:val="24"/>
                <w:szCs w:val="24"/>
              </w:rPr>
              <w:t>危废暂存间</w:t>
            </w:r>
          </w:p>
        </w:tc>
        <w:tc>
          <w:tcPr>
            <w:tcW w:w="2148" w:type="dxa"/>
            <w:vAlign w:val="top"/>
          </w:tcPr>
          <w:p w14:paraId="4576B790">
            <w:pPr>
              <w:pStyle w:val="6"/>
              <w:spacing w:before="154" w:line="221" w:lineRule="auto"/>
              <w:ind w:left="824"/>
              <w:rPr>
                <w:sz w:val="24"/>
                <w:szCs w:val="24"/>
              </w:rPr>
            </w:pPr>
            <w:r>
              <w:rPr>
                <w:spacing w:val="7"/>
                <w:sz w:val="24"/>
                <w:szCs w:val="24"/>
              </w:rPr>
              <w:t>泄漏</w:t>
            </w:r>
          </w:p>
        </w:tc>
        <w:tc>
          <w:tcPr>
            <w:tcW w:w="3186" w:type="dxa"/>
            <w:vAlign w:val="top"/>
          </w:tcPr>
          <w:p w14:paraId="56744872">
            <w:pPr>
              <w:pStyle w:val="6"/>
              <w:spacing w:before="32" w:line="191" w:lineRule="auto"/>
              <w:ind w:left="25" w:hanging="9"/>
              <w:rPr>
                <w:sz w:val="24"/>
                <w:szCs w:val="24"/>
              </w:rPr>
            </w:pPr>
            <w:r>
              <w:rPr>
                <w:spacing w:val="-15"/>
                <w:sz w:val="24"/>
                <w:szCs w:val="24"/>
              </w:rPr>
              <w:t>溢流进入地表水体地表漫流或下</w:t>
            </w:r>
            <w:r>
              <w:rPr>
                <w:spacing w:val="8"/>
                <w:sz w:val="24"/>
                <w:szCs w:val="24"/>
              </w:rPr>
              <w:t xml:space="preserve"> </w:t>
            </w:r>
            <w:r>
              <w:rPr>
                <w:spacing w:val="-1"/>
                <w:sz w:val="24"/>
                <w:szCs w:val="24"/>
              </w:rPr>
              <w:t>渗污染土壤；下渗污染地下水</w:t>
            </w:r>
          </w:p>
        </w:tc>
        <w:tc>
          <w:tcPr>
            <w:tcW w:w="520" w:type="dxa"/>
            <w:vMerge w:val="continue"/>
            <w:tcBorders>
              <w:top w:val="nil"/>
              <w:bottom w:val="nil"/>
            </w:tcBorders>
            <w:vAlign w:val="top"/>
          </w:tcPr>
          <w:p w14:paraId="5FA7FCAF">
            <w:pPr>
              <w:rPr>
                <w:rFonts w:ascii="Arial"/>
                <w:sz w:val="21"/>
              </w:rPr>
            </w:pPr>
          </w:p>
        </w:tc>
      </w:tr>
      <w:tr w14:paraId="0791C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74" w:type="dxa"/>
            <w:vMerge w:val="continue"/>
            <w:tcBorders>
              <w:top w:val="nil"/>
              <w:bottom w:val="nil"/>
            </w:tcBorders>
            <w:vAlign w:val="top"/>
          </w:tcPr>
          <w:p w14:paraId="1DEE875C">
            <w:pPr>
              <w:rPr>
                <w:rFonts w:ascii="Arial"/>
                <w:sz w:val="21"/>
              </w:rPr>
            </w:pPr>
          </w:p>
        </w:tc>
        <w:tc>
          <w:tcPr>
            <w:tcW w:w="1229" w:type="dxa"/>
            <w:vMerge w:val="continue"/>
            <w:tcBorders>
              <w:top w:val="nil"/>
            </w:tcBorders>
            <w:vAlign w:val="top"/>
          </w:tcPr>
          <w:p w14:paraId="66F38AA3">
            <w:pPr>
              <w:rPr>
                <w:rFonts w:ascii="Arial"/>
                <w:sz w:val="21"/>
              </w:rPr>
            </w:pPr>
          </w:p>
        </w:tc>
        <w:tc>
          <w:tcPr>
            <w:tcW w:w="1448" w:type="dxa"/>
            <w:gridSpan w:val="2"/>
            <w:vMerge w:val="continue"/>
            <w:tcBorders>
              <w:top w:val="nil"/>
            </w:tcBorders>
            <w:vAlign w:val="top"/>
          </w:tcPr>
          <w:p w14:paraId="31695725">
            <w:pPr>
              <w:rPr>
                <w:rFonts w:ascii="Arial"/>
                <w:sz w:val="21"/>
              </w:rPr>
            </w:pPr>
          </w:p>
        </w:tc>
        <w:tc>
          <w:tcPr>
            <w:tcW w:w="2148" w:type="dxa"/>
            <w:vAlign w:val="top"/>
          </w:tcPr>
          <w:p w14:paraId="6BA1764D">
            <w:pPr>
              <w:pStyle w:val="6"/>
              <w:spacing w:before="41" w:line="199" w:lineRule="auto"/>
              <w:ind w:left="524"/>
              <w:rPr>
                <w:sz w:val="24"/>
                <w:szCs w:val="24"/>
              </w:rPr>
            </w:pPr>
            <w:r>
              <w:rPr>
                <w:spacing w:val="2"/>
                <w:sz w:val="24"/>
                <w:szCs w:val="24"/>
              </w:rPr>
              <w:t>火灾/爆炸</w:t>
            </w:r>
          </w:p>
        </w:tc>
        <w:tc>
          <w:tcPr>
            <w:tcW w:w="3186" w:type="dxa"/>
            <w:vAlign w:val="top"/>
          </w:tcPr>
          <w:p w14:paraId="21F9A6CE">
            <w:pPr>
              <w:pStyle w:val="6"/>
              <w:spacing w:before="43" w:line="197" w:lineRule="auto"/>
              <w:ind w:left="505"/>
              <w:rPr>
                <w:sz w:val="24"/>
                <w:szCs w:val="24"/>
              </w:rPr>
            </w:pPr>
            <w:r>
              <w:rPr>
                <w:spacing w:val="-1"/>
                <w:sz w:val="24"/>
                <w:szCs w:val="24"/>
              </w:rPr>
              <w:t>产生CO造成大气污染</w:t>
            </w:r>
          </w:p>
        </w:tc>
        <w:tc>
          <w:tcPr>
            <w:tcW w:w="520" w:type="dxa"/>
            <w:vMerge w:val="continue"/>
            <w:tcBorders>
              <w:top w:val="nil"/>
              <w:bottom w:val="nil"/>
            </w:tcBorders>
            <w:vAlign w:val="top"/>
          </w:tcPr>
          <w:p w14:paraId="790FCD6A">
            <w:pPr>
              <w:rPr>
                <w:rFonts w:ascii="Arial"/>
                <w:sz w:val="21"/>
              </w:rPr>
            </w:pPr>
          </w:p>
        </w:tc>
      </w:tr>
      <w:tr w14:paraId="23A0B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74" w:type="dxa"/>
            <w:vMerge w:val="continue"/>
            <w:tcBorders>
              <w:top w:val="nil"/>
              <w:bottom w:val="nil"/>
            </w:tcBorders>
            <w:vAlign w:val="top"/>
          </w:tcPr>
          <w:p w14:paraId="7C197810">
            <w:pPr>
              <w:rPr>
                <w:rFonts w:ascii="Arial"/>
                <w:sz w:val="21"/>
              </w:rPr>
            </w:pPr>
          </w:p>
        </w:tc>
        <w:tc>
          <w:tcPr>
            <w:tcW w:w="1229" w:type="dxa"/>
            <w:vAlign w:val="top"/>
          </w:tcPr>
          <w:p w14:paraId="04654945">
            <w:pPr>
              <w:pStyle w:val="6"/>
              <w:spacing w:before="24" w:line="193" w:lineRule="auto"/>
              <w:ind w:left="61"/>
              <w:rPr>
                <w:sz w:val="24"/>
                <w:szCs w:val="24"/>
              </w:rPr>
            </w:pPr>
            <w:r>
              <w:rPr>
                <w:spacing w:val="2"/>
                <w:sz w:val="24"/>
                <w:szCs w:val="24"/>
              </w:rPr>
              <w:t>电解液(硫</w:t>
            </w:r>
          </w:p>
          <w:p w14:paraId="39B31548">
            <w:pPr>
              <w:pStyle w:val="6"/>
              <w:spacing w:line="202" w:lineRule="auto"/>
              <w:ind w:left="421"/>
              <w:rPr>
                <w:sz w:val="24"/>
                <w:szCs w:val="24"/>
              </w:rPr>
            </w:pPr>
            <w:r>
              <w:rPr>
                <w:spacing w:val="-6"/>
                <w:sz w:val="24"/>
                <w:szCs w:val="24"/>
              </w:rPr>
              <w:t>酸</w:t>
            </w:r>
            <w:r>
              <w:rPr>
                <w:spacing w:val="-47"/>
                <w:sz w:val="24"/>
                <w:szCs w:val="24"/>
              </w:rPr>
              <w:t xml:space="preserve"> </w:t>
            </w:r>
            <w:r>
              <w:rPr>
                <w:spacing w:val="-6"/>
                <w:sz w:val="24"/>
                <w:szCs w:val="24"/>
              </w:rPr>
              <w:t>)</w:t>
            </w:r>
          </w:p>
        </w:tc>
        <w:tc>
          <w:tcPr>
            <w:tcW w:w="1448" w:type="dxa"/>
            <w:gridSpan w:val="2"/>
            <w:vAlign w:val="top"/>
          </w:tcPr>
          <w:p w14:paraId="18711D3C">
            <w:pPr>
              <w:pStyle w:val="6"/>
              <w:spacing w:before="164" w:line="219" w:lineRule="auto"/>
              <w:ind w:left="112"/>
              <w:rPr>
                <w:sz w:val="24"/>
                <w:szCs w:val="24"/>
              </w:rPr>
            </w:pPr>
            <w:r>
              <w:rPr>
                <w:spacing w:val="-2"/>
                <w:sz w:val="24"/>
                <w:szCs w:val="24"/>
              </w:rPr>
              <w:t>废铅蓄电池</w:t>
            </w:r>
          </w:p>
        </w:tc>
        <w:tc>
          <w:tcPr>
            <w:tcW w:w="2148" w:type="dxa"/>
            <w:vAlign w:val="top"/>
          </w:tcPr>
          <w:p w14:paraId="6D3D4889">
            <w:pPr>
              <w:pStyle w:val="6"/>
              <w:spacing w:before="165" w:line="221" w:lineRule="auto"/>
              <w:ind w:left="824"/>
              <w:rPr>
                <w:sz w:val="24"/>
                <w:szCs w:val="24"/>
              </w:rPr>
            </w:pPr>
            <w:r>
              <w:rPr>
                <w:spacing w:val="7"/>
                <w:sz w:val="24"/>
                <w:szCs w:val="24"/>
              </w:rPr>
              <w:t>泄漏</w:t>
            </w:r>
          </w:p>
        </w:tc>
        <w:tc>
          <w:tcPr>
            <w:tcW w:w="3186" w:type="dxa"/>
            <w:vAlign w:val="top"/>
          </w:tcPr>
          <w:p w14:paraId="449D9211">
            <w:pPr>
              <w:pStyle w:val="6"/>
              <w:spacing w:before="164" w:line="219" w:lineRule="auto"/>
              <w:ind w:left="386"/>
              <w:rPr>
                <w:sz w:val="24"/>
                <w:szCs w:val="24"/>
              </w:rPr>
            </w:pPr>
            <w:r>
              <w:rPr>
                <w:spacing w:val="1"/>
                <w:sz w:val="24"/>
                <w:szCs w:val="24"/>
              </w:rPr>
              <w:t>下渗污染土壤及地下水</w:t>
            </w:r>
          </w:p>
        </w:tc>
        <w:tc>
          <w:tcPr>
            <w:tcW w:w="520" w:type="dxa"/>
            <w:vMerge w:val="continue"/>
            <w:tcBorders>
              <w:top w:val="nil"/>
            </w:tcBorders>
            <w:vAlign w:val="top"/>
          </w:tcPr>
          <w:p w14:paraId="39A24F5A">
            <w:pPr>
              <w:rPr>
                <w:rFonts w:ascii="Arial"/>
                <w:sz w:val="21"/>
              </w:rPr>
            </w:pPr>
          </w:p>
        </w:tc>
      </w:tr>
      <w:tr w14:paraId="228F3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0" w:hRule="atLeast"/>
        </w:trPr>
        <w:tc>
          <w:tcPr>
            <w:tcW w:w="874" w:type="dxa"/>
            <w:vMerge w:val="continue"/>
            <w:tcBorders>
              <w:top w:val="nil"/>
            </w:tcBorders>
            <w:vAlign w:val="top"/>
          </w:tcPr>
          <w:p w14:paraId="57C6D13D">
            <w:pPr>
              <w:rPr>
                <w:rFonts w:ascii="Arial"/>
                <w:sz w:val="21"/>
              </w:rPr>
            </w:pPr>
          </w:p>
        </w:tc>
        <w:tc>
          <w:tcPr>
            <w:tcW w:w="8531" w:type="dxa"/>
            <w:gridSpan w:val="6"/>
            <w:vAlign w:val="top"/>
          </w:tcPr>
          <w:p w14:paraId="605D03F0">
            <w:pPr>
              <w:pStyle w:val="6"/>
              <w:spacing w:before="65" w:line="357" w:lineRule="auto"/>
              <w:ind w:left="41" w:right="46" w:firstLine="469"/>
              <w:jc w:val="both"/>
              <w:rPr>
                <w:sz w:val="24"/>
                <w:szCs w:val="24"/>
              </w:rPr>
            </w:pPr>
            <w:r>
              <w:rPr>
                <w:sz w:val="24"/>
                <w:szCs w:val="24"/>
              </w:rPr>
              <w:t>除此之外，项目各类高压带电设备、电缆、铅蓄电池等如未正确安装，或运</w:t>
            </w:r>
            <w:r>
              <w:rPr>
                <w:spacing w:val="8"/>
                <w:sz w:val="24"/>
                <w:szCs w:val="24"/>
              </w:rPr>
              <w:t xml:space="preserve"> </w:t>
            </w:r>
            <w:r>
              <w:rPr>
                <w:spacing w:val="1"/>
                <w:sz w:val="24"/>
                <w:szCs w:val="24"/>
              </w:rPr>
              <w:t>行过程中出现设备损坏、操作不当等，也易发生爆燃、火灾事故，一</w:t>
            </w:r>
            <w:r>
              <w:rPr>
                <w:sz w:val="24"/>
                <w:szCs w:val="24"/>
              </w:rPr>
              <w:t xml:space="preserve">方面直接威 </w:t>
            </w:r>
            <w:r>
              <w:rPr>
                <w:spacing w:val="1"/>
                <w:sz w:val="24"/>
                <w:szCs w:val="24"/>
              </w:rPr>
              <w:t>胁项目内及周边人员的人身安全，同时各类塑料、电池电解液等燃烧将产</w:t>
            </w:r>
            <w:r>
              <w:rPr>
                <w:sz w:val="24"/>
                <w:szCs w:val="24"/>
              </w:rPr>
              <w:t>生有毒 有害气体污染大气环境，此外火灾也可能对周边植被造成破坏。</w:t>
            </w:r>
          </w:p>
          <w:p w14:paraId="2A6A79C6">
            <w:pPr>
              <w:pStyle w:val="6"/>
              <w:spacing w:line="220" w:lineRule="auto"/>
              <w:ind w:left="14"/>
              <w:rPr>
                <w:sz w:val="24"/>
                <w:szCs w:val="24"/>
              </w:rPr>
            </w:pPr>
            <w:r>
              <w:rPr>
                <w:b/>
                <w:bCs/>
                <w:spacing w:val="-4"/>
                <w:sz w:val="24"/>
                <w:szCs w:val="24"/>
              </w:rPr>
              <w:t>9.4环境风险分析</w:t>
            </w:r>
          </w:p>
          <w:p w14:paraId="735A0BAC">
            <w:pPr>
              <w:pStyle w:val="6"/>
              <w:spacing w:before="187" w:line="220" w:lineRule="auto"/>
              <w:ind w:left="521"/>
              <w:rPr>
                <w:sz w:val="24"/>
                <w:szCs w:val="24"/>
              </w:rPr>
            </w:pPr>
            <w:r>
              <w:rPr>
                <w:spacing w:val="-1"/>
                <w:sz w:val="24"/>
                <w:szCs w:val="24"/>
              </w:rPr>
              <w:t>A、大气环境风险分析</w:t>
            </w:r>
          </w:p>
          <w:p w14:paraId="6A76661F">
            <w:pPr>
              <w:pStyle w:val="6"/>
              <w:spacing w:before="189" w:line="359" w:lineRule="auto"/>
              <w:ind w:left="91" w:firstLine="465"/>
              <w:rPr>
                <w:sz w:val="24"/>
                <w:szCs w:val="24"/>
              </w:rPr>
            </w:pPr>
            <w:r>
              <w:rPr>
                <w:spacing w:val="-2"/>
                <w:sz w:val="24"/>
                <w:szCs w:val="24"/>
              </w:rPr>
              <w:t>变压器为了绝缘和冷却的需要，其外壳内装有大量变压器油</w:t>
            </w:r>
            <w:r>
              <w:rPr>
                <w:spacing w:val="-3"/>
                <w:sz w:val="24"/>
                <w:szCs w:val="24"/>
              </w:rPr>
              <w:t>，主要一般只有</w:t>
            </w:r>
            <w:r>
              <w:rPr>
                <w:sz w:val="24"/>
                <w:szCs w:val="24"/>
              </w:rPr>
              <w:t xml:space="preserve">  </w:t>
            </w:r>
            <w:r>
              <w:rPr>
                <w:spacing w:val="-2"/>
                <w:sz w:val="24"/>
                <w:szCs w:val="24"/>
              </w:rPr>
              <w:t>发生事故时才会排油。变压器油是天然石油中经过蒸馏、精炼</w:t>
            </w:r>
            <w:r>
              <w:rPr>
                <w:spacing w:val="-3"/>
                <w:sz w:val="24"/>
                <w:szCs w:val="24"/>
              </w:rPr>
              <w:t>而获得的一种矿物</w:t>
            </w:r>
            <w:r>
              <w:rPr>
                <w:sz w:val="24"/>
                <w:szCs w:val="24"/>
              </w:rPr>
              <w:t xml:space="preserve">  </w:t>
            </w:r>
            <w:r>
              <w:rPr>
                <w:spacing w:val="1"/>
                <w:sz w:val="24"/>
                <w:szCs w:val="24"/>
              </w:rPr>
              <w:t>油，是石油中的润滑油馏份经酸碱精制处理得到纯净稳定、粘度</w:t>
            </w:r>
            <w:r>
              <w:rPr>
                <w:sz w:val="24"/>
                <w:szCs w:val="24"/>
              </w:rPr>
              <w:t xml:space="preserve">小、绝缘性好、 </w:t>
            </w:r>
            <w:r>
              <w:rPr>
                <w:spacing w:val="-2"/>
                <w:sz w:val="24"/>
                <w:szCs w:val="24"/>
              </w:rPr>
              <w:t>冷却性好的液体天然碳氢化合物的混合物，俗称方棚油，浅黄色透明液体，相对</w:t>
            </w:r>
            <w:r>
              <w:rPr>
                <w:sz w:val="24"/>
                <w:szCs w:val="24"/>
              </w:rPr>
              <w:t xml:space="preserve"> </w:t>
            </w:r>
            <w:r>
              <w:rPr>
                <w:spacing w:val="-1"/>
                <w:sz w:val="24"/>
                <w:szCs w:val="24"/>
              </w:rPr>
              <w:t>密度0.895。凝固点&lt;-45℃。主要由三种烃类组成，主要成分为</w:t>
            </w:r>
            <w:r>
              <w:rPr>
                <w:spacing w:val="-2"/>
                <w:sz w:val="24"/>
                <w:szCs w:val="24"/>
              </w:rPr>
              <w:t>环烷烃(约占</w:t>
            </w:r>
          </w:p>
          <w:p w14:paraId="3B8C94FF">
            <w:pPr>
              <w:pStyle w:val="6"/>
              <w:spacing w:before="16" w:line="216" w:lineRule="auto"/>
              <w:ind w:left="111"/>
              <w:rPr>
                <w:sz w:val="24"/>
                <w:szCs w:val="24"/>
              </w:rPr>
            </w:pPr>
            <w:r>
              <w:rPr>
                <w:spacing w:val="-1"/>
                <w:sz w:val="24"/>
                <w:szCs w:val="24"/>
              </w:rPr>
              <w:t>80%),其它的为芳香烃和烷烃。</w:t>
            </w:r>
          </w:p>
          <w:p w14:paraId="4971E305">
            <w:pPr>
              <w:pStyle w:val="6"/>
              <w:spacing w:before="160" w:line="343" w:lineRule="auto"/>
              <w:ind w:left="121" w:firstLine="479"/>
              <w:rPr>
                <w:sz w:val="24"/>
                <w:szCs w:val="24"/>
              </w:rPr>
            </w:pPr>
            <w:r>
              <w:rPr>
                <w:sz w:val="24"/>
                <w:szCs w:val="24"/>
              </w:rPr>
              <w:t>箱变、主变在正常运行状态下，变压器油定期补充</w:t>
            </w:r>
            <w:r>
              <w:rPr>
                <w:spacing w:val="-1"/>
                <w:sz w:val="24"/>
                <w:szCs w:val="24"/>
              </w:rPr>
              <w:t>，不会产生废变压器油。</w:t>
            </w:r>
            <w:r>
              <w:rPr>
                <w:sz w:val="24"/>
                <w:szCs w:val="24"/>
              </w:rPr>
              <w:t xml:space="preserve"> </w:t>
            </w:r>
            <w:r>
              <w:rPr>
                <w:spacing w:val="-1"/>
                <w:sz w:val="24"/>
                <w:szCs w:val="24"/>
              </w:rPr>
              <w:t>在变压器出现故障或检修时可能会有少量废油产生，变压器在进行检修时，变压</w:t>
            </w:r>
            <w:r>
              <w:rPr>
                <w:spacing w:val="14"/>
                <w:sz w:val="24"/>
                <w:szCs w:val="24"/>
              </w:rPr>
              <w:t xml:space="preserve"> </w:t>
            </w:r>
            <w:r>
              <w:rPr>
                <w:sz w:val="24"/>
                <w:szCs w:val="24"/>
              </w:rPr>
              <w:t>器油由专用工具采样检测，检测不合格时，对变压器油进行过滤处理，检修</w:t>
            </w:r>
            <w:r>
              <w:rPr>
                <w:spacing w:val="-1"/>
                <w:sz w:val="24"/>
                <w:szCs w:val="24"/>
              </w:rPr>
              <w:t>工作</w:t>
            </w:r>
          </w:p>
        </w:tc>
      </w:tr>
    </w:tbl>
    <w:p w14:paraId="2FB91DA1">
      <w:pPr>
        <w:pStyle w:val="2"/>
      </w:pPr>
    </w:p>
    <w:p w14:paraId="17867570">
      <w:pPr>
        <w:sectPr>
          <w:footerReference r:id="rId182" w:type="default"/>
          <w:pgSz w:w="11910" w:h="16830"/>
          <w:pgMar w:top="400" w:right="1259" w:bottom="1245" w:left="1234" w:header="0" w:footer="1083" w:gutter="0"/>
          <w:cols w:space="720" w:num="1"/>
        </w:sectPr>
      </w:pPr>
    </w:p>
    <w:p w14:paraId="2C71E46A">
      <w:pPr>
        <w:spacing w:before="15"/>
      </w:pPr>
    </w:p>
    <w:p w14:paraId="2A52A86B">
      <w:pPr>
        <w:spacing w:before="15"/>
      </w:pPr>
    </w:p>
    <w:p w14:paraId="78342617">
      <w:pPr>
        <w:spacing w:before="15"/>
      </w:pPr>
    </w:p>
    <w:p w14:paraId="2F399572">
      <w:pPr>
        <w:spacing w:before="14"/>
      </w:pPr>
    </w:p>
    <w:tbl>
      <w:tblPr>
        <w:tblStyle w:val="5"/>
        <w:tblW w:w="94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3606"/>
        <w:gridCol w:w="1219"/>
        <w:gridCol w:w="3671"/>
      </w:tblGrid>
      <w:tr w14:paraId="1C49C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0" w:hRule="atLeast"/>
        </w:trPr>
        <w:tc>
          <w:tcPr>
            <w:tcW w:w="904" w:type="dxa"/>
            <w:vMerge w:val="restart"/>
            <w:tcBorders>
              <w:bottom w:val="nil"/>
            </w:tcBorders>
            <w:vAlign w:val="top"/>
          </w:tcPr>
          <w:p w14:paraId="4A1DA5CE">
            <w:pPr>
              <w:rPr>
                <w:rFonts w:ascii="Arial"/>
                <w:sz w:val="21"/>
              </w:rPr>
            </w:pPr>
          </w:p>
        </w:tc>
        <w:tc>
          <w:tcPr>
            <w:tcW w:w="3606" w:type="dxa"/>
            <w:vAlign w:val="top"/>
          </w:tcPr>
          <w:p w14:paraId="26B47833">
            <w:pPr>
              <w:pStyle w:val="6"/>
              <w:spacing w:before="14" w:line="219" w:lineRule="auto"/>
              <w:jc w:val="right"/>
              <w:rPr>
                <w:sz w:val="24"/>
                <w:szCs w:val="24"/>
              </w:rPr>
            </w:pPr>
            <w:r>
              <w:rPr>
                <w:spacing w:val="-2"/>
                <w:sz w:val="24"/>
                <w:szCs w:val="24"/>
              </w:rPr>
              <w:t>完毕后，再将变压器油放回变压器</w:t>
            </w:r>
          </w:p>
          <w:p w14:paraId="16A4C645">
            <w:pPr>
              <w:pStyle w:val="6"/>
              <w:spacing w:before="183" w:line="219" w:lineRule="auto"/>
              <w:jc w:val="right"/>
              <w:rPr>
                <w:sz w:val="24"/>
                <w:szCs w:val="24"/>
              </w:rPr>
            </w:pPr>
            <w:r>
              <w:rPr>
                <w:spacing w:val="-4"/>
                <w:sz w:val="24"/>
                <w:szCs w:val="24"/>
              </w:rPr>
              <w:t>油抹布按危险废物集中收集暂存，</w:t>
            </w:r>
          </w:p>
          <w:p w14:paraId="4DEF8B5E">
            <w:pPr>
              <w:pStyle w:val="6"/>
              <w:spacing w:before="185" w:line="219" w:lineRule="auto"/>
              <w:jc w:val="right"/>
              <w:rPr>
                <w:sz w:val="24"/>
                <w:szCs w:val="24"/>
              </w:rPr>
            </w:pPr>
            <w:r>
              <w:rPr>
                <w:spacing w:val="-4"/>
                <w:sz w:val="24"/>
                <w:szCs w:val="24"/>
              </w:rPr>
              <w:t>故状态下会有部分变压器油外漏，</w:t>
            </w:r>
          </w:p>
          <w:p w14:paraId="34624689">
            <w:pPr>
              <w:pStyle w:val="6"/>
              <w:spacing w:before="185" w:line="219" w:lineRule="auto"/>
              <w:jc w:val="right"/>
              <w:rPr>
                <w:sz w:val="24"/>
                <w:szCs w:val="24"/>
              </w:rPr>
            </w:pPr>
            <w:r>
              <w:rPr>
                <w:spacing w:val="-2"/>
                <w:sz w:val="24"/>
                <w:szCs w:val="24"/>
              </w:rPr>
              <w:t>处置，暴露在空气中的量较小，通</w:t>
            </w:r>
          </w:p>
          <w:p w14:paraId="5A43F75F">
            <w:pPr>
              <w:pStyle w:val="6"/>
              <w:spacing w:before="177" w:line="219" w:lineRule="auto"/>
              <w:ind w:left="11"/>
              <w:rPr>
                <w:sz w:val="24"/>
                <w:szCs w:val="24"/>
              </w:rPr>
            </w:pPr>
            <w:r>
              <w:rPr>
                <w:spacing w:val="-2"/>
                <w:sz w:val="24"/>
                <w:szCs w:val="24"/>
              </w:rPr>
              <w:t>断泄漏源，并用事故油池收容泄漏</w:t>
            </w:r>
          </w:p>
          <w:p w14:paraId="4DA16869">
            <w:pPr>
              <w:pStyle w:val="6"/>
              <w:spacing w:before="195" w:line="219" w:lineRule="auto"/>
              <w:jc w:val="right"/>
              <w:rPr>
                <w:sz w:val="24"/>
                <w:szCs w:val="24"/>
              </w:rPr>
            </w:pPr>
            <w:r>
              <w:rPr>
                <w:spacing w:val="-2"/>
                <w:sz w:val="24"/>
                <w:szCs w:val="24"/>
              </w:rPr>
              <w:t>可能性较小。且随着技术的进步和</w:t>
            </w:r>
          </w:p>
          <w:p w14:paraId="5520664A">
            <w:pPr>
              <w:pStyle w:val="6"/>
              <w:spacing w:before="175" w:line="219" w:lineRule="auto"/>
              <w:ind w:left="170"/>
              <w:rPr>
                <w:sz w:val="24"/>
                <w:szCs w:val="24"/>
              </w:rPr>
            </w:pPr>
            <w:r>
              <w:rPr>
                <w:spacing w:val="1"/>
                <w:sz w:val="24"/>
                <w:szCs w:val="24"/>
              </w:rPr>
              <w:t>越小(全国每年发生的概率不到</w:t>
            </w:r>
          </w:p>
          <w:p w14:paraId="0E175357">
            <w:pPr>
              <w:pStyle w:val="6"/>
              <w:spacing w:before="196" w:line="219" w:lineRule="auto"/>
              <w:ind w:left="170"/>
              <w:rPr>
                <w:sz w:val="24"/>
                <w:szCs w:val="24"/>
              </w:rPr>
            </w:pPr>
            <w:r>
              <w:rPr>
                <w:sz w:val="24"/>
                <w:szCs w:val="24"/>
              </w:rPr>
              <w:t>险废物贮存污染控制标准》(GB</w:t>
            </w:r>
          </w:p>
          <w:p w14:paraId="7CC0482E">
            <w:pPr>
              <w:pStyle w:val="6"/>
              <w:spacing w:before="171" w:line="216" w:lineRule="auto"/>
              <w:jc w:val="right"/>
              <w:rPr>
                <w:sz w:val="24"/>
                <w:szCs w:val="24"/>
              </w:rPr>
            </w:pPr>
            <w:r>
              <w:rPr>
                <w:spacing w:val="-11"/>
                <w:sz w:val="24"/>
                <w:szCs w:val="24"/>
              </w:rPr>
              <w:t>渗透系数≤1.0×10-10cm/s,在采取</w:t>
            </w:r>
          </w:p>
          <w:p w14:paraId="770E37F1">
            <w:pPr>
              <w:pStyle w:val="6"/>
              <w:spacing w:before="214" w:line="220" w:lineRule="auto"/>
              <w:jc w:val="right"/>
              <w:rPr>
                <w:sz w:val="24"/>
                <w:szCs w:val="24"/>
              </w:rPr>
            </w:pPr>
            <w:r>
              <w:rPr>
                <w:spacing w:val="-2"/>
                <w:sz w:val="24"/>
                <w:szCs w:val="24"/>
              </w:rPr>
              <w:t>到及时处理，项目大气环境风险可</w:t>
            </w:r>
          </w:p>
          <w:p w14:paraId="3846798E">
            <w:pPr>
              <w:pStyle w:val="6"/>
              <w:spacing w:before="160" w:line="220" w:lineRule="auto"/>
              <w:ind w:left="574"/>
              <w:rPr>
                <w:sz w:val="24"/>
                <w:szCs w:val="24"/>
              </w:rPr>
            </w:pPr>
            <w:r>
              <w:rPr>
                <w:b/>
                <w:bCs/>
                <w:spacing w:val="-4"/>
                <w:sz w:val="24"/>
                <w:szCs w:val="24"/>
              </w:rPr>
              <w:t>事故油池工作原理：</w:t>
            </w:r>
          </w:p>
          <w:p w14:paraId="309757DD">
            <w:pPr>
              <w:pStyle w:val="6"/>
              <w:spacing w:before="176" w:line="362" w:lineRule="auto"/>
              <w:ind w:left="111" w:firstLine="418"/>
              <w:rPr>
                <w:sz w:val="24"/>
                <w:szCs w:val="24"/>
              </w:rPr>
            </w:pPr>
            <w:r>
              <w:rPr>
                <w:spacing w:val="-5"/>
                <w:sz w:val="24"/>
                <w:szCs w:val="24"/>
              </w:rPr>
              <w:t>事故油池初始状态储满水，箱</w:t>
            </w:r>
            <w:r>
              <w:rPr>
                <w:spacing w:val="10"/>
                <w:sz w:val="24"/>
                <w:szCs w:val="24"/>
              </w:rPr>
              <w:t xml:space="preserve"> </w:t>
            </w:r>
            <w:r>
              <w:rPr>
                <w:spacing w:val="-1"/>
                <w:sz w:val="24"/>
                <w:szCs w:val="24"/>
              </w:rPr>
              <w:t>油水混合物从入口流入A池中，</w:t>
            </w:r>
          </w:p>
          <w:p w14:paraId="086EC1FF">
            <w:pPr>
              <w:pStyle w:val="6"/>
              <w:spacing w:before="2" w:line="378" w:lineRule="auto"/>
              <w:ind w:left="51" w:firstLine="59"/>
              <w:rPr>
                <w:sz w:val="24"/>
                <w:szCs w:val="24"/>
              </w:rPr>
            </w:pPr>
            <w:r>
              <w:rPr>
                <w:spacing w:val="-4"/>
                <w:sz w:val="24"/>
                <w:szCs w:val="24"/>
              </w:rPr>
              <w:t>于底部，并在油压作用下，经泄</w:t>
            </w:r>
            <w:r>
              <w:rPr>
                <w:spacing w:val="6"/>
                <w:sz w:val="24"/>
                <w:szCs w:val="24"/>
              </w:rPr>
              <w:t xml:space="preserve">  </w:t>
            </w:r>
            <w:r>
              <w:rPr>
                <w:spacing w:val="-4"/>
                <w:sz w:val="24"/>
                <w:szCs w:val="24"/>
              </w:rPr>
              <w:t>分离，油浮于上部，水沉于底部。</w:t>
            </w:r>
          </w:p>
        </w:tc>
        <w:tc>
          <w:tcPr>
            <w:tcW w:w="4890" w:type="dxa"/>
            <w:gridSpan w:val="2"/>
            <w:tcBorders>
              <w:bottom w:val="nil"/>
            </w:tcBorders>
            <w:shd w:val="clear" w:color="auto" w:fill="FFFFFF"/>
            <w:vAlign w:val="top"/>
          </w:tcPr>
          <w:p w14:paraId="36CAB5CE">
            <w:pPr>
              <w:pStyle w:val="6"/>
              <w:spacing w:before="14" w:line="360" w:lineRule="auto"/>
              <w:ind w:left="25" w:right="26" w:firstLine="10"/>
              <w:rPr>
                <w:sz w:val="24"/>
                <w:szCs w:val="24"/>
              </w:rPr>
            </w:pPr>
            <w:r>
              <w:rPr>
                <w:sz w:val="24"/>
                <w:szCs w:val="24"/>
              </w:rPr>
              <w:t>内，无变压器油外排，少量不能使用的废油及</w:t>
            </w:r>
            <w:r>
              <w:rPr>
                <w:spacing w:val="12"/>
                <w:sz w:val="24"/>
                <w:szCs w:val="24"/>
              </w:rPr>
              <w:t xml:space="preserve"> </w:t>
            </w:r>
            <w:r>
              <w:rPr>
                <w:spacing w:val="1"/>
                <w:sz w:val="24"/>
                <w:szCs w:val="24"/>
              </w:rPr>
              <w:t>定期委托有资质的单位进行清运及处置。在事</w:t>
            </w:r>
            <w:r>
              <w:rPr>
                <w:sz w:val="24"/>
                <w:szCs w:val="24"/>
              </w:rPr>
              <w:t xml:space="preserve"> </w:t>
            </w:r>
            <w:r>
              <w:rPr>
                <w:spacing w:val="1"/>
                <w:sz w:val="24"/>
                <w:szCs w:val="24"/>
              </w:rPr>
              <w:t>进入事故油池内，然后交由有资质的单位统一</w:t>
            </w:r>
            <w:r>
              <w:rPr>
                <w:spacing w:val="2"/>
                <w:sz w:val="24"/>
                <w:szCs w:val="24"/>
              </w:rPr>
              <w:t xml:space="preserve"> </w:t>
            </w:r>
            <w:r>
              <w:rPr>
                <w:spacing w:val="1"/>
                <w:sz w:val="24"/>
                <w:szCs w:val="24"/>
              </w:rPr>
              <w:t>过加强巡检等措施后，可以及时发生泄漏，切</w:t>
            </w:r>
            <w:r>
              <w:rPr>
                <w:spacing w:val="6"/>
                <w:sz w:val="24"/>
                <w:szCs w:val="24"/>
              </w:rPr>
              <w:t xml:space="preserve"> </w:t>
            </w:r>
            <w:r>
              <w:rPr>
                <w:spacing w:val="1"/>
                <w:sz w:val="24"/>
                <w:szCs w:val="24"/>
              </w:rPr>
              <w:t>物，在采取以上应急措施后，引起火灾爆炸的</w:t>
            </w:r>
            <w:r>
              <w:rPr>
                <w:spacing w:val="7"/>
                <w:sz w:val="24"/>
                <w:szCs w:val="24"/>
              </w:rPr>
              <w:t xml:space="preserve"> </w:t>
            </w:r>
            <w:r>
              <w:rPr>
                <w:spacing w:val="1"/>
                <w:sz w:val="24"/>
                <w:szCs w:val="24"/>
              </w:rPr>
              <w:t>管理的科学化，变压器发生故障的可能性越来</w:t>
            </w:r>
            <w:r>
              <w:rPr>
                <w:sz w:val="24"/>
                <w:szCs w:val="24"/>
              </w:rPr>
              <w:t xml:space="preserve"> </w:t>
            </w:r>
            <w:r>
              <w:rPr>
                <w:spacing w:val="-1"/>
                <w:sz w:val="24"/>
                <w:szCs w:val="24"/>
              </w:rPr>
              <w:t>%),且项目危险废物贮存库在严格按照《危</w:t>
            </w:r>
          </w:p>
          <w:p w14:paraId="36706A33">
            <w:pPr>
              <w:pStyle w:val="6"/>
              <w:spacing w:before="15" w:line="220" w:lineRule="auto"/>
              <w:ind w:left="15"/>
              <w:rPr>
                <w:sz w:val="24"/>
                <w:szCs w:val="24"/>
              </w:rPr>
            </w:pPr>
            <w:r>
              <w:rPr>
                <w:sz w:val="24"/>
                <w:szCs w:val="24"/>
              </w:rPr>
              <w:t>18597-2023)的有关要求进行设计及防渗后，</w:t>
            </w:r>
          </w:p>
          <w:p w14:paraId="322780B3">
            <w:pPr>
              <w:pStyle w:val="6"/>
              <w:spacing w:before="163" w:line="372" w:lineRule="auto"/>
              <w:ind w:left="104" w:right="55" w:hanging="69"/>
              <w:rPr>
                <w:sz w:val="24"/>
                <w:szCs w:val="24"/>
              </w:rPr>
            </w:pPr>
            <w:r>
              <w:rPr>
                <w:spacing w:val="-1"/>
                <w:sz w:val="24"/>
                <w:szCs w:val="24"/>
              </w:rPr>
              <w:t>严格管理措施的情况下，即使发生事故也能得</w:t>
            </w:r>
            <w:r>
              <w:rPr>
                <w:spacing w:val="8"/>
                <w:sz w:val="24"/>
                <w:szCs w:val="24"/>
              </w:rPr>
              <w:t xml:space="preserve"> </w:t>
            </w:r>
            <w:r>
              <w:rPr>
                <w:sz w:val="24"/>
                <w:szCs w:val="24"/>
              </w:rPr>
              <w:t>控。</w:t>
            </w:r>
          </w:p>
          <w:p w14:paraId="54FAD5F6">
            <w:pPr>
              <w:spacing w:line="352" w:lineRule="auto"/>
              <w:rPr>
                <w:rFonts w:ascii="Arial"/>
                <w:sz w:val="21"/>
              </w:rPr>
            </w:pPr>
          </w:p>
          <w:p w14:paraId="34459DAE">
            <w:pPr>
              <w:pStyle w:val="6"/>
              <w:spacing w:before="78" w:line="361" w:lineRule="auto"/>
              <w:ind w:left="15" w:firstLine="29"/>
              <w:rPr>
                <w:sz w:val="24"/>
                <w:szCs w:val="24"/>
              </w:rPr>
            </w:pPr>
            <w:r>
              <w:rPr>
                <w:spacing w:val="-10"/>
                <w:sz w:val="24"/>
                <w:szCs w:val="24"/>
              </w:rPr>
              <w:t>变、高抗起火，启动水喷雾系统，大量绝缘油、</w:t>
            </w:r>
            <w:r>
              <w:rPr>
                <w:spacing w:val="4"/>
                <w:sz w:val="24"/>
                <w:szCs w:val="24"/>
              </w:rPr>
              <w:t xml:space="preserve"> </w:t>
            </w:r>
            <w:r>
              <w:rPr>
                <w:spacing w:val="-5"/>
                <w:sz w:val="24"/>
                <w:szCs w:val="24"/>
              </w:rPr>
              <w:t>经在A池中静置分离，油浮于A池上部，水沉</w:t>
            </w:r>
          </w:p>
          <w:p w14:paraId="7EB0FFF7">
            <w:pPr>
              <w:pStyle w:val="6"/>
              <w:spacing w:line="218" w:lineRule="auto"/>
              <w:ind w:left="95"/>
              <w:rPr>
                <w:sz w:val="24"/>
                <w:szCs w:val="24"/>
              </w:rPr>
            </w:pPr>
            <w:r>
              <w:rPr>
                <w:sz w:val="24"/>
                <w:szCs w:val="24"/>
              </w:rPr>
              <w:t>水口，进入B池，通过出口排出。最终经静置</w:t>
            </w:r>
          </w:p>
        </w:tc>
      </w:tr>
      <w:tr w14:paraId="6713F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9" w:hRule="atLeast"/>
        </w:trPr>
        <w:tc>
          <w:tcPr>
            <w:tcW w:w="904" w:type="dxa"/>
            <w:vMerge w:val="continue"/>
            <w:tcBorders>
              <w:top w:val="nil"/>
              <w:bottom w:val="nil"/>
            </w:tcBorders>
            <w:vAlign w:val="top"/>
          </w:tcPr>
          <w:p w14:paraId="513ECEA9">
            <w:pPr>
              <w:rPr>
                <w:rFonts w:ascii="Arial"/>
                <w:sz w:val="21"/>
              </w:rPr>
            </w:pPr>
          </w:p>
        </w:tc>
        <w:tc>
          <w:tcPr>
            <w:tcW w:w="3606" w:type="dxa"/>
            <w:vMerge w:val="restart"/>
            <w:tcBorders>
              <w:bottom w:val="nil"/>
            </w:tcBorders>
            <w:shd w:val="clear" w:color="auto" w:fill="FFFFFF"/>
            <w:vAlign w:val="top"/>
          </w:tcPr>
          <w:p w14:paraId="2D76F805">
            <w:pPr>
              <w:spacing w:line="243" w:lineRule="auto"/>
              <w:rPr>
                <w:rFonts w:ascii="Arial"/>
                <w:sz w:val="21"/>
              </w:rPr>
            </w:pPr>
          </w:p>
          <w:p w14:paraId="324278C7">
            <w:pPr>
              <w:pStyle w:val="6"/>
              <w:spacing w:before="78" w:line="231" w:lineRule="auto"/>
              <w:jc w:val="right"/>
              <w:rPr>
                <w:sz w:val="24"/>
                <w:szCs w:val="24"/>
              </w:rPr>
            </w:pPr>
            <w:r>
              <w:drawing>
                <wp:anchor distT="0" distB="0" distL="0" distR="0" simplePos="0" relativeHeight="251720704" behindDoc="1" locked="0" layoutInCell="1" allowOverlap="1">
                  <wp:simplePos x="0" y="0"/>
                  <wp:positionH relativeFrom="column">
                    <wp:posOffset>13335</wp:posOffset>
                  </wp:positionH>
                  <wp:positionV relativeFrom="paragraph">
                    <wp:posOffset>-278765</wp:posOffset>
                  </wp:positionV>
                  <wp:extent cx="5302250" cy="1873250"/>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323"/>
                          <a:stretch>
                            <a:fillRect/>
                          </a:stretch>
                        </pic:blipFill>
                        <pic:spPr>
                          <a:xfrm>
                            <a:off x="0" y="0"/>
                            <a:ext cx="5302238" cy="1873225"/>
                          </a:xfrm>
                          <a:prstGeom prst="rect">
                            <a:avLst/>
                          </a:prstGeom>
                        </pic:spPr>
                      </pic:pic>
                    </a:graphicData>
                  </a:graphic>
                </wp:anchor>
              </w:drawing>
            </w:r>
            <w:r>
              <w:rPr>
                <w:position w:val="8"/>
                <w:sz w:val="24"/>
                <w:szCs w:val="24"/>
              </w:rPr>
              <w:t>入口</w:t>
            </w:r>
            <w:r>
              <w:rPr>
                <w:spacing w:val="13"/>
                <w:position w:val="8"/>
                <w:sz w:val="24"/>
                <w:szCs w:val="24"/>
              </w:rPr>
              <w:t xml:space="preserve">     </w:t>
            </w:r>
            <w:r>
              <w:rPr>
                <w:position w:val="-3"/>
                <w:sz w:val="24"/>
                <w:szCs w:val="24"/>
              </w:rPr>
              <w:t>主贮油池</w:t>
            </w:r>
            <w:r>
              <w:rPr>
                <w:spacing w:val="12"/>
                <w:position w:val="-3"/>
                <w:sz w:val="24"/>
                <w:szCs w:val="24"/>
              </w:rPr>
              <w:t xml:space="preserve">   </w:t>
            </w:r>
            <w:r>
              <w:rPr>
                <w:position w:val="-1"/>
                <w:sz w:val="24"/>
                <w:szCs w:val="24"/>
              </w:rPr>
              <w:t>副贮油池</w:t>
            </w:r>
          </w:p>
          <w:p w14:paraId="0B570452">
            <w:pPr>
              <w:spacing w:line="291" w:lineRule="auto"/>
              <w:rPr>
                <w:rFonts w:ascii="Arial"/>
                <w:sz w:val="21"/>
              </w:rPr>
            </w:pPr>
          </w:p>
          <w:p w14:paraId="6A376ADD">
            <w:pPr>
              <w:spacing w:line="292" w:lineRule="auto"/>
              <w:rPr>
                <w:rFonts w:ascii="Arial"/>
                <w:sz w:val="21"/>
              </w:rPr>
            </w:pPr>
          </w:p>
          <w:p w14:paraId="3E0236A3">
            <w:pPr>
              <w:pStyle w:val="6"/>
              <w:spacing w:before="78" w:line="189" w:lineRule="auto"/>
              <w:ind w:left="1541"/>
              <w:rPr>
                <w:sz w:val="24"/>
                <w:szCs w:val="24"/>
              </w:rPr>
            </w:pPr>
            <w:r>
              <w:rPr>
                <w:spacing w:val="-1"/>
                <w:sz w:val="24"/>
                <w:szCs w:val="24"/>
              </w:rPr>
              <w:t>A</w:t>
            </w:r>
            <w:r>
              <w:rPr>
                <w:spacing w:val="4"/>
                <w:sz w:val="24"/>
                <w:szCs w:val="24"/>
              </w:rPr>
              <w:t xml:space="preserve">          </w:t>
            </w:r>
            <w:r>
              <w:rPr>
                <w:spacing w:val="-1"/>
                <w:position w:val="1"/>
                <w:sz w:val="24"/>
                <w:szCs w:val="24"/>
              </w:rPr>
              <w:t>B</w:t>
            </w:r>
          </w:p>
          <w:p w14:paraId="482EC72F">
            <w:pPr>
              <w:spacing w:line="349" w:lineRule="auto"/>
              <w:rPr>
                <w:rFonts w:ascii="Arial"/>
                <w:sz w:val="21"/>
              </w:rPr>
            </w:pPr>
          </w:p>
          <w:p w14:paraId="17B1EE72">
            <w:pPr>
              <w:spacing w:line="349" w:lineRule="auto"/>
              <w:rPr>
                <w:rFonts w:ascii="Arial"/>
                <w:sz w:val="21"/>
              </w:rPr>
            </w:pPr>
          </w:p>
          <w:p w14:paraId="22C6B627">
            <w:pPr>
              <w:pStyle w:val="6"/>
              <w:spacing w:before="78" w:line="219" w:lineRule="auto"/>
              <w:ind w:left="1431"/>
              <w:rPr>
                <w:sz w:val="24"/>
                <w:szCs w:val="24"/>
              </w:rPr>
            </w:pPr>
            <w:r>
              <w:rPr>
                <w:spacing w:val="11"/>
                <w:sz w:val="24"/>
                <w:szCs w:val="24"/>
              </w:rPr>
              <w:t>泄水口</w:t>
            </w:r>
          </w:p>
          <w:p w14:paraId="08683E26">
            <w:pPr>
              <w:pStyle w:val="6"/>
              <w:spacing w:before="11" w:line="219" w:lineRule="auto"/>
              <w:ind w:left="584"/>
              <w:rPr>
                <w:sz w:val="24"/>
                <w:szCs w:val="24"/>
              </w:rPr>
            </w:pPr>
            <w:r>
              <w:rPr>
                <w:b/>
                <w:bCs/>
                <w:spacing w:val="-4"/>
                <w:sz w:val="24"/>
                <w:szCs w:val="24"/>
              </w:rPr>
              <w:t>主变事故情况下废油收集流</w:t>
            </w:r>
          </w:p>
          <w:p w14:paraId="0B3D675B">
            <w:pPr>
              <w:pStyle w:val="6"/>
              <w:spacing w:before="197" w:line="354" w:lineRule="auto"/>
              <w:ind w:left="11"/>
              <w:rPr>
                <w:sz w:val="24"/>
                <w:szCs w:val="24"/>
              </w:rPr>
            </w:pPr>
            <w:r>
              <w:rPr>
                <w:spacing w:val="-2"/>
                <w:sz w:val="24"/>
                <w:szCs w:val="24"/>
              </w:rPr>
              <w:t>层，卵石层下设置集油井，集油井</w:t>
            </w:r>
            <w:r>
              <w:rPr>
                <w:spacing w:val="13"/>
                <w:sz w:val="24"/>
                <w:szCs w:val="24"/>
              </w:rPr>
              <w:t xml:space="preserve"> </w:t>
            </w:r>
            <w:r>
              <w:rPr>
                <w:spacing w:val="-2"/>
                <w:sz w:val="24"/>
                <w:szCs w:val="24"/>
              </w:rPr>
              <w:t>油池，事故油池主要防止变压器油</w:t>
            </w:r>
          </w:p>
          <w:p w14:paraId="106279BB">
            <w:pPr>
              <w:pStyle w:val="6"/>
              <w:spacing w:before="3" w:line="357" w:lineRule="auto"/>
              <w:ind w:left="11"/>
              <w:rPr>
                <w:sz w:val="24"/>
                <w:szCs w:val="24"/>
              </w:rPr>
            </w:pPr>
            <w:r>
              <w:rPr>
                <w:spacing w:val="-2"/>
                <w:sz w:val="24"/>
                <w:szCs w:val="24"/>
              </w:rPr>
              <w:t>态下，废变压器油会经底部卵石层</w:t>
            </w:r>
            <w:r>
              <w:rPr>
                <w:spacing w:val="13"/>
                <w:sz w:val="24"/>
                <w:szCs w:val="24"/>
              </w:rPr>
              <w:t xml:space="preserve"> </w:t>
            </w:r>
            <w:r>
              <w:rPr>
                <w:spacing w:val="-2"/>
                <w:sz w:val="24"/>
                <w:szCs w:val="24"/>
              </w:rPr>
              <w:t>雨时，雨水也会经过底部集油井汇</w:t>
            </w:r>
          </w:p>
          <w:p w14:paraId="70ED8499">
            <w:pPr>
              <w:pStyle w:val="6"/>
              <w:spacing w:line="219" w:lineRule="auto"/>
              <w:jc w:val="right"/>
              <w:rPr>
                <w:sz w:val="24"/>
                <w:szCs w:val="24"/>
              </w:rPr>
            </w:pPr>
            <w:r>
              <w:rPr>
                <w:spacing w:val="-2"/>
                <w:sz w:val="24"/>
                <w:szCs w:val="24"/>
              </w:rPr>
              <w:t>分离功能，主要利用油的容重比水</w:t>
            </w:r>
          </w:p>
          <w:p w14:paraId="0A9E98E2">
            <w:pPr>
              <w:pStyle w:val="6"/>
              <w:spacing w:before="195" w:line="333" w:lineRule="auto"/>
              <w:ind w:left="11"/>
              <w:rPr>
                <w:sz w:val="24"/>
                <w:szCs w:val="24"/>
              </w:rPr>
            </w:pPr>
            <w:r>
              <w:rPr>
                <w:spacing w:val="-2"/>
                <w:sz w:val="24"/>
                <w:szCs w:val="24"/>
              </w:rPr>
              <w:t>主变基础卵石层及集油井内卵石层</w:t>
            </w:r>
            <w:r>
              <w:rPr>
                <w:spacing w:val="12"/>
                <w:sz w:val="24"/>
                <w:szCs w:val="24"/>
              </w:rPr>
              <w:t xml:space="preserve"> </w:t>
            </w:r>
            <w:r>
              <w:rPr>
                <w:spacing w:val="-2"/>
                <w:sz w:val="24"/>
                <w:szCs w:val="24"/>
              </w:rPr>
              <w:t>减小火势，利于灭火；另外高温变</w:t>
            </w:r>
          </w:p>
        </w:tc>
        <w:tc>
          <w:tcPr>
            <w:tcW w:w="1219" w:type="dxa"/>
            <w:tcBorders>
              <w:top w:val="nil"/>
              <w:bottom w:val="nil"/>
              <w:right w:val="nil"/>
            </w:tcBorders>
            <w:shd w:val="clear" w:color="auto" w:fill="FFFFFF"/>
            <w:vAlign w:val="top"/>
          </w:tcPr>
          <w:p w14:paraId="5DA2F990">
            <w:pPr>
              <w:spacing w:line="408" w:lineRule="auto"/>
              <w:rPr>
                <w:rFonts w:ascii="Arial"/>
                <w:sz w:val="21"/>
              </w:rPr>
            </w:pPr>
          </w:p>
          <w:p w14:paraId="0FB51977">
            <w:pPr>
              <w:pStyle w:val="6"/>
              <w:spacing w:before="78" w:line="223" w:lineRule="auto"/>
              <w:ind w:left="115"/>
              <w:rPr>
                <w:sz w:val="24"/>
                <w:szCs w:val="24"/>
              </w:rPr>
            </w:pPr>
            <w:r>
              <w:rPr>
                <w:spacing w:val="-13"/>
                <w:sz w:val="24"/>
                <w:szCs w:val="24"/>
              </w:rPr>
              <w:t>出 口</w:t>
            </w:r>
          </w:p>
        </w:tc>
        <w:tc>
          <w:tcPr>
            <w:tcW w:w="3671" w:type="dxa"/>
            <w:tcBorders>
              <w:top w:val="nil"/>
              <w:left w:val="nil"/>
              <w:bottom w:val="nil"/>
            </w:tcBorders>
            <w:shd w:val="clear" w:color="auto" w:fill="FFFFFF"/>
            <w:vAlign w:val="top"/>
          </w:tcPr>
          <w:p w14:paraId="3BDAB797">
            <w:pPr>
              <w:spacing w:line="179" w:lineRule="exact"/>
            </w:pPr>
          </w:p>
          <w:tbl>
            <w:tblPr>
              <w:tblStyle w:val="5"/>
              <w:tblW w:w="2659" w:type="dxa"/>
              <w:tblInd w:w="5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88"/>
              <w:gridCol w:w="971"/>
            </w:tblGrid>
            <w:tr w14:paraId="1D8A6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9" w:hRule="atLeast"/>
              </w:trPr>
              <w:tc>
                <w:tcPr>
                  <w:tcW w:w="1688" w:type="dxa"/>
                  <w:vAlign w:val="top"/>
                </w:tcPr>
                <w:p w14:paraId="7FDDDA55">
                  <w:pPr>
                    <w:spacing w:line="449" w:lineRule="auto"/>
                    <w:rPr>
                      <w:rFonts w:ascii="Arial"/>
                      <w:sz w:val="21"/>
                    </w:rPr>
                  </w:pPr>
                </w:p>
                <w:p w14:paraId="4E9F54FD">
                  <w:pPr>
                    <w:pStyle w:val="6"/>
                    <w:spacing w:before="136" w:line="184" w:lineRule="auto"/>
                    <w:ind w:left="1095"/>
                    <w:rPr>
                      <w:sz w:val="42"/>
                      <w:szCs w:val="42"/>
                    </w:rPr>
                  </w:pPr>
                  <w:r>
                    <w:rPr>
                      <w:sz w:val="42"/>
                      <w:szCs w:val="42"/>
                    </w:rPr>
                    <w:t>A</w:t>
                  </w:r>
                </w:p>
              </w:tc>
              <w:tc>
                <w:tcPr>
                  <w:tcW w:w="971" w:type="dxa"/>
                  <w:vMerge w:val="restart"/>
                  <w:tcBorders>
                    <w:bottom w:val="nil"/>
                  </w:tcBorders>
                  <w:vAlign w:val="top"/>
                </w:tcPr>
                <w:p w14:paraId="23A24116">
                  <w:pPr>
                    <w:spacing w:line="354" w:lineRule="auto"/>
                    <w:rPr>
                      <w:rFonts w:ascii="Arial"/>
                      <w:sz w:val="21"/>
                    </w:rPr>
                  </w:pPr>
                </w:p>
                <w:p w14:paraId="4FA1E860">
                  <w:pPr>
                    <w:pStyle w:val="6"/>
                    <w:spacing w:before="136" w:line="182" w:lineRule="auto"/>
                    <w:ind w:left="327"/>
                    <w:rPr>
                      <w:sz w:val="42"/>
                      <w:szCs w:val="42"/>
                    </w:rPr>
                  </w:pPr>
                  <w:r>
                    <w:drawing>
                      <wp:anchor distT="0" distB="0" distL="0" distR="0" simplePos="0" relativeHeight="251721728" behindDoc="0" locked="0" layoutInCell="1" allowOverlap="1">
                        <wp:simplePos x="0" y="0"/>
                        <wp:positionH relativeFrom="column">
                          <wp:posOffset>29845</wp:posOffset>
                        </wp:positionH>
                        <wp:positionV relativeFrom="paragraph">
                          <wp:posOffset>-210185</wp:posOffset>
                        </wp:positionV>
                        <wp:extent cx="558800" cy="1517650"/>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324"/>
                                <a:stretch>
                                  <a:fillRect/>
                                </a:stretch>
                              </pic:blipFill>
                              <pic:spPr>
                                <a:xfrm>
                                  <a:off x="0" y="0"/>
                                  <a:ext cx="558743" cy="1517667"/>
                                </a:xfrm>
                                <a:prstGeom prst="rect">
                                  <a:avLst/>
                                </a:prstGeom>
                              </pic:spPr>
                            </pic:pic>
                          </a:graphicData>
                        </a:graphic>
                      </wp:anchor>
                    </w:drawing>
                  </w:r>
                  <w:r>
                    <w:rPr>
                      <w:sz w:val="42"/>
                      <w:szCs w:val="42"/>
                    </w:rPr>
                    <w:t>B</w:t>
                  </w:r>
                </w:p>
              </w:tc>
            </w:tr>
            <w:tr w14:paraId="6C0BA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1" w:hRule="atLeast"/>
              </w:trPr>
              <w:tc>
                <w:tcPr>
                  <w:tcW w:w="1688" w:type="dxa"/>
                  <w:shd w:val="clear" w:color="auto" w:fill="FFFFFF"/>
                  <w:vAlign w:val="top"/>
                </w:tcPr>
                <w:p w14:paraId="22DA666E">
                  <w:pPr>
                    <w:rPr>
                      <w:rFonts w:ascii="Arial"/>
                      <w:sz w:val="21"/>
                    </w:rPr>
                  </w:pPr>
                  <w:r>
                    <w:pict>
                      <v:group id="_x0000_s1128" o:spid="_x0000_s1128" o:spt="203" style="position:absolute;left:0pt;margin-left:1.55pt;margin-top:2.3pt;height:50.5pt;width:80.5pt;mso-position-horizontal-relative:page;mso-position-vertical-relative:page;z-index:251722752;mso-width-relative:page;mso-height-relative:page;" coordsize="1610,1010">
                        <o:lock v:ext="edit"/>
                        <v:shape id="_x0000_s1129" o:spid="_x0000_s1129" o:spt="75" type="#_x0000_t75" style="position:absolute;left:0;top:0;height:1010;width:1610;" filled="f" stroked="f" coordsize="21600,21600">
                          <v:path/>
                          <v:fill on="f" focussize="0,0"/>
                          <v:stroke on="f"/>
                          <v:imagedata r:id="rId325" o:title=""/>
                          <o:lock v:ext="edit" aspectratio="t"/>
                        </v:shape>
                        <v:shape id="_x0000_s1130" o:spid="_x0000_s1130" o:spt="202" type="#_x0000_t202" style="position:absolute;left:-20;top:-20;height:1158;width:1650;" filled="f" stroked="f" coordsize="21600,21600">
                          <v:path/>
                          <v:fill on="f" focussize="0,0"/>
                          <v:stroke on="f"/>
                          <v:imagedata o:title=""/>
                          <o:lock v:ext="edit" aspectratio="f"/>
                          <v:textbox inset="0mm,0mm,0mm,0mm">
                            <w:txbxContent>
                              <w:p w14:paraId="41371480">
                                <w:pPr>
                                  <w:pStyle w:val="6"/>
                                  <w:spacing w:before="263" w:line="219" w:lineRule="auto"/>
                                  <w:ind w:left="729"/>
                                  <w:rPr>
                                    <w:sz w:val="57"/>
                                    <w:szCs w:val="57"/>
                                  </w:rPr>
                                </w:pPr>
                                <w:r>
                                  <w:rPr>
                                    <w:color w:val="2060C0"/>
                                    <w:sz w:val="57"/>
                                    <w:szCs w:val="57"/>
                                  </w:rPr>
                                  <w:t>水</w:t>
                                </w:r>
                              </w:p>
                            </w:txbxContent>
                          </v:textbox>
                        </v:shape>
                      </v:group>
                    </w:pict>
                  </w:r>
                </w:p>
              </w:tc>
              <w:tc>
                <w:tcPr>
                  <w:tcW w:w="971" w:type="dxa"/>
                  <w:vMerge w:val="continue"/>
                  <w:tcBorders>
                    <w:top w:val="nil"/>
                  </w:tcBorders>
                  <w:vAlign w:val="top"/>
                </w:tcPr>
                <w:p w14:paraId="4311818F">
                  <w:pPr>
                    <w:rPr>
                      <w:rFonts w:ascii="Arial"/>
                      <w:sz w:val="21"/>
                    </w:rPr>
                  </w:pPr>
                </w:p>
              </w:tc>
            </w:tr>
          </w:tbl>
          <w:p w14:paraId="4116C38A">
            <w:pPr>
              <w:spacing w:line="18" w:lineRule="exact"/>
              <w:rPr>
                <w:rFonts w:ascii="Arial"/>
                <w:sz w:val="2"/>
              </w:rPr>
            </w:pPr>
          </w:p>
        </w:tc>
      </w:tr>
      <w:tr w14:paraId="5ACA1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1" w:hRule="atLeast"/>
        </w:trPr>
        <w:tc>
          <w:tcPr>
            <w:tcW w:w="904" w:type="dxa"/>
            <w:vMerge w:val="continue"/>
            <w:tcBorders>
              <w:top w:val="nil"/>
            </w:tcBorders>
            <w:vAlign w:val="top"/>
          </w:tcPr>
          <w:p w14:paraId="249EF383">
            <w:pPr>
              <w:rPr>
                <w:rFonts w:ascii="Arial"/>
                <w:sz w:val="21"/>
              </w:rPr>
            </w:pPr>
          </w:p>
        </w:tc>
        <w:tc>
          <w:tcPr>
            <w:tcW w:w="3606" w:type="dxa"/>
            <w:vMerge w:val="continue"/>
            <w:tcBorders>
              <w:top w:val="nil"/>
            </w:tcBorders>
            <w:vAlign w:val="top"/>
          </w:tcPr>
          <w:p w14:paraId="3CE75FAE">
            <w:pPr>
              <w:rPr>
                <w:rFonts w:ascii="Arial"/>
                <w:sz w:val="21"/>
              </w:rPr>
            </w:pPr>
          </w:p>
        </w:tc>
        <w:tc>
          <w:tcPr>
            <w:tcW w:w="4890" w:type="dxa"/>
            <w:gridSpan w:val="2"/>
            <w:tcBorders>
              <w:top w:val="nil"/>
            </w:tcBorders>
            <w:shd w:val="clear" w:color="auto" w:fill="FFFFFF"/>
            <w:vAlign w:val="top"/>
          </w:tcPr>
          <w:p w14:paraId="0F4C07D4">
            <w:pPr>
              <w:pStyle w:val="6"/>
              <w:spacing w:before="43" w:line="220" w:lineRule="auto"/>
              <w:ind w:left="38"/>
              <w:rPr>
                <w:sz w:val="24"/>
                <w:szCs w:val="24"/>
              </w:rPr>
            </w:pPr>
            <w:r>
              <w:rPr>
                <w:b/>
                <w:bCs/>
                <w:spacing w:val="-9"/>
                <w:sz w:val="24"/>
                <w:szCs w:val="24"/>
              </w:rPr>
              <w:t>程</w:t>
            </w:r>
            <w:r>
              <w:rPr>
                <w:spacing w:val="62"/>
                <w:sz w:val="24"/>
                <w:szCs w:val="24"/>
              </w:rPr>
              <w:t xml:space="preserve"> </w:t>
            </w:r>
            <w:r>
              <w:rPr>
                <w:b/>
                <w:bCs/>
                <w:spacing w:val="-9"/>
                <w:sz w:val="24"/>
                <w:szCs w:val="24"/>
              </w:rPr>
              <w:t>：</w:t>
            </w:r>
            <w:r>
              <w:rPr>
                <w:spacing w:val="-9"/>
                <w:sz w:val="24"/>
                <w:szCs w:val="24"/>
              </w:rPr>
              <w:t>即在主变地基基础上铺设一定厚度的卵石</w:t>
            </w:r>
          </w:p>
          <w:p w14:paraId="6ED681F8">
            <w:pPr>
              <w:pStyle w:val="6"/>
              <w:spacing w:before="195" w:line="219" w:lineRule="auto"/>
              <w:ind w:left="35"/>
              <w:rPr>
                <w:sz w:val="24"/>
                <w:szCs w:val="24"/>
              </w:rPr>
            </w:pPr>
            <w:r>
              <w:rPr>
                <w:spacing w:val="-1"/>
                <w:sz w:val="24"/>
                <w:szCs w:val="24"/>
              </w:rPr>
              <w:t>储油量达到限值，变压器油会经地沟流至事故</w:t>
            </w:r>
          </w:p>
          <w:p w14:paraId="247F7BCE">
            <w:pPr>
              <w:pStyle w:val="6"/>
              <w:spacing w:before="176" w:line="219" w:lineRule="auto"/>
              <w:ind w:left="35"/>
              <w:rPr>
                <w:sz w:val="24"/>
                <w:szCs w:val="24"/>
              </w:rPr>
            </w:pPr>
            <w:r>
              <w:rPr>
                <w:sz w:val="24"/>
                <w:szCs w:val="24"/>
              </w:rPr>
              <w:t>外泄而污染环境。在日常运转检修以及事故状</w:t>
            </w:r>
          </w:p>
          <w:p w14:paraId="2E8AD707">
            <w:pPr>
              <w:pStyle w:val="6"/>
              <w:spacing w:before="175" w:line="219" w:lineRule="auto"/>
              <w:ind w:left="35"/>
              <w:rPr>
                <w:sz w:val="24"/>
                <w:szCs w:val="24"/>
              </w:rPr>
            </w:pPr>
            <w:r>
              <w:rPr>
                <w:sz w:val="24"/>
                <w:szCs w:val="24"/>
              </w:rPr>
              <w:t>和集油井汇集后，通过管道流入事故油池。下</w:t>
            </w:r>
          </w:p>
          <w:p w14:paraId="46BFB5B3">
            <w:pPr>
              <w:pStyle w:val="6"/>
              <w:spacing w:before="183" w:line="219" w:lineRule="auto"/>
              <w:ind w:left="35"/>
              <w:rPr>
                <w:sz w:val="24"/>
                <w:szCs w:val="24"/>
              </w:rPr>
            </w:pPr>
            <w:r>
              <w:rPr>
                <w:sz w:val="24"/>
                <w:szCs w:val="24"/>
              </w:rPr>
              <w:t>集流入事故集油池。事故油池具备简单的油水</w:t>
            </w:r>
          </w:p>
          <w:p w14:paraId="621E8511">
            <w:pPr>
              <w:pStyle w:val="6"/>
              <w:spacing w:before="177" w:line="219" w:lineRule="auto"/>
              <w:jc w:val="right"/>
              <w:rPr>
                <w:sz w:val="24"/>
                <w:szCs w:val="24"/>
              </w:rPr>
            </w:pPr>
            <w:r>
              <w:rPr>
                <w:spacing w:val="-1"/>
                <w:sz w:val="24"/>
                <w:szCs w:val="24"/>
              </w:rPr>
              <w:t>的容重小且油水不相溶原理，实现油水分离。</w:t>
            </w:r>
          </w:p>
          <w:p w14:paraId="1A661A8D">
            <w:pPr>
              <w:pStyle w:val="6"/>
              <w:spacing w:before="195" w:line="219" w:lineRule="auto"/>
              <w:ind w:left="155"/>
              <w:rPr>
                <w:sz w:val="24"/>
                <w:szCs w:val="24"/>
              </w:rPr>
            </w:pPr>
            <w:r>
              <w:rPr>
                <w:spacing w:val="-1"/>
                <w:sz w:val="24"/>
                <w:szCs w:val="24"/>
              </w:rPr>
              <w:t>的作用为：1、防火：卵石层起到隔离作用，</w:t>
            </w:r>
          </w:p>
          <w:p w14:paraId="54D6E975">
            <w:pPr>
              <w:pStyle w:val="6"/>
              <w:spacing w:before="165" w:line="219" w:lineRule="auto"/>
              <w:ind w:left="35"/>
              <w:rPr>
                <w:sz w:val="24"/>
                <w:szCs w:val="24"/>
              </w:rPr>
            </w:pPr>
            <w:r>
              <w:rPr>
                <w:spacing w:val="1"/>
                <w:sz w:val="24"/>
                <w:szCs w:val="24"/>
              </w:rPr>
              <w:t>压器油经过鹅卵石的冷却后，可减小火势。当</w:t>
            </w:r>
          </w:p>
        </w:tc>
      </w:tr>
    </w:tbl>
    <w:p w14:paraId="0095F23F">
      <w:pPr>
        <w:pStyle w:val="2"/>
      </w:pPr>
    </w:p>
    <w:p w14:paraId="4259F596">
      <w:pPr>
        <w:sectPr>
          <w:footerReference r:id="rId183" w:type="default"/>
          <w:pgSz w:w="11910" w:h="16830"/>
          <w:pgMar w:top="400" w:right="1264" w:bottom="1245" w:left="1234" w:header="0" w:footer="1083" w:gutter="0"/>
          <w:cols w:space="720" w:num="1"/>
        </w:sectPr>
      </w:pPr>
    </w:p>
    <w:p w14:paraId="793717DD">
      <w:pPr>
        <w:spacing w:before="15"/>
      </w:pPr>
    </w:p>
    <w:p w14:paraId="71EF7D35">
      <w:pPr>
        <w:spacing w:before="15"/>
      </w:pPr>
    </w:p>
    <w:p w14:paraId="440737C7">
      <w:pPr>
        <w:spacing w:before="15"/>
      </w:pPr>
    </w:p>
    <w:p w14:paraId="7CB1A91C">
      <w:pPr>
        <w:spacing w:before="14"/>
      </w:pPr>
    </w:p>
    <w:tbl>
      <w:tblPr>
        <w:tblStyle w:val="5"/>
        <w:tblW w:w="942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523"/>
      </w:tblGrid>
      <w:tr w14:paraId="2912D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904" w:type="dxa"/>
            <w:vAlign w:val="top"/>
          </w:tcPr>
          <w:p w14:paraId="76C7CF86">
            <w:pPr>
              <w:rPr>
                <w:rFonts w:ascii="Arial"/>
                <w:sz w:val="21"/>
              </w:rPr>
            </w:pPr>
          </w:p>
        </w:tc>
        <w:tc>
          <w:tcPr>
            <w:tcW w:w="8523" w:type="dxa"/>
            <w:vAlign w:val="top"/>
          </w:tcPr>
          <w:p w14:paraId="05687A5F">
            <w:pPr>
              <w:pStyle w:val="6"/>
              <w:spacing w:before="23" w:line="219" w:lineRule="auto"/>
              <w:ind w:left="31"/>
              <w:rPr>
                <w:sz w:val="24"/>
                <w:szCs w:val="24"/>
              </w:rPr>
            </w:pPr>
            <w:r>
              <w:rPr>
                <w:sz w:val="24"/>
                <w:szCs w:val="24"/>
              </w:rPr>
              <w:t>变压器油着火时，燃油漏到油池后，将其火源与变压器</w:t>
            </w:r>
            <w:r>
              <w:rPr>
                <w:spacing w:val="-1"/>
                <w:sz w:val="24"/>
                <w:szCs w:val="24"/>
              </w:rPr>
              <w:t>本体隔离。避免火灾事故</w:t>
            </w:r>
          </w:p>
          <w:p w14:paraId="364F51B9">
            <w:pPr>
              <w:pStyle w:val="6"/>
              <w:spacing w:before="175" w:line="362" w:lineRule="auto"/>
              <w:ind w:left="81" w:right="192" w:firstLine="70"/>
              <w:rPr>
                <w:sz w:val="24"/>
                <w:szCs w:val="24"/>
              </w:rPr>
            </w:pPr>
            <w:r>
              <w:rPr>
                <w:sz w:val="24"/>
                <w:szCs w:val="24"/>
              </w:rPr>
              <w:t>的扩大。2、泄油：防止杂物堵塞泄油坑底部的排油(水)孔。3、检修：可以根</w:t>
            </w:r>
            <w:r>
              <w:rPr>
                <w:spacing w:val="8"/>
                <w:sz w:val="24"/>
                <w:szCs w:val="24"/>
              </w:rPr>
              <w:t xml:space="preserve"> </w:t>
            </w:r>
            <w:r>
              <w:rPr>
                <w:sz w:val="24"/>
                <w:szCs w:val="24"/>
              </w:rPr>
              <w:t>据鹅卵石上面的油渍判断主变渗漏油情况，便于检修。</w:t>
            </w:r>
          </w:p>
          <w:p w14:paraId="65B82C9E">
            <w:pPr>
              <w:pStyle w:val="6"/>
              <w:spacing w:line="219" w:lineRule="auto"/>
              <w:ind w:left="551"/>
              <w:rPr>
                <w:sz w:val="24"/>
                <w:szCs w:val="24"/>
              </w:rPr>
            </w:pPr>
            <w:r>
              <w:rPr>
                <w:spacing w:val="-1"/>
                <w:sz w:val="24"/>
                <w:szCs w:val="24"/>
              </w:rPr>
              <w:t>B、地表水环境风险分析</w:t>
            </w:r>
          </w:p>
          <w:p w14:paraId="36A7B94C">
            <w:pPr>
              <w:pStyle w:val="6"/>
              <w:spacing w:before="178" w:line="360" w:lineRule="auto"/>
              <w:ind w:left="31" w:firstLine="544"/>
              <w:rPr>
                <w:sz w:val="24"/>
                <w:szCs w:val="24"/>
              </w:rPr>
            </w:pPr>
            <w:r>
              <w:rPr>
                <w:spacing w:val="-2"/>
                <w:sz w:val="24"/>
                <w:szCs w:val="24"/>
              </w:rPr>
              <w:t>若因管理不当或设备损坏导致变压器油(废变压器油)发生泄漏，在雨天时</w:t>
            </w:r>
            <w:r>
              <w:rPr>
                <w:spacing w:val="2"/>
                <w:sz w:val="24"/>
                <w:szCs w:val="24"/>
              </w:rPr>
              <w:t xml:space="preserve">   </w:t>
            </w:r>
            <w:r>
              <w:rPr>
                <w:spacing w:val="-2"/>
                <w:sz w:val="24"/>
                <w:szCs w:val="24"/>
              </w:rPr>
              <w:t>可能随地表径流一起进入地表水，对地表水造成污染。由于项目主变压器附近设</w:t>
            </w:r>
            <w:r>
              <w:rPr>
                <w:spacing w:val="1"/>
                <w:sz w:val="24"/>
                <w:szCs w:val="24"/>
              </w:rPr>
              <w:t xml:space="preserve">  </w:t>
            </w:r>
            <w:r>
              <w:rPr>
                <w:spacing w:val="-2"/>
                <w:sz w:val="24"/>
                <w:szCs w:val="24"/>
              </w:rPr>
              <w:t>有事故油池，若变压器发生泄漏后，事故变压油将全部进入事故油池，事故油池</w:t>
            </w:r>
            <w:r>
              <w:rPr>
                <w:spacing w:val="1"/>
                <w:sz w:val="24"/>
                <w:szCs w:val="24"/>
              </w:rPr>
              <w:t xml:space="preserve">  </w:t>
            </w:r>
            <w:r>
              <w:rPr>
                <w:spacing w:val="-2"/>
                <w:sz w:val="24"/>
                <w:szCs w:val="24"/>
              </w:rPr>
              <w:t>设计阶段按要求采取重点防渗措施，经事故油池收集的变压油最终交有资质的单</w:t>
            </w:r>
            <w:r>
              <w:rPr>
                <w:spacing w:val="1"/>
                <w:sz w:val="24"/>
                <w:szCs w:val="24"/>
              </w:rPr>
              <w:t xml:space="preserve">  </w:t>
            </w:r>
            <w:r>
              <w:rPr>
                <w:spacing w:val="-3"/>
                <w:sz w:val="24"/>
                <w:szCs w:val="24"/>
              </w:rPr>
              <w:t>位处理。危废暂存间设置有导流沟和收集池，若确实发生了泄漏事故，及时切断</w:t>
            </w:r>
            <w:r>
              <w:rPr>
                <w:spacing w:val="9"/>
                <w:sz w:val="24"/>
                <w:szCs w:val="24"/>
              </w:rPr>
              <w:t xml:space="preserve">  </w:t>
            </w:r>
            <w:r>
              <w:rPr>
                <w:spacing w:val="-4"/>
                <w:sz w:val="24"/>
                <w:szCs w:val="24"/>
              </w:rPr>
              <w:t>泄漏源，封闭现场，采用合适的材料收容泄漏</w:t>
            </w:r>
            <w:r>
              <w:rPr>
                <w:spacing w:val="-5"/>
                <w:sz w:val="24"/>
                <w:szCs w:val="24"/>
              </w:rPr>
              <w:t>物。通过及时采取应急措施处理后，</w:t>
            </w:r>
            <w:r>
              <w:rPr>
                <w:sz w:val="24"/>
                <w:szCs w:val="24"/>
              </w:rPr>
              <w:t xml:space="preserve"> 变压器油(废变压器油)不会随地表径流一起进</w:t>
            </w:r>
            <w:r>
              <w:rPr>
                <w:spacing w:val="-1"/>
                <w:sz w:val="24"/>
                <w:szCs w:val="24"/>
              </w:rPr>
              <w:t>入地表水，地表水环境风险可控。</w:t>
            </w:r>
          </w:p>
          <w:p w14:paraId="41AE9ECF">
            <w:pPr>
              <w:pStyle w:val="6"/>
              <w:spacing w:line="219" w:lineRule="auto"/>
              <w:ind w:left="571"/>
              <w:rPr>
                <w:sz w:val="24"/>
                <w:szCs w:val="24"/>
              </w:rPr>
            </w:pPr>
            <w:r>
              <w:rPr>
                <w:spacing w:val="-1"/>
                <w:sz w:val="24"/>
                <w:szCs w:val="24"/>
              </w:rPr>
              <w:t>C、地下水及土壤环境风险分析</w:t>
            </w:r>
          </w:p>
          <w:p w14:paraId="69C2AAC0">
            <w:pPr>
              <w:pStyle w:val="6"/>
              <w:spacing w:before="196" w:line="355" w:lineRule="auto"/>
              <w:ind w:left="31" w:firstLine="544"/>
              <w:rPr>
                <w:sz w:val="24"/>
                <w:szCs w:val="24"/>
              </w:rPr>
            </w:pPr>
            <w:r>
              <w:rPr>
                <w:spacing w:val="-2"/>
                <w:sz w:val="24"/>
                <w:szCs w:val="24"/>
              </w:rPr>
              <w:t>若事故油池及危废暂存间设置的防渗层破裂或失效，变压器油(废变压器油)</w:t>
            </w:r>
            <w:r>
              <w:rPr>
                <w:spacing w:val="17"/>
                <w:sz w:val="24"/>
                <w:szCs w:val="24"/>
              </w:rPr>
              <w:t xml:space="preserve"> </w:t>
            </w:r>
            <w:r>
              <w:rPr>
                <w:spacing w:val="-2"/>
                <w:sz w:val="24"/>
                <w:szCs w:val="24"/>
              </w:rPr>
              <w:t>下渗后可能对地下水及土壤造成污染，导致泄漏主要原因为：衬垫材料不良或施</w:t>
            </w:r>
            <w:r>
              <w:rPr>
                <w:spacing w:val="1"/>
                <w:sz w:val="24"/>
                <w:szCs w:val="24"/>
              </w:rPr>
              <w:t xml:space="preserve">  </w:t>
            </w:r>
            <w:r>
              <w:rPr>
                <w:spacing w:val="-4"/>
                <w:sz w:val="24"/>
                <w:szCs w:val="24"/>
              </w:rPr>
              <w:t>工不当引起衬垫失效；基础不均匀沉降引起的</w:t>
            </w:r>
            <w:r>
              <w:rPr>
                <w:spacing w:val="-5"/>
                <w:sz w:val="24"/>
                <w:szCs w:val="24"/>
              </w:rPr>
              <w:t>衬垫破裂；人为破坏引起衬垫失效。</w:t>
            </w:r>
          </w:p>
          <w:p w14:paraId="612E660A">
            <w:pPr>
              <w:pStyle w:val="6"/>
              <w:spacing w:before="3" w:line="364" w:lineRule="auto"/>
              <w:ind w:left="81" w:right="10" w:firstLine="479"/>
              <w:rPr>
                <w:sz w:val="24"/>
                <w:szCs w:val="24"/>
              </w:rPr>
            </w:pPr>
            <w:r>
              <w:rPr>
                <w:spacing w:val="1"/>
                <w:sz w:val="24"/>
                <w:szCs w:val="24"/>
              </w:rPr>
              <w:t>项目在基建期根据环评要求及设计规范的要求</w:t>
            </w:r>
            <w:r>
              <w:rPr>
                <w:sz w:val="24"/>
                <w:szCs w:val="24"/>
              </w:rPr>
              <w:t xml:space="preserve">严格做好分区防渗工程，重点 </w:t>
            </w:r>
            <w:r>
              <w:rPr>
                <w:spacing w:val="-1"/>
                <w:sz w:val="24"/>
                <w:szCs w:val="24"/>
              </w:rPr>
              <w:t>防渗技术要求为：</w:t>
            </w:r>
          </w:p>
          <w:p w14:paraId="2F0F092A">
            <w:pPr>
              <w:pStyle w:val="6"/>
              <w:spacing w:before="2" w:line="216" w:lineRule="auto"/>
              <w:ind w:left="451"/>
              <w:rPr>
                <w:sz w:val="24"/>
                <w:szCs w:val="24"/>
              </w:rPr>
            </w:pPr>
            <w:r>
              <w:rPr>
                <w:spacing w:val="2"/>
                <w:sz w:val="24"/>
                <w:szCs w:val="24"/>
              </w:rPr>
              <w:t>危险废物暂存间：防渗层为至少1m厚粘土层(渗透系数不大于10-7</w:t>
            </w:r>
            <w:r>
              <w:rPr>
                <w:sz w:val="24"/>
                <w:szCs w:val="24"/>
              </w:rPr>
              <w:t>cm</w:t>
            </w:r>
            <w:r>
              <w:rPr>
                <w:spacing w:val="2"/>
                <w:sz w:val="24"/>
                <w:szCs w:val="24"/>
              </w:rPr>
              <w:t>/s),</w:t>
            </w:r>
          </w:p>
          <w:p w14:paraId="6D3EF0D2">
            <w:pPr>
              <w:pStyle w:val="6"/>
              <w:spacing w:before="169" w:line="216" w:lineRule="auto"/>
              <w:ind w:left="101"/>
              <w:rPr>
                <w:sz w:val="24"/>
                <w:szCs w:val="24"/>
              </w:rPr>
            </w:pPr>
            <w:r>
              <w:rPr>
                <w:spacing w:val="6"/>
                <w:sz w:val="24"/>
                <w:szCs w:val="24"/>
              </w:rPr>
              <w:t>或至少2</w:t>
            </w:r>
            <w:r>
              <w:rPr>
                <w:sz w:val="24"/>
                <w:szCs w:val="24"/>
              </w:rPr>
              <w:t>mm</w:t>
            </w:r>
            <w:r>
              <w:rPr>
                <w:spacing w:val="6"/>
                <w:sz w:val="24"/>
                <w:szCs w:val="24"/>
              </w:rPr>
              <w:t>厚高密度聚乙烯膜等人工防渗材料(渗透系数不大于</w:t>
            </w:r>
            <w:r>
              <w:rPr>
                <w:spacing w:val="5"/>
                <w:sz w:val="24"/>
                <w:szCs w:val="24"/>
              </w:rPr>
              <w:t>10-1</w:t>
            </w:r>
            <w:r>
              <w:rPr>
                <w:rFonts w:ascii="Calibri" w:hAnsi="Calibri" w:eastAsia="Calibri" w:cs="Calibri"/>
                <w:spacing w:val="5"/>
                <w:sz w:val="24"/>
                <w:szCs w:val="24"/>
              </w:rPr>
              <w:t>⁰</w:t>
            </w:r>
            <w:r>
              <w:rPr>
                <w:sz w:val="24"/>
                <w:szCs w:val="24"/>
              </w:rPr>
              <w:t>cm</w:t>
            </w:r>
            <w:r>
              <w:rPr>
                <w:spacing w:val="5"/>
                <w:sz w:val="24"/>
                <w:szCs w:val="24"/>
              </w:rPr>
              <w:t>/s),</w:t>
            </w:r>
          </w:p>
          <w:p w14:paraId="259A1130">
            <w:pPr>
              <w:pStyle w:val="6"/>
              <w:spacing w:before="180" w:line="364" w:lineRule="auto"/>
              <w:ind w:left="31" w:right="70"/>
              <w:rPr>
                <w:sz w:val="24"/>
                <w:szCs w:val="24"/>
              </w:rPr>
            </w:pPr>
            <w:r>
              <w:rPr>
                <w:sz w:val="24"/>
                <w:szCs w:val="24"/>
              </w:rPr>
              <w:t>且提高工程质量。废铅蓄电池储存在危险废物暂存间内</w:t>
            </w:r>
            <w:r>
              <w:rPr>
                <w:spacing w:val="-1"/>
                <w:sz w:val="24"/>
                <w:szCs w:val="24"/>
              </w:rPr>
              <w:t>，危废暂存间做重点防渗</w:t>
            </w:r>
            <w:r>
              <w:rPr>
                <w:sz w:val="24"/>
                <w:szCs w:val="24"/>
              </w:rPr>
              <w:t xml:space="preserve"> 处理，渗入地下水及土壤可能性较小，运营期加强监管的基础上，则地下水及土</w:t>
            </w:r>
            <w:r>
              <w:rPr>
                <w:spacing w:val="10"/>
                <w:sz w:val="24"/>
                <w:szCs w:val="24"/>
              </w:rPr>
              <w:t xml:space="preserve"> </w:t>
            </w:r>
            <w:r>
              <w:rPr>
                <w:spacing w:val="7"/>
                <w:sz w:val="24"/>
                <w:szCs w:val="24"/>
              </w:rPr>
              <w:t>壤环境风险可控。</w:t>
            </w:r>
          </w:p>
          <w:p w14:paraId="567780FC">
            <w:pPr>
              <w:pStyle w:val="6"/>
              <w:spacing w:before="12" w:line="353" w:lineRule="auto"/>
              <w:ind w:left="31" w:right="71" w:firstLine="529"/>
              <w:rPr>
                <w:sz w:val="24"/>
                <w:szCs w:val="24"/>
              </w:rPr>
            </w:pPr>
            <w:r>
              <w:rPr>
                <w:sz w:val="24"/>
                <w:szCs w:val="24"/>
              </w:rPr>
              <w:t>站内设置有集油井和不低于50m³事故油池，当变压器在事故状态， 一旦发</w:t>
            </w:r>
            <w:r>
              <w:rPr>
                <w:spacing w:val="9"/>
                <w:sz w:val="24"/>
                <w:szCs w:val="24"/>
              </w:rPr>
              <w:t xml:space="preserve"> </w:t>
            </w:r>
            <w:r>
              <w:rPr>
                <w:sz w:val="24"/>
                <w:szCs w:val="24"/>
              </w:rPr>
              <w:t>生油泄漏，事故废油由变压器下设的集油井收集，经排油管道进入事故油池，交</w:t>
            </w:r>
            <w:r>
              <w:rPr>
                <w:spacing w:val="9"/>
                <w:sz w:val="24"/>
                <w:szCs w:val="24"/>
              </w:rPr>
              <w:t xml:space="preserve"> </w:t>
            </w:r>
            <w:r>
              <w:rPr>
                <w:spacing w:val="3"/>
                <w:sz w:val="24"/>
                <w:szCs w:val="24"/>
              </w:rPr>
              <w:t>由有资质单位处置。集油井一般铺设卵石层，其厚度</w:t>
            </w:r>
            <w:r>
              <w:rPr>
                <w:spacing w:val="2"/>
                <w:sz w:val="24"/>
                <w:szCs w:val="24"/>
              </w:rPr>
              <w:t>不小于250</w:t>
            </w:r>
            <w:r>
              <w:rPr>
                <w:sz w:val="24"/>
                <w:szCs w:val="24"/>
              </w:rPr>
              <w:t>mm</w:t>
            </w:r>
            <w:r>
              <w:rPr>
                <w:spacing w:val="2"/>
                <w:sz w:val="24"/>
                <w:szCs w:val="24"/>
              </w:rPr>
              <w:t>,卵石直径</w:t>
            </w:r>
          </w:p>
          <w:p w14:paraId="408E3B16">
            <w:pPr>
              <w:pStyle w:val="6"/>
              <w:spacing w:before="14" w:line="219" w:lineRule="auto"/>
              <w:ind w:left="81"/>
              <w:rPr>
                <w:sz w:val="24"/>
                <w:szCs w:val="24"/>
              </w:rPr>
            </w:pPr>
            <w:r>
              <w:rPr>
                <w:spacing w:val="1"/>
                <w:sz w:val="24"/>
                <w:szCs w:val="24"/>
              </w:rPr>
              <w:t>约50～80</w:t>
            </w:r>
            <w:r>
              <w:rPr>
                <w:sz w:val="24"/>
                <w:szCs w:val="24"/>
              </w:rPr>
              <w:t>mm</w:t>
            </w:r>
            <w:r>
              <w:rPr>
                <w:spacing w:val="1"/>
                <w:sz w:val="24"/>
                <w:szCs w:val="24"/>
              </w:rPr>
              <w:t>;根据《火力发电厂与变电站设计防火标准》(</w:t>
            </w:r>
            <w:r>
              <w:rPr>
                <w:sz w:val="24"/>
                <w:szCs w:val="24"/>
              </w:rPr>
              <w:t>GB</w:t>
            </w:r>
            <w:r>
              <w:rPr>
                <w:spacing w:val="1"/>
                <w:sz w:val="24"/>
                <w:szCs w:val="24"/>
              </w:rPr>
              <w:t>50229-2019)</w:t>
            </w:r>
          </w:p>
          <w:p w14:paraId="79D340D1">
            <w:pPr>
              <w:pStyle w:val="6"/>
              <w:spacing w:before="177" w:line="214" w:lineRule="auto"/>
              <w:ind w:left="151"/>
              <w:rPr>
                <w:sz w:val="24"/>
                <w:szCs w:val="24"/>
              </w:rPr>
            </w:pPr>
            <w:r>
              <w:rPr>
                <w:sz w:val="24"/>
                <w:szCs w:val="24"/>
              </w:rPr>
              <w:t>规定：“户外单台油量为1000kg以上的电气设备，应设置贮油或挡油设施，其</w:t>
            </w:r>
          </w:p>
          <w:p w14:paraId="76C0AD69">
            <w:pPr>
              <w:pStyle w:val="6"/>
              <w:spacing w:before="191" w:line="219" w:lineRule="auto"/>
              <w:ind w:left="211"/>
              <w:rPr>
                <w:sz w:val="24"/>
                <w:szCs w:val="24"/>
              </w:rPr>
            </w:pPr>
            <w:r>
              <w:rPr>
                <w:spacing w:val="1"/>
                <w:sz w:val="24"/>
                <w:szCs w:val="24"/>
              </w:rPr>
              <w:t>容积宜按设备油量的20%设计，并能将事故油排至总</w:t>
            </w:r>
            <w:r>
              <w:rPr>
                <w:sz w:val="24"/>
                <w:szCs w:val="24"/>
              </w:rPr>
              <w:t>事故贮油池。总事故贮油</w:t>
            </w:r>
          </w:p>
          <w:p w14:paraId="58216839">
            <w:pPr>
              <w:pStyle w:val="6"/>
              <w:spacing w:before="183" w:line="219" w:lineRule="auto"/>
              <w:ind w:left="31"/>
              <w:rPr>
                <w:sz w:val="24"/>
                <w:szCs w:val="24"/>
              </w:rPr>
            </w:pPr>
            <w:r>
              <w:rPr>
                <w:sz w:val="24"/>
                <w:szCs w:val="24"/>
              </w:rPr>
              <w:t>池的容量应按其接入的油量最大的一台设备确定，并设置油水分离装置。”本工</w:t>
            </w:r>
          </w:p>
        </w:tc>
      </w:tr>
    </w:tbl>
    <w:p w14:paraId="2866F8E8">
      <w:pPr>
        <w:pStyle w:val="2"/>
      </w:pPr>
    </w:p>
    <w:p w14:paraId="261DED32">
      <w:pPr>
        <w:sectPr>
          <w:footerReference r:id="rId184" w:type="default"/>
          <w:pgSz w:w="11910" w:h="16830"/>
          <w:pgMar w:top="400" w:right="1237" w:bottom="1245" w:left="1234" w:header="0" w:footer="1083" w:gutter="0"/>
          <w:cols w:space="720" w:num="1"/>
        </w:sectPr>
      </w:pPr>
    </w:p>
    <w:p w14:paraId="7893F9AC">
      <w:pPr>
        <w:spacing w:before="15"/>
      </w:pPr>
    </w:p>
    <w:p w14:paraId="0694030C">
      <w:pPr>
        <w:spacing w:before="15"/>
      </w:pPr>
    </w:p>
    <w:p w14:paraId="12489F0C">
      <w:pPr>
        <w:spacing w:before="15"/>
      </w:pPr>
    </w:p>
    <w:p w14:paraId="6FFA03AC">
      <w:pPr>
        <w:spacing w:before="14"/>
      </w:pPr>
    </w:p>
    <w:tbl>
      <w:tblPr>
        <w:tblStyle w:val="5"/>
        <w:tblW w:w="939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89"/>
      </w:tblGrid>
      <w:tr w14:paraId="2C376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904" w:type="dxa"/>
            <w:vAlign w:val="top"/>
          </w:tcPr>
          <w:p w14:paraId="48F17476">
            <w:pPr>
              <w:rPr>
                <w:rFonts w:ascii="Arial"/>
                <w:sz w:val="21"/>
              </w:rPr>
            </w:pPr>
          </w:p>
        </w:tc>
        <w:tc>
          <w:tcPr>
            <w:tcW w:w="8489" w:type="dxa"/>
            <w:vAlign w:val="top"/>
          </w:tcPr>
          <w:p w14:paraId="317A98E7">
            <w:pPr>
              <w:pStyle w:val="6"/>
              <w:spacing w:before="12" w:line="362" w:lineRule="auto"/>
              <w:ind w:left="91" w:right="97" w:firstLine="60"/>
              <w:jc w:val="both"/>
              <w:rPr>
                <w:sz w:val="24"/>
                <w:szCs w:val="24"/>
              </w:rPr>
            </w:pPr>
            <w:r>
              <w:rPr>
                <w:spacing w:val="6"/>
                <w:sz w:val="24"/>
                <w:szCs w:val="24"/>
              </w:rPr>
              <w:t>程主变电器油重按21.9t考虑(密度按0.895t</w:t>
            </w:r>
            <w:r>
              <w:rPr>
                <w:spacing w:val="5"/>
                <w:sz w:val="24"/>
                <w:szCs w:val="24"/>
              </w:rPr>
              <w:t>/m³计，体积为32.51m³),站内设</w:t>
            </w:r>
            <w:r>
              <w:rPr>
                <w:sz w:val="24"/>
                <w:szCs w:val="24"/>
              </w:rPr>
              <w:t xml:space="preserve"> </w:t>
            </w:r>
            <w:r>
              <w:rPr>
                <w:spacing w:val="4"/>
                <w:sz w:val="24"/>
                <w:szCs w:val="24"/>
              </w:rPr>
              <w:t>置集油井及不低于50m³事故油池容积符合设</w:t>
            </w:r>
            <w:r>
              <w:rPr>
                <w:spacing w:val="3"/>
                <w:sz w:val="24"/>
                <w:szCs w:val="24"/>
              </w:rPr>
              <w:t>计要求，同时也能满足事故漏油处</w:t>
            </w:r>
            <w:r>
              <w:rPr>
                <w:sz w:val="24"/>
                <w:szCs w:val="24"/>
              </w:rPr>
              <w:t xml:space="preserve"> 置要求。</w:t>
            </w:r>
          </w:p>
          <w:p w14:paraId="0FA8A68F">
            <w:pPr>
              <w:pStyle w:val="6"/>
              <w:spacing w:before="5" w:line="359" w:lineRule="auto"/>
              <w:ind w:left="31" w:right="35" w:firstLine="529"/>
              <w:rPr>
                <w:sz w:val="24"/>
                <w:szCs w:val="24"/>
              </w:rPr>
            </w:pPr>
            <w:r>
              <w:rPr>
                <w:sz w:val="24"/>
                <w:szCs w:val="24"/>
              </w:rPr>
              <w:t>项目每个箱式变压器内仅有2t变压器油，油量较少，即使全部泄漏，箱式</w:t>
            </w:r>
            <w:r>
              <w:rPr>
                <w:spacing w:val="4"/>
                <w:sz w:val="24"/>
                <w:szCs w:val="24"/>
              </w:rPr>
              <w:t xml:space="preserve">  </w:t>
            </w:r>
            <w:r>
              <w:rPr>
                <w:spacing w:val="5"/>
                <w:sz w:val="24"/>
                <w:szCs w:val="24"/>
              </w:rPr>
              <w:t xml:space="preserve">变压器下方一个4.84m³事故油池可以收集泄漏油。若流入地表土壤，第四系坡 </w:t>
            </w:r>
            <w:r>
              <w:rPr>
                <w:sz w:val="24"/>
                <w:szCs w:val="24"/>
              </w:rPr>
              <w:t>残积粉质黏土，其渗透性低，防污性能较强，向地下水及土壤渗透的影响范围很</w:t>
            </w:r>
            <w:r>
              <w:rPr>
                <w:spacing w:val="11"/>
                <w:sz w:val="24"/>
                <w:szCs w:val="24"/>
              </w:rPr>
              <w:t xml:space="preserve"> </w:t>
            </w:r>
            <w:r>
              <w:rPr>
                <w:sz w:val="24"/>
                <w:szCs w:val="24"/>
              </w:rPr>
              <w:t>小，电站内工作人员在巡检时能够及时发现并作出处理，污染地下水及土壤的可</w:t>
            </w:r>
            <w:r>
              <w:rPr>
                <w:spacing w:val="8"/>
                <w:sz w:val="24"/>
                <w:szCs w:val="24"/>
              </w:rPr>
              <w:t xml:space="preserve"> </w:t>
            </w:r>
            <w:r>
              <w:rPr>
                <w:spacing w:val="2"/>
                <w:sz w:val="24"/>
                <w:szCs w:val="24"/>
              </w:rPr>
              <w:t>能性极小。箱变事故油池、升压站集油井+事故油池严格按照《环境影响评价技</w:t>
            </w:r>
            <w:r>
              <w:rPr>
                <w:sz w:val="24"/>
                <w:szCs w:val="24"/>
              </w:rPr>
              <w:t xml:space="preserve"> </w:t>
            </w:r>
            <w:r>
              <w:rPr>
                <w:spacing w:val="2"/>
                <w:sz w:val="24"/>
                <w:szCs w:val="24"/>
              </w:rPr>
              <w:t>术导则地下水》(</w:t>
            </w:r>
            <w:r>
              <w:rPr>
                <w:sz w:val="24"/>
                <w:szCs w:val="24"/>
              </w:rPr>
              <w:t>HIJ</w:t>
            </w:r>
            <w:r>
              <w:rPr>
                <w:spacing w:val="2"/>
                <w:sz w:val="24"/>
                <w:szCs w:val="24"/>
              </w:rPr>
              <w:t>610-2016)重点防渗要求，等效黏土防渗层</w:t>
            </w:r>
            <w:r>
              <w:rPr>
                <w:sz w:val="24"/>
                <w:szCs w:val="24"/>
              </w:rPr>
              <w:t>Mb</w:t>
            </w:r>
            <w:r>
              <w:rPr>
                <w:spacing w:val="2"/>
                <w:sz w:val="24"/>
                <w:szCs w:val="24"/>
              </w:rPr>
              <w:t>≥6m,渗透</w:t>
            </w:r>
          </w:p>
          <w:p w14:paraId="5326F4F0">
            <w:pPr>
              <w:pStyle w:val="6"/>
              <w:spacing w:before="4" w:line="219" w:lineRule="auto"/>
              <w:ind w:left="101"/>
              <w:rPr>
                <w:sz w:val="24"/>
                <w:szCs w:val="24"/>
              </w:rPr>
            </w:pPr>
            <w:r>
              <w:rPr>
                <w:sz w:val="24"/>
                <w:szCs w:val="24"/>
              </w:rPr>
              <w:t>系数≤1×10-7cm/s的防渗性能。</w:t>
            </w:r>
          </w:p>
          <w:p w14:paraId="4520E161">
            <w:pPr>
              <w:pStyle w:val="6"/>
              <w:spacing w:before="185" w:line="219" w:lineRule="auto"/>
              <w:ind w:left="561"/>
              <w:rPr>
                <w:sz w:val="24"/>
                <w:szCs w:val="24"/>
              </w:rPr>
            </w:pPr>
            <w:r>
              <w:rPr>
                <w:spacing w:val="-1"/>
                <w:sz w:val="24"/>
                <w:szCs w:val="24"/>
              </w:rPr>
              <w:t>D、火灾环境风险分析</w:t>
            </w:r>
          </w:p>
          <w:p w14:paraId="4922E3F4">
            <w:pPr>
              <w:pStyle w:val="6"/>
              <w:spacing w:before="175" w:line="361" w:lineRule="auto"/>
              <w:ind w:left="81" w:firstLine="499"/>
              <w:rPr>
                <w:sz w:val="24"/>
                <w:szCs w:val="24"/>
              </w:rPr>
            </w:pPr>
            <w:r>
              <w:rPr>
                <w:spacing w:val="-1"/>
                <w:sz w:val="24"/>
                <w:szCs w:val="24"/>
              </w:rPr>
              <w:t>箱式变压器等各种电气设备，在外部火源移近、过负荷、短路、过压、绝缘</w:t>
            </w:r>
            <w:r>
              <w:rPr>
                <w:spacing w:val="10"/>
                <w:sz w:val="24"/>
                <w:szCs w:val="24"/>
              </w:rPr>
              <w:t xml:space="preserve"> </w:t>
            </w:r>
            <w:r>
              <w:rPr>
                <w:spacing w:val="-1"/>
                <w:sz w:val="24"/>
                <w:szCs w:val="24"/>
              </w:rPr>
              <w:t>层严重过热、老化、损坏等情况下，均可能引发电气火灾。</w:t>
            </w:r>
          </w:p>
          <w:p w14:paraId="3CAE9235">
            <w:pPr>
              <w:pStyle w:val="6"/>
              <w:spacing w:before="3" w:line="358" w:lineRule="auto"/>
              <w:ind w:left="31" w:firstLine="569"/>
              <w:jc w:val="both"/>
              <w:rPr>
                <w:sz w:val="24"/>
                <w:szCs w:val="24"/>
              </w:rPr>
            </w:pPr>
            <w:r>
              <w:rPr>
                <w:spacing w:val="-1"/>
                <w:sz w:val="24"/>
                <w:szCs w:val="24"/>
              </w:rPr>
              <w:t>电缆自身故障、机械损伤造成电缆短路或其他高温物</w:t>
            </w:r>
            <w:r>
              <w:rPr>
                <w:spacing w:val="-2"/>
                <w:sz w:val="24"/>
                <w:szCs w:val="24"/>
              </w:rPr>
              <w:t>体与电缆接触时，可能</w:t>
            </w:r>
            <w:r>
              <w:rPr>
                <w:sz w:val="24"/>
                <w:szCs w:val="24"/>
              </w:rPr>
              <w:t xml:space="preserve"> 引起电缆着火，且电缆着火后蔓延速度很快，因而使之相连的电气仪表、控制系</w:t>
            </w:r>
            <w:r>
              <w:rPr>
                <w:spacing w:val="16"/>
                <w:sz w:val="24"/>
                <w:szCs w:val="24"/>
              </w:rPr>
              <w:t xml:space="preserve"> </w:t>
            </w:r>
            <w:r>
              <w:rPr>
                <w:spacing w:val="2"/>
                <w:sz w:val="24"/>
                <w:szCs w:val="24"/>
              </w:rPr>
              <w:t>统、设备烧毁、酿成重大火灾，甚至造成光伏电场停产。</w:t>
            </w:r>
          </w:p>
          <w:p w14:paraId="60CB88CF">
            <w:pPr>
              <w:pStyle w:val="6"/>
              <w:spacing w:before="3" w:line="356" w:lineRule="auto"/>
              <w:ind w:left="31" w:firstLine="549"/>
              <w:jc w:val="both"/>
              <w:rPr>
                <w:sz w:val="24"/>
                <w:szCs w:val="24"/>
              </w:rPr>
            </w:pPr>
            <w:r>
              <w:rPr>
                <w:spacing w:val="-1"/>
                <w:sz w:val="24"/>
                <w:szCs w:val="24"/>
              </w:rPr>
              <w:t>光伏电场发生的火灾可能对工作人员和仪器设备造成危害，如火灾蔓延到周</w:t>
            </w:r>
            <w:r>
              <w:rPr>
                <w:spacing w:val="10"/>
                <w:sz w:val="24"/>
                <w:szCs w:val="24"/>
              </w:rPr>
              <w:t xml:space="preserve"> </w:t>
            </w:r>
            <w:r>
              <w:rPr>
                <w:spacing w:val="-1"/>
                <w:sz w:val="24"/>
                <w:szCs w:val="24"/>
              </w:rPr>
              <w:t>边农田，对耕地植被和生态系统造成严重破坏，同时会对当地村名造成一定的经</w:t>
            </w:r>
            <w:r>
              <w:rPr>
                <w:spacing w:val="14"/>
                <w:sz w:val="24"/>
                <w:szCs w:val="24"/>
              </w:rPr>
              <w:t xml:space="preserve"> </w:t>
            </w:r>
            <w:r>
              <w:rPr>
                <w:spacing w:val="7"/>
                <w:sz w:val="24"/>
                <w:szCs w:val="24"/>
              </w:rPr>
              <w:t>济损失。</w:t>
            </w:r>
          </w:p>
          <w:p w14:paraId="78102CA0">
            <w:pPr>
              <w:pStyle w:val="6"/>
              <w:spacing w:before="1" w:line="219" w:lineRule="auto"/>
              <w:ind w:left="561"/>
              <w:rPr>
                <w:sz w:val="24"/>
                <w:szCs w:val="24"/>
              </w:rPr>
            </w:pPr>
            <w:r>
              <w:rPr>
                <w:spacing w:val="-1"/>
                <w:sz w:val="24"/>
                <w:szCs w:val="24"/>
              </w:rPr>
              <w:t>E、废铅蓄电池风险分析</w:t>
            </w:r>
          </w:p>
          <w:p w14:paraId="51E0A81D">
            <w:pPr>
              <w:pStyle w:val="6"/>
              <w:spacing w:before="199" w:line="359" w:lineRule="auto"/>
              <w:ind w:left="31" w:firstLine="569"/>
              <w:rPr>
                <w:sz w:val="24"/>
                <w:szCs w:val="24"/>
              </w:rPr>
            </w:pPr>
            <w:r>
              <w:rPr>
                <w:sz w:val="24"/>
                <w:szCs w:val="24"/>
              </w:rPr>
              <w:t>由于废铅蓄电池为固体状态，且更换频率较小，1~2年一次，更换后临</w:t>
            </w:r>
            <w:r>
              <w:rPr>
                <w:spacing w:val="-1"/>
                <w:sz w:val="24"/>
                <w:szCs w:val="24"/>
              </w:rPr>
              <w:t>时暂</w:t>
            </w:r>
            <w:r>
              <w:rPr>
                <w:sz w:val="24"/>
                <w:szCs w:val="24"/>
              </w:rPr>
              <w:t xml:space="preserve"> 存于加盖的专用容器中，正常情况下对大气环境、地表水环境及地下水环境影响</w:t>
            </w:r>
            <w:r>
              <w:rPr>
                <w:spacing w:val="6"/>
                <w:sz w:val="24"/>
                <w:szCs w:val="24"/>
              </w:rPr>
              <w:t xml:space="preserve"> </w:t>
            </w:r>
            <w:r>
              <w:rPr>
                <w:sz w:val="24"/>
                <w:szCs w:val="24"/>
              </w:rPr>
              <w:t>较小，当铅蓄电池液泄漏时，如不经收集处理而排放至环境中，将对土壤、地下</w:t>
            </w:r>
            <w:r>
              <w:rPr>
                <w:spacing w:val="2"/>
                <w:sz w:val="24"/>
                <w:szCs w:val="24"/>
              </w:rPr>
              <w:t xml:space="preserve"> </w:t>
            </w:r>
            <w:r>
              <w:rPr>
                <w:spacing w:val="1"/>
                <w:sz w:val="24"/>
                <w:szCs w:val="24"/>
              </w:rPr>
              <w:t>水和植物生长造成不利影响，若发生火灾、爆炸所产生的液体挥发形成的蒸汽，</w:t>
            </w:r>
            <w:r>
              <w:rPr>
                <w:spacing w:val="11"/>
                <w:sz w:val="24"/>
                <w:szCs w:val="24"/>
              </w:rPr>
              <w:t xml:space="preserve"> </w:t>
            </w:r>
            <w:r>
              <w:rPr>
                <w:sz w:val="24"/>
                <w:szCs w:val="24"/>
              </w:rPr>
              <w:t>以及次生污染物，将对周边大气产生较为严重的环境污染。项目铅蓄电池液及时 采用消防砂等进行阻隔及收集并暂存于危废间，通过加强巡检等措施后，可以及 时发生泄漏，切断泄漏源，并采用合适的材料收容泄漏物，在采取以上应急</w:t>
            </w:r>
            <w:r>
              <w:rPr>
                <w:spacing w:val="-1"/>
                <w:sz w:val="24"/>
                <w:szCs w:val="24"/>
              </w:rPr>
              <w:t>措施</w:t>
            </w:r>
            <w:r>
              <w:rPr>
                <w:sz w:val="24"/>
                <w:szCs w:val="24"/>
              </w:rPr>
              <w:t xml:space="preserve"> </w:t>
            </w:r>
            <w:r>
              <w:rPr>
                <w:spacing w:val="4"/>
                <w:sz w:val="24"/>
                <w:szCs w:val="24"/>
              </w:rPr>
              <w:t>后，引起火灾爆炸的可能性较小。</w:t>
            </w:r>
          </w:p>
          <w:p w14:paraId="30B575B8">
            <w:pPr>
              <w:pStyle w:val="6"/>
              <w:spacing w:line="220" w:lineRule="auto"/>
              <w:ind w:left="74"/>
              <w:rPr>
                <w:sz w:val="24"/>
                <w:szCs w:val="24"/>
              </w:rPr>
            </w:pPr>
            <w:r>
              <w:rPr>
                <w:b/>
                <w:bCs/>
                <w:spacing w:val="-4"/>
                <w:sz w:val="24"/>
                <w:szCs w:val="24"/>
              </w:rPr>
              <w:t>9.5风险防范措施</w:t>
            </w:r>
          </w:p>
        </w:tc>
      </w:tr>
    </w:tbl>
    <w:p w14:paraId="68503130">
      <w:pPr>
        <w:pStyle w:val="2"/>
      </w:pPr>
    </w:p>
    <w:p w14:paraId="516D3E49">
      <w:pPr>
        <w:sectPr>
          <w:footerReference r:id="rId185" w:type="default"/>
          <w:pgSz w:w="11910" w:h="16830"/>
          <w:pgMar w:top="400" w:right="1271" w:bottom="1245" w:left="1234" w:header="0" w:footer="1083" w:gutter="0"/>
          <w:cols w:space="720" w:num="1"/>
        </w:sectPr>
      </w:pPr>
    </w:p>
    <w:p w14:paraId="5C08B325">
      <w:pPr>
        <w:spacing w:before="15"/>
      </w:pPr>
    </w:p>
    <w:p w14:paraId="5F046A83">
      <w:pPr>
        <w:spacing w:before="15"/>
      </w:pPr>
    </w:p>
    <w:p w14:paraId="348000C3">
      <w:pPr>
        <w:spacing w:before="15"/>
      </w:pPr>
    </w:p>
    <w:p w14:paraId="6B6A7831">
      <w:pPr>
        <w:spacing w:before="14"/>
      </w:pPr>
    </w:p>
    <w:tbl>
      <w:tblPr>
        <w:tblStyle w:val="5"/>
        <w:tblW w:w="93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86"/>
      </w:tblGrid>
      <w:tr w14:paraId="530BA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904" w:type="dxa"/>
            <w:vAlign w:val="top"/>
          </w:tcPr>
          <w:p w14:paraId="321A5FF8">
            <w:pPr>
              <w:rPr>
                <w:rFonts w:ascii="Arial"/>
                <w:sz w:val="21"/>
              </w:rPr>
            </w:pPr>
          </w:p>
        </w:tc>
        <w:tc>
          <w:tcPr>
            <w:tcW w:w="8486" w:type="dxa"/>
            <w:vAlign w:val="top"/>
          </w:tcPr>
          <w:p w14:paraId="52BADDCE">
            <w:pPr>
              <w:pStyle w:val="6"/>
              <w:spacing w:before="11" w:line="219" w:lineRule="auto"/>
              <w:ind w:left="74"/>
              <w:rPr>
                <w:sz w:val="24"/>
                <w:szCs w:val="24"/>
              </w:rPr>
            </w:pPr>
            <w:bookmarkStart w:id="6" w:name="bookmark11"/>
            <w:bookmarkEnd w:id="6"/>
            <w:r>
              <w:rPr>
                <w:b/>
                <w:bCs/>
                <w:spacing w:val="-3"/>
                <w:sz w:val="24"/>
                <w:szCs w:val="24"/>
              </w:rPr>
              <w:t>9.5.1变压器油及危废暂存间风险防护措施</w:t>
            </w:r>
          </w:p>
          <w:p w14:paraId="43DA3D81">
            <w:pPr>
              <w:pStyle w:val="6"/>
              <w:spacing w:before="184" w:line="315" w:lineRule="auto"/>
              <w:ind w:left="31" w:right="3" w:firstLine="529"/>
              <w:rPr>
                <w:sz w:val="24"/>
                <w:szCs w:val="24"/>
              </w:rPr>
            </w:pPr>
            <w:r>
              <w:rPr>
                <w:sz w:val="24"/>
                <w:szCs w:val="24"/>
              </w:rPr>
              <w:t>①变压器冷却油只在事故时排放，含油废水通过集油</w:t>
            </w:r>
            <w:r>
              <w:rPr>
                <w:spacing w:val="-1"/>
                <w:sz w:val="24"/>
                <w:szCs w:val="24"/>
              </w:rPr>
              <w:t>井、排油管道排入事故</w:t>
            </w:r>
            <w:r>
              <w:rPr>
                <w:sz w:val="24"/>
                <w:szCs w:val="24"/>
              </w:rPr>
              <w:t xml:space="preserve"> 油池，经过油水分离后回收利用，不可回用的部分交由有危险废物处置资质的单</w:t>
            </w:r>
            <w:r>
              <w:rPr>
                <w:spacing w:val="9"/>
                <w:sz w:val="24"/>
                <w:szCs w:val="24"/>
              </w:rPr>
              <w:t xml:space="preserve"> </w:t>
            </w:r>
            <w:r>
              <w:rPr>
                <w:sz w:val="24"/>
                <w:szCs w:val="24"/>
              </w:rPr>
              <w:t>位进行处置，并严格执行危险废物转移联单制度。危险</w:t>
            </w:r>
            <w:r>
              <w:rPr>
                <w:spacing w:val="-1"/>
                <w:sz w:val="24"/>
                <w:szCs w:val="24"/>
              </w:rPr>
              <w:t>废物还应按《危险废物转</w:t>
            </w:r>
          </w:p>
          <w:p w14:paraId="41B8594F">
            <w:pPr>
              <w:pStyle w:val="6"/>
              <w:spacing w:before="175" w:line="360" w:lineRule="auto"/>
              <w:ind w:left="91" w:right="206" w:firstLine="119"/>
              <w:rPr>
                <w:sz w:val="24"/>
                <w:szCs w:val="24"/>
              </w:rPr>
            </w:pPr>
            <w:r>
              <w:rPr>
                <w:sz w:val="24"/>
                <w:szCs w:val="24"/>
              </w:rPr>
              <w:t>移联单管理办法》、《危险废物污染防治技术政策》(环发〔2001〕199号)的</w:t>
            </w:r>
            <w:r>
              <w:rPr>
                <w:spacing w:val="17"/>
                <w:sz w:val="24"/>
                <w:szCs w:val="24"/>
              </w:rPr>
              <w:t xml:space="preserve"> </w:t>
            </w:r>
            <w:r>
              <w:rPr>
                <w:sz w:val="24"/>
                <w:szCs w:val="24"/>
              </w:rPr>
              <w:t>规定进行分类管理、存放、运输和处理处置。</w:t>
            </w:r>
          </w:p>
          <w:p w14:paraId="4F65D85A">
            <w:pPr>
              <w:pStyle w:val="6"/>
              <w:spacing w:before="2" w:line="362" w:lineRule="auto"/>
              <w:ind w:left="101" w:right="224" w:firstLine="459"/>
              <w:rPr>
                <w:sz w:val="24"/>
                <w:szCs w:val="24"/>
              </w:rPr>
            </w:pPr>
            <w:r>
              <w:rPr>
                <w:spacing w:val="4"/>
                <w:sz w:val="24"/>
                <w:szCs w:val="24"/>
              </w:rPr>
              <w:t>②升压站设置集油井容和事故油池，事故油池有效容积不低于</w:t>
            </w:r>
            <w:r>
              <w:rPr>
                <w:spacing w:val="3"/>
                <w:sz w:val="24"/>
                <w:szCs w:val="24"/>
              </w:rPr>
              <w:t>50m³,可存</w:t>
            </w:r>
            <w:r>
              <w:rPr>
                <w:sz w:val="24"/>
                <w:szCs w:val="24"/>
              </w:rPr>
              <w:t xml:space="preserve"> </w:t>
            </w:r>
            <w:r>
              <w:rPr>
                <w:spacing w:val="1"/>
                <w:sz w:val="24"/>
                <w:szCs w:val="24"/>
              </w:rPr>
              <w:t>油量约为44.75t,本项目设有1个50</w:t>
            </w:r>
            <w:r>
              <w:rPr>
                <w:sz w:val="24"/>
                <w:szCs w:val="24"/>
              </w:rPr>
              <w:t>MVA</w:t>
            </w:r>
            <w:r>
              <w:rPr>
                <w:spacing w:val="1"/>
                <w:sz w:val="24"/>
                <w:szCs w:val="24"/>
              </w:rPr>
              <w:t>主变</w:t>
            </w:r>
            <w:r>
              <w:rPr>
                <w:sz w:val="24"/>
                <w:szCs w:val="24"/>
              </w:rPr>
              <w:t>压器，主变内冷却油量约21.9吨，</w:t>
            </w:r>
          </w:p>
          <w:p w14:paraId="3880FDBF">
            <w:pPr>
              <w:pStyle w:val="6"/>
              <w:spacing w:before="7" w:line="359" w:lineRule="auto"/>
              <w:ind w:left="31" w:firstLine="118"/>
              <w:rPr>
                <w:sz w:val="24"/>
                <w:szCs w:val="24"/>
              </w:rPr>
            </w:pPr>
            <w:r>
              <w:rPr>
                <w:spacing w:val="-2"/>
                <w:sz w:val="24"/>
                <w:szCs w:val="24"/>
              </w:rPr>
              <w:t>能满足主变压器事故状态下100%的排油量，能保证事故排油不外排；升压站主</w:t>
            </w:r>
            <w:r>
              <w:rPr>
                <w:spacing w:val="4"/>
                <w:sz w:val="24"/>
                <w:szCs w:val="24"/>
              </w:rPr>
              <w:t xml:space="preserve">   </w:t>
            </w:r>
            <w:r>
              <w:rPr>
                <w:spacing w:val="1"/>
                <w:sz w:val="24"/>
                <w:szCs w:val="24"/>
              </w:rPr>
              <w:t>变与总事故油池有集油井、排油管道连接，主变漏油时，变压器废油经集油井、</w:t>
            </w:r>
            <w:r>
              <w:rPr>
                <w:spacing w:val="8"/>
                <w:sz w:val="24"/>
                <w:szCs w:val="24"/>
              </w:rPr>
              <w:t xml:space="preserve"> </w:t>
            </w:r>
            <w:r>
              <w:rPr>
                <w:spacing w:val="-2"/>
                <w:sz w:val="24"/>
                <w:szCs w:val="24"/>
              </w:rPr>
              <w:t>排油管道进入总事故油池。而且上述事故油池均</w:t>
            </w:r>
            <w:r>
              <w:rPr>
                <w:spacing w:val="-3"/>
                <w:sz w:val="24"/>
                <w:szCs w:val="24"/>
              </w:rPr>
              <w:t>不与雨水系统相通，不会对周边</w:t>
            </w:r>
            <w:r>
              <w:rPr>
                <w:sz w:val="24"/>
                <w:szCs w:val="24"/>
              </w:rPr>
              <w:t xml:space="preserve">  水环境产生的不良影响。事故油池底部和四周设置防渗措施(箱变事故油</w:t>
            </w:r>
            <w:r>
              <w:rPr>
                <w:spacing w:val="-1"/>
                <w:sz w:val="24"/>
                <w:szCs w:val="24"/>
              </w:rPr>
              <w:t>池、升</w:t>
            </w:r>
            <w:r>
              <w:rPr>
                <w:sz w:val="24"/>
                <w:szCs w:val="24"/>
              </w:rPr>
              <w:t xml:space="preserve">  </w:t>
            </w:r>
            <w:r>
              <w:rPr>
                <w:spacing w:val="3"/>
                <w:sz w:val="24"/>
                <w:szCs w:val="24"/>
              </w:rPr>
              <w:t>压站集油井+事故油池：等效黏土防渗层</w:t>
            </w:r>
            <w:r>
              <w:rPr>
                <w:sz w:val="24"/>
                <w:szCs w:val="24"/>
              </w:rPr>
              <w:t>Mb</w:t>
            </w:r>
            <w:r>
              <w:rPr>
                <w:spacing w:val="3"/>
                <w:sz w:val="24"/>
                <w:szCs w:val="24"/>
              </w:rPr>
              <w:t>≥6m,渗透系数≤1×10-7</w:t>
            </w:r>
            <w:r>
              <w:rPr>
                <w:sz w:val="24"/>
                <w:szCs w:val="24"/>
              </w:rPr>
              <w:t>cm</w:t>
            </w:r>
            <w:r>
              <w:rPr>
                <w:spacing w:val="3"/>
                <w:sz w:val="24"/>
                <w:szCs w:val="24"/>
              </w:rPr>
              <w:t xml:space="preserve">/s的防   </w:t>
            </w:r>
            <w:r>
              <w:rPr>
                <w:spacing w:val="2"/>
                <w:sz w:val="24"/>
                <w:szCs w:val="24"/>
              </w:rPr>
              <w:t>渗性能),确保事故油和油污水在存储的过程中不会渗</w:t>
            </w:r>
            <w:r>
              <w:rPr>
                <w:spacing w:val="1"/>
                <w:sz w:val="24"/>
                <w:szCs w:val="24"/>
              </w:rPr>
              <w:t>漏；严格做好分区防渗工</w:t>
            </w:r>
            <w:r>
              <w:rPr>
                <w:sz w:val="24"/>
                <w:szCs w:val="24"/>
              </w:rPr>
              <w:t xml:space="preserve">   </w:t>
            </w:r>
            <w:r>
              <w:rPr>
                <w:spacing w:val="-2"/>
                <w:sz w:val="24"/>
                <w:szCs w:val="24"/>
              </w:rPr>
              <w:t>程，施工期加强工程监理和环境监理，提高防渗工程质量，做好照片、录像以及</w:t>
            </w:r>
            <w:r>
              <w:rPr>
                <w:spacing w:val="4"/>
                <w:sz w:val="24"/>
                <w:szCs w:val="24"/>
              </w:rPr>
              <w:t xml:space="preserve">  </w:t>
            </w:r>
            <w:r>
              <w:rPr>
                <w:spacing w:val="-2"/>
                <w:sz w:val="24"/>
                <w:szCs w:val="24"/>
              </w:rPr>
              <w:t>相关文字说明等存档资料。同时加强升压站场地内用油管理，制定环境风险防范</w:t>
            </w:r>
            <w:r>
              <w:rPr>
                <w:spacing w:val="4"/>
                <w:sz w:val="24"/>
                <w:szCs w:val="24"/>
              </w:rPr>
              <w:t xml:space="preserve">  </w:t>
            </w:r>
            <w:r>
              <w:rPr>
                <w:sz w:val="24"/>
                <w:szCs w:val="24"/>
              </w:rPr>
              <w:t>措施和应急预案，严防升压站漏油事故影响区域水体。</w:t>
            </w:r>
          </w:p>
          <w:p w14:paraId="25DC2E5A">
            <w:pPr>
              <w:pStyle w:val="6"/>
              <w:spacing w:before="2" w:line="359" w:lineRule="auto"/>
              <w:ind w:left="101" w:right="2" w:firstLine="459"/>
              <w:rPr>
                <w:sz w:val="24"/>
                <w:szCs w:val="24"/>
              </w:rPr>
            </w:pPr>
            <w:r>
              <w:rPr>
                <w:sz w:val="24"/>
                <w:szCs w:val="24"/>
              </w:rPr>
              <w:t>③危度暂存间严格按照《危险度物贮存污染控制标准》(GB1859</w:t>
            </w:r>
            <w:r>
              <w:rPr>
                <w:spacing w:val="-1"/>
                <w:sz w:val="24"/>
                <w:szCs w:val="24"/>
              </w:rPr>
              <w:t>7-2023)设计</w:t>
            </w:r>
            <w:r>
              <w:rPr>
                <w:sz w:val="24"/>
                <w:szCs w:val="24"/>
              </w:rPr>
              <w:t xml:space="preserve"> </w:t>
            </w:r>
            <w:r>
              <w:rPr>
                <w:spacing w:val="2"/>
                <w:sz w:val="24"/>
                <w:szCs w:val="24"/>
              </w:rPr>
              <w:t>建设并建立转移联单，完善危险度物记录台账。防渗工程需</w:t>
            </w:r>
            <w:r>
              <w:rPr>
                <w:spacing w:val="1"/>
                <w:sz w:val="24"/>
                <w:szCs w:val="24"/>
              </w:rPr>
              <w:t>满足</w:t>
            </w:r>
            <w:r>
              <w:rPr>
                <w:sz w:val="24"/>
                <w:szCs w:val="24"/>
              </w:rPr>
              <w:t>GB</w:t>
            </w:r>
            <w:r>
              <w:rPr>
                <w:spacing w:val="1"/>
                <w:sz w:val="24"/>
                <w:szCs w:val="24"/>
              </w:rPr>
              <w:t>18597-2023</w:t>
            </w:r>
            <w:r>
              <w:rPr>
                <w:sz w:val="24"/>
                <w:szCs w:val="24"/>
              </w:rPr>
              <w:t xml:space="preserve">  要求，即：防渗层为至少1m厚粘土层(渗透系数不大于10-7</w:t>
            </w:r>
            <w:r>
              <w:rPr>
                <w:spacing w:val="-1"/>
                <w:sz w:val="24"/>
                <w:szCs w:val="24"/>
              </w:rPr>
              <w:t>cm/s),或至少2mm</w:t>
            </w:r>
          </w:p>
          <w:p w14:paraId="67DA1EB2">
            <w:pPr>
              <w:pStyle w:val="6"/>
              <w:spacing w:line="363" w:lineRule="auto"/>
              <w:ind w:left="91" w:firstLine="9"/>
              <w:rPr>
                <w:sz w:val="24"/>
                <w:szCs w:val="24"/>
              </w:rPr>
            </w:pPr>
            <w:r>
              <w:rPr>
                <w:spacing w:val="-3"/>
                <w:sz w:val="24"/>
                <w:szCs w:val="24"/>
              </w:rPr>
              <w:t>厚高密度聚乙烯膜等人工防渗材料(渗透系数不大于10-1</w:t>
            </w:r>
            <w:r>
              <w:rPr>
                <w:rFonts w:ascii="Calibri" w:hAnsi="Calibri" w:eastAsia="Calibri" w:cs="Calibri"/>
                <w:spacing w:val="-3"/>
                <w:sz w:val="24"/>
                <w:szCs w:val="24"/>
              </w:rPr>
              <w:t>⁰</w:t>
            </w:r>
            <w:r>
              <w:rPr>
                <w:spacing w:val="-3"/>
                <w:sz w:val="24"/>
                <w:szCs w:val="24"/>
              </w:rPr>
              <w:t>cm/s)。箱变事故油池、</w:t>
            </w:r>
            <w:r>
              <w:rPr>
                <w:spacing w:val="3"/>
                <w:sz w:val="24"/>
                <w:szCs w:val="24"/>
              </w:rPr>
              <w:t xml:space="preserve"> </w:t>
            </w:r>
            <w:r>
              <w:rPr>
                <w:spacing w:val="39"/>
                <w:sz w:val="24"/>
                <w:szCs w:val="24"/>
              </w:rPr>
              <w:t>升压站集油井+事故油池严格按照《环境影响评价技术导则地下水》</w:t>
            </w:r>
            <w:r>
              <w:rPr>
                <w:sz w:val="24"/>
                <w:szCs w:val="24"/>
              </w:rPr>
              <w:t xml:space="preserve">  </w:t>
            </w:r>
            <w:r>
              <w:rPr>
                <w:spacing w:val="-2"/>
                <w:sz w:val="24"/>
                <w:szCs w:val="24"/>
              </w:rPr>
              <w:t>(HIJ610-2016)重点防渗要求，等效黏土防渗层Mb≥6m,渗透系数≤1×10-7cm/s</w:t>
            </w:r>
            <w:r>
              <w:rPr>
                <w:spacing w:val="1"/>
                <w:sz w:val="24"/>
                <w:szCs w:val="24"/>
              </w:rPr>
              <w:t xml:space="preserve">  </w:t>
            </w:r>
            <w:r>
              <w:rPr>
                <w:spacing w:val="-3"/>
                <w:sz w:val="24"/>
                <w:szCs w:val="24"/>
              </w:rPr>
              <w:t>的防渗性能。</w:t>
            </w:r>
          </w:p>
          <w:p w14:paraId="510A1362">
            <w:pPr>
              <w:pStyle w:val="6"/>
              <w:spacing w:line="217" w:lineRule="auto"/>
              <w:ind w:left="511"/>
              <w:rPr>
                <w:sz w:val="24"/>
                <w:szCs w:val="24"/>
              </w:rPr>
            </w:pPr>
            <w:r>
              <w:rPr>
                <w:spacing w:val="1"/>
                <w:sz w:val="24"/>
                <w:szCs w:val="24"/>
              </w:rPr>
              <w:t>④危废暂存间严格按照《危险废物贮存污染控制标准》(</w:t>
            </w:r>
            <w:r>
              <w:rPr>
                <w:sz w:val="24"/>
                <w:szCs w:val="24"/>
              </w:rPr>
              <w:t>GB</w:t>
            </w:r>
            <w:r>
              <w:rPr>
                <w:spacing w:val="1"/>
                <w:sz w:val="24"/>
                <w:szCs w:val="24"/>
              </w:rPr>
              <w:t>18597-2023)</w:t>
            </w:r>
          </w:p>
          <w:p w14:paraId="00BA5A96">
            <w:pPr>
              <w:pStyle w:val="6"/>
              <w:spacing w:before="170" w:line="292" w:lineRule="auto"/>
              <w:ind w:left="71" w:right="32" w:hanging="40"/>
              <w:rPr>
                <w:sz w:val="24"/>
                <w:szCs w:val="24"/>
              </w:rPr>
            </w:pPr>
            <w:r>
              <w:rPr>
                <w:sz w:val="24"/>
                <w:szCs w:val="24"/>
              </w:rPr>
              <w:t>相关要求进行设计；危废暂存间内部设置导流沟和收集池，用于收集泄露危险废</w:t>
            </w:r>
            <w:r>
              <w:rPr>
                <w:spacing w:val="11"/>
                <w:sz w:val="24"/>
                <w:szCs w:val="24"/>
              </w:rPr>
              <w:t xml:space="preserve"> </w:t>
            </w:r>
            <w:r>
              <w:rPr>
                <w:spacing w:val="-5"/>
                <w:sz w:val="24"/>
                <w:szCs w:val="24"/>
              </w:rPr>
              <w:t>物</w:t>
            </w:r>
            <w:r>
              <w:rPr>
                <w:spacing w:val="65"/>
                <w:sz w:val="24"/>
                <w:szCs w:val="24"/>
              </w:rPr>
              <w:t xml:space="preserve"> </w:t>
            </w:r>
            <w:r>
              <w:rPr>
                <w:spacing w:val="-5"/>
                <w:sz w:val="24"/>
                <w:szCs w:val="24"/>
              </w:rPr>
              <w:t>；</w:t>
            </w:r>
          </w:p>
          <w:p w14:paraId="262F81B8">
            <w:pPr>
              <w:pStyle w:val="6"/>
              <w:spacing w:before="170" w:line="288" w:lineRule="auto"/>
              <w:ind w:left="91" w:firstLine="479"/>
              <w:rPr>
                <w:sz w:val="24"/>
                <w:szCs w:val="24"/>
              </w:rPr>
            </w:pPr>
            <w:r>
              <w:rPr>
                <w:spacing w:val="-1"/>
                <w:sz w:val="24"/>
                <w:szCs w:val="24"/>
              </w:rPr>
              <w:t>⑤在管理过程中，将废铅蓄电池暂存于加盖的专用容器中，定期委托有资质</w:t>
            </w:r>
            <w:r>
              <w:rPr>
                <w:spacing w:val="17"/>
                <w:sz w:val="24"/>
                <w:szCs w:val="24"/>
              </w:rPr>
              <w:t xml:space="preserve"> </w:t>
            </w:r>
            <w:r>
              <w:rPr>
                <w:spacing w:val="23"/>
                <w:sz w:val="24"/>
                <w:szCs w:val="24"/>
              </w:rPr>
              <w:t>单位处置；</w:t>
            </w:r>
          </w:p>
        </w:tc>
      </w:tr>
    </w:tbl>
    <w:p w14:paraId="6D4826FA">
      <w:pPr>
        <w:pStyle w:val="2"/>
      </w:pPr>
    </w:p>
    <w:p w14:paraId="2C99BA78">
      <w:pPr>
        <w:sectPr>
          <w:footerReference r:id="rId186" w:type="default"/>
          <w:pgSz w:w="11910" w:h="16830"/>
          <w:pgMar w:top="400" w:right="1274" w:bottom="1245" w:left="1234" w:header="0" w:footer="1083" w:gutter="0"/>
          <w:cols w:space="720" w:num="1"/>
        </w:sectPr>
      </w:pPr>
    </w:p>
    <w:p w14:paraId="355AE350">
      <w:pPr>
        <w:spacing w:before="15"/>
      </w:pPr>
    </w:p>
    <w:p w14:paraId="512971E2">
      <w:pPr>
        <w:spacing w:before="15"/>
      </w:pPr>
    </w:p>
    <w:p w14:paraId="26E4FB8C">
      <w:pPr>
        <w:spacing w:before="15"/>
      </w:pPr>
    </w:p>
    <w:p w14:paraId="0E047BF0">
      <w:pPr>
        <w:spacing w:before="14"/>
      </w:pPr>
    </w:p>
    <w:tbl>
      <w:tblPr>
        <w:tblStyle w:val="5"/>
        <w:tblW w:w="94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501"/>
      </w:tblGrid>
      <w:tr w14:paraId="0754C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0" w:hRule="atLeast"/>
        </w:trPr>
        <w:tc>
          <w:tcPr>
            <w:tcW w:w="904" w:type="dxa"/>
            <w:vAlign w:val="top"/>
          </w:tcPr>
          <w:p w14:paraId="15FDD38E">
            <w:pPr>
              <w:rPr>
                <w:rFonts w:ascii="Arial"/>
                <w:sz w:val="21"/>
              </w:rPr>
            </w:pPr>
          </w:p>
        </w:tc>
        <w:tc>
          <w:tcPr>
            <w:tcW w:w="8501" w:type="dxa"/>
            <w:vAlign w:val="top"/>
          </w:tcPr>
          <w:p w14:paraId="68460A1E">
            <w:pPr>
              <w:pStyle w:val="6"/>
              <w:spacing w:before="13" w:line="291" w:lineRule="auto"/>
              <w:ind w:left="91" w:right="257" w:firstLine="469"/>
              <w:rPr>
                <w:sz w:val="24"/>
                <w:szCs w:val="24"/>
              </w:rPr>
            </w:pPr>
            <w:r>
              <w:rPr>
                <w:sz w:val="24"/>
                <w:szCs w:val="24"/>
              </w:rPr>
              <w:t>⑥铅蓄电池所在区域附近放置消防砂，当铅蓄电池液</w:t>
            </w:r>
            <w:r>
              <w:rPr>
                <w:spacing w:val="-1"/>
                <w:sz w:val="24"/>
                <w:szCs w:val="24"/>
              </w:rPr>
              <w:t>发生泄漏及时进行阻</w:t>
            </w:r>
            <w:r>
              <w:rPr>
                <w:sz w:val="24"/>
                <w:szCs w:val="24"/>
              </w:rPr>
              <w:t xml:space="preserve"> </w:t>
            </w:r>
            <w:r>
              <w:rPr>
                <w:spacing w:val="6"/>
                <w:sz w:val="24"/>
                <w:szCs w:val="24"/>
              </w:rPr>
              <w:t>隔，并委托有资质单位及时清运、处理；</w:t>
            </w:r>
          </w:p>
          <w:p w14:paraId="70781106">
            <w:pPr>
              <w:pStyle w:val="6"/>
              <w:spacing w:before="183" w:line="312" w:lineRule="auto"/>
              <w:ind w:left="101" w:firstLine="454"/>
              <w:rPr>
                <w:sz w:val="24"/>
                <w:szCs w:val="24"/>
              </w:rPr>
            </w:pPr>
            <w:r>
              <w:rPr>
                <w:spacing w:val="-3"/>
                <w:sz w:val="24"/>
                <w:szCs w:val="24"/>
              </w:rPr>
              <w:t>⑦站区需设置监控系统，项目升压站需设置一套遥视系统，对站内的</w:t>
            </w:r>
            <w:r>
              <w:rPr>
                <w:spacing w:val="-4"/>
                <w:sz w:val="24"/>
                <w:szCs w:val="24"/>
              </w:rPr>
              <w:t>电气设</w:t>
            </w:r>
            <w:r>
              <w:rPr>
                <w:sz w:val="24"/>
                <w:szCs w:val="24"/>
              </w:rPr>
              <w:t xml:space="preserve">  </w:t>
            </w:r>
            <w:r>
              <w:rPr>
                <w:spacing w:val="-3"/>
                <w:sz w:val="24"/>
                <w:szCs w:val="24"/>
              </w:rPr>
              <w:t>备及运行环境进行图像监视，并能向各级调度传送遥信、遥测、遥控、遥调等信</w:t>
            </w:r>
            <w:r>
              <w:rPr>
                <w:spacing w:val="2"/>
                <w:sz w:val="24"/>
                <w:szCs w:val="24"/>
              </w:rPr>
              <w:t xml:space="preserve"> </w:t>
            </w:r>
            <w:r>
              <w:rPr>
                <w:sz w:val="24"/>
                <w:szCs w:val="24"/>
              </w:rPr>
              <w:t>息。因此，可及时发现问题，避免事故发生，并按相</w:t>
            </w:r>
            <w:r>
              <w:rPr>
                <w:spacing w:val="-1"/>
                <w:sz w:val="24"/>
                <w:szCs w:val="24"/>
              </w:rPr>
              <w:t>关规定建立事故应急预案；</w:t>
            </w:r>
          </w:p>
          <w:p w14:paraId="3CCE4C15">
            <w:pPr>
              <w:pStyle w:val="6"/>
              <w:spacing w:before="192" w:line="299" w:lineRule="auto"/>
              <w:ind w:left="111" w:right="229" w:firstLine="449"/>
              <w:rPr>
                <w:sz w:val="24"/>
                <w:szCs w:val="24"/>
              </w:rPr>
            </w:pPr>
            <w:r>
              <w:rPr>
                <w:spacing w:val="1"/>
                <w:sz w:val="24"/>
                <w:szCs w:val="24"/>
              </w:rPr>
              <w:t>⑧加强对操作人员的岗位培训，建立健全环</w:t>
            </w:r>
            <w:r>
              <w:rPr>
                <w:sz w:val="24"/>
                <w:szCs w:val="24"/>
              </w:rPr>
              <w:t xml:space="preserve">保管理机制和各项环保规章制 </w:t>
            </w:r>
            <w:r>
              <w:rPr>
                <w:spacing w:val="-1"/>
                <w:sz w:val="24"/>
                <w:szCs w:val="24"/>
              </w:rPr>
              <w:t>度，落实岗位环保责任制。</w:t>
            </w:r>
          </w:p>
          <w:p w14:paraId="7F0A8CF7">
            <w:pPr>
              <w:pStyle w:val="6"/>
              <w:spacing w:before="161" w:line="219" w:lineRule="auto"/>
              <w:ind w:left="84"/>
              <w:rPr>
                <w:sz w:val="24"/>
                <w:szCs w:val="24"/>
              </w:rPr>
            </w:pPr>
            <w:r>
              <w:rPr>
                <w:b/>
                <w:bCs/>
                <w:spacing w:val="-4"/>
                <w:sz w:val="24"/>
                <w:szCs w:val="24"/>
              </w:rPr>
              <w:t>9.5.2火灾风险防护措施</w:t>
            </w:r>
          </w:p>
          <w:p w14:paraId="677EE8D4">
            <w:pPr>
              <w:pStyle w:val="6"/>
              <w:spacing w:before="178" w:line="219" w:lineRule="auto"/>
              <w:ind w:left="561"/>
              <w:rPr>
                <w:sz w:val="24"/>
                <w:szCs w:val="24"/>
              </w:rPr>
            </w:pPr>
            <w:r>
              <w:rPr>
                <w:sz w:val="24"/>
                <w:szCs w:val="24"/>
              </w:rPr>
              <w:t>A、风险事故发生对地表水环境的影响及应急处</w:t>
            </w:r>
            <w:r>
              <w:rPr>
                <w:spacing w:val="-1"/>
                <w:sz w:val="24"/>
                <w:szCs w:val="24"/>
              </w:rPr>
              <w:t>理措施</w:t>
            </w:r>
          </w:p>
          <w:p w14:paraId="2A2B74F8">
            <w:pPr>
              <w:pStyle w:val="6"/>
              <w:spacing w:before="182" w:line="360" w:lineRule="auto"/>
              <w:ind w:left="101" w:firstLine="459"/>
              <w:jc w:val="both"/>
              <w:rPr>
                <w:sz w:val="24"/>
                <w:szCs w:val="24"/>
              </w:rPr>
            </w:pPr>
            <w:r>
              <w:rPr>
                <w:sz w:val="24"/>
                <w:szCs w:val="24"/>
              </w:rPr>
              <w:t>项目一旦发生火灾事故时，在火灾、爆炸的灭火过程中，消防喷水、泡沫喷</w:t>
            </w:r>
            <w:r>
              <w:rPr>
                <w:spacing w:val="8"/>
                <w:sz w:val="24"/>
                <w:szCs w:val="24"/>
              </w:rPr>
              <w:t xml:space="preserve"> </w:t>
            </w:r>
            <w:r>
              <w:rPr>
                <w:sz w:val="24"/>
                <w:szCs w:val="24"/>
              </w:rPr>
              <w:t>淋等均会产生废水，以上消防废水含有大量的废渣</w:t>
            </w:r>
            <w:r>
              <w:rPr>
                <w:spacing w:val="-1"/>
                <w:sz w:val="24"/>
                <w:szCs w:val="24"/>
              </w:rPr>
              <w:t>，若直接进入纳污水体，含高</w:t>
            </w:r>
            <w:r>
              <w:rPr>
                <w:sz w:val="24"/>
                <w:szCs w:val="24"/>
              </w:rPr>
              <w:t xml:space="preserve"> 浓度污染物的消防排水势必对地面水体造成极为不利的影</w:t>
            </w:r>
            <w:r>
              <w:rPr>
                <w:spacing w:val="-1"/>
                <w:sz w:val="24"/>
                <w:szCs w:val="24"/>
              </w:rPr>
              <w:t>响。</w:t>
            </w:r>
          </w:p>
          <w:p w14:paraId="4504D8EA">
            <w:pPr>
              <w:pStyle w:val="6"/>
              <w:spacing w:before="9" w:line="356" w:lineRule="auto"/>
              <w:ind w:left="101" w:right="18" w:firstLine="479"/>
              <w:rPr>
                <w:sz w:val="24"/>
                <w:szCs w:val="24"/>
              </w:rPr>
            </w:pPr>
            <w:r>
              <w:rPr>
                <w:spacing w:val="-1"/>
                <w:sz w:val="24"/>
                <w:szCs w:val="24"/>
              </w:rPr>
              <w:t>因此，建设单位必须对消防废水设计合理的处置方案。建议风险事故发生时</w:t>
            </w:r>
            <w:r>
              <w:rPr>
                <w:spacing w:val="3"/>
                <w:sz w:val="24"/>
                <w:szCs w:val="24"/>
              </w:rPr>
              <w:t xml:space="preserve"> </w:t>
            </w:r>
            <w:r>
              <w:rPr>
                <w:spacing w:val="-1"/>
                <w:sz w:val="24"/>
                <w:szCs w:val="24"/>
              </w:rPr>
              <w:t>的废水应急处理措施如下：</w:t>
            </w:r>
          </w:p>
          <w:p w14:paraId="6F371821">
            <w:pPr>
              <w:pStyle w:val="6"/>
              <w:spacing w:before="3" w:line="312" w:lineRule="auto"/>
              <w:ind w:left="71" w:right="3" w:firstLine="499"/>
              <w:rPr>
                <w:sz w:val="24"/>
                <w:szCs w:val="24"/>
              </w:rPr>
            </w:pPr>
            <w:r>
              <w:rPr>
                <w:sz w:val="24"/>
                <w:szCs w:val="24"/>
              </w:rPr>
              <w:t>①建议建设单位在雨水管网的升压站出口处设置一个</w:t>
            </w:r>
            <w:r>
              <w:rPr>
                <w:spacing w:val="-1"/>
                <w:sz w:val="24"/>
                <w:szCs w:val="24"/>
              </w:rPr>
              <w:t>闸门，发生事故时及时</w:t>
            </w:r>
            <w:r>
              <w:rPr>
                <w:sz w:val="24"/>
                <w:szCs w:val="24"/>
              </w:rPr>
              <w:t xml:space="preserve"> 关闭闸门，防止消防废水流出升压站，将其可能产生的环境影响控制在升压站之</w:t>
            </w:r>
            <w:r>
              <w:rPr>
                <w:spacing w:val="15"/>
                <w:sz w:val="24"/>
                <w:szCs w:val="24"/>
              </w:rPr>
              <w:t xml:space="preserve"> </w:t>
            </w:r>
            <w:r>
              <w:rPr>
                <w:spacing w:val="-20"/>
                <w:sz w:val="24"/>
                <w:szCs w:val="24"/>
              </w:rPr>
              <w:t>内</w:t>
            </w:r>
            <w:r>
              <w:rPr>
                <w:spacing w:val="-47"/>
                <w:sz w:val="24"/>
                <w:szCs w:val="24"/>
              </w:rPr>
              <w:t xml:space="preserve"> </w:t>
            </w:r>
            <w:r>
              <w:rPr>
                <w:spacing w:val="-20"/>
                <w:sz w:val="24"/>
                <w:szCs w:val="24"/>
              </w:rPr>
              <w:t>。</w:t>
            </w:r>
          </w:p>
          <w:p w14:paraId="59B026F0">
            <w:pPr>
              <w:pStyle w:val="6"/>
              <w:spacing w:before="172" w:line="320" w:lineRule="auto"/>
              <w:ind w:left="101" w:firstLine="469"/>
              <w:rPr>
                <w:sz w:val="24"/>
                <w:szCs w:val="24"/>
              </w:rPr>
            </w:pPr>
            <w:r>
              <w:rPr>
                <w:spacing w:val="-1"/>
                <w:sz w:val="24"/>
                <w:szCs w:val="24"/>
              </w:rPr>
              <w:t>②发生火灾事故时，在事故发生位置四周用装满沙土的袋子围成围堰拦截消</w:t>
            </w:r>
            <w:r>
              <w:rPr>
                <w:spacing w:val="14"/>
                <w:sz w:val="24"/>
                <w:szCs w:val="24"/>
              </w:rPr>
              <w:t xml:space="preserve"> </w:t>
            </w:r>
            <w:r>
              <w:rPr>
                <w:sz w:val="24"/>
                <w:szCs w:val="24"/>
              </w:rPr>
              <w:t>防废液，并在升压站内采取导流方式将消防废液、泡</w:t>
            </w:r>
            <w:r>
              <w:rPr>
                <w:spacing w:val="-1"/>
                <w:sz w:val="24"/>
                <w:szCs w:val="24"/>
              </w:rPr>
              <w:t>沫等统一收集，集中处理，</w:t>
            </w:r>
            <w:r>
              <w:rPr>
                <w:sz w:val="24"/>
                <w:szCs w:val="24"/>
              </w:rPr>
              <w:t xml:space="preserve"> 消除安全隐患后委托有资质单位处理。</w:t>
            </w:r>
          </w:p>
          <w:p w14:paraId="521A9476">
            <w:pPr>
              <w:pStyle w:val="6"/>
              <w:spacing w:before="165" w:line="220" w:lineRule="auto"/>
              <w:ind w:left="551"/>
              <w:rPr>
                <w:sz w:val="24"/>
                <w:szCs w:val="24"/>
              </w:rPr>
            </w:pPr>
            <w:r>
              <w:rPr>
                <w:spacing w:val="-1"/>
                <w:sz w:val="24"/>
                <w:szCs w:val="24"/>
              </w:rPr>
              <w:t>B、风险事故发生对大气环境的影响及应急处理措施</w:t>
            </w:r>
          </w:p>
          <w:p w14:paraId="3D7567AC">
            <w:pPr>
              <w:pStyle w:val="6"/>
              <w:spacing w:before="172" w:line="362" w:lineRule="auto"/>
              <w:ind w:left="101" w:firstLine="459"/>
              <w:jc w:val="both"/>
              <w:rPr>
                <w:sz w:val="24"/>
                <w:szCs w:val="24"/>
              </w:rPr>
            </w:pPr>
            <w:r>
              <w:rPr>
                <w:sz w:val="24"/>
                <w:szCs w:val="24"/>
              </w:rPr>
              <w:t>项目一旦发生火灾事故时，火灾会伴随释放大量的一氧化碳、二氧化碳等大</w:t>
            </w:r>
            <w:r>
              <w:rPr>
                <w:spacing w:val="8"/>
                <w:sz w:val="24"/>
                <w:szCs w:val="24"/>
              </w:rPr>
              <w:t xml:space="preserve"> </w:t>
            </w:r>
            <w:r>
              <w:rPr>
                <w:sz w:val="24"/>
                <w:szCs w:val="24"/>
              </w:rPr>
              <w:t>气污染物。当在一定的气象条件如无风、逆温现</w:t>
            </w:r>
            <w:r>
              <w:rPr>
                <w:spacing w:val="-1"/>
                <w:sz w:val="24"/>
                <w:szCs w:val="24"/>
              </w:rPr>
              <w:t>象情况下，污染物不能在大气中</w:t>
            </w:r>
            <w:r>
              <w:rPr>
                <w:sz w:val="24"/>
                <w:szCs w:val="24"/>
              </w:rPr>
              <w:t xml:space="preserve"> 及时扩散、稀释时，大气污染物的浓度会积累甚至超</w:t>
            </w:r>
            <w:r>
              <w:rPr>
                <w:spacing w:val="-1"/>
                <w:sz w:val="24"/>
                <w:szCs w:val="24"/>
              </w:rPr>
              <w:t>过一定的伤害阈值，会对火</w:t>
            </w:r>
            <w:r>
              <w:rPr>
                <w:sz w:val="24"/>
                <w:szCs w:val="24"/>
              </w:rPr>
              <w:t xml:space="preserve"> 灾发生区域或项目周围的村庄村民的人体健康产生较大</w:t>
            </w:r>
            <w:r>
              <w:rPr>
                <w:spacing w:val="-1"/>
                <w:sz w:val="24"/>
                <w:szCs w:val="24"/>
              </w:rPr>
              <w:t>危害。</w:t>
            </w:r>
          </w:p>
          <w:p w14:paraId="4C6C5DD8">
            <w:pPr>
              <w:pStyle w:val="6"/>
              <w:spacing w:line="220" w:lineRule="auto"/>
              <w:ind w:left="561"/>
              <w:rPr>
                <w:sz w:val="24"/>
                <w:szCs w:val="24"/>
              </w:rPr>
            </w:pPr>
            <w:r>
              <w:rPr>
                <w:sz w:val="24"/>
                <w:szCs w:val="24"/>
              </w:rPr>
              <w:t>风险事故发生时的废气应急处理措施如下：</w:t>
            </w:r>
          </w:p>
          <w:p w14:paraId="168C33D8">
            <w:pPr>
              <w:pStyle w:val="6"/>
              <w:spacing w:before="181" w:line="217" w:lineRule="auto"/>
              <w:ind w:left="561"/>
              <w:rPr>
                <w:sz w:val="24"/>
                <w:szCs w:val="24"/>
              </w:rPr>
            </w:pPr>
            <w:r>
              <w:rPr>
                <w:sz w:val="24"/>
                <w:szCs w:val="24"/>
              </w:rPr>
              <w:t>①项目车间、办公室及宿舍等各建筑物均应严格按</w:t>
            </w:r>
            <w:r>
              <w:rPr>
                <w:spacing w:val="-1"/>
                <w:sz w:val="24"/>
                <w:szCs w:val="24"/>
              </w:rPr>
              <w:t>照消防要求进行规划设</w:t>
            </w:r>
          </w:p>
          <w:p w14:paraId="77C4C9BA">
            <w:pPr>
              <w:pStyle w:val="6"/>
              <w:spacing w:before="200" w:line="333" w:lineRule="auto"/>
              <w:ind w:left="101" w:firstLine="9"/>
              <w:rPr>
                <w:sz w:val="24"/>
                <w:szCs w:val="24"/>
              </w:rPr>
            </w:pPr>
            <w:r>
              <w:rPr>
                <w:spacing w:val="-1"/>
                <w:sz w:val="24"/>
                <w:szCs w:val="24"/>
              </w:rPr>
              <w:t>计，配置相应的灭火器、消防栓等设施。发生火灾时，应及时采取相应的灭火措</w:t>
            </w:r>
            <w:r>
              <w:rPr>
                <w:spacing w:val="13"/>
                <w:sz w:val="24"/>
                <w:szCs w:val="24"/>
              </w:rPr>
              <w:t xml:space="preserve"> </w:t>
            </w:r>
            <w:r>
              <w:rPr>
                <w:spacing w:val="-1"/>
                <w:sz w:val="24"/>
                <w:szCs w:val="24"/>
              </w:rPr>
              <w:t>施，应及时采取相应的灭火措施并疏散升压站内员工，必要时启动突发事故应急</w:t>
            </w:r>
          </w:p>
        </w:tc>
      </w:tr>
    </w:tbl>
    <w:p w14:paraId="205E65BF">
      <w:pPr>
        <w:pStyle w:val="2"/>
      </w:pPr>
    </w:p>
    <w:p w14:paraId="5D72CCFC">
      <w:pPr>
        <w:sectPr>
          <w:footerReference r:id="rId187" w:type="default"/>
          <w:pgSz w:w="11910" w:h="16830"/>
          <w:pgMar w:top="400" w:right="1259" w:bottom="1245" w:left="1234" w:header="0" w:footer="1083" w:gutter="0"/>
          <w:cols w:space="720" w:num="1"/>
        </w:sectPr>
      </w:pPr>
    </w:p>
    <w:p w14:paraId="666C6BE1">
      <w:pPr>
        <w:spacing w:before="18"/>
      </w:pPr>
    </w:p>
    <w:p w14:paraId="50F06BA7">
      <w:pPr>
        <w:spacing w:before="17"/>
      </w:pPr>
    </w:p>
    <w:p w14:paraId="5EBDD25E">
      <w:pPr>
        <w:spacing w:before="17"/>
      </w:pPr>
    </w:p>
    <w:p w14:paraId="1ABDE605">
      <w:pPr>
        <w:spacing w:before="17"/>
      </w:pPr>
    </w:p>
    <w:tbl>
      <w:tblPr>
        <w:tblStyle w:val="5"/>
        <w:tblW w:w="93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110"/>
        <w:gridCol w:w="2807"/>
        <w:gridCol w:w="5454"/>
        <w:gridCol w:w="115"/>
      </w:tblGrid>
      <w:tr w14:paraId="24063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1" w:hRule="atLeast"/>
        </w:trPr>
        <w:tc>
          <w:tcPr>
            <w:tcW w:w="884" w:type="dxa"/>
            <w:vMerge w:val="restart"/>
            <w:tcBorders>
              <w:bottom w:val="nil"/>
            </w:tcBorders>
            <w:vAlign w:val="top"/>
          </w:tcPr>
          <w:p w14:paraId="5800C6BF">
            <w:pPr>
              <w:rPr>
                <w:rFonts w:ascii="Arial"/>
                <w:sz w:val="21"/>
              </w:rPr>
            </w:pPr>
          </w:p>
        </w:tc>
        <w:tc>
          <w:tcPr>
            <w:tcW w:w="8486" w:type="dxa"/>
            <w:gridSpan w:val="4"/>
            <w:vAlign w:val="top"/>
          </w:tcPr>
          <w:p w14:paraId="706FFBFE">
            <w:pPr>
              <w:pStyle w:val="6"/>
              <w:spacing w:before="14" w:line="219" w:lineRule="auto"/>
              <w:ind w:left="101"/>
            </w:pPr>
            <w:r>
              <w:rPr>
                <w:spacing w:val="-1"/>
              </w:rPr>
              <w:t>预案，及时疏散最近环境敏感点周围的居民。</w:t>
            </w:r>
          </w:p>
          <w:p w14:paraId="3C92078A">
            <w:pPr>
              <w:pStyle w:val="6"/>
              <w:spacing w:before="205" w:line="308" w:lineRule="auto"/>
              <w:ind w:left="101" w:right="661" w:firstLine="459"/>
            </w:pPr>
            <w:r>
              <w:t>②事故发生后，相关部门要制定污染监测计划，对可能污</w:t>
            </w:r>
            <w:r>
              <w:rPr>
                <w:spacing w:val="-1"/>
              </w:rPr>
              <w:t>染进行监测，根据</w:t>
            </w:r>
            <w:r>
              <w:t xml:space="preserve"> 现场监测结果，直至无异常方可停止监测工</w:t>
            </w:r>
            <w:r>
              <w:rPr>
                <w:spacing w:val="-1"/>
              </w:rPr>
              <w:t>作。</w:t>
            </w:r>
          </w:p>
          <w:p w14:paraId="15D286D3">
            <w:pPr>
              <w:pStyle w:val="6"/>
              <w:spacing w:before="206" w:line="220" w:lineRule="auto"/>
              <w:ind w:left="104"/>
            </w:pPr>
            <w:r>
              <w:rPr>
                <w:b/>
                <w:bCs/>
                <w:spacing w:val="-4"/>
              </w:rPr>
              <w:t>9.6事故应急预案</w:t>
            </w:r>
          </w:p>
          <w:p w14:paraId="78ACE3DD">
            <w:pPr>
              <w:pStyle w:val="6"/>
              <w:spacing w:before="199" w:line="394" w:lineRule="auto"/>
              <w:ind w:left="101" w:right="653" w:firstLine="469"/>
              <w:jc w:val="both"/>
            </w:pPr>
            <w:r>
              <w:t>针对本项目可能发生的环境风险突发事故，为了将风</w:t>
            </w:r>
            <w:r>
              <w:rPr>
                <w:spacing w:val="-1"/>
              </w:rPr>
              <w:t>险事故率降到最小，应</w:t>
            </w:r>
            <w:r>
              <w:t xml:space="preserve"> 编制突发环境事件应急预案，并报曲靖市生态环境局</w:t>
            </w:r>
            <w:r>
              <w:rPr>
                <w:spacing w:val="-1"/>
              </w:rPr>
              <w:t>陆良分局备案实施，并安排</w:t>
            </w:r>
            <w:r>
              <w:t xml:space="preserve"> 环境风险应急预案及风险污染处置演练，进行应急处置宣传、教育。</w:t>
            </w:r>
          </w:p>
          <w:p w14:paraId="068C28AB">
            <w:pPr>
              <w:pStyle w:val="6"/>
              <w:spacing w:line="220" w:lineRule="auto"/>
              <w:ind w:left="104"/>
            </w:pPr>
            <w:r>
              <w:rPr>
                <w:b/>
                <w:bCs/>
                <w:spacing w:val="-4"/>
              </w:rPr>
              <w:t>9.7环境风险分析结论</w:t>
            </w:r>
          </w:p>
          <w:p w14:paraId="77CACF0D">
            <w:pPr>
              <w:pStyle w:val="6"/>
              <w:spacing w:before="197" w:line="395" w:lineRule="auto"/>
              <w:ind w:left="101" w:right="653" w:firstLine="469"/>
            </w:pPr>
            <w:r>
              <w:t>根据以上评价分析，通过采取以上各项风险防范措施</w:t>
            </w:r>
            <w:r>
              <w:rPr>
                <w:spacing w:val="-1"/>
              </w:rPr>
              <w:t>及应急救援措施，可降</w:t>
            </w:r>
            <w:r>
              <w:t xml:space="preserve"> 低各种事故的发生，降低对周围环境的不利影响，环境风险在可防控范围</w:t>
            </w:r>
            <w:r>
              <w:rPr>
                <w:spacing w:val="-1"/>
              </w:rPr>
              <w:t>内。</w:t>
            </w:r>
          </w:p>
          <w:p w14:paraId="67919FFF">
            <w:pPr>
              <w:pStyle w:val="6"/>
              <w:spacing w:before="1" w:line="218" w:lineRule="auto"/>
              <w:ind w:left="581"/>
            </w:pPr>
            <w:r>
              <w:t>本项目环境风险简单分析内容见表4-32。</w:t>
            </w:r>
          </w:p>
          <w:p w14:paraId="24C22D1E">
            <w:pPr>
              <w:pStyle w:val="6"/>
              <w:spacing w:before="216" w:line="219" w:lineRule="auto"/>
              <w:ind w:left="1874"/>
            </w:pPr>
            <w:r>
              <w:rPr>
                <w:b/>
                <w:bCs/>
                <w:spacing w:val="-3"/>
              </w:rPr>
              <w:t>表4-32</w:t>
            </w:r>
            <w:r>
              <w:rPr>
                <w:spacing w:val="-3"/>
              </w:rPr>
              <w:t xml:space="preserve">  </w:t>
            </w:r>
            <w:r>
              <w:rPr>
                <w:b/>
                <w:bCs/>
                <w:spacing w:val="-3"/>
              </w:rPr>
              <w:t>建设项目环境风险简单分析内容表</w:t>
            </w:r>
          </w:p>
        </w:tc>
      </w:tr>
      <w:tr w14:paraId="7049D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84" w:type="dxa"/>
            <w:vMerge w:val="continue"/>
            <w:tcBorders>
              <w:top w:val="nil"/>
              <w:bottom w:val="nil"/>
            </w:tcBorders>
            <w:vAlign w:val="top"/>
          </w:tcPr>
          <w:p w14:paraId="1535F8B0">
            <w:pPr>
              <w:rPr>
                <w:rFonts w:ascii="Arial"/>
                <w:sz w:val="21"/>
              </w:rPr>
            </w:pPr>
          </w:p>
        </w:tc>
        <w:tc>
          <w:tcPr>
            <w:tcW w:w="110" w:type="dxa"/>
            <w:tcBorders>
              <w:bottom w:val="nil"/>
            </w:tcBorders>
            <w:vAlign w:val="top"/>
          </w:tcPr>
          <w:p w14:paraId="64E9152A">
            <w:pPr>
              <w:rPr>
                <w:rFonts w:ascii="Arial"/>
                <w:sz w:val="21"/>
              </w:rPr>
            </w:pPr>
          </w:p>
        </w:tc>
        <w:tc>
          <w:tcPr>
            <w:tcW w:w="2807" w:type="dxa"/>
            <w:vAlign w:val="top"/>
          </w:tcPr>
          <w:p w14:paraId="1C8642DE">
            <w:pPr>
              <w:pStyle w:val="6"/>
              <w:spacing w:before="73" w:line="220" w:lineRule="auto"/>
              <w:ind w:left="731"/>
            </w:pPr>
            <w:r>
              <w:rPr>
                <w:spacing w:val="1"/>
              </w:rPr>
              <w:t>建设项目名称</w:t>
            </w:r>
          </w:p>
        </w:tc>
        <w:tc>
          <w:tcPr>
            <w:tcW w:w="5454" w:type="dxa"/>
            <w:vAlign w:val="top"/>
          </w:tcPr>
          <w:p w14:paraId="79E5ABAD">
            <w:pPr>
              <w:pStyle w:val="6"/>
              <w:spacing w:before="71" w:line="219" w:lineRule="auto"/>
              <w:ind w:left="1074"/>
            </w:pPr>
            <w:r>
              <w:rPr>
                <w:spacing w:val="2"/>
              </w:rPr>
              <w:t>曲靖市陆良县栗树园光伏发电项目</w:t>
            </w:r>
          </w:p>
        </w:tc>
        <w:tc>
          <w:tcPr>
            <w:tcW w:w="115" w:type="dxa"/>
            <w:tcBorders>
              <w:bottom w:val="nil"/>
            </w:tcBorders>
            <w:vAlign w:val="top"/>
          </w:tcPr>
          <w:p w14:paraId="6759D10F">
            <w:pPr>
              <w:rPr>
                <w:rFonts w:ascii="Arial"/>
                <w:sz w:val="21"/>
              </w:rPr>
            </w:pPr>
          </w:p>
        </w:tc>
      </w:tr>
      <w:tr w14:paraId="06A0C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884" w:type="dxa"/>
            <w:vMerge w:val="continue"/>
            <w:tcBorders>
              <w:top w:val="nil"/>
              <w:bottom w:val="nil"/>
            </w:tcBorders>
            <w:vAlign w:val="top"/>
          </w:tcPr>
          <w:p w14:paraId="0C496B77">
            <w:pPr>
              <w:rPr>
                <w:rFonts w:ascii="Arial"/>
                <w:sz w:val="21"/>
              </w:rPr>
            </w:pPr>
          </w:p>
        </w:tc>
        <w:tc>
          <w:tcPr>
            <w:tcW w:w="110" w:type="dxa"/>
            <w:tcBorders>
              <w:top w:val="nil"/>
              <w:bottom w:val="nil"/>
            </w:tcBorders>
            <w:vAlign w:val="top"/>
          </w:tcPr>
          <w:p w14:paraId="00640FB0">
            <w:pPr>
              <w:rPr>
                <w:rFonts w:ascii="Arial"/>
                <w:sz w:val="21"/>
              </w:rPr>
            </w:pPr>
          </w:p>
        </w:tc>
        <w:tc>
          <w:tcPr>
            <w:tcW w:w="2807" w:type="dxa"/>
            <w:vAlign w:val="top"/>
          </w:tcPr>
          <w:p w14:paraId="7F1D0EF5">
            <w:pPr>
              <w:pStyle w:val="6"/>
              <w:spacing w:before="304" w:line="221" w:lineRule="auto"/>
              <w:ind w:left="951"/>
            </w:pPr>
            <w:r>
              <w:rPr>
                <w:spacing w:val="4"/>
              </w:rPr>
              <w:t>建设地点</w:t>
            </w:r>
          </w:p>
        </w:tc>
        <w:tc>
          <w:tcPr>
            <w:tcW w:w="5454" w:type="dxa"/>
            <w:vAlign w:val="top"/>
          </w:tcPr>
          <w:p w14:paraId="332B94A6">
            <w:pPr>
              <w:pStyle w:val="6"/>
              <w:spacing w:before="23" w:line="217" w:lineRule="auto"/>
              <w:ind w:left="14"/>
              <w:jc w:val="both"/>
            </w:pPr>
            <w:r>
              <w:rPr>
                <w:spacing w:val="-3"/>
              </w:rPr>
              <w:t>曲靖市陆良县大莫古镇阿油铺村民委员会、大地村民委员</w:t>
            </w:r>
            <w:r>
              <w:rPr>
                <w:spacing w:val="3"/>
              </w:rPr>
              <w:t xml:space="preserve"> </w:t>
            </w:r>
            <w:r>
              <w:rPr>
                <w:spacing w:val="-4"/>
              </w:rPr>
              <w:t>会、大莫古村民委员会、发峨哨村民委员会、甘和村民委</w:t>
            </w:r>
            <w:r>
              <w:rPr>
                <w:spacing w:val="2"/>
              </w:rPr>
              <w:t xml:space="preserve"> </w:t>
            </w:r>
            <w:r>
              <w:rPr>
                <w:spacing w:val="9"/>
              </w:rPr>
              <w:t>员会、新村村民委员会</w:t>
            </w:r>
          </w:p>
        </w:tc>
        <w:tc>
          <w:tcPr>
            <w:tcW w:w="115" w:type="dxa"/>
            <w:tcBorders>
              <w:top w:val="nil"/>
              <w:bottom w:val="nil"/>
            </w:tcBorders>
            <w:vAlign w:val="top"/>
          </w:tcPr>
          <w:p w14:paraId="16260BEB">
            <w:pPr>
              <w:rPr>
                <w:rFonts w:ascii="Arial"/>
                <w:sz w:val="21"/>
              </w:rPr>
            </w:pPr>
          </w:p>
        </w:tc>
      </w:tr>
      <w:tr w14:paraId="5FE95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84" w:type="dxa"/>
            <w:vMerge w:val="continue"/>
            <w:tcBorders>
              <w:top w:val="nil"/>
              <w:bottom w:val="nil"/>
            </w:tcBorders>
            <w:vAlign w:val="top"/>
          </w:tcPr>
          <w:p w14:paraId="7E780CAF">
            <w:pPr>
              <w:rPr>
                <w:rFonts w:ascii="Arial"/>
                <w:sz w:val="21"/>
              </w:rPr>
            </w:pPr>
          </w:p>
        </w:tc>
        <w:tc>
          <w:tcPr>
            <w:tcW w:w="110" w:type="dxa"/>
            <w:tcBorders>
              <w:top w:val="nil"/>
              <w:bottom w:val="nil"/>
            </w:tcBorders>
            <w:vAlign w:val="top"/>
          </w:tcPr>
          <w:p w14:paraId="21590178">
            <w:pPr>
              <w:rPr>
                <w:rFonts w:ascii="Arial"/>
                <w:sz w:val="21"/>
              </w:rPr>
            </w:pPr>
          </w:p>
        </w:tc>
        <w:tc>
          <w:tcPr>
            <w:tcW w:w="2807" w:type="dxa"/>
            <w:vAlign w:val="top"/>
          </w:tcPr>
          <w:p w14:paraId="76D61379">
            <w:pPr>
              <w:pStyle w:val="6"/>
              <w:spacing w:before="174" w:line="220" w:lineRule="auto"/>
              <w:ind w:left="951"/>
            </w:pPr>
            <w:r>
              <w:rPr>
                <w:spacing w:val="-2"/>
              </w:rPr>
              <w:t>地理坐标</w:t>
            </w:r>
          </w:p>
        </w:tc>
        <w:tc>
          <w:tcPr>
            <w:tcW w:w="5454" w:type="dxa"/>
            <w:vAlign w:val="top"/>
          </w:tcPr>
          <w:p w14:paraId="45B9585A">
            <w:pPr>
              <w:pStyle w:val="6"/>
              <w:spacing w:before="26" w:line="215" w:lineRule="auto"/>
              <w:ind w:left="2223" w:right="219" w:hanging="2000"/>
            </w:pPr>
            <w:r>
              <w:rPr>
                <w:spacing w:val="-3"/>
              </w:rPr>
              <w:t>升 压 站 ：</w:t>
            </w:r>
            <w:r>
              <w:rPr>
                <w:spacing w:val="-3"/>
                <w:u w:val="single" w:color="auto"/>
              </w:rPr>
              <w:t>103度29</w:t>
            </w:r>
            <w:r>
              <w:rPr>
                <w:spacing w:val="-3"/>
              </w:rPr>
              <w:t>分</w:t>
            </w:r>
            <w:r>
              <w:rPr>
                <w:spacing w:val="-44"/>
              </w:rPr>
              <w:t xml:space="preserve"> </w:t>
            </w:r>
            <w:r>
              <w:rPr>
                <w:spacing w:val="-3"/>
                <w:u w:val="single" w:color="auto"/>
              </w:rPr>
              <w:t>43.61712</w:t>
            </w:r>
            <w:r>
              <w:rPr>
                <w:spacing w:val="68"/>
              </w:rPr>
              <w:t xml:space="preserve"> </w:t>
            </w:r>
            <w:r>
              <w:rPr>
                <w:spacing w:val="-3"/>
              </w:rPr>
              <w:t>秒</w:t>
            </w:r>
            <w:r>
              <w:rPr>
                <w:spacing w:val="18"/>
              </w:rPr>
              <w:t xml:space="preserve">  </w:t>
            </w:r>
            <w:r>
              <w:rPr>
                <w:spacing w:val="-3"/>
              </w:rPr>
              <w:t>，</w:t>
            </w:r>
            <w:r>
              <w:rPr>
                <w:spacing w:val="-3"/>
                <w:u w:val="single" w:color="auto"/>
              </w:rPr>
              <w:t>24度55</w:t>
            </w:r>
            <w:r>
              <w:rPr>
                <w:spacing w:val="-3"/>
              </w:rPr>
              <w:t>分</w:t>
            </w:r>
            <w:r>
              <w:rPr>
                <w:spacing w:val="-28"/>
              </w:rPr>
              <w:t xml:space="preserve"> </w:t>
            </w:r>
            <w:r>
              <w:rPr>
                <w:spacing w:val="-3"/>
              </w:rPr>
              <w:t>_</w:t>
            </w:r>
            <w:r>
              <w:t xml:space="preserve"> </w:t>
            </w:r>
            <w:r>
              <w:rPr>
                <w:spacing w:val="1"/>
              </w:rPr>
              <w:t>0.34767秒</w:t>
            </w:r>
          </w:p>
        </w:tc>
        <w:tc>
          <w:tcPr>
            <w:tcW w:w="115" w:type="dxa"/>
            <w:tcBorders>
              <w:top w:val="nil"/>
              <w:bottom w:val="nil"/>
            </w:tcBorders>
            <w:vAlign w:val="top"/>
          </w:tcPr>
          <w:p w14:paraId="3D1FC05A">
            <w:pPr>
              <w:rPr>
                <w:rFonts w:ascii="Arial"/>
                <w:sz w:val="21"/>
              </w:rPr>
            </w:pPr>
          </w:p>
        </w:tc>
      </w:tr>
      <w:tr w14:paraId="554B4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884" w:type="dxa"/>
            <w:vMerge w:val="continue"/>
            <w:tcBorders>
              <w:top w:val="nil"/>
              <w:bottom w:val="nil"/>
            </w:tcBorders>
            <w:vAlign w:val="top"/>
          </w:tcPr>
          <w:p w14:paraId="0B151201">
            <w:pPr>
              <w:rPr>
                <w:rFonts w:ascii="Arial"/>
                <w:sz w:val="21"/>
              </w:rPr>
            </w:pPr>
          </w:p>
        </w:tc>
        <w:tc>
          <w:tcPr>
            <w:tcW w:w="110" w:type="dxa"/>
            <w:tcBorders>
              <w:top w:val="nil"/>
              <w:bottom w:val="nil"/>
            </w:tcBorders>
            <w:vAlign w:val="top"/>
          </w:tcPr>
          <w:p w14:paraId="72BFD0CA">
            <w:pPr>
              <w:rPr>
                <w:rFonts w:ascii="Arial"/>
                <w:sz w:val="21"/>
              </w:rPr>
            </w:pPr>
          </w:p>
        </w:tc>
        <w:tc>
          <w:tcPr>
            <w:tcW w:w="2807" w:type="dxa"/>
            <w:vAlign w:val="top"/>
          </w:tcPr>
          <w:p w14:paraId="063763D6">
            <w:pPr>
              <w:pStyle w:val="6"/>
              <w:spacing w:before="163" w:line="219" w:lineRule="auto"/>
              <w:ind w:left="511"/>
            </w:pPr>
            <w:r>
              <w:rPr>
                <w:spacing w:val="1"/>
              </w:rPr>
              <w:t>主要危险物质分布</w:t>
            </w:r>
          </w:p>
        </w:tc>
        <w:tc>
          <w:tcPr>
            <w:tcW w:w="5454" w:type="dxa"/>
            <w:vAlign w:val="top"/>
          </w:tcPr>
          <w:p w14:paraId="38625B0A">
            <w:pPr>
              <w:pStyle w:val="6"/>
              <w:spacing w:before="46" w:line="217" w:lineRule="auto"/>
              <w:ind w:left="124"/>
            </w:pPr>
            <w:r>
              <w:rPr>
                <w:spacing w:val="11"/>
              </w:rPr>
              <w:t>主变压器：变压器油；</w:t>
            </w:r>
          </w:p>
          <w:p w14:paraId="6B716A46">
            <w:pPr>
              <w:pStyle w:val="6"/>
              <w:spacing w:before="1" w:line="188" w:lineRule="auto"/>
              <w:ind w:left="114"/>
            </w:pPr>
            <w:r>
              <w:rPr>
                <w:spacing w:val="9"/>
              </w:rPr>
              <w:t>危废暂存间：废铅蓄电池；</w:t>
            </w:r>
          </w:p>
        </w:tc>
        <w:tc>
          <w:tcPr>
            <w:tcW w:w="115" w:type="dxa"/>
            <w:tcBorders>
              <w:top w:val="nil"/>
              <w:bottom w:val="nil"/>
            </w:tcBorders>
            <w:vAlign w:val="top"/>
          </w:tcPr>
          <w:p w14:paraId="0347EBF6">
            <w:pPr>
              <w:rPr>
                <w:rFonts w:ascii="Arial"/>
                <w:sz w:val="21"/>
              </w:rPr>
            </w:pPr>
          </w:p>
        </w:tc>
      </w:tr>
      <w:tr w14:paraId="7C853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884" w:type="dxa"/>
            <w:vMerge w:val="continue"/>
            <w:tcBorders>
              <w:top w:val="nil"/>
              <w:bottom w:val="nil"/>
            </w:tcBorders>
            <w:vAlign w:val="top"/>
          </w:tcPr>
          <w:p w14:paraId="1F17CC49">
            <w:pPr>
              <w:rPr>
                <w:rFonts w:ascii="Arial"/>
                <w:sz w:val="21"/>
              </w:rPr>
            </w:pPr>
          </w:p>
        </w:tc>
        <w:tc>
          <w:tcPr>
            <w:tcW w:w="110" w:type="dxa"/>
            <w:tcBorders>
              <w:top w:val="nil"/>
              <w:bottom w:val="nil"/>
            </w:tcBorders>
            <w:vAlign w:val="top"/>
          </w:tcPr>
          <w:p w14:paraId="32C70D49">
            <w:pPr>
              <w:rPr>
                <w:rFonts w:ascii="Arial"/>
                <w:sz w:val="21"/>
              </w:rPr>
            </w:pPr>
          </w:p>
        </w:tc>
        <w:tc>
          <w:tcPr>
            <w:tcW w:w="2807" w:type="dxa"/>
            <w:vAlign w:val="top"/>
          </w:tcPr>
          <w:p w14:paraId="3697B655">
            <w:pPr>
              <w:pStyle w:val="6"/>
              <w:spacing w:before="45" w:line="218" w:lineRule="auto"/>
              <w:ind w:left="181"/>
            </w:pPr>
            <w:r>
              <w:rPr>
                <w:spacing w:val="1"/>
              </w:rPr>
              <w:t>环境影响途径及危害后果</w:t>
            </w:r>
          </w:p>
          <w:p w14:paraId="476FE3E2">
            <w:pPr>
              <w:pStyle w:val="6"/>
              <w:spacing w:before="1" w:line="188" w:lineRule="auto"/>
              <w:jc w:val="right"/>
            </w:pPr>
            <w:r>
              <w:rPr>
                <w:spacing w:val="-4"/>
              </w:rPr>
              <w:t>(大气、地表水、地下水等)</w:t>
            </w:r>
          </w:p>
        </w:tc>
        <w:tc>
          <w:tcPr>
            <w:tcW w:w="5454" w:type="dxa"/>
            <w:vAlign w:val="top"/>
          </w:tcPr>
          <w:p w14:paraId="6F5B3207">
            <w:pPr>
              <w:pStyle w:val="6"/>
              <w:spacing w:before="34" w:line="208" w:lineRule="auto"/>
              <w:ind w:left="124" w:right="1480" w:hanging="10"/>
            </w:pPr>
            <w:r>
              <w:rPr>
                <w:spacing w:val="6"/>
              </w:rPr>
              <w:t xml:space="preserve">变压器油等可燃物泄漏污染周边水体； </w:t>
            </w:r>
            <w:r>
              <w:t>电器设备引发火灾和环境污染事故。</w:t>
            </w:r>
          </w:p>
        </w:tc>
        <w:tc>
          <w:tcPr>
            <w:tcW w:w="115" w:type="dxa"/>
            <w:tcBorders>
              <w:top w:val="nil"/>
              <w:bottom w:val="nil"/>
            </w:tcBorders>
            <w:vAlign w:val="top"/>
          </w:tcPr>
          <w:p w14:paraId="7C849EF9">
            <w:pPr>
              <w:rPr>
                <w:rFonts w:ascii="Arial"/>
                <w:sz w:val="21"/>
              </w:rPr>
            </w:pPr>
          </w:p>
        </w:tc>
      </w:tr>
      <w:tr w14:paraId="7A740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1" w:hRule="atLeast"/>
        </w:trPr>
        <w:tc>
          <w:tcPr>
            <w:tcW w:w="884" w:type="dxa"/>
            <w:vMerge w:val="continue"/>
            <w:tcBorders>
              <w:top w:val="nil"/>
            </w:tcBorders>
            <w:vAlign w:val="top"/>
          </w:tcPr>
          <w:p w14:paraId="2923F570">
            <w:pPr>
              <w:rPr>
                <w:rFonts w:ascii="Arial"/>
                <w:sz w:val="21"/>
              </w:rPr>
            </w:pPr>
          </w:p>
        </w:tc>
        <w:tc>
          <w:tcPr>
            <w:tcW w:w="110" w:type="dxa"/>
            <w:tcBorders>
              <w:top w:val="nil"/>
            </w:tcBorders>
            <w:vAlign w:val="top"/>
          </w:tcPr>
          <w:p w14:paraId="7D8A0B38">
            <w:pPr>
              <w:rPr>
                <w:rFonts w:ascii="Arial"/>
                <w:sz w:val="21"/>
              </w:rPr>
            </w:pPr>
          </w:p>
        </w:tc>
        <w:tc>
          <w:tcPr>
            <w:tcW w:w="2807" w:type="dxa"/>
            <w:vAlign w:val="top"/>
          </w:tcPr>
          <w:p w14:paraId="096F769A">
            <w:pPr>
              <w:spacing w:line="252" w:lineRule="auto"/>
              <w:rPr>
                <w:rFonts w:ascii="Arial"/>
                <w:sz w:val="21"/>
              </w:rPr>
            </w:pPr>
          </w:p>
          <w:p w14:paraId="0F1E1D39">
            <w:pPr>
              <w:spacing w:line="252" w:lineRule="auto"/>
              <w:rPr>
                <w:rFonts w:ascii="Arial"/>
                <w:sz w:val="21"/>
              </w:rPr>
            </w:pPr>
          </w:p>
          <w:p w14:paraId="0161DB13">
            <w:pPr>
              <w:spacing w:line="253" w:lineRule="auto"/>
              <w:rPr>
                <w:rFonts w:ascii="Arial"/>
                <w:sz w:val="21"/>
              </w:rPr>
            </w:pPr>
          </w:p>
          <w:p w14:paraId="0112660A">
            <w:pPr>
              <w:spacing w:line="253" w:lineRule="auto"/>
              <w:rPr>
                <w:rFonts w:ascii="Arial"/>
                <w:sz w:val="21"/>
              </w:rPr>
            </w:pPr>
          </w:p>
          <w:p w14:paraId="0E79A50C">
            <w:pPr>
              <w:spacing w:line="253" w:lineRule="auto"/>
              <w:rPr>
                <w:rFonts w:ascii="Arial"/>
                <w:sz w:val="21"/>
              </w:rPr>
            </w:pPr>
          </w:p>
          <w:p w14:paraId="64E987BF">
            <w:pPr>
              <w:spacing w:line="253" w:lineRule="auto"/>
              <w:rPr>
                <w:rFonts w:ascii="Arial"/>
                <w:sz w:val="21"/>
              </w:rPr>
            </w:pPr>
          </w:p>
          <w:p w14:paraId="17F647A9">
            <w:pPr>
              <w:spacing w:line="253" w:lineRule="auto"/>
              <w:rPr>
                <w:rFonts w:ascii="Arial"/>
                <w:sz w:val="21"/>
              </w:rPr>
            </w:pPr>
          </w:p>
          <w:p w14:paraId="6F1CD14F">
            <w:pPr>
              <w:spacing w:line="253" w:lineRule="auto"/>
              <w:rPr>
                <w:rFonts w:ascii="Arial"/>
                <w:sz w:val="21"/>
              </w:rPr>
            </w:pPr>
          </w:p>
          <w:p w14:paraId="6744F0BE">
            <w:pPr>
              <w:spacing w:line="253" w:lineRule="auto"/>
              <w:rPr>
                <w:rFonts w:ascii="Arial"/>
                <w:sz w:val="21"/>
              </w:rPr>
            </w:pPr>
          </w:p>
          <w:p w14:paraId="0B177FEB">
            <w:pPr>
              <w:spacing w:line="253" w:lineRule="auto"/>
              <w:rPr>
                <w:rFonts w:ascii="Arial"/>
                <w:sz w:val="21"/>
              </w:rPr>
            </w:pPr>
          </w:p>
          <w:p w14:paraId="7FEE47E3">
            <w:pPr>
              <w:pStyle w:val="6"/>
              <w:spacing w:before="72" w:line="220" w:lineRule="auto"/>
              <w:ind w:left="511"/>
            </w:pPr>
            <w:r>
              <w:rPr>
                <w:spacing w:val="-2"/>
              </w:rPr>
              <w:t>风险防范措施要求</w:t>
            </w:r>
          </w:p>
        </w:tc>
        <w:tc>
          <w:tcPr>
            <w:tcW w:w="5454" w:type="dxa"/>
            <w:vAlign w:val="top"/>
          </w:tcPr>
          <w:p w14:paraId="4D93BA04">
            <w:pPr>
              <w:pStyle w:val="6"/>
              <w:spacing w:before="55" w:line="219" w:lineRule="auto"/>
              <w:ind w:left="24" w:right="40" w:firstLine="170"/>
            </w:pPr>
            <w:r>
              <w:t>(1)箱式变压器事故废油应按危险废物要求进行管</w:t>
            </w:r>
            <w:r>
              <w:rPr>
                <w:spacing w:val="-1"/>
              </w:rPr>
              <w:t>理。</w:t>
            </w:r>
            <w:r>
              <w:t xml:space="preserve"> </w:t>
            </w:r>
            <w:r>
              <w:rPr>
                <w:spacing w:val="-1"/>
              </w:rPr>
              <w:t>按可研要求一个箱式变压器配备一个事故油池(本项目共</w:t>
            </w:r>
          </w:p>
          <w:p w14:paraId="1BD700B7">
            <w:pPr>
              <w:pStyle w:val="6"/>
              <w:spacing w:before="15" w:line="228" w:lineRule="auto"/>
              <w:ind w:left="114" w:firstLine="19"/>
            </w:pPr>
            <w:r>
              <w:rPr>
                <w:spacing w:val="4"/>
              </w:rPr>
              <w:t>计设置设置24个箱变事故油池，容积均为4.84</w:t>
            </w:r>
            <w:r>
              <w:rPr>
                <w:spacing w:val="3"/>
              </w:rPr>
              <w:t>m³);变</w:t>
            </w:r>
            <w:r>
              <w:t xml:space="preserve">  </w:t>
            </w:r>
            <w:r>
              <w:rPr>
                <w:spacing w:val="-7"/>
              </w:rPr>
              <w:t>压器事故废油通过集油井、排油管道排入事故油池收集贮</w:t>
            </w:r>
            <w:r>
              <w:t xml:space="preserve"> </w:t>
            </w:r>
            <w:r>
              <w:rPr>
                <w:spacing w:val="-7"/>
              </w:rPr>
              <w:t>存，废油大部分经回收利用，不能利用的废油用矿物油收</w:t>
            </w:r>
            <w:r>
              <w:rPr>
                <w:spacing w:val="1"/>
              </w:rPr>
              <w:t xml:space="preserve"> </w:t>
            </w:r>
            <w:r>
              <w:rPr>
                <w:spacing w:val="-7"/>
              </w:rPr>
              <w:t>集桶收集，存放在升压站危险废物暂存间内，定期委托有</w:t>
            </w:r>
            <w:r>
              <w:rPr>
                <w:spacing w:val="3"/>
              </w:rPr>
              <w:t xml:space="preserve"> </w:t>
            </w:r>
            <w:r>
              <w:rPr>
                <w:spacing w:val="8"/>
              </w:rPr>
              <w:t>资质的单位进行清运及处置；</w:t>
            </w:r>
          </w:p>
          <w:p w14:paraId="33C66AFD">
            <w:pPr>
              <w:pStyle w:val="6"/>
              <w:spacing w:before="12" w:line="221" w:lineRule="auto"/>
              <w:ind w:left="114" w:firstLine="19"/>
            </w:pPr>
            <w:r>
              <w:t>(2)主变压器事故时含油废水经集油井、排油管</w:t>
            </w:r>
            <w:r>
              <w:rPr>
                <w:spacing w:val="-1"/>
              </w:rPr>
              <w:t>道进入</w:t>
            </w:r>
            <w:r>
              <w:t xml:space="preserve">  </w:t>
            </w:r>
            <w:r>
              <w:rPr>
                <w:spacing w:val="-7"/>
              </w:rPr>
              <w:t>总事故油池，经过油水分离后大部分回收利用，剩余部分</w:t>
            </w:r>
            <w:r>
              <w:rPr>
                <w:spacing w:val="2"/>
              </w:rPr>
              <w:t xml:space="preserve"> </w:t>
            </w:r>
            <w:r>
              <w:rPr>
                <w:spacing w:val="-7"/>
              </w:rPr>
              <w:t>收集后暂存于危废暂存间内，定期交由有资质的单位进行</w:t>
            </w:r>
            <w:r>
              <w:rPr>
                <w:spacing w:val="3"/>
              </w:rPr>
              <w:t xml:space="preserve"> </w:t>
            </w:r>
            <w:r>
              <w:rPr>
                <w:spacing w:val="17"/>
              </w:rPr>
              <w:t>清运及处置；</w:t>
            </w:r>
          </w:p>
          <w:p w14:paraId="481ED034">
            <w:pPr>
              <w:pStyle w:val="6"/>
              <w:spacing w:before="14" w:line="228" w:lineRule="auto"/>
              <w:ind w:left="84" w:firstLine="127"/>
            </w:pPr>
            <w:r>
              <w:rPr>
                <w:spacing w:val="-6"/>
              </w:rPr>
              <w:t>(3)危度暂存间严格按照《危险度物贮存污染控制</w:t>
            </w:r>
            <w:r>
              <w:rPr>
                <w:spacing w:val="-7"/>
              </w:rPr>
              <w:t>标准》</w:t>
            </w:r>
            <w:r>
              <w:t xml:space="preserve"> </w:t>
            </w:r>
            <w:r>
              <w:rPr>
                <w:spacing w:val="-7"/>
              </w:rPr>
              <w:t>(GB18597-2023)设计建设并建立转移</w:t>
            </w:r>
            <w:r>
              <w:rPr>
                <w:spacing w:val="-8"/>
              </w:rPr>
              <w:t>联单，完善危险度物</w:t>
            </w:r>
            <w:r>
              <w:t xml:space="preserve">  </w:t>
            </w:r>
            <w:r>
              <w:rPr>
                <w:spacing w:val="-4"/>
              </w:rPr>
              <w:t>记录台账。防渗工程需满足GB18597-2023要求，即：防</w:t>
            </w:r>
            <w:r>
              <w:rPr>
                <w:spacing w:val="5"/>
              </w:rPr>
              <w:t xml:space="preserve">  </w:t>
            </w:r>
            <w:r>
              <w:rPr>
                <w:spacing w:val="1"/>
              </w:rPr>
              <w:t>渗层为至少1m厚粘土层(渗透系数不大于10-</w:t>
            </w:r>
            <w:r>
              <w:rPr>
                <w:rFonts w:ascii="Calibri" w:hAnsi="Calibri" w:eastAsia="Calibri" w:cs="Calibri"/>
                <w:spacing w:val="1"/>
              </w:rPr>
              <w:t>⁷</w:t>
            </w:r>
            <w:r>
              <w:t>cm</w:t>
            </w:r>
            <w:r>
              <w:rPr>
                <w:spacing w:val="1"/>
              </w:rPr>
              <w:t>/s),或</w:t>
            </w:r>
          </w:p>
          <w:p w14:paraId="17CDB4BB">
            <w:pPr>
              <w:pStyle w:val="6"/>
              <w:spacing w:before="5" w:line="227" w:lineRule="auto"/>
              <w:ind w:left="24" w:right="20" w:firstLine="170"/>
            </w:pPr>
            <w:r>
              <w:rPr>
                <w:spacing w:val="-1"/>
              </w:rPr>
              <w:t>至少2mm厚高密度聚乙烯膜等人工防渗材料(渗透系数</w:t>
            </w:r>
            <w:r>
              <w:rPr>
                <w:spacing w:val="6"/>
              </w:rPr>
              <w:t xml:space="preserve">  </w:t>
            </w:r>
            <w:r>
              <w:t>不大于10-10cm/s)。箱变事故油池、升压站集油井+事故</w:t>
            </w:r>
            <w:r>
              <w:rPr>
                <w:spacing w:val="8"/>
              </w:rPr>
              <w:t xml:space="preserve"> </w:t>
            </w:r>
            <w:r>
              <w:rPr>
                <w:spacing w:val="4"/>
              </w:rPr>
              <w:t>油池严格按照《环境影响评价技术导则地下水》</w:t>
            </w:r>
          </w:p>
          <w:p w14:paraId="4602300E">
            <w:pPr>
              <w:pStyle w:val="6"/>
              <w:spacing w:before="7" w:line="205" w:lineRule="auto"/>
              <w:ind w:left="104" w:right="12" w:hanging="20"/>
            </w:pPr>
            <w:r>
              <w:rPr>
                <w:spacing w:val="2"/>
              </w:rPr>
              <w:t>(</w:t>
            </w:r>
            <w:r>
              <w:t>HIJ</w:t>
            </w:r>
            <w:r>
              <w:rPr>
                <w:spacing w:val="2"/>
              </w:rPr>
              <w:t>610-2016)重点防渗要求，等效黏土防渗层</w:t>
            </w:r>
            <w:r>
              <w:t>Mb</w:t>
            </w:r>
            <w:r>
              <w:rPr>
                <w:spacing w:val="2"/>
              </w:rPr>
              <w:t>≥6m,</w:t>
            </w:r>
            <w:r>
              <w:rPr>
                <w:spacing w:val="10"/>
              </w:rPr>
              <w:t xml:space="preserve"> </w:t>
            </w:r>
            <w:r>
              <w:t>渗透系数≤1×10-7cm/s的防渗性能。</w:t>
            </w:r>
          </w:p>
        </w:tc>
        <w:tc>
          <w:tcPr>
            <w:tcW w:w="115" w:type="dxa"/>
            <w:tcBorders>
              <w:top w:val="nil"/>
            </w:tcBorders>
            <w:vAlign w:val="top"/>
          </w:tcPr>
          <w:p w14:paraId="5F620B0B">
            <w:pPr>
              <w:rPr>
                <w:rFonts w:ascii="Arial"/>
                <w:sz w:val="21"/>
              </w:rPr>
            </w:pPr>
          </w:p>
        </w:tc>
      </w:tr>
    </w:tbl>
    <w:p w14:paraId="16CF33EC">
      <w:pPr>
        <w:pStyle w:val="2"/>
      </w:pPr>
    </w:p>
    <w:p w14:paraId="2773EAA7">
      <w:pPr>
        <w:sectPr>
          <w:footerReference r:id="rId188" w:type="default"/>
          <w:pgSz w:w="11910" w:h="16830"/>
          <w:pgMar w:top="400" w:right="1284" w:bottom="1245" w:left="1244" w:header="0" w:footer="1083" w:gutter="0"/>
          <w:cols w:space="720" w:num="1"/>
        </w:sectPr>
      </w:pPr>
    </w:p>
    <w:p w14:paraId="4C8DD5A9">
      <w:pPr>
        <w:spacing w:before="18"/>
      </w:pPr>
    </w:p>
    <w:p w14:paraId="69717FA5">
      <w:pPr>
        <w:spacing w:before="17"/>
      </w:pPr>
    </w:p>
    <w:p w14:paraId="625F5BFB">
      <w:pPr>
        <w:spacing w:before="17"/>
      </w:pPr>
    </w:p>
    <w:p w14:paraId="6883F452">
      <w:pPr>
        <w:spacing w:before="17"/>
      </w:pPr>
    </w:p>
    <w:tbl>
      <w:tblPr>
        <w:tblStyle w:val="5"/>
        <w:tblW w:w="93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4"/>
        <w:gridCol w:w="2857"/>
        <w:gridCol w:w="5434"/>
        <w:gridCol w:w="127"/>
      </w:tblGrid>
      <w:tr w14:paraId="03F60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3" w:hRule="atLeast"/>
        </w:trPr>
        <w:tc>
          <w:tcPr>
            <w:tcW w:w="914" w:type="dxa"/>
            <w:vMerge w:val="restart"/>
            <w:tcBorders>
              <w:bottom w:val="nil"/>
            </w:tcBorders>
            <w:vAlign w:val="top"/>
          </w:tcPr>
          <w:p w14:paraId="7B1BFE6C">
            <w:pPr>
              <w:rPr>
                <w:rFonts w:ascii="Arial"/>
                <w:sz w:val="21"/>
              </w:rPr>
            </w:pPr>
          </w:p>
        </w:tc>
        <w:tc>
          <w:tcPr>
            <w:tcW w:w="2857" w:type="dxa"/>
            <w:vAlign w:val="top"/>
          </w:tcPr>
          <w:p w14:paraId="7BA6AA87">
            <w:pPr>
              <w:rPr>
                <w:rFonts w:ascii="Arial"/>
                <w:sz w:val="21"/>
              </w:rPr>
            </w:pPr>
          </w:p>
        </w:tc>
        <w:tc>
          <w:tcPr>
            <w:tcW w:w="5434" w:type="dxa"/>
            <w:vAlign w:val="top"/>
          </w:tcPr>
          <w:p w14:paraId="00657A70">
            <w:pPr>
              <w:pStyle w:val="6"/>
              <w:spacing w:before="25" w:line="215" w:lineRule="auto"/>
              <w:ind w:left="94" w:firstLine="107"/>
              <w:rPr>
                <w:sz w:val="24"/>
                <w:szCs w:val="24"/>
              </w:rPr>
            </w:pPr>
            <w:r>
              <w:rPr>
                <w:spacing w:val="-26"/>
                <w:sz w:val="24"/>
                <w:szCs w:val="24"/>
              </w:rPr>
              <w:t>(4)危险废物存放于专门的收集容器，设置危废暂存间，</w:t>
            </w:r>
            <w:r>
              <w:rPr>
                <w:spacing w:val="17"/>
                <w:sz w:val="24"/>
                <w:szCs w:val="24"/>
              </w:rPr>
              <w:t xml:space="preserve"> </w:t>
            </w:r>
            <w:r>
              <w:rPr>
                <w:spacing w:val="3"/>
                <w:sz w:val="24"/>
                <w:szCs w:val="24"/>
              </w:rPr>
              <w:t>避免与其他废旧物资混杂存放；</w:t>
            </w:r>
          </w:p>
          <w:p w14:paraId="44516D28">
            <w:pPr>
              <w:pStyle w:val="6"/>
              <w:spacing w:line="214" w:lineRule="auto"/>
              <w:ind w:left="94" w:firstLine="109"/>
              <w:rPr>
                <w:sz w:val="24"/>
                <w:szCs w:val="24"/>
              </w:rPr>
            </w:pPr>
            <w:r>
              <w:rPr>
                <w:spacing w:val="-18"/>
                <w:sz w:val="24"/>
                <w:szCs w:val="24"/>
              </w:rPr>
              <w:t>(5)在</w:t>
            </w:r>
            <w:r>
              <w:rPr>
                <w:spacing w:val="-17"/>
                <w:sz w:val="24"/>
                <w:szCs w:val="24"/>
              </w:rPr>
              <w:t>管理过程中，将废铅蓄电池暂存于加盖的专用</w:t>
            </w:r>
            <w:r>
              <w:rPr>
                <w:spacing w:val="-13"/>
                <w:sz w:val="24"/>
                <w:szCs w:val="24"/>
              </w:rPr>
              <w:t>容</w:t>
            </w:r>
            <w:r>
              <w:rPr>
                <w:spacing w:val="4"/>
                <w:sz w:val="24"/>
                <w:szCs w:val="24"/>
              </w:rPr>
              <w:t xml:space="preserve"> </w:t>
            </w:r>
            <w:r>
              <w:rPr>
                <w:spacing w:val="7"/>
                <w:sz w:val="24"/>
                <w:szCs w:val="24"/>
              </w:rPr>
              <w:t>器中，定期委托有资质单位处置；</w:t>
            </w:r>
          </w:p>
          <w:p w14:paraId="46050510">
            <w:pPr>
              <w:pStyle w:val="6"/>
              <w:spacing w:before="1" w:line="208" w:lineRule="auto"/>
              <w:ind w:left="94" w:firstLine="109"/>
              <w:rPr>
                <w:sz w:val="24"/>
                <w:szCs w:val="24"/>
              </w:rPr>
            </w:pPr>
            <w:r>
              <w:rPr>
                <w:spacing w:val="-18"/>
                <w:sz w:val="24"/>
                <w:szCs w:val="24"/>
              </w:rPr>
              <w:t>(6)铅蓄电</w:t>
            </w:r>
            <w:r>
              <w:rPr>
                <w:spacing w:val="-17"/>
                <w:sz w:val="24"/>
                <w:szCs w:val="24"/>
              </w:rPr>
              <w:t>池所在区域附近放置消防砂，当铅蓄电池</w:t>
            </w:r>
            <w:r>
              <w:rPr>
                <w:spacing w:val="-11"/>
                <w:sz w:val="24"/>
                <w:szCs w:val="24"/>
              </w:rPr>
              <w:t>液</w:t>
            </w:r>
            <w:r>
              <w:rPr>
                <w:spacing w:val="4"/>
                <w:sz w:val="24"/>
                <w:szCs w:val="24"/>
              </w:rPr>
              <w:t xml:space="preserve"> </w:t>
            </w:r>
            <w:r>
              <w:rPr>
                <w:spacing w:val="-23"/>
                <w:w w:val="98"/>
                <w:sz w:val="24"/>
                <w:szCs w:val="24"/>
              </w:rPr>
              <w:t>发生泄漏及时进行阻隔，并</w:t>
            </w:r>
            <w:r>
              <w:rPr>
                <w:spacing w:val="-22"/>
                <w:w w:val="98"/>
                <w:sz w:val="24"/>
                <w:szCs w:val="24"/>
              </w:rPr>
              <w:t>委托有资质单位及时清运</w:t>
            </w:r>
            <w:r>
              <w:rPr>
                <w:spacing w:val="-23"/>
                <w:w w:val="98"/>
                <w:sz w:val="24"/>
                <w:szCs w:val="24"/>
              </w:rPr>
              <w:t>、</w:t>
            </w:r>
            <w:r>
              <w:rPr>
                <w:spacing w:val="-11"/>
                <w:w w:val="98"/>
                <w:sz w:val="24"/>
                <w:szCs w:val="24"/>
              </w:rPr>
              <w:t>处</w:t>
            </w:r>
            <w:r>
              <w:rPr>
                <w:sz w:val="24"/>
                <w:szCs w:val="24"/>
              </w:rPr>
              <w:t xml:space="preserve"> </w:t>
            </w:r>
            <w:r>
              <w:rPr>
                <w:spacing w:val="-7"/>
                <w:sz w:val="24"/>
                <w:szCs w:val="24"/>
              </w:rPr>
              <w:t>理</w:t>
            </w:r>
            <w:r>
              <w:rPr>
                <w:spacing w:val="68"/>
                <w:sz w:val="24"/>
                <w:szCs w:val="24"/>
              </w:rPr>
              <w:t xml:space="preserve"> </w:t>
            </w:r>
            <w:r>
              <w:rPr>
                <w:spacing w:val="-7"/>
                <w:sz w:val="24"/>
                <w:szCs w:val="24"/>
              </w:rPr>
              <w:t>；</w:t>
            </w:r>
          </w:p>
          <w:p w14:paraId="32F3194B">
            <w:pPr>
              <w:pStyle w:val="6"/>
              <w:spacing w:line="199" w:lineRule="auto"/>
              <w:ind w:left="94"/>
              <w:rPr>
                <w:sz w:val="24"/>
                <w:szCs w:val="24"/>
              </w:rPr>
            </w:pPr>
            <w:r>
              <w:rPr>
                <w:spacing w:val="6"/>
                <w:sz w:val="24"/>
                <w:szCs w:val="24"/>
              </w:rPr>
              <w:t>(7)配备应急处理设备和保障、物资；</w:t>
            </w:r>
          </w:p>
          <w:p w14:paraId="3D1F5891">
            <w:pPr>
              <w:pStyle w:val="6"/>
              <w:spacing w:before="1" w:line="168" w:lineRule="auto"/>
              <w:ind w:left="94"/>
              <w:rPr>
                <w:sz w:val="24"/>
                <w:szCs w:val="24"/>
              </w:rPr>
            </w:pPr>
            <w:r>
              <w:rPr>
                <w:sz w:val="24"/>
                <w:szCs w:val="24"/>
              </w:rPr>
              <w:t>(8)指定科学合理的风险应急预案。</w:t>
            </w:r>
          </w:p>
        </w:tc>
        <w:tc>
          <w:tcPr>
            <w:tcW w:w="127" w:type="dxa"/>
            <w:tcBorders>
              <w:bottom w:val="nil"/>
            </w:tcBorders>
            <w:vAlign w:val="top"/>
          </w:tcPr>
          <w:p w14:paraId="30DD910B">
            <w:pPr>
              <w:rPr>
                <w:rFonts w:ascii="Arial"/>
                <w:sz w:val="21"/>
              </w:rPr>
            </w:pPr>
          </w:p>
        </w:tc>
      </w:tr>
      <w:tr w14:paraId="4BA12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8" w:hRule="atLeast"/>
        </w:trPr>
        <w:tc>
          <w:tcPr>
            <w:tcW w:w="914" w:type="dxa"/>
            <w:vMerge w:val="continue"/>
            <w:tcBorders>
              <w:top w:val="nil"/>
              <w:bottom w:val="nil"/>
            </w:tcBorders>
            <w:vAlign w:val="top"/>
          </w:tcPr>
          <w:p w14:paraId="62BAD347">
            <w:pPr>
              <w:rPr>
                <w:rFonts w:ascii="Arial"/>
                <w:sz w:val="21"/>
              </w:rPr>
            </w:pPr>
          </w:p>
        </w:tc>
        <w:tc>
          <w:tcPr>
            <w:tcW w:w="8291" w:type="dxa"/>
            <w:gridSpan w:val="2"/>
            <w:vAlign w:val="top"/>
          </w:tcPr>
          <w:p w14:paraId="434AA066">
            <w:pPr>
              <w:pStyle w:val="6"/>
              <w:spacing w:before="60" w:line="201" w:lineRule="auto"/>
              <w:ind w:left="111"/>
              <w:rPr>
                <w:sz w:val="24"/>
                <w:szCs w:val="24"/>
              </w:rPr>
            </w:pPr>
            <w:r>
              <w:rPr>
                <w:spacing w:val="2"/>
                <w:sz w:val="24"/>
                <w:szCs w:val="24"/>
              </w:rPr>
              <w:t>填表说明(列出项目相关信息及评价说明):</w:t>
            </w:r>
          </w:p>
          <w:p w14:paraId="6A8F3D0E">
            <w:pPr>
              <w:pStyle w:val="6"/>
              <w:spacing w:before="6" w:line="200" w:lineRule="auto"/>
              <w:ind w:left="111" w:firstLine="9"/>
              <w:jc w:val="both"/>
              <w:rPr>
                <w:sz w:val="24"/>
                <w:szCs w:val="24"/>
              </w:rPr>
            </w:pPr>
            <w:r>
              <w:rPr>
                <w:spacing w:val="-21"/>
                <w:sz w:val="24"/>
                <w:szCs w:val="24"/>
              </w:rPr>
              <w:t>项目运营期主要风险物质有变压器油、废铅蓄电池，变</w:t>
            </w:r>
            <w:r>
              <w:rPr>
                <w:spacing w:val="-22"/>
                <w:sz w:val="24"/>
                <w:szCs w:val="24"/>
              </w:rPr>
              <w:t>压器油位于升压站110kV主变压</w:t>
            </w:r>
            <w:r>
              <w:rPr>
                <w:sz w:val="24"/>
                <w:szCs w:val="24"/>
              </w:rPr>
              <w:t xml:space="preserve"> </w:t>
            </w:r>
            <w:r>
              <w:rPr>
                <w:spacing w:val="-25"/>
                <w:sz w:val="24"/>
                <w:szCs w:val="24"/>
              </w:rPr>
              <w:t>器中，事故时排油；废铅蓄电池位于项目危废暂存间内。场区内最大存在总量危险</w:t>
            </w:r>
            <w:r>
              <w:rPr>
                <w:spacing w:val="-26"/>
                <w:sz w:val="24"/>
                <w:szCs w:val="24"/>
              </w:rPr>
              <w:t>物质</w:t>
            </w:r>
            <w:r>
              <w:rPr>
                <w:sz w:val="24"/>
                <w:szCs w:val="24"/>
              </w:rPr>
              <w:t xml:space="preserve"> </w:t>
            </w:r>
            <w:r>
              <w:rPr>
                <w:spacing w:val="-16"/>
                <w:sz w:val="24"/>
                <w:szCs w:val="24"/>
              </w:rPr>
              <w:t>为油类物质，变压器油与其临界量的比值Q=0.0</w:t>
            </w:r>
            <w:r>
              <w:rPr>
                <w:spacing w:val="-17"/>
                <w:sz w:val="24"/>
                <w:szCs w:val="24"/>
              </w:rPr>
              <w:t>5118&lt;1,项目环境风险潜势为I,环境风</w:t>
            </w:r>
            <w:r>
              <w:rPr>
                <w:sz w:val="24"/>
                <w:szCs w:val="24"/>
              </w:rPr>
              <w:t xml:space="preserve"> </w:t>
            </w:r>
            <w:r>
              <w:rPr>
                <w:spacing w:val="-23"/>
                <w:w w:val="99"/>
                <w:sz w:val="24"/>
                <w:szCs w:val="24"/>
              </w:rPr>
              <w:t>险评价等级为简单分析。通过采取以上各项风险防范措施及应急救援措施，可降低各种</w:t>
            </w:r>
            <w:r>
              <w:rPr>
                <w:spacing w:val="5"/>
                <w:sz w:val="24"/>
                <w:szCs w:val="24"/>
              </w:rPr>
              <w:t xml:space="preserve"> </w:t>
            </w:r>
            <w:r>
              <w:rPr>
                <w:spacing w:val="-1"/>
                <w:sz w:val="24"/>
                <w:szCs w:val="24"/>
              </w:rPr>
              <w:t>事故的发生，降低对周围环境的不利影响，环境风险在可防控范围内。</w:t>
            </w:r>
          </w:p>
        </w:tc>
        <w:tc>
          <w:tcPr>
            <w:tcW w:w="127" w:type="dxa"/>
            <w:tcBorders>
              <w:top w:val="nil"/>
            </w:tcBorders>
            <w:vAlign w:val="top"/>
          </w:tcPr>
          <w:p w14:paraId="6935CEFA">
            <w:pPr>
              <w:rPr>
                <w:rFonts w:ascii="Arial"/>
                <w:sz w:val="21"/>
              </w:rPr>
            </w:pPr>
          </w:p>
        </w:tc>
      </w:tr>
      <w:tr w14:paraId="797BC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8" w:hRule="atLeast"/>
        </w:trPr>
        <w:tc>
          <w:tcPr>
            <w:tcW w:w="914" w:type="dxa"/>
            <w:vMerge w:val="continue"/>
            <w:tcBorders>
              <w:top w:val="nil"/>
            </w:tcBorders>
            <w:vAlign w:val="top"/>
          </w:tcPr>
          <w:p w14:paraId="0D1BDFD2">
            <w:pPr>
              <w:rPr>
                <w:rFonts w:ascii="Arial"/>
                <w:sz w:val="21"/>
              </w:rPr>
            </w:pPr>
          </w:p>
        </w:tc>
        <w:tc>
          <w:tcPr>
            <w:tcW w:w="8418" w:type="dxa"/>
            <w:gridSpan w:val="3"/>
            <w:vAlign w:val="top"/>
          </w:tcPr>
          <w:p w14:paraId="1B861F92">
            <w:pPr>
              <w:pStyle w:val="6"/>
              <w:spacing w:before="60" w:line="219" w:lineRule="auto"/>
              <w:ind w:left="14"/>
              <w:rPr>
                <w:sz w:val="24"/>
                <w:szCs w:val="24"/>
              </w:rPr>
            </w:pPr>
            <w:r>
              <w:rPr>
                <w:b/>
                <w:bCs/>
                <w:spacing w:val="-3"/>
                <w:sz w:val="24"/>
                <w:szCs w:val="24"/>
              </w:rPr>
              <w:t>10服务期满后环境影响分析</w:t>
            </w:r>
          </w:p>
          <w:p w14:paraId="716D3E12">
            <w:pPr>
              <w:pStyle w:val="6"/>
              <w:spacing w:before="167" w:line="219" w:lineRule="auto"/>
              <w:ind w:left="501"/>
              <w:rPr>
                <w:sz w:val="24"/>
                <w:szCs w:val="24"/>
              </w:rPr>
            </w:pPr>
            <w:r>
              <w:rPr>
                <w:sz w:val="24"/>
                <w:szCs w:val="24"/>
              </w:rPr>
              <w:t>项目光伏系统使用寿命25年，其中组件寿命25年，逆变器寿命25年，电</w:t>
            </w:r>
          </w:p>
          <w:p w14:paraId="28A71A8E">
            <w:pPr>
              <w:pStyle w:val="6"/>
              <w:spacing w:before="176" w:line="364" w:lineRule="auto"/>
              <w:ind w:left="31"/>
              <w:rPr>
                <w:sz w:val="24"/>
                <w:szCs w:val="24"/>
              </w:rPr>
            </w:pPr>
            <w:r>
              <w:rPr>
                <w:sz w:val="24"/>
                <w:szCs w:val="24"/>
              </w:rPr>
              <w:t>缆使用寿命大于20年。服务期满后，光伏组件的转化效率降低，不能满足发电</w:t>
            </w:r>
            <w:r>
              <w:rPr>
                <w:spacing w:val="6"/>
                <w:sz w:val="24"/>
                <w:szCs w:val="24"/>
              </w:rPr>
              <w:t xml:space="preserve">  </w:t>
            </w:r>
            <w:r>
              <w:rPr>
                <w:spacing w:val="-1"/>
                <w:sz w:val="24"/>
                <w:szCs w:val="24"/>
              </w:rPr>
              <w:t>需求。光伏电站运行期满后光伏组件的拆除回收、电气设备的拆除回收以及各类</w:t>
            </w:r>
            <w:r>
              <w:rPr>
                <w:spacing w:val="10"/>
                <w:sz w:val="24"/>
                <w:szCs w:val="24"/>
              </w:rPr>
              <w:t xml:space="preserve"> </w:t>
            </w:r>
            <w:r>
              <w:rPr>
                <w:sz w:val="24"/>
                <w:szCs w:val="24"/>
              </w:rPr>
              <w:t>建(构)筑物的拆除可能对外环境产生一定的影响。</w:t>
            </w:r>
          </w:p>
          <w:p w14:paraId="2176F91B">
            <w:pPr>
              <w:pStyle w:val="6"/>
              <w:spacing w:line="218" w:lineRule="auto"/>
              <w:ind w:left="511"/>
              <w:rPr>
                <w:sz w:val="24"/>
                <w:szCs w:val="24"/>
              </w:rPr>
            </w:pPr>
            <w:r>
              <w:rPr>
                <w:spacing w:val="1"/>
                <w:sz w:val="24"/>
                <w:szCs w:val="24"/>
              </w:rPr>
              <w:t>1、光伏组件</w:t>
            </w:r>
          </w:p>
          <w:p w14:paraId="41A2A48A">
            <w:pPr>
              <w:pStyle w:val="6"/>
              <w:spacing w:before="174" w:line="357" w:lineRule="auto"/>
              <w:ind w:left="21" w:right="72" w:firstLine="489"/>
              <w:rPr>
                <w:sz w:val="24"/>
                <w:szCs w:val="24"/>
              </w:rPr>
            </w:pPr>
            <w:r>
              <w:rPr>
                <w:spacing w:val="1"/>
                <w:sz w:val="24"/>
                <w:szCs w:val="24"/>
              </w:rPr>
              <w:t>运行期满后，拆除废旧光伏组件总计95348块，</w:t>
            </w:r>
            <w:r>
              <w:rPr>
                <w:sz w:val="24"/>
                <w:szCs w:val="24"/>
              </w:rPr>
              <w:t xml:space="preserve">全部由光伏组件提供厂商负 </w:t>
            </w:r>
            <w:r>
              <w:rPr>
                <w:spacing w:val="-1"/>
                <w:sz w:val="24"/>
                <w:szCs w:val="24"/>
              </w:rPr>
              <w:t>责回收。</w:t>
            </w:r>
          </w:p>
          <w:p w14:paraId="6492268C">
            <w:pPr>
              <w:pStyle w:val="6"/>
              <w:spacing w:before="15" w:line="221" w:lineRule="auto"/>
              <w:ind w:left="501"/>
              <w:rPr>
                <w:sz w:val="24"/>
                <w:szCs w:val="24"/>
              </w:rPr>
            </w:pPr>
            <w:r>
              <w:rPr>
                <w:spacing w:val="1"/>
                <w:sz w:val="24"/>
                <w:szCs w:val="24"/>
              </w:rPr>
              <w:t>2、电气设备</w:t>
            </w:r>
          </w:p>
          <w:p w14:paraId="44D413B8">
            <w:pPr>
              <w:pStyle w:val="6"/>
              <w:spacing w:before="171" w:line="358" w:lineRule="auto"/>
              <w:ind w:left="41" w:right="576" w:firstLine="459"/>
              <w:rPr>
                <w:sz w:val="24"/>
                <w:szCs w:val="24"/>
              </w:rPr>
            </w:pPr>
            <w:r>
              <w:rPr>
                <w:sz w:val="24"/>
                <w:szCs w:val="24"/>
              </w:rPr>
              <w:t>本项目电气设备主要为300kW组串式逆变器130台，250kW组串式逆变器</w:t>
            </w:r>
            <w:r>
              <w:rPr>
                <w:spacing w:val="9"/>
                <w:sz w:val="24"/>
                <w:szCs w:val="24"/>
              </w:rPr>
              <w:t xml:space="preserve"> </w:t>
            </w:r>
            <w:r>
              <w:rPr>
                <w:sz w:val="24"/>
                <w:szCs w:val="24"/>
              </w:rPr>
              <w:t>30台，196kW组串式逆变器19台、1250kVA箱变3台，1500kVA箱变3台，</w:t>
            </w:r>
          </w:p>
          <w:p w14:paraId="4B953CB7">
            <w:pPr>
              <w:pStyle w:val="6"/>
              <w:spacing w:line="220" w:lineRule="auto"/>
              <w:ind w:left="51"/>
              <w:rPr>
                <w:sz w:val="24"/>
                <w:szCs w:val="24"/>
              </w:rPr>
            </w:pPr>
            <w:r>
              <w:rPr>
                <w:sz w:val="24"/>
                <w:szCs w:val="24"/>
              </w:rPr>
              <w:t>1600kVA箱变2台，2000kVA箱变4台，2500kVA箱变6台，3150kVA箱变6</w:t>
            </w:r>
          </w:p>
          <w:p w14:paraId="1920BDAA">
            <w:pPr>
              <w:pStyle w:val="6"/>
              <w:spacing w:before="173" w:line="362" w:lineRule="auto"/>
              <w:ind w:left="71" w:right="7" w:hanging="10"/>
              <w:rPr>
                <w:sz w:val="24"/>
                <w:szCs w:val="24"/>
              </w:rPr>
            </w:pPr>
            <w:r>
              <w:rPr>
                <w:spacing w:val="-2"/>
                <w:sz w:val="24"/>
                <w:szCs w:val="24"/>
              </w:rPr>
              <w:t>台。电气设备经过运行期的使用和维护，其损耗较小，可全部由设备生产商回收</w:t>
            </w:r>
            <w:r>
              <w:rPr>
                <w:spacing w:val="8"/>
                <w:sz w:val="24"/>
                <w:szCs w:val="24"/>
              </w:rPr>
              <w:t xml:space="preserve"> </w:t>
            </w:r>
            <w:r>
              <w:rPr>
                <w:sz w:val="24"/>
                <w:szCs w:val="24"/>
              </w:rPr>
              <w:t>进行维护和大修后再次使用。</w:t>
            </w:r>
          </w:p>
          <w:p w14:paraId="551990BE">
            <w:pPr>
              <w:pStyle w:val="6"/>
              <w:spacing w:line="220" w:lineRule="auto"/>
              <w:ind w:left="511"/>
              <w:rPr>
                <w:sz w:val="24"/>
                <w:szCs w:val="24"/>
              </w:rPr>
            </w:pPr>
            <w:r>
              <w:rPr>
                <w:spacing w:val="1"/>
                <w:sz w:val="24"/>
                <w:szCs w:val="24"/>
              </w:rPr>
              <w:t>3、建(构)筑物</w:t>
            </w:r>
          </w:p>
          <w:p w14:paraId="6AD7E383">
            <w:pPr>
              <w:pStyle w:val="6"/>
              <w:spacing w:before="172" w:line="219" w:lineRule="auto"/>
              <w:ind w:left="531"/>
              <w:rPr>
                <w:sz w:val="24"/>
                <w:szCs w:val="24"/>
              </w:rPr>
            </w:pPr>
            <w:r>
              <w:rPr>
                <w:spacing w:val="1"/>
                <w:sz w:val="24"/>
                <w:szCs w:val="24"/>
              </w:rPr>
              <w:t>本项目在服务期满后，将全部拆除各类建(构)筑物。本项目主要建(构)</w:t>
            </w:r>
          </w:p>
          <w:p w14:paraId="1C2FA291">
            <w:pPr>
              <w:pStyle w:val="6"/>
              <w:spacing w:before="196" w:line="354" w:lineRule="auto"/>
              <w:ind w:left="41" w:right="7" w:firstLine="10"/>
              <w:rPr>
                <w:sz w:val="24"/>
                <w:szCs w:val="24"/>
              </w:rPr>
            </w:pPr>
            <w:r>
              <w:rPr>
                <w:spacing w:val="-2"/>
                <w:sz w:val="24"/>
                <w:szCs w:val="24"/>
              </w:rPr>
              <w:t>筑物有光伏组件基础，大部分为混凝土结构。拆除后尽量用于场地平整和对场地</w:t>
            </w:r>
            <w:r>
              <w:rPr>
                <w:spacing w:val="18"/>
                <w:sz w:val="24"/>
                <w:szCs w:val="24"/>
              </w:rPr>
              <w:t xml:space="preserve"> </w:t>
            </w:r>
            <w:r>
              <w:rPr>
                <w:sz w:val="24"/>
                <w:szCs w:val="24"/>
              </w:rPr>
              <w:t>进行原地貌恢复，对环境影响较小。最终光伏电站占用土地应恢复植</w:t>
            </w:r>
            <w:r>
              <w:rPr>
                <w:spacing w:val="-1"/>
                <w:sz w:val="24"/>
                <w:szCs w:val="24"/>
              </w:rPr>
              <w:t>被。</w:t>
            </w:r>
          </w:p>
          <w:p w14:paraId="7E15E036">
            <w:pPr>
              <w:pStyle w:val="6"/>
              <w:spacing w:before="1" w:line="219" w:lineRule="auto"/>
              <w:ind w:left="511"/>
              <w:rPr>
                <w:sz w:val="24"/>
                <w:szCs w:val="24"/>
              </w:rPr>
            </w:pPr>
            <w:r>
              <w:rPr>
                <w:sz w:val="24"/>
                <w:szCs w:val="24"/>
              </w:rPr>
              <w:t>废变压器油及废蓄电池等危险废物由拥有危险废物</w:t>
            </w:r>
            <w:r>
              <w:rPr>
                <w:spacing w:val="-1"/>
                <w:sz w:val="24"/>
                <w:szCs w:val="24"/>
              </w:rPr>
              <w:t>处理处置资质的单位进</w:t>
            </w:r>
          </w:p>
          <w:p w14:paraId="3CEBE233">
            <w:pPr>
              <w:pStyle w:val="6"/>
              <w:spacing w:before="185" w:line="336" w:lineRule="auto"/>
              <w:ind w:left="61"/>
              <w:rPr>
                <w:sz w:val="24"/>
                <w:szCs w:val="24"/>
              </w:rPr>
            </w:pPr>
            <w:r>
              <w:rPr>
                <w:spacing w:val="-2"/>
                <w:sz w:val="24"/>
                <w:szCs w:val="24"/>
              </w:rPr>
              <w:t>行回收、运输和处置时，应先向当地主管环境保护部门进行申报登记，环保部门</w:t>
            </w:r>
            <w:r>
              <w:rPr>
                <w:spacing w:val="15"/>
                <w:sz w:val="24"/>
                <w:szCs w:val="24"/>
              </w:rPr>
              <w:t xml:space="preserve"> </w:t>
            </w:r>
            <w:r>
              <w:rPr>
                <w:spacing w:val="-2"/>
                <w:sz w:val="24"/>
                <w:szCs w:val="24"/>
              </w:rPr>
              <w:t>同意后按照《危险废物转移联单管理办法》填写危险废物转移五联单后，由拥有</w:t>
            </w:r>
          </w:p>
        </w:tc>
      </w:tr>
    </w:tbl>
    <w:p w14:paraId="23657A18">
      <w:pPr>
        <w:pStyle w:val="2"/>
        <w:spacing w:line="219" w:lineRule="exact"/>
        <w:rPr>
          <w:sz w:val="19"/>
        </w:rPr>
      </w:pPr>
    </w:p>
    <w:p w14:paraId="2A5D1266">
      <w:pPr>
        <w:spacing w:line="219" w:lineRule="exact"/>
        <w:rPr>
          <w:sz w:val="19"/>
          <w:szCs w:val="19"/>
        </w:rPr>
        <w:sectPr>
          <w:footerReference r:id="rId189" w:type="default"/>
          <w:pgSz w:w="11910" w:h="16830"/>
          <w:pgMar w:top="400" w:right="1322" w:bottom="1245" w:left="1244" w:header="0" w:footer="1083" w:gutter="0"/>
          <w:cols w:space="720" w:num="1"/>
        </w:sectPr>
      </w:pPr>
    </w:p>
    <w:p w14:paraId="6BB0AE9B">
      <w:pPr>
        <w:spacing w:before="15"/>
      </w:pPr>
    </w:p>
    <w:p w14:paraId="2A1158DB">
      <w:pPr>
        <w:spacing w:before="15"/>
      </w:pPr>
    </w:p>
    <w:p w14:paraId="491416B3">
      <w:pPr>
        <w:spacing w:before="15"/>
      </w:pPr>
    </w:p>
    <w:p w14:paraId="0884A80B">
      <w:pPr>
        <w:spacing w:before="14"/>
      </w:pPr>
    </w:p>
    <w:tbl>
      <w:tblPr>
        <w:tblStyle w:val="5"/>
        <w:tblW w:w="93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8506"/>
      </w:tblGrid>
      <w:tr w14:paraId="508F2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9" w:hRule="atLeast"/>
        </w:trPr>
        <w:tc>
          <w:tcPr>
            <w:tcW w:w="874" w:type="dxa"/>
            <w:vAlign w:val="top"/>
          </w:tcPr>
          <w:p w14:paraId="3936294F">
            <w:pPr>
              <w:rPr>
                <w:rFonts w:ascii="Arial"/>
                <w:sz w:val="21"/>
              </w:rPr>
            </w:pPr>
          </w:p>
        </w:tc>
        <w:tc>
          <w:tcPr>
            <w:tcW w:w="8506" w:type="dxa"/>
            <w:vAlign w:val="top"/>
          </w:tcPr>
          <w:p w14:paraId="52B2B801">
            <w:pPr>
              <w:pStyle w:val="6"/>
              <w:spacing w:before="14" w:line="219" w:lineRule="auto"/>
              <w:ind w:left="91"/>
              <w:rPr>
                <w:sz w:val="24"/>
                <w:szCs w:val="24"/>
              </w:rPr>
            </w:pPr>
            <w:r>
              <w:rPr>
                <w:sz w:val="24"/>
                <w:szCs w:val="24"/>
              </w:rPr>
              <w:t>危险废物处理处置资质的单位进行回收、运输和处</w:t>
            </w:r>
            <w:r>
              <w:rPr>
                <w:spacing w:val="-1"/>
                <w:sz w:val="24"/>
                <w:szCs w:val="24"/>
              </w:rPr>
              <w:t>置。</w:t>
            </w:r>
          </w:p>
          <w:p w14:paraId="70480DF3">
            <w:pPr>
              <w:pStyle w:val="6"/>
              <w:spacing w:before="181" w:line="219" w:lineRule="auto"/>
              <w:ind w:left="114"/>
              <w:rPr>
                <w:sz w:val="24"/>
                <w:szCs w:val="24"/>
              </w:rPr>
            </w:pPr>
            <w:r>
              <w:rPr>
                <w:b/>
                <w:bCs/>
                <w:spacing w:val="-2"/>
                <w:sz w:val="24"/>
                <w:szCs w:val="24"/>
              </w:rPr>
              <w:t>11对水源保护区的影响</w:t>
            </w:r>
          </w:p>
          <w:p w14:paraId="6CEA18FA">
            <w:pPr>
              <w:pStyle w:val="6"/>
              <w:spacing w:before="189" w:line="365" w:lineRule="auto"/>
              <w:ind w:left="41" w:right="40" w:firstLine="539"/>
              <w:rPr>
                <w:sz w:val="24"/>
                <w:szCs w:val="24"/>
              </w:rPr>
            </w:pPr>
            <w:r>
              <w:rPr>
                <w:sz w:val="24"/>
                <w:szCs w:val="24"/>
              </w:rPr>
              <w:t>本项目光伏占地不涉及饮用水水源保护区以及准保护区。本项目35kKV集电</w:t>
            </w:r>
            <w:r>
              <w:rPr>
                <w:spacing w:val="13"/>
                <w:sz w:val="24"/>
                <w:szCs w:val="24"/>
              </w:rPr>
              <w:t xml:space="preserve"> </w:t>
            </w:r>
            <w:r>
              <w:rPr>
                <w:sz w:val="24"/>
                <w:szCs w:val="24"/>
              </w:rPr>
              <w:t>线路采用架空线路的方式穿越大莫古集镇水厂水源地准保护区，其中位于大莫古</w:t>
            </w:r>
            <w:r>
              <w:rPr>
                <w:spacing w:val="13"/>
                <w:sz w:val="24"/>
                <w:szCs w:val="24"/>
              </w:rPr>
              <w:t xml:space="preserve"> </w:t>
            </w:r>
            <w:r>
              <w:rPr>
                <w:spacing w:val="5"/>
                <w:sz w:val="24"/>
                <w:szCs w:val="24"/>
              </w:rPr>
              <w:t>集镇水厂水源地准保护区内的塔基数量为12座，架空线路长度为3105m。本项</w:t>
            </w:r>
            <w:r>
              <w:rPr>
                <w:spacing w:val="4"/>
                <w:sz w:val="24"/>
                <w:szCs w:val="24"/>
              </w:rPr>
              <w:t xml:space="preserve">  </w:t>
            </w:r>
            <w:r>
              <w:rPr>
                <w:spacing w:val="3"/>
                <w:sz w:val="24"/>
                <w:szCs w:val="24"/>
              </w:rPr>
              <w:t>目集电线路(埋地)穿越饮用水水源准保护区约450m。</w:t>
            </w:r>
          </w:p>
          <w:p w14:paraId="33379961">
            <w:pPr>
              <w:pStyle w:val="6"/>
              <w:spacing w:before="98" w:line="360" w:lineRule="auto"/>
              <w:ind w:left="41" w:firstLine="579"/>
              <w:rPr>
                <w:sz w:val="24"/>
                <w:szCs w:val="24"/>
              </w:rPr>
            </w:pPr>
            <w:r>
              <w:rPr>
                <w:spacing w:val="-1"/>
                <w:sz w:val="24"/>
                <w:szCs w:val="24"/>
              </w:rPr>
              <w:t>由于大莫古集镇水厂水源地属于地下水水源地</w:t>
            </w:r>
            <w:r>
              <w:rPr>
                <w:spacing w:val="-2"/>
                <w:sz w:val="24"/>
                <w:szCs w:val="24"/>
              </w:rPr>
              <w:t>，项目对大莫古集镇水厂水源</w:t>
            </w:r>
            <w:r>
              <w:rPr>
                <w:sz w:val="24"/>
                <w:szCs w:val="24"/>
              </w:rPr>
              <w:t xml:space="preserve"> </w:t>
            </w:r>
            <w:r>
              <w:rPr>
                <w:spacing w:val="4"/>
                <w:sz w:val="24"/>
                <w:szCs w:val="24"/>
              </w:rPr>
              <w:t>地可能会产生的影响为污(废)水污染影响。</w:t>
            </w:r>
            <w:r>
              <w:rPr>
                <w:spacing w:val="3"/>
                <w:sz w:val="24"/>
                <w:szCs w:val="24"/>
              </w:rPr>
              <w:t>由于光伏阵列区施工仅进行钻孔及</w:t>
            </w:r>
            <w:r>
              <w:rPr>
                <w:sz w:val="24"/>
                <w:szCs w:val="24"/>
              </w:rPr>
              <w:t xml:space="preserve">  </w:t>
            </w:r>
            <w:r>
              <w:rPr>
                <w:spacing w:val="1"/>
                <w:sz w:val="24"/>
                <w:szCs w:val="24"/>
              </w:rPr>
              <w:t>电缆开挖，集电线路区施工仅进行架空线路施工</w:t>
            </w:r>
            <w:r>
              <w:rPr>
                <w:sz w:val="24"/>
                <w:szCs w:val="24"/>
              </w:rPr>
              <w:t xml:space="preserve">，施工工程量小，本项目在饮用 </w:t>
            </w:r>
            <w:r>
              <w:rPr>
                <w:spacing w:val="1"/>
                <w:sz w:val="24"/>
                <w:szCs w:val="24"/>
              </w:rPr>
              <w:t>水水源保护区内不设置施工生活区，不涉及施工</w:t>
            </w:r>
            <w:r>
              <w:rPr>
                <w:sz w:val="24"/>
                <w:szCs w:val="24"/>
              </w:rPr>
              <w:t>生活废水的产生。施工废水采用 沉淀池收集、澄清，全部回用于场地洒水降尘、建筑材料冲洗等施工环节，不外</w:t>
            </w:r>
            <w:r>
              <w:rPr>
                <w:spacing w:val="7"/>
                <w:sz w:val="24"/>
                <w:szCs w:val="24"/>
              </w:rPr>
              <w:t xml:space="preserve"> </w:t>
            </w:r>
            <w:r>
              <w:rPr>
                <w:spacing w:val="-1"/>
                <w:sz w:val="24"/>
                <w:szCs w:val="24"/>
              </w:rPr>
              <w:t>排。废水能做到零排放，对周围水体水质影响较小。本项目不在水源保护区设置</w:t>
            </w:r>
            <w:r>
              <w:rPr>
                <w:spacing w:val="18"/>
                <w:sz w:val="24"/>
                <w:szCs w:val="24"/>
              </w:rPr>
              <w:t xml:space="preserve"> </w:t>
            </w:r>
            <w:r>
              <w:rPr>
                <w:sz w:val="24"/>
                <w:szCs w:val="24"/>
              </w:rPr>
              <w:t>弃渣场、堆料场和施工营地等，不在保护区内进行挖沙、取土、砍伐等活动，在</w:t>
            </w:r>
            <w:r>
              <w:rPr>
                <w:spacing w:val="5"/>
                <w:sz w:val="24"/>
                <w:szCs w:val="24"/>
              </w:rPr>
              <w:t xml:space="preserve"> </w:t>
            </w:r>
            <w:r>
              <w:rPr>
                <w:sz w:val="24"/>
                <w:szCs w:val="24"/>
              </w:rPr>
              <w:t>落实饮用水水源保护区的污染防治措施后，本工程施工将不会影响水源保护区水</w:t>
            </w:r>
            <w:r>
              <w:rPr>
                <w:spacing w:val="3"/>
                <w:sz w:val="24"/>
                <w:szCs w:val="24"/>
              </w:rPr>
              <w:t xml:space="preserve"> </w:t>
            </w:r>
            <w:r>
              <w:rPr>
                <w:spacing w:val="24"/>
                <w:sz w:val="24"/>
                <w:szCs w:val="24"/>
              </w:rPr>
              <w:t>质。</w:t>
            </w:r>
          </w:p>
          <w:p w14:paraId="25E0D925">
            <w:pPr>
              <w:pStyle w:val="6"/>
              <w:spacing w:before="3" w:line="358" w:lineRule="auto"/>
              <w:ind w:left="121" w:right="158" w:firstLine="459"/>
              <w:jc w:val="both"/>
              <w:rPr>
                <w:sz w:val="24"/>
                <w:szCs w:val="24"/>
              </w:rPr>
            </w:pPr>
            <w:r>
              <w:rPr>
                <w:sz w:val="24"/>
                <w:szCs w:val="24"/>
              </w:rPr>
              <w:t>本项目35kV集电线路采用架空线路的方式穿越</w:t>
            </w:r>
            <w:r>
              <w:rPr>
                <w:spacing w:val="-1"/>
                <w:sz w:val="24"/>
                <w:szCs w:val="24"/>
              </w:rPr>
              <w:t>大莫古集镇水厂水源地准保</w:t>
            </w:r>
            <w:r>
              <w:rPr>
                <w:sz w:val="24"/>
                <w:szCs w:val="24"/>
              </w:rPr>
              <w:t xml:space="preserve"> </w:t>
            </w:r>
            <w:r>
              <w:rPr>
                <w:spacing w:val="2"/>
                <w:sz w:val="24"/>
                <w:szCs w:val="24"/>
              </w:rPr>
              <w:t>护区，其中位于大莫古集镇水厂水源地准保护</w:t>
            </w:r>
            <w:r>
              <w:rPr>
                <w:spacing w:val="1"/>
                <w:sz w:val="24"/>
                <w:szCs w:val="24"/>
              </w:rPr>
              <w:t>区内的塔基数量为12座，架空线</w:t>
            </w:r>
            <w:r>
              <w:rPr>
                <w:sz w:val="24"/>
                <w:szCs w:val="24"/>
              </w:rPr>
              <w:t xml:space="preserve"> 路长度为3105m。本项目集电线路(埋地)穿越饮用水水源准保护区约450</w:t>
            </w:r>
            <w:r>
              <w:rPr>
                <w:spacing w:val="-1"/>
                <w:sz w:val="24"/>
                <w:szCs w:val="24"/>
              </w:rPr>
              <w:t>m。</w:t>
            </w:r>
          </w:p>
          <w:p w14:paraId="5A5B62E3">
            <w:pPr>
              <w:pStyle w:val="6"/>
              <w:spacing w:before="4" w:line="361" w:lineRule="auto"/>
              <w:ind w:left="41" w:right="43"/>
              <w:jc w:val="both"/>
              <w:rPr>
                <w:sz w:val="24"/>
                <w:szCs w:val="24"/>
              </w:rPr>
            </w:pPr>
            <w:r>
              <w:rPr>
                <w:sz w:val="24"/>
                <w:szCs w:val="24"/>
              </w:rPr>
              <w:t>在水源地准保护区内塔基施工和架线、埋地电缆，根据项</w:t>
            </w:r>
            <w:r>
              <w:rPr>
                <w:spacing w:val="-1"/>
                <w:sz w:val="24"/>
                <w:szCs w:val="24"/>
              </w:rPr>
              <w:t>目可研报告本项目工程</w:t>
            </w:r>
            <w:r>
              <w:rPr>
                <w:sz w:val="24"/>
                <w:szCs w:val="24"/>
              </w:rPr>
              <w:t xml:space="preserve"> 地质章节，项目区的地下水埋深较深，塔基开挖不会对项目区的地下水水位和水</w:t>
            </w:r>
            <w:r>
              <w:rPr>
                <w:spacing w:val="10"/>
                <w:sz w:val="24"/>
                <w:szCs w:val="24"/>
              </w:rPr>
              <w:t xml:space="preserve"> </w:t>
            </w:r>
            <w:r>
              <w:rPr>
                <w:spacing w:val="6"/>
                <w:sz w:val="24"/>
                <w:szCs w:val="24"/>
              </w:rPr>
              <w:t>质造成不利的影响。</w:t>
            </w:r>
          </w:p>
          <w:p w14:paraId="1BB8C4C1">
            <w:pPr>
              <w:pStyle w:val="6"/>
              <w:spacing w:before="5" w:line="360" w:lineRule="auto"/>
              <w:ind w:left="41" w:right="4" w:firstLine="539"/>
              <w:jc w:val="both"/>
              <w:rPr>
                <w:sz w:val="24"/>
                <w:szCs w:val="24"/>
              </w:rPr>
            </w:pPr>
            <w:r>
              <w:rPr>
                <w:sz w:val="24"/>
                <w:szCs w:val="24"/>
              </w:rPr>
              <w:t>环评建议施工避开雨天，线路土方回填后，应及时</w:t>
            </w:r>
            <w:r>
              <w:rPr>
                <w:spacing w:val="-1"/>
                <w:sz w:val="24"/>
                <w:szCs w:val="24"/>
              </w:rPr>
              <w:t>进行平整处理，并进行植</w:t>
            </w:r>
            <w:r>
              <w:rPr>
                <w:sz w:val="24"/>
                <w:szCs w:val="24"/>
              </w:rPr>
              <w:t xml:space="preserve"> 被恢复，做好水环境保护工作。由于集电线路塔基和埋地电缆开挖工程量小，工</w:t>
            </w:r>
            <w:r>
              <w:rPr>
                <w:spacing w:val="12"/>
                <w:sz w:val="24"/>
                <w:szCs w:val="24"/>
              </w:rPr>
              <w:t xml:space="preserve"> </w:t>
            </w:r>
            <w:r>
              <w:rPr>
                <w:spacing w:val="1"/>
                <w:sz w:val="24"/>
                <w:szCs w:val="24"/>
              </w:rPr>
              <w:t>程施工时间短、水土流失影响区域小。在采取上</w:t>
            </w:r>
            <w:r>
              <w:rPr>
                <w:sz w:val="24"/>
                <w:szCs w:val="24"/>
              </w:rPr>
              <w:t>述适当的生态保护措施后对周围 水环境影响的间接影响也很小并且能够很快恢复，因此工程施工对水源保护区水</w:t>
            </w:r>
            <w:r>
              <w:rPr>
                <w:spacing w:val="10"/>
                <w:sz w:val="24"/>
                <w:szCs w:val="24"/>
              </w:rPr>
              <w:t xml:space="preserve"> </w:t>
            </w:r>
            <w:r>
              <w:rPr>
                <w:spacing w:val="4"/>
                <w:sz w:val="24"/>
                <w:szCs w:val="24"/>
              </w:rPr>
              <w:t>体的影响能够控制在可接受的范围。</w:t>
            </w:r>
          </w:p>
          <w:p w14:paraId="2A306ACB">
            <w:pPr>
              <w:pStyle w:val="6"/>
              <w:spacing w:before="65" w:line="337" w:lineRule="auto"/>
              <w:ind w:left="121" w:right="454" w:firstLine="519"/>
              <w:rPr>
                <w:sz w:val="24"/>
                <w:szCs w:val="24"/>
              </w:rPr>
            </w:pPr>
            <w:r>
              <w:rPr>
                <w:sz w:val="24"/>
                <w:szCs w:val="24"/>
              </w:rPr>
              <w:t>项目光伏阵列区及集电线路运行期间无水污染物和空气污染物等污染</w:t>
            </w:r>
            <w:r>
              <w:rPr>
                <w:spacing w:val="4"/>
                <w:sz w:val="24"/>
                <w:szCs w:val="24"/>
              </w:rPr>
              <w:t xml:space="preserve">  </w:t>
            </w:r>
            <w:r>
              <w:rPr>
                <w:sz w:val="24"/>
                <w:szCs w:val="24"/>
              </w:rPr>
              <w:t>物产生，只有少量检修垃圾，检修垃圾由建设单</w:t>
            </w:r>
            <w:r>
              <w:rPr>
                <w:spacing w:val="-1"/>
                <w:sz w:val="24"/>
                <w:szCs w:val="24"/>
              </w:rPr>
              <w:t>位集中收集，全部回收处</w:t>
            </w:r>
            <w:r>
              <w:rPr>
                <w:sz w:val="24"/>
                <w:szCs w:val="24"/>
              </w:rPr>
              <w:t xml:space="preserve">   理；此外，工作人员在日常的管理活动中可能进入水源保护区范围内活动，</w:t>
            </w:r>
          </w:p>
        </w:tc>
      </w:tr>
    </w:tbl>
    <w:p w14:paraId="7C61859A">
      <w:pPr>
        <w:pStyle w:val="2"/>
      </w:pPr>
    </w:p>
    <w:p w14:paraId="25E2CE9E">
      <w:pPr>
        <w:sectPr>
          <w:footerReference r:id="rId190" w:type="default"/>
          <w:pgSz w:w="11910" w:h="16830"/>
          <w:pgMar w:top="400" w:right="1274" w:bottom="1259" w:left="1244" w:header="0" w:footer="1079" w:gutter="0"/>
          <w:cols w:space="720" w:num="1"/>
        </w:sectPr>
      </w:pPr>
    </w:p>
    <w:p w14:paraId="3B6029D0">
      <w:pPr>
        <w:spacing w:before="18"/>
      </w:pPr>
    </w:p>
    <w:p w14:paraId="34DD15E8">
      <w:pPr>
        <w:spacing w:before="17"/>
      </w:pPr>
    </w:p>
    <w:p w14:paraId="750DCCCF">
      <w:pPr>
        <w:spacing w:before="17"/>
      </w:pPr>
    </w:p>
    <w:p w14:paraId="08B222FA">
      <w:pPr>
        <w:spacing w:before="17"/>
      </w:pPr>
    </w:p>
    <w:tbl>
      <w:tblPr>
        <w:tblStyle w:val="5"/>
        <w:tblW w:w="938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8507"/>
      </w:tblGrid>
      <w:tr w14:paraId="41E39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874" w:type="dxa"/>
            <w:vAlign w:val="top"/>
          </w:tcPr>
          <w:p w14:paraId="61B588AB">
            <w:pPr>
              <w:rPr>
                <w:rFonts w:ascii="Arial"/>
                <w:sz w:val="21"/>
              </w:rPr>
            </w:pPr>
          </w:p>
        </w:tc>
        <w:tc>
          <w:tcPr>
            <w:tcW w:w="8507" w:type="dxa"/>
            <w:vAlign w:val="top"/>
          </w:tcPr>
          <w:p w14:paraId="04A273ED">
            <w:pPr>
              <w:pStyle w:val="6"/>
              <w:spacing w:before="35" w:line="348" w:lineRule="auto"/>
              <w:ind w:left="111" w:right="424" w:firstLine="290"/>
              <w:rPr>
                <w:sz w:val="24"/>
                <w:szCs w:val="24"/>
              </w:rPr>
            </w:pPr>
            <w:r>
              <w:rPr>
                <w:sz w:val="24"/>
                <w:szCs w:val="24"/>
              </w:rPr>
              <w:t>对水源保护区内地表扰动和植被破坏造成水土流失</w:t>
            </w:r>
            <w:r>
              <w:rPr>
                <w:spacing w:val="-1"/>
                <w:sz w:val="24"/>
                <w:szCs w:val="24"/>
              </w:rPr>
              <w:t>，对水源保护区水质可</w:t>
            </w:r>
            <w:r>
              <w:rPr>
                <w:sz w:val="24"/>
                <w:szCs w:val="24"/>
              </w:rPr>
              <w:t xml:space="preserve"> 能产生影响。根据调查，项目工作人员只进行检修，无废水产生，因此，</w:t>
            </w:r>
          </w:p>
          <w:p w14:paraId="5DBC60EB">
            <w:pPr>
              <w:pStyle w:val="6"/>
              <w:spacing w:before="12" w:line="218" w:lineRule="auto"/>
              <w:ind w:left="401"/>
              <w:rPr>
                <w:sz w:val="24"/>
                <w:szCs w:val="24"/>
              </w:rPr>
            </w:pPr>
            <w:r>
              <w:rPr>
                <w:sz w:val="24"/>
                <w:szCs w:val="24"/>
              </w:rPr>
              <w:t>运营期要求工作人员加强管理，在项目区周边设置水源保护警示牌，告知</w:t>
            </w:r>
          </w:p>
          <w:p w14:paraId="04A368AA">
            <w:pPr>
              <w:pStyle w:val="6"/>
              <w:spacing w:before="188" w:line="355" w:lineRule="auto"/>
              <w:ind w:left="91" w:right="382" w:firstLine="310"/>
              <w:rPr>
                <w:sz w:val="24"/>
                <w:szCs w:val="24"/>
              </w:rPr>
            </w:pPr>
            <w:r>
              <w:rPr>
                <w:spacing w:val="1"/>
                <w:sz w:val="24"/>
                <w:szCs w:val="24"/>
              </w:rPr>
              <w:t>工作人员水源保护区的位置及范围，尽量减少工作人员进入水源保护区内</w:t>
            </w:r>
            <w:r>
              <w:rPr>
                <w:sz w:val="24"/>
                <w:szCs w:val="24"/>
              </w:rPr>
              <w:t xml:space="preserve"> 活动，采取措施后，项目运营期对大莫古集镇水厂水源地影响较小。</w:t>
            </w:r>
          </w:p>
        </w:tc>
      </w:tr>
      <w:tr w14:paraId="52DC9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6" w:hRule="atLeast"/>
        </w:trPr>
        <w:tc>
          <w:tcPr>
            <w:tcW w:w="874" w:type="dxa"/>
            <w:vAlign w:val="top"/>
          </w:tcPr>
          <w:p w14:paraId="1C8782A8">
            <w:pPr>
              <w:spacing w:line="249" w:lineRule="auto"/>
              <w:rPr>
                <w:rFonts w:ascii="Arial"/>
                <w:sz w:val="21"/>
              </w:rPr>
            </w:pPr>
          </w:p>
          <w:p w14:paraId="515B1B2D">
            <w:pPr>
              <w:spacing w:line="250" w:lineRule="auto"/>
              <w:rPr>
                <w:rFonts w:ascii="Arial"/>
                <w:sz w:val="21"/>
              </w:rPr>
            </w:pPr>
          </w:p>
          <w:p w14:paraId="1825E83A">
            <w:pPr>
              <w:spacing w:line="250" w:lineRule="auto"/>
              <w:rPr>
                <w:rFonts w:ascii="Arial"/>
                <w:sz w:val="21"/>
              </w:rPr>
            </w:pPr>
          </w:p>
          <w:p w14:paraId="3A2C26BB">
            <w:pPr>
              <w:spacing w:line="250" w:lineRule="auto"/>
              <w:rPr>
                <w:rFonts w:ascii="Arial"/>
                <w:sz w:val="21"/>
              </w:rPr>
            </w:pPr>
          </w:p>
          <w:p w14:paraId="5A158555">
            <w:pPr>
              <w:spacing w:line="250" w:lineRule="auto"/>
              <w:rPr>
                <w:rFonts w:ascii="Arial"/>
                <w:sz w:val="21"/>
              </w:rPr>
            </w:pPr>
          </w:p>
          <w:p w14:paraId="23E4FA99">
            <w:pPr>
              <w:spacing w:line="250" w:lineRule="auto"/>
              <w:rPr>
                <w:rFonts w:ascii="Arial"/>
                <w:sz w:val="21"/>
              </w:rPr>
            </w:pPr>
          </w:p>
          <w:p w14:paraId="7893602F">
            <w:pPr>
              <w:spacing w:line="250" w:lineRule="auto"/>
              <w:rPr>
                <w:rFonts w:ascii="Arial"/>
                <w:sz w:val="21"/>
              </w:rPr>
            </w:pPr>
          </w:p>
          <w:p w14:paraId="7F8CE57D">
            <w:pPr>
              <w:spacing w:line="250" w:lineRule="auto"/>
              <w:rPr>
                <w:rFonts w:ascii="Arial"/>
                <w:sz w:val="21"/>
              </w:rPr>
            </w:pPr>
          </w:p>
          <w:p w14:paraId="4A27305D">
            <w:pPr>
              <w:spacing w:line="250" w:lineRule="auto"/>
              <w:rPr>
                <w:rFonts w:ascii="Arial"/>
                <w:sz w:val="21"/>
              </w:rPr>
            </w:pPr>
          </w:p>
          <w:p w14:paraId="5289C3D7">
            <w:pPr>
              <w:spacing w:line="250" w:lineRule="auto"/>
              <w:rPr>
                <w:rFonts w:ascii="Arial"/>
                <w:sz w:val="21"/>
              </w:rPr>
            </w:pPr>
          </w:p>
          <w:p w14:paraId="71B4B5A3">
            <w:pPr>
              <w:spacing w:line="250" w:lineRule="auto"/>
              <w:rPr>
                <w:rFonts w:ascii="Arial"/>
                <w:sz w:val="21"/>
              </w:rPr>
            </w:pPr>
          </w:p>
          <w:p w14:paraId="0A54A290">
            <w:pPr>
              <w:spacing w:line="250" w:lineRule="auto"/>
              <w:rPr>
                <w:rFonts w:ascii="Arial"/>
                <w:sz w:val="21"/>
              </w:rPr>
            </w:pPr>
          </w:p>
          <w:p w14:paraId="23F1EF12">
            <w:pPr>
              <w:spacing w:line="250" w:lineRule="auto"/>
              <w:rPr>
                <w:rFonts w:ascii="Arial"/>
                <w:sz w:val="21"/>
              </w:rPr>
            </w:pPr>
          </w:p>
          <w:p w14:paraId="6012FA14">
            <w:pPr>
              <w:spacing w:line="250" w:lineRule="auto"/>
              <w:rPr>
                <w:rFonts w:ascii="Arial"/>
                <w:sz w:val="21"/>
              </w:rPr>
            </w:pPr>
          </w:p>
          <w:p w14:paraId="6ADBB80C">
            <w:pPr>
              <w:spacing w:line="250" w:lineRule="auto"/>
              <w:rPr>
                <w:rFonts w:ascii="Arial"/>
                <w:sz w:val="21"/>
              </w:rPr>
            </w:pPr>
          </w:p>
          <w:p w14:paraId="518DB0B6">
            <w:pPr>
              <w:spacing w:line="250" w:lineRule="auto"/>
              <w:rPr>
                <w:rFonts w:ascii="Arial"/>
                <w:sz w:val="21"/>
              </w:rPr>
            </w:pPr>
          </w:p>
          <w:p w14:paraId="377C65B6">
            <w:pPr>
              <w:spacing w:line="250" w:lineRule="auto"/>
              <w:rPr>
                <w:rFonts w:ascii="Arial"/>
                <w:sz w:val="21"/>
              </w:rPr>
            </w:pPr>
          </w:p>
          <w:p w14:paraId="5913840F">
            <w:pPr>
              <w:spacing w:line="250" w:lineRule="auto"/>
              <w:rPr>
                <w:rFonts w:ascii="Arial"/>
                <w:sz w:val="21"/>
              </w:rPr>
            </w:pPr>
          </w:p>
          <w:p w14:paraId="2EBF93FC">
            <w:pPr>
              <w:spacing w:line="250" w:lineRule="auto"/>
              <w:rPr>
                <w:rFonts w:ascii="Arial"/>
                <w:sz w:val="21"/>
              </w:rPr>
            </w:pPr>
          </w:p>
          <w:p w14:paraId="0666CD1A">
            <w:pPr>
              <w:spacing w:line="250" w:lineRule="auto"/>
              <w:rPr>
                <w:rFonts w:ascii="Arial"/>
                <w:sz w:val="21"/>
              </w:rPr>
            </w:pPr>
          </w:p>
          <w:p w14:paraId="341B81B2">
            <w:pPr>
              <w:pStyle w:val="6"/>
              <w:spacing w:before="78" w:line="203" w:lineRule="auto"/>
              <w:ind w:left="65"/>
              <w:rPr>
                <w:sz w:val="24"/>
                <w:szCs w:val="24"/>
              </w:rPr>
            </w:pPr>
            <w:r>
              <w:rPr>
                <w:spacing w:val="-2"/>
                <w:sz w:val="24"/>
                <w:szCs w:val="24"/>
              </w:rPr>
              <w:t>选址选</w:t>
            </w:r>
          </w:p>
          <w:p w14:paraId="4EACF9FD">
            <w:pPr>
              <w:pStyle w:val="6"/>
              <w:spacing w:line="208" w:lineRule="auto"/>
              <w:ind w:left="65"/>
              <w:rPr>
                <w:sz w:val="24"/>
                <w:szCs w:val="24"/>
              </w:rPr>
            </w:pPr>
            <w:r>
              <w:rPr>
                <w:spacing w:val="3"/>
                <w:sz w:val="24"/>
                <w:szCs w:val="24"/>
              </w:rPr>
              <w:t>线环境</w:t>
            </w:r>
          </w:p>
          <w:p w14:paraId="184F673F">
            <w:pPr>
              <w:pStyle w:val="6"/>
              <w:spacing w:before="1" w:line="206" w:lineRule="auto"/>
              <w:ind w:left="65"/>
              <w:rPr>
                <w:sz w:val="24"/>
                <w:szCs w:val="24"/>
              </w:rPr>
            </w:pPr>
            <w:r>
              <w:rPr>
                <w:spacing w:val="-3"/>
                <w:sz w:val="24"/>
                <w:szCs w:val="24"/>
              </w:rPr>
              <w:t>合理性</w:t>
            </w:r>
          </w:p>
          <w:p w14:paraId="0AC23BEA">
            <w:pPr>
              <w:pStyle w:val="6"/>
              <w:spacing w:line="220" w:lineRule="auto"/>
              <w:ind w:left="185"/>
              <w:rPr>
                <w:sz w:val="24"/>
                <w:szCs w:val="24"/>
              </w:rPr>
            </w:pPr>
            <w:r>
              <w:rPr>
                <w:spacing w:val="5"/>
                <w:sz w:val="24"/>
                <w:szCs w:val="24"/>
              </w:rPr>
              <w:t>分析</w:t>
            </w:r>
          </w:p>
        </w:tc>
        <w:tc>
          <w:tcPr>
            <w:tcW w:w="8507" w:type="dxa"/>
            <w:vAlign w:val="top"/>
          </w:tcPr>
          <w:p w14:paraId="7A6B5636">
            <w:pPr>
              <w:pStyle w:val="6"/>
              <w:spacing w:before="29" w:line="220" w:lineRule="auto"/>
              <w:ind w:left="574"/>
              <w:rPr>
                <w:sz w:val="24"/>
                <w:szCs w:val="24"/>
              </w:rPr>
            </w:pPr>
            <w:r>
              <w:rPr>
                <w:b/>
                <w:bCs/>
                <w:spacing w:val="-5"/>
                <w:sz w:val="24"/>
                <w:szCs w:val="24"/>
              </w:rPr>
              <w:t>一、项目选址合理性分析</w:t>
            </w:r>
          </w:p>
          <w:p w14:paraId="094801E5">
            <w:pPr>
              <w:pStyle w:val="6"/>
              <w:spacing w:before="179" w:line="360" w:lineRule="auto"/>
              <w:ind w:left="41" w:firstLine="555"/>
              <w:rPr>
                <w:sz w:val="24"/>
                <w:szCs w:val="24"/>
              </w:rPr>
            </w:pPr>
            <w:r>
              <w:rPr>
                <w:spacing w:val="-2"/>
                <w:sz w:val="24"/>
                <w:szCs w:val="24"/>
              </w:rPr>
              <w:t>项目位于曲靖市陆良县大莫古镇阿油铺村民委员会、大地</w:t>
            </w:r>
            <w:r>
              <w:rPr>
                <w:spacing w:val="-3"/>
                <w:sz w:val="24"/>
                <w:szCs w:val="24"/>
              </w:rPr>
              <w:t>村民委员会、大莫</w:t>
            </w:r>
            <w:r>
              <w:rPr>
                <w:sz w:val="24"/>
                <w:szCs w:val="24"/>
              </w:rPr>
              <w:t xml:space="preserve"> </w:t>
            </w:r>
            <w:r>
              <w:rPr>
                <w:spacing w:val="-1"/>
                <w:sz w:val="24"/>
                <w:szCs w:val="24"/>
              </w:rPr>
              <w:t>古村民委员会、发峨哨村民委员会、甘和村民委员会、新村村民委员会。项目周</w:t>
            </w:r>
            <w:r>
              <w:rPr>
                <w:sz w:val="24"/>
                <w:szCs w:val="24"/>
              </w:rPr>
              <w:t xml:space="preserve"> </w:t>
            </w:r>
            <w:r>
              <w:rPr>
                <w:spacing w:val="2"/>
                <w:sz w:val="24"/>
                <w:szCs w:val="24"/>
              </w:rPr>
              <w:t>边为耕地、园地、荒地、草地、村庄，本项</w:t>
            </w:r>
            <w:r>
              <w:rPr>
                <w:spacing w:val="1"/>
                <w:sz w:val="24"/>
                <w:szCs w:val="24"/>
              </w:rPr>
              <w:t>目不涉及自然保护区、风景名胜区、</w:t>
            </w:r>
            <w:r>
              <w:rPr>
                <w:sz w:val="24"/>
                <w:szCs w:val="24"/>
              </w:rPr>
              <w:t xml:space="preserve"> </w:t>
            </w:r>
            <w:r>
              <w:rPr>
                <w:spacing w:val="-2"/>
                <w:sz w:val="24"/>
                <w:szCs w:val="24"/>
              </w:rPr>
              <w:t>世界遗产地、地质公园、基本农田保护区、森林公园、不涉及已发布的陆良县生</w:t>
            </w:r>
            <w:r>
              <w:rPr>
                <w:spacing w:val="8"/>
                <w:sz w:val="24"/>
                <w:szCs w:val="24"/>
              </w:rPr>
              <w:t xml:space="preserve">  </w:t>
            </w:r>
            <w:r>
              <w:rPr>
                <w:spacing w:val="-2"/>
                <w:sz w:val="24"/>
                <w:szCs w:val="24"/>
              </w:rPr>
              <w:t>态保护红线、基本农田等环境敏感区，地形开阔平坦，周围无高大建筑</w:t>
            </w:r>
            <w:r>
              <w:rPr>
                <w:spacing w:val="-3"/>
                <w:sz w:val="24"/>
                <w:szCs w:val="24"/>
              </w:rPr>
              <w:t>物，不会</w:t>
            </w:r>
            <w:r>
              <w:rPr>
                <w:sz w:val="24"/>
                <w:szCs w:val="24"/>
              </w:rPr>
              <w:t xml:space="preserve">  </w:t>
            </w:r>
            <w:r>
              <w:rPr>
                <w:spacing w:val="-2"/>
                <w:sz w:val="24"/>
                <w:szCs w:val="24"/>
              </w:rPr>
              <w:t>产生遮光等不利于光伏发电的情况，可最大程度发挥太阳能资源优势。项目光伏</w:t>
            </w:r>
            <w:r>
              <w:rPr>
                <w:spacing w:val="9"/>
                <w:sz w:val="24"/>
                <w:szCs w:val="24"/>
              </w:rPr>
              <w:t xml:space="preserve">  </w:t>
            </w:r>
            <w:r>
              <w:rPr>
                <w:spacing w:val="-1"/>
                <w:sz w:val="24"/>
                <w:szCs w:val="24"/>
              </w:rPr>
              <w:t>板的布设以及架空集电线路的塔基占地已经避开周边的基</w:t>
            </w:r>
            <w:r>
              <w:rPr>
                <w:spacing w:val="-2"/>
                <w:sz w:val="24"/>
                <w:szCs w:val="24"/>
              </w:rPr>
              <w:t>本农田，项目光伏板占</w:t>
            </w:r>
            <w:r>
              <w:rPr>
                <w:sz w:val="24"/>
                <w:szCs w:val="24"/>
              </w:rPr>
              <w:t xml:space="preserve"> </w:t>
            </w:r>
            <w:r>
              <w:rPr>
                <w:spacing w:val="-1"/>
                <w:sz w:val="24"/>
                <w:szCs w:val="24"/>
              </w:rPr>
              <w:t>地红线和架空集电线路的三区三线查询详见附件。本项</w:t>
            </w:r>
            <w:r>
              <w:rPr>
                <w:spacing w:val="-2"/>
                <w:sz w:val="24"/>
                <w:szCs w:val="24"/>
              </w:rPr>
              <w:t>目设计经过线路和选址的</w:t>
            </w:r>
            <w:r>
              <w:rPr>
                <w:sz w:val="24"/>
                <w:szCs w:val="24"/>
              </w:rPr>
              <w:t xml:space="preserve">  </w:t>
            </w:r>
            <w:r>
              <w:rPr>
                <w:spacing w:val="2"/>
                <w:sz w:val="24"/>
                <w:szCs w:val="24"/>
              </w:rPr>
              <w:t>比选，光伏板布设已经避开大莫古集镇水厂水源地保护区，但是35</w:t>
            </w:r>
            <w:r>
              <w:rPr>
                <w:sz w:val="24"/>
                <w:szCs w:val="24"/>
              </w:rPr>
              <w:t>kV</w:t>
            </w:r>
            <w:r>
              <w:rPr>
                <w:spacing w:val="2"/>
                <w:sz w:val="24"/>
                <w:szCs w:val="24"/>
              </w:rPr>
              <w:t>集电</w:t>
            </w:r>
            <w:r>
              <w:rPr>
                <w:spacing w:val="1"/>
                <w:sz w:val="24"/>
                <w:szCs w:val="24"/>
              </w:rPr>
              <w:t>线路</w:t>
            </w:r>
            <w:r>
              <w:rPr>
                <w:sz w:val="24"/>
                <w:szCs w:val="24"/>
              </w:rPr>
              <w:t xml:space="preserve">   </w:t>
            </w:r>
            <w:r>
              <w:rPr>
                <w:spacing w:val="-2"/>
                <w:sz w:val="24"/>
                <w:szCs w:val="24"/>
              </w:rPr>
              <w:t>经过设计的线路比选，由于周边基本农田较多，已经无法避开大莫古集镇水厂水</w:t>
            </w:r>
            <w:r>
              <w:rPr>
                <w:spacing w:val="8"/>
                <w:sz w:val="24"/>
                <w:szCs w:val="24"/>
              </w:rPr>
              <w:t xml:space="preserve">  </w:t>
            </w:r>
            <w:r>
              <w:rPr>
                <w:spacing w:val="1"/>
                <w:sz w:val="24"/>
                <w:szCs w:val="24"/>
              </w:rPr>
              <w:t>源地保护区，本项目35</w:t>
            </w:r>
            <w:r>
              <w:rPr>
                <w:sz w:val="24"/>
                <w:szCs w:val="24"/>
              </w:rPr>
              <w:t>KV</w:t>
            </w:r>
            <w:r>
              <w:rPr>
                <w:spacing w:val="1"/>
                <w:sz w:val="24"/>
                <w:szCs w:val="24"/>
              </w:rPr>
              <w:t>集电线路采用架空线路的方式穿越大莫古集镇水厂水</w:t>
            </w:r>
            <w:r>
              <w:rPr>
                <w:spacing w:val="4"/>
                <w:sz w:val="24"/>
                <w:szCs w:val="24"/>
              </w:rPr>
              <w:t xml:space="preserve">   </w:t>
            </w:r>
            <w:r>
              <w:rPr>
                <w:sz w:val="24"/>
                <w:szCs w:val="24"/>
              </w:rPr>
              <w:t>源地准保护区，其中位于大莫古集镇水厂水源地准保护区内的塔基数量为</w:t>
            </w:r>
            <w:r>
              <w:rPr>
                <w:spacing w:val="-1"/>
                <w:sz w:val="24"/>
                <w:szCs w:val="24"/>
              </w:rPr>
              <w:t>12座，</w:t>
            </w:r>
          </w:p>
          <w:p w14:paraId="4F241403">
            <w:pPr>
              <w:pStyle w:val="6"/>
              <w:spacing w:line="218" w:lineRule="auto"/>
              <w:ind w:left="111"/>
              <w:rPr>
                <w:sz w:val="24"/>
                <w:szCs w:val="24"/>
              </w:rPr>
            </w:pPr>
            <w:r>
              <w:rPr>
                <w:spacing w:val="1"/>
                <w:sz w:val="24"/>
                <w:szCs w:val="24"/>
              </w:rPr>
              <w:t>架空线路长度为3105m。本项目集电线路</w:t>
            </w:r>
            <w:r>
              <w:rPr>
                <w:sz w:val="24"/>
                <w:szCs w:val="24"/>
              </w:rPr>
              <w:t>(埋地)穿越饮用水水源准保护区约</w:t>
            </w:r>
          </w:p>
          <w:p w14:paraId="58C6AA8F">
            <w:pPr>
              <w:pStyle w:val="6"/>
              <w:spacing w:before="184" w:line="362" w:lineRule="auto"/>
              <w:ind w:left="111" w:right="156" w:firstLine="50"/>
              <w:rPr>
                <w:sz w:val="24"/>
                <w:szCs w:val="24"/>
              </w:rPr>
            </w:pPr>
            <w:r>
              <w:rPr>
                <w:sz w:val="24"/>
                <w:szCs w:val="24"/>
              </w:rPr>
              <w:t>450m。本项目集电线路穿越大莫古集镇水厂水源地准保护区路径已经取得陆良</w:t>
            </w:r>
            <w:r>
              <w:rPr>
                <w:spacing w:val="17"/>
                <w:sz w:val="24"/>
                <w:szCs w:val="24"/>
              </w:rPr>
              <w:t xml:space="preserve"> </w:t>
            </w:r>
            <w:r>
              <w:rPr>
                <w:sz w:val="24"/>
                <w:szCs w:val="24"/>
              </w:rPr>
              <w:t>人民政府同意。</w:t>
            </w:r>
          </w:p>
          <w:p w14:paraId="4AEFB82C">
            <w:pPr>
              <w:pStyle w:val="6"/>
              <w:spacing w:before="3" w:line="354" w:lineRule="auto"/>
              <w:ind w:left="41" w:firstLine="542"/>
              <w:rPr>
                <w:sz w:val="24"/>
                <w:szCs w:val="24"/>
              </w:rPr>
            </w:pPr>
            <w:r>
              <w:rPr>
                <w:sz w:val="24"/>
                <w:szCs w:val="24"/>
              </w:rPr>
              <w:t>环境敏感点分散布置于项目区的四周，但项目光伏板布置</w:t>
            </w:r>
            <w:r>
              <w:rPr>
                <w:spacing w:val="-1"/>
                <w:sz w:val="24"/>
                <w:szCs w:val="24"/>
              </w:rPr>
              <w:t>时已避开敏感点，</w:t>
            </w:r>
            <w:r>
              <w:rPr>
                <w:sz w:val="24"/>
                <w:szCs w:val="24"/>
              </w:rPr>
              <w:t xml:space="preserve"> 避开了长势较好的自然植被，尽量选择荒草地、其他土地(山石裸露地)。光伏   </w:t>
            </w:r>
            <w:r>
              <w:rPr>
                <w:spacing w:val="-3"/>
                <w:sz w:val="24"/>
                <w:szCs w:val="24"/>
              </w:rPr>
              <w:t>电池板对太阳光的反射会产生一定的光污染，但通过调整光伏电池板倾角，可以</w:t>
            </w:r>
            <w:r>
              <w:rPr>
                <w:spacing w:val="6"/>
                <w:sz w:val="24"/>
                <w:szCs w:val="24"/>
              </w:rPr>
              <w:t xml:space="preserve">  </w:t>
            </w:r>
            <w:r>
              <w:rPr>
                <w:spacing w:val="-3"/>
                <w:sz w:val="24"/>
                <w:szCs w:val="24"/>
              </w:rPr>
              <w:t>一定程度上减弱光线的反射，基本不会对人的视觉产生不利影响，也不会对居民</w:t>
            </w:r>
            <w:r>
              <w:rPr>
                <w:spacing w:val="2"/>
                <w:sz w:val="24"/>
                <w:szCs w:val="24"/>
              </w:rPr>
              <w:t xml:space="preserve">  </w:t>
            </w:r>
            <w:r>
              <w:rPr>
                <w:spacing w:val="-5"/>
                <w:sz w:val="24"/>
                <w:szCs w:val="24"/>
              </w:rPr>
              <w:t>生活和地面交通产生影响，光污染影响较小。项目建设将充分利用现</w:t>
            </w:r>
            <w:r>
              <w:rPr>
                <w:spacing w:val="-6"/>
                <w:sz w:val="24"/>
                <w:szCs w:val="24"/>
              </w:rPr>
              <w:t>有地形地貌，</w:t>
            </w:r>
            <w:r>
              <w:rPr>
                <w:sz w:val="24"/>
                <w:szCs w:val="24"/>
              </w:rPr>
              <w:t xml:space="preserve"> </w:t>
            </w:r>
            <w:r>
              <w:rPr>
                <w:spacing w:val="-3"/>
                <w:sz w:val="24"/>
                <w:szCs w:val="24"/>
              </w:rPr>
              <w:t>使得太阳能的利用量最大化；在尽量不破坏原有地表的情况下进行建设，进站道</w:t>
            </w:r>
            <w:r>
              <w:rPr>
                <w:spacing w:val="1"/>
                <w:sz w:val="24"/>
                <w:szCs w:val="24"/>
              </w:rPr>
              <w:t xml:space="preserve">  </w:t>
            </w:r>
            <w:r>
              <w:rPr>
                <w:spacing w:val="-3"/>
                <w:sz w:val="24"/>
                <w:szCs w:val="24"/>
              </w:rPr>
              <w:t>路利用场地原有道路扩建及部分新建，箱逆变均靠近道路布置，便于施工和今后</w:t>
            </w:r>
            <w:r>
              <w:rPr>
                <w:spacing w:val="4"/>
                <w:sz w:val="24"/>
                <w:szCs w:val="24"/>
              </w:rPr>
              <w:t xml:space="preserve">  </w:t>
            </w:r>
            <w:r>
              <w:rPr>
                <w:spacing w:val="-3"/>
                <w:sz w:val="24"/>
                <w:szCs w:val="24"/>
              </w:rPr>
              <w:t>电缆维修；管理区位于升压站内，综合一体化便于操作和管理，项目平面布置合</w:t>
            </w:r>
          </w:p>
        </w:tc>
      </w:tr>
    </w:tbl>
    <w:p w14:paraId="469161ED">
      <w:pPr>
        <w:pStyle w:val="2"/>
      </w:pPr>
    </w:p>
    <w:p w14:paraId="0BB010EF">
      <w:pPr>
        <w:sectPr>
          <w:footerReference r:id="rId191" w:type="default"/>
          <w:pgSz w:w="11910" w:h="16830"/>
          <w:pgMar w:top="400" w:right="1273" w:bottom="1259" w:left="1244" w:header="0" w:footer="1079" w:gutter="0"/>
          <w:cols w:space="720" w:num="1"/>
        </w:sectPr>
      </w:pPr>
    </w:p>
    <w:p w14:paraId="4C1ABAB9">
      <w:pPr>
        <w:spacing w:before="15"/>
      </w:pPr>
    </w:p>
    <w:p w14:paraId="6BB65B23">
      <w:pPr>
        <w:spacing w:before="15"/>
      </w:pPr>
    </w:p>
    <w:p w14:paraId="1A6B075B">
      <w:pPr>
        <w:spacing w:before="15"/>
      </w:pPr>
    </w:p>
    <w:p w14:paraId="1057AC49">
      <w:pPr>
        <w:spacing w:before="14"/>
      </w:pPr>
    </w:p>
    <w:tbl>
      <w:tblPr>
        <w:tblStyle w:val="5"/>
        <w:tblW w:w="939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91"/>
      </w:tblGrid>
      <w:tr w14:paraId="74C99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60" w:hRule="atLeast"/>
        </w:trPr>
        <w:tc>
          <w:tcPr>
            <w:tcW w:w="904" w:type="dxa"/>
            <w:vAlign w:val="top"/>
          </w:tcPr>
          <w:p w14:paraId="55A88BF8">
            <w:pPr>
              <w:rPr>
                <w:rFonts w:ascii="Arial"/>
                <w:sz w:val="21"/>
              </w:rPr>
            </w:pPr>
          </w:p>
        </w:tc>
        <w:tc>
          <w:tcPr>
            <w:tcW w:w="8491" w:type="dxa"/>
            <w:vAlign w:val="top"/>
          </w:tcPr>
          <w:p w14:paraId="5D74D952">
            <w:pPr>
              <w:pStyle w:val="6"/>
              <w:spacing w:before="38" w:line="229" w:lineRule="auto"/>
              <w:ind w:left="71"/>
              <w:rPr>
                <w:sz w:val="24"/>
                <w:szCs w:val="24"/>
              </w:rPr>
            </w:pPr>
            <w:r>
              <w:rPr>
                <w:spacing w:val="-1"/>
                <w:sz w:val="24"/>
                <w:szCs w:val="24"/>
              </w:rPr>
              <w:t>理。</w:t>
            </w:r>
          </w:p>
          <w:p w14:paraId="03A07ABD">
            <w:pPr>
              <w:pStyle w:val="6"/>
              <w:spacing w:before="148" w:line="358" w:lineRule="auto"/>
              <w:ind w:left="101" w:firstLine="479"/>
              <w:rPr>
                <w:sz w:val="24"/>
                <w:szCs w:val="24"/>
              </w:rPr>
            </w:pPr>
            <w:r>
              <w:rPr>
                <w:spacing w:val="-1"/>
                <w:sz w:val="24"/>
                <w:szCs w:val="24"/>
              </w:rPr>
              <w:t>本项目仅需要做局部少量的场地平整，符合地面电站建造的要求。本项目所</w:t>
            </w:r>
            <w:r>
              <w:rPr>
                <w:spacing w:val="12"/>
                <w:sz w:val="24"/>
                <w:szCs w:val="24"/>
              </w:rPr>
              <w:t xml:space="preserve"> </w:t>
            </w:r>
            <w:r>
              <w:rPr>
                <w:sz w:val="24"/>
                <w:szCs w:val="24"/>
              </w:rPr>
              <w:t>在地区区域日照充足，其代表总辐射量为5759.3MJ/m²</w:t>
            </w:r>
            <w:r>
              <w:rPr>
                <w:spacing w:val="-26"/>
                <w:sz w:val="24"/>
                <w:szCs w:val="24"/>
              </w:rPr>
              <w:t xml:space="preserve"> </w:t>
            </w:r>
            <w:r>
              <w:rPr>
                <w:sz w:val="24"/>
                <w:szCs w:val="24"/>
              </w:rPr>
              <w:t>·a,根据《</w:t>
            </w:r>
            <w:r>
              <w:rPr>
                <w:spacing w:val="-1"/>
                <w:sz w:val="24"/>
                <w:szCs w:val="24"/>
              </w:rPr>
              <w:t>太阳能资源评</w:t>
            </w:r>
            <w:r>
              <w:rPr>
                <w:sz w:val="24"/>
                <w:szCs w:val="24"/>
              </w:rPr>
              <w:t xml:space="preserve"> </w:t>
            </w:r>
            <w:r>
              <w:rPr>
                <w:spacing w:val="-3"/>
                <w:sz w:val="24"/>
                <w:szCs w:val="24"/>
              </w:rPr>
              <w:t>估方法》(GB/T37526—2019)中太阳能资源丰富程度的分级评估方法，该区域</w:t>
            </w:r>
          </w:p>
          <w:p w14:paraId="664CA334">
            <w:pPr>
              <w:pStyle w:val="6"/>
              <w:spacing w:line="362" w:lineRule="auto"/>
              <w:ind w:left="91" w:right="155"/>
              <w:rPr>
                <w:sz w:val="24"/>
                <w:szCs w:val="24"/>
              </w:rPr>
            </w:pPr>
            <w:r>
              <w:rPr>
                <w:spacing w:val="2"/>
                <w:sz w:val="24"/>
                <w:szCs w:val="24"/>
              </w:rPr>
              <w:t>的太阳能资源丰富程度属于B级区，即“资源很丰富”(5040~6300</w:t>
            </w:r>
            <w:r>
              <w:rPr>
                <w:sz w:val="24"/>
                <w:szCs w:val="24"/>
              </w:rPr>
              <w:t>MJ</w:t>
            </w:r>
            <w:r>
              <w:rPr>
                <w:spacing w:val="2"/>
                <w:sz w:val="24"/>
                <w:szCs w:val="24"/>
              </w:rPr>
              <w:t>/m²</w:t>
            </w:r>
            <w:r>
              <w:rPr>
                <w:spacing w:val="-9"/>
                <w:sz w:val="24"/>
                <w:szCs w:val="24"/>
              </w:rPr>
              <w:t xml:space="preserve"> </w:t>
            </w:r>
            <w:r>
              <w:rPr>
                <w:spacing w:val="2"/>
                <w:sz w:val="24"/>
                <w:szCs w:val="24"/>
              </w:rPr>
              <w:t>·a),</w:t>
            </w:r>
            <w:r>
              <w:rPr>
                <w:sz w:val="24"/>
                <w:szCs w:val="24"/>
              </w:rPr>
              <w:t xml:space="preserve"> 且年际变化稳定，适宜建设光伏发电系统。因此，项目选址合理。</w:t>
            </w:r>
          </w:p>
          <w:p w14:paraId="2E345B02">
            <w:pPr>
              <w:pStyle w:val="6"/>
              <w:spacing w:line="220" w:lineRule="auto"/>
              <w:ind w:left="564"/>
              <w:rPr>
                <w:sz w:val="24"/>
                <w:szCs w:val="24"/>
              </w:rPr>
            </w:pPr>
            <w:r>
              <w:rPr>
                <w:b/>
                <w:bCs/>
                <w:spacing w:val="-4"/>
                <w:sz w:val="24"/>
                <w:szCs w:val="24"/>
              </w:rPr>
              <w:t>二、施工“三场”选址的环境合理性</w:t>
            </w:r>
          </w:p>
          <w:p w14:paraId="1D973F34">
            <w:pPr>
              <w:pStyle w:val="6"/>
              <w:spacing w:before="197" w:line="220" w:lineRule="auto"/>
              <w:ind w:left="561"/>
              <w:rPr>
                <w:sz w:val="24"/>
                <w:szCs w:val="24"/>
              </w:rPr>
            </w:pPr>
            <w:r>
              <w:rPr>
                <w:spacing w:val="-1"/>
                <w:sz w:val="24"/>
                <w:szCs w:val="24"/>
              </w:rPr>
              <w:t>A、石料场规划合理性分析</w:t>
            </w:r>
          </w:p>
          <w:p w14:paraId="1213C05B">
            <w:pPr>
              <w:pStyle w:val="6"/>
              <w:spacing w:before="171" w:line="219" w:lineRule="auto"/>
              <w:ind w:left="571"/>
              <w:rPr>
                <w:sz w:val="24"/>
                <w:szCs w:val="24"/>
              </w:rPr>
            </w:pPr>
            <w:r>
              <w:rPr>
                <w:sz w:val="24"/>
                <w:szCs w:val="24"/>
              </w:rPr>
              <w:t>本工程所需的砂石骨料拟通过外购的方式解决，不设置石料场。</w:t>
            </w:r>
          </w:p>
          <w:p w14:paraId="42D6B301">
            <w:pPr>
              <w:pStyle w:val="6"/>
              <w:spacing w:before="187" w:line="219" w:lineRule="auto"/>
              <w:ind w:left="571"/>
              <w:rPr>
                <w:sz w:val="24"/>
                <w:szCs w:val="24"/>
              </w:rPr>
            </w:pPr>
            <w:r>
              <w:rPr>
                <w:spacing w:val="-1"/>
                <w:sz w:val="24"/>
                <w:szCs w:val="24"/>
              </w:rPr>
              <w:t>B、弃渣场选址合理性分析</w:t>
            </w:r>
          </w:p>
          <w:p w14:paraId="04E8D928">
            <w:pPr>
              <w:pStyle w:val="6"/>
              <w:spacing w:before="185" w:line="219" w:lineRule="auto"/>
              <w:ind w:left="571"/>
              <w:rPr>
                <w:sz w:val="24"/>
                <w:szCs w:val="24"/>
              </w:rPr>
            </w:pPr>
            <w:r>
              <w:rPr>
                <w:sz w:val="24"/>
                <w:szCs w:val="24"/>
              </w:rPr>
              <w:t>项目施工期间不产生废弃方，项目不设置弃渣</w:t>
            </w:r>
            <w:r>
              <w:rPr>
                <w:spacing w:val="-1"/>
                <w:sz w:val="24"/>
                <w:szCs w:val="24"/>
              </w:rPr>
              <w:t>场。</w:t>
            </w:r>
          </w:p>
          <w:p w14:paraId="0BC84F46">
            <w:pPr>
              <w:pStyle w:val="6"/>
              <w:spacing w:before="176" w:line="220" w:lineRule="auto"/>
              <w:ind w:left="571"/>
              <w:rPr>
                <w:sz w:val="24"/>
                <w:szCs w:val="24"/>
              </w:rPr>
            </w:pPr>
            <w:r>
              <w:rPr>
                <w:spacing w:val="-1"/>
                <w:sz w:val="24"/>
                <w:szCs w:val="24"/>
              </w:rPr>
              <w:t>C、施工场地选址合理性分析</w:t>
            </w:r>
          </w:p>
          <w:p w14:paraId="2ECCC653">
            <w:pPr>
              <w:pStyle w:val="6"/>
              <w:spacing w:before="188" w:line="219" w:lineRule="auto"/>
              <w:ind w:left="574"/>
              <w:rPr>
                <w:sz w:val="24"/>
                <w:szCs w:val="24"/>
              </w:rPr>
            </w:pPr>
            <w:r>
              <w:rPr>
                <w:b/>
                <w:bCs/>
                <w:spacing w:val="-2"/>
                <w:sz w:val="24"/>
                <w:szCs w:val="24"/>
              </w:rPr>
              <w:t>光伏阵列区施工生产区环境合理性分析：</w:t>
            </w:r>
            <w:r>
              <w:rPr>
                <w:spacing w:val="-2"/>
                <w:sz w:val="24"/>
                <w:szCs w:val="24"/>
              </w:rPr>
              <w:t>在施工现场主要设置的临建设施</w:t>
            </w:r>
          </w:p>
          <w:p w14:paraId="4121909A">
            <w:pPr>
              <w:pStyle w:val="6"/>
              <w:spacing w:before="183" w:line="359" w:lineRule="auto"/>
              <w:ind w:left="91" w:firstLine="9"/>
              <w:rPr>
                <w:sz w:val="24"/>
                <w:szCs w:val="24"/>
              </w:rPr>
            </w:pPr>
            <w:r>
              <w:rPr>
                <w:spacing w:val="-1"/>
                <w:sz w:val="24"/>
                <w:szCs w:val="24"/>
              </w:rPr>
              <w:t>有：综合加工厂、综合仓库，为方便管理，施工生产布置于项目区中部光伏方阵</w:t>
            </w:r>
            <w:r>
              <w:rPr>
                <w:spacing w:val="13"/>
                <w:sz w:val="24"/>
                <w:szCs w:val="24"/>
              </w:rPr>
              <w:t xml:space="preserve"> </w:t>
            </w:r>
            <w:r>
              <w:rPr>
                <w:spacing w:val="1"/>
                <w:sz w:val="24"/>
                <w:szCs w:val="24"/>
              </w:rPr>
              <w:t>区中(9#光伏阵列区中)。从环保角度出发</w:t>
            </w:r>
            <w:r>
              <w:rPr>
                <w:sz w:val="24"/>
                <w:szCs w:val="24"/>
              </w:rPr>
              <w:t>，在与光伏电池组件相邻的地势较平  坦区域设置。施工临建设施不再额外征地，拟临时占</w:t>
            </w:r>
            <w:r>
              <w:rPr>
                <w:spacing w:val="-1"/>
                <w:sz w:val="24"/>
                <w:szCs w:val="24"/>
              </w:rPr>
              <w:t>用方阵区域作为施工临建设</w:t>
            </w:r>
            <w:r>
              <w:rPr>
                <w:sz w:val="24"/>
                <w:szCs w:val="24"/>
              </w:rPr>
              <w:t xml:space="preserve"> </w:t>
            </w:r>
            <w:r>
              <w:rPr>
                <w:spacing w:val="-1"/>
                <w:sz w:val="24"/>
                <w:szCs w:val="24"/>
              </w:rPr>
              <w:t>施用地。施工现场主要设置的临建设施有：综合加工厂、综合仓库等，占地面积</w:t>
            </w:r>
            <w:r>
              <w:rPr>
                <w:spacing w:val="15"/>
                <w:sz w:val="24"/>
                <w:szCs w:val="24"/>
              </w:rPr>
              <w:t xml:space="preserve"> </w:t>
            </w:r>
            <w:r>
              <w:rPr>
                <w:spacing w:val="4"/>
                <w:sz w:val="24"/>
                <w:szCs w:val="24"/>
              </w:rPr>
              <w:t>约为4500m²。本项目施工生产区不新增占地，最大限度地</w:t>
            </w:r>
            <w:r>
              <w:rPr>
                <w:spacing w:val="3"/>
                <w:sz w:val="24"/>
                <w:szCs w:val="24"/>
              </w:rPr>
              <w:t>减小了临时设施的占</w:t>
            </w:r>
            <w:r>
              <w:rPr>
                <w:sz w:val="24"/>
                <w:szCs w:val="24"/>
              </w:rPr>
              <w:t xml:space="preserve"> 用土地，减少了地表扰动面积，降低了施工造成的</w:t>
            </w:r>
            <w:r>
              <w:rPr>
                <w:spacing w:val="-1"/>
                <w:sz w:val="24"/>
                <w:szCs w:val="24"/>
              </w:rPr>
              <w:t>水土流失，施工场地不占用基</w:t>
            </w:r>
            <w:r>
              <w:rPr>
                <w:sz w:val="24"/>
                <w:szCs w:val="24"/>
              </w:rPr>
              <w:t xml:space="preserve"> 本农田。项目不设置混凝土拌合站，在周边购买商品混凝土。</w:t>
            </w:r>
          </w:p>
          <w:p w14:paraId="7620630F">
            <w:pPr>
              <w:pStyle w:val="6"/>
              <w:spacing w:before="2" w:line="362" w:lineRule="auto"/>
              <w:ind w:left="91" w:firstLine="469"/>
              <w:jc w:val="both"/>
              <w:rPr>
                <w:sz w:val="24"/>
                <w:szCs w:val="24"/>
              </w:rPr>
            </w:pPr>
            <w:r>
              <w:rPr>
                <w:spacing w:val="-1"/>
                <w:sz w:val="24"/>
                <w:szCs w:val="24"/>
              </w:rPr>
              <w:t>本项目在施工临时生产设施布置时充分考虑了项目的实际特点，最大限度地</w:t>
            </w:r>
            <w:r>
              <w:rPr>
                <w:spacing w:val="11"/>
                <w:sz w:val="24"/>
                <w:szCs w:val="24"/>
              </w:rPr>
              <w:t xml:space="preserve"> </w:t>
            </w:r>
            <w:r>
              <w:rPr>
                <w:sz w:val="24"/>
                <w:szCs w:val="24"/>
              </w:rPr>
              <w:t>减小了临时设施的新占用土地，减少了地表扰动面积</w:t>
            </w:r>
            <w:r>
              <w:rPr>
                <w:spacing w:val="-1"/>
                <w:sz w:val="24"/>
                <w:szCs w:val="24"/>
              </w:rPr>
              <w:t>，降低了施工造成的水土流</w:t>
            </w:r>
            <w:r>
              <w:rPr>
                <w:sz w:val="24"/>
                <w:szCs w:val="24"/>
              </w:rPr>
              <w:t xml:space="preserve"> </w:t>
            </w:r>
            <w:r>
              <w:rPr>
                <w:spacing w:val="-1"/>
                <w:sz w:val="24"/>
                <w:szCs w:val="24"/>
              </w:rPr>
              <w:t>失；施工场地不占用农田，施工场地周边范围内没有重要水体分布，因此，选址</w:t>
            </w:r>
            <w:r>
              <w:rPr>
                <w:spacing w:val="18"/>
                <w:sz w:val="24"/>
                <w:szCs w:val="24"/>
              </w:rPr>
              <w:t xml:space="preserve"> </w:t>
            </w:r>
            <w:r>
              <w:rPr>
                <w:spacing w:val="-1"/>
                <w:sz w:val="24"/>
                <w:szCs w:val="24"/>
              </w:rPr>
              <w:t>从环境的角度分析是可行的。</w:t>
            </w:r>
          </w:p>
          <w:p w14:paraId="5ECDF20B">
            <w:pPr>
              <w:pStyle w:val="6"/>
              <w:spacing w:before="3" w:line="352" w:lineRule="auto"/>
              <w:ind w:left="101" w:firstLine="473"/>
              <w:jc w:val="both"/>
              <w:rPr>
                <w:sz w:val="24"/>
                <w:szCs w:val="24"/>
              </w:rPr>
            </w:pPr>
            <w:r>
              <w:rPr>
                <w:spacing w:val="-8"/>
                <w:sz w:val="24"/>
                <w:szCs w:val="24"/>
              </w:rPr>
              <w:t>表土堆场环境合理性分析：本项目表土堆场不涉及自然保护区、风景名胜区、</w:t>
            </w:r>
            <w:r>
              <w:rPr>
                <w:spacing w:val="17"/>
                <w:sz w:val="24"/>
                <w:szCs w:val="24"/>
              </w:rPr>
              <w:t xml:space="preserve"> </w:t>
            </w:r>
            <w:r>
              <w:rPr>
                <w:spacing w:val="-3"/>
                <w:sz w:val="24"/>
                <w:szCs w:val="24"/>
              </w:rPr>
              <w:t>世界遗产地、地质公园、基本农田、森林公园、饮用水水源保护区(本项目表土</w:t>
            </w:r>
            <w:r>
              <w:rPr>
                <w:spacing w:val="3"/>
                <w:sz w:val="24"/>
                <w:szCs w:val="24"/>
              </w:rPr>
              <w:t xml:space="preserve">  </w:t>
            </w:r>
            <w:r>
              <w:rPr>
                <w:spacing w:val="-3"/>
                <w:sz w:val="24"/>
                <w:szCs w:val="24"/>
              </w:rPr>
              <w:t>堆场不设置在大莫古集镇饮用水准保护区内)等敏感目标，不涉及已发布的生态</w:t>
            </w:r>
            <w:r>
              <w:rPr>
                <w:spacing w:val="4"/>
                <w:sz w:val="24"/>
                <w:szCs w:val="24"/>
              </w:rPr>
              <w:t xml:space="preserve">  </w:t>
            </w:r>
            <w:r>
              <w:rPr>
                <w:spacing w:val="-3"/>
                <w:sz w:val="24"/>
                <w:szCs w:val="24"/>
              </w:rPr>
              <w:t>保护红线，表土堆场设置在光伏阵列区内，</w:t>
            </w:r>
            <w:r>
              <w:rPr>
                <w:spacing w:val="-4"/>
                <w:sz w:val="24"/>
                <w:szCs w:val="24"/>
              </w:rPr>
              <w:t>剥离表土就近堆放，不新增表土堆场</w:t>
            </w:r>
            <w:r>
              <w:rPr>
                <w:sz w:val="24"/>
                <w:szCs w:val="24"/>
              </w:rPr>
              <w:t xml:space="preserve"> </w:t>
            </w:r>
            <w:r>
              <w:rPr>
                <w:spacing w:val="-3"/>
                <w:sz w:val="24"/>
                <w:szCs w:val="24"/>
              </w:rPr>
              <w:t>的占地，选址避开最近的村庄，设置合理。</w:t>
            </w:r>
          </w:p>
        </w:tc>
      </w:tr>
    </w:tbl>
    <w:p w14:paraId="600E5073">
      <w:pPr>
        <w:pStyle w:val="2"/>
      </w:pPr>
    </w:p>
    <w:p w14:paraId="2D922503">
      <w:pPr>
        <w:sectPr>
          <w:footerReference r:id="rId192" w:type="default"/>
          <w:pgSz w:w="11910" w:h="16830"/>
          <w:pgMar w:top="400" w:right="1269" w:bottom="1259" w:left="1234" w:header="0" w:footer="1079" w:gutter="0"/>
          <w:cols w:space="720" w:num="1"/>
        </w:sectPr>
      </w:pPr>
    </w:p>
    <w:p w14:paraId="733B0F7B">
      <w:pPr>
        <w:spacing w:before="15"/>
      </w:pPr>
    </w:p>
    <w:p w14:paraId="75038977">
      <w:pPr>
        <w:spacing w:before="15"/>
      </w:pPr>
    </w:p>
    <w:p w14:paraId="6D43568E">
      <w:pPr>
        <w:spacing w:before="15"/>
      </w:pPr>
    </w:p>
    <w:p w14:paraId="024CC1E0">
      <w:pPr>
        <w:spacing w:before="14"/>
      </w:pPr>
    </w:p>
    <w:tbl>
      <w:tblPr>
        <w:tblStyle w:val="5"/>
        <w:tblW w:w="939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90"/>
      </w:tblGrid>
      <w:tr w14:paraId="7C56A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60" w:hRule="atLeast"/>
        </w:trPr>
        <w:tc>
          <w:tcPr>
            <w:tcW w:w="904" w:type="dxa"/>
            <w:vAlign w:val="top"/>
          </w:tcPr>
          <w:p w14:paraId="3F854338">
            <w:pPr>
              <w:rPr>
                <w:rFonts w:ascii="Arial"/>
                <w:sz w:val="21"/>
              </w:rPr>
            </w:pPr>
          </w:p>
        </w:tc>
        <w:tc>
          <w:tcPr>
            <w:tcW w:w="8490" w:type="dxa"/>
            <w:vAlign w:val="top"/>
          </w:tcPr>
          <w:p w14:paraId="6279E46D">
            <w:pPr>
              <w:pStyle w:val="6"/>
              <w:spacing w:before="11" w:line="219" w:lineRule="auto"/>
              <w:ind w:left="574"/>
              <w:rPr>
                <w:sz w:val="24"/>
                <w:szCs w:val="24"/>
              </w:rPr>
            </w:pPr>
            <w:r>
              <w:rPr>
                <w:b/>
                <w:bCs/>
                <w:spacing w:val="-4"/>
                <w:sz w:val="24"/>
                <w:szCs w:val="24"/>
              </w:rPr>
              <w:t>三、施工道路选线的环境合理性分析</w:t>
            </w:r>
          </w:p>
          <w:p w14:paraId="24DC615C">
            <w:pPr>
              <w:pStyle w:val="6"/>
              <w:spacing w:before="183" w:line="363" w:lineRule="auto"/>
              <w:ind w:left="121" w:right="634" w:firstLine="509"/>
              <w:rPr>
                <w:sz w:val="24"/>
                <w:szCs w:val="24"/>
              </w:rPr>
            </w:pPr>
            <w:r>
              <w:rPr>
                <w:sz w:val="24"/>
                <w:szCs w:val="24"/>
              </w:rPr>
              <w:t>本工程进场道路(改扩建)12.6km,光伏场内改扩建道路5.6 km,光伏场</w:t>
            </w:r>
            <w:r>
              <w:rPr>
                <w:spacing w:val="13"/>
                <w:sz w:val="24"/>
                <w:szCs w:val="24"/>
              </w:rPr>
              <w:t xml:space="preserve"> </w:t>
            </w:r>
            <w:r>
              <w:rPr>
                <w:sz w:val="24"/>
                <w:szCs w:val="24"/>
              </w:rPr>
              <w:t>内新建及硬化道路0.40km。</w:t>
            </w:r>
          </w:p>
          <w:p w14:paraId="6380759A">
            <w:pPr>
              <w:pStyle w:val="6"/>
              <w:spacing w:line="360" w:lineRule="auto"/>
              <w:ind w:left="31" w:firstLine="549"/>
              <w:rPr>
                <w:sz w:val="24"/>
                <w:szCs w:val="24"/>
              </w:rPr>
            </w:pPr>
            <w:r>
              <w:rPr>
                <w:spacing w:val="-1"/>
                <w:sz w:val="24"/>
                <w:szCs w:val="24"/>
              </w:rPr>
              <w:t>本项目主体设计在进行道路选线设计时，一方面考虑尽量避开地质条件差和</w:t>
            </w:r>
            <w:r>
              <w:rPr>
                <w:spacing w:val="11"/>
                <w:sz w:val="24"/>
                <w:szCs w:val="24"/>
              </w:rPr>
              <w:t xml:space="preserve"> </w:t>
            </w:r>
            <w:r>
              <w:rPr>
                <w:sz w:val="24"/>
                <w:szCs w:val="24"/>
              </w:rPr>
              <w:t>开挖量大的不利地形，根据地形及光伏板矩阵布置设置，尽量利用现有道路</w:t>
            </w:r>
            <w:r>
              <w:rPr>
                <w:spacing w:val="-1"/>
                <w:sz w:val="24"/>
                <w:szCs w:val="24"/>
              </w:rPr>
              <w:t>，其</w:t>
            </w:r>
            <w:r>
              <w:rPr>
                <w:sz w:val="24"/>
                <w:szCs w:val="24"/>
              </w:rPr>
              <w:t xml:space="preserve"> 它道路设置满足厂区交通运输需求，且坡度不宜过大。在较长施工道路</w:t>
            </w:r>
            <w:r>
              <w:rPr>
                <w:spacing w:val="-1"/>
                <w:sz w:val="24"/>
                <w:szCs w:val="24"/>
              </w:rPr>
              <w:t>末端设置</w:t>
            </w:r>
            <w:r>
              <w:rPr>
                <w:sz w:val="24"/>
                <w:szCs w:val="24"/>
              </w:rPr>
              <w:t xml:space="preserve"> </w:t>
            </w:r>
            <w:r>
              <w:rPr>
                <w:spacing w:val="4"/>
                <w:sz w:val="24"/>
                <w:szCs w:val="24"/>
              </w:rPr>
              <w:t>16m×16m的调车平台，在较长且没有支线的路段设置错车道，</w:t>
            </w:r>
            <w:r>
              <w:rPr>
                <w:spacing w:val="3"/>
                <w:sz w:val="24"/>
                <w:szCs w:val="24"/>
              </w:rPr>
              <w:t>以减少对场区内</w:t>
            </w:r>
            <w:r>
              <w:rPr>
                <w:sz w:val="24"/>
                <w:szCs w:val="24"/>
              </w:rPr>
              <w:t xml:space="preserve">  </w:t>
            </w:r>
            <w:r>
              <w:rPr>
                <w:spacing w:val="2"/>
                <w:sz w:val="24"/>
                <w:szCs w:val="24"/>
              </w:rPr>
              <w:t>植被的在破坏，减轻道路施工造成的水土流失危害。</w:t>
            </w:r>
          </w:p>
          <w:p w14:paraId="5E048B01">
            <w:pPr>
              <w:pStyle w:val="6"/>
              <w:spacing w:before="3" w:line="358" w:lineRule="auto"/>
              <w:ind w:left="31" w:right="7" w:firstLine="529"/>
              <w:jc w:val="both"/>
              <w:rPr>
                <w:sz w:val="24"/>
                <w:szCs w:val="24"/>
              </w:rPr>
            </w:pPr>
            <w:r>
              <w:rPr>
                <w:sz w:val="24"/>
                <w:szCs w:val="24"/>
              </w:rPr>
              <w:t>场内交通线路采用施工主线道路与施工支线道路相结</w:t>
            </w:r>
            <w:r>
              <w:rPr>
                <w:spacing w:val="-1"/>
                <w:sz w:val="24"/>
                <w:szCs w:val="24"/>
              </w:rPr>
              <w:t>合的方式进行布置，施</w:t>
            </w:r>
            <w:r>
              <w:rPr>
                <w:sz w:val="24"/>
                <w:szCs w:val="24"/>
              </w:rPr>
              <w:t xml:space="preserve"> 工主线道路由国道及乡村道路接入，施工支线道路由施工主线道路接入，通到每</w:t>
            </w:r>
            <w:r>
              <w:rPr>
                <w:spacing w:val="9"/>
                <w:sz w:val="24"/>
                <w:szCs w:val="24"/>
              </w:rPr>
              <w:t xml:space="preserve"> </w:t>
            </w:r>
            <w:r>
              <w:rPr>
                <w:spacing w:val="2"/>
                <w:sz w:val="24"/>
                <w:szCs w:val="24"/>
              </w:rPr>
              <w:t>个光伏矩阵及各施工部位。同时考虑尽可能的缩短其与施</w:t>
            </w:r>
            <w:r>
              <w:rPr>
                <w:spacing w:val="1"/>
                <w:sz w:val="24"/>
                <w:szCs w:val="24"/>
              </w:rPr>
              <w:t>工主线道路的距离。</w:t>
            </w:r>
          </w:p>
          <w:p w14:paraId="72637003">
            <w:pPr>
              <w:pStyle w:val="6"/>
              <w:spacing w:line="359" w:lineRule="auto"/>
              <w:ind w:left="31" w:firstLine="549"/>
              <w:jc w:val="both"/>
              <w:rPr>
                <w:sz w:val="24"/>
                <w:szCs w:val="24"/>
              </w:rPr>
            </w:pPr>
            <w:r>
              <w:rPr>
                <w:spacing w:val="-1"/>
                <w:sz w:val="24"/>
                <w:szCs w:val="24"/>
              </w:rPr>
              <w:t>本工程场内施工道路不涉及环境敏感区，从利用现有道路建设改扩建和优化</w:t>
            </w:r>
            <w:r>
              <w:rPr>
                <w:spacing w:val="11"/>
                <w:sz w:val="24"/>
                <w:szCs w:val="24"/>
              </w:rPr>
              <w:t xml:space="preserve"> </w:t>
            </w:r>
            <w:r>
              <w:rPr>
                <w:sz w:val="24"/>
                <w:szCs w:val="24"/>
              </w:rPr>
              <w:t>整体布置方面，最大限度减少了新建道路边坡开挖造成的水土流失危害及对生态 环境、景观的破坏，同时改善当地交通基础设施。从占用的植被分析，主要占用</w:t>
            </w:r>
            <w:r>
              <w:rPr>
                <w:spacing w:val="16"/>
                <w:sz w:val="24"/>
                <w:szCs w:val="24"/>
              </w:rPr>
              <w:t xml:space="preserve"> </w:t>
            </w:r>
            <w:r>
              <w:rPr>
                <w:spacing w:val="1"/>
                <w:sz w:val="24"/>
                <w:szCs w:val="24"/>
              </w:rPr>
              <w:t>草地、乔木林地(人工林)、灌木林，其不利影响可通过采取相应措施加以控制。</w:t>
            </w:r>
            <w:r>
              <w:rPr>
                <w:spacing w:val="11"/>
                <w:sz w:val="24"/>
                <w:szCs w:val="24"/>
              </w:rPr>
              <w:t xml:space="preserve"> </w:t>
            </w:r>
            <w:r>
              <w:rPr>
                <w:sz w:val="24"/>
                <w:szCs w:val="24"/>
              </w:rPr>
              <w:t>工程设计已按相关环保要求，从尽可能减轻生态破坏角度进行优化调整。本报告</w:t>
            </w:r>
            <w:r>
              <w:rPr>
                <w:spacing w:val="4"/>
                <w:sz w:val="24"/>
                <w:szCs w:val="24"/>
              </w:rPr>
              <w:t xml:space="preserve"> </w:t>
            </w:r>
            <w:r>
              <w:rPr>
                <w:sz w:val="24"/>
                <w:szCs w:val="24"/>
              </w:rPr>
              <w:t>表也针对道路建设及运行对生态环境等的不利影响提出相应的环境保护措施。因</w:t>
            </w:r>
            <w:r>
              <w:rPr>
                <w:spacing w:val="12"/>
                <w:sz w:val="24"/>
                <w:szCs w:val="24"/>
              </w:rPr>
              <w:t xml:space="preserve"> </w:t>
            </w:r>
            <w:r>
              <w:rPr>
                <w:spacing w:val="2"/>
                <w:sz w:val="24"/>
                <w:szCs w:val="24"/>
              </w:rPr>
              <w:t>此，从环境保护的角度场内道路的选线基本环境可行。</w:t>
            </w:r>
          </w:p>
          <w:p w14:paraId="7D6E779A">
            <w:pPr>
              <w:pStyle w:val="6"/>
              <w:spacing w:line="219" w:lineRule="auto"/>
              <w:ind w:left="574"/>
              <w:rPr>
                <w:sz w:val="24"/>
                <w:szCs w:val="24"/>
              </w:rPr>
            </w:pPr>
            <w:r>
              <w:rPr>
                <w:b/>
                <w:bCs/>
                <w:spacing w:val="-3"/>
                <w:sz w:val="24"/>
                <w:szCs w:val="24"/>
              </w:rPr>
              <w:t>四、集电线路选线合理性分析</w:t>
            </w:r>
          </w:p>
          <w:p w14:paraId="7D5AD94F">
            <w:pPr>
              <w:pStyle w:val="6"/>
              <w:spacing w:before="178" w:line="219" w:lineRule="auto"/>
              <w:ind w:left="581"/>
              <w:rPr>
                <w:sz w:val="24"/>
                <w:szCs w:val="24"/>
              </w:rPr>
            </w:pPr>
            <w:r>
              <w:rPr>
                <w:sz w:val="24"/>
                <w:szCs w:val="24"/>
              </w:rPr>
              <w:t>本工程采用电缆直埋(光伏场地内)与架空(光伏阵列间)相结合方式敷设，</w:t>
            </w:r>
          </w:p>
          <w:p w14:paraId="1A1A119C">
            <w:pPr>
              <w:pStyle w:val="6"/>
              <w:spacing w:before="194" w:line="362" w:lineRule="auto"/>
              <w:ind w:left="71" w:right="569" w:firstLine="30"/>
              <w:rPr>
                <w:sz w:val="24"/>
                <w:szCs w:val="24"/>
              </w:rPr>
            </w:pPr>
            <w:r>
              <w:rPr>
                <w:sz w:val="24"/>
                <w:szCs w:val="24"/>
              </w:rPr>
              <w:t>线路共新建架空线路约25.326km,电缆线路路径长14.630km。35kV集电线路</w:t>
            </w:r>
            <w:r>
              <w:rPr>
                <w:spacing w:val="8"/>
                <w:sz w:val="24"/>
                <w:szCs w:val="24"/>
              </w:rPr>
              <w:t xml:space="preserve"> </w:t>
            </w:r>
            <w:r>
              <w:rPr>
                <w:spacing w:val="3"/>
                <w:sz w:val="24"/>
                <w:szCs w:val="24"/>
              </w:rPr>
              <w:t>全线共新建93基铁塔(其中双回路17基，单回路7</w:t>
            </w:r>
            <w:r>
              <w:rPr>
                <w:spacing w:val="2"/>
                <w:sz w:val="24"/>
                <w:szCs w:val="24"/>
              </w:rPr>
              <w:t>6基);新建A线12.459</w:t>
            </w:r>
            <w:r>
              <w:rPr>
                <w:sz w:val="24"/>
                <w:szCs w:val="24"/>
              </w:rPr>
              <w:t>km</w:t>
            </w:r>
            <w:r>
              <w:rPr>
                <w:spacing w:val="2"/>
                <w:sz w:val="24"/>
                <w:szCs w:val="24"/>
              </w:rPr>
              <w:t>,</w:t>
            </w:r>
            <w:r>
              <w:rPr>
                <w:sz w:val="24"/>
                <w:szCs w:val="24"/>
              </w:rPr>
              <w:t xml:space="preserve">  B线7.810km,C线5.057km。</w:t>
            </w:r>
          </w:p>
          <w:p w14:paraId="19D1E436">
            <w:pPr>
              <w:pStyle w:val="6"/>
              <w:spacing w:before="5" w:line="354" w:lineRule="auto"/>
              <w:ind w:left="31" w:firstLine="542"/>
              <w:jc w:val="both"/>
              <w:rPr>
                <w:sz w:val="24"/>
                <w:szCs w:val="24"/>
              </w:rPr>
            </w:pPr>
            <w:r>
              <w:rPr>
                <w:spacing w:val="-4"/>
                <w:sz w:val="24"/>
                <w:szCs w:val="24"/>
              </w:rPr>
              <w:t>项目电缆直埋基础开挖完成后，应将槽底清理干净并夯实，敷设电缆的上下</w:t>
            </w:r>
            <w:r>
              <w:rPr>
                <w:spacing w:val="7"/>
                <w:sz w:val="24"/>
                <w:szCs w:val="24"/>
              </w:rPr>
              <w:t xml:space="preserve">  </w:t>
            </w:r>
            <w:r>
              <w:rPr>
                <w:spacing w:val="-5"/>
                <w:sz w:val="24"/>
                <w:szCs w:val="24"/>
              </w:rPr>
              <w:t>侧各铺细砂，并在电缆上侧做盖砖保护。为了减少土</w:t>
            </w:r>
            <w:r>
              <w:rPr>
                <w:spacing w:val="-6"/>
                <w:sz w:val="24"/>
                <w:szCs w:val="24"/>
              </w:rPr>
              <w:t>石方量，保持沿线水土环境，</w:t>
            </w:r>
            <w:r>
              <w:rPr>
                <w:sz w:val="24"/>
                <w:szCs w:val="24"/>
              </w:rPr>
              <w:t xml:space="preserve"> </w:t>
            </w:r>
            <w:r>
              <w:rPr>
                <w:spacing w:val="-3"/>
                <w:sz w:val="24"/>
                <w:szCs w:val="24"/>
              </w:rPr>
              <w:t>将采取措施以尽量避免大开挖降低土石方量，减少</w:t>
            </w:r>
            <w:r>
              <w:rPr>
                <w:spacing w:val="-4"/>
                <w:sz w:val="24"/>
                <w:szCs w:val="24"/>
              </w:rPr>
              <w:t>水土流失，保护环境。铁塔设</w:t>
            </w:r>
            <w:r>
              <w:rPr>
                <w:sz w:val="24"/>
                <w:szCs w:val="24"/>
              </w:rPr>
              <w:t xml:space="preserve">  </w:t>
            </w:r>
            <w:r>
              <w:rPr>
                <w:spacing w:val="-3"/>
                <w:sz w:val="24"/>
                <w:szCs w:val="24"/>
              </w:rPr>
              <w:t>计将采用左右不等高腿，并配合深浅基础，尽</w:t>
            </w:r>
            <w:r>
              <w:rPr>
                <w:spacing w:val="-4"/>
                <w:sz w:val="24"/>
                <w:szCs w:val="24"/>
              </w:rPr>
              <w:t>量维持原塔位自然地形，同时针对</w:t>
            </w:r>
            <w:r>
              <w:rPr>
                <w:sz w:val="24"/>
                <w:szCs w:val="24"/>
              </w:rPr>
              <w:t xml:space="preserve">  </w:t>
            </w:r>
            <w:r>
              <w:rPr>
                <w:spacing w:val="-3"/>
                <w:sz w:val="24"/>
                <w:szCs w:val="24"/>
              </w:rPr>
              <w:t>不同的地质条件，采用适宜的基础形式。且针对架空线路，铁塔选址已尽量避让</w:t>
            </w:r>
            <w:r>
              <w:rPr>
                <w:spacing w:val="2"/>
                <w:sz w:val="24"/>
                <w:szCs w:val="24"/>
              </w:rPr>
              <w:t xml:space="preserve">  </w:t>
            </w:r>
            <w:r>
              <w:rPr>
                <w:spacing w:val="-3"/>
                <w:sz w:val="24"/>
                <w:szCs w:val="24"/>
              </w:rPr>
              <w:t>生态脆弱区及植被较好区域；经现场勘察，集电线路征地范围内不涉及环境敏感</w:t>
            </w:r>
          </w:p>
        </w:tc>
      </w:tr>
    </w:tbl>
    <w:p w14:paraId="06146905">
      <w:pPr>
        <w:pStyle w:val="2"/>
      </w:pPr>
    </w:p>
    <w:p w14:paraId="7784A654">
      <w:pPr>
        <w:sectPr>
          <w:footerReference r:id="rId193" w:type="default"/>
          <w:pgSz w:w="11910" w:h="16830"/>
          <w:pgMar w:top="400" w:right="1270" w:bottom="1273" w:left="1234" w:header="0" w:footer="1075" w:gutter="0"/>
          <w:cols w:space="720" w:num="1"/>
        </w:sectPr>
      </w:pPr>
    </w:p>
    <w:p w14:paraId="645C1006">
      <w:pPr>
        <w:spacing w:before="15"/>
      </w:pPr>
    </w:p>
    <w:p w14:paraId="1033F19C">
      <w:pPr>
        <w:spacing w:before="15"/>
      </w:pPr>
    </w:p>
    <w:p w14:paraId="19002748">
      <w:pPr>
        <w:spacing w:before="15"/>
      </w:pPr>
    </w:p>
    <w:p w14:paraId="46E7D27C">
      <w:pPr>
        <w:spacing w:before="14"/>
      </w:pPr>
    </w:p>
    <w:tbl>
      <w:tblPr>
        <w:tblStyle w:val="5"/>
        <w:tblW w:w="93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8486"/>
      </w:tblGrid>
      <w:tr w14:paraId="3983D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60" w:hRule="atLeast"/>
        </w:trPr>
        <w:tc>
          <w:tcPr>
            <w:tcW w:w="904" w:type="dxa"/>
            <w:vAlign w:val="top"/>
          </w:tcPr>
          <w:p w14:paraId="60CCD84A">
            <w:pPr>
              <w:rPr>
                <w:rFonts w:ascii="Arial"/>
                <w:sz w:val="21"/>
              </w:rPr>
            </w:pPr>
          </w:p>
        </w:tc>
        <w:tc>
          <w:tcPr>
            <w:tcW w:w="8486" w:type="dxa"/>
            <w:vAlign w:val="top"/>
          </w:tcPr>
          <w:p w14:paraId="42CE5DE5">
            <w:pPr>
              <w:pStyle w:val="6"/>
              <w:spacing w:before="24" w:line="355" w:lineRule="auto"/>
              <w:ind w:left="91" w:right="25" w:hanging="60"/>
              <w:rPr>
                <w:sz w:val="24"/>
                <w:szCs w:val="24"/>
              </w:rPr>
            </w:pPr>
            <w:r>
              <w:rPr>
                <w:sz w:val="24"/>
                <w:szCs w:val="24"/>
              </w:rPr>
              <w:t>区和敏感保护目标，周边植被破坏较小；线路距离民房都较远，对居民生活影响</w:t>
            </w:r>
            <w:r>
              <w:rPr>
                <w:spacing w:val="18"/>
                <w:sz w:val="24"/>
                <w:szCs w:val="24"/>
              </w:rPr>
              <w:t xml:space="preserve"> </w:t>
            </w:r>
            <w:r>
              <w:rPr>
                <w:sz w:val="24"/>
                <w:szCs w:val="24"/>
              </w:rPr>
              <w:t>较小。在落实水保提出的植被恢复措施的情况下，水土流失将会得到控制。</w:t>
            </w:r>
          </w:p>
          <w:p w14:paraId="3AA31975">
            <w:pPr>
              <w:pStyle w:val="6"/>
              <w:spacing w:before="3" w:line="362" w:lineRule="auto"/>
              <w:ind w:left="31" w:right="55" w:firstLine="550"/>
              <w:rPr>
                <w:sz w:val="24"/>
                <w:szCs w:val="24"/>
              </w:rPr>
            </w:pPr>
            <w:r>
              <w:rPr>
                <w:sz w:val="24"/>
                <w:szCs w:val="24"/>
              </w:rPr>
              <w:t>本项目35kV集电线路经过设计的线路比选，由于周边基本农田较多，已经</w:t>
            </w:r>
            <w:r>
              <w:rPr>
                <w:spacing w:val="4"/>
                <w:sz w:val="24"/>
                <w:szCs w:val="24"/>
              </w:rPr>
              <w:t xml:space="preserve">  无法避开大莫古集镇水厂水源地保护区，本项目35</w:t>
            </w:r>
            <w:r>
              <w:rPr>
                <w:sz w:val="24"/>
                <w:szCs w:val="24"/>
              </w:rPr>
              <w:t>KV</w:t>
            </w:r>
            <w:r>
              <w:rPr>
                <w:spacing w:val="4"/>
                <w:sz w:val="24"/>
                <w:szCs w:val="24"/>
              </w:rPr>
              <w:t>集电线路采用架空线路的</w:t>
            </w:r>
            <w:r>
              <w:rPr>
                <w:spacing w:val="1"/>
                <w:sz w:val="24"/>
                <w:szCs w:val="24"/>
              </w:rPr>
              <w:t xml:space="preserve"> </w:t>
            </w:r>
            <w:r>
              <w:rPr>
                <w:sz w:val="24"/>
                <w:szCs w:val="24"/>
              </w:rPr>
              <w:t>方式穿越大莫古集镇水厂水源地准保护区，其中位于</w:t>
            </w:r>
            <w:r>
              <w:rPr>
                <w:spacing w:val="-1"/>
                <w:sz w:val="24"/>
                <w:szCs w:val="24"/>
              </w:rPr>
              <w:t>大莫古集镇水厂水源地准保</w:t>
            </w:r>
            <w:r>
              <w:rPr>
                <w:sz w:val="24"/>
                <w:szCs w:val="24"/>
              </w:rPr>
              <w:t xml:space="preserve"> </w:t>
            </w:r>
            <w:r>
              <w:rPr>
                <w:spacing w:val="5"/>
                <w:sz w:val="24"/>
                <w:szCs w:val="24"/>
              </w:rPr>
              <w:t>护区内的塔基数量为11座，架空线路长度为3105m。本项目集电线路穿越大莫</w:t>
            </w:r>
            <w:r>
              <w:rPr>
                <w:spacing w:val="2"/>
                <w:sz w:val="24"/>
                <w:szCs w:val="24"/>
              </w:rPr>
              <w:t xml:space="preserve">  </w:t>
            </w:r>
            <w:r>
              <w:rPr>
                <w:spacing w:val="3"/>
                <w:sz w:val="24"/>
                <w:szCs w:val="24"/>
              </w:rPr>
              <w:t>古集镇水厂水源地准保护区路径已经取得陆良人民政府同</w:t>
            </w:r>
            <w:r>
              <w:rPr>
                <w:spacing w:val="2"/>
                <w:sz w:val="24"/>
                <w:szCs w:val="24"/>
              </w:rPr>
              <w:t>意。</w:t>
            </w:r>
          </w:p>
          <w:p w14:paraId="401B2477">
            <w:pPr>
              <w:pStyle w:val="6"/>
              <w:spacing w:before="8" w:line="358" w:lineRule="auto"/>
              <w:ind w:left="31" w:firstLine="532"/>
              <w:rPr>
                <w:sz w:val="24"/>
                <w:szCs w:val="24"/>
              </w:rPr>
            </w:pPr>
            <w:r>
              <w:rPr>
                <w:spacing w:val="-3"/>
                <w:sz w:val="24"/>
                <w:szCs w:val="24"/>
              </w:rPr>
              <w:t>根据现场调查及环境影响分析，本推荐路径具有以下特点：1)环境制约因</w:t>
            </w:r>
            <w:r>
              <w:rPr>
                <w:spacing w:val="6"/>
                <w:sz w:val="24"/>
                <w:szCs w:val="24"/>
              </w:rPr>
              <w:t xml:space="preserve">   </w:t>
            </w:r>
            <w:r>
              <w:rPr>
                <w:spacing w:val="-3"/>
                <w:sz w:val="24"/>
                <w:szCs w:val="24"/>
              </w:rPr>
              <w:t>素：①线路路径不涉及国家公园、自然保护区、风景名胜区、世界文化和自然遗</w:t>
            </w:r>
            <w:r>
              <w:rPr>
                <w:sz w:val="24"/>
                <w:szCs w:val="24"/>
              </w:rPr>
              <w:t xml:space="preserve">  </w:t>
            </w:r>
            <w:r>
              <w:rPr>
                <w:spacing w:val="-3"/>
                <w:sz w:val="24"/>
                <w:szCs w:val="24"/>
              </w:rPr>
              <w:t>产地等环境敏感区，不涉及生态保护红线；②线路穿越大莫古集镇水厂水源地准</w:t>
            </w:r>
            <w:r>
              <w:rPr>
                <w:sz w:val="24"/>
                <w:szCs w:val="24"/>
              </w:rPr>
              <w:t xml:space="preserve">  </w:t>
            </w:r>
            <w:r>
              <w:rPr>
                <w:spacing w:val="-3"/>
                <w:sz w:val="24"/>
                <w:szCs w:val="24"/>
              </w:rPr>
              <w:t>保护区，不涉及一级保护区、二级保护区陆域范围，线路通过采取尽量缩短穿越</w:t>
            </w:r>
            <w:r>
              <w:rPr>
                <w:sz w:val="24"/>
                <w:szCs w:val="24"/>
              </w:rPr>
              <w:t xml:space="preserve">  </w:t>
            </w:r>
            <w:r>
              <w:rPr>
                <w:spacing w:val="-3"/>
                <w:sz w:val="24"/>
                <w:szCs w:val="24"/>
              </w:rPr>
              <w:t>准保护区的长度、优化施工工艺、减小植被破坏、加强施工管理等无害化穿越措</w:t>
            </w:r>
            <w:r>
              <w:rPr>
                <w:spacing w:val="2"/>
                <w:sz w:val="24"/>
                <w:szCs w:val="24"/>
              </w:rPr>
              <w:t xml:space="preserve">  </w:t>
            </w:r>
            <w:r>
              <w:rPr>
                <w:spacing w:val="-3"/>
                <w:sz w:val="24"/>
                <w:szCs w:val="24"/>
              </w:rPr>
              <w:t>施，采取植被恢复等补偿措施，能够减小对饮用水源保护区的影响；陆良县人民</w:t>
            </w:r>
            <w:r>
              <w:rPr>
                <w:spacing w:val="2"/>
                <w:sz w:val="24"/>
                <w:szCs w:val="24"/>
              </w:rPr>
              <w:t xml:space="preserve">  </w:t>
            </w:r>
            <w:r>
              <w:rPr>
                <w:spacing w:val="-4"/>
                <w:sz w:val="24"/>
                <w:szCs w:val="24"/>
              </w:rPr>
              <w:t>政府对线路穿越饮用水的路径方案进行了确认；除此之外，本线路不涉及其他饮</w:t>
            </w:r>
            <w:r>
              <w:rPr>
                <w:spacing w:val="8"/>
                <w:sz w:val="24"/>
                <w:szCs w:val="24"/>
              </w:rPr>
              <w:t xml:space="preserve">  </w:t>
            </w:r>
            <w:r>
              <w:rPr>
                <w:sz w:val="24"/>
                <w:szCs w:val="24"/>
              </w:rPr>
              <w:t>用水源保护区等水环境敏感区；2)环境影响程度：从环保的角度考虑，线路路</w:t>
            </w:r>
            <w:r>
              <w:rPr>
                <w:spacing w:val="5"/>
                <w:sz w:val="24"/>
                <w:szCs w:val="24"/>
              </w:rPr>
              <w:t xml:space="preserve">   </w:t>
            </w:r>
            <w:r>
              <w:rPr>
                <w:spacing w:val="-3"/>
                <w:sz w:val="24"/>
                <w:szCs w:val="24"/>
              </w:rPr>
              <w:t>径在避开村庄、居民点、基本农田后，不可避免的涉及大莫古集镇水厂水源地准</w:t>
            </w:r>
            <w:r>
              <w:rPr>
                <w:sz w:val="24"/>
                <w:szCs w:val="24"/>
              </w:rPr>
              <w:t xml:space="preserve">  </w:t>
            </w:r>
            <w:r>
              <w:rPr>
                <w:spacing w:val="-3"/>
                <w:sz w:val="24"/>
                <w:szCs w:val="24"/>
              </w:rPr>
              <w:t>保护区，虽然项目集电线路穿越了水源保护区，但考虑到输电线路的建设、运行</w:t>
            </w:r>
            <w:r>
              <w:rPr>
                <w:spacing w:val="1"/>
                <w:sz w:val="24"/>
                <w:szCs w:val="24"/>
              </w:rPr>
              <w:t xml:space="preserve">  </w:t>
            </w:r>
            <w:r>
              <w:rPr>
                <w:spacing w:val="-5"/>
                <w:sz w:val="24"/>
                <w:szCs w:val="24"/>
              </w:rPr>
              <w:t>特点，只要落实相关水环境保护区措施，对</w:t>
            </w:r>
            <w:r>
              <w:rPr>
                <w:spacing w:val="-6"/>
                <w:sz w:val="24"/>
                <w:szCs w:val="24"/>
              </w:rPr>
              <w:t>水源地产生的影响是在可接受范围内。</w:t>
            </w:r>
          </w:p>
          <w:p w14:paraId="26F21830">
            <w:pPr>
              <w:pStyle w:val="6"/>
              <w:spacing w:line="217" w:lineRule="auto"/>
              <w:ind w:left="81"/>
              <w:rPr>
                <w:sz w:val="24"/>
                <w:szCs w:val="24"/>
              </w:rPr>
            </w:pPr>
            <w:r>
              <w:rPr>
                <w:sz w:val="24"/>
                <w:szCs w:val="24"/>
              </w:rPr>
              <w:t>3)与HJ1113-2020符合性：①选线符合生态保护红线管控要求，不涉及自然保</w:t>
            </w:r>
          </w:p>
          <w:p w14:paraId="4E13E85A">
            <w:pPr>
              <w:pStyle w:val="6"/>
              <w:spacing w:before="180" w:line="219" w:lineRule="auto"/>
              <w:jc w:val="right"/>
              <w:rPr>
                <w:sz w:val="24"/>
                <w:szCs w:val="24"/>
              </w:rPr>
            </w:pPr>
            <w:r>
              <w:rPr>
                <w:spacing w:val="-7"/>
                <w:sz w:val="24"/>
                <w:szCs w:val="24"/>
              </w:rPr>
              <w:t>护区等环境敏感区；仅穿越大莫古集镇水厂水源</w:t>
            </w:r>
            <w:r>
              <w:rPr>
                <w:spacing w:val="-8"/>
                <w:sz w:val="24"/>
                <w:szCs w:val="24"/>
              </w:rPr>
              <w:t>地准保护区，不涉及一级保护区、</w:t>
            </w:r>
          </w:p>
          <w:p w14:paraId="4BCB09E0">
            <w:pPr>
              <w:pStyle w:val="6"/>
              <w:spacing w:before="194" w:line="361" w:lineRule="auto"/>
              <w:ind w:left="31" w:firstLine="119"/>
              <w:rPr>
                <w:sz w:val="24"/>
                <w:szCs w:val="24"/>
              </w:rPr>
            </w:pPr>
            <w:r>
              <w:rPr>
                <w:sz w:val="24"/>
                <w:szCs w:val="24"/>
              </w:rPr>
              <w:t>二级保护区陆域范围，陆良县人民政府对线路穿越饮用水的路径方案进行了确</w:t>
            </w:r>
            <w:r>
              <w:rPr>
                <w:spacing w:val="1"/>
                <w:sz w:val="24"/>
                <w:szCs w:val="24"/>
              </w:rPr>
              <w:t xml:space="preserve">  认，不违反《输变电建设项目环境保护技术要求》(</w:t>
            </w:r>
            <w:r>
              <w:rPr>
                <w:sz w:val="24"/>
                <w:szCs w:val="24"/>
              </w:rPr>
              <w:t>HJ</w:t>
            </w:r>
            <w:r>
              <w:rPr>
                <w:spacing w:val="1"/>
                <w:sz w:val="24"/>
                <w:szCs w:val="24"/>
              </w:rPr>
              <w:t xml:space="preserve"> 1113-2020)的要求“5.2</w:t>
            </w:r>
            <w:r>
              <w:rPr>
                <w:spacing w:val="9"/>
                <w:sz w:val="24"/>
                <w:szCs w:val="24"/>
              </w:rPr>
              <w:t xml:space="preserve">  </w:t>
            </w:r>
            <w:r>
              <w:rPr>
                <w:sz w:val="24"/>
                <w:szCs w:val="24"/>
              </w:rPr>
              <w:t>确实因自然条件等因素限制无法避让自然保护区实验区、饮用水水源二级保护区</w:t>
            </w:r>
            <w:r>
              <w:rPr>
                <w:spacing w:val="4"/>
                <w:sz w:val="24"/>
                <w:szCs w:val="24"/>
              </w:rPr>
              <w:t xml:space="preserve"> </w:t>
            </w:r>
            <w:r>
              <w:rPr>
                <w:sz w:val="24"/>
                <w:szCs w:val="24"/>
              </w:rPr>
              <w:t>等环境敏感区，应在满足相关法律法规及管理要求的前期下对线路方案进</w:t>
            </w:r>
            <w:r>
              <w:rPr>
                <w:spacing w:val="-1"/>
                <w:sz w:val="24"/>
                <w:szCs w:val="24"/>
              </w:rPr>
              <w:t>行唯一</w:t>
            </w:r>
            <w:r>
              <w:rPr>
                <w:sz w:val="24"/>
                <w:szCs w:val="24"/>
              </w:rPr>
              <w:t xml:space="preserve"> </w:t>
            </w:r>
            <w:r>
              <w:rPr>
                <w:spacing w:val="1"/>
                <w:sz w:val="24"/>
                <w:szCs w:val="24"/>
              </w:rPr>
              <w:t>性论证，并采取无害化方式通过”;②本选线项目占地类型为草地和人工乔木林</w:t>
            </w:r>
            <w:r>
              <w:rPr>
                <w:spacing w:val="9"/>
                <w:sz w:val="24"/>
                <w:szCs w:val="24"/>
              </w:rPr>
              <w:t xml:space="preserve">  </w:t>
            </w:r>
            <w:r>
              <w:rPr>
                <w:spacing w:val="1"/>
                <w:sz w:val="24"/>
                <w:szCs w:val="24"/>
              </w:rPr>
              <w:t>地、灌木林、交通运输用地、工矿用地、耕地等，项目避让了基本农田和林地，</w:t>
            </w:r>
            <w:r>
              <w:rPr>
                <w:spacing w:val="8"/>
                <w:sz w:val="24"/>
                <w:szCs w:val="24"/>
              </w:rPr>
              <w:t xml:space="preserve"> </w:t>
            </w:r>
            <w:r>
              <w:rPr>
                <w:spacing w:val="1"/>
                <w:sz w:val="24"/>
                <w:szCs w:val="24"/>
              </w:rPr>
              <w:t>保护了农田资源和林业资源；符合《输变电建设项目环境保</w:t>
            </w:r>
            <w:r>
              <w:rPr>
                <w:sz w:val="24"/>
                <w:szCs w:val="24"/>
              </w:rPr>
              <w:t>护技术要求》</w:t>
            </w:r>
          </w:p>
          <w:p w14:paraId="436A092A">
            <w:pPr>
              <w:pStyle w:val="6"/>
              <w:spacing w:before="5" w:line="341" w:lineRule="auto"/>
              <w:ind w:left="31" w:firstLine="118"/>
              <w:rPr>
                <w:sz w:val="24"/>
                <w:szCs w:val="24"/>
              </w:rPr>
            </w:pPr>
            <w:r>
              <w:rPr>
                <w:spacing w:val="-1"/>
                <w:sz w:val="24"/>
                <w:szCs w:val="24"/>
              </w:rPr>
              <w:t>(HJ1113-2020)的要求“5.</w:t>
            </w:r>
            <w:r>
              <w:rPr>
                <w:spacing w:val="-2"/>
                <w:sz w:val="24"/>
                <w:szCs w:val="24"/>
              </w:rPr>
              <w:t>8输电线路宜避让林木集中区、以减少林木砍伐，保</w:t>
            </w:r>
            <w:r>
              <w:rPr>
                <w:sz w:val="24"/>
                <w:szCs w:val="24"/>
              </w:rPr>
              <w:t xml:space="preserve">   </w:t>
            </w:r>
            <w:r>
              <w:rPr>
                <w:spacing w:val="-2"/>
                <w:sz w:val="24"/>
                <w:szCs w:val="24"/>
              </w:rPr>
              <w:t>护生态环境”;从环境制约和环境影响角度分析，本项目推荐线路路径</w:t>
            </w:r>
            <w:r>
              <w:rPr>
                <w:spacing w:val="-3"/>
                <w:sz w:val="24"/>
                <w:szCs w:val="24"/>
              </w:rPr>
              <w:t>选择合理。</w:t>
            </w:r>
          </w:p>
        </w:tc>
      </w:tr>
    </w:tbl>
    <w:p w14:paraId="30F42F97">
      <w:pPr>
        <w:pStyle w:val="2"/>
      </w:pPr>
    </w:p>
    <w:p w14:paraId="6EBBB8A1">
      <w:pPr>
        <w:sectPr>
          <w:footerReference r:id="rId194" w:type="default"/>
          <w:pgSz w:w="11910" w:h="16830"/>
          <w:pgMar w:top="400" w:right="1274" w:bottom="1259" w:left="1234" w:header="0" w:footer="1079" w:gutter="0"/>
          <w:cols w:space="720" w:num="1"/>
        </w:sectPr>
      </w:pPr>
    </w:p>
    <w:p w14:paraId="67184322">
      <w:pPr>
        <w:spacing w:before="15"/>
      </w:pPr>
    </w:p>
    <w:p w14:paraId="7CF09623">
      <w:pPr>
        <w:spacing w:before="15"/>
      </w:pPr>
    </w:p>
    <w:p w14:paraId="11AA2187">
      <w:pPr>
        <w:spacing w:before="15"/>
      </w:pPr>
    </w:p>
    <w:p w14:paraId="1DEC6035">
      <w:pPr>
        <w:spacing w:before="14"/>
      </w:pPr>
    </w:p>
    <w:tbl>
      <w:tblPr>
        <w:tblStyle w:val="5"/>
        <w:tblW w:w="939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4"/>
        <w:gridCol w:w="8500"/>
      </w:tblGrid>
      <w:tr w14:paraId="15F67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50" w:hRule="atLeast"/>
        </w:trPr>
        <w:tc>
          <w:tcPr>
            <w:tcW w:w="894" w:type="dxa"/>
            <w:vAlign w:val="top"/>
          </w:tcPr>
          <w:p w14:paraId="62404200">
            <w:pPr>
              <w:rPr>
                <w:rFonts w:ascii="Arial"/>
                <w:sz w:val="21"/>
              </w:rPr>
            </w:pPr>
          </w:p>
        </w:tc>
        <w:tc>
          <w:tcPr>
            <w:tcW w:w="8500" w:type="dxa"/>
            <w:vAlign w:val="top"/>
          </w:tcPr>
          <w:p w14:paraId="382DAAB6">
            <w:pPr>
              <w:pStyle w:val="6"/>
              <w:spacing w:before="22" w:line="361" w:lineRule="auto"/>
              <w:ind w:left="101" w:right="97" w:firstLine="459"/>
              <w:rPr>
                <w:sz w:val="24"/>
                <w:szCs w:val="24"/>
              </w:rPr>
            </w:pPr>
            <w:r>
              <w:rPr>
                <w:sz w:val="24"/>
                <w:szCs w:val="24"/>
              </w:rPr>
              <w:t>根据《中华人民共和国水污染防治法》(第十二届</w:t>
            </w:r>
            <w:r>
              <w:rPr>
                <w:spacing w:val="-1"/>
                <w:sz w:val="24"/>
                <w:szCs w:val="24"/>
              </w:rPr>
              <w:t>全国人民代表大会常务委</w:t>
            </w:r>
            <w:r>
              <w:rPr>
                <w:sz w:val="24"/>
                <w:szCs w:val="24"/>
              </w:rPr>
              <w:t xml:space="preserve"> 员会第二十八次，2018.1.1)、《集中式饮用水水源地规范化建设环境保护技术</w:t>
            </w:r>
            <w:r>
              <w:rPr>
                <w:spacing w:val="9"/>
                <w:sz w:val="24"/>
                <w:szCs w:val="24"/>
              </w:rPr>
              <w:t xml:space="preserve"> </w:t>
            </w:r>
            <w:r>
              <w:rPr>
                <w:spacing w:val="3"/>
                <w:sz w:val="24"/>
                <w:szCs w:val="24"/>
              </w:rPr>
              <w:t>要求》(</w:t>
            </w:r>
            <w:r>
              <w:rPr>
                <w:sz w:val="24"/>
                <w:szCs w:val="24"/>
              </w:rPr>
              <w:t>HJ</w:t>
            </w:r>
            <w:r>
              <w:rPr>
                <w:spacing w:val="3"/>
                <w:sz w:val="24"/>
                <w:szCs w:val="24"/>
              </w:rPr>
              <w:t>773-2015)、《饮用水水源保护区污染防治管理规定》(环境保护部</w:t>
            </w:r>
          </w:p>
          <w:p w14:paraId="294EF5E0">
            <w:pPr>
              <w:pStyle w:val="6"/>
              <w:spacing w:before="9" w:line="359" w:lineRule="auto"/>
              <w:ind w:left="11" w:firstLine="147"/>
              <w:rPr>
                <w:sz w:val="24"/>
                <w:szCs w:val="24"/>
              </w:rPr>
            </w:pPr>
            <w:r>
              <w:rPr>
                <w:spacing w:val="-2"/>
                <w:sz w:val="24"/>
                <w:szCs w:val="24"/>
              </w:rPr>
              <w:t>令第16号，2010.12.22)及《曲靖市集</w:t>
            </w:r>
            <w:r>
              <w:rPr>
                <w:spacing w:val="-3"/>
                <w:sz w:val="24"/>
                <w:szCs w:val="24"/>
              </w:rPr>
              <w:t>中式饮用水水源地保护条例》,“直接或</w:t>
            </w:r>
            <w:r>
              <w:rPr>
                <w:sz w:val="24"/>
                <w:szCs w:val="24"/>
              </w:rPr>
              <w:t xml:space="preserve">   </w:t>
            </w:r>
            <w:r>
              <w:rPr>
                <w:spacing w:val="-2"/>
                <w:sz w:val="24"/>
                <w:szCs w:val="24"/>
              </w:rPr>
              <w:t>间接向水域排放废水，必须符合国家及地方规定的废水排放标准。当排放总</w:t>
            </w:r>
            <w:r>
              <w:rPr>
                <w:spacing w:val="-3"/>
                <w:sz w:val="24"/>
                <w:szCs w:val="24"/>
              </w:rPr>
              <w:t>量不</w:t>
            </w:r>
            <w:r>
              <w:rPr>
                <w:sz w:val="24"/>
                <w:szCs w:val="24"/>
              </w:rPr>
              <w:t xml:space="preserve">  </w:t>
            </w:r>
            <w:r>
              <w:rPr>
                <w:spacing w:val="-2"/>
                <w:sz w:val="24"/>
                <w:szCs w:val="24"/>
              </w:rPr>
              <w:t>能保证保护区内水质满足规定的标准时，必须削减排污负荷。保护水源</w:t>
            </w:r>
            <w:r>
              <w:rPr>
                <w:spacing w:val="-3"/>
                <w:sz w:val="24"/>
                <w:szCs w:val="24"/>
              </w:rPr>
              <w:t>林，禁止</w:t>
            </w:r>
            <w:r>
              <w:rPr>
                <w:sz w:val="24"/>
                <w:szCs w:val="24"/>
              </w:rPr>
              <w:t xml:space="preserve">  </w:t>
            </w:r>
            <w:r>
              <w:rPr>
                <w:spacing w:val="-2"/>
                <w:sz w:val="24"/>
                <w:szCs w:val="24"/>
              </w:rPr>
              <w:t>毁林开荒，禁止非更新砍伐水源林。在地表水集中式饮用水水源准保</w:t>
            </w:r>
            <w:r>
              <w:rPr>
                <w:spacing w:val="-3"/>
                <w:sz w:val="24"/>
                <w:szCs w:val="24"/>
              </w:rPr>
              <w:t>护区内，禁</w:t>
            </w:r>
            <w:r>
              <w:rPr>
                <w:sz w:val="24"/>
                <w:szCs w:val="24"/>
              </w:rPr>
              <w:t xml:space="preserve">  </w:t>
            </w:r>
            <w:r>
              <w:rPr>
                <w:spacing w:val="-2"/>
                <w:sz w:val="24"/>
                <w:szCs w:val="24"/>
              </w:rPr>
              <w:t>止新建、扩建对水体污染严重的建设项目；改建建设项目，不得增加排污量</w:t>
            </w:r>
            <w:r>
              <w:rPr>
                <w:spacing w:val="-3"/>
                <w:sz w:val="24"/>
                <w:szCs w:val="24"/>
              </w:rPr>
              <w:t>；不</w:t>
            </w:r>
            <w:r>
              <w:rPr>
                <w:sz w:val="24"/>
                <w:szCs w:val="24"/>
              </w:rPr>
              <w:t xml:space="preserve">  </w:t>
            </w:r>
            <w:r>
              <w:rPr>
                <w:spacing w:val="-5"/>
                <w:sz w:val="24"/>
                <w:szCs w:val="24"/>
              </w:rPr>
              <w:t>得破坏湿地、毁林开荒以及破坏集中式饮用水水源涵养林、护岸林和其他植被”。</w:t>
            </w:r>
            <w:r>
              <w:rPr>
                <w:spacing w:val="17"/>
                <w:sz w:val="24"/>
                <w:szCs w:val="24"/>
              </w:rPr>
              <w:t xml:space="preserve"> </w:t>
            </w:r>
            <w:r>
              <w:rPr>
                <w:spacing w:val="-2"/>
                <w:sz w:val="24"/>
                <w:szCs w:val="24"/>
              </w:rPr>
              <w:t>项目穿越大莫古集镇水厂水源地准保护区的工程内容为集电线路，</w:t>
            </w:r>
            <w:r>
              <w:rPr>
                <w:spacing w:val="-3"/>
                <w:sz w:val="24"/>
                <w:szCs w:val="24"/>
              </w:rPr>
              <w:t>采用架空线路</w:t>
            </w:r>
            <w:r>
              <w:rPr>
                <w:sz w:val="24"/>
                <w:szCs w:val="24"/>
              </w:rPr>
              <w:t xml:space="preserve">  </w:t>
            </w:r>
            <w:r>
              <w:rPr>
                <w:spacing w:val="-7"/>
                <w:sz w:val="24"/>
                <w:szCs w:val="24"/>
              </w:rPr>
              <w:t>的方式，运营期无“三废”产生，不属于排放污</w:t>
            </w:r>
            <w:r>
              <w:rPr>
                <w:spacing w:val="-8"/>
                <w:sz w:val="24"/>
                <w:szCs w:val="24"/>
              </w:rPr>
              <w:t>染物建设项目，项目集电线路区占</w:t>
            </w:r>
            <w:r>
              <w:rPr>
                <w:sz w:val="24"/>
                <w:szCs w:val="24"/>
              </w:rPr>
              <w:t xml:space="preserve">  </w:t>
            </w:r>
            <w:r>
              <w:rPr>
                <w:spacing w:val="-5"/>
                <w:sz w:val="24"/>
                <w:szCs w:val="24"/>
              </w:rPr>
              <w:t>地类型为人工乔木林、灌木林、草地、耕地、交通运输用地、工矿用地、耕地等，</w:t>
            </w:r>
            <w:r>
              <w:rPr>
                <w:spacing w:val="17"/>
                <w:sz w:val="24"/>
                <w:szCs w:val="24"/>
              </w:rPr>
              <w:t xml:space="preserve"> </w:t>
            </w:r>
            <w:r>
              <w:rPr>
                <w:spacing w:val="-2"/>
                <w:sz w:val="24"/>
                <w:szCs w:val="24"/>
              </w:rPr>
              <w:t>且施工结束后将对其进行植被恢复，不会毁林开荒以及破坏集中式饮用水水源涵</w:t>
            </w:r>
            <w:r>
              <w:rPr>
                <w:sz w:val="24"/>
                <w:szCs w:val="24"/>
              </w:rPr>
              <w:t xml:space="preserve">  </w:t>
            </w:r>
            <w:r>
              <w:rPr>
                <w:spacing w:val="-1"/>
                <w:sz w:val="24"/>
                <w:szCs w:val="24"/>
              </w:rPr>
              <w:t>养林、护岸林。符合相关法律和规定对饮用水水源准保护区要求。</w:t>
            </w:r>
          </w:p>
          <w:p w14:paraId="7E6D99C5">
            <w:pPr>
              <w:pStyle w:val="6"/>
              <w:spacing w:before="2" w:line="360" w:lineRule="auto"/>
              <w:ind w:left="81" w:firstLine="479"/>
              <w:rPr>
                <w:sz w:val="24"/>
                <w:szCs w:val="24"/>
              </w:rPr>
            </w:pPr>
            <w:r>
              <w:rPr>
                <w:sz w:val="24"/>
                <w:szCs w:val="24"/>
              </w:rPr>
              <w:t>综上，从环保角度分析，项目线路走向合理；集电线路采用光伏阵列内电缆</w:t>
            </w:r>
            <w:r>
              <w:rPr>
                <w:spacing w:val="8"/>
                <w:sz w:val="24"/>
                <w:szCs w:val="24"/>
              </w:rPr>
              <w:t xml:space="preserve"> </w:t>
            </w:r>
            <w:r>
              <w:rPr>
                <w:sz w:val="24"/>
                <w:szCs w:val="24"/>
              </w:rPr>
              <w:t>敷设，光伏阵列间架空线路方式，环境影响相对较小，且合理</w:t>
            </w:r>
            <w:r>
              <w:rPr>
                <w:spacing w:val="-1"/>
                <w:sz w:val="24"/>
                <w:szCs w:val="24"/>
              </w:rPr>
              <w:t>可行。</w:t>
            </w:r>
          </w:p>
          <w:p w14:paraId="138F2CFB">
            <w:pPr>
              <w:pStyle w:val="6"/>
              <w:spacing w:line="220" w:lineRule="auto"/>
              <w:ind w:left="564"/>
              <w:rPr>
                <w:sz w:val="24"/>
                <w:szCs w:val="24"/>
              </w:rPr>
            </w:pPr>
            <w:r>
              <w:rPr>
                <w:b/>
                <w:bCs/>
                <w:spacing w:val="-4"/>
                <w:sz w:val="24"/>
                <w:szCs w:val="24"/>
              </w:rPr>
              <w:t>五、升压站选址环境合理性分析</w:t>
            </w:r>
          </w:p>
          <w:p w14:paraId="597C2C79">
            <w:pPr>
              <w:pStyle w:val="6"/>
              <w:spacing w:before="176" w:line="363" w:lineRule="auto"/>
              <w:ind w:left="11" w:firstLine="563"/>
              <w:rPr>
                <w:sz w:val="24"/>
                <w:szCs w:val="24"/>
              </w:rPr>
            </w:pPr>
            <w:r>
              <w:rPr>
                <w:spacing w:val="-3"/>
                <w:sz w:val="24"/>
                <w:szCs w:val="24"/>
              </w:rPr>
              <w:t>本项目升压站的选址规划满足出线及相关专业的要求，新建升压站靠近场区</w:t>
            </w:r>
            <w:r>
              <w:rPr>
                <w:spacing w:val="3"/>
                <w:sz w:val="24"/>
                <w:szCs w:val="24"/>
              </w:rPr>
              <w:t xml:space="preserve"> </w:t>
            </w:r>
            <w:r>
              <w:rPr>
                <w:spacing w:val="-1"/>
                <w:sz w:val="24"/>
                <w:szCs w:val="24"/>
              </w:rPr>
              <w:t>上部且靠近道路。根据项目初步设计，本项</w:t>
            </w:r>
            <w:r>
              <w:rPr>
                <w:spacing w:val="-2"/>
                <w:sz w:val="24"/>
                <w:szCs w:val="24"/>
              </w:rPr>
              <w:t>目升压站规划场址地势平缓，坡度较</w:t>
            </w:r>
            <w:r>
              <w:rPr>
                <w:sz w:val="24"/>
                <w:szCs w:val="24"/>
              </w:rPr>
              <w:t xml:space="preserve">  </w:t>
            </w:r>
            <w:r>
              <w:rPr>
                <w:spacing w:val="-5"/>
                <w:sz w:val="24"/>
                <w:szCs w:val="24"/>
              </w:rPr>
              <w:t>小，附近无大冲沟，规划场区附近有乡村道路，交通便利。站址基面承载力较好，</w:t>
            </w:r>
            <w:r>
              <w:rPr>
                <w:spacing w:val="17"/>
                <w:sz w:val="24"/>
                <w:szCs w:val="24"/>
              </w:rPr>
              <w:t xml:space="preserve"> </w:t>
            </w:r>
            <w:r>
              <w:rPr>
                <w:sz w:val="24"/>
                <w:szCs w:val="24"/>
              </w:rPr>
              <w:t>能满足建筑要求。根据《云南省电力设施保护条例》变电站围墙外延伸3米所形</w:t>
            </w:r>
            <w:r>
              <w:rPr>
                <w:spacing w:val="5"/>
                <w:sz w:val="24"/>
                <w:szCs w:val="24"/>
              </w:rPr>
              <w:t xml:space="preserve">  </w:t>
            </w:r>
            <w:r>
              <w:rPr>
                <w:spacing w:val="3"/>
                <w:sz w:val="24"/>
                <w:szCs w:val="24"/>
              </w:rPr>
              <w:t>成的区域为安全防护距离，本项目升压站围墙外3m范围内无居民敏感点分布，</w:t>
            </w:r>
          </w:p>
          <w:p w14:paraId="4149F7F5">
            <w:pPr>
              <w:pStyle w:val="6"/>
              <w:spacing w:before="1" w:line="347" w:lineRule="auto"/>
              <w:ind w:left="41" w:right="35"/>
              <w:rPr>
                <w:sz w:val="24"/>
                <w:szCs w:val="24"/>
              </w:rPr>
            </w:pPr>
            <w:r>
              <w:rPr>
                <w:sz w:val="24"/>
                <w:szCs w:val="24"/>
              </w:rPr>
              <w:t>升压站选址做到了远离了居民点布置，运行期间产生的噪声、电磁影响对村庄居</w:t>
            </w:r>
            <w:r>
              <w:rPr>
                <w:spacing w:val="12"/>
                <w:sz w:val="24"/>
                <w:szCs w:val="24"/>
              </w:rPr>
              <w:t xml:space="preserve"> </w:t>
            </w:r>
            <w:r>
              <w:rPr>
                <w:sz w:val="24"/>
                <w:szCs w:val="24"/>
              </w:rPr>
              <w:t>民点影响较小，另外升压站区域不涉及自然保护区、风景名胜区、饮用水水源保</w:t>
            </w:r>
            <w:r>
              <w:rPr>
                <w:spacing w:val="7"/>
                <w:sz w:val="24"/>
                <w:szCs w:val="24"/>
              </w:rPr>
              <w:t xml:space="preserve"> </w:t>
            </w:r>
            <w:r>
              <w:rPr>
                <w:sz w:val="24"/>
                <w:szCs w:val="24"/>
              </w:rPr>
              <w:t>护区等需要特殊保护的区域，不占用生态保护红线、生态公益林、基本农田、耕</w:t>
            </w:r>
            <w:r>
              <w:rPr>
                <w:spacing w:val="9"/>
                <w:sz w:val="24"/>
                <w:szCs w:val="24"/>
              </w:rPr>
              <w:t xml:space="preserve"> </w:t>
            </w:r>
            <w:r>
              <w:rPr>
                <w:spacing w:val="1"/>
                <w:sz w:val="24"/>
                <w:szCs w:val="24"/>
              </w:rPr>
              <w:t>地保护目标，相关用地已取得管理部门用地手续。因此升压站选址合理。</w:t>
            </w:r>
          </w:p>
        </w:tc>
      </w:tr>
    </w:tbl>
    <w:p w14:paraId="53C42A12">
      <w:pPr>
        <w:pStyle w:val="2"/>
      </w:pPr>
    </w:p>
    <w:p w14:paraId="7FE2D80B">
      <w:pPr>
        <w:sectPr>
          <w:footerReference r:id="rId195" w:type="default"/>
          <w:pgSz w:w="11910" w:h="16830"/>
          <w:pgMar w:top="400" w:right="1250" w:bottom="1259" w:left="1254" w:header="0" w:footer="1079" w:gutter="0"/>
          <w:cols w:space="720" w:num="1"/>
        </w:sectPr>
      </w:pPr>
    </w:p>
    <w:p w14:paraId="329FD51A">
      <w:pPr>
        <w:pStyle w:val="2"/>
        <w:spacing w:line="319" w:lineRule="auto"/>
      </w:pPr>
    </w:p>
    <w:p w14:paraId="233D5153">
      <w:pPr>
        <w:pStyle w:val="2"/>
        <w:spacing w:line="319" w:lineRule="auto"/>
      </w:pPr>
    </w:p>
    <w:p w14:paraId="41FFC49A">
      <w:pPr>
        <w:pStyle w:val="2"/>
        <w:spacing w:line="319" w:lineRule="auto"/>
      </w:pPr>
    </w:p>
    <w:p w14:paraId="640169A7">
      <w:pPr>
        <w:spacing w:before="100" w:line="220" w:lineRule="auto"/>
        <w:ind w:left="2805"/>
        <w:outlineLvl w:val="0"/>
        <w:rPr>
          <w:rFonts w:ascii="宋体" w:hAnsi="宋体" w:eastAsia="宋体" w:cs="宋体"/>
          <w:sz w:val="31"/>
          <w:szCs w:val="31"/>
        </w:rPr>
      </w:pPr>
      <w:bookmarkStart w:id="7" w:name="bookmark5"/>
      <w:bookmarkEnd w:id="7"/>
      <w:r>
        <w:rPr>
          <w:rFonts w:ascii="宋体" w:hAnsi="宋体" w:eastAsia="宋体" w:cs="宋体"/>
          <w:spacing w:val="-7"/>
          <w:sz w:val="31"/>
          <w:szCs w:val="31"/>
        </w:rPr>
        <w:t>五、主要生态环境保护措施</w:t>
      </w:r>
    </w:p>
    <w:p w14:paraId="65EB4A4B">
      <w:pPr>
        <w:spacing w:before="20"/>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456"/>
      </w:tblGrid>
      <w:tr w14:paraId="2DC17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0" w:hRule="atLeast"/>
        </w:trPr>
        <w:tc>
          <w:tcPr>
            <w:tcW w:w="764" w:type="dxa"/>
            <w:vAlign w:val="top"/>
          </w:tcPr>
          <w:p w14:paraId="60A5FF7D">
            <w:pPr>
              <w:rPr>
                <w:rFonts w:ascii="Arial"/>
                <w:sz w:val="21"/>
              </w:rPr>
            </w:pPr>
          </w:p>
          <w:p w14:paraId="1DE3D733">
            <w:pPr>
              <w:rPr>
                <w:rFonts w:ascii="Arial"/>
                <w:sz w:val="21"/>
              </w:rPr>
            </w:pPr>
          </w:p>
          <w:p w14:paraId="4C5CDF60">
            <w:pPr>
              <w:rPr>
                <w:rFonts w:ascii="Arial"/>
                <w:sz w:val="21"/>
              </w:rPr>
            </w:pPr>
          </w:p>
          <w:p w14:paraId="2B12422D">
            <w:pPr>
              <w:rPr>
                <w:rFonts w:ascii="Arial"/>
                <w:sz w:val="21"/>
              </w:rPr>
            </w:pPr>
          </w:p>
          <w:p w14:paraId="24EA84BB">
            <w:pPr>
              <w:rPr>
                <w:rFonts w:ascii="Arial"/>
                <w:sz w:val="21"/>
              </w:rPr>
            </w:pPr>
          </w:p>
          <w:p w14:paraId="71A9ECB7">
            <w:pPr>
              <w:rPr>
                <w:rFonts w:ascii="Arial"/>
                <w:sz w:val="21"/>
              </w:rPr>
            </w:pPr>
          </w:p>
          <w:p w14:paraId="3DDE0799">
            <w:pPr>
              <w:rPr>
                <w:rFonts w:ascii="Arial"/>
                <w:sz w:val="21"/>
              </w:rPr>
            </w:pPr>
          </w:p>
          <w:p w14:paraId="4D910AE7">
            <w:pPr>
              <w:spacing w:line="241" w:lineRule="auto"/>
              <w:rPr>
                <w:rFonts w:ascii="Arial"/>
                <w:sz w:val="21"/>
              </w:rPr>
            </w:pPr>
          </w:p>
          <w:p w14:paraId="23B7BB8A">
            <w:pPr>
              <w:spacing w:line="241" w:lineRule="auto"/>
              <w:rPr>
                <w:rFonts w:ascii="Arial"/>
                <w:sz w:val="21"/>
              </w:rPr>
            </w:pPr>
          </w:p>
          <w:p w14:paraId="5C89A817">
            <w:pPr>
              <w:spacing w:line="241" w:lineRule="auto"/>
              <w:rPr>
                <w:rFonts w:ascii="Arial"/>
                <w:sz w:val="21"/>
              </w:rPr>
            </w:pPr>
          </w:p>
          <w:p w14:paraId="41F8C228">
            <w:pPr>
              <w:spacing w:line="241" w:lineRule="auto"/>
              <w:rPr>
                <w:rFonts w:ascii="Arial"/>
                <w:sz w:val="21"/>
              </w:rPr>
            </w:pPr>
          </w:p>
          <w:p w14:paraId="51D0C2A8">
            <w:pPr>
              <w:spacing w:line="241" w:lineRule="auto"/>
              <w:rPr>
                <w:rFonts w:ascii="Arial"/>
                <w:sz w:val="21"/>
              </w:rPr>
            </w:pPr>
          </w:p>
          <w:p w14:paraId="6D4D9B43">
            <w:pPr>
              <w:spacing w:line="241" w:lineRule="auto"/>
              <w:rPr>
                <w:rFonts w:ascii="Arial"/>
                <w:sz w:val="21"/>
              </w:rPr>
            </w:pPr>
          </w:p>
          <w:p w14:paraId="20B2CBC8">
            <w:pPr>
              <w:spacing w:line="241" w:lineRule="auto"/>
              <w:rPr>
                <w:rFonts w:ascii="Arial"/>
                <w:sz w:val="21"/>
              </w:rPr>
            </w:pPr>
          </w:p>
          <w:p w14:paraId="1C5DD1E7">
            <w:pPr>
              <w:spacing w:line="241" w:lineRule="auto"/>
              <w:rPr>
                <w:rFonts w:ascii="Arial"/>
                <w:sz w:val="21"/>
              </w:rPr>
            </w:pPr>
          </w:p>
          <w:p w14:paraId="76F2E97D">
            <w:pPr>
              <w:spacing w:line="241" w:lineRule="auto"/>
              <w:rPr>
                <w:rFonts w:ascii="Arial"/>
                <w:sz w:val="21"/>
              </w:rPr>
            </w:pPr>
          </w:p>
          <w:p w14:paraId="110CC162">
            <w:pPr>
              <w:spacing w:line="241" w:lineRule="auto"/>
              <w:rPr>
                <w:rFonts w:ascii="Arial"/>
                <w:sz w:val="21"/>
              </w:rPr>
            </w:pPr>
          </w:p>
          <w:p w14:paraId="57FFA30E">
            <w:pPr>
              <w:spacing w:line="241" w:lineRule="auto"/>
              <w:rPr>
                <w:rFonts w:ascii="Arial"/>
                <w:sz w:val="21"/>
              </w:rPr>
            </w:pPr>
          </w:p>
          <w:p w14:paraId="7797DC2E">
            <w:pPr>
              <w:spacing w:line="241" w:lineRule="auto"/>
              <w:rPr>
                <w:rFonts w:ascii="Arial"/>
                <w:sz w:val="21"/>
              </w:rPr>
            </w:pPr>
          </w:p>
          <w:p w14:paraId="020F6BB1">
            <w:pPr>
              <w:spacing w:line="241" w:lineRule="auto"/>
              <w:rPr>
                <w:rFonts w:ascii="Arial"/>
                <w:sz w:val="21"/>
              </w:rPr>
            </w:pPr>
          </w:p>
          <w:p w14:paraId="3CF948E1">
            <w:pPr>
              <w:spacing w:line="241" w:lineRule="auto"/>
              <w:rPr>
                <w:rFonts w:ascii="Arial"/>
                <w:sz w:val="21"/>
              </w:rPr>
            </w:pPr>
          </w:p>
          <w:p w14:paraId="2A4530E9">
            <w:pPr>
              <w:spacing w:line="241" w:lineRule="auto"/>
              <w:rPr>
                <w:rFonts w:ascii="Arial"/>
                <w:sz w:val="21"/>
              </w:rPr>
            </w:pPr>
          </w:p>
          <w:p w14:paraId="592C6A95">
            <w:pPr>
              <w:spacing w:line="241" w:lineRule="auto"/>
              <w:rPr>
                <w:rFonts w:ascii="Arial"/>
                <w:sz w:val="21"/>
              </w:rPr>
            </w:pPr>
          </w:p>
          <w:p w14:paraId="2BB4BBFB">
            <w:pPr>
              <w:pStyle w:val="6"/>
              <w:spacing w:before="78" w:line="222" w:lineRule="auto"/>
              <w:ind w:left="135"/>
              <w:rPr>
                <w:sz w:val="24"/>
                <w:szCs w:val="24"/>
              </w:rPr>
            </w:pPr>
            <w:r>
              <w:rPr>
                <w:spacing w:val="6"/>
                <w:sz w:val="24"/>
                <w:szCs w:val="24"/>
              </w:rPr>
              <w:t>施工</w:t>
            </w:r>
          </w:p>
          <w:p w14:paraId="5C8B7A7B">
            <w:pPr>
              <w:pStyle w:val="6"/>
              <w:spacing w:before="18" w:line="220" w:lineRule="auto"/>
              <w:ind w:left="135"/>
              <w:rPr>
                <w:sz w:val="24"/>
                <w:szCs w:val="24"/>
              </w:rPr>
            </w:pPr>
            <w:r>
              <w:rPr>
                <w:spacing w:val="5"/>
                <w:sz w:val="24"/>
                <w:szCs w:val="24"/>
              </w:rPr>
              <w:t>期生</w:t>
            </w:r>
          </w:p>
          <w:p w14:paraId="3EE27103">
            <w:pPr>
              <w:pStyle w:val="6"/>
              <w:spacing w:before="26" w:line="221" w:lineRule="auto"/>
              <w:ind w:left="135"/>
              <w:rPr>
                <w:sz w:val="24"/>
                <w:szCs w:val="24"/>
              </w:rPr>
            </w:pPr>
            <w:r>
              <w:rPr>
                <w:spacing w:val="6"/>
                <w:sz w:val="24"/>
                <w:szCs w:val="24"/>
              </w:rPr>
              <w:t>态环</w:t>
            </w:r>
          </w:p>
          <w:p w14:paraId="196B79F0">
            <w:pPr>
              <w:pStyle w:val="6"/>
              <w:spacing w:before="20" w:line="220" w:lineRule="auto"/>
              <w:ind w:left="135"/>
              <w:rPr>
                <w:sz w:val="24"/>
                <w:szCs w:val="24"/>
              </w:rPr>
            </w:pPr>
            <w:r>
              <w:rPr>
                <w:spacing w:val="-3"/>
                <w:sz w:val="24"/>
                <w:szCs w:val="24"/>
              </w:rPr>
              <w:t>境保</w:t>
            </w:r>
          </w:p>
          <w:p w14:paraId="14112657">
            <w:pPr>
              <w:pStyle w:val="6"/>
              <w:spacing w:before="13" w:line="220" w:lineRule="auto"/>
              <w:ind w:left="135"/>
              <w:rPr>
                <w:sz w:val="24"/>
                <w:szCs w:val="24"/>
              </w:rPr>
            </w:pPr>
            <w:r>
              <w:rPr>
                <w:spacing w:val="6"/>
                <w:sz w:val="24"/>
                <w:szCs w:val="24"/>
              </w:rPr>
              <w:t>护措</w:t>
            </w:r>
          </w:p>
          <w:p w14:paraId="3DD91C67">
            <w:pPr>
              <w:pStyle w:val="6"/>
              <w:spacing w:before="27" w:line="222" w:lineRule="auto"/>
              <w:ind w:left="254"/>
              <w:rPr>
                <w:sz w:val="24"/>
                <w:szCs w:val="24"/>
              </w:rPr>
            </w:pPr>
            <w:r>
              <w:rPr>
                <w:sz w:val="24"/>
                <w:szCs w:val="24"/>
              </w:rPr>
              <w:t>施</w:t>
            </w:r>
          </w:p>
        </w:tc>
        <w:tc>
          <w:tcPr>
            <w:tcW w:w="8456" w:type="dxa"/>
            <w:vAlign w:val="top"/>
          </w:tcPr>
          <w:p w14:paraId="6DE844F8">
            <w:pPr>
              <w:pStyle w:val="6"/>
              <w:spacing w:before="32" w:line="220" w:lineRule="auto"/>
              <w:ind w:left="94"/>
              <w:rPr>
                <w:sz w:val="24"/>
                <w:szCs w:val="24"/>
              </w:rPr>
            </w:pPr>
            <w:r>
              <w:rPr>
                <w:b/>
                <w:bCs/>
                <w:spacing w:val="-6"/>
                <w:sz w:val="24"/>
                <w:szCs w:val="24"/>
              </w:rPr>
              <w:t>一、环境保护措施</w:t>
            </w:r>
          </w:p>
          <w:p w14:paraId="6625FAAF">
            <w:pPr>
              <w:pStyle w:val="6"/>
              <w:spacing w:before="173" w:line="220" w:lineRule="auto"/>
              <w:ind w:left="104"/>
              <w:rPr>
                <w:sz w:val="24"/>
                <w:szCs w:val="24"/>
              </w:rPr>
            </w:pPr>
            <w:r>
              <w:rPr>
                <w:b/>
                <w:bCs/>
                <w:spacing w:val="-3"/>
                <w:sz w:val="24"/>
                <w:szCs w:val="24"/>
              </w:rPr>
              <w:t>1生态环境保护措施</w:t>
            </w:r>
          </w:p>
          <w:p w14:paraId="189FEA02">
            <w:pPr>
              <w:pStyle w:val="6"/>
              <w:spacing w:before="183" w:line="219" w:lineRule="auto"/>
              <w:ind w:left="114"/>
              <w:rPr>
                <w:sz w:val="24"/>
                <w:szCs w:val="24"/>
              </w:rPr>
            </w:pPr>
            <w:r>
              <w:rPr>
                <w:b/>
                <w:bCs/>
                <w:spacing w:val="-3"/>
                <w:sz w:val="24"/>
                <w:szCs w:val="24"/>
              </w:rPr>
              <w:t>1.1对一般植物保护措施</w:t>
            </w:r>
          </w:p>
          <w:p w14:paraId="6D362156">
            <w:pPr>
              <w:pStyle w:val="6"/>
              <w:spacing w:before="178" w:line="219" w:lineRule="auto"/>
              <w:ind w:left="681"/>
              <w:rPr>
                <w:sz w:val="24"/>
                <w:szCs w:val="24"/>
              </w:rPr>
            </w:pPr>
            <w:r>
              <w:rPr>
                <w:spacing w:val="1"/>
                <w:sz w:val="24"/>
                <w:szCs w:val="24"/>
              </w:rPr>
              <w:t>(1)植物保护措施</w:t>
            </w:r>
          </w:p>
          <w:p w14:paraId="3CAE221D">
            <w:pPr>
              <w:pStyle w:val="6"/>
              <w:spacing w:before="194" w:line="314" w:lineRule="auto"/>
              <w:ind w:left="101" w:right="157" w:firstLine="479"/>
              <w:rPr>
                <w:sz w:val="24"/>
                <w:szCs w:val="24"/>
              </w:rPr>
            </w:pPr>
            <w:r>
              <w:rPr>
                <w:sz w:val="24"/>
                <w:szCs w:val="24"/>
              </w:rPr>
              <w:t>①植物保护的一般原则为：首先应尽量保存当地的熟化土，对于建设中永</w:t>
            </w:r>
            <w:r>
              <w:rPr>
                <w:spacing w:val="12"/>
                <w:sz w:val="24"/>
                <w:szCs w:val="24"/>
              </w:rPr>
              <w:t xml:space="preserve"> </w:t>
            </w:r>
            <w:r>
              <w:rPr>
                <w:spacing w:val="1"/>
                <w:sz w:val="24"/>
                <w:szCs w:val="24"/>
              </w:rPr>
              <w:t>久占地、临时占地中占用林地、草地部分的表层土予以收集</w:t>
            </w:r>
            <w:r>
              <w:rPr>
                <w:sz w:val="24"/>
                <w:szCs w:val="24"/>
              </w:rPr>
              <w:t>保存，施工结束后 及时清理、松土、覆盖耕作土，复耕或选择当地适宜植物及时恢复绿化。</w:t>
            </w:r>
          </w:p>
          <w:p w14:paraId="37F8C335">
            <w:pPr>
              <w:pStyle w:val="6"/>
              <w:spacing w:before="192" w:line="321" w:lineRule="auto"/>
              <w:ind w:left="101" w:right="54" w:firstLine="479"/>
              <w:rPr>
                <w:sz w:val="24"/>
                <w:szCs w:val="24"/>
              </w:rPr>
            </w:pPr>
            <w:r>
              <w:rPr>
                <w:sz w:val="24"/>
                <w:szCs w:val="24"/>
              </w:rPr>
              <w:t>②在植被恢复及绿化过程中，应选择乡土树种及适合</w:t>
            </w:r>
            <w:r>
              <w:rPr>
                <w:spacing w:val="-1"/>
                <w:sz w:val="24"/>
                <w:szCs w:val="24"/>
              </w:rPr>
              <w:t>当地环境的植物，并</w:t>
            </w:r>
            <w:r>
              <w:rPr>
                <w:sz w:val="24"/>
                <w:szCs w:val="24"/>
              </w:rPr>
              <w:t xml:space="preserve">  注意乔、灌、草搭配的原则，同时要与周围的自然景</w:t>
            </w:r>
            <w:r>
              <w:rPr>
                <w:spacing w:val="-1"/>
                <w:sz w:val="24"/>
                <w:szCs w:val="24"/>
              </w:rPr>
              <w:t>观相协调统一。根据评价</w:t>
            </w:r>
            <w:r>
              <w:rPr>
                <w:sz w:val="24"/>
                <w:szCs w:val="24"/>
              </w:rPr>
              <w:t xml:space="preserve">  </w:t>
            </w:r>
            <w:r>
              <w:rPr>
                <w:spacing w:val="4"/>
                <w:sz w:val="24"/>
                <w:szCs w:val="24"/>
              </w:rPr>
              <w:t>区土壤、水热等立地条件，本评价建议绿化树种选用云南松、</w:t>
            </w:r>
            <w:r>
              <w:rPr>
                <w:spacing w:val="3"/>
                <w:sz w:val="24"/>
                <w:szCs w:val="24"/>
              </w:rPr>
              <w:t>狗牙根、黄茅、</w:t>
            </w:r>
            <w:r>
              <w:rPr>
                <w:sz w:val="24"/>
                <w:szCs w:val="24"/>
              </w:rPr>
              <w:t xml:space="preserve"> 西南野古草等适应区域生境的乡土种类。植被恢复禁止使用外来、入侵物种。</w:t>
            </w:r>
          </w:p>
          <w:p w14:paraId="7ABAACB3">
            <w:pPr>
              <w:pStyle w:val="6"/>
              <w:spacing w:before="195" w:line="219" w:lineRule="auto"/>
              <w:ind w:left="711"/>
              <w:rPr>
                <w:sz w:val="24"/>
                <w:szCs w:val="24"/>
              </w:rPr>
            </w:pPr>
            <w:r>
              <w:rPr>
                <w:spacing w:val="1"/>
                <w:sz w:val="24"/>
                <w:szCs w:val="24"/>
              </w:rPr>
              <w:t>(2)施工管理措施</w:t>
            </w:r>
          </w:p>
          <w:p w14:paraId="20EA6EEA">
            <w:pPr>
              <w:pStyle w:val="6"/>
              <w:spacing w:before="175" w:line="364" w:lineRule="auto"/>
              <w:ind w:left="111" w:right="172" w:firstLine="469"/>
              <w:rPr>
                <w:sz w:val="24"/>
                <w:szCs w:val="24"/>
              </w:rPr>
            </w:pPr>
            <w:r>
              <w:rPr>
                <w:sz w:val="24"/>
                <w:szCs w:val="24"/>
              </w:rPr>
              <w:t>对施工人员进行环境教育、生物多样性保护教育及有关法律、法规的宣传</w:t>
            </w:r>
            <w:r>
              <w:rPr>
                <w:spacing w:val="11"/>
                <w:sz w:val="24"/>
                <w:szCs w:val="24"/>
              </w:rPr>
              <w:t xml:space="preserve"> </w:t>
            </w:r>
            <w:r>
              <w:rPr>
                <w:sz w:val="24"/>
                <w:szCs w:val="24"/>
              </w:rPr>
              <w:t>教育。</w:t>
            </w:r>
          </w:p>
          <w:p w14:paraId="34381D7A">
            <w:pPr>
              <w:pStyle w:val="6"/>
              <w:spacing w:before="14" w:line="357" w:lineRule="auto"/>
              <w:ind w:left="101" w:right="184" w:firstLine="469"/>
              <w:rPr>
                <w:sz w:val="24"/>
                <w:szCs w:val="24"/>
              </w:rPr>
            </w:pPr>
            <w:r>
              <w:rPr>
                <w:sz w:val="24"/>
                <w:szCs w:val="24"/>
              </w:rPr>
              <w:t>在施工阶段，应加强施工管理，禁止随意扩大占地</w:t>
            </w:r>
            <w:r>
              <w:rPr>
                <w:spacing w:val="-1"/>
                <w:sz w:val="24"/>
                <w:szCs w:val="24"/>
              </w:rPr>
              <w:t>范围，禁止任意砍伐施</w:t>
            </w:r>
            <w:r>
              <w:rPr>
                <w:sz w:val="24"/>
                <w:szCs w:val="24"/>
              </w:rPr>
              <w:t xml:space="preserve"> 工区周边植被以作施工使用，施工所需的木材尽可能从施工征地范围内取</w:t>
            </w:r>
            <w:r>
              <w:rPr>
                <w:spacing w:val="-1"/>
                <w:sz w:val="24"/>
                <w:szCs w:val="24"/>
              </w:rPr>
              <w:t>用。</w:t>
            </w:r>
            <w:r>
              <w:rPr>
                <w:sz w:val="24"/>
                <w:szCs w:val="24"/>
              </w:rPr>
              <w:t xml:space="preserve"> 加强生产生活用火用电安全的管理，提高消防意识，防止森林火灾的发生。评 价范围内的天然植被不得随意砍伐，施工临时占地不得进入天然植被区，</w:t>
            </w:r>
            <w:r>
              <w:rPr>
                <w:spacing w:val="-1"/>
                <w:sz w:val="24"/>
                <w:szCs w:val="24"/>
              </w:rPr>
              <w:t>不得</w:t>
            </w:r>
            <w:r>
              <w:rPr>
                <w:sz w:val="24"/>
                <w:szCs w:val="24"/>
              </w:rPr>
              <w:t xml:space="preserve"> 在天然植被中堆放施工材料。</w:t>
            </w:r>
          </w:p>
          <w:p w14:paraId="464B9344">
            <w:pPr>
              <w:pStyle w:val="6"/>
              <w:spacing w:line="220" w:lineRule="auto"/>
              <w:ind w:left="711"/>
              <w:rPr>
                <w:sz w:val="24"/>
                <w:szCs w:val="24"/>
              </w:rPr>
            </w:pPr>
            <w:r>
              <w:rPr>
                <w:sz w:val="24"/>
                <w:szCs w:val="24"/>
              </w:rPr>
              <w:t>(3)施工迹地的生态恢复</w:t>
            </w:r>
          </w:p>
          <w:p w14:paraId="0864324E">
            <w:pPr>
              <w:pStyle w:val="6"/>
              <w:spacing w:before="185" w:line="360" w:lineRule="auto"/>
              <w:ind w:left="91" w:right="164" w:firstLine="489"/>
              <w:rPr>
                <w:sz w:val="24"/>
                <w:szCs w:val="24"/>
              </w:rPr>
            </w:pPr>
            <w:r>
              <w:rPr>
                <w:sz w:val="24"/>
                <w:szCs w:val="24"/>
              </w:rPr>
              <w:t>施工过程中注意保护好表层土壤，用于施工结束后施工迹地的绿化恢复。 应督促施工单位及时拆除临时建筑，清理和平整场地，恢复土层，采用当地植 物进行“恢复性”种植，然后采取“封育”手段，促</w:t>
            </w:r>
            <w:r>
              <w:rPr>
                <w:spacing w:val="-1"/>
                <w:sz w:val="24"/>
                <w:szCs w:val="24"/>
              </w:rPr>
              <w:t>进自然恢复。临时表土堆</w:t>
            </w:r>
            <w:r>
              <w:rPr>
                <w:sz w:val="24"/>
                <w:szCs w:val="24"/>
              </w:rPr>
              <w:t xml:space="preserve"> </w:t>
            </w:r>
            <w:r>
              <w:rPr>
                <w:spacing w:val="1"/>
                <w:sz w:val="24"/>
                <w:szCs w:val="24"/>
              </w:rPr>
              <w:t>场，采取临时拦挡、临时排水和覆盖措施，使用完成后进行生态恢</w:t>
            </w:r>
            <w:r>
              <w:rPr>
                <w:sz w:val="24"/>
                <w:szCs w:val="24"/>
              </w:rPr>
              <w:t xml:space="preserve">复，以减少 </w:t>
            </w:r>
            <w:r>
              <w:rPr>
                <w:spacing w:val="1"/>
                <w:sz w:val="24"/>
                <w:szCs w:val="24"/>
              </w:rPr>
              <w:t>水土流失现象发生。就地采集当地植物的种子、幼苗进行种植，不</w:t>
            </w:r>
            <w:r>
              <w:rPr>
                <w:sz w:val="24"/>
                <w:szCs w:val="24"/>
              </w:rPr>
              <w:t xml:space="preserve">能引用外来 </w:t>
            </w:r>
            <w:r>
              <w:rPr>
                <w:spacing w:val="3"/>
                <w:sz w:val="24"/>
                <w:szCs w:val="24"/>
              </w:rPr>
              <w:t>物种。</w:t>
            </w:r>
          </w:p>
          <w:p w14:paraId="19CB5883">
            <w:pPr>
              <w:pStyle w:val="6"/>
              <w:spacing w:before="2" w:line="336" w:lineRule="auto"/>
              <w:ind w:left="101" w:right="175" w:firstLine="610"/>
              <w:rPr>
                <w:sz w:val="24"/>
                <w:szCs w:val="24"/>
              </w:rPr>
            </w:pPr>
            <w:r>
              <w:rPr>
                <w:sz w:val="24"/>
                <w:szCs w:val="24"/>
              </w:rPr>
              <w:t>(4)工程施工过程中强化管理，提高管理者的消防意识，注意管理巡</w:t>
            </w:r>
            <w:r>
              <w:rPr>
                <w:spacing w:val="-1"/>
                <w:sz w:val="24"/>
                <w:szCs w:val="24"/>
              </w:rPr>
              <w:t>查，</w:t>
            </w:r>
            <w:r>
              <w:rPr>
                <w:sz w:val="24"/>
                <w:szCs w:val="24"/>
              </w:rPr>
              <w:t xml:space="preserve"> </w:t>
            </w:r>
            <w:r>
              <w:rPr>
                <w:spacing w:val="-1"/>
                <w:sz w:val="24"/>
                <w:szCs w:val="24"/>
              </w:rPr>
              <w:t>避免山林火灾的发生。</w:t>
            </w:r>
          </w:p>
        </w:tc>
      </w:tr>
    </w:tbl>
    <w:p w14:paraId="0CB5D274">
      <w:pPr>
        <w:pStyle w:val="2"/>
      </w:pPr>
    </w:p>
    <w:p w14:paraId="6946E508">
      <w:pPr>
        <w:sectPr>
          <w:footerReference r:id="rId196" w:type="default"/>
          <w:pgSz w:w="11910" w:h="16840"/>
          <w:pgMar w:top="400" w:right="1355" w:bottom="1269" w:left="1324" w:header="0" w:footer="1089" w:gutter="0"/>
          <w:cols w:space="720" w:num="1"/>
        </w:sectPr>
      </w:pPr>
    </w:p>
    <w:p w14:paraId="4867F987">
      <w:pPr>
        <w:spacing w:before="15"/>
      </w:pPr>
    </w:p>
    <w:p w14:paraId="519CC502">
      <w:pPr>
        <w:spacing w:before="15"/>
      </w:pPr>
    </w:p>
    <w:p w14:paraId="42E142A8">
      <w:pPr>
        <w:spacing w:before="15"/>
      </w:pPr>
    </w:p>
    <w:p w14:paraId="0C145CF6">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8476"/>
      </w:tblGrid>
      <w:tr w14:paraId="67567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9" w:hRule="atLeast"/>
        </w:trPr>
        <w:tc>
          <w:tcPr>
            <w:tcW w:w="744" w:type="dxa"/>
            <w:vAlign w:val="top"/>
          </w:tcPr>
          <w:p w14:paraId="03131FE6">
            <w:pPr>
              <w:rPr>
                <w:rFonts w:ascii="Arial"/>
                <w:sz w:val="21"/>
              </w:rPr>
            </w:pPr>
          </w:p>
        </w:tc>
        <w:tc>
          <w:tcPr>
            <w:tcW w:w="8476" w:type="dxa"/>
            <w:vAlign w:val="top"/>
          </w:tcPr>
          <w:p w14:paraId="2C20D317">
            <w:pPr>
              <w:pStyle w:val="6"/>
              <w:spacing w:before="20" w:line="362" w:lineRule="auto"/>
              <w:ind w:left="91" w:firstLine="498"/>
              <w:rPr>
                <w:sz w:val="24"/>
                <w:szCs w:val="24"/>
              </w:rPr>
            </w:pPr>
            <w:r>
              <w:rPr>
                <w:sz w:val="24"/>
                <w:szCs w:val="24"/>
              </w:rPr>
              <w:t>(5)评价区范围内现有植被多为喜阳耐旱的</w:t>
            </w:r>
            <w:r>
              <w:rPr>
                <w:spacing w:val="-1"/>
                <w:sz w:val="24"/>
                <w:szCs w:val="24"/>
              </w:rPr>
              <w:t>草地，项目实施后，由于电池</w:t>
            </w:r>
            <w:r>
              <w:rPr>
                <w:sz w:val="24"/>
                <w:szCs w:val="24"/>
              </w:rPr>
              <w:t xml:space="preserve">   </w:t>
            </w:r>
            <w:r>
              <w:rPr>
                <w:spacing w:val="1"/>
                <w:sz w:val="24"/>
                <w:szCs w:val="24"/>
              </w:rPr>
              <w:t>板的遮挡，必然导致减少其种类和数量，因此要求入驻项目须根据其特点种植</w:t>
            </w:r>
            <w:r>
              <w:rPr>
                <w:spacing w:val="5"/>
                <w:sz w:val="24"/>
                <w:szCs w:val="24"/>
              </w:rPr>
              <w:t xml:space="preserve">  </w:t>
            </w:r>
            <w:r>
              <w:rPr>
                <w:spacing w:val="1"/>
                <w:sz w:val="24"/>
                <w:szCs w:val="24"/>
              </w:rPr>
              <w:t>喜阴植物。绿化可考虑选取乡土树种为主，易于存活，并注意乔、灌、花、草</w:t>
            </w:r>
            <w:r>
              <w:rPr>
                <w:spacing w:val="5"/>
                <w:sz w:val="24"/>
                <w:szCs w:val="24"/>
              </w:rPr>
              <w:t xml:space="preserve">  </w:t>
            </w:r>
            <w:r>
              <w:rPr>
                <w:spacing w:val="-1"/>
                <w:sz w:val="24"/>
                <w:szCs w:val="24"/>
              </w:rPr>
              <w:t>结合。太阳能电池组件区域及电池板正下方部分宜布置喜阴的低小植物或草坪，</w:t>
            </w:r>
            <w:r>
              <w:rPr>
                <w:spacing w:val="8"/>
                <w:sz w:val="24"/>
                <w:szCs w:val="24"/>
              </w:rPr>
              <w:t xml:space="preserve"> </w:t>
            </w:r>
            <w:r>
              <w:rPr>
                <w:spacing w:val="2"/>
                <w:sz w:val="24"/>
                <w:szCs w:val="24"/>
              </w:rPr>
              <w:t>且尽量保留原有的低矮植被，太阳电池方阵附近的绿化以低矮</w:t>
            </w:r>
            <w:r>
              <w:rPr>
                <w:spacing w:val="1"/>
                <w:sz w:val="24"/>
                <w:szCs w:val="24"/>
              </w:rPr>
              <w:t>灌木为主，以阴</w:t>
            </w:r>
            <w:r>
              <w:rPr>
                <w:sz w:val="24"/>
                <w:szCs w:val="24"/>
              </w:rPr>
              <w:t xml:space="preserve">  </w:t>
            </w:r>
            <w:r>
              <w:rPr>
                <w:spacing w:val="1"/>
                <w:sz w:val="24"/>
                <w:szCs w:val="24"/>
              </w:rPr>
              <w:t>影不遮挡光伏板为前提。</w:t>
            </w:r>
          </w:p>
          <w:p w14:paraId="7FD1A3C1">
            <w:pPr>
              <w:pStyle w:val="6"/>
              <w:spacing w:before="2" w:line="359" w:lineRule="auto"/>
              <w:ind w:left="91" w:firstLine="628"/>
              <w:rPr>
                <w:sz w:val="24"/>
                <w:szCs w:val="24"/>
              </w:rPr>
            </w:pPr>
            <w:r>
              <w:rPr>
                <w:sz w:val="24"/>
                <w:szCs w:val="24"/>
              </w:rPr>
              <w:t>(6)施工时应严格按划定的用地范围作业</w:t>
            </w:r>
            <w:r>
              <w:rPr>
                <w:spacing w:val="-1"/>
                <w:sz w:val="24"/>
                <w:szCs w:val="24"/>
              </w:rPr>
              <w:t>，禁止超范围占用土地和破坏植</w:t>
            </w:r>
            <w:r>
              <w:rPr>
                <w:sz w:val="24"/>
                <w:szCs w:val="24"/>
              </w:rPr>
              <w:t xml:space="preserve">  </w:t>
            </w:r>
            <w:r>
              <w:rPr>
                <w:spacing w:val="2"/>
                <w:sz w:val="24"/>
                <w:szCs w:val="24"/>
              </w:rPr>
              <w:t>被，除箱变及电缆分接箱基础、集电线路塔基</w:t>
            </w:r>
            <w:r>
              <w:rPr>
                <w:spacing w:val="1"/>
                <w:sz w:val="24"/>
                <w:szCs w:val="24"/>
              </w:rPr>
              <w:t>、升压站及进站道路永久用地区</w:t>
            </w:r>
            <w:r>
              <w:rPr>
                <w:sz w:val="24"/>
                <w:szCs w:val="24"/>
              </w:rPr>
              <w:t xml:space="preserve">  </w:t>
            </w:r>
            <w:r>
              <w:rPr>
                <w:spacing w:val="1"/>
                <w:sz w:val="24"/>
                <w:szCs w:val="24"/>
              </w:rPr>
              <w:t>域外，严禁硬化地面；施工过程中注意保护好表层土壤，用于施工结束后施工</w:t>
            </w:r>
            <w:r>
              <w:rPr>
                <w:spacing w:val="6"/>
                <w:sz w:val="24"/>
                <w:szCs w:val="24"/>
              </w:rPr>
              <w:t xml:space="preserve">  </w:t>
            </w:r>
            <w:r>
              <w:rPr>
                <w:spacing w:val="1"/>
                <w:sz w:val="24"/>
                <w:szCs w:val="24"/>
              </w:rPr>
              <w:t>迹地的绿化恢复；施工结束后应督促施工单位及时拆除临时建筑，清理和平整</w:t>
            </w:r>
            <w:r>
              <w:rPr>
                <w:spacing w:val="6"/>
                <w:sz w:val="24"/>
                <w:szCs w:val="24"/>
              </w:rPr>
              <w:t xml:space="preserve">  </w:t>
            </w:r>
            <w:r>
              <w:rPr>
                <w:spacing w:val="-1"/>
                <w:sz w:val="24"/>
                <w:szCs w:val="24"/>
              </w:rPr>
              <w:t>场地，恢复土层，采用当地植物进行“恢复性”种植，然后采取“封育”手段，</w:t>
            </w:r>
            <w:r>
              <w:rPr>
                <w:spacing w:val="8"/>
                <w:sz w:val="24"/>
                <w:szCs w:val="24"/>
              </w:rPr>
              <w:t xml:space="preserve"> </w:t>
            </w:r>
            <w:r>
              <w:rPr>
                <w:spacing w:val="2"/>
                <w:sz w:val="24"/>
                <w:szCs w:val="24"/>
              </w:rPr>
              <w:t>促进自然恢复；在植被恢复及绿化过程中，</w:t>
            </w:r>
            <w:r>
              <w:rPr>
                <w:spacing w:val="1"/>
                <w:sz w:val="24"/>
                <w:szCs w:val="24"/>
              </w:rPr>
              <w:t>应选择乡土树种及适合当地环境的</w:t>
            </w:r>
            <w:r>
              <w:rPr>
                <w:sz w:val="24"/>
                <w:szCs w:val="24"/>
              </w:rPr>
              <w:t xml:space="preserve">  </w:t>
            </w:r>
            <w:r>
              <w:rPr>
                <w:spacing w:val="2"/>
                <w:sz w:val="24"/>
                <w:szCs w:val="24"/>
              </w:rPr>
              <w:t>植物，不得引入外来入侵物种；合理制定复</w:t>
            </w:r>
            <w:r>
              <w:rPr>
                <w:spacing w:val="1"/>
                <w:sz w:val="24"/>
                <w:szCs w:val="24"/>
              </w:rPr>
              <w:t>合林业种植方案，选取对种植光照</w:t>
            </w:r>
            <w:r>
              <w:rPr>
                <w:sz w:val="24"/>
                <w:szCs w:val="24"/>
              </w:rPr>
              <w:t xml:space="preserve">  </w:t>
            </w:r>
            <w:r>
              <w:rPr>
                <w:spacing w:val="1"/>
                <w:sz w:val="24"/>
                <w:szCs w:val="24"/>
              </w:rPr>
              <w:t>需求量不高，且容易成活、有经济价值的林木，事宜的农作物种类，制定科学</w:t>
            </w:r>
            <w:r>
              <w:rPr>
                <w:spacing w:val="6"/>
                <w:sz w:val="24"/>
                <w:szCs w:val="24"/>
              </w:rPr>
              <w:t xml:space="preserve">  </w:t>
            </w:r>
            <w:r>
              <w:rPr>
                <w:spacing w:val="4"/>
                <w:sz w:val="24"/>
                <w:szCs w:val="24"/>
              </w:rPr>
              <w:t>种植计划。对道路边坡根据立地条件灌草恢复植被，进一步巩固路基及边坡，</w:t>
            </w:r>
            <w:r>
              <w:rPr>
                <w:sz w:val="24"/>
                <w:szCs w:val="24"/>
              </w:rPr>
              <w:t xml:space="preserve"> </w:t>
            </w:r>
            <w:r>
              <w:rPr>
                <w:spacing w:val="3"/>
                <w:sz w:val="24"/>
                <w:szCs w:val="24"/>
              </w:rPr>
              <w:t>减轻水土流失，美化施工区环境，升压站进站道路根据周边</w:t>
            </w:r>
            <w:r>
              <w:rPr>
                <w:spacing w:val="2"/>
                <w:sz w:val="24"/>
                <w:szCs w:val="24"/>
              </w:rPr>
              <w:t>地形种植行道树。</w:t>
            </w:r>
          </w:p>
          <w:p w14:paraId="2133D91F">
            <w:pPr>
              <w:pStyle w:val="6"/>
              <w:spacing w:before="2" w:line="361" w:lineRule="auto"/>
              <w:ind w:left="30" w:firstLine="683"/>
              <w:rPr>
                <w:sz w:val="24"/>
                <w:szCs w:val="24"/>
              </w:rPr>
            </w:pPr>
            <w:r>
              <w:rPr>
                <w:spacing w:val="-2"/>
                <w:sz w:val="24"/>
                <w:szCs w:val="24"/>
              </w:rPr>
              <w:t>(7)建议下阶段设计过程中，光伏电站业主应委托专业的技术单位，结合</w:t>
            </w:r>
            <w:r>
              <w:rPr>
                <w:sz w:val="24"/>
                <w:szCs w:val="24"/>
              </w:rPr>
              <w:t xml:space="preserve">   </w:t>
            </w:r>
            <w:r>
              <w:rPr>
                <w:spacing w:val="1"/>
                <w:sz w:val="24"/>
                <w:szCs w:val="24"/>
              </w:rPr>
              <w:t>光伏电站的特点、工程区土壤、气候条件，种植光照需求量不高，且容易成活、</w:t>
            </w:r>
            <w:r>
              <w:rPr>
                <w:sz w:val="24"/>
                <w:szCs w:val="24"/>
              </w:rPr>
              <w:t xml:space="preserve"> </w:t>
            </w:r>
            <w:r>
              <w:rPr>
                <w:spacing w:val="3"/>
                <w:sz w:val="24"/>
                <w:szCs w:val="24"/>
              </w:rPr>
              <w:t>有经济价值的植物，确认种植方案设计。</w:t>
            </w:r>
          </w:p>
          <w:p w14:paraId="5397702F">
            <w:pPr>
              <w:pStyle w:val="6"/>
              <w:spacing w:line="219" w:lineRule="auto"/>
              <w:ind w:left="711"/>
              <w:rPr>
                <w:sz w:val="24"/>
                <w:szCs w:val="24"/>
              </w:rPr>
            </w:pPr>
            <w:r>
              <w:rPr>
                <w:sz w:val="24"/>
                <w:szCs w:val="24"/>
              </w:rPr>
              <w:t>(8)严格执行水土保持方案中提出的水土保持防治措施。</w:t>
            </w:r>
          </w:p>
          <w:p w14:paraId="0EA826B4">
            <w:pPr>
              <w:pStyle w:val="6"/>
              <w:spacing w:before="205" w:line="219" w:lineRule="auto"/>
              <w:ind w:left="721"/>
              <w:rPr>
                <w:sz w:val="24"/>
                <w:szCs w:val="24"/>
              </w:rPr>
            </w:pPr>
            <w:r>
              <w:rPr>
                <w:sz w:val="24"/>
                <w:szCs w:val="24"/>
              </w:rPr>
              <w:t>(9)服务期满后生态恢复</w:t>
            </w:r>
          </w:p>
          <w:p w14:paraId="706C7761">
            <w:pPr>
              <w:pStyle w:val="6"/>
              <w:spacing w:before="154" w:line="360" w:lineRule="auto"/>
              <w:ind w:left="131" w:right="136" w:firstLine="479"/>
              <w:jc w:val="both"/>
              <w:rPr>
                <w:sz w:val="24"/>
                <w:szCs w:val="24"/>
              </w:rPr>
            </w:pPr>
            <w:r>
              <w:rPr>
                <w:sz w:val="24"/>
                <w:szCs w:val="24"/>
              </w:rPr>
              <w:t>光伏项目服务期满后，须拆除光伏组件及区域内的建筑，恢复区域生态环</w:t>
            </w:r>
            <w:r>
              <w:rPr>
                <w:spacing w:val="11"/>
                <w:sz w:val="24"/>
                <w:szCs w:val="24"/>
              </w:rPr>
              <w:t xml:space="preserve"> </w:t>
            </w:r>
            <w:r>
              <w:rPr>
                <w:spacing w:val="1"/>
                <w:sz w:val="24"/>
                <w:szCs w:val="24"/>
              </w:rPr>
              <w:t>境。服务期满后，通过采取积极的对策，即可避免一系列的社会与</w:t>
            </w:r>
            <w:r>
              <w:rPr>
                <w:sz w:val="24"/>
                <w:szCs w:val="24"/>
              </w:rPr>
              <w:t xml:space="preserve">环境负面影 </w:t>
            </w:r>
            <w:r>
              <w:rPr>
                <w:spacing w:val="1"/>
                <w:sz w:val="24"/>
                <w:szCs w:val="24"/>
              </w:rPr>
              <w:t>响，使区域发展趋于正常化。针对本项目对生态环境的影响，对于服务期满后</w:t>
            </w:r>
            <w:r>
              <w:rPr>
                <w:spacing w:val="3"/>
                <w:sz w:val="24"/>
                <w:szCs w:val="24"/>
              </w:rPr>
              <w:t xml:space="preserve"> </w:t>
            </w:r>
            <w:r>
              <w:rPr>
                <w:sz w:val="24"/>
                <w:szCs w:val="24"/>
              </w:rPr>
              <w:t>的生态恢复情况，现拟定以下几点措施：</w:t>
            </w:r>
          </w:p>
          <w:p w14:paraId="37BD66C5">
            <w:pPr>
              <w:pStyle w:val="6"/>
              <w:spacing w:before="20" w:line="294" w:lineRule="auto"/>
              <w:ind w:left="121" w:right="162" w:firstLine="489"/>
              <w:rPr>
                <w:sz w:val="24"/>
                <w:szCs w:val="24"/>
              </w:rPr>
            </w:pPr>
            <w:r>
              <w:rPr>
                <w:sz w:val="24"/>
                <w:szCs w:val="24"/>
              </w:rPr>
              <w:t>1)项目区场地内所有建筑物全部拆除，并对场地进行平整，然后覆土进行</w:t>
            </w:r>
            <w:r>
              <w:rPr>
                <w:spacing w:val="11"/>
                <w:sz w:val="24"/>
                <w:szCs w:val="24"/>
              </w:rPr>
              <w:t xml:space="preserve"> </w:t>
            </w:r>
            <w:r>
              <w:rPr>
                <w:spacing w:val="-1"/>
                <w:sz w:val="24"/>
                <w:szCs w:val="24"/>
              </w:rPr>
              <w:t>植被恢复。</w:t>
            </w:r>
          </w:p>
          <w:p w14:paraId="1B0C0803">
            <w:pPr>
              <w:pStyle w:val="6"/>
              <w:spacing w:before="183" w:line="291" w:lineRule="auto"/>
              <w:ind w:left="151" w:right="163" w:firstLine="449"/>
              <w:rPr>
                <w:sz w:val="24"/>
                <w:szCs w:val="24"/>
              </w:rPr>
            </w:pPr>
            <w:r>
              <w:rPr>
                <w:sz w:val="24"/>
                <w:szCs w:val="24"/>
              </w:rPr>
              <w:t>2)采用本地种、按照乔灌草结合的方式对拆除光伏组件及区内建筑物后的</w:t>
            </w:r>
            <w:r>
              <w:rPr>
                <w:spacing w:val="17"/>
                <w:sz w:val="24"/>
                <w:szCs w:val="24"/>
              </w:rPr>
              <w:t xml:space="preserve"> </w:t>
            </w:r>
            <w:r>
              <w:rPr>
                <w:sz w:val="24"/>
                <w:szCs w:val="24"/>
              </w:rPr>
              <w:t>场地进行生态恢复，具体恢复措施严格按照《水土保持</w:t>
            </w:r>
            <w:r>
              <w:rPr>
                <w:spacing w:val="-1"/>
                <w:sz w:val="24"/>
                <w:szCs w:val="24"/>
              </w:rPr>
              <w:t>方案》进行；生态恢复</w:t>
            </w:r>
          </w:p>
        </w:tc>
      </w:tr>
    </w:tbl>
    <w:p w14:paraId="0A6BBC27">
      <w:pPr>
        <w:pStyle w:val="2"/>
      </w:pPr>
    </w:p>
    <w:p w14:paraId="7CE06581">
      <w:pPr>
        <w:sectPr>
          <w:footerReference r:id="rId197" w:type="default"/>
          <w:pgSz w:w="11910" w:h="16840"/>
          <w:pgMar w:top="400" w:right="1355" w:bottom="1268" w:left="1324" w:header="0" w:footer="1089" w:gutter="0"/>
          <w:cols w:space="720" w:num="1"/>
        </w:sectPr>
      </w:pPr>
    </w:p>
    <w:p w14:paraId="7D917525">
      <w:pPr>
        <w:spacing w:before="15"/>
      </w:pPr>
    </w:p>
    <w:p w14:paraId="2C1C8460">
      <w:pPr>
        <w:spacing w:before="15"/>
      </w:pPr>
    </w:p>
    <w:p w14:paraId="41F2899C">
      <w:pPr>
        <w:spacing w:before="15"/>
      </w:pPr>
    </w:p>
    <w:p w14:paraId="16BD380F">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8476"/>
      </w:tblGrid>
      <w:tr w14:paraId="694C8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69" w:hRule="atLeast"/>
        </w:trPr>
        <w:tc>
          <w:tcPr>
            <w:tcW w:w="744" w:type="dxa"/>
            <w:vAlign w:val="top"/>
          </w:tcPr>
          <w:p w14:paraId="031AB1E9">
            <w:pPr>
              <w:rPr>
                <w:rFonts w:ascii="Arial"/>
                <w:sz w:val="21"/>
              </w:rPr>
            </w:pPr>
          </w:p>
        </w:tc>
        <w:tc>
          <w:tcPr>
            <w:tcW w:w="8476" w:type="dxa"/>
            <w:vAlign w:val="top"/>
          </w:tcPr>
          <w:p w14:paraId="12CCCDD4">
            <w:pPr>
              <w:pStyle w:val="6"/>
              <w:spacing w:before="26" w:line="362" w:lineRule="auto"/>
              <w:ind w:left="111" w:right="164" w:firstLine="10"/>
              <w:jc w:val="both"/>
              <w:rPr>
                <w:sz w:val="24"/>
                <w:szCs w:val="24"/>
              </w:rPr>
            </w:pPr>
            <w:r>
              <w:rPr>
                <w:sz w:val="24"/>
                <w:szCs w:val="24"/>
              </w:rPr>
              <w:t>须因地制宜，旱地进行土地复垦，荒草地进行植被恢复。植被恢复宜就地采集</w:t>
            </w:r>
            <w:r>
              <w:rPr>
                <w:spacing w:val="8"/>
                <w:sz w:val="24"/>
                <w:szCs w:val="24"/>
              </w:rPr>
              <w:t xml:space="preserve"> </w:t>
            </w:r>
            <w:r>
              <w:rPr>
                <w:spacing w:val="1"/>
                <w:sz w:val="24"/>
                <w:szCs w:val="24"/>
              </w:rPr>
              <w:t>当地植物的种子、幼苗进行种植，不能采用外来入侵物种。植被</w:t>
            </w:r>
            <w:r>
              <w:rPr>
                <w:sz w:val="24"/>
                <w:szCs w:val="24"/>
              </w:rPr>
              <w:t xml:space="preserve">恢复力求创造 </w:t>
            </w:r>
            <w:r>
              <w:rPr>
                <w:spacing w:val="1"/>
                <w:sz w:val="24"/>
                <w:szCs w:val="24"/>
              </w:rPr>
              <w:t>多样性的生态环境条件，尽可能利用自然条件，包括土壤、种子，</w:t>
            </w:r>
            <w:r>
              <w:rPr>
                <w:sz w:val="24"/>
                <w:szCs w:val="24"/>
              </w:rPr>
              <w:t xml:space="preserve">避免过于单 </w:t>
            </w:r>
            <w:r>
              <w:rPr>
                <w:spacing w:val="1"/>
                <w:sz w:val="24"/>
                <w:szCs w:val="24"/>
              </w:rPr>
              <w:t>一化和人工化，须注意乔、灌、草的结合，</w:t>
            </w:r>
            <w:r>
              <w:rPr>
                <w:sz w:val="24"/>
                <w:szCs w:val="24"/>
              </w:rPr>
              <w:t>避免“园林化”恢复倾向。进行植 被恢复时可采用白三叶、狗牙根等，须同时采用多种植物进行植被恢复，避免</w:t>
            </w:r>
            <w:r>
              <w:rPr>
                <w:spacing w:val="9"/>
                <w:sz w:val="24"/>
                <w:szCs w:val="24"/>
              </w:rPr>
              <w:t xml:space="preserve"> </w:t>
            </w:r>
            <w:r>
              <w:rPr>
                <w:spacing w:val="1"/>
                <w:sz w:val="24"/>
                <w:szCs w:val="24"/>
              </w:rPr>
              <w:t>恢复区植物单一化。</w:t>
            </w:r>
          </w:p>
          <w:p w14:paraId="4B47E7AB">
            <w:pPr>
              <w:pStyle w:val="6"/>
              <w:spacing w:before="25" w:line="355" w:lineRule="auto"/>
              <w:ind w:left="111" w:right="171" w:firstLine="489"/>
              <w:jc w:val="both"/>
              <w:rPr>
                <w:sz w:val="24"/>
                <w:szCs w:val="24"/>
              </w:rPr>
            </w:pPr>
            <w:r>
              <w:rPr>
                <w:sz w:val="24"/>
                <w:szCs w:val="24"/>
              </w:rPr>
              <w:t>3)植被恢复区须采取封育措施进行恢复，对较难恢复区域应采取相应的工</w:t>
            </w:r>
            <w:r>
              <w:rPr>
                <w:spacing w:val="12"/>
                <w:sz w:val="24"/>
                <w:szCs w:val="24"/>
              </w:rPr>
              <w:t xml:space="preserve"> </w:t>
            </w:r>
            <w:r>
              <w:rPr>
                <w:sz w:val="24"/>
                <w:szCs w:val="24"/>
              </w:rPr>
              <w:t>程治理措施进行重点恢复治理。植被恢复期须加强监督</w:t>
            </w:r>
            <w:r>
              <w:rPr>
                <w:spacing w:val="-1"/>
                <w:sz w:val="24"/>
                <w:szCs w:val="24"/>
              </w:rPr>
              <w:t>管理，在周边设立警示</w:t>
            </w:r>
            <w:r>
              <w:rPr>
                <w:sz w:val="24"/>
                <w:szCs w:val="24"/>
              </w:rPr>
              <w:t xml:space="preserve"> 牌，严禁无关人员进入该区域活动。</w:t>
            </w:r>
          </w:p>
          <w:p w14:paraId="3B1B243D">
            <w:pPr>
              <w:pStyle w:val="6"/>
              <w:spacing w:before="1" w:line="220" w:lineRule="auto"/>
              <w:ind w:left="134"/>
              <w:rPr>
                <w:sz w:val="24"/>
                <w:szCs w:val="24"/>
              </w:rPr>
            </w:pPr>
            <w:r>
              <w:rPr>
                <w:b/>
                <w:bCs/>
                <w:spacing w:val="-3"/>
                <w:sz w:val="24"/>
                <w:szCs w:val="24"/>
              </w:rPr>
              <w:t>1.2野生动物保护措施</w:t>
            </w:r>
          </w:p>
          <w:p w14:paraId="2634083D">
            <w:pPr>
              <w:pStyle w:val="6"/>
              <w:spacing w:before="185" w:line="290" w:lineRule="auto"/>
              <w:ind w:left="121" w:right="295" w:firstLine="469"/>
              <w:rPr>
                <w:sz w:val="24"/>
                <w:szCs w:val="24"/>
              </w:rPr>
            </w:pPr>
            <w:r>
              <w:rPr>
                <w:sz w:val="24"/>
                <w:szCs w:val="24"/>
              </w:rPr>
              <w:t>(1)工程施工期间尤其要加强对施工人员的管理和教育，禁止非法狩猎和</w:t>
            </w:r>
            <w:r>
              <w:rPr>
                <w:spacing w:val="18"/>
                <w:sz w:val="24"/>
                <w:szCs w:val="24"/>
              </w:rPr>
              <w:t xml:space="preserve"> </w:t>
            </w:r>
            <w:r>
              <w:rPr>
                <w:sz w:val="24"/>
                <w:szCs w:val="24"/>
              </w:rPr>
              <w:t>捕杀陆生脊椎动物，减少工程建设对动物的影响。</w:t>
            </w:r>
          </w:p>
          <w:p w14:paraId="20DFEBA5">
            <w:pPr>
              <w:pStyle w:val="6"/>
              <w:spacing w:before="178" w:line="333" w:lineRule="auto"/>
              <w:ind w:left="101" w:right="165" w:firstLine="509"/>
              <w:rPr>
                <w:sz w:val="24"/>
                <w:szCs w:val="24"/>
              </w:rPr>
            </w:pPr>
            <w:r>
              <w:rPr>
                <w:sz w:val="24"/>
                <w:szCs w:val="24"/>
              </w:rPr>
              <w:t>(2)保护栖息地。在保护野生动物的措施中，最有力的一条就是保护野生</w:t>
            </w:r>
            <w:r>
              <w:rPr>
                <w:spacing w:val="5"/>
                <w:sz w:val="24"/>
                <w:szCs w:val="24"/>
              </w:rPr>
              <w:t xml:space="preserve">  </w:t>
            </w:r>
            <w:r>
              <w:rPr>
                <w:spacing w:val="1"/>
                <w:sz w:val="24"/>
                <w:szCs w:val="24"/>
              </w:rPr>
              <w:t>动物的栖息地，从某种意义上来说，保护好了栖息地，就</w:t>
            </w:r>
            <w:r>
              <w:rPr>
                <w:sz w:val="24"/>
                <w:szCs w:val="24"/>
              </w:rPr>
              <w:t>等于保护好了野生动 物，就要求认真保护好森林和环境，合理安排施工规划，减少对动物生境的破</w:t>
            </w:r>
            <w:r>
              <w:rPr>
                <w:spacing w:val="9"/>
                <w:sz w:val="24"/>
                <w:szCs w:val="24"/>
              </w:rPr>
              <w:t xml:space="preserve"> </w:t>
            </w:r>
            <w:r>
              <w:rPr>
                <w:spacing w:val="1"/>
                <w:sz w:val="24"/>
                <w:szCs w:val="24"/>
              </w:rPr>
              <w:t>坏。因此，工程建设中应尽量避让长势较好的森林植被，严禁破坏占地区外的</w:t>
            </w:r>
            <w:r>
              <w:rPr>
                <w:spacing w:val="4"/>
                <w:sz w:val="24"/>
                <w:szCs w:val="24"/>
              </w:rPr>
              <w:t xml:space="preserve"> </w:t>
            </w:r>
            <w:r>
              <w:rPr>
                <w:spacing w:val="-1"/>
                <w:sz w:val="24"/>
                <w:szCs w:val="24"/>
              </w:rPr>
              <w:t>森林植被。</w:t>
            </w:r>
          </w:p>
          <w:p w14:paraId="1499F260">
            <w:pPr>
              <w:pStyle w:val="6"/>
              <w:spacing w:before="185" w:line="219" w:lineRule="auto"/>
              <w:ind w:left="600"/>
              <w:rPr>
                <w:sz w:val="24"/>
                <w:szCs w:val="24"/>
              </w:rPr>
            </w:pPr>
            <w:r>
              <w:rPr>
                <w:sz w:val="24"/>
                <w:szCs w:val="24"/>
              </w:rPr>
              <w:t>(3)工程施工过程中，尽量避开兽类的繁殖季</w:t>
            </w:r>
            <w:r>
              <w:rPr>
                <w:spacing w:val="-1"/>
                <w:sz w:val="24"/>
                <w:szCs w:val="24"/>
              </w:rPr>
              <w:t>节。</w:t>
            </w:r>
          </w:p>
          <w:p w14:paraId="05072BEA">
            <w:pPr>
              <w:pStyle w:val="6"/>
              <w:spacing w:before="176" w:line="290" w:lineRule="auto"/>
              <w:ind w:left="121" w:right="295" w:firstLine="489"/>
              <w:rPr>
                <w:sz w:val="24"/>
                <w:szCs w:val="24"/>
              </w:rPr>
            </w:pPr>
            <w:r>
              <w:rPr>
                <w:sz w:val="24"/>
                <w:szCs w:val="24"/>
              </w:rPr>
              <w:t>(4)优化施工工艺和施工时序安排，尽量减少施工开挖和降低施工噪</w:t>
            </w:r>
            <w:r>
              <w:rPr>
                <w:spacing w:val="-1"/>
                <w:sz w:val="24"/>
                <w:szCs w:val="24"/>
              </w:rPr>
              <w:t>声，</w:t>
            </w:r>
            <w:r>
              <w:rPr>
                <w:sz w:val="24"/>
                <w:szCs w:val="24"/>
              </w:rPr>
              <w:t xml:space="preserve"> 尽可能将工程施工对动植物及其生存环境的影响减小到最低程度。</w:t>
            </w:r>
          </w:p>
          <w:p w14:paraId="5EA8D3A7">
            <w:pPr>
              <w:pStyle w:val="6"/>
              <w:spacing w:before="175" w:line="219" w:lineRule="auto"/>
              <w:ind w:left="600"/>
              <w:rPr>
                <w:sz w:val="24"/>
                <w:szCs w:val="24"/>
              </w:rPr>
            </w:pPr>
            <w:r>
              <w:rPr>
                <w:sz w:val="24"/>
                <w:szCs w:val="24"/>
              </w:rPr>
              <w:t>(5)保护当地的野生动物，禁止人为捕杀；禁止引入外来有害生</w:t>
            </w:r>
            <w:r>
              <w:rPr>
                <w:spacing w:val="-1"/>
                <w:sz w:val="24"/>
                <w:szCs w:val="24"/>
              </w:rPr>
              <w:t>物。</w:t>
            </w:r>
          </w:p>
          <w:p w14:paraId="3A3CD928">
            <w:pPr>
              <w:pStyle w:val="6"/>
              <w:spacing w:before="185" w:line="291" w:lineRule="auto"/>
              <w:ind w:left="121" w:right="274" w:firstLine="489"/>
              <w:rPr>
                <w:sz w:val="24"/>
                <w:szCs w:val="24"/>
              </w:rPr>
            </w:pPr>
            <w:r>
              <w:rPr>
                <w:spacing w:val="1"/>
                <w:sz w:val="24"/>
                <w:szCs w:val="24"/>
              </w:rPr>
              <w:t>(6)严格控制施工场地范围和施工作业带</w:t>
            </w:r>
            <w:r>
              <w:rPr>
                <w:sz w:val="24"/>
                <w:szCs w:val="24"/>
              </w:rPr>
              <w:t xml:space="preserve">宽度，明确施工作业范围，减少 </w:t>
            </w:r>
            <w:r>
              <w:rPr>
                <w:spacing w:val="-1"/>
                <w:sz w:val="24"/>
                <w:szCs w:val="24"/>
              </w:rPr>
              <w:t>施工活动对野动物的扰动。</w:t>
            </w:r>
          </w:p>
          <w:p w14:paraId="08654A46">
            <w:pPr>
              <w:pStyle w:val="6"/>
              <w:spacing w:before="181" w:line="220" w:lineRule="auto"/>
              <w:ind w:left="124"/>
              <w:rPr>
                <w:sz w:val="24"/>
                <w:szCs w:val="24"/>
              </w:rPr>
            </w:pPr>
            <w:r>
              <w:rPr>
                <w:b/>
                <w:bCs/>
                <w:spacing w:val="-3"/>
                <w:sz w:val="24"/>
                <w:szCs w:val="24"/>
              </w:rPr>
              <w:t>1.3预防保护措施</w:t>
            </w:r>
          </w:p>
          <w:p w14:paraId="26272DDE">
            <w:pPr>
              <w:pStyle w:val="6"/>
              <w:spacing w:before="187" w:line="322" w:lineRule="auto"/>
              <w:ind w:left="121" w:right="143" w:firstLine="489"/>
              <w:rPr>
                <w:sz w:val="24"/>
                <w:szCs w:val="24"/>
              </w:rPr>
            </w:pPr>
            <w:r>
              <w:rPr>
                <w:sz w:val="24"/>
                <w:szCs w:val="24"/>
              </w:rPr>
              <w:t>(1)项目实施前，必须对当地群众和施工人员进行生态环境保护的宣传教</w:t>
            </w:r>
            <w:r>
              <w:rPr>
                <w:spacing w:val="4"/>
                <w:sz w:val="24"/>
                <w:szCs w:val="24"/>
              </w:rPr>
              <w:t xml:space="preserve">  </w:t>
            </w:r>
            <w:r>
              <w:rPr>
                <w:spacing w:val="1"/>
                <w:sz w:val="24"/>
                <w:szCs w:val="24"/>
              </w:rPr>
              <w:t>育工作，增强他们的环保意识，有助于野生动植物资源保护工作的开展；禁止</w:t>
            </w:r>
            <w:r>
              <w:rPr>
                <w:spacing w:val="6"/>
                <w:sz w:val="24"/>
                <w:szCs w:val="24"/>
              </w:rPr>
              <w:t xml:space="preserve"> </w:t>
            </w:r>
            <w:r>
              <w:rPr>
                <w:sz w:val="24"/>
                <w:szCs w:val="24"/>
              </w:rPr>
              <w:t>超计划占地；优化施工工艺和施工时序安排，尽量减少施工开挖和降低施工噪</w:t>
            </w:r>
            <w:r>
              <w:rPr>
                <w:spacing w:val="12"/>
                <w:sz w:val="24"/>
                <w:szCs w:val="24"/>
              </w:rPr>
              <w:t xml:space="preserve"> </w:t>
            </w:r>
            <w:r>
              <w:rPr>
                <w:sz w:val="24"/>
                <w:szCs w:val="24"/>
              </w:rPr>
              <w:t>声，尽可能将工程施工对动植物及其生存环境的影响减小到最低程度。</w:t>
            </w:r>
          </w:p>
          <w:p w14:paraId="17CC7D81">
            <w:pPr>
              <w:pStyle w:val="6"/>
              <w:spacing w:before="185" w:line="219" w:lineRule="auto"/>
              <w:ind w:left="611"/>
              <w:rPr>
                <w:sz w:val="24"/>
                <w:szCs w:val="24"/>
              </w:rPr>
            </w:pPr>
            <w:r>
              <w:rPr>
                <w:sz w:val="24"/>
                <w:szCs w:val="24"/>
              </w:rPr>
              <w:t>(2)项目进场施工前，必须对施工人员进行环境保护相关法律法规的知识</w:t>
            </w:r>
          </w:p>
        </w:tc>
      </w:tr>
    </w:tbl>
    <w:p w14:paraId="79C8F84E">
      <w:pPr>
        <w:pStyle w:val="2"/>
      </w:pPr>
    </w:p>
    <w:p w14:paraId="7BDDC421">
      <w:pPr>
        <w:sectPr>
          <w:footerReference r:id="rId198" w:type="default"/>
          <w:pgSz w:w="11910" w:h="16840"/>
          <w:pgMar w:top="400" w:right="1355" w:bottom="1255" w:left="1324" w:header="0" w:footer="1093" w:gutter="0"/>
          <w:cols w:space="720" w:num="1"/>
        </w:sectPr>
      </w:pPr>
    </w:p>
    <w:p w14:paraId="3AE220E3">
      <w:pPr>
        <w:spacing w:before="18"/>
      </w:pPr>
    </w:p>
    <w:p w14:paraId="27A2EFBE">
      <w:pPr>
        <w:spacing w:before="17"/>
      </w:pPr>
    </w:p>
    <w:p w14:paraId="331A1990">
      <w:pPr>
        <w:spacing w:before="17"/>
      </w:pPr>
    </w:p>
    <w:p w14:paraId="27B67C43">
      <w:pPr>
        <w:spacing w:before="17"/>
      </w:pPr>
    </w:p>
    <w:tbl>
      <w:tblPr>
        <w:tblStyle w:val="5"/>
        <w:tblW w:w="92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8478"/>
      </w:tblGrid>
      <w:tr w14:paraId="6904B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0" w:hRule="atLeast"/>
        </w:trPr>
        <w:tc>
          <w:tcPr>
            <w:tcW w:w="744" w:type="dxa"/>
            <w:vAlign w:val="top"/>
          </w:tcPr>
          <w:p w14:paraId="43D15BFD">
            <w:pPr>
              <w:rPr>
                <w:rFonts w:ascii="Arial"/>
                <w:sz w:val="21"/>
              </w:rPr>
            </w:pPr>
          </w:p>
        </w:tc>
        <w:tc>
          <w:tcPr>
            <w:tcW w:w="8478" w:type="dxa"/>
            <w:vAlign w:val="top"/>
          </w:tcPr>
          <w:p w14:paraId="5EB82A3E">
            <w:pPr>
              <w:pStyle w:val="6"/>
              <w:spacing w:before="25" w:line="220" w:lineRule="auto"/>
              <w:ind w:left="101"/>
              <w:rPr>
                <w:sz w:val="24"/>
                <w:szCs w:val="24"/>
              </w:rPr>
            </w:pPr>
            <w:r>
              <w:rPr>
                <w:sz w:val="24"/>
                <w:szCs w:val="24"/>
              </w:rPr>
              <w:t>培训。</w:t>
            </w:r>
          </w:p>
          <w:p w14:paraId="301BBB89">
            <w:pPr>
              <w:pStyle w:val="6"/>
              <w:spacing w:before="203" w:line="219" w:lineRule="auto"/>
              <w:ind w:left="611"/>
              <w:rPr>
                <w:sz w:val="24"/>
                <w:szCs w:val="24"/>
              </w:rPr>
            </w:pPr>
            <w:r>
              <w:rPr>
                <w:sz w:val="24"/>
                <w:szCs w:val="24"/>
              </w:rPr>
              <w:t>(3)严禁引入外来物种，降低生态入侵风</w:t>
            </w:r>
            <w:r>
              <w:rPr>
                <w:spacing w:val="-1"/>
                <w:sz w:val="24"/>
                <w:szCs w:val="24"/>
              </w:rPr>
              <w:t>险。</w:t>
            </w:r>
          </w:p>
          <w:p w14:paraId="5A93666F">
            <w:pPr>
              <w:pStyle w:val="6"/>
              <w:spacing w:before="165" w:line="219" w:lineRule="auto"/>
              <w:ind w:left="590"/>
              <w:rPr>
                <w:sz w:val="24"/>
                <w:szCs w:val="24"/>
              </w:rPr>
            </w:pPr>
            <w:r>
              <w:rPr>
                <w:sz w:val="24"/>
                <w:szCs w:val="24"/>
              </w:rPr>
              <w:t>(4)植被恢复时，尽量注意乔、灌、草的结合。</w:t>
            </w:r>
          </w:p>
          <w:p w14:paraId="55124673">
            <w:pPr>
              <w:pStyle w:val="6"/>
              <w:spacing w:before="180" w:line="219" w:lineRule="auto"/>
              <w:ind w:left="104"/>
              <w:rPr>
                <w:sz w:val="24"/>
                <w:szCs w:val="24"/>
              </w:rPr>
            </w:pPr>
            <w:r>
              <w:rPr>
                <w:b/>
                <w:bCs/>
                <w:spacing w:val="-3"/>
                <w:sz w:val="24"/>
                <w:szCs w:val="24"/>
              </w:rPr>
              <w:t>1.4基本农田保护措施</w:t>
            </w:r>
          </w:p>
          <w:p w14:paraId="42392905">
            <w:pPr>
              <w:pStyle w:val="6"/>
              <w:spacing w:before="181" w:line="297" w:lineRule="auto"/>
              <w:ind w:left="101" w:right="289" w:firstLine="489"/>
              <w:rPr>
                <w:sz w:val="24"/>
                <w:szCs w:val="24"/>
              </w:rPr>
            </w:pPr>
            <w:r>
              <w:rPr>
                <w:spacing w:val="1"/>
                <w:sz w:val="24"/>
                <w:szCs w:val="24"/>
              </w:rPr>
              <w:t>(1)严格控制施工场地范围和施工作业带宽度，施工活动</w:t>
            </w:r>
            <w:r>
              <w:rPr>
                <w:sz w:val="24"/>
                <w:szCs w:val="24"/>
              </w:rPr>
              <w:t>不得影响项目周 边的基本农田。</w:t>
            </w:r>
          </w:p>
          <w:p w14:paraId="564668C5">
            <w:pPr>
              <w:pStyle w:val="6"/>
              <w:spacing w:before="166" w:line="286" w:lineRule="auto"/>
              <w:ind w:left="101" w:right="261" w:firstLine="499"/>
              <w:rPr>
                <w:sz w:val="24"/>
                <w:szCs w:val="24"/>
              </w:rPr>
            </w:pPr>
            <w:r>
              <w:rPr>
                <w:spacing w:val="1"/>
                <w:sz w:val="24"/>
                <w:szCs w:val="24"/>
              </w:rPr>
              <w:t>(2)进一步优化设计，项目光伏占地和塔基占地、临时占地不得占用项目</w:t>
            </w:r>
            <w:r>
              <w:rPr>
                <w:spacing w:val="11"/>
                <w:sz w:val="24"/>
                <w:szCs w:val="24"/>
              </w:rPr>
              <w:t xml:space="preserve"> </w:t>
            </w:r>
            <w:r>
              <w:rPr>
                <w:spacing w:val="-1"/>
                <w:sz w:val="24"/>
                <w:szCs w:val="24"/>
              </w:rPr>
              <w:t>周边的基本农田。</w:t>
            </w:r>
          </w:p>
          <w:p w14:paraId="26AA2E7B">
            <w:pPr>
              <w:pStyle w:val="6"/>
              <w:spacing w:before="193" w:line="219" w:lineRule="auto"/>
              <w:ind w:left="104"/>
              <w:rPr>
                <w:sz w:val="24"/>
                <w:szCs w:val="24"/>
              </w:rPr>
            </w:pPr>
            <w:r>
              <w:rPr>
                <w:b/>
                <w:bCs/>
                <w:spacing w:val="-4"/>
                <w:sz w:val="24"/>
                <w:szCs w:val="24"/>
              </w:rPr>
              <w:t>2施工期水污染防治措施</w:t>
            </w:r>
          </w:p>
          <w:p w14:paraId="20FA1797">
            <w:pPr>
              <w:pStyle w:val="6"/>
              <w:spacing w:before="178" w:line="294" w:lineRule="auto"/>
              <w:ind w:left="101" w:right="185" w:firstLine="610"/>
              <w:rPr>
                <w:sz w:val="24"/>
                <w:szCs w:val="24"/>
              </w:rPr>
            </w:pPr>
            <w:r>
              <w:rPr>
                <w:sz w:val="24"/>
                <w:szCs w:val="24"/>
              </w:rPr>
              <w:t>(1)本项目施工期施工人员和项目管理人员均依托周边村庄已经建成的生</w:t>
            </w:r>
            <w:r>
              <w:rPr>
                <w:spacing w:val="10"/>
                <w:sz w:val="24"/>
                <w:szCs w:val="24"/>
              </w:rPr>
              <w:t xml:space="preserve"> </w:t>
            </w:r>
            <w:r>
              <w:rPr>
                <w:sz w:val="24"/>
                <w:szCs w:val="24"/>
              </w:rPr>
              <w:t>活设施，本次项目不新建施工期生活设施以及相应的污水处理设施。</w:t>
            </w:r>
          </w:p>
          <w:p w14:paraId="59490F63">
            <w:pPr>
              <w:pStyle w:val="6"/>
              <w:spacing w:before="165" w:line="291" w:lineRule="auto"/>
              <w:ind w:left="101" w:right="174" w:firstLine="620"/>
              <w:rPr>
                <w:sz w:val="24"/>
                <w:szCs w:val="24"/>
              </w:rPr>
            </w:pPr>
            <w:r>
              <w:rPr>
                <w:sz w:val="24"/>
                <w:szCs w:val="24"/>
              </w:rPr>
              <w:t>(2)施工废水采用沉淀池收集、澄清回用，产生的施工废水全部收集于废</w:t>
            </w:r>
            <w:r>
              <w:rPr>
                <w:spacing w:val="11"/>
                <w:sz w:val="24"/>
                <w:szCs w:val="24"/>
              </w:rPr>
              <w:t xml:space="preserve"> </w:t>
            </w:r>
            <w:r>
              <w:rPr>
                <w:sz w:val="24"/>
                <w:szCs w:val="24"/>
              </w:rPr>
              <w:t>水沉淀池内，收集后回用于场地洒水降尘等施工环节，不外</w:t>
            </w:r>
            <w:r>
              <w:rPr>
                <w:spacing w:val="-1"/>
                <w:sz w:val="24"/>
                <w:szCs w:val="24"/>
              </w:rPr>
              <w:t>排。</w:t>
            </w:r>
          </w:p>
          <w:p w14:paraId="41B806E0">
            <w:pPr>
              <w:pStyle w:val="6"/>
              <w:spacing w:before="193" w:line="314" w:lineRule="auto"/>
              <w:ind w:left="101" w:right="185" w:firstLine="610"/>
              <w:rPr>
                <w:sz w:val="24"/>
                <w:szCs w:val="24"/>
              </w:rPr>
            </w:pPr>
            <w:r>
              <w:rPr>
                <w:sz w:val="24"/>
                <w:szCs w:val="24"/>
              </w:rPr>
              <w:t>(3)施工前，应先按主体设计及水土保持方案完成截排水沟及临时沉淀池</w:t>
            </w:r>
            <w:r>
              <w:rPr>
                <w:spacing w:val="10"/>
                <w:sz w:val="24"/>
                <w:szCs w:val="24"/>
              </w:rPr>
              <w:t xml:space="preserve"> </w:t>
            </w:r>
            <w:r>
              <w:rPr>
                <w:sz w:val="24"/>
                <w:szCs w:val="24"/>
              </w:rPr>
              <w:t>的挖设，施工过程中产生的初期雨水经临时排水沟引入沉淀池沉淀处理后，可</w:t>
            </w:r>
            <w:r>
              <w:rPr>
                <w:spacing w:val="9"/>
                <w:sz w:val="24"/>
                <w:szCs w:val="24"/>
              </w:rPr>
              <w:t xml:space="preserve"> </w:t>
            </w:r>
            <w:r>
              <w:rPr>
                <w:sz w:val="24"/>
                <w:szCs w:val="24"/>
              </w:rPr>
              <w:t>回用于施工过程及场地洒水降尘，回用不完的部分再顺流至附近沟渠。</w:t>
            </w:r>
          </w:p>
          <w:p w14:paraId="310B6D1E">
            <w:pPr>
              <w:pStyle w:val="6"/>
              <w:spacing w:before="176" w:line="324" w:lineRule="auto"/>
              <w:ind w:left="101" w:right="178" w:firstLine="610"/>
              <w:rPr>
                <w:sz w:val="24"/>
                <w:szCs w:val="24"/>
              </w:rPr>
            </w:pPr>
            <w:r>
              <w:rPr>
                <w:sz w:val="24"/>
                <w:szCs w:val="24"/>
              </w:rPr>
              <w:t>(4)严格落实水土保持措施，在光伏场区和道路区地势低处、小型施工临</w:t>
            </w:r>
            <w:r>
              <w:rPr>
                <w:spacing w:val="17"/>
                <w:sz w:val="24"/>
                <w:szCs w:val="24"/>
              </w:rPr>
              <w:t xml:space="preserve"> </w:t>
            </w:r>
            <w:r>
              <w:rPr>
                <w:sz w:val="24"/>
                <w:szCs w:val="24"/>
              </w:rPr>
              <w:t>时营场地周边设置截排水沟，各沟渠末端设置临时沉淀池，施工过程中产生的</w:t>
            </w:r>
            <w:r>
              <w:rPr>
                <w:spacing w:val="17"/>
                <w:sz w:val="24"/>
                <w:szCs w:val="24"/>
              </w:rPr>
              <w:t xml:space="preserve"> </w:t>
            </w:r>
            <w:r>
              <w:rPr>
                <w:sz w:val="24"/>
                <w:szCs w:val="24"/>
              </w:rPr>
              <w:t>初期雨水经临时截排水沟引入沉淀池沉淀处理后，一部分可回用于施工过程及</w:t>
            </w:r>
            <w:r>
              <w:rPr>
                <w:spacing w:val="12"/>
                <w:sz w:val="24"/>
                <w:szCs w:val="24"/>
              </w:rPr>
              <w:t xml:space="preserve"> </w:t>
            </w:r>
            <w:r>
              <w:rPr>
                <w:sz w:val="24"/>
                <w:szCs w:val="24"/>
              </w:rPr>
              <w:t>场地洒水降尘，回用不完的部分再顺流至附近自然沟</w:t>
            </w:r>
            <w:r>
              <w:rPr>
                <w:spacing w:val="-1"/>
                <w:sz w:val="24"/>
                <w:szCs w:val="24"/>
              </w:rPr>
              <w:t>渠。</w:t>
            </w:r>
          </w:p>
          <w:p w14:paraId="3916494F">
            <w:pPr>
              <w:pStyle w:val="6"/>
              <w:spacing w:before="194" w:line="312" w:lineRule="auto"/>
              <w:ind w:left="101" w:right="156" w:firstLine="610"/>
              <w:rPr>
                <w:sz w:val="24"/>
                <w:szCs w:val="24"/>
              </w:rPr>
            </w:pPr>
            <w:r>
              <w:rPr>
                <w:sz w:val="24"/>
                <w:szCs w:val="24"/>
              </w:rPr>
              <w:t>(5)加强管理，粉状物料尽量袋装后搭设防雨工棚存放，做好施工机械的</w:t>
            </w:r>
            <w:r>
              <w:rPr>
                <w:spacing w:val="17"/>
                <w:sz w:val="24"/>
                <w:szCs w:val="24"/>
              </w:rPr>
              <w:t xml:space="preserve"> </w:t>
            </w:r>
            <w:r>
              <w:rPr>
                <w:spacing w:val="1"/>
                <w:sz w:val="24"/>
                <w:szCs w:val="24"/>
              </w:rPr>
              <w:t>日常维修保养，杜绝跑、冒、滴、漏现象，尽量减小施工期降雨冲刷产生的影</w:t>
            </w:r>
            <w:r>
              <w:rPr>
                <w:spacing w:val="15"/>
                <w:sz w:val="24"/>
                <w:szCs w:val="24"/>
              </w:rPr>
              <w:t xml:space="preserve"> </w:t>
            </w:r>
            <w:r>
              <w:rPr>
                <w:spacing w:val="-11"/>
                <w:sz w:val="24"/>
                <w:szCs w:val="24"/>
              </w:rPr>
              <w:t>响</w:t>
            </w:r>
            <w:r>
              <w:rPr>
                <w:spacing w:val="-64"/>
                <w:sz w:val="24"/>
                <w:szCs w:val="24"/>
              </w:rPr>
              <w:t xml:space="preserve"> </w:t>
            </w:r>
            <w:r>
              <w:rPr>
                <w:spacing w:val="-11"/>
                <w:sz w:val="24"/>
                <w:szCs w:val="24"/>
              </w:rPr>
              <w:t>。</w:t>
            </w:r>
          </w:p>
          <w:p w14:paraId="5DC4112C">
            <w:pPr>
              <w:pStyle w:val="6"/>
              <w:spacing w:before="282" w:line="219" w:lineRule="auto"/>
              <w:ind w:left="584"/>
              <w:rPr>
                <w:sz w:val="24"/>
                <w:szCs w:val="24"/>
              </w:rPr>
            </w:pPr>
            <w:r>
              <w:rPr>
                <w:b/>
                <w:bCs/>
                <w:spacing w:val="-4"/>
                <w:sz w:val="24"/>
                <w:szCs w:val="24"/>
              </w:rPr>
              <w:t>饮用水水源准保护区环境保护措施</w:t>
            </w:r>
          </w:p>
          <w:p w14:paraId="4B24D317">
            <w:pPr>
              <w:pStyle w:val="6"/>
              <w:spacing w:before="157" w:line="304" w:lineRule="auto"/>
              <w:ind w:left="101" w:firstLine="493"/>
              <w:rPr>
                <w:sz w:val="24"/>
                <w:szCs w:val="24"/>
              </w:rPr>
            </w:pPr>
            <w:r>
              <w:rPr>
                <w:spacing w:val="-4"/>
                <w:sz w:val="24"/>
                <w:szCs w:val="24"/>
              </w:rPr>
              <w:t>1)架线施工时，提前选好牵张场，确定牵、张机</w:t>
            </w:r>
            <w:r>
              <w:rPr>
                <w:spacing w:val="-5"/>
                <w:sz w:val="24"/>
                <w:szCs w:val="24"/>
              </w:rPr>
              <w:t>及吊车等大型机具和线材的</w:t>
            </w:r>
            <w:r>
              <w:rPr>
                <w:sz w:val="24"/>
                <w:szCs w:val="24"/>
              </w:rPr>
              <w:t xml:space="preserve">  </w:t>
            </w:r>
            <w:r>
              <w:rPr>
                <w:spacing w:val="-1"/>
                <w:sz w:val="24"/>
                <w:szCs w:val="24"/>
              </w:rPr>
              <w:t>摆放位置，对机具和材料的摆放位置范围铺设草垫或棕垫以及枕木，防止机具、</w:t>
            </w:r>
            <w:r>
              <w:rPr>
                <w:sz w:val="24"/>
                <w:szCs w:val="24"/>
              </w:rPr>
              <w:t xml:space="preserve"> </w:t>
            </w:r>
            <w:r>
              <w:rPr>
                <w:spacing w:val="-3"/>
                <w:sz w:val="24"/>
                <w:szCs w:val="24"/>
              </w:rPr>
              <w:t>材料的碾压而破坏地表植被。</w:t>
            </w:r>
          </w:p>
          <w:p w14:paraId="3B24FF7C">
            <w:pPr>
              <w:pStyle w:val="6"/>
              <w:spacing w:before="147" w:line="291" w:lineRule="auto"/>
              <w:ind w:left="101" w:firstLine="469"/>
              <w:rPr>
                <w:sz w:val="24"/>
                <w:szCs w:val="24"/>
              </w:rPr>
            </w:pPr>
            <w:r>
              <w:rPr>
                <w:spacing w:val="-1"/>
                <w:sz w:val="24"/>
                <w:szCs w:val="24"/>
              </w:rPr>
              <w:t>2)优化施工工艺，合理、科学施工，如架线时采用飞艇或其它较先进的方式</w:t>
            </w:r>
            <w:r>
              <w:rPr>
                <w:spacing w:val="10"/>
                <w:sz w:val="24"/>
                <w:szCs w:val="24"/>
              </w:rPr>
              <w:t xml:space="preserve"> </w:t>
            </w:r>
            <w:r>
              <w:rPr>
                <w:spacing w:val="-2"/>
                <w:sz w:val="24"/>
                <w:szCs w:val="24"/>
              </w:rPr>
              <w:t>进行，尽量减少树木的砍伐量，减少地表扰动和植被破坏范围，有效控制可能造</w:t>
            </w:r>
            <w:r>
              <w:rPr>
                <w:spacing w:val="17"/>
                <w:sz w:val="24"/>
                <w:szCs w:val="24"/>
              </w:rPr>
              <w:t xml:space="preserve"> </w:t>
            </w:r>
            <w:r>
              <w:rPr>
                <w:spacing w:val="-1"/>
                <w:sz w:val="24"/>
                <w:szCs w:val="24"/>
              </w:rPr>
              <w:t>成的水土流失。</w:t>
            </w:r>
          </w:p>
        </w:tc>
      </w:tr>
    </w:tbl>
    <w:p w14:paraId="41C2D2BE">
      <w:pPr>
        <w:pStyle w:val="2"/>
      </w:pPr>
    </w:p>
    <w:p w14:paraId="687A7D37">
      <w:pPr>
        <w:sectPr>
          <w:footerReference r:id="rId199" w:type="default"/>
          <w:pgSz w:w="11910" w:h="16840"/>
          <w:pgMar w:top="400" w:right="1342" w:bottom="1269" w:left="1334" w:header="0" w:footer="1089" w:gutter="0"/>
          <w:cols w:space="720" w:num="1"/>
        </w:sectPr>
      </w:pPr>
    </w:p>
    <w:p w14:paraId="56DC73AA">
      <w:pPr>
        <w:spacing w:before="15"/>
      </w:pPr>
    </w:p>
    <w:p w14:paraId="22FCCFC9">
      <w:pPr>
        <w:spacing w:before="15"/>
      </w:pPr>
    </w:p>
    <w:p w14:paraId="3B61BB31">
      <w:pPr>
        <w:spacing w:before="15"/>
      </w:pPr>
    </w:p>
    <w:p w14:paraId="04CD4DFD">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8476"/>
      </w:tblGrid>
      <w:tr w14:paraId="3B5C1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59" w:hRule="atLeast"/>
        </w:trPr>
        <w:tc>
          <w:tcPr>
            <w:tcW w:w="744" w:type="dxa"/>
            <w:vAlign w:val="top"/>
          </w:tcPr>
          <w:p w14:paraId="7FCA6CC3">
            <w:pPr>
              <w:rPr>
                <w:rFonts w:ascii="Arial"/>
                <w:sz w:val="21"/>
              </w:rPr>
            </w:pPr>
          </w:p>
        </w:tc>
        <w:tc>
          <w:tcPr>
            <w:tcW w:w="8476" w:type="dxa"/>
            <w:vAlign w:val="top"/>
          </w:tcPr>
          <w:p w14:paraId="62520655">
            <w:pPr>
              <w:pStyle w:val="6"/>
              <w:spacing w:before="132" w:line="300" w:lineRule="auto"/>
              <w:ind w:left="91" w:firstLine="487"/>
              <w:rPr>
                <w:sz w:val="24"/>
                <w:szCs w:val="24"/>
              </w:rPr>
            </w:pPr>
            <w:r>
              <w:rPr>
                <w:spacing w:val="-1"/>
                <w:sz w:val="24"/>
                <w:szCs w:val="24"/>
              </w:rPr>
              <w:t>3)工程施工结束后，建设单位必须组织和督促施工单位再次清理施工场地，</w:t>
            </w:r>
            <w:r>
              <w:rPr>
                <w:sz w:val="24"/>
                <w:szCs w:val="24"/>
              </w:rPr>
              <w:t xml:space="preserve"> </w:t>
            </w:r>
            <w:r>
              <w:rPr>
                <w:spacing w:val="-1"/>
                <w:sz w:val="24"/>
                <w:szCs w:val="24"/>
              </w:rPr>
              <w:t>残余建筑垃圾或生活垃圾等固体废物不得堆存</w:t>
            </w:r>
            <w:r>
              <w:rPr>
                <w:spacing w:val="-2"/>
                <w:sz w:val="24"/>
                <w:szCs w:val="24"/>
              </w:rPr>
              <w:t>水源准保护区内，集中处置，做到</w:t>
            </w:r>
            <w:r>
              <w:rPr>
                <w:sz w:val="24"/>
                <w:szCs w:val="24"/>
              </w:rPr>
              <w:t xml:space="preserve"> </w:t>
            </w:r>
            <w:r>
              <w:rPr>
                <w:spacing w:val="3"/>
                <w:sz w:val="24"/>
                <w:szCs w:val="24"/>
              </w:rPr>
              <w:t>“工完、料尽、场地清”,严禁随意在水源准</w:t>
            </w:r>
            <w:r>
              <w:rPr>
                <w:spacing w:val="2"/>
                <w:sz w:val="24"/>
                <w:szCs w:val="24"/>
              </w:rPr>
              <w:t>保护区内炙存、堆放或填埋。</w:t>
            </w:r>
          </w:p>
          <w:p w14:paraId="67D07BF6">
            <w:pPr>
              <w:pStyle w:val="6"/>
              <w:spacing w:before="161" w:line="283" w:lineRule="auto"/>
              <w:ind w:left="111" w:firstLine="469"/>
              <w:rPr>
                <w:sz w:val="24"/>
                <w:szCs w:val="24"/>
              </w:rPr>
            </w:pPr>
            <w:r>
              <w:rPr>
                <w:spacing w:val="-1"/>
                <w:sz w:val="24"/>
                <w:szCs w:val="24"/>
              </w:rPr>
              <w:t>4)施工结束后，对塔基区、牵张场、临时施工道路等区域采取种植乔灌</w:t>
            </w:r>
            <w:r>
              <w:rPr>
                <w:spacing w:val="-2"/>
                <w:sz w:val="24"/>
                <w:szCs w:val="24"/>
              </w:rPr>
              <w:t>草或</w:t>
            </w:r>
            <w:r>
              <w:rPr>
                <w:sz w:val="24"/>
                <w:szCs w:val="24"/>
              </w:rPr>
              <w:t xml:space="preserve"> 撒播草籽的方式进行植被恢复，所选用的树种和草种以当地</w:t>
            </w:r>
            <w:r>
              <w:rPr>
                <w:spacing w:val="-1"/>
                <w:sz w:val="24"/>
                <w:szCs w:val="24"/>
              </w:rPr>
              <w:t>的乡土植被为宜。</w:t>
            </w:r>
          </w:p>
          <w:p w14:paraId="17BCD198">
            <w:pPr>
              <w:pStyle w:val="6"/>
              <w:spacing w:before="144" w:line="279" w:lineRule="auto"/>
              <w:ind w:left="101" w:firstLine="478"/>
              <w:rPr>
                <w:sz w:val="24"/>
                <w:szCs w:val="24"/>
              </w:rPr>
            </w:pPr>
            <w:r>
              <w:rPr>
                <w:spacing w:val="-1"/>
                <w:sz w:val="24"/>
                <w:szCs w:val="24"/>
              </w:rPr>
              <w:t>5)施工单位落实文明施工原则，并加强施工废污水管理，施工期废污水全部</w:t>
            </w:r>
            <w:r>
              <w:rPr>
                <w:sz w:val="24"/>
                <w:szCs w:val="24"/>
              </w:rPr>
              <w:t xml:space="preserve"> </w:t>
            </w:r>
            <w:r>
              <w:rPr>
                <w:spacing w:val="-1"/>
                <w:sz w:val="24"/>
                <w:szCs w:val="24"/>
              </w:rPr>
              <w:t>按要求进行处理和回用，未外排。</w:t>
            </w:r>
          </w:p>
          <w:p w14:paraId="300B8A2A">
            <w:pPr>
              <w:pStyle w:val="6"/>
              <w:spacing w:before="154" w:line="286" w:lineRule="auto"/>
              <w:ind w:left="111" w:firstLine="468"/>
              <w:rPr>
                <w:sz w:val="24"/>
                <w:szCs w:val="24"/>
              </w:rPr>
            </w:pPr>
            <w:r>
              <w:rPr>
                <w:spacing w:val="-1"/>
                <w:sz w:val="24"/>
                <w:szCs w:val="24"/>
              </w:rPr>
              <w:t>6)工程施工过程中严格按照《中华人民共和国水污染防治法》、《饮用水水</w:t>
            </w:r>
            <w:r>
              <w:rPr>
                <w:sz w:val="24"/>
                <w:szCs w:val="24"/>
              </w:rPr>
              <w:t xml:space="preserve"> </w:t>
            </w:r>
            <w:r>
              <w:rPr>
                <w:spacing w:val="-1"/>
                <w:sz w:val="24"/>
                <w:szCs w:val="24"/>
              </w:rPr>
              <w:t>源保护区污染防治管理规定》和本工程水土保持方案的要求进行施工。</w:t>
            </w:r>
          </w:p>
          <w:p w14:paraId="1BDDEDF3">
            <w:pPr>
              <w:pStyle w:val="6"/>
              <w:spacing w:before="144" w:line="299" w:lineRule="auto"/>
              <w:ind w:left="111" w:firstLine="473"/>
              <w:rPr>
                <w:sz w:val="24"/>
                <w:szCs w:val="24"/>
              </w:rPr>
            </w:pPr>
            <w:r>
              <w:rPr>
                <w:spacing w:val="-4"/>
                <w:sz w:val="24"/>
                <w:szCs w:val="24"/>
              </w:rPr>
              <w:t>7)施工场地远离水体，布置在相应水利工程的管</w:t>
            </w:r>
            <w:r>
              <w:rPr>
                <w:spacing w:val="-5"/>
                <w:sz w:val="24"/>
                <w:szCs w:val="24"/>
              </w:rPr>
              <w:t>理范围和保护范围之外，并</w:t>
            </w:r>
            <w:r>
              <w:rPr>
                <w:sz w:val="24"/>
                <w:szCs w:val="24"/>
              </w:rPr>
              <w:t xml:space="preserve">  </w:t>
            </w:r>
            <w:r>
              <w:rPr>
                <w:spacing w:val="-4"/>
                <w:sz w:val="24"/>
                <w:szCs w:val="24"/>
              </w:rPr>
              <w:t>划定明确的施工范围，未随意扩大。在饮用水水源准</w:t>
            </w:r>
            <w:r>
              <w:rPr>
                <w:spacing w:val="-5"/>
                <w:sz w:val="24"/>
                <w:szCs w:val="24"/>
              </w:rPr>
              <w:t>保护区施工时，采用临时防</w:t>
            </w:r>
            <w:r>
              <w:rPr>
                <w:sz w:val="24"/>
                <w:szCs w:val="24"/>
              </w:rPr>
              <w:t xml:space="preserve">  </w:t>
            </w:r>
            <w:r>
              <w:rPr>
                <w:spacing w:val="-8"/>
                <w:sz w:val="24"/>
                <w:szCs w:val="24"/>
              </w:rPr>
              <w:t>护栏、彩带等材料先将塔基施工所需范围进行临时围栏，严格限制施工活动范围，</w:t>
            </w:r>
          </w:p>
          <w:p w14:paraId="4F23F642">
            <w:pPr>
              <w:pStyle w:val="6"/>
              <w:spacing w:before="147" w:line="219" w:lineRule="auto"/>
              <w:ind w:left="131"/>
              <w:rPr>
                <w:sz w:val="24"/>
                <w:szCs w:val="24"/>
              </w:rPr>
            </w:pPr>
            <w:r>
              <w:rPr>
                <w:sz w:val="24"/>
                <w:szCs w:val="24"/>
              </w:rPr>
              <w:t>设置水源保护区内施工活动的警示牌，标明施工注意事</w:t>
            </w:r>
            <w:r>
              <w:rPr>
                <w:spacing w:val="-1"/>
                <w:sz w:val="24"/>
                <w:szCs w:val="24"/>
              </w:rPr>
              <w:t>项。</w:t>
            </w:r>
          </w:p>
          <w:p w14:paraId="6DBFA7FD">
            <w:pPr>
              <w:pStyle w:val="6"/>
              <w:spacing w:before="52" w:line="220" w:lineRule="auto"/>
              <w:ind w:left="104"/>
              <w:rPr>
                <w:sz w:val="24"/>
                <w:szCs w:val="24"/>
              </w:rPr>
            </w:pPr>
            <w:r>
              <w:rPr>
                <w:b/>
                <w:bCs/>
                <w:spacing w:val="-4"/>
                <w:sz w:val="24"/>
                <w:szCs w:val="24"/>
              </w:rPr>
              <w:t>3施工期废气污染防治措施</w:t>
            </w:r>
          </w:p>
          <w:p w14:paraId="1B833152">
            <w:pPr>
              <w:pStyle w:val="6"/>
              <w:spacing w:before="177" w:line="314" w:lineRule="auto"/>
              <w:ind w:left="111" w:right="166" w:firstLine="610"/>
              <w:rPr>
                <w:sz w:val="24"/>
                <w:szCs w:val="24"/>
              </w:rPr>
            </w:pPr>
            <w:r>
              <w:rPr>
                <w:sz w:val="24"/>
                <w:szCs w:val="24"/>
              </w:rPr>
              <w:t>(1)施工期间，根据《建设工程现场管理规定》的规定设置现场平面布置</w:t>
            </w:r>
            <w:r>
              <w:rPr>
                <w:spacing w:val="7"/>
                <w:sz w:val="24"/>
                <w:szCs w:val="24"/>
              </w:rPr>
              <w:t xml:space="preserve"> </w:t>
            </w:r>
            <w:r>
              <w:rPr>
                <w:spacing w:val="1"/>
                <w:sz w:val="24"/>
                <w:szCs w:val="24"/>
              </w:rPr>
              <w:t>图、工程概况牌、安全生产牌、消防保卫牌、文明施工牌、环</w:t>
            </w:r>
            <w:r>
              <w:rPr>
                <w:sz w:val="24"/>
                <w:szCs w:val="24"/>
              </w:rPr>
              <w:t>境保护牌、管理 人员名单及监督电话牌等标志牌。</w:t>
            </w:r>
          </w:p>
          <w:p w14:paraId="1D445DD0">
            <w:pPr>
              <w:pStyle w:val="6"/>
              <w:spacing w:before="173" w:line="295" w:lineRule="auto"/>
              <w:ind w:left="111" w:right="64" w:firstLine="610"/>
              <w:rPr>
                <w:sz w:val="24"/>
                <w:szCs w:val="24"/>
              </w:rPr>
            </w:pPr>
            <w:r>
              <w:rPr>
                <w:sz w:val="24"/>
                <w:szCs w:val="24"/>
              </w:rPr>
              <w:t>(2)施工场地和汽车行驶的路面应坚持采取洒水降尘措施，每日约4~5次， 遇大风起尘天气，还应增加洒水频率。</w:t>
            </w:r>
          </w:p>
          <w:p w14:paraId="35990306">
            <w:pPr>
              <w:pStyle w:val="6"/>
              <w:spacing w:before="174" w:line="219" w:lineRule="auto"/>
              <w:ind w:left="721"/>
              <w:rPr>
                <w:sz w:val="24"/>
                <w:szCs w:val="24"/>
              </w:rPr>
            </w:pPr>
            <w:r>
              <w:rPr>
                <w:spacing w:val="5"/>
                <w:sz w:val="24"/>
                <w:szCs w:val="24"/>
              </w:rPr>
              <w:t>(3)采用商品混凝土和水泥预制件，少用干水泥；</w:t>
            </w:r>
          </w:p>
          <w:p w14:paraId="46B24E2D">
            <w:pPr>
              <w:pStyle w:val="6"/>
              <w:spacing w:before="195" w:line="325" w:lineRule="auto"/>
              <w:ind w:left="111" w:right="65" w:firstLine="600"/>
              <w:rPr>
                <w:sz w:val="24"/>
                <w:szCs w:val="24"/>
              </w:rPr>
            </w:pPr>
            <w:r>
              <w:rPr>
                <w:sz w:val="24"/>
                <w:szCs w:val="24"/>
              </w:rPr>
              <w:t>(4)施工期间剥离表土、开挖产生的待运土石方及工地内的散体材料应采</w:t>
            </w:r>
            <w:r>
              <w:rPr>
                <w:spacing w:val="4"/>
                <w:sz w:val="24"/>
                <w:szCs w:val="24"/>
              </w:rPr>
              <w:t xml:space="preserve">  取集中堆存、土工布覆盖等防护措施，防止施工中产生的尘</w:t>
            </w:r>
            <w:r>
              <w:rPr>
                <w:spacing w:val="3"/>
                <w:sz w:val="24"/>
                <w:szCs w:val="24"/>
              </w:rPr>
              <w:t>土飞扬及废弃物、</w:t>
            </w:r>
            <w:r>
              <w:rPr>
                <w:sz w:val="24"/>
                <w:szCs w:val="24"/>
              </w:rPr>
              <w:t xml:space="preserve"> </w:t>
            </w:r>
            <w:r>
              <w:rPr>
                <w:spacing w:val="1"/>
                <w:sz w:val="24"/>
                <w:szCs w:val="24"/>
              </w:rPr>
              <w:t>杂物飘散；土石方运输禁止超载，装高不得超过车厢板，并盖篷布，</w:t>
            </w:r>
            <w:r>
              <w:rPr>
                <w:sz w:val="24"/>
                <w:szCs w:val="24"/>
              </w:rPr>
              <w:t>严禁沿途 洒落。</w:t>
            </w:r>
          </w:p>
          <w:p w14:paraId="7F10CCD1">
            <w:pPr>
              <w:pStyle w:val="6"/>
              <w:spacing w:before="171" w:line="295" w:lineRule="auto"/>
              <w:ind w:left="101" w:right="177" w:firstLine="610"/>
              <w:rPr>
                <w:sz w:val="24"/>
                <w:szCs w:val="24"/>
              </w:rPr>
            </w:pPr>
            <w:r>
              <w:rPr>
                <w:sz w:val="24"/>
                <w:szCs w:val="24"/>
              </w:rPr>
              <w:t>(5)为抑制尘土飞扬和降尘，晴天利用水管对堆积表面进行喷洒，以保护</w:t>
            </w:r>
            <w:r>
              <w:rPr>
                <w:spacing w:val="16"/>
                <w:sz w:val="24"/>
                <w:szCs w:val="24"/>
              </w:rPr>
              <w:t xml:space="preserve"> </w:t>
            </w:r>
            <w:r>
              <w:rPr>
                <w:sz w:val="24"/>
                <w:szCs w:val="24"/>
              </w:rPr>
              <w:t>环境。</w:t>
            </w:r>
          </w:p>
          <w:p w14:paraId="043BBC48">
            <w:pPr>
              <w:pStyle w:val="6"/>
              <w:spacing w:before="174" w:line="219" w:lineRule="auto"/>
              <w:ind w:left="721"/>
              <w:rPr>
                <w:sz w:val="24"/>
                <w:szCs w:val="24"/>
              </w:rPr>
            </w:pPr>
            <w:r>
              <w:rPr>
                <w:sz w:val="24"/>
                <w:szCs w:val="24"/>
              </w:rPr>
              <w:t>(6)施工场地应设专职人员负责扬尘控制措施的实施和监督，负责逸散性</w:t>
            </w:r>
          </w:p>
          <w:p w14:paraId="15E298AB">
            <w:pPr>
              <w:pStyle w:val="6"/>
              <w:spacing w:before="203" w:line="219" w:lineRule="auto"/>
              <w:ind w:left="121"/>
              <w:rPr>
                <w:sz w:val="24"/>
                <w:szCs w:val="24"/>
              </w:rPr>
            </w:pPr>
            <w:r>
              <w:rPr>
                <w:sz w:val="24"/>
                <w:szCs w:val="24"/>
              </w:rPr>
              <w:t>材料、渣土、裸露地面的遮蔽、覆盖和洒水作</w:t>
            </w:r>
            <w:r>
              <w:rPr>
                <w:spacing w:val="-1"/>
                <w:sz w:val="24"/>
                <w:szCs w:val="24"/>
              </w:rPr>
              <w:t>业。</w:t>
            </w:r>
          </w:p>
          <w:p w14:paraId="76A78BB8">
            <w:pPr>
              <w:pStyle w:val="6"/>
              <w:spacing w:before="158" w:line="336" w:lineRule="auto"/>
              <w:ind w:left="121" w:right="174" w:firstLine="600"/>
              <w:rPr>
                <w:sz w:val="24"/>
                <w:szCs w:val="24"/>
              </w:rPr>
            </w:pPr>
            <w:r>
              <w:rPr>
                <w:sz w:val="24"/>
                <w:szCs w:val="24"/>
              </w:rPr>
              <w:t>(7)严格控制施工期间运输车辆的装载量，避免超载运输；运输车辆的车</w:t>
            </w:r>
            <w:r>
              <w:rPr>
                <w:spacing w:val="9"/>
                <w:sz w:val="24"/>
                <w:szCs w:val="24"/>
              </w:rPr>
              <w:t xml:space="preserve"> </w:t>
            </w:r>
            <w:r>
              <w:rPr>
                <w:sz w:val="24"/>
                <w:szCs w:val="24"/>
              </w:rPr>
              <w:t>厢应当确保牢固、严密，严禁在装运过程中沿途抛、</w:t>
            </w:r>
            <w:r>
              <w:rPr>
                <w:spacing w:val="-1"/>
                <w:sz w:val="24"/>
                <w:szCs w:val="24"/>
              </w:rPr>
              <w:t>洒、滴、漏。运输车辆经</w:t>
            </w:r>
          </w:p>
        </w:tc>
      </w:tr>
    </w:tbl>
    <w:p w14:paraId="0A0D1D72">
      <w:pPr>
        <w:pStyle w:val="2"/>
      </w:pPr>
    </w:p>
    <w:p w14:paraId="3FA26E21">
      <w:pPr>
        <w:sectPr>
          <w:footerReference r:id="rId200" w:type="default"/>
          <w:pgSz w:w="11910" w:h="16840"/>
          <w:pgMar w:top="400" w:right="1355" w:bottom="1255" w:left="1324" w:header="0" w:footer="1093" w:gutter="0"/>
          <w:cols w:space="720" w:num="1"/>
        </w:sectPr>
      </w:pPr>
    </w:p>
    <w:p w14:paraId="76C773ED">
      <w:pPr>
        <w:spacing w:before="15"/>
      </w:pPr>
    </w:p>
    <w:p w14:paraId="49EFF112">
      <w:pPr>
        <w:spacing w:before="15"/>
      </w:pPr>
    </w:p>
    <w:p w14:paraId="3CE9863A">
      <w:pPr>
        <w:spacing w:before="15"/>
      </w:pPr>
    </w:p>
    <w:p w14:paraId="39E12BC5">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456"/>
      </w:tblGrid>
      <w:tr w14:paraId="2D2EC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764" w:type="dxa"/>
            <w:vAlign w:val="top"/>
          </w:tcPr>
          <w:p w14:paraId="12F40905">
            <w:pPr>
              <w:rPr>
                <w:rFonts w:ascii="Arial"/>
                <w:sz w:val="21"/>
              </w:rPr>
            </w:pPr>
          </w:p>
        </w:tc>
        <w:tc>
          <w:tcPr>
            <w:tcW w:w="8456" w:type="dxa"/>
            <w:vAlign w:val="top"/>
          </w:tcPr>
          <w:p w14:paraId="008FAD6D">
            <w:pPr>
              <w:pStyle w:val="6"/>
              <w:spacing w:before="34" w:line="219" w:lineRule="auto"/>
              <w:ind w:left="101"/>
              <w:rPr>
                <w:sz w:val="24"/>
                <w:szCs w:val="24"/>
              </w:rPr>
            </w:pPr>
            <w:r>
              <w:rPr>
                <w:sz w:val="24"/>
                <w:szCs w:val="24"/>
              </w:rPr>
              <w:t>过沿途居民点时注意控制车速，减速慢行，防止高速行车时产生大量扬</w:t>
            </w:r>
            <w:r>
              <w:rPr>
                <w:spacing w:val="-1"/>
                <w:sz w:val="24"/>
                <w:szCs w:val="24"/>
              </w:rPr>
              <w:t>尘。</w:t>
            </w:r>
          </w:p>
          <w:p w14:paraId="36BA23F7">
            <w:pPr>
              <w:pStyle w:val="6"/>
              <w:spacing w:before="184" w:line="286" w:lineRule="auto"/>
              <w:ind w:left="101" w:right="169" w:firstLine="600"/>
              <w:rPr>
                <w:sz w:val="24"/>
                <w:szCs w:val="24"/>
              </w:rPr>
            </w:pPr>
            <w:r>
              <w:rPr>
                <w:sz w:val="24"/>
                <w:szCs w:val="24"/>
              </w:rPr>
              <w:t>(8)施工方应当加强对施工人员的环保教育，提高全体施工人员的环保意</w:t>
            </w:r>
            <w:r>
              <w:rPr>
                <w:spacing w:val="14"/>
                <w:sz w:val="24"/>
                <w:szCs w:val="24"/>
              </w:rPr>
              <w:t xml:space="preserve"> </w:t>
            </w:r>
            <w:r>
              <w:rPr>
                <w:sz w:val="24"/>
                <w:szCs w:val="24"/>
              </w:rPr>
              <w:t>识，坚持文明科学施工。</w:t>
            </w:r>
          </w:p>
          <w:p w14:paraId="363E69CB">
            <w:pPr>
              <w:pStyle w:val="6"/>
              <w:spacing w:before="194" w:line="310" w:lineRule="auto"/>
              <w:ind w:left="91" w:right="163" w:firstLine="610"/>
              <w:rPr>
                <w:sz w:val="24"/>
                <w:szCs w:val="24"/>
              </w:rPr>
            </w:pPr>
            <w:r>
              <w:rPr>
                <w:spacing w:val="1"/>
                <w:sz w:val="24"/>
                <w:szCs w:val="24"/>
              </w:rPr>
              <w:t>(9)升压站四周和光伏方阵靠近敏感目标一</w:t>
            </w:r>
            <w:r>
              <w:rPr>
                <w:sz w:val="24"/>
                <w:szCs w:val="24"/>
              </w:rPr>
              <w:t xml:space="preserve">侧设不低于2.5m的施工围挡， </w:t>
            </w:r>
            <w:r>
              <w:rPr>
                <w:spacing w:val="1"/>
                <w:sz w:val="24"/>
                <w:szCs w:val="24"/>
              </w:rPr>
              <w:t>并加强施工场地洒水降尘，用土工布覆盖易产尘材料、土石方及时回</w:t>
            </w:r>
            <w:r>
              <w:rPr>
                <w:sz w:val="24"/>
                <w:szCs w:val="24"/>
              </w:rPr>
              <w:t>填压实等 措施。</w:t>
            </w:r>
          </w:p>
          <w:p w14:paraId="32930045">
            <w:pPr>
              <w:pStyle w:val="6"/>
              <w:spacing w:before="181" w:line="291" w:lineRule="auto"/>
              <w:ind w:left="91" w:right="279" w:firstLine="610"/>
              <w:rPr>
                <w:sz w:val="24"/>
                <w:szCs w:val="24"/>
              </w:rPr>
            </w:pPr>
            <w:r>
              <w:rPr>
                <w:spacing w:val="1"/>
                <w:sz w:val="24"/>
                <w:szCs w:val="24"/>
              </w:rPr>
              <w:t>(10)加强施工场地洒水降尘，用土工布覆盖易产尘</w:t>
            </w:r>
            <w:r>
              <w:rPr>
                <w:sz w:val="24"/>
                <w:szCs w:val="24"/>
              </w:rPr>
              <w:t>材料、土石方及时回 填压实等措施。</w:t>
            </w:r>
          </w:p>
          <w:p w14:paraId="72745663">
            <w:pPr>
              <w:pStyle w:val="6"/>
              <w:spacing w:before="194" w:line="219" w:lineRule="auto"/>
              <w:ind w:left="701"/>
              <w:rPr>
                <w:sz w:val="24"/>
                <w:szCs w:val="24"/>
              </w:rPr>
            </w:pPr>
            <w:r>
              <w:rPr>
                <w:sz w:val="24"/>
                <w:szCs w:val="24"/>
              </w:rPr>
              <w:t>(11)施工期禁止大开挖、推平台等作业方式进行光伏打桩作业。</w:t>
            </w:r>
          </w:p>
          <w:p w14:paraId="7B9AAC7A">
            <w:pPr>
              <w:pStyle w:val="6"/>
              <w:spacing w:before="177" w:line="219" w:lineRule="auto"/>
              <w:ind w:left="701"/>
              <w:rPr>
                <w:sz w:val="24"/>
                <w:szCs w:val="24"/>
              </w:rPr>
            </w:pPr>
            <w:r>
              <w:rPr>
                <w:sz w:val="24"/>
                <w:szCs w:val="24"/>
              </w:rPr>
              <w:t>(12)建设工程完工后，施工单位应当在1个月内拆除工地围挡、安全防</w:t>
            </w:r>
          </w:p>
          <w:p w14:paraId="7B8C5564">
            <w:pPr>
              <w:pStyle w:val="6"/>
              <w:spacing w:before="195" w:line="285" w:lineRule="auto"/>
              <w:ind w:left="81" w:right="170" w:firstLine="20"/>
              <w:rPr>
                <w:sz w:val="24"/>
                <w:szCs w:val="24"/>
              </w:rPr>
            </w:pPr>
            <w:r>
              <w:rPr>
                <w:sz w:val="24"/>
                <w:szCs w:val="24"/>
              </w:rPr>
              <w:t>护设施和其他临时设施，并将工地及四周环境清理整洁，做到工完、料净、场</w:t>
            </w:r>
            <w:r>
              <w:rPr>
                <w:spacing w:val="13"/>
                <w:sz w:val="24"/>
                <w:szCs w:val="24"/>
              </w:rPr>
              <w:t xml:space="preserve"> </w:t>
            </w:r>
            <w:r>
              <w:rPr>
                <w:sz w:val="24"/>
                <w:szCs w:val="24"/>
              </w:rPr>
              <w:t>地洁。</w:t>
            </w:r>
          </w:p>
          <w:p w14:paraId="0A97C261">
            <w:pPr>
              <w:pStyle w:val="6"/>
              <w:spacing w:before="176" w:line="220" w:lineRule="auto"/>
              <w:ind w:left="84"/>
              <w:rPr>
                <w:sz w:val="24"/>
                <w:szCs w:val="24"/>
              </w:rPr>
            </w:pPr>
            <w:r>
              <w:rPr>
                <w:b/>
                <w:bCs/>
                <w:spacing w:val="-4"/>
                <w:sz w:val="24"/>
                <w:szCs w:val="24"/>
              </w:rPr>
              <w:t>4施工噪声污染防治措施</w:t>
            </w:r>
          </w:p>
          <w:p w14:paraId="06C8FF50">
            <w:pPr>
              <w:pStyle w:val="6"/>
              <w:spacing w:before="183" w:line="315" w:lineRule="auto"/>
              <w:ind w:left="101" w:right="49" w:firstLine="489"/>
              <w:rPr>
                <w:sz w:val="24"/>
                <w:szCs w:val="24"/>
              </w:rPr>
            </w:pPr>
            <w:r>
              <w:rPr>
                <w:spacing w:val="1"/>
                <w:sz w:val="24"/>
                <w:szCs w:val="24"/>
              </w:rPr>
              <w:t>①合理安排施工计划和施工机械设备组合以及</w:t>
            </w:r>
            <w:r>
              <w:rPr>
                <w:sz w:val="24"/>
                <w:szCs w:val="24"/>
              </w:rPr>
              <w:t>施工时间，降低施工机械同  时使用的频次，尽可能采用交互作业，减少施工时间。施工期间禁止在夜间(22</w:t>
            </w:r>
            <w:r>
              <w:rPr>
                <w:spacing w:val="14"/>
                <w:sz w:val="24"/>
                <w:szCs w:val="24"/>
              </w:rPr>
              <w:t xml:space="preserve"> </w:t>
            </w:r>
            <w:r>
              <w:rPr>
                <w:sz w:val="24"/>
                <w:szCs w:val="24"/>
              </w:rPr>
              <w:t>时至次日6时)进行建筑施工作业，但抢修、抢险作业和因混凝土浇灌、桩基</w:t>
            </w:r>
          </w:p>
          <w:p w14:paraId="177D8904">
            <w:pPr>
              <w:pStyle w:val="6"/>
              <w:spacing w:before="175" w:line="297" w:lineRule="auto"/>
              <w:ind w:left="121" w:right="205" w:hanging="30"/>
              <w:rPr>
                <w:sz w:val="24"/>
                <w:szCs w:val="24"/>
              </w:rPr>
            </w:pPr>
            <w:r>
              <w:rPr>
                <w:sz w:val="24"/>
                <w:szCs w:val="24"/>
              </w:rPr>
              <w:t>冲孔、钻孔桩成型等生产工艺需要连续作业的除外</w:t>
            </w:r>
            <w:r>
              <w:rPr>
                <w:spacing w:val="-1"/>
                <w:sz w:val="24"/>
                <w:szCs w:val="24"/>
              </w:rPr>
              <w:t>。确需夜间施工的，须办理</w:t>
            </w:r>
            <w:r>
              <w:rPr>
                <w:sz w:val="24"/>
                <w:szCs w:val="24"/>
              </w:rPr>
              <w:t xml:space="preserve"> 相关手续，并公告周边居民。</w:t>
            </w:r>
          </w:p>
          <w:p w14:paraId="41FBE5FD">
            <w:pPr>
              <w:pStyle w:val="6"/>
              <w:spacing w:before="165" w:line="323" w:lineRule="auto"/>
              <w:ind w:left="91" w:right="165" w:firstLine="479"/>
              <w:rPr>
                <w:sz w:val="24"/>
                <w:szCs w:val="24"/>
              </w:rPr>
            </w:pPr>
            <w:r>
              <w:rPr>
                <w:sz w:val="24"/>
                <w:szCs w:val="24"/>
              </w:rPr>
              <w:t>②施工单位应充分考虑周围环境的敏感性，在施工操作上加强环保措</w:t>
            </w:r>
            <w:r>
              <w:rPr>
                <w:spacing w:val="-1"/>
                <w:sz w:val="24"/>
                <w:szCs w:val="24"/>
              </w:rPr>
              <w:t>施，</w:t>
            </w:r>
            <w:r>
              <w:rPr>
                <w:sz w:val="24"/>
                <w:szCs w:val="24"/>
              </w:rPr>
              <w:t xml:space="preserve"> </w:t>
            </w:r>
            <w:r>
              <w:rPr>
                <w:spacing w:val="1"/>
                <w:sz w:val="24"/>
                <w:szCs w:val="24"/>
              </w:rPr>
              <w:t>选用低噪声施工设备，对产生高噪声的施工设备采取有效的减</w:t>
            </w:r>
            <w:r>
              <w:rPr>
                <w:sz w:val="24"/>
                <w:szCs w:val="24"/>
              </w:rPr>
              <w:t xml:space="preserve">振、隔声等防护 </w:t>
            </w:r>
            <w:r>
              <w:rPr>
                <w:spacing w:val="1"/>
                <w:sz w:val="24"/>
                <w:szCs w:val="24"/>
              </w:rPr>
              <w:t>措施，如安装在经隔声处理的构筑物内，并加强施工设备保养和</w:t>
            </w:r>
            <w:r>
              <w:rPr>
                <w:sz w:val="24"/>
                <w:szCs w:val="24"/>
              </w:rPr>
              <w:t xml:space="preserve">检修工作，确 </w:t>
            </w:r>
            <w:r>
              <w:rPr>
                <w:spacing w:val="-1"/>
                <w:sz w:val="24"/>
                <w:szCs w:val="24"/>
              </w:rPr>
              <w:t>保施工设备正常运转。</w:t>
            </w:r>
          </w:p>
          <w:p w14:paraId="2F5F866F">
            <w:pPr>
              <w:pStyle w:val="6"/>
              <w:spacing w:before="190" w:line="318" w:lineRule="auto"/>
              <w:ind w:left="101" w:right="182" w:firstLine="469"/>
              <w:rPr>
                <w:sz w:val="24"/>
                <w:szCs w:val="24"/>
              </w:rPr>
            </w:pPr>
            <w:r>
              <w:rPr>
                <w:sz w:val="24"/>
                <w:szCs w:val="24"/>
              </w:rPr>
              <w:t>③合理布置机械设备，高噪作业设备应根据作业半径</w:t>
            </w:r>
            <w:r>
              <w:rPr>
                <w:spacing w:val="-1"/>
                <w:sz w:val="24"/>
                <w:szCs w:val="24"/>
              </w:rPr>
              <w:t>及现场条件，优先设</w:t>
            </w:r>
            <w:r>
              <w:rPr>
                <w:sz w:val="24"/>
                <w:szCs w:val="24"/>
              </w:rPr>
              <w:t xml:space="preserve"> 置于远离场界的部位；移动式高噪设备应尽量安排优先完成场界近点作业，避</w:t>
            </w:r>
            <w:r>
              <w:rPr>
                <w:spacing w:val="1"/>
                <w:sz w:val="24"/>
                <w:szCs w:val="24"/>
              </w:rPr>
              <w:t xml:space="preserve"> </w:t>
            </w:r>
            <w:r>
              <w:rPr>
                <w:spacing w:val="-1"/>
                <w:sz w:val="24"/>
                <w:szCs w:val="24"/>
              </w:rPr>
              <w:t>免长期作业。</w:t>
            </w:r>
          </w:p>
          <w:p w14:paraId="62A5B790">
            <w:pPr>
              <w:pStyle w:val="6"/>
              <w:spacing w:before="171" w:line="326" w:lineRule="auto"/>
              <w:ind w:left="101" w:right="157" w:firstLine="489"/>
              <w:rPr>
                <w:sz w:val="24"/>
                <w:szCs w:val="24"/>
              </w:rPr>
            </w:pPr>
            <w:r>
              <w:rPr>
                <w:sz w:val="24"/>
                <w:szCs w:val="24"/>
              </w:rPr>
              <w:t>④整体设备应安放稳固，并与地面保持良好接触，施工期加强检查、维护</w:t>
            </w:r>
            <w:r>
              <w:rPr>
                <w:spacing w:val="16"/>
                <w:sz w:val="24"/>
                <w:szCs w:val="24"/>
              </w:rPr>
              <w:t xml:space="preserve"> </w:t>
            </w:r>
            <w:r>
              <w:rPr>
                <w:sz w:val="24"/>
                <w:szCs w:val="24"/>
              </w:rPr>
              <w:t>和保养机械设备，保持润滑，紧固各部件，减少运</w:t>
            </w:r>
            <w:r>
              <w:rPr>
                <w:spacing w:val="-1"/>
                <w:sz w:val="24"/>
                <w:szCs w:val="24"/>
              </w:rPr>
              <w:t>行震动噪声，保证运输车辆</w:t>
            </w:r>
            <w:r>
              <w:rPr>
                <w:sz w:val="24"/>
                <w:szCs w:val="24"/>
              </w:rPr>
              <w:t xml:space="preserve"> 及施工机械处于良好的工作状态。整体设备应安放稳固，并与地面保持良好接 </w:t>
            </w:r>
            <w:r>
              <w:rPr>
                <w:spacing w:val="-1"/>
                <w:sz w:val="24"/>
                <w:szCs w:val="24"/>
              </w:rPr>
              <w:t>触，有条件的应使用减振机座，降低噪声。</w:t>
            </w:r>
          </w:p>
        </w:tc>
      </w:tr>
    </w:tbl>
    <w:p w14:paraId="6BED4777">
      <w:pPr>
        <w:pStyle w:val="2"/>
      </w:pPr>
    </w:p>
    <w:p w14:paraId="076D8BA5">
      <w:pPr>
        <w:sectPr>
          <w:footerReference r:id="rId201" w:type="default"/>
          <w:pgSz w:w="11910" w:h="16840"/>
          <w:pgMar w:top="400" w:right="1355" w:bottom="1255" w:left="1324" w:header="0" w:footer="1093" w:gutter="0"/>
          <w:cols w:space="720" w:num="1"/>
        </w:sectPr>
      </w:pPr>
    </w:p>
    <w:p w14:paraId="7EEBD50D">
      <w:pPr>
        <w:spacing w:before="15"/>
      </w:pPr>
    </w:p>
    <w:p w14:paraId="51382A60">
      <w:pPr>
        <w:spacing w:before="15"/>
      </w:pPr>
    </w:p>
    <w:p w14:paraId="0AB3D30E">
      <w:pPr>
        <w:spacing w:before="15"/>
      </w:pPr>
    </w:p>
    <w:p w14:paraId="52BD2D68">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456"/>
      </w:tblGrid>
      <w:tr w14:paraId="3F241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9" w:hRule="atLeast"/>
        </w:trPr>
        <w:tc>
          <w:tcPr>
            <w:tcW w:w="764" w:type="dxa"/>
            <w:vAlign w:val="top"/>
          </w:tcPr>
          <w:p w14:paraId="07E1EEF1">
            <w:pPr>
              <w:rPr>
                <w:rFonts w:ascii="Arial"/>
                <w:sz w:val="21"/>
              </w:rPr>
            </w:pPr>
          </w:p>
        </w:tc>
        <w:tc>
          <w:tcPr>
            <w:tcW w:w="8456" w:type="dxa"/>
            <w:vAlign w:val="top"/>
          </w:tcPr>
          <w:p w14:paraId="6F1562D4">
            <w:pPr>
              <w:pStyle w:val="6"/>
              <w:spacing w:before="22" w:line="362" w:lineRule="auto"/>
              <w:ind w:left="111" w:right="163" w:firstLine="469"/>
              <w:rPr>
                <w:sz w:val="24"/>
                <w:szCs w:val="24"/>
              </w:rPr>
            </w:pPr>
            <w:r>
              <w:rPr>
                <w:spacing w:val="1"/>
                <w:sz w:val="24"/>
                <w:szCs w:val="24"/>
              </w:rPr>
              <w:t>⑤在升压站工地及在村庄周边光伏矩阵施工场</w:t>
            </w:r>
            <w:r>
              <w:rPr>
                <w:sz w:val="24"/>
                <w:szCs w:val="24"/>
              </w:rPr>
              <w:t>地施工，且施工区与居民点 的距离低于200m时在光伏矩阵施工场地面向村庄一侧应设置不低于2.5m的遮</w:t>
            </w:r>
          </w:p>
          <w:p w14:paraId="319980E6">
            <w:pPr>
              <w:pStyle w:val="6"/>
              <w:spacing w:line="218" w:lineRule="auto"/>
              <w:ind w:left="91"/>
              <w:rPr>
                <w:sz w:val="24"/>
                <w:szCs w:val="24"/>
              </w:rPr>
            </w:pPr>
            <w:r>
              <w:rPr>
                <w:sz w:val="24"/>
                <w:szCs w:val="24"/>
              </w:rPr>
              <w:t>挡围挡，围墙应用标准板材或砖砌筑。</w:t>
            </w:r>
          </w:p>
          <w:p w14:paraId="0B44F6EF">
            <w:pPr>
              <w:pStyle w:val="6"/>
              <w:spacing w:before="179" w:line="360" w:lineRule="auto"/>
              <w:ind w:left="91" w:firstLine="483"/>
              <w:rPr>
                <w:sz w:val="24"/>
                <w:szCs w:val="24"/>
              </w:rPr>
            </w:pPr>
            <w:r>
              <w:rPr>
                <w:sz w:val="24"/>
                <w:szCs w:val="24"/>
              </w:rPr>
              <w:t>⑥9#光伏阵列东侧、10#光伏阵列西侧、9#光伏阵列西北侧设置施工围挡、</w:t>
            </w:r>
            <w:r>
              <w:rPr>
                <w:spacing w:val="12"/>
                <w:sz w:val="24"/>
                <w:szCs w:val="24"/>
              </w:rPr>
              <w:t xml:space="preserve"> </w:t>
            </w:r>
            <w:r>
              <w:rPr>
                <w:spacing w:val="-4"/>
                <w:sz w:val="24"/>
                <w:szCs w:val="24"/>
              </w:rPr>
              <w:t>移动声屏障，8#光伏阵列南侧设置施工围挡，11</w:t>
            </w:r>
            <w:r>
              <w:rPr>
                <w:spacing w:val="-5"/>
                <w:sz w:val="24"/>
                <w:szCs w:val="24"/>
              </w:rPr>
              <w:t>#光伏阵列西南侧设置施工围挡，</w:t>
            </w:r>
            <w:r>
              <w:rPr>
                <w:sz w:val="24"/>
                <w:szCs w:val="24"/>
              </w:rPr>
              <w:t xml:space="preserve"> </w:t>
            </w:r>
            <w:r>
              <w:rPr>
                <w:spacing w:val="-2"/>
                <w:sz w:val="24"/>
                <w:szCs w:val="24"/>
              </w:rPr>
              <w:t>10#光伏阵列西北侧设置施工围挡，12#光伏阵列西侧设置施工围挡</w:t>
            </w:r>
            <w:r>
              <w:rPr>
                <w:spacing w:val="-3"/>
                <w:sz w:val="24"/>
                <w:szCs w:val="24"/>
              </w:rPr>
              <w:t>，16#光伏阵</w:t>
            </w:r>
            <w:r>
              <w:rPr>
                <w:sz w:val="24"/>
                <w:szCs w:val="24"/>
              </w:rPr>
              <w:t xml:space="preserve">  </w:t>
            </w:r>
            <w:r>
              <w:rPr>
                <w:spacing w:val="-2"/>
                <w:sz w:val="24"/>
                <w:szCs w:val="24"/>
              </w:rPr>
              <w:t>列北侧设置施工围挡、移动声屏障，18#光伏阵列北侧设置施工围</w:t>
            </w:r>
            <w:r>
              <w:rPr>
                <w:spacing w:val="-3"/>
                <w:sz w:val="24"/>
                <w:szCs w:val="24"/>
              </w:rPr>
              <w:t>挡，19#光伏</w:t>
            </w:r>
            <w:r>
              <w:rPr>
                <w:sz w:val="24"/>
                <w:szCs w:val="24"/>
              </w:rPr>
              <w:t xml:space="preserve">   </w:t>
            </w:r>
            <w:r>
              <w:rPr>
                <w:spacing w:val="-1"/>
                <w:sz w:val="24"/>
                <w:szCs w:val="24"/>
              </w:rPr>
              <w:t>阵列周边、20#光伏阵列西侧设置施工围挡、移动声屏障，20</w:t>
            </w:r>
            <w:r>
              <w:rPr>
                <w:spacing w:val="-2"/>
                <w:sz w:val="24"/>
                <w:szCs w:val="24"/>
              </w:rPr>
              <w:t>#光伏阵列西南侧、</w:t>
            </w:r>
            <w:r>
              <w:rPr>
                <w:sz w:val="24"/>
                <w:szCs w:val="24"/>
              </w:rPr>
              <w:t xml:space="preserve"> </w:t>
            </w:r>
            <w:r>
              <w:rPr>
                <w:spacing w:val="-2"/>
                <w:sz w:val="24"/>
                <w:szCs w:val="24"/>
              </w:rPr>
              <w:t>北侧设置施工围挡，20#光伏阵列北侧设置施工围挡、移动声屏</w:t>
            </w:r>
            <w:r>
              <w:rPr>
                <w:spacing w:val="-3"/>
                <w:sz w:val="24"/>
                <w:szCs w:val="24"/>
              </w:rPr>
              <w:t>障，21#光伏阵</w:t>
            </w:r>
            <w:r>
              <w:rPr>
                <w:sz w:val="24"/>
                <w:szCs w:val="24"/>
              </w:rPr>
              <w:t xml:space="preserve">   </w:t>
            </w:r>
            <w:r>
              <w:rPr>
                <w:spacing w:val="-2"/>
                <w:sz w:val="24"/>
                <w:szCs w:val="24"/>
              </w:rPr>
              <w:t>列西南侧、24#光伏阵列西北侧、东南侧、24#光伏阵列北侧置施工</w:t>
            </w:r>
            <w:r>
              <w:rPr>
                <w:spacing w:val="-3"/>
                <w:sz w:val="24"/>
                <w:szCs w:val="24"/>
              </w:rPr>
              <w:t>围挡。如果</w:t>
            </w:r>
            <w:r>
              <w:rPr>
                <w:sz w:val="24"/>
                <w:szCs w:val="24"/>
              </w:rPr>
              <w:t xml:space="preserve">   </w:t>
            </w:r>
            <w:r>
              <w:rPr>
                <w:spacing w:val="-2"/>
                <w:sz w:val="24"/>
                <w:szCs w:val="24"/>
              </w:rPr>
              <w:t>要用备用地，需要在备用地2西侧设置施工围挡。</w:t>
            </w:r>
          </w:p>
          <w:p w14:paraId="6ED78395">
            <w:pPr>
              <w:pStyle w:val="6"/>
              <w:spacing w:before="2" w:line="290" w:lineRule="auto"/>
              <w:ind w:left="91" w:right="182" w:firstLine="499"/>
              <w:rPr>
                <w:sz w:val="24"/>
                <w:szCs w:val="24"/>
              </w:rPr>
            </w:pPr>
            <w:r>
              <w:rPr>
                <w:sz w:val="24"/>
                <w:szCs w:val="24"/>
              </w:rPr>
              <w:t>⑦运输车辆在通过村庄路段时要减慢车速，禁止鸣笛</w:t>
            </w:r>
            <w:r>
              <w:rPr>
                <w:spacing w:val="-1"/>
                <w:sz w:val="24"/>
                <w:szCs w:val="24"/>
              </w:rPr>
              <w:t>，同时禁止在夜间运</w:t>
            </w:r>
            <w:r>
              <w:rPr>
                <w:sz w:val="24"/>
                <w:szCs w:val="24"/>
              </w:rPr>
              <w:t xml:space="preserve"> 输材料。</w:t>
            </w:r>
          </w:p>
          <w:p w14:paraId="1B1C3B22">
            <w:pPr>
              <w:pStyle w:val="6"/>
              <w:spacing w:before="195" w:line="312" w:lineRule="auto"/>
              <w:ind w:left="101" w:right="163" w:firstLine="489"/>
              <w:rPr>
                <w:sz w:val="24"/>
                <w:szCs w:val="24"/>
              </w:rPr>
            </w:pPr>
            <w:r>
              <w:rPr>
                <w:sz w:val="24"/>
                <w:szCs w:val="24"/>
              </w:rPr>
              <w:t>⑧合理安排施工工序，避免高噪声设备同时运转；合</w:t>
            </w:r>
            <w:r>
              <w:rPr>
                <w:spacing w:val="-1"/>
                <w:sz w:val="24"/>
                <w:szCs w:val="24"/>
              </w:rPr>
              <w:t>理安排施工时间，禁</w:t>
            </w:r>
            <w:r>
              <w:rPr>
                <w:sz w:val="24"/>
                <w:szCs w:val="24"/>
              </w:rPr>
              <w:t xml:space="preserve"> </w:t>
            </w:r>
            <w:r>
              <w:rPr>
                <w:spacing w:val="1"/>
                <w:sz w:val="24"/>
                <w:szCs w:val="24"/>
              </w:rPr>
              <w:t>止夜间施工；文明施工，建立健全现场噪声管</w:t>
            </w:r>
            <w:r>
              <w:rPr>
                <w:sz w:val="24"/>
                <w:szCs w:val="24"/>
              </w:rPr>
              <w:t>理责任制，加强对施工人员的素 质培养、尽量减少人为的大声喧哗，增强全体施工人员防噪声扰民的意</w:t>
            </w:r>
            <w:r>
              <w:rPr>
                <w:spacing w:val="-1"/>
                <w:sz w:val="24"/>
                <w:szCs w:val="24"/>
              </w:rPr>
              <w:t>识。</w:t>
            </w:r>
          </w:p>
          <w:p w14:paraId="5903354E">
            <w:pPr>
              <w:pStyle w:val="6"/>
              <w:spacing w:before="171" w:line="288" w:lineRule="auto"/>
              <w:ind w:left="91" w:firstLine="493"/>
              <w:rPr>
                <w:sz w:val="24"/>
                <w:szCs w:val="24"/>
              </w:rPr>
            </w:pPr>
            <w:r>
              <w:rPr>
                <w:spacing w:val="-2"/>
                <w:sz w:val="24"/>
                <w:szCs w:val="24"/>
              </w:rPr>
              <w:t>⑨施工前在施工区及附近村寨张贴施工前告知书，对工程概况、施工内容、</w:t>
            </w:r>
            <w:r>
              <w:rPr>
                <w:spacing w:val="6"/>
                <w:sz w:val="24"/>
                <w:szCs w:val="24"/>
              </w:rPr>
              <w:t xml:space="preserve"> </w:t>
            </w:r>
            <w:r>
              <w:rPr>
                <w:spacing w:val="-3"/>
                <w:sz w:val="24"/>
                <w:szCs w:val="24"/>
              </w:rPr>
              <w:t>施工投诉渠道、施工负责人联系方式等信息进行</w:t>
            </w:r>
            <w:r>
              <w:rPr>
                <w:spacing w:val="-4"/>
                <w:sz w:val="24"/>
                <w:szCs w:val="24"/>
              </w:rPr>
              <w:t>公示。</w:t>
            </w:r>
          </w:p>
          <w:p w14:paraId="46A93DC0">
            <w:pPr>
              <w:pStyle w:val="6"/>
              <w:spacing w:before="192" w:line="219" w:lineRule="auto"/>
              <w:ind w:left="84"/>
              <w:rPr>
                <w:sz w:val="24"/>
                <w:szCs w:val="24"/>
              </w:rPr>
            </w:pPr>
            <w:r>
              <w:rPr>
                <w:b/>
                <w:bCs/>
                <w:spacing w:val="-4"/>
                <w:sz w:val="24"/>
                <w:szCs w:val="24"/>
              </w:rPr>
              <w:t>5施工期固体废弃物处置措施</w:t>
            </w:r>
          </w:p>
          <w:p w14:paraId="2234A8C2">
            <w:pPr>
              <w:pStyle w:val="6"/>
              <w:spacing w:before="179" w:line="333" w:lineRule="auto"/>
              <w:ind w:left="91" w:firstLine="606"/>
              <w:rPr>
                <w:sz w:val="24"/>
                <w:szCs w:val="24"/>
              </w:rPr>
            </w:pPr>
            <w:r>
              <w:rPr>
                <w:spacing w:val="-1"/>
                <w:sz w:val="24"/>
                <w:szCs w:val="24"/>
              </w:rPr>
              <w:t>(1)本项目土石方挖填平衡，无永久弃渣产生，项目不设置弃渣场；施工</w:t>
            </w:r>
            <w:r>
              <w:rPr>
                <w:spacing w:val="2"/>
                <w:sz w:val="24"/>
                <w:szCs w:val="24"/>
              </w:rPr>
              <w:t xml:space="preserve">  </w:t>
            </w:r>
            <w:r>
              <w:rPr>
                <w:sz w:val="24"/>
                <w:szCs w:val="24"/>
              </w:rPr>
              <w:t>期间产生的废土石不得随意弃置或堆放。本项目建设</w:t>
            </w:r>
            <w:r>
              <w:rPr>
                <w:spacing w:val="-1"/>
                <w:sz w:val="24"/>
                <w:szCs w:val="24"/>
              </w:rPr>
              <w:t>过程中对光伏场区、集电</w:t>
            </w:r>
            <w:r>
              <w:rPr>
                <w:sz w:val="24"/>
                <w:szCs w:val="24"/>
              </w:rPr>
              <w:t xml:space="preserve">  </w:t>
            </w:r>
            <w:r>
              <w:rPr>
                <w:spacing w:val="-1"/>
                <w:sz w:val="24"/>
                <w:szCs w:val="24"/>
              </w:rPr>
              <w:t>线路区、升压站区、场内道路区、施工生产区占地范</w:t>
            </w:r>
            <w:r>
              <w:rPr>
                <w:spacing w:val="-2"/>
                <w:sz w:val="24"/>
                <w:szCs w:val="24"/>
              </w:rPr>
              <w:t>围内表土进行剥离及收集，</w:t>
            </w:r>
            <w:r>
              <w:rPr>
                <w:sz w:val="24"/>
                <w:szCs w:val="24"/>
              </w:rPr>
              <w:t xml:space="preserve"> </w:t>
            </w:r>
            <w:r>
              <w:rPr>
                <w:spacing w:val="3"/>
                <w:sz w:val="24"/>
                <w:szCs w:val="24"/>
              </w:rPr>
              <w:t>经统计，本工程表土剥离量为1.08万m³。</w:t>
            </w:r>
            <w:r>
              <w:rPr>
                <w:spacing w:val="2"/>
                <w:sz w:val="24"/>
                <w:szCs w:val="24"/>
              </w:rPr>
              <w:t>项目共设置7个表土堆场。表土暂存</w:t>
            </w:r>
            <w:r>
              <w:rPr>
                <w:sz w:val="24"/>
                <w:szCs w:val="24"/>
              </w:rPr>
              <w:t xml:space="preserve">  </w:t>
            </w:r>
            <w:r>
              <w:rPr>
                <w:spacing w:val="-2"/>
                <w:sz w:val="24"/>
                <w:szCs w:val="24"/>
              </w:rPr>
              <w:t>后应全部用于后期的植被恢复覆土。</w:t>
            </w:r>
          </w:p>
          <w:p w14:paraId="47CEE497">
            <w:pPr>
              <w:pStyle w:val="6"/>
              <w:spacing w:before="175" w:line="314" w:lineRule="auto"/>
              <w:ind w:left="91" w:right="163" w:firstLine="600"/>
              <w:rPr>
                <w:sz w:val="24"/>
                <w:szCs w:val="24"/>
              </w:rPr>
            </w:pPr>
            <w:r>
              <w:rPr>
                <w:sz w:val="24"/>
                <w:szCs w:val="24"/>
              </w:rPr>
              <w:t>(2)建筑垃圾在可再生利用部分回收后，不可回收利用的委托有资质单位</w:t>
            </w:r>
            <w:r>
              <w:rPr>
                <w:spacing w:val="8"/>
                <w:sz w:val="24"/>
                <w:szCs w:val="24"/>
              </w:rPr>
              <w:t xml:space="preserve"> </w:t>
            </w:r>
            <w:r>
              <w:rPr>
                <w:spacing w:val="1"/>
                <w:sz w:val="24"/>
                <w:szCs w:val="24"/>
              </w:rPr>
              <w:t>处置；加强对施工承包商的管理，对施工期间产生的包装袋等建筑垃</w:t>
            </w:r>
            <w:r>
              <w:rPr>
                <w:sz w:val="24"/>
                <w:szCs w:val="24"/>
              </w:rPr>
              <w:t>圾，要求 施工单位及时回收，清运，并将此纳入施工合同的相应条款中。</w:t>
            </w:r>
          </w:p>
          <w:p w14:paraId="24B87C78">
            <w:pPr>
              <w:pStyle w:val="6"/>
              <w:spacing w:before="174" w:line="291" w:lineRule="auto"/>
              <w:ind w:left="91" w:right="182" w:firstLine="600"/>
              <w:rPr>
                <w:sz w:val="24"/>
                <w:szCs w:val="24"/>
              </w:rPr>
            </w:pPr>
            <w:r>
              <w:rPr>
                <w:sz w:val="24"/>
                <w:szCs w:val="24"/>
              </w:rPr>
              <w:t>(3)在施工场地设置垃圾收集桶，产生的生活垃圾经收集后运至周边村庄</w:t>
            </w:r>
            <w:r>
              <w:rPr>
                <w:spacing w:val="11"/>
                <w:sz w:val="24"/>
                <w:szCs w:val="24"/>
              </w:rPr>
              <w:t xml:space="preserve"> </w:t>
            </w:r>
            <w:r>
              <w:rPr>
                <w:spacing w:val="-1"/>
                <w:sz w:val="24"/>
                <w:szCs w:val="24"/>
              </w:rPr>
              <w:t>垃圾收集点处置。</w:t>
            </w:r>
          </w:p>
        </w:tc>
      </w:tr>
    </w:tbl>
    <w:p w14:paraId="325341D4">
      <w:pPr>
        <w:pStyle w:val="2"/>
      </w:pPr>
    </w:p>
    <w:p w14:paraId="455B3BBC">
      <w:pPr>
        <w:sectPr>
          <w:footerReference r:id="rId202" w:type="default"/>
          <w:pgSz w:w="11910" w:h="16840"/>
          <w:pgMar w:top="400" w:right="1355" w:bottom="1255" w:left="1324" w:header="0" w:footer="1093" w:gutter="0"/>
          <w:cols w:space="720" w:num="1"/>
        </w:sectPr>
      </w:pPr>
    </w:p>
    <w:p w14:paraId="5D624175">
      <w:pPr>
        <w:spacing w:before="15"/>
      </w:pPr>
    </w:p>
    <w:p w14:paraId="7E1D3408">
      <w:pPr>
        <w:spacing w:before="15"/>
      </w:pPr>
    </w:p>
    <w:p w14:paraId="3C3870C5">
      <w:pPr>
        <w:spacing w:before="15"/>
      </w:pPr>
    </w:p>
    <w:p w14:paraId="1FE46FEB">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8476"/>
      </w:tblGrid>
      <w:tr w14:paraId="5DB34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3" w:hRule="atLeast"/>
        </w:trPr>
        <w:tc>
          <w:tcPr>
            <w:tcW w:w="744" w:type="dxa"/>
            <w:vAlign w:val="top"/>
          </w:tcPr>
          <w:p w14:paraId="6CD52DF2">
            <w:pPr>
              <w:rPr>
                <w:rFonts w:ascii="Arial"/>
                <w:sz w:val="21"/>
              </w:rPr>
            </w:pPr>
          </w:p>
        </w:tc>
        <w:tc>
          <w:tcPr>
            <w:tcW w:w="8476" w:type="dxa"/>
            <w:vAlign w:val="top"/>
          </w:tcPr>
          <w:p w14:paraId="01DA2FED">
            <w:pPr>
              <w:pStyle w:val="6"/>
              <w:spacing w:before="31" w:line="219" w:lineRule="auto"/>
              <w:ind w:left="104"/>
              <w:rPr>
                <w:sz w:val="24"/>
                <w:szCs w:val="24"/>
              </w:rPr>
            </w:pPr>
            <w:r>
              <w:rPr>
                <w:b/>
                <w:bCs/>
                <w:spacing w:val="-4"/>
                <w:sz w:val="24"/>
                <w:szCs w:val="24"/>
              </w:rPr>
              <w:t>6施工期水土保持措施</w:t>
            </w:r>
          </w:p>
          <w:p w14:paraId="64250B73">
            <w:pPr>
              <w:pStyle w:val="6"/>
              <w:spacing w:before="195" w:line="216" w:lineRule="auto"/>
              <w:ind w:left="611"/>
              <w:rPr>
                <w:sz w:val="24"/>
                <w:szCs w:val="24"/>
              </w:rPr>
            </w:pPr>
            <w:r>
              <w:rPr>
                <w:spacing w:val="2"/>
                <w:sz w:val="24"/>
                <w:szCs w:val="24"/>
              </w:rPr>
              <w:t>工程措施：升压站区：排水沟256m、雨水管网350m、道路排水沟400m,</w:t>
            </w:r>
          </w:p>
          <w:p w14:paraId="0BD2B8D7">
            <w:pPr>
              <w:pStyle w:val="6"/>
              <w:spacing w:before="181" w:line="219" w:lineRule="auto"/>
              <w:ind w:left="131"/>
              <w:rPr>
                <w:sz w:val="24"/>
                <w:szCs w:val="24"/>
              </w:rPr>
            </w:pPr>
            <w:r>
              <w:rPr>
                <w:sz w:val="24"/>
                <w:szCs w:val="24"/>
              </w:rPr>
              <w:t>光伏发电区：截排水沟2240m、沉沙池6口，道路工程区：浆砌石排水沟4150</w:t>
            </w:r>
            <w:r>
              <w:rPr>
                <w:spacing w:val="-1"/>
                <w:sz w:val="24"/>
                <w:szCs w:val="24"/>
              </w:rPr>
              <w:t>m。</w:t>
            </w:r>
          </w:p>
          <w:p w14:paraId="5CCEB5F9">
            <w:pPr>
              <w:pStyle w:val="6"/>
              <w:spacing w:before="186" w:line="219" w:lineRule="auto"/>
              <w:ind w:left="600"/>
              <w:rPr>
                <w:sz w:val="24"/>
                <w:szCs w:val="24"/>
              </w:rPr>
            </w:pPr>
            <w:r>
              <w:rPr>
                <w:spacing w:val="8"/>
                <w:sz w:val="24"/>
                <w:szCs w:val="24"/>
              </w:rPr>
              <w:t>植物措施：升压站区：站内绿化350m²、边坡绿化400m²。</w:t>
            </w:r>
          </w:p>
          <w:p w14:paraId="7359299A">
            <w:pPr>
              <w:pStyle w:val="6"/>
              <w:spacing w:before="183" w:line="218" w:lineRule="auto"/>
              <w:ind w:left="600"/>
              <w:rPr>
                <w:sz w:val="24"/>
                <w:szCs w:val="24"/>
              </w:rPr>
            </w:pPr>
            <w:r>
              <w:rPr>
                <w:sz w:val="24"/>
                <w:szCs w:val="24"/>
              </w:rPr>
              <w:t>具体以项目水土保持方案报告书及其批复的为准。</w:t>
            </w:r>
          </w:p>
        </w:tc>
      </w:tr>
      <w:tr w14:paraId="395D7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7" w:hRule="atLeast"/>
        </w:trPr>
        <w:tc>
          <w:tcPr>
            <w:tcW w:w="744" w:type="dxa"/>
            <w:vAlign w:val="top"/>
          </w:tcPr>
          <w:p w14:paraId="1E3544F7">
            <w:pPr>
              <w:spacing w:line="242" w:lineRule="auto"/>
              <w:rPr>
                <w:rFonts w:ascii="Arial"/>
                <w:sz w:val="21"/>
              </w:rPr>
            </w:pPr>
          </w:p>
          <w:p w14:paraId="534ABA88">
            <w:pPr>
              <w:spacing w:line="243" w:lineRule="auto"/>
              <w:rPr>
                <w:rFonts w:ascii="Arial"/>
                <w:sz w:val="21"/>
              </w:rPr>
            </w:pPr>
          </w:p>
          <w:p w14:paraId="35E1FC7C">
            <w:pPr>
              <w:spacing w:line="243" w:lineRule="auto"/>
              <w:rPr>
                <w:rFonts w:ascii="Arial"/>
                <w:sz w:val="21"/>
              </w:rPr>
            </w:pPr>
          </w:p>
          <w:p w14:paraId="1F0A8D03">
            <w:pPr>
              <w:spacing w:line="243" w:lineRule="auto"/>
              <w:rPr>
                <w:rFonts w:ascii="Arial"/>
                <w:sz w:val="21"/>
              </w:rPr>
            </w:pPr>
          </w:p>
          <w:p w14:paraId="64449094">
            <w:pPr>
              <w:spacing w:line="243" w:lineRule="auto"/>
              <w:rPr>
                <w:rFonts w:ascii="Arial"/>
                <w:sz w:val="21"/>
              </w:rPr>
            </w:pPr>
          </w:p>
          <w:p w14:paraId="0FEF53C6">
            <w:pPr>
              <w:spacing w:line="243" w:lineRule="auto"/>
              <w:rPr>
                <w:rFonts w:ascii="Arial"/>
                <w:sz w:val="21"/>
              </w:rPr>
            </w:pPr>
          </w:p>
          <w:p w14:paraId="795A288F">
            <w:pPr>
              <w:spacing w:line="243" w:lineRule="auto"/>
              <w:rPr>
                <w:rFonts w:ascii="Arial"/>
                <w:sz w:val="21"/>
              </w:rPr>
            </w:pPr>
          </w:p>
          <w:p w14:paraId="09996470">
            <w:pPr>
              <w:spacing w:line="243" w:lineRule="auto"/>
              <w:rPr>
                <w:rFonts w:ascii="Arial"/>
                <w:sz w:val="21"/>
              </w:rPr>
            </w:pPr>
          </w:p>
          <w:p w14:paraId="6F3C849A">
            <w:pPr>
              <w:spacing w:line="243" w:lineRule="auto"/>
              <w:rPr>
                <w:rFonts w:ascii="Arial"/>
                <w:sz w:val="21"/>
              </w:rPr>
            </w:pPr>
          </w:p>
          <w:p w14:paraId="0FAA7924">
            <w:pPr>
              <w:spacing w:line="243" w:lineRule="auto"/>
              <w:rPr>
                <w:rFonts w:ascii="Arial"/>
                <w:sz w:val="21"/>
              </w:rPr>
            </w:pPr>
          </w:p>
          <w:p w14:paraId="0D4FB1B3">
            <w:pPr>
              <w:spacing w:line="243" w:lineRule="auto"/>
              <w:rPr>
                <w:rFonts w:ascii="Arial"/>
                <w:sz w:val="21"/>
              </w:rPr>
            </w:pPr>
          </w:p>
          <w:p w14:paraId="4BA991F5">
            <w:pPr>
              <w:spacing w:line="243" w:lineRule="auto"/>
              <w:rPr>
                <w:rFonts w:ascii="Arial"/>
                <w:sz w:val="21"/>
              </w:rPr>
            </w:pPr>
          </w:p>
          <w:p w14:paraId="49A6AF9D">
            <w:pPr>
              <w:spacing w:line="243" w:lineRule="auto"/>
              <w:rPr>
                <w:rFonts w:ascii="Arial"/>
                <w:sz w:val="21"/>
              </w:rPr>
            </w:pPr>
          </w:p>
          <w:p w14:paraId="684124CF">
            <w:pPr>
              <w:spacing w:line="243" w:lineRule="auto"/>
              <w:rPr>
                <w:rFonts w:ascii="Arial"/>
                <w:sz w:val="21"/>
              </w:rPr>
            </w:pPr>
          </w:p>
          <w:p w14:paraId="760C6496">
            <w:pPr>
              <w:spacing w:line="243" w:lineRule="auto"/>
              <w:rPr>
                <w:rFonts w:ascii="Arial"/>
                <w:sz w:val="21"/>
              </w:rPr>
            </w:pPr>
          </w:p>
          <w:p w14:paraId="4EF6DA11">
            <w:pPr>
              <w:spacing w:line="243" w:lineRule="auto"/>
              <w:rPr>
                <w:rFonts w:ascii="Arial"/>
                <w:sz w:val="21"/>
              </w:rPr>
            </w:pPr>
          </w:p>
          <w:p w14:paraId="636C8C95">
            <w:pPr>
              <w:spacing w:line="243" w:lineRule="auto"/>
              <w:rPr>
                <w:rFonts w:ascii="Arial"/>
                <w:sz w:val="21"/>
              </w:rPr>
            </w:pPr>
          </w:p>
          <w:p w14:paraId="3E911728">
            <w:pPr>
              <w:spacing w:line="243" w:lineRule="auto"/>
              <w:rPr>
                <w:rFonts w:ascii="Arial"/>
                <w:sz w:val="21"/>
              </w:rPr>
            </w:pPr>
          </w:p>
          <w:p w14:paraId="605D622C">
            <w:pPr>
              <w:spacing w:line="243" w:lineRule="auto"/>
              <w:rPr>
                <w:rFonts w:ascii="Arial"/>
                <w:sz w:val="21"/>
              </w:rPr>
            </w:pPr>
          </w:p>
          <w:p w14:paraId="5BD77DEC">
            <w:pPr>
              <w:pStyle w:val="6"/>
              <w:spacing w:before="78" w:line="220" w:lineRule="auto"/>
              <w:ind w:left="125"/>
              <w:rPr>
                <w:sz w:val="24"/>
                <w:szCs w:val="24"/>
              </w:rPr>
            </w:pPr>
            <w:r>
              <w:rPr>
                <w:spacing w:val="7"/>
                <w:sz w:val="24"/>
                <w:szCs w:val="24"/>
              </w:rPr>
              <w:t>运营</w:t>
            </w:r>
          </w:p>
          <w:p w14:paraId="7DD96548">
            <w:pPr>
              <w:pStyle w:val="6"/>
              <w:spacing w:before="24" w:line="220" w:lineRule="auto"/>
              <w:ind w:left="125"/>
              <w:rPr>
                <w:sz w:val="24"/>
                <w:szCs w:val="24"/>
              </w:rPr>
            </w:pPr>
            <w:r>
              <w:rPr>
                <w:spacing w:val="5"/>
                <w:sz w:val="24"/>
                <w:szCs w:val="24"/>
              </w:rPr>
              <w:t>期生</w:t>
            </w:r>
          </w:p>
          <w:p w14:paraId="3F1E725A">
            <w:pPr>
              <w:pStyle w:val="6"/>
              <w:spacing w:before="36" w:line="221" w:lineRule="auto"/>
              <w:ind w:left="125"/>
              <w:rPr>
                <w:sz w:val="24"/>
                <w:szCs w:val="24"/>
              </w:rPr>
            </w:pPr>
            <w:r>
              <w:rPr>
                <w:spacing w:val="6"/>
                <w:sz w:val="24"/>
                <w:szCs w:val="24"/>
              </w:rPr>
              <w:t>态环</w:t>
            </w:r>
          </w:p>
          <w:p w14:paraId="19730C18">
            <w:pPr>
              <w:pStyle w:val="6"/>
              <w:spacing w:before="10" w:line="220" w:lineRule="auto"/>
              <w:ind w:left="125"/>
              <w:rPr>
                <w:sz w:val="24"/>
                <w:szCs w:val="24"/>
              </w:rPr>
            </w:pPr>
            <w:r>
              <w:rPr>
                <w:spacing w:val="-3"/>
                <w:sz w:val="24"/>
                <w:szCs w:val="24"/>
              </w:rPr>
              <w:t>境保</w:t>
            </w:r>
          </w:p>
          <w:p w14:paraId="5BD8CEE2">
            <w:pPr>
              <w:pStyle w:val="6"/>
              <w:spacing w:before="24" w:line="220" w:lineRule="auto"/>
              <w:ind w:left="125"/>
              <w:rPr>
                <w:sz w:val="24"/>
                <w:szCs w:val="24"/>
              </w:rPr>
            </w:pPr>
            <w:r>
              <w:rPr>
                <w:spacing w:val="6"/>
                <w:sz w:val="24"/>
                <w:szCs w:val="24"/>
              </w:rPr>
              <w:t>护措</w:t>
            </w:r>
          </w:p>
          <w:p w14:paraId="6F392F88">
            <w:pPr>
              <w:pStyle w:val="6"/>
              <w:spacing w:before="27" w:line="222" w:lineRule="auto"/>
              <w:ind w:left="244"/>
              <w:rPr>
                <w:sz w:val="24"/>
                <w:szCs w:val="24"/>
              </w:rPr>
            </w:pPr>
            <w:r>
              <w:rPr>
                <w:sz w:val="24"/>
                <w:szCs w:val="24"/>
              </w:rPr>
              <w:t>施</w:t>
            </w:r>
          </w:p>
        </w:tc>
        <w:tc>
          <w:tcPr>
            <w:tcW w:w="8476" w:type="dxa"/>
            <w:vAlign w:val="top"/>
          </w:tcPr>
          <w:p w14:paraId="323CC6E3">
            <w:pPr>
              <w:pStyle w:val="6"/>
              <w:spacing w:before="49" w:line="220" w:lineRule="auto"/>
              <w:ind w:left="114"/>
              <w:rPr>
                <w:sz w:val="24"/>
                <w:szCs w:val="24"/>
              </w:rPr>
            </w:pPr>
            <w:r>
              <w:rPr>
                <w:b/>
                <w:bCs/>
                <w:spacing w:val="-5"/>
                <w:sz w:val="24"/>
                <w:szCs w:val="24"/>
              </w:rPr>
              <w:t>一、运营期环境保护措施</w:t>
            </w:r>
          </w:p>
          <w:p w14:paraId="0CCCD24B">
            <w:pPr>
              <w:pStyle w:val="6"/>
              <w:spacing w:before="184" w:line="220" w:lineRule="auto"/>
              <w:ind w:left="124"/>
              <w:rPr>
                <w:sz w:val="24"/>
                <w:szCs w:val="24"/>
              </w:rPr>
            </w:pPr>
            <w:r>
              <w:rPr>
                <w:b/>
                <w:bCs/>
                <w:spacing w:val="-3"/>
                <w:sz w:val="24"/>
                <w:szCs w:val="24"/>
              </w:rPr>
              <w:t>1生态环境保护措施</w:t>
            </w:r>
          </w:p>
          <w:p w14:paraId="47C5DF9D">
            <w:pPr>
              <w:pStyle w:val="6"/>
              <w:spacing w:before="173" w:line="328" w:lineRule="auto"/>
              <w:ind w:left="121" w:right="155" w:firstLine="600"/>
              <w:rPr>
                <w:sz w:val="24"/>
                <w:szCs w:val="24"/>
              </w:rPr>
            </w:pPr>
            <w:r>
              <w:rPr>
                <w:sz w:val="24"/>
                <w:szCs w:val="24"/>
              </w:rPr>
              <w:t>(1)项目运行期，禁止光伏电站工作人员捕杀野生动物；应注意观察评价</w:t>
            </w:r>
            <w:r>
              <w:rPr>
                <w:spacing w:val="9"/>
                <w:sz w:val="24"/>
                <w:szCs w:val="24"/>
              </w:rPr>
              <w:t xml:space="preserve"> </w:t>
            </w:r>
            <w:r>
              <w:rPr>
                <w:sz w:val="24"/>
                <w:szCs w:val="24"/>
              </w:rPr>
              <w:t>区域内陆栖脊椎动物的活动情况，并注意保护评价区域内陆栖脊椎动物，发现</w:t>
            </w:r>
            <w:r>
              <w:rPr>
                <w:spacing w:val="18"/>
                <w:sz w:val="24"/>
                <w:szCs w:val="24"/>
              </w:rPr>
              <w:t xml:space="preserve"> </w:t>
            </w:r>
            <w:r>
              <w:rPr>
                <w:spacing w:val="1"/>
                <w:sz w:val="24"/>
                <w:szCs w:val="24"/>
              </w:rPr>
              <w:t>异常应向林业部门报告，遇到受伤或死亡动物应将其交予林业部</w:t>
            </w:r>
            <w:r>
              <w:rPr>
                <w:sz w:val="24"/>
                <w:szCs w:val="24"/>
              </w:rPr>
              <w:t xml:space="preserve">门，并排查原 </w:t>
            </w:r>
            <w:r>
              <w:rPr>
                <w:spacing w:val="-15"/>
                <w:sz w:val="24"/>
                <w:szCs w:val="24"/>
              </w:rPr>
              <w:t>因</w:t>
            </w:r>
            <w:r>
              <w:rPr>
                <w:spacing w:val="-57"/>
                <w:sz w:val="24"/>
                <w:szCs w:val="24"/>
              </w:rPr>
              <w:t xml:space="preserve"> </w:t>
            </w:r>
            <w:r>
              <w:rPr>
                <w:spacing w:val="-15"/>
                <w:sz w:val="24"/>
                <w:szCs w:val="24"/>
              </w:rPr>
              <w:t>。</w:t>
            </w:r>
          </w:p>
          <w:p w14:paraId="7EABD4F7">
            <w:pPr>
              <w:pStyle w:val="6"/>
              <w:spacing w:before="175" w:line="312" w:lineRule="auto"/>
              <w:ind w:left="121" w:right="167" w:firstLine="600"/>
              <w:rPr>
                <w:sz w:val="24"/>
                <w:szCs w:val="24"/>
              </w:rPr>
            </w:pPr>
            <w:r>
              <w:rPr>
                <w:sz w:val="24"/>
                <w:szCs w:val="24"/>
              </w:rPr>
              <w:t>(2)结合水土保持措施对道路等区域内破坏的植被进行植被恢复，加强管</w:t>
            </w:r>
            <w:r>
              <w:rPr>
                <w:spacing w:val="12"/>
                <w:sz w:val="24"/>
                <w:szCs w:val="24"/>
              </w:rPr>
              <w:t xml:space="preserve"> </w:t>
            </w:r>
            <w:r>
              <w:rPr>
                <w:sz w:val="24"/>
                <w:szCs w:val="24"/>
              </w:rPr>
              <w:t>理保护好项目区内现有植被，严禁员工破坏周边植被及农作物等。光伏区维护</w:t>
            </w:r>
            <w:r>
              <w:rPr>
                <w:spacing w:val="16"/>
                <w:sz w:val="24"/>
                <w:szCs w:val="24"/>
              </w:rPr>
              <w:t xml:space="preserve"> </w:t>
            </w:r>
            <w:r>
              <w:rPr>
                <w:spacing w:val="-1"/>
                <w:sz w:val="24"/>
                <w:szCs w:val="24"/>
              </w:rPr>
              <w:t>人员不得随意进入天然植被区。</w:t>
            </w:r>
          </w:p>
          <w:p w14:paraId="40837254">
            <w:pPr>
              <w:pStyle w:val="6"/>
              <w:spacing w:before="184" w:line="294" w:lineRule="auto"/>
              <w:ind w:left="131" w:right="184" w:firstLine="590"/>
              <w:rPr>
                <w:sz w:val="24"/>
                <w:szCs w:val="24"/>
              </w:rPr>
            </w:pPr>
            <w:r>
              <w:rPr>
                <w:sz w:val="24"/>
                <w:szCs w:val="24"/>
              </w:rPr>
              <w:t>(3)对太阳能电池板、场内道路、逆变器等场所周围空地进行人工绿化。 绿化可考虑选取乡土树种为主，易于存活。</w:t>
            </w:r>
          </w:p>
          <w:p w14:paraId="3F37DFF7">
            <w:pPr>
              <w:pStyle w:val="6"/>
              <w:spacing w:before="165" w:line="287" w:lineRule="auto"/>
              <w:ind w:left="121" w:right="184" w:firstLine="590"/>
              <w:rPr>
                <w:sz w:val="24"/>
                <w:szCs w:val="24"/>
              </w:rPr>
            </w:pPr>
            <w:r>
              <w:rPr>
                <w:sz w:val="24"/>
                <w:szCs w:val="24"/>
              </w:rPr>
              <w:t>(4)禁止违法开荒耕地种植农作物，只允许在项目征地范围内种植，不破</w:t>
            </w:r>
            <w:r>
              <w:rPr>
                <w:spacing w:val="9"/>
                <w:sz w:val="24"/>
                <w:szCs w:val="24"/>
              </w:rPr>
              <w:t xml:space="preserve"> </w:t>
            </w:r>
            <w:r>
              <w:rPr>
                <w:spacing w:val="-1"/>
                <w:sz w:val="24"/>
                <w:szCs w:val="24"/>
              </w:rPr>
              <w:t>坏项目范围外的植被。</w:t>
            </w:r>
          </w:p>
          <w:p w14:paraId="0B14BE44">
            <w:pPr>
              <w:pStyle w:val="6"/>
              <w:spacing w:before="185" w:line="219" w:lineRule="auto"/>
              <w:ind w:left="721"/>
              <w:rPr>
                <w:sz w:val="24"/>
                <w:szCs w:val="24"/>
              </w:rPr>
            </w:pPr>
            <w:r>
              <w:rPr>
                <w:sz w:val="24"/>
                <w:szCs w:val="24"/>
              </w:rPr>
              <w:t>(5)保护当地的野生动物，禁止人为捕杀；禁止引入外来有害生物。</w:t>
            </w:r>
          </w:p>
          <w:p w14:paraId="0C08BA46">
            <w:pPr>
              <w:pStyle w:val="6"/>
              <w:spacing w:before="184" w:line="296" w:lineRule="auto"/>
              <w:ind w:left="101" w:right="184" w:firstLine="610"/>
              <w:rPr>
                <w:sz w:val="24"/>
                <w:szCs w:val="24"/>
              </w:rPr>
            </w:pPr>
            <w:r>
              <w:rPr>
                <w:sz w:val="24"/>
                <w:szCs w:val="24"/>
              </w:rPr>
              <w:t>(6)光伏周围建设好截排水沟，空闲地多种植本地树种，减少区域水土流</w:t>
            </w:r>
            <w:r>
              <w:rPr>
                <w:spacing w:val="9"/>
                <w:sz w:val="24"/>
                <w:szCs w:val="24"/>
              </w:rPr>
              <w:t xml:space="preserve"> </w:t>
            </w:r>
            <w:r>
              <w:rPr>
                <w:sz w:val="24"/>
                <w:szCs w:val="24"/>
              </w:rPr>
              <w:t>失。</w:t>
            </w:r>
          </w:p>
          <w:p w14:paraId="76484C36">
            <w:pPr>
              <w:pStyle w:val="6"/>
              <w:spacing w:before="178" w:line="219" w:lineRule="auto"/>
              <w:ind w:left="114"/>
              <w:rPr>
                <w:sz w:val="24"/>
                <w:szCs w:val="24"/>
              </w:rPr>
            </w:pPr>
            <w:r>
              <w:rPr>
                <w:b/>
                <w:bCs/>
                <w:spacing w:val="-4"/>
                <w:sz w:val="24"/>
                <w:szCs w:val="24"/>
              </w:rPr>
              <w:t>2运营期水污染防治措施</w:t>
            </w:r>
          </w:p>
          <w:p w14:paraId="4705F699">
            <w:pPr>
              <w:pStyle w:val="6"/>
              <w:spacing w:before="169" w:line="333" w:lineRule="auto"/>
              <w:ind w:left="121" w:right="168" w:firstLine="590"/>
              <w:rPr>
                <w:sz w:val="24"/>
                <w:szCs w:val="24"/>
              </w:rPr>
            </w:pPr>
            <w:r>
              <w:rPr>
                <w:sz w:val="24"/>
                <w:szCs w:val="24"/>
              </w:rPr>
              <w:t>(1)由于电池板清洗为清水清洗，不需添加清洗剂，太阳能电池板的清洗</w:t>
            </w:r>
            <w:r>
              <w:rPr>
                <w:spacing w:val="8"/>
                <w:sz w:val="24"/>
                <w:szCs w:val="24"/>
              </w:rPr>
              <w:t xml:space="preserve"> </w:t>
            </w:r>
            <w:r>
              <w:rPr>
                <w:sz w:val="24"/>
                <w:szCs w:val="24"/>
              </w:rPr>
              <w:t>废水性质与雨水基本相同，清洗废水污染物主要为SS,分散于各个片区，不含  有毒物质，因此，太阳能电池板的清洗废水可直接顺着流在太阳能电池组件下</w:t>
            </w:r>
            <w:r>
              <w:rPr>
                <w:spacing w:val="15"/>
                <w:sz w:val="24"/>
                <w:szCs w:val="24"/>
              </w:rPr>
              <w:t xml:space="preserve"> </w:t>
            </w:r>
            <w:r>
              <w:rPr>
                <w:sz w:val="24"/>
                <w:szCs w:val="24"/>
              </w:rPr>
              <w:t>面的草地上，作为草地灌溉补充水，不外排；此外</w:t>
            </w:r>
            <w:r>
              <w:rPr>
                <w:spacing w:val="-1"/>
                <w:sz w:val="24"/>
                <w:szCs w:val="24"/>
              </w:rPr>
              <w:t>，项目太阳能光伏板清洗频</w:t>
            </w:r>
            <w:r>
              <w:rPr>
                <w:sz w:val="24"/>
                <w:szCs w:val="24"/>
              </w:rPr>
              <w:t xml:space="preserve"> 率为每年1次。</w:t>
            </w:r>
          </w:p>
          <w:p w14:paraId="509B5E72">
            <w:pPr>
              <w:pStyle w:val="6"/>
              <w:spacing w:before="165" w:line="294" w:lineRule="auto"/>
              <w:ind w:left="121" w:right="168" w:firstLine="600"/>
              <w:rPr>
                <w:sz w:val="24"/>
                <w:szCs w:val="24"/>
              </w:rPr>
            </w:pPr>
            <w:r>
              <w:rPr>
                <w:sz w:val="24"/>
                <w:szCs w:val="24"/>
              </w:rPr>
              <w:t>(2)食堂废水经隔油池预处理后与其他生活废水一起进入化粪池预处</w:t>
            </w:r>
            <w:r>
              <w:rPr>
                <w:spacing w:val="-1"/>
                <w:sz w:val="24"/>
                <w:szCs w:val="24"/>
              </w:rPr>
              <w:t>理，</w:t>
            </w:r>
            <w:r>
              <w:rPr>
                <w:sz w:val="24"/>
                <w:szCs w:val="24"/>
              </w:rPr>
              <w:t xml:space="preserve"> </w:t>
            </w:r>
            <w:r>
              <w:rPr>
                <w:spacing w:val="4"/>
                <w:sz w:val="24"/>
                <w:szCs w:val="24"/>
              </w:rPr>
              <w:t>后统一进入一体化生活废水处理站(处理规模为</w:t>
            </w:r>
            <w:r>
              <w:rPr>
                <w:spacing w:val="3"/>
                <w:sz w:val="24"/>
                <w:szCs w:val="24"/>
              </w:rPr>
              <w:t>1.0m³/d)进行处理，处理达到</w:t>
            </w:r>
          </w:p>
        </w:tc>
      </w:tr>
    </w:tbl>
    <w:p w14:paraId="28098447">
      <w:pPr>
        <w:pStyle w:val="2"/>
      </w:pPr>
    </w:p>
    <w:p w14:paraId="7A8AA7DF">
      <w:pPr>
        <w:sectPr>
          <w:footerReference r:id="rId203" w:type="default"/>
          <w:pgSz w:w="11910" w:h="16840"/>
          <w:pgMar w:top="400" w:right="1355" w:bottom="1255" w:left="1324" w:header="0" w:footer="1093" w:gutter="0"/>
          <w:cols w:space="720" w:num="1"/>
        </w:sectPr>
      </w:pPr>
    </w:p>
    <w:p w14:paraId="40C37AD8">
      <w:pPr>
        <w:spacing w:before="15"/>
      </w:pPr>
    </w:p>
    <w:p w14:paraId="29D41237">
      <w:pPr>
        <w:spacing w:before="15"/>
      </w:pPr>
    </w:p>
    <w:p w14:paraId="44261F3B">
      <w:pPr>
        <w:spacing w:before="15"/>
      </w:pPr>
    </w:p>
    <w:p w14:paraId="4BD1B743">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456"/>
      </w:tblGrid>
      <w:tr w14:paraId="1D1A0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9" w:hRule="atLeast"/>
        </w:trPr>
        <w:tc>
          <w:tcPr>
            <w:tcW w:w="764" w:type="dxa"/>
            <w:vAlign w:val="top"/>
          </w:tcPr>
          <w:p w14:paraId="258CD895">
            <w:pPr>
              <w:rPr>
                <w:rFonts w:ascii="Arial"/>
                <w:sz w:val="21"/>
              </w:rPr>
            </w:pPr>
          </w:p>
        </w:tc>
        <w:tc>
          <w:tcPr>
            <w:tcW w:w="8456" w:type="dxa"/>
            <w:vAlign w:val="top"/>
          </w:tcPr>
          <w:p w14:paraId="72FAEF51">
            <w:pPr>
              <w:pStyle w:val="6"/>
              <w:spacing w:before="14" w:line="219" w:lineRule="auto"/>
              <w:ind w:left="110"/>
              <w:rPr>
                <w:sz w:val="24"/>
                <w:szCs w:val="24"/>
              </w:rPr>
            </w:pPr>
            <w:bookmarkStart w:id="8" w:name="bookmark12"/>
            <w:bookmarkEnd w:id="8"/>
            <w:r>
              <w:rPr>
                <w:sz w:val="24"/>
                <w:szCs w:val="24"/>
              </w:rPr>
              <w:t>《城市污水再生利用城市杂用水水质》(GB/T18920-2020)中“城市绿化、道</w:t>
            </w:r>
          </w:p>
          <w:p w14:paraId="1916CB84">
            <w:pPr>
              <w:pStyle w:val="6"/>
              <w:spacing w:before="185" w:line="219" w:lineRule="auto"/>
              <w:ind w:left="101"/>
              <w:rPr>
                <w:sz w:val="24"/>
                <w:szCs w:val="24"/>
              </w:rPr>
            </w:pPr>
            <w:r>
              <w:rPr>
                <w:spacing w:val="4"/>
                <w:sz w:val="24"/>
                <w:szCs w:val="24"/>
              </w:rPr>
              <w:t>路清扫”标准后排入生活废水收集池(1座、容积</w:t>
            </w:r>
            <w:r>
              <w:rPr>
                <w:spacing w:val="3"/>
                <w:sz w:val="24"/>
                <w:szCs w:val="24"/>
              </w:rPr>
              <w:t>为4m³)作为升压站场区晴天</w:t>
            </w:r>
          </w:p>
          <w:p w14:paraId="20670C11">
            <w:pPr>
              <w:pStyle w:val="6"/>
              <w:spacing w:before="184" w:line="358" w:lineRule="auto"/>
              <w:ind w:left="81" w:right="55" w:firstLine="20"/>
              <w:rPr>
                <w:sz w:val="24"/>
                <w:szCs w:val="24"/>
              </w:rPr>
            </w:pPr>
            <w:r>
              <w:rPr>
                <w:spacing w:val="3"/>
                <w:sz w:val="24"/>
                <w:szCs w:val="24"/>
              </w:rPr>
              <w:t>绿化、道路降尘用水回用，雨天储存，不外排。食堂隔油池容积≥0.2m³;化粪</w:t>
            </w:r>
            <w:r>
              <w:rPr>
                <w:spacing w:val="17"/>
                <w:sz w:val="24"/>
                <w:szCs w:val="24"/>
              </w:rPr>
              <w:t xml:space="preserve"> </w:t>
            </w:r>
            <w:r>
              <w:rPr>
                <w:spacing w:val="12"/>
                <w:sz w:val="24"/>
                <w:szCs w:val="24"/>
              </w:rPr>
              <w:t>池容积≥1.0m³。</w:t>
            </w:r>
          </w:p>
          <w:p w14:paraId="555CD516">
            <w:pPr>
              <w:pStyle w:val="6"/>
              <w:spacing w:line="219" w:lineRule="auto"/>
              <w:ind w:left="701"/>
              <w:rPr>
                <w:sz w:val="24"/>
                <w:szCs w:val="24"/>
              </w:rPr>
            </w:pPr>
            <w:r>
              <w:rPr>
                <w:sz w:val="24"/>
                <w:szCs w:val="24"/>
              </w:rPr>
              <w:t>(3)在升压站内建设雨污分流系统，雨水经截排水沟排出站</w:t>
            </w:r>
            <w:r>
              <w:rPr>
                <w:spacing w:val="-1"/>
                <w:sz w:val="24"/>
                <w:szCs w:val="24"/>
              </w:rPr>
              <w:t>外。</w:t>
            </w:r>
          </w:p>
          <w:p w14:paraId="2EB18C87">
            <w:pPr>
              <w:pStyle w:val="6"/>
              <w:spacing w:before="195" w:line="294" w:lineRule="auto"/>
              <w:ind w:left="101" w:firstLine="596"/>
              <w:rPr>
                <w:sz w:val="24"/>
                <w:szCs w:val="24"/>
              </w:rPr>
            </w:pPr>
            <w:r>
              <w:rPr>
                <w:spacing w:val="-1"/>
                <w:sz w:val="24"/>
                <w:szCs w:val="24"/>
              </w:rPr>
              <w:t>(4)应定期对化粪池、隔油池进行清掏；定期检修一体化生活</w:t>
            </w:r>
            <w:r>
              <w:rPr>
                <w:spacing w:val="-2"/>
                <w:sz w:val="24"/>
                <w:szCs w:val="24"/>
              </w:rPr>
              <w:t>废水处理站</w:t>
            </w:r>
            <w:r>
              <w:rPr>
                <w:sz w:val="24"/>
                <w:szCs w:val="24"/>
              </w:rPr>
              <w:t xml:space="preserve">   </w:t>
            </w:r>
            <w:r>
              <w:rPr>
                <w:spacing w:val="-2"/>
                <w:sz w:val="24"/>
                <w:szCs w:val="24"/>
              </w:rPr>
              <w:t>污水处理设施，建立污水处理设施管理制度，以保障污水处理设施的处理效果。</w:t>
            </w:r>
          </w:p>
          <w:p w14:paraId="50DCA057">
            <w:pPr>
              <w:pStyle w:val="6"/>
              <w:spacing w:before="185" w:line="282" w:lineRule="auto"/>
              <w:ind w:left="84" w:right="184" w:firstLine="616"/>
              <w:rPr>
                <w:sz w:val="24"/>
                <w:szCs w:val="24"/>
              </w:rPr>
            </w:pPr>
            <w:r>
              <w:rPr>
                <w:sz w:val="24"/>
                <w:szCs w:val="24"/>
              </w:rPr>
              <w:t xml:space="preserve">(5)禁止向地表水排放任何废水，定期巡逻检查，加强监管及宣传教育。 </w:t>
            </w:r>
            <w:r>
              <w:rPr>
                <w:b/>
                <w:bCs/>
                <w:spacing w:val="-4"/>
                <w:sz w:val="24"/>
                <w:szCs w:val="24"/>
              </w:rPr>
              <w:t>3运营期废气污染防治措施</w:t>
            </w:r>
          </w:p>
          <w:p w14:paraId="385868A1">
            <w:pPr>
              <w:pStyle w:val="6"/>
              <w:spacing w:before="186" w:line="357" w:lineRule="auto"/>
              <w:ind w:left="101" w:right="161" w:firstLine="489"/>
              <w:rPr>
                <w:sz w:val="24"/>
                <w:szCs w:val="24"/>
              </w:rPr>
            </w:pPr>
            <w:r>
              <w:rPr>
                <w:sz w:val="24"/>
                <w:szCs w:val="24"/>
              </w:rPr>
              <w:t>项目实施后，升压站内职工食堂应使用电或液化气为燃料、不燃煤，食堂</w:t>
            </w:r>
            <w:r>
              <w:rPr>
                <w:spacing w:val="12"/>
                <w:sz w:val="24"/>
                <w:szCs w:val="24"/>
              </w:rPr>
              <w:t xml:space="preserve"> </w:t>
            </w:r>
            <w:r>
              <w:rPr>
                <w:sz w:val="24"/>
                <w:szCs w:val="24"/>
              </w:rPr>
              <w:t>烹饪油烟采用油烟净化设备处理后(处理效率应≥60%),经专用烟道排</w:t>
            </w:r>
            <w:r>
              <w:rPr>
                <w:spacing w:val="-1"/>
                <w:sz w:val="24"/>
                <w:szCs w:val="24"/>
              </w:rPr>
              <w:t>出。</w:t>
            </w:r>
          </w:p>
          <w:p w14:paraId="2BF2E19C">
            <w:pPr>
              <w:pStyle w:val="6"/>
              <w:spacing w:line="220" w:lineRule="auto"/>
              <w:ind w:left="84"/>
              <w:rPr>
                <w:sz w:val="24"/>
                <w:szCs w:val="24"/>
              </w:rPr>
            </w:pPr>
            <w:r>
              <w:rPr>
                <w:b/>
                <w:bCs/>
                <w:spacing w:val="-4"/>
                <w:sz w:val="24"/>
                <w:szCs w:val="24"/>
              </w:rPr>
              <w:t>4运营期噪声污染防治措施</w:t>
            </w:r>
          </w:p>
          <w:p w14:paraId="0913EE9A">
            <w:pPr>
              <w:pStyle w:val="6"/>
              <w:spacing w:before="195" w:line="218" w:lineRule="auto"/>
              <w:ind w:left="691"/>
              <w:rPr>
                <w:sz w:val="24"/>
                <w:szCs w:val="24"/>
              </w:rPr>
            </w:pPr>
            <w:r>
              <w:rPr>
                <w:spacing w:val="1"/>
                <w:sz w:val="24"/>
                <w:szCs w:val="24"/>
              </w:rPr>
              <w:t>(1)本评价要求建设单位建设升压站厂界围</w:t>
            </w:r>
            <w:r>
              <w:rPr>
                <w:sz w:val="24"/>
                <w:szCs w:val="24"/>
              </w:rPr>
              <w:t>墙，围墙高度不应低于2.5m。</w:t>
            </w:r>
          </w:p>
          <w:p w14:paraId="6AFBF022">
            <w:pPr>
              <w:pStyle w:val="6"/>
              <w:spacing w:before="179" w:line="220" w:lineRule="auto"/>
              <w:ind w:left="701"/>
              <w:rPr>
                <w:sz w:val="24"/>
                <w:szCs w:val="24"/>
              </w:rPr>
            </w:pPr>
            <w:r>
              <w:rPr>
                <w:sz w:val="24"/>
                <w:szCs w:val="24"/>
              </w:rPr>
              <w:t>(2)建设单位在设备选型上应尽量选择低噪设</w:t>
            </w:r>
            <w:r>
              <w:rPr>
                <w:spacing w:val="-1"/>
                <w:sz w:val="24"/>
                <w:szCs w:val="24"/>
              </w:rPr>
              <w:t>备。</w:t>
            </w:r>
          </w:p>
          <w:p w14:paraId="49C90B25">
            <w:pPr>
              <w:pStyle w:val="6"/>
              <w:spacing w:before="203" w:line="219" w:lineRule="auto"/>
              <w:ind w:left="701"/>
              <w:rPr>
                <w:sz w:val="24"/>
                <w:szCs w:val="24"/>
              </w:rPr>
            </w:pPr>
            <w:r>
              <w:rPr>
                <w:sz w:val="24"/>
                <w:szCs w:val="24"/>
              </w:rPr>
              <w:t>(3)加强升压站内绿化。</w:t>
            </w:r>
          </w:p>
          <w:p w14:paraId="02A6B7D3">
            <w:pPr>
              <w:pStyle w:val="6"/>
              <w:spacing w:before="143" w:line="295" w:lineRule="auto"/>
              <w:ind w:left="101" w:right="195" w:firstLine="590"/>
              <w:rPr>
                <w:sz w:val="24"/>
                <w:szCs w:val="24"/>
              </w:rPr>
            </w:pPr>
            <w:r>
              <w:rPr>
                <w:sz w:val="24"/>
                <w:szCs w:val="24"/>
              </w:rPr>
              <w:t>(4)合理规划升压站平面布置，在噪声传播途径上，采取措施加以控</w:t>
            </w:r>
            <w:r>
              <w:rPr>
                <w:spacing w:val="-1"/>
                <w:sz w:val="24"/>
                <w:szCs w:val="24"/>
              </w:rPr>
              <w:t>制，</w:t>
            </w:r>
            <w:r>
              <w:rPr>
                <w:sz w:val="24"/>
                <w:szCs w:val="24"/>
              </w:rPr>
              <w:t xml:space="preserve"> 尽可能将高噪声设备设置在密闭房间内，水泵夜间不运</w:t>
            </w:r>
            <w:r>
              <w:rPr>
                <w:spacing w:val="-1"/>
                <w:sz w:val="24"/>
                <w:szCs w:val="24"/>
              </w:rPr>
              <w:t>行。</w:t>
            </w:r>
          </w:p>
          <w:p w14:paraId="483C3252">
            <w:pPr>
              <w:pStyle w:val="6"/>
              <w:spacing w:before="174" w:line="291" w:lineRule="auto"/>
              <w:ind w:left="91" w:firstLine="596"/>
              <w:rPr>
                <w:sz w:val="24"/>
                <w:szCs w:val="24"/>
              </w:rPr>
            </w:pPr>
            <w:r>
              <w:rPr>
                <w:spacing w:val="-1"/>
                <w:sz w:val="24"/>
                <w:szCs w:val="24"/>
              </w:rPr>
              <w:t>(5)合理布局站区，站区设计时考虑把低噪声或无噪声</w:t>
            </w:r>
            <w:r>
              <w:rPr>
                <w:spacing w:val="-2"/>
                <w:sz w:val="24"/>
                <w:szCs w:val="24"/>
              </w:rPr>
              <w:t>的建筑布置在外围，</w:t>
            </w:r>
            <w:r>
              <w:rPr>
                <w:sz w:val="24"/>
                <w:szCs w:val="24"/>
              </w:rPr>
              <w:t xml:space="preserve"> </w:t>
            </w:r>
            <w:r>
              <w:rPr>
                <w:spacing w:val="-2"/>
                <w:sz w:val="24"/>
                <w:szCs w:val="24"/>
              </w:rPr>
              <w:t>增加对高噪声源的声屏障效果。</w:t>
            </w:r>
          </w:p>
          <w:p w14:paraId="729372F8">
            <w:pPr>
              <w:pStyle w:val="6"/>
              <w:spacing w:before="175" w:line="294" w:lineRule="auto"/>
              <w:ind w:left="91" w:firstLine="596"/>
              <w:rPr>
                <w:sz w:val="24"/>
                <w:szCs w:val="24"/>
              </w:rPr>
            </w:pPr>
            <w:r>
              <w:rPr>
                <w:spacing w:val="-1"/>
                <w:sz w:val="24"/>
                <w:szCs w:val="24"/>
              </w:rPr>
              <w:t>(6)加强升压站运营管理。加强设备维护，确保设备处</w:t>
            </w:r>
            <w:r>
              <w:rPr>
                <w:spacing w:val="-2"/>
                <w:sz w:val="24"/>
                <w:szCs w:val="24"/>
              </w:rPr>
              <w:t>于良好的运转状态，</w:t>
            </w:r>
            <w:r>
              <w:rPr>
                <w:sz w:val="24"/>
                <w:szCs w:val="24"/>
              </w:rPr>
              <w:t xml:space="preserve"> </w:t>
            </w:r>
            <w:r>
              <w:rPr>
                <w:spacing w:val="-2"/>
                <w:sz w:val="24"/>
                <w:szCs w:val="24"/>
              </w:rPr>
              <w:t>杜绝因设备不正常运转时产生的高噪声现象。</w:t>
            </w:r>
          </w:p>
          <w:p w14:paraId="090075B5">
            <w:pPr>
              <w:pStyle w:val="6"/>
              <w:spacing w:before="194" w:line="218" w:lineRule="auto"/>
              <w:ind w:left="701"/>
              <w:rPr>
                <w:sz w:val="24"/>
                <w:szCs w:val="24"/>
              </w:rPr>
            </w:pPr>
            <w:r>
              <w:rPr>
                <w:spacing w:val="3"/>
                <w:sz w:val="24"/>
                <w:szCs w:val="24"/>
              </w:rPr>
              <w:t>(7)本次评价要求建设单位16#光伏阵列、20#光伏阵列、10#光伏阵列、</w:t>
            </w:r>
          </w:p>
          <w:p w14:paraId="3FBF7DFD">
            <w:pPr>
              <w:pStyle w:val="6"/>
              <w:spacing w:before="188" w:line="286" w:lineRule="auto"/>
              <w:ind w:left="101" w:right="34" w:firstLine="20"/>
              <w:rPr>
                <w:sz w:val="24"/>
                <w:szCs w:val="24"/>
              </w:rPr>
            </w:pPr>
            <w:r>
              <w:rPr>
                <w:sz w:val="24"/>
                <w:szCs w:val="24"/>
              </w:rPr>
              <w:t>19#光伏阵列、9#光伏阵列、8#光伏阵列、11#光伏阵列、12#光伏阵列，逆变器</w:t>
            </w:r>
            <w:r>
              <w:rPr>
                <w:spacing w:val="9"/>
                <w:sz w:val="24"/>
                <w:szCs w:val="24"/>
              </w:rPr>
              <w:t xml:space="preserve"> </w:t>
            </w:r>
            <w:r>
              <w:rPr>
                <w:sz w:val="24"/>
                <w:szCs w:val="24"/>
              </w:rPr>
              <w:t>的布置需要远离保护目标15m以上。</w:t>
            </w:r>
          </w:p>
          <w:p w14:paraId="3224D97C">
            <w:pPr>
              <w:pStyle w:val="6"/>
              <w:spacing w:before="196" w:line="283" w:lineRule="auto"/>
              <w:ind w:left="91" w:right="174" w:firstLine="610"/>
              <w:rPr>
                <w:sz w:val="24"/>
                <w:szCs w:val="24"/>
              </w:rPr>
            </w:pPr>
            <w:r>
              <w:rPr>
                <w:sz w:val="24"/>
                <w:szCs w:val="24"/>
              </w:rPr>
              <w:t>(8)1#-7#、9#-10#、12#-24#方阵逆变器设置距离厂界6m以上，可以满足</w:t>
            </w:r>
            <w:r>
              <w:rPr>
                <w:spacing w:val="9"/>
                <w:sz w:val="24"/>
                <w:szCs w:val="24"/>
              </w:rPr>
              <w:t xml:space="preserve"> </w:t>
            </w:r>
            <w:r>
              <w:rPr>
                <w:sz w:val="24"/>
                <w:szCs w:val="24"/>
              </w:rPr>
              <w:t>厂界噪声昼夜满足《工业企业厂界环境噪声排放标准》(GB12348-2008)1类</w:t>
            </w:r>
          </w:p>
          <w:p w14:paraId="459F7BB2">
            <w:pPr>
              <w:pStyle w:val="6"/>
              <w:spacing w:before="185" w:line="219" w:lineRule="auto"/>
              <w:ind w:left="101"/>
              <w:rPr>
                <w:sz w:val="24"/>
                <w:szCs w:val="24"/>
              </w:rPr>
            </w:pPr>
            <w:r>
              <w:rPr>
                <w:sz w:val="24"/>
                <w:szCs w:val="24"/>
              </w:rPr>
              <w:t>标准。8#和11#方阵逆变器设置距离厂界2m以上，可以满足厂界噪声昼夜满足</w:t>
            </w:r>
          </w:p>
          <w:p w14:paraId="2C6A575D">
            <w:pPr>
              <w:pStyle w:val="6"/>
              <w:spacing w:before="186" w:line="336" w:lineRule="auto"/>
              <w:ind w:left="110" w:hanging="29"/>
              <w:rPr>
                <w:sz w:val="24"/>
                <w:szCs w:val="24"/>
              </w:rPr>
            </w:pPr>
            <w:r>
              <w:rPr>
                <w:spacing w:val="-3"/>
                <w:sz w:val="24"/>
                <w:szCs w:val="24"/>
              </w:rPr>
              <w:t>《工业企业厂界环境噪声排放标准》(GB12348-2008)4a类标准。1#-</w:t>
            </w:r>
            <w:r>
              <w:rPr>
                <w:spacing w:val="-4"/>
                <w:sz w:val="24"/>
                <w:szCs w:val="24"/>
              </w:rPr>
              <w:t>7#、9#-10#、</w:t>
            </w:r>
            <w:r>
              <w:rPr>
                <w:sz w:val="24"/>
                <w:szCs w:val="24"/>
              </w:rPr>
              <w:t xml:space="preserve"> </w:t>
            </w:r>
            <w:r>
              <w:rPr>
                <w:spacing w:val="-2"/>
                <w:sz w:val="24"/>
                <w:szCs w:val="24"/>
              </w:rPr>
              <w:t>12#-24#方阵箱式变压器设置距离厂界10</w:t>
            </w:r>
            <w:r>
              <w:rPr>
                <w:spacing w:val="-3"/>
                <w:sz w:val="24"/>
                <w:szCs w:val="24"/>
              </w:rPr>
              <w:t>m以上，可以满足厂界噪声昼夜满足</w:t>
            </w:r>
          </w:p>
        </w:tc>
      </w:tr>
    </w:tbl>
    <w:p w14:paraId="7A0343F5">
      <w:pPr>
        <w:pStyle w:val="2"/>
      </w:pPr>
    </w:p>
    <w:p w14:paraId="0FEBD012">
      <w:pPr>
        <w:sectPr>
          <w:footerReference r:id="rId204" w:type="default"/>
          <w:pgSz w:w="11910" w:h="16840"/>
          <w:pgMar w:top="400" w:right="1355" w:bottom="1234" w:left="1324" w:header="0" w:footer="1099" w:gutter="0"/>
          <w:cols w:space="720" w:num="1"/>
        </w:sectPr>
      </w:pPr>
    </w:p>
    <w:p w14:paraId="2970DBA0">
      <w:pPr>
        <w:spacing w:before="15"/>
      </w:pPr>
    </w:p>
    <w:p w14:paraId="713E0B2F">
      <w:pPr>
        <w:spacing w:before="15"/>
      </w:pPr>
    </w:p>
    <w:p w14:paraId="0D4A333E">
      <w:pPr>
        <w:spacing w:before="15"/>
      </w:pPr>
    </w:p>
    <w:p w14:paraId="55EB8242">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456"/>
      </w:tblGrid>
      <w:tr w14:paraId="4452E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9" w:hRule="atLeast"/>
        </w:trPr>
        <w:tc>
          <w:tcPr>
            <w:tcW w:w="764" w:type="dxa"/>
            <w:vAlign w:val="top"/>
          </w:tcPr>
          <w:p w14:paraId="77C3288A">
            <w:pPr>
              <w:rPr>
                <w:rFonts w:ascii="Arial"/>
                <w:sz w:val="21"/>
              </w:rPr>
            </w:pPr>
          </w:p>
        </w:tc>
        <w:tc>
          <w:tcPr>
            <w:tcW w:w="8456" w:type="dxa"/>
            <w:vAlign w:val="top"/>
          </w:tcPr>
          <w:p w14:paraId="33156E12">
            <w:pPr>
              <w:pStyle w:val="6"/>
              <w:spacing w:before="14" w:line="219" w:lineRule="auto"/>
              <w:ind w:left="110"/>
              <w:rPr>
                <w:sz w:val="24"/>
                <w:szCs w:val="24"/>
              </w:rPr>
            </w:pPr>
            <w:r>
              <w:rPr>
                <w:sz w:val="24"/>
                <w:szCs w:val="24"/>
              </w:rPr>
              <w:t>《工业企业厂界环境噪声排放标准》(GB12348-2008)1类标准。8#和11#方阵</w:t>
            </w:r>
          </w:p>
          <w:p w14:paraId="44837721">
            <w:pPr>
              <w:pStyle w:val="6"/>
              <w:spacing w:before="183" w:line="361" w:lineRule="auto"/>
              <w:ind w:left="91" w:right="164" w:firstLine="20"/>
              <w:jc w:val="both"/>
              <w:rPr>
                <w:sz w:val="24"/>
                <w:szCs w:val="24"/>
              </w:rPr>
            </w:pPr>
            <w:r>
              <w:rPr>
                <w:sz w:val="24"/>
                <w:szCs w:val="24"/>
              </w:rPr>
              <w:t>箱式变压器设置距离厂界4m以上，可以满足厂界噪声昼夜满足《工业企业厂界</w:t>
            </w:r>
            <w:r>
              <w:rPr>
                <w:spacing w:val="9"/>
                <w:sz w:val="24"/>
                <w:szCs w:val="24"/>
              </w:rPr>
              <w:t xml:space="preserve"> </w:t>
            </w:r>
            <w:r>
              <w:rPr>
                <w:sz w:val="24"/>
                <w:szCs w:val="24"/>
              </w:rPr>
              <w:t>环境噪声排放标准》(GB12348-2008)4a类标准。</w:t>
            </w:r>
          </w:p>
          <w:p w14:paraId="0F289594">
            <w:pPr>
              <w:pStyle w:val="6"/>
              <w:spacing w:line="220" w:lineRule="auto"/>
              <w:ind w:left="84"/>
              <w:rPr>
                <w:sz w:val="24"/>
                <w:szCs w:val="24"/>
              </w:rPr>
            </w:pPr>
            <w:r>
              <w:rPr>
                <w:b/>
                <w:bCs/>
                <w:spacing w:val="-4"/>
                <w:sz w:val="24"/>
                <w:szCs w:val="24"/>
              </w:rPr>
              <w:t>5运营期固废污染防治措施</w:t>
            </w:r>
          </w:p>
          <w:p w14:paraId="0BA72981">
            <w:pPr>
              <w:pStyle w:val="6"/>
              <w:spacing w:before="177" w:line="312" w:lineRule="auto"/>
              <w:ind w:left="111" w:right="139" w:firstLine="590"/>
              <w:rPr>
                <w:sz w:val="24"/>
                <w:szCs w:val="24"/>
              </w:rPr>
            </w:pPr>
            <w:r>
              <w:rPr>
                <w:spacing w:val="1"/>
                <w:sz w:val="24"/>
                <w:szCs w:val="24"/>
              </w:rPr>
              <w:t>(1)更换下来的废旧光伏电池板由专业维护公司直接带走回收，不在项目</w:t>
            </w:r>
            <w:r>
              <w:rPr>
                <w:spacing w:val="11"/>
                <w:sz w:val="24"/>
                <w:szCs w:val="24"/>
              </w:rPr>
              <w:t xml:space="preserve"> </w:t>
            </w:r>
            <w:r>
              <w:rPr>
                <w:spacing w:val="1"/>
                <w:sz w:val="24"/>
                <w:szCs w:val="24"/>
              </w:rPr>
              <w:t>区暂存；平时如有碎裂的废旧光伏电池板，贮存于</w:t>
            </w:r>
            <w:r>
              <w:rPr>
                <w:sz w:val="24"/>
                <w:szCs w:val="24"/>
              </w:rPr>
              <w:t xml:space="preserve">综合楼内的一般废物储存间 </w:t>
            </w:r>
            <w:r>
              <w:rPr>
                <w:spacing w:val="7"/>
                <w:sz w:val="24"/>
                <w:szCs w:val="24"/>
              </w:rPr>
              <w:t>(保持干燥通风，建筑面积为20m²),最终由专业的维护公司处理。</w:t>
            </w:r>
          </w:p>
          <w:p w14:paraId="590B6321">
            <w:pPr>
              <w:pStyle w:val="6"/>
              <w:spacing w:before="211" w:line="284" w:lineRule="auto"/>
              <w:ind w:left="91" w:right="167" w:firstLine="610"/>
              <w:rPr>
                <w:sz w:val="24"/>
                <w:szCs w:val="24"/>
              </w:rPr>
            </w:pPr>
            <w:r>
              <w:rPr>
                <w:sz w:val="24"/>
                <w:szCs w:val="24"/>
              </w:rPr>
              <w:t>(2)更换下来的废铅蓄电池经收集后，放置在危废暂存间暂存后，交有资</w:t>
            </w:r>
            <w:r>
              <w:rPr>
                <w:spacing w:val="16"/>
                <w:sz w:val="24"/>
                <w:szCs w:val="24"/>
              </w:rPr>
              <w:t xml:space="preserve"> </w:t>
            </w:r>
            <w:r>
              <w:rPr>
                <w:spacing w:val="-1"/>
                <w:sz w:val="24"/>
                <w:szCs w:val="24"/>
              </w:rPr>
              <w:t>质的单位处置。</w:t>
            </w:r>
          </w:p>
          <w:p w14:paraId="1D319B35">
            <w:pPr>
              <w:pStyle w:val="6"/>
              <w:spacing w:before="181" w:line="219" w:lineRule="auto"/>
              <w:ind w:left="701"/>
              <w:rPr>
                <w:sz w:val="24"/>
                <w:szCs w:val="24"/>
              </w:rPr>
            </w:pPr>
            <w:r>
              <w:rPr>
                <w:sz w:val="24"/>
                <w:szCs w:val="24"/>
              </w:rPr>
              <w:t>(3)升压站内工作人员生活垃圾经收集后运至周边村庄垃圾收集点处置。</w:t>
            </w:r>
          </w:p>
          <w:p w14:paraId="10D5340C">
            <w:pPr>
              <w:pStyle w:val="6"/>
              <w:spacing w:before="187" w:line="219" w:lineRule="auto"/>
              <w:ind w:left="691"/>
              <w:rPr>
                <w:sz w:val="24"/>
                <w:szCs w:val="24"/>
              </w:rPr>
            </w:pPr>
            <w:r>
              <w:rPr>
                <w:sz w:val="24"/>
                <w:szCs w:val="24"/>
              </w:rPr>
              <w:t>(4)餐厨垃圾收集后委托有资质的单位进行清运、处置。</w:t>
            </w:r>
          </w:p>
          <w:p w14:paraId="60FE982D">
            <w:pPr>
              <w:pStyle w:val="6"/>
              <w:spacing w:before="176" w:line="219" w:lineRule="auto"/>
              <w:ind w:left="701"/>
              <w:rPr>
                <w:sz w:val="24"/>
                <w:szCs w:val="24"/>
              </w:rPr>
            </w:pPr>
            <w:r>
              <w:rPr>
                <w:sz w:val="24"/>
                <w:szCs w:val="24"/>
              </w:rPr>
              <w:t>(5)升压站内化粪池含水污泥定期委托当地环卫部门清掏后清运及处置。</w:t>
            </w:r>
          </w:p>
          <w:p w14:paraId="4DB9F80C">
            <w:pPr>
              <w:pStyle w:val="6"/>
              <w:spacing w:before="193" w:line="289" w:lineRule="auto"/>
              <w:ind w:left="71" w:right="424" w:firstLine="620"/>
              <w:rPr>
                <w:sz w:val="24"/>
                <w:szCs w:val="24"/>
              </w:rPr>
            </w:pPr>
            <w:r>
              <w:rPr>
                <w:sz w:val="24"/>
                <w:szCs w:val="24"/>
              </w:rPr>
              <w:t>(6)一体化生活废水处理站污泥定期委托当地环卫部门清掏后清运及处</w:t>
            </w:r>
            <w:r>
              <w:rPr>
                <w:spacing w:val="9"/>
                <w:sz w:val="24"/>
                <w:szCs w:val="24"/>
              </w:rPr>
              <w:t xml:space="preserve"> </w:t>
            </w:r>
            <w:r>
              <w:rPr>
                <w:sz w:val="24"/>
                <w:szCs w:val="24"/>
              </w:rPr>
              <w:t>置。</w:t>
            </w:r>
          </w:p>
          <w:p w14:paraId="6ACB30AC">
            <w:pPr>
              <w:pStyle w:val="6"/>
              <w:spacing w:before="189" w:line="283" w:lineRule="auto"/>
              <w:ind w:left="111" w:right="170" w:firstLine="590"/>
              <w:rPr>
                <w:sz w:val="24"/>
                <w:szCs w:val="24"/>
              </w:rPr>
            </w:pPr>
            <w:r>
              <w:rPr>
                <w:sz w:val="24"/>
                <w:szCs w:val="24"/>
              </w:rPr>
              <w:t>(7)箱式变压器事故废油应按危险废物要求进行管理。按可研要求一个箱</w:t>
            </w:r>
            <w:r>
              <w:rPr>
                <w:spacing w:val="13"/>
                <w:sz w:val="24"/>
                <w:szCs w:val="24"/>
              </w:rPr>
              <w:t xml:space="preserve"> </w:t>
            </w:r>
            <w:r>
              <w:rPr>
                <w:spacing w:val="3"/>
                <w:sz w:val="24"/>
                <w:szCs w:val="24"/>
              </w:rPr>
              <w:t>式变压器配备一个事故油池(设置24个箱变事故油池，容积均为4.84m³);事</w:t>
            </w:r>
          </w:p>
          <w:p w14:paraId="5903A8C8">
            <w:pPr>
              <w:pStyle w:val="6"/>
              <w:spacing w:before="186" w:line="290" w:lineRule="auto"/>
              <w:ind w:left="101" w:firstLine="9"/>
              <w:rPr>
                <w:sz w:val="24"/>
                <w:szCs w:val="24"/>
              </w:rPr>
            </w:pPr>
            <w:r>
              <w:rPr>
                <w:spacing w:val="-2"/>
                <w:sz w:val="24"/>
                <w:szCs w:val="24"/>
              </w:rPr>
              <w:t>故油池中的变压器油大部分能回收利用，不能利用的废油用矿物油收集桶收集，</w:t>
            </w:r>
            <w:r>
              <w:rPr>
                <w:spacing w:val="4"/>
                <w:sz w:val="24"/>
                <w:szCs w:val="24"/>
              </w:rPr>
              <w:t xml:space="preserve"> </w:t>
            </w:r>
            <w:r>
              <w:rPr>
                <w:spacing w:val="-2"/>
                <w:sz w:val="24"/>
                <w:szCs w:val="24"/>
              </w:rPr>
              <w:t>存放在升压站危险废物暂存间内，定期委托有资质的单位进行清运及处置。</w:t>
            </w:r>
          </w:p>
          <w:p w14:paraId="2E7B7217">
            <w:pPr>
              <w:pStyle w:val="6"/>
              <w:spacing w:before="178" w:line="336" w:lineRule="auto"/>
              <w:ind w:left="91" w:right="43" w:firstLine="610"/>
              <w:rPr>
                <w:sz w:val="24"/>
                <w:szCs w:val="24"/>
              </w:rPr>
            </w:pPr>
            <w:r>
              <w:rPr>
                <w:sz w:val="24"/>
                <w:szCs w:val="24"/>
              </w:rPr>
              <w:t>(8)升压站事故废油应按危险废物要求进行管理。升压站主变场地内应按</w:t>
            </w:r>
            <w:r>
              <w:rPr>
                <w:spacing w:val="6"/>
                <w:sz w:val="24"/>
                <w:szCs w:val="24"/>
              </w:rPr>
              <w:t xml:space="preserve">  </w:t>
            </w:r>
            <w:r>
              <w:rPr>
                <w:spacing w:val="4"/>
                <w:sz w:val="24"/>
                <w:szCs w:val="24"/>
              </w:rPr>
              <w:t>可研要求设置集油井和容积不低于50m³的总事故油池一座，主变漏油时，变压</w:t>
            </w:r>
            <w:r>
              <w:rPr>
                <w:spacing w:val="6"/>
                <w:sz w:val="24"/>
                <w:szCs w:val="24"/>
              </w:rPr>
              <w:t xml:space="preserve"> </w:t>
            </w:r>
            <w:r>
              <w:rPr>
                <w:spacing w:val="1"/>
                <w:sz w:val="24"/>
                <w:szCs w:val="24"/>
              </w:rPr>
              <w:t>器废油经集油井、排油管道进入总事故油池，废油大部分经回收利用，不能利  用的废油经收集后暂存于危废暂存间内，应及时委</w:t>
            </w:r>
            <w:r>
              <w:rPr>
                <w:sz w:val="24"/>
                <w:szCs w:val="24"/>
              </w:rPr>
              <w:t>托有资质的单位进行清运及  处置。</w:t>
            </w:r>
          </w:p>
          <w:p w14:paraId="214DD28B">
            <w:pPr>
              <w:pStyle w:val="6"/>
              <w:spacing w:before="162" w:line="219" w:lineRule="auto"/>
              <w:ind w:left="691"/>
              <w:rPr>
                <w:sz w:val="24"/>
                <w:szCs w:val="24"/>
              </w:rPr>
            </w:pPr>
            <w:r>
              <w:rPr>
                <w:sz w:val="24"/>
                <w:szCs w:val="24"/>
              </w:rPr>
              <w:t>(9)本次环评要求危度暂存间严格按照《危险度物贮存污染控制标</w:t>
            </w:r>
            <w:r>
              <w:rPr>
                <w:spacing w:val="-1"/>
                <w:sz w:val="24"/>
                <w:szCs w:val="24"/>
              </w:rPr>
              <w:t>准》</w:t>
            </w:r>
          </w:p>
          <w:p w14:paraId="21E27954">
            <w:pPr>
              <w:pStyle w:val="6"/>
              <w:spacing w:before="186" w:line="287" w:lineRule="auto"/>
              <w:ind w:left="111" w:right="186" w:hanging="20"/>
              <w:rPr>
                <w:sz w:val="24"/>
                <w:szCs w:val="24"/>
              </w:rPr>
            </w:pPr>
            <w:r>
              <w:rPr>
                <w:sz w:val="24"/>
                <w:szCs w:val="24"/>
              </w:rPr>
              <w:t>(GB18597-2023)设计建设并建立转移联单，完善危险度物记录台账。防渗工程</w:t>
            </w:r>
            <w:r>
              <w:rPr>
                <w:spacing w:val="7"/>
                <w:sz w:val="24"/>
                <w:szCs w:val="24"/>
              </w:rPr>
              <w:t xml:space="preserve"> </w:t>
            </w:r>
            <w:r>
              <w:rPr>
                <w:sz w:val="24"/>
                <w:szCs w:val="24"/>
              </w:rPr>
              <w:t>需满足GB18597-2023要求，即：防渗层为至少1m厚粘土层(渗透系数不大于</w:t>
            </w:r>
          </w:p>
          <w:p w14:paraId="6D47B279">
            <w:pPr>
              <w:pStyle w:val="6"/>
              <w:spacing w:before="181" w:line="216" w:lineRule="auto"/>
              <w:ind w:left="111"/>
              <w:rPr>
                <w:sz w:val="24"/>
                <w:szCs w:val="24"/>
              </w:rPr>
            </w:pPr>
            <w:r>
              <w:rPr>
                <w:sz w:val="24"/>
                <w:szCs w:val="24"/>
              </w:rPr>
              <w:t>10-7cm/s),或至少2mm厚高密度聚乙烯膜等人工防渗材料(渗透系数不大于</w:t>
            </w:r>
          </w:p>
          <w:p w14:paraId="0638B1F6">
            <w:pPr>
              <w:pStyle w:val="6"/>
              <w:spacing w:before="192" w:line="284" w:lineRule="auto"/>
              <w:ind w:left="91" w:right="44" w:firstLine="20"/>
              <w:rPr>
                <w:sz w:val="24"/>
                <w:szCs w:val="24"/>
              </w:rPr>
            </w:pPr>
            <w:r>
              <w:rPr>
                <w:sz w:val="24"/>
                <w:szCs w:val="24"/>
              </w:rPr>
              <w:t>10-10cm/s)。箱变事故油池、升压站集油井+事故油池严格按照《环境影响评价</w:t>
            </w:r>
            <w:r>
              <w:rPr>
                <w:spacing w:val="9"/>
                <w:sz w:val="24"/>
                <w:szCs w:val="24"/>
              </w:rPr>
              <w:t xml:space="preserve"> </w:t>
            </w:r>
            <w:r>
              <w:rPr>
                <w:sz w:val="24"/>
                <w:szCs w:val="24"/>
              </w:rPr>
              <w:t>技术导则地下水》(HIJ610-2016)重点防渗要求，等效黏土防渗层Mb≥6m,渗</w:t>
            </w:r>
          </w:p>
        </w:tc>
      </w:tr>
    </w:tbl>
    <w:p w14:paraId="3A4A2192">
      <w:pPr>
        <w:pStyle w:val="2"/>
      </w:pPr>
    </w:p>
    <w:p w14:paraId="08BFBF51">
      <w:pPr>
        <w:sectPr>
          <w:footerReference r:id="rId205" w:type="default"/>
          <w:pgSz w:w="11910" w:h="16840"/>
          <w:pgMar w:top="400" w:right="1355" w:bottom="1255" w:left="1324" w:header="0" w:footer="1093" w:gutter="0"/>
          <w:cols w:space="720" w:num="1"/>
        </w:sectPr>
      </w:pPr>
    </w:p>
    <w:p w14:paraId="0BCFF300">
      <w:pPr>
        <w:spacing w:before="15"/>
      </w:pPr>
    </w:p>
    <w:p w14:paraId="72971498">
      <w:pPr>
        <w:spacing w:before="15"/>
      </w:pPr>
    </w:p>
    <w:p w14:paraId="2A9F7189">
      <w:pPr>
        <w:spacing w:before="15"/>
      </w:pPr>
    </w:p>
    <w:p w14:paraId="00CEC137">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456"/>
      </w:tblGrid>
      <w:tr w14:paraId="3AA4D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9" w:hRule="atLeast"/>
        </w:trPr>
        <w:tc>
          <w:tcPr>
            <w:tcW w:w="764" w:type="dxa"/>
            <w:vAlign w:val="top"/>
          </w:tcPr>
          <w:p w14:paraId="4D7D91AB">
            <w:pPr>
              <w:rPr>
                <w:rFonts w:ascii="Arial"/>
                <w:sz w:val="21"/>
              </w:rPr>
            </w:pPr>
          </w:p>
        </w:tc>
        <w:tc>
          <w:tcPr>
            <w:tcW w:w="8456" w:type="dxa"/>
            <w:vAlign w:val="top"/>
          </w:tcPr>
          <w:p w14:paraId="665CD75B">
            <w:pPr>
              <w:pStyle w:val="6"/>
              <w:spacing w:before="25" w:line="219" w:lineRule="auto"/>
              <w:ind w:left="101"/>
              <w:rPr>
                <w:sz w:val="24"/>
                <w:szCs w:val="24"/>
              </w:rPr>
            </w:pPr>
            <w:r>
              <w:rPr>
                <w:sz w:val="24"/>
                <w:szCs w:val="24"/>
              </w:rPr>
              <w:t>透系数≤1×10-7cm/s的防渗性能。</w:t>
            </w:r>
          </w:p>
          <w:p w14:paraId="7CED0061">
            <w:pPr>
              <w:pStyle w:val="6"/>
              <w:spacing w:before="175" w:line="219" w:lineRule="auto"/>
              <w:ind w:left="591"/>
              <w:rPr>
                <w:sz w:val="24"/>
                <w:szCs w:val="24"/>
              </w:rPr>
            </w:pPr>
            <w:r>
              <w:rPr>
                <w:sz w:val="24"/>
                <w:szCs w:val="24"/>
              </w:rPr>
              <w:t>危废收集、贮存、管理、转运、处置等全过程的环保要求：</w:t>
            </w:r>
          </w:p>
          <w:p w14:paraId="27DE0496">
            <w:pPr>
              <w:pStyle w:val="6"/>
              <w:spacing w:before="186" w:line="290" w:lineRule="auto"/>
              <w:ind w:left="101" w:right="161" w:firstLine="489"/>
              <w:rPr>
                <w:sz w:val="24"/>
                <w:szCs w:val="24"/>
              </w:rPr>
            </w:pPr>
            <w:r>
              <w:rPr>
                <w:sz w:val="24"/>
                <w:szCs w:val="24"/>
              </w:rPr>
              <w:t>1)危废暂存间必须要封闭建设，门口内侧设立围堰，地面应做好硬化及防</w:t>
            </w:r>
            <w:r>
              <w:rPr>
                <w:spacing w:val="12"/>
                <w:sz w:val="24"/>
                <w:szCs w:val="24"/>
              </w:rPr>
              <w:t xml:space="preserve"> </w:t>
            </w:r>
            <w:r>
              <w:rPr>
                <w:sz w:val="24"/>
                <w:szCs w:val="24"/>
              </w:rPr>
              <w:t>扬散、防流失、防渗漏措施。</w:t>
            </w:r>
          </w:p>
          <w:p w14:paraId="6D904CD2">
            <w:pPr>
              <w:pStyle w:val="6"/>
              <w:spacing w:before="175" w:line="294" w:lineRule="auto"/>
              <w:ind w:left="101" w:right="184" w:firstLine="469"/>
              <w:rPr>
                <w:sz w:val="24"/>
                <w:szCs w:val="24"/>
              </w:rPr>
            </w:pPr>
            <w:r>
              <w:rPr>
                <w:sz w:val="24"/>
                <w:szCs w:val="24"/>
              </w:rPr>
              <w:t>2)危废暂存间门口需张贴标准规范的危险废物标识，屋内张贴企业《危险</w:t>
            </w:r>
            <w:r>
              <w:rPr>
                <w:spacing w:val="9"/>
                <w:sz w:val="24"/>
                <w:szCs w:val="24"/>
              </w:rPr>
              <w:t xml:space="preserve"> </w:t>
            </w:r>
            <w:r>
              <w:rPr>
                <w:spacing w:val="-1"/>
                <w:sz w:val="24"/>
                <w:szCs w:val="24"/>
              </w:rPr>
              <w:t>废物管理制度》。</w:t>
            </w:r>
          </w:p>
          <w:p w14:paraId="13AAA807">
            <w:pPr>
              <w:pStyle w:val="6"/>
              <w:spacing w:before="175" w:line="219" w:lineRule="auto"/>
              <w:ind w:left="580"/>
              <w:rPr>
                <w:sz w:val="24"/>
                <w:szCs w:val="24"/>
              </w:rPr>
            </w:pPr>
            <w:r>
              <w:rPr>
                <w:sz w:val="24"/>
                <w:szCs w:val="24"/>
              </w:rPr>
              <w:t>3)现场产生的所有危险废物，都必须分类好，存放在指定的暂存区内。</w:t>
            </w:r>
          </w:p>
          <w:p w14:paraId="5E9AFA27">
            <w:pPr>
              <w:pStyle w:val="6"/>
              <w:spacing w:before="205" w:line="314" w:lineRule="auto"/>
              <w:ind w:left="101" w:right="166" w:firstLine="479"/>
              <w:rPr>
                <w:sz w:val="24"/>
                <w:szCs w:val="24"/>
              </w:rPr>
            </w:pPr>
            <w:r>
              <w:rPr>
                <w:sz w:val="24"/>
                <w:szCs w:val="24"/>
              </w:rPr>
              <w:t>4)现场将危险废物运往危废暂存区时必须使用防扬散、防流失、防渗漏的</w:t>
            </w:r>
            <w:r>
              <w:rPr>
                <w:spacing w:val="17"/>
                <w:sz w:val="24"/>
                <w:szCs w:val="24"/>
              </w:rPr>
              <w:t xml:space="preserve"> </w:t>
            </w:r>
            <w:r>
              <w:rPr>
                <w:sz w:val="24"/>
                <w:szCs w:val="24"/>
              </w:rPr>
              <w:t>台车；不同种类危险废物一起运输时，必须将每种废弃物进行安全性处置；禁</w:t>
            </w:r>
            <w:r>
              <w:rPr>
                <w:spacing w:val="9"/>
                <w:sz w:val="24"/>
                <w:szCs w:val="24"/>
              </w:rPr>
              <w:t xml:space="preserve"> </w:t>
            </w:r>
            <w:r>
              <w:rPr>
                <w:sz w:val="24"/>
                <w:szCs w:val="24"/>
              </w:rPr>
              <w:t>止将危险废物与旅客在同一运输工具上载运。</w:t>
            </w:r>
          </w:p>
          <w:p w14:paraId="0F993C0A">
            <w:pPr>
              <w:pStyle w:val="6"/>
              <w:spacing w:before="163" w:line="287" w:lineRule="auto"/>
              <w:ind w:left="101" w:right="165" w:firstLine="479"/>
              <w:rPr>
                <w:sz w:val="24"/>
                <w:szCs w:val="24"/>
              </w:rPr>
            </w:pPr>
            <w:r>
              <w:rPr>
                <w:sz w:val="24"/>
                <w:szCs w:val="24"/>
              </w:rPr>
              <w:t>5)危废暂存区内必须有足够数量的灭火器与安全防护设备，暂存区人员必</w:t>
            </w:r>
            <w:r>
              <w:rPr>
                <w:spacing w:val="18"/>
                <w:sz w:val="24"/>
                <w:szCs w:val="24"/>
              </w:rPr>
              <w:t xml:space="preserve"> </w:t>
            </w:r>
            <w:r>
              <w:rPr>
                <w:spacing w:val="-1"/>
                <w:sz w:val="24"/>
                <w:szCs w:val="24"/>
              </w:rPr>
              <w:t>须经过应急救援的训练，定期参与应急演练。</w:t>
            </w:r>
          </w:p>
          <w:p w14:paraId="779082A5">
            <w:pPr>
              <w:pStyle w:val="6"/>
              <w:spacing w:before="194" w:line="287" w:lineRule="auto"/>
              <w:ind w:left="101" w:right="174" w:firstLine="479"/>
              <w:rPr>
                <w:sz w:val="24"/>
                <w:szCs w:val="24"/>
              </w:rPr>
            </w:pPr>
            <w:r>
              <w:rPr>
                <w:sz w:val="24"/>
                <w:szCs w:val="24"/>
              </w:rPr>
              <w:t>6)危险废物回收厂商回收危险废物，必须有相关资质，与公司签订回收合</w:t>
            </w:r>
            <w:r>
              <w:rPr>
                <w:spacing w:val="9"/>
                <w:sz w:val="24"/>
                <w:szCs w:val="24"/>
              </w:rPr>
              <w:t xml:space="preserve"> </w:t>
            </w:r>
            <w:r>
              <w:rPr>
                <w:sz w:val="24"/>
                <w:szCs w:val="24"/>
              </w:rPr>
              <w:t>同，且合同报送环保局备案。</w:t>
            </w:r>
          </w:p>
          <w:p w14:paraId="192A94D1">
            <w:pPr>
              <w:pStyle w:val="6"/>
              <w:spacing w:before="176" w:line="290" w:lineRule="auto"/>
              <w:ind w:left="101" w:right="165" w:firstLine="479"/>
              <w:rPr>
                <w:sz w:val="24"/>
                <w:szCs w:val="24"/>
              </w:rPr>
            </w:pPr>
            <w:r>
              <w:rPr>
                <w:sz w:val="24"/>
                <w:szCs w:val="24"/>
              </w:rPr>
              <w:t>7)现场工作人员对危险废物进行收集及危险废物厂商进厂装车时，人员必</w:t>
            </w:r>
            <w:r>
              <w:rPr>
                <w:spacing w:val="18"/>
                <w:sz w:val="24"/>
                <w:szCs w:val="24"/>
              </w:rPr>
              <w:t xml:space="preserve"> </w:t>
            </w:r>
            <w:r>
              <w:rPr>
                <w:sz w:val="24"/>
                <w:szCs w:val="24"/>
              </w:rPr>
              <w:t>须穿好防护用具，设定警戒范围，不允许其它人进</w:t>
            </w:r>
            <w:r>
              <w:rPr>
                <w:spacing w:val="-1"/>
                <w:sz w:val="24"/>
                <w:szCs w:val="24"/>
              </w:rPr>
              <w:t>入。</w:t>
            </w:r>
          </w:p>
          <w:p w14:paraId="4B98B62D">
            <w:pPr>
              <w:pStyle w:val="6"/>
              <w:spacing w:before="183" w:line="288" w:lineRule="auto"/>
              <w:ind w:left="101" w:right="445" w:firstLine="469"/>
              <w:rPr>
                <w:sz w:val="24"/>
                <w:szCs w:val="24"/>
              </w:rPr>
            </w:pPr>
            <w:r>
              <w:rPr>
                <w:sz w:val="24"/>
                <w:szCs w:val="24"/>
              </w:rPr>
              <w:t>8)危险废物回收厂商必须按照法规规定当场</w:t>
            </w:r>
            <w:r>
              <w:rPr>
                <w:spacing w:val="-1"/>
                <w:sz w:val="24"/>
                <w:szCs w:val="24"/>
              </w:rPr>
              <w:t>开出本次危险废物的转移联</w:t>
            </w:r>
            <w:r>
              <w:rPr>
                <w:sz w:val="24"/>
                <w:szCs w:val="24"/>
              </w:rPr>
              <w:t xml:space="preserve"> 单。</w:t>
            </w:r>
          </w:p>
          <w:p w14:paraId="57C926CF">
            <w:pPr>
              <w:pStyle w:val="6"/>
              <w:spacing w:before="182" w:line="287" w:lineRule="auto"/>
              <w:ind w:left="101" w:firstLine="473"/>
              <w:rPr>
                <w:sz w:val="24"/>
                <w:szCs w:val="24"/>
              </w:rPr>
            </w:pPr>
            <w:r>
              <w:rPr>
                <w:spacing w:val="-2"/>
                <w:sz w:val="24"/>
                <w:szCs w:val="24"/>
              </w:rPr>
              <w:t>9)监理台帐并悬挂于危废暂存间内，转入及转出需要填写危废种类、数量、</w:t>
            </w:r>
            <w:r>
              <w:rPr>
                <w:spacing w:val="18"/>
                <w:sz w:val="24"/>
                <w:szCs w:val="24"/>
              </w:rPr>
              <w:t xml:space="preserve"> </w:t>
            </w:r>
            <w:r>
              <w:rPr>
                <w:spacing w:val="-3"/>
                <w:sz w:val="24"/>
                <w:szCs w:val="24"/>
              </w:rPr>
              <w:t>时间及负责人员姓名。</w:t>
            </w:r>
          </w:p>
          <w:p w14:paraId="66B5262B">
            <w:pPr>
              <w:pStyle w:val="6"/>
              <w:spacing w:before="182" w:line="219" w:lineRule="auto"/>
              <w:ind w:left="104"/>
              <w:rPr>
                <w:sz w:val="24"/>
                <w:szCs w:val="24"/>
              </w:rPr>
            </w:pPr>
            <w:r>
              <w:rPr>
                <w:b/>
                <w:bCs/>
                <w:spacing w:val="-5"/>
                <w:sz w:val="24"/>
                <w:szCs w:val="24"/>
              </w:rPr>
              <w:t>6光污染</w:t>
            </w:r>
          </w:p>
          <w:p w14:paraId="01CF4CEC">
            <w:pPr>
              <w:pStyle w:val="6"/>
              <w:spacing w:before="188" w:line="365" w:lineRule="auto"/>
              <w:ind w:left="101" w:right="176" w:firstLine="600"/>
              <w:rPr>
                <w:sz w:val="24"/>
                <w:szCs w:val="24"/>
              </w:rPr>
            </w:pPr>
            <w:r>
              <w:rPr>
                <w:sz w:val="24"/>
                <w:szCs w:val="24"/>
              </w:rPr>
              <w:t>(1)本项目需选用合格的太阳能光伏组件，尽可能选用绒面太阳能电池组</w:t>
            </w:r>
            <w:r>
              <w:rPr>
                <w:spacing w:val="7"/>
                <w:sz w:val="24"/>
                <w:szCs w:val="24"/>
              </w:rPr>
              <w:t xml:space="preserve"> </w:t>
            </w:r>
            <w:r>
              <w:rPr>
                <w:sz w:val="24"/>
                <w:szCs w:val="24"/>
              </w:rPr>
              <w:t>件。</w:t>
            </w:r>
          </w:p>
          <w:p w14:paraId="7B887E7C">
            <w:pPr>
              <w:pStyle w:val="6"/>
              <w:spacing w:before="2" w:line="356" w:lineRule="auto"/>
              <w:ind w:left="101" w:right="155" w:firstLine="600"/>
              <w:rPr>
                <w:sz w:val="24"/>
                <w:szCs w:val="24"/>
              </w:rPr>
            </w:pPr>
            <w:r>
              <w:rPr>
                <w:spacing w:val="1"/>
                <w:sz w:val="24"/>
                <w:szCs w:val="24"/>
              </w:rPr>
              <w:t>(2)合理设计和安装太阳能光伏阵列，项目根据地形设计，调</w:t>
            </w:r>
            <w:r>
              <w:rPr>
                <w:sz w:val="24"/>
                <w:szCs w:val="24"/>
              </w:rPr>
              <w:t xml:space="preserve">整合理的角 </w:t>
            </w:r>
            <w:r>
              <w:rPr>
                <w:spacing w:val="-1"/>
                <w:sz w:val="24"/>
                <w:szCs w:val="24"/>
              </w:rPr>
              <w:t>度，将放设角度错开周围的村庄。</w:t>
            </w:r>
          </w:p>
          <w:p w14:paraId="5D022C47">
            <w:pPr>
              <w:pStyle w:val="6"/>
              <w:spacing w:line="219" w:lineRule="auto"/>
              <w:ind w:left="104"/>
              <w:rPr>
                <w:sz w:val="24"/>
                <w:szCs w:val="24"/>
              </w:rPr>
            </w:pPr>
            <w:r>
              <w:rPr>
                <w:b/>
                <w:bCs/>
                <w:spacing w:val="-5"/>
                <w:sz w:val="24"/>
                <w:szCs w:val="24"/>
              </w:rPr>
              <w:t>7电磁辐射防治措施</w:t>
            </w:r>
          </w:p>
          <w:p w14:paraId="0FDF3FFC">
            <w:pPr>
              <w:pStyle w:val="6"/>
              <w:spacing w:before="188" w:line="345" w:lineRule="auto"/>
              <w:ind w:left="101" w:right="195" w:firstLine="590"/>
              <w:jc w:val="both"/>
              <w:rPr>
                <w:sz w:val="24"/>
                <w:szCs w:val="24"/>
              </w:rPr>
            </w:pPr>
            <w:r>
              <w:rPr>
                <w:sz w:val="24"/>
                <w:szCs w:val="24"/>
              </w:rPr>
              <w:t>(1)按照《电力设施保护条例》和《云南省电力设施保护条例》的要</w:t>
            </w:r>
            <w:r>
              <w:rPr>
                <w:spacing w:val="-1"/>
                <w:sz w:val="24"/>
                <w:szCs w:val="24"/>
              </w:rPr>
              <w:t>求，</w:t>
            </w:r>
            <w:r>
              <w:rPr>
                <w:sz w:val="24"/>
                <w:szCs w:val="24"/>
              </w:rPr>
              <w:t xml:space="preserve"> 变电站围墙外延伸3米所形成的区域为安全防护距离，应严格按照《云南省电</w:t>
            </w:r>
            <w:r>
              <w:rPr>
                <w:spacing w:val="13"/>
                <w:sz w:val="24"/>
                <w:szCs w:val="24"/>
              </w:rPr>
              <w:t xml:space="preserve"> </w:t>
            </w:r>
            <w:r>
              <w:rPr>
                <w:sz w:val="24"/>
                <w:szCs w:val="24"/>
              </w:rPr>
              <w:t>力设施保护条例》的要求进行保护。</w:t>
            </w:r>
          </w:p>
        </w:tc>
      </w:tr>
    </w:tbl>
    <w:p w14:paraId="2BC0338A">
      <w:pPr>
        <w:pStyle w:val="2"/>
      </w:pPr>
    </w:p>
    <w:p w14:paraId="0EA9342E">
      <w:pPr>
        <w:sectPr>
          <w:footerReference r:id="rId206" w:type="default"/>
          <w:pgSz w:w="11910" w:h="16840"/>
          <w:pgMar w:top="400" w:right="1355" w:bottom="1255" w:left="1324" w:header="0" w:footer="1093" w:gutter="0"/>
          <w:cols w:space="720" w:num="1"/>
        </w:sectPr>
      </w:pPr>
    </w:p>
    <w:p w14:paraId="563197D1">
      <w:pPr>
        <w:spacing w:before="15"/>
      </w:pPr>
    </w:p>
    <w:p w14:paraId="4B214EE7">
      <w:pPr>
        <w:spacing w:before="15"/>
      </w:pPr>
    </w:p>
    <w:p w14:paraId="733995A2">
      <w:pPr>
        <w:spacing w:before="15"/>
      </w:pPr>
    </w:p>
    <w:p w14:paraId="4E653A15">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456"/>
      </w:tblGrid>
      <w:tr w14:paraId="08A48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6" w:hRule="atLeast"/>
        </w:trPr>
        <w:tc>
          <w:tcPr>
            <w:tcW w:w="764" w:type="dxa"/>
            <w:vAlign w:val="top"/>
          </w:tcPr>
          <w:p w14:paraId="4232B144">
            <w:pPr>
              <w:rPr>
                <w:rFonts w:ascii="Arial"/>
                <w:sz w:val="21"/>
              </w:rPr>
            </w:pPr>
          </w:p>
        </w:tc>
        <w:tc>
          <w:tcPr>
            <w:tcW w:w="8456" w:type="dxa"/>
            <w:vAlign w:val="top"/>
          </w:tcPr>
          <w:p w14:paraId="7247AD79">
            <w:pPr>
              <w:pStyle w:val="6"/>
              <w:spacing w:before="13" w:line="219" w:lineRule="auto"/>
              <w:ind w:left="701"/>
              <w:rPr>
                <w:sz w:val="24"/>
                <w:szCs w:val="24"/>
              </w:rPr>
            </w:pPr>
            <w:r>
              <w:rPr>
                <w:sz w:val="24"/>
                <w:szCs w:val="24"/>
              </w:rPr>
              <w:t>(2)合理设计并保证设备及配件加工精良</w:t>
            </w:r>
          </w:p>
          <w:p w14:paraId="7278C832">
            <w:pPr>
              <w:pStyle w:val="6"/>
              <w:spacing w:before="187" w:line="362" w:lineRule="auto"/>
              <w:ind w:left="91" w:right="156" w:firstLine="499"/>
              <w:rPr>
                <w:sz w:val="24"/>
                <w:szCs w:val="24"/>
              </w:rPr>
            </w:pPr>
            <w:r>
              <w:rPr>
                <w:sz w:val="24"/>
                <w:szCs w:val="24"/>
              </w:rPr>
              <w:t>本工程110kV升压站为新建工程，因此，在设</w:t>
            </w:r>
            <w:r>
              <w:rPr>
                <w:spacing w:val="-1"/>
                <w:sz w:val="24"/>
                <w:szCs w:val="24"/>
              </w:rPr>
              <w:t>计中应将主变压器尽量布置</w:t>
            </w:r>
            <w:r>
              <w:rPr>
                <w:sz w:val="24"/>
                <w:szCs w:val="24"/>
              </w:rPr>
              <w:t xml:space="preserve">  </w:t>
            </w:r>
            <w:r>
              <w:rPr>
                <w:spacing w:val="1"/>
                <w:sz w:val="24"/>
                <w:szCs w:val="24"/>
              </w:rPr>
              <w:t>在升压站的中间位置，尽量远离围墙。升压站设备的金属附件，如吊夹、保护</w:t>
            </w:r>
            <w:r>
              <w:rPr>
                <w:spacing w:val="3"/>
                <w:sz w:val="24"/>
                <w:szCs w:val="24"/>
              </w:rPr>
              <w:t xml:space="preserve"> </w:t>
            </w:r>
            <w:r>
              <w:rPr>
                <w:sz w:val="24"/>
                <w:szCs w:val="24"/>
              </w:rPr>
              <w:t>环、保护角、垫片和接头等。设计时，应考虑确定合</w:t>
            </w:r>
            <w:r>
              <w:rPr>
                <w:spacing w:val="-1"/>
                <w:sz w:val="24"/>
                <w:szCs w:val="24"/>
              </w:rPr>
              <w:t>理的外形和尺寸，避免存</w:t>
            </w:r>
            <w:r>
              <w:rPr>
                <w:sz w:val="24"/>
                <w:szCs w:val="24"/>
              </w:rPr>
              <w:t xml:space="preserve"> </w:t>
            </w:r>
            <w:r>
              <w:rPr>
                <w:spacing w:val="1"/>
                <w:sz w:val="24"/>
                <w:szCs w:val="24"/>
              </w:rPr>
              <w:t>在尖角和凸出物。升压站内电气设备应采取</w:t>
            </w:r>
            <w:r>
              <w:rPr>
                <w:sz w:val="24"/>
                <w:szCs w:val="24"/>
              </w:rPr>
              <w:t>集中布置方式，采用逆相序排列， 配电装置采用GIS;在设计中应按有关规程采取系列的控制过电压、电磁感应</w:t>
            </w:r>
          </w:p>
          <w:p w14:paraId="16D50DC4">
            <w:pPr>
              <w:pStyle w:val="6"/>
              <w:spacing w:before="7" w:line="351" w:lineRule="auto"/>
              <w:ind w:left="91" w:right="168" w:firstLine="10"/>
              <w:rPr>
                <w:sz w:val="24"/>
                <w:szCs w:val="24"/>
              </w:rPr>
            </w:pPr>
            <w:r>
              <w:rPr>
                <w:sz w:val="24"/>
                <w:szCs w:val="24"/>
              </w:rPr>
              <w:t>场强水平的措施，如保证导体和电气设备之间的电气安全距离，选用具有低辐</w:t>
            </w:r>
            <w:r>
              <w:rPr>
                <w:spacing w:val="15"/>
                <w:sz w:val="24"/>
                <w:szCs w:val="24"/>
              </w:rPr>
              <w:t xml:space="preserve"> </w:t>
            </w:r>
            <w:r>
              <w:rPr>
                <w:sz w:val="24"/>
                <w:szCs w:val="24"/>
              </w:rPr>
              <w:t>射、抗干扰能力的设备，设置防雷接地保护装置，选</w:t>
            </w:r>
            <w:r>
              <w:rPr>
                <w:spacing w:val="-1"/>
                <w:sz w:val="24"/>
                <w:szCs w:val="24"/>
              </w:rPr>
              <w:t>用带屏蔽层的电缆、屏蔽</w:t>
            </w:r>
            <w:r>
              <w:rPr>
                <w:sz w:val="24"/>
                <w:szCs w:val="24"/>
              </w:rPr>
              <w:t xml:space="preserve"> </w:t>
            </w:r>
            <w:r>
              <w:rPr>
                <w:spacing w:val="5"/>
                <w:sz w:val="24"/>
                <w:szCs w:val="24"/>
              </w:rPr>
              <w:t>层接地等，将可以有效的降低电磁环境影响；</w:t>
            </w:r>
          </w:p>
          <w:p w14:paraId="2FDBCFAC">
            <w:pPr>
              <w:pStyle w:val="6"/>
              <w:spacing w:before="30" w:line="220" w:lineRule="auto"/>
              <w:ind w:left="691"/>
              <w:rPr>
                <w:sz w:val="24"/>
                <w:szCs w:val="24"/>
              </w:rPr>
            </w:pPr>
            <w:r>
              <w:rPr>
                <w:spacing w:val="1"/>
                <w:sz w:val="24"/>
                <w:szCs w:val="24"/>
              </w:rPr>
              <w:t>(3)控制绝缘与表面放电</w:t>
            </w:r>
          </w:p>
          <w:p w14:paraId="1A665DE0">
            <w:pPr>
              <w:pStyle w:val="6"/>
              <w:spacing w:before="170" w:line="216" w:lineRule="auto"/>
              <w:ind w:left="591"/>
              <w:rPr>
                <w:sz w:val="24"/>
                <w:szCs w:val="24"/>
              </w:rPr>
            </w:pPr>
            <w:r>
              <w:rPr>
                <w:spacing w:val="1"/>
                <w:sz w:val="24"/>
                <w:szCs w:val="24"/>
              </w:rPr>
              <w:t>合理选用各种电气设备及金属配件(如保护</w:t>
            </w:r>
            <w:r>
              <w:rPr>
                <w:sz w:val="24"/>
                <w:szCs w:val="24"/>
              </w:rPr>
              <w:t>环、垫片、接头等),以减少</w:t>
            </w:r>
          </w:p>
          <w:p w14:paraId="3E9EF2B5">
            <w:pPr>
              <w:pStyle w:val="6"/>
              <w:spacing w:before="180" w:line="362" w:lineRule="auto"/>
              <w:ind w:left="101" w:firstLine="9"/>
              <w:rPr>
                <w:sz w:val="24"/>
                <w:szCs w:val="24"/>
              </w:rPr>
            </w:pPr>
            <w:r>
              <w:rPr>
                <w:spacing w:val="-2"/>
                <w:sz w:val="24"/>
                <w:szCs w:val="24"/>
              </w:rPr>
              <w:t>高电位梯度点引起的放电；使用合理、优良的绝缘子来减少绝缘子的表面放电，</w:t>
            </w:r>
            <w:r>
              <w:rPr>
                <w:spacing w:val="4"/>
                <w:sz w:val="24"/>
                <w:szCs w:val="24"/>
              </w:rPr>
              <w:t xml:space="preserve"> </w:t>
            </w:r>
            <w:r>
              <w:rPr>
                <w:spacing w:val="2"/>
                <w:sz w:val="24"/>
                <w:szCs w:val="24"/>
              </w:rPr>
              <w:t>尽量使用能改善绝缘子表面或沿绝缘子串电压分布的保护装置；</w:t>
            </w:r>
          </w:p>
          <w:p w14:paraId="54BCD5A8">
            <w:pPr>
              <w:pStyle w:val="6"/>
              <w:spacing w:before="1" w:line="219" w:lineRule="auto"/>
              <w:ind w:left="701"/>
              <w:rPr>
                <w:sz w:val="24"/>
                <w:szCs w:val="24"/>
              </w:rPr>
            </w:pPr>
            <w:r>
              <w:rPr>
                <w:sz w:val="24"/>
                <w:szCs w:val="24"/>
              </w:rPr>
              <w:t>(4)减少因接触不良或表面锈蚀而产生的火花放电</w:t>
            </w:r>
          </w:p>
          <w:p w14:paraId="066ACCFF">
            <w:pPr>
              <w:pStyle w:val="6"/>
              <w:spacing w:before="173" w:line="362" w:lineRule="auto"/>
              <w:ind w:left="101" w:right="161" w:firstLine="489"/>
              <w:rPr>
                <w:sz w:val="24"/>
                <w:szCs w:val="24"/>
              </w:rPr>
            </w:pPr>
            <w:r>
              <w:rPr>
                <w:sz w:val="24"/>
                <w:szCs w:val="24"/>
              </w:rPr>
              <w:t>在安装高压设备时，保证所有的固定螺栓都加弹簧垫后，可靠拧紧，导电</w:t>
            </w:r>
            <w:r>
              <w:rPr>
                <w:spacing w:val="12"/>
                <w:sz w:val="24"/>
                <w:szCs w:val="24"/>
              </w:rPr>
              <w:t xml:space="preserve"> </w:t>
            </w:r>
            <w:r>
              <w:rPr>
                <w:sz w:val="24"/>
                <w:szCs w:val="24"/>
              </w:rPr>
              <w:t>元件尽可能接地，以减少因接触不良引起火花放电。</w:t>
            </w:r>
          </w:p>
          <w:p w14:paraId="27ED2DDD">
            <w:pPr>
              <w:pStyle w:val="6"/>
              <w:spacing w:before="1" w:line="218" w:lineRule="auto"/>
              <w:jc w:val="right"/>
              <w:rPr>
                <w:sz w:val="24"/>
                <w:szCs w:val="24"/>
              </w:rPr>
            </w:pPr>
            <w:r>
              <w:rPr>
                <w:spacing w:val="-1"/>
                <w:sz w:val="24"/>
                <w:szCs w:val="24"/>
              </w:rPr>
              <w:t>(5)采用良好的屏蔽体对各种电气设备进行遮</w:t>
            </w:r>
            <w:r>
              <w:rPr>
                <w:spacing w:val="-2"/>
                <w:sz w:val="24"/>
                <w:szCs w:val="24"/>
              </w:rPr>
              <w:t>蔽，有效降低电磁环境影响；</w:t>
            </w:r>
          </w:p>
          <w:p w14:paraId="23653F48">
            <w:pPr>
              <w:pStyle w:val="6"/>
              <w:spacing w:before="175" w:line="291" w:lineRule="auto"/>
              <w:ind w:left="101" w:right="162" w:firstLine="600"/>
              <w:rPr>
                <w:sz w:val="24"/>
                <w:szCs w:val="24"/>
              </w:rPr>
            </w:pPr>
            <w:r>
              <w:rPr>
                <w:spacing w:val="1"/>
                <w:sz w:val="24"/>
                <w:szCs w:val="24"/>
              </w:rPr>
              <w:t>(6)升压站附近高压危险区域应设置相应的警</w:t>
            </w:r>
            <w:r>
              <w:rPr>
                <w:sz w:val="24"/>
                <w:szCs w:val="24"/>
              </w:rPr>
              <w:t>告牌。升压站四周应修建围 墙，禁止在输变电设施防护区内建设、搭建民</w:t>
            </w:r>
            <w:r>
              <w:rPr>
                <w:spacing w:val="-1"/>
                <w:sz w:val="24"/>
                <w:szCs w:val="24"/>
              </w:rPr>
              <w:t>房。</w:t>
            </w:r>
          </w:p>
          <w:p w14:paraId="513BB8F4">
            <w:pPr>
              <w:pStyle w:val="6"/>
              <w:spacing w:before="173" w:line="219" w:lineRule="auto"/>
              <w:ind w:left="701"/>
              <w:rPr>
                <w:sz w:val="24"/>
                <w:szCs w:val="24"/>
              </w:rPr>
            </w:pPr>
            <w:r>
              <w:rPr>
                <w:sz w:val="24"/>
                <w:szCs w:val="24"/>
              </w:rPr>
              <w:t>(7)优化施工图设计，合理规划升压站位置及进出线布</w:t>
            </w:r>
            <w:r>
              <w:rPr>
                <w:spacing w:val="-1"/>
                <w:sz w:val="24"/>
                <w:szCs w:val="24"/>
              </w:rPr>
              <w:t>局。</w:t>
            </w:r>
          </w:p>
          <w:p w14:paraId="54C60388">
            <w:pPr>
              <w:pStyle w:val="6"/>
              <w:spacing w:before="194" w:line="219" w:lineRule="auto"/>
              <w:ind w:left="84"/>
              <w:rPr>
                <w:sz w:val="24"/>
                <w:szCs w:val="24"/>
              </w:rPr>
            </w:pPr>
            <w:r>
              <w:rPr>
                <w:b/>
                <w:bCs/>
                <w:spacing w:val="-4"/>
                <w:sz w:val="24"/>
                <w:szCs w:val="24"/>
              </w:rPr>
              <w:t>二、服务期满后环境保护措施</w:t>
            </w:r>
          </w:p>
          <w:p w14:paraId="3E3A940F">
            <w:pPr>
              <w:pStyle w:val="6"/>
              <w:spacing w:before="177" w:line="219" w:lineRule="auto"/>
              <w:ind w:left="591"/>
              <w:rPr>
                <w:sz w:val="24"/>
                <w:szCs w:val="24"/>
              </w:rPr>
            </w:pPr>
            <w:r>
              <w:rPr>
                <w:sz w:val="24"/>
                <w:szCs w:val="24"/>
              </w:rPr>
              <w:t>光伏电站服务期满后(营运时间25年)的主要污染物为固废，太阳能电池</w:t>
            </w:r>
          </w:p>
          <w:p w14:paraId="6F198200">
            <w:pPr>
              <w:pStyle w:val="6"/>
              <w:spacing w:before="197" w:line="339" w:lineRule="auto"/>
              <w:ind w:left="111" w:right="164"/>
              <w:rPr>
                <w:sz w:val="24"/>
                <w:szCs w:val="24"/>
              </w:rPr>
            </w:pPr>
            <w:r>
              <w:rPr>
                <w:sz w:val="24"/>
                <w:szCs w:val="24"/>
              </w:rPr>
              <w:t>板寿命达到使用年限，报废后的电池板属一般工业固废，不属于危险废物，太</w:t>
            </w:r>
            <w:r>
              <w:rPr>
                <w:spacing w:val="9"/>
                <w:sz w:val="24"/>
                <w:szCs w:val="24"/>
              </w:rPr>
              <w:t xml:space="preserve"> </w:t>
            </w:r>
            <w:r>
              <w:rPr>
                <w:spacing w:val="-1"/>
                <w:sz w:val="24"/>
                <w:szCs w:val="24"/>
              </w:rPr>
              <w:t>阳能电池板，最终由专业回收厂家回收。</w:t>
            </w:r>
          </w:p>
        </w:tc>
      </w:tr>
      <w:tr w14:paraId="35EF1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3" w:hRule="atLeast"/>
        </w:trPr>
        <w:tc>
          <w:tcPr>
            <w:tcW w:w="764" w:type="dxa"/>
            <w:vAlign w:val="top"/>
          </w:tcPr>
          <w:p w14:paraId="74F91B7B">
            <w:pPr>
              <w:spacing w:line="243" w:lineRule="auto"/>
              <w:rPr>
                <w:rFonts w:ascii="Arial"/>
                <w:sz w:val="21"/>
              </w:rPr>
            </w:pPr>
          </w:p>
          <w:p w14:paraId="53EF928A">
            <w:pPr>
              <w:spacing w:line="244" w:lineRule="auto"/>
              <w:rPr>
                <w:rFonts w:ascii="Arial"/>
                <w:sz w:val="21"/>
              </w:rPr>
            </w:pPr>
          </w:p>
          <w:p w14:paraId="23C31EBF">
            <w:pPr>
              <w:spacing w:line="244" w:lineRule="auto"/>
              <w:rPr>
                <w:rFonts w:ascii="Arial"/>
                <w:sz w:val="21"/>
              </w:rPr>
            </w:pPr>
          </w:p>
          <w:p w14:paraId="29B390F0">
            <w:pPr>
              <w:spacing w:line="244" w:lineRule="auto"/>
              <w:rPr>
                <w:rFonts w:ascii="Arial"/>
                <w:sz w:val="21"/>
              </w:rPr>
            </w:pPr>
          </w:p>
          <w:p w14:paraId="79D75A72">
            <w:pPr>
              <w:pStyle w:val="6"/>
              <w:spacing w:before="78" w:line="220" w:lineRule="auto"/>
              <w:ind w:left="145"/>
              <w:rPr>
                <w:sz w:val="24"/>
                <w:szCs w:val="24"/>
              </w:rPr>
            </w:pPr>
            <w:r>
              <w:rPr>
                <w:spacing w:val="-3"/>
                <w:sz w:val="24"/>
                <w:szCs w:val="24"/>
              </w:rPr>
              <w:t>其他</w:t>
            </w:r>
          </w:p>
        </w:tc>
        <w:tc>
          <w:tcPr>
            <w:tcW w:w="8456" w:type="dxa"/>
            <w:vAlign w:val="top"/>
          </w:tcPr>
          <w:p w14:paraId="40D7DFE3">
            <w:pPr>
              <w:pStyle w:val="6"/>
              <w:spacing w:before="16" w:line="220" w:lineRule="auto"/>
              <w:ind w:left="94"/>
              <w:rPr>
                <w:sz w:val="24"/>
                <w:szCs w:val="24"/>
              </w:rPr>
            </w:pPr>
            <w:r>
              <w:rPr>
                <w:b/>
                <w:bCs/>
                <w:spacing w:val="-5"/>
                <w:sz w:val="24"/>
                <w:szCs w:val="24"/>
              </w:rPr>
              <w:t>一、环境风险防范措施</w:t>
            </w:r>
          </w:p>
          <w:p w14:paraId="3D6BB208">
            <w:pPr>
              <w:pStyle w:val="6"/>
              <w:spacing w:before="194" w:line="220" w:lineRule="auto"/>
              <w:ind w:left="94"/>
              <w:rPr>
                <w:sz w:val="24"/>
                <w:szCs w:val="24"/>
              </w:rPr>
            </w:pPr>
            <w:r>
              <w:rPr>
                <w:b/>
                <w:bCs/>
                <w:spacing w:val="-3"/>
                <w:sz w:val="24"/>
                <w:szCs w:val="24"/>
              </w:rPr>
              <w:t>1.1变压器油环境风险防护措施</w:t>
            </w:r>
          </w:p>
          <w:p w14:paraId="7DFBFAE3">
            <w:pPr>
              <w:pStyle w:val="6"/>
              <w:spacing w:before="194" w:line="312" w:lineRule="auto"/>
              <w:ind w:left="101" w:right="162" w:firstLine="479"/>
              <w:rPr>
                <w:sz w:val="24"/>
                <w:szCs w:val="24"/>
              </w:rPr>
            </w:pPr>
            <w:r>
              <w:rPr>
                <w:sz w:val="24"/>
                <w:szCs w:val="24"/>
              </w:rPr>
              <w:t>①变压器冷却油只在事故时排放，含油废水通过集</w:t>
            </w:r>
            <w:r>
              <w:rPr>
                <w:spacing w:val="-1"/>
                <w:sz w:val="24"/>
                <w:szCs w:val="24"/>
              </w:rPr>
              <w:t>油井、排油管道排入事</w:t>
            </w:r>
            <w:r>
              <w:rPr>
                <w:sz w:val="24"/>
                <w:szCs w:val="24"/>
              </w:rPr>
              <w:t xml:space="preserve"> </w:t>
            </w:r>
            <w:r>
              <w:rPr>
                <w:spacing w:val="1"/>
                <w:sz w:val="24"/>
                <w:szCs w:val="24"/>
              </w:rPr>
              <w:t>故油池，经过油水分离后回收利用，不可回用的</w:t>
            </w:r>
            <w:r>
              <w:rPr>
                <w:sz w:val="24"/>
                <w:szCs w:val="24"/>
              </w:rPr>
              <w:t>部分交由有资质的单位进行清 运及处置，并严格执行危险废物转移联单制度。危险</w:t>
            </w:r>
            <w:r>
              <w:rPr>
                <w:spacing w:val="-1"/>
                <w:sz w:val="24"/>
                <w:szCs w:val="24"/>
              </w:rPr>
              <w:t>废物还应按《危险废物转</w:t>
            </w:r>
          </w:p>
        </w:tc>
      </w:tr>
    </w:tbl>
    <w:p w14:paraId="63A2381C">
      <w:pPr>
        <w:pStyle w:val="2"/>
      </w:pPr>
    </w:p>
    <w:p w14:paraId="6A4A341E">
      <w:pPr>
        <w:sectPr>
          <w:footerReference r:id="rId207" w:type="default"/>
          <w:pgSz w:w="11910" w:h="16840"/>
          <w:pgMar w:top="400" w:right="1355" w:bottom="1255" w:left="1324" w:header="0" w:footer="1093" w:gutter="0"/>
          <w:cols w:space="720" w:num="1"/>
        </w:sectPr>
      </w:pPr>
    </w:p>
    <w:p w14:paraId="4EC93990">
      <w:pPr>
        <w:spacing w:before="15"/>
      </w:pPr>
    </w:p>
    <w:p w14:paraId="3A0FD6E9">
      <w:pPr>
        <w:spacing w:before="15"/>
      </w:pPr>
    </w:p>
    <w:p w14:paraId="1908CE54">
      <w:pPr>
        <w:spacing w:before="15"/>
      </w:pPr>
    </w:p>
    <w:p w14:paraId="6DCD38D4">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456"/>
      </w:tblGrid>
      <w:tr w14:paraId="713DF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9" w:hRule="atLeast"/>
        </w:trPr>
        <w:tc>
          <w:tcPr>
            <w:tcW w:w="764" w:type="dxa"/>
            <w:vAlign w:val="top"/>
          </w:tcPr>
          <w:p w14:paraId="18550B92">
            <w:pPr>
              <w:rPr>
                <w:rFonts w:ascii="Arial"/>
                <w:sz w:val="21"/>
              </w:rPr>
            </w:pPr>
          </w:p>
        </w:tc>
        <w:tc>
          <w:tcPr>
            <w:tcW w:w="8456" w:type="dxa"/>
            <w:vAlign w:val="top"/>
          </w:tcPr>
          <w:p w14:paraId="628B1C17">
            <w:pPr>
              <w:pStyle w:val="6"/>
              <w:spacing w:before="14" w:line="360" w:lineRule="auto"/>
              <w:ind w:left="101" w:right="536" w:hanging="10"/>
              <w:rPr>
                <w:sz w:val="24"/>
                <w:szCs w:val="24"/>
              </w:rPr>
            </w:pPr>
            <w:bookmarkStart w:id="9" w:name="bookmark13"/>
            <w:bookmarkEnd w:id="9"/>
            <w:r>
              <w:rPr>
                <w:sz w:val="24"/>
                <w:szCs w:val="24"/>
              </w:rPr>
              <w:t>移联单管理办法》、《危险废物污染防治技术政策》(环发(2001)199号)的</w:t>
            </w:r>
            <w:r>
              <w:rPr>
                <w:spacing w:val="17"/>
                <w:sz w:val="24"/>
                <w:szCs w:val="24"/>
              </w:rPr>
              <w:t xml:space="preserve"> </w:t>
            </w:r>
            <w:r>
              <w:rPr>
                <w:sz w:val="24"/>
                <w:szCs w:val="24"/>
              </w:rPr>
              <w:t>规定进行分类管理、存放、运输和处理处置。</w:t>
            </w:r>
          </w:p>
          <w:p w14:paraId="563C9622">
            <w:pPr>
              <w:pStyle w:val="6"/>
              <w:spacing w:line="359" w:lineRule="auto"/>
              <w:ind w:left="91" w:right="303" w:firstLine="479"/>
              <w:rPr>
                <w:sz w:val="24"/>
                <w:szCs w:val="24"/>
              </w:rPr>
            </w:pPr>
            <w:r>
              <w:rPr>
                <w:spacing w:val="4"/>
                <w:sz w:val="24"/>
                <w:szCs w:val="24"/>
              </w:rPr>
              <w:t>②升压站总事故油池有效容积为50m³,</w:t>
            </w:r>
            <w:r>
              <w:rPr>
                <w:spacing w:val="3"/>
                <w:sz w:val="24"/>
                <w:szCs w:val="24"/>
              </w:rPr>
              <w:t>可存油量约为44.75t,本项目共设</w:t>
            </w:r>
            <w:r>
              <w:rPr>
                <w:sz w:val="24"/>
                <w:szCs w:val="24"/>
              </w:rPr>
              <w:t xml:space="preserve"> 有1个50MVA主变压器，主变内冷却油量约21.9吨，能满足主变压器事故状</w:t>
            </w:r>
          </w:p>
          <w:p w14:paraId="4F1DFBF5">
            <w:pPr>
              <w:pStyle w:val="6"/>
              <w:spacing w:before="1" w:line="361" w:lineRule="auto"/>
              <w:ind w:left="81" w:right="74" w:firstLine="60"/>
              <w:rPr>
                <w:sz w:val="24"/>
                <w:szCs w:val="24"/>
              </w:rPr>
            </w:pPr>
            <w:r>
              <w:rPr>
                <w:spacing w:val="1"/>
                <w:sz w:val="24"/>
                <w:szCs w:val="24"/>
              </w:rPr>
              <w:t>态下100%的排油量，能保证事故排油不外排；升</w:t>
            </w:r>
            <w:r>
              <w:rPr>
                <w:sz w:val="24"/>
                <w:szCs w:val="24"/>
              </w:rPr>
              <w:t xml:space="preserve">压站主变与总事故油池有集油 </w:t>
            </w:r>
            <w:r>
              <w:rPr>
                <w:spacing w:val="1"/>
                <w:sz w:val="24"/>
                <w:szCs w:val="24"/>
              </w:rPr>
              <w:t>井、排油管道连接，主变漏油时，变压器废油经集油井、排油管道进入总事故</w:t>
            </w:r>
            <w:r>
              <w:rPr>
                <w:spacing w:val="15"/>
                <w:sz w:val="24"/>
                <w:szCs w:val="24"/>
              </w:rPr>
              <w:t xml:space="preserve"> </w:t>
            </w:r>
            <w:r>
              <w:rPr>
                <w:spacing w:val="2"/>
                <w:sz w:val="24"/>
                <w:szCs w:val="24"/>
              </w:rPr>
              <w:t>油池，而且上述事故油池不与雨水系统相通，不会对周边水环境产生的不良影</w:t>
            </w:r>
            <w:r>
              <w:rPr>
                <w:spacing w:val="1"/>
                <w:sz w:val="24"/>
                <w:szCs w:val="24"/>
              </w:rPr>
              <w:t xml:space="preserve"> </w:t>
            </w:r>
            <w:r>
              <w:rPr>
                <w:spacing w:val="2"/>
                <w:sz w:val="24"/>
                <w:szCs w:val="24"/>
              </w:rPr>
              <w:t>响事故油池底部和四周设置防渗措施(箱变事故油池、升压站集油井+事故油池</w:t>
            </w:r>
            <w:r>
              <w:rPr>
                <w:sz w:val="24"/>
                <w:szCs w:val="24"/>
              </w:rPr>
              <w:t xml:space="preserve"> 严格按照《环境影响评价技术导则地下水》(HIJ610-2016)重点防渗要求，等效</w:t>
            </w:r>
            <w:r>
              <w:rPr>
                <w:spacing w:val="9"/>
                <w:sz w:val="24"/>
                <w:szCs w:val="24"/>
              </w:rPr>
              <w:t xml:space="preserve"> </w:t>
            </w:r>
            <w:r>
              <w:rPr>
                <w:spacing w:val="1"/>
                <w:sz w:val="24"/>
                <w:szCs w:val="24"/>
              </w:rPr>
              <w:t>黏土防渗层</w:t>
            </w:r>
            <w:r>
              <w:rPr>
                <w:sz w:val="24"/>
                <w:szCs w:val="24"/>
              </w:rPr>
              <w:t>Mb</w:t>
            </w:r>
            <w:r>
              <w:rPr>
                <w:spacing w:val="1"/>
                <w:sz w:val="24"/>
                <w:szCs w:val="24"/>
              </w:rPr>
              <w:t>≥6m,渗透系数≤1×10-7</w:t>
            </w:r>
            <w:r>
              <w:rPr>
                <w:sz w:val="24"/>
                <w:szCs w:val="24"/>
              </w:rPr>
              <w:t>cm</w:t>
            </w:r>
            <w:r>
              <w:rPr>
                <w:spacing w:val="1"/>
                <w:sz w:val="24"/>
                <w:szCs w:val="24"/>
              </w:rPr>
              <w:t>/s的防渗性能),确保事故油和油污</w:t>
            </w:r>
          </w:p>
          <w:p w14:paraId="47DE402E">
            <w:pPr>
              <w:pStyle w:val="6"/>
              <w:spacing w:before="3" w:line="359" w:lineRule="auto"/>
              <w:ind w:left="81" w:firstLine="59"/>
              <w:rPr>
                <w:sz w:val="24"/>
                <w:szCs w:val="24"/>
              </w:rPr>
            </w:pPr>
            <w:r>
              <w:rPr>
                <w:spacing w:val="-1"/>
                <w:sz w:val="24"/>
                <w:szCs w:val="24"/>
              </w:rPr>
              <w:t>水在存储的过程中不会渗漏；严格做好分区防渗工程，施工期加强工程监理和</w:t>
            </w:r>
            <w:r>
              <w:rPr>
                <w:spacing w:val="9"/>
                <w:sz w:val="24"/>
                <w:szCs w:val="24"/>
              </w:rPr>
              <w:t xml:space="preserve">  </w:t>
            </w:r>
            <w:r>
              <w:rPr>
                <w:spacing w:val="-1"/>
                <w:sz w:val="24"/>
                <w:szCs w:val="24"/>
              </w:rPr>
              <w:t>环境监理，提高防渗工程质量，做好照片、录像以及相关文字说明等存档资</w:t>
            </w:r>
            <w:r>
              <w:rPr>
                <w:spacing w:val="-2"/>
                <w:sz w:val="24"/>
                <w:szCs w:val="24"/>
              </w:rPr>
              <w:t>料。</w:t>
            </w:r>
            <w:r>
              <w:rPr>
                <w:sz w:val="24"/>
                <w:szCs w:val="24"/>
              </w:rPr>
              <w:t xml:space="preserve"> </w:t>
            </w:r>
            <w:r>
              <w:rPr>
                <w:spacing w:val="1"/>
                <w:sz w:val="24"/>
                <w:szCs w:val="24"/>
              </w:rPr>
              <w:t xml:space="preserve">同时加强升压站场地内用油管理，制定环境风险防范措施和应急预案，严防升  </w:t>
            </w:r>
            <w:r>
              <w:rPr>
                <w:spacing w:val="-1"/>
                <w:sz w:val="24"/>
                <w:szCs w:val="24"/>
              </w:rPr>
              <w:t>压站漏油事故影响区域水体。</w:t>
            </w:r>
          </w:p>
          <w:p w14:paraId="02DF204B">
            <w:pPr>
              <w:pStyle w:val="6"/>
              <w:spacing w:line="217" w:lineRule="auto"/>
              <w:ind w:left="591"/>
              <w:rPr>
                <w:sz w:val="24"/>
                <w:szCs w:val="24"/>
              </w:rPr>
            </w:pPr>
            <w:r>
              <w:rPr>
                <w:sz w:val="24"/>
                <w:szCs w:val="24"/>
              </w:rPr>
              <w:t>③危度暂存间严格按照《危险度物贮存污染控制标准》(GB185</w:t>
            </w:r>
            <w:r>
              <w:rPr>
                <w:spacing w:val="-1"/>
                <w:sz w:val="24"/>
                <w:szCs w:val="24"/>
              </w:rPr>
              <w:t>97-2023)设</w:t>
            </w:r>
          </w:p>
          <w:p w14:paraId="019CD60C">
            <w:pPr>
              <w:pStyle w:val="6"/>
              <w:spacing w:before="178" w:line="359" w:lineRule="auto"/>
              <w:ind w:left="20" w:firstLine="79"/>
              <w:rPr>
                <w:sz w:val="24"/>
                <w:szCs w:val="24"/>
              </w:rPr>
            </w:pPr>
            <w:r>
              <w:rPr>
                <w:spacing w:val="43"/>
                <w:sz w:val="24"/>
                <w:szCs w:val="24"/>
              </w:rPr>
              <w:t>计建设并建立转移联单，完善危险度物记录台账。防渗工程需满足</w:t>
            </w:r>
            <w:r>
              <w:rPr>
                <w:spacing w:val="2"/>
                <w:sz w:val="24"/>
                <w:szCs w:val="24"/>
              </w:rPr>
              <w:t xml:space="preserve">  </w:t>
            </w:r>
            <w:r>
              <w:rPr>
                <w:sz w:val="24"/>
                <w:szCs w:val="24"/>
              </w:rPr>
              <w:t>GB</w:t>
            </w:r>
            <w:r>
              <w:rPr>
                <w:spacing w:val="4"/>
                <w:sz w:val="24"/>
                <w:szCs w:val="24"/>
              </w:rPr>
              <w:t>18597-2023要求，即：防渗层为至少1m厚粘土层(渗透系数不大于10-</w:t>
            </w:r>
            <w:r>
              <w:rPr>
                <w:rFonts w:ascii="Calibri" w:hAnsi="Calibri" w:eastAsia="Calibri" w:cs="Calibri"/>
                <w:spacing w:val="4"/>
                <w:sz w:val="24"/>
                <w:szCs w:val="24"/>
              </w:rPr>
              <w:t>⁷</w:t>
            </w:r>
            <w:r>
              <w:rPr>
                <w:sz w:val="24"/>
                <w:szCs w:val="24"/>
              </w:rPr>
              <w:t>cm</w:t>
            </w:r>
            <w:r>
              <w:rPr>
                <w:spacing w:val="4"/>
                <w:sz w:val="24"/>
                <w:szCs w:val="24"/>
              </w:rPr>
              <w:t>/s),</w:t>
            </w:r>
            <w:r>
              <w:rPr>
                <w:spacing w:val="15"/>
                <w:sz w:val="24"/>
                <w:szCs w:val="24"/>
              </w:rPr>
              <w:t xml:space="preserve"> </w:t>
            </w:r>
            <w:r>
              <w:rPr>
                <w:spacing w:val="5"/>
                <w:sz w:val="24"/>
                <w:szCs w:val="24"/>
              </w:rPr>
              <w:t>或至少2</w:t>
            </w:r>
            <w:r>
              <w:rPr>
                <w:sz w:val="24"/>
                <w:szCs w:val="24"/>
              </w:rPr>
              <w:t>mm</w:t>
            </w:r>
            <w:r>
              <w:rPr>
                <w:spacing w:val="5"/>
                <w:sz w:val="24"/>
                <w:szCs w:val="24"/>
              </w:rPr>
              <w:t>厚高密度聚乙烯膜等人工防渗材料(渗透系数不大于10-1</w:t>
            </w:r>
            <w:r>
              <w:rPr>
                <w:rFonts w:ascii="Calibri" w:hAnsi="Calibri" w:eastAsia="Calibri" w:cs="Calibri"/>
                <w:spacing w:val="5"/>
                <w:sz w:val="24"/>
                <w:szCs w:val="24"/>
              </w:rPr>
              <w:t>⁰</w:t>
            </w:r>
            <w:r>
              <w:rPr>
                <w:sz w:val="24"/>
                <w:szCs w:val="24"/>
              </w:rPr>
              <w:t>cm</w:t>
            </w:r>
            <w:r>
              <w:rPr>
                <w:spacing w:val="5"/>
                <w:sz w:val="24"/>
                <w:szCs w:val="24"/>
              </w:rPr>
              <w:t>/s)。</w:t>
            </w:r>
          </w:p>
          <w:p w14:paraId="3666C3C3">
            <w:pPr>
              <w:pStyle w:val="6"/>
              <w:spacing w:before="2" w:line="360" w:lineRule="auto"/>
              <w:ind w:left="121" w:right="195" w:firstLine="80"/>
              <w:rPr>
                <w:sz w:val="24"/>
                <w:szCs w:val="24"/>
              </w:rPr>
            </w:pPr>
            <w:r>
              <w:rPr>
                <w:sz w:val="24"/>
                <w:szCs w:val="24"/>
              </w:rPr>
              <w:t>箱变事故油池、升压站集油井+事故油池严格按照《环境影响评价技术导则地</w:t>
            </w:r>
            <w:r>
              <w:rPr>
                <w:spacing w:val="8"/>
                <w:sz w:val="24"/>
                <w:szCs w:val="24"/>
              </w:rPr>
              <w:t xml:space="preserve"> </w:t>
            </w:r>
            <w:r>
              <w:rPr>
                <w:spacing w:val="1"/>
                <w:sz w:val="24"/>
                <w:szCs w:val="24"/>
              </w:rPr>
              <w:t>下水》(</w:t>
            </w:r>
            <w:r>
              <w:rPr>
                <w:sz w:val="24"/>
                <w:szCs w:val="24"/>
              </w:rPr>
              <w:t>HIJ</w:t>
            </w:r>
            <w:r>
              <w:rPr>
                <w:spacing w:val="1"/>
                <w:sz w:val="24"/>
                <w:szCs w:val="24"/>
              </w:rPr>
              <w:t>610-2016)重点防渗要求，等效黏土防渗</w:t>
            </w:r>
            <w:r>
              <w:rPr>
                <w:sz w:val="24"/>
                <w:szCs w:val="24"/>
              </w:rPr>
              <w:t>层Mb≥6m,渗透系数≤</w:t>
            </w:r>
          </w:p>
          <w:p w14:paraId="777AD6E7">
            <w:pPr>
              <w:pStyle w:val="6"/>
              <w:spacing w:before="5" w:line="220" w:lineRule="auto"/>
              <w:ind w:left="101"/>
              <w:rPr>
                <w:sz w:val="24"/>
                <w:szCs w:val="24"/>
              </w:rPr>
            </w:pPr>
            <w:r>
              <w:rPr>
                <w:spacing w:val="9"/>
                <w:sz w:val="24"/>
                <w:szCs w:val="24"/>
              </w:rPr>
              <w:t>1×10-</w:t>
            </w:r>
            <w:r>
              <w:rPr>
                <w:rFonts w:ascii="Calibri" w:hAnsi="Calibri" w:eastAsia="Calibri" w:cs="Calibri"/>
                <w:spacing w:val="9"/>
                <w:sz w:val="24"/>
                <w:szCs w:val="24"/>
              </w:rPr>
              <w:t>⁷</w:t>
            </w:r>
            <w:r>
              <w:rPr>
                <w:sz w:val="24"/>
                <w:szCs w:val="24"/>
              </w:rPr>
              <w:t>cm</w:t>
            </w:r>
            <w:r>
              <w:rPr>
                <w:spacing w:val="9"/>
                <w:sz w:val="24"/>
                <w:szCs w:val="24"/>
              </w:rPr>
              <w:t>/s的防渗性能。</w:t>
            </w:r>
          </w:p>
          <w:p w14:paraId="230C24CB">
            <w:pPr>
              <w:pStyle w:val="6"/>
              <w:spacing w:before="170" w:line="217" w:lineRule="auto"/>
              <w:ind w:left="500"/>
              <w:rPr>
                <w:sz w:val="24"/>
                <w:szCs w:val="24"/>
              </w:rPr>
            </w:pPr>
            <w:r>
              <w:rPr>
                <w:spacing w:val="1"/>
                <w:sz w:val="24"/>
                <w:szCs w:val="24"/>
              </w:rPr>
              <w:t>④危废暂存间严格按照《危险废物贮存污染控制标准》(</w:t>
            </w:r>
            <w:r>
              <w:rPr>
                <w:sz w:val="24"/>
                <w:szCs w:val="24"/>
              </w:rPr>
              <w:t>GB</w:t>
            </w:r>
            <w:r>
              <w:rPr>
                <w:spacing w:val="1"/>
                <w:sz w:val="24"/>
                <w:szCs w:val="24"/>
              </w:rPr>
              <w:t>18597-2023)</w:t>
            </w:r>
          </w:p>
          <w:p w14:paraId="282D9221">
            <w:pPr>
              <w:pStyle w:val="6"/>
              <w:spacing w:before="212" w:line="287" w:lineRule="auto"/>
              <w:ind w:left="81" w:right="154" w:firstLine="60"/>
              <w:rPr>
                <w:sz w:val="24"/>
                <w:szCs w:val="24"/>
              </w:rPr>
            </w:pPr>
            <w:r>
              <w:rPr>
                <w:sz w:val="24"/>
                <w:szCs w:val="24"/>
              </w:rPr>
              <w:t>相关要求进行设计；危废暂存间内部设置导流沟和收</w:t>
            </w:r>
            <w:r>
              <w:rPr>
                <w:spacing w:val="-1"/>
                <w:sz w:val="24"/>
                <w:szCs w:val="24"/>
              </w:rPr>
              <w:t>集池，用于收集泄露危险</w:t>
            </w:r>
            <w:r>
              <w:rPr>
                <w:sz w:val="24"/>
                <w:szCs w:val="24"/>
              </w:rPr>
              <w:t xml:space="preserve"> </w:t>
            </w:r>
            <w:r>
              <w:rPr>
                <w:spacing w:val="-6"/>
                <w:sz w:val="24"/>
                <w:szCs w:val="24"/>
              </w:rPr>
              <w:t>废</w:t>
            </w:r>
            <w:r>
              <w:rPr>
                <w:spacing w:val="-19"/>
                <w:sz w:val="24"/>
                <w:szCs w:val="24"/>
              </w:rPr>
              <w:t xml:space="preserve"> </w:t>
            </w:r>
            <w:r>
              <w:rPr>
                <w:spacing w:val="-6"/>
                <w:sz w:val="24"/>
                <w:szCs w:val="24"/>
              </w:rPr>
              <w:t>物</w:t>
            </w:r>
            <w:r>
              <w:rPr>
                <w:spacing w:val="-28"/>
                <w:sz w:val="24"/>
                <w:szCs w:val="24"/>
              </w:rPr>
              <w:t xml:space="preserve"> </w:t>
            </w:r>
            <w:r>
              <w:rPr>
                <w:spacing w:val="-6"/>
                <w:sz w:val="24"/>
                <w:szCs w:val="24"/>
              </w:rPr>
              <w:t>；</w:t>
            </w:r>
          </w:p>
          <w:p w14:paraId="402BECD1">
            <w:pPr>
              <w:pStyle w:val="6"/>
              <w:spacing w:before="190" w:line="325" w:lineRule="auto"/>
              <w:ind w:left="91" w:right="125" w:firstLine="479"/>
              <w:rPr>
                <w:sz w:val="24"/>
                <w:szCs w:val="24"/>
              </w:rPr>
            </w:pPr>
            <w:r>
              <w:rPr>
                <w:sz w:val="24"/>
                <w:szCs w:val="24"/>
              </w:rPr>
              <w:t>⑤站区需设置监控系统，项目升压站需设置一套遥视系统，对站内的电气</w:t>
            </w:r>
            <w:r>
              <w:rPr>
                <w:spacing w:val="15"/>
                <w:sz w:val="24"/>
                <w:szCs w:val="24"/>
              </w:rPr>
              <w:t xml:space="preserve"> </w:t>
            </w:r>
            <w:r>
              <w:rPr>
                <w:spacing w:val="2"/>
                <w:sz w:val="24"/>
                <w:szCs w:val="24"/>
              </w:rPr>
              <w:t>设备及运行环境进行图像监视，并能向各级调度传送遥信、遥测、遥控、遥调</w:t>
            </w:r>
            <w:r>
              <w:rPr>
                <w:sz w:val="24"/>
                <w:szCs w:val="24"/>
              </w:rPr>
              <w:t xml:space="preserve"> </w:t>
            </w:r>
            <w:r>
              <w:rPr>
                <w:spacing w:val="2"/>
                <w:sz w:val="24"/>
                <w:szCs w:val="24"/>
              </w:rPr>
              <w:t>等信息。因此，可及时发现问题，避免事故发生，并按相关规定建立事故</w:t>
            </w:r>
            <w:r>
              <w:rPr>
                <w:spacing w:val="1"/>
                <w:sz w:val="24"/>
                <w:szCs w:val="24"/>
              </w:rPr>
              <w:t>应急</w:t>
            </w:r>
            <w:r>
              <w:rPr>
                <w:sz w:val="24"/>
                <w:szCs w:val="24"/>
              </w:rPr>
              <w:t xml:space="preserve"> 预案。</w:t>
            </w:r>
          </w:p>
          <w:p w14:paraId="68B8C201">
            <w:pPr>
              <w:pStyle w:val="6"/>
              <w:spacing w:before="160" w:line="217" w:lineRule="auto"/>
              <w:ind w:left="591"/>
              <w:rPr>
                <w:sz w:val="24"/>
                <w:szCs w:val="24"/>
              </w:rPr>
            </w:pPr>
            <w:r>
              <w:rPr>
                <w:spacing w:val="1"/>
                <w:sz w:val="24"/>
                <w:szCs w:val="24"/>
              </w:rPr>
              <w:t>⑥加强对操作人员的岗位培训，建立健全环</w:t>
            </w:r>
            <w:r>
              <w:rPr>
                <w:sz w:val="24"/>
                <w:szCs w:val="24"/>
              </w:rPr>
              <w:t>保管理机制和各项环保规章制</w:t>
            </w:r>
          </w:p>
        </w:tc>
      </w:tr>
    </w:tbl>
    <w:p w14:paraId="381F3082">
      <w:pPr>
        <w:pStyle w:val="2"/>
      </w:pPr>
    </w:p>
    <w:p w14:paraId="2D8739BE">
      <w:pPr>
        <w:sectPr>
          <w:footerReference r:id="rId208" w:type="default"/>
          <w:pgSz w:w="11910" w:h="16840"/>
          <w:pgMar w:top="400" w:right="1355" w:bottom="1255" w:left="1324" w:header="0" w:footer="1093" w:gutter="0"/>
          <w:cols w:space="720" w:num="1"/>
        </w:sectPr>
      </w:pPr>
    </w:p>
    <w:p w14:paraId="00A43DFF">
      <w:pPr>
        <w:spacing w:before="15"/>
      </w:pPr>
    </w:p>
    <w:p w14:paraId="7182BE09">
      <w:pPr>
        <w:spacing w:before="15"/>
      </w:pPr>
    </w:p>
    <w:p w14:paraId="62A92D70">
      <w:pPr>
        <w:spacing w:before="15"/>
      </w:pPr>
    </w:p>
    <w:p w14:paraId="5C051E2F">
      <w:pPr>
        <w:spacing w:before="14"/>
      </w:pPr>
    </w:p>
    <w:tbl>
      <w:tblPr>
        <w:tblStyle w:val="5"/>
        <w:tblW w:w="9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456"/>
      </w:tblGrid>
      <w:tr w14:paraId="19011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9" w:hRule="atLeast"/>
        </w:trPr>
        <w:tc>
          <w:tcPr>
            <w:tcW w:w="764" w:type="dxa"/>
            <w:vAlign w:val="top"/>
          </w:tcPr>
          <w:p w14:paraId="3D985240">
            <w:pPr>
              <w:rPr>
                <w:rFonts w:ascii="Arial"/>
                <w:sz w:val="21"/>
              </w:rPr>
            </w:pPr>
          </w:p>
        </w:tc>
        <w:tc>
          <w:tcPr>
            <w:tcW w:w="8456" w:type="dxa"/>
            <w:vAlign w:val="top"/>
          </w:tcPr>
          <w:p w14:paraId="3DD484D5">
            <w:pPr>
              <w:pStyle w:val="6"/>
              <w:spacing w:before="25" w:line="219" w:lineRule="auto"/>
              <w:ind w:left="91"/>
              <w:rPr>
                <w:sz w:val="24"/>
                <w:szCs w:val="24"/>
              </w:rPr>
            </w:pPr>
            <w:r>
              <w:rPr>
                <w:spacing w:val="-1"/>
                <w:sz w:val="24"/>
                <w:szCs w:val="24"/>
              </w:rPr>
              <w:t>度，落实岗位环保责任制。</w:t>
            </w:r>
          </w:p>
          <w:p w14:paraId="7B435593">
            <w:pPr>
              <w:pStyle w:val="6"/>
              <w:spacing w:before="171" w:line="219" w:lineRule="auto"/>
              <w:ind w:left="94"/>
              <w:rPr>
                <w:sz w:val="24"/>
                <w:szCs w:val="24"/>
              </w:rPr>
            </w:pPr>
            <w:r>
              <w:rPr>
                <w:b/>
                <w:bCs/>
                <w:spacing w:val="-3"/>
                <w:sz w:val="24"/>
                <w:szCs w:val="24"/>
              </w:rPr>
              <w:t>1.2火灾风险防护措施</w:t>
            </w:r>
          </w:p>
          <w:p w14:paraId="579BE197">
            <w:pPr>
              <w:pStyle w:val="6"/>
              <w:spacing w:before="188" w:line="219" w:lineRule="auto"/>
              <w:ind w:left="580"/>
              <w:rPr>
                <w:sz w:val="24"/>
                <w:szCs w:val="24"/>
              </w:rPr>
            </w:pPr>
            <w:r>
              <w:rPr>
                <w:spacing w:val="-1"/>
                <w:sz w:val="24"/>
                <w:szCs w:val="24"/>
              </w:rPr>
              <w:t>A、风险事故发生对地表水环境的应急处理措施</w:t>
            </w:r>
          </w:p>
          <w:p w14:paraId="7F3B8171">
            <w:pPr>
              <w:pStyle w:val="6"/>
              <w:spacing w:before="183" w:line="312" w:lineRule="auto"/>
              <w:ind w:left="91" w:right="161" w:firstLine="499"/>
              <w:rPr>
                <w:sz w:val="24"/>
                <w:szCs w:val="24"/>
              </w:rPr>
            </w:pPr>
            <w:r>
              <w:rPr>
                <w:sz w:val="24"/>
                <w:szCs w:val="24"/>
              </w:rPr>
              <w:t>①建议建设单位在雨水管网的升压站出口处设置一个闸门，发生事故时及</w:t>
            </w:r>
            <w:r>
              <w:rPr>
                <w:spacing w:val="12"/>
                <w:sz w:val="24"/>
                <w:szCs w:val="24"/>
              </w:rPr>
              <w:t xml:space="preserve"> </w:t>
            </w:r>
            <w:r>
              <w:rPr>
                <w:sz w:val="24"/>
                <w:szCs w:val="24"/>
              </w:rPr>
              <w:t>时关闭闸门，防止消防废水流出升压站，将其可能产生的环境影响控制在升压</w:t>
            </w:r>
            <w:r>
              <w:rPr>
                <w:spacing w:val="10"/>
                <w:sz w:val="24"/>
                <w:szCs w:val="24"/>
              </w:rPr>
              <w:t xml:space="preserve"> </w:t>
            </w:r>
            <w:r>
              <w:rPr>
                <w:sz w:val="24"/>
                <w:szCs w:val="24"/>
              </w:rPr>
              <w:t>站之内。</w:t>
            </w:r>
          </w:p>
          <w:p w14:paraId="2887CC9B">
            <w:pPr>
              <w:pStyle w:val="6"/>
              <w:spacing w:before="181" w:line="315" w:lineRule="auto"/>
              <w:ind w:left="91" w:right="184" w:firstLine="479"/>
              <w:rPr>
                <w:sz w:val="24"/>
                <w:szCs w:val="24"/>
              </w:rPr>
            </w:pPr>
            <w:r>
              <w:rPr>
                <w:sz w:val="24"/>
                <w:szCs w:val="24"/>
              </w:rPr>
              <w:t>②发生火灾事故时，在事故发生位置四周用装满沙土</w:t>
            </w:r>
            <w:r>
              <w:rPr>
                <w:spacing w:val="-1"/>
                <w:sz w:val="24"/>
                <w:szCs w:val="24"/>
              </w:rPr>
              <w:t>的袋子围成围堰拦截</w:t>
            </w:r>
            <w:r>
              <w:rPr>
                <w:sz w:val="24"/>
                <w:szCs w:val="24"/>
              </w:rPr>
              <w:t xml:space="preserve"> 消防废液，并在升压站内采取导流方式将消防废液、泡沫等统一收集，集中处</w:t>
            </w:r>
            <w:r>
              <w:rPr>
                <w:spacing w:val="9"/>
                <w:sz w:val="24"/>
                <w:szCs w:val="24"/>
              </w:rPr>
              <w:t xml:space="preserve"> </w:t>
            </w:r>
            <w:r>
              <w:rPr>
                <w:sz w:val="24"/>
                <w:szCs w:val="24"/>
              </w:rPr>
              <w:t>理，消除安全隐患后委托有资质单位处理。</w:t>
            </w:r>
          </w:p>
          <w:p w14:paraId="7142E9E1">
            <w:pPr>
              <w:pStyle w:val="6"/>
              <w:spacing w:before="206" w:line="220" w:lineRule="auto"/>
              <w:ind w:left="591"/>
              <w:rPr>
                <w:sz w:val="24"/>
                <w:szCs w:val="24"/>
              </w:rPr>
            </w:pPr>
            <w:r>
              <w:rPr>
                <w:spacing w:val="-1"/>
                <w:sz w:val="24"/>
                <w:szCs w:val="24"/>
              </w:rPr>
              <w:t>B、风险事故发生对大气环境的应急处理措施</w:t>
            </w:r>
          </w:p>
          <w:p w14:paraId="6D37C410">
            <w:pPr>
              <w:pStyle w:val="6"/>
              <w:spacing w:before="158" w:line="325" w:lineRule="auto"/>
              <w:ind w:left="91" w:right="203" w:firstLine="479"/>
              <w:rPr>
                <w:sz w:val="24"/>
                <w:szCs w:val="24"/>
              </w:rPr>
            </w:pPr>
            <w:r>
              <w:rPr>
                <w:sz w:val="24"/>
                <w:szCs w:val="24"/>
              </w:rPr>
              <w:t>①项目车间、办公室及宿舍等各建筑物均应严格按</w:t>
            </w:r>
            <w:r>
              <w:rPr>
                <w:spacing w:val="-1"/>
                <w:sz w:val="24"/>
                <w:szCs w:val="24"/>
              </w:rPr>
              <w:t>照消防要求进行规划设</w:t>
            </w:r>
            <w:r>
              <w:rPr>
                <w:sz w:val="24"/>
                <w:szCs w:val="24"/>
              </w:rPr>
              <w:t xml:space="preserve"> 计，配置相应的灭火器、消防栓等设施。发生火灾时</w:t>
            </w:r>
            <w:r>
              <w:rPr>
                <w:spacing w:val="-1"/>
                <w:sz w:val="24"/>
                <w:szCs w:val="24"/>
              </w:rPr>
              <w:t>，应及时采取相应的灭火</w:t>
            </w:r>
            <w:r>
              <w:rPr>
                <w:sz w:val="24"/>
                <w:szCs w:val="24"/>
              </w:rPr>
              <w:t xml:space="preserve"> 措施，应及时采取相应的灭火措施并疏散升压站内员</w:t>
            </w:r>
            <w:r>
              <w:rPr>
                <w:spacing w:val="-1"/>
                <w:sz w:val="24"/>
                <w:szCs w:val="24"/>
              </w:rPr>
              <w:t>工，必要时启动突发事故</w:t>
            </w:r>
            <w:r>
              <w:rPr>
                <w:sz w:val="24"/>
                <w:szCs w:val="24"/>
              </w:rPr>
              <w:t xml:space="preserve"> 应急预案，及时疏散最近环境敏感点周围的居</w:t>
            </w:r>
            <w:r>
              <w:rPr>
                <w:spacing w:val="-1"/>
                <w:sz w:val="24"/>
                <w:szCs w:val="24"/>
              </w:rPr>
              <w:t>民。</w:t>
            </w:r>
          </w:p>
          <w:p w14:paraId="0A2BEAFA">
            <w:pPr>
              <w:pStyle w:val="6"/>
              <w:spacing w:before="173" w:line="291" w:lineRule="auto"/>
              <w:ind w:left="91" w:right="182" w:firstLine="499"/>
              <w:rPr>
                <w:sz w:val="24"/>
                <w:szCs w:val="24"/>
              </w:rPr>
            </w:pPr>
            <w:r>
              <w:rPr>
                <w:sz w:val="24"/>
                <w:szCs w:val="24"/>
              </w:rPr>
              <w:t>②事故发生后，相关部门要制定污染监测计划，对可</w:t>
            </w:r>
            <w:r>
              <w:rPr>
                <w:spacing w:val="-1"/>
                <w:sz w:val="24"/>
                <w:szCs w:val="24"/>
              </w:rPr>
              <w:t>能污染进行监测，根</w:t>
            </w:r>
            <w:r>
              <w:rPr>
                <w:sz w:val="24"/>
                <w:szCs w:val="24"/>
              </w:rPr>
              <w:t xml:space="preserve"> 据现场监测结果，直至无异常方可停止监测工作。</w:t>
            </w:r>
          </w:p>
          <w:p w14:paraId="0523C8D0">
            <w:pPr>
              <w:pStyle w:val="6"/>
              <w:spacing w:before="182" w:line="219" w:lineRule="auto"/>
              <w:ind w:left="94"/>
              <w:rPr>
                <w:sz w:val="24"/>
                <w:szCs w:val="24"/>
              </w:rPr>
            </w:pPr>
            <w:r>
              <w:rPr>
                <w:b/>
                <w:bCs/>
                <w:spacing w:val="-2"/>
                <w:sz w:val="24"/>
                <w:szCs w:val="24"/>
              </w:rPr>
              <w:t>二、环境监测及管理计划</w:t>
            </w:r>
          </w:p>
          <w:p w14:paraId="2177B724">
            <w:pPr>
              <w:pStyle w:val="6"/>
              <w:spacing w:before="175" w:line="219" w:lineRule="auto"/>
              <w:ind w:left="584"/>
              <w:rPr>
                <w:sz w:val="24"/>
                <w:szCs w:val="24"/>
              </w:rPr>
            </w:pPr>
            <w:r>
              <w:rPr>
                <w:b/>
                <w:bCs/>
                <w:spacing w:val="-2"/>
                <w:sz w:val="24"/>
                <w:szCs w:val="24"/>
              </w:rPr>
              <w:t>1、环境管理计划</w:t>
            </w:r>
          </w:p>
          <w:p w14:paraId="299480F4">
            <w:pPr>
              <w:pStyle w:val="6"/>
              <w:spacing w:before="210" w:line="220" w:lineRule="auto"/>
              <w:ind w:left="691"/>
              <w:rPr>
                <w:sz w:val="24"/>
                <w:szCs w:val="24"/>
              </w:rPr>
            </w:pPr>
            <w:r>
              <w:rPr>
                <w:spacing w:val="1"/>
                <w:sz w:val="24"/>
                <w:szCs w:val="24"/>
              </w:rPr>
              <w:t>(1)前期阶段</w:t>
            </w:r>
          </w:p>
          <w:p w14:paraId="34350461">
            <w:pPr>
              <w:pStyle w:val="6"/>
              <w:spacing w:before="172" w:line="361" w:lineRule="auto"/>
              <w:ind w:left="91" w:right="137" w:firstLine="509"/>
              <w:rPr>
                <w:sz w:val="24"/>
                <w:szCs w:val="24"/>
              </w:rPr>
            </w:pPr>
            <w:r>
              <w:rPr>
                <w:spacing w:val="1"/>
                <w:sz w:val="24"/>
                <w:szCs w:val="24"/>
              </w:rPr>
              <w:t>前期工作中，项目建设单位应有专人负责工程的环境保护工</w:t>
            </w:r>
            <w:r>
              <w:rPr>
                <w:sz w:val="24"/>
                <w:szCs w:val="24"/>
              </w:rPr>
              <w:t>作，设置专门 的环境保护管理机构，其人员至少1人，主要负责项目建设期的环境保护管理</w:t>
            </w:r>
            <w:r>
              <w:rPr>
                <w:spacing w:val="3"/>
                <w:sz w:val="24"/>
                <w:szCs w:val="24"/>
              </w:rPr>
              <w:t xml:space="preserve">  </w:t>
            </w:r>
            <w:r>
              <w:rPr>
                <w:spacing w:val="-1"/>
                <w:sz w:val="24"/>
                <w:szCs w:val="24"/>
              </w:rPr>
              <w:t>工作，其主要职责为：</w:t>
            </w:r>
          </w:p>
          <w:p w14:paraId="3ED1E943">
            <w:pPr>
              <w:pStyle w:val="6"/>
              <w:spacing w:line="217" w:lineRule="auto"/>
              <w:ind w:left="570"/>
              <w:rPr>
                <w:sz w:val="24"/>
                <w:szCs w:val="24"/>
              </w:rPr>
            </w:pPr>
            <w:r>
              <w:rPr>
                <w:spacing w:val="-1"/>
                <w:sz w:val="24"/>
                <w:szCs w:val="24"/>
              </w:rPr>
              <w:t>①协助本项目的环境管理。</w:t>
            </w:r>
          </w:p>
          <w:p w14:paraId="7E7D47D6">
            <w:pPr>
              <w:pStyle w:val="6"/>
              <w:spacing w:before="178" w:line="217" w:lineRule="auto"/>
              <w:ind w:left="570"/>
              <w:rPr>
                <w:sz w:val="24"/>
                <w:szCs w:val="24"/>
              </w:rPr>
            </w:pPr>
            <w:r>
              <w:rPr>
                <w:sz w:val="24"/>
                <w:szCs w:val="24"/>
              </w:rPr>
              <w:t>②督促和落实环保工程设计与实施。</w:t>
            </w:r>
          </w:p>
          <w:p w14:paraId="067DAD82">
            <w:pPr>
              <w:pStyle w:val="6"/>
              <w:spacing w:before="179" w:line="295" w:lineRule="auto"/>
              <w:ind w:left="91" w:right="192" w:firstLine="489"/>
              <w:rPr>
                <w:sz w:val="24"/>
                <w:szCs w:val="24"/>
              </w:rPr>
            </w:pPr>
            <w:r>
              <w:rPr>
                <w:sz w:val="24"/>
                <w:szCs w:val="24"/>
              </w:rPr>
              <w:t>③在承包合同中落实环保条款，配合环保部门监理，</w:t>
            </w:r>
            <w:r>
              <w:rPr>
                <w:spacing w:val="-1"/>
                <w:sz w:val="24"/>
                <w:szCs w:val="24"/>
              </w:rPr>
              <w:t>提供施工中环保执行</w:t>
            </w:r>
            <w:r>
              <w:rPr>
                <w:sz w:val="24"/>
                <w:szCs w:val="24"/>
              </w:rPr>
              <w:t xml:space="preserve"> 信息。</w:t>
            </w:r>
          </w:p>
          <w:p w14:paraId="1CF9D78C">
            <w:pPr>
              <w:pStyle w:val="6"/>
              <w:spacing w:before="172" w:line="294" w:lineRule="auto"/>
              <w:ind w:left="91" w:right="182" w:firstLine="499"/>
              <w:rPr>
                <w:sz w:val="24"/>
                <w:szCs w:val="24"/>
              </w:rPr>
            </w:pPr>
            <w:r>
              <w:rPr>
                <w:sz w:val="24"/>
                <w:szCs w:val="24"/>
              </w:rPr>
              <w:t>④与环保监测单位签订环境监测委托合同，检查环境</w:t>
            </w:r>
            <w:r>
              <w:rPr>
                <w:spacing w:val="-1"/>
                <w:sz w:val="24"/>
                <w:szCs w:val="24"/>
              </w:rPr>
              <w:t>监测计划的实施，并</w:t>
            </w:r>
            <w:r>
              <w:rPr>
                <w:sz w:val="24"/>
                <w:szCs w:val="24"/>
              </w:rPr>
              <w:t xml:space="preserve"> 将监测报告与执行情况上报建设单位及曲靖市生态环境局陆良分局。</w:t>
            </w:r>
          </w:p>
          <w:p w14:paraId="3EFC1ADD">
            <w:pPr>
              <w:pStyle w:val="6"/>
              <w:spacing w:before="166" w:line="217" w:lineRule="auto"/>
              <w:ind w:left="570"/>
              <w:rPr>
                <w:sz w:val="24"/>
                <w:szCs w:val="24"/>
              </w:rPr>
            </w:pPr>
            <w:r>
              <w:rPr>
                <w:spacing w:val="-1"/>
                <w:sz w:val="24"/>
                <w:szCs w:val="24"/>
              </w:rPr>
              <w:t>⑤负责受影响公众的环保投诉。</w:t>
            </w:r>
          </w:p>
        </w:tc>
      </w:tr>
    </w:tbl>
    <w:p w14:paraId="745F6A1B">
      <w:pPr>
        <w:pStyle w:val="2"/>
      </w:pPr>
    </w:p>
    <w:p w14:paraId="58D4EF8D">
      <w:pPr>
        <w:sectPr>
          <w:footerReference r:id="rId209" w:type="default"/>
          <w:pgSz w:w="11910" w:h="16840"/>
          <w:pgMar w:top="400" w:right="1355" w:bottom="1255" w:left="1324" w:header="0" w:footer="1093" w:gutter="0"/>
          <w:cols w:space="720" w:num="1"/>
        </w:sectPr>
      </w:pPr>
    </w:p>
    <w:p w14:paraId="229DDA02">
      <w:pPr>
        <w:spacing w:before="18"/>
      </w:pPr>
    </w:p>
    <w:p w14:paraId="61321429">
      <w:pPr>
        <w:spacing w:before="17"/>
      </w:pPr>
    </w:p>
    <w:p w14:paraId="4FBAB5BE">
      <w:pPr>
        <w:spacing w:before="17"/>
      </w:pPr>
    </w:p>
    <w:p w14:paraId="0BF12937">
      <w:pPr>
        <w:spacing w:before="17"/>
      </w:pPr>
    </w:p>
    <w:tbl>
      <w:tblPr>
        <w:tblStyle w:val="5"/>
        <w:tblW w:w="91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110"/>
        <w:gridCol w:w="1288"/>
        <w:gridCol w:w="6987"/>
      </w:tblGrid>
      <w:tr w14:paraId="29D82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0" w:hRule="atLeast"/>
        </w:trPr>
        <w:tc>
          <w:tcPr>
            <w:tcW w:w="734" w:type="dxa"/>
            <w:vMerge w:val="restart"/>
            <w:tcBorders>
              <w:bottom w:val="nil"/>
            </w:tcBorders>
            <w:vAlign w:val="top"/>
          </w:tcPr>
          <w:p w14:paraId="28AC5D96">
            <w:pPr>
              <w:rPr>
                <w:rFonts w:ascii="Arial"/>
                <w:sz w:val="21"/>
              </w:rPr>
            </w:pPr>
          </w:p>
        </w:tc>
        <w:tc>
          <w:tcPr>
            <w:tcW w:w="8385" w:type="dxa"/>
            <w:gridSpan w:val="3"/>
            <w:vAlign w:val="top"/>
          </w:tcPr>
          <w:p w14:paraId="4E700009">
            <w:pPr>
              <w:pStyle w:val="6"/>
              <w:spacing w:before="11" w:line="217" w:lineRule="auto"/>
              <w:ind w:left="560"/>
            </w:pPr>
            <w:r>
              <w:t>⑥积极配合、支持地方环保主管部门的工作，并接受其监督与检查。</w:t>
            </w:r>
          </w:p>
          <w:p w14:paraId="71F9E25E">
            <w:pPr>
              <w:pStyle w:val="6"/>
              <w:spacing w:before="214" w:line="220" w:lineRule="auto"/>
              <w:ind w:left="691"/>
            </w:pPr>
            <w:r>
              <w:rPr>
                <w:spacing w:val="-15"/>
              </w:rPr>
              <w:t>(</w:t>
            </w:r>
            <w:r>
              <w:rPr>
                <w:spacing w:val="-35"/>
              </w:rPr>
              <w:t xml:space="preserve"> </w:t>
            </w:r>
            <w:r>
              <w:rPr>
                <w:spacing w:val="-15"/>
              </w:rPr>
              <w:t>2</w:t>
            </w:r>
            <w:r>
              <w:rPr>
                <w:spacing w:val="-38"/>
              </w:rPr>
              <w:t xml:space="preserve"> </w:t>
            </w:r>
            <w:r>
              <w:rPr>
                <w:spacing w:val="-15"/>
              </w:rPr>
              <w:t>)</w:t>
            </w:r>
            <w:r>
              <w:rPr>
                <w:spacing w:val="-40"/>
              </w:rPr>
              <w:t xml:space="preserve"> </w:t>
            </w:r>
            <w:r>
              <w:rPr>
                <w:spacing w:val="-15"/>
              </w:rPr>
              <w:t>施</w:t>
            </w:r>
            <w:r>
              <w:rPr>
                <w:spacing w:val="-36"/>
              </w:rPr>
              <w:t xml:space="preserve"> </w:t>
            </w:r>
            <w:r>
              <w:rPr>
                <w:spacing w:val="-15"/>
              </w:rPr>
              <w:t>工</w:t>
            </w:r>
            <w:r>
              <w:rPr>
                <w:spacing w:val="-37"/>
              </w:rPr>
              <w:t xml:space="preserve"> </w:t>
            </w:r>
            <w:r>
              <w:rPr>
                <w:spacing w:val="-15"/>
              </w:rPr>
              <w:t>期</w:t>
            </w:r>
          </w:p>
          <w:p w14:paraId="564D211C">
            <w:pPr>
              <w:pStyle w:val="6"/>
              <w:spacing w:before="206" w:line="393" w:lineRule="auto"/>
              <w:ind w:left="91" w:right="754" w:firstLine="479"/>
              <w:jc w:val="both"/>
            </w:pPr>
            <w:r>
              <w:t>工程施工期应严格实行招投标制和合同制，将工程的环境保护要求、环境</w:t>
            </w:r>
            <w:r>
              <w:rPr>
                <w:spacing w:val="8"/>
              </w:rPr>
              <w:t xml:space="preserve"> </w:t>
            </w:r>
            <w:r>
              <w:t>保护设施建设、需达到的预期效果列入招标文件和合同中，明确相关的责任和</w:t>
            </w:r>
            <w:r>
              <w:rPr>
                <w:spacing w:val="17"/>
              </w:rPr>
              <w:t xml:space="preserve"> </w:t>
            </w:r>
            <w:r>
              <w:rPr>
                <w:spacing w:val="6"/>
              </w:rPr>
              <w:t>要求。</w:t>
            </w:r>
          </w:p>
          <w:p w14:paraId="45809978">
            <w:pPr>
              <w:pStyle w:val="6"/>
              <w:spacing w:before="5" w:line="388" w:lineRule="auto"/>
              <w:ind w:left="81" w:right="534" w:firstLine="499"/>
            </w:pPr>
            <w:r>
              <w:t xml:space="preserve">施工期建设单位应设1～2人专职人员，负责工程施工期的环境管理与监督， </w:t>
            </w:r>
            <w:r>
              <w:rPr>
                <w:spacing w:val="1"/>
              </w:rPr>
              <w:t>监督施工单位搞好工程的水土保持，植被恢复、施工噪声和施工扬尘防</w:t>
            </w:r>
            <w:r>
              <w:t>治等工   作。</w:t>
            </w:r>
          </w:p>
          <w:p w14:paraId="78683037">
            <w:pPr>
              <w:pStyle w:val="6"/>
              <w:spacing w:line="219" w:lineRule="auto"/>
              <w:ind w:left="574"/>
            </w:pPr>
            <w:r>
              <w:rPr>
                <w:b/>
                <w:bCs/>
                <w:spacing w:val="-2"/>
              </w:rPr>
              <w:t>2、施工期环境管理监督计划</w:t>
            </w:r>
          </w:p>
          <w:p w14:paraId="41A6A40A">
            <w:pPr>
              <w:pStyle w:val="6"/>
              <w:spacing w:before="210" w:line="392" w:lineRule="auto"/>
              <w:ind w:left="111" w:right="732" w:firstLine="479"/>
              <w:jc w:val="both"/>
            </w:pPr>
            <w:r>
              <w:t>工程建设单位应组建工程环境保护管理机构，建立环境管理制度，保障环</w:t>
            </w:r>
            <w:r>
              <w:rPr>
                <w:spacing w:val="10"/>
              </w:rPr>
              <w:t xml:space="preserve"> </w:t>
            </w:r>
            <w:r>
              <w:t>保资金的投入，全面领导整个工程施工过程的环境保</w:t>
            </w:r>
            <w:r>
              <w:rPr>
                <w:spacing w:val="-1"/>
              </w:rPr>
              <w:t>护工作，认真落实本工程</w:t>
            </w:r>
            <w:r>
              <w:t xml:space="preserve"> 的各项环境保护措施、环境监测计划，保障工程建设和运营符合环保要</w:t>
            </w:r>
            <w:r>
              <w:rPr>
                <w:spacing w:val="-1"/>
              </w:rPr>
              <w:t>求。</w:t>
            </w:r>
          </w:p>
          <w:p w14:paraId="6ECA9E68">
            <w:pPr>
              <w:pStyle w:val="6"/>
              <w:spacing w:before="10" w:line="388" w:lineRule="auto"/>
              <w:ind w:left="111" w:right="731" w:firstLine="479"/>
              <w:jc w:val="both"/>
            </w:pPr>
            <w:r>
              <w:t>建设单位应组织开展施工期的环境监理工作，将环境监理纳入工程监理一</w:t>
            </w:r>
            <w:r>
              <w:rPr>
                <w:spacing w:val="11"/>
              </w:rPr>
              <w:t xml:space="preserve"> </w:t>
            </w:r>
            <w:r>
              <w:t>并实施，环境监理内容不限于环评报告和环评批复要求的内容，还包括可研和</w:t>
            </w:r>
            <w:r>
              <w:rPr>
                <w:spacing w:val="16"/>
              </w:rPr>
              <w:t xml:space="preserve"> </w:t>
            </w:r>
            <w:r>
              <w:t>初步设计等中的环保措施内容，以减少施工期对周围生态环境的影响。</w:t>
            </w:r>
          </w:p>
          <w:p w14:paraId="7B7A2964">
            <w:pPr>
              <w:pStyle w:val="6"/>
              <w:spacing w:line="226" w:lineRule="auto"/>
              <w:ind w:left="1924"/>
            </w:pPr>
            <w:r>
              <w:rPr>
                <w:b/>
                <w:bCs/>
                <w:spacing w:val="-2"/>
                <w:position w:val="-1"/>
              </w:rPr>
              <w:t>表5-1</w:t>
            </w:r>
            <w:r>
              <w:rPr>
                <w:spacing w:val="9"/>
                <w:position w:val="-1"/>
              </w:rPr>
              <w:t xml:space="preserve">     </w:t>
            </w:r>
            <w:r>
              <w:rPr>
                <w:b/>
                <w:bCs/>
                <w:spacing w:val="-2"/>
              </w:rPr>
              <w:t>施工期环境管理监督计划一览表</w:t>
            </w:r>
          </w:p>
        </w:tc>
      </w:tr>
      <w:tr w14:paraId="3266C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34" w:type="dxa"/>
            <w:vMerge w:val="continue"/>
            <w:tcBorders>
              <w:top w:val="nil"/>
              <w:bottom w:val="nil"/>
            </w:tcBorders>
            <w:vAlign w:val="top"/>
          </w:tcPr>
          <w:p w14:paraId="39BE44BB">
            <w:pPr>
              <w:rPr>
                <w:rFonts w:ascii="Arial"/>
                <w:sz w:val="21"/>
              </w:rPr>
            </w:pPr>
          </w:p>
        </w:tc>
        <w:tc>
          <w:tcPr>
            <w:tcW w:w="110" w:type="dxa"/>
            <w:tcBorders>
              <w:bottom w:val="nil"/>
            </w:tcBorders>
            <w:vAlign w:val="top"/>
          </w:tcPr>
          <w:p w14:paraId="093153BF">
            <w:pPr>
              <w:rPr>
                <w:rFonts w:ascii="Arial"/>
                <w:sz w:val="21"/>
              </w:rPr>
            </w:pPr>
          </w:p>
        </w:tc>
        <w:tc>
          <w:tcPr>
            <w:tcW w:w="1288" w:type="dxa"/>
            <w:vAlign w:val="top"/>
          </w:tcPr>
          <w:p w14:paraId="0DDB7334">
            <w:pPr>
              <w:pStyle w:val="6"/>
              <w:spacing w:before="53" w:line="207" w:lineRule="auto"/>
              <w:ind w:left="190"/>
            </w:pPr>
            <w:r>
              <w:rPr>
                <w:spacing w:val="2"/>
              </w:rPr>
              <w:t>监理内容</w:t>
            </w:r>
          </w:p>
        </w:tc>
        <w:tc>
          <w:tcPr>
            <w:tcW w:w="6987" w:type="dxa"/>
            <w:vAlign w:val="top"/>
          </w:tcPr>
          <w:p w14:paraId="14A01D35">
            <w:pPr>
              <w:pStyle w:val="6"/>
              <w:spacing w:before="53" w:line="207" w:lineRule="auto"/>
              <w:ind w:left="2603"/>
            </w:pPr>
            <w:r>
              <w:rPr>
                <w:spacing w:val="1"/>
              </w:rPr>
              <w:t>管理监督计划要求</w:t>
            </w:r>
          </w:p>
        </w:tc>
      </w:tr>
      <w:tr w14:paraId="2374D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734" w:type="dxa"/>
            <w:vMerge w:val="continue"/>
            <w:tcBorders>
              <w:top w:val="nil"/>
              <w:bottom w:val="nil"/>
            </w:tcBorders>
            <w:vAlign w:val="top"/>
          </w:tcPr>
          <w:p w14:paraId="1B38740F">
            <w:pPr>
              <w:rPr>
                <w:rFonts w:ascii="Arial"/>
                <w:sz w:val="21"/>
              </w:rPr>
            </w:pPr>
          </w:p>
        </w:tc>
        <w:tc>
          <w:tcPr>
            <w:tcW w:w="110" w:type="dxa"/>
            <w:tcBorders>
              <w:top w:val="nil"/>
              <w:bottom w:val="nil"/>
            </w:tcBorders>
            <w:vAlign w:val="top"/>
          </w:tcPr>
          <w:p w14:paraId="1AB6A3A3">
            <w:pPr>
              <w:rPr>
                <w:rFonts w:ascii="Arial"/>
                <w:sz w:val="21"/>
              </w:rPr>
            </w:pPr>
          </w:p>
        </w:tc>
        <w:tc>
          <w:tcPr>
            <w:tcW w:w="1288" w:type="dxa"/>
            <w:vAlign w:val="top"/>
          </w:tcPr>
          <w:p w14:paraId="2A6DF071">
            <w:pPr>
              <w:pStyle w:val="6"/>
              <w:spacing w:before="307" w:line="221" w:lineRule="auto"/>
              <w:ind w:left="190"/>
            </w:pPr>
            <w:r>
              <w:rPr>
                <w:spacing w:val="-2"/>
              </w:rPr>
              <w:t>施工扬尘</w:t>
            </w:r>
          </w:p>
        </w:tc>
        <w:tc>
          <w:tcPr>
            <w:tcW w:w="6987" w:type="dxa"/>
            <w:vAlign w:val="top"/>
          </w:tcPr>
          <w:p w14:paraId="113C8609">
            <w:pPr>
              <w:pStyle w:val="6"/>
              <w:spacing w:before="34" w:line="219" w:lineRule="auto"/>
              <w:jc w:val="right"/>
            </w:pPr>
            <w:r>
              <w:rPr>
                <w:spacing w:val="-9"/>
              </w:rPr>
              <w:t>施工过程中及时喷水抑尘；对需要回填的土方及石子、砂子等进行定期洒水</w:t>
            </w:r>
          </w:p>
          <w:p w14:paraId="40165176">
            <w:pPr>
              <w:pStyle w:val="6"/>
              <w:spacing w:before="7" w:line="219" w:lineRule="auto"/>
              <w:jc w:val="right"/>
            </w:pPr>
            <w:r>
              <w:rPr>
                <w:spacing w:val="-15"/>
              </w:rPr>
              <w:t>或网布遮盖抑尘；对易产尘的材料，实行轻卸慢放；施工场地</w:t>
            </w:r>
            <w:r>
              <w:rPr>
                <w:spacing w:val="-16"/>
              </w:rPr>
              <w:t>采取洒水降尘、</w:t>
            </w:r>
          </w:p>
          <w:p w14:paraId="2CEDE7B2">
            <w:pPr>
              <w:pStyle w:val="6"/>
              <w:spacing w:before="30" w:line="181" w:lineRule="auto"/>
              <w:ind w:left="2442"/>
            </w:pPr>
            <w:r>
              <w:rPr>
                <w:spacing w:val="-1"/>
              </w:rPr>
              <w:t>临时覆盖等措施防尘。</w:t>
            </w:r>
          </w:p>
        </w:tc>
      </w:tr>
      <w:tr w14:paraId="2EE9E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34" w:type="dxa"/>
            <w:vMerge w:val="continue"/>
            <w:tcBorders>
              <w:top w:val="nil"/>
              <w:bottom w:val="nil"/>
            </w:tcBorders>
            <w:vAlign w:val="top"/>
          </w:tcPr>
          <w:p w14:paraId="41F01AFA">
            <w:pPr>
              <w:rPr>
                <w:rFonts w:ascii="Arial"/>
                <w:sz w:val="21"/>
              </w:rPr>
            </w:pPr>
          </w:p>
        </w:tc>
        <w:tc>
          <w:tcPr>
            <w:tcW w:w="110" w:type="dxa"/>
            <w:tcBorders>
              <w:top w:val="nil"/>
              <w:bottom w:val="nil"/>
            </w:tcBorders>
            <w:vAlign w:val="top"/>
          </w:tcPr>
          <w:p w14:paraId="294EA188">
            <w:pPr>
              <w:rPr>
                <w:rFonts w:ascii="Arial"/>
                <w:sz w:val="21"/>
              </w:rPr>
            </w:pPr>
          </w:p>
        </w:tc>
        <w:tc>
          <w:tcPr>
            <w:tcW w:w="1288" w:type="dxa"/>
            <w:vAlign w:val="top"/>
          </w:tcPr>
          <w:p w14:paraId="0A546D55">
            <w:pPr>
              <w:spacing w:line="241" w:lineRule="auto"/>
              <w:rPr>
                <w:rFonts w:ascii="Arial"/>
                <w:sz w:val="21"/>
              </w:rPr>
            </w:pPr>
          </w:p>
          <w:p w14:paraId="5C92A373">
            <w:pPr>
              <w:pStyle w:val="6"/>
              <w:spacing w:before="71" w:line="219" w:lineRule="auto"/>
              <w:ind w:left="190"/>
            </w:pPr>
            <w:r>
              <w:rPr>
                <w:spacing w:val="-2"/>
              </w:rPr>
              <w:t>施工废水</w:t>
            </w:r>
          </w:p>
        </w:tc>
        <w:tc>
          <w:tcPr>
            <w:tcW w:w="6987" w:type="dxa"/>
            <w:vAlign w:val="top"/>
          </w:tcPr>
          <w:p w14:paraId="55E6FC3A">
            <w:pPr>
              <w:pStyle w:val="6"/>
              <w:spacing w:before="64" w:line="219" w:lineRule="auto"/>
              <w:jc w:val="right"/>
            </w:pPr>
            <w:r>
              <w:rPr>
                <w:spacing w:val="-9"/>
              </w:rPr>
              <w:t>施工废水设置沉淀池，经沉淀处理后中回用于施工、洗车或洒水降尘；其他</w:t>
            </w:r>
          </w:p>
          <w:p w14:paraId="359C38D2">
            <w:pPr>
              <w:pStyle w:val="6"/>
              <w:spacing w:before="8" w:line="218" w:lineRule="auto"/>
              <w:jc w:val="right"/>
            </w:pPr>
            <w:r>
              <w:rPr>
                <w:spacing w:val="-9"/>
              </w:rPr>
              <w:t>废水沉淀澄清后回用于场地洒水降尘；设置临时截排水沟及沉淀池处理雨天</w:t>
            </w:r>
          </w:p>
          <w:p w14:paraId="49FDDAF1">
            <w:pPr>
              <w:pStyle w:val="6"/>
              <w:spacing w:line="197" w:lineRule="auto"/>
              <w:ind w:left="2992"/>
            </w:pPr>
            <w:r>
              <w:rPr>
                <w:spacing w:val="-1"/>
              </w:rPr>
              <w:t>地表径流。</w:t>
            </w:r>
          </w:p>
        </w:tc>
      </w:tr>
      <w:tr w14:paraId="75E54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734" w:type="dxa"/>
            <w:vMerge w:val="continue"/>
            <w:tcBorders>
              <w:top w:val="nil"/>
              <w:bottom w:val="nil"/>
            </w:tcBorders>
            <w:vAlign w:val="top"/>
          </w:tcPr>
          <w:p w14:paraId="31EE8B4A">
            <w:pPr>
              <w:rPr>
                <w:rFonts w:ascii="Arial"/>
                <w:sz w:val="21"/>
              </w:rPr>
            </w:pPr>
          </w:p>
        </w:tc>
        <w:tc>
          <w:tcPr>
            <w:tcW w:w="110" w:type="dxa"/>
            <w:tcBorders>
              <w:top w:val="nil"/>
              <w:bottom w:val="nil"/>
            </w:tcBorders>
            <w:vAlign w:val="top"/>
          </w:tcPr>
          <w:p w14:paraId="2C664E45">
            <w:pPr>
              <w:rPr>
                <w:rFonts w:ascii="Arial"/>
                <w:sz w:val="21"/>
              </w:rPr>
            </w:pPr>
          </w:p>
        </w:tc>
        <w:tc>
          <w:tcPr>
            <w:tcW w:w="1288" w:type="dxa"/>
            <w:vAlign w:val="top"/>
          </w:tcPr>
          <w:p w14:paraId="082C453C">
            <w:pPr>
              <w:pStyle w:val="6"/>
              <w:spacing w:before="305" w:line="220" w:lineRule="auto"/>
              <w:ind w:left="190"/>
            </w:pPr>
            <w:r>
              <w:rPr>
                <w:spacing w:val="3"/>
              </w:rPr>
              <w:t>施工噪声</w:t>
            </w:r>
          </w:p>
        </w:tc>
        <w:tc>
          <w:tcPr>
            <w:tcW w:w="6987" w:type="dxa"/>
            <w:vAlign w:val="top"/>
          </w:tcPr>
          <w:p w14:paraId="490C6423">
            <w:pPr>
              <w:pStyle w:val="6"/>
              <w:spacing w:before="23" w:line="219" w:lineRule="auto"/>
              <w:jc w:val="right"/>
            </w:pPr>
            <w:r>
              <w:rPr>
                <w:spacing w:val="-9"/>
              </w:rPr>
              <w:t>使用的主要机械设备为低噪声机械设备，同时在施工过程中施工单位应设专</w:t>
            </w:r>
          </w:p>
          <w:p w14:paraId="60C1A545">
            <w:pPr>
              <w:pStyle w:val="6"/>
              <w:spacing w:before="10" w:line="219" w:lineRule="auto"/>
              <w:jc w:val="right"/>
            </w:pPr>
            <w:r>
              <w:rPr>
                <w:spacing w:val="-9"/>
              </w:rPr>
              <w:t>人对设备进行定期保养和维护，并负责对现场工作人员进行培训，严格按操</w:t>
            </w:r>
          </w:p>
          <w:p w14:paraId="0545F9B4">
            <w:pPr>
              <w:pStyle w:val="6"/>
              <w:spacing w:before="7" w:line="206" w:lineRule="auto"/>
              <w:ind w:left="683"/>
            </w:pPr>
            <w:r>
              <w:t>作规范使用各类机械，合理安排施工时间，禁止夜间施工。</w:t>
            </w:r>
          </w:p>
        </w:tc>
      </w:tr>
      <w:tr w14:paraId="10DC6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734" w:type="dxa"/>
            <w:vMerge w:val="continue"/>
            <w:tcBorders>
              <w:top w:val="nil"/>
              <w:bottom w:val="nil"/>
            </w:tcBorders>
            <w:vAlign w:val="top"/>
          </w:tcPr>
          <w:p w14:paraId="10698492">
            <w:pPr>
              <w:rPr>
                <w:rFonts w:ascii="Arial"/>
                <w:sz w:val="21"/>
              </w:rPr>
            </w:pPr>
          </w:p>
        </w:tc>
        <w:tc>
          <w:tcPr>
            <w:tcW w:w="110" w:type="dxa"/>
            <w:tcBorders>
              <w:top w:val="nil"/>
              <w:bottom w:val="nil"/>
            </w:tcBorders>
            <w:vAlign w:val="top"/>
          </w:tcPr>
          <w:p w14:paraId="0B5A0C30">
            <w:pPr>
              <w:rPr>
                <w:rFonts w:ascii="Arial"/>
                <w:sz w:val="21"/>
              </w:rPr>
            </w:pPr>
          </w:p>
        </w:tc>
        <w:tc>
          <w:tcPr>
            <w:tcW w:w="1288" w:type="dxa"/>
            <w:vAlign w:val="top"/>
          </w:tcPr>
          <w:p w14:paraId="75D1D098">
            <w:pPr>
              <w:spacing w:line="372" w:lineRule="auto"/>
              <w:rPr>
                <w:rFonts w:ascii="Arial"/>
                <w:sz w:val="21"/>
              </w:rPr>
            </w:pPr>
          </w:p>
          <w:p w14:paraId="0E03B46E">
            <w:pPr>
              <w:pStyle w:val="6"/>
              <w:spacing w:before="71" w:line="219" w:lineRule="auto"/>
              <w:ind w:left="81"/>
            </w:pPr>
            <w:r>
              <w:rPr>
                <w:spacing w:val="2"/>
              </w:rPr>
              <w:t>固体废弃物</w:t>
            </w:r>
          </w:p>
        </w:tc>
        <w:tc>
          <w:tcPr>
            <w:tcW w:w="6987" w:type="dxa"/>
            <w:vAlign w:val="top"/>
          </w:tcPr>
          <w:p w14:paraId="68046CC4">
            <w:pPr>
              <w:pStyle w:val="6"/>
              <w:spacing w:before="46" w:line="218" w:lineRule="auto"/>
              <w:jc w:val="right"/>
            </w:pPr>
            <w:r>
              <w:rPr>
                <w:spacing w:val="-9"/>
              </w:rPr>
              <w:t>施工期间剥离表土在工程施工结束后用于植被恢复覆土；建筑垃圾在可再生</w:t>
            </w:r>
          </w:p>
          <w:p w14:paraId="1900FDC0">
            <w:pPr>
              <w:pStyle w:val="6"/>
              <w:spacing w:line="219" w:lineRule="auto"/>
              <w:jc w:val="right"/>
            </w:pPr>
            <w:r>
              <w:rPr>
                <w:spacing w:val="-9"/>
              </w:rPr>
              <w:t>利用部分回收后，不可回收利用的委托有资质单位处置；施工人员生活垃圾</w:t>
            </w:r>
          </w:p>
          <w:p w14:paraId="53985820">
            <w:pPr>
              <w:pStyle w:val="6"/>
              <w:spacing w:before="28" w:line="211" w:lineRule="auto"/>
              <w:jc w:val="right"/>
            </w:pPr>
            <w:r>
              <w:rPr>
                <w:spacing w:val="-9"/>
              </w:rPr>
              <w:t>收集后运至周边村镇垃圾收集点处置；施工临时旱厕粪污定期委托当地环卫</w:t>
            </w:r>
          </w:p>
          <w:p w14:paraId="65280B8A">
            <w:pPr>
              <w:pStyle w:val="6"/>
              <w:spacing w:before="1" w:line="194" w:lineRule="auto"/>
              <w:ind w:left="2333"/>
            </w:pPr>
            <w:r>
              <w:rPr>
                <w:spacing w:val="-1"/>
              </w:rPr>
              <w:t>清掏外运处理，不外排。</w:t>
            </w:r>
          </w:p>
        </w:tc>
      </w:tr>
      <w:tr w14:paraId="1C9A5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734" w:type="dxa"/>
            <w:vMerge w:val="continue"/>
            <w:tcBorders>
              <w:top w:val="nil"/>
              <w:bottom w:val="nil"/>
            </w:tcBorders>
            <w:vAlign w:val="top"/>
          </w:tcPr>
          <w:p w14:paraId="28FB9265">
            <w:pPr>
              <w:rPr>
                <w:rFonts w:ascii="Arial"/>
                <w:sz w:val="21"/>
              </w:rPr>
            </w:pPr>
          </w:p>
        </w:tc>
        <w:tc>
          <w:tcPr>
            <w:tcW w:w="110" w:type="dxa"/>
            <w:tcBorders>
              <w:top w:val="nil"/>
              <w:bottom w:val="nil"/>
            </w:tcBorders>
            <w:vAlign w:val="top"/>
          </w:tcPr>
          <w:p w14:paraId="341950EB">
            <w:pPr>
              <w:rPr>
                <w:rFonts w:ascii="Arial"/>
                <w:sz w:val="21"/>
              </w:rPr>
            </w:pPr>
          </w:p>
        </w:tc>
        <w:tc>
          <w:tcPr>
            <w:tcW w:w="1288" w:type="dxa"/>
            <w:vAlign w:val="top"/>
          </w:tcPr>
          <w:p w14:paraId="13F7CAA9">
            <w:pPr>
              <w:spacing w:line="254" w:lineRule="auto"/>
              <w:rPr>
                <w:rFonts w:ascii="Arial"/>
                <w:sz w:val="21"/>
              </w:rPr>
            </w:pPr>
          </w:p>
          <w:p w14:paraId="522F6DF5">
            <w:pPr>
              <w:pStyle w:val="6"/>
              <w:spacing w:before="72" w:line="215" w:lineRule="auto"/>
              <w:ind w:left="520" w:hanging="509"/>
            </w:pPr>
            <w:r>
              <w:rPr>
                <w:spacing w:val="-10"/>
              </w:rPr>
              <w:t>施</w:t>
            </w:r>
            <w:r>
              <w:rPr>
                <w:spacing w:val="-9"/>
              </w:rPr>
              <w:t>工期生态</w:t>
            </w:r>
            <w:r>
              <w:rPr>
                <w:spacing w:val="-8"/>
              </w:rPr>
              <w:t>保</w:t>
            </w:r>
            <w:r>
              <w:t xml:space="preserve"> 护</w:t>
            </w:r>
          </w:p>
        </w:tc>
        <w:tc>
          <w:tcPr>
            <w:tcW w:w="6987" w:type="dxa"/>
            <w:vAlign w:val="top"/>
          </w:tcPr>
          <w:p w14:paraId="3C6CBA8D">
            <w:pPr>
              <w:pStyle w:val="6"/>
              <w:spacing w:before="57" w:line="219" w:lineRule="auto"/>
              <w:jc w:val="right"/>
            </w:pPr>
            <w:r>
              <w:rPr>
                <w:spacing w:val="-9"/>
              </w:rPr>
              <w:t>及时恢复临时占地使用功能，及时覆土绿化，绿化结束后，应定期进行抚育</w:t>
            </w:r>
          </w:p>
          <w:p w14:paraId="628BCB9F">
            <w:pPr>
              <w:pStyle w:val="6"/>
              <w:spacing w:before="8" w:line="209" w:lineRule="auto"/>
              <w:jc w:val="right"/>
            </w:pPr>
            <w:r>
              <w:rPr>
                <w:spacing w:val="-9"/>
              </w:rPr>
              <w:t>管理，合理安排施工程序，易造成水土流失的工程尽量避开雨季。施工结束</w:t>
            </w:r>
          </w:p>
          <w:p w14:paraId="504D4A8F">
            <w:pPr>
              <w:pStyle w:val="6"/>
              <w:spacing w:line="218" w:lineRule="auto"/>
              <w:jc w:val="right"/>
            </w:pPr>
            <w:r>
              <w:rPr>
                <w:spacing w:val="-9"/>
              </w:rPr>
              <w:t>后应尽快作好清理恢复工作。管线施工后采取人工植树种草的措施，加快植</w:t>
            </w:r>
          </w:p>
          <w:p w14:paraId="7A5B17CF">
            <w:pPr>
              <w:pStyle w:val="6"/>
              <w:spacing w:before="20" w:line="186" w:lineRule="auto"/>
              <w:ind w:left="2773"/>
            </w:pPr>
            <w:r>
              <w:t>被的恢复进程。</w:t>
            </w:r>
          </w:p>
        </w:tc>
      </w:tr>
      <w:tr w14:paraId="54C9B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734" w:type="dxa"/>
            <w:vMerge w:val="continue"/>
            <w:tcBorders>
              <w:top w:val="nil"/>
            </w:tcBorders>
            <w:vAlign w:val="top"/>
          </w:tcPr>
          <w:p w14:paraId="0635D5D2">
            <w:pPr>
              <w:rPr>
                <w:rFonts w:ascii="Arial"/>
                <w:sz w:val="21"/>
              </w:rPr>
            </w:pPr>
          </w:p>
        </w:tc>
        <w:tc>
          <w:tcPr>
            <w:tcW w:w="110" w:type="dxa"/>
            <w:tcBorders>
              <w:top w:val="nil"/>
            </w:tcBorders>
            <w:vAlign w:val="top"/>
          </w:tcPr>
          <w:p w14:paraId="74C8A59D">
            <w:pPr>
              <w:rPr>
                <w:rFonts w:ascii="Arial"/>
                <w:sz w:val="21"/>
              </w:rPr>
            </w:pPr>
          </w:p>
        </w:tc>
        <w:tc>
          <w:tcPr>
            <w:tcW w:w="1288" w:type="dxa"/>
            <w:vAlign w:val="top"/>
          </w:tcPr>
          <w:p w14:paraId="14907653">
            <w:pPr>
              <w:spacing w:line="251" w:lineRule="auto"/>
              <w:rPr>
                <w:rFonts w:ascii="Arial"/>
                <w:sz w:val="21"/>
              </w:rPr>
            </w:pPr>
          </w:p>
          <w:p w14:paraId="5FE09758">
            <w:pPr>
              <w:spacing w:line="252" w:lineRule="auto"/>
              <w:rPr>
                <w:rFonts w:ascii="Arial"/>
                <w:sz w:val="21"/>
              </w:rPr>
            </w:pPr>
          </w:p>
          <w:p w14:paraId="33059785">
            <w:pPr>
              <w:pStyle w:val="6"/>
              <w:spacing w:before="72" w:line="219" w:lineRule="auto"/>
              <w:ind w:left="190"/>
            </w:pPr>
            <w:r>
              <w:rPr>
                <w:spacing w:val="1"/>
              </w:rPr>
              <w:t>隐蔽工程</w:t>
            </w:r>
          </w:p>
        </w:tc>
        <w:tc>
          <w:tcPr>
            <w:tcW w:w="6987" w:type="dxa"/>
            <w:vAlign w:val="top"/>
          </w:tcPr>
          <w:p w14:paraId="1568870B">
            <w:pPr>
              <w:pStyle w:val="6"/>
              <w:spacing w:before="25" w:line="223" w:lineRule="auto"/>
              <w:ind w:left="12"/>
              <w:jc w:val="both"/>
            </w:pPr>
            <w:r>
              <w:rPr>
                <w:spacing w:val="-9"/>
              </w:rPr>
              <w:t>按照环评所提防渗要求：本次环评要求危度暂存间严格按照《危险度物</w:t>
            </w:r>
            <w:r>
              <w:rPr>
                <w:spacing w:val="-10"/>
              </w:rPr>
              <w:t>贮存</w:t>
            </w:r>
            <w:r>
              <w:t xml:space="preserve"> </w:t>
            </w:r>
            <w:r>
              <w:rPr>
                <w:spacing w:val="-7"/>
              </w:rPr>
              <w:t>污染控制标准》(GB18597-2023)设</w:t>
            </w:r>
            <w:r>
              <w:rPr>
                <w:spacing w:val="-8"/>
              </w:rPr>
              <w:t>计建设并建立转移联单，完善危险度物记</w:t>
            </w:r>
            <w:r>
              <w:t xml:space="preserve"> </w:t>
            </w:r>
            <w:r>
              <w:rPr>
                <w:spacing w:val="-2"/>
              </w:rPr>
              <w:t>录台账。防渗工程需满足GB18597-2023要求，即：防渗层为至少1m厚粘土</w:t>
            </w:r>
            <w:r>
              <w:rPr>
                <w:spacing w:val="1"/>
              </w:rPr>
              <w:t xml:space="preserve"> 层(渗透系数不大于10-7</w:t>
            </w:r>
            <w:r>
              <w:t>cm</w:t>
            </w:r>
            <w:r>
              <w:rPr>
                <w:spacing w:val="1"/>
              </w:rPr>
              <w:t>/s),或至少2</w:t>
            </w:r>
            <w:r>
              <w:t>mm</w:t>
            </w:r>
            <w:r>
              <w:rPr>
                <w:spacing w:val="1"/>
              </w:rPr>
              <w:t>厚高密度聚乙烯膜等人工防渗</w:t>
            </w:r>
            <w:r>
              <w:rPr>
                <w:spacing w:val="5"/>
              </w:rPr>
              <w:t xml:space="preserve">  </w:t>
            </w:r>
            <w:r>
              <w:rPr>
                <w:spacing w:val="-7"/>
              </w:rPr>
              <w:t>材料(渗透系数不大于10-1</w:t>
            </w:r>
            <w:r>
              <w:rPr>
                <w:rFonts w:ascii="Calibri" w:hAnsi="Calibri" w:eastAsia="Calibri" w:cs="Calibri"/>
                <w:spacing w:val="-7"/>
              </w:rPr>
              <w:t>⁰</w:t>
            </w:r>
            <w:r>
              <w:rPr>
                <w:spacing w:val="-7"/>
              </w:rPr>
              <w:t>cm/s)。箱变事故油池、升压站集油井+事故油池</w:t>
            </w:r>
          </w:p>
        </w:tc>
      </w:tr>
    </w:tbl>
    <w:p w14:paraId="3A89639D">
      <w:pPr>
        <w:pStyle w:val="2"/>
      </w:pPr>
    </w:p>
    <w:p w14:paraId="6C01AC1D">
      <w:pPr>
        <w:sectPr>
          <w:footerReference r:id="rId210" w:type="default"/>
          <w:pgSz w:w="11910" w:h="16840"/>
          <w:pgMar w:top="400" w:right="1445" w:bottom="1255" w:left="1334" w:header="0" w:footer="1093" w:gutter="0"/>
          <w:cols w:space="720" w:num="1"/>
        </w:sectPr>
      </w:pPr>
    </w:p>
    <w:p w14:paraId="20C0DB18">
      <w:pPr>
        <w:spacing w:before="18"/>
      </w:pPr>
    </w:p>
    <w:p w14:paraId="444304A3">
      <w:pPr>
        <w:spacing w:before="17"/>
      </w:pPr>
    </w:p>
    <w:p w14:paraId="6DAC79C3">
      <w:pPr>
        <w:spacing w:before="17"/>
      </w:pPr>
    </w:p>
    <w:p w14:paraId="24B6FA5D">
      <w:pPr>
        <w:spacing w:before="17"/>
      </w:pPr>
    </w:p>
    <w:tbl>
      <w:tblPr>
        <w:tblStyle w:val="5"/>
        <w:tblW w:w="8320" w:type="dxa"/>
        <w:tblInd w:w="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469"/>
        <w:gridCol w:w="2467"/>
        <w:gridCol w:w="1019"/>
        <w:gridCol w:w="2597"/>
        <w:gridCol w:w="984"/>
      </w:tblGrid>
      <w:tr w14:paraId="62A7F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1253" w:type="dxa"/>
            <w:gridSpan w:val="2"/>
            <w:vAlign w:val="top"/>
          </w:tcPr>
          <w:p w14:paraId="18B70883">
            <w:pPr>
              <w:rPr>
                <w:rFonts w:ascii="Arial"/>
                <w:sz w:val="21"/>
              </w:rPr>
            </w:pPr>
          </w:p>
        </w:tc>
        <w:tc>
          <w:tcPr>
            <w:tcW w:w="7067" w:type="dxa"/>
            <w:gridSpan w:val="4"/>
            <w:vAlign w:val="top"/>
          </w:tcPr>
          <w:p w14:paraId="7AA93508">
            <w:pPr>
              <w:pStyle w:val="6"/>
              <w:spacing w:before="12" w:line="218" w:lineRule="auto"/>
              <w:jc w:val="right"/>
            </w:pPr>
            <w:r>
              <w:rPr>
                <w:spacing w:val="-8"/>
              </w:rPr>
              <w:t>严格按照《环境影响评价技术导则地下水》(HIJ610-2016)重</w:t>
            </w:r>
            <w:r>
              <w:rPr>
                <w:spacing w:val="-9"/>
              </w:rPr>
              <w:t>点防渗要求，等</w:t>
            </w:r>
          </w:p>
          <w:p w14:paraId="2D901CDB">
            <w:pPr>
              <w:pStyle w:val="6"/>
              <w:spacing w:before="28" w:line="213" w:lineRule="auto"/>
              <w:jc w:val="right"/>
            </w:pPr>
            <w:r>
              <w:t>效黏土防渗层Mb≥6m,渗透系数≤1×10-7cm/s的防渗性能采用防渗系统一</w:t>
            </w:r>
          </w:p>
          <w:p w14:paraId="6A421B3F">
            <w:pPr>
              <w:pStyle w:val="6"/>
              <w:spacing w:line="219" w:lineRule="auto"/>
              <w:jc w:val="right"/>
            </w:pPr>
            <w:r>
              <w:rPr>
                <w:spacing w:val="-6"/>
              </w:rPr>
              <w:t>次铺设的方式，要求至少能满足30年的寿命。</w:t>
            </w:r>
            <w:r>
              <w:rPr>
                <w:spacing w:val="-7"/>
              </w:rPr>
              <w:t>防渗系统施工完成后要进行验</w:t>
            </w:r>
          </w:p>
          <w:p w14:paraId="23FD2801">
            <w:pPr>
              <w:pStyle w:val="6"/>
              <w:spacing w:before="27" w:line="219" w:lineRule="auto"/>
              <w:jc w:val="right"/>
            </w:pPr>
            <w:r>
              <w:rPr>
                <w:spacing w:val="-7"/>
              </w:rPr>
              <w:t>收检验，保证达到设计要求后方可进行下一步的施工。采用文字、图片、录</w:t>
            </w:r>
          </w:p>
          <w:p w14:paraId="4ED5D1DA">
            <w:pPr>
              <w:pStyle w:val="6"/>
              <w:spacing w:before="19" w:line="194" w:lineRule="auto"/>
              <w:ind w:left="832"/>
            </w:pPr>
            <w:r>
              <w:t>像等方式记录防渗施工程序及材料验收合格，以便备</w:t>
            </w:r>
            <w:r>
              <w:rPr>
                <w:spacing w:val="-1"/>
              </w:rPr>
              <w:t>查。</w:t>
            </w:r>
          </w:p>
        </w:tc>
      </w:tr>
      <w:tr w14:paraId="1DDF5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1253" w:type="dxa"/>
            <w:gridSpan w:val="2"/>
            <w:vAlign w:val="top"/>
          </w:tcPr>
          <w:p w14:paraId="124BE1EB">
            <w:pPr>
              <w:spacing w:line="367" w:lineRule="auto"/>
              <w:rPr>
                <w:rFonts w:ascii="Arial"/>
                <w:sz w:val="21"/>
              </w:rPr>
            </w:pPr>
          </w:p>
          <w:p w14:paraId="1BB1142E">
            <w:pPr>
              <w:pStyle w:val="6"/>
              <w:spacing w:before="71" w:line="220" w:lineRule="auto"/>
              <w:ind w:left="395"/>
            </w:pPr>
            <w:r>
              <w:rPr>
                <w:spacing w:val="-3"/>
              </w:rPr>
              <w:t>其他</w:t>
            </w:r>
          </w:p>
        </w:tc>
        <w:tc>
          <w:tcPr>
            <w:tcW w:w="7067" w:type="dxa"/>
            <w:gridSpan w:val="4"/>
            <w:vAlign w:val="top"/>
          </w:tcPr>
          <w:p w14:paraId="7529CAD7">
            <w:pPr>
              <w:pStyle w:val="6"/>
              <w:spacing w:before="28" w:line="219" w:lineRule="auto"/>
              <w:jc w:val="right"/>
            </w:pPr>
            <w:r>
              <w:rPr>
                <w:spacing w:val="-7"/>
              </w:rPr>
              <w:t>材料堆场的选址符合环保要求；原材料运输车辆行驶的路线避开学校、居民</w:t>
            </w:r>
          </w:p>
          <w:p w14:paraId="6B0C72F0">
            <w:pPr>
              <w:pStyle w:val="6"/>
              <w:spacing w:before="10" w:line="219" w:lineRule="auto"/>
              <w:jc w:val="right"/>
            </w:pPr>
            <w:r>
              <w:rPr>
                <w:spacing w:val="-7"/>
              </w:rPr>
              <w:t>区等环境敏感点；运输过程无泼洒。所需砂、石选择通过环保部门审批的料</w:t>
            </w:r>
          </w:p>
          <w:p w14:paraId="3FFE01B9">
            <w:pPr>
              <w:pStyle w:val="6"/>
              <w:spacing w:before="27" w:line="219" w:lineRule="auto"/>
              <w:jc w:val="right"/>
            </w:pPr>
            <w:r>
              <w:rPr>
                <w:spacing w:val="-7"/>
              </w:rPr>
              <w:t>场提供；禁止向河流、渠道、水沟排放粪便、施工人员的生活污水，倾倒施</w:t>
            </w:r>
          </w:p>
          <w:p w14:paraId="3B8D3665">
            <w:pPr>
              <w:pStyle w:val="6"/>
              <w:spacing w:before="1" w:line="200" w:lineRule="auto"/>
              <w:ind w:left="1602"/>
            </w:pPr>
            <w:r>
              <w:t>工固体废弃物和生活垃圾及清洗工具等。</w:t>
            </w:r>
          </w:p>
        </w:tc>
      </w:tr>
      <w:tr w14:paraId="3D4E2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8320" w:type="dxa"/>
            <w:gridSpan w:val="6"/>
            <w:vAlign w:val="top"/>
          </w:tcPr>
          <w:p w14:paraId="22392563">
            <w:pPr>
              <w:pStyle w:val="6"/>
              <w:spacing w:before="58" w:line="220" w:lineRule="auto"/>
              <w:ind w:left="468"/>
            </w:pPr>
            <w:r>
              <w:rPr>
                <w:b/>
                <w:bCs/>
                <w:spacing w:val="-2"/>
              </w:rPr>
              <w:t>3、环境监测计划</w:t>
            </w:r>
          </w:p>
          <w:p w14:paraId="6423B3F0">
            <w:pPr>
              <w:pStyle w:val="6"/>
              <w:spacing w:before="190" w:line="220" w:lineRule="auto"/>
              <w:ind w:left="595"/>
            </w:pPr>
            <w:r>
              <w:rPr>
                <w:spacing w:val="1"/>
              </w:rPr>
              <w:t>(1)施工期环境监测</w:t>
            </w:r>
          </w:p>
          <w:p w14:paraId="1A6665AC">
            <w:pPr>
              <w:pStyle w:val="6"/>
              <w:spacing w:before="184" w:line="230" w:lineRule="auto"/>
              <w:ind w:left="1628"/>
            </w:pPr>
            <w:r>
              <w:rPr>
                <w:b/>
                <w:bCs/>
                <w:spacing w:val="-4"/>
                <w:position w:val="-1"/>
              </w:rPr>
              <w:t>表5-2</w:t>
            </w:r>
            <w:r>
              <w:rPr>
                <w:spacing w:val="31"/>
                <w:position w:val="-1"/>
              </w:rPr>
              <w:t xml:space="preserve">    </w:t>
            </w:r>
            <w:r>
              <w:rPr>
                <w:b/>
                <w:bCs/>
                <w:spacing w:val="-4"/>
              </w:rPr>
              <w:t>施工区环境空气和声环境监测一览表</w:t>
            </w:r>
          </w:p>
        </w:tc>
      </w:tr>
      <w:tr w14:paraId="0EBB5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84" w:type="dxa"/>
            <w:vAlign w:val="top"/>
          </w:tcPr>
          <w:p w14:paraId="6C39D590">
            <w:pPr>
              <w:pStyle w:val="6"/>
              <w:spacing w:before="23" w:line="217" w:lineRule="auto"/>
              <w:ind w:left="55"/>
            </w:pPr>
            <w:r>
              <w:rPr>
                <w:spacing w:val="-3"/>
              </w:rPr>
              <w:t>监测对</w:t>
            </w:r>
          </w:p>
          <w:p w14:paraId="638A7E13">
            <w:pPr>
              <w:pStyle w:val="6"/>
              <w:spacing w:line="208" w:lineRule="auto"/>
              <w:ind w:left="275"/>
            </w:pPr>
            <w:r>
              <w:t>象</w:t>
            </w:r>
          </w:p>
        </w:tc>
        <w:tc>
          <w:tcPr>
            <w:tcW w:w="2936" w:type="dxa"/>
            <w:gridSpan w:val="2"/>
            <w:vAlign w:val="top"/>
          </w:tcPr>
          <w:p w14:paraId="6E030EFC">
            <w:pPr>
              <w:pStyle w:val="6"/>
              <w:spacing w:before="163" w:line="221" w:lineRule="auto"/>
              <w:ind w:left="1131"/>
            </w:pPr>
            <w:r>
              <w:rPr>
                <w:spacing w:val="6"/>
              </w:rPr>
              <w:t>监测点</w:t>
            </w:r>
          </w:p>
        </w:tc>
        <w:tc>
          <w:tcPr>
            <w:tcW w:w="1019" w:type="dxa"/>
            <w:vAlign w:val="top"/>
          </w:tcPr>
          <w:p w14:paraId="11699374">
            <w:pPr>
              <w:pStyle w:val="6"/>
              <w:spacing w:before="162" w:line="219" w:lineRule="auto"/>
              <w:ind w:left="65"/>
            </w:pPr>
            <w:r>
              <w:rPr>
                <w:spacing w:val="-2"/>
              </w:rPr>
              <w:t>监测参数</w:t>
            </w:r>
          </w:p>
        </w:tc>
        <w:tc>
          <w:tcPr>
            <w:tcW w:w="2597" w:type="dxa"/>
            <w:vAlign w:val="top"/>
          </w:tcPr>
          <w:p w14:paraId="37DC71F0">
            <w:pPr>
              <w:pStyle w:val="6"/>
              <w:spacing w:before="162" w:line="219" w:lineRule="auto"/>
              <w:ind w:left="526"/>
            </w:pPr>
            <w:r>
              <w:rPr>
                <w:spacing w:val="-2"/>
              </w:rPr>
              <w:t>监测时间及频次</w:t>
            </w:r>
          </w:p>
        </w:tc>
        <w:tc>
          <w:tcPr>
            <w:tcW w:w="984" w:type="dxa"/>
            <w:vAlign w:val="top"/>
          </w:tcPr>
          <w:p w14:paraId="56A9F575">
            <w:pPr>
              <w:pStyle w:val="6"/>
              <w:spacing w:before="163" w:line="221" w:lineRule="auto"/>
              <w:ind w:left="49"/>
            </w:pPr>
            <w:r>
              <w:rPr>
                <w:spacing w:val="-2"/>
              </w:rPr>
              <w:t>监测方法</w:t>
            </w:r>
          </w:p>
        </w:tc>
      </w:tr>
      <w:tr w14:paraId="0C489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784" w:type="dxa"/>
            <w:vAlign w:val="top"/>
          </w:tcPr>
          <w:p w14:paraId="06351DDF">
            <w:pPr>
              <w:pStyle w:val="6"/>
              <w:spacing w:before="303" w:line="230" w:lineRule="auto"/>
              <w:ind w:left="274" w:right="46" w:hanging="219"/>
            </w:pPr>
            <w:r>
              <w:rPr>
                <w:spacing w:val="4"/>
              </w:rPr>
              <w:t>环境空</w:t>
            </w:r>
            <w:r>
              <w:t xml:space="preserve"> 气</w:t>
            </w:r>
          </w:p>
        </w:tc>
        <w:tc>
          <w:tcPr>
            <w:tcW w:w="2936" w:type="dxa"/>
            <w:gridSpan w:val="2"/>
            <w:vAlign w:val="top"/>
          </w:tcPr>
          <w:p w14:paraId="23DFEDDD">
            <w:pPr>
              <w:pStyle w:val="6"/>
              <w:spacing w:before="20" w:line="219" w:lineRule="auto"/>
              <w:ind w:left="81"/>
            </w:pPr>
            <w:r>
              <w:rPr>
                <w:spacing w:val="-1"/>
              </w:rPr>
              <w:t>施工场地场界上风向布设1个</w:t>
            </w:r>
          </w:p>
          <w:p w14:paraId="4885EB3B">
            <w:pPr>
              <w:pStyle w:val="6"/>
              <w:spacing w:before="29" w:line="219" w:lineRule="auto"/>
              <w:ind w:left="81"/>
            </w:pPr>
            <w:r>
              <w:rPr>
                <w:spacing w:val="1"/>
              </w:rPr>
              <w:t>对照点、下风向布设2个监测</w:t>
            </w:r>
          </w:p>
          <w:p w14:paraId="7CE9FE6F">
            <w:pPr>
              <w:pStyle w:val="6"/>
              <w:spacing w:before="10" w:line="211" w:lineRule="auto"/>
              <w:ind w:left="81"/>
            </w:pPr>
            <w:r>
              <w:t>点，关心点栗树园上设置1个</w:t>
            </w:r>
          </w:p>
          <w:p w14:paraId="28BAAEC4">
            <w:pPr>
              <w:pStyle w:val="6"/>
              <w:spacing w:line="189" w:lineRule="auto"/>
              <w:ind w:left="1131"/>
            </w:pPr>
            <w:r>
              <w:rPr>
                <w:spacing w:val="6"/>
              </w:rPr>
              <w:t>监测点</w:t>
            </w:r>
          </w:p>
        </w:tc>
        <w:tc>
          <w:tcPr>
            <w:tcW w:w="1019" w:type="dxa"/>
            <w:vAlign w:val="top"/>
          </w:tcPr>
          <w:p w14:paraId="6A9E3B52">
            <w:pPr>
              <w:spacing w:line="414" w:lineRule="auto"/>
              <w:rPr>
                <w:rFonts w:ascii="Arial"/>
                <w:sz w:val="21"/>
              </w:rPr>
            </w:pPr>
          </w:p>
          <w:p w14:paraId="15C7DCA1">
            <w:pPr>
              <w:pStyle w:val="6"/>
              <w:spacing w:before="72" w:line="183" w:lineRule="auto"/>
              <w:ind w:left="334"/>
            </w:pPr>
            <w:r>
              <w:rPr>
                <w:spacing w:val="-2"/>
              </w:rPr>
              <w:t>TSP</w:t>
            </w:r>
          </w:p>
        </w:tc>
        <w:tc>
          <w:tcPr>
            <w:tcW w:w="2597" w:type="dxa"/>
            <w:vAlign w:val="top"/>
          </w:tcPr>
          <w:p w14:paraId="23DA3184">
            <w:pPr>
              <w:pStyle w:val="6"/>
              <w:spacing w:before="162" w:line="219" w:lineRule="auto"/>
              <w:ind w:left="85"/>
            </w:pPr>
            <w:r>
              <w:rPr>
                <w:spacing w:val="-1"/>
              </w:rPr>
              <w:t>监测时间为施工高峰期监</w:t>
            </w:r>
          </w:p>
          <w:p w14:paraId="08924B75">
            <w:pPr>
              <w:pStyle w:val="6"/>
              <w:spacing w:before="28" w:line="210" w:lineRule="auto"/>
              <w:ind w:left="85"/>
            </w:pPr>
            <w:r>
              <w:rPr>
                <w:spacing w:val="-1"/>
              </w:rPr>
              <w:t>测1次，每次3天连续有效</w:t>
            </w:r>
          </w:p>
          <w:p w14:paraId="09C75C0E">
            <w:pPr>
              <w:pStyle w:val="6"/>
              <w:spacing w:line="219" w:lineRule="auto"/>
              <w:ind w:left="1076"/>
            </w:pPr>
            <w:r>
              <w:rPr>
                <w:spacing w:val="6"/>
              </w:rPr>
              <w:t>数据</w:t>
            </w:r>
          </w:p>
        </w:tc>
        <w:tc>
          <w:tcPr>
            <w:tcW w:w="984" w:type="dxa"/>
            <w:vMerge w:val="restart"/>
            <w:tcBorders>
              <w:bottom w:val="nil"/>
            </w:tcBorders>
            <w:vAlign w:val="top"/>
          </w:tcPr>
          <w:p w14:paraId="28CB77DE">
            <w:pPr>
              <w:spacing w:line="249" w:lineRule="auto"/>
              <w:rPr>
                <w:rFonts w:ascii="Arial"/>
                <w:sz w:val="21"/>
              </w:rPr>
            </w:pPr>
          </w:p>
          <w:p w14:paraId="52D7BF98">
            <w:pPr>
              <w:spacing w:line="249" w:lineRule="auto"/>
              <w:rPr>
                <w:rFonts w:ascii="Arial"/>
                <w:sz w:val="21"/>
              </w:rPr>
            </w:pPr>
          </w:p>
          <w:p w14:paraId="783171EA">
            <w:pPr>
              <w:pStyle w:val="6"/>
              <w:spacing w:before="71" w:line="220" w:lineRule="auto"/>
            </w:pPr>
            <w:r>
              <w:rPr>
                <w:spacing w:val="-6"/>
              </w:rPr>
              <w:t>《环境监</w:t>
            </w:r>
          </w:p>
          <w:p w14:paraId="38B1911C">
            <w:pPr>
              <w:pStyle w:val="6"/>
              <w:spacing w:before="7" w:line="219" w:lineRule="auto"/>
              <w:ind w:left="49"/>
            </w:pPr>
            <w:r>
              <w:rPr>
                <w:spacing w:val="-2"/>
              </w:rPr>
              <w:t>测技术规</w:t>
            </w:r>
          </w:p>
          <w:p w14:paraId="2BAA2C66">
            <w:pPr>
              <w:pStyle w:val="6"/>
              <w:spacing w:before="13" w:line="224" w:lineRule="auto"/>
              <w:ind w:left="319"/>
            </w:pPr>
            <w:r>
              <w:t>范》</w:t>
            </w:r>
          </w:p>
        </w:tc>
      </w:tr>
      <w:tr w14:paraId="4E730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784" w:type="dxa"/>
            <w:vAlign w:val="top"/>
          </w:tcPr>
          <w:p w14:paraId="072C53AD">
            <w:pPr>
              <w:pStyle w:val="6"/>
              <w:spacing w:before="303" w:line="220" w:lineRule="auto"/>
              <w:ind w:left="55"/>
            </w:pPr>
            <w:r>
              <w:rPr>
                <w:spacing w:val="3"/>
              </w:rPr>
              <w:t>声环境</w:t>
            </w:r>
          </w:p>
        </w:tc>
        <w:tc>
          <w:tcPr>
            <w:tcW w:w="2936" w:type="dxa"/>
            <w:gridSpan w:val="2"/>
            <w:vAlign w:val="top"/>
          </w:tcPr>
          <w:p w14:paraId="4D23E2A6">
            <w:pPr>
              <w:pStyle w:val="6"/>
              <w:spacing w:before="303" w:line="219" w:lineRule="auto"/>
              <w:ind w:left="141"/>
            </w:pPr>
            <w:r>
              <w:rPr>
                <w:spacing w:val="-1"/>
              </w:rPr>
              <w:t>施工区东、南、西、北场界</w:t>
            </w:r>
          </w:p>
        </w:tc>
        <w:tc>
          <w:tcPr>
            <w:tcW w:w="1019" w:type="dxa"/>
            <w:vAlign w:val="top"/>
          </w:tcPr>
          <w:p w14:paraId="300779C9">
            <w:pPr>
              <w:pStyle w:val="6"/>
              <w:spacing w:before="192" w:line="230" w:lineRule="auto"/>
              <w:ind w:left="224" w:right="52" w:hanging="160"/>
            </w:pPr>
            <w:r>
              <w:rPr>
                <w:spacing w:val="2"/>
              </w:rPr>
              <w:t xml:space="preserve">等效连续 </w:t>
            </w:r>
            <w:r>
              <w:rPr>
                <w:spacing w:val="-1"/>
              </w:rPr>
              <w:t>A声级</w:t>
            </w:r>
          </w:p>
        </w:tc>
        <w:tc>
          <w:tcPr>
            <w:tcW w:w="2597" w:type="dxa"/>
            <w:vAlign w:val="top"/>
          </w:tcPr>
          <w:p w14:paraId="301C7AB6">
            <w:pPr>
              <w:pStyle w:val="6"/>
              <w:spacing w:before="43" w:line="219" w:lineRule="auto"/>
              <w:ind w:left="85"/>
            </w:pPr>
            <w:r>
              <w:rPr>
                <w:spacing w:val="-1"/>
              </w:rPr>
              <w:t>监测时间为施工高峰期监</w:t>
            </w:r>
          </w:p>
          <w:p w14:paraId="6E024C49">
            <w:pPr>
              <w:pStyle w:val="6"/>
              <w:spacing w:before="29" w:line="201" w:lineRule="auto"/>
              <w:ind w:left="85"/>
            </w:pPr>
            <w:r>
              <w:rPr>
                <w:spacing w:val="-1"/>
              </w:rPr>
              <w:t>测1次，每次连续2天，分</w:t>
            </w:r>
          </w:p>
          <w:p w14:paraId="1867E18C">
            <w:pPr>
              <w:pStyle w:val="6"/>
              <w:spacing w:line="189" w:lineRule="auto"/>
              <w:ind w:left="355"/>
            </w:pPr>
            <w:r>
              <w:rPr>
                <w:spacing w:val="-1"/>
              </w:rPr>
              <w:t>别监测昼间和夜间。</w:t>
            </w:r>
          </w:p>
        </w:tc>
        <w:tc>
          <w:tcPr>
            <w:tcW w:w="984" w:type="dxa"/>
            <w:vMerge w:val="continue"/>
            <w:tcBorders>
              <w:top w:val="nil"/>
            </w:tcBorders>
            <w:vAlign w:val="top"/>
          </w:tcPr>
          <w:p w14:paraId="47963D0F">
            <w:pPr>
              <w:rPr>
                <w:rFonts w:ascii="Arial"/>
                <w:sz w:val="21"/>
              </w:rPr>
            </w:pPr>
          </w:p>
        </w:tc>
      </w:tr>
      <w:tr w14:paraId="0F944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60" w:hRule="atLeast"/>
        </w:trPr>
        <w:tc>
          <w:tcPr>
            <w:tcW w:w="8320" w:type="dxa"/>
            <w:gridSpan w:val="6"/>
            <w:vAlign w:val="top"/>
          </w:tcPr>
          <w:p w14:paraId="75A09C8E">
            <w:pPr>
              <w:pStyle w:val="6"/>
              <w:spacing w:before="54" w:line="220" w:lineRule="auto"/>
              <w:ind w:left="585"/>
            </w:pPr>
            <w:r>
              <w:rPr>
                <w:spacing w:val="1"/>
              </w:rPr>
              <w:t>(2)运营期环境监测</w:t>
            </w:r>
          </w:p>
          <w:p w14:paraId="308AA2C7">
            <w:pPr>
              <w:pStyle w:val="6"/>
              <w:spacing w:before="205" w:line="390" w:lineRule="auto"/>
              <w:ind w:left="15" w:right="760" w:firstLine="479"/>
            </w:pPr>
            <w:r>
              <w:t>本项目运行期除食堂油烟产生外，无其他大气污染物产生，故不设置大气</w:t>
            </w:r>
            <w:r>
              <w:rPr>
                <w:spacing w:val="13"/>
              </w:rPr>
              <w:t xml:space="preserve"> </w:t>
            </w:r>
            <w:r>
              <w:rPr>
                <w:spacing w:val="18"/>
              </w:rPr>
              <w:t>环境监测点；</w:t>
            </w:r>
          </w:p>
          <w:p w14:paraId="2A668DE6">
            <w:pPr>
              <w:pStyle w:val="6"/>
              <w:spacing w:line="217" w:lineRule="auto"/>
              <w:ind w:left="484"/>
            </w:pPr>
            <w:r>
              <w:rPr>
                <w:spacing w:val="2"/>
              </w:rPr>
              <w:t>①运营期噪声监测</w:t>
            </w:r>
          </w:p>
          <w:p w14:paraId="58BA1127">
            <w:pPr>
              <w:pStyle w:val="6"/>
              <w:spacing w:before="211" w:line="391" w:lineRule="auto"/>
              <w:ind w:left="15" w:right="753" w:firstLine="489"/>
            </w:pPr>
            <w:r>
              <w:t>升压站噪声跟踪监测：噪声监测项目为等效声级，结合《建设项目竣工环</w:t>
            </w:r>
            <w:r>
              <w:rPr>
                <w:spacing w:val="10"/>
              </w:rPr>
              <w:t xml:space="preserve"> </w:t>
            </w:r>
            <w:r>
              <w:t>境保护验收技术规范输变电》(HJ 705-2020)及《排污单位自行监测技术指南</w:t>
            </w:r>
            <w:r>
              <w:rPr>
                <w:spacing w:val="5"/>
              </w:rPr>
              <w:t xml:space="preserve">  </w:t>
            </w:r>
            <w:r>
              <w:rPr>
                <w:spacing w:val="1"/>
              </w:rPr>
              <w:t>总则》(</w:t>
            </w:r>
            <w:r>
              <w:t>HJ</w:t>
            </w:r>
            <w:r>
              <w:rPr>
                <w:spacing w:val="1"/>
              </w:rPr>
              <w:t>918-2017)的相关要求，项</w:t>
            </w:r>
            <w:r>
              <w:t>目在新建110kV升压站东、南、西、北</w:t>
            </w:r>
          </w:p>
          <w:p w14:paraId="636101AB">
            <w:pPr>
              <w:pStyle w:val="6"/>
              <w:spacing w:before="4" w:line="388" w:lineRule="auto"/>
              <w:ind w:left="45" w:right="1025" w:hanging="30"/>
            </w:pPr>
            <w:r>
              <w:t>厂界外1m处分别进行噪声监测，每年监测1次，连续监测2天，每天昼间、夜</w:t>
            </w:r>
            <w:r>
              <w:rPr>
                <w:spacing w:val="8"/>
              </w:rPr>
              <w:t xml:space="preserve"> </w:t>
            </w:r>
            <w:r>
              <w:rPr>
                <w:spacing w:val="-1"/>
              </w:rPr>
              <w:t>间各监测1次。</w:t>
            </w:r>
          </w:p>
          <w:p w14:paraId="459661D3">
            <w:pPr>
              <w:pStyle w:val="6"/>
              <w:spacing w:before="10" w:line="221" w:lineRule="auto"/>
              <w:ind w:left="1678"/>
            </w:pPr>
            <w:r>
              <w:rPr>
                <w:b/>
                <w:bCs/>
                <w:spacing w:val="-2"/>
              </w:rPr>
              <w:t>表5-3</w:t>
            </w:r>
            <w:r>
              <w:rPr>
                <w:spacing w:val="-2"/>
              </w:rPr>
              <w:t xml:space="preserve">       </w:t>
            </w:r>
            <w:r>
              <w:rPr>
                <w:b/>
                <w:bCs/>
                <w:spacing w:val="-2"/>
              </w:rPr>
              <w:t>本项目运营期噪声监测计划</w:t>
            </w:r>
            <w:r>
              <w:rPr>
                <w:b/>
                <w:bCs/>
                <w:spacing w:val="-3"/>
              </w:rPr>
              <w:t>一览表</w:t>
            </w:r>
          </w:p>
          <w:p w14:paraId="04BCDF4F">
            <w:pPr>
              <w:spacing w:line="82" w:lineRule="auto"/>
              <w:rPr>
                <w:rFonts w:ascii="Arial"/>
                <w:sz w:val="2"/>
              </w:rPr>
            </w:pPr>
          </w:p>
          <w:tbl>
            <w:tblPr>
              <w:tblStyle w:val="5"/>
              <w:tblW w:w="8130" w:type="dxa"/>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90"/>
              <w:gridCol w:w="1698"/>
              <w:gridCol w:w="2542"/>
            </w:tblGrid>
            <w:tr w14:paraId="13A78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3890" w:type="dxa"/>
                  <w:vAlign w:val="top"/>
                </w:tcPr>
                <w:p w14:paraId="2D7DCA22">
                  <w:pPr>
                    <w:pStyle w:val="6"/>
                    <w:spacing w:before="71" w:line="221" w:lineRule="auto"/>
                    <w:ind w:left="1517"/>
                    <w:rPr>
                      <w:sz w:val="21"/>
                      <w:szCs w:val="21"/>
                    </w:rPr>
                  </w:pPr>
                  <w:r>
                    <w:rPr>
                      <w:b/>
                      <w:bCs/>
                      <w:spacing w:val="-4"/>
                      <w:sz w:val="21"/>
                      <w:szCs w:val="21"/>
                    </w:rPr>
                    <w:t>监测点位</w:t>
                  </w:r>
                </w:p>
              </w:tc>
              <w:tc>
                <w:tcPr>
                  <w:tcW w:w="1698" w:type="dxa"/>
                  <w:vAlign w:val="top"/>
                </w:tcPr>
                <w:p w14:paraId="05C8DCD3">
                  <w:pPr>
                    <w:pStyle w:val="6"/>
                    <w:spacing w:before="71" w:line="220" w:lineRule="auto"/>
                    <w:ind w:left="427"/>
                    <w:rPr>
                      <w:sz w:val="21"/>
                      <w:szCs w:val="21"/>
                    </w:rPr>
                  </w:pPr>
                  <w:r>
                    <w:rPr>
                      <w:b/>
                      <w:bCs/>
                      <w:spacing w:val="-4"/>
                      <w:sz w:val="21"/>
                      <w:szCs w:val="21"/>
                    </w:rPr>
                    <w:t>监测因子</w:t>
                  </w:r>
                </w:p>
              </w:tc>
              <w:tc>
                <w:tcPr>
                  <w:tcW w:w="2542" w:type="dxa"/>
                  <w:vAlign w:val="top"/>
                </w:tcPr>
                <w:p w14:paraId="445A9F1C">
                  <w:pPr>
                    <w:pStyle w:val="6"/>
                    <w:spacing w:before="70" w:line="219" w:lineRule="auto"/>
                    <w:ind w:left="849"/>
                    <w:rPr>
                      <w:sz w:val="21"/>
                      <w:szCs w:val="21"/>
                    </w:rPr>
                  </w:pPr>
                  <w:r>
                    <w:rPr>
                      <w:b/>
                      <w:bCs/>
                      <w:spacing w:val="-4"/>
                      <w:sz w:val="21"/>
                      <w:szCs w:val="21"/>
                    </w:rPr>
                    <w:t>监测频次</w:t>
                  </w:r>
                </w:p>
              </w:tc>
            </w:tr>
            <w:tr w14:paraId="7E4B6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890" w:type="dxa"/>
                  <w:vAlign w:val="top"/>
                </w:tcPr>
                <w:p w14:paraId="0275B51D">
                  <w:pPr>
                    <w:pStyle w:val="6"/>
                    <w:spacing w:before="60" w:line="219" w:lineRule="auto"/>
                    <w:ind w:left="308"/>
                    <w:rPr>
                      <w:sz w:val="21"/>
                      <w:szCs w:val="21"/>
                    </w:rPr>
                  </w:pPr>
                  <w:r>
                    <w:rPr>
                      <w:b/>
                      <w:bCs/>
                      <w:spacing w:val="-2"/>
                      <w:sz w:val="21"/>
                      <w:szCs w:val="21"/>
                    </w:rPr>
                    <w:t>110kV升压站东、南、西、北面厂界</w:t>
                  </w:r>
                </w:p>
              </w:tc>
              <w:tc>
                <w:tcPr>
                  <w:tcW w:w="1698" w:type="dxa"/>
                  <w:vAlign w:val="top"/>
                </w:tcPr>
                <w:p w14:paraId="5897E226">
                  <w:pPr>
                    <w:pStyle w:val="6"/>
                    <w:spacing w:before="60" w:line="219" w:lineRule="auto"/>
                    <w:ind w:left="157"/>
                    <w:rPr>
                      <w:sz w:val="21"/>
                      <w:szCs w:val="21"/>
                    </w:rPr>
                  </w:pPr>
                  <w:r>
                    <w:rPr>
                      <w:b/>
                      <w:bCs/>
                      <w:spacing w:val="-1"/>
                      <w:sz w:val="21"/>
                      <w:szCs w:val="21"/>
                    </w:rPr>
                    <w:t>等效连续A声级</w:t>
                  </w:r>
                </w:p>
              </w:tc>
              <w:tc>
                <w:tcPr>
                  <w:tcW w:w="2542" w:type="dxa"/>
                  <w:vAlign w:val="top"/>
                </w:tcPr>
                <w:p w14:paraId="37FADB59">
                  <w:pPr>
                    <w:pStyle w:val="6"/>
                    <w:spacing w:before="60" w:line="219" w:lineRule="auto"/>
                    <w:ind w:left="59"/>
                    <w:rPr>
                      <w:sz w:val="21"/>
                      <w:szCs w:val="21"/>
                    </w:rPr>
                  </w:pPr>
                  <w:r>
                    <w:rPr>
                      <w:b/>
                      <w:bCs/>
                      <w:spacing w:val="-3"/>
                      <w:sz w:val="21"/>
                      <w:szCs w:val="21"/>
                    </w:rPr>
                    <w:t>每季度/1次，每次监测2天</w:t>
                  </w:r>
                </w:p>
              </w:tc>
            </w:tr>
          </w:tbl>
          <w:p w14:paraId="09D5FB6C">
            <w:pPr>
              <w:pStyle w:val="6"/>
              <w:spacing w:before="51" w:line="217" w:lineRule="auto"/>
              <w:ind w:left="534"/>
            </w:pPr>
            <w:r>
              <w:rPr>
                <w:spacing w:val="2"/>
              </w:rPr>
              <w:t>②运营期废水监测</w:t>
            </w:r>
          </w:p>
          <w:p w14:paraId="504DFF6A">
            <w:pPr>
              <w:pStyle w:val="6"/>
              <w:spacing w:before="214" w:line="388" w:lineRule="auto"/>
              <w:ind w:left="25" w:right="767" w:firstLine="489"/>
            </w:pPr>
            <w:r>
              <w:rPr>
                <w:spacing w:val="-1"/>
              </w:rPr>
              <w:t>项目设置有一套一体化生活废水处理站，生活废水经一体化生活废水处理</w:t>
            </w:r>
            <w:r>
              <w:rPr>
                <w:spacing w:val="18"/>
              </w:rPr>
              <w:t xml:space="preserve"> </w:t>
            </w:r>
            <w:r>
              <w:t>站处理达到《城市污水再生利用城市杂用水水质》(GB/T189</w:t>
            </w:r>
            <w:r>
              <w:rPr>
                <w:spacing w:val="-1"/>
              </w:rPr>
              <w:t>20-2020)中“城</w:t>
            </w:r>
          </w:p>
          <w:p w14:paraId="00605953">
            <w:pPr>
              <w:pStyle w:val="6"/>
              <w:spacing w:before="4" w:line="368" w:lineRule="auto"/>
              <w:ind w:left="45" w:right="556"/>
            </w:pPr>
            <w:r>
              <w:t>市绿化、道路清扫”标准后排入生活废水收集池作为升压站场区晴天绿化、道路</w:t>
            </w:r>
            <w:r>
              <w:rPr>
                <w:spacing w:val="7"/>
              </w:rPr>
              <w:t xml:space="preserve"> </w:t>
            </w:r>
            <w:r>
              <w:t>降尘用水回用，雨天储存，不外排。故项目运营期需对一体化生活废水处理站</w:t>
            </w:r>
          </w:p>
        </w:tc>
      </w:tr>
    </w:tbl>
    <w:p w14:paraId="39F9DEC1">
      <w:pPr>
        <w:pStyle w:val="2"/>
      </w:pPr>
    </w:p>
    <w:p w14:paraId="714FAF40">
      <w:pPr>
        <w:sectPr>
          <w:footerReference r:id="rId211" w:type="default"/>
          <w:pgSz w:w="11910" w:h="16840"/>
          <w:pgMar w:top="400" w:right="1754" w:bottom="1269" w:left="1786" w:header="0" w:footer="1089" w:gutter="0"/>
          <w:cols w:space="720" w:num="1"/>
        </w:sectPr>
      </w:pPr>
    </w:p>
    <w:p w14:paraId="760F54D9">
      <w:pPr>
        <w:spacing w:before="18"/>
      </w:pPr>
    </w:p>
    <w:p w14:paraId="01B06E78">
      <w:pPr>
        <w:spacing w:before="17"/>
      </w:pPr>
    </w:p>
    <w:p w14:paraId="0130D91C">
      <w:pPr>
        <w:spacing w:before="17"/>
      </w:pPr>
    </w:p>
    <w:p w14:paraId="1C8297B2">
      <w:pPr>
        <w:spacing w:before="17"/>
      </w:pPr>
    </w:p>
    <w:tbl>
      <w:tblPr>
        <w:tblStyle w:val="5"/>
        <w:tblW w:w="91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110"/>
        <w:gridCol w:w="409"/>
        <w:gridCol w:w="859"/>
        <w:gridCol w:w="629"/>
        <w:gridCol w:w="2487"/>
        <w:gridCol w:w="1708"/>
        <w:gridCol w:w="1049"/>
        <w:gridCol w:w="1039"/>
        <w:gridCol w:w="135"/>
      </w:tblGrid>
      <w:tr w14:paraId="2884B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9" w:hRule="atLeast"/>
        </w:trPr>
        <w:tc>
          <w:tcPr>
            <w:tcW w:w="764" w:type="dxa"/>
            <w:vAlign w:val="top"/>
          </w:tcPr>
          <w:p w14:paraId="21FE673C">
            <w:pPr>
              <w:rPr>
                <w:rFonts w:ascii="Arial"/>
                <w:sz w:val="21"/>
              </w:rPr>
            </w:pPr>
          </w:p>
        </w:tc>
        <w:tc>
          <w:tcPr>
            <w:tcW w:w="8425" w:type="dxa"/>
            <w:gridSpan w:val="9"/>
            <w:vAlign w:val="top"/>
          </w:tcPr>
          <w:p w14:paraId="7009F5F9">
            <w:pPr>
              <w:pStyle w:val="6"/>
              <w:spacing w:before="13" w:line="366" w:lineRule="auto"/>
              <w:ind w:left="110" w:hanging="19"/>
              <w:rPr>
                <w:sz w:val="24"/>
                <w:szCs w:val="24"/>
              </w:rPr>
            </w:pPr>
            <w:r>
              <w:rPr>
                <w:spacing w:val="1"/>
                <w:sz w:val="24"/>
                <w:szCs w:val="24"/>
              </w:rPr>
              <w:t>出水口水质进行监测。根据《排污单位自行监测技术指南总则》(</w:t>
            </w:r>
            <w:r>
              <w:rPr>
                <w:sz w:val="24"/>
                <w:szCs w:val="24"/>
              </w:rPr>
              <w:t>HJ</w:t>
            </w:r>
            <w:r>
              <w:rPr>
                <w:spacing w:val="1"/>
                <w:sz w:val="24"/>
                <w:szCs w:val="24"/>
              </w:rPr>
              <w:t xml:space="preserve"> 819-2017)</w:t>
            </w:r>
            <w:r>
              <w:rPr>
                <w:spacing w:val="3"/>
                <w:sz w:val="24"/>
                <w:szCs w:val="24"/>
              </w:rPr>
              <w:t xml:space="preserve"> </w:t>
            </w:r>
            <w:r>
              <w:rPr>
                <w:spacing w:val="-1"/>
                <w:sz w:val="24"/>
                <w:szCs w:val="24"/>
              </w:rPr>
              <w:t>的相关要求，结合项目情况，提出监测计划如下。</w:t>
            </w:r>
          </w:p>
          <w:p w14:paraId="54B1650A">
            <w:pPr>
              <w:pStyle w:val="6"/>
              <w:spacing w:before="6" w:line="199" w:lineRule="auto"/>
              <w:ind w:left="2094"/>
              <w:rPr>
                <w:sz w:val="24"/>
                <w:szCs w:val="24"/>
              </w:rPr>
            </w:pPr>
            <w:r>
              <w:rPr>
                <w:b/>
                <w:bCs/>
                <w:spacing w:val="-3"/>
                <w:sz w:val="24"/>
                <w:szCs w:val="24"/>
              </w:rPr>
              <w:t>表5-</w:t>
            </w:r>
            <w:r>
              <w:rPr>
                <w:b/>
                <w:bCs/>
                <w:color w:val="405040"/>
                <w:spacing w:val="-3"/>
                <w:sz w:val="24"/>
                <w:szCs w:val="24"/>
              </w:rPr>
              <w:t>4</w:t>
            </w:r>
            <w:r>
              <w:rPr>
                <w:color w:val="405040"/>
                <w:spacing w:val="-3"/>
                <w:sz w:val="24"/>
                <w:szCs w:val="24"/>
              </w:rPr>
              <w:t xml:space="preserve">   </w:t>
            </w:r>
            <w:r>
              <w:rPr>
                <w:b/>
                <w:bCs/>
                <w:spacing w:val="-3"/>
                <w:sz w:val="24"/>
                <w:szCs w:val="24"/>
              </w:rPr>
              <w:t>运营期废污水水质监测一览表</w:t>
            </w:r>
          </w:p>
          <w:tbl>
            <w:tblPr>
              <w:tblStyle w:val="5"/>
              <w:tblW w:w="8059" w:type="dxa"/>
              <w:tblInd w:w="1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1488"/>
              <w:gridCol w:w="1338"/>
              <w:gridCol w:w="1199"/>
              <w:gridCol w:w="1238"/>
              <w:gridCol w:w="2382"/>
            </w:tblGrid>
            <w:tr w14:paraId="08092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2" w:hRule="atLeast"/>
              </w:trPr>
              <w:tc>
                <w:tcPr>
                  <w:tcW w:w="414" w:type="dxa"/>
                  <w:vAlign w:val="top"/>
                </w:tcPr>
                <w:p w14:paraId="1D6B8993">
                  <w:pPr>
                    <w:pStyle w:val="6"/>
                    <w:spacing w:before="45" w:line="214" w:lineRule="auto"/>
                    <w:ind w:left="15"/>
                    <w:rPr>
                      <w:sz w:val="21"/>
                      <w:szCs w:val="21"/>
                    </w:rPr>
                  </w:pPr>
                  <w:r>
                    <w:rPr>
                      <w:spacing w:val="-16"/>
                      <w:sz w:val="21"/>
                      <w:szCs w:val="21"/>
                    </w:rPr>
                    <w:t>监测</w:t>
                  </w:r>
                  <w:r>
                    <w:rPr>
                      <w:sz w:val="21"/>
                      <w:szCs w:val="21"/>
                    </w:rPr>
                    <w:t xml:space="preserve"> </w:t>
                  </w:r>
                  <w:r>
                    <w:rPr>
                      <w:spacing w:val="-15"/>
                      <w:w w:val="94"/>
                      <w:sz w:val="21"/>
                      <w:szCs w:val="21"/>
                    </w:rPr>
                    <w:t>对象</w:t>
                  </w:r>
                </w:p>
              </w:tc>
              <w:tc>
                <w:tcPr>
                  <w:tcW w:w="1488" w:type="dxa"/>
                  <w:vAlign w:val="top"/>
                </w:tcPr>
                <w:p w14:paraId="2D7C1D33">
                  <w:pPr>
                    <w:pStyle w:val="6"/>
                    <w:spacing w:before="174" w:line="221" w:lineRule="auto"/>
                    <w:ind w:left="310"/>
                    <w:rPr>
                      <w:sz w:val="21"/>
                      <w:szCs w:val="21"/>
                    </w:rPr>
                  </w:pPr>
                  <w:r>
                    <w:rPr>
                      <w:spacing w:val="-2"/>
                      <w:sz w:val="21"/>
                      <w:szCs w:val="21"/>
                    </w:rPr>
                    <w:t>监测点位</w:t>
                  </w:r>
                </w:p>
              </w:tc>
              <w:tc>
                <w:tcPr>
                  <w:tcW w:w="1338" w:type="dxa"/>
                  <w:vAlign w:val="top"/>
                </w:tcPr>
                <w:p w14:paraId="1B7974CA">
                  <w:pPr>
                    <w:pStyle w:val="6"/>
                    <w:spacing w:before="174" w:line="220" w:lineRule="auto"/>
                    <w:ind w:left="242"/>
                    <w:rPr>
                      <w:sz w:val="21"/>
                      <w:szCs w:val="21"/>
                    </w:rPr>
                  </w:pPr>
                  <w:r>
                    <w:rPr>
                      <w:spacing w:val="-2"/>
                      <w:sz w:val="21"/>
                      <w:szCs w:val="21"/>
                    </w:rPr>
                    <w:t>监测因子</w:t>
                  </w:r>
                </w:p>
              </w:tc>
              <w:tc>
                <w:tcPr>
                  <w:tcW w:w="1199" w:type="dxa"/>
                  <w:vAlign w:val="top"/>
                </w:tcPr>
                <w:p w14:paraId="2BDEBC2D">
                  <w:pPr>
                    <w:pStyle w:val="6"/>
                    <w:spacing w:before="54" w:line="210" w:lineRule="auto"/>
                    <w:ind w:left="375" w:right="62" w:hanging="310"/>
                    <w:rPr>
                      <w:sz w:val="21"/>
                      <w:szCs w:val="21"/>
                    </w:rPr>
                  </w:pPr>
                  <w:r>
                    <w:rPr>
                      <w:spacing w:val="2"/>
                      <w:sz w:val="21"/>
                      <w:szCs w:val="21"/>
                    </w:rPr>
                    <w:t>监测时间及</w:t>
                  </w:r>
                  <w:r>
                    <w:rPr>
                      <w:sz w:val="21"/>
                      <w:szCs w:val="21"/>
                    </w:rPr>
                    <w:t xml:space="preserve"> </w:t>
                  </w:r>
                  <w:r>
                    <w:rPr>
                      <w:spacing w:val="-3"/>
                      <w:sz w:val="21"/>
                      <w:szCs w:val="21"/>
                    </w:rPr>
                    <w:t>频率</w:t>
                  </w:r>
                </w:p>
              </w:tc>
              <w:tc>
                <w:tcPr>
                  <w:tcW w:w="1238" w:type="dxa"/>
                  <w:vAlign w:val="top"/>
                </w:tcPr>
                <w:p w14:paraId="74CCA00E">
                  <w:pPr>
                    <w:pStyle w:val="6"/>
                    <w:spacing w:before="174" w:line="221" w:lineRule="auto"/>
                    <w:ind w:left="196"/>
                    <w:rPr>
                      <w:sz w:val="21"/>
                      <w:szCs w:val="21"/>
                    </w:rPr>
                  </w:pPr>
                  <w:r>
                    <w:rPr>
                      <w:spacing w:val="-2"/>
                      <w:sz w:val="21"/>
                      <w:szCs w:val="21"/>
                    </w:rPr>
                    <w:t>监测方法</w:t>
                  </w:r>
                </w:p>
              </w:tc>
              <w:tc>
                <w:tcPr>
                  <w:tcW w:w="2382" w:type="dxa"/>
                  <w:vAlign w:val="top"/>
                </w:tcPr>
                <w:p w14:paraId="151AD253">
                  <w:pPr>
                    <w:pStyle w:val="6"/>
                    <w:spacing w:before="173" w:line="219" w:lineRule="auto"/>
                    <w:ind w:left="767"/>
                    <w:rPr>
                      <w:sz w:val="21"/>
                      <w:szCs w:val="21"/>
                    </w:rPr>
                  </w:pPr>
                  <w:r>
                    <w:rPr>
                      <w:spacing w:val="-2"/>
                      <w:sz w:val="21"/>
                      <w:szCs w:val="21"/>
                    </w:rPr>
                    <w:t>执行标准</w:t>
                  </w:r>
                </w:p>
              </w:tc>
            </w:tr>
            <w:tr w14:paraId="13B17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414" w:type="dxa"/>
                  <w:vAlign w:val="top"/>
                </w:tcPr>
                <w:p w14:paraId="1E1A3AE1">
                  <w:pPr>
                    <w:spacing w:line="242" w:lineRule="auto"/>
                    <w:rPr>
                      <w:rFonts w:ascii="Arial"/>
                      <w:sz w:val="21"/>
                    </w:rPr>
                  </w:pPr>
                </w:p>
                <w:p w14:paraId="6323AFDE">
                  <w:pPr>
                    <w:pStyle w:val="6"/>
                    <w:spacing w:before="68" w:line="220" w:lineRule="auto"/>
                    <w:jc w:val="right"/>
                    <w:rPr>
                      <w:sz w:val="21"/>
                      <w:szCs w:val="21"/>
                    </w:rPr>
                  </w:pPr>
                  <w:r>
                    <w:rPr>
                      <w:spacing w:val="-25"/>
                      <w:sz w:val="21"/>
                      <w:szCs w:val="21"/>
                    </w:rPr>
                    <w:t>生</w:t>
                  </w:r>
                  <w:r>
                    <w:rPr>
                      <w:spacing w:val="-9"/>
                      <w:sz w:val="21"/>
                      <w:szCs w:val="21"/>
                    </w:rPr>
                    <w:t>活</w:t>
                  </w:r>
                </w:p>
                <w:p w14:paraId="3BF092E2">
                  <w:pPr>
                    <w:pStyle w:val="6"/>
                    <w:spacing w:before="9" w:line="219" w:lineRule="auto"/>
                    <w:jc w:val="right"/>
                    <w:rPr>
                      <w:sz w:val="21"/>
                      <w:szCs w:val="21"/>
                    </w:rPr>
                  </w:pPr>
                  <w:r>
                    <w:rPr>
                      <w:spacing w:val="-22"/>
                      <w:sz w:val="21"/>
                      <w:szCs w:val="21"/>
                    </w:rPr>
                    <w:t>废</w:t>
                  </w:r>
                  <w:r>
                    <w:rPr>
                      <w:spacing w:val="-10"/>
                      <w:sz w:val="21"/>
                      <w:szCs w:val="21"/>
                    </w:rPr>
                    <w:t>水</w:t>
                  </w:r>
                </w:p>
              </w:tc>
              <w:tc>
                <w:tcPr>
                  <w:tcW w:w="1488" w:type="dxa"/>
                  <w:vAlign w:val="top"/>
                </w:tcPr>
                <w:p w14:paraId="18A29F79">
                  <w:pPr>
                    <w:pStyle w:val="6"/>
                    <w:spacing w:before="192" w:line="220" w:lineRule="auto"/>
                    <w:ind w:left="211"/>
                    <w:rPr>
                      <w:sz w:val="21"/>
                      <w:szCs w:val="21"/>
                    </w:rPr>
                  </w:pPr>
                  <w:r>
                    <w:rPr>
                      <w:spacing w:val="-3"/>
                      <w:sz w:val="21"/>
                      <w:szCs w:val="21"/>
                    </w:rPr>
                    <w:t>一体化生活</w:t>
                  </w:r>
                </w:p>
                <w:p w14:paraId="1DAAE102">
                  <w:pPr>
                    <w:pStyle w:val="6"/>
                    <w:spacing w:before="27" w:line="231" w:lineRule="auto"/>
                    <w:ind w:left="420" w:right="224" w:hanging="209"/>
                    <w:rPr>
                      <w:sz w:val="21"/>
                      <w:szCs w:val="21"/>
                    </w:rPr>
                  </w:pPr>
                  <w:r>
                    <w:rPr>
                      <w:spacing w:val="-2"/>
                      <w:sz w:val="21"/>
                      <w:szCs w:val="21"/>
                    </w:rPr>
                    <w:t>废水处理站</w:t>
                  </w:r>
                  <w:r>
                    <w:rPr>
                      <w:spacing w:val="1"/>
                      <w:sz w:val="21"/>
                      <w:szCs w:val="21"/>
                    </w:rPr>
                    <w:t xml:space="preserve"> </w:t>
                  </w:r>
                  <w:r>
                    <w:rPr>
                      <w:spacing w:val="10"/>
                      <w:sz w:val="21"/>
                      <w:szCs w:val="21"/>
                    </w:rPr>
                    <w:t>出水口</w:t>
                  </w:r>
                </w:p>
              </w:tc>
              <w:tc>
                <w:tcPr>
                  <w:tcW w:w="1338" w:type="dxa"/>
                  <w:vAlign w:val="top"/>
                </w:tcPr>
                <w:p w14:paraId="18555715">
                  <w:pPr>
                    <w:pStyle w:val="6"/>
                    <w:spacing w:before="229" w:line="230" w:lineRule="auto"/>
                    <w:ind w:left="13"/>
                    <w:rPr>
                      <w:sz w:val="20"/>
                      <w:szCs w:val="20"/>
                    </w:rPr>
                  </w:pPr>
                  <w:r>
                    <w:rPr>
                      <w:spacing w:val="-6"/>
                      <w:sz w:val="21"/>
                      <w:szCs w:val="21"/>
                    </w:rPr>
                    <w:t>pH、SS、COD、</w:t>
                  </w:r>
                  <w:r>
                    <w:rPr>
                      <w:spacing w:val="8"/>
                      <w:sz w:val="21"/>
                      <w:szCs w:val="21"/>
                    </w:rPr>
                    <w:t xml:space="preserve"> </w:t>
                  </w:r>
                  <w:r>
                    <w:rPr>
                      <w:spacing w:val="-3"/>
                      <w:sz w:val="20"/>
                      <w:szCs w:val="20"/>
                    </w:rPr>
                    <w:t>BOD</w:t>
                  </w:r>
                  <w:r>
                    <w:rPr>
                      <w:rFonts w:ascii="Calibri" w:hAnsi="Calibri" w:eastAsia="Calibri" w:cs="Calibri"/>
                      <w:spacing w:val="-3"/>
                      <w:sz w:val="20"/>
                      <w:szCs w:val="20"/>
                    </w:rPr>
                    <w:t>₅</w:t>
                  </w:r>
                  <w:r>
                    <w:rPr>
                      <w:spacing w:val="-3"/>
                      <w:sz w:val="20"/>
                      <w:szCs w:val="20"/>
                    </w:rPr>
                    <w:t>、NH</w:t>
                  </w:r>
                  <w:r>
                    <w:rPr>
                      <w:rFonts w:ascii="Calibri" w:hAnsi="Calibri" w:eastAsia="Calibri" w:cs="Calibri"/>
                      <w:spacing w:val="-3"/>
                      <w:sz w:val="20"/>
                      <w:szCs w:val="20"/>
                    </w:rPr>
                    <w:t>₃</w:t>
                  </w:r>
                  <w:r>
                    <w:rPr>
                      <w:spacing w:val="-3"/>
                      <w:sz w:val="20"/>
                      <w:szCs w:val="20"/>
                    </w:rPr>
                    <w:t>-N、</w:t>
                  </w:r>
                </w:p>
                <w:p w14:paraId="757AA01D">
                  <w:pPr>
                    <w:pStyle w:val="6"/>
                    <w:spacing w:line="219" w:lineRule="auto"/>
                    <w:jc w:val="right"/>
                    <w:rPr>
                      <w:sz w:val="19"/>
                      <w:szCs w:val="19"/>
                    </w:rPr>
                  </w:pPr>
                  <w:r>
                    <w:rPr>
                      <w:spacing w:val="-19"/>
                      <w:w w:val="96"/>
                      <w:sz w:val="19"/>
                      <w:szCs w:val="19"/>
                    </w:rPr>
                    <w:t>石油类、动植物油</w:t>
                  </w:r>
                </w:p>
              </w:tc>
              <w:tc>
                <w:tcPr>
                  <w:tcW w:w="1199" w:type="dxa"/>
                  <w:vAlign w:val="top"/>
                </w:tcPr>
                <w:p w14:paraId="1DC396E9">
                  <w:pPr>
                    <w:spacing w:line="371" w:lineRule="auto"/>
                    <w:rPr>
                      <w:rFonts w:ascii="Arial"/>
                      <w:sz w:val="21"/>
                    </w:rPr>
                  </w:pPr>
                </w:p>
                <w:p w14:paraId="7EC7A68E">
                  <w:pPr>
                    <w:pStyle w:val="6"/>
                    <w:spacing w:before="68" w:line="219" w:lineRule="auto"/>
                    <w:ind w:left="275"/>
                    <w:rPr>
                      <w:sz w:val="21"/>
                      <w:szCs w:val="21"/>
                    </w:rPr>
                  </w:pPr>
                  <w:r>
                    <w:rPr>
                      <w:spacing w:val="2"/>
                      <w:sz w:val="21"/>
                      <w:szCs w:val="21"/>
                    </w:rPr>
                    <w:t>1次/年</w:t>
                  </w:r>
                </w:p>
              </w:tc>
              <w:tc>
                <w:tcPr>
                  <w:tcW w:w="1238" w:type="dxa"/>
                  <w:vAlign w:val="top"/>
                </w:tcPr>
                <w:p w14:paraId="5664A78F">
                  <w:pPr>
                    <w:spacing w:line="262" w:lineRule="auto"/>
                    <w:rPr>
                      <w:rFonts w:ascii="Arial"/>
                      <w:sz w:val="21"/>
                    </w:rPr>
                  </w:pPr>
                </w:p>
                <w:p w14:paraId="7AE0C37A">
                  <w:pPr>
                    <w:pStyle w:val="6"/>
                    <w:spacing w:before="68" w:line="239" w:lineRule="auto"/>
                    <w:ind w:left="65" w:right="122" w:hanging="4"/>
                    <w:rPr>
                      <w:sz w:val="21"/>
                      <w:szCs w:val="21"/>
                    </w:rPr>
                  </w:pPr>
                  <w:r>
                    <w:rPr>
                      <w:spacing w:val="-2"/>
                      <w:sz w:val="21"/>
                      <w:szCs w:val="21"/>
                    </w:rPr>
                    <w:t>《污水监测</w:t>
                  </w:r>
                  <w:r>
                    <w:rPr>
                      <w:spacing w:val="3"/>
                      <w:sz w:val="21"/>
                      <w:szCs w:val="21"/>
                    </w:rPr>
                    <w:t xml:space="preserve"> </w:t>
                  </w:r>
                  <w:r>
                    <w:rPr>
                      <w:spacing w:val="-3"/>
                      <w:sz w:val="21"/>
                      <w:szCs w:val="21"/>
                    </w:rPr>
                    <w:t>技术规范》</w:t>
                  </w:r>
                </w:p>
              </w:tc>
              <w:tc>
                <w:tcPr>
                  <w:tcW w:w="2382" w:type="dxa"/>
                  <w:vAlign w:val="top"/>
                </w:tcPr>
                <w:p w14:paraId="2E8ADC99">
                  <w:pPr>
                    <w:pStyle w:val="6"/>
                    <w:spacing w:before="51" w:line="219" w:lineRule="auto"/>
                    <w:ind w:left="82"/>
                    <w:rPr>
                      <w:sz w:val="21"/>
                      <w:szCs w:val="21"/>
                    </w:rPr>
                  </w:pPr>
                  <w:r>
                    <w:rPr>
                      <w:spacing w:val="-2"/>
                      <w:sz w:val="21"/>
                      <w:szCs w:val="21"/>
                    </w:rPr>
                    <w:t>《城市污水再生利用城</w:t>
                  </w:r>
                </w:p>
                <w:p w14:paraId="5C8EA288">
                  <w:pPr>
                    <w:pStyle w:val="6"/>
                    <w:spacing w:before="30" w:line="219" w:lineRule="auto"/>
                    <w:ind w:left="497"/>
                    <w:rPr>
                      <w:sz w:val="21"/>
                      <w:szCs w:val="21"/>
                    </w:rPr>
                  </w:pPr>
                  <w:r>
                    <w:rPr>
                      <w:sz w:val="21"/>
                      <w:szCs w:val="21"/>
                    </w:rPr>
                    <w:t>市杂用水水质》</w:t>
                  </w:r>
                </w:p>
                <w:p w14:paraId="54227DC7">
                  <w:pPr>
                    <w:pStyle w:val="6"/>
                    <w:spacing w:before="30" w:line="211" w:lineRule="auto"/>
                    <w:ind w:left="28"/>
                    <w:rPr>
                      <w:sz w:val="21"/>
                      <w:szCs w:val="21"/>
                    </w:rPr>
                  </w:pPr>
                  <w:r>
                    <w:rPr>
                      <w:sz w:val="21"/>
                      <w:szCs w:val="21"/>
                    </w:rPr>
                    <w:t>(GB/T18920-2020)中“城</w:t>
                  </w:r>
                </w:p>
                <w:p w14:paraId="7745392B">
                  <w:pPr>
                    <w:pStyle w:val="6"/>
                    <w:spacing w:line="199" w:lineRule="auto"/>
                    <w:ind w:left="28"/>
                    <w:rPr>
                      <w:sz w:val="21"/>
                      <w:szCs w:val="21"/>
                    </w:rPr>
                  </w:pPr>
                  <w:r>
                    <w:rPr>
                      <w:sz w:val="21"/>
                      <w:szCs w:val="21"/>
                    </w:rPr>
                    <w:t>市绿化、道路清扫”标准</w:t>
                  </w:r>
                </w:p>
              </w:tc>
            </w:tr>
          </w:tbl>
          <w:p w14:paraId="0AE4D8E8">
            <w:pPr>
              <w:pStyle w:val="6"/>
              <w:spacing w:before="52" w:line="217" w:lineRule="auto"/>
              <w:ind w:left="570"/>
              <w:rPr>
                <w:sz w:val="24"/>
                <w:szCs w:val="24"/>
              </w:rPr>
            </w:pPr>
            <w:r>
              <w:rPr>
                <w:spacing w:val="1"/>
                <w:sz w:val="24"/>
                <w:szCs w:val="24"/>
              </w:rPr>
              <w:t>③电磁环境监测计划</w:t>
            </w:r>
          </w:p>
          <w:p w14:paraId="78693606">
            <w:pPr>
              <w:pStyle w:val="6"/>
              <w:spacing w:before="180" w:line="367" w:lineRule="auto"/>
              <w:ind w:left="91" w:right="163" w:firstLine="489"/>
              <w:rPr>
                <w:sz w:val="24"/>
                <w:szCs w:val="24"/>
              </w:rPr>
            </w:pPr>
            <w:r>
              <w:rPr>
                <w:sz w:val="24"/>
                <w:szCs w:val="24"/>
              </w:rPr>
              <w:t>根据项目的环境影响和环境管理要求，并结合《</w:t>
            </w:r>
            <w:r>
              <w:rPr>
                <w:spacing w:val="-1"/>
                <w:sz w:val="24"/>
                <w:szCs w:val="24"/>
              </w:rPr>
              <w:t>建设项目竣工环境保护验</w:t>
            </w:r>
            <w:r>
              <w:rPr>
                <w:sz w:val="24"/>
                <w:szCs w:val="24"/>
              </w:rPr>
              <w:t xml:space="preserve"> 收技术规范输变电》(HJ 705-2020),制定项目电磁辐射环境监测计划。</w:t>
            </w:r>
          </w:p>
          <w:p w14:paraId="2A6130DC">
            <w:pPr>
              <w:pStyle w:val="6"/>
              <w:spacing w:before="2" w:line="199" w:lineRule="auto"/>
              <w:ind w:left="2034"/>
              <w:rPr>
                <w:sz w:val="24"/>
                <w:szCs w:val="24"/>
              </w:rPr>
            </w:pPr>
            <w:r>
              <w:rPr>
                <w:b/>
                <w:bCs/>
                <w:spacing w:val="-6"/>
                <w:sz w:val="24"/>
                <w:szCs w:val="24"/>
              </w:rPr>
              <w:t>表5-5</w:t>
            </w:r>
            <w:r>
              <w:rPr>
                <w:spacing w:val="14"/>
                <w:sz w:val="24"/>
                <w:szCs w:val="24"/>
              </w:rPr>
              <w:t xml:space="preserve">    </w:t>
            </w:r>
            <w:r>
              <w:rPr>
                <w:b/>
                <w:bCs/>
                <w:spacing w:val="-6"/>
                <w:sz w:val="24"/>
                <w:szCs w:val="24"/>
              </w:rPr>
              <w:t>电磁辐射监测计划及监测内容</w:t>
            </w:r>
          </w:p>
          <w:tbl>
            <w:tblPr>
              <w:tblStyle w:val="5"/>
              <w:tblW w:w="8079" w:type="dxa"/>
              <w:tblInd w:w="1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1488"/>
              <w:gridCol w:w="2537"/>
              <w:gridCol w:w="1658"/>
              <w:gridCol w:w="1982"/>
            </w:tblGrid>
            <w:tr w14:paraId="6B122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414" w:type="dxa"/>
                  <w:vAlign w:val="top"/>
                </w:tcPr>
                <w:p w14:paraId="22BFAF6B">
                  <w:pPr>
                    <w:pStyle w:val="6"/>
                    <w:spacing w:before="63" w:line="220" w:lineRule="auto"/>
                    <w:jc w:val="right"/>
                    <w:rPr>
                      <w:sz w:val="21"/>
                      <w:szCs w:val="21"/>
                    </w:rPr>
                  </w:pPr>
                  <w:r>
                    <w:rPr>
                      <w:spacing w:val="-16"/>
                      <w:sz w:val="21"/>
                      <w:szCs w:val="21"/>
                    </w:rPr>
                    <w:t>项目</w:t>
                  </w:r>
                </w:p>
              </w:tc>
              <w:tc>
                <w:tcPr>
                  <w:tcW w:w="1488" w:type="dxa"/>
                  <w:vAlign w:val="top"/>
                </w:tcPr>
                <w:p w14:paraId="2CA97D93">
                  <w:pPr>
                    <w:pStyle w:val="6"/>
                    <w:spacing w:before="63" w:line="220" w:lineRule="auto"/>
                    <w:ind w:left="310"/>
                    <w:rPr>
                      <w:sz w:val="21"/>
                      <w:szCs w:val="21"/>
                    </w:rPr>
                  </w:pPr>
                  <w:r>
                    <w:rPr>
                      <w:spacing w:val="-2"/>
                      <w:sz w:val="21"/>
                      <w:szCs w:val="21"/>
                    </w:rPr>
                    <w:t>监测因子</w:t>
                  </w:r>
                </w:p>
              </w:tc>
              <w:tc>
                <w:tcPr>
                  <w:tcW w:w="2537" w:type="dxa"/>
                  <w:vAlign w:val="top"/>
                </w:tcPr>
                <w:p w14:paraId="4715CF0D">
                  <w:pPr>
                    <w:pStyle w:val="6"/>
                    <w:spacing w:before="63" w:line="219" w:lineRule="auto"/>
                    <w:ind w:left="522"/>
                    <w:rPr>
                      <w:sz w:val="21"/>
                      <w:szCs w:val="21"/>
                    </w:rPr>
                  </w:pPr>
                  <w:r>
                    <w:rPr>
                      <w:spacing w:val="-2"/>
                      <w:sz w:val="21"/>
                      <w:szCs w:val="21"/>
                    </w:rPr>
                    <w:t>监测点位及数量</w:t>
                  </w:r>
                </w:p>
              </w:tc>
              <w:tc>
                <w:tcPr>
                  <w:tcW w:w="1658" w:type="dxa"/>
                  <w:vAlign w:val="top"/>
                </w:tcPr>
                <w:p w14:paraId="41447AE3">
                  <w:pPr>
                    <w:pStyle w:val="6"/>
                    <w:spacing w:before="64" w:line="219" w:lineRule="auto"/>
                    <w:ind w:left="405"/>
                    <w:rPr>
                      <w:sz w:val="21"/>
                      <w:szCs w:val="21"/>
                    </w:rPr>
                  </w:pPr>
                  <w:r>
                    <w:rPr>
                      <w:spacing w:val="-2"/>
                      <w:sz w:val="21"/>
                      <w:szCs w:val="21"/>
                    </w:rPr>
                    <w:t>监测方法</w:t>
                  </w:r>
                </w:p>
              </w:tc>
              <w:tc>
                <w:tcPr>
                  <w:tcW w:w="1982" w:type="dxa"/>
                  <w:vAlign w:val="top"/>
                </w:tcPr>
                <w:p w14:paraId="47CCACC4">
                  <w:pPr>
                    <w:pStyle w:val="6"/>
                    <w:spacing w:before="63" w:line="219" w:lineRule="auto"/>
                    <w:ind w:left="567"/>
                    <w:rPr>
                      <w:sz w:val="21"/>
                      <w:szCs w:val="21"/>
                    </w:rPr>
                  </w:pPr>
                  <w:r>
                    <w:rPr>
                      <w:spacing w:val="-2"/>
                      <w:sz w:val="21"/>
                      <w:szCs w:val="21"/>
                    </w:rPr>
                    <w:t>监测频次</w:t>
                  </w:r>
                </w:p>
              </w:tc>
            </w:tr>
            <w:tr w14:paraId="7EB0F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6" w:hRule="atLeast"/>
              </w:trPr>
              <w:tc>
                <w:tcPr>
                  <w:tcW w:w="414" w:type="dxa"/>
                  <w:vAlign w:val="top"/>
                </w:tcPr>
                <w:p w14:paraId="273BECEA">
                  <w:pPr>
                    <w:spacing w:line="391" w:lineRule="auto"/>
                    <w:rPr>
                      <w:rFonts w:ascii="Arial"/>
                      <w:sz w:val="21"/>
                    </w:rPr>
                  </w:pPr>
                </w:p>
                <w:p w14:paraId="1EDD47B7">
                  <w:pPr>
                    <w:pStyle w:val="6"/>
                    <w:spacing w:before="68" w:line="238" w:lineRule="auto"/>
                    <w:ind w:left="15"/>
                    <w:jc w:val="both"/>
                    <w:rPr>
                      <w:sz w:val="21"/>
                      <w:szCs w:val="21"/>
                    </w:rPr>
                  </w:pPr>
                  <w:r>
                    <w:rPr>
                      <w:spacing w:val="-18"/>
                      <w:w w:val="95"/>
                      <w:sz w:val="21"/>
                      <w:szCs w:val="21"/>
                    </w:rPr>
                    <w:t>工频</w:t>
                  </w:r>
                  <w:r>
                    <w:rPr>
                      <w:spacing w:val="2"/>
                      <w:sz w:val="21"/>
                      <w:szCs w:val="21"/>
                    </w:rPr>
                    <w:t xml:space="preserve"> </w:t>
                  </w:r>
                  <w:r>
                    <w:rPr>
                      <w:spacing w:val="-18"/>
                      <w:w w:val="95"/>
                      <w:sz w:val="21"/>
                      <w:szCs w:val="21"/>
                    </w:rPr>
                    <w:t>电场</w:t>
                  </w:r>
                  <w:r>
                    <w:rPr>
                      <w:spacing w:val="1"/>
                      <w:sz w:val="21"/>
                      <w:szCs w:val="21"/>
                    </w:rPr>
                    <w:t xml:space="preserve"> </w:t>
                  </w:r>
                  <w:r>
                    <w:rPr>
                      <w:spacing w:val="-18"/>
                      <w:w w:val="95"/>
                      <w:sz w:val="21"/>
                      <w:szCs w:val="21"/>
                    </w:rPr>
                    <w:t>工频</w:t>
                  </w:r>
                  <w:r>
                    <w:rPr>
                      <w:spacing w:val="2"/>
                      <w:sz w:val="21"/>
                      <w:szCs w:val="21"/>
                    </w:rPr>
                    <w:t xml:space="preserve"> </w:t>
                  </w:r>
                  <w:r>
                    <w:rPr>
                      <w:spacing w:val="-18"/>
                      <w:sz w:val="21"/>
                      <w:szCs w:val="21"/>
                    </w:rPr>
                    <w:t>磁</w:t>
                  </w:r>
                  <w:r>
                    <w:rPr>
                      <w:spacing w:val="-14"/>
                      <w:sz w:val="21"/>
                      <w:szCs w:val="21"/>
                    </w:rPr>
                    <w:t>场</w:t>
                  </w:r>
                </w:p>
              </w:tc>
              <w:tc>
                <w:tcPr>
                  <w:tcW w:w="1488" w:type="dxa"/>
                  <w:vAlign w:val="top"/>
                </w:tcPr>
                <w:p w14:paraId="5CED8FC7">
                  <w:pPr>
                    <w:spacing w:line="329" w:lineRule="auto"/>
                    <w:rPr>
                      <w:rFonts w:ascii="Arial"/>
                      <w:sz w:val="21"/>
                    </w:rPr>
                  </w:pPr>
                </w:p>
                <w:p w14:paraId="5B8D7196">
                  <w:pPr>
                    <w:spacing w:line="330" w:lineRule="auto"/>
                    <w:rPr>
                      <w:rFonts w:ascii="Arial"/>
                      <w:sz w:val="21"/>
                    </w:rPr>
                  </w:pPr>
                </w:p>
                <w:p w14:paraId="302FDA15">
                  <w:pPr>
                    <w:pStyle w:val="6"/>
                    <w:spacing w:before="68" w:line="248" w:lineRule="auto"/>
                    <w:ind w:left="211" w:right="204" w:firstLine="99"/>
                    <w:rPr>
                      <w:sz w:val="21"/>
                      <w:szCs w:val="21"/>
                    </w:rPr>
                  </w:pPr>
                  <w:r>
                    <w:rPr>
                      <w:spacing w:val="3"/>
                      <w:sz w:val="21"/>
                      <w:szCs w:val="21"/>
                    </w:rPr>
                    <w:t>电场强度</w:t>
                  </w:r>
                  <w:r>
                    <w:rPr>
                      <w:sz w:val="21"/>
                      <w:szCs w:val="21"/>
                    </w:rPr>
                    <w:t xml:space="preserve">  </w:t>
                  </w:r>
                  <w:r>
                    <w:rPr>
                      <w:spacing w:val="2"/>
                      <w:sz w:val="21"/>
                      <w:szCs w:val="21"/>
                    </w:rPr>
                    <w:t>磁感应强度</w:t>
                  </w:r>
                </w:p>
              </w:tc>
              <w:tc>
                <w:tcPr>
                  <w:tcW w:w="2537" w:type="dxa"/>
                  <w:vAlign w:val="top"/>
                </w:tcPr>
                <w:p w14:paraId="40D498A3">
                  <w:pPr>
                    <w:spacing w:line="399" w:lineRule="auto"/>
                    <w:rPr>
                      <w:rFonts w:ascii="Arial"/>
                      <w:sz w:val="21"/>
                    </w:rPr>
                  </w:pPr>
                </w:p>
                <w:p w14:paraId="1BB86924">
                  <w:pPr>
                    <w:pStyle w:val="6"/>
                    <w:spacing w:before="68" w:line="220" w:lineRule="auto"/>
                    <w:jc w:val="right"/>
                    <w:rPr>
                      <w:sz w:val="21"/>
                      <w:szCs w:val="21"/>
                    </w:rPr>
                  </w:pPr>
                  <w:r>
                    <w:rPr>
                      <w:spacing w:val="-1"/>
                      <w:sz w:val="21"/>
                      <w:szCs w:val="21"/>
                    </w:rPr>
                    <w:t>110kV升压站厂界四周各设1</w:t>
                  </w:r>
                </w:p>
                <w:p w14:paraId="539ABBD9">
                  <w:pPr>
                    <w:pStyle w:val="6"/>
                    <w:spacing w:before="10" w:line="221" w:lineRule="auto"/>
                    <w:ind w:left="782"/>
                    <w:rPr>
                      <w:sz w:val="21"/>
                      <w:szCs w:val="21"/>
                    </w:rPr>
                  </w:pPr>
                  <w:r>
                    <w:rPr>
                      <w:sz w:val="21"/>
                      <w:szCs w:val="21"/>
                    </w:rPr>
                    <w:t>处监测点。</w:t>
                  </w:r>
                </w:p>
                <w:p w14:paraId="79BBF8C1">
                  <w:pPr>
                    <w:pStyle w:val="6"/>
                    <w:spacing w:before="27" w:line="220" w:lineRule="auto"/>
                    <w:jc w:val="right"/>
                    <w:rPr>
                      <w:sz w:val="21"/>
                      <w:szCs w:val="21"/>
                    </w:rPr>
                  </w:pPr>
                  <w:r>
                    <w:rPr>
                      <w:spacing w:val="-8"/>
                      <w:sz w:val="21"/>
                      <w:szCs w:val="21"/>
                    </w:rPr>
                    <w:t>110kV升压站出线间隔厂界设</w:t>
                  </w:r>
                </w:p>
                <w:p w14:paraId="4F48083E">
                  <w:pPr>
                    <w:pStyle w:val="6"/>
                    <w:spacing w:before="19" w:line="219" w:lineRule="auto"/>
                    <w:ind w:left="263"/>
                    <w:rPr>
                      <w:sz w:val="21"/>
                      <w:szCs w:val="21"/>
                    </w:rPr>
                  </w:pPr>
                  <w:r>
                    <w:rPr>
                      <w:spacing w:val="-1"/>
                      <w:sz w:val="21"/>
                      <w:szCs w:val="21"/>
                    </w:rPr>
                    <w:t>一处衰减断面监测点。</w:t>
                  </w:r>
                </w:p>
              </w:tc>
              <w:tc>
                <w:tcPr>
                  <w:tcW w:w="1658" w:type="dxa"/>
                  <w:vAlign w:val="top"/>
                </w:tcPr>
                <w:p w14:paraId="394616CD">
                  <w:pPr>
                    <w:spacing w:line="409" w:lineRule="auto"/>
                    <w:rPr>
                      <w:rFonts w:ascii="Arial"/>
                      <w:sz w:val="21"/>
                    </w:rPr>
                  </w:pPr>
                </w:p>
                <w:p w14:paraId="4394CF56">
                  <w:pPr>
                    <w:pStyle w:val="6"/>
                    <w:spacing w:before="68" w:line="219" w:lineRule="auto"/>
                    <w:ind w:left="30"/>
                    <w:rPr>
                      <w:sz w:val="21"/>
                      <w:szCs w:val="21"/>
                    </w:rPr>
                  </w:pPr>
                  <w:r>
                    <w:rPr>
                      <w:sz w:val="21"/>
                      <w:szCs w:val="21"/>
                    </w:rPr>
                    <w:t>《交流输变电工</w:t>
                  </w:r>
                </w:p>
                <w:p w14:paraId="7F301794">
                  <w:pPr>
                    <w:pStyle w:val="6"/>
                    <w:spacing w:before="31" w:line="220" w:lineRule="auto"/>
                    <w:ind w:left="85"/>
                    <w:rPr>
                      <w:sz w:val="21"/>
                      <w:szCs w:val="21"/>
                    </w:rPr>
                  </w:pPr>
                  <w:r>
                    <w:rPr>
                      <w:spacing w:val="2"/>
                      <w:sz w:val="21"/>
                      <w:szCs w:val="21"/>
                    </w:rPr>
                    <w:t>程电磁环境监测</w:t>
                  </w:r>
                </w:p>
                <w:p w14:paraId="64C82084">
                  <w:pPr>
                    <w:pStyle w:val="6"/>
                    <w:spacing w:before="17" w:line="218" w:lineRule="auto"/>
                    <w:ind w:left="35"/>
                    <w:rPr>
                      <w:sz w:val="21"/>
                      <w:szCs w:val="21"/>
                    </w:rPr>
                  </w:pPr>
                  <w:r>
                    <w:rPr>
                      <w:spacing w:val="-1"/>
                      <w:sz w:val="21"/>
                      <w:szCs w:val="21"/>
                    </w:rPr>
                    <w:t>方法(试行)》(HJ</w:t>
                  </w:r>
                </w:p>
                <w:p w14:paraId="452BF35B">
                  <w:pPr>
                    <w:pStyle w:val="6"/>
                    <w:spacing w:before="17" w:line="222" w:lineRule="auto"/>
                    <w:ind w:left="345"/>
                    <w:rPr>
                      <w:sz w:val="21"/>
                      <w:szCs w:val="21"/>
                    </w:rPr>
                  </w:pPr>
                  <w:r>
                    <w:rPr>
                      <w:spacing w:val="-2"/>
                      <w:sz w:val="21"/>
                      <w:szCs w:val="21"/>
                    </w:rPr>
                    <w:t>681-2013)</w:t>
                  </w:r>
                </w:p>
              </w:tc>
              <w:tc>
                <w:tcPr>
                  <w:tcW w:w="1982" w:type="dxa"/>
                  <w:vAlign w:val="top"/>
                </w:tcPr>
                <w:p w14:paraId="20ADE5AF">
                  <w:pPr>
                    <w:pStyle w:val="6"/>
                    <w:spacing w:before="59" w:line="219" w:lineRule="auto"/>
                    <w:ind w:left="37"/>
                    <w:rPr>
                      <w:sz w:val="21"/>
                      <w:szCs w:val="21"/>
                    </w:rPr>
                  </w:pPr>
                  <w:r>
                    <w:rPr>
                      <w:spacing w:val="1"/>
                      <w:sz w:val="21"/>
                      <w:szCs w:val="21"/>
                    </w:rPr>
                    <w:t>工程正式投产运行后</w:t>
                  </w:r>
                </w:p>
                <w:p w14:paraId="61B10E7B">
                  <w:pPr>
                    <w:pStyle w:val="6"/>
                    <w:spacing w:before="10" w:line="219" w:lineRule="auto"/>
                    <w:ind w:left="37"/>
                    <w:rPr>
                      <w:sz w:val="21"/>
                      <w:szCs w:val="21"/>
                    </w:rPr>
                  </w:pPr>
                  <w:r>
                    <w:rPr>
                      <w:spacing w:val="-1"/>
                      <w:sz w:val="21"/>
                      <w:szCs w:val="21"/>
                    </w:rPr>
                    <w:t>验收时监测一次，运</w:t>
                  </w:r>
                </w:p>
                <w:p w14:paraId="738AF348">
                  <w:pPr>
                    <w:pStyle w:val="6"/>
                    <w:spacing w:before="41" w:line="220" w:lineRule="auto"/>
                    <w:ind w:left="37"/>
                    <w:rPr>
                      <w:sz w:val="21"/>
                      <w:szCs w:val="21"/>
                    </w:rPr>
                  </w:pPr>
                  <w:r>
                    <w:rPr>
                      <w:sz w:val="21"/>
                      <w:szCs w:val="21"/>
                    </w:rPr>
                    <w:t>营期间针对工程变化</w:t>
                  </w:r>
                </w:p>
                <w:p w14:paraId="23E6AFBB">
                  <w:pPr>
                    <w:pStyle w:val="6"/>
                    <w:spacing w:before="9" w:line="220" w:lineRule="auto"/>
                    <w:ind w:left="148"/>
                    <w:rPr>
                      <w:sz w:val="21"/>
                      <w:szCs w:val="21"/>
                    </w:rPr>
                  </w:pPr>
                  <w:r>
                    <w:rPr>
                      <w:spacing w:val="-2"/>
                      <w:sz w:val="21"/>
                      <w:szCs w:val="21"/>
                    </w:rPr>
                    <w:t>或投诉情况进行监</w:t>
                  </w:r>
                </w:p>
                <w:p w14:paraId="08578953">
                  <w:pPr>
                    <w:pStyle w:val="6"/>
                    <w:spacing w:before="20" w:line="220" w:lineRule="auto"/>
                    <w:ind w:left="37"/>
                    <w:rPr>
                      <w:sz w:val="21"/>
                      <w:szCs w:val="21"/>
                    </w:rPr>
                  </w:pPr>
                  <w:r>
                    <w:rPr>
                      <w:spacing w:val="-1"/>
                      <w:sz w:val="21"/>
                      <w:szCs w:val="21"/>
                    </w:rPr>
                    <w:t>测；例行环境监测计</w:t>
                  </w:r>
                </w:p>
                <w:p w14:paraId="406F138C">
                  <w:pPr>
                    <w:pStyle w:val="6"/>
                    <w:spacing w:before="19" w:line="219" w:lineRule="auto"/>
                    <w:ind w:left="37"/>
                    <w:rPr>
                      <w:sz w:val="21"/>
                      <w:szCs w:val="21"/>
                    </w:rPr>
                  </w:pPr>
                  <w:r>
                    <w:rPr>
                      <w:spacing w:val="-1"/>
                      <w:sz w:val="21"/>
                      <w:szCs w:val="21"/>
                    </w:rPr>
                    <w:t>划或生态环境主管部</w:t>
                  </w:r>
                </w:p>
                <w:p w14:paraId="7737F785">
                  <w:pPr>
                    <w:pStyle w:val="6"/>
                    <w:spacing w:before="42" w:line="181" w:lineRule="auto"/>
                    <w:jc w:val="right"/>
                    <w:rPr>
                      <w:sz w:val="21"/>
                      <w:szCs w:val="21"/>
                    </w:rPr>
                  </w:pPr>
                  <w:r>
                    <w:rPr>
                      <w:spacing w:val="-1"/>
                      <w:sz w:val="21"/>
                      <w:szCs w:val="21"/>
                    </w:rPr>
                    <w:t>门要求时进行监测。</w:t>
                  </w:r>
                </w:p>
              </w:tc>
            </w:tr>
          </w:tbl>
          <w:p w14:paraId="77B059E6">
            <w:pPr>
              <w:pStyle w:val="6"/>
              <w:spacing w:before="25" w:line="219" w:lineRule="auto"/>
              <w:ind w:left="691"/>
              <w:rPr>
                <w:sz w:val="24"/>
                <w:szCs w:val="24"/>
              </w:rPr>
            </w:pPr>
            <w:r>
              <w:rPr>
                <w:spacing w:val="2"/>
                <w:sz w:val="24"/>
                <w:szCs w:val="24"/>
              </w:rPr>
              <w:t>(5)水土保持监测</w:t>
            </w:r>
          </w:p>
          <w:p w14:paraId="2D1C8090">
            <w:pPr>
              <w:pStyle w:val="6"/>
              <w:spacing w:before="192" w:line="341" w:lineRule="auto"/>
              <w:ind w:left="131" w:firstLine="445"/>
              <w:rPr>
                <w:sz w:val="24"/>
                <w:szCs w:val="24"/>
              </w:rPr>
            </w:pPr>
            <w:r>
              <w:rPr>
                <w:spacing w:val="-3"/>
                <w:sz w:val="24"/>
                <w:szCs w:val="24"/>
              </w:rPr>
              <w:t>水土保持监测以《曲靖市陆良县栗树园光伏发电项目水土保持方案报告书》</w:t>
            </w:r>
            <w:r>
              <w:rPr>
                <w:spacing w:val="16"/>
                <w:sz w:val="24"/>
                <w:szCs w:val="24"/>
              </w:rPr>
              <w:t xml:space="preserve"> </w:t>
            </w:r>
            <w:r>
              <w:rPr>
                <w:spacing w:val="-3"/>
                <w:sz w:val="24"/>
                <w:szCs w:val="24"/>
              </w:rPr>
              <w:t>中的水保监测内容为主。</w:t>
            </w:r>
          </w:p>
        </w:tc>
      </w:tr>
      <w:tr w14:paraId="537E1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9" w:hRule="atLeast"/>
        </w:trPr>
        <w:tc>
          <w:tcPr>
            <w:tcW w:w="764" w:type="dxa"/>
            <w:vMerge w:val="restart"/>
            <w:tcBorders>
              <w:bottom w:val="nil"/>
            </w:tcBorders>
            <w:vAlign w:val="top"/>
          </w:tcPr>
          <w:p w14:paraId="217BCA5D">
            <w:pPr>
              <w:spacing w:line="265" w:lineRule="auto"/>
              <w:rPr>
                <w:rFonts w:ascii="Arial"/>
                <w:sz w:val="21"/>
              </w:rPr>
            </w:pPr>
          </w:p>
          <w:p w14:paraId="18A83968">
            <w:pPr>
              <w:spacing w:line="266" w:lineRule="auto"/>
              <w:rPr>
                <w:rFonts w:ascii="Arial"/>
                <w:sz w:val="21"/>
              </w:rPr>
            </w:pPr>
          </w:p>
          <w:p w14:paraId="32C7A42B">
            <w:pPr>
              <w:spacing w:line="266" w:lineRule="auto"/>
              <w:rPr>
                <w:rFonts w:ascii="Arial"/>
                <w:sz w:val="21"/>
              </w:rPr>
            </w:pPr>
          </w:p>
          <w:p w14:paraId="52B9C716">
            <w:pPr>
              <w:spacing w:line="266" w:lineRule="auto"/>
              <w:rPr>
                <w:rFonts w:ascii="Arial"/>
                <w:sz w:val="21"/>
              </w:rPr>
            </w:pPr>
          </w:p>
          <w:p w14:paraId="28191BAA">
            <w:pPr>
              <w:spacing w:line="266" w:lineRule="auto"/>
              <w:rPr>
                <w:rFonts w:ascii="Arial"/>
                <w:sz w:val="21"/>
              </w:rPr>
            </w:pPr>
          </w:p>
          <w:p w14:paraId="70F8E51B">
            <w:pPr>
              <w:spacing w:line="266" w:lineRule="auto"/>
              <w:rPr>
                <w:rFonts w:ascii="Arial"/>
                <w:sz w:val="21"/>
              </w:rPr>
            </w:pPr>
          </w:p>
          <w:p w14:paraId="4CEF2125">
            <w:pPr>
              <w:spacing w:line="266" w:lineRule="auto"/>
              <w:rPr>
                <w:rFonts w:ascii="Arial"/>
                <w:sz w:val="21"/>
              </w:rPr>
            </w:pPr>
          </w:p>
          <w:p w14:paraId="0569DD04">
            <w:pPr>
              <w:spacing w:line="266" w:lineRule="auto"/>
              <w:rPr>
                <w:rFonts w:ascii="Arial"/>
                <w:sz w:val="21"/>
              </w:rPr>
            </w:pPr>
          </w:p>
          <w:p w14:paraId="15D13842">
            <w:pPr>
              <w:spacing w:line="266" w:lineRule="auto"/>
              <w:rPr>
                <w:rFonts w:ascii="Arial"/>
                <w:sz w:val="21"/>
              </w:rPr>
            </w:pPr>
          </w:p>
          <w:p w14:paraId="23A301B1">
            <w:pPr>
              <w:pStyle w:val="6"/>
              <w:spacing w:before="78" w:line="214" w:lineRule="auto"/>
              <w:ind w:left="135" w:right="121"/>
              <w:rPr>
                <w:sz w:val="24"/>
                <w:szCs w:val="24"/>
              </w:rPr>
            </w:pPr>
            <w:r>
              <w:rPr>
                <w:spacing w:val="-5"/>
                <w:sz w:val="24"/>
                <w:szCs w:val="24"/>
              </w:rPr>
              <w:t>环保</w:t>
            </w:r>
            <w:r>
              <w:rPr>
                <w:sz w:val="24"/>
                <w:szCs w:val="24"/>
              </w:rPr>
              <w:t xml:space="preserve"> </w:t>
            </w:r>
            <w:r>
              <w:rPr>
                <w:spacing w:val="8"/>
                <w:sz w:val="24"/>
                <w:szCs w:val="24"/>
              </w:rPr>
              <w:t>投资</w:t>
            </w:r>
          </w:p>
        </w:tc>
        <w:tc>
          <w:tcPr>
            <w:tcW w:w="8425" w:type="dxa"/>
            <w:gridSpan w:val="9"/>
            <w:vAlign w:val="top"/>
          </w:tcPr>
          <w:p w14:paraId="2B05C13F">
            <w:pPr>
              <w:pStyle w:val="6"/>
              <w:spacing w:before="34" w:line="358" w:lineRule="auto"/>
              <w:ind w:left="101" w:right="19" w:firstLine="479"/>
              <w:jc w:val="both"/>
              <w:rPr>
                <w:sz w:val="24"/>
                <w:szCs w:val="24"/>
              </w:rPr>
            </w:pPr>
            <w:r>
              <w:rPr>
                <w:sz w:val="24"/>
                <w:szCs w:val="24"/>
              </w:rPr>
              <w:t>本工程总投资为20000万元。根据本评价估算，本次环保投资费用为371.65</w:t>
            </w:r>
            <w:r>
              <w:rPr>
                <w:spacing w:val="13"/>
                <w:sz w:val="24"/>
                <w:szCs w:val="24"/>
              </w:rPr>
              <w:t xml:space="preserve"> </w:t>
            </w:r>
            <w:r>
              <w:rPr>
                <w:sz w:val="24"/>
                <w:szCs w:val="24"/>
              </w:rPr>
              <w:t>万元。本次环保投资占总投资的比例为1.86%。建设项目环保投资分项估算情况</w:t>
            </w:r>
            <w:r>
              <w:rPr>
                <w:spacing w:val="9"/>
                <w:sz w:val="24"/>
                <w:szCs w:val="24"/>
              </w:rPr>
              <w:t xml:space="preserve"> </w:t>
            </w:r>
            <w:r>
              <w:rPr>
                <w:spacing w:val="1"/>
                <w:sz w:val="24"/>
                <w:szCs w:val="24"/>
              </w:rPr>
              <w:t>详见表5-6。</w:t>
            </w:r>
          </w:p>
          <w:p w14:paraId="03F7BC37">
            <w:pPr>
              <w:pStyle w:val="6"/>
              <w:spacing w:line="206" w:lineRule="auto"/>
              <w:ind w:left="2024"/>
              <w:rPr>
                <w:sz w:val="24"/>
                <w:szCs w:val="24"/>
              </w:rPr>
            </w:pPr>
            <w:r>
              <w:rPr>
                <w:b/>
                <w:bCs/>
                <w:spacing w:val="-3"/>
                <w:sz w:val="24"/>
                <w:szCs w:val="24"/>
              </w:rPr>
              <w:t>表5-6建设项目环保投资分项估算情况</w:t>
            </w:r>
          </w:p>
        </w:tc>
      </w:tr>
      <w:tr w14:paraId="2E356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64" w:type="dxa"/>
            <w:vMerge w:val="continue"/>
            <w:tcBorders>
              <w:top w:val="nil"/>
              <w:bottom w:val="nil"/>
            </w:tcBorders>
            <w:vAlign w:val="top"/>
          </w:tcPr>
          <w:p w14:paraId="61B9EE55">
            <w:pPr>
              <w:rPr>
                <w:rFonts w:ascii="Arial"/>
                <w:sz w:val="21"/>
              </w:rPr>
            </w:pPr>
          </w:p>
        </w:tc>
        <w:tc>
          <w:tcPr>
            <w:tcW w:w="110" w:type="dxa"/>
            <w:tcBorders>
              <w:bottom w:val="nil"/>
            </w:tcBorders>
            <w:vAlign w:val="top"/>
          </w:tcPr>
          <w:p w14:paraId="0CB40056">
            <w:pPr>
              <w:rPr>
                <w:rFonts w:ascii="Arial"/>
                <w:sz w:val="21"/>
              </w:rPr>
            </w:pPr>
          </w:p>
        </w:tc>
        <w:tc>
          <w:tcPr>
            <w:tcW w:w="1268" w:type="dxa"/>
            <w:gridSpan w:val="2"/>
            <w:vAlign w:val="top"/>
          </w:tcPr>
          <w:p w14:paraId="42D7FFB3">
            <w:pPr>
              <w:pStyle w:val="6"/>
              <w:spacing w:before="24" w:line="213" w:lineRule="auto"/>
              <w:ind w:left="440" w:right="441"/>
              <w:rPr>
                <w:sz w:val="18"/>
                <w:szCs w:val="18"/>
              </w:rPr>
            </w:pPr>
            <w:r>
              <w:rPr>
                <w:spacing w:val="7"/>
                <w:sz w:val="18"/>
                <w:szCs w:val="18"/>
              </w:rPr>
              <w:t>防治</w:t>
            </w:r>
            <w:r>
              <w:rPr>
                <w:sz w:val="18"/>
                <w:szCs w:val="18"/>
              </w:rPr>
              <w:t xml:space="preserve"> </w:t>
            </w:r>
            <w:r>
              <w:rPr>
                <w:spacing w:val="-2"/>
                <w:sz w:val="18"/>
                <w:szCs w:val="18"/>
              </w:rPr>
              <w:t>对象</w:t>
            </w:r>
          </w:p>
        </w:tc>
        <w:tc>
          <w:tcPr>
            <w:tcW w:w="629" w:type="dxa"/>
            <w:vAlign w:val="top"/>
          </w:tcPr>
          <w:p w14:paraId="6A6C79CD">
            <w:pPr>
              <w:pStyle w:val="6"/>
              <w:spacing w:before="145" w:line="221" w:lineRule="auto"/>
              <w:ind w:left="123"/>
              <w:rPr>
                <w:sz w:val="18"/>
                <w:szCs w:val="18"/>
              </w:rPr>
            </w:pPr>
            <w:r>
              <w:rPr>
                <w:spacing w:val="-2"/>
                <w:sz w:val="18"/>
                <w:szCs w:val="18"/>
              </w:rPr>
              <w:t>序号</w:t>
            </w:r>
          </w:p>
        </w:tc>
        <w:tc>
          <w:tcPr>
            <w:tcW w:w="2487" w:type="dxa"/>
            <w:vAlign w:val="top"/>
          </w:tcPr>
          <w:p w14:paraId="5C8F530D">
            <w:pPr>
              <w:pStyle w:val="6"/>
              <w:spacing w:before="144" w:line="219" w:lineRule="auto"/>
              <w:ind w:left="874"/>
              <w:rPr>
                <w:sz w:val="18"/>
                <w:szCs w:val="18"/>
              </w:rPr>
            </w:pPr>
            <w:r>
              <w:rPr>
                <w:spacing w:val="-2"/>
                <w:sz w:val="18"/>
                <w:szCs w:val="18"/>
              </w:rPr>
              <w:t>投资内容</w:t>
            </w:r>
          </w:p>
        </w:tc>
        <w:tc>
          <w:tcPr>
            <w:tcW w:w="1708" w:type="dxa"/>
            <w:vAlign w:val="top"/>
          </w:tcPr>
          <w:p w14:paraId="1E3934D6">
            <w:pPr>
              <w:pStyle w:val="6"/>
              <w:spacing w:before="144" w:line="219" w:lineRule="auto"/>
              <w:ind w:left="666"/>
              <w:rPr>
                <w:sz w:val="18"/>
                <w:szCs w:val="18"/>
              </w:rPr>
            </w:pPr>
            <w:r>
              <w:rPr>
                <w:spacing w:val="-3"/>
                <w:sz w:val="18"/>
                <w:szCs w:val="18"/>
              </w:rPr>
              <w:t>数量</w:t>
            </w:r>
          </w:p>
        </w:tc>
        <w:tc>
          <w:tcPr>
            <w:tcW w:w="1049" w:type="dxa"/>
            <w:vAlign w:val="top"/>
          </w:tcPr>
          <w:p w14:paraId="78E97780">
            <w:pPr>
              <w:pStyle w:val="6"/>
              <w:spacing w:before="24" w:line="216" w:lineRule="auto"/>
              <w:ind w:left="339"/>
              <w:rPr>
                <w:sz w:val="18"/>
                <w:szCs w:val="18"/>
              </w:rPr>
            </w:pPr>
            <w:r>
              <w:rPr>
                <w:spacing w:val="-3"/>
                <w:sz w:val="18"/>
                <w:szCs w:val="18"/>
              </w:rPr>
              <w:t>金额</w:t>
            </w:r>
          </w:p>
          <w:p w14:paraId="0C676046">
            <w:pPr>
              <w:pStyle w:val="6"/>
              <w:spacing w:line="210" w:lineRule="auto"/>
              <w:ind w:left="229"/>
              <w:rPr>
                <w:sz w:val="18"/>
                <w:szCs w:val="18"/>
              </w:rPr>
            </w:pPr>
            <w:r>
              <w:rPr>
                <w:spacing w:val="9"/>
                <w:sz w:val="18"/>
                <w:szCs w:val="18"/>
              </w:rPr>
              <w:t>(万元)</w:t>
            </w:r>
          </w:p>
        </w:tc>
        <w:tc>
          <w:tcPr>
            <w:tcW w:w="1039" w:type="dxa"/>
            <w:vAlign w:val="top"/>
          </w:tcPr>
          <w:p w14:paraId="131CD5C2">
            <w:pPr>
              <w:pStyle w:val="6"/>
              <w:spacing w:before="145" w:line="221" w:lineRule="auto"/>
              <w:ind w:left="339"/>
              <w:rPr>
                <w:sz w:val="18"/>
                <w:szCs w:val="18"/>
              </w:rPr>
            </w:pPr>
            <w:r>
              <w:rPr>
                <w:spacing w:val="-3"/>
                <w:sz w:val="18"/>
                <w:szCs w:val="18"/>
              </w:rPr>
              <w:t>备注</w:t>
            </w:r>
          </w:p>
        </w:tc>
        <w:tc>
          <w:tcPr>
            <w:tcW w:w="135" w:type="dxa"/>
            <w:vMerge w:val="restart"/>
            <w:tcBorders>
              <w:bottom w:val="nil"/>
            </w:tcBorders>
            <w:vAlign w:val="top"/>
          </w:tcPr>
          <w:p w14:paraId="5C078A5A">
            <w:pPr>
              <w:rPr>
                <w:rFonts w:ascii="Arial"/>
                <w:sz w:val="21"/>
              </w:rPr>
            </w:pPr>
          </w:p>
        </w:tc>
      </w:tr>
      <w:tr w14:paraId="5055F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64" w:type="dxa"/>
            <w:vMerge w:val="continue"/>
            <w:tcBorders>
              <w:top w:val="nil"/>
              <w:bottom w:val="nil"/>
            </w:tcBorders>
            <w:vAlign w:val="top"/>
          </w:tcPr>
          <w:p w14:paraId="25B914C6">
            <w:pPr>
              <w:rPr>
                <w:rFonts w:ascii="Arial"/>
                <w:sz w:val="21"/>
              </w:rPr>
            </w:pPr>
          </w:p>
        </w:tc>
        <w:tc>
          <w:tcPr>
            <w:tcW w:w="110" w:type="dxa"/>
            <w:tcBorders>
              <w:top w:val="nil"/>
              <w:bottom w:val="nil"/>
            </w:tcBorders>
            <w:vAlign w:val="top"/>
          </w:tcPr>
          <w:p w14:paraId="33715293">
            <w:pPr>
              <w:rPr>
                <w:rFonts w:ascii="Arial"/>
                <w:sz w:val="21"/>
              </w:rPr>
            </w:pPr>
          </w:p>
        </w:tc>
        <w:tc>
          <w:tcPr>
            <w:tcW w:w="409" w:type="dxa"/>
            <w:vMerge w:val="restart"/>
            <w:tcBorders>
              <w:bottom w:val="nil"/>
            </w:tcBorders>
            <w:textDirection w:val="tbRlV"/>
            <w:vAlign w:val="top"/>
          </w:tcPr>
          <w:p w14:paraId="66AC0552">
            <w:pPr>
              <w:pStyle w:val="6"/>
              <w:spacing w:before="146" w:line="201" w:lineRule="auto"/>
              <w:ind w:left="1278"/>
              <w:rPr>
                <w:sz w:val="18"/>
                <w:szCs w:val="18"/>
              </w:rPr>
            </w:pPr>
            <w:r>
              <w:rPr>
                <w:spacing w:val="-1"/>
                <w:sz w:val="18"/>
                <w:szCs w:val="18"/>
              </w:rPr>
              <w:t>施 工</w:t>
            </w:r>
            <w:r>
              <w:rPr>
                <w:spacing w:val="-4"/>
                <w:sz w:val="18"/>
                <w:szCs w:val="18"/>
              </w:rPr>
              <w:t xml:space="preserve"> </w:t>
            </w:r>
            <w:r>
              <w:rPr>
                <w:spacing w:val="-1"/>
                <w:sz w:val="18"/>
                <w:szCs w:val="18"/>
              </w:rPr>
              <w:t>期</w:t>
            </w:r>
          </w:p>
        </w:tc>
        <w:tc>
          <w:tcPr>
            <w:tcW w:w="859" w:type="dxa"/>
            <w:vMerge w:val="restart"/>
            <w:tcBorders>
              <w:bottom w:val="nil"/>
            </w:tcBorders>
            <w:vAlign w:val="top"/>
          </w:tcPr>
          <w:p w14:paraId="2A9B7AFB">
            <w:pPr>
              <w:spacing w:line="251" w:lineRule="auto"/>
              <w:rPr>
                <w:rFonts w:ascii="Arial"/>
                <w:sz w:val="21"/>
              </w:rPr>
            </w:pPr>
          </w:p>
          <w:p w14:paraId="51B95EFA">
            <w:pPr>
              <w:spacing w:line="251" w:lineRule="auto"/>
              <w:rPr>
                <w:rFonts w:ascii="Arial"/>
                <w:sz w:val="21"/>
              </w:rPr>
            </w:pPr>
          </w:p>
          <w:p w14:paraId="36E44E51">
            <w:pPr>
              <w:spacing w:line="252" w:lineRule="auto"/>
              <w:rPr>
                <w:rFonts w:ascii="Arial"/>
                <w:sz w:val="21"/>
              </w:rPr>
            </w:pPr>
          </w:p>
          <w:p w14:paraId="0DF32956">
            <w:pPr>
              <w:spacing w:line="252" w:lineRule="auto"/>
              <w:rPr>
                <w:rFonts w:ascii="Arial"/>
                <w:sz w:val="21"/>
              </w:rPr>
            </w:pPr>
          </w:p>
          <w:p w14:paraId="6164E724">
            <w:pPr>
              <w:spacing w:line="252" w:lineRule="auto"/>
              <w:rPr>
                <w:rFonts w:ascii="Arial"/>
                <w:sz w:val="21"/>
              </w:rPr>
            </w:pPr>
          </w:p>
          <w:p w14:paraId="1B0D0A86">
            <w:pPr>
              <w:pStyle w:val="6"/>
              <w:spacing w:before="59" w:line="236" w:lineRule="auto"/>
              <w:ind w:left="331" w:right="253" w:hanging="90"/>
              <w:rPr>
                <w:sz w:val="18"/>
                <w:szCs w:val="18"/>
              </w:rPr>
            </w:pPr>
            <w:r>
              <w:rPr>
                <w:spacing w:val="-4"/>
                <w:sz w:val="18"/>
                <w:szCs w:val="18"/>
              </w:rPr>
              <w:t>废气</w:t>
            </w:r>
            <w:r>
              <w:rPr>
                <w:sz w:val="18"/>
                <w:szCs w:val="18"/>
              </w:rPr>
              <w:t xml:space="preserve"> 和</w:t>
            </w:r>
          </w:p>
          <w:p w14:paraId="454724AD">
            <w:pPr>
              <w:pStyle w:val="6"/>
              <w:spacing w:line="220" w:lineRule="auto"/>
              <w:ind w:left="241"/>
              <w:rPr>
                <w:sz w:val="18"/>
                <w:szCs w:val="18"/>
              </w:rPr>
            </w:pPr>
            <w:r>
              <w:rPr>
                <w:spacing w:val="5"/>
                <w:sz w:val="18"/>
                <w:szCs w:val="18"/>
              </w:rPr>
              <w:t>噪声</w:t>
            </w:r>
          </w:p>
        </w:tc>
        <w:tc>
          <w:tcPr>
            <w:tcW w:w="629" w:type="dxa"/>
            <w:vAlign w:val="top"/>
          </w:tcPr>
          <w:p w14:paraId="54FEF119">
            <w:pPr>
              <w:pStyle w:val="6"/>
              <w:spacing w:before="182" w:line="241" w:lineRule="auto"/>
              <w:ind w:left="262"/>
              <w:rPr>
                <w:sz w:val="18"/>
                <w:szCs w:val="18"/>
              </w:rPr>
            </w:pPr>
            <w:r>
              <w:rPr>
                <w:sz w:val="18"/>
                <w:szCs w:val="18"/>
              </w:rPr>
              <w:t>1</w:t>
            </w:r>
          </w:p>
        </w:tc>
        <w:tc>
          <w:tcPr>
            <w:tcW w:w="2487" w:type="dxa"/>
            <w:vAlign w:val="top"/>
          </w:tcPr>
          <w:p w14:paraId="11FE2198">
            <w:pPr>
              <w:pStyle w:val="6"/>
              <w:spacing w:before="44" w:line="216" w:lineRule="auto"/>
              <w:ind w:left="64"/>
              <w:rPr>
                <w:sz w:val="18"/>
                <w:szCs w:val="18"/>
              </w:rPr>
            </w:pPr>
            <w:r>
              <w:rPr>
                <w:spacing w:val="1"/>
                <w:sz w:val="18"/>
                <w:szCs w:val="18"/>
              </w:rPr>
              <w:t>砂、石料场洒水降尘、防尘网</w:t>
            </w:r>
          </w:p>
          <w:p w14:paraId="61A3EC32">
            <w:pPr>
              <w:pStyle w:val="6"/>
              <w:spacing w:line="219" w:lineRule="auto"/>
              <w:ind w:left="834"/>
              <w:rPr>
                <w:sz w:val="18"/>
                <w:szCs w:val="18"/>
              </w:rPr>
            </w:pPr>
            <w:r>
              <w:rPr>
                <w:spacing w:val="-1"/>
                <w:sz w:val="18"/>
                <w:szCs w:val="18"/>
              </w:rPr>
              <w:t>遮盖措施。</w:t>
            </w:r>
          </w:p>
        </w:tc>
        <w:tc>
          <w:tcPr>
            <w:tcW w:w="1708" w:type="dxa"/>
            <w:vAlign w:val="top"/>
          </w:tcPr>
          <w:p w14:paraId="445C88AA">
            <w:pPr>
              <w:pStyle w:val="6"/>
              <w:spacing w:before="165" w:line="220" w:lineRule="auto"/>
              <w:ind w:left="717"/>
              <w:rPr>
                <w:sz w:val="18"/>
                <w:szCs w:val="18"/>
              </w:rPr>
            </w:pPr>
            <w:r>
              <w:rPr>
                <w:spacing w:val="4"/>
                <w:sz w:val="18"/>
                <w:szCs w:val="18"/>
              </w:rPr>
              <w:t>1套</w:t>
            </w:r>
          </w:p>
        </w:tc>
        <w:tc>
          <w:tcPr>
            <w:tcW w:w="1049" w:type="dxa"/>
            <w:vAlign w:val="top"/>
          </w:tcPr>
          <w:p w14:paraId="33A8A4C6">
            <w:pPr>
              <w:pStyle w:val="6"/>
              <w:spacing w:before="182" w:line="239" w:lineRule="auto"/>
              <w:ind w:left="389"/>
              <w:rPr>
                <w:sz w:val="18"/>
                <w:szCs w:val="18"/>
              </w:rPr>
            </w:pPr>
            <w:r>
              <w:rPr>
                <w:spacing w:val="-3"/>
                <w:sz w:val="18"/>
                <w:szCs w:val="18"/>
              </w:rPr>
              <w:t>5.0</w:t>
            </w:r>
          </w:p>
        </w:tc>
        <w:tc>
          <w:tcPr>
            <w:tcW w:w="1039" w:type="dxa"/>
            <w:vAlign w:val="top"/>
          </w:tcPr>
          <w:p w14:paraId="084A587B">
            <w:pPr>
              <w:pStyle w:val="6"/>
              <w:spacing w:before="165" w:line="220" w:lineRule="auto"/>
              <w:ind w:left="160"/>
              <w:rPr>
                <w:sz w:val="18"/>
                <w:szCs w:val="18"/>
              </w:rPr>
            </w:pPr>
            <w:r>
              <w:rPr>
                <w:spacing w:val="3"/>
                <w:sz w:val="18"/>
                <w:szCs w:val="18"/>
              </w:rPr>
              <w:t>环评新增</w:t>
            </w:r>
          </w:p>
        </w:tc>
        <w:tc>
          <w:tcPr>
            <w:tcW w:w="135" w:type="dxa"/>
            <w:vMerge w:val="continue"/>
            <w:tcBorders>
              <w:top w:val="nil"/>
              <w:bottom w:val="nil"/>
            </w:tcBorders>
            <w:vAlign w:val="top"/>
          </w:tcPr>
          <w:p w14:paraId="113724F5">
            <w:pPr>
              <w:rPr>
                <w:rFonts w:ascii="Arial"/>
                <w:sz w:val="21"/>
              </w:rPr>
            </w:pPr>
          </w:p>
        </w:tc>
      </w:tr>
      <w:tr w14:paraId="5A009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764" w:type="dxa"/>
            <w:vMerge w:val="continue"/>
            <w:tcBorders>
              <w:top w:val="nil"/>
              <w:bottom w:val="nil"/>
            </w:tcBorders>
            <w:vAlign w:val="top"/>
          </w:tcPr>
          <w:p w14:paraId="727379F0">
            <w:pPr>
              <w:rPr>
                <w:rFonts w:ascii="Arial"/>
                <w:sz w:val="21"/>
              </w:rPr>
            </w:pPr>
          </w:p>
        </w:tc>
        <w:tc>
          <w:tcPr>
            <w:tcW w:w="110" w:type="dxa"/>
            <w:tcBorders>
              <w:top w:val="nil"/>
              <w:bottom w:val="nil"/>
            </w:tcBorders>
            <w:vAlign w:val="top"/>
          </w:tcPr>
          <w:p w14:paraId="2A9B6926">
            <w:pPr>
              <w:rPr>
                <w:rFonts w:ascii="Arial"/>
                <w:sz w:val="21"/>
              </w:rPr>
            </w:pPr>
          </w:p>
        </w:tc>
        <w:tc>
          <w:tcPr>
            <w:tcW w:w="409" w:type="dxa"/>
            <w:vMerge w:val="continue"/>
            <w:tcBorders>
              <w:top w:val="nil"/>
              <w:bottom w:val="nil"/>
            </w:tcBorders>
            <w:textDirection w:val="tbRlV"/>
            <w:vAlign w:val="top"/>
          </w:tcPr>
          <w:p w14:paraId="7F240C68">
            <w:pPr>
              <w:rPr>
                <w:rFonts w:ascii="Arial"/>
                <w:sz w:val="21"/>
              </w:rPr>
            </w:pPr>
          </w:p>
        </w:tc>
        <w:tc>
          <w:tcPr>
            <w:tcW w:w="859" w:type="dxa"/>
            <w:vMerge w:val="continue"/>
            <w:tcBorders>
              <w:top w:val="nil"/>
              <w:bottom w:val="nil"/>
            </w:tcBorders>
            <w:vAlign w:val="top"/>
          </w:tcPr>
          <w:p w14:paraId="66166B39">
            <w:pPr>
              <w:rPr>
                <w:rFonts w:ascii="Arial"/>
                <w:sz w:val="21"/>
              </w:rPr>
            </w:pPr>
          </w:p>
        </w:tc>
        <w:tc>
          <w:tcPr>
            <w:tcW w:w="629" w:type="dxa"/>
            <w:vAlign w:val="top"/>
          </w:tcPr>
          <w:p w14:paraId="44D521E1">
            <w:pPr>
              <w:pStyle w:val="6"/>
              <w:spacing w:before="173" w:line="241" w:lineRule="auto"/>
              <w:ind w:left="262"/>
              <w:rPr>
                <w:sz w:val="18"/>
                <w:szCs w:val="18"/>
              </w:rPr>
            </w:pPr>
            <w:r>
              <w:rPr>
                <w:sz w:val="18"/>
                <w:szCs w:val="18"/>
              </w:rPr>
              <w:t>2</w:t>
            </w:r>
          </w:p>
        </w:tc>
        <w:tc>
          <w:tcPr>
            <w:tcW w:w="2487" w:type="dxa"/>
            <w:vAlign w:val="top"/>
          </w:tcPr>
          <w:p w14:paraId="13E46CDC">
            <w:pPr>
              <w:pStyle w:val="6"/>
              <w:spacing w:before="34" w:line="216" w:lineRule="auto"/>
              <w:ind w:left="203" w:right="58" w:hanging="139"/>
              <w:rPr>
                <w:sz w:val="18"/>
                <w:szCs w:val="18"/>
              </w:rPr>
            </w:pPr>
            <w:r>
              <w:rPr>
                <w:spacing w:val="1"/>
                <w:sz w:val="18"/>
                <w:szCs w:val="18"/>
              </w:rPr>
              <w:t>施工场地洒水降尘、土石方和</w:t>
            </w:r>
            <w:r>
              <w:rPr>
                <w:sz w:val="18"/>
                <w:szCs w:val="18"/>
              </w:rPr>
              <w:t xml:space="preserve"> </w:t>
            </w:r>
            <w:r>
              <w:rPr>
                <w:spacing w:val="-1"/>
                <w:sz w:val="18"/>
                <w:szCs w:val="18"/>
              </w:rPr>
              <w:t>散体材料土工布覆盖措施。</w:t>
            </w:r>
          </w:p>
        </w:tc>
        <w:tc>
          <w:tcPr>
            <w:tcW w:w="1708" w:type="dxa"/>
            <w:vAlign w:val="top"/>
          </w:tcPr>
          <w:p w14:paraId="0B7EEC72">
            <w:pPr>
              <w:pStyle w:val="6"/>
              <w:spacing w:before="155" w:line="220" w:lineRule="auto"/>
              <w:ind w:left="626"/>
              <w:rPr>
                <w:sz w:val="18"/>
                <w:szCs w:val="18"/>
              </w:rPr>
            </w:pPr>
            <w:r>
              <w:rPr>
                <w:spacing w:val="-2"/>
                <w:sz w:val="18"/>
                <w:szCs w:val="18"/>
              </w:rPr>
              <w:t>2~5套</w:t>
            </w:r>
          </w:p>
        </w:tc>
        <w:tc>
          <w:tcPr>
            <w:tcW w:w="1049" w:type="dxa"/>
            <w:vAlign w:val="top"/>
          </w:tcPr>
          <w:p w14:paraId="5EBFAD04">
            <w:pPr>
              <w:pStyle w:val="6"/>
              <w:spacing w:before="173" w:line="239" w:lineRule="auto"/>
              <w:ind w:left="389"/>
              <w:rPr>
                <w:sz w:val="18"/>
                <w:szCs w:val="18"/>
              </w:rPr>
            </w:pPr>
            <w:r>
              <w:rPr>
                <w:spacing w:val="-2"/>
                <w:sz w:val="18"/>
                <w:szCs w:val="18"/>
              </w:rPr>
              <w:t>6.5</w:t>
            </w:r>
          </w:p>
        </w:tc>
        <w:tc>
          <w:tcPr>
            <w:tcW w:w="1039" w:type="dxa"/>
            <w:vAlign w:val="top"/>
          </w:tcPr>
          <w:p w14:paraId="5795D8B4">
            <w:pPr>
              <w:pStyle w:val="6"/>
              <w:spacing w:before="155" w:line="220" w:lineRule="auto"/>
              <w:ind w:left="160"/>
              <w:rPr>
                <w:sz w:val="18"/>
                <w:szCs w:val="18"/>
              </w:rPr>
            </w:pPr>
            <w:r>
              <w:rPr>
                <w:spacing w:val="3"/>
                <w:sz w:val="18"/>
                <w:szCs w:val="18"/>
              </w:rPr>
              <w:t>环评新增</w:t>
            </w:r>
          </w:p>
        </w:tc>
        <w:tc>
          <w:tcPr>
            <w:tcW w:w="135" w:type="dxa"/>
            <w:vMerge w:val="continue"/>
            <w:tcBorders>
              <w:top w:val="nil"/>
              <w:bottom w:val="nil"/>
            </w:tcBorders>
            <w:vAlign w:val="top"/>
          </w:tcPr>
          <w:p w14:paraId="6A89B144">
            <w:pPr>
              <w:rPr>
                <w:rFonts w:ascii="Arial"/>
                <w:sz w:val="21"/>
              </w:rPr>
            </w:pPr>
          </w:p>
        </w:tc>
      </w:tr>
      <w:tr w14:paraId="1C552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64" w:type="dxa"/>
            <w:vMerge w:val="continue"/>
            <w:tcBorders>
              <w:top w:val="nil"/>
              <w:bottom w:val="nil"/>
            </w:tcBorders>
            <w:vAlign w:val="top"/>
          </w:tcPr>
          <w:p w14:paraId="21FA51EE">
            <w:pPr>
              <w:rPr>
                <w:rFonts w:ascii="Arial"/>
                <w:sz w:val="21"/>
              </w:rPr>
            </w:pPr>
          </w:p>
        </w:tc>
        <w:tc>
          <w:tcPr>
            <w:tcW w:w="110" w:type="dxa"/>
            <w:tcBorders>
              <w:top w:val="nil"/>
              <w:bottom w:val="nil"/>
            </w:tcBorders>
            <w:vAlign w:val="top"/>
          </w:tcPr>
          <w:p w14:paraId="73DBB833">
            <w:pPr>
              <w:rPr>
                <w:rFonts w:ascii="Arial"/>
                <w:sz w:val="21"/>
              </w:rPr>
            </w:pPr>
          </w:p>
        </w:tc>
        <w:tc>
          <w:tcPr>
            <w:tcW w:w="409" w:type="dxa"/>
            <w:vMerge w:val="continue"/>
            <w:tcBorders>
              <w:top w:val="nil"/>
              <w:bottom w:val="nil"/>
            </w:tcBorders>
            <w:textDirection w:val="tbRlV"/>
            <w:vAlign w:val="top"/>
          </w:tcPr>
          <w:p w14:paraId="24E3E6A3">
            <w:pPr>
              <w:rPr>
                <w:rFonts w:ascii="Arial"/>
                <w:sz w:val="21"/>
              </w:rPr>
            </w:pPr>
          </w:p>
        </w:tc>
        <w:tc>
          <w:tcPr>
            <w:tcW w:w="859" w:type="dxa"/>
            <w:vMerge w:val="continue"/>
            <w:tcBorders>
              <w:top w:val="nil"/>
              <w:bottom w:val="nil"/>
            </w:tcBorders>
            <w:vAlign w:val="top"/>
          </w:tcPr>
          <w:p w14:paraId="5B5A5981">
            <w:pPr>
              <w:rPr>
                <w:rFonts w:ascii="Arial"/>
                <w:sz w:val="21"/>
              </w:rPr>
            </w:pPr>
          </w:p>
        </w:tc>
        <w:tc>
          <w:tcPr>
            <w:tcW w:w="629" w:type="dxa"/>
            <w:vAlign w:val="top"/>
          </w:tcPr>
          <w:p w14:paraId="728402AB">
            <w:pPr>
              <w:pStyle w:val="6"/>
              <w:spacing w:before="136"/>
              <w:ind w:left="262"/>
              <w:rPr>
                <w:sz w:val="18"/>
                <w:szCs w:val="18"/>
              </w:rPr>
            </w:pPr>
            <w:r>
              <w:rPr>
                <w:sz w:val="18"/>
                <w:szCs w:val="18"/>
              </w:rPr>
              <w:t>3</w:t>
            </w:r>
          </w:p>
        </w:tc>
        <w:tc>
          <w:tcPr>
            <w:tcW w:w="2487" w:type="dxa"/>
            <w:vAlign w:val="top"/>
          </w:tcPr>
          <w:p w14:paraId="2DB8C7F7">
            <w:pPr>
              <w:pStyle w:val="6"/>
              <w:spacing w:before="119" w:line="219" w:lineRule="auto"/>
              <w:ind w:left="244"/>
              <w:rPr>
                <w:sz w:val="18"/>
                <w:szCs w:val="18"/>
              </w:rPr>
            </w:pPr>
            <w:r>
              <w:rPr>
                <w:spacing w:val="-1"/>
                <w:sz w:val="18"/>
                <w:szCs w:val="18"/>
              </w:rPr>
              <w:t>运输道路减速禁鸣标志牌</w:t>
            </w:r>
          </w:p>
        </w:tc>
        <w:tc>
          <w:tcPr>
            <w:tcW w:w="1708" w:type="dxa"/>
            <w:vAlign w:val="top"/>
          </w:tcPr>
          <w:p w14:paraId="52F32010">
            <w:pPr>
              <w:pStyle w:val="6"/>
              <w:spacing w:before="119" w:line="219" w:lineRule="auto"/>
              <w:ind w:left="666"/>
              <w:rPr>
                <w:sz w:val="18"/>
                <w:szCs w:val="18"/>
              </w:rPr>
            </w:pPr>
            <w:r>
              <w:rPr>
                <w:spacing w:val="-2"/>
                <w:sz w:val="18"/>
                <w:szCs w:val="18"/>
              </w:rPr>
              <w:t>30个</w:t>
            </w:r>
          </w:p>
        </w:tc>
        <w:tc>
          <w:tcPr>
            <w:tcW w:w="1049" w:type="dxa"/>
            <w:vAlign w:val="top"/>
          </w:tcPr>
          <w:p w14:paraId="639B5038">
            <w:pPr>
              <w:pStyle w:val="6"/>
              <w:spacing w:before="137" w:line="239" w:lineRule="auto"/>
              <w:ind w:left="389"/>
              <w:rPr>
                <w:sz w:val="18"/>
                <w:szCs w:val="18"/>
              </w:rPr>
            </w:pPr>
            <w:r>
              <w:rPr>
                <w:spacing w:val="-2"/>
                <w:sz w:val="18"/>
                <w:szCs w:val="18"/>
              </w:rPr>
              <w:t>6.0</w:t>
            </w:r>
          </w:p>
        </w:tc>
        <w:tc>
          <w:tcPr>
            <w:tcW w:w="1039" w:type="dxa"/>
            <w:vAlign w:val="top"/>
          </w:tcPr>
          <w:p w14:paraId="033F303C">
            <w:pPr>
              <w:pStyle w:val="6"/>
              <w:spacing w:before="119" w:line="220" w:lineRule="auto"/>
              <w:ind w:left="160"/>
              <w:rPr>
                <w:sz w:val="18"/>
                <w:szCs w:val="18"/>
              </w:rPr>
            </w:pPr>
            <w:r>
              <w:rPr>
                <w:spacing w:val="3"/>
                <w:sz w:val="18"/>
                <w:szCs w:val="18"/>
              </w:rPr>
              <w:t>环评新增</w:t>
            </w:r>
          </w:p>
        </w:tc>
        <w:tc>
          <w:tcPr>
            <w:tcW w:w="135" w:type="dxa"/>
            <w:vMerge w:val="continue"/>
            <w:tcBorders>
              <w:top w:val="nil"/>
              <w:bottom w:val="nil"/>
            </w:tcBorders>
            <w:vAlign w:val="top"/>
          </w:tcPr>
          <w:p w14:paraId="1EF3BB3B">
            <w:pPr>
              <w:rPr>
                <w:rFonts w:ascii="Arial"/>
                <w:sz w:val="21"/>
              </w:rPr>
            </w:pPr>
          </w:p>
        </w:tc>
      </w:tr>
      <w:tr w14:paraId="3885C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764" w:type="dxa"/>
            <w:vMerge w:val="continue"/>
            <w:tcBorders>
              <w:top w:val="nil"/>
              <w:bottom w:val="nil"/>
            </w:tcBorders>
            <w:vAlign w:val="top"/>
          </w:tcPr>
          <w:p w14:paraId="78198C73">
            <w:pPr>
              <w:rPr>
                <w:rFonts w:ascii="Arial"/>
                <w:sz w:val="21"/>
              </w:rPr>
            </w:pPr>
          </w:p>
        </w:tc>
        <w:tc>
          <w:tcPr>
            <w:tcW w:w="110" w:type="dxa"/>
            <w:tcBorders>
              <w:top w:val="nil"/>
              <w:bottom w:val="nil"/>
            </w:tcBorders>
            <w:vAlign w:val="top"/>
          </w:tcPr>
          <w:p w14:paraId="74EA23E0">
            <w:pPr>
              <w:rPr>
                <w:rFonts w:ascii="Arial"/>
                <w:sz w:val="21"/>
              </w:rPr>
            </w:pPr>
          </w:p>
        </w:tc>
        <w:tc>
          <w:tcPr>
            <w:tcW w:w="409" w:type="dxa"/>
            <w:vMerge w:val="continue"/>
            <w:tcBorders>
              <w:top w:val="nil"/>
              <w:bottom w:val="nil"/>
            </w:tcBorders>
            <w:textDirection w:val="tbRlV"/>
            <w:vAlign w:val="top"/>
          </w:tcPr>
          <w:p w14:paraId="3E385812">
            <w:pPr>
              <w:rPr>
                <w:rFonts w:ascii="Arial"/>
                <w:sz w:val="21"/>
              </w:rPr>
            </w:pPr>
          </w:p>
        </w:tc>
        <w:tc>
          <w:tcPr>
            <w:tcW w:w="859" w:type="dxa"/>
            <w:vMerge w:val="continue"/>
            <w:tcBorders>
              <w:top w:val="nil"/>
              <w:bottom w:val="nil"/>
            </w:tcBorders>
            <w:vAlign w:val="top"/>
          </w:tcPr>
          <w:p w14:paraId="00FA4570">
            <w:pPr>
              <w:rPr>
                <w:rFonts w:ascii="Arial"/>
                <w:sz w:val="21"/>
              </w:rPr>
            </w:pPr>
          </w:p>
        </w:tc>
        <w:tc>
          <w:tcPr>
            <w:tcW w:w="629" w:type="dxa"/>
            <w:vAlign w:val="top"/>
          </w:tcPr>
          <w:p w14:paraId="2F5A4A74">
            <w:pPr>
              <w:pStyle w:val="6"/>
              <w:spacing w:before="168" w:line="241" w:lineRule="auto"/>
              <w:ind w:left="262"/>
              <w:rPr>
                <w:sz w:val="18"/>
                <w:szCs w:val="18"/>
              </w:rPr>
            </w:pPr>
            <w:r>
              <w:rPr>
                <w:sz w:val="18"/>
                <w:szCs w:val="18"/>
              </w:rPr>
              <w:t>4</w:t>
            </w:r>
          </w:p>
        </w:tc>
        <w:tc>
          <w:tcPr>
            <w:tcW w:w="2487" w:type="dxa"/>
            <w:vAlign w:val="top"/>
          </w:tcPr>
          <w:p w14:paraId="02595A38">
            <w:pPr>
              <w:pStyle w:val="6"/>
              <w:spacing w:before="31" w:line="209" w:lineRule="auto"/>
              <w:ind w:left="1053" w:right="171" w:hanging="900"/>
              <w:rPr>
                <w:sz w:val="18"/>
                <w:szCs w:val="18"/>
              </w:rPr>
            </w:pPr>
            <w:r>
              <w:rPr>
                <w:spacing w:val="-1"/>
                <w:sz w:val="18"/>
                <w:szCs w:val="18"/>
              </w:rPr>
              <w:t>升压站设不低于2.5m的施工</w:t>
            </w:r>
            <w:r>
              <w:rPr>
                <w:spacing w:val="4"/>
                <w:sz w:val="18"/>
                <w:szCs w:val="18"/>
              </w:rPr>
              <w:t xml:space="preserve"> </w:t>
            </w:r>
            <w:r>
              <w:rPr>
                <w:spacing w:val="6"/>
                <w:sz w:val="18"/>
                <w:szCs w:val="18"/>
              </w:rPr>
              <w:t>围挡</w:t>
            </w:r>
          </w:p>
        </w:tc>
        <w:tc>
          <w:tcPr>
            <w:tcW w:w="1708" w:type="dxa"/>
            <w:vAlign w:val="top"/>
          </w:tcPr>
          <w:p w14:paraId="184D2FFB">
            <w:pPr>
              <w:pStyle w:val="6"/>
              <w:spacing w:before="155" w:line="224" w:lineRule="auto"/>
              <w:ind w:left="807"/>
              <w:rPr>
                <w:sz w:val="18"/>
                <w:szCs w:val="18"/>
              </w:rPr>
            </w:pPr>
            <w:r>
              <w:rPr>
                <w:sz w:val="18"/>
                <w:szCs w:val="18"/>
              </w:rPr>
              <w:t>/</w:t>
            </w:r>
          </w:p>
        </w:tc>
        <w:tc>
          <w:tcPr>
            <w:tcW w:w="1049" w:type="dxa"/>
            <w:vAlign w:val="top"/>
          </w:tcPr>
          <w:p w14:paraId="187FD146">
            <w:pPr>
              <w:pStyle w:val="6"/>
              <w:spacing w:before="168" w:line="239" w:lineRule="auto"/>
              <w:ind w:left="389"/>
              <w:rPr>
                <w:sz w:val="18"/>
                <w:szCs w:val="18"/>
              </w:rPr>
            </w:pPr>
            <w:r>
              <w:rPr>
                <w:spacing w:val="-3"/>
                <w:sz w:val="18"/>
                <w:szCs w:val="18"/>
              </w:rPr>
              <w:t>5.0</w:t>
            </w:r>
          </w:p>
        </w:tc>
        <w:tc>
          <w:tcPr>
            <w:tcW w:w="1039" w:type="dxa"/>
            <w:vAlign w:val="top"/>
          </w:tcPr>
          <w:p w14:paraId="1D31D5D3">
            <w:pPr>
              <w:pStyle w:val="6"/>
              <w:spacing w:before="151" w:line="220" w:lineRule="auto"/>
              <w:ind w:left="160"/>
              <w:rPr>
                <w:sz w:val="18"/>
                <w:szCs w:val="18"/>
              </w:rPr>
            </w:pPr>
            <w:r>
              <w:rPr>
                <w:spacing w:val="3"/>
                <w:sz w:val="18"/>
                <w:szCs w:val="18"/>
              </w:rPr>
              <w:t>环评新增</w:t>
            </w:r>
          </w:p>
        </w:tc>
        <w:tc>
          <w:tcPr>
            <w:tcW w:w="135" w:type="dxa"/>
            <w:vMerge w:val="continue"/>
            <w:tcBorders>
              <w:top w:val="nil"/>
              <w:bottom w:val="nil"/>
            </w:tcBorders>
            <w:vAlign w:val="top"/>
          </w:tcPr>
          <w:p w14:paraId="6B1304A3">
            <w:pPr>
              <w:rPr>
                <w:rFonts w:ascii="Arial"/>
                <w:sz w:val="21"/>
              </w:rPr>
            </w:pPr>
          </w:p>
        </w:tc>
      </w:tr>
      <w:tr w14:paraId="7D1E9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764" w:type="dxa"/>
            <w:vMerge w:val="continue"/>
            <w:tcBorders>
              <w:top w:val="nil"/>
              <w:bottom w:val="nil"/>
            </w:tcBorders>
            <w:vAlign w:val="top"/>
          </w:tcPr>
          <w:p w14:paraId="62564C49">
            <w:pPr>
              <w:rPr>
                <w:rFonts w:ascii="Arial"/>
                <w:sz w:val="21"/>
              </w:rPr>
            </w:pPr>
          </w:p>
        </w:tc>
        <w:tc>
          <w:tcPr>
            <w:tcW w:w="110" w:type="dxa"/>
            <w:tcBorders>
              <w:top w:val="nil"/>
              <w:bottom w:val="nil"/>
            </w:tcBorders>
            <w:vAlign w:val="top"/>
          </w:tcPr>
          <w:p w14:paraId="09246FFB">
            <w:pPr>
              <w:rPr>
                <w:rFonts w:ascii="Arial"/>
                <w:sz w:val="21"/>
              </w:rPr>
            </w:pPr>
          </w:p>
        </w:tc>
        <w:tc>
          <w:tcPr>
            <w:tcW w:w="409" w:type="dxa"/>
            <w:vMerge w:val="continue"/>
            <w:tcBorders>
              <w:top w:val="nil"/>
              <w:bottom w:val="nil"/>
            </w:tcBorders>
            <w:textDirection w:val="tbRlV"/>
            <w:vAlign w:val="top"/>
          </w:tcPr>
          <w:p w14:paraId="5D2D630A">
            <w:pPr>
              <w:rPr>
                <w:rFonts w:ascii="Arial"/>
                <w:sz w:val="21"/>
              </w:rPr>
            </w:pPr>
          </w:p>
        </w:tc>
        <w:tc>
          <w:tcPr>
            <w:tcW w:w="859" w:type="dxa"/>
            <w:vMerge w:val="continue"/>
            <w:tcBorders>
              <w:top w:val="nil"/>
              <w:bottom w:val="nil"/>
            </w:tcBorders>
            <w:vAlign w:val="top"/>
          </w:tcPr>
          <w:p w14:paraId="222DF224">
            <w:pPr>
              <w:rPr>
                <w:rFonts w:ascii="Arial"/>
                <w:sz w:val="21"/>
              </w:rPr>
            </w:pPr>
          </w:p>
        </w:tc>
        <w:tc>
          <w:tcPr>
            <w:tcW w:w="629" w:type="dxa"/>
            <w:vAlign w:val="top"/>
          </w:tcPr>
          <w:p w14:paraId="3D584EF3">
            <w:pPr>
              <w:pStyle w:val="6"/>
              <w:spacing w:before="298"/>
              <w:ind w:left="262"/>
              <w:rPr>
                <w:sz w:val="18"/>
                <w:szCs w:val="18"/>
              </w:rPr>
            </w:pPr>
            <w:r>
              <w:rPr>
                <w:sz w:val="18"/>
                <w:szCs w:val="18"/>
              </w:rPr>
              <w:t>5</w:t>
            </w:r>
          </w:p>
        </w:tc>
        <w:tc>
          <w:tcPr>
            <w:tcW w:w="2487" w:type="dxa"/>
            <w:vAlign w:val="top"/>
          </w:tcPr>
          <w:p w14:paraId="17582F70">
            <w:pPr>
              <w:pStyle w:val="6"/>
              <w:spacing w:before="40" w:line="219" w:lineRule="auto"/>
              <w:ind w:left="153"/>
              <w:rPr>
                <w:sz w:val="18"/>
                <w:szCs w:val="18"/>
              </w:rPr>
            </w:pPr>
            <w:r>
              <w:rPr>
                <w:spacing w:val="-1"/>
                <w:sz w:val="18"/>
                <w:szCs w:val="18"/>
              </w:rPr>
              <w:t>距离低于200m时在光伏矩阵</w:t>
            </w:r>
          </w:p>
          <w:p w14:paraId="28EA1FFE">
            <w:pPr>
              <w:pStyle w:val="6"/>
              <w:spacing w:before="26" w:line="196" w:lineRule="auto"/>
              <w:ind w:left="153"/>
              <w:rPr>
                <w:sz w:val="18"/>
                <w:szCs w:val="18"/>
              </w:rPr>
            </w:pPr>
            <w:r>
              <w:rPr>
                <w:spacing w:val="-1"/>
                <w:sz w:val="18"/>
                <w:szCs w:val="18"/>
              </w:rPr>
              <w:t>施工场地面向村庄一侧设置</w:t>
            </w:r>
          </w:p>
          <w:p w14:paraId="7D235BFF">
            <w:pPr>
              <w:pStyle w:val="6"/>
              <w:spacing w:line="216" w:lineRule="auto"/>
              <w:ind w:left="284"/>
              <w:rPr>
                <w:sz w:val="18"/>
                <w:szCs w:val="18"/>
              </w:rPr>
            </w:pPr>
            <w:r>
              <w:rPr>
                <w:spacing w:val="1"/>
                <w:sz w:val="18"/>
                <w:szCs w:val="18"/>
              </w:rPr>
              <w:t>不低于2.5m的遮挡围挡</w:t>
            </w:r>
          </w:p>
        </w:tc>
        <w:tc>
          <w:tcPr>
            <w:tcW w:w="1708" w:type="dxa"/>
            <w:vAlign w:val="top"/>
          </w:tcPr>
          <w:p w14:paraId="7CAEB9B8">
            <w:pPr>
              <w:pStyle w:val="6"/>
              <w:spacing w:before="286" w:line="224" w:lineRule="auto"/>
              <w:ind w:left="807"/>
              <w:rPr>
                <w:sz w:val="18"/>
                <w:szCs w:val="18"/>
              </w:rPr>
            </w:pPr>
            <w:r>
              <w:rPr>
                <w:sz w:val="18"/>
                <w:szCs w:val="18"/>
              </w:rPr>
              <w:t>/</w:t>
            </w:r>
          </w:p>
        </w:tc>
        <w:tc>
          <w:tcPr>
            <w:tcW w:w="1049" w:type="dxa"/>
            <w:vAlign w:val="top"/>
          </w:tcPr>
          <w:p w14:paraId="7B2A2252">
            <w:pPr>
              <w:pStyle w:val="6"/>
              <w:spacing w:before="299" w:line="239" w:lineRule="auto"/>
              <w:ind w:left="339"/>
              <w:rPr>
                <w:sz w:val="18"/>
                <w:szCs w:val="18"/>
              </w:rPr>
            </w:pPr>
            <w:r>
              <w:rPr>
                <w:spacing w:val="-2"/>
                <w:sz w:val="18"/>
                <w:szCs w:val="18"/>
              </w:rPr>
              <w:t>20.0</w:t>
            </w:r>
          </w:p>
        </w:tc>
        <w:tc>
          <w:tcPr>
            <w:tcW w:w="1039" w:type="dxa"/>
            <w:vAlign w:val="top"/>
          </w:tcPr>
          <w:p w14:paraId="5A99944A">
            <w:pPr>
              <w:pStyle w:val="6"/>
              <w:spacing w:before="281" w:line="220" w:lineRule="auto"/>
              <w:ind w:left="160"/>
              <w:rPr>
                <w:sz w:val="18"/>
                <w:szCs w:val="18"/>
              </w:rPr>
            </w:pPr>
            <w:r>
              <w:rPr>
                <w:spacing w:val="3"/>
                <w:sz w:val="18"/>
                <w:szCs w:val="18"/>
              </w:rPr>
              <w:t>环评新增</w:t>
            </w:r>
          </w:p>
        </w:tc>
        <w:tc>
          <w:tcPr>
            <w:tcW w:w="135" w:type="dxa"/>
            <w:vMerge w:val="continue"/>
            <w:tcBorders>
              <w:top w:val="nil"/>
              <w:bottom w:val="nil"/>
            </w:tcBorders>
            <w:vAlign w:val="top"/>
          </w:tcPr>
          <w:p w14:paraId="602DA8A9">
            <w:pPr>
              <w:rPr>
                <w:rFonts w:ascii="Arial"/>
                <w:sz w:val="21"/>
              </w:rPr>
            </w:pPr>
          </w:p>
        </w:tc>
      </w:tr>
      <w:tr w14:paraId="048FC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764" w:type="dxa"/>
            <w:vMerge w:val="continue"/>
            <w:tcBorders>
              <w:top w:val="nil"/>
            </w:tcBorders>
            <w:vAlign w:val="top"/>
          </w:tcPr>
          <w:p w14:paraId="772C25E8">
            <w:pPr>
              <w:rPr>
                <w:rFonts w:ascii="Arial"/>
                <w:sz w:val="21"/>
              </w:rPr>
            </w:pPr>
          </w:p>
        </w:tc>
        <w:tc>
          <w:tcPr>
            <w:tcW w:w="110" w:type="dxa"/>
            <w:tcBorders>
              <w:top w:val="nil"/>
            </w:tcBorders>
            <w:vAlign w:val="top"/>
          </w:tcPr>
          <w:p w14:paraId="72FC26AD">
            <w:pPr>
              <w:rPr>
                <w:rFonts w:ascii="Arial"/>
                <w:sz w:val="21"/>
              </w:rPr>
            </w:pPr>
          </w:p>
        </w:tc>
        <w:tc>
          <w:tcPr>
            <w:tcW w:w="409" w:type="dxa"/>
            <w:vMerge w:val="continue"/>
            <w:tcBorders>
              <w:top w:val="nil"/>
            </w:tcBorders>
            <w:textDirection w:val="tbRlV"/>
            <w:vAlign w:val="top"/>
          </w:tcPr>
          <w:p w14:paraId="32218F65">
            <w:pPr>
              <w:rPr>
                <w:rFonts w:ascii="Arial"/>
                <w:sz w:val="21"/>
              </w:rPr>
            </w:pPr>
          </w:p>
        </w:tc>
        <w:tc>
          <w:tcPr>
            <w:tcW w:w="859" w:type="dxa"/>
            <w:vMerge w:val="continue"/>
            <w:tcBorders>
              <w:top w:val="nil"/>
            </w:tcBorders>
            <w:vAlign w:val="top"/>
          </w:tcPr>
          <w:p w14:paraId="79F433D8">
            <w:pPr>
              <w:rPr>
                <w:rFonts w:ascii="Arial"/>
                <w:sz w:val="21"/>
              </w:rPr>
            </w:pPr>
          </w:p>
        </w:tc>
        <w:tc>
          <w:tcPr>
            <w:tcW w:w="629" w:type="dxa"/>
            <w:vAlign w:val="top"/>
          </w:tcPr>
          <w:p w14:paraId="46D0A465">
            <w:pPr>
              <w:spacing w:line="256" w:lineRule="auto"/>
              <w:rPr>
                <w:rFonts w:ascii="Arial"/>
                <w:sz w:val="21"/>
              </w:rPr>
            </w:pPr>
          </w:p>
          <w:p w14:paraId="337CCE83">
            <w:pPr>
              <w:pStyle w:val="6"/>
              <w:spacing w:before="59"/>
              <w:ind w:left="262"/>
              <w:rPr>
                <w:sz w:val="18"/>
                <w:szCs w:val="18"/>
              </w:rPr>
            </w:pPr>
            <w:r>
              <w:rPr>
                <w:sz w:val="18"/>
                <w:szCs w:val="18"/>
              </w:rPr>
              <w:t>6</w:t>
            </w:r>
          </w:p>
        </w:tc>
        <w:tc>
          <w:tcPr>
            <w:tcW w:w="2487" w:type="dxa"/>
            <w:vAlign w:val="top"/>
          </w:tcPr>
          <w:p w14:paraId="55A532A4">
            <w:pPr>
              <w:pStyle w:val="6"/>
              <w:spacing w:before="58" w:line="219" w:lineRule="auto"/>
              <w:ind w:left="153"/>
              <w:rPr>
                <w:sz w:val="18"/>
                <w:szCs w:val="18"/>
              </w:rPr>
            </w:pPr>
            <w:r>
              <w:rPr>
                <w:spacing w:val="-1"/>
                <w:sz w:val="18"/>
                <w:szCs w:val="18"/>
              </w:rPr>
              <w:t>距离低于100m时在光伏矩阵</w:t>
            </w:r>
          </w:p>
          <w:p w14:paraId="511C1AD2">
            <w:pPr>
              <w:pStyle w:val="6"/>
              <w:spacing w:before="36" w:line="219" w:lineRule="auto"/>
              <w:ind w:left="153"/>
              <w:rPr>
                <w:sz w:val="18"/>
                <w:szCs w:val="18"/>
              </w:rPr>
            </w:pPr>
            <w:r>
              <w:rPr>
                <w:spacing w:val="-1"/>
                <w:sz w:val="18"/>
                <w:szCs w:val="18"/>
              </w:rPr>
              <w:t>施工场地面向村庄一侧设置</w:t>
            </w:r>
          </w:p>
          <w:p w14:paraId="7CDF8143">
            <w:pPr>
              <w:pStyle w:val="6"/>
              <w:spacing w:before="7" w:line="213" w:lineRule="auto"/>
              <w:ind w:left="604"/>
              <w:rPr>
                <w:sz w:val="18"/>
                <w:szCs w:val="18"/>
              </w:rPr>
            </w:pPr>
            <w:r>
              <w:rPr>
                <w:spacing w:val="-1"/>
                <w:sz w:val="18"/>
                <w:szCs w:val="18"/>
              </w:rPr>
              <w:t>移动式隔声屏障</w:t>
            </w:r>
          </w:p>
        </w:tc>
        <w:tc>
          <w:tcPr>
            <w:tcW w:w="1708" w:type="dxa"/>
            <w:vAlign w:val="top"/>
          </w:tcPr>
          <w:p w14:paraId="11301DE8">
            <w:pPr>
              <w:spacing w:line="244" w:lineRule="auto"/>
              <w:rPr>
                <w:rFonts w:ascii="Arial"/>
                <w:sz w:val="21"/>
              </w:rPr>
            </w:pPr>
          </w:p>
          <w:p w14:paraId="6EBAA6F4">
            <w:pPr>
              <w:pStyle w:val="6"/>
              <w:spacing w:before="59" w:line="224" w:lineRule="auto"/>
              <w:ind w:left="807"/>
              <w:rPr>
                <w:sz w:val="18"/>
                <w:szCs w:val="18"/>
              </w:rPr>
            </w:pPr>
            <w:r>
              <w:rPr>
                <w:sz w:val="18"/>
                <w:szCs w:val="18"/>
              </w:rPr>
              <w:t>/</w:t>
            </w:r>
          </w:p>
        </w:tc>
        <w:tc>
          <w:tcPr>
            <w:tcW w:w="1049" w:type="dxa"/>
            <w:vAlign w:val="top"/>
          </w:tcPr>
          <w:p w14:paraId="5E0070C1">
            <w:pPr>
              <w:spacing w:line="257" w:lineRule="auto"/>
              <w:rPr>
                <w:rFonts w:ascii="Arial"/>
                <w:sz w:val="21"/>
              </w:rPr>
            </w:pPr>
          </w:p>
          <w:p w14:paraId="76A15A8A">
            <w:pPr>
              <w:pStyle w:val="6"/>
              <w:spacing w:before="58" w:line="239" w:lineRule="auto"/>
              <w:ind w:left="339"/>
              <w:rPr>
                <w:sz w:val="18"/>
                <w:szCs w:val="18"/>
              </w:rPr>
            </w:pPr>
            <w:r>
              <w:rPr>
                <w:spacing w:val="-2"/>
                <w:sz w:val="18"/>
                <w:szCs w:val="18"/>
              </w:rPr>
              <w:t>25.0</w:t>
            </w:r>
          </w:p>
        </w:tc>
        <w:tc>
          <w:tcPr>
            <w:tcW w:w="1039" w:type="dxa"/>
            <w:vAlign w:val="top"/>
          </w:tcPr>
          <w:p w14:paraId="3DEF1FD7">
            <w:pPr>
              <w:rPr>
                <w:rFonts w:ascii="Arial"/>
                <w:sz w:val="21"/>
              </w:rPr>
            </w:pPr>
          </w:p>
          <w:p w14:paraId="13172A5B">
            <w:pPr>
              <w:pStyle w:val="6"/>
              <w:spacing w:before="58" w:line="220" w:lineRule="auto"/>
              <w:ind w:left="160"/>
              <w:rPr>
                <w:sz w:val="18"/>
                <w:szCs w:val="18"/>
              </w:rPr>
            </w:pPr>
            <w:r>
              <w:rPr>
                <w:spacing w:val="3"/>
                <w:sz w:val="18"/>
                <w:szCs w:val="18"/>
              </w:rPr>
              <w:t>环评新增</w:t>
            </w:r>
          </w:p>
        </w:tc>
        <w:tc>
          <w:tcPr>
            <w:tcW w:w="135" w:type="dxa"/>
            <w:vMerge w:val="continue"/>
            <w:tcBorders>
              <w:top w:val="nil"/>
            </w:tcBorders>
            <w:vAlign w:val="top"/>
          </w:tcPr>
          <w:p w14:paraId="58B896F1">
            <w:pPr>
              <w:rPr>
                <w:rFonts w:ascii="Arial"/>
                <w:sz w:val="21"/>
              </w:rPr>
            </w:pPr>
          </w:p>
        </w:tc>
      </w:tr>
    </w:tbl>
    <w:p w14:paraId="711E17D5">
      <w:pPr>
        <w:pStyle w:val="2"/>
      </w:pPr>
    </w:p>
    <w:p w14:paraId="09B7F182">
      <w:pPr>
        <w:sectPr>
          <w:footerReference r:id="rId212" w:type="default"/>
          <w:pgSz w:w="11910" w:h="16840"/>
          <w:pgMar w:top="400" w:right="1395" w:bottom="1269" w:left="1314" w:header="0" w:footer="1089" w:gutter="0"/>
          <w:cols w:space="720" w:num="1"/>
        </w:sectPr>
      </w:pPr>
    </w:p>
    <w:p w14:paraId="40811932">
      <w:pPr>
        <w:spacing w:before="18"/>
      </w:pPr>
    </w:p>
    <w:p w14:paraId="4812892A">
      <w:pPr>
        <w:spacing w:before="17"/>
      </w:pPr>
    </w:p>
    <w:p w14:paraId="7CC57DF3">
      <w:pPr>
        <w:spacing w:before="17"/>
      </w:pPr>
    </w:p>
    <w:p w14:paraId="2578A9F9">
      <w:pPr>
        <w:spacing w:before="17"/>
      </w:pPr>
    </w:p>
    <w:tbl>
      <w:tblPr>
        <w:tblStyle w:val="5"/>
        <w:tblW w:w="91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110"/>
        <w:gridCol w:w="429"/>
        <w:gridCol w:w="829"/>
        <w:gridCol w:w="619"/>
        <w:gridCol w:w="2517"/>
        <w:gridCol w:w="1738"/>
        <w:gridCol w:w="1029"/>
        <w:gridCol w:w="1049"/>
        <w:gridCol w:w="115"/>
      </w:tblGrid>
      <w:tr w14:paraId="0070F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754" w:type="dxa"/>
            <w:vMerge w:val="restart"/>
            <w:tcBorders>
              <w:bottom w:val="nil"/>
            </w:tcBorders>
            <w:vAlign w:val="top"/>
          </w:tcPr>
          <w:p w14:paraId="27AD8D2A">
            <w:pPr>
              <w:rPr>
                <w:rFonts w:ascii="Arial"/>
                <w:sz w:val="21"/>
              </w:rPr>
            </w:pPr>
          </w:p>
        </w:tc>
        <w:tc>
          <w:tcPr>
            <w:tcW w:w="110" w:type="dxa"/>
            <w:tcBorders>
              <w:bottom w:val="nil"/>
            </w:tcBorders>
            <w:vAlign w:val="top"/>
          </w:tcPr>
          <w:p w14:paraId="6B6258B0">
            <w:pPr>
              <w:rPr>
                <w:rFonts w:ascii="Arial"/>
                <w:sz w:val="21"/>
              </w:rPr>
            </w:pPr>
          </w:p>
        </w:tc>
        <w:tc>
          <w:tcPr>
            <w:tcW w:w="429" w:type="dxa"/>
            <w:vAlign w:val="top"/>
          </w:tcPr>
          <w:p w14:paraId="0458501D">
            <w:pPr>
              <w:rPr>
                <w:rFonts w:ascii="Arial"/>
                <w:sz w:val="21"/>
              </w:rPr>
            </w:pPr>
          </w:p>
        </w:tc>
        <w:tc>
          <w:tcPr>
            <w:tcW w:w="829" w:type="dxa"/>
            <w:vAlign w:val="top"/>
          </w:tcPr>
          <w:p w14:paraId="23E53BA2">
            <w:pPr>
              <w:pStyle w:val="6"/>
              <w:spacing w:before="32" w:line="207" w:lineRule="auto"/>
              <w:ind w:left="142" w:right="143" w:firstLine="79"/>
              <w:rPr>
                <w:sz w:val="18"/>
                <w:szCs w:val="18"/>
              </w:rPr>
            </w:pPr>
            <w:r>
              <w:rPr>
                <w:spacing w:val="3"/>
                <w:sz w:val="18"/>
                <w:szCs w:val="18"/>
              </w:rPr>
              <w:t>固体</w:t>
            </w:r>
            <w:r>
              <w:rPr>
                <w:sz w:val="18"/>
                <w:szCs w:val="18"/>
              </w:rPr>
              <w:t xml:space="preserve">  </w:t>
            </w:r>
            <w:r>
              <w:rPr>
                <w:spacing w:val="-3"/>
                <w:sz w:val="18"/>
                <w:szCs w:val="18"/>
              </w:rPr>
              <w:t>废弃物</w:t>
            </w:r>
          </w:p>
        </w:tc>
        <w:tc>
          <w:tcPr>
            <w:tcW w:w="619" w:type="dxa"/>
            <w:vAlign w:val="top"/>
          </w:tcPr>
          <w:p w14:paraId="0A7C3B92">
            <w:pPr>
              <w:pStyle w:val="6"/>
              <w:spacing w:before="160" w:line="241" w:lineRule="auto"/>
              <w:ind w:left="252"/>
              <w:rPr>
                <w:sz w:val="18"/>
                <w:szCs w:val="18"/>
              </w:rPr>
            </w:pPr>
            <w:r>
              <w:rPr>
                <w:sz w:val="18"/>
                <w:szCs w:val="18"/>
              </w:rPr>
              <w:t>1</w:t>
            </w:r>
          </w:p>
        </w:tc>
        <w:tc>
          <w:tcPr>
            <w:tcW w:w="2517" w:type="dxa"/>
            <w:vAlign w:val="top"/>
          </w:tcPr>
          <w:p w14:paraId="1F713DD3">
            <w:pPr>
              <w:pStyle w:val="6"/>
              <w:spacing w:before="31" w:line="217" w:lineRule="auto"/>
              <w:ind w:left="623" w:right="449" w:hanging="180"/>
              <w:rPr>
                <w:sz w:val="18"/>
                <w:szCs w:val="18"/>
              </w:rPr>
            </w:pPr>
            <w:r>
              <w:rPr>
                <w:spacing w:val="-1"/>
                <w:sz w:val="18"/>
                <w:szCs w:val="18"/>
              </w:rPr>
              <w:t>施工场地带盖移动式</w:t>
            </w:r>
            <w:r>
              <w:rPr>
                <w:spacing w:val="1"/>
                <w:sz w:val="18"/>
                <w:szCs w:val="18"/>
              </w:rPr>
              <w:t xml:space="preserve"> 生活垃圾收集桶</w:t>
            </w:r>
          </w:p>
        </w:tc>
        <w:tc>
          <w:tcPr>
            <w:tcW w:w="1738" w:type="dxa"/>
            <w:vAlign w:val="top"/>
          </w:tcPr>
          <w:p w14:paraId="1EC7F1D9">
            <w:pPr>
              <w:pStyle w:val="6"/>
              <w:spacing w:before="142" w:line="219" w:lineRule="auto"/>
              <w:ind w:left="727"/>
              <w:rPr>
                <w:sz w:val="18"/>
                <w:szCs w:val="18"/>
              </w:rPr>
            </w:pPr>
            <w:r>
              <w:rPr>
                <w:spacing w:val="-2"/>
                <w:sz w:val="18"/>
                <w:szCs w:val="18"/>
              </w:rPr>
              <w:t>3个</w:t>
            </w:r>
          </w:p>
        </w:tc>
        <w:tc>
          <w:tcPr>
            <w:tcW w:w="1029" w:type="dxa"/>
            <w:vAlign w:val="top"/>
          </w:tcPr>
          <w:p w14:paraId="28DBF753">
            <w:pPr>
              <w:pStyle w:val="6"/>
              <w:spacing w:before="160" w:line="239" w:lineRule="auto"/>
              <w:ind w:left="329"/>
              <w:rPr>
                <w:sz w:val="18"/>
                <w:szCs w:val="18"/>
              </w:rPr>
            </w:pPr>
            <w:r>
              <w:rPr>
                <w:spacing w:val="-2"/>
                <w:sz w:val="18"/>
                <w:szCs w:val="18"/>
              </w:rPr>
              <w:t>0.15</w:t>
            </w:r>
          </w:p>
        </w:tc>
        <w:tc>
          <w:tcPr>
            <w:tcW w:w="1049" w:type="dxa"/>
            <w:vAlign w:val="top"/>
          </w:tcPr>
          <w:p w14:paraId="5540998F">
            <w:pPr>
              <w:pStyle w:val="6"/>
              <w:spacing w:before="142" w:line="220" w:lineRule="auto"/>
              <w:ind w:left="160"/>
              <w:rPr>
                <w:sz w:val="18"/>
                <w:szCs w:val="18"/>
              </w:rPr>
            </w:pPr>
            <w:r>
              <w:rPr>
                <w:spacing w:val="3"/>
                <w:sz w:val="18"/>
                <w:szCs w:val="18"/>
              </w:rPr>
              <w:t>环评新增</w:t>
            </w:r>
          </w:p>
        </w:tc>
        <w:tc>
          <w:tcPr>
            <w:tcW w:w="115" w:type="dxa"/>
            <w:vMerge w:val="restart"/>
            <w:tcBorders>
              <w:bottom w:val="nil"/>
            </w:tcBorders>
            <w:vAlign w:val="top"/>
          </w:tcPr>
          <w:p w14:paraId="6108052E">
            <w:pPr>
              <w:rPr>
                <w:rFonts w:ascii="Arial"/>
                <w:sz w:val="21"/>
              </w:rPr>
            </w:pPr>
          </w:p>
        </w:tc>
      </w:tr>
      <w:tr w14:paraId="78EC7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54" w:type="dxa"/>
            <w:vMerge w:val="continue"/>
            <w:tcBorders>
              <w:top w:val="nil"/>
              <w:bottom w:val="nil"/>
            </w:tcBorders>
            <w:vAlign w:val="top"/>
          </w:tcPr>
          <w:p w14:paraId="4EAF2DCF">
            <w:pPr>
              <w:rPr>
                <w:rFonts w:ascii="Arial"/>
                <w:sz w:val="21"/>
              </w:rPr>
            </w:pPr>
          </w:p>
        </w:tc>
        <w:tc>
          <w:tcPr>
            <w:tcW w:w="110" w:type="dxa"/>
            <w:tcBorders>
              <w:top w:val="nil"/>
              <w:bottom w:val="nil"/>
            </w:tcBorders>
            <w:vAlign w:val="top"/>
          </w:tcPr>
          <w:p w14:paraId="60910D11">
            <w:pPr>
              <w:rPr>
                <w:rFonts w:ascii="Arial"/>
                <w:sz w:val="21"/>
              </w:rPr>
            </w:pPr>
          </w:p>
        </w:tc>
        <w:tc>
          <w:tcPr>
            <w:tcW w:w="429" w:type="dxa"/>
            <w:vMerge w:val="restart"/>
            <w:tcBorders>
              <w:bottom w:val="nil"/>
            </w:tcBorders>
            <w:textDirection w:val="tbRlV"/>
            <w:vAlign w:val="top"/>
          </w:tcPr>
          <w:p w14:paraId="6AFED971">
            <w:pPr>
              <w:pStyle w:val="6"/>
              <w:spacing w:before="144" w:line="202" w:lineRule="auto"/>
              <w:ind w:left="3333"/>
              <w:rPr>
                <w:sz w:val="18"/>
                <w:szCs w:val="18"/>
              </w:rPr>
            </w:pPr>
            <w:r>
              <w:rPr>
                <w:sz w:val="18"/>
                <w:szCs w:val="18"/>
              </w:rPr>
              <w:t>运</w:t>
            </w:r>
            <w:r>
              <w:rPr>
                <w:spacing w:val="-10"/>
                <w:sz w:val="18"/>
                <w:szCs w:val="18"/>
              </w:rPr>
              <w:t xml:space="preserve"> </w:t>
            </w:r>
            <w:r>
              <w:rPr>
                <w:sz w:val="18"/>
                <w:szCs w:val="18"/>
              </w:rPr>
              <w:t>营</w:t>
            </w:r>
            <w:r>
              <w:rPr>
                <w:spacing w:val="-10"/>
                <w:sz w:val="18"/>
                <w:szCs w:val="18"/>
              </w:rPr>
              <w:t xml:space="preserve"> </w:t>
            </w:r>
            <w:r>
              <w:rPr>
                <w:sz w:val="18"/>
                <w:szCs w:val="18"/>
              </w:rPr>
              <w:t>期</w:t>
            </w:r>
          </w:p>
        </w:tc>
        <w:tc>
          <w:tcPr>
            <w:tcW w:w="829" w:type="dxa"/>
            <w:vMerge w:val="restart"/>
            <w:tcBorders>
              <w:bottom w:val="nil"/>
            </w:tcBorders>
            <w:vAlign w:val="top"/>
          </w:tcPr>
          <w:p w14:paraId="53B613A6">
            <w:pPr>
              <w:spacing w:line="290" w:lineRule="auto"/>
              <w:rPr>
                <w:rFonts w:ascii="Arial"/>
                <w:sz w:val="21"/>
              </w:rPr>
            </w:pPr>
          </w:p>
          <w:p w14:paraId="3C51F022">
            <w:pPr>
              <w:spacing w:line="290" w:lineRule="auto"/>
              <w:rPr>
                <w:rFonts w:ascii="Arial"/>
                <w:sz w:val="21"/>
              </w:rPr>
            </w:pPr>
          </w:p>
          <w:p w14:paraId="1B78104F">
            <w:pPr>
              <w:spacing w:line="290" w:lineRule="auto"/>
              <w:rPr>
                <w:rFonts w:ascii="Arial"/>
                <w:sz w:val="21"/>
              </w:rPr>
            </w:pPr>
          </w:p>
          <w:p w14:paraId="608CF1C5">
            <w:pPr>
              <w:spacing w:line="291" w:lineRule="auto"/>
              <w:rPr>
                <w:rFonts w:ascii="Arial"/>
                <w:sz w:val="21"/>
              </w:rPr>
            </w:pPr>
          </w:p>
          <w:p w14:paraId="7EBB654E">
            <w:pPr>
              <w:pStyle w:val="6"/>
              <w:spacing w:before="59" w:line="219" w:lineRule="auto"/>
              <w:ind w:left="221"/>
              <w:rPr>
                <w:sz w:val="18"/>
                <w:szCs w:val="18"/>
              </w:rPr>
            </w:pPr>
            <w:r>
              <w:rPr>
                <w:spacing w:val="-2"/>
                <w:sz w:val="18"/>
                <w:szCs w:val="18"/>
              </w:rPr>
              <w:t>废水</w:t>
            </w:r>
          </w:p>
        </w:tc>
        <w:tc>
          <w:tcPr>
            <w:tcW w:w="619" w:type="dxa"/>
            <w:vAlign w:val="top"/>
          </w:tcPr>
          <w:p w14:paraId="373F3420">
            <w:pPr>
              <w:pStyle w:val="6"/>
              <w:spacing w:before="165" w:line="241" w:lineRule="auto"/>
              <w:ind w:left="252"/>
              <w:rPr>
                <w:sz w:val="18"/>
                <w:szCs w:val="18"/>
              </w:rPr>
            </w:pPr>
            <w:r>
              <w:rPr>
                <w:sz w:val="18"/>
                <w:szCs w:val="18"/>
              </w:rPr>
              <w:t>1</w:t>
            </w:r>
          </w:p>
        </w:tc>
        <w:tc>
          <w:tcPr>
            <w:tcW w:w="2517" w:type="dxa"/>
            <w:vAlign w:val="top"/>
          </w:tcPr>
          <w:p w14:paraId="7601217C">
            <w:pPr>
              <w:pStyle w:val="6"/>
              <w:spacing w:before="28" w:line="216" w:lineRule="auto"/>
              <w:ind w:left="982" w:right="181" w:hanging="809"/>
              <w:rPr>
                <w:sz w:val="18"/>
                <w:szCs w:val="18"/>
              </w:rPr>
            </w:pPr>
            <w:r>
              <w:rPr>
                <w:spacing w:val="-1"/>
                <w:sz w:val="18"/>
                <w:szCs w:val="18"/>
              </w:rPr>
              <w:t>升压站雨污分流系统及给排</w:t>
            </w:r>
            <w:r>
              <w:rPr>
                <w:spacing w:val="2"/>
                <w:sz w:val="18"/>
                <w:szCs w:val="18"/>
              </w:rPr>
              <w:t xml:space="preserve"> </w:t>
            </w:r>
            <w:r>
              <w:rPr>
                <w:spacing w:val="-3"/>
                <w:sz w:val="18"/>
                <w:szCs w:val="18"/>
              </w:rPr>
              <w:t>水系统</w:t>
            </w:r>
          </w:p>
        </w:tc>
        <w:tc>
          <w:tcPr>
            <w:tcW w:w="1738" w:type="dxa"/>
            <w:vAlign w:val="top"/>
          </w:tcPr>
          <w:p w14:paraId="2F3CB22E">
            <w:pPr>
              <w:pStyle w:val="6"/>
              <w:spacing w:before="148" w:line="220" w:lineRule="auto"/>
              <w:ind w:left="727"/>
              <w:rPr>
                <w:sz w:val="18"/>
                <w:szCs w:val="18"/>
              </w:rPr>
            </w:pPr>
            <w:r>
              <w:rPr>
                <w:spacing w:val="4"/>
                <w:sz w:val="18"/>
                <w:szCs w:val="18"/>
              </w:rPr>
              <w:t>1套</w:t>
            </w:r>
          </w:p>
        </w:tc>
        <w:tc>
          <w:tcPr>
            <w:tcW w:w="1029" w:type="dxa"/>
            <w:vAlign w:val="top"/>
          </w:tcPr>
          <w:p w14:paraId="40F4A797">
            <w:pPr>
              <w:pStyle w:val="6"/>
              <w:spacing w:before="164"/>
              <w:ind w:left="419"/>
              <w:rPr>
                <w:sz w:val="18"/>
                <w:szCs w:val="18"/>
              </w:rPr>
            </w:pPr>
            <w:r>
              <w:rPr>
                <w:spacing w:val="-2"/>
                <w:sz w:val="18"/>
                <w:szCs w:val="18"/>
              </w:rPr>
              <w:t>40</w:t>
            </w:r>
          </w:p>
        </w:tc>
        <w:tc>
          <w:tcPr>
            <w:tcW w:w="1049" w:type="dxa"/>
            <w:vAlign w:val="top"/>
          </w:tcPr>
          <w:p w14:paraId="36DB2938">
            <w:pPr>
              <w:pStyle w:val="6"/>
              <w:spacing w:before="148" w:line="220" w:lineRule="auto"/>
              <w:ind w:left="160"/>
              <w:rPr>
                <w:sz w:val="18"/>
                <w:szCs w:val="18"/>
              </w:rPr>
            </w:pPr>
            <w:r>
              <w:rPr>
                <w:spacing w:val="-2"/>
                <w:sz w:val="18"/>
                <w:szCs w:val="18"/>
              </w:rPr>
              <w:t>可研已有</w:t>
            </w:r>
          </w:p>
        </w:tc>
        <w:tc>
          <w:tcPr>
            <w:tcW w:w="115" w:type="dxa"/>
            <w:vMerge w:val="continue"/>
            <w:tcBorders>
              <w:top w:val="nil"/>
              <w:bottom w:val="nil"/>
            </w:tcBorders>
            <w:vAlign w:val="top"/>
          </w:tcPr>
          <w:p w14:paraId="16FC9138">
            <w:pPr>
              <w:rPr>
                <w:rFonts w:ascii="Arial"/>
                <w:sz w:val="21"/>
              </w:rPr>
            </w:pPr>
          </w:p>
        </w:tc>
      </w:tr>
      <w:tr w14:paraId="2C473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754" w:type="dxa"/>
            <w:vMerge w:val="continue"/>
            <w:tcBorders>
              <w:top w:val="nil"/>
              <w:bottom w:val="nil"/>
            </w:tcBorders>
            <w:vAlign w:val="top"/>
          </w:tcPr>
          <w:p w14:paraId="04F98D17">
            <w:pPr>
              <w:rPr>
                <w:rFonts w:ascii="Arial"/>
                <w:sz w:val="21"/>
              </w:rPr>
            </w:pPr>
          </w:p>
        </w:tc>
        <w:tc>
          <w:tcPr>
            <w:tcW w:w="110" w:type="dxa"/>
            <w:tcBorders>
              <w:top w:val="nil"/>
              <w:bottom w:val="nil"/>
            </w:tcBorders>
            <w:vAlign w:val="top"/>
          </w:tcPr>
          <w:p w14:paraId="36FFD85F">
            <w:pPr>
              <w:rPr>
                <w:rFonts w:ascii="Arial"/>
                <w:sz w:val="21"/>
              </w:rPr>
            </w:pPr>
          </w:p>
        </w:tc>
        <w:tc>
          <w:tcPr>
            <w:tcW w:w="429" w:type="dxa"/>
            <w:vMerge w:val="continue"/>
            <w:tcBorders>
              <w:top w:val="nil"/>
              <w:bottom w:val="nil"/>
            </w:tcBorders>
            <w:textDirection w:val="tbRlV"/>
            <w:vAlign w:val="top"/>
          </w:tcPr>
          <w:p w14:paraId="0BC86B1A">
            <w:pPr>
              <w:rPr>
                <w:rFonts w:ascii="Arial"/>
                <w:sz w:val="21"/>
              </w:rPr>
            </w:pPr>
          </w:p>
        </w:tc>
        <w:tc>
          <w:tcPr>
            <w:tcW w:w="829" w:type="dxa"/>
            <w:vMerge w:val="continue"/>
            <w:tcBorders>
              <w:top w:val="nil"/>
              <w:bottom w:val="nil"/>
            </w:tcBorders>
            <w:vAlign w:val="top"/>
          </w:tcPr>
          <w:p w14:paraId="5B31CCED">
            <w:pPr>
              <w:rPr>
                <w:rFonts w:ascii="Arial"/>
                <w:sz w:val="21"/>
              </w:rPr>
            </w:pPr>
          </w:p>
        </w:tc>
        <w:tc>
          <w:tcPr>
            <w:tcW w:w="619" w:type="dxa"/>
            <w:vAlign w:val="top"/>
          </w:tcPr>
          <w:p w14:paraId="0F95FB06">
            <w:pPr>
              <w:pStyle w:val="6"/>
              <w:spacing w:before="135" w:line="241" w:lineRule="auto"/>
              <w:ind w:left="252"/>
              <w:rPr>
                <w:sz w:val="18"/>
                <w:szCs w:val="18"/>
              </w:rPr>
            </w:pPr>
            <w:r>
              <w:rPr>
                <w:sz w:val="18"/>
                <w:szCs w:val="18"/>
              </w:rPr>
              <w:t>2</w:t>
            </w:r>
          </w:p>
        </w:tc>
        <w:tc>
          <w:tcPr>
            <w:tcW w:w="2517" w:type="dxa"/>
            <w:vAlign w:val="top"/>
          </w:tcPr>
          <w:p w14:paraId="362B6B0D">
            <w:pPr>
              <w:pStyle w:val="6"/>
              <w:spacing w:before="117" w:line="219" w:lineRule="auto"/>
              <w:ind w:left="354"/>
              <w:rPr>
                <w:sz w:val="18"/>
                <w:szCs w:val="18"/>
              </w:rPr>
            </w:pPr>
            <w:r>
              <w:rPr>
                <w:spacing w:val="-1"/>
                <w:sz w:val="18"/>
                <w:szCs w:val="18"/>
              </w:rPr>
              <w:t>升压站食堂废水隔油池</w:t>
            </w:r>
          </w:p>
        </w:tc>
        <w:tc>
          <w:tcPr>
            <w:tcW w:w="1738" w:type="dxa"/>
            <w:vAlign w:val="top"/>
          </w:tcPr>
          <w:p w14:paraId="7060F961">
            <w:pPr>
              <w:pStyle w:val="6"/>
              <w:spacing w:before="117" w:line="219" w:lineRule="auto"/>
              <w:ind w:left="366"/>
              <w:rPr>
                <w:sz w:val="18"/>
                <w:szCs w:val="18"/>
              </w:rPr>
            </w:pPr>
            <w:r>
              <w:rPr>
                <w:spacing w:val="16"/>
                <w:sz w:val="18"/>
                <w:szCs w:val="18"/>
              </w:rPr>
              <w:t>1个，0.2m³</w:t>
            </w:r>
          </w:p>
        </w:tc>
        <w:tc>
          <w:tcPr>
            <w:tcW w:w="1029" w:type="dxa"/>
            <w:vAlign w:val="top"/>
          </w:tcPr>
          <w:p w14:paraId="0513F591">
            <w:pPr>
              <w:pStyle w:val="6"/>
              <w:spacing w:before="135" w:line="239" w:lineRule="auto"/>
              <w:ind w:left="379"/>
              <w:rPr>
                <w:sz w:val="18"/>
                <w:szCs w:val="18"/>
              </w:rPr>
            </w:pPr>
            <w:r>
              <w:rPr>
                <w:spacing w:val="-2"/>
                <w:sz w:val="18"/>
                <w:szCs w:val="18"/>
              </w:rPr>
              <w:t>0.5</w:t>
            </w:r>
          </w:p>
        </w:tc>
        <w:tc>
          <w:tcPr>
            <w:tcW w:w="1049" w:type="dxa"/>
            <w:vAlign w:val="top"/>
          </w:tcPr>
          <w:p w14:paraId="536B4B41">
            <w:pPr>
              <w:pStyle w:val="6"/>
              <w:spacing w:before="117" w:line="220" w:lineRule="auto"/>
              <w:ind w:left="160"/>
              <w:rPr>
                <w:sz w:val="18"/>
                <w:szCs w:val="18"/>
              </w:rPr>
            </w:pPr>
            <w:r>
              <w:rPr>
                <w:spacing w:val="-2"/>
                <w:sz w:val="18"/>
                <w:szCs w:val="18"/>
              </w:rPr>
              <w:t>可研已有</w:t>
            </w:r>
          </w:p>
        </w:tc>
        <w:tc>
          <w:tcPr>
            <w:tcW w:w="115" w:type="dxa"/>
            <w:vMerge w:val="continue"/>
            <w:tcBorders>
              <w:top w:val="nil"/>
              <w:bottom w:val="nil"/>
            </w:tcBorders>
            <w:vAlign w:val="top"/>
          </w:tcPr>
          <w:p w14:paraId="2C1F67E0">
            <w:pPr>
              <w:rPr>
                <w:rFonts w:ascii="Arial"/>
                <w:sz w:val="21"/>
              </w:rPr>
            </w:pPr>
          </w:p>
        </w:tc>
      </w:tr>
      <w:tr w14:paraId="62525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754" w:type="dxa"/>
            <w:vMerge w:val="continue"/>
            <w:tcBorders>
              <w:top w:val="nil"/>
              <w:bottom w:val="nil"/>
            </w:tcBorders>
            <w:vAlign w:val="top"/>
          </w:tcPr>
          <w:p w14:paraId="30F47F06">
            <w:pPr>
              <w:rPr>
                <w:rFonts w:ascii="Arial"/>
                <w:sz w:val="21"/>
              </w:rPr>
            </w:pPr>
          </w:p>
        </w:tc>
        <w:tc>
          <w:tcPr>
            <w:tcW w:w="110" w:type="dxa"/>
            <w:tcBorders>
              <w:top w:val="nil"/>
              <w:bottom w:val="nil"/>
            </w:tcBorders>
            <w:vAlign w:val="top"/>
          </w:tcPr>
          <w:p w14:paraId="67145266">
            <w:pPr>
              <w:rPr>
                <w:rFonts w:ascii="Arial"/>
                <w:sz w:val="21"/>
              </w:rPr>
            </w:pPr>
          </w:p>
        </w:tc>
        <w:tc>
          <w:tcPr>
            <w:tcW w:w="429" w:type="dxa"/>
            <w:vMerge w:val="continue"/>
            <w:tcBorders>
              <w:top w:val="nil"/>
              <w:bottom w:val="nil"/>
            </w:tcBorders>
            <w:textDirection w:val="tbRlV"/>
            <w:vAlign w:val="top"/>
          </w:tcPr>
          <w:p w14:paraId="2BEA7D98">
            <w:pPr>
              <w:rPr>
                <w:rFonts w:ascii="Arial"/>
                <w:sz w:val="21"/>
              </w:rPr>
            </w:pPr>
          </w:p>
        </w:tc>
        <w:tc>
          <w:tcPr>
            <w:tcW w:w="829" w:type="dxa"/>
            <w:vMerge w:val="continue"/>
            <w:tcBorders>
              <w:top w:val="nil"/>
              <w:bottom w:val="nil"/>
            </w:tcBorders>
            <w:vAlign w:val="top"/>
          </w:tcPr>
          <w:p w14:paraId="7FFFC979">
            <w:pPr>
              <w:rPr>
                <w:rFonts w:ascii="Arial"/>
                <w:sz w:val="21"/>
              </w:rPr>
            </w:pPr>
          </w:p>
        </w:tc>
        <w:tc>
          <w:tcPr>
            <w:tcW w:w="619" w:type="dxa"/>
            <w:vAlign w:val="top"/>
          </w:tcPr>
          <w:p w14:paraId="2529AA9B">
            <w:pPr>
              <w:pStyle w:val="6"/>
              <w:spacing w:before="128"/>
              <w:ind w:left="252"/>
              <w:rPr>
                <w:sz w:val="18"/>
                <w:szCs w:val="18"/>
              </w:rPr>
            </w:pPr>
            <w:r>
              <w:rPr>
                <w:sz w:val="18"/>
                <w:szCs w:val="18"/>
              </w:rPr>
              <w:t>3</w:t>
            </w:r>
          </w:p>
        </w:tc>
        <w:tc>
          <w:tcPr>
            <w:tcW w:w="2517" w:type="dxa"/>
            <w:vAlign w:val="top"/>
          </w:tcPr>
          <w:p w14:paraId="7931346A">
            <w:pPr>
              <w:pStyle w:val="6"/>
              <w:spacing w:before="111" w:line="219" w:lineRule="auto"/>
              <w:ind w:left="354"/>
              <w:rPr>
                <w:sz w:val="18"/>
                <w:szCs w:val="18"/>
              </w:rPr>
            </w:pPr>
            <w:r>
              <w:rPr>
                <w:spacing w:val="-1"/>
                <w:sz w:val="18"/>
                <w:szCs w:val="18"/>
              </w:rPr>
              <w:t>升压站生活污水化粪池</w:t>
            </w:r>
          </w:p>
        </w:tc>
        <w:tc>
          <w:tcPr>
            <w:tcW w:w="1738" w:type="dxa"/>
            <w:vAlign w:val="top"/>
          </w:tcPr>
          <w:p w14:paraId="0E611879">
            <w:pPr>
              <w:pStyle w:val="6"/>
              <w:spacing w:before="111" w:line="219" w:lineRule="auto"/>
              <w:ind w:left="366"/>
              <w:rPr>
                <w:sz w:val="18"/>
                <w:szCs w:val="18"/>
              </w:rPr>
            </w:pPr>
            <w:r>
              <w:rPr>
                <w:spacing w:val="16"/>
                <w:sz w:val="18"/>
                <w:szCs w:val="18"/>
              </w:rPr>
              <w:t>1个，1.0m³</w:t>
            </w:r>
          </w:p>
        </w:tc>
        <w:tc>
          <w:tcPr>
            <w:tcW w:w="1029" w:type="dxa"/>
            <w:vAlign w:val="top"/>
          </w:tcPr>
          <w:p w14:paraId="77825525">
            <w:pPr>
              <w:pStyle w:val="6"/>
              <w:spacing w:before="129" w:line="239" w:lineRule="auto"/>
              <w:ind w:left="379"/>
              <w:rPr>
                <w:sz w:val="18"/>
                <w:szCs w:val="18"/>
              </w:rPr>
            </w:pPr>
            <w:r>
              <w:rPr>
                <w:spacing w:val="-5"/>
                <w:sz w:val="18"/>
                <w:szCs w:val="18"/>
              </w:rPr>
              <w:t>1.5</w:t>
            </w:r>
          </w:p>
        </w:tc>
        <w:tc>
          <w:tcPr>
            <w:tcW w:w="1049" w:type="dxa"/>
            <w:vAlign w:val="top"/>
          </w:tcPr>
          <w:p w14:paraId="5781CD03">
            <w:pPr>
              <w:pStyle w:val="6"/>
              <w:spacing w:before="111" w:line="220" w:lineRule="auto"/>
              <w:ind w:left="160"/>
              <w:rPr>
                <w:sz w:val="18"/>
                <w:szCs w:val="18"/>
              </w:rPr>
            </w:pPr>
            <w:r>
              <w:rPr>
                <w:spacing w:val="-2"/>
                <w:sz w:val="18"/>
                <w:szCs w:val="18"/>
              </w:rPr>
              <w:t>可研已有</w:t>
            </w:r>
          </w:p>
        </w:tc>
        <w:tc>
          <w:tcPr>
            <w:tcW w:w="115" w:type="dxa"/>
            <w:vMerge w:val="continue"/>
            <w:tcBorders>
              <w:top w:val="nil"/>
              <w:bottom w:val="nil"/>
            </w:tcBorders>
            <w:vAlign w:val="top"/>
          </w:tcPr>
          <w:p w14:paraId="70F4573F">
            <w:pPr>
              <w:rPr>
                <w:rFonts w:ascii="Arial"/>
                <w:sz w:val="21"/>
              </w:rPr>
            </w:pPr>
          </w:p>
        </w:tc>
      </w:tr>
      <w:tr w14:paraId="3AAD8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754" w:type="dxa"/>
            <w:vMerge w:val="continue"/>
            <w:tcBorders>
              <w:top w:val="nil"/>
              <w:bottom w:val="nil"/>
            </w:tcBorders>
            <w:vAlign w:val="top"/>
          </w:tcPr>
          <w:p w14:paraId="28B12E81">
            <w:pPr>
              <w:rPr>
                <w:rFonts w:ascii="Arial"/>
                <w:sz w:val="21"/>
              </w:rPr>
            </w:pPr>
          </w:p>
        </w:tc>
        <w:tc>
          <w:tcPr>
            <w:tcW w:w="110" w:type="dxa"/>
            <w:tcBorders>
              <w:top w:val="nil"/>
              <w:bottom w:val="nil"/>
            </w:tcBorders>
            <w:vAlign w:val="top"/>
          </w:tcPr>
          <w:p w14:paraId="71CD4F41">
            <w:pPr>
              <w:rPr>
                <w:rFonts w:ascii="Arial"/>
                <w:sz w:val="21"/>
              </w:rPr>
            </w:pPr>
          </w:p>
        </w:tc>
        <w:tc>
          <w:tcPr>
            <w:tcW w:w="429" w:type="dxa"/>
            <w:vMerge w:val="continue"/>
            <w:tcBorders>
              <w:top w:val="nil"/>
              <w:bottom w:val="nil"/>
            </w:tcBorders>
            <w:textDirection w:val="tbRlV"/>
            <w:vAlign w:val="top"/>
          </w:tcPr>
          <w:p w14:paraId="6CB0D2A1">
            <w:pPr>
              <w:rPr>
                <w:rFonts w:ascii="Arial"/>
                <w:sz w:val="21"/>
              </w:rPr>
            </w:pPr>
          </w:p>
        </w:tc>
        <w:tc>
          <w:tcPr>
            <w:tcW w:w="829" w:type="dxa"/>
            <w:vMerge w:val="continue"/>
            <w:tcBorders>
              <w:top w:val="nil"/>
              <w:bottom w:val="nil"/>
            </w:tcBorders>
            <w:vAlign w:val="top"/>
          </w:tcPr>
          <w:p w14:paraId="64348CC8">
            <w:pPr>
              <w:rPr>
                <w:rFonts w:ascii="Arial"/>
                <w:sz w:val="21"/>
              </w:rPr>
            </w:pPr>
          </w:p>
        </w:tc>
        <w:tc>
          <w:tcPr>
            <w:tcW w:w="619" w:type="dxa"/>
            <w:vAlign w:val="top"/>
          </w:tcPr>
          <w:p w14:paraId="6C5EEF8A">
            <w:pPr>
              <w:pStyle w:val="6"/>
              <w:spacing w:before="178" w:line="241" w:lineRule="auto"/>
              <w:ind w:left="252"/>
              <w:rPr>
                <w:sz w:val="18"/>
                <w:szCs w:val="18"/>
              </w:rPr>
            </w:pPr>
            <w:r>
              <w:rPr>
                <w:sz w:val="18"/>
                <w:szCs w:val="18"/>
              </w:rPr>
              <w:t>4</w:t>
            </w:r>
          </w:p>
        </w:tc>
        <w:tc>
          <w:tcPr>
            <w:tcW w:w="2517" w:type="dxa"/>
            <w:vAlign w:val="top"/>
          </w:tcPr>
          <w:p w14:paraId="5911A273">
            <w:pPr>
              <w:pStyle w:val="6"/>
              <w:spacing w:before="50" w:line="207" w:lineRule="auto"/>
              <w:ind w:left="1143" w:right="181" w:hanging="970"/>
              <w:rPr>
                <w:sz w:val="18"/>
                <w:szCs w:val="18"/>
              </w:rPr>
            </w:pPr>
            <w:r>
              <w:rPr>
                <w:spacing w:val="-1"/>
                <w:sz w:val="18"/>
                <w:szCs w:val="18"/>
              </w:rPr>
              <w:t>升压站一体化生活废水处理</w:t>
            </w:r>
            <w:r>
              <w:rPr>
                <w:spacing w:val="2"/>
                <w:sz w:val="18"/>
                <w:szCs w:val="18"/>
              </w:rPr>
              <w:t xml:space="preserve"> </w:t>
            </w:r>
            <w:r>
              <w:rPr>
                <w:sz w:val="18"/>
                <w:szCs w:val="18"/>
              </w:rPr>
              <w:t>站</w:t>
            </w:r>
          </w:p>
        </w:tc>
        <w:tc>
          <w:tcPr>
            <w:tcW w:w="1738" w:type="dxa"/>
            <w:vAlign w:val="top"/>
          </w:tcPr>
          <w:p w14:paraId="277D5623">
            <w:pPr>
              <w:pStyle w:val="6"/>
              <w:spacing w:before="50" w:line="200" w:lineRule="auto"/>
              <w:ind w:left="187"/>
              <w:rPr>
                <w:sz w:val="18"/>
                <w:szCs w:val="18"/>
              </w:rPr>
            </w:pPr>
            <w:r>
              <w:rPr>
                <w:spacing w:val="1"/>
                <w:sz w:val="18"/>
                <w:szCs w:val="18"/>
              </w:rPr>
              <w:t>1套，处理规模为</w:t>
            </w:r>
          </w:p>
          <w:p w14:paraId="5745CD0B">
            <w:pPr>
              <w:pStyle w:val="6"/>
              <w:spacing w:line="214" w:lineRule="auto"/>
              <w:ind w:left="576"/>
              <w:rPr>
                <w:sz w:val="18"/>
                <w:szCs w:val="18"/>
              </w:rPr>
            </w:pPr>
            <w:r>
              <w:rPr>
                <w:spacing w:val="-3"/>
                <w:sz w:val="18"/>
                <w:szCs w:val="18"/>
              </w:rPr>
              <w:t>1.0m³/d</w:t>
            </w:r>
          </w:p>
        </w:tc>
        <w:tc>
          <w:tcPr>
            <w:tcW w:w="1029" w:type="dxa"/>
            <w:vAlign w:val="top"/>
          </w:tcPr>
          <w:p w14:paraId="389775C8">
            <w:pPr>
              <w:pStyle w:val="6"/>
              <w:spacing w:before="178" w:line="239" w:lineRule="auto"/>
              <w:ind w:left="379"/>
              <w:rPr>
                <w:sz w:val="18"/>
                <w:szCs w:val="18"/>
              </w:rPr>
            </w:pPr>
            <w:r>
              <w:rPr>
                <w:spacing w:val="-3"/>
                <w:sz w:val="18"/>
                <w:szCs w:val="18"/>
              </w:rPr>
              <w:t>5.0</w:t>
            </w:r>
          </w:p>
        </w:tc>
        <w:tc>
          <w:tcPr>
            <w:tcW w:w="1049" w:type="dxa"/>
            <w:vAlign w:val="top"/>
          </w:tcPr>
          <w:p w14:paraId="0174455C">
            <w:pPr>
              <w:pStyle w:val="6"/>
              <w:spacing w:before="160" w:line="220" w:lineRule="auto"/>
              <w:ind w:left="160"/>
              <w:rPr>
                <w:sz w:val="18"/>
                <w:szCs w:val="18"/>
              </w:rPr>
            </w:pPr>
            <w:r>
              <w:rPr>
                <w:spacing w:val="-2"/>
                <w:sz w:val="18"/>
                <w:szCs w:val="18"/>
              </w:rPr>
              <w:t>可研已有</w:t>
            </w:r>
          </w:p>
        </w:tc>
        <w:tc>
          <w:tcPr>
            <w:tcW w:w="115" w:type="dxa"/>
            <w:vMerge w:val="continue"/>
            <w:tcBorders>
              <w:top w:val="nil"/>
              <w:bottom w:val="nil"/>
            </w:tcBorders>
            <w:vAlign w:val="top"/>
          </w:tcPr>
          <w:p w14:paraId="5FB2B422">
            <w:pPr>
              <w:rPr>
                <w:rFonts w:ascii="Arial"/>
                <w:sz w:val="21"/>
              </w:rPr>
            </w:pPr>
          </w:p>
        </w:tc>
      </w:tr>
      <w:tr w14:paraId="7FAC4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54" w:type="dxa"/>
            <w:vMerge w:val="continue"/>
            <w:tcBorders>
              <w:top w:val="nil"/>
              <w:bottom w:val="nil"/>
            </w:tcBorders>
            <w:vAlign w:val="top"/>
          </w:tcPr>
          <w:p w14:paraId="36AFF1CB">
            <w:pPr>
              <w:rPr>
                <w:rFonts w:ascii="Arial"/>
                <w:sz w:val="21"/>
              </w:rPr>
            </w:pPr>
          </w:p>
        </w:tc>
        <w:tc>
          <w:tcPr>
            <w:tcW w:w="110" w:type="dxa"/>
            <w:tcBorders>
              <w:top w:val="nil"/>
              <w:bottom w:val="nil"/>
            </w:tcBorders>
            <w:vAlign w:val="top"/>
          </w:tcPr>
          <w:p w14:paraId="173FC7B0">
            <w:pPr>
              <w:rPr>
                <w:rFonts w:ascii="Arial"/>
                <w:sz w:val="21"/>
              </w:rPr>
            </w:pPr>
          </w:p>
        </w:tc>
        <w:tc>
          <w:tcPr>
            <w:tcW w:w="429" w:type="dxa"/>
            <w:vMerge w:val="continue"/>
            <w:tcBorders>
              <w:top w:val="nil"/>
              <w:bottom w:val="nil"/>
            </w:tcBorders>
            <w:textDirection w:val="tbRlV"/>
            <w:vAlign w:val="top"/>
          </w:tcPr>
          <w:p w14:paraId="1762769D">
            <w:pPr>
              <w:rPr>
                <w:rFonts w:ascii="Arial"/>
                <w:sz w:val="21"/>
              </w:rPr>
            </w:pPr>
          </w:p>
        </w:tc>
        <w:tc>
          <w:tcPr>
            <w:tcW w:w="829" w:type="dxa"/>
            <w:vMerge w:val="continue"/>
            <w:tcBorders>
              <w:top w:val="nil"/>
              <w:bottom w:val="nil"/>
            </w:tcBorders>
            <w:vAlign w:val="top"/>
          </w:tcPr>
          <w:p w14:paraId="1FB7DC75">
            <w:pPr>
              <w:rPr>
                <w:rFonts w:ascii="Arial"/>
                <w:sz w:val="21"/>
              </w:rPr>
            </w:pPr>
          </w:p>
        </w:tc>
        <w:tc>
          <w:tcPr>
            <w:tcW w:w="619" w:type="dxa"/>
            <w:vAlign w:val="top"/>
          </w:tcPr>
          <w:p w14:paraId="65B690F2">
            <w:pPr>
              <w:pStyle w:val="6"/>
              <w:spacing w:before="183"/>
              <w:ind w:left="252"/>
              <w:rPr>
                <w:sz w:val="18"/>
                <w:szCs w:val="18"/>
              </w:rPr>
            </w:pPr>
            <w:r>
              <w:rPr>
                <w:sz w:val="18"/>
                <w:szCs w:val="18"/>
              </w:rPr>
              <w:t>5</w:t>
            </w:r>
          </w:p>
        </w:tc>
        <w:tc>
          <w:tcPr>
            <w:tcW w:w="2517" w:type="dxa"/>
            <w:vAlign w:val="top"/>
          </w:tcPr>
          <w:p w14:paraId="7FC1256A">
            <w:pPr>
              <w:pStyle w:val="6"/>
              <w:spacing w:before="36" w:line="222" w:lineRule="auto"/>
              <w:ind w:left="893" w:right="182" w:hanging="720"/>
              <w:rPr>
                <w:sz w:val="18"/>
                <w:szCs w:val="18"/>
              </w:rPr>
            </w:pPr>
            <w:r>
              <w:rPr>
                <w:spacing w:val="-1"/>
                <w:sz w:val="18"/>
                <w:szCs w:val="18"/>
              </w:rPr>
              <w:t>一体化生活污水处理设备末</w:t>
            </w:r>
            <w:r>
              <w:rPr>
                <w:spacing w:val="1"/>
                <w:sz w:val="18"/>
                <w:szCs w:val="18"/>
              </w:rPr>
              <w:t xml:space="preserve"> </w:t>
            </w:r>
            <w:r>
              <w:rPr>
                <w:spacing w:val="-2"/>
                <w:sz w:val="18"/>
                <w:szCs w:val="18"/>
              </w:rPr>
              <w:t>端蓄水池</w:t>
            </w:r>
          </w:p>
        </w:tc>
        <w:tc>
          <w:tcPr>
            <w:tcW w:w="1738" w:type="dxa"/>
            <w:vAlign w:val="top"/>
          </w:tcPr>
          <w:p w14:paraId="17867DD0">
            <w:pPr>
              <w:pStyle w:val="6"/>
              <w:spacing w:before="166" w:line="219" w:lineRule="auto"/>
              <w:ind w:left="457"/>
              <w:rPr>
                <w:sz w:val="18"/>
                <w:szCs w:val="18"/>
              </w:rPr>
            </w:pPr>
            <w:r>
              <w:rPr>
                <w:spacing w:val="22"/>
                <w:sz w:val="18"/>
                <w:szCs w:val="18"/>
              </w:rPr>
              <w:t>1个，4m³</w:t>
            </w:r>
          </w:p>
        </w:tc>
        <w:tc>
          <w:tcPr>
            <w:tcW w:w="1029" w:type="dxa"/>
            <w:vAlign w:val="top"/>
          </w:tcPr>
          <w:p w14:paraId="056D7922">
            <w:pPr>
              <w:pStyle w:val="6"/>
              <w:spacing w:before="184" w:line="239" w:lineRule="auto"/>
              <w:ind w:left="379"/>
              <w:rPr>
                <w:sz w:val="18"/>
                <w:szCs w:val="18"/>
              </w:rPr>
            </w:pPr>
            <w:r>
              <w:rPr>
                <w:spacing w:val="-3"/>
                <w:sz w:val="18"/>
                <w:szCs w:val="18"/>
              </w:rPr>
              <w:t>3.0</w:t>
            </w:r>
          </w:p>
        </w:tc>
        <w:tc>
          <w:tcPr>
            <w:tcW w:w="1049" w:type="dxa"/>
            <w:vAlign w:val="top"/>
          </w:tcPr>
          <w:p w14:paraId="5F85934D">
            <w:pPr>
              <w:pStyle w:val="6"/>
              <w:spacing w:before="167" w:line="220" w:lineRule="auto"/>
              <w:ind w:left="160"/>
              <w:rPr>
                <w:sz w:val="18"/>
                <w:szCs w:val="18"/>
              </w:rPr>
            </w:pPr>
            <w:r>
              <w:rPr>
                <w:spacing w:val="3"/>
                <w:sz w:val="18"/>
                <w:szCs w:val="18"/>
              </w:rPr>
              <w:t>环评新增</w:t>
            </w:r>
          </w:p>
        </w:tc>
        <w:tc>
          <w:tcPr>
            <w:tcW w:w="115" w:type="dxa"/>
            <w:vMerge w:val="continue"/>
            <w:tcBorders>
              <w:top w:val="nil"/>
              <w:bottom w:val="nil"/>
            </w:tcBorders>
            <w:vAlign w:val="top"/>
          </w:tcPr>
          <w:p w14:paraId="0974862E">
            <w:pPr>
              <w:rPr>
                <w:rFonts w:ascii="Arial"/>
                <w:sz w:val="21"/>
              </w:rPr>
            </w:pPr>
          </w:p>
        </w:tc>
      </w:tr>
      <w:tr w14:paraId="05A33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754" w:type="dxa"/>
            <w:vMerge w:val="continue"/>
            <w:tcBorders>
              <w:top w:val="nil"/>
              <w:bottom w:val="nil"/>
            </w:tcBorders>
            <w:vAlign w:val="top"/>
          </w:tcPr>
          <w:p w14:paraId="6181EDCB">
            <w:pPr>
              <w:rPr>
                <w:rFonts w:ascii="Arial"/>
                <w:sz w:val="21"/>
              </w:rPr>
            </w:pPr>
          </w:p>
        </w:tc>
        <w:tc>
          <w:tcPr>
            <w:tcW w:w="110" w:type="dxa"/>
            <w:tcBorders>
              <w:top w:val="nil"/>
              <w:bottom w:val="nil"/>
            </w:tcBorders>
            <w:vAlign w:val="top"/>
          </w:tcPr>
          <w:p w14:paraId="76C66DF8">
            <w:pPr>
              <w:rPr>
                <w:rFonts w:ascii="Arial"/>
                <w:sz w:val="21"/>
              </w:rPr>
            </w:pPr>
          </w:p>
        </w:tc>
        <w:tc>
          <w:tcPr>
            <w:tcW w:w="429" w:type="dxa"/>
            <w:vMerge w:val="continue"/>
            <w:tcBorders>
              <w:top w:val="nil"/>
              <w:bottom w:val="nil"/>
            </w:tcBorders>
            <w:textDirection w:val="tbRlV"/>
            <w:vAlign w:val="top"/>
          </w:tcPr>
          <w:p w14:paraId="45440257">
            <w:pPr>
              <w:rPr>
                <w:rFonts w:ascii="Arial"/>
                <w:sz w:val="21"/>
              </w:rPr>
            </w:pPr>
          </w:p>
        </w:tc>
        <w:tc>
          <w:tcPr>
            <w:tcW w:w="829" w:type="dxa"/>
            <w:vMerge w:val="continue"/>
            <w:tcBorders>
              <w:top w:val="nil"/>
            </w:tcBorders>
            <w:vAlign w:val="top"/>
          </w:tcPr>
          <w:p w14:paraId="04842615">
            <w:pPr>
              <w:rPr>
                <w:rFonts w:ascii="Arial"/>
                <w:sz w:val="21"/>
              </w:rPr>
            </w:pPr>
          </w:p>
        </w:tc>
        <w:tc>
          <w:tcPr>
            <w:tcW w:w="619" w:type="dxa"/>
            <w:vAlign w:val="top"/>
          </w:tcPr>
          <w:p w14:paraId="2F2D97FE">
            <w:pPr>
              <w:pStyle w:val="6"/>
              <w:spacing w:before="124"/>
              <w:ind w:left="252"/>
              <w:rPr>
                <w:sz w:val="18"/>
                <w:szCs w:val="18"/>
              </w:rPr>
            </w:pPr>
            <w:r>
              <w:rPr>
                <w:sz w:val="18"/>
                <w:szCs w:val="18"/>
              </w:rPr>
              <w:t>6</w:t>
            </w:r>
          </w:p>
        </w:tc>
        <w:tc>
          <w:tcPr>
            <w:tcW w:w="2517" w:type="dxa"/>
            <w:vAlign w:val="top"/>
          </w:tcPr>
          <w:p w14:paraId="5BCA661D">
            <w:pPr>
              <w:pStyle w:val="6"/>
              <w:spacing w:before="107" w:line="219" w:lineRule="auto"/>
              <w:ind w:left="983"/>
              <w:rPr>
                <w:sz w:val="18"/>
                <w:szCs w:val="18"/>
              </w:rPr>
            </w:pPr>
            <w:r>
              <w:rPr>
                <w:spacing w:val="-3"/>
                <w:sz w:val="18"/>
                <w:szCs w:val="18"/>
              </w:rPr>
              <w:t>洒水车</w:t>
            </w:r>
          </w:p>
        </w:tc>
        <w:tc>
          <w:tcPr>
            <w:tcW w:w="1738" w:type="dxa"/>
            <w:vAlign w:val="top"/>
          </w:tcPr>
          <w:p w14:paraId="5E4DA595">
            <w:pPr>
              <w:pStyle w:val="6"/>
              <w:spacing w:before="107" w:line="219" w:lineRule="auto"/>
              <w:ind w:left="727"/>
              <w:rPr>
                <w:sz w:val="18"/>
                <w:szCs w:val="18"/>
              </w:rPr>
            </w:pPr>
            <w:r>
              <w:rPr>
                <w:spacing w:val="3"/>
                <w:sz w:val="18"/>
                <w:szCs w:val="18"/>
              </w:rPr>
              <w:t>1辆</w:t>
            </w:r>
          </w:p>
        </w:tc>
        <w:tc>
          <w:tcPr>
            <w:tcW w:w="1029" w:type="dxa"/>
            <w:vAlign w:val="top"/>
          </w:tcPr>
          <w:p w14:paraId="56394F4B">
            <w:pPr>
              <w:pStyle w:val="6"/>
              <w:spacing w:before="125" w:line="239" w:lineRule="auto"/>
              <w:ind w:left="379"/>
              <w:rPr>
                <w:sz w:val="18"/>
                <w:szCs w:val="18"/>
              </w:rPr>
            </w:pPr>
            <w:r>
              <w:rPr>
                <w:spacing w:val="-2"/>
                <w:sz w:val="18"/>
                <w:szCs w:val="18"/>
              </w:rPr>
              <w:t>9.0</w:t>
            </w:r>
          </w:p>
        </w:tc>
        <w:tc>
          <w:tcPr>
            <w:tcW w:w="1049" w:type="dxa"/>
            <w:vAlign w:val="top"/>
          </w:tcPr>
          <w:p w14:paraId="7059D54F">
            <w:pPr>
              <w:pStyle w:val="6"/>
              <w:spacing w:before="107" w:line="220" w:lineRule="auto"/>
              <w:ind w:left="160"/>
              <w:rPr>
                <w:sz w:val="18"/>
                <w:szCs w:val="18"/>
              </w:rPr>
            </w:pPr>
            <w:r>
              <w:rPr>
                <w:spacing w:val="3"/>
                <w:sz w:val="18"/>
                <w:szCs w:val="18"/>
              </w:rPr>
              <w:t>环评新增</w:t>
            </w:r>
          </w:p>
        </w:tc>
        <w:tc>
          <w:tcPr>
            <w:tcW w:w="115" w:type="dxa"/>
            <w:vMerge w:val="continue"/>
            <w:tcBorders>
              <w:top w:val="nil"/>
              <w:bottom w:val="nil"/>
            </w:tcBorders>
            <w:vAlign w:val="top"/>
          </w:tcPr>
          <w:p w14:paraId="64E0C35F">
            <w:pPr>
              <w:rPr>
                <w:rFonts w:ascii="Arial"/>
                <w:sz w:val="21"/>
              </w:rPr>
            </w:pPr>
          </w:p>
        </w:tc>
      </w:tr>
      <w:tr w14:paraId="01BD4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754" w:type="dxa"/>
            <w:vMerge w:val="continue"/>
            <w:tcBorders>
              <w:top w:val="nil"/>
              <w:bottom w:val="nil"/>
            </w:tcBorders>
            <w:vAlign w:val="top"/>
          </w:tcPr>
          <w:p w14:paraId="487E311B">
            <w:pPr>
              <w:rPr>
                <w:rFonts w:ascii="Arial"/>
                <w:sz w:val="21"/>
              </w:rPr>
            </w:pPr>
          </w:p>
        </w:tc>
        <w:tc>
          <w:tcPr>
            <w:tcW w:w="110" w:type="dxa"/>
            <w:tcBorders>
              <w:top w:val="nil"/>
              <w:bottom w:val="nil"/>
            </w:tcBorders>
            <w:vAlign w:val="top"/>
          </w:tcPr>
          <w:p w14:paraId="259F26BE">
            <w:pPr>
              <w:rPr>
                <w:rFonts w:ascii="Arial"/>
                <w:sz w:val="21"/>
              </w:rPr>
            </w:pPr>
          </w:p>
        </w:tc>
        <w:tc>
          <w:tcPr>
            <w:tcW w:w="429" w:type="dxa"/>
            <w:vMerge w:val="continue"/>
            <w:tcBorders>
              <w:top w:val="nil"/>
              <w:bottom w:val="nil"/>
            </w:tcBorders>
            <w:textDirection w:val="tbRlV"/>
            <w:vAlign w:val="top"/>
          </w:tcPr>
          <w:p w14:paraId="398BEF23">
            <w:pPr>
              <w:rPr>
                <w:rFonts w:ascii="Arial"/>
                <w:sz w:val="21"/>
              </w:rPr>
            </w:pPr>
          </w:p>
        </w:tc>
        <w:tc>
          <w:tcPr>
            <w:tcW w:w="829" w:type="dxa"/>
            <w:vAlign w:val="top"/>
          </w:tcPr>
          <w:p w14:paraId="75BBF4C6">
            <w:pPr>
              <w:pStyle w:val="6"/>
              <w:spacing w:before="121" w:line="220" w:lineRule="auto"/>
              <w:ind w:left="221"/>
              <w:rPr>
                <w:sz w:val="18"/>
                <w:szCs w:val="18"/>
              </w:rPr>
            </w:pPr>
            <w:r>
              <w:rPr>
                <w:spacing w:val="-2"/>
                <w:sz w:val="18"/>
                <w:szCs w:val="18"/>
              </w:rPr>
              <w:t>废气</w:t>
            </w:r>
          </w:p>
        </w:tc>
        <w:tc>
          <w:tcPr>
            <w:tcW w:w="619" w:type="dxa"/>
            <w:vAlign w:val="top"/>
          </w:tcPr>
          <w:p w14:paraId="09571A4D">
            <w:pPr>
              <w:pStyle w:val="6"/>
              <w:spacing w:before="139" w:line="241" w:lineRule="auto"/>
              <w:ind w:left="252"/>
              <w:rPr>
                <w:sz w:val="18"/>
                <w:szCs w:val="18"/>
              </w:rPr>
            </w:pPr>
            <w:r>
              <w:rPr>
                <w:sz w:val="18"/>
                <w:szCs w:val="18"/>
              </w:rPr>
              <w:t>1</w:t>
            </w:r>
          </w:p>
        </w:tc>
        <w:tc>
          <w:tcPr>
            <w:tcW w:w="2517" w:type="dxa"/>
            <w:vAlign w:val="top"/>
          </w:tcPr>
          <w:p w14:paraId="3ACE23BE">
            <w:pPr>
              <w:pStyle w:val="6"/>
              <w:spacing w:before="121" w:line="220" w:lineRule="auto"/>
              <w:ind w:left="534"/>
              <w:rPr>
                <w:sz w:val="18"/>
                <w:szCs w:val="18"/>
              </w:rPr>
            </w:pPr>
            <w:r>
              <w:rPr>
                <w:spacing w:val="-1"/>
                <w:sz w:val="18"/>
                <w:szCs w:val="18"/>
              </w:rPr>
              <w:t>食堂油烟净化设施</w:t>
            </w:r>
          </w:p>
        </w:tc>
        <w:tc>
          <w:tcPr>
            <w:tcW w:w="1738" w:type="dxa"/>
            <w:vAlign w:val="top"/>
          </w:tcPr>
          <w:p w14:paraId="37FABEC0">
            <w:pPr>
              <w:pStyle w:val="6"/>
              <w:spacing w:before="121" w:line="220" w:lineRule="auto"/>
              <w:ind w:left="727"/>
              <w:rPr>
                <w:sz w:val="18"/>
                <w:szCs w:val="18"/>
              </w:rPr>
            </w:pPr>
            <w:r>
              <w:rPr>
                <w:spacing w:val="4"/>
                <w:sz w:val="18"/>
                <w:szCs w:val="18"/>
              </w:rPr>
              <w:t>1套</w:t>
            </w:r>
          </w:p>
        </w:tc>
        <w:tc>
          <w:tcPr>
            <w:tcW w:w="1029" w:type="dxa"/>
            <w:vAlign w:val="top"/>
          </w:tcPr>
          <w:p w14:paraId="22F53991">
            <w:pPr>
              <w:pStyle w:val="6"/>
              <w:spacing w:before="139" w:line="239" w:lineRule="auto"/>
              <w:ind w:left="379"/>
              <w:rPr>
                <w:sz w:val="18"/>
                <w:szCs w:val="18"/>
              </w:rPr>
            </w:pPr>
            <w:r>
              <w:rPr>
                <w:spacing w:val="-2"/>
                <w:sz w:val="18"/>
                <w:szCs w:val="18"/>
              </w:rPr>
              <w:t>0.3</w:t>
            </w:r>
          </w:p>
        </w:tc>
        <w:tc>
          <w:tcPr>
            <w:tcW w:w="1049" w:type="dxa"/>
            <w:vAlign w:val="top"/>
          </w:tcPr>
          <w:p w14:paraId="7DC5C363">
            <w:pPr>
              <w:pStyle w:val="6"/>
              <w:spacing w:before="121" w:line="220" w:lineRule="auto"/>
              <w:ind w:left="160"/>
              <w:rPr>
                <w:sz w:val="18"/>
                <w:szCs w:val="18"/>
              </w:rPr>
            </w:pPr>
            <w:r>
              <w:rPr>
                <w:spacing w:val="3"/>
                <w:sz w:val="18"/>
                <w:szCs w:val="18"/>
              </w:rPr>
              <w:t>环评新增</w:t>
            </w:r>
          </w:p>
        </w:tc>
        <w:tc>
          <w:tcPr>
            <w:tcW w:w="115" w:type="dxa"/>
            <w:vMerge w:val="continue"/>
            <w:tcBorders>
              <w:top w:val="nil"/>
              <w:bottom w:val="nil"/>
            </w:tcBorders>
            <w:vAlign w:val="top"/>
          </w:tcPr>
          <w:p w14:paraId="16D67500">
            <w:pPr>
              <w:rPr>
                <w:rFonts w:ascii="Arial"/>
                <w:sz w:val="21"/>
              </w:rPr>
            </w:pPr>
          </w:p>
        </w:tc>
      </w:tr>
      <w:tr w14:paraId="65B0B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754" w:type="dxa"/>
            <w:vMerge w:val="continue"/>
            <w:tcBorders>
              <w:top w:val="nil"/>
              <w:bottom w:val="nil"/>
            </w:tcBorders>
            <w:vAlign w:val="top"/>
          </w:tcPr>
          <w:p w14:paraId="7C69DF0B">
            <w:pPr>
              <w:rPr>
                <w:rFonts w:ascii="Arial"/>
                <w:sz w:val="21"/>
              </w:rPr>
            </w:pPr>
          </w:p>
        </w:tc>
        <w:tc>
          <w:tcPr>
            <w:tcW w:w="110" w:type="dxa"/>
            <w:tcBorders>
              <w:top w:val="nil"/>
              <w:bottom w:val="nil"/>
            </w:tcBorders>
            <w:vAlign w:val="top"/>
          </w:tcPr>
          <w:p w14:paraId="2878DB54">
            <w:pPr>
              <w:rPr>
                <w:rFonts w:ascii="Arial"/>
                <w:sz w:val="21"/>
              </w:rPr>
            </w:pPr>
          </w:p>
        </w:tc>
        <w:tc>
          <w:tcPr>
            <w:tcW w:w="429" w:type="dxa"/>
            <w:vMerge w:val="continue"/>
            <w:tcBorders>
              <w:top w:val="nil"/>
              <w:bottom w:val="nil"/>
            </w:tcBorders>
            <w:textDirection w:val="tbRlV"/>
            <w:vAlign w:val="top"/>
          </w:tcPr>
          <w:p w14:paraId="3FF903BB">
            <w:pPr>
              <w:rPr>
                <w:rFonts w:ascii="Arial"/>
                <w:sz w:val="21"/>
              </w:rPr>
            </w:pPr>
          </w:p>
        </w:tc>
        <w:tc>
          <w:tcPr>
            <w:tcW w:w="829" w:type="dxa"/>
            <w:vAlign w:val="top"/>
          </w:tcPr>
          <w:p w14:paraId="0B0E9A1F">
            <w:pPr>
              <w:pStyle w:val="6"/>
              <w:spacing w:before="116" w:line="220" w:lineRule="auto"/>
              <w:ind w:left="221"/>
              <w:rPr>
                <w:sz w:val="18"/>
                <w:szCs w:val="18"/>
              </w:rPr>
            </w:pPr>
            <w:r>
              <w:rPr>
                <w:spacing w:val="5"/>
                <w:sz w:val="18"/>
                <w:szCs w:val="18"/>
              </w:rPr>
              <w:t>噪声</w:t>
            </w:r>
          </w:p>
        </w:tc>
        <w:tc>
          <w:tcPr>
            <w:tcW w:w="619" w:type="dxa"/>
            <w:vAlign w:val="top"/>
          </w:tcPr>
          <w:p w14:paraId="59CDAC65">
            <w:pPr>
              <w:pStyle w:val="6"/>
              <w:spacing w:before="134" w:line="241" w:lineRule="auto"/>
              <w:ind w:left="252"/>
              <w:rPr>
                <w:sz w:val="18"/>
                <w:szCs w:val="18"/>
              </w:rPr>
            </w:pPr>
            <w:r>
              <w:rPr>
                <w:sz w:val="18"/>
                <w:szCs w:val="18"/>
              </w:rPr>
              <w:t>1</w:t>
            </w:r>
          </w:p>
        </w:tc>
        <w:tc>
          <w:tcPr>
            <w:tcW w:w="2517" w:type="dxa"/>
            <w:vAlign w:val="top"/>
          </w:tcPr>
          <w:p w14:paraId="1A65541E">
            <w:pPr>
              <w:pStyle w:val="6"/>
              <w:spacing w:before="116" w:line="220" w:lineRule="auto"/>
              <w:ind w:left="624"/>
              <w:rPr>
                <w:sz w:val="18"/>
                <w:szCs w:val="18"/>
              </w:rPr>
            </w:pPr>
            <w:r>
              <w:rPr>
                <w:spacing w:val="-2"/>
                <w:sz w:val="18"/>
                <w:szCs w:val="18"/>
              </w:rPr>
              <w:t>升压站厂界围墙</w:t>
            </w:r>
          </w:p>
        </w:tc>
        <w:tc>
          <w:tcPr>
            <w:tcW w:w="1738" w:type="dxa"/>
            <w:vAlign w:val="top"/>
          </w:tcPr>
          <w:p w14:paraId="483145E0">
            <w:pPr>
              <w:pStyle w:val="6"/>
              <w:spacing w:before="134" w:line="239" w:lineRule="auto"/>
              <w:ind w:left="596"/>
              <w:rPr>
                <w:sz w:val="18"/>
                <w:szCs w:val="18"/>
              </w:rPr>
            </w:pPr>
            <w:r>
              <w:rPr>
                <w:sz w:val="18"/>
                <w:szCs w:val="18"/>
              </w:rPr>
              <w:t>H=2.3m</w:t>
            </w:r>
          </w:p>
        </w:tc>
        <w:tc>
          <w:tcPr>
            <w:tcW w:w="1029" w:type="dxa"/>
            <w:vAlign w:val="top"/>
          </w:tcPr>
          <w:p w14:paraId="7B466EDB">
            <w:pPr>
              <w:pStyle w:val="6"/>
              <w:spacing w:before="134" w:line="239" w:lineRule="auto"/>
              <w:ind w:left="379"/>
              <w:rPr>
                <w:sz w:val="18"/>
                <w:szCs w:val="18"/>
              </w:rPr>
            </w:pPr>
            <w:r>
              <w:rPr>
                <w:spacing w:val="-2"/>
                <w:sz w:val="18"/>
                <w:szCs w:val="18"/>
              </w:rPr>
              <w:t>9.5</w:t>
            </w:r>
          </w:p>
        </w:tc>
        <w:tc>
          <w:tcPr>
            <w:tcW w:w="1049" w:type="dxa"/>
            <w:vAlign w:val="top"/>
          </w:tcPr>
          <w:p w14:paraId="2A3A7702">
            <w:pPr>
              <w:pStyle w:val="6"/>
              <w:spacing w:before="116" w:line="220" w:lineRule="auto"/>
              <w:ind w:left="160"/>
              <w:rPr>
                <w:sz w:val="18"/>
                <w:szCs w:val="18"/>
              </w:rPr>
            </w:pPr>
            <w:r>
              <w:rPr>
                <w:spacing w:val="-2"/>
                <w:sz w:val="18"/>
                <w:szCs w:val="18"/>
              </w:rPr>
              <w:t>可研已有</w:t>
            </w:r>
          </w:p>
        </w:tc>
        <w:tc>
          <w:tcPr>
            <w:tcW w:w="115" w:type="dxa"/>
            <w:vMerge w:val="continue"/>
            <w:tcBorders>
              <w:top w:val="nil"/>
              <w:bottom w:val="nil"/>
            </w:tcBorders>
            <w:vAlign w:val="top"/>
          </w:tcPr>
          <w:p w14:paraId="688B87CC">
            <w:pPr>
              <w:rPr>
                <w:rFonts w:ascii="Arial"/>
                <w:sz w:val="21"/>
              </w:rPr>
            </w:pPr>
          </w:p>
        </w:tc>
      </w:tr>
      <w:tr w14:paraId="1150D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754" w:type="dxa"/>
            <w:vMerge w:val="continue"/>
            <w:tcBorders>
              <w:top w:val="nil"/>
              <w:bottom w:val="nil"/>
            </w:tcBorders>
            <w:vAlign w:val="top"/>
          </w:tcPr>
          <w:p w14:paraId="705E1EFE">
            <w:pPr>
              <w:rPr>
                <w:rFonts w:ascii="Arial"/>
                <w:sz w:val="21"/>
              </w:rPr>
            </w:pPr>
          </w:p>
        </w:tc>
        <w:tc>
          <w:tcPr>
            <w:tcW w:w="110" w:type="dxa"/>
            <w:tcBorders>
              <w:top w:val="nil"/>
              <w:bottom w:val="nil"/>
            </w:tcBorders>
            <w:vAlign w:val="top"/>
          </w:tcPr>
          <w:p w14:paraId="03DA7DBB">
            <w:pPr>
              <w:rPr>
                <w:rFonts w:ascii="Arial"/>
                <w:sz w:val="21"/>
              </w:rPr>
            </w:pPr>
          </w:p>
        </w:tc>
        <w:tc>
          <w:tcPr>
            <w:tcW w:w="429" w:type="dxa"/>
            <w:vMerge w:val="continue"/>
            <w:tcBorders>
              <w:top w:val="nil"/>
              <w:bottom w:val="nil"/>
            </w:tcBorders>
            <w:textDirection w:val="tbRlV"/>
            <w:vAlign w:val="top"/>
          </w:tcPr>
          <w:p w14:paraId="23996D4F">
            <w:pPr>
              <w:rPr>
                <w:rFonts w:ascii="Arial"/>
                <w:sz w:val="21"/>
              </w:rPr>
            </w:pPr>
          </w:p>
        </w:tc>
        <w:tc>
          <w:tcPr>
            <w:tcW w:w="829" w:type="dxa"/>
            <w:vMerge w:val="restart"/>
            <w:tcBorders>
              <w:bottom w:val="nil"/>
            </w:tcBorders>
            <w:vAlign w:val="top"/>
          </w:tcPr>
          <w:p w14:paraId="30C478FA">
            <w:pPr>
              <w:spacing w:line="257" w:lineRule="auto"/>
              <w:rPr>
                <w:rFonts w:ascii="Arial"/>
                <w:sz w:val="21"/>
              </w:rPr>
            </w:pPr>
          </w:p>
          <w:p w14:paraId="0FA67E9C">
            <w:pPr>
              <w:spacing w:line="257" w:lineRule="auto"/>
              <w:rPr>
                <w:rFonts w:ascii="Arial"/>
                <w:sz w:val="21"/>
              </w:rPr>
            </w:pPr>
          </w:p>
          <w:p w14:paraId="39AF1908">
            <w:pPr>
              <w:spacing w:line="258" w:lineRule="auto"/>
              <w:rPr>
                <w:rFonts w:ascii="Arial"/>
                <w:sz w:val="21"/>
              </w:rPr>
            </w:pPr>
          </w:p>
          <w:p w14:paraId="7DB0B3FE">
            <w:pPr>
              <w:spacing w:line="258" w:lineRule="auto"/>
              <w:rPr>
                <w:rFonts w:ascii="Arial"/>
                <w:sz w:val="21"/>
              </w:rPr>
            </w:pPr>
          </w:p>
          <w:p w14:paraId="0EE663CE">
            <w:pPr>
              <w:pStyle w:val="6"/>
              <w:spacing w:before="58" w:line="247" w:lineRule="auto"/>
              <w:ind w:left="132" w:right="153" w:firstLine="89"/>
              <w:rPr>
                <w:sz w:val="18"/>
                <w:szCs w:val="18"/>
              </w:rPr>
            </w:pPr>
            <w:r>
              <w:rPr>
                <w:spacing w:val="3"/>
                <w:sz w:val="18"/>
                <w:szCs w:val="18"/>
              </w:rPr>
              <w:t>固体</w:t>
            </w:r>
            <w:r>
              <w:rPr>
                <w:sz w:val="18"/>
                <w:szCs w:val="18"/>
              </w:rPr>
              <w:t xml:space="preserve">  </w:t>
            </w:r>
            <w:r>
              <w:rPr>
                <w:spacing w:val="-3"/>
                <w:sz w:val="18"/>
                <w:szCs w:val="18"/>
              </w:rPr>
              <w:t>废弃物</w:t>
            </w:r>
          </w:p>
        </w:tc>
        <w:tc>
          <w:tcPr>
            <w:tcW w:w="619" w:type="dxa"/>
            <w:vAlign w:val="top"/>
          </w:tcPr>
          <w:p w14:paraId="236BBF04">
            <w:pPr>
              <w:pStyle w:val="6"/>
              <w:spacing w:before="141" w:line="241" w:lineRule="auto"/>
              <w:ind w:left="252"/>
              <w:rPr>
                <w:sz w:val="18"/>
                <w:szCs w:val="18"/>
              </w:rPr>
            </w:pPr>
            <w:r>
              <w:rPr>
                <w:sz w:val="18"/>
                <w:szCs w:val="18"/>
              </w:rPr>
              <w:t>1</w:t>
            </w:r>
          </w:p>
        </w:tc>
        <w:tc>
          <w:tcPr>
            <w:tcW w:w="2517" w:type="dxa"/>
            <w:vAlign w:val="top"/>
          </w:tcPr>
          <w:p w14:paraId="2DC603CC">
            <w:pPr>
              <w:pStyle w:val="6"/>
              <w:spacing w:before="123" w:line="219" w:lineRule="auto"/>
              <w:ind w:left="804"/>
              <w:rPr>
                <w:sz w:val="18"/>
                <w:szCs w:val="18"/>
              </w:rPr>
            </w:pPr>
            <w:r>
              <w:rPr>
                <w:spacing w:val="-2"/>
                <w:sz w:val="18"/>
                <w:szCs w:val="18"/>
              </w:rPr>
              <w:t>废油收集桶</w:t>
            </w:r>
          </w:p>
        </w:tc>
        <w:tc>
          <w:tcPr>
            <w:tcW w:w="1738" w:type="dxa"/>
            <w:vAlign w:val="top"/>
          </w:tcPr>
          <w:p w14:paraId="0AAA702E">
            <w:pPr>
              <w:pStyle w:val="6"/>
              <w:spacing w:before="117" w:line="214" w:lineRule="auto"/>
              <w:ind w:left="277"/>
              <w:rPr>
                <w:sz w:val="18"/>
                <w:szCs w:val="18"/>
              </w:rPr>
            </w:pPr>
            <w:r>
              <w:rPr>
                <w:spacing w:val="-1"/>
                <w:sz w:val="18"/>
                <w:szCs w:val="18"/>
              </w:rPr>
              <w:t>20个，25kg/个</w:t>
            </w:r>
          </w:p>
        </w:tc>
        <w:tc>
          <w:tcPr>
            <w:tcW w:w="1029" w:type="dxa"/>
            <w:vAlign w:val="top"/>
          </w:tcPr>
          <w:p w14:paraId="24991CC5">
            <w:pPr>
              <w:pStyle w:val="6"/>
              <w:spacing w:before="141" w:line="239" w:lineRule="auto"/>
              <w:ind w:left="379"/>
              <w:rPr>
                <w:sz w:val="18"/>
                <w:szCs w:val="18"/>
              </w:rPr>
            </w:pPr>
            <w:r>
              <w:rPr>
                <w:spacing w:val="-2"/>
                <w:sz w:val="18"/>
                <w:szCs w:val="18"/>
              </w:rPr>
              <w:t>8.5</w:t>
            </w:r>
          </w:p>
        </w:tc>
        <w:tc>
          <w:tcPr>
            <w:tcW w:w="1049" w:type="dxa"/>
            <w:vAlign w:val="top"/>
          </w:tcPr>
          <w:p w14:paraId="592BE4F9">
            <w:pPr>
              <w:pStyle w:val="6"/>
              <w:spacing w:before="124" w:line="220" w:lineRule="auto"/>
              <w:ind w:left="160"/>
              <w:rPr>
                <w:sz w:val="18"/>
                <w:szCs w:val="18"/>
              </w:rPr>
            </w:pPr>
            <w:r>
              <w:rPr>
                <w:spacing w:val="3"/>
                <w:sz w:val="18"/>
                <w:szCs w:val="18"/>
              </w:rPr>
              <w:t>环评新增</w:t>
            </w:r>
          </w:p>
        </w:tc>
        <w:tc>
          <w:tcPr>
            <w:tcW w:w="115" w:type="dxa"/>
            <w:vMerge w:val="continue"/>
            <w:tcBorders>
              <w:top w:val="nil"/>
              <w:bottom w:val="nil"/>
            </w:tcBorders>
            <w:vAlign w:val="top"/>
          </w:tcPr>
          <w:p w14:paraId="6933877A">
            <w:pPr>
              <w:rPr>
                <w:rFonts w:ascii="Arial"/>
                <w:sz w:val="21"/>
              </w:rPr>
            </w:pPr>
          </w:p>
        </w:tc>
      </w:tr>
      <w:tr w14:paraId="07482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754" w:type="dxa"/>
            <w:vMerge w:val="continue"/>
            <w:tcBorders>
              <w:top w:val="nil"/>
              <w:bottom w:val="nil"/>
            </w:tcBorders>
            <w:vAlign w:val="top"/>
          </w:tcPr>
          <w:p w14:paraId="4FFCC4BC">
            <w:pPr>
              <w:rPr>
                <w:rFonts w:ascii="Arial"/>
                <w:sz w:val="21"/>
              </w:rPr>
            </w:pPr>
          </w:p>
        </w:tc>
        <w:tc>
          <w:tcPr>
            <w:tcW w:w="110" w:type="dxa"/>
            <w:tcBorders>
              <w:top w:val="nil"/>
              <w:bottom w:val="nil"/>
            </w:tcBorders>
            <w:vAlign w:val="top"/>
          </w:tcPr>
          <w:p w14:paraId="4C13CA70">
            <w:pPr>
              <w:rPr>
                <w:rFonts w:ascii="Arial"/>
                <w:sz w:val="21"/>
              </w:rPr>
            </w:pPr>
          </w:p>
        </w:tc>
        <w:tc>
          <w:tcPr>
            <w:tcW w:w="429" w:type="dxa"/>
            <w:vMerge w:val="continue"/>
            <w:tcBorders>
              <w:top w:val="nil"/>
              <w:bottom w:val="nil"/>
            </w:tcBorders>
            <w:textDirection w:val="tbRlV"/>
            <w:vAlign w:val="top"/>
          </w:tcPr>
          <w:p w14:paraId="05F6FF9B">
            <w:pPr>
              <w:rPr>
                <w:rFonts w:ascii="Arial"/>
                <w:sz w:val="21"/>
              </w:rPr>
            </w:pPr>
          </w:p>
        </w:tc>
        <w:tc>
          <w:tcPr>
            <w:tcW w:w="829" w:type="dxa"/>
            <w:vMerge w:val="continue"/>
            <w:tcBorders>
              <w:top w:val="nil"/>
              <w:bottom w:val="nil"/>
            </w:tcBorders>
            <w:vAlign w:val="top"/>
          </w:tcPr>
          <w:p w14:paraId="0991DA09">
            <w:pPr>
              <w:rPr>
                <w:rFonts w:ascii="Arial"/>
                <w:sz w:val="21"/>
              </w:rPr>
            </w:pPr>
          </w:p>
        </w:tc>
        <w:tc>
          <w:tcPr>
            <w:tcW w:w="619" w:type="dxa"/>
            <w:vAlign w:val="top"/>
          </w:tcPr>
          <w:p w14:paraId="56A14E74">
            <w:pPr>
              <w:pStyle w:val="6"/>
              <w:spacing w:before="135" w:line="241" w:lineRule="auto"/>
              <w:ind w:left="252"/>
              <w:rPr>
                <w:sz w:val="18"/>
                <w:szCs w:val="18"/>
              </w:rPr>
            </w:pPr>
            <w:r>
              <w:rPr>
                <w:sz w:val="18"/>
                <w:szCs w:val="18"/>
              </w:rPr>
              <w:t>2</w:t>
            </w:r>
          </w:p>
        </w:tc>
        <w:tc>
          <w:tcPr>
            <w:tcW w:w="2517" w:type="dxa"/>
            <w:vAlign w:val="top"/>
          </w:tcPr>
          <w:p w14:paraId="21436340">
            <w:pPr>
              <w:pStyle w:val="6"/>
              <w:spacing w:before="117" w:line="219" w:lineRule="auto"/>
              <w:ind w:left="534"/>
              <w:rPr>
                <w:sz w:val="18"/>
                <w:szCs w:val="18"/>
              </w:rPr>
            </w:pPr>
            <w:r>
              <w:rPr>
                <w:spacing w:val="2"/>
                <w:sz w:val="18"/>
                <w:szCs w:val="18"/>
              </w:rPr>
              <w:t>升压站危废暂存间</w:t>
            </w:r>
          </w:p>
        </w:tc>
        <w:tc>
          <w:tcPr>
            <w:tcW w:w="1738" w:type="dxa"/>
            <w:vAlign w:val="top"/>
          </w:tcPr>
          <w:p w14:paraId="0704C302">
            <w:pPr>
              <w:pStyle w:val="6"/>
              <w:spacing w:before="117" w:line="219" w:lineRule="auto"/>
              <w:ind w:left="727"/>
              <w:rPr>
                <w:sz w:val="18"/>
                <w:szCs w:val="18"/>
              </w:rPr>
            </w:pPr>
            <w:r>
              <w:rPr>
                <w:spacing w:val="3"/>
                <w:sz w:val="18"/>
                <w:szCs w:val="18"/>
              </w:rPr>
              <w:t>1个</w:t>
            </w:r>
          </w:p>
        </w:tc>
        <w:tc>
          <w:tcPr>
            <w:tcW w:w="1029" w:type="dxa"/>
            <w:vAlign w:val="top"/>
          </w:tcPr>
          <w:p w14:paraId="3CD1631D">
            <w:pPr>
              <w:pStyle w:val="6"/>
              <w:spacing w:before="135" w:line="239" w:lineRule="auto"/>
              <w:ind w:left="329"/>
              <w:rPr>
                <w:sz w:val="18"/>
                <w:szCs w:val="18"/>
              </w:rPr>
            </w:pPr>
            <w:r>
              <w:rPr>
                <w:spacing w:val="-4"/>
                <w:sz w:val="18"/>
                <w:szCs w:val="18"/>
              </w:rPr>
              <w:t>15.0</w:t>
            </w:r>
          </w:p>
        </w:tc>
        <w:tc>
          <w:tcPr>
            <w:tcW w:w="1049" w:type="dxa"/>
            <w:vAlign w:val="top"/>
          </w:tcPr>
          <w:p w14:paraId="4238643C">
            <w:pPr>
              <w:pStyle w:val="6"/>
              <w:spacing w:before="118" w:line="220" w:lineRule="auto"/>
              <w:ind w:left="160"/>
              <w:rPr>
                <w:sz w:val="18"/>
                <w:szCs w:val="18"/>
              </w:rPr>
            </w:pPr>
            <w:r>
              <w:rPr>
                <w:spacing w:val="3"/>
                <w:sz w:val="18"/>
                <w:szCs w:val="18"/>
              </w:rPr>
              <w:t>环评新增</w:t>
            </w:r>
          </w:p>
        </w:tc>
        <w:tc>
          <w:tcPr>
            <w:tcW w:w="115" w:type="dxa"/>
            <w:vMerge w:val="continue"/>
            <w:tcBorders>
              <w:top w:val="nil"/>
              <w:bottom w:val="nil"/>
            </w:tcBorders>
            <w:vAlign w:val="top"/>
          </w:tcPr>
          <w:p w14:paraId="7802AA03">
            <w:pPr>
              <w:rPr>
                <w:rFonts w:ascii="Arial"/>
                <w:sz w:val="21"/>
              </w:rPr>
            </w:pPr>
          </w:p>
        </w:tc>
      </w:tr>
      <w:tr w14:paraId="55510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754" w:type="dxa"/>
            <w:vMerge w:val="continue"/>
            <w:tcBorders>
              <w:top w:val="nil"/>
              <w:bottom w:val="nil"/>
            </w:tcBorders>
            <w:vAlign w:val="top"/>
          </w:tcPr>
          <w:p w14:paraId="221F08A9">
            <w:pPr>
              <w:rPr>
                <w:rFonts w:ascii="Arial"/>
                <w:sz w:val="21"/>
              </w:rPr>
            </w:pPr>
          </w:p>
        </w:tc>
        <w:tc>
          <w:tcPr>
            <w:tcW w:w="110" w:type="dxa"/>
            <w:tcBorders>
              <w:top w:val="nil"/>
              <w:bottom w:val="nil"/>
            </w:tcBorders>
            <w:vAlign w:val="top"/>
          </w:tcPr>
          <w:p w14:paraId="4BBCE115">
            <w:pPr>
              <w:rPr>
                <w:rFonts w:ascii="Arial"/>
                <w:sz w:val="21"/>
              </w:rPr>
            </w:pPr>
          </w:p>
        </w:tc>
        <w:tc>
          <w:tcPr>
            <w:tcW w:w="429" w:type="dxa"/>
            <w:vMerge w:val="continue"/>
            <w:tcBorders>
              <w:top w:val="nil"/>
              <w:bottom w:val="nil"/>
            </w:tcBorders>
            <w:textDirection w:val="tbRlV"/>
            <w:vAlign w:val="top"/>
          </w:tcPr>
          <w:p w14:paraId="4A89EA53">
            <w:pPr>
              <w:rPr>
                <w:rFonts w:ascii="Arial"/>
                <w:sz w:val="21"/>
              </w:rPr>
            </w:pPr>
          </w:p>
        </w:tc>
        <w:tc>
          <w:tcPr>
            <w:tcW w:w="829" w:type="dxa"/>
            <w:vMerge w:val="continue"/>
            <w:tcBorders>
              <w:top w:val="nil"/>
              <w:bottom w:val="nil"/>
            </w:tcBorders>
            <w:vAlign w:val="top"/>
          </w:tcPr>
          <w:p w14:paraId="0E48768B">
            <w:pPr>
              <w:rPr>
                <w:rFonts w:ascii="Arial"/>
                <w:sz w:val="21"/>
              </w:rPr>
            </w:pPr>
          </w:p>
        </w:tc>
        <w:tc>
          <w:tcPr>
            <w:tcW w:w="619" w:type="dxa"/>
            <w:vAlign w:val="top"/>
          </w:tcPr>
          <w:p w14:paraId="408997FB">
            <w:pPr>
              <w:pStyle w:val="6"/>
              <w:spacing w:before="141"/>
              <w:ind w:left="252"/>
              <w:rPr>
                <w:sz w:val="18"/>
                <w:szCs w:val="18"/>
              </w:rPr>
            </w:pPr>
            <w:r>
              <w:rPr>
                <w:sz w:val="18"/>
                <w:szCs w:val="18"/>
              </w:rPr>
              <w:t>3</w:t>
            </w:r>
          </w:p>
        </w:tc>
        <w:tc>
          <w:tcPr>
            <w:tcW w:w="2517" w:type="dxa"/>
            <w:vAlign w:val="top"/>
          </w:tcPr>
          <w:p w14:paraId="14E0F95A">
            <w:pPr>
              <w:pStyle w:val="6"/>
              <w:spacing w:before="124" w:line="219" w:lineRule="auto"/>
              <w:ind w:left="534"/>
              <w:rPr>
                <w:sz w:val="18"/>
                <w:szCs w:val="18"/>
              </w:rPr>
            </w:pPr>
            <w:r>
              <w:rPr>
                <w:spacing w:val="1"/>
                <w:sz w:val="18"/>
                <w:szCs w:val="18"/>
              </w:rPr>
              <w:t>移动式带盖垃圾桶</w:t>
            </w:r>
          </w:p>
        </w:tc>
        <w:tc>
          <w:tcPr>
            <w:tcW w:w="1738" w:type="dxa"/>
            <w:vAlign w:val="top"/>
          </w:tcPr>
          <w:p w14:paraId="4604687B">
            <w:pPr>
              <w:pStyle w:val="6"/>
              <w:spacing w:before="124" w:line="219" w:lineRule="auto"/>
              <w:ind w:left="636"/>
              <w:rPr>
                <w:sz w:val="18"/>
                <w:szCs w:val="18"/>
              </w:rPr>
            </w:pPr>
            <w:r>
              <w:rPr>
                <w:spacing w:val="-2"/>
                <w:sz w:val="18"/>
                <w:szCs w:val="18"/>
              </w:rPr>
              <w:t>3~4个</w:t>
            </w:r>
          </w:p>
        </w:tc>
        <w:tc>
          <w:tcPr>
            <w:tcW w:w="1029" w:type="dxa"/>
            <w:vAlign w:val="top"/>
          </w:tcPr>
          <w:p w14:paraId="68A036EF">
            <w:pPr>
              <w:pStyle w:val="6"/>
              <w:spacing w:before="142" w:line="239" w:lineRule="auto"/>
              <w:ind w:left="379"/>
              <w:rPr>
                <w:sz w:val="18"/>
                <w:szCs w:val="18"/>
              </w:rPr>
            </w:pPr>
            <w:r>
              <w:rPr>
                <w:spacing w:val="-2"/>
                <w:sz w:val="18"/>
                <w:szCs w:val="18"/>
              </w:rPr>
              <w:t>0.3</w:t>
            </w:r>
          </w:p>
        </w:tc>
        <w:tc>
          <w:tcPr>
            <w:tcW w:w="1049" w:type="dxa"/>
            <w:vAlign w:val="top"/>
          </w:tcPr>
          <w:p w14:paraId="1843387C">
            <w:pPr>
              <w:pStyle w:val="6"/>
              <w:spacing w:before="125" w:line="220" w:lineRule="auto"/>
              <w:ind w:left="160"/>
              <w:rPr>
                <w:sz w:val="18"/>
                <w:szCs w:val="18"/>
              </w:rPr>
            </w:pPr>
            <w:r>
              <w:rPr>
                <w:spacing w:val="3"/>
                <w:sz w:val="18"/>
                <w:szCs w:val="18"/>
              </w:rPr>
              <w:t>环评新增</w:t>
            </w:r>
          </w:p>
        </w:tc>
        <w:tc>
          <w:tcPr>
            <w:tcW w:w="115" w:type="dxa"/>
            <w:vMerge w:val="continue"/>
            <w:tcBorders>
              <w:top w:val="nil"/>
              <w:bottom w:val="nil"/>
            </w:tcBorders>
            <w:vAlign w:val="top"/>
          </w:tcPr>
          <w:p w14:paraId="092D5E51">
            <w:pPr>
              <w:rPr>
                <w:rFonts w:ascii="Arial"/>
                <w:sz w:val="21"/>
              </w:rPr>
            </w:pPr>
          </w:p>
        </w:tc>
      </w:tr>
      <w:tr w14:paraId="238A6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54" w:type="dxa"/>
            <w:vMerge w:val="continue"/>
            <w:tcBorders>
              <w:top w:val="nil"/>
              <w:bottom w:val="nil"/>
            </w:tcBorders>
            <w:vAlign w:val="top"/>
          </w:tcPr>
          <w:p w14:paraId="38123F9B">
            <w:pPr>
              <w:rPr>
                <w:rFonts w:ascii="Arial"/>
                <w:sz w:val="21"/>
              </w:rPr>
            </w:pPr>
          </w:p>
        </w:tc>
        <w:tc>
          <w:tcPr>
            <w:tcW w:w="110" w:type="dxa"/>
            <w:tcBorders>
              <w:top w:val="nil"/>
              <w:bottom w:val="nil"/>
            </w:tcBorders>
            <w:vAlign w:val="top"/>
          </w:tcPr>
          <w:p w14:paraId="24439907">
            <w:pPr>
              <w:rPr>
                <w:rFonts w:ascii="Arial"/>
                <w:sz w:val="21"/>
              </w:rPr>
            </w:pPr>
          </w:p>
        </w:tc>
        <w:tc>
          <w:tcPr>
            <w:tcW w:w="429" w:type="dxa"/>
            <w:vMerge w:val="continue"/>
            <w:tcBorders>
              <w:top w:val="nil"/>
              <w:bottom w:val="nil"/>
            </w:tcBorders>
            <w:textDirection w:val="tbRlV"/>
            <w:vAlign w:val="top"/>
          </w:tcPr>
          <w:p w14:paraId="0D3E9F65">
            <w:pPr>
              <w:rPr>
                <w:rFonts w:ascii="Arial"/>
                <w:sz w:val="21"/>
              </w:rPr>
            </w:pPr>
          </w:p>
        </w:tc>
        <w:tc>
          <w:tcPr>
            <w:tcW w:w="829" w:type="dxa"/>
            <w:vMerge w:val="continue"/>
            <w:tcBorders>
              <w:top w:val="nil"/>
              <w:bottom w:val="nil"/>
            </w:tcBorders>
            <w:vAlign w:val="top"/>
          </w:tcPr>
          <w:p w14:paraId="4EC3E7A9">
            <w:pPr>
              <w:rPr>
                <w:rFonts w:ascii="Arial"/>
                <w:sz w:val="21"/>
              </w:rPr>
            </w:pPr>
          </w:p>
        </w:tc>
        <w:tc>
          <w:tcPr>
            <w:tcW w:w="619" w:type="dxa"/>
            <w:vAlign w:val="top"/>
          </w:tcPr>
          <w:p w14:paraId="3361A5BE">
            <w:pPr>
              <w:pStyle w:val="6"/>
              <w:spacing w:before="276" w:line="241" w:lineRule="auto"/>
              <w:ind w:left="252"/>
              <w:rPr>
                <w:sz w:val="18"/>
                <w:szCs w:val="18"/>
              </w:rPr>
            </w:pPr>
            <w:r>
              <w:rPr>
                <w:sz w:val="18"/>
                <w:szCs w:val="18"/>
              </w:rPr>
              <w:t>4</w:t>
            </w:r>
          </w:p>
        </w:tc>
        <w:tc>
          <w:tcPr>
            <w:tcW w:w="2517" w:type="dxa"/>
            <w:vAlign w:val="top"/>
          </w:tcPr>
          <w:p w14:paraId="60A60221">
            <w:pPr>
              <w:pStyle w:val="6"/>
              <w:spacing w:before="259" w:line="220" w:lineRule="auto"/>
              <w:ind w:left="443"/>
              <w:rPr>
                <w:sz w:val="18"/>
                <w:szCs w:val="18"/>
              </w:rPr>
            </w:pPr>
            <w:r>
              <w:rPr>
                <w:spacing w:val="-1"/>
                <w:sz w:val="18"/>
                <w:szCs w:val="18"/>
              </w:rPr>
              <w:t>箱变变压器事故油池</w:t>
            </w:r>
          </w:p>
        </w:tc>
        <w:tc>
          <w:tcPr>
            <w:tcW w:w="1738" w:type="dxa"/>
            <w:vAlign w:val="top"/>
          </w:tcPr>
          <w:p w14:paraId="4A3C33E2">
            <w:pPr>
              <w:pStyle w:val="6"/>
              <w:spacing w:before="49" w:line="214" w:lineRule="auto"/>
              <w:ind w:left="326" w:right="212" w:hanging="89"/>
              <w:rPr>
                <w:sz w:val="18"/>
                <w:szCs w:val="18"/>
              </w:rPr>
            </w:pPr>
            <w:r>
              <w:rPr>
                <w:spacing w:val="2"/>
                <w:sz w:val="18"/>
                <w:szCs w:val="18"/>
              </w:rPr>
              <w:t>设置24个事故油</w:t>
            </w:r>
            <w:r>
              <w:rPr>
                <w:spacing w:val="1"/>
                <w:sz w:val="18"/>
                <w:szCs w:val="18"/>
              </w:rPr>
              <w:t xml:space="preserve"> </w:t>
            </w:r>
            <w:r>
              <w:rPr>
                <w:spacing w:val="-1"/>
                <w:sz w:val="18"/>
                <w:szCs w:val="18"/>
              </w:rPr>
              <w:t>池，容积均为</w:t>
            </w:r>
          </w:p>
          <w:p w14:paraId="641D3337">
            <w:pPr>
              <w:pStyle w:val="6"/>
              <w:spacing w:line="212" w:lineRule="auto"/>
              <w:ind w:left="567"/>
              <w:rPr>
                <w:sz w:val="18"/>
                <w:szCs w:val="18"/>
              </w:rPr>
            </w:pPr>
            <w:r>
              <w:rPr>
                <w:spacing w:val="-1"/>
                <w:sz w:val="18"/>
                <w:szCs w:val="18"/>
              </w:rPr>
              <w:t>4.84m³</w:t>
            </w:r>
          </w:p>
        </w:tc>
        <w:tc>
          <w:tcPr>
            <w:tcW w:w="1029" w:type="dxa"/>
            <w:vAlign w:val="top"/>
          </w:tcPr>
          <w:p w14:paraId="7E6D6EAC">
            <w:pPr>
              <w:pStyle w:val="6"/>
              <w:spacing w:before="276" w:line="239" w:lineRule="auto"/>
              <w:ind w:left="329"/>
              <w:rPr>
                <w:sz w:val="18"/>
                <w:szCs w:val="18"/>
              </w:rPr>
            </w:pPr>
            <w:r>
              <w:rPr>
                <w:spacing w:val="-2"/>
                <w:sz w:val="18"/>
                <w:szCs w:val="18"/>
              </w:rPr>
              <w:t>54.5</w:t>
            </w:r>
          </w:p>
        </w:tc>
        <w:tc>
          <w:tcPr>
            <w:tcW w:w="1049" w:type="dxa"/>
            <w:vAlign w:val="top"/>
          </w:tcPr>
          <w:p w14:paraId="68852178">
            <w:pPr>
              <w:pStyle w:val="6"/>
              <w:spacing w:before="259" w:line="220" w:lineRule="auto"/>
              <w:ind w:left="160"/>
              <w:rPr>
                <w:sz w:val="18"/>
                <w:szCs w:val="18"/>
              </w:rPr>
            </w:pPr>
            <w:r>
              <w:rPr>
                <w:spacing w:val="3"/>
                <w:sz w:val="18"/>
                <w:szCs w:val="18"/>
              </w:rPr>
              <w:t>环评新增</w:t>
            </w:r>
          </w:p>
        </w:tc>
        <w:tc>
          <w:tcPr>
            <w:tcW w:w="115" w:type="dxa"/>
            <w:vMerge w:val="continue"/>
            <w:tcBorders>
              <w:top w:val="nil"/>
              <w:bottom w:val="nil"/>
            </w:tcBorders>
            <w:vAlign w:val="top"/>
          </w:tcPr>
          <w:p w14:paraId="34CFCA30">
            <w:pPr>
              <w:rPr>
                <w:rFonts w:ascii="Arial"/>
                <w:sz w:val="21"/>
              </w:rPr>
            </w:pPr>
          </w:p>
        </w:tc>
      </w:tr>
      <w:tr w14:paraId="5C133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754" w:type="dxa"/>
            <w:vMerge w:val="continue"/>
            <w:tcBorders>
              <w:top w:val="nil"/>
              <w:bottom w:val="nil"/>
            </w:tcBorders>
            <w:vAlign w:val="top"/>
          </w:tcPr>
          <w:p w14:paraId="428129A6">
            <w:pPr>
              <w:rPr>
                <w:rFonts w:ascii="Arial"/>
                <w:sz w:val="21"/>
              </w:rPr>
            </w:pPr>
          </w:p>
        </w:tc>
        <w:tc>
          <w:tcPr>
            <w:tcW w:w="110" w:type="dxa"/>
            <w:tcBorders>
              <w:top w:val="nil"/>
              <w:bottom w:val="nil"/>
            </w:tcBorders>
            <w:vAlign w:val="top"/>
          </w:tcPr>
          <w:p w14:paraId="7CC6D17C">
            <w:pPr>
              <w:rPr>
                <w:rFonts w:ascii="Arial"/>
                <w:sz w:val="21"/>
              </w:rPr>
            </w:pPr>
          </w:p>
        </w:tc>
        <w:tc>
          <w:tcPr>
            <w:tcW w:w="429" w:type="dxa"/>
            <w:vMerge w:val="continue"/>
            <w:tcBorders>
              <w:top w:val="nil"/>
              <w:bottom w:val="nil"/>
            </w:tcBorders>
            <w:textDirection w:val="tbRlV"/>
            <w:vAlign w:val="top"/>
          </w:tcPr>
          <w:p w14:paraId="7A058B0F">
            <w:pPr>
              <w:rPr>
                <w:rFonts w:ascii="Arial"/>
                <w:sz w:val="21"/>
              </w:rPr>
            </w:pPr>
          </w:p>
        </w:tc>
        <w:tc>
          <w:tcPr>
            <w:tcW w:w="829" w:type="dxa"/>
            <w:vMerge w:val="continue"/>
            <w:tcBorders>
              <w:top w:val="nil"/>
            </w:tcBorders>
            <w:vAlign w:val="top"/>
          </w:tcPr>
          <w:p w14:paraId="020253C5">
            <w:pPr>
              <w:rPr>
                <w:rFonts w:ascii="Arial"/>
                <w:sz w:val="21"/>
              </w:rPr>
            </w:pPr>
          </w:p>
        </w:tc>
        <w:tc>
          <w:tcPr>
            <w:tcW w:w="619" w:type="dxa"/>
            <w:vAlign w:val="top"/>
          </w:tcPr>
          <w:p w14:paraId="7899845D">
            <w:pPr>
              <w:pStyle w:val="6"/>
              <w:spacing w:before="271"/>
              <w:ind w:left="252"/>
              <w:rPr>
                <w:sz w:val="18"/>
                <w:szCs w:val="18"/>
              </w:rPr>
            </w:pPr>
            <w:r>
              <w:rPr>
                <w:sz w:val="18"/>
                <w:szCs w:val="18"/>
              </w:rPr>
              <w:t>5</w:t>
            </w:r>
          </w:p>
        </w:tc>
        <w:tc>
          <w:tcPr>
            <w:tcW w:w="2517" w:type="dxa"/>
            <w:vAlign w:val="top"/>
          </w:tcPr>
          <w:p w14:paraId="1D137CFB">
            <w:pPr>
              <w:pStyle w:val="6"/>
              <w:spacing w:before="254" w:line="219" w:lineRule="auto"/>
              <w:ind w:left="213"/>
              <w:rPr>
                <w:sz w:val="18"/>
                <w:szCs w:val="18"/>
              </w:rPr>
            </w:pPr>
            <w:r>
              <w:rPr>
                <w:spacing w:val="-1"/>
                <w:sz w:val="18"/>
                <w:szCs w:val="18"/>
              </w:rPr>
              <w:t>升压站集油井+总事故油池</w:t>
            </w:r>
          </w:p>
        </w:tc>
        <w:tc>
          <w:tcPr>
            <w:tcW w:w="1738" w:type="dxa"/>
            <w:vAlign w:val="top"/>
          </w:tcPr>
          <w:p w14:paraId="37324205">
            <w:pPr>
              <w:pStyle w:val="6"/>
              <w:spacing w:before="34" w:line="219" w:lineRule="auto"/>
              <w:ind w:left="96"/>
              <w:rPr>
                <w:sz w:val="18"/>
                <w:szCs w:val="18"/>
              </w:rPr>
            </w:pPr>
            <w:r>
              <w:rPr>
                <w:spacing w:val="11"/>
                <w:sz w:val="18"/>
                <w:szCs w:val="18"/>
              </w:rPr>
              <w:t>集油井1个，44m³;</w:t>
            </w:r>
          </w:p>
          <w:p w14:paraId="69386817">
            <w:pPr>
              <w:pStyle w:val="6"/>
              <w:spacing w:before="16" w:line="219" w:lineRule="auto"/>
              <w:ind w:left="237"/>
              <w:rPr>
                <w:sz w:val="18"/>
                <w:szCs w:val="18"/>
              </w:rPr>
            </w:pPr>
            <w:r>
              <w:rPr>
                <w:spacing w:val="-1"/>
                <w:sz w:val="18"/>
                <w:szCs w:val="18"/>
              </w:rPr>
              <w:t>总事故油池1个，</w:t>
            </w:r>
          </w:p>
          <w:p w14:paraId="09D9CACB">
            <w:pPr>
              <w:pStyle w:val="6"/>
              <w:spacing w:before="13" w:line="163" w:lineRule="auto"/>
              <w:ind w:left="636"/>
              <w:rPr>
                <w:sz w:val="18"/>
                <w:szCs w:val="18"/>
              </w:rPr>
            </w:pPr>
            <w:r>
              <w:rPr>
                <w:spacing w:val="-2"/>
                <w:sz w:val="18"/>
                <w:szCs w:val="18"/>
              </w:rPr>
              <w:t>80m³</w:t>
            </w:r>
          </w:p>
        </w:tc>
        <w:tc>
          <w:tcPr>
            <w:tcW w:w="1029" w:type="dxa"/>
            <w:vAlign w:val="top"/>
          </w:tcPr>
          <w:p w14:paraId="7C9C8CC8">
            <w:pPr>
              <w:pStyle w:val="6"/>
              <w:spacing w:before="271"/>
              <w:ind w:left="419"/>
              <w:rPr>
                <w:sz w:val="18"/>
                <w:szCs w:val="18"/>
              </w:rPr>
            </w:pPr>
            <w:r>
              <w:rPr>
                <w:spacing w:val="-6"/>
                <w:sz w:val="18"/>
                <w:szCs w:val="18"/>
              </w:rPr>
              <w:t>10</w:t>
            </w:r>
          </w:p>
        </w:tc>
        <w:tc>
          <w:tcPr>
            <w:tcW w:w="1049" w:type="dxa"/>
            <w:vAlign w:val="top"/>
          </w:tcPr>
          <w:p w14:paraId="3FEDC6DF">
            <w:pPr>
              <w:pStyle w:val="6"/>
              <w:spacing w:before="254" w:line="220" w:lineRule="auto"/>
              <w:ind w:left="160"/>
              <w:rPr>
                <w:sz w:val="18"/>
                <w:szCs w:val="18"/>
              </w:rPr>
            </w:pPr>
            <w:r>
              <w:rPr>
                <w:spacing w:val="-2"/>
                <w:sz w:val="18"/>
                <w:szCs w:val="18"/>
              </w:rPr>
              <w:t>可研已有</w:t>
            </w:r>
          </w:p>
        </w:tc>
        <w:tc>
          <w:tcPr>
            <w:tcW w:w="115" w:type="dxa"/>
            <w:vMerge w:val="continue"/>
            <w:tcBorders>
              <w:top w:val="nil"/>
              <w:bottom w:val="nil"/>
            </w:tcBorders>
            <w:vAlign w:val="top"/>
          </w:tcPr>
          <w:p w14:paraId="047BED4A">
            <w:pPr>
              <w:rPr>
                <w:rFonts w:ascii="Arial"/>
                <w:sz w:val="21"/>
              </w:rPr>
            </w:pPr>
          </w:p>
        </w:tc>
      </w:tr>
      <w:tr w14:paraId="18880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754" w:type="dxa"/>
            <w:vMerge w:val="continue"/>
            <w:tcBorders>
              <w:top w:val="nil"/>
              <w:bottom w:val="nil"/>
            </w:tcBorders>
            <w:vAlign w:val="top"/>
          </w:tcPr>
          <w:p w14:paraId="50C4DBDB">
            <w:pPr>
              <w:rPr>
                <w:rFonts w:ascii="Arial"/>
                <w:sz w:val="21"/>
              </w:rPr>
            </w:pPr>
          </w:p>
        </w:tc>
        <w:tc>
          <w:tcPr>
            <w:tcW w:w="110" w:type="dxa"/>
            <w:tcBorders>
              <w:top w:val="nil"/>
              <w:bottom w:val="nil"/>
            </w:tcBorders>
            <w:vAlign w:val="top"/>
          </w:tcPr>
          <w:p w14:paraId="13F28AE8">
            <w:pPr>
              <w:rPr>
                <w:rFonts w:ascii="Arial"/>
                <w:sz w:val="21"/>
              </w:rPr>
            </w:pPr>
          </w:p>
        </w:tc>
        <w:tc>
          <w:tcPr>
            <w:tcW w:w="429" w:type="dxa"/>
            <w:vMerge w:val="continue"/>
            <w:tcBorders>
              <w:top w:val="nil"/>
              <w:bottom w:val="nil"/>
            </w:tcBorders>
            <w:textDirection w:val="tbRlV"/>
            <w:vAlign w:val="top"/>
          </w:tcPr>
          <w:p w14:paraId="3115880F">
            <w:pPr>
              <w:rPr>
                <w:rFonts w:ascii="Arial"/>
                <w:sz w:val="21"/>
              </w:rPr>
            </w:pPr>
          </w:p>
        </w:tc>
        <w:tc>
          <w:tcPr>
            <w:tcW w:w="829" w:type="dxa"/>
            <w:vMerge w:val="restart"/>
            <w:tcBorders>
              <w:bottom w:val="nil"/>
            </w:tcBorders>
            <w:vAlign w:val="top"/>
          </w:tcPr>
          <w:p w14:paraId="1EFD7691">
            <w:pPr>
              <w:pStyle w:val="6"/>
              <w:spacing w:before="258" w:line="221" w:lineRule="auto"/>
              <w:ind w:left="221"/>
              <w:rPr>
                <w:sz w:val="18"/>
                <w:szCs w:val="18"/>
              </w:rPr>
            </w:pPr>
            <w:r>
              <w:rPr>
                <w:spacing w:val="-3"/>
                <w:sz w:val="18"/>
                <w:szCs w:val="18"/>
              </w:rPr>
              <w:t>生态</w:t>
            </w:r>
          </w:p>
          <w:p w14:paraId="233B7CDE">
            <w:pPr>
              <w:pStyle w:val="6"/>
              <w:spacing w:line="220" w:lineRule="auto"/>
              <w:ind w:left="221"/>
              <w:rPr>
                <w:sz w:val="18"/>
                <w:szCs w:val="18"/>
              </w:rPr>
            </w:pPr>
            <w:r>
              <w:rPr>
                <w:spacing w:val="-2"/>
                <w:sz w:val="18"/>
                <w:szCs w:val="18"/>
              </w:rPr>
              <w:t>环境</w:t>
            </w:r>
          </w:p>
        </w:tc>
        <w:tc>
          <w:tcPr>
            <w:tcW w:w="619" w:type="dxa"/>
            <w:vAlign w:val="top"/>
          </w:tcPr>
          <w:p w14:paraId="2FB1E55E">
            <w:pPr>
              <w:pStyle w:val="6"/>
              <w:spacing w:before="181" w:line="241" w:lineRule="auto"/>
              <w:ind w:left="252"/>
              <w:rPr>
                <w:sz w:val="18"/>
                <w:szCs w:val="18"/>
              </w:rPr>
            </w:pPr>
            <w:r>
              <w:rPr>
                <w:sz w:val="18"/>
                <w:szCs w:val="18"/>
              </w:rPr>
              <w:t>1</w:t>
            </w:r>
          </w:p>
        </w:tc>
        <w:tc>
          <w:tcPr>
            <w:tcW w:w="2517" w:type="dxa"/>
            <w:vAlign w:val="top"/>
          </w:tcPr>
          <w:p w14:paraId="785A81C8">
            <w:pPr>
              <w:pStyle w:val="6"/>
              <w:spacing w:before="42" w:line="211" w:lineRule="auto"/>
              <w:ind w:left="173" w:right="133"/>
              <w:rPr>
                <w:sz w:val="18"/>
                <w:szCs w:val="18"/>
              </w:rPr>
            </w:pPr>
            <w:r>
              <w:rPr>
                <w:sz w:val="18"/>
                <w:szCs w:val="18"/>
              </w:rPr>
              <w:t>临时占地复垦及植被恢复工</w:t>
            </w:r>
            <w:r>
              <w:rPr>
                <w:spacing w:val="8"/>
                <w:sz w:val="18"/>
                <w:szCs w:val="18"/>
              </w:rPr>
              <w:t xml:space="preserve"> </w:t>
            </w:r>
            <w:r>
              <w:rPr>
                <w:spacing w:val="3"/>
                <w:sz w:val="18"/>
                <w:szCs w:val="18"/>
              </w:rPr>
              <w:t>程费(不含农业区种植费用)</w:t>
            </w:r>
          </w:p>
        </w:tc>
        <w:tc>
          <w:tcPr>
            <w:tcW w:w="1738" w:type="dxa"/>
            <w:vAlign w:val="top"/>
          </w:tcPr>
          <w:p w14:paraId="51E68D1A">
            <w:pPr>
              <w:pStyle w:val="6"/>
              <w:spacing w:before="168" w:line="224" w:lineRule="auto"/>
              <w:ind w:left="817"/>
              <w:rPr>
                <w:sz w:val="18"/>
                <w:szCs w:val="18"/>
              </w:rPr>
            </w:pPr>
            <w:r>
              <w:rPr>
                <w:sz w:val="18"/>
                <w:szCs w:val="18"/>
              </w:rPr>
              <w:t>/</w:t>
            </w:r>
          </w:p>
        </w:tc>
        <w:tc>
          <w:tcPr>
            <w:tcW w:w="1029" w:type="dxa"/>
            <w:vAlign w:val="top"/>
          </w:tcPr>
          <w:p w14:paraId="2C002C43">
            <w:pPr>
              <w:pStyle w:val="6"/>
              <w:spacing w:before="181" w:line="239" w:lineRule="auto"/>
              <w:ind w:left="329"/>
              <w:rPr>
                <w:sz w:val="18"/>
                <w:szCs w:val="18"/>
              </w:rPr>
            </w:pPr>
            <w:r>
              <w:rPr>
                <w:spacing w:val="-2"/>
                <w:sz w:val="18"/>
                <w:szCs w:val="18"/>
              </w:rPr>
              <w:t>56.9</w:t>
            </w:r>
          </w:p>
        </w:tc>
        <w:tc>
          <w:tcPr>
            <w:tcW w:w="1049" w:type="dxa"/>
            <w:vAlign w:val="top"/>
          </w:tcPr>
          <w:p w14:paraId="0EAAD28D">
            <w:pPr>
              <w:pStyle w:val="6"/>
              <w:spacing w:before="163" w:line="220" w:lineRule="auto"/>
              <w:ind w:left="160"/>
              <w:rPr>
                <w:sz w:val="18"/>
                <w:szCs w:val="18"/>
              </w:rPr>
            </w:pPr>
            <w:r>
              <w:rPr>
                <w:spacing w:val="-2"/>
                <w:sz w:val="18"/>
                <w:szCs w:val="18"/>
              </w:rPr>
              <w:t>可研已有</w:t>
            </w:r>
          </w:p>
        </w:tc>
        <w:tc>
          <w:tcPr>
            <w:tcW w:w="115" w:type="dxa"/>
            <w:vMerge w:val="continue"/>
            <w:tcBorders>
              <w:top w:val="nil"/>
              <w:bottom w:val="nil"/>
            </w:tcBorders>
            <w:vAlign w:val="top"/>
          </w:tcPr>
          <w:p w14:paraId="3142278B">
            <w:pPr>
              <w:rPr>
                <w:rFonts w:ascii="Arial"/>
                <w:sz w:val="21"/>
              </w:rPr>
            </w:pPr>
          </w:p>
        </w:tc>
      </w:tr>
      <w:tr w14:paraId="364DD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754" w:type="dxa"/>
            <w:vMerge w:val="continue"/>
            <w:tcBorders>
              <w:top w:val="nil"/>
              <w:bottom w:val="nil"/>
            </w:tcBorders>
            <w:vAlign w:val="top"/>
          </w:tcPr>
          <w:p w14:paraId="5CF134B7">
            <w:pPr>
              <w:rPr>
                <w:rFonts w:ascii="Arial"/>
                <w:sz w:val="21"/>
              </w:rPr>
            </w:pPr>
          </w:p>
        </w:tc>
        <w:tc>
          <w:tcPr>
            <w:tcW w:w="110" w:type="dxa"/>
            <w:tcBorders>
              <w:top w:val="nil"/>
              <w:bottom w:val="nil"/>
            </w:tcBorders>
            <w:vAlign w:val="top"/>
          </w:tcPr>
          <w:p w14:paraId="19F69F5E">
            <w:pPr>
              <w:rPr>
                <w:rFonts w:ascii="Arial"/>
                <w:sz w:val="21"/>
              </w:rPr>
            </w:pPr>
          </w:p>
        </w:tc>
        <w:tc>
          <w:tcPr>
            <w:tcW w:w="429" w:type="dxa"/>
            <w:vMerge w:val="continue"/>
            <w:tcBorders>
              <w:top w:val="nil"/>
              <w:bottom w:val="nil"/>
            </w:tcBorders>
            <w:textDirection w:val="tbRlV"/>
            <w:vAlign w:val="top"/>
          </w:tcPr>
          <w:p w14:paraId="2DC6BA5A">
            <w:pPr>
              <w:rPr>
                <w:rFonts w:ascii="Arial"/>
                <w:sz w:val="21"/>
              </w:rPr>
            </w:pPr>
          </w:p>
        </w:tc>
        <w:tc>
          <w:tcPr>
            <w:tcW w:w="829" w:type="dxa"/>
            <w:vMerge w:val="continue"/>
            <w:tcBorders>
              <w:top w:val="nil"/>
            </w:tcBorders>
            <w:vAlign w:val="top"/>
          </w:tcPr>
          <w:p w14:paraId="3C4E408C">
            <w:pPr>
              <w:rPr>
                <w:rFonts w:ascii="Arial"/>
                <w:sz w:val="21"/>
              </w:rPr>
            </w:pPr>
          </w:p>
        </w:tc>
        <w:tc>
          <w:tcPr>
            <w:tcW w:w="619" w:type="dxa"/>
            <w:vAlign w:val="top"/>
          </w:tcPr>
          <w:p w14:paraId="120B652B">
            <w:pPr>
              <w:pStyle w:val="6"/>
              <w:spacing w:before="137" w:line="241" w:lineRule="auto"/>
              <w:ind w:left="252"/>
              <w:rPr>
                <w:sz w:val="18"/>
                <w:szCs w:val="18"/>
              </w:rPr>
            </w:pPr>
            <w:r>
              <w:rPr>
                <w:sz w:val="18"/>
                <w:szCs w:val="18"/>
              </w:rPr>
              <w:t>2</w:t>
            </w:r>
          </w:p>
        </w:tc>
        <w:tc>
          <w:tcPr>
            <w:tcW w:w="2517" w:type="dxa"/>
            <w:vAlign w:val="top"/>
          </w:tcPr>
          <w:p w14:paraId="7BFD7F6D">
            <w:pPr>
              <w:pStyle w:val="6"/>
              <w:spacing w:before="120" w:line="220" w:lineRule="auto"/>
              <w:ind w:left="624"/>
              <w:rPr>
                <w:sz w:val="18"/>
                <w:szCs w:val="18"/>
              </w:rPr>
            </w:pPr>
            <w:r>
              <w:rPr>
                <w:spacing w:val="1"/>
                <w:sz w:val="18"/>
                <w:szCs w:val="18"/>
              </w:rPr>
              <w:t>陆生动物保护费</w:t>
            </w:r>
          </w:p>
        </w:tc>
        <w:tc>
          <w:tcPr>
            <w:tcW w:w="1738" w:type="dxa"/>
            <w:vAlign w:val="top"/>
          </w:tcPr>
          <w:p w14:paraId="22A8EE43">
            <w:pPr>
              <w:pStyle w:val="6"/>
              <w:spacing w:before="124" w:line="224" w:lineRule="auto"/>
              <w:ind w:left="817"/>
              <w:rPr>
                <w:sz w:val="18"/>
                <w:szCs w:val="18"/>
              </w:rPr>
            </w:pPr>
            <w:r>
              <w:rPr>
                <w:sz w:val="18"/>
                <w:szCs w:val="18"/>
              </w:rPr>
              <w:t>/</w:t>
            </w:r>
          </w:p>
        </w:tc>
        <w:tc>
          <w:tcPr>
            <w:tcW w:w="1029" w:type="dxa"/>
            <w:vAlign w:val="top"/>
          </w:tcPr>
          <w:p w14:paraId="3848FA1F">
            <w:pPr>
              <w:pStyle w:val="6"/>
              <w:spacing w:before="136"/>
              <w:ind w:left="419"/>
              <w:rPr>
                <w:sz w:val="18"/>
                <w:szCs w:val="18"/>
              </w:rPr>
            </w:pPr>
            <w:r>
              <w:rPr>
                <w:spacing w:val="-3"/>
                <w:sz w:val="18"/>
                <w:szCs w:val="18"/>
              </w:rPr>
              <w:t>30</w:t>
            </w:r>
          </w:p>
        </w:tc>
        <w:tc>
          <w:tcPr>
            <w:tcW w:w="1049" w:type="dxa"/>
            <w:vAlign w:val="top"/>
          </w:tcPr>
          <w:p w14:paraId="6F3935D8">
            <w:pPr>
              <w:pStyle w:val="6"/>
              <w:spacing w:before="120" w:line="220" w:lineRule="auto"/>
              <w:ind w:left="160"/>
              <w:rPr>
                <w:sz w:val="18"/>
                <w:szCs w:val="18"/>
              </w:rPr>
            </w:pPr>
            <w:r>
              <w:rPr>
                <w:spacing w:val="3"/>
                <w:sz w:val="18"/>
                <w:szCs w:val="18"/>
              </w:rPr>
              <w:t>环评新增</w:t>
            </w:r>
          </w:p>
        </w:tc>
        <w:tc>
          <w:tcPr>
            <w:tcW w:w="115" w:type="dxa"/>
            <w:vMerge w:val="continue"/>
            <w:tcBorders>
              <w:top w:val="nil"/>
              <w:bottom w:val="nil"/>
            </w:tcBorders>
            <w:vAlign w:val="top"/>
          </w:tcPr>
          <w:p w14:paraId="69FAA004">
            <w:pPr>
              <w:rPr>
                <w:rFonts w:ascii="Arial"/>
                <w:sz w:val="21"/>
              </w:rPr>
            </w:pPr>
          </w:p>
        </w:tc>
      </w:tr>
      <w:tr w14:paraId="5D9D5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754" w:type="dxa"/>
            <w:vMerge w:val="continue"/>
            <w:tcBorders>
              <w:top w:val="nil"/>
              <w:bottom w:val="nil"/>
            </w:tcBorders>
            <w:vAlign w:val="top"/>
          </w:tcPr>
          <w:p w14:paraId="7D58BD12">
            <w:pPr>
              <w:rPr>
                <w:rFonts w:ascii="Arial"/>
                <w:sz w:val="21"/>
              </w:rPr>
            </w:pPr>
          </w:p>
        </w:tc>
        <w:tc>
          <w:tcPr>
            <w:tcW w:w="110" w:type="dxa"/>
            <w:tcBorders>
              <w:top w:val="nil"/>
              <w:bottom w:val="nil"/>
            </w:tcBorders>
            <w:vAlign w:val="top"/>
          </w:tcPr>
          <w:p w14:paraId="00164B55">
            <w:pPr>
              <w:rPr>
                <w:rFonts w:ascii="Arial"/>
                <w:sz w:val="21"/>
              </w:rPr>
            </w:pPr>
          </w:p>
        </w:tc>
        <w:tc>
          <w:tcPr>
            <w:tcW w:w="429" w:type="dxa"/>
            <w:vMerge w:val="continue"/>
            <w:tcBorders>
              <w:top w:val="nil"/>
            </w:tcBorders>
            <w:textDirection w:val="tbRlV"/>
            <w:vAlign w:val="top"/>
          </w:tcPr>
          <w:p w14:paraId="5364463E">
            <w:pPr>
              <w:rPr>
                <w:rFonts w:ascii="Arial"/>
                <w:sz w:val="21"/>
              </w:rPr>
            </w:pPr>
          </w:p>
        </w:tc>
        <w:tc>
          <w:tcPr>
            <w:tcW w:w="829" w:type="dxa"/>
            <w:vAlign w:val="top"/>
          </w:tcPr>
          <w:p w14:paraId="78810683">
            <w:pPr>
              <w:pStyle w:val="6"/>
              <w:spacing w:before="161" w:line="220" w:lineRule="auto"/>
              <w:ind w:left="221"/>
              <w:rPr>
                <w:sz w:val="18"/>
                <w:szCs w:val="18"/>
              </w:rPr>
            </w:pPr>
            <w:r>
              <w:rPr>
                <w:spacing w:val="-2"/>
                <w:sz w:val="18"/>
                <w:szCs w:val="18"/>
              </w:rPr>
              <w:t>其他</w:t>
            </w:r>
          </w:p>
        </w:tc>
        <w:tc>
          <w:tcPr>
            <w:tcW w:w="619" w:type="dxa"/>
            <w:vAlign w:val="top"/>
          </w:tcPr>
          <w:p w14:paraId="0851C3D2">
            <w:pPr>
              <w:pStyle w:val="6"/>
              <w:spacing w:before="178" w:line="241" w:lineRule="auto"/>
              <w:ind w:left="252"/>
              <w:rPr>
                <w:sz w:val="18"/>
                <w:szCs w:val="18"/>
              </w:rPr>
            </w:pPr>
            <w:r>
              <w:rPr>
                <w:sz w:val="18"/>
                <w:szCs w:val="18"/>
              </w:rPr>
              <w:t>1</w:t>
            </w:r>
          </w:p>
        </w:tc>
        <w:tc>
          <w:tcPr>
            <w:tcW w:w="4255" w:type="dxa"/>
            <w:gridSpan w:val="2"/>
            <w:vAlign w:val="top"/>
          </w:tcPr>
          <w:p w14:paraId="63944D55">
            <w:pPr>
              <w:pStyle w:val="6"/>
              <w:spacing w:before="49" w:line="212" w:lineRule="auto"/>
              <w:ind w:left="1133" w:right="148" w:hanging="990"/>
              <w:rPr>
                <w:sz w:val="18"/>
                <w:szCs w:val="18"/>
              </w:rPr>
            </w:pPr>
            <w:r>
              <w:rPr>
                <w:spacing w:val="-1"/>
                <w:sz w:val="18"/>
                <w:szCs w:val="18"/>
              </w:rPr>
              <w:t>环评、施工环境监理、竣工环境保护验收、应急预</w:t>
            </w:r>
            <w:r>
              <w:rPr>
                <w:spacing w:val="13"/>
                <w:sz w:val="18"/>
                <w:szCs w:val="18"/>
              </w:rPr>
              <w:t xml:space="preserve"> </w:t>
            </w:r>
            <w:r>
              <w:rPr>
                <w:spacing w:val="-1"/>
                <w:sz w:val="18"/>
                <w:szCs w:val="18"/>
              </w:rPr>
              <w:t>案、环境监测、标志牌等</w:t>
            </w:r>
          </w:p>
        </w:tc>
        <w:tc>
          <w:tcPr>
            <w:tcW w:w="1029" w:type="dxa"/>
            <w:vAlign w:val="top"/>
          </w:tcPr>
          <w:p w14:paraId="01DDA7F3">
            <w:pPr>
              <w:pStyle w:val="6"/>
              <w:spacing w:before="177"/>
              <w:ind w:left="419"/>
              <w:rPr>
                <w:sz w:val="18"/>
                <w:szCs w:val="18"/>
              </w:rPr>
            </w:pPr>
            <w:r>
              <w:rPr>
                <w:spacing w:val="-3"/>
                <w:sz w:val="18"/>
                <w:szCs w:val="18"/>
              </w:rPr>
              <w:t>60</w:t>
            </w:r>
          </w:p>
        </w:tc>
        <w:tc>
          <w:tcPr>
            <w:tcW w:w="1049" w:type="dxa"/>
            <w:vAlign w:val="top"/>
          </w:tcPr>
          <w:p w14:paraId="071ABA40">
            <w:pPr>
              <w:pStyle w:val="6"/>
              <w:spacing w:before="161" w:line="220" w:lineRule="auto"/>
              <w:ind w:left="160"/>
              <w:rPr>
                <w:sz w:val="18"/>
                <w:szCs w:val="18"/>
              </w:rPr>
            </w:pPr>
            <w:r>
              <w:rPr>
                <w:spacing w:val="3"/>
                <w:sz w:val="18"/>
                <w:szCs w:val="18"/>
              </w:rPr>
              <w:t>环评新增</w:t>
            </w:r>
          </w:p>
        </w:tc>
        <w:tc>
          <w:tcPr>
            <w:tcW w:w="115" w:type="dxa"/>
            <w:vMerge w:val="continue"/>
            <w:tcBorders>
              <w:top w:val="nil"/>
              <w:bottom w:val="nil"/>
            </w:tcBorders>
            <w:vAlign w:val="top"/>
          </w:tcPr>
          <w:p w14:paraId="6984065A">
            <w:pPr>
              <w:rPr>
                <w:rFonts w:ascii="Arial"/>
                <w:sz w:val="21"/>
              </w:rPr>
            </w:pPr>
          </w:p>
        </w:tc>
      </w:tr>
      <w:tr w14:paraId="7A6F9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754" w:type="dxa"/>
            <w:vMerge w:val="continue"/>
            <w:tcBorders>
              <w:top w:val="nil"/>
            </w:tcBorders>
            <w:vAlign w:val="top"/>
          </w:tcPr>
          <w:p w14:paraId="66B35A72">
            <w:pPr>
              <w:rPr>
                <w:rFonts w:ascii="Arial"/>
                <w:sz w:val="21"/>
              </w:rPr>
            </w:pPr>
          </w:p>
        </w:tc>
        <w:tc>
          <w:tcPr>
            <w:tcW w:w="110" w:type="dxa"/>
            <w:tcBorders>
              <w:top w:val="nil"/>
            </w:tcBorders>
            <w:vAlign w:val="top"/>
          </w:tcPr>
          <w:p w14:paraId="5EB4446E">
            <w:pPr>
              <w:rPr>
                <w:rFonts w:ascii="Arial"/>
                <w:sz w:val="21"/>
              </w:rPr>
            </w:pPr>
          </w:p>
        </w:tc>
        <w:tc>
          <w:tcPr>
            <w:tcW w:w="6132" w:type="dxa"/>
            <w:gridSpan w:val="5"/>
            <w:vAlign w:val="top"/>
          </w:tcPr>
          <w:p w14:paraId="2CCC8546">
            <w:pPr>
              <w:pStyle w:val="6"/>
              <w:spacing w:before="128" w:line="221" w:lineRule="auto"/>
              <w:ind w:left="2860"/>
              <w:rPr>
                <w:sz w:val="18"/>
                <w:szCs w:val="18"/>
              </w:rPr>
            </w:pPr>
            <w:r>
              <w:rPr>
                <w:spacing w:val="-3"/>
                <w:sz w:val="18"/>
                <w:szCs w:val="18"/>
              </w:rPr>
              <w:t>总计</w:t>
            </w:r>
          </w:p>
        </w:tc>
        <w:tc>
          <w:tcPr>
            <w:tcW w:w="1029" w:type="dxa"/>
            <w:vAlign w:val="top"/>
          </w:tcPr>
          <w:p w14:paraId="32AE4F9B">
            <w:pPr>
              <w:pStyle w:val="6"/>
              <w:spacing w:before="145" w:line="239" w:lineRule="auto"/>
              <w:ind w:left="238"/>
              <w:rPr>
                <w:sz w:val="18"/>
                <w:szCs w:val="18"/>
              </w:rPr>
            </w:pPr>
            <w:r>
              <w:rPr>
                <w:spacing w:val="-2"/>
                <w:sz w:val="18"/>
                <w:szCs w:val="18"/>
              </w:rPr>
              <w:t>371.65</w:t>
            </w:r>
          </w:p>
        </w:tc>
        <w:tc>
          <w:tcPr>
            <w:tcW w:w="1049" w:type="dxa"/>
            <w:vAlign w:val="top"/>
          </w:tcPr>
          <w:p w14:paraId="3AC25345">
            <w:pPr>
              <w:rPr>
                <w:rFonts w:ascii="Arial"/>
                <w:sz w:val="21"/>
              </w:rPr>
            </w:pPr>
          </w:p>
        </w:tc>
        <w:tc>
          <w:tcPr>
            <w:tcW w:w="115" w:type="dxa"/>
            <w:vMerge w:val="continue"/>
            <w:tcBorders>
              <w:top w:val="nil"/>
            </w:tcBorders>
            <w:vAlign w:val="top"/>
          </w:tcPr>
          <w:p w14:paraId="4C59065C">
            <w:pPr>
              <w:rPr>
                <w:rFonts w:ascii="Arial"/>
                <w:sz w:val="21"/>
              </w:rPr>
            </w:pPr>
          </w:p>
        </w:tc>
      </w:tr>
    </w:tbl>
    <w:p w14:paraId="35FDB0BE">
      <w:pPr>
        <w:pStyle w:val="2"/>
      </w:pPr>
    </w:p>
    <w:p w14:paraId="113369BB">
      <w:pPr>
        <w:sectPr>
          <w:footerReference r:id="rId213" w:type="default"/>
          <w:pgSz w:w="11910" w:h="16840"/>
          <w:pgMar w:top="400" w:right="1375" w:bottom="1269" w:left="1334" w:header="0" w:footer="1089" w:gutter="0"/>
          <w:cols w:space="720" w:num="1"/>
        </w:sectPr>
      </w:pPr>
    </w:p>
    <w:p w14:paraId="10F0BA10">
      <w:pPr>
        <w:pStyle w:val="2"/>
        <w:spacing w:line="246" w:lineRule="auto"/>
      </w:pPr>
    </w:p>
    <w:p w14:paraId="2DC4984F">
      <w:pPr>
        <w:pStyle w:val="2"/>
        <w:spacing w:line="246" w:lineRule="auto"/>
      </w:pPr>
    </w:p>
    <w:p w14:paraId="7DF27BF9">
      <w:pPr>
        <w:pStyle w:val="2"/>
        <w:spacing w:line="246" w:lineRule="auto"/>
      </w:pPr>
    </w:p>
    <w:p w14:paraId="1EDB9A91">
      <w:pPr>
        <w:pStyle w:val="2"/>
        <w:spacing w:line="246" w:lineRule="auto"/>
      </w:pPr>
    </w:p>
    <w:p w14:paraId="6B572B0B">
      <w:pPr>
        <w:pStyle w:val="2"/>
        <w:spacing w:line="246" w:lineRule="auto"/>
      </w:pPr>
    </w:p>
    <w:p w14:paraId="0C5C1030">
      <w:pPr>
        <w:spacing w:before="100" w:line="219" w:lineRule="auto"/>
        <w:ind w:left="2529"/>
        <w:outlineLvl w:val="0"/>
        <w:rPr>
          <w:rFonts w:ascii="宋体" w:hAnsi="宋体" w:eastAsia="宋体" w:cs="宋体"/>
          <w:sz w:val="31"/>
          <w:szCs w:val="31"/>
        </w:rPr>
      </w:pPr>
      <w:bookmarkStart w:id="10" w:name="bookmark6"/>
      <w:bookmarkEnd w:id="10"/>
      <w:r>
        <w:rPr>
          <w:rFonts w:ascii="宋体" w:hAnsi="宋体" w:eastAsia="宋体" w:cs="宋体"/>
          <w:b/>
          <w:bCs/>
          <w:spacing w:val="-11"/>
          <w:sz w:val="31"/>
          <w:szCs w:val="31"/>
        </w:rPr>
        <w:t>六、生态环境保护措施监督检查</w:t>
      </w:r>
      <w:r>
        <w:rPr>
          <w:rFonts w:ascii="宋体" w:hAnsi="宋体" w:eastAsia="宋体" w:cs="宋体"/>
          <w:spacing w:val="-11"/>
          <w:sz w:val="31"/>
          <w:szCs w:val="31"/>
        </w:rPr>
        <w:t>清单</w:t>
      </w:r>
    </w:p>
    <w:p w14:paraId="0D36AF62">
      <w:pPr>
        <w:spacing w:before="27"/>
      </w:pPr>
    </w:p>
    <w:tbl>
      <w:tblPr>
        <w:tblStyle w:val="5"/>
        <w:tblW w:w="98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3"/>
        <w:gridCol w:w="2228"/>
        <w:gridCol w:w="1489"/>
        <w:gridCol w:w="2927"/>
        <w:gridCol w:w="1623"/>
      </w:tblGrid>
      <w:tr w14:paraId="2CF3D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593" w:type="dxa"/>
            <w:vMerge w:val="restart"/>
            <w:tcBorders>
              <w:bottom w:val="nil"/>
              <w:tl2br w:val="single" w:color="000000" w:sz="4" w:space="0"/>
            </w:tcBorders>
            <w:vAlign w:val="top"/>
          </w:tcPr>
          <w:p w14:paraId="5008A726">
            <w:pPr>
              <w:pStyle w:val="6"/>
              <w:spacing w:before="83" w:line="345" w:lineRule="auto"/>
              <w:ind w:left="45" w:right="147" w:firstLine="960"/>
              <w:rPr>
                <w:sz w:val="21"/>
                <w:szCs w:val="21"/>
              </w:rPr>
            </w:pPr>
            <w:r>
              <w:rPr>
                <w:spacing w:val="5"/>
                <w:sz w:val="21"/>
                <w:szCs w:val="21"/>
              </w:rPr>
              <w:t>内容</w:t>
            </w:r>
            <w:r>
              <w:rPr>
                <w:sz w:val="21"/>
                <w:szCs w:val="21"/>
              </w:rPr>
              <w:t xml:space="preserve"> </w:t>
            </w:r>
            <w:r>
              <w:rPr>
                <w:spacing w:val="-3"/>
                <w:sz w:val="21"/>
                <w:szCs w:val="21"/>
              </w:rPr>
              <w:t>要素</w:t>
            </w:r>
          </w:p>
        </w:tc>
        <w:tc>
          <w:tcPr>
            <w:tcW w:w="3717" w:type="dxa"/>
            <w:gridSpan w:val="2"/>
            <w:vAlign w:val="top"/>
          </w:tcPr>
          <w:p w14:paraId="1517A9E7">
            <w:pPr>
              <w:pStyle w:val="6"/>
              <w:spacing w:before="84" w:line="220" w:lineRule="auto"/>
              <w:ind w:left="1522"/>
              <w:rPr>
                <w:sz w:val="21"/>
                <w:szCs w:val="21"/>
              </w:rPr>
            </w:pPr>
            <w:r>
              <w:rPr>
                <w:spacing w:val="4"/>
                <w:sz w:val="21"/>
                <w:szCs w:val="21"/>
              </w:rPr>
              <w:t>施工期</w:t>
            </w:r>
          </w:p>
        </w:tc>
        <w:tc>
          <w:tcPr>
            <w:tcW w:w="4550" w:type="dxa"/>
            <w:gridSpan w:val="2"/>
            <w:vAlign w:val="top"/>
          </w:tcPr>
          <w:p w14:paraId="0464A465">
            <w:pPr>
              <w:pStyle w:val="6"/>
              <w:spacing w:before="84" w:line="220" w:lineRule="auto"/>
              <w:ind w:left="1944"/>
              <w:rPr>
                <w:sz w:val="21"/>
                <w:szCs w:val="21"/>
              </w:rPr>
            </w:pPr>
            <w:r>
              <w:rPr>
                <w:spacing w:val="4"/>
                <w:sz w:val="21"/>
                <w:szCs w:val="21"/>
              </w:rPr>
              <w:t>运营期</w:t>
            </w:r>
          </w:p>
        </w:tc>
      </w:tr>
      <w:tr w14:paraId="3E6FF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593" w:type="dxa"/>
            <w:vMerge w:val="continue"/>
            <w:tcBorders>
              <w:top w:val="nil"/>
              <w:tl2br w:val="single" w:color="000000" w:sz="4" w:space="0"/>
            </w:tcBorders>
            <w:vAlign w:val="top"/>
          </w:tcPr>
          <w:p w14:paraId="2F631052">
            <w:pPr>
              <w:rPr>
                <w:rFonts w:ascii="Arial"/>
                <w:sz w:val="21"/>
              </w:rPr>
            </w:pPr>
          </w:p>
        </w:tc>
        <w:tc>
          <w:tcPr>
            <w:tcW w:w="2228" w:type="dxa"/>
            <w:vAlign w:val="top"/>
          </w:tcPr>
          <w:p w14:paraId="52E11350">
            <w:pPr>
              <w:pStyle w:val="6"/>
              <w:spacing w:before="149" w:line="220" w:lineRule="auto"/>
              <w:ind w:left="472"/>
              <w:rPr>
                <w:sz w:val="21"/>
                <w:szCs w:val="21"/>
              </w:rPr>
            </w:pPr>
            <w:r>
              <w:rPr>
                <w:spacing w:val="-2"/>
                <w:sz w:val="21"/>
                <w:szCs w:val="21"/>
              </w:rPr>
              <w:t>环境保护措施</w:t>
            </w:r>
          </w:p>
        </w:tc>
        <w:tc>
          <w:tcPr>
            <w:tcW w:w="1489" w:type="dxa"/>
            <w:vAlign w:val="top"/>
          </w:tcPr>
          <w:p w14:paraId="42182712">
            <w:pPr>
              <w:pStyle w:val="6"/>
              <w:spacing w:before="148" w:line="219" w:lineRule="auto"/>
              <w:ind w:left="314"/>
              <w:rPr>
                <w:sz w:val="21"/>
                <w:szCs w:val="21"/>
              </w:rPr>
            </w:pPr>
            <w:r>
              <w:rPr>
                <w:spacing w:val="-2"/>
                <w:sz w:val="21"/>
                <w:szCs w:val="21"/>
              </w:rPr>
              <w:t>验收要求</w:t>
            </w:r>
          </w:p>
        </w:tc>
        <w:tc>
          <w:tcPr>
            <w:tcW w:w="2927" w:type="dxa"/>
            <w:vAlign w:val="top"/>
          </w:tcPr>
          <w:p w14:paraId="3DA4D16C">
            <w:pPr>
              <w:pStyle w:val="6"/>
              <w:spacing w:before="149" w:line="220" w:lineRule="auto"/>
              <w:ind w:left="825"/>
              <w:rPr>
                <w:sz w:val="21"/>
                <w:szCs w:val="21"/>
              </w:rPr>
            </w:pPr>
            <w:r>
              <w:rPr>
                <w:spacing w:val="-2"/>
                <w:sz w:val="21"/>
                <w:szCs w:val="21"/>
              </w:rPr>
              <w:t>环境保护措施</w:t>
            </w:r>
          </w:p>
        </w:tc>
        <w:tc>
          <w:tcPr>
            <w:tcW w:w="1623" w:type="dxa"/>
            <w:vAlign w:val="top"/>
          </w:tcPr>
          <w:p w14:paraId="265CF3B8">
            <w:pPr>
              <w:pStyle w:val="6"/>
              <w:spacing w:before="148" w:line="219" w:lineRule="auto"/>
              <w:ind w:left="387"/>
              <w:rPr>
                <w:sz w:val="21"/>
                <w:szCs w:val="21"/>
              </w:rPr>
            </w:pPr>
            <w:r>
              <w:rPr>
                <w:spacing w:val="-2"/>
                <w:sz w:val="21"/>
                <w:szCs w:val="21"/>
              </w:rPr>
              <w:t>验收要求</w:t>
            </w:r>
          </w:p>
        </w:tc>
      </w:tr>
      <w:tr w14:paraId="4CAEF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6" w:hRule="atLeast"/>
        </w:trPr>
        <w:tc>
          <w:tcPr>
            <w:tcW w:w="1593" w:type="dxa"/>
            <w:vAlign w:val="top"/>
          </w:tcPr>
          <w:p w14:paraId="1040C95F">
            <w:pPr>
              <w:spacing w:line="252" w:lineRule="auto"/>
              <w:rPr>
                <w:rFonts w:ascii="Arial"/>
                <w:sz w:val="21"/>
              </w:rPr>
            </w:pPr>
          </w:p>
          <w:p w14:paraId="1DABB1D1">
            <w:pPr>
              <w:spacing w:line="252" w:lineRule="auto"/>
              <w:rPr>
                <w:rFonts w:ascii="Arial"/>
                <w:sz w:val="21"/>
              </w:rPr>
            </w:pPr>
          </w:p>
          <w:p w14:paraId="09EBFC2E">
            <w:pPr>
              <w:spacing w:line="252" w:lineRule="auto"/>
              <w:rPr>
                <w:rFonts w:ascii="Arial"/>
                <w:sz w:val="21"/>
              </w:rPr>
            </w:pPr>
          </w:p>
          <w:p w14:paraId="786C3F04">
            <w:pPr>
              <w:spacing w:line="252" w:lineRule="auto"/>
              <w:rPr>
                <w:rFonts w:ascii="Arial"/>
                <w:sz w:val="21"/>
              </w:rPr>
            </w:pPr>
          </w:p>
          <w:p w14:paraId="371E8E8B">
            <w:pPr>
              <w:spacing w:line="252" w:lineRule="auto"/>
              <w:rPr>
                <w:rFonts w:ascii="Arial"/>
                <w:sz w:val="21"/>
              </w:rPr>
            </w:pPr>
          </w:p>
          <w:p w14:paraId="42A644C2">
            <w:pPr>
              <w:spacing w:line="252" w:lineRule="auto"/>
              <w:rPr>
                <w:rFonts w:ascii="Arial"/>
                <w:sz w:val="21"/>
              </w:rPr>
            </w:pPr>
          </w:p>
          <w:p w14:paraId="7901CBFC">
            <w:pPr>
              <w:spacing w:line="252" w:lineRule="auto"/>
              <w:rPr>
                <w:rFonts w:ascii="Arial"/>
                <w:sz w:val="21"/>
              </w:rPr>
            </w:pPr>
          </w:p>
          <w:p w14:paraId="64D6AE5F">
            <w:pPr>
              <w:spacing w:line="252" w:lineRule="auto"/>
              <w:rPr>
                <w:rFonts w:ascii="Arial"/>
                <w:sz w:val="21"/>
              </w:rPr>
            </w:pPr>
          </w:p>
          <w:p w14:paraId="32976252">
            <w:pPr>
              <w:spacing w:line="253" w:lineRule="auto"/>
              <w:rPr>
                <w:rFonts w:ascii="Arial"/>
                <w:sz w:val="21"/>
              </w:rPr>
            </w:pPr>
          </w:p>
          <w:p w14:paraId="4007D41A">
            <w:pPr>
              <w:pStyle w:val="6"/>
              <w:spacing w:before="69" w:line="222" w:lineRule="auto"/>
              <w:ind w:left="365"/>
              <w:rPr>
                <w:sz w:val="21"/>
                <w:szCs w:val="21"/>
              </w:rPr>
            </w:pPr>
            <w:r>
              <w:rPr>
                <w:spacing w:val="2"/>
                <w:sz w:val="21"/>
                <w:szCs w:val="21"/>
              </w:rPr>
              <w:t>陆生生态</w:t>
            </w:r>
          </w:p>
        </w:tc>
        <w:tc>
          <w:tcPr>
            <w:tcW w:w="2228" w:type="dxa"/>
            <w:vAlign w:val="top"/>
          </w:tcPr>
          <w:p w14:paraId="5A0E3AB0">
            <w:pPr>
              <w:pStyle w:val="6"/>
              <w:spacing w:before="48" w:line="219" w:lineRule="auto"/>
              <w:ind w:left="52"/>
              <w:rPr>
                <w:sz w:val="21"/>
                <w:szCs w:val="21"/>
              </w:rPr>
            </w:pPr>
            <w:r>
              <w:rPr>
                <w:sz w:val="21"/>
                <w:szCs w:val="21"/>
              </w:rPr>
              <w:t>陆生动植物保护，优化</w:t>
            </w:r>
          </w:p>
          <w:p w14:paraId="46BF985B">
            <w:pPr>
              <w:pStyle w:val="6"/>
              <w:spacing w:before="9" w:line="219" w:lineRule="auto"/>
              <w:ind w:left="52"/>
              <w:rPr>
                <w:sz w:val="21"/>
                <w:szCs w:val="21"/>
              </w:rPr>
            </w:pPr>
            <w:r>
              <w:rPr>
                <w:spacing w:val="1"/>
                <w:sz w:val="21"/>
                <w:szCs w:val="21"/>
              </w:rPr>
              <w:t>场区布置，不超计划占</w:t>
            </w:r>
          </w:p>
          <w:p w14:paraId="104B6355">
            <w:pPr>
              <w:pStyle w:val="6"/>
              <w:spacing w:before="22" w:line="219" w:lineRule="auto"/>
              <w:ind w:left="52"/>
              <w:rPr>
                <w:sz w:val="21"/>
                <w:szCs w:val="21"/>
              </w:rPr>
            </w:pPr>
            <w:r>
              <w:rPr>
                <w:spacing w:val="-1"/>
                <w:sz w:val="21"/>
                <w:szCs w:val="21"/>
              </w:rPr>
              <w:t>用植被；严格执行水土</w:t>
            </w:r>
          </w:p>
          <w:p w14:paraId="15319F8F">
            <w:pPr>
              <w:pStyle w:val="6"/>
              <w:spacing w:before="40" w:line="219" w:lineRule="auto"/>
              <w:ind w:left="52"/>
              <w:rPr>
                <w:sz w:val="21"/>
                <w:szCs w:val="21"/>
              </w:rPr>
            </w:pPr>
            <w:r>
              <w:rPr>
                <w:spacing w:val="-1"/>
                <w:sz w:val="21"/>
                <w:szCs w:val="21"/>
              </w:rPr>
              <w:t>保持措施，进行植被恢</w:t>
            </w:r>
          </w:p>
          <w:p w14:paraId="1E4AF82B">
            <w:pPr>
              <w:pStyle w:val="6"/>
              <w:spacing w:before="11" w:line="220" w:lineRule="auto"/>
              <w:ind w:left="52"/>
              <w:rPr>
                <w:sz w:val="21"/>
                <w:szCs w:val="21"/>
              </w:rPr>
            </w:pPr>
            <w:r>
              <w:rPr>
                <w:spacing w:val="1"/>
                <w:sz w:val="21"/>
                <w:szCs w:val="21"/>
              </w:rPr>
              <w:t>复；进行施工规划，尽</w:t>
            </w:r>
          </w:p>
          <w:p w14:paraId="5206322D">
            <w:pPr>
              <w:pStyle w:val="6"/>
              <w:spacing w:before="20" w:line="219" w:lineRule="auto"/>
              <w:ind w:left="52"/>
              <w:rPr>
                <w:sz w:val="21"/>
                <w:szCs w:val="21"/>
              </w:rPr>
            </w:pPr>
            <w:r>
              <w:rPr>
                <w:spacing w:val="2"/>
                <w:sz w:val="21"/>
                <w:szCs w:val="21"/>
              </w:rPr>
              <w:t>量减少占用，保护好周</w:t>
            </w:r>
          </w:p>
          <w:p w14:paraId="30787D32">
            <w:pPr>
              <w:pStyle w:val="6"/>
              <w:spacing w:before="29" w:line="219" w:lineRule="auto"/>
              <w:ind w:left="52"/>
              <w:rPr>
                <w:sz w:val="21"/>
                <w:szCs w:val="21"/>
              </w:rPr>
            </w:pPr>
            <w:r>
              <w:rPr>
                <w:spacing w:val="-1"/>
                <w:sz w:val="21"/>
                <w:szCs w:val="21"/>
              </w:rPr>
              <w:t>边植被，项目光伏组件</w:t>
            </w:r>
          </w:p>
          <w:p w14:paraId="28C00901">
            <w:pPr>
              <w:pStyle w:val="6"/>
              <w:spacing w:before="21" w:line="219" w:lineRule="auto"/>
              <w:ind w:left="52"/>
              <w:rPr>
                <w:sz w:val="21"/>
                <w:szCs w:val="21"/>
              </w:rPr>
            </w:pPr>
            <w:r>
              <w:rPr>
                <w:spacing w:val="1"/>
                <w:sz w:val="21"/>
                <w:szCs w:val="21"/>
              </w:rPr>
              <w:t>布设时避开长势较好的</w:t>
            </w:r>
          </w:p>
          <w:p w14:paraId="3A4917F4">
            <w:pPr>
              <w:pStyle w:val="6"/>
              <w:spacing w:before="12" w:line="219" w:lineRule="auto"/>
              <w:ind w:left="52"/>
              <w:rPr>
                <w:sz w:val="21"/>
                <w:szCs w:val="21"/>
              </w:rPr>
            </w:pPr>
            <w:r>
              <w:rPr>
                <w:sz w:val="21"/>
                <w:szCs w:val="21"/>
              </w:rPr>
              <w:t>自然植被，尽量选择荒</w:t>
            </w:r>
          </w:p>
          <w:p w14:paraId="4D464F0F">
            <w:pPr>
              <w:pStyle w:val="6"/>
              <w:spacing w:before="31" w:line="219" w:lineRule="auto"/>
              <w:ind w:left="52"/>
              <w:rPr>
                <w:sz w:val="21"/>
                <w:szCs w:val="21"/>
              </w:rPr>
            </w:pPr>
            <w:r>
              <w:rPr>
                <w:spacing w:val="1"/>
                <w:sz w:val="21"/>
                <w:szCs w:val="21"/>
              </w:rPr>
              <w:t>草地和旱地。项目集电</w:t>
            </w:r>
          </w:p>
          <w:p w14:paraId="519CFCC5">
            <w:pPr>
              <w:pStyle w:val="6"/>
              <w:spacing w:before="41" w:line="219" w:lineRule="auto"/>
              <w:ind w:left="52"/>
              <w:rPr>
                <w:sz w:val="21"/>
                <w:szCs w:val="21"/>
              </w:rPr>
            </w:pPr>
            <w:r>
              <w:rPr>
                <w:spacing w:val="-1"/>
                <w:sz w:val="21"/>
                <w:szCs w:val="21"/>
              </w:rPr>
              <w:t>线路不在生态红线及基</w:t>
            </w:r>
          </w:p>
          <w:p w14:paraId="42085487">
            <w:pPr>
              <w:pStyle w:val="6"/>
              <w:spacing w:before="9" w:line="219" w:lineRule="auto"/>
              <w:ind w:left="52"/>
              <w:rPr>
                <w:sz w:val="21"/>
                <w:szCs w:val="21"/>
              </w:rPr>
            </w:pPr>
            <w:r>
              <w:rPr>
                <w:spacing w:val="-1"/>
                <w:sz w:val="21"/>
                <w:szCs w:val="21"/>
              </w:rPr>
              <w:t>本农田范围内立塔，建</w:t>
            </w:r>
          </w:p>
          <w:p w14:paraId="4082747E">
            <w:pPr>
              <w:pStyle w:val="6"/>
              <w:spacing w:before="43" w:line="219" w:lineRule="auto"/>
              <w:ind w:left="52"/>
              <w:rPr>
                <w:sz w:val="21"/>
                <w:szCs w:val="21"/>
              </w:rPr>
            </w:pPr>
            <w:r>
              <w:rPr>
                <w:spacing w:val="1"/>
                <w:sz w:val="21"/>
                <w:szCs w:val="21"/>
              </w:rPr>
              <w:t>设过程中严格落实生态</w:t>
            </w:r>
          </w:p>
          <w:p w14:paraId="296EDBF0">
            <w:pPr>
              <w:pStyle w:val="6"/>
              <w:spacing w:before="21" w:line="219" w:lineRule="auto"/>
              <w:ind w:right="10"/>
              <w:jc w:val="right"/>
              <w:rPr>
                <w:sz w:val="21"/>
                <w:szCs w:val="21"/>
              </w:rPr>
            </w:pPr>
            <w:r>
              <w:rPr>
                <w:sz w:val="21"/>
                <w:szCs w:val="21"/>
              </w:rPr>
              <w:t>保护红线的管控要求，</w:t>
            </w:r>
          </w:p>
          <w:p w14:paraId="2D1C43EC">
            <w:pPr>
              <w:pStyle w:val="6"/>
              <w:spacing w:before="11" w:line="219" w:lineRule="auto"/>
              <w:ind w:left="52"/>
              <w:rPr>
                <w:sz w:val="21"/>
                <w:szCs w:val="21"/>
              </w:rPr>
            </w:pPr>
            <w:r>
              <w:rPr>
                <w:sz w:val="21"/>
                <w:szCs w:val="21"/>
              </w:rPr>
              <w:t>实施源头严防、过程严</w:t>
            </w:r>
          </w:p>
          <w:p w14:paraId="7353B184">
            <w:pPr>
              <w:pStyle w:val="6"/>
              <w:spacing w:before="21" w:line="219" w:lineRule="auto"/>
              <w:ind w:left="52"/>
              <w:rPr>
                <w:sz w:val="21"/>
                <w:szCs w:val="21"/>
              </w:rPr>
            </w:pPr>
            <w:r>
              <w:rPr>
                <w:spacing w:val="1"/>
                <w:sz w:val="21"/>
                <w:szCs w:val="21"/>
              </w:rPr>
              <w:t>管、后果严惩的全周期</w:t>
            </w:r>
          </w:p>
          <w:p w14:paraId="714BF128">
            <w:pPr>
              <w:pStyle w:val="6"/>
              <w:spacing w:before="40" w:line="211" w:lineRule="auto"/>
              <w:ind w:left="52"/>
              <w:rPr>
                <w:sz w:val="21"/>
                <w:szCs w:val="21"/>
              </w:rPr>
            </w:pPr>
            <w:r>
              <w:rPr>
                <w:sz w:val="21"/>
                <w:szCs w:val="21"/>
              </w:rPr>
              <w:t>管控。在施工区周边设</w:t>
            </w:r>
          </w:p>
          <w:p w14:paraId="0CD13E50">
            <w:pPr>
              <w:pStyle w:val="6"/>
              <w:spacing w:line="200" w:lineRule="auto"/>
              <w:ind w:left="261"/>
              <w:rPr>
                <w:sz w:val="21"/>
                <w:szCs w:val="21"/>
              </w:rPr>
            </w:pPr>
            <w:r>
              <w:rPr>
                <w:spacing w:val="-1"/>
                <w:sz w:val="21"/>
                <w:szCs w:val="21"/>
              </w:rPr>
              <w:t>置生态保护警示牌</w:t>
            </w:r>
          </w:p>
        </w:tc>
        <w:tc>
          <w:tcPr>
            <w:tcW w:w="1489" w:type="dxa"/>
            <w:vAlign w:val="top"/>
          </w:tcPr>
          <w:p w14:paraId="1F49DFD2">
            <w:pPr>
              <w:spacing w:line="265" w:lineRule="auto"/>
              <w:rPr>
                <w:rFonts w:ascii="Arial"/>
                <w:sz w:val="21"/>
              </w:rPr>
            </w:pPr>
          </w:p>
          <w:p w14:paraId="678EBAC4">
            <w:pPr>
              <w:spacing w:line="265" w:lineRule="auto"/>
              <w:rPr>
                <w:rFonts w:ascii="Arial"/>
                <w:sz w:val="21"/>
              </w:rPr>
            </w:pPr>
          </w:p>
          <w:p w14:paraId="79F9341C">
            <w:pPr>
              <w:spacing w:line="265" w:lineRule="auto"/>
              <w:rPr>
                <w:rFonts w:ascii="Arial"/>
                <w:sz w:val="21"/>
              </w:rPr>
            </w:pPr>
          </w:p>
          <w:p w14:paraId="09664B53">
            <w:pPr>
              <w:spacing w:line="265" w:lineRule="auto"/>
              <w:rPr>
                <w:rFonts w:ascii="Arial"/>
                <w:sz w:val="21"/>
              </w:rPr>
            </w:pPr>
          </w:p>
          <w:p w14:paraId="52A24519">
            <w:pPr>
              <w:spacing w:line="265" w:lineRule="auto"/>
              <w:rPr>
                <w:rFonts w:ascii="Arial"/>
                <w:sz w:val="21"/>
              </w:rPr>
            </w:pPr>
          </w:p>
          <w:p w14:paraId="6633B48A">
            <w:pPr>
              <w:spacing w:line="266" w:lineRule="auto"/>
              <w:rPr>
                <w:rFonts w:ascii="Arial"/>
                <w:sz w:val="21"/>
              </w:rPr>
            </w:pPr>
          </w:p>
          <w:p w14:paraId="7A598B95">
            <w:pPr>
              <w:spacing w:line="266" w:lineRule="auto"/>
              <w:rPr>
                <w:rFonts w:ascii="Arial"/>
                <w:sz w:val="21"/>
              </w:rPr>
            </w:pPr>
          </w:p>
          <w:p w14:paraId="2C218614">
            <w:pPr>
              <w:pStyle w:val="6"/>
              <w:spacing w:before="68" w:line="245" w:lineRule="auto"/>
              <w:ind w:left="14" w:firstLine="89"/>
              <w:rPr>
                <w:sz w:val="21"/>
                <w:szCs w:val="21"/>
              </w:rPr>
            </w:pPr>
            <w:r>
              <w:rPr>
                <w:sz w:val="21"/>
                <w:szCs w:val="21"/>
              </w:rPr>
              <w:t>施工期影像资</w:t>
            </w:r>
            <w:r>
              <w:rPr>
                <w:spacing w:val="1"/>
                <w:sz w:val="21"/>
                <w:szCs w:val="21"/>
              </w:rPr>
              <w:t xml:space="preserve">  </w:t>
            </w:r>
            <w:r>
              <w:rPr>
                <w:spacing w:val="-4"/>
                <w:sz w:val="21"/>
                <w:szCs w:val="21"/>
              </w:rPr>
              <w:t>料、环境监理报</w:t>
            </w:r>
            <w:r>
              <w:rPr>
                <w:spacing w:val="4"/>
                <w:sz w:val="21"/>
                <w:szCs w:val="21"/>
              </w:rPr>
              <w:t xml:space="preserve"> </w:t>
            </w:r>
            <w:r>
              <w:rPr>
                <w:spacing w:val="-1"/>
                <w:sz w:val="21"/>
                <w:szCs w:val="21"/>
              </w:rPr>
              <w:t>告；达到恢复效</w:t>
            </w:r>
            <w:r>
              <w:rPr>
                <w:sz w:val="21"/>
                <w:szCs w:val="21"/>
              </w:rPr>
              <w:t xml:space="preserve"> </w:t>
            </w:r>
            <w:r>
              <w:rPr>
                <w:spacing w:val="14"/>
                <w:sz w:val="21"/>
                <w:szCs w:val="21"/>
              </w:rPr>
              <w:t>果、保护要求</w:t>
            </w:r>
          </w:p>
        </w:tc>
        <w:tc>
          <w:tcPr>
            <w:tcW w:w="2927" w:type="dxa"/>
            <w:vAlign w:val="top"/>
          </w:tcPr>
          <w:p w14:paraId="0B07E7F0">
            <w:pPr>
              <w:spacing w:line="263" w:lineRule="auto"/>
              <w:rPr>
                <w:rFonts w:ascii="Arial"/>
                <w:sz w:val="21"/>
              </w:rPr>
            </w:pPr>
          </w:p>
          <w:p w14:paraId="66665E1D">
            <w:pPr>
              <w:spacing w:line="263" w:lineRule="auto"/>
              <w:rPr>
                <w:rFonts w:ascii="Arial"/>
                <w:sz w:val="21"/>
              </w:rPr>
            </w:pPr>
          </w:p>
          <w:p w14:paraId="646779B1">
            <w:pPr>
              <w:spacing w:line="263" w:lineRule="auto"/>
              <w:rPr>
                <w:rFonts w:ascii="Arial"/>
                <w:sz w:val="21"/>
              </w:rPr>
            </w:pPr>
          </w:p>
          <w:p w14:paraId="50F8E58D">
            <w:pPr>
              <w:spacing w:line="263" w:lineRule="auto"/>
              <w:rPr>
                <w:rFonts w:ascii="Arial"/>
                <w:sz w:val="21"/>
              </w:rPr>
            </w:pPr>
          </w:p>
          <w:p w14:paraId="5C3DDD96">
            <w:pPr>
              <w:spacing w:line="264" w:lineRule="auto"/>
              <w:rPr>
                <w:rFonts w:ascii="Arial"/>
                <w:sz w:val="21"/>
              </w:rPr>
            </w:pPr>
          </w:p>
          <w:p w14:paraId="4FC044DF">
            <w:pPr>
              <w:spacing w:line="264" w:lineRule="auto"/>
              <w:rPr>
                <w:rFonts w:ascii="Arial"/>
                <w:sz w:val="21"/>
              </w:rPr>
            </w:pPr>
          </w:p>
          <w:p w14:paraId="47C3A9AF">
            <w:pPr>
              <w:pStyle w:val="6"/>
              <w:spacing w:before="69" w:line="219" w:lineRule="auto"/>
              <w:ind w:left="94"/>
              <w:rPr>
                <w:sz w:val="21"/>
                <w:szCs w:val="21"/>
              </w:rPr>
            </w:pPr>
            <w:r>
              <w:rPr>
                <w:sz w:val="21"/>
                <w:szCs w:val="21"/>
              </w:rPr>
              <w:t>动植物保护措施、生态恢复措</w:t>
            </w:r>
          </w:p>
          <w:p w14:paraId="1AAF866E">
            <w:pPr>
              <w:pStyle w:val="6"/>
              <w:spacing w:before="41" w:line="220" w:lineRule="auto"/>
              <w:ind w:left="94"/>
              <w:rPr>
                <w:sz w:val="21"/>
                <w:szCs w:val="21"/>
              </w:rPr>
            </w:pPr>
            <w:r>
              <w:rPr>
                <w:spacing w:val="-1"/>
                <w:sz w:val="21"/>
                <w:szCs w:val="21"/>
              </w:rPr>
              <w:t>施；运营期建设单位须对电站</w:t>
            </w:r>
          </w:p>
          <w:p w14:paraId="1394CC7A">
            <w:pPr>
              <w:pStyle w:val="6"/>
              <w:spacing w:before="9" w:line="219" w:lineRule="auto"/>
              <w:ind w:left="94"/>
              <w:rPr>
                <w:sz w:val="21"/>
                <w:szCs w:val="21"/>
              </w:rPr>
            </w:pPr>
            <w:r>
              <w:rPr>
                <w:spacing w:val="1"/>
                <w:sz w:val="21"/>
                <w:szCs w:val="21"/>
              </w:rPr>
              <w:t>工作人员加强管理，在项目区</w:t>
            </w:r>
          </w:p>
          <w:p w14:paraId="190FE95A">
            <w:pPr>
              <w:pStyle w:val="6"/>
              <w:spacing w:before="30" w:line="219" w:lineRule="auto"/>
              <w:ind w:left="94"/>
              <w:rPr>
                <w:sz w:val="21"/>
                <w:szCs w:val="21"/>
              </w:rPr>
            </w:pPr>
            <w:r>
              <w:rPr>
                <w:spacing w:val="-1"/>
                <w:sz w:val="21"/>
                <w:szCs w:val="21"/>
              </w:rPr>
              <w:t>周边设置生态保护警示牌，严</w:t>
            </w:r>
          </w:p>
          <w:p w14:paraId="69129937">
            <w:pPr>
              <w:pStyle w:val="6"/>
              <w:spacing w:before="40" w:line="219" w:lineRule="auto"/>
              <w:ind w:left="94"/>
              <w:rPr>
                <w:sz w:val="21"/>
                <w:szCs w:val="21"/>
              </w:rPr>
            </w:pPr>
            <w:r>
              <w:rPr>
                <w:spacing w:val="-1"/>
                <w:sz w:val="21"/>
                <w:szCs w:val="21"/>
              </w:rPr>
              <w:t>禁随意破坏植被、植物，禁止</w:t>
            </w:r>
          </w:p>
          <w:p w14:paraId="5AA133FF">
            <w:pPr>
              <w:pStyle w:val="6"/>
              <w:spacing w:before="11" w:line="219" w:lineRule="auto"/>
              <w:ind w:left="775"/>
              <w:rPr>
                <w:sz w:val="21"/>
                <w:szCs w:val="21"/>
              </w:rPr>
            </w:pPr>
            <w:r>
              <w:rPr>
                <w:spacing w:val="-1"/>
                <w:sz w:val="21"/>
                <w:szCs w:val="21"/>
              </w:rPr>
              <w:t>人为捕杀动物。</w:t>
            </w:r>
          </w:p>
        </w:tc>
        <w:tc>
          <w:tcPr>
            <w:tcW w:w="1623" w:type="dxa"/>
            <w:vAlign w:val="top"/>
          </w:tcPr>
          <w:p w14:paraId="06F6A3E9">
            <w:pPr>
              <w:spacing w:line="266" w:lineRule="auto"/>
              <w:rPr>
                <w:rFonts w:ascii="Arial"/>
                <w:sz w:val="21"/>
              </w:rPr>
            </w:pPr>
          </w:p>
          <w:p w14:paraId="5A3E91B6">
            <w:pPr>
              <w:spacing w:line="266" w:lineRule="auto"/>
              <w:rPr>
                <w:rFonts w:ascii="Arial"/>
                <w:sz w:val="21"/>
              </w:rPr>
            </w:pPr>
          </w:p>
          <w:p w14:paraId="795ECA65">
            <w:pPr>
              <w:spacing w:line="266" w:lineRule="auto"/>
              <w:rPr>
                <w:rFonts w:ascii="Arial"/>
                <w:sz w:val="21"/>
              </w:rPr>
            </w:pPr>
          </w:p>
          <w:p w14:paraId="46FE0937">
            <w:pPr>
              <w:spacing w:line="266" w:lineRule="auto"/>
              <w:rPr>
                <w:rFonts w:ascii="Arial"/>
                <w:sz w:val="21"/>
              </w:rPr>
            </w:pPr>
          </w:p>
          <w:p w14:paraId="1E5B7971">
            <w:pPr>
              <w:spacing w:line="266" w:lineRule="auto"/>
              <w:rPr>
                <w:rFonts w:ascii="Arial"/>
                <w:sz w:val="21"/>
              </w:rPr>
            </w:pPr>
          </w:p>
          <w:p w14:paraId="3C562B75">
            <w:pPr>
              <w:spacing w:line="266" w:lineRule="auto"/>
              <w:rPr>
                <w:rFonts w:ascii="Arial"/>
                <w:sz w:val="21"/>
              </w:rPr>
            </w:pPr>
          </w:p>
          <w:p w14:paraId="7E191E09">
            <w:pPr>
              <w:spacing w:line="266" w:lineRule="auto"/>
              <w:rPr>
                <w:rFonts w:ascii="Arial"/>
                <w:sz w:val="21"/>
              </w:rPr>
            </w:pPr>
          </w:p>
          <w:p w14:paraId="0D12A85B">
            <w:pPr>
              <w:spacing w:line="267" w:lineRule="auto"/>
              <w:rPr>
                <w:rFonts w:ascii="Arial"/>
                <w:sz w:val="21"/>
              </w:rPr>
            </w:pPr>
          </w:p>
          <w:p w14:paraId="16317315">
            <w:pPr>
              <w:pStyle w:val="6"/>
              <w:spacing w:before="68" w:line="248" w:lineRule="auto"/>
              <w:ind w:left="597" w:right="64" w:hanging="529"/>
              <w:rPr>
                <w:sz w:val="21"/>
                <w:szCs w:val="21"/>
              </w:rPr>
            </w:pPr>
            <w:r>
              <w:rPr>
                <w:spacing w:val="1"/>
                <w:sz w:val="21"/>
                <w:szCs w:val="21"/>
              </w:rPr>
              <w:t>绿化措施、生态</w:t>
            </w:r>
            <w:r>
              <w:rPr>
                <w:spacing w:val="2"/>
                <w:sz w:val="21"/>
                <w:szCs w:val="21"/>
              </w:rPr>
              <w:t xml:space="preserve"> </w:t>
            </w:r>
            <w:r>
              <w:rPr>
                <w:spacing w:val="-3"/>
                <w:sz w:val="21"/>
                <w:szCs w:val="21"/>
              </w:rPr>
              <w:t>恢复</w:t>
            </w:r>
          </w:p>
        </w:tc>
      </w:tr>
      <w:tr w14:paraId="1CB87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593" w:type="dxa"/>
            <w:vAlign w:val="top"/>
          </w:tcPr>
          <w:p w14:paraId="13F5C3C8">
            <w:pPr>
              <w:pStyle w:val="6"/>
              <w:spacing w:before="242" w:line="219" w:lineRule="auto"/>
              <w:ind w:left="365"/>
              <w:rPr>
                <w:sz w:val="21"/>
                <w:szCs w:val="21"/>
              </w:rPr>
            </w:pPr>
            <w:r>
              <w:rPr>
                <w:spacing w:val="2"/>
                <w:sz w:val="21"/>
                <w:szCs w:val="21"/>
              </w:rPr>
              <w:t>水生生态</w:t>
            </w:r>
          </w:p>
        </w:tc>
        <w:tc>
          <w:tcPr>
            <w:tcW w:w="2228" w:type="dxa"/>
            <w:vAlign w:val="top"/>
          </w:tcPr>
          <w:p w14:paraId="6D4115ED">
            <w:pPr>
              <w:pStyle w:val="6"/>
              <w:spacing w:before="248" w:line="224" w:lineRule="auto"/>
              <w:ind w:left="1052"/>
              <w:rPr>
                <w:sz w:val="21"/>
                <w:szCs w:val="21"/>
              </w:rPr>
            </w:pPr>
            <w:r>
              <w:rPr>
                <w:sz w:val="21"/>
                <w:szCs w:val="21"/>
              </w:rPr>
              <w:t>/</w:t>
            </w:r>
          </w:p>
        </w:tc>
        <w:tc>
          <w:tcPr>
            <w:tcW w:w="1489" w:type="dxa"/>
            <w:vAlign w:val="top"/>
          </w:tcPr>
          <w:p w14:paraId="2E90C4D8">
            <w:pPr>
              <w:pStyle w:val="6"/>
              <w:spacing w:before="248" w:line="224" w:lineRule="auto"/>
              <w:ind w:left="684"/>
              <w:rPr>
                <w:sz w:val="21"/>
                <w:szCs w:val="21"/>
              </w:rPr>
            </w:pPr>
            <w:r>
              <w:rPr>
                <w:sz w:val="21"/>
                <w:szCs w:val="21"/>
              </w:rPr>
              <w:t>/</w:t>
            </w:r>
          </w:p>
        </w:tc>
        <w:tc>
          <w:tcPr>
            <w:tcW w:w="2927" w:type="dxa"/>
            <w:vAlign w:val="top"/>
          </w:tcPr>
          <w:p w14:paraId="4653666C">
            <w:pPr>
              <w:pStyle w:val="6"/>
              <w:spacing w:before="248" w:line="224" w:lineRule="auto"/>
              <w:ind w:left="1404"/>
              <w:rPr>
                <w:sz w:val="21"/>
                <w:szCs w:val="21"/>
              </w:rPr>
            </w:pPr>
            <w:r>
              <w:rPr>
                <w:sz w:val="21"/>
                <w:szCs w:val="21"/>
              </w:rPr>
              <w:t>/</w:t>
            </w:r>
          </w:p>
        </w:tc>
        <w:tc>
          <w:tcPr>
            <w:tcW w:w="1623" w:type="dxa"/>
            <w:vAlign w:val="top"/>
          </w:tcPr>
          <w:p w14:paraId="3E0AA456">
            <w:pPr>
              <w:pStyle w:val="6"/>
              <w:spacing w:before="248" w:line="224" w:lineRule="auto"/>
              <w:ind w:left="748"/>
              <w:rPr>
                <w:sz w:val="21"/>
                <w:szCs w:val="21"/>
              </w:rPr>
            </w:pPr>
            <w:r>
              <w:rPr>
                <w:sz w:val="21"/>
                <w:szCs w:val="21"/>
              </w:rPr>
              <w:t>/</w:t>
            </w:r>
          </w:p>
        </w:tc>
      </w:tr>
      <w:tr w14:paraId="3A332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6" w:hRule="atLeast"/>
        </w:trPr>
        <w:tc>
          <w:tcPr>
            <w:tcW w:w="1593" w:type="dxa"/>
            <w:vAlign w:val="top"/>
          </w:tcPr>
          <w:p w14:paraId="7259CD44">
            <w:pPr>
              <w:spacing w:line="241" w:lineRule="auto"/>
              <w:rPr>
                <w:rFonts w:ascii="Arial"/>
                <w:sz w:val="21"/>
              </w:rPr>
            </w:pPr>
          </w:p>
          <w:p w14:paraId="6BA34A36">
            <w:pPr>
              <w:spacing w:line="241" w:lineRule="auto"/>
              <w:rPr>
                <w:rFonts w:ascii="Arial"/>
                <w:sz w:val="21"/>
              </w:rPr>
            </w:pPr>
          </w:p>
          <w:p w14:paraId="146AA8CF">
            <w:pPr>
              <w:spacing w:line="241" w:lineRule="auto"/>
              <w:rPr>
                <w:rFonts w:ascii="Arial"/>
                <w:sz w:val="21"/>
              </w:rPr>
            </w:pPr>
          </w:p>
          <w:p w14:paraId="1934AF9C">
            <w:pPr>
              <w:spacing w:line="241" w:lineRule="auto"/>
              <w:rPr>
                <w:rFonts w:ascii="Arial"/>
                <w:sz w:val="21"/>
              </w:rPr>
            </w:pPr>
          </w:p>
          <w:p w14:paraId="2CEB2839">
            <w:pPr>
              <w:spacing w:line="241" w:lineRule="auto"/>
              <w:rPr>
                <w:rFonts w:ascii="Arial"/>
                <w:sz w:val="21"/>
              </w:rPr>
            </w:pPr>
          </w:p>
          <w:p w14:paraId="772D84AA">
            <w:pPr>
              <w:spacing w:line="241" w:lineRule="auto"/>
              <w:rPr>
                <w:rFonts w:ascii="Arial"/>
                <w:sz w:val="21"/>
              </w:rPr>
            </w:pPr>
          </w:p>
          <w:p w14:paraId="64FCE44E">
            <w:pPr>
              <w:spacing w:line="241" w:lineRule="auto"/>
              <w:rPr>
                <w:rFonts w:ascii="Arial"/>
                <w:sz w:val="21"/>
              </w:rPr>
            </w:pPr>
          </w:p>
          <w:p w14:paraId="2AEBFC40">
            <w:pPr>
              <w:spacing w:line="241" w:lineRule="auto"/>
              <w:rPr>
                <w:rFonts w:ascii="Arial"/>
                <w:sz w:val="21"/>
              </w:rPr>
            </w:pPr>
          </w:p>
          <w:p w14:paraId="41B8861B">
            <w:pPr>
              <w:spacing w:line="241" w:lineRule="auto"/>
              <w:rPr>
                <w:rFonts w:ascii="Arial"/>
                <w:sz w:val="21"/>
              </w:rPr>
            </w:pPr>
          </w:p>
          <w:p w14:paraId="0D62E87B">
            <w:pPr>
              <w:spacing w:line="241" w:lineRule="auto"/>
              <w:rPr>
                <w:rFonts w:ascii="Arial"/>
                <w:sz w:val="21"/>
              </w:rPr>
            </w:pPr>
          </w:p>
          <w:p w14:paraId="4757A70B">
            <w:pPr>
              <w:pStyle w:val="6"/>
              <w:spacing w:before="68" w:line="219" w:lineRule="auto"/>
              <w:ind w:left="264"/>
              <w:rPr>
                <w:sz w:val="21"/>
                <w:szCs w:val="21"/>
              </w:rPr>
            </w:pPr>
            <w:r>
              <w:rPr>
                <w:spacing w:val="-2"/>
                <w:sz w:val="21"/>
                <w:szCs w:val="21"/>
              </w:rPr>
              <w:t>地表水环境</w:t>
            </w:r>
          </w:p>
        </w:tc>
        <w:tc>
          <w:tcPr>
            <w:tcW w:w="2228" w:type="dxa"/>
            <w:vAlign w:val="top"/>
          </w:tcPr>
          <w:p w14:paraId="40EFD23D">
            <w:pPr>
              <w:spacing w:line="255" w:lineRule="auto"/>
              <w:rPr>
                <w:rFonts w:ascii="Arial"/>
                <w:sz w:val="21"/>
              </w:rPr>
            </w:pPr>
          </w:p>
          <w:p w14:paraId="5C5A90A0">
            <w:pPr>
              <w:spacing w:line="256" w:lineRule="auto"/>
              <w:rPr>
                <w:rFonts w:ascii="Arial"/>
                <w:sz w:val="21"/>
              </w:rPr>
            </w:pPr>
          </w:p>
          <w:p w14:paraId="5B417C2D">
            <w:pPr>
              <w:pStyle w:val="6"/>
              <w:spacing w:before="68" w:line="219" w:lineRule="auto"/>
              <w:ind w:left="52"/>
              <w:rPr>
                <w:sz w:val="21"/>
                <w:szCs w:val="21"/>
              </w:rPr>
            </w:pPr>
            <w:r>
              <w:rPr>
                <w:spacing w:val="2"/>
                <w:sz w:val="21"/>
                <w:szCs w:val="21"/>
              </w:rPr>
              <w:t>本项目施工期施工人员</w:t>
            </w:r>
          </w:p>
          <w:p w14:paraId="0F06077C">
            <w:pPr>
              <w:pStyle w:val="6"/>
              <w:spacing w:before="20" w:line="219" w:lineRule="auto"/>
              <w:ind w:left="52"/>
              <w:rPr>
                <w:sz w:val="21"/>
                <w:szCs w:val="21"/>
              </w:rPr>
            </w:pPr>
            <w:r>
              <w:rPr>
                <w:spacing w:val="-1"/>
                <w:sz w:val="21"/>
                <w:szCs w:val="21"/>
              </w:rPr>
              <w:t>和项目管理人员均依托</w:t>
            </w:r>
          </w:p>
          <w:p w14:paraId="376D4E3C">
            <w:pPr>
              <w:pStyle w:val="6"/>
              <w:spacing w:before="40" w:line="219" w:lineRule="auto"/>
              <w:ind w:left="52"/>
              <w:rPr>
                <w:sz w:val="21"/>
                <w:szCs w:val="21"/>
              </w:rPr>
            </w:pPr>
            <w:r>
              <w:rPr>
                <w:spacing w:val="-1"/>
                <w:sz w:val="21"/>
                <w:szCs w:val="21"/>
              </w:rPr>
              <w:t>周边村庄已经建成的生</w:t>
            </w:r>
          </w:p>
          <w:p w14:paraId="4DE5C4E6">
            <w:pPr>
              <w:pStyle w:val="6"/>
              <w:spacing w:before="20" w:line="219" w:lineRule="auto"/>
              <w:ind w:left="52"/>
              <w:rPr>
                <w:sz w:val="21"/>
                <w:szCs w:val="21"/>
              </w:rPr>
            </w:pPr>
            <w:r>
              <w:rPr>
                <w:sz w:val="21"/>
                <w:szCs w:val="21"/>
              </w:rPr>
              <w:t>活设施，本次项目不新</w:t>
            </w:r>
          </w:p>
          <w:p w14:paraId="0B871995">
            <w:pPr>
              <w:pStyle w:val="6"/>
              <w:spacing w:before="13" w:line="220" w:lineRule="auto"/>
              <w:ind w:left="52"/>
              <w:rPr>
                <w:sz w:val="21"/>
                <w:szCs w:val="21"/>
              </w:rPr>
            </w:pPr>
            <w:r>
              <w:rPr>
                <w:spacing w:val="1"/>
                <w:sz w:val="21"/>
                <w:szCs w:val="21"/>
              </w:rPr>
              <w:t>建施工期生活设施以及</w:t>
            </w:r>
          </w:p>
          <w:p w14:paraId="00449F80">
            <w:pPr>
              <w:pStyle w:val="6"/>
              <w:spacing w:before="39" w:line="219" w:lineRule="auto"/>
              <w:ind w:right="10"/>
              <w:jc w:val="right"/>
              <w:rPr>
                <w:sz w:val="21"/>
                <w:szCs w:val="21"/>
              </w:rPr>
            </w:pPr>
            <w:r>
              <w:rPr>
                <w:sz w:val="21"/>
                <w:szCs w:val="21"/>
              </w:rPr>
              <w:t>相应的污水处理设施。</w:t>
            </w:r>
          </w:p>
          <w:p w14:paraId="7CBCCE57">
            <w:pPr>
              <w:pStyle w:val="6"/>
              <w:spacing w:before="11" w:line="219" w:lineRule="auto"/>
              <w:ind w:left="52"/>
              <w:rPr>
                <w:sz w:val="21"/>
                <w:szCs w:val="21"/>
              </w:rPr>
            </w:pPr>
            <w:r>
              <w:rPr>
                <w:spacing w:val="1"/>
                <w:sz w:val="21"/>
                <w:szCs w:val="21"/>
              </w:rPr>
              <w:t>按照水土保持方案的要</w:t>
            </w:r>
          </w:p>
          <w:p w14:paraId="4EB4B3C4">
            <w:pPr>
              <w:pStyle w:val="6"/>
              <w:spacing w:before="21" w:line="219" w:lineRule="auto"/>
              <w:ind w:left="52"/>
              <w:rPr>
                <w:sz w:val="21"/>
                <w:szCs w:val="21"/>
              </w:rPr>
            </w:pPr>
            <w:r>
              <w:rPr>
                <w:spacing w:val="-1"/>
                <w:sz w:val="21"/>
                <w:szCs w:val="21"/>
              </w:rPr>
              <w:t>求设置沉砂池和截排水</w:t>
            </w:r>
          </w:p>
          <w:p w14:paraId="56EF7099">
            <w:pPr>
              <w:pStyle w:val="6"/>
              <w:spacing w:before="21" w:line="219" w:lineRule="auto"/>
              <w:ind w:left="52"/>
              <w:rPr>
                <w:sz w:val="21"/>
                <w:szCs w:val="21"/>
              </w:rPr>
            </w:pPr>
            <w:r>
              <w:rPr>
                <w:spacing w:val="1"/>
                <w:sz w:val="21"/>
                <w:szCs w:val="21"/>
              </w:rPr>
              <w:t>沟，施工过程中产生的</w:t>
            </w:r>
          </w:p>
          <w:p w14:paraId="5704270A">
            <w:pPr>
              <w:pStyle w:val="6"/>
              <w:spacing w:before="41" w:line="219" w:lineRule="auto"/>
              <w:ind w:left="52"/>
              <w:rPr>
                <w:sz w:val="21"/>
                <w:szCs w:val="21"/>
              </w:rPr>
            </w:pPr>
            <w:r>
              <w:rPr>
                <w:spacing w:val="-1"/>
                <w:sz w:val="21"/>
                <w:szCs w:val="21"/>
              </w:rPr>
              <w:t>初期雨水经临时截排水</w:t>
            </w:r>
          </w:p>
          <w:p w14:paraId="51ABEF16">
            <w:pPr>
              <w:pStyle w:val="6"/>
              <w:spacing w:before="12" w:line="220" w:lineRule="auto"/>
              <w:ind w:left="52"/>
              <w:rPr>
                <w:sz w:val="21"/>
                <w:szCs w:val="21"/>
              </w:rPr>
            </w:pPr>
            <w:r>
              <w:rPr>
                <w:spacing w:val="-1"/>
                <w:sz w:val="21"/>
                <w:szCs w:val="21"/>
              </w:rPr>
              <w:t>沟引入沉淀池沉淀处理</w:t>
            </w:r>
          </w:p>
          <w:p w14:paraId="47E583C0">
            <w:pPr>
              <w:pStyle w:val="6"/>
              <w:spacing w:before="9" w:line="219" w:lineRule="auto"/>
              <w:ind w:left="52"/>
              <w:rPr>
                <w:sz w:val="21"/>
                <w:szCs w:val="21"/>
              </w:rPr>
            </w:pPr>
            <w:r>
              <w:rPr>
                <w:spacing w:val="-1"/>
                <w:sz w:val="21"/>
                <w:szCs w:val="21"/>
              </w:rPr>
              <w:t>后，一部分可回用于施</w:t>
            </w:r>
          </w:p>
          <w:p w14:paraId="70FE7D69">
            <w:pPr>
              <w:pStyle w:val="6"/>
              <w:spacing w:before="41" w:line="219" w:lineRule="auto"/>
              <w:ind w:left="162"/>
              <w:rPr>
                <w:sz w:val="21"/>
                <w:szCs w:val="21"/>
              </w:rPr>
            </w:pPr>
            <w:r>
              <w:rPr>
                <w:spacing w:val="1"/>
                <w:sz w:val="21"/>
                <w:szCs w:val="21"/>
              </w:rPr>
              <w:t>工过程及场地洒水降</w:t>
            </w:r>
          </w:p>
          <w:p w14:paraId="144CE144">
            <w:pPr>
              <w:pStyle w:val="6"/>
              <w:spacing w:before="10" w:line="219" w:lineRule="auto"/>
              <w:ind w:left="52"/>
              <w:rPr>
                <w:sz w:val="21"/>
                <w:szCs w:val="21"/>
              </w:rPr>
            </w:pPr>
            <w:r>
              <w:rPr>
                <w:spacing w:val="-1"/>
                <w:sz w:val="21"/>
                <w:szCs w:val="21"/>
              </w:rPr>
              <w:t>尘，回用不完的部分再</w:t>
            </w:r>
          </w:p>
          <w:p w14:paraId="1A0CDBCF">
            <w:pPr>
              <w:pStyle w:val="6"/>
              <w:spacing w:before="20" w:line="219" w:lineRule="auto"/>
              <w:ind w:right="10"/>
              <w:jc w:val="right"/>
              <w:rPr>
                <w:sz w:val="21"/>
                <w:szCs w:val="21"/>
              </w:rPr>
            </w:pPr>
            <w:r>
              <w:rPr>
                <w:sz w:val="21"/>
                <w:szCs w:val="21"/>
              </w:rPr>
              <w:t>顺流至附近自然沟渠。</w:t>
            </w:r>
          </w:p>
        </w:tc>
        <w:tc>
          <w:tcPr>
            <w:tcW w:w="1489" w:type="dxa"/>
            <w:vAlign w:val="top"/>
          </w:tcPr>
          <w:p w14:paraId="24D31FF5">
            <w:pPr>
              <w:spacing w:line="250" w:lineRule="auto"/>
              <w:rPr>
                <w:rFonts w:ascii="Arial"/>
                <w:sz w:val="21"/>
              </w:rPr>
            </w:pPr>
          </w:p>
          <w:p w14:paraId="4F8822D4">
            <w:pPr>
              <w:spacing w:line="250" w:lineRule="auto"/>
              <w:rPr>
                <w:rFonts w:ascii="Arial"/>
                <w:sz w:val="21"/>
              </w:rPr>
            </w:pPr>
          </w:p>
          <w:p w14:paraId="35551153">
            <w:pPr>
              <w:spacing w:line="250" w:lineRule="auto"/>
              <w:rPr>
                <w:rFonts w:ascii="Arial"/>
                <w:sz w:val="21"/>
              </w:rPr>
            </w:pPr>
          </w:p>
          <w:p w14:paraId="0CD3CA42">
            <w:pPr>
              <w:spacing w:line="250" w:lineRule="auto"/>
              <w:rPr>
                <w:rFonts w:ascii="Arial"/>
                <w:sz w:val="21"/>
              </w:rPr>
            </w:pPr>
          </w:p>
          <w:p w14:paraId="5EE58EA5">
            <w:pPr>
              <w:spacing w:line="250" w:lineRule="auto"/>
              <w:rPr>
                <w:rFonts w:ascii="Arial"/>
                <w:sz w:val="21"/>
              </w:rPr>
            </w:pPr>
          </w:p>
          <w:p w14:paraId="3F44811E">
            <w:pPr>
              <w:spacing w:line="251" w:lineRule="auto"/>
              <w:rPr>
                <w:rFonts w:ascii="Arial"/>
                <w:sz w:val="21"/>
              </w:rPr>
            </w:pPr>
          </w:p>
          <w:p w14:paraId="4E7D7564">
            <w:pPr>
              <w:spacing w:line="251" w:lineRule="auto"/>
              <w:rPr>
                <w:rFonts w:ascii="Arial"/>
                <w:sz w:val="21"/>
              </w:rPr>
            </w:pPr>
          </w:p>
          <w:p w14:paraId="05A204B2">
            <w:pPr>
              <w:spacing w:line="251" w:lineRule="auto"/>
              <w:rPr>
                <w:rFonts w:ascii="Arial"/>
                <w:sz w:val="21"/>
              </w:rPr>
            </w:pPr>
          </w:p>
          <w:p w14:paraId="00C0AAE7">
            <w:pPr>
              <w:pStyle w:val="6"/>
              <w:spacing w:before="68" w:line="219" w:lineRule="auto"/>
              <w:ind w:left="104"/>
              <w:rPr>
                <w:sz w:val="21"/>
                <w:szCs w:val="21"/>
              </w:rPr>
            </w:pPr>
            <w:r>
              <w:rPr>
                <w:spacing w:val="2"/>
                <w:sz w:val="21"/>
                <w:szCs w:val="21"/>
              </w:rPr>
              <w:t>施工期影像资</w:t>
            </w:r>
          </w:p>
          <w:p w14:paraId="3205B8E4">
            <w:pPr>
              <w:pStyle w:val="6"/>
              <w:spacing w:before="20" w:line="219" w:lineRule="auto"/>
              <w:ind w:right="1"/>
              <w:jc w:val="right"/>
              <w:rPr>
                <w:sz w:val="21"/>
                <w:szCs w:val="21"/>
              </w:rPr>
            </w:pPr>
            <w:r>
              <w:rPr>
                <w:spacing w:val="-2"/>
                <w:sz w:val="21"/>
                <w:szCs w:val="21"/>
              </w:rPr>
              <w:t>料、环境监理报</w:t>
            </w:r>
          </w:p>
          <w:p w14:paraId="1B44D3C9">
            <w:pPr>
              <w:pStyle w:val="6"/>
              <w:spacing w:before="28" w:line="218" w:lineRule="auto"/>
              <w:jc w:val="right"/>
              <w:rPr>
                <w:sz w:val="21"/>
                <w:szCs w:val="21"/>
              </w:rPr>
            </w:pPr>
            <w:r>
              <w:rPr>
                <w:spacing w:val="-1"/>
                <w:sz w:val="21"/>
                <w:szCs w:val="21"/>
              </w:rPr>
              <w:t>告，施工期废水</w:t>
            </w:r>
          </w:p>
          <w:p w14:paraId="1FB6ED61">
            <w:pPr>
              <w:pStyle w:val="6"/>
              <w:spacing w:before="34" w:line="220" w:lineRule="auto"/>
              <w:ind w:left="424"/>
              <w:rPr>
                <w:sz w:val="21"/>
                <w:szCs w:val="21"/>
              </w:rPr>
            </w:pPr>
            <w:r>
              <w:rPr>
                <w:spacing w:val="-3"/>
                <w:sz w:val="21"/>
                <w:szCs w:val="21"/>
              </w:rPr>
              <w:t>不外排</w:t>
            </w:r>
          </w:p>
        </w:tc>
        <w:tc>
          <w:tcPr>
            <w:tcW w:w="2927" w:type="dxa"/>
            <w:vAlign w:val="top"/>
          </w:tcPr>
          <w:p w14:paraId="50BE08A5">
            <w:pPr>
              <w:pStyle w:val="6"/>
              <w:spacing w:before="50" w:line="229" w:lineRule="auto"/>
              <w:ind w:left="45" w:right="78" w:firstLine="49"/>
              <w:rPr>
                <w:sz w:val="21"/>
                <w:szCs w:val="21"/>
              </w:rPr>
            </w:pPr>
            <w:r>
              <w:rPr>
                <w:spacing w:val="-1"/>
                <w:sz w:val="21"/>
                <w:szCs w:val="21"/>
              </w:rPr>
              <w:t>①太阳能电池板的清洗废水直</w:t>
            </w:r>
            <w:r>
              <w:rPr>
                <w:spacing w:val="4"/>
                <w:sz w:val="21"/>
                <w:szCs w:val="21"/>
              </w:rPr>
              <w:t xml:space="preserve"> 接顺着流在太阳能电池组件下</w:t>
            </w:r>
            <w:r>
              <w:rPr>
                <w:spacing w:val="10"/>
                <w:sz w:val="21"/>
                <w:szCs w:val="21"/>
              </w:rPr>
              <w:t xml:space="preserve"> </w:t>
            </w:r>
            <w:r>
              <w:rPr>
                <w:spacing w:val="3"/>
                <w:sz w:val="21"/>
                <w:szCs w:val="21"/>
              </w:rPr>
              <w:t>面的农作物上，作为草地灌溉</w:t>
            </w:r>
            <w:r>
              <w:rPr>
                <w:sz w:val="21"/>
                <w:szCs w:val="21"/>
              </w:rPr>
              <w:t xml:space="preserve"> </w:t>
            </w:r>
            <w:r>
              <w:rPr>
                <w:spacing w:val="-2"/>
                <w:sz w:val="21"/>
                <w:szCs w:val="21"/>
              </w:rPr>
              <w:t>补充水，不外排</w:t>
            </w:r>
          </w:p>
          <w:p w14:paraId="2053E4C0">
            <w:pPr>
              <w:pStyle w:val="6"/>
              <w:spacing w:before="48" w:line="225" w:lineRule="auto"/>
              <w:ind w:left="194" w:right="98" w:hanging="100"/>
              <w:rPr>
                <w:sz w:val="21"/>
                <w:szCs w:val="21"/>
              </w:rPr>
            </w:pPr>
            <w:r>
              <w:rPr>
                <w:spacing w:val="-1"/>
                <w:sz w:val="21"/>
                <w:szCs w:val="21"/>
              </w:rPr>
              <w:t>②升压站办公生活区内设置食</w:t>
            </w:r>
            <w:r>
              <w:rPr>
                <w:spacing w:val="5"/>
                <w:sz w:val="21"/>
                <w:szCs w:val="21"/>
              </w:rPr>
              <w:t xml:space="preserve"> </w:t>
            </w:r>
            <w:r>
              <w:rPr>
                <w:sz w:val="21"/>
                <w:szCs w:val="21"/>
              </w:rPr>
              <w:t>堂废水隔油池(1座、容积为</w:t>
            </w:r>
          </w:p>
          <w:p w14:paraId="0A071F51">
            <w:pPr>
              <w:pStyle w:val="6"/>
              <w:spacing w:before="16" w:line="238" w:lineRule="auto"/>
              <w:ind w:left="94" w:right="82"/>
              <w:rPr>
                <w:sz w:val="21"/>
                <w:szCs w:val="21"/>
              </w:rPr>
            </w:pPr>
            <w:r>
              <w:rPr>
                <w:spacing w:val="7"/>
                <w:sz w:val="21"/>
                <w:szCs w:val="21"/>
              </w:rPr>
              <w:t>0.2m³),食堂废水经隔油预处</w:t>
            </w:r>
            <w:r>
              <w:rPr>
                <w:spacing w:val="1"/>
                <w:sz w:val="21"/>
                <w:szCs w:val="21"/>
              </w:rPr>
              <w:t xml:space="preserve"> </w:t>
            </w:r>
            <w:r>
              <w:rPr>
                <w:spacing w:val="-1"/>
                <w:sz w:val="21"/>
                <w:szCs w:val="21"/>
              </w:rPr>
              <w:t>理后与其他生活废水一起进入</w:t>
            </w:r>
            <w:r>
              <w:rPr>
                <w:spacing w:val="1"/>
                <w:sz w:val="21"/>
                <w:szCs w:val="21"/>
              </w:rPr>
              <w:t xml:space="preserve"> </w:t>
            </w:r>
            <w:r>
              <w:rPr>
                <w:spacing w:val="12"/>
                <w:sz w:val="21"/>
                <w:szCs w:val="21"/>
              </w:rPr>
              <w:t>化粪池(1座、容积为1.0m³)</w:t>
            </w:r>
            <w:r>
              <w:rPr>
                <w:spacing w:val="3"/>
                <w:sz w:val="21"/>
                <w:szCs w:val="21"/>
              </w:rPr>
              <w:t xml:space="preserve"> </w:t>
            </w:r>
            <w:r>
              <w:rPr>
                <w:spacing w:val="-1"/>
                <w:sz w:val="21"/>
                <w:szCs w:val="21"/>
              </w:rPr>
              <w:t>预处理，后统一进入生活污水</w:t>
            </w:r>
            <w:r>
              <w:rPr>
                <w:spacing w:val="2"/>
                <w:sz w:val="21"/>
                <w:szCs w:val="21"/>
              </w:rPr>
              <w:t xml:space="preserve"> 一体化处理系统(处理规模为</w:t>
            </w:r>
          </w:p>
          <w:p w14:paraId="06F34E08">
            <w:pPr>
              <w:pStyle w:val="6"/>
              <w:spacing w:before="40" w:line="224" w:lineRule="auto"/>
              <w:ind w:left="139" w:right="27" w:hanging="104"/>
              <w:rPr>
                <w:sz w:val="21"/>
                <w:szCs w:val="21"/>
              </w:rPr>
            </w:pPr>
            <w:r>
              <w:rPr>
                <w:spacing w:val="7"/>
                <w:sz w:val="21"/>
                <w:szCs w:val="21"/>
              </w:rPr>
              <w:t>1.0m³/d)进行处理，处理达到</w:t>
            </w:r>
            <w:r>
              <w:rPr>
                <w:spacing w:val="4"/>
                <w:sz w:val="21"/>
                <w:szCs w:val="21"/>
              </w:rPr>
              <w:t xml:space="preserve"> </w:t>
            </w:r>
            <w:r>
              <w:rPr>
                <w:sz w:val="21"/>
                <w:szCs w:val="21"/>
              </w:rPr>
              <w:t>《城市污水再生利用城市杂</w:t>
            </w:r>
          </w:p>
          <w:p w14:paraId="2D3E957C">
            <w:pPr>
              <w:pStyle w:val="6"/>
              <w:spacing w:before="30" w:line="232" w:lineRule="auto"/>
              <w:ind w:left="35" w:firstLine="59"/>
              <w:rPr>
                <w:sz w:val="21"/>
                <w:szCs w:val="21"/>
              </w:rPr>
            </w:pPr>
            <w:r>
              <w:rPr>
                <w:spacing w:val="1"/>
                <w:sz w:val="21"/>
                <w:szCs w:val="21"/>
              </w:rPr>
              <w:t>用水水质》(</w:t>
            </w:r>
            <w:r>
              <w:rPr>
                <w:sz w:val="21"/>
                <w:szCs w:val="21"/>
              </w:rPr>
              <w:t>GB</w:t>
            </w:r>
            <w:r>
              <w:rPr>
                <w:spacing w:val="1"/>
                <w:sz w:val="21"/>
                <w:szCs w:val="21"/>
              </w:rPr>
              <w:t>/T18920-2020)</w:t>
            </w:r>
            <w:r>
              <w:rPr>
                <w:spacing w:val="14"/>
                <w:sz w:val="21"/>
                <w:szCs w:val="21"/>
              </w:rPr>
              <w:t xml:space="preserve"> </w:t>
            </w:r>
            <w:r>
              <w:rPr>
                <w:spacing w:val="-19"/>
                <w:sz w:val="21"/>
                <w:szCs w:val="21"/>
              </w:rPr>
              <w:t>中“</w:t>
            </w:r>
            <w:r>
              <w:rPr>
                <w:spacing w:val="-18"/>
                <w:sz w:val="21"/>
                <w:szCs w:val="21"/>
              </w:rPr>
              <w:t>城市绿化、道路清扫”标准</w:t>
            </w:r>
            <w:r>
              <w:rPr>
                <w:spacing w:val="-16"/>
                <w:sz w:val="21"/>
                <w:szCs w:val="21"/>
              </w:rPr>
              <w:t>后</w:t>
            </w:r>
            <w:r>
              <w:rPr>
                <w:sz w:val="21"/>
                <w:szCs w:val="21"/>
              </w:rPr>
              <w:t xml:space="preserve"> </w:t>
            </w:r>
            <w:r>
              <w:rPr>
                <w:spacing w:val="2"/>
                <w:sz w:val="21"/>
                <w:szCs w:val="21"/>
              </w:rPr>
              <w:t>排入生活废水收集池(1座、容</w:t>
            </w:r>
            <w:r>
              <w:rPr>
                <w:spacing w:val="5"/>
                <w:sz w:val="21"/>
                <w:szCs w:val="21"/>
              </w:rPr>
              <w:t xml:space="preserve">  </w:t>
            </w:r>
            <w:r>
              <w:rPr>
                <w:spacing w:val="7"/>
                <w:sz w:val="21"/>
                <w:szCs w:val="21"/>
              </w:rPr>
              <w:t>积为4m³)作为升压站场区晴天</w:t>
            </w:r>
            <w:r>
              <w:rPr>
                <w:spacing w:val="1"/>
                <w:sz w:val="21"/>
                <w:szCs w:val="21"/>
              </w:rPr>
              <w:t xml:space="preserve"> </w:t>
            </w:r>
            <w:r>
              <w:rPr>
                <w:spacing w:val="4"/>
                <w:sz w:val="21"/>
                <w:szCs w:val="21"/>
              </w:rPr>
              <w:t>绿化、道路降尘用水回用，雨</w:t>
            </w:r>
          </w:p>
          <w:p w14:paraId="3E236A18">
            <w:pPr>
              <w:pStyle w:val="6"/>
              <w:spacing w:before="20" w:line="196" w:lineRule="auto"/>
              <w:ind w:left="725"/>
              <w:rPr>
                <w:sz w:val="21"/>
                <w:szCs w:val="21"/>
              </w:rPr>
            </w:pPr>
            <w:r>
              <w:rPr>
                <w:spacing w:val="1"/>
                <w:sz w:val="21"/>
                <w:szCs w:val="21"/>
              </w:rPr>
              <w:t>天储存，不外排</w:t>
            </w:r>
          </w:p>
        </w:tc>
        <w:tc>
          <w:tcPr>
            <w:tcW w:w="1623" w:type="dxa"/>
            <w:vAlign w:val="top"/>
          </w:tcPr>
          <w:p w14:paraId="3643A09F">
            <w:pPr>
              <w:spacing w:line="252" w:lineRule="auto"/>
              <w:rPr>
                <w:rFonts w:ascii="Arial"/>
                <w:sz w:val="21"/>
              </w:rPr>
            </w:pPr>
          </w:p>
          <w:p w14:paraId="501C1DF5">
            <w:pPr>
              <w:spacing w:line="252" w:lineRule="auto"/>
              <w:rPr>
                <w:rFonts w:ascii="Arial"/>
                <w:sz w:val="21"/>
              </w:rPr>
            </w:pPr>
          </w:p>
          <w:p w14:paraId="706F1B05">
            <w:pPr>
              <w:spacing w:line="252" w:lineRule="auto"/>
              <w:rPr>
                <w:rFonts w:ascii="Arial"/>
                <w:sz w:val="21"/>
              </w:rPr>
            </w:pPr>
          </w:p>
          <w:p w14:paraId="403A17B4">
            <w:pPr>
              <w:spacing w:line="252" w:lineRule="auto"/>
              <w:rPr>
                <w:rFonts w:ascii="Arial"/>
                <w:sz w:val="21"/>
              </w:rPr>
            </w:pPr>
          </w:p>
          <w:p w14:paraId="12DE1119">
            <w:pPr>
              <w:spacing w:line="252" w:lineRule="auto"/>
              <w:rPr>
                <w:rFonts w:ascii="Arial"/>
                <w:sz w:val="21"/>
              </w:rPr>
            </w:pPr>
          </w:p>
          <w:p w14:paraId="525636B4">
            <w:pPr>
              <w:spacing w:line="252" w:lineRule="auto"/>
              <w:rPr>
                <w:rFonts w:ascii="Arial"/>
                <w:sz w:val="21"/>
              </w:rPr>
            </w:pPr>
          </w:p>
          <w:p w14:paraId="2EFF7F09">
            <w:pPr>
              <w:spacing w:line="252" w:lineRule="auto"/>
              <w:rPr>
                <w:rFonts w:ascii="Arial"/>
                <w:sz w:val="21"/>
              </w:rPr>
            </w:pPr>
          </w:p>
          <w:p w14:paraId="4CA2E630">
            <w:pPr>
              <w:spacing w:line="253" w:lineRule="auto"/>
              <w:rPr>
                <w:rFonts w:ascii="Arial"/>
                <w:sz w:val="21"/>
              </w:rPr>
            </w:pPr>
          </w:p>
          <w:p w14:paraId="7D9E7774">
            <w:pPr>
              <w:spacing w:line="253" w:lineRule="auto"/>
              <w:rPr>
                <w:rFonts w:ascii="Arial"/>
                <w:sz w:val="21"/>
              </w:rPr>
            </w:pPr>
          </w:p>
          <w:p w14:paraId="63C6D16F">
            <w:pPr>
              <w:pStyle w:val="6"/>
              <w:spacing w:before="69" w:line="243" w:lineRule="auto"/>
              <w:ind w:left="697" w:right="61" w:hanging="629"/>
              <w:rPr>
                <w:sz w:val="21"/>
                <w:szCs w:val="21"/>
              </w:rPr>
            </w:pPr>
            <w:r>
              <w:rPr>
                <w:spacing w:val="1"/>
                <w:sz w:val="21"/>
                <w:szCs w:val="21"/>
              </w:rPr>
              <w:t>运营期废水不外</w:t>
            </w:r>
            <w:r>
              <w:rPr>
                <w:spacing w:val="4"/>
                <w:sz w:val="21"/>
                <w:szCs w:val="21"/>
              </w:rPr>
              <w:t xml:space="preserve"> </w:t>
            </w:r>
            <w:r>
              <w:rPr>
                <w:sz w:val="21"/>
                <w:szCs w:val="21"/>
              </w:rPr>
              <w:t>排</w:t>
            </w:r>
          </w:p>
        </w:tc>
      </w:tr>
      <w:tr w14:paraId="2479F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1593" w:type="dxa"/>
            <w:vAlign w:val="top"/>
          </w:tcPr>
          <w:p w14:paraId="2011468A">
            <w:pPr>
              <w:pStyle w:val="6"/>
              <w:spacing w:before="308" w:line="249" w:lineRule="auto"/>
              <w:ind w:left="685" w:right="66" w:hanging="630"/>
              <w:rPr>
                <w:sz w:val="21"/>
                <w:szCs w:val="21"/>
              </w:rPr>
            </w:pPr>
            <w:r>
              <w:rPr>
                <w:spacing w:val="-2"/>
                <w:sz w:val="21"/>
                <w:szCs w:val="21"/>
              </w:rPr>
              <w:t>地下水及土壤环</w:t>
            </w:r>
            <w:r>
              <w:rPr>
                <w:spacing w:val="4"/>
                <w:sz w:val="21"/>
                <w:szCs w:val="21"/>
              </w:rPr>
              <w:t xml:space="preserve"> </w:t>
            </w:r>
            <w:r>
              <w:rPr>
                <w:sz w:val="21"/>
                <w:szCs w:val="21"/>
              </w:rPr>
              <w:t>境</w:t>
            </w:r>
          </w:p>
        </w:tc>
        <w:tc>
          <w:tcPr>
            <w:tcW w:w="8267" w:type="dxa"/>
            <w:gridSpan w:val="4"/>
            <w:vAlign w:val="top"/>
          </w:tcPr>
          <w:p w14:paraId="25001005">
            <w:pPr>
              <w:pStyle w:val="6"/>
              <w:spacing w:before="37" w:line="219" w:lineRule="auto"/>
              <w:ind w:left="32"/>
              <w:rPr>
                <w:sz w:val="21"/>
                <w:szCs w:val="21"/>
              </w:rPr>
            </w:pPr>
            <w:r>
              <w:rPr>
                <w:sz w:val="21"/>
                <w:szCs w:val="21"/>
              </w:rPr>
              <w:t>危度暂存间严格按照《危险度物贮存污染控制标准》(GB18597-2023)设计建设并建立转移</w:t>
            </w:r>
          </w:p>
          <w:p w14:paraId="3D4895B0">
            <w:pPr>
              <w:pStyle w:val="6"/>
              <w:spacing w:before="21" w:line="219" w:lineRule="auto"/>
              <w:ind w:left="132"/>
              <w:rPr>
                <w:sz w:val="21"/>
                <w:szCs w:val="21"/>
              </w:rPr>
            </w:pPr>
            <w:r>
              <w:rPr>
                <w:sz w:val="21"/>
                <w:szCs w:val="21"/>
              </w:rPr>
              <w:t>联单，完善危险度物记录台账。防渗工程需满足GB18597-2023要求，即：防渗层为至少</w:t>
            </w:r>
          </w:p>
          <w:p w14:paraId="74194593">
            <w:pPr>
              <w:pStyle w:val="6"/>
              <w:spacing w:before="17" w:line="216" w:lineRule="auto"/>
              <w:ind w:left="342"/>
              <w:rPr>
                <w:sz w:val="21"/>
                <w:szCs w:val="21"/>
              </w:rPr>
            </w:pPr>
            <w:r>
              <w:rPr>
                <w:sz w:val="21"/>
                <w:szCs w:val="21"/>
              </w:rPr>
              <w:t>1m厚粘土层(渗透系数不大于10-7cm/s),或至少2mm厚高密度聚乙烯膜等人工防渗材</w:t>
            </w:r>
          </w:p>
          <w:p w14:paraId="582258B2">
            <w:pPr>
              <w:pStyle w:val="6"/>
              <w:spacing w:before="47" w:line="190" w:lineRule="auto"/>
              <w:ind w:left="82"/>
              <w:rPr>
                <w:sz w:val="21"/>
                <w:szCs w:val="21"/>
              </w:rPr>
            </w:pPr>
            <w:r>
              <w:rPr>
                <w:spacing w:val="3"/>
                <w:sz w:val="21"/>
                <w:szCs w:val="21"/>
              </w:rPr>
              <w:t>料(渗透系数不大于10-1</w:t>
            </w:r>
            <w:r>
              <w:rPr>
                <w:rFonts w:ascii="Calibri" w:hAnsi="Calibri" w:eastAsia="Calibri" w:cs="Calibri"/>
                <w:spacing w:val="3"/>
                <w:sz w:val="21"/>
                <w:szCs w:val="21"/>
              </w:rPr>
              <w:t>⁰</w:t>
            </w:r>
            <w:r>
              <w:rPr>
                <w:sz w:val="21"/>
                <w:szCs w:val="21"/>
              </w:rPr>
              <w:t>cm</w:t>
            </w:r>
            <w:r>
              <w:rPr>
                <w:spacing w:val="3"/>
                <w:sz w:val="21"/>
                <w:szCs w:val="21"/>
              </w:rPr>
              <w:t>/s)。箱变事故油池、升压站集油井+事故油池严格按照《环</w:t>
            </w:r>
          </w:p>
        </w:tc>
      </w:tr>
    </w:tbl>
    <w:p w14:paraId="243C9FA9">
      <w:pPr>
        <w:pStyle w:val="2"/>
      </w:pPr>
    </w:p>
    <w:p w14:paraId="7F3C789E">
      <w:pPr>
        <w:sectPr>
          <w:footerReference r:id="rId214" w:type="default"/>
          <w:pgSz w:w="11910" w:h="16830"/>
          <w:pgMar w:top="400" w:right="1044" w:bottom="1245" w:left="994" w:header="0" w:footer="1083" w:gutter="0"/>
          <w:cols w:space="720" w:num="1"/>
        </w:sectPr>
      </w:pPr>
    </w:p>
    <w:p w14:paraId="295255D3">
      <w:pPr>
        <w:spacing w:before="15"/>
      </w:pPr>
    </w:p>
    <w:p w14:paraId="3E09A7D2">
      <w:pPr>
        <w:spacing w:before="15"/>
      </w:pPr>
    </w:p>
    <w:p w14:paraId="49D9DA25">
      <w:pPr>
        <w:spacing w:before="15"/>
      </w:pPr>
    </w:p>
    <w:p w14:paraId="4890CC1A">
      <w:pPr>
        <w:spacing w:before="14"/>
      </w:pPr>
    </w:p>
    <w:tbl>
      <w:tblPr>
        <w:tblStyle w:val="5"/>
        <w:tblW w:w="98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3"/>
        <w:gridCol w:w="2218"/>
        <w:gridCol w:w="1509"/>
        <w:gridCol w:w="2907"/>
        <w:gridCol w:w="1643"/>
      </w:tblGrid>
      <w:tr w14:paraId="78972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593" w:type="dxa"/>
            <w:vAlign w:val="top"/>
          </w:tcPr>
          <w:p w14:paraId="5848B50D">
            <w:pPr>
              <w:rPr>
                <w:rFonts w:ascii="Arial"/>
                <w:sz w:val="21"/>
              </w:rPr>
            </w:pPr>
          </w:p>
        </w:tc>
        <w:tc>
          <w:tcPr>
            <w:tcW w:w="8277" w:type="dxa"/>
            <w:gridSpan w:val="4"/>
            <w:vAlign w:val="top"/>
          </w:tcPr>
          <w:p w14:paraId="561AFBF5">
            <w:pPr>
              <w:pStyle w:val="6"/>
              <w:spacing w:before="41" w:line="218" w:lineRule="auto"/>
              <w:ind w:left="192"/>
              <w:rPr>
                <w:sz w:val="21"/>
                <w:szCs w:val="21"/>
              </w:rPr>
            </w:pPr>
            <w:r>
              <w:rPr>
                <w:sz w:val="21"/>
                <w:szCs w:val="21"/>
              </w:rPr>
              <w:t>境影响评价技术导则地下水》(HIJ610-2016)重点防渗要求，等效</w:t>
            </w:r>
            <w:r>
              <w:rPr>
                <w:spacing w:val="-1"/>
                <w:sz w:val="21"/>
                <w:szCs w:val="21"/>
              </w:rPr>
              <w:t>黏土防渗层Mb≥6m渗</w:t>
            </w:r>
          </w:p>
          <w:p w14:paraId="26253616">
            <w:pPr>
              <w:pStyle w:val="6"/>
              <w:spacing w:before="14" w:line="219" w:lineRule="auto"/>
              <w:ind w:left="2552"/>
              <w:rPr>
                <w:sz w:val="21"/>
                <w:szCs w:val="21"/>
              </w:rPr>
            </w:pPr>
            <w:r>
              <w:rPr>
                <w:sz w:val="21"/>
                <w:szCs w:val="21"/>
              </w:rPr>
              <w:t>透系数≤1×10-7cm/s的防渗性能。</w:t>
            </w:r>
          </w:p>
        </w:tc>
      </w:tr>
      <w:tr w14:paraId="3A3C0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82" w:hRule="atLeast"/>
        </w:trPr>
        <w:tc>
          <w:tcPr>
            <w:tcW w:w="1593" w:type="dxa"/>
            <w:vAlign w:val="top"/>
          </w:tcPr>
          <w:p w14:paraId="49CCC023">
            <w:pPr>
              <w:spacing w:line="242" w:lineRule="auto"/>
              <w:rPr>
                <w:rFonts w:ascii="Arial"/>
                <w:sz w:val="21"/>
              </w:rPr>
            </w:pPr>
          </w:p>
          <w:p w14:paraId="4F20AE67">
            <w:pPr>
              <w:spacing w:line="242" w:lineRule="auto"/>
              <w:rPr>
                <w:rFonts w:ascii="Arial"/>
                <w:sz w:val="21"/>
              </w:rPr>
            </w:pPr>
          </w:p>
          <w:p w14:paraId="05B65751">
            <w:pPr>
              <w:spacing w:line="242" w:lineRule="auto"/>
              <w:rPr>
                <w:rFonts w:ascii="Arial"/>
                <w:sz w:val="21"/>
              </w:rPr>
            </w:pPr>
          </w:p>
          <w:p w14:paraId="55552D8C">
            <w:pPr>
              <w:spacing w:line="242" w:lineRule="auto"/>
              <w:rPr>
                <w:rFonts w:ascii="Arial"/>
                <w:sz w:val="21"/>
              </w:rPr>
            </w:pPr>
          </w:p>
          <w:p w14:paraId="65529A20">
            <w:pPr>
              <w:spacing w:line="242" w:lineRule="auto"/>
              <w:rPr>
                <w:rFonts w:ascii="Arial"/>
                <w:sz w:val="21"/>
              </w:rPr>
            </w:pPr>
          </w:p>
          <w:p w14:paraId="0E29DA46">
            <w:pPr>
              <w:spacing w:line="242" w:lineRule="auto"/>
              <w:rPr>
                <w:rFonts w:ascii="Arial"/>
                <w:sz w:val="21"/>
              </w:rPr>
            </w:pPr>
          </w:p>
          <w:p w14:paraId="0119A5F2">
            <w:pPr>
              <w:spacing w:line="242" w:lineRule="auto"/>
              <w:rPr>
                <w:rFonts w:ascii="Arial"/>
                <w:sz w:val="21"/>
              </w:rPr>
            </w:pPr>
          </w:p>
          <w:p w14:paraId="5A72484F">
            <w:pPr>
              <w:spacing w:line="242" w:lineRule="auto"/>
              <w:rPr>
                <w:rFonts w:ascii="Arial"/>
                <w:sz w:val="21"/>
              </w:rPr>
            </w:pPr>
          </w:p>
          <w:p w14:paraId="7927E94E">
            <w:pPr>
              <w:spacing w:line="242" w:lineRule="auto"/>
              <w:rPr>
                <w:rFonts w:ascii="Arial"/>
                <w:sz w:val="21"/>
              </w:rPr>
            </w:pPr>
          </w:p>
          <w:p w14:paraId="2204933D">
            <w:pPr>
              <w:spacing w:line="242" w:lineRule="auto"/>
              <w:rPr>
                <w:rFonts w:ascii="Arial"/>
                <w:sz w:val="21"/>
              </w:rPr>
            </w:pPr>
          </w:p>
          <w:p w14:paraId="7AB39CF4">
            <w:pPr>
              <w:spacing w:line="242" w:lineRule="auto"/>
              <w:rPr>
                <w:rFonts w:ascii="Arial"/>
                <w:sz w:val="21"/>
              </w:rPr>
            </w:pPr>
          </w:p>
          <w:p w14:paraId="62533916">
            <w:pPr>
              <w:spacing w:line="242" w:lineRule="auto"/>
              <w:rPr>
                <w:rFonts w:ascii="Arial"/>
                <w:sz w:val="21"/>
              </w:rPr>
            </w:pPr>
          </w:p>
          <w:p w14:paraId="2998410F">
            <w:pPr>
              <w:spacing w:line="242" w:lineRule="auto"/>
              <w:rPr>
                <w:rFonts w:ascii="Arial"/>
                <w:sz w:val="21"/>
              </w:rPr>
            </w:pPr>
          </w:p>
          <w:p w14:paraId="71F1BB88">
            <w:pPr>
              <w:spacing w:line="242" w:lineRule="auto"/>
              <w:rPr>
                <w:rFonts w:ascii="Arial"/>
                <w:sz w:val="21"/>
              </w:rPr>
            </w:pPr>
          </w:p>
          <w:p w14:paraId="79DAC38F">
            <w:pPr>
              <w:spacing w:line="242" w:lineRule="auto"/>
              <w:rPr>
                <w:rFonts w:ascii="Arial"/>
                <w:sz w:val="21"/>
              </w:rPr>
            </w:pPr>
          </w:p>
          <w:p w14:paraId="5FCC6543">
            <w:pPr>
              <w:spacing w:line="242" w:lineRule="auto"/>
              <w:rPr>
                <w:rFonts w:ascii="Arial"/>
                <w:sz w:val="21"/>
              </w:rPr>
            </w:pPr>
          </w:p>
          <w:p w14:paraId="279D1A47">
            <w:pPr>
              <w:spacing w:line="242" w:lineRule="auto"/>
              <w:rPr>
                <w:rFonts w:ascii="Arial"/>
                <w:sz w:val="21"/>
              </w:rPr>
            </w:pPr>
          </w:p>
          <w:p w14:paraId="38DBF120">
            <w:pPr>
              <w:spacing w:line="242" w:lineRule="auto"/>
              <w:rPr>
                <w:rFonts w:ascii="Arial"/>
                <w:sz w:val="21"/>
              </w:rPr>
            </w:pPr>
          </w:p>
          <w:p w14:paraId="4B54F730">
            <w:pPr>
              <w:spacing w:line="243" w:lineRule="auto"/>
              <w:rPr>
                <w:rFonts w:ascii="Arial"/>
                <w:sz w:val="21"/>
              </w:rPr>
            </w:pPr>
          </w:p>
          <w:p w14:paraId="77464938">
            <w:pPr>
              <w:spacing w:line="243" w:lineRule="auto"/>
              <w:rPr>
                <w:rFonts w:ascii="Arial"/>
                <w:sz w:val="21"/>
              </w:rPr>
            </w:pPr>
          </w:p>
          <w:p w14:paraId="6A0B795B">
            <w:pPr>
              <w:pStyle w:val="6"/>
              <w:spacing w:before="68" w:line="220" w:lineRule="auto"/>
              <w:ind w:left="475"/>
              <w:rPr>
                <w:sz w:val="21"/>
                <w:szCs w:val="21"/>
              </w:rPr>
            </w:pPr>
            <w:r>
              <w:rPr>
                <w:spacing w:val="2"/>
                <w:sz w:val="21"/>
                <w:szCs w:val="21"/>
              </w:rPr>
              <w:t>声环境</w:t>
            </w:r>
          </w:p>
        </w:tc>
        <w:tc>
          <w:tcPr>
            <w:tcW w:w="2218" w:type="dxa"/>
            <w:vAlign w:val="top"/>
          </w:tcPr>
          <w:p w14:paraId="2690FEA3">
            <w:pPr>
              <w:pStyle w:val="6"/>
              <w:spacing w:before="50" w:line="221" w:lineRule="auto"/>
              <w:ind w:left="52"/>
              <w:rPr>
                <w:sz w:val="21"/>
                <w:szCs w:val="21"/>
              </w:rPr>
            </w:pPr>
            <w:r>
              <w:rPr>
                <w:spacing w:val="-1"/>
                <w:sz w:val="21"/>
                <w:szCs w:val="21"/>
              </w:rPr>
              <w:t>合理安排施工计划和施</w:t>
            </w:r>
          </w:p>
          <w:p w14:paraId="4A6B82A6">
            <w:pPr>
              <w:pStyle w:val="6"/>
              <w:spacing w:before="16" w:line="219" w:lineRule="auto"/>
              <w:ind w:left="52"/>
              <w:rPr>
                <w:sz w:val="21"/>
                <w:szCs w:val="21"/>
              </w:rPr>
            </w:pPr>
            <w:r>
              <w:rPr>
                <w:sz w:val="21"/>
                <w:szCs w:val="21"/>
              </w:rPr>
              <w:t>工机械设备组合以及施</w:t>
            </w:r>
          </w:p>
          <w:p w14:paraId="000AA694">
            <w:pPr>
              <w:pStyle w:val="6"/>
              <w:spacing w:before="43" w:line="218" w:lineRule="auto"/>
              <w:ind w:left="52"/>
              <w:rPr>
                <w:sz w:val="21"/>
                <w:szCs w:val="21"/>
              </w:rPr>
            </w:pPr>
            <w:r>
              <w:rPr>
                <w:spacing w:val="1"/>
                <w:sz w:val="21"/>
                <w:szCs w:val="21"/>
              </w:rPr>
              <w:t>工时间、合理安排施工</w:t>
            </w:r>
          </w:p>
          <w:p w14:paraId="3936E6A8">
            <w:pPr>
              <w:pStyle w:val="6"/>
              <w:spacing w:line="218" w:lineRule="auto"/>
              <w:ind w:left="52"/>
              <w:rPr>
                <w:sz w:val="21"/>
                <w:szCs w:val="21"/>
              </w:rPr>
            </w:pPr>
            <w:r>
              <w:rPr>
                <w:sz w:val="21"/>
                <w:szCs w:val="21"/>
              </w:rPr>
              <w:t>工序；合理布置机械设</w:t>
            </w:r>
          </w:p>
          <w:p w14:paraId="249DBEA2">
            <w:pPr>
              <w:pStyle w:val="6"/>
              <w:spacing w:before="33" w:line="221" w:lineRule="auto"/>
              <w:ind w:left="52"/>
              <w:rPr>
                <w:sz w:val="21"/>
                <w:szCs w:val="21"/>
              </w:rPr>
            </w:pPr>
            <w:r>
              <w:rPr>
                <w:spacing w:val="2"/>
                <w:sz w:val="21"/>
                <w:szCs w:val="21"/>
              </w:rPr>
              <w:t>备；合理规划施工时间</w:t>
            </w:r>
          </w:p>
          <w:p w14:paraId="675A45BE">
            <w:pPr>
              <w:pStyle w:val="6"/>
              <w:spacing w:before="28" w:line="220" w:lineRule="auto"/>
              <w:ind w:left="52"/>
              <w:rPr>
                <w:sz w:val="21"/>
                <w:szCs w:val="21"/>
              </w:rPr>
            </w:pPr>
            <w:r>
              <w:rPr>
                <w:spacing w:val="-1"/>
                <w:sz w:val="21"/>
                <w:szCs w:val="21"/>
              </w:rPr>
              <w:t>及施工时序，靠近居民</w:t>
            </w:r>
          </w:p>
          <w:p w14:paraId="68B0E25F">
            <w:pPr>
              <w:pStyle w:val="6"/>
              <w:spacing w:before="8" w:line="219" w:lineRule="auto"/>
              <w:ind w:left="52"/>
              <w:rPr>
                <w:sz w:val="21"/>
                <w:szCs w:val="21"/>
              </w:rPr>
            </w:pPr>
            <w:r>
              <w:rPr>
                <w:spacing w:val="1"/>
                <w:sz w:val="21"/>
                <w:szCs w:val="21"/>
              </w:rPr>
              <w:t>点位置的光伏阵区支架</w:t>
            </w:r>
          </w:p>
          <w:p w14:paraId="220615A2">
            <w:pPr>
              <w:pStyle w:val="6"/>
              <w:spacing w:before="41" w:line="219" w:lineRule="auto"/>
              <w:ind w:left="52"/>
              <w:rPr>
                <w:sz w:val="21"/>
                <w:szCs w:val="21"/>
              </w:rPr>
            </w:pPr>
            <w:r>
              <w:rPr>
                <w:spacing w:val="-1"/>
                <w:sz w:val="21"/>
                <w:szCs w:val="21"/>
              </w:rPr>
              <w:t>或集电线路施工采用人</w:t>
            </w:r>
          </w:p>
          <w:p w14:paraId="693E07E4">
            <w:pPr>
              <w:pStyle w:val="6"/>
              <w:spacing w:before="10" w:line="219" w:lineRule="auto"/>
              <w:ind w:left="52"/>
              <w:rPr>
                <w:sz w:val="21"/>
                <w:szCs w:val="21"/>
              </w:rPr>
            </w:pPr>
            <w:r>
              <w:rPr>
                <w:spacing w:val="-1"/>
                <w:sz w:val="21"/>
                <w:szCs w:val="21"/>
              </w:rPr>
              <w:t>工开挖基础，9#光伏阵</w:t>
            </w:r>
          </w:p>
          <w:p w14:paraId="0404AD95">
            <w:pPr>
              <w:pStyle w:val="6"/>
              <w:spacing w:before="21" w:line="219" w:lineRule="auto"/>
              <w:ind w:left="11"/>
              <w:rPr>
                <w:sz w:val="21"/>
                <w:szCs w:val="21"/>
              </w:rPr>
            </w:pPr>
            <w:r>
              <w:rPr>
                <w:spacing w:val="-1"/>
                <w:sz w:val="21"/>
                <w:szCs w:val="21"/>
              </w:rPr>
              <w:t>列东侧、10#光伏阵列西</w:t>
            </w:r>
          </w:p>
          <w:p w14:paraId="016A1515">
            <w:pPr>
              <w:pStyle w:val="6"/>
              <w:spacing w:before="21" w:line="219" w:lineRule="auto"/>
              <w:ind w:left="52"/>
              <w:rPr>
                <w:sz w:val="21"/>
                <w:szCs w:val="21"/>
              </w:rPr>
            </w:pPr>
            <w:r>
              <w:rPr>
                <w:spacing w:val="1"/>
                <w:sz w:val="21"/>
                <w:szCs w:val="21"/>
              </w:rPr>
              <w:t>侧、9#光伏阵列西北侧</w:t>
            </w:r>
          </w:p>
          <w:p w14:paraId="118BB29F">
            <w:pPr>
              <w:pStyle w:val="6"/>
              <w:spacing w:before="23" w:line="219" w:lineRule="auto"/>
              <w:ind w:left="52"/>
              <w:rPr>
                <w:sz w:val="21"/>
                <w:szCs w:val="21"/>
              </w:rPr>
            </w:pPr>
            <w:r>
              <w:rPr>
                <w:spacing w:val="1"/>
                <w:sz w:val="21"/>
                <w:szCs w:val="21"/>
              </w:rPr>
              <w:t>设置施工围挡、移动声</w:t>
            </w:r>
          </w:p>
          <w:p w14:paraId="3A5A27F0">
            <w:pPr>
              <w:pStyle w:val="6"/>
              <w:spacing w:before="39" w:line="219" w:lineRule="auto"/>
              <w:ind w:left="52"/>
              <w:rPr>
                <w:sz w:val="21"/>
                <w:szCs w:val="21"/>
              </w:rPr>
            </w:pPr>
            <w:r>
              <w:rPr>
                <w:spacing w:val="1"/>
                <w:sz w:val="21"/>
                <w:szCs w:val="21"/>
              </w:rPr>
              <w:t>屏障，8#光伏阵列南侧</w:t>
            </w:r>
          </w:p>
          <w:p w14:paraId="1111035B">
            <w:pPr>
              <w:pStyle w:val="6"/>
              <w:spacing w:before="11" w:line="219" w:lineRule="auto"/>
              <w:ind w:right="1"/>
              <w:jc w:val="right"/>
              <w:rPr>
                <w:sz w:val="21"/>
                <w:szCs w:val="21"/>
              </w:rPr>
            </w:pPr>
            <w:r>
              <w:rPr>
                <w:spacing w:val="-1"/>
                <w:sz w:val="21"/>
                <w:szCs w:val="21"/>
              </w:rPr>
              <w:t>设置施工围挡，11#光伏</w:t>
            </w:r>
          </w:p>
          <w:p w14:paraId="6254D242">
            <w:pPr>
              <w:pStyle w:val="6"/>
              <w:spacing w:before="22" w:line="219" w:lineRule="auto"/>
              <w:ind w:left="52"/>
              <w:rPr>
                <w:sz w:val="21"/>
                <w:szCs w:val="21"/>
              </w:rPr>
            </w:pPr>
            <w:r>
              <w:rPr>
                <w:spacing w:val="1"/>
                <w:sz w:val="21"/>
                <w:szCs w:val="21"/>
              </w:rPr>
              <w:t>阵列西南侧设置施工围</w:t>
            </w:r>
          </w:p>
          <w:p w14:paraId="57D6CB5B">
            <w:pPr>
              <w:pStyle w:val="6"/>
              <w:spacing w:before="30" w:line="219" w:lineRule="auto"/>
              <w:jc w:val="right"/>
              <w:rPr>
                <w:sz w:val="21"/>
                <w:szCs w:val="21"/>
              </w:rPr>
            </w:pPr>
            <w:r>
              <w:rPr>
                <w:spacing w:val="-1"/>
                <w:sz w:val="21"/>
                <w:szCs w:val="21"/>
              </w:rPr>
              <w:t>挡，10#光伏阵列西北侧</w:t>
            </w:r>
          </w:p>
          <w:p w14:paraId="7EAFD4BA">
            <w:pPr>
              <w:pStyle w:val="6"/>
              <w:spacing w:before="11" w:line="219" w:lineRule="auto"/>
              <w:ind w:right="1"/>
              <w:jc w:val="right"/>
              <w:rPr>
                <w:sz w:val="21"/>
                <w:szCs w:val="21"/>
              </w:rPr>
            </w:pPr>
            <w:r>
              <w:rPr>
                <w:spacing w:val="-1"/>
                <w:sz w:val="21"/>
                <w:szCs w:val="21"/>
              </w:rPr>
              <w:t>设置施工围挡，12#光伏</w:t>
            </w:r>
          </w:p>
          <w:p w14:paraId="6092F740">
            <w:pPr>
              <w:pStyle w:val="6"/>
              <w:spacing w:before="42" w:line="219" w:lineRule="auto"/>
              <w:ind w:left="152"/>
              <w:rPr>
                <w:sz w:val="21"/>
                <w:szCs w:val="21"/>
              </w:rPr>
            </w:pPr>
            <w:r>
              <w:rPr>
                <w:spacing w:val="2"/>
                <w:sz w:val="21"/>
                <w:szCs w:val="21"/>
              </w:rPr>
              <w:t>阵列西侧设置施工围</w:t>
            </w:r>
          </w:p>
          <w:p w14:paraId="3828FF5C">
            <w:pPr>
              <w:pStyle w:val="6"/>
              <w:spacing w:before="9" w:line="219" w:lineRule="auto"/>
              <w:jc w:val="right"/>
              <w:rPr>
                <w:sz w:val="21"/>
                <w:szCs w:val="21"/>
              </w:rPr>
            </w:pPr>
            <w:r>
              <w:rPr>
                <w:spacing w:val="-1"/>
                <w:sz w:val="21"/>
                <w:szCs w:val="21"/>
              </w:rPr>
              <w:t>挡，16#光伏阵列北侧设</w:t>
            </w:r>
          </w:p>
          <w:p w14:paraId="36AB4107">
            <w:pPr>
              <w:pStyle w:val="6"/>
              <w:spacing w:before="23" w:line="219" w:lineRule="auto"/>
              <w:ind w:left="52"/>
              <w:rPr>
                <w:sz w:val="21"/>
                <w:szCs w:val="21"/>
              </w:rPr>
            </w:pPr>
            <w:r>
              <w:rPr>
                <w:spacing w:val="1"/>
                <w:sz w:val="21"/>
                <w:szCs w:val="21"/>
              </w:rPr>
              <w:t>置施工围挡、移动声屏</w:t>
            </w:r>
          </w:p>
          <w:p w14:paraId="0CFBE0E3">
            <w:pPr>
              <w:pStyle w:val="6"/>
              <w:spacing w:before="29" w:line="219" w:lineRule="auto"/>
              <w:ind w:left="11"/>
              <w:rPr>
                <w:sz w:val="21"/>
                <w:szCs w:val="21"/>
              </w:rPr>
            </w:pPr>
            <w:r>
              <w:rPr>
                <w:spacing w:val="-2"/>
                <w:sz w:val="21"/>
                <w:szCs w:val="21"/>
              </w:rPr>
              <w:t>障，18#光伏阵列北侧设</w:t>
            </w:r>
          </w:p>
          <w:p w14:paraId="7743ED62">
            <w:pPr>
              <w:pStyle w:val="6"/>
              <w:spacing w:before="11" w:line="219" w:lineRule="auto"/>
              <w:jc w:val="right"/>
              <w:rPr>
                <w:sz w:val="21"/>
                <w:szCs w:val="21"/>
              </w:rPr>
            </w:pPr>
            <w:r>
              <w:rPr>
                <w:spacing w:val="-1"/>
                <w:sz w:val="21"/>
                <w:szCs w:val="21"/>
              </w:rPr>
              <w:t>置施工围挡，19#光伏阵</w:t>
            </w:r>
          </w:p>
          <w:p w14:paraId="09BB5E39">
            <w:pPr>
              <w:pStyle w:val="6"/>
              <w:spacing w:before="41" w:line="219" w:lineRule="auto"/>
              <w:ind w:left="11"/>
              <w:rPr>
                <w:sz w:val="21"/>
                <w:szCs w:val="21"/>
              </w:rPr>
            </w:pPr>
            <w:r>
              <w:rPr>
                <w:spacing w:val="-1"/>
                <w:sz w:val="21"/>
                <w:szCs w:val="21"/>
              </w:rPr>
              <w:t>列周边、20#光伏阵列西</w:t>
            </w:r>
          </w:p>
          <w:p w14:paraId="124E7113">
            <w:pPr>
              <w:pStyle w:val="6"/>
              <w:spacing w:before="12" w:line="219" w:lineRule="auto"/>
              <w:ind w:left="52"/>
              <w:rPr>
                <w:sz w:val="21"/>
                <w:szCs w:val="21"/>
              </w:rPr>
            </w:pPr>
            <w:r>
              <w:rPr>
                <w:spacing w:val="1"/>
                <w:sz w:val="21"/>
                <w:szCs w:val="21"/>
              </w:rPr>
              <w:t>侧设置施工围挡、移动</w:t>
            </w:r>
          </w:p>
          <w:p w14:paraId="17735DD8">
            <w:pPr>
              <w:pStyle w:val="6"/>
              <w:spacing w:before="40" w:line="219" w:lineRule="auto"/>
              <w:ind w:left="11"/>
              <w:rPr>
                <w:sz w:val="21"/>
                <w:szCs w:val="21"/>
              </w:rPr>
            </w:pPr>
            <w:r>
              <w:rPr>
                <w:spacing w:val="-1"/>
                <w:sz w:val="21"/>
                <w:szCs w:val="21"/>
              </w:rPr>
              <w:t>声屏障，20#光伏阵列西</w:t>
            </w:r>
          </w:p>
          <w:p w14:paraId="6B899D96">
            <w:pPr>
              <w:pStyle w:val="6"/>
              <w:spacing w:before="12" w:line="219" w:lineRule="auto"/>
              <w:ind w:left="52"/>
              <w:rPr>
                <w:sz w:val="21"/>
                <w:szCs w:val="21"/>
              </w:rPr>
            </w:pPr>
            <w:r>
              <w:rPr>
                <w:spacing w:val="1"/>
                <w:sz w:val="21"/>
                <w:szCs w:val="21"/>
              </w:rPr>
              <w:t>南侧、北侧设置施工围</w:t>
            </w:r>
          </w:p>
          <w:p w14:paraId="04A32793">
            <w:pPr>
              <w:pStyle w:val="6"/>
              <w:spacing w:before="19" w:line="219" w:lineRule="auto"/>
              <w:jc w:val="right"/>
              <w:rPr>
                <w:sz w:val="21"/>
                <w:szCs w:val="21"/>
              </w:rPr>
            </w:pPr>
            <w:r>
              <w:rPr>
                <w:spacing w:val="-1"/>
                <w:sz w:val="21"/>
                <w:szCs w:val="21"/>
              </w:rPr>
              <w:t>挡，20#光伏阵列北侧设</w:t>
            </w:r>
          </w:p>
          <w:p w14:paraId="4B0E1177">
            <w:pPr>
              <w:pStyle w:val="6"/>
              <w:spacing w:before="33" w:line="219" w:lineRule="auto"/>
              <w:ind w:left="52"/>
              <w:rPr>
                <w:sz w:val="21"/>
                <w:szCs w:val="21"/>
              </w:rPr>
            </w:pPr>
            <w:r>
              <w:rPr>
                <w:spacing w:val="1"/>
                <w:sz w:val="21"/>
                <w:szCs w:val="21"/>
              </w:rPr>
              <w:t>置施工围挡、移动声屏</w:t>
            </w:r>
          </w:p>
          <w:p w14:paraId="07E92EE4">
            <w:pPr>
              <w:pStyle w:val="6"/>
              <w:spacing w:before="9" w:line="219" w:lineRule="auto"/>
              <w:ind w:left="102"/>
              <w:rPr>
                <w:sz w:val="21"/>
                <w:szCs w:val="21"/>
              </w:rPr>
            </w:pPr>
            <w:r>
              <w:rPr>
                <w:sz w:val="21"/>
                <w:szCs w:val="21"/>
              </w:rPr>
              <w:t>障，21#光伏阵列西南</w:t>
            </w:r>
          </w:p>
          <w:p w14:paraId="103FB66D">
            <w:pPr>
              <w:pStyle w:val="6"/>
              <w:spacing w:before="41" w:line="219" w:lineRule="auto"/>
              <w:ind w:left="102"/>
              <w:rPr>
                <w:sz w:val="21"/>
                <w:szCs w:val="21"/>
              </w:rPr>
            </w:pPr>
            <w:r>
              <w:rPr>
                <w:spacing w:val="-1"/>
                <w:sz w:val="21"/>
                <w:szCs w:val="21"/>
              </w:rPr>
              <w:t>侧、24#光伏阵列西北</w:t>
            </w:r>
          </w:p>
          <w:p w14:paraId="61C956EF">
            <w:pPr>
              <w:pStyle w:val="6"/>
              <w:spacing w:before="11" w:line="219" w:lineRule="auto"/>
              <w:jc w:val="right"/>
              <w:rPr>
                <w:sz w:val="21"/>
                <w:szCs w:val="21"/>
              </w:rPr>
            </w:pPr>
            <w:r>
              <w:rPr>
                <w:spacing w:val="-1"/>
                <w:sz w:val="21"/>
                <w:szCs w:val="21"/>
              </w:rPr>
              <w:t>侧、东南侧、24#光伏阵</w:t>
            </w:r>
          </w:p>
          <w:p w14:paraId="54418C75">
            <w:pPr>
              <w:pStyle w:val="6"/>
              <w:spacing w:before="22" w:line="219" w:lineRule="auto"/>
              <w:ind w:left="52"/>
              <w:rPr>
                <w:sz w:val="21"/>
                <w:szCs w:val="21"/>
              </w:rPr>
            </w:pPr>
            <w:r>
              <w:rPr>
                <w:spacing w:val="1"/>
                <w:sz w:val="21"/>
                <w:szCs w:val="21"/>
              </w:rPr>
              <w:t>列北侧置施工围挡。如</w:t>
            </w:r>
          </w:p>
          <w:p w14:paraId="47DD4D1E">
            <w:pPr>
              <w:pStyle w:val="6"/>
              <w:spacing w:before="32" w:line="220" w:lineRule="auto"/>
              <w:ind w:left="52"/>
              <w:rPr>
                <w:sz w:val="21"/>
                <w:szCs w:val="21"/>
              </w:rPr>
            </w:pPr>
            <w:r>
              <w:rPr>
                <w:spacing w:val="1"/>
                <w:sz w:val="21"/>
                <w:szCs w:val="21"/>
              </w:rPr>
              <w:t>果要用备用地，需要在</w:t>
            </w:r>
          </w:p>
          <w:p w14:paraId="249A9801">
            <w:pPr>
              <w:pStyle w:val="6"/>
              <w:spacing w:before="9" w:line="219" w:lineRule="auto"/>
              <w:ind w:left="102"/>
              <w:rPr>
                <w:sz w:val="21"/>
                <w:szCs w:val="21"/>
              </w:rPr>
            </w:pPr>
            <w:r>
              <w:rPr>
                <w:spacing w:val="-1"/>
                <w:sz w:val="21"/>
                <w:szCs w:val="21"/>
              </w:rPr>
              <w:t>备用地2西侧设置施工</w:t>
            </w:r>
          </w:p>
          <w:p w14:paraId="36C84701">
            <w:pPr>
              <w:pStyle w:val="6"/>
              <w:spacing w:before="41" w:line="219" w:lineRule="auto"/>
              <w:ind w:left="52"/>
              <w:rPr>
                <w:sz w:val="21"/>
                <w:szCs w:val="21"/>
              </w:rPr>
            </w:pPr>
            <w:r>
              <w:rPr>
                <w:sz w:val="21"/>
                <w:szCs w:val="21"/>
              </w:rPr>
              <w:t>围挡。运输车辆在通过</w:t>
            </w:r>
          </w:p>
          <w:p w14:paraId="764CF810">
            <w:pPr>
              <w:pStyle w:val="6"/>
              <w:spacing w:before="9" w:line="219" w:lineRule="auto"/>
              <w:ind w:left="152"/>
              <w:rPr>
                <w:sz w:val="21"/>
                <w:szCs w:val="21"/>
              </w:rPr>
            </w:pPr>
            <w:r>
              <w:rPr>
                <w:spacing w:val="-1"/>
                <w:sz w:val="21"/>
                <w:szCs w:val="21"/>
              </w:rPr>
              <w:t>村庄路段时要减慢车</w:t>
            </w:r>
          </w:p>
          <w:p w14:paraId="56161AB5">
            <w:pPr>
              <w:pStyle w:val="6"/>
              <w:spacing w:before="22" w:line="196" w:lineRule="auto"/>
              <w:ind w:left="472"/>
              <w:rPr>
                <w:sz w:val="21"/>
                <w:szCs w:val="21"/>
              </w:rPr>
            </w:pPr>
            <w:r>
              <w:rPr>
                <w:spacing w:val="-2"/>
                <w:sz w:val="21"/>
                <w:szCs w:val="21"/>
              </w:rPr>
              <w:t>速，禁止鸣笛</w:t>
            </w:r>
          </w:p>
        </w:tc>
        <w:tc>
          <w:tcPr>
            <w:tcW w:w="1509" w:type="dxa"/>
            <w:vAlign w:val="top"/>
          </w:tcPr>
          <w:p w14:paraId="69126F9E">
            <w:pPr>
              <w:spacing w:line="252" w:lineRule="auto"/>
              <w:rPr>
                <w:rFonts w:ascii="Arial"/>
                <w:sz w:val="21"/>
              </w:rPr>
            </w:pPr>
          </w:p>
          <w:p w14:paraId="25CB9BF7">
            <w:pPr>
              <w:spacing w:line="252" w:lineRule="auto"/>
              <w:rPr>
                <w:rFonts w:ascii="Arial"/>
                <w:sz w:val="21"/>
              </w:rPr>
            </w:pPr>
          </w:p>
          <w:p w14:paraId="03D025D9">
            <w:pPr>
              <w:spacing w:line="252" w:lineRule="auto"/>
              <w:rPr>
                <w:rFonts w:ascii="Arial"/>
                <w:sz w:val="21"/>
              </w:rPr>
            </w:pPr>
          </w:p>
          <w:p w14:paraId="5A0BFD57">
            <w:pPr>
              <w:spacing w:line="252" w:lineRule="auto"/>
              <w:rPr>
                <w:rFonts w:ascii="Arial"/>
                <w:sz w:val="21"/>
              </w:rPr>
            </w:pPr>
          </w:p>
          <w:p w14:paraId="49B4135A">
            <w:pPr>
              <w:spacing w:line="252" w:lineRule="auto"/>
              <w:rPr>
                <w:rFonts w:ascii="Arial"/>
                <w:sz w:val="21"/>
              </w:rPr>
            </w:pPr>
          </w:p>
          <w:p w14:paraId="7562064F">
            <w:pPr>
              <w:spacing w:line="252" w:lineRule="auto"/>
              <w:rPr>
                <w:rFonts w:ascii="Arial"/>
                <w:sz w:val="21"/>
              </w:rPr>
            </w:pPr>
          </w:p>
          <w:p w14:paraId="04BB93A2">
            <w:pPr>
              <w:spacing w:line="253" w:lineRule="auto"/>
              <w:rPr>
                <w:rFonts w:ascii="Arial"/>
                <w:sz w:val="21"/>
              </w:rPr>
            </w:pPr>
          </w:p>
          <w:p w14:paraId="1D369EB6">
            <w:pPr>
              <w:spacing w:line="253" w:lineRule="auto"/>
              <w:rPr>
                <w:rFonts w:ascii="Arial"/>
                <w:sz w:val="21"/>
              </w:rPr>
            </w:pPr>
          </w:p>
          <w:p w14:paraId="28220182">
            <w:pPr>
              <w:spacing w:line="253" w:lineRule="auto"/>
              <w:rPr>
                <w:rFonts w:ascii="Arial"/>
                <w:sz w:val="21"/>
              </w:rPr>
            </w:pPr>
          </w:p>
          <w:p w14:paraId="34978A2B">
            <w:pPr>
              <w:spacing w:line="253" w:lineRule="auto"/>
              <w:rPr>
                <w:rFonts w:ascii="Arial"/>
                <w:sz w:val="21"/>
              </w:rPr>
            </w:pPr>
          </w:p>
          <w:p w14:paraId="7AFA506C">
            <w:pPr>
              <w:spacing w:line="253" w:lineRule="auto"/>
              <w:rPr>
                <w:rFonts w:ascii="Arial"/>
                <w:sz w:val="21"/>
              </w:rPr>
            </w:pPr>
          </w:p>
          <w:p w14:paraId="0A0332D8">
            <w:pPr>
              <w:spacing w:line="253" w:lineRule="auto"/>
              <w:rPr>
                <w:rFonts w:ascii="Arial"/>
                <w:sz w:val="21"/>
              </w:rPr>
            </w:pPr>
          </w:p>
          <w:p w14:paraId="12A14845">
            <w:pPr>
              <w:spacing w:line="253" w:lineRule="auto"/>
              <w:rPr>
                <w:rFonts w:ascii="Arial"/>
                <w:sz w:val="21"/>
              </w:rPr>
            </w:pPr>
          </w:p>
          <w:p w14:paraId="2AB35C3D">
            <w:pPr>
              <w:spacing w:line="253" w:lineRule="auto"/>
              <w:rPr>
                <w:rFonts w:ascii="Arial"/>
                <w:sz w:val="21"/>
              </w:rPr>
            </w:pPr>
          </w:p>
          <w:p w14:paraId="28578DBD">
            <w:pPr>
              <w:spacing w:line="253" w:lineRule="auto"/>
              <w:rPr>
                <w:rFonts w:ascii="Arial"/>
                <w:sz w:val="21"/>
              </w:rPr>
            </w:pPr>
          </w:p>
          <w:p w14:paraId="41379B8F">
            <w:pPr>
              <w:spacing w:line="253" w:lineRule="auto"/>
              <w:rPr>
                <w:rFonts w:ascii="Arial"/>
                <w:sz w:val="21"/>
              </w:rPr>
            </w:pPr>
          </w:p>
          <w:p w14:paraId="7D6A2EEB">
            <w:pPr>
              <w:spacing w:line="253" w:lineRule="auto"/>
              <w:rPr>
                <w:rFonts w:ascii="Arial"/>
                <w:sz w:val="21"/>
              </w:rPr>
            </w:pPr>
          </w:p>
          <w:p w14:paraId="559B1312">
            <w:pPr>
              <w:pStyle w:val="6"/>
              <w:spacing w:before="68" w:line="219" w:lineRule="auto"/>
              <w:ind w:left="14"/>
              <w:rPr>
                <w:sz w:val="21"/>
                <w:szCs w:val="21"/>
              </w:rPr>
            </w:pPr>
            <w:r>
              <w:rPr>
                <w:spacing w:val="-2"/>
                <w:sz w:val="21"/>
                <w:szCs w:val="21"/>
              </w:rPr>
              <w:t>满足《建筑施工</w:t>
            </w:r>
          </w:p>
          <w:p w14:paraId="40BEEBA9">
            <w:pPr>
              <w:pStyle w:val="6"/>
              <w:spacing w:before="41" w:line="220" w:lineRule="auto"/>
              <w:ind w:left="114"/>
              <w:rPr>
                <w:sz w:val="21"/>
                <w:szCs w:val="21"/>
              </w:rPr>
            </w:pPr>
            <w:r>
              <w:rPr>
                <w:spacing w:val="2"/>
                <w:sz w:val="21"/>
                <w:szCs w:val="21"/>
              </w:rPr>
              <w:t>场界环境噪声</w:t>
            </w:r>
          </w:p>
          <w:p w14:paraId="6E0766A0">
            <w:pPr>
              <w:pStyle w:val="6"/>
              <w:spacing w:before="19" w:line="220" w:lineRule="auto"/>
              <w:ind w:left="274"/>
              <w:rPr>
                <w:sz w:val="21"/>
                <w:szCs w:val="21"/>
              </w:rPr>
            </w:pPr>
            <w:r>
              <w:rPr>
                <w:spacing w:val="-3"/>
                <w:sz w:val="21"/>
                <w:szCs w:val="21"/>
              </w:rPr>
              <w:t>排放标准》</w:t>
            </w:r>
          </w:p>
          <w:p w14:paraId="65434453">
            <w:pPr>
              <w:pStyle w:val="6"/>
              <w:spacing w:before="42" w:line="222" w:lineRule="auto"/>
              <w:ind w:left="164"/>
              <w:rPr>
                <w:sz w:val="21"/>
                <w:szCs w:val="21"/>
              </w:rPr>
            </w:pPr>
            <w:r>
              <w:rPr>
                <w:spacing w:val="-5"/>
                <w:sz w:val="21"/>
                <w:szCs w:val="21"/>
              </w:rPr>
              <w:t>(GB12523-20</w:t>
            </w:r>
          </w:p>
          <w:p w14:paraId="10CB6AB3">
            <w:pPr>
              <w:pStyle w:val="6"/>
              <w:spacing w:before="17" w:line="222" w:lineRule="auto"/>
              <w:ind w:left="584"/>
              <w:rPr>
                <w:sz w:val="21"/>
                <w:szCs w:val="21"/>
              </w:rPr>
            </w:pPr>
            <w:r>
              <w:rPr>
                <w:spacing w:val="-6"/>
                <w:sz w:val="21"/>
                <w:szCs w:val="21"/>
              </w:rPr>
              <w:t>11)</w:t>
            </w:r>
          </w:p>
        </w:tc>
        <w:tc>
          <w:tcPr>
            <w:tcW w:w="2907" w:type="dxa"/>
            <w:vAlign w:val="top"/>
          </w:tcPr>
          <w:p w14:paraId="3936E2BE">
            <w:pPr>
              <w:spacing w:line="255" w:lineRule="auto"/>
              <w:rPr>
                <w:rFonts w:ascii="Arial"/>
                <w:sz w:val="21"/>
              </w:rPr>
            </w:pPr>
          </w:p>
          <w:p w14:paraId="7CCBF7BB">
            <w:pPr>
              <w:spacing w:line="255" w:lineRule="auto"/>
              <w:rPr>
                <w:rFonts w:ascii="Arial"/>
                <w:sz w:val="21"/>
              </w:rPr>
            </w:pPr>
          </w:p>
          <w:p w14:paraId="42219A41">
            <w:pPr>
              <w:spacing w:line="255" w:lineRule="auto"/>
              <w:rPr>
                <w:rFonts w:ascii="Arial"/>
                <w:sz w:val="21"/>
              </w:rPr>
            </w:pPr>
          </w:p>
          <w:p w14:paraId="7C2758DE">
            <w:pPr>
              <w:spacing w:line="256" w:lineRule="auto"/>
              <w:rPr>
                <w:rFonts w:ascii="Arial"/>
                <w:sz w:val="21"/>
              </w:rPr>
            </w:pPr>
          </w:p>
          <w:p w14:paraId="54FFFA8C">
            <w:pPr>
              <w:spacing w:line="256" w:lineRule="auto"/>
              <w:rPr>
                <w:rFonts w:ascii="Arial"/>
                <w:sz w:val="21"/>
              </w:rPr>
            </w:pPr>
          </w:p>
          <w:p w14:paraId="095C9961">
            <w:pPr>
              <w:spacing w:line="256" w:lineRule="auto"/>
              <w:rPr>
                <w:rFonts w:ascii="Arial"/>
                <w:sz w:val="21"/>
              </w:rPr>
            </w:pPr>
          </w:p>
          <w:p w14:paraId="5B3DD225">
            <w:pPr>
              <w:spacing w:line="256" w:lineRule="auto"/>
              <w:rPr>
                <w:rFonts w:ascii="Arial"/>
                <w:sz w:val="21"/>
              </w:rPr>
            </w:pPr>
          </w:p>
          <w:p w14:paraId="5A4F7CDB">
            <w:pPr>
              <w:spacing w:line="256" w:lineRule="auto"/>
              <w:rPr>
                <w:rFonts w:ascii="Arial"/>
                <w:sz w:val="21"/>
              </w:rPr>
            </w:pPr>
          </w:p>
          <w:p w14:paraId="33B9D424">
            <w:pPr>
              <w:spacing w:line="256" w:lineRule="auto"/>
              <w:rPr>
                <w:rFonts w:ascii="Arial"/>
                <w:sz w:val="21"/>
              </w:rPr>
            </w:pPr>
          </w:p>
          <w:p w14:paraId="4FBE932D">
            <w:pPr>
              <w:spacing w:line="256" w:lineRule="auto"/>
              <w:rPr>
                <w:rFonts w:ascii="Arial"/>
                <w:sz w:val="21"/>
              </w:rPr>
            </w:pPr>
          </w:p>
          <w:p w14:paraId="6C8E2EF8">
            <w:pPr>
              <w:pStyle w:val="6"/>
              <w:spacing w:before="68"/>
              <w:ind w:left="15" w:firstLine="456"/>
              <w:rPr>
                <w:sz w:val="21"/>
                <w:szCs w:val="21"/>
              </w:rPr>
            </w:pPr>
            <w:r>
              <w:rPr>
                <w:spacing w:val="-3"/>
                <w:sz w:val="21"/>
                <w:szCs w:val="21"/>
              </w:rPr>
              <w:t>低噪设备；升压站厂界设</w:t>
            </w:r>
            <w:r>
              <w:rPr>
                <w:spacing w:val="3"/>
                <w:sz w:val="21"/>
                <w:szCs w:val="21"/>
              </w:rPr>
              <w:t xml:space="preserve">  </w:t>
            </w:r>
            <w:r>
              <w:rPr>
                <w:spacing w:val="10"/>
                <w:sz w:val="21"/>
                <w:szCs w:val="21"/>
              </w:rPr>
              <w:t>2.3m围墙；水泵夜间不运行；</w:t>
            </w:r>
            <w:r>
              <w:rPr>
                <w:sz w:val="21"/>
                <w:szCs w:val="21"/>
              </w:rPr>
              <w:t xml:space="preserve"> </w:t>
            </w:r>
            <w:r>
              <w:rPr>
                <w:spacing w:val="4"/>
                <w:sz w:val="21"/>
                <w:szCs w:val="21"/>
              </w:rPr>
              <w:t>加强升压站内绿化；定期维护</w:t>
            </w:r>
            <w:r>
              <w:rPr>
                <w:spacing w:val="5"/>
                <w:sz w:val="21"/>
                <w:szCs w:val="21"/>
              </w:rPr>
              <w:t xml:space="preserve">  </w:t>
            </w:r>
            <w:r>
              <w:rPr>
                <w:spacing w:val="-4"/>
                <w:sz w:val="21"/>
                <w:szCs w:val="21"/>
              </w:rPr>
              <w:t>设备。1#-7#、9#-10#、12#-24#</w:t>
            </w:r>
            <w:r>
              <w:rPr>
                <w:spacing w:val="16"/>
                <w:sz w:val="21"/>
                <w:szCs w:val="21"/>
              </w:rPr>
              <w:t xml:space="preserve"> </w:t>
            </w:r>
            <w:r>
              <w:rPr>
                <w:spacing w:val="-1"/>
                <w:sz w:val="21"/>
                <w:szCs w:val="21"/>
              </w:rPr>
              <w:t>方阵逆变器设置距离厂界6m</w:t>
            </w:r>
          </w:p>
          <w:p w14:paraId="02AA95F0">
            <w:pPr>
              <w:pStyle w:val="6"/>
              <w:spacing w:before="12" w:line="229" w:lineRule="auto"/>
              <w:ind w:left="25" w:right="24"/>
              <w:rPr>
                <w:sz w:val="21"/>
                <w:szCs w:val="21"/>
              </w:rPr>
            </w:pPr>
            <w:r>
              <w:rPr>
                <w:sz w:val="21"/>
                <w:szCs w:val="21"/>
              </w:rPr>
              <w:t>以上。8#和11#方阵逆变器设置</w:t>
            </w:r>
            <w:r>
              <w:rPr>
                <w:spacing w:val="11"/>
                <w:sz w:val="21"/>
                <w:szCs w:val="21"/>
              </w:rPr>
              <w:t xml:space="preserve"> </w:t>
            </w:r>
            <w:r>
              <w:rPr>
                <w:spacing w:val="6"/>
                <w:sz w:val="21"/>
                <w:szCs w:val="21"/>
              </w:rPr>
              <w:t>距离厂界2m以上。1#-7#、</w:t>
            </w:r>
          </w:p>
          <w:p w14:paraId="45BE9A7E">
            <w:pPr>
              <w:pStyle w:val="6"/>
              <w:spacing w:line="219" w:lineRule="auto"/>
              <w:ind w:left="25"/>
              <w:rPr>
                <w:sz w:val="21"/>
                <w:szCs w:val="21"/>
              </w:rPr>
            </w:pPr>
            <w:r>
              <w:rPr>
                <w:sz w:val="21"/>
                <w:szCs w:val="21"/>
              </w:rPr>
              <w:t>9#-10#、12#-24#方阵箱式变压</w:t>
            </w:r>
          </w:p>
          <w:p w14:paraId="25911296">
            <w:pPr>
              <w:pStyle w:val="6"/>
              <w:spacing w:before="39" w:line="235" w:lineRule="auto"/>
              <w:ind w:left="54" w:right="145" w:firstLine="80"/>
              <w:rPr>
                <w:sz w:val="21"/>
                <w:szCs w:val="21"/>
              </w:rPr>
            </w:pPr>
            <w:r>
              <w:rPr>
                <w:spacing w:val="-1"/>
                <w:sz w:val="21"/>
                <w:szCs w:val="21"/>
              </w:rPr>
              <w:t>器设置距离厂界10m以上。8#</w:t>
            </w:r>
            <w:r>
              <w:rPr>
                <w:spacing w:val="5"/>
                <w:sz w:val="21"/>
                <w:szCs w:val="21"/>
              </w:rPr>
              <w:t xml:space="preserve"> 和11#方阵箱式变压器设置距</w:t>
            </w:r>
            <w:r>
              <w:rPr>
                <w:sz w:val="21"/>
                <w:szCs w:val="21"/>
              </w:rPr>
              <w:t xml:space="preserve"> </w:t>
            </w:r>
            <w:r>
              <w:rPr>
                <w:spacing w:val="-1"/>
                <w:sz w:val="21"/>
                <w:szCs w:val="21"/>
              </w:rPr>
              <w:t>离厂4m以上。要求建设单位</w:t>
            </w:r>
          </w:p>
          <w:p w14:paraId="3E1EB5AD">
            <w:pPr>
              <w:pStyle w:val="6"/>
              <w:spacing w:before="7" w:line="219" w:lineRule="auto"/>
              <w:jc w:val="right"/>
              <w:rPr>
                <w:sz w:val="21"/>
                <w:szCs w:val="21"/>
              </w:rPr>
            </w:pPr>
            <w:r>
              <w:rPr>
                <w:spacing w:val="5"/>
                <w:sz w:val="21"/>
                <w:szCs w:val="21"/>
              </w:rPr>
              <w:t>16#光伏阵列、20#光伏阵列、</w:t>
            </w:r>
          </w:p>
          <w:p w14:paraId="1812E230">
            <w:pPr>
              <w:pStyle w:val="6"/>
              <w:spacing w:before="20" w:line="243" w:lineRule="auto"/>
              <w:ind w:left="25" w:firstLine="59"/>
              <w:rPr>
                <w:sz w:val="21"/>
                <w:szCs w:val="21"/>
              </w:rPr>
            </w:pPr>
            <w:r>
              <w:rPr>
                <w:spacing w:val="5"/>
                <w:sz w:val="21"/>
                <w:szCs w:val="21"/>
              </w:rPr>
              <w:t>10#光伏阵列、19#光伏阵列、</w:t>
            </w:r>
            <w:r>
              <w:rPr>
                <w:spacing w:val="1"/>
                <w:sz w:val="21"/>
                <w:szCs w:val="21"/>
              </w:rPr>
              <w:t xml:space="preserve"> </w:t>
            </w:r>
            <w:r>
              <w:rPr>
                <w:spacing w:val="-1"/>
                <w:sz w:val="21"/>
                <w:szCs w:val="21"/>
              </w:rPr>
              <w:t>9#光伏阵列、8#光伏阵列、11#</w:t>
            </w:r>
            <w:r>
              <w:rPr>
                <w:spacing w:val="6"/>
                <w:sz w:val="21"/>
                <w:szCs w:val="21"/>
              </w:rPr>
              <w:t xml:space="preserve"> </w:t>
            </w:r>
            <w:r>
              <w:rPr>
                <w:spacing w:val="-1"/>
                <w:sz w:val="21"/>
                <w:szCs w:val="21"/>
              </w:rPr>
              <w:t>光伏阵列、12#光伏阵列，逆变</w:t>
            </w:r>
            <w:r>
              <w:rPr>
                <w:spacing w:val="5"/>
                <w:sz w:val="21"/>
                <w:szCs w:val="21"/>
              </w:rPr>
              <w:t xml:space="preserve"> </w:t>
            </w:r>
            <w:r>
              <w:rPr>
                <w:spacing w:val="-1"/>
                <w:sz w:val="21"/>
                <w:szCs w:val="21"/>
              </w:rPr>
              <w:t>器的布置需要远离保护目标</w:t>
            </w:r>
          </w:p>
          <w:p w14:paraId="50AB734B">
            <w:pPr>
              <w:pStyle w:val="6"/>
              <w:spacing w:line="222" w:lineRule="auto"/>
              <w:ind w:left="15"/>
              <w:rPr>
                <w:sz w:val="21"/>
                <w:szCs w:val="21"/>
              </w:rPr>
            </w:pPr>
            <w:r>
              <w:rPr>
                <w:spacing w:val="-1"/>
                <w:sz w:val="21"/>
                <w:szCs w:val="21"/>
              </w:rPr>
              <w:t>15m以上。</w:t>
            </w:r>
          </w:p>
        </w:tc>
        <w:tc>
          <w:tcPr>
            <w:tcW w:w="1643" w:type="dxa"/>
            <w:vAlign w:val="top"/>
          </w:tcPr>
          <w:p w14:paraId="0E52CC20">
            <w:pPr>
              <w:spacing w:line="245" w:lineRule="auto"/>
              <w:rPr>
                <w:rFonts w:ascii="Arial"/>
                <w:sz w:val="21"/>
              </w:rPr>
            </w:pPr>
          </w:p>
          <w:p w14:paraId="782E7643">
            <w:pPr>
              <w:spacing w:line="245" w:lineRule="auto"/>
              <w:rPr>
                <w:rFonts w:ascii="Arial"/>
                <w:sz w:val="21"/>
              </w:rPr>
            </w:pPr>
          </w:p>
          <w:p w14:paraId="18754477">
            <w:pPr>
              <w:spacing w:line="245" w:lineRule="auto"/>
              <w:rPr>
                <w:rFonts w:ascii="Arial"/>
                <w:sz w:val="21"/>
              </w:rPr>
            </w:pPr>
          </w:p>
          <w:p w14:paraId="67F2643D">
            <w:pPr>
              <w:spacing w:line="245" w:lineRule="auto"/>
              <w:rPr>
                <w:rFonts w:ascii="Arial"/>
                <w:sz w:val="21"/>
              </w:rPr>
            </w:pPr>
          </w:p>
          <w:p w14:paraId="74FBCD7C">
            <w:pPr>
              <w:spacing w:line="245" w:lineRule="auto"/>
              <w:rPr>
                <w:rFonts w:ascii="Arial"/>
                <w:sz w:val="21"/>
              </w:rPr>
            </w:pPr>
          </w:p>
          <w:p w14:paraId="2380BCF7">
            <w:pPr>
              <w:spacing w:line="245" w:lineRule="auto"/>
              <w:rPr>
                <w:rFonts w:ascii="Arial"/>
                <w:sz w:val="21"/>
              </w:rPr>
            </w:pPr>
          </w:p>
          <w:p w14:paraId="469FB664">
            <w:pPr>
              <w:spacing w:line="245" w:lineRule="auto"/>
              <w:rPr>
                <w:rFonts w:ascii="Arial"/>
                <w:sz w:val="21"/>
              </w:rPr>
            </w:pPr>
          </w:p>
          <w:p w14:paraId="6E79AC24">
            <w:pPr>
              <w:spacing w:line="245" w:lineRule="auto"/>
              <w:rPr>
                <w:rFonts w:ascii="Arial"/>
                <w:sz w:val="21"/>
              </w:rPr>
            </w:pPr>
          </w:p>
          <w:p w14:paraId="7068A2E4">
            <w:pPr>
              <w:spacing w:line="245" w:lineRule="auto"/>
              <w:rPr>
                <w:rFonts w:ascii="Arial"/>
                <w:sz w:val="21"/>
              </w:rPr>
            </w:pPr>
          </w:p>
          <w:p w14:paraId="2457AA01">
            <w:pPr>
              <w:spacing w:line="245" w:lineRule="auto"/>
              <w:rPr>
                <w:rFonts w:ascii="Arial"/>
                <w:sz w:val="21"/>
              </w:rPr>
            </w:pPr>
          </w:p>
          <w:p w14:paraId="355F5D53">
            <w:pPr>
              <w:spacing w:line="245" w:lineRule="auto"/>
              <w:rPr>
                <w:rFonts w:ascii="Arial"/>
                <w:sz w:val="21"/>
              </w:rPr>
            </w:pPr>
          </w:p>
          <w:p w14:paraId="3117CB3C">
            <w:pPr>
              <w:spacing w:line="245" w:lineRule="auto"/>
              <w:rPr>
                <w:rFonts w:ascii="Arial"/>
                <w:sz w:val="21"/>
              </w:rPr>
            </w:pPr>
          </w:p>
          <w:p w14:paraId="55253F72">
            <w:pPr>
              <w:spacing w:line="245" w:lineRule="auto"/>
              <w:rPr>
                <w:rFonts w:ascii="Arial"/>
                <w:sz w:val="21"/>
              </w:rPr>
            </w:pPr>
          </w:p>
          <w:p w14:paraId="3859D0F3">
            <w:pPr>
              <w:spacing w:line="245" w:lineRule="auto"/>
              <w:rPr>
                <w:rFonts w:ascii="Arial"/>
                <w:sz w:val="21"/>
              </w:rPr>
            </w:pPr>
          </w:p>
          <w:p w14:paraId="312903EB">
            <w:pPr>
              <w:spacing w:line="245" w:lineRule="auto"/>
              <w:rPr>
                <w:rFonts w:ascii="Arial"/>
                <w:sz w:val="21"/>
              </w:rPr>
            </w:pPr>
          </w:p>
          <w:p w14:paraId="73F1F5E3">
            <w:pPr>
              <w:spacing w:line="245" w:lineRule="auto"/>
              <w:rPr>
                <w:rFonts w:ascii="Arial"/>
                <w:sz w:val="21"/>
              </w:rPr>
            </w:pPr>
          </w:p>
          <w:p w14:paraId="58110EB9">
            <w:pPr>
              <w:spacing w:line="245" w:lineRule="auto"/>
              <w:rPr>
                <w:rFonts w:ascii="Arial"/>
                <w:sz w:val="21"/>
              </w:rPr>
            </w:pPr>
          </w:p>
          <w:p w14:paraId="2A305DC9">
            <w:pPr>
              <w:pStyle w:val="6"/>
              <w:spacing w:before="69" w:line="219" w:lineRule="auto"/>
              <w:ind w:left="78"/>
              <w:rPr>
                <w:sz w:val="21"/>
                <w:szCs w:val="21"/>
              </w:rPr>
            </w:pPr>
            <w:r>
              <w:rPr>
                <w:spacing w:val="-2"/>
                <w:sz w:val="21"/>
                <w:szCs w:val="21"/>
              </w:rPr>
              <w:t>满足《工业企业</w:t>
            </w:r>
          </w:p>
          <w:p w14:paraId="1FC0ADCC">
            <w:pPr>
              <w:pStyle w:val="6"/>
              <w:spacing w:before="31" w:line="220" w:lineRule="auto"/>
              <w:ind w:left="78"/>
              <w:rPr>
                <w:sz w:val="21"/>
                <w:szCs w:val="21"/>
              </w:rPr>
            </w:pPr>
            <w:r>
              <w:rPr>
                <w:spacing w:val="-2"/>
                <w:sz w:val="21"/>
                <w:szCs w:val="21"/>
              </w:rPr>
              <w:t>厂界环境噪声排</w:t>
            </w:r>
          </w:p>
          <w:p w14:paraId="66F97087">
            <w:pPr>
              <w:pStyle w:val="6"/>
              <w:spacing w:before="9" w:line="220" w:lineRule="auto"/>
              <w:ind w:left="448"/>
              <w:rPr>
                <w:sz w:val="21"/>
                <w:szCs w:val="21"/>
              </w:rPr>
            </w:pPr>
            <w:r>
              <w:rPr>
                <w:spacing w:val="-4"/>
                <w:sz w:val="21"/>
                <w:szCs w:val="21"/>
              </w:rPr>
              <w:t>放标准》</w:t>
            </w:r>
          </w:p>
          <w:p w14:paraId="453C1A47">
            <w:pPr>
              <w:pStyle w:val="6"/>
              <w:spacing w:before="52" w:line="222" w:lineRule="auto"/>
              <w:ind w:left="397"/>
              <w:rPr>
                <w:sz w:val="21"/>
                <w:szCs w:val="21"/>
              </w:rPr>
            </w:pPr>
            <w:r>
              <w:rPr>
                <w:spacing w:val="-5"/>
                <w:sz w:val="21"/>
                <w:szCs w:val="21"/>
              </w:rPr>
              <w:t>(GB12348</w:t>
            </w:r>
          </w:p>
          <w:p w14:paraId="478BA227">
            <w:pPr>
              <w:pStyle w:val="6"/>
              <w:spacing w:before="4" w:line="219" w:lineRule="auto"/>
              <w:ind w:left="127"/>
              <w:rPr>
                <w:sz w:val="21"/>
                <w:szCs w:val="21"/>
              </w:rPr>
            </w:pPr>
            <w:r>
              <w:rPr>
                <w:spacing w:val="-1"/>
                <w:sz w:val="21"/>
                <w:szCs w:val="21"/>
              </w:rPr>
              <w:t>-2008)1类和4a</w:t>
            </w:r>
          </w:p>
          <w:p w14:paraId="380F6B5F">
            <w:pPr>
              <w:pStyle w:val="6"/>
              <w:spacing w:before="11" w:line="220" w:lineRule="auto"/>
              <w:ind w:left="548"/>
              <w:rPr>
                <w:sz w:val="21"/>
                <w:szCs w:val="21"/>
              </w:rPr>
            </w:pPr>
            <w:r>
              <w:rPr>
                <w:spacing w:val="1"/>
                <w:sz w:val="21"/>
                <w:szCs w:val="21"/>
              </w:rPr>
              <w:t>标准。</w:t>
            </w:r>
          </w:p>
        </w:tc>
      </w:tr>
      <w:tr w14:paraId="7F38C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593" w:type="dxa"/>
            <w:vAlign w:val="top"/>
          </w:tcPr>
          <w:p w14:paraId="27D38A5C">
            <w:pPr>
              <w:pStyle w:val="6"/>
              <w:spacing w:before="238" w:line="220" w:lineRule="auto"/>
              <w:ind w:left="575"/>
              <w:rPr>
                <w:sz w:val="21"/>
                <w:szCs w:val="21"/>
              </w:rPr>
            </w:pPr>
            <w:r>
              <w:rPr>
                <w:spacing w:val="7"/>
                <w:sz w:val="21"/>
                <w:szCs w:val="21"/>
              </w:rPr>
              <w:t>振动</w:t>
            </w:r>
          </w:p>
        </w:tc>
        <w:tc>
          <w:tcPr>
            <w:tcW w:w="2218" w:type="dxa"/>
            <w:vAlign w:val="top"/>
          </w:tcPr>
          <w:p w14:paraId="3FC552C1">
            <w:pPr>
              <w:pStyle w:val="6"/>
              <w:spacing w:before="243" w:line="224" w:lineRule="auto"/>
              <w:ind w:left="1042"/>
              <w:rPr>
                <w:sz w:val="21"/>
                <w:szCs w:val="21"/>
              </w:rPr>
            </w:pPr>
            <w:r>
              <w:rPr>
                <w:sz w:val="21"/>
                <w:szCs w:val="21"/>
              </w:rPr>
              <w:t>/</w:t>
            </w:r>
          </w:p>
        </w:tc>
        <w:tc>
          <w:tcPr>
            <w:tcW w:w="1509" w:type="dxa"/>
            <w:vAlign w:val="top"/>
          </w:tcPr>
          <w:p w14:paraId="12FD9095">
            <w:pPr>
              <w:pStyle w:val="6"/>
              <w:spacing w:before="243" w:line="224" w:lineRule="auto"/>
              <w:ind w:left="694"/>
              <w:rPr>
                <w:sz w:val="21"/>
                <w:szCs w:val="21"/>
              </w:rPr>
            </w:pPr>
            <w:r>
              <w:rPr>
                <w:sz w:val="21"/>
                <w:szCs w:val="21"/>
              </w:rPr>
              <w:t>/</w:t>
            </w:r>
          </w:p>
        </w:tc>
        <w:tc>
          <w:tcPr>
            <w:tcW w:w="2907" w:type="dxa"/>
            <w:vAlign w:val="top"/>
          </w:tcPr>
          <w:p w14:paraId="7F5088A5">
            <w:pPr>
              <w:pStyle w:val="6"/>
              <w:spacing w:before="243" w:line="224" w:lineRule="auto"/>
              <w:ind w:left="1394"/>
              <w:rPr>
                <w:sz w:val="21"/>
                <w:szCs w:val="21"/>
              </w:rPr>
            </w:pPr>
            <w:r>
              <w:rPr>
                <w:sz w:val="21"/>
                <w:szCs w:val="21"/>
              </w:rPr>
              <w:t>/</w:t>
            </w:r>
          </w:p>
        </w:tc>
        <w:tc>
          <w:tcPr>
            <w:tcW w:w="1643" w:type="dxa"/>
            <w:vAlign w:val="top"/>
          </w:tcPr>
          <w:p w14:paraId="26D0F07D">
            <w:pPr>
              <w:pStyle w:val="6"/>
              <w:spacing w:before="243" w:line="224" w:lineRule="auto"/>
              <w:ind w:left="758"/>
              <w:rPr>
                <w:sz w:val="21"/>
                <w:szCs w:val="21"/>
              </w:rPr>
            </w:pPr>
            <w:r>
              <w:rPr>
                <w:sz w:val="21"/>
                <w:szCs w:val="21"/>
              </w:rPr>
              <w:t>/</w:t>
            </w:r>
          </w:p>
        </w:tc>
      </w:tr>
      <w:tr w14:paraId="021B8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3" w:hRule="atLeast"/>
        </w:trPr>
        <w:tc>
          <w:tcPr>
            <w:tcW w:w="1593" w:type="dxa"/>
            <w:vAlign w:val="top"/>
          </w:tcPr>
          <w:p w14:paraId="1845CFFB">
            <w:pPr>
              <w:spacing w:line="308" w:lineRule="auto"/>
              <w:rPr>
                <w:rFonts w:ascii="Arial"/>
                <w:sz w:val="21"/>
              </w:rPr>
            </w:pPr>
          </w:p>
          <w:p w14:paraId="3E34C486">
            <w:pPr>
              <w:spacing w:line="308" w:lineRule="auto"/>
              <w:rPr>
                <w:rFonts w:ascii="Arial"/>
                <w:sz w:val="21"/>
              </w:rPr>
            </w:pPr>
          </w:p>
          <w:p w14:paraId="604F3DD1">
            <w:pPr>
              <w:spacing w:line="308" w:lineRule="auto"/>
              <w:rPr>
                <w:rFonts w:ascii="Arial"/>
                <w:sz w:val="21"/>
              </w:rPr>
            </w:pPr>
          </w:p>
          <w:p w14:paraId="04B6DBC3">
            <w:pPr>
              <w:pStyle w:val="6"/>
              <w:spacing w:before="68" w:line="220" w:lineRule="auto"/>
              <w:ind w:left="365"/>
              <w:rPr>
                <w:sz w:val="21"/>
                <w:szCs w:val="21"/>
              </w:rPr>
            </w:pPr>
            <w:r>
              <w:rPr>
                <w:spacing w:val="-3"/>
                <w:sz w:val="21"/>
                <w:szCs w:val="21"/>
              </w:rPr>
              <w:t>大气环境</w:t>
            </w:r>
          </w:p>
        </w:tc>
        <w:tc>
          <w:tcPr>
            <w:tcW w:w="2218" w:type="dxa"/>
            <w:vAlign w:val="top"/>
          </w:tcPr>
          <w:p w14:paraId="4C0C8DC7">
            <w:pPr>
              <w:pStyle w:val="6"/>
              <w:spacing w:before="43" w:line="234" w:lineRule="auto"/>
              <w:ind w:left="52" w:right="10"/>
              <w:rPr>
                <w:sz w:val="21"/>
                <w:szCs w:val="21"/>
              </w:rPr>
            </w:pPr>
            <w:r>
              <w:rPr>
                <w:spacing w:val="-2"/>
                <w:sz w:val="21"/>
                <w:szCs w:val="21"/>
              </w:rPr>
              <w:t>洒水降尘、粉状建筑材</w:t>
            </w:r>
            <w:r>
              <w:rPr>
                <w:spacing w:val="8"/>
                <w:sz w:val="21"/>
                <w:szCs w:val="21"/>
              </w:rPr>
              <w:t xml:space="preserve"> </w:t>
            </w:r>
            <w:r>
              <w:rPr>
                <w:spacing w:val="-1"/>
                <w:sz w:val="21"/>
                <w:szCs w:val="21"/>
              </w:rPr>
              <w:t>料及临时堆土采取覆盖</w:t>
            </w:r>
            <w:r>
              <w:rPr>
                <w:sz w:val="21"/>
                <w:szCs w:val="21"/>
              </w:rPr>
              <w:t xml:space="preserve"> </w:t>
            </w:r>
            <w:r>
              <w:rPr>
                <w:spacing w:val="4"/>
                <w:sz w:val="21"/>
                <w:szCs w:val="21"/>
              </w:rPr>
              <w:t xml:space="preserve">措施，临时植物措施， </w:t>
            </w:r>
            <w:r>
              <w:rPr>
                <w:spacing w:val="-1"/>
                <w:sz w:val="21"/>
                <w:szCs w:val="21"/>
              </w:rPr>
              <w:t>表土堆场临时覆盖、洒</w:t>
            </w:r>
            <w:r>
              <w:rPr>
                <w:spacing w:val="1"/>
                <w:sz w:val="21"/>
                <w:szCs w:val="21"/>
              </w:rPr>
              <w:t xml:space="preserve"> 水降尘；升压站四周和</w:t>
            </w:r>
            <w:r>
              <w:rPr>
                <w:spacing w:val="6"/>
                <w:sz w:val="21"/>
                <w:szCs w:val="21"/>
              </w:rPr>
              <w:t xml:space="preserve"> </w:t>
            </w:r>
            <w:r>
              <w:rPr>
                <w:spacing w:val="-1"/>
                <w:sz w:val="21"/>
                <w:szCs w:val="21"/>
              </w:rPr>
              <w:t>光伏方阵靠近敏感目标</w:t>
            </w:r>
            <w:r>
              <w:rPr>
                <w:sz w:val="21"/>
                <w:szCs w:val="21"/>
              </w:rPr>
              <w:t xml:space="preserve"> </w:t>
            </w:r>
            <w:r>
              <w:rPr>
                <w:spacing w:val="10"/>
                <w:sz w:val="21"/>
                <w:szCs w:val="21"/>
              </w:rPr>
              <w:t>一侧设不低于2.5m的</w:t>
            </w:r>
            <w:r>
              <w:rPr>
                <w:spacing w:val="2"/>
                <w:sz w:val="21"/>
                <w:szCs w:val="21"/>
              </w:rPr>
              <w:t xml:space="preserve">  </w:t>
            </w:r>
            <w:r>
              <w:rPr>
                <w:spacing w:val="-1"/>
                <w:sz w:val="21"/>
                <w:szCs w:val="21"/>
              </w:rPr>
              <w:t>施工围挡，并加强施工</w:t>
            </w:r>
          </w:p>
        </w:tc>
        <w:tc>
          <w:tcPr>
            <w:tcW w:w="1509" w:type="dxa"/>
            <w:vAlign w:val="top"/>
          </w:tcPr>
          <w:p w14:paraId="27414954">
            <w:pPr>
              <w:pStyle w:val="6"/>
              <w:spacing w:before="47" w:line="219" w:lineRule="auto"/>
              <w:ind w:left="114"/>
              <w:rPr>
                <w:sz w:val="21"/>
                <w:szCs w:val="21"/>
              </w:rPr>
            </w:pPr>
            <w:r>
              <w:rPr>
                <w:spacing w:val="2"/>
                <w:sz w:val="21"/>
                <w:szCs w:val="21"/>
              </w:rPr>
              <w:t>施工期影像资</w:t>
            </w:r>
          </w:p>
          <w:p w14:paraId="4803A4FD">
            <w:pPr>
              <w:pStyle w:val="6"/>
              <w:spacing w:before="21" w:line="219" w:lineRule="auto"/>
              <w:ind w:left="14"/>
              <w:rPr>
                <w:sz w:val="21"/>
                <w:szCs w:val="21"/>
              </w:rPr>
            </w:pPr>
            <w:r>
              <w:rPr>
                <w:spacing w:val="-2"/>
                <w:sz w:val="21"/>
                <w:szCs w:val="21"/>
              </w:rPr>
              <w:t>料、环境监理报</w:t>
            </w:r>
          </w:p>
          <w:p w14:paraId="0375588D">
            <w:pPr>
              <w:pStyle w:val="6"/>
              <w:spacing w:before="28" w:line="218" w:lineRule="auto"/>
              <w:ind w:right="1"/>
              <w:jc w:val="right"/>
              <w:rPr>
                <w:sz w:val="21"/>
                <w:szCs w:val="21"/>
              </w:rPr>
            </w:pPr>
            <w:r>
              <w:rPr>
                <w:spacing w:val="1"/>
                <w:sz w:val="21"/>
                <w:szCs w:val="21"/>
              </w:rPr>
              <w:t>告，满足《大气</w:t>
            </w:r>
          </w:p>
          <w:p w14:paraId="70063C41">
            <w:pPr>
              <w:pStyle w:val="6"/>
              <w:spacing w:before="14" w:line="220" w:lineRule="auto"/>
              <w:ind w:left="114"/>
              <w:rPr>
                <w:sz w:val="21"/>
                <w:szCs w:val="21"/>
              </w:rPr>
            </w:pPr>
            <w:r>
              <w:rPr>
                <w:spacing w:val="-2"/>
                <w:sz w:val="21"/>
                <w:szCs w:val="21"/>
              </w:rPr>
              <w:t>污染物综合排</w:t>
            </w:r>
          </w:p>
          <w:p w14:paraId="13F8FEB5">
            <w:pPr>
              <w:pStyle w:val="6"/>
              <w:spacing w:before="29" w:line="220" w:lineRule="auto"/>
              <w:ind w:left="374"/>
              <w:rPr>
                <w:sz w:val="21"/>
                <w:szCs w:val="21"/>
              </w:rPr>
            </w:pPr>
            <w:r>
              <w:rPr>
                <w:spacing w:val="1"/>
                <w:sz w:val="21"/>
                <w:szCs w:val="21"/>
              </w:rPr>
              <w:t>放标准》</w:t>
            </w:r>
          </w:p>
          <w:p w14:paraId="3F756003">
            <w:pPr>
              <w:pStyle w:val="6"/>
              <w:spacing w:before="42" w:line="217" w:lineRule="auto"/>
              <w:ind w:left="164"/>
              <w:rPr>
                <w:sz w:val="21"/>
                <w:szCs w:val="21"/>
              </w:rPr>
            </w:pPr>
            <w:r>
              <w:rPr>
                <w:spacing w:val="-5"/>
                <w:sz w:val="21"/>
                <w:szCs w:val="21"/>
              </w:rPr>
              <w:t>(GB16297-19</w:t>
            </w:r>
          </w:p>
          <w:p w14:paraId="47B81F8D">
            <w:pPr>
              <w:pStyle w:val="6"/>
              <w:spacing w:before="1" w:line="219" w:lineRule="auto"/>
              <w:ind w:left="64"/>
              <w:rPr>
                <w:sz w:val="21"/>
                <w:szCs w:val="21"/>
              </w:rPr>
            </w:pPr>
            <w:r>
              <w:rPr>
                <w:spacing w:val="-1"/>
                <w:sz w:val="21"/>
                <w:szCs w:val="21"/>
              </w:rPr>
              <w:t>96)粉尘无组织</w:t>
            </w:r>
          </w:p>
          <w:p w14:paraId="76D44EA4">
            <w:pPr>
              <w:pStyle w:val="6"/>
              <w:spacing w:before="21" w:line="198" w:lineRule="auto"/>
              <w:ind w:left="274"/>
              <w:rPr>
                <w:sz w:val="21"/>
                <w:szCs w:val="21"/>
              </w:rPr>
            </w:pPr>
            <w:r>
              <w:rPr>
                <w:spacing w:val="-1"/>
                <w:sz w:val="21"/>
                <w:szCs w:val="21"/>
              </w:rPr>
              <w:t>排放标准。</w:t>
            </w:r>
          </w:p>
        </w:tc>
        <w:tc>
          <w:tcPr>
            <w:tcW w:w="2907" w:type="dxa"/>
            <w:vAlign w:val="top"/>
          </w:tcPr>
          <w:p w14:paraId="3C7465C2">
            <w:pPr>
              <w:spacing w:line="331" w:lineRule="auto"/>
              <w:rPr>
                <w:rFonts w:ascii="Arial"/>
                <w:sz w:val="21"/>
              </w:rPr>
            </w:pPr>
          </w:p>
          <w:p w14:paraId="57391ED9">
            <w:pPr>
              <w:spacing w:line="332" w:lineRule="auto"/>
              <w:rPr>
                <w:rFonts w:ascii="Arial"/>
                <w:sz w:val="21"/>
              </w:rPr>
            </w:pPr>
          </w:p>
          <w:p w14:paraId="0F5FCA0B">
            <w:pPr>
              <w:pStyle w:val="6"/>
              <w:spacing w:before="69" w:line="219" w:lineRule="auto"/>
              <w:ind w:left="84"/>
              <w:rPr>
                <w:sz w:val="21"/>
                <w:szCs w:val="21"/>
              </w:rPr>
            </w:pPr>
            <w:r>
              <w:rPr>
                <w:spacing w:val="-1"/>
                <w:sz w:val="21"/>
                <w:szCs w:val="21"/>
              </w:rPr>
              <w:t>食堂烹饪油烟采用油烟净化设</w:t>
            </w:r>
          </w:p>
          <w:p w14:paraId="4D69F781">
            <w:pPr>
              <w:pStyle w:val="6"/>
              <w:spacing w:before="29" w:line="216" w:lineRule="auto"/>
              <w:ind w:left="84"/>
              <w:rPr>
                <w:sz w:val="21"/>
                <w:szCs w:val="21"/>
              </w:rPr>
            </w:pPr>
            <w:r>
              <w:rPr>
                <w:spacing w:val="4"/>
                <w:sz w:val="21"/>
                <w:szCs w:val="21"/>
              </w:rPr>
              <w:t>备处理后(处理效率应≥60%),</w:t>
            </w:r>
          </w:p>
          <w:p w14:paraId="6485FAF3">
            <w:pPr>
              <w:pStyle w:val="6"/>
              <w:spacing w:before="17" w:line="220" w:lineRule="auto"/>
              <w:ind w:left="655"/>
              <w:rPr>
                <w:sz w:val="21"/>
                <w:szCs w:val="21"/>
              </w:rPr>
            </w:pPr>
            <w:r>
              <w:rPr>
                <w:sz w:val="21"/>
                <w:szCs w:val="21"/>
              </w:rPr>
              <w:t>经专用烟道排出。</w:t>
            </w:r>
          </w:p>
        </w:tc>
        <w:tc>
          <w:tcPr>
            <w:tcW w:w="1643" w:type="dxa"/>
            <w:vAlign w:val="top"/>
          </w:tcPr>
          <w:p w14:paraId="11246D5A">
            <w:pPr>
              <w:spacing w:line="386" w:lineRule="auto"/>
              <w:rPr>
                <w:rFonts w:ascii="Arial"/>
                <w:sz w:val="21"/>
              </w:rPr>
            </w:pPr>
          </w:p>
          <w:p w14:paraId="086DB17B">
            <w:pPr>
              <w:pStyle w:val="6"/>
              <w:spacing w:before="68" w:line="232" w:lineRule="auto"/>
              <w:ind w:left="237" w:right="62" w:hanging="159"/>
              <w:rPr>
                <w:sz w:val="21"/>
                <w:szCs w:val="21"/>
              </w:rPr>
            </w:pPr>
            <w:r>
              <w:rPr>
                <w:spacing w:val="3"/>
                <w:sz w:val="21"/>
                <w:szCs w:val="21"/>
              </w:rPr>
              <w:t>满足《饮食业油</w:t>
            </w:r>
            <w:r>
              <w:rPr>
                <w:sz w:val="21"/>
                <w:szCs w:val="21"/>
              </w:rPr>
              <w:t xml:space="preserve"> </w:t>
            </w:r>
            <w:r>
              <w:rPr>
                <w:spacing w:val="-3"/>
                <w:sz w:val="21"/>
                <w:szCs w:val="21"/>
              </w:rPr>
              <w:t>烟排放标准》</w:t>
            </w:r>
          </w:p>
          <w:p w14:paraId="1582F487">
            <w:pPr>
              <w:pStyle w:val="6"/>
              <w:spacing w:before="46" w:line="220" w:lineRule="auto"/>
              <w:ind w:left="187" w:right="185" w:hanging="60"/>
              <w:rPr>
                <w:sz w:val="21"/>
                <w:szCs w:val="21"/>
              </w:rPr>
            </w:pPr>
            <w:r>
              <w:rPr>
                <w:spacing w:val="-4"/>
                <w:sz w:val="21"/>
                <w:szCs w:val="21"/>
              </w:rPr>
              <w:t>(GB18483-2001</w:t>
            </w:r>
            <w:r>
              <w:rPr>
                <w:spacing w:val="5"/>
                <w:sz w:val="21"/>
                <w:szCs w:val="21"/>
              </w:rPr>
              <w:t xml:space="preserve"> </w:t>
            </w:r>
            <w:r>
              <w:rPr>
                <w:spacing w:val="-2"/>
                <w:sz w:val="21"/>
                <w:szCs w:val="21"/>
              </w:rPr>
              <w:t>)表2小型标准</w:t>
            </w:r>
          </w:p>
          <w:p w14:paraId="325E2D23">
            <w:pPr>
              <w:pStyle w:val="6"/>
              <w:spacing w:before="17" w:line="221" w:lineRule="auto"/>
              <w:ind w:left="548"/>
              <w:rPr>
                <w:sz w:val="21"/>
                <w:szCs w:val="21"/>
              </w:rPr>
            </w:pPr>
            <w:r>
              <w:rPr>
                <w:spacing w:val="1"/>
                <w:sz w:val="21"/>
                <w:szCs w:val="21"/>
              </w:rPr>
              <w:t>要求。</w:t>
            </w:r>
          </w:p>
        </w:tc>
      </w:tr>
    </w:tbl>
    <w:p w14:paraId="46F53851">
      <w:pPr>
        <w:pStyle w:val="2"/>
      </w:pPr>
    </w:p>
    <w:p w14:paraId="11E64D49">
      <w:pPr>
        <w:sectPr>
          <w:footerReference r:id="rId215" w:type="default"/>
          <w:pgSz w:w="11910" w:h="16830"/>
          <w:pgMar w:top="400" w:right="1034" w:bottom="1245" w:left="994" w:header="0" w:footer="1083" w:gutter="0"/>
          <w:cols w:space="720" w:num="1"/>
        </w:sectPr>
      </w:pPr>
    </w:p>
    <w:p w14:paraId="132430D5">
      <w:pPr>
        <w:spacing w:before="18"/>
      </w:pPr>
    </w:p>
    <w:p w14:paraId="2F7FFB36">
      <w:pPr>
        <w:spacing w:before="17"/>
      </w:pPr>
    </w:p>
    <w:p w14:paraId="2797ED03">
      <w:pPr>
        <w:spacing w:before="17"/>
      </w:pPr>
    </w:p>
    <w:p w14:paraId="237D335C">
      <w:pPr>
        <w:spacing w:before="17"/>
      </w:pPr>
    </w:p>
    <w:tbl>
      <w:tblPr>
        <w:tblStyle w:val="5"/>
        <w:tblW w:w="98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2248"/>
        <w:gridCol w:w="1489"/>
        <w:gridCol w:w="2927"/>
        <w:gridCol w:w="1633"/>
      </w:tblGrid>
      <w:tr w14:paraId="6DD2A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trPr>
        <w:tc>
          <w:tcPr>
            <w:tcW w:w="1563" w:type="dxa"/>
            <w:vAlign w:val="top"/>
          </w:tcPr>
          <w:p w14:paraId="1669176B">
            <w:pPr>
              <w:rPr>
                <w:rFonts w:ascii="Arial"/>
                <w:sz w:val="21"/>
              </w:rPr>
            </w:pPr>
          </w:p>
        </w:tc>
        <w:tc>
          <w:tcPr>
            <w:tcW w:w="2248" w:type="dxa"/>
            <w:vAlign w:val="top"/>
          </w:tcPr>
          <w:p w14:paraId="1831ECF2">
            <w:pPr>
              <w:pStyle w:val="6"/>
              <w:spacing w:before="33" w:line="219" w:lineRule="auto"/>
              <w:ind w:left="62"/>
              <w:rPr>
                <w:sz w:val="21"/>
                <w:szCs w:val="21"/>
              </w:rPr>
            </w:pPr>
            <w:r>
              <w:rPr>
                <w:spacing w:val="-1"/>
                <w:sz w:val="21"/>
                <w:szCs w:val="21"/>
              </w:rPr>
              <w:t>场地洒水降尘，用土工</w:t>
            </w:r>
          </w:p>
          <w:p w14:paraId="419D8563">
            <w:pPr>
              <w:pStyle w:val="6"/>
              <w:spacing w:before="9" w:line="219" w:lineRule="auto"/>
              <w:ind w:left="62"/>
              <w:rPr>
                <w:sz w:val="21"/>
                <w:szCs w:val="21"/>
              </w:rPr>
            </w:pPr>
            <w:r>
              <w:rPr>
                <w:spacing w:val="-1"/>
                <w:sz w:val="21"/>
                <w:szCs w:val="21"/>
              </w:rPr>
              <w:t>布覆盖易产尘材料、土</w:t>
            </w:r>
          </w:p>
          <w:p w14:paraId="28948F39">
            <w:pPr>
              <w:pStyle w:val="6"/>
              <w:spacing w:before="32" w:line="205" w:lineRule="auto"/>
              <w:ind w:left="62"/>
              <w:rPr>
                <w:sz w:val="21"/>
                <w:szCs w:val="21"/>
              </w:rPr>
            </w:pPr>
            <w:r>
              <w:rPr>
                <w:spacing w:val="1"/>
                <w:sz w:val="21"/>
                <w:szCs w:val="21"/>
              </w:rPr>
              <w:t>石方及时回填压实等措</w:t>
            </w:r>
          </w:p>
          <w:p w14:paraId="6BEF0F09">
            <w:pPr>
              <w:pStyle w:val="6"/>
              <w:spacing w:line="217" w:lineRule="auto"/>
              <w:ind w:left="892"/>
              <w:rPr>
                <w:sz w:val="21"/>
                <w:szCs w:val="21"/>
              </w:rPr>
            </w:pPr>
            <w:r>
              <w:rPr>
                <w:spacing w:val="-2"/>
                <w:sz w:val="21"/>
                <w:szCs w:val="21"/>
              </w:rPr>
              <w:t>施。</w:t>
            </w:r>
          </w:p>
        </w:tc>
        <w:tc>
          <w:tcPr>
            <w:tcW w:w="1489" w:type="dxa"/>
            <w:vAlign w:val="top"/>
          </w:tcPr>
          <w:p w14:paraId="356A4276">
            <w:pPr>
              <w:rPr>
                <w:rFonts w:ascii="Arial"/>
                <w:sz w:val="21"/>
              </w:rPr>
            </w:pPr>
          </w:p>
        </w:tc>
        <w:tc>
          <w:tcPr>
            <w:tcW w:w="2927" w:type="dxa"/>
            <w:vAlign w:val="top"/>
          </w:tcPr>
          <w:p w14:paraId="1AC4D001">
            <w:pPr>
              <w:rPr>
                <w:rFonts w:ascii="Arial"/>
                <w:sz w:val="21"/>
              </w:rPr>
            </w:pPr>
          </w:p>
        </w:tc>
        <w:tc>
          <w:tcPr>
            <w:tcW w:w="1633" w:type="dxa"/>
            <w:vAlign w:val="top"/>
          </w:tcPr>
          <w:p w14:paraId="039359DF">
            <w:pPr>
              <w:rPr>
                <w:rFonts w:ascii="Arial"/>
                <w:sz w:val="21"/>
              </w:rPr>
            </w:pPr>
          </w:p>
        </w:tc>
      </w:tr>
      <w:tr w14:paraId="38A2B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4" w:hRule="atLeast"/>
        </w:trPr>
        <w:tc>
          <w:tcPr>
            <w:tcW w:w="1563" w:type="dxa"/>
            <w:vAlign w:val="top"/>
          </w:tcPr>
          <w:p w14:paraId="0FA867CF">
            <w:pPr>
              <w:spacing w:line="250" w:lineRule="auto"/>
              <w:rPr>
                <w:rFonts w:ascii="Arial"/>
                <w:sz w:val="21"/>
              </w:rPr>
            </w:pPr>
          </w:p>
          <w:p w14:paraId="4810BF8D">
            <w:pPr>
              <w:spacing w:line="250" w:lineRule="auto"/>
              <w:rPr>
                <w:rFonts w:ascii="Arial"/>
                <w:sz w:val="21"/>
              </w:rPr>
            </w:pPr>
          </w:p>
          <w:p w14:paraId="5F17BD8E">
            <w:pPr>
              <w:spacing w:line="250" w:lineRule="auto"/>
              <w:rPr>
                <w:rFonts w:ascii="Arial"/>
                <w:sz w:val="21"/>
              </w:rPr>
            </w:pPr>
          </w:p>
          <w:p w14:paraId="19122126">
            <w:pPr>
              <w:spacing w:line="250" w:lineRule="auto"/>
              <w:rPr>
                <w:rFonts w:ascii="Arial"/>
                <w:sz w:val="21"/>
              </w:rPr>
            </w:pPr>
          </w:p>
          <w:p w14:paraId="6E2FAE06">
            <w:pPr>
              <w:spacing w:line="250" w:lineRule="auto"/>
              <w:rPr>
                <w:rFonts w:ascii="Arial"/>
                <w:sz w:val="21"/>
              </w:rPr>
            </w:pPr>
          </w:p>
          <w:p w14:paraId="594D146D">
            <w:pPr>
              <w:spacing w:line="250" w:lineRule="auto"/>
              <w:rPr>
                <w:rFonts w:ascii="Arial"/>
                <w:sz w:val="21"/>
              </w:rPr>
            </w:pPr>
          </w:p>
          <w:p w14:paraId="1DA13882">
            <w:pPr>
              <w:spacing w:line="250" w:lineRule="auto"/>
              <w:rPr>
                <w:rFonts w:ascii="Arial"/>
                <w:sz w:val="21"/>
              </w:rPr>
            </w:pPr>
          </w:p>
          <w:p w14:paraId="54338075">
            <w:pPr>
              <w:spacing w:line="251" w:lineRule="auto"/>
              <w:rPr>
                <w:rFonts w:ascii="Arial"/>
                <w:sz w:val="21"/>
              </w:rPr>
            </w:pPr>
          </w:p>
          <w:p w14:paraId="1AE2FEFE">
            <w:pPr>
              <w:spacing w:line="251" w:lineRule="auto"/>
              <w:rPr>
                <w:rFonts w:ascii="Arial"/>
                <w:sz w:val="21"/>
              </w:rPr>
            </w:pPr>
          </w:p>
          <w:p w14:paraId="5E2D0386">
            <w:pPr>
              <w:spacing w:line="251" w:lineRule="auto"/>
              <w:rPr>
                <w:rFonts w:ascii="Arial"/>
                <w:sz w:val="21"/>
              </w:rPr>
            </w:pPr>
          </w:p>
          <w:p w14:paraId="6DF7A0CF">
            <w:pPr>
              <w:spacing w:line="251" w:lineRule="auto"/>
              <w:rPr>
                <w:rFonts w:ascii="Arial"/>
                <w:sz w:val="21"/>
              </w:rPr>
            </w:pPr>
          </w:p>
          <w:p w14:paraId="249075D3">
            <w:pPr>
              <w:spacing w:line="251" w:lineRule="auto"/>
              <w:rPr>
                <w:rFonts w:ascii="Arial"/>
                <w:sz w:val="21"/>
              </w:rPr>
            </w:pPr>
          </w:p>
          <w:p w14:paraId="1E184497">
            <w:pPr>
              <w:spacing w:line="251" w:lineRule="auto"/>
              <w:rPr>
                <w:rFonts w:ascii="Arial"/>
                <w:sz w:val="21"/>
              </w:rPr>
            </w:pPr>
          </w:p>
          <w:p w14:paraId="473EB20C">
            <w:pPr>
              <w:spacing w:line="251" w:lineRule="auto"/>
              <w:rPr>
                <w:rFonts w:ascii="Arial"/>
                <w:sz w:val="21"/>
              </w:rPr>
            </w:pPr>
          </w:p>
          <w:p w14:paraId="37A99984">
            <w:pPr>
              <w:spacing w:line="251" w:lineRule="auto"/>
              <w:rPr>
                <w:rFonts w:ascii="Arial"/>
                <w:sz w:val="21"/>
              </w:rPr>
            </w:pPr>
          </w:p>
          <w:p w14:paraId="6C706785">
            <w:pPr>
              <w:pStyle w:val="6"/>
              <w:spacing w:before="69" w:line="220" w:lineRule="auto"/>
              <w:ind w:left="355"/>
              <w:rPr>
                <w:sz w:val="21"/>
                <w:szCs w:val="21"/>
              </w:rPr>
            </w:pPr>
            <w:r>
              <w:rPr>
                <w:spacing w:val="2"/>
                <w:sz w:val="21"/>
                <w:szCs w:val="21"/>
              </w:rPr>
              <w:t>固体废物</w:t>
            </w:r>
          </w:p>
        </w:tc>
        <w:tc>
          <w:tcPr>
            <w:tcW w:w="2248" w:type="dxa"/>
            <w:vAlign w:val="top"/>
          </w:tcPr>
          <w:p w14:paraId="47BA6900">
            <w:pPr>
              <w:rPr>
                <w:rFonts w:ascii="Arial"/>
                <w:sz w:val="21"/>
              </w:rPr>
            </w:pPr>
          </w:p>
          <w:p w14:paraId="5E555409">
            <w:pPr>
              <w:rPr>
                <w:rFonts w:ascii="Arial"/>
                <w:sz w:val="21"/>
              </w:rPr>
            </w:pPr>
          </w:p>
          <w:p w14:paraId="200BDB69">
            <w:pPr>
              <w:rPr>
                <w:rFonts w:ascii="Arial"/>
                <w:sz w:val="21"/>
              </w:rPr>
            </w:pPr>
          </w:p>
          <w:p w14:paraId="4A3C586E">
            <w:pPr>
              <w:spacing w:line="241" w:lineRule="auto"/>
              <w:rPr>
                <w:rFonts w:ascii="Arial"/>
                <w:sz w:val="21"/>
              </w:rPr>
            </w:pPr>
          </w:p>
          <w:p w14:paraId="65165167">
            <w:pPr>
              <w:spacing w:line="241" w:lineRule="auto"/>
              <w:rPr>
                <w:rFonts w:ascii="Arial"/>
                <w:sz w:val="21"/>
              </w:rPr>
            </w:pPr>
          </w:p>
          <w:p w14:paraId="72DF00DE">
            <w:pPr>
              <w:spacing w:line="241" w:lineRule="auto"/>
              <w:rPr>
                <w:rFonts w:ascii="Arial"/>
                <w:sz w:val="21"/>
              </w:rPr>
            </w:pPr>
          </w:p>
          <w:p w14:paraId="12B498C9">
            <w:pPr>
              <w:spacing w:line="241" w:lineRule="auto"/>
              <w:rPr>
                <w:rFonts w:ascii="Arial"/>
                <w:sz w:val="21"/>
              </w:rPr>
            </w:pPr>
          </w:p>
          <w:p w14:paraId="002758F1">
            <w:pPr>
              <w:spacing w:line="241" w:lineRule="auto"/>
              <w:rPr>
                <w:rFonts w:ascii="Arial"/>
                <w:sz w:val="21"/>
              </w:rPr>
            </w:pPr>
          </w:p>
          <w:p w14:paraId="43E37FD0">
            <w:pPr>
              <w:spacing w:line="241" w:lineRule="auto"/>
              <w:rPr>
                <w:rFonts w:ascii="Arial"/>
                <w:sz w:val="21"/>
              </w:rPr>
            </w:pPr>
          </w:p>
          <w:p w14:paraId="2BF93946">
            <w:pPr>
              <w:pStyle w:val="6"/>
              <w:spacing w:before="69" w:line="219" w:lineRule="auto"/>
              <w:ind w:left="172"/>
              <w:rPr>
                <w:sz w:val="21"/>
                <w:szCs w:val="21"/>
              </w:rPr>
            </w:pPr>
            <w:r>
              <w:rPr>
                <w:spacing w:val="-1"/>
                <w:sz w:val="21"/>
                <w:szCs w:val="21"/>
              </w:rPr>
              <w:t>本项目土石方挖填平</w:t>
            </w:r>
          </w:p>
          <w:p w14:paraId="0FB1A843">
            <w:pPr>
              <w:pStyle w:val="6"/>
              <w:spacing w:before="12" w:line="219" w:lineRule="auto"/>
              <w:ind w:left="112"/>
              <w:rPr>
                <w:sz w:val="21"/>
                <w:szCs w:val="21"/>
              </w:rPr>
            </w:pPr>
            <w:r>
              <w:rPr>
                <w:sz w:val="21"/>
                <w:szCs w:val="21"/>
              </w:rPr>
              <w:t>衡，无永久弃渣产生，</w:t>
            </w:r>
          </w:p>
          <w:p w14:paraId="05D45EFD">
            <w:pPr>
              <w:pStyle w:val="6"/>
              <w:spacing w:before="21" w:line="219" w:lineRule="auto"/>
              <w:ind w:left="62"/>
              <w:rPr>
                <w:sz w:val="21"/>
                <w:szCs w:val="21"/>
              </w:rPr>
            </w:pPr>
            <w:r>
              <w:rPr>
                <w:sz w:val="21"/>
                <w:szCs w:val="21"/>
              </w:rPr>
              <w:t>项目不设置弃渣场，施</w:t>
            </w:r>
          </w:p>
          <w:p w14:paraId="2772BA73">
            <w:pPr>
              <w:pStyle w:val="6"/>
              <w:spacing w:before="20" w:line="219" w:lineRule="auto"/>
              <w:ind w:left="62"/>
              <w:rPr>
                <w:sz w:val="21"/>
                <w:szCs w:val="21"/>
              </w:rPr>
            </w:pPr>
            <w:r>
              <w:rPr>
                <w:spacing w:val="1"/>
                <w:sz w:val="21"/>
                <w:szCs w:val="21"/>
              </w:rPr>
              <w:t>工期间产生的废土石不</w:t>
            </w:r>
          </w:p>
          <w:p w14:paraId="22576852">
            <w:pPr>
              <w:pStyle w:val="6"/>
              <w:spacing w:before="40" w:line="219" w:lineRule="auto"/>
              <w:ind w:left="62"/>
              <w:rPr>
                <w:sz w:val="21"/>
                <w:szCs w:val="21"/>
              </w:rPr>
            </w:pPr>
            <w:r>
              <w:rPr>
                <w:spacing w:val="-1"/>
                <w:sz w:val="21"/>
                <w:szCs w:val="21"/>
              </w:rPr>
              <w:t>得随意弃置或堆放，表</w:t>
            </w:r>
          </w:p>
          <w:p w14:paraId="0FBCE051">
            <w:pPr>
              <w:pStyle w:val="6"/>
              <w:spacing w:before="10" w:line="219" w:lineRule="auto"/>
              <w:ind w:left="62"/>
              <w:rPr>
                <w:sz w:val="21"/>
                <w:szCs w:val="21"/>
              </w:rPr>
            </w:pPr>
            <w:r>
              <w:rPr>
                <w:spacing w:val="1"/>
                <w:sz w:val="21"/>
                <w:szCs w:val="21"/>
              </w:rPr>
              <w:t>土暂存后应全部用于后</w:t>
            </w:r>
          </w:p>
          <w:p w14:paraId="56F7DF6C">
            <w:pPr>
              <w:pStyle w:val="6"/>
              <w:spacing w:before="21" w:line="219" w:lineRule="auto"/>
              <w:ind w:left="222"/>
              <w:rPr>
                <w:sz w:val="21"/>
                <w:szCs w:val="21"/>
              </w:rPr>
            </w:pPr>
            <w:r>
              <w:rPr>
                <w:spacing w:val="-1"/>
                <w:sz w:val="21"/>
                <w:szCs w:val="21"/>
              </w:rPr>
              <w:t>期的植被恢复覆土。</w:t>
            </w:r>
          </w:p>
          <w:p w14:paraId="4F376DE4">
            <w:pPr>
              <w:pStyle w:val="6"/>
              <w:spacing w:before="22" w:line="220" w:lineRule="auto"/>
              <w:ind w:left="62"/>
              <w:rPr>
                <w:sz w:val="21"/>
                <w:szCs w:val="21"/>
              </w:rPr>
            </w:pPr>
            <w:r>
              <w:rPr>
                <w:spacing w:val="2"/>
                <w:sz w:val="21"/>
                <w:szCs w:val="21"/>
              </w:rPr>
              <w:t>建筑垃圾在可再生利用</w:t>
            </w:r>
          </w:p>
          <w:p w14:paraId="63441559">
            <w:pPr>
              <w:pStyle w:val="6"/>
              <w:spacing w:before="19" w:line="219" w:lineRule="auto"/>
              <w:ind w:left="62"/>
              <w:rPr>
                <w:sz w:val="21"/>
                <w:szCs w:val="21"/>
              </w:rPr>
            </w:pPr>
            <w:r>
              <w:rPr>
                <w:spacing w:val="-1"/>
                <w:sz w:val="21"/>
                <w:szCs w:val="21"/>
              </w:rPr>
              <w:t>部分回收后，不可回收</w:t>
            </w:r>
          </w:p>
          <w:p w14:paraId="29A020C0">
            <w:pPr>
              <w:pStyle w:val="6"/>
              <w:spacing w:before="41" w:line="220" w:lineRule="auto"/>
              <w:ind w:left="62"/>
              <w:rPr>
                <w:sz w:val="21"/>
                <w:szCs w:val="21"/>
              </w:rPr>
            </w:pPr>
            <w:r>
              <w:rPr>
                <w:spacing w:val="-1"/>
                <w:sz w:val="21"/>
                <w:szCs w:val="21"/>
              </w:rPr>
              <w:t>利用的委托有资质单位</w:t>
            </w:r>
          </w:p>
          <w:p w14:paraId="3871994B">
            <w:pPr>
              <w:pStyle w:val="6"/>
              <w:spacing w:before="10" w:line="219" w:lineRule="auto"/>
              <w:ind w:left="62"/>
              <w:rPr>
                <w:sz w:val="21"/>
                <w:szCs w:val="21"/>
              </w:rPr>
            </w:pPr>
            <w:r>
              <w:rPr>
                <w:sz w:val="21"/>
                <w:szCs w:val="21"/>
              </w:rPr>
              <w:t>处置；产生的生活垃圾</w:t>
            </w:r>
          </w:p>
          <w:p w14:paraId="2CC92DF4">
            <w:pPr>
              <w:pStyle w:val="6"/>
              <w:spacing w:before="19" w:line="219" w:lineRule="auto"/>
              <w:ind w:left="62"/>
              <w:rPr>
                <w:sz w:val="21"/>
                <w:szCs w:val="21"/>
              </w:rPr>
            </w:pPr>
            <w:r>
              <w:rPr>
                <w:spacing w:val="-1"/>
                <w:sz w:val="21"/>
                <w:szCs w:val="21"/>
              </w:rPr>
              <w:t>经收集后运至周边村镇</w:t>
            </w:r>
          </w:p>
          <w:p w14:paraId="21386231">
            <w:pPr>
              <w:pStyle w:val="6"/>
              <w:spacing w:before="32" w:line="219" w:lineRule="auto"/>
              <w:ind w:left="321"/>
              <w:rPr>
                <w:sz w:val="21"/>
                <w:szCs w:val="21"/>
              </w:rPr>
            </w:pPr>
            <w:r>
              <w:rPr>
                <w:sz w:val="21"/>
                <w:szCs w:val="21"/>
              </w:rPr>
              <w:t>垃圾收集点处置。</w:t>
            </w:r>
          </w:p>
        </w:tc>
        <w:tc>
          <w:tcPr>
            <w:tcW w:w="1489" w:type="dxa"/>
            <w:vAlign w:val="top"/>
          </w:tcPr>
          <w:p w14:paraId="598F1DC5">
            <w:pPr>
              <w:rPr>
                <w:rFonts w:ascii="Arial"/>
                <w:sz w:val="21"/>
              </w:rPr>
            </w:pPr>
          </w:p>
          <w:p w14:paraId="0A36FF55">
            <w:pPr>
              <w:rPr>
                <w:rFonts w:ascii="Arial"/>
                <w:sz w:val="21"/>
              </w:rPr>
            </w:pPr>
          </w:p>
          <w:p w14:paraId="0E3F4647">
            <w:pPr>
              <w:rPr>
                <w:rFonts w:ascii="Arial"/>
                <w:sz w:val="21"/>
              </w:rPr>
            </w:pPr>
          </w:p>
          <w:p w14:paraId="286E4096">
            <w:pPr>
              <w:rPr>
                <w:rFonts w:ascii="Arial"/>
                <w:sz w:val="21"/>
              </w:rPr>
            </w:pPr>
          </w:p>
          <w:p w14:paraId="30F11493">
            <w:pPr>
              <w:spacing w:line="241" w:lineRule="auto"/>
              <w:rPr>
                <w:rFonts w:ascii="Arial"/>
                <w:sz w:val="21"/>
              </w:rPr>
            </w:pPr>
          </w:p>
          <w:p w14:paraId="0549FA9B">
            <w:pPr>
              <w:spacing w:line="241" w:lineRule="auto"/>
              <w:rPr>
                <w:rFonts w:ascii="Arial"/>
                <w:sz w:val="21"/>
              </w:rPr>
            </w:pPr>
          </w:p>
          <w:p w14:paraId="4F5C543C">
            <w:pPr>
              <w:spacing w:line="241" w:lineRule="auto"/>
              <w:rPr>
                <w:rFonts w:ascii="Arial"/>
                <w:sz w:val="21"/>
              </w:rPr>
            </w:pPr>
          </w:p>
          <w:p w14:paraId="640FBE7C">
            <w:pPr>
              <w:spacing w:line="241" w:lineRule="auto"/>
              <w:rPr>
                <w:rFonts w:ascii="Arial"/>
                <w:sz w:val="21"/>
              </w:rPr>
            </w:pPr>
          </w:p>
          <w:p w14:paraId="054B7D3E">
            <w:pPr>
              <w:spacing w:line="241" w:lineRule="auto"/>
              <w:rPr>
                <w:rFonts w:ascii="Arial"/>
                <w:sz w:val="21"/>
              </w:rPr>
            </w:pPr>
          </w:p>
          <w:p w14:paraId="527D35FB">
            <w:pPr>
              <w:spacing w:line="241" w:lineRule="auto"/>
              <w:rPr>
                <w:rFonts w:ascii="Arial"/>
                <w:sz w:val="21"/>
              </w:rPr>
            </w:pPr>
          </w:p>
          <w:p w14:paraId="043FDEDE">
            <w:pPr>
              <w:spacing w:line="241" w:lineRule="auto"/>
              <w:rPr>
                <w:rFonts w:ascii="Arial"/>
                <w:sz w:val="21"/>
              </w:rPr>
            </w:pPr>
          </w:p>
          <w:p w14:paraId="033EEA0A">
            <w:pPr>
              <w:spacing w:line="241" w:lineRule="auto"/>
              <w:rPr>
                <w:rFonts w:ascii="Arial"/>
                <w:sz w:val="21"/>
              </w:rPr>
            </w:pPr>
          </w:p>
          <w:p w14:paraId="612765E9">
            <w:pPr>
              <w:spacing w:line="241" w:lineRule="auto"/>
              <w:rPr>
                <w:rFonts w:ascii="Arial"/>
                <w:sz w:val="21"/>
              </w:rPr>
            </w:pPr>
          </w:p>
          <w:p w14:paraId="515C1A8D">
            <w:pPr>
              <w:spacing w:line="241" w:lineRule="auto"/>
              <w:rPr>
                <w:rFonts w:ascii="Arial"/>
                <w:sz w:val="21"/>
              </w:rPr>
            </w:pPr>
          </w:p>
          <w:p w14:paraId="361B628A">
            <w:pPr>
              <w:pStyle w:val="6"/>
              <w:spacing w:before="69" w:line="219" w:lineRule="auto"/>
              <w:ind w:left="104"/>
              <w:rPr>
                <w:sz w:val="21"/>
                <w:szCs w:val="21"/>
              </w:rPr>
            </w:pPr>
            <w:r>
              <w:rPr>
                <w:spacing w:val="2"/>
                <w:sz w:val="21"/>
                <w:szCs w:val="21"/>
              </w:rPr>
              <w:t>施工期影像资</w:t>
            </w:r>
          </w:p>
          <w:p w14:paraId="7C439287">
            <w:pPr>
              <w:pStyle w:val="6"/>
              <w:spacing w:before="20" w:line="219" w:lineRule="auto"/>
              <w:ind w:right="2"/>
              <w:jc w:val="right"/>
              <w:rPr>
                <w:sz w:val="21"/>
                <w:szCs w:val="21"/>
              </w:rPr>
            </w:pPr>
            <w:r>
              <w:rPr>
                <w:spacing w:val="-2"/>
                <w:sz w:val="21"/>
                <w:szCs w:val="21"/>
              </w:rPr>
              <w:t>料、环境监理报</w:t>
            </w:r>
          </w:p>
          <w:p w14:paraId="40FDDE35">
            <w:pPr>
              <w:pStyle w:val="6"/>
              <w:spacing w:before="28" w:line="218" w:lineRule="auto"/>
              <w:ind w:left="213"/>
              <w:rPr>
                <w:sz w:val="21"/>
                <w:szCs w:val="21"/>
              </w:rPr>
            </w:pPr>
            <w:r>
              <w:rPr>
                <w:spacing w:val="1"/>
                <w:sz w:val="21"/>
                <w:szCs w:val="21"/>
              </w:rPr>
              <w:t>告、处置率</w:t>
            </w:r>
          </w:p>
          <w:p w14:paraId="3E6108B2">
            <w:pPr>
              <w:pStyle w:val="6"/>
              <w:spacing w:before="44" w:line="237" w:lineRule="auto"/>
              <w:ind w:left="473"/>
              <w:rPr>
                <w:sz w:val="21"/>
                <w:szCs w:val="21"/>
              </w:rPr>
            </w:pPr>
            <w:r>
              <w:rPr>
                <w:spacing w:val="-8"/>
                <w:sz w:val="21"/>
                <w:szCs w:val="21"/>
              </w:rPr>
              <w:t>100%。</w:t>
            </w:r>
          </w:p>
        </w:tc>
        <w:tc>
          <w:tcPr>
            <w:tcW w:w="2927" w:type="dxa"/>
            <w:vAlign w:val="top"/>
          </w:tcPr>
          <w:p w14:paraId="01D8BEED">
            <w:pPr>
              <w:pStyle w:val="6"/>
              <w:spacing w:before="58" w:line="238" w:lineRule="auto"/>
              <w:ind w:left="64" w:right="99" w:firstLine="30"/>
              <w:rPr>
                <w:sz w:val="21"/>
                <w:szCs w:val="21"/>
              </w:rPr>
            </w:pPr>
            <w:r>
              <w:rPr>
                <w:spacing w:val="-1"/>
                <w:sz w:val="21"/>
                <w:szCs w:val="21"/>
              </w:rPr>
              <w:t>①更换下来的废旧光伏电池板</w:t>
            </w:r>
            <w:r>
              <w:rPr>
                <w:spacing w:val="4"/>
                <w:sz w:val="21"/>
                <w:szCs w:val="21"/>
              </w:rPr>
              <w:t xml:space="preserve"> </w:t>
            </w:r>
            <w:r>
              <w:rPr>
                <w:spacing w:val="1"/>
                <w:sz w:val="21"/>
                <w:szCs w:val="21"/>
              </w:rPr>
              <w:t>由专业维护公司直接带走回</w:t>
            </w:r>
          </w:p>
          <w:p w14:paraId="2FC357A1">
            <w:pPr>
              <w:pStyle w:val="6"/>
              <w:spacing w:before="3" w:line="239" w:lineRule="auto"/>
              <w:ind w:left="64" w:right="76" w:firstLine="30"/>
              <w:rPr>
                <w:sz w:val="21"/>
                <w:szCs w:val="21"/>
              </w:rPr>
            </w:pPr>
            <w:r>
              <w:rPr>
                <w:spacing w:val="1"/>
                <w:sz w:val="21"/>
                <w:szCs w:val="21"/>
              </w:rPr>
              <w:t>收，不在项目区暂存；平时如 有碎裂的废旧光伏电池板，贮</w:t>
            </w:r>
            <w:r>
              <w:rPr>
                <w:spacing w:val="6"/>
                <w:sz w:val="21"/>
                <w:szCs w:val="21"/>
              </w:rPr>
              <w:t xml:space="preserve"> </w:t>
            </w:r>
            <w:r>
              <w:rPr>
                <w:spacing w:val="1"/>
                <w:sz w:val="21"/>
                <w:szCs w:val="21"/>
              </w:rPr>
              <w:t>存于综合楼内的一般废物储存</w:t>
            </w:r>
            <w:r>
              <w:rPr>
                <w:spacing w:val="8"/>
                <w:sz w:val="21"/>
                <w:szCs w:val="21"/>
              </w:rPr>
              <w:t xml:space="preserve"> </w:t>
            </w:r>
            <w:r>
              <w:rPr>
                <w:spacing w:val="1"/>
                <w:sz w:val="21"/>
                <w:szCs w:val="21"/>
              </w:rPr>
              <w:t>间(保持干燥通风),最终由</w:t>
            </w:r>
          </w:p>
          <w:p w14:paraId="24240434">
            <w:pPr>
              <w:pStyle w:val="6"/>
              <w:spacing w:line="220" w:lineRule="auto"/>
              <w:ind w:left="35"/>
              <w:rPr>
                <w:sz w:val="21"/>
                <w:szCs w:val="21"/>
              </w:rPr>
            </w:pPr>
            <w:r>
              <w:rPr>
                <w:spacing w:val="-1"/>
                <w:sz w:val="21"/>
                <w:szCs w:val="21"/>
              </w:rPr>
              <w:t>专业的维护公司处理。</w:t>
            </w:r>
          </w:p>
          <w:p w14:paraId="00CFD45C">
            <w:pPr>
              <w:pStyle w:val="6"/>
              <w:spacing w:before="34" w:line="234" w:lineRule="auto"/>
              <w:ind w:left="35" w:right="98" w:firstLine="59"/>
              <w:rPr>
                <w:sz w:val="21"/>
                <w:szCs w:val="21"/>
              </w:rPr>
            </w:pPr>
            <w:r>
              <w:rPr>
                <w:spacing w:val="-1"/>
                <w:sz w:val="21"/>
                <w:szCs w:val="21"/>
              </w:rPr>
              <w:t>②更换下来的废铅蓄电池经收</w:t>
            </w:r>
            <w:r>
              <w:rPr>
                <w:spacing w:val="5"/>
                <w:sz w:val="21"/>
                <w:szCs w:val="21"/>
              </w:rPr>
              <w:t xml:space="preserve"> </w:t>
            </w:r>
            <w:r>
              <w:rPr>
                <w:spacing w:val="3"/>
                <w:sz w:val="21"/>
                <w:szCs w:val="21"/>
              </w:rPr>
              <w:t>集后，放置在危废暂存间暂存</w:t>
            </w:r>
            <w:r>
              <w:rPr>
                <w:spacing w:val="11"/>
                <w:sz w:val="21"/>
                <w:szCs w:val="21"/>
              </w:rPr>
              <w:t xml:space="preserve"> </w:t>
            </w:r>
            <w:r>
              <w:rPr>
                <w:spacing w:val="3"/>
                <w:sz w:val="21"/>
                <w:szCs w:val="21"/>
              </w:rPr>
              <w:t>后，定期委托有资质的单位进</w:t>
            </w:r>
            <w:r>
              <w:rPr>
                <w:spacing w:val="10"/>
                <w:sz w:val="21"/>
                <w:szCs w:val="21"/>
              </w:rPr>
              <w:t xml:space="preserve"> </w:t>
            </w:r>
            <w:r>
              <w:rPr>
                <w:spacing w:val="-1"/>
                <w:sz w:val="21"/>
                <w:szCs w:val="21"/>
              </w:rPr>
              <w:t>行处置。</w:t>
            </w:r>
          </w:p>
          <w:p w14:paraId="0245CBC4">
            <w:pPr>
              <w:pStyle w:val="6"/>
              <w:spacing w:before="6" w:line="242" w:lineRule="auto"/>
              <w:ind w:left="35" w:right="98" w:firstLine="59"/>
              <w:rPr>
                <w:sz w:val="21"/>
                <w:szCs w:val="21"/>
              </w:rPr>
            </w:pPr>
            <w:r>
              <w:rPr>
                <w:spacing w:val="-1"/>
                <w:sz w:val="21"/>
                <w:szCs w:val="21"/>
              </w:rPr>
              <w:t>③生活垃圾经收集后运至周边</w:t>
            </w:r>
            <w:r>
              <w:rPr>
                <w:spacing w:val="5"/>
                <w:sz w:val="21"/>
                <w:szCs w:val="21"/>
              </w:rPr>
              <w:t xml:space="preserve"> </w:t>
            </w:r>
            <w:r>
              <w:rPr>
                <w:spacing w:val="-1"/>
                <w:sz w:val="21"/>
                <w:szCs w:val="21"/>
              </w:rPr>
              <w:t>村镇垃圾收集点处置。</w:t>
            </w:r>
          </w:p>
          <w:p w14:paraId="1B420E54">
            <w:pPr>
              <w:pStyle w:val="6"/>
              <w:spacing w:line="237" w:lineRule="auto"/>
              <w:ind w:left="25" w:right="68" w:firstLine="69"/>
              <w:rPr>
                <w:sz w:val="21"/>
                <w:szCs w:val="21"/>
              </w:rPr>
            </w:pPr>
            <w:r>
              <w:rPr>
                <w:spacing w:val="1"/>
                <w:sz w:val="21"/>
                <w:szCs w:val="21"/>
              </w:rPr>
              <w:t>④餐厨垃圾收集后委托有资质</w:t>
            </w:r>
            <w:r>
              <w:rPr>
                <w:spacing w:val="9"/>
                <w:sz w:val="21"/>
                <w:szCs w:val="21"/>
              </w:rPr>
              <w:t xml:space="preserve"> </w:t>
            </w:r>
            <w:r>
              <w:rPr>
                <w:spacing w:val="-1"/>
                <w:sz w:val="21"/>
                <w:szCs w:val="21"/>
              </w:rPr>
              <w:t>的单位进行清运、处置。</w:t>
            </w:r>
          </w:p>
          <w:p w14:paraId="4814292D">
            <w:pPr>
              <w:pStyle w:val="6"/>
              <w:spacing w:before="5"/>
              <w:ind w:left="35" w:right="80" w:firstLine="59"/>
              <w:rPr>
                <w:sz w:val="21"/>
                <w:szCs w:val="21"/>
              </w:rPr>
            </w:pPr>
            <w:r>
              <w:rPr>
                <w:spacing w:val="-1"/>
                <w:sz w:val="21"/>
                <w:szCs w:val="21"/>
              </w:rPr>
              <w:t>⑤升压站内化粪池污泥定期委</w:t>
            </w:r>
            <w:r>
              <w:rPr>
                <w:spacing w:val="5"/>
                <w:sz w:val="21"/>
                <w:szCs w:val="21"/>
              </w:rPr>
              <w:t xml:space="preserve"> </w:t>
            </w:r>
            <w:r>
              <w:rPr>
                <w:spacing w:val="3"/>
                <w:sz w:val="21"/>
                <w:szCs w:val="21"/>
              </w:rPr>
              <w:t>托当地环卫部门清掏后清运及</w:t>
            </w:r>
            <w:r>
              <w:rPr>
                <w:spacing w:val="11"/>
                <w:sz w:val="21"/>
                <w:szCs w:val="21"/>
              </w:rPr>
              <w:t xml:space="preserve"> </w:t>
            </w:r>
            <w:r>
              <w:rPr>
                <w:sz w:val="21"/>
                <w:szCs w:val="21"/>
              </w:rPr>
              <w:t>处置；</w:t>
            </w:r>
            <w:r>
              <w:rPr>
                <w:spacing w:val="-35"/>
                <w:sz w:val="21"/>
                <w:szCs w:val="21"/>
              </w:rPr>
              <w:t xml:space="preserve"> </w:t>
            </w:r>
            <w:r>
              <w:rPr>
                <w:sz w:val="21"/>
                <w:szCs w:val="21"/>
              </w:rPr>
              <w:t xml:space="preserve">一体化生活废水处理站 </w:t>
            </w:r>
            <w:r>
              <w:rPr>
                <w:spacing w:val="5"/>
                <w:sz w:val="21"/>
                <w:szCs w:val="21"/>
              </w:rPr>
              <w:t>污泥定期委托当地环卫部门清</w:t>
            </w:r>
            <w:r>
              <w:rPr>
                <w:spacing w:val="4"/>
                <w:sz w:val="21"/>
                <w:szCs w:val="21"/>
              </w:rPr>
              <w:t xml:space="preserve"> </w:t>
            </w:r>
            <w:r>
              <w:rPr>
                <w:spacing w:val="-1"/>
                <w:sz w:val="21"/>
                <w:szCs w:val="21"/>
              </w:rPr>
              <w:t>掏后清运及处置。</w:t>
            </w:r>
          </w:p>
          <w:p w14:paraId="5EF13EB7">
            <w:pPr>
              <w:pStyle w:val="6"/>
              <w:spacing w:before="2" w:line="233" w:lineRule="auto"/>
              <w:ind w:left="35" w:right="98" w:firstLine="59"/>
              <w:rPr>
                <w:sz w:val="21"/>
                <w:szCs w:val="21"/>
              </w:rPr>
            </w:pPr>
            <w:r>
              <w:rPr>
                <w:spacing w:val="-1"/>
                <w:sz w:val="21"/>
                <w:szCs w:val="21"/>
              </w:rPr>
              <w:t>⑥变压器事故废油定期委托有</w:t>
            </w:r>
            <w:r>
              <w:rPr>
                <w:spacing w:val="5"/>
                <w:sz w:val="21"/>
                <w:szCs w:val="21"/>
              </w:rPr>
              <w:t xml:space="preserve"> </w:t>
            </w:r>
            <w:r>
              <w:rPr>
                <w:spacing w:val="-1"/>
                <w:sz w:val="21"/>
                <w:szCs w:val="21"/>
              </w:rPr>
              <w:t>资质的单位进行清运及处置。</w:t>
            </w:r>
          </w:p>
          <w:p w14:paraId="0781A552">
            <w:pPr>
              <w:pStyle w:val="6"/>
              <w:spacing w:before="18" w:line="217" w:lineRule="auto"/>
              <w:ind w:left="35"/>
              <w:rPr>
                <w:sz w:val="21"/>
                <w:szCs w:val="21"/>
              </w:rPr>
            </w:pPr>
            <w:r>
              <w:rPr>
                <w:spacing w:val="-1"/>
                <w:sz w:val="21"/>
                <w:szCs w:val="21"/>
              </w:rPr>
              <w:t>⑦升压站内设置1间面积为</w:t>
            </w:r>
          </w:p>
          <w:p w14:paraId="74750B52">
            <w:pPr>
              <w:pStyle w:val="6"/>
              <w:spacing w:before="14" w:line="241" w:lineRule="auto"/>
              <w:ind w:left="45" w:right="32" w:hanging="10"/>
              <w:rPr>
                <w:sz w:val="21"/>
                <w:szCs w:val="21"/>
              </w:rPr>
            </w:pPr>
            <w:r>
              <w:rPr>
                <w:spacing w:val="7"/>
                <w:sz w:val="21"/>
                <w:szCs w:val="21"/>
              </w:rPr>
              <w:t>32m²的危险废物暂存间，严格</w:t>
            </w:r>
            <w:r>
              <w:rPr>
                <w:spacing w:val="12"/>
                <w:sz w:val="21"/>
                <w:szCs w:val="21"/>
              </w:rPr>
              <w:t xml:space="preserve"> </w:t>
            </w:r>
            <w:r>
              <w:rPr>
                <w:spacing w:val="5"/>
                <w:sz w:val="21"/>
                <w:szCs w:val="21"/>
              </w:rPr>
              <w:t>按照《危险废物贮存污染控制</w:t>
            </w:r>
            <w:r>
              <w:rPr>
                <w:spacing w:val="1"/>
                <w:sz w:val="21"/>
                <w:szCs w:val="21"/>
              </w:rPr>
              <w:t xml:space="preserve"> </w:t>
            </w:r>
            <w:r>
              <w:rPr>
                <w:spacing w:val="-1"/>
                <w:sz w:val="21"/>
                <w:szCs w:val="21"/>
              </w:rPr>
              <w:t>标准》(GB18597-2023)的有</w:t>
            </w:r>
          </w:p>
          <w:p w14:paraId="19B17AD2">
            <w:pPr>
              <w:pStyle w:val="6"/>
              <w:spacing w:before="3" w:line="217" w:lineRule="auto"/>
              <w:ind w:left="25" w:right="103" w:firstLine="69"/>
              <w:rPr>
                <w:sz w:val="21"/>
                <w:szCs w:val="21"/>
              </w:rPr>
            </w:pPr>
            <w:r>
              <w:rPr>
                <w:spacing w:val="-1"/>
                <w:sz w:val="21"/>
                <w:szCs w:val="21"/>
              </w:rPr>
              <w:t>关要求进行设计，基础必须进</w:t>
            </w:r>
            <w:r>
              <w:rPr>
                <w:sz w:val="21"/>
                <w:szCs w:val="21"/>
              </w:rPr>
              <w:t xml:space="preserve"> </w:t>
            </w:r>
            <w:r>
              <w:rPr>
                <w:spacing w:val="4"/>
                <w:sz w:val="21"/>
                <w:szCs w:val="21"/>
              </w:rPr>
              <w:t>行防渗，并配设醒目的警示标</w:t>
            </w:r>
            <w:r>
              <w:rPr>
                <w:spacing w:val="5"/>
                <w:sz w:val="21"/>
                <w:szCs w:val="21"/>
              </w:rPr>
              <w:t xml:space="preserve"> </w:t>
            </w:r>
            <w:r>
              <w:rPr>
                <w:spacing w:val="-2"/>
                <w:sz w:val="21"/>
                <w:szCs w:val="21"/>
              </w:rPr>
              <w:t>识。</w:t>
            </w:r>
          </w:p>
        </w:tc>
        <w:tc>
          <w:tcPr>
            <w:tcW w:w="1633" w:type="dxa"/>
            <w:vAlign w:val="top"/>
          </w:tcPr>
          <w:p w14:paraId="15F9CAF5">
            <w:pPr>
              <w:spacing w:line="242" w:lineRule="auto"/>
              <w:rPr>
                <w:rFonts w:ascii="Arial"/>
                <w:sz w:val="21"/>
              </w:rPr>
            </w:pPr>
          </w:p>
          <w:p w14:paraId="00FFDB21">
            <w:pPr>
              <w:spacing w:line="242" w:lineRule="auto"/>
              <w:rPr>
                <w:rFonts w:ascii="Arial"/>
                <w:sz w:val="21"/>
              </w:rPr>
            </w:pPr>
          </w:p>
          <w:p w14:paraId="6DA1EA53">
            <w:pPr>
              <w:spacing w:line="242" w:lineRule="auto"/>
              <w:rPr>
                <w:rFonts w:ascii="Arial"/>
                <w:sz w:val="21"/>
              </w:rPr>
            </w:pPr>
          </w:p>
          <w:p w14:paraId="5A0CD8F3">
            <w:pPr>
              <w:spacing w:line="242" w:lineRule="auto"/>
              <w:rPr>
                <w:rFonts w:ascii="Arial"/>
                <w:sz w:val="21"/>
              </w:rPr>
            </w:pPr>
          </w:p>
          <w:p w14:paraId="43D0C110">
            <w:pPr>
              <w:spacing w:line="242" w:lineRule="auto"/>
              <w:rPr>
                <w:rFonts w:ascii="Arial"/>
                <w:sz w:val="21"/>
              </w:rPr>
            </w:pPr>
          </w:p>
          <w:p w14:paraId="1D91A7AE">
            <w:pPr>
              <w:spacing w:line="242" w:lineRule="auto"/>
              <w:rPr>
                <w:rFonts w:ascii="Arial"/>
                <w:sz w:val="21"/>
              </w:rPr>
            </w:pPr>
          </w:p>
          <w:p w14:paraId="18EA3C80">
            <w:pPr>
              <w:spacing w:line="242" w:lineRule="auto"/>
              <w:rPr>
                <w:rFonts w:ascii="Arial"/>
                <w:sz w:val="21"/>
              </w:rPr>
            </w:pPr>
          </w:p>
          <w:p w14:paraId="42CCF62F">
            <w:pPr>
              <w:spacing w:line="242" w:lineRule="auto"/>
              <w:rPr>
                <w:rFonts w:ascii="Arial"/>
                <w:sz w:val="21"/>
              </w:rPr>
            </w:pPr>
          </w:p>
          <w:p w14:paraId="03348857">
            <w:pPr>
              <w:spacing w:line="242" w:lineRule="auto"/>
              <w:rPr>
                <w:rFonts w:ascii="Arial"/>
                <w:sz w:val="21"/>
              </w:rPr>
            </w:pPr>
          </w:p>
          <w:p w14:paraId="36428A6F">
            <w:pPr>
              <w:spacing w:line="242" w:lineRule="auto"/>
              <w:rPr>
                <w:rFonts w:ascii="Arial"/>
                <w:sz w:val="21"/>
              </w:rPr>
            </w:pPr>
          </w:p>
          <w:p w14:paraId="561F03BA">
            <w:pPr>
              <w:spacing w:line="243" w:lineRule="auto"/>
              <w:rPr>
                <w:rFonts w:ascii="Arial"/>
                <w:sz w:val="21"/>
              </w:rPr>
            </w:pPr>
          </w:p>
          <w:p w14:paraId="279A3E32">
            <w:pPr>
              <w:spacing w:line="243" w:lineRule="auto"/>
              <w:rPr>
                <w:rFonts w:ascii="Arial"/>
                <w:sz w:val="21"/>
              </w:rPr>
            </w:pPr>
          </w:p>
          <w:p w14:paraId="121390AC">
            <w:pPr>
              <w:spacing w:line="243" w:lineRule="auto"/>
              <w:rPr>
                <w:rFonts w:ascii="Arial"/>
                <w:sz w:val="21"/>
              </w:rPr>
            </w:pPr>
          </w:p>
          <w:p w14:paraId="404BB08F">
            <w:pPr>
              <w:spacing w:line="243" w:lineRule="auto"/>
              <w:rPr>
                <w:rFonts w:ascii="Arial"/>
                <w:sz w:val="21"/>
              </w:rPr>
            </w:pPr>
          </w:p>
          <w:p w14:paraId="3D76FB25">
            <w:pPr>
              <w:spacing w:line="243" w:lineRule="auto"/>
              <w:rPr>
                <w:rFonts w:ascii="Arial"/>
                <w:sz w:val="21"/>
              </w:rPr>
            </w:pPr>
          </w:p>
          <w:p w14:paraId="32BABF3F">
            <w:pPr>
              <w:pStyle w:val="6"/>
              <w:spacing w:before="69" w:line="252" w:lineRule="auto"/>
              <w:ind w:left="18" w:right="70" w:firstLine="109"/>
              <w:rPr>
                <w:sz w:val="21"/>
                <w:szCs w:val="21"/>
              </w:rPr>
            </w:pPr>
            <w:r>
              <w:rPr>
                <w:spacing w:val="6"/>
                <w:sz w:val="21"/>
                <w:szCs w:val="21"/>
              </w:rPr>
              <w:t>处置率达100%,</w:t>
            </w:r>
            <w:r>
              <w:rPr>
                <w:spacing w:val="4"/>
                <w:sz w:val="21"/>
                <w:szCs w:val="21"/>
              </w:rPr>
              <w:t xml:space="preserve"> </w:t>
            </w:r>
            <w:r>
              <w:rPr>
                <w:spacing w:val="-1"/>
                <w:sz w:val="21"/>
                <w:szCs w:val="21"/>
              </w:rPr>
              <w:t>不外排。</w:t>
            </w:r>
          </w:p>
        </w:tc>
      </w:tr>
      <w:tr w14:paraId="654E3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563" w:type="dxa"/>
            <w:vAlign w:val="top"/>
          </w:tcPr>
          <w:p w14:paraId="204D20FC">
            <w:pPr>
              <w:pStyle w:val="6"/>
              <w:spacing w:before="246" w:line="220" w:lineRule="auto"/>
              <w:ind w:left="355"/>
              <w:rPr>
                <w:sz w:val="21"/>
                <w:szCs w:val="21"/>
              </w:rPr>
            </w:pPr>
            <w:r>
              <w:rPr>
                <w:spacing w:val="2"/>
                <w:sz w:val="21"/>
                <w:szCs w:val="21"/>
              </w:rPr>
              <w:t>电磁环境</w:t>
            </w:r>
          </w:p>
        </w:tc>
        <w:tc>
          <w:tcPr>
            <w:tcW w:w="8297" w:type="dxa"/>
            <w:gridSpan w:val="4"/>
            <w:vAlign w:val="top"/>
          </w:tcPr>
          <w:p w14:paraId="6165B046">
            <w:pPr>
              <w:pStyle w:val="6"/>
              <w:spacing w:before="243" w:line="218" w:lineRule="auto"/>
              <w:ind w:left="31"/>
              <w:rPr>
                <w:sz w:val="21"/>
                <w:szCs w:val="21"/>
              </w:rPr>
            </w:pPr>
            <w:r>
              <w:rPr>
                <w:sz w:val="21"/>
                <w:szCs w:val="21"/>
              </w:rPr>
              <w:t>本环评电磁环境影响评价编制了专章，具体保护措施及验收要</w:t>
            </w:r>
            <w:r>
              <w:rPr>
                <w:spacing w:val="-1"/>
                <w:sz w:val="21"/>
                <w:szCs w:val="21"/>
              </w:rPr>
              <w:t>求详见专章。</w:t>
            </w:r>
          </w:p>
        </w:tc>
      </w:tr>
      <w:tr w14:paraId="62D29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8" w:hRule="atLeast"/>
        </w:trPr>
        <w:tc>
          <w:tcPr>
            <w:tcW w:w="1563" w:type="dxa"/>
            <w:vAlign w:val="top"/>
          </w:tcPr>
          <w:p w14:paraId="407D9BB4">
            <w:pPr>
              <w:spacing w:line="262" w:lineRule="auto"/>
              <w:rPr>
                <w:rFonts w:ascii="Arial"/>
                <w:sz w:val="21"/>
              </w:rPr>
            </w:pPr>
          </w:p>
          <w:p w14:paraId="5A88F947">
            <w:pPr>
              <w:spacing w:line="263" w:lineRule="auto"/>
              <w:rPr>
                <w:rFonts w:ascii="Arial"/>
                <w:sz w:val="21"/>
              </w:rPr>
            </w:pPr>
          </w:p>
          <w:p w14:paraId="2A42233E">
            <w:pPr>
              <w:spacing w:line="263" w:lineRule="auto"/>
              <w:rPr>
                <w:rFonts w:ascii="Arial"/>
                <w:sz w:val="21"/>
              </w:rPr>
            </w:pPr>
          </w:p>
          <w:p w14:paraId="350C8C9D">
            <w:pPr>
              <w:spacing w:line="263" w:lineRule="auto"/>
              <w:rPr>
                <w:rFonts w:ascii="Arial"/>
                <w:sz w:val="21"/>
              </w:rPr>
            </w:pPr>
          </w:p>
          <w:p w14:paraId="4C43129B">
            <w:pPr>
              <w:pStyle w:val="6"/>
              <w:spacing w:before="68" w:line="220" w:lineRule="auto"/>
              <w:ind w:left="355"/>
              <w:rPr>
                <w:sz w:val="21"/>
                <w:szCs w:val="21"/>
              </w:rPr>
            </w:pPr>
            <w:r>
              <w:rPr>
                <w:spacing w:val="-2"/>
                <w:sz w:val="21"/>
                <w:szCs w:val="21"/>
              </w:rPr>
              <w:t>环境风险</w:t>
            </w:r>
          </w:p>
        </w:tc>
        <w:tc>
          <w:tcPr>
            <w:tcW w:w="2248" w:type="dxa"/>
            <w:vAlign w:val="top"/>
          </w:tcPr>
          <w:p w14:paraId="72CA2EB2">
            <w:pPr>
              <w:pStyle w:val="6"/>
              <w:spacing w:before="64" w:line="219" w:lineRule="auto"/>
              <w:ind w:left="172"/>
              <w:rPr>
                <w:sz w:val="21"/>
                <w:szCs w:val="21"/>
              </w:rPr>
            </w:pPr>
            <w:r>
              <w:rPr>
                <w:spacing w:val="-1"/>
                <w:sz w:val="21"/>
                <w:szCs w:val="21"/>
              </w:rPr>
              <w:t>加强燃油机械维修保</w:t>
            </w:r>
          </w:p>
          <w:p w14:paraId="4BD8F5E1">
            <w:pPr>
              <w:pStyle w:val="6"/>
              <w:spacing w:before="12" w:line="219" w:lineRule="auto"/>
              <w:ind w:left="62"/>
              <w:rPr>
                <w:sz w:val="21"/>
                <w:szCs w:val="21"/>
              </w:rPr>
            </w:pPr>
            <w:r>
              <w:rPr>
                <w:spacing w:val="-1"/>
                <w:sz w:val="21"/>
                <w:szCs w:val="21"/>
              </w:rPr>
              <w:t>养；暂存的汽柴油区应</w:t>
            </w:r>
          </w:p>
          <w:p w14:paraId="6BDFC55B">
            <w:pPr>
              <w:pStyle w:val="6"/>
              <w:spacing w:before="20" w:line="219" w:lineRule="auto"/>
              <w:ind w:left="62"/>
              <w:rPr>
                <w:sz w:val="21"/>
                <w:szCs w:val="21"/>
              </w:rPr>
            </w:pPr>
            <w:r>
              <w:rPr>
                <w:spacing w:val="-2"/>
                <w:sz w:val="21"/>
                <w:szCs w:val="21"/>
              </w:rPr>
              <w:t>设置严禁烟火等禁火标</w:t>
            </w:r>
          </w:p>
          <w:p w14:paraId="587721CC">
            <w:pPr>
              <w:pStyle w:val="6"/>
              <w:spacing w:before="29" w:line="219" w:lineRule="auto"/>
              <w:ind w:left="62"/>
              <w:rPr>
                <w:sz w:val="21"/>
                <w:szCs w:val="21"/>
              </w:rPr>
            </w:pPr>
            <w:r>
              <w:rPr>
                <w:spacing w:val="-1"/>
                <w:sz w:val="21"/>
                <w:szCs w:val="21"/>
              </w:rPr>
              <w:t>识；燃油机械加油时应</w:t>
            </w:r>
          </w:p>
          <w:p w14:paraId="0951461C">
            <w:pPr>
              <w:pStyle w:val="6"/>
              <w:spacing w:before="22" w:line="219" w:lineRule="auto"/>
              <w:ind w:left="62"/>
              <w:rPr>
                <w:sz w:val="21"/>
                <w:szCs w:val="21"/>
              </w:rPr>
            </w:pPr>
            <w:r>
              <w:rPr>
                <w:spacing w:val="-1"/>
                <w:sz w:val="21"/>
                <w:szCs w:val="21"/>
              </w:rPr>
              <w:t>做好巡查工作；制定严</w:t>
            </w:r>
          </w:p>
          <w:p w14:paraId="360BE29A">
            <w:pPr>
              <w:pStyle w:val="6"/>
              <w:spacing w:before="21" w:line="219" w:lineRule="auto"/>
              <w:ind w:left="62"/>
              <w:rPr>
                <w:sz w:val="21"/>
                <w:szCs w:val="21"/>
              </w:rPr>
            </w:pPr>
            <w:r>
              <w:rPr>
                <w:spacing w:val="1"/>
                <w:sz w:val="21"/>
                <w:szCs w:val="21"/>
              </w:rPr>
              <w:t>格健全的安全管理制度</w:t>
            </w:r>
          </w:p>
          <w:p w14:paraId="59C6558A">
            <w:pPr>
              <w:pStyle w:val="6"/>
              <w:spacing w:before="21" w:line="220" w:lineRule="auto"/>
              <w:ind w:left="172"/>
              <w:rPr>
                <w:sz w:val="21"/>
                <w:szCs w:val="21"/>
              </w:rPr>
            </w:pPr>
            <w:r>
              <w:rPr>
                <w:spacing w:val="2"/>
                <w:sz w:val="21"/>
                <w:szCs w:val="21"/>
              </w:rPr>
              <w:t>和相关人员的培训制</w:t>
            </w:r>
          </w:p>
          <w:p w14:paraId="3AC45ED0">
            <w:pPr>
              <w:pStyle w:val="6"/>
              <w:spacing w:before="9" w:line="219" w:lineRule="auto"/>
              <w:jc w:val="right"/>
              <w:rPr>
                <w:sz w:val="21"/>
                <w:szCs w:val="21"/>
              </w:rPr>
            </w:pPr>
            <w:r>
              <w:rPr>
                <w:spacing w:val="7"/>
                <w:sz w:val="21"/>
                <w:szCs w:val="21"/>
              </w:rPr>
              <w:t>度，规范汽柴油运输、</w:t>
            </w:r>
          </w:p>
          <w:p w14:paraId="0BC31197">
            <w:pPr>
              <w:pStyle w:val="6"/>
              <w:spacing w:before="21" w:line="196" w:lineRule="auto"/>
              <w:ind w:left="182"/>
              <w:rPr>
                <w:sz w:val="21"/>
                <w:szCs w:val="21"/>
              </w:rPr>
            </w:pPr>
            <w:r>
              <w:rPr>
                <w:spacing w:val="-1"/>
                <w:sz w:val="21"/>
                <w:szCs w:val="21"/>
              </w:rPr>
              <w:t>使用和储存的过程。</w:t>
            </w:r>
          </w:p>
        </w:tc>
        <w:tc>
          <w:tcPr>
            <w:tcW w:w="1489" w:type="dxa"/>
            <w:vAlign w:val="top"/>
          </w:tcPr>
          <w:p w14:paraId="1F88DEED">
            <w:pPr>
              <w:spacing w:line="326" w:lineRule="auto"/>
              <w:rPr>
                <w:rFonts w:ascii="Arial"/>
                <w:sz w:val="21"/>
              </w:rPr>
            </w:pPr>
          </w:p>
          <w:p w14:paraId="6C3B55FE">
            <w:pPr>
              <w:spacing w:line="327" w:lineRule="auto"/>
              <w:rPr>
                <w:rFonts w:ascii="Arial"/>
                <w:sz w:val="21"/>
              </w:rPr>
            </w:pPr>
          </w:p>
          <w:p w14:paraId="7F5638F6">
            <w:pPr>
              <w:pStyle w:val="6"/>
              <w:spacing w:before="68" w:line="219" w:lineRule="auto"/>
              <w:ind w:left="104"/>
              <w:rPr>
                <w:sz w:val="21"/>
                <w:szCs w:val="21"/>
              </w:rPr>
            </w:pPr>
            <w:r>
              <w:rPr>
                <w:spacing w:val="2"/>
                <w:sz w:val="21"/>
                <w:szCs w:val="21"/>
              </w:rPr>
              <w:t>施工期影像资</w:t>
            </w:r>
          </w:p>
          <w:p w14:paraId="66381D3D">
            <w:pPr>
              <w:pStyle w:val="6"/>
              <w:spacing w:before="20" w:line="219" w:lineRule="auto"/>
              <w:ind w:right="2"/>
              <w:jc w:val="right"/>
              <w:rPr>
                <w:sz w:val="21"/>
                <w:szCs w:val="21"/>
              </w:rPr>
            </w:pPr>
            <w:r>
              <w:rPr>
                <w:spacing w:val="-2"/>
                <w:sz w:val="21"/>
                <w:szCs w:val="21"/>
              </w:rPr>
              <w:t>料、环境监理报</w:t>
            </w:r>
          </w:p>
          <w:p w14:paraId="7230F283">
            <w:pPr>
              <w:pStyle w:val="6"/>
              <w:spacing w:before="38" w:line="218" w:lineRule="auto"/>
              <w:jc w:val="right"/>
              <w:rPr>
                <w:sz w:val="21"/>
                <w:szCs w:val="21"/>
              </w:rPr>
            </w:pPr>
            <w:r>
              <w:rPr>
                <w:spacing w:val="-1"/>
                <w:sz w:val="21"/>
                <w:szCs w:val="21"/>
              </w:rPr>
              <w:t>告；无环境风险</w:t>
            </w:r>
          </w:p>
          <w:p w14:paraId="6904E72F">
            <w:pPr>
              <w:pStyle w:val="6"/>
              <w:spacing w:before="15" w:line="220" w:lineRule="auto"/>
              <w:ind w:left="314"/>
              <w:rPr>
                <w:sz w:val="21"/>
                <w:szCs w:val="21"/>
              </w:rPr>
            </w:pPr>
            <w:r>
              <w:rPr>
                <w:spacing w:val="-2"/>
                <w:sz w:val="21"/>
                <w:szCs w:val="21"/>
              </w:rPr>
              <w:t>事故发生</w:t>
            </w:r>
          </w:p>
        </w:tc>
        <w:tc>
          <w:tcPr>
            <w:tcW w:w="2927" w:type="dxa"/>
            <w:vAlign w:val="top"/>
          </w:tcPr>
          <w:p w14:paraId="0A10F18E">
            <w:pPr>
              <w:spacing w:line="307" w:lineRule="auto"/>
              <w:rPr>
                <w:rFonts w:ascii="Arial"/>
                <w:sz w:val="21"/>
              </w:rPr>
            </w:pPr>
          </w:p>
          <w:p w14:paraId="5BEDEFE7">
            <w:pPr>
              <w:spacing w:line="307" w:lineRule="auto"/>
              <w:rPr>
                <w:rFonts w:ascii="Arial"/>
                <w:sz w:val="21"/>
              </w:rPr>
            </w:pPr>
          </w:p>
          <w:p w14:paraId="0E808940">
            <w:pPr>
              <w:spacing w:line="307" w:lineRule="auto"/>
              <w:rPr>
                <w:rFonts w:ascii="Arial"/>
                <w:sz w:val="21"/>
              </w:rPr>
            </w:pPr>
          </w:p>
          <w:p w14:paraId="29A776C7">
            <w:pPr>
              <w:pStyle w:val="6"/>
              <w:spacing w:before="68" w:line="258" w:lineRule="auto"/>
              <w:ind w:left="824" w:right="79" w:hanging="730"/>
              <w:rPr>
                <w:sz w:val="21"/>
                <w:szCs w:val="21"/>
              </w:rPr>
            </w:pPr>
            <w:r>
              <w:rPr>
                <w:sz w:val="21"/>
                <w:szCs w:val="21"/>
              </w:rPr>
              <w:t>变压器油、危废暂存间、火灾</w:t>
            </w:r>
            <w:r>
              <w:rPr>
                <w:spacing w:val="11"/>
                <w:sz w:val="21"/>
                <w:szCs w:val="21"/>
              </w:rPr>
              <w:t xml:space="preserve"> </w:t>
            </w:r>
            <w:r>
              <w:rPr>
                <w:spacing w:val="-2"/>
                <w:sz w:val="21"/>
                <w:szCs w:val="21"/>
              </w:rPr>
              <w:t>事故防范措施</w:t>
            </w:r>
          </w:p>
        </w:tc>
        <w:tc>
          <w:tcPr>
            <w:tcW w:w="1633" w:type="dxa"/>
            <w:vAlign w:val="top"/>
          </w:tcPr>
          <w:p w14:paraId="3A7E011A">
            <w:pPr>
              <w:spacing w:line="311" w:lineRule="auto"/>
              <w:rPr>
                <w:rFonts w:ascii="Arial"/>
                <w:sz w:val="21"/>
              </w:rPr>
            </w:pPr>
          </w:p>
          <w:p w14:paraId="7D90401A">
            <w:pPr>
              <w:spacing w:line="311" w:lineRule="auto"/>
              <w:rPr>
                <w:rFonts w:ascii="Arial"/>
                <w:sz w:val="21"/>
              </w:rPr>
            </w:pPr>
          </w:p>
          <w:p w14:paraId="28395F46">
            <w:pPr>
              <w:spacing w:line="311" w:lineRule="auto"/>
              <w:rPr>
                <w:rFonts w:ascii="Arial"/>
                <w:sz w:val="21"/>
              </w:rPr>
            </w:pPr>
          </w:p>
          <w:p w14:paraId="715E2FE3">
            <w:pPr>
              <w:pStyle w:val="6"/>
              <w:spacing w:before="68" w:line="248" w:lineRule="auto"/>
              <w:ind w:left="227" w:right="63" w:hanging="149"/>
              <w:rPr>
                <w:sz w:val="21"/>
                <w:szCs w:val="21"/>
              </w:rPr>
            </w:pPr>
            <w:r>
              <w:rPr>
                <w:spacing w:val="1"/>
                <w:sz w:val="21"/>
                <w:szCs w:val="21"/>
              </w:rPr>
              <w:t>各项风险防范措</w:t>
            </w:r>
            <w:r>
              <w:rPr>
                <w:spacing w:val="3"/>
                <w:sz w:val="21"/>
                <w:szCs w:val="21"/>
              </w:rPr>
              <w:t xml:space="preserve"> </w:t>
            </w:r>
            <w:r>
              <w:rPr>
                <w:sz w:val="21"/>
                <w:szCs w:val="21"/>
              </w:rPr>
              <w:t>施落实到位。</w:t>
            </w:r>
          </w:p>
        </w:tc>
      </w:tr>
      <w:tr w14:paraId="6CF48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4" w:hRule="atLeast"/>
        </w:trPr>
        <w:tc>
          <w:tcPr>
            <w:tcW w:w="1563" w:type="dxa"/>
            <w:vAlign w:val="top"/>
          </w:tcPr>
          <w:p w14:paraId="3CE150A6">
            <w:pPr>
              <w:spacing w:line="328" w:lineRule="auto"/>
              <w:rPr>
                <w:rFonts w:ascii="Arial"/>
                <w:sz w:val="21"/>
              </w:rPr>
            </w:pPr>
          </w:p>
          <w:p w14:paraId="637FCF68">
            <w:pPr>
              <w:spacing w:line="328" w:lineRule="auto"/>
              <w:rPr>
                <w:rFonts w:ascii="Arial"/>
                <w:sz w:val="21"/>
              </w:rPr>
            </w:pPr>
          </w:p>
          <w:p w14:paraId="277A308E">
            <w:pPr>
              <w:pStyle w:val="6"/>
              <w:spacing w:before="68" w:line="220" w:lineRule="auto"/>
              <w:ind w:left="355"/>
              <w:rPr>
                <w:sz w:val="21"/>
                <w:szCs w:val="21"/>
              </w:rPr>
            </w:pPr>
            <w:r>
              <w:rPr>
                <w:spacing w:val="4"/>
                <w:sz w:val="21"/>
                <w:szCs w:val="21"/>
              </w:rPr>
              <w:t>环境监测</w:t>
            </w:r>
          </w:p>
        </w:tc>
        <w:tc>
          <w:tcPr>
            <w:tcW w:w="2248" w:type="dxa"/>
            <w:vAlign w:val="top"/>
          </w:tcPr>
          <w:p w14:paraId="654C5606">
            <w:pPr>
              <w:pStyle w:val="6"/>
              <w:spacing w:before="57" w:line="231" w:lineRule="auto"/>
              <w:ind w:left="11" w:firstLine="47"/>
              <w:rPr>
                <w:sz w:val="21"/>
                <w:szCs w:val="21"/>
              </w:rPr>
            </w:pPr>
            <w:r>
              <w:rPr>
                <w:spacing w:val="-8"/>
                <w:sz w:val="21"/>
                <w:szCs w:val="21"/>
              </w:rPr>
              <w:t>环境空气：施工场地场</w:t>
            </w:r>
            <w:r>
              <w:rPr>
                <w:sz w:val="21"/>
                <w:szCs w:val="21"/>
              </w:rPr>
              <w:t xml:space="preserve">  </w:t>
            </w:r>
            <w:r>
              <w:rPr>
                <w:spacing w:val="3"/>
                <w:sz w:val="21"/>
                <w:szCs w:val="21"/>
              </w:rPr>
              <w:t>界上风向布设1个对照</w:t>
            </w:r>
            <w:r>
              <w:rPr>
                <w:sz w:val="21"/>
                <w:szCs w:val="21"/>
              </w:rPr>
              <w:t xml:space="preserve">   </w:t>
            </w:r>
            <w:r>
              <w:rPr>
                <w:spacing w:val="2"/>
                <w:sz w:val="21"/>
                <w:szCs w:val="21"/>
              </w:rPr>
              <w:t>点、下风向布设2个监</w:t>
            </w:r>
            <w:r>
              <w:rPr>
                <w:spacing w:val="1"/>
                <w:sz w:val="21"/>
                <w:szCs w:val="21"/>
              </w:rPr>
              <w:t xml:space="preserve">   </w:t>
            </w:r>
            <w:r>
              <w:rPr>
                <w:spacing w:val="-6"/>
                <w:sz w:val="21"/>
                <w:szCs w:val="21"/>
              </w:rPr>
              <w:t>测点，关心点栗树园上</w:t>
            </w:r>
            <w:r>
              <w:rPr>
                <w:spacing w:val="4"/>
                <w:sz w:val="21"/>
                <w:szCs w:val="21"/>
              </w:rPr>
              <w:t xml:space="preserve">  </w:t>
            </w:r>
            <w:r>
              <w:rPr>
                <w:spacing w:val="2"/>
                <w:sz w:val="21"/>
                <w:szCs w:val="21"/>
              </w:rPr>
              <w:t>设置1个监测点。声环</w:t>
            </w:r>
            <w:r>
              <w:rPr>
                <w:spacing w:val="1"/>
                <w:sz w:val="21"/>
                <w:szCs w:val="21"/>
              </w:rPr>
              <w:t xml:space="preserve">   </w:t>
            </w:r>
            <w:r>
              <w:rPr>
                <w:spacing w:val="-8"/>
                <w:sz w:val="21"/>
                <w:szCs w:val="21"/>
              </w:rPr>
              <w:t>境：施工区东、南、西、</w:t>
            </w:r>
          </w:p>
        </w:tc>
        <w:tc>
          <w:tcPr>
            <w:tcW w:w="1489" w:type="dxa"/>
            <w:vAlign w:val="top"/>
          </w:tcPr>
          <w:p w14:paraId="40BFC06F">
            <w:pPr>
              <w:pStyle w:val="6"/>
              <w:spacing w:before="58" w:line="220" w:lineRule="auto"/>
              <w:ind w:left="104"/>
              <w:rPr>
                <w:sz w:val="21"/>
                <w:szCs w:val="21"/>
              </w:rPr>
            </w:pPr>
            <w:r>
              <w:rPr>
                <w:spacing w:val="-2"/>
                <w:sz w:val="21"/>
                <w:szCs w:val="21"/>
              </w:rPr>
              <w:t>居民点声环境</w:t>
            </w:r>
          </w:p>
          <w:p w14:paraId="060F0D01">
            <w:pPr>
              <w:pStyle w:val="6"/>
              <w:spacing w:before="29" w:line="219" w:lineRule="auto"/>
              <w:jc w:val="right"/>
              <w:rPr>
                <w:sz w:val="21"/>
                <w:szCs w:val="21"/>
              </w:rPr>
            </w:pPr>
            <w:r>
              <w:rPr>
                <w:spacing w:val="-1"/>
                <w:sz w:val="21"/>
                <w:szCs w:val="21"/>
              </w:rPr>
              <w:t>满足《声环境质</w:t>
            </w:r>
          </w:p>
          <w:p w14:paraId="24DB96D3">
            <w:pPr>
              <w:pStyle w:val="6"/>
              <w:spacing w:before="11" w:line="220" w:lineRule="auto"/>
              <w:ind w:left="364"/>
              <w:rPr>
                <w:sz w:val="21"/>
                <w:szCs w:val="21"/>
              </w:rPr>
            </w:pPr>
            <w:r>
              <w:rPr>
                <w:spacing w:val="1"/>
                <w:sz w:val="21"/>
                <w:szCs w:val="21"/>
              </w:rPr>
              <w:t>量标准》</w:t>
            </w:r>
          </w:p>
          <w:p w14:paraId="1410408E">
            <w:pPr>
              <w:pStyle w:val="6"/>
              <w:spacing w:before="42" w:line="222" w:lineRule="auto"/>
              <w:ind w:left="154"/>
              <w:rPr>
                <w:sz w:val="21"/>
                <w:szCs w:val="21"/>
              </w:rPr>
            </w:pPr>
            <w:r>
              <w:rPr>
                <w:spacing w:val="-5"/>
                <w:sz w:val="21"/>
                <w:szCs w:val="21"/>
              </w:rPr>
              <w:t>(GB3096-200</w:t>
            </w:r>
          </w:p>
          <w:p w14:paraId="726206DD">
            <w:pPr>
              <w:pStyle w:val="6"/>
              <w:spacing w:before="4" w:line="219" w:lineRule="auto"/>
              <w:ind w:left="14"/>
              <w:rPr>
                <w:sz w:val="21"/>
                <w:szCs w:val="21"/>
              </w:rPr>
            </w:pPr>
            <w:r>
              <w:rPr>
                <w:spacing w:val="19"/>
                <w:w w:val="112"/>
                <w:sz w:val="21"/>
                <w:szCs w:val="21"/>
              </w:rPr>
              <w:t>8)1类和4a标</w:t>
            </w:r>
          </w:p>
          <w:p w14:paraId="50954D9B">
            <w:pPr>
              <w:pStyle w:val="6"/>
              <w:spacing w:before="30" w:line="182" w:lineRule="auto"/>
              <w:ind w:left="14"/>
              <w:rPr>
                <w:sz w:val="21"/>
                <w:szCs w:val="21"/>
              </w:rPr>
            </w:pPr>
            <w:r>
              <w:rPr>
                <w:spacing w:val="-2"/>
                <w:sz w:val="21"/>
                <w:szCs w:val="21"/>
              </w:rPr>
              <w:t>准，环境空气满</w:t>
            </w:r>
          </w:p>
        </w:tc>
        <w:tc>
          <w:tcPr>
            <w:tcW w:w="2927" w:type="dxa"/>
            <w:vAlign w:val="top"/>
          </w:tcPr>
          <w:p w14:paraId="0CD8668A">
            <w:pPr>
              <w:pStyle w:val="6"/>
              <w:spacing w:before="188" w:line="220" w:lineRule="auto"/>
              <w:ind w:left="94"/>
              <w:rPr>
                <w:sz w:val="21"/>
                <w:szCs w:val="21"/>
              </w:rPr>
            </w:pPr>
            <w:r>
              <w:rPr>
                <w:spacing w:val="-1"/>
                <w:sz w:val="21"/>
                <w:szCs w:val="21"/>
              </w:rPr>
              <w:t>升压站场界声环境质量；升压</w:t>
            </w:r>
          </w:p>
          <w:p w14:paraId="7152145F">
            <w:pPr>
              <w:pStyle w:val="6"/>
              <w:spacing w:before="39" w:line="219" w:lineRule="auto"/>
              <w:jc w:val="right"/>
              <w:rPr>
                <w:sz w:val="21"/>
                <w:szCs w:val="21"/>
              </w:rPr>
            </w:pPr>
            <w:r>
              <w:rPr>
                <w:spacing w:val="7"/>
                <w:sz w:val="21"/>
                <w:szCs w:val="21"/>
              </w:rPr>
              <w:t>站场界、衰减断面电场强度、</w:t>
            </w:r>
          </w:p>
          <w:p w14:paraId="374871C2">
            <w:pPr>
              <w:pStyle w:val="6"/>
              <w:spacing w:before="11" w:line="220" w:lineRule="auto"/>
              <w:ind w:left="825"/>
              <w:rPr>
                <w:sz w:val="21"/>
                <w:szCs w:val="21"/>
              </w:rPr>
            </w:pPr>
            <w:r>
              <w:rPr>
                <w:spacing w:val="17"/>
                <w:sz w:val="21"/>
                <w:szCs w:val="21"/>
              </w:rPr>
              <w:t>磁感应强度；</w:t>
            </w:r>
          </w:p>
          <w:p w14:paraId="1807EC43">
            <w:pPr>
              <w:pStyle w:val="6"/>
              <w:spacing w:before="19" w:line="248" w:lineRule="auto"/>
              <w:ind w:left="934" w:right="101" w:hanging="840"/>
              <w:rPr>
                <w:sz w:val="21"/>
                <w:szCs w:val="21"/>
              </w:rPr>
            </w:pPr>
            <w:r>
              <w:rPr>
                <w:spacing w:val="-1"/>
                <w:sz w:val="21"/>
                <w:szCs w:val="21"/>
              </w:rPr>
              <w:t>生活污水一体化处理系统出水</w:t>
            </w:r>
            <w:r>
              <w:rPr>
                <w:spacing w:val="2"/>
                <w:sz w:val="21"/>
                <w:szCs w:val="21"/>
              </w:rPr>
              <w:t xml:space="preserve"> </w:t>
            </w:r>
            <w:r>
              <w:rPr>
                <w:spacing w:val="3"/>
                <w:sz w:val="21"/>
                <w:szCs w:val="21"/>
              </w:rPr>
              <w:t>口水质监测</w:t>
            </w:r>
          </w:p>
        </w:tc>
        <w:tc>
          <w:tcPr>
            <w:tcW w:w="1633" w:type="dxa"/>
            <w:vAlign w:val="top"/>
          </w:tcPr>
          <w:p w14:paraId="5557C51D">
            <w:pPr>
              <w:pStyle w:val="6"/>
              <w:spacing w:before="67" w:line="219" w:lineRule="auto"/>
              <w:ind w:left="78"/>
              <w:rPr>
                <w:sz w:val="21"/>
                <w:szCs w:val="21"/>
              </w:rPr>
            </w:pPr>
            <w:r>
              <w:rPr>
                <w:spacing w:val="-2"/>
                <w:sz w:val="21"/>
                <w:szCs w:val="21"/>
              </w:rPr>
              <w:t>升压站场界满足</w:t>
            </w:r>
          </w:p>
          <w:p w14:paraId="78EF0FEE">
            <w:pPr>
              <w:pStyle w:val="6"/>
              <w:spacing w:before="21" w:line="220" w:lineRule="auto"/>
              <w:ind w:left="22"/>
              <w:rPr>
                <w:sz w:val="21"/>
                <w:szCs w:val="21"/>
              </w:rPr>
            </w:pPr>
            <w:r>
              <w:rPr>
                <w:spacing w:val="-3"/>
                <w:sz w:val="21"/>
                <w:szCs w:val="21"/>
              </w:rPr>
              <w:t>《工业企业厂界</w:t>
            </w:r>
          </w:p>
          <w:p w14:paraId="51D17494">
            <w:pPr>
              <w:pStyle w:val="6"/>
              <w:spacing w:before="9" w:line="220" w:lineRule="auto"/>
              <w:ind w:left="78"/>
              <w:rPr>
                <w:sz w:val="21"/>
                <w:szCs w:val="21"/>
              </w:rPr>
            </w:pPr>
            <w:r>
              <w:rPr>
                <w:spacing w:val="-2"/>
                <w:sz w:val="21"/>
                <w:szCs w:val="21"/>
              </w:rPr>
              <w:t>环境噪声排放标</w:t>
            </w:r>
          </w:p>
          <w:p w14:paraId="24C168BC">
            <w:pPr>
              <w:pStyle w:val="6"/>
              <w:spacing w:line="221" w:lineRule="auto"/>
              <w:ind w:left="647"/>
              <w:rPr>
                <w:sz w:val="21"/>
                <w:szCs w:val="21"/>
              </w:rPr>
            </w:pPr>
            <w:r>
              <w:rPr>
                <w:spacing w:val="2"/>
                <w:sz w:val="21"/>
                <w:szCs w:val="21"/>
              </w:rPr>
              <w:t>准》</w:t>
            </w:r>
          </w:p>
          <w:p w14:paraId="5F499D23">
            <w:pPr>
              <w:pStyle w:val="6"/>
              <w:spacing w:before="41" w:line="222" w:lineRule="auto"/>
              <w:ind w:left="127"/>
              <w:rPr>
                <w:sz w:val="21"/>
                <w:szCs w:val="21"/>
              </w:rPr>
            </w:pPr>
            <w:r>
              <w:rPr>
                <w:spacing w:val="-4"/>
                <w:sz w:val="21"/>
                <w:szCs w:val="21"/>
              </w:rPr>
              <w:t>(GB12348-2008</w:t>
            </w:r>
          </w:p>
          <w:p w14:paraId="35A62DAC">
            <w:pPr>
              <w:pStyle w:val="6"/>
              <w:spacing w:before="33" w:line="182" w:lineRule="auto"/>
              <w:ind w:left="178"/>
              <w:rPr>
                <w:sz w:val="21"/>
                <w:szCs w:val="21"/>
              </w:rPr>
            </w:pPr>
            <w:r>
              <w:rPr>
                <w:spacing w:val="-2"/>
                <w:sz w:val="21"/>
                <w:szCs w:val="21"/>
              </w:rPr>
              <w:t>)1类标准；升</w:t>
            </w:r>
          </w:p>
        </w:tc>
      </w:tr>
    </w:tbl>
    <w:p w14:paraId="06C2C30A">
      <w:pPr>
        <w:pStyle w:val="2"/>
      </w:pPr>
    </w:p>
    <w:p w14:paraId="53985F88">
      <w:pPr>
        <w:sectPr>
          <w:footerReference r:id="rId216" w:type="default"/>
          <w:pgSz w:w="11910" w:h="16830"/>
          <w:pgMar w:top="400" w:right="1034" w:bottom="1259" w:left="1004" w:header="0" w:footer="1079" w:gutter="0"/>
          <w:cols w:space="720" w:num="1"/>
        </w:sectPr>
      </w:pPr>
    </w:p>
    <w:p w14:paraId="4364065D">
      <w:pPr>
        <w:spacing w:before="15"/>
      </w:pPr>
    </w:p>
    <w:p w14:paraId="1CA3E184">
      <w:pPr>
        <w:spacing w:before="15"/>
      </w:pPr>
    </w:p>
    <w:p w14:paraId="63F9763F">
      <w:pPr>
        <w:spacing w:before="15"/>
      </w:pPr>
    </w:p>
    <w:p w14:paraId="5F44D94D">
      <w:pPr>
        <w:spacing w:before="14"/>
      </w:pPr>
    </w:p>
    <w:tbl>
      <w:tblPr>
        <w:tblStyle w:val="5"/>
        <w:tblW w:w="98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3"/>
        <w:gridCol w:w="560"/>
        <w:gridCol w:w="1688"/>
        <w:gridCol w:w="150"/>
        <w:gridCol w:w="1349"/>
        <w:gridCol w:w="579"/>
        <w:gridCol w:w="2338"/>
        <w:gridCol w:w="1623"/>
      </w:tblGrid>
      <w:tr w14:paraId="18E27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1" w:hRule="atLeast"/>
        </w:trPr>
        <w:tc>
          <w:tcPr>
            <w:tcW w:w="1593" w:type="dxa"/>
            <w:vAlign w:val="top"/>
          </w:tcPr>
          <w:p w14:paraId="6178804B">
            <w:pPr>
              <w:rPr>
                <w:rFonts w:ascii="Arial"/>
                <w:sz w:val="21"/>
              </w:rPr>
            </w:pPr>
          </w:p>
        </w:tc>
        <w:tc>
          <w:tcPr>
            <w:tcW w:w="2248" w:type="dxa"/>
            <w:gridSpan w:val="2"/>
            <w:vAlign w:val="top"/>
          </w:tcPr>
          <w:p w14:paraId="1385D3D4">
            <w:pPr>
              <w:pStyle w:val="6"/>
              <w:spacing w:before="14" w:line="220" w:lineRule="auto"/>
              <w:ind w:left="801"/>
              <w:rPr>
                <w:sz w:val="21"/>
                <w:szCs w:val="21"/>
              </w:rPr>
            </w:pPr>
            <w:r>
              <w:rPr>
                <w:spacing w:val="3"/>
                <w:sz w:val="21"/>
                <w:szCs w:val="21"/>
              </w:rPr>
              <w:t>北场界</w:t>
            </w:r>
          </w:p>
        </w:tc>
        <w:tc>
          <w:tcPr>
            <w:tcW w:w="1499" w:type="dxa"/>
            <w:gridSpan w:val="2"/>
            <w:vAlign w:val="top"/>
          </w:tcPr>
          <w:p w14:paraId="79DB8764">
            <w:pPr>
              <w:pStyle w:val="6"/>
              <w:spacing w:before="24" w:line="220" w:lineRule="auto"/>
              <w:jc w:val="right"/>
              <w:rPr>
                <w:sz w:val="21"/>
                <w:szCs w:val="21"/>
              </w:rPr>
            </w:pPr>
            <w:r>
              <w:rPr>
                <w:spacing w:val="2"/>
                <w:sz w:val="21"/>
                <w:szCs w:val="21"/>
              </w:rPr>
              <w:t>足《环境空气质</w:t>
            </w:r>
          </w:p>
          <w:p w14:paraId="120812F0">
            <w:pPr>
              <w:pStyle w:val="6"/>
              <w:spacing w:before="19" w:line="220" w:lineRule="auto"/>
              <w:ind w:left="374"/>
              <w:rPr>
                <w:sz w:val="21"/>
                <w:szCs w:val="21"/>
              </w:rPr>
            </w:pPr>
            <w:r>
              <w:rPr>
                <w:spacing w:val="-4"/>
                <w:sz w:val="21"/>
                <w:szCs w:val="21"/>
              </w:rPr>
              <w:t>量标准》</w:t>
            </w:r>
          </w:p>
          <w:p w14:paraId="1E167BA6">
            <w:pPr>
              <w:pStyle w:val="6"/>
              <w:spacing w:before="42" w:line="222" w:lineRule="auto"/>
              <w:ind w:left="163"/>
              <w:rPr>
                <w:sz w:val="21"/>
                <w:szCs w:val="21"/>
              </w:rPr>
            </w:pPr>
            <w:r>
              <w:rPr>
                <w:spacing w:val="-5"/>
                <w:sz w:val="21"/>
                <w:szCs w:val="21"/>
              </w:rPr>
              <w:t>(GB3095-201</w:t>
            </w:r>
          </w:p>
          <w:p w14:paraId="719AF7B5">
            <w:pPr>
              <w:pStyle w:val="6"/>
              <w:spacing w:before="4" w:line="220" w:lineRule="auto"/>
              <w:ind w:left="44"/>
              <w:rPr>
                <w:sz w:val="21"/>
                <w:szCs w:val="21"/>
              </w:rPr>
            </w:pPr>
            <w:r>
              <w:rPr>
                <w:spacing w:val="36"/>
                <w:sz w:val="21"/>
                <w:szCs w:val="21"/>
              </w:rPr>
              <w:t>2);施工场界</w:t>
            </w:r>
          </w:p>
          <w:p w14:paraId="4EC79326">
            <w:pPr>
              <w:pStyle w:val="6"/>
              <w:spacing w:before="29" w:line="219" w:lineRule="auto"/>
              <w:ind w:left="4"/>
              <w:rPr>
                <w:sz w:val="21"/>
                <w:szCs w:val="21"/>
              </w:rPr>
            </w:pPr>
            <w:r>
              <w:rPr>
                <w:spacing w:val="-2"/>
                <w:sz w:val="21"/>
                <w:szCs w:val="21"/>
              </w:rPr>
              <w:t>满足《建筑施工</w:t>
            </w:r>
          </w:p>
          <w:p w14:paraId="75FDAD35">
            <w:pPr>
              <w:pStyle w:val="6"/>
              <w:spacing w:before="21" w:line="220" w:lineRule="auto"/>
              <w:ind w:left="114"/>
              <w:rPr>
                <w:sz w:val="21"/>
                <w:szCs w:val="21"/>
              </w:rPr>
            </w:pPr>
            <w:r>
              <w:rPr>
                <w:spacing w:val="2"/>
                <w:sz w:val="21"/>
                <w:szCs w:val="21"/>
              </w:rPr>
              <w:t>场界环境噪声</w:t>
            </w:r>
          </w:p>
          <w:p w14:paraId="14ECB6C3">
            <w:pPr>
              <w:pStyle w:val="6"/>
              <w:spacing w:before="20" w:line="220" w:lineRule="auto"/>
              <w:ind w:left="264"/>
              <w:rPr>
                <w:sz w:val="21"/>
                <w:szCs w:val="21"/>
              </w:rPr>
            </w:pPr>
            <w:r>
              <w:rPr>
                <w:spacing w:val="1"/>
                <w:sz w:val="21"/>
                <w:szCs w:val="21"/>
              </w:rPr>
              <w:t>排放标准》</w:t>
            </w:r>
          </w:p>
          <w:p w14:paraId="20E23EB1">
            <w:pPr>
              <w:pStyle w:val="6"/>
              <w:spacing w:before="43" w:line="222" w:lineRule="auto"/>
              <w:ind w:left="163"/>
              <w:rPr>
                <w:sz w:val="21"/>
                <w:szCs w:val="21"/>
              </w:rPr>
            </w:pPr>
            <w:r>
              <w:rPr>
                <w:spacing w:val="-5"/>
                <w:sz w:val="21"/>
                <w:szCs w:val="21"/>
              </w:rPr>
              <w:t>(GB12523-20</w:t>
            </w:r>
          </w:p>
          <w:p w14:paraId="18DBA14F">
            <w:pPr>
              <w:pStyle w:val="6"/>
              <w:spacing w:before="7" w:line="222" w:lineRule="auto"/>
              <w:ind w:left="534"/>
              <w:rPr>
                <w:sz w:val="21"/>
                <w:szCs w:val="21"/>
              </w:rPr>
            </w:pPr>
            <w:r>
              <w:rPr>
                <w:spacing w:val="-9"/>
                <w:sz w:val="21"/>
                <w:szCs w:val="21"/>
              </w:rPr>
              <w:t>11)。</w:t>
            </w:r>
          </w:p>
        </w:tc>
        <w:tc>
          <w:tcPr>
            <w:tcW w:w="2917" w:type="dxa"/>
            <w:gridSpan w:val="2"/>
            <w:vAlign w:val="top"/>
          </w:tcPr>
          <w:p w14:paraId="03C219A8">
            <w:pPr>
              <w:rPr>
                <w:rFonts w:ascii="Arial"/>
                <w:sz w:val="21"/>
              </w:rPr>
            </w:pPr>
          </w:p>
        </w:tc>
        <w:tc>
          <w:tcPr>
            <w:tcW w:w="1623" w:type="dxa"/>
            <w:vAlign w:val="top"/>
          </w:tcPr>
          <w:p w14:paraId="5006BC25">
            <w:pPr>
              <w:pStyle w:val="6"/>
              <w:spacing w:before="44" w:line="220" w:lineRule="auto"/>
              <w:ind w:left="67"/>
              <w:rPr>
                <w:sz w:val="21"/>
                <w:szCs w:val="21"/>
              </w:rPr>
            </w:pPr>
            <w:r>
              <w:rPr>
                <w:spacing w:val="-2"/>
                <w:sz w:val="21"/>
                <w:szCs w:val="21"/>
              </w:rPr>
              <w:t>压站场界、衰减</w:t>
            </w:r>
          </w:p>
          <w:p w14:paraId="7F34AD18">
            <w:pPr>
              <w:pStyle w:val="6"/>
              <w:spacing w:before="9" w:line="219" w:lineRule="auto"/>
              <w:jc w:val="right"/>
              <w:rPr>
                <w:sz w:val="21"/>
                <w:szCs w:val="21"/>
              </w:rPr>
            </w:pPr>
            <w:r>
              <w:rPr>
                <w:spacing w:val="10"/>
                <w:sz w:val="21"/>
                <w:szCs w:val="21"/>
              </w:rPr>
              <w:t>断面电场强度、</w:t>
            </w:r>
          </w:p>
          <w:p w14:paraId="6684B066">
            <w:pPr>
              <w:pStyle w:val="6"/>
              <w:spacing w:before="20" w:line="219" w:lineRule="auto"/>
              <w:ind w:left="67"/>
              <w:rPr>
                <w:sz w:val="21"/>
                <w:szCs w:val="21"/>
              </w:rPr>
            </w:pPr>
            <w:r>
              <w:rPr>
                <w:spacing w:val="-2"/>
                <w:sz w:val="21"/>
                <w:szCs w:val="21"/>
              </w:rPr>
              <w:t>磁感应强度满足</w:t>
            </w:r>
          </w:p>
          <w:p w14:paraId="61E9A62D">
            <w:pPr>
              <w:pStyle w:val="6"/>
              <w:spacing w:before="31" w:line="220" w:lineRule="auto"/>
              <w:ind w:left="12"/>
              <w:rPr>
                <w:sz w:val="21"/>
                <w:szCs w:val="21"/>
              </w:rPr>
            </w:pPr>
            <w:r>
              <w:rPr>
                <w:sz w:val="21"/>
                <w:szCs w:val="21"/>
              </w:rPr>
              <w:t>《电磁环境控制</w:t>
            </w:r>
          </w:p>
          <w:p w14:paraId="5F5862CF">
            <w:pPr>
              <w:pStyle w:val="6"/>
              <w:spacing w:before="19" w:line="219" w:lineRule="auto"/>
              <w:ind w:left="538"/>
              <w:rPr>
                <w:sz w:val="21"/>
                <w:szCs w:val="21"/>
              </w:rPr>
            </w:pPr>
            <w:r>
              <w:rPr>
                <w:spacing w:val="1"/>
                <w:sz w:val="21"/>
                <w:szCs w:val="21"/>
              </w:rPr>
              <w:t>限值》</w:t>
            </w:r>
          </w:p>
          <w:p w14:paraId="26D5F5CC">
            <w:pPr>
              <w:pStyle w:val="6"/>
              <w:spacing w:before="43" w:line="218" w:lineRule="auto"/>
              <w:ind w:left="117"/>
              <w:rPr>
                <w:sz w:val="21"/>
                <w:szCs w:val="21"/>
              </w:rPr>
            </w:pPr>
            <w:r>
              <w:rPr>
                <w:spacing w:val="-4"/>
                <w:sz w:val="21"/>
                <w:szCs w:val="21"/>
              </w:rPr>
              <w:t>(GB8702-2014)</w:t>
            </w:r>
          </w:p>
          <w:p w14:paraId="6335B066">
            <w:pPr>
              <w:pStyle w:val="6"/>
              <w:spacing w:line="220" w:lineRule="auto"/>
              <w:ind w:left="67"/>
              <w:rPr>
                <w:sz w:val="21"/>
                <w:szCs w:val="21"/>
              </w:rPr>
            </w:pPr>
            <w:r>
              <w:rPr>
                <w:spacing w:val="1"/>
                <w:sz w:val="21"/>
                <w:szCs w:val="21"/>
              </w:rPr>
              <w:t>电场强度和磁感</w:t>
            </w:r>
          </w:p>
          <w:p w14:paraId="750410CA">
            <w:pPr>
              <w:pStyle w:val="6"/>
              <w:spacing w:before="39" w:line="219" w:lineRule="auto"/>
              <w:ind w:left="178"/>
              <w:rPr>
                <w:sz w:val="21"/>
                <w:szCs w:val="21"/>
              </w:rPr>
            </w:pPr>
            <w:r>
              <w:rPr>
                <w:spacing w:val="-2"/>
                <w:sz w:val="21"/>
                <w:szCs w:val="21"/>
              </w:rPr>
              <w:t>应强度限值要</w:t>
            </w:r>
          </w:p>
          <w:p w14:paraId="0C3C07E0">
            <w:pPr>
              <w:pStyle w:val="6"/>
              <w:spacing w:before="11" w:line="219" w:lineRule="auto"/>
              <w:ind w:left="67"/>
              <w:rPr>
                <w:sz w:val="21"/>
                <w:szCs w:val="21"/>
              </w:rPr>
            </w:pPr>
            <w:r>
              <w:rPr>
                <w:spacing w:val="3"/>
                <w:sz w:val="21"/>
                <w:szCs w:val="21"/>
              </w:rPr>
              <w:t>求。生活污水一</w:t>
            </w:r>
          </w:p>
          <w:p w14:paraId="36FF4FF3">
            <w:pPr>
              <w:pStyle w:val="6"/>
              <w:spacing w:before="22" w:line="221" w:lineRule="auto"/>
              <w:ind w:left="67"/>
              <w:rPr>
                <w:sz w:val="21"/>
                <w:szCs w:val="21"/>
              </w:rPr>
            </w:pPr>
            <w:r>
              <w:rPr>
                <w:spacing w:val="3"/>
                <w:sz w:val="21"/>
                <w:szCs w:val="21"/>
              </w:rPr>
              <w:t>体化处理系统出</w:t>
            </w:r>
          </w:p>
          <w:p w14:paraId="5FE2CA9A">
            <w:pPr>
              <w:pStyle w:val="6"/>
              <w:spacing w:before="28" w:line="219" w:lineRule="auto"/>
              <w:ind w:left="178"/>
              <w:rPr>
                <w:sz w:val="21"/>
                <w:szCs w:val="21"/>
              </w:rPr>
            </w:pPr>
            <w:r>
              <w:rPr>
                <w:spacing w:val="2"/>
                <w:sz w:val="21"/>
                <w:szCs w:val="21"/>
              </w:rPr>
              <w:t>水口水质达到</w:t>
            </w:r>
          </w:p>
          <w:p w14:paraId="7925A2A1">
            <w:pPr>
              <w:pStyle w:val="6"/>
              <w:spacing w:before="11" w:line="219" w:lineRule="auto"/>
              <w:ind w:left="12"/>
              <w:rPr>
                <w:sz w:val="21"/>
                <w:szCs w:val="21"/>
              </w:rPr>
            </w:pPr>
            <w:r>
              <w:rPr>
                <w:sz w:val="21"/>
                <w:szCs w:val="21"/>
              </w:rPr>
              <w:t>《城市污水再生</w:t>
            </w:r>
          </w:p>
          <w:p w14:paraId="15EA4151">
            <w:pPr>
              <w:pStyle w:val="6"/>
              <w:spacing w:before="30" w:line="219" w:lineRule="auto"/>
              <w:ind w:left="178"/>
              <w:rPr>
                <w:sz w:val="21"/>
                <w:szCs w:val="21"/>
              </w:rPr>
            </w:pPr>
            <w:r>
              <w:rPr>
                <w:spacing w:val="4"/>
                <w:sz w:val="21"/>
                <w:szCs w:val="21"/>
              </w:rPr>
              <w:t>利用城市杂用</w:t>
            </w:r>
          </w:p>
          <w:p w14:paraId="34EAB67C">
            <w:pPr>
              <w:pStyle w:val="6"/>
              <w:spacing w:before="21" w:line="219" w:lineRule="auto"/>
              <w:ind w:left="438"/>
              <w:rPr>
                <w:sz w:val="21"/>
                <w:szCs w:val="21"/>
              </w:rPr>
            </w:pPr>
            <w:r>
              <w:rPr>
                <w:spacing w:val="-4"/>
                <w:sz w:val="21"/>
                <w:szCs w:val="21"/>
              </w:rPr>
              <w:t>水水质》</w:t>
            </w:r>
          </w:p>
          <w:p w14:paraId="2FBD313C">
            <w:pPr>
              <w:pStyle w:val="6"/>
              <w:spacing w:before="44" w:line="222" w:lineRule="auto"/>
              <w:ind w:left="117"/>
              <w:rPr>
                <w:sz w:val="21"/>
                <w:szCs w:val="21"/>
              </w:rPr>
            </w:pPr>
            <w:r>
              <w:rPr>
                <w:spacing w:val="-4"/>
                <w:sz w:val="21"/>
                <w:szCs w:val="21"/>
              </w:rPr>
              <w:t>(GB/T18920-20</w:t>
            </w:r>
          </w:p>
          <w:p w14:paraId="472FE791">
            <w:pPr>
              <w:pStyle w:val="6"/>
              <w:spacing w:before="5" w:line="219" w:lineRule="auto"/>
              <w:ind w:left="117"/>
              <w:rPr>
                <w:sz w:val="21"/>
                <w:szCs w:val="21"/>
              </w:rPr>
            </w:pPr>
            <w:r>
              <w:rPr>
                <w:spacing w:val="1"/>
                <w:sz w:val="21"/>
                <w:szCs w:val="21"/>
              </w:rPr>
              <w:t>20)中“城市绿</w:t>
            </w:r>
          </w:p>
          <w:p w14:paraId="75316D97">
            <w:pPr>
              <w:pStyle w:val="6"/>
              <w:spacing w:before="20" w:line="219" w:lineRule="auto"/>
              <w:jc w:val="right"/>
              <w:rPr>
                <w:sz w:val="21"/>
                <w:szCs w:val="21"/>
              </w:rPr>
            </w:pPr>
            <w:r>
              <w:rPr>
                <w:spacing w:val="-12"/>
                <w:sz w:val="21"/>
                <w:szCs w:val="21"/>
              </w:rPr>
              <w:t>化、</w:t>
            </w:r>
            <w:r>
              <w:rPr>
                <w:spacing w:val="-11"/>
                <w:sz w:val="21"/>
                <w:szCs w:val="21"/>
              </w:rPr>
              <w:t>道路清扫”</w:t>
            </w:r>
            <w:r>
              <w:rPr>
                <w:spacing w:val="-9"/>
                <w:sz w:val="21"/>
                <w:szCs w:val="21"/>
              </w:rPr>
              <w:t>标</w:t>
            </w:r>
          </w:p>
          <w:p w14:paraId="7E428458">
            <w:pPr>
              <w:pStyle w:val="6"/>
              <w:spacing w:before="12" w:line="199" w:lineRule="auto"/>
              <w:ind w:left="698"/>
              <w:rPr>
                <w:sz w:val="21"/>
                <w:szCs w:val="21"/>
              </w:rPr>
            </w:pPr>
            <w:r>
              <w:rPr>
                <w:sz w:val="21"/>
                <w:szCs w:val="21"/>
              </w:rPr>
              <w:t>准</w:t>
            </w:r>
          </w:p>
        </w:tc>
      </w:tr>
      <w:tr w14:paraId="1E67F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9" w:hRule="atLeast"/>
        </w:trPr>
        <w:tc>
          <w:tcPr>
            <w:tcW w:w="1593" w:type="dxa"/>
            <w:vMerge w:val="restart"/>
            <w:tcBorders>
              <w:bottom w:val="nil"/>
            </w:tcBorders>
            <w:vAlign w:val="top"/>
          </w:tcPr>
          <w:p w14:paraId="09B1DE22">
            <w:pPr>
              <w:spacing w:line="251" w:lineRule="auto"/>
              <w:rPr>
                <w:rFonts w:ascii="Arial"/>
                <w:sz w:val="21"/>
              </w:rPr>
            </w:pPr>
          </w:p>
          <w:p w14:paraId="47896B97">
            <w:pPr>
              <w:spacing w:line="251" w:lineRule="auto"/>
              <w:rPr>
                <w:rFonts w:ascii="Arial"/>
                <w:sz w:val="21"/>
              </w:rPr>
            </w:pPr>
          </w:p>
          <w:p w14:paraId="4AF7290D">
            <w:pPr>
              <w:spacing w:line="251" w:lineRule="auto"/>
              <w:rPr>
                <w:rFonts w:ascii="Arial"/>
                <w:sz w:val="21"/>
              </w:rPr>
            </w:pPr>
          </w:p>
          <w:p w14:paraId="7A03BB80">
            <w:pPr>
              <w:spacing w:line="251" w:lineRule="auto"/>
              <w:rPr>
                <w:rFonts w:ascii="Arial"/>
                <w:sz w:val="21"/>
              </w:rPr>
            </w:pPr>
          </w:p>
          <w:p w14:paraId="6CCF5530">
            <w:pPr>
              <w:spacing w:line="251" w:lineRule="auto"/>
              <w:rPr>
                <w:rFonts w:ascii="Arial"/>
                <w:sz w:val="21"/>
              </w:rPr>
            </w:pPr>
          </w:p>
          <w:p w14:paraId="74878F63">
            <w:pPr>
              <w:spacing w:line="251" w:lineRule="auto"/>
              <w:rPr>
                <w:rFonts w:ascii="Arial"/>
                <w:sz w:val="21"/>
              </w:rPr>
            </w:pPr>
          </w:p>
          <w:p w14:paraId="3713E210">
            <w:pPr>
              <w:spacing w:line="251" w:lineRule="auto"/>
              <w:rPr>
                <w:rFonts w:ascii="Arial"/>
                <w:sz w:val="21"/>
              </w:rPr>
            </w:pPr>
          </w:p>
          <w:p w14:paraId="6E874062">
            <w:pPr>
              <w:spacing w:line="251" w:lineRule="auto"/>
              <w:rPr>
                <w:rFonts w:ascii="Arial"/>
                <w:sz w:val="21"/>
              </w:rPr>
            </w:pPr>
          </w:p>
          <w:p w14:paraId="0F31DA5E">
            <w:pPr>
              <w:spacing w:line="251" w:lineRule="auto"/>
              <w:rPr>
                <w:rFonts w:ascii="Arial"/>
                <w:sz w:val="21"/>
              </w:rPr>
            </w:pPr>
          </w:p>
          <w:p w14:paraId="4C659660">
            <w:pPr>
              <w:spacing w:line="251" w:lineRule="auto"/>
              <w:rPr>
                <w:rFonts w:ascii="Arial"/>
                <w:sz w:val="21"/>
              </w:rPr>
            </w:pPr>
          </w:p>
          <w:p w14:paraId="717A9F2C">
            <w:pPr>
              <w:spacing w:line="251" w:lineRule="auto"/>
              <w:rPr>
                <w:rFonts w:ascii="Arial"/>
                <w:sz w:val="21"/>
              </w:rPr>
            </w:pPr>
          </w:p>
          <w:p w14:paraId="6CBA06EA">
            <w:pPr>
              <w:spacing w:line="251" w:lineRule="auto"/>
              <w:rPr>
                <w:rFonts w:ascii="Arial"/>
                <w:sz w:val="21"/>
              </w:rPr>
            </w:pPr>
          </w:p>
          <w:p w14:paraId="084D0BF2">
            <w:pPr>
              <w:spacing w:line="252" w:lineRule="auto"/>
              <w:rPr>
                <w:rFonts w:ascii="Arial"/>
                <w:sz w:val="21"/>
              </w:rPr>
            </w:pPr>
          </w:p>
          <w:p w14:paraId="6BF46A02">
            <w:pPr>
              <w:spacing w:line="252" w:lineRule="auto"/>
              <w:rPr>
                <w:rFonts w:ascii="Arial"/>
                <w:sz w:val="21"/>
              </w:rPr>
            </w:pPr>
          </w:p>
          <w:p w14:paraId="6532DAFC">
            <w:pPr>
              <w:spacing w:line="252" w:lineRule="auto"/>
              <w:rPr>
                <w:rFonts w:ascii="Arial"/>
                <w:sz w:val="21"/>
              </w:rPr>
            </w:pPr>
          </w:p>
          <w:p w14:paraId="694E7C93">
            <w:pPr>
              <w:spacing w:line="252" w:lineRule="auto"/>
              <w:rPr>
                <w:rFonts w:ascii="Arial"/>
                <w:sz w:val="21"/>
              </w:rPr>
            </w:pPr>
          </w:p>
          <w:p w14:paraId="15F8F92F">
            <w:pPr>
              <w:pStyle w:val="6"/>
              <w:spacing w:before="68" w:line="220" w:lineRule="auto"/>
              <w:ind w:left="575"/>
              <w:rPr>
                <w:sz w:val="21"/>
                <w:szCs w:val="21"/>
              </w:rPr>
            </w:pPr>
            <w:r>
              <w:rPr>
                <w:spacing w:val="-3"/>
                <w:sz w:val="21"/>
                <w:szCs w:val="21"/>
              </w:rPr>
              <w:t>其他</w:t>
            </w:r>
          </w:p>
        </w:tc>
        <w:tc>
          <w:tcPr>
            <w:tcW w:w="8287" w:type="dxa"/>
            <w:gridSpan w:val="7"/>
            <w:vAlign w:val="top"/>
          </w:tcPr>
          <w:p w14:paraId="64D2BF44">
            <w:pPr>
              <w:pStyle w:val="6"/>
              <w:spacing w:before="151" w:line="384" w:lineRule="auto"/>
              <w:ind w:left="32" w:right="999" w:firstLine="509"/>
              <w:rPr>
                <w:sz w:val="21"/>
                <w:szCs w:val="21"/>
              </w:rPr>
            </w:pPr>
            <w:r>
              <w:rPr>
                <w:sz w:val="21"/>
                <w:szCs w:val="21"/>
              </w:rPr>
              <w:t>建设单位根据《建设项目环境保护管理条例》及《建设项目竣工环境保护</w:t>
            </w:r>
            <w:r>
              <w:rPr>
                <w:spacing w:val="14"/>
                <w:sz w:val="21"/>
                <w:szCs w:val="21"/>
              </w:rPr>
              <w:t xml:space="preserve"> </w:t>
            </w:r>
            <w:r>
              <w:rPr>
                <w:sz w:val="21"/>
                <w:szCs w:val="21"/>
              </w:rPr>
              <w:t>验收暂行办法》有关规定进行环境保护竣工验收，本项目验收范围为项目光伏  阵列区、光伏列阵、逆变器、箱式变压器、集电线路、进场道路、110kV升压</w:t>
            </w:r>
          </w:p>
          <w:p w14:paraId="290AC1F2">
            <w:pPr>
              <w:pStyle w:val="6"/>
              <w:spacing w:line="219" w:lineRule="auto"/>
              <w:ind w:left="32"/>
              <w:rPr>
                <w:sz w:val="21"/>
                <w:szCs w:val="21"/>
              </w:rPr>
            </w:pPr>
            <w:r>
              <w:rPr>
                <w:sz w:val="21"/>
                <w:szCs w:val="21"/>
              </w:rPr>
              <w:t>站。项目环保措施竣工验收一览表见表6-1。</w:t>
            </w:r>
          </w:p>
          <w:p w14:paraId="3A96FC59">
            <w:pPr>
              <w:pStyle w:val="6"/>
              <w:spacing w:before="88" w:line="227" w:lineRule="auto"/>
              <w:ind w:left="2015"/>
              <w:rPr>
                <w:sz w:val="21"/>
                <w:szCs w:val="21"/>
              </w:rPr>
            </w:pPr>
            <w:r>
              <w:rPr>
                <w:b/>
                <w:bCs/>
                <w:spacing w:val="-2"/>
                <w:position w:val="1"/>
                <w:sz w:val="21"/>
                <w:szCs w:val="21"/>
              </w:rPr>
              <w:t>表6-1</w:t>
            </w:r>
            <w:r>
              <w:rPr>
                <w:spacing w:val="-2"/>
                <w:position w:val="1"/>
                <w:sz w:val="21"/>
                <w:szCs w:val="21"/>
              </w:rPr>
              <w:t xml:space="preserve">     </w:t>
            </w:r>
            <w:r>
              <w:rPr>
                <w:b/>
                <w:bCs/>
                <w:spacing w:val="-2"/>
                <w:sz w:val="21"/>
                <w:szCs w:val="21"/>
              </w:rPr>
              <w:t>项目竣工环境保护验收一览表</w:t>
            </w:r>
          </w:p>
        </w:tc>
      </w:tr>
      <w:tr w14:paraId="1898D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593" w:type="dxa"/>
            <w:vMerge w:val="continue"/>
            <w:tcBorders>
              <w:top w:val="nil"/>
              <w:bottom w:val="nil"/>
            </w:tcBorders>
            <w:vAlign w:val="top"/>
          </w:tcPr>
          <w:p w14:paraId="267E405D">
            <w:pPr>
              <w:rPr>
                <w:rFonts w:ascii="Arial"/>
                <w:sz w:val="21"/>
              </w:rPr>
            </w:pPr>
          </w:p>
        </w:tc>
        <w:tc>
          <w:tcPr>
            <w:tcW w:w="560" w:type="dxa"/>
            <w:vAlign w:val="top"/>
          </w:tcPr>
          <w:p w14:paraId="0F1AA376">
            <w:pPr>
              <w:pStyle w:val="6"/>
              <w:spacing w:before="52" w:line="218" w:lineRule="auto"/>
              <w:ind w:left="65"/>
              <w:rPr>
                <w:sz w:val="21"/>
                <w:szCs w:val="21"/>
              </w:rPr>
            </w:pPr>
            <w:r>
              <w:rPr>
                <w:b/>
                <w:bCs/>
                <w:spacing w:val="-5"/>
                <w:sz w:val="21"/>
                <w:szCs w:val="21"/>
              </w:rPr>
              <w:t>序号</w:t>
            </w:r>
          </w:p>
        </w:tc>
        <w:tc>
          <w:tcPr>
            <w:tcW w:w="1838" w:type="dxa"/>
            <w:gridSpan w:val="2"/>
            <w:vAlign w:val="top"/>
          </w:tcPr>
          <w:p w14:paraId="5D157565">
            <w:pPr>
              <w:pStyle w:val="6"/>
              <w:spacing w:before="50" w:line="219" w:lineRule="auto"/>
              <w:ind w:left="494"/>
              <w:rPr>
                <w:sz w:val="21"/>
                <w:szCs w:val="21"/>
              </w:rPr>
            </w:pPr>
            <w:r>
              <w:rPr>
                <w:b/>
                <w:bCs/>
                <w:spacing w:val="-4"/>
                <w:sz w:val="21"/>
                <w:szCs w:val="21"/>
              </w:rPr>
              <w:t>验收对象</w:t>
            </w:r>
          </w:p>
        </w:tc>
        <w:tc>
          <w:tcPr>
            <w:tcW w:w="1928" w:type="dxa"/>
            <w:gridSpan w:val="2"/>
            <w:vAlign w:val="top"/>
          </w:tcPr>
          <w:p w14:paraId="4B7707D2">
            <w:pPr>
              <w:pStyle w:val="6"/>
              <w:spacing w:before="50" w:line="219" w:lineRule="auto"/>
              <w:ind w:left="527"/>
              <w:rPr>
                <w:sz w:val="21"/>
                <w:szCs w:val="21"/>
              </w:rPr>
            </w:pPr>
            <w:r>
              <w:rPr>
                <w:b/>
                <w:bCs/>
                <w:spacing w:val="-4"/>
                <w:sz w:val="21"/>
                <w:szCs w:val="21"/>
              </w:rPr>
              <w:t>验收内容</w:t>
            </w:r>
          </w:p>
        </w:tc>
        <w:tc>
          <w:tcPr>
            <w:tcW w:w="3961" w:type="dxa"/>
            <w:gridSpan w:val="2"/>
            <w:vAlign w:val="top"/>
          </w:tcPr>
          <w:p w14:paraId="534E615E">
            <w:pPr>
              <w:pStyle w:val="6"/>
              <w:spacing w:before="50" w:line="219" w:lineRule="auto"/>
              <w:ind w:left="1549"/>
              <w:rPr>
                <w:sz w:val="21"/>
                <w:szCs w:val="21"/>
              </w:rPr>
            </w:pPr>
            <w:r>
              <w:rPr>
                <w:b/>
                <w:bCs/>
                <w:spacing w:val="-4"/>
                <w:sz w:val="21"/>
                <w:szCs w:val="21"/>
              </w:rPr>
              <w:t>验收标准</w:t>
            </w:r>
          </w:p>
        </w:tc>
      </w:tr>
      <w:tr w14:paraId="66FD8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593" w:type="dxa"/>
            <w:vMerge w:val="continue"/>
            <w:tcBorders>
              <w:top w:val="nil"/>
              <w:bottom w:val="nil"/>
            </w:tcBorders>
            <w:vAlign w:val="top"/>
          </w:tcPr>
          <w:p w14:paraId="0E8176E2">
            <w:pPr>
              <w:rPr>
                <w:rFonts w:ascii="Arial"/>
                <w:sz w:val="21"/>
              </w:rPr>
            </w:pPr>
          </w:p>
        </w:tc>
        <w:tc>
          <w:tcPr>
            <w:tcW w:w="560" w:type="dxa"/>
            <w:vAlign w:val="top"/>
          </w:tcPr>
          <w:p w14:paraId="0F4052D4">
            <w:pPr>
              <w:pStyle w:val="6"/>
              <w:spacing w:before="74" w:line="198" w:lineRule="auto"/>
              <w:ind w:left="212"/>
              <w:rPr>
                <w:sz w:val="21"/>
                <w:szCs w:val="21"/>
              </w:rPr>
            </w:pPr>
            <w:r>
              <w:rPr>
                <w:sz w:val="21"/>
                <w:szCs w:val="21"/>
              </w:rPr>
              <w:t>1</w:t>
            </w:r>
          </w:p>
        </w:tc>
        <w:tc>
          <w:tcPr>
            <w:tcW w:w="1838" w:type="dxa"/>
            <w:gridSpan w:val="2"/>
            <w:vAlign w:val="top"/>
          </w:tcPr>
          <w:p w14:paraId="212ADEEE">
            <w:pPr>
              <w:pStyle w:val="6"/>
              <w:spacing w:before="54" w:line="216" w:lineRule="auto"/>
              <w:ind w:left="72"/>
              <w:rPr>
                <w:sz w:val="21"/>
                <w:szCs w:val="21"/>
              </w:rPr>
            </w:pPr>
            <w:r>
              <w:rPr>
                <w:spacing w:val="-1"/>
                <w:sz w:val="21"/>
                <w:szCs w:val="21"/>
              </w:rPr>
              <w:t>环保手续履行情况</w:t>
            </w:r>
          </w:p>
        </w:tc>
        <w:tc>
          <w:tcPr>
            <w:tcW w:w="5889" w:type="dxa"/>
            <w:gridSpan w:val="4"/>
            <w:vAlign w:val="top"/>
          </w:tcPr>
          <w:p w14:paraId="053A8A2B">
            <w:pPr>
              <w:pStyle w:val="6"/>
              <w:spacing w:before="53" w:line="217" w:lineRule="auto"/>
              <w:ind w:left="464"/>
              <w:rPr>
                <w:sz w:val="21"/>
                <w:szCs w:val="21"/>
              </w:rPr>
            </w:pPr>
            <w:r>
              <w:rPr>
                <w:sz w:val="21"/>
                <w:szCs w:val="21"/>
              </w:rPr>
              <w:t>项目环评批复文件是否齐备，环境保护档案是否齐全。</w:t>
            </w:r>
          </w:p>
        </w:tc>
      </w:tr>
      <w:tr w14:paraId="53F77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593" w:type="dxa"/>
            <w:vMerge w:val="continue"/>
            <w:tcBorders>
              <w:top w:val="nil"/>
              <w:bottom w:val="nil"/>
            </w:tcBorders>
            <w:vAlign w:val="top"/>
          </w:tcPr>
          <w:p w14:paraId="57D13045">
            <w:pPr>
              <w:rPr>
                <w:rFonts w:ascii="Arial"/>
                <w:sz w:val="21"/>
              </w:rPr>
            </w:pPr>
          </w:p>
        </w:tc>
        <w:tc>
          <w:tcPr>
            <w:tcW w:w="560" w:type="dxa"/>
            <w:vAlign w:val="top"/>
          </w:tcPr>
          <w:p w14:paraId="7E5D7052">
            <w:pPr>
              <w:spacing w:line="264" w:lineRule="auto"/>
              <w:rPr>
                <w:rFonts w:ascii="Arial"/>
                <w:sz w:val="21"/>
              </w:rPr>
            </w:pPr>
          </w:p>
          <w:p w14:paraId="6E65DD1D">
            <w:pPr>
              <w:pStyle w:val="6"/>
              <w:spacing w:before="68" w:line="241" w:lineRule="auto"/>
              <w:ind w:left="212"/>
              <w:rPr>
                <w:sz w:val="21"/>
                <w:szCs w:val="21"/>
              </w:rPr>
            </w:pPr>
            <w:r>
              <w:rPr>
                <w:sz w:val="21"/>
                <w:szCs w:val="21"/>
              </w:rPr>
              <w:t>2</w:t>
            </w:r>
          </w:p>
        </w:tc>
        <w:tc>
          <w:tcPr>
            <w:tcW w:w="1838" w:type="dxa"/>
            <w:gridSpan w:val="2"/>
            <w:vAlign w:val="top"/>
          </w:tcPr>
          <w:p w14:paraId="05798C5F">
            <w:pPr>
              <w:pStyle w:val="6"/>
              <w:spacing w:before="62" w:line="219" w:lineRule="auto"/>
              <w:ind w:left="72"/>
              <w:rPr>
                <w:sz w:val="21"/>
                <w:szCs w:val="21"/>
              </w:rPr>
            </w:pPr>
            <w:r>
              <w:rPr>
                <w:spacing w:val="1"/>
                <w:sz w:val="21"/>
                <w:szCs w:val="21"/>
              </w:rPr>
              <w:t>实际工程内容与本</w:t>
            </w:r>
          </w:p>
          <w:p w14:paraId="26CAD77B">
            <w:pPr>
              <w:pStyle w:val="6"/>
              <w:spacing w:before="10" w:line="218" w:lineRule="auto"/>
              <w:ind w:left="17"/>
              <w:rPr>
                <w:sz w:val="21"/>
                <w:szCs w:val="21"/>
              </w:rPr>
            </w:pPr>
            <w:r>
              <w:rPr>
                <w:spacing w:val="-1"/>
                <w:sz w:val="21"/>
                <w:szCs w:val="21"/>
              </w:rPr>
              <w:t>《报告表》评价内</w:t>
            </w:r>
          </w:p>
          <w:p w14:paraId="0CA7F845">
            <w:pPr>
              <w:pStyle w:val="6"/>
              <w:spacing w:before="13" w:line="198" w:lineRule="auto"/>
              <w:ind w:left="592"/>
              <w:rPr>
                <w:sz w:val="21"/>
                <w:szCs w:val="21"/>
              </w:rPr>
            </w:pPr>
            <w:r>
              <w:rPr>
                <w:spacing w:val="-3"/>
                <w:sz w:val="21"/>
                <w:szCs w:val="21"/>
              </w:rPr>
              <w:t>容情况</w:t>
            </w:r>
          </w:p>
        </w:tc>
        <w:tc>
          <w:tcPr>
            <w:tcW w:w="5889" w:type="dxa"/>
            <w:gridSpan w:val="4"/>
            <w:vAlign w:val="top"/>
          </w:tcPr>
          <w:p w14:paraId="205B8AA7">
            <w:pPr>
              <w:pStyle w:val="6"/>
              <w:spacing w:before="191" w:line="218" w:lineRule="auto"/>
              <w:ind w:left="104"/>
              <w:rPr>
                <w:sz w:val="21"/>
                <w:szCs w:val="21"/>
              </w:rPr>
            </w:pPr>
            <w:r>
              <w:rPr>
                <w:sz w:val="21"/>
                <w:szCs w:val="21"/>
              </w:rPr>
              <w:t>核查实际工程内容与本《报告表》评价内容变更情况，核实是</w:t>
            </w:r>
          </w:p>
          <w:p w14:paraId="5280296F">
            <w:pPr>
              <w:pStyle w:val="6"/>
              <w:spacing w:before="24" w:line="220" w:lineRule="auto"/>
              <w:ind w:left="2254"/>
              <w:rPr>
                <w:sz w:val="21"/>
                <w:szCs w:val="21"/>
              </w:rPr>
            </w:pPr>
            <w:r>
              <w:rPr>
                <w:spacing w:val="-1"/>
                <w:sz w:val="21"/>
                <w:szCs w:val="21"/>
              </w:rPr>
              <w:t>否有重大变动。</w:t>
            </w:r>
          </w:p>
        </w:tc>
      </w:tr>
      <w:tr w14:paraId="7D643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593" w:type="dxa"/>
            <w:vMerge w:val="continue"/>
            <w:tcBorders>
              <w:top w:val="nil"/>
              <w:bottom w:val="nil"/>
            </w:tcBorders>
            <w:vAlign w:val="top"/>
          </w:tcPr>
          <w:p w14:paraId="63EBBD60">
            <w:pPr>
              <w:rPr>
                <w:rFonts w:ascii="Arial"/>
                <w:sz w:val="21"/>
              </w:rPr>
            </w:pPr>
          </w:p>
        </w:tc>
        <w:tc>
          <w:tcPr>
            <w:tcW w:w="560" w:type="dxa"/>
            <w:vAlign w:val="top"/>
          </w:tcPr>
          <w:p w14:paraId="2F709A99">
            <w:pPr>
              <w:spacing w:line="265" w:lineRule="auto"/>
              <w:rPr>
                <w:rFonts w:ascii="Arial"/>
                <w:sz w:val="21"/>
              </w:rPr>
            </w:pPr>
          </w:p>
          <w:p w14:paraId="7EA8395E">
            <w:pPr>
              <w:pStyle w:val="6"/>
              <w:spacing w:before="68"/>
              <w:ind w:left="212"/>
              <w:rPr>
                <w:sz w:val="21"/>
                <w:szCs w:val="21"/>
              </w:rPr>
            </w:pPr>
            <w:r>
              <w:rPr>
                <w:sz w:val="21"/>
                <w:szCs w:val="21"/>
              </w:rPr>
              <w:t>3</w:t>
            </w:r>
          </w:p>
        </w:tc>
        <w:tc>
          <w:tcPr>
            <w:tcW w:w="1838" w:type="dxa"/>
            <w:gridSpan w:val="2"/>
            <w:vAlign w:val="top"/>
          </w:tcPr>
          <w:p w14:paraId="29346076">
            <w:pPr>
              <w:spacing w:line="245" w:lineRule="auto"/>
              <w:rPr>
                <w:rFonts w:ascii="Arial"/>
                <w:sz w:val="21"/>
              </w:rPr>
            </w:pPr>
          </w:p>
          <w:p w14:paraId="3D619003">
            <w:pPr>
              <w:pStyle w:val="6"/>
              <w:spacing w:before="68" w:line="220" w:lineRule="auto"/>
              <w:ind w:left="72"/>
              <w:rPr>
                <w:sz w:val="21"/>
                <w:szCs w:val="21"/>
              </w:rPr>
            </w:pPr>
            <w:r>
              <w:rPr>
                <w:spacing w:val="-1"/>
                <w:sz w:val="21"/>
                <w:szCs w:val="21"/>
              </w:rPr>
              <w:t>环保措施落实情况</w:t>
            </w:r>
          </w:p>
        </w:tc>
        <w:tc>
          <w:tcPr>
            <w:tcW w:w="5889" w:type="dxa"/>
            <w:gridSpan w:val="4"/>
            <w:vAlign w:val="top"/>
          </w:tcPr>
          <w:p w14:paraId="39126795">
            <w:pPr>
              <w:pStyle w:val="6"/>
              <w:spacing w:before="72" w:line="213" w:lineRule="auto"/>
              <w:ind w:left="104"/>
              <w:rPr>
                <w:sz w:val="21"/>
                <w:szCs w:val="21"/>
              </w:rPr>
            </w:pPr>
            <w:r>
              <w:rPr>
                <w:spacing w:val="-1"/>
                <w:sz w:val="21"/>
                <w:szCs w:val="21"/>
              </w:rPr>
              <w:t>核实环境保护设计文件、环境影响评价文件及其审批文件中提</w:t>
            </w:r>
          </w:p>
          <w:p w14:paraId="198BD2BB">
            <w:pPr>
              <w:pStyle w:val="6"/>
              <w:spacing w:line="220" w:lineRule="auto"/>
              <w:ind w:left="104"/>
              <w:rPr>
                <w:sz w:val="21"/>
                <w:szCs w:val="21"/>
              </w:rPr>
            </w:pPr>
            <w:r>
              <w:rPr>
                <w:sz w:val="21"/>
                <w:szCs w:val="21"/>
              </w:rPr>
              <w:t>出的环境保护措施落实情况及其效果、环境风险防范与应急措</w:t>
            </w:r>
          </w:p>
          <w:p w14:paraId="7D5585DC">
            <w:pPr>
              <w:pStyle w:val="6"/>
              <w:spacing w:before="19" w:line="197" w:lineRule="auto"/>
              <w:ind w:left="1834"/>
              <w:rPr>
                <w:sz w:val="21"/>
                <w:szCs w:val="21"/>
              </w:rPr>
            </w:pPr>
            <w:r>
              <w:rPr>
                <w:spacing w:val="-1"/>
                <w:sz w:val="21"/>
                <w:szCs w:val="21"/>
              </w:rPr>
              <w:t>施落实情况及其有效性。</w:t>
            </w:r>
          </w:p>
        </w:tc>
      </w:tr>
      <w:tr w14:paraId="15DE425C">
        <w:tblPrEx>
          <w:tblCellMar>
            <w:top w:w="0" w:type="dxa"/>
            <w:left w:w="0" w:type="dxa"/>
            <w:bottom w:w="0" w:type="dxa"/>
            <w:right w:w="0" w:type="dxa"/>
          </w:tblCellMar>
        </w:tblPrEx>
        <w:trPr>
          <w:trHeight w:val="560" w:hRule="atLeast"/>
        </w:trPr>
        <w:tc>
          <w:tcPr>
            <w:tcW w:w="1593" w:type="dxa"/>
            <w:vMerge w:val="continue"/>
            <w:tcBorders>
              <w:top w:val="nil"/>
              <w:bottom w:val="nil"/>
            </w:tcBorders>
            <w:vAlign w:val="top"/>
          </w:tcPr>
          <w:p w14:paraId="40B2C027">
            <w:pPr>
              <w:rPr>
                <w:rFonts w:ascii="Arial"/>
                <w:sz w:val="21"/>
              </w:rPr>
            </w:pPr>
          </w:p>
        </w:tc>
        <w:tc>
          <w:tcPr>
            <w:tcW w:w="560" w:type="dxa"/>
            <w:vAlign w:val="top"/>
          </w:tcPr>
          <w:p w14:paraId="66C4B455">
            <w:pPr>
              <w:pStyle w:val="6"/>
              <w:spacing w:before="206" w:line="241" w:lineRule="auto"/>
              <w:ind w:left="212"/>
              <w:rPr>
                <w:sz w:val="21"/>
                <w:szCs w:val="21"/>
              </w:rPr>
            </w:pPr>
            <w:r>
              <w:rPr>
                <w:sz w:val="21"/>
                <w:szCs w:val="21"/>
              </w:rPr>
              <w:t>4</w:t>
            </w:r>
          </w:p>
        </w:tc>
        <w:tc>
          <w:tcPr>
            <w:tcW w:w="1838" w:type="dxa"/>
            <w:gridSpan w:val="2"/>
            <w:vAlign w:val="top"/>
          </w:tcPr>
          <w:p w14:paraId="724BECF9">
            <w:pPr>
              <w:pStyle w:val="6"/>
              <w:spacing w:before="185" w:line="219" w:lineRule="auto"/>
              <w:ind w:left="282"/>
              <w:rPr>
                <w:sz w:val="21"/>
                <w:szCs w:val="21"/>
              </w:rPr>
            </w:pPr>
            <w:r>
              <w:rPr>
                <w:spacing w:val="-2"/>
                <w:sz w:val="21"/>
                <w:szCs w:val="21"/>
              </w:rPr>
              <w:t>敏感目标调查</w:t>
            </w:r>
          </w:p>
        </w:tc>
        <w:tc>
          <w:tcPr>
            <w:tcW w:w="5889" w:type="dxa"/>
            <w:gridSpan w:val="4"/>
            <w:vAlign w:val="top"/>
          </w:tcPr>
          <w:p w14:paraId="605ACC58">
            <w:pPr>
              <w:pStyle w:val="6"/>
              <w:spacing w:before="54" w:line="219" w:lineRule="auto"/>
              <w:ind w:left="104"/>
              <w:rPr>
                <w:sz w:val="21"/>
                <w:szCs w:val="21"/>
              </w:rPr>
            </w:pPr>
            <w:r>
              <w:rPr>
                <w:spacing w:val="-1"/>
                <w:sz w:val="21"/>
                <w:szCs w:val="21"/>
              </w:rPr>
              <w:t>核查本项目环境敏感目标及变化情况，调查是否有新增环境敏</w:t>
            </w:r>
          </w:p>
          <w:p w14:paraId="263F7AEA">
            <w:pPr>
              <w:pStyle w:val="6"/>
              <w:spacing w:before="22" w:line="197" w:lineRule="auto"/>
              <w:ind w:left="2564"/>
              <w:rPr>
                <w:sz w:val="21"/>
                <w:szCs w:val="21"/>
              </w:rPr>
            </w:pPr>
            <w:r>
              <w:rPr>
                <w:spacing w:val="1"/>
                <w:sz w:val="21"/>
                <w:szCs w:val="21"/>
              </w:rPr>
              <w:t>感目标。</w:t>
            </w:r>
          </w:p>
        </w:tc>
      </w:tr>
      <w:tr w14:paraId="246B3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93" w:type="dxa"/>
            <w:vMerge w:val="continue"/>
            <w:tcBorders>
              <w:top w:val="nil"/>
              <w:bottom w:val="nil"/>
            </w:tcBorders>
            <w:vAlign w:val="top"/>
          </w:tcPr>
          <w:p w14:paraId="74FA14A3">
            <w:pPr>
              <w:rPr>
                <w:rFonts w:ascii="Arial"/>
                <w:sz w:val="21"/>
              </w:rPr>
            </w:pPr>
          </w:p>
        </w:tc>
        <w:tc>
          <w:tcPr>
            <w:tcW w:w="560" w:type="dxa"/>
            <w:vAlign w:val="top"/>
          </w:tcPr>
          <w:p w14:paraId="39347158">
            <w:pPr>
              <w:pStyle w:val="6"/>
              <w:spacing w:before="195"/>
              <w:ind w:left="212"/>
              <w:rPr>
                <w:sz w:val="21"/>
                <w:szCs w:val="21"/>
              </w:rPr>
            </w:pPr>
            <w:r>
              <w:rPr>
                <w:sz w:val="21"/>
                <w:szCs w:val="21"/>
              </w:rPr>
              <w:t>5</w:t>
            </w:r>
          </w:p>
        </w:tc>
        <w:tc>
          <w:tcPr>
            <w:tcW w:w="1838" w:type="dxa"/>
            <w:gridSpan w:val="2"/>
            <w:vAlign w:val="top"/>
          </w:tcPr>
          <w:p w14:paraId="01EC9B39">
            <w:pPr>
              <w:pStyle w:val="6"/>
              <w:spacing w:before="176" w:line="220" w:lineRule="auto"/>
              <w:ind w:left="282"/>
              <w:rPr>
                <w:sz w:val="21"/>
                <w:szCs w:val="21"/>
              </w:rPr>
            </w:pPr>
            <w:r>
              <w:rPr>
                <w:spacing w:val="-2"/>
                <w:sz w:val="21"/>
                <w:szCs w:val="21"/>
              </w:rPr>
              <w:t>施工现场调查</w:t>
            </w:r>
          </w:p>
        </w:tc>
        <w:tc>
          <w:tcPr>
            <w:tcW w:w="5889" w:type="dxa"/>
            <w:gridSpan w:val="4"/>
            <w:vAlign w:val="top"/>
          </w:tcPr>
          <w:p w14:paraId="27A7DD92">
            <w:pPr>
              <w:pStyle w:val="6"/>
              <w:spacing w:before="45" w:line="219" w:lineRule="auto"/>
              <w:ind w:left="104"/>
              <w:rPr>
                <w:sz w:val="21"/>
                <w:szCs w:val="21"/>
              </w:rPr>
            </w:pPr>
            <w:r>
              <w:rPr>
                <w:spacing w:val="-1"/>
                <w:sz w:val="21"/>
                <w:szCs w:val="21"/>
              </w:rPr>
              <w:t>调查临时施工设施是否已拆除；临时占地是否进行绿化和植被</w:t>
            </w:r>
          </w:p>
          <w:p w14:paraId="54E71DAF">
            <w:pPr>
              <w:pStyle w:val="6"/>
              <w:spacing w:before="21" w:line="196" w:lineRule="auto"/>
              <w:ind w:left="2674"/>
              <w:rPr>
                <w:sz w:val="21"/>
                <w:szCs w:val="21"/>
              </w:rPr>
            </w:pPr>
            <w:r>
              <w:rPr>
                <w:spacing w:val="-2"/>
                <w:sz w:val="21"/>
                <w:szCs w:val="21"/>
              </w:rPr>
              <w:t>恢复。</w:t>
            </w:r>
          </w:p>
        </w:tc>
      </w:tr>
      <w:tr w14:paraId="29B9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93" w:type="dxa"/>
            <w:vMerge w:val="continue"/>
            <w:tcBorders>
              <w:top w:val="nil"/>
              <w:bottom w:val="nil"/>
            </w:tcBorders>
            <w:vAlign w:val="top"/>
          </w:tcPr>
          <w:p w14:paraId="150FE022">
            <w:pPr>
              <w:rPr>
                <w:rFonts w:ascii="Arial"/>
                <w:sz w:val="21"/>
              </w:rPr>
            </w:pPr>
          </w:p>
        </w:tc>
        <w:tc>
          <w:tcPr>
            <w:tcW w:w="560" w:type="dxa"/>
            <w:vAlign w:val="top"/>
          </w:tcPr>
          <w:p w14:paraId="76920F43">
            <w:pPr>
              <w:pStyle w:val="6"/>
              <w:spacing w:before="197"/>
              <w:ind w:left="212"/>
              <w:rPr>
                <w:sz w:val="21"/>
                <w:szCs w:val="21"/>
              </w:rPr>
            </w:pPr>
            <w:r>
              <w:rPr>
                <w:sz w:val="21"/>
                <w:szCs w:val="21"/>
              </w:rPr>
              <w:t>6</w:t>
            </w:r>
          </w:p>
        </w:tc>
        <w:tc>
          <w:tcPr>
            <w:tcW w:w="1838" w:type="dxa"/>
            <w:gridSpan w:val="2"/>
            <w:vAlign w:val="top"/>
          </w:tcPr>
          <w:p w14:paraId="73BB0614">
            <w:pPr>
              <w:pStyle w:val="6"/>
              <w:spacing w:before="176" w:line="219" w:lineRule="auto"/>
              <w:ind w:left="491"/>
              <w:rPr>
                <w:sz w:val="21"/>
                <w:szCs w:val="21"/>
              </w:rPr>
            </w:pPr>
            <w:r>
              <w:rPr>
                <w:spacing w:val="-3"/>
                <w:sz w:val="21"/>
                <w:szCs w:val="21"/>
              </w:rPr>
              <w:t>水土保持</w:t>
            </w:r>
          </w:p>
        </w:tc>
        <w:tc>
          <w:tcPr>
            <w:tcW w:w="5889" w:type="dxa"/>
            <w:gridSpan w:val="4"/>
            <w:vAlign w:val="top"/>
          </w:tcPr>
          <w:p w14:paraId="0722B299">
            <w:pPr>
              <w:pStyle w:val="6"/>
              <w:spacing w:before="46" w:line="219" w:lineRule="auto"/>
              <w:ind w:left="104"/>
              <w:rPr>
                <w:sz w:val="21"/>
                <w:szCs w:val="21"/>
              </w:rPr>
            </w:pPr>
            <w:r>
              <w:rPr>
                <w:spacing w:val="-1"/>
                <w:sz w:val="21"/>
                <w:szCs w:val="21"/>
              </w:rPr>
              <w:t>水土流失防治的挡墙、护坡、排水沟等，施工场地的恢复及塔</w:t>
            </w:r>
          </w:p>
          <w:p w14:paraId="7543219F">
            <w:pPr>
              <w:pStyle w:val="6"/>
              <w:spacing w:before="20" w:line="196" w:lineRule="auto"/>
              <w:ind w:left="2254"/>
              <w:rPr>
                <w:sz w:val="21"/>
                <w:szCs w:val="21"/>
              </w:rPr>
            </w:pPr>
            <w:r>
              <w:rPr>
                <w:spacing w:val="-1"/>
                <w:sz w:val="21"/>
                <w:szCs w:val="21"/>
              </w:rPr>
              <w:t>基的植被恢复。</w:t>
            </w:r>
          </w:p>
        </w:tc>
      </w:tr>
      <w:tr w14:paraId="781CA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593" w:type="dxa"/>
            <w:vMerge w:val="continue"/>
            <w:tcBorders>
              <w:top w:val="nil"/>
              <w:bottom w:val="nil"/>
            </w:tcBorders>
            <w:vAlign w:val="top"/>
          </w:tcPr>
          <w:p w14:paraId="0B9D6806">
            <w:pPr>
              <w:rPr>
                <w:rFonts w:ascii="Arial"/>
                <w:sz w:val="21"/>
              </w:rPr>
            </w:pPr>
          </w:p>
        </w:tc>
        <w:tc>
          <w:tcPr>
            <w:tcW w:w="560" w:type="dxa"/>
            <w:vAlign w:val="top"/>
          </w:tcPr>
          <w:p w14:paraId="46924A8C">
            <w:pPr>
              <w:pStyle w:val="6"/>
              <w:spacing w:before="78" w:line="195" w:lineRule="auto"/>
              <w:ind w:left="212"/>
              <w:rPr>
                <w:sz w:val="21"/>
                <w:szCs w:val="21"/>
              </w:rPr>
            </w:pPr>
            <w:r>
              <w:rPr>
                <w:sz w:val="21"/>
                <w:szCs w:val="21"/>
              </w:rPr>
              <w:t>7</w:t>
            </w:r>
          </w:p>
        </w:tc>
        <w:tc>
          <w:tcPr>
            <w:tcW w:w="1838" w:type="dxa"/>
            <w:gridSpan w:val="2"/>
            <w:vAlign w:val="top"/>
          </w:tcPr>
          <w:p w14:paraId="51CDA528">
            <w:pPr>
              <w:pStyle w:val="6"/>
              <w:spacing w:before="57" w:line="213" w:lineRule="auto"/>
              <w:ind w:left="491"/>
              <w:rPr>
                <w:sz w:val="21"/>
                <w:szCs w:val="21"/>
              </w:rPr>
            </w:pPr>
            <w:r>
              <w:rPr>
                <w:spacing w:val="3"/>
                <w:sz w:val="21"/>
                <w:szCs w:val="21"/>
              </w:rPr>
              <w:t>生态保护</w:t>
            </w:r>
          </w:p>
        </w:tc>
        <w:tc>
          <w:tcPr>
            <w:tcW w:w="5889" w:type="dxa"/>
            <w:gridSpan w:val="4"/>
            <w:vAlign w:val="top"/>
          </w:tcPr>
          <w:p w14:paraId="71EF491E">
            <w:pPr>
              <w:pStyle w:val="6"/>
              <w:spacing w:before="57" w:line="213" w:lineRule="auto"/>
              <w:ind w:left="464"/>
              <w:rPr>
                <w:sz w:val="21"/>
                <w:szCs w:val="21"/>
              </w:rPr>
            </w:pPr>
            <w:r>
              <w:rPr>
                <w:sz w:val="21"/>
                <w:szCs w:val="21"/>
              </w:rPr>
              <w:t>是否已进行植被恢复，对沿线动物生境是否造成影响。</w:t>
            </w:r>
          </w:p>
        </w:tc>
      </w:tr>
      <w:tr w14:paraId="1F17C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593" w:type="dxa"/>
            <w:vMerge w:val="continue"/>
            <w:tcBorders>
              <w:top w:val="nil"/>
              <w:bottom w:val="nil"/>
            </w:tcBorders>
            <w:vAlign w:val="top"/>
          </w:tcPr>
          <w:p w14:paraId="4A546C55">
            <w:pPr>
              <w:rPr>
                <w:rFonts w:ascii="Arial"/>
                <w:sz w:val="21"/>
              </w:rPr>
            </w:pPr>
          </w:p>
        </w:tc>
        <w:tc>
          <w:tcPr>
            <w:tcW w:w="560" w:type="dxa"/>
            <w:vAlign w:val="top"/>
          </w:tcPr>
          <w:p w14:paraId="3B6FD947">
            <w:pPr>
              <w:pStyle w:val="6"/>
              <w:spacing w:before="208"/>
              <w:ind w:left="212"/>
              <w:rPr>
                <w:sz w:val="21"/>
                <w:szCs w:val="21"/>
              </w:rPr>
            </w:pPr>
            <w:r>
              <w:rPr>
                <w:sz w:val="21"/>
                <w:szCs w:val="21"/>
              </w:rPr>
              <w:t>8</w:t>
            </w:r>
          </w:p>
        </w:tc>
        <w:tc>
          <w:tcPr>
            <w:tcW w:w="1838" w:type="dxa"/>
            <w:gridSpan w:val="2"/>
            <w:vAlign w:val="top"/>
          </w:tcPr>
          <w:p w14:paraId="3DC5303C">
            <w:pPr>
              <w:pStyle w:val="6"/>
              <w:spacing w:before="187" w:line="219" w:lineRule="auto"/>
              <w:ind w:left="491"/>
              <w:rPr>
                <w:sz w:val="21"/>
                <w:szCs w:val="21"/>
              </w:rPr>
            </w:pPr>
            <w:r>
              <w:rPr>
                <w:spacing w:val="-2"/>
                <w:sz w:val="21"/>
                <w:szCs w:val="21"/>
              </w:rPr>
              <w:t>生态修复</w:t>
            </w:r>
          </w:p>
        </w:tc>
        <w:tc>
          <w:tcPr>
            <w:tcW w:w="5889" w:type="dxa"/>
            <w:gridSpan w:val="4"/>
            <w:vAlign w:val="top"/>
          </w:tcPr>
          <w:p w14:paraId="4FD7CCF6">
            <w:pPr>
              <w:pStyle w:val="6"/>
              <w:spacing w:before="66" w:line="219" w:lineRule="auto"/>
              <w:ind w:left="104"/>
              <w:rPr>
                <w:sz w:val="21"/>
                <w:szCs w:val="21"/>
              </w:rPr>
            </w:pPr>
            <w:r>
              <w:rPr>
                <w:sz w:val="21"/>
                <w:szCs w:val="21"/>
              </w:rPr>
              <w:t>调查各个分区内植被的种类、面积、分布、生长状况，土壤的</w:t>
            </w:r>
          </w:p>
          <w:p w14:paraId="651F2F4D">
            <w:pPr>
              <w:pStyle w:val="6"/>
              <w:spacing w:before="11" w:line="196" w:lineRule="auto"/>
              <w:ind w:left="784"/>
              <w:rPr>
                <w:sz w:val="21"/>
                <w:szCs w:val="21"/>
              </w:rPr>
            </w:pPr>
            <w:r>
              <w:rPr>
                <w:spacing w:val="-1"/>
                <w:sz w:val="21"/>
                <w:szCs w:val="21"/>
              </w:rPr>
              <w:t>变化及保水情况，植物群落的稳定及发展情况。</w:t>
            </w:r>
          </w:p>
        </w:tc>
      </w:tr>
      <w:tr w14:paraId="764FF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93" w:type="dxa"/>
            <w:vMerge w:val="continue"/>
            <w:tcBorders>
              <w:top w:val="nil"/>
              <w:bottom w:val="nil"/>
            </w:tcBorders>
            <w:vAlign w:val="top"/>
          </w:tcPr>
          <w:p w14:paraId="556BAB2C">
            <w:pPr>
              <w:rPr>
                <w:rFonts w:ascii="Arial"/>
                <w:sz w:val="21"/>
              </w:rPr>
            </w:pPr>
          </w:p>
        </w:tc>
        <w:tc>
          <w:tcPr>
            <w:tcW w:w="560" w:type="dxa"/>
            <w:vAlign w:val="top"/>
          </w:tcPr>
          <w:p w14:paraId="1EC10405">
            <w:pPr>
              <w:pStyle w:val="6"/>
              <w:spacing w:before="197"/>
              <w:ind w:left="212"/>
              <w:rPr>
                <w:sz w:val="21"/>
                <w:szCs w:val="21"/>
              </w:rPr>
            </w:pPr>
            <w:r>
              <w:rPr>
                <w:sz w:val="21"/>
                <w:szCs w:val="21"/>
              </w:rPr>
              <w:t>9</w:t>
            </w:r>
          </w:p>
        </w:tc>
        <w:tc>
          <w:tcPr>
            <w:tcW w:w="1838" w:type="dxa"/>
            <w:gridSpan w:val="2"/>
            <w:vAlign w:val="top"/>
          </w:tcPr>
          <w:p w14:paraId="0C441F29">
            <w:pPr>
              <w:pStyle w:val="6"/>
              <w:spacing w:before="47" w:line="216" w:lineRule="auto"/>
              <w:ind w:left="801" w:right="85" w:hanging="729"/>
              <w:rPr>
                <w:sz w:val="21"/>
                <w:szCs w:val="21"/>
              </w:rPr>
            </w:pPr>
            <w:r>
              <w:rPr>
                <w:spacing w:val="-2"/>
                <w:sz w:val="21"/>
                <w:szCs w:val="21"/>
              </w:rPr>
              <w:t>污染物达标排放情</w:t>
            </w:r>
            <w:r>
              <w:rPr>
                <w:spacing w:val="5"/>
                <w:sz w:val="21"/>
                <w:szCs w:val="21"/>
              </w:rPr>
              <w:t xml:space="preserve"> </w:t>
            </w:r>
            <w:r>
              <w:rPr>
                <w:sz w:val="21"/>
                <w:szCs w:val="21"/>
              </w:rPr>
              <w:t>况</w:t>
            </w:r>
          </w:p>
        </w:tc>
        <w:tc>
          <w:tcPr>
            <w:tcW w:w="5889" w:type="dxa"/>
            <w:gridSpan w:val="4"/>
            <w:vAlign w:val="top"/>
          </w:tcPr>
          <w:p w14:paraId="68DD8D46">
            <w:pPr>
              <w:pStyle w:val="6"/>
              <w:spacing w:before="47" w:line="219" w:lineRule="auto"/>
              <w:ind w:left="104"/>
              <w:rPr>
                <w:sz w:val="21"/>
                <w:szCs w:val="21"/>
              </w:rPr>
            </w:pPr>
            <w:r>
              <w:rPr>
                <w:spacing w:val="-1"/>
                <w:sz w:val="21"/>
                <w:szCs w:val="21"/>
              </w:rPr>
              <w:t>环评文件及其审批文件提出的主要污染和生态环境影响、环境</w:t>
            </w:r>
          </w:p>
          <w:p w14:paraId="5DF2D448">
            <w:pPr>
              <w:pStyle w:val="6"/>
              <w:spacing w:before="40" w:line="177" w:lineRule="auto"/>
              <w:ind w:left="1514"/>
              <w:rPr>
                <w:sz w:val="21"/>
                <w:szCs w:val="21"/>
              </w:rPr>
            </w:pPr>
            <w:r>
              <w:rPr>
                <w:sz w:val="21"/>
                <w:szCs w:val="21"/>
              </w:rPr>
              <w:t>质量和主要污染因子达标情况。</w:t>
            </w:r>
          </w:p>
        </w:tc>
      </w:tr>
      <w:tr w14:paraId="18C0A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93" w:type="dxa"/>
            <w:vMerge w:val="continue"/>
            <w:tcBorders>
              <w:top w:val="nil"/>
              <w:bottom w:val="nil"/>
            </w:tcBorders>
            <w:vAlign w:val="top"/>
          </w:tcPr>
          <w:p w14:paraId="3541B231">
            <w:pPr>
              <w:rPr>
                <w:rFonts w:ascii="Arial"/>
                <w:sz w:val="21"/>
              </w:rPr>
            </w:pPr>
          </w:p>
        </w:tc>
        <w:tc>
          <w:tcPr>
            <w:tcW w:w="560" w:type="dxa"/>
            <w:vAlign w:val="top"/>
          </w:tcPr>
          <w:p w14:paraId="05081872">
            <w:pPr>
              <w:pStyle w:val="6"/>
              <w:spacing w:before="199"/>
              <w:ind w:left="162"/>
              <w:rPr>
                <w:sz w:val="21"/>
                <w:szCs w:val="21"/>
              </w:rPr>
            </w:pPr>
            <w:r>
              <w:rPr>
                <w:spacing w:val="-6"/>
                <w:sz w:val="21"/>
                <w:szCs w:val="21"/>
              </w:rPr>
              <w:t>10</w:t>
            </w:r>
          </w:p>
        </w:tc>
        <w:tc>
          <w:tcPr>
            <w:tcW w:w="1838" w:type="dxa"/>
            <w:gridSpan w:val="2"/>
            <w:vAlign w:val="top"/>
          </w:tcPr>
          <w:p w14:paraId="04332C4A">
            <w:pPr>
              <w:pStyle w:val="6"/>
              <w:spacing w:before="47" w:line="216" w:lineRule="auto"/>
              <w:ind w:left="491" w:right="84" w:hanging="419"/>
              <w:rPr>
                <w:sz w:val="21"/>
                <w:szCs w:val="21"/>
              </w:rPr>
            </w:pPr>
            <w:r>
              <w:rPr>
                <w:spacing w:val="-2"/>
                <w:sz w:val="21"/>
                <w:szCs w:val="21"/>
              </w:rPr>
              <w:t>环境敏感目标环境</w:t>
            </w:r>
            <w:r>
              <w:rPr>
                <w:spacing w:val="6"/>
                <w:sz w:val="21"/>
                <w:szCs w:val="21"/>
              </w:rPr>
              <w:t xml:space="preserve"> </w:t>
            </w:r>
            <w:r>
              <w:rPr>
                <w:spacing w:val="-2"/>
                <w:sz w:val="21"/>
                <w:szCs w:val="21"/>
              </w:rPr>
              <w:t>影响验证</w:t>
            </w:r>
          </w:p>
        </w:tc>
        <w:tc>
          <w:tcPr>
            <w:tcW w:w="5889" w:type="dxa"/>
            <w:gridSpan w:val="4"/>
            <w:vAlign w:val="top"/>
          </w:tcPr>
          <w:p w14:paraId="16A5B343">
            <w:pPr>
              <w:pStyle w:val="6"/>
              <w:spacing w:before="178" w:line="219" w:lineRule="auto"/>
              <w:ind w:left="464"/>
              <w:rPr>
                <w:sz w:val="21"/>
                <w:szCs w:val="21"/>
              </w:rPr>
            </w:pPr>
            <w:r>
              <w:rPr>
                <w:sz w:val="21"/>
                <w:szCs w:val="21"/>
              </w:rPr>
              <w:t>监测居民等环境敏感目标处的噪声是否满足标准要求。</w:t>
            </w:r>
          </w:p>
        </w:tc>
      </w:tr>
      <w:tr w14:paraId="7C742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593" w:type="dxa"/>
            <w:vMerge w:val="continue"/>
            <w:tcBorders>
              <w:top w:val="nil"/>
            </w:tcBorders>
            <w:vAlign w:val="top"/>
          </w:tcPr>
          <w:p w14:paraId="26324110">
            <w:pPr>
              <w:rPr>
                <w:rFonts w:ascii="Arial"/>
                <w:sz w:val="21"/>
              </w:rPr>
            </w:pPr>
          </w:p>
        </w:tc>
        <w:tc>
          <w:tcPr>
            <w:tcW w:w="560" w:type="dxa"/>
            <w:vAlign w:val="top"/>
          </w:tcPr>
          <w:p w14:paraId="60C981F8">
            <w:pPr>
              <w:pStyle w:val="6"/>
              <w:spacing w:before="100" w:line="206" w:lineRule="auto"/>
              <w:ind w:left="162"/>
              <w:rPr>
                <w:sz w:val="21"/>
                <w:szCs w:val="21"/>
              </w:rPr>
            </w:pPr>
            <w:r>
              <w:rPr>
                <w:spacing w:val="-6"/>
                <w:sz w:val="21"/>
                <w:szCs w:val="21"/>
              </w:rPr>
              <w:t>11</w:t>
            </w:r>
          </w:p>
        </w:tc>
        <w:tc>
          <w:tcPr>
            <w:tcW w:w="1838" w:type="dxa"/>
            <w:gridSpan w:val="2"/>
            <w:vAlign w:val="top"/>
          </w:tcPr>
          <w:p w14:paraId="1DC2C393">
            <w:pPr>
              <w:pStyle w:val="6"/>
              <w:spacing w:before="80" w:line="220" w:lineRule="auto"/>
              <w:ind w:left="72"/>
              <w:rPr>
                <w:sz w:val="21"/>
                <w:szCs w:val="21"/>
              </w:rPr>
            </w:pPr>
            <w:r>
              <w:rPr>
                <w:spacing w:val="-1"/>
                <w:sz w:val="21"/>
                <w:szCs w:val="21"/>
              </w:rPr>
              <w:t>环保制度落实情况</w:t>
            </w:r>
          </w:p>
        </w:tc>
        <w:tc>
          <w:tcPr>
            <w:tcW w:w="5889" w:type="dxa"/>
            <w:gridSpan w:val="4"/>
            <w:vAlign w:val="top"/>
          </w:tcPr>
          <w:p w14:paraId="136A2A33">
            <w:pPr>
              <w:pStyle w:val="6"/>
              <w:spacing w:before="77" w:line="218" w:lineRule="auto"/>
              <w:ind w:left="464"/>
              <w:rPr>
                <w:sz w:val="21"/>
                <w:szCs w:val="21"/>
              </w:rPr>
            </w:pPr>
            <w:r>
              <w:rPr>
                <w:sz w:val="21"/>
                <w:szCs w:val="21"/>
              </w:rPr>
              <w:t>环境影响评价制度及其他环境保护规章制度执行情况。</w:t>
            </w:r>
          </w:p>
        </w:tc>
      </w:tr>
    </w:tbl>
    <w:p w14:paraId="7B9F2610">
      <w:pPr>
        <w:pStyle w:val="2"/>
      </w:pPr>
    </w:p>
    <w:p w14:paraId="55A48A74">
      <w:pPr>
        <w:sectPr>
          <w:footerReference r:id="rId217" w:type="default"/>
          <w:pgSz w:w="11910" w:h="16830"/>
          <w:pgMar w:top="400" w:right="1014" w:bottom="1259" w:left="1004" w:header="0" w:footer="1079" w:gutter="0"/>
          <w:cols w:space="720" w:num="1"/>
        </w:sectPr>
      </w:pPr>
    </w:p>
    <w:p w14:paraId="33DF9C9C">
      <w:pPr>
        <w:pStyle w:val="2"/>
        <w:spacing w:line="317" w:lineRule="auto"/>
      </w:pPr>
    </w:p>
    <w:p w14:paraId="3715A959">
      <w:pPr>
        <w:pStyle w:val="2"/>
        <w:spacing w:line="318" w:lineRule="auto"/>
      </w:pPr>
    </w:p>
    <w:p w14:paraId="2B9D42F0">
      <w:pPr>
        <w:pStyle w:val="2"/>
        <w:spacing w:line="318" w:lineRule="auto"/>
      </w:pPr>
    </w:p>
    <w:p w14:paraId="6F7917DD">
      <w:pPr>
        <w:spacing w:before="101" w:line="221" w:lineRule="auto"/>
        <w:ind w:left="4054"/>
        <w:outlineLvl w:val="0"/>
        <w:rPr>
          <w:rFonts w:ascii="宋体" w:hAnsi="宋体" w:eastAsia="宋体" w:cs="宋体"/>
          <w:sz w:val="31"/>
          <w:szCs w:val="31"/>
        </w:rPr>
      </w:pPr>
      <w:bookmarkStart w:id="11" w:name="bookmark7"/>
      <w:bookmarkEnd w:id="11"/>
      <w:r>
        <w:rPr>
          <w:rFonts w:ascii="宋体" w:hAnsi="宋体" w:eastAsia="宋体" w:cs="宋体"/>
          <w:spacing w:val="-13"/>
          <w:sz w:val="31"/>
          <w:szCs w:val="31"/>
        </w:rPr>
        <w:t>七、</w:t>
      </w:r>
      <w:r>
        <w:rPr>
          <w:rFonts w:ascii="宋体" w:hAnsi="宋体" w:eastAsia="宋体" w:cs="宋体"/>
          <w:b/>
          <w:bCs/>
          <w:spacing w:val="-13"/>
          <w:sz w:val="31"/>
          <w:szCs w:val="31"/>
        </w:rPr>
        <w:t>结论</w:t>
      </w:r>
    </w:p>
    <w:p w14:paraId="4F90705A">
      <w:pPr>
        <w:spacing w:line="183" w:lineRule="exact"/>
      </w:pPr>
    </w:p>
    <w:tbl>
      <w:tblPr>
        <w:tblStyle w:val="5"/>
        <w:tblW w:w="9290"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290"/>
      </w:tblGrid>
      <w:tr w14:paraId="500A04A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2360" w:hRule="atLeast"/>
        </w:trPr>
        <w:tc>
          <w:tcPr>
            <w:tcW w:w="9290" w:type="dxa"/>
            <w:vAlign w:val="top"/>
          </w:tcPr>
          <w:p w14:paraId="794AAD24">
            <w:pPr>
              <w:pStyle w:val="6"/>
              <w:spacing w:before="33" w:line="359" w:lineRule="auto"/>
              <w:ind w:left="75" w:right="44" w:firstLine="529"/>
              <w:jc w:val="both"/>
              <w:rPr>
                <w:sz w:val="24"/>
                <w:szCs w:val="24"/>
              </w:rPr>
            </w:pPr>
            <w:r>
              <w:rPr>
                <w:sz w:val="24"/>
                <w:szCs w:val="24"/>
              </w:rPr>
              <w:t>栗树园村光伏发电项目位于曲靖市陆良县大莫古镇阿油铺</w:t>
            </w:r>
            <w:r>
              <w:rPr>
                <w:spacing w:val="-1"/>
                <w:sz w:val="24"/>
                <w:szCs w:val="24"/>
              </w:rPr>
              <w:t>村民委员会、大地村民委</w:t>
            </w:r>
            <w:r>
              <w:rPr>
                <w:sz w:val="24"/>
                <w:szCs w:val="24"/>
              </w:rPr>
              <w:t xml:space="preserve"> 员会、大莫古村民委员会、发峨哨村民委员会、甘和村民委员会、新村村民委员会，本</w:t>
            </w:r>
            <w:r>
              <w:rPr>
                <w:spacing w:val="9"/>
                <w:sz w:val="24"/>
                <w:szCs w:val="24"/>
              </w:rPr>
              <w:t xml:space="preserve"> </w:t>
            </w:r>
            <w:r>
              <w:rPr>
                <w:spacing w:val="1"/>
                <w:sz w:val="24"/>
                <w:szCs w:val="24"/>
              </w:rPr>
              <w:t>项目总装机规模为交流侧50</w:t>
            </w:r>
            <w:r>
              <w:rPr>
                <w:sz w:val="24"/>
                <w:szCs w:val="24"/>
              </w:rPr>
              <w:t>MW</w:t>
            </w:r>
            <w:r>
              <w:rPr>
                <w:spacing w:val="1"/>
                <w:sz w:val="24"/>
                <w:szCs w:val="24"/>
              </w:rPr>
              <w:t>,直流侧58.16</w:t>
            </w:r>
            <w:r>
              <w:rPr>
                <w:sz w:val="24"/>
                <w:szCs w:val="24"/>
              </w:rPr>
              <w:t>MWp</w:t>
            </w:r>
            <w:r>
              <w:rPr>
                <w:spacing w:val="1"/>
                <w:sz w:val="24"/>
                <w:szCs w:val="24"/>
              </w:rPr>
              <w:t>,主要任务为发电，供电范围主要</w:t>
            </w:r>
          </w:p>
          <w:p w14:paraId="0AF96754">
            <w:pPr>
              <w:pStyle w:val="6"/>
              <w:spacing w:line="361" w:lineRule="auto"/>
              <w:ind w:left="105" w:right="73" w:hanging="30"/>
              <w:rPr>
                <w:sz w:val="24"/>
                <w:szCs w:val="24"/>
              </w:rPr>
            </w:pPr>
            <w:r>
              <w:rPr>
                <w:sz w:val="24"/>
                <w:szCs w:val="24"/>
              </w:rPr>
              <w:t>为云南省境内。本项目配套建设场区道路、光伏阵列、箱式变压器、电缆分接箱、电缆</w:t>
            </w:r>
            <w:r>
              <w:rPr>
                <w:spacing w:val="10"/>
                <w:sz w:val="24"/>
                <w:szCs w:val="24"/>
              </w:rPr>
              <w:t xml:space="preserve"> </w:t>
            </w:r>
            <w:r>
              <w:rPr>
                <w:sz w:val="24"/>
                <w:szCs w:val="24"/>
              </w:rPr>
              <w:t>井、集电线路、升压站、临时生产设施及绿化等设</w:t>
            </w:r>
            <w:r>
              <w:rPr>
                <w:spacing w:val="-1"/>
                <w:sz w:val="24"/>
                <w:szCs w:val="24"/>
              </w:rPr>
              <w:t>施。</w:t>
            </w:r>
          </w:p>
          <w:p w14:paraId="78F87106">
            <w:pPr>
              <w:pStyle w:val="6"/>
              <w:spacing w:line="358" w:lineRule="auto"/>
              <w:ind w:left="115" w:right="34" w:firstLine="479"/>
              <w:rPr>
                <w:sz w:val="24"/>
                <w:szCs w:val="24"/>
              </w:rPr>
            </w:pPr>
            <w:r>
              <w:rPr>
                <w:sz w:val="24"/>
                <w:szCs w:val="24"/>
              </w:rPr>
              <w:t>升压站输出线路及接入普乐村光伏电站及当地电网系统工程将另行环评，本次评价</w:t>
            </w:r>
            <w:r>
              <w:rPr>
                <w:spacing w:val="9"/>
                <w:sz w:val="24"/>
                <w:szCs w:val="24"/>
              </w:rPr>
              <w:t xml:space="preserve"> </w:t>
            </w:r>
            <w:r>
              <w:rPr>
                <w:sz w:val="24"/>
                <w:szCs w:val="24"/>
              </w:rPr>
              <w:t>内容不包括接入系统工程。</w:t>
            </w:r>
          </w:p>
          <w:p w14:paraId="6A89DE82">
            <w:pPr>
              <w:pStyle w:val="6"/>
              <w:spacing w:before="6" w:line="359" w:lineRule="auto"/>
              <w:ind w:left="75" w:right="31" w:firstLine="519"/>
              <w:jc w:val="both"/>
              <w:rPr>
                <w:sz w:val="24"/>
                <w:szCs w:val="24"/>
              </w:rPr>
            </w:pPr>
            <w:r>
              <w:rPr>
                <w:sz w:val="24"/>
                <w:szCs w:val="24"/>
              </w:rPr>
              <w:t>陆良光伏发电项目建设符合国家产业政策，符合相关法律法规及规划。拟建项目不</w:t>
            </w:r>
            <w:r>
              <w:rPr>
                <w:spacing w:val="12"/>
                <w:sz w:val="24"/>
                <w:szCs w:val="24"/>
              </w:rPr>
              <w:t xml:space="preserve"> </w:t>
            </w:r>
            <w:r>
              <w:rPr>
                <w:sz w:val="24"/>
                <w:szCs w:val="24"/>
              </w:rPr>
              <w:t>涉及自然保护区、风景名胜区、基本农田、生态保护红线、军事用地等环境敏感区。本</w:t>
            </w:r>
            <w:r>
              <w:rPr>
                <w:spacing w:val="9"/>
                <w:sz w:val="24"/>
                <w:szCs w:val="24"/>
              </w:rPr>
              <w:t xml:space="preserve"> </w:t>
            </w:r>
            <w:r>
              <w:rPr>
                <w:sz w:val="24"/>
                <w:szCs w:val="24"/>
              </w:rPr>
              <w:t>项目集电线路穿越大莫古集镇水厂水源地准保护区路径已经取得陆良人民政府同意。所</w:t>
            </w:r>
            <w:r>
              <w:rPr>
                <w:spacing w:val="7"/>
                <w:sz w:val="24"/>
                <w:szCs w:val="24"/>
              </w:rPr>
              <w:t xml:space="preserve"> </w:t>
            </w:r>
            <w:r>
              <w:rPr>
                <w:sz w:val="24"/>
                <w:szCs w:val="24"/>
              </w:rPr>
              <w:t>在区域环境质量现状能满足相应环境功能区划，无环境制约因素。拟建项目为光伏发电</w:t>
            </w:r>
            <w:r>
              <w:rPr>
                <w:spacing w:val="12"/>
                <w:sz w:val="24"/>
                <w:szCs w:val="24"/>
              </w:rPr>
              <w:t xml:space="preserve"> </w:t>
            </w:r>
            <w:r>
              <w:rPr>
                <w:sz w:val="24"/>
                <w:szCs w:val="24"/>
              </w:rPr>
              <w:t>项目，采用的技术成熟、可靠，工艺符合清洁生产要求。项目场址选择合理；在设计和</w:t>
            </w:r>
            <w:r>
              <w:rPr>
                <w:spacing w:val="18"/>
                <w:sz w:val="24"/>
                <w:szCs w:val="24"/>
              </w:rPr>
              <w:t xml:space="preserve"> </w:t>
            </w:r>
            <w:r>
              <w:rPr>
                <w:sz w:val="24"/>
                <w:szCs w:val="24"/>
              </w:rPr>
              <w:t>施工过程中按本报告提出的污染防治措施落实后，产生的环境影响满足相应环评标准要</w:t>
            </w:r>
            <w:r>
              <w:rPr>
                <w:spacing w:val="11"/>
                <w:sz w:val="24"/>
                <w:szCs w:val="24"/>
              </w:rPr>
              <w:t xml:space="preserve"> </w:t>
            </w:r>
            <w:r>
              <w:rPr>
                <w:spacing w:val="1"/>
                <w:sz w:val="24"/>
                <w:szCs w:val="24"/>
              </w:rPr>
              <w:t>求，对当地声环境、大气环境、水环境及生</w:t>
            </w:r>
            <w:r>
              <w:rPr>
                <w:sz w:val="24"/>
                <w:szCs w:val="24"/>
              </w:rPr>
              <w:t xml:space="preserve">态环境的影响可接受，不会改变项目所在区 </w:t>
            </w:r>
            <w:r>
              <w:rPr>
                <w:spacing w:val="2"/>
                <w:sz w:val="24"/>
                <w:szCs w:val="24"/>
              </w:rPr>
              <w:t>域环境现有功能。</w:t>
            </w:r>
          </w:p>
          <w:p w14:paraId="4ED28CD9">
            <w:pPr>
              <w:pStyle w:val="6"/>
              <w:spacing w:line="218" w:lineRule="auto"/>
              <w:ind w:left="595"/>
              <w:rPr>
                <w:sz w:val="24"/>
                <w:szCs w:val="24"/>
              </w:rPr>
            </w:pPr>
            <w:r>
              <w:rPr>
                <w:sz w:val="24"/>
                <w:szCs w:val="24"/>
              </w:rPr>
              <w:t>从环境保护角度分析，该项目建设是可行的。</w:t>
            </w:r>
          </w:p>
        </w:tc>
      </w:tr>
    </w:tbl>
    <w:p w14:paraId="3607C1AF">
      <w:pPr>
        <w:pStyle w:val="2"/>
      </w:pPr>
    </w:p>
    <w:p w14:paraId="5408448F">
      <w:pPr>
        <w:sectPr>
          <w:footerReference r:id="rId218" w:type="default"/>
          <w:pgSz w:w="11910" w:h="16830"/>
          <w:pgMar w:top="400" w:right="1324" w:bottom="1245" w:left="1284" w:header="0" w:footer="1083" w:gutter="0"/>
          <w:cols w:space="720" w:num="1"/>
        </w:sectPr>
      </w:pPr>
    </w:p>
    <w:p w14:paraId="77BDFDAE">
      <w:pPr>
        <w:pStyle w:val="2"/>
        <w:spacing w:line="248" w:lineRule="auto"/>
      </w:pPr>
    </w:p>
    <w:p w14:paraId="6EEBF49F">
      <w:pPr>
        <w:pStyle w:val="2"/>
        <w:spacing w:line="248" w:lineRule="auto"/>
      </w:pPr>
    </w:p>
    <w:p w14:paraId="16ADDC49">
      <w:pPr>
        <w:pStyle w:val="2"/>
        <w:spacing w:line="248" w:lineRule="auto"/>
      </w:pPr>
    </w:p>
    <w:p w14:paraId="0CB5CD5C">
      <w:pPr>
        <w:pStyle w:val="2"/>
        <w:spacing w:line="248" w:lineRule="auto"/>
      </w:pPr>
    </w:p>
    <w:p w14:paraId="755E7341">
      <w:pPr>
        <w:pStyle w:val="2"/>
        <w:spacing w:line="248" w:lineRule="auto"/>
      </w:pPr>
    </w:p>
    <w:p w14:paraId="369ACC21">
      <w:pPr>
        <w:pStyle w:val="2"/>
        <w:spacing w:line="248" w:lineRule="auto"/>
      </w:pPr>
    </w:p>
    <w:p w14:paraId="10A89442">
      <w:pPr>
        <w:pStyle w:val="2"/>
        <w:spacing w:line="248" w:lineRule="auto"/>
      </w:pPr>
    </w:p>
    <w:p w14:paraId="18013855">
      <w:pPr>
        <w:pStyle w:val="2"/>
        <w:spacing w:line="248" w:lineRule="auto"/>
      </w:pPr>
    </w:p>
    <w:p w14:paraId="377BB6F2">
      <w:pPr>
        <w:pStyle w:val="2"/>
        <w:spacing w:line="248" w:lineRule="auto"/>
      </w:pPr>
    </w:p>
    <w:p w14:paraId="267ABC5D">
      <w:pPr>
        <w:pStyle w:val="2"/>
        <w:spacing w:line="248" w:lineRule="auto"/>
      </w:pPr>
    </w:p>
    <w:p w14:paraId="13F6ABC9">
      <w:pPr>
        <w:pStyle w:val="2"/>
        <w:spacing w:line="248" w:lineRule="auto"/>
      </w:pPr>
    </w:p>
    <w:p w14:paraId="22DE43D7">
      <w:pPr>
        <w:pStyle w:val="2"/>
        <w:spacing w:line="249" w:lineRule="auto"/>
      </w:pPr>
    </w:p>
    <w:p w14:paraId="7FD497AD">
      <w:pPr>
        <w:pStyle w:val="2"/>
        <w:spacing w:line="249" w:lineRule="auto"/>
      </w:pPr>
    </w:p>
    <w:p w14:paraId="3D390D31">
      <w:pPr>
        <w:pStyle w:val="2"/>
        <w:spacing w:line="249" w:lineRule="auto"/>
      </w:pPr>
    </w:p>
    <w:p w14:paraId="30094A4D">
      <w:pPr>
        <w:spacing w:before="127" w:line="219" w:lineRule="auto"/>
        <w:ind w:left="2343"/>
        <w:rPr>
          <w:rFonts w:ascii="宋体" w:hAnsi="宋体" w:eastAsia="宋体" w:cs="宋体"/>
          <w:sz w:val="39"/>
          <w:szCs w:val="39"/>
        </w:rPr>
      </w:pPr>
      <w:r>
        <w:rPr>
          <w:rFonts w:ascii="宋体" w:hAnsi="宋体" w:eastAsia="宋体" w:cs="宋体"/>
          <w:spacing w:val="-25"/>
          <w:sz w:val="39"/>
          <w:szCs w:val="39"/>
        </w:rPr>
        <w:t>栗树园村光伏发电项目</w:t>
      </w:r>
    </w:p>
    <w:p w14:paraId="715FBA30">
      <w:pPr>
        <w:pStyle w:val="2"/>
        <w:spacing w:line="244" w:lineRule="auto"/>
      </w:pPr>
    </w:p>
    <w:p w14:paraId="709802C6">
      <w:pPr>
        <w:pStyle w:val="2"/>
        <w:spacing w:line="244" w:lineRule="auto"/>
      </w:pPr>
    </w:p>
    <w:p w14:paraId="25781B0B">
      <w:pPr>
        <w:pStyle w:val="2"/>
        <w:spacing w:line="244" w:lineRule="auto"/>
      </w:pPr>
    </w:p>
    <w:p w14:paraId="62AFC298">
      <w:pPr>
        <w:pStyle w:val="2"/>
        <w:spacing w:line="244" w:lineRule="auto"/>
      </w:pPr>
    </w:p>
    <w:p w14:paraId="2784A7FE">
      <w:pPr>
        <w:pStyle w:val="2"/>
        <w:spacing w:line="244" w:lineRule="auto"/>
      </w:pPr>
    </w:p>
    <w:p w14:paraId="438D88B7">
      <w:pPr>
        <w:pStyle w:val="2"/>
        <w:spacing w:line="244" w:lineRule="auto"/>
      </w:pPr>
    </w:p>
    <w:p w14:paraId="34EC66D4">
      <w:pPr>
        <w:pStyle w:val="2"/>
        <w:spacing w:line="244" w:lineRule="auto"/>
      </w:pPr>
    </w:p>
    <w:p w14:paraId="55A731E5">
      <w:pPr>
        <w:pStyle w:val="2"/>
        <w:spacing w:line="244" w:lineRule="auto"/>
      </w:pPr>
    </w:p>
    <w:p w14:paraId="4CE5C7A4">
      <w:pPr>
        <w:pStyle w:val="2"/>
        <w:spacing w:line="244" w:lineRule="auto"/>
      </w:pPr>
    </w:p>
    <w:p w14:paraId="7FDB3FC6">
      <w:pPr>
        <w:pStyle w:val="2"/>
        <w:spacing w:line="245" w:lineRule="auto"/>
      </w:pPr>
    </w:p>
    <w:p w14:paraId="2553E5F6">
      <w:pPr>
        <w:pStyle w:val="2"/>
        <w:spacing w:line="245" w:lineRule="auto"/>
      </w:pPr>
    </w:p>
    <w:p w14:paraId="3ECAD301">
      <w:pPr>
        <w:pStyle w:val="2"/>
        <w:spacing w:line="245" w:lineRule="auto"/>
      </w:pPr>
    </w:p>
    <w:p w14:paraId="27FED4F3">
      <w:pPr>
        <w:pStyle w:val="2"/>
        <w:spacing w:line="245" w:lineRule="auto"/>
      </w:pPr>
    </w:p>
    <w:p w14:paraId="3A7B118D">
      <w:pPr>
        <w:spacing w:before="114" w:line="218" w:lineRule="auto"/>
        <w:ind w:left="2378"/>
        <w:rPr>
          <w:rFonts w:ascii="宋体" w:hAnsi="宋体" w:eastAsia="宋体" w:cs="宋体"/>
          <w:sz w:val="35"/>
          <w:szCs w:val="35"/>
        </w:rPr>
      </w:pPr>
      <w:r>
        <w:rPr>
          <w:rFonts w:ascii="宋体" w:hAnsi="宋体" w:eastAsia="宋体" w:cs="宋体"/>
          <w:b/>
          <w:bCs/>
          <w:spacing w:val="4"/>
          <w:sz w:val="35"/>
          <w:szCs w:val="35"/>
        </w:rPr>
        <w:t>电磁环境影响专项评价</w:t>
      </w:r>
    </w:p>
    <w:p w14:paraId="5FC60252">
      <w:pPr>
        <w:spacing w:line="218" w:lineRule="auto"/>
        <w:rPr>
          <w:rFonts w:ascii="宋体" w:hAnsi="宋体" w:eastAsia="宋体" w:cs="宋体"/>
          <w:sz w:val="35"/>
          <w:szCs w:val="35"/>
        </w:rPr>
        <w:sectPr>
          <w:footerReference r:id="rId219" w:type="default"/>
          <w:pgSz w:w="11910" w:h="16830"/>
          <w:pgMar w:top="400" w:right="1786" w:bottom="400" w:left="1786" w:header="0" w:footer="0" w:gutter="0"/>
          <w:cols w:space="720" w:num="1"/>
        </w:sectPr>
      </w:pPr>
    </w:p>
    <w:p w14:paraId="62DF2258">
      <w:pPr>
        <w:pStyle w:val="2"/>
        <w:spacing w:line="254" w:lineRule="auto"/>
      </w:pPr>
    </w:p>
    <w:p w14:paraId="779FE91E">
      <w:pPr>
        <w:pStyle w:val="2"/>
        <w:spacing w:line="255" w:lineRule="auto"/>
      </w:pPr>
    </w:p>
    <w:p w14:paraId="2885C605">
      <w:pPr>
        <w:pStyle w:val="2"/>
        <w:spacing w:line="255" w:lineRule="auto"/>
      </w:pPr>
    </w:p>
    <w:p w14:paraId="6493B099">
      <w:pPr>
        <w:pStyle w:val="2"/>
        <w:spacing w:line="255" w:lineRule="auto"/>
      </w:pPr>
    </w:p>
    <w:sdt>
      <w:sdtPr>
        <w:rPr>
          <w:rFonts w:ascii="宋体" w:hAnsi="宋体" w:eastAsia="宋体" w:cs="宋体"/>
          <w:sz w:val="26"/>
          <w:szCs w:val="26"/>
        </w:rPr>
        <w:id w:val="147466866"/>
        <w:docPartObj>
          <w:docPartGallery w:val="Table of Contents"/>
          <w:docPartUnique/>
        </w:docPartObj>
      </w:sdtPr>
      <w:sdtEndPr>
        <w:rPr>
          <w:rFonts w:ascii="Arial" w:hAnsi="Arial" w:eastAsia="Arial" w:cs="Arial"/>
          <w:sz w:val="23"/>
          <w:szCs w:val="23"/>
        </w:rPr>
      </w:sdtEndPr>
      <w:sdtContent>
        <w:p w14:paraId="78BA1D54">
          <w:pPr>
            <w:spacing w:before="85" w:line="221" w:lineRule="auto"/>
            <w:ind w:left="3803"/>
            <w:rPr>
              <w:rFonts w:ascii="宋体" w:hAnsi="宋体" w:eastAsia="宋体" w:cs="宋体"/>
              <w:sz w:val="26"/>
              <w:szCs w:val="26"/>
            </w:rPr>
          </w:pPr>
          <w:r>
            <w:rPr>
              <w:rFonts w:ascii="宋体" w:hAnsi="宋体" w:eastAsia="宋体" w:cs="宋体"/>
              <w:b/>
              <w:bCs/>
              <w:spacing w:val="-22"/>
              <w:sz w:val="26"/>
              <w:szCs w:val="26"/>
            </w:rPr>
            <w:t>目</w:t>
          </w:r>
          <w:r>
            <w:rPr>
              <w:rFonts w:ascii="宋体" w:hAnsi="宋体" w:eastAsia="宋体" w:cs="宋体"/>
              <w:spacing w:val="-22"/>
              <w:sz w:val="26"/>
              <w:szCs w:val="26"/>
            </w:rPr>
            <w:t xml:space="preserve">   </w:t>
          </w:r>
          <w:r>
            <w:rPr>
              <w:rFonts w:ascii="宋体" w:hAnsi="宋体" w:eastAsia="宋体" w:cs="宋体"/>
              <w:b/>
              <w:bCs/>
              <w:spacing w:val="-22"/>
              <w:sz w:val="26"/>
              <w:szCs w:val="26"/>
            </w:rPr>
            <w:t>录</w:t>
          </w:r>
        </w:p>
        <w:p w14:paraId="1BE8EE40">
          <w:pPr>
            <w:pStyle w:val="2"/>
            <w:tabs>
              <w:tab w:val="right" w:leader="dot" w:pos="8245"/>
            </w:tabs>
            <w:spacing w:before="134" w:line="227" w:lineRule="auto"/>
            <w:rPr>
              <w:sz w:val="23"/>
              <w:szCs w:val="23"/>
            </w:rPr>
          </w:pPr>
          <w:r>
            <w:rPr>
              <w:rFonts w:ascii="Times New Roman" w:hAnsi="Times New Roman" w:eastAsia="Times New Roman" w:cs="Times New Roman"/>
              <w:b/>
              <w:bCs/>
              <w:spacing w:val="-30"/>
              <w:sz w:val="26"/>
              <w:szCs w:val="26"/>
            </w:rPr>
            <w:t xml:space="preserve">1  </w:t>
          </w:r>
          <w:r>
            <w:rPr>
              <w:rFonts w:ascii="宋体" w:hAnsi="宋体" w:eastAsia="宋体" w:cs="宋体"/>
              <w:b/>
              <w:bCs/>
              <w:spacing w:val="-30"/>
              <w:sz w:val="26"/>
              <w:szCs w:val="26"/>
            </w:rPr>
            <w:t>总论</w:t>
          </w:r>
          <w:r>
            <w:rPr>
              <w:rFonts w:ascii="宋体" w:hAnsi="宋体" w:eastAsia="宋体" w:cs="宋体"/>
              <w:spacing w:val="-107"/>
              <w:sz w:val="26"/>
              <w:szCs w:val="26"/>
            </w:rPr>
            <w:t xml:space="preserve"> </w:t>
          </w:r>
          <w:r>
            <w:rPr>
              <w:rFonts w:ascii="宋体" w:hAnsi="宋体" w:eastAsia="宋体" w:cs="宋体"/>
              <w:sz w:val="26"/>
              <w:szCs w:val="26"/>
            </w:rPr>
            <w:tab/>
          </w:r>
          <w:r>
            <w:fldChar w:fldCharType="begin"/>
          </w:r>
          <w:r>
            <w:instrText xml:space="preserve"> HYPERLINK \l "bookmark14" </w:instrText>
          </w:r>
          <w:r>
            <w:fldChar w:fldCharType="separate"/>
          </w:r>
          <w:r>
            <w:rPr>
              <w:b/>
              <w:bCs/>
              <w:spacing w:val="-7"/>
              <w:sz w:val="23"/>
              <w:szCs w:val="23"/>
            </w:rPr>
            <w:t>1</w:t>
          </w:r>
          <w:r>
            <w:rPr>
              <w:b/>
              <w:bCs/>
              <w:spacing w:val="-7"/>
              <w:sz w:val="23"/>
              <w:szCs w:val="23"/>
            </w:rPr>
            <w:fldChar w:fldCharType="end"/>
          </w:r>
          <w:r>
            <w:rPr>
              <w:b/>
              <w:bCs/>
              <w:spacing w:val="-7"/>
              <w:sz w:val="23"/>
              <w:szCs w:val="23"/>
            </w:rPr>
            <w:t>-</w:t>
          </w:r>
        </w:p>
        <w:p w14:paraId="403924CC">
          <w:pPr>
            <w:pStyle w:val="2"/>
            <w:tabs>
              <w:tab w:val="right" w:leader="dot" w:pos="8245"/>
            </w:tabs>
            <w:spacing w:before="71" w:line="219" w:lineRule="auto"/>
            <w:ind w:left="220"/>
            <w:rPr>
              <w:sz w:val="23"/>
              <w:szCs w:val="23"/>
            </w:rPr>
          </w:pPr>
          <w:r>
            <w:rPr>
              <w:rFonts w:ascii="Times New Roman" w:hAnsi="Times New Roman" w:eastAsia="Times New Roman" w:cs="Times New Roman"/>
              <w:b/>
              <w:bCs/>
              <w:spacing w:val="-7"/>
              <w:sz w:val="26"/>
              <w:szCs w:val="26"/>
            </w:rPr>
            <w:t>1.1</w:t>
          </w:r>
          <w:r>
            <w:rPr>
              <w:rFonts w:ascii="Times New Roman" w:hAnsi="Times New Roman" w:eastAsia="Times New Roman" w:cs="Times New Roman"/>
              <w:b/>
              <w:bCs/>
              <w:spacing w:val="36"/>
              <w:sz w:val="26"/>
              <w:szCs w:val="26"/>
            </w:rPr>
            <w:t xml:space="preserve"> </w:t>
          </w:r>
          <w:r>
            <w:rPr>
              <w:rFonts w:ascii="宋体" w:hAnsi="宋体" w:eastAsia="宋体" w:cs="宋体"/>
              <w:b/>
              <w:bCs/>
              <w:spacing w:val="-7"/>
              <w:sz w:val="26"/>
              <w:szCs w:val="26"/>
            </w:rPr>
            <w:t>项目背景</w:t>
          </w:r>
          <w:r>
            <w:rPr>
              <w:rFonts w:ascii="宋体" w:hAnsi="宋体" w:eastAsia="宋体" w:cs="宋体"/>
              <w:b/>
              <w:bCs/>
              <w:sz w:val="26"/>
              <w:szCs w:val="26"/>
            </w:rPr>
            <w:tab/>
          </w:r>
          <w:r>
            <w:fldChar w:fldCharType="begin"/>
          </w:r>
          <w:r>
            <w:instrText xml:space="preserve"> HYPERLINK \l "bookmark15" </w:instrText>
          </w:r>
          <w:r>
            <w:fldChar w:fldCharType="separate"/>
          </w:r>
          <w:r>
            <w:rPr>
              <w:b/>
              <w:bCs/>
              <w:spacing w:val="-7"/>
              <w:sz w:val="23"/>
              <w:szCs w:val="23"/>
            </w:rPr>
            <w:t>1</w:t>
          </w:r>
          <w:r>
            <w:rPr>
              <w:b/>
              <w:bCs/>
              <w:spacing w:val="-7"/>
              <w:sz w:val="23"/>
              <w:szCs w:val="23"/>
            </w:rPr>
            <w:fldChar w:fldCharType="end"/>
          </w:r>
          <w:r>
            <w:rPr>
              <w:b/>
              <w:bCs/>
              <w:spacing w:val="-7"/>
              <w:sz w:val="23"/>
              <w:szCs w:val="23"/>
            </w:rPr>
            <w:t>-</w:t>
          </w:r>
        </w:p>
        <w:p w14:paraId="701E2551">
          <w:pPr>
            <w:pStyle w:val="2"/>
            <w:tabs>
              <w:tab w:val="right" w:leader="dot" w:pos="8247"/>
            </w:tabs>
            <w:spacing w:before="79" w:line="218" w:lineRule="auto"/>
            <w:ind w:left="220"/>
            <w:rPr>
              <w:sz w:val="23"/>
              <w:szCs w:val="23"/>
            </w:rPr>
          </w:pPr>
          <w:r>
            <w:rPr>
              <w:rFonts w:ascii="Times New Roman" w:hAnsi="Times New Roman" w:eastAsia="Times New Roman" w:cs="Times New Roman"/>
              <w:b/>
              <w:bCs/>
              <w:spacing w:val="-11"/>
              <w:sz w:val="26"/>
              <w:szCs w:val="26"/>
            </w:rPr>
            <w:t>1.2</w:t>
          </w:r>
          <w:r>
            <w:rPr>
              <w:rFonts w:ascii="Times New Roman" w:hAnsi="Times New Roman" w:eastAsia="Times New Roman" w:cs="Times New Roman"/>
              <w:b/>
              <w:bCs/>
              <w:spacing w:val="31"/>
              <w:sz w:val="26"/>
              <w:szCs w:val="26"/>
            </w:rPr>
            <w:t xml:space="preserve"> </w:t>
          </w:r>
          <w:r>
            <w:rPr>
              <w:rFonts w:ascii="宋体" w:hAnsi="宋体" w:eastAsia="宋体" w:cs="宋体"/>
              <w:b/>
              <w:bCs/>
              <w:spacing w:val="-11"/>
              <w:sz w:val="26"/>
              <w:szCs w:val="26"/>
            </w:rPr>
            <w:t>评价目的</w:t>
          </w:r>
          <w:r>
            <w:rPr>
              <w:rFonts w:ascii="宋体" w:hAnsi="宋体" w:eastAsia="宋体" w:cs="宋体"/>
              <w:spacing w:val="-117"/>
              <w:sz w:val="26"/>
              <w:szCs w:val="26"/>
            </w:rPr>
            <w:t xml:space="preserve"> </w:t>
          </w:r>
          <w:r>
            <w:rPr>
              <w:rFonts w:ascii="宋体" w:hAnsi="宋体" w:eastAsia="宋体" w:cs="宋体"/>
              <w:sz w:val="26"/>
              <w:szCs w:val="26"/>
            </w:rPr>
            <w:tab/>
          </w:r>
          <w:r>
            <w:fldChar w:fldCharType="begin"/>
          </w:r>
          <w:r>
            <w:instrText xml:space="preserve"> HYPERLINK \l "bookmark16" </w:instrText>
          </w:r>
          <w:r>
            <w:fldChar w:fldCharType="separate"/>
          </w:r>
          <w:r>
            <w:rPr>
              <w:b/>
              <w:bCs/>
              <w:spacing w:val="-1"/>
              <w:sz w:val="23"/>
              <w:szCs w:val="23"/>
            </w:rPr>
            <w:t>2</w:t>
          </w:r>
          <w:r>
            <w:rPr>
              <w:b/>
              <w:bCs/>
              <w:spacing w:val="-1"/>
              <w:sz w:val="23"/>
              <w:szCs w:val="23"/>
            </w:rPr>
            <w:fldChar w:fldCharType="end"/>
          </w:r>
          <w:r>
            <w:rPr>
              <w:b/>
              <w:bCs/>
              <w:spacing w:val="-1"/>
              <w:sz w:val="23"/>
              <w:szCs w:val="23"/>
            </w:rPr>
            <w:t>-</w:t>
          </w:r>
        </w:p>
        <w:p w14:paraId="65AD6392">
          <w:pPr>
            <w:pStyle w:val="2"/>
            <w:tabs>
              <w:tab w:val="right" w:leader="dot" w:pos="8247"/>
            </w:tabs>
            <w:spacing w:before="82" w:line="218" w:lineRule="auto"/>
            <w:ind w:left="220"/>
            <w:rPr>
              <w:sz w:val="23"/>
              <w:szCs w:val="23"/>
            </w:rPr>
          </w:pPr>
          <w:r>
            <w:rPr>
              <w:rFonts w:ascii="Times New Roman" w:hAnsi="Times New Roman" w:eastAsia="Times New Roman" w:cs="Times New Roman"/>
              <w:b/>
              <w:bCs/>
              <w:spacing w:val="-9"/>
              <w:sz w:val="26"/>
              <w:szCs w:val="26"/>
            </w:rPr>
            <w:t>1.3</w:t>
          </w:r>
          <w:r>
            <w:rPr>
              <w:rFonts w:ascii="Times New Roman" w:hAnsi="Times New Roman" w:eastAsia="Times New Roman" w:cs="Times New Roman"/>
              <w:b/>
              <w:bCs/>
              <w:spacing w:val="32"/>
              <w:sz w:val="26"/>
              <w:szCs w:val="26"/>
            </w:rPr>
            <w:t xml:space="preserve"> </w:t>
          </w:r>
          <w:r>
            <w:rPr>
              <w:rFonts w:ascii="宋体" w:hAnsi="宋体" w:eastAsia="宋体" w:cs="宋体"/>
              <w:b/>
              <w:bCs/>
              <w:spacing w:val="-9"/>
              <w:sz w:val="26"/>
              <w:szCs w:val="26"/>
            </w:rPr>
            <w:t>评价依据</w:t>
          </w:r>
          <w:r>
            <w:rPr>
              <w:rFonts w:ascii="宋体" w:hAnsi="宋体" w:eastAsia="宋体" w:cs="宋体"/>
              <w:spacing w:val="-112"/>
              <w:sz w:val="26"/>
              <w:szCs w:val="26"/>
            </w:rPr>
            <w:t xml:space="preserve"> </w:t>
          </w:r>
          <w:r>
            <w:rPr>
              <w:rFonts w:ascii="宋体" w:hAnsi="宋体" w:eastAsia="宋体" w:cs="宋体"/>
              <w:sz w:val="26"/>
              <w:szCs w:val="26"/>
            </w:rPr>
            <w:tab/>
          </w:r>
          <w:r>
            <w:fldChar w:fldCharType="begin"/>
          </w:r>
          <w:r>
            <w:instrText xml:space="preserve"> HYPERLINK \l "bookmark17" </w:instrText>
          </w:r>
          <w:r>
            <w:fldChar w:fldCharType="separate"/>
          </w:r>
          <w:r>
            <w:rPr>
              <w:b/>
              <w:bCs/>
              <w:spacing w:val="-1"/>
              <w:sz w:val="23"/>
              <w:szCs w:val="23"/>
            </w:rPr>
            <w:t>2</w:t>
          </w:r>
          <w:r>
            <w:rPr>
              <w:b/>
              <w:bCs/>
              <w:spacing w:val="-1"/>
              <w:sz w:val="23"/>
              <w:szCs w:val="23"/>
            </w:rPr>
            <w:fldChar w:fldCharType="end"/>
          </w:r>
          <w:r>
            <w:rPr>
              <w:b/>
              <w:bCs/>
              <w:spacing w:val="-1"/>
              <w:sz w:val="23"/>
              <w:szCs w:val="23"/>
            </w:rPr>
            <w:t>-</w:t>
          </w:r>
        </w:p>
        <w:p w14:paraId="558D4016">
          <w:pPr>
            <w:pStyle w:val="2"/>
            <w:tabs>
              <w:tab w:val="right" w:leader="dot" w:pos="8247"/>
            </w:tabs>
            <w:spacing w:before="107" w:line="219" w:lineRule="auto"/>
            <w:ind w:left="880"/>
            <w:rPr>
              <w:sz w:val="23"/>
              <w:szCs w:val="23"/>
            </w:rPr>
          </w:pPr>
          <w:r>
            <w:rPr>
              <w:rFonts w:ascii="Times New Roman" w:hAnsi="Times New Roman" w:eastAsia="Times New Roman" w:cs="Times New Roman"/>
              <w:spacing w:val="1"/>
              <w:sz w:val="23"/>
              <w:szCs w:val="23"/>
            </w:rPr>
            <w:t>1.3.1</w:t>
          </w:r>
          <w:r>
            <w:rPr>
              <w:rFonts w:ascii="Times New Roman" w:hAnsi="Times New Roman" w:eastAsia="Times New Roman" w:cs="Times New Roman"/>
              <w:spacing w:val="30"/>
              <w:sz w:val="23"/>
              <w:szCs w:val="23"/>
            </w:rPr>
            <w:t xml:space="preserve">  </w:t>
          </w:r>
          <w:r>
            <w:rPr>
              <w:rFonts w:ascii="宋体" w:hAnsi="宋体" w:eastAsia="宋体" w:cs="宋体"/>
              <w:spacing w:val="1"/>
              <w:sz w:val="23"/>
              <w:szCs w:val="23"/>
            </w:rPr>
            <w:t>国家法律、法规及相关规范</w:t>
          </w:r>
          <w:r>
            <w:rPr>
              <w:rFonts w:ascii="宋体" w:hAnsi="宋体" w:eastAsia="宋体" w:cs="宋体"/>
              <w:spacing w:val="-98"/>
              <w:sz w:val="23"/>
              <w:szCs w:val="23"/>
            </w:rPr>
            <w:t xml:space="preserve"> </w:t>
          </w:r>
          <w:r>
            <w:rPr>
              <w:rFonts w:ascii="宋体" w:hAnsi="宋体" w:eastAsia="宋体" w:cs="宋体"/>
              <w:sz w:val="23"/>
              <w:szCs w:val="23"/>
            </w:rPr>
            <w:tab/>
          </w:r>
          <w:r>
            <w:rPr>
              <w:rFonts w:ascii="宋体" w:hAnsi="宋体" w:eastAsia="宋体" w:cs="宋体"/>
              <w:spacing w:val="-28"/>
              <w:sz w:val="23"/>
              <w:szCs w:val="23"/>
            </w:rPr>
            <w:t xml:space="preserve"> </w:t>
          </w:r>
          <w:r>
            <w:fldChar w:fldCharType="begin"/>
          </w:r>
          <w:r>
            <w:instrText xml:space="preserve"> HYPERLINK \l "bookmark18" </w:instrText>
          </w:r>
          <w:r>
            <w:fldChar w:fldCharType="separate"/>
          </w:r>
          <w:r>
            <w:rPr>
              <w:spacing w:val="-4"/>
              <w:sz w:val="23"/>
              <w:szCs w:val="23"/>
            </w:rPr>
            <w:t>2</w:t>
          </w:r>
          <w:r>
            <w:rPr>
              <w:spacing w:val="-4"/>
              <w:sz w:val="23"/>
              <w:szCs w:val="23"/>
            </w:rPr>
            <w:fldChar w:fldCharType="end"/>
          </w:r>
          <w:r>
            <w:rPr>
              <w:spacing w:val="-4"/>
              <w:sz w:val="23"/>
              <w:szCs w:val="23"/>
            </w:rPr>
            <w:t>-</w:t>
          </w:r>
        </w:p>
        <w:p w14:paraId="718928C2">
          <w:pPr>
            <w:pStyle w:val="2"/>
            <w:tabs>
              <w:tab w:val="right" w:leader="dot" w:pos="8254"/>
            </w:tabs>
            <w:spacing w:before="66" w:line="313" w:lineRule="exact"/>
            <w:ind w:left="880"/>
            <w:rPr>
              <w:sz w:val="23"/>
              <w:szCs w:val="23"/>
            </w:rPr>
          </w:pPr>
          <w:r>
            <w:rPr>
              <w:rFonts w:ascii="Times New Roman" w:hAnsi="Times New Roman" w:eastAsia="Times New Roman" w:cs="Times New Roman"/>
              <w:spacing w:val="6"/>
              <w:position w:val="1"/>
              <w:sz w:val="23"/>
              <w:szCs w:val="23"/>
            </w:rPr>
            <w:t xml:space="preserve">1.3.2  </w:t>
          </w:r>
          <w:r>
            <w:rPr>
              <w:rFonts w:ascii="宋体" w:hAnsi="宋体" w:eastAsia="宋体" w:cs="宋体"/>
              <w:spacing w:val="6"/>
              <w:position w:val="1"/>
              <w:sz w:val="23"/>
              <w:szCs w:val="23"/>
            </w:rPr>
            <w:t>技术规范与标准</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rFonts w:ascii="宋体" w:hAnsi="宋体" w:eastAsia="宋体" w:cs="宋体"/>
              <w:spacing w:val="-28"/>
              <w:position w:val="1"/>
              <w:sz w:val="23"/>
              <w:szCs w:val="23"/>
            </w:rPr>
            <w:t xml:space="preserve"> </w:t>
          </w:r>
          <w:r>
            <w:fldChar w:fldCharType="begin"/>
          </w:r>
          <w:r>
            <w:instrText xml:space="preserve"> HYPERLINK \l "bookmark19" </w:instrText>
          </w:r>
          <w:r>
            <w:fldChar w:fldCharType="separate"/>
          </w:r>
          <w:r>
            <w:rPr>
              <w:spacing w:val="-5"/>
              <w:position w:val="1"/>
              <w:sz w:val="23"/>
              <w:szCs w:val="23"/>
            </w:rPr>
            <w:t>3</w:t>
          </w:r>
          <w:r>
            <w:rPr>
              <w:spacing w:val="-5"/>
              <w:position w:val="1"/>
              <w:sz w:val="23"/>
              <w:szCs w:val="23"/>
            </w:rPr>
            <w:fldChar w:fldCharType="end"/>
          </w:r>
          <w:r>
            <w:rPr>
              <w:spacing w:val="-5"/>
              <w:position w:val="1"/>
              <w:sz w:val="23"/>
              <w:szCs w:val="23"/>
            </w:rPr>
            <w:t>-</w:t>
          </w:r>
        </w:p>
        <w:p w14:paraId="5F683130">
          <w:pPr>
            <w:pStyle w:val="2"/>
            <w:tabs>
              <w:tab w:val="right" w:leader="dot" w:pos="8264"/>
            </w:tabs>
            <w:spacing w:before="77" w:line="313" w:lineRule="exact"/>
            <w:ind w:left="880"/>
            <w:rPr>
              <w:sz w:val="23"/>
              <w:szCs w:val="23"/>
            </w:rPr>
          </w:pPr>
          <w:r>
            <w:rPr>
              <w:rFonts w:ascii="Times New Roman" w:hAnsi="Times New Roman" w:eastAsia="Times New Roman" w:cs="Times New Roman"/>
              <w:spacing w:val="7"/>
              <w:position w:val="1"/>
              <w:sz w:val="23"/>
              <w:szCs w:val="23"/>
            </w:rPr>
            <w:t xml:space="preserve">1.3.3  </w:t>
          </w:r>
          <w:r>
            <w:rPr>
              <w:rFonts w:ascii="宋体" w:hAnsi="宋体" w:eastAsia="宋体" w:cs="宋体"/>
              <w:spacing w:val="7"/>
              <w:position w:val="1"/>
              <w:sz w:val="23"/>
              <w:szCs w:val="23"/>
            </w:rPr>
            <w:t>相关技术资料及批复</w:t>
          </w:r>
          <w:r>
            <w:rPr>
              <w:rFonts w:ascii="宋体" w:hAnsi="宋体" w:eastAsia="宋体" w:cs="宋体"/>
              <w:spacing w:val="-93"/>
              <w:position w:val="1"/>
              <w:sz w:val="23"/>
              <w:szCs w:val="23"/>
            </w:rPr>
            <w:t xml:space="preserve"> </w:t>
          </w:r>
          <w:r>
            <w:rPr>
              <w:rFonts w:ascii="宋体" w:hAnsi="宋体" w:eastAsia="宋体" w:cs="宋体"/>
              <w:position w:val="1"/>
              <w:sz w:val="23"/>
              <w:szCs w:val="23"/>
            </w:rPr>
            <w:tab/>
          </w:r>
          <w:r>
            <w:rPr>
              <w:rFonts w:ascii="宋体" w:hAnsi="宋体" w:eastAsia="宋体" w:cs="宋体"/>
              <w:spacing w:val="-48"/>
              <w:position w:val="1"/>
              <w:sz w:val="23"/>
              <w:szCs w:val="23"/>
            </w:rPr>
            <w:t xml:space="preserve"> </w:t>
          </w:r>
          <w:r>
            <w:fldChar w:fldCharType="begin"/>
          </w:r>
          <w:r>
            <w:instrText xml:space="preserve"> HYPERLINK \l "bookmark20" </w:instrText>
          </w:r>
          <w:r>
            <w:fldChar w:fldCharType="separate"/>
          </w:r>
          <w:r>
            <w:rPr>
              <w:spacing w:val="-5"/>
              <w:position w:val="1"/>
              <w:sz w:val="23"/>
              <w:szCs w:val="23"/>
            </w:rPr>
            <w:t>3</w:t>
          </w:r>
          <w:r>
            <w:rPr>
              <w:spacing w:val="-5"/>
              <w:position w:val="1"/>
              <w:sz w:val="23"/>
              <w:szCs w:val="23"/>
            </w:rPr>
            <w:fldChar w:fldCharType="end"/>
          </w:r>
          <w:r>
            <w:rPr>
              <w:spacing w:val="-5"/>
              <w:position w:val="1"/>
              <w:sz w:val="23"/>
              <w:szCs w:val="23"/>
            </w:rPr>
            <w:t>-</w:t>
          </w:r>
        </w:p>
        <w:p w14:paraId="17D6370B">
          <w:pPr>
            <w:pStyle w:val="2"/>
            <w:tabs>
              <w:tab w:val="right" w:leader="dot" w:pos="8255"/>
            </w:tabs>
            <w:spacing w:before="104" w:line="218" w:lineRule="auto"/>
            <w:ind w:left="220"/>
            <w:rPr>
              <w:sz w:val="23"/>
              <w:szCs w:val="23"/>
            </w:rPr>
          </w:pPr>
          <w:r>
            <w:rPr>
              <w:rFonts w:ascii="Times New Roman" w:hAnsi="Times New Roman" w:eastAsia="Times New Roman" w:cs="Times New Roman"/>
              <w:b/>
              <w:bCs/>
              <w:spacing w:val="-17"/>
              <w:sz w:val="26"/>
              <w:szCs w:val="26"/>
            </w:rPr>
            <w:t>1.4</w:t>
          </w:r>
          <w:r>
            <w:rPr>
              <w:rFonts w:ascii="Times New Roman" w:hAnsi="Times New Roman" w:eastAsia="Times New Roman" w:cs="Times New Roman"/>
              <w:b/>
              <w:bCs/>
              <w:spacing w:val="39"/>
              <w:sz w:val="26"/>
              <w:szCs w:val="26"/>
            </w:rPr>
            <w:t xml:space="preserve"> </w:t>
          </w:r>
          <w:r>
            <w:rPr>
              <w:rFonts w:ascii="宋体" w:hAnsi="宋体" w:eastAsia="宋体" w:cs="宋体"/>
              <w:b/>
              <w:bCs/>
              <w:spacing w:val="-17"/>
              <w:sz w:val="26"/>
              <w:szCs w:val="26"/>
            </w:rPr>
            <w:t>评价因子、评价等级、评价范围</w:t>
          </w:r>
          <w:r>
            <w:rPr>
              <w:rFonts w:ascii="宋体" w:hAnsi="宋体" w:eastAsia="宋体" w:cs="宋体"/>
              <w:b/>
              <w:bCs/>
              <w:sz w:val="26"/>
              <w:szCs w:val="26"/>
            </w:rPr>
            <w:tab/>
          </w:r>
          <w:r>
            <w:fldChar w:fldCharType="begin"/>
          </w:r>
          <w:r>
            <w:instrText xml:space="preserve"> HYPERLINK \l "bookmark21" </w:instrText>
          </w:r>
          <w:r>
            <w:fldChar w:fldCharType="separate"/>
          </w:r>
          <w:r>
            <w:rPr>
              <w:b/>
              <w:bCs/>
              <w:spacing w:val="-2"/>
              <w:sz w:val="23"/>
              <w:szCs w:val="23"/>
            </w:rPr>
            <w:t>3</w:t>
          </w:r>
          <w:r>
            <w:rPr>
              <w:b/>
              <w:bCs/>
              <w:spacing w:val="-2"/>
              <w:sz w:val="23"/>
              <w:szCs w:val="23"/>
            </w:rPr>
            <w:fldChar w:fldCharType="end"/>
          </w:r>
          <w:r>
            <w:rPr>
              <w:b/>
              <w:bCs/>
              <w:spacing w:val="-2"/>
              <w:sz w:val="23"/>
              <w:szCs w:val="23"/>
            </w:rPr>
            <w:t>-</w:t>
          </w:r>
        </w:p>
        <w:p w14:paraId="542F2C6D">
          <w:pPr>
            <w:pStyle w:val="2"/>
            <w:tabs>
              <w:tab w:val="right" w:leader="dot" w:pos="8244"/>
            </w:tabs>
            <w:spacing w:before="74" w:line="314" w:lineRule="exact"/>
            <w:ind w:left="880"/>
            <w:rPr>
              <w:sz w:val="23"/>
              <w:szCs w:val="23"/>
            </w:rPr>
          </w:pPr>
          <w:r>
            <w:rPr>
              <w:rFonts w:ascii="Times New Roman" w:hAnsi="Times New Roman" w:eastAsia="Times New Roman" w:cs="Times New Roman"/>
              <w:spacing w:val="5"/>
              <w:position w:val="1"/>
              <w:sz w:val="23"/>
              <w:szCs w:val="23"/>
            </w:rPr>
            <w:t xml:space="preserve">1.4.1  </w:t>
          </w:r>
          <w:r>
            <w:rPr>
              <w:rFonts w:ascii="宋体" w:hAnsi="宋体" w:eastAsia="宋体" w:cs="宋体"/>
              <w:spacing w:val="5"/>
              <w:position w:val="1"/>
              <w:sz w:val="23"/>
              <w:szCs w:val="23"/>
            </w:rPr>
            <w:t>评价因子</w:t>
          </w:r>
          <w:r>
            <w:rPr>
              <w:rFonts w:ascii="宋体" w:hAnsi="宋体" w:eastAsia="宋体" w:cs="宋体"/>
              <w:spacing w:val="-87"/>
              <w:position w:val="1"/>
              <w:sz w:val="23"/>
              <w:szCs w:val="23"/>
            </w:rPr>
            <w:t xml:space="preserve"> </w:t>
          </w:r>
          <w:r>
            <w:rPr>
              <w:rFonts w:ascii="宋体" w:hAnsi="宋体" w:eastAsia="宋体" w:cs="宋体"/>
              <w:position w:val="1"/>
              <w:sz w:val="23"/>
              <w:szCs w:val="23"/>
            </w:rPr>
            <w:tab/>
          </w:r>
          <w:r>
            <w:rPr>
              <w:rFonts w:ascii="宋体" w:hAnsi="宋体" w:eastAsia="宋体" w:cs="宋体"/>
              <w:spacing w:val="-18"/>
              <w:position w:val="1"/>
              <w:sz w:val="23"/>
              <w:szCs w:val="23"/>
            </w:rPr>
            <w:t xml:space="preserve"> </w:t>
          </w:r>
          <w:r>
            <w:fldChar w:fldCharType="begin"/>
          </w:r>
          <w:r>
            <w:instrText xml:space="preserve"> HYPERLINK \l "bookmark22" </w:instrText>
          </w:r>
          <w:r>
            <w:fldChar w:fldCharType="separate"/>
          </w:r>
          <w:r>
            <w:rPr>
              <w:spacing w:val="-5"/>
              <w:position w:val="1"/>
              <w:sz w:val="23"/>
              <w:szCs w:val="23"/>
            </w:rPr>
            <w:t>3</w:t>
          </w:r>
          <w:r>
            <w:rPr>
              <w:spacing w:val="-5"/>
              <w:position w:val="1"/>
              <w:sz w:val="23"/>
              <w:szCs w:val="23"/>
            </w:rPr>
            <w:fldChar w:fldCharType="end"/>
          </w:r>
          <w:r>
            <w:rPr>
              <w:spacing w:val="-5"/>
              <w:position w:val="1"/>
              <w:sz w:val="23"/>
              <w:szCs w:val="23"/>
            </w:rPr>
            <w:t>-</w:t>
          </w:r>
        </w:p>
        <w:p w14:paraId="64F19D30">
          <w:pPr>
            <w:pStyle w:val="2"/>
            <w:tabs>
              <w:tab w:val="right" w:leader="dot" w:pos="8244"/>
            </w:tabs>
            <w:spacing w:before="66" w:line="314" w:lineRule="exact"/>
            <w:ind w:left="880"/>
            <w:rPr>
              <w:sz w:val="23"/>
              <w:szCs w:val="23"/>
            </w:rPr>
          </w:pPr>
          <w:r>
            <w:rPr>
              <w:rFonts w:ascii="Times New Roman" w:hAnsi="Times New Roman" w:eastAsia="Times New Roman" w:cs="Times New Roman"/>
              <w:spacing w:val="6"/>
              <w:position w:val="1"/>
              <w:sz w:val="23"/>
              <w:szCs w:val="23"/>
            </w:rPr>
            <w:t xml:space="preserve">1.4.2  </w:t>
          </w:r>
          <w:r>
            <w:rPr>
              <w:rFonts w:ascii="宋体" w:hAnsi="宋体" w:eastAsia="宋体" w:cs="宋体"/>
              <w:spacing w:val="6"/>
              <w:position w:val="1"/>
              <w:sz w:val="23"/>
              <w:szCs w:val="23"/>
            </w:rPr>
            <w:t>评价等级</w:t>
          </w:r>
          <w:r>
            <w:rPr>
              <w:rFonts w:ascii="宋体" w:hAnsi="宋体" w:eastAsia="宋体" w:cs="宋体"/>
              <w:spacing w:val="-98"/>
              <w:position w:val="1"/>
              <w:sz w:val="23"/>
              <w:szCs w:val="23"/>
            </w:rPr>
            <w:t xml:space="preserve"> </w:t>
          </w:r>
          <w:r>
            <w:rPr>
              <w:rFonts w:ascii="宋体" w:hAnsi="宋体" w:eastAsia="宋体" w:cs="宋体"/>
              <w:position w:val="1"/>
              <w:sz w:val="23"/>
              <w:szCs w:val="23"/>
            </w:rPr>
            <w:tab/>
          </w:r>
          <w:r>
            <w:rPr>
              <w:rFonts w:ascii="宋体" w:hAnsi="宋体" w:eastAsia="宋体" w:cs="宋体"/>
              <w:spacing w:val="-18"/>
              <w:position w:val="1"/>
              <w:sz w:val="23"/>
              <w:szCs w:val="23"/>
            </w:rPr>
            <w:t xml:space="preserve"> </w:t>
          </w:r>
          <w:r>
            <w:fldChar w:fldCharType="begin"/>
          </w:r>
          <w:r>
            <w:instrText xml:space="preserve"> HYPERLINK \l "bookmark23" </w:instrText>
          </w:r>
          <w:r>
            <w:fldChar w:fldCharType="separate"/>
          </w:r>
          <w:r>
            <w:rPr>
              <w:spacing w:val="-5"/>
              <w:position w:val="1"/>
              <w:sz w:val="23"/>
              <w:szCs w:val="23"/>
            </w:rPr>
            <w:t>3</w:t>
          </w:r>
          <w:r>
            <w:rPr>
              <w:spacing w:val="-5"/>
              <w:position w:val="1"/>
              <w:sz w:val="23"/>
              <w:szCs w:val="23"/>
            </w:rPr>
            <w:fldChar w:fldCharType="end"/>
          </w:r>
          <w:r>
            <w:rPr>
              <w:spacing w:val="-5"/>
              <w:position w:val="1"/>
              <w:sz w:val="23"/>
              <w:szCs w:val="23"/>
            </w:rPr>
            <w:t>-</w:t>
          </w:r>
        </w:p>
        <w:p w14:paraId="276E075A">
          <w:pPr>
            <w:pStyle w:val="2"/>
            <w:tabs>
              <w:tab w:val="right" w:leader="dot" w:pos="8250"/>
            </w:tabs>
            <w:spacing w:before="127" w:line="218" w:lineRule="auto"/>
            <w:ind w:left="880"/>
            <w:rPr>
              <w:sz w:val="23"/>
              <w:szCs w:val="23"/>
            </w:rPr>
          </w:pPr>
          <w:r>
            <w:rPr>
              <w:rFonts w:ascii="Times New Roman" w:hAnsi="Times New Roman" w:eastAsia="Times New Roman" w:cs="Times New Roman"/>
              <w:spacing w:val="5"/>
              <w:sz w:val="23"/>
              <w:szCs w:val="23"/>
            </w:rPr>
            <w:t xml:space="preserve">1.4.3  </w:t>
          </w:r>
          <w:r>
            <w:rPr>
              <w:rFonts w:ascii="宋体" w:hAnsi="宋体" w:eastAsia="宋体" w:cs="宋体"/>
              <w:spacing w:val="5"/>
              <w:sz w:val="23"/>
              <w:szCs w:val="23"/>
            </w:rPr>
            <w:t>评价范围</w:t>
          </w:r>
          <w:r>
            <w:rPr>
              <w:rFonts w:ascii="宋体" w:hAnsi="宋体" w:eastAsia="宋体" w:cs="宋体"/>
              <w:spacing w:val="-107"/>
              <w:sz w:val="23"/>
              <w:szCs w:val="23"/>
            </w:rPr>
            <w:t xml:space="preserve"> </w:t>
          </w:r>
          <w:r>
            <w:rPr>
              <w:rFonts w:ascii="宋体" w:hAnsi="宋体" w:eastAsia="宋体" w:cs="宋体"/>
              <w:sz w:val="23"/>
              <w:szCs w:val="23"/>
            </w:rPr>
            <w:tab/>
          </w:r>
          <w:r>
            <w:rPr>
              <w:rFonts w:ascii="宋体" w:hAnsi="宋体" w:eastAsia="宋体" w:cs="宋体"/>
              <w:spacing w:val="2"/>
              <w:sz w:val="23"/>
              <w:szCs w:val="23"/>
            </w:rPr>
            <w:t xml:space="preserve"> </w:t>
          </w:r>
          <w:r>
            <w:fldChar w:fldCharType="begin"/>
          </w:r>
          <w:r>
            <w:instrText xml:space="preserve"> HYPERLINK \l "bookmark24" </w:instrText>
          </w:r>
          <w:r>
            <w:fldChar w:fldCharType="separate"/>
          </w:r>
          <w:r>
            <w:rPr>
              <w:spacing w:val="-2"/>
              <w:sz w:val="23"/>
              <w:szCs w:val="23"/>
            </w:rPr>
            <w:t>4</w:t>
          </w:r>
          <w:r>
            <w:rPr>
              <w:spacing w:val="-2"/>
              <w:sz w:val="23"/>
              <w:szCs w:val="23"/>
            </w:rPr>
            <w:fldChar w:fldCharType="end"/>
          </w:r>
          <w:r>
            <w:rPr>
              <w:spacing w:val="-2"/>
              <w:sz w:val="23"/>
              <w:szCs w:val="23"/>
            </w:rPr>
            <w:t>-</w:t>
          </w:r>
        </w:p>
        <w:p w14:paraId="068C0916">
          <w:pPr>
            <w:pStyle w:val="2"/>
            <w:tabs>
              <w:tab w:val="right" w:leader="dot" w:pos="8260"/>
            </w:tabs>
            <w:spacing w:before="86" w:line="218" w:lineRule="auto"/>
            <w:ind w:left="220"/>
            <w:rPr>
              <w:sz w:val="23"/>
              <w:szCs w:val="23"/>
            </w:rPr>
          </w:pPr>
          <w:r>
            <w:rPr>
              <w:rFonts w:ascii="Times New Roman" w:hAnsi="Times New Roman" w:eastAsia="Times New Roman" w:cs="Times New Roman"/>
              <w:b/>
              <w:bCs/>
              <w:spacing w:val="-15"/>
              <w:sz w:val="26"/>
              <w:szCs w:val="26"/>
            </w:rPr>
            <w:t>1.5</w:t>
          </w:r>
          <w:r>
            <w:rPr>
              <w:rFonts w:ascii="Times New Roman" w:hAnsi="Times New Roman" w:eastAsia="Times New Roman" w:cs="Times New Roman"/>
              <w:b/>
              <w:bCs/>
              <w:spacing w:val="31"/>
              <w:sz w:val="26"/>
              <w:szCs w:val="26"/>
            </w:rPr>
            <w:t xml:space="preserve"> </w:t>
          </w:r>
          <w:r>
            <w:rPr>
              <w:rFonts w:ascii="宋体" w:hAnsi="宋体" w:eastAsia="宋体" w:cs="宋体"/>
              <w:b/>
              <w:bCs/>
              <w:spacing w:val="-15"/>
              <w:sz w:val="26"/>
              <w:szCs w:val="26"/>
            </w:rPr>
            <w:t>评价标准</w:t>
          </w:r>
          <w:r>
            <w:rPr>
              <w:rFonts w:ascii="宋体" w:hAnsi="宋体" w:eastAsia="宋体" w:cs="宋体"/>
              <w:spacing w:val="-108"/>
              <w:sz w:val="26"/>
              <w:szCs w:val="26"/>
            </w:rPr>
            <w:t xml:space="preserve"> </w:t>
          </w:r>
          <w:r>
            <w:rPr>
              <w:rFonts w:ascii="宋体" w:hAnsi="宋体" w:eastAsia="宋体" w:cs="宋体"/>
              <w:sz w:val="26"/>
              <w:szCs w:val="26"/>
            </w:rPr>
            <w:tab/>
          </w:r>
          <w:r>
            <w:fldChar w:fldCharType="begin"/>
          </w:r>
          <w:r>
            <w:instrText xml:space="preserve"> HYPERLINK \l "bookmark25" </w:instrText>
          </w:r>
          <w:r>
            <w:fldChar w:fldCharType="separate"/>
          </w:r>
          <w:r>
            <w:rPr>
              <w:b/>
              <w:bCs/>
              <w:sz w:val="23"/>
              <w:szCs w:val="23"/>
            </w:rPr>
            <w:t>4</w:t>
          </w:r>
          <w:r>
            <w:rPr>
              <w:b/>
              <w:bCs/>
              <w:sz w:val="23"/>
              <w:szCs w:val="23"/>
            </w:rPr>
            <w:fldChar w:fldCharType="end"/>
          </w:r>
          <w:r>
            <w:rPr>
              <w:b/>
              <w:bCs/>
              <w:sz w:val="23"/>
              <w:szCs w:val="23"/>
            </w:rPr>
            <w:t>-</w:t>
          </w:r>
        </w:p>
        <w:p w14:paraId="3892EBCE">
          <w:pPr>
            <w:pStyle w:val="2"/>
            <w:tabs>
              <w:tab w:val="right" w:leader="dot" w:pos="8250"/>
            </w:tabs>
            <w:spacing w:before="76" w:line="220" w:lineRule="auto"/>
            <w:ind w:left="220"/>
            <w:rPr>
              <w:sz w:val="23"/>
              <w:szCs w:val="23"/>
            </w:rPr>
          </w:pPr>
          <w:r>
            <w:rPr>
              <w:rFonts w:ascii="Times New Roman" w:hAnsi="Times New Roman" w:eastAsia="Times New Roman" w:cs="Times New Roman"/>
              <w:b/>
              <w:bCs/>
              <w:spacing w:val="-15"/>
              <w:sz w:val="26"/>
              <w:szCs w:val="26"/>
            </w:rPr>
            <w:t>1.6</w:t>
          </w:r>
          <w:r>
            <w:rPr>
              <w:rFonts w:ascii="Times New Roman" w:hAnsi="Times New Roman" w:eastAsia="Times New Roman" w:cs="Times New Roman"/>
              <w:b/>
              <w:bCs/>
              <w:spacing w:val="33"/>
              <w:w w:val="101"/>
              <w:sz w:val="26"/>
              <w:szCs w:val="26"/>
            </w:rPr>
            <w:t xml:space="preserve"> </w:t>
          </w:r>
          <w:r>
            <w:rPr>
              <w:rFonts w:ascii="宋体" w:hAnsi="宋体" w:eastAsia="宋体" w:cs="宋体"/>
              <w:b/>
              <w:bCs/>
              <w:spacing w:val="-15"/>
              <w:sz w:val="26"/>
              <w:szCs w:val="26"/>
            </w:rPr>
            <w:t>环境保护目标</w:t>
          </w:r>
          <w:r>
            <w:rPr>
              <w:rFonts w:ascii="宋体" w:hAnsi="宋体" w:eastAsia="宋体" w:cs="宋体"/>
              <w:spacing w:val="-107"/>
              <w:sz w:val="26"/>
              <w:szCs w:val="26"/>
            </w:rPr>
            <w:t xml:space="preserve"> </w:t>
          </w:r>
          <w:r>
            <w:rPr>
              <w:rFonts w:ascii="宋体" w:hAnsi="宋体" w:eastAsia="宋体" w:cs="宋体"/>
              <w:sz w:val="26"/>
              <w:szCs w:val="26"/>
            </w:rPr>
            <w:tab/>
          </w:r>
          <w:r>
            <w:fldChar w:fldCharType="begin"/>
          </w:r>
          <w:r>
            <w:instrText xml:space="preserve"> HYPERLINK \l "bookmark26" </w:instrText>
          </w:r>
          <w:r>
            <w:fldChar w:fldCharType="separate"/>
          </w:r>
          <w:r>
            <w:rPr>
              <w:b/>
              <w:bCs/>
              <w:spacing w:val="-5"/>
              <w:w w:val="95"/>
              <w:sz w:val="23"/>
              <w:szCs w:val="23"/>
            </w:rPr>
            <w:t>4</w:t>
          </w:r>
          <w:r>
            <w:rPr>
              <w:b/>
              <w:bCs/>
              <w:spacing w:val="-5"/>
              <w:w w:val="95"/>
              <w:sz w:val="23"/>
              <w:szCs w:val="23"/>
            </w:rPr>
            <w:fldChar w:fldCharType="end"/>
          </w:r>
          <w:r>
            <w:rPr>
              <w:b/>
              <w:bCs/>
              <w:spacing w:val="-5"/>
              <w:w w:val="95"/>
              <w:sz w:val="23"/>
              <w:szCs w:val="23"/>
            </w:rPr>
            <w:t>-</w:t>
          </w:r>
        </w:p>
        <w:p w14:paraId="3AE26776">
          <w:pPr>
            <w:pStyle w:val="2"/>
            <w:tabs>
              <w:tab w:val="right" w:leader="dot" w:pos="8244"/>
            </w:tabs>
            <w:spacing w:before="80" w:line="219" w:lineRule="auto"/>
            <w:rPr>
              <w:sz w:val="23"/>
              <w:szCs w:val="23"/>
            </w:rPr>
          </w:pPr>
          <w:r>
            <w:rPr>
              <w:rFonts w:ascii="Times New Roman" w:hAnsi="Times New Roman" w:eastAsia="Times New Roman" w:cs="Times New Roman"/>
              <w:b/>
              <w:bCs/>
              <w:spacing w:val="-14"/>
              <w:sz w:val="26"/>
              <w:szCs w:val="26"/>
            </w:rPr>
            <w:t>2</w:t>
          </w:r>
          <w:r>
            <w:rPr>
              <w:rFonts w:ascii="Times New Roman" w:hAnsi="Times New Roman" w:eastAsia="Times New Roman" w:cs="Times New Roman"/>
              <w:b/>
              <w:bCs/>
              <w:spacing w:val="34"/>
              <w:w w:val="101"/>
              <w:sz w:val="26"/>
              <w:szCs w:val="26"/>
            </w:rPr>
            <w:t xml:space="preserve"> </w:t>
          </w:r>
          <w:r>
            <w:rPr>
              <w:rFonts w:ascii="宋体" w:hAnsi="宋体" w:eastAsia="宋体" w:cs="宋体"/>
              <w:b/>
              <w:bCs/>
              <w:spacing w:val="-14"/>
              <w:sz w:val="26"/>
              <w:szCs w:val="26"/>
            </w:rPr>
            <w:t>升压站工程概况</w:t>
          </w:r>
          <w:r>
            <w:rPr>
              <w:rFonts w:ascii="宋体" w:hAnsi="宋体" w:eastAsia="宋体" w:cs="宋体"/>
              <w:spacing w:val="-108"/>
              <w:sz w:val="26"/>
              <w:szCs w:val="26"/>
            </w:rPr>
            <w:t xml:space="preserve"> </w:t>
          </w:r>
          <w:r>
            <w:rPr>
              <w:rFonts w:ascii="宋体" w:hAnsi="宋体" w:eastAsia="宋体" w:cs="宋体"/>
              <w:sz w:val="26"/>
              <w:szCs w:val="26"/>
            </w:rPr>
            <w:tab/>
          </w:r>
          <w:r>
            <w:rPr>
              <w:rFonts w:ascii="宋体" w:hAnsi="宋体" w:eastAsia="宋体" w:cs="宋体"/>
              <w:spacing w:val="-14"/>
              <w:sz w:val="26"/>
              <w:szCs w:val="26"/>
            </w:rPr>
            <w:t xml:space="preserve"> </w:t>
          </w:r>
          <w:r>
            <w:fldChar w:fldCharType="begin"/>
          </w:r>
          <w:r>
            <w:instrText xml:space="preserve"> HYPERLINK \l "bookmark27" </w:instrText>
          </w:r>
          <w:r>
            <w:fldChar w:fldCharType="separate"/>
          </w:r>
          <w:r>
            <w:rPr>
              <w:b/>
              <w:bCs/>
              <w:spacing w:val="-6"/>
              <w:sz w:val="23"/>
              <w:szCs w:val="23"/>
            </w:rPr>
            <w:t>5</w:t>
          </w:r>
          <w:r>
            <w:rPr>
              <w:b/>
              <w:bCs/>
              <w:spacing w:val="-6"/>
              <w:sz w:val="23"/>
              <w:szCs w:val="23"/>
            </w:rPr>
            <w:fldChar w:fldCharType="end"/>
          </w:r>
          <w:r>
            <w:rPr>
              <w:b/>
              <w:bCs/>
              <w:spacing w:val="-6"/>
              <w:sz w:val="23"/>
              <w:szCs w:val="23"/>
            </w:rPr>
            <w:t>-</w:t>
          </w:r>
        </w:p>
        <w:p w14:paraId="7F051823">
          <w:pPr>
            <w:pStyle w:val="2"/>
            <w:tabs>
              <w:tab w:val="right" w:leader="dot" w:pos="8254"/>
            </w:tabs>
            <w:spacing w:before="89" w:line="219" w:lineRule="auto"/>
            <w:ind w:left="220"/>
            <w:rPr>
              <w:sz w:val="23"/>
              <w:szCs w:val="23"/>
            </w:rPr>
          </w:pPr>
          <w:r>
            <w:rPr>
              <w:rFonts w:ascii="Times New Roman" w:hAnsi="Times New Roman" w:eastAsia="Times New Roman" w:cs="Times New Roman"/>
              <w:b/>
              <w:bCs/>
              <w:spacing w:val="-16"/>
              <w:sz w:val="26"/>
              <w:szCs w:val="26"/>
            </w:rPr>
            <w:t>2.1</w:t>
          </w:r>
          <w:r>
            <w:rPr>
              <w:rFonts w:ascii="Times New Roman" w:hAnsi="Times New Roman" w:eastAsia="Times New Roman" w:cs="Times New Roman"/>
              <w:b/>
              <w:bCs/>
              <w:spacing w:val="46"/>
              <w:sz w:val="26"/>
              <w:szCs w:val="26"/>
            </w:rPr>
            <w:t xml:space="preserve"> </w:t>
          </w:r>
          <w:r>
            <w:rPr>
              <w:rFonts w:ascii="宋体" w:hAnsi="宋体" w:eastAsia="宋体" w:cs="宋体"/>
              <w:b/>
              <w:bCs/>
              <w:spacing w:val="-16"/>
              <w:sz w:val="26"/>
              <w:szCs w:val="26"/>
            </w:rPr>
            <w:t>海岱光伏一期项目概况</w:t>
          </w:r>
          <w:r>
            <w:rPr>
              <w:rFonts w:ascii="宋体" w:hAnsi="宋体" w:eastAsia="宋体" w:cs="宋体"/>
              <w:spacing w:val="-107"/>
              <w:sz w:val="26"/>
              <w:szCs w:val="26"/>
            </w:rPr>
            <w:t xml:space="preserve"> </w:t>
          </w:r>
          <w:r>
            <w:rPr>
              <w:rFonts w:ascii="宋体" w:hAnsi="宋体" w:eastAsia="宋体" w:cs="宋体"/>
              <w:sz w:val="26"/>
              <w:szCs w:val="26"/>
            </w:rPr>
            <w:tab/>
          </w:r>
          <w:r>
            <w:rPr>
              <w:rFonts w:ascii="宋体" w:hAnsi="宋体" w:eastAsia="宋体" w:cs="宋体"/>
              <w:spacing w:val="-84"/>
              <w:sz w:val="26"/>
              <w:szCs w:val="26"/>
            </w:rPr>
            <w:t xml:space="preserve"> </w:t>
          </w:r>
          <w:r>
            <w:fldChar w:fldCharType="begin"/>
          </w:r>
          <w:r>
            <w:instrText xml:space="preserve"> HYPERLINK \l "bookmark28" </w:instrText>
          </w:r>
          <w:r>
            <w:fldChar w:fldCharType="separate"/>
          </w:r>
          <w:r>
            <w:rPr>
              <w:b/>
              <w:bCs/>
              <w:spacing w:val="-6"/>
              <w:sz w:val="23"/>
              <w:szCs w:val="23"/>
            </w:rPr>
            <w:t>5</w:t>
          </w:r>
          <w:r>
            <w:rPr>
              <w:b/>
              <w:bCs/>
              <w:spacing w:val="-6"/>
              <w:sz w:val="23"/>
              <w:szCs w:val="23"/>
            </w:rPr>
            <w:fldChar w:fldCharType="end"/>
          </w:r>
          <w:r>
            <w:rPr>
              <w:b/>
              <w:bCs/>
              <w:spacing w:val="-6"/>
              <w:sz w:val="23"/>
              <w:szCs w:val="23"/>
            </w:rPr>
            <w:t>-</w:t>
          </w:r>
        </w:p>
        <w:p w14:paraId="775DAF54">
          <w:pPr>
            <w:pStyle w:val="2"/>
            <w:tabs>
              <w:tab w:val="right" w:leader="dot" w:pos="8254"/>
            </w:tabs>
            <w:spacing w:before="84" w:line="219" w:lineRule="auto"/>
            <w:ind w:left="220"/>
            <w:rPr>
              <w:sz w:val="23"/>
              <w:szCs w:val="23"/>
            </w:rPr>
          </w:pPr>
          <w:r>
            <w:rPr>
              <w:rFonts w:ascii="Times New Roman" w:hAnsi="Times New Roman" w:eastAsia="Times New Roman" w:cs="Times New Roman"/>
              <w:b/>
              <w:bCs/>
              <w:spacing w:val="-16"/>
              <w:sz w:val="26"/>
              <w:szCs w:val="26"/>
            </w:rPr>
            <w:t>2.2</w:t>
          </w:r>
          <w:r>
            <w:rPr>
              <w:rFonts w:ascii="Times New Roman" w:hAnsi="Times New Roman" w:eastAsia="Times New Roman" w:cs="Times New Roman"/>
              <w:b/>
              <w:bCs/>
              <w:spacing w:val="46"/>
              <w:w w:val="101"/>
              <w:sz w:val="26"/>
              <w:szCs w:val="26"/>
            </w:rPr>
            <w:t xml:space="preserve"> </w:t>
          </w:r>
          <w:r>
            <w:rPr>
              <w:rFonts w:ascii="宋体" w:hAnsi="宋体" w:eastAsia="宋体" w:cs="宋体"/>
              <w:b/>
              <w:bCs/>
              <w:spacing w:val="-16"/>
              <w:sz w:val="26"/>
              <w:szCs w:val="26"/>
            </w:rPr>
            <w:t>项目升压站组成及规模</w:t>
          </w:r>
          <w:r>
            <w:rPr>
              <w:rFonts w:ascii="宋体" w:hAnsi="宋体" w:eastAsia="宋体" w:cs="宋体"/>
              <w:spacing w:val="-107"/>
              <w:sz w:val="26"/>
              <w:szCs w:val="26"/>
            </w:rPr>
            <w:t xml:space="preserve"> </w:t>
          </w:r>
          <w:r>
            <w:rPr>
              <w:rFonts w:ascii="宋体" w:hAnsi="宋体" w:eastAsia="宋体" w:cs="宋体"/>
              <w:sz w:val="26"/>
              <w:szCs w:val="26"/>
            </w:rPr>
            <w:tab/>
          </w:r>
          <w:r>
            <w:rPr>
              <w:rFonts w:ascii="宋体" w:hAnsi="宋体" w:eastAsia="宋体" w:cs="宋体"/>
              <w:spacing w:val="-84"/>
              <w:sz w:val="26"/>
              <w:szCs w:val="26"/>
            </w:rPr>
            <w:t xml:space="preserve"> </w:t>
          </w:r>
          <w:r>
            <w:fldChar w:fldCharType="begin"/>
          </w:r>
          <w:r>
            <w:instrText xml:space="preserve"> HYPERLINK \l "bookmark29" </w:instrText>
          </w:r>
          <w:r>
            <w:fldChar w:fldCharType="separate"/>
          </w:r>
          <w:r>
            <w:rPr>
              <w:b/>
              <w:bCs/>
              <w:spacing w:val="-5"/>
              <w:sz w:val="23"/>
              <w:szCs w:val="23"/>
            </w:rPr>
            <w:t>6</w:t>
          </w:r>
          <w:r>
            <w:rPr>
              <w:b/>
              <w:bCs/>
              <w:spacing w:val="-5"/>
              <w:sz w:val="23"/>
              <w:szCs w:val="23"/>
            </w:rPr>
            <w:fldChar w:fldCharType="end"/>
          </w:r>
          <w:r>
            <w:rPr>
              <w:b/>
              <w:bCs/>
              <w:spacing w:val="-5"/>
              <w:sz w:val="23"/>
              <w:szCs w:val="23"/>
            </w:rPr>
            <w:t>-</w:t>
          </w:r>
        </w:p>
        <w:p w14:paraId="4767E227">
          <w:pPr>
            <w:pStyle w:val="2"/>
            <w:tabs>
              <w:tab w:val="right" w:leader="dot" w:pos="8257"/>
            </w:tabs>
            <w:spacing w:before="80" w:line="219" w:lineRule="auto"/>
            <w:ind w:left="220"/>
            <w:rPr>
              <w:sz w:val="23"/>
              <w:szCs w:val="23"/>
            </w:rPr>
          </w:pPr>
          <w:r>
            <w:rPr>
              <w:rFonts w:ascii="Times New Roman" w:hAnsi="Times New Roman" w:eastAsia="Times New Roman" w:cs="Times New Roman"/>
              <w:b/>
              <w:bCs/>
              <w:spacing w:val="-13"/>
              <w:sz w:val="26"/>
              <w:szCs w:val="26"/>
            </w:rPr>
            <w:t>2.3</w:t>
          </w:r>
          <w:r>
            <w:rPr>
              <w:rFonts w:ascii="Times New Roman" w:hAnsi="Times New Roman" w:eastAsia="Times New Roman" w:cs="Times New Roman"/>
              <w:b/>
              <w:bCs/>
              <w:spacing w:val="25"/>
              <w:sz w:val="26"/>
              <w:szCs w:val="26"/>
            </w:rPr>
            <w:t xml:space="preserve"> </w:t>
          </w:r>
          <w:r>
            <w:rPr>
              <w:rFonts w:ascii="宋体" w:hAnsi="宋体" w:eastAsia="宋体" w:cs="宋体"/>
              <w:b/>
              <w:bCs/>
              <w:spacing w:val="-13"/>
              <w:sz w:val="26"/>
              <w:szCs w:val="26"/>
            </w:rPr>
            <w:t>升压站总平面布置</w:t>
          </w:r>
          <w:r>
            <w:rPr>
              <w:rFonts w:ascii="宋体" w:hAnsi="宋体" w:eastAsia="宋体" w:cs="宋体"/>
              <w:spacing w:val="-105"/>
              <w:sz w:val="26"/>
              <w:szCs w:val="26"/>
            </w:rPr>
            <w:t xml:space="preserve"> </w:t>
          </w:r>
          <w:r>
            <w:rPr>
              <w:rFonts w:ascii="宋体" w:hAnsi="宋体" w:eastAsia="宋体" w:cs="宋体"/>
              <w:sz w:val="26"/>
              <w:szCs w:val="26"/>
            </w:rPr>
            <w:tab/>
          </w:r>
          <w:r>
            <w:fldChar w:fldCharType="begin"/>
          </w:r>
          <w:r>
            <w:instrText xml:space="preserve"> HYPERLINK \l "bookmark30" </w:instrText>
          </w:r>
          <w:r>
            <w:fldChar w:fldCharType="separate"/>
          </w:r>
          <w:r>
            <w:rPr>
              <w:b/>
              <w:bCs/>
              <w:spacing w:val="-1"/>
              <w:sz w:val="23"/>
              <w:szCs w:val="23"/>
            </w:rPr>
            <w:t>9</w:t>
          </w:r>
          <w:r>
            <w:rPr>
              <w:b/>
              <w:bCs/>
              <w:spacing w:val="-1"/>
              <w:sz w:val="23"/>
              <w:szCs w:val="23"/>
            </w:rPr>
            <w:fldChar w:fldCharType="end"/>
          </w:r>
          <w:r>
            <w:rPr>
              <w:b/>
              <w:bCs/>
              <w:spacing w:val="-1"/>
              <w:sz w:val="23"/>
              <w:szCs w:val="23"/>
            </w:rPr>
            <w:t>-</w:t>
          </w:r>
        </w:p>
        <w:p w14:paraId="2CEFD04A">
          <w:pPr>
            <w:pStyle w:val="2"/>
            <w:tabs>
              <w:tab w:val="right" w:leader="dot" w:pos="8254"/>
            </w:tabs>
            <w:spacing w:before="74" w:line="220" w:lineRule="auto"/>
            <w:ind w:left="220"/>
            <w:rPr>
              <w:sz w:val="23"/>
              <w:szCs w:val="23"/>
            </w:rPr>
          </w:pPr>
          <w:r>
            <w:rPr>
              <w:rFonts w:ascii="Times New Roman" w:hAnsi="Times New Roman" w:eastAsia="Times New Roman" w:cs="Times New Roman"/>
              <w:b/>
              <w:bCs/>
              <w:spacing w:val="-10"/>
              <w:sz w:val="26"/>
              <w:szCs w:val="26"/>
            </w:rPr>
            <w:t>2.4</w:t>
          </w:r>
          <w:r>
            <w:rPr>
              <w:rFonts w:ascii="Times New Roman" w:hAnsi="Times New Roman" w:eastAsia="Times New Roman" w:cs="Times New Roman"/>
              <w:b/>
              <w:bCs/>
              <w:spacing w:val="35"/>
              <w:sz w:val="26"/>
              <w:szCs w:val="26"/>
            </w:rPr>
            <w:t xml:space="preserve"> </w:t>
          </w:r>
          <w:r>
            <w:rPr>
              <w:rFonts w:ascii="宋体" w:hAnsi="宋体" w:eastAsia="宋体" w:cs="宋体"/>
              <w:b/>
              <w:bCs/>
              <w:spacing w:val="-10"/>
              <w:sz w:val="26"/>
              <w:szCs w:val="26"/>
            </w:rPr>
            <w:t>建筑设计</w:t>
          </w:r>
          <w:r>
            <w:rPr>
              <w:rFonts w:ascii="宋体" w:hAnsi="宋体" w:eastAsia="宋体" w:cs="宋体"/>
              <w:spacing w:val="-108"/>
              <w:sz w:val="26"/>
              <w:szCs w:val="26"/>
            </w:rPr>
            <w:t xml:space="preserve"> </w:t>
          </w:r>
          <w:r>
            <w:rPr>
              <w:rFonts w:ascii="宋体" w:hAnsi="宋体" w:eastAsia="宋体" w:cs="宋体"/>
              <w:sz w:val="26"/>
              <w:szCs w:val="26"/>
            </w:rPr>
            <w:tab/>
          </w:r>
          <w:r>
            <w:rPr>
              <w:rFonts w:ascii="宋体" w:hAnsi="宋体" w:eastAsia="宋体" w:cs="宋体"/>
              <w:spacing w:val="-53"/>
              <w:sz w:val="26"/>
              <w:szCs w:val="26"/>
            </w:rPr>
            <w:t xml:space="preserve"> </w:t>
          </w:r>
          <w:r>
            <w:fldChar w:fldCharType="begin"/>
          </w:r>
          <w:r>
            <w:instrText xml:space="preserve"> HYPERLINK \l "bookmark31" </w:instrText>
          </w:r>
          <w:r>
            <w:fldChar w:fldCharType="separate"/>
          </w:r>
          <w:r>
            <w:rPr>
              <w:b/>
              <w:bCs/>
              <w:spacing w:val="-7"/>
              <w:sz w:val="23"/>
              <w:szCs w:val="23"/>
            </w:rPr>
            <w:t>10</w:t>
          </w:r>
          <w:r>
            <w:rPr>
              <w:b/>
              <w:bCs/>
              <w:spacing w:val="-7"/>
              <w:sz w:val="23"/>
              <w:szCs w:val="23"/>
            </w:rPr>
            <w:fldChar w:fldCharType="end"/>
          </w:r>
          <w:r>
            <w:rPr>
              <w:b/>
              <w:bCs/>
              <w:spacing w:val="-7"/>
              <w:sz w:val="23"/>
              <w:szCs w:val="23"/>
            </w:rPr>
            <w:t>-</w:t>
          </w:r>
        </w:p>
        <w:p w14:paraId="39FEDB02">
          <w:pPr>
            <w:pStyle w:val="2"/>
            <w:tabs>
              <w:tab w:val="right" w:leader="dot" w:pos="8254"/>
            </w:tabs>
            <w:spacing w:before="80" w:line="220" w:lineRule="auto"/>
            <w:ind w:left="220"/>
            <w:rPr>
              <w:sz w:val="23"/>
              <w:szCs w:val="23"/>
            </w:rPr>
          </w:pPr>
          <w:r>
            <w:rPr>
              <w:rFonts w:ascii="Times New Roman" w:hAnsi="Times New Roman" w:eastAsia="Times New Roman" w:cs="Times New Roman"/>
              <w:b/>
              <w:bCs/>
              <w:spacing w:val="-15"/>
              <w:sz w:val="26"/>
              <w:szCs w:val="26"/>
            </w:rPr>
            <w:t>2.5</w:t>
          </w:r>
          <w:r>
            <w:rPr>
              <w:rFonts w:ascii="Times New Roman" w:hAnsi="Times New Roman" w:eastAsia="Times New Roman" w:cs="Times New Roman"/>
              <w:b/>
              <w:bCs/>
              <w:spacing w:val="35"/>
              <w:w w:val="101"/>
              <w:sz w:val="26"/>
              <w:szCs w:val="26"/>
            </w:rPr>
            <w:t xml:space="preserve"> </w:t>
          </w:r>
          <w:r>
            <w:rPr>
              <w:rFonts w:ascii="宋体" w:hAnsi="宋体" w:eastAsia="宋体" w:cs="宋体"/>
              <w:b/>
              <w:bCs/>
              <w:spacing w:val="-15"/>
              <w:sz w:val="26"/>
              <w:szCs w:val="26"/>
            </w:rPr>
            <w:t>升压站电气主接线</w:t>
          </w:r>
          <w:r>
            <w:rPr>
              <w:rFonts w:ascii="宋体" w:hAnsi="宋体" w:eastAsia="宋体" w:cs="宋体"/>
              <w:spacing w:val="-114"/>
              <w:sz w:val="26"/>
              <w:szCs w:val="26"/>
            </w:rPr>
            <w:t xml:space="preserve"> </w:t>
          </w:r>
          <w:r>
            <w:rPr>
              <w:rFonts w:ascii="宋体" w:hAnsi="宋体" w:eastAsia="宋体" w:cs="宋体"/>
              <w:sz w:val="26"/>
              <w:szCs w:val="26"/>
            </w:rPr>
            <w:tab/>
          </w:r>
          <w:r>
            <w:fldChar w:fldCharType="begin"/>
          </w:r>
          <w:r>
            <w:instrText xml:space="preserve"> HYPERLINK \l "bookmark32" </w:instrText>
          </w:r>
          <w:r>
            <w:fldChar w:fldCharType="separate"/>
          </w:r>
          <w:r>
            <w:rPr>
              <w:b/>
              <w:bCs/>
              <w:spacing w:val="-5"/>
              <w:sz w:val="23"/>
              <w:szCs w:val="23"/>
            </w:rPr>
            <w:t>11</w:t>
          </w:r>
          <w:r>
            <w:rPr>
              <w:b/>
              <w:bCs/>
              <w:spacing w:val="-5"/>
              <w:sz w:val="23"/>
              <w:szCs w:val="23"/>
            </w:rPr>
            <w:fldChar w:fldCharType="end"/>
          </w:r>
          <w:r>
            <w:rPr>
              <w:b/>
              <w:bCs/>
              <w:spacing w:val="-5"/>
              <w:sz w:val="23"/>
              <w:szCs w:val="23"/>
            </w:rPr>
            <w:t>-</w:t>
          </w:r>
        </w:p>
        <w:p w14:paraId="581D3D24">
          <w:pPr>
            <w:pStyle w:val="2"/>
            <w:tabs>
              <w:tab w:val="right" w:leader="dot" w:pos="8244"/>
            </w:tabs>
            <w:spacing w:before="91" w:line="221" w:lineRule="auto"/>
            <w:ind w:left="220"/>
            <w:rPr>
              <w:sz w:val="23"/>
              <w:szCs w:val="23"/>
            </w:rPr>
          </w:pPr>
          <w:r>
            <w:rPr>
              <w:rFonts w:ascii="Times New Roman" w:hAnsi="Times New Roman" w:eastAsia="Times New Roman" w:cs="Times New Roman"/>
              <w:b/>
              <w:bCs/>
              <w:spacing w:val="-12"/>
              <w:sz w:val="26"/>
              <w:szCs w:val="26"/>
            </w:rPr>
            <w:t>2.6</w:t>
          </w:r>
          <w:r>
            <w:rPr>
              <w:rFonts w:ascii="Times New Roman" w:hAnsi="Times New Roman" w:eastAsia="Times New Roman" w:cs="Times New Roman"/>
              <w:b/>
              <w:bCs/>
              <w:spacing w:val="28"/>
              <w:sz w:val="26"/>
              <w:szCs w:val="26"/>
            </w:rPr>
            <w:t xml:space="preserve"> </w:t>
          </w:r>
          <w:r>
            <w:rPr>
              <w:rFonts w:ascii="宋体" w:hAnsi="宋体" w:eastAsia="宋体" w:cs="宋体"/>
              <w:b/>
              <w:bCs/>
              <w:spacing w:val="-12"/>
              <w:sz w:val="26"/>
              <w:szCs w:val="26"/>
            </w:rPr>
            <w:t>升压站电气设备</w:t>
          </w:r>
          <w:r>
            <w:rPr>
              <w:rFonts w:ascii="宋体" w:hAnsi="宋体" w:eastAsia="宋体" w:cs="宋体"/>
              <w:spacing w:val="-109"/>
              <w:sz w:val="26"/>
              <w:szCs w:val="26"/>
            </w:rPr>
            <w:t xml:space="preserve"> </w:t>
          </w:r>
          <w:r>
            <w:rPr>
              <w:rFonts w:ascii="宋体" w:hAnsi="宋体" w:eastAsia="宋体" w:cs="宋体"/>
              <w:sz w:val="26"/>
              <w:szCs w:val="26"/>
            </w:rPr>
            <w:tab/>
          </w:r>
          <w:r>
            <w:rPr>
              <w:rFonts w:ascii="宋体" w:hAnsi="宋体" w:eastAsia="宋体" w:cs="宋体"/>
              <w:spacing w:val="-13"/>
              <w:sz w:val="26"/>
              <w:szCs w:val="26"/>
            </w:rPr>
            <w:t xml:space="preserve"> </w:t>
          </w:r>
          <w:r>
            <w:fldChar w:fldCharType="begin"/>
          </w:r>
          <w:r>
            <w:instrText xml:space="preserve"> HYPERLINK \l "bookmark33" </w:instrText>
          </w:r>
          <w:r>
            <w:fldChar w:fldCharType="separate"/>
          </w:r>
          <w:r>
            <w:rPr>
              <w:b/>
              <w:bCs/>
              <w:spacing w:val="-7"/>
              <w:sz w:val="23"/>
              <w:szCs w:val="23"/>
            </w:rPr>
            <w:t>11</w:t>
          </w:r>
          <w:r>
            <w:rPr>
              <w:b/>
              <w:bCs/>
              <w:spacing w:val="-7"/>
              <w:sz w:val="23"/>
              <w:szCs w:val="23"/>
            </w:rPr>
            <w:fldChar w:fldCharType="end"/>
          </w:r>
          <w:r>
            <w:rPr>
              <w:b/>
              <w:bCs/>
              <w:spacing w:val="-7"/>
              <w:sz w:val="23"/>
              <w:szCs w:val="23"/>
            </w:rPr>
            <w:t>-</w:t>
          </w:r>
        </w:p>
        <w:p w14:paraId="585EBEDB">
          <w:pPr>
            <w:pStyle w:val="2"/>
            <w:tabs>
              <w:tab w:val="right" w:leader="dot" w:pos="8254"/>
            </w:tabs>
            <w:spacing w:before="68" w:line="220" w:lineRule="auto"/>
            <w:ind w:left="220"/>
            <w:rPr>
              <w:sz w:val="23"/>
              <w:szCs w:val="23"/>
            </w:rPr>
          </w:pPr>
          <w:r>
            <w:rPr>
              <w:rFonts w:ascii="Times New Roman" w:hAnsi="Times New Roman" w:eastAsia="Times New Roman" w:cs="Times New Roman"/>
              <w:b/>
              <w:bCs/>
              <w:spacing w:val="-14"/>
              <w:sz w:val="26"/>
              <w:szCs w:val="26"/>
            </w:rPr>
            <w:t>2.7</w:t>
          </w:r>
          <w:r>
            <w:rPr>
              <w:rFonts w:ascii="Times New Roman" w:hAnsi="Times New Roman" w:eastAsia="Times New Roman" w:cs="Times New Roman"/>
              <w:b/>
              <w:bCs/>
              <w:spacing w:val="32"/>
              <w:sz w:val="26"/>
              <w:szCs w:val="26"/>
            </w:rPr>
            <w:t xml:space="preserve"> </w:t>
          </w:r>
          <w:r>
            <w:rPr>
              <w:rFonts w:ascii="宋体" w:hAnsi="宋体" w:eastAsia="宋体" w:cs="宋体"/>
              <w:b/>
              <w:bCs/>
              <w:spacing w:val="-14"/>
              <w:sz w:val="26"/>
              <w:szCs w:val="26"/>
            </w:rPr>
            <w:t>项目主要污染工序</w:t>
          </w:r>
          <w:r>
            <w:rPr>
              <w:rFonts w:ascii="宋体" w:hAnsi="宋体" w:eastAsia="宋体" w:cs="宋体"/>
              <w:spacing w:val="-111"/>
              <w:sz w:val="26"/>
              <w:szCs w:val="26"/>
            </w:rPr>
            <w:t xml:space="preserve"> </w:t>
          </w:r>
          <w:r>
            <w:rPr>
              <w:rFonts w:ascii="宋体" w:hAnsi="宋体" w:eastAsia="宋体" w:cs="宋体"/>
              <w:sz w:val="26"/>
              <w:szCs w:val="26"/>
            </w:rPr>
            <w:tab/>
          </w:r>
          <w:r>
            <w:fldChar w:fldCharType="begin"/>
          </w:r>
          <w:r>
            <w:instrText xml:space="preserve"> HYPERLINK \l "bookmark34" </w:instrText>
          </w:r>
          <w:r>
            <w:fldChar w:fldCharType="separate"/>
          </w:r>
          <w:r>
            <w:rPr>
              <w:b/>
              <w:bCs/>
              <w:spacing w:val="-5"/>
              <w:sz w:val="23"/>
              <w:szCs w:val="23"/>
            </w:rPr>
            <w:t>14</w:t>
          </w:r>
          <w:r>
            <w:rPr>
              <w:b/>
              <w:bCs/>
              <w:spacing w:val="-5"/>
              <w:sz w:val="23"/>
              <w:szCs w:val="23"/>
            </w:rPr>
            <w:fldChar w:fldCharType="end"/>
          </w:r>
          <w:r>
            <w:rPr>
              <w:b/>
              <w:bCs/>
              <w:spacing w:val="-5"/>
              <w:sz w:val="23"/>
              <w:szCs w:val="23"/>
            </w:rPr>
            <w:t>-</w:t>
          </w:r>
        </w:p>
        <w:p w14:paraId="25EBDEEA">
          <w:pPr>
            <w:pStyle w:val="2"/>
            <w:tabs>
              <w:tab w:val="right" w:leader="dot" w:pos="8264"/>
            </w:tabs>
            <w:spacing w:before="77" w:line="218" w:lineRule="auto"/>
            <w:rPr>
              <w:sz w:val="23"/>
              <w:szCs w:val="23"/>
            </w:rPr>
          </w:pPr>
          <w:r>
            <w:rPr>
              <w:rFonts w:ascii="Times New Roman" w:hAnsi="Times New Roman" w:eastAsia="Times New Roman" w:cs="Times New Roman"/>
              <w:b/>
              <w:bCs/>
              <w:spacing w:val="-16"/>
              <w:sz w:val="26"/>
              <w:szCs w:val="26"/>
            </w:rPr>
            <w:t>3</w:t>
          </w:r>
          <w:r>
            <w:rPr>
              <w:rFonts w:ascii="Times New Roman" w:hAnsi="Times New Roman" w:eastAsia="Times New Roman" w:cs="Times New Roman"/>
              <w:b/>
              <w:bCs/>
              <w:spacing w:val="13"/>
              <w:sz w:val="26"/>
              <w:szCs w:val="26"/>
            </w:rPr>
            <w:t xml:space="preserve"> </w:t>
          </w:r>
          <w:r>
            <w:rPr>
              <w:rFonts w:ascii="宋体" w:hAnsi="宋体" w:eastAsia="宋体" w:cs="宋体"/>
              <w:b/>
              <w:bCs/>
              <w:spacing w:val="-16"/>
              <w:sz w:val="26"/>
              <w:szCs w:val="26"/>
            </w:rPr>
            <w:t>电磁环境影响预测与评价</w:t>
          </w:r>
          <w:r>
            <w:rPr>
              <w:rFonts w:ascii="宋体" w:hAnsi="宋体" w:eastAsia="宋体" w:cs="宋体"/>
              <w:spacing w:val="-107"/>
              <w:sz w:val="26"/>
              <w:szCs w:val="26"/>
            </w:rPr>
            <w:t xml:space="preserve"> </w:t>
          </w:r>
          <w:r>
            <w:rPr>
              <w:rFonts w:ascii="宋体" w:hAnsi="宋体" w:eastAsia="宋体" w:cs="宋体"/>
              <w:sz w:val="26"/>
              <w:szCs w:val="26"/>
            </w:rPr>
            <w:tab/>
          </w:r>
          <w:r>
            <w:rPr>
              <w:rFonts w:ascii="宋体" w:hAnsi="宋体" w:eastAsia="宋体" w:cs="宋体"/>
              <w:spacing w:val="-23"/>
              <w:sz w:val="26"/>
              <w:szCs w:val="26"/>
            </w:rPr>
            <w:t xml:space="preserve"> </w:t>
          </w:r>
          <w:r>
            <w:fldChar w:fldCharType="begin"/>
          </w:r>
          <w:r>
            <w:instrText xml:space="preserve"> HYPERLINK \l "bookmark35" </w:instrText>
          </w:r>
          <w:r>
            <w:fldChar w:fldCharType="separate"/>
          </w:r>
          <w:r>
            <w:rPr>
              <w:b/>
              <w:bCs/>
              <w:spacing w:val="-7"/>
              <w:sz w:val="23"/>
              <w:szCs w:val="23"/>
            </w:rPr>
            <w:t>15</w:t>
          </w:r>
          <w:r>
            <w:rPr>
              <w:b/>
              <w:bCs/>
              <w:spacing w:val="-7"/>
              <w:sz w:val="23"/>
              <w:szCs w:val="23"/>
            </w:rPr>
            <w:fldChar w:fldCharType="end"/>
          </w:r>
          <w:r>
            <w:rPr>
              <w:b/>
              <w:bCs/>
              <w:spacing w:val="-7"/>
              <w:sz w:val="23"/>
              <w:szCs w:val="23"/>
            </w:rPr>
            <w:t>-</w:t>
          </w:r>
        </w:p>
        <w:p w14:paraId="2A3C06DF">
          <w:pPr>
            <w:pStyle w:val="2"/>
            <w:tabs>
              <w:tab w:val="right" w:leader="dot" w:pos="8254"/>
            </w:tabs>
            <w:spacing w:before="85" w:line="219" w:lineRule="auto"/>
            <w:ind w:left="220"/>
            <w:rPr>
              <w:sz w:val="23"/>
              <w:szCs w:val="23"/>
            </w:rPr>
          </w:pPr>
          <w:r>
            <w:rPr>
              <w:rFonts w:ascii="Times New Roman" w:hAnsi="Times New Roman" w:eastAsia="Times New Roman" w:cs="Times New Roman"/>
              <w:b/>
              <w:bCs/>
              <w:spacing w:val="-23"/>
              <w:sz w:val="26"/>
              <w:szCs w:val="26"/>
            </w:rPr>
            <w:t>3.1</w:t>
          </w:r>
          <w:r>
            <w:rPr>
              <w:rFonts w:ascii="Times New Roman" w:hAnsi="Times New Roman" w:eastAsia="Times New Roman" w:cs="Times New Roman"/>
              <w:b/>
              <w:bCs/>
              <w:spacing w:val="37"/>
              <w:sz w:val="26"/>
              <w:szCs w:val="26"/>
            </w:rPr>
            <w:t xml:space="preserve"> </w:t>
          </w:r>
          <w:r>
            <w:rPr>
              <w:rFonts w:ascii="宋体" w:hAnsi="宋体" w:eastAsia="宋体" w:cs="宋体"/>
              <w:b/>
              <w:bCs/>
              <w:spacing w:val="-23"/>
              <w:sz w:val="26"/>
              <w:szCs w:val="26"/>
            </w:rPr>
            <w:t>项目区电磁环境现状</w:t>
          </w:r>
          <w:r>
            <w:rPr>
              <w:rFonts w:ascii="宋体" w:hAnsi="宋体" w:eastAsia="宋体" w:cs="宋体"/>
              <w:spacing w:val="-107"/>
              <w:sz w:val="26"/>
              <w:szCs w:val="26"/>
            </w:rPr>
            <w:t xml:space="preserve"> </w:t>
          </w:r>
          <w:r>
            <w:rPr>
              <w:rFonts w:ascii="宋体" w:hAnsi="宋体" w:eastAsia="宋体" w:cs="宋体"/>
              <w:sz w:val="26"/>
              <w:szCs w:val="26"/>
            </w:rPr>
            <w:tab/>
          </w:r>
          <w:r>
            <w:fldChar w:fldCharType="begin"/>
          </w:r>
          <w:r>
            <w:instrText xml:space="preserve"> HYPERLINK \l "bookmark36" </w:instrText>
          </w:r>
          <w:r>
            <w:fldChar w:fldCharType="separate"/>
          </w:r>
          <w:r>
            <w:rPr>
              <w:b/>
              <w:bCs/>
              <w:spacing w:val="-5"/>
              <w:sz w:val="23"/>
              <w:szCs w:val="23"/>
            </w:rPr>
            <w:t>15</w:t>
          </w:r>
          <w:r>
            <w:rPr>
              <w:b/>
              <w:bCs/>
              <w:spacing w:val="-5"/>
              <w:sz w:val="23"/>
              <w:szCs w:val="23"/>
            </w:rPr>
            <w:fldChar w:fldCharType="end"/>
          </w:r>
          <w:r>
            <w:rPr>
              <w:b/>
              <w:bCs/>
              <w:spacing w:val="-5"/>
              <w:sz w:val="23"/>
              <w:szCs w:val="23"/>
            </w:rPr>
            <w:t>-</w:t>
          </w:r>
        </w:p>
        <w:p w14:paraId="2F00F785">
          <w:pPr>
            <w:pStyle w:val="2"/>
            <w:tabs>
              <w:tab w:val="right" w:leader="dot" w:pos="8244"/>
            </w:tabs>
            <w:spacing w:before="92" w:line="220" w:lineRule="auto"/>
            <w:ind w:left="220"/>
            <w:rPr>
              <w:sz w:val="23"/>
              <w:szCs w:val="23"/>
            </w:rPr>
          </w:pPr>
          <w:r>
            <w:rPr>
              <w:rFonts w:ascii="Times New Roman" w:hAnsi="Times New Roman" w:eastAsia="Times New Roman" w:cs="Times New Roman"/>
              <w:b/>
              <w:bCs/>
              <w:spacing w:val="-23"/>
              <w:sz w:val="26"/>
              <w:szCs w:val="26"/>
            </w:rPr>
            <w:t>3.2</w:t>
          </w:r>
          <w:r>
            <w:rPr>
              <w:rFonts w:ascii="Times New Roman" w:hAnsi="Times New Roman" w:eastAsia="Times New Roman" w:cs="Times New Roman"/>
              <w:b/>
              <w:bCs/>
              <w:spacing w:val="47"/>
              <w:w w:val="101"/>
              <w:sz w:val="26"/>
              <w:szCs w:val="26"/>
            </w:rPr>
            <w:t xml:space="preserve"> </w:t>
          </w:r>
          <w:r>
            <w:rPr>
              <w:rFonts w:ascii="宋体" w:hAnsi="宋体" w:eastAsia="宋体" w:cs="宋体"/>
              <w:b/>
              <w:bCs/>
              <w:spacing w:val="-23"/>
              <w:sz w:val="26"/>
              <w:szCs w:val="26"/>
            </w:rPr>
            <w:t>运营期电磁环境影响分析</w:t>
          </w:r>
          <w:r>
            <w:rPr>
              <w:rFonts w:ascii="宋体" w:hAnsi="宋体" w:eastAsia="宋体" w:cs="宋体"/>
              <w:spacing w:val="-107"/>
              <w:sz w:val="26"/>
              <w:szCs w:val="26"/>
            </w:rPr>
            <w:t xml:space="preserve"> </w:t>
          </w:r>
          <w:r>
            <w:rPr>
              <w:rFonts w:ascii="宋体" w:hAnsi="宋体" w:eastAsia="宋体" w:cs="宋体"/>
              <w:sz w:val="26"/>
              <w:szCs w:val="26"/>
            </w:rPr>
            <w:tab/>
          </w:r>
          <w:r>
            <w:fldChar w:fldCharType="begin"/>
          </w:r>
          <w:r>
            <w:instrText xml:space="preserve"> HYPERLINK \l "bookmark37" </w:instrText>
          </w:r>
          <w:r>
            <w:fldChar w:fldCharType="separate"/>
          </w:r>
          <w:r>
            <w:rPr>
              <w:b/>
              <w:bCs/>
              <w:spacing w:val="2"/>
              <w:sz w:val="23"/>
              <w:szCs w:val="23"/>
            </w:rPr>
            <w:t>16</w:t>
          </w:r>
          <w:r>
            <w:rPr>
              <w:b/>
              <w:bCs/>
              <w:spacing w:val="2"/>
              <w:sz w:val="23"/>
              <w:szCs w:val="23"/>
            </w:rPr>
            <w:fldChar w:fldCharType="end"/>
          </w:r>
          <w:r>
            <w:rPr>
              <w:b/>
              <w:bCs/>
              <w:spacing w:val="2"/>
              <w:sz w:val="23"/>
              <w:szCs w:val="23"/>
            </w:rPr>
            <w:t>-</w:t>
          </w:r>
        </w:p>
        <w:p w14:paraId="6FEBA2F7">
          <w:pPr>
            <w:pStyle w:val="2"/>
            <w:tabs>
              <w:tab w:val="right" w:leader="dot" w:pos="8255"/>
            </w:tabs>
            <w:spacing w:before="71" w:line="220" w:lineRule="auto"/>
            <w:ind w:left="220"/>
            <w:rPr>
              <w:sz w:val="23"/>
              <w:szCs w:val="23"/>
            </w:rPr>
          </w:pPr>
          <w:r>
            <w:rPr>
              <w:rFonts w:ascii="Times New Roman" w:hAnsi="Times New Roman" w:eastAsia="Times New Roman" w:cs="Times New Roman"/>
              <w:b/>
              <w:bCs/>
              <w:spacing w:val="-16"/>
              <w:sz w:val="26"/>
              <w:szCs w:val="26"/>
            </w:rPr>
            <w:t>3.3</w:t>
          </w:r>
          <w:r>
            <w:rPr>
              <w:rFonts w:ascii="Times New Roman" w:hAnsi="Times New Roman" w:eastAsia="Times New Roman" w:cs="Times New Roman"/>
              <w:b/>
              <w:bCs/>
              <w:spacing w:val="47"/>
              <w:w w:val="101"/>
              <w:sz w:val="26"/>
              <w:szCs w:val="26"/>
            </w:rPr>
            <w:t xml:space="preserve"> </w:t>
          </w:r>
          <w:r>
            <w:rPr>
              <w:rFonts w:ascii="宋体" w:hAnsi="宋体" w:eastAsia="宋体" w:cs="宋体"/>
              <w:b/>
              <w:bCs/>
              <w:spacing w:val="-16"/>
              <w:sz w:val="26"/>
              <w:szCs w:val="26"/>
            </w:rPr>
            <w:t>电磁环境达标控制要求</w:t>
          </w:r>
          <w:r>
            <w:rPr>
              <w:rFonts w:ascii="宋体" w:hAnsi="宋体" w:eastAsia="宋体" w:cs="宋体"/>
              <w:spacing w:val="-108"/>
              <w:sz w:val="26"/>
              <w:szCs w:val="26"/>
            </w:rPr>
            <w:t xml:space="preserve"> </w:t>
          </w:r>
          <w:r>
            <w:rPr>
              <w:rFonts w:ascii="宋体" w:hAnsi="宋体" w:eastAsia="宋体" w:cs="宋体"/>
              <w:sz w:val="26"/>
              <w:szCs w:val="26"/>
            </w:rPr>
            <w:tab/>
          </w:r>
          <w:r>
            <w:fldChar w:fldCharType="begin"/>
          </w:r>
          <w:r>
            <w:instrText xml:space="preserve"> HYPERLINK \l "bookmark38" </w:instrText>
          </w:r>
          <w:r>
            <w:fldChar w:fldCharType="separate"/>
          </w:r>
          <w:r>
            <w:rPr>
              <w:b/>
              <w:bCs/>
              <w:spacing w:val="-1"/>
              <w:sz w:val="23"/>
              <w:szCs w:val="23"/>
            </w:rPr>
            <w:t>22</w:t>
          </w:r>
          <w:r>
            <w:rPr>
              <w:b/>
              <w:bCs/>
              <w:spacing w:val="-1"/>
              <w:sz w:val="23"/>
              <w:szCs w:val="23"/>
            </w:rPr>
            <w:fldChar w:fldCharType="end"/>
          </w:r>
          <w:r>
            <w:rPr>
              <w:b/>
              <w:bCs/>
              <w:spacing w:val="-1"/>
              <w:sz w:val="23"/>
              <w:szCs w:val="23"/>
            </w:rPr>
            <w:t>-</w:t>
          </w:r>
        </w:p>
        <w:p w14:paraId="6452D804">
          <w:pPr>
            <w:pStyle w:val="2"/>
            <w:tabs>
              <w:tab w:val="right" w:leader="dot" w:pos="8255"/>
            </w:tabs>
            <w:spacing w:before="89" w:line="219" w:lineRule="auto"/>
            <w:rPr>
              <w:sz w:val="23"/>
              <w:szCs w:val="23"/>
            </w:rPr>
          </w:pPr>
          <w:r>
            <w:rPr>
              <w:rFonts w:ascii="Times New Roman" w:hAnsi="Times New Roman" w:eastAsia="Times New Roman" w:cs="Times New Roman"/>
              <w:b/>
              <w:bCs/>
              <w:spacing w:val="-18"/>
              <w:sz w:val="26"/>
              <w:szCs w:val="26"/>
            </w:rPr>
            <w:t xml:space="preserve">4  </w:t>
          </w:r>
          <w:r>
            <w:rPr>
              <w:rFonts w:ascii="宋体" w:hAnsi="宋体" w:eastAsia="宋体" w:cs="宋体"/>
              <w:b/>
              <w:bCs/>
              <w:spacing w:val="-18"/>
              <w:sz w:val="26"/>
              <w:szCs w:val="26"/>
            </w:rPr>
            <w:t>电磁辐射环境保护措施及监测计划</w:t>
          </w:r>
          <w:r>
            <w:rPr>
              <w:rFonts w:ascii="宋体" w:hAnsi="宋体" w:eastAsia="宋体" w:cs="宋体"/>
              <w:spacing w:val="-98"/>
              <w:sz w:val="26"/>
              <w:szCs w:val="26"/>
            </w:rPr>
            <w:t xml:space="preserve"> </w:t>
          </w:r>
          <w:r>
            <w:rPr>
              <w:rFonts w:ascii="宋体" w:hAnsi="宋体" w:eastAsia="宋体" w:cs="宋体"/>
              <w:sz w:val="26"/>
              <w:szCs w:val="26"/>
            </w:rPr>
            <w:tab/>
          </w:r>
          <w:r>
            <w:fldChar w:fldCharType="begin"/>
          </w:r>
          <w:r>
            <w:instrText xml:space="preserve"> HYPERLINK \l "bookmark39" </w:instrText>
          </w:r>
          <w:r>
            <w:fldChar w:fldCharType="separate"/>
          </w:r>
          <w:r>
            <w:rPr>
              <w:b/>
              <w:bCs/>
              <w:sz w:val="23"/>
              <w:szCs w:val="23"/>
            </w:rPr>
            <w:t>23</w:t>
          </w:r>
          <w:r>
            <w:rPr>
              <w:b/>
              <w:bCs/>
              <w:sz w:val="23"/>
              <w:szCs w:val="23"/>
            </w:rPr>
            <w:fldChar w:fldCharType="end"/>
          </w:r>
          <w:r>
            <w:rPr>
              <w:b/>
              <w:bCs/>
              <w:sz w:val="23"/>
              <w:szCs w:val="23"/>
            </w:rPr>
            <w:t>-</w:t>
          </w:r>
        </w:p>
        <w:p w14:paraId="3C2E71D0">
          <w:pPr>
            <w:pStyle w:val="2"/>
            <w:tabs>
              <w:tab w:val="right" w:leader="dot" w:pos="8255"/>
            </w:tabs>
            <w:spacing w:before="72" w:line="220" w:lineRule="auto"/>
            <w:ind w:left="220"/>
            <w:rPr>
              <w:sz w:val="23"/>
              <w:szCs w:val="23"/>
            </w:rPr>
          </w:pPr>
          <w:r>
            <w:rPr>
              <w:rFonts w:ascii="Times New Roman" w:hAnsi="Times New Roman" w:eastAsia="Times New Roman" w:cs="Times New Roman"/>
              <w:b/>
              <w:bCs/>
              <w:spacing w:val="-13"/>
              <w:sz w:val="26"/>
              <w:szCs w:val="26"/>
            </w:rPr>
            <w:t>4.1</w:t>
          </w:r>
          <w:r>
            <w:rPr>
              <w:rFonts w:ascii="Times New Roman" w:hAnsi="Times New Roman" w:eastAsia="Times New Roman" w:cs="Times New Roman"/>
              <w:b/>
              <w:bCs/>
              <w:spacing w:val="37"/>
              <w:w w:val="101"/>
              <w:sz w:val="26"/>
              <w:szCs w:val="26"/>
            </w:rPr>
            <w:t xml:space="preserve"> </w:t>
          </w:r>
          <w:r>
            <w:rPr>
              <w:rFonts w:ascii="宋体" w:hAnsi="宋体" w:eastAsia="宋体" w:cs="宋体"/>
              <w:b/>
              <w:bCs/>
              <w:spacing w:val="-13"/>
              <w:sz w:val="26"/>
              <w:szCs w:val="26"/>
            </w:rPr>
            <w:t>环境保护措施</w:t>
          </w:r>
          <w:r>
            <w:rPr>
              <w:rFonts w:ascii="宋体" w:hAnsi="宋体" w:eastAsia="宋体" w:cs="宋体"/>
              <w:spacing w:val="-109"/>
              <w:sz w:val="26"/>
              <w:szCs w:val="26"/>
            </w:rPr>
            <w:t xml:space="preserve"> </w:t>
          </w:r>
          <w:r>
            <w:rPr>
              <w:rFonts w:ascii="宋体" w:hAnsi="宋体" w:eastAsia="宋体" w:cs="宋体"/>
              <w:sz w:val="26"/>
              <w:szCs w:val="26"/>
            </w:rPr>
            <w:tab/>
          </w:r>
          <w:r>
            <w:rPr>
              <w:rFonts w:ascii="宋体" w:hAnsi="宋体" w:eastAsia="宋体" w:cs="宋体"/>
              <w:spacing w:val="-24"/>
              <w:sz w:val="26"/>
              <w:szCs w:val="26"/>
            </w:rPr>
            <w:t xml:space="preserve"> </w:t>
          </w:r>
          <w:r>
            <w:fldChar w:fldCharType="begin"/>
          </w:r>
          <w:r>
            <w:instrText xml:space="preserve"> HYPERLINK \l "bookmark40" </w:instrText>
          </w:r>
          <w:r>
            <w:fldChar w:fldCharType="separate"/>
          </w:r>
          <w:r>
            <w:rPr>
              <w:b/>
              <w:bCs/>
              <w:spacing w:val="-2"/>
              <w:sz w:val="23"/>
              <w:szCs w:val="23"/>
            </w:rPr>
            <w:t>23</w:t>
          </w:r>
          <w:r>
            <w:rPr>
              <w:b/>
              <w:bCs/>
              <w:spacing w:val="-2"/>
              <w:sz w:val="23"/>
              <w:szCs w:val="23"/>
            </w:rPr>
            <w:fldChar w:fldCharType="end"/>
          </w:r>
          <w:r>
            <w:rPr>
              <w:b/>
              <w:bCs/>
              <w:spacing w:val="-2"/>
              <w:sz w:val="23"/>
              <w:szCs w:val="23"/>
            </w:rPr>
            <w:t>-</w:t>
          </w:r>
        </w:p>
        <w:p w14:paraId="20AA85E0">
          <w:pPr>
            <w:pStyle w:val="2"/>
            <w:tabs>
              <w:tab w:val="right" w:leader="dot" w:pos="8255"/>
            </w:tabs>
            <w:spacing w:before="81" w:line="220" w:lineRule="auto"/>
            <w:ind w:left="220"/>
            <w:rPr>
              <w:sz w:val="23"/>
              <w:szCs w:val="23"/>
            </w:rPr>
          </w:pPr>
          <w:r>
            <w:rPr>
              <w:rFonts w:ascii="Times New Roman" w:hAnsi="Times New Roman" w:eastAsia="Times New Roman" w:cs="Times New Roman"/>
              <w:b/>
              <w:bCs/>
              <w:spacing w:val="-16"/>
              <w:sz w:val="26"/>
              <w:szCs w:val="26"/>
            </w:rPr>
            <w:t>4.2</w:t>
          </w:r>
          <w:r>
            <w:rPr>
              <w:rFonts w:ascii="Times New Roman" w:hAnsi="Times New Roman" w:eastAsia="Times New Roman" w:cs="Times New Roman"/>
              <w:b/>
              <w:bCs/>
              <w:spacing w:val="57"/>
              <w:w w:val="101"/>
              <w:sz w:val="26"/>
              <w:szCs w:val="26"/>
            </w:rPr>
            <w:t xml:space="preserve"> </w:t>
          </w:r>
          <w:r>
            <w:rPr>
              <w:rFonts w:ascii="宋体" w:hAnsi="宋体" w:eastAsia="宋体" w:cs="宋体"/>
              <w:b/>
              <w:bCs/>
              <w:spacing w:val="-16"/>
              <w:sz w:val="26"/>
              <w:szCs w:val="26"/>
            </w:rPr>
            <w:t>电磁环境监测计划</w:t>
          </w:r>
          <w:r>
            <w:rPr>
              <w:rFonts w:ascii="宋体" w:hAnsi="宋体" w:eastAsia="宋体" w:cs="宋体"/>
              <w:spacing w:val="-115"/>
              <w:sz w:val="26"/>
              <w:szCs w:val="26"/>
            </w:rPr>
            <w:t xml:space="preserve"> </w:t>
          </w:r>
          <w:r>
            <w:rPr>
              <w:rFonts w:ascii="宋体" w:hAnsi="宋体" w:eastAsia="宋体" w:cs="宋体"/>
              <w:sz w:val="26"/>
              <w:szCs w:val="26"/>
            </w:rPr>
            <w:tab/>
          </w:r>
          <w:r>
            <w:fldChar w:fldCharType="begin"/>
          </w:r>
          <w:r>
            <w:instrText xml:space="preserve"> HYPERLINK \l "bookmark41" </w:instrText>
          </w:r>
          <w:r>
            <w:fldChar w:fldCharType="separate"/>
          </w:r>
          <w:r>
            <w:rPr>
              <w:b/>
              <w:bCs/>
              <w:sz w:val="23"/>
              <w:szCs w:val="23"/>
            </w:rPr>
            <w:t>24</w:t>
          </w:r>
          <w:r>
            <w:rPr>
              <w:b/>
              <w:bCs/>
              <w:sz w:val="23"/>
              <w:szCs w:val="23"/>
            </w:rPr>
            <w:fldChar w:fldCharType="end"/>
          </w:r>
          <w:r>
            <w:rPr>
              <w:b/>
              <w:bCs/>
              <w:sz w:val="23"/>
              <w:szCs w:val="23"/>
            </w:rPr>
            <w:t>-</w:t>
          </w:r>
        </w:p>
        <w:p w14:paraId="1548B578">
          <w:pPr>
            <w:pStyle w:val="2"/>
            <w:tabs>
              <w:tab w:val="right" w:leader="dot" w:pos="8265"/>
            </w:tabs>
            <w:spacing w:before="77" w:line="218" w:lineRule="auto"/>
            <w:rPr>
              <w:sz w:val="23"/>
              <w:szCs w:val="23"/>
            </w:rPr>
          </w:pPr>
          <w:r>
            <w:rPr>
              <w:rFonts w:ascii="Times New Roman" w:hAnsi="Times New Roman" w:eastAsia="Times New Roman" w:cs="Times New Roman"/>
              <w:b/>
              <w:bCs/>
              <w:spacing w:val="-22"/>
              <w:sz w:val="26"/>
              <w:szCs w:val="26"/>
            </w:rPr>
            <w:t xml:space="preserve">5  </w:t>
          </w:r>
          <w:r>
            <w:rPr>
              <w:rFonts w:ascii="宋体" w:hAnsi="宋体" w:eastAsia="宋体" w:cs="宋体"/>
              <w:b/>
              <w:bCs/>
              <w:spacing w:val="-22"/>
              <w:sz w:val="26"/>
              <w:szCs w:val="26"/>
            </w:rPr>
            <w:t>电磁辐射影响评价结论</w:t>
          </w:r>
          <w:r>
            <w:rPr>
              <w:rFonts w:ascii="宋体" w:hAnsi="宋体" w:eastAsia="宋体" w:cs="宋体"/>
              <w:spacing w:val="-103"/>
              <w:sz w:val="26"/>
              <w:szCs w:val="26"/>
            </w:rPr>
            <w:t xml:space="preserve"> </w:t>
          </w:r>
          <w:r>
            <w:rPr>
              <w:rFonts w:ascii="宋体" w:hAnsi="宋体" w:eastAsia="宋体" w:cs="宋体"/>
              <w:sz w:val="26"/>
              <w:szCs w:val="26"/>
            </w:rPr>
            <w:tab/>
          </w:r>
          <w:r>
            <w:rPr>
              <w:rFonts w:ascii="宋体" w:hAnsi="宋体" w:eastAsia="宋体" w:cs="宋体"/>
              <w:spacing w:val="6"/>
              <w:sz w:val="26"/>
              <w:szCs w:val="26"/>
            </w:rPr>
            <w:t xml:space="preserve"> </w:t>
          </w:r>
          <w:r>
            <w:fldChar w:fldCharType="begin"/>
          </w:r>
          <w:r>
            <w:instrText xml:space="preserve"> HYPERLINK \l "bookmark42" </w:instrText>
          </w:r>
          <w:r>
            <w:fldChar w:fldCharType="separate"/>
          </w:r>
          <w:r>
            <w:rPr>
              <w:b/>
              <w:bCs/>
              <w:spacing w:val="-2"/>
              <w:sz w:val="23"/>
              <w:szCs w:val="23"/>
            </w:rPr>
            <w:t>25</w:t>
          </w:r>
          <w:r>
            <w:rPr>
              <w:b/>
              <w:bCs/>
              <w:spacing w:val="-2"/>
              <w:sz w:val="23"/>
              <w:szCs w:val="23"/>
            </w:rPr>
            <w:fldChar w:fldCharType="end"/>
          </w:r>
          <w:r>
            <w:rPr>
              <w:b/>
              <w:bCs/>
              <w:spacing w:val="-2"/>
              <w:sz w:val="23"/>
              <w:szCs w:val="23"/>
            </w:rPr>
            <w:t>-</w:t>
          </w:r>
        </w:p>
      </w:sdtContent>
    </w:sdt>
    <w:p w14:paraId="39CA16BD">
      <w:pPr>
        <w:spacing w:line="218" w:lineRule="auto"/>
        <w:rPr>
          <w:sz w:val="23"/>
          <w:szCs w:val="23"/>
        </w:rPr>
        <w:sectPr>
          <w:pgSz w:w="11910" w:h="16830"/>
          <w:pgMar w:top="400" w:right="1786" w:bottom="400" w:left="1759" w:header="0" w:footer="0" w:gutter="0"/>
          <w:cols w:space="720" w:num="1"/>
        </w:sectPr>
      </w:pPr>
    </w:p>
    <w:p w14:paraId="0B4785B8">
      <w:pPr>
        <w:pStyle w:val="2"/>
        <w:spacing w:line="256" w:lineRule="auto"/>
      </w:pPr>
    </w:p>
    <w:p w14:paraId="0083856D">
      <w:pPr>
        <w:pStyle w:val="2"/>
        <w:spacing w:line="257" w:lineRule="auto"/>
      </w:pPr>
    </w:p>
    <w:p w14:paraId="1F128221">
      <w:pPr>
        <w:pStyle w:val="2"/>
        <w:spacing w:line="257" w:lineRule="auto"/>
      </w:pPr>
    </w:p>
    <w:p w14:paraId="4D4292C7">
      <w:pPr>
        <w:pStyle w:val="2"/>
        <w:spacing w:line="257" w:lineRule="auto"/>
      </w:pPr>
    </w:p>
    <w:p w14:paraId="6499B11D">
      <w:pPr>
        <w:spacing w:before="78" w:line="372" w:lineRule="auto"/>
        <w:ind w:right="51" w:firstLine="480"/>
        <w:rPr>
          <w:rFonts w:ascii="宋体" w:hAnsi="宋体" w:eastAsia="宋体" w:cs="宋体"/>
          <w:sz w:val="24"/>
          <w:szCs w:val="24"/>
        </w:rPr>
      </w:pPr>
      <w:r>
        <w:rPr>
          <w:rFonts w:ascii="宋体" w:hAnsi="宋体" w:eastAsia="宋体" w:cs="宋体"/>
          <w:spacing w:val="1"/>
          <w:sz w:val="24"/>
          <w:szCs w:val="24"/>
        </w:rPr>
        <w:t>根据《环境影响评价技术导则—输变电》</w:t>
      </w:r>
      <w:r>
        <w:rPr>
          <w:rFonts w:ascii="宋体" w:hAnsi="宋体" w:eastAsia="宋体" w:cs="宋体"/>
          <w:spacing w:val="-37"/>
          <w:sz w:val="24"/>
          <w:szCs w:val="24"/>
        </w:rPr>
        <w:t xml:space="preserve"> </w:t>
      </w:r>
      <w:r>
        <w:rPr>
          <w:rFonts w:ascii="宋体" w:hAnsi="宋体" w:eastAsia="宋体" w:cs="宋体"/>
          <w:spacing w:val="1"/>
          <w:sz w:val="24"/>
          <w:szCs w:val="24"/>
        </w:rPr>
        <w:t>(</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HJ</w:t>
      </w:r>
      <w:r>
        <w:rPr>
          <w:rFonts w:ascii="Times New Roman" w:hAnsi="Times New Roman" w:eastAsia="Times New Roman" w:cs="Times New Roman"/>
          <w:spacing w:val="1"/>
          <w:sz w:val="24"/>
          <w:szCs w:val="24"/>
        </w:rPr>
        <w:t xml:space="preserve">24-2020),     </w:t>
      </w:r>
      <w:r>
        <w:rPr>
          <w:rFonts w:ascii="宋体" w:hAnsi="宋体" w:eastAsia="宋体" w:cs="宋体"/>
          <w:spacing w:val="1"/>
          <w:sz w:val="24"/>
          <w:szCs w:val="24"/>
        </w:rPr>
        <w:t>本工程的电磁环</w:t>
      </w:r>
      <w:r>
        <w:rPr>
          <w:rFonts w:ascii="宋体" w:hAnsi="宋体" w:eastAsia="宋体" w:cs="宋体"/>
          <w:sz w:val="24"/>
          <w:szCs w:val="24"/>
        </w:rPr>
        <w:t xml:space="preserve"> </w:t>
      </w:r>
      <w:r>
        <w:rPr>
          <w:rFonts w:ascii="宋体" w:hAnsi="宋体" w:eastAsia="宋体" w:cs="宋体"/>
          <w:spacing w:val="-4"/>
          <w:sz w:val="24"/>
          <w:szCs w:val="24"/>
        </w:rPr>
        <w:t>境影响应设专题进行评价。</w:t>
      </w:r>
    </w:p>
    <w:p w14:paraId="11660A05">
      <w:pPr>
        <w:spacing w:before="2" w:line="353" w:lineRule="auto"/>
        <w:ind w:right="46" w:firstLine="480"/>
        <w:jc w:val="both"/>
        <w:rPr>
          <w:rFonts w:ascii="宋体" w:hAnsi="宋体" w:eastAsia="宋体" w:cs="宋体"/>
          <w:sz w:val="24"/>
          <w:szCs w:val="24"/>
        </w:rPr>
      </w:pPr>
      <w:r>
        <w:rPr>
          <w:rFonts w:ascii="宋体" w:hAnsi="宋体" w:eastAsia="宋体" w:cs="宋体"/>
          <w:spacing w:val="-3"/>
          <w:sz w:val="24"/>
          <w:szCs w:val="24"/>
        </w:rPr>
        <w:t>升压站输出线路及接入普乐村光伏电站及当地电网系统工程将另行环评，本</w:t>
      </w:r>
      <w:r>
        <w:rPr>
          <w:rFonts w:ascii="宋体" w:hAnsi="宋体" w:eastAsia="宋体" w:cs="宋体"/>
          <w:sz w:val="24"/>
          <w:szCs w:val="24"/>
        </w:rPr>
        <w:t xml:space="preserve"> </w:t>
      </w:r>
      <w:r>
        <w:rPr>
          <w:rFonts w:ascii="宋体" w:hAnsi="宋体" w:eastAsia="宋体" w:cs="宋体"/>
          <w:spacing w:val="-3"/>
          <w:sz w:val="24"/>
          <w:szCs w:val="24"/>
        </w:rPr>
        <w:t>次评价内容不包括接入系统工程。此外，根据《建设项目环境影响评价分类管理</w:t>
      </w:r>
      <w:r>
        <w:rPr>
          <w:rFonts w:ascii="宋体" w:hAnsi="宋体" w:eastAsia="宋体" w:cs="宋体"/>
          <w:spacing w:val="2"/>
          <w:sz w:val="24"/>
          <w:szCs w:val="24"/>
        </w:rPr>
        <w:t xml:space="preserve"> </w:t>
      </w:r>
      <w:r>
        <w:rPr>
          <w:rFonts w:ascii="宋体" w:hAnsi="宋体" w:eastAsia="宋体" w:cs="宋体"/>
          <w:spacing w:val="12"/>
          <w:sz w:val="24"/>
          <w:szCs w:val="24"/>
        </w:rPr>
        <w:t>名录(2021版)》,100</w:t>
      </w:r>
      <w:r>
        <w:rPr>
          <w:rFonts w:ascii="Times New Roman" w:hAnsi="Times New Roman" w:eastAsia="Times New Roman" w:cs="Times New Roman"/>
          <w:sz w:val="24"/>
          <w:szCs w:val="24"/>
        </w:rPr>
        <w:t>KV</w:t>
      </w:r>
      <w:r>
        <w:rPr>
          <w:rFonts w:ascii="Times New Roman" w:hAnsi="Times New Roman" w:eastAsia="Times New Roman" w:cs="Times New Roman"/>
          <w:spacing w:val="12"/>
          <w:sz w:val="24"/>
          <w:szCs w:val="24"/>
        </w:rPr>
        <w:t xml:space="preserve"> </w:t>
      </w:r>
      <w:r>
        <w:rPr>
          <w:rFonts w:ascii="宋体" w:hAnsi="宋体" w:eastAsia="宋体" w:cs="宋体"/>
          <w:spacing w:val="12"/>
          <w:sz w:val="24"/>
          <w:szCs w:val="24"/>
        </w:rPr>
        <w:t>以下输变电工程属于豁免评价，项目光伏场区逆变</w:t>
      </w:r>
      <w:r>
        <w:rPr>
          <w:rFonts w:ascii="宋体" w:hAnsi="宋体" w:eastAsia="宋体" w:cs="宋体"/>
          <w:spacing w:val="8"/>
          <w:sz w:val="24"/>
          <w:szCs w:val="24"/>
        </w:rPr>
        <w:t xml:space="preserve"> </w:t>
      </w:r>
      <w:r>
        <w:rPr>
          <w:rFonts w:ascii="宋体" w:hAnsi="宋体" w:eastAsia="宋体" w:cs="宋体"/>
          <w:spacing w:val="5"/>
          <w:sz w:val="24"/>
          <w:szCs w:val="24"/>
        </w:rPr>
        <w:t>器、集电线路、储能系统电压等级均为35</w:t>
      </w:r>
      <w:r>
        <w:rPr>
          <w:rFonts w:ascii="Times New Roman" w:hAnsi="Times New Roman" w:eastAsia="Times New Roman" w:cs="Times New Roman"/>
          <w:sz w:val="24"/>
          <w:szCs w:val="24"/>
        </w:rPr>
        <w:t>kV</w:t>
      </w:r>
      <w:r>
        <w:rPr>
          <w:rFonts w:ascii="Times New Roman" w:hAnsi="Times New Roman" w:eastAsia="Times New Roman" w:cs="Times New Roman"/>
          <w:spacing w:val="5"/>
          <w:sz w:val="24"/>
          <w:szCs w:val="24"/>
        </w:rPr>
        <w:t>,</w:t>
      </w:r>
      <w:r>
        <w:rPr>
          <w:rFonts w:ascii="Times New Roman" w:hAnsi="Times New Roman" w:eastAsia="Times New Roman" w:cs="Times New Roman"/>
          <w:spacing w:val="27"/>
          <w:sz w:val="24"/>
          <w:szCs w:val="24"/>
        </w:rPr>
        <w:t xml:space="preserve">  </w:t>
      </w:r>
      <w:r>
        <w:rPr>
          <w:rFonts w:ascii="宋体" w:hAnsi="宋体" w:eastAsia="宋体" w:cs="宋体"/>
          <w:spacing w:val="5"/>
          <w:sz w:val="24"/>
          <w:szCs w:val="24"/>
        </w:rPr>
        <w:t>低于100</w:t>
      </w:r>
      <w:r>
        <w:rPr>
          <w:rFonts w:ascii="Times New Roman" w:hAnsi="Times New Roman" w:eastAsia="Times New Roman" w:cs="Times New Roman"/>
          <w:sz w:val="24"/>
          <w:szCs w:val="24"/>
        </w:rPr>
        <w:t>kV</w:t>
      </w:r>
      <w:r>
        <w:rPr>
          <w:rFonts w:ascii="Times New Roman" w:hAnsi="Times New Roman" w:eastAsia="Times New Roman" w:cs="Times New Roman"/>
          <w:spacing w:val="5"/>
          <w:sz w:val="24"/>
          <w:szCs w:val="24"/>
        </w:rPr>
        <w:t>,</w:t>
      </w:r>
      <w:r>
        <w:rPr>
          <w:rFonts w:ascii="Times New Roman" w:hAnsi="Times New Roman" w:eastAsia="Times New Roman" w:cs="Times New Roman"/>
          <w:spacing w:val="24"/>
          <w:sz w:val="24"/>
          <w:szCs w:val="24"/>
        </w:rPr>
        <w:t xml:space="preserve">  </w:t>
      </w:r>
      <w:r>
        <w:rPr>
          <w:rFonts w:ascii="宋体" w:hAnsi="宋体" w:eastAsia="宋体" w:cs="宋体"/>
          <w:spacing w:val="5"/>
          <w:sz w:val="24"/>
          <w:szCs w:val="24"/>
        </w:rPr>
        <w:t>其电磁环境影响可</w:t>
      </w:r>
      <w:r>
        <w:rPr>
          <w:rFonts w:ascii="宋体" w:hAnsi="宋体" w:eastAsia="宋体" w:cs="宋体"/>
          <w:sz w:val="24"/>
          <w:szCs w:val="24"/>
        </w:rPr>
        <w:t xml:space="preserve"> </w:t>
      </w:r>
      <w:r>
        <w:rPr>
          <w:rFonts w:ascii="宋体" w:hAnsi="宋体" w:eastAsia="宋体" w:cs="宋体"/>
          <w:spacing w:val="11"/>
          <w:sz w:val="24"/>
          <w:szCs w:val="24"/>
        </w:rPr>
        <w:t>免于管理(豁免范围),故本次专题报告对项目内部集电和变电项目(光伏</w:t>
      </w:r>
      <w:r>
        <w:rPr>
          <w:rFonts w:ascii="宋体" w:hAnsi="宋体" w:eastAsia="宋体" w:cs="宋体"/>
          <w:spacing w:val="10"/>
          <w:sz w:val="24"/>
          <w:szCs w:val="24"/>
        </w:rPr>
        <w:t>区箱</w:t>
      </w:r>
      <w:r>
        <w:rPr>
          <w:rFonts w:ascii="宋体" w:hAnsi="宋体" w:eastAsia="宋体" w:cs="宋体"/>
          <w:sz w:val="24"/>
          <w:szCs w:val="24"/>
        </w:rPr>
        <w:t xml:space="preserve"> </w:t>
      </w:r>
      <w:r>
        <w:rPr>
          <w:rFonts w:ascii="宋体" w:hAnsi="宋体" w:eastAsia="宋体" w:cs="宋体"/>
          <w:spacing w:val="4"/>
          <w:sz w:val="24"/>
          <w:szCs w:val="24"/>
        </w:rPr>
        <w:t>式变压器、集电线路、储能系统电压等级均为35</w:t>
      </w:r>
      <w:r>
        <w:rPr>
          <w:rFonts w:ascii="Times New Roman" w:hAnsi="Times New Roman" w:eastAsia="Times New Roman" w:cs="Times New Roman"/>
          <w:sz w:val="24"/>
          <w:szCs w:val="24"/>
        </w:rPr>
        <w:t>kV</w:t>
      </w:r>
      <w:r>
        <w:rPr>
          <w:rFonts w:ascii="Times New Roman" w:hAnsi="Times New Roman" w:eastAsia="Times New Roman" w:cs="Times New Roman"/>
          <w:spacing w:val="4"/>
          <w:sz w:val="24"/>
          <w:szCs w:val="24"/>
        </w:rPr>
        <w:t>)</w:t>
      </w:r>
      <w:r>
        <w:rPr>
          <w:rFonts w:ascii="Times New Roman" w:hAnsi="Times New Roman" w:eastAsia="Times New Roman" w:cs="Times New Roman"/>
          <w:spacing w:val="29"/>
          <w:sz w:val="24"/>
          <w:szCs w:val="24"/>
        </w:rPr>
        <w:t xml:space="preserve"> </w:t>
      </w:r>
      <w:r>
        <w:rPr>
          <w:rFonts w:ascii="宋体" w:hAnsi="宋体" w:eastAsia="宋体" w:cs="宋体"/>
          <w:spacing w:val="4"/>
          <w:sz w:val="24"/>
          <w:szCs w:val="24"/>
        </w:rPr>
        <w:t>低于10</w:t>
      </w:r>
      <w:r>
        <w:rPr>
          <w:rFonts w:ascii="宋体" w:hAnsi="宋体" w:eastAsia="宋体" w:cs="宋体"/>
          <w:spacing w:val="3"/>
          <w:sz w:val="24"/>
          <w:szCs w:val="24"/>
        </w:rPr>
        <w:t>0</w:t>
      </w:r>
      <w:r>
        <w:rPr>
          <w:rFonts w:ascii="Times New Roman" w:hAnsi="Times New Roman" w:eastAsia="Times New Roman" w:cs="Times New Roman"/>
          <w:sz w:val="24"/>
          <w:szCs w:val="24"/>
        </w:rPr>
        <w:t>KV</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部分的电磁辐</w:t>
      </w:r>
      <w:r>
        <w:rPr>
          <w:rFonts w:ascii="宋体" w:hAnsi="宋体" w:eastAsia="宋体" w:cs="宋体"/>
          <w:sz w:val="24"/>
          <w:szCs w:val="24"/>
        </w:rPr>
        <w:t xml:space="preserve"> </w:t>
      </w:r>
      <w:r>
        <w:rPr>
          <w:rFonts w:ascii="宋体" w:hAnsi="宋体" w:eastAsia="宋体" w:cs="宋体"/>
          <w:spacing w:val="-4"/>
          <w:sz w:val="24"/>
          <w:szCs w:val="24"/>
        </w:rPr>
        <w:t>射影响不再进行评价。</w:t>
      </w:r>
    </w:p>
    <w:p w14:paraId="6D2E9DC8">
      <w:pPr>
        <w:spacing w:before="82" w:line="225" w:lineRule="auto"/>
        <w:rPr>
          <w:rFonts w:ascii="仿宋" w:hAnsi="仿宋" w:eastAsia="仿宋" w:cs="仿宋"/>
          <w:sz w:val="32"/>
          <w:szCs w:val="32"/>
        </w:rPr>
      </w:pPr>
      <w:r>
        <w:rPr>
          <w:rFonts w:ascii="Times New Roman" w:hAnsi="Times New Roman" w:eastAsia="Times New Roman" w:cs="Times New Roman"/>
          <w:spacing w:val="-19"/>
          <w:sz w:val="32"/>
          <w:szCs w:val="32"/>
        </w:rPr>
        <w:t>1</w:t>
      </w:r>
      <w:r>
        <w:rPr>
          <w:rFonts w:ascii="Times New Roman" w:hAnsi="Times New Roman" w:eastAsia="Times New Roman" w:cs="Times New Roman"/>
          <w:spacing w:val="4"/>
          <w:sz w:val="32"/>
          <w:szCs w:val="32"/>
        </w:rPr>
        <w:t xml:space="preserve">  </w:t>
      </w:r>
      <w:r>
        <w:rPr>
          <w:rFonts w:ascii="仿宋" w:hAnsi="仿宋" w:eastAsia="仿宋" w:cs="仿宋"/>
          <w:spacing w:val="-19"/>
          <w:sz w:val="32"/>
          <w:szCs w:val="32"/>
        </w:rPr>
        <w:t>总论</w:t>
      </w:r>
    </w:p>
    <w:p w14:paraId="09107E1C">
      <w:pPr>
        <w:spacing w:before="271" w:line="219" w:lineRule="auto"/>
        <w:rPr>
          <w:rFonts w:ascii="宋体" w:hAnsi="宋体" w:eastAsia="宋体" w:cs="宋体"/>
          <w:sz w:val="28"/>
          <w:szCs w:val="28"/>
        </w:rPr>
      </w:pPr>
      <w:r>
        <w:rPr>
          <w:rFonts w:ascii="宋体" w:hAnsi="宋体" w:eastAsia="宋体" w:cs="宋体"/>
          <w:spacing w:val="-9"/>
          <w:sz w:val="28"/>
          <w:szCs w:val="28"/>
        </w:rPr>
        <w:t>1.1</w:t>
      </w:r>
      <w:r>
        <w:rPr>
          <w:rFonts w:ascii="宋体" w:hAnsi="宋体" w:eastAsia="宋体" w:cs="宋体"/>
          <w:spacing w:val="-20"/>
          <w:sz w:val="28"/>
          <w:szCs w:val="28"/>
        </w:rPr>
        <w:t xml:space="preserve"> </w:t>
      </w:r>
      <w:r>
        <w:rPr>
          <w:rFonts w:ascii="宋体" w:hAnsi="宋体" w:eastAsia="宋体" w:cs="宋体"/>
          <w:b/>
          <w:bCs/>
          <w:spacing w:val="-9"/>
          <w:sz w:val="28"/>
          <w:szCs w:val="28"/>
        </w:rPr>
        <w:t>项目背景</w:t>
      </w:r>
    </w:p>
    <w:p w14:paraId="1DFBBAB8">
      <w:pPr>
        <w:spacing w:before="226" w:line="353" w:lineRule="auto"/>
        <w:ind w:right="30" w:firstLine="480"/>
        <w:jc w:val="both"/>
        <w:rPr>
          <w:rFonts w:ascii="宋体" w:hAnsi="宋体" w:eastAsia="宋体" w:cs="宋体"/>
          <w:sz w:val="24"/>
          <w:szCs w:val="24"/>
        </w:rPr>
      </w:pPr>
      <w:r>
        <w:rPr>
          <w:rFonts w:ascii="宋体" w:hAnsi="宋体" w:eastAsia="宋体" w:cs="宋体"/>
          <w:spacing w:val="5"/>
          <w:sz w:val="24"/>
          <w:szCs w:val="24"/>
        </w:rPr>
        <w:t>栗树园村光伏电站项目场址位于云南省曲靖市陆良</w:t>
      </w:r>
      <w:r>
        <w:rPr>
          <w:rFonts w:ascii="宋体" w:hAnsi="宋体" w:eastAsia="宋体" w:cs="宋体"/>
          <w:spacing w:val="4"/>
          <w:sz w:val="24"/>
          <w:szCs w:val="24"/>
        </w:rPr>
        <w:t>县大莫古镇西部栗树园</w:t>
      </w:r>
      <w:r>
        <w:rPr>
          <w:rFonts w:ascii="宋体" w:hAnsi="宋体" w:eastAsia="宋体" w:cs="宋体"/>
          <w:sz w:val="24"/>
          <w:szCs w:val="24"/>
        </w:rPr>
        <w:t xml:space="preserve"> </w:t>
      </w:r>
      <w:r>
        <w:rPr>
          <w:rFonts w:ascii="宋体" w:hAnsi="宋体" w:eastAsia="宋体" w:cs="宋体"/>
          <w:spacing w:val="-3"/>
          <w:sz w:val="24"/>
          <w:szCs w:val="24"/>
        </w:rPr>
        <w:t>村南侧及北侧，拟布置组件区域为多块整体呈南向的坡地，场址地理坐标介于东</w:t>
      </w:r>
      <w:r>
        <w:rPr>
          <w:rFonts w:ascii="宋体" w:hAnsi="宋体" w:eastAsia="宋体" w:cs="宋体"/>
          <w:spacing w:val="15"/>
          <w:sz w:val="24"/>
          <w:szCs w:val="24"/>
        </w:rPr>
        <w:t xml:space="preserve"> </w:t>
      </w:r>
      <w:r>
        <w:rPr>
          <w:rFonts w:ascii="仿宋" w:hAnsi="仿宋" w:eastAsia="仿宋" w:cs="仿宋"/>
          <w:spacing w:val="1"/>
          <w:sz w:val="24"/>
          <w:szCs w:val="24"/>
        </w:rPr>
        <w:t>经103°29'39"～103°37'13",</w:t>
      </w:r>
      <w:r>
        <w:rPr>
          <w:rFonts w:ascii="宋体" w:hAnsi="宋体" w:eastAsia="宋体" w:cs="宋体"/>
          <w:spacing w:val="1"/>
          <w:sz w:val="24"/>
          <w:szCs w:val="24"/>
        </w:rPr>
        <w:t>北纬24°58'46"～24°52'0</w:t>
      </w:r>
      <w:r>
        <w:rPr>
          <w:rFonts w:ascii="宋体" w:hAnsi="宋体" w:eastAsia="宋体" w:cs="宋体"/>
          <w:sz w:val="24"/>
          <w:szCs w:val="24"/>
        </w:rPr>
        <w:t xml:space="preserve">1"之间，海拔高程在 </w:t>
      </w:r>
      <w:r>
        <w:rPr>
          <w:rFonts w:ascii="宋体" w:hAnsi="宋体" w:eastAsia="宋体" w:cs="宋体"/>
          <w:spacing w:val="1"/>
          <w:sz w:val="24"/>
          <w:szCs w:val="24"/>
        </w:rPr>
        <w:t>1800</w:t>
      </w:r>
      <w:r>
        <w:rPr>
          <w:rFonts w:ascii="Times New Roman" w:hAnsi="Times New Roman" w:eastAsia="Times New Roman" w:cs="Times New Roman"/>
          <w:spacing w:val="1"/>
          <w:sz w:val="24"/>
          <w:szCs w:val="24"/>
        </w:rPr>
        <w:t>m</w:t>
      </w:r>
      <w:r>
        <w:rPr>
          <w:rFonts w:ascii="宋体" w:hAnsi="宋体" w:eastAsia="宋体" w:cs="宋体"/>
          <w:spacing w:val="1"/>
          <w:sz w:val="24"/>
          <w:szCs w:val="24"/>
        </w:rPr>
        <w:t>～</w:t>
      </w:r>
      <w:r>
        <w:rPr>
          <w:rFonts w:ascii="Times New Roman" w:hAnsi="Times New Roman" w:eastAsia="Times New Roman" w:cs="Times New Roman"/>
          <w:spacing w:val="1"/>
          <w:sz w:val="24"/>
          <w:szCs w:val="24"/>
        </w:rPr>
        <w:t>1920m</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之间。项目额定容量为50</w:t>
      </w:r>
      <w:r>
        <w:rPr>
          <w:rFonts w:ascii="Times New Roman" w:hAnsi="Times New Roman" w:eastAsia="Times New Roman" w:cs="Times New Roman"/>
          <w:sz w:val="24"/>
          <w:szCs w:val="24"/>
        </w:rPr>
        <w:t>MWac</w:t>
      </w:r>
      <w:r>
        <w:rPr>
          <w:rFonts w:ascii="宋体" w:hAnsi="宋体" w:eastAsia="宋体" w:cs="宋体"/>
          <w:spacing w:val="1"/>
          <w:sz w:val="24"/>
          <w:szCs w:val="24"/>
        </w:rPr>
        <w:t>。</w:t>
      </w:r>
    </w:p>
    <w:p w14:paraId="227ACB51">
      <w:pPr>
        <w:spacing w:line="339" w:lineRule="auto"/>
        <w:ind w:right="30" w:firstLine="480"/>
        <w:rPr>
          <w:rFonts w:ascii="Times New Roman" w:hAnsi="Times New Roman" w:eastAsia="Times New Roman" w:cs="Times New Roman"/>
          <w:sz w:val="25"/>
          <w:szCs w:val="25"/>
        </w:rPr>
      </w:pPr>
      <w:r>
        <w:rPr>
          <w:rFonts w:ascii="宋体" w:hAnsi="宋体" w:eastAsia="宋体" w:cs="宋体"/>
          <w:spacing w:val="-6"/>
          <w:sz w:val="25"/>
          <w:szCs w:val="25"/>
        </w:rPr>
        <w:t>栗树园村光伏电站项目额定装机容量为50</w:t>
      </w:r>
      <w:r>
        <w:rPr>
          <w:rFonts w:ascii="Times New Roman" w:hAnsi="Times New Roman" w:eastAsia="Times New Roman" w:cs="Times New Roman"/>
          <w:spacing w:val="-6"/>
          <w:sz w:val="25"/>
          <w:szCs w:val="25"/>
        </w:rPr>
        <w:t xml:space="preserve">MWac,  </w:t>
      </w:r>
      <w:r>
        <w:rPr>
          <w:rFonts w:ascii="宋体" w:hAnsi="宋体" w:eastAsia="宋体" w:cs="宋体"/>
          <w:spacing w:val="-6"/>
          <w:sz w:val="25"/>
          <w:szCs w:val="25"/>
        </w:rPr>
        <w:t>安装容量为58.16</w:t>
      </w:r>
      <w:r>
        <w:rPr>
          <w:rFonts w:ascii="Times New Roman" w:hAnsi="Times New Roman" w:eastAsia="Times New Roman" w:cs="Times New Roman"/>
          <w:spacing w:val="-6"/>
          <w:sz w:val="25"/>
          <w:szCs w:val="25"/>
        </w:rPr>
        <w:t>MWp</w:t>
      </w:r>
      <w:r>
        <w:rPr>
          <w:rFonts w:ascii="宋体" w:hAnsi="宋体" w:eastAsia="宋体" w:cs="宋体"/>
          <w:spacing w:val="-6"/>
          <w:sz w:val="25"/>
          <w:szCs w:val="25"/>
        </w:rPr>
        <w:t>。</w:t>
      </w:r>
      <w:r>
        <w:rPr>
          <w:rFonts w:ascii="宋体" w:hAnsi="宋体" w:eastAsia="宋体" w:cs="宋体"/>
          <w:spacing w:val="5"/>
          <w:sz w:val="25"/>
          <w:szCs w:val="25"/>
        </w:rPr>
        <w:t xml:space="preserve"> </w:t>
      </w:r>
      <w:r>
        <w:rPr>
          <w:rFonts w:ascii="宋体" w:hAnsi="宋体" w:eastAsia="宋体" w:cs="宋体"/>
          <w:spacing w:val="-5"/>
          <w:sz w:val="25"/>
          <w:szCs w:val="25"/>
        </w:rPr>
        <w:t>本项目推荐采用容量为610</w:t>
      </w:r>
      <w:r>
        <w:rPr>
          <w:rFonts w:ascii="Times New Roman" w:hAnsi="Times New Roman" w:eastAsia="Times New Roman" w:cs="Times New Roman"/>
          <w:spacing w:val="-5"/>
          <w:sz w:val="25"/>
          <w:szCs w:val="25"/>
        </w:rPr>
        <w:t>Wp</w:t>
      </w:r>
      <w:r>
        <w:rPr>
          <w:rFonts w:ascii="宋体" w:hAnsi="宋体" w:eastAsia="宋体" w:cs="宋体"/>
          <w:spacing w:val="-5"/>
          <w:sz w:val="25"/>
          <w:szCs w:val="25"/>
        </w:rPr>
        <w:t>的单晶硅</w:t>
      </w:r>
      <w:r>
        <w:rPr>
          <w:rFonts w:ascii="Times New Roman" w:hAnsi="Times New Roman" w:eastAsia="Times New Roman" w:cs="Times New Roman"/>
          <w:spacing w:val="-5"/>
          <w:sz w:val="25"/>
          <w:szCs w:val="25"/>
        </w:rPr>
        <w:t>N</w:t>
      </w:r>
      <w:r>
        <w:rPr>
          <w:rFonts w:ascii="Times New Roman" w:hAnsi="Times New Roman" w:eastAsia="Times New Roman" w:cs="Times New Roman"/>
          <w:spacing w:val="34"/>
          <w:sz w:val="25"/>
          <w:szCs w:val="25"/>
        </w:rPr>
        <w:t xml:space="preserve"> </w:t>
      </w:r>
      <w:r>
        <w:rPr>
          <w:rFonts w:ascii="宋体" w:hAnsi="宋体" w:eastAsia="宋体" w:cs="宋体"/>
          <w:spacing w:val="-5"/>
          <w:sz w:val="25"/>
          <w:szCs w:val="25"/>
        </w:rPr>
        <w:t>型双</w:t>
      </w:r>
      <w:r>
        <w:rPr>
          <w:rFonts w:ascii="宋体" w:hAnsi="宋体" w:eastAsia="宋体" w:cs="宋体"/>
          <w:spacing w:val="-6"/>
          <w:sz w:val="25"/>
          <w:szCs w:val="25"/>
        </w:rPr>
        <w:t>面光伏组件，采用固定支架倾角</w:t>
      </w:r>
      <w:r>
        <w:rPr>
          <w:rFonts w:ascii="宋体" w:hAnsi="宋体" w:eastAsia="宋体" w:cs="宋体"/>
          <w:sz w:val="25"/>
          <w:szCs w:val="25"/>
        </w:rPr>
        <w:t xml:space="preserve"> </w:t>
      </w:r>
      <w:r>
        <w:rPr>
          <w:rFonts w:ascii="宋体" w:hAnsi="宋体" w:eastAsia="宋体" w:cs="宋体"/>
          <w:spacing w:val="-2"/>
          <w:sz w:val="25"/>
          <w:szCs w:val="25"/>
        </w:rPr>
        <w:t>和柔性支架运行方式。光伏阵列面固定支架倾角采用25°,柔性支架倾角采用</w:t>
      </w:r>
      <w:r>
        <w:rPr>
          <w:rFonts w:ascii="宋体" w:hAnsi="宋体" w:eastAsia="宋体" w:cs="宋体"/>
          <w:spacing w:val="14"/>
          <w:sz w:val="25"/>
          <w:szCs w:val="25"/>
        </w:rPr>
        <w:t xml:space="preserve"> </w:t>
      </w:r>
      <w:r>
        <w:rPr>
          <w:rFonts w:ascii="宋体" w:hAnsi="宋体" w:eastAsia="宋体" w:cs="宋体"/>
          <w:spacing w:val="-3"/>
          <w:sz w:val="25"/>
          <w:szCs w:val="25"/>
        </w:rPr>
        <w:t>15°。26块光伏组件串联为一个组串单元，并网逆变器选择300</w:t>
      </w:r>
      <w:r>
        <w:rPr>
          <w:rFonts w:ascii="Times New Roman" w:hAnsi="Times New Roman" w:eastAsia="Times New Roman" w:cs="Times New Roman"/>
          <w:spacing w:val="-3"/>
          <w:sz w:val="25"/>
          <w:szCs w:val="25"/>
        </w:rPr>
        <w:t>k</w:t>
      </w:r>
      <w:r>
        <w:rPr>
          <w:rFonts w:ascii="Times New Roman" w:hAnsi="Times New Roman" w:eastAsia="Times New Roman" w:cs="Times New Roman"/>
          <w:spacing w:val="-4"/>
          <w:sz w:val="25"/>
          <w:szCs w:val="25"/>
        </w:rPr>
        <w:t>W,250kW,</w:t>
      </w:r>
    </w:p>
    <w:p w14:paraId="13CAD5DF">
      <w:pPr>
        <w:spacing w:before="26" w:line="341" w:lineRule="auto"/>
        <w:ind w:right="25"/>
        <w:rPr>
          <w:rFonts w:ascii="宋体" w:hAnsi="宋体" w:eastAsia="宋体" w:cs="宋体"/>
          <w:sz w:val="25"/>
          <w:szCs w:val="25"/>
        </w:rPr>
      </w:pPr>
      <w:r>
        <w:rPr>
          <w:rFonts w:ascii="宋体" w:hAnsi="宋体" w:eastAsia="宋体" w:cs="宋体"/>
          <w:spacing w:val="1"/>
          <w:sz w:val="25"/>
          <w:szCs w:val="25"/>
        </w:rPr>
        <w:t>196</w:t>
      </w:r>
      <w:r>
        <w:rPr>
          <w:rFonts w:ascii="Times New Roman" w:hAnsi="Times New Roman" w:eastAsia="Times New Roman" w:cs="Times New Roman"/>
          <w:sz w:val="25"/>
          <w:szCs w:val="25"/>
        </w:rPr>
        <w:t>kW</w:t>
      </w:r>
      <w:r>
        <w:rPr>
          <w:rFonts w:ascii="宋体" w:hAnsi="宋体" w:eastAsia="宋体" w:cs="宋体"/>
          <w:spacing w:val="1"/>
          <w:sz w:val="25"/>
          <w:szCs w:val="25"/>
        </w:rPr>
        <w:t>组串式逆变器，300</w:t>
      </w:r>
      <w:r>
        <w:rPr>
          <w:rFonts w:ascii="Times New Roman" w:hAnsi="Times New Roman" w:eastAsia="Times New Roman" w:cs="Times New Roman"/>
          <w:sz w:val="25"/>
          <w:szCs w:val="25"/>
        </w:rPr>
        <w:t>kW</w:t>
      </w:r>
      <w:r>
        <w:rPr>
          <w:rFonts w:ascii="Times New Roman" w:hAnsi="Times New Roman" w:eastAsia="Times New Roman" w:cs="Times New Roman"/>
          <w:spacing w:val="-22"/>
          <w:sz w:val="25"/>
          <w:szCs w:val="25"/>
        </w:rPr>
        <w:t xml:space="preserve"> </w:t>
      </w:r>
      <w:r>
        <w:rPr>
          <w:rFonts w:ascii="宋体" w:hAnsi="宋体" w:eastAsia="宋体" w:cs="宋体"/>
          <w:spacing w:val="1"/>
          <w:sz w:val="25"/>
          <w:szCs w:val="25"/>
        </w:rPr>
        <w:t>逆变器接入22路光伏组串，250</w:t>
      </w:r>
      <w:r>
        <w:rPr>
          <w:rFonts w:ascii="Times New Roman" w:hAnsi="Times New Roman" w:eastAsia="Times New Roman" w:cs="Times New Roman"/>
          <w:sz w:val="25"/>
          <w:szCs w:val="25"/>
        </w:rPr>
        <w:t>kW</w:t>
      </w:r>
      <w:r>
        <w:rPr>
          <w:rFonts w:ascii="宋体" w:hAnsi="宋体" w:eastAsia="宋体" w:cs="宋体"/>
          <w:spacing w:val="1"/>
          <w:sz w:val="25"/>
          <w:szCs w:val="25"/>
        </w:rPr>
        <w:t>逆变</w:t>
      </w:r>
      <w:r>
        <w:rPr>
          <w:rFonts w:ascii="宋体" w:hAnsi="宋体" w:eastAsia="宋体" w:cs="宋体"/>
          <w:sz w:val="25"/>
          <w:szCs w:val="25"/>
        </w:rPr>
        <w:t xml:space="preserve">器接入 </w:t>
      </w:r>
      <w:r>
        <w:rPr>
          <w:rFonts w:ascii="宋体" w:hAnsi="宋体" w:eastAsia="宋体" w:cs="宋体"/>
          <w:spacing w:val="3"/>
          <w:sz w:val="25"/>
          <w:szCs w:val="25"/>
        </w:rPr>
        <w:t>18路光伏组串，196</w:t>
      </w:r>
      <w:r>
        <w:rPr>
          <w:rFonts w:ascii="Times New Roman" w:hAnsi="Times New Roman" w:eastAsia="Times New Roman" w:cs="Times New Roman"/>
          <w:sz w:val="25"/>
          <w:szCs w:val="25"/>
        </w:rPr>
        <w:t>kW</w:t>
      </w:r>
      <w:r>
        <w:rPr>
          <w:rFonts w:ascii="Times New Roman" w:hAnsi="Times New Roman" w:eastAsia="Times New Roman" w:cs="Times New Roman"/>
          <w:spacing w:val="-21"/>
          <w:sz w:val="25"/>
          <w:szCs w:val="25"/>
        </w:rPr>
        <w:t xml:space="preserve"> </w:t>
      </w:r>
      <w:r>
        <w:rPr>
          <w:rFonts w:ascii="宋体" w:hAnsi="宋体" w:eastAsia="宋体" w:cs="宋体"/>
          <w:spacing w:val="3"/>
          <w:sz w:val="25"/>
          <w:szCs w:val="25"/>
        </w:rPr>
        <w:t>逆变器接入15路光伏</w:t>
      </w:r>
      <w:r>
        <w:rPr>
          <w:rFonts w:ascii="宋体" w:hAnsi="宋体" w:eastAsia="宋体" w:cs="宋体"/>
          <w:spacing w:val="2"/>
          <w:sz w:val="25"/>
          <w:szCs w:val="25"/>
        </w:rPr>
        <w:t>组串。本工程建设1个0.9</w:t>
      </w:r>
      <w:r>
        <w:rPr>
          <w:rFonts w:ascii="Times New Roman" w:hAnsi="Times New Roman" w:eastAsia="Times New Roman" w:cs="Times New Roman"/>
          <w:sz w:val="25"/>
          <w:szCs w:val="25"/>
        </w:rPr>
        <w:t xml:space="preserve">MWac </w:t>
      </w:r>
      <w:r>
        <w:rPr>
          <w:rFonts w:ascii="宋体" w:hAnsi="宋体" w:eastAsia="宋体" w:cs="宋体"/>
          <w:spacing w:val="-4"/>
          <w:sz w:val="25"/>
          <w:szCs w:val="25"/>
        </w:rPr>
        <w:t>光伏子方阵系统、2个1.25</w:t>
      </w:r>
      <w:r>
        <w:rPr>
          <w:rFonts w:ascii="Times New Roman" w:hAnsi="Times New Roman" w:eastAsia="Times New Roman" w:cs="Times New Roman"/>
          <w:spacing w:val="-4"/>
          <w:sz w:val="25"/>
          <w:szCs w:val="25"/>
        </w:rPr>
        <w:t>MWac</w:t>
      </w:r>
      <w:r>
        <w:rPr>
          <w:rFonts w:ascii="宋体" w:hAnsi="宋体" w:eastAsia="宋体" w:cs="宋体"/>
          <w:spacing w:val="-4"/>
          <w:sz w:val="25"/>
          <w:szCs w:val="25"/>
        </w:rPr>
        <w:t>光伏子方阵系统、1个1.4</w:t>
      </w:r>
      <w:r>
        <w:rPr>
          <w:rFonts w:ascii="Times New Roman" w:hAnsi="Times New Roman" w:eastAsia="Times New Roman" w:cs="Times New Roman"/>
          <w:spacing w:val="-4"/>
          <w:sz w:val="25"/>
          <w:szCs w:val="25"/>
        </w:rPr>
        <w:t>MWac</w:t>
      </w:r>
      <w:r>
        <w:rPr>
          <w:rFonts w:ascii="宋体" w:hAnsi="宋体" w:eastAsia="宋体" w:cs="宋体"/>
          <w:spacing w:val="-4"/>
          <w:sz w:val="25"/>
          <w:szCs w:val="25"/>
        </w:rPr>
        <w:t>光伏子方阵系</w:t>
      </w:r>
      <w:r>
        <w:rPr>
          <w:rFonts w:ascii="宋体" w:hAnsi="宋体" w:eastAsia="宋体" w:cs="宋体"/>
          <w:spacing w:val="5"/>
          <w:sz w:val="25"/>
          <w:szCs w:val="25"/>
        </w:rPr>
        <w:t xml:space="preserve"> </w:t>
      </w:r>
      <w:r>
        <w:rPr>
          <w:rFonts w:ascii="仿宋" w:hAnsi="仿宋" w:eastAsia="仿宋" w:cs="仿宋"/>
          <w:spacing w:val="-10"/>
          <w:sz w:val="25"/>
          <w:szCs w:val="25"/>
        </w:rPr>
        <w:t>统、2个1.5</w:t>
      </w:r>
      <w:r>
        <w:rPr>
          <w:rFonts w:ascii="Times New Roman" w:hAnsi="Times New Roman" w:eastAsia="Times New Roman" w:cs="Times New Roman"/>
          <w:spacing w:val="-10"/>
          <w:sz w:val="25"/>
          <w:szCs w:val="25"/>
        </w:rPr>
        <w:t>MWac</w:t>
      </w:r>
      <w:r>
        <w:rPr>
          <w:rFonts w:ascii="宋体" w:hAnsi="宋体" w:eastAsia="宋体" w:cs="宋体"/>
          <w:spacing w:val="-10"/>
          <w:sz w:val="25"/>
          <w:szCs w:val="25"/>
        </w:rPr>
        <w:t>光伏子方阵系统、3个</w:t>
      </w:r>
      <w:r>
        <w:rPr>
          <w:rFonts w:ascii="宋体" w:hAnsi="宋体" w:eastAsia="宋体" w:cs="宋体"/>
          <w:spacing w:val="-11"/>
          <w:sz w:val="25"/>
          <w:szCs w:val="25"/>
        </w:rPr>
        <w:t>1.6</w:t>
      </w:r>
      <w:r>
        <w:rPr>
          <w:rFonts w:ascii="Times New Roman" w:hAnsi="Times New Roman" w:eastAsia="Times New Roman" w:cs="Times New Roman"/>
          <w:spacing w:val="-11"/>
          <w:sz w:val="25"/>
          <w:szCs w:val="25"/>
        </w:rPr>
        <w:t>MWac</w:t>
      </w:r>
      <w:r>
        <w:rPr>
          <w:rFonts w:ascii="宋体" w:hAnsi="宋体" w:eastAsia="宋体" w:cs="宋体"/>
          <w:spacing w:val="-11"/>
          <w:sz w:val="25"/>
          <w:szCs w:val="25"/>
        </w:rPr>
        <w:t>光伏子方阵系统、3个1.8</w:t>
      </w:r>
      <w:r>
        <w:rPr>
          <w:rFonts w:ascii="Times New Roman" w:hAnsi="Times New Roman" w:eastAsia="Times New Roman" w:cs="Times New Roman"/>
          <w:spacing w:val="-11"/>
          <w:sz w:val="25"/>
          <w:szCs w:val="25"/>
        </w:rPr>
        <w:t>MWac</w:t>
      </w:r>
      <w:r>
        <w:rPr>
          <w:rFonts w:ascii="Times New Roman" w:hAnsi="Times New Roman" w:eastAsia="Times New Roman" w:cs="Times New Roman"/>
          <w:sz w:val="25"/>
          <w:szCs w:val="25"/>
        </w:rPr>
        <w:t xml:space="preserve"> </w:t>
      </w:r>
      <w:r>
        <w:rPr>
          <w:rFonts w:ascii="宋体" w:hAnsi="宋体" w:eastAsia="宋体" w:cs="宋体"/>
          <w:spacing w:val="-1"/>
          <w:sz w:val="25"/>
          <w:szCs w:val="25"/>
        </w:rPr>
        <w:t>光伏子方阵系统、1个2.2</w:t>
      </w:r>
      <w:r>
        <w:rPr>
          <w:rFonts w:ascii="Times New Roman" w:hAnsi="Times New Roman" w:eastAsia="Times New Roman" w:cs="Times New Roman"/>
          <w:spacing w:val="-1"/>
          <w:sz w:val="25"/>
          <w:szCs w:val="25"/>
        </w:rPr>
        <w:t>MWac</w:t>
      </w:r>
      <w:r>
        <w:rPr>
          <w:rFonts w:ascii="宋体" w:hAnsi="宋体" w:eastAsia="宋体" w:cs="宋体"/>
          <w:spacing w:val="-1"/>
          <w:sz w:val="25"/>
          <w:szCs w:val="25"/>
        </w:rPr>
        <w:t>光伏子方阵系统、4</w:t>
      </w:r>
      <w:r>
        <w:rPr>
          <w:rFonts w:ascii="宋体" w:hAnsi="宋体" w:eastAsia="宋体" w:cs="宋体"/>
          <w:spacing w:val="-2"/>
          <w:sz w:val="25"/>
          <w:szCs w:val="25"/>
        </w:rPr>
        <w:t>个2.4</w:t>
      </w:r>
      <w:r>
        <w:rPr>
          <w:rFonts w:ascii="Times New Roman" w:hAnsi="Times New Roman" w:eastAsia="Times New Roman" w:cs="Times New Roman"/>
          <w:spacing w:val="-2"/>
          <w:sz w:val="25"/>
          <w:szCs w:val="25"/>
        </w:rPr>
        <w:t>MWac</w:t>
      </w:r>
      <w:r>
        <w:rPr>
          <w:rFonts w:ascii="宋体" w:hAnsi="宋体" w:eastAsia="宋体" w:cs="宋体"/>
          <w:spacing w:val="-2"/>
          <w:sz w:val="25"/>
          <w:szCs w:val="25"/>
        </w:rPr>
        <w:t>光伏子方阵系</w:t>
      </w:r>
      <w:r>
        <w:rPr>
          <w:rFonts w:ascii="宋体" w:hAnsi="宋体" w:eastAsia="宋体" w:cs="宋体"/>
          <w:sz w:val="25"/>
          <w:szCs w:val="25"/>
        </w:rPr>
        <w:t xml:space="preserve"> </w:t>
      </w:r>
      <w:r>
        <w:rPr>
          <w:rFonts w:ascii="宋体" w:hAnsi="宋体" w:eastAsia="宋体" w:cs="宋体"/>
          <w:spacing w:val="-5"/>
          <w:sz w:val="25"/>
          <w:szCs w:val="25"/>
        </w:rPr>
        <w:t>统、1个2.5</w:t>
      </w:r>
      <w:r>
        <w:rPr>
          <w:rFonts w:ascii="Times New Roman" w:hAnsi="Times New Roman" w:eastAsia="Times New Roman" w:cs="Times New Roman"/>
          <w:spacing w:val="-5"/>
          <w:sz w:val="25"/>
          <w:szCs w:val="25"/>
        </w:rPr>
        <w:t>MWac</w:t>
      </w:r>
      <w:r>
        <w:rPr>
          <w:rFonts w:ascii="宋体" w:hAnsi="宋体" w:eastAsia="宋体" w:cs="宋体"/>
          <w:spacing w:val="-5"/>
          <w:sz w:val="25"/>
          <w:szCs w:val="25"/>
        </w:rPr>
        <w:t>光伏子方阵系统、1个2.7</w:t>
      </w:r>
      <w:r>
        <w:rPr>
          <w:rFonts w:ascii="Times New Roman" w:hAnsi="Times New Roman" w:eastAsia="Times New Roman" w:cs="Times New Roman"/>
          <w:spacing w:val="-5"/>
          <w:sz w:val="25"/>
          <w:szCs w:val="25"/>
        </w:rPr>
        <w:t>MWac</w:t>
      </w:r>
      <w:r>
        <w:rPr>
          <w:rFonts w:ascii="宋体" w:hAnsi="宋体" w:eastAsia="宋体" w:cs="宋体"/>
          <w:spacing w:val="-5"/>
          <w:sz w:val="25"/>
          <w:szCs w:val="25"/>
        </w:rPr>
        <w:t>光伏子方阵系</w:t>
      </w:r>
      <w:r>
        <w:rPr>
          <w:rFonts w:ascii="宋体" w:hAnsi="宋体" w:eastAsia="宋体" w:cs="宋体"/>
          <w:spacing w:val="-6"/>
          <w:sz w:val="25"/>
          <w:szCs w:val="25"/>
        </w:rPr>
        <w:t>统、3个3</w:t>
      </w:r>
      <w:r>
        <w:rPr>
          <w:rFonts w:ascii="Times New Roman" w:hAnsi="Times New Roman" w:eastAsia="Times New Roman" w:cs="Times New Roman"/>
          <w:spacing w:val="-6"/>
          <w:sz w:val="25"/>
          <w:szCs w:val="25"/>
        </w:rPr>
        <w:t>MWac</w:t>
      </w:r>
      <w:r>
        <w:rPr>
          <w:rFonts w:ascii="Times New Roman" w:hAnsi="Times New Roman" w:eastAsia="Times New Roman" w:cs="Times New Roman"/>
          <w:sz w:val="25"/>
          <w:szCs w:val="25"/>
        </w:rPr>
        <w:t xml:space="preserve"> </w:t>
      </w:r>
      <w:r>
        <w:rPr>
          <w:rFonts w:ascii="宋体" w:hAnsi="宋体" w:eastAsia="宋体" w:cs="宋体"/>
          <w:spacing w:val="-7"/>
          <w:sz w:val="25"/>
          <w:szCs w:val="25"/>
        </w:rPr>
        <w:t>光伏子方阵系统、2个3.15</w:t>
      </w:r>
      <w:r>
        <w:rPr>
          <w:rFonts w:ascii="Times New Roman" w:hAnsi="Times New Roman" w:eastAsia="Times New Roman" w:cs="Times New Roman"/>
          <w:spacing w:val="-7"/>
          <w:sz w:val="25"/>
          <w:szCs w:val="25"/>
        </w:rPr>
        <w:t>MWac</w:t>
      </w:r>
      <w:r>
        <w:rPr>
          <w:rFonts w:ascii="宋体" w:hAnsi="宋体" w:eastAsia="宋体" w:cs="宋体"/>
          <w:spacing w:val="-7"/>
          <w:sz w:val="25"/>
          <w:szCs w:val="25"/>
        </w:rPr>
        <w:t>光伏子方阵系统。本并网光伏电站每个光伏子</w:t>
      </w:r>
      <w:r>
        <w:rPr>
          <w:rFonts w:ascii="宋体" w:hAnsi="宋体" w:eastAsia="宋体" w:cs="宋体"/>
          <w:spacing w:val="11"/>
          <w:sz w:val="25"/>
          <w:szCs w:val="25"/>
        </w:rPr>
        <w:t xml:space="preserve"> </w:t>
      </w:r>
      <w:r>
        <w:rPr>
          <w:rFonts w:ascii="宋体" w:hAnsi="宋体" w:eastAsia="宋体" w:cs="宋体"/>
          <w:spacing w:val="1"/>
          <w:sz w:val="25"/>
          <w:szCs w:val="25"/>
        </w:rPr>
        <w:t>方阵经逆变升压后输出电压为35</w:t>
      </w:r>
      <w:r>
        <w:rPr>
          <w:rFonts w:ascii="Times New Roman" w:hAnsi="Times New Roman" w:eastAsia="Times New Roman" w:cs="Times New Roman"/>
          <w:sz w:val="25"/>
          <w:szCs w:val="25"/>
        </w:rPr>
        <w:t>kV</w:t>
      </w:r>
      <w:r>
        <w:rPr>
          <w:rFonts w:ascii="Times New Roman" w:hAnsi="Times New Roman" w:eastAsia="Times New Roman" w:cs="Times New Roman"/>
          <w:spacing w:val="1"/>
          <w:sz w:val="25"/>
          <w:szCs w:val="25"/>
        </w:rPr>
        <w:t>,</w:t>
      </w:r>
      <w:r>
        <w:rPr>
          <w:rFonts w:ascii="Times New Roman" w:hAnsi="Times New Roman" w:eastAsia="Times New Roman" w:cs="Times New Roman"/>
          <w:spacing w:val="41"/>
          <w:w w:val="101"/>
          <w:sz w:val="25"/>
          <w:szCs w:val="25"/>
        </w:rPr>
        <w:t xml:space="preserve"> </w:t>
      </w:r>
      <w:r>
        <w:rPr>
          <w:rFonts w:ascii="宋体" w:hAnsi="宋体" w:eastAsia="宋体" w:cs="宋体"/>
          <w:spacing w:val="1"/>
          <w:sz w:val="25"/>
          <w:szCs w:val="25"/>
        </w:rPr>
        <w:t>在适当位置设</w:t>
      </w:r>
      <w:r>
        <w:rPr>
          <w:rFonts w:ascii="宋体" w:hAnsi="宋体" w:eastAsia="宋体" w:cs="宋体"/>
          <w:sz w:val="25"/>
          <w:szCs w:val="25"/>
        </w:rPr>
        <w:t>置35</w:t>
      </w:r>
      <w:r>
        <w:rPr>
          <w:rFonts w:ascii="Times New Roman" w:hAnsi="Times New Roman" w:eastAsia="Times New Roman" w:cs="Times New Roman"/>
          <w:sz w:val="25"/>
          <w:szCs w:val="25"/>
        </w:rPr>
        <w:t>kV</w:t>
      </w:r>
      <w:r>
        <w:rPr>
          <w:rFonts w:ascii="宋体" w:hAnsi="宋体" w:eastAsia="宋体" w:cs="宋体"/>
          <w:sz w:val="25"/>
          <w:szCs w:val="25"/>
        </w:rPr>
        <w:t xml:space="preserve">电缆分接箱。每个 </w:t>
      </w:r>
      <w:r>
        <w:rPr>
          <w:rFonts w:ascii="宋体" w:hAnsi="宋体" w:eastAsia="宋体" w:cs="宋体"/>
          <w:spacing w:val="2"/>
          <w:sz w:val="25"/>
          <w:szCs w:val="25"/>
        </w:rPr>
        <w:t>光伏方阵电力经箱变升压至35</w:t>
      </w:r>
      <w:r>
        <w:rPr>
          <w:rFonts w:ascii="Times New Roman" w:hAnsi="Times New Roman" w:eastAsia="Times New Roman" w:cs="Times New Roman"/>
          <w:sz w:val="25"/>
          <w:szCs w:val="25"/>
        </w:rPr>
        <w:t>kV</w:t>
      </w:r>
      <w:r>
        <w:rPr>
          <w:rFonts w:ascii="宋体" w:hAnsi="宋体" w:eastAsia="宋体" w:cs="宋体"/>
          <w:spacing w:val="2"/>
          <w:sz w:val="25"/>
          <w:szCs w:val="25"/>
        </w:rPr>
        <w:t>后，通过35</w:t>
      </w:r>
      <w:r>
        <w:rPr>
          <w:rFonts w:ascii="Times New Roman" w:hAnsi="Times New Roman" w:eastAsia="Times New Roman" w:cs="Times New Roman"/>
          <w:sz w:val="25"/>
          <w:szCs w:val="25"/>
        </w:rPr>
        <w:t>kV</w:t>
      </w:r>
      <w:r>
        <w:rPr>
          <w:rFonts w:ascii="宋体" w:hAnsi="宋体" w:eastAsia="宋体" w:cs="宋体"/>
          <w:spacing w:val="2"/>
          <w:sz w:val="25"/>
          <w:szCs w:val="25"/>
        </w:rPr>
        <w:t>电缆分接箱并联至35</w:t>
      </w:r>
      <w:r>
        <w:rPr>
          <w:rFonts w:ascii="Times New Roman" w:hAnsi="Times New Roman" w:eastAsia="Times New Roman" w:cs="Times New Roman"/>
          <w:sz w:val="25"/>
          <w:szCs w:val="25"/>
        </w:rPr>
        <w:t>kV</w:t>
      </w:r>
      <w:r>
        <w:rPr>
          <w:rFonts w:ascii="Times New Roman" w:hAnsi="Times New Roman" w:eastAsia="Times New Roman" w:cs="Times New Roman"/>
          <w:spacing w:val="-4"/>
          <w:sz w:val="25"/>
          <w:szCs w:val="25"/>
        </w:rPr>
        <w:t xml:space="preserve"> </w:t>
      </w:r>
      <w:r>
        <w:rPr>
          <w:rFonts w:ascii="宋体" w:hAnsi="宋体" w:eastAsia="宋体" w:cs="宋体"/>
          <w:spacing w:val="2"/>
          <w:sz w:val="25"/>
          <w:szCs w:val="25"/>
        </w:rPr>
        <w:t>集电</w:t>
      </w:r>
      <w:r>
        <w:rPr>
          <w:rFonts w:ascii="宋体" w:hAnsi="宋体" w:eastAsia="宋体" w:cs="宋体"/>
          <w:sz w:val="25"/>
          <w:szCs w:val="25"/>
        </w:rPr>
        <w:t xml:space="preserve"> </w:t>
      </w:r>
      <w:r>
        <w:rPr>
          <w:rFonts w:ascii="宋体" w:hAnsi="宋体" w:eastAsia="宋体" w:cs="宋体"/>
          <w:spacing w:val="4"/>
          <w:sz w:val="25"/>
          <w:szCs w:val="25"/>
        </w:rPr>
        <w:t>线路，集电线路汇集电力后输送至110</w:t>
      </w:r>
      <w:r>
        <w:rPr>
          <w:rFonts w:ascii="Times New Roman" w:hAnsi="Times New Roman" w:eastAsia="Times New Roman" w:cs="Times New Roman"/>
          <w:sz w:val="25"/>
          <w:szCs w:val="25"/>
        </w:rPr>
        <w:t>kV</w:t>
      </w:r>
      <w:r>
        <w:rPr>
          <w:rFonts w:ascii="宋体" w:hAnsi="宋体" w:eastAsia="宋体" w:cs="宋体"/>
          <w:spacing w:val="4"/>
          <w:sz w:val="25"/>
          <w:szCs w:val="25"/>
        </w:rPr>
        <w:t>升压站</w:t>
      </w:r>
      <w:r>
        <w:rPr>
          <w:rFonts w:ascii="宋体" w:hAnsi="宋体" w:eastAsia="宋体" w:cs="宋体"/>
          <w:spacing w:val="3"/>
          <w:sz w:val="25"/>
          <w:szCs w:val="25"/>
        </w:rPr>
        <w:t>。拟在光伏场区内新建一座</w:t>
      </w:r>
    </w:p>
    <w:p w14:paraId="6DA81759">
      <w:pPr>
        <w:spacing w:line="341" w:lineRule="auto"/>
        <w:rPr>
          <w:rFonts w:ascii="宋体" w:hAnsi="宋体" w:eastAsia="宋体" w:cs="宋体"/>
          <w:sz w:val="25"/>
          <w:szCs w:val="25"/>
        </w:rPr>
        <w:sectPr>
          <w:footerReference r:id="rId220" w:type="default"/>
          <w:pgSz w:w="11910" w:h="16830"/>
          <w:pgMar w:top="400" w:right="1786" w:bottom="1173" w:left="1769" w:header="0" w:footer="925" w:gutter="0"/>
          <w:cols w:space="720" w:num="1"/>
        </w:sectPr>
      </w:pPr>
    </w:p>
    <w:p w14:paraId="315692ED">
      <w:pPr>
        <w:pStyle w:val="2"/>
        <w:spacing w:line="259" w:lineRule="auto"/>
      </w:pPr>
    </w:p>
    <w:p w14:paraId="162F1FB0">
      <w:pPr>
        <w:pStyle w:val="2"/>
        <w:spacing w:line="259" w:lineRule="auto"/>
      </w:pPr>
    </w:p>
    <w:p w14:paraId="3250C8E6">
      <w:pPr>
        <w:pStyle w:val="2"/>
        <w:spacing w:line="259" w:lineRule="auto"/>
      </w:pPr>
    </w:p>
    <w:p w14:paraId="7FABF7B8">
      <w:pPr>
        <w:pStyle w:val="2"/>
        <w:spacing w:line="260" w:lineRule="auto"/>
      </w:pPr>
    </w:p>
    <w:p w14:paraId="1C746DC1">
      <w:pPr>
        <w:spacing w:before="78" w:line="359" w:lineRule="auto"/>
        <w:ind w:right="96"/>
        <w:jc w:val="both"/>
        <w:rPr>
          <w:rFonts w:ascii="宋体" w:hAnsi="宋体" w:eastAsia="宋体" w:cs="宋体"/>
          <w:sz w:val="24"/>
          <w:szCs w:val="24"/>
        </w:rPr>
      </w:pPr>
      <w:r>
        <w:rPr>
          <w:rFonts w:ascii="宋体" w:hAnsi="宋体" w:eastAsia="宋体" w:cs="宋体"/>
          <w:spacing w:val="8"/>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2"/>
          <w:sz w:val="24"/>
          <w:szCs w:val="24"/>
        </w:rPr>
        <w:t xml:space="preserve"> </w:t>
      </w:r>
      <w:r>
        <w:rPr>
          <w:rFonts w:ascii="宋体" w:hAnsi="宋体" w:eastAsia="宋体" w:cs="宋体"/>
          <w:spacing w:val="8"/>
          <w:sz w:val="24"/>
          <w:szCs w:val="24"/>
        </w:rPr>
        <w:t>变电站，主变规模为50</w:t>
      </w:r>
      <w:r>
        <w:rPr>
          <w:rFonts w:ascii="Times New Roman" w:hAnsi="Times New Roman" w:eastAsia="Times New Roman" w:cs="Times New Roman"/>
          <w:sz w:val="24"/>
          <w:szCs w:val="24"/>
        </w:rPr>
        <w:t>MVA</w:t>
      </w:r>
      <w:r>
        <w:rPr>
          <w:rFonts w:ascii="Times New Roman" w:hAnsi="Times New Roman" w:eastAsia="Times New Roman" w:cs="Times New Roman"/>
          <w:spacing w:val="8"/>
          <w:sz w:val="24"/>
          <w:szCs w:val="24"/>
        </w:rPr>
        <w:t>,</w:t>
      </w:r>
      <w:r>
        <w:rPr>
          <w:rFonts w:ascii="Times New Roman" w:hAnsi="Times New Roman" w:eastAsia="Times New Roman" w:cs="Times New Roman"/>
          <w:spacing w:val="22"/>
          <w:sz w:val="24"/>
          <w:szCs w:val="24"/>
        </w:rPr>
        <w:t xml:space="preserve">  </w:t>
      </w:r>
      <w:r>
        <w:rPr>
          <w:rFonts w:ascii="宋体" w:hAnsi="宋体" w:eastAsia="宋体" w:cs="宋体"/>
          <w:spacing w:val="8"/>
          <w:sz w:val="24"/>
          <w:szCs w:val="24"/>
        </w:rPr>
        <w:t>电站以1回110</w:t>
      </w:r>
      <w:r>
        <w:rPr>
          <w:rFonts w:ascii="Times New Roman" w:hAnsi="Times New Roman" w:eastAsia="Times New Roman" w:cs="Times New Roman"/>
          <w:sz w:val="24"/>
          <w:szCs w:val="24"/>
        </w:rPr>
        <w:t>kV</w:t>
      </w:r>
      <w:r>
        <w:rPr>
          <w:rFonts w:ascii="Times New Roman" w:hAnsi="Times New Roman" w:eastAsia="Times New Roman" w:cs="Times New Roman"/>
          <w:spacing w:val="-21"/>
          <w:sz w:val="24"/>
          <w:szCs w:val="24"/>
        </w:rPr>
        <w:t xml:space="preserve"> </w:t>
      </w:r>
      <w:r>
        <w:rPr>
          <w:rFonts w:ascii="宋体" w:hAnsi="宋体" w:eastAsia="宋体" w:cs="宋体"/>
          <w:spacing w:val="8"/>
          <w:sz w:val="24"/>
          <w:szCs w:val="24"/>
        </w:rPr>
        <w:t>线</w:t>
      </w:r>
      <w:r>
        <w:rPr>
          <w:rFonts w:ascii="宋体" w:hAnsi="宋体" w:eastAsia="宋体" w:cs="宋体"/>
          <w:spacing w:val="7"/>
          <w:sz w:val="24"/>
          <w:szCs w:val="24"/>
        </w:rPr>
        <w:t>路接入普乐村光伏电</w:t>
      </w:r>
      <w:r>
        <w:rPr>
          <w:rFonts w:ascii="宋体" w:hAnsi="宋体" w:eastAsia="宋体" w:cs="宋体"/>
          <w:sz w:val="24"/>
          <w:szCs w:val="24"/>
        </w:rPr>
        <w:t xml:space="preserve"> 站，通过普乐村光伏电站110</w:t>
      </w:r>
      <w:r>
        <w:rPr>
          <w:rFonts w:ascii="Times New Roman" w:hAnsi="Times New Roman" w:eastAsia="Times New Roman" w:cs="Times New Roman"/>
          <w:sz w:val="24"/>
          <w:szCs w:val="24"/>
        </w:rPr>
        <w:t>kV</w:t>
      </w:r>
      <w:r>
        <w:rPr>
          <w:rFonts w:ascii="Times New Roman" w:hAnsi="Times New Roman" w:eastAsia="Times New Roman" w:cs="Times New Roman"/>
          <w:spacing w:val="-12"/>
          <w:sz w:val="24"/>
          <w:szCs w:val="24"/>
        </w:rPr>
        <w:t xml:space="preserve"> </w:t>
      </w:r>
      <w:r>
        <w:rPr>
          <w:rFonts w:ascii="宋体" w:hAnsi="宋体" w:eastAsia="宋体" w:cs="宋体"/>
          <w:sz w:val="24"/>
          <w:szCs w:val="24"/>
        </w:rPr>
        <w:t>母线接入电网，线路长度约1.8</w:t>
      </w:r>
      <w:r>
        <w:rPr>
          <w:rFonts w:ascii="Times New Roman" w:hAnsi="Times New Roman" w:eastAsia="Times New Roman" w:cs="Times New Roman"/>
          <w:sz w:val="24"/>
          <w:szCs w:val="24"/>
        </w:rPr>
        <w:t>km,</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导线截</w:t>
      </w:r>
      <w:r>
        <w:rPr>
          <w:rFonts w:ascii="宋体" w:hAnsi="宋体" w:eastAsia="宋体" w:cs="宋体"/>
          <w:spacing w:val="-1"/>
          <w:sz w:val="24"/>
          <w:szCs w:val="24"/>
        </w:rPr>
        <w:t>面按</w:t>
      </w:r>
      <w:r>
        <w:rPr>
          <w:rFonts w:ascii="宋体" w:hAnsi="宋体" w:eastAsia="宋体" w:cs="宋体"/>
          <w:sz w:val="24"/>
          <w:szCs w:val="24"/>
        </w:rPr>
        <w:t xml:space="preserve"> </w:t>
      </w:r>
      <w:r>
        <w:rPr>
          <w:rFonts w:ascii="宋体" w:hAnsi="宋体" w:eastAsia="宋体" w:cs="宋体"/>
          <w:spacing w:val="2"/>
          <w:sz w:val="24"/>
          <w:szCs w:val="24"/>
        </w:rPr>
        <w:t>240</w:t>
      </w:r>
      <w:r>
        <w:rPr>
          <w:rFonts w:ascii="Times New Roman" w:hAnsi="Times New Roman" w:eastAsia="Times New Roman" w:cs="Times New Roman"/>
          <w:sz w:val="24"/>
          <w:szCs w:val="24"/>
        </w:rPr>
        <w:t>mm</w:t>
      </w:r>
      <w:r>
        <w:rPr>
          <w:rFonts w:ascii="Times New Roman" w:hAnsi="Times New Roman" w:eastAsia="Times New Roman" w:cs="Times New Roman"/>
          <w:spacing w:val="2"/>
          <w:sz w:val="24"/>
          <w:szCs w:val="24"/>
        </w:rPr>
        <w:t>²</w:t>
      </w:r>
      <w:r>
        <w:rPr>
          <w:rFonts w:ascii="宋体" w:hAnsi="宋体" w:eastAsia="宋体" w:cs="宋体"/>
          <w:spacing w:val="2"/>
          <w:sz w:val="24"/>
          <w:szCs w:val="24"/>
        </w:rPr>
        <w:t>考虑，最终接入系统方案将在下阶段设计中进一步研究，并服从</w:t>
      </w:r>
      <w:r>
        <w:rPr>
          <w:rFonts w:ascii="宋体" w:hAnsi="宋体" w:eastAsia="宋体" w:cs="宋体"/>
          <w:spacing w:val="1"/>
          <w:sz w:val="24"/>
          <w:szCs w:val="24"/>
        </w:rPr>
        <w:t>于电网</w:t>
      </w:r>
      <w:r>
        <w:rPr>
          <w:rFonts w:ascii="宋体" w:hAnsi="宋体" w:eastAsia="宋体" w:cs="宋体"/>
          <w:sz w:val="24"/>
          <w:szCs w:val="24"/>
        </w:rPr>
        <w:t xml:space="preserve"> </w:t>
      </w:r>
      <w:r>
        <w:rPr>
          <w:rFonts w:ascii="宋体" w:hAnsi="宋体" w:eastAsia="宋体" w:cs="宋体"/>
          <w:spacing w:val="-4"/>
          <w:sz w:val="24"/>
          <w:szCs w:val="24"/>
        </w:rPr>
        <w:t>整体规划。</w:t>
      </w:r>
    </w:p>
    <w:p w14:paraId="1B635B9E">
      <w:pPr>
        <w:spacing w:before="26" w:line="357" w:lineRule="auto"/>
        <w:ind w:right="85" w:firstLine="480"/>
        <w:jc w:val="both"/>
        <w:rPr>
          <w:rFonts w:ascii="宋体" w:hAnsi="宋体" w:eastAsia="宋体" w:cs="宋体"/>
          <w:sz w:val="24"/>
          <w:szCs w:val="24"/>
        </w:rPr>
      </w:pPr>
      <w:r>
        <w:rPr>
          <w:rFonts w:ascii="宋体" w:hAnsi="宋体" w:eastAsia="宋体" w:cs="宋体"/>
          <w:spacing w:val="13"/>
          <w:sz w:val="24"/>
          <w:szCs w:val="24"/>
        </w:rPr>
        <w:t>根据《建设项目环境影响评价分类管理名录(2021版)》,100</w:t>
      </w:r>
      <w:r>
        <w:rPr>
          <w:rFonts w:ascii="Times New Roman" w:hAnsi="Times New Roman" w:eastAsia="Times New Roman" w:cs="Times New Roman"/>
          <w:sz w:val="24"/>
          <w:szCs w:val="24"/>
        </w:rPr>
        <w:t>KV</w:t>
      </w:r>
      <w:r>
        <w:rPr>
          <w:rFonts w:ascii="Times New Roman" w:hAnsi="Times New Roman" w:eastAsia="Times New Roman" w:cs="Times New Roman"/>
          <w:spacing w:val="12"/>
          <w:sz w:val="24"/>
          <w:szCs w:val="24"/>
        </w:rPr>
        <w:t xml:space="preserve"> </w:t>
      </w:r>
      <w:r>
        <w:rPr>
          <w:rFonts w:ascii="宋体" w:hAnsi="宋体" w:eastAsia="宋体" w:cs="宋体"/>
          <w:spacing w:val="12"/>
          <w:sz w:val="24"/>
          <w:szCs w:val="24"/>
        </w:rPr>
        <w:t>以下输</w:t>
      </w:r>
      <w:r>
        <w:rPr>
          <w:rFonts w:ascii="宋体" w:hAnsi="宋体" w:eastAsia="宋体" w:cs="宋体"/>
          <w:sz w:val="24"/>
          <w:szCs w:val="24"/>
        </w:rPr>
        <w:t xml:space="preserve"> </w:t>
      </w:r>
      <w:r>
        <w:rPr>
          <w:rFonts w:ascii="宋体" w:hAnsi="宋体" w:eastAsia="宋体" w:cs="宋体"/>
          <w:spacing w:val="-3"/>
          <w:sz w:val="24"/>
          <w:szCs w:val="24"/>
        </w:rPr>
        <w:t>变电工程属于豁免评价，项目光伏场区箱变、集电线路、储能系统电压等级均为</w:t>
      </w:r>
      <w:r>
        <w:rPr>
          <w:rFonts w:ascii="宋体" w:hAnsi="宋体" w:eastAsia="宋体" w:cs="宋体"/>
          <w:spacing w:val="6"/>
          <w:sz w:val="24"/>
          <w:szCs w:val="24"/>
        </w:rPr>
        <w:t xml:space="preserve"> </w:t>
      </w:r>
      <w:r>
        <w:rPr>
          <w:rFonts w:ascii="宋体" w:hAnsi="宋体" w:eastAsia="宋体" w:cs="宋体"/>
          <w:spacing w:val="10"/>
          <w:sz w:val="24"/>
          <w:szCs w:val="24"/>
        </w:rPr>
        <w:t>35</w:t>
      </w:r>
      <w:r>
        <w:rPr>
          <w:rFonts w:ascii="Times New Roman" w:hAnsi="Times New Roman" w:eastAsia="Times New Roman" w:cs="Times New Roman"/>
          <w:sz w:val="24"/>
          <w:szCs w:val="24"/>
        </w:rPr>
        <w:t>kV</w:t>
      </w:r>
      <w:r>
        <w:rPr>
          <w:rFonts w:ascii="Times New Roman" w:hAnsi="Times New Roman" w:eastAsia="Times New Roman" w:cs="Times New Roman"/>
          <w:spacing w:val="10"/>
          <w:sz w:val="24"/>
          <w:szCs w:val="24"/>
        </w:rPr>
        <w:t>,</w:t>
      </w:r>
      <w:r>
        <w:rPr>
          <w:rFonts w:ascii="Times New Roman" w:hAnsi="Times New Roman" w:eastAsia="Times New Roman" w:cs="Times New Roman"/>
          <w:spacing w:val="71"/>
          <w:w w:val="101"/>
          <w:sz w:val="24"/>
          <w:szCs w:val="24"/>
        </w:rPr>
        <w:t xml:space="preserve"> </w:t>
      </w:r>
      <w:r>
        <w:rPr>
          <w:rFonts w:ascii="宋体" w:hAnsi="宋体" w:eastAsia="宋体" w:cs="宋体"/>
          <w:spacing w:val="10"/>
          <w:sz w:val="24"/>
          <w:szCs w:val="24"/>
        </w:rPr>
        <w:t>低于100</w:t>
      </w:r>
      <w:r>
        <w:rPr>
          <w:rFonts w:ascii="Times New Roman" w:hAnsi="Times New Roman" w:eastAsia="Times New Roman" w:cs="Times New Roman"/>
          <w:sz w:val="24"/>
          <w:szCs w:val="24"/>
        </w:rPr>
        <w:t>kV</w:t>
      </w:r>
      <w:r>
        <w:rPr>
          <w:rFonts w:ascii="Times New Roman" w:hAnsi="Times New Roman" w:eastAsia="Times New Roman" w:cs="Times New Roman"/>
          <w:spacing w:val="10"/>
          <w:sz w:val="24"/>
          <w:szCs w:val="24"/>
        </w:rPr>
        <w:t>,</w:t>
      </w:r>
      <w:r>
        <w:rPr>
          <w:rFonts w:ascii="Times New Roman" w:hAnsi="Times New Roman" w:eastAsia="Times New Roman" w:cs="Times New Roman"/>
          <w:spacing w:val="38"/>
          <w:w w:val="101"/>
          <w:sz w:val="24"/>
          <w:szCs w:val="24"/>
        </w:rPr>
        <w:t xml:space="preserve"> </w:t>
      </w:r>
      <w:r>
        <w:rPr>
          <w:rFonts w:ascii="宋体" w:hAnsi="宋体" w:eastAsia="宋体" w:cs="宋体"/>
          <w:spacing w:val="10"/>
          <w:sz w:val="24"/>
          <w:szCs w:val="24"/>
        </w:rPr>
        <w:t>其电磁环境影响可免于管理(豁免范围)。项目拟建110</w:t>
      </w:r>
      <w:r>
        <w:rPr>
          <w:rFonts w:ascii="Times New Roman" w:hAnsi="Times New Roman" w:eastAsia="Times New Roman" w:cs="Times New Roman"/>
          <w:sz w:val="24"/>
          <w:szCs w:val="24"/>
        </w:rPr>
        <w:t xml:space="preserve">kV </w:t>
      </w:r>
      <w:r>
        <w:rPr>
          <w:rFonts w:ascii="宋体" w:hAnsi="宋体" w:eastAsia="宋体" w:cs="宋体"/>
          <w:spacing w:val="-2"/>
          <w:sz w:val="24"/>
          <w:szCs w:val="24"/>
        </w:rPr>
        <w:t>升压站送出线路不在此次评价范围内。因此本次专题报告对项目</w:t>
      </w:r>
      <w:r>
        <w:rPr>
          <w:rFonts w:ascii="宋体" w:hAnsi="宋体" w:eastAsia="宋体" w:cs="宋体"/>
          <w:spacing w:val="-3"/>
          <w:sz w:val="24"/>
          <w:szCs w:val="24"/>
        </w:rPr>
        <w:t>内部集电和变电</w:t>
      </w:r>
      <w:r>
        <w:rPr>
          <w:rFonts w:ascii="宋体" w:hAnsi="宋体" w:eastAsia="宋体" w:cs="宋体"/>
          <w:sz w:val="24"/>
          <w:szCs w:val="24"/>
        </w:rPr>
        <w:t xml:space="preserve"> </w:t>
      </w:r>
      <w:r>
        <w:rPr>
          <w:rFonts w:ascii="宋体" w:hAnsi="宋体" w:eastAsia="宋体" w:cs="宋体"/>
          <w:spacing w:val="3"/>
          <w:sz w:val="24"/>
          <w:szCs w:val="24"/>
        </w:rPr>
        <w:t>项目低于100</w:t>
      </w:r>
      <w:r>
        <w:rPr>
          <w:rFonts w:ascii="Times New Roman" w:hAnsi="Times New Roman" w:eastAsia="Times New Roman" w:cs="Times New Roman"/>
          <w:sz w:val="24"/>
          <w:szCs w:val="24"/>
        </w:rPr>
        <w:t>KV</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部分的电磁辐射影响不再进行评</w:t>
      </w:r>
      <w:r>
        <w:rPr>
          <w:rFonts w:ascii="宋体" w:hAnsi="宋体" w:eastAsia="宋体" w:cs="宋体"/>
          <w:spacing w:val="2"/>
          <w:sz w:val="24"/>
          <w:szCs w:val="24"/>
        </w:rPr>
        <w:t>价，专题评价内容为项目拟建</w:t>
      </w:r>
      <w:r>
        <w:rPr>
          <w:rFonts w:ascii="宋体" w:hAnsi="宋体" w:eastAsia="宋体" w:cs="宋体"/>
          <w:sz w:val="24"/>
          <w:szCs w:val="24"/>
        </w:rPr>
        <w:t xml:space="preserve"> </w:t>
      </w:r>
      <w:r>
        <w:rPr>
          <w:rFonts w:ascii="宋体" w:hAnsi="宋体" w:eastAsia="宋体" w:cs="宋体"/>
          <w:spacing w:val="4"/>
          <w:sz w:val="24"/>
          <w:szCs w:val="24"/>
        </w:rPr>
        <w:t>的110</w:t>
      </w:r>
      <w:r>
        <w:rPr>
          <w:rFonts w:ascii="Times New Roman" w:hAnsi="Times New Roman" w:eastAsia="Times New Roman" w:cs="Times New Roman"/>
          <w:sz w:val="24"/>
          <w:szCs w:val="24"/>
        </w:rPr>
        <w:t>kV</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升压站。</w:t>
      </w:r>
    </w:p>
    <w:p w14:paraId="53B664DE">
      <w:pPr>
        <w:spacing w:before="11" w:line="355" w:lineRule="auto"/>
        <w:ind w:firstLine="480"/>
        <w:jc w:val="both"/>
        <w:rPr>
          <w:rFonts w:ascii="宋体" w:hAnsi="宋体" w:eastAsia="宋体" w:cs="宋体"/>
          <w:sz w:val="24"/>
          <w:szCs w:val="24"/>
        </w:rPr>
      </w:pPr>
      <w:r>
        <w:rPr>
          <w:rFonts w:ascii="宋体" w:hAnsi="宋体" w:eastAsia="宋体" w:cs="宋体"/>
          <w:spacing w:val="-3"/>
          <w:sz w:val="24"/>
          <w:szCs w:val="24"/>
        </w:rPr>
        <w:t>根据《建设项目环境影响评价分类管理名录》,项目光</w:t>
      </w:r>
      <w:r>
        <w:rPr>
          <w:rFonts w:ascii="宋体" w:hAnsi="宋体" w:eastAsia="宋体" w:cs="宋体"/>
          <w:spacing w:val="-4"/>
          <w:sz w:val="24"/>
          <w:szCs w:val="24"/>
        </w:rPr>
        <w:t>伏发电属于“四十一、</w:t>
      </w:r>
      <w:r>
        <w:rPr>
          <w:rFonts w:ascii="宋体" w:hAnsi="宋体" w:eastAsia="宋体" w:cs="宋体"/>
          <w:sz w:val="24"/>
          <w:szCs w:val="24"/>
        </w:rPr>
        <w:t xml:space="preserve"> </w:t>
      </w:r>
      <w:r>
        <w:rPr>
          <w:rFonts w:ascii="宋体" w:hAnsi="宋体" w:eastAsia="宋体" w:cs="宋体"/>
          <w:spacing w:val="4"/>
          <w:sz w:val="24"/>
          <w:szCs w:val="24"/>
        </w:rPr>
        <w:t>电力、热力生产和供应业”第90小类“陆地利用地热、太阳能热等发电；地面</w:t>
      </w:r>
      <w:r>
        <w:rPr>
          <w:rFonts w:ascii="宋体" w:hAnsi="宋体" w:eastAsia="宋体" w:cs="宋体"/>
          <w:sz w:val="24"/>
          <w:szCs w:val="24"/>
        </w:rPr>
        <w:t xml:space="preserve">  </w:t>
      </w:r>
      <w:r>
        <w:rPr>
          <w:rFonts w:ascii="宋体" w:hAnsi="宋体" w:eastAsia="宋体" w:cs="宋体"/>
          <w:spacing w:val="13"/>
          <w:sz w:val="24"/>
          <w:szCs w:val="24"/>
        </w:rPr>
        <w:t>集中光伏电站(总容量大于6000千瓦，且接入电压等级不小于10千伏);其他</w:t>
      </w:r>
      <w:r>
        <w:rPr>
          <w:rFonts w:ascii="宋体" w:hAnsi="宋体" w:eastAsia="宋体" w:cs="宋体"/>
          <w:spacing w:val="8"/>
          <w:sz w:val="24"/>
          <w:szCs w:val="24"/>
        </w:rPr>
        <w:t xml:space="preserve">  </w:t>
      </w:r>
      <w:r>
        <w:rPr>
          <w:rFonts w:ascii="宋体" w:hAnsi="宋体" w:eastAsia="宋体" w:cs="宋体"/>
          <w:spacing w:val="5"/>
          <w:sz w:val="24"/>
          <w:szCs w:val="24"/>
        </w:rPr>
        <w:t>风力发电”中太阳能发电项目，应编制环境影响报告表；项目110</w:t>
      </w:r>
      <w:r>
        <w:rPr>
          <w:rFonts w:ascii="Times New Roman" w:hAnsi="Times New Roman" w:eastAsia="Times New Roman" w:cs="Times New Roman"/>
          <w:sz w:val="24"/>
          <w:szCs w:val="24"/>
        </w:rPr>
        <w:t>kV</w:t>
      </w:r>
      <w:r>
        <w:rPr>
          <w:rFonts w:ascii="Times New Roman" w:hAnsi="Times New Roman" w:eastAsia="Times New Roman" w:cs="Times New Roman"/>
          <w:spacing w:val="-14"/>
          <w:sz w:val="24"/>
          <w:szCs w:val="24"/>
        </w:rPr>
        <w:t xml:space="preserve"> </w:t>
      </w:r>
      <w:r>
        <w:rPr>
          <w:rFonts w:ascii="宋体" w:hAnsi="宋体" w:eastAsia="宋体" w:cs="宋体"/>
          <w:spacing w:val="5"/>
          <w:sz w:val="24"/>
          <w:szCs w:val="24"/>
        </w:rPr>
        <w:t>升压站属</w:t>
      </w:r>
      <w:r>
        <w:rPr>
          <w:rFonts w:ascii="宋体" w:hAnsi="宋体" w:eastAsia="宋体" w:cs="宋体"/>
          <w:sz w:val="24"/>
          <w:szCs w:val="24"/>
        </w:rPr>
        <w:t xml:space="preserve"> </w:t>
      </w:r>
      <w:r>
        <w:rPr>
          <w:rFonts w:ascii="宋体" w:hAnsi="宋体" w:eastAsia="宋体" w:cs="宋体"/>
          <w:spacing w:val="6"/>
          <w:sz w:val="24"/>
          <w:szCs w:val="24"/>
        </w:rPr>
        <w:t>于“五十五、核与辐射”第161小类“输变电工程”,应编制环</w:t>
      </w:r>
      <w:r>
        <w:rPr>
          <w:rFonts w:ascii="宋体" w:hAnsi="宋体" w:eastAsia="宋体" w:cs="宋体"/>
          <w:spacing w:val="5"/>
          <w:sz w:val="24"/>
          <w:szCs w:val="24"/>
        </w:rPr>
        <w:t>境影响报告表。</w:t>
      </w:r>
      <w:r>
        <w:rPr>
          <w:rFonts w:ascii="宋体" w:hAnsi="宋体" w:eastAsia="宋体" w:cs="宋体"/>
          <w:sz w:val="24"/>
          <w:szCs w:val="24"/>
        </w:rPr>
        <w:t xml:space="preserve"> </w:t>
      </w:r>
      <w:r>
        <w:rPr>
          <w:rFonts w:ascii="宋体" w:hAnsi="宋体" w:eastAsia="宋体" w:cs="宋体"/>
          <w:spacing w:val="1"/>
          <w:sz w:val="24"/>
          <w:szCs w:val="24"/>
        </w:rPr>
        <w:t>根据《环境影响评价技术导则输变电》</w:t>
      </w:r>
      <w:r>
        <w:rPr>
          <w:rFonts w:ascii="宋体" w:hAnsi="宋体" w:eastAsia="宋体" w:cs="宋体"/>
          <w:spacing w:val="40"/>
          <w:sz w:val="24"/>
          <w:szCs w:val="24"/>
        </w:rPr>
        <w:t xml:space="preserve"> </w:t>
      </w:r>
      <w:r>
        <w:rPr>
          <w:rFonts w:ascii="宋体" w:hAnsi="宋体" w:eastAsia="宋体" w:cs="宋体"/>
          <w:spacing w:val="1"/>
          <w:sz w:val="24"/>
          <w:szCs w:val="24"/>
        </w:rPr>
        <w:t>(</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HJ</w:t>
      </w:r>
      <w:r>
        <w:rPr>
          <w:rFonts w:ascii="Times New Roman" w:hAnsi="Times New Roman" w:eastAsia="Times New Roman" w:cs="Times New Roman"/>
          <w:spacing w:val="1"/>
          <w:sz w:val="24"/>
          <w:szCs w:val="24"/>
        </w:rPr>
        <w:t>24-</w:t>
      </w:r>
      <w:r>
        <w:rPr>
          <w:rFonts w:ascii="Times New Roman" w:hAnsi="Times New Roman" w:eastAsia="Times New Roman" w:cs="Times New Roman"/>
          <w:sz w:val="24"/>
          <w:szCs w:val="24"/>
        </w:rPr>
        <w:t xml:space="preserve">2020),    </w:t>
      </w:r>
      <w:r>
        <w:rPr>
          <w:rFonts w:ascii="宋体" w:hAnsi="宋体" w:eastAsia="宋体" w:cs="宋体"/>
          <w:sz w:val="24"/>
          <w:szCs w:val="24"/>
        </w:rPr>
        <w:t xml:space="preserve">报告表“应设电磁环境  </w:t>
      </w:r>
      <w:r>
        <w:rPr>
          <w:rFonts w:ascii="宋体" w:hAnsi="宋体" w:eastAsia="宋体" w:cs="宋体"/>
          <w:spacing w:val="-3"/>
          <w:sz w:val="24"/>
          <w:szCs w:val="24"/>
        </w:rPr>
        <w:t>影响专题评价，其评价等级、评价内容与格式按照本标准有关电磁环境影响评价</w:t>
      </w:r>
      <w:r>
        <w:rPr>
          <w:rFonts w:ascii="宋体" w:hAnsi="宋体" w:eastAsia="宋体" w:cs="宋体"/>
          <w:spacing w:val="2"/>
          <w:sz w:val="24"/>
          <w:szCs w:val="24"/>
        </w:rPr>
        <w:t xml:space="preserve">  </w:t>
      </w:r>
      <w:r>
        <w:rPr>
          <w:rFonts w:ascii="宋体" w:hAnsi="宋体" w:eastAsia="宋体" w:cs="宋体"/>
          <w:spacing w:val="-7"/>
          <w:sz w:val="24"/>
          <w:szCs w:val="24"/>
        </w:rPr>
        <w:t>要求进行”。</w:t>
      </w:r>
    </w:p>
    <w:p w14:paraId="414A682E">
      <w:pPr>
        <w:spacing w:before="92" w:line="218" w:lineRule="auto"/>
        <w:rPr>
          <w:rFonts w:ascii="宋体" w:hAnsi="宋体" w:eastAsia="宋体" w:cs="宋体"/>
          <w:sz w:val="31"/>
          <w:szCs w:val="31"/>
        </w:rPr>
      </w:pPr>
      <w:r>
        <w:rPr>
          <w:rFonts w:ascii="宋体" w:hAnsi="宋体" w:eastAsia="宋体" w:cs="宋体"/>
          <w:spacing w:val="-31"/>
          <w:sz w:val="31"/>
          <w:szCs w:val="31"/>
        </w:rPr>
        <w:t>1.2</w:t>
      </w:r>
      <w:r>
        <w:rPr>
          <w:rFonts w:ascii="宋体" w:hAnsi="宋体" w:eastAsia="宋体" w:cs="宋体"/>
          <w:spacing w:val="-45"/>
          <w:sz w:val="31"/>
          <w:szCs w:val="31"/>
        </w:rPr>
        <w:t xml:space="preserve"> </w:t>
      </w:r>
      <w:r>
        <w:rPr>
          <w:rFonts w:ascii="宋体" w:hAnsi="宋体" w:eastAsia="宋体" w:cs="宋体"/>
          <w:b/>
          <w:bCs/>
          <w:spacing w:val="-31"/>
          <w:sz w:val="31"/>
          <w:szCs w:val="31"/>
        </w:rPr>
        <w:t>评价目的</w:t>
      </w:r>
    </w:p>
    <w:p w14:paraId="05BC6437">
      <w:pPr>
        <w:spacing w:before="227" w:line="356" w:lineRule="auto"/>
        <w:ind w:firstLine="480"/>
        <w:jc w:val="both"/>
        <w:rPr>
          <w:rFonts w:ascii="宋体" w:hAnsi="宋体" w:eastAsia="宋体" w:cs="宋体"/>
          <w:sz w:val="24"/>
          <w:szCs w:val="24"/>
        </w:rPr>
      </w:pPr>
      <w:r>
        <w:rPr>
          <w:rFonts w:ascii="宋体" w:hAnsi="宋体" w:eastAsia="宋体" w:cs="宋体"/>
          <w:spacing w:val="-7"/>
          <w:sz w:val="24"/>
          <w:szCs w:val="24"/>
        </w:rPr>
        <w:t>根据《中华人民共和国环境保护法》、《中华人民共和国环境影响评价法》、</w:t>
      </w:r>
      <w:r>
        <w:rPr>
          <w:rFonts w:ascii="宋体" w:hAnsi="宋体" w:eastAsia="宋体" w:cs="宋体"/>
          <w:spacing w:val="7"/>
          <w:sz w:val="24"/>
          <w:szCs w:val="24"/>
        </w:rPr>
        <w:t xml:space="preserve"> 《建设项目环境保护管理条例》(国务院令第253号)等有关法律法规</w:t>
      </w:r>
      <w:r>
        <w:rPr>
          <w:rFonts w:ascii="宋体" w:hAnsi="宋体" w:eastAsia="宋体" w:cs="宋体"/>
          <w:spacing w:val="6"/>
          <w:sz w:val="24"/>
          <w:szCs w:val="24"/>
        </w:rPr>
        <w:t>，为切实</w:t>
      </w:r>
      <w:r>
        <w:rPr>
          <w:rFonts w:ascii="宋体" w:hAnsi="宋体" w:eastAsia="宋体" w:cs="宋体"/>
          <w:sz w:val="24"/>
          <w:szCs w:val="24"/>
        </w:rPr>
        <w:t xml:space="preserve">  </w:t>
      </w:r>
      <w:r>
        <w:rPr>
          <w:rFonts w:ascii="宋体" w:hAnsi="宋体" w:eastAsia="宋体" w:cs="宋体"/>
          <w:spacing w:val="-3"/>
          <w:sz w:val="24"/>
          <w:szCs w:val="24"/>
        </w:rPr>
        <w:t>做好项目的环境保护工作，使输变电事业与环境保护协调发展，控制电磁环境污</w:t>
      </w:r>
      <w:r>
        <w:rPr>
          <w:rFonts w:ascii="宋体" w:hAnsi="宋体" w:eastAsia="宋体" w:cs="宋体"/>
          <w:spacing w:val="3"/>
          <w:sz w:val="24"/>
          <w:szCs w:val="24"/>
        </w:rPr>
        <w:t xml:space="preserve">  </w:t>
      </w:r>
      <w:r>
        <w:rPr>
          <w:rFonts w:ascii="宋体" w:hAnsi="宋体" w:eastAsia="宋体" w:cs="宋体"/>
          <w:spacing w:val="-3"/>
          <w:sz w:val="24"/>
          <w:szCs w:val="24"/>
        </w:rPr>
        <w:t>染、避害扬利、保障公众健康，粤润陆良新能源有限公司委托我单位承担本次项</w:t>
      </w:r>
      <w:r>
        <w:rPr>
          <w:rFonts w:ascii="宋体" w:hAnsi="宋体" w:eastAsia="宋体" w:cs="宋体"/>
          <w:spacing w:val="4"/>
          <w:sz w:val="24"/>
          <w:szCs w:val="24"/>
        </w:rPr>
        <w:t xml:space="preserve">  </w:t>
      </w:r>
      <w:r>
        <w:rPr>
          <w:rFonts w:ascii="宋体" w:hAnsi="宋体" w:eastAsia="宋体" w:cs="宋体"/>
          <w:spacing w:val="-4"/>
          <w:sz w:val="24"/>
          <w:szCs w:val="24"/>
        </w:rPr>
        <w:t>目的电磁环境影响评价工作。目的是在说明输电项目电磁环境影响的同时，</w:t>
      </w:r>
      <w:r>
        <w:rPr>
          <w:rFonts w:ascii="宋体" w:hAnsi="宋体" w:eastAsia="宋体" w:cs="宋体"/>
          <w:spacing w:val="-5"/>
          <w:sz w:val="24"/>
          <w:szCs w:val="24"/>
        </w:rPr>
        <w:t>也给</w:t>
      </w:r>
      <w:r>
        <w:rPr>
          <w:rFonts w:ascii="宋体" w:hAnsi="宋体" w:eastAsia="宋体" w:cs="宋体"/>
          <w:sz w:val="24"/>
          <w:szCs w:val="24"/>
        </w:rPr>
        <w:t xml:space="preserve">  </w:t>
      </w:r>
      <w:r>
        <w:rPr>
          <w:rFonts w:ascii="宋体" w:hAnsi="宋体" w:eastAsia="宋体" w:cs="宋体"/>
          <w:spacing w:val="-2"/>
          <w:sz w:val="24"/>
          <w:szCs w:val="24"/>
        </w:rPr>
        <w:t>公众提供一个正确认识输电项目电磁环境影响的技术文献。</w:t>
      </w:r>
    </w:p>
    <w:p w14:paraId="4349FD55">
      <w:pPr>
        <w:spacing w:before="93" w:line="218" w:lineRule="auto"/>
        <w:rPr>
          <w:rFonts w:ascii="宋体" w:hAnsi="宋体" w:eastAsia="宋体" w:cs="宋体"/>
          <w:sz w:val="28"/>
          <w:szCs w:val="28"/>
        </w:rPr>
      </w:pPr>
      <w:r>
        <w:rPr>
          <w:rFonts w:ascii="宋体" w:hAnsi="宋体" w:eastAsia="宋体" w:cs="宋体"/>
          <w:spacing w:val="-9"/>
          <w:sz w:val="28"/>
          <w:szCs w:val="28"/>
        </w:rPr>
        <w:t>1.3</w:t>
      </w:r>
      <w:r>
        <w:rPr>
          <w:rFonts w:ascii="宋体" w:hAnsi="宋体" w:eastAsia="宋体" w:cs="宋体"/>
          <w:spacing w:val="-32"/>
          <w:sz w:val="28"/>
          <w:szCs w:val="28"/>
        </w:rPr>
        <w:t xml:space="preserve"> </w:t>
      </w:r>
      <w:r>
        <w:rPr>
          <w:rFonts w:ascii="宋体" w:hAnsi="宋体" w:eastAsia="宋体" w:cs="宋体"/>
          <w:spacing w:val="-9"/>
          <w:sz w:val="28"/>
          <w:szCs w:val="28"/>
        </w:rPr>
        <w:t>评价依据</w:t>
      </w:r>
    </w:p>
    <w:p w14:paraId="0BD751B8">
      <w:pPr>
        <w:spacing w:before="230" w:line="219" w:lineRule="auto"/>
        <w:rPr>
          <w:rFonts w:ascii="宋体" w:hAnsi="宋体" w:eastAsia="宋体" w:cs="宋体"/>
          <w:sz w:val="24"/>
          <w:szCs w:val="24"/>
        </w:rPr>
      </w:pPr>
      <w:r>
        <w:rPr>
          <w:rFonts w:ascii="Times New Roman" w:hAnsi="Times New Roman" w:eastAsia="Times New Roman" w:cs="Times New Roman"/>
          <w:sz w:val="24"/>
          <w:szCs w:val="24"/>
        </w:rPr>
        <w:t xml:space="preserve">1.3.1  </w:t>
      </w:r>
      <w:r>
        <w:rPr>
          <w:rFonts w:ascii="宋体" w:hAnsi="宋体" w:eastAsia="宋体" w:cs="宋体"/>
          <w:sz w:val="24"/>
          <w:szCs w:val="24"/>
        </w:rPr>
        <w:t>国家法律、法规及相关规范</w:t>
      </w:r>
    </w:p>
    <w:p w14:paraId="125D8D1E">
      <w:pPr>
        <w:spacing w:before="182" w:line="366" w:lineRule="auto"/>
        <w:ind w:right="76" w:firstLine="610"/>
        <w:rPr>
          <w:rFonts w:ascii="宋体" w:hAnsi="宋体" w:eastAsia="宋体" w:cs="宋体"/>
          <w:sz w:val="24"/>
          <w:szCs w:val="24"/>
        </w:rPr>
      </w:pPr>
      <w:r>
        <w:rPr>
          <w:rFonts w:ascii="宋体" w:hAnsi="宋体" w:eastAsia="宋体" w:cs="宋体"/>
          <w:spacing w:val="18"/>
          <w:sz w:val="24"/>
          <w:szCs w:val="24"/>
        </w:rPr>
        <w:t>(1)《中华人民共和国环境保护法》,主席令第22号，2014</w:t>
      </w:r>
      <w:r>
        <w:rPr>
          <w:rFonts w:ascii="宋体" w:hAnsi="宋体" w:eastAsia="宋体" w:cs="宋体"/>
          <w:spacing w:val="17"/>
          <w:sz w:val="24"/>
          <w:szCs w:val="24"/>
        </w:rPr>
        <w:t>年4月24日</w:t>
      </w:r>
      <w:r>
        <w:rPr>
          <w:rFonts w:ascii="宋体" w:hAnsi="宋体" w:eastAsia="宋体" w:cs="宋体"/>
          <w:sz w:val="24"/>
          <w:szCs w:val="24"/>
        </w:rPr>
        <w:t xml:space="preserve"> </w:t>
      </w:r>
      <w:r>
        <w:rPr>
          <w:rFonts w:ascii="宋体" w:hAnsi="宋体" w:eastAsia="宋体" w:cs="宋体"/>
          <w:spacing w:val="14"/>
          <w:sz w:val="24"/>
          <w:szCs w:val="24"/>
        </w:rPr>
        <w:t>修订，2015年1月1日起施行；</w:t>
      </w:r>
    </w:p>
    <w:p w14:paraId="05AB081D">
      <w:pPr>
        <w:spacing w:line="366" w:lineRule="auto"/>
        <w:rPr>
          <w:rFonts w:ascii="宋体" w:hAnsi="宋体" w:eastAsia="宋体" w:cs="宋体"/>
          <w:sz w:val="24"/>
          <w:szCs w:val="24"/>
        </w:rPr>
        <w:sectPr>
          <w:footerReference r:id="rId221" w:type="default"/>
          <w:pgSz w:w="11910" w:h="16830"/>
          <w:pgMar w:top="400" w:right="1729" w:bottom="1181" w:left="1769" w:header="0" w:footer="920" w:gutter="0"/>
          <w:cols w:space="720" w:num="1"/>
        </w:sectPr>
      </w:pPr>
    </w:p>
    <w:p w14:paraId="74B2C4BF">
      <w:pPr>
        <w:pStyle w:val="2"/>
        <w:spacing w:line="263" w:lineRule="auto"/>
      </w:pPr>
    </w:p>
    <w:p w14:paraId="0561E6CC">
      <w:pPr>
        <w:pStyle w:val="2"/>
        <w:spacing w:line="263" w:lineRule="auto"/>
      </w:pPr>
    </w:p>
    <w:p w14:paraId="316673DE">
      <w:pPr>
        <w:pStyle w:val="2"/>
        <w:spacing w:line="263" w:lineRule="auto"/>
      </w:pPr>
    </w:p>
    <w:p w14:paraId="65555DEA">
      <w:pPr>
        <w:pStyle w:val="2"/>
        <w:spacing w:line="263" w:lineRule="auto"/>
      </w:pPr>
    </w:p>
    <w:p w14:paraId="17A8C320">
      <w:pPr>
        <w:spacing w:before="78" w:line="216" w:lineRule="auto"/>
        <w:ind w:left="610"/>
        <w:rPr>
          <w:rFonts w:ascii="宋体" w:hAnsi="宋体" w:eastAsia="宋体" w:cs="宋体"/>
          <w:sz w:val="24"/>
          <w:szCs w:val="24"/>
        </w:rPr>
      </w:pPr>
      <w:r>
        <w:rPr>
          <w:rFonts w:ascii="宋体" w:hAnsi="宋体" w:eastAsia="宋体" w:cs="宋体"/>
          <w:spacing w:val="14"/>
          <w:sz w:val="24"/>
          <w:szCs w:val="24"/>
        </w:rPr>
        <w:t>(2)《中华人民共和国环境影响评价法》,2018年12月29日修正；</w:t>
      </w:r>
    </w:p>
    <w:p w14:paraId="0142F423">
      <w:pPr>
        <w:spacing w:before="179" w:line="216" w:lineRule="auto"/>
        <w:ind w:left="610"/>
        <w:rPr>
          <w:rFonts w:ascii="宋体" w:hAnsi="宋体" w:eastAsia="宋体" w:cs="宋体"/>
          <w:sz w:val="25"/>
          <w:szCs w:val="25"/>
        </w:rPr>
      </w:pPr>
      <w:r>
        <w:rPr>
          <w:rFonts w:ascii="宋体" w:hAnsi="宋体" w:eastAsia="宋体" w:cs="宋体"/>
          <w:spacing w:val="8"/>
          <w:sz w:val="25"/>
          <w:szCs w:val="25"/>
        </w:rPr>
        <w:t>(3)《中华人民共和国电力法》,2018年12月29日修正；</w:t>
      </w:r>
    </w:p>
    <w:p w14:paraId="2DA9499E">
      <w:pPr>
        <w:spacing w:before="187" w:line="291" w:lineRule="auto"/>
        <w:ind w:right="44" w:firstLine="610"/>
        <w:rPr>
          <w:rFonts w:ascii="宋体" w:hAnsi="宋体" w:eastAsia="宋体" w:cs="宋体"/>
          <w:sz w:val="24"/>
          <w:szCs w:val="24"/>
        </w:rPr>
      </w:pPr>
      <w:r>
        <w:rPr>
          <w:rFonts w:ascii="宋体" w:hAnsi="宋体" w:eastAsia="宋体" w:cs="宋体"/>
          <w:spacing w:val="20"/>
          <w:sz w:val="24"/>
          <w:szCs w:val="24"/>
        </w:rPr>
        <w:t>(4)《建设项目环境保护管理条例》,2017年6月21日国务院第177次</w:t>
      </w:r>
      <w:r>
        <w:rPr>
          <w:rFonts w:ascii="宋体" w:hAnsi="宋体" w:eastAsia="宋体" w:cs="宋体"/>
          <w:spacing w:val="18"/>
          <w:sz w:val="24"/>
          <w:szCs w:val="24"/>
        </w:rPr>
        <w:t xml:space="preserve"> </w:t>
      </w:r>
      <w:r>
        <w:rPr>
          <w:rFonts w:ascii="宋体" w:hAnsi="宋体" w:eastAsia="宋体" w:cs="宋体"/>
          <w:spacing w:val="12"/>
          <w:sz w:val="24"/>
          <w:szCs w:val="24"/>
        </w:rPr>
        <w:t>常务会议通过修订，自2017年10月1日起施行；</w:t>
      </w:r>
    </w:p>
    <w:p w14:paraId="5DD736D1">
      <w:pPr>
        <w:spacing w:before="183" w:line="216" w:lineRule="auto"/>
        <w:ind w:left="610"/>
        <w:rPr>
          <w:rFonts w:ascii="宋体" w:hAnsi="宋体" w:eastAsia="宋体" w:cs="宋体"/>
          <w:sz w:val="24"/>
          <w:szCs w:val="24"/>
        </w:rPr>
      </w:pPr>
      <w:r>
        <w:rPr>
          <w:rFonts w:ascii="宋体" w:hAnsi="宋体" w:eastAsia="宋体" w:cs="宋体"/>
          <w:spacing w:val="17"/>
          <w:sz w:val="24"/>
          <w:szCs w:val="24"/>
        </w:rPr>
        <w:t>(5)《电力设施保护条例》,2019年12月16日实施；</w:t>
      </w:r>
    </w:p>
    <w:p w14:paraId="69A6858D">
      <w:pPr>
        <w:spacing w:before="179" w:line="216" w:lineRule="auto"/>
        <w:ind w:left="610"/>
        <w:rPr>
          <w:rFonts w:ascii="宋体" w:hAnsi="宋体" w:eastAsia="宋体" w:cs="宋体"/>
          <w:sz w:val="24"/>
          <w:szCs w:val="24"/>
        </w:rPr>
      </w:pPr>
      <w:r>
        <w:rPr>
          <w:rFonts w:ascii="宋体" w:hAnsi="宋体" w:eastAsia="宋体" w:cs="宋体"/>
          <w:spacing w:val="5"/>
          <w:sz w:val="24"/>
          <w:szCs w:val="24"/>
        </w:rPr>
        <w:t>(6)《云南省供用电条例》,2004.6.1;</w:t>
      </w:r>
    </w:p>
    <w:p w14:paraId="600DA47C">
      <w:pPr>
        <w:spacing w:before="189" w:line="291" w:lineRule="auto"/>
        <w:ind w:right="29" w:firstLine="610"/>
        <w:rPr>
          <w:rFonts w:ascii="宋体" w:hAnsi="宋体" w:eastAsia="宋体" w:cs="宋体"/>
          <w:sz w:val="24"/>
          <w:szCs w:val="24"/>
        </w:rPr>
      </w:pPr>
      <w:r>
        <w:rPr>
          <w:rFonts w:ascii="宋体" w:hAnsi="宋体" w:eastAsia="宋体" w:cs="宋体"/>
          <w:spacing w:val="28"/>
          <w:sz w:val="24"/>
          <w:szCs w:val="24"/>
        </w:rPr>
        <w:t>(7)《建设项目环境保护分类管理名录(20</w:t>
      </w:r>
      <w:r>
        <w:rPr>
          <w:rFonts w:ascii="宋体" w:hAnsi="宋体" w:eastAsia="宋体" w:cs="宋体"/>
          <w:spacing w:val="27"/>
          <w:sz w:val="24"/>
          <w:szCs w:val="24"/>
        </w:rPr>
        <w:t>21年版)》,2021年1月1</w:t>
      </w:r>
      <w:r>
        <w:rPr>
          <w:rFonts w:ascii="宋体" w:hAnsi="宋体" w:eastAsia="宋体" w:cs="宋体"/>
          <w:sz w:val="24"/>
          <w:szCs w:val="24"/>
        </w:rPr>
        <w:t xml:space="preserve"> </w:t>
      </w:r>
      <w:r>
        <w:rPr>
          <w:rFonts w:ascii="宋体" w:hAnsi="宋体" w:eastAsia="宋体" w:cs="宋体"/>
          <w:spacing w:val="3"/>
          <w:sz w:val="24"/>
          <w:szCs w:val="24"/>
        </w:rPr>
        <w:t>日，生态环境部令第16号；</w:t>
      </w:r>
    </w:p>
    <w:p w14:paraId="57DDB222">
      <w:pPr>
        <w:spacing w:before="187" w:line="219" w:lineRule="auto"/>
        <w:ind w:left="610"/>
        <w:rPr>
          <w:rFonts w:ascii="宋体" w:hAnsi="宋体" w:eastAsia="宋体" w:cs="宋体"/>
          <w:sz w:val="24"/>
          <w:szCs w:val="24"/>
        </w:rPr>
      </w:pPr>
      <w:r>
        <w:rPr>
          <w:rFonts w:ascii="宋体" w:hAnsi="宋体" w:eastAsia="宋体" w:cs="宋体"/>
          <w:spacing w:val="17"/>
          <w:sz w:val="24"/>
          <w:szCs w:val="24"/>
        </w:rPr>
        <w:t>(8)《国家危险废物名录》(2021年版)。</w:t>
      </w:r>
    </w:p>
    <w:p w14:paraId="5F51BB1A">
      <w:pPr>
        <w:spacing w:before="175" w:line="219" w:lineRule="auto"/>
        <w:rPr>
          <w:rFonts w:ascii="宋体" w:hAnsi="宋体" w:eastAsia="宋体" w:cs="宋体"/>
          <w:sz w:val="25"/>
          <w:szCs w:val="25"/>
        </w:rPr>
      </w:pPr>
      <w:r>
        <w:rPr>
          <w:rFonts w:ascii="宋体" w:hAnsi="宋体" w:eastAsia="宋体" w:cs="宋体"/>
          <w:spacing w:val="-17"/>
          <w:sz w:val="25"/>
          <w:szCs w:val="25"/>
        </w:rPr>
        <w:t>1.3.2 技术规范与标准</w:t>
      </w:r>
    </w:p>
    <w:p w14:paraId="7A4848B5">
      <w:pPr>
        <w:spacing w:before="147" w:line="212" w:lineRule="auto"/>
        <w:ind w:left="610"/>
        <w:rPr>
          <w:rFonts w:ascii="Times New Roman" w:hAnsi="Times New Roman" w:eastAsia="Times New Roman" w:cs="Times New Roman"/>
          <w:sz w:val="24"/>
          <w:szCs w:val="24"/>
        </w:rPr>
      </w:pPr>
      <w:r>
        <w:rPr>
          <w:rFonts w:ascii="宋体" w:hAnsi="宋体" w:eastAsia="宋体" w:cs="宋体"/>
          <w:spacing w:val="6"/>
          <w:sz w:val="24"/>
          <w:szCs w:val="24"/>
        </w:rPr>
        <w:t>(1)《建设项目环境影响评价技术导则—总纲》,</w:t>
      </w:r>
      <w:r>
        <w:rPr>
          <w:rFonts w:ascii="Times New Roman" w:hAnsi="Times New Roman" w:eastAsia="Times New Roman" w:cs="Times New Roman"/>
          <w:sz w:val="24"/>
          <w:szCs w:val="24"/>
        </w:rPr>
        <w:t>HJ</w:t>
      </w:r>
      <w:r>
        <w:rPr>
          <w:rFonts w:ascii="Times New Roman" w:hAnsi="Times New Roman" w:eastAsia="Times New Roman" w:cs="Times New Roman"/>
          <w:spacing w:val="6"/>
          <w:sz w:val="24"/>
          <w:szCs w:val="24"/>
        </w:rPr>
        <w:t>2.1-2016;</w:t>
      </w:r>
    </w:p>
    <w:p w14:paraId="3C3D5EDB">
      <w:pPr>
        <w:spacing w:before="204" w:line="212" w:lineRule="auto"/>
        <w:ind w:left="610"/>
        <w:rPr>
          <w:rFonts w:ascii="Times New Roman" w:hAnsi="Times New Roman" w:eastAsia="Times New Roman" w:cs="Times New Roman"/>
          <w:sz w:val="24"/>
          <w:szCs w:val="24"/>
        </w:rPr>
      </w:pPr>
      <w:r>
        <w:rPr>
          <w:rFonts w:ascii="宋体" w:hAnsi="宋体" w:eastAsia="宋体" w:cs="宋体"/>
          <w:spacing w:val="3"/>
          <w:sz w:val="24"/>
          <w:szCs w:val="24"/>
        </w:rPr>
        <w:t>(2)《环境影响评价技术导则—输变电》</w:t>
      </w:r>
      <w:r>
        <w:rPr>
          <w:rFonts w:ascii="Times New Roman" w:hAnsi="Times New Roman" w:eastAsia="Times New Roman" w:cs="Times New Roman"/>
          <w:sz w:val="24"/>
          <w:szCs w:val="24"/>
        </w:rPr>
        <w:t>HJ</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2"/>
          <w:sz w:val="24"/>
          <w:szCs w:val="24"/>
        </w:rPr>
        <w:t>4-2020;</w:t>
      </w:r>
    </w:p>
    <w:p w14:paraId="60E69997">
      <w:pPr>
        <w:spacing w:before="183" w:line="212" w:lineRule="auto"/>
        <w:ind w:left="610"/>
        <w:rPr>
          <w:rFonts w:ascii="Times New Roman" w:hAnsi="Times New Roman" w:eastAsia="Times New Roman" w:cs="Times New Roman"/>
          <w:sz w:val="24"/>
          <w:szCs w:val="24"/>
        </w:rPr>
      </w:pPr>
      <w:r>
        <w:rPr>
          <w:rFonts w:ascii="宋体" w:hAnsi="宋体" w:eastAsia="宋体" w:cs="宋体"/>
          <w:spacing w:val="8"/>
          <w:sz w:val="24"/>
          <w:szCs w:val="24"/>
        </w:rPr>
        <w:t>(3)《交流输变电工程电磁环境监测方法(试行) (</w:t>
      </w:r>
      <w:r>
        <w:rPr>
          <w:rFonts w:ascii="宋体" w:hAnsi="宋体" w:eastAsia="宋体" w:cs="宋体"/>
          <w:spacing w:val="-59"/>
          <w:sz w:val="24"/>
          <w:szCs w:val="24"/>
        </w:rPr>
        <w:t xml:space="preserve"> </w:t>
      </w:r>
      <w:r>
        <w:rPr>
          <w:rFonts w:ascii="Times New Roman" w:hAnsi="Times New Roman" w:eastAsia="Times New Roman" w:cs="Times New Roman"/>
          <w:sz w:val="24"/>
          <w:szCs w:val="24"/>
        </w:rPr>
        <w:t>HJ</w:t>
      </w:r>
      <w:r>
        <w:rPr>
          <w:rFonts w:ascii="Times New Roman" w:hAnsi="Times New Roman" w:eastAsia="Times New Roman" w:cs="Times New Roman"/>
          <w:spacing w:val="8"/>
          <w:sz w:val="24"/>
          <w:szCs w:val="24"/>
        </w:rPr>
        <w:t>681</w:t>
      </w:r>
      <w:r>
        <w:rPr>
          <w:rFonts w:ascii="Times New Roman" w:hAnsi="Times New Roman" w:eastAsia="Times New Roman" w:cs="Times New Roman"/>
          <w:spacing w:val="7"/>
          <w:sz w:val="24"/>
          <w:szCs w:val="24"/>
        </w:rPr>
        <w:t>-2013);</w:t>
      </w:r>
    </w:p>
    <w:p w14:paraId="4F76491A">
      <w:pPr>
        <w:spacing w:before="195" w:line="212" w:lineRule="auto"/>
        <w:ind w:left="610"/>
        <w:rPr>
          <w:rFonts w:ascii="Times New Roman" w:hAnsi="Times New Roman" w:eastAsia="Times New Roman" w:cs="Times New Roman"/>
          <w:sz w:val="24"/>
          <w:szCs w:val="24"/>
        </w:rPr>
      </w:pPr>
      <w:r>
        <w:rPr>
          <w:rFonts w:ascii="宋体" w:hAnsi="宋体" w:eastAsia="宋体" w:cs="宋体"/>
          <w:spacing w:val="-2"/>
          <w:sz w:val="24"/>
          <w:szCs w:val="24"/>
        </w:rPr>
        <w:t>(4)《电磁环境控制限值》</w:t>
      </w:r>
      <w:r>
        <w:rPr>
          <w:rFonts w:ascii="宋体" w:hAnsi="宋体" w:eastAsia="宋体" w:cs="宋体"/>
          <w:spacing w:val="62"/>
          <w:sz w:val="24"/>
          <w:szCs w:val="24"/>
        </w:rPr>
        <w:t xml:space="preserve"> </w:t>
      </w:r>
      <w:r>
        <w:rPr>
          <w:rFonts w:ascii="宋体" w:hAnsi="宋体" w:eastAsia="宋体" w:cs="宋体"/>
          <w:spacing w:val="-2"/>
          <w:sz w:val="24"/>
          <w:szCs w:val="24"/>
        </w:rPr>
        <w:t>(</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GB8702-2014);</w:t>
      </w:r>
    </w:p>
    <w:p w14:paraId="4759B6C8">
      <w:pPr>
        <w:spacing w:before="174" w:line="212" w:lineRule="auto"/>
        <w:ind w:left="610"/>
        <w:rPr>
          <w:rFonts w:ascii="宋体" w:hAnsi="宋体" w:eastAsia="宋体" w:cs="宋体"/>
          <w:sz w:val="24"/>
          <w:szCs w:val="24"/>
        </w:rPr>
      </w:pPr>
      <w:r>
        <w:rPr>
          <w:rFonts w:ascii="宋体" w:hAnsi="宋体" w:eastAsia="宋体" w:cs="宋体"/>
          <w:spacing w:val="-1"/>
          <w:sz w:val="24"/>
          <w:szCs w:val="24"/>
        </w:rPr>
        <w:t>(5)《输变电建设项目环境保护技术要求》</w:t>
      </w:r>
      <w:r>
        <w:rPr>
          <w:rFonts w:ascii="宋体" w:hAnsi="宋体" w:eastAsia="宋体" w:cs="宋体"/>
          <w:spacing w:val="100"/>
          <w:sz w:val="24"/>
          <w:szCs w:val="24"/>
        </w:rPr>
        <w:t xml:space="preserve"> </w:t>
      </w:r>
      <w:r>
        <w:rPr>
          <w:rFonts w:ascii="宋体" w:hAnsi="宋体" w:eastAsia="宋体" w:cs="宋体"/>
          <w:spacing w:val="-1"/>
          <w:sz w:val="24"/>
          <w:szCs w:val="24"/>
        </w:rPr>
        <w:t>(</w:t>
      </w:r>
      <w:r>
        <w:rPr>
          <w:rFonts w:ascii="宋体" w:hAnsi="宋体" w:eastAsia="宋体" w:cs="宋体"/>
          <w:spacing w:val="-69"/>
          <w:sz w:val="24"/>
          <w:szCs w:val="24"/>
        </w:rPr>
        <w:t xml:space="preserve"> </w:t>
      </w:r>
      <w:r>
        <w:rPr>
          <w:rFonts w:ascii="Times New Roman" w:hAnsi="Times New Roman" w:eastAsia="Times New Roman" w:cs="Times New Roman"/>
          <w:spacing w:val="-2"/>
          <w:sz w:val="24"/>
          <w:szCs w:val="24"/>
        </w:rPr>
        <w:t>HJ1113-2020)</w:t>
      </w:r>
      <w:r>
        <w:rPr>
          <w:rFonts w:ascii="宋体" w:hAnsi="宋体" w:eastAsia="宋体" w:cs="宋体"/>
          <w:spacing w:val="-2"/>
          <w:sz w:val="24"/>
          <w:szCs w:val="24"/>
        </w:rPr>
        <w:t>。</w:t>
      </w:r>
    </w:p>
    <w:p w14:paraId="1BCF0B4C">
      <w:pPr>
        <w:spacing w:before="242" w:line="219" w:lineRule="auto"/>
        <w:rPr>
          <w:rFonts w:ascii="宋体" w:hAnsi="宋体" w:eastAsia="宋体" w:cs="宋体"/>
          <w:sz w:val="24"/>
          <w:szCs w:val="24"/>
        </w:rPr>
      </w:pPr>
      <w:r>
        <w:rPr>
          <w:rFonts w:ascii="宋体" w:hAnsi="宋体" w:eastAsia="宋体" w:cs="宋体"/>
          <w:sz w:val="24"/>
          <w:szCs w:val="24"/>
        </w:rPr>
        <w:t>1.3.3相关技术资料及批复</w:t>
      </w:r>
    </w:p>
    <w:p w14:paraId="0F39E5FE">
      <w:pPr>
        <w:spacing w:before="163" w:line="218" w:lineRule="auto"/>
        <w:ind w:left="610"/>
        <w:rPr>
          <w:rFonts w:ascii="宋体" w:hAnsi="宋体" w:eastAsia="宋体" w:cs="宋体"/>
          <w:sz w:val="24"/>
          <w:szCs w:val="24"/>
        </w:rPr>
      </w:pPr>
      <w:r>
        <w:rPr>
          <w:rFonts w:ascii="宋体" w:hAnsi="宋体" w:eastAsia="宋体" w:cs="宋体"/>
          <w:spacing w:val="16"/>
          <w:sz w:val="24"/>
          <w:szCs w:val="24"/>
        </w:rPr>
        <w:t>(1)《栗树园村光伏发电项目可行性研究报告》(2024年10月);</w:t>
      </w:r>
    </w:p>
    <w:p w14:paraId="783DC289">
      <w:pPr>
        <w:spacing w:before="199" w:line="220" w:lineRule="auto"/>
        <w:ind w:left="610"/>
        <w:rPr>
          <w:rFonts w:ascii="宋体" w:hAnsi="宋体" w:eastAsia="宋体" w:cs="宋体"/>
          <w:sz w:val="24"/>
          <w:szCs w:val="24"/>
        </w:rPr>
      </w:pPr>
      <w:r>
        <w:rPr>
          <w:rFonts w:ascii="宋体" w:hAnsi="宋体" w:eastAsia="宋体" w:cs="宋体"/>
          <w:spacing w:val="5"/>
          <w:sz w:val="24"/>
          <w:szCs w:val="24"/>
        </w:rPr>
        <w:t>(2)投资项目备案证；</w:t>
      </w:r>
    </w:p>
    <w:p w14:paraId="2BF698E1">
      <w:pPr>
        <w:spacing w:before="182" w:line="282" w:lineRule="auto"/>
        <w:ind w:right="41" w:firstLine="610"/>
        <w:rPr>
          <w:rFonts w:ascii="宋体" w:hAnsi="宋体" w:eastAsia="宋体" w:cs="宋体"/>
          <w:sz w:val="24"/>
          <w:szCs w:val="24"/>
        </w:rPr>
      </w:pPr>
      <w:r>
        <w:rPr>
          <w:rFonts w:ascii="宋体" w:hAnsi="宋体" w:eastAsia="宋体" w:cs="宋体"/>
          <w:spacing w:val="4"/>
          <w:sz w:val="24"/>
          <w:szCs w:val="24"/>
        </w:rPr>
        <w:t>(3)云南升环检测技术有限公司《曲靖市陆良县栗树园村光伏发电项目环</w:t>
      </w:r>
      <w:r>
        <w:rPr>
          <w:rFonts w:ascii="宋体" w:hAnsi="宋体" w:eastAsia="宋体" w:cs="宋体"/>
          <w:spacing w:val="9"/>
          <w:sz w:val="24"/>
          <w:szCs w:val="24"/>
        </w:rPr>
        <w:t xml:space="preserve"> </w:t>
      </w:r>
      <w:r>
        <w:rPr>
          <w:rFonts w:ascii="宋体" w:hAnsi="宋体" w:eastAsia="宋体" w:cs="宋体"/>
          <w:spacing w:val="-1"/>
          <w:sz w:val="24"/>
          <w:szCs w:val="24"/>
        </w:rPr>
        <w:t>境质量现状检测报告》(报告编号：</w:t>
      </w:r>
      <w:r>
        <w:rPr>
          <w:rFonts w:ascii="宋体" w:hAnsi="宋体" w:eastAsia="宋体" w:cs="宋体"/>
          <w:spacing w:val="-40"/>
          <w:sz w:val="24"/>
          <w:szCs w:val="24"/>
        </w:rPr>
        <w:t xml:space="preserve"> </w:t>
      </w:r>
      <w:r>
        <w:rPr>
          <w:rFonts w:ascii="Times New Roman" w:hAnsi="Times New Roman" w:eastAsia="Times New Roman" w:cs="Times New Roman"/>
          <w:spacing w:val="-1"/>
          <w:sz w:val="24"/>
          <w:szCs w:val="24"/>
        </w:rPr>
        <w:t>HC2409W2037</w:t>
      </w:r>
      <w:r>
        <w:rPr>
          <w:rFonts w:ascii="Times New Roman" w:hAnsi="Times New Roman" w:eastAsia="Times New Roman" w:cs="Times New Roman"/>
          <w:spacing w:val="25"/>
          <w:sz w:val="24"/>
          <w:szCs w:val="24"/>
        </w:rPr>
        <w:t xml:space="preserve"> </w:t>
      </w:r>
      <w:r>
        <w:rPr>
          <w:rFonts w:ascii="宋体" w:hAnsi="宋体" w:eastAsia="宋体" w:cs="宋体"/>
          <w:spacing w:val="-1"/>
          <w:sz w:val="24"/>
          <w:szCs w:val="24"/>
        </w:rPr>
        <w:t>号</w:t>
      </w:r>
      <w:r>
        <w:rPr>
          <w:rFonts w:ascii="宋体" w:hAnsi="宋体" w:eastAsia="宋体" w:cs="宋体"/>
          <w:spacing w:val="-37"/>
          <w:sz w:val="24"/>
          <w:szCs w:val="24"/>
        </w:rPr>
        <w:t xml:space="preserve"> </w:t>
      </w:r>
      <w:r>
        <w:rPr>
          <w:rFonts w:ascii="宋体" w:hAnsi="宋体" w:eastAsia="宋体" w:cs="宋体"/>
          <w:spacing w:val="-1"/>
          <w:sz w:val="24"/>
          <w:szCs w:val="24"/>
        </w:rPr>
        <w:t>) ;</w:t>
      </w:r>
    </w:p>
    <w:p w14:paraId="346C9271">
      <w:pPr>
        <w:spacing w:before="188" w:line="293" w:lineRule="auto"/>
        <w:ind w:right="39" w:firstLine="610"/>
        <w:rPr>
          <w:rFonts w:ascii="宋体" w:hAnsi="宋体" w:eastAsia="宋体" w:cs="宋体"/>
          <w:sz w:val="24"/>
          <w:szCs w:val="24"/>
        </w:rPr>
      </w:pPr>
      <w:r>
        <w:rPr>
          <w:rFonts w:ascii="宋体" w:hAnsi="宋体" w:eastAsia="宋体" w:cs="宋体"/>
          <w:spacing w:val="11"/>
          <w:sz w:val="24"/>
          <w:szCs w:val="24"/>
        </w:rPr>
        <w:t>(4)2020年10月16日，湖北博润雅检测科技有限公司对孟轲110</w:t>
      </w:r>
      <w:r>
        <w:rPr>
          <w:rFonts w:ascii="宋体" w:hAnsi="宋体" w:eastAsia="宋体" w:cs="宋体"/>
          <w:sz w:val="24"/>
          <w:szCs w:val="24"/>
        </w:rPr>
        <w:t>kV</w:t>
      </w:r>
      <w:r>
        <w:rPr>
          <w:rFonts w:ascii="宋体" w:hAnsi="宋体" w:eastAsia="宋体" w:cs="宋体"/>
          <w:spacing w:val="-13"/>
          <w:sz w:val="24"/>
          <w:szCs w:val="24"/>
        </w:rPr>
        <w:t xml:space="preserve"> </w:t>
      </w:r>
      <w:r>
        <w:rPr>
          <w:rFonts w:ascii="宋体" w:hAnsi="宋体" w:eastAsia="宋体" w:cs="宋体"/>
          <w:spacing w:val="11"/>
          <w:sz w:val="24"/>
          <w:szCs w:val="24"/>
        </w:rPr>
        <w:t>变电</w:t>
      </w:r>
      <w:r>
        <w:rPr>
          <w:rFonts w:ascii="宋体" w:hAnsi="宋体" w:eastAsia="宋体" w:cs="宋体"/>
          <w:sz w:val="24"/>
          <w:szCs w:val="24"/>
        </w:rPr>
        <w:t xml:space="preserve"> </w:t>
      </w:r>
      <w:r>
        <w:rPr>
          <w:rFonts w:ascii="宋体" w:hAnsi="宋体" w:eastAsia="宋体" w:cs="宋体"/>
          <w:spacing w:val="-4"/>
          <w:sz w:val="24"/>
          <w:szCs w:val="24"/>
        </w:rPr>
        <w:t>站的电磁环境监测报告。</w:t>
      </w:r>
    </w:p>
    <w:p w14:paraId="67357D95">
      <w:pPr>
        <w:spacing w:before="244" w:line="218" w:lineRule="auto"/>
        <w:rPr>
          <w:rFonts w:ascii="宋体" w:hAnsi="宋体" w:eastAsia="宋体" w:cs="宋体"/>
          <w:sz w:val="28"/>
          <w:szCs w:val="28"/>
        </w:rPr>
      </w:pPr>
      <w:r>
        <w:rPr>
          <w:rFonts w:ascii="Times New Roman" w:hAnsi="Times New Roman" w:eastAsia="Times New Roman" w:cs="Times New Roman"/>
          <w:b/>
          <w:bCs/>
          <w:spacing w:val="-1"/>
          <w:sz w:val="28"/>
          <w:szCs w:val="28"/>
        </w:rPr>
        <w:t>1.4</w:t>
      </w:r>
      <w:r>
        <w:rPr>
          <w:rFonts w:ascii="Times New Roman" w:hAnsi="Times New Roman" w:eastAsia="Times New Roman" w:cs="Times New Roman"/>
          <w:b/>
          <w:bCs/>
          <w:spacing w:val="57"/>
          <w:sz w:val="28"/>
          <w:szCs w:val="28"/>
        </w:rPr>
        <w:t xml:space="preserve"> </w:t>
      </w:r>
      <w:r>
        <w:rPr>
          <w:rFonts w:ascii="宋体" w:hAnsi="宋体" w:eastAsia="宋体" w:cs="宋体"/>
          <w:b/>
          <w:bCs/>
          <w:spacing w:val="-1"/>
          <w:sz w:val="28"/>
          <w:szCs w:val="28"/>
        </w:rPr>
        <w:t>评价因子、评价等级、评价范围</w:t>
      </w:r>
    </w:p>
    <w:p w14:paraId="34D084F8">
      <w:pPr>
        <w:spacing w:before="212" w:line="218" w:lineRule="auto"/>
        <w:rPr>
          <w:rFonts w:ascii="宋体" w:hAnsi="宋体" w:eastAsia="宋体" w:cs="宋体"/>
          <w:sz w:val="26"/>
          <w:szCs w:val="26"/>
        </w:rPr>
      </w:pPr>
      <w:r>
        <w:rPr>
          <w:rFonts w:ascii="宋体" w:hAnsi="宋体" w:eastAsia="宋体" w:cs="宋体"/>
          <w:spacing w:val="-19"/>
          <w:sz w:val="26"/>
          <w:szCs w:val="26"/>
        </w:rPr>
        <w:t>1.4.1</w:t>
      </w:r>
      <w:r>
        <w:rPr>
          <w:rFonts w:ascii="宋体" w:hAnsi="宋体" w:eastAsia="宋体" w:cs="宋体"/>
          <w:spacing w:val="-47"/>
          <w:sz w:val="26"/>
          <w:szCs w:val="26"/>
        </w:rPr>
        <w:t xml:space="preserve"> </w:t>
      </w:r>
      <w:r>
        <w:rPr>
          <w:rFonts w:ascii="宋体" w:hAnsi="宋体" w:eastAsia="宋体" w:cs="宋体"/>
          <w:spacing w:val="-19"/>
          <w:sz w:val="26"/>
          <w:szCs w:val="26"/>
        </w:rPr>
        <w:t>评价因子</w:t>
      </w:r>
    </w:p>
    <w:p w14:paraId="4A2EB813">
      <w:pPr>
        <w:spacing w:before="183" w:line="358" w:lineRule="auto"/>
        <w:ind w:right="43" w:firstLine="500"/>
        <w:jc w:val="both"/>
        <w:rPr>
          <w:rFonts w:ascii="宋体" w:hAnsi="宋体" w:eastAsia="宋体" w:cs="宋体"/>
          <w:sz w:val="24"/>
          <w:szCs w:val="24"/>
        </w:rPr>
      </w:pPr>
      <w:r>
        <w:rPr>
          <w:rFonts w:ascii="宋体" w:hAnsi="宋体" w:eastAsia="宋体" w:cs="宋体"/>
          <w:spacing w:val="3"/>
          <w:sz w:val="24"/>
          <w:szCs w:val="24"/>
        </w:rPr>
        <w:t>栗树园村光伏发电项目110</w:t>
      </w:r>
      <w:r>
        <w:rPr>
          <w:rFonts w:ascii="Times New Roman" w:hAnsi="Times New Roman" w:eastAsia="Times New Roman" w:cs="Times New Roman"/>
          <w:sz w:val="24"/>
          <w:szCs w:val="24"/>
        </w:rPr>
        <w:t>KV</w:t>
      </w:r>
      <w:r>
        <w:rPr>
          <w:rFonts w:ascii="Times New Roman" w:hAnsi="Times New Roman" w:eastAsia="Times New Roman" w:cs="Times New Roman"/>
          <w:spacing w:val="-14"/>
          <w:sz w:val="24"/>
          <w:szCs w:val="24"/>
        </w:rPr>
        <w:t xml:space="preserve"> </w:t>
      </w:r>
      <w:r>
        <w:rPr>
          <w:rFonts w:ascii="宋体" w:hAnsi="宋体" w:eastAsia="宋体" w:cs="宋体"/>
          <w:spacing w:val="3"/>
          <w:sz w:val="24"/>
          <w:szCs w:val="24"/>
        </w:rPr>
        <w:t>升压站运行过程中会对周围电磁环境产生影</w:t>
      </w:r>
      <w:r>
        <w:rPr>
          <w:rFonts w:ascii="宋体" w:hAnsi="宋体" w:eastAsia="宋体" w:cs="宋体"/>
          <w:sz w:val="24"/>
          <w:szCs w:val="24"/>
        </w:rPr>
        <w:t xml:space="preserve"> </w:t>
      </w:r>
      <w:r>
        <w:rPr>
          <w:rFonts w:ascii="宋体" w:hAnsi="宋体" w:eastAsia="宋体" w:cs="宋体"/>
          <w:spacing w:val="-3"/>
          <w:sz w:val="24"/>
          <w:szCs w:val="24"/>
        </w:rPr>
        <w:t>响，其主要污染因子为工频电场和工频磁场，因此，选择工频电场和工频磁感应</w:t>
      </w:r>
      <w:r>
        <w:rPr>
          <w:rFonts w:ascii="宋体" w:hAnsi="宋体" w:eastAsia="宋体" w:cs="宋体"/>
          <w:spacing w:val="14"/>
          <w:sz w:val="24"/>
          <w:szCs w:val="24"/>
        </w:rPr>
        <w:t xml:space="preserve"> </w:t>
      </w:r>
      <w:r>
        <w:rPr>
          <w:rFonts w:ascii="宋体" w:hAnsi="宋体" w:eastAsia="宋体" w:cs="宋体"/>
          <w:sz w:val="24"/>
          <w:szCs w:val="24"/>
        </w:rPr>
        <w:t>强度作为本项目评价因子，具体见表1-1。</w:t>
      </w:r>
    </w:p>
    <w:p w14:paraId="67CE5D3E">
      <w:pPr>
        <w:spacing w:before="2" w:line="217" w:lineRule="auto"/>
        <w:rPr>
          <w:rFonts w:ascii="宋体" w:hAnsi="宋体" w:eastAsia="宋体" w:cs="宋体"/>
          <w:sz w:val="25"/>
          <w:szCs w:val="25"/>
        </w:rPr>
      </w:pPr>
      <w:r>
        <w:rPr>
          <w:rFonts w:ascii="宋体" w:hAnsi="宋体" w:eastAsia="宋体" w:cs="宋体"/>
          <w:spacing w:val="-18"/>
          <w:sz w:val="25"/>
          <w:szCs w:val="25"/>
        </w:rPr>
        <w:t>1.4.2</w:t>
      </w:r>
      <w:r>
        <w:rPr>
          <w:rFonts w:ascii="宋体" w:hAnsi="宋体" w:eastAsia="宋体" w:cs="宋体"/>
          <w:spacing w:val="-33"/>
          <w:sz w:val="25"/>
          <w:szCs w:val="25"/>
        </w:rPr>
        <w:t xml:space="preserve"> </w:t>
      </w:r>
      <w:r>
        <w:rPr>
          <w:rFonts w:ascii="宋体" w:hAnsi="宋体" w:eastAsia="宋体" w:cs="宋体"/>
          <w:b/>
          <w:bCs/>
          <w:spacing w:val="-18"/>
          <w:sz w:val="25"/>
          <w:szCs w:val="25"/>
        </w:rPr>
        <w:t>评价等级</w:t>
      </w:r>
    </w:p>
    <w:p w14:paraId="7C97A996">
      <w:pPr>
        <w:spacing w:before="154" w:line="212" w:lineRule="auto"/>
        <w:ind w:left="480"/>
        <w:rPr>
          <w:rFonts w:ascii="宋体" w:hAnsi="宋体" w:eastAsia="宋体" w:cs="宋体"/>
          <w:sz w:val="24"/>
          <w:szCs w:val="24"/>
        </w:rPr>
      </w:pPr>
      <w:r>
        <w:rPr>
          <w:rFonts w:ascii="宋体" w:hAnsi="宋体" w:eastAsia="宋体" w:cs="宋体"/>
          <w:spacing w:val="7"/>
          <w:sz w:val="24"/>
          <w:szCs w:val="24"/>
        </w:rPr>
        <w:t>项目拟建110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rFonts w:ascii="宋体" w:hAnsi="宋体" w:eastAsia="宋体" w:cs="宋体"/>
          <w:spacing w:val="7"/>
          <w:sz w:val="24"/>
          <w:szCs w:val="24"/>
        </w:rPr>
        <w:t>升压站为户外升压站，电压等级为110</w:t>
      </w:r>
      <w:r>
        <w:rPr>
          <w:rFonts w:ascii="Times New Roman" w:hAnsi="Times New Roman" w:eastAsia="Times New Roman" w:cs="Times New Roman"/>
          <w:sz w:val="24"/>
          <w:szCs w:val="24"/>
        </w:rPr>
        <w:t>kV</w:t>
      </w:r>
      <w:r>
        <w:rPr>
          <w:rFonts w:ascii="Times New Roman" w:hAnsi="Times New Roman" w:eastAsia="Times New Roman" w:cs="Times New Roman"/>
          <w:spacing w:val="7"/>
          <w:sz w:val="24"/>
          <w:szCs w:val="24"/>
        </w:rPr>
        <w:t>,</w:t>
      </w:r>
      <w:r>
        <w:rPr>
          <w:rFonts w:ascii="Times New Roman" w:hAnsi="Times New Roman" w:eastAsia="Times New Roman" w:cs="Times New Roman"/>
          <w:spacing w:val="29"/>
          <w:w w:val="101"/>
          <w:sz w:val="24"/>
          <w:szCs w:val="24"/>
        </w:rPr>
        <w:t xml:space="preserve">  </w:t>
      </w:r>
      <w:r>
        <w:rPr>
          <w:rFonts w:ascii="宋体" w:hAnsi="宋体" w:eastAsia="宋体" w:cs="宋体"/>
          <w:spacing w:val="7"/>
          <w:sz w:val="24"/>
          <w:szCs w:val="24"/>
        </w:rPr>
        <w:t>根据《环境影</w:t>
      </w:r>
    </w:p>
    <w:p w14:paraId="558CA644">
      <w:pPr>
        <w:spacing w:line="212" w:lineRule="auto"/>
        <w:rPr>
          <w:rFonts w:ascii="宋体" w:hAnsi="宋体" w:eastAsia="宋体" w:cs="宋体"/>
          <w:sz w:val="24"/>
          <w:szCs w:val="24"/>
        </w:rPr>
        <w:sectPr>
          <w:footerReference r:id="rId222" w:type="default"/>
          <w:pgSz w:w="11910" w:h="16830"/>
          <w:pgMar w:top="400" w:right="1786" w:bottom="1173" w:left="1769" w:header="0" w:footer="926" w:gutter="0"/>
          <w:cols w:space="720" w:num="1"/>
        </w:sectPr>
      </w:pPr>
    </w:p>
    <w:p w14:paraId="67105650">
      <w:pPr>
        <w:pStyle w:val="2"/>
        <w:spacing w:line="257" w:lineRule="auto"/>
      </w:pPr>
    </w:p>
    <w:p w14:paraId="07163692">
      <w:pPr>
        <w:pStyle w:val="2"/>
        <w:spacing w:line="257" w:lineRule="auto"/>
      </w:pPr>
    </w:p>
    <w:p w14:paraId="4B03AB36">
      <w:pPr>
        <w:pStyle w:val="2"/>
        <w:spacing w:line="257" w:lineRule="auto"/>
      </w:pPr>
    </w:p>
    <w:p w14:paraId="5461D566">
      <w:pPr>
        <w:pStyle w:val="2"/>
        <w:spacing w:line="258" w:lineRule="auto"/>
      </w:pPr>
    </w:p>
    <w:p w14:paraId="47BBB02A">
      <w:pPr>
        <w:spacing w:before="78" w:line="367" w:lineRule="auto"/>
        <w:ind w:left="344" w:right="385"/>
        <w:rPr>
          <w:rFonts w:ascii="宋体" w:hAnsi="宋体" w:eastAsia="宋体" w:cs="宋体"/>
          <w:sz w:val="24"/>
          <w:szCs w:val="24"/>
        </w:rPr>
      </w:pPr>
      <w:r>
        <w:rPr>
          <w:rFonts w:ascii="宋体" w:hAnsi="宋体" w:eastAsia="宋体" w:cs="宋体"/>
          <w:spacing w:val="6"/>
          <w:sz w:val="24"/>
          <w:szCs w:val="24"/>
        </w:rPr>
        <w:t>响评价技术导则—输变电》</w:t>
      </w:r>
      <w:r>
        <w:rPr>
          <w:rFonts w:ascii="宋体" w:hAnsi="宋体" w:eastAsia="宋体" w:cs="宋体"/>
          <w:spacing w:val="-22"/>
          <w:sz w:val="24"/>
          <w:szCs w:val="24"/>
        </w:rPr>
        <w:t xml:space="preserve"> </w:t>
      </w:r>
      <w:r>
        <w:rPr>
          <w:rFonts w:ascii="宋体" w:hAnsi="宋体" w:eastAsia="宋体" w:cs="宋体"/>
          <w:spacing w:val="6"/>
          <w:sz w:val="24"/>
          <w:szCs w:val="24"/>
        </w:rPr>
        <w:t>(</w:t>
      </w:r>
      <w:r>
        <w:rPr>
          <w:rFonts w:ascii="宋体" w:hAnsi="宋体" w:eastAsia="宋体" w:cs="宋体"/>
          <w:spacing w:val="-58"/>
          <w:sz w:val="24"/>
          <w:szCs w:val="24"/>
        </w:rPr>
        <w:t xml:space="preserve"> </w:t>
      </w:r>
      <w:r>
        <w:rPr>
          <w:rFonts w:ascii="Times New Roman" w:hAnsi="Times New Roman" w:eastAsia="Times New Roman" w:cs="Times New Roman"/>
          <w:sz w:val="24"/>
          <w:szCs w:val="24"/>
        </w:rPr>
        <w:t>HJ</w:t>
      </w:r>
      <w:r>
        <w:rPr>
          <w:rFonts w:ascii="Times New Roman" w:hAnsi="Times New Roman" w:eastAsia="Times New Roman" w:cs="Times New Roman"/>
          <w:spacing w:val="6"/>
          <w:sz w:val="24"/>
          <w:szCs w:val="24"/>
        </w:rPr>
        <w:t xml:space="preserve">24-2020)   </w:t>
      </w:r>
      <w:r>
        <w:rPr>
          <w:rFonts w:ascii="宋体" w:hAnsi="宋体" w:eastAsia="宋体" w:cs="宋体"/>
          <w:spacing w:val="6"/>
          <w:sz w:val="24"/>
          <w:szCs w:val="24"/>
        </w:rPr>
        <w:t>中表2,确定本项目110</w:t>
      </w:r>
      <w:r>
        <w:rPr>
          <w:rFonts w:ascii="Times New Roman" w:hAnsi="Times New Roman" w:eastAsia="Times New Roman" w:cs="Times New Roman"/>
          <w:sz w:val="24"/>
          <w:szCs w:val="24"/>
        </w:rPr>
        <w:t>kV</w:t>
      </w:r>
      <w:r>
        <w:rPr>
          <w:rFonts w:ascii="Times New Roman" w:hAnsi="Times New Roman" w:eastAsia="Times New Roman" w:cs="Times New Roman"/>
          <w:spacing w:val="-22"/>
          <w:sz w:val="24"/>
          <w:szCs w:val="24"/>
        </w:rPr>
        <w:t xml:space="preserve"> </w:t>
      </w:r>
      <w:r>
        <w:rPr>
          <w:rFonts w:ascii="宋体" w:hAnsi="宋体" w:eastAsia="宋体" w:cs="宋体"/>
          <w:spacing w:val="6"/>
          <w:sz w:val="24"/>
          <w:szCs w:val="24"/>
        </w:rPr>
        <w:t>升压站评</w:t>
      </w:r>
      <w:r>
        <w:rPr>
          <w:rFonts w:ascii="宋体" w:hAnsi="宋体" w:eastAsia="宋体" w:cs="宋体"/>
          <w:sz w:val="24"/>
          <w:szCs w:val="24"/>
        </w:rPr>
        <w:t xml:space="preserve"> 价等级为二级，具体见表1-1。</w:t>
      </w:r>
    </w:p>
    <w:p w14:paraId="413AD01F">
      <w:pPr>
        <w:spacing w:before="1" w:line="217" w:lineRule="auto"/>
        <w:ind w:left="344"/>
        <w:rPr>
          <w:rFonts w:ascii="宋体" w:hAnsi="宋体" w:eastAsia="宋体" w:cs="宋体"/>
          <w:sz w:val="25"/>
          <w:szCs w:val="25"/>
        </w:rPr>
      </w:pPr>
      <w:r>
        <w:rPr>
          <w:rFonts w:ascii="宋体" w:hAnsi="宋体" w:eastAsia="宋体" w:cs="宋体"/>
          <w:spacing w:val="-17"/>
          <w:sz w:val="25"/>
          <w:szCs w:val="25"/>
        </w:rPr>
        <w:t>1.4.3</w:t>
      </w:r>
      <w:r>
        <w:rPr>
          <w:rFonts w:ascii="宋体" w:hAnsi="宋体" w:eastAsia="宋体" w:cs="宋体"/>
          <w:spacing w:val="-35"/>
          <w:sz w:val="25"/>
          <w:szCs w:val="25"/>
        </w:rPr>
        <w:t xml:space="preserve"> </w:t>
      </w:r>
      <w:r>
        <w:rPr>
          <w:rFonts w:ascii="宋体" w:hAnsi="宋体" w:eastAsia="宋体" w:cs="宋体"/>
          <w:spacing w:val="-17"/>
          <w:sz w:val="25"/>
          <w:szCs w:val="25"/>
        </w:rPr>
        <w:t>评价范围</w:t>
      </w:r>
    </w:p>
    <w:p w14:paraId="4E2E7B04">
      <w:pPr>
        <w:spacing w:before="159" w:line="359" w:lineRule="auto"/>
        <w:ind w:left="344" w:right="409" w:firstLine="490"/>
        <w:rPr>
          <w:rFonts w:ascii="宋体" w:hAnsi="宋体" w:eastAsia="宋体" w:cs="宋体"/>
          <w:sz w:val="24"/>
          <w:szCs w:val="24"/>
        </w:rPr>
      </w:pPr>
      <w:r>
        <w:rPr>
          <w:rFonts w:ascii="宋体" w:hAnsi="宋体" w:eastAsia="宋体" w:cs="宋体"/>
          <w:spacing w:val="3"/>
          <w:sz w:val="24"/>
          <w:szCs w:val="24"/>
        </w:rPr>
        <w:t>根据《环境影响评价技术导则—输变电》</w:t>
      </w:r>
      <w:r>
        <w:rPr>
          <w:rFonts w:ascii="宋体" w:hAnsi="宋体" w:eastAsia="宋体" w:cs="宋体"/>
          <w:spacing w:val="-51"/>
          <w:sz w:val="24"/>
          <w:szCs w:val="24"/>
        </w:rPr>
        <w:t xml:space="preserve"> </w:t>
      </w:r>
      <w:r>
        <w:rPr>
          <w:rFonts w:ascii="宋体" w:hAnsi="宋体" w:eastAsia="宋体" w:cs="宋体"/>
          <w:spacing w:val="3"/>
          <w:sz w:val="24"/>
          <w:szCs w:val="24"/>
        </w:rPr>
        <w:t>(</w:t>
      </w:r>
      <w:r>
        <w:rPr>
          <w:rFonts w:ascii="宋体" w:hAnsi="宋体" w:eastAsia="宋体" w:cs="宋体"/>
          <w:spacing w:val="-58"/>
          <w:sz w:val="24"/>
          <w:szCs w:val="24"/>
        </w:rPr>
        <w:t xml:space="preserve"> </w:t>
      </w:r>
      <w:r>
        <w:rPr>
          <w:rFonts w:ascii="Times New Roman" w:hAnsi="Times New Roman" w:eastAsia="Times New Roman" w:cs="Times New Roman"/>
          <w:sz w:val="24"/>
          <w:szCs w:val="24"/>
        </w:rPr>
        <w:t>HJ</w:t>
      </w:r>
      <w:r>
        <w:rPr>
          <w:rFonts w:ascii="Times New Roman" w:hAnsi="Times New Roman" w:eastAsia="Times New Roman" w:cs="Times New Roman"/>
          <w:spacing w:val="3"/>
          <w:sz w:val="24"/>
          <w:szCs w:val="24"/>
        </w:rPr>
        <w:t>24-2020)</w:t>
      </w:r>
      <w:r>
        <w:rPr>
          <w:rFonts w:ascii="Times New Roman" w:hAnsi="Times New Roman" w:eastAsia="Times New Roman" w:cs="Times New Roman"/>
          <w:spacing w:val="24"/>
          <w:sz w:val="24"/>
          <w:szCs w:val="24"/>
        </w:rPr>
        <w:t xml:space="preserve">  </w:t>
      </w:r>
      <w:r>
        <w:rPr>
          <w:rFonts w:ascii="宋体" w:hAnsi="宋体" w:eastAsia="宋体" w:cs="宋体"/>
          <w:spacing w:val="3"/>
          <w:sz w:val="24"/>
          <w:szCs w:val="24"/>
        </w:rPr>
        <w:t>中表</w:t>
      </w:r>
      <w:r>
        <w:rPr>
          <w:rFonts w:ascii="宋体" w:hAnsi="宋体" w:eastAsia="宋体" w:cs="宋体"/>
          <w:spacing w:val="2"/>
          <w:sz w:val="24"/>
          <w:szCs w:val="24"/>
        </w:rPr>
        <w:t>3确定：项目</w:t>
      </w:r>
      <w:r>
        <w:rPr>
          <w:rFonts w:ascii="宋体" w:hAnsi="宋体" w:eastAsia="宋体" w:cs="宋体"/>
          <w:sz w:val="24"/>
          <w:szCs w:val="24"/>
        </w:rPr>
        <w:t xml:space="preserve"> </w:t>
      </w:r>
      <w:r>
        <w:rPr>
          <w:rFonts w:ascii="宋体" w:hAnsi="宋体" w:eastAsia="宋体" w:cs="宋体"/>
          <w:spacing w:val="3"/>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1"/>
          <w:sz w:val="24"/>
          <w:szCs w:val="24"/>
        </w:rPr>
        <w:t xml:space="preserve"> </w:t>
      </w:r>
      <w:r>
        <w:rPr>
          <w:rFonts w:ascii="宋体" w:hAnsi="宋体" w:eastAsia="宋体" w:cs="宋体"/>
          <w:spacing w:val="3"/>
          <w:sz w:val="24"/>
          <w:szCs w:val="24"/>
        </w:rPr>
        <w:t>升压站的评价范围为站界外30</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22"/>
          <w:w w:val="101"/>
          <w:sz w:val="24"/>
          <w:szCs w:val="24"/>
        </w:rPr>
        <w:t xml:space="preserve">  </w:t>
      </w:r>
      <w:r>
        <w:rPr>
          <w:rFonts w:ascii="宋体" w:hAnsi="宋体" w:eastAsia="宋体" w:cs="宋体"/>
          <w:spacing w:val="3"/>
          <w:sz w:val="24"/>
          <w:szCs w:val="24"/>
        </w:rPr>
        <w:t>具体见表1</w:t>
      </w:r>
      <w:r>
        <w:rPr>
          <w:rFonts w:ascii="宋体" w:hAnsi="宋体" w:eastAsia="宋体" w:cs="宋体"/>
          <w:spacing w:val="2"/>
          <w:sz w:val="24"/>
          <w:szCs w:val="24"/>
        </w:rPr>
        <w:t>-1。</w:t>
      </w:r>
    </w:p>
    <w:p w14:paraId="1DE57A96">
      <w:pPr>
        <w:spacing w:before="15" w:line="220" w:lineRule="auto"/>
        <w:ind w:left="2274"/>
        <w:rPr>
          <w:rFonts w:ascii="宋体" w:hAnsi="宋体" w:eastAsia="宋体" w:cs="宋体"/>
          <w:sz w:val="24"/>
          <w:szCs w:val="24"/>
        </w:rPr>
      </w:pPr>
      <w:r>
        <w:rPr>
          <w:rFonts w:ascii="宋体" w:hAnsi="宋体" w:eastAsia="宋体" w:cs="宋体"/>
          <w:spacing w:val="1"/>
          <w:position w:val="1"/>
          <w:sz w:val="24"/>
          <w:szCs w:val="24"/>
        </w:rPr>
        <w:t>表1-1</w:t>
      </w:r>
      <w:r>
        <w:rPr>
          <w:rFonts w:ascii="宋体" w:hAnsi="宋体" w:eastAsia="宋体" w:cs="宋体"/>
          <w:spacing w:val="38"/>
          <w:position w:val="1"/>
          <w:sz w:val="24"/>
          <w:szCs w:val="24"/>
        </w:rPr>
        <w:t xml:space="preserve">   </w:t>
      </w:r>
      <w:r>
        <w:rPr>
          <w:rFonts w:ascii="宋体" w:hAnsi="宋体" w:eastAsia="宋体" w:cs="宋体"/>
          <w:b/>
          <w:bCs/>
          <w:spacing w:val="1"/>
          <w:sz w:val="24"/>
          <w:szCs w:val="24"/>
        </w:rPr>
        <w:t>评价因子、评价等级及评价范围</w:t>
      </w:r>
    </w:p>
    <w:p w14:paraId="3106615C">
      <w:pPr>
        <w:spacing w:line="67" w:lineRule="exact"/>
      </w:pPr>
    </w:p>
    <w:tbl>
      <w:tblPr>
        <w:tblStyle w:val="5"/>
        <w:tblW w:w="8700" w:type="dxa"/>
        <w:tblInd w:w="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1129"/>
        <w:gridCol w:w="1118"/>
        <w:gridCol w:w="859"/>
        <w:gridCol w:w="849"/>
        <w:gridCol w:w="1139"/>
        <w:gridCol w:w="1818"/>
        <w:gridCol w:w="1064"/>
      </w:tblGrid>
      <w:tr w14:paraId="541E1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24" w:type="dxa"/>
            <w:vAlign w:val="top"/>
          </w:tcPr>
          <w:p w14:paraId="5918CA94">
            <w:pPr>
              <w:pStyle w:val="6"/>
              <w:spacing w:before="54" w:line="208" w:lineRule="auto"/>
              <w:ind w:left="135"/>
            </w:pPr>
            <w:r>
              <w:rPr>
                <w:spacing w:val="4"/>
              </w:rPr>
              <w:t>分类</w:t>
            </w:r>
          </w:p>
        </w:tc>
        <w:tc>
          <w:tcPr>
            <w:tcW w:w="1129" w:type="dxa"/>
            <w:vAlign w:val="top"/>
          </w:tcPr>
          <w:p w14:paraId="135F0636">
            <w:pPr>
              <w:pStyle w:val="6"/>
              <w:spacing w:before="54" w:line="208" w:lineRule="auto"/>
              <w:ind w:left="111"/>
            </w:pPr>
            <w:r>
              <w:rPr>
                <w:spacing w:val="3"/>
              </w:rPr>
              <w:t>电压等级</w:t>
            </w:r>
          </w:p>
        </w:tc>
        <w:tc>
          <w:tcPr>
            <w:tcW w:w="1118" w:type="dxa"/>
            <w:vAlign w:val="top"/>
          </w:tcPr>
          <w:p w14:paraId="3E67847D">
            <w:pPr>
              <w:pStyle w:val="6"/>
              <w:spacing w:before="54" w:line="208" w:lineRule="auto"/>
              <w:ind w:left="112"/>
            </w:pPr>
            <w:r>
              <w:rPr>
                <w:spacing w:val="-2"/>
              </w:rPr>
              <w:t>环境要素</w:t>
            </w:r>
          </w:p>
        </w:tc>
        <w:tc>
          <w:tcPr>
            <w:tcW w:w="1708" w:type="dxa"/>
            <w:gridSpan w:val="2"/>
            <w:vAlign w:val="top"/>
          </w:tcPr>
          <w:p w14:paraId="15BEFB61">
            <w:pPr>
              <w:pStyle w:val="6"/>
              <w:spacing w:before="52" w:line="209" w:lineRule="auto"/>
              <w:ind w:left="414"/>
            </w:pPr>
            <w:r>
              <w:rPr>
                <w:spacing w:val="3"/>
              </w:rPr>
              <w:t>判定依据</w:t>
            </w:r>
          </w:p>
        </w:tc>
        <w:tc>
          <w:tcPr>
            <w:tcW w:w="1139" w:type="dxa"/>
            <w:vAlign w:val="top"/>
          </w:tcPr>
          <w:p w14:paraId="091718FC">
            <w:pPr>
              <w:pStyle w:val="6"/>
              <w:spacing w:before="51" w:line="210" w:lineRule="auto"/>
              <w:ind w:left="126"/>
            </w:pPr>
            <w:r>
              <w:rPr>
                <w:spacing w:val="3"/>
              </w:rPr>
              <w:t>评价等级</w:t>
            </w:r>
          </w:p>
        </w:tc>
        <w:tc>
          <w:tcPr>
            <w:tcW w:w="1818" w:type="dxa"/>
            <w:vAlign w:val="top"/>
          </w:tcPr>
          <w:p w14:paraId="514E23ED">
            <w:pPr>
              <w:pStyle w:val="6"/>
              <w:spacing w:before="51" w:line="210" w:lineRule="auto"/>
              <w:ind w:left="467"/>
            </w:pPr>
            <w:r>
              <w:rPr>
                <w:spacing w:val="-2"/>
              </w:rPr>
              <w:t>评价因子</w:t>
            </w:r>
          </w:p>
        </w:tc>
        <w:tc>
          <w:tcPr>
            <w:tcW w:w="1064" w:type="dxa"/>
            <w:vAlign w:val="top"/>
          </w:tcPr>
          <w:p w14:paraId="1E47E7F5">
            <w:pPr>
              <w:pStyle w:val="6"/>
              <w:spacing w:before="51" w:line="210" w:lineRule="auto"/>
              <w:ind w:left="89"/>
            </w:pPr>
            <w:r>
              <w:rPr>
                <w:spacing w:val="5"/>
              </w:rPr>
              <w:t>评价范围</w:t>
            </w:r>
          </w:p>
        </w:tc>
      </w:tr>
      <w:tr w14:paraId="0133F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724" w:type="dxa"/>
            <w:vAlign w:val="top"/>
          </w:tcPr>
          <w:p w14:paraId="715B53CD">
            <w:pPr>
              <w:spacing w:line="290" w:lineRule="auto"/>
              <w:rPr>
                <w:rFonts w:ascii="Arial"/>
                <w:sz w:val="21"/>
              </w:rPr>
            </w:pPr>
          </w:p>
          <w:p w14:paraId="1969F2F4">
            <w:pPr>
              <w:pStyle w:val="6"/>
              <w:spacing w:before="71" w:line="221" w:lineRule="auto"/>
              <w:ind w:left="135"/>
            </w:pPr>
            <w:r>
              <w:rPr>
                <w:spacing w:val="4"/>
              </w:rPr>
              <w:t>交流</w:t>
            </w:r>
          </w:p>
        </w:tc>
        <w:tc>
          <w:tcPr>
            <w:tcW w:w="1129" w:type="dxa"/>
            <w:vAlign w:val="top"/>
          </w:tcPr>
          <w:p w14:paraId="78F79025">
            <w:pPr>
              <w:spacing w:line="344" w:lineRule="auto"/>
              <w:rPr>
                <w:rFonts w:ascii="Arial"/>
                <w:sz w:val="21"/>
              </w:rPr>
            </w:pPr>
          </w:p>
          <w:p w14:paraId="35C33DE8">
            <w:pPr>
              <w:pStyle w:val="6"/>
              <w:spacing w:before="71" w:line="184" w:lineRule="auto"/>
              <w:ind w:left="281"/>
            </w:pPr>
            <w:r>
              <w:rPr>
                <w:spacing w:val="-4"/>
              </w:rPr>
              <w:t>110KV</w:t>
            </w:r>
          </w:p>
        </w:tc>
        <w:tc>
          <w:tcPr>
            <w:tcW w:w="1118" w:type="dxa"/>
            <w:vAlign w:val="top"/>
          </w:tcPr>
          <w:p w14:paraId="0D9A694B">
            <w:pPr>
              <w:spacing w:line="295" w:lineRule="auto"/>
              <w:rPr>
                <w:rFonts w:ascii="Arial"/>
                <w:sz w:val="21"/>
              </w:rPr>
            </w:pPr>
          </w:p>
          <w:p w14:paraId="15780221">
            <w:pPr>
              <w:pStyle w:val="6"/>
              <w:spacing w:before="72" w:line="225" w:lineRule="auto"/>
              <w:ind w:left="332"/>
            </w:pPr>
            <w:r>
              <w:rPr>
                <w:spacing w:val="4"/>
              </w:rPr>
              <w:t>电磁</w:t>
            </w:r>
          </w:p>
        </w:tc>
        <w:tc>
          <w:tcPr>
            <w:tcW w:w="859" w:type="dxa"/>
            <w:vAlign w:val="top"/>
          </w:tcPr>
          <w:p w14:paraId="43F4F3BD">
            <w:pPr>
              <w:spacing w:line="290" w:lineRule="auto"/>
              <w:rPr>
                <w:rFonts w:ascii="Arial"/>
                <w:sz w:val="21"/>
              </w:rPr>
            </w:pPr>
          </w:p>
          <w:p w14:paraId="32382632">
            <w:pPr>
              <w:pStyle w:val="6"/>
              <w:spacing w:before="71" w:line="221" w:lineRule="auto"/>
              <w:ind w:left="114"/>
            </w:pPr>
            <w:r>
              <w:rPr>
                <w:spacing w:val="4"/>
              </w:rPr>
              <w:t>升压站</w:t>
            </w:r>
          </w:p>
        </w:tc>
        <w:tc>
          <w:tcPr>
            <w:tcW w:w="849" w:type="dxa"/>
            <w:vAlign w:val="top"/>
          </w:tcPr>
          <w:p w14:paraId="0D3293E6">
            <w:pPr>
              <w:spacing w:line="289" w:lineRule="auto"/>
              <w:rPr>
                <w:rFonts w:ascii="Arial"/>
                <w:sz w:val="21"/>
              </w:rPr>
            </w:pPr>
          </w:p>
          <w:p w14:paraId="2E03BEBE">
            <w:pPr>
              <w:pStyle w:val="6"/>
              <w:spacing w:before="72" w:line="220" w:lineRule="auto"/>
              <w:ind w:left="85"/>
            </w:pPr>
            <w:r>
              <w:rPr>
                <w:spacing w:val="-3"/>
              </w:rPr>
              <w:t>户外式</w:t>
            </w:r>
          </w:p>
        </w:tc>
        <w:tc>
          <w:tcPr>
            <w:tcW w:w="1139" w:type="dxa"/>
            <w:vAlign w:val="top"/>
          </w:tcPr>
          <w:p w14:paraId="6B03726F">
            <w:pPr>
              <w:spacing w:line="291" w:lineRule="auto"/>
              <w:rPr>
                <w:rFonts w:ascii="Arial"/>
                <w:sz w:val="21"/>
              </w:rPr>
            </w:pPr>
          </w:p>
          <w:p w14:paraId="3107DA49">
            <w:pPr>
              <w:pStyle w:val="6"/>
              <w:spacing w:before="72" w:line="221" w:lineRule="auto"/>
              <w:ind w:left="346"/>
            </w:pPr>
            <w:r>
              <w:rPr>
                <w:spacing w:val="6"/>
              </w:rPr>
              <w:t>二级</w:t>
            </w:r>
          </w:p>
        </w:tc>
        <w:tc>
          <w:tcPr>
            <w:tcW w:w="1818" w:type="dxa"/>
            <w:vAlign w:val="top"/>
          </w:tcPr>
          <w:p w14:paraId="49AA2126">
            <w:pPr>
              <w:pStyle w:val="6"/>
              <w:spacing w:before="231" w:line="263" w:lineRule="auto"/>
              <w:ind w:left="187" w:right="82" w:hanging="50"/>
            </w:pPr>
            <w:r>
              <w:rPr>
                <w:spacing w:val="6"/>
              </w:rPr>
              <w:t>工频电场(</w:t>
            </w:r>
            <w:r>
              <w:t>kV</w:t>
            </w:r>
            <w:r>
              <w:rPr>
                <w:spacing w:val="6"/>
              </w:rPr>
              <w:t>/m)</w:t>
            </w:r>
            <w:r>
              <w:t xml:space="preserve"> </w:t>
            </w:r>
            <w:r>
              <w:rPr>
                <w:spacing w:val="6"/>
              </w:rPr>
              <w:t>工频磁场(μT)</w:t>
            </w:r>
          </w:p>
        </w:tc>
        <w:tc>
          <w:tcPr>
            <w:tcW w:w="1064" w:type="dxa"/>
            <w:vAlign w:val="top"/>
          </w:tcPr>
          <w:p w14:paraId="15DE11EB">
            <w:pPr>
              <w:pStyle w:val="6"/>
              <w:spacing w:before="60" w:line="219" w:lineRule="auto"/>
              <w:ind w:left="89"/>
            </w:pPr>
            <w:r>
              <w:rPr>
                <w:spacing w:val="2"/>
              </w:rPr>
              <w:t>项目拟建</w:t>
            </w:r>
          </w:p>
          <w:p w14:paraId="54516DAE">
            <w:pPr>
              <w:pStyle w:val="6"/>
              <w:spacing w:before="52" w:line="228" w:lineRule="auto"/>
              <w:ind w:left="139" w:right="72" w:hanging="50"/>
            </w:pPr>
            <w:r>
              <w:rPr>
                <w:spacing w:val="3"/>
              </w:rPr>
              <w:t>升压站站</w:t>
            </w:r>
            <w:r>
              <w:t xml:space="preserve"> </w:t>
            </w:r>
            <w:r>
              <w:rPr>
                <w:spacing w:val="-3"/>
              </w:rPr>
              <w:t>界外30m</w:t>
            </w:r>
          </w:p>
        </w:tc>
      </w:tr>
    </w:tbl>
    <w:p w14:paraId="4092C7E6">
      <w:pPr>
        <w:spacing w:before="140" w:line="218" w:lineRule="auto"/>
        <w:ind w:left="344"/>
        <w:rPr>
          <w:rFonts w:ascii="宋体" w:hAnsi="宋体" w:eastAsia="宋体" w:cs="宋体"/>
          <w:sz w:val="31"/>
          <w:szCs w:val="31"/>
        </w:rPr>
      </w:pPr>
      <w:r>
        <w:rPr>
          <w:rFonts w:ascii="宋体" w:hAnsi="宋体" w:eastAsia="宋体" w:cs="宋体"/>
          <w:spacing w:val="-34"/>
          <w:sz w:val="31"/>
          <w:szCs w:val="31"/>
        </w:rPr>
        <w:t>1.5</w:t>
      </w:r>
      <w:r>
        <w:rPr>
          <w:rFonts w:ascii="宋体" w:hAnsi="宋体" w:eastAsia="宋体" w:cs="宋体"/>
          <w:spacing w:val="-21"/>
          <w:sz w:val="31"/>
          <w:szCs w:val="31"/>
        </w:rPr>
        <w:t xml:space="preserve"> </w:t>
      </w:r>
      <w:r>
        <w:rPr>
          <w:rFonts w:ascii="宋体" w:hAnsi="宋体" w:eastAsia="宋体" w:cs="宋体"/>
          <w:b/>
          <w:bCs/>
          <w:spacing w:val="-34"/>
          <w:sz w:val="31"/>
          <w:szCs w:val="31"/>
        </w:rPr>
        <w:t>评价标准</w:t>
      </w:r>
    </w:p>
    <w:p w14:paraId="4F211354">
      <w:pPr>
        <w:spacing w:before="200" w:line="376" w:lineRule="auto"/>
        <w:ind w:left="344" w:right="350" w:firstLine="490"/>
        <w:rPr>
          <w:rFonts w:ascii="宋体" w:hAnsi="宋体" w:eastAsia="宋体" w:cs="宋体"/>
          <w:sz w:val="24"/>
          <w:szCs w:val="24"/>
        </w:rPr>
      </w:pPr>
      <w:r>
        <w:rPr>
          <w:rFonts w:ascii="宋体" w:hAnsi="宋体" w:eastAsia="宋体" w:cs="宋体"/>
          <w:spacing w:val="-5"/>
          <w:sz w:val="24"/>
          <w:szCs w:val="24"/>
        </w:rPr>
        <w:t>项目拟建110</w:t>
      </w:r>
      <w:r>
        <w:rPr>
          <w:rFonts w:ascii="Times New Roman" w:hAnsi="Times New Roman" w:eastAsia="Times New Roman" w:cs="Times New Roman"/>
          <w:spacing w:val="-5"/>
          <w:sz w:val="24"/>
          <w:szCs w:val="24"/>
        </w:rPr>
        <w:t>kV</w:t>
      </w:r>
      <w:r>
        <w:rPr>
          <w:rFonts w:ascii="Times New Roman" w:hAnsi="Times New Roman" w:eastAsia="Times New Roman" w:cs="Times New Roman"/>
          <w:spacing w:val="6"/>
          <w:sz w:val="24"/>
          <w:szCs w:val="24"/>
        </w:rPr>
        <w:t xml:space="preserve"> </w:t>
      </w:r>
      <w:r>
        <w:rPr>
          <w:rFonts w:ascii="宋体" w:hAnsi="宋体" w:eastAsia="宋体" w:cs="宋体"/>
          <w:spacing w:val="-5"/>
          <w:sz w:val="24"/>
          <w:szCs w:val="24"/>
        </w:rPr>
        <w:t>升压站工频电磁场执行《电磁环境控制限值》(</w:t>
      </w:r>
      <w:r>
        <w:rPr>
          <w:rFonts w:ascii="Times New Roman" w:hAnsi="Times New Roman" w:eastAsia="Times New Roman" w:cs="Times New Roman"/>
          <w:spacing w:val="-5"/>
          <w:sz w:val="24"/>
          <w:szCs w:val="24"/>
        </w:rPr>
        <w:t>GB8702-2014)</w:t>
      </w:r>
      <w:r>
        <w:rPr>
          <w:rFonts w:ascii="Times New Roman" w:hAnsi="Times New Roman" w:eastAsia="Times New Roman" w:cs="Times New Roman"/>
          <w:sz w:val="24"/>
          <w:szCs w:val="24"/>
        </w:rPr>
        <w:t xml:space="preserve"> </w:t>
      </w:r>
      <w:r>
        <w:rPr>
          <w:rFonts w:ascii="宋体" w:hAnsi="宋体" w:eastAsia="宋体" w:cs="宋体"/>
          <w:spacing w:val="-6"/>
          <w:sz w:val="24"/>
          <w:szCs w:val="24"/>
        </w:rPr>
        <w:t>的要求。</w:t>
      </w:r>
    </w:p>
    <w:p w14:paraId="0A68BBC2">
      <w:pPr>
        <w:spacing w:before="1" w:line="219" w:lineRule="auto"/>
        <w:ind w:left="2995"/>
        <w:rPr>
          <w:rFonts w:ascii="宋体" w:hAnsi="宋体" w:eastAsia="宋体" w:cs="宋体"/>
          <w:sz w:val="25"/>
          <w:szCs w:val="25"/>
        </w:rPr>
      </w:pPr>
      <w:r>
        <w:rPr>
          <w:rFonts w:ascii="宋体" w:hAnsi="宋体" w:eastAsia="宋体" w:cs="宋体"/>
          <w:color w:val="404050"/>
          <w:spacing w:val="-6"/>
          <w:sz w:val="25"/>
          <w:szCs w:val="25"/>
        </w:rPr>
        <w:t>表1-2</w:t>
      </w:r>
      <w:r>
        <w:rPr>
          <w:rFonts w:ascii="宋体" w:hAnsi="宋体" w:eastAsia="宋体" w:cs="宋体"/>
          <w:color w:val="404050"/>
          <w:spacing w:val="36"/>
          <w:sz w:val="25"/>
          <w:szCs w:val="25"/>
        </w:rPr>
        <w:t xml:space="preserve">   </w:t>
      </w:r>
      <w:r>
        <w:rPr>
          <w:rFonts w:ascii="宋体" w:hAnsi="宋体" w:eastAsia="宋体" w:cs="宋体"/>
          <w:spacing w:val="-6"/>
          <w:sz w:val="25"/>
          <w:szCs w:val="25"/>
        </w:rPr>
        <w:t>工频电磁场标准值</w:t>
      </w:r>
    </w:p>
    <w:p w14:paraId="4E5EA565">
      <w:pPr>
        <w:spacing w:line="48" w:lineRule="exact"/>
      </w:pPr>
    </w:p>
    <w:tbl>
      <w:tblPr>
        <w:tblStyle w:val="5"/>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52"/>
        <w:gridCol w:w="1928"/>
        <w:gridCol w:w="1428"/>
        <w:gridCol w:w="1618"/>
        <w:gridCol w:w="1393"/>
      </w:tblGrid>
      <w:tr w14:paraId="7EDD5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2652" w:type="dxa"/>
            <w:vAlign w:val="top"/>
          </w:tcPr>
          <w:p w14:paraId="3FEA931C">
            <w:pPr>
              <w:pStyle w:val="6"/>
              <w:spacing w:before="214" w:line="220" w:lineRule="auto"/>
              <w:ind w:left="1095"/>
            </w:pPr>
            <w:r>
              <w:rPr>
                <w:spacing w:val="-6"/>
              </w:rPr>
              <w:t>项 目</w:t>
            </w:r>
          </w:p>
        </w:tc>
        <w:tc>
          <w:tcPr>
            <w:tcW w:w="1928" w:type="dxa"/>
            <w:vAlign w:val="top"/>
          </w:tcPr>
          <w:p w14:paraId="0EDE08F9">
            <w:pPr>
              <w:pStyle w:val="6"/>
              <w:spacing w:before="214" w:line="219" w:lineRule="auto"/>
              <w:ind w:left="512"/>
            </w:pPr>
            <w:r>
              <w:rPr>
                <w:spacing w:val="5"/>
              </w:rPr>
              <w:t>频率范围</w:t>
            </w:r>
          </w:p>
        </w:tc>
        <w:tc>
          <w:tcPr>
            <w:tcW w:w="1428" w:type="dxa"/>
            <w:vAlign w:val="top"/>
          </w:tcPr>
          <w:p w14:paraId="791D0A92">
            <w:pPr>
              <w:pStyle w:val="6"/>
              <w:spacing w:before="54" w:line="220" w:lineRule="auto"/>
              <w:ind w:left="214"/>
            </w:pPr>
            <w:r>
              <w:rPr>
                <w:spacing w:val="1"/>
              </w:rPr>
              <w:t>电场强度E</w:t>
            </w:r>
          </w:p>
          <w:p w14:paraId="04BBE7CB">
            <w:pPr>
              <w:pStyle w:val="6"/>
              <w:spacing w:before="80" w:line="188" w:lineRule="auto"/>
              <w:ind w:left="374"/>
            </w:pPr>
            <w:r>
              <w:rPr>
                <w:spacing w:val="-7"/>
              </w:rPr>
              <w:t>(kV/m)</w:t>
            </w:r>
          </w:p>
        </w:tc>
        <w:tc>
          <w:tcPr>
            <w:tcW w:w="1618" w:type="dxa"/>
            <w:vAlign w:val="top"/>
          </w:tcPr>
          <w:p w14:paraId="095BDD74">
            <w:pPr>
              <w:pStyle w:val="6"/>
              <w:spacing w:before="54" w:line="220" w:lineRule="auto"/>
              <w:ind w:left="196"/>
            </w:pPr>
            <w:r>
              <w:rPr>
                <w:spacing w:val="-2"/>
              </w:rPr>
              <w:t>磁感应强度B</w:t>
            </w:r>
          </w:p>
          <w:p w14:paraId="6FF0F89D">
            <w:pPr>
              <w:pStyle w:val="6"/>
              <w:spacing w:before="70" w:line="196" w:lineRule="auto"/>
              <w:ind w:left="527"/>
            </w:pPr>
            <w:r>
              <w:rPr>
                <w:spacing w:val="-10"/>
              </w:rPr>
              <w:t>(μT)</w:t>
            </w:r>
          </w:p>
        </w:tc>
        <w:tc>
          <w:tcPr>
            <w:tcW w:w="1393" w:type="dxa"/>
            <w:vAlign w:val="top"/>
          </w:tcPr>
          <w:p w14:paraId="7619C153">
            <w:pPr>
              <w:pStyle w:val="6"/>
              <w:spacing w:before="215" w:line="221" w:lineRule="auto"/>
              <w:ind w:left="468"/>
            </w:pPr>
            <w:r>
              <w:rPr>
                <w:spacing w:val="5"/>
              </w:rPr>
              <w:t>备注</w:t>
            </w:r>
          </w:p>
        </w:tc>
      </w:tr>
      <w:tr w14:paraId="6FF0C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652" w:type="dxa"/>
            <w:vAlign w:val="top"/>
          </w:tcPr>
          <w:p w14:paraId="7F377FEE">
            <w:pPr>
              <w:pStyle w:val="6"/>
              <w:spacing w:before="63" w:line="219" w:lineRule="auto"/>
              <w:ind w:left="214"/>
            </w:pPr>
            <w:r>
              <w:rPr>
                <w:spacing w:val="-2"/>
              </w:rPr>
              <w:t>《电磁环境控制限值》</w:t>
            </w:r>
          </w:p>
          <w:p w14:paraId="0FB1C86F">
            <w:pPr>
              <w:pStyle w:val="6"/>
              <w:spacing w:before="42" w:line="200" w:lineRule="auto"/>
              <w:ind w:left="604"/>
            </w:pPr>
            <w:r>
              <w:rPr>
                <w:spacing w:val="-4"/>
              </w:rPr>
              <w:t>(GB8702—2014)</w:t>
            </w:r>
          </w:p>
        </w:tc>
        <w:tc>
          <w:tcPr>
            <w:tcW w:w="1928" w:type="dxa"/>
            <w:vAlign w:val="top"/>
          </w:tcPr>
          <w:p w14:paraId="56E576EA">
            <w:pPr>
              <w:pStyle w:val="6"/>
              <w:spacing w:before="246" w:line="239" w:lineRule="auto"/>
              <w:ind w:left="312"/>
              <w:rPr>
                <w:sz w:val="16"/>
                <w:szCs w:val="16"/>
              </w:rPr>
            </w:pPr>
            <w:r>
              <w:rPr>
                <w:spacing w:val="-1"/>
                <w:sz w:val="16"/>
                <w:szCs w:val="16"/>
              </w:rPr>
              <w:t>0.025kHz～1.2kHz</w:t>
            </w:r>
          </w:p>
        </w:tc>
        <w:tc>
          <w:tcPr>
            <w:tcW w:w="1428" w:type="dxa"/>
            <w:vAlign w:val="top"/>
          </w:tcPr>
          <w:p w14:paraId="5EAF273E">
            <w:pPr>
              <w:pStyle w:val="6"/>
              <w:spacing w:before="209" w:line="224" w:lineRule="auto"/>
              <w:ind w:left="434"/>
            </w:pPr>
            <w:r>
              <w:rPr>
                <w:spacing w:val="-2"/>
              </w:rPr>
              <w:t>200/f</w:t>
            </w:r>
          </w:p>
        </w:tc>
        <w:tc>
          <w:tcPr>
            <w:tcW w:w="1618" w:type="dxa"/>
            <w:vAlign w:val="top"/>
          </w:tcPr>
          <w:p w14:paraId="5311721E">
            <w:pPr>
              <w:pStyle w:val="6"/>
              <w:spacing w:before="209" w:line="224" w:lineRule="auto"/>
              <w:ind w:left="636"/>
            </w:pPr>
            <w:r>
              <w:rPr>
                <w:spacing w:val="-3"/>
              </w:rPr>
              <w:t>5/f</w:t>
            </w:r>
          </w:p>
        </w:tc>
        <w:tc>
          <w:tcPr>
            <w:tcW w:w="1393" w:type="dxa"/>
            <w:vAlign w:val="top"/>
          </w:tcPr>
          <w:p w14:paraId="1AEFB750">
            <w:pPr>
              <w:pStyle w:val="6"/>
              <w:spacing w:before="203" w:line="219" w:lineRule="auto"/>
              <w:ind w:left="198"/>
            </w:pPr>
            <w:r>
              <w:rPr>
                <w:spacing w:val="2"/>
              </w:rPr>
              <w:t>f代表频率</w:t>
            </w:r>
          </w:p>
        </w:tc>
      </w:tr>
      <w:tr w14:paraId="27FDE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2652" w:type="dxa"/>
            <w:vAlign w:val="top"/>
          </w:tcPr>
          <w:p w14:paraId="2EBC51C6">
            <w:pPr>
              <w:pStyle w:val="6"/>
              <w:spacing w:before="49" w:line="204" w:lineRule="auto"/>
              <w:ind w:left="714"/>
            </w:pPr>
            <w:r>
              <w:rPr>
                <w:spacing w:val="2"/>
              </w:rPr>
              <w:t>110</w:t>
            </w:r>
            <w:r>
              <w:t>kV</w:t>
            </w:r>
            <w:r>
              <w:rPr>
                <w:spacing w:val="2"/>
              </w:rPr>
              <w:t>升压站</w:t>
            </w:r>
          </w:p>
        </w:tc>
        <w:tc>
          <w:tcPr>
            <w:tcW w:w="1928" w:type="dxa"/>
            <w:vAlign w:val="top"/>
          </w:tcPr>
          <w:p w14:paraId="3A0D1179">
            <w:pPr>
              <w:pStyle w:val="6"/>
              <w:spacing w:before="51" w:line="203" w:lineRule="auto"/>
              <w:ind w:left="242"/>
            </w:pPr>
            <w:r>
              <w:rPr>
                <w:spacing w:val="-1"/>
              </w:rPr>
              <w:t>0.05kHz(50Hz)</w:t>
            </w:r>
          </w:p>
        </w:tc>
        <w:tc>
          <w:tcPr>
            <w:tcW w:w="1428" w:type="dxa"/>
            <w:vAlign w:val="top"/>
          </w:tcPr>
          <w:p w14:paraId="45879AA9">
            <w:pPr>
              <w:pStyle w:val="6"/>
              <w:spacing w:before="70" w:line="187" w:lineRule="auto"/>
              <w:ind w:left="654"/>
            </w:pPr>
            <w:r>
              <w:t>4</w:t>
            </w:r>
          </w:p>
        </w:tc>
        <w:tc>
          <w:tcPr>
            <w:tcW w:w="1618" w:type="dxa"/>
            <w:vAlign w:val="top"/>
          </w:tcPr>
          <w:p w14:paraId="373428B0">
            <w:pPr>
              <w:pStyle w:val="6"/>
              <w:spacing w:before="70" w:line="187" w:lineRule="auto"/>
              <w:ind w:left="636"/>
            </w:pPr>
            <w:r>
              <w:rPr>
                <w:spacing w:val="-6"/>
              </w:rPr>
              <w:t>100</w:t>
            </w:r>
          </w:p>
        </w:tc>
        <w:tc>
          <w:tcPr>
            <w:tcW w:w="1393" w:type="dxa"/>
            <w:vAlign w:val="top"/>
          </w:tcPr>
          <w:p w14:paraId="6A6FA0DE">
            <w:pPr>
              <w:pStyle w:val="6"/>
              <w:spacing w:before="157" w:line="55" w:lineRule="exact"/>
              <w:ind w:left="648"/>
              <w:rPr>
                <w:sz w:val="8"/>
                <w:szCs w:val="8"/>
              </w:rPr>
            </w:pPr>
            <w:r>
              <w:rPr>
                <w:spacing w:val="-2"/>
                <w:w w:val="53"/>
                <w:position w:val="-1"/>
                <w:sz w:val="8"/>
                <w:szCs w:val="8"/>
              </w:rPr>
              <w:t>—</w:t>
            </w:r>
            <w:r>
              <w:rPr>
                <w:position w:val="-1"/>
                <w:sz w:val="8"/>
                <w:szCs w:val="8"/>
              </w:rPr>
              <w:t>—</w:t>
            </w:r>
          </w:p>
        </w:tc>
      </w:tr>
    </w:tbl>
    <w:p w14:paraId="3E335595">
      <w:pPr>
        <w:spacing w:before="165" w:line="220" w:lineRule="auto"/>
        <w:ind w:left="344"/>
        <w:rPr>
          <w:rFonts w:ascii="宋体" w:hAnsi="宋体" w:eastAsia="宋体" w:cs="宋体"/>
          <w:sz w:val="31"/>
          <w:szCs w:val="31"/>
        </w:rPr>
      </w:pPr>
      <w:r>
        <w:rPr>
          <w:rFonts w:ascii="宋体" w:hAnsi="宋体" w:eastAsia="宋体" w:cs="宋体"/>
          <w:spacing w:val="-33"/>
          <w:sz w:val="31"/>
          <w:szCs w:val="31"/>
        </w:rPr>
        <w:t>1.6</w:t>
      </w:r>
      <w:r>
        <w:rPr>
          <w:rFonts w:ascii="宋体" w:hAnsi="宋体" w:eastAsia="宋体" w:cs="宋体"/>
          <w:spacing w:val="-31"/>
          <w:sz w:val="31"/>
          <w:szCs w:val="31"/>
        </w:rPr>
        <w:t xml:space="preserve"> </w:t>
      </w:r>
      <w:r>
        <w:rPr>
          <w:rFonts w:ascii="宋体" w:hAnsi="宋体" w:eastAsia="宋体" w:cs="宋体"/>
          <w:b/>
          <w:bCs/>
          <w:spacing w:val="-33"/>
          <w:sz w:val="31"/>
          <w:szCs w:val="31"/>
        </w:rPr>
        <w:t>环境保护目标</w:t>
      </w:r>
    </w:p>
    <w:p w14:paraId="48FAA77C">
      <w:pPr>
        <w:spacing w:before="206" w:line="367" w:lineRule="auto"/>
        <w:ind w:left="344" w:right="362" w:firstLine="490"/>
        <w:jc w:val="both"/>
        <w:rPr>
          <w:rFonts w:ascii="宋体" w:hAnsi="宋体" w:eastAsia="宋体" w:cs="宋体"/>
          <w:sz w:val="24"/>
          <w:szCs w:val="24"/>
        </w:rPr>
      </w:pPr>
      <w:r>
        <w:rPr>
          <w:rFonts w:ascii="宋体" w:hAnsi="宋体" w:eastAsia="宋体" w:cs="宋体"/>
          <w:spacing w:val="1"/>
          <w:sz w:val="24"/>
          <w:szCs w:val="24"/>
        </w:rPr>
        <w:t>本项目电磁环境评价范围：升压站站外30</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37"/>
          <w:w w:val="101"/>
          <w:sz w:val="24"/>
          <w:szCs w:val="24"/>
        </w:rPr>
        <w:t xml:space="preserve"> </w:t>
      </w:r>
      <w:r>
        <w:rPr>
          <w:rFonts w:ascii="宋体" w:hAnsi="宋体" w:eastAsia="宋体" w:cs="宋体"/>
          <w:spacing w:val="1"/>
          <w:sz w:val="24"/>
          <w:szCs w:val="24"/>
        </w:rPr>
        <w:t>在此范围内的村庄或民居应列</w:t>
      </w:r>
      <w:r>
        <w:rPr>
          <w:rFonts w:ascii="宋体" w:hAnsi="宋体" w:eastAsia="宋体" w:cs="宋体"/>
          <w:sz w:val="24"/>
          <w:szCs w:val="24"/>
        </w:rPr>
        <w:t xml:space="preserve"> </w:t>
      </w:r>
      <w:r>
        <w:rPr>
          <w:rFonts w:ascii="宋体" w:hAnsi="宋体" w:eastAsia="宋体" w:cs="宋体"/>
          <w:spacing w:val="5"/>
          <w:sz w:val="24"/>
          <w:szCs w:val="24"/>
        </w:rPr>
        <w:t>为环境保护目标，经过现场踏勘，该范围内无电</w:t>
      </w:r>
      <w:r>
        <w:rPr>
          <w:rFonts w:ascii="宋体" w:hAnsi="宋体" w:eastAsia="宋体" w:cs="宋体"/>
          <w:spacing w:val="4"/>
          <w:sz w:val="24"/>
          <w:szCs w:val="24"/>
        </w:rPr>
        <w:t>磁环境敏感点(村庄及居住区)</w:t>
      </w:r>
      <w:r>
        <w:rPr>
          <w:rFonts w:ascii="宋体" w:hAnsi="宋体" w:eastAsia="宋体" w:cs="宋体"/>
          <w:sz w:val="24"/>
          <w:szCs w:val="24"/>
        </w:rPr>
        <w:t xml:space="preserve"> </w:t>
      </w:r>
      <w:r>
        <w:rPr>
          <w:rFonts w:ascii="宋体" w:hAnsi="宋体" w:eastAsia="宋体" w:cs="宋体"/>
          <w:spacing w:val="-11"/>
          <w:sz w:val="24"/>
          <w:szCs w:val="24"/>
        </w:rPr>
        <w:t>分布。</w:t>
      </w:r>
    </w:p>
    <w:p w14:paraId="10C7B76B">
      <w:pPr>
        <w:spacing w:line="367" w:lineRule="auto"/>
        <w:rPr>
          <w:rFonts w:ascii="宋体" w:hAnsi="宋体" w:eastAsia="宋体" w:cs="宋体"/>
          <w:sz w:val="24"/>
          <w:szCs w:val="24"/>
        </w:rPr>
        <w:sectPr>
          <w:footerReference r:id="rId223" w:type="default"/>
          <w:pgSz w:w="11910" w:h="16830"/>
          <w:pgMar w:top="400" w:right="1455" w:bottom="1147" w:left="1425" w:header="0" w:footer="966" w:gutter="0"/>
          <w:cols w:space="720" w:num="1"/>
        </w:sectPr>
      </w:pPr>
    </w:p>
    <w:p w14:paraId="2E29D7FB">
      <w:pPr>
        <w:pStyle w:val="2"/>
        <w:spacing w:line="267" w:lineRule="auto"/>
      </w:pPr>
    </w:p>
    <w:p w14:paraId="497FF817">
      <w:pPr>
        <w:pStyle w:val="2"/>
        <w:spacing w:line="268" w:lineRule="auto"/>
      </w:pPr>
    </w:p>
    <w:p w14:paraId="171B5007">
      <w:pPr>
        <w:pStyle w:val="2"/>
        <w:spacing w:line="268" w:lineRule="auto"/>
      </w:pPr>
    </w:p>
    <w:p w14:paraId="2E5CCA29">
      <w:pPr>
        <w:pStyle w:val="2"/>
        <w:spacing w:line="268" w:lineRule="auto"/>
      </w:pPr>
    </w:p>
    <w:p w14:paraId="3D9BB64A">
      <w:pPr>
        <w:spacing w:before="101" w:line="219" w:lineRule="auto"/>
        <w:rPr>
          <w:rFonts w:ascii="宋体" w:hAnsi="宋体" w:eastAsia="宋体" w:cs="宋体"/>
          <w:sz w:val="31"/>
          <w:szCs w:val="31"/>
        </w:rPr>
      </w:pPr>
      <w:r>
        <w:rPr>
          <w:rFonts w:ascii="宋体" w:hAnsi="宋体" w:eastAsia="宋体" w:cs="宋体"/>
          <w:spacing w:val="-11"/>
          <w:sz w:val="31"/>
          <w:szCs w:val="31"/>
        </w:rPr>
        <w:t xml:space="preserve">2 </w:t>
      </w:r>
      <w:r>
        <w:rPr>
          <w:rFonts w:ascii="宋体" w:hAnsi="宋体" w:eastAsia="宋体" w:cs="宋体"/>
          <w:b/>
          <w:bCs/>
          <w:spacing w:val="-11"/>
          <w:sz w:val="31"/>
          <w:szCs w:val="31"/>
        </w:rPr>
        <w:t>升压站工程概况</w:t>
      </w:r>
    </w:p>
    <w:p w14:paraId="2A147E53">
      <w:pPr>
        <w:spacing w:before="281" w:line="219" w:lineRule="auto"/>
        <w:rPr>
          <w:rFonts w:ascii="宋体" w:hAnsi="宋体" w:eastAsia="宋体" w:cs="宋体"/>
          <w:sz w:val="28"/>
          <w:szCs w:val="28"/>
        </w:rPr>
      </w:pPr>
      <w:r>
        <w:rPr>
          <w:rFonts w:ascii="Times New Roman" w:hAnsi="Times New Roman" w:eastAsia="Times New Roman" w:cs="Times New Roman"/>
          <w:b/>
          <w:bCs/>
          <w:sz w:val="28"/>
          <w:szCs w:val="28"/>
        </w:rPr>
        <w:t>2.1</w:t>
      </w:r>
      <w:r>
        <w:rPr>
          <w:rFonts w:ascii="Times New Roman" w:hAnsi="Times New Roman" w:eastAsia="Times New Roman" w:cs="Times New Roman"/>
          <w:b/>
          <w:bCs/>
          <w:spacing w:val="2"/>
          <w:sz w:val="28"/>
          <w:szCs w:val="28"/>
        </w:rPr>
        <w:t xml:space="preserve">  </w:t>
      </w:r>
      <w:r>
        <w:rPr>
          <w:rFonts w:ascii="宋体" w:hAnsi="宋体" w:eastAsia="宋体" w:cs="宋体"/>
          <w:b/>
          <w:bCs/>
          <w:sz w:val="28"/>
          <w:szCs w:val="28"/>
        </w:rPr>
        <w:t>项目概况</w:t>
      </w:r>
    </w:p>
    <w:p w14:paraId="2652B021">
      <w:pPr>
        <w:spacing w:before="221" w:line="340" w:lineRule="auto"/>
        <w:ind w:right="70" w:firstLine="490"/>
        <w:rPr>
          <w:rFonts w:ascii="宋体" w:hAnsi="宋体" w:eastAsia="宋体" w:cs="宋体"/>
          <w:sz w:val="25"/>
          <w:szCs w:val="25"/>
        </w:rPr>
      </w:pPr>
      <w:r>
        <w:rPr>
          <w:rFonts w:ascii="宋体" w:hAnsi="宋体" w:eastAsia="宋体" w:cs="宋体"/>
          <w:spacing w:val="-9"/>
          <w:sz w:val="25"/>
          <w:szCs w:val="25"/>
        </w:rPr>
        <w:t>根据《栗树园村光伏电站项目可行性研究报告》,栗树园村光伏电站项目额</w:t>
      </w:r>
      <w:r>
        <w:rPr>
          <w:rFonts w:ascii="宋体" w:hAnsi="宋体" w:eastAsia="宋体" w:cs="宋体"/>
          <w:spacing w:val="10"/>
          <w:sz w:val="25"/>
          <w:szCs w:val="25"/>
        </w:rPr>
        <w:t xml:space="preserve"> </w:t>
      </w:r>
      <w:r>
        <w:rPr>
          <w:rFonts w:ascii="宋体" w:hAnsi="宋体" w:eastAsia="宋体" w:cs="宋体"/>
          <w:spacing w:val="-5"/>
          <w:sz w:val="25"/>
          <w:szCs w:val="25"/>
        </w:rPr>
        <w:t>定装机容量为50</w:t>
      </w:r>
      <w:r>
        <w:rPr>
          <w:rFonts w:ascii="Times New Roman" w:hAnsi="Times New Roman" w:eastAsia="Times New Roman" w:cs="Times New Roman"/>
          <w:spacing w:val="-5"/>
          <w:sz w:val="25"/>
          <w:szCs w:val="25"/>
        </w:rPr>
        <w:t>MWac,</w:t>
      </w:r>
      <w:r>
        <w:rPr>
          <w:rFonts w:ascii="Times New Roman" w:hAnsi="Times New Roman" w:eastAsia="Times New Roman" w:cs="Times New Roman"/>
          <w:spacing w:val="30"/>
          <w:sz w:val="25"/>
          <w:szCs w:val="25"/>
        </w:rPr>
        <w:t xml:space="preserve"> </w:t>
      </w:r>
      <w:r>
        <w:rPr>
          <w:rFonts w:ascii="宋体" w:hAnsi="宋体" w:eastAsia="宋体" w:cs="宋体"/>
          <w:spacing w:val="-5"/>
          <w:sz w:val="25"/>
          <w:szCs w:val="25"/>
        </w:rPr>
        <w:t>安装容量为58.16</w:t>
      </w:r>
      <w:r>
        <w:rPr>
          <w:rFonts w:ascii="Times New Roman" w:hAnsi="Times New Roman" w:eastAsia="Times New Roman" w:cs="Times New Roman"/>
          <w:spacing w:val="-5"/>
          <w:sz w:val="25"/>
          <w:szCs w:val="25"/>
        </w:rPr>
        <w:t>MWp</w:t>
      </w:r>
      <w:r>
        <w:rPr>
          <w:rFonts w:ascii="宋体" w:hAnsi="宋体" w:eastAsia="宋体" w:cs="宋体"/>
          <w:spacing w:val="-5"/>
          <w:sz w:val="25"/>
          <w:szCs w:val="25"/>
        </w:rPr>
        <w:t>。本项</w:t>
      </w:r>
      <w:r>
        <w:rPr>
          <w:rFonts w:ascii="宋体" w:hAnsi="宋体" w:eastAsia="宋体" w:cs="宋体"/>
          <w:spacing w:val="-6"/>
          <w:sz w:val="25"/>
          <w:szCs w:val="25"/>
        </w:rPr>
        <w:t>目推荐采用容量为610</w:t>
      </w:r>
      <w:r>
        <w:rPr>
          <w:rFonts w:ascii="Times New Roman" w:hAnsi="Times New Roman" w:eastAsia="Times New Roman" w:cs="Times New Roman"/>
          <w:spacing w:val="-6"/>
          <w:sz w:val="25"/>
          <w:szCs w:val="25"/>
        </w:rPr>
        <w:t>Wp</w:t>
      </w:r>
      <w:r>
        <w:rPr>
          <w:rFonts w:ascii="Times New Roman" w:hAnsi="Times New Roman" w:eastAsia="Times New Roman" w:cs="Times New Roman"/>
          <w:sz w:val="25"/>
          <w:szCs w:val="25"/>
        </w:rPr>
        <w:t xml:space="preserve"> </w:t>
      </w:r>
      <w:r>
        <w:rPr>
          <w:rFonts w:ascii="宋体" w:hAnsi="宋体" w:eastAsia="宋体" w:cs="宋体"/>
          <w:spacing w:val="-6"/>
          <w:sz w:val="25"/>
          <w:szCs w:val="25"/>
        </w:rPr>
        <w:t>的单晶硅</w:t>
      </w:r>
      <w:r>
        <w:rPr>
          <w:rFonts w:ascii="Times New Roman" w:hAnsi="Times New Roman" w:eastAsia="Times New Roman" w:cs="Times New Roman"/>
          <w:spacing w:val="-6"/>
          <w:sz w:val="25"/>
          <w:szCs w:val="25"/>
        </w:rPr>
        <w:t>N</w:t>
      </w:r>
      <w:r>
        <w:rPr>
          <w:rFonts w:ascii="Times New Roman" w:hAnsi="Times New Roman" w:eastAsia="Times New Roman" w:cs="Times New Roman"/>
          <w:spacing w:val="20"/>
          <w:sz w:val="25"/>
          <w:szCs w:val="25"/>
        </w:rPr>
        <w:t xml:space="preserve"> </w:t>
      </w:r>
      <w:r>
        <w:rPr>
          <w:rFonts w:ascii="宋体" w:hAnsi="宋体" w:eastAsia="宋体" w:cs="宋体"/>
          <w:spacing w:val="-6"/>
          <w:sz w:val="25"/>
          <w:szCs w:val="25"/>
        </w:rPr>
        <w:t>型双面光伏组件，采用固定支架倾角和柔性支架运行方式。光伏阵</w:t>
      </w:r>
      <w:r>
        <w:rPr>
          <w:rFonts w:ascii="宋体" w:hAnsi="宋体" w:eastAsia="宋体" w:cs="宋体"/>
          <w:sz w:val="25"/>
          <w:szCs w:val="25"/>
        </w:rPr>
        <w:t xml:space="preserve"> </w:t>
      </w:r>
      <w:r>
        <w:rPr>
          <w:rFonts w:ascii="宋体" w:hAnsi="宋体" w:eastAsia="宋体" w:cs="宋体"/>
          <w:spacing w:val="-2"/>
          <w:sz w:val="25"/>
          <w:szCs w:val="25"/>
        </w:rPr>
        <w:t>列面固定支架倾角采用25°,柔性支架倾角采用15°。26块光伏组件串联为一</w:t>
      </w:r>
      <w:r>
        <w:rPr>
          <w:rFonts w:ascii="宋体" w:hAnsi="宋体" w:eastAsia="宋体" w:cs="宋体"/>
          <w:spacing w:val="11"/>
          <w:sz w:val="25"/>
          <w:szCs w:val="25"/>
        </w:rPr>
        <w:t xml:space="preserve"> </w:t>
      </w:r>
      <w:r>
        <w:rPr>
          <w:rFonts w:ascii="宋体" w:hAnsi="宋体" w:eastAsia="宋体" w:cs="宋体"/>
          <w:spacing w:val="-2"/>
          <w:sz w:val="25"/>
          <w:szCs w:val="25"/>
        </w:rPr>
        <w:t>个组串单元，并网逆变器选择300</w:t>
      </w:r>
      <w:r>
        <w:rPr>
          <w:rFonts w:ascii="Times New Roman" w:hAnsi="Times New Roman" w:eastAsia="Times New Roman" w:cs="Times New Roman"/>
          <w:spacing w:val="-2"/>
          <w:sz w:val="25"/>
          <w:szCs w:val="25"/>
        </w:rPr>
        <w:t xml:space="preserve">kW,250kW,196kW     </w:t>
      </w:r>
      <w:r>
        <w:rPr>
          <w:rFonts w:ascii="宋体" w:hAnsi="宋体" w:eastAsia="宋体" w:cs="宋体"/>
          <w:spacing w:val="-2"/>
          <w:sz w:val="25"/>
          <w:szCs w:val="25"/>
        </w:rPr>
        <w:t>组串式逆变器，300</w:t>
      </w:r>
      <w:r>
        <w:rPr>
          <w:rFonts w:ascii="Times New Roman" w:hAnsi="Times New Roman" w:eastAsia="Times New Roman" w:cs="Times New Roman"/>
          <w:spacing w:val="-2"/>
          <w:sz w:val="25"/>
          <w:szCs w:val="25"/>
        </w:rPr>
        <w:t>kW</w:t>
      </w:r>
      <w:r>
        <w:rPr>
          <w:rFonts w:ascii="Times New Roman" w:hAnsi="Times New Roman" w:eastAsia="Times New Roman" w:cs="Times New Roman"/>
          <w:spacing w:val="10"/>
          <w:sz w:val="25"/>
          <w:szCs w:val="25"/>
        </w:rPr>
        <w:t xml:space="preserve"> </w:t>
      </w:r>
      <w:r>
        <w:rPr>
          <w:rFonts w:ascii="宋体" w:hAnsi="宋体" w:eastAsia="宋体" w:cs="宋体"/>
          <w:spacing w:val="1"/>
          <w:sz w:val="25"/>
          <w:szCs w:val="25"/>
        </w:rPr>
        <w:t>逆变器接入22路光伏组串，250</w:t>
      </w:r>
      <w:r>
        <w:rPr>
          <w:rFonts w:ascii="Times New Roman" w:hAnsi="Times New Roman" w:eastAsia="Times New Roman" w:cs="Times New Roman"/>
          <w:sz w:val="25"/>
          <w:szCs w:val="25"/>
        </w:rPr>
        <w:t>kW</w:t>
      </w:r>
      <w:r>
        <w:rPr>
          <w:rFonts w:ascii="宋体" w:hAnsi="宋体" w:eastAsia="宋体" w:cs="宋体"/>
          <w:spacing w:val="1"/>
          <w:sz w:val="25"/>
          <w:szCs w:val="25"/>
        </w:rPr>
        <w:t>逆变器接入18路光伏组串，196</w:t>
      </w:r>
      <w:r>
        <w:rPr>
          <w:rFonts w:ascii="Times New Roman" w:hAnsi="Times New Roman" w:eastAsia="Times New Roman" w:cs="Times New Roman"/>
          <w:sz w:val="25"/>
          <w:szCs w:val="25"/>
        </w:rPr>
        <w:t>kW</w:t>
      </w:r>
      <w:r>
        <w:rPr>
          <w:rFonts w:ascii="Times New Roman" w:hAnsi="Times New Roman" w:eastAsia="Times New Roman" w:cs="Times New Roman"/>
          <w:spacing w:val="-20"/>
          <w:sz w:val="25"/>
          <w:szCs w:val="25"/>
        </w:rPr>
        <w:t xml:space="preserve"> </w:t>
      </w:r>
      <w:r>
        <w:rPr>
          <w:rFonts w:ascii="宋体" w:hAnsi="宋体" w:eastAsia="宋体" w:cs="宋体"/>
          <w:spacing w:val="1"/>
          <w:sz w:val="25"/>
          <w:szCs w:val="25"/>
        </w:rPr>
        <w:t>逆变器</w:t>
      </w:r>
      <w:r>
        <w:rPr>
          <w:rFonts w:ascii="宋体" w:hAnsi="宋体" w:eastAsia="宋体" w:cs="宋体"/>
          <w:sz w:val="25"/>
          <w:szCs w:val="25"/>
        </w:rPr>
        <w:t xml:space="preserve"> </w:t>
      </w:r>
      <w:r>
        <w:rPr>
          <w:rFonts w:ascii="宋体" w:hAnsi="宋体" w:eastAsia="宋体" w:cs="宋体"/>
          <w:spacing w:val="-4"/>
          <w:sz w:val="25"/>
          <w:szCs w:val="25"/>
        </w:rPr>
        <w:t>接入15路光伏组串。本工程建设1个0.9</w:t>
      </w:r>
      <w:r>
        <w:rPr>
          <w:rFonts w:ascii="Times New Roman" w:hAnsi="Times New Roman" w:eastAsia="Times New Roman" w:cs="Times New Roman"/>
          <w:spacing w:val="-4"/>
          <w:sz w:val="25"/>
          <w:szCs w:val="25"/>
        </w:rPr>
        <w:t>MWac</w:t>
      </w:r>
      <w:r>
        <w:rPr>
          <w:rFonts w:ascii="宋体" w:hAnsi="宋体" w:eastAsia="宋体" w:cs="宋体"/>
          <w:spacing w:val="-4"/>
          <w:sz w:val="25"/>
          <w:szCs w:val="25"/>
        </w:rPr>
        <w:t>光伏子方阵系统</w:t>
      </w:r>
      <w:r>
        <w:rPr>
          <w:rFonts w:ascii="宋体" w:hAnsi="宋体" w:eastAsia="宋体" w:cs="宋体"/>
          <w:spacing w:val="-5"/>
          <w:sz w:val="25"/>
          <w:szCs w:val="25"/>
        </w:rPr>
        <w:t>、2个1.25</w:t>
      </w:r>
      <w:r>
        <w:rPr>
          <w:rFonts w:ascii="Times New Roman" w:hAnsi="Times New Roman" w:eastAsia="Times New Roman" w:cs="Times New Roman"/>
          <w:spacing w:val="-5"/>
          <w:sz w:val="25"/>
          <w:szCs w:val="25"/>
        </w:rPr>
        <w:t>MWac</w:t>
      </w:r>
      <w:r>
        <w:rPr>
          <w:rFonts w:ascii="Times New Roman" w:hAnsi="Times New Roman" w:eastAsia="Times New Roman" w:cs="Times New Roman"/>
          <w:sz w:val="25"/>
          <w:szCs w:val="25"/>
        </w:rPr>
        <w:t xml:space="preserve"> </w:t>
      </w:r>
      <w:r>
        <w:rPr>
          <w:rFonts w:ascii="宋体" w:hAnsi="宋体" w:eastAsia="宋体" w:cs="宋体"/>
          <w:spacing w:val="-1"/>
          <w:sz w:val="25"/>
          <w:szCs w:val="25"/>
        </w:rPr>
        <w:t>光伏子方阵系统、1个1.4</w:t>
      </w:r>
      <w:r>
        <w:rPr>
          <w:rFonts w:ascii="Times New Roman" w:hAnsi="Times New Roman" w:eastAsia="Times New Roman" w:cs="Times New Roman"/>
          <w:spacing w:val="-1"/>
          <w:sz w:val="25"/>
          <w:szCs w:val="25"/>
        </w:rPr>
        <w:t>MWac</w:t>
      </w:r>
      <w:r>
        <w:rPr>
          <w:rFonts w:ascii="宋体" w:hAnsi="宋体" w:eastAsia="宋体" w:cs="宋体"/>
          <w:spacing w:val="-1"/>
          <w:sz w:val="25"/>
          <w:szCs w:val="25"/>
        </w:rPr>
        <w:t>光伏子方阵系统、2</w:t>
      </w:r>
      <w:r>
        <w:rPr>
          <w:rFonts w:ascii="宋体" w:hAnsi="宋体" w:eastAsia="宋体" w:cs="宋体"/>
          <w:spacing w:val="-2"/>
          <w:sz w:val="25"/>
          <w:szCs w:val="25"/>
        </w:rPr>
        <w:t>个1.5</w:t>
      </w:r>
      <w:r>
        <w:rPr>
          <w:rFonts w:ascii="Times New Roman" w:hAnsi="Times New Roman" w:eastAsia="Times New Roman" w:cs="Times New Roman"/>
          <w:spacing w:val="-2"/>
          <w:sz w:val="25"/>
          <w:szCs w:val="25"/>
        </w:rPr>
        <w:t>MWac</w:t>
      </w:r>
      <w:r>
        <w:rPr>
          <w:rFonts w:ascii="宋体" w:hAnsi="宋体" w:eastAsia="宋体" w:cs="宋体"/>
          <w:spacing w:val="-2"/>
          <w:sz w:val="25"/>
          <w:szCs w:val="25"/>
        </w:rPr>
        <w:t>光伏子方阵系</w:t>
      </w:r>
      <w:r>
        <w:rPr>
          <w:rFonts w:ascii="宋体" w:hAnsi="宋体" w:eastAsia="宋体" w:cs="宋体"/>
          <w:sz w:val="25"/>
          <w:szCs w:val="25"/>
        </w:rPr>
        <w:t xml:space="preserve"> </w:t>
      </w:r>
      <w:r>
        <w:rPr>
          <w:rFonts w:ascii="仿宋" w:hAnsi="仿宋" w:eastAsia="仿宋" w:cs="仿宋"/>
          <w:spacing w:val="-11"/>
          <w:sz w:val="25"/>
          <w:szCs w:val="25"/>
        </w:rPr>
        <w:t>统、3个1.6</w:t>
      </w:r>
      <w:r>
        <w:rPr>
          <w:rFonts w:ascii="Times New Roman" w:hAnsi="Times New Roman" w:eastAsia="Times New Roman" w:cs="Times New Roman"/>
          <w:spacing w:val="-11"/>
          <w:sz w:val="25"/>
          <w:szCs w:val="25"/>
        </w:rPr>
        <w:t>MWac</w:t>
      </w:r>
      <w:r>
        <w:rPr>
          <w:rFonts w:ascii="宋体" w:hAnsi="宋体" w:eastAsia="宋体" w:cs="宋体"/>
          <w:spacing w:val="-11"/>
          <w:sz w:val="25"/>
          <w:szCs w:val="25"/>
        </w:rPr>
        <w:t>光伏子方阵系统、3个1.8</w:t>
      </w:r>
      <w:r>
        <w:rPr>
          <w:rFonts w:ascii="Times New Roman" w:hAnsi="Times New Roman" w:eastAsia="Times New Roman" w:cs="Times New Roman"/>
          <w:spacing w:val="-11"/>
          <w:sz w:val="25"/>
          <w:szCs w:val="25"/>
        </w:rPr>
        <w:t>MWac</w:t>
      </w:r>
      <w:r>
        <w:rPr>
          <w:rFonts w:ascii="宋体" w:hAnsi="宋体" w:eastAsia="宋体" w:cs="宋体"/>
          <w:spacing w:val="-11"/>
          <w:sz w:val="25"/>
          <w:szCs w:val="25"/>
        </w:rPr>
        <w:t>光伏子方阵系统、1个2.2</w:t>
      </w:r>
      <w:r>
        <w:rPr>
          <w:rFonts w:ascii="Times New Roman" w:hAnsi="Times New Roman" w:eastAsia="Times New Roman" w:cs="Times New Roman"/>
          <w:spacing w:val="-11"/>
          <w:sz w:val="25"/>
          <w:szCs w:val="25"/>
        </w:rPr>
        <w:t>MWac</w:t>
      </w:r>
      <w:r>
        <w:rPr>
          <w:rFonts w:ascii="Times New Roman" w:hAnsi="Times New Roman" w:eastAsia="Times New Roman" w:cs="Times New Roman"/>
          <w:spacing w:val="11"/>
          <w:sz w:val="25"/>
          <w:szCs w:val="25"/>
        </w:rPr>
        <w:t xml:space="preserve"> </w:t>
      </w:r>
      <w:r>
        <w:rPr>
          <w:rFonts w:ascii="宋体" w:hAnsi="宋体" w:eastAsia="宋体" w:cs="宋体"/>
          <w:spacing w:val="-1"/>
          <w:sz w:val="25"/>
          <w:szCs w:val="25"/>
        </w:rPr>
        <w:t>光伏子方阵系统、4个2.4</w:t>
      </w:r>
      <w:r>
        <w:rPr>
          <w:rFonts w:ascii="Times New Roman" w:hAnsi="Times New Roman" w:eastAsia="Times New Roman" w:cs="Times New Roman"/>
          <w:spacing w:val="-1"/>
          <w:sz w:val="25"/>
          <w:szCs w:val="25"/>
        </w:rPr>
        <w:t>MWac</w:t>
      </w:r>
      <w:r>
        <w:rPr>
          <w:rFonts w:ascii="宋体" w:hAnsi="宋体" w:eastAsia="宋体" w:cs="宋体"/>
          <w:spacing w:val="-1"/>
          <w:sz w:val="25"/>
          <w:szCs w:val="25"/>
        </w:rPr>
        <w:t>光伏子方阵系统、1</w:t>
      </w:r>
      <w:r>
        <w:rPr>
          <w:rFonts w:ascii="宋体" w:hAnsi="宋体" w:eastAsia="宋体" w:cs="宋体"/>
          <w:spacing w:val="-2"/>
          <w:sz w:val="25"/>
          <w:szCs w:val="25"/>
        </w:rPr>
        <w:t>个2.5</w:t>
      </w:r>
      <w:r>
        <w:rPr>
          <w:rFonts w:ascii="Times New Roman" w:hAnsi="Times New Roman" w:eastAsia="Times New Roman" w:cs="Times New Roman"/>
          <w:spacing w:val="-2"/>
          <w:sz w:val="25"/>
          <w:szCs w:val="25"/>
        </w:rPr>
        <w:t>MWac</w:t>
      </w:r>
      <w:r>
        <w:rPr>
          <w:rFonts w:ascii="宋体" w:hAnsi="宋体" w:eastAsia="宋体" w:cs="宋体"/>
          <w:spacing w:val="-2"/>
          <w:sz w:val="25"/>
          <w:szCs w:val="25"/>
        </w:rPr>
        <w:t>光伏子方阵系</w:t>
      </w:r>
      <w:r>
        <w:rPr>
          <w:rFonts w:ascii="宋体" w:hAnsi="宋体" w:eastAsia="宋体" w:cs="宋体"/>
          <w:sz w:val="25"/>
          <w:szCs w:val="25"/>
        </w:rPr>
        <w:t xml:space="preserve"> </w:t>
      </w:r>
      <w:r>
        <w:rPr>
          <w:rFonts w:ascii="仿宋" w:hAnsi="仿宋" w:eastAsia="仿宋" w:cs="仿宋"/>
          <w:spacing w:val="-8"/>
          <w:sz w:val="25"/>
          <w:szCs w:val="25"/>
        </w:rPr>
        <w:t>统、1个2.7</w:t>
      </w:r>
      <w:r>
        <w:rPr>
          <w:rFonts w:ascii="Times New Roman" w:hAnsi="Times New Roman" w:eastAsia="Times New Roman" w:cs="Times New Roman"/>
          <w:spacing w:val="-8"/>
          <w:sz w:val="25"/>
          <w:szCs w:val="25"/>
        </w:rPr>
        <w:t>MWac</w:t>
      </w:r>
      <w:r>
        <w:rPr>
          <w:rFonts w:ascii="宋体" w:hAnsi="宋体" w:eastAsia="宋体" w:cs="宋体"/>
          <w:spacing w:val="-8"/>
          <w:sz w:val="25"/>
          <w:szCs w:val="25"/>
        </w:rPr>
        <w:t>光伏子方阵系统、3个3</w:t>
      </w:r>
      <w:r>
        <w:rPr>
          <w:rFonts w:ascii="Times New Roman" w:hAnsi="Times New Roman" w:eastAsia="Times New Roman" w:cs="Times New Roman"/>
          <w:spacing w:val="-8"/>
          <w:sz w:val="25"/>
          <w:szCs w:val="25"/>
        </w:rPr>
        <w:t>MWac</w:t>
      </w:r>
      <w:r>
        <w:rPr>
          <w:rFonts w:ascii="宋体" w:hAnsi="宋体" w:eastAsia="宋体" w:cs="宋体"/>
          <w:spacing w:val="-8"/>
          <w:sz w:val="25"/>
          <w:szCs w:val="25"/>
        </w:rPr>
        <w:t>光伏子方阵系统、2个3</w:t>
      </w:r>
      <w:r>
        <w:rPr>
          <w:rFonts w:ascii="宋体" w:hAnsi="宋体" w:eastAsia="宋体" w:cs="宋体"/>
          <w:spacing w:val="-9"/>
          <w:sz w:val="25"/>
          <w:szCs w:val="25"/>
        </w:rPr>
        <w:t>.15</w:t>
      </w:r>
      <w:r>
        <w:rPr>
          <w:rFonts w:ascii="Times New Roman" w:hAnsi="Times New Roman" w:eastAsia="Times New Roman" w:cs="Times New Roman"/>
          <w:spacing w:val="-9"/>
          <w:sz w:val="25"/>
          <w:szCs w:val="25"/>
        </w:rPr>
        <w:t>MWac</w:t>
      </w:r>
      <w:r>
        <w:rPr>
          <w:rFonts w:ascii="Times New Roman" w:hAnsi="Times New Roman" w:eastAsia="Times New Roman" w:cs="Times New Roman"/>
          <w:sz w:val="25"/>
          <w:szCs w:val="25"/>
        </w:rPr>
        <w:t xml:space="preserve"> </w:t>
      </w:r>
      <w:r>
        <w:rPr>
          <w:rFonts w:ascii="宋体" w:hAnsi="宋体" w:eastAsia="宋体" w:cs="宋体"/>
          <w:spacing w:val="2"/>
          <w:sz w:val="25"/>
          <w:szCs w:val="25"/>
        </w:rPr>
        <w:t>光伏子方阵系统。本并网光伏电站每个光伏子方阵经逆变升压后输</w:t>
      </w:r>
      <w:r>
        <w:rPr>
          <w:rFonts w:ascii="宋体" w:hAnsi="宋体" w:eastAsia="宋体" w:cs="宋体"/>
          <w:spacing w:val="1"/>
          <w:sz w:val="25"/>
          <w:szCs w:val="25"/>
        </w:rPr>
        <w:t>出电压为</w:t>
      </w:r>
      <w:r>
        <w:rPr>
          <w:rFonts w:ascii="宋体" w:hAnsi="宋体" w:eastAsia="宋体" w:cs="宋体"/>
          <w:sz w:val="25"/>
          <w:szCs w:val="25"/>
        </w:rPr>
        <w:t xml:space="preserve"> </w:t>
      </w:r>
      <w:r>
        <w:rPr>
          <w:rFonts w:ascii="宋体" w:hAnsi="宋体" w:eastAsia="宋体" w:cs="宋体"/>
          <w:spacing w:val="-5"/>
          <w:sz w:val="25"/>
          <w:szCs w:val="25"/>
        </w:rPr>
        <w:t>35</w:t>
      </w:r>
      <w:r>
        <w:rPr>
          <w:rFonts w:ascii="Times New Roman" w:hAnsi="Times New Roman" w:eastAsia="Times New Roman" w:cs="Times New Roman"/>
          <w:spacing w:val="-5"/>
          <w:sz w:val="25"/>
          <w:szCs w:val="25"/>
        </w:rPr>
        <w:t>kV,</w:t>
      </w:r>
      <w:r>
        <w:rPr>
          <w:rFonts w:ascii="Times New Roman" w:hAnsi="Times New Roman" w:eastAsia="Times New Roman" w:cs="Times New Roman"/>
          <w:spacing w:val="-19"/>
          <w:sz w:val="25"/>
          <w:szCs w:val="25"/>
        </w:rPr>
        <w:t xml:space="preserve"> </w:t>
      </w:r>
      <w:r>
        <w:rPr>
          <w:rFonts w:ascii="宋体" w:hAnsi="宋体" w:eastAsia="宋体" w:cs="宋体"/>
          <w:spacing w:val="-5"/>
          <w:sz w:val="25"/>
          <w:szCs w:val="25"/>
        </w:rPr>
        <w:t>在适当位置设置35</w:t>
      </w:r>
      <w:r>
        <w:rPr>
          <w:rFonts w:ascii="Times New Roman" w:hAnsi="Times New Roman" w:eastAsia="Times New Roman" w:cs="Times New Roman"/>
          <w:spacing w:val="-5"/>
          <w:sz w:val="25"/>
          <w:szCs w:val="25"/>
        </w:rPr>
        <w:t>kV</w:t>
      </w:r>
      <w:r>
        <w:rPr>
          <w:rFonts w:ascii="宋体" w:hAnsi="宋体" w:eastAsia="宋体" w:cs="宋体"/>
          <w:spacing w:val="-5"/>
          <w:sz w:val="25"/>
          <w:szCs w:val="25"/>
        </w:rPr>
        <w:t>电缆分</w:t>
      </w:r>
      <w:r>
        <w:rPr>
          <w:rFonts w:ascii="宋体" w:hAnsi="宋体" w:eastAsia="宋体" w:cs="宋体"/>
          <w:spacing w:val="-6"/>
          <w:sz w:val="25"/>
          <w:szCs w:val="25"/>
        </w:rPr>
        <w:t>接箱。每个光伏方阵电力经箱变升压至35</w:t>
      </w:r>
      <w:r>
        <w:rPr>
          <w:rFonts w:ascii="Times New Roman" w:hAnsi="Times New Roman" w:eastAsia="Times New Roman" w:cs="Times New Roman"/>
          <w:spacing w:val="-6"/>
          <w:sz w:val="25"/>
          <w:szCs w:val="25"/>
        </w:rPr>
        <w:t>kV</w:t>
      </w:r>
      <w:r>
        <w:rPr>
          <w:rFonts w:ascii="Times New Roman" w:hAnsi="Times New Roman" w:eastAsia="Times New Roman" w:cs="Times New Roman"/>
          <w:sz w:val="25"/>
          <w:szCs w:val="25"/>
        </w:rPr>
        <w:t xml:space="preserve"> </w:t>
      </w:r>
      <w:r>
        <w:rPr>
          <w:rFonts w:ascii="宋体" w:hAnsi="宋体" w:eastAsia="宋体" w:cs="宋体"/>
          <w:spacing w:val="-2"/>
          <w:sz w:val="25"/>
          <w:szCs w:val="25"/>
        </w:rPr>
        <w:t>后，通过35</w:t>
      </w:r>
      <w:r>
        <w:rPr>
          <w:rFonts w:ascii="Times New Roman" w:hAnsi="Times New Roman" w:eastAsia="Times New Roman" w:cs="Times New Roman"/>
          <w:spacing w:val="-2"/>
          <w:sz w:val="25"/>
          <w:szCs w:val="25"/>
        </w:rPr>
        <w:t>kV</w:t>
      </w:r>
      <w:r>
        <w:rPr>
          <w:rFonts w:ascii="宋体" w:hAnsi="宋体" w:eastAsia="宋体" w:cs="宋体"/>
          <w:spacing w:val="-2"/>
          <w:sz w:val="25"/>
          <w:szCs w:val="25"/>
        </w:rPr>
        <w:t>电缆分接箱并联至35</w:t>
      </w:r>
      <w:r>
        <w:rPr>
          <w:rFonts w:ascii="Times New Roman" w:hAnsi="Times New Roman" w:eastAsia="Times New Roman" w:cs="Times New Roman"/>
          <w:spacing w:val="-2"/>
          <w:sz w:val="25"/>
          <w:szCs w:val="25"/>
        </w:rPr>
        <w:t>kV</w:t>
      </w:r>
      <w:r>
        <w:rPr>
          <w:rFonts w:ascii="宋体" w:hAnsi="宋体" w:eastAsia="宋体" w:cs="宋体"/>
          <w:spacing w:val="-2"/>
          <w:sz w:val="25"/>
          <w:szCs w:val="25"/>
        </w:rPr>
        <w:t>集</w:t>
      </w:r>
      <w:r>
        <w:rPr>
          <w:rFonts w:ascii="宋体" w:hAnsi="宋体" w:eastAsia="宋体" w:cs="宋体"/>
          <w:spacing w:val="-3"/>
          <w:sz w:val="25"/>
          <w:szCs w:val="25"/>
        </w:rPr>
        <w:t>电线路，集电线路汇集电力后输送至</w:t>
      </w:r>
      <w:r>
        <w:rPr>
          <w:rFonts w:ascii="宋体" w:hAnsi="宋体" w:eastAsia="宋体" w:cs="宋体"/>
          <w:sz w:val="25"/>
          <w:szCs w:val="25"/>
        </w:rPr>
        <w:t xml:space="preserve"> </w:t>
      </w:r>
      <w:r>
        <w:rPr>
          <w:rFonts w:ascii="宋体" w:hAnsi="宋体" w:eastAsia="宋体" w:cs="宋体"/>
          <w:spacing w:val="-3"/>
          <w:sz w:val="25"/>
          <w:szCs w:val="25"/>
        </w:rPr>
        <w:t>110</w:t>
      </w:r>
      <w:r>
        <w:rPr>
          <w:rFonts w:ascii="Times New Roman" w:hAnsi="Times New Roman" w:eastAsia="Times New Roman" w:cs="Times New Roman"/>
          <w:spacing w:val="-3"/>
          <w:sz w:val="25"/>
          <w:szCs w:val="25"/>
        </w:rPr>
        <w:t>kV</w:t>
      </w:r>
      <w:r>
        <w:rPr>
          <w:rFonts w:ascii="宋体" w:hAnsi="宋体" w:eastAsia="宋体" w:cs="宋体"/>
          <w:spacing w:val="-3"/>
          <w:sz w:val="25"/>
          <w:szCs w:val="25"/>
        </w:rPr>
        <w:t>升压站。拟在光伏场区内新建一座110</w:t>
      </w:r>
      <w:r>
        <w:rPr>
          <w:rFonts w:ascii="Times New Roman" w:hAnsi="Times New Roman" w:eastAsia="Times New Roman" w:cs="Times New Roman"/>
          <w:spacing w:val="-3"/>
          <w:sz w:val="25"/>
          <w:szCs w:val="25"/>
        </w:rPr>
        <w:t>kV</w:t>
      </w:r>
      <w:r>
        <w:rPr>
          <w:rFonts w:ascii="宋体" w:hAnsi="宋体" w:eastAsia="宋体" w:cs="宋体"/>
          <w:spacing w:val="-3"/>
          <w:sz w:val="25"/>
          <w:szCs w:val="25"/>
        </w:rPr>
        <w:t>变电站，主变规模为50</w:t>
      </w:r>
      <w:r>
        <w:rPr>
          <w:rFonts w:ascii="Times New Roman" w:hAnsi="Times New Roman" w:eastAsia="Times New Roman" w:cs="Times New Roman"/>
          <w:spacing w:val="-3"/>
          <w:sz w:val="25"/>
          <w:szCs w:val="25"/>
        </w:rPr>
        <w:t>MVA,</w:t>
      </w:r>
      <w:r>
        <w:rPr>
          <w:rFonts w:ascii="Times New Roman" w:hAnsi="Times New Roman" w:eastAsia="Times New Roman" w:cs="Times New Roman"/>
          <w:spacing w:val="3"/>
          <w:sz w:val="25"/>
          <w:szCs w:val="25"/>
        </w:rPr>
        <w:t xml:space="preserve">    </w:t>
      </w:r>
      <w:r>
        <w:rPr>
          <w:rFonts w:ascii="宋体" w:hAnsi="宋体" w:eastAsia="宋体" w:cs="宋体"/>
          <w:sz w:val="25"/>
          <w:szCs w:val="25"/>
        </w:rPr>
        <w:t>电站以1回110</w:t>
      </w:r>
      <w:r>
        <w:rPr>
          <w:rFonts w:ascii="Times New Roman" w:hAnsi="Times New Roman" w:eastAsia="Times New Roman" w:cs="Times New Roman"/>
          <w:sz w:val="25"/>
          <w:szCs w:val="25"/>
        </w:rPr>
        <w:t>kV</w:t>
      </w:r>
      <w:r>
        <w:rPr>
          <w:rFonts w:ascii="宋体" w:hAnsi="宋体" w:eastAsia="宋体" w:cs="宋体"/>
          <w:sz w:val="25"/>
          <w:szCs w:val="25"/>
        </w:rPr>
        <w:t>线路接入普乐村光伏电站，通过普乐村光伏电站110</w:t>
      </w:r>
      <w:r>
        <w:rPr>
          <w:rFonts w:ascii="Times New Roman" w:hAnsi="Times New Roman" w:eastAsia="Times New Roman" w:cs="Times New Roman"/>
          <w:spacing w:val="-1"/>
          <w:sz w:val="25"/>
          <w:szCs w:val="25"/>
        </w:rPr>
        <w:t>kV</w:t>
      </w:r>
      <w:r>
        <w:rPr>
          <w:rFonts w:ascii="Times New Roman" w:hAnsi="Times New Roman" w:eastAsia="Times New Roman" w:cs="Times New Roman"/>
          <w:spacing w:val="-16"/>
          <w:sz w:val="25"/>
          <w:szCs w:val="25"/>
        </w:rPr>
        <w:t xml:space="preserve"> </w:t>
      </w:r>
      <w:r>
        <w:rPr>
          <w:rFonts w:ascii="宋体" w:hAnsi="宋体" w:eastAsia="宋体" w:cs="宋体"/>
          <w:spacing w:val="-1"/>
          <w:sz w:val="25"/>
          <w:szCs w:val="25"/>
        </w:rPr>
        <w:t>母线</w:t>
      </w:r>
      <w:r>
        <w:rPr>
          <w:rFonts w:ascii="宋体" w:hAnsi="宋体" w:eastAsia="宋体" w:cs="宋体"/>
          <w:sz w:val="25"/>
          <w:szCs w:val="25"/>
        </w:rPr>
        <w:t xml:space="preserve"> </w:t>
      </w:r>
      <w:r>
        <w:rPr>
          <w:rFonts w:ascii="宋体" w:hAnsi="宋体" w:eastAsia="宋体" w:cs="宋体"/>
          <w:spacing w:val="-6"/>
          <w:sz w:val="25"/>
          <w:szCs w:val="25"/>
        </w:rPr>
        <w:t>接入电网，线路长度约1.8</w:t>
      </w:r>
      <w:r>
        <w:rPr>
          <w:rFonts w:ascii="Times New Roman" w:hAnsi="Times New Roman" w:eastAsia="Times New Roman" w:cs="Times New Roman"/>
          <w:spacing w:val="-6"/>
          <w:sz w:val="25"/>
          <w:szCs w:val="25"/>
        </w:rPr>
        <w:t xml:space="preserve">km,  </w:t>
      </w:r>
      <w:r>
        <w:rPr>
          <w:rFonts w:ascii="宋体" w:hAnsi="宋体" w:eastAsia="宋体" w:cs="宋体"/>
          <w:spacing w:val="-6"/>
          <w:sz w:val="25"/>
          <w:szCs w:val="25"/>
        </w:rPr>
        <w:t>导线截面按240</w:t>
      </w:r>
      <w:r>
        <w:rPr>
          <w:rFonts w:ascii="Times New Roman" w:hAnsi="Times New Roman" w:eastAsia="Times New Roman" w:cs="Times New Roman"/>
          <w:spacing w:val="-6"/>
          <w:sz w:val="25"/>
          <w:szCs w:val="25"/>
        </w:rPr>
        <w:t>mm2</w:t>
      </w:r>
      <w:r>
        <w:rPr>
          <w:rFonts w:ascii="Times New Roman" w:hAnsi="Times New Roman" w:eastAsia="Times New Roman" w:cs="Times New Roman"/>
          <w:spacing w:val="-24"/>
          <w:sz w:val="25"/>
          <w:szCs w:val="25"/>
        </w:rPr>
        <w:t xml:space="preserve"> </w:t>
      </w:r>
      <w:r>
        <w:rPr>
          <w:rFonts w:ascii="宋体" w:hAnsi="宋体" w:eastAsia="宋体" w:cs="宋体"/>
          <w:spacing w:val="-6"/>
          <w:sz w:val="25"/>
          <w:szCs w:val="25"/>
        </w:rPr>
        <w:t>考虑，最终接入系统</w:t>
      </w:r>
      <w:r>
        <w:rPr>
          <w:rFonts w:ascii="宋体" w:hAnsi="宋体" w:eastAsia="宋体" w:cs="宋体"/>
          <w:spacing w:val="-7"/>
          <w:sz w:val="25"/>
          <w:szCs w:val="25"/>
        </w:rPr>
        <w:t>方案将</w:t>
      </w:r>
      <w:r>
        <w:rPr>
          <w:rFonts w:ascii="宋体" w:hAnsi="宋体" w:eastAsia="宋体" w:cs="宋体"/>
          <w:sz w:val="25"/>
          <w:szCs w:val="25"/>
        </w:rPr>
        <w:t xml:space="preserve"> </w:t>
      </w:r>
      <w:r>
        <w:rPr>
          <w:rFonts w:ascii="宋体" w:hAnsi="宋体" w:eastAsia="宋体" w:cs="宋体"/>
          <w:spacing w:val="-11"/>
          <w:sz w:val="25"/>
          <w:szCs w:val="25"/>
        </w:rPr>
        <w:t>在下阶段设计中进一步研究，并服从于电网整体规划。</w:t>
      </w:r>
    </w:p>
    <w:p w14:paraId="16918185">
      <w:pPr>
        <w:spacing w:before="155" w:line="353" w:lineRule="auto"/>
        <w:ind w:firstLine="500"/>
        <w:rPr>
          <w:rFonts w:ascii="Times New Roman" w:hAnsi="Times New Roman" w:eastAsia="Times New Roman" w:cs="Times New Roman"/>
          <w:sz w:val="24"/>
          <w:szCs w:val="24"/>
        </w:rPr>
      </w:pPr>
      <w:r>
        <w:rPr>
          <w:rFonts w:ascii="宋体" w:hAnsi="宋体" w:eastAsia="宋体" w:cs="宋体"/>
          <w:spacing w:val="2"/>
          <w:sz w:val="24"/>
          <w:szCs w:val="24"/>
        </w:rPr>
        <w:t>本工程共拟新建3条35</w:t>
      </w:r>
      <w:r>
        <w:rPr>
          <w:rFonts w:ascii="Times New Roman" w:hAnsi="Times New Roman" w:eastAsia="Times New Roman" w:cs="Times New Roman"/>
          <w:sz w:val="24"/>
          <w:szCs w:val="24"/>
        </w:rPr>
        <w:t>KV</w:t>
      </w:r>
      <w:r>
        <w:rPr>
          <w:rFonts w:ascii="宋体" w:hAnsi="宋体" w:eastAsia="宋体" w:cs="宋体"/>
          <w:spacing w:val="2"/>
          <w:sz w:val="24"/>
          <w:szCs w:val="24"/>
        </w:rPr>
        <w:t>集电线路，分别命名为</w:t>
      </w:r>
      <w:r>
        <w:rPr>
          <w:rFonts w:ascii="Times New Roman" w:hAnsi="Times New Roman" w:eastAsia="Times New Roman" w:cs="Times New Roman"/>
          <w:spacing w:val="2"/>
          <w:sz w:val="24"/>
          <w:szCs w:val="24"/>
        </w:rPr>
        <w:t xml:space="preserve">A </w:t>
      </w:r>
      <w:r>
        <w:rPr>
          <w:rFonts w:ascii="宋体" w:hAnsi="宋体" w:eastAsia="宋体" w:cs="宋体"/>
          <w:spacing w:val="2"/>
          <w:sz w:val="24"/>
          <w:szCs w:val="24"/>
        </w:rPr>
        <w:t>线</w:t>
      </w:r>
      <w:r>
        <w:rPr>
          <w:rFonts w:ascii="宋体" w:hAnsi="宋体" w:eastAsia="宋体" w:cs="宋体"/>
          <w:spacing w:val="-55"/>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 xml:space="preserve">B </w:t>
      </w:r>
      <w:r>
        <w:rPr>
          <w:rFonts w:ascii="宋体" w:hAnsi="宋体" w:eastAsia="宋体" w:cs="宋体"/>
          <w:spacing w:val="2"/>
          <w:sz w:val="24"/>
          <w:szCs w:val="24"/>
        </w:rPr>
        <w:t>线</w:t>
      </w:r>
      <w:r>
        <w:rPr>
          <w:rFonts w:ascii="宋体" w:hAnsi="宋体" w:eastAsia="宋体" w:cs="宋体"/>
          <w:spacing w:val="-63"/>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 xml:space="preserve">C </w:t>
      </w:r>
      <w:r>
        <w:rPr>
          <w:rFonts w:ascii="宋体" w:hAnsi="宋体" w:eastAsia="宋体" w:cs="宋体"/>
          <w:spacing w:val="2"/>
          <w:sz w:val="24"/>
          <w:szCs w:val="24"/>
        </w:rPr>
        <w:t>线；本工</w:t>
      </w:r>
      <w:r>
        <w:rPr>
          <w:rFonts w:ascii="宋体" w:hAnsi="宋体" w:eastAsia="宋体" w:cs="宋体"/>
          <w:sz w:val="24"/>
          <w:szCs w:val="24"/>
        </w:rPr>
        <w:t xml:space="preserve"> </w:t>
      </w:r>
      <w:r>
        <w:rPr>
          <w:rFonts w:ascii="宋体" w:hAnsi="宋体" w:eastAsia="宋体" w:cs="宋体"/>
          <w:spacing w:val="2"/>
          <w:sz w:val="24"/>
          <w:szCs w:val="24"/>
        </w:rPr>
        <w:t>程共新建35</w:t>
      </w:r>
      <w:r>
        <w:rPr>
          <w:rFonts w:ascii="Times New Roman" w:hAnsi="Times New Roman" w:eastAsia="Times New Roman" w:cs="Times New Roman"/>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2"/>
          <w:sz w:val="24"/>
          <w:szCs w:val="24"/>
        </w:rPr>
        <w:t>集电线路路径总长25.326</w:t>
      </w:r>
      <w:r>
        <w:rPr>
          <w:rFonts w:ascii="Times New Roman" w:hAnsi="Times New Roman" w:eastAsia="Times New Roman" w:cs="Times New Roman"/>
          <w:sz w:val="24"/>
          <w:szCs w:val="24"/>
        </w:rPr>
        <w:t>km</w:t>
      </w:r>
      <w:r>
        <w:rPr>
          <w:rFonts w:ascii="Times New Roman" w:hAnsi="Times New Roman" w:eastAsia="Times New Roman" w:cs="Times New Roman"/>
          <w:spacing w:val="2"/>
          <w:sz w:val="24"/>
          <w:szCs w:val="24"/>
        </w:rPr>
        <w:t>,</w:t>
      </w:r>
      <w:r>
        <w:rPr>
          <w:rFonts w:ascii="Times New Roman" w:hAnsi="Times New Roman" w:eastAsia="Times New Roman" w:cs="Times New Roman"/>
          <w:spacing w:val="45"/>
          <w:w w:val="101"/>
          <w:sz w:val="24"/>
          <w:szCs w:val="24"/>
        </w:rPr>
        <w:t xml:space="preserve"> </w:t>
      </w:r>
      <w:r>
        <w:rPr>
          <w:rFonts w:ascii="宋体" w:hAnsi="宋体" w:eastAsia="宋体" w:cs="宋体"/>
          <w:spacing w:val="2"/>
          <w:sz w:val="24"/>
          <w:szCs w:val="24"/>
        </w:rPr>
        <w:t>因地块分散且光伏距</w:t>
      </w:r>
      <w:r>
        <w:rPr>
          <w:rFonts w:ascii="宋体" w:hAnsi="宋体" w:eastAsia="宋体" w:cs="宋体"/>
          <w:spacing w:val="1"/>
          <w:sz w:val="24"/>
          <w:szCs w:val="24"/>
        </w:rPr>
        <w:t>离较远，因此</w:t>
      </w:r>
      <w:r>
        <w:rPr>
          <w:rFonts w:ascii="宋体" w:hAnsi="宋体" w:eastAsia="宋体" w:cs="宋体"/>
          <w:sz w:val="24"/>
          <w:szCs w:val="24"/>
        </w:rPr>
        <w:t xml:space="preserve"> </w:t>
      </w:r>
      <w:r>
        <w:rPr>
          <w:rFonts w:ascii="宋体" w:hAnsi="宋体" w:eastAsia="宋体" w:cs="宋体"/>
          <w:spacing w:val="9"/>
          <w:sz w:val="24"/>
          <w:szCs w:val="24"/>
        </w:rPr>
        <w:t>本线路路径较长。35</w:t>
      </w:r>
      <w:r>
        <w:rPr>
          <w:rFonts w:ascii="Times New Roman" w:hAnsi="Times New Roman" w:eastAsia="Times New Roman" w:cs="Times New Roman"/>
          <w:sz w:val="24"/>
          <w:szCs w:val="24"/>
        </w:rPr>
        <w:t>kV</w:t>
      </w:r>
      <w:r>
        <w:rPr>
          <w:rFonts w:ascii="Times New Roman" w:hAnsi="Times New Roman" w:eastAsia="Times New Roman" w:cs="Times New Roman"/>
          <w:spacing w:val="-22"/>
          <w:sz w:val="24"/>
          <w:szCs w:val="24"/>
        </w:rPr>
        <w:t xml:space="preserve"> </w:t>
      </w:r>
      <w:r>
        <w:rPr>
          <w:rFonts w:ascii="宋体" w:hAnsi="宋体" w:eastAsia="宋体" w:cs="宋体"/>
          <w:spacing w:val="9"/>
          <w:sz w:val="24"/>
          <w:szCs w:val="24"/>
        </w:rPr>
        <w:t>集电线路全线共新建93</w:t>
      </w:r>
      <w:r>
        <w:rPr>
          <w:rFonts w:ascii="宋体" w:hAnsi="宋体" w:eastAsia="宋体" w:cs="宋体"/>
          <w:spacing w:val="8"/>
          <w:sz w:val="24"/>
          <w:szCs w:val="24"/>
        </w:rPr>
        <w:t>基铁塔，其中新建双回铁塔17</w:t>
      </w:r>
      <w:r>
        <w:rPr>
          <w:rFonts w:ascii="宋体" w:hAnsi="宋体" w:eastAsia="宋体" w:cs="宋体"/>
          <w:sz w:val="24"/>
          <w:szCs w:val="24"/>
        </w:rPr>
        <w:t xml:space="preserve"> </w:t>
      </w:r>
      <w:r>
        <w:rPr>
          <w:rFonts w:ascii="宋体" w:hAnsi="宋体" w:eastAsia="宋体" w:cs="宋体"/>
          <w:spacing w:val="23"/>
          <w:sz w:val="24"/>
          <w:szCs w:val="24"/>
        </w:rPr>
        <w:t>基(其中6基直线、2基</w:t>
      </w:r>
      <w:r>
        <w:rPr>
          <w:rFonts w:ascii="Times New Roman" w:hAnsi="Times New Roman" w:eastAsia="Times New Roman" w:cs="Times New Roman"/>
          <w:spacing w:val="23"/>
          <w:sz w:val="24"/>
          <w:szCs w:val="24"/>
        </w:rPr>
        <w:t xml:space="preserve">T </w:t>
      </w:r>
      <w:r>
        <w:rPr>
          <w:rFonts w:ascii="宋体" w:hAnsi="宋体" w:eastAsia="宋体" w:cs="宋体"/>
          <w:spacing w:val="23"/>
          <w:sz w:val="24"/>
          <w:szCs w:val="24"/>
        </w:rPr>
        <w:t>接塔、9基耐张塔),单回路76基(其中32基直</w:t>
      </w:r>
      <w:r>
        <w:rPr>
          <w:rFonts w:ascii="宋体" w:hAnsi="宋体" w:eastAsia="宋体" w:cs="宋体"/>
          <w:spacing w:val="22"/>
          <w:sz w:val="24"/>
          <w:szCs w:val="24"/>
        </w:rPr>
        <w:t>线、</w:t>
      </w:r>
      <w:r>
        <w:rPr>
          <w:rFonts w:ascii="宋体" w:hAnsi="宋体" w:eastAsia="宋体" w:cs="宋体"/>
          <w:sz w:val="24"/>
          <w:szCs w:val="24"/>
        </w:rPr>
        <w:t xml:space="preserve"> </w:t>
      </w:r>
      <w:r>
        <w:rPr>
          <w:rFonts w:ascii="宋体" w:hAnsi="宋体" w:eastAsia="宋体" w:cs="宋体"/>
          <w:spacing w:val="10"/>
          <w:sz w:val="24"/>
          <w:szCs w:val="24"/>
        </w:rPr>
        <w:t>3</w:t>
      </w:r>
      <w:r>
        <w:rPr>
          <w:rFonts w:ascii="宋体" w:hAnsi="宋体" w:eastAsia="宋体" w:cs="宋体"/>
          <w:spacing w:val="-3"/>
          <w:sz w:val="24"/>
          <w:szCs w:val="24"/>
        </w:rPr>
        <w:t xml:space="preserve"> </w:t>
      </w:r>
      <w:r>
        <w:rPr>
          <w:rFonts w:ascii="宋体" w:hAnsi="宋体" w:eastAsia="宋体" w:cs="宋体"/>
          <w:spacing w:val="10"/>
          <w:sz w:val="24"/>
          <w:szCs w:val="24"/>
        </w:rPr>
        <w:t>基</w:t>
      </w:r>
      <w:r>
        <w:rPr>
          <w:rFonts w:ascii="Times New Roman" w:hAnsi="Times New Roman" w:eastAsia="Times New Roman" w:cs="Times New Roman"/>
          <w:spacing w:val="10"/>
          <w:sz w:val="24"/>
          <w:szCs w:val="24"/>
        </w:rPr>
        <w:t>T</w:t>
      </w:r>
      <w:r>
        <w:rPr>
          <w:rFonts w:ascii="Times New Roman" w:hAnsi="Times New Roman" w:eastAsia="Times New Roman" w:cs="Times New Roman"/>
          <w:spacing w:val="21"/>
          <w:sz w:val="24"/>
          <w:szCs w:val="24"/>
        </w:rPr>
        <w:t xml:space="preserve"> </w:t>
      </w:r>
      <w:r>
        <w:rPr>
          <w:rFonts w:ascii="宋体" w:hAnsi="宋体" w:eastAsia="宋体" w:cs="宋体"/>
          <w:spacing w:val="10"/>
          <w:sz w:val="24"/>
          <w:szCs w:val="24"/>
        </w:rPr>
        <w:t>接塔、41基耐张塔);集电线路路路径总长25.326</w:t>
      </w:r>
      <w:r>
        <w:rPr>
          <w:rFonts w:ascii="Times New Roman" w:hAnsi="Times New Roman" w:eastAsia="Times New Roman" w:cs="Times New Roman"/>
          <w:sz w:val="24"/>
          <w:szCs w:val="24"/>
        </w:rPr>
        <w:t>km</w:t>
      </w:r>
      <w:r>
        <w:rPr>
          <w:rFonts w:ascii="Times New Roman" w:hAnsi="Times New Roman" w:eastAsia="Times New Roman" w:cs="Times New Roman"/>
          <w:spacing w:val="35"/>
          <w:w w:val="101"/>
          <w:sz w:val="24"/>
          <w:szCs w:val="24"/>
        </w:rPr>
        <w:t xml:space="preserve"> </w:t>
      </w:r>
      <w:r>
        <w:rPr>
          <w:rFonts w:ascii="Times New Roman" w:hAnsi="Times New Roman" w:eastAsia="Times New Roman" w:cs="Times New Roman"/>
          <w:spacing w:val="10"/>
          <w:sz w:val="24"/>
          <w:szCs w:val="24"/>
        </w:rPr>
        <w:t xml:space="preserve">( </w:t>
      </w:r>
      <w:r>
        <w:rPr>
          <w:rFonts w:ascii="宋体" w:hAnsi="宋体" w:eastAsia="宋体" w:cs="宋体"/>
          <w:spacing w:val="10"/>
          <w:sz w:val="24"/>
          <w:szCs w:val="24"/>
        </w:rPr>
        <w:t>其中含3.135</w:t>
      </w:r>
      <w:r>
        <w:rPr>
          <w:rFonts w:ascii="Times New Roman" w:hAnsi="Times New Roman" w:eastAsia="Times New Roman" w:cs="Times New Roman"/>
          <w:sz w:val="24"/>
          <w:szCs w:val="24"/>
        </w:rPr>
        <w:t xml:space="preserve">km  </w:t>
      </w:r>
      <w:r>
        <w:rPr>
          <w:rFonts w:ascii="宋体" w:hAnsi="宋体" w:eastAsia="宋体" w:cs="宋体"/>
          <w:spacing w:val="4"/>
          <w:sz w:val="24"/>
          <w:szCs w:val="24"/>
        </w:rPr>
        <w:t>同塔双回架空路径)新建</w:t>
      </w:r>
      <w:r>
        <w:rPr>
          <w:rFonts w:ascii="Times New Roman" w:hAnsi="Times New Roman" w:eastAsia="Times New Roman" w:cs="Times New Roman"/>
          <w:spacing w:val="4"/>
          <w:sz w:val="24"/>
          <w:szCs w:val="24"/>
        </w:rPr>
        <w:t xml:space="preserve">A </w:t>
      </w:r>
      <w:r>
        <w:rPr>
          <w:rFonts w:ascii="宋体" w:hAnsi="宋体" w:eastAsia="宋体" w:cs="宋体"/>
          <w:spacing w:val="4"/>
          <w:sz w:val="24"/>
          <w:szCs w:val="24"/>
        </w:rPr>
        <w:t>线12.459</w:t>
      </w:r>
      <w:r>
        <w:rPr>
          <w:rFonts w:ascii="Times New Roman" w:hAnsi="Times New Roman" w:eastAsia="Times New Roman" w:cs="Times New Roman"/>
          <w:sz w:val="24"/>
          <w:szCs w:val="24"/>
        </w:rPr>
        <w:t>km</w:t>
      </w:r>
      <w:r>
        <w:rPr>
          <w:rFonts w:ascii="Times New Roman" w:hAnsi="Times New Roman" w:eastAsia="Times New Roman" w:cs="Times New Roman"/>
          <w:spacing w:val="4"/>
          <w:sz w:val="24"/>
          <w:szCs w:val="24"/>
        </w:rPr>
        <w:t xml:space="preserve">,  B </w:t>
      </w:r>
      <w:r>
        <w:rPr>
          <w:rFonts w:ascii="仿宋" w:hAnsi="仿宋" w:eastAsia="仿宋" w:cs="仿宋"/>
          <w:spacing w:val="4"/>
          <w:sz w:val="24"/>
          <w:szCs w:val="24"/>
        </w:rPr>
        <w:t>线7.810</w:t>
      </w:r>
      <w:r>
        <w:rPr>
          <w:rFonts w:ascii="Times New Roman" w:hAnsi="Times New Roman" w:eastAsia="Times New Roman" w:cs="Times New Roman"/>
          <w:sz w:val="24"/>
          <w:szCs w:val="24"/>
        </w:rPr>
        <w:t>km</w:t>
      </w:r>
      <w:r>
        <w:rPr>
          <w:rFonts w:ascii="Times New Roman" w:hAnsi="Times New Roman" w:eastAsia="Times New Roman" w:cs="Times New Roman"/>
          <w:spacing w:val="4"/>
          <w:sz w:val="24"/>
          <w:szCs w:val="24"/>
        </w:rPr>
        <w:t xml:space="preserve">,C    </w:t>
      </w:r>
      <w:r>
        <w:rPr>
          <w:rFonts w:ascii="仿宋" w:hAnsi="仿宋" w:eastAsia="仿宋" w:cs="仿宋"/>
          <w:spacing w:val="4"/>
          <w:sz w:val="24"/>
          <w:szCs w:val="24"/>
        </w:rPr>
        <w:t>线5.057</w:t>
      </w:r>
      <w:r>
        <w:rPr>
          <w:rFonts w:ascii="Times New Roman" w:hAnsi="Times New Roman" w:eastAsia="Times New Roman" w:cs="Times New Roman"/>
          <w:sz w:val="24"/>
          <w:szCs w:val="24"/>
        </w:rPr>
        <w:t>km</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架空导</w:t>
      </w:r>
      <w:r>
        <w:rPr>
          <w:rFonts w:ascii="宋体" w:hAnsi="宋体" w:eastAsia="宋体" w:cs="宋体"/>
          <w:spacing w:val="2"/>
          <w:sz w:val="24"/>
          <w:szCs w:val="24"/>
        </w:rPr>
        <w:t xml:space="preserve">  </w:t>
      </w:r>
      <w:r>
        <w:rPr>
          <w:rFonts w:ascii="宋体" w:hAnsi="宋体" w:eastAsia="宋体" w:cs="宋体"/>
          <w:spacing w:val="18"/>
          <w:sz w:val="24"/>
          <w:szCs w:val="24"/>
        </w:rPr>
        <w:t>线采用</w:t>
      </w:r>
      <w:r>
        <w:rPr>
          <w:rFonts w:ascii="宋体" w:hAnsi="宋体" w:eastAsia="宋体" w:cs="宋体"/>
          <w:spacing w:val="-62"/>
          <w:sz w:val="24"/>
          <w:szCs w:val="24"/>
        </w:rPr>
        <w:t xml:space="preserve"> </w:t>
      </w:r>
      <w:r>
        <w:rPr>
          <w:rFonts w:ascii="Times New Roman" w:hAnsi="Times New Roman" w:eastAsia="Times New Roman" w:cs="Times New Roman"/>
          <w:sz w:val="24"/>
          <w:szCs w:val="24"/>
        </w:rPr>
        <w:t>JL</w:t>
      </w:r>
      <w:r>
        <w:rPr>
          <w:rFonts w:ascii="Times New Roman" w:hAnsi="Times New Roman" w:eastAsia="Times New Roman" w:cs="Times New Roman"/>
          <w:spacing w:val="18"/>
          <w:sz w:val="24"/>
          <w:szCs w:val="24"/>
        </w:rPr>
        <w:t>/G1A-240/30</w:t>
      </w:r>
      <w:r>
        <w:rPr>
          <w:rFonts w:ascii="Times New Roman" w:hAnsi="Times New Roman" w:eastAsia="Times New Roman" w:cs="Times New Roman"/>
          <w:spacing w:val="3"/>
          <w:sz w:val="24"/>
          <w:szCs w:val="24"/>
        </w:rPr>
        <w:t xml:space="preserve">  </w:t>
      </w:r>
      <w:r>
        <w:rPr>
          <w:rFonts w:ascii="宋体" w:hAnsi="宋体" w:eastAsia="宋体" w:cs="宋体"/>
          <w:spacing w:val="18"/>
          <w:sz w:val="24"/>
          <w:szCs w:val="24"/>
        </w:rPr>
        <w:t xml:space="preserve">型钢芯铝绞线； </w:t>
      </w:r>
      <w:r>
        <w:rPr>
          <w:rFonts w:ascii="Times New Roman" w:hAnsi="Times New Roman" w:eastAsia="Times New Roman" w:cs="Times New Roman"/>
          <w:spacing w:val="18"/>
          <w:sz w:val="24"/>
          <w:szCs w:val="24"/>
        </w:rPr>
        <w:t xml:space="preserve">B  </w:t>
      </w:r>
      <w:r>
        <w:rPr>
          <w:rFonts w:ascii="宋体" w:hAnsi="宋体" w:eastAsia="宋体" w:cs="宋体"/>
          <w:spacing w:val="18"/>
          <w:sz w:val="24"/>
          <w:szCs w:val="24"/>
        </w:rPr>
        <w:t>线因主线线路较远，导线采用</w:t>
      </w:r>
      <w:r>
        <w:rPr>
          <w:rFonts w:ascii="宋体" w:hAnsi="宋体" w:eastAsia="宋体" w:cs="宋体"/>
          <w:sz w:val="24"/>
          <w:szCs w:val="24"/>
        </w:rPr>
        <w:t xml:space="preserve"> </w:t>
      </w:r>
      <w:r>
        <w:rPr>
          <w:rFonts w:ascii="Times New Roman" w:hAnsi="Times New Roman" w:eastAsia="Times New Roman" w:cs="Times New Roman"/>
          <w:sz w:val="24"/>
          <w:szCs w:val="24"/>
        </w:rPr>
        <w:t>JL</w:t>
      </w:r>
      <w:r>
        <w:rPr>
          <w:rFonts w:ascii="Times New Roman" w:hAnsi="Times New Roman" w:eastAsia="Times New Roman" w:cs="Times New Roman"/>
          <w:spacing w:val="1"/>
          <w:sz w:val="24"/>
          <w:szCs w:val="24"/>
        </w:rPr>
        <w:t xml:space="preserve">/G1A-300/40 </w:t>
      </w:r>
      <w:r>
        <w:rPr>
          <w:rFonts w:ascii="宋体" w:hAnsi="宋体" w:eastAsia="宋体" w:cs="宋体"/>
          <w:spacing w:val="1"/>
          <w:sz w:val="24"/>
          <w:szCs w:val="24"/>
        </w:rPr>
        <w:t>的型钢芯铝绞线；</w:t>
      </w:r>
      <w:r>
        <w:rPr>
          <w:rFonts w:ascii="Times New Roman" w:hAnsi="Times New Roman" w:eastAsia="Times New Roman" w:cs="Times New Roman"/>
          <w:spacing w:val="1"/>
          <w:sz w:val="24"/>
          <w:szCs w:val="24"/>
        </w:rPr>
        <w:t>T</w:t>
      </w:r>
      <w:r>
        <w:rPr>
          <w:rFonts w:ascii="Times New Roman" w:hAnsi="Times New Roman" w:eastAsia="Times New Roman" w:cs="Times New Roman"/>
          <w:spacing w:val="42"/>
          <w:w w:val="101"/>
          <w:sz w:val="24"/>
          <w:szCs w:val="24"/>
        </w:rPr>
        <w:t xml:space="preserve"> </w:t>
      </w:r>
      <w:r>
        <w:rPr>
          <w:rFonts w:ascii="宋体" w:hAnsi="宋体" w:eastAsia="宋体" w:cs="宋体"/>
          <w:spacing w:val="1"/>
          <w:sz w:val="24"/>
          <w:szCs w:val="24"/>
        </w:rPr>
        <w:t>接线采用</w:t>
      </w:r>
      <w:r>
        <w:rPr>
          <w:rFonts w:ascii="Times New Roman" w:hAnsi="Times New Roman" w:eastAsia="Times New Roman" w:cs="Times New Roman"/>
          <w:sz w:val="24"/>
          <w:szCs w:val="24"/>
        </w:rPr>
        <w:t>JL</w:t>
      </w:r>
      <w:r>
        <w:rPr>
          <w:rFonts w:ascii="Times New Roman" w:hAnsi="Times New Roman" w:eastAsia="Times New Roman" w:cs="Times New Roman"/>
          <w:spacing w:val="1"/>
          <w:sz w:val="24"/>
          <w:szCs w:val="24"/>
        </w:rPr>
        <w:t>/G1A-150/25</w:t>
      </w:r>
      <w:r>
        <w:rPr>
          <w:rFonts w:ascii="Times New Roman" w:hAnsi="Times New Roman" w:eastAsia="Times New Roman" w:cs="Times New Roman"/>
          <w:spacing w:val="25"/>
          <w:w w:val="101"/>
          <w:sz w:val="24"/>
          <w:szCs w:val="24"/>
        </w:rPr>
        <w:t xml:space="preserve"> </w:t>
      </w:r>
      <w:r>
        <w:rPr>
          <w:rFonts w:ascii="宋体" w:hAnsi="宋体" w:eastAsia="宋体" w:cs="宋体"/>
          <w:spacing w:val="1"/>
          <w:sz w:val="24"/>
          <w:szCs w:val="24"/>
        </w:rPr>
        <w:t>的型钢芯铝绞线。</w:t>
      </w:r>
      <w:r>
        <w:rPr>
          <w:rFonts w:ascii="宋体" w:hAnsi="宋体" w:eastAsia="宋体" w:cs="宋体"/>
          <w:sz w:val="24"/>
          <w:szCs w:val="24"/>
        </w:rPr>
        <w:t xml:space="preserve">  </w:t>
      </w:r>
      <w:r>
        <w:rPr>
          <w:rFonts w:ascii="宋体" w:hAnsi="宋体" w:eastAsia="宋体" w:cs="宋体"/>
          <w:spacing w:val="4"/>
          <w:sz w:val="24"/>
          <w:szCs w:val="24"/>
        </w:rPr>
        <w:t>双回架空地线采用1根48芯</w:t>
      </w:r>
      <w:r>
        <w:rPr>
          <w:rFonts w:ascii="Times New Roman" w:hAnsi="Times New Roman" w:eastAsia="Times New Roman" w:cs="Times New Roman"/>
          <w:sz w:val="24"/>
          <w:szCs w:val="24"/>
        </w:rPr>
        <w:t>OPGW</w:t>
      </w:r>
      <w:r>
        <w:rPr>
          <w:rFonts w:ascii="Times New Roman" w:hAnsi="Times New Roman" w:eastAsia="Times New Roman" w:cs="Times New Roman"/>
          <w:spacing w:val="4"/>
          <w:sz w:val="24"/>
          <w:szCs w:val="24"/>
        </w:rPr>
        <w:t>-50</w:t>
      </w:r>
      <w:r>
        <w:rPr>
          <w:rFonts w:ascii="Times New Roman" w:hAnsi="Times New Roman" w:eastAsia="Times New Roman" w:cs="Times New Roman"/>
          <w:spacing w:val="22"/>
          <w:w w:val="101"/>
          <w:sz w:val="24"/>
          <w:szCs w:val="24"/>
        </w:rPr>
        <w:t xml:space="preserve"> </w:t>
      </w:r>
      <w:r>
        <w:rPr>
          <w:rFonts w:ascii="宋体" w:hAnsi="宋体" w:eastAsia="宋体" w:cs="宋体"/>
          <w:spacing w:val="4"/>
          <w:sz w:val="24"/>
          <w:szCs w:val="24"/>
        </w:rPr>
        <w:t>的光缆；单回地线采用1根2</w:t>
      </w:r>
      <w:r>
        <w:rPr>
          <w:rFonts w:ascii="宋体" w:hAnsi="宋体" w:eastAsia="宋体" w:cs="宋体"/>
          <w:spacing w:val="3"/>
          <w:sz w:val="24"/>
          <w:szCs w:val="24"/>
        </w:rPr>
        <w:t>4芯</w:t>
      </w:r>
      <w:r>
        <w:rPr>
          <w:rFonts w:ascii="Times New Roman" w:hAnsi="Times New Roman" w:eastAsia="Times New Roman" w:cs="Times New Roman"/>
          <w:sz w:val="24"/>
          <w:szCs w:val="24"/>
        </w:rPr>
        <w:t>OPGW</w:t>
      </w:r>
      <w:r>
        <w:rPr>
          <w:rFonts w:ascii="Times New Roman" w:hAnsi="Times New Roman" w:eastAsia="Times New Roman" w:cs="Times New Roman"/>
          <w:spacing w:val="3"/>
          <w:sz w:val="24"/>
          <w:szCs w:val="24"/>
        </w:rPr>
        <w:t>-50</w:t>
      </w:r>
    </w:p>
    <w:p w14:paraId="5EB5D9BC">
      <w:pPr>
        <w:spacing w:line="353" w:lineRule="auto"/>
        <w:rPr>
          <w:rFonts w:ascii="Times New Roman" w:hAnsi="Times New Roman" w:eastAsia="Times New Roman" w:cs="Times New Roman"/>
          <w:sz w:val="24"/>
          <w:szCs w:val="24"/>
        </w:rPr>
        <w:sectPr>
          <w:footerReference r:id="rId224" w:type="default"/>
          <w:pgSz w:w="11910" w:h="16830"/>
          <w:pgMar w:top="400" w:right="1740" w:bottom="1181" w:left="1769" w:header="0" w:footer="922" w:gutter="0"/>
          <w:cols w:space="720" w:num="1"/>
        </w:sectPr>
      </w:pPr>
    </w:p>
    <w:p w14:paraId="349C171E">
      <w:pPr>
        <w:pStyle w:val="2"/>
        <w:spacing w:line="263" w:lineRule="auto"/>
      </w:pPr>
    </w:p>
    <w:p w14:paraId="08195708">
      <w:pPr>
        <w:pStyle w:val="2"/>
        <w:spacing w:line="263" w:lineRule="auto"/>
      </w:pPr>
    </w:p>
    <w:p w14:paraId="1427F6B3">
      <w:pPr>
        <w:pStyle w:val="2"/>
        <w:spacing w:line="263" w:lineRule="auto"/>
      </w:pPr>
    </w:p>
    <w:p w14:paraId="68CA7574">
      <w:pPr>
        <w:pStyle w:val="2"/>
        <w:spacing w:line="264" w:lineRule="auto"/>
      </w:pPr>
    </w:p>
    <w:p w14:paraId="00BACFAC">
      <w:pPr>
        <w:spacing w:before="78" w:line="362" w:lineRule="auto"/>
        <w:ind w:right="54"/>
        <w:rPr>
          <w:rFonts w:ascii="宋体" w:hAnsi="宋体" w:eastAsia="宋体" w:cs="宋体"/>
          <w:sz w:val="24"/>
          <w:szCs w:val="24"/>
        </w:rPr>
      </w:pPr>
      <w:r>
        <w:rPr>
          <w:rFonts w:ascii="宋体" w:hAnsi="宋体" w:eastAsia="宋体" w:cs="宋体"/>
          <w:spacing w:val="-4"/>
          <w:sz w:val="24"/>
          <w:szCs w:val="24"/>
        </w:rPr>
        <w:t>的光缆。35</w:t>
      </w:r>
      <w:r>
        <w:rPr>
          <w:rFonts w:ascii="Times New Roman" w:hAnsi="Times New Roman" w:eastAsia="Times New Roman" w:cs="Times New Roman"/>
          <w:spacing w:val="-4"/>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4"/>
          <w:sz w:val="24"/>
          <w:szCs w:val="24"/>
        </w:rPr>
        <w:t>集电线路采用</w:t>
      </w:r>
      <w:r>
        <w:rPr>
          <w:rFonts w:ascii="Times New Roman" w:hAnsi="Times New Roman" w:eastAsia="Times New Roman" w:cs="Times New Roman"/>
          <w:spacing w:val="-4"/>
          <w:sz w:val="24"/>
          <w:szCs w:val="24"/>
        </w:rPr>
        <w:t>ZRC-YJLHV22-26/35kV-3×40</w:t>
      </w:r>
      <w:r>
        <w:rPr>
          <w:rFonts w:ascii="Times New Roman" w:hAnsi="Times New Roman" w:eastAsia="Times New Roman" w:cs="Times New Roman"/>
          <w:spacing w:val="-5"/>
          <w:sz w:val="24"/>
          <w:szCs w:val="24"/>
        </w:rPr>
        <w:t>0mm²</w:t>
      </w:r>
      <w:r>
        <w:rPr>
          <w:rFonts w:ascii="宋体" w:hAnsi="宋体" w:eastAsia="宋体" w:cs="宋体"/>
          <w:spacing w:val="-5"/>
          <w:sz w:val="24"/>
          <w:szCs w:val="24"/>
        </w:rPr>
        <w:t>的主电缆，电缆路</w:t>
      </w:r>
      <w:r>
        <w:rPr>
          <w:rFonts w:ascii="宋体" w:hAnsi="宋体" w:eastAsia="宋体" w:cs="宋体"/>
          <w:sz w:val="24"/>
          <w:szCs w:val="24"/>
        </w:rPr>
        <w:t xml:space="preserve"> </w:t>
      </w:r>
      <w:r>
        <w:rPr>
          <w:rFonts w:ascii="宋体" w:hAnsi="宋体" w:eastAsia="宋体" w:cs="宋体"/>
          <w:spacing w:val="-2"/>
          <w:sz w:val="24"/>
          <w:szCs w:val="24"/>
        </w:rPr>
        <w:t>径总长约为14.630</w:t>
      </w:r>
      <w:r>
        <w:rPr>
          <w:rFonts w:ascii="Times New Roman" w:hAnsi="Times New Roman" w:eastAsia="Times New Roman" w:cs="Times New Roman"/>
          <w:spacing w:val="-2"/>
          <w:sz w:val="24"/>
          <w:szCs w:val="24"/>
        </w:rPr>
        <w:t>km</w:t>
      </w:r>
      <w:r>
        <w:rPr>
          <w:rFonts w:ascii="宋体" w:hAnsi="宋体" w:eastAsia="宋体" w:cs="宋体"/>
          <w:spacing w:val="-2"/>
          <w:sz w:val="24"/>
          <w:szCs w:val="24"/>
        </w:rPr>
        <w:t>。</w:t>
      </w:r>
    </w:p>
    <w:p w14:paraId="12F3119E">
      <w:pPr>
        <w:spacing w:before="1" w:line="352" w:lineRule="auto"/>
        <w:ind w:right="50" w:firstLine="480"/>
        <w:jc w:val="both"/>
        <w:rPr>
          <w:rFonts w:ascii="宋体" w:hAnsi="宋体" w:eastAsia="宋体" w:cs="宋体"/>
          <w:sz w:val="24"/>
          <w:szCs w:val="24"/>
        </w:rPr>
      </w:pPr>
      <w:r>
        <w:rPr>
          <w:rFonts w:ascii="宋体" w:hAnsi="宋体" w:eastAsia="宋体" w:cs="宋体"/>
          <w:spacing w:val="8"/>
          <w:sz w:val="24"/>
          <w:szCs w:val="24"/>
        </w:rPr>
        <w:t>本期工程新建1座110</w:t>
      </w:r>
      <w:r>
        <w:rPr>
          <w:rFonts w:ascii="Times New Roman" w:hAnsi="Times New Roman" w:eastAsia="Times New Roman" w:cs="Times New Roman"/>
          <w:sz w:val="24"/>
          <w:szCs w:val="24"/>
        </w:rPr>
        <w:t>kV</w:t>
      </w:r>
      <w:r>
        <w:rPr>
          <w:rFonts w:ascii="Times New Roman" w:hAnsi="Times New Roman" w:eastAsia="Times New Roman" w:cs="Times New Roman"/>
          <w:spacing w:val="-5"/>
          <w:sz w:val="24"/>
          <w:szCs w:val="24"/>
        </w:rPr>
        <w:t xml:space="preserve"> </w:t>
      </w:r>
      <w:r>
        <w:rPr>
          <w:rFonts w:ascii="宋体" w:hAnsi="宋体" w:eastAsia="宋体" w:cs="宋体"/>
          <w:spacing w:val="8"/>
          <w:sz w:val="24"/>
          <w:szCs w:val="24"/>
        </w:rPr>
        <w:t>升压站，该升压站位于本项目光伏场区6-7#光伏</w:t>
      </w:r>
      <w:r>
        <w:rPr>
          <w:rFonts w:ascii="宋体" w:hAnsi="宋体" w:eastAsia="宋体" w:cs="宋体"/>
          <w:sz w:val="24"/>
          <w:szCs w:val="24"/>
        </w:rPr>
        <w:t xml:space="preserve"> </w:t>
      </w:r>
      <w:r>
        <w:rPr>
          <w:rFonts w:ascii="宋体" w:hAnsi="宋体" w:eastAsia="宋体" w:cs="宋体"/>
          <w:spacing w:val="1"/>
          <w:sz w:val="24"/>
          <w:szCs w:val="24"/>
        </w:rPr>
        <w:t>子方阵附近，升压站内安装1台110</w:t>
      </w:r>
      <w:r>
        <w:rPr>
          <w:rFonts w:ascii="Times New Roman" w:hAnsi="Times New Roman" w:eastAsia="Times New Roman" w:cs="Times New Roman"/>
          <w:sz w:val="24"/>
          <w:szCs w:val="24"/>
        </w:rPr>
        <w:t>kV</w:t>
      </w:r>
      <w:r>
        <w:rPr>
          <w:rFonts w:ascii="Times New Roman" w:hAnsi="Times New Roman" w:eastAsia="Times New Roman" w:cs="Times New Roman"/>
          <w:spacing w:val="19"/>
          <w:w w:val="101"/>
          <w:sz w:val="24"/>
          <w:szCs w:val="24"/>
        </w:rPr>
        <w:t xml:space="preserve"> </w:t>
      </w:r>
      <w:r>
        <w:rPr>
          <w:rFonts w:ascii="宋体" w:hAnsi="宋体" w:eastAsia="宋体" w:cs="宋体"/>
          <w:spacing w:val="1"/>
          <w:sz w:val="24"/>
          <w:szCs w:val="24"/>
        </w:rPr>
        <w:t>主变，主变容量为1×50</w:t>
      </w:r>
      <w:r>
        <w:rPr>
          <w:rFonts w:ascii="Times New Roman" w:hAnsi="Times New Roman" w:eastAsia="Times New Roman" w:cs="Times New Roman"/>
          <w:sz w:val="24"/>
          <w:szCs w:val="24"/>
        </w:rPr>
        <w:t xml:space="preserve">MVA,110kV  GIS </w:t>
      </w:r>
      <w:r>
        <w:rPr>
          <w:rFonts w:ascii="宋体" w:hAnsi="宋体" w:eastAsia="宋体" w:cs="宋体"/>
          <w:spacing w:val="6"/>
          <w:sz w:val="24"/>
          <w:szCs w:val="24"/>
        </w:rPr>
        <w:t>组合设备(线变组间隔-主变-出线)126</w:t>
      </w:r>
      <w:r>
        <w:rPr>
          <w:rFonts w:ascii="Times New Roman" w:hAnsi="Times New Roman" w:eastAsia="Times New Roman" w:cs="Times New Roman"/>
          <w:sz w:val="24"/>
          <w:szCs w:val="24"/>
        </w:rPr>
        <w:t>kV</w:t>
      </w:r>
      <w:r>
        <w:rPr>
          <w:rFonts w:ascii="Times New Roman" w:hAnsi="Times New Roman" w:eastAsia="Times New Roman" w:cs="Times New Roman"/>
          <w:spacing w:val="6"/>
          <w:sz w:val="24"/>
          <w:szCs w:val="24"/>
        </w:rPr>
        <w:t>,2000A,40</w:t>
      </w:r>
      <w:r>
        <w:rPr>
          <w:rFonts w:ascii="Times New Roman" w:hAnsi="Times New Roman" w:eastAsia="Times New Roman" w:cs="Times New Roman"/>
          <w:sz w:val="24"/>
          <w:szCs w:val="24"/>
        </w:rPr>
        <w:t>kA</w:t>
      </w:r>
      <w:r>
        <w:rPr>
          <w:rFonts w:ascii="Times New Roman" w:hAnsi="Times New Roman" w:eastAsia="Times New Roman" w:cs="Times New Roman"/>
          <w:spacing w:val="6"/>
          <w:sz w:val="24"/>
          <w:szCs w:val="24"/>
        </w:rPr>
        <w:t>(4s),100</w:t>
      </w:r>
      <w:r>
        <w:rPr>
          <w:rFonts w:ascii="Times New Roman" w:hAnsi="Times New Roman" w:eastAsia="Times New Roman" w:cs="Times New Roman"/>
          <w:sz w:val="24"/>
          <w:szCs w:val="24"/>
        </w:rPr>
        <w:t>kA</w:t>
      </w:r>
      <w:r>
        <w:rPr>
          <w:rFonts w:ascii="Times New Roman" w:hAnsi="Times New Roman" w:eastAsia="Times New Roman" w:cs="Times New Roman"/>
          <w:spacing w:val="6"/>
          <w:sz w:val="24"/>
          <w:szCs w:val="24"/>
        </w:rPr>
        <w:t xml:space="preserve">   </w:t>
      </w:r>
      <w:r>
        <w:rPr>
          <w:rFonts w:ascii="宋体" w:hAnsi="宋体" w:eastAsia="宋体" w:cs="宋体"/>
          <w:spacing w:val="6"/>
          <w:sz w:val="24"/>
          <w:szCs w:val="24"/>
        </w:rPr>
        <w:t>含带电显示</w:t>
      </w:r>
      <w:r>
        <w:rPr>
          <w:rFonts w:ascii="宋体" w:hAnsi="宋体" w:eastAsia="宋体" w:cs="宋体"/>
          <w:spacing w:val="2"/>
          <w:sz w:val="24"/>
          <w:szCs w:val="24"/>
        </w:rPr>
        <w:t xml:space="preserve"> </w:t>
      </w:r>
      <w:r>
        <w:rPr>
          <w:rFonts w:ascii="宋体" w:hAnsi="宋体" w:eastAsia="宋体" w:cs="宋体"/>
          <w:spacing w:val="-6"/>
          <w:sz w:val="24"/>
          <w:szCs w:val="24"/>
        </w:rPr>
        <w:t>器、</w:t>
      </w:r>
      <w:r>
        <w:rPr>
          <w:rFonts w:ascii="Times New Roman" w:hAnsi="Times New Roman" w:eastAsia="Times New Roman" w:cs="Times New Roman"/>
          <w:spacing w:val="-6"/>
          <w:sz w:val="24"/>
          <w:szCs w:val="24"/>
        </w:rPr>
        <w:t>GIS</w:t>
      </w:r>
      <w:r>
        <w:rPr>
          <w:rFonts w:ascii="Times New Roman" w:hAnsi="Times New Roman" w:eastAsia="Times New Roman" w:cs="Times New Roman"/>
          <w:spacing w:val="22"/>
          <w:sz w:val="24"/>
          <w:szCs w:val="24"/>
        </w:rPr>
        <w:t xml:space="preserve"> </w:t>
      </w:r>
      <w:r>
        <w:rPr>
          <w:rFonts w:ascii="宋体" w:hAnsi="宋体" w:eastAsia="宋体" w:cs="宋体"/>
          <w:spacing w:val="-6"/>
          <w:sz w:val="24"/>
          <w:szCs w:val="24"/>
        </w:rPr>
        <w:t>汇控柜等。</w:t>
      </w:r>
    </w:p>
    <w:p w14:paraId="0E924465">
      <w:pPr>
        <w:spacing w:before="24" w:line="365" w:lineRule="auto"/>
        <w:ind w:right="39" w:firstLine="480"/>
        <w:jc w:val="both"/>
        <w:rPr>
          <w:rFonts w:ascii="仿宋" w:hAnsi="仿宋" w:eastAsia="仿宋" w:cs="仿宋"/>
          <w:sz w:val="24"/>
          <w:szCs w:val="24"/>
        </w:rPr>
      </w:pPr>
      <w:r>
        <w:rPr>
          <w:rFonts w:ascii="宋体" w:hAnsi="宋体" w:eastAsia="宋体" w:cs="宋体"/>
          <w:spacing w:val="5"/>
          <w:sz w:val="24"/>
          <w:szCs w:val="24"/>
        </w:rPr>
        <w:t>本期配置储能容量为5</w:t>
      </w:r>
      <w:r>
        <w:rPr>
          <w:rFonts w:ascii="Times New Roman" w:hAnsi="Times New Roman" w:eastAsia="Times New Roman" w:cs="Times New Roman"/>
          <w:sz w:val="24"/>
          <w:szCs w:val="24"/>
        </w:rPr>
        <w:t>MW</w:t>
      </w:r>
      <w:r>
        <w:rPr>
          <w:rFonts w:ascii="Times New Roman" w:hAnsi="Times New Roman" w:eastAsia="Times New Roman" w:cs="Times New Roman"/>
          <w:spacing w:val="5"/>
          <w:sz w:val="24"/>
          <w:szCs w:val="24"/>
        </w:rPr>
        <w:t>/10</w:t>
      </w:r>
      <w:r>
        <w:rPr>
          <w:rFonts w:ascii="Times New Roman" w:hAnsi="Times New Roman" w:eastAsia="Times New Roman" w:cs="Times New Roman"/>
          <w:sz w:val="24"/>
          <w:szCs w:val="24"/>
        </w:rPr>
        <w:t>MW</w:t>
      </w:r>
      <w:r>
        <w:rPr>
          <w:rFonts w:ascii="Times New Roman" w:hAnsi="Times New Roman" w:eastAsia="Times New Roman" w:cs="Times New Roman"/>
          <w:spacing w:val="5"/>
          <w:sz w:val="24"/>
          <w:szCs w:val="24"/>
        </w:rPr>
        <w:t xml:space="preserve">·h,     </w:t>
      </w:r>
      <w:r>
        <w:rPr>
          <w:rFonts w:ascii="宋体" w:hAnsi="宋体" w:eastAsia="宋体" w:cs="宋体"/>
          <w:spacing w:val="5"/>
          <w:sz w:val="24"/>
          <w:szCs w:val="24"/>
        </w:rPr>
        <w:t>位于升压站的西侧储能系统采用集</w:t>
      </w:r>
      <w:r>
        <w:rPr>
          <w:rFonts w:ascii="宋体" w:hAnsi="宋体" w:eastAsia="宋体" w:cs="宋体"/>
          <w:spacing w:val="11"/>
          <w:sz w:val="24"/>
          <w:szCs w:val="24"/>
        </w:rPr>
        <w:t xml:space="preserve"> </w:t>
      </w:r>
      <w:r>
        <w:rPr>
          <w:rFonts w:ascii="宋体" w:hAnsi="宋体" w:eastAsia="宋体" w:cs="宋体"/>
          <w:spacing w:val="4"/>
          <w:sz w:val="24"/>
          <w:szCs w:val="24"/>
        </w:rPr>
        <w:t>装箱一体化设计方案，单套储能单元由1台“逆变”一体储能变流器户外机和1</w:t>
      </w:r>
      <w:r>
        <w:rPr>
          <w:rFonts w:ascii="宋体" w:hAnsi="宋体" w:eastAsia="宋体" w:cs="宋体"/>
          <w:spacing w:val="13"/>
          <w:sz w:val="24"/>
          <w:szCs w:val="24"/>
        </w:rPr>
        <w:t xml:space="preserve"> </w:t>
      </w:r>
      <w:r>
        <w:rPr>
          <w:rFonts w:ascii="仿宋" w:hAnsi="仿宋" w:eastAsia="仿宋" w:cs="仿宋"/>
          <w:spacing w:val="11"/>
          <w:sz w:val="24"/>
          <w:szCs w:val="24"/>
        </w:rPr>
        <w:t>台磷酸铁锂电池集装箱组成，5</w:t>
      </w:r>
      <w:r>
        <w:rPr>
          <w:rFonts w:ascii="Times New Roman" w:hAnsi="Times New Roman" w:eastAsia="Times New Roman" w:cs="Times New Roman"/>
          <w:sz w:val="24"/>
          <w:szCs w:val="24"/>
        </w:rPr>
        <w:t>MW</w:t>
      </w:r>
      <w:r>
        <w:rPr>
          <w:rFonts w:ascii="Times New Roman" w:hAnsi="Times New Roman" w:eastAsia="Times New Roman" w:cs="Times New Roman"/>
          <w:spacing w:val="11"/>
          <w:sz w:val="24"/>
          <w:szCs w:val="24"/>
        </w:rPr>
        <w:t>/10</w:t>
      </w:r>
      <w:r>
        <w:rPr>
          <w:rFonts w:ascii="Times New Roman" w:hAnsi="Times New Roman" w:eastAsia="Times New Roman" w:cs="Times New Roman"/>
          <w:sz w:val="24"/>
          <w:szCs w:val="24"/>
        </w:rPr>
        <w:t>MW</w:t>
      </w:r>
      <w:r>
        <w:rPr>
          <w:rFonts w:ascii="Times New Roman" w:hAnsi="Times New Roman" w:eastAsia="Times New Roman" w:cs="Times New Roman"/>
          <w:spacing w:val="11"/>
          <w:sz w:val="24"/>
          <w:szCs w:val="24"/>
        </w:rPr>
        <w:t xml:space="preserve">·h     </w:t>
      </w:r>
      <w:r>
        <w:rPr>
          <w:rFonts w:ascii="仿宋" w:hAnsi="仿宋" w:eastAsia="仿宋" w:cs="仿宋"/>
          <w:spacing w:val="11"/>
          <w:sz w:val="24"/>
          <w:szCs w:val="24"/>
        </w:rPr>
        <w:t>储</w:t>
      </w:r>
      <w:r>
        <w:rPr>
          <w:rFonts w:ascii="仿宋" w:hAnsi="仿宋" w:eastAsia="仿宋" w:cs="仿宋"/>
          <w:spacing w:val="-17"/>
          <w:sz w:val="24"/>
          <w:szCs w:val="24"/>
        </w:rPr>
        <w:t xml:space="preserve"> </w:t>
      </w:r>
      <w:r>
        <w:rPr>
          <w:rFonts w:ascii="仿宋" w:hAnsi="仿宋" w:eastAsia="仿宋" w:cs="仿宋"/>
          <w:spacing w:val="11"/>
          <w:sz w:val="24"/>
          <w:szCs w:val="24"/>
        </w:rPr>
        <w:t>能</w:t>
      </w:r>
      <w:r>
        <w:rPr>
          <w:rFonts w:ascii="仿宋" w:hAnsi="仿宋" w:eastAsia="仿宋" w:cs="仿宋"/>
          <w:spacing w:val="-34"/>
          <w:sz w:val="24"/>
          <w:szCs w:val="24"/>
        </w:rPr>
        <w:t xml:space="preserve"> </w:t>
      </w:r>
      <w:r>
        <w:rPr>
          <w:rFonts w:ascii="仿宋" w:hAnsi="仿宋" w:eastAsia="仿宋" w:cs="仿宋"/>
          <w:spacing w:val="11"/>
          <w:sz w:val="24"/>
          <w:szCs w:val="24"/>
        </w:rPr>
        <w:t>系</w:t>
      </w:r>
      <w:r>
        <w:rPr>
          <w:rFonts w:ascii="仿宋" w:hAnsi="仿宋" w:eastAsia="仿宋" w:cs="仿宋"/>
          <w:spacing w:val="-40"/>
          <w:sz w:val="24"/>
          <w:szCs w:val="24"/>
        </w:rPr>
        <w:t xml:space="preserve"> </w:t>
      </w:r>
      <w:r>
        <w:rPr>
          <w:rFonts w:ascii="仿宋" w:hAnsi="仿宋" w:eastAsia="仿宋" w:cs="仿宋"/>
          <w:spacing w:val="11"/>
          <w:sz w:val="24"/>
          <w:szCs w:val="24"/>
        </w:rPr>
        <w:t>统</w:t>
      </w:r>
      <w:r>
        <w:rPr>
          <w:rFonts w:ascii="仿宋" w:hAnsi="仿宋" w:eastAsia="仿宋" w:cs="仿宋"/>
          <w:spacing w:val="-43"/>
          <w:sz w:val="24"/>
          <w:szCs w:val="24"/>
        </w:rPr>
        <w:t xml:space="preserve"> </w:t>
      </w:r>
      <w:r>
        <w:rPr>
          <w:rFonts w:ascii="仿宋" w:hAnsi="仿宋" w:eastAsia="仿宋" w:cs="仿宋"/>
          <w:spacing w:val="11"/>
          <w:sz w:val="24"/>
          <w:szCs w:val="24"/>
        </w:rPr>
        <w:t>初</w:t>
      </w:r>
      <w:r>
        <w:rPr>
          <w:rFonts w:ascii="仿宋" w:hAnsi="仿宋" w:eastAsia="仿宋" w:cs="仿宋"/>
          <w:spacing w:val="-44"/>
          <w:sz w:val="24"/>
          <w:szCs w:val="24"/>
        </w:rPr>
        <w:t xml:space="preserve"> </w:t>
      </w:r>
      <w:r>
        <w:rPr>
          <w:rFonts w:ascii="仿宋" w:hAnsi="仿宋" w:eastAsia="仿宋" w:cs="仿宋"/>
          <w:spacing w:val="11"/>
          <w:sz w:val="24"/>
          <w:szCs w:val="24"/>
        </w:rPr>
        <w:t>拟</w:t>
      </w:r>
      <w:r>
        <w:rPr>
          <w:rFonts w:ascii="仿宋" w:hAnsi="仿宋" w:eastAsia="仿宋" w:cs="仿宋"/>
          <w:spacing w:val="-42"/>
          <w:sz w:val="24"/>
          <w:szCs w:val="24"/>
        </w:rPr>
        <w:t xml:space="preserve"> </w:t>
      </w:r>
      <w:r>
        <w:rPr>
          <w:rFonts w:ascii="仿宋" w:hAnsi="仿宋" w:eastAsia="仿宋" w:cs="仿宋"/>
          <w:spacing w:val="11"/>
          <w:sz w:val="24"/>
          <w:szCs w:val="24"/>
        </w:rPr>
        <w:t>采</w:t>
      </w:r>
      <w:r>
        <w:rPr>
          <w:rFonts w:ascii="仿宋" w:hAnsi="仿宋" w:eastAsia="仿宋" w:cs="仿宋"/>
          <w:spacing w:val="-44"/>
          <w:sz w:val="24"/>
          <w:szCs w:val="24"/>
        </w:rPr>
        <w:t xml:space="preserve"> </w:t>
      </w:r>
      <w:r>
        <w:rPr>
          <w:rFonts w:ascii="仿宋" w:hAnsi="仿宋" w:eastAsia="仿宋" w:cs="仿宋"/>
          <w:spacing w:val="11"/>
          <w:sz w:val="24"/>
          <w:szCs w:val="24"/>
        </w:rPr>
        <w:t>用</w:t>
      </w:r>
      <w:r>
        <w:rPr>
          <w:rFonts w:ascii="仿宋" w:hAnsi="仿宋" w:eastAsia="仿宋" w:cs="仿宋"/>
          <w:spacing w:val="-49"/>
          <w:sz w:val="24"/>
          <w:szCs w:val="24"/>
        </w:rPr>
        <w:t xml:space="preserve"> </w:t>
      </w:r>
      <w:r>
        <w:rPr>
          <w:rFonts w:ascii="仿宋" w:hAnsi="仿宋" w:eastAsia="仿宋" w:cs="仿宋"/>
          <w:spacing w:val="11"/>
          <w:sz w:val="24"/>
          <w:szCs w:val="24"/>
        </w:rPr>
        <w:t>2</w:t>
      </w:r>
      <w:r>
        <w:rPr>
          <w:rFonts w:ascii="仿宋" w:hAnsi="仿宋" w:eastAsia="仿宋" w:cs="仿宋"/>
          <w:spacing w:val="-44"/>
          <w:sz w:val="24"/>
          <w:szCs w:val="24"/>
        </w:rPr>
        <w:t xml:space="preserve"> </w:t>
      </w:r>
      <w:r>
        <w:rPr>
          <w:rFonts w:ascii="仿宋" w:hAnsi="仿宋" w:eastAsia="仿宋" w:cs="仿宋"/>
          <w:spacing w:val="11"/>
          <w:sz w:val="24"/>
          <w:szCs w:val="24"/>
        </w:rPr>
        <w:t>套</w:t>
      </w:r>
    </w:p>
    <w:p w14:paraId="1E0E559D">
      <w:pPr>
        <w:spacing w:before="1" w:line="320" w:lineRule="auto"/>
        <w:ind w:right="32"/>
        <w:rPr>
          <w:rFonts w:ascii="宋体" w:hAnsi="宋体" w:eastAsia="宋体" w:cs="宋体"/>
          <w:sz w:val="24"/>
          <w:szCs w:val="24"/>
        </w:rPr>
      </w:pPr>
      <w:r>
        <w:rPr>
          <w:rFonts w:ascii="宋体" w:hAnsi="宋体" w:eastAsia="宋体" w:cs="宋体"/>
          <w:spacing w:val="2"/>
          <w:sz w:val="24"/>
          <w:szCs w:val="24"/>
        </w:rPr>
        <w:t>2.5</w:t>
      </w:r>
      <w:r>
        <w:rPr>
          <w:rFonts w:ascii="Times New Roman" w:hAnsi="Times New Roman" w:eastAsia="Times New Roman" w:cs="Times New Roman"/>
          <w:sz w:val="24"/>
          <w:szCs w:val="24"/>
        </w:rPr>
        <w:t>MW</w:t>
      </w:r>
      <w:r>
        <w:rPr>
          <w:rFonts w:ascii="Times New Roman" w:hAnsi="Times New Roman" w:eastAsia="Times New Roman" w:cs="Times New Roman"/>
          <w:spacing w:val="2"/>
          <w:sz w:val="24"/>
          <w:szCs w:val="24"/>
        </w:rPr>
        <w:t>/5.0</w:t>
      </w:r>
      <w:r>
        <w:rPr>
          <w:rFonts w:ascii="Times New Roman" w:hAnsi="Times New Roman" w:eastAsia="Times New Roman" w:cs="Times New Roman"/>
          <w:sz w:val="24"/>
          <w:szCs w:val="24"/>
        </w:rPr>
        <w:t>MW</w:t>
      </w:r>
      <w:r>
        <w:rPr>
          <w:rFonts w:ascii="Times New Roman" w:hAnsi="Times New Roman" w:eastAsia="Times New Roman" w:cs="Times New Roman"/>
          <w:spacing w:val="2"/>
          <w:sz w:val="24"/>
          <w:szCs w:val="24"/>
        </w:rPr>
        <w:t xml:space="preserve">·h   </w:t>
      </w:r>
      <w:r>
        <w:rPr>
          <w:rFonts w:ascii="宋体" w:hAnsi="宋体" w:eastAsia="宋体" w:cs="宋体"/>
          <w:spacing w:val="2"/>
          <w:sz w:val="24"/>
          <w:szCs w:val="24"/>
        </w:rPr>
        <w:t>储能单元组成。电池单元采用模块化设计，每套储能单元包</w:t>
      </w:r>
      <w:r>
        <w:rPr>
          <w:rFonts w:ascii="宋体" w:hAnsi="宋体" w:eastAsia="宋体" w:cs="宋体"/>
          <w:spacing w:val="17"/>
          <w:sz w:val="24"/>
          <w:szCs w:val="24"/>
        </w:rPr>
        <w:t xml:space="preserve"> </w:t>
      </w:r>
      <w:r>
        <w:rPr>
          <w:rFonts w:ascii="宋体" w:hAnsi="宋体" w:eastAsia="宋体" w:cs="宋体"/>
          <w:spacing w:val="14"/>
          <w:sz w:val="24"/>
          <w:szCs w:val="24"/>
        </w:rPr>
        <w:t>含1套储能电池和1套储能集成系统(变流-升压一体化装置)。预制舱内具有</w:t>
      </w:r>
      <w:r>
        <w:rPr>
          <w:rFonts w:ascii="宋体" w:hAnsi="宋体" w:eastAsia="宋体" w:cs="宋体"/>
          <w:spacing w:val="10"/>
          <w:sz w:val="24"/>
          <w:szCs w:val="24"/>
        </w:rPr>
        <w:t xml:space="preserve"> </w:t>
      </w:r>
      <w:r>
        <w:rPr>
          <w:rFonts w:ascii="宋体" w:hAnsi="宋体" w:eastAsia="宋体" w:cs="宋体"/>
          <w:spacing w:val="7"/>
          <w:sz w:val="24"/>
          <w:szCs w:val="24"/>
        </w:rPr>
        <w:t>温控、消防、照明、视频监控等保护系统。5</w:t>
      </w:r>
      <w:r>
        <w:rPr>
          <w:rFonts w:ascii="Times New Roman" w:hAnsi="Times New Roman" w:eastAsia="Times New Roman" w:cs="Times New Roman"/>
          <w:sz w:val="24"/>
          <w:szCs w:val="24"/>
        </w:rPr>
        <w:t>MW</w:t>
      </w:r>
      <w:r>
        <w:rPr>
          <w:rFonts w:ascii="Times New Roman" w:hAnsi="Times New Roman" w:eastAsia="Times New Roman" w:cs="Times New Roman"/>
          <w:spacing w:val="7"/>
          <w:sz w:val="24"/>
          <w:szCs w:val="24"/>
        </w:rPr>
        <w:t>/10</w:t>
      </w:r>
      <w:r>
        <w:rPr>
          <w:rFonts w:ascii="Times New Roman" w:hAnsi="Times New Roman" w:eastAsia="Times New Roman" w:cs="Times New Roman"/>
          <w:sz w:val="24"/>
          <w:szCs w:val="24"/>
        </w:rPr>
        <w:t>MW</w:t>
      </w:r>
      <w:r>
        <w:rPr>
          <w:rFonts w:ascii="Times New Roman" w:hAnsi="Times New Roman" w:eastAsia="Times New Roman" w:cs="Times New Roman"/>
          <w:spacing w:val="7"/>
          <w:sz w:val="24"/>
          <w:szCs w:val="24"/>
        </w:rPr>
        <w:t xml:space="preserve">·h   </w:t>
      </w:r>
      <w:r>
        <w:rPr>
          <w:rFonts w:ascii="宋体" w:hAnsi="宋体" w:eastAsia="宋体" w:cs="宋体"/>
          <w:spacing w:val="7"/>
          <w:sz w:val="24"/>
          <w:szCs w:val="24"/>
        </w:rPr>
        <w:t>储能系统通过1个</w:t>
      </w:r>
      <w:r>
        <w:rPr>
          <w:rFonts w:ascii="宋体" w:hAnsi="宋体" w:eastAsia="宋体" w:cs="宋体"/>
          <w:sz w:val="24"/>
          <w:szCs w:val="24"/>
        </w:rPr>
        <w:t xml:space="preserve"> </w:t>
      </w:r>
      <w:r>
        <w:rPr>
          <w:rFonts w:ascii="宋体" w:hAnsi="宋体" w:eastAsia="宋体" w:cs="宋体"/>
          <w:spacing w:val="4"/>
          <w:sz w:val="24"/>
          <w:szCs w:val="24"/>
        </w:rPr>
        <w:t>回路接入升压站35</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rFonts w:ascii="宋体" w:hAnsi="宋体" w:eastAsia="宋体" w:cs="宋体"/>
          <w:spacing w:val="4"/>
          <w:sz w:val="24"/>
          <w:szCs w:val="24"/>
        </w:rPr>
        <w:t>母线</w:t>
      </w:r>
    </w:p>
    <w:p w14:paraId="2B3661E9">
      <w:pPr>
        <w:spacing w:before="257" w:line="219" w:lineRule="auto"/>
        <w:rPr>
          <w:rFonts w:ascii="宋体" w:hAnsi="宋体" w:eastAsia="宋体" w:cs="宋体"/>
          <w:sz w:val="28"/>
          <w:szCs w:val="28"/>
        </w:rPr>
      </w:pPr>
      <w:r>
        <w:rPr>
          <w:rFonts w:ascii="Times New Roman" w:hAnsi="Times New Roman" w:eastAsia="Times New Roman" w:cs="Times New Roman"/>
          <w:sz w:val="28"/>
          <w:szCs w:val="28"/>
        </w:rPr>
        <w:t>2.2</w:t>
      </w:r>
      <w:r>
        <w:rPr>
          <w:rFonts w:ascii="Times New Roman" w:hAnsi="Times New Roman" w:eastAsia="Times New Roman" w:cs="Times New Roman"/>
          <w:spacing w:val="71"/>
          <w:sz w:val="28"/>
          <w:szCs w:val="28"/>
        </w:rPr>
        <w:t xml:space="preserve"> </w:t>
      </w:r>
      <w:r>
        <w:rPr>
          <w:rFonts w:ascii="宋体" w:hAnsi="宋体" w:eastAsia="宋体" w:cs="宋体"/>
          <w:sz w:val="28"/>
          <w:szCs w:val="28"/>
        </w:rPr>
        <w:t>项目升压站组成及规模</w:t>
      </w:r>
    </w:p>
    <w:p w14:paraId="020F8E97">
      <w:pPr>
        <w:spacing w:before="234" w:line="219" w:lineRule="auto"/>
        <w:ind w:left="480"/>
        <w:rPr>
          <w:rFonts w:ascii="宋体" w:hAnsi="宋体" w:eastAsia="宋体" w:cs="宋体"/>
          <w:sz w:val="24"/>
          <w:szCs w:val="24"/>
        </w:rPr>
      </w:pPr>
      <w:r>
        <w:rPr>
          <w:rFonts w:ascii="宋体" w:hAnsi="宋体" w:eastAsia="宋体" w:cs="宋体"/>
          <w:spacing w:val="-2"/>
          <w:sz w:val="24"/>
          <w:szCs w:val="24"/>
        </w:rPr>
        <w:t>根据设计及建设单位核实确认，本工程升压站建设内容如下：</w:t>
      </w:r>
    </w:p>
    <w:p w14:paraId="22F33212">
      <w:pPr>
        <w:spacing w:before="187" w:line="351" w:lineRule="auto"/>
        <w:ind w:right="29" w:firstLine="480"/>
        <w:jc w:val="both"/>
        <w:rPr>
          <w:rFonts w:ascii="宋体" w:hAnsi="宋体" w:eastAsia="宋体" w:cs="宋体"/>
          <w:sz w:val="24"/>
          <w:szCs w:val="24"/>
        </w:rPr>
      </w:pPr>
      <w:r>
        <w:rPr>
          <w:rFonts w:ascii="宋体" w:hAnsi="宋体" w:eastAsia="宋体" w:cs="宋体"/>
          <w:spacing w:val="8"/>
          <w:sz w:val="24"/>
          <w:szCs w:val="24"/>
        </w:rPr>
        <w:t>新建110</w:t>
      </w:r>
      <w:r>
        <w:rPr>
          <w:rFonts w:ascii="Times New Roman" w:hAnsi="Times New Roman" w:eastAsia="Times New Roman" w:cs="Times New Roman"/>
          <w:sz w:val="24"/>
          <w:szCs w:val="24"/>
        </w:rPr>
        <w:t>kV</w:t>
      </w:r>
      <w:r>
        <w:rPr>
          <w:rFonts w:ascii="Times New Roman" w:hAnsi="Times New Roman" w:eastAsia="Times New Roman" w:cs="Times New Roman"/>
          <w:spacing w:val="8"/>
          <w:sz w:val="24"/>
          <w:szCs w:val="24"/>
        </w:rPr>
        <w:t xml:space="preserve"> </w:t>
      </w:r>
      <w:r>
        <w:rPr>
          <w:rFonts w:ascii="宋体" w:hAnsi="宋体" w:eastAsia="宋体" w:cs="宋体"/>
          <w:spacing w:val="8"/>
          <w:sz w:val="24"/>
          <w:szCs w:val="24"/>
        </w:rPr>
        <w:t>升压站1座，该升压站位于本项目</w:t>
      </w:r>
      <w:r>
        <w:rPr>
          <w:rFonts w:ascii="宋体" w:hAnsi="宋体" w:eastAsia="宋体" w:cs="宋体"/>
          <w:spacing w:val="7"/>
          <w:sz w:val="24"/>
          <w:szCs w:val="24"/>
        </w:rPr>
        <w:t>光伏场区6-7#光伏子方阵附</w:t>
      </w:r>
      <w:r>
        <w:rPr>
          <w:rFonts w:ascii="宋体" w:hAnsi="宋体" w:eastAsia="宋体" w:cs="宋体"/>
          <w:sz w:val="24"/>
          <w:szCs w:val="24"/>
        </w:rPr>
        <w:t xml:space="preserve"> </w:t>
      </w:r>
      <w:r>
        <w:rPr>
          <w:rFonts w:ascii="宋体" w:hAnsi="宋体" w:eastAsia="宋体" w:cs="宋体"/>
          <w:spacing w:val="10"/>
          <w:sz w:val="24"/>
          <w:szCs w:val="24"/>
        </w:rPr>
        <w:t>近，升压站总占地面积为4264</w:t>
      </w:r>
      <w:r>
        <w:rPr>
          <w:rFonts w:ascii="Times New Roman" w:hAnsi="Times New Roman" w:eastAsia="Times New Roman" w:cs="Times New Roman"/>
          <w:spacing w:val="10"/>
          <w:sz w:val="24"/>
          <w:szCs w:val="24"/>
        </w:rPr>
        <w:t>m²</w:t>
      </w:r>
      <w:r>
        <w:rPr>
          <w:rFonts w:ascii="Times New Roman" w:hAnsi="Times New Roman" w:eastAsia="Times New Roman" w:cs="Times New Roman"/>
          <w:spacing w:val="44"/>
          <w:w w:val="101"/>
          <w:sz w:val="24"/>
          <w:szCs w:val="24"/>
        </w:rPr>
        <w:t xml:space="preserve"> </w:t>
      </w:r>
      <w:r>
        <w:rPr>
          <w:rFonts w:ascii="Times New Roman" w:hAnsi="Times New Roman" w:eastAsia="Times New Roman" w:cs="Times New Roman"/>
          <w:spacing w:val="10"/>
          <w:sz w:val="24"/>
          <w:szCs w:val="24"/>
        </w:rPr>
        <w:t xml:space="preserve">( </w:t>
      </w:r>
      <w:r>
        <w:rPr>
          <w:rFonts w:ascii="宋体" w:hAnsi="宋体" w:eastAsia="宋体" w:cs="宋体"/>
          <w:spacing w:val="10"/>
          <w:sz w:val="24"/>
          <w:szCs w:val="24"/>
        </w:rPr>
        <w:t>含边坡),整个场区分为生产区、生活办公</w:t>
      </w:r>
      <w:r>
        <w:rPr>
          <w:rFonts w:ascii="宋体" w:hAnsi="宋体" w:eastAsia="宋体" w:cs="宋体"/>
          <w:sz w:val="24"/>
          <w:szCs w:val="24"/>
        </w:rPr>
        <w:t xml:space="preserve"> </w:t>
      </w:r>
      <w:r>
        <w:rPr>
          <w:rFonts w:ascii="宋体" w:hAnsi="宋体" w:eastAsia="宋体" w:cs="宋体"/>
          <w:spacing w:val="-2"/>
          <w:sz w:val="24"/>
          <w:szCs w:val="24"/>
        </w:rPr>
        <w:t>区两部分，占地类型均为草地。建设内容包括：</w:t>
      </w:r>
    </w:p>
    <w:p w14:paraId="676666FD">
      <w:pPr>
        <w:spacing w:before="92" w:line="221" w:lineRule="auto"/>
        <w:ind w:left="620"/>
        <w:rPr>
          <w:rFonts w:ascii="宋体" w:hAnsi="宋体" w:eastAsia="宋体" w:cs="宋体"/>
          <w:sz w:val="24"/>
          <w:szCs w:val="24"/>
        </w:rPr>
      </w:pPr>
      <w:r>
        <w:rPr>
          <w:rFonts w:ascii="宋体" w:hAnsi="宋体" w:eastAsia="宋体" w:cs="宋体"/>
          <w:spacing w:val="15"/>
          <w:sz w:val="24"/>
          <w:szCs w:val="24"/>
        </w:rPr>
        <w:t>(1)主变压器</w:t>
      </w:r>
    </w:p>
    <w:p w14:paraId="10DBEE97">
      <w:pPr>
        <w:spacing w:before="203" w:line="221" w:lineRule="auto"/>
        <w:ind w:left="480"/>
        <w:rPr>
          <w:rFonts w:ascii="Times New Roman" w:hAnsi="Times New Roman" w:eastAsia="Times New Roman" w:cs="Times New Roman"/>
          <w:sz w:val="24"/>
          <w:szCs w:val="24"/>
        </w:rPr>
      </w:pPr>
      <w:r>
        <w:rPr>
          <w:rFonts w:ascii="宋体" w:hAnsi="宋体" w:eastAsia="宋体" w:cs="宋体"/>
          <w:spacing w:val="-6"/>
          <w:sz w:val="24"/>
          <w:szCs w:val="24"/>
        </w:rPr>
        <w:t>型</w:t>
      </w:r>
      <w:r>
        <w:rPr>
          <w:rFonts w:ascii="宋体" w:hAnsi="宋体" w:eastAsia="宋体" w:cs="宋体"/>
          <w:spacing w:val="-16"/>
          <w:sz w:val="24"/>
          <w:szCs w:val="24"/>
        </w:rPr>
        <w:t xml:space="preserve"> </w:t>
      </w:r>
      <w:r>
        <w:rPr>
          <w:rFonts w:ascii="宋体" w:hAnsi="宋体" w:eastAsia="宋体" w:cs="宋体"/>
          <w:spacing w:val="-6"/>
          <w:sz w:val="24"/>
          <w:szCs w:val="24"/>
        </w:rPr>
        <w:t>号</w:t>
      </w:r>
      <w:r>
        <w:rPr>
          <w:rFonts w:ascii="宋体" w:hAnsi="宋体" w:eastAsia="宋体" w:cs="宋体"/>
          <w:spacing w:val="-39"/>
          <w:sz w:val="24"/>
          <w:szCs w:val="24"/>
        </w:rPr>
        <w:t xml:space="preserve"> </w:t>
      </w:r>
      <w:r>
        <w:rPr>
          <w:rFonts w:ascii="宋体" w:hAnsi="宋体" w:eastAsia="宋体" w:cs="宋体"/>
          <w:spacing w:val="-6"/>
          <w:sz w:val="24"/>
          <w:szCs w:val="24"/>
        </w:rPr>
        <w:t>：</w:t>
      </w:r>
      <w:r>
        <w:rPr>
          <w:rFonts w:ascii="Times New Roman" w:hAnsi="Times New Roman" w:eastAsia="Times New Roman" w:cs="Times New Roman"/>
          <w:spacing w:val="-6"/>
          <w:sz w:val="24"/>
          <w:szCs w:val="24"/>
        </w:rPr>
        <w:t>SZ18-50000/110</w:t>
      </w:r>
    </w:p>
    <w:p w14:paraId="42883B51">
      <w:pPr>
        <w:spacing w:before="182" w:line="220" w:lineRule="auto"/>
        <w:ind w:left="480"/>
        <w:rPr>
          <w:rFonts w:ascii="Times New Roman" w:hAnsi="Times New Roman" w:eastAsia="Times New Roman" w:cs="Times New Roman"/>
          <w:sz w:val="24"/>
          <w:szCs w:val="24"/>
        </w:rPr>
      </w:pPr>
      <w:r>
        <w:rPr>
          <w:rFonts w:ascii="宋体" w:hAnsi="宋体" w:eastAsia="宋体" w:cs="宋体"/>
          <w:spacing w:val="19"/>
          <w:sz w:val="24"/>
          <w:szCs w:val="24"/>
        </w:rPr>
        <w:t>容量：50</w:t>
      </w:r>
      <w:r>
        <w:rPr>
          <w:rFonts w:ascii="Times New Roman" w:hAnsi="Times New Roman" w:eastAsia="Times New Roman" w:cs="Times New Roman"/>
          <w:sz w:val="24"/>
          <w:szCs w:val="24"/>
        </w:rPr>
        <w:t>MVA</w:t>
      </w:r>
    </w:p>
    <w:p w14:paraId="71A1EF15">
      <w:pPr>
        <w:spacing w:before="204" w:line="219" w:lineRule="auto"/>
        <w:ind w:left="480"/>
        <w:rPr>
          <w:rFonts w:ascii="Times New Roman" w:hAnsi="Times New Roman" w:eastAsia="Times New Roman" w:cs="Times New Roman"/>
          <w:sz w:val="24"/>
          <w:szCs w:val="24"/>
        </w:rPr>
      </w:pPr>
      <w:r>
        <w:rPr>
          <w:rFonts w:ascii="宋体" w:hAnsi="宋体" w:eastAsia="宋体" w:cs="宋体"/>
          <w:spacing w:val="-4"/>
          <w:sz w:val="24"/>
          <w:szCs w:val="24"/>
        </w:rPr>
        <w:t>型式：三相有载调压油浸自冷变压器电压比：115±8×1.25%/37</w:t>
      </w:r>
      <w:r>
        <w:rPr>
          <w:rFonts w:ascii="Times New Roman" w:hAnsi="Times New Roman" w:eastAsia="Times New Roman" w:cs="Times New Roman"/>
          <w:spacing w:val="-4"/>
          <w:sz w:val="24"/>
          <w:szCs w:val="24"/>
        </w:rPr>
        <w:t>kV</w:t>
      </w:r>
    </w:p>
    <w:p w14:paraId="51C86D04">
      <w:pPr>
        <w:spacing w:before="195" w:line="219" w:lineRule="auto"/>
        <w:ind w:left="480"/>
        <w:rPr>
          <w:rFonts w:ascii="宋体" w:hAnsi="宋体" w:eastAsia="宋体" w:cs="宋体"/>
          <w:sz w:val="24"/>
          <w:szCs w:val="24"/>
        </w:rPr>
      </w:pPr>
      <w:r>
        <w:rPr>
          <w:rFonts w:ascii="宋体" w:hAnsi="宋体" w:eastAsia="宋体" w:cs="宋体"/>
          <w:spacing w:val="1"/>
          <w:sz w:val="24"/>
          <w:szCs w:val="24"/>
        </w:rPr>
        <w:t>阻抗电压：10.5%</w:t>
      </w:r>
    </w:p>
    <w:p w14:paraId="281277FE">
      <w:pPr>
        <w:spacing w:before="179" w:line="212" w:lineRule="auto"/>
        <w:ind w:left="480"/>
        <w:rPr>
          <w:rFonts w:ascii="Times New Roman" w:hAnsi="Times New Roman" w:eastAsia="Times New Roman" w:cs="Times New Roman"/>
          <w:sz w:val="24"/>
          <w:szCs w:val="24"/>
        </w:rPr>
      </w:pPr>
      <w:r>
        <w:rPr>
          <w:rFonts w:ascii="宋体" w:hAnsi="宋体" w:eastAsia="宋体" w:cs="宋体"/>
          <w:spacing w:val="-3"/>
          <w:sz w:val="24"/>
          <w:szCs w:val="24"/>
        </w:rPr>
        <w:t>容量比：100/100联接组别：</w:t>
      </w:r>
      <w:r>
        <w:rPr>
          <w:rFonts w:ascii="Times New Roman" w:hAnsi="Times New Roman" w:eastAsia="Times New Roman" w:cs="Times New Roman"/>
          <w:spacing w:val="-3"/>
          <w:sz w:val="24"/>
          <w:szCs w:val="24"/>
        </w:rPr>
        <w:t>YN,d11</w:t>
      </w:r>
    </w:p>
    <w:p w14:paraId="4608D2EF">
      <w:pPr>
        <w:spacing w:before="221" w:line="219" w:lineRule="auto"/>
        <w:ind w:left="480"/>
        <w:rPr>
          <w:rFonts w:ascii="宋体" w:hAnsi="宋体" w:eastAsia="宋体" w:cs="宋体"/>
          <w:sz w:val="24"/>
          <w:szCs w:val="24"/>
        </w:rPr>
      </w:pPr>
      <w:r>
        <w:rPr>
          <w:rFonts w:ascii="宋体" w:hAnsi="宋体" w:eastAsia="宋体" w:cs="宋体"/>
          <w:spacing w:val="-1"/>
          <w:sz w:val="24"/>
          <w:szCs w:val="24"/>
        </w:rPr>
        <w:t>调压方式：有载调压冷却方式：油浸自冷</w:t>
      </w:r>
    </w:p>
    <w:p w14:paraId="384D9ECC">
      <w:pPr>
        <w:spacing w:before="196" w:line="220" w:lineRule="auto"/>
        <w:ind w:left="480"/>
        <w:rPr>
          <w:rFonts w:ascii="宋体" w:hAnsi="宋体" w:eastAsia="宋体" w:cs="宋体"/>
          <w:sz w:val="24"/>
          <w:szCs w:val="24"/>
        </w:rPr>
      </w:pPr>
      <w:r>
        <w:rPr>
          <w:rFonts w:ascii="宋体" w:hAnsi="宋体" w:eastAsia="宋体" w:cs="宋体"/>
          <w:spacing w:val="-2"/>
          <w:sz w:val="24"/>
          <w:szCs w:val="24"/>
        </w:rPr>
        <w:t>中性点接地方式：经隔离开关接地或不接地。</w:t>
      </w:r>
    </w:p>
    <w:p w14:paraId="62CF1BED">
      <w:pPr>
        <w:spacing w:before="193" w:line="219" w:lineRule="auto"/>
        <w:ind w:left="620"/>
        <w:rPr>
          <w:rFonts w:ascii="宋体" w:hAnsi="宋体" w:eastAsia="宋体" w:cs="宋体"/>
          <w:sz w:val="24"/>
          <w:szCs w:val="24"/>
        </w:rPr>
      </w:pPr>
      <w:r>
        <w:rPr>
          <w:rFonts w:ascii="宋体" w:hAnsi="宋体" w:eastAsia="宋体" w:cs="宋体"/>
          <w:spacing w:val="12"/>
          <w:sz w:val="24"/>
          <w:szCs w:val="24"/>
        </w:rPr>
        <w:t>(2)高压配电装置</w:t>
      </w:r>
    </w:p>
    <w:p w14:paraId="6D9FDE89">
      <w:pPr>
        <w:spacing w:before="194" w:line="219" w:lineRule="auto"/>
        <w:ind w:left="480"/>
        <w:rPr>
          <w:rFonts w:ascii="宋体" w:hAnsi="宋体" w:eastAsia="宋体" w:cs="宋体"/>
          <w:sz w:val="24"/>
          <w:szCs w:val="24"/>
        </w:rPr>
      </w:pPr>
      <w:r>
        <w:rPr>
          <w:rFonts w:ascii="宋体" w:hAnsi="宋体" w:eastAsia="宋体" w:cs="宋体"/>
          <w:spacing w:val="3"/>
          <w:sz w:val="24"/>
          <w:szCs w:val="24"/>
        </w:rPr>
        <w:t>本工程升压站新建1个线路～变压器组间隔，设备参数详见表2-1。</w:t>
      </w:r>
    </w:p>
    <w:p w14:paraId="557FE5BF">
      <w:pPr>
        <w:spacing w:line="219" w:lineRule="auto"/>
        <w:rPr>
          <w:rFonts w:ascii="宋体" w:hAnsi="宋体" w:eastAsia="宋体" w:cs="宋体"/>
          <w:sz w:val="24"/>
          <w:szCs w:val="24"/>
        </w:rPr>
        <w:sectPr>
          <w:footerReference r:id="rId225" w:type="default"/>
          <w:pgSz w:w="11910" w:h="16830"/>
          <w:pgMar w:top="400" w:right="1786" w:bottom="1181" w:left="1769" w:header="0" w:footer="922" w:gutter="0"/>
          <w:cols w:space="720" w:num="1"/>
        </w:sectPr>
      </w:pPr>
    </w:p>
    <w:p w14:paraId="40BE7093">
      <w:pPr>
        <w:pStyle w:val="2"/>
        <w:spacing w:line="277" w:lineRule="auto"/>
      </w:pPr>
    </w:p>
    <w:p w14:paraId="6DD156F7">
      <w:pPr>
        <w:pStyle w:val="2"/>
        <w:spacing w:line="277" w:lineRule="auto"/>
      </w:pPr>
    </w:p>
    <w:p w14:paraId="62DF9364">
      <w:pPr>
        <w:pStyle w:val="2"/>
        <w:spacing w:line="277" w:lineRule="auto"/>
      </w:pPr>
    </w:p>
    <w:p w14:paraId="77A75F53">
      <w:pPr>
        <w:pStyle w:val="2"/>
        <w:spacing w:line="277" w:lineRule="auto"/>
      </w:pPr>
    </w:p>
    <w:p w14:paraId="08BE84A8">
      <w:pPr>
        <w:spacing w:before="82" w:line="219" w:lineRule="auto"/>
        <w:ind w:left="3068"/>
        <w:rPr>
          <w:rFonts w:ascii="宋体" w:hAnsi="宋体" w:eastAsia="宋体" w:cs="宋体"/>
          <w:sz w:val="25"/>
          <w:szCs w:val="25"/>
        </w:rPr>
      </w:pPr>
      <w:r>
        <w:rPr>
          <w:rFonts w:ascii="宋体" w:hAnsi="宋体" w:eastAsia="宋体" w:cs="宋体"/>
          <w:b/>
          <w:bCs/>
          <w:spacing w:val="-4"/>
          <w:sz w:val="25"/>
          <w:szCs w:val="25"/>
        </w:rPr>
        <w:t>表2-1高压配电装置配置一览表</w:t>
      </w:r>
    </w:p>
    <w:p w14:paraId="4093D126">
      <w:pPr>
        <w:spacing w:line="120" w:lineRule="auto"/>
        <w:rPr>
          <w:rFonts w:ascii="Arial"/>
          <w:sz w:val="2"/>
        </w:rPr>
      </w:pPr>
    </w:p>
    <w:tbl>
      <w:tblPr>
        <w:tblStyle w:val="5"/>
        <w:tblW w:w="8970" w:type="dxa"/>
        <w:tblInd w:w="6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4"/>
        <w:gridCol w:w="620"/>
        <w:gridCol w:w="1758"/>
        <w:gridCol w:w="689"/>
        <w:gridCol w:w="709"/>
        <w:gridCol w:w="1039"/>
        <w:gridCol w:w="699"/>
        <w:gridCol w:w="709"/>
        <w:gridCol w:w="699"/>
        <w:gridCol w:w="724"/>
      </w:tblGrid>
      <w:tr w14:paraId="3851F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1" w:hRule="atLeast"/>
        </w:trPr>
        <w:tc>
          <w:tcPr>
            <w:tcW w:w="1324" w:type="dxa"/>
            <w:vAlign w:val="top"/>
          </w:tcPr>
          <w:p w14:paraId="58782B4E">
            <w:pPr>
              <w:spacing w:line="261" w:lineRule="auto"/>
              <w:rPr>
                <w:rFonts w:ascii="Arial"/>
                <w:sz w:val="21"/>
              </w:rPr>
            </w:pPr>
          </w:p>
          <w:p w14:paraId="748B5F3C">
            <w:pPr>
              <w:spacing w:line="261" w:lineRule="auto"/>
              <w:rPr>
                <w:rFonts w:ascii="Arial"/>
                <w:sz w:val="21"/>
              </w:rPr>
            </w:pPr>
          </w:p>
          <w:p w14:paraId="32FF1C89">
            <w:pPr>
              <w:pStyle w:val="6"/>
              <w:spacing w:before="69" w:line="220" w:lineRule="auto"/>
              <w:ind w:left="254"/>
              <w:rPr>
                <w:sz w:val="21"/>
                <w:szCs w:val="21"/>
              </w:rPr>
            </w:pPr>
            <w:r>
              <w:rPr>
                <w:spacing w:val="-3"/>
                <w:sz w:val="21"/>
                <w:szCs w:val="21"/>
              </w:rPr>
              <w:t>安装位置</w:t>
            </w:r>
          </w:p>
        </w:tc>
        <w:tc>
          <w:tcPr>
            <w:tcW w:w="620" w:type="dxa"/>
            <w:vAlign w:val="top"/>
          </w:tcPr>
          <w:p w14:paraId="764D8547">
            <w:pPr>
              <w:spacing w:line="261" w:lineRule="auto"/>
              <w:rPr>
                <w:rFonts w:ascii="Arial"/>
                <w:sz w:val="21"/>
              </w:rPr>
            </w:pPr>
          </w:p>
          <w:p w14:paraId="5D7EBFF6">
            <w:pPr>
              <w:spacing w:line="262" w:lineRule="auto"/>
              <w:rPr>
                <w:rFonts w:ascii="Arial"/>
                <w:sz w:val="21"/>
              </w:rPr>
            </w:pPr>
          </w:p>
          <w:p w14:paraId="66ACE68D">
            <w:pPr>
              <w:pStyle w:val="6"/>
              <w:spacing w:before="68" w:line="221" w:lineRule="auto"/>
              <w:ind w:left="91"/>
              <w:rPr>
                <w:sz w:val="21"/>
                <w:szCs w:val="21"/>
              </w:rPr>
            </w:pPr>
            <w:r>
              <w:rPr>
                <w:spacing w:val="6"/>
                <w:sz w:val="21"/>
                <w:szCs w:val="21"/>
              </w:rPr>
              <w:t>序号</w:t>
            </w:r>
          </w:p>
        </w:tc>
        <w:tc>
          <w:tcPr>
            <w:tcW w:w="1758" w:type="dxa"/>
            <w:vAlign w:val="top"/>
          </w:tcPr>
          <w:p w14:paraId="381963C0">
            <w:pPr>
              <w:spacing w:line="262" w:lineRule="auto"/>
              <w:rPr>
                <w:rFonts w:ascii="Arial"/>
                <w:sz w:val="21"/>
              </w:rPr>
            </w:pPr>
          </w:p>
          <w:p w14:paraId="19961823">
            <w:pPr>
              <w:spacing w:line="262" w:lineRule="auto"/>
              <w:rPr>
                <w:rFonts w:ascii="Arial"/>
                <w:sz w:val="21"/>
              </w:rPr>
            </w:pPr>
          </w:p>
          <w:p w14:paraId="42DBDB7E">
            <w:pPr>
              <w:pStyle w:val="6"/>
              <w:spacing w:before="69" w:line="221" w:lineRule="auto"/>
              <w:ind w:left="661"/>
              <w:rPr>
                <w:sz w:val="21"/>
                <w:szCs w:val="21"/>
              </w:rPr>
            </w:pPr>
            <w:r>
              <w:rPr>
                <w:spacing w:val="5"/>
                <w:sz w:val="21"/>
                <w:szCs w:val="21"/>
              </w:rPr>
              <w:t>名称</w:t>
            </w:r>
          </w:p>
        </w:tc>
        <w:tc>
          <w:tcPr>
            <w:tcW w:w="689" w:type="dxa"/>
            <w:vAlign w:val="top"/>
          </w:tcPr>
          <w:p w14:paraId="1630207D">
            <w:pPr>
              <w:pStyle w:val="6"/>
              <w:spacing w:before="114" w:line="220" w:lineRule="auto"/>
              <w:ind w:left="23"/>
              <w:rPr>
                <w:sz w:val="21"/>
                <w:szCs w:val="21"/>
              </w:rPr>
            </w:pPr>
            <w:r>
              <w:rPr>
                <w:spacing w:val="4"/>
                <w:sz w:val="21"/>
                <w:szCs w:val="21"/>
              </w:rPr>
              <w:t>工作电</w:t>
            </w:r>
          </w:p>
          <w:p w14:paraId="3712CA27">
            <w:pPr>
              <w:pStyle w:val="6"/>
              <w:spacing w:before="73" w:line="223" w:lineRule="auto"/>
              <w:ind w:left="233"/>
              <w:rPr>
                <w:sz w:val="21"/>
                <w:szCs w:val="21"/>
              </w:rPr>
            </w:pPr>
            <w:r>
              <w:rPr>
                <w:sz w:val="21"/>
                <w:szCs w:val="21"/>
              </w:rPr>
              <w:t>压</w:t>
            </w:r>
          </w:p>
          <w:p w14:paraId="12BD56F7">
            <w:pPr>
              <w:pStyle w:val="6"/>
              <w:spacing w:before="65" w:line="222" w:lineRule="auto"/>
              <w:ind w:left="123"/>
              <w:rPr>
                <w:sz w:val="21"/>
                <w:szCs w:val="21"/>
              </w:rPr>
            </w:pPr>
            <w:r>
              <w:rPr>
                <w:spacing w:val="-9"/>
                <w:sz w:val="21"/>
                <w:szCs w:val="21"/>
              </w:rPr>
              <w:t>(kV)</w:t>
            </w:r>
          </w:p>
        </w:tc>
        <w:tc>
          <w:tcPr>
            <w:tcW w:w="709" w:type="dxa"/>
            <w:vAlign w:val="top"/>
          </w:tcPr>
          <w:p w14:paraId="58821C61">
            <w:pPr>
              <w:pStyle w:val="6"/>
              <w:spacing w:before="113" w:line="219" w:lineRule="auto"/>
              <w:ind w:left="34"/>
              <w:rPr>
                <w:sz w:val="21"/>
                <w:szCs w:val="21"/>
              </w:rPr>
            </w:pPr>
            <w:r>
              <w:rPr>
                <w:spacing w:val="4"/>
                <w:sz w:val="21"/>
                <w:szCs w:val="21"/>
              </w:rPr>
              <w:t>额定电</w:t>
            </w:r>
          </w:p>
          <w:p w14:paraId="045C4C47">
            <w:pPr>
              <w:pStyle w:val="6"/>
              <w:spacing w:before="74" w:line="223" w:lineRule="auto"/>
              <w:ind w:left="244"/>
              <w:rPr>
                <w:sz w:val="21"/>
                <w:szCs w:val="21"/>
              </w:rPr>
            </w:pPr>
            <w:r>
              <w:rPr>
                <w:sz w:val="21"/>
                <w:szCs w:val="21"/>
              </w:rPr>
              <w:t>压</w:t>
            </w:r>
          </w:p>
          <w:p w14:paraId="3A2C6073">
            <w:pPr>
              <w:pStyle w:val="6"/>
              <w:spacing w:before="85" w:line="222" w:lineRule="auto"/>
              <w:ind w:left="134"/>
              <w:rPr>
                <w:sz w:val="21"/>
                <w:szCs w:val="21"/>
              </w:rPr>
            </w:pPr>
            <w:r>
              <w:rPr>
                <w:spacing w:val="-9"/>
                <w:sz w:val="21"/>
                <w:szCs w:val="21"/>
              </w:rPr>
              <w:t>(kV)</w:t>
            </w:r>
          </w:p>
        </w:tc>
        <w:tc>
          <w:tcPr>
            <w:tcW w:w="1039" w:type="dxa"/>
            <w:vAlign w:val="top"/>
          </w:tcPr>
          <w:p w14:paraId="457E6488">
            <w:pPr>
              <w:spacing w:line="363" w:lineRule="auto"/>
              <w:rPr>
                <w:rFonts w:ascii="Arial"/>
                <w:sz w:val="21"/>
              </w:rPr>
            </w:pPr>
          </w:p>
          <w:p w14:paraId="32DF38CF">
            <w:pPr>
              <w:pStyle w:val="6"/>
              <w:spacing w:before="68" w:line="219" w:lineRule="auto"/>
              <w:ind w:left="95"/>
              <w:rPr>
                <w:sz w:val="21"/>
                <w:szCs w:val="21"/>
              </w:rPr>
            </w:pPr>
            <w:r>
              <w:rPr>
                <w:spacing w:val="-2"/>
                <w:sz w:val="21"/>
                <w:szCs w:val="21"/>
              </w:rPr>
              <w:t>额定电流</w:t>
            </w:r>
          </w:p>
          <w:p w14:paraId="261CED7C">
            <w:pPr>
              <w:pStyle w:val="6"/>
              <w:spacing w:before="94" w:line="222" w:lineRule="auto"/>
              <w:ind w:left="355"/>
              <w:rPr>
                <w:sz w:val="21"/>
                <w:szCs w:val="21"/>
              </w:rPr>
            </w:pPr>
            <w:r>
              <w:rPr>
                <w:spacing w:val="-11"/>
                <w:sz w:val="21"/>
                <w:szCs w:val="21"/>
              </w:rPr>
              <w:t>(A)</w:t>
            </w:r>
          </w:p>
        </w:tc>
        <w:tc>
          <w:tcPr>
            <w:tcW w:w="699" w:type="dxa"/>
            <w:vAlign w:val="top"/>
          </w:tcPr>
          <w:p w14:paraId="36ABD131">
            <w:pPr>
              <w:pStyle w:val="6"/>
              <w:spacing w:before="113" w:line="219" w:lineRule="auto"/>
              <w:ind w:left="26"/>
              <w:rPr>
                <w:sz w:val="21"/>
                <w:szCs w:val="21"/>
              </w:rPr>
            </w:pPr>
            <w:r>
              <w:rPr>
                <w:spacing w:val="4"/>
                <w:sz w:val="21"/>
                <w:szCs w:val="21"/>
              </w:rPr>
              <w:t>开断电</w:t>
            </w:r>
          </w:p>
          <w:p w14:paraId="6CBD1DE9">
            <w:pPr>
              <w:pStyle w:val="6"/>
              <w:spacing w:before="74" w:line="223" w:lineRule="auto"/>
              <w:ind w:left="236"/>
              <w:rPr>
                <w:sz w:val="21"/>
                <w:szCs w:val="21"/>
              </w:rPr>
            </w:pPr>
            <w:r>
              <w:rPr>
                <w:sz w:val="21"/>
                <w:szCs w:val="21"/>
              </w:rPr>
              <w:t>流</w:t>
            </w:r>
          </w:p>
          <w:p w14:paraId="3F6F6F0C">
            <w:pPr>
              <w:pStyle w:val="6"/>
              <w:spacing w:before="85" w:line="222" w:lineRule="auto"/>
              <w:ind w:left="136"/>
              <w:rPr>
                <w:sz w:val="21"/>
                <w:szCs w:val="21"/>
              </w:rPr>
            </w:pPr>
            <w:r>
              <w:rPr>
                <w:spacing w:val="-9"/>
                <w:sz w:val="21"/>
                <w:szCs w:val="21"/>
              </w:rPr>
              <w:t>(kA)</w:t>
            </w:r>
          </w:p>
        </w:tc>
        <w:tc>
          <w:tcPr>
            <w:tcW w:w="709" w:type="dxa"/>
            <w:vAlign w:val="top"/>
          </w:tcPr>
          <w:p w14:paraId="4745DD16">
            <w:pPr>
              <w:pStyle w:val="6"/>
              <w:spacing w:before="113" w:line="219" w:lineRule="auto"/>
              <w:ind w:left="37"/>
              <w:rPr>
                <w:sz w:val="21"/>
                <w:szCs w:val="21"/>
              </w:rPr>
            </w:pPr>
            <w:r>
              <w:rPr>
                <w:spacing w:val="3"/>
                <w:sz w:val="21"/>
                <w:szCs w:val="21"/>
              </w:rPr>
              <w:t>短路关</w:t>
            </w:r>
          </w:p>
          <w:p w14:paraId="4CB5FD30">
            <w:pPr>
              <w:pStyle w:val="6"/>
              <w:spacing w:before="84" w:line="223" w:lineRule="auto"/>
              <w:ind w:left="37"/>
              <w:rPr>
                <w:sz w:val="21"/>
                <w:szCs w:val="21"/>
              </w:rPr>
            </w:pPr>
            <w:r>
              <w:rPr>
                <w:spacing w:val="-3"/>
                <w:sz w:val="21"/>
                <w:szCs w:val="21"/>
              </w:rPr>
              <w:t>合电流</w:t>
            </w:r>
          </w:p>
          <w:p w14:paraId="09A1DC70">
            <w:pPr>
              <w:pStyle w:val="6"/>
              <w:spacing w:before="75" w:line="222" w:lineRule="auto"/>
              <w:ind w:left="137"/>
              <w:rPr>
                <w:sz w:val="21"/>
                <w:szCs w:val="21"/>
              </w:rPr>
            </w:pPr>
            <w:r>
              <w:rPr>
                <w:spacing w:val="-9"/>
                <w:sz w:val="21"/>
                <w:szCs w:val="21"/>
              </w:rPr>
              <w:t>(kA)</w:t>
            </w:r>
          </w:p>
        </w:tc>
        <w:tc>
          <w:tcPr>
            <w:tcW w:w="699" w:type="dxa"/>
            <w:vAlign w:val="top"/>
          </w:tcPr>
          <w:p w14:paraId="2591F163">
            <w:pPr>
              <w:pStyle w:val="6"/>
              <w:spacing w:before="113" w:line="219" w:lineRule="auto"/>
              <w:ind w:left="27"/>
              <w:rPr>
                <w:sz w:val="21"/>
                <w:szCs w:val="21"/>
              </w:rPr>
            </w:pPr>
            <w:r>
              <w:rPr>
                <w:spacing w:val="4"/>
                <w:sz w:val="21"/>
                <w:szCs w:val="21"/>
              </w:rPr>
              <w:t>动稳定</w:t>
            </w:r>
          </w:p>
          <w:p w14:paraId="12584B79">
            <w:pPr>
              <w:pStyle w:val="6"/>
              <w:spacing w:before="84" w:line="223" w:lineRule="auto"/>
              <w:ind w:left="138"/>
              <w:rPr>
                <w:sz w:val="21"/>
                <w:szCs w:val="21"/>
              </w:rPr>
            </w:pPr>
            <w:r>
              <w:rPr>
                <w:spacing w:val="4"/>
                <w:sz w:val="21"/>
                <w:szCs w:val="21"/>
              </w:rPr>
              <w:t>电流</w:t>
            </w:r>
          </w:p>
          <w:p w14:paraId="6AB7E6E3">
            <w:pPr>
              <w:pStyle w:val="6"/>
              <w:spacing w:before="75" w:line="222" w:lineRule="auto"/>
              <w:ind w:left="138"/>
              <w:rPr>
                <w:sz w:val="21"/>
                <w:szCs w:val="21"/>
              </w:rPr>
            </w:pPr>
            <w:r>
              <w:rPr>
                <w:spacing w:val="-9"/>
                <w:sz w:val="21"/>
                <w:szCs w:val="21"/>
              </w:rPr>
              <w:t>(kA)</w:t>
            </w:r>
          </w:p>
        </w:tc>
        <w:tc>
          <w:tcPr>
            <w:tcW w:w="724" w:type="dxa"/>
            <w:vAlign w:val="top"/>
          </w:tcPr>
          <w:p w14:paraId="0517A993">
            <w:pPr>
              <w:pStyle w:val="6"/>
              <w:spacing w:before="113" w:line="219" w:lineRule="auto"/>
              <w:ind w:left="39"/>
              <w:rPr>
                <w:sz w:val="21"/>
                <w:szCs w:val="21"/>
              </w:rPr>
            </w:pPr>
            <w:r>
              <w:rPr>
                <w:spacing w:val="4"/>
                <w:sz w:val="21"/>
                <w:szCs w:val="21"/>
              </w:rPr>
              <w:t>热稳定</w:t>
            </w:r>
          </w:p>
          <w:p w14:paraId="23AED04C">
            <w:pPr>
              <w:pStyle w:val="6"/>
              <w:spacing w:before="84" w:line="223" w:lineRule="auto"/>
              <w:ind w:left="149"/>
              <w:rPr>
                <w:sz w:val="21"/>
                <w:szCs w:val="21"/>
              </w:rPr>
            </w:pPr>
            <w:r>
              <w:rPr>
                <w:spacing w:val="4"/>
                <w:sz w:val="21"/>
                <w:szCs w:val="21"/>
              </w:rPr>
              <w:t>电流</w:t>
            </w:r>
          </w:p>
          <w:p w14:paraId="345109D1">
            <w:pPr>
              <w:pStyle w:val="6"/>
              <w:spacing w:before="75" w:line="222" w:lineRule="auto"/>
              <w:ind w:left="149"/>
              <w:rPr>
                <w:sz w:val="21"/>
                <w:szCs w:val="21"/>
              </w:rPr>
            </w:pPr>
            <w:r>
              <w:rPr>
                <w:spacing w:val="-9"/>
                <w:sz w:val="21"/>
                <w:szCs w:val="21"/>
              </w:rPr>
              <w:t>(kA)</w:t>
            </w:r>
          </w:p>
        </w:tc>
      </w:tr>
      <w:tr w14:paraId="16A2D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324" w:type="dxa"/>
            <w:vMerge w:val="restart"/>
            <w:tcBorders>
              <w:bottom w:val="nil"/>
            </w:tcBorders>
            <w:vAlign w:val="top"/>
          </w:tcPr>
          <w:p w14:paraId="45401633">
            <w:pPr>
              <w:spacing w:line="470" w:lineRule="auto"/>
              <w:rPr>
                <w:rFonts w:ascii="Arial"/>
                <w:sz w:val="21"/>
              </w:rPr>
            </w:pPr>
          </w:p>
          <w:p w14:paraId="1A6DAFD3">
            <w:pPr>
              <w:pStyle w:val="6"/>
              <w:spacing w:before="68" w:line="286" w:lineRule="auto"/>
              <w:ind w:left="15" w:right="19" w:firstLine="10"/>
              <w:rPr>
                <w:sz w:val="21"/>
                <w:szCs w:val="21"/>
              </w:rPr>
            </w:pPr>
            <w:r>
              <w:rPr>
                <w:spacing w:val="1"/>
                <w:sz w:val="21"/>
                <w:szCs w:val="21"/>
              </w:rPr>
              <w:t>110k线路～变</w:t>
            </w:r>
            <w:r>
              <w:rPr>
                <w:sz w:val="21"/>
                <w:szCs w:val="21"/>
              </w:rPr>
              <w:t xml:space="preserve"> </w:t>
            </w:r>
            <w:r>
              <w:rPr>
                <w:spacing w:val="3"/>
                <w:sz w:val="21"/>
                <w:szCs w:val="21"/>
              </w:rPr>
              <w:t>压器组间隔</w:t>
            </w:r>
          </w:p>
        </w:tc>
        <w:tc>
          <w:tcPr>
            <w:tcW w:w="620" w:type="dxa"/>
            <w:vAlign w:val="top"/>
          </w:tcPr>
          <w:p w14:paraId="79815B00">
            <w:pPr>
              <w:pStyle w:val="6"/>
              <w:spacing w:before="124" w:line="232" w:lineRule="auto"/>
              <w:ind w:left="241"/>
              <w:rPr>
                <w:sz w:val="21"/>
                <w:szCs w:val="21"/>
              </w:rPr>
            </w:pPr>
            <w:r>
              <w:rPr>
                <w:sz w:val="21"/>
                <w:szCs w:val="21"/>
              </w:rPr>
              <w:t>1</w:t>
            </w:r>
          </w:p>
        </w:tc>
        <w:tc>
          <w:tcPr>
            <w:tcW w:w="1758" w:type="dxa"/>
            <w:vAlign w:val="top"/>
          </w:tcPr>
          <w:p w14:paraId="553A2900">
            <w:pPr>
              <w:pStyle w:val="6"/>
              <w:spacing w:before="102" w:line="219" w:lineRule="auto"/>
              <w:ind w:left="551"/>
              <w:rPr>
                <w:sz w:val="21"/>
                <w:szCs w:val="21"/>
              </w:rPr>
            </w:pPr>
            <w:r>
              <w:rPr>
                <w:spacing w:val="3"/>
                <w:sz w:val="21"/>
                <w:szCs w:val="21"/>
              </w:rPr>
              <w:t>断路器</w:t>
            </w:r>
          </w:p>
        </w:tc>
        <w:tc>
          <w:tcPr>
            <w:tcW w:w="689" w:type="dxa"/>
            <w:vAlign w:val="top"/>
          </w:tcPr>
          <w:p w14:paraId="591EA6CB">
            <w:pPr>
              <w:pStyle w:val="6"/>
              <w:spacing w:before="124" w:line="232" w:lineRule="auto"/>
              <w:ind w:left="173"/>
              <w:rPr>
                <w:sz w:val="21"/>
                <w:szCs w:val="21"/>
              </w:rPr>
            </w:pPr>
            <w:r>
              <w:rPr>
                <w:spacing w:val="-6"/>
                <w:sz w:val="21"/>
                <w:szCs w:val="21"/>
              </w:rPr>
              <w:t>110</w:t>
            </w:r>
          </w:p>
        </w:tc>
        <w:tc>
          <w:tcPr>
            <w:tcW w:w="709" w:type="dxa"/>
            <w:vAlign w:val="top"/>
          </w:tcPr>
          <w:p w14:paraId="03752B36">
            <w:pPr>
              <w:pStyle w:val="6"/>
              <w:spacing w:before="124" w:line="232" w:lineRule="auto"/>
              <w:ind w:left="183"/>
              <w:rPr>
                <w:sz w:val="21"/>
                <w:szCs w:val="21"/>
              </w:rPr>
            </w:pPr>
            <w:r>
              <w:rPr>
                <w:spacing w:val="-6"/>
                <w:sz w:val="21"/>
                <w:szCs w:val="21"/>
              </w:rPr>
              <w:t>126</w:t>
            </w:r>
          </w:p>
        </w:tc>
        <w:tc>
          <w:tcPr>
            <w:tcW w:w="1039" w:type="dxa"/>
            <w:vAlign w:val="top"/>
          </w:tcPr>
          <w:p w14:paraId="49A8EE1A">
            <w:pPr>
              <w:pStyle w:val="6"/>
              <w:spacing w:before="102" w:line="219" w:lineRule="auto"/>
              <w:ind w:left="95"/>
              <w:rPr>
                <w:sz w:val="21"/>
                <w:szCs w:val="21"/>
              </w:rPr>
            </w:pPr>
            <w:r>
              <w:rPr>
                <w:spacing w:val="3"/>
                <w:sz w:val="21"/>
                <w:szCs w:val="21"/>
              </w:rPr>
              <w:t>见主接线</w:t>
            </w:r>
          </w:p>
        </w:tc>
        <w:tc>
          <w:tcPr>
            <w:tcW w:w="699" w:type="dxa"/>
            <w:vAlign w:val="top"/>
          </w:tcPr>
          <w:p w14:paraId="105D7D57">
            <w:pPr>
              <w:pStyle w:val="6"/>
              <w:spacing w:before="124" w:line="232" w:lineRule="auto"/>
              <w:ind w:left="236"/>
              <w:rPr>
                <w:sz w:val="21"/>
                <w:szCs w:val="21"/>
              </w:rPr>
            </w:pPr>
            <w:r>
              <w:rPr>
                <w:spacing w:val="-2"/>
                <w:sz w:val="21"/>
                <w:szCs w:val="21"/>
              </w:rPr>
              <w:t>40</w:t>
            </w:r>
          </w:p>
        </w:tc>
        <w:tc>
          <w:tcPr>
            <w:tcW w:w="709" w:type="dxa"/>
            <w:vAlign w:val="top"/>
          </w:tcPr>
          <w:p w14:paraId="7284C296">
            <w:pPr>
              <w:pStyle w:val="6"/>
              <w:spacing w:before="124" w:line="232" w:lineRule="auto"/>
              <w:ind w:left="186"/>
              <w:rPr>
                <w:sz w:val="21"/>
                <w:szCs w:val="21"/>
              </w:rPr>
            </w:pPr>
            <w:r>
              <w:rPr>
                <w:spacing w:val="-6"/>
                <w:sz w:val="21"/>
                <w:szCs w:val="21"/>
              </w:rPr>
              <w:t>100</w:t>
            </w:r>
          </w:p>
        </w:tc>
        <w:tc>
          <w:tcPr>
            <w:tcW w:w="699" w:type="dxa"/>
            <w:vAlign w:val="top"/>
          </w:tcPr>
          <w:p w14:paraId="07304F78">
            <w:pPr>
              <w:pStyle w:val="6"/>
              <w:spacing w:before="124" w:line="232" w:lineRule="auto"/>
              <w:ind w:left="188"/>
              <w:rPr>
                <w:sz w:val="21"/>
                <w:szCs w:val="21"/>
              </w:rPr>
            </w:pPr>
            <w:r>
              <w:rPr>
                <w:spacing w:val="-6"/>
                <w:sz w:val="21"/>
                <w:szCs w:val="21"/>
              </w:rPr>
              <w:t>100</w:t>
            </w:r>
          </w:p>
        </w:tc>
        <w:tc>
          <w:tcPr>
            <w:tcW w:w="724" w:type="dxa"/>
            <w:vAlign w:val="top"/>
          </w:tcPr>
          <w:p w14:paraId="7D7F51CA">
            <w:pPr>
              <w:pStyle w:val="6"/>
              <w:spacing w:before="124" w:line="232" w:lineRule="auto"/>
              <w:ind w:left="249"/>
              <w:rPr>
                <w:sz w:val="21"/>
                <w:szCs w:val="21"/>
              </w:rPr>
            </w:pPr>
            <w:r>
              <w:rPr>
                <w:spacing w:val="-2"/>
                <w:sz w:val="21"/>
                <w:szCs w:val="21"/>
              </w:rPr>
              <w:t>40</w:t>
            </w:r>
          </w:p>
        </w:tc>
      </w:tr>
      <w:tr w14:paraId="68791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324" w:type="dxa"/>
            <w:vMerge w:val="continue"/>
            <w:tcBorders>
              <w:top w:val="nil"/>
              <w:bottom w:val="nil"/>
            </w:tcBorders>
            <w:vAlign w:val="top"/>
          </w:tcPr>
          <w:p w14:paraId="3FB42FED">
            <w:pPr>
              <w:rPr>
                <w:rFonts w:ascii="Arial"/>
                <w:sz w:val="21"/>
              </w:rPr>
            </w:pPr>
          </w:p>
        </w:tc>
        <w:tc>
          <w:tcPr>
            <w:tcW w:w="620" w:type="dxa"/>
            <w:vAlign w:val="top"/>
          </w:tcPr>
          <w:p w14:paraId="2F45AE75">
            <w:pPr>
              <w:pStyle w:val="6"/>
              <w:spacing w:before="115" w:line="232" w:lineRule="auto"/>
              <w:ind w:left="241"/>
              <w:rPr>
                <w:sz w:val="21"/>
                <w:szCs w:val="21"/>
              </w:rPr>
            </w:pPr>
            <w:r>
              <w:rPr>
                <w:sz w:val="21"/>
                <w:szCs w:val="21"/>
              </w:rPr>
              <w:t>2</w:t>
            </w:r>
          </w:p>
        </w:tc>
        <w:tc>
          <w:tcPr>
            <w:tcW w:w="1758" w:type="dxa"/>
            <w:vAlign w:val="top"/>
          </w:tcPr>
          <w:p w14:paraId="299ABE43">
            <w:pPr>
              <w:pStyle w:val="6"/>
              <w:spacing w:before="95" w:line="220" w:lineRule="auto"/>
              <w:ind w:left="450"/>
              <w:rPr>
                <w:sz w:val="21"/>
                <w:szCs w:val="21"/>
              </w:rPr>
            </w:pPr>
            <w:r>
              <w:rPr>
                <w:spacing w:val="2"/>
                <w:sz w:val="21"/>
                <w:szCs w:val="21"/>
              </w:rPr>
              <w:t>隔离开关</w:t>
            </w:r>
          </w:p>
        </w:tc>
        <w:tc>
          <w:tcPr>
            <w:tcW w:w="689" w:type="dxa"/>
            <w:vAlign w:val="top"/>
          </w:tcPr>
          <w:p w14:paraId="59DDC144">
            <w:pPr>
              <w:pStyle w:val="6"/>
              <w:spacing w:before="115" w:line="232" w:lineRule="auto"/>
              <w:ind w:left="173"/>
              <w:rPr>
                <w:sz w:val="21"/>
                <w:szCs w:val="21"/>
              </w:rPr>
            </w:pPr>
            <w:r>
              <w:rPr>
                <w:spacing w:val="-6"/>
                <w:sz w:val="21"/>
                <w:szCs w:val="21"/>
              </w:rPr>
              <w:t>110</w:t>
            </w:r>
          </w:p>
        </w:tc>
        <w:tc>
          <w:tcPr>
            <w:tcW w:w="709" w:type="dxa"/>
            <w:vAlign w:val="top"/>
          </w:tcPr>
          <w:p w14:paraId="48697A4E">
            <w:pPr>
              <w:pStyle w:val="6"/>
              <w:spacing w:before="115" w:line="232" w:lineRule="auto"/>
              <w:ind w:left="183"/>
              <w:rPr>
                <w:sz w:val="21"/>
                <w:szCs w:val="21"/>
              </w:rPr>
            </w:pPr>
            <w:r>
              <w:rPr>
                <w:spacing w:val="-6"/>
                <w:sz w:val="21"/>
                <w:szCs w:val="21"/>
              </w:rPr>
              <w:t>126</w:t>
            </w:r>
          </w:p>
        </w:tc>
        <w:tc>
          <w:tcPr>
            <w:tcW w:w="1039" w:type="dxa"/>
            <w:vAlign w:val="top"/>
          </w:tcPr>
          <w:p w14:paraId="03B22C06">
            <w:pPr>
              <w:pStyle w:val="6"/>
              <w:spacing w:before="94" w:line="219" w:lineRule="auto"/>
              <w:ind w:left="14"/>
              <w:rPr>
                <w:sz w:val="21"/>
                <w:szCs w:val="21"/>
              </w:rPr>
            </w:pPr>
            <w:r>
              <w:rPr>
                <w:spacing w:val="3"/>
                <w:sz w:val="21"/>
                <w:szCs w:val="21"/>
              </w:rPr>
              <w:t>见主接线</w:t>
            </w:r>
          </w:p>
        </w:tc>
        <w:tc>
          <w:tcPr>
            <w:tcW w:w="699" w:type="dxa"/>
            <w:vAlign w:val="top"/>
          </w:tcPr>
          <w:p w14:paraId="3D5FD094">
            <w:pPr>
              <w:rPr>
                <w:rFonts w:ascii="Arial"/>
                <w:sz w:val="21"/>
              </w:rPr>
            </w:pPr>
          </w:p>
        </w:tc>
        <w:tc>
          <w:tcPr>
            <w:tcW w:w="709" w:type="dxa"/>
            <w:vAlign w:val="top"/>
          </w:tcPr>
          <w:p w14:paraId="059BB294">
            <w:pPr>
              <w:rPr>
                <w:rFonts w:ascii="Arial"/>
                <w:sz w:val="21"/>
              </w:rPr>
            </w:pPr>
          </w:p>
        </w:tc>
        <w:tc>
          <w:tcPr>
            <w:tcW w:w="699" w:type="dxa"/>
            <w:vAlign w:val="top"/>
          </w:tcPr>
          <w:p w14:paraId="5F39B221">
            <w:pPr>
              <w:pStyle w:val="6"/>
              <w:spacing w:before="115" w:line="232" w:lineRule="auto"/>
              <w:ind w:left="188"/>
              <w:rPr>
                <w:sz w:val="21"/>
                <w:szCs w:val="21"/>
              </w:rPr>
            </w:pPr>
            <w:r>
              <w:rPr>
                <w:spacing w:val="-6"/>
                <w:sz w:val="21"/>
                <w:szCs w:val="21"/>
              </w:rPr>
              <w:t>100</w:t>
            </w:r>
          </w:p>
        </w:tc>
        <w:tc>
          <w:tcPr>
            <w:tcW w:w="724" w:type="dxa"/>
            <w:vAlign w:val="top"/>
          </w:tcPr>
          <w:p w14:paraId="5A9F3431">
            <w:pPr>
              <w:pStyle w:val="6"/>
              <w:spacing w:before="115" w:line="232" w:lineRule="auto"/>
              <w:ind w:left="249"/>
              <w:rPr>
                <w:sz w:val="21"/>
                <w:szCs w:val="21"/>
              </w:rPr>
            </w:pPr>
            <w:r>
              <w:rPr>
                <w:spacing w:val="-2"/>
                <w:sz w:val="21"/>
                <w:szCs w:val="21"/>
              </w:rPr>
              <w:t>40</w:t>
            </w:r>
          </w:p>
        </w:tc>
      </w:tr>
      <w:tr w14:paraId="53E41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24" w:type="dxa"/>
            <w:vMerge w:val="continue"/>
            <w:tcBorders>
              <w:top w:val="nil"/>
              <w:bottom w:val="nil"/>
            </w:tcBorders>
            <w:vAlign w:val="top"/>
          </w:tcPr>
          <w:p w14:paraId="26F8DBDB">
            <w:pPr>
              <w:rPr>
                <w:rFonts w:ascii="Arial"/>
                <w:sz w:val="21"/>
              </w:rPr>
            </w:pPr>
          </w:p>
        </w:tc>
        <w:tc>
          <w:tcPr>
            <w:tcW w:w="620" w:type="dxa"/>
            <w:vAlign w:val="top"/>
          </w:tcPr>
          <w:p w14:paraId="294F9EC0">
            <w:pPr>
              <w:pStyle w:val="6"/>
              <w:spacing w:before="106" w:line="222" w:lineRule="auto"/>
              <w:ind w:left="241"/>
              <w:rPr>
                <w:sz w:val="21"/>
                <w:szCs w:val="21"/>
              </w:rPr>
            </w:pPr>
            <w:r>
              <w:rPr>
                <w:sz w:val="21"/>
                <w:szCs w:val="21"/>
              </w:rPr>
              <w:t>3</w:t>
            </w:r>
          </w:p>
        </w:tc>
        <w:tc>
          <w:tcPr>
            <w:tcW w:w="1758" w:type="dxa"/>
            <w:vAlign w:val="top"/>
          </w:tcPr>
          <w:p w14:paraId="04B3603F">
            <w:pPr>
              <w:pStyle w:val="6"/>
              <w:spacing w:before="89" w:line="223" w:lineRule="auto"/>
              <w:ind w:left="341"/>
              <w:rPr>
                <w:sz w:val="21"/>
                <w:szCs w:val="21"/>
              </w:rPr>
            </w:pPr>
            <w:r>
              <w:rPr>
                <w:spacing w:val="1"/>
                <w:sz w:val="21"/>
                <w:szCs w:val="21"/>
              </w:rPr>
              <w:t>电流互感器</w:t>
            </w:r>
          </w:p>
        </w:tc>
        <w:tc>
          <w:tcPr>
            <w:tcW w:w="689" w:type="dxa"/>
            <w:vAlign w:val="top"/>
          </w:tcPr>
          <w:p w14:paraId="49C63542">
            <w:pPr>
              <w:pStyle w:val="6"/>
              <w:spacing w:before="106" w:line="222" w:lineRule="auto"/>
              <w:ind w:left="173"/>
              <w:rPr>
                <w:sz w:val="21"/>
                <w:szCs w:val="21"/>
              </w:rPr>
            </w:pPr>
            <w:r>
              <w:rPr>
                <w:spacing w:val="-6"/>
                <w:sz w:val="21"/>
                <w:szCs w:val="21"/>
              </w:rPr>
              <w:t>110</w:t>
            </w:r>
          </w:p>
        </w:tc>
        <w:tc>
          <w:tcPr>
            <w:tcW w:w="709" w:type="dxa"/>
            <w:vAlign w:val="top"/>
          </w:tcPr>
          <w:p w14:paraId="1ECA20FB">
            <w:pPr>
              <w:pStyle w:val="6"/>
              <w:spacing w:before="106" w:line="222" w:lineRule="auto"/>
              <w:ind w:left="183"/>
              <w:rPr>
                <w:sz w:val="21"/>
                <w:szCs w:val="21"/>
              </w:rPr>
            </w:pPr>
            <w:r>
              <w:rPr>
                <w:spacing w:val="-6"/>
                <w:sz w:val="21"/>
                <w:szCs w:val="21"/>
              </w:rPr>
              <w:t>110</w:t>
            </w:r>
          </w:p>
        </w:tc>
        <w:tc>
          <w:tcPr>
            <w:tcW w:w="1039" w:type="dxa"/>
            <w:vAlign w:val="top"/>
          </w:tcPr>
          <w:p w14:paraId="0A33E880">
            <w:pPr>
              <w:pStyle w:val="6"/>
              <w:spacing w:before="85" w:line="219" w:lineRule="auto"/>
              <w:ind w:left="95"/>
              <w:rPr>
                <w:sz w:val="21"/>
                <w:szCs w:val="21"/>
              </w:rPr>
            </w:pPr>
            <w:r>
              <w:rPr>
                <w:spacing w:val="3"/>
                <w:sz w:val="21"/>
                <w:szCs w:val="21"/>
              </w:rPr>
              <w:t>见主接线</w:t>
            </w:r>
          </w:p>
        </w:tc>
        <w:tc>
          <w:tcPr>
            <w:tcW w:w="699" w:type="dxa"/>
            <w:vAlign w:val="top"/>
          </w:tcPr>
          <w:p w14:paraId="5A936437">
            <w:pPr>
              <w:rPr>
                <w:rFonts w:ascii="Arial"/>
                <w:sz w:val="21"/>
              </w:rPr>
            </w:pPr>
          </w:p>
        </w:tc>
        <w:tc>
          <w:tcPr>
            <w:tcW w:w="709" w:type="dxa"/>
            <w:vAlign w:val="top"/>
          </w:tcPr>
          <w:p w14:paraId="20B7F208">
            <w:pPr>
              <w:rPr>
                <w:rFonts w:ascii="Arial"/>
                <w:sz w:val="21"/>
              </w:rPr>
            </w:pPr>
          </w:p>
        </w:tc>
        <w:tc>
          <w:tcPr>
            <w:tcW w:w="699" w:type="dxa"/>
            <w:vAlign w:val="top"/>
          </w:tcPr>
          <w:p w14:paraId="3DF8961F">
            <w:pPr>
              <w:rPr>
                <w:rFonts w:ascii="Arial"/>
                <w:sz w:val="21"/>
              </w:rPr>
            </w:pPr>
          </w:p>
        </w:tc>
        <w:tc>
          <w:tcPr>
            <w:tcW w:w="724" w:type="dxa"/>
            <w:vAlign w:val="top"/>
          </w:tcPr>
          <w:p w14:paraId="6E0F2C60">
            <w:pPr>
              <w:rPr>
                <w:rFonts w:ascii="Arial"/>
                <w:sz w:val="21"/>
              </w:rPr>
            </w:pPr>
          </w:p>
        </w:tc>
      </w:tr>
      <w:tr w14:paraId="1DE40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324" w:type="dxa"/>
            <w:vMerge w:val="continue"/>
            <w:tcBorders>
              <w:top w:val="nil"/>
            </w:tcBorders>
            <w:vAlign w:val="top"/>
          </w:tcPr>
          <w:p w14:paraId="1CBBB620">
            <w:pPr>
              <w:rPr>
                <w:rFonts w:ascii="Arial"/>
                <w:sz w:val="21"/>
              </w:rPr>
            </w:pPr>
          </w:p>
        </w:tc>
        <w:tc>
          <w:tcPr>
            <w:tcW w:w="620" w:type="dxa"/>
            <w:vAlign w:val="top"/>
          </w:tcPr>
          <w:p w14:paraId="778FF3A6">
            <w:pPr>
              <w:pStyle w:val="6"/>
              <w:spacing w:before="127" w:line="233" w:lineRule="auto"/>
              <w:ind w:left="241"/>
              <w:rPr>
                <w:sz w:val="21"/>
                <w:szCs w:val="21"/>
              </w:rPr>
            </w:pPr>
            <w:r>
              <w:rPr>
                <w:sz w:val="21"/>
                <w:szCs w:val="21"/>
              </w:rPr>
              <w:t>4</w:t>
            </w:r>
          </w:p>
        </w:tc>
        <w:tc>
          <w:tcPr>
            <w:tcW w:w="1758" w:type="dxa"/>
            <w:vAlign w:val="top"/>
          </w:tcPr>
          <w:p w14:paraId="34AAD7EE">
            <w:pPr>
              <w:pStyle w:val="6"/>
              <w:spacing w:before="110" w:line="223" w:lineRule="auto"/>
              <w:ind w:left="341"/>
              <w:rPr>
                <w:sz w:val="21"/>
                <w:szCs w:val="21"/>
              </w:rPr>
            </w:pPr>
            <w:r>
              <w:rPr>
                <w:spacing w:val="1"/>
                <w:sz w:val="21"/>
                <w:szCs w:val="21"/>
              </w:rPr>
              <w:t>电压互感器</w:t>
            </w:r>
          </w:p>
        </w:tc>
        <w:tc>
          <w:tcPr>
            <w:tcW w:w="689" w:type="dxa"/>
            <w:vAlign w:val="top"/>
          </w:tcPr>
          <w:p w14:paraId="1057FA88">
            <w:pPr>
              <w:pStyle w:val="6"/>
              <w:spacing w:before="127" w:line="233" w:lineRule="auto"/>
              <w:ind w:left="173"/>
              <w:rPr>
                <w:sz w:val="21"/>
                <w:szCs w:val="21"/>
              </w:rPr>
            </w:pPr>
            <w:r>
              <w:rPr>
                <w:spacing w:val="-6"/>
                <w:sz w:val="21"/>
                <w:szCs w:val="21"/>
              </w:rPr>
              <w:t>110</w:t>
            </w:r>
          </w:p>
        </w:tc>
        <w:tc>
          <w:tcPr>
            <w:tcW w:w="709" w:type="dxa"/>
            <w:vAlign w:val="top"/>
          </w:tcPr>
          <w:p w14:paraId="6897BAE1">
            <w:pPr>
              <w:pStyle w:val="6"/>
              <w:spacing w:before="127" w:line="233" w:lineRule="auto"/>
              <w:ind w:left="183"/>
              <w:rPr>
                <w:sz w:val="21"/>
                <w:szCs w:val="21"/>
              </w:rPr>
            </w:pPr>
            <w:r>
              <w:rPr>
                <w:spacing w:val="-6"/>
                <w:sz w:val="21"/>
                <w:szCs w:val="21"/>
              </w:rPr>
              <w:t>110</w:t>
            </w:r>
          </w:p>
        </w:tc>
        <w:tc>
          <w:tcPr>
            <w:tcW w:w="1039" w:type="dxa"/>
            <w:vAlign w:val="top"/>
          </w:tcPr>
          <w:p w14:paraId="4688D315">
            <w:pPr>
              <w:rPr>
                <w:rFonts w:ascii="Arial"/>
                <w:sz w:val="21"/>
              </w:rPr>
            </w:pPr>
          </w:p>
        </w:tc>
        <w:tc>
          <w:tcPr>
            <w:tcW w:w="699" w:type="dxa"/>
            <w:vAlign w:val="top"/>
          </w:tcPr>
          <w:p w14:paraId="424CC82A">
            <w:pPr>
              <w:rPr>
                <w:rFonts w:ascii="Arial"/>
                <w:sz w:val="21"/>
              </w:rPr>
            </w:pPr>
          </w:p>
        </w:tc>
        <w:tc>
          <w:tcPr>
            <w:tcW w:w="709" w:type="dxa"/>
            <w:vAlign w:val="top"/>
          </w:tcPr>
          <w:p w14:paraId="79DB5D53">
            <w:pPr>
              <w:rPr>
                <w:rFonts w:ascii="Arial"/>
                <w:sz w:val="21"/>
              </w:rPr>
            </w:pPr>
          </w:p>
        </w:tc>
        <w:tc>
          <w:tcPr>
            <w:tcW w:w="699" w:type="dxa"/>
            <w:vAlign w:val="top"/>
          </w:tcPr>
          <w:p w14:paraId="2D6D1946">
            <w:pPr>
              <w:rPr>
                <w:rFonts w:ascii="Arial"/>
                <w:sz w:val="21"/>
              </w:rPr>
            </w:pPr>
          </w:p>
        </w:tc>
        <w:tc>
          <w:tcPr>
            <w:tcW w:w="724" w:type="dxa"/>
            <w:vAlign w:val="top"/>
          </w:tcPr>
          <w:p w14:paraId="6763918E">
            <w:pPr>
              <w:rPr>
                <w:rFonts w:ascii="Arial"/>
                <w:sz w:val="21"/>
              </w:rPr>
            </w:pPr>
          </w:p>
        </w:tc>
      </w:tr>
    </w:tbl>
    <w:p w14:paraId="1D0D69AB">
      <w:pPr>
        <w:spacing w:before="175" w:line="219" w:lineRule="auto"/>
        <w:ind w:left="934"/>
        <w:rPr>
          <w:rFonts w:ascii="宋体" w:hAnsi="宋体" w:eastAsia="宋体" w:cs="宋体"/>
          <w:sz w:val="24"/>
          <w:szCs w:val="24"/>
        </w:rPr>
      </w:pPr>
      <w:r>
        <w:rPr>
          <w:rFonts w:ascii="宋体" w:hAnsi="宋体" w:eastAsia="宋体" w:cs="宋体"/>
          <w:spacing w:val="-4"/>
          <w:sz w:val="24"/>
          <w:szCs w:val="24"/>
        </w:rPr>
        <w:t>(3)35</w:t>
      </w:r>
      <w:r>
        <w:rPr>
          <w:rFonts w:ascii="宋体" w:hAnsi="宋体" w:eastAsia="宋体" w:cs="宋体"/>
          <w:spacing w:val="40"/>
          <w:sz w:val="24"/>
          <w:szCs w:val="24"/>
        </w:rPr>
        <w:t xml:space="preserve"> </w:t>
      </w:r>
      <w:r>
        <w:rPr>
          <w:rFonts w:ascii="Times New Roman" w:hAnsi="Times New Roman" w:eastAsia="Times New Roman" w:cs="Times New Roman"/>
          <w:spacing w:val="-4"/>
          <w:sz w:val="24"/>
          <w:szCs w:val="24"/>
        </w:rPr>
        <w:t xml:space="preserve">kV </w:t>
      </w:r>
      <w:r>
        <w:rPr>
          <w:rFonts w:ascii="宋体" w:hAnsi="宋体" w:eastAsia="宋体" w:cs="宋体"/>
          <w:spacing w:val="-4"/>
          <w:sz w:val="24"/>
          <w:szCs w:val="24"/>
        </w:rPr>
        <w:t>高压配电装置</w:t>
      </w:r>
    </w:p>
    <w:p w14:paraId="3E5E0942">
      <w:pPr>
        <w:spacing w:before="193" w:line="365" w:lineRule="auto"/>
        <w:ind w:left="324" w:right="884" w:firstLine="490"/>
        <w:rPr>
          <w:rFonts w:ascii="宋体" w:hAnsi="宋体" w:eastAsia="宋体" w:cs="宋体"/>
          <w:sz w:val="24"/>
          <w:szCs w:val="24"/>
        </w:rPr>
      </w:pPr>
      <w:r>
        <w:rPr>
          <w:rFonts w:ascii="宋体" w:hAnsi="宋体" w:eastAsia="宋体" w:cs="宋体"/>
          <w:spacing w:val="5"/>
          <w:sz w:val="24"/>
          <w:szCs w:val="24"/>
        </w:rPr>
        <w:t>本工程35</w:t>
      </w:r>
      <w:r>
        <w:rPr>
          <w:rFonts w:ascii="Times New Roman" w:hAnsi="Times New Roman" w:eastAsia="Times New Roman" w:cs="Times New Roman"/>
          <w:sz w:val="24"/>
          <w:szCs w:val="24"/>
        </w:rPr>
        <w:t>kV</w:t>
      </w:r>
      <w:r>
        <w:rPr>
          <w:rFonts w:ascii="Times New Roman" w:hAnsi="Times New Roman" w:eastAsia="Times New Roman" w:cs="Times New Roman"/>
          <w:spacing w:val="5"/>
          <w:sz w:val="24"/>
          <w:szCs w:val="24"/>
        </w:rPr>
        <w:t xml:space="preserve"> </w:t>
      </w:r>
      <w:r>
        <w:rPr>
          <w:rFonts w:ascii="宋体" w:hAnsi="宋体" w:eastAsia="宋体" w:cs="宋体"/>
          <w:spacing w:val="5"/>
          <w:sz w:val="24"/>
          <w:szCs w:val="24"/>
        </w:rPr>
        <w:t>配电装置采用移开式开关柜，按</w:t>
      </w:r>
      <w:r>
        <w:rPr>
          <w:rFonts w:ascii="宋体" w:hAnsi="宋体" w:eastAsia="宋体" w:cs="宋体"/>
          <w:spacing w:val="4"/>
          <w:sz w:val="24"/>
          <w:szCs w:val="24"/>
        </w:rPr>
        <w:t>如下配置：新建1面主变进线</w:t>
      </w:r>
      <w:r>
        <w:rPr>
          <w:rFonts w:ascii="宋体" w:hAnsi="宋体" w:eastAsia="宋体" w:cs="宋体"/>
          <w:sz w:val="24"/>
          <w:szCs w:val="24"/>
        </w:rPr>
        <w:t xml:space="preserve"> </w:t>
      </w:r>
      <w:r>
        <w:rPr>
          <w:rFonts w:ascii="宋体" w:hAnsi="宋体" w:eastAsia="宋体" w:cs="宋体"/>
          <w:spacing w:val="3"/>
          <w:sz w:val="24"/>
          <w:szCs w:val="24"/>
        </w:rPr>
        <w:t>柜，3面集电线路进线柜，1面母线电压互感器柜，1面站用电兼接地变进线柜，</w:t>
      </w:r>
      <w:r>
        <w:rPr>
          <w:rFonts w:ascii="宋体" w:hAnsi="宋体" w:eastAsia="宋体" w:cs="宋体"/>
          <w:spacing w:val="1"/>
          <w:sz w:val="24"/>
          <w:szCs w:val="24"/>
        </w:rPr>
        <w:t xml:space="preserve"> </w:t>
      </w:r>
      <w:r>
        <w:rPr>
          <w:rFonts w:ascii="宋体" w:hAnsi="宋体" w:eastAsia="宋体" w:cs="宋体"/>
          <w:spacing w:val="2"/>
          <w:sz w:val="24"/>
          <w:szCs w:val="24"/>
        </w:rPr>
        <w:t>1面动态无功补偿进线柜，1面储能进线柜，共新建8面柜子。</w:t>
      </w:r>
      <w:r>
        <w:rPr>
          <w:rFonts w:ascii="宋体" w:hAnsi="宋体" w:eastAsia="宋体" w:cs="宋体"/>
          <w:spacing w:val="-41"/>
          <w:sz w:val="24"/>
          <w:szCs w:val="24"/>
        </w:rPr>
        <w:t xml:space="preserve"> </w:t>
      </w:r>
      <w:r>
        <w:rPr>
          <w:rFonts w:ascii="Times New Roman" w:hAnsi="Times New Roman" w:eastAsia="Times New Roman" w:cs="Times New Roman"/>
          <w:sz w:val="24"/>
          <w:szCs w:val="24"/>
        </w:rPr>
        <w:t>SVG</w:t>
      </w:r>
      <w:r>
        <w:rPr>
          <w:rFonts w:ascii="Times New Roman" w:hAnsi="Times New Roman" w:eastAsia="Times New Roman" w:cs="Times New Roman"/>
          <w:spacing w:val="35"/>
          <w:w w:val="101"/>
          <w:sz w:val="24"/>
          <w:szCs w:val="24"/>
        </w:rPr>
        <w:t xml:space="preserve"> </w:t>
      </w:r>
      <w:r>
        <w:rPr>
          <w:rFonts w:ascii="宋体" w:hAnsi="宋体" w:eastAsia="宋体" w:cs="宋体"/>
          <w:spacing w:val="1"/>
          <w:sz w:val="24"/>
          <w:szCs w:val="24"/>
        </w:rPr>
        <w:t>采用</w:t>
      </w:r>
      <w:r>
        <w:rPr>
          <w:rFonts w:ascii="Times New Roman" w:hAnsi="Times New Roman" w:eastAsia="Times New Roman" w:cs="Times New Roman"/>
          <w:sz w:val="24"/>
          <w:szCs w:val="24"/>
        </w:rPr>
        <w:t>SF</w:t>
      </w:r>
      <w:r>
        <w:rPr>
          <w:rFonts w:ascii="Times New Roman" w:hAnsi="Times New Roman" w:eastAsia="Times New Roman" w:cs="Times New Roman"/>
          <w:spacing w:val="1"/>
          <w:sz w:val="24"/>
          <w:szCs w:val="24"/>
        </w:rPr>
        <w:t>6</w:t>
      </w:r>
      <w:r>
        <w:rPr>
          <w:rFonts w:ascii="Times New Roman" w:hAnsi="Times New Roman" w:eastAsia="Times New Roman" w:cs="Times New Roman"/>
          <w:spacing w:val="18"/>
          <w:w w:val="101"/>
          <w:sz w:val="24"/>
          <w:szCs w:val="24"/>
        </w:rPr>
        <w:t xml:space="preserve"> </w:t>
      </w:r>
      <w:r>
        <w:rPr>
          <w:rFonts w:ascii="宋体" w:hAnsi="宋体" w:eastAsia="宋体" w:cs="宋体"/>
          <w:spacing w:val="1"/>
          <w:sz w:val="24"/>
          <w:szCs w:val="24"/>
        </w:rPr>
        <w:t>断</w:t>
      </w:r>
      <w:r>
        <w:rPr>
          <w:rFonts w:ascii="宋体" w:hAnsi="宋体" w:eastAsia="宋体" w:cs="宋体"/>
          <w:sz w:val="24"/>
          <w:szCs w:val="24"/>
        </w:rPr>
        <w:t xml:space="preserve">  路器，其他采用真空断路器。详见表2-2。</w:t>
      </w:r>
    </w:p>
    <w:p w14:paraId="60B0DCE3">
      <w:pPr>
        <w:spacing w:before="29" w:line="219" w:lineRule="auto"/>
        <w:ind w:left="2658"/>
        <w:rPr>
          <w:rFonts w:ascii="宋体" w:hAnsi="宋体" w:eastAsia="宋体" w:cs="宋体"/>
          <w:sz w:val="26"/>
          <w:szCs w:val="26"/>
        </w:rPr>
      </w:pPr>
      <w:r>
        <w:rPr>
          <w:rFonts w:ascii="宋体" w:hAnsi="宋体" w:eastAsia="宋体" w:cs="宋体"/>
          <w:b/>
          <w:bCs/>
          <w:spacing w:val="-4"/>
          <w:sz w:val="26"/>
          <w:szCs w:val="26"/>
        </w:rPr>
        <w:t>表2-235kV户内配电装置配置一览表</w:t>
      </w:r>
    </w:p>
    <w:tbl>
      <w:tblPr>
        <w:tblStyle w:val="5"/>
        <w:tblW w:w="8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4"/>
        <w:gridCol w:w="609"/>
        <w:gridCol w:w="1479"/>
        <w:gridCol w:w="769"/>
        <w:gridCol w:w="809"/>
        <w:gridCol w:w="1079"/>
        <w:gridCol w:w="699"/>
        <w:gridCol w:w="719"/>
        <w:gridCol w:w="709"/>
        <w:gridCol w:w="694"/>
      </w:tblGrid>
      <w:tr w14:paraId="05CE9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3" w:hRule="atLeast"/>
        </w:trPr>
        <w:tc>
          <w:tcPr>
            <w:tcW w:w="1384" w:type="dxa"/>
            <w:vAlign w:val="top"/>
          </w:tcPr>
          <w:p w14:paraId="41477B97">
            <w:pPr>
              <w:spacing w:line="276" w:lineRule="auto"/>
              <w:rPr>
                <w:rFonts w:ascii="Arial"/>
                <w:sz w:val="21"/>
              </w:rPr>
            </w:pPr>
          </w:p>
          <w:p w14:paraId="5A6EEE6B">
            <w:pPr>
              <w:spacing w:line="276" w:lineRule="auto"/>
              <w:rPr>
                <w:rFonts w:ascii="Arial"/>
                <w:sz w:val="21"/>
              </w:rPr>
            </w:pPr>
          </w:p>
          <w:p w14:paraId="5A6B6CA9">
            <w:pPr>
              <w:pStyle w:val="6"/>
              <w:spacing w:before="68" w:line="220" w:lineRule="auto"/>
              <w:ind w:left="265"/>
              <w:rPr>
                <w:sz w:val="21"/>
                <w:szCs w:val="21"/>
              </w:rPr>
            </w:pPr>
            <w:r>
              <w:rPr>
                <w:spacing w:val="-3"/>
                <w:sz w:val="21"/>
                <w:szCs w:val="21"/>
              </w:rPr>
              <w:t>安装位置</w:t>
            </w:r>
          </w:p>
        </w:tc>
        <w:tc>
          <w:tcPr>
            <w:tcW w:w="609" w:type="dxa"/>
            <w:vAlign w:val="top"/>
          </w:tcPr>
          <w:p w14:paraId="5E2E2958">
            <w:pPr>
              <w:spacing w:line="276" w:lineRule="auto"/>
              <w:rPr>
                <w:rFonts w:ascii="Arial"/>
                <w:sz w:val="21"/>
              </w:rPr>
            </w:pPr>
          </w:p>
          <w:p w14:paraId="46B513D7">
            <w:pPr>
              <w:spacing w:line="277" w:lineRule="auto"/>
              <w:rPr>
                <w:rFonts w:ascii="Arial"/>
                <w:sz w:val="21"/>
              </w:rPr>
            </w:pPr>
          </w:p>
          <w:p w14:paraId="43DE0560">
            <w:pPr>
              <w:pStyle w:val="6"/>
              <w:spacing w:before="68" w:line="221" w:lineRule="auto"/>
              <w:ind w:left="80"/>
              <w:rPr>
                <w:sz w:val="21"/>
                <w:szCs w:val="21"/>
              </w:rPr>
            </w:pPr>
            <w:r>
              <w:rPr>
                <w:spacing w:val="6"/>
                <w:sz w:val="21"/>
                <w:szCs w:val="21"/>
              </w:rPr>
              <w:t>序号</w:t>
            </w:r>
          </w:p>
        </w:tc>
        <w:tc>
          <w:tcPr>
            <w:tcW w:w="1479" w:type="dxa"/>
            <w:vAlign w:val="top"/>
          </w:tcPr>
          <w:p w14:paraId="12FA8F4D">
            <w:pPr>
              <w:spacing w:line="277" w:lineRule="auto"/>
              <w:rPr>
                <w:rFonts w:ascii="Arial"/>
                <w:sz w:val="21"/>
              </w:rPr>
            </w:pPr>
          </w:p>
          <w:p w14:paraId="17B5E09B">
            <w:pPr>
              <w:spacing w:line="277" w:lineRule="auto"/>
              <w:rPr>
                <w:rFonts w:ascii="Arial"/>
                <w:sz w:val="21"/>
              </w:rPr>
            </w:pPr>
          </w:p>
          <w:p w14:paraId="02274297">
            <w:pPr>
              <w:pStyle w:val="6"/>
              <w:spacing w:before="69" w:line="221" w:lineRule="auto"/>
              <w:ind w:left="521"/>
              <w:rPr>
                <w:sz w:val="21"/>
                <w:szCs w:val="21"/>
              </w:rPr>
            </w:pPr>
            <w:r>
              <w:rPr>
                <w:spacing w:val="5"/>
                <w:sz w:val="21"/>
                <w:szCs w:val="21"/>
              </w:rPr>
              <w:t>名称</w:t>
            </w:r>
          </w:p>
        </w:tc>
        <w:tc>
          <w:tcPr>
            <w:tcW w:w="769" w:type="dxa"/>
            <w:vAlign w:val="top"/>
          </w:tcPr>
          <w:p w14:paraId="33BA97A0">
            <w:pPr>
              <w:pStyle w:val="6"/>
              <w:spacing w:before="204" w:line="220" w:lineRule="auto"/>
              <w:ind w:left="63"/>
              <w:rPr>
                <w:sz w:val="21"/>
                <w:szCs w:val="21"/>
              </w:rPr>
            </w:pPr>
            <w:r>
              <w:rPr>
                <w:spacing w:val="4"/>
                <w:sz w:val="21"/>
                <w:szCs w:val="21"/>
              </w:rPr>
              <w:t>工作电</w:t>
            </w:r>
          </w:p>
          <w:p w14:paraId="2DD802D0">
            <w:pPr>
              <w:pStyle w:val="6"/>
              <w:spacing w:before="242" w:line="223" w:lineRule="auto"/>
              <w:ind w:left="272"/>
              <w:rPr>
                <w:sz w:val="21"/>
                <w:szCs w:val="21"/>
              </w:rPr>
            </w:pPr>
            <w:r>
              <w:rPr>
                <w:sz w:val="21"/>
                <w:szCs w:val="21"/>
              </w:rPr>
              <w:t>压</w:t>
            </w:r>
          </w:p>
          <w:p w14:paraId="78BEBDD8">
            <w:pPr>
              <w:pStyle w:val="6"/>
              <w:spacing w:before="225" w:line="222" w:lineRule="auto"/>
              <w:ind w:left="162"/>
              <w:rPr>
                <w:sz w:val="21"/>
                <w:szCs w:val="21"/>
              </w:rPr>
            </w:pPr>
            <w:r>
              <w:rPr>
                <w:spacing w:val="-9"/>
                <w:sz w:val="21"/>
                <w:szCs w:val="21"/>
              </w:rPr>
              <w:t>(kV)</w:t>
            </w:r>
          </w:p>
        </w:tc>
        <w:tc>
          <w:tcPr>
            <w:tcW w:w="809" w:type="dxa"/>
            <w:vAlign w:val="top"/>
          </w:tcPr>
          <w:p w14:paraId="40DF5F8D">
            <w:pPr>
              <w:pStyle w:val="6"/>
              <w:spacing w:before="203" w:line="219" w:lineRule="auto"/>
              <w:ind w:left="84"/>
              <w:rPr>
                <w:sz w:val="21"/>
                <w:szCs w:val="21"/>
              </w:rPr>
            </w:pPr>
            <w:r>
              <w:rPr>
                <w:spacing w:val="4"/>
                <w:sz w:val="21"/>
                <w:szCs w:val="21"/>
              </w:rPr>
              <w:t>额定电</w:t>
            </w:r>
          </w:p>
          <w:p w14:paraId="7DD8BC6A">
            <w:pPr>
              <w:pStyle w:val="6"/>
              <w:spacing w:before="244" w:line="223" w:lineRule="auto"/>
              <w:ind w:left="293"/>
              <w:rPr>
                <w:sz w:val="21"/>
                <w:szCs w:val="21"/>
              </w:rPr>
            </w:pPr>
            <w:r>
              <w:rPr>
                <w:sz w:val="21"/>
                <w:szCs w:val="21"/>
              </w:rPr>
              <w:t>压</w:t>
            </w:r>
          </w:p>
          <w:p w14:paraId="0B4B6126">
            <w:pPr>
              <w:pStyle w:val="6"/>
              <w:spacing w:before="225" w:line="222" w:lineRule="auto"/>
              <w:ind w:left="183"/>
              <w:rPr>
                <w:sz w:val="21"/>
                <w:szCs w:val="21"/>
              </w:rPr>
            </w:pPr>
            <w:r>
              <w:rPr>
                <w:spacing w:val="-9"/>
                <w:sz w:val="21"/>
                <w:szCs w:val="21"/>
              </w:rPr>
              <w:t>(kV)</w:t>
            </w:r>
          </w:p>
        </w:tc>
        <w:tc>
          <w:tcPr>
            <w:tcW w:w="1079" w:type="dxa"/>
            <w:vAlign w:val="top"/>
          </w:tcPr>
          <w:p w14:paraId="0E119C49">
            <w:pPr>
              <w:pStyle w:val="6"/>
              <w:spacing w:before="203" w:line="219" w:lineRule="auto"/>
              <w:ind w:left="115"/>
              <w:rPr>
                <w:sz w:val="21"/>
                <w:szCs w:val="21"/>
              </w:rPr>
            </w:pPr>
            <w:r>
              <w:rPr>
                <w:spacing w:val="-2"/>
                <w:sz w:val="21"/>
                <w:szCs w:val="21"/>
              </w:rPr>
              <w:t>额定电流</w:t>
            </w:r>
          </w:p>
          <w:p w14:paraId="3686A99E">
            <w:pPr>
              <w:pStyle w:val="6"/>
              <w:spacing w:before="264" w:line="222" w:lineRule="auto"/>
              <w:ind w:left="375"/>
              <w:rPr>
                <w:sz w:val="21"/>
                <w:szCs w:val="21"/>
              </w:rPr>
            </w:pPr>
            <w:r>
              <w:rPr>
                <w:spacing w:val="-11"/>
                <w:sz w:val="21"/>
                <w:szCs w:val="21"/>
              </w:rPr>
              <w:t>(A)</w:t>
            </w:r>
          </w:p>
        </w:tc>
        <w:tc>
          <w:tcPr>
            <w:tcW w:w="699" w:type="dxa"/>
            <w:vAlign w:val="top"/>
          </w:tcPr>
          <w:p w14:paraId="2054D1C5">
            <w:pPr>
              <w:pStyle w:val="6"/>
              <w:spacing w:before="203" w:line="219" w:lineRule="auto"/>
              <w:ind w:left="25"/>
              <w:rPr>
                <w:sz w:val="21"/>
                <w:szCs w:val="21"/>
              </w:rPr>
            </w:pPr>
            <w:r>
              <w:rPr>
                <w:spacing w:val="4"/>
                <w:sz w:val="21"/>
                <w:szCs w:val="21"/>
              </w:rPr>
              <w:t>开断电</w:t>
            </w:r>
          </w:p>
          <w:p w14:paraId="1086EB7E">
            <w:pPr>
              <w:pStyle w:val="6"/>
              <w:spacing w:before="244" w:line="223" w:lineRule="auto"/>
              <w:ind w:left="235"/>
              <w:rPr>
                <w:sz w:val="21"/>
                <w:szCs w:val="21"/>
              </w:rPr>
            </w:pPr>
            <w:r>
              <w:rPr>
                <w:sz w:val="21"/>
                <w:szCs w:val="21"/>
              </w:rPr>
              <w:t>流</w:t>
            </w:r>
          </w:p>
          <w:p w14:paraId="04C8FF05">
            <w:pPr>
              <w:pStyle w:val="6"/>
              <w:spacing w:before="245" w:line="217" w:lineRule="auto"/>
              <w:ind w:left="135"/>
              <w:rPr>
                <w:sz w:val="21"/>
                <w:szCs w:val="21"/>
              </w:rPr>
            </w:pPr>
            <w:r>
              <w:rPr>
                <w:spacing w:val="-9"/>
                <w:sz w:val="21"/>
                <w:szCs w:val="21"/>
              </w:rPr>
              <w:t>(kA)</w:t>
            </w:r>
          </w:p>
        </w:tc>
        <w:tc>
          <w:tcPr>
            <w:tcW w:w="719" w:type="dxa"/>
            <w:vAlign w:val="top"/>
          </w:tcPr>
          <w:p w14:paraId="34A053E7">
            <w:pPr>
              <w:pStyle w:val="6"/>
              <w:spacing w:before="203" w:line="219" w:lineRule="auto"/>
              <w:ind w:left="36"/>
              <w:rPr>
                <w:sz w:val="21"/>
                <w:szCs w:val="21"/>
              </w:rPr>
            </w:pPr>
            <w:r>
              <w:rPr>
                <w:spacing w:val="3"/>
                <w:sz w:val="21"/>
                <w:szCs w:val="21"/>
              </w:rPr>
              <w:t>短路关</w:t>
            </w:r>
          </w:p>
          <w:p w14:paraId="1DE46955">
            <w:pPr>
              <w:pStyle w:val="6"/>
              <w:spacing w:before="244" w:line="223" w:lineRule="auto"/>
              <w:ind w:left="36"/>
              <w:rPr>
                <w:sz w:val="21"/>
                <w:szCs w:val="21"/>
              </w:rPr>
            </w:pPr>
            <w:r>
              <w:rPr>
                <w:spacing w:val="-3"/>
                <w:sz w:val="21"/>
                <w:szCs w:val="21"/>
              </w:rPr>
              <w:t>合电流</w:t>
            </w:r>
          </w:p>
          <w:p w14:paraId="3A6E1CF3">
            <w:pPr>
              <w:pStyle w:val="6"/>
              <w:spacing w:before="225" w:line="222" w:lineRule="auto"/>
              <w:ind w:left="146"/>
              <w:rPr>
                <w:sz w:val="21"/>
                <w:szCs w:val="21"/>
              </w:rPr>
            </w:pPr>
            <w:r>
              <w:rPr>
                <w:spacing w:val="-9"/>
                <w:sz w:val="21"/>
                <w:szCs w:val="21"/>
              </w:rPr>
              <w:t>(kA)</w:t>
            </w:r>
          </w:p>
        </w:tc>
        <w:tc>
          <w:tcPr>
            <w:tcW w:w="709" w:type="dxa"/>
            <w:vAlign w:val="top"/>
          </w:tcPr>
          <w:p w14:paraId="432A0D9F">
            <w:pPr>
              <w:pStyle w:val="6"/>
              <w:spacing w:before="204" w:line="363" w:lineRule="auto"/>
              <w:ind w:left="137" w:right="17" w:hanging="99"/>
              <w:rPr>
                <w:sz w:val="21"/>
                <w:szCs w:val="21"/>
              </w:rPr>
            </w:pPr>
            <w:r>
              <w:rPr>
                <w:spacing w:val="4"/>
                <w:sz w:val="21"/>
                <w:szCs w:val="21"/>
              </w:rPr>
              <w:t>动稳定</w:t>
            </w:r>
            <w:r>
              <w:rPr>
                <w:sz w:val="21"/>
                <w:szCs w:val="21"/>
              </w:rPr>
              <w:t xml:space="preserve"> </w:t>
            </w:r>
            <w:r>
              <w:rPr>
                <w:spacing w:val="4"/>
                <w:sz w:val="21"/>
                <w:szCs w:val="21"/>
              </w:rPr>
              <w:t>电流</w:t>
            </w:r>
            <w:r>
              <w:rPr>
                <w:sz w:val="21"/>
                <w:szCs w:val="21"/>
              </w:rPr>
              <w:t xml:space="preserve">  </w:t>
            </w:r>
            <w:r>
              <w:rPr>
                <w:spacing w:val="-9"/>
                <w:sz w:val="21"/>
                <w:szCs w:val="21"/>
              </w:rPr>
              <w:t>(kA)</w:t>
            </w:r>
          </w:p>
        </w:tc>
        <w:tc>
          <w:tcPr>
            <w:tcW w:w="694" w:type="dxa"/>
            <w:vAlign w:val="top"/>
          </w:tcPr>
          <w:p w14:paraId="2ED8608C">
            <w:pPr>
              <w:pStyle w:val="6"/>
              <w:spacing w:before="194" w:line="366" w:lineRule="auto"/>
              <w:ind w:left="128" w:right="11" w:hanging="100"/>
              <w:rPr>
                <w:sz w:val="21"/>
                <w:szCs w:val="21"/>
              </w:rPr>
            </w:pPr>
            <w:r>
              <w:rPr>
                <w:spacing w:val="4"/>
                <w:sz w:val="21"/>
                <w:szCs w:val="21"/>
              </w:rPr>
              <w:t>热稳定</w:t>
            </w:r>
            <w:r>
              <w:rPr>
                <w:sz w:val="21"/>
                <w:szCs w:val="21"/>
              </w:rPr>
              <w:t xml:space="preserve"> </w:t>
            </w:r>
            <w:r>
              <w:rPr>
                <w:spacing w:val="4"/>
                <w:sz w:val="21"/>
                <w:szCs w:val="21"/>
              </w:rPr>
              <w:t>电流</w:t>
            </w:r>
            <w:r>
              <w:rPr>
                <w:sz w:val="21"/>
                <w:szCs w:val="21"/>
              </w:rPr>
              <w:t xml:space="preserve">  </w:t>
            </w:r>
            <w:r>
              <w:rPr>
                <w:spacing w:val="-9"/>
                <w:sz w:val="21"/>
                <w:szCs w:val="21"/>
              </w:rPr>
              <w:t>(kA)</w:t>
            </w:r>
          </w:p>
        </w:tc>
      </w:tr>
      <w:tr w14:paraId="7DB67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384" w:type="dxa"/>
            <w:vMerge w:val="restart"/>
            <w:tcBorders>
              <w:bottom w:val="nil"/>
            </w:tcBorders>
            <w:vAlign w:val="top"/>
          </w:tcPr>
          <w:p w14:paraId="34D0B709">
            <w:pPr>
              <w:pStyle w:val="6"/>
              <w:spacing w:before="200" w:line="416" w:lineRule="auto"/>
              <w:ind w:left="573" w:right="44" w:hanging="519"/>
              <w:rPr>
                <w:sz w:val="21"/>
                <w:szCs w:val="21"/>
              </w:rPr>
            </w:pPr>
            <w:r>
              <w:rPr>
                <w:spacing w:val="2"/>
                <w:sz w:val="21"/>
                <w:szCs w:val="21"/>
              </w:rPr>
              <w:t>35</w:t>
            </w:r>
            <w:r>
              <w:rPr>
                <w:sz w:val="21"/>
                <w:szCs w:val="21"/>
              </w:rPr>
              <w:t>kV</w:t>
            </w:r>
            <w:r>
              <w:rPr>
                <w:spacing w:val="2"/>
                <w:sz w:val="21"/>
                <w:szCs w:val="21"/>
              </w:rPr>
              <w:t>主变进线</w:t>
            </w:r>
            <w:r>
              <w:rPr>
                <w:spacing w:val="1"/>
                <w:sz w:val="21"/>
                <w:szCs w:val="21"/>
              </w:rPr>
              <w:t xml:space="preserve"> </w:t>
            </w:r>
            <w:r>
              <w:rPr>
                <w:sz w:val="21"/>
                <w:szCs w:val="21"/>
              </w:rPr>
              <w:t>柜</w:t>
            </w:r>
          </w:p>
        </w:tc>
        <w:tc>
          <w:tcPr>
            <w:tcW w:w="609" w:type="dxa"/>
            <w:vAlign w:val="top"/>
          </w:tcPr>
          <w:p w14:paraId="380A8D04">
            <w:pPr>
              <w:pStyle w:val="6"/>
              <w:spacing w:before="212" w:line="217" w:lineRule="auto"/>
              <w:ind w:left="241"/>
              <w:rPr>
                <w:sz w:val="21"/>
                <w:szCs w:val="21"/>
              </w:rPr>
            </w:pPr>
            <w:r>
              <w:rPr>
                <w:sz w:val="21"/>
                <w:szCs w:val="21"/>
              </w:rPr>
              <w:t>1</w:t>
            </w:r>
          </w:p>
        </w:tc>
        <w:tc>
          <w:tcPr>
            <w:tcW w:w="1479" w:type="dxa"/>
            <w:vAlign w:val="top"/>
          </w:tcPr>
          <w:p w14:paraId="2A64EC6C">
            <w:pPr>
              <w:pStyle w:val="6"/>
              <w:spacing w:before="190" w:line="219" w:lineRule="auto"/>
              <w:ind w:left="411"/>
              <w:rPr>
                <w:sz w:val="21"/>
                <w:szCs w:val="21"/>
              </w:rPr>
            </w:pPr>
            <w:r>
              <w:rPr>
                <w:spacing w:val="2"/>
                <w:sz w:val="21"/>
                <w:szCs w:val="21"/>
              </w:rPr>
              <w:t>断路器</w:t>
            </w:r>
          </w:p>
        </w:tc>
        <w:tc>
          <w:tcPr>
            <w:tcW w:w="769" w:type="dxa"/>
            <w:vAlign w:val="top"/>
          </w:tcPr>
          <w:p w14:paraId="43C0ADE9">
            <w:pPr>
              <w:pStyle w:val="6"/>
              <w:spacing w:before="221" w:line="209" w:lineRule="auto"/>
              <w:ind w:left="272"/>
              <w:rPr>
                <w:sz w:val="21"/>
                <w:szCs w:val="21"/>
              </w:rPr>
            </w:pPr>
            <w:r>
              <w:rPr>
                <w:spacing w:val="-4"/>
                <w:sz w:val="21"/>
                <w:szCs w:val="21"/>
              </w:rPr>
              <w:t>35</w:t>
            </w:r>
          </w:p>
        </w:tc>
        <w:tc>
          <w:tcPr>
            <w:tcW w:w="809" w:type="dxa"/>
            <w:vAlign w:val="top"/>
          </w:tcPr>
          <w:p w14:paraId="66CB4943">
            <w:pPr>
              <w:pStyle w:val="6"/>
              <w:spacing w:before="221" w:line="209" w:lineRule="auto"/>
              <w:ind w:left="183"/>
              <w:rPr>
                <w:sz w:val="21"/>
                <w:szCs w:val="21"/>
              </w:rPr>
            </w:pPr>
            <w:r>
              <w:rPr>
                <w:spacing w:val="-2"/>
                <w:sz w:val="21"/>
                <w:szCs w:val="21"/>
              </w:rPr>
              <w:t>40.5</w:t>
            </w:r>
          </w:p>
        </w:tc>
        <w:tc>
          <w:tcPr>
            <w:tcW w:w="1079" w:type="dxa"/>
            <w:vAlign w:val="top"/>
          </w:tcPr>
          <w:p w14:paraId="50B9311A">
            <w:pPr>
              <w:pStyle w:val="6"/>
              <w:spacing w:before="190" w:line="219" w:lineRule="auto"/>
              <w:ind w:left="115"/>
              <w:rPr>
                <w:sz w:val="21"/>
                <w:szCs w:val="21"/>
              </w:rPr>
            </w:pPr>
            <w:r>
              <w:rPr>
                <w:spacing w:val="3"/>
                <w:sz w:val="21"/>
                <w:szCs w:val="21"/>
              </w:rPr>
              <w:t>见主接线</w:t>
            </w:r>
          </w:p>
        </w:tc>
        <w:tc>
          <w:tcPr>
            <w:tcW w:w="699" w:type="dxa"/>
            <w:vAlign w:val="top"/>
          </w:tcPr>
          <w:p w14:paraId="205A6A82">
            <w:pPr>
              <w:pStyle w:val="6"/>
              <w:spacing w:before="241" w:line="191" w:lineRule="auto"/>
              <w:ind w:left="135"/>
              <w:rPr>
                <w:sz w:val="21"/>
                <w:szCs w:val="21"/>
              </w:rPr>
            </w:pPr>
            <w:r>
              <w:rPr>
                <w:spacing w:val="-3"/>
                <w:sz w:val="21"/>
                <w:szCs w:val="21"/>
              </w:rPr>
              <w:t>31.5</w:t>
            </w:r>
          </w:p>
        </w:tc>
        <w:tc>
          <w:tcPr>
            <w:tcW w:w="719" w:type="dxa"/>
            <w:vAlign w:val="top"/>
          </w:tcPr>
          <w:p w14:paraId="5B2BEADD">
            <w:pPr>
              <w:pStyle w:val="6"/>
              <w:spacing w:before="241" w:line="191" w:lineRule="auto"/>
              <w:ind w:left="246"/>
              <w:rPr>
                <w:sz w:val="21"/>
                <w:szCs w:val="21"/>
              </w:rPr>
            </w:pPr>
            <w:r>
              <w:rPr>
                <w:spacing w:val="-3"/>
                <w:sz w:val="21"/>
                <w:szCs w:val="21"/>
              </w:rPr>
              <w:t>80</w:t>
            </w:r>
          </w:p>
        </w:tc>
        <w:tc>
          <w:tcPr>
            <w:tcW w:w="709" w:type="dxa"/>
            <w:vAlign w:val="top"/>
          </w:tcPr>
          <w:p w14:paraId="5B3C6F79">
            <w:pPr>
              <w:pStyle w:val="6"/>
              <w:spacing w:before="221" w:line="209" w:lineRule="auto"/>
              <w:ind w:left="247"/>
              <w:rPr>
                <w:sz w:val="21"/>
                <w:szCs w:val="21"/>
              </w:rPr>
            </w:pPr>
            <w:r>
              <w:rPr>
                <w:spacing w:val="-3"/>
                <w:sz w:val="21"/>
                <w:szCs w:val="21"/>
              </w:rPr>
              <w:t>80</w:t>
            </w:r>
          </w:p>
        </w:tc>
        <w:tc>
          <w:tcPr>
            <w:tcW w:w="694" w:type="dxa"/>
            <w:vAlign w:val="top"/>
          </w:tcPr>
          <w:p w14:paraId="647C2B1F">
            <w:pPr>
              <w:pStyle w:val="6"/>
              <w:spacing w:before="221" w:line="209" w:lineRule="auto"/>
              <w:ind w:left="128"/>
              <w:rPr>
                <w:sz w:val="21"/>
                <w:szCs w:val="21"/>
              </w:rPr>
            </w:pPr>
            <w:r>
              <w:rPr>
                <w:spacing w:val="-3"/>
                <w:sz w:val="21"/>
                <w:szCs w:val="21"/>
              </w:rPr>
              <w:t>31.5</w:t>
            </w:r>
          </w:p>
        </w:tc>
      </w:tr>
      <w:tr w14:paraId="219F4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384" w:type="dxa"/>
            <w:vMerge w:val="continue"/>
            <w:tcBorders>
              <w:top w:val="nil"/>
              <w:bottom w:val="nil"/>
            </w:tcBorders>
            <w:vAlign w:val="top"/>
          </w:tcPr>
          <w:p w14:paraId="11F86D4E">
            <w:pPr>
              <w:rPr>
                <w:rFonts w:ascii="Arial"/>
                <w:sz w:val="21"/>
              </w:rPr>
            </w:pPr>
          </w:p>
        </w:tc>
        <w:tc>
          <w:tcPr>
            <w:tcW w:w="609" w:type="dxa"/>
            <w:vAlign w:val="top"/>
          </w:tcPr>
          <w:p w14:paraId="24F084B1">
            <w:pPr>
              <w:pStyle w:val="6"/>
              <w:spacing w:before="232" w:line="208" w:lineRule="auto"/>
              <w:ind w:left="241"/>
              <w:rPr>
                <w:sz w:val="21"/>
                <w:szCs w:val="21"/>
              </w:rPr>
            </w:pPr>
            <w:r>
              <w:rPr>
                <w:sz w:val="21"/>
                <w:szCs w:val="21"/>
              </w:rPr>
              <w:t>2</w:t>
            </w:r>
          </w:p>
        </w:tc>
        <w:tc>
          <w:tcPr>
            <w:tcW w:w="1479" w:type="dxa"/>
            <w:vAlign w:val="top"/>
          </w:tcPr>
          <w:p w14:paraId="74BCA217">
            <w:pPr>
              <w:pStyle w:val="6"/>
              <w:spacing w:before="212" w:line="220" w:lineRule="auto"/>
              <w:ind w:left="311"/>
              <w:rPr>
                <w:sz w:val="21"/>
                <w:szCs w:val="21"/>
              </w:rPr>
            </w:pPr>
            <w:r>
              <w:rPr>
                <w:spacing w:val="2"/>
                <w:sz w:val="21"/>
                <w:szCs w:val="21"/>
              </w:rPr>
              <w:t>隔离开关</w:t>
            </w:r>
          </w:p>
        </w:tc>
        <w:tc>
          <w:tcPr>
            <w:tcW w:w="769" w:type="dxa"/>
            <w:vAlign w:val="top"/>
          </w:tcPr>
          <w:p w14:paraId="525F6EBF">
            <w:pPr>
              <w:pStyle w:val="6"/>
              <w:spacing w:before="252" w:line="190" w:lineRule="auto"/>
              <w:ind w:left="272"/>
              <w:rPr>
                <w:sz w:val="21"/>
                <w:szCs w:val="21"/>
              </w:rPr>
            </w:pPr>
            <w:r>
              <w:rPr>
                <w:spacing w:val="-4"/>
                <w:sz w:val="21"/>
                <w:szCs w:val="21"/>
              </w:rPr>
              <w:t>35</w:t>
            </w:r>
          </w:p>
        </w:tc>
        <w:tc>
          <w:tcPr>
            <w:tcW w:w="809" w:type="dxa"/>
            <w:vAlign w:val="top"/>
          </w:tcPr>
          <w:p w14:paraId="67CA3D90">
            <w:pPr>
              <w:pStyle w:val="6"/>
              <w:spacing w:before="252" w:line="190" w:lineRule="auto"/>
              <w:ind w:left="183"/>
              <w:rPr>
                <w:sz w:val="21"/>
                <w:szCs w:val="21"/>
              </w:rPr>
            </w:pPr>
            <w:r>
              <w:rPr>
                <w:spacing w:val="-2"/>
                <w:sz w:val="21"/>
                <w:szCs w:val="21"/>
              </w:rPr>
              <w:t>40.5</w:t>
            </w:r>
          </w:p>
        </w:tc>
        <w:tc>
          <w:tcPr>
            <w:tcW w:w="1079" w:type="dxa"/>
            <w:vAlign w:val="top"/>
          </w:tcPr>
          <w:p w14:paraId="3C8C4A3E">
            <w:pPr>
              <w:pStyle w:val="6"/>
              <w:spacing w:before="201" w:line="219" w:lineRule="auto"/>
              <w:ind w:left="115"/>
              <w:rPr>
                <w:sz w:val="21"/>
                <w:szCs w:val="21"/>
              </w:rPr>
            </w:pPr>
            <w:r>
              <w:rPr>
                <w:spacing w:val="3"/>
                <w:sz w:val="21"/>
                <w:szCs w:val="21"/>
              </w:rPr>
              <w:t>见主接线</w:t>
            </w:r>
          </w:p>
        </w:tc>
        <w:tc>
          <w:tcPr>
            <w:tcW w:w="699" w:type="dxa"/>
            <w:vAlign w:val="top"/>
          </w:tcPr>
          <w:p w14:paraId="09516FBA">
            <w:pPr>
              <w:rPr>
                <w:rFonts w:ascii="Arial"/>
                <w:sz w:val="21"/>
              </w:rPr>
            </w:pPr>
          </w:p>
        </w:tc>
        <w:tc>
          <w:tcPr>
            <w:tcW w:w="719" w:type="dxa"/>
            <w:vAlign w:val="top"/>
          </w:tcPr>
          <w:p w14:paraId="46676457">
            <w:pPr>
              <w:rPr>
                <w:rFonts w:ascii="Arial"/>
                <w:sz w:val="21"/>
              </w:rPr>
            </w:pPr>
          </w:p>
        </w:tc>
        <w:tc>
          <w:tcPr>
            <w:tcW w:w="709" w:type="dxa"/>
            <w:vAlign w:val="top"/>
          </w:tcPr>
          <w:p w14:paraId="37D88796">
            <w:pPr>
              <w:pStyle w:val="6"/>
              <w:spacing w:before="252" w:line="190" w:lineRule="auto"/>
              <w:ind w:left="247"/>
              <w:rPr>
                <w:sz w:val="21"/>
                <w:szCs w:val="21"/>
              </w:rPr>
            </w:pPr>
            <w:r>
              <w:rPr>
                <w:spacing w:val="-3"/>
                <w:sz w:val="21"/>
                <w:szCs w:val="21"/>
              </w:rPr>
              <w:t>80</w:t>
            </w:r>
          </w:p>
        </w:tc>
        <w:tc>
          <w:tcPr>
            <w:tcW w:w="694" w:type="dxa"/>
            <w:vAlign w:val="top"/>
          </w:tcPr>
          <w:p w14:paraId="171B9AC1">
            <w:pPr>
              <w:pStyle w:val="6"/>
              <w:spacing w:before="252" w:line="190" w:lineRule="auto"/>
              <w:ind w:left="128"/>
              <w:rPr>
                <w:sz w:val="21"/>
                <w:szCs w:val="21"/>
              </w:rPr>
            </w:pPr>
            <w:r>
              <w:rPr>
                <w:spacing w:val="-3"/>
                <w:sz w:val="21"/>
                <w:szCs w:val="21"/>
              </w:rPr>
              <w:t>31.5</w:t>
            </w:r>
          </w:p>
        </w:tc>
      </w:tr>
      <w:tr w14:paraId="5C619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384" w:type="dxa"/>
            <w:vMerge w:val="continue"/>
            <w:tcBorders>
              <w:top w:val="nil"/>
            </w:tcBorders>
            <w:vAlign w:val="top"/>
          </w:tcPr>
          <w:p w14:paraId="66455F3E">
            <w:pPr>
              <w:rPr>
                <w:rFonts w:ascii="Arial"/>
                <w:sz w:val="21"/>
              </w:rPr>
            </w:pPr>
          </w:p>
        </w:tc>
        <w:tc>
          <w:tcPr>
            <w:tcW w:w="609" w:type="dxa"/>
            <w:vAlign w:val="top"/>
          </w:tcPr>
          <w:p w14:paraId="2DC49D94">
            <w:pPr>
              <w:pStyle w:val="6"/>
              <w:spacing w:before="233" w:line="208" w:lineRule="auto"/>
              <w:ind w:left="241"/>
              <w:rPr>
                <w:sz w:val="21"/>
                <w:szCs w:val="21"/>
              </w:rPr>
            </w:pPr>
            <w:r>
              <w:rPr>
                <w:sz w:val="21"/>
                <w:szCs w:val="21"/>
              </w:rPr>
              <w:t>3</w:t>
            </w:r>
          </w:p>
        </w:tc>
        <w:tc>
          <w:tcPr>
            <w:tcW w:w="1479" w:type="dxa"/>
            <w:vAlign w:val="top"/>
          </w:tcPr>
          <w:p w14:paraId="4A8D29E8">
            <w:pPr>
              <w:pStyle w:val="6"/>
              <w:spacing w:before="216" w:line="223" w:lineRule="auto"/>
              <w:ind w:left="201"/>
              <w:rPr>
                <w:sz w:val="21"/>
                <w:szCs w:val="21"/>
              </w:rPr>
            </w:pPr>
            <w:r>
              <w:rPr>
                <w:spacing w:val="1"/>
                <w:sz w:val="21"/>
                <w:szCs w:val="21"/>
              </w:rPr>
              <w:t>电流互感器</w:t>
            </w:r>
          </w:p>
        </w:tc>
        <w:tc>
          <w:tcPr>
            <w:tcW w:w="769" w:type="dxa"/>
            <w:vAlign w:val="top"/>
          </w:tcPr>
          <w:p w14:paraId="3F3D04CD">
            <w:pPr>
              <w:pStyle w:val="6"/>
              <w:spacing w:before="253" w:line="190" w:lineRule="auto"/>
              <w:ind w:left="272"/>
              <w:rPr>
                <w:sz w:val="21"/>
                <w:szCs w:val="21"/>
              </w:rPr>
            </w:pPr>
            <w:r>
              <w:rPr>
                <w:spacing w:val="-4"/>
                <w:sz w:val="21"/>
                <w:szCs w:val="21"/>
              </w:rPr>
              <w:t>35</w:t>
            </w:r>
          </w:p>
        </w:tc>
        <w:tc>
          <w:tcPr>
            <w:tcW w:w="809" w:type="dxa"/>
            <w:vAlign w:val="top"/>
          </w:tcPr>
          <w:p w14:paraId="6688580F">
            <w:pPr>
              <w:pStyle w:val="6"/>
              <w:spacing w:before="253" w:line="190" w:lineRule="auto"/>
              <w:ind w:left="293"/>
              <w:rPr>
                <w:sz w:val="21"/>
                <w:szCs w:val="21"/>
              </w:rPr>
            </w:pPr>
            <w:r>
              <w:rPr>
                <w:spacing w:val="-4"/>
                <w:sz w:val="21"/>
                <w:szCs w:val="21"/>
              </w:rPr>
              <w:t>35</w:t>
            </w:r>
          </w:p>
        </w:tc>
        <w:tc>
          <w:tcPr>
            <w:tcW w:w="1079" w:type="dxa"/>
            <w:vAlign w:val="top"/>
          </w:tcPr>
          <w:p w14:paraId="22DD21BA">
            <w:pPr>
              <w:pStyle w:val="6"/>
              <w:spacing w:before="212" w:line="219" w:lineRule="auto"/>
              <w:ind w:left="115"/>
              <w:rPr>
                <w:sz w:val="21"/>
                <w:szCs w:val="21"/>
              </w:rPr>
            </w:pPr>
            <w:r>
              <w:rPr>
                <w:spacing w:val="3"/>
                <w:sz w:val="21"/>
                <w:szCs w:val="21"/>
              </w:rPr>
              <w:t>见主接线</w:t>
            </w:r>
          </w:p>
        </w:tc>
        <w:tc>
          <w:tcPr>
            <w:tcW w:w="699" w:type="dxa"/>
            <w:vAlign w:val="top"/>
          </w:tcPr>
          <w:p w14:paraId="25D4B19A">
            <w:pPr>
              <w:rPr>
                <w:rFonts w:ascii="Arial"/>
                <w:sz w:val="21"/>
              </w:rPr>
            </w:pPr>
          </w:p>
        </w:tc>
        <w:tc>
          <w:tcPr>
            <w:tcW w:w="719" w:type="dxa"/>
            <w:vAlign w:val="top"/>
          </w:tcPr>
          <w:p w14:paraId="2F88C511">
            <w:pPr>
              <w:rPr>
                <w:rFonts w:ascii="Arial"/>
                <w:sz w:val="21"/>
              </w:rPr>
            </w:pPr>
          </w:p>
        </w:tc>
        <w:tc>
          <w:tcPr>
            <w:tcW w:w="709" w:type="dxa"/>
            <w:vAlign w:val="top"/>
          </w:tcPr>
          <w:p w14:paraId="0CA3D9CF">
            <w:pPr>
              <w:rPr>
                <w:rFonts w:ascii="Arial"/>
                <w:sz w:val="21"/>
              </w:rPr>
            </w:pPr>
          </w:p>
        </w:tc>
        <w:tc>
          <w:tcPr>
            <w:tcW w:w="694" w:type="dxa"/>
            <w:vAlign w:val="top"/>
          </w:tcPr>
          <w:p w14:paraId="4F2000E7">
            <w:pPr>
              <w:rPr>
                <w:rFonts w:ascii="Arial"/>
                <w:sz w:val="21"/>
              </w:rPr>
            </w:pPr>
          </w:p>
        </w:tc>
      </w:tr>
      <w:tr w14:paraId="697A4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384" w:type="dxa"/>
            <w:vMerge w:val="restart"/>
            <w:tcBorders>
              <w:bottom w:val="nil"/>
            </w:tcBorders>
            <w:vAlign w:val="top"/>
          </w:tcPr>
          <w:p w14:paraId="4DEEA504">
            <w:pPr>
              <w:pStyle w:val="6"/>
              <w:spacing w:before="213" w:line="416" w:lineRule="auto"/>
              <w:ind w:left="364" w:right="50" w:hanging="310"/>
              <w:rPr>
                <w:sz w:val="21"/>
                <w:szCs w:val="21"/>
              </w:rPr>
            </w:pPr>
            <w:r>
              <w:rPr>
                <w:spacing w:val="1"/>
                <w:sz w:val="21"/>
                <w:szCs w:val="21"/>
              </w:rPr>
              <w:t>35</w:t>
            </w:r>
            <w:r>
              <w:rPr>
                <w:sz w:val="21"/>
                <w:szCs w:val="21"/>
              </w:rPr>
              <w:t>kV</w:t>
            </w:r>
            <w:r>
              <w:rPr>
                <w:spacing w:val="1"/>
                <w:sz w:val="21"/>
                <w:szCs w:val="21"/>
              </w:rPr>
              <w:t xml:space="preserve">集电线路 </w:t>
            </w:r>
            <w:r>
              <w:rPr>
                <w:spacing w:val="-2"/>
                <w:sz w:val="21"/>
                <w:szCs w:val="21"/>
              </w:rPr>
              <w:t>进线柜</w:t>
            </w:r>
          </w:p>
        </w:tc>
        <w:tc>
          <w:tcPr>
            <w:tcW w:w="609" w:type="dxa"/>
            <w:vAlign w:val="top"/>
          </w:tcPr>
          <w:p w14:paraId="4608BBFD">
            <w:pPr>
              <w:pStyle w:val="6"/>
              <w:spacing w:before="233" w:line="198" w:lineRule="auto"/>
              <w:ind w:left="241"/>
              <w:rPr>
                <w:sz w:val="21"/>
                <w:szCs w:val="21"/>
              </w:rPr>
            </w:pPr>
            <w:r>
              <w:rPr>
                <w:sz w:val="21"/>
                <w:szCs w:val="21"/>
              </w:rPr>
              <w:t>1</w:t>
            </w:r>
          </w:p>
        </w:tc>
        <w:tc>
          <w:tcPr>
            <w:tcW w:w="1479" w:type="dxa"/>
            <w:vAlign w:val="top"/>
          </w:tcPr>
          <w:p w14:paraId="77FC217D">
            <w:pPr>
              <w:pStyle w:val="6"/>
              <w:spacing w:before="202" w:line="219" w:lineRule="auto"/>
              <w:ind w:left="411"/>
              <w:rPr>
                <w:sz w:val="21"/>
                <w:szCs w:val="21"/>
              </w:rPr>
            </w:pPr>
            <w:r>
              <w:rPr>
                <w:spacing w:val="2"/>
                <w:sz w:val="21"/>
                <w:szCs w:val="21"/>
              </w:rPr>
              <w:t>断路器</w:t>
            </w:r>
          </w:p>
        </w:tc>
        <w:tc>
          <w:tcPr>
            <w:tcW w:w="769" w:type="dxa"/>
            <w:vAlign w:val="top"/>
          </w:tcPr>
          <w:p w14:paraId="2ECE7CD1">
            <w:pPr>
              <w:pStyle w:val="6"/>
              <w:spacing w:before="244" w:line="189" w:lineRule="auto"/>
              <w:ind w:left="272"/>
              <w:rPr>
                <w:sz w:val="21"/>
                <w:szCs w:val="21"/>
              </w:rPr>
            </w:pPr>
            <w:r>
              <w:rPr>
                <w:spacing w:val="-4"/>
                <w:sz w:val="21"/>
                <w:szCs w:val="21"/>
              </w:rPr>
              <w:t>35</w:t>
            </w:r>
          </w:p>
        </w:tc>
        <w:tc>
          <w:tcPr>
            <w:tcW w:w="809" w:type="dxa"/>
            <w:vAlign w:val="top"/>
          </w:tcPr>
          <w:p w14:paraId="494CEEDE">
            <w:pPr>
              <w:pStyle w:val="6"/>
              <w:spacing w:before="233" w:line="198" w:lineRule="auto"/>
              <w:ind w:left="183"/>
              <w:rPr>
                <w:sz w:val="21"/>
                <w:szCs w:val="21"/>
              </w:rPr>
            </w:pPr>
            <w:r>
              <w:rPr>
                <w:spacing w:val="-2"/>
                <w:sz w:val="21"/>
                <w:szCs w:val="21"/>
              </w:rPr>
              <w:t>40.5</w:t>
            </w:r>
          </w:p>
        </w:tc>
        <w:tc>
          <w:tcPr>
            <w:tcW w:w="1079" w:type="dxa"/>
            <w:vAlign w:val="top"/>
          </w:tcPr>
          <w:p w14:paraId="3EA7E8B6">
            <w:pPr>
              <w:pStyle w:val="6"/>
              <w:spacing w:before="202" w:line="219" w:lineRule="auto"/>
              <w:ind w:left="115"/>
              <w:rPr>
                <w:sz w:val="21"/>
                <w:szCs w:val="21"/>
              </w:rPr>
            </w:pPr>
            <w:r>
              <w:rPr>
                <w:spacing w:val="3"/>
                <w:sz w:val="21"/>
                <w:szCs w:val="21"/>
              </w:rPr>
              <w:t>见主接线</w:t>
            </w:r>
          </w:p>
        </w:tc>
        <w:tc>
          <w:tcPr>
            <w:tcW w:w="699" w:type="dxa"/>
            <w:vAlign w:val="top"/>
          </w:tcPr>
          <w:p w14:paraId="357AE10E">
            <w:pPr>
              <w:pStyle w:val="6"/>
              <w:spacing w:before="244" w:line="189" w:lineRule="auto"/>
              <w:ind w:left="135"/>
              <w:rPr>
                <w:sz w:val="21"/>
                <w:szCs w:val="21"/>
              </w:rPr>
            </w:pPr>
            <w:r>
              <w:rPr>
                <w:spacing w:val="-3"/>
                <w:sz w:val="21"/>
                <w:szCs w:val="21"/>
              </w:rPr>
              <w:t>31.5</w:t>
            </w:r>
          </w:p>
        </w:tc>
        <w:tc>
          <w:tcPr>
            <w:tcW w:w="719" w:type="dxa"/>
            <w:vAlign w:val="top"/>
          </w:tcPr>
          <w:p w14:paraId="0BA4430C">
            <w:pPr>
              <w:pStyle w:val="6"/>
              <w:spacing w:before="244" w:line="189" w:lineRule="auto"/>
              <w:ind w:left="246"/>
              <w:rPr>
                <w:sz w:val="21"/>
                <w:szCs w:val="21"/>
              </w:rPr>
            </w:pPr>
            <w:r>
              <w:rPr>
                <w:spacing w:val="-3"/>
                <w:sz w:val="21"/>
                <w:szCs w:val="21"/>
              </w:rPr>
              <w:t>80</w:t>
            </w:r>
          </w:p>
        </w:tc>
        <w:tc>
          <w:tcPr>
            <w:tcW w:w="709" w:type="dxa"/>
            <w:vAlign w:val="top"/>
          </w:tcPr>
          <w:p w14:paraId="1042C8C2">
            <w:pPr>
              <w:pStyle w:val="6"/>
              <w:spacing w:before="244" w:line="189" w:lineRule="auto"/>
              <w:ind w:left="247"/>
              <w:rPr>
                <w:sz w:val="21"/>
                <w:szCs w:val="21"/>
              </w:rPr>
            </w:pPr>
            <w:r>
              <w:rPr>
                <w:spacing w:val="-3"/>
                <w:sz w:val="21"/>
                <w:szCs w:val="21"/>
              </w:rPr>
              <w:t>80</w:t>
            </w:r>
          </w:p>
        </w:tc>
        <w:tc>
          <w:tcPr>
            <w:tcW w:w="694" w:type="dxa"/>
            <w:vAlign w:val="top"/>
          </w:tcPr>
          <w:p w14:paraId="34C77AC5">
            <w:pPr>
              <w:pStyle w:val="6"/>
              <w:spacing w:before="233" w:line="198" w:lineRule="auto"/>
              <w:ind w:left="128"/>
              <w:rPr>
                <w:sz w:val="21"/>
                <w:szCs w:val="21"/>
              </w:rPr>
            </w:pPr>
            <w:r>
              <w:rPr>
                <w:spacing w:val="-3"/>
                <w:sz w:val="21"/>
                <w:szCs w:val="21"/>
              </w:rPr>
              <w:t>31.5</w:t>
            </w:r>
          </w:p>
        </w:tc>
      </w:tr>
      <w:tr w14:paraId="5FD25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384" w:type="dxa"/>
            <w:vMerge w:val="continue"/>
            <w:tcBorders>
              <w:top w:val="nil"/>
              <w:bottom w:val="nil"/>
            </w:tcBorders>
            <w:vAlign w:val="top"/>
          </w:tcPr>
          <w:p w14:paraId="1BE86AB3">
            <w:pPr>
              <w:rPr>
                <w:rFonts w:ascii="Arial"/>
                <w:sz w:val="21"/>
              </w:rPr>
            </w:pPr>
          </w:p>
        </w:tc>
        <w:tc>
          <w:tcPr>
            <w:tcW w:w="609" w:type="dxa"/>
            <w:vAlign w:val="top"/>
          </w:tcPr>
          <w:p w14:paraId="3703F5F2">
            <w:pPr>
              <w:pStyle w:val="6"/>
              <w:spacing w:before="264" w:line="197" w:lineRule="auto"/>
              <w:ind w:left="241"/>
              <w:rPr>
                <w:sz w:val="21"/>
                <w:szCs w:val="21"/>
              </w:rPr>
            </w:pPr>
            <w:r>
              <w:rPr>
                <w:sz w:val="21"/>
                <w:szCs w:val="21"/>
              </w:rPr>
              <w:t>2</w:t>
            </w:r>
          </w:p>
        </w:tc>
        <w:tc>
          <w:tcPr>
            <w:tcW w:w="1479" w:type="dxa"/>
            <w:vAlign w:val="top"/>
          </w:tcPr>
          <w:p w14:paraId="1DB79F3E">
            <w:pPr>
              <w:pStyle w:val="6"/>
              <w:spacing w:before="224" w:line="220" w:lineRule="auto"/>
              <w:ind w:left="311"/>
              <w:rPr>
                <w:sz w:val="21"/>
                <w:szCs w:val="21"/>
              </w:rPr>
            </w:pPr>
            <w:r>
              <w:rPr>
                <w:spacing w:val="2"/>
                <w:sz w:val="21"/>
                <w:szCs w:val="21"/>
              </w:rPr>
              <w:t>隔离开关</w:t>
            </w:r>
          </w:p>
        </w:tc>
        <w:tc>
          <w:tcPr>
            <w:tcW w:w="769" w:type="dxa"/>
            <w:vAlign w:val="top"/>
          </w:tcPr>
          <w:p w14:paraId="755AD0B3">
            <w:pPr>
              <w:pStyle w:val="6"/>
              <w:spacing w:before="264" w:line="197" w:lineRule="auto"/>
              <w:ind w:left="272"/>
              <w:rPr>
                <w:sz w:val="21"/>
                <w:szCs w:val="21"/>
              </w:rPr>
            </w:pPr>
            <w:r>
              <w:rPr>
                <w:spacing w:val="-4"/>
                <w:sz w:val="21"/>
                <w:szCs w:val="21"/>
              </w:rPr>
              <w:t>35</w:t>
            </w:r>
          </w:p>
        </w:tc>
        <w:tc>
          <w:tcPr>
            <w:tcW w:w="809" w:type="dxa"/>
            <w:vAlign w:val="top"/>
          </w:tcPr>
          <w:p w14:paraId="0107C095">
            <w:pPr>
              <w:pStyle w:val="6"/>
              <w:spacing w:before="244" w:line="215" w:lineRule="auto"/>
              <w:ind w:left="183"/>
              <w:rPr>
                <w:sz w:val="21"/>
                <w:szCs w:val="21"/>
              </w:rPr>
            </w:pPr>
            <w:r>
              <w:rPr>
                <w:spacing w:val="-2"/>
                <w:sz w:val="21"/>
                <w:szCs w:val="21"/>
              </w:rPr>
              <w:t>40.5</w:t>
            </w:r>
          </w:p>
        </w:tc>
        <w:tc>
          <w:tcPr>
            <w:tcW w:w="1079" w:type="dxa"/>
            <w:vAlign w:val="top"/>
          </w:tcPr>
          <w:p w14:paraId="66893358">
            <w:pPr>
              <w:pStyle w:val="6"/>
              <w:spacing w:before="223" w:line="219" w:lineRule="auto"/>
              <w:ind w:left="115"/>
              <w:rPr>
                <w:sz w:val="21"/>
                <w:szCs w:val="21"/>
              </w:rPr>
            </w:pPr>
            <w:r>
              <w:rPr>
                <w:spacing w:val="3"/>
                <w:sz w:val="21"/>
                <w:szCs w:val="21"/>
              </w:rPr>
              <w:t>见主接线</w:t>
            </w:r>
          </w:p>
        </w:tc>
        <w:tc>
          <w:tcPr>
            <w:tcW w:w="699" w:type="dxa"/>
            <w:vAlign w:val="top"/>
          </w:tcPr>
          <w:p w14:paraId="5B03C856">
            <w:pPr>
              <w:rPr>
                <w:rFonts w:ascii="Arial"/>
                <w:sz w:val="21"/>
              </w:rPr>
            </w:pPr>
          </w:p>
        </w:tc>
        <w:tc>
          <w:tcPr>
            <w:tcW w:w="719" w:type="dxa"/>
            <w:vAlign w:val="top"/>
          </w:tcPr>
          <w:p w14:paraId="2CE5DFA7">
            <w:pPr>
              <w:rPr>
                <w:rFonts w:ascii="Arial"/>
                <w:sz w:val="21"/>
              </w:rPr>
            </w:pPr>
          </w:p>
        </w:tc>
        <w:tc>
          <w:tcPr>
            <w:tcW w:w="709" w:type="dxa"/>
            <w:vAlign w:val="top"/>
          </w:tcPr>
          <w:p w14:paraId="26002B01">
            <w:pPr>
              <w:pStyle w:val="6"/>
              <w:spacing w:before="264" w:line="197" w:lineRule="auto"/>
              <w:ind w:left="247"/>
              <w:rPr>
                <w:sz w:val="21"/>
                <w:szCs w:val="21"/>
              </w:rPr>
            </w:pPr>
            <w:r>
              <w:rPr>
                <w:spacing w:val="-3"/>
                <w:sz w:val="21"/>
                <w:szCs w:val="21"/>
              </w:rPr>
              <w:t>80</w:t>
            </w:r>
          </w:p>
        </w:tc>
        <w:tc>
          <w:tcPr>
            <w:tcW w:w="694" w:type="dxa"/>
            <w:vAlign w:val="top"/>
          </w:tcPr>
          <w:p w14:paraId="477EE379">
            <w:pPr>
              <w:pStyle w:val="6"/>
              <w:spacing w:before="264" w:line="197" w:lineRule="auto"/>
              <w:ind w:left="128"/>
              <w:rPr>
                <w:sz w:val="21"/>
                <w:szCs w:val="21"/>
              </w:rPr>
            </w:pPr>
            <w:r>
              <w:rPr>
                <w:spacing w:val="-3"/>
                <w:sz w:val="21"/>
                <w:szCs w:val="21"/>
              </w:rPr>
              <w:t>31.5</w:t>
            </w:r>
          </w:p>
        </w:tc>
      </w:tr>
      <w:tr w14:paraId="14AC7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384" w:type="dxa"/>
            <w:vMerge w:val="continue"/>
            <w:tcBorders>
              <w:top w:val="nil"/>
            </w:tcBorders>
            <w:vAlign w:val="top"/>
          </w:tcPr>
          <w:p w14:paraId="4331ADB5">
            <w:pPr>
              <w:rPr>
                <w:rFonts w:ascii="Arial"/>
                <w:sz w:val="21"/>
              </w:rPr>
            </w:pPr>
          </w:p>
        </w:tc>
        <w:tc>
          <w:tcPr>
            <w:tcW w:w="609" w:type="dxa"/>
            <w:vAlign w:val="top"/>
          </w:tcPr>
          <w:p w14:paraId="5719D3A1">
            <w:pPr>
              <w:pStyle w:val="6"/>
              <w:spacing w:before="225" w:line="205" w:lineRule="auto"/>
              <w:ind w:left="241"/>
              <w:rPr>
                <w:sz w:val="21"/>
                <w:szCs w:val="21"/>
              </w:rPr>
            </w:pPr>
            <w:r>
              <w:rPr>
                <w:sz w:val="21"/>
                <w:szCs w:val="21"/>
              </w:rPr>
              <w:t>3</w:t>
            </w:r>
          </w:p>
        </w:tc>
        <w:tc>
          <w:tcPr>
            <w:tcW w:w="1479" w:type="dxa"/>
            <w:vAlign w:val="top"/>
          </w:tcPr>
          <w:p w14:paraId="41EEE3B4">
            <w:pPr>
              <w:pStyle w:val="6"/>
              <w:spacing w:before="208" w:line="220" w:lineRule="auto"/>
              <w:ind w:left="201"/>
              <w:rPr>
                <w:sz w:val="21"/>
                <w:szCs w:val="21"/>
              </w:rPr>
            </w:pPr>
            <w:r>
              <w:rPr>
                <w:spacing w:val="1"/>
                <w:sz w:val="21"/>
                <w:szCs w:val="21"/>
              </w:rPr>
              <w:t>电流互感器</w:t>
            </w:r>
          </w:p>
        </w:tc>
        <w:tc>
          <w:tcPr>
            <w:tcW w:w="769" w:type="dxa"/>
            <w:vAlign w:val="top"/>
          </w:tcPr>
          <w:p w14:paraId="70E5C560">
            <w:pPr>
              <w:pStyle w:val="6"/>
              <w:spacing w:before="245" w:line="188" w:lineRule="auto"/>
              <w:ind w:left="272"/>
              <w:rPr>
                <w:sz w:val="21"/>
                <w:szCs w:val="21"/>
              </w:rPr>
            </w:pPr>
            <w:r>
              <w:rPr>
                <w:spacing w:val="-4"/>
                <w:sz w:val="21"/>
                <w:szCs w:val="21"/>
              </w:rPr>
              <w:t>35</w:t>
            </w:r>
          </w:p>
        </w:tc>
        <w:tc>
          <w:tcPr>
            <w:tcW w:w="809" w:type="dxa"/>
            <w:vAlign w:val="top"/>
          </w:tcPr>
          <w:p w14:paraId="0BC1CBE8">
            <w:pPr>
              <w:pStyle w:val="6"/>
              <w:spacing w:before="236" w:line="196" w:lineRule="auto"/>
              <w:ind w:left="293"/>
              <w:rPr>
                <w:sz w:val="21"/>
                <w:szCs w:val="21"/>
              </w:rPr>
            </w:pPr>
            <w:r>
              <w:rPr>
                <w:spacing w:val="-4"/>
                <w:sz w:val="21"/>
                <w:szCs w:val="21"/>
              </w:rPr>
              <w:t>35</w:t>
            </w:r>
          </w:p>
        </w:tc>
        <w:tc>
          <w:tcPr>
            <w:tcW w:w="1079" w:type="dxa"/>
            <w:vAlign w:val="top"/>
          </w:tcPr>
          <w:p w14:paraId="78EFDD00">
            <w:pPr>
              <w:pStyle w:val="6"/>
              <w:spacing w:before="184" w:line="219" w:lineRule="auto"/>
              <w:ind w:left="115"/>
              <w:rPr>
                <w:sz w:val="21"/>
                <w:szCs w:val="21"/>
              </w:rPr>
            </w:pPr>
            <w:r>
              <w:rPr>
                <w:spacing w:val="3"/>
                <w:sz w:val="21"/>
                <w:szCs w:val="21"/>
              </w:rPr>
              <w:t>见主接线</w:t>
            </w:r>
          </w:p>
        </w:tc>
        <w:tc>
          <w:tcPr>
            <w:tcW w:w="699" w:type="dxa"/>
            <w:vAlign w:val="top"/>
          </w:tcPr>
          <w:p w14:paraId="5CBE1B27">
            <w:pPr>
              <w:rPr>
                <w:rFonts w:ascii="Arial"/>
                <w:sz w:val="21"/>
              </w:rPr>
            </w:pPr>
          </w:p>
        </w:tc>
        <w:tc>
          <w:tcPr>
            <w:tcW w:w="719" w:type="dxa"/>
            <w:vAlign w:val="top"/>
          </w:tcPr>
          <w:p w14:paraId="33198B7F">
            <w:pPr>
              <w:rPr>
                <w:rFonts w:ascii="Arial"/>
                <w:sz w:val="21"/>
              </w:rPr>
            </w:pPr>
          </w:p>
        </w:tc>
        <w:tc>
          <w:tcPr>
            <w:tcW w:w="709" w:type="dxa"/>
            <w:vAlign w:val="top"/>
          </w:tcPr>
          <w:p w14:paraId="03DAC4BD">
            <w:pPr>
              <w:rPr>
                <w:rFonts w:ascii="Arial"/>
                <w:sz w:val="21"/>
              </w:rPr>
            </w:pPr>
          </w:p>
        </w:tc>
        <w:tc>
          <w:tcPr>
            <w:tcW w:w="694" w:type="dxa"/>
            <w:vAlign w:val="top"/>
          </w:tcPr>
          <w:p w14:paraId="62809169">
            <w:pPr>
              <w:rPr>
                <w:rFonts w:ascii="Arial"/>
                <w:sz w:val="21"/>
              </w:rPr>
            </w:pPr>
          </w:p>
        </w:tc>
      </w:tr>
      <w:tr w14:paraId="1E1EF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384" w:type="dxa"/>
            <w:vMerge w:val="restart"/>
            <w:tcBorders>
              <w:bottom w:val="nil"/>
            </w:tcBorders>
            <w:vAlign w:val="top"/>
          </w:tcPr>
          <w:p w14:paraId="39201CA1">
            <w:pPr>
              <w:pStyle w:val="6"/>
              <w:spacing w:before="205" w:line="327" w:lineRule="auto"/>
              <w:ind w:left="264" w:right="49" w:hanging="210"/>
              <w:rPr>
                <w:sz w:val="21"/>
                <w:szCs w:val="21"/>
              </w:rPr>
            </w:pPr>
            <w:r>
              <w:rPr>
                <w:spacing w:val="1"/>
                <w:sz w:val="21"/>
                <w:szCs w:val="21"/>
              </w:rPr>
              <w:t>35</w:t>
            </w:r>
            <w:r>
              <w:rPr>
                <w:sz w:val="21"/>
                <w:szCs w:val="21"/>
              </w:rPr>
              <w:t>kV</w:t>
            </w:r>
            <w:r>
              <w:rPr>
                <w:spacing w:val="1"/>
                <w:sz w:val="21"/>
                <w:szCs w:val="21"/>
              </w:rPr>
              <w:t>母线电压</w:t>
            </w:r>
            <w:r>
              <w:rPr>
                <w:spacing w:val="3"/>
                <w:sz w:val="21"/>
                <w:szCs w:val="21"/>
              </w:rPr>
              <w:t xml:space="preserve"> </w:t>
            </w:r>
            <w:r>
              <w:rPr>
                <w:spacing w:val="2"/>
                <w:sz w:val="21"/>
                <w:szCs w:val="21"/>
              </w:rPr>
              <w:t>互感器柜</w:t>
            </w:r>
          </w:p>
        </w:tc>
        <w:tc>
          <w:tcPr>
            <w:tcW w:w="609" w:type="dxa"/>
            <w:vAlign w:val="top"/>
          </w:tcPr>
          <w:p w14:paraId="4EDD985E">
            <w:pPr>
              <w:pStyle w:val="6"/>
              <w:spacing w:before="236" w:line="205" w:lineRule="auto"/>
              <w:ind w:left="241"/>
              <w:rPr>
                <w:sz w:val="21"/>
                <w:szCs w:val="21"/>
              </w:rPr>
            </w:pPr>
            <w:r>
              <w:rPr>
                <w:sz w:val="21"/>
                <w:szCs w:val="21"/>
              </w:rPr>
              <w:t>1</w:t>
            </w:r>
          </w:p>
        </w:tc>
        <w:tc>
          <w:tcPr>
            <w:tcW w:w="1479" w:type="dxa"/>
            <w:vAlign w:val="top"/>
          </w:tcPr>
          <w:p w14:paraId="32CB2D52">
            <w:pPr>
              <w:pStyle w:val="6"/>
              <w:spacing w:before="216" w:line="220" w:lineRule="auto"/>
              <w:ind w:left="311"/>
              <w:rPr>
                <w:sz w:val="21"/>
                <w:szCs w:val="21"/>
              </w:rPr>
            </w:pPr>
            <w:r>
              <w:rPr>
                <w:spacing w:val="2"/>
                <w:sz w:val="21"/>
                <w:szCs w:val="21"/>
              </w:rPr>
              <w:t>隔离开关</w:t>
            </w:r>
          </w:p>
        </w:tc>
        <w:tc>
          <w:tcPr>
            <w:tcW w:w="769" w:type="dxa"/>
            <w:vAlign w:val="top"/>
          </w:tcPr>
          <w:p w14:paraId="4A533D55">
            <w:pPr>
              <w:pStyle w:val="6"/>
              <w:spacing w:before="256" w:line="188" w:lineRule="auto"/>
              <w:ind w:left="272"/>
              <w:rPr>
                <w:sz w:val="21"/>
                <w:szCs w:val="21"/>
              </w:rPr>
            </w:pPr>
            <w:r>
              <w:rPr>
                <w:spacing w:val="-4"/>
                <w:sz w:val="21"/>
                <w:szCs w:val="21"/>
              </w:rPr>
              <w:t>35</w:t>
            </w:r>
          </w:p>
        </w:tc>
        <w:tc>
          <w:tcPr>
            <w:tcW w:w="809" w:type="dxa"/>
            <w:vAlign w:val="top"/>
          </w:tcPr>
          <w:p w14:paraId="66FEA3ED">
            <w:pPr>
              <w:pStyle w:val="6"/>
              <w:spacing w:before="236" w:line="205" w:lineRule="auto"/>
              <w:ind w:left="183"/>
              <w:rPr>
                <w:sz w:val="21"/>
                <w:szCs w:val="21"/>
              </w:rPr>
            </w:pPr>
            <w:r>
              <w:rPr>
                <w:spacing w:val="-2"/>
                <w:sz w:val="21"/>
                <w:szCs w:val="21"/>
              </w:rPr>
              <w:t>40.5</w:t>
            </w:r>
          </w:p>
        </w:tc>
        <w:tc>
          <w:tcPr>
            <w:tcW w:w="1079" w:type="dxa"/>
            <w:vAlign w:val="top"/>
          </w:tcPr>
          <w:p w14:paraId="79CD3C2D">
            <w:pPr>
              <w:pStyle w:val="6"/>
              <w:spacing w:before="215" w:line="219" w:lineRule="auto"/>
              <w:ind w:left="115"/>
              <w:rPr>
                <w:sz w:val="21"/>
                <w:szCs w:val="21"/>
              </w:rPr>
            </w:pPr>
            <w:r>
              <w:rPr>
                <w:spacing w:val="3"/>
                <w:sz w:val="21"/>
                <w:szCs w:val="21"/>
              </w:rPr>
              <w:t>见主接线</w:t>
            </w:r>
          </w:p>
        </w:tc>
        <w:tc>
          <w:tcPr>
            <w:tcW w:w="699" w:type="dxa"/>
            <w:vAlign w:val="top"/>
          </w:tcPr>
          <w:p w14:paraId="2ED2F3C8">
            <w:pPr>
              <w:rPr>
                <w:rFonts w:ascii="Arial"/>
                <w:sz w:val="21"/>
              </w:rPr>
            </w:pPr>
          </w:p>
        </w:tc>
        <w:tc>
          <w:tcPr>
            <w:tcW w:w="719" w:type="dxa"/>
            <w:vAlign w:val="top"/>
          </w:tcPr>
          <w:p w14:paraId="3DB32895">
            <w:pPr>
              <w:rPr>
                <w:rFonts w:ascii="Arial"/>
                <w:sz w:val="21"/>
              </w:rPr>
            </w:pPr>
          </w:p>
        </w:tc>
        <w:tc>
          <w:tcPr>
            <w:tcW w:w="709" w:type="dxa"/>
            <w:vAlign w:val="top"/>
          </w:tcPr>
          <w:p w14:paraId="6DD64E51">
            <w:pPr>
              <w:pStyle w:val="6"/>
              <w:spacing w:before="256" w:line="188" w:lineRule="auto"/>
              <w:ind w:left="247"/>
              <w:rPr>
                <w:sz w:val="21"/>
                <w:szCs w:val="21"/>
              </w:rPr>
            </w:pPr>
            <w:r>
              <w:rPr>
                <w:spacing w:val="-3"/>
                <w:sz w:val="21"/>
                <w:szCs w:val="21"/>
              </w:rPr>
              <w:t>80</w:t>
            </w:r>
          </w:p>
        </w:tc>
        <w:tc>
          <w:tcPr>
            <w:tcW w:w="694" w:type="dxa"/>
            <w:vAlign w:val="top"/>
          </w:tcPr>
          <w:p w14:paraId="2C75098F">
            <w:pPr>
              <w:pStyle w:val="6"/>
              <w:spacing w:before="236" w:line="205" w:lineRule="auto"/>
              <w:ind w:left="128"/>
              <w:rPr>
                <w:sz w:val="21"/>
                <w:szCs w:val="21"/>
              </w:rPr>
            </w:pPr>
            <w:r>
              <w:rPr>
                <w:spacing w:val="-3"/>
                <w:sz w:val="21"/>
                <w:szCs w:val="21"/>
              </w:rPr>
              <w:t>31.5</w:t>
            </w:r>
          </w:p>
        </w:tc>
      </w:tr>
      <w:tr w14:paraId="0CD07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384" w:type="dxa"/>
            <w:vMerge w:val="continue"/>
            <w:tcBorders>
              <w:top w:val="nil"/>
            </w:tcBorders>
            <w:vAlign w:val="top"/>
          </w:tcPr>
          <w:p w14:paraId="4B3FFAB8">
            <w:pPr>
              <w:rPr>
                <w:rFonts w:ascii="Arial"/>
                <w:sz w:val="21"/>
              </w:rPr>
            </w:pPr>
          </w:p>
        </w:tc>
        <w:tc>
          <w:tcPr>
            <w:tcW w:w="609" w:type="dxa"/>
            <w:vAlign w:val="top"/>
          </w:tcPr>
          <w:p w14:paraId="7378688E">
            <w:pPr>
              <w:pStyle w:val="6"/>
              <w:spacing w:before="236" w:line="196" w:lineRule="auto"/>
              <w:ind w:left="241"/>
              <w:rPr>
                <w:sz w:val="21"/>
                <w:szCs w:val="21"/>
              </w:rPr>
            </w:pPr>
            <w:r>
              <w:rPr>
                <w:sz w:val="21"/>
                <w:szCs w:val="21"/>
              </w:rPr>
              <w:t>2</w:t>
            </w:r>
          </w:p>
        </w:tc>
        <w:tc>
          <w:tcPr>
            <w:tcW w:w="1479" w:type="dxa"/>
            <w:vAlign w:val="top"/>
          </w:tcPr>
          <w:p w14:paraId="36843754">
            <w:pPr>
              <w:pStyle w:val="6"/>
              <w:spacing w:before="199" w:line="223" w:lineRule="auto"/>
              <w:ind w:left="201"/>
              <w:rPr>
                <w:sz w:val="21"/>
                <w:szCs w:val="21"/>
              </w:rPr>
            </w:pPr>
            <w:r>
              <w:rPr>
                <w:spacing w:val="1"/>
                <w:sz w:val="21"/>
                <w:szCs w:val="21"/>
              </w:rPr>
              <w:t>电压互感器</w:t>
            </w:r>
          </w:p>
        </w:tc>
        <w:tc>
          <w:tcPr>
            <w:tcW w:w="769" w:type="dxa"/>
            <w:vAlign w:val="top"/>
          </w:tcPr>
          <w:p w14:paraId="50F8EC6C">
            <w:pPr>
              <w:pStyle w:val="6"/>
              <w:spacing w:before="236" w:line="196" w:lineRule="auto"/>
              <w:ind w:left="272"/>
              <w:rPr>
                <w:sz w:val="21"/>
                <w:szCs w:val="21"/>
              </w:rPr>
            </w:pPr>
            <w:r>
              <w:rPr>
                <w:spacing w:val="-4"/>
                <w:sz w:val="21"/>
                <w:szCs w:val="21"/>
              </w:rPr>
              <w:t>35</w:t>
            </w:r>
          </w:p>
        </w:tc>
        <w:tc>
          <w:tcPr>
            <w:tcW w:w="809" w:type="dxa"/>
            <w:vAlign w:val="top"/>
          </w:tcPr>
          <w:p w14:paraId="481413AF">
            <w:pPr>
              <w:pStyle w:val="6"/>
              <w:spacing w:before="236" w:line="196" w:lineRule="auto"/>
              <w:ind w:left="293"/>
              <w:rPr>
                <w:sz w:val="21"/>
                <w:szCs w:val="21"/>
              </w:rPr>
            </w:pPr>
            <w:r>
              <w:rPr>
                <w:spacing w:val="-4"/>
                <w:sz w:val="21"/>
                <w:szCs w:val="21"/>
              </w:rPr>
              <w:t>35</w:t>
            </w:r>
          </w:p>
        </w:tc>
        <w:tc>
          <w:tcPr>
            <w:tcW w:w="1079" w:type="dxa"/>
            <w:vAlign w:val="top"/>
          </w:tcPr>
          <w:p w14:paraId="4C146357">
            <w:pPr>
              <w:rPr>
                <w:rFonts w:ascii="Arial"/>
                <w:sz w:val="21"/>
              </w:rPr>
            </w:pPr>
          </w:p>
        </w:tc>
        <w:tc>
          <w:tcPr>
            <w:tcW w:w="699" w:type="dxa"/>
            <w:vAlign w:val="top"/>
          </w:tcPr>
          <w:p w14:paraId="7D19C40E">
            <w:pPr>
              <w:rPr>
                <w:rFonts w:ascii="Arial"/>
                <w:sz w:val="21"/>
              </w:rPr>
            </w:pPr>
          </w:p>
        </w:tc>
        <w:tc>
          <w:tcPr>
            <w:tcW w:w="719" w:type="dxa"/>
            <w:vAlign w:val="top"/>
          </w:tcPr>
          <w:p w14:paraId="41240F17">
            <w:pPr>
              <w:rPr>
                <w:rFonts w:ascii="Arial"/>
                <w:sz w:val="21"/>
              </w:rPr>
            </w:pPr>
          </w:p>
        </w:tc>
        <w:tc>
          <w:tcPr>
            <w:tcW w:w="709" w:type="dxa"/>
            <w:vAlign w:val="top"/>
          </w:tcPr>
          <w:p w14:paraId="0F3E2FE2">
            <w:pPr>
              <w:rPr>
                <w:rFonts w:ascii="Arial"/>
                <w:sz w:val="21"/>
              </w:rPr>
            </w:pPr>
          </w:p>
        </w:tc>
        <w:tc>
          <w:tcPr>
            <w:tcW w:w="694" w:type="dxa"/>
            <w:vAlign w:val="top"/>
          </w:tcPr>
          <w:p w14:paraId="6FE4E2B3">
            <w:pPr>
              <w:rPr>
                <w:rFonts w:ascii="Arial"/>
                <w:sz w:val="21"/>
              </w:rPr>
            </w:pPr>
          </w:p>
        </w:tc>
      </w:tr>
      <w:tr w14:paraId="3D07B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384" w:type="dxa"/>
            <w:vMerge w:val="restart"/>
            <w:tcBorders>
              <w:bottom w:val="nil"/>
            </w:tcBorders>
            <w:vAlign w:val="top"/>
          </w:tcPr>
          <w:p w14:paraId="35248CA3">
            <w:pPr>
              <w:pStyle w:val="6"/>
              <w:spacing w:before="216" w:line="434" w:lineRule="auto"/>
              <w:ind w:left="54" w:right="50"/>
              <w:rPr>
                <w:sz w:val="21"/>
                <w:szCs w:val="21"/>
              </w:rPr>
            </w:pPr>
            <w:r>
              <w:rPr>
                <w:spacing w:val="1"/>
                <w:sz w:val="21"/>
                <w:szCs w:val="21"/>
              </w:rPr>
              <w:t>35</w:t>
            </w:r>
            <w:r>
              <w:rPr>
                <w:sz w:val="21"/>
                <w:szCs w:val="21"/>
              </w:rPr>
              <w:t>kV</w:t>
            </w:r>
            <w:r>
              <w:rPr>
                <w:spacing w:val="1"/>
                <w:sz w:val="21"/>
                <w:szCs w:val="21"/>
              </w:rPr>
              <w:t xml:space="preserve">站用电兼 </w:t>
            </w:r>
            <w:r>
              <w:rPr>
                <w:spacing w:val="-2"/>
                <w:sz w:val="21"/>
                <w:szCs w:val="21"/>
              </w:rPr>
              <w:t>接地变进线柜</w:t>
            </w:r>
          </w:p>
        </w:tc>
        <w:tc>
          <w:tcPr>
            <w:tcW w:w="609" w:type="dxa"/>
            <w:vAlign w:val="top"/>
          </w:tcPr>
          <w:p w14:paraId="1B308317">
            <w:pPr>
              <w:pStyle w:val="6"/>
              <w:spacing w:before="247" w:line="195" w:lineRule="auto"/>
              <w:ind w:left="241"/>
              <w:rPr>
                <w:sz w:val="21"/>
                <w:szCs w:val="21"/>
              </w:rPr>
            </w:pPr>
            <w:r>
              <w:rPr>
                <w:sz w:val="21"/>
                <w:szCs w:val="21"/>
              </w:rPr>
              <w:t>1</w:t>
            </w:r>
          </w:p>
        </w:tc>
        <w:tc>
          <w:tcPr>
            <w:tcW w:w="1479" w:type="dxa"/>
            <w:vAlign w:val="top"/>
          </w:tcPr>
          <w:p w14:paraId="119EAF1D">
            <w:pPr>
              <w:pStyle w:val="6"/>
              <w:spacing w:before="216" w:line="219" w:lineRule="auto"/>
              <w:ind w:left="411"/>
              <w:rPr>
                <w:sz w:val="21"/>
                <w:szCs w:val="21"/>
              </w:rPr>
            </w:pPr>
            <w:r>
              <w:rPr>
                <w:spacing w:val="2"/>
                <w:sz w:val="21"/>
                <w:szCs w:val="21"/>
              </w:rPr>
              <w:t>断路器</w:t>
            </w:r>
          </w:p>
        </w:tc>
        <w:tc>
          <w:tcPr>
            <w:tcW w:w="769" w:type="dxa"/>
            <w:vAlign w:val="top"/>
          </w:tcPr>
          <w:p w14:paraId="7ED1AE45">
            <w:pPr>
              <w:pStyle w:val="6"/>
              <w:spacing w:before="257" w:line="186" w:lineRule="auto"/>
              <w:ind w:left="272"/>
              <w:rPr>
                <w:sz w:val="21"/>
                <w:szCs w:val="21"/>
              </w:rPr>
            </w:pPr>
            <w:r>
              <w:rPr>
                <w:spacing w:val="-4"/>
                <w:sz w:val="21"/>
                <w:szCs w:val="21"/>
              </w:rPr>
              <w:t>35</w:t>
            </w:r>
          </w:p>
        </w:tc>
        <w:tc>
          <w:tcPr>
            <w:tcW w:w="809" w:type="dxa"/>
            <w:vAlign w:val="top"/>
          </w:tcPr>
          <w:p w14:paraId="744156E4">
            <w:pPr>
              <w:pStyle w:val="6"/>
              <w:spacing w:before="257" w:line="186" w:lineRule="auto"/>
              <w:ind w:left="183"/>
              <w:rPr>
                <w:sz w:val="21"/>
                <w:szCs w:val="21"/>
              </w:rPr>
            </w:pPr>
            <w:r>
              <w:rPr>
                <w:spacing w:val="-2"/>
                <w:sz w:val="21"/>
                <w:szCs w:val="21"/>
              </w:rPr>
              <w:t>40.5</w:t>
            </w:r>
          </w:p>
        </w:tc>
        <w:tc>
          <w:tcPr>
            <w:tcW w:w="1079" w:type="dxa"/>
            <w:vAlign w:val="top"/>
          </w:tcPr>
          <w:p w14:paraId="22AB5000">
            <w:pPr>
              <w:pStyle w:val="6"/>
              <w:spacing w:before="216" w:line="219" w:lineRule="auto"/>
              <w:ind w:left="115"/>
              <w:rPr>
                <w:sz w:val="21"/>
                <w:szCs w:val="21"/>
              </w:rPr>
            </w:pPr>
            <w:r>
              <w:rPr>
                <w:spacing w:val="3"/>
                <w:sz w:val="21"/>
                <w:szCs w:val="21"/>
              </w:rPr>
              <w:t>见主接线</w:t>
            </w:r>
          </w:p>
        </w:tc>
        <w:tc>
          <w:tcPr>
            <w:tcW w:w="699" w:type="dxa"/>
            <w:vAlign w:val="top"/>
          </w:tcPr>
          <w:p w14:paraId="622EE245">
            <w:pPr>
              <w:pStyle w:val="6"/>
              <w:spacing w:before="257" w:line="186" w:lineRule="auto"/>
              <w:ind w:left="135"/>
              <w:rPr>
                <w:sz w:val="21"/>
                <w:szCs w:val="21"/>
              </w:rPr>
            </w:pPr>
            <w:r>
              <w:rPr>
                <w:spacing w:val="-3"/>
                <w:sz w:val="21"/>
                <w:szCs w:val="21"/>
              </w:rPr>
              <w:t>31.5</w:t>
            </w:r>
          </w:p>
        </w:tc>
        <w:tc>
          <w:tcPr>
            <w:tcW w:w="719" w:type="dxa"/>
            <w:vAlign w:val="top"/>
          </w:tcPr>
          <w:p w14:paraId="2796B3B2">
            <w:pPr>
              <w:pStyle w:val="6"/>
              <w:spacing w:before="267" w:line="177" w:lineRule="auto"/>
              <w:ind w:left="246"/>
              <w:rPr>
                <w:sz w:val="21"/>
                <w:szCs w:val="21"/>
              </w:rPr>
            </w:pPr>
            <w:r>
              <w:rPr>
                <w:spacing w:val="-3"/>
                <w:sz w:val="21"/>
                <w:szCs w:val="21"/>
              </w:rPr>
              <w:t>80</w:t>
            </w:r>
          </w:p>
        </w:tc>
        <w:tc>
          <w:tcPr>
            <w:tcW w:w="709" w:type="dxa"/>
            <w:vAlign w:val="top"/>
          </w:tcPr>
          <w:p w14:paraId="0A2F0B29">
            <w:pPr>
              <w:pStyle w:val="6"/>
              <w:spacing w:before="257" w:line="186" w:lineRule="auto"/>
              <w:ind w:left="247"/>
              <w:rPr>
                <w:sz w:val="21"/>
                <w:szCs w:val="21"/>
              </w:rPr>
            </w:pPr>
            <w:r>
              <w:rPr>
                <w:spacing w:val="-3"/>
                <w:sz w:val="21"/>
                <w:szCs w:val="21"/>
              </w:rPr>
              <w:t>80</w:t>
            </w:r>
          </w:p>
        </w:tc>
        <w:tc>
          <w:tcPr>
            <w:tcW w:w="694" w:type="dxa"/>
            <w:vAlign w:val="top"/>
          </w:tcPr>
          <w:p w14:paraId="75DE3605">
            <w:pPr>
              <w:pStyle w:val="6"/>
              <w:spacing w:before="238" w:line="203" w:lineRule="auto"/>
              <w:ind w:left="128"/>
              <w:rPr>
                <w:sz w:val="21"/>
                <w:szCs w:val="21"/>
              </w:rPr>
            </w:pPr>
            <w:r>
              <w:rPr>
                <w:spacing w:val="-3"/>
                <w:sz w:val="21"/>
                <w:szCs w:val="21"/>
              </w:rPr>
              <w:t>31.5</w:t>
            </w:r>
          </w:p>
        </w:tc>
      </w:tr>
      <w:tr w14:paraId="4F480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384" w:type="dxa"/>
            <w:vMerge w:val="continue"/>
            <w:tcBorders>
              <w:top w:val="nil"/>
              <w:bottom w:val="nil"/>
            </w:tcBorders>
            <w:vAlign w:val="top"/>
          </w:tcPr>
          <w:p w14:paraId="361A70FF">
            <w:pPr>
              <w:rPr>
                <w:rFonts w:ascii="Arial"/>
                <w:sz w:val="21"/>
              </w:rPr>
            </w:pPr>
          </w:p>
        </w:tc>
        <w:tc>
          <w:tcPr>
            <w:tcW w:w="609" w:type="dxa"/>
            <w:vAlign w:val="top"/>
          </w:tcPr>
          <w:p w14:paraId="367EF0D7">
            <w:pPr>
              <w:pStyle w:val="6"/>
              <w:spacing w:before="258" w:line="186" w:lineRule="auto"/>
              <w:ind w:left="241"/>
              <w:rPr>
                <w:sz w:val="21"/>
                <w:szCs w:val="21"/>
              </w:rPr>
            </w:pPr>
            <w:r>
              <w:rPr>
                <w:sz w:val="21"/>
                <w:szCs w:val="21"/>
              </w:rPr>
              <w:t>2</w:t>
            </w:r>
          </w:p>
        </w:tc>
        <w:tc>
          <w:tcPr>
            <w:tcW w:w="1479" w:type="dxa"/>
            <w:vAlign w:val="top"/>
          </w:tcPr>
          <w:p w14:paraId="7CFDEDFC">
            <w:pPr>
              <w:pStyle w:val="6"/>
              <w:spacing w:before="227" w:line="213" w:lineRule="auto"/>
              <w:ind w:left="311"/>
              <w:rPr>
                <w:sz w:val="21"/>
                <w:szCs w:val="21"/>
              </w:rPr>
            </w:pPr>
            <w:r>
              <w:rPr>
                <w:spacing w:val="2"/>
                <w:sz w:val="21"/>
                <w:szCs w:val="21"/>
              </w:rPr>
              <w:t>隔离开关</w:t>
            </w:r>
          </w:p>
        </w:tc>
        <w:tc>
          <w:tcPr>
            <w:tcW w:w="769" w:type="dxa"/>
            <w:vAlign w:val="top"/>
          </w:tcPr>
          <w:p w14:paraId="1F28C8E6">
            <w:pPr>
              <w:pStyle w:val="6"/>
              <w:spacing w:before="268" w:line="177" w:lineRule="auto"/>
              <w:ind w:left="272"/>
              <w:rPr>
                <w:sz w:val="21"/>
                <w:szCs w:val="21"/>
              </w:rPr>
            </w:pPr>
            <w:r>
              <w:rPr>
                <w:spacing w:val="-4"/>
                <w:sz w:val="21"/>
                <w:szCs w:val="21"/>
              </w:rPr>
              <w:t>35</w:t>
            </w:r>
          </w:p>
        </w:tc>
        <w:tc>
          <w:tcPr>
            <w:tcW w:w="809" w:type="dxa"/>
            <w:vAlign w:val="top"/>
          </w:tcPr>
          <w:p w14:paraId="03CFB3C8">
            <w:pPr>
              <w:pStyle w:val="6"/>
              <w:spacing w:before="268" w:line="177" w:lineRule="auto"/>
              <w:ind w:left="183"/>
              <w:rPr>
                <w:sz w:val="21"/>
                <w:szCs w:val="21"/>
              </w:rPr>
            </w:pPr>
            <w:r>
              <w:rPr>
                <w:spacing w:val="-2"/>
                <w:sz w:val="21"/>
                <w:szCs w:val="21"/>
              </w:rPr>
              <w:t>40.5</w:t>
            </w:r>
          </w:p>
        </w:tc>
        <w:tc>
          <w:tcPr>
            <w:tcW w:w="1079" w:type="dxa"/>
            <w:vAlign w:val="top"/>
          </w:tcPr>
          <w:p w14:paraId="39207104">
            <w:pPr>
              <w:pStyle w:val="6"/>
              <w:spacing w:before="227" w:line="213" w:lineRule="auto"/>
              <w:ind w:left="115"/>
              <w:rPr>
                <w:sz w:val="21"/>
                <w:szCs w:val="21"/>
              </w:rPr>
            </w:pPr>
            <w:r>
              <w:rPr>
                <w:spacing w:val="3"/>
                <w:sz w:val="21"/>
                <w:szCs w:val="21"/>
              </w:rPr>
              <w:t>见主接线</w:t>
            </w:r>
          </w:p>
        </w:tc>
        <w:tc>
          <w:tcPr>
            <w:tcW w:w="699" w:type="dxa"/>
            <w:vAlign w:val="top"/>
          </w:tcPr>
          <w:p w14:paraId="16EFF511">
            <w:pPr>
              <w:rPr>
                <w:rFonts w:ascii="Arial"/>
                <w:sz w:val="21"/>
              </w:rPr>
            </w:pPr>
          </w:p>
        </w:tc>
        <w:tc>
          <w:tcPr>
            <w:tcW w:w="719" w:type="dxa"/>
            <w:vAlign w:val="top"/>
          </w:tcPr>
          <w:p w14:paraId="366A1491">
            <w:pPr>
              <w:rPr>
                <w:rFonts w:ascii="Arial"/>
                <w:sz w:val="21"/>
              </w:rPr>
            </w:pPr>
          </w:p>
        </w:tc>
        <w:tc>
          <w:tcPr>
            <w:tcW w:w="709" w:type="dxa"/>
            <w:vAlign w:val="top"/>
          </w:tcPr>
          <w:p w14:paraId="5365D52D">
            <w:pPr>
              <w:pStyle w:val="6"/>
              <w:spacing w:before="268" w:line="177" w:lineRule="auto"/>
              <w:ind w:left="247"/>
              <w:rPr>
                <w:sz w:val="21"/>
                <w:szCs w:val="21"/>
              </w:rPr>
            </w:pPr>
            <w:r>
              <w:rPr>
                <w:spacing w:val="-3"/>
                <w:sz w:val="21"/>
                <w:szCs w:val="21"/>
              </w:rPr>
              <w:t>80</w:t>
            </w:r>
          </w:p>
        </w:tc>
        <w:tc>
          <w:tcPr>
            <w:tcW w:w="694" w:type="dxa"/>
            <w:vAlign w:val="top"/>
          </w:tcPr>
          <w:p w14:paraId="5D09B593">
            <w:pPr>
              <w:pStyle w:val="6"/>
              <w:spacing w:before="258" w:line="186" w:lineRule="auto"/>
              <w:ind w:left="128"/>
              <w:rPr>
                <w:sz w:val="21"/>
                <w:szCs w:val="21"/>
              </w:rPr>
            </w:pPr>
            <w:r>
              <w:rPr>
                <w:spacing w:val="-3"/>
                <w:sz w:val="21"/>
                <w:szCs w:val="21"/>
              </w:rPr>
              <w:t>31.5</w:t>
            </w:r>
          </w:p>
        </w:tc>
      </w:tr>
      <w:tr w14:paraId="736FD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384" w:type="dxa"/>
            <w:vMerge w:val="continue"/>
            <w:tcBorders>
              <w:top w:val="nil"/>
            </w:tcBorders>
            <w:vAlign w:val="top"/>
          </w:tcPr>
          <w:p w14:paraId="561DF286">
            <w:pPr>
              <w:rPr>
                <w:rFonts w:ascii="Arial"/>
                <w:sz w:val="21"/>
              </w:rPr>
            </w:pPr>
          </w:p>
        </w:tc>
        <w:tc>
          <w:tcPr>
            <w:tcW w:w="609" w:type="dxa"/>
            <w:vAlign w:val="top"/>
          </w:tcPr>
          <w:p w14:paraId="15C880E3">
            <w:pPr>
              <w:pStyle w:val="6"/>
              <w:spacing w:before="238" w:line="212" w:lineRule="auto"/>
              <w:ind w:left="241"/>
              <w:rPr>
                <w:sz w:val="21"/>
                <w:szCs w:val="21"/>
              </w:rPr>
            </w:pPr>
            <w:r>
              <w:rPr>
                <w:sz w:val="21"/>
                <w:szCs w:val="21"/>
              </w:rPr>
              <w:t>3</w:t>
            </w:r>
          </w:p>
        </w:tc>
        <w:tc>
          <w:tcPr>
            <w:tcW w:w="1479" w:type="dxa"/>
            <w:vAlign w:val="top"/>
          </w:tcPr>
          <w:p w14:paraId="2EAB9049">
            <w:pPr>
              <w:pStyle w:val="6"/>
              <w:spacing w:before="221" w:line="223" w:lineRule="auto"/>
              <w:ind w:left="201"/>
              <w:rPr>
                <w:sz w:val="21"/>
                <w:szCs w:val="21"/>
              </w:rPr>
            </w:pPr>
            <w:r>
              <w:rPr>
                <w:spacing w:val="1"/>
                <w:sz w:val="21"/>
                <w:szCs w:val="21"/>
              </w:rPr>
              <w:t>电流互感器</w:t>
            </w:r>
          </w:p>
        </w:tc>
        <w:tc>
          <w:tcPr>
            <w:tcW w:w="769" w:type="dxa"/>
            <w:vAlign w:val="top"/>
          </w:tcPr>
          <w:p w14:paraId="1E55179F">
            <w:pPr>
              <w:pStyle w:val="6"/>
              <w:spacing w:before="258" w:line="195" w:lineRule="auto"/>
              <w:ind w:left="272"/>
              <w:rPr>
                <w:sz w:val="21"/>
                <w:szCs w:val="21"/>
              </w:rPr>
            </w:pPr>
            <w:r>
              <w:rPr>
                <w:spacing w:val="-4"/>
                <w:sz w:val="21"/>
                <w:szCs w:val="21"/>
              </w:rPr>
              <w:t>35</w:t>
            </w:r>
          </w:p>
        </w:tc>
        <w:tc>
          <w:tcPr>
            <w:tcW w:w="809" w:type="dxa"/>
            <w:vAlign w:val="top"/>
          </w:tcPr>
          <w:p w14:paraId="64AE8FAB">
            <w:pPr>
              <w:pStyle w:val="6"/>
              <w:spacing w:before="258" w:line="195" w:lineRule="auto"/>
              <w:ind w:left="293"/>
              <w:rPr>
                <w:sz w:val="21"/>
                <w:szCs w:val="21"/>
              </w:rPr>
            </w:pPr>
            <w:r>
              <w:rPr>
                <w:spacing w:val="-4"/>
                <w:sz w:val="21"/>
                <w:szCs w:val="21"/>
              </w:rPr>
              <w:t>35</w:t>
            </w:r>
          </w:p>
        </w:tc>
        <w:tc>
          <w:tcPr>
            <w:tcW w:w="1079" w:type="dxa"/>
            <w:vAlign w:val="top"/>
          </w:tcPr>
          <w:p w14:paraId="4EB8AD9E">
            <w:pPr>
              <w:pStyle w:val="6"/>
              <w:spacing w:before="217" w:line="219" w:lineRule="auto"/>
              <w:ind w:left="115"/>
              <w:rPr>
                <w:sz w:val="21"/>
                <w:szCs w:val="21"/>
              </w:rPr>
            </w:pPr>
            <w:r>
              <w:rPr>
                <w:spacing w:val="3"/>
                <w:sz w:val="21"/>
                <w:szCs w:val="21"/>
              </w:rPr>
              <w:t>见主接线</w:t>
            </w:r>
          </w:p>
        </w:tc>
        <w:tc>
          <w:tcPr>
            <w:tcW w:w="699" w:type="dxa"/>
            <w:vAlign w:val="top"/>
          </w:tcPr>
          <w:p w14:paraId="0AA26B9C">
            <w:pPr>
              <w:rPr>
                <w:rFonts w:ascii="Arial"/>
                <w:sz w:val="21"/>
              </w:rPr>
            </w:pPr>
          </w:p>
        </w:tc>
        <w:tc>
          <w:tcPr>
            <w:tcW w:w="719" w:type="dxa"/>
            <w:vAlign w:val="top"/>
          </w:tcPr>
          <w:p w14:paraId="0A563E64">
            <w:pPr>
              <w:rPr>
                <w:rFonts w:ascii="Arial"/>
                <w:sz w:val="21"/>
              </w:rPr>
            </w:pPr>
          </w:p>
        </w:tc>
        <w:tc>
          <w:tcPr>
            <w:tcW w:w="709" w:type="dxa"/>
            <w:vAlign w:val="top"/>
          </w:tcPr>
          <w:p w14:paraId="1D6E6BB8">
            <w:pPr>
              <w:rPr>
                <w:rFonts w:ascii="Arial"/>
                <w:sz w:val="21"/>
              </w:rPr>
            </w:pPr>
          </w:p>
        </w:tc>
        <w:tc>
          <w:tcPr>
            <w:tcW w:w="694" w:type="dxa"/>
            <w:vAlign w:val="top"/>
          </w:tcPr>
          <w:p w14:paraId="05A1164F">
            <w:pPr>
              <w:rPr>
                <w:rFonts w:ascii="Arial"/>
                <w:sz w:val="21"/>
              </w:rPr>
            </w:pPr>
          </w:p>
        </w:tc>
      </w:tr>
      <w:tr w14:paraId="63BA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384" w:type="dxa"/>
            <w:vMerge w:val="restart"/>
            <w:tcBorders>
              <w:bottom w:val="nil"/>
            </w:tcBorders>
            <w:vAlign w:val="top"/>
          </w:tcPr>
          <w:p w14:paraId="1FA74C60">
            <w:pPr>
              <w:pStyle w:val="6"/>
              <w:spacing w:before="209" w:line="327" w:lineRule="auto"/>
              <w:ind w:left="104" w:right="48" w:hanging="50"/>
              <w:rPr>
                <w:sz w:val="21"/>
                <w:szCs w:val="21"/>
              </w:rPr>
            </w:pPr>
            <w:r>
              <w:rPr>
                <w:spacing w:val="1"/>
                <w:sz w:val="21"/>
                <w:szCs w:val="21"/>
              </w:rPr>
              <w:t>35</w:t>
            </w:r>
            <w:r>
              <w:rPr>
                <w:sz w:val="21"/>
                <w:szCs w:val="21"/>
              </w:rPr>
              <w:t>kV</w:t>
            </w:r>
            <w:r>
              <w:rPr>
                <w:spacing w:val="1"/>
                <w:sz w:val="21"/>
                <w:szCs w:val="21"/>
              </w:rPr>
              <w:t>无功补偿</w:t>
            </w:r>
            <w:r>
              <w:rPr>
                <w:spacing w:val="3"/>
                <w:sz w:val="21"/>
                <w:szCs w:val="21"/>
              </w:rPr>
              <w:t xml:space="preserve"> </w:t>
            </w:r>
            <w:r>
              <w:rPr>
                <w:spacing w:val="6"/>
                <w:sz w:val="21"/>
                <w:szCs w:val="21"/>
              </w:rPr>
              <w:t>馈线柜(</w:t>
            </w:r>
            <w:r>
              <w:rPr>
                <w:sz w:val="21"/>
                <w:szCs w:val="21"/>
              </w:rPr>
              <w:t>SF</w:t>
            </w:r>
            <w:r>
              <w:rPr>
                <w:spacing w:val="6"/>
                <w:sz w:val="21"/>
                <w:szCs w:val="21"/>
              </w:rPr>
              <w:t>6)</w:t>
            </w:r>
          </w:p>
        </w:tc>
        <w:tc>
          <w:tcPr>
            <w:tcW w:w="609" w:type="dxa"/>
            <w:vAlign w:val="top"/>
          </w:tcPr>
          <w:p w14:paraId="4691AC94">
            <w:pPr>
              <w:pStyle w:val="6"/>
              <w:spacing w:before="258" w:line="185" w:lineRule="auto"/>
              <w:ind w:left="241"/>
              <w:rPr>
                <w:sz w:val="21"/>
                <w:szCs w:val="21"/>
              </w:rPr>
            </w:pPr>
            <w:r>
              <w:rPr>
                <w:sz w:val="21"/>
                <w:szCs w:val="21"/>
              </w:rPr>
              <w:t>1</w:t>
            </w:r>
          </w:p>
        </w:tc>
        <w:tc>
          <w:tcPr>
            <w:tcW w:w="1479" w:type="dxa"/>
            <w:vAlign w:val="top"/>
          </w:tcPr>
          <w:p w14:paraId="430EB418">
            <w:pPr>
              <w:pStyle w:val="6"/>
              <w:spacing w:before="217" w:line="219" w:lineRule="auto"/>
              <w:ind w:left="411"/>
              <w:rPr>
                <w:sz w:val="21"/>
                <w:szCs w:val="21"/>
              </w:rPr>
            </w:pPr>
            <w:r>
              <w:rPr>
                <w:spacing w:val="2"/>
                <w:sz w:val="21"/>
                <w:szCs w:val="21"/>
              </w:rPr>
              <w:t>断路器</w:t>
            </w:r>
          </w:p>
        </w:tc>
        <w:tc>
          <w:tcPr>
            <w:tcW w:w="769" w:type="dxa"/>
            <w:vAlign w:val="top"/>
          </w:tcPr>
          <w:p w14:paraId="14C2A21E">
            <w:pPr>
              <w:pStyle w:val="6"/>
              <w:spacing w:before="268" w:line="176" w:lineRule="auto"/>
              <w:ind w:left="272"/>
              <w:rPr>
                <w:sz w:val="21"/>
                <w:szCs w:val="21"/>
              </w:rPr>
            </w:pPr>
            <w:r>
              <w:rPr>
                <w:spacing w:val="-4"/>
                <w:sz w:val="21"/>
                <w:szCs w:val="21"/>
              </w:rPr>
              <w:t>35</w:t>
            </w:r>
          </w:p>
        </w:tc>
        <w:tc>
          <w:tcPr>
            <w:tcW w:w="809" w:type="dxa"/>
            <w:vAlign w:val="top"/>
          </w:tcPr>
          <w:p w14:paraId="7615ECD0">
            <w:pPr>
              <w:pStyle w:val="6"/>
              <w:spacing w:before="258" w:line="185" w:lineRule="auto"/>
              <w:ind w:left="183"/>
              <w:rPr>
                <w:sz w:val="21"/>
                <w:szCs w:val="21"/>
              </w:rPr>
            </w:pPr>
            <w:r>
              <w:rPr>
                <w:spacing w:val="-2"/>
                <w:sz w:val="21"/>
                <w:szCs w:val="21"/>
              </w:rPr>
              <w:t>40.5</w:t>
            </w:r>
          </w:p>
        </w:tc>
        <w:tc>
          <w:tcPr>
            <w:tcW w:w="1079" w:type="dxa"/>
            <w:vAlign w:val="top"/>
          </w:tcPr>
          <w:p w14:paraId="40F91FA9">
            <w:pPr>
              <w:pStyle w:val="6"/>
              <w:spacing w:before="217" w:line="219" w:lineRule="auto"/>
              <w:ind w:left="115"/>
              <w:rPr>
                <w:sz w:val="21"/>
                <w:szCs w:val="21"/>
              </w:rPr>
            </w:pPr>
            <w:r>
              <w:rPr>
                <w:spacing w:val="3"/>
                <w:sz w:val="21"/>
                <w:szCs w:val="21"/>
              </w:rPr>
              <w:t>见主接线</w:t>
            </w:r>
          </w:p>
        </w:tc>
        <w:tc>
          <w:tcPr>
            <w:tcW w:w="699" w:type="dxa"/>
            <w:vAlign w:val="top"/>
          </w:tcPr>
          <w:p w14:paraId="41D4A8A8">
            <w:pPr>
              <w:pStyle w:val="6"/>
              <w:spacing w:before="258" w:line="185" w:lineRule="auto"/>
              <w:ind w:left="135"/>
              <w:rPr>
                <w:sz w:val="21"/>
                <w:szCs w:val="21"/>
              </w:rPr>
            </w:pPr>
            <w:r>
              <w:rPr>
                <w:spacing w:val="-3"/>
                <w:sz w:val="21"/>
                <w:szCs w:val="21"/>
              </w:rPr>
              <w:t>31.5</w:t>
            </w:r>
          </w:p>
        </w:tc>
        <w:tc>
          <w:tcPr>
            <w:tcW w:w="719" w:type="dxa"/>
            <w:vAlign w:val="top"/>
          </w:tcPr>
          <w:p w14:paraId="276A0BEA">
            <w:pPr>
              <w:pStyle w:val="6"/>
              <w:spacing w:before="238" w:line="203" w:lineRule="auto"/>
              <w:ind w:left="246"/>
              <w:rPr>
                <w:sz w:val="21"/>
                <w:szCs w:val="21"/>
              </w:rPr>
            </w:pPr>
            <w:r>
              <w:rPr>
                <w:spacing w:val="-3"/>
                <w:sz w:val="21"/>
                <w:szCs w:val="21"/>
              </w:rPr>
              <w:t>80</w:t>
            </w:r>
          </w:p>
        </w:tc>
        <w:tc>
          <w:tcPr>
            <w:tcW w:w="709" w:type="dxa"/>
            <w:vAlign w:val="top"/>
          </w:tcPr>
          <w:p w14:paraId="5BDB0585">
            <w:pPr>
              <w:pStyle w:val="6"/>
              <w:spacing w:before="268" w:line="176" w:lineRule="auto"/>
              <w:ind w:left="247"/>
              <w:rPr>
                <w:sz w:val="21"/>
                <w:szCs w:val="21"/>
              </w:rPr>
            </w:pPr>
            <w:r>
              <w:rPr>
                <w:spacing w:val="-3"/>
                <w:sz w:val="21"/>
                <w:szCs w:val="21"/>
              </w:rPr>
              <w:t>80</w:t>
            </w:r>
          </w:p>
        </w:tc>
        <w:tc>
          <w:tcPr>
            <w:tcW w:w="694" w:type="dxa"/>
            <w:vAlign w:val="top"/>
          </w:tcPr>
          <w:p w14:paraId="03E51453">
            <w:pPr>
              <w:pStyle w:val="6"/>
              <w:spacing w:before="258" w:line="185" w:lineRule="auto"/>
              <w:ind w:left="128"/>
              <w:rPr>
                <w:sz w:val="21"/>
                <w:szCs w:val="21"/>
              </w:rPr>
            </w:pPr>
            <w:r>
              <w:rPr>
                <w:spacing w:val="-3"/>
                <w:sz w:val="21"/>
                <w:szCs w:val="21"/>
              </w:rPr>
              <w:t>31.5</w:t>
            </w:r>
          </w:p>
        </w:tc>
      </w:tr>
      <w:tr w14:paraId="096DA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384" w:type="dxa"/>
            <w:vMerge w:val="continue"/>
            <w:tcBorders>
              <w:top w:val="nil"/>
            </w:tcBorders>
            <w:vAlign w:val="top"/>
          </w:tcPr>
          <w:p w14:paraId="350887F9">
            <w:pPr>
              <w:rPr>
                <w:rFonts w:ascii="Arial"/>
                <w:sz w:val="21"/>
              </w:rPr>
            </w:pPr>
          </w:p>
        </w:tc>
        <w:tc>
          <w:tcPr>
            <w:tcW w:w="609" w:type="dxa"/>
            <w:vAlign w:val="top"/>
          </w:tcPr>
          <w:p w14:paraId="6E83E328">
            <w:pPr>
              <w:pStyle w:val="6"/>
              <w:spacing w:before="239" w:line="197" w:lineRule="auto"/>
              <w:ind w:left="241"/>
              <w:rPr>
                <w:sz w:val="21"/>
                <w:szCs w:val="21"/>
              </w:rPr>
            </w:pPr>
            <w:r>
              <w:rPr>
                <w:sz w:val="21"/>
                <w:szCs w:val="21"/>
              </w:rPr>
              <w:t>2</w:t>
            </w:r>
          </w:p>
        </w:tc>
        <w:tc>
          <w:tcPr>
            <w:tcW w:w="1479" w:type="dxa"/>
            <w:vAlign w:val="top"/>
          </w:tcPr>
          <w:p w14:paraId="228BFA6A">
            <w:pPr>
              <w:pStyle w:val="6"/>
              <w:spacing w:before="209" w:line="220" w:lineRule="auto"/>
              <w:ind w:left="311"/>
              <w:rPr>
                <w:sz w:val="21"/>
                <w:szCs w:val="21"/>
              </w:rPr>
            </w:pPr>
            <w:r>
              <w:rPr>
                <w:spacing w:val="2"/>
                <w:sz w:val="21"/>
                <w:szCs w:val="21"/>
              </w:rPr>
              <w:t>隔离开关</w:t>
            </w:r>
          </w:p>
        </w:tc>
        <w:tc>
          <w:tcPr>
            <w:tcW w:w="769" w:type="dxa"/>
            <w:vAlign w:val="top"/>
          </w:tcPr>
          <w:p w14:paraId="74BA0918">
            <w:pPr>
              <w:pStyle w:val="6"/>
              <w:spacing w:before="259" w:line="180" w:lineRule="auto"/>
              <w:ind w:left="272"/>
              <w:rPr>
                <w:sz w:val="21"/>
                <w:szCs w:val="21"/>
              </w:rPr>
            </w:pPr>
            <w:r>
              <w:rPr>
                <w:spacing w:val="-4"/>
                <w:sz w:val="21"/>
                <w:szCs w:val="21"/>
              </w:rPr>
              <w:t>35</w:t>
            </w:r>
          </w:p>
        </w:tc>
        <w:tc>
          <w:tcPr>
            <w:tcW w:w="809" w:type="dxa"/>
            <w:vAlign w:val="top"/>
          </w:tcPr>
          <w:p w14:paraId="39734FB5">
            <w:pPr>
              <w:pStyle w:val="6"/>
              <w:spacing w:before="259" w:line="180" w:lineRule="auto"/>
              <w:ind w:left="183"/>
              <w:rPr>
                <w:sz w:val="21"/>
                <w:szCs w:val="21"/>
              </w:rPr>
            </w:pPr>
            <w:r>
              <w:rPr>
                <w:spacing w:val="-2"/>
                <w:sz w:val="21"/>
                <w:szCs w:val="21"/>
              </w:rPr>
              <w:t>40.5</w:t>
            </w:r>
          </w:p>
        </w:tc>
        <w:tc>
          <w:tcPr>
            <w:tcW w:w="1079" w:type="dxa"/>
            <w:vAlign w:val="top"/>
          </w:tcPr>
          <w:p w14:paraId="3411C673">
            <w:pPr>
              <w:pStyle w:val="6"/>
              <w:spacing w:before="208" w:line="219" w:lineRule="auto"/>
              <w:ind w:left="115"/>
              <w:rPr>
                <w:sz w:val="21"/>
                <w:szCs w:val="21"/>
              </w:rPr>
            </w:pPr>
            <w:r>
              <w:rPr>
                <w:spacing w:val="3"/>
                <w:sz w:val="21"/>
                <w:szCs w:val="21"/>
              </w:rPr>
              <w:t>见主接线</w:t>
            </w:r>
          </w:p>
        </w:tc>
        <w:tc>
          <w:tcPr>
            <w:tcW w:w="699" w:type="dxa"/>
            <w:vAlign w:val="top"/>
          </w:tcPr>
          <w:p w14:paraId="3F45437E">
            <w:pPr>
              <w:rPr>
                <w:rFonts w:ascii="Arial"/>
                <w:sz w:val="21"/>
              </w:rPr>
            </w:pPr>
          </w:p>
        </w:tc>
        <w:tc>
          <w:tcPr>
            <w:tcW w:w="719" w:type="dxa"/>
            <w:vAlign w:val="top"/>
          </w:tcPr>
          <w:p w14:paraId="070AFAC0">
            <w:pPr>
              <w:rPr>
                <w:rFonts w:ascii="Arial"/>
                <w:sz w:val="21"/>
              </w:rPr>
            </w:pPr>
          </w:p>
        </w:tc>
        <w:tc>
          <w:tcPr>
            <w:tcW w:w="709" w:type="dxa"/>
            <w:vAlign w:val="top"/>
          </w:tcPr>
          <w:p w14:paraId="190D7C2A">
            <w:pPr>
              <w:pStyle w:val="6"/>
              <w:spacing w:before="259" w:line="180" w:lineRule="auto"/>
              <w:ind w:left="247"/>
              <w:rPr>
                <w:sz w:val="21"/>
                <w:szCs w:val="21"/>
              </w:rPr>
            </w:pPr>
            <w:r>
              <w:rPr>
                <w:spacing w:val="-3"/>
                <w:sz w:val="21"/>
                <w:szCs w:val="21"/>
              </w:rPr>
              <w:t>80</w:t>
            </w:r>
          </w:p>
        </w:tc>
        <w:tc>
          <w:tcPr>
            <w:tcW w:w="694" w:type="dxa"/>
            <w:vAlign w:val="top"/>
          </w:tcPr>
          <w:p w14:paraId="23734CEC">
            <w:pPr>
              <w:pStyle w:val="6"/>
              <w:spacing w:before="239" w:line="197" w:lineRule="auto"/>
              <w:ind w:left="128"/>
              <w:rPr>
                <w:sz w:val="21"/>
                <w:szCs w:val="21"/>
              </w:rPr>
            </w:pPr>
            <w:r>
              <w:rPr>
                <w:spacing w:val="-3"/>
                <w:sz w:val="21"/>
                <w:szCs w:val="21"/>
              </w:rPr>
              <w:t>31.5</w:t>
            </w:r>
          </w:p>
        </w:tc>
      </w:tr>
    </w:tbl>
    <w:p w14:paraId="256717E1">
      <w:pPr>
        <w:pStyle w:val="2"/>
      </w:pPr>
    </w:p>
    <w:p w14:paraId="549830DC">
      <w:pPr>
        <w:sectPr>
          <w:footerReference r:id="rId226" w:type="default"/>
          <w:pgSz w:w="11910" w:h="16830"/>
          <w:pgMar w:top="400" w:right="855" w:bottom="1216" w:left="1455" w:header="0" w:footer="904" w:gutter="0"/>
          <w:cols w:space="720" w:num="1"/>
        </w:sectPr>
      </w:pPr>
    </w:p>
    <w:p w14:paraId="2C46AF00">
      <w:pPr>
        <w:spacing w:before="15"/>
      </w:pPr>
    </w:p>
    <w:p w14:paraId="113C433B">
      <w:pPr>
        <w:spacing w:before="15"/>
      </w:pPr>
    </w:p>
    <w:p w14:paraId="6342DB06">
      <w:pPr>
        <w:spacing w:before="15"/>
      </w:pPr>
    </w:p>
    <w:p w14:paraId="1C7AC863">
      <w:pPr>
        <w:spacing w:before="14"/>
      </w:pPr>
    </w:p>
    <w:tbl>
      <w:tblPr>
        <w:tblStyle w:val="5"/>
        <w:tblW w:w="896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3"/>
        <w:gridCol w:w="610"/>
        <w:gridCol w:w="1459"/>
        <w:gridCol w:w="779"/>
        <w:gridCol w:w="809"/>
        <w:gridCol w:w="1079"/>
        <w:gridCol w:w="699"/>
        <w:gridCol w:w="729"/>
        <w:gridCol w:w="699"/>
        <w:gridCol w:w="704"/>
      </w:tblGrid>
      <w:tr w14:paraId="7FFC8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393" w:type="dxa"/>
            <w:vAlign w:val="top"/>
          </w:tcPr>
          <w:p w14:paraId="6ED6B4D1">
            <w:pPr>
              <w:rPr>
                <w:rFonts w:ascii="Arial"/>
                <w:sz w:val="21"/>
              </w:rPr>
            </w:pPr>
          </w:p>
        </w:tc>
        <w:tc>
          <w:tcPr>
            <w:tcW w:w="610" w:type="dxa"/>
            <w:vAlign w:val="top"/>
          </w:tcPr>
          <w:p w14:paraId="6525CEC7">
            <w:pPr>
              <w:pStyle w:val="6"/>
              <w:spacing w:before="254" w:line="191" w:lineRule="auto"/>
              <w:ind w:left="242"/>
              <w:rPr>
                <w:sz w:val="21"/>
                <w:szCs w:val="21"/>
              </w:rPr>
            </w:pPr>
            <w:r>
              <w:rPr>
                <w:sz w:val="21"/>
                <w:szCs w:val="21"/>
              </w:rPr>
              <w:t>3</w:t>
            </w:r>
          </w:p>
        </w:tc>
        <w:tc>
          <w:tcPr>
            <w:tcW w:w="1459" w:type="dxa"/>
            <w:vAlign w:val="top"/>
          </w:tcPr>
          <w:p w14:paraId="450474DE">
            <w:pPr>
              <w:pStyle w:val="6"/>
              <w:spacing w:before="207" w:line="223" w:lineRule="auto"/>
              <w:ind w:left="191"/>
              <w:rPr>
                <w:sz w:val="21"/>
                <w:szCs w:val="21"/>
              </w:rPr>
            </w:pPr>
            <w:r>
              <w:rPr>
                <w:spacing w:val="1"/>
                <w:sz w:val="21"/>
                <w:szCs w:val="21"/>
              </w:rPr>
              <w:t>电流互感器</w:t>
            </w:r>
          </w:p>
        </w:tc>
        <w:tc>
          <w:tcPr>
            <w:tcW w:w="779" w:type="dxa"/>
            <w:vAlign w:val="top"/>
          </w:tcPr>
          <w:p w14:paraId="6DF53D2B">
            <w:pPr>
              <w:pStyle w:val="6"/>
              <w:spacing w:before="254" w:line="191" w:lineRule="auto"/>
              <w:ind w:left="272"/>
              <w:rPr>
                <w:sz w:val="21"/>
                <w:szCs w:val="21"/>
              </w:rPr>
            </w:pPr>
            <w:r>
              <w:rPr>
                <w:spacing w:val="-4"/>
                <w:sz w:val="21"/>
                <w:szCs w:val="21"/>
              </w:rPr>
              <w:t>35</w:t>
            </w:r>
          </w:p>
        </w:tc>
        <w:tc>
          <w:tcPr>
            <w:tcW w:w="809" w:type="dxa"/>
            <w:vAlign w:val="top"/>
          </w:tcPr>
          <w:p w14:paraId="250268E4">
            <w:pPr>
              <w:pStyle w:val="6"/>
              <w:spacing w:before="254" w:line="191" w:lineRule="auto"/>
              <w:ind w:left="293"/>
              <w:rPr>
                <w:sz w:val="21"/>
                <w:szCs w:val="21"/>
              </w:rPr>
            </w:pPr>
            <w:r>
              <w:rPr>
                <w:spacing w:val="-4"/>
                <w:sz w:val="21"/>
                <w:szCs w:val="21"/>
              </w:rPr>
              <w:t>35</w:t>
            </w:r>
          </w:p>
        </w:tc>
        <w:tc>
          <w:tcPr>
            <w:tcW w:w="1079" w:type="dxa"/>
            <w:vAlign w:val="top"/>
          </w:tcPr>
          <w:p w14:paraId="30A86DB9">
            <w:pPr>
              <w:pStyle w:val="6"/>
              <w:spacing w:before="203" w:line="219" w:lineRule="auto"/>
              <w:ind w:left="115"/>
              <w:rPr>
                <w:sz w:val="21"/>
                <w:szCs w:val="21"/>
              </w:rPr>
            </w:pPr>
            <w:r>
              <w:rPr>
                <w:spacing w:val="3"/>
                <w:sz w:val="21"/>
                <w:szCs w:val="21"/>
              </w:rPr>
              <w:t>见主接线</w:t>
            </w:r>
          </w:p>
        </w:tc>
        <w:tc>
          <w:tcPr>
            <w:tcW w:w="699" w:type="dxa"/>
            <w:vAlign w:val="top"/>
          </w:tcPr>
          <w:p w14:paraId="5A3D8B47">
            <w:pPr>
              <w:rPr>
                <w:rFonts w:ascii="Arial"/>
                <w:sz w:val="21"/>
              </w:rPr>
            </w:pPr>
          </w:p>
        </w:tc>
        <w:tc>
          <w:tcPr>
            <w:tcW w:w="729" w:type="dxa"/>
            <w:vAlign w:val="top"/>
          </w:tcPr>
          <w:p w14:paraId="065BA972">
            <w:pPr>
              <w:rPr>
                <w:rFonts w:ascii="Arial"/>
                <w:sz w:val="21"/>
              </w:rPr>
            </w:pPr>
          </w:p>
        </w:tc>
        <w:tc>
          <w:tcPr>
            <w:tcW w:w="699" w:type="dxa"/>
            <w:vAlign w:val="top"/>
          </w:tcPr>
          <w:p w14:paraId="6919DCCC">
            <w:pPr>
              <w:rPr>
                <w:rFonts w:ascii="Arial"/>
                <w:sz w:val="21"/>
              </w:rPr>
            </w:pPr>
          </w:p>
        </w:tc>
        <w:tc>
          <w:tcPr>
            <w:tcW w:w="704" w:type="dxa"/>
            <w:vAlign w:val="top"/>
          </w:tcPr>
          <w:p w14:paraId="22E8B976">
            <w:pPr>
              <w:rPr>
                <w:rFonts w:ascii="Arial"/>
                <w:sz w:val="21"/>
              </w:rPr>
            </w:pPr>
          </w:p>
        </w:tc>
      </w:tr>
      <w:tr w14:paraId="40FFC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1393" w:type="dxa"/>
            <w:vMerge w:val="restart"/>
            <w:tcBorders>
              <w:bottom w:val="nil"/>
            </w:tcBorders>
            <w:vAlign w:val="top"/>
          </w:tcPr>
          <w:p w14:paraId="79056E69">
            <w:pPr>
              <w:pStyle w:val="6"/>
              <w:spacing w:before="202" w:line="433" w:lineRule="auto"/>
              <w:ind w:left="583" w:right="53" w:hanging="529"/>
              <w:rPr>
                <w:sz w:val="21"/>
                <w:szCs w:val="21"/>
              </w:rPr>
            </w:pPr>
            <w:r>
              <w:rPr>
                <w:spacing w:val="2"/>
                <w:sz w:val="21"/>
                <w:szCs w:val="21"/>
              </w:rPr>
              <w:t>35</w:t>
            </w:r>
            <w:r>
              <w:rPr>
                <w:sz w:val="21"/>
                <w:szCs w:val="21"/>
              </w:rPr>
              <w:t>kV</w:t>
            </w:r>
            <w:r>
              <w:rPr>
                <w:spacing w:val="2"/>
                <w:sz w:val="21"/>
                <w:szCs w:val="21"/>
              </w:rPr>
              <w:t>储能进线</w:t>
            </w:r>
            <w:r>
              <w:rPr>
                <w:spacing w:val="1"/>
                <w:sz w:val="21"/>
                <w:szCs w:val="21"/>
              </w:rPr>
              <w:t xml:space="preserve"> </w:t>
            </w:r>
            <w:r>
              <w:rPr>
                <w:sz w:val="21"/>
                <w:szCs w:val="21"/>
              </w:rPr>
              <w:t>柜</w:t>
            </w:r>
          </w:p>
        </w:tc>
        <w:tc>
          <w:tcPr>
            <w:tcW w:w="610" w:type="dxa"/>
            <w:vAlign w:val="top"/>
          </w:tcPr>
          <w:p w14:paraId="13FE4EF9">
            <w:pPr>
              <w:pStyle w:val="6"/>
              <w:spacing w:before="222" w:line="216" w:lineRule="auto"/>
              <w:ind w:left="242"/>
              <w:rPr>
                <w:sz w:val="21"/>
                <w:szCs w:val="21"/>
              </w:rPr>
            </w:pPr>
            <w:r>
              <w:rPr>
                <w:sz w:val="21"/>
                <w:szCs w:val="21"/>
              </w:rPr>
              <w:t>1</w:t>
            </w:r>
          </w:p>
        </w:tc>
        <w:tc>
          <w:tcPr>
            <w:tcW w:w="1459" w:type="dxa"/>
            <w:vAlign w:val="top"/>
          </w:tcPr>
          <w:p w14:paraId="0A00DC28">
            <w:pPr>
              <w:pStyle w:val="6"/>
              <w:spacing w:before="201" w:line="219" w:lineRule="auto"/>
              <w:ind w:left="401"/>
              <w:rPr>
                <w:sz w:val="21"/>
                <w:szCs w:val="21"/>
              </w:rPr>
            </w:pPr>
            <w:r>
              <w:rPr>
                <w:spacing w:val="2"/>
                <w:sz w:val="21"/>
                <w:szCs w:val="21"/>
              </w:rPr>
              <w:t>断路器</w:t>
            </w:r>
          </w:p>
        </w:tc>
        <w:tc>
          <w:tcPr>
            <w:tcW w:w="779" w:type="dxa"/>
            <w:vAlign w:val="top"/>
          </w:tcPr>
          <w:p w14:paraId="33F18096">
            <w:pPr>
              <w:pStyle w:val="6"/>
              <w:spacing w:before="242" w:line="198" w:lineRule="auto"/>
              <w:ind w:left="272"/>
              <w:rPr>
                <w:sz w:val="21"/>
                <w:szCs w:val="21"/>
              </w:rPr>
            </w:pPr>
            <w:r>
              <w:rPr>
                <w:spacing w:val="-4"/>
                <w:sz w:val="21"/>
                <w:szCs w:val="21"/>
              </w:rPr>
              <w:t>35</w:t>
            </w:r>
          </w:p>
        </w:tc>
        <w:tc>
          <w:tcPr>
            <w:tcW w:w="809" w:type="dxa"/>
            <w:vAlign w:val="top"/>
          </w:tcPr>
          <w:p w14:paraId="3268E110">
            <w:pPr>
              <w:pStyle w:val="6"/>
              <w:spacing w:before="253" w:line="189" w:lineRule="auto"/>
              <w:ind w:left="183"/>
              <w:rPr>
                <w:sz w:val="21"/>
                <w:szCs w:val="21"/>
              </w:rPr>
            </w:pPr>
            <w:r>
              <w:rPr>
                <w:spacing w:val="-2"/>
                <w:sz w:val="21"/>
                <w:szCs w:val="21"/>
              </w:rPr>
              <w:t>40.5</w:t>
            </w:r>
          </w:p>
        </w:tc>
        <w:tc>
          <w:tcPr>
            <w:tcW w:w="1079" w:type="dxa"/>
            <w:vAlign w:val="top"/>
          </w:tcPr>
          <w:p w14:paraId="65E20999">
            <w:pPr>
              <w:pStyle w:val="6"/>
              <w:spacing w:before="201" w:line="219" w:lineRule="auto"/>
              <w:ind w:left="115"/>
              <w:rPr>
                <w:sz w:val="21"/>
                <w:szCs w:val="21"/>
              </w:rPr>
            </w:pPr>
            <w:r>
              <w:rPr>
                <w:spacing w:val="3"/>
                <w:sz w:val="21"/>
                <w:szCs w:val="21"/>
              </w:rPr>
              <w:t>见主接线</w:t>
            </w:r>
          </w:p>
        </w:tc>
        <w:tc>
          <w:tcPr>
            <w:tcW w:w="699" w:type="dxa"/>
            <w:vAlign w:val="top"/>
          </w:tcPr>
          <w:p w14:paraId="1FC24742">
            <w:pPr>
              <w:pStyle w:val="6"/>
              <w:spacing w:before="253" w:line="189" w:lineRule="auto"/>
              <w:ind w:left="155"/>
              <w:rPr>
                <w:sz w:val="21"/>
                <w:szCs w:val="21"/>
              </w:rPr>
            </w:pPr>
            <w:r>
              <w:rPr>
                <w:spacing w:val="-3"/>
                <w:sz w:val="21"/>
                <w:szCs w:val="21"/>
              </w:rPr>
              <w:t>31.5</w:t>
            </w:r>
          </w:p>
        </w:tc>
        <w:tc>
          <w:tcPr>
            <w:tcW w:w="729" w:type="dxa"/>
            <w:vAlign w:val="top"/>
          </w:tcPr>
          <w:p w14:paraId="28ED6577">
            <w:pPr>
              <w:pStyle w:val="6"/>
              <w:spacing w:before="253" w:line="189" w:lineRule="auto"/>
              <w:ind w:left="236"/>
              <w:rPr>
                <w:sz w:val="21"/>
                <w:szCs w:val="21"/>
              </w:rPr>
            </w:pPr>
            <w:r>
              <w:rPr>
                <w:spacing w:val="-3"/>
                <w:sz w:val="21"/>
                <w:szCs w:val="21"/>
              </w:rPr>
              <w:t>80</w:t>
            </w:r>
          </w:p>
        </w:tc>
        <w:tc>
          <w:tcPr>
            <w:tcW w:w="699" w:type="dxa"/>
            <w:vAlign w:val="top"/>
          </w:tcPr>
          <w:p w14:paraId="77C4716C">
            <w:pPr>
              <w:pStyle w:val="6"/>
              <w:spacing w:before="253" w:line="189" w:lineRule="auto"/>
              <w:ind w:left="237"/>
              <w:rPr>
                <w:sz w:val="21"/>
                <w:szCs w:val="21"/>
              </w:rPr>
            </w:pPr>
            <w:r>
              <w:rPr>
                <w:spacing w:val="-3"/>
                <w:sz w:val="21"/>
                <w:szCs w:val="21"/>
              </w:rPr>
              <w:t>80</w:t>
            </w:r>
          </w:p>
        </w:tc>
        <w:tc>
          <w:tcPr>
            <w:tcW w:w="704" w:type="dxa"/>
            <w:vAlign w:val="top"/>
          </w:tcPr>
          <w:p w14:paraId="081DA2AF">
            <w:pPr>
              <w:pStyle w:val="6"/>
              <w:spacing w:before="253" w:line="189" w:lineRule="auto"/>
              <w:ind w:left="139"/>
              <w:rPr>
                <w:sz w:val="21"/>
                <w:szCs w:val="21"/>
              </w:rPr>
            </w:pPr>
            <w:r>
              <w:rPr>
                <w:spacing w:val="-3"/>
                <w:sz w:val="21"/>
                <w:szCs w:val="21"/>
              </w:rPr>
              <w:t>31.5</w:t>
            </w:r>
          </w:p>
        </w:tc>
      </w:tr>
      <w:tr w14:paraId="0A8D3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393" w:type="dxa"/>
            <w:vMerge w:val="continue"/>
            <w:tcBorders>
              <w:top w:val="nil"/>
              <w:bottom w:val="nil"/>
            </w:tcBorders>
            <w:vAlign w:val="top"/>
          </w:tcPr>
          <w:p w14:paraId="0F88D857">
            <w:pPr>
              <w:rPr>
                <w:rFonts w:ascii="Arial"/>
                <w:sz w:val="21"/>
              </w:rPr>
            </w:pPr>
          </w:p>
        </w:tc>
        <w:tc>
          <w:tcPr>
            <w:tcW w:w="610" w:type="dxa"/>
            <w:vAlign w:val="top"/>
          </w:tcPr>
          <w:p w14:paraId="78FEF642">
            <w:pPr>
              <w:pStyle w:val="6"/>
              <w:spacing w:before="224" w:line="213" w:lineRule="auto"/>
              <w:ind w:left="242"/>
              <w:rPr>
                <w:sz w:val="21"/>
                <w:szCs w:val="21"/>
              </w:rPr>
            </w:pPr>
            <w:r>
              <w:rPr>
                <w:sz w:val="21"/>
                <w:szCs w:val="21"/>
              </w:rPr>
              <w:t>2</w:t>
            </w:r>
          </w:p>
        </w:tc>
        <w:tc>
          <w:tcPr>
            <w:tcW w:w="1459" w:type="dxa"/>
            <w:vAlign w:val="top"/>
          </w:tcPr>
          <w:p w14:paraId="3F45DD01">
            <w:pPr>
              <w:pStyle w:val="6"/>
              <w:spacing w:before="204" w:line="220" w:lineRule="auto"/>
              <w:ind w:left="301"/>
              <w:rPr>
                <w:sz w:val="21"/>
                <w:szCs w:val="21"/>
              </w:rPr>
            </w:pPr>
            <w:r>
              <w:rPr>
                <w:spacing w:val="2"/>
                <w:sz w:val="21"/>
                <w:szCs w:val="21"/>
              </w:rPr>
              <w:t>隔离开关</w:t>
            </w:r>
          </w:p>
        </w:tc>
        <w:tc>
          <w:tcPr>
            <w:tcW w:w="779" w:type="dxa"/>
            <w:vAlign w:val="top"/>
          </w:tcPr>
          <w:p w14:paraId="692AC8A9">
            <w:pPr>
              <w:pStyle w:val="6"/>
              <w:spacing w:before="245" w:line="195" w:lineRule="auto"/>
              <w:ind w:left="272"/>
              <w:rPr>
                <w:sz w:val="21"/>
                <w:szCs w:val="21"/>
              </w:rPr>
            </w:pPr>
            <w:r>
              <w:rPr>
                <w:spacing w:val="-4"/>
                <w:sz w:val="21"/>
                <w:szCs w:val="21"/>
              </w:rPr>
              <w:t>35</w:t>
            </w:r>
          </w:p>
        </w:tc>
        <w:tc>
          <w:tcPr>
            <w:tcW w:w="809" w:type="dxa"/>
            <w:vAlign w:val="top"/>
          </w:tcPr>
          <w:p w14:paraId="05017F83">
            <w:pPr>
              <w:pStyle w:val="6"/>
              <w:spacing w:before="254" w:line="187" w:lineRule="auto"/>
              <w:ind w:left="183"/>
              <w:rPr>
                <w:sz w:val="21"/>
                <w:szCs w:val="21"/>
              </w:rPr>
            </w:pPr>
            <w:r>
              <w:rPr>
                <w:spacing w:val="-2"/>
                <w:sz w:val="21"/>
                <w:szCs w:val="21"/>
              </w:rPr>
              <w:t>40.5</w:t>
            </w:r>
          </w:p>
        </w:tc>
        <w:tc>
          <w:tcPr>
            <w:tcW w:w="1079" w:type="dxa"/>
            <w:vAlign w:val="top"/>
          </w:tcPr>
          <w:p w14:paraId="3D85BCE9">
            <w:pPr>
              <w:pStyle w:val="6"/>
              <w:spacing w:before="203" w:line="219" w:lineRule="auto"/>
              <w:ind w:left="115"/>
              <w:rPr>
                <w:sz w:val="21"/>
                <w:szCs w:val="21"/>
              </w:rPr>
            </w:pPr>
            <w:r>
              <w:rPr>
                <w:spacing w:val="3"/>
                <w:sz w:val="21"/>
                <w:szCs w:val="21"/>
              </w:rPr>
              <w:t>见主接线</w:t>
            </w:r>
          </w:p>
        </w:tc>
        <w:tc>
          <w:tcPr>
            <w:tcW w:w="699" w:type="dxa"/>
            <w:vAlign w:val="top"/>
          </w:tcPr>
          <w:p w14:paraId="437CB3C6">
            <w:pPr>
              <w:rPr>
                <w:rFonts w:ascii="Arial"/>
                <w:sz w:val="21"/>
              </w:rPr>
            </w:pPr>
          </w:p>
        </w:tc>
        <w:tc>
          <w:tcPr>
            <w:tcW w:w="729" w:type="dxa"/>
            <w:vAlign w:val="top"/>
          </w:tcPr>
          <w:p w14:paraId="49AD6D67">
            <w:pPr>
              <w:rPr>
                <w:rFonts w:ascii="Arial"/>
                <w:sz w:val="21"/>
              </w:rPr>
            </w:pPr>
          </w:p>
        </w:tc>
        <w:tc>
          <w:tcPr>
            <w:tcW w:w="699" w:type="dxa"/>
            <w:vAlign w:val="top"/>
          </w:tcPr>
          <w:p w14:paraId="62EE1969">
            <w:pPr>
              <w:pStyle w:val="6"/>
              <w:spacing w:before="254" w:line="187" w:lineRule="auto"/>
              <w:ind w:left="237"/>
              <w:rPr>
                <w:sz w:val="21"/>
                <w:szCs w:val="21"/>
              </w:rPr>
            </w:pPr>
            <w:r>
              <w:rPr>
                <w:spacing w:val="-3"/>
                <w:sz w:val="21"/>
                <w:szCs w:val="21"/>
              </w:rPr>
              <w:t>80</w:t>
            </w:r>
          </w:p>
        </w:tc>
        <w:tc>
          <w:tcPr>
            <w:tcW w:w="704" w:type="dxa"/>
            <w:vAlign w:val="top"/>
          </w:tcPr>
          <w:p w14:paraId="5D0BD433">
            <w:pPr>
              <w:pStyle w:val="6"/>
              <w:spacing w:before="254" w:line="187" w:lineRule="auto"/>
              <w:ind w:left="139"/>
              <w:rPr>
                <w:sz w:val="21"/>
                <w:szCs w:val="21"/>
              </w:rPr>
            </w:pPr>
            <w:r>
              <w:rPr>
                <w:spacing w:val="-3"/>
                <w:sz w:val="21"/>
                <w:szCs w:val="21"/>
              </w:rPr>
              <w:t>31.5</w:t>
            </w:r>
          </w:p>
        </w:tc>
      </w:tr>
      <w:tr w14:paraId="65927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1393" w:type="dxa"/>
            <w:vMerge w:val="continue"/>
            <w:tcBorders>
              <w:top w:val="nil"/>
            </w:tcBorders>
            <w:vAlign w:val="top"/>
          </w:tcPr>
          <w:p w14:paraId="4E6417D0">
            <w:pPr>
              <w:rPr>
                <w:rFonts w:ascii="Arial"/>
                <w:sz w:val="21"/>
              </w:rPr>
            </w:pPr>
          </w:p>
        </w:tc>
        <w:tc>
          <w:tcPr>
            <w:tcW w:w="610" w:type="dxa"/>
            <w:vAlign w:val="top"/>
          </w:tcPr>
          <w:p w14:paraId="15B339C8">
            <w:pPr>
              <w:pStyle w:val="6"/>
              <w:spacing w:before="237" w:line="207" w:lineRule="auto"/>
              <w:ind w:left="242"/>
              <w:rPr>
                <w:sz w:val="21"/>
                <w:szCs w:val="21"/>
              </w:rPr>
            </w:pPr>
            <w:r>
              <w:rPr>
                <w:sz w:val="21"/>
                <w:szCs w:val="21"/>
              </w:rPr>
              <w:t>3</w:t>
            </w:r>
          </w:p>
        </w:tc>
        <w:tc>
          <w:tcPr>
            <w:tcW w:w="1459" w:type="dxa"/>
            <w:vAlign w:val="top"/>
          </w:tcPr>
          <w:p w14:paraId="176570DF">
            <w:pPr>
              <w:pStyle w:val="6"/>
              <w:spacing w:before="220" w:line="222" w:lineRule="auto"/>
              <w:ind w:left="191"/>
              <w:rPr>
                <w:sz w:val="21"/>
                <w:szCs w:val="21"/>
              </w:rPr>
            </w:pPr>
            <w:r>
              <w:rPr>
                <w:spacing w:val="1"/>
                <w:sz w:val="21"/>
                <w:szCs w:val="21"/>
              </w:rPr>
              <w:t>电流互感器</w:t>
            </w:r>
          </w:p>
        </w:tc>
        <w:tc>
          <w:tcPr>
            <w:tcW w:w="779" w:type="dxa"/>
            <w:vAlign w:val="top"/>
          </w:tcPr>
          <w:p w14:paraId="70126D10">
            <w:pPr>
              <w:pStyle w:val="6"/>
              <w:spacing w:before="258" w:line="189" w:lineRule="auto"/>
              <w:ind w:left="272"/>
              <w:rPr>
                <w:sz w:val="21"/>
                <w:szCs w:val="21"/>
              </w:rPr>
            </w:pPr>
            <w:r>
              <w:rPr>
                <w:spacing w:val="-4"/>
                <w:sz w:val="21"/>
                <w:szCs w:val="21"/>
              </w:rPr>
              <w:t>35</w:t>
            </w:r>
          </w:p>
        </w:tc>
        <w:tc>
          <w:tcPr>
            <w:tcW w:w="809" w:type="dxa"/>
            <w:vAlign w:val="top"/>
          </w:tcPr>
          <w:p w14:paraId="27049F41">
            <w:pPr>
              <w:pStyle w:val="6"/>
              <w:spacing w:before="258" w:line="189" w:lineRule="auto"/>
              <w:ind w:left="293"/>
              <w:rPr>
                <w:sz w:val="21"/>
                <w:szCs w:val="21"/>
              </w:rPr>
            </w:pPr>
            <w:r>
              <w:rPr>
                <w:spacing w:val="-4"/>
                <w:sz w:val="21"/>
                <w:szCs w:val="21"/>
              </w:rPr>
              <w:t>35</w:t>
            </w:r>
          </w:p>
        </w:tc>
        <w:tc>
          <w:tcPr>
            <w:tcW w:w="1079" w:type="dxa"/>
            <w:vAlign w:val="top"/>
          </w:tcPr>
          <w:p w14:paraId="008F4B93">
            <w:pPr>
              <w:pStyle w:val="6"/>
              <w:spacing w:before="216" w:line="219" w:lineRule="auto"/>
              <w:ind w:left="115"/>
              <w:rPr>
                <w:sz w:val="21"/>
                <w:szCs w:val="21"/>
              </w:rPr>
            </w:pPr>
            <w:r>
              <w:rPr>
                <w:spacing w:val="3"/>
                <w:sz w:val="21"/>
                <w:szCs w:val="21"/>
              </w:rPr>
              <w:t>见主接线</w:t>
            </w:r>
          </w:p>
        </w:tc>
        <w:tc>
          <w:tcPr>
            <w:tcW w:w="699" w:type="dxa"/>
            <w:vAlign w:val="top"/>
          </w:tcPr>
          <w:p w14:paraId="58404884">
            <w:pPr>
              <w:rPr>
                <w:rFonts w:ascii="Arial"/>
                <w:sz w:val="21"/>
              </w:rPr>
            </w:pPr>
          </w:p>
        </w:tc>
        <w:tc>
          <w:tcPr>
            <w:tcW w:w="729" w:type="dxa"/>
            <w:vAlign w:val="top"/>
          </w:tcPr>
          <w:p w14:paraId="426915C6">
            <w:pPr>
              <w:rPr>
                <w:rFonts w:ascii="Arial"/>
                <w:sz w:val="21"/>
              </w:rPr>
            </w:pPr>
          </w:p>
        </w:tc>
        <w:tc>
          <w:tcPr>
            <w:tcW w:w="699" w:type="dxa"/>
            <w:vAlign w:val="top"/>
          </w:tcPr>
          <w:p w14:paraId="0FDF8CF1">
            <w:pPr>
              <w:rPr>
                <w:rFonts w:ascii="Arial"/>
                <w:sz w:val="21"/>
              </w:rPr>
            </w:pPr>
          </w:p>
        </w:tc>
        <w:tc>
          <w:tcPr>
            <w:tcW w:w="704" w:type="dxa"/>
            <w:vAlign w:val="top"/>
          </w:tcPr>
          <w:p w14:paraId="178B0278">
            <w:pPr>
              <w:rPr>
                <w:rFonts w:ascii="Arial"/>
                <w:sz w:val="21"/>
              </w:rPr>
            </w:pPr>
          </w:p>
        </w:tc>
      </w:tr>
    </w:tbl>
    <w:p w14:paraId="7E819775">
      <w:pPr>
        <w:spacing w:before="185" w:line="220" w:lineRule="auto"/>
        <w:ind w:left="1110"/>
        <w:rPr>
          <w:rFonts w:ascii="宋体" w:hAnsi="宋体" w:eastAsia="宋体" w:cs="宋体"/>
          <w:sz w:val="24"/>
          <w:szCs w:val="24"/>
        </w:rPr>
      </w:pPr>
      <w:r>
        <w:rPr>
          <w:rFonts w:ascii="宋体" w:hAnsi="宋体" w:eastAsia="宋体" w:cs="宋体"/>
          <w:spacing w:val="8"/>
          <w:sz w:val="24"/>
          <w:szCs w:val="24"/>
        </w:rPr>
        <w:t>(4)动态无功补偿装置选择</w:t>
      </w:r>
    </w:p>
    <w:p w14:paraId="4E1F2BDC">
      <w:pPr>
        <w:spacing w:before="182" w:line="368" w:lineRule="auto"/>
        <w:ind w:left="489" w:right="510" w:firstLine="490"/>
        <w:rPr>
          <w:rFonts w:ascii="宋体" w:hAnsi="宋体" w:eastAsia="宋体" w:cs="宋体"/>
          <w:sz w:val="24"/>
          <w:szCs w:val="24"/>
        </w:rPr>
      </w:pPr>
      <w:r>
        <w:rPr>
          <w:rFonts w:ascii="宋体" w:hAnsi="宋体" w:eastAsia="宋体" w:cs="宋体"/>
          <w:spacing w:val="-3"/>
          <w:sz w:val="24"/>
          <w:szCs w:val="24"/>
        </w:rPr>
        <w:t>根据《光伏发电站接入电力系统技术规定》中关于光伏电站无功补偿配置和</w:t>
      </w:r>
      <w:r>
        <w:rPr>
          <w:rFonts w:ascii="宋体" w:hAnsi="宋体" w:eastAsia="宋体" w:cs="宋体"/>
          <w:spacing w:val="7"/>
          <w:sz w:val="24"/>
          <w:szCs w:val="24"/>
        </w:rPr>
        <w:t xml:space="preserve"> </w:t>
      </w:r>
      <w:r>
        <w:rPr>
          <w:rFonts w:ascii="宋体" w:hAnsi="宋体" w:eastAsia="宋体" w:cs="宋体"/>
          <w:spacing w:val="-3"/>
          <w:sz w:val="24"/>
          <w:szCs w:val="24"/>
        </w:rPr>
        <w:t>电压调节的相关规定，为让本并网光伏电站工程并网运行时基本不与电网交换无</w:t>
      </w:r>
      <w:r>
        <w:rPr>
          <w:rFonts w:ascii="宋体" w:hAnsi="宋体" w:eastAsia="宋体" w:cs="宋体"/>
          <w:spacing w:val="14"/>
          <w:sz w:val="24"/>
          <w:szCs w:val="24"/>
        </w:rPr>
        <w:t xml:space="preserve"> </w:t>
      </w:r>
      <w:r>
        <w:rPr>
          <w:rFonts w:ascii="宋体" w:hAnsi="宋体" w:eastAsia="宋体" w:cs="宋体"/>
          <w:spacing w:val="-2"/>
          <w:sz w:val="24"/>
          <w:szCs w:val="24"/>
        </w:rPr>
        <w:t>功，并考虑充分的裕度，在升压站安装1套±12500</w:t>
      </w:r>
      <w:r>
        <w:rPr>
          <w:rFonts w:ascii="Times New Roman" w:hAnsi="Times New Roman" w:eastAsia="Times New Roman" w:cs="Times New Roman"/>
          <w:spacing w:val="-2"/>
          <w:sz w:val="24"/>
          <w:szCs w:val="24"/>
        </w:rPr>
        <w:t>kvar</w:t>
      </w:r>
      <w:r>
        <w:rPr>
          <w:rFonts w:ascii="Times New Roman" w:hAnsi="Times New Roman" w:eastAsia="Times New Roman" w:cs="Times New Roman"/>
          <w:spacing w:val="-17"/>
          <w:sz w:val="24"/>
          <w:szCs w:val="24"/>
        </w:rPr>
        <w:t xml:space="preserve"> </w:t>
      </w:r>
      <w:r>
        <w:rPr>
          <w:rFonts w:ascii="宋体" w:hAnsi="宋体" w:eastAsia="宋体" w:cs="宋体"/>
          <w:spacing w:val="-2"/>
          <w:sz w:val="24"/>
          <w:szCs w:val="24"/>
        </w:rPr>
        <w:t>动态无功补偿装置进行就</w:t>
      </w:r>
      <w:r>
        <w:rPr>
          <w:rFonts w:ascii="宋体" w:hAnsi="宋体" w:eastAsia="宋体" w:cs="宋体"/>
          <w:sz w:val="24"/>
          <w:szCs w:val="24"/>
        </w:rPr>
        <w:t xml:space="preserve"> </w:t>
      </w:r>
      <w:r>
        <w:rPr>
          <w:rFonts w:ascii="宋体" w:hAnsi="宋体" w:eastAsia="宋体" w:cs="宋体"/>
          <w:spacing w:val="-3"/>
          <w:sz w:val="24"/>
          <w:szCs w:val="24"/>
        </w:rPr>
        <w:t>地补偿，无功补偿采用户外无功补偿装置，冷却方式为水冷，容量暂按考虑，最</w:t>
      </w:r>
      <w:r>
        <w:rPr>
          <w:rFonts w:ascii="宋体" w:hAnsi="宋体" w:eastAsia="宋体" w:cs="宋体"/>
          <w:spacing w:val="16"/>
          <w:sz w:val="24"/>
          <w:szCs w:val="24"/>
        </w:rPr>
        <w:t xml:space="preserve"> </w:t>
      </w:r>
      <w:r>
        <w:rPr>
          <w:rFonts w:ascii="宋体" w:hAnsi="宋体" w:eastAsia="宋体" w:cs="宋体"/>
          <w:spacing w:val="-1"/>
          <w:sz w:val="24"/>
          <w:szCs w:val="24"/>
        </w:rPr>
        <w:t>终根据光伏电站接入系统批复及电能质量专题报告确定。</w:t>
      </w:r>
    </w:p>
    <w:p w14:paraId="56E85C6A">
      <w:pPr>
        <w:spacing w:before="1" w:line="220" w:lineRule="auto"/>
        <w:ind w:left="1110"/>
        <w:rPr>
          <w:rFonts w:ascii="宋体" w:hAnsi="宋体" w:eastAsia="宋体" w:cs="宋体"/>
          <w:sz w:val="24"/>
          <w:szCs w:val="24"/>
        </w:rPr>
      </w:pPr>
      <w:r>
        <w:rPr>
          <w:rFonts w:ascii="宋体" w:hAnsi="宋体" w:eastAsia="宋体" w:cs="宋体"/>
          <w:spacing w:val="13"/>
          <w:sz w:val="24"/>
          <w:szCs w:val="24"/>
        </w:rPr>
        <w:t>(5)站用电系统</w:t>
      </w:r>
    </w:p>
    <w:p w14:paraId="23803B91">
      <w:pPr>
        <w:spacing w:before="209" w:line="219" w:lineRule="auto"/>
        <w:ind w:left="980"/>
        <w:rPr>
          <w:rFonts w:ascii="宋体" w:hAnsi="宋体" w:eastAsia="宋体" w:cs="宋体"/>
          <w:sz w:val="24"/>
          <w:szCs w:val="24"/>
        </w:rPr>
      </w:pPr>
      <w:r>
        <w:rPr>
          <w:rFonts w:ascii="宋体" w:hAnsi="宋体" w:eastAsia="宋体" w:cs="宋体"/>
          <w:spacing w:val="2"/>
          <w:sz w:val="24"/>
          <w:szCs w:val="24"/>
        </w:rPr>
        <w:t>本工程选用站用变容量为400</w:t>
      </w:r>
      <w:r>
        <w:rPr>
          <w:rFonts w:ascii="Times New Roman" w:hAnsi="Times New Roman" w:eastAsia="Times New Roman" w:cs="Times New Roman"/>
          <w:sz w:val="24"/>
          <w:szCs w:val="24"/>
        </w:rPr>
        <w:t>kVA</w:t>
      </w:r>
      <w:r>
        <w:rPr>
          <w:rFonts w:ascii="宋体" w:hAnsi="宋体" w:eastAsia="宋体" w:cs="宋体"/>
          <w:spacing w:val="2"/>
          <w:sz w:val="24"/>
          <w:szCs w:val="24"/>
        </w:rPr>
        <w:t>。</w:t>
      </w:r>
    </w:p>
    <w:p w14:paraId="3B7E8D35">
      <w:pPr>
        <w:spacing w:before="197" w:line="369" w:lineRule="auto"/>
        <w:ind w:left="489" w:right="517" w:firstLine="490"/>
        <w:rPr>
          <w:rFonts w:ascii="宋体" w:hAnsi="宋体" w:eastAsia="宋体" w:cs="宋体"/>
          <w:sz w:val="24"/>
          <w:szCs w:val="24"/>
        </w:rPr>
      </w:pPr>
      <w:r>
        <w:rPr>
          <w:rFonts w:ascii="宋体" w:hAnsi="宋体" w:eastAsia="宋体" w:cs="宋体"/>
          <w:spacing w:val="3"/>
          <w:sz w:val="24"/>
          <w:szCs w:val="24"/>
        </w:rPr>
        <w:t>站用电主供电源引自升压站35</w:t>
      </w:r>
      <w:r>
        <w:rPr>
          <w:rFonts w:ascii="Times New Roman" w:hAnsi="Times New Roman" w:eastAsia="Times New Roman" w:cs="Times New Roman"/>
          <w:sz w:val="24"/>
          <w:szCs w:val="24"/>
        </w:rPr>
        <w:t>kV</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配电装置母线，备用电源引自附近10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rFonts w:ascii="宋体" w:hAnsi="宋体" w:eastAsia="宋体" w:cs="宋体"/>
          <w:spacing w:val="-7"/>
          <w:sz w:val="24"/>
          <w:szCs w:val="24"/>
        </w:rPr>
        <w:t>电网。外引电源站用变型号选取</w:t>
      </w:r>
      <w:r>
        <w:rPr>
          <w:rFonts w:ascii="宋体" w:hAnsi="宋体" w:eastAsia="宋体" w:cs="宋体"/>
          <w:spacing w:val="-58"/>
          <w:sz w:val="24"/>
          <w:szCs w:val="24"/>
        </w:rPr>
        <w:t xml:space="preserve"> </w:t>
      </w:r>
      <w:r>
        <w:rPr>
          <w:rFonts w:ascii="Times New Roman" w:hAnsi="Times New Roman" w:eastAsia="Times New Roman" w:cs="Times New Roman"/>
          <w:spacing w:val="-7"/>
          <w:sz w:val="24"/>
          <w:szCs w:val="24"/>
        </w:rPr>
        <w:t xml:space="preserve">S13-400/10,    </w:t>
      </w:r>
      <w:r>
        <w:rPr>
          <w:rFonts w:ascii="宋体" w:hAnsi="宋体" w:eastAsia="宋体" w:cs="宋体"/>
          <w:spacing w:val="-7"/>
          <w:sz w:val="24"/>
          <w:szCs w:val="24"/>
        </w:rPr>
        <w:t>电压比为10±2×2.5%/0.4</w:t>
      </w:r>
      <w:r>
        <w:rPr>
          <w:rFonts w:ascii="Times New Roman" w:hAnsi="Times New Roman" w:eastAsia="Times New Roman" w:cs="Times New Roman"/>
          <w:spacing w:val="-7"/>
          <w:sz w:val="24"/>
          <w:szCs w:val="24"/>
        </w:rPr>
        <w:t>kV</w:t>
      </w:r>
      <w:r>
        <w:rPr>
          <w:rFonts w:ascii="Times New Roman" w:hAnsi="Times New Roman" w:eastAsia="Times New Roman" w:cs="Times New Roman"/>
          <w:spacing w:val="-28"/>
          <w:sz w:val="24"/>
          <w:szCs w:val="24"/>
        </w:rPr>
        <w:t xml:space="preserve"> </w:t>
      </w:r>
      <w:r>
        <w:rPr>
          <w:rFonts w:ascii="宋体" w:hAnsi="宋体" w:eastAsia="宋体" w:cs="宋体"/>
          <w:spacing w:val="-7"/>
          <w:sz w:val="24"/>
          <w:szCs w:val="24"/>
        </w:rPr>
        <w:t>。电能</w:t>
      </w:r>
      <w:r>
        <w:rPr>
          <w:rFonts w:ascii="宋体" w:hAnsi="宋体" w:eastAsia="宋体" w:cs="宋体"/>
          <w:sz w:val="24"/>
          <w:szCs w:val="24"/>
        </w:rPr>
        <w:t xml:space="preserve"> </w:t>
      </w:r>
      <w:r>
        <w:rPr>
          <w:rFonts w:ascii="宋体" w:hAnsi="宋体" w:eastAsia="宋体" w:cs="宋体"/>
          <w:spacing w:val="5"/>
          <w:sz w:val="24"/>
          <w:szCs w:val="24"/>
        </w:rPr>
        <w:t>质量应能够满足规程规范要求。升压站配置7面</w:t>
      </w:r>
      <w:r>
        <w:rPr>
          <w:rFonts w:ascii="Times New Roman" w:hAnsi="Times New Roman" w:eastAsia="Times New Roman" w:cs="Times New Roman"/>
          <w:sz w:val="24"/>
          <w:szCs w:val="24"/>
        </w:rPr>
        <w:t>MNS</w:t>
      </w:r>
      <w:r>
        <w:rPr>
          <w:rFonts w:ascii="Times New Roman" w:hAnsi="Times New Roman" w:eastAsia="Times New Roman" w:cs="Times New Roman"/>
          <w:spacing w:val="5"/>
          <w:sz w:val="24"/>
          <w:szCs w:val="24"/>
        </w:rPr>
        <w:t xml:space="preserve"> </w:t>
      </w:r>
      <w:r>
        <w:rPr>
          <w:rFonts w:ascii="宋体" w:hAnsi="宋体" w:eastAsia="宋体" w:cs="宋体"/>
          <w:spacing w:val="5"/>
          <w:sz w:val="24"/>
          <w:szCs w:val="24"/>
        </w:rPr>
        <w:t>型低压抽出式配电屏作为</w:t>
      </w:r>
      <w:r>
        <w:rPr>
          <w:rFonts w:ascii="宋体" w:hAnsi="宋体" w:eastAsia="宋体" w:cs="宋体"/>
          <w:spacing w:val="6"/>
          <w:sz w:val="24"/>
          <w:szCs w:val="24"/>
        </w:rPr>
        <w:t xml:space="preserve"> </w:t>
      </w:r>
      <w:r>
        <w:rPr>
          <w:rFonts w:ascii="宋体" w:hAnsi="宋体" w:eastAsia="宋体" w:cs="宋体"/>
          <w:spacing w:val="-5"/>
          <w:sz w:val="24"/>
          <w:szCs w:val="24"/>
        </w:rPr>
        <w:t>全站的交流电源屏。</w:t>
      </w:r>
    </w:p>
    <w:p w14:paraId="1B0421AB">
      <w:pPr>
        <w:spacing w:before="2" w:line="338" w:lineRule="auto"/>
        <w:ind w:left="489" w:right="519" w:firstLine="490"/>
        <w:rPr>
          <w:rFonts w:ascii="宋体" w:hAnsi="宋体" w:eastAsia="宋体" w:cs="宋体"/>
          <w:sz w:val="24"/>
          <w:szCs w:val="24"/>
        </w:rPr>
      </w:pPr>
      <w:r>
        <w:rPr>
          <w:rFonts w:ascii="宋体" w:hAnsi="宋体" w:eastAsia="宋体" w:cs="宋体"/>
          <w:spacing w:val="1"/>
          <w:sz w:val="24"/>
          <w:szCs w:val="24"/>
        </w:rPr>
        <w:t>本工程在每台箱变出口均配置1台低压变压</w:t>
      </w:r>
      <w:r>
        <w:rPr>
          <w:rFonts w:ascii="宋体" w:hAnsi="宋体" w:eastAsia="宋体" w:cs="宋体"/>
          <w:sz w:val="24"/>
          <w:szCs w:val="24"/>
        </w:rPr>
        <w:t xml:space="preserve">器就地供电，满足就地照明、检 </w:t>
      </w:r>
      <w:r>
        <w:rPr>
          <w:rFonts w:ascii="宋体" w:hAnsi="宋体" w:eastAsia="宋体" w:cs="宋体"/>
          <w:spacing w:val="-4"/>
          <w:sz w:val="24"/>
          <w:szCs w:val="24"/>
        </w:rPr>
        <w:t>修等用电。</w:t>
      </w:r>
    </w:p>
    <w:p w14:paraId="4101BA3A">
      <w:pPr>
        <w:spacing w:before="1" w:line="218" w:lineRule="auto"/>
        <w:ind w:left="1879"/>
        <w:rPr>
          <w:rFonts w:ascii="宋体" w:hAnsi="宋体" w:eastAsia="宋体" w:cs="宋体"/>
          <w:sz w:val="26"/>
          <w:szCs w:val="26"/>
        </w:rPr>
      </w:pPr>
      <w:r>
        <w:rPr>
          <w:rFonts w:ascii="宋体" w:hAnsi="宋体" w:eastAsia="宋体" w:cs="宋体"/>
          <w:spacing w:val="-5"/>
          <w:position w:val="1"/>
          <w:sz w:val="24"/>
          <w:szCs w:val="24"/>
        </w:rPr>
        <w:t xml:space="preserve">表2-3      </w:t>
      </w:r>
      <w:r>
        <w:rPr>
          <w:rFonts w:ascii="宋体" w:hAnsi="宋体" w:eastAsia="宋体" w:cs="宋体"/>
          <w:spacing w:val="-5"/>
          <w:sz w:val="26"/>
          <w:szCs w:val="26"/>
        </w:rPr>
        <w:t>项目拟建110</w:t>
      </w:r>
      <w:r>
        <w:rPr>
          <w:rFonts w:ascii="Times New Roman" w:hAnsi="Times New Roman" w:eastAsia="Times New Roman" w:cs="Times New Roman"/>
          <w:spacing w:val="-5"/>
          <w:sz w:val="26"/>
          <w:szCs w:val="26"/>
        </w:rPr>
        <w:t>KV</w:t>
      </w:r>
      <w:r>
        <w:rPr>
          <w:rFonts w:ascii="宋体" w:hAnsi="宋体" w:eastAsia="宋体" w:cs="宋体"/>
          <w:spacing w:val="-5"/>
          <w:sz w:val="26"/>
          <w:szCs w:val="26"/>
        </w:rPr>
        <w:t>升压站建</w:t>
      </w:r>
      <w:r>
        <w:rPr>
          <w:rFonts w:ascii="宋体" w:hAnsi="宋体" w:eastAsia="宋体" w:cs="宋体"/>
          <w:spacing w:val="-6"/>
          <w:sz w:val="26"/>
          <w:szCs w:val="26"/>
        </w:rPr>
        <w:t>设规模一览表</w:t>
      </w:r>
    </w:p>
    <w:p w14:paraId="57FDFFA8">
      <w:pPr>
        <w:spacing w:line="67" w:lineRule="exact"/>
      </w:pPr>
    </w:p>
    <w:tbl>
      <w:tblPr>
        <w:tblStyle w:val="5"/>
        <w:tblW w:w="93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0"/>
        <w:gridCol w:w="430"/>
        <w:gridCol w:w="1000"/>
        <w:gridCol w:w="1360"/>
        <w:gridCol w:w="4630"/>
        <w:gridCol w:w="1100"/>
      </w:tblGrid>
      <w:tr w14:paraId="1E375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1230" w:type="dxa"/>
            <w:gridSpan w:val="2"/>
            <w:vMerge w:val="restart"/>
            <w:tcBorders>
              <w:left w:val="nil"/>
              <w:bottom w:val="nil"/>
            </w:tcBorders>
            <w:vAlign w:val="top"/>
          </w:tcPr>
          <w:p w14:paraId="16587BE0">
            <w:pPr>
              <w:pStyle w:val="6"/>
              <w:spacing w:before="181" w:line="220" w:lineRule="auto"/>
              <w:ind w:left="383"/>
              <w:rPr>
                <w:sz w:val="21"/>
                <w:szCs w:val="21"/>
              </w:rPr>
            </w:pPr>
            <w:r>
              <w:rPr>
                <w:b/>
                <w:bCs/>
                <w:spacing w:val="-5"/>
                <w:sz w:val="21"/>
                <w:szCs w:val="21"/>
              </w:rPr>
              <w:t>工程</w:t>
            </w:r>
          </w:p>
        </w:tc>
        <w:tc>
          <w:tcPr>
            <w:tcW w:w="2360" w:type="dxa"/>
            <w:gridSpan w:val="2"/>
            <w:vMerge w:val="restart"/>
            <w:tcBorders>
              <w:bottom w:val="nil"/>
            </w:tcBorders>
            <w:vAlign w:val="top"/>
          </w:tcPr>
          <w:p w14:paraId="1FA9DDD2">
            <w:pPr>
              <w:pStyle w:val="6"/>
              <w:spacing w:before="183" w:line="221" w:lineRule="auto"/>
              <w:ind w:left="948"/>
              <w:rPr>
                <w:sz w:val="21"/>
                <w:szCs w:val="21"/>
              </w:rPr>
            </w:pPr>
            <w:r>
              <w:rPr>
                <w:b/>
                <w:bCs/>
                <w:spacing w:val="-5"/>
                <w:sz w:val="21"/>
                <w:szCs w:val="21"/>
              </w:rPr>
              <w:t>名称</w:t>
            </w:r>
          </w:p>
        </w:tc>
        <w:tc>
          <w:tcPr>
            <w:tcW w:w="4630" w:type="dxa"/>
            <w:vAlign w:val="top"/>
          </w:tcPr>
          <w:p w14:paraId="142C16B7">
            <w:pPr>
              <w:pStyle w:val="6"/>
              <w:spacing w:before="40" w:line="205" w:lineRule="auto"/>
              <w:ind w:left="1888"/>
              <w:rPr>
                <w:sz w:val="21"/>
                <w:szCs w:val="21"/>
              </w:rPr>
            </w:pPr>
            <w:r>
              <w:rPr>
                <w:b/>
                <w:bCs/>
                <w:spacing w:val="-5"/>
                <w:sz w:val="21"/>
                <w:szCs w:val="21"/>
              </w:rPr>
              <w:t>建设规模</w:t>
            </w:r>
          </w:p>
        </w:tc>
        <w:tc>
          <w:tcPr>
            <w:tcW w:w="1100" w:type="dxa"/>
            <w:vMerge w:val="restart"/>
            <w:tcBorders>
              <w:bottom w:val="nil"/>
              <w:right w:val="nil"/>
            </w:tcBorders>
            <w:vAlign w:val="top"/>
          </w:tcPr>
          <w:p w14:paraId="2F1D8767">
            <w:pPr>
              <w:pStyle w:val="6"/>
              <w:spacing w:before="181" w:line="221" w:lineRule="auto"/>
              <w:ind w:left="338"/>
              <w:rPr>
                <w:sz w:val="21"/>
                <w:szCs w:val="21"/>
              </w:rPr>
            </w:pPr>
            <w:r>
              <w:rPr>
                <w:b/>
                <w:bCs/>
                <w:spacing w:val="-5"/>
                <w:sz w:val="21"/>
                <w:szCs w:val="21"/>
              </w:rPr>
              <w:t>备注</w:t>
            </w:r>
          </w:p>
        </w:tc>
      </w:tr>
      <w:tr w14:paraId="41DF7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230" w:type="dxa"/>
            <w:gridSpan w:val="2"/>
            <w:vMerge w:val="continue"/>
            <w:tcBorders>
              <w:top w:val="nil"/>
              <w:left w:val="nil"/>
            </w:tcBorders>
            <w:vAlign w:val="top"/>
          </w:tcPr>
          <w:p w14:paraId="733F05AF">
            <w:pPr>
              <w:rPr>
                <w:rFonts w:ascii="Arial"/>
                <w:sz w:val="21"/>
              </w:rPr>
            </w:pPr>
          </w:p>
        </w:tc>
        <w:tc>
          <w:tcPr>
            <w:tcW w:w="2360" w:type="dxa"/>
            <w:gridSpan w:val="2"/>
            <w:vMerge w:val="continue"/>
            <w:tcBorders>
              <w:top w:val="nil"/>
            </w:tcBorders>
            <w:vAlign w:val="top"/>
          </w:tcPr>
          <w:p w14:paraId="4A284147">
            <w:pPr>
              <w:rPr>
                <w:rFonts w:ascii="Arial"/>
                <w:sz w:val="21"/>
              </w:rPr>
            </w:pPr>
          </w:p>
        </w:tc>
        <w:tc>
          <w:tcPr>
            <w:tcW w:w="4630" w:type="dxa"/>
            <w:vAlign w:val="top"/>
          </w:tcPr>
          <w:p w14:paraId="5E943166">
            <w:pPr>
              <w:pStyle w:val="6"/>
              <w:spacing w:before="25" w:line="205" w:lineRule="auto"/>
              <w:ind w:left="1888"/>
              <w:rPr>
                <w:sz w:val="21"/>
                <w:szCs w:val="21"/>
              </w:rPr>
            </w:pPr>
            <w:r>
              <w:rPr>
                <w:b/>
                <w:bCs/>
                <w:spacing w:val="-4"/>
                <w:sz w:val="21"/>
                <w:szCs w:val="21"/>
              </w:rPr>
              <w:t>本期工程</w:t>
            </w:r>
          </w:p>
        </w:tc>
        <w:tc>
          <w:tcPr>
            <w:tcW w:w="1100" w:type="dxa"/>
            <w:vMerge w:val="continue"/>
            <w:tcBorders>
              <w:top w:val="nil"/>
              <w:right w:val="nil"/>
            </w:tcBorders>
            <w:vAlign w:val="top"/>
          </w:tcPr>
          <w:p w14:paraId="33D85777">
            <w:pPr>
              <w:rPr>
                <w:rFonts w:ascii="Arial"/>
                <w:sz w:val="21"/>
              </w:rPr>
            </w:pPr>
          </w:p>
        </w:tc>
      </w:tr>
      <w:tr w14:paraId="246C2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800" w:type="dxa"/>
            <w:vMerge w:val="restart"/>
            <w:tcBorders>
              <w:left w:val="nil"/>
              <w:bottom w:val="nil"/>
            </w:tcBorders>
            <w:vAlign w:val="top"/>
          </w:tcPr>
          <w:p w14:paraId="19B779A7">
            <w:pPr>
              <w:spacing w:line="246" w:lineRule="auto"/>
              <w:rPr>
                <w:rFonts w:ascii="Arial"/>
                <w:sz w:val="21"/>
              </w:rPr>
            </w:pPr>
          </w:p>
          <w:p w14:paraId="18552877">
            <w:pPr>
              <w:spacing w:line="247" w:lineRule="auto"/>
              <w:rPr>
                <w:rFonts w:ascii="Arial"/>
                <w:sz w:val="21"/>
              </w:rPr>
            </w:pPr>
          </w:p>
          <w:p w14:paraId="76D821EB">
            <w:pPr>
              <w:spacing w:line="247" w:lineRule="auto"/>
              <w:rPr>
                <w:rFonts w:ascii="Arial"/>
                <w:sz w:val="21"/>
              </w:rPr>
            </w:pPr>
          </w:p>
          <w:p w14:paraId="78B560D2">
            <w:pPr>
              <w:spacing w:line="247" w:lineRule="auto"/>
              <w:rPr>
                <w:rFonts w:ascii="Arial"/>
                <w:sz w:val="21"/>
              </w:rPr>
            </w:pPr>
          </w:p>
          <w:p w14:paraId="021792D0">
            <w:pPr>
              <w:spacing w:line="247" w:lineRule="auto"/>
              <w:rPr>
                <w:rFonts w:ascii="Arial"/>
                <w:sz w:val="21"/>
              </w:rPr>
            </w:pPr>
          </w:p>
          <w:p w14:paraId="26FA29CF">
            <w:pPr>
              <w:spacing w:line="247" w:lineRule="auto"/>
              <w:rPr>
                <w:rFonts w:ascii="Arial"/>
                <w:sz w:val="21"/>
              </w:rPr>
            </w:pPr>
          </w:p>
          <w:p w14:paraId="3BEAC2C3">
            <w:pPr>
              <w:pStyle w:val="6"/>
              <w:spacing w:before="69" w:line="219" w:lineRule="auto"/>
              <w:ind w:left="190"/>
              <w:rPr>
                <w:sz w:val="21"/>
                <w:szCs w:val="21"/>
              </w:rPr>
            </w:pPr>
            <w:r>
              <w:rPr>
                <w:spacing w:val="-3"/>
                <w:sz w:val="21"/>
                <w:szCs w:val="21"/>
              </w:rPr>
              <w:t>拟建</w:t>
            </w:r>
          </w:p>
          <w:p w14:paraId="07A8F370">
            <w:pPr>
              <w:pStyle w:val="6"/>
              <w:spacing w:before="53" w:line="185" w:lineRule="auto"/>
              <w:ind w:left="130"/>
              <w:rPr>
                <w:sz w:val="21"/>
                <w:szCs w:val="21"/>
              </w:rPr>
            </w:pPr>
            <w:r>
              <w:rPr>
                <w:spacing w:val="-4"/>
                <w:sz w:val="21"/>
                <w:szCs w:val="21"/>
              </w:rPr>
              <w:t>110kV</w:t>
            </w:r>
          </w:p>
          <w:p w14:paraId="5D721B84">
            <w:pPr>
              <w:pStyle w:val="6"/>
              <w:spacing w:line="220" w:lineRule="auto"/>
              <w:ind w:left="190"/>
              <w:rPr>
                <w:sz w:val="21"/>
                <w:szCs w:val="21"/>
              </w:rPr>
            </w:pPr>
            <w:r>
              <w:rPr>
                <w:spacing w:val="-3"/>
                <w:sz w:val="21"/>
                <w:szCs w:val="21"/>
              </w:rPr>
              <w:t>升压</w:t>
            </w:r>
          </w:p>
          <w:p w14:paraId="7A30662B">
            <w:pPr>
              <w:pStyle w:val="6"/>
              <w:spacing w:before="40" w:line="222" w:lineRule="auto"/>
              <w:ind w:left="290"/>
              <w:rPr>
                <w:sz w:val="21"/>
                <w:szCs w:val="21"/>
              </w:rPr>
            </w:pPr>
            <w:r>
              <w:rPr>
                <w:sz w:val="21"/>
                <w:szCs w:val="21"/>
              </w:rPr>
              <w:t>站</w:t>
            </w:r>
          </w:p>
        </w:tc>
        <w:tc>
          <w:tcPr>
            <w:tcW w:w="430" w:type="dxa"/>
            <w:vMerge w:val="restart"/>
            <w:tcBorders>
              <w:bottom w:val="nil"/>
            </w:tcBorders>
            <w:textDirection w:val="tbRlV"/>
            <w:vAlign w:val="top"/>
          </w:tcPr>
          <w:p w14:paraId="49A325AD">
            <w:pPr>
              <w:pStyle w:val="6"/>
              <w:spacing w:before="102" w:line="203" w:lineRule="auto"/>
              <w:ind w:left="577"/>
              <w:rPr>
                <w:sz w:val="21"/>
                <w:szCs w:val="21"/>
              </w:rPr>
            </w:pPr>
            <w:r>
              <w:rPr>
                <w:sz w:val="21"/>
                <w:szCs w:val="21"/>
              </w:rPr>
              <w:t>主</w:t>
            </w:r>
            <w:r>
              <w:rPr>
                <w:spacing w:val="-32"/>
                <w:sz w:val="21"/>
                <w:szCs w:val="21"/>
              </w:rPr>
              <w:t xml:space="preserve"> </w:t>
            </w:r>
            <w:r>
              <w:rPr>
                <w:sz w:val="21"/>
                <w:szCs w:val="21"/>
              </w:rPr>
              <w:t>体</w:t>
            </w:r>
            <w:r>
              <w:rPr>
                <w:spacing w:val="-32"/>
                <w:sz w:val="21"/>
                <w:szCs w:val="21"/>
              </w:rPr>
              <w:t xml:space="preserve"> </w:t>
            </w:r>
            <w:r>
              <w:rPr>
                <w:sz w:val="21"/>
                <w:szCs w:val="21"/>
              </w:rPr>
              <w:t>工</w:t>
            </w:r>
            <w:r>
              <w:rPr>
                <w:spacing w:val="-32"/>
                <w:sz w:val="21"/>
                <w:szCs w:val="21"/>
              </w:rPr>
              <w:t xml:space="preserve"> </w:t>
            </w:r>
            <w:r>
              <w:rPr>
                <w:sz w:val="21"/>
                <w:szCs w:val="21"/>
              </w:rPr>
              <w:t>程</w:t>
            </w:r>
          </w:p>
        </w:tc>
        <w:tc>
          <w:tcPr>
            <w:tcW w:w="1000" w:type="dxa"/>
            <w:vMerge w:val="restart"/>
            <w:tcBorders>
              <w:bottom w:val="nil"/>
            </w:tcBorders>
            <w:vAlign w:val="top"/>
          </w:tcPr>
          <w:p w14:paraId="713E1D19">
            <w:pPr>
              <w:spacing w:line="255" w:lineRule="auto"/>
              <w:rPr>
                <w:rFonts w:ascii="Arial"/>
                <w:sz w:val="21"/>
              </w:rPr>
            </w:pPr>
          </w:p>
          <w:p w14:paraId="3401E478">
            <w:pPr>
              <w:spacing w:line="256" w:lineRule="auto"/>
              <w:rPr>
                <w:rFonts w:ascii="Arial"/>
                <w:sz w:val="21"/>
              </w:rPr>
            </w:pPr>
          </w:p>
          <w:p w14:paraId="7D10CF27">
            <w:pPr>
              <w:spacing w:line="256" w:lineRule="auto"/>
              <w:rPr>
                <w:rFonts w:ascii="Arial"/>
                <w:sz w:val="21"/>
              </w:rPr>
            </w:pPr>
          </w:p>
          <w:p w14:paraId="14975A81">
            <w:pPr>
              <w:spacing w:line="256" w:lineRule="auto"/>
              <w:rPr>
                <w:rFonts w:ascii="Arial"/>
                <w:sz w:val="21"/>
              </w:rPr>
            </w:pPr>
          </w:p>
          <w:p w14:paraId="4A96A24B">
            <w:pPr>
              <w:spacing w:line="256" w:lineRule="auto"/>
              <w:rPr>
                <w:rFonts w:ascii="Arial"/>
                <w:sz w:val="21"/>
              </w:rPr>
            </w:pPr>
          </w:p>
          <w:p w14:paraId="655E36A6">
            <w:pPr>
              <w:spacing w:line="256" w:lineRule="auto"/>
              <w:rPr>
                <w:rFonts w:ascii="Arial"/>
                <w:sz w:val="21"/>
              </w:rPr>
            </w:pPr>
          </w:p>
          <w:p w14:paraId="71938A95">
            <w:pPr>
              <w:spacing w:line="256" w:lineRule="auto"/>
              <w:rPr>
                <w:rFonts w:ascii="Arial"/>
                <w:sz w:val="21"/>
              </w:rPr>
            </w:pPr>
          </w:p>
          <w:p w14:paraId="3CB7BBA1">
            <w:pPr>
              <w:pStyle w:val="6"/>
              <w:spacing w:before="68" w:line="212" w:lineRule="auto"/>
              <w:ind w:left="175" w:right="173" w:firstLine="50"/>
              <w:rPr>
                <w:sz w:val="21"/>
                <w:szCs w:val="21"/>
              </w:rPr>
            </w:pPr>
            <w:r>
              <w:rPr>
                <w:spacing w:val="-5"/>
                <w:sz w:val="21"/>
                <w:szCs w:val="21"/>
              </w:rPr>
              <w:t>110kV</w:t>
            </w:r>
            <w:r>
              <w:rPr>
                <w:sz w:val="21"/>
                <w:szCs w:val="21"/>
              </w:rPr>
              <w:t xml:space="preserve">  </w:t>
            </w:r>
            <w:r>
              <w:rPr>
                <w:spacing w:val="3"/>
                <w:sz w:val="21"/>
                <w:szCs w:val="21"/>
              </w:rPr>
              <w:t>升压站</w:t>
            </w:r>
          </w:p>
        </w:tc>
        <w:tc>
          <w:tcPr>
            <w:tcW w:w="1360" w:type="dxa"/>
            <w:vAlign w:val="top"/>
          </w:tcPr>
          <w:p w14:paraId="45A459BB">
            <w:pPr>
              <w:pStyle w:val="6"/>
              <w:spacing w:before="30" w:line="201" w:lineRule="auto"/>
              <w:ind w:left="255"/>
              <w:rPr>
                <w:sz w:val="21"/>
                <w:szCs w:val="21"/>
              </w:rPr>
            </w:pPr>
            <w:r>
              <w:rPr>
                <w:spacing w:val="3"/>
                <w:sz w:val="21"/>
                <w:szCs w:val="21"/>
              </w:rPr>
              <w:t>电压等级</w:t>
            </w:r>
          </w:p>
        </w:tc>
        <w:tc>
          <w:tcPr>
            <w:tcW w:w="4630" w:type="dxa"/>
            <w:vAlign w:val="top"/>
          </w:tcPr>
          <w:p w14:paraId="3049E0D7">
            <w:pPr>
              <w:pStyle w:val="6"/>
              <w:spacing w:before="51" w:line="182" w:lineRule="auto"/>
              <w:ind w:left="2044"/>
              <w:rPr>
                <w:sz w:val="21"/>
                <w:szCs w:val="21"/>
              </w:rPr>
            </w:pPr>
            <w:r>
              <w:rPr>
                <w:spacing w:val="-4"/>
                <w:sz w:val="21"/>
                <w:szCs w:val="21"/>
              </w:rPr>
              <w:t>110kV</w:t>
            </w:r>
          </w:p>
        </w:tc>
        <w:tc>
          <w:tcPr>
            <w:tcW w:w="1100" w:type="dxa"/>
            <w:tcBorders>
              <w:right w:val="nil"/>
            </w:tcBorders>
            <w:vAlign w:val="top"/>
          </w:tcPr>
          <w:p w14:paraId="69206B8E">
            <w:pPr>
              <w:rPr>
                <w:rFonts w:ascii="Arial"/>
                <w:sz w:val="21"/>
              </w:rPr>
            </w:pPr>
          </w:p>
        </w:tc>
      </w:tr>
      <w:tr w14:paraId="3D25E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800" w:type="dxa"/>
            <w:vMerge w:val="continue"/>
            <w:tcBorders>
              <w:top w:val="nil"/>
              <w:left w:val="nil"/>
              <w:bottom w:val="nil"/>
            </w:tcBorders>
            <w:vAlign w:val="top"/>
          </w:tcPr>
          <w:p w14:paraId="0625BB9E">
            <w:pPr>
              <w:rPr>
                <w:rFonts w:ascii="Arial"/>
                <w:sz w:val="21"/>
              </w:rPr>
            </w:pPr>
          </w:p>
        </w:tc>
        <w:tc>
          <w:tcPr>
            <w:tcW w:w="430" w:type="dxa"/>
            <w:vMerge w:val="continue"/>
            <w:tcBorders>
              <w:top w:val="nil"/>
              <w:bottom w:val="nil"/>
            </w:tcBorders>
            <w:textDirection w:val="tbRlV"/>
            <w:vAlign w:val="top"/>
          </w:tcPr>
          <w:p w14:paraId="1B8FFD7E">
            <w:pPr>
              <w:rPr>
                <w:rFonts w:ascii="Arial"/>
                <w:sz w:val="21"/>
              </w:rPr>
            </w:pPr>
          </w:p>
        </w:tc>
        <w:tc>
          <w:tcPr>
            <w:tcW w:w="1000" w:type="dxa"/>
            <w:vMerge w:val="continue"/>
            <w:tcBorders>
              <w:top w:val="nil"/>
              <w:bottom w:val="nil"/>
            </w:tcBorders>
            <w:vAlign w:val="top"/>
          </w:tcPr>
          <w:p w14:paraId="615B5730">
            <w:pPr>
              <w:rPr>
                <w:rFonts w:ascii="Arial"/>
                <w:sz w:val="21"/>
              </w:rPr>
            </w:pPr>
          </w:p>
        </w:tc>
        <w:tc>
          <w:tcPr>
            <w:tcW w:w="1360" w:type="dxa"/>
            <w:vAlign w:val="top"/>
          </w:tcPr>
          <w:p w14:paraId="60DBEEE8">
            <w:pPr>
              <w:pStyle w:val="6"/>
              <w:spacing w:before="40" w:line="201" w:lineRule="auto"/>
              <w:ind w:left="255"/>
              <w:rPr>
                <w:sz w:val="21"/>
                <w:szCs w:val="21"/>
              </w:rPr>
            </w:pPr>
            <w:r>
              <w:rPr>
                <w:spacing w:val="-2"/>
                <w:sz w:val="21"/>
                <w:szCs w:val="21"/>
              </w:rPr>
              <w:t>布置方式</w:t>
            </w:r>
          </w:p>
        </w:tc>
        <w:tc>
          <w:tcPr>
            <w:tcW w:w="4630" w:type="dxa"/>
            <w:vAlign w:val="top"/>
          </w:tcPr>
          <w:p w14:paraId="6F6DF5A1">
            <w:pPr>
              <w:pStyle w:val="6"/>
              <w:spacing w:before="40" w:line="201" w:lineRule="auto"/>
              <w:ind w:left="1885"/>
              <w:rPr>
                <w:sz w:val="21"/>
                <w:szCs w:val="21"/>
              </w:rPr>
            </w:pPr>
            <w:r>
              <w:rPr>
                <w:spacing w:val="-2"/>
                <w:sz w:val="21"/>
                <w:szCs w:val="21"/>
              </w:rPr>
              <w:t>户外布置</w:t>
            </w:r>
          </w:p>
        </w:tc>
        <w:tc>
          <w:tcPr>
            <w:tcW w:w="1100" w:type="dxa"/>
            <w:tcBorders>
              <w:right w:val="nil"/>
            </w:tcBorders>
            <w:vAlign w:val="top"/>
          </w:tcPr>
          <w:p w14:paraId="62DD2AA1">
            <w:pPr>
              <w:rPr>
                <w:rFonts w:ascii="Arial"/>
                <w:sz w:val="21"/>
              </w:rPr>
            </w:pPr>
          </w:p>
        </w:tc>
      </w:tr>
      <w:tr w14:paraId="655E4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00" w:type="dxa"/>
            <w:vMerge w:val="continue"/>
            <w:tcBorders>
              <w:top w:val="nil"/>
              <w:left w:val="nil"/>
              <w:bottom w:val="nil"/>
            </w:tcBorders>
            <w:vAlign w:val="top"/>
          </w:tcPr>
          <w:p w14:paraId="46498238">
            <w:pPr>
              <w:rPr>
                <w:rFonts w:ascii="Arial"/>
                <w:sz w:val="21"/>
              </w:rPr>
            </w:pPr>
          </w:p>
        </w:tc>
        <w:tc>
          <w:tcPr>
            <w:tcW w:w="430" w:type="dxa"/>
            <w:vMerge w:val="continue"/>
            <w:tcBorders>
              <w:top w:val="nil"/>
              <w:bottom w:val="nil"/>
            </w:tcBorders>
            <w:textDirection w:val="tbRlV"/>
            <w:vAlign w:val="top"/>
          </w:tcPr>
          <w:p w14:paraId="25F25456">
            <w:pPr>
              <w:rPr>
                <w:rFonts w:ascii="Arial"/>
                <w:sz w:val="21"/>
              </w:rPr>
            </w:pPr>
          </w:p>
        </w:tc>
        <w:tc>
          <w:tcPr>
            <w:tcW w:w="1000" w:type="dxa"/>
            <w:vMerge w:val="continue"/>
            <w:tcBorders>
              <w:top w:val="nil"/>
              <w:bottom w:val="nil"/>
            </w:tcBorders>
            <w:vAlign w:val="top"/>
          </w:tcPr>
          <w:p w14:paraId="7A777A5A">
            <w:pPr>
              <w:rPr>
                <w:rFonts w:ascii="Arial"/>
                <w:sz w:val="21"/>
              </w:rPr>
            </w:pPr>
          </w:p>
        </w:tc>
        <w:tc>
          <w:tcPr>
            <w:tcW w:w="1360" w:type="dxa"/>
            <w:vAlign w:val="top"/>
          </w:tcPr>
          <w:p w14:paraId="5885783D">
            <w:pPr>
              <w:pStyle w:val="6"/>
              <w:spacing w:before="33" w:line="199" w:lineRule="auto"/>
              <w:ind w:left="255"/>
              <w:rPr>
                <w:sz w:val="21"/>
                <w:szCs w:val="21"/>
              </w:rPr>
            </w:pPr>
            <w:r>
              <w:rPr>
                <w:spacing w:val="-2"/>
                <w:sz w:val="21"/>
                <w:szCs w:val="21"/>
              </w:rPr>
              <w:t>主变压器</w:t>
            </w:r>
          </w:p>
        </w:tc>
        <w:tc>
          <w:tcPr>
            <w:tcW w:w="4630" w:type="dxa"/>
            <w:vAlign w:val="top"/>
          </w:tcPr>
          <w:p w14:paraId="2CFA1C0E">
            <w:pPr>
              <w:pStyle w:val="6"/>
              <w:spacing w:before="84" w:line="176" w:lineRule="exact"/>
              <w:ind w:left="1885"/>
              <w:rPr>
                <w:sz w:val="21"/>
                <w:szCs w:val="21"/>
              </w:rPr>
            </w:pPr>
            <w:r>
              <w:rPr>
                <w:spacing w:val="-4"/>
                <w:position w:val="-2"/>
                <w:sz w:val="21"/>
                <w:szCs w:val="21"/>
              </w:rPr>
              <w:t>1×50MVA</w:t>
            </w:r>
          </w:p>
        </w:tc>
        <w:tc>
          <w:tcPr>
            <w:tcW w:w="1100" w:type="dxa"/>
            <w:tcBorders>
              <w:right w:val="nil"/>
            </w:tcBorders>
            <w:vAlign w:val="top"/>
          </w:tcPr>
          <w:p w14:paraId="6163A6D7">
            <w:pPr>
              <w:pStyle w:val="6"/>
              <w:spacing w:before="31" w:line="201" w:lineRule="auto"/>
              <w:ind w:left="124"/>
              <w:rPr>
                <w:sz w:val="21"/>
                <w:szCs w:val="21"/>
              </w:rPr>
            </w:pPr>
            <w:r>
              <w:rPr>
                <w:spacing w:val="-2"/>
                <w:sz w:val="21"/>
                <w:szCs w:val="21"/>
              </w:rPr>
              <w:t>本期新建</w:t>
            </w:r>
          </w:p>
        </w:tc>
      </w:tr>
      <w:tr w14:paraId="6A147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00" w:type="dxa"/>
            <w:vMerge w:val="continue"/>
            <w:tcBorders>
              <w:top w:val="nil"/>
              <w:left w:val="nil"/>
              <w:bottom w:val="nil"/>
            </w:tcBorders>
            <w:vAlign w:val="top"/>
          </w:tcPr>
          <w:p w14:paraId="7B7513BF">
            <w:pPr>
              <w:rPr>
                <w:rFonts w:ascii="Arial"/>
                <w:sz w:val="21"/>
              </w:rPr>
            </w:pPr>
          </w:p>
        </w:tc>
        <w:tc>
          <w:tcPr>
            <w:tcW w:w="430" w:type="dxa"/>
            <w:vMerge w:val="continue"/>
            <w:tcBorders>
              <w:top w:val="nil"/>
              <w:bottom w:val="nil"/>
            </w:tcBorders>
            <w:textDirection w:val="tbRlV"/>
            <w:vAlign w:val="top"/>
          </w:tcPr>
          <w:p w14:paraId="50DAF9F0">
            <w:pPr>
              <w:rPr>
                <w:rFonts w:ascii="Arial"/>
                <w:sz w:val="21"/>
              </w:rPr>
            </w:pPr>
          </w:p>
        </w:tc>
        <w:tc>
          <w:tcPr>
            <w:tcW w:w="1000" w:type="dxa"/>
            <w:vMerge w:val="continue"/>
            <w:tcBorders>
              <w:top w:val="nil"/>
              <w:bottom w:val="nil"/>
            </w:tcBorders>
            <w:vAlign w:val="top"/>
          </w:tcPr>
          <w:p w14:paraId="20D8DC6F">
            <w:pPr>
              <w:rPr>
                <w:rFonts w:ascii="Arial"/>
                <w:sz w:val="21"/>
              </w:rPr>
            </w:pPr>
          </w:p>
        </w:tc>
        <w:tc>
          <w:tcPr>
            <w:tcW w:w="1360" w:type="dxa"/>
            <w:vAlign w:val="top"/>
          </w:tcPr>
          <w:p w14:paraId="25C9742F">
            <w:pPr>
              <w:pStyle w:val="6"/>
              <w:spacing w:before="33" w:line="199" w:lineRule="auto"/>
              <w:ind w:left="144"/>
              <w:rPr>
                <w:sz w:val="21"/>
                <w:szCs w:val="21"/>
              </w:rPr>
            </w:pPr>
            <w:r>
              <w:rPr>
                <w:spacing w:val="1"/>
                <w:sz w:val="21"/>
                <w:szCs w:val="21"/>
              </w:rPr>
              <w:t>35</w:t>
            </w:r>
            <w:r>
              <w:rPr>
                <w:sz w:val="21"/>
                <w:szCs w:val="21"/>
              </w:rPr>
              <w:t>kV</w:t>
            </w:r>
            <w:r>
              <w:rPr>
                <w:spacing w:val="1"/>
                <w:sz w:val="21"/>
                <w:szCs w:val="21"/>
              </w:rPr>
              <w:t>站用变</w:t>
            </w:r>
          </w:p>
        </w:tc>
        <w:tc>
          <w:tcPr>
            <w:tcW w:w="4630" w:type="dxa"/>
            <w:vAlign w:val="top"/>
          </w:tcPr>
          <w:p w14:paraId="278064F7">
            <w:pPr>
              <w:pStyle w:val="6"/>
              <w:spacing w:before="54" w:line="181" w:lineRule="auto"/>
              <w:ind w:left="1835"/>
              <w:rPr>
                <w:sz w:val="21"/>
                <w:szCs w:val="21"/>
              </w:rPr>
            </w:pPr>
            <w:r>
              <w:rPr>
                <w:spacing w:val="-3"/>
                <w:sz w:val="21"/>
                <w:szCs w:val="21"/>
              </w:rPr>
              <w:t>1×400kVA</w:t>
            </w:r>
          </w:p>
        </w:tc>
        <w:tc>
          <w:tcPr>
            <w:tcW w:w="1100" w:type="dxa"/>
            <w:tcBorders>
              <w:right w:val="nil"/>
            </w:tcBorders>
            <w:vAlign w:val="top"/>
          </w:tcPr>
          <w:p w14:paraId="28B5A684">
            <w:pPr>
              <w:pStyle w:val="6"/>
              <w:spacing w:before="31" w:line="201" w:lineRule="auto"/>
              <w:ind w:left="124"/>
              <w:rPr>
                <w:sz w:val="21"/>
                <w:szCs w:val="21"/>
              </w:rPr>
            </w:pPr>
            <w:r>
              <w:rPr>
                <w:spacing w:val="-2"/>
                <w:sz w:val="21"/>
                <w:szCs w:val="21"/>
              </w:rPr>
              <w:t>本期新建</w:t>
            </w:r>
          </w:p>
        </w:tc>
      </w:tr>
      <w:tr w14:paraId="6302E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800" w:type="dxa"/>
            <w:vMerge w:val="continue"/>
            <w:tcBorders>
              <w:top w:val="nil"/>
              <w:left w:val="nil"/>
              <w:bottom w:val="nil"/>
            </w:tcBorders>
            <w:vAlign w:val="top"/>
          </w:tcPr>
          <w:p w14:paraId="3AEE4F59">
            <w:pPr>
              <w:rPr>
                <w:rFonts w:ascii="Arial"/>
                <w:sz w:val="21"/>
              </w:rPr>
            </w:pPr>
          </w:p>
        </w:tc>
        <w:tc>
          <w:tcPr>
            <w:tcW w:w="430" w:type="dxa"/>
            <w:vMerge w:val="continue"/>
            <w:tcBorders>
              <w:top w:val="nil"/>
              <w:bottom w:val="nil"/>
            </w:tcBorders>
            <w:textDirection w:val="tbRlV"/>
            <w:vAlign w:val="top"/>
          </w:tcPr>
          <w:p w14:paraId="09C0DAE6">
            <w:pPr>
              <w:rPr>
                <w:rFonts w:ascii="Arial"/>
                <w:sz w:val="21"/>
              </w:rPr>
            </w:pPr>
          </w:p>
        </w:tc>
        <w:tc>
          <w:tcPr>
            <w:tcW w:w="1000" w:type="dxa"/>
            <w:vMerge w:val="continue"/>
            <w:tcBorders>
              <w:top w:val="nil"/>
              <w:bottom w:val="nil"/>
            </w:tcBorders>
            <w:vAlign w:val="top"/>
          </w:tcPr>
          <w:p w14:paraId="2C54B4B7">
            <w:pPr>
              <w:rPr>
                <w:rFonts w:ascii="Arial"/>
                <w:sz w:val="21"/>
              </w:rPr>
            </w:pPr>
          </w:p>
        </w:tc>
        <w:tc>
          <w:tcPr>
            <w:tcW w:w="1360" w:type="dxa"/>
            <w:vAlign w:val="top"/>
          </w:tcPr>
          <w:p w14:paraId="62B4A6A5">
            <w:pPr>
              <w:pStyle w:val="6"/>
              <w:spacing w:before="33" w:line="198" w:lineRule="auto"/>
              <w:ind w:left="194"/>
              <w:rPr>
                <w:sz w:val="21"/>
                <w:szCs w:val="21"/>
              </w:rPr>
            </w:pPr>
            <w:r>
              <w:rPr>
                <w:spacing w:val="3"/>
                <w:sz w:val="21"/>
                <w:szCs w:val="21"/>
              </w:rPr>
              <w:t>110</w:t>
            </w:r>
            <w:r>
              <w:rPr>
                <w:sz w:val="21"/>
                <w:szCs w:val="21"/>
              </w:rPr>
              <w:t>kV</w:t>
            </w:r>
            <w:r>
              <w:rPr>
                <w:spacing w:val="3"/>
                <w:sz w:val="21"/>
                <w:szCs w:val="21"/>
              </w:rPr>
              <w:t>出线</w:t>
            </w:r>
          </w:p>
        </w:tc>
        <w:tc>
          <w:tcPr>
            <w:tcW w:w="4630" w:type="dxa"/>
            <w:vAlign w:val="top"/>
          </w:tcPr>
          <w:p w14:paraId="5660E9C1">
            <w:pPr>
              <w:pStyle w:val="6"/>
              <w:spacing w:before="36" w:line="196" w:lineRule="auto"/>
              <w:ind w:left="2145"/>
              <w:rPr>
                <w:sz w:val="21"/>
                <w:szCs w:val="21"/>
              </w:rPr>
            </w:pPr>
            <w:r>
              <w:rPr>
                <w:spacing w:val="-12"/>
                <w:sz w:val="21"/>
                <w:szCs w:val="21"/>
              </w:rPr>
              <w:t>1</w:t>
            </w:r>
            <w:r>
              <w:rPr>
                <w:spacing w:val="-25"/>
                <w:sz w:val="21"/>
                <w:szCs w:val="21"/>
              </w:rPr>
              <w:t xml:space="preserve"> </w:t>
            </w:r>
            <w:r>
              <w:rPr>
                <w:spacing w:val="-12"/>
                <w:sz w:val="21"/>
                <w:szCs w:val="21"/>
              </w:rPr>
              <w:t>回</w:t>
            </w:r>
          </w:p>
        </w:tc>
        <w:tc>
          <w:tcPr>
            <w:tcW w:w="1100" w:type="dxa"/>
            <w:tcBorders>
              <w:right w:val="nil"/>
            </w:tcBorders>
            <w:vAlign w:val="top"/>
          </w:tcPr>
          <w:p w14:paraId="780A37E5">
            <w:pPr>
              <w:pStyle w:val="6"/>
              <w:spacing w:before="31" w:line="200" w:lineRule="auto"/>
              <w:ind w:left="124"/>
              <w:rPr>
                <w:sz w:val="21"/>
                <w:szCs w:val="21"/>
              </w:rPr>
            </w:pPr>
            <w:r>
              <w:rPr>
                <w:spacing w:val="-2"/>
                <w:sz w:val="21"/>
                <w:szCs w:val="21"/>
              </w:rPr>
              <w:t>本期新建</w:t>
            </w:r>
          </w:p>
        </w:tc>
      </w:tr>
      <w:tr w14:paraId="447C6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800" w:type="dxa"/>
            <w:vMerge w:val="continue"/>
            <w:tcBorders>
              <w:top w:val="nil"/>
              <w:left w:val="nil"/>
              <w:bottom w:val="nil"/>
            </w:tcBorders>
            <w:vAlign w:val="top"/>
          </w:tcPr>
          <w:p w14:paraId="07717B84">
            <w:pPr>
              <w:rPr>
                <w:rFonts w:ascii="Arial"/>
                <w:sz w:val="21"/>
              </w:rPr>
            </w:pPr>
          </w:p>
        </w:tc>
        <w:tc>
          <w:tcPr>
            <w:tcW w:w="430" w:type="dxa"/>
            <w:vMerge w:val="continue"/>
            <w:tcBorders>
              <w:top w:val="nil"/>
              <w:bottom w:val="nil"/>
            </w:tcBorders>
            <w:textDirection w:val="tbRlV"/>
            <w:vAlign w:val="top"/>
          </w:tcPr>
          <w:p w14:paraId="7F766E32">
            <w:pPr>
              <w:rPr>
                <w:rFonts w:ascii="Arial"/>
                <w:sz w:val="21"/>
              </w:rPr>
            </w:pPr>
          </w:p>
        </w:tc>
        <w:tc>
          <w:tcPr>
            <w:tcW w:w="1000" w:type="dxa"/>
            <w:vMerge w:val="continue"/>
            <w:tcBorders>
              <w:top w:val="nil"/>
              <w:bottom w:val="nil"/>
            </w:tcBorders>
            <w:vAlign w:val="top"/>
          </w:tcPr>
          <w:p w14:paraId="779AA297">
            <w:pPr>
              <w:rPr>
                <w:rFonts w:ascii="Arial"/>
                <w:sz w:val="21"/>
              </w:rPr>
            </w:pPr>
          </w:p>
        </w:tc>
        <w:tc>
          <w:tcPr>
            <w:tcW w:w="1360" w:type="dxa"/>
            <w:vAlign w:val="top"/>
          </w:tcPr>
          <w:p w14:paraId="43B7A5F9">
            <w:pPr>
              <w:pStyle w:val="6"/>
              <w:spacing w:before="33" w:line="198" w:lineRule="auto"/>
              <w:ind w:left="255"/>
              <w:rPr>
                <w:sz w:val="21"/>
                <w:szCs w:val="21"/>
              </w:rPr>
            </w:pPr>
            <w:r>
              <w:rPr>
                <w:spacing w:val="3"/>
                <w:sz w:val="21"/>
                <w:szCs w:val="21"/>
              </w:rPr>
              <w:t>35</w:t>
            </w:r>
            <w:r>
              <w:rPr>
                <w:sz w:val="21"/>
                <w:szCs w:val="21"/>
              </w:rPr>
              <w:t>kV</w:t>
            </w:r>
            <w:r>
              <w:rPr>
                <w:spacing w:val="3"/>
                <w:sz w:val="21"/>
                <w:szCs w:val="21"/>
              </w:rPr>
              <w:t>进线</w:t>
            </w:r>
          </w:p>
        </w:tc>
        <w:tc>
          <w:tcPr>
            <w:tcW w:w="4630" w:type="dxa"/>
            <w:vAlign w:val="top"/>
          </w:tcPr>
          <w:p w14:paraId="4C368137">
            <w:pPr>
              <w:pStyle w:val="6"/>
              <w:spacing w:before="37" w:line="195" w:lineRule="auto"/>
              <w:ind w:left="2145"/>
              <w:rPr>
                <w:sz w:val="21"/>
                <w:szCs w:val="21"/>
              </w:rPr>
            </w:pPr>
            <w:r>
              <w:rPr>
                <w:spacing w:val="13"/>
                <w:sz w:val="21"/>
                <w:szCs w:val="21"/>
              </w:rPr>
              <w:t>3回</w:t>
            </w:r>
          </w:p>
        </w:tc>
        <w:tc>
          <w:tcPr>
            <w:tcW w:w="1100" w:type="dxa"/>
            <w:tcBorders>
              <w:right w:val="nil"/>
            </w:tcBorders>
            <w:vAlign w:val="top"/>
          </w:tcPr>
          <w:p w14:paraId="2E63A71B">
            <w:pPr>
              <w:pStyle w:val="6"/>
              <w:spacing w:before="33" w:line="198" w:lineRule="auto"/>
              <w:ind w:left="124"/>
              <w:rPr>
                <w:sz w:val="21"/>
                <w:szCs w:val="21"/>
              </w:rPr>
            </w:pPr>
            <w:r>
              <w:rPr>
                <w:spacing w:val="-2"/>
                <w:sz w:val="21"/>
                <w:szCs w:val="21"/>
              </w:rPr>
              <w:t>集电线路</w:t>
            </w:r>
          </w:p>
        </w:tc>
      </w:tr>
      <w:tr w14:paraId="4D200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00" w:type="dxa"/>
            <w:vMerge w:val="continue"/>
            <w:tcBorders>
              <w:top w:val="nil"/>
              <w:left w:val="nil"/>
              <w:bottom w:val="nil"/>
            </w:tcBorders>
            <w:vAlign w:val="top"/>
          </w:tcPr>
          <w:p w14:paraId="3C4B301B">
            <w:pPr>
              <w:rPr>
                <w:rFonts w:ascii="Arial"/>
                <w:sz w:val="21"/>
              </w:rPr>
            </w:pPr>
          </w:p>
        </w:tc>
        <w:tc>
          <w:tcPr>
            <w:tcW w:w="430" w:type="dxa"/>
            <w:vMerge w:val="continue"/>
            <w:tcBorders>
              <w:top w:val="nil"/>
            </w:tcBorders>
            <w:textDirection w:val="tbRlV"/>
            <w:vAlign w:val="top"/>
          </w:tcPr>
          <w:p w14:paraId="3697E279">
            <w:pPr>
              <w:rPr>
                <w:rFonts w:ascii="Arial"/>
                <w:sz w:val="21"/>
              </w:rPr>
            </w:pPr>
          </w:p>
        </w:tc>
        <w:tc>
          <w:tcPr>
            <w:tcW w:w="1000" w:type="dxa"/>
            <w:vMerge w:val="continue"/>
            <w:tcBorders>
              <w:top w:val="nil"/>
              <w:bottom w:val="nil"/>
            </w:tcBorders>
            <w:vAlign w:val="top"/>
          </w:tcPr>
          <w:p w14:paraId="2A6B44A2">
            <w:pPr>
              <w:rPr>
                <w:rFonts w:ascii="Arial"/>
                <w:sz w:val="21"/>
              </w:rPr>
            </w:pPr>
          </w:p>
        </w:tc>
        <w:tc>
          <w:tcPr>
            <w:tcW w:w="1360" w:type="dxa"/>
            <w:vAlign w:val="top"/>
          </w:tcPr>
          <w:p w14:paraId="21513B5D">
            <w:pPr>
              <w:pStyle w:val="6"/>
              <w:spacing w:before="175" w:line="220" w:lineRule="auto"/>
              <w:ind w:left="255"/>
              <w:rPr>
                <w:sz w:val="21"/>
                <w:szCs w:val="21"/>
              </w:rPr>
            </w:pPr>
            <w:r>
              <w:rPr>
                <w:spacing w:val="2"/>
                <w:sz w:val="21"/>
                <w:szCs w:val="21"/>
              </w:rPr>
              <w:t>无功补偿</w:t>
            </w:r>
          </w:p>
        </w:tc>
        <w:tc>
          <w:tcPr>
            <w:tcW w:w="4630" w:type="dxa"/>
            <w:vAlign w:val="top"/>
          </w:tcPr>
          <w:p w14:paraId="63C297AE">
            <w:pPr>
              <w:pStyle w:val="6"/>
              <w:spacing w:before="54" w:line="213" w:lineRule="auto"/>
              <w:ind w:left="1784" w:right="114" w:hanging="1679"/>
              <w:rPr>
                <w:sz w:val="21"/>
                <w:szCs w:val="21"/>
              </w:rPr>
            </w:pPr>
            <w:r>
              <w:rPr>
                <w:spacing w:val="-1"/>
                <w:sz w:val="21"/>
                <w:szCs w:val="21"/>
              </w:rPr>
              <w:t>升压站安装1套±12500kvar动态无功补偿装置进</w:t>
            </w:r>
            <w:r>
              <w:rPr>
                <w:spacing w:val="15"/>
                <w:sz w:val="21"/>
                <w:szCs w:val="21"/>
              </w:rPr>
              <w:t xml:space="preserve"> </w:t>
            </w:r>
            <w:r>
              <w:rPr>
                <w:spacing w:val="2"/>
                <w:sz w:val="21"/>
                <w:szCs w:val="21"/>
              </w:rPr>
              <w:t>行就地补偿</w:t>
            </w:r>
          </w:p>
        </w:tc>
        <w:tc>
          <w:tcPr>
            <w:tcW w:w="1100" w:type="dxa"/>
            <w:tcBorders>
              <w:right w:val="nil"/>
            </w:tcBorders>
            <w:vAlign w:val="top"/>
          </w:tcPr>
          <w:p w14:paraId="3BDCE737">
            <w:pPr>
              <w:pStyle w:val="6"/>
              <w:spacing w:before="173" w:line="219" w:lineRule="auto"/>
              <w:ind w:left="124"/>
              <w:rPr>
                <w:sz w:val="21"/>
                <w:szCs w:val="21"/>
              </w:rPr>
            </w:pPr>
            <w:r>
              <w:rPr>
                <w:spacing w:val="-2"/>
                <w:sz w:val="21"/>
                <w:szCs w:val="21"/>
              </w:rPr>
              <w:t>本期新建</w:t>
            </w:r>
          </w:p>
        </w:tc>
      </w:tr>
      <w:tr w14:paraId="26230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800" w:type="dxa"/>
            <w:vMerge w:val="continue"/>
            <w:tcBorders>
              <w:top w:val="nil"/>
              <w:left w:val="nil"/>
              <w:bottom w:val="nil"/>
            </w:tcBorders>
            <w:vAlign w:val="top"/>
          </w:tcPr>
          <w:p w14:paraId="11914E6C">
            <w:pPr>
              <w:rPr>
                <w:rFonts w:ascii="Arial"/>
                <w:sz w:val="21"/>
              </w:rPr>
            </w:pPr>
          </w:p>
        </w:tc>
        <w:tc>
          <w:tcPr>
            <w:tcW w:w="430" w:type="dxa"/>
            <w:vMerge w:val="restart"/>
            <w:tcBorders>
              <w:bottom w:val="nil"/>
            </w:tcBorders>
            <w:textDirection w:val="tbRlV"/>
            <w:vAlign w:val="top"/>
          </w:tcPr>
          <w:p w14:paraId="43CD8EE4">
            <w:pPr>
              <w:pStyle w:val="6"/>
              <w:spacing w:before="112" w:line="203" w:lineRule="auto"/>
              <w:ind w:left="416"/>
              <w:rPr>
                <w:sz w:val="21"/>
                <w:szCs w:val="21"/>
              </w:rPr>
            </w:pPr>
            <w:r>
              <w:rPr>
                <w:color w:val="403030"/>
                <w:sz w:val="21"/>
                <w:szCs w:val="21"/>
              </w:rPr>
              <w:t>辅</w:t>
            </w:r>
            <w:r>
              <w:rPr>
                <w:color w:val="403030"/>
                <w:spacing w:val="-34"/>
                <w:sz w:val="21"/>
                <w:szCs w:val="21"/>
              </w:rPr>
              <w:t xml:space="preserve"> </w:t>
            </w:r>
            <w:r>
              <w:rPr>
                <w:color w:val="403030"/>
                <w:sz w:val="21"/>
                <w:szCs w:val="21"/>
              </w:rPr>
              <w:t>助</w:t>
            </w:r>
            <w:r>
              <w:rPr>
                <w:color w:val="403030"/>
                <w:spacing w:val="-34"/>
                <w:sz w:val="21"/>
                <w:szCs w:val="21"/>
              </w:rPr>
              <w:t xml:space="preserve"> </w:t>
            </w:r>
            <w:r>
              <w:rPr>
                <w:color w:val="403030"/>
                <w:sz w:val="21"/>
                <w:szCs w:val="21"/>
              </w:rPr>
              <w:t>工</w:t>
            </w:r>
            <w:r>
              <w:rPr>
                <w:color w:val="403030"/>
                <w:spacing w:val="-34"/>
                <w:sz w:val="21"/>
                <w:szCs w:val="21"/>
              </w:rPr>
              <w:t xml:space="preserve"> </w:t>
            </w:r>
            <w:r>
              <w:rPr>
                <w:color w:val="403030"/>
                <w:sz w:val="21"/>
                <w:szCs w:val="21"/>
              </w:rPr>
              <w:t>程</w:t>
            </w:r>
          </w:p>
        </w:tc>
        <w:tc>
          <w:tcPr>
            <w:tcW w:w="1000" w:type="dxa"/>
            <w:vMerge w:val="continue"/>
            <w:tcBorders>
              <w:top w:val="nil"/>
              <w:bottom w:val="nil"/>
            </w:tcBorders>
            <w:vAlign w:val="top"/>
          </w:tcPr>
          <w:p w14:paraId="5A438340">
            <w:pPr>
              <w:rPr>
                <w:rFonts w:ascii="Arial"/>
                <w:sz w:val="21"/>
              </w:rPr>
            </w:pPr>
          </w:p>
        </w:tc>
        <w:tc>
          <w:tcPr>
            <w:tcW w:w="1360" w:type="dxa"/>
            <w:vAlign w:val="top"/>
          </w:tcPr>
          <w:p w14:paraId="2F0CFAA8">
            <w:pPr>
              <w:pStyle w:val="6"/>
              <w:spacing w:before="269" w:line="183" w:lineRule="auto"/>
              <w:ind w:left="515"/>
              <w:rPr>
                <w:sz w:val="21"/>
                <w:szCs w:val="21"/>
              </w:rPr>
            </w:pPr>
            <w:r>
              <w:rPr>
                <w:spacing w:val="-2"/>
                <w:sz w:val="21"/>
                <w:szCs w:val="21"/>
              </w:rPr>
              <w:t>GIS</w:t>
            </w:r>
          </w:p>
        </w:tc>
        <w:tc>
          <w:tcPr>
            <w:tcW w:w="4630" w:type="dxa"/>
            <w:vAlign w:val="top"/>
          </w:tcPr>
          <w:p w14:paraId="09C16DF7">
            <w:pPr>
              <w:pStyle w:val="6"/>
              <w:spacing w:before="56" w:line="243" w:lineRule="auto"/>
              <w:ind w:left="944" w:right="219" w:hanging="689"/>
              <w:rPr>
                <w:sz w:val="21"/>
                <w:szCs w:val="21"/>
              </w:rPr>
            </w:pPr>
            <w:r>
              <w:rPr>
                <w:spacing w:val="2"/>
                <w:sz w:val="21"/>
                <w:szCs w:val="21"/>
              </w:rPr>
              <w:t>110</w:t>
            </w:r>
            <w:r>
              <w:rPr>
                <w:sz w:val="21"/>
                <w:szCs w:val="21"/>
              </w:rPr>
              <w:t>kV</w:t>
            </w:r>
            <w:r>
              <w:rPr>
                <w:spacing w:val="2"/>
                <w:sz w:val="21"/>
                <w:szCs w:val="21"/>
              </w:rPr>
              <w:t xml:space="preserve"> </w:t>
            </w:r>
            <w:r>
              <w:rPr>
                <w:sz w:val="21"/>
                <w:szCs w:val="21"/>
              </w:rPr>
              <w:t>GIS</w:t>
            </w:r>
            <w:r>
              <w:rPr>
                <w:spacing w:val="2"/>
                <w:sz w:val="21"/>
                <w:szCs w:val="21"/>
              </w:rPr>
              <w:t>组合设备(线变组间隔-主变-出线)</w:t>
            </w:r>
            <w:r>
              <w:rPr>
                <w:spacing w:val="7"/>
                <w:sz w:val="21"/>
                <w:szCs w:val="21"/>
              </w:rPr>
              <w:t xml:space="preserve"> </w:t>
            </w:r>
            <w:r>
              <w:rPr>
                <w:spacing w:val="-1"/>
                <w:sz w:val="21"/>
                <w:szCs w:val="21"/>
              </w:rPr>
              <w:t>126kV,2000A,40kA(4s),100kA</w:t>
            </w:r>
          </w:p>
        </w:tc>
        <w:tc>
          <w:tcPr>
            <w:tcW w:w="1100" w:type="dxa"/>
            <w:tcBorders>
              <w:right w:val="nil"/>
            </w:tcBorders>
            <w:vAlign w:val="top"/>
          </w:tcPr>
          <w:p w14:paraId="42BFCA56">
            <w:pPr>
              <w:pStyle w:val="6"/>
              <w:spacing w:before="214" w:line="219" w:lineRule="auto"/>
              <w:ind w:left="124"/>
              <w:rPr>
                <w:sz w:val="21"/>
                <w:szCs w:val="21"/>
              </w:rPr>
            </w:pPr>
            <w:r>
              <w:rPr>
                <w:spacing w:val="-2"/>
                <w:sz w:val="21"/>
                <w:szCs w:val="21"/>
              </w:rPr>
              <w:t>本期新建</w:t>
            </w:r>
          </w:p>
        </w:tc>
      </w:tr>
      <w:tr w14:paraId="0AE8D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800" w:type="dxa"/>
            <w:vMerge w:val="continue"/>
            <w:tcBorders>
              <w:top w:val="nil"/>
              <w:left w:val="nil"/>
            </w:tcBorders>
            <w:vAlign w:val="top"/>
          </w:tcPr>
          <w:p w14:paraId="6F6A438D">
            <w:pPr>
              <w:rPr>
                <w:rFonts w:ascii="Arial"/>
                <w:sz w:val="21"/>
              </w:rPr>
            </w:pPr>
          </w:p>
        </w:tc>
        <w:tc>
          <w:tcPr>
            <w:tcW w:w="430" w:type="dxa"/>
            <w:vMerge w:val="continue"/>
            <w:tcBorders>
              <w:top w:val="nil"/>
            </w:tcBorders>
            <w:textDirection w:val="tbRlV"/>
            <w:vAlign w:val="top"/>
          </w:tcPr>
          <w:p w14:paraId="2C2935C4">
            <w:pPr>
              <w:rPr>
                <w:rFonts w:ascii="Arial"/>
                <w:sz w:val="21"/>
              </w:rPr>
            </w:pPr>
          </w:p>
        </w:tc>
        <w:tc>
          <w:tcPr>
            <w:tcW w:w="1000" w:type="dxa"/>
            <w:vMerge w:val="continue"/>
            <w:tcBorders>
              <w:top w:val="nil"/>
            </w:tcBorders>
            <w:vAlign w:val="top"/>
          </w:tcPr>
          <w:p w14:paraId="1BA45BE2">
            <w:pPr>
              <w:rPr>
                <w:rFonts w:ascii="Arial"/>
                <w:sz w:val="21"/>
              </w:rPr>
            </w:pPr>
          </w:p>
        </w:tc>
        <w:tc>
          <w:tcPr>
            <w:tcW w:w="1360" w:type="dxa"/>
            <w:vAlign w:val="top"/>
          </w:tcPr>
          <w:p w14:paraId="20A909DD">
            <w:pPr>
              <w:spacing w:line="465" w:lineRule="auto"/>
              <w:rPr>
                <w:rFonts w:ascii="Arial"/>
                <w:sz w:val="21"/>
              </w:rPr>
            </w:pPr>
          </w:p>
          <w:p w14:paraId="568FB22E">
            <w:pPr>
              <w:pStyle w:val="6"/>
              <w:spacing w:before="68" w:line="219" w:lineRule="auto"/>
              <w:ind w:left="355"/>
              <w:rPr>
                <w:sz w:val="21"/>
                <w:szCs w:val="21"/>
              </w:rPr>
            </w:pPr>
            <w:r>
              <w:rPr>
                <w:spacing w:val="3"/>
                <w:sz w:val="21"/>
                <w:szCs w:val="21"/>
              </w:rPr>
              <w:t>综合楼</w:t>
            </w:r>
          </w:p>
        </w:tc>
        <w:tc>
          <w:tcPr>
            <w:tcW w:w="4630" w:type="dxa"/>
            <w:vAlign w:val="top"/>
          </w:tcPr>
          <w:p w14:paraId="6A03A173">
            <w:pPr>
              <w:pStyle w:val="6"/>
              <w:spacing w:before="56" w:line="219" w:lineRule="auto"/>
              <w:ind w:left="205"/>
              <w:rPr>
                <w:sz w:val="21"/>
                <w:szCs w:val="21"/>
              </w:rPr>
            </w:pPr>
            <w:r>
              <w:rPr>
                <w:sz w:val="21"/>
                <w:szCs w:val="21"/>
              </w:rPr>
              <w:t>二层框架结构，独立基础，建筑面积为640m2。</w:t>
            </w:r>
          </w:p>
          <w:p w14:paraId="2A5D8120">
            <w:pPr>
              <w:pStyle w:val="6"/>
              <w:spacing w:before="89" w:line="219" w:lineRule="auto"/>
              <w:jc w:val="right"/>
              <w:rPr>
                <w:sz w:val="21"/>
                <w:szCs w:val="21"/>
              </w:rPr>
            </w:pPr>
            <w:r>
              <w:rPr>
                <w:spacing w:val="-1"/>
                <w:sz w:val="21"/>
                <w:szCs w:val="21"/>
              </w:rPr>
              <w:t>综合楼一层布置休息室、厨房、备餐间、中控室、</w:t>
            </w:r>
          </w:p>
          <w:p w14:paraId="5478474E">
            <w:pPr>
              <w:pStyle w:val="6"/>
              <w:spacing w:before="50" w:line="219" w:lineRule="auto"/>
              <w:jc w:val="right"/>
              <w:rPr>
                <w:sz w:val="21"/>
                <w:szCs w:val="21"/>
              </w:rPr>
            </w:pPr>
            <w:r>
              <w:rPr>
                <w:spacing w:val="4"/>
                <w:sz w:val="21"/>
                <w:szCs w:val="21"/>
              </w:rPr>
              <w:t>卫生间、接待室，层高3.90m;二层布置资料室、</w:t>
            </w:r>
          </w:p>
          <w:p w14:paraId="1158778E">
            <w:pPr>
              <w:pStyle w:val="6"/>
              <w:spacing w:before="60" w:line="217" w:lineRule="auto"/>
              <w:ind w:left="154"/>
              <w:rPr>
                <w:sz w:val="21"/>
                <w:szCs w:val="21"/>
              </w:rPr>
            </w:pPr>
            <w:r>
              <w:rPr>
                <w:spacing w:val="-1"/>
                <w:sz w:val="21"/>
                <w:szCs w:val="21"/>
              </w:rPr>
              <w:t>会议室、办公室、工具间、休息室，层高3.90m</w:t>
            </w:r>
          </w:p>
        </w:tc>
        <w:tc>
          <w:tcPr>
            <w:tcW w:w="1100" w:type="dxa"/>
            <w:tcBorders>
              <w:right w:val="nil"/>
            </w:tcBorders>
            <w:vAlign w:val="top"/>
          </w:tcPr>
          <w:p w14:paraId="2295BB9F">
            <w:pPr>
              <w:spacing w:line="464" w:lineRule="auto"/>
              <w:rPr>
                <w:rFonts w:ascii="Arial"/>
                <w:sz w:val="21"/>
              </w:rPr>
            </w:pPr>
          </w:p>
          <w:p w14:paraId="59A0CCCC">
            <w:pPr>
              <w:pStyle w:val="6"/>
              <w:spacing w:before="68" w:line="219" w:lineRule="auto"/>
              <w:ind w:left="124"/>
              <w:rPr>
                <w:sz w:val="21"/>
                <w:szCs w:val="21"/>
              </w:rPr>
            </w:pPr>
            <w:r>
              <w:rPr>
                <w:spacing w:val="-2"/>
                <w:sz w:val="21"/>
                <w:szCs w:val="21"/>
              </w:rPr>
              <w:t>本期新建</w:t>
            </w:r>
          </w:p>
        </w:tc>
      </w:tr>
    </w:tbl>
    <w:p w14:paraId="003634D2">
      <w:pPr>
        <w:pStyle w:val="2"/>
      </w:pPr>
    </w:p>
    <w:p w14:paraId="01545760">
      <w:pPr>
        <w:sectPr>
          <w:footerReference r:id="rId227" w:type="default"/>
          <w:pgSz w:w="11910" w:h="16830"/>
          <w:pgMar w:top="400" w:right="1309" w:bottom="1190" w:left="1279" w:header="0" w:footer="917" w:gutter="0"/>
          <w:cols w:space="720" w:num="1"/>
        </w:sectPr>
      </w:pPr>
    </w:p>
    <w:p w14:paraId="43037DA0">
      <w:pPr>
        <w:spacing w:before="20"/>
      </w:pPr>
    </w:p>
    <w:p w14:paraId="0C0C8545">
      <w:pPr>
        <w:spacing w:before="20"/>
      </w:pPr>
    </w:p>
    <w:p w14:paraId="0A216B5C">
      <w:pPr>
        <w:spacing w:before="20"/>
      </w:pPr>
    </w:p>
    <w:p w14:paraId="7DF8A226">
      <w:pPr>
        <w:spacing w:before="19"/>
      </w:pPr>
    </w:p>
    <w:tbl>
      <w:tblPr>
        <w:tblStyle w:val="5"/>
        <w:tblW w:w="93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0"/>
        <w:gridCol w:w="450"/>
        <w:gridCol w:w="990"/>
        <w:gridCol w:w="1360"/>
        <w:gridCol w:w="4630"/>
        <w:gridCol w:w="1120"/>
      </w:tblGrid>
      <w:tr w14:paraId="16403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90" w:type="dxa"/>
            <w:vMerge w:val="restart"/>
            <w:tcBorders>
              <w:left w:val="nil"/>
              <w:bottom w:val="nil"/>
            </w:tcBorders>
            <w:vAlign w:val="top"/>
          </w:tcPr>
          <w:p w14:paraId="3E20D11B">
            <w:pPr>
              <w:rPr>
                <w:rFonts w:ascii="Arial"/>
                <w:sz w:val="21"/>
              </w:rPr>
            </w:pPr>
          </w:p>
        </w:tc>
        <w:tc>
          <w:tcPr>
            <w:tcW w:w="450" w:type="dxa"/>
            <w:vMerge w:val="restart"/>
            <w:tcBorders>
              <w:bottom w:val="nil"/>
            </w:tcBorders>
            <w:vAlign w:val="top"/>
          </w:tcPr>
          <w:p w14:paraId="0DDB31F5">
            <w:pPr>
              <w:rPr>
                <w:rFonts w:ascii="Arial"/>
                <w:sz w:val="21"/>
              </w:rPr>
            </w:pPr>
          </w:p>
        </w:tc>
        <w:tc>
          <w:tcPr>
            <w:tcW w:w="990" w:type="dxa"/>
            <w:vMerge w:val="restart"/>
            <w:tcBorders>
              <w:bottom w:val="nil"/>
            </w:tcBorders>
            <w:vAlign w:val="top"/>
          </w:tcPr>
          <w:p w14:paraId="4F18C135">
            <w:pPr>
              <w:rPr>
                <w:rFonts w:ascii="Arial"/>
                <w:sz w:val="21"/>
              </w:rPr>
            </w:pPr>
          </w:p>
        </w:tc>
        <w:tc>
          <w:tcPr>
            <w:tcW w:w="1360" w:type="dxa"/>
            <w:vAlign w:val="top"/>
          </w:tcPr>
          <w:p w14:paraId="0F992B43">
            <w:pPr>
              <w:pStyle w:val="6"/>
              <w:spacing w:before="42" w:line="251" w:lineRule="auto"/>
              <w:ind w:left="254" w:right="154" w:hanging="110"/>
              <w:rPr>
                <w:sz w:val="21"/>
                <w:szCs w:val="21"/>
              </w:rPr>
            </w:pPr>
            <w:r>
              <w:rPr>
                <w:sz w:val="21"/>
                <w:szCs w:val="21"/>
              </w:rPr>
              <w:t xml:space="preserve">一、二次设 </w:t>
            </w:r>
            <w:r>
              <w:rPr>
                <w:spacing w:val="-3"/>
                <w:sz w:val="21"/>
                <w:szCs w:val="21"/>
              </w:rPr>
              <w:t>备预制舱</w:t>
            </w:r>
          </w:p>
        </w:tc>
        <w:tc>
          <w:tcPr>
            <w:tcW w:w="4630" w:type="dxa"/>
            <w:vAlign w:val="top"/>
          </w:tcPr>
          <w:p w14:paraId="083CDF11">
            <w:pPr>
              <w:pStyle w:val="6"/>
              <w:spacing w:before="43" w:line="219" w:lineRule="auto"/>
              <w:ind w:left="105"/>
              <w:rPr>
                <w:sz w:val="21"/>
                <w:szCs w:val="21"/>
              </w:rPr>
            </w:pPr>
            <w:r>
              <w:rPr>
                <w:sz w:val="21"/>
                <w:szCs w:val="21"/>
              </w:rPr>
              <w:t>35kV预制舱(17*6.8*4.3)含配套，二次设备预制</w:t>
            </w:r>
          </w:p>
          <w:p w14:paraId="178AAC4B">
            <w:pPr>
              <w:pStyle w:val="6"/>
              <w:spacing w:before="90" w:line="203" w:lineRule="auto"/>
              <w:ind w:left="785"/>
              <w:rPr>
                <w:sz w:val="21"/>
                <w:szCs w:val="21"/>
              </w:rPr>
            </w:pPr>
            <w:r>
              <w:rPr>
                <w:spacing w:val="1"/>
                <w:sz w:val="21"/>
                <w:szCs w:val="21"/>
              </w:rPr>
              <w:t>舱23.2m(长)*6.7m(宽)*3.5m(高)</w:t>
            </w:r>
          </w:p>
        </w:tc>
        <w:tc>
          <w:tcPr>
            <w:tcW w:w="1120" w:type="dxa"/>
            <w:tcBorders>
              <w:right w:val="nil"/>
            </w:tcBorders>
            <w:vAlign w:val="top"/>
          </w:tcPr>
          <w:p w14:paraId="52B5E0AE">
            <w:pPr>
              <w:pStyle w:val="6"/>
              <w:spacing w:before="212" w:line="219" w:lineRule="auto"/>
              <w:ind w:left="134"/>
              <w:rPr>
                <w:sz w:val="21"/>
                <w:szCs w:val="21"/>
              </w:rPr>
            </w:pPr>
            <w:r>
              <w:rPr>
                <w:spacing w:val="-2"/>
                <w:sz w:val="21"/>
                <w:szCs w:val="21"/>
              </w:rPr>
              <w:t>本期新建</w:t>
            </w:r>
          </w:p>
        </w:tc>
      </w:tr>
      <w:tr w14:paraId="2EDB0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790" w:type="dxa"/>
            <w:vMerge w:val="continue"/>
            <w:tcBorders>
              <w:top w:val="nil"/>
              <w:left w:val="nil"/>
              <w:bottom w:val="nil"/>
            </w:tcBorders>
            <w:vAlign w:val="top"/>
          </w:tcPr>
          <w:p w14:paraId="6CD73029">
            <w:pPr>
              <w:rPr>
                <w:rFonts w:ascii="Arial"/>
                <w:sz w:val="21"/>
              </w:rPr>
            </w:pPr>
          </w:p>
        </w:tc>
        <w:tc>
          <w:tcPr>
            <w:tcW w:w="450" w:type="dxa"/>
            <w:vMerge w:val="continue"/>
            <w:tcBorders>
              <w:top w:val="nil"/>
            </w:tcBorders>
            <w:vAlign w:val="top"/>
          </w:tcPr>
          <w:p w14:paraId="40533986">
            <w:pPr>
              <w:rPr>
                <w:rFonts w:ascii="Arial"/>
                <w:sz w:val="21"/>
              </w:rPr>
            </w:pPr>
          </w:p>
        </w:tc>
        <w:tc>
          <w:tcPr>
            <w:tcW w:w="990" w:type="dxa"/>
            <w:vMerge w:val="continue"/>
            <w:tcBorders>
              <w:top w:val="nil"/>
            </w:tcBorders>
            <w:vAlign w:val="top"/>
          </w:tcPr>
          <w:p w14:paraId="1CD939AA">
            <w:pPr>
              <w:rPr>
                <w:rFonts w:ascii="Arial"/>
                <w:sz w:val="21"/>
              </w:rPr>
            </w:pPr>
          </w:p>
        </w:tc>
        <w:tc>
          <w:tcPr>
            <w:tcW w:w="1360" w:type="dxa"/>
            <w:vAlign w:val="top"/>
          </w:tcPr>
          <w:p w14:paraId="60F53EDD">
            <w:pPr>
              <w:spacing w:line="299" w:lineRule="auto"/>
              <w:rPr>
                <w:rFonts w:ascii="Arial"/>
                <w:sz w:val="21"/>
              </w:rPr>
            </w:pPr>
          </w:p>
          <w:p w14:paraId="61860BB4">
            <w:pPr>
              <w:pStyle w:val="6"/>
              <w:spacing w:before="68" w:line="219" w:lineRule="auto"/>
              <w:ind w:left="144"/>
              <w:rPr>
                <w:sz w:val="21"/>
                <w:szCs w:val="21"/>
              </w:rPr>
            </w:pPr>
            <w:r>
              <w:rPr>
                <w:spacing w:val="2"/>
                <w:sz w:val="21"/>
                <w:szCs w:val="21"/>
              </w:rPr>
              <w:t>消防水泵房</w:t>
            </w:r>
          </w:p>
        </w:tc>
        <w:tc>
          <w:tcPr>
            <w:tcW w:w="4630" w:type="dxa"/>
            <w:vAlign w:val="top"/>
          </w:tcPr>
          <w:p w14:paraId="3126799A">
            <w:pPr>
              <w:pStyle w:val="6"/>
              <w:spacing w:before="79" w:line="219" w:lineRule="auto"/>
              <w:ind w:left="154"/>
              <w:rPr>
                <w:sz w:val="21"/>
                <w:szCs w:val="21"/>
              </w:rPr>
            </w:pPr>
            <w:r>
              <w:rPr>
                <w:spacing w:val="-1"/>
                <w:sz w:val="21"/>
                <w:szCs w:val="21"/>
              </w:rPr>
              <w:t>消防水池有效容积大于216m3。设置一套消火栓</w:t>
            </w:r>
          </w:p>
          <w:p w14:paraId="4F4A32EF">
            <w:pPr>
              <w:pStyle w:val="6"/>
              <w:spacing w:before="50" w:line="219" w:lineRule="auto"/>
              <w:ind w:left="255"/>
              <w:rPr>
                <w:sz w:val="21"/>
                <w:szCs w:val="21"/>
              </w:rPr>
            </w:pPr>
            <w:r>
              <w:rPr>
                <w:sz w:val="21"/>
                <w:szCs w:val="21"/>
              </w:rPr>
              <w:t>给水设备(含消防泵2台)、一套消防稳压设备</w:t>
            </w:r>
          </w:p>
          <w:p w14:paraId="3A3E1185">
            <w:pPr>
              <w:pStyle w:val="6"/>
              <w:spacing w:before="60" w:line="211" w:lineRule="auto"/>
              <w:ind w:left="1045"/>
              <w:rPr>
                <w:sz w:val="21"/>
                <w:szCs w:val="21"/>
              </w:rPr>
            </w:pPr>
            <w:r>
              <w:rPr>
                <w:spacing w:val="3"/>
                <w:sz w:val="21"/>
                <w:szCs w:val="21"/>
              </w:rPr>
              <w:t>(含稳压泵2台、稳压罐1个)</w:t>
            </w:r>
          </w:p>
        </w:tc>
        <w:tc>
          <w:tcPr>
            <w:tcW w:w="1120" w:type="dxa"/>
            <w:tcBorders>
              <w:right w:val="nil"/>
            </w:tcBorders>
            <w:vAlign w:val="top"/>
          </w:tcPr>
          <w:p w14:paraId="6B03C5E9">
            <w:pPr>
              <w:spacing w:line="298" w:lineRule="auto"/>
              <w:rPr>
                <w:rFonts w:ascii="Arial"/>
                <w:sz w:val="21"/>
              </w:rPr>
            </w:pPr>
          </w:p>
          <w:p w14:paraId="6E6014D6">
            <w:pPr>
              <w:pStyle w:val="6"/>
              <w:spacing w:before="68" w:line="219" w:lineRule="auto"/>
              <w:ind w:left="134"/>
              <w:rPr>
                <w:sz w:val="21"/>
                <w:szCs w:val="21"/>
              </w:rPr>
            </w:pPr>
            <w:r>
              <w:rPr>
                <w:spacing w:val="-2"/>
                <w:sz w:val="21"/>
                <w:szCs w:val="21"/>
              </w:rPr>
              <w:t>本期新建</w:t>
            </w:r>
          </w:p>
        </w:tc>
      </w:tr>
      <w:tr w14:paraId="7A89F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90" w:type="dxa"/>
            <w:vMerge w:val="continue"/>
            <w:tcBorders>
              <w:top w:val="nil"/>
              <w:left w:val="nil"/>
              <w:bottom w:val="nil"/>
            </w:tcBorders>
            <w:vAlign w:val="top"/>
          </w:tcPr>
          <w:p w14:paraId="1E8F641F">
            <w:pPr>
              <w:rPr>
                <w:rFonts w:ascii="Arial"/>
                <w:sz w:val="21"/>
              </w:rPr>
            </w:pPr>
          </w:p>
        </w:tc>
        <w:tc>
          <w:tcPr>
            <w:tcW w:w="450" w:type="dxa"/>
            <w:vMerge w:val="restart"/>
            <w:tcBorders>
              <w:bottom w:val="nil"/>
            </w:tcBorders>
            <w:textDirection w:val="tbRlV"/>
            <w:vAlign w:val="top"/>
          </w:tcPr>
          <w:p w14:paraId="797B3430">
            <w:pPr>
              <w:pStyle w:val="6"/>
              <w:spacing w:before="122" w:line="203" w:lineRule="auto"/>
              <w:ind w:left="569"/>
              <w:rPr>
                <w:sz w:val="21"/>
                <w:szCs w:val="21"/>
              </w:rPr>
            </w:pPr>
            <w:r>
              <w:rPr>
                <w:color w:val="403030"/>
                <w:sz w:val="21"/>
                <w:szCs w:val="21"/>
              </w:rPr>
              <w:t>公</w:t>
            </w:r>
            <w:r>
              <w:rPr>
                <w:color w:val="403030"/>
                <w:spacing w:val="-33"/>
                <w:sz w:val="21"/>
                <w:szCs w:val="21"/>
              </w:rPr>
              <w:t xml:space="preserve"> </w:t>
            </w:r>
            <w:r>
              <w:rPr>
                <w:color w:val="403030"/>
                <w:sz w:val="21"/>
                <w:szCs w:val="21"/>
              </w:rPr>
              <w:t>用</w:t>
            </w:r>
            <w:r>
              <w:rPr>
                <w:color w:val="403030"/>
                <w:spacing w:val="-33"/>
                <w:sz w:val="21"/>
                <w:szCs w:val="21"/>
              </w:rPr>
              <w:t xml:space="preserve"> </w:t>
            </w:r>
            <w:r>
              <w:rPr>
                <w:color w:val="403030"/>
                <w:sz w:val="21"/>
                <w:szCs w:val="21"/>
              </w:rPr>
              <w:t>工</w:t>
            </w:r>
            <w:r>
              <w:rPr>
                <w:color w:val="403030"/>
                <w:spacing w:val="-33"/>
                <w:sz w:val="21"/>
                <w:szCs w:val="21"/>
              </w:rPr>
              <w:t xml:space="preserve"> </w:t>
            </w:r>
            <w:r>
              <w:rPr>
                <w:color w:val="403030"/>
                <w:sz w:val="21"/>
                <w:szCs w:val="21"/>
              </w:rPr>
              <w:t>程</w:t>
            </w:r>
          </w:p>
        </w:tc>
        <w:tc>
          <w:tcPr>
            <w:tcW w:w="990" w:type="dxa"/>
            <w:vAlign w:val="top"/>
          </w:tcPr>
          <w:p w14:paraId="6A1FE448">
            <w:pPr>
              <w:pStyle w:val="6"/>
              <w:spacing w:before="20" w:line="219" w:lineRule="auto"/>
              <w:ind w:left="175"/>
              <w:rPr>
                <w:sz w:val="21"/>
                <w:szCs w:val="21"/>
              </w:rPr>
            </w:pPr>
            <w:r>
              <w:rPr>
                <w:spacing w:val="3"/>
                <w:sz w:val="21"/>
                <w:szCs w:val="21"/>
              </w:rPr>
              <w:t>给水工</w:t>
            </w:r>
          </w:p>
          <w:p w14:paraId="2EFB8A3F">
            <w:pPr>
              <w:pStyle w:val="6"/>
              <w:spacing w:before="31" w:line="200" w:lineRule="auto"/>
              <w:ind w:left="385"/>
              <w:rPr>
                <w:sz w:val="21"/>
                <w:szCs w:val="21"/>
              </w:rPr>
            </w:pPr>
            <w:r>
              <w:rPr>
                <w:sz w:val="21"/>
                <w:szCs w:val="21"/>
              </w:rPr>
              <w:t>程</w:t>
            </w:r>
          </w:p>
        </w:tc>
        <w:tc>
          <w:tcPr>
            <w:tcW w:w="5990" w:type="dxa"/>
            <w:gridSpan w:val="2"/>
            <w:vAlign w:val="top"/>
          </w:tcPr>
          <w:p w14:paraId="14D0685F">
            <w:pPr>
              <w:pStyle w:val="6"/>
              <w:spacing w:before="169" w:line="219" w:lineRule="auto"/>
              <w:ind w:left="154"/>
              <w:rPr>
                <w:sz w:val="21"/>
                <w:szCs w:val="21"/>
              </w:rPr>
            </w:pPr>
            <w:r>
              <w:rPr>
                <w:sz w:val="21"/>
                <w:szCs w:val="21"/>
              </w:rPr>
              <w:t>升压站程暂定采用打井取水，在站内适当位置设置1口取水井。</w:t>
            </w:r>
          </w:p>
        </w:tc>
        <w:tc>
          <w:tcPr>
            <w:tcW w:w="1120" w:type="dxa"/>
            <w:tcBorders>
              <w:right w:val="nil"/>
            </w:tcBorders>
            <w:vAlign w:val="top"/>
          </w:tcPr>
          <w:p w14:paraId="0737E3B3">
            <w:pPr>
              <w:pStyle w:val="6"/>
              <w:spacing w:before="169" w:line="219" w:lineRule="auto"/>
              <w:ind w:left="134"/>
              <w:rPr>
                <w:sz w:val="21"/>
                <w:szCs w:val="21"/>
              </w:rPr>
            </w:pPr>
            <w:r>
              <w:rPr>
                <w:spacing w:val="-2"/>
                <w:sz w:val="21"/>
                <w:szCs w:val="21"/>
              </w:rPr>
              <w:t>本期新建</w:t>
            </w:r>
          </w:p>
        </w:tc>
      </w:tr>
      <w:tr w14:paraId="1D8BA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790" w:type="dxa"/>
            <w:vMerge w:val="continue"/>
            <w:tcBorders>
              <w:top w:val="nil"/>
              <w:left w:val="nil"/>
              <w:bottom w:val="nil"/>
            </w:tcBorders>
            <w:vAlign w:val="top"/>
          </w:tcPr>
          <w:p w14:paraId="74DAD7EF">
            <w:pPr>
              <w:rPr>
                <w:rFonts w:ascii="Arial"/>
                <w:sz w:val="21"/>
              </w:rPr>
            </w:pPr>
          </w:p>
        </w:tc>
        <w:tc>
          <w:tcPr>
            <w:tcW w:w="450" w:type="dxa"/>
            <w:vMerge w:val="continue"/>
            <w:tcBorders>
              <w:top w:val="nil"/>
              <w:bottom w:val="nil"/>
            </w:tcBorders>
            <w:textDirection w:val="tbRlV"/>
            <w:vAlign w:val="top"/>
          </w:tcPr>
          <w:p w14:paraId="144004D4">
            <w:pPr>
              <w:rPr>
                <w:rFonts w:ascii="Arial"/>
                <w:sz w:val="21"/>
              </w:rPr>
            </w:pPr>
          </w:p>
        </w:tc>
        <w:tc>
          <w:tcPr>
            <w:tcW w:w="990" w:type="dxa"/>
            <w:vAlign w:val="top"/>
          </w:tcPr>
          <w:p w14:paraId="3941249C">
            <w:pPr>
              <w:spacing w:line="241" w:lineRule="auto"/>
              <w:rPr>
                <w:rFonts w:ascii="Arial"/>
                <w:sz w:val="21"/>
              </w:rPr>
            </w:pPr>
          </w:p>
          <w:p w14:paraId="0E01B6DD">
            <w:pPr>
              <w:pStyle w:val="6"/>
              <w:spacing w:before="69" w:line="219" w:lineRule="auto"/>
              <w:ind w:left="175"/>
              <w:rPr>
                <w:sz w:val="21"/>
                <w:szCs w:val="21"/>
              </w:rPr>
            </w:pPr>
            <w:r>
              <w:rPr>
                <w:spacing w:val="-2"/>
                <w:sz w:val="21"/>
                <w:szCs w:val="21"/>
              </w:rPr>
              <w:t>排水工</w:t>
            </w:r>
          </w:p>
          <w:p w14:paraId="33CF471F">
            <w:pPr>
              <w:pStyle w:val="6"/>
              <w:spacing w:before="21" w:line="220" w:lineRule="auto"/>
              <w:ind w:left="385"/>
              <w:rPr>
                <w:sz w:val="21"/>
                <w:szCs w:val="21"/>
              </w:rPr>
            </w:pPr>
            <w:r>
              <w:rPr>
                <w:sz w:val="21"/>
                <w:szCs w:val="21"/>
              </w:rPr>
              <w:t>程</w:t>
            </w:r>
          </w:p>
        </w:tc>
        <w:tc>
          <w:tcPr>
            <w:tcW w:w="5990" w:type="dxa"/>
            <w:gridSpan w:val="2"/>
            <w:vAlign w:val="top"/>
          </w:tcPr>
          <w:p w14:paraId="3998BEC3">
            <w:pPr>
              <w:pStyle w:val="6"/>
              <w:spacing w:before="60" w:line="219" w:lineRule="auto"/>
              <w:ind w:left="154"/>
              <w:rPr>
                <w:sz w:val="21"/>
                <w:szCs w:val="21"/>
              </w:rPr>
            </w:pPr>
            <w:r>
              <w:rPr>
                <w:sz w:val="21"/>
                <w:szCs w:val="21"/>
              </w:rPr>
              <w:t>站区排水采用雨污分流。生活废水经隔油池、化粪池预处理后</w:t>
            </w:r>
          </w:p>
          <w:p w14:paraId="452BDD0F">
            <w:pPr>
              <w:pStyle w:val="6"/>
              <w:spacing w:before="2" w:line="219" w:lineRule="auto"/>
              <w:ind w:left="154"/>
              <w:rPr>
                <w:sz w:val="21"/>
                <w:szCs w:val="21"/>
              </w:rPr>
            </w:pPr>
            <w:r>
              <w:rPr>
                <w:sz w:val="21"/>
                <w:szCs w:val="21"/>
              </w:rPr>
              <w:t>排入一体化污水处理设施进行处理，处理达标后用于升压站场</w:t>
            </w:r>
          </w:p>
          <w:p w14:paraId="517CC50C">
            <w:pPr>
              <w:pStyle w:val="6"/>
              <w:spacing w:before="30" w:line="219" w:lineRule="auto"/>
              <w:ind w:left="154"/>
              <w:rPr>
                <w:sz w:val="21"/>
                <w:szCs w:val="21"/>
              </w:rPr>
            </w:pPr>
            <w:r>
              <w:rPr>
                <w:sz w:val="21"/>
                <w:szCs w:val="21"/>
              </w:rPr>
              <w:t>内绿化及洒水降尘，雨天储存，不外排。站区内雨水通过设置</w:t>
            </w:r>
          </w:p>
          <w:p w14:paraId="7AFDF08D">
            <w:pPr>
              <w:pStyle w:val="6"/>
              <w:spacing w:before="30" w:line="183" w:lineRule="auto"/>
              <w:ind w:left="935"/>
              <w:rPr>
                <w:sz w:val="21"/>
                <w:szCs w:val="21"/>
              </w:rPr>
            </w:pPr>
            <w:r>
              <w:rPr>
                <w:sz w:val="21"/>
                <w:szCs w:val="21"/>
              </w:rPr>
              <w:t>在场地上的雨水口收集，汇入地下雨水管网。</w:t>
            </w:r>
          </w:p>
        </w:tc>
        <w:tc>
          <w:tcPr>
            <w:tcW w:w="1120" w:type="dxa"/>
            <w:tcBorders>
              <w:right w:val="nil"/>
            </w:tcBorders>
            <w:vAlign w:val="top"/>
          </w:tcPr>
          <w:p w14:paraId="6E0CFA66">
            <w:pPr>
              <w:spacing w:line="369" w:lineRule="auto"/>
              <w:rPr>
                <w:rFonts w:ascii="Arial"/>
                <w:sz w:val="21"/>
              </w:rPr>
            </w:pPr>
          </w:p>
          <w:p w14:paraId="474BA071">
            <w:pPr>
              <w:pStyle w:val="6"/>
              <w:spacing w:before="69" w:line="219" w:lineRule="auto"/>
              <w:ind w:left="134"/>
              <w:rPr>
                <w:sz w:val="21"/>
                <w:szCs w:val="21"/>
              </w:rPr>
            </w:pPr>
            <w:r>
              <w:rPr>
                <w:spacing w:val="-2"/>
                <w:sz w:val="21"/>
                <w:szCs w:val="21"/>
              </w:rPr>
              <w:t>本期新建</w:t>
            </w:r>
          </w:p>
        </w:tc>
      </w:tr>
      <w:tr w14:paraId="1339E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90" w:type="dxa"/>
            <w:vMerge w:val="continue"/>
            <w:tcBorders>
              <w:top w:val="nil"/>
              <w:left w:val="nil"/>
              <w:bottom w:val="nil"/>
            </w:tcBorders>
            <w:vAlign w:val="top"/>
          </w:tcPr>
          <w:p w14:paraId="6F818455">
            <w:pPr>
              <w:rPr>
                <w:rFonts w:ascii="Arial"/>
                <w:sz w:val="21"/>
              </w:rPr>
            </w:pPr>
          </w:p>
        </w:tc>
        <w:tc>
          <w:tcPr>
            <w:tcW w:w="450" w:type="dxa"/>
            <w:vMerge w:val="continue"/>
            <w:tcBorders>
              <w:top w:val="nil"/>
            </w:tcBorders>
            <w:textDirection w:val="tbRlV"/>
            <w:vAlign w:val="top"/>
          </w:tcPr>
          <w:p w14:paraId="3C17DAFD">
            <w:pPr>
              <w:rPr>
                <w:rFonts w:ascii="Arial"/>
                <w:sz w:val="21"/>
              </w:rPr>
            </w:pPr>
          </w:p>
        </w:tc>
        <w:tc>
          <w:tcPr>
            <w:tcW w:w="990" w:type="dxa"/>
            <w:vAlign w:val="top"/>
          </w:tcPr>
          <w:p w14:paraId="1DF1B206">
            <w:pPr>
              <w:pStyle w:val="6"/>
              <w:spacing w:before="36" w:line="222" w:lineRule="auto"/>
              <w:ind w:left="175"/>
              <w:rPr>
                <w:sz w:val="21"/>
                <w:szCs w:val="21"/>
              </w:rPr>
            </w:pPr>
            <w:r>
              <w:rPr>
                <w:spacing w:val="-2"/>
                <w:sz w:val="21"/>
                <w:szCs w:val="21"/>
              </w:rPr>
              <w:t>进站道</w:t>
            </w:r>
          </w:p>
          <w:p w14:paraId="57727C6B">
            <w:pPr>
              <w:pStyle w:val="6"/>
              <w:spacing w:before="34" w:line="199" w:lineRule="auto"/>
              <w:ind w:left="385"/>
              <w:rPr>
                <w:sz w:val="21"/>
                <w:szCs w:val="21"/>
              </w:rPr>
            </w:pPr>
            <w:r>
              <w:rPr>
                <w:sz w:val="21"/>
                <w:szCs w:val="21"/>
              </w:rPr>
              <w:t>路</w:t>
            </w:r>
          </w:p>
        </w:tc>
        <w:tc>
          <w:tcPr>
            <w:tcW w:w="5990" w:type="dxa"/>
            <w:gridSpan w:val="2"/>
            <w:vAlign w:val="top"/>
          </w:tcPr>
          <w:p w14:paraId="529349D7">
            <w:pPr>
              <w:pStyle w:val="6"/>
              <w:spacing w:before="183" w:line="220" w:lineRule="auto"/>
              <w:ind w:left="2255"/>
              <w:rPr>
                <w:sz w:val="21"/>
                <w:szCs w:val="21"/>
              </w:rPr>
            </w:pPr>
            <w:r>
              <w:rPr>
                <w:spacing w:val="-2"/>
                <w:sz w:val="21"/>
                <w:szCs w:val="21"/>
              </w:rPr>
              <w:t>从现有乡道引接</w:t>
            </w:r>
          </w:p>
        </w:tc>
        <w:tc>
          <w:tcPr>
            <w:tcW w:w="1120" w:type="dxa"/>
            <w:tcBorders>
              <w:right w:val="nil"/>
            </w:tcBorders>
            <w:vAlign w:val="top"/>
          </w:tcPr>
          <w:p w14:paraId="35B7F364">
            <w:pPr>
              <w:pStyle w:val="6"/>
              <w:spacing w:before="181" w:line="219" w:lineRule="auto"/>
              <w:ind w:left="134"/>
              <w:rPr>
                <w:sz w:val="21"/>
                <w:szCs w:val="21"/>
              </w:rPr>
            </w:pPr>
            <w:r>
              <w:rPr>
                <w:spacing w:val="-2"/>
                <w:sz w:val="21"/>
                <w:szCs w:val="21"/>
              </w:rPr>
              <w:t>本期新建</w:t>
            </w:r>
          </w:p>
        </w:tc>
      </w:tr>
      <w:tr w14:paraId="471C3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8" w:hRule="atLeast"/>
        </w:trPr>
        <w:tc>
          <w:tcPr>
            <w:tcW w:w="790" w:type="dxa"/>
            <w:vMerge w:val="continue"/>
            <w:tcBorders>
              <w:top w:val="nil"/>
              <w:left w:val="nil"/>
              <w:bottom w:val="nil"/>
            </w:tcBorders>
            <w:vAlign w:val="top"/>
          </w:tcPr>
          <w:p w14:paraId="56755022">
            <w:pPr>
              <w:rPr>
                <w:rFonts w:ascii="Arial"/>
                <w:sz w:val="21"/>
              </w:rPr>
            </w:pPr>
          </w:p>
        </w:tc>
        <w:tc>
          <w:tcPr>
            <w:tcW w:w="450" w:type="dxa"/>
            <w:vMerge w:val="restart"/>
            <w:tcBorders>
              <w:bottom w:val="nil"/>
            </w:tcBorders>
            <w:textDirection w:val="tbRlV"/>
            <w:vAlign w:val="top"/>
          </w:tcPr>
          <w:p w14:paraId="41C4A4A6">
            <w:pPr>
              <w:pStyle w:val="6"/>
              <w:spacing w:before="122" w:line="203" w:lineRule="auto"/>
              <w:ind w:left="2196"/>
              <w:rPr>
                <w:sz w:val="21"/>
                <w:szCs w:val="21"/>
              </w:rPr>
            </w:pPr>
            <w:r>
              <w:rPr>
                <w:sz w:val="21"/>
                <w:szCs w:val="21"/>
              </w:rPr>
              <w:t>环</w:t>
            </w:r>
            <w:r>
              <w:rPr>
                <w:spacing w:val="-24"/>
                <w:sz w:val="21"/>
                <w:szCs w:val="21"/>
              </w:rPr>
              <w:t xml:space="preserve"> </w:t>
            </w:r>
            <w:r>
              <w:rPr>
                <w:sz w:val="21"/>
                <w:szCs w:val="21"/>
              </w:rPr>
              <w:t>保</w:t>
            </w:r>
            <w:r>
              <w:rPr>
                <w:spacing w:val="-24"/>
                <w:sz w:val="21"/>
                <w:szCs w:val="21"/>
              </w:rPr>
              <w:t xml:space="preserve"> </w:t>
            </w:r>
            <w:r>
              <w:rPr>
                <w:sz w:val="21"/>
                <w:szCs w:val="21"/>
              </w:rPr>
              <w:t>工</w:t>
            </w:r>
            <w:r>
              <w:rPr>
                <w:spacing w:val="-24"/>
                <w:sz w:val="21"/>
                <w:szCs w:val="21"/>
              </w:rPr>
              <w:t xml:space="preserve"> </w:t>
            </w:r>
            <w:r>
              <w:rPr>
                <w:sz w:val="21"/>
                <w:szCs w:val="21"/>
              </w:rPr>
              <w:t>程</w:t>
            </w:r>
          </w:p>
        </w:tc>
        <w:tc>
          <w:tcPr>
            <w:tcW w:w="990" w:type="dxa"/>
            <w:vAlign w:val="top"/>
          </w:tcPr>
          <w:p w14:paraId="601BC42C">
            <w:pPr>
              <w:spacing w:line="251" w:lineRule="auto"/>
              <w:rPr>
                <w:rFonts w:ascii="Arial"/>
                <w:sz w:val="21"/>
              </w:rPr>
            </w:pPr>
          </w:p>
          <w:p w14:paraId="03C3FC7F">
            <w:pPr>
              <w:spacing w:line="251" w:lineRule="auto"/>
              <w:rPr>
                <w:rFonts w:ascii="Arial"/>
                <w:sz w:val="21"/>
              </w:rPr>
            </w:pPr>
          </w:p>
          <w:p w14:paraId="237D982C">
            <w:pPr>
              <w:pStyle w:val="6"/>
              <w:spacing w:before="68" w:line="219" w:lineRule="auto"/>
              <w:ind w:left="175"/>
              <w:rPr>
                <w:sz w:val="21"/>
                <w:szCs w:val="21"/>
              </w:rPr>
            </w:pPr>
            <w:r>
              <w:rPr>
                <w:spacing w:val="-2"/>
                <w:sz w:val="21"/>
                <w:szCs w:val="21"/>
              </w:rPr>
              <w:t>废水处</w:t>
            </w:r>
          </w:p>
          <w:p w14:paraId="7C6F722B">
            <w:pPr>
              <w:pStyle w:val="6"/>
              <w:spacing w:before="32" w:line="229" w:lineRule="auto"/>
              <w:ind w:left="385"/>
              <w:rPr>
                <w:sz w:val="21"/>
                <w:szCs w:val="21"/>
              </w:rPr>
            </w:pPr>
            <w:r>
              <w:rPr>
                <w:sz w:val="21"/>
                <w:szCs w:val="21"/>
              </w:rPr>
              <w:t>理</w:t>
            </w:r>
          </w:p>
        </w:tc>
        <w:tc>
          <w:tcPr>
            <w:tcW w:w="5990" w:type="dxa"/>
            <w:gridSpan w:val="2"/>
            <w:vAlign w:val="top"/>
          </w:tcPr>
          <w:p w14:paraId="3BB90EF8">
            <w:pPr>
              <w:pStyle w:val="6"/>
              <w:spacing w:before="22" w:line="219" w:lineRule="auto"/>
              <w:ind w:left="154"/>
              <w:rPr>
                <w:sz w:val="21"/>
                <w:szCs w:val="21"/>
              </w:rPr>
            </w:pPr>
            <w:r>
              <w:rPr>
                <w:sz w:val="21"/>
                <w:szCs w:val="21"/>
              </w:rPr>
              <w:t>项目站区排水采用雨污分流。升压站办公生活区内建设食堂废</w:t>
            </w:r>
          </w:p>
          <w:p w14:paraId="60B2317A">
            <w:pPr>
              <w:pStyle w:val="6"/>
              <w:spacing w:before="29" w:line="216" w:lineRule="auto"/>
              <w:jc w:val="right"/>
              <w:rPr>
                <w:sz w:val="21"/>
                <w:szCs w:val="21"/>
              </w:rPr>
            </w:pPr>
            <w:r>
              <w:rPr>
                <w:spacing w:val="8"/>
                <w:sz w:val="21"/>
                <w:szCs w:val="21"/>
              </w:rPr>
              <w:t>水隔油池1个，容积应≥0.2m³;建设化粪池1个，</w:t>
            </w:r>
            <w:r>
              <w:rPr>
                <w:spacing w:val="7"/>
                <w:sz w:val="21"/>
                <w:szCs w:val="21"/>
              </w:rPr>
              <w:t>容积为1.0m³,</w:t>
            </w:r>
          </w:p>
          <w:p w14:paraId="6EB06750">
            <w:pPr>
              <w:pStyle w:val="6"/>
              <w:spacing w:before="46" w:line="211" w:lineRule="auto"/>
              <w:ind w:left="154"/>
              <w:rPr>
                <w:sz w:val="21"/>
                <w:szCs w:val="21"/>
              </w:rPr>
            </w:pPr>
            <w:r>
              <w:rPr>
                <w:spacing w:val="3"/>
                <w:sz w:val="21"/>
                <w:szCs w:val="21"/>
              </w:rPr>
              <w:t>建设一体化污水处理设施1套，处理规模为1.0m³/d;建设生活</w:t>
            </w:r>
          </w:p>
          <w:p w14:paraId="667EA57D">
            <w:pPr>
              <w:pStyle w:val="6"/>
              <w:spacing w:line="219" w:lineRule="auto"/>
              <w:ind w:left="154"/>
              <w:rPr>
                <w:sz w:val="21"/>
                <w:szCs w:val="21"/>
              </w:rPr>
            </w:pPr>
            <w:r>
              <w:rPr>
                <w:spacing w:val="4"/>
                <w:sz w:val="21"/>
                <w:szCs w:val="21"/>
              </w:rPr>
              <w:t>废水收集池1个，容积为4m³;生活废水经隔油池、化粪</w:t>
            </w:r>
            <w:r>
              <w:rPr>
                <w:spacing w:val="3"/>
                <w:sz w:val="21"/>
                <w:szCs w:val="21"/>
              </w:rPr>
              <w:t>池预处</w:t>
            </w:r>
          </w:p>
          <w:p w14:paraId="05795BD5">
            <w:pPr>
              <w:pStyle w:val="6"/>
              <w:spacing w:before="40" w:line="219" w:lineRule="auto"/>
              <w:ind w:left="154"/>
              <w:rPr>
                <w:sz w:val="21"/>
                <w:szCs w:val="21"/>
              </w:rPr>
            </w:pPr>
            <w:r>
              <w:rPr>
                <w:sz w:val="21"/>
                <w:szCs w:val="21"/>
              </w:rPr>
              <w:t>理后排入一体化污水处理设施进行处理，处理达标后用于升压</w:t>
            </w:r>
          </w:p>
          <w:p w14:paraId="2EB7C08A">
            <w:pPr>
              <w:pStyle w:val="6"/>
              <w:spacing w:before="11" w:line="206" w:lineRule="auto"/>
              <w:ind w:left="935"/>
              <w:rPr>
                <w:sz w:val="21"/>
                <w:szCs w:val="21"/>
              </w:rPr>
            </w:pPr>
            <w:r>
              <w:rPr>
                <w:sz w:val="21"/>
                <w:szCs w:val="21"/>
              </w:rPr>
              <w:t>站场内绿化及洒水降尘，雨天储存，不外排。</w:t>
            </w:r>
          </w:p>
        </w:tc>
        <w:tc>
          <w:tcPr>
            <w:tcW w:w="1120" w:type="dxa"/>
            <w:tcBorders>
              <w:right w:val="nil"/>
            </w:tcBorders>
            <w:vAlign w:val="top"/>
          </w:tcPr>
          <w:p w14:paraId="706BCF0D">
            <w:pPr>
              <w:spacing w:line="320" w:lineRule="auto"/>
              <w:rPr>
                <w:rFonts w:ascii="Arial"/>
                <w:sz w:val="21"/>
              </w:rPr>
            </w:pPr>
          </w:p>
          <w:p w14:paraId="17F37489">
            <w:pPr>
              <w:spacing w:line="320" w:lineRule="auto"/>
              <w:rPr>
                <w:rFonts w:ascii="Arial"/>
                <w:sz w:val="21"/>
              </w:rPr>
            </w:pPr>
          </w:p>
          <w:p w14:paraId="4F583C23">
            <w:pPr>
              <w:pStyle w:val="6"/>
              <w:spacing w:before="68" w:line="219" w:lineRule="auto"/>
              <w:ind w:left="134"/>
              <w:rPr>
                <w:sz w:val="21"/>
                <w:szCs w:val="21"/>
              </w:rPr>
            </w:pPr>
            <w:r>
              <w:rPr>
                <w:spacing w:val="-2"/>
                <w:sz w:val="21"/>
                <w:szCs w:val="21"/>
              </w:rPr>
              <w:t>本期新建</w:t>
            </w:r>
          </w:p>
        </w:tc>
      </w:tr>
      <w:tr w14:paraId="17020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790" w:type="dxa"/>
            <w:vMerge w:val="continue"/>
            <w:tcBorders>
              <w:top w:val="nil"/>
              <w:left w:val="nil"/>
              <w:bottom w:val="nil"/>
            </w:tcBorders>
            <w:vAlign w:val="top"/>
          </w:tcPr>
          <w:p w14:paraId="7E2BB8F4">
            <w:pPr>
              <w:rPr>
                <w:rFonts w:ascii="Arial"/>
                <w:sz w:val="21"/>
              </w:rPr>
            </w:pPr>
          </w:p>
        </w:tc>
        <w:tc>
          <w:tcPr>
            <w:tcW w:w="450" w:type="dxa"/>
            <w:vMerge w:val="continue"/>
            <w:tcBorders>
              <w:top w:val="nil"/>
              <w:bottom w:val="nil"/>
            </w:tcBorders>
            <w:textDirection w:val="tbRlV"/>
            <w:vAlign w:val="top"/>
          </w:tcPr>
          <w:p w14:paraId="5512A582">
            <w:pPr>
              <w:rPr>
                <w:rFonts w:ascii="Arial"/>
                <w:sz w:val="21"/>
              </w:rPr>
            </w:pPr>
          </w:p>
        </w:tc>
        <w:tc>
          <w:tcPr>
            <w:tcW w:w="990" w:type="dxa"/>
            <w:vAlign w:val="top"/>
          </w:tcPr>
          <w:p w14:paraId="4CD4EEF1">
            <w:pPr>
              <w:pStyle w:val="6"/>
              <w:spacing w:before="166" w:line="220" w:lineRule="auto"/>
              <w:ind w:left="175"/>
              <w:rPr>
                <w:sz w:val="21"/>
                <w:szCs w:val="21"/>
              </w:rPr>
            </w:pPr>
            <w:r>
              <w:rPr>
                <w:spacing w:val="3"/>
                <w:sz w:val="21"/>
                <w:szCs w:val="21"/>
              </w:rPr>
              <w:t>固废处</w:t>
            </w:r>
          </w:p>
          <w:p w14:paraId="1E057021">
            <w:pPr>
              <w:pStyle w:val="6"/>
              <w:spacing w:before="40" w:line="229" w:lineRule="auto"/>
              <w:ind w:left="385"/>
              <w:rPr>
                <w:sz w:val="21"/>
                <w:szCs w:val="21"/>
              </w:rPr>
            </w:pPr>
            <w:r>
              <w:rPr>
                <w:sz w:val="21"/>
                <w:szCs w:val="21"/>
              </w:rPr>
              <w:t>理</w:t>
            </w:r>
          </w:p>
        </w:tc>
        <w:tc>
          <w:tcPr>
            <w:tcW w:w="5990" w:type="dxa"/>
            <w:gridSpan w:val="2"/>
            <w:vAlign w:val="top"/>
          </w:tcPr>
          <w:p w14:paraId="527316BD">
            <w:pPr>
              <w:pStyle w:val="6"/>
              <w:spacing w:before="25" w:line="219" w:lineRule="auto"/>
              <w:ind w:left="154"/>
              <w:rPr>
                <w:sz w:val="21"/>
                <w:szCs w:val="21"/>
              </w:rPr>
            </w:pPr>
            <w:r>
              <w:rPr>
                <w:spacing w:val="-1"/>
                <w:sz w:val="21"/>
                <w:szCs w:val="21"/>
              </w:rPr>
              <w:t>升压站事故废油及其他危险废物储存于危险废物暂存间内，委</w:t>
            </w:r>
          </w:p>
          <w:p w14:paraId="5A6C3821">
            <w:pPr>
              <w:pStyle w:val="6"/>
              <w:spacing w:before="50" w:line="219" w:lineRule="auto"/>
              <w:ind w:left="154"/>
              <w:rPr>
                <w:sz w:val="21"/>
                <w:szCs w:val="21"/>
              </w:rPr>
            </w:pPr>
            <w:r>
              <w:rPr>
                <w:spacing w:val="-1"/>
                <w:sz w:val="21"/>
                <w:szCs w:val="21"/>
              </w:rPr>
              <w:t>托有相应危废处置资质的单位处置。生活垃圾集中收集后转运</w:t>
            </w:r>
          </w:p>
          <w:p w14:paraId="46B92AFF">
            <w:pPr>
              <w:pStyle w:val="6"/>
              <w:spacing w:before="10" w:line="197" w:lineRule="auto"/>
              <w:ind w:left="1675"/>
              <w:rPr>
                <w:sz w:val="21"/>
                <w:szCs w:val="21"/>
              </w:rPr>
            </w:pPr>
            <w:r>
              <w:rPr>
                <w:spacing w:val="-1"/>
                <w:sz w:val="21"/>
                <w:szCs w:val="21"/>
              </w:rPr>
              <w:t>至周边村镇垃圾转运站处置。</w:t>
            </w:r>
          </w:p>
        </w:tc>
        <w:tc>
          <w:tcPr>
            <w:tcW w:w="1120" w:type="dxa"/>
            <w:tcBorders>
              <w:right w:val="nil"/>
            </w:tcBorders>
            <w:vAlign w:val="top"/>
          </w:tcPr>
          <w:p w14:paraId="796B0CB6">
            <w:pPr>
              <w:spacing w:line="246" w:lineRule="auto"/>
              <w:rPr>
                <w:rFonts w:ascii="Arial"/>
                <w:sz w:val="21"/>
              </w:rPr>
            </w:pPr>
          </w:p>
          <w:p w14:paraId="79607343">
            <w:pPr>
              <w:pStyle w:val="6"/>
              <w:spacing w:before="68" w:line="220" w:lineRule="auto"/>
              <w:ind w:left="345"/>
              <w:rPr>
                <w:sz w:val="21"/>
                <w:szCs w:val="21"/>
              </w:rPr>
            </w:pPr>
            <w:r>
              <w:rPr>
                <w:spacing w:val="-3"/>
                <w:sz w:val="21"/>
                <w:szCs w:val="21"/>
              </w:rPr>
              <w:t>新建</w:t>
            </w:r>
          </w:p>
        </w:tc>
      </w:tr>
      <w:tr w14:paraId="79AEA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790" w:type="dxa"/>
            <w:vMerge w:val="continue"/>
            <w:tcBorders>
              <w:top w:val="nil"/>
              <w:left w:val="nil"/>
              <w:bottom w:val="nil"/>
            </w:tcBorders>
            <w:vAlign w:val="top"/>
          </w:tcPr>
          <w:p w14:paraId="66F2CE3A">
            <w:pPr>
              <w:rPr>
                <w:rFonts w:ascii="Arial"/>
                <w:sz w:val="21"/>
              </w:rPr>
            </w:pPr>
          </w:p>
        </w:tc>
        <w:tc>
          <w:tcPr>
            <w:tcW w:w="450" w:type="dxa"/>
            <w:vMerge w:val="continue"/>
            <w:tcBorders>
              <w:top w:val="nil"/>
              <w:bottom w:val="nil"/>
            </w:tcBorders>
            <w:textDirection w:val="tbRlV"/>
            <w:vAlign w:val="top"/>
          </w:tcPr>
          <w:p w14:paraId="0A25480C">
            <w:pPr>
              <w:rPr>
                <w:rFonts w:ascii="Arial"/>
                <w:sz w:val="21"/>
              </w:rPr>
            </w:pPr>
          </w:p>
        </w:tc>
        <w:tc>
          <w:tcPr>
            <w:tcW w:w="990" w:type="dxa"/>
            <w:vAlign w:val="top"/>
          </w:tcPr>
          <w:p w14:paraId="5BAA9323">
            <w:pPr>
              <w:pStyle w:val="6"/>
              <w:spacing w:before="37" w:line="220" w:lineRule="auto"/>
              <w:ind w:left="175"/>
              <w:rPr>
                <w:sz w:val="21"/>
                <w:szCs w:val="21"/>
              </w:rPr>
            </w:pPr>
            <w:r>
              <w:rPr>
                <w:spacing w:val="3"/>
                <w:sz w:val="21"/>
                <w:szCs w:val="21"/>
              </w:rPr>
              <w:t>噪声防</w:t>
            </w:r>
          </w:p>
          <w:p w14:paraId="5F1D56E6">
            <w:pPr>
              <w:pStyle w:val="6"/>
              <w:spacing w:before="9" w:line="196" w:lineRule="auto"/>
              <w:ind w:left="175"/>
              <w:rPr>
                <w:sz w:val="21"/>
                <w:szCs w:val="21"/>
              </w:rPr>
            </w:pPr>
            <w:r>
              <w:rPr>
                <w:spacing w:val="3"/>
                <w:sz w:val="21"/>
                <w:szCs w:val="21"/>
              </w:rPr>
              <w:t>治措施</w:t>
            </w:r>
          </w:p>
        </w:tc>
        <w:tc>
          <w:tcPr>
            <w:tcW w:w="5990" w:type="dxa"/>
            <w:gridSpan w:val="2"/>
            <w:vAlign w:val="top"/>
          </w:tcPr>
          <w:p w14:paraId="6FC4DB77">
            <w:pPr>
              <w:pStyle w:val="6"/>
              <w:spacing w:before="167" w:line="220" w:lineRule="auto"/>
              <w:ind w:left="1514"/>
              <w:rPr>
                <w:sz w:val="21"/>
                <w:szCs w:val="21"/>
              </w:rPr>
            </w:pPr>
            <w:r>
              <w:rPr>
                <w:spacing w:val="-1"/>
                <w:sz w:val="21"/>
                <w:szCs w:val="21"/>
              </w:rPr>
              <w:t>选用低噪声设备，加装基础减震</w:t>
            </w:r>
          </w:p>
        </w:tc>
        <w:tc>
          <w:tcPr>
            <w:tcW w:w="1120" w:type="dxa"/>
            <w:tcBorders>
              <w:right w:val="nil"/>
            </w:tcBorders>
            <w:vAlign w:val="top"/>
          </w:tcPr>
          <w:p w14:paraId="153A0C72">
            <w:pPr>
              <w:pStyle w:val="6"/>
              <w:spacing w:before="167" w:line="220" w:lineRule="auto"/>
              <w:ind w:left="345"/>
              <w:rPr>
                <w:sz w:val="21"/>
                <w:szCs w:val="21"/>
              </w:rPr>
            </w:pPr>
            <w:r>
              <w:rPr>
                <w:spacing w:val="-3"/>
                <w:sz w:val="21"/>
                <w:szCs w:val="21"/>
              </w:rPr>
              <w:t>新建</w:t>
            </w:r>
          </w:p>
        </w:tc>
      </w:tr>
      <w:tr w14:paraId="0DCFE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trPr>
        <w:tc>
          <w:tcPr>
            <w:tcW w:w="790" w:type="dxa"/>
            <w:vMerge w:val="continue"/>
            <w:tcBorders>
              <w:top w:val="nil"/>
              <w:left w:val="nil"/>
              <w:bottom w:val="nil"/>
            </w:tcBorders>
            <w:vAlign w:val="top"/>
          </w:tcPr>
          <w:p w14:paraId="7D4DD88E">
            <w:pPr>
              <w:rPr>
                <w:rFonts w:ascii="Arial"/>
                <w:sz w:val="21"/>
              </w:rPr>
            </w:pPr>
          </w:p>
        </w:tc>
        <w:tc>
          <w:tcPr>
            <w:tcW w:w="450" w:type="dxa"/>
            <w:vMerge w:val="continue"/>
            <w:tcBorders>
              <w:top w:val="nil"/>
              <w:bottom w:val="nil"/>
            </w:tcBorders>
            <w:textDirection w:val="tbRlV"/>
            <w:vAlign w:val="top"/>
          </w:tcPr>
          <w:p w14:paraId="5EC59280">
            <w:pPr>
              <w:rPr>
                <w:rFonts w:ascii="Arial"/>
                <w:sz w:val="21"/>
              </w:rPr>
            </w:pPr>
          </w:p>
        </w:tc>
        <w:tc>
          <w:tcPr>
            <w:tcW w:w="990" w:type="dxa"/>
            <w:vAlign w:val="top"/>
          </w:tcPr>
          <w:p w14:paraId="4C4E15A7">
            <w:pPr>
              <w:spacing w:line="326" w:lineRule="auto"/>
              <w:rPr>
                <w:rFonts w:ascii="Arial"/>
                <w:sz w:val="21"/>
              </w:rPr>
            </w:pPr>
          </w:p>
          <w:p w14:paraId="5681AD2D">
            <w:pPr>
              <w:spacing w:line="327" w:lineRule="auto"/>
              <w:rPr>
                <w:rFonts w:ascii="Arial"/>
                <w:sz w:val="21"/>
              </w:rPr>
            </w:pPr>
          </w:p>
          <w:p w14:paraId="1A939D02">
            <w:pPr>
              <w:pStyle w:val="6"/>
              <w:spacing w:before="69" w:line="248" w:lineRule="auto"/>
              <w:ind w:left="275" w:right="165" w:hanging="100"/>
              <w:rPr>
                <w:sz w:val="21"/>
                <w:szCs w:val="21"/>
              </w:rPr>
            </w:pPr>
            <w:r>
              <w:rPr>
                <w:spacing w:val="3"/>
                <w:sz w:val="21"/>
                <w:szCs w:val="21"/>
              </w:rPr>
              <w:t>危废暂</w:t>
            </w:r>
            <w:r>
              <w:rPr>
                <w:sz w:val="21"/>
                <w:szCs w:val="21"/>
              </w:rPr>
              <w:t xml:space="preserve"> </w:t>
            </w:r>
            <w:r>
              <w:rPr>
                <w:spacing w:val="10"/>
                <w:sz w:val="21"/>
                <w:szCs w:val="21"/>
              </w:rPr>
              <w:t>存间</w:t>
            </w:r>
          </w:p>
        </w:tc>
        <w:tc>
          <w:tcPr>
            <w:tcW w:w="5990" w:type="dxa"/>
            <w:gridSpan w:val="2"/>
            <w:vAlign w:val="top"/>
          </w:tcPr>
          <w:p w14:paraId="13DDCB8F">
            <w:pPr>
              <w:pStyle w:val="6"/>
              <w:spacing w:before="45" w:line="219" w:lineRule="auto"/>
              <w:ind w:left="154"/>
              <w:rPr>
                <w:sz w:val="21"/>
                <w:szCs w:val="21"/>
              </w:rPr>
            </w:pPr>
            <w:r>
              <w:rPr>
                <w:spacing w:val="4"/>
                <w:sz w:val="21"/>
                <w:szCs w:val="21"/>
              </w:rPr>
              <w:t>建设1间32m²的危险废物暂存间，危废暂存间地面采取重点防</w:t>
            </w:r>
          </w:p>
          <w:p w14:paraId="1719A3AF">
            <w:pPr>
              <w:pStyle w:val="6"/>
              <w:spacing w:before="32" w:line="219" w:lineRule="auto"/>
              <w:ind w:left="305"/>
              <w:rPr>
                <w:sz w:val="21"/>
                <w:szCs w:val="21"/>
              </w:rPr>
            </w:pPr>
            <w:r>
              <w:rPr>
                <w:sz w:val="21"/>
                <w:szCs w:val="21"/>
              </w:rPr>
              <w:t>渗，基础防渗工程严格按照《危险废物贮存污染控制标准》</w:t>
            </w:r>
          </w:p>
          <w:p w14:paraId="08E551FD">
            <w:pPr>
              <w:pStyle w:val="6"/>
              <w:spacing w:before="40" w:line="219" w:lineRule="auto"/>
              <w:ind w:left="365"/>
              <w:rPr>
                <w:sz w:val="21"/>
                <w:szCs w:val="21"/>
              </w:rPr>
            </w:pPr>
            <w:r>
              <w:rPr>
                <w:sz w:val="21"/>
                <w:szCs w:val="21"/>
              </w:rPr>
              <w:t>(GB18597-2023)设计建设：防渗工程需满足GB18597-2023</w:t>
            </w:r>
          </w:p>
          <w:p w14:paraId="60F786DC">
            <w:pPr>
              <w:pStyle w:val="6"/>
              <w:spacing w:line="219" w:lineRule="auto"/>
              <w:ind w:left="395"/>
              <w:rPr>
                <w:sz w:val="21"/>
                <w:szCs w:val="21"/>
              </w:rPr>
            </w:pPr>
            <w:r>
              <w:rPr>
                <w:spacing w:val="-1"/>
                <w:sz w:val="21"/>
                <w:szCs w:val="21"/>
              </w:rPr>
              <w:t>要求，即：防渗层为至少1m厚粘土层(渗透系数不大于</w:t>
            </w:r>
          </w:p>
          <w:p w14:paraId="7C19E3D1">
            <w:pPr>
              <w:pStyle w:val="6"/>
              <w:spacing w:before="38" w:line="216" w:lineRule="auto"/>
              <w:ind w:left="125"/>
              <w:rPr>
                <w:sz w:val="21"/>
                <w:szCs w:val="21"/>
              </w:rPr>
            </w:pPr>
            <w:r>
              <w:rPr>
                <w:sz w:val="21"/>
                <w:szCs w:val="21"/>
              </w:rPr>
              <w:t>10-7cm/s),或至少2mm厚高密度聚乙烯膜等人工防渗材料(渗</w:t>
            </w:r>
          </w:p>
          <w:p w14:paraId="5C4DD2F0">
            <w:pPr>
              <w:pStyle w:val="6"/>
              <w:spacing w:before="4" w:line="216" w:lineRule="auto"/>
              <w:ind w:left="154"/>
              <w:rPr>
                <w:sz w:val="21"/>
                <w:szCs w:val="21"/>
              </w:rPr>
            </w:pPr>
            <w:r>
              <w:rPr>
                <w:spacing w:val="4"/>
                <w:sz w:val="21"/>
                <w:szCs w:val="21"/>
              </w:rPr>
              <w:t>透系数不大于10-1</w:t>
            </w:r>
            <w:r>
              <w:rPr>
                <w:rFonts w:ascii="Calibri" w:hAnsi="Calibri" w:eastAsia="Calibri" w:cs="Calibri"/>
                <w:spacing w:val="4"/>
                <w:sz w:val="21"/>
                <w:szCs w:val="21"/>
              </w:rPr>
              <w:t>⁰</w:t>
            </w:r>
            <w:r>
              <w:rPr>
                <w:sz w:val="21"/>
                <w:szCs w:val="21"/>
              </w:rPr>
              <w:t>cm</w:t>
            </w:r>
            <w:r>
              <w:rPr>
                <w:spacing w:val="4"/>
                <w:sz w:val="21"/>
                <w:szCs w:val="21"/>
              </w:rPr>
              <w:t>/s),或其他防渗性能等效的材料；并建</w:t>
            </w:r>
          </w:p>
          <w:p w14:paraId="33DB3CD4">
            <w:pPr>
              <w:pStyle w:val="6"/>
              <w:spacing w:before="47" w:line="186" w:lineRule="auto"/>
              <w:ind w:left="1254"/>
              <w:rPr>
                <w:sz w:val="21"/>
                <w:szCs w:val="21"/>
              </w:rPr>
            </w:pPr>
            <w:r>
              <w:rPr>
                <w:spacing w:val="-1"/>
                <w:sz w:val="21"/>
                <w:szCs w:val="21"/>
              </w:rPr>
              <w:t>立转移联单，完善危险废物记录台账。</w:t>
            </w:r>
          </w:p>
        </w:tc>
        <w:tc>
          <w:tcPr>
            <w:tcW w:w="1120" w:type="dxa"/>
            <w:tcBorders>
              <w:right w:val="nil"/>
            </w:tcBorders>
            <w:vAlign w:val="top"/>
          </w:tcPr>
          <w:p w14:paraId="423999CA">
            <w:pPr>
              <w:spacing w:line="264" w:lineRule="auto"/>
              <w:rPr>
                <w:rFonts w:ascii="Arial"/>
                <w:sz w:val="21"/>
              </w:rPr>
            </w:pPr>
          </w:p>
          <w:p w14:paraId="470ED054">
            <w:pPr>
              <w:spacing w:line="264" w:lineRule="auto"/>
              <w:rPr>
                <w:rFonts w:ascii="Arial"/>
                <w:sz w:val="21"/>
              </w:rPr>
            </w:pPr>
          </w:p>
          <w:p w14:paraId="418CAF68">
            <w:pPr>
              <w:spacing w:line="264" w:lineRule="auto"/>
              <w:rPr>
                <w:rFonts w:ascii="Arial"/>
                <w:sz w:val="21"/>
              </w:rPr>
            </w:pPr>
          </w:p>
          <w:p w14:paraId="20E5DA2B">
            <w:pPr>
              <w:pStyle w:val="6"/>
              <w:spacing w:before="68" w:line="219" w:lineRule="auto"/>
              <w:ind w:left="134"/>
              <w:rPr>
                <w:sz w:val="21"/>
                <w:szCs w:val="21"/>
              </w:rPr>
            </w:pPr>
            <w:r>
              <w:rPr>
                <w:spacing w:val="-2"/>
                <w:sz w:val="21"/>
                <w:szCs w:val="21"/>
              </w:rPr>
              <w:t>本期新建</w:t>
            </w:r>
          </w:p>
        </w:tc>
      </w:tr>
      <w:tr w14:paraId="4642F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90" w:type="dxa"/>
            <w:vMerge w:val="continue"/>
            <w:tcBorders>
              <w:top w:val="nil"/>
              <w:left w:val="nil"/>
            </w:tcBorders>
            <w:vAlign w:val="top"/>
          </w:tcPr>
          <w:p w14:paraId="30349548">
            <w:pPr>
              <w:rPr>
                <w:rFonts w:ascii="Arial"/>
                <w:sz w:val="21"/>
              </w:rPr>
            </w:pPr>
          </w:p>
        </w:tc>
        <w:tc>
          <w:tcPr>
            <w:tcW w:w="450" w:type="dxa"/>
            <w:vMerge w:val="continue"/>
            <w:tcBorders>
              <w:top w:val="nil"/>
            </w:tcBorders>
            <w:textDirection w:val="tbRlV"/>
            <w:vAlign w:val="top"/>
          </w:tcPr>
          <w:p w14:paraId="50E3ACF3">
            <w:pPr>
              <w:rPr>
                <w:rFonts w:ascii="Arial"/>
                <w:sz w:val="21"/>
              </w:rPr>
            </w:pPr>
          </w:p>
        </w:tc>
        <w:tc>
          <w:tcPr>
            <w:tcW w:w="990" w:type="dxa"/>
            <w:vAlign w:val="top"/>
          </w:tcPr>
          <w:p w14:paraId="1ED53F4A">
            <w:pPr>
              <w:pStyle w:val="6"/>
              <w:spacing w:before="29" w:line="226" w:lineRule="auto"/>
              <w:ind w:left="384" w:right="152" w:hanging="209"/>
              <w:rPr>
                <w:sz w:val="21"/>
                <w:szCs w:val="21"/>
              </w:rPr>
            </w:pPr>
            <w:r>
              <w:rPr>
                <w:spacing w:val="7"/>
                <w:sz w:val="21"/>
                <w:szCs w:val="21"/>
              </w:rPr>
              <w:t>事故油</w:t>
            </w:r>
            <w:r>
              <w:rPr>
                <w:sz w:val="21"/>
                <w:szCs w:val="21"/>
              </w:rPr>
              <w:t xml:space="preserve"> 池</w:t>
            </w:r>
          </w:p>
        </w:tc>
        <w:tc>
          <w:tcPr>
            <w:tcW w:w="5990" w:type="dxa"/>
            <w:gridSpan w:val="2"/>
            <w:vAlign w:val="top"/>
          </w:tcPr>
          <w:p w14:paraId="05760480">
            <w:pPr>
              <w:pStyle w:val="6"/>
              <w:spacing w:before="27" w:line="227" w:lineRule="auto"/>
              <w:ind w:left="515" w:right="217" w:hanging="310"/>
              <w:rPr>
                <w:sz w:val="21"/>
                <w:szCs w:val="21"/>
              </w:rPr>
            </w:pPr>
            <w:r>
              <w:rPr>
                <w:spacing w:val="-1"/>
                <w:sz w:val="21"/>
                <w:szCs w:val="21"/>
              </w:rPr>
              <w:t>在主变附近设集油井和事故油池1座，主变事故油池有效容积</w:t>
            </w:r>
            <w:r>
              <w:rPr>
                <w:spacing w:val="18"/>
                <w:sz w:val="21"/>
                <w:szCs w:val="21"/>
              </w:rPr>
              <w:t xml:space="preserve"> </w:t>
            </w:r>
            <w:r>
              <w:rPr>
                <w:spacing w:val="8"/>
                <w:sz w:val="21"/>
                <w:szCs w:val="21"/>
              </w:rPr>
              <w:t>不低于V=50m³,</w:t>
            </w:r>
            <w:r>
              <w:rPr>
                <w:color w:val="FF0000"/>
                <w:spacing w:val="8"/>
                <w:sz w:val="21"/>
                <w:szCs w:val="21"/>
              </w:rPr>
              <w:t>箱式变压器下方一个4</w:t>
            </w:r>
            <w:r>
              <w:rPr>
                <w:color w:val="FF0000"/>
                <w:spacing w:val="7"/>
                <w:sz w:val="21"/>
                <w:szCs w:val="21"/>
              </w:rPr>
              <w:t>.84m³事故油池</w:t>
            </w:r>
          </w:p>
        </w:tc>
        <w:tc>
          <w:tcPr>
            <w:tcW w:w="1120" w:type="dxa"/>
            <w:tcBorders>
              <w:right w:val="nil"/>
            </w:tcBorders>
            <w:vAlign w:val="top"/>
          </w:tcPr>
          <w:p w14:paraId="043F7496">
            <w:pPr>
              <w:pStyle w:val="6"/>
              <w:spacing w:before="177" w:line="219" w:lineRule="auto"/>
              <w:ind w:left="134"/>
              <w:rPr>
                <w:sz w:val="21"/>
                <w:szCs w:val="21"/>
              </w:rPr>
            </w:pPr>
            <w:r>
              <w:rPr>
                <w:spacing w:val="-2"/>
                <w:sz w:val="21"/>
                <w:szCs w:val="21"/>
              </w:rPr>
              <w:t>本期新建</w:t>
            </w:r>
          </w:p>
        </w:tc>
      </w:tr>
    </w:tbl>
    <w:p w14:paraId="0C3C5CB1">
      <w:pPr>
        <w:spacing w:before="161" w:line="219" w:lineRule="auto"/>
        <w:ind w:left="479"/>
        <w:rPr>
          <w:rFonts w:ascii="宋体" w:hAnsi="宋体" w:eastAsia="宋体" w:cs="宋体"/>
          <w:sz w:val="31"/>
          <w:szCs w:val="31"/>
        </w:rPr>
      </w:pPr>
      <w:r>
        <w:rPr>
          <w:rFonts w:ascii="宋体" w:hAnsi="宋体" w:eastAsia="宋体" w:cs="宋体"/>
          <w:spacing w:val="-19"/>
          <w:sz w:val="31"/>
          <w:szCs w:val="31"/>
        </w:rPr>
        <w:t>2.3升压</w:t>
      </w:r>
      <w:r>
        <w:rPr>
          <w:rFonts w:ascii="宋体" w:hAnsi="宋体" w:eastAsia="宋体" w:cs="宋体"/>
          <w:b/>
          <w:bCs/>
          <w:spacing w:val="-19"/>
          <w:sz w:val="31"/>
          <w:szCs w:val="31"/>
        </w:rPr>
        <w:t>站总平面布置</w:t>
      </w:r>
    </w:p>
    <w:p w14:paraId="7161DE5F">
      <w:pPr>
        <w:spacing w:before="204" w:line="219" w:lineRule="auto"/>
        <w:ind w:left="1110"/>
        <w:rPr>
          <w:rFonts w:ascii="宋体" w:hAnsi="宋体" w:eastAsia="宋体" w:cs="宋体"/>
          <w:sz w:val="24"/>
          <w:szCs w:val="24"/>
        </w:rPr>
      </w:pPr>
      <w:r>
        <w:rPr>
          <w:rFonts w:ascii="宋体" w:hAnsi="宋体" w:eastAsia="宋体" w:cs="宋体"/>
          <w:spacing w:val="13"/>
          <w:sz w:val="24"/>
          <w:szCs w:val="24"/>
        </w:rPr>
        <w:t>(1)总平面布置</w:t>
      </w:r>
    </w:p>
    <w:p w14:paraId="71A4008A">
      <w:pPr>
        <w:spacing w:before="184" w:line="356" w:lineRule="auto"/>
        <w:ind w:left="479" w:right="528" w:firstLine="500"/>
        <w:rPr>
          <w:rFonts w:ascii="宋体" w:hAnsi="宋体" w:eastAsia="宋体" w:cs="宋体"/>
          <w:sz w:val="24"/>
          <w:szCs w:val="24"/>
        </w:rPr>
      </w:pPr>
      <w:r>
        <w:rPr>
          <w:rFonts w:ascii="宋体" w:hAnsi="宋体" w:eastAsia="宋体" w:cs="宋体"/>
          <w:spacing w:val="2"/>
          <w:sz w:val="24"/>
          <w:szCs w:val="24"/>
        </w:rPr>
        <w:t>升压站生产区围墙长82</w:t>
      </w:r>
      <w:r>
        <w:rPr>
          <w:rFonts w:ascii="Times New Roman" w:hAnsi="Times New Roman" w:eastAsia="Times New Roman" w:cs="Times New Roman"/>
          <w:spacing w:val="2"/>
          <w:sz w:val="24"/>
          <w:szCs w:val="24"/>
        </w:rPr>
        <w:t xml:space="preserve">m,   </w:t>
      </w:r>
      <w:r>
        <w:rPr>
          <w:rFonts w:ascii="宋体" w:hAnsi="宋体" w:eastAsia="宋体" w:cs="宋体"/>
          <w:spacing w:val="2"/>
          <w:sz w:val="24"/>
          <w:szCs w:val="24"/>
        </w:rPr>
        <w:t>宽</w:t>
      </w:r>
      <w:r>
        <w:rPr>
          <w:rFonts w:ascii="宋体" w:hAnsi="宋体" w:eastAsia="宋体" w:cs="宋体"/>
          <w:spacing w:val="-30"/>
          <w:sz w:val="24"/>
          <w:szCs w:val="24"/>
        </w:rPr>
        <w:t xml:space="preserve"> </w:t>
      </w:r>
      <w:r>
        <w:rPr>
          <w:rFonts w:ascii="宋体" w:hAnsi="宋体" w:eastAsia="宋体" w:cs="宋体"/>
          <w:spacing w:val="2"/>
          <w:sz w:val="24"/>
          <w:szCs w:val="24"/>
        </w:rPr>
        <w:t>5</w:t>
      </w:r>
      <w:r>
        <w:rPr>
          <w:rFonts w:ascii="宋体" w:hAnsi="宋体" w:eastAsia="宋体" w:cs="宋体"/>
          <w:spacing w:val="-49"/>
          <w:sz w:val="24"/>
          <w:szCs w:val="24"/>
        </w:rPr>
        <w:t xml:space="preserve"> </w:t>
      </w:r>
      <w:r>
        <w:rPr>
          <w:rFonts w:ascii="宋体" w:hAnsi="宋体" w:eastAsia="宋体" w:cs="宋体"/>
          <w:spacing w:val="2"/>
          <w:sz w:val="24"/>
          <w:szCs w:val="24"/>
        </w:rPr>
        <w:t>2</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7"/>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35</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rFonts w:ascii="宋体" w:hAnsi="宋体" w:eastAsia="宋体" w:cs="宋体"/>
          <w:spacing w:val="2"/>
          <w:sz w:val="24"/>
          <w:szCs w:val="24"/>
        </w:rPr>
        <w:t>进线由光伏场区经35</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rFonts w:ascii="宋体" w:hAnsi="宋体" w:eastAsia="宋体" w:cs="宋体"/>
          <w:spacing w:val="2"/>
          <w:sz w:val="24"/>
          <w:szCs w:val="24"/>
        </w:rPr>
        <w:t>电缆引</w:t>
      </w:r>
      <w:r>
        <w:rPr>
          <w:rFonts w:ascii="宋体" w:hAnsi="宋体" w:eastAsia="宋体" w:cs="宋体"/>
          <w:sz w:val="24"/>
          <w:szCs w:val="24"/>
        </w:rPr>
        <w:t xml:space="preserve"> </w:t>
      </w:r>
      <w:r>
        <w:rPr>
          <w:rFonts w:ascii="宋体" w:hAnsi="宋体" w:eastAsia="宋体" w:cs="宋体"/>
          <w:spacing w:val="1"/>
          <w:sz w:val="24"/>
          <w:szCs w:val="24"/>
        </w:rPr>
        <w:t>入。主变压器露天布置于35</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配电室与高压户外配电装置之间。主变高压侧用</w:t>
      </w:r>
      <w:r>
        <w:rPr>
          <w:rFonts w:ascii="宋体" w:hAnsi="宋体" w:eastAsia="宋体" w:cs="宋体"/>
          <w:spacing w:val="9"/>
          <w:sz w:val="24"/>
          <w:szCs w:val="24"/>
        </w:rPr>
        <w:t xml:space="preserve"> </w:t>
      </w:r>
      <w:r>
        <w:rPr>
          <w:rFonts w:ascii="Times New Roman" w:hAnsi="Times New Roman" w:eastAsia="Times New Roman" w:cs="Times New Roman"/>
          <w:sz w:val="24"/>
          <w:szCs w:val="24"/>
        </w:rPr>
        <w:t xml:space="preserve">JL/G1A-300 </w:t>
      </w:r>
      <w:r>
        <w:rPr>
          <w:rFonts w:ascii="宋体" w:hAnsi="宋体" w:eastAsia="宋体" w:cs="宋体"/>
          <w:sz w:val="24"/>
          <w:szCs w:val="24"/>
        </w:rPr>
        <w:t>钢芯铝绞线引上至高压户外配电装置，35</w:t>
      </w:r>
      <w:r>
        <w:rPr>
          <w:rFonts w:ascii="Times New Roman" w:hAnsi="Times New Roman" w:eastAsia="Times New Roman" w:cs="Times New Roman"/>
          <w:sz w:val="24"/>
          <w:szCs w:val="24"/>
        </w:rPr>
        <w:t>kV</w:t>
      </w:r>
      <w:r>
        <w:rPr>
          <w:rFonts w:ascii="Times New Roman" w:hAnsi="Times New Roman" w:eastAsia="Times New Roman" w:cs="Times New Roman"/>
          <w:spacing w:val="-17"/>
          <w:sz w:val="24"/>
          <w:szCs w:val="24"/>
        </w:rPr>
        <w:t xml:space="preserve"> </w:t>
      </w:r>
      <w:r>
        <w:rPr>
          <w:rFonts w:ascii="宋体" w:hAnsi="宋体" w:eastAsia="宋体" w:cs="宋体"/>
          <w:sz w:val="24"/>
          <w:szCs w:val="24"/>
        </w:rPr>
        <w:t xml:space="preserve">侧用全绝缘管型母线引 </w:t>
      </w:r>
      <w:r>
        <w:rPr>
          <w:rFonts w:ascii="宋体" w:hAnsi="宋体" w:eastAsia="宋体" w:cs="宋体"/>
          <w:spacing w:val="1"/>
          <w:sz w:val="24"/>
          <w:szCs w:val="24"/>
        </w:rPr>
        <w:t>至35</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 xml:space="preserve">配电室主变进线柜。主变中性点设备安装于变压器旁边。升压站电气二 </w:t>
      </w:r>
      <w:r>
        <w:rPr>
          <w:rFonts w:ascii="宋体" w:hAnsi="宋体" w:eastAsia="宋体" w:cs="宋体"/>
          <w:spacing w:val="-2"/>
          <w:sz w:val="24"/>
          <w:szCs w:val="24"/>
        </w:rPr>
        <w:t>次设备及光伏电站微机监控设备、通讯设备均布置于继电保护室、中控室内。</w:t>
      </w:r>
      <w:r>
        <w:rPr>
          <w:rFonts w:ascii="Times New Roman" w:hAnsi="Times New Roman" w:eastAsia="Times New Roman" w:cs="Times New Roman"/>
          <w:spacing w:val="-2"/>
          <w:sz w:val="24"/>
          <w:szCs w:val="24"/>
        </w:rPr>
        <w:t>A</w:t>
      </w:r>
      <w:r>
        <w:rPr>
          <w:rFonts w:ascii="Times New Roman" w:hAnsi="Times New Roman" w:eastAsia="Times New Roman" w:cs="Times New Roman"/>
          <w:spacing w:val="3"/>
          <w:sz w:val="24"/>
          <w:szCs w:val="24"/>
        </w:rPr>
        <w:t xml:space="preserve">  </w:t>
      </w:r>
      <w:r>
        <w:rPr>
          <w:rFonts w:ascii="宋体" w:hAnsi="宋体" w:eastAsia="宋体" w:cs="宋体"/>
          <w:spacing w:val="-4"/>
          <w:sz w:val="24"/>
          <w:szCs w:val="24"/>
        </w:rPr>
        <w:t>线从双回路进入升压站南侧，</w:t>
      </w:r>
      <w:r>
        <w:rPr>
          <w:rFonts w:ascii="Times New Roman" w:hAnsi="Times New Roman" w:eastAsia="Times New Roman" w:cs="Times New Roman"/>
          <w:spacing w:val="-4"/>
          <w:sz w:val="24"/>
          <w:szCs w:val="24"/>
        </w:rPr>
        <w:t xml:space="preserve">C  </w:t>
      </w:r>
      <w:r>
        <w:rPr>
          <w:rFonts w:ascii="宋体" w:hAnsi="宋体" w:eastAsia="宋体" w:cs="宋体"/>
          <w:spacing w:val="-4"/>
          <w:sz w:val="24"/>
          <w:szCs w:val="24"/>
        </w:rPr>
        <w:t>线单回路进入升压站南侧，出线由升压站北侧单</w:t>
      </w:r>
      <w:r>
        <w:rPr>
          <w:rFonts w:ascii="宋体" w:hAnsi="宋体" w:eastAsia="宋体" w:cs="宋体"/>
          <w:spacing w:val="14"/>
          <w:sz w:val="24"/>
          <w:szCs w:val="24"/>
        </w:rPr>
        <w:t xml:space="preserve"> </w:t>
      </w:r>
      <w:r>
        <w:rPr>
          <w:rFonts w:ascii="宋体" w:hAnsi="宋体" w:eastAsia="宋体" w:cs="宋体"/>
          <w:spacing w:val="-11"/>
          <w:sz w:val="24"/>
          <w:szCs w:val="24"/>
        </w:rPr>
        <w:t>回路出线。</w:t>
      </w:r>
    </w:p>
    <w:p w14:paraId="6689635E">
      <w:pPr>
        <w:spacing w:line="356" w:lineRule="auto"/>
        <w:rPr>
          <w:rFonts w:ascii="宋体" w:hAnsi="宋体" w:eastAsia="宋体" w:cs="宋体"/>
          <w:sz w:val="24"/>
          <w:szCs w:val="24"/>
        </w:rPr>
        <w:sectPr>
          <w:footerReference r:id="rId228" w:type="default"/>
          <w:pgSz w:w="11910" w:h="16830"/>
          <w:pgMar w:top="400" w:right="1289" w:bottom="1181" w:left="1279" w:header="0" w:footer="922" w:gutter="0"/>
          <w:cols w:space="720" w:num="1"/>
        </w:sectPr>
      </w:pPr>
    </w:p>
    <w:p w14:paraId="26CC0FB4">
      <w:pPr>
        <w:pStyle w:val="2"/>
        <w:spacing w:line="263" w:lineRule="auto"/>
      </w:pPr>
    </w:p>
    <w:p w14:paraId="46B4C35C">
      <w:pPr>
        <w:pStyle w:val="2"/>
        <w:spacing w:line="264" w:lineRule="auto"/>
      </w:pPr>
    </w:p>
    <w:p w14:paraId="260171F1">
      <w:pPr>
        <w:pStyle w:val="2"/>
        <w:spacing w:line="264" w:lineRule="auto"/>
      </w:pPr>
    </w:p>
    <w:p w14:paraId="3C2FDAC2">
      <w:pPr>
        <w:pStyle w:val="2"/>
        <w:spacing w:line="264" w:lineRule="auto"/>
      </w:pPr>
    </w:p>
    <w:p w14:paraId="6667D790">
      <w:pPr>
        <w:spacing w:before="78" w:line="219" w:lineRule="auto"/>
        <w:ind w:left="694"/>
        <w:rPr>
          <w:rFonts w:ascii="宋体" w:hAnsi="宋体" w:eastAsia="宋体" w:cs="宋体"/>
          <w:sz w:val="24"/>
          <w:szCs w:val="24"/>
        </w:rPr>
      </w:pPr>
      <w:r>
        <w:rPr>
          <w:rFonts w:ascii="宋体" w:hAnsi="宋体" w:eastAsia="宋体" w:cs="宋体"/>
          <w:spacing w:val="15"/>
          <w:sz w:val="24"/>
          <w:szCs w:val="24"/>
        </w:rPr>
        <w:t>(2)场内道路</w:t>
      </w:r>
    </w:p>
    <w:p w14:paraId="3DEC8CC5">
      <w:pPr>
        <w:spacing w:before="182" w:line="360" w:lineRule="auto"/>
        <w:ind w:left="84" w:right="24" w:firstLine="500"/>
        <w:rPr>
          <w:rFonts w:ascii="宋体" w:hAnsi="宋体" w:eastAsia="宋体" w:cs="宋体"/>
          <w:sz w:val="24"/>
          <w:szCs w:val="24"/>
        </w:rPr>
      </w:pPr>
      <w:r>
        <w:rPr>
          <w:rFonts w:ascii="宋体" w:hAnsi="宋体" w:eastAsia="宋体" w:cs="宋体"/>
          <w:spacing w:val="-7"/>
          <w:sz w:val="24"/>
          <w:szCs w:val="24"/>
        </w:rPr>
        <w:t>为便于施工安装、维护检修及消防，主变场地</w:t>
      </w:r>
      <w:r>
        <w:rPr>
          <w:rFonts w:ascii="宋体" w:hAnsi="宋体" w:eastAsia="宋体" w:cs="宋体"/>
          <w:spacing w:val="-8"/>
          <w:sz w:val="24"/>
          <w:szCs w:val="24"/>
        </w:rPr>
        <w:t>、配电装置间均设有环形道路。</w:t>
      </w:r>
      <w:r>
        <w:rPr>
          <w:rFonts w:ascii="宋体" w:hAnsi="宋体" w:eastAsia="宋体" w:cs="宋体"/>
          <w:sz w:val="24"/>
          <w:szCs w:val="24"/>
        </w:rPr>
        <w:t xml:space="preserve"> </w:t>
      </w:r>
      <w:r>
        <w:rPr>
          <w:rFonts w:ascii="宋体" w:hAnsi="宋体" w:eastAsia="宋体" w:cs="宋体"/>
          <w:spacing w:val="-3"/>
          <w:sz w:val="24"/>
          <w:szCs w:val="24"/>
        </w:rPr>
        <w:t>在充分考虑使用合理、工艺系统顺畅的前提下，站用电配电装置、水工用房分别</w:t>
      </w:r>
      <w:r>
        <w:rPr>
          <w:rFonts w:ascii="宋体" w:hAnsi="宋体" w:eastAsia="宋体" w:cs="宋体"/>
          <w:spacing w:val="6"/>
          <w:sz w:val="24"/>
          <w:szCs w:val="24"/>
        </w:rPr>
        <w:t xml:space="preserve">  </w:t>
      </w:r>
      <w:r>
        <w:rPr>
          <w:rFonts w:ascii="宋体" w:hAnsi="宋体" w:eastAsia="宋体" w:cs="宋体"/>
          <w:spacing w:val="-3"/>
          <w:sz w:val="24"/>
          <w:szCs w:val="24"/>
        </w:rPr>
        <w:t>布置在各级电压配电装置的空闲场地上。本布置方案在满足安全运行、方便施工</w:t>
      </w:r>
      <w:r>
        <w:rPr>
          <w:rFonts w:ascii="宋体" w:hAnsi="宋体" w:eastAsia="宋体" w:cs="宋体"/>
          <w:spacing w:val="3"/>
          <w:sz w:val="24"/>
          <w:szCs w:val="24"/>
        </w:rPr>
        <w:t xml:space="preserve">  </w:t>
      </w:r>
      <w:r>
        <w:rPr>
          <w:rFonts w:ascii="宋体" w:hAnsi="宋体" w:eastAsia="宋体" w:cs="宋体"/>
          <w:spacing w:val="-1"/>
          <w:sz w:val="24"/>
          <w:szCs w:val="24"/>
        </w:rPr>
        <w:t>的基础下，布置顺畅、紧凑，充分利用场地。</w:t>
      </w:r>
    </w:p>
    <w:p w14:paraId="58C4F933">
      <w:pPr>
        <w:spacing w:line="219" w:lineRule="auto"/>
        <w:ind w:left="704"/>
        <w:rPr>
          <w:rFonts w:ascii="宋体" w:hAnsi="宋体" w:eastAsia="宋体" w:cs="宋体"/>
          <w:sz w:val="24"/>
          <w:szCs w:val="24"/>
        </w:rPr>
      </w:pPr>
      <w:r>
        <w:rPr>
          <w:rFonts w:ascii="宋体" w:hAnsi="宋体" w:eastAsia="宋体" w:cs="宋体"/>
          <w:spacing w:val="9"/>
          <w:sz w:val="24"/>
          <w:szCs w:val="24"/>
        </w:rPr>
        <w:t>(3)高压配电装置型式</w:t>
      </w:r>
    </w:p>
    <w:p w14:paraId="2725EDC3">
      <w:pPr>
        <w:spacing w:before="184" w:line="363" w:lineRule="auto"/>
        <w:ind w:left="84" w:right="113" w:firstLine="500"/>
        <w:rPr>
          <w:rFonts w:ascii="宋体" w:hAnsi="宋体" w:eastAsia="宋体" w:cs="宋体"/>
          <w:sz w:val="24"/>
          <w:szCs w:val="24"/>
        </w:rPr>
      </w:pPr>
      <w:r>
        <w:rPr>
          <w:rFonts w:ascii="宋体" w:hAnsi="宋体" w:eastAsia="宋体" w:cs="宋体"/>
          <w:spacing w:val="1"/>
          <w:sz w:val="24"/>
          <w:szCs w:val="24"/>
        </w:rPr>
        <w:t>高压配电装置布置形式为户外</w:t>
      </w:r>
      <w:r>
        <w:rPr>
          <w:rFonts w:ascii="Times New Roman" w:hAnsi="Times New Roman" w:eastAsia="Times New Roman" w:cs="Times New Roman"/>
          <w:sz w:val="24"/>
          <w:szCs w:val="24"/>
        </w:rPr>
        <w:t>GIS</w:t>
      </w:r>
      <w:r>
        <w:rPr>
          <w:rFonts w:ascii="Times New Roman" w:hAnsi="Times New Roman" w:eastAsia="Times New Roman" w:cs="Times New Roman"/>
          <w:spacing w:val="32"/>
          <w:sz w:val="24"/>
          <w:szCs w:val="24"/>
        </w:rPr>
        <w:t xml:space="preserve"> </w:t>
      </w:r>
      <w:r>
        <w:rPr>
          <w:rFonts w:ascii="宋体" w:hAnsi="宋体" w:eastAsia="宋体" w:cs="宋体"/>
          <w:spacing w:val="1"/>
          <w:sz w:val="24"/>
          <w:szCs w:val="24"/>
        </w:rPr>
        <w:t>布置，布置于升压站北侧。35</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rFonts w:ascii="宋体" w:hAnsi="宋体" w:eastAsia="宋体" w:cs="宋体"/>
          <w:sz w:val="24"/>
          <w:szCs w:val="24"/>
        </w:rPr>
        <w:t>配电装 置采用移开式开关柜，布置于35</w:t>
      </w:r>
      <w:r>
        <w:rPr>
          <w:rFonts w:ascii="Times New Roman" w:hAnsi="Times New Roman" w:eastAsia="Times New Roman" w:cs="Times New Roman"/>
          <w:sz w:val="24"/>
          <w:szCs w:val="24"/>
        </w:rPr>
        <w:t xml:space="preserve">kV </w:t>
      </w:r>
      <w:r>
        <w:rPr>
          <w:rFonts w:ascii="宋体" w:hAnsi="宋体" w:eastAsia="宋体" w:cs="宋体"/>
          <w:sz w:val="24"/>
          <w:szCs w:val="24"/>
        </w:rPr>
        <w:t>配电装置室内。</w:t>
      </w:r>
    </w:p>
    <w:p w14:paraId="32F1935A">
      <w:pPr>
        <w:spacing w:before="49" w:line="220" w:lineRule="auto"/>
        <w:ind w:left="84"/>
        <w:rPr>
          <w:rFonts w:ascii="宋体" w:hAnsi="宋体" w:eastAsia="宋体" w:cs="宋体"/>
          <w:sz w:val="28"/>
          <w:szCs w:val="28"/>
        </w:rPr>
      </w:pPr>
      <w:r>
        <w:rPr>
          <w:rFonts w:ascii="Times New Roman" w:hAnsi="Times New Roman" w:eastAsia="Times New Roman" w:cs="Times New Roman"/>
          <w:spacing w:val="5"/>
          <w:sz w:val="28"/>
          <w:szCs w:val="28"/>
        </w:rPr>
        <w:t>2.4</w:t>
      </w:r>
      <w:r>
        <w:rPr>
          <w:rFonts w:ascii="Times New Roman" w:hAnsi="Times New Roman" w:eastAsia="Times New Roman" w:cs="Times New Roman"/>
          <w:spacing w:val="56"/>
          <w:sz w:val="28"/>
          <w:szCs w:val="28"/>
        </w:rPr>
        <w:t xml:space="preserve"> </w:t>
      </w:r>
      <w:r>
        <w:rPr>
          <w:rFonts w:ascii="宋体" w:hAnsi="宋体" w:eastAsia="宋体" w:cs="宋体"/>
          <w:spacing w:val="5"/>
          <w:sz w:val="28"/>
          <w:szCs w:val="28"/>
        </w:rPr>
        <w:t>建筑设计</w:t>
      </w:r>
    </w:p>
    <w:p w14:paraId="7F1699A7">
      <w:pPr>
        <w:spacing w:before="232" w:line="219" w:lineRule="auto"/>
        <w:ind w:left="2294"/>
        <w:rPr>
          <w:rFonts w:ascii="宋体" w:hAnsi="宋体" w:eastAsia="宋体" w:cs="宋体"/>
          <w:sz w:val="24"/>
          <w:szCs w:val="24"/>
        </w:rPr>
      </w:pPr>
      <w:r>
        <w:rPr>
          <w:rFonts w:ascii="宋体" w:hAnsi="宋体" w:eastAsia="宋体" w:cs="宋体"/>
          <w:spacing w:val="4"/>
          <w:sz w:val="24"/>
          <w:szCs w:val="24"/>
        </w:rPr>
        <w:t>表2-4</w:t>
      </w:r>
      <w:r>
        <w:rPr>
          <w:rFonts w:ascii="宋体" w:hAnsi="宋体" w:eastAsia="宋体" w:cs="宋体"/>
          <w:spacing w:val="58"/>
          <w:sz w:val="24"/>
          <w:szCs w:val="24"/>
        </w:rPr>
        <w:t xml:space="preserve">  </w:t>
      </w:r>
      <w:r>
        <w:rPr>
          <w:rFonts w:ascii="宋体" w:hAnsi="宋体" w:eastAsia="宋体" w:cs="宋体"/>
          <w:spacing w:val="4"/>
          <w:sz w:val="24"/>
          <w:szCs w:val="24"/>
        </w:rPr>
        <w:t>拟建升压站建构筑物一览表</w:t>
      </w:r>
    </w:p>
    <w:p w14:paraId="61AF9117">
      <w:pPr>
        <w:spacing w:line="72" w:lineRule="exact"/>
      </w:pPr>
    </w:p>
    <w:tbl>
      <w:tblPr>
        <w:tblStyle w:val="5"/>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4"/>
        <w:gridCol w:w="1698"/>
        <w:gridCol w:w="4614"/>
        <w:gridCol w:w="589"/>
        <w:gridCol w:w="994"/>
      </w:tblGrid>
      <w:tr w14:paraId="091C4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614" w:type="dxa"/>
            <w:vAlign w:val="top"/>
          </w:tcPr>
          <w:p w14:paraId="6AD52552">
            <w:pPr>
              <w:pStyle w:val="6"/>
              <w:spacing w:before="63" w:line="219" w:lineRule="auto"/>
              <w:ind w:left="84"/>
              <w:rPr>
                <w:sz w:val="21"/>
                <w:szCs w:val="21"/>
              </w:rPr>
            </w:pPr>
            <w:r>
              <w:rPr>
                <w:spacing w:val="6"/>
                <w:sz w:val="21"/>
                <w:szCs w:val="21"/>
              </w:rPr>
              <w:t>编号</w:t>
            </w:r>
          </w:p>
        </w:tc>
        <w:tc>
          <w:tcPr>
            <w:tcW w:w="1698" w:type="dxa"/>
            <w:vAlign w:val="top"/>
          </w:tcPr>
          <w:p w14:paraId="34FFABB9">
            <w:pPr>
              <w:pStyle w:val="6"/>
              <w:spacing w:before="66" w:line="221" w:lineRule="auto"/>
              <w:ind w:left="630"/>
              <w:rPr>
                <w:sz w:val="21"/>
                <w:szCs w:val="21"/>
              </w:rPr>
            </w:pPr>
            <w:r>
              <w:rPr>
                <w:spacing w:val="5"/>
                <w:sz w:val="21"/>
                <w:szCs w:val="21"/>
              </w:rPr>
              <w:t>名称</w:t>
            </w:r>
          </w:p>
        </w:tc>
        <w:tc>
          <w:tcPr>
            <w:tcW w:w="4614" w:type="dxa"/>
            <w:vAlign w:val="top"/>
          </w:tcPr>
          <w:p w14:paraId="130EC549">
            <w:pPr>
              <w:pStyle w:val="6"/>
              <w:spacing w:before="63" w:line="219" w:lineRule="auto"/>
              <w:ind w:left="2092"/>
              <w:rPr>
                <w:sz w:val="21"/>
                <w:szCs w:val="21"/>
              </w:rPr>
            </w:pPr>
            <w:r>
              <w:rPr>
                <w:spacing w:val="-3"/>
                <w:sz w:val="21"/>
                <w:szCs w:val="21"/>
              </w:rPr>
              <w:t>规格</w:t>
            </w:r>
          </w:p>
        </w:tc>
        <w:tc>
          <w:tcPr>
            <w:tcW w:w="589" w:type="dxa"/>
            <w:vAlign w:val="top"/>
          </w:tcPr>
          <w:p w14:paraId="7F2A25C8">
            <w:pPr>
              <w:pStyle w:val="6"/>
              <w:spacing w:before="63" w:line="219" w:lineRule="auto"/>
              <w:ind w:left="78"/>
              <w:rPr>
                <w:sz w:val="21"/>
                <w:szCs w:val="21"/>
              </w:rPr>
            </w:pPr>
            <w:r>
              <w:rPr>
                <w:spacing w:val="-3"/>
                <w:sz w:val="21"/>
                <w:szCs w:val="21"/>
              </w:rPr>
              <w:t>层数</w:t>
            </w:r>
          </w:p>
        </w:tc>
        <w:tc>
          <w:tcPr>
            <w:tcW w:w="994" w:type="dxa"/>
            <w:vAlign w:val="top"/>
          </w:tcPr>
          <w:p w14:paraId="6FB2421D">
            <w:pPr>
              <w:pStyle w:val="6"/>
              <w:spacing w:before="64" w:line="220" w:lineRule="auto"/>
              <w:ind w:left="70"/>
              <w:rPr>
                <w:sz w:val="21"/>
                <w:szCs w:val="21"/>
              </w:rPr>
            </w:pPr>
            <w:r>
              <w:rPr>
                <w:spacing w:val="2"/>
                <w:sz w:val="21"/>
                <w:szCs w:val="21"/>
              </w:rPr>
              <w:t>结构形式</w:t>
            </w:r>
          </w:p>
        </w:tc>
      </w:tr>
      <w:tr w14:paraId="0A047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614" w:type="dxa"/>
            <w:vAlign w:val="top"/>
          </w:tcPr>
          <w:p w14:paraId="5613D628">
            <w:pPr>
              <w:spacing w:line="469" w:lineRule="auto"/>
              <w:rPr>
                <w:rFonts w:ascii="Arial"/>
                <w:sz w:val="21"/>
              </w:rPr>
            </w:pPr>
          </w:p>
          <w:p w14:paraId="75475ECB">
            <w:pPr>
              <w:pStyle w:val="6"/>
              <w:spacing w:before="68" w:line="241" w:lineRule="auto"/>
              <w:ind w:left="244"/>
              <w:rPr>
                <w:sz w:val="21"/>
                <w:szCs w:val="21"/>
              </w:rPr>
            </w:pPr>
            <w:r>
              <w:rPr>
                <w:sz w:val="21"/>
                <w:szCs w:val="21"/>
              </w:rPr>
              <w:t>1</w:t>
            </w:r>
          </w:p>
        </w:tc>
        <w:tc>
          <w:tcPr>
            <w:tcW w:w="1698" w:type="dxa"/>
            <w:vAlign w:val="top"/>
          </w:tcPr>
          <w:p w14:paraId="340BE9AC">
            <w:pPr>
              <w:spacing w:line="448" w:lineRule="auto"/>
              <w:rPr>
                <w:rFonts w:ascii="Arial"/>
                <w:sz w:val="21"/>
              </w:rPr>
            </w:pPr>
          </w:p>
          <w:p w14:paraId="515F0778">
            <w:pPr>
              <w:pStyle w:val="6"/>
              <w:spacing w:before="69" w:line="219" w:lineRule="auto"/>
              <w:ind w:left="521"/>
              <w:rPr>
                <w:sz w:val="21"/>
                <w:szCs w:val="21"/>
              </w:rPr>
            </w:pPr>
            <w:r>
              <w:rPr>
                <w:spacing w:val="3"/>
                <w:sz w:val="21"/>
                <w:szCs w:val="21"/>
              </w:rPr>
              <w:t>综合楼</w:t>
            </w:r>
          </w:p>
        </w:tc>
        <w:tc>
          <w:tcPr>
            <w:tcW w:w="4614" w:type="dxa"/>
            <w:vAlign w:val="top"/>
          </w:tcPr>
          <w:p w14:paraId="101B561F">
            <w:pPr>
              <w:pStyle w:val="6"/>
              <w:spacing w:before="59" w:line="219" w:lineRule="auto"/>
              <w:ind w:left="42"/>
              <w:rPr>
                <w:sz w:val="21"/>
                <w:szCs w:val="21"/>
              </w:rPr>
            </w:pPr>
            <w:r>
              <w:rPr>
                <w:spacing w:val="-1"/>
                <w:sz w:val="21"/>
                <w:szCs w:val="21"/>
              </w:rPr>
              <w:t>三层框架结构，独立基础，建筑面积为640m2。综</w:t>
            </w:r>
          </w:p>
          <w:p w14:paraId="237C502C">
            <w:pPr>
              <w:pStyle w:val="6"/>
              <w:spacing w:before="59" w:line="219" w:lineRule="auto"/>
              <w:jc w:val="right"/>
              <w:rPr>
                <w:sz w:val="21"/>
                <w:szCs w:val="21"/>
              </w:rPr>
            </w:pPr>
            <w:r>
              <w:rPr>
                <w:spacing w:val="-2"/>
                <w:sz w:val="21"/>
                <w:szCs w:val="21"/>
              </w:rPr>
              <w:t>合楼一层布置休息室、厨房、备餐间、中控室、卫</w:t>
            </w:r>
          </w:p>
          <w:p w14:paraId="40ECC14F">
            <w:pPr>
              <w:pStyle w:val="6"/>
              <w:spacing w:before="70" w:line="219" w:lineRule="auto"/>
              <w:ind w:left="92"/>
              <w:rPr>
                <w:sz w:val="21"/>
                <w:szCs w:val="21"/>
              </w:rPr>
            </w:pPr>
            <w:r>
              <w:rPr>
                <w:spacing w:val="-1"/>
                <w:sz w:val="21"/>
                <w:szCs w:val="21"/>
              </w:rPr>
              <w:t>生间、接待室，层高3.90m;二层布置资料室、会</w:t>
            </w:r>
          </w:p>
          <w:p w14:paraId="2A582CF9">
            <w:pPr>
              <w:pStyle w:val="6"/>
              <w:spacing w:before="61" w:line="210" w:lineRule="auto"/>
              <w:ind w:left="252"/>
              <w:rPr>
                <w:sz w:val="21"/>
                <w:szCs w:val="21"/>
              </w:rPr>
            </w:pPr>
            <w:r>
              <w:rPr>
                <w:spacing w:val="-1"/>
                <w:sz w:val="21"/>
                <w:szCs w:val="21"/>
              </w:rPr>
              <w:t>议室、办公室、工具间、休息室，层高3.90m</w:t>
            </w:r>
          </w:p>
        </w:tc>
        <w:tc>
          <w:tcPr>
            <w:tcW w:w="589" w:type="dxa"/>
            <w:vAlign w:val="top"/>
          </w:tcPr>
          <w:p w14:paraId="18AC37C3">
            <w:pPr>
              <w:spacing w:line="469" w:lineRule="auto"/>
              <w:rPr>
                <w:rFonts w:ascii="Arial"/>
                <w:sz w:val="21"/>
              </w:rPr>
            </w:pPr>
          </w:p>
          <w:p w14:paraId="4DFEDB5C">
            <w:pPr>
              <w:pStyle w:val="6"/>
              <w:spacing w:before="68" w:line="241" w:lineRule="auto"/>
              <w:ind w:left="238"/>
              <w:rPr>
                <w:sz w:val="21"/>
                <w:szCs w:val="21"/>
              </w:rPr>
            </w:pPr>
            <w:r>
              <w:rPr>
                <w:sz w:val="21"/>
                <w:szCs w:val="21"/>
              </w:rPr>
              <w:t>2</w:t>
            </w:r>
          </w:p>
        </w:tc>
        <w:tc>
          <w:tcPr>
            <w:tcW w:w="994" w:type="dxa"/>
            <w:vAlign w:val="top"/>
          </w:tcPr>
          <w:p w14:paraId="3D426B99">
            <w:pPr>
              <w:spacing w:line="448" w:lineRule="auto"/>
              <w:rPr>
                <w:rFonts w:ascii="Arial"/>
                <w:sz w:val="21"/>
              </w:rPr>
            </w:pPr>
          </w:p>
          <w:p w14:paraId="41EC6668">
            <w:pPr>
              <w:pStyle w:val="6"/>
              <w:spacing w:before="69" w:line="219" w:lineRule="auto"/>
              <w:ind w:left="70"/>
              <w:rPr>
                <w:sz w:val="21"/>
                <w:szCs w:val="21"/>
              </w:rPr>
            </w:pPr>
            <w:r>
              <w:rPr>
                <w:spacing w:val="3"/>
                <w:sz w:val="21"/>
                <w:szCs w:val="21"/>
              </w:rPr>
              <w:t>框架结构</w:t>
            </w:r>
          </w:p>
        </w:tc>
      </w:tr>
      <w:tr w14:paraId="388CA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14" w:type="dxa"/>
            <w:vAlign w:val="top"/>
          </w:tcPr>
          <w:p w14:paraId="13885CCB">
            <w:pPr>
              <w:pStyle w:val="6"/>
              <w:spacing w:before="232" w:line="241" w:lineRule="auto"/>
              <w:ind w:left="244"/>
              <w:rPr>
                <w:sz w:val="21"/>
                <w:szCs w:val="21"/>
              </w:rPr>
            </w:pPr>
            <w:r>
              <w:rPr>
                <w:sz w:val="21"/>
                <w:szCs w:val="21"/>
              </w:rPr>
              <w:t>2</w:t>
            </w:r>
          </w:p>
        </w:tc>
        <w:tc>
          <w:tcPr>
            <w:tcW w:w="1698" w:type="dxa"/>
            <w:vAlign w:val="top"/>
          </w:tcPr>
          <w:p w14:paraId="29537E21">
            <w:pPr>
              <w:pStyle w:val="6"/>
              <w:spacing w:before="72" w:line="236" w:lineRule="auto"/>
              <w:ind w:left="728" w:hanging="718"/>
              <w:rPr>
                <w:sz w:val="21"/>
                <w:szCs w:val="21"/>
              </w:rPr>
            </w:pPr>
            <w:r>
              <w:rPr>
                <w:spacing w:val="-1"/>
                <w:sz w:val="21"/>
                <w:szCs w:val="21"/>
              </w:rPr>
              <w:t>一、二次设备预制</w:t>
            </w:r>
            <w:r>
              <w:rPr>
                <w:spacing w:val="4"/>
                <w:sz w:val="21"/>
                <w:szCs w:val="21"/>
              </w:rPr>
              <w:t xml:space="preserve"> </w:t>
            </w:r>
            <w:r>
              <w:rPr>
                <w:sz w:val="21"/>
                <w:szCs w:val="21"/>
              </w:rPr>
              <w:t>舱</w:t>
            </w:r>
          </w:p>
        </w:tc>
        <w:tc>
          <w:tcPr>
            <w:tcW w:w="4614" w:type="dxa"/>
            <w:vAlign w:val="top"/>
          </w:tcPr>
          <w:p w14:paraId="3B9656F6">
            <w:pPr>
              <w:pStyle w:val="6"/>
              <w:spacing w:before="81" w:line="219" w:lineRule="auto"/>
              <w:jc w:val="right"/>
              <w:rPr>
                <w:sz w:val="21"/>
                <w:szCs w:val="21"/>
              </w:rPr>
            </w:pPr>
            <w:r>
              <w:rPr>
                <w:spacing w:val="-1"/>
                <w:sz w:val="21"/>
                <w:szCs w:val="21"/>
              </w:rPr>
              <w:t>35kV预制舱(17*6.8*4.3)含配套，二次设备预制舱</w:t>
            </w:r>
          </w:p>
          <w:p w14:paraId="274BDD92">
            <w:pPr>
              <w:pStyle w:val="6"/>
              <w:spacing w:before="50" w:line="200" w:lineRule="auto"/>
              <w:ind w:left="882"/>
              <w:rPr>
                <w:sz w:val="21"/>
                <w:szCs w:val="21"/>
              </w:rPr>
            </w:pPr>
            <w:r>
              <w:rPr>
                <w:spacing w:val="1"/>
                <w:sz w:val="21"/>
                <w:szCs w:val="21"/>
              </w:rPr>
              <w:t>23.2m(长)*6.7m(宽)*3.5m(高)</w:t>
            </w:r>
          </w:p>
        </w:tc>
        <w:tc>
          <w:tcPr>
            <w:tcW w:w="589" w:type="dxa"/>
            <w:vAlign w:val="top"/>
          </w:tcPr>
          <w:p w14:paraId="3BADC59A">
            <w:pPr>
              <w:pStyle w:val="6"/>
              <w:spacing w:before="232" w:line="241" w:lineRule="auto"/>
              <w:ind w:left="238"/>
              <w:rPr>
                <w:sz w:val="21"/>
                <w:szCs w:val="21"/>
              </w:rPr>
            </w:pPr>
            <w:r>
              <w:rPr>
                <w:sz w:val="21"/>
                <w:szCs w:val="21"/>
              </w:rPr>
              <w:t>1</w:t>
            </w:r>
          </w:p>
        </w:tc>
        <w:tc>
          <w:tcPr>
            <w:tcW w:w="994" w:type="dxa"/>
            <w:vAlign w:val="top"/>
          </w:tcPr>
          <w:p w14:paraId="12440216">
            <w:pPr>
              <w:pStyle w:val="6"/>
              <w:spacing w:before="212" w:line="220" w:lineRule="auto"/>
              <w:ind w:left="179"/>
              <w:rPr>
                <w:sz w:val="21"/>
                <w:szCs w:val="21"/>
              </w:rPr>
            </w:pPr>
            <w:r>
              <w:rPr>
                <w:spacing w:val="-3"/>
                <w:sz w:val="21"/>
                <w:szCs w:val="21"/>
              </w:rPr>
              <w:t>预制舱</w:t>
            </w:r>
          </w:p>
        </w:tc>
      </w:tr>
      <w:tr w14:paraId="05D84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614" w:type="dxa"/>
            <w:vAlign w:val="top"/>
          </w:tcPr>
          <w:p w14:paraId="7495573A">
            <w:pPr>
              <w:spacing w:line="322" w:lineRule="auto"/>
              <w:rPr>
                <w:rFonts w:ascii="Arial"/>
                <w:sz w:val="21"/>
              </w:rPr>
            </w:pPr>
          </w:p>
          <w:p w14:paraId="25AC27DE">
            <w:pPr>
              <w:pStyle w:val="6"/>
              <w:spacing w:before="69"/>
              <w:ind w:left="244"/>
              <w:rPr>
                <w:sz w:val="21"/>
                <w:szCs w:val="21"/>
              </w:rPr>
            </w:pPr>
            <w:r>
              <w:rPr>
                <w:sz w:val="21"/>
                <w:szCs w:val="21"/>
              </w:rPr>
              <w:t>3</w:t>
            </w:r>
          </w:p>
        </w:tc>
        <w:tc>
          <w:tcPr>
            <w:tcW w:w="1698" w:type="dxa"/>
            <w:vAlign w:val="top"/>
          </w:tcPr>
          <w:p w14:paraId="3E077607">
            <w:pPr>
              <w:spacing w:line="302" w:lineRule="auto"/>
              <w:rPr>
                <w:rFonts w:ascii="Arial"/>
                <w:sz w:val="21"/>
              </w:rPr>
            </w:pPr>
          </w:p>
          <w:p w14:paraId="138A3DC4">
            <w:pPr>
              <w:pStyle w:val="6"/>
              <w:spacing w:before="68" w:line="219" w:lineRule="auto"/>
              <w:ind w:left="100"/>
              <w:rPr>
                <w:sz w:val="21"/>
                <w:szCs w:val="21"/>
              </w:rPr>
            </w:pPr>
            <w:r>
              <w:rPr>
                <w:spacing w:val="1"/>
                <w:sz w:val="21"/>
                <w:szCs w:val="21"/>
              </w:rPr>
              <w:t>一体化消防泵站</w:t>
            </w:r>
          </w:p>
        </w:tc>
        <w:tc>
          <w:tcPr>
            <w:tcW w:w="4614" w:type="dxa"/>
            <w:vAlign w:val="top"/>
          </w:tcPr>
          <w:p w14:paraId="7A6F9C47">
            <w:pPr>
              <w:pStyle w:val="6"/>
              <w:spacing w:before="72" w:line="219" w:lineRule="auto"/>
              <w:ind w:left="42"/>
              <w:rPr>
                <w:sz w:val="21"/>
                <w:szCs w:val="21"/>
              </w:rPr>
            </w:pPr>
            <w:r>
              <w:rPr>
                <w:spacing w:val="-1"/>
                <w:sz w:val="21"/>
                <w:szCs w:val="21"/>
              </w:rPr>
              <w:t>消防水池有效容积大于216m3。设置一套消火栓给</w:t>
            </w:r>
          </w:p>
          <w:p w14:paraId="5364729F">
            <w:pPr>
              <w:pStyle w:val="6"/>
              <w:spacing w:before="50" w:line="219" w:lineRule="auto"/>
              <w:ind w:left="202"/>
              <w:rPr>
                <w:sz w:val="21"/>
                <w:szCs w:val="21"/>
              </w:rPr>
            </w:pPr>
            <w:r>
              <w:rPr>
                <w:sz w:val="21"/>
                <w:szCs w:val="21"/>
              </w:rPr>
              <w:t>水设备(含消防泵2台)、一套消防稳压设备(含</w:t>
            </w:r>
          </w:p>
          <w:p w14:paraId="54B4544F">
            <w:pPr>
              <w:pStyle w:val="6"/>
              <w:spacing w:before="70" w:line="217" w:lineRule="auto"/>
              <w:ind w:left="1192"/>
              <w:rPr>
                <w:sz w:val="21"/>
                <w:szCs w:val="21"/>
              </w:rPr>
            </w:pPr>
            <w:r>
              <w:rPr>
                <w:spacing w:val="4"/>
                <w:sz w:val="21"/>
                <w:szCs w:val="21"/>
              </w:rPr>
              <w:t>稳压泵2台、稳压罐1个)</w:t>
            </w:r>
          </w:p>
        </w:tc>
        <w:tc>
          <w:tcPr>
            <w:tcW w:w="589" w:type="dxa"/>
            <w:vAlign w:val="top"/>
          </w:tcPr>
          <w:p w14:paraId="273F6955">
            <w:pPr>
              <w:spacing w:line="323" w:lineRule="auto"/>
              <w:rPr>
                <w:rFonts w:ascii="Arial"/>
                <w:sz w:val="21"/>
              </w:rPr>
            </w:pPr>
          </w:p>
          <w:p w14:paraId="078AE1C0">
            <w:pPr>
              <w:pStyle w:val="6"/>
              <w:spacing w:before="68" w:line="241" w:lineRule="auto"/>
              <w:ind w:left="238"/>
              <w:rPr>
                <w:sz w:val="21"/>
                <w:szCs w:val="21"/>
              </w:rPr>
            </w:pPr>
            <w:r>
              <w:rPr>
                <w:sz w:val="21"/>
                <w:szCs w:val="21"/>
              </w:rPr>
              <w:t>1</w:t>
            </w:r>
          </w:p>
        </w:tc>
        <w:tc>
          <w:tcPr>
            <w:tcW w:w="994" w:type="dxa"/>
            <w:vAlign w:val="top"/>
          </w:tcPr>
          <w:p w14:paraId="666E8EF1">
            <w:pPr>
              <w:spacing w:line="302" w:lineRule="auto"/>
              <w:rPr>
                <w:rFonts w:ascii="Arial"/>
                <w:sz w:val="21"/>
              </w:rPr>
            </w:pPr>
          </w:p>
          <w:p w14:paraId="119A3818">
            <w:pPr>
              <w:pStyle w:val="6"/>
              <w:spacing w:before="68" w:line="219" w:lineRule="auto"/>
              <w:ind w:left="70"/>
              <w:rPr>
                <w:sz w:val="21"/>
                <w:szCs w:val="21"/>
              </w:rPr>
            </w:pPr>
            <w:r>
              <w:rPr>
                <w:spacing w:val="3"/>
                <w:sz w:val="21"/>
                <w:szCs w:val="21"/>
              </w:rPr>
              <w:t>框架结构</w:t>
            </w:r>
          </w:p>
        </w:tc>
      </w:tr>
      <w:tr w14:paraId="07611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14" w:type="dxa"/>
            <w:vAlign w:val="top"/>
          </w:tcPr>
          <w:p w14:paraId="63662A04">
            <w:pPr>
              <w:pStyle w:val="6"/>
              <w:spacing w:before="234" w:line="241" w:lineRule="auto"/>
              <w:ind w:left="244"/>
              <w:rPr>
                <w:sz w:val="21"/>
                <w:szCs w:val="21"/>
              </w:rPr>
            </w:pPr>
            <w:r>
              <w:rPr>
                <w:sz w:val="21"/>
                <w:szCs w:val="21"/>
              </w:rPr>
              <w:t>4</w:t>
            </w:r>
          </w:p>
        </w:tc>
        <w:tc>
          <w:tcPr>
            <w:tcW w:w="1698" w:type="dxa"/>
            <w:vAlign w:val="top"/>
          </w:tcPr>
          <w:p w14:paraId="22E6EA72">
            <w:pPr>
              <w:pStyle w:val="6"/>
              <w:spacing w:before="213" w:line="219" w:lineRule="auto"/>
              <w:ind w:left="310"/>
              <w:rPr>
                <w:sz w:val="21"/>
                <w:szCs w:val="21"/>
              </w:rPr>
            </w:pPr>
            <w:r>
              <w:rPr>
                <w:spacing w:val="4"/>
                <w:sz w:val="21"/>
                <w:szCs w:val="21"/>
              </w:rPr>
              <w:t>危废暂存间</w:t>
            </w:r>
          </w:p>
        </w:tc>
        <w:tc>
          <w:tcPr>
            <w:tcW w:w="4614" w:type="dxa"/>
            <w:vAlign w:val="top"/>
          </w:tcPr>
          <w:p w14:paraId="725DC6AB">
            <w:pPr>
              <w:pStyle w:val="6"/>
              <w:spacing w:before="50" w:line="216" w:lineRule="auto"/>
              <w:ind w:left="143"/>
              <w:rPr>
                <w:sz w:val="21"/>
                <w:szCs w:val="21"/>
              </w:rPr>
            </w:pPr>
            <w:r>
              <w:rPr>
                <w:sz w:val="21"/>
                <w:szCs w:val="21"/>
              </w:rPr>
              <w:t>建筑平面尺寸5.6m×5.6m,共一层，建筑面积为</w:t>
            </w:r>
          </w:p>
          <w:p w14:paraId="22F23DEB">
            <w:pPr>
              <w:pStyle w:val="6"/>
              <w:spacing w:before="64" w:line="216" w:lineRule="auto"/>
              <w:ind w:left="882"/>
              <w:rPr>
                <w:sz w:val="21"/>
                <w:szCs w:val="21"/>
              </w:rPr>
            </w:pPr>
            <w:r>
              <w:rPr>
                <w:spacing w:val="6"/>
                <w:sz w:val="21"/>
                <w:szCs w:val="21"/>
              </w:rPr>
              <w:t>32m²,结构形式采用砖混结构。</w:t>
            </w:r>
          </w:p>
        </w:tc>
        <w:tc>
          <w:tcPr>
            <w:tcW w:w="589" w:type="dxa"/>
            <w:vAlign w:val="top"/>
          </w:tcPr>
          <w:p w14:paraId="2384B433">
            <w:pPr>
              <w:pStyle w:val="6"/>
              <w:spacing w:before="234" w:line="241" w:lineRule="auto"/>
              <w:ind w:left="238"/>
              <w:rPr>
                <w:sz w:val="21"/>
                <w:szCs w:val="21"/>
              </w:rPr>
            </w:pPr>
            <w:r>
              <w:rPr>
                <w:sz w:val="21"/>
                <w:szCs w:val="21"/>
              </w:rPr>
              <w:t>1</w:t>
            </w:r>
          </w:p>
        </w:tc>
        <w:tc>
          <w:tcPr>
            <w:tcW w:w="994" w:type="dxa"/>
            <w:vAlign w:val="top"/>
          </w:tcPr>
          <w:p w14:paraId="77467E53">
            <w:pPr>
              <w:pStyle w:val="6"/>
              <w:spacing w:before="214" w:line="220" w:lineRule="auto"/>
              <w:ind w:left="70"/>
              <w:rPr>
                <w:sz w:val="21"/>
                <w:szCs w:val="21"/>
              </w:rPr>
            </w:pPr>
            <w:r>
              <w:rPr>
                <w:spacing w:val="3"/>
                <w:sz w:val="21"/>
                <w:szCs w:val="21"/>
              </w:rPr>
              <w:t>砖混结构</w:t>
            </w:r>
          </w:p>
        </w:tc>
      </w:tr>
      <w:tr w14:paraId="07FA6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14" w:type="dxa"/>
            <w:vAlign w:val="top"/>
          </w:tcPr>
          <w:p w14:paraId="5C51D7FC">
            <w:pPr>
              <w:pStyle w:val="6"/>
              <w:spacing w:before="124" w:line="233" w:lineRule="auto"/>
              <w:ind w:left="244"/>
              <w:rPr>
                <w:sz w:val="21"/>
                <w:szCs w:val="21"/>
              </w:rPr>
            </w:pPr>
            <w:r>
              <w:rPr>
                <w:sz w:val="21"/>
                <w:szCs w:val="21"/>
              </w:rPr>
              <w:t>5</w:t>
            </w:r>
          </w:p>
        </w:tc>
        <w:tc>
          <w:tcPr>
            <w:tcW w:w="1698" w:type="dxa"/>
            <w:vAlign w:val="top"/>
          </w:tcPr>
          <w:p w14:paraId="6D470384">
            <w:pPr>
              <w:pStyle w:val="6"/>
              <w:spacing w:before="105" w:line="221" w:lineRule="auto"/>
              <w:ind w:left="360"/>
              <w:rPr>
                <w:sz w:val="21"/>
                <w:szCs w:val="21"/>
              </w:rPr>
            </w:pPr>
            <w:r>
              <w:rPr>
                <w:spacing w:val="8"/>
                <w:sz w:val="21"/>
                <w:szCs w:val="21"/>
              </w:rPr>
              <w:t>主变(1台)</w:t>
            </w:r>
          </w:p>
        </w:tc>
        <w:tc>
          <w:tcPr>
            <w:tcW w:w="4614" w:type="dxa"/>
            <w:vAlign w:val="top"/>
          </w:tcPr>
          <w:p w14:paraId="0E1FBE20">
            <w:pPr>
              <w:pStyle w:val="6"/>
              <w:spacing w:before="101" w:line="216" w:lineRule="auto"/>
              <w:ind w:left="882"/>
              <w:rPr>
                <w:sz w:val="21"/>
                <w:szCs w:val="21"/>
              </w:rPr>
            </w:pPr>
            <w:r>
              <w:rPr>
                <w:spacing w:val="2"/>
                <w:sz w:val="21"/>
                <w:szCs w:val="21"/>
              </w:rPr>
              <w:t>型号：</w:t>
            </w:r>
            <w:r>
              <w:rPr>
                <w:sz w:val="21"/>
                <w:szCs w:val="21"/>
              </w:rPr>
              <w:t>SZ</w:t>
            </w:r>
            <w:r>
              <w:rPr>
                <w:spacing w:val="2"/>
                <w:sz w:val="21"/>
                <w:szCs w:val="21"/>
              </w:rPr>
              <w:t>18-50000/110,50</w:t>
            </w:r>
            <w:r>
              <w:rPr>
                <w:sz w:val="21"/>
                <w:szCs w:val="21"/>
              </w:rPr>
              <w:t>MVA</w:t>
            </w:r>
            <w:r>
              <w:rPr>
                <w:spacing w:val="2"/>
                <w:sz w:val="21"/>
                <w:szCs w:val="21"/>
              </w:rPr>
              <w:t>;</w:t>
            </w:r>
          </w:p>
        </w:tc>
        <w:tc>
          <w:tcPr>
            <w:tcW w:w="589" w:type="dxa"/>
            <w:vAlign w:val="top"/>
          </w:tcPr>
          <w:p w14:paraId="01F33BCF">
            <w:pPr>
              <w:pStyle w:val="6"/>
              <w:spacing w:before="124" w:line="233" w:lineRule="auto"/>
              <w:ind w:left="238"/>
              <w:rPr>
                <w:sz w:val="21"/>
                <w:szCs w:val="21"/>
              </w:rPr>
            </w:pPr>
            <w:r>
              <w:rPr>
                <w:sz w:val="21"/>
                <w:szCs w:val="21"/>
              </w:rPr>
              <w:t>1</w:t>
            </w:r>
          </w:p>
        </w:tc>
        <w:tc>
          <w:tcPr>
            <w:tcW w:w="994" w:type="dxa"/>
            <w:vAlign w:val="top"/>
          </w:tcPr>
          <w:p w14:paraId="4AD82E3D">
            <w:pPr>
              <w:pStyle w:val="6"/>
              <w:spacing w:before="103" w:line="219" w:lineRule="auto"/>
              <w:ind w:left="70"/>
              <w:rPr>
                <w:sz w:val="21"/>
                <w:szCs w:val="21"/>
              </w:rPr>
            </w:pPr>
            <w:r>
              <w:rPr>
                <w:spacing w:val="2"/>
                <w:sz w:val="21"/>
                <w:szCs w:val="21"/>
              </w:rPr>
              <w:t>板式基础</w:t>
            </w:r>
          </w:p>
        </w:tc>
      </w:tr>
      <w:tr w14:paraId="154C0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14" w:type="dxa"/>
            <w:vAlign w:val="top"/>
          </w:tcPr>
          <w:p w14:paraId="51AEFB72">
            <w:pPr>
              <w:pStyle w:val="6"/>
              <w:spacing w:before="275"/>
              <w:ind w:left="244"/>
              <w:rPr>
                <w:sz w:val="21"/>
                <w:szCs w:val="21"/>
              </w:rPr>
            </w:pPr>
            <w:r>
              <w:rPr>
                <w:sz w:val="21"/>
                <w:szCs w:val="21"/>
              </w:rPr>
              <w:t>6</w:t>
            </w:r>
          </w:p>
        </w:tc>
        <w:tc>
          <w:tcPr>
            <w:tcW w:w="1698" w:type="dxa"/>
            <w:vAlign w:val="top"/>
          </w:tcPr>
          <w:p w14:paraId="74B66C7E">
            <w:pPr>
              <w:pStyle w:val="6"/>
              <w:spacing w:before="308" w:line="183" w:lineRule="auto"/>
              <w:ind w:left="680"/>
              <w:rPr>
                <w:sz w:val="21"/>
                <w:szCs w:val="21"/>
              </w:rPr>
            </w:pPr>
            <w:r>
              <w:rPr>
                <w:spacing w:val="-2"/>
                <w:sz w:val="21"/>
                <w:szCs w:val="21"/>
              </w:rPr>
              <w:t>GIS</w:t>
            </w:r>
          </w:p>
        </w:tc>
        <w:tc>
          <w:tcPr>
            <w:tcW w:w="4614" w:type="dxa"/>
            <w:vAlign w:val="top"/>
          </w:tcPr>
          <w:p w14:paraId="7AF272DE">
            <w:pPr>
              <w:pStyle w:val="6"/>
              <w:spacing w:before="115" w:line="252" w:lineRule="auto"/>
              <w:ind w:left="932" w:right="215" w:hanging="680"/>
              <w:rPr>
                <w:sz w:val="21"/>
                <w:szCs w:val="21"/>
              </w:rPr>
            </w:pPr>
            <w:r>
              <w:rPr>
                <w:spacing w:val="1"/>
                <w:sz w:val="21"/>
                <w:szCs w:val="21"/>
              </w:rPr>
              <w:t>110</w:t>
            </w:r>
            <w:r>
              <w:rPr>
                <w:sz w:val="21"/>
                <w:szCs w:val="21"/>
              </w:rPr>
              <w:t>kV</w:t>
            </w:r>
            <w:r>
              <w:rPr>
                <w:spacing w:val="1"/>
                <w:sz w:val="21"/>
                <w:szCs w:val="21"/>
              </w:rPr>
              <w:t xml:space="preserve"> </w:t>
            </w:r>
            <w:r>
              <w:rPr>
                <w:sz w:val="21"/>
                <w:szCs w:val="21"/>
              </w:rPr>
              <w:t>GIS</w:t>
            </w:r>
            <w:r>
              <w:rPr>
                <w:spacing w:val="1"/>
                <w:sz w:val="21"/>
                <w:szCs w:val="21"/>
              </w:rPr>
              <w:t>组合设备(线变组间隔-主变-出线)</w:t>
            </w:r>
            <w:r>
              <w:rPr>
                <w:spacing w:val="18"/>
                <w:sz w:val="21"/>
                <w:szCs w:val="21"/>
              </w:rPr>
              <w:t xml:space="preserve"> </w:t>
            </w:r>
            <w:r>
              <w:rPr>
                <w:spacing w:val="-1"/>
                <w:sz w:val="21"/>
                <w:szCs w:val="21"/>
              </w:rPr>
              <w:t>126kV,2000A,40kA(4s),100kA</w:t>
            </w:r>
          </w:p>
        </w:tc>
        <w:tc>
          <w:tcPr>
            <w:tcW w:w="589" w:type="dxa"/>
            <w:vAlign w:val="top"/>
          </w:tcPr>
          <w:p w14:paraId="26932593">
            <w:pPr>
              <w:pStyle w:val="6"/>
              <w:spacing w:before="275" w:line="241" w:lineRule="auto"/>
              <w:ind w:left="238"/>
              <w:rPr>
                <w:sz w:val="21"/>
                <w:szCs w:val="21"/>
              </w:rPr>
            </w:pPr>
            <w:r>
              <w:rPr>
                <w:sz w:val="21"/>
                <w:szCs w:val="21"/>
              </w:rPr>
              <w:t>1</w:t>
            </w:r>
          </w:p>
        </w:tc>
        <w:tc>
          <w:tcPr>
            <w:tcW w:w="994" w:type="dxa"/>
            <w:vAlign w:val="top"/>
          </w:tcPr>
          <w:p w14:paraId="2AC262D7">
            <w:pPr>
              <w:pStyle w:val="6"/>
              <w:spacing w:before="253" w:line="219" w:lineRule="auto"/>
              <w:ind w:left="70"/>
              <w:rPr>
                <w:sz w:val="21"/>
                <w:szCs w:val="21"/>
              </w:rPr>
            </w:pPr>
            <w:r>
              <w:rPr>
                <w:spacing w:val="2"/>
                <w:sz w:val="21"/>
                <w:szCs w:val="21"/>
              </w:rPr>
              <w:t>板式基础</w:t>
            </w:r>
          </w:p>
        </w:tc>
      </w:tr>
      <w:tr w14:paraId="0FB98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14" w:type="dxa"/>
            <w:vAlign w:val="top"/>
          </w:tcPr>
          <w:p w14:paraId="7C7D85EF">
            <w:pPr>
              <w:pStyle w:val="6"/>
              <w:spacing w:before="266"/>
              <w:ind w:left="244"/>
              <w:rPr>
                <w:sz w:val="21"/>
                <w:szCs w:val="21"/>
              </w:rPr>
            </w:pPr>
            <w:r>
              <w:rPr>
                <w:sz w:val="21"/>
                <w:szCs w:val="21"/>
              </w:rPr>
              <w:t>7</w:t>
            </w:r>
          </w:p>
        </w:tc>
        <w:tc>
          <w:tcPr>
            <w:tcW w:w="1698" w:type="dxa"/>
            <w:vAlign w:val="top"/>
          </w:tcPr>
          <w:p w14:paraId="4ED19A97">
            <w:pPr>
              <w:pStyle w:val="6"/>
              <w:spacing w:before="299" w:line="183" w:lineRule="auto"/>
              <w:ind w:left="680"/>
              <w:rPr>
                <w:sz w:val="21"/>
                <w:szCs w:val="21"/>
              </w:rPr>
            </w:pPr>
            <w:r>
              <w:rPr>
                <w:spacing w:val="-3"/>
                <w:sz w:val="21"/>
                <w:szCs w:val="21"/>
              </w:rPr>
              <w:t>SVG</w:t>
            </w:r>
          </w:p>
        </w:tc>
        <w:tc>
          <w:tcPr>
            <w:tcW w:w="4614" w:type="dxa"/>
            <w:vAlign w:val="top"/>
          </w:tcPr>
          <w:p w14:paraId="00E74101">
            <w:pPr>
              <w:pStyle w:val="6"/>
              <w:spacing w:before="114" w:line="248" w:lineRule="auto"/>
              <w:ind w:left="1462" w:right="154" w:hanging="1260"/>
              <w:rPr>
                <w:sz w:val="21"/>
                <w:szCs w:val="21"/>
              </w:rPr>
            </w:pPr>
            <w:r>
              <w:rPr>
                <w:spacing w:val="2"/>
                <w:sz w:val="21"/>
                <w:szCs w:val="21"/>
              </w:rPr>
              <w:t>35</w:t>
            </w:r>
            <w:r>
              <w:rPr>
                <w:sz w:val="21"/>
                <w:szCs w:val="21"/>
              </w:rPr>
              <w:t>kV</w:t>
            </w:r>
            <w:r>
              <w:rPr>
                <w:spacing w:val="2"/>
                <w:sz w:val="21"/>
                <w:szCs w:val="21"/>
              </w:rPr>
              <w:t xml:space="preserve"> </w:t>
            </w:r>
            <w:r>
              <w:rPr>
                <w:sz w:val="21"/>
                <w:szCs w:val="21"/>
              </w:rPr>
              <w:t>SVG</w:t>
            </w:r>
            <w:r>
              <w:rPr>
                <w:spacing w:val="2"/>
                <w:sz w:val="21"/>
                <w:szCs w:val="21"/>
              </w:rPr>
              <w:t>型动态无功补偿成套装置(直挂水冷)</w:t>
            </w:r>
            <w:r>
              <w:rPr>
                <w:spacing w:val="5"/>
                <w:sz w:val="21"/>
                <w:szCs w:val="21"/>
              </w:rPr>
              <w:t xml:space="preserve"> </w:t>
            </w:r>
            <w:r>
              <w:rPr>
                <w:spacing w:val="-1"/>
                <w:sz w:val="21"/>
                <w:szCs w:val="21"/>
              </w:rPr>
              <w:t>容量：±12.5Mvar</w:t>
            </w:r>
          </w:p>
        </w:tc>
        <w:tc>
          <w:tcPr>
            <w:tcW w:w="589" w:type="dxa"/>
            <w:vAlign w:val="top"/>
          </w:tcPr>
          <w:p w14:paraId="41A393D8">
            <w:pPr>
              <w:pStyle w:val="6"/>
              <w:spacing w:before="266" w:line="241" w:lineRule="auto"/>
              <w:ind w:left="238"/>
              <w:rPr>
                <w:sz w:val="21"/>
                <w:szCs w:val="21"/>
              </w:rPr>
            </w:pPr>
            <w:r>
              <w:rPr>
                <w:sz w:val="21"/>
                <w:szCs w:val="21"/>
              </w:rPr>
              <w:t>1</w:t>
            </w:r>
          </w:p>
        </w:tc>
        <w:tc>
          <w:tcPr>
            <w:tcW w:w="994" w:type="dxa"/>
            <w:vAlign w:val="top"/>
          </w:tcPr>
          <w:p w14:paraId="4C059041">
            <w:pPr>
              <w:pStyle w:val="6"/>
              <w:spacing w:before="244" w:line="219" w:lineRule="auto"/>
              <w:ind w:left="70"/>
              <w:rPr>
                <w:sz w:val="21"/>
                <w:szCs w:val="21"/>
              </w:rPr>
            </w:pPr>
            <w:r>
              <w:rPr>
                <w:spacing w:val="2"/>
                <w:sz w:val="21"/>
                <w:szCs w:val="21"/>
              </w:rPr>
              <w:t>板式基础</w:t>
            </w:r>
          </w:p>
        </w:tc>
      </w:tr>
      <w:tr w14:paraId="53437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14" w:type="dxa"/>
            <w:vAlign w:val="top"/>
          </w:tcPr>
          <w:p w14:paraId="648352EC">
            <w:pPr>
              <w:pStyle w:val="6"/>
              <w:spacing w:before="246"/>
              <w:ind w:left="244"/>
              <w:rPr>
                <w:sz w:val="21"/>
                <w:szCs w:val="21"/>
              </w:rPr>
            </w:pPr>
            <w:r>
              <w:rPr>
                <w:sz w:val="21"/>
                <w:szCs w:val="21"/>
              </w:rPr>
              <w:t>8</w:t>
            </w:r>
          </w:p>
        </w:tc>
        <w:tc>
          <w:tcPr>
            <w:tcW w:w="1698" w:type="dxa"/>
            <w:vAlign w:val="top"/>
          </w:tcPr>
          <w:p w14:paraId="7B1A4A9F">
            <w:pPr>
              <w:pStyle w:val="6"/>
              <w:spacing w:before="227" w:line="220" w:lineRule="auto"/>
              <w:ind w:left="310"/>
              <w:rPr>
                <w:sz w:val="21"/>
                <w:szCs w:val="21"/>
              </w:rPr>
            </w:pPr>
            <w:r>
              <w:rPr>
                <w:spacing w:val="1"/>
                <w:sz w:val="21"/>
                <w:szCs w:val="21"/>
              </w:rPr>
              <w:t>总事故油池</w:t>
            </w:r>
          </w:p>
        </w:tc>
        <w:tc>
          <w:tcPr>
            <w:tcW w:w="4614" w:type="dxa"/>
            <w:vAlign w:val="top"/>
          </w:tcPr>
          <w:p w14:paraId="68A3DF29">
            <w:pPr>
              <w:pStyle w:val="6"/>
              <w:spacing w:before="76" w:line="243" w:lineRule="auto"/>
              <w:ind w:left="2032" w:right="138" w:hanging="1889"/>
              <w:rPr>
                <w:sz w:val="21"/>
                <w:szCs w:val="21"/>
              </w:rPr>
            </w:pPr>
            <w:r>
              <w:rPr>
                <w:color w:val="FF0000"/>
                <w:sz w:val="21"/>
                <w:szCs w:val="21"/>
              </w:rPr>
              <w:t>1座，集油井和事故油池，事故油池容积不低于</w:t>
            </w:r>
            <w:r>
              <w:rPr>
                <w:color w:val="FF0000"/>
                <w:spacing w:val="16"/>
                <w:sz w:val="21"/>
                <w:szCs w:val="21"/>
              </w:rPr>
              <w:t xml:space="preserve"> </w:t>
            </w:r>
            <w:r>
              <w:rPr>
                <w:color w:val="FF0000"/>
                <w:spacing w:val="-1"/>
                <w:sz w:val="21"/>
                <w:szCs w:val="21"/>
              </w:rPr>
              <w:t>50</w:t>
            </w:r>
            <w:r>
              <w:rPr>
                <w:color w:val="FF0020"/>
                <w:spacing w:val="-1"/>
                <w:sz w:val="21"/>
                <w:szCs w:val="21"/>
              </w:rPr>
              <w:t>m³</w:t>
            </w:r>
          </w:p>
        </w:tc>
        <w:tc>
          <w:tcPr>
            <w:tcW w:w="589" w:type="dxa"/>
            <w:vAlign w:val="top"/>
          </w:tcPr>
          <w:p w14:paraId="5FA83A8E">
            <w:pPr>
              <w:pStyle w:val="6"/>
              <w:spacing w:before="247" w:line="241" w:lineRule="auto"/>
              <w:ind w:left="238"/>
              <w:rPr>
                <w:sz w:val="21"/>
                <w:szCs w:val="21"/>
              </w:rPr>
            </w:pPr>
            <w:r>
              <w:rPr>
                <w:sz w:val="21"/>
                <w:szCs w:val="21"/>
              </w:rPr>
              <w:t>1</w:t>
            </w:r>
          </w:p>
        </w:tc>
        <w:tc>
          <w:tcPr>
            <w:tcW w:w="994" w:type="dxa"/>
            <w:vAlign w:val="top"/>
          </w:tcPr>
          <w:p w14:paraId="60F473F8">
            <w:pPr>
              <w:pStyle w:val="6"/>
              <w:spacing w:before="233" w:line="227" w:lineRule="auto"/>
              <w:ind w:left="279"/>
              <w:rPr>
                <w:sz w:val="21"/>
                <w:szCs w:val="21"/>
              </w:rPr>
            </w:pPr>
            <w:r>
              <w:rPr>
                <w:spacing w:val="-3"/>
                <w:sz w:val="21"/>
                <w:szCs w:val="21"/>
              </w:rPr>
              <w:t>地埋</w:t>
            </w:r>
          </w:p>
        </w:tc>
      </w:tr>
      <w:tr w14:paraId="5FF46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14" w:type="dxa"/>
            <w:vAlign w:val="top"/>
          </w:tcPr>
          <w:p w14:paraId="34456ABE">
            <w:pPr>
              <w:pStyle w:val="6"/>
              <w:spacing w:before="98" w:line="203" w:lineRule="auto"/>
              <w:ind w:left="244"/>
              <w:rPr>
                <w:sz w:val="21"/>
                <w:szCs w:val="21"/>
              </w:rPr>
            </w:pPr>
            <w:r>
              <w:rPr>
                <w:sz w:val="21"/>
                <w:szCs w:val="21"/>
              </w:rPr>
              <w:t>9</w:t>
            </w:r>
          </w:p>
        </w:tc>
        <w:tc>
          <w:tcPr>
            <w:tcW w:w="1698" w:type="dxa"/>
            <w:vAlign w:val="top"/>
          </w:tcPr>
          <w:p w14:paraId="7AEE3640">
            <w:pPr>
              <w:pStyle w:val="6"/>
              <w:spacing w:before="78" w:line="220" w:lineRule="auto"/>
              <w:ind w:left="521"/>
              <w:rPr>
                <w:sz w:val="21"/>
                <w:szCs w:val="21"/>
              </w:rPr>
            </w:pPr>
            <w:r>
              <w:rPr>
                <w:spacing w:val="3"/>
                <w:sz w:val="21"/>
                <w:szCs w:val="21"/>
              </w:rPr>
              <w:t>隔油池</w:t>
            </w:r>
          </w:p>
        </w:tc>
        <w:tc>
          <w:tcPr>
            <w:tcW w:w="4614" w:type="dxa"/>
            <w:vAlign w:val="top"/>
          </w:tcPr>
          <w:p w14:paraId="2DA2B30F">
            <w:pPr>
              <w:pStyle w:val="6"/>
              <w:spacing w:before="78" w:line="220" w:lineRule="auto"/>
              <w:ind w:left="1402"/>
              <w:rPr>
                <w:sz w:val="21"/>
                <w:szCs w:val="21"/>
              </w:rPr>
            </w:pPr>
            <w:r>
              <w:rPr>
                <w:spacing w:val="14"/>
                <w:sz w:val="21"/>
                <w:szCs w:val="21"/>
              </w:rPr>
              <w:t>1座，容积为0.2m³</w:t>
            </w:r>
          </w:p>
        </w:tc>
        <w:tc>
          <w:tcPr>
            <w:tcW w:w="589" w:type="dxa"/>
            <w:vAlign w:val="top"/>
          </w:tcPr>
          <w:p w14:paraId="1D92F707">
            <w:pPr>
              <w:pStyle w:val="6"/>
              <w:spacing w:before="98" w:line="203" w:lineRule="auto"/>
              <w:ind w:left="238"/>
              <w:rPr>
                <w:sz w:val="21"/>
                <w:szCs w:val="21"/>
              </w:rPr>
            </w:pPr>
            <w:r>
              <w:rPr>
                <w:sz w:val="21"/>
                <w:szCs w:val="21"/>
              </w:rPr>
              <w:t>1</w:t>
            </w:r>
          </w:p>
        </w:tc>
        <w:tc>
          <w:tcPr>
            <w:tcW w:w="994" w:type="dxa"/>
            <w:vAlign w:val="top"/>
          </w:tcPr>
          <w:p w14:paraId="070AC02C">
            <w:pPr>
              <w:pStyle w:val="6"/>
              <w:spacing w:before="85" w:line="214" w:lineRule="auto"/>
              <w:ind w:left="279"/>
              <w:rPr>
                <w:sz w:val="21"/>
                <w:szCs w:val="21"/>
              </w:rPr>
            </w:pPr>
            <w:r>
              <w:rPr>
                <w:spacing w:val="-3"/>
                <w:sz w:val="21"/>
                <w:szCs w:val="21"/>
              </w:rPr>
              <w:t>地埋</w:t>
            </w:r>
          </w:p>
        </w:tc>
      </w:tr>
      <w:tr w14:paraId="4408B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14" w:type="dxa"/>
            <w:vAlign w:val="top"/>
          </w:tcPr>
          <w:p w14:paraId="3E8A0A52">
            <w:pPr>
              <w:pStyle w:val="6"/>
              <w:spacing w:before="90" w:line="202" w:lineRule="auto"/>
              <w:ind w:left="194"/>
              <w:rPr>
                <w:sz w:val="21"/>
                <w:szCs w:val="21"/>
              </w:rPr>
            </w:pPr>
            <w:r>
              <w:rPr>
                <w:spacing w:val="-6"/>
                <w:sz w:val="21"/>
                <w:szCs w:val="21"/>
              </w:rPr>
              <w:t>10</w:t>
            </w:r>
          </w:p>
        </w:tc>
        <w:tc>
          <w:tcPr>
            <w:tcW w:w="1698" w:type="dxa"/>
            <w:vAlign w:val="top"/>
          </w:tcPr>
          <w:p w14:paraId="27DB523F">
            <w:pPr>
              <w:pStyle w:val="6"/>
              <w:spacing w:before="68" w:line="219" w:lineRule="auto"/>
              <w:ind w:left="521"/>
              <w:rPr>
                <w:sz w:val="21"/>
                <w:szCs w:val="21"/>
              </w:rPr>
            </w:pPr>
            <w:r>
              <w:rPr>
                <w:spacing w:val="-3"/>
                <w:sz w:val="21"/>
                <w:szCs w:val="21"/>
              </w:rPr>
              <w:t>化粪池</w:t>
            </w:r>
          </w:p>
        </w:tc>
        <w:tc>
          <w:tcPr>
            <w:tcW w:w="4614" w:type="dxa"/>
            <w:vAlign w:val="top"/>
          </w:tcPr>
          <w:p w14:paraId="4C54E0E3">
            <w:pPr>
              <w:pStyle w:val="6"/>
              <w:spacing w:before="69" w:line="220" w:lineRule="auto"/>
              <w:ind w:left="1513"/>
              <w:rPr>
                <w:sz w:val="21"/>
                <w:szCs w:val="21"/>
              </w:rPr>
            </w:pPr>
            <w:r>
              <w:rPr>
                <w:spacing w:val="16"/>
                <w:sz w:val="21"/>
                <w:szCs w:val="21"/>
              </w:rPr>
              <w:t>1座，容积为1m³</w:t>
            </w:r>
          </w:p>
        </w:tc>
        <w:tc>
          <w:tcPr>
            <w:tcW w:w="589" w:type="dxa"/>
            <w:vAlign w:val="top"/>
          </w:tcPr>
          <w:p w14:paraId="1DC255A4">
            <w:pPr>
              <w:pStyle w:val="6"/>
              <w:spacing w:before="90" w:line="202" w:lineRule="auto"/>
              <w:ind w:left="238"/>
              <w:rPr>
                <w:sz w:val="21"/>
                <w:szCs w:val="21"/>
              </w:rPr>
            </w:pPr>
            <w:r>
              <w:rPr>
                <w:sz w:val="21"/>
                <w:szCs w:val="21"/>
              </w:rPr>
              <w:t>1</w:t>
            </w:r>
          </w:p>
        </w:tc>
        <w:tc>
          <w:tcPr>
            <w:tcW w:w="994" w:type="dxa"/>
            <w:vAlign w:val="top"/>
          </w:tcPr>
          <w:p w14:paraId="021FF0BC">
            <w:pPr>
              <w:pStyle w:val="6"/>
              <w:spacing w:before="76" w:line="214" w:lineRule="auto"/>
              <w:ind w:left="279"/>
              <w:rPr>
                <w:sz w:val="21"/>
                <w:szCs w:val="21"/>
              </w:rPr>
            </w:pPr>
            <w:r>
              <w:rPr>
                <w:spacing w:val="-3"/>
                <w:sz w:val="21"/>
                <w:szCs w:val="21"/>
              </w:rPr>
              <w:t>地埋</w:t>
            </w:r>
          </w:p>
        </w:tc>
      </w:tr>
      <w:tr w14:paraId="4BC26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14" w:type="dxa"/>
            <w:vAlign w:val="top"/>
          </w:tcPr>
          <w:p w14:paraId="04D82BAC">
            <w:pPr>
              <w:pStyle w:val="6"/>
              <w:spacing w:before="239" w:line="241" w:lineRule="auto"/>
              <w:ind w:left="194"/>
              <w:rPr>
                <w:sz w:val="21"/>
                <w:szCs w:val="21"/>
              </w:rPr>
            </w:pPr>
            <w:r>
              <w:rPr>
                <w:spacing w:val="-6"/>
                <w:sz w:val="21"/>
                <w:szCs w:val="21"/>
              </w:rPr>
              <w:t>11</w:t>
            </w:r>
          </w:p>
        </w:tc>
        <w:tc>
          <w:tcPr>
            <w:tcW w:w="1698" w:type="dxa"/>
            <w:vAlign w:val="top"/>
          </w:tcPr>
          <w:p w14:paraId="310B32CB">
            <w:pPr>
              <w:pStyle w:val="6"/>
              <w:spacing w:before="59" w:line="246" w:lineRule="auto"/>
              <w:ind w:left="520" w:right="107" w:hanging="420"/>
              <w:rPr>
                <w:sz w:val="21"/>
                <w:szCs w:val="21"/>
              </w:rPr>
            </w:pPr>
            <w:r>
              <w:rPr>
                <w:spacing w:val="1"/>
                <w:sz w:val="21"/>
                <w:szCs w:val="21"/>
              </w:rPr>
              <w:t xml:space="preserve">一体化生活废水 </w:t>
            </w:r>
            <w:r>
              <w:rPr>
                <w:spacing w:val="3"/>
                <w:sz w:val="21"/>
                <w:szCs w:val="21"/>
              </w:rPr>
              <w:t>处理站</w:t>
            </w:r>
          </w:p>
        </w:tc>
        <w:tc>
          <w:tcPr>
            <w:tcW w:w="4614" w:type="dxa"/>
            <w:vAlign w:val="top"/>
          </w:tcPr>
          <w:p w14:paraId="39422FE2">
            <w:pPr>
              <w:pStyle w:val="6"/>
              <w:spacing w:before="218" w:line="219" w:lineRule="auto"/>
              <w:ind w:left="1192"/>
              <w:rPr>
                <w:sz w:val="21"/>
                <w:szCs w:val="21"/>
              </w:rPr>
            </w:pPr>
            <w:r>
              <w:rPr>
                <w:spacing w:val="8"/>
                <w:sz w:val="21"/>
                <w:szCs w:val="21"/>
              </w:rPr>
              <w:t>1套，处理规模为1m³/d</w:t>
            </w:r>
          </w:p>
        </w:tc>
        <w:tc>
          <w:tcPr>
            <w:tcW w:w="589" w:type="dxa"/>
            <w:vAlign w:val="top"/>
          </w:tcPr>
          <w:p w14:paraId="28487D8C">
            <w:pPr>
              <w:pStyle w:val="6"/>
              <w:spacing w:before="239" w:line="241" w:lineRule="auto"/>
              <w:ind w:left="238"/>
              <w:rPr>
                <w:sz w:val="21"/>
                <w:szCs w:val="21"/>
              </w:rPr>
            </w:pPr>
            <w:r>
              <w:rPr>
                <w:sz w:val="21"/>
                <w:szCs w:val="21"/>
              </w:rPr>
              <w:t>1</w:t>
            </w:r>
          </w:p>
        </w:tc>
        <w:tc>
          <w:tcPr>
            <w:tcW w:w="994" w:type="dxa"/>
            <w:vAlign w:val="top"/>
          </w:tcPr>
          <w:p w14:paraId="7EB6D083">
            <w:pPr>
              <w:pStyle w:val="6"/>
              <w:spacing w:before="226" w:line="227" w:lineRule="auto"/>
              <w:ind w:left="279"/>
              <w:rPr>
                <w:sz w:val="21"/>
                <w:szCs w:val="21"/>
              </w:rPr>
            </w:pPr>
            <w:r>
              <w:rPr>
                <w:spacing w:val="-3"/>
                <w:sz w:val="21"/>
                <w:szCs w:val="21"/>
              </w:rPr>
              <w:t>地埋</w:t>
            </w:r>
          </w:p>
        </w:tc>
      </w:tr>
      <w:tr w14:paraId="4A725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14" w:type="dxa"/>
            <w:vAlign w:val="top"/>
          </w:tcPr>
          <w:p w14:paraId="3EDA8E2D">
            <w:pPr>
              <w:pStyle w:val="6"/>
              <w:spacing w:before="90" w:line="202" w:lineRule="auto"/>
              <w:ind w:left="194"/>
              <w:rPr>
                <w:sz w:val="21"/>
                <w:szCs w:val="21"/>
              </w:rPr>
            </w:pPr>
            <w:r>
              <w:rPr>
                <w:spacing w:val="-6"/>
                <w:sz w:val="21"/>
                <w:szCs w:val="21"/>
              </w:rPr>
              <w:t>12</w:t>
            </w:r>
          </w:p>
        </w:tc>
        <w:tc>
          <w:tcPr>
            <w:tcW w:w="1698" w:type="dxa"/>
            <w:vAlign w:val="top"/>
          </w:tcPr>
          <w:p w14:paraId="516A4710">
            <w:pPr>
              <w:pStyle w:val="6"/>
              <w:spacing w:before="69" w:line="219" w:lineRule="auto"/>
              <w:ind w:left="100"/>
              <w:rPr>
                <w:sz w:val="21"/>
                <w:szCs w:val="21"/>
              </w:rPr>
            </w:pPr>
            <w:r>
              <w:rPr>
                <w:spacing w:val="-2"/>
                <w:sz w:val="21"/>
                <w:szCs w:val="21"/>
              </w:rPr>
              <w:t>生活废水收集池</w:t>
            </w:r>
          </w:p>
        </w:tc>
        <w:tc>
          <w:tcPr>
            <w:tcW w:w="4614" w:type="dxa"/>
            <w:vAlign w:val="top"/>
          </w:tcPr>
          <w:p w14:paraId="39D877BE">
            <w:pPr>
              <w:pStyle w:val="6"/>
              <w:spacing w:before="69" w:line="220" w:lineRule="auto"/>
              <w:ind w:left="1513"/>
              <w:rPr>
                <w:sz w:val="21"/>
                <w:szCs w:val="21"/>
              </w:rPr>
            </w:pPr>
            <w:r>
              <w:rPr>
                <w:spacing w:val="16"/>
                <w:sz w:val="21"/>
                <w:szCs w:val="21"/>
              </w:rPr>
              <w:t>1座，容积为4m³</w:t>
            </w:r>
          </w:p>
        </w:tc>
        <w:tc>
          <w:tcPr>
            <w:tcW w:w="589" w:type="dxa"/>
            <w:vAlign w:val="top"/>
          </w:tcPr>
          <w:p w14:paraId="1341DFA6">
            <w:pPr>
              <w:pStyle w:val="6"/>
              <w:spacing w:before="90" w:line="202" w:lineRule="auto"/>
              <w:ind w:left="238"/>
              <w:rPr>
                <w:sz w:val="21"/>
                <w:szCs w:val="21"/>
              </w:rPr>
            </w:pPr>
            <w:r>
              <w:rPr>
                <w:sz w:val="21"/>
                <w:szCs w:val="21"/>
              </w:rPr>
              <w:t>1</w:t>
            </w:r>
          </w:p>
        </w:tc>
        <w:tc>
          <w:tcPr>
            <w:tcW w:w="994" w:type="dxa"/>
            <w:vAlign w:val="top"/>
          </w:tcPr>
          <w:p w14:paraId="2CE8FACA">
            <w:pPr>
              <w:pStyle w:val="6"/>
              <w:spacing w:before="77" w:line="213" w:lineRule="auto"/>
              <w:ind w:left="279"/>
              <w:rPr>
                <w:sz w:val="21"/>
                <w:szCs w:val="21"/>
              </w:rPr>
            </w:pPr>
            <w:r>
              <w:rPr>
                <w:spacing w:val="-3"/>
                <w:sz w:val="21"/>
                <w:szCs w:val="21"/>
              </w:rPr>
              <w:t>地埋</w:t>
            </w:r>
          </w:p>
        </w:tc>
      </w:tr>
      <w:tr w14:paraId="766DB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14" w:type="dxa"/>
            <w:vAlign w:val="top"/>
          </w:tcPr>
          <w:p w14:paraId="426A9303">
            <w:pPr>
              <w:pStyle w:val="6"/>
              <w:spacing w:before="100" w:line="206" w:lineRule="auto"/>
              <w:ind w:left="194"/>
              <w:rPr>
                <w:sz w:val="21"/>
                <w:szCs w:val="21"/>
              </w:rPr>
            </w:pPr>
            <w:r>
              <w:rPr>
                <w:spacing w:val="-6"/>
                <w:sz w:val="21"/>
                <w:szCs w:val="21"/>
              </w:rPr>
              <w:t>13</w:t>
            </w:r>
          </w:p>
        </w:tc>
        <w:tc>
          <w:tcPr>
            <w:tcW w:w="1698" w:type="dxa"/>
            <w:vAlign w:val="top"/>
          </w:tcPr>
          <w:p w14:paraId="7DA91EAB">
            <w:pPr>
              <w:pStyle w:val="6"/>
              <w:spacing w:before="79" w:line="219" w:lineRule="auto"/>
              <w:ind w:left="420"/>
              <w:rPr>
                <w:sz w:val="21"/>
                <w:szCs w:val="21"/>
              </w:rPr>
            </w:pPr>
            <w:r>
              <w:rPr>
                <w:spacing w:val="3"/>
                <w:sz w:val="21"/>
                <w:szCs w:val="21"/>
              </w:rPr>
              <w:t>生活水箱</w:t>
            </w:r>
          </w:p>
        </w:tc>
        <w:tc>
          <w:tcPr>
            <w:tcW w:w="4614" w:type="dxa"/>
            <w:vAlign w:val="top"/>
          </w:tcPr>
          <w:p w14:paraId="73EF2C49">
            <w:pPr>
              <w:pStyle w:val="6"/>
              <w:spacing w:before="80" w:line="220" w:lineRule="auto"/>
              <w:ind w:left="1513"/>
              <w:rPr>
                <w:sz w:val="21"/>
                <w:szCs w:val="21"/>
              </w:rPr>
            </w:pPr>
            <w:r>
              <w:rPr>
                <w:spacing w:val="16"/>
                <w:sz w:val="21"/>
                <w:szCs w:val="21"/>
              </w:rPr>
              <w:t>1座，容积为5m³</w:t>
            </w:r>
          </w:p>
        </w:tc>
        <w:tc>
          <w:tcPr>
            <w:tcW w:w="589" w:type="dxa"/>
            <w:vAlign w:val="top"/>
          </w:tcPr>
          <w:p w14:paraId="542F0C50">
            <w:pPr>
              <w:pStyle w:val="6"/>
              <w:spacing w:before="100" w:line="206" w:lineRule="auto"/>
              <w:ind w:left="238"/>
              <w:rPr>
                <w:sz w:val="21"/>
                <w:szCs w:val="21"/>
              </w:rPr>
            </w:pPr>
            <w:r>
              <w:rPr>
                <w:sz w:val="21"/>
                <w:szCs w:val="21"/>
              </w:rPr>
              <w:t>1</w:t>
            </w:r>
          </w:p>
        </w:tc>
        <w:tc>
          <w:tcPr>
            <w:tcW w:w="994" w:type="dxa"/>
            <w:vAlign w:val="top"/>
          </w:tcPr>
          <w:p w14:paraId="47D17189">
            <w:pPr>
              <w:pStyle w:val="6"/>
              <w:spacing w:before="79" w:line="219" w:lineRule="auto"/>
              <w:ind w:left="70"/>
              <w:rPr>
                <w:sz w:val="21"/>
                <w:szCs w:val="21"/>
              </w:rPr>
            </w:pPr>
            <w:r>
              <w:rPr>
                <w:spacing w:val="3"/>
                <w:sz w:val="21"/>
                <w:szCs w:val="21"/>
              </w:rPr>
              <w:t>成品水箱</w:t>
            </w:r>
          </w:p>
        </w:tc>
      </w:tr>
    </w:tbl>
    <w:p w14:paraId="7368229A">
      <w:pPr>
        <w:pStyle w:val="2"/>
      </w:pPr>
    </w:p>
    <w:p w14:paraId="325FE2B4">
      <w:pPr>
        <w:sectPr>
          <w:footerReference r:id="rId229" w:type="default"/>
          <w:pgSz w:w="11910" w:h="16830"/>
          <w:pgMar w:top="400" w:right="1705" w:bottom="1181" w:left="1685" w:header="0" w:footer="922" w:gutter="0"/>
          <w:cols w:space="720" w:num="1"/>
        </w:sectPr>
      </w:pPr>
    </w:p>
    <w:p w14:paraId="68D67259">
      <w:pPr>
        <w:pStyle w:val="2"/>
        <w:spacing w:line="273" w:lineRule="auto"/>
      </w:pPr>
    </w:p>
    <w:p w14:paraId="2CC7C51B">
      <w:pPr>
        <w:pStyle w:val="2"/>
        <w:spacing w:line="273" w:lineRule="auto"/>
      </w:pPr>
    </w:p>
    <w:p w14:paraId="3D0D9FC7">
      <w:pPr>
        <w:pStyle w:val="2"/>
        <w:spacing w:line="274" w:lineRule="auto"/>
      </w:pPr>
    </w:p>
    <w:p w14:paraId="2A1D4C4B">
      <w:pPr>
        <w:pStyle w:val="2"/>
        <w:spacing w:line="274" w:lineRule="auto"/>
      </w:pPr>
    </w:p>
    <w:p w14:paraId="32F8268A">
      <w:pPr>
        <w:spacing w:before="91" w:line="220" w:lineRule="auto"/>
        <w:ind w:left="94"/>
        <w:rPr>
          <w:rFonts w:ascii="宋体" w:hAnsi="宋体" w:eastAsia="宋体" w:cs="宋体"/>
          <w:sz w:val="28"/>
          <w:szCs w:val="28"/>
        </w:rPr>
      </w:pPr>
      <w:r>
        <w:rPr>
          <w:rFonts w:ascii="宋体" w:hAnsi="宋体" w:eastAsia="宋体" w:cs="宋体"/>
          <w:spacing w:val="8"/>
          <w:sz w:val="28"/>
          <w:szCs w:val="28"/>
        </w:rPr>
        <w:t>2.5升压站电气主接线</w:t>
      </w:r>
    </w:p>
    <w:p w14:paraId="2C9A0BF5">
      <w:pPr>
        <w:spacing w:before="243" w:line="219" w:lineRule="auto"/>
        <w:ind w:left="575"/>
        <w:rPr>
          <w:rFonts w:ascii="宋体" w:hAnsi="宋体" w:eastAsia="宋体" w:cs="宋体"/>
          <w:sz w:val="24"/>
          <w:szCs w:val="24"/>
        </w:rPr>
      </w:pPr>
      <w:r>
        <w:rPr>
          <w:rFonts w:ascii="宋体" w:hAnsi="宋体" w:eastAsia="宋体" w:cs="宋体"/>
          <w:spacing w:val="-9"/>
          <w:sz w:val="24"/>
          <w:szCs w:val="24"/>
        </w:rPr>
        <w:t>主变规模：1×50</w:t>
      </w:r>
      <w:r>
        <w:rPr>
          <w:rFonts w:ascii="Times New Roman" w:hAnsi="Times New Roman" w:eastAsia="Times New Roman" w:cs="Times New Roman"/>
          <w:spacing w:val="-9"/>
          <w:sz w:val="24"/>
          <w:szCs w:val="24"/>
        </w:rPr>
        <w:t>MVA</w:t>
      </w:r>
      <w:r>
        <w:rPr>
          <w:rFonts w:ascii="宋体" w:hAnsi="宋体" w:eastAsia="宋体" w:cs="宋体"/>
          <w:spacing w:val="-9"/>
          <w:sz w:val="24"/>
          <w:szCs w:val="24"/>
        </w:rPr>
        <w:t>。</w:t>
      </w:r>
    </w:p>
    <w:p w14:paraId="01B321E1">
      <w:pPr>
        <w:spacing w:before="185" w:line="219" w:lineRule="auto"/>
        <w:ind w:left="575"/>
        <w:rPr>
          <w:rFonts w:ascii="宋体" w:hAnsi="宋体" w:eastAsia="宋体" w:cs="宋体"/>
          <w:sz w:val="24"/>
          <w:szCs w:val="24"/>
        </w:rPr>
      </w:pPr>
      <w:r>
        <w:rPr>
          <w:rFonts w:ascii="宋体" w:hAnsi="宋体" w:eastAsia="宋体" w:cs="宋体"/>
          <w:spacing w:val="4"/>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4"/>
          <w:sz w:val="24"/>
          <w:szCs w:val="24"/>
        </w:rPr>
        <w:t>:</w:t>
      </w:r>
      <w:r>
        <w:rPr>
          <w:rFonts w:ascii="Times New Roman" w:hAnsi="Times New Roman" w:eastAsia="Times New Roman" w:cs="Times New Roman"/>
          <w:spacing w:val="24"/>
          <w:sz w:val="24"/>
          <w:szCs w:val="24"/>
        </w:rPr>
        <w:t xml:space="preserve">  </w:t>
      </w:r>
      <w:r>
        <w:rPr>
          <w:rFonts w:ascii="宋体" w:hAnsi="宋体" w:eastAsia="宋体" w:cs="宋体"/>
          <w:spacing w:val="4"/>
          <w:sz w:val="24"/>
          <w:szCs w:val="24"/>
        </w:rPr>
        <w:t>线路-变压器组接线，以1回110</w:t>
      </w:r>
      <w:r>
        <w:rPr>
          <w:rFonts w:ascii="Times New Roman" w:hAnsi="Times New Roman" w:eastAsia="Times New Roman" w:cs="Times New Roman"/>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4"/>
          <w:sz w:val="24"/>
          <w:szCs w:val="24"/>
        </w:rPr>
        <w:t>线路送出。</w:t>
      </w:r>
    </w:p>
    <w:p w14:paraId="6D7A0BE7">
      <w:pPr>
        <w:spacing w:before="164" w:line="362" w:lineRule="auto"/>
        <w:ind w:left="94" w:right="45" w:firstLine="480"/>
        <w:jc w:val="both"/>
        <w:rPr>
          <w:rFonts w:ascii="宋体" w:hAnsi="宋体" w:eastAsia="宋体" w:cs="宋体"/>
          <w:sz w:val="24"/>
          <w:szCs w:val="24"/>
        </w:rPr>
      </w:pPr>
      <w:r>
        <w:rPr>
          <w:rFonts w:ascii="宋体" w:hAnsi="宋体" w:eastAsia="宋体" w:cs="宋体"/>
          <w:spacing w:val="4"/>
          <w:sz w:val="24"/>
          <w:szCs w:val="24"/>
        </w:rPr>
        <w:t>35</w:t>
      </w:r>
      <w:r>
        <w:rPr>
          <w:rFonts w:ascii="Times New Roman" w:hAnsi="Times New Roman" w:eastAsia="Times New Roman" w:cs="Times New Roman"/>
          <w:sz w:val="24"/>
          <w:szCs w:val="24"/>
        </w:rPr>
        <w:t>kV</w:t>
      </w:r>
      <w:r>
        <w:rPr>
          <w:rFonts w:ascii="Times New Roman" w:hAnsi="Times New Roman" w:eastAsia="Times New Roman" w:cs="Times New Roman"/>
          <w:spacing w:val="4"/>
          <w:sz w:val="24"/>
          <w:szCs w:val="24"/>
        </w:rPr>
        <w:t>:</w:t>
      </w:r>
      <w:r>
        <w:rPr>
          <w:rFonts w:ascii="Times New Roman" w:hAnsi="Times New Roman" w:eastAsia="Times New Roman" w:cs="Times New Roman"/>
          <w:spacing w:val="42"/>
          <w:w w:val="101"/>
          <w:sz w:val="24"/>
          <w:szCs w:val="24"/>
        </w:rPr>
        <w:t xml:space="preserve"> </w:t>
      </w:r>
      <w:r>
        <w:rPr>
          <w:rFonts w:ascii="宋体" w:hAnsi="宋体" w:eastAsia="宋体" w:cs="宋体"/>
          <w:spacing w:val="4"/>
          <w:sz w:val="24"/>
          <w:szCs w:val="24"/>
        </w:rPr>
        <w:t>新建1面主变进线柜，3面集电线路进线柜，1</w:t>
      </w:r>
      <w:r>
        <w:rPr>
          <w:rFonts w:ascii="宋体" w:hAnsi="宋体" w:eastAsia="宋体" w:cs="宋体"/>
          <w:spacing w:val="3"/>
          <w:sz w:val="24"/>
          <w:szCs w:val="24"/>
        </w:rPr>
        <w:t>面母线电压互感器柜，</w:t>
      </w:r>
      <w:r>
        <w:rPr>
          <w:rFonts w:ascii="宋体" w:hAnsi="宋体" w:eastAsia="宋体" w:cs="宋体"/>
          <w:sz w:val="24"/>
          <w:szCs w:val="24"/>
        </w:rPr>
        <w:t xml:space="preserve"> </w:t>
      </w:r>
      <w:r>
        <w:rPr>
          <w:rFonts w:ascii="宋体" w:hAnsi="宋体" w:eastAsia="宋体" w:cs="宋体"/>
          <w:spacing w:val="7"/>
          <w:sz w:val="24"/>
          <w:szCs w:val="24"/>
        </w:rPr>
        <w:t>1面站用电兼接地变进线柜，1面动态无功补偿进线柜，1面储能</w:t>
      </w:r>
      <w:r>
        <w:rPr>
          <w:rFonts w:ascii="宋体" w:hAnsi="宋体" w:eastAsia="宋体" w:cs="宋体"/>
          <w:spacing w:val="6"/>
          <w:sz w:val="24"/>
          <w:szCs w:val="24"/>
        </w:rPr>
        <w:t>进线柜，共新</w:t>
      </w:r>
      <w:r>
        <w:rPr>
          <w:rFonts w:ascii="宋体" w:hAnsi="宋体" w:eastAsia="宋体" w:cs="宋体"/>
          <w:sz w:val="24"/>
          <w:szCs w:val="24"/>
        </w:rPr>
        <w:t xml:space="preserve">  </w:t>
      </w:r>
      <w:r>
        <w:rPr>
          <w:rFonts w:ascii="宋体" w:hAnsi="宋体" w:eastAsia="宋体" w:cs="宋体"/>
          <w:spacing w:val="13"/>
          <w:sz w:val="24"/>
          <w:szCs w:val="24"/>
        </w:rPr>
        <w:t>建8面柜子。</w:t>
      </w:r>
    </w:p>
    <w:p w14:paraId="2FD4F972">
      <w:pPr>
        <w:spacing w:line="354" w:lineRule="auto"/>
        <w:ind w:left="94" w:right="88" w:firstLine="480"/>
        <w:rPr>
          <w:rFonts w:ascii="宋体" w:hAnsi="宋体" w:eastAsia="宋体" w:cs="宋体"/>
          <w:sz w:val="24"/>
          <w:szCs w:val="24"/>
        </w:rPr>
      </w:pPr>
      <w:r>
        <w:rPr>
          <w:rFonts w:ascii="宋体" w:hAnsi="宋体" w:eastAsia="宋体" w:cs="宋体"/>
          <w:spacing w:val="-2"/>
          <w:sz w:val="24"/>
          <w:szCs w:val="24"/>
        </w:rPr>
        <w:t>无功补偿：在升压站安装1套±12500</w:t>
      </w:r>
      <w:r>
        <w:rPr>
          <w:rFonts w:ascii="Times New Roman" w:hAnsi="Times New Roman" w:eastAsia="Times New Roman" w:cs="Times New Roman"/>
          <w:spacing w:val="-2"/>
          <w:sz w:val="24"/>
          <w:szCs w:val="24"/>
        </w:rPr>
        <w:t xml:space="preserve">kvar </w:t>
      </w:r>
      <w:r>
        <w:rPr>
          <w:rFonts w:ascii="宋体" w:hAnsi="宋体" w:eastAsia="宋体" w:cs="宋体"/>
          <w:spacing w:val="-2"/>
          <w:sz w:val="24"/>
          <w:szCs w:val="24"/>
        </w:rPr>
        <w:t>动态无功补偿装置进行就地补偿，</w:t>
      </w:r>
      <w:r>
        <w:rPr>
          <w:rFonts w:ascii="宋体" w:hAnsi="宋体" w:eastAsia="宋体" w:cs="宋体"/>
          <w:spacing w:val="16"/>
          <w:sz w:val="24"/>
          <w:szCs w:val="24"/>
        </w:rPr>
        <w:t xml:space="preserve"> </w:t>
      </w:r>
      <w:r>
        <w:rPr>
          <w:rFonts w:ascii="宋体" w:hAnsi="宋体" w:eastAsia="宋体" w:cs="宋体"/>
          <w:spacing w:val="-1"/>
          <w:sz w:val="24"/>
          <w:szCs w:val="24"/>
        </w:rPr>
        <w:t>无功补偿采用户外无功补偿装置，冷却方式为水冷。</w:t>
      </w:r>
    </w:p>
    <w:p w14:paraId="44D358C3">
      <w:pPr>
        <w:spacing w:before="8" w:line="219" w:lineRule="auto"/>
        <w:ind w:left="575"/>
        <w:rPr>
          <w:rFonts w:ascii="宋体" w:hAnsi="宋体" w:eastAsia="宋体" w:cs="宋体"/>
          <w:sz w:val="24"/>
          <w:szCs w:val="24"/>
        </w:rPr>
      </w:pPr>
      <w:r>
        <w:rPr>
          <w:rFonts w:ascii="宋体" w:hAnsi="宋体" w:eastAsia="宋体" w:cs="宋体"/>
          <w:spacing w:val="9"/>
          <w:sz w:val="24"/>
          <w:szCs w:val="24"/>
        </w:rPr>
        <w:t>站用变：在35</w:t>
      </w:r>
      <w:r>
        <w:rPr>
          <w:rFonts w:ascii="Times New Roman" w:hAnsi="Times New Roman" w:eastAsia="Times New Roman" w:cs="Times New Roman"/>
          <w:sz w:val="24"/>
          <w:szCs w:val="24"/>
        </w:rPr>
        <w:t>kV</w:t>
      </w:r>
      <w:r>
        <w:rPr>
          <w:rFonts w:ascii="Times New Roman" w:hAnsi="Times New Roman" w:eastAsia="Times New Roman" w:cs="Times New Roman"/>
          <w:spacing w:val="-12"/>
          <w:sz w:val="24"/>
          <w:szCs w:val="24"/>
        </w:rPr>
        <w:t xml:space="preserve"> </w:t>
      </w:r>
      <w:r>
        <w:rPr>
          <w:rFonts w:ascii="宋体" w:hAnsi="宋体" w:eastAsia="宋体" w:cs="宋体"/>
          <w:spacing w:val="9"/>
          <w:sz w:val="24"/>
          <w:szCs w:val="24"/>
        </w:rPr>
        <w:t>母线配置1台容量为400</w:t>
      </w:r>
      <w:r>
        <w:rPr>
          <w:rFonts w:ascii="Times New Roman" w:hAnsi="Times New Roman" w:eastAsia="Times New Roman" w:cs="Times New Roman"/>
          <w:sz w:val="24"/>
          <w:szCs w:val="24"/>
        </w:rPr>
        <w:t>kVA</w:t>
      </w:r>
      <w:r>
        <w:rPr>
          <w:rFonts w:ascii="宋体" w:hAnsi="宋体" w:eastAsia="宋体" w:cs="宋体"/>
          <w:spacing w:val="9"/>
          <w:sz w:val="24"/>
          <w:szCs w:val="24"/>
        </w:rPr>
        <w:t>的接地变兼站用变压器。</w:t>
      </w:r>
    </w:p>
    <w:p w14:paraId="3D16F02A">
      <w:pPr>
        <w:spacing w:before="249" w:line="221" w:lineRule="auto"/>
        <w:ind w:left="94"/>
        <w:rPr>
          <w:rFonts w:ascii="宋体" w:hAnsi="宋体" w:eastAsia="宋体" w:cs="宋体"/>
          <w:sz w:val="28"/>
          <w:szCs w:val="28"/>
        </w:rPr>
      </w:pPr>
      <w:r>
        <w:rPr>
          <w:rFonts w:ascii="宋体" w:hAnsi="宋体" w:eastAsia="宋体" w:cs="宋体"/>
          <w:spacing w:val="9"/>
          <w:sz w:val="28"/>
          <w:szCs w:val="28"/>
        </w:rPr>
        <w:t>2.6升压站电气设备</w:t>
      </w:r>
    </w:p>
    <w:p w14:paraId="61FB4C51">
      <w:pPr>
        <w:spacing w:before="222" w:line="219" w:lineRule="auto"/>
        <w:ind w:left="575"/>
        <w:rPr>
          <w:rFonts w:ascii="宋体" w:hAnsi="宋体" w:eastAsia="宋体" w:cs="宋体"/>
          <w:sz w:val="24"/>
          <w:szCs w:val="24"/>
        </w:rPr>
      </w:pPr>
      <w:r>
        <w:rPr>
          <w:rFonts w:ascii="宋体" w:hAnsi="宋体" w:eastAsia="宋体" w:cs="宋体"/>
          <w:spacing w:val="-2"/>
          <w:sz w:val="24"/>
          <w:szCs w:val="24"/>
        </w:rPr>
        <w:t>升压站电气主要设备见下表。</w:t>
      </w:r>
    </w:p>
    <w:p w14:paraId="71C178F9">
      <w:pPr>
        <w:spacing w:before="176" w:line="220" w:lineRule="auto"/>
        <w:ind w:left="2278"/>
        <w:rPr>
          <w:rFonts w:ascii="宋体" w:hAnsi="宋体" w:eastAsia="宋体" w:cs="宋体"/>
          <w:sz w:val="26"/>
          <w:szCs w:val="26"/>
        </w:rPr>
      </w:pPr>
      <w:r>
        <w:rPr>
          <w:rFonts w:ascii="宋体" w:hAnsi="宋体" w:eastAsia="宋体" w:cs="宋体"/>
          <w:b/>
          <w:bCs/>
          <w:spacing w:val="-15"/>
          <w:sz w:val="25"/>
          <w:szCs w:val="25"/>
        </w:rPr>
        <w:t>表2-5</w:t>
      </w:r>
      <w:r>
        <w:rPr>
          <w:rFonts w:ascii="宋体" w:hAnsi="宋体" w:eastAsia="宋体" w:cs="宋体"/>
          <w:spacing w:val="35"/>
          <w:sz w:val="25"/>
          <w:szCs w:val="25"/>
        </w:rPr>
        <w:t xml:space="preserve">   </w:t>
      </w:r>
      <w:r>
        <w:rPr>
          <w:rFonts w:ascii="宋体" w:hAnsi="宋体" w:eastAsia="宋体" w:cs="宋体"/>
          <w:spacing w:val="-15"/>
          <w:sz w:val="26"/>
          <w:szCs w:val="26"/>
        </w:rPr>
        <w:t>项目升压站电气主要设备表</w:t>
      </w:r>
    </w:p>
    <w:p w14:paraId="71E4A77C">
      <w:pPr>
        <w:spacing w:line="64" w:lineRule="exact"/>
      </w:pPr>
    </w:p>
    <w:tbl>
      <w:tblPr>
        <w:tblStyle w:val="5"/>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3"/>
        <w:gridCol w:w="4375"/>
        <w:gridCol w:w="1198"/>
        <w:gridCol w:w="989"/>
        <w:gridCol w:w="794"/>
      </w:tblGrid>
      <w:tr w14:paraId="2E61B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163" w:type="dxa"/>
            <w:vAlign w:val="top"/>
          </w:tcPr>
          <w:p w14:paraId="3AD30D22">
            <w:pPr>
              <w:pStyle w:val="6"/>
              <w:spacing w:before="140" w:line="219" w:lineRule="auto"/>
              <w:ind w:left="367"/>
              <w:rPr>
                <w:sz w:val="21"/>
                <w:szCs w:val="21"/>
              </w:rPr>
            </w:pPr>
            <w:r>
              <w:rPr>
                <w:b/>
                <w:bCs/>
                <w:spacing w:val="-5"/>
                <w:sz w:val="21"/>
                <w:szCs w:val="21"/>
              </w:rPr>
              <w:t>编号</w:t>
            </w:r>
          </w:p>
        </w:tc>
        <w:tc>
          <w:tcPr>
            <w:tcW w:w="4375" w:type="dxa"/>
            <w:vAlign w:val="top"/>
          </w:tcPr>
          <w:p w14:paraId="4757F9F0">
            <w:pPr>
              <w:pStyle w:val="6"/>
              <w:spacing w:before="140" w:line="219" w:lineRule="auto"/>
              <w:ind w:left="1654"/>
              <w:rPr>
                <w:sz w:val="21"/>
                <w:szCs w:val="21"/>
              </w:rPr>
            </w:pPr>
            <w:r>
              <w:rPr>
                <w:b/>
                <w:bCs/>
                <w:spacing w:val="-4"/>
                <w:sz w:val="21"/>
                <w:szCs w:val="21"/>
              </w:rPr>
              <w:t>名称及规格</w:t>
            </w:r>
          </w:p>
        </w:tc>
        <w:tc>
          <w:tcPr>
            <w:tcW w:w="1198" w:type="dxa"/>
            <w:vAlign w:val="top"/>
          </w:tcPr>
          <w:p w14:paraId="0EBE86CA">
            <w:pPr>
              <w:pStyle w:val="6"/>
              <w:spacing w:before="141" w:line="220" w:lineRule="auto"/>
              <w:ind w:left="389"/>
              <w:rPr>
                <w:sz w:val="21"/>
                <w:szCs w:val="21"/>
              </w:rPr>
            </w:pPr>
            <w:r>
              <w:rPr>
                <w:b/>
                <w:bCs/>
                <w:spacing w:val="-5"/>
                <w:sz w:val="21"/>
                <w:szCs w:val="21"/>
              </w:rPr>
              <w:t>单位</w:t>
            </w:r>
          </w:p>
        </w:tc>
        <w:tc>
          <w:tcPr>
            <w:tcW w:w="989" w:type="dxa"/>
            <w:vAlign w:val="top"/>
          </w:tcPr>
          <w:p w14:paraId="62E8273B">
            <w:pPr>
              <w:pStyle w:val="6"/>
              <w:spacing w:before="140" w:line="219" w:lineRule="auto"/>
              <w:ind w:left="281"/>
              <w:rPr>
                <w:sz w:val="21"/>
                <w:szCs w:val="21"/>
              </w:rPr>
            </w:pPr>
            <w:r>
              <w:rPr>
                <w:b/>
                <w:bCs/>
                <w:spacing w:val="-5"/>
                <w:sz w:val="21"/>
                <w:szCs w:val="21"/>
              </w:rPr>
              <w:t>数量</w:t>
            </w:r>
          </w:p>
        </w:tc>
        <w:tc>
          <w:tcPr>
            <w:tcW w:w="794" w:type="dxa"/>
            <w:vAlign w:val="top"/>
          </w:tcPr>
          <w:p w14:paraId="56FAAD22">
            <w:pPr>
              <w:pStyle w:val="6"/>
              <w:spacing w:before="141" w:line="221" w:lineRule="auto"/>
              <w:ind w:left="183"/>
              <w:rPr>
                <w:sz w:val="21"/>
                <w:szCs w:val="21"/>
              </w:rPr>
            </w:pPr>
            <w:r>
              <w:rPr>
                <w:b/>
                <w:bCs/>
                <w:spacing w:val="-5"/>
                <w:sz w:val="21"/>
                <w:szCs w:val="21"/>
              </w:rPr>
              <w:t>备注</w:t>
            </w:r>
          </w:p>
        </w:tc>
      </w:tr>
      <w:tr w14:paraId="7BFD0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63" w:type="dxa"/>
            <w:vAlign w:val="top"/>
          </w:tcPr>
          <w:p w14:paraId="1BA90289">
            <w:pPr>
              <w:pStyle w:val="6"/>
              <w:spacing w:before="70" w:line="193" w:lineRule="auto"/>
              <w:ind w:left="414"/>
              <w:rPr>
                <w:sz w:val="21"/>
                <w:szCs w:val="21"/>
              </w:rPr>
            </w:pPr>
            <w:r>
              <w:rPr>
                <w:spacing w:val="-3"/>
                <w:sz w:val="21"/>
                <w:szCs w:val="21"/>
              </w:rPr>
              <w:t>2.1</w:t>
            </w:r>
          </w:p>
        </w:tc>
        <w:tc>
          <w:tcPr>
            <w:tcW w:w="4375" w:type="dxa"/>
            <w:vAlign w:val="top"/>
          </w:tcPr>
          <w:p w14:paraId="5124BA7E">
            <w:pPr>
              <w:pStyle w:val="6"/>
              <w:spacing w:before="51" w:line="210" w:lineRule="auto"/>
              <w:ind w:left="1761"/>
              <w:rPr>
                <w:sz w:val="21"/>
                <w:szCs w:val="21"/>
              </w:rPr>
            </w:pPr>
            <w:r>
              <w:rPr>
                <w:spacing w:val="-2"/>
                <w:sz w:val="21"/>
                <w:szCs w:val="21"/>
              </w:rPr>
              <w:t>主变压器</w:t>
            </w:r>
          </w:p>
        </w:tc>
        <w:tc>
          <w:tcPr>
            <w:tcW w:w="1198" w:type="dxa"/>
            <w:vAlign w:val="top"/>
          </w:tcPr>
          <w:p w14:paraId="54D0FC70">
            <w:pPr>
              <w:rPr>
                <w:rFonts w:ascii="Arial"/>
                <w:sz w:val="21"/>
              </w:rPr>
            </w:pPr>
          </w:p>
        </w:tc>
        <w:tc>
          <w:tcPr>
            <w:tcW w:w="989" w:type="dxa"/>
            <w:vAlign w:val="top"/>
          </w:tcPr>
          <w:p w14:paraId="0417CDC4">
            <w:pPr>
              <w:rPr>
                <w:rFonts w:ascii="Arial"/>
                <w:sz w:val="21"/>
              </w:rPr>
            </w:pPr>
          </w:p>
        </w:tc>
        <w:tc>
          <w:tcPr>
            <w:tcW w:w="794" w:type="dxa"/>
            <w:vAlign w:val="top"/>
          </w:tcPr>
          <w:p w14:paraId="7C535205">
            <w:pPr>
              <w:rPr>
                <w:rFonts w:ascii="Arial"/>
                <w:sz w:val="21"/>
              </w:rPr>
            </w:pPr>
          </w:p>
        </w:tc>
      </w:tr>
      <w:tr w14:paraId="1709C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163" w:type="dxa"/>
            <w:vAlign w:val="top"/>
          </w:tcPr>
          <w:p w14:paraId="6EAF7C88">
            <w:pPr>
              <w:pStyle w:val="6"/>
              <w:spacing w:before="230" w:line="239" w:lineRule="auto"/>
              <w:ind w:left="305"/>
              <w:rPr>
                <w:sz w:val="21"/>
                <w:szCs w:val="21"/>
              </w:rPr>
            </w:pPr>
            <w:r>
              <w:rPr>
                <w:spacing w:val="-2"/>
                <w:sz w:val="21"/>
                <w:szCs w:val="21"/>
              </w:rPr>
              <w:t>2.1.1</w:t>
            </w:r>
          </w:p>
        </w:tc>
        <w:tc>
          <w:tcPr>
            <w:tcW w:w="4375" w:type="dxa"/>
            <w:vAlign w:val="top"/>
          </w:tcPr>
          <w:p w14:paraId="15DFA1FA">
            <w:pPr>
              <w:pStyle w:val="6"/>
              <w:spacing w:before="58" w:line="242" w:lineRule="auto"/>
              <w:ind w:left="1021" w:right="37" w:hanging="890"/>
              <w:rPr>
                <w:sz w:val="21"/>
                <w:szCs w:val="21"/>
              </w:rPr>
            </w:pPr>
            <w:r>
              <w:rPr>
                <w:spacing w:val="-1"/>
                <w:sz w:val="21"/>
                <w:szCs w:val="21"/>
              </w:rPr>
              <w:t>三相双绕组油浸式自冷有载调压电力变压器。</w:t>
            </w:r>
            <w:r>
              <w:rPr>
                <w:spacing w:val="14"/>
                <w:sz w:val="21"/>
                <w:szCs w:val="21"/>
              </w:rPr>
              <w:t xml:space="preserve"> </w:t>
            </w:r>
            <w:r>
              <w:rPr>
                <w:sz w:val="21"/>
                <w:szCs w:val="21"/>
              </w:rPr>
              <w:t>型号：SZ18-50MVA/110kV</w:t>
            </w:r>
          </w:p>
        </w:tc>
        <w:tc>
          <w:tcPr>
            <w:tcW w:w="1198" w:type="dxa"/>
            <w:vAlign w:val="top"/>
          </w:tcPr>
          <w:p w14:paraId="794ED6B5">
            <w:pPr>
              <w:pStyle w:val="6"/>
              <w:spacing w:before="210" w:line="220" w:lineRule="auto"/>
              <w:ind w:left="487"/>
              <w:rPr>
                <w:sz w:val="21"/>
                <w:szCs w:val="21"/>
              </w:rPr>
            </w:pPr>
            <w:r>
              <w:rPr>
                <w:sz w:val="21"/>
                <w:szCs w:val="21"/>
              </w:rPr>
              <w:t>套</w:t>
            </w:r>
          </w:p>
        </w:tc>
        <w:tc>
          <w:tcPr>
            <w:tcW w:w="989" w:type="dxa"/>
            <w:vAlign w:val="top"/>
          </w:tcPr>
          <w:p w14:paraId="7C6FF711">
            <w:pPr>
              <w:pStyle w:val="6"/>
              <w:spacing w:before="230" w:line="239" w:lineRule="auto"/>
              <w:ind w:left="278"/>
              <w:rPr>
                <w:sz w:val="21"/>
                <w:szCs w:val="21"/>
              </w:rPr>
            </w:pPr>
            <w:r>
              <w:rPr>
                <w:spacing w:val="-5"/>
                <w:sz w:val="21"/>
                <w:szCs w:val="21"/>
              </w:rPr>
              <w:t>1.00</w:t>
            </w:r>
          </w:p>
        </w:tc>
        <w:tc>
          <w:tcPr>
            <w:tcW w:w="794" w:type="dxa"/>
            <w:vAlign w:val="top"/>
          </w:tcPr>
          <w:p w14:paraId="7E993681">
            <w:pPr>
              <w:rPr>
                <w:rFonts w:ascii="Arial"/>
                <w:sz w:val="21"/>
              </w:rPr>
            </w:pPr>
          </w:p>
        </w:tc>
      </w:tr>
      <w:tr w14:paraId="600D6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163" w:type="dxa"/>
            <w:vAlign w:val="top"/>
          </w:tcPr>
          <w:p w14:paraId="128DE851">
            <w:pPr>
              <w:pStyle w:val="6"/>
              <w:spacing w:before="81" w:line="200" w:lineRule="auto"/>
              <w:ind w:left="305"/>
              <w:rPr>
                <w:sz w:val="21"/>
                <w:szCs w:val="21"/>
              </w:rPr>
            </w:pPr>
            <w:r>
              <w:rPr>
                <w:spacing w:val="-2"/>
                <w:sz w:val="21"/>
                <w:szCs w:val="21"/>
              </w:rPr>
              <w:t>2.1.2</w:t>
            </w:r>
          </w:p>
        </w:tc>
        <w:tc>
          <w:tcPr>
            <w:tcW w:w="4375" w:type="dxa"/>
            <w:vAlign w:val="top"/>
          </w:tcPr>
          <w:p w14:paraId="2C5EB7B7">
            <w:pPr>
              <w:pStyle w:val="6"/>
              <w:spacing w:before="61" w:line="218" w:lineRule="auto"/>
              <w:ind w:left="861"/>
              <w:rPr>
                <w:sz w:val="21"/>
                <w:szCs w:val="21"/>
              </w:rPr>
            </w:pPr>
            <w:r>
              <w:rPr>
                <w:sz w:val="21"/>
                <w:szCs w:val="21"/>
              </w:rPr>
              <w:t>110kV变压器中性点成套装置</w:t>
            </w:r>
          </w:p>
        </w:tc>
        <w:tc>
          <w:tcPr>
            <w:tcW w:w="1198" w:type="dxa"/>
            <w:vAlign w:val="top"/>
          </w:tcPr>
          <w:p w14:paraId="1D9FB6F5">
            <w:pPr>
              <w:pStyle w:val="6"/>
              <w:spacing w:before="72" w:line="208" w:lineRule="auto"/>
              <w:ind w:left="487"/>
              <w:rPr>
                <w:sz w:val="21"/>
                <w:szCs w:val="21"/>
              </w:rPr>
            </w:pPr>
            <w:r>
              <w:rPr>
                <w:sz w:val="21"/>
                <w:szCs w:val="21"/>
              </w:rPr>
              <w:t>组</w:t>
            </w:r>
          </w:p>
        </w:tc>
        <w:tc>
          <w:tcPr>
            <w:tcW w:w="989" w:type="dxa"/>
            <w:vAlign w:val="top"/>
          </w:tcPr>
          <w:p w14:paraId="68BF9936">
            <w:pPr>
              <w:pStyle w:val="6"/>
              <w:spacing w:before="81" w:line="200" w:lineRule="auto"/>
              <w:ind w:left="278"/>
              <w:rPr>
                <w:sz w:val="21"/>
                <w:szCs w:val="21"/>
              </w:rPr>
            </w:pPr>
            <w:r>
              <w:rPr>
                <w:spacing w:val="-5"/>
                <w:sz w:val="21"/>
                <w:szCs w:val="21"/>
              </w:rPr>
              <w:t>1.00</w:t>
            </w:r>
          </w:p>
        </w:tc>
        <w:tc>
          <w:tcPr>
            <w:tcW w:w="794" w:type="dxa"/>
            <w:vAlign w:val="top"/>
          </w:tcPr>
          <w:p w14:paraId="6E5E0127">
            <w:pPr>
              <w:rPr>
                <w:rFonts w:ascii="Arial"/>
                <w:sz w:val="21"/>
              </w:rPr>
            </w:pPr>
          </w:p>
        </w:tc>
      </w:tr>
      <w:tr w14:paraId="497F0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163" w:type="dxa"/>
            <w:vAlign w:val="top"/>
          </w:tcPr>
          <w:p w14:paraId="1F305110">
            <w:pPr>
              <w:pStyle w:val="6"/>
              <w:spacing w:before="72" w:line="200" w:lineRule="auto"/>
              <w:ind w:left="305"/>
              <w:rPr>
                <w:sz w:val="21"/>
                <w:szCs w:val="21"/>
              </w:rPr>
            </w:pPr>
            <w:r>
              <w:rPr>
                <w:spacing w:val="-2"/>
                <w:sz w:val="21"/>
                <w:szCs w:val="21"/>
              </w:rPr>
              <w:t>2.1.3</w:t>
            </w:r>
          </w:p>
        </w:tc>
        <w:tc>
          <w:tcPr>
            <w:tcW w:w="4375" w:type="dxa"/>
            <w:vAlign w:val="top"/>
          </w:tcPr>
          <w:p w14:paraId="31DF00F5">
            <w:pPr>
              <w:pStyle w:val="6"/>
              <w:spacing w:before="52" w:line="218" w:lineRule="auto"/>
              <w:ind w:left="811"/>
              <w:rPr>
                <w:sz w:val="21"/>
                <w:szCs w:val="21"/>
              </w:rPr>
            </w:pPr>
            <w:r>
              <w:rPr>
                <w:spacing w:val="-1"/>
                <w:sz w:val="21"/>
                <w:szCs w:val="21"/>
              </w:rPr>
              <w:t>铜铝过度设备线夹SYG-240/30</w:t>
            </w:r>
          </w:p>
        </w:tc>
        <w:tc>
          <w:tcPr>
            <w:tcW w:w="1198" w:type="dxa"/>
            <w:vAlign w:val="top"/>
          </w:tcPr>
          <w:p w14:paraId="5E56DA7D">
            <w:pPr>
              <w:pStyle w:val="6"/>
              <w:spacing w:before="52" w:line="218" w:lineRule="auto"/>
              <w:ind w:left="487"/>
              <w:rPr>
                <w:sz w:val="21"/>
                <w:szCs w:val="21"/>
              </w:rPr>
            </w:pPr>
            <w:r>
              <w:rPr>
                <w:sz w:val="21"/>
                <w:szCs w:val="21"/>
              </w:rPr>
              <w:t>套</w:t>
            </w:r>
          </w:p>
        </w:tc>
        <w:tc>
          <w:tcPr>
            <w:tcW w:w="989" w:type="dxa"/>
            <w:vAlign w:val="top"/>
          </w:tcPr>
          <w:p w14:paraId="428AC098">
            <w:pPr>
              <w:pStyle w:val="6"/>
              <w:spacing w:before="72" w:line="200" w:lineRule="auto"/>
              <w:ind w:left="278"/>
              <w:rPr>
                <w:sz w:val="21"/>
                <w:szCs w:val="21"/>
              </w:rPr>
            </w:pPr>
            <w:r>
              <w:rPr>
                <w:spacing w:val="-2"/>
                <w:sz w:val="21"/>
                <w:szCs w:val="21"/>
              </w:rPr>
              <w:t>4.00</w:t>
            </w:r>
          </w:p>
        </w:tc>
        <w:tc>
          <w:tcPr>
            <w:tcW w:w="794" w:type="dxa"/>
            <w:vAlign w:val="top"/>
          </w:tcPr>
          <w:p w14:paraId="4029C4EF">
            <w:pPr>
              <w:rPr>
                <w:rFonts w:ascii="Arial"/>
                <w:sz w:val="21"/>
              </w:rPr>
            </w:pPr>
          </w:p>
        </w:tc>
      </w:tr>
      <w:tr w14:paraId="0BF4F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63" w:type="dxa"/>
            <w:vAlign w:val="top"/>
          </w:tcPr>
          <w:p w14:paraId="6C5240D8">
            <w:pPr>
              <w:pStyle w:val="6"/>
              <w:spacing w:before="82" w:line="200" w:lineRule="auto"/>
              <w:ind w:left="305"/>
              <w:rPr>
                <w:sz w:val="21"/>
                <w:szCs w:val="21"/>
              </w:rPr>
            </w:pPr>
            <w:r>
              <w:rPr>
                <w:spacing w:val="-2"/>
                <w:sz w:val="21"/>
                <w:szCs w:val="21"/>
              </w:rPr>
              <w:t>2.1.4</w:t>
            </w:r>
          </w:p>
        </w:tc>
        <w:tc>
          <w:tcPr>
            <w:tcW w:w="4375" w:type="dxa"/>
            <w:vAlign w:val="top"/>
          </w:tcPr>
          <w:p w14:paraId="6B122283">
            <w:pPr>
              <w:pStyle w:val="6"/>
              <w:spacing w:before="62" w:line="218" w:lineRule="auto"/>
              <w:ind w:left="1282"/>
              <w:rPr>
                <w:sz w:val="21"/>
                <w:szCs w:val="21"/>
              </w:rPr>
            </w:pPr>
            <w:r>
              <w:rPr>
                <w:spacing w:val="1"/>
                <w:sz w:val="21"/>
                <w:szCs w:val="21"/>
              </w:rPr>
              <w:t>设备线夹</w:t>
            </w:r>
            <w:r>
              <w:rPr>
                <w:sz w:val="21"/>
                <w:szCs w:val="21"/>
              </w:rPr>
              <w:t>SY</w:t>
            </w:r>
            <w:r>
              <w:rPr>
                <w:spacing w:val="1"/>
                <w:sz w:val="21"/>
                <w:szCs w:val="21"/>
              </w:rPr>
              <w:t>-240/30</w:t>
            </w:r>
          </w:p>
        </w:tc>
        <w:tc>
          <w:tcPr>
            <w:tcW w:w="1198" w:type="dxa"/>
            <w:vAlign w:val="top"/>
          </w:tcPr>
          <w:p w14:paraId="5B7B3BC1">
            <w:pPr>
              <w:pStyle w:val="6"/>
              <w:spacing w:before="62" w:line="218" w:lineRule="auto"/>
              <w:ind w:left="487"/>
              <w:rPr>
                <w:sz w:val="21"/>
                <w:szCs w:val="21"/>
              </w:rPr>
            </w:pPr>
            <w:r>
              <w:rPr>
                <w:sz w:val="21"/>
                <w:szCs w:val="21"/>
              </w:rPr>
              <w:t>套</w:t>
            </w:r>
          </w:p>
        </w:tc>
        <w:tc>
          <w:tcPr>
            <w:tcW w:w="989" w:type="dxa"/>
            <w:vAlign w:val="top"/>
          </w:tcPr>
          <w:p w14:paraId="5A37891A">
            <w:pPr>
              <w:pStyle w:val="6"/>
              <w:spacing w:before="82" w:line="200" w:lineRule="auto"/>
              <w:ind w:left="278"/>
              <w:rPr>
                <w:sz w:val="21"/>
                <w:szCs w:val="21"/>
              </w:rPr>
            </w:pPr>
            <w:r>
              <w:rPr>
                <w:spacing w:val="-2"/>
                <w:sz w:val="21"/>
                <w:szCs w:val="21"/>
              </w:rPr>
              <w:t>4.00</w:t>
            </w:r>
          </w:p>
        </w:tc>
        <w:tc>
          <w:tcPr>
            <w:tcW w:w="794" w:type="dxa"/>
            <w:vAlign w:val="top"/>
          </w:tcPr>
          <w:p w14:paraId="7AD5C09F">
            <w:pPr>
              <w:rPr>
                <w:rFonts w:ascii="Arial"/>
                <w:sz w:val="21"/>
              </w:rPr>
            </w:pPr>
          </w:p>
        </w:tc>
      </w:tr>
      <w:tr w14:paraId="704CC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163" w:type="dxa"/>
            <w:vAlign w:val="top"/>
          </w:tcPr>
          <w:p w14:paraId="5B6E91FE">
            <w:pPr>
              <w:pStyle w:val="6"/>
              <w:spacing w:before="152" w:line="239" w:lineRule="auto"/>
              <w:ind w:left="305"/>
              <w:rPr>
                <w:sz w:val="21"/>
                <w:szCs w:val="21"/>
              </w:rPr>
            </w:pPr>
            <w:r>
              <w:rPr>
                <w:spacing w:val="-2"/>
                <w:sz w:val="21"/>
                <w:szCs w:val="21"/>
              </w:rPr>
              <w:t>2.1.5</w:t>
            </w:r>
          </w:p>
        </w:tc>
        <w:tc>
          <w:tcPr>
            <w:tcW w:w="4375" w:type="dxa"/>
            <w:vAlign w:val="top"/>
          </w:tcPr>
          <w:p w14:paraId="025B3193">
            <w:pPr>
              <w:pStyle w:val="6"/>
              <w:spacing w:before="129" w:line="218" w:lineRule="auto"/>
              <w:ind w:left="971"/>
              <w:rPr>
                <w:sz w:val="21"/>
                <w:szCs w:val="21"/>
              </w:rPr>
            </w:pPr>
            <w:r>
              <w:rPr>
                <w:spacing w:val="-1"/>
                <w:sz w:val="21"/>
                <w:szCs w:val="21"/>
              </w:rPr>
              <w:t>钢芯铝绞线JL/GIA-240/30</w:t>
            </w:r>
          </w:p>
        </w:tc>
        <w:tc>
          <w:tcPr>
            <w:tcW w:w="1198" w:type="dxa"/>
            <w:vAlign w:val="top"/>
          </w:tcPr>
          <w:p w14:paraId="42C74466">
            <w:pPr>
              <w:pStyle w:val="6"/>
              <w:spacing w:before="131" w:line="219" w:lineRule="auto"/>
              <w:ind w:left="487"/>
              <w:rPr>
                <w:sz w:val="21"/>
                <w:szCs w:val="21"/>
              </w:rPr>
            </w:pPr>
            <w:r>
              <w:rPr>
                <w:sz w:val="21"/>
                <w:szCs w:val="21"/>
              </w:rPr>
              <w:t>米</w:t>
            </w:r>
          </w:p>
        </w:tc>
        <w:tc>
          <w:tcPr>
            <w:tcW w:w="989" w:type="dxa"/>
            <w:vAlign w:val="top"/>
          </w:tcPr>
          <w:p w14:paraId="190728D6">
            <w:pPr>
              <w:pStyle w:val="6"/>
              <w:spacing w:before="152" w:line="239" w:lineRule="auto"/>
              <w:ind w:left="228"/>
              <w:rPr>
                <w:sz w:val="21"/>
                <w:szCs w:val="21"/>
              </w:rPr>
            </w:pPr>
            <w:r>
              <w:rPr>
                <w:spacing w:val="-2"/>
                <w:sz w:val="21"/>
                <w:szCs w:val="21"/>
              </w:rPr>
              <w:t>40.00</w:t>
            </w:r>
          </w:p>
        </w:tc>
        <w:tc>
          <w:tcPr>
            <w:tcW w:w="794" w:type="dxa"/>
            <w:vAlign w:val="top"/>
          </w:tcPr>
          <w:p w14:paraId="61958984">
            <w:pPr>
              <w:rPr>
                <w:rFonts w:ascii="Arial"/>
                <w:sz w:val="21"/>
              </w:rPr>
            </w:pPr>
          </w:p>
        </w:tc>
      </w:tr>
      <w:tr w14:paraId="12055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163" w:type="dxa"/>
            <w:vAlign w:val="top"/>
          </w:tcPr>
          <w:p w14:paraId="5A817843">
            <w:pPr>
              <w:pStyle w:val="6"/>
              <w:spacing w:before="83" w:line="207" w:lineRule="auto"/>
              <w:ind w:left="305"/>
              <w:rPr>
                <w:sz w:val="21"/>
                <w:szCs w:val="21"/>
              </w:rPr>
            </w:pPr>
            <w:r>
              <w:rPr>
                <w:spacing w:val="-2"/>
                <w:sz w:val="21"/>
                <w:szCs w:val="21"/>
              </w:rPr>
              <w:t>2.1.6</w:t>
            </w:r>
          </w:p>
        </w:tc>
        <w:tc>
          <w:tcPr>
            <w:tcW w:w="4375" w:type="dxa"/>
            <w:vAlign w:val="top"/>
          </w:tcPr>
          <w:p w14:paraId="3527028F">
            <w:pPr>
              <w:pStyle w:val="6"/>
              <w:spacing w:before="62" w:line="219" w:lineRule="auto"/>
              <w:ind w:left="1862"/>
              <w:rPr>
                <w:sz w:val="21"/>
                <w:szCs w:val="21"/>
              </w:rPr>
            </w:pPr>
            <w:r>
              <w:rPr>
                <w:spacing w:val="4"/>
                <w:sz w:val="21"/>
                <w:szCs w:val="21"/>
              </w:rPr>
              <w:t>端子箱</w:t>
            </w:r>
          </w:p>
        </w:tc>
        <w:tc>
          <w:tcPr>
            <w:tcW w:w="1198" w:type="dxa"/>
            <w:vAlign w:val="top"/>
          </w:tcPr>
          <w:p w14:paraId="0DC9AC3C">
            <w:pPr>
              <w:pStyle w:val="6"/>
              <w:spacing w:before="62" w:line="219" w:lineRule="auto"/>
              <w:ind w:left="487"/>
              <w:rPr>
                <w:sz w:val="21"/>
                <w:szCs w:val="21"/>
              </w:rPr>
            </w:pPr>
            <w:r>
              <w:rPr>
                <w:sz w:val="21"/>
                <w:szCs w:val="21"/>
              </w:rPr>
              <w:t>个</w:t>
            </w:r>
          </w:p>
        </w:tc>
        <w:tc>
          <w:tcPr>
            <w:tcW w:w="989" w:type="dxa"/>
            <w:vAlign w:val="top"/>
          </w:tcPr>
          <w:p w14:paraId="5195A1F7">
            <w:pPr>
              <w:pStyle w:val="6"/>
              <w:spacing w:before="83" w:line="207" w:lineRule="auto"/>
              <w:ind w:left="278"/>
              <w:rPr>
                <w:sz w:val="21"/>
                <w:szCs w:val="21"/>
              </w:rPr>
            </w:pPr>
            <w:r>
              <w:rPr>
                <w:spacing w:val="-5"/>
                <w:sz w:val="21"/>
                <w:szCs w:val="21"/>
              </w:rPr>
              <w:t>1.00</w:t>
            </w:r>
          </w:p>
        </w:tc>
        <w:tc>
          <w:tcPr>
            <w:tcW w:w="794" w:type="dxa"/>
            <w:vAlign w:val="top"/>
          </w:tcPr>
          <w:p w14:paraId="351F8489">
            <w:pPr>
              <w:rPr>
                <w:rFonts w:ascii="Arial"/>
                <w:sz w:val="21"/>
              </w:rPr>
            </w:pPr>
          </w:p>
        </w:tc>
      </w:tr>
      <w:tr w14:paraId="3E8A1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63" w:type="dxa"/>
            <w:vAlign w:val="top"/>
          </w:tcPr>
          <w:p w14:paraId="4C6F91DC">
            <w:pPr>
              <w:pStyle w:val="6"/>
              <w:spacing w:before="75" w:line="189" w:lineRule="auto"/>
              <w:ind w:left="414"/>
              <w:rPr>
                <w:sz w:val="21"/>
                <w:szCs w:val="21"/>
              </w:rPr>
            </w:pPr>
            <w:r>
              <w:rPr>
                <w:spacing w:val="-3"/>
                <w:sz w:val="21"/>
                <w:szCs w:val="21"/>
              </w:rPr>
              <w:t>2.2</w:t>
            </w:r>
          </w:p>
        </w:tc>
        <w:tc>
          <w:tcPr>
            <w:tcW w:w="4375" w:type="dxa"/>
            <w:vAlign w:val="top"/>
          </w:tcPr>
          <w:p w14:paraId="74C674BF">
            <w:pPr>
              <w:pStyle w:val="6"/>
              <w:spacing w:before="54" w:line="207" w:lineRule="auto"/>
              <w:ind w:left="1491"/>
              <w:rPr>
                <w:sz w:val="21"/>
                <w:szCs w:val="21"/>
              </w:rPr>
            </w:pPr>
            <w:r>
              <w:rPr>
                <w:spacing w:val="1"/>
                <w:sz w:val="21"/>
                <w:szCs w:val="21"/>
              </w:rPr>
              <w:t>110</w:t>
            </w:r>
            <w:r>
              <w:rPr>
                <w:sz w:val="21"/>
                <w:szCs w:val="21"/>
              </w:rPr>
              <w:t>kV</w:t>
            </w:r>
            <w:r>
              <w:rPr>
                <w:spacing w:val="1"/>
                <w:sz w:val="21"/>
                <w:szCs w:val="21"/>
              </w:rPr>
              <w:t>配电装置</w:t>
            </w:r>
          </w:p>
        </w:tc>
        <w:tc>
          <w:tcPr>
            <w:tcW w:w="1198" w:type="dxa"/>
            <w:vAlign w:val="top"/>
          </w:tcPr>
          <w:p w14:paraId="0FD9FF94">
            <w:pPr>
              <w:rPr>
                <w:rFonts w:ascii="Arial"/>
                <w:sz w:val="21"/>
              </w:rPr>
            </w:pPr>
          </w:p>
        </w:tc>
        <w:tc>
          <w:tcPr>
            <w:tcW w:w="989" w:type="dxa"/>
            <w:vAlign w:val="top"/>
          </w:tcPr>
          <w:p w14:paraId="63937CE5">
            <w:pPr>
              <w:rPr>
                <w:rFonts w:ascii="Arial"/>
                <w:sz w:val="21"/>
              </w:rPr>
            </w:pPr>
          </w:p>
        </w:tc>
        <w:tc>
          <w:tcPr>
            <w:tcW w:w="794" w:type="dxa"/>
            <w:vAlign w:val="top"/>
          </w:tcPr>
          <w:p w14:paraId="49224EFA">
            <w:pPr>
              <w:rPr>
                <w:rFonts w:ascii="Arial"/>
                <w:sz w:val="21"/>
              </w:rPr>
            </w:pPr>
          </w:p>
        </w:tc>
      </w:tr>
      <w:tr w14:paraId="57ED1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163" w:type="dxa"/>
            <w:vAlign w:val="top"/>
          </w:tcPr>
          <w:p w14:paraId="32144718">
            <w:pPr>
              <w:spacing w:line="314" w:lineRule="auto"/>
              <w:rPr>
                <w:rFonts w:ascii="Arial"/>
                <w:sz w:val="21"/>
              </w:rPr>
            </w:pPr>
          </w:p>
          <w:p w14:paraId="4B3EEF4A">
            <w:pPr>
              <w:pStyle w:val="6"/>
              <w:spacing w:before="68" w:line="239" w:lineRule="auto"/>
              <w:ind w:left="305"/>
              <w:rPr>
                <w:sz w:val="21"/>
                <w:szCs w:val="21"/>
              </w:rPr>
            </w:pPr>
            <w:r>
              <w:rPr>
                <w:spacing w:val="-2"/>
                <w:sz w:val="21"/>
                <w:szCs w:val="21"/>
              </w:rPr>
              <w:t>2.2.1</w:t>
            </w:r>
          </w:p>
        </w:tc>
        <w:tc>
          <w:tcPr>
            <w:tcW w:w="4375" w:type="dxa"/>
            <w:vAlign w:val="top"/>
          </w:tcPr>
          <w:p w14:paraId="10495508">
            <w:pPr>
              <w:pStyle w:val="6"/>
              <w:spacing w:before="74" w:line="220" w:lineRule="auto"/>
              <w:ind w:left="131"/>
              <w:rPr>
                <w:sz w:val="21"/>
                <w:szCs w:val="21"/>
              </w:rPr>
            </w:pPr>
            <w:r>
              <w:rPr>
                <w:spacing w:val="1"/>
                <w:sz w:val="21"/>
                <w:szCs w:val="21"/>
              </w:rPr>
              <w:t>110</w:t>
            </w:r>
            <w:r>
              <w:rPr>
                <w:sz w:val="21"/>
                <w:szCs w:val="21"/>
              </w:rPr>
              <w:t>kV</w:t>
            </w:r>
            <w:r>
              <w:rPr>
                <w:spacing w:val="1"/>
                <w:sz w:val="21"/>
                <w:szCs w:val="21"/>
              </w:rPr>
              <w:t xml:space="preserve"> </w:t>
            </w:r>
            <w:r>
              <w:rPr>
                <w:sz w:val="21"/>
                <w:szCs w:val="21"/>
              </w:rPr>
              <w:t>GIS</w:t>
            </w:r>
            <w:r>
              <w:rPr>
                <w:spacing w:val="1"/>
                <w:sz w:val="21"/>
                <w:szCs w:val="21"/>
              </w:rPr>
              <w:t>组合设备(线变组间隔-主变-出线)</w:t>
            </w:r>
          </w:p>
          <w:p w14:paraId="4C6329BC">
            <w:pPr>
              <w:pStyle w:val="6"/>
              <w:spacing w:before="46" w:line="216" w:lineRule="auto"/>
              <w:ind w:left="811"/>
              <w:rPr>
                <w:sz w:val="21"/>
                <w:szCs w:val="21"/>
              </w:rPr>
            </w:pPr>
            <w:r>
              <w:rPr>
                <w:spacing w:val="-1"/>
                <w:sz w:val="21"/>
                <w:szCs w:val="21"/>
              </w:rPr>
              <w:t>126kV,2000A,40kA(4s),100kA</w:t>
            </w:r>
          </w:p>
          <w:p w14:paraId="044358DD">
            <w:pPr>
              <w:pStyle w:val="6"/>
              <w:spacing w:before="66" w:line="207" w:lineRule="auto"/>
              <w:ind w:left="861"/>
              <w:rPr>
                <w:sz w:val="21"/>
                <w:szCs w:val="21"/>
              </w:rPr>
            </w:pPr>
            <w:r>
              <w:rPr>
                <w:spacing w:val="1"/>
                <w:sz w:val="21"/>
                <w:szCs w:val="21"/>
              </w:rPr>
              <w:t>含带电显示器、</w:t>
            </w:r>
            <w:r>
              <w:rPr>
                <w:sz w:val="21"/>
                <w:szCs w:val="21"/>
              </w:rPr>
              <w:t>GIS</w:t>
            </w:r>
            <w:r>
              <w:rPr>
                <w:spacing w:val="1"/>
                <w:sz w:val="21"/>
                <w:szCs w:val="21"/>
              </w:rPr>
              <w:t>汇控柜等</w:t>
            </w:r>
          </w:p>
        </w:tc>
        <w:tc>
          <w:tcPr>
            <w:tcW w:w="1198" w:type="dxa"/>
            <w:vAlign w:val="top"/>
          </w:tcPr>
          <w:p w14:paraId="3F868201">
            <w:pPr>
              <w:spacing w:line="293" w:lineRule="auto"/>
              <w:rPr>
                <w:rFonts w:ascii="Arial"/>
                <w:sz w:val="21"/>
              </w:rPr>
            </w:pPr>
          </w:p>
          <w:p w14:paraId="31729AD6">
            <w:pPr>
              <w:pStyle w:val="6"/>
              <w:spacing w:before="69" w:line="219" w:lineRule="auto"/>
              <w:ind w:left="487"/>
              <w:rPr>
                <w:sz w:val="21"/>
                <w:szCs w:val="21"/>
              </w:rPr>
            </w:pPr>
            <w:r>
              <w:rPr>
                <w:sz w:val="21"/>
                <w:szCs w:val="21"/>
              </w:rPr>
              <w:t>个</w:t>
            </w:r>
          </w:p>
        </w:tc>
        <w:tc>
          <w:tcPr>
            <w:tcW w:w="989" w:type="dxa"/>
            <w:vAlign w:val="top"/>
          </w:tcPr>
          <w:p w14:paraId="562E0B74">
            <w:pPr>
              <w:spacing w:line="314" w:lineRule="auto"/>
              <w:rPr>
                <w:rFonts w:ascii="Arial"/>
                <w:sz w:val="21"/>
              </w:rPr>
            </w:pPr>
          </w:p>
          <w:p w14:paraId="0680A45C">
            <w:pPr>
              <w:pStyle w:val="6"/>
              <w:spacing w:before="68" w:line="239" w:lineRule="auto"/>
              <w:ind w:left="278"/>
              <w:rPr>
                <w:sz w:val="21"/>
                <w:szCs w:val="21"/>
              </w:rPr>
            </w:pPr>
            <w:r>
              <w:rPr>
                <w:spacing w:val="-5"/>
                <w:sz w:val="21"/>
                <w:szCs w:val="21"/>
              </w:rPr>
              <w:t>1.00</w:t>
            </w:r>
          </w:p>
        </w:tc>
        <w:tc>
          <w:tcPr>
            <w:tcW w:w="794" w:type="dxa"/>
            <w:vAlign w:val="top"/>
          </w:tcPr>
          <w:p w14:paraId="163F9890">
            <w:pPr>
              <w:rPr>
                <w:rFonts w:ascii="Arial"/>
                <w:sz w:val="21"/>
              </w:rPr>
            </w:pPr>
          </w:p>
        </w:tc>
      </w:tr>
      <w:tr w14:paraId="6733F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63" w:type="dxa"/>
            <w:vAlign w:val="top"/>
          </w:tcPr>
          <w:p w14:paraId="7B240BB8">
            <w:pPr>
              <w:pStyle w:val="6"/>
              <w:spacing w:before="85" w:line="197" w:lineRule="auto"/>
              <w:ind w:left="305"/>
              <w:rPr>
                <w:sz w:val="21"/>
                <w:szCs w:val="21"/>
              </w:rPr>
            </w:pPr>
            <w:r>
              <w:rPr>
                <w:spacing w:val="-2"/>
                <w:sz w:val="21"/>
                <w:szCs w:val="21"/>
              </w:rPr>
              <w:t>2.2.2</w:t>
            </w:r>
          </w:p>
        </w:tc>
        <w:tc>
          <w:tcPr>
            <w:tcW w:w="4375" w:type="dxa"/>
            <w:vAlign w:val="top"/>
          </w:tcPr>
          <w:p w14:paraId="35202CFE">
            <w:pPr>
              <w:pStyle w:val="6"/>
              <w:spacing w:before="68" w:line="212" w:lineRule="auto"/>
              <w:ind w:left="1391"/>
              <w:rPr>
                <w:sz w:val="21"/>
                <w:szCs w:val="21"/>
              </w:rPr>
            </w:pPr>
            <w:r>
              <w:rPr>
                <w:sz w:val="21"/>
                <w:szCs w:val="21"/>
              </w:rPr>
              <w:t>110kV电压互感器</w:t>
            </w:r>
          </w:p>
        </w:tc>
        <w:tc>
          <w:tcPr>
            <w:tcW w:w="1198" w:type="dxa"/>
            <w:vAlign w:val="top"/>
          </w:tcPr>
          <w:p w14:paraId="514E1D23">
            <w:pPr>
              <w:pStyle w:val="6"/>
              <w:spacing w:before="66" w:line="214" w:lineRule="auto"/>
              <w:ind w:left="487"/>
              <w:rPr>
                <w:sz w:val="21"/>
                <w:szCs w:val="21"/>
              </w:rPr>
            </w:pPr>
            <w:r>
              <w:rPr>
                <w:sz w:val="21"/>
                <w:szCs w:val="21"/>
              </w:rPr>
              <w:t>台</w:t>
            </w:r>
          </w:p>
        </w:tc>
        <w:tc>
          <w:tcPr>
            <w:tcW w:w="989" w:type="dxa"/>
            <w:vAlign w:val="top"/>
          </w:tcPr>
          <w:p w14:paraId="495AF68E">
            <w:pPr>
              <w:pStyle w:val="6"/>
              <w:spacing w:before="85" w:line="197" w:lineRule="auto"/>
              <w:ind w:left="278"/>
              <w:rPr>
                <w:sz w:val="21"/>
                <w:szCs w:val="21"/>
              </w:rPr>
            </w:pPr>
            <w:r>
              <w:rPr>
                <w:spacing w:val="-3"/>
                <w:sz w:val="21"/>
                <w:szCs w:val="21"/>
              </w:rPr>
              <w:t>3.00</w:t>
            </w:r>
          </w:p>
        </w:tc>
        <w:tc>
          <w:tcPr>
            <w:tcW w:w="794" w:type="dxa"/>
            <w:vAlign w:val="top"/>
          </w:tcPr>
          <w:p w14:paraId="1E9D3BF2">
            <w:pPr>
              <w:rPr>
                <w:rFonts w:ascii="Arial"/>
                <w:sz w:val="21"/>
              </w:rPr>
            </w:pPr>
          </w:p>
        </w:tc>
      </w:tr>
      <w:tr w14:paraId="61443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163" w:type="dxa"/>
            <w:vAlign w:val="top"/>
          </w:tcPr>
          <w:p w14:paraId="0570EC26">
            <w:pPr>
              <w:pStyle w:val="6"/>
              <w:spacing w:before="76" w:line="196" w:lineRule="auto"/>
              <w:ind w:left="305"/>
              <w:rPr>
                <w:sz w:val="21"/>
                <w:szCs w:val="21"/>
              </w:rPr>
            </w:pPr>
            <w:r>
              <w:rPr>
                <w:spacing w:val="-2"/>
                <w:sz w:val="21"/>
                <w:szCs w:val="21"/>
              </w:rPr>
              <w:t>2.2.3</w:t>
            </w:r>
          </w:p>
        </w:tc>
        <w:tc>
          <w:tcPr>
            <w:tcW w:w="4375" w:type="dxa"/>
            <w:vAlign w:val="top"/>
          </w:tcPr>
          <w:p w14:paraId="260225BC">
            <w:pPr>
              <w:pStyle w:val="6"/>
              <w:spacing w:before="55" w:line="214" w:lineRule="auto"/>
              <w:ind w:left="1342"/>
              <w:rPr>
                <w:sz w:val="21"/>
                <w:szCs w:val="21"/>
              </w:rPr>
            </w:pPr>
            <w:r>
              <w:rPr>
                <w:spacing w:val="-1"/>
                <w:sz w:val="21"/>
                <w:szCs w:val="21"/>
              </w:rPr>
              <w:t>T型线夹TY-240/30</w:t>
            </w:r>
          </w:p>
        </w:tc>
        <w:tc>
          <w:tcPr>
            <w:tcW w:w="1198" w:type="dxa"/>
            <w:vAlign w:val="top"/>
          </w:tcPr>
          <w:p w14:paraId="565BA21E">
            <w:pPr>
              <w:pStyle w:val="6"/>
              <w:spacing w:before="55" w:line="214" w:lineRule="auto"/>
              <w:ind w:left="487"/>
              <w:rPr>
                <w:sz w:val="21"/>
                <w:szCs w:val="21"/>
              </w:rPr>
            </w:pPr>
            <w:r>
              <w:rPr>
                <w:sz w:val="21"/>
                <w:szCs w:val="21"/>
              </w:rPr>
              <w:t>套</w:t>
            </w:r>
          </w:p>
        </w:tc>
        <w:tc>
          <w:tcPr>
            <w:tcW w:w="989" w:type="dxa"/>
            <w:vAlign w:val="top"/>
          </w:tcPr>
          <w:p w14:paraId="560C7425">
            <w:pPr>
              <w:pStyle w:val="6"/>
              <w:spacing w:before="76" w:line="196" w:lineRule="auto"/>
              <w:ind w:left="278"/>
              <w:rPr>
                <w:sz w:val="21"/>
                <w:szCs w:val="21"/>
              </w:rPr>
            </w:pPr>
            <w:r>
              <w:rPr>
                <w:spacing w:val="-3"/>
                <w:sz w:val="21"/>
                <w:szCs w:val="21"/>
              </w:rPr>
              <w:t>3.00</w:t>
            </w:r>
          </w:p>
        </w:tc>
        <w:tc>
          <w:tcPr>
            <w:tcW w:w="794" w:type="dxa"/>
            <w:vAlign w:val="top"/>
          </w:tcPr>
          <w:p w14:paraId="416DB6E1">
            <w:pPr>
              <w:rPr>
                <w:rFonts w:ascii="Arial"/>
                <w:sz w:val="21"/>
              </w:rPr>
            </w:pPr>
          </w:p>
        </w:tc>
      </w:tr>
      <w:tr w14:paraId="1A2E8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63" w:type="dxa"/>
            <w:vAlign w:val="top"/>
          </w:tcPr>
          <w:p w14:paraId="3A587303">
            <w:pPr>
              <w:pStyle w:val="6"/>
              <w:spacing w:before="76" w:line="188" w:lineRule="auto"/>
              <w:ind w:left="305"/>
              <w:rPr>
                <w:sz w:val="21"/>
                <w:szCs w:val="21"/>
              </w:rPr>
            </w:pPr>
            <w:r>
              <w:rPr>
                <w:spacing w:val="-2"/>
                <w:sz w:val="21"/>
                <w:szCs w:val="21"/>
              </w:rPr>
              <w:t>2.2.4</w:t>
            </w:r>
          </w:p>
        </w:tc>
        <w:tc>
          <w:tcPr>
            <w:tcW w:w="4375" w:type="dxa"/>
            <w:vAlign w:val="top"/>
          </w:tcPr>
          <w:p w14:paraId="27D8000F">
            <w:pPr>
              <w:pStyle w:val="6"/>
              <w:spacing w:before="56" w:line="205" w:lineRule="auto"/>
              <w:ind w:left="711"/>
              <w:rPr>
                <w:sz w:val="21"/>
                <w:szCs w:val="21"/>
              </w:rPr>
            </w:pPr>
            <w:r>
              <w:rPr>
                <w:spacing w:val="1"/>
                <w:sz w:val="21"/>
                <w:szCs w:val="21"/>
              </w:rPr>
              <w:t>110</w:t>
            </w:r>
            <w:r>
              <w:rPr>
                <w:sz w:val="21"/>
                <w:szCs w:val="21"/>
              </w:rPr>
              <w:t>kV</w:t>
            </w:r>
            <w:r>
              <w:rPr>
                <w:spacing w:val="1"/>
                <w:sz w:val="21"/>
                <w:szCs w:val="21"/>
              </w:rPr>
              <w:t>户外避雷器</w:t>
            </w:r>
            <w:r>
              <w:rPr>
                <w:sz w:val="21"/>
                <w:szCs w:val="21"/>
              </w:rPr>
              <w:t>YH</w:t>
            </w:r>
            <w:r>
              <w:rPr>
                <w:spacing w:val="1"/>
                <w:sz w:val="21"/>
                <w:szCs w:val="21"/>
              </w:rPr>
              <w:t>10W-108/281</w:t>
            </w:r>
          </w:p>
        </w:tc>
        <w:tc>
          <w:tcPr>
            <w:tcW w:w="1198" w:type="dxa"/>
            <w:vAlign w:val="top"/>
          </w:tcPr>
          <w:p w14:paraId="6B62BC1B">
            <w:pPr>
              <w:pStyle w:val="6"/>
              <w:spacing w:before="57" w:line="204" w:lineRule="auto"/>
              <w:ind w:left="487"/>
              <w:rPr>
                <w:sz w:val="21"/>
                <w:szCs w:val="21"/>
              </w:rPr>
            </w:pPr>
            <w:r>
              <w:rPr>
                <w:sz w:val="21"/>
                <w:szCs w:val="21"/>
              </w:rPr>
              <w:t>台</w:t>
            </w:r>
          </w:p>
        </w:tc>
        <w:tc>
          <w:tcPr>
            <w:tcW w:w="989" w:type="dxa"/>
            <w:vAlign w:val="top"/>
          </w:tcPr>
          <w:p w14:paraId="125C483B">
            <w:pPr>
              <w:pStyle w:val="6"/>
              <w:spacing w:before="76" w:line="188" w:lineRule="auto"/>
              <w:ind w:left="278"/>
              <w:rPr>
                <w:sz w:val="21"/>
                <w:szCs w:val="21"/>
              </w:rPr>
            </w:pPr>
            <w:r>
              <w:rPr>
                <w:spacing w:val="-3"/>
                <w:sz w:val="21"/>
                <w:szCs w:val="21"/>
              </w:rPr>
              <w:t>3.00</w:t>
            </w:r>
          </w:p>
        </w:tc>
        <w:tc>
          <w:tcPr>
            <w:tcW w:w="794" w:type="dxa"/>
            <w:vAlign w:val="top"/>
          </w:tcPr>
          <w:p w14:paraId="47A8C2E6">
            <w:pPr>
              <w:rPr>
                <w:rFonts w:ascii="Arial"/>
                <w:sz w:val="21"/>
              </w:rPr>
            </w:pPr>
          </w:p>
        </w:tc>
      </w:tr>
      <w:tr w14:paraId="38680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63" w:type="dxa"/>
            <w:vAlign w:val="top"/>
          </w:tcPr>
          <w:p w14:paraId="7E1C2320">
            <w:pPr>
              <w:pStyle w:val="6"/>
              <w:spacing w:before="87" w:line="196" w:lineRule="auto"/>
              <w:ind w:left="305"/>
              <w:rPr>
                <w:sz w:val="21"/>
                <w:szCs w:val="21"/>
              </w:rPr>
            </w:pPr>
            <w:r>
              <w:rPr>
                <w:spacing w:val="-2"/>
                <w:sz w:val="21"/>
                <w:szCs w:val="21"/>
              </w:rPr>
              <w:t>2.2.5</w:t>
            </w:r>
          </w:p>
        </w:tc>
        <w:tc>
          <w:tcPr>
            <w:tcW w:w="4375" w:type="dxa"/>
            <w:vAlign w:val="top"/>
          </w:tcPr>
          <w:p w14:paraId="4AB93FC4">
            <w:pPr>
              <w:pStyle w:val="6"/>
              <w:spacing w:before="64" w:line="216" w:lineRule="auto"/>
              <w:ind w:left="971"/>
              <w:rPr>
                <w:sz w:val="21"/>
                <w:szCs w:val="21"/>
              </w:rPr>
            </w:pPr>
            <w:r>
              <w:rPr>
                <w:spacing w:val="-1"/>
                <w:sz w:val="21"/>
                <w:szCs w:val="21"/>
              </w:rPr>
              <w:t>钢芯铝绞线JL/GIA-240/30</w:t>
            </w:r>
          </w:p>
        </w:tc>
        <w:tc>
          <w:tcPr>
            <w:tcW w:w="1198" w:type="dxa"/>
            <w:vAlign w:val="top"/>
          </w:tcPr>
          <w:p w14:paraId="07059CA0">
            <w:pPr>
              <w:pStyle w:val="6"/>
              <w:spacing w:before="65" w:line="215" w:lineRule="auto"/>
              <w:ind w:left="487"/>
              <w:rPr>
                <w:sz w:val="21"/>
                <w:szCs w:val="21"/>
              </w:rPr>
            </w:pPr>
            <w:r>
              <w:rPr>
                <w:sz w:val="21"/>
                <w:szCs w:val="21"/>
              </w:rPr>
              <w:t>米</w:t>
            </w:r>
          </w:p>
        </w:tc>
        <w:tc>
          <w:tcPr>
            <w:tcW w:w="989" w:type="dxa"/>
            <w:vAlign w:val="top"/>
          </w:tcPr>
          <w:p w14:paraId="4DEF74D4">
            <w:pPr>
              <w:pStyle w:val="6"/>
              <w:spacing w:before="87" w:line="196" w:lineRule="auto"/>
              <w:ind w:left="228"/>
              <w:rPr>
                <w:sz w:val="21"/>
                <w:szCs w:val="21"/>
              </w:rPr>
            </w:pPr>
            <w:r>
              <w:rPr>
                <w:spacing w:val="-2"/>
                <w:sz w:val="21"/>
                <w:szCs w:val="21"/>
              </w:rPr>
              <w:t>60.00</w:t>
            </w:r>
          </w:p>
        </w:tc>
        <w:tc>
          <w:tcPr>
            <w:tcW w:w="794" w:type="dxa"/>
            <w:vAlign w:val="top"/>
          </w:tcPr>
          <w:p w14:paraId="02BB7F59">
            <w:pPr>
              <w:rPr>
                <w:rFonts w:ascii="Arial"/>
                <w:sz w:val="21"/>
              </w:rPr>
            </w:pPr>
          </w:p>
        </w:tc>
      </w:tr>
      <w:tr w14:paraId="5A83B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63" w:type="dxa"/>
            <w:vAlign w:val="top"/>
          </w:tcPr>
          <w:p w14:paraId="06CFD0F6">
            <w:pPr>
              <w:pStyle w:val="6"/>
              <w:spacing w:before="87" w:line="196" w:lineRule="auto"/>
              <w:ind w:left="305"/>
              <w:rPr>
                <w:sz w:val="21"/>
                <w:szCs w:val="21"/>
              </w:rPr>
            </w:pPr>
            <w:r>
              <w:rPr>
                <w:spacing w:val="-2"/>
                <w:sz w:val="21"/>
                <w:szCs w:val="21"/>
              </w:rPr>
              <w:t>2.2.6</w:t>
            </w:r>
          </w:p>
        </w:tc>
        <w:tc>
          <w:tcPr>
            <w:tcW w:w="4375" w:type="dxa"/>
            <w:vAlign w:val="top"/>
          </w:tcPr>
          <w:p w14:paraId="3CF99128">
            <w:pPr>
              <w:pStyle w:val="6"/>
              <w:spacing w:before="66" w:line="214" w:lineRule="auto"/>
              <w:ind w:left="1181"/>
              <w:rPr>
                <w:sz w:val="21"/>
                <w:szCs w:val="21"/>
              </w:rPr>
            </w:pPr>
            <w:r>
              <w:rPr>
                <w:spacing w:val="3"/>
                <w:sz w:val="21"/>
                <w:szCs w:val="21"/>
              </w:rPr>
              <w:t>绝缘子串9(</w:t>
            </w:r>
            <w:r>
              <w:rPr>
                <w:sz w:val="21"/>
                <w:szCs w:val="21"/>
              </w:rPr>
              <w:t>XWP</w:t>
            </w:r>
            <w:r>
              <w:rPr>
                <w:spacing w:val="3"/>
                <w:sz w:val="21"/>
                <w:szCs w:val="21"/>
              </w:rPr>
              <w:t>2-100)</w:t>
            </w:r>
          </w:p>
        </w:tc>
        <w:tc>
          <w:tcPr>
            <w:tcW w:w="1198" w:type="dxa"/>
            <w:vAlign w:val="top"/>
          </w:tcPr>
          <w:p w14:paraId="3939EBDF">
            <w:pPr>
              <w:pStyle w:val="6"/>
              <w:spacing w:before="66" w:line="214" w:lineRule="auto"/>
              <w:ind w:left="487"/>
              <w:rPr>
                <w:sz w:val="21"/>
                <w:szCs w:val="21"/>
              </w:rPr>
            </w:pPr>
            <w:r>
              <w:rPr>
                <w:sz w:val="21"/>
                <w:szCs w:val="21"/>
              </w:rPr>
              <w:t>串</w:t>
            </w:r>
          </w:p>
        </w:tc>
        <w:tc>
          <w:tcPr>
            <w:tcW w:w="989" w:type="dxa"/>
            <w:vAlign w:val="top"/>
          </w:tcPr>
          <w:p w14:paraId="7107EAD4">
            <w:pPr>
              <w:pStyle w:val="6"/>
              <w:spacing w:before="87" w:line="196" w:lineRule="auto"/>
              <w:ind w:left="278"/>
              <w:rPr>
                <w:sz w:val="21"/>
                <w:szCs w:val="21"/>
              </w:rPr>
            </w:pPr>
            <w:r>
              <w:rPr>
                <w:spacing w:val="-3"/>
                <w:sz w:val="21"/>
                <w:szCs w:val="21"/>
              </w:rPr>
              <w:t>3.00</w:t>
            </w:r>
          </w:p>
        </w:tc>
        <w:tc>
          <w:tcPr>
            <w:tcW w:w="794" w:type="dxa"/>
            <w:vAlign w:val="top"/>
          </w:tcPr>
          <w:p w14:paraId="1DF02640">
            <w:pPr>
              <w:rPr>
                <w:rFonts w:ascii="Arial"/>
                <w:sz w:val="21"/>
              </w:rPr>
            </w:pPr>
          </w:p>
        </w:tc>
      </w:tr>
      <w:tr w14:paraId="258E8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163" w:type="dxa"/>
            <w:vAlign w:val="top"/>
          </w:tcPr>
          <w:p w14:paraId="07203F43">
            <w:pPr>
              <w:pStyle w:val="6"/>
              <w:spacing w:before="77" w:line="195" w:lineRule="auto"/>
              <w:ind w:left="305"/>
              <w:rPr>
                <w:sz w:val="21"/>
                <w:szCs w:val="21"/>
              </w:rPr>
            </w:pPr>
            <w:r>
              <w:rPr>
                <w:spacing w:val="-2"/>
                <w:sz w:val="21"/>
                <w:szCs w:val="21"/>
              </w:rPr>
              <w:t>2.2.7</w:t>
            </w:r>
          </w:p>
        </w:tc>
        <w:tc>
          <w:tcPr>
            <w:tcW w:w="4375" w:type="dxa"/>
            <w:vAlign w:val="top"/>
          </w:tcPr>
          <w:p w14:paraId="45C17286">
            <w:pPr>
              <w:pStyle w:val="6"/>
              <w:spacing w:before="56" w:line="213" w:lineRule="auto"/>
              <w:ind w:left="1282"/>
              <w:rPr>
                <w:sz w:val="21"/>
                <w:szCs w:val="21"/>
              </w:rPr>
            </w:pPr>
            <w:r>
              <w:rPr>
                <w:spacing w:val="1"/>
                <w:sz w:val="21"/>
                <w:szCs w:val="21"/>
              </w:rPr>
              <w:t>耐张线夹</w:t>
            </w:r>
            <w:r>
              <w:rPr>
                <w:sz w:val="21"/>
                <w:szCs w:val="21"/>
              </w:rPr>
              <w:t>NY</w:t>
            </w:r>
            <w:r>
              <w:rPr>
                <w:spacing w:val="1"/>
                <w:sz w:val="21"/>
                <w:szCs w:val="21"/>
              </w:rPr>
              <w:t>-240/30</w:t>
            </w:r>
          </w:p>
        </w:tc>
        <w:tc>
          <w:tcPr>
            <w:tcW w:w="1198" w:type="dxa"/>
            <w:vAlign w:val="top"/>
          </w:tcPr>
          <w:p w14:paraId="6B7EDB7C">
            <w:pPr>
              <w:pStyle w:val="6"/>
              <w:spacing w:before="56" w:line="213" w:lineRule="auto"/>
              <w:ind w:left="487"/>
              <w:rPr>
                <w:sz w:val="21"/>
                <w:szCs w:val="21"/>
              </w:rPr>
            </w:pPr>
            <w:r>
              <w:rPr>
                <w:sz w:val="21"/>
                <w:szCs w:val="21"/>
              </w:rPr>
              <w:t>套</w:t>
            </w:r>
          </w:p>
        </w:tc>
        <w:tc>
          <w:tcPr>
            <w:tcW w:w="989" w:type="dxa"/>
            <w:vAlign w:val="top"/>
          </w:tcPr>
          <w:p w14:paraId="3DCFB7B9">
            <w:pPr>
              <w:pStyle w:val="6"/>
              <w:spacing w:before="77" w:line="195" w:lineRule="auto"/>
              <w:ind w:left="278"/>
              <w:rPr>
                <w:sz w:val="21"/>
                <w:szCs w:val="21"/>
              </w:rPr>
            </w:pPr>
            <w:r>
              <w:rPr>
                <w:spacing w:val="-3"/>
                <w:sz w:val="21"/>
                <w:szCs w:val="21"/>
              </w:rPr>
              <w:t>3.00</w:t>
            </w:r>
          </w:p>
        </w:tc>
        <w:tc>
          <w:tcPr>
            <w:tcW w:w="794" w:type="dxa"/>
            <w:vAlign w:val="top"/>
          </w:tcPr>
          <w:p w14:paraId="05AA87C1">
            <w:pPr>
              <w:rPr>
                <w:rFonts w:ascii="Arial"/>
                <w:sz w:val="21"/>
              </w:rPr>
            </w:pPr>
          </w:p>
        </w:tc>
      </w:tr>
      <w:tr w14:paraId="16686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63" w:type="dxa"/>
            <w:vAlign w:val="top"/>
          </w:tcPr>
          <w:p w14:paraId="2A70E1CB">
            <w:pPr>
              <w:pStyle w:val="6"/>
              <w:spacing w:before="77" w:line="187" w:lineRule="auto"/>
              <w:ind w:left="305"/>
              <w:rPr>
                <w:sz w:val="21"/>
                <w:szCs w:val="21"/>
              </w:rPr>
            </w:pPr>
            <w:r>
              <w:rPr>
                <w:spacing w:val="-2"/>
                <w:sz w:val="21"/>
                <w:szCs w:val="21"/>
              </w:rPr>
              <w:t>2.2.8</w:t>
            </w:r>
          </w:p>
        </w:tc>
        <w:tc>
          <w:tcPr>
            <w:tcW w:w="4375" w:type="dxa"/>
            <w:vAlign w:val="top"/>
          </w:tcPr>
          <w:p w14:paraId="68FA2FA7">
            <w:pPr>
              <w:pStyle w:val="6"/>
              <w:spacing w:before="56" w:line="205" w:lineRule="auto"/>
              <w:ind w:left="1282"/>
              <w:rPr>
                <w:sz w:val="21"/>
                <w:szCs w:val="21"/>
              </w:rPr>
            </w:pPr>
            <w:r>
              <w:rPr>
                <w:spacing w:val="1"/>
                <w:sz w:val="21"/>
                <w:szCs w:val="21"/>
              </w:rPr>
              <w:t>设备线夹</w:t>
            </w:r>
            <w:r>
              <w:rPr>
                <w:sz w:val="21"/>
                <w:szCs w:val="21"/>
              </w:rPr>
              <w:t>SY</w:t>
            </w:r>
            <w:r>
              <w:rPr>
                <w:spacing w:val="1"/>
                <w:sz w:val="21"/>
                <w:szCs w:val="21"/>
              </w:rPr>
              <w:t>-240/30</w:t>
            </w:r>
          </w:p>
        </w:tc>
        <w:tc>
          <w:tcPr>
            <w:tcW w:w="1198" w:type="dxa"/>
            <w:vAlign w:val="top"/>
          </w:tcPr>
          <w:p w14:paraId="5F384C5F">
            <w:pPr>
              <w:pStyle w:val="6"/>
              <w:spacing w:before="56" w:line="205" w:lineRule="auto"/>
              <w:ind w:left="487"/>
              <w:rPr>
                <w:sz w:val="21"/>
                <w:szCs w:val="21"/>
              </w:rPr>
            </w:pPr>
            <w:r>
              <w:rPr>
                <w:sz w:val="21"/>
                <w:szCs w:val="21"/>
              </w:rPr>
              <w:t>套</w:t>
            </w:r>
          </w:p>
        </w:tc>
        <w:tc>
          <w:tcPr>
            <w:tcW w:w="989" w:type="dxa"/>
            <w:vAlign w:val="top"/>
          </w:tcPr>
          <w:p w14:paraId="19E77DD7">
            <w:pPr>
              <w:pStyle w:val="6"/>
              <w:spacing w:before="77" w:line="187" w:lineRule="auto"/>
              <w:ind w:left="228"/>
              <w:rPr>
                <w:sz w:val="21"/>
                <w:szCs w:val="21"/>
              </w:rPr>
            </w:pPr>
            <w:r>
              <w:rPr>
                <w:spacing w:val="-4"/>
                <w:sz w:val="21"/>
                <w:szCs w:val="21"/>
              </w:rPr>
              <w:t>12.00</w:t>
            </w:r>
          </w:p>
        </w:tc>
        <w:tc>
          <w:tcPr>
            <w:tcW w:w="794" w:type="dxa"/>
            <w:vAlign w:val="top"/>
          </w:tcPr>
          <w:p w14:paraId="4BC87758">
            <w:pPr>
              <w:rPr>
                <w:rFonts w:ascii="Arial"/>
                <w:sz w:val="21"/>
              </w:rPr>
            </w:pPr>
          </w:p>
        </w:tc>
      </w:tr>
      <w:tr w14:paraId="1475D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63" w:type="dxa"/>
            <w:vAlign w:val="top"/>
          </w:tcPr>
          <w:p w14:paraId="72FCE33F">
            <w:pPr>
              <w:pStyle w:val="6"/>
              <w:spacing w:before="88" w:line="195" w:lineRule="auto"/>
              <w:ind w:left="414"/>
              <w:rPr>
                <w:sz w:val="21"/>
                <w:szCs w:val="21"/>
              </w:rPr>
            </w:pPr>
            <w:r>
              <w:rPr>
                <w:spacing w:val="-3"/>
                <w:sz w:val="21"/>
                <w:szCs w:val="21"/>
              </w:rPr>
              <w:t>2.3</w:t>
            </w:r>
          </w:p>
        </w:tc>
        <w:tc>
          <w:tcPr>
            <w:tcW w:w="4375" w:type="dxa"/>
            <w:vAlign w:val="top"/>
          </w:tcPr>
          <w:p w14:paraId="5A97AD59">
            <w:pPr>
              <w:pStyle w:val="6"/>
              <w:spacing w:before="67" w:line="213" w:lineRule="auto"/>
              <w:ind w:left="1022"/>
              <w:rPr>
                <w:sz w:val="21"/>
                <w:szCs w:val="21"/>
              </w:rPr>
            </w:pPr>
            <w:r>
              <w:rPr>
                <w:sz w:val="21"/>
                <w:szCs w:val="21"/>
              </w:rPr>
              <w:t>35KV配电装置设备及安装</w:t>
            </w:r>
          </w:p>
        </w:tc>
        <w:tc>
          <w:tcPr>
            <w:tcW w:w="1198" w:type="dxa"/>
            <w:vAlign w:val="top"/>
          </w:tcPr>
          <w:p w14:paraId="00440A48">
            <w:pPr>
              <w:rPr>
                <w:rFonts w:ascii="Arial"/>
                <w:sz w:val="21"/>
              </w:rPr>
            </w:pPr>
          </w:p>
        </w:tc>
        <w:tc>
          <w:tcPr>
            <w:tcW w:w="989" w:type="dxa"/>
            <w:vAlign w:val="top"/>
          </w:tcPr>
          <w:p w14:paraId="6E400F75">
            <w:pPr>
              <w:rPr>
                <w:rFonts w:ascii="Arial"/>
                <w:sz w:val="21"/>
              </w:rPr>
            </w:pPr>
          </w:p>
        </w:tc>
        <w:tc>
          <w:tcPr>
            <w:tcW w:w="794" w:type="dxa"/>
            <w:vAlign w:val="top"/>
          </w:tcPr>
          <w:p w14:paraId="2629F4F9">
            <w:pPr>
              <w:rPr>
                <w:rFonts w:ascii="Arial"/>
                <w:sz w:val="21"/>
              </w:rPr>
            </w:pPr>
          </w:p>
        </w:tc>
      </w:tr>
      <w:tr w14:paraId="35A1E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163" w:type="dxa"/>
            <w:vAlign w:val="top"/>
          </w:tcPr>
          <w:p w14:paraId="56594587">
            <w:pPr>
              <w:pStyle w:val="6"/>
              <w:spacing w:before="77" w:line="195" w:lineRule="auto"/>
              <w:ind w:left="305"/>
              <w:rPr>
                <w:sz w:val="21"/>
                <w:szCs w:val="21"/>
              </w:rPr>
            </w:pPr>
            <w:r>
              <w:rPr>
                <w:spacing w:val="-2"/>
                <w:sz w:val="21"/>
                <w:szCs w:val="21"/>
              </w:rPr>
              <w:t>2.3.1</w:t>
            </w:r>
          </w:p>
        </w:tc>
        <w:tc>
          <w:tcPr>
            <w:tcW w:w="4375" w:type="dxa"/>
            <w:vAlign w:val="top"/>
          </w:tcPr>
          <w:p w14:paraId="2DE43322">
            <w:pPr>
              <w:pStyle w:val="6"/>
              <w:spacing w:before="57" w:line="212" w:lineRule="auto"/>
              <w:ind w:left="762"/>
              <w:rPr>
                <w:sz w:val="21"/>
                <w:szCs w:val="21"/>
              </w:rPr>
            </w:pPr>
            <w:r>
              <w:rPr>
                <w:spacing w:val="2"/>
                <w:sz w:val="21"/>
                <w:szCs w:val="21"/>
              </w:rPr>
              <w:t>35</w:t>
            </w:r>
            <w:r>
              <w:rPr>
                <w:sz w:val="21"/>
                <w:szCs w:val="21"/>
              </w:rPr>
              <w:t>kV</w:t>
            </w:r>
            <w:r>
              <w:rPr>
                <w:spacing w:val="2"/>
                <w:sz w:val="21"/>
                <w:szCs w:val="21"/>
              </w:rPr>
              <w:t>开关柜(1600A主变进线柜)</w:t>
            </w:r>
          </w:p>
        </w:tc>
        <w:tc>
          <w:tcPr>
            <w:tcW w:w="1198" w:type="dxa"/>
            <w:vAlign w:val="top"/>
          </w:tcPr>
          <w:p w14:paraId="4532CFA9">
            <w:pPr>
              <w:pStyle w:val="6"/>
              <w:spacing w:before="57" w:line="212" w:lineRule="auto"/>
              <w:ind w:left="487"/>
              <w:rPr>
                <w:sz w:val="21"/>
                <w:szCs w:val="21"/>
              </w:rPr>
            </w:pPr>
            <w:r>
              <w:rPr>
                <w:sz w:val="21"/>
                <w:szCs w:val="21"/>
              </w:rPr>
              <w:t>面</w:t>
            </w:r>
          </w:p>
        </w:tc>
        <w:tc>
          <w:tcPr>
            <w:tcW w:w="989" w:type="dxa"/>
            <w:vAlign w:val="top"/>
          </w:tcPr>
          <w:p w14:paraId="3A71785B">
            <w:pPr>
              <w:pStyle w:val="6"/>
              <w:spacing w:before="77" w:line="195" w:lineRule="auto"/>
              <w:ind w:left="278"/>
              <w:rPr>
                <w:sz w:val="21"/>
                <w:szCs w:val="21"/>
              </w:rPr>
            </w:pPr>
            <w:r>
              <w:rPr>
                <w:spacing w:val="-5"/>
                <w:sz w:val="21"/>
                <w:szCs w:val="21"/>
              </w:rPr>
              <w:t>1.00</w:t>
            </w:r>
          </w:p>
        </w:tc>
        <w:tc>
          <w:tcPr>
            <w:tcW w:w="794" w:type="dxa"/>
            <w:vAlign w:val="top"/>
          </w:tcPr>
          <w:p w14:paraId="2EE09BC8">
            <w:pPr>
              <w:rPr>
                <w:rFonts w:ascii="Arial"/>
                <w:sz w:val="21"/>
              </w:rPr>
            </w:pPr>
          </w:p>
        </w:tc>
      </w:tr>
      <w:tr w14:paraId="39281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163" w:type="dxa"/>
            <w:vAlign w:val="top"/>
          </w:tcPr>
          <w:p w14:paraId="13690D9D">
            <w:pPr>
              <w:pStyle w:val="6"/>
              <w:spacing w:before="88" w:line="198" w:lineRule="auto"/>
              <w:ind w:left="305"/>
              <w:rPr>
                <w:sz w:val="21"/>
                <w:szCs w:val="21"/>
              </w:rPr>
            </w:pPr>
            <w:r>
              <w:rPr>
                <w:spacing w:val="-2"/>
                <w:sz w:val="21"/>
                <w:szCs w:val="21"/>
              </w:rPr>
              <w:t>2.3.2</w:t>
            </w:r>
          </w:p>
        </w:tc>
        <w:tc>
          <w:tcPr>
            <w:tcW w:w="4375" w:type="dxa"/>
            <w:vAlign w:val="top"/>
          </w:tcPr>
          <w:p w14:paraId="0BDDB4CC">
            <w:pPr>
              <w:pStyle w:val="6"/>
              <w:spacing w:before="67" w:line="217" w:lineRule="auto"/>
              <w:ind w:left="762"/>
              <w:rPr>
                <w:sz w:val="21"/>
                <w:szCs w:val="21"/>
              </w:rPr>
            </w:pPr>
            <w:r>
              <w:rPr>
                <w:spacing w:val="2"/>
                <w:sz w:val="21"/>
                <w:szCs w:val="21"/>
              </w:rPr>
              <w:t>35</w:t>
            </w:r>
            <w:r>
              <w:rPr>
                <w:sz w:val="21"/>
                <w:szCs w:val="21"/>
              </w:rPr>
              <w:t>kV</w:t>
            </w:r>
            <w:r>
              <w:rPr>
                <w:spacing w:val="2"/>
                <w:sz w:val="21"/>
                <w:szCs w:val="21"/>
              </w:rPr>
              <w:t>开关柜(1250A集电线路柜)</w:t>
            </w:r>
          </w:p>
        </w:tc>
        <w:tc>
          <w:tcPr>
            <w:tcW w:w="1198" w:type="dxa"/>
            <w:vAlign w:val="top"/>
          </w:tcPr>
          <w:p w14:paraId="0564D74F">
            <w:pPr>
              <w:pStyle w:val="6"/>
              <w:spacing w:before="69" w:line="215" w:lineRule="auto"/>
              <w:ind w:left="487"/>
              <w:rPr>
                <w:sz w:val="21"/>
                <w:szCs w:val="21"/>
              </w:rPr>
            </w:pPr>
            <w:r>
              <w:rPr>
                <w:sz w:val="21"/>
                <w:szCs w:val="21"/>
              </w:rPr>
              <w:t>面</w:t>
            </w:r>
          </w:p>
        </w:tc>
        <w:tc>
          <w:tcPr>
            <w:tcW w:w="989" w:type="dxa"/>
            <w:vAlign w:val="top"/>
          </w:tcPr>
          <w:p w14:paraId="270C4CFA">
            <w:pPr>
              <w:pStyle w:val="6"/>
              <w:spacing w:before="88" w:line="198" w:lineRule="auto"/>
              <w:ind w:left="278"/>
              <w:rPr>
                <w:sz w:val="21"/>
                <w:szCs w:val="21"/>
              </w:rPr>
            </w:pPr>
            <w:r>
              <w:rPr>
                <w:spacing w:val="-3"/>
                <w:sz w:val="21"/>
                <w:szCs w:val="21"/>
              </w:rPr>
              <w:t>3.00</w:t>
            </w:r>
          </w:p>
        </w:tc>
        <w:tc>
          <w:tcPr>
            <w:tcW w:w="794" w:type="dxa"/>
            <w:vAlign w:val="top"/>
          </w:tcPr>
          <w:p w14:paraId="533D8D27">
            <w:pPr>
              <w:rPr>
                <w:rFonts w:ascii="Arial"/>
                <w:sz w:val="21"/>
              </w:rPr>
            </w:pPr>
          </w:p>
        </w:tc>
      </w:tr>
    </w:tbl>
    <w:p w14:paraId="7C583C7A">
      <w:pPr>
        <w:pStyle w:val="2"/>
      </w:pPr>
    </w:p>
    <w:p w14:paraId="092313CB">
      <w:pPr>
        <w:sectPr>
          <w:footerReference r:id="rId230" w:type="default"/>
          <w:pgSz w:w="11910" w:h="16830"/>
          <w:pgMar w:top="400" w:right="1705" w:bottom="1181" w:left="1675" w:header="0" w:footer="920" w:gutter="0"/>
          <w:cols w:space="720" w:num="1"/>
        </w:sectPr>
      </w:pPr>
    </w:p>
    <w:p w14:paraId="6623394D">
      <w:pPr>
        <w:spacing w:before="18"/>
      </w:pPr>
    </w:p>
    <w:p w14:paraId="5FB003BD">
      <w:pPr>
        <w:spacing w:before="17"/>
      </w:pPr>
    </w:p>
    <w:p w14:paraId="56011489">
      <w:pPr>
        <w:spacing w:before="17"/>
      </w:pPr>
    </w:p>
    <w:p w14:paraId="0DDCA67E">
      <w:pPr>
        <w:spacing w:before="17"/>
      </w:pPr>
    </w:p>
    <w:tbl>
      <w:tblPr>
        <w:tblStyle w:val="5"/>
        <w:tblW w:w="84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3"/>
        <w:gridCol w:w="4365"/>
        <w:gridCol w:w="1188"/>
        <w:gridCol w:w="1009"/>
        <w:gridCol w:w="774"/>
      </w:tblGrid>
      <w:tr w14:paraId="2C2C6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153" w:type="dxa"/>
            <w:vAlign w:val="top"/>
          </w:tcPr>
          <w:p w14:paraId="25FB249D">
            <w:pPr>
              <w:pStyle w:val="6"/>
              <w:spacing w:before="74" w:line="203" w:lineRule="auto"/>
              <w:ind w:left="305"/>
              <w:rPr>
                <w:sz w:val="21"/>
                <w:szCs w:val="21"/>
              </w:rPr>
            </w:pPr>
            <w:r>
              <w:rPr>
                <w:spacing w:val="-2"/>
                <w:sz w:val="21"/>
                <w:szCs w:val="21"/>
              </w:rPr>
              <w:t>2.3.3</w:t>
            </w:r>
          </w:p>
        </w:tc>
        <w:tc>
          <w:tcPr>
            <w:tcW w:w="4365" w:type="dxa"/>
            <w:vAlign w:val="top"/>
          </w:tcPr>
          <w:p w14:paraId="4C4571CD">
            <w:pPr>
              <w:pStyle w:val="6"/>
              <w:spacing w:before="54" w:line="220" w:lineRule="auto"/>
              <w:ind w:left="752"/>
              <w:rPr>
                <w:sz w:val="21"/>
                <w:szCs w:val="21"/>
              </w:rPr>
            </w:pPr>
            <w:r>
              <w:rPr>
                <w:spacing w:val="2"/>
                <w:sz w:val="21"/>
                <w:szCs w:val="21"/>
              </w:rPr>
              <w:t>35</w:t>
            </w:r>
            <w:r>
              <w:rPr>
                <w:sz w:val="21"/>
                <w:szCs w:val="21"/>
              </w:rPr>
              <w:t>kV</w:t>
            </w:r>
            <w:r>
              <w:rPr>
                <w:spacing w:val="2"/>
                <w:sz w:val="21"/>
                <w:szCs w:val="21"/>
              </w:rPr>
              <w:t>开关柜(1250A无功补偿柜)</w:t>
            </w:r>
          </w:p>
        </w:tc>
        <w:tc>
          <w:tcPr>
            <w:tcW w:w="1188" w:type="dxa"/>
            <w:vAlign w:val="top"/>
          </w:tcPr>
          <w:p w14:paraId="3A314143">
            <w:pPr>
              <w:pStyle w:val="6"/>
              <w:spacing w:before="54" w:line="220" w:lineRule="auto"/>
              <w:ind w:left="487"/>
              <w:rPr>
                <w:sz w:val="21"/>
                <w:szCs w:val="21"/>
              </w:rPr>
            </w:pPr>
            <w:r>
              <w:rPr>
                <w:sz w:val="21"/>
                <w:szCs w:val="21"/>
              </w:rPr>
              <w:t>面</w:t>
            </w:r>
          </w:p>
        </w:tc>
        <w:tc>
          <w:tcPr>
            <w:tcW w:w="1009" w:type="dxa"/>
            <w:vAlign w:val="top"/>
          </w:tcPr>
          <w:p w14:paraId="458ABBCB">
            <w:pPr>
              <w:pStyle w:val="6"/>
              <w:spacing w:before="74" w:line="203" w:lineRule="auto"/>
              <w:ind w:left="288"/>
              <w:rPr>
                <w:sz w:val="21"/>
                <w:szCs w:val="21"/>
              </w:rPr>
            </w:pPr>
            <w:r>
              <w:rPr>
                <w:spacing w:val="-5"/>
                <w:sz w:val="21"/>
                <w:szCs w:val="21"/>
              </w:rPr>
              <w:t>1.00</w:t>
            </w:r>
          </w:p>
        </w:tc>
        <w:tc>
          <w:tcPr>
            <w:tcW w:w="774" w:type="dxa"/>
            <w:vAlign w:val="top"/>
          </w:tcPr>
          <w:p w14:paraId="3EBD2A2B">
            <w:pPr>
              <w:rPr>
                <w:rFonts w:ascii="Arial"/>
                <w:sz w:val="21"/>
              </w:rPr>
            </w:pPr>
          </w:p>
        </w:tc>
      </w:tr>
      <w:tr w14:paraId="5E1B7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53" w:type="dxa"/>
            <w:vAlign w:val="top"/>
          </w:tcPr>
          <w:p w14:paraId="7076076E">
            <w:pPr>
              <w:pStyle w:val="6"/>
              <w:spacing w:before="69" w:line="194" w:lineRule="auto"/>
              <w:ind w:left="305"/>
              <w:rPr>
                <w:sz w:val="21"/>
                <w:szCs w:val="21"/>
              </w:rPr>
            </w:pPr>
            <w:r>
              <w:rPr>
                <w:spacing w:val="-2"/>
                <w:sz w:val="21"/>
                <w:szCs w:val="21"/>
              </w:rPr>
              <w:t>2.3.4</w:t>
            </w:r>
          </w:p>
        </w:tc>
        <w:tc>
          <w:tcPr>
            <w:tcW w:w="4365" w:type="dxa"/>
            <w:vAlign w:val="top"/>
          </w:tcPr>
          <w:p w14:paraId="64D07833">
            <w:pPr>
              <w:pStyle w:val="6"/>
              <w:spacing w:before="48" w:line="212" w:lineRule="auto"/>
              <w:ind w:left="651"/>
              <w:rPr>
                <w:sz w:val="21"/>
                <w:szCs w:val="21"/>
              </w:rPr>
            </w:pPr>
            <w:r>
              <w:rPr>
                <w:spacing w:val="2"/>
                <w:sz w:val="21"/>
                <w:szCs w:val="21"/>
              </w:rPr>
              <w:t>35</w:t>
            </w:r>
            <w:r>
              <w:rPr>
                <w:sz w:val="21"/>
                <w:szCs w:val="21"/>
              </w:rPr>
              <w:t>kV</w:t>
            </w:r>
            <w:r>
              <w:rPr>
                <w:spacing w:val="2"/>
                <w:sz w:val="21"/>
                <w:szCs w:val="21"/>
              </w:rPr>
              <w:t>开关柜(1250A站用接地变柜)</w:t>
            </w:r>
          </w:p>
        </w:tc>
        <w:tc>
          <w:tcPr>
            <w:tcW w:w="1188" w:type="dxa"/>
            <w:vAlign w:val="top"/>
          </w:tcPr>
          <w:p w14:paraId="7FF3BB8D">
            <w:pPr>
              <w:pStyle w:val="6"/>
              <w:spacing w:before="49" w:line="211" w:lineRule="auto"/>
              <w:ind w:left="487"/>
              <w:rPr>
                <w:sz w:val="21"/>
                <w:szCs w:val="21"/>
              </w:rPr>
            </w:pPr>
            <w:r>
              <w:rPr>
                <w:sz w:val="21"/>
                <w:szCs w:val="21"/>
              </w:rPr>
              <w:t>面</w:t>
            </w:r>
          </w:p>
        </w:tc>
        <w:tc>
          <w:tcPr>
            <w:tcW w:w="1009" w:type="dxa"/>
            <w:vAlign w:val="top"/>
          </w:tcPr>
          <w:p w14:paraId="68CE033D">
            <w:pPr>
              <w:pStyle w:val="6"/>
              <w:spacing w:before="69" w:line="194" w:lineRule="auto"/>
              <w:ind w:left="288"/>
              <w:rPr>
                <w:sz w:val="21"/>
                <w:szCs w:val="21"/>
              </w:rPr>
            </w:pPr>
            <w:r>
              <w:rPr>
                <w:spacing w:val="-5"/>
                <w:sz w:val="21"/>
                <w:szCs w:val="21"/>
              </w:rPr>
              <w:t>1.00</w:t>
            </w:r>
          </w:p>
        </w:tc>
        <w:tc>
          <w:tcPr>
            <w:tcW w:w="774" w:type="dxa"/>
            <w:vAlign w:val="top"/>
          </w:tcPr>
          <w:p w14:paraId="6660F9A0">
            <w:pPr>
              <w:rPr>
                <w:rFonts w:ascii="Arial"/>
                <w:sz w:val="21"/>
              </w:rPr>
            </w:pPr>
          </w:p>
        </w:tc>
      </w:tr>
      <w:tr w14:paraId="052B0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53" w:type="dxa"/>
            <w:vAlign w:val="top"/>
          </w:tcPr>
          <w:p w14:paraId="1FAF224B">
            <w:pPr>
              <w:pStyle w:val="6"/>
              <w:spacing w:before="80" w:line="202" w:lineRule="auto"/>
              <w:ind w:left="305"/>
              <w:rPr>
                <w:sz w:val="21"/>
                <w:szCs w:val="21"/>
              </w:rPr>
            </w:pPr>
            <w:r>
              <w:rPr>
                <w:spacing w:val="-2"/>
                <w:sz w:val="21"/>
                <w:szCs w:val="21"/>
              </w:rPr>
              <w:t>2.3.5</w:t>
            </w:r>
          </w:p>
        </w:tc>
        <w:tc>
          <w:tcPr>
            <w:tcW w:w="4365" w:type="dxa"/>
            <w:vAlign w:val="top"/>
          </w:tcPr>
          <w:p w14:paraId="0C11615C">
            <w:pPr>
              <w:pStyle w:val="6"/>
              <w:spacing w:before="59" w:line="220" w:lineRule="auto"/>
              <w:ind w:left="961"/>
              <w:rPr>
                <w:sz w:val="21"/>
                <w:szCs w:val="21"/>
              </w:rPr>
            </w:pPr>
            <w:r>
              <w:rPr>
                <w:spacing w:val="3"/>
                <w:sz w:val="21"/>
                <w:szCs w:val="21"/>
              </w:rPr>
              <w:t>35</w:t>
            </w:r>
            <w:r>
              <w:rPr>
                <w:sz w:val="21"/>
                <w:szCs w:val="21"/>
              </w:rPr>
              <w:t>KV</w:t>
            </w:r>
            <w:r>
              <w:rPr>
                <w:spacing w:val="3"/>
                <w:sz w:val="21"/>
                <w:szCs w:val="21"/>
              </w:rPr>
              <w:t>开关柜(1250A储能柜)</w:t>
            </w:r>
          </w:p>
        </w:tc>
        <w:tc>
          <w:tcPr>
            <w:tcW w:w="1188" w:type="dxa"/>
            <w:vAlign w:val="top"/>
          </w:tcPr>
          <w:p w14:paraId="606CDB2B">
            <w:pPr>
              <w:pStyle w:val="6"/>
              <w:spacing w:before="59" w:line="220" w:lineRule="auto"/>
              <w:ind w:left="487"/>
              <w:rPr>
                <w:sz w:val="21"/>
                <w:szCs w:val="21"/>
              </w:rPr>
            </w:pPr>
            <w:r>
              <w:rPr>
                <w:sz w:val="21"/>
                <w:szCs w:val="21"/>
              </w:rPr>
              <w:t>面</w:t>
            </w:r>
          </w:p>
        </w:tc>
        <w:tc>
          <w:tcPr>
            <w:tcW w:w="1009" w:type="dxa"/>
            <w:vAlign w:val="top"/>
          </w:tcPr>
          <w:p w14:paraId="59B35167">
            <w:pPr>
              <w:pStyle w:val="6"/>
              <w:spacing w:before="80" w:line="202" w:lineRule="auto"/>
              <w:ind w:left="288"/>
              <w:rPr>
                <w:sz w:val="21"/>
                <w:szCs w:val="21"/>
              </w:rPr>
            </w:pPr>
            <w:r>
              <w:rPr>
                <w:spacing w:val="-5"/>
                <w:sz w:val="21"/>
                <w:szCs w:val="21"/>
              </w:rPr>
              <w:t>1.00</w:t>
            </w:r>
          </w:p>
        </w:tc>
        <w:tc>
          <w:tcPr>
            <w:tcW w:w="774" w:type="dxa"/>
            <w:vAlign w:val="top"/>
          </w:tcPr>
          <w:p w14:paraId="0743C828">
            <w:pPr>
              <w:rPr>
                <w:rFonts w:ascii="Arial"/>
                <w:sz w:val="21"/>
              </w:rPr>
            </w:pPr>
          </w:p>
        </w:tc>
      </w:tr>
      <w:tr w14:paraId="53E6A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53" w:type="dxa"/>
            <w:vAlign w:val="top"/>
          </w:tcPr>
          <w:p w14:paraId="391CA44E">
            <w:pPr>
              <w:pStyle w:val="6"/>
              <w:spacing w:before="69" w:line="194" w:lineRule="auto"/>
              <w:ind w:left="305"/>
              <w:rPr>
                <w:sz w:val="21"/>
                <w:szCs w:val="21"/>
              </w:rPr>
            </w:pPr>
            <w:r>
              <w:rPr>
                <w:spacing w:val="-2"/>
                <w:sz w:val="21"/>
                <w:szCs w:val="21"/>
              </w:rPr>
              <w:t>2.3.6</w:t>
            </w:r>
          </w:p>
        </w:tc>
        <w:tc>
          <w:tcPr>
            <w:tcW w:w="4365" w:type="dxa"/>
            <w:vAlign w:val="top"/>
          </w:tcPr>
          <w:p w14:paraId="3A3B354A">
            <w:pPr>
              <w:pStyle w:val="6"/>
              <w:spacing w:before="48" w:line="212" w:lineRule="auto"/>
              <w:ind w:left="1171"/>
              <w:rPr>
                <w:sz w:val="21"/>
                <w:szCs w:val="21"/>
              </w:rPr>
            </w:pPr>
            <w:r>
              <w:rPr>
                <w:spacing w:val="45"/>
                <w:sz w:val="21"/>
                <w:szCs w:val="21"/>
              </w:rPr>
              <w:t>35</w:t>
            </w:r>
            <w:r>
              <w:rPr>
                <w:sz w:val="21"/>
                <w:szCs w:val="21"/>
              </w:rPr>
              <w:t>kV</w:t>
            </w:r>
            <w:r>
              <w:rPr>
                <w:spacing w:val="45"/>
                <w:sz w:val="21"/>
                <w:szCs w:val="21"/>
              </w:rPr>
              <w:t>开关柜(</w:t>
            </w:r>
            <w:r>
              <w:rPr>
                <w:sz w:val="21"/>
                <w:szCs w:val="21"/>
              </w:rPr>
              <w:t>PT</w:t>
            </w:r>
            <w:r>
              <w:rPr>
                <w:spacing w:val="45"/>
                <w:sz w:val="21"/>
                <w:szCs w:val="21"/>
              </w:rPr>
              <w:t>柜)</w:t>
            </w:r>
          </w:p>
        </w:tc>
        <w:tc>
          <w:tcPr>
            <w:tcW w:w="1188" w:type="dxa"/>
            <w:vAlign w:val="top"/>
          </w:tcPr>
          <w:p w14:paraId="0F147A7A">
            <w:pPr>
              <w:pStyle w:val="6"/>
              <w:spacing w:before="49" w:line="211" w:lineRule="auto"/>
              <w:ind w:left="487"/>
              <w:rPr>
                <w:sz w:val="21"/>
                <w:szCs w:val="21"/>
              </w:rPr>
            </w:pPr>
            <w:r>
              <w:rPr>
                <w:sz w:val="21"/>
                <w:szCs w:val="21"/>
              </w:rPr>
              <w:t>面</w:t>
            </w:r>
          </w:p>
        </w:tc>
        <w:tc>
          <w:tcPr>
            <w:tcW w:w="1009" w:type="dxa"/>
            <w:vAlign w:val="top"/>
          </w:tcPr>
          <w:p w14:paraId="17CB7522">
            <w:pPr>
              <w:pStyle w:val="6"/>
              <w:spacing w:before="69" w:line="194" w:lineRule="auto"/>
              <w:ind w:left="288"/>
              <w:rPr>
                <w:sz w:val="21"/>
                <w:szCs w:val="21"/>
              </w:rPr>
            </w:pPr>
            <w:r>
              <w:rPr>
                <w:spacing w:val="-5"/>
                <w:sz w:val="21"/>
                <w:szCs w:val="21"/>
              </w:rPr>
              <w:t>1.00</w:t>
            </w:r>
          </w:p>
        </w:tc>
        <w:tc>
          <w:tcPr>
            <w:tcW w:w="774" w:type="dxa"/>
            <w:vAlign w:val="top"/>
          </w:tcPr>
          <w:p w14:paraId="3CC79B77">
            <w:pPr>
              <w:rPr>
                <w:rFonts w:ascii="Arial"/>
                <w:sz w:val="21"/>
              </w:rPr>
            </w:pPr>
          </w:p>
        </w:tc>
      </w:tr>
      <w:tr w14:paraId="02C01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53" w:type="dxa"/>
            <w:vAlign w:val="top"/>
          </w:tcPr>
          <w:p w14:paraId="66221E45">
            <w:pPr>
              <w:pStyle w:val="6"/>
              <w:spacing w:before="79" w:line="203" w:lineRule="auto"/>
              <w:ind w:left="305"/>
              <w:rPr>
                <w:sz w:val="21"/>
                <w:szCs w:val="21"/>
              </w:rPr>
            </w:pPr>
            <w:r>
              <w:rPr>
                <w:spacing w:val="-2"/>
                <w:sz w:val="21"/>
                <w:szCs w:val="21"/>
              </w:rPr>
              <w:t>2.3.7</w:t>
            </w:r>
          </w:p>
        </w:tc>
        <w:tc>
          <w:tcPr>
            <w:tcW w:w="4365" w:type="dxa"/>
            <w:vAlign w:val="top"/>
          </w:tcPr>
          <w:p w14:paraId="1E7EF715">
            <w:pPr>
              <w:pStyle w:val="6"/>
              <w:spacing w:before="58" w:line="219" w:lineRule="auto"/>
              <w:ind w:left="1541"/>
              <w:rPr>
                <w:sz w:val="21"/>
                <w:szCs w:val="21"/>
              </w:rPr>
            </w:pPr>
            <w:r>
              <w:rPr>
                <w:spacing w:val="1"/>
                <w:sz w:val="21"/>
                <w:szCs w:val="21"/>
              </w:rPr>
              <w:t>35</w:t>
            </w:r>
            <w:r>
              <w:rPr>
                <w:sz w:val="21"/>
                <w:szCs w:val="21"/>
              </w:rPr>
              <w:t>kV</w:t>
            </w:r>
            <w:r>
              <w:rPr>
                <w:spacing w:val="1"/>
                <w:sz w:val="21"/>
                <w:szCs w:val="21"/>
              </w:rPr>
              <w:t>接地手车</w:t>
            </w:r>
          </w:p>
        </w:tc>
        <w:tc>
          <w:tcPr>
            <w:tcW w:w="1188" w:type="dxa"/>
            <w:vAlign w:val="top"/>
          </w:tcPr>
          <w:p w14:paraId="157ED8D4">
            <w:pPr>
              <w:pStyle w:val="6"/>
              <w:spacing w:before="60" w:line="219" w:lineRule="auto"/>
              <w:ind w:left="487"/>
              <w:rPr>
                <w:sz w:val="21"/>
                <w:szCs w:val="21"/>
              </w:rPr>
            </w:pPr>
            <w:r>
              <w:rPr>
                <w:sz w:val="21"/>
                <w:szCs w:val="21"/>
              </w:rPr>
              <w:t>台</w:t>
            </w:r>
          </w:p>
        </w:tc>
        <w:tc>
          <w:tcPr>
            <w:tcW w:w="1009" w:type="dxa"/>
            <w:vAlign w:val="top"/>
          </w:tcPr>
          <w:p w14:paraId="40678D4D">
            <w:pPr>
              <w:pStyle w:val="6"/>
              <w:spacing w:before="79" w:line="203" w:lineRule="auto"/>
              <w:ind w:left="288"/>
              <w:rPr>
                <w:sz w:val="21"/>
                <w:szCs w:val="21"/>
              </w:rPr>
            </w:pPr>
            <w:r>
              <w:rPr>
                <w:spacing w:val="-5"/>
                <w:sz w:val="21"/>
                <w:szCs w:val="21"/>
              </w:rPr>
              <w:t>1.00</w:t>
            </w:r>
          </w:p>
        </w:tc>
        <w:tc>
          <w:tcPr>
            <w:tcW w:w="774" w:type="dxa"/>
            <w:vAlign w:val="top"/>
          </w:tcPr>
          <w:p w14:paraId="5250BA5A">
            <w:pPr>
              <w:rPr>
                <w:rFonts w:ascii="Arial"/>
                <w:sz w:val="21"/>
              </w:rPr>
            </w:pPr>
          </w:p>
        </w:tc>
      </w:tr>
      <w:tr w14:paraId="36DBE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153" w:type="dxa"/>
            <w:vAlign w:val="top"/>
          </w:tcPr>
          <w:p w14:paraId="1FF762F6">
            <w:pPr>
              <w:pStyle w:val="6"/>
              <w:spacing w:before="59" w:line="194" w:lineRule="auto"/>
              <w:ind w:left="305"/>
              <w:rPr>
                <w:sz w:val="21"/>
                <w:szCs w:val="21"/>
              </w:rPr>
            </w:pPr>
            <w:r>
              <w:rPr>
                <w:spacing w:val="-2"/>
                <w:sz w:val="21"/>
                <w:szCs w:val="21"/>
              </w:rPr>
              <w:t>2.3.8</w:t>
            </w:r>
          </w:p>
        </w:tc>
        <w:tc>
          <w:tcPr>
            <w:tcW w:w="4365" w:type="dxa"/>
            <w:vAlign w:val="top"/>
          </w:tcPr>
          <w:p w14:paraId="30923DD7">
            <w:pPr>
              <w:pStyle w:val="6"/>
              <w:spacing w:before="38" w:line="212" w:lineRule="auto"/>
              <w:ind w:left="1541"/>
              <w:rPr>
                <w:sz w:val="21"/>
                <w:szCs w:val="21"/>
              </w:rPr>
            </w:pPr>
            <w:r>
              <w:rPr>
                <w:spacing w:val="1"/>
                <w:sz w:val="21"/>
                <w:szCs w:val="21"/>
              </w:rPr>
              <w:t>35</w:t>
            </w:r>
            <w:r>
              <w:rPr>
                <w:sz w:val="21"/>
                <w:szCs w:val="21"/>
              </w:rPr>
              <w:t>kV</w:t>
            </w:r>
            <w:r>
              <w:rPr>
                <w:spacing w:val="1"/>
                <w:sz w:val="21"/>
                <w:szCs w:val="21"/>
              </w:rPr>
              <w:t>验电手车</w:t>
            </w:r>
          </w:p>
        </w:tc>
        <w:tc>
          <w:tcPr>
            <w:tcW w:w="1188" w:type="dxa"/>
            <w:vAlign w:val="top"/>
          </w:tcPr>
          <w:p w14:paraId="6127BB8B">
            <w:pPr>
              <w:pStyle w:val="6"/>
              <w:spacing w:before="41" w:line="210" w:lineRule="auto"/>
              <w:ind w:left="487"/>
              <w:rPr>
                <w:sz w:val="21"/>
                <w:szCs w:val="21"/>
              </w:rPr>
            </w:pPr>
            <w:r>
              <w:rPr>
                <w:sz w:val="21"/>
                <w:szCs w:val="21"/>
              </w:rPr>
              <w:t>台</w:t>
            </w:r>
          </w:p>
        </w:tc>
        <w:tc>
          <w:tcPr>
            <w:tcW w:w="1009" w:type="dxa"/>
            <w:vAlign w:val="top"/>
          </w:tcPr>
          <w:p w14:paraId="3531E995">
            <w:pPr>
              <w:pStyle w:val="6"/>
              <w:spacing w:before="59" w:line="194" w:lineRule="auto"/>
              <w:ind w:left="288"/>
              <w:rPr>
                <w:sz w:val="21"/>
                <w:szCs w:val="21"/>
              </w:rPr>
            </w:pPr>
            <w:r>
              <w:rPr>
                <w:spacing w:val="-5"/>
                <w:sz w:val="21"/>
                <w:szCs w:val="21"/>
              </w:rPr>
              <w:t>1.00</w:t>
            </w:r>
          </w:p>
        </w:tc>
        <w:tc>
          <w:tcPr>
            <w:tcW w:w="774" w:type="dxa"/>
            <w:vAlign w:val="top"/>
          </w:tcPr>
          <w:p w14:paraId="3156721F">
            <w:pPr>
              <w:rPr>
                <w:rFonts w:ascii="Arial"/>
                <w:sz w:val="21"/>
              </w:rPr>
            </w:pPr>
          </w:p>
        </w:tc>
      </w:tr>
      <w:tr w14:paraId="6AE66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153" w:type="dxa"/>
            <w:vAlign w:val="top"/>
          </w:tcPr>
          <w:p w14:paraId="2B594C87">
            <w:pPr>
              <w:pStyle w:val="6"/>
              <w:spacing w:before="79" w:line="211" w:lineRule="auto"/>
              <w:ind w:left="305"/>
              <w:rPr>
                <w:sz w:val="21"/>
                <w:szCs w:val="21"/>
              </w:rPr>
            </w:pPr>
            <w:r>
              <w:rPr>
                <w:spacing w:val="-2"/>
                <w:sz w:val="21"/>
                <w:szCs w:val="21"/>
              </w:rPr>
              <w:t>2.3.9</w:t>
            </w:r>
          </w:p>
        </w:tc>
        <w:tc>
          <w:tcPr>
            <w:tcW w:w="4365" w:type="dxa"/>
            <w:vAlign w:val="top"/>
          </w:tcPr>
          <w:p w14:paraId="6FB96D56">
            <w:pPr>
              <w:pStyle w:val="6"/>
              <w:spacing w:before="58" w:line="219" w:lineRule="auto"/>
              <w:ind w:left="1541"/>
              <w:rPr>
                <w:sz w:val="21"/>
                <w:szCs w:val="21"/>
              </w:rPr>
            </w:pPr>
            <w:r>
              <w:rPr>
                <w:spacing w:val="1"/>
                <w:sz w:val="21"/>
                <w:szCs w:val="21"/>
              </w:rPr>
              <w:t>35</w:t>
            </w:r>
            <w:r>
              <w:rPr>
                <w:sz w:val="21"/>
                <w:szCs w:val="21"/>
              </w:rPr>
              <w:t>kV</w:t>
            </w:r>
            <w:r>
              <w:rPr>
                <w:spacing w:val="1"/>
                <w:sz w:val="21"/>
                <w:szCs w:val="21"/>
              </w:rPr>
              <w:t>检修手车</w:t>
            </w:r>
          </w:p>
        </w:tc>
        <w:tc>
          <w:tcPr>
            <w:tcW w:w="1188" w:type="dxa"/>
            <w:vAlign w:val="top"/>
          </w:tcPr>
          <w:p w14:paraId="324BC230">
            <w:pPr>
              <w:pStyle w:val="6"/>
              <w:spacing w:before="61" w:line="221" w:lineRule="auto"/>
              <w:ind w:left="487"/>
              <w:rPr>
                <w:sz w:val="21"/>
                <w:szCs w:val="21"/>
              </w:rPr>
            </w:pPr>
            <w:r>
              <w:rPr>
                <w:sz w:val="21"/>
                <w:szCs w:val="21"/>
              </w:rPr>
              <w:t>台</w:t>
            </w:r>
          </w:p>
        </w:tc>
        <w:tc>
          <w:tcPr>
            <w:tcW w:w="1009" w:type="dxa"/>
            <w:vAlign w:val="top"/>
          </w:tcPr>
          <w:p w14:paraId="464714BC">
            <w:pPr>
              <w:pStyle w:val="6"/>
              <w:spacing w:before="79" w:line="211" w:lineRule="auto"/>
              <w:ind w:left="288"/>
              <w:rPr>
                <w:sz w:val="21"/>
                <w:szCs w:val="21"/>
              </w:rPr>
            </w:pPr>
            <w:r>
              <w:rPr>
                <w:spacing w:val="-5"/>
                <w:sz w:val="21"/>
                <w:szCs w:val="21"/>
              </w:rPr>
              <w:t>1.00</w:t>
            </w:r>
          </w:p>
        </w:tc>
        <w:tc>
          <w:tcPr>
            <w:tcW w:w="774" w:type="dxa"/>
            <w:vAlign w:val="top"/>
          </w:tcPr>
          <w:p w14:paraId="7FAB6912">
            <w:pPr>
              <w:rPr>
                <w:rFonts w:ascii="Arial"/>
                <w:sz w:val="21"/>
              </w:rPr>
            </w:pPr>
          </w:p>
        </w:tc>
      </w:tr>
      <w:tr w14:paraId="64E04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153" w:type="dxa"/>
            <w:vAlign w:val="top"/>
          </w:tcPr>
          <w:p w14:paraId="5A0100A8">
            <w:pPr>
              <w:pStyle w:val="6"/>
              <w:spacing w:before="229" w:line="239" w:lineRule="auto"/>
              <w:ind w:left="254"/>
              <w:rPr>
                <w:sz w:val="21"/>
                <w:szCs w:val="21"/>
              </w:rPr>
            </w:pPr>
            <w:r>
              <w:rPr>
                <w:spacing w:val="-2"/>
                <w:sz w:val="21"/>
                <w:szCs w:val="21"/>
              </w:rPr>
              <w:t>2.3.10</w:t>
            </w:r>
          </w:p>
        </w:tc>
        <w:tc>
          <w:tcPr>
            <w:tcW w:w="4365" w:type="dxa"/>
            <w:vAlign w:val="top"/>
          </w:tcPr>
          <w:p w14:paraId="01D4BCDC">
            <w:pPr>
              <w:pStyle w:val="6"/>
              <w:spacing w:before="58" w:line="219" w:lineRule="auto"/>
              <w:ind w:left="121"/>
              <w:rPr>
                <w:sz w:val="21"/>
                <w:szCs w:val="21"/>
              </w:rPr>
            </w:pPr>
            <w:r>
              <w:rPr>
                <w:sz w:val="21"/>
                <w:szCs w:val="21"/>
              </w:rPr>
              <w:t>全绝缘管母-2000A(含支架、绝缘子、避雷器</w:t>
            </w:r>
          </w:p>
          <w:p w14:paraId="72FFAA65">
            <w:pPr>
              <w:pStyle w:val="6"/>
              <w:spacing w:before="69" w:line="212" w:lineRule="auto"/>
              <w:ind w:left="1592"/>
              <w:rPr>
                <w:sz w:val="21"/>
                <w:szCs w:val="21"/>
              </w:rPr>
            </w:pPr>
            <w:r>
              <w:rPr>
                <w:spacing w:val="8"/>
                <w:sz w:val="21"/>
                <w:szCs w:val="21"/>
              </w:rPr>
              <w:t>等成套附件)</w:t>
            </w:r>
          </w:p>
        </w:tc>
        <w:tc>
          <w:tcPr>
            <w:tcW w:w="1188" w:type="dxa"/>
            <w:vAlign w:val="top"/>
          </w:tcPr>
          <w:p w14:paraId="79DD7ABE">
            <w:pPr>
              <w:pStyle w:val="6"/>
              <w:spacing w:before="208" w:line="219" w:lineRule="auto"/>
              <w:ind w:left="487"/>
              <w:rPr>
                <w:sz w:val="21"/>
                <w:szCs w:val="21"/>
              </w:rPr>
            </w:pPr>
            <w:r>
              <w:rPr>
                <w:sz w:val="21"/>
                <w:szCs w:val="21"/>
              </w:rPr>
              <w:t>米</w:t>
            </w:r>
          </w:p>
        </w:tc>
        <w:tc>
          <w:tcPr>
            <w:tcW w:w="1009" w:type="dxa"/>
            <w:vAlign w:val="top"/>
          </w:tcPr>
          <w:p w14:paraId="45CFBD41">
            <w:pPr>
              <w:pStyle w:val="6"/>
              <w:spacing w:before="229" w:line="239" w:lineRule="auto"/>
              <w:ind w:left="238"/>
              <w:rPr>
                <w:sz w:val="21"/>
                <w:szCs w:val="21"/>
              </w:rPr>
            </w:pPr>
            <w:r>
              <w:rPr>
                <w:spacing w:val="-2"/>
                <w:sz w:val="21"/>
                <w:szCs w:val="21"/>
              </w:rPr>
              <w:t>45.00</w:t>
            </w:r>
          </w:p>
        </w:tc>
        <w:tc>
          <w:tcPr>
            <w:tcW w:w="774" w:type="dxa"/>
            <w:vAlign w:val="top"/>
          </w:tcPr>
          <w:p w14:paraId="244598D1">
            <w:pPr>
              <w:rPr>
                <w:rFonts w:ascii="Arial"/>
                <w:sz w:val="21"/>
              </w:rPr>
            </w:pPr>
          </w:p>
        </w:tc>
      </w:tr>
      <w:tr w14:paraId="18EBF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53" w:type="dxa"/>
            <w:vAlign w:val="top"/>
          </w:tcPr>
          <w:p w14:paraId="46973529">
            <w:pPr>
              <w:pStyle w:val="6"/>
              <w:spacing w:before="70" w:line="193" w:lineRule="auto"/>
              <w:ind w:left="254"/>
              <w:rPr>
                <w:sz w:val="21"/>
                <w:szCs w:val="21"/>
              </w:rPr>
            </w:pPr>
            <w:r>
              <w:rPr>
                <w:spacing w:val="-2"/>
                <w:sz w:val="21"/>
                <w:szCs w:val="21"/>
              </w:rPr>
              <w:t>2.3.11</w:t>
            </w:r>
          </w:p>
        </w:tc>
        <w:tc>
          <w:tcPr>
            <w:tcW w:w="4365" w:type="dxa"/>
            <w:vAlign w:val="top"/>
          </w:tcPr>
          <w:p w14:paraId="0A86F1DF">
            <w:pPr>
              <w:pStyle w:val="6"/>
              <w:spacing w:before="48" w:line="212" w:lineRule="auto"/>
              <w:ind w:left="701"/>
              <w:rPr>
                <w:sz w:val="21"/>
                <w:szCs w:val="21"/>
              </w:rPr>
            </w:pPr>
            <w:r>
              <w:rPr>
                <w:sz w:val="21"/>
                <w:szCs w:val="21"/>
              </w:rPr>
              <w:t>35kV预制舱(17*6.8*4.3)含配套</w:t>
            </w:r>
          </w:p>
        </w:tc>
        <w:tc>
          <w:tcPr>
            <w:tcW w:w="1188" w:type="dxa"/>
            <w:vAlign w:val="top"/>
          </w:tcPr>
          <w:p w14:paraId="1AB06268">
            <w:pPr>
              <w:pStyle w:val="6"/>
              <w:spacing w:before="49" w:line="211" w:lineRule="auto"/>
              <w:ind w:left="487"/>
              <w:rPr>
                <w:sz w:val="21"/>
                <w:szCs w:val="21"/>
              </w:rPr>
            </w:pPr>
            <w:r>
              <w:rPr>
                <w:sz w:val="21"/>
                <w:szCs w:val="21"/>
              </w:rPr>
              <w:t>套</w:t>
            </w:r>
          </w:p>
        </w:tc>
        <w:tc>
          <w:tcPr>
            <w:tcW w:w="1009" w:type="dxa"/>
            <w:vAlign w:val="top"/>
          </w:tcPr>
          <w:p w14:paraId="57EE23A4">
            <w:pPr>
              <w:pStyle w:val="6"/>
              <w:spacing w:before="70" w:line="193" w:lineRule="auto"/>
              <w:ind w:left="288"/>
              <w:rPr>
                <w:sz w:val="21"/>
                <w:szCs w:val="21"/>
              </w:rPr>
            </w:pPr>
            <w:r>
              <w:rPr>
                <w:spacing w:val="-5"/>
                <w:sz w:val="21"/>
                <w:szCs w:val="21"/>
              </w:rPr>
              <w:t>1.00</w:t>
            </w:r>
          </w:p>
        </w:tc>
        <w:tc>
          <w:tcPr>
            <w:tcW w:w="774" w:type="dxa"/>
            <w:vAlign w:val="top"/>
          </w:tcPr>
          <w:p w14:paraId="474FC6F3">
            <w:pPr>
              <w:rPr>
                <w:rFonts w:ascii="Arial"/>
                <w:sz w:val="21"/>
              </w:rPr>
            </w:pPr>
          </w:p>
        </w:tc>
      </w:tr>
      <w:tr w14:paraId="62BEC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153" w:type="dxa"/>
            <w:vAlign w:val="top"/>
          </w:tcPr>
          <w:p w14:paraId="2CB2BE27">
            <w:pPr>
              <w:pStyle w:val="6"/>
              <w:spacing w:before="160" w:line="239" w:lineRule="auto"/>
              <w:ind w:left="404"/>
              <w:rPr>
                <w:sz w:val="21"/>
                <w:szCs w:val="21"/>
              </w:rPr>
            </w:pPr>
            <w:r>
              <w:rPr>
                <w:spacing w:val="-3"/>
                <w:sz w:val="21"/>
                <w:szCs w:val="21"/>
              </w:rPr>
              <w:t>2.4</w:t>
            </w:r>
          </w:p>
        </w:tc>
        <w:tc>
          <w:tcPr>
            <w:tcW w:w="4365" w:type="dxa"/>
            <w:vAlign w:val="top"/>
          </w:tcPr>
          <w:p w14:paraId="7A0B590D">
            <w:pPr>
              <w:pStyle w:val="6"/>
              <w:spacing w:before="140" w:line="220" w:lineRule="auto"/>
              <w:ind w:left="1022"/>
              <w:rPr>
                <w:sz w:val="21"/>
                <w:szCs w:val="21"/>
              </w:rPr>
            </w:pPr>
            <w:r>
              <w:rPr>
                <w:spacing w:val="-1"/>
                <w:sz w:val="21"/>
                <w:szCs w:val="21"/>
              </w:rPr>
              <w:t>无功补偿系统设备及安装</w:t>
            </w:r>
          </w:p>
        </w:tc>
        <w:tc>
          <w:tcPr>
            <w:tcW w:w="1188" w:type="dxa"/>
            <w:vAlign w:val="top"/>
          </w:tcPr>
          <w:p w14:paraId="2B261940">
            <w:pPr>
              <w:rPr>
                <w:rFonts w:ascii="Arial"/>
                <w:sz w:val="21"/>
              </w:rPr>
            </w:pPr>
          </w:p>
        </w:tc>
        <w:tc>
          <w:tcPr>
            <w:tcW w:w="1009" w:type="dxa"/>
            <w:vAlign w:val="top"/>
          </w:tcPr>
          <w:p w14:paraId="682E08BA">
            <w:pPr>
              <w:rPr>
                <w:rFonts w:ascii="Arial"/>
                <w:sz w:val="21"/>
              </w:rPr>
            </w:pPr>
          </w:p>
        </w:tc>
        <w:tc>
          <w:tcPr>
            <w:tcW w:w="774" w:type="dxa"/>
            <w:vAlign w:val="top"/>
          </w:tcPr>
          <w:p w14:paraId="085565D9">
            <w:pPr>
              <w:rPr>
                <w:rFonts w:ascii="Arial"/>
                <w:sz w:val="21"/>
              </w:rPr>
            </w:pPr>
          </w:p>
        </w:tc>
      </w:tr>
      <w:tr w14:paraId="31FE2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153" w:type="dxa"/>
            <w:vAlign w:val="top"/>
          </w:tcPr>
          <w:p w14:paraId="56C27988">
            <w:pPr>
              <w:pStyle w:val="6"/>
              <w:spacing w:before="230" w:line="239" w:lineRule="auto"/>
              <w:ind w:left="305"/>
              <w:rPr>
                <w:sz w:val="21"/>
                <w:szCs w:val="21"/>
              </w:rPr>
            </w:pPr>
            <w:r>
              <w:rPr>
                <w:spacing w:val="-2"/>
                <w:sz w:val="21"/>
                <w:szCs w:val="21"/>
              </w:rPr>
              <w:t>2.4.1</w:t>
            </w:r>
          </w:p>
        </w:tc>
        <w:tc>
          <w:tcPr>
            <w:tcW w:w="4365" w:type="dxa"/>
            <w:vAlign w:val="top"/>
          </w:tcPr>
          <w:p w14:paraId="1AF79D76">
            <w:pPr>
              <w:pStyle w:val="6"/>
              <w:spacing w:before="59" w:line="242" w:lineRule="auto"/>
              <w:ind w:left="1171" w:right="250" w:hanging="939"/>
              <w:rPr>
                <w:sz w:val="21"/>
                <w:szCs w:val="21"/>
              </w:rPr>
            </w:pPr>
            <w:r>
              <w:rPr>
                <w:spacing w:val="-1"/>
                <w:sz w:val="21"/>
                <w:szCs w:val="21"/>
              </w:rPr>
              <w:t>35kV SVG型动态无功补偿成套装置(直挂水</w:t>
            </w:r>
            <w:r>
              <w:rPr>
                <w:spacing w:val="9"/>
                <w:sz w:val="21"/>
                <w:szCs w:val="21"/>
              </w:rPr>
              <w:t xml:space="preserve"> </w:t>
            </w:r>
            <w:r>
              <w:rPr>
                <w:spacing w:val="1"/>
                <w:sz w:val="21"/>
                <w:szCs w:val="21"/>
              </w:rPr>
              <w:t>冷)容量：±12.5</w:t>
            </w:r>
            <w:r>
              <w:rPr>
                <w:sz w:val="21"/>
                <w:szCs w:val="21"/>
              </w:rPr>
              <w:t>Mvar</w:t>
            </w:r>
          </w:p>
        </w:tc>
        <w:tc>
          <w:tcPr>
            <w:tcW w:w="1188" w:type="dxa"/>
            <w:vAlign w:val="top"/>
          </w:tcPr>
          <w:p w14:paraId="23942009">
            <w:pPr>
              <w:pStyle w:val="6"/>
              <w:spacing w:before="210" w:line="220" w:lineRule="auto"/>
              <w:ind w:left="487"/>
              <w:rPr>
                <w:sz w:val="21"/>
                <w:szCs w:val="21"/>
              </w:rPr>
            </w:pPr>
            <w:r>
              <w:rPr>
                <w:sz w:val="21"/>
                <w:szCs w:val="21"/>
              </w:rPr>
              <w:t>套</w:t>
            </w:r>
          </w:p>
        </w:tc>
        <w:tc>
          <w:tcPr>
            <w:tcW w:w="1009" w:type="dxa"/>
            <w:vAlign w:val="top"/>
          </w:tcPr>
          <w:p w14:paraId="4237BEFE">
            <w:pPr>
              <w:pStyle w:val="6"/>
              <w:spacing w:before="230" w:line="239" w:lineRule="auto"/>
              <w:ind w:left="288"/>
              <w:rPr>
                <w:sz w:val="21"/>
                <w:szCs w:val="21"/>
              </w:rPr>
            </w:pPr>
            <w:r>
              <w:rPr>
                <w:spacing w:val="-5"/>
                <w:sz w:val="21"/>
                <w:szCs w:val="21"/>
              </w:rPr>
              <w:t>1.00</w:t>
            </w:r>
          </w:p>
        </w:tc>
        <w:tc>
          <w:tcPr>
            <w:tcW w:w="774" w:type="dxa"/>
            <w:vAlign w:val="top"/>
          </w:tcPr>
          <w:p w14:paraId="1D7A4CCE">
            <w:pPr>
              <w:rPr>
                <w:rFonts w:ascii="Arial"/>
                <w:sz w:val="21"/>
              </w:rPr>
            </w:pPr>
          </w:p>
        </w:tc>
      </w:tr>
      <w:tr w14:paraId="6ADB6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53" w:type="dxa"/>
            <w:vAlign w:val="top"/>
          </w:tcPr>
          <w:p w14:paraId="7A4DE3F5">
            <w:pPr>
              <w:pStyle w:val="6"/>
              <w:spacing w:before="80" w:line="202" w:lineRule="auto"/>
              <w:ind w:left="404"/>
              <w:rPr>
                <w:sz w:val="21"/>
                <w:szCs w:val="21"/>
              </w:rPr>
            </w:pPr>
            <w:r>
              <w:rPr>
                <w:spacing w:val="-3"/>
                <w:sz w:val="21"/>
                <w:szCs w:val="21"/>
              </w:rPr>
              <w:t>2.5</w:t>
            </w:r>
          </w:p>
        </w:tc>
        <w:tc>
          <w:tcPr>
            <w:tcW w:w="4365" w:type="dxa"/>
            <w:vAlign w:val="top"/>
          </w:tcPr>
          <w:p w14:paraId="455D7008">
            <w:pPr>
              <w:pStyle w:val="6"/>
              <w:spacing w:before="59" w:line="220" w:lineRule="auto"/>
              <w:ind w:left="1332"/>
              <w:rPr>
                <w:sz w:val="21"/>
                <w:szCs w:val="21"/>
              </w:rPr>
            </w:pPr>
            <w:r>
              <w:rPr>
                <w:spacing w:val="-1"/>
                <w:sz w:val="21"/>
                <w:szCs w:val="21"/>
              </w:rPr>
              <w:t>站用电设备及安装</w:t>
            </w:r>
          </w:p>
        </w:tc>
        <w:tc>
          <w:tcPr>
            <w:tcW w:w="1188" w:type="dxa"/>
            <w:vAlign w:val="top"/>
          </w:tcPr>
          <w:p w14:paraId="1B713927">
            <w:pPr>
              <w:rPr>
                <w:rFonts w:ascii="Arial"/>
                <w:sz w:val="21"/>
              </w:rPr>
            </w:pPr>
          </w:p>
        </w:tc>
        <w:tc>
          <w:tcPr>
            <w:tcW w:w="1009" w:type="dxa"/>
            <w:vAlign w:val="top"/>
          </w:tcPr>
          <w:p w14:paraId="4B4F1320">
            <w:pPr>
              <w:rPr>
                <w:rFonts w:ascii="Arial"/>
                <w:sz w:val="21"/>
              </w:rPr>
            </w:pPr>
          </w:p>
        </w:tc>
        <w:tc>
          <w:tcPr>
            <w:tcW w:w="774" w:type="dxa"/>
            <w:vAlign w:val="top"/>
          </w:tcPr>
          <w:p w14:paraId="10812E58">
            <w:pPr>
              <w:rPr>
                <w:rFonts w:ascii="Arial"/>
                <w:sz w:val="21"/>
              </w:rPr>
            </w:pPr>
          </w:p>
        </w:tc>
      </w:tr>
      <w:tr w14:paraId="0DBDB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153" w:type="dxa"/>
            <w:vAlign w:val="top"/>
          </w:tcPr>
          <w:p w14:paraId="4E9B7ABC">
            <w:pPr>
              <w:spacing w:line="310" w:lineRule="auto"/>
              <w:rPr>
                <w:rFonts w:ascii="Arial"/>
                <w:sz w:val="21"/>
              </w:rPr>
            </w:pPr>
          </w:p>
          <w:p w14:paraId="6D38AA3F">
            <w:pPr>
              <w:pStyle w:val="6"/>
              <w:spacing w:before="68" w:line="239" w:lineRule="auto"/>
              <w:ind w:left="305"/>
              <w:rPr>
                <w:sz w:val="21"/>
                <w:szCs w:val="21"/>
              </w:rPr>
            </w:pPr>
            <w:r>
              <w:rPr>
                <w:spacing w:val="-2"/>
                <w:sz w:val="21"/>
                <w:szCs w:val="21"/>
              </w:rPr>
              <w:t>2.5.2</w:t>
            </w:r>
          </w:p>
        </w:tc>
        <w:tc>
          <w:tcPr>
            <w:tcW w:w="4365" w:type="dxa"/>
            <w:vAlign w:val="top"/>
          </w:tcPr>
          <w:p w14:paraId="61A385C5">
            <w:pPr>
              <w:pStyle w:val="6"/>
              <w:spacing w:before="40" w:line="220" w:lineRule="auto"/>
              <w:ind w:left="701"/>
              <w:rPr>
                <w:sz w:val="21"/>
                <w:szCs w:val="21"/>
              </w:rPr>
            </w:pPr>
            <w:r>
              <w:rPr>
                <w:spacing w:val="-1"/>
                <w:sz w:val="21"/>
                <w:szCs w:val="21"/>
              </w:rPr>
              <w:t>35kV站用接地变小电阻成套装置</w:t>
            </w:r>
          </w:p>
          <w:p w14:paraId="455058FB">
            <w:pPr>
              <w:pStyle w:val="6"/>
              <w:spacing w:before="86" w:line="216" w:lineRule="auto"/>
              <w:ind w:left="71"/>
              <w:rPr>
                <w:sz w:val="21"/>
                <w:szCs w:val="21"/>
              </w:rPr>
            </w:pPr>
            <w:r>
              <w:rPr>
                <w:sz w:val="21"/>
                <w:szCs w:val="21"/>
              </w:rPr>
              <w:t>DKSC-700/35-400/0.4kV,37±2×2.5%/</w:t>
            </w:r>
            <w:r>
              <w:rPr>
                <w:spacing w:val="-1"/>
                <w:sz w:val="21"/>
                <w:szCs w:val="21"/>
              </w:rPr>
              <w:t>0.4kV;</w:t>
            </w:r>
          </w:p>
          <w:p w14:paraId="0892C59E">
            <w:pPr>
              <w:pStyle w:val="6"/>
              <w:spacing w:before="54" w:line="213" w:lineRule="auto"/>
              <w:ind w:left="601"/>
              <w:rPr>
                <w:sz w:val="21"/>
                <w:szCs w:val="21"/>
              </w:rPr>
            </w:pPr>
            <w:r>
              <w:rPr>
                <w:spacing w:val="2"/>
                <w:sz w:val="21"/>
                <w:szCs w:val="21"/>
              </w:rPr>
              <w:t>电阻器</w:t>
            </w:r>
            <w:r>
              <w:rPr>
                <w:sz w:val="21"/>
                <w:szCs w:val="21"/>
              </w:rPr>
              <w:t>THT</w:t>
            </w:r>
            <w:r>
              <w:rPr>
                <w:spacing w:val="2"/>
                <w:sz w:val="21"/>
                <w:szCs w:val="21"/>
              </w:rPr>
              <w:t>-</w:t>
            </w:r>
            <w:r>
              <w:rPr>
                <w:sz w:val="21"/>
                <w:szCs w:val="21"/>
              </w:rPr>
              <w:t>ZT</w:t>
            </w:r>
            <w:r>
              <w:rPr>
                <w:spacing w:val="2"/>
                <w:sz w:val="21"/>
                <w:szCs w:val="21"/>
              </w:rPr>
              <w:t>-37/71.2,112A(10s)</w:t>
            </w:r>
          </w:p>
        </w:tc>
        <w:tc>
          <w:tcPr>
            <w:tcW w:w="1188" w:type="dxa"/>
            <w:vAlign w:val="top"/>
          </w:tcPr>
          <w:p w14:paraId="1EDB9424">
            <w:pPr>
              <w:spacing w:line="290" w:lineRule="auto"/>
              <w:rPr>
                <w:rFonts w:ascii="Arial"/>
                <w:sz w:val="21"/>
              </w:rPr>
            </w:pPr>
          </w:p>
          <w:p w14:paraId="3E8ADD0E">
            <w:pPr>
              <w:pStyle w:val="6"/>
              <w:spacing w:before="68" w:line="220" w:lineRule="auto"/>
              <w:ind w:left="487"/>
              <w:rPr>
                <w:sz w:val="21"/>
                <w:szCs w:val="21"/>
              </w:rPr>
            </w:pPr>
            <w:r>
              <w:rPr>
                <w:sz w:val="21"/>
                <w:szCs w:val="21"/>
              </w:rPr>
              <w:t>套</w:t>
            </w:r>
          </w:p>
        </w:tc>
        <w:tc>
          <w:tcPr>
            <w:tcW w:w="1009" w:type="dxa"/>
            <w:vAlign w:val="top"/>
          </w:tcPr>
          <w:p w14:paraId="1AEF78AD">
            <w:pPr>
              <w:spacing w:line="310" w:lineRule="auto"/>
              <w:rPr>
                <w:rFonts w:ascii="Arial"/>
                <w:sz w:val="21"/>
              </w:rPr>
            </w:pPr>
          </w:p>
          <w:p w14:paraId="1B06A864">
            <w:pPr>
              <w:pStyle w:val="6"/>
              <w:spacing w:before="68" w:line="239" w:lineRule="auto"/>
              <w:ind w:left="288"/>
              <w:rPr>
                <w:sz w:val="21"/>
                <w:szCs w:val="21"/>
              </w:rPr>
            </w:pPr>
            <w:r>
              <w:rPr>
                <w:spacing w:val="-5"/>
                <w:sz w:val="21"/>
                <w:szCs w:val="21"/>
              </w:rPr>
              <w:t>1.00</w:t>
            </w:r>
          </w:p>
        </w:tc>
        <w:tc>
          <w:tcPr>
            <w:tcW w:w="774" w:type="dxa"/>
            <w:vAlign w:val="top"/>
          </w:tcPr>
          <w:p w14:paraId="3C13F9D3">
            <w:pPr>
              <w:rPr>
                <w:rFonts w:ascii="Arial"/>
                <w:sz w:val="21"/>
              </w:rPr>
            </w:pPr>
          </w:p>
        </w:tc>
      </w:tr>
      <w:tr w14:paraId="41788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153" w:type="dxa"/>
            <w:vAlign w:val="top"/>
          </w:tcPr>
          <w:p w14:paraId="037681CA">
            <w:pPr>
              <w:pStyle w:val="6"/>
              <w:spacing w:before="231" w:line="239" w:lineRule="auto"/>
              <w:ind w:left="305"/>
              <w:rPr>
                <w:sz w:val="21"/>
                <w:szCs w:val="21"/>
              </w:rPr>
            </w:pPr>
            <w:r>
              <w:rPr>
                <w:spacing w:val="-2"/>
                <w:sz w:val="21"/>
                <w:szCs w:val="21"/>
              </w:rPr>
              <w:t>2.5.3</w:t>
            </w:r>
          </w:p>
        </w:tc>
        <w:tc>
          <w:tcPr>
            <w:tcW w:w="4365" w:type="dxa"/>
            <w:vAlign w:val="top"/>
          </w:tcPr>
          <w:p w14:paraId="7CC8FE50">
            <w:pPr>
              <w:pStyle w:val="6"/>
              <w:spacing w:before="57" w:line="247" w:lineRule="auto"/>
              <w:ind w:left="1071" w:right="418" w:hanging="910"/>
              <w:rPr>
                <w:sz w:val="21"/>
                <w:szCs w:val="21"/>
              </w:rPr>
            </w:pPr>
            <w:r>
              <w:rPr>
                <w:sz w:val="21"/>
                <w:szCs w:val="21"/>
              </w:rPr>
              <w:t>施工变压器S13-10kV/400kV</w:t>
            </w:r>
            <w:r>
              <w:rPr>
                <w:spacing w:val="-1"/>
                <w:sz w:val="21"/>
                <w:szCs w:val="21"/>
              </w:rPr>
              <w:t>A,含断路器，</w:t>
            </w:r>
            <w:r>
              <w:rPr>
                <w:sz w:val="21"/>
                <w:szCs w:val="21"/>
              </w:rPr>
              <w:t xml:space="preserve"> </w:t>
            </w:r>
            <w:r>
              <w:rPr>
                <w:spacing w:val="2"/>
                <w:sz w:val="21"/>
                <w:szCs w:val="21"/>
              </w:rPr>
              <w:t>隔离开关，避雷器各3只</w:t>
            </w:r>
          </w:p>
        </w:tc>
        <w:tc>
          <w:tcPr>
            <w:tcW w:w="1188" w:type="dxa"/>
            <w:vAlign w:val="top"/>
          </w:tcPr>
          <w:p w14:paraId="57FB4381">
            <w:pPr>
              <w:pStyle w:val="6"/>
              <w:spacing w:before="211" w:line="220" w:lineRule="auto"/>
              <w:ind w:left="487"/>
              <w:rPr>
                <w:sz w:val="21"/>
                <w:szCs w:val="21"/>
              </w:rPr>
            </w:pPr>
            <w:r>
              <w:rPr>
                <w:sz w:val="21"/>
                <w:szCs w:val="21"/>
              </w:rPr>
              <w:t>套</w:t>
            </w:r>
          </w:p>
        </w:tc>
        <w:tc>
          <w:tcPr>
            <w:tcW w:w="1009" w:type="dxa"/>
            <w:vAlign w:val="top"/>
          </w:tcPr>
          <w:p w14:paraId="098C8CAD">
            <w:pPr>
              <w:pStyle w:val="6"/>
              <w:spacing w:before="231" w:line="239" w:lineRule="auto"/>
              <w:ind w:left="288"/>
              <w:rPr>
                <w:sz w:val="21"/>
                <w:szCs w:val="21"/>
              </w:rPr>
            </w:pPr>
            <w:r>
              <w:rPr>
                <w:spacing w:val="-5"/>
                <w:sz w:val="21"/>
                <w:szCs w:val="21"/>
              </w:rPr>
              <w:t>1.00</w:t>
            </w:r>
          </w:p>
        </w:tc>
        <w:tc>
          <w:tcPr>
            <w:tcW w:w="774" w:type="dxa"/>
            <w:vAlign w:val="top"/>
          </w:tcPr>
          <w:p w14:paraId="28B1451F">
            <w:pPr>
              <w:rPr>
                <w:rFonts w:ascii="Arial"/>
                <w:sz w:val="21"/>
              </w:rPr>
            </w:pPr>
          </w:p>
        </w:tc>
      </w:tr>
      <w:tr w14:paraId="115D6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53" w:type="dxa"/>
            <w:vAlign w:val="top"/>
          </w:tcPr>
          <w:p w14:paraId="134482C7">
            <w:pPr>
              <w:pStyle w:val="6"/>
              <w:spacing w:before="72" w:line="191" w:lineRule="auto"/>
              <w:ind w:left="404"/>
              <w:rPr>
                <w:sz w:val="21"/>
                <w:szCs w:val="21"/>
              </w:rPr>
            </w:pPr>
            <w:r>
              <w:rPr>
                <w:spacing w:val="-3"/>
                <w:sz w:val="21"/>
                <w:szCs w:val="21"/>
              </w:rPr>
              <w:t>2.6</w:t>
            </w:r>
          </w:p>
        </w:tc>
        <w:tc>
          <w:tcPr>
            <w:tcW w:w="4365" w:type="dxa"/>
            <w:vAlign w:val="top"/>
          </w:tcPr>
          <w:p w14:paraId="31F3601C">
            <w:pPr>
              <w:pStyle w:val="6"/>
              <w:spacing w:before="51" w:line="210" w:lineRule="auto"/>
              <w:ind w:left="1231"/>
              <w:rPr>
                <w:sz w:val="21"/>
                <w:szCs w:val="21"/>
              </w:rPr>
            </w:pPr>
            <w:r>
              <w:rPr>
                <w:sz w:val="21"/>
                <w:szCs w:val="21"/>
              </w:rPr>
              <w:t>电力电缆敷设及防火</w:t>
            </w:r>
          </w:p>
        </w:tc>
        <w:tc>
          <w:tcPr>
            <w:tcW w:w="1188" w:type="dxa"/>
            <w:vAlign w:val="top"/>
          </w:tcPr>
          <w:p w14:paraId="1B27D66D">
            <w:pPr>
              <w:rPr>
                <w:rFonts w:ascii="Arial"/>
                <w:sz w:val="21"/>
              </w:rPr>
            </w:pPr>
          </w:p>
        </w:tc>
        <w:tc>
          <w:tcPr>
            <w:tcW w:w="1009" w:type="dxa"/>
            <w:vAlign w:val="top"/>
          </w:tcPr>
          <w:p w14:paraId="6E275248">
            <w:pPr>
              <w:rPr>
                <w:rFonts w:ascii="Arial"/>
                <w:sz w:val="21"/>
              </w:rPr>
            </w:pPr>
          </w:p>
        </w:tc>
        <w:tc>
          <w:tcPr>
            <w:tcW w:w="774" w:type="dxa"/>
            <w:vAlign w:val="top"/>
          </w:tcPr>
          <w:p w14:paraId="00F5B3DF">
            <w:pPr>
              <w:rPr>
                <w:rFonts w:ascii="Arial"/>
                <w:sz w:val="21"/>
              </w:rPr>
            </w:pPr>
          </w:p>
        </w:tc>
      </w:tr>
      <w:tr w14:paraId="68572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153" w:type="dxa"/>
            <w:vAlign w:val="top"/>
          </w:tcPr>
          <w:p w14:paraId="1B57B421">
            <w:pPr>
              <w:pStyle w:val="6"/>
              <w:spacing w:before="232" w:line="239" w:lineRule="auto"/>
              <w:ind w:left="305"/>
              <w:rPr>
                <w:sz w:val="21"/>
                <w:szCs w:val="21"/>
              </w:rPr>
            </w:pPr>
            <w:r>
              <w:rPr>
                <w:spacing w:val="-2"/>
                <w:sz w:val="21"/>
                <w:szCs w:val="21"/>
              </w:rPr>
              <w:t>2.6.1</w:t>
            </w:r>
          </w:p>
        </w:tc>
        <w:tc>
          <w:tcPr>
            <w:tcW w:w="4365" w:type="dxa"/>
            <w:vAlign w:val="top"/>
          </w:tcPr>
          <w:p w14:paraId="40D7417B">
            <w:pPr>
              <w:pStyle w:val="6"/>
              <w:spacing w:before="71" w:line="219" w:lineRule="auto"/>
              <w:ind w:left="1541"/>
              <w:rPr>
                <w:sz w:val="21"/>
                <w:szCs w:val="21"/>
              </w:rPr>
            </w:pPr>
            <w:r>
              <w:rPr>
                <w:spacing w:val="1"/>
                <w:sz w:val="21"/>
                <w:szCs w:val="21"/>
              </w:rPr>
              <w:t>高压电力电缆</w:t>
            </w:r>
          </w:p>
          <w:p w14:paraId="171183C3">
            <w:pPr>
              <w:pStyle w:val="6"/>
              <w:spacing w:before="68" w:line="194" w:lineRule="auto"/>
              <w:ind w:left="752"/>
              <w:rPr>
                <w:sz w:val="21"/>
                <w:szCs w:val="21"/>
              </w:rPr>
            </w:pPr>
            <w:r>
              <w:rPr>
                <w:spacing w:val="-1"/>
                <w:sz w:val="21"/>
                <w:szCs w:val="21"/>
              </w:rPr>
              <w:t>ZRA-YJV22-26/35KV-3×185mm2</w:t>
            </w:r>
          </w:p>
        </w:tc>
        <w:tc>
          <w:tcPr>
            <w:tcW w:w="1188" w:type="dxa"/>
            <w:vAlign w:val="top"/>
          </w:tcPr>
          <w:p w14:paraId="33303DE3">
            <w:pPr>
              <w:pStyle w:val="6"/>
              <w:spacing w:before="211" w:line="219" w:lineRule="auto"/>
              <w:ind w:left="487"/>
              <w:rPr>
                <w:sz w:val="21"/>
                <w:szCs w:val="21"/>
              </w:rPr>
            </w:pPr>
            <w:r>
              <w:rPr>
                <w:sz w:val="21"/>
                <w:szCs w:val="21"/>
              </w:rPr>
              <w:t>米</w:t>
            </w:r>
          </w:p>
        </w:tc>
        <w:tc>
          <w:tcPr>
            <w:tcW w:w="1009" w:type="dxa"/>
            <w:vAlign w:val="top"/>
          </w:tcPr>
          <w:p w14:paraId="0AF97E09">
            <w:pPr>
              <w:pStyle w:val="6"/>
              <w:spacing w:before="232" w:line="239" w:lineRule="auto"/>
              <w:ind w:left="238"/>
              <w:rPr>
                <w:sz w:val="21"/>
                <w:szCs w:val="21"/>
              </w:rPr>
            </w:pPr>
            <w:r>
              <w:rPr>
                <w:spacing w:val="-2"/>
                <w:sz w:val="21"/>
                <w:szCs w:val="21"/>
              </w:rPr>
              <w:t>50.00</w:t>
            </w:r>
          </w:p>
        </w:tc>
        <w:tc>
          <w:tcPr>
            <w:tcW w:w="774" w:type="dxa"/>
            <w:vAlign w:val="top"/>
          </w:tcPr>
          <w:p w14:paraId="26BEDC58">
            <w:pPr>
              <w:rPr>
                <w:rFonts w:ascii="Arial"/>
                <w:sz w:val="21"/>
              </w:rPr>
            </w:pPr>
          </w:p>
        </w:tc>
      </w:tr>
      <w:tr w14:paraId="0E0A6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1153" w:type="dxa"/>
            <w:vAlign w:val="top"/>
          </w:tcPr>
          <w:p w14:paraId="74B41D04">
            <w:pPr>
              <w:spacing w:line="322" w:lineRule="auto"/>
              <w:rPr>
                <w:rFonts w:ascii="Arial"/>
                <w:sz w:val="21"/>
              </w:rPr>
            </w:pPr>
          </w:p>
          <w:p w14:paraId="2049FA30">
            <w:pPr>
              <w:pStyle w:val="6"/>
              <w:spacing w:before="68" w:line="239" w:lineRule="auto"/>
              <w:ind w:left="305"/>
              <w:rPr>
                <w:sz w:val="21"/>
                <w:szCs w:val="21"/>
              </w:rPr>
            </w:pPr>
            <w:r>
              <w:rPr>
                <w:spacing w:val="-2"/>
                <w:sz w:val="21"/>
                <w:szCs w:val="21"/>
              </w:rPr>
              <w:t>2.6.2</w:t>
            </w:r>
          </w:p>
        </w:tc>
        <w:tc>
          <w:tcPr>
            <w:tcW w:w="4365" w:type="dxa"/>
            <w:vAlign w:val="top"/>
          </w:tcPr>
          <w:p w14:paraId="16B23FB8">
            <w:pPr>
              <w:pStyle w:val="6"/>
              <w:spacing w:before="61" w:line="219" w:lineRule="auto"/>
              <w:ind w:left="1231"/>
              <w:rPr>
                <w:sz w:val="21"/>
                <w:szCs w:val="21"/>
              </w:rPr>
            </w:pPr>
            <w:r>
              <w:rPr>
                <w:spacing w:val="1"/>
                <w:sz w:val="21"/>
                <w:szCs w:val="21"/>
              </w:rPr>
              <w:t>高压电力电缆终端与</w:t>
            </w:r>
          </w:p>
          <w:p w14:paraId="3291FC79">
            <w:pPr>
              <w:pStyle w:val="6"/>
              <w:spacing w:before="87" w:line="233" w:lineRule="auto"/>
              <w:ind w:left="1651" w:right="245" w:hanging="1419"/>
              <w:rPr>
                <w:sz w:val="21"/>
                <w:szCs w:val="21"/>
              </w:rPr>
            </w:pPr>
            <w:r>
              <w:rPr>
                <w:sz w:val="21"/>
                <w:szCs w:val="21"/>
              </w:rPr>
              <w:t>ZRA-YJV22-26/35kV-3×18</w:t>
            </w:r>
            <w:r>
              <w:rPr>
                <w:spacing w:val="-1"/>
                <w:sz w:val="21"/>
                <w:szCs w:val="21"/>
              </w:rPr>
              <w:t>5mm2电力电缆配</w:t>
            </w:r>
            <w:r>
              <w:rPr>
                <w:sz w:val="21"/>
                <w:szCs w:val="21"/>
              </w:rPr>
              <w:t xml:space="preserve"> </w:t>
            </w:r>
            <w:r>
              <w:rPr>
                <w:spacing w:val="2"/>
                <w:sz w:val="21"/>
                <w:szCs w:val="21"/>
              </w:rPr>
              <w:t>套，户外型</w:t>
            </w:r>
          </w:p>
        </w:tc>
        <w:tc>
          <w:tcPr>
            <w:tcW w:w="1188" w:type="dxa"/>
            <w:vAlign w:val="top"/>
          </w:tcPr>
          <w:p w14:paraId="2B45AAFC">
            <w:pPr>
              <w:spacing w:line="313" w:lineRule="auto"/>
              <w:rPr>
                <w:rFonts w:ascii="Arial"/>
                <w:sz w:val="21"/>
              </w:rPr>
            </w:pPr>
          </w:p>
          <w:p w14:paraId="1BF9B2D3">
            <w:pPr>
              <w:pStyle w:val="6"/>
              <w:spacing w:before="69" w:line="230" w:lineRule="auto"/>
              <w:ind w:left="487"/>
              <w:rPr>
                <w:sz w:val="21"/>
                <w:szCs w:val="21"/>
              </w:rPr>
            </w:pPr>
            <w:r>
              <w:rPr>
                <w:sz w:val="21"/>
                <w:szCs w:val="21"/>
              </w:rPr>
              <w:t>组</w:t>
            </w:r>
          </w:p>
        </w:tc>
        <w:tc>
          <w:tcPr>
            <w:tcW w:w="1009" w:type="dxa"/>
            <w:vAlign w:val="top"/>
          </w:tcPr>
          <w:p w14:paraId="2E20F59D">
            <w:pPr>
              <w:spacing w:line="322" w:lineRule="auto"/>
              <w:rPr>
                <w:rFonts w:ascii="Arial"/>
                <w:sz w:val="21"/>
              </w:rPr>
            </w:pPr>
          </w:p>
          <w:p w14:paraId="266AF79E">
            <w:pPr>
              <w:pStyle w:val="6"/>
              <w:spacing w:before="68" w:line="239" w:lineRule="auto"/>
              <w:ind w:left="288"/>
              <w:rPr>
                <w:sz w:val="21"/>
                <w:szCs w:val="21"/>
              </w:rPr>
            </w:pPr>
            <w:r>
              <w:rPr>
                <w:spacing w:val="-5"/>
                <w:sz w:val="21"/>
                <w:szCs w:val="21"/>
              </w:rPr>
              <w:t>1.00</w:t>
            </w:r>
          </w:p>
        </w:tc>
        <w:tc>
          <w:tcPr>
            <w:tcW w:w="774" w:type="dxa"/>
            <w:vAlign w:val="top"/>
          </w:tcPr>
          <w:p w14:paraId="6A5C9C31">
            <w:pPr>
              <w:rPr>
                <w:rFonts w:ascii="Arial"/>
                <w:sz w:val="21"/>
              </w:rPr>
            </w:pPr>
          </w:p>
        </w:tc>
      </w:tr>
      <w:tr w14:paraId="640FE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153" w:type="dxa"/>
            <w:vAlign w:val="top"/>
          </w:tcPr>
          <w:p w14:paraId="72715D62">
            <w:pPr>
              <w:spacing w:line="313" w:lineRule="auto"/>
              <w:rPr>
                <w:rFonts w:ascii="Arial"/>
                <w:sz w:val="21"/>
              </w:rPr>
            </w:pPr>
          </w:p>
          <w:p w14:paraId="29DF26FA">
            <w:pPr>
              <w:pStyle w:val="6"/>
              <w:spacing w:before="68" w:line="239" w:lineRule="auto"/>
              <w:ind w:left="305"/>
              <w:rPr>
                <w:sz w:val="21"/>
                <w:szCs w:val="21"/>
              </w:rPr>
            </w:pPr>
            <w:r>
              <w:rPr>
                <w:spacing w:val="-2"/>
                <w:sz w:val="21"/>
                <w:szCs w:val="21"/>
              </w:rPr>
              <w:t>2.6.3</w:t>
            </w:r>
          </w:p>
        </w:tc>
        <w:tc>
          <w:tcPr>
            <w:tcW w:w="4365" w:type="dxa"/>
            <w:vAlign w:val="top"/>
          </w:tcPr>
          <w:p w14:paraId="520113CB">
            <w:pPr>
              <w:pStyle w:val="6"/>
              <w:spacing w:before="72" w:line="219" w:lineRule="auto"/>
              <w:ind w:left="1231"/>
              <w:rPr>
                <w:sz w:val="21"/>
                <w:szCs w:val="21"/>
              </w:rPr>
            </w:pPr>
            <w:r>
              <w:rPr>
                <w:spacing w:val="1"/>
                <w:sz w:val="21"/>
                <w:szCs w:val="21"/>
              </w:rPr>
              <w:t>高压电力电缆终端与</w:t>
            </w:r>
          </w:p>
          <w:p w14:paraId="268C5176">
            <w:pPr>
              <w:pStyle w:val="6"/>
              <w:spacing w:before="48" w:line="241" w:lineRule="auto"/>
              <w:ind w:left="1651" w:right="245" w:hanging="1419"/>
              <w:rPr>
                <w:sz w:val="21"/>
                <w:szCs w:val="21"/>
              </w:rPr>
            </w:pPr>
            <w:r>
              <w:rPr>
                <w:sz w:val="21"/>
                <w:szCs w:val="21"/>
              </w:rPr>
              <w:t>ZRA-YJV22-26/35kV-3×18</w:t>
            </w:r>
            <w:r>
              <w:rPr>
                <w:spacing w:val="-1"/>
                <w:sz w:val="21"/>
                <w:szCs w:val="21"/>
              </w:rPr>
              <w:t>5mm2电力电缆配</w:t>
            </w:r>
            <w:r>
              <w:rPr>
                <w:sz w:val="21"/>
                <w:szCs w:val="21"/>
              </w:rPr>
              <w:t xml:space="preserve"> </w:t>
            </w:r>
            <w:r>
              <w:rPr>
                <w:spacing w:val="2"/>
                <w:sz w:val="21"/>
                <w:szCs w:val="21"/>
              </w:rPr>
              <w:t>套，户内型</w:t>
            </w:r>
          </w:p>
        </w:tc>
        <w:tc>
          <w:tcPr>
            <w:tcW w:w="1188" w:type="dxa"/>
            <w:vAlign w:val="top"/>
          </w:tcPr>
          <w:p w14:paraId="23487F4C">
            <w:pPr>
              <w:spacing w:line="304" w:lineRule="auto"/>
              <w:rPr>
                <w:rFonts w:ascii="Arial"/>
                <w:sz w:val="21"/>
              </w:rPr>
            </w:pPr>
          </w:p>
          <w:p w14:paraId="35AC64E4">
            <w:pPr>
              <w:pStyle w:val="6"/>
              <w:spacing w:before="69" w:line="230" w:lineRule="auto"/>
              <w:ind w:left="487"/>
              <w:rPr>
                <w:sz w:val="21"/>
                <w:szCs w:val="21"/>
              </w:rPr>
            </w:pPr>
            <w:r>
              <w:rPr>
                <w:sz w:val="21"/>
                <w:szCs w:val="21"/>
              </w:rPr>
              <w:t>组</w:t>
            </w:r>
          </w:p>
        </w:tc>
        <w:tc>
          <w:tcPr>
            <w:tcW w:w="1009" w:type="dxa"/>
            <w:vAlign w:val="top"/>
          </w:tcPr>
          <w:p w14:paraId="340C18B4">
            <w:pPr>
              <w:spacing w:line="313" w:lineRule="auto"/>
              <w:rPr>
                <w:rFonts w:ascii="Arial"/>
                <w:sz w:val="21"/>
              </w:rPr>
            </w:pPr>
          </w:p>
          <w:p w14:paraId="4DFE0080">
            <w:pPr>
              <w:pStyle w:val="6"/>
              <w:spacing w:before="68" w:line="239" w:lineRule="auto"/>
              <w:ind w:left="288"/>
              <w:rPr>
                <w:sz w:val="21"/>
                <w:szCs w:val="21"/>
              </w:rPr>
            </w:pPr>
            <w:r>
              <w:rPr>
                <w:spacing w:val="-5"/>
                <w:sz w:val="21"/>
                <w:szCs w:val="21"/>
              </w:rPr>
              <w:t>1.00</w:t>
            </w:r>
          </w:p>
        </w:tc>
        <w:tc>
          <w:tcPr>
            <w:tcW w:w="774" w:type="dxa"/>
            <w:vAlign w:val="top"/>
          </w:tcPr>
          <w:p w14:paraId="4E420999">
            <w:pPr>
              <w:rPr>
                <w:rFonts w:ascii="Arial"/>
                <w:sz w:val="21"/>
              </w:rPr>
            </w:pPr>
          </w:p>
        </w:tc>
      </w:tr>
      <w:tr w14:paraId="08DEC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153" w:type="dxa"/>
            <w:vAlign w:val="top"/>
          </w:tcPr>
          <w:p w14:paraId="2930366F">
            <w:pPr>
              <w:pStyle w:val="6"/>
              <w:spacing w:before="234" w:line="239" w:lineRule="auto"/>
              <w:ind w:left="305"/>
              <w:rPr>
                <w:sz w:val="21"/>
                <w:szCs w:val="21"/>
              </w:rPr>
            </w:pPr>
            <w:r>
              <w:rPr>
                <w:spacing w:val="-2"/>
                <w:sz w:val="21"/>
                <w:szCs w:val="21"/>
              </w:rPr>
              <w:t>2.6.4</w:t>
            </w:r>
          </w:p>
        </w:tc>
        <w:tc>
          <w:tcPr>
            <w:tcW w:w="4365" w:type="dxa"/>
            <w:vAlign w:val="top"/>
          </w:tcPr>
          <w:p w14:paraId="69481B2B">
            <w:pPr>
              <w:pStyle w:val="6"/>
              <w:spacing w:before="73" w:line="219" w:lineRule="auto"/>
              <w:ind w:left="1541"/>
              <w:rPr>
                <w:sz w:val="21"/>
                <w:szCs w:val="21"/>
              </w:rPr>
            </w:pPr>
            <w:r>
              <w:rPr>
                <w:spacing w:val="1"/>
                <w:sz w:val="21"/>
                <w:szCs w:val="21"/>
              </w:rPr>
              <w:t>高压电力电缆</w:t>
            </w:r>
          </w:p>
          <w:p w14:paraId="76DC3203">
            <w:pPr>
              <w:pStyle w:val="6"/>
              <w:spacing w:before="68" w:line="200" w:lineRule="auto"/>
              <w:ind w:left="752"/>
              <w:rPr>
                <w:sz w:val="21"/>
                <w:szCs w:val="21"/>
              </w:rPr>
            </w:pPr>
            <w:r>
              <w:rPr>
                <w:spacing w:val="-1"/>
                <w:sz w:val="21"/>
                <w:szCs w:val="21"/>
              </w:rPr>
              <w:t>ZRA-YJV22-26/35KV-3×120mm2</w:t>
            </w:r>
          </w:p>
        </w:tc>
        <w:tc>
          <w:tcPr>
            <w:tcW w:w="1188" w:type="dxa"/>
            <w:vAlign w:val="top"/>
          </w:tcPr>
          <w:p w14:paraId="2C15B26D">
            <w:pPr>
              <w:pStyle w:val="6"/>
              <w:spacing w:before="213" w:line="219" w:lineRule="auto"/>
              <w:ind w:left="487"/>
              <w:rPr>
                <w:sz w:val="21"/>
                <w:szCs w:val="21"/>
              </w:rPr>
            </w:pPr>
            <w:r>
              <w:rPr>
                <w:sz w:val="21"/>
                <w:szCs w:val="21"/>
              </w:rPr>
              <w:t>米</w:t>
            </w:r>
          </w:p>
        </w:tc>
        <w:tc>
          <w:tcPr>
            <w:tcW w:w="1009" w:type="dxa"/>
            <w:vAlign w:val="top"/>
          </w:tcPr>
          <w:p w14:paraId="2A739EA0">
            <w:pPr>
              <w:pStyle w:val="6"/>
              <w:spacing w:before="234" w:line="239" w:lineRule="auto"/>
              <w:ind w:left="188"/>
              <w:rPr>
                <w:sz w:val="21"/>
                <w:szCs w:val="21"/>
              </w:rPr>
            </w:pPr>
            <w:r>
              <w:rPr>
                <w:spacing w:val="-4"/>
                <w:sz w:val="21"/>
                <w:szCs w:val="21"/>
              </w:rPr>
              <w:t>100.00</w:t>
            </w:r>
          </w:p>
        </w:tc>
        <w:tc>
          <w:tcPr>
            <w:tcW w:w="774" w:type="dxa"/>
            <w:vAlign w:val="top"/>
          </w:tcPr>
          <w:p w14:paraId="23F20056">
            <w:pPr>
              <w:rPr>
                <w:rFonts w:ascii="Arial"/>
                <w:sz w:val="21"/>
              </w:rPr>
            </w:pPr>
          </w:p>
        </w:tc>
      </w:tr>
      <w:tr w14:paraId="612AD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153" w:type="dxa"/>
            <w:vAlign w:val="top"/>
          </w:tcPr>
          <w:p w14:paraId="5C5D941E">
            <w:pPr>
              <w:spacing w:line="315" w:lineRule="auto"/>
              <w:rPr>
                <w:rFonts w:ascii="Arial"/>
                <w:sz w:val="21"/>
              </w:rPr>
            </w:pPr>
          </w:p>
          <w:p w14:paraId="58B68831">
            <w:pPr>
              <w:pStyle w:val="6"/>
              <w:spacing w:before="68" w:line="239" w:lineRule="auto"/>
              <w:ind w:left="305"/>
              <w:rPr>
                <w:sz w:val="21"/>
                <w:szCs w:val="21"/>
              </w:rPr>
            </w:pPr>
            <w:r>
              <w:rPr>
                <w:spacing w:val="-2"/>
                <w:sz w:val="21"/>
                <w:szCs w:val="21"/>
              </w:rPr>
              <w:t>2.6.5</w:t>
            </w:r>
          </w:p>
        </w:tc>
        <w:tc>
          <w:tcPr>
            <w:tcW w:w="4365" w:type="dxa"/>
            <w:vAlign w:val="top"/>
          </w:tcPr>
          <w:p w14:paraId="6BB7E292">
            <w:pPr>
              <w:pStyle w:val="6"/>
              <w:spacing w:before="74" w:line="219" w:lineRule="auto"/>
              <w:ind w:left="1231"/>
              <w:rPr>
                <w:sz w:val="21"/>
                <w:szCs w:val="21"/>
              </w:rPr>
            </w:pPr>
            <w:r>
              <w:rPr>
                <w:spacing w:val="1"/>
                <w:sz w:val="21"/>
                <w:szCs w:val="21"/>
              </w:rPr>
              <w:t>高压电力电缆终端与</w:t>
            </w:r>
          </w:p>
          <w:p w14:paraId="18E966D6">
            <w:pPr>
              <w:pStyle w:val="6"/>
              <w:spacing w:before="49"/>
              <w:ind w:left="1650" w:right="190" w:hanging="1469"/>
              <w:rPr>
                <w:sz w:val="21"/>
                <w:szCs w:val="21"/>
              </w:rPr>
            </w:pPr>
            <w:r>
              <w:rPr>
                <w:sz w:val="21"/>
                <w:szCs w:val="21"/>
              </w:rPr>
              <w:t>ZRA-YJV22-26/35kV-3×120</w:t>
            </w:r>
            <w:r>
              <w:rPr>
                <w:spacing w:val="-1"/>
                <w:sz w:val="21"/>
                <w:szCs w:val="21"/>
              </w:rPr>
              <w:t>5mm2电力电缆配</w:t>
            </w:r>
            <w:r>
              <w:rPr>
                <w:sz w:val="21"/>
                <w:szCs w:val="21"/>
              </w:rPr>
              <w:t xml:space="preserve"> </w:t>
            </w:r>
            <w:r>
              <w:rPr>
                <w:spacing w:val="2"/>
                <w:sz w:val="21"/>
                <w:szCs w:val="21"/>
              </w:rPr>
              <w:t>套，户外型</w:t>
            </w:r>
          </w:p>
        </w:tc>
        <w:tc>
          <w:tcPr>
            <w:tcW w:w="1188" w:type="dxa"/>
            <w:vAlign w:val="top"/>
          </w:tcPr>
          <w:p w14:paraId="579E7DB3">
            <w:pPr>
              <w:spacing w:line="306" w:lineRule="auto"/>
              <w:rPr>
                <w:rFonts w:ascii="Arial"/>
                <w:sz w:val="21"/>
              </w:rPr>
            </w:pPr>
          </w:p>
          <w:p w14:paraId="6F982203">
            <w:pPr>
              <w:pStyle w:val="6"/>
              <w:spacing w:before="69" w:line="230" w:lineRule="auto"/>
              <w:ind w:left="487"/>
              <w:rPr>
                <w:sz w:val="21"/>
                <w:szCs w:val="21"/>
              </w:rPr>
            </w:pPr>
            <w:r>
              <w:rPr>
                <w:sz w:val="21"/>
                <w:szCs w:val="21"/>
              </w:rPr>
              <w:t>组</w:t>
            </w:r>
          </w:p>
        </w:tc>
        <w:tc>
          <w:tcPr>
            <w:tcW w:w="1009" w:type="dxa"/>
            <w:vAlign w:val="top"/>
          </w:tcPr>
          <w:p w14:paraId="0A19799F">
            <w:pPr>
              <w:spacing w:line="315" w:lineRule="auto"/>
              <w:rPr>
                <w:rFonts w:ascii="Arial"/>
                <w:sz w:val="21"/>
              </w:rPr>
            </w:pPr>
          </w:p>
          <w:p w14:paraId="22E82EC7">
            <w:pPr>
              <w:pStyle w:val="6"/>
              <w:spacing w:before="68" w:line="239" w:lineRule="auto"/>
              <w:ind w:left="288"/>
              <w:rPr>
                <w:sz w:val="21"/>
                <w:szCs w:val="21"/>
              </w:rPr>
            </w:pPr>
            <w:r>
              <w:rPr>
                <w:spacing w:val="-5"/>
                <w:sz w:val="21"/>
                <w:szCs w:val="21"/>
              </w:rPr>
              <w:t>1.00</w:t>
            </w:r>
          </w:p>
        </w:tc>
        <w:tc>
          <w:tcPr>
            <w:tcW w:w="774" w:type="dxa"/>
            <w:vAlign w:val="top"/>
          </w:tcPr>
          <w:p w14:paraId="10DC8FD0">
            <w:pPr>
              <w:rPr>
                <w:rFonts w:ascii="Arial"/>
                <w:sz w:val="21"/>
              </w:rPr>
            </w:pPr>
          </w:p>
        </w:tc>
      </w:tr>
      <w:tr w14:paraId="48A04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1153" w:type="dxa"/>
            <w:vAlign w:val="top"/>
          </w:tcPr>
          <w:p w14:paraId="54F3BBA4">
            <w:pPr>
              <w:spacing w:line="326" w:lineRule="auto"/>
              <w:rPr>
                <w:rFonts w:ascii="Arial"/>
                <w:sz w:val="21"/>
              </w:rPr>
            </w:pPr>
          </w:p>
          <w:p w14:paraId="6D8EB67D">
            <w:pPr>
              <w:pStyle w:val="6"/>
              <w:spacing w:before="68" w:line="239" w:lineRule="auto"/>
              <w:ind w:left="305"/>
              <w:rPr>
                <w:sz w:val="21"/>
                <w:szCs w:val="21"/>
              </w:rPr>
            </w:pPr>
            <w:r>
              <w:rPr>
                <w:spacing w:val="-2"/>
                <w:sz w:val="21"/>
                <w:szCs w:val="21"/>
              </w:rPr>
              <w:t>2.6.6</w:t>
            </w:r>
          </w:p>
        </w:tc>
        <w:tc>
          <w:tcPr>
            <w:tcW w:w="4365" w:type="dxa"/>
            <w:vAlign w:val="top"/>
          </w:tcPr>
          <w:p w14:paraId="6F667C35">
            <w:pPr>
              <w:pStyle w:val="6"/>
              <w:spacing w:before="75" w:line="219" w:lineRule="auto"/>
              <w:ind w:left="1231"/>
              <w:rPr>
                <w:sz w:val="21"/>
                <w:szCs w:val="21"/>
              </w:rPr>
            </w:pPr>
            <w:r>
              <w:rPr>
                <w:spacing w:val="1"/>
                <w:sz w:val="21"/>
                <w:szCs w:val="21"/>
              </w:rPr>
              <w:t>高压电力电缆终端与</w:t>
            </w:r>
          </w:p>
          <w:p w14:paraId="7257B9E7">
            <w:pPr>
              <w:pStyle w:val="6"/>
              <w:spacing w:before="78" w:line="231" w:lineRule="auto"/>
              <w:ind w:left="1651" w:right="245" w:hanging="1419"/>
              <w:rPr>
                <w:sz w:val="21"/>
                <w:szCs w:val="21"/>
              </w:rPr>
            </w:pPr>
            <w:r>
              <w:rPr>
                <w:sz w:val="21"/>
                <w:szCs w:val="21"/>
              </w:rPr>
              <w:t>ZRA-YJV22-26/35kV-3×12</w:t>
            </w:r>
            <w:r>
              <w:rPr>
                <w:spacing w:val="-1"/>
                <w:sz w:val="21"/>
                <w:szCs w:val="21"/>
              </w:rPr>
              <w:t>0mm2电力电缆配</w:t>
            </w:r>
            <w:r>
              <w:rPr>
                <w:sz w:val="21"/>
                <w:szCs w:val="21"/>
              </w:rPr>
              <w:t xml:space="preserve"> </w:t>
            </w:r>
            <w:r>
              <w:rPr>
                <w:spacing w:val="2"/>
                <w:sz w:val="21"/>
                <w:szCs w:val="21"/>
              </w:rPr>
              <w:t>套，户内型</w:t>
            </w:r>
          </w:p>
        </w:tc>
        <w:tc>
          <w:tcPr>
            <w:tcW w:w="1188" w:type="dxa"/>
            <w:vAlign w:val="top"/>
          </w:tcPr>
          <w:p w14:paraId="1F1E5F10">
            <w:pPr>
              <w:spacing w:line="317" w:lineRule="auto"/>
              <w:rPr>
                <w:rFonts w:ascii="Arial"/>
                <w:sz w:val="21"/>
              </w:rPr>
            </w:pPr>
          </w:p>
          <w:p w14:paraId="2C6976D7">
            <w:pPr>
              <w:pStyle w:val="6"/>
              <w:spacing w:before="69" w:line="230" w:lineRule="auto"/>
              <w:ind w:left="487"/>
              <w:rPr>
                <w:sz w:val="21"/>
                <w:szCs w:val="21"/>
              </w:rPr>
            </w:pPr>
            <w:r>
              <w:rPr>
                <w:sz w:val="21"/>
                <w:szCs w:val="21"/>
              </w:rPr>
              <w:t>组</w:t>
            </w:r>
          </w:p>
        </w:tc>
        <w:tc>
          <w:tcPr>
            <w:tcW w:w="1009" w:type="dxa"/>
            <w:vAlign w:val="top"/>
          </w:tcPr>
          <w:p w14:paraId="0D3614C8">
            <w:pPr>
              <w:spacing w:line="326" w:lineRule="auto"/>
              <w:rPr>
                <w:rFonts w:ascii="Arial"/>
                <w:sz w:val="21"/>
              </w:rPr>
            </w:pPr>
          </w:p>
          <w:p w14:paraId="1A092B2D">
            <w:pPr>
              <w:pStyle w:val="6"/>
              <w:spacing w:before="68" w:line="239" w:lineRule="auto"/>
              <w:ind w:left="288"/>
              <w:rPr>
                <w:sz w:val="21"/>
                <w:szCs w:val="21"/>
              </w:rPr>
            </w:pPr>
            <w:r>
              <w:rPr>
                <w:spacing w:val="-5"/>
                <w:sz w:val="21"/>
                <w:szCs w:val="21"/>
              </w:rPr>
              <w:t>1.00</w:t>
            </w:r>
          </w:p>
        </w:tc>
        <w:tc>
          <w:tcPr>
            <w:tcW w:w="774" w:type="dxa"/>
            <w:vAlign w:val="top"/>
          </w:tcPr>
          <w:p w14:paraId="1DD9FCDE">
            <w:pPr>
              <w:rPr>
                <w:rFonts w:ascii="Arial"/>
                <w:sz w:val="21"/>
              </w:rPr>
            </w:pPr>
          </w:p>
        </w:tc>
      </w:tr>
      <w:tr w14:paraId="302F5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153" w:type="dxa"/>
            <w:vAlign w:val="top"/>
          </w:tcPr>
          <w:p w14:paraId="0FB08582">
            <w:pPr>
              <w:pStyle w:val="6"/>
              <w:spacing w:before="237" w:line="239" w:lineRule="auto"/>
              <w:ind w:left="305"/>
              <w:rPr>
                <w:sz w:val="21"/>
                <w:szCs w:val="21"/>
              </w:rPr>
            </w:pPr>
            <w:r>
              <w:rPr>
                <w:spacing w:val="-2"/>
                <w:sz w:val="21"/>
                <w:szCs w:val="21"/>
              </w:rPr>
              <w:t>2.6.7</w:t>
            </w:r>
          </w:p>
        </w:tc>
        <w:tc>
          <w:tcPr>
            <w:tcW w:w="4365" w:type="dxa"/>
            <w:vAlign w:val="top"/>
          </w:tcPr>
          <w:p w14:paraId="08D86127">
            <w:pPr>
              <w:pStyle w:val="6"/>
              <w:spacing w:before="76" w:line="219" w:lineRule="auto"/>
              <w:ind w:left="1541"/>
              <w:rPr>
                <w:sz w:val="21"/>
                <w:szCs w:val="21"/>
              </w:rPr>
            </w:pPr>
            <w:r>
              <w:rPr>
                <w:spacing w:val="1"/>
                <w:sz w:val="21"/>
                <w:szCs w:val="21"/>
              </w:rPr>
              <w:t>高压电力电缆</w:t>
            </w:r>
          </w:p>
          <w:p w14:paraId="7C412D1F">
            <w:pPr>
              <w:pStyle w:val="6"/>
              <w:spacing w:before="58" w:line="198" w:lineRule="auto"/>
              <w:ind w:left="752"/>
              <w:rPr>
                <w:sz w:val="21"/>
                <w:szCs w:val="21"/>
              </w:rPr>
            </w:pPr>
            <w:r>
              <w:rPr>
                <w:spacing w:val="-1"/>
                <w:sz w:val="21"/>
                <w:szCs w:val="21"/>
              </w:rPr>
              <w:t>ZRA-YJV22-8.7/15kV-3×95mm2</w:t>
            </w:r>
          </w:p>
        </w:tc>
        <w:tc>
          <w:tcPr>
            <w:tcW w:w="1188" w:type="dxa"/>
            <w:vAlign w:val="top"/>
          </w:tcPr>
          <w:p w14:paraId="5D6B570B">
            <w:pPr>
              <w:pStyle w:val="6"/>
              <w:spacing w:before="216" w:line="219" w:lineRule="auto"/>
              <w:ind w:left="487"/>
              <w:rPr>
                <w:sz w:val="21"/>
                <w:szCs w:val="21"/>
              </w:rPr>
            </w:pPr>
            <w:r>
              <w:rPr>
                <w:sz w:val="21"/>
                <w:szCs w:val="21"/>
              </w:rPr>
              <w:t>米</w:t>
            </w:r>
          </w:p>
        </w:tc>
        <w:tc>
          <w:tcPr>
            <w:tcW w:w="1009" w:type="dxa"/>
            <w:vAlign w:val="top"/>
          </w:tcPr>
          <w:p w14:paraId="68C0C807">
            <w:pPr>
              <w:pStyle w:val="6"/>
              <w:spacing w:before="237" w:line="239" w:lineRule="auto"/>
              <w:ind w:left="188"/>
              <w:rPr>
                <w:sz w:val="21"/>
                <w:szCs w:val="21"/>
              </w:rPr>
            </w:pPr>
            <w:r>
              <w:rPr>
                <w:spacing w:val="-4"/>
                <w:sz w:val="21"/>
                <w:szCs w:val="21"/>
              </w:rPr>
              <w:t>150.00</w:t>
            </w:r>
          </w:p>
        </w:tc>
        <w:tc>
          <w:tcPr>
            <w:tcW w:w="774" w:type="dxa"/>
            <w:vAlign w:val="top"/>
          </w:tcPr>
          <w:p w14:paraId="52D49DE3">
            <w:pPr>
              <w:rPr>
                <w:rFonts w:ascii="Arial"/>
                <w:sz w:val="21"/>
              </w:rPr>
            </w:pPr>
          </w:p>
        </w:tc>
      </w:tr>
      <w:tr w14:paraId="517E4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1153" w:type="dxa"/>
            <w:vAlign w:val="top"/>
          </w:tcPr>
          <w:p w14:paraId="3311DEBE">
            <w:pPr>
              <w:spacing w:line="327" w:lineRule="auto"/>
              <w:rPr>
                <w:rFonts w:ascii="Arial"/>
                <w:sz w:val="21"/>
              </w:rPr>
            </w:pPr>
          </w:p>
          <w:p w14:paraId="6319B543">
            <w:pPr>
              <w:pStyle w:val="6"/>
              <w:spacing w:before="68" w:line="239" w:lineRule="auto"/>
              <w:ind w:left="305"/>
              <w:rPr>
                <w:sz w:val="21"/>
                <w:szCs w:val="21"/>
              </w:rPr>
            </w:pPr>
            <w:r>
              <w:rPr>
                <w:spacing w:val="-2"/>
                <w:sz w:val="21"/>
                <w:szCs w:val="21"/>
              </w:rPr>
              <w:t>2.6.8</w:t>
            </w:r>
          </w:p>
        </w:tc>
        <w:tc>
          <w:tcPr>
            <w:tcW w:w="4365" w:type="dxa"/>
            <w:vAlign w:val="top"/>
          </w:tcPr>
          <w:p w14:paraId="58FD3C1D">
            <w:pPr>
              <w:pStyle w:val="6"/>
              <w:spacing w:before="66" w:line="219" w:lineRule="auto"/>
              <w:ind w:left="1231"/>
              <w:rPr>
                <w:sz w:val="21"/>
                <w:szCs w:val="21"/>
              </w:rPr>
            </w:pPr>
            <w:r>
              <w:rPr>
                <w:spacing w:val="1"/>
                <w:sz w:val="21"/>
                <w:szCs w:val="21"/>
              </w:rPr>
              <w:t>高压电力电缆终端与</w:t>
            </w:r>
          </w:p>
          <w:p w14:paraId="70B24CEF">
            <w:pPr>
              <w:pStyle w:val="6"/>
              <w:spacing w:before="78" w:line="235" w:lineRule="auto"/>
              <w:ind w:left="1651" w:right="245" w:hanging="1419"/>
              <w:rPr>
                <w:sz w:val="21"/>
                <w:szCs w:val="21"/>
              </w:rPr>
            </w:pPr>
            <w:r>
              <w:rPr>
                <w:sz w:val="21"/>
                <w:szCs w:val="21"/>
              </w:rPr>
              <w:t>ZRA-YJV22-8.7/15kV-3×9</w:t>
            </w:r>
            <w:r>
              <w:rPr>
                <w:spacing w:val="-1"/>
                <w:sz w:val="21"/>
                <w:szCs w:val="21"/>
              </w:rPr>
              <w:t>5mm2电力电缆配</w:t>
            </w:r>
            <w:r>
              <w:rPr>
                <w:sz w:val="21"/>
                <w:szCs w:val="21"/>
              </w:rPr>
              <w:t xml:space="preserve"> </w:t>
            </w:r>
            <w:r>
              <w:rPr>
                <w:spacing w:val="2"/>
                <w:sz w:val="21"/>
                <w:szCs w:val="21"/>
              </w:rPr>
              <w:t>套，户外型</w:t>
            </w:r>
          </w:p>
        </w:tc>
        <w:tc>
          <w:tcPr>
            <w:tcW w:w="1188" w:type="dxa"/>
            <w:vAlign w:val="top"/>
          </w:tcPr>
          <w:p w14:paraId="6754F272">
            <w:pPr>
              <w:spacing w:line="318" w:lineRule="auto"/>
              <w:rPr>
                <w:rFonts w:ascii="Arial"/>
                <w:sz w:val="21"/>
              </w:rPr>
            </w:pPr>
          </w:p>
          <w:p w14:paraId="6DDABFC8">
            <w:pPr>
              <w:pStyle w:val="6"/>
              <w:spacing w:before="69" w:line="230" w:lineRule="auto"/>
              <w:ind w:left="487"/>
              <w:rPr>
                <w:sz w:val="21"/>
                <w:szCs w:val="21"/>
              </w:rPr>
            </w:pPr>
            <w:r>
              <w:rPr>
                <w:sz w:val="21"/>
                <w:szCs w:val="21"/>
              </w:rPr>
              <w:t>组</w:t>
            </w:r>
          </w:p>
        </w:tc>
        <w:tc>
          <w:tcPr>
            <w:tcW w:w="1009" w:type="dxa"/>
            <w:vAlign w:val="top"/>
          </w:tcPr>
          <w:p w14:paraId="32604B69">
            <w:pPr>
              <w:spacing w:line="327" w:lineRule="auto"/>
              <w:rPr>
                <w:rFonts w:ascii="Arial"/>
                <w:sz w:val="21"/>
              </w:rPr>
            </w:pPr>
          </w:p>
          <w:p w14:paraId="24167152">
            <w:pPr>
              <w:pStyle w:val="6"/>
              <w:spacing w:before="68" w:line="239" w:lineRule="auto"/>
              <w:ind w:left="288"/>
              <w:rPr>
                <w:sz w:val="21"/>
                <w:szCs w:val="21"/>
              </w:rPr>
            </w:pPr>
            <w:r>
              <w:rPr>
                <w:spacing w:val="-3"/>
                <w:sz w:val="21"/>
                <w:szCs w:val="21"/>
              </w:rPr>
              <w:t>2.00</w:t>
            </w:r>
          </w:p>
        </w:tc>
        <w:tc>
          <w:tcPr>
            <w:tcW w:w="774" w:type="dxa"/>
            <w:vAlign w:val="top"/>
          </w:tcPr>
          <w:p w14:paraId="473D608D">
            <w:pPr>
              <w:rPr>
                <w:rFonts w:ascii="Arial"/>
                <w:sz w:val="21"/>
              </w:rPr>
            </w:pPr>
          </w:p>
        </w:tc>
      </w:tr>
      <w:tr w14:paraId="1DAC3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153" w:type="dxa"/>
            <w:vAlign w:val="top"/>
          </w:tcPr>
          <w:p w14:paraId="7095ED7C">
            <w:pPr>
              <w:pStyle w:val="6"/>
              <w:spacing w:before="248" w:line="239" w:lineRule="auto"/>
              <w:ind w:left="305"/>
              <w:rPr>
                <w:sz w:val="21"/>
                <w:szCs w:val="21"/>
              </w:rPr>
            </w:pPr>
            <w:r>
              <w:rPr>
                <w:spacing w:val="-2"/>
                <w:sz w:val="21"/>
                <w:szCs w:val="21"/>
              </w:rPr>
              <w:t>2.6.9</w:t>
            </w:r>
          </w:p>
        </w:tc>
        <w:tc>
          <w:tcPr>
            <w:tcW w:w="4365" w:type="dxa"/>
            <w:vAlign w:val="top"/>
          </w:tcPr>
          <w:p w14:paraId="73254CF4">
            <w:pPr>
              <w:pStyle w:val="6"/>
              <w:spacing w:before="87" w:line="219" w:lineRule="auto"/>
              <w:ind w:left="1231"/>
              <w:rPr>
                <w:sz w:val="21"/>
                <w:szCs w:val="21"/>
              </w:rPr>
            </w:pPr>
            <w:r>
              <w:rPr>
                <w:spacing w:val="1"/>
                <w:sz w:val="21"/>
                <w:szCs w:val="21"/>
              </w:rPr>
              <w:t>高压电力电缆终端与</w:t>
            </w:r>
          </w:p>
          <w:p w14:paraId="2AD10D15">
            <w:pPr>
              <w:pStyle w:val="6"/>
              <w:spacing w:before="58" w:line="218" w:lineRule="auto"/>
              <w:ind w:left="232"/>
              <w:rPr>
                <w:sz w:val="21"/>
                <w:szCs w:val="21"/>
              </w:rPr>
            </w:pPr>
            <w:r>
              <w:rPr>
                <w:sz w:val="21"/>
                <w:szCs w:val="21"/>
              </w:rPr>
              <w:t>ZRA-YJV22-8.7/15kV-3×9</w:t>
            </w:r>
            <w:r>
              <w:rPr>
                <w:spacing w:val="-1"/>
                <w:sz w:val="21"/>
                <w:szCs w:val="21"/>
              </w:rPr>
              <w:t>5mm2电力电缆配</w:t>
            </w:r>
          </w:p>
        </w:tc>
        <w:tc>
          <w:tcPr>
            <w:tcW w:w="1188" w:type="dxa"/>
            <w:vAlign w:val="top"/>
          </w:tcPr>
          <w:p w14:paraId="27CEE311">
            <w:pPr>
              <w:pStyle w:val="6"/>
              <w:spacing w:before="239" w:line="230" w:lineRule="auto"/>
              <w:ind w:left="487"/>
              <w:rPr>
                <w:sz w:val="21"/>
                <w:szCs w:val="21"/>
              </w:rPr>
            </w:pPr>
            <w:r>
              <w:rPr>
                <w:sz w:val="21"/>
                <w:szCs w:val="21"/>
              </w:rPr>
              <w:t>组</w:t>
            </w:r>
          </w:p>
        </w:tc>
        <w:tc>
          <w:tcPr>
            <w:tcW w:w="1009" w:type="dxa"/>
            <w:vAlign w:val="top"/>
          </w:tcPr>
          <w:p w14:paraId="0B5B3E1B">
            <w:pPr>
              <w:pStyle w:val="6"/>
              <w:spacing w:before="248" w:line="239" w:lineRule="auto"/>
              <w:ind w:left="288"/>
              <w:rPr>
                <w:sz w:val="21"/>
                <w:szCs w:val="21"/>
              </w:rPr>
            </w:pPr>
            <w:r>
              <w:rPr>
                <w:spacing w:val="-3"/>
                <w:sz w:val="21"/>
                <w:szCs w:val="21"/>
              </w:rPr>
              <w:t>2.00</w:t>
            </w:r>
          </w:p>
        </w:tc>
        <w:tc>
          <w:tcPr>
            <w:tcW w:w="774" w:type="dxa"/>
            <w:vAlign w:val="top"/>
          </w:tcPr>
          <w:p w14:paraId="5AF05216">
            <w:pPr>
              <w:rPr>
                <w:rFonts w:ascii="Arial"/>
                <w:sz w:val="21"/>
              </w:rPr>
            </w:pPr>
          </w:p>
        </w:tc>
      </w:tr>
    </w:tbl>
    <w:p w14:paraId="76A316B5">
      <w:pPr>
        <w:pStyle w:val="2"/>
      </w:pPr>
    </w:p>
    <w:p w14:paraId="236C1D20">
      <w:pPr>
        <w:sectPr>
          <w:footerReference r:id="rId231" w:type="default"/>
          <w:pgSz w:w="11910" w:h="16830"/>
          <w:pgMar w:top="400" w:right="1725" w:bottom="1198" w:left="1685" w:header="0" w:footer="911" w:gutter="0"/>
          <w:cols w:space="720" w:num="1"/>
        </w:sectPr>
      </w:pPr>
    </w:p>
    <w:p w14:paraId="24E7F36D">
      <w:pPr>
        <w:spacing w:before="18"/>
      </w:pPr>
    </w:p>
    <w:p w14:paraId="6C76A2E5">
      <w:pPr>
        <w:spacing w:before="17"/>
      </w:pPr>
    </w:p>
    <w:p w14:paraId="604AC3C1">
      <w:pPr>
        <w:spacing w:before="17"/>
      </w:pPr>
    </w:p>
    <w:p w14:paraId="72FD662A">
      <w:pPr>
        <w:spacing w:before="17"/>
      </w:pPr>
    </w:p>
    <w:tbl>
      <w:tblPr>
        <w:tblStyle w:val="5"/>
        <w:tblW w:w="84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3"/>
        <w:gridCol w:w="4375"/>
        <w:gridCol w:w="1208"/>
        <w:gridCol w:w="989"/>
        <w:gridCol w:w="774"/>
      </w:tblGrid>
      <w:tr w14:paraId="7ED52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1143" w:type="dxa"/>
            <w:vAlign w:val="top"/>
          </w:tcPr>
          <w:p w14:paraId="0CC35102">
            <w:pPr>
              <w:rPr>
                <w:rFonts w:ascii="Arial"/>
                <w:sz w:val="21"/>
              </w:rPr>
            </w:pPr>
          </w:p>
        </w:tc>
        <w:tc>
          <w:tcPr>
            <w:tcW w:w="4375" w:type="dxa"/>
            <w:vAlign w:val="top"/>
          </w:tcPr>
          <w:p w14:paraId="17A15D15">
            <w:pPr>
              <w:pStyle w:val="6"/>
              <w:spacing w:before="43" w:line="219" w:lineRule="auto"/>
              <w:ind w:left="1651"/>
              <w:rPr>
                <w:sz w:val="21"/>
                <w:szCs w:val="21"/>
              </w:rPr>
            </w:pPr>
            <w:r>
              <w:rPr>
                <w:spacing w:val="2"/>
                <w:sz w:val="21"/>
                <w:szCs w:val="21"/>
              </w:rPr>
              <w:t>套，户内型</w:t>
            </w:r>
          </w:p>
        </w:tc>
        <w:tc>
          <w:tcPr>
            <w:tcW w:w="1208" w:type="dxa"/>
            <w:vAlign w:val="top"/>
          </w:tcPr>
          <w:p w14:paraId="37CF750C">
            <w:pPr>
              <w:rPr>
                <w:rFonts w:ascii="Arial"/>
                <w:sz w:val="21"/>
              </w:rPr>
            </w:pPr>
          </w:p>
        </w:tc>
        <w:tc>
          <w:tcPr>
            <w:tcW w:w="989" w:type="dxa"/>
            <w:vAlign w:val="top"/>
          </w:tcPr>
          <w:p w14:paraId="71727079">
            <w:pPr>
              <w:rPr>
                <w:rFonts w:ascii="Arial"/>
                <w:sz w:val="21"/>
              </w:rPr>
            </w:pPr>
          </w:p>
        </w:tc>
        <w:tc>
          <w:tcPr>
            <w:tcW w:w="774" w:type="dxa"/>
            <w:vAlign w:val="top"/>
          </w:tcPr>
          <w:p w14:paraId="058D4ADB">
            <w:pPr>
              <w:rPr>
                <w:rFonts w:ascii="Arial"/>
                <w:sz w:val="21"/>
              </w:rPr>
            </w:pPr>
          </w:p>
        </w:tc>
      </w:tr>
      <w:tr w14:paraId="2C8BD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143" w:type="dxa"/>
            <w:vAlign w:val="top"/>
          </w:tcPr>
          <w:p w14:paraId="122DBF17">
            <w:pPr>
              <w:pStyle w:val="6"/>
              <w:spacing w:before="230" w:line="239" w:lineRule="auto"/>
              <w:ind w:left="244"/>
              <w:rPr>
                <w:sz w:val="21"/>
                <w:szCs w:val="21"/>
              </w:rPr>
            </w:pPr>
            <w:r>
              <w:rPr>
                <w:spacing w:val="-2"/>
                <w:sz w:val="21"/>
                <w:szCs w:val="21"/>
              </w:rPr>
              <w:t>2.6.10</w:t>
            </w:r>
          </w:p>
        </w:tc>
        <w:tc>
          <w:tcPr>
            <w:tcW w:w="4375" w:type="dxa"/>
            <w:vAlign w:val="top"/>
          </w:tcPr>
          <w:p w14:paraId="4074D289">
            <w:pPr>
              <w:pStyle w:val="6"/>
              <w:spacing w:before="59" w:line="219" w:lineRule="auto"/>
              <w:ind w:left="1551"/>
              <w:rPr>
                <w:sz w:val="21"/>
                <w:szCs w:val="21"/>
              </w:rPr>
            </w:pPr>
            <w:r>
              <w:rPr>
                <w:spacing w:val="-2"/>
                <w:sz w:val="21"/>
                <w:szCs w:val="21"/>
              </w:rPr>
              <w:t>低压电力电缆</w:t>
            </w:r>
          </w:p>
          <w:p w14:paraId="7AC0A551">
            <w:pPr>
              <w:pStyle w:val="6"/>
              <w:spacing w:before="69" w:line="203" w:lineRule="auto"/>
              <w:ind w:left="651"/>
              <w:rPr>
                <w:sz w:val="21"/>
                <w:szCs w:val="21"/>
              </w:rPr>
            </w:pPr>
            <w:r>
              <w:rPr>
                <w:spacing w:val="-1"/>
                <w:sz w:val="21"/>
                <w:szCs w:val="21"/>
              </w:rPr>
              <w:t>ZRA-YJV-0.6/1kV-3×240+1×120</w:t>
            </w:r>
          </w:p>
        </w:tc>
        <w:tc>
          <w:tcPr>
            <w:tcW w:w="1208" w:type="dxa"/>
            <w:vAlign w:val="top"/>
          </w:tcPr>
          <w:p w14:paraId="1871FFF6">
            <w:pPr>
              <w:pStyle w:val="6"/>
              <w:spacing w:before="209" w:line="219" w:lineRule="auto"/>
              <w:ind w:left="497"/>
              <w:rPr>
                <w:sz w:val="21"/>
                <w:szCs w:val="21"/>
              </w:rPr>
            </w:pPr>
            <w:r>
              <w:rPr>
                <w:sz w:val="21"/>
                <w:szCs w:val="21"/>
              </w:rPr>
              <w:t>米</w:t>
            </w:r>
          </w:p>
        </w:tc>
        <w:tc>
          <w:tcPr>
            <w:tcW w:w="989" w:type="dxa"/>
            <w:vAlign w:val="top"/>
          </w:tcPr>
          <w:p w14:paraId="097D70CF">
            <w:pPr>
              <w:pStyle w:val="6"/>
              <w:spacing w:before="230" w:line="239" w:lineRule="auto"/>
              <w:ind w:left="178"/>
              <w:rPr>
                <w:sz w:val="21"/>
                <w:szCs w:val="21"/>
              </w:rPr>
            </w:pPr>
            <w:r>
              <w:rPr>
                <w:spacing w:val="-2"/>
                <w:sz w:val="21"/>
                <w:szCs w:val="21"/>
              </w:rPr>
              <w:t>400.00</w:t>
            </w:r>
          </w:p>
        </w:tc>
        <w:tc>
          <w:tcPr>
            <w:tcW w:w="774" w:type="dxa"/>
            <w:vAlign w:val="top"/>
          </w:tcPr>
          <w:p w14:paraId="53D5779A">
            <w:pPr>
              <w:rPr>
                <w:rFonts w:ascii="Arial"/>
                <w:sz w:val="21"/>
              </w:rPr>
            </w:pPr>
          </w:p>
        </w:tc>
      </w:tr>
      <w:tr w14:paraId="3C0A0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143" w:type="dxa"/>
            <w:vAlign w:val="top"/>
          </w:tcPr>
          <w:p w14:paraId="20750BF0">
            <w:pPr>
              <w:pStyle w:val="6"/>
              <w:spacing w:before="111" w:line="226" w:lineRule="auto"/>
              <w:ind w:left="244"/>
              <w:rPr>
                <w:sz w:val="21"/>
                <w:szCs w:val="21"/>
              </w:rPr>
            </w:pPr>
            <w:r>
              <w:rPr>
                <w:spacing w:val="-2"/>
                <w:sz w:val="21"/>
                <w:szCs w:val="21"/>
              </w:rPr>
              <w:t>2.6.11</w:t>
            </w:r>
          </w:p>
        </w:tc>
        <w:tc>
          <w:tcPr>
            <w:tcW w:w="4375" w:type="dxa"/>
            <w:vAlign w:val="top"/>
          </w:tcPr>
          <w:p w14:paraId="39CC1C39">
            <w:pPr>
              <w:pStyle w:val="6"/>
              <w:spacing w:before="88" w:line="218" w:lineRule="auto"/>
              <w:ind w:left="131"/>
              <w:rPr>
                <w:sz w:val="21"/>
                <w:szCs w:val="21"/>
              </w:rPr>
            </w:pPr>
            <w:r>
              <w:rPr>
                <w:sz w:val="21"/>
                <w:szCs w:val="21"/>
              </w:rPr>
              <w:t>低压电力电缆ZRA-YJV-0.6/1kV-</w:t>
            </w:r>
            <w:r>
              <w:rPr>
                <w:spacing w:val="-1"/>
                <w:sz w:val="21"/>
                <w:szCs w:val="21"/>
              </w:rPr>
              <w:t>3×95+1×50</w:t>
            </w:r>
          </w:p>
        </w:tc>
        <w:tc>
          <w:tcPr>
            <w:tcW w:w="1208" w:type="dxa"/>
            <w:vAlign w:val="top"/>
          </w:tcPr>
          <w:p w14:paraId="0286CB6A">
            <w:pPr>
              <w:pStyle w:val="6"/>
              <w:spacing w:before="90" w:line="219" w:lineRule="auto"/>
              <w:ind w:left="497"/>
              <w:rPr>
                <w:sz w:val="21"/>
                <w:szCs w:val="21"/>
              </w:rPr>
            </w:pPr>
            <w:r>
              <w:rPr>
                <w:sz w:val="21"/>
                <w:szCs w:val="21"/>
              </w:rPr>
              <w:t>米</w:t>
            </w:r>
          </w:p>
        </w:tc>
        <w:tc>
          <w:tcPr>
            <w:tcW w:w="989" w:type="dxa"/>
            <w:vAlign w:val="top"/>
          </w:tcPr>
          <w:p w14:paraId="3A61A913">
            <w:pPr>
              <w:pStyle w:val="6"/>
              <w:spacing w:before="111" w:line="226" w:lineRule="auto"/>
              <w:ind w:left="178"/>
              <w:rPr>
                <w:sz w:val="21"/>
                <w:szCs w:val="21"/>
              </w:rPr>
            </w:pPr>
            <w:r>
              <w:rPr>
                <w:spacing w:val="-2"/>
                <w:sz w:val="21"/>
                <w:szCs w:val="21"/>
              </w:rPr>
              <w:t>200.00</w:t>
            </w:r>
          </w:p>
        </w:tc>
        <w:tc>
          <w:tcPr>
            <w:tcW w:w="774" w:type="dxa"/>
            <w:vAlign w:val="top"/>
          </w:tcPr>
          <w:p w14:paraId="1E484FE2">
            <w:pPr>
              <w:rPr>
                <w:rFonts w:ascii="Arial"/>
                <w:sz w:val="21"/>
              </w:rPr>
            </w:pPr>
          </w:p>
        </w:tc>
      </w:tr>
      <w:tr w14:paraId="3FBC335C">
        <w:tblPrEx>
          <w:tblCellMar>
            <w:top w:w="0" w:type="dxa"/>
            <w:left w:w="0" w:type="dxa"/>
            <w:bottom w:w="0" w:type="dxa"/>
            <w:right w:w="0" w:type="dxa"/>
          </w:tblCellMar>
        </w:tblPrEx>
        <w:trPr>
          <w:trHeight w:val="289" w:hRule="atLeast"/>
        </w:trPr>
        <w:tc>
          <w:tcPr>
            <w:tcW w:w="1143" w:type="dxa"/>
            <w:vAlign w:val="top"/>
          </w:tcPr>
          <w:p w14:paraId="564B5A45">
            <w:pPr>
              <w:pStyle w:val="6"/>
              <w:spacing w:before="62" w:line="190" w:lineRule="auto"/>
              <w:ind w:left="244"/>
              <w:rPr>
                <w:sz w:val="21"/>
                <w:szCs w:val="21"/>
              </w:rPr>
            </w:pPr>
            <w:r>
              <w:rPr>
                <w:spacing w:val="-2"/>
                <w:sz w:val="21"/>
                <w:szCs w:val="21"/>
              </w:rPr>
              <w:t>2.6.12</w:t>
            </w:r>
          </w:p>
        </w:tc>
        <w:tc>
          <w:tcPr>
            <w:tcW w:w="4375" w:type="dxa"/>
            <w:vAlign w:val="top"/>
          </w:tcPr>
          <w:p w14:paraId="1727E156">
            <w:pPr>
              <w:pStyle w:val="6"/>
              <w:spacing w:before="40" w:line="210" w:lineRule="auto"/>
              <w:ind w:left="441"/>
              <w:rPr>
                <w:sz w:val="21"/>
                <w:szCs w:val="21"/>
              </w:rPr>
            </w:pPr>
            <w:r>
              <w:rPr>
                <w:spacing w:val="1"/>
                <w:sz w:val="21"/>
                <w:szCs w:val="21"/>
              </w:rPr>
              <w:t>低压电力电缆</w:t>
            </w:r>
            <w:r>
              <w:rPr>
                <w:sz w:val="21"/>
                <w:szCs w:val="21"/>
              </w:rPr>
              <w:t>ZRA</w:t>
            </w:r>
            <w:r>
              <w:rPr>
                <w:spacing w:val="1"/>
                <w:sz w:val="21"/>
                <w:szCs w:val="21"/>
              </w:rPr>
              <w:t>-</w:t>
            </w:r>
            <w:r>
              <w:rPr>
                <w:sz w:val="21"/>
                <w:szCs w:val="21"/>
              </w:rPr>
              <w:t>YJV</w:t>
            </w:r>
            <w:r>
              <w:rPr>
                <w:spacing w:val="1"/>
                <w:sz w:val="21"/>
                <w:szCs w:val="21"/>
              </w:rPr>
              <w:t>-0.6/1</w:t>
            </w:r>
            <w:r>
              <w:rPr>
                <w:sz w:val="21"/>
                <w:szCs w:val="21"/>
              </w:rPr>
              <w:t>kV</w:t>
            </w:r>
            <w:r>
              <w:rPr>
                <w:spacing w:val="1"/>
                <w:sz w:val="21"/>
                <w:szCs w:val="21"/>
              </w:rPr>
              <w:t>-4×35</w:t>
            </w:r>
          </w:p>
        </w:tc>
        <w:tc>
          <w:tcPr>
            <w:tcW w:w="1208" w:type="dxa"/>
            <w:vAlign w:val="top"/>
          </w:tcPr>
          <w:p w14:paraId="060A48E7">
            <w:pPr>
              <w:pStyle w:val="6"/>
              <w:spacing w:before="41" w:line="209" w:lineRule="auto"/>
              <w:ind w:left="497"/>
              <w:rPr>
                <w:sz w:val="21"/>
                <w:szCs w:val="21"/>
              </w:rPr>
            </w:pPr>
            <w:r>
              <w:rPr>
                <w:sz w:val="21"/>
                <w:szCs w:val="21"/>
              </w:rPr>
              <w:t>米</w:t>
            </w:r>
          </w:p>
        </w:tc>
        <w:tc>
          <w:tcPr>
            <w:tcW w:w="989" w:type="dxa"/>
            <w:vAlign w:val="top"/>
          </w:tcPr>
          <w:p w14:paraId="7D947F30">
            <w:pPr>
              <w:pStyle w:val="6"/>
              <w:spacing w:before="62" w:line="190" w:lineRule="auto"/>
              <w:ind w:left="178"/>
              <w:rPr>
                <w:sz w:val="21"/>
                <w:szCs w:val="21"/>
              </w:rPr>
            </w:pPr>
            <w:r>
              <w:rPr>
                <w:spacing w:val="-2"/>
                <w:sz w:val="21"/>
                <w:szCs w:val="21"/>
              </w:rPr>
              <w:t>300.00</w:t>
            </w:r>
          </w:p>
        </w:tc>
        <w:tc>
          <w:tcPr>
            <w:tcW w:w="774" w:type="dxa"/>
            <w:vAlign w:val="top"/>
          </w:tcPr>
          <w:p w14:paraId="3010B991">
            <w:pPr>
              <w:rPr>
                <w:rFonts w:ascii="Arial"/>
                <w:sz w:val="21"/>
              </w:rPr>
            </w:pPr>
          </w:p>
        </w:tc>
      </w:tr>
      <w:tr w14:paraId="2E4CF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040E65C6">
            <w:pPr>
              <w:pStyle w:val="6"/>
              <w:spacing w:before="83" w:line="199" w:lineRule="auto"/>
              <w:ind w:left="244"/>
              <w:rPr>
                <w:sz w:val="21"/>
                <w:szCs w:val="21"/>
              </w:rPr>
            </w:pPr>
            <w:r>
              <w:rPr>
                <w:spacing w:val="-2"/>
                <w:sz w:val="21"/>
                <w:szCs w:val="21"/>
              </w:rPr>
              <w:t>2.6.13</w:t>
            </w:r>
          </w:p>
        </w:tc>
        <w:tc>
          <w:tcPr>
            <w:tcW w:w="4375" w:type="dxa"/>
            <w:vAlign w:val="top"/>
          </w:tcPr>
          <w:p w14:paraId="07010D59">
            <w:pPr>
              <w:pStyle w:val="6"/>
              <w:spacing w:before="60" w:line="218" w:lineRule="auto"/>
              <w:ind w:left="441"/>
              <w:rPr>
                <w:sz w:val="21"/>
                <w:szCs w:val="21"/>
              </w:rPr>
            </w:pPr>
            <w:r>
              <w:rPr>
                <w:sz w:val="21"/>
                <w:szCs w:val="21"/>
              </w:rPr>
              <w:t>低压电力电缆ZRA-YJV-0.6/1kV-4×16</w:t>
            </w:r>
          </w:p>
        </w:tc>
        <w:tc>
          <w:tcPr>
            <w:tcW w:w="1208" w:type="dxa"/>
            <w:vAlign w:val="top"/>
          </w:tcPr>
          <w:p w14:paraId="34F04AB0">
            <w:pPr>
              <w:pStyle w:val="6"/>
              <w:spacing w:before="62" w:line="218" w:lineRule="auto"/>
              <w:ind w:left="497"/>
              <w:rPr>
                <w:sz w:val="21"/>
                <w:szCs w:val="21"/>
              </w:rPr>
            </w:pPr>
            <w:r>
              <w:rPr>
                <w:sz w:val="21"/>
                <w:szCs w:val="21"/>
              </w:rPr>
              <w:t>米</w:t>
            </w:r>
          </w:p>
        </w:tc>
        <w:tc>
          <w:tcPr>
            <w:tcW w:w="989" w:type="dxa"/>
            <w:vAlign w:val="top"/>
          </w:tcPr>
          <w:p w14:paraId="4DBBE018">
            <w:pPr>
              <w:pStyle w:val="6"/>
              <w:spacing w:before="83" w:line="199" w:lineRule="auto"/>
              <w:ind w:left="178"/>
              <w:rPr>
                <w:sz w:val="21"/>
                <w:szCs w:val="21"/>
              </w:rPr>
            </w:pPr>
            <w:r>
              <w:rPr>
                <w:spacing w:val="-2"/>
                <w:sz w:val="21"/>
                <w:szCs w:val="21"/>
              </w:rPr>
              <w:t>800.00</w:t>
            </w:r>
          </w:p>
        </w:tc>
        <w:tc>
          <w:tcPr>
            <w:tcW w:w="774" w:type="dxa"/>
            <w:vAlign w:val="top"/>
          </w:tcPr>
          <w:p w14:paraId="1476C168">
            <w:pPr>
              <w:rPr>
                <w:rFonts w:ascii="Arial"/>
                <w:sz w:val="21"/>
              </w:rPr>
            </w:pPr>
          </w:p>
        </w:tc>
      </w:tr>
      <w:tr w14:paraId="5B149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143" w:type="dxa"/>
            <w:vAlign w:val="top"/>
          </w:tcPr>
          <w:p w14:paraId="5782AC90">
            <w:pPr>
              <w:pStyle w:val="6"/>
              <w:spacing w:before="63" w:line="190" w:lineRule="auto"/>
              <w:ind w:left="244"/>
              <w:rPr>
                <w:sz w:val="21"/>
                <w:szCs w:val="21"/>
              </w:rPr>
            </w:pPr>
            <w:r>
              <w:rPr>
                <w:spacing w:val="-2"/>
                <w:sz w:val="21"/>
                <w:szCs w:val="21"/>
              </w:rPr>
              <w:t>2.6.14</w:t>
            </w:r>
          </w:p>
        </w:tc>
        <w:tc>
          <w:tcPr>
            <w:tcW w:w="4375" w:type="dxa"/>
            <w:vAlign w:val="top"/>
          </w:tcPr>
          <w:p w14:paraId="283DD225">
            <w:pPr>
              <w:pStyle w:val="6"/>
              <w:spacing w:before="41" w:line="210" w:lineRule="auto"/>
              <w:ind w:left="341"/>
              <w:rPr>
                <w:sz w:val="21"/>
                <w:szCs w:val="21"/>
              </w:rPr>
            </w:pPr>
            <w:r>
              <w:rPr>
                <w:sz w:val="21"/>
                <w:szCs w:val="21"/>
              </w:rPr>
              <w:t>低压电力电缆ZRA-YJV22-0.6</w:t>
            </w:r>
            <w:r>
              <w:rPr>
                <w:spacing w:val="-1"/>
                <w:sz w:val="21"/>
                <w:szCs w:val="21"/>
              </w:rPr>
              <w:t>/1kV-2×10</w:t>
            </w:r>
          </w:p>
        </w:tc>
        <w:tc>
          <w:tcPr>
            <w:tcW w:w="1208" w:type="dxa"/>
            <w:vAlign w:val="top"/>
          </w:tcPr>
          <w:p w14:paraId="75C99003">
            <w:pPr>
              <w:pStyle w:val="6"/>
              <w:spacing w:before="42" w:line="209" w:lineRule="auto"/>
              <w:ind w:left="497"/>
              <w:rPr>
                <w:sz w:val="21"/>
                <w:szCs w:val="21"/>
              </w:rPr>
            </w:pPr>
            <w:r>
              <w:rPr>
                <w:sz w:val="21"/>
                <w:szCs w:val="21"/>
              </w:rPr>
              <w:t>米</w:t>
            </w:r>
          </w:p>
        </w:tc>
        <w:tc>
          <w:tcPr>
            <w:tcW w:w="989" w:type="dxa"/>
            <w:vAlign w:val="top"/>
          </w:tcPr>
          <w:p w14:paraId="5329E561">
            <w:pPr>
              <w:pStyle w:val="6"/>
              <w:spacing w:before="63" w:line="190" w:lineRule="auto"/>
              <w:ind w:left="178"/>
              <w:rPr>
                <w:sz w:val="21"/>
                <w:szCs w:val="21"/>
              </w:rPr>
            </w:pPr>
            <w:r>
              <w:rPr>
                <w:spacing w:val="-2"/>
                <w:sz w:val="21"/>
                <w:szCs w:val="21"/>
              </w:rPr>
              <w:t>200.00</w:t>
            </w:r>
          </w:p>
        </w:tc>
        <w:tc>
          <w:tcPr>
            <w:tcW w:w="774" w:type="dxa"/>
            <w:vAlign w:val="top"/>
          </w:tcPr>
          <w:p w14:paraId="279B54D8">
            <w:pPr>
              <w:rPr>
                <w:rFonts w:ascii="Arial"/>
                <w:sz w:val="21"/>
              </w:rPr>
            </w:pPr>
          </w:p>
        </w:tc>
      </w:tr>
      <w:tr w14:paraId="4D3ABD1A">
        <w:tblPrEx>
          <w:tblCellMar>
            <w:top w:w="0" w:type="dxa"/>
            <w:left w:w="0" w:type="dxa"/>
            <w:bottom w:w="0" w:type="dxa"/>
            <w:right w:w="0" w:type="dxa"/>
          </w:tblCellMar>
        </w:tblPrEx>
        <w:trPr>
          <w:trHeight w:val="320" w:hRule="atLeast"/>
        </w:trPr>
        <w:tc>
          <w:tcPr>
            <w:tcW w:w="1143" w:type="dxa"/>
            <w:vAlign w:val="top"/>
          </w:tcPr>
          <w:p w14:paraId="5DBFD4C4">
            <w:pPr>
              <w:pStyle w:val="6"/>
              <w:spacing w:before="83" w:line="199" w:lineRule="auto"/>
              <w:ind w:left="244"/>
              <w:rPr>
                <w:sz w:val="21"/>
                <w:szCs w:val="21"/>
              </w:rPr>
            </w:pPr>
            <w:r>
              <w:rPr>
                <w:spacing w:val="-2"/>
                <w:sz w:val="21"/>
                <w:szCs w:val="21"/>
              </w:rPr>
              <w:t>2.6.15</w:t>
            </w:r>
          </w:p>
        </w:tc>
        <w:tc>
          <w:tcPr>
            <w:tcW w:w="4375" w:type="dxa"/>
            <w:vAlign w:val="top"/>
          </w:tcPr>
          <w:p w14:paraId="79C4B8B8">
            <w:pPr>
              <w:pStyle w:val="6"/>
              <w:spacing w:before="60" w:line="218" w:lineRule="auto"/>
              <w:ind w:left="441"/>
              <w:rPr>
                <w:sz w:val="21"/>
                <w:szCs w:val="21"/>
              </w:rPr>
            </w:pPr>
            <w:r>
              <w:rPr>
                <w:sz w:val="21"/>
                <w:szCs w:val="21"/>
              </w:rPr>
              <w:t>低压电力电缆NH-YJV22-0.6/1kV-4×6</w:t>
            </w:r>
          </w:p>
        </w:tc>
        <w:tc>
          <w:tcPr>
            <w:tcW w:w="1208" w:type="dxa"/>
            <w:vAlign w:val="top"/>
          </w:tcPr>
          <w:p w14:paraId="3BE1E2D4">
            <w:pPr>
              <w:pStyle w:val="6"/>
              <w:spacing w:before="62" w:line="218" w:lineRule="auto"/>
              <w:ind w:left="497"/>
              <w:rPr>
                <w:sz w:val="21"/>
                <w:szCs w:val="21"/>
              </w:rPr>
            </w:pPr>
            <w:r>
              <w:rPr>
                <w:sz w:val="21"/>
                <w:szCs w:val="21"/>
              </w:rPr>
              <w:t>米</w:t>
            </w:r>
          </w:p>
        </w:tc>
        <w:tc>
          <w:tcPr>
            <w:tcW w:w="989" w:type="dxa"/>
            <w:vAlign w:val="top"/>
          </w:tcPr>
          <w:p w14:paraId="35189731">
            <w:pPr>
              <w:pStyle w:val="6"/>
              <w:spacing w:before="83" w:line="199" w:lineRule="auto"/>
              <w:ind w:left="178"/>
              <w:rPr>
                <w:sz w:val="21"/>
                <w:szCs w:val="21"/>
              </w:rPr>
            </w:pPr>
            <w:r>
              <w:rPr>
                <w:spacing w:val="-2"/>
                <w:sz w:val="21"/>
                <w:szCs w:val="21"/>
              </w:rPr>
              <w:t>200.00</w:t>
            </w:r>
          </w:p>
        </w:tc>
        <w:tc>
          <w:tcPr>
            <w:tcW w:w="774" w:type="dxa"/>
            <w:vAlign w:val="top"/>
          </w:tcPr>
          <w:p w14:paraId="67D89134">
            <w:pPr>
              <w:rPr>
                <w:rFonts w:ascii="Arial"/>
                <w:sz w:val="21"/>
              </w:rPr>
            </w:pPr>
          </w:p>
        </w:tc>
      </w:tr>
      <w:tr w14:paraId="47485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143" w:type="dxa"/>
            <w:vAlign w:val="top"/>
          </w:tcPr>
          <w:p w14:paraId="52A77311">
            <w:pPr>
              <w:pStyle w:val="6"/>
              <w:spacing w:before="83" w:line="208" w:lineRule="auto"/>
              <w:ind w:left="244"/>
              <w:rPr>
                <w:sz w:val="21"/>
                <w:szCs w:val="21"/>
              </w:rPr>
            </w:pPr>
            <w:r>
              <w:rPr>
                <w:spacing w:val="-2"/>
                <w:sz w:val="21"/>
                <w:szCs w:val="21"/>
              </w:rPr>
              <w:t>2.6.16</w:t>
            </w:r>
          </w:p>
        </w:tc>
        <w:tc>
          <w:tcPr>
            <w:tcW w:w="4375" w:type="dxa"/>
            <w:vAlign w:val="top"/>
          </w:tcPr>
          <w:p w14:paraId="379DA5CB">
            <w:pPr>
              <w:pStyle w:val="6"/>
              <w:spacing w:before="60" w:line="218" w:lineRule="auto"/>
              <w:ind w:left="391"/>
              <w:rPr>
                <w:sz w:val="21"/>
                <w:szCs w:val="21"/>
              </w:rPr>
            </w:pPr>
            <w:r>
              <w:rPr>
                <w:spacing w:val="-1"/>
                <w:sz w:val="21"/>
                <w:szCs w:val="21"/>
              </w:rPr>
              <w:t>低压电力电缆ZRA-YJV22-0.6/1kV-2×6</w:t>
            </w:r>
          </w:p>
        </w:tc>
        <w:tc>
          <w:tcPr>
            <w:tcW w:w="1208" w:type="dxa"/>
            <w:vAlign w:val="top"/>
          </w:tcPr>
          <w:p w14:paraId="7E88B73D">
            <w:pPr>
              <w:pStyle w:val="6"/>
              <w:spacing w:before="62" w:line="219" w:lineRule="auto"/>
              <w:ind w:left="497"/>
              <w:rPr>
                <w:sz w:val="21"/>
                <w:szCs w:val="21"/>
              </w:rPr>
            </w:pPr>
            <w:r>
              <w:rPr>
                <w:sz w:val="21"/>
                <w:szCs w:val="21"/>
              </w:rPr>
              <w:t>米</w:t>
            </w:r>
          </w:p>
        </w:tc>
        <w:tc>
          <w:tcPr>
            <w:tcW w:w="989" w:type="dxa"/>
            <w:vAlign w:val="top"/>
          </w:tcPr>
          <w:p w14:paraId="395A6650">
            <w:pPr>
              <w:pStyle w:val="6"/>
              <w:spacing w:before="83" w:line="208" w:lineRule="auto"/>
              <w:ind w:left="178"/>
              <w:rPr>
                <w:sz w:val="21"/>
                <w:szCs w:val="21"/>
              </w:rPr>
            </w:pPr>
            <w:r>
              <w:rPr>
                <w:spacing w:val="-2"/>
                <w:sz w:val="21"/>
                <w:szCs w:val="21"/>
              </w:rPr>
              <w:t>200.00</w:t>
            </w:r>
          </w:p>
        </w:tc>
        <w:tc>
          <w:tcPr>
            <w:tcW w:w="774" w:type="dxa"/>
            <w:vAlign w:val="top"/>
          </w:tcPr>
          <w:p w14:paraId="71E19E16">
            <w:pPr>
              <w:rPr>
                <w:rFonts w:ascii="Arial"/>
                <w:sz w:val="21"/>
              </w:rPr>
            </w:pPr>
          </w:p>
        </w:tc>
      </w:tr>
      <w:tr w14:paraId="3907C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67FF7D0A">
            <w:pPr>
              <w:pStyle w:val="6"/>
              <w:spacing w:before="83" w:line="199" w:lineRule="auto"/>
              <w:ind w:left="244"/>
              <w:rPr>
                <w:sz w:val="21"/>
                <w:szCs w:val="21"/>
              </w:rPr>
            </w:pPr>
            <w:r>
              <w:rPr>
                <w:spacing w:val="-2"/>
                <w:sz w:val="21"/>
                <w:szCs w:val="21"/>
              </w:rPr>
              <w:t>2.6.17</w:t>
            </w:r>
          </w:p>
        </w:tc>
        <w:tc>
          <w:tcPr>
            <w:tcW w:w="4375" w:type="dxa"/>
            <w:vAlign w:val="top"/>
          </w:tcPr>
          <w:p w14:paraId="326CEAF2">
            <w:pPr>
              <w:pStyle w:val="6"/>
              <w:spacing w:before="60" w:line="218" w:lineRule="auto"/>
              <w:ind w:left="502"/>
              <w:rPr>
                <w:sz w:val="21"/>
                <w:szCs w:val="21"/>
              </w:rPr>
            </w:pPr>
            <w:r>
              <w:rPr>
                <w:spacing w:val="-1"/>
                <w:sz w:val="21"/>
                <w:szCs w:val="21"/>
              </w:rPr>
              <w:t>低压电力电缆ZRA-YJV-0.6/1kV-3×4</w:t>
            </w:r>
          </w:p>
        </w:tc>
        <w:tc>
          <w:tcPr>
            <w:tcW w:w="1208" w:type="dxa"/>
            <w:vAlign w:val="top"/>
          </w:tcPr>
          <w:p w14:paraId="76101BDB">
            <w:pPr>
              <w:pStyle w:val="6"/>
              <w:spacing w:before="62" w:line="218" w:lineRule="auto"/>
              <w:ind w:left="497"/>
              <w:rPr>
                <w:sz w:val="21"/>
                <w:szCs w:val="21"/>
              </w:rPr>
            </w:pPr>
            <w:r>
              <w:rPr>
                <w:sz w:val="21"/>
                <w:szCs w:val="21"/>
              </w:rPr>
              <w:t>米</w:t>
            </w:r>
          </w:p>
        </w:tc>
        <w:tc>
          <w:tcPr>
            <w:tcW w:w="989" w:type="dxa"/>
            <w:vAlign w:val="top"/>
          </w:tcPr>
          <w:p w14:paraId="1881CAB7">
            <w:pPr>
              <w:pStyle w:val="6"/>
              <w:spacing w:before="83" w:line="199" w:lineRule="auto"/>
              <w:ind w:left="178"/>
              <w:rPr>
                <w:sz w:val="21"/>
                <w:szCs w:val="21"/>
              </w:rPr>
            </w:pPr>
            <w:r>
              <w:rPr>
                <w:spacing w:val="-2"/>
                <w:sz w:val="21"/>
                <w:szCs w:val="21"/>
              </w:rPr>
              <w:t>400.00</w:t>
            </w:r>
          </w:p>
        </w:tc>
        <w:tc>
          <w:tcPr>
            <w:tcW w:w="774" w:type="dxa"/>
            <w:vAlign w:val="top"/>
          </w:tcPr>
          <w:p w14:paraId="2D16E5FF">
            <w:pPr>
              <w:rPr>
                <w:rFonts w:ascii="Arial"/>
                <w:sz w:val="21"/>
              </w:rPr>
            </w:pPr>
          </w:p>
        </w:tc>
      </w:tr>
      <w:tr w14:paraId="630D6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143" w:type="dxa"/>
            <w:vAlign w:val="top"/>
          </w:tcPr>
          <w:p w14:paraId="6714FC39">
            <w:pPr>
              <w:pStyle w:val="6"/>
              <w:spacing w:before="64" w:line="189" w:lineRule="auto"/>
              <w:ind w:left="244"/>
              <w:rPr>
                <w:sz w:val="21"/>
                <w:szCs w:val="21"/>
              </w:rPr>
            </w:pPr>
            <w:r>
              <w:rPr>
                <w:spacing w:val="-2"/>
                <w:sz w:val="21"/>
                <w:szCs w:val="21"/>
              </w:rPr>
              <w:t>2.6.18</w:t>
            </w:r>
          </w:p>
        </w:tc>
        <w:tc>
          <w:tcPr>
            <w:tcW w:w="4375" w:type="dxa"/>
            <w:vAlign w:val="top"/>
          </w:tcPr>
          <w:p w14:paraId="361F8B5F">
            <w:pPr>
              <w:pStyle w:val="6"/>
              <w:spacing w:before="41" w:line="209" w:lineRule="auto"/>
              <w:ind w:left="81"/>
              <w:rPr>
                <w:sz w:val="21"/>
                <w:szCs w:val="21"/>
              </w:rPr>
            </w:pPr>
            <w:r>
              <w:rPr>
                <w:sz w:val="21"/>
                <w:szCs w:val="21"/>
              </w:rPr>
              <w:t>低压电力电缆NH-YJV22-0.6/1kV-</w:t>
            </w:r>
            <w:r>
              <w:rPr>
                <w:spacing w:val="-1"/>
                <w:sz w:val="21"/>
                <w:szCs w:val="21"/>
              </w:rPr>
              <w:t>3×95+1×50</w:t>
            </w:r>
          </w:p>
        </w:tc>
        <w:tc>
          <w:tcPr>
            <w:tcW w:w="1208" w:type="dxa"/>
            <w:vAlign w:val="top"/>
          </w:tcPr>
          <w:p w14:paraId="2FB82D25">
            <w:pPr>
              <w:pStyle w:val="6"/>
              <w:spacing w:before="42" w:line="208" w:lineRule="auto"/>
              <w:ind w:left="497"/>
              <w:rPr>
                <w:sz w:val="21"/>
                <w:szCs w:val="21"/>
              </w:rPr>
            </w:pPr>
            <w:r>
              <w:rPr>
                <w:sz w:val="21"/>
                <w:szCs w:val="21"/>
              </w:rPr>
              <w:t>米</w:t>
            </w:r>
          </w:p>
        </w:tc>
        <w:tc>
          <w:tcPr>
            <w:tcW w:w="989" w:type="dxa"/>
            <w:vAlign w:val="top"/>
          </w:tcPr>
          <w:p w14:paraId="4E2D85DF">
            <w:pPr>
              <w:pStyle w:val="6"/>
              <w:spacing w:before="64" w:line="189" w:lineRule="auto"/>
              <w:ind w:left="178"/>
              <w:rPr>
                <w:sz w:val="21"/>
                <w:szCs w:val="21"/>
              </w:rPr>
            </w:pPr>
            <w:r>
              <w:rPr>
                <w:spacing w:val="-4"/>
                <w:sz w:val="21"/>
                <w:szCs w:val="21"/>
              </w:rPr>
              <w:t>150.00</w:t>
            </w:r>
          </w:p>
        </w:tc>
        <w:tc>
          <w:tcPr>
            <w:tcW w:w="774" w:type="dxa"/>
            <w:vAlign w:val="top"/>
          </w:tcPr>
          <w:p w14:paraId="6A035813">
            <w:pPr>
              <w:rPr>
                <w:rFonts w:ascii="Arial"/>
                <w:sz w:val="21"/>
              </w:rPr>
            </w:pPr>
          </w:p>
        </w:tc>
      </w:tr>
      <w:tr w14:paraId="28759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0E3A5BB1">
            <w:pPr>
              <w:pStyle w:val="6"/>
              <w:spacing w:before="84" w:line="198" w:lineRule="auto"/>
              <w:ind w:left="244"/>
              <w:rPr>
                <w:sz w:val="21"/>
                <w:szCs w:val="21"/>
              </w:rPr>
            </w:pPr>
            <w:r>
              <w:rPr>
                <w:spacing w:val="-2"/>
                <w:sz w:val="21"/>
                <w:szCs w:val="21"/>
              </w:rPr>
              <w:t>2.6.19</w:t>
            </w:r>
          </w:p>
        </w:tc>
        <w:tc>
          <w:tcPr>
            <w:tcW w:w="4375" w:type="dxa"/>
            <w:vAlign w:val="top"/>
          </w:tcPr>
          <w:p w14:paraId="2F3356F6">
            <w:pPr>
              <w:pStyle w:val="6"/>
              <w:spacing w:before="61" w:line="218" w:lineRule="auto"/>
              <w:ind w:left="391"/>
              <w:rPr>
                <w:sz w:val="21"/>
                <w:szCs w:val="21"/>
              </w:rPr>
            </w:pPr>
            <w:r>
              <w:rPr>
                <w:spacing w:val="-1"/>
                <w:sz w:val="21"/>
                <w:szCs w:val="21"/>
              </w:rPr>
              <w:t>低压电力电缆NH-YJV22-0.6/1kV-2×10</w:t>
            </w:r>
          </w:p>
        </w:tc>
        <w:tc>
          <w:tcPr>
            <w:tcW w:w="1208" w:type="dxa"/>
            <w:vAlign w:val="top"/>
          </w:tcPr>
          <w:p w14:paraId="20D6F637">
            <w:pPr>
              <w:pStyle w:val="6"/>
              <w:spacing w:before="63" w:line="217" w:lineRule="auto"/>
              <w:ind w:left="497"/>
              <w:rPr>
                <w:sz w:val="21"/>
                <w:szCs w:val="21"/>
              </w:rPr>
            </w:pPr>
            <w:r>
              <w:rPr>
                <w:sz w:val="21"/>
                <w:szCs w:val="21"/>
              </w:rPr>
              <w:t>米</w:t>
            </w:r>
          </w:p>
        </w:tc>
        <w:tc>
          <w:tcPr>
            <w:tcW w:w="989" w:type="dxa"/>
            <w:vAlign w:val="top"/>
          </w:tcPr>
          <w:p w14:paraId="29173F36">
            <w:pPr>
              <w:pStyle w:val="6"/>
              <w:spacing w:before="84" w:line="198" w:lineRule="auto"/>
              <w:ind w:left="228"/>
              <w:rPr>
                <w:sz w:val="21"/>
                <w:szCs w:val="21"/>
              </w:rPr>
            </w:pPr>
            <w:r>
              <w:rPr>
                <w:spacing w:val="-2"/>
                <w:sz w:val="21"/>
                <w:szCs w:val="21"/>
              </w:rPr>
              <w:t>50.00</w:t>
            </w:r>
          </w:p>
        </w:tc>
        <w:tc>
          <w:tcPr>
            <w:tcW w:w="774" w:type="dxa"/>
            <w:vAlign w:val="top"/>
          </w:tcPr>
          <w:p w14:paraId="02BD07A4">
            <w:pPr>
              <w:rPr>
                <w:rFonts w:ascii="Arial"/>
                <w:sz w:val="21"/>
              </w:rPr>
            </w:pPr>
          </w:p>
        </w:tc>
      </w:tr>
      <w:tr w14:paraId="68558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143" w:type="dxa"/>
            <w:vAlign w:val="top"/>
          </w:tcPr>
          <w:p w14:paraId="4606AA3D">
            <w:pPr>
              <w:pStyle w:val="6"/>
              <w:spacing w:before="164" w:line="239" w:lineRule="auto"/>
              <w:ind w:left="244"/>
              <w:rPr>
                <w:sz w:val="21"/>
                <w:szCs w:val="21"/>
              </w:rPr>
            </w:pPr>
            <w:r>
              <w:rPr>
                <w:spacing w:val="-2"/>
                <w:sz w:val="21"/>
                <w:szCs w:val="21"/>
              </w:rPr>
              <w:t>2.6.20</w:t>
            </w:r>
          </w:p>
        </w:tc>
        <w:tc>
          <w:tcPr>
            <w:tcW w:w="4375" w:type="dxa"/>
            <w:vAlign w:val="top"/>
          </w:tcPr>
          <w:p w14:paraId="19BDE463">
            <w:pPr>
              <w:pStyle w:val="6"/>
              <w:spacing w:before="142" w:line="219" w:lineRule="auto"/>
              <w:ind w:left="1072"/>
              <w:rPr>
                <w:sz w:val="21"/>
                <w:szCs w:val="21"/>
              </w:rPr>
            </w:pPr>
            <w:r>
              <w:rPr>
                <w:spacing w:val="3"/>
                <w:sz w:val="21"/>
                <w:szCs w:val="21"/>
              </w:rPr>
              <w:t>热镀锌槽盒(400*200</w:t>
            </w:r>
            <w:r>
              <w:rPr>
                <w:sz w:val="21"/>
                <w:szCs w:val="21"/>
              </w:rPr>
              <w:t>mm</w:t>
            </w:r>
            <w:r>
              <w:rPr>
                <w:spacing w:val="3"/>
                <w:sz w:val="21"/>
                <w:szCs w:val="21"/>
              </w:rPr>
              <w:t>)</w:t>
            </w:r>
          </w:p>
        </w:tc>
        <w:tc>
          <w:tcPr>
            <w:tcW w:w="1208" w:type="dxa"/>
            <w:vAlign w:val="top"/>
          </w:tcPr>
          <w:p w14:paraId="1495355F">
            <w:pPr>
              <w:pStyle w:val="6"/>
              <w:spacing w:before="143" w:line="219" w:lineRule="auto"/>
              <w:ind w:left="497"/>
              <w:rPr>
                <w:sz w:val="21"/>
                <w:szCs w:val="21"/>
              </w:rPr>
            </w:pPr>
            <w:r>
              <w:rPr>
                <w:sz w:val="21"/>
                <w:szCs w:val="21"/>
              </w:rPr>
              <w:t>米</w:t>
            </w:r>
          </w:p>
        </w:tc>
        <w:tc>
          <w:tcPr>
            <w:tcW w:w="989" w:type="dxa"/>
            <w:vAlign w:val="top"/>
          </w:tcPr>
          <w:p w14:paraId="1C81B293">
            <w:pPr>
              <w:pStyle w:val="6"/>
              <w:spacing w:before="164" w:line="239" w:lineRule="auto"/>
              <w:ind w:left="178"/>
              <w:rPr>
                <w:sz w:val="21"/>
                <w:szCs w:val="21"/>
              </w:rPr>
            </w:pPr>
            <w:r>
              <w:rPr>
                <w:spacing w:val="-2"/>
                <w:sz w:val="21"/>
                <w:szCs w:val="21"/>
              </w:rPr>
              <w:t>200.00</w:t>
            </w:r>
          </w:p>
        </w:tc>
        <w:tc>
          <w:tcPr>
            <w:tcW w:w="774" w:type="dxa"/>
            <w:vAlign w:val="top"/>
          </w:tcPr>
          <w:p w14:paraId="0670DA0D">
            <w:pPr>
              <w:rPr>
                <w:rFonts w:ascii="Arial"/>
                <w:sz w:val="21"/>
              </w:rPr>
            </w:pPr>
          </w:p>
        </w:tc>
      </w:tr>
      <w:tr w14:paraId="59A19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76F16BBF">
            <w:pPr>
              <w:pStyle w:val="6"/>
              <w:spacing w:before="85" w:line="197" w:lineRule="auto"/>
              <w:ind w:left="244"/>
              <w:rPr>
                <w:sz w:val="21"/>
                <w:szCs w:val="21"/>
              </w:rPr>
            </w:pPr>
            <w:r>
              <w:rPr>
                <w:spacing w:val="-2"/>
                <w:sz w:val="21"/>
                <w:szCs w:val="21"/>
              </w:rPr>
              <w:t>2.6.21</w:t>
            </w:r>
          </w:p>
        </w:tc>
        <w:tc>
          <w:tcPr>
            <w:tcW w:w="4375" w:type="dxa"/>
            <w:vAlign w:val="top"/>
          </w:tcPr>
          <w:p w14:paraId="3A6A3B97">
            <w:pPr>
              <w:pStyle w:val="6"/>
              <w:spacing w:before="64" w:line="216" w:lineRule="auto"/>
              <w:ind w:left="1551"/>
              <w:rPr>
                <w:sz w:val="21"/>
                <w:szCs w:val="21"/>
              </w:rPr>
            </w:pPr>
            <w:r>
              <w:rPr>
                <w:spacing w:val="-2"/>
                <w:sz w:val="21"/>
                <w:szCs w:val="21"/>
              </w:rPr>
              <w:t>无机防火堵料</w:t>
            </w:r>
          </w:p>
        </w:tc>
        <w:tc>
          <w:tcPr>
            <w:tcW w:w="1208" w:type="dxa"/>
            <w:vAlign w:val="top"/>
          </w:tcPr>
          <w:p w14:paraId="3520E5C0">
            <w:pPr>
              <w:pStyle w:val="6"/>
              <w:spacing w:before="57" w:line="214" w:lineRule="auto"/>
              <w:ind w:left="497"/>
              <w:rPr>
                <w:sz w:val="21"/>
                <w:szCs w:val="21"/>
              </w:rPr>
            </w:pPr>
            <w:r>
              <w:rPr>
                <w:spacing w:val="-2"/>
                <w:sz w:val="21"/>
                <w:szCs w:val="21"/>
              </w:rPr>
              <w:t>kg</w:t>
            </w:r>
          </w:p>
        </w:tc>
        <w:tc>
          <w:tcPr>
            <w:tcW w:w="989" w:type="dxa"/>
            <w:vAlign w:val="top"/>
          </w:tcPr>
          <w:p w14:paraId="06C1CF41">
            <w:pPr>
              <w:pStyle w:val="6"/>
              <w:spacing w:before="85" w:line="197" w:lineRule="auto"/>
              <w:ind w:left="178"/>
              <w:rPr>
                <w:sz w:val="21"/>
                <w:szCs w:val="21"/>
              </w:rPr>
            </w:pPr>
            <w:r>
              <w:rPr>
                <w:spacing w:val="-2"/>
                <w:sz w:val="21"/>
                <w:szCs w:val="21"/>
              </w:rPr>
              <w:t>300.00</w:t>
            </w:r>
          </w:p>
        </w:tc>
        <w:tc>
          <w:tcPr>
            <w:tcW w:w="774" w:type="dxa"/>
            <w:vAlign w:val="top"/>
          </w:tcPr>
          <w:p w14:paraId="27E1E2A4">
            <w:pPr>
              <w:rPr>
                <w:rFonts w:ascii="Arial"/>
                <w:sz w:val="21"/>
              </w:rPr>
            </w:pPr>
          </w:p>
        </w:tc>
      </w:tr>
      <w:tr w14:paraId="58B1E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43" w:type="dxa"/>
            <w:vAlign w:val="top"/>
          </w:tcPr>
          <w:p w14:paraId="0825322D">
            <w:pPr>
              <w:pStyle w:val="6"/>
              <w:spacing w:before="76" w:line="188" w:lineRule="auto"/>
              <w:ind w:left="244"/>
              <w:rPr>
                <w:sz w:val="21"/>
                <w:szCs w:val="21"/>
              </w:rPr>
            </w:pPr>
            <w:r>
              <w:rPr>
                <w:spacing w:val="-2"/>
                <w:sz w:val="21"/>
                <w:szCs w:val="21"/>
              </w:rPr>
              <w:t>2.6.22</w:t>
            </w:r>
          </w:p>
        </w:tc>
        <w:tc>
          <w:tcPr>
            <w:tcW w:w="4375" w:type="dxa"/>
            <w:vAlign w:val="top"/>
          </w:tcPr>
          <w:p w14:paraId="66A2AB42">
            <w:pPr>
              <w:pStyle w:val="6"/>
              <w:spacing w:before="53" w:line="208" w:lineRule="auto"/>
              <w:ind w:left="1551"/>
              <w:rPr>
                <w:sz w:val="21"/>
                <w:szCs w:val="21"/>
              </w:rPr>
            </w:pPr>
            <w:r>
              <w:rPr>
                <w:spacing w:val="-2"/>
                <w:sz w:val="21"/>
                <w:szCs w:val="21"/>
              </w:rPr>
              <w:t>有机防火堵料</w:t>
            </w:r>
          </w:p>
        </w:tc>
        <w:tc>
          <w:tcPr>
            <w:tcW w:w="1208" w:type="dxa"/>
            <w:vAlign w:val="top"/>
          </w:tcPr>
          <w:p w14:paraId="4694EAEC">
            <w:pPr>
              <w:pStyle w:val="6"/>
              <w:spacing w:before="47" w:line="213" w:lineRule="auto"/>
              <w:ind w:left="497"/>
              <w:rPr>
                <w:sz w:val="21"/>
                <w:szCs w:val="21"/>
              </w:rPr>
            </w:pPr>
            <w:r>
              <w:rPr>
                <w:spacing w:val="-2"/>
                <w:sz w:val="21"/>
                <w:szCs w:val="21"/>
              </w:rPr>
              <w:t>kg</w:t>
            </w:r>
          </w:p>
        </w:tc>
        <w:tc>
          <w:tcPr>
            <w:tcW w:w="989" w:type="dxa"/>
            <w:vAlign w:val="top"/>
          </w:tcPr>
          <w:p w14:paraId="68CD888F">
            <w:pPr>
              <w:pStyle w:val="6"/>
              <w:spacing w:before="76" w:line="188" w:lineRule="auto"/>
              <w:ind w:left="178"/>
              <w:rPr>
                <w:sz w:val="21"/>
                <w:szCs w:val="21"/>
              </w:rPr>
            </w:pPr>
            <w:r>
              <w:rPr>
                <w:spacing w:val="-2"/>
                <w:sz w:val="21"/>
                <w:szCs w:val="21"/>
              </w:rPr>
              <w:t>600.00</w:t>
            </w:r>
          </w:p>
        </w:tc>
        <w:tc>
          <w:tcPr>
            <w:tcW w:w="774" w:type="dxa"/>
            <w:vAlign w:val="top"/>
          </w:tcPr>
          <w:p w14:paraId="7F2C2298">
            <w:pPr>
              <w:rPr>
                <w:rFonts w:ascii="Arial"/>
                <w:sz w:val="21"/>
              </w:rPr>
            </w:pPr>
          </w:p>
        </w:tc>
      </w:tr>
      <w:tr w14:paraId="657BD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248CDDF8">
            <w:pPr>
              <w:pStyle w:val="6"/>
              <w:spacing w:before="85" w:line="197" w:lineRule="auto"/>
              <w:ind w:left="244"/>
              <w:rPr>
                <w:sz w:val="21"/>
                <w:szCs w:val="21"/>
              </w:rPr>
            </w:pPr>
            <w:r>
              <w:rPr>
                <w:spacing w:val="-2"/>
                <w:sz w:val="21"/>
                <w:szCs w:val="21"/>
              </w:rPr>
              <w:t>2.6.23</w:t>
            </w:r>
          </w:p>
        </w:tc>
        <w:tc>
          <w:tcPr>
            <w:tcW w:w="4375" w:type="dxa"/>
            <w:vAlign w:val="top"/>
          </w:tcPr>
          <w:p w14:paraId="095137D1">
            <w:pPr>
              <w:pStyle w:val="6"/>
              <w:spacing w:before="64" w:line="216" w:lineRule="auto"/>
              <w:ind w:left="1761"/>
              <w:rPr>
                <w:sz w:val="21"/>
                <w:szCs w:val="21"/>
              </w:rPr>
            </w:pPr>
            <w:r>
              <w:rPr>
                <w:spacing w:val="1"/>
                <w:sz w:val="21"/>
                <w:szCs w:val="21"/>
              </w:rPr>
              <w:t>防火涂料</w:t>
            </w:r>
          </w:p>
        </w:tc>
        <w:tc>
          <w:tcPr>
            <w:tcW w:w="1208" w:type="dxa"/>
            <w:vAlign w:val="top"/>
          </w:tcPr>
          <w:p w14:paraId="31750698">
            <w:pPr>
              <w:pStyle w:val="6"/>
              <w:spacing w:before="57" w:line="214" w:lineRule="auto"/>
              <w:ind w:left="497"/>
              <w:rPr>
                <w:sz w:val="21"/>
                <w:szCs w:val="21"/>
              </w:rPr>
            </w:pPr>
            <w:r>
              <w:rPr>
                <w:spacing w:val="-2"/>
                <w:sz w:val="21"/>
                <w:szCs w:val="21"/>
              </w:rPr>
              <w:t>kg</w:t>
            </w:r>
          </w:p>
        </w:tc>
        <w:tc>
          <w:tcPr>
            <w:tcW w:w="989" w:type="dxa"/>
            <w:vAlign w:val="top"/>
          </w:tcPr>
          <w:p w14:paraId="5A82298F">
            <w:pPr>
              <w:pStyle w:val="6"/>
              <w:spacing w:before="85" w:line="197" w:lineRule="auto"/>
              <w:ind w:left="178"/>
              <w:rPr>
                <w:sz w:val="21"/>
                <w:szCs w:val="21"/>
              </w:rPr>
            </w:pPr>
            <w:r>
              <w:rPr>
                <w:spacing w:val="-2"/>
                <w:sz w:val="21"/>
                <w:szCs w:val="21"/>
              </w:rPr>
              <w:t>300.00</w:t>
            </w:r>
          </w:p>
        </w:tc>
        <w:tc>
          <w:tcPr>
            <w:tcW w:w="774" w:type="dxa"/>
            <w:vAlign w:val="top"/>
          </w:tcPr>
          <w:p w14:paraId="1C890067">
            <w:pPr>
              <w:rPr>
                <w:rFonts w:ascii="Arial"/>
                <w:sz w:val="21"/>
              </w:rPr>
            </w:pPr>
          </w:p>
        </w:tc>
      </w:tr>
      <w:tr w14:paraId="3353E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7929F941">
            <w:pPr>
              <w:pStyle w:val="6"/>
              <w:spacing w:before="85" w:line="197" w:lineRule="auto"/>
              <w:ind w:left="244"/>
              <w:rPr>
                <w:sz w:val="21"/>
                <w:szCs w:val="21"/>
              </w:rPr>
            </w:pPr>
            <w:r>
              <w:rPr>
                <w:spacing w:val="-2"/>
                <w:sz w:val="21"/>
                <w:szCs w:val="21"/>
              </w:rPr>
              <w:t>2.6.24</w:t>
            </w:r>
          </w:p>
        </w:tc>
        <w:tc>
          <w:tcPr>
            <w:tcW w:w="4375" w:type="dxa"/>
            <w:vAlign w:val="top"/>
          </w:tcPr>
          <w:p w14:paraId="0547B167">
            <w:pPr>
              <w:pStyle w:val="6"/>
              <w:spacing w:before="64" w:line="216" w:lineRule="auto"/>
              <w:ind w:left="1342"/>
              <w:rPr>
                <w:sz w:val="21"/>
                <w:szCs w:val="21"/>
              </w:rPr>
            </w:pPr>
            <w:r>
              <w:rPr>
                <w:spacing w:val="1"/>
                <w:sz w:val="21"/>
                <w:szCs w:val="21"/>
              </w:rPr>
              <w:t>电缆沟层耐火隔板</w:t>
            </w:r>
          </w:p>
        </w:tc>
        <w:tc>
          <w:tcPr>
            <w:tcW w:w="1208" w:type="dxa"/>
            <w:vAlign w:val="top"/>
          </w:tcPr>
          <w:p w14:paraId="621D4F15">
            <w:pPr>
              <w:pStyle w:val="6"/>
              <w:spacing w:before="85" w:line="197" w:lineRule="auto"/>
              <w:ind w:left="497"/>
              <w:rPr>
                <w:sz w:val="21"/>
                <w:szCs w:val="21"/>
              </w:rPr>
            </w:pPr>
            <w:r>
              <w:rPr>
                <w:spacing w:val="-1"/>
                <w:sz w:val="21"/>
                <w:szCs w:val="21"/>
              </w:rPr>
              <w:t>m2</w:t>
            </w:r>
          </w:p>
        </w:tc>
        <w:tc>
          <w:tcPr>
            <w:tcW w:w="989" w:type="dxa"/>
            <w:vAlign w:val="top"/>
          </w:tcPr>
          <w:p w14:paraId="0493FEBA">
            <w:pPr>
              <w:pStyle w:val="6"/>
              <w:spacing w:before="85" w:line="197" w:lineRule="auto"/>
              <w:ind w:left="178"/>
              <w:rPr>
                <w:sz w:val="21"/>
                <w:szCs w:val="21"/>
              </w:rPr>
            </w:pPr>
            <w:r>
              <w:rPr>
                <w:spacing w:val="-4"/>
                <w:sz w:val="21"/>
                <w:szCs w:val="21"/>
              </w:rPr>
              <w:t>100.00</w:t>
            </w:r>
          </w:p>
        </w:tc>
        <w:tc>
          <w:tcPr>
            <w:tcW w:w="774" w:type="dxa"/>
            <w:vAlign w:val="top"/>
          </w:tcPr>
          <w:p w14:paraId="405E5C5C">
            <w:pPr>
              <w:rPr>
                <w:rFonts w:ascii="Arial"/>
                <w:sz w:val="21"/>
              </w:rPr>
            </w:pPr>
          </w:p>
        </w:tc>
      </w:tr>
      <w:tr w14:paraId="351FC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43" w:type="dxa"/>
            <w:vAlign w:val="top"/>
          </w:tcPr>
          <w:p w14:paraId="055F268D">
            <w:pPr>
              <w:pStyle w:val="6"/>
              <w:spacing w:before="75" w:line="189" w:lineRule="auto"/>
              <w:ind w:left="244"/>
              <w:rPr>
                <w:sz w:val="21"/>
                <w:szCs w:val="21"/>
              </w:rPr>
            </w:pPr>
            <w:r>
              <w:rPr>
                <w:spacing w:val="-2"/>
                <w:sz w:val="21"/>
                <w:szCs w:val="21"/>
              </w:rPr>
              <w:t>2.6.25</w:t>
            </w:r>
          </w:p>
        </w:tc>
        <w:tc>
          <w:tcPr>
            <w:tcW w:w="4375" w:type="dxa"/>
            <w:vAlign w:val="top"/>
          </w:tcPr>
          <w:p w14:paraId="1CC3E77C">
            <w:pPr>
              <w:pStyle w:val="6"/>
              <w:spacing w:before="54" w:line="207" w:lineRule="auto"/>
              <w:ind w:left="1761"/>
              <w:rPr>
                <w:sz w:val="21"/>
                <w:szCs w:val="21"/>
              </w:rPr>
            </w:pPr>
            <w:r>
              <w:rPr>
                <w:spacing w:val="2"/>
                <w:sz w:val="21"/>
                <w:szCs w:val="21"/>
              </w:rPr>
              <w:t>阻火模块</w:t>
            </w:r>
          </w:p>
        </w:tc>
        <w:tc>
          <w:tcPr>
            <w:tcW w:w="1208" w:type="dxa"/>
            <w:vAlign w:val="top"/>
          </w:tcPr>
          <w:p w14:paraId="6F0E4D40">
            <w:pPr>
              <w:pStyle w:val="6"/>
              <w:spacing w:before="75" w:line="189" w:lineRule="auto"/>
              <w:ind w:left="497"/>
              <w:rPr>
                <w:sz w:val="21"/>
                <w:szCs w:val="21"/>
              </w:rPr>
            </w:pPr>
            <w:r>
              <w:rPr>
                <w:spacing w:val="-1"/>
                <w:sz w:val="21"/>
                <w:szCs w:val="21"/>
              </w:rPr>
              <w:t>m3</w:t>
            </w:r>
          </w:p>
        </w:tc>
        <w:tc>
          <w:tcPr>
            <w:tcW w:w="989" w:type="dxa"/>
            <w:vAlign w:val="top"/>
          </w:tcPr>
          <w:p w14:paraId="54971E09">
            <w:pPr>
              <w:pStyle w:val="6"/>
              <w:spacing w:before="75" w:line="189" w:lineRule="auto"/>
              <w:ind w:left="228"/>
              <w:rPr>
                <w:sz w:val="21"/>
                <w:szCs w:val="21"/>
              </w:rPr>
            </w:pPr>
            <w:r>
              <w:rPr>
                <w:spacing w:val="-4"/>
                <w:sz w:val="21"/>
                <w:szCs w:val="21"/>
              </w:rPr>
              <w:t>10.00</w:t>
            </w:r>
          </w:p>
        </w:tc>
        <w:tc>
          <w:tcPr>
            <w:tcW w:w="774" w:type="dxa"/>
            <w:vAlign w:val="top"/>
          </w:tcPr>
          <w:p w14:paraId="28ECEF43">
            <w:pPr>
              <w:rPr>
                <w:rFonts w:ascii="Arial"/>
                <w:sz w:val="21"/>
              </w:rPr>
            </w:pPr>
          </w:p>
        </w:tc>
      </w:tr>
      <w:tr w14:paraId="5BD1C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143" w:type="dxa"/>
            <w:vAlign w:val="top"/>
          </w:tcPr>
          <w:p w14:paraId="618A60EB">
            <w:pPr>
              <w:pStyle w:val="6"/>
              <w:spacing w:before="75" w:line="197" w:lineRule="auto"/>
              <w:ind w:left="244"/>
              <w:rPr>
                <w:sz w:val="21"/>
                <w:szCs w:val="21"/>
              </w:rPr>
            </w:pPr>
            <w:r>
              <w:rPr>
                <w:spacing w:val="-2"/>
                <w:sz w:val="21"/>
                <w:szCs w:val="21"/>
              </w:rPr>
              <w:t>2.6.26</w:t>
            </w:r>
          </w:p>
        </w:tc>
        <w:tc>
          <w:tcPr>
            <w:tcW w:w="4375" w:type="dxa"/>
            <w:vAlign w:val="top"/>
          </w:tcPr>
          <w:p w14:paraId="66050C69">
            <w:pPr>
              <w:pStyle w:val="6"/>
              <w:spacing w:before="53" w:line="217" w:lineRule="auto"/>
              <w:ind w:left="1602"/>
              <w:rPr>
                <w:sz w:val="21"/>
                <w:szCs w:val="21"/>
              </w:rPr>
            </w:pPr>
            <w:r>
              <w:rPr>
                <w:spacing w:val="-4"/>
                <w:sz w:val="21"/>
                <w:szCs w:val="21"/>
              </w:rPr>
              <w:t>钢</w:t>
            </w:r>
            <w:r>
              <w:rPr>
                <w:spacing w:val="15"/>
                <w:sz w:val="21"/>
                <w:szCs w:val="21"/>
              </w:rPr>
              <w:t xml:space="preserve"> </w:t>
            </w:r>
            <w:r>
              <w:rPr>
                <w:spacing w:val="-4"/>
                <w:sz w:val="21"/>
                <w:szCs w:val="21"/>
              </w:rPr>
              <w:t>管热镀锌</w:t>
            </w:r>
          </w:p>
        </w:tc>
        <w:tc>
          <w:tcPr>
            <w:tcW w:w="1208" w:type="dxa"/>
            <w:vAlign w:val="top"/>
          </w:tcPr>
          <w:p w14:paraId="4540C5C7">
            <w:pPr>
              <w:pStyle w:val="6"/>
              <w:spacing w:before="98" w:line="232" w:lineRule="auto"/>
              <w:ind w:left="556"/>
              <w:rPr>
                <w:sz w:val="16"/>
                <w:szCs w:val="16"/>
              </w:rPr>
            </w:pPr>
            <w:r>
              <w:rPr>
                <w:sz w:val="16"/>
                <w:szCs w:val="16"/>
              </w:rPr>
              <w:t>m</w:t>
            </w:r>
          </w:p>
        </w:tc>
        <w:tc>
          <w:tcPr>
            <w:tcW w:w="989" w:type="dxa"/>
            <w:vAlign w:val="top"/>
          </w:tcPr>
          <w:p w14:paraId="3EABA67D">
            <w:pPr>
              <w:pStyle w:val="6"/>
              <w:spacing w:before="75" w:line="197" w:lineRule="auto"/>
              <w:ind w:left="228"/>
              <w:rPr>
                <w:sz w:val="21"/>
                <w:szCs w:val="21"/>
              </w:rPr>
            </w:pPr>
            <w:r>
              <w:rPr>
                <w:spacing w:val="-4"/>
                <w:sz w:val="21"/>
                <w:szCs w:val="21"/>
              </w:rPr>
              <w:t>10.00</w:t>
            </w:r>
          </w:p>
        </w:tc>
        <w:tc>
          <w:tcPr>
            <w:tcW w:w="774" w:type="dxa"/>
            <w:vAlign w:val="top"/>
          </w:tcPr>
          <w:p w14:paraId="5AFE8B20">
            <w:pPr>
              <w:rPr>
                <w:rFonts w:ascii="Arial"/>
                <w:sz w:val="21"/>
              </w:rPr>
            </w:pPr>
          </w:p>
        </w:tc>
      </w:tr>
      <w:tr w14:paraId="67496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01C0AE32">
            <w:pPr>
              <w:pStyle w:val="6"/>
              <w:spacing w:before="85" w:line="197" w:lineRule="auto"/>
              <w:ind w:left="244"/>
              <w:rPr>
                <w:sz w:val="21"/>
                <w:szCs w:val="21"/>
              </w:rPr>
            </w:pPr>
            <w:r>
              <w:rPr>
                <w:spacing w:val="-2"/>
                <w:sz w:val="21"/>
                <w:szCs w:val="21"/>
              </w:rPr>
              <w:t>2.6.27</w:t>
            </w:r>
          </w:p>
        </w:tc>
        <w:tc>
          <w:tcPr>
            <w:tcW w:w="4375" w:type="dxa"/>
            <w:vAlign w:val="top"/>
          </w:tcPr>
          <w:p w14:paraId="38DD0D4D">
            <w:pPr>
              <w:pStyle w:val="6"/>
              <w:spacing w:before="61" w:line="216" w:lineRule="auto"/>
              <w:ind w:left="1062"/>
              <w:rPr>
                <w:sz w:val="21"/>
                <w:szCs w:val="21"/>
              </w:rPr>
            </w:pPr>
            <w:r>
              <w:rPr>
                <w:spacing w:val="26"/>
                <w:sz w:val="21"/>
                <w:szCs w:val="21"/>
              </w:rPr>
              <w:t>角</w:t>
            </w:r>
            <w:r>
              <w:rPr>
                <w:spacing w:val="74"/>
                <w:sz w:val="21"/>
                <w:szCs w:val="21"/>
              </w:rPr>
              <w:t xml:space="preserve"> </w:t>
            </w:r>
            <w:r>
              <w:rPr>
                <w:spacing w:val="26"/>
                <w:sz w:val="21"/>
                <w:szCs w:val="21"/>
              </w:rPr>
              <w:t>钢∠40X4,热镀锌</w:t>
            </w:r>
          </w:p>
        </w:tc>
        <w:tc>
          <w:tcPr>
            <w:tcW w:w="1208" w:type="dxa"/>
            <w:vAlign w:val="top"/>
          </w:tcPr>
          <w:p w14:paraId="6770A3F1">
            <w:pPr>
              <w:pStyle w:val="6"/>
              <w:spacing w:before="107" w:line="241" w:lineRule="auto"/>
              <w:ind w:left="556"/>
              <w:rPr>
                <w:sz w:val="15"/>
                <w:szCs w:val="15"/>
              </w:rPr>
            </w:pPr>
            <w:r>
              <w:rPr>
                <w:sz w:val="15"/>
                <w:szCs w:val="15"/>
              </w:rPr>
              <w:t>m</w:t>
            </w:r>
          </w:p>
        </w:tc>
        <w:tc>
          <w:tcPr>
            <w:tcW w:w="989" w:type="dxa"/>
            <w:vAlign w:val="top"/>
          </w:tcPr>
          <w:p w14:paraId="547C8A9E">
            <w:pPr>
              <w:pStyle w:val="6"/>
              <w:spacing w:before="85" w:line="197" w:lineRule="auto"/>
              <w:ind w:left="178"/>
              <w:rPr>
                <w:sz w:val="21"/>
                <w:szCs w:val="21"/>
              </w:rPr>
            </w:pPr>
            <w:r>
              <w:rPr>
                <w:spacing w:val="-2"/>
                <w:sz w:val="21"/>
                <w:szCs w:val="21"/>
              </w:rPr>
              <w:t>400.00</w:t>
            </w:r>
          </w:p>
        </w:tc>
        <w:tc>
          <w:tcPr>
            <w:tcW w:w="774" w:type="dxa"/>
            <w:vAlign w:val="top"/>
          </w:tcPr>
          <w:p w14:paraId="5133BFB0">
            <w:pPr>
              <w:rPr>
                <w:rFonts w:ascii="Arial"/>
                <w:sz w:val="21"/>
              </w:rPr>
            </w:pPr>
          </w:p>
        </w:tc>
      </w:tr>
      <w:tr w14:paraId="695A28A4">
        <w:tblPrEx>
          <w:tblCellMar>
            <w:top w:w="0" w:type="dxa"/>
            <w:left w:w="0" w:type="dxa"/>
            <w:bottom w:w="0" w:type="dxa"/>
            <w:right w:w="0" w:type="dxa"/>
          </w:tblCellMar>
        </w:tblPrEx>
        <w:trPr>
          <w:trHeight w:val="290" w:hRule="atLeast"/>
        </w:trPr>
        <w:tc>
          <w:tcPr>
            <w:tcW w:w="1143" w:type="dxa"/>
            <w:vAlign w:val="top"/>
          </w:tcPr>
          <w:p w14:paraId="04D4D5E7">
            <w:pPr>
              <w:pStyle w:val="6"/>
              <w:spacing w:before="66" w:line="188" w:lineRule="auto"/>
              <w:ind w:left="244"/>
              <w:rPr>
                <w:sz w:val="21"/>
                <w:szCs w:val="21"/>
              </w:rPr>
            </w:pPr>
            <w:r>
              <w:rPr>
                <w:spacing w:val="-2"/>
                <w:sz w:val="21"/>
                <w:szCs w:val="21"/>
              </w:rPr>
              <w:t>2.6.28</w:t>
            </w:r>
          </w:p>
        </w:tc>
        <w:tc>
          <w:tcPr>
            <w:tcW w:w="4375" w:type="dxa"/>
            <w:vAlign w:val="top"/>
          </w:tcPr>
          <w:p w14:paraId="34EA32AA">
            <w:pPr>
              <w:pStyle w:val="6"/>
              <w:spacing w:before="41" w:line="210" w:lineRule="auto"/>
              <w:ind w:left="1062"/>
              <w:rPr>
                <w:sz w:val="21"/>
                <w:szCs w:val="21"/>
              </w:rPr>
            </w:pPr>
            <w:r>
              <w:rPr>
                <w:spacing w:val="26"/>
                <w:sz w:val="21"/>
                <w:szCs w:val="21"/>
              </w:rPr>
              <w:t>角</w:t>
            </w:r>
            <w:r>
              <w:rPr>
                <w:spacing w:val="74"/>
                <w:sz w:val="21"/>
                <w:szCs w:val="21"/>
              </w:rPr>
              <w:t xml:space="preserve"> </w:t>
            </w:r>
            <w:r>
              <w:rPr>
                <w:spacing w:val="26"/>
                <w:sz w:val="21"/>
                <w:szCs w:val="21"/>
              </w:rPr>
              <w:t>钢∠50X5,热镀锌</w:t>
            </w:r>
          </w:p>
        </w:tc>
        <w:tc>
          <w:tcPr>
            <w:tcW w:w="1208" w:type="dxa"/>
            <w:vAlign w:val="top"/>
          </w:tcPr>
          <w:p w14:paraId="28D0785E">
            <w:pPr>
              <w:pStyle w:val="6"/>
              <w:spacing w:before="88" w:line="221" w:lineRule="auto"/>
              <w:ind w:left="556"/>
              <w:rPr>
                <w:sz w:val="16"/>
                <w:szCs w:val="16"/>
              </w:rPr>
            </w:pPr>
            <w:r>
              <w:rPr>
                <w:sz w:val="16"/>
                <w:szCs w:val="16"/>
              </w:rPr>
              <w:t>m</w:t>
            </w:r>
          </w:p>
        </w:tc>
        <w:tc>
          <w:tcPr>
            <w:tcW w:w="989" w:type="dxa"/>
            <w:vAlign w:val="top"/>
          </w:tcPr>
          <w:p w14:paraId="5ACF5F60">
            <w:pPr>
              <w:pStyle w:val="6"/>
              <w:spacing w:before="66" w:line="188" w:lineRule="auto"/>
              <w:ind w:left="178"/>
              <w:rPr>
                <w:sz w:val="21"/>
                <w:szCs w:val="21"/>
              </w:rPr>
            </w:pPr>
            <w:r>
              <w:rPr>
                <w:spacing w:val="-2"/>
                <w:sz w:val="21"/>
                <w:szCs w:val="21"/>
              </w:rPr>
              <w:t>500.00</w:t>
            </w:r>
          </w:p>
        </w:tc>
        <w:tc>
          <w:tcPr>
            <w:tcW w:w="774" w:type="dxa"/>
            <w:vAlign w:val="top"/>
          </w:tcPr>
          <w:p w14:paraId="22B083A7">
            <w:pPr>
              <w:rPr>
                <w:rFonts w:ascii="Arial"/>
                <w:sz w:val="21"/>
              </w:rPr>
            </w:pPr>
          </w:p>
        </w:tc>
      </w:tr>
      <w:tr w14:paraId="29F9E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3503874F">
            <w:pPr>
              <w:pStyle w:val="6"/>
              <w:spacing w:before="85" w:line="197" w:lineRule="auto"/>
              <w:ind w:left="404"/>
              <w:rPr>
                <w:sz w:val="21"/>
                <w:szCs w:val="21"/>
              </w:rPr>
            </w:pPr>
            <w:r>
              <w:rPr>
                <w:spacing w:val="-3"/>
                <w:sz w:val="21"/>
                <w:szCs w:val="21"/>
              </w:rPr>
              <w:t>2.7</w:t>
            </w:r>
          </w:p>
        </w:tc>
        <w:tc>
          <w:tcPr>
            <w:tcW w:w="4375" w:type="dxa"/>
            <w:vAlign w:val="top"/>
          </w:tcPr>
          <w:p w14:paraId="45628CD0">
            <w:pPr>
              <w:pStyle w:val="6"/>
              <w:spacing w:before="66" w:line="214" w:lineRule="auto"/>
              <w:ind w:left="1651"/>
              <w:rPr>
                <w:sz w:val="21"/>
                <w:szCs w:val="21"/>
              </w:rPr>
            </w:pPr>
            <w:r>
              <w:rPr>
                <w:spacing w:val="-2"/>
                <w:sz w:val="21"/>
                <w:szCs w:val="21"/>
              </w:rPr>
              <w:t>升压站接地</w:t>
            </w:r>
          </w:p>
        </w:tc>
        <w:tc>
          <w:tcPr>
            <w:tcW w:w="1208" w:type="dxa"/>
            <w:vAlign w:val="top"/>
          </w:tcPr>
          <w:p w14:paraId="57578FA1">
            <w:pPr>
              <w:rPr>
                <w:rFonts w:ascii="Arial"/>
                <w:sz w:val="21"/>
              </w:rPr>
            </w:pPr>
          </w:p>
        </w:tc>
        <w:tc>
          <w:tcPr>
            <w:tcW w:w="989" w:type="dxa"/>
            <w:vAlign w:val="top"/>
          </w:tcPr>
          <w:p w14:paraId="373EB0EE">
            <w:pPr>
              <w:rPr>
                <w:rFonts w:ascii="Arial"/>
                <w:sz w:val="21"/>
              </w:rPr>
            </w:pPr>
          </w:p>
        </w:tc>
        <w:tc>
          <w:tcPr>
            <w:tcW w:w="774" w:type="dxa"/>
            <w:vAlign w:val="top"/>
          </w:tcPr>
          <w:p w14:paraId="252A96B6">
            <w:pPr>
              <w:rPr>
                <w:rFonts w:ascii="Arial"/>
                <w:sz w:val="21"/>
              </w:rPr>
            </w:pPr>
          </w:p>
        </w:tc>
      </w:tr>
      <w:tr w14:paraId="3F7B6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65E90E5C">
            <w:pPr>
              <w:pStyle w:val="6"/>
              <w:spacing w:before="85" w:line="197" w:lineRule="auto"/>
              <w:ind w:left="295"/>
              <w:rPr>
                <w:sz w:val="21"/>
                <w:szCs w:val="21"/>
              </w:rPr>
            </w:pPr>
            <w:r>
              <w:rPr>
                <w:spacing w:val="-2"/>
                <w:sz w:val="21"/>
                <w:szCs w:val="21"/>
              </w:rPr>
              <w:t>2.7.1</w:t>
            </w:r>
          </w:p>
        </w:tc>
        <w:tc>
          <w:tcPr>
            <w:tcW w:w="4375" w:type="dxa"/>
            <w:vAlign w:val="top"/>
          </w:tcPr>
          <w:p w14:paraId="20DF8752">
            <w:pPr>
              <w:pStyle w:val="6"/>
              <w:spacing w:before="64" w:line="216" w:lineRule="auto"/>
              <w:ind w:left="1342"/>
              <w:rPr>
                <w:sz w:val="21"/>
                <w:szCs w:val="21"/>
              </w:rPr>
            </w:pPr>
            <w:r>
              <w:rPr>
                <w:spacing w:val="1"/>
                <w:sz w:val="21"/>
                <w:szCs w:val="21"/>
              </w:rPr>
              <w:t>热镀锌扁钢-60×6</w:t>
            </w:r>
          </w:p>
        </w:tc>
        <w:tc>
          <w:tcPr>
            <w:tcW w:w="1208" w:type="dxa"/>
            <w:vAlign w:val="top"/>
          </w:tcPr>
          <w:p w14:paraId="4FB1B012">
            <w:pPr>
              <w:pStyle w:val="6"/>
              <w:spacing w:before="64" w:line="216" w:lineRule="auto"/>
              <w:ind w:left="497"/>
              <w:rPr>
                <w:sz w:val="21"/>
                <w:szCs w:val="21"/>
              </w:rPr>
            </w:pPr>
            <w:r>
              <w:rPr>
                <w:sz w:val="21"/>
                <w:szCs w:val="21"/>
              </w:rPr>
              <w:t>米</w:t>
            </w:r>
          </w:p>
        </w:tc>
        <w:tc>
          <w:tcPr>
            <w:tcW w:w="989" w:type="dxa"/>
            <w:vAlign w:val="top"/>
          </w:tcPr>
          <w:p w14:paraId="28BF005B">
            <w:pPr>
              <w:pStyle w:val="6"/>
              <w:spacing w:before="85" w:line="197" w:lineRule="auto"/>
              <w:ind w:left="118"/>
              <w:rPr>
                <w:sz w:val="21"/>
                <w:szCs w:val="21"/>
              </w:rPr>
            </w:pPr>
            <w:r>
              <w:rPr>
                <w:spacing w:val="-2"/>
                <w:sz w:val="21"/>
                <w:szCs w:val="21"/>
              </w:rPr>
              <w:t>3000.00</w:t>
            </w:r>
          </w:p>
        </w:tc>
        <w:tc>
          <w:tcPr>
            <w:tcW w:w="774" w:type="dxa"/>
            <w:vAlign w:val="top"/>
          </w:tcPr>
          <w:p w14:paraId="15FF3CF8">
            <w:pPr>
              <w:rPr>
                <w:rFonts w:ascii="Arial"/>
                <w:sz w:val="21"/>
              </w:rPr>
            </w:pPr>
          </w:p>
        </w:tc>
      </w:tr>
      <w:tr w14:paraId="5F867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0B8431B4">
            <w:pPr>
              <w:pStyle w:val="6"/>
              <w:spacing w:before="85" w:line="197" w:lineRule="auto"/>
              <w:ind w:left="295"/>
              <w:rPr>
                <w:sz w:val="21"/>
                <w:szCs w:val="21"/>
              </w:rPr>
            </w:pPr>
            <w:r>
              <w:rPr>
                <w:spacing w:val="-2"/>
                <w:sz w:val="21"/>
                <w:szCs w:val="21"/>
              </w:rPr>
              <w:t>2.7.2</w:t>
            </w:r>
          </w:p>
        </w:tc>
        <w:tc>
          <w:tcPr>
            <w:tcW w:w="4375" w:type="dxa"/>
            <w:vAlign w:val="top"/>
          </w:tcPr>
          <w:p w14:paraId="73A57F2A">
            <w:pPr>
              <w:pStyle w:val="6"/>
              <w:spacing w:before="64" w:line="216" w:lineRule="auto"/>
              <w:ind w:left="1022"/>
              <w:rPr>
                <w:sz w:val="21"/>
                <w:szCs w:val="21"/>
              </w:rPr>
            </w:pPr>
            <w:r>
              <w:rPr>
                <w:spacing w:val="1"/>
                <w:sz w:val="21"/>
                <w:szCs w:val="21"/>
              </w:rPr>
              <w:t>接地引下线热镀锌-50×5</w:t>
            </w:r>
          </w:p>
        </w:tc>
        <w:tc>
          <w:tcPr>
            <w:tcW w:w="1208" w:type="dxa"/>
            <w:vAlign w:val="top"/>
          </w:tcPr>
          <w:p w14:paraId="1AD8D9DB">
            <w:pPr>
              <w:pStyle w:val="6"/>
              <w:spacing w:before="64" w:line="216" w:lineRule="auto"/>
              <w:ind w:left="497"/>
              <w:rPr>
                <w:sz w:val="21"/>
                <w:szCs w:val="21"/>
              </w:rPr>
            </w:pPr>
            <w:r>
              <w:rPr>
                <w:sz w:val="21"/>
                <w:szCs w:val="21"/>
              </w:rPr>
              <w:t>米</w:t>
            </w:r>
          </w:p>
        </w:tc>
        <w:tc>
          <w:tcPr>
            <w:tcW w:w="989" w:type="dxa"/>
            <w:vAlign w:val="top"/>
          </w:tcPr>
          <w:p w14:paraId="512EE3BE">
            <w:pPr>
              <w:pStyle w:val="6"/>
              <w:spacing w:before="85" w:line="197" w:lineRule="auto"/>
              <w:ind w:left="118"/>
              <w:rPr>
                <w:sz w:val="21"/>
                <w:szCs w:val="21"/>
              </w:rPr>
            </w:pPr>
            <w:r>
              <w:rPr>
                <w:spacing w:val="-3"/>
                <w:sz w:val="21"/>
                <w:szCs w:val="21"/>
              </w:rPr>
              <w:t>1000.00</w:t>
            </w:r>
          </w:p>
        </w:tc>
        <w:tc>
          <w:tcPr>
            <w:tcW w:w="774" w:type="dxa"/>
            <w:vAlign w:val="top"/>
          </w:tcPr>
          <w:p w14:paraId="300FCD9D">
            <w:pPr>
              <w:rPr>
                <w:rFonts w:ascii="Arial"/>
                <w:sz w:val="21"/>
              </w:rPr>
            </w:pPr>
          </w:p>
        </w:tc>
      </w:tr>
      <w:tr w14:paraId="06594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43" w:type="dxa"/>
            <w:vAlign w:val="top"/>
          </w:tcPr>
          <w:p w14:paraId="66B771B7">
            <w:pPr>
              <w:pStyle w:val="6"/>
              <w:spacing w:before="75" w:line="189" w:lineRule="auto"/>
              <w:ind w:left="295"/>
              <w:rPr>
                <w:sz w:val="21"/>
                <w:szCs w:val="21"/>
              </w:rPr>
            </w:pPr>
            <w:r>
              <w:rPr>
                <w:spacing w:val="-2"/>
                <w:sz w:val="21"/>
                <w:szCs w:val="21"/>
              </w:rPr>
              <w:t>2.7.3</w:t>
            </w:r>
          </w:p>
        </w:tc>
        <w:tc>
          <w:tcPr>
            <w:tcW w:w="4375" w:type="dxa"/>
            <w:vAlign w:val="top"/>
          </w:tcPr>
          <w:p w14:paraId="2D7A215D">
            <w:pPr>
              <w:pStyle w:val="6"/>
              <w:spacing w:before="53" w:line="208" w:lineRule="auto"/>
              <w:ind w:left="1131"/>
              <w:rPr>
                <w:sz w:val="21"/>
                <w:szCs w:val="21"/>
              </w:rPr>
            </w:pPr>
            <w:r>
              <w:rPr>
                <w:spacing w:val="-1"/>
                <w:sz w:val="21"/>
                <w:szCs w:val="21"/>
              </w:rPr>
              <w:t>避雷带热镀锌圆钢Φ12</w:t>
            </w:r>
          </w:p>
        </w:tc>
        <w:tc>
          <w:tcPr>
            <w:tcW w:w="1208" w:type="dxa"/>
            <w:vAlign w:val="top"/>
          </w:tcPr>
          <w:p w14:paraId="28AF083B">
            <w:pPr>
              <w:pStyle w:val="6"/>
              <w:spacing w:before="54" w:line="207" w:lineRule="auto"/>
              <w:ind w:left="497"/>
              <w:rPr>
                <w:sz w:val="21"/>
                <w:szCs w:val="21"/>
              </w:rPr>
            </w:pPr>
            <w:r>
              <w:rPr>
                <w:sz w:val="21"/>
                <w:szCs w:val="21"/>
              </w:rPr>
              <w:t>米</w:t>
            </w:r>
          </w:p>
        </w:tc>
        <w:tc>
          <w:tcPr>
            <w:tcW w:w="989" w:type="dxa"/>
            <w:vAlign w:val="top"/>
          </w:tcPr>
          <w:p w14:paraId="524D71AD">
            <w:pPr>
              <w:pStyle w:val="6"/>
              <w:spacing w:before="75" w:line="189" w:lineRule="auto"/>
              <w:ind w:left="178"/>
              <w:rPr>
                <w:sz w:val="21"/>
                <w:szCs w:val="21"/>
              </w:rPr>
            </w:pPr>
            <w:r>
              <w:rPr>
                <w:spacing w:val="-2"/>
                <w:sz w:val="21"/>
                <w:szCs w:val="21"/>
              </w:rPr>
              <w:t>300.00</w:t>
            </w:r>
          </w:p>
        </w:tc>
        <w:tc>
          <w:tcPr>
            <w:tcW w:w="774" w:type="dxa"/>
            <w:vAlign w:val="top"/>
          </w:tcPr>
          <w:p w14:paraId="6599F04D">
            <w:pPr>
              <w:rPr>
                <w:rFonts w:ascii="Arial"/>
                <w:sz w:val="21"/>
              </w:rPr>
            </w:pPr>
          </w:p>
        </w:tc>
      </w:tr>
      <w:tr w14:paraId="32C21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143" w:type="dxa"/>
            <w:vAlign w:val="top"/>
          </w:tcPr>
          <w:p w14:paraId="3540EF15">
            <w:pPr>
              <w:pStyle w:val="6"/>
              <w:spacing w:before="86" w:line="196" w:lineRule="auto"/>
              <w:ind w:left="295"/>
              <w:rPr>
                <w:sz w:val="21"/>
                <w:szCs w:val="21"/>
              </w:rPr>
            </w:pPr>
            <w:r>
              <w:rPr>
                <w:spacing w:val="-2"/>
                <w:sz w:val="21"/>
                <w:szCs w:val="21"/>
              </w:rPr>
              <w:t>2.7.4</w:t>
            </w:r>
          </w:p>
        </w:tc>
        <w:tc>
          <w:tcPr>
            <w:tcW w:w="4375" w:type="dxa"/>
            <w:vAlign w:val="top"/>
          </w:tcPr>
          <w:p w14:paraId="3EF4CEF6">
            <w:pPr>
              <w:pStyle w:val="6"/>
              <w:spacing w:before="61" w:line="216" w:lineRule="auto"/>
              <w:ind w:left="812"/>
              <w:rPr>
                <w:sz w:val="21"/>
                <w:szCs w:val="21"/>
              </w:rPr>
            </w:pPr>
            <w:r>
              <w:rPr>
                <w:spacing w:val="-1"/>
                <w:sz w:val="21"/>
                <w:szCs w:val="21"/>
              </w:rPr>
              <w:t>热镀锌钢管φ50×5,L=2500mm</w:t>
            </w:r>
          </w:p>
        </w:tc>
        <w:tc>
          <w:tcPr>
            <w:tcW w:w="1208" w:type="dxa"/>
            <w:vAlign w:val="top"/>
          </w:tcPr>
          <w:p w14:paraId="55633217">
            <w:pPr>
              <w:pStyle w:val="6"/>
              <w:spacing w:before="65" w:line="214" w:lineRule="auto"/>
              <w:ind w:left="497"/>
              <w:rPr>
                <w:sz w:val="21"/>
                <w:szCs w:val="21"/>
              </w:rPr>
            </w:pPr>
            <w:r>
              <w:rPr>
                <w:sz w:val="21"/>
                <w:szCs w:val="21"/>
              </w:rPr>
              <w:t>根</w:t>
            </w:r>
          </w:p>
        </w:tc>
        <w:tc>
          <w:tcPr>
            <w:tcW w:w="989" w:type="dxa"/>
            <w:vAlign w:val="top"/>
          </w:tcPr>
          <w:p w14:paraId="2D7B05B2">
            <w:pPr>
              <w:pStyle w:val="6"/>
              <w:spacing w:before="86" w:line="196" w:lineRule="auto"/>
              <w:ind w:left="178"/>
              <w:rPr>
                <w:sz w:val="21"/>
                <w:szCs w:val="21"/>
              </w:rPr>
            </w:pPr>
            <w:r>
              <w:rPr>
                <w:spacing w:val="-4"/>
                <w:sz w:val="21"/>
                <w:szCs w:val="21"/>
              </w:rPr>
              <w:t>150.00</w:t>
            </w:r>
          </w:p>
        </w:tc>
        <w:tc>
          <w:tcPr>
            <w:tcW w:w="774" w:type="dxa"/>
            <w:vAlign w:val="top"/>
          </w:tcPr>
          <w:p w14:paraId="024546FF">
            <w:pPr>
              <w:rPr>
                <w:rFonts w:ascii="Arial"/>
                <w:sz w:val="21"/>
              </w:rPr>
            </w:pPr>
          </w:p>
        </w:tc>
      </w:tr>
      <w:tr w14:paraId="00C42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340D7B66">
            <w:pPr>
              <w:pStyle w:val="6"/>
              <w:spacing w:before="87" w:line="196" w:lineRule="auto"/>
              <w:ind w:left="295"/>
              <w:rPr>
                <w:sz w:val="21"/>
                <w:szCs w:val="21"/>
              </w:rPr>
            </w:pPr>
            <w:r>
              <w:rPr>
                <w:spacing w:val="-2"/>
                <w:sz w:val="21"/>
                <w:szCs w:val="21"/>
              </w:rPr>
              <w:t>2.7.5</w:t>
            </w:r>
          </w:p>
        </w:tc>
        <w:tc>
          <w:tcPr>
            <w:tcW w:w="4375" w:type="dxa"/>
            <w:vAlign w:val="top"/>
          </w:tcPr>
          <w:p w14:paraId="4437C6EB">
            <w:pPr>
              <w:pStyle w:val="6"/>
              <w:spacing w:before="65" w:line="215" w:lineRule="auto"/>
              <w:ind w:left="1551"/>
              <w:rPr>
                <w:sz w:val="21"/>
                <w:szCs w:val="21"/>
              </w:rPr>
            </w:pPr>
            <w:r>
              <w:rPr>
                <w:spacing w:val="-2"/>
                <w:sz w:val="21"/>
                <w:szCs w:val="21"/>
              </w:rPr>
              <w:t>等离子接地极</w:t>
            </w:r>
          </w:p>
        </w:tc>
        <w:tc>
          <w:tcPr>
            <w:tcW w:w="1208" w:type="dxa"/>
            <w:vAlign w:val="top"/>
          </w:tcPr>
          <w:p w14:paraId="18B1450C">
            <w:pPr>
              <w:pStyle w:val="6"/>
              <w:spacing w:before="68" w:line="212" w:lineRule="auto"/>
              <w:ind w:left="497"/>
              <w:rPr>
                <w:sz w:val="21"/>
                <w:szCs w:val="21"/>
              </w:rPr>
            </w:pPr>
            <w:r>
              <w:rPr>
                <w:sz w:val="21"/>
                <w:szCs w:val="21"/>
              </w:rPr>
              <w:t>只</w:t>
            </w:r>
          </w:p>
        </w:tc>
        <w:tc>
          <w:tcPr>
            <w:tcW w:w="989" w:type="dxa"/>
            <w:vAlign w:val="top"/>
          </w:tcPr>
          <w:p w14:paraId="4BBF1AE0">
            <w:pPr>
              <w:pStyle w:val="6"/>
              <w:spacing w:before="87" w:line="196" w:lineRule="auto"/>
              <w:ind w:left="228"/>
              <w:rPr>
                <w:sz w:val="21"/>
                <w:szCs w:val="21"/>
              </w:rPr>
            </w:pPr>
            <w:r>
              <w:rPr>
                <w:spacing w:val="-2"/>
                <w:sz w:val="21"/>
                <w:szCs w:val="21"/>
              </w:rPr>
              <w:t>30.00</w:t>
            </w:r>
          </w:p>
        </w:tc>
        <w:tc>
          <w:tcPr>
            <w:tcW w:w="774" w:type="dxa"/>
            <w:vAlign w:val="top"/>
          </w:tcPr>
          <w:p w14:paraId="614AE70C">
            <w:pPr>
              <w:rPr>
                <w:rFonts w:ascii="Arial"/>
                <w:sz w:val="21"/>
              </w:rPr>
            </w:pPr>
          </w:p>
        </w:tc>
      </w:tr>
      <w:tr w14:paraId="557CD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143" w:type="dxa"/>
            <w:vAlign w:val="top"/>
          </w:tcPr>
          <w:p w14:paraId="4FC91A7A">
            <w:pPr>
              <w:pStyle w:val="6"/>
              <w:spacing w:before="66" w:line="188" w:lineRule="auto"/>
              <w:ind w:left="295"/>
              <w:rPr>
                <w:sz w:val="21"/>
                <w:szCs w:val="21"/>
              </w:rPr>
            </w:pPr>
            <w:r>
              <w:rPr>
                <w:spacing w:val="-2"/>
                <w:sz w:val="21"/>
                <w:szCs w:val="21"/>
              </w:rPr>
              <w:t>2.7.6</w:t>
            </w:r>
          </w:p>
        </w:tc>
        <w:tc>
          <w:tcPr>
            <w:tcW w:w="4375" w:type="dxa"/>
            <w:vAlign w:val="top"/>
          </w:tcPr>
          <w:p w14:paraId="4F985C59">
            <w:pPr>
              <w:pStyle w:val="6"/>
              <w:spacing w:before="45" w:line="206" w:lineRule="auto"/>
              <w:ind w:left="1761"/>
              <w:rPr>
                <w:sz w:val="21"/>
                <w:szCs w:val="21"/>
              </w:rPr>
            </w:pPr>
            <w:r>
              <w:rPr>
                <w:spacing w:val="-2"/>
                <w:sz w:val="21"/>
                <w:szCs w:val="21"/>
              </w:rPr>
              <w:t>接地模块</w:t>
            </w:r>
          </w:p>
        </w:tc>
        <w:tc>
          <w:tcPr>
            <w:tcW w:w="1208" w:type="dxa"/>
            <w:vAlign w:val="top"/>
          </w:tcPr>
          <w:p w14:paraId="359A9570">
            <w:pPr>
              <w:pStyle w:val="6"/>
              <w:spacing w:before="46" w:line="205" w:lineRule="auto"/>
              <w:ind w:left="497"/>
              <w:rPr>
                <w:sz w:val="21"/>
                <w:szCs w:val="21"/>
              </w:rPr>
            </w:pPr>
            <w:r>
              <w:rPr>
                <w:sz w:val="21"/>
                <w:szCs w:val="21"/>
              </w:rPr>
              <w:t>块</w:t>
            </w:r>
          </w:p>
        </w:tc>
        <w:tc>
          <w:tcPr>
            <w:tcW w:w="989" w:type="dxa"/>
            <w:vAlign w:val="top"/>
          </w:tcPr>
          <w:p w14:paraId="4981F1F8">
            <w:pPr>
              <w:pStyle w:val="6"/>
              <w:spacing w:before="66" w:line="188" w:lineRule="auto"/>
              <w:ind w:left="178"/>
              <w:rPr>
                <w:sz w:val="21"/>
                <w:szCs w:val="21"/>
              </w:rPr>
            </w:pPr>
            <w:r>
              <w:rPr>
                <w:spacing w:val="-4"/>
                <w:sz w:val="21"/>
                <w:szCs w:val="21"/>
              </w:rPr>
              <w:t>100.00</w:t>
            </w:r>
          </w:p>
        </w:tc>
        <w:tc>
          <w:tcPr>
            <w:tcW w:w="774" w:type="dxa"/>
            <w:vAlign w:val="top"/>
          </w:tcPr>
          <w:p w14:paraId="097DFD90">
            <w:pPr>
              <w:rPr>
                <w:rFonts w:ascii="Arial"/>
                <w:sz w:val="21"/>
              </w:rPr>
            </w:pPr>
          </w:p>
        </w:tc>
      </w:tr>
      <w:tr w14:paraId="2394A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143" w:type="dxa"/>
            <w:vAlign w:val="top"/>
          </w:tcPr>
          <w:p w14:paraId="10A971E5">
            <w:pPr>
              <w:pStyle w:val="6"/>
              <w:spacing w:before="87" w:line="195" w:lineRule="auto"/>
              <w:ind w:left="295"/>
              <w:rPr>
                <w:sz w:val="21"/>
                <w:szCs w:val="21"/>
              </w:rPr>
            </w:pPr>
            <w:r>
              <w:rPr>
                <w:spacing w:val="-2"/>
                <w:sz w:val="21"/>
                <w:szCs w:val="21"/>
              </w:rPr>
              <w:t>2.7.7</w:t>
            </w:r>
          </w:p>
        </w:tc>
        <w:tc>
          <w:tcPr>
            <w:tcW w:w="4375" w:type="dxa"/>
            <w:vAlign w:val="top"/>
          </w:tcPr>
          <w:p w14:paraId="2B440551">
            <w:pPr>
              <w:pStyle w:val="6"/>
              <w:spacing w:before="64" w:line="215" w:lineRule="auto"/>
              <w:ind w:left="1651"/>
              <w:rPr>
                <w:sz w:val="21"/>
                <w:szCs w:val="21"/>
              </w:rPr>
            </w:pPr>
            <w:r>
              <w:rPr>
                <w:spacing w:val="2"/>
                <w:sz w:val="21"/>
                <w:szCs w:val="21"/>
              </w:rPr>
              <w:t>物理降阻剂</w:t>
            </w:r>
          </w:p>
        </w:tc>
        <w:tc>
          <w:tcPr>
            <w:tcW w:w="1208" w:type="dxa"/>
            <w:vAlign w:val="top"/>
          </w:tcPr>
          <w:p w14:paraId="56786959">
            <w:pPr>
              <w:pStyle w:val="6"/>
              <w:spacing w:before="75" w:line="205" w:lineRule="auto"/>
              <w:ind w:left="497"/>
              <w:rPr>
                <w:sz w:val="21"/>
                <w:szCs w:val="21"/>
              </w:rPr>
            </w:pPr>
            <w:r>
              <w:rPr>
                <w:sz w:val="21"/>
                <w:szCs w:val="21"/>
              </w:rPr>
              <w:t>吨</w:t>
            </w:r>
          </w:p>
        </w:tc>
        <w:tc>
          <w:tcPr>
            <w:tcW w:w="989" w:type="dxa"/>
            <w:vAlign w:val="top"/>
          </w:tcPr>
          <w:p w14:paraId="62B8FCA1">
            <w:pPr>
              <w:pStyle w:val="6"/>
              <w:spacing w:before="87" w:line="195" w:lineRule="auto"/>
              <w:ind w:left="228"/>
              <w:rPr>
                <w:sz w:val="21"/>
                <w:szCs w:val="21"/>
              </w:rPr>
            </w:pPr>
            <w:r>
              <w:rPr>
                <w:spacing w:val="-4"/>
                <w:sz w:val="21"/>
                <w:szCs w:val="21"/>
              </w:rPr>
              <w:t>10.00</w:t>
            </w:r>
          </w:p>
        </w:tc>
        <w:tc>
          <w:tcPr>
            <w:tcW w:w="774" w:type="dxa"/>
            <w:vAlign w:val="top"/>
          </w:tcPr>
          <w:p w14:paraId="15C29147">
            <w:pPr>
              <w:rPr>
                <w:rFonts w:ascii="Arial"/>
                <w:sz w:val="21"/>
              </w:rPr>
            </w:pPr>
          </w:p>
        </w:tc>
      </w:tr>
      <w:tr w14:paraId="717B5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434BF6F2">
            <w:pPr>
              <w:pStyle w:val="6"/>
              <w:spacing w:before="88" w:line="195" w:lineRule="auto"/>
              <w:ind w:left="295"/>
              <w:rPr>
                <w:sz w:val="21"/>
                <w:szCs w:val="21"/>
              </w:rPr>
            </w:pPr>
            <w:r>
              <w:rPr>
                <w:spacing w:val="-2"/>
                <w:sz w:val="21"/>
                <w:szCs w:val="21"/>
              </w:rPr>
              <w:t>2.7.8</w:t>
            </w:r>
          </w:p>
        </w:tc>
        <w:tc>
          <w:tcPr>
            <w:tcW w:w="4375" w:type="dxa"/>
            <w:vAlign w:val="top"/>
          </w:tcPr>
          <w:p w14:paraId="5C0DA1D1">
            <w:pPr>
              <w:pStyle w:val="6"/>
              <w:spacing w:before="66" w:line="214" w:lineRule="auto"/>
              <w:ind w:left="1651"/>
              <w:rPr>
                <w:sz w:val="21"/>
                <w:szCs w:val="21"/>
              </w:rPr>
            </w:pPr>
            <w:r>
              <w:rPr>
                <w:spacing w:val="1"/>
                <w:sz w:val="21"/>
                <w:szCs w:val="21"/>
              </w:rPr>
              <w:t>导电防腐漆</w:t>
            </w:r>
          </w:p>
        </w:tc>
        <w:tc>
          <w:tcPr>
            <w:tcW w:w="1208" w:type="dxa"/>
            <w:vAlign w:val="top"/>
          </w:tcPr>
          <w:p w14:paraId="0E73B0BE">
            <w:pPr>
              <w:pStyle w:val="6"/>
              <w:spacing w:before="59" w:line="214" w:lineRule="auto"/>
              <w:ind w:left="497"/>
              <w:rPr>
                <w:sz w:val="21"/>
                <w:szCs w:val="21"/>
              </w:rPr>
            </w:pPr>
            <w:r>
              <w:rPr>
                <w:spacing w:val="-2"/>
                <w:sz w:val="21"/>
                <w:szCs w:val="21"/>
              </w:rPr>
              <w:t>kg</w:t>
            </w:r>
          </w:p>
        </w:tc>
        <w:tc>
          <w:tcPr>
            <w:tcW w:w="989" w:type="dxa"/>
            <w:vAlign w:val="top"/>
          </w:tcPr>
          <w:p w14:paraId="72377E16">
            <w:pPr>
              <w:pStyle w:val="6"/>
              <w:spacing w:before="88" w:line="195" w:lineRule="auto"/>
              <w:ind w:left="178"/>
              <w:rPr>
                <w:sz w:val="21"/>
                <w:szCs w:val="21"/>
              </w:rPr>
            </w:pPr>
            <w:r>
              <w:rPr>
                <w:spacing w:val="-2"/>
                <w:sz w:val="21"/>
                <w:szCs w:val="21"/>
              </w:rPr>
              <w:t>300.00</w:t>
            </w:r>
          </w:p>
        </w:tc>
        <w:tc>
          <w:tcPr>
            <w:tcW w:w="774" w:type="dxa"/>
            <w:vAlign w:val="top"/>
          </w:tcPr>
          <w:p w14:paraId="0199766B">
            <w:pPr>
              <w:rPr>
                <w:rFonts w:ascii="Arial"/>
                <w:sz w:val="21"/>
              </w:rPr>
            </w:pPr>
          </w:p>
        </w:tc>
      </w:tr>
      <w:tr w14:paraId="25F70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0C8A6C0A">
            <w:pPr>
              <w:pStyle w:val="6"/>
              <w:spacing w:before="87" w:line="196" w:lineRule="auto"/>
              <w:ind w:left="295"/>
              <w:rPr>
                <w:sz w:val="21"/>
                <w:szCs w:val="21"/>
              </w:rPr>
            </w:pPr>
            <w:r>
              <w:rPr>
                <w:spacing w:val="-2"/>
                <w:sz w:val="21"/>
                <w:szCs w:val="21"/>
              </w:rPr>
              <w:t>2.7.9</w:t>
            </w:r>
          </w:p>
        </w:tc>
        <w:tc>
          <w:tcPr>
            <w:tcW w:w="4375" w:type="dxa"/>
            <w:vAlign w:val="top"/>
          </w:tcPr>
          <w:p w14:paraId="4F045EA9">
            <w:pPr>
              <w:pStyle w:val="6"/>
              <w:spacing w:before="66" w:line="214" w:lineRule="auto"/>
              <w:ind w:left="1131"/>
              <w:rPr>
                <w:sz w:val="21"/>
                <w:szCs w:val="21"/>
              </w:rPr>
            </w:pPr>
            <w:r>
              <w:rPr>
                <w:spacing w:val="-1"/>
                <w:sz w:val="21"/>
                <w:szCs w:val="21"/>
              </w:rPr>
              <w:t>等电位铜排支撑绝缘子</w:t>
            </w:r>
          </w:p>
        </w:tc>
        <w:tc>
          <w:tcPr>
            <w:tcW w:w="1208" w:type="dxa"/>
            <w:vAlign w:val="top"/>
          </w:tcPr>
          <w:p w14:paraId="4BBEDB8F">
            <w:pPr>
              <w:pStyle w:val="6"/>
              <w:spacing w:before="66" w:line="214" w:lineRule="auto"/>
              <w:ind w:left="497"/>
              <w:rPr>
                <w:sz w:val="21"/>
                <w:szCs w:val="21"/>
              </w:rPr>
            </w:pPr>
            <w:r>
              <w:rPr>
                <w:sz w:val="21"/>
                <w:szCs w:val="21"/>
              </w:rPr>
              <w:t>个</w:t>
            </w:r>
          </w:p>
        </w:tc>
        <w:tc>
          <w:tcPr>
            <w:tcW w:w="989" w:type="dxa"/>
            <w:vAlign w:val="top"/>
          </w:tcPr>
          <w:p w14:paraId="277C25E3">
            <w:pPr>
              <w:pStyle w:val="6"/>
              <w:spacing w:before="87" w:line="196" w:lineRule="auto"/>
              <w:ind w:left="178"/>
              <w:rPr>
                <w:sz w:val="21"/>
                <w:szCs w:val="21"/>
              </w:rPr>
            </w:pPr>
            <w:r>
              <w:rPr>
                <w:spacing w:val="-2"/>
                <w:sz w:val="21"/>
                <w:szCs w:val="21"/>
              </w:rPr>
              <w:t>400.00</w:t>
            </w:r>
          </w:p>
        </w:tc>
        <w:tc>
          <w:tcPr>
            <w:tcW w:w="774" w:type="dxa"/>
            <w:vAlign w:val="top"/>
          </w:tcPr>
          <w:p w14:paraId="77B3F972">
            <w:pPr>
              <w:rPr>
                <w:rFonts w:ascii="Arial"/>
                <w:sz w:val="21"/>
              </w:rPr>
            </w:pPr>
          </w:p>
        </w:tc>
      </w:tr>
      <w:tr w14:paraId="208A2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143" w:type="dxa"/>
            <w:vAlign w:val="top"/>
          </w:tcPr>
          <w:p w14:paraId="545988C2">
            <w:pPr>
              <w:pStyle w:val="6"/>
              <w:spacing w:before="67" w:line="187" w:lineRule="auto"/>
              <w:ind w:left="244"/>
              <w:rPr>
                <w:sz w:val="21"/>
                <w:szCs w:val="21"/>
              </w:rPr>
            </w:pPr>
            <w:r>
              <w:rPr>
                <w:spacing w:val="-2"/>
                <w:sz w:val="21"/>
                <w:szCs w:val="21"/>
              </w:rPr>
              <w:t>2.7.10</w:t>
            </w:r>
          </w:p>
        </w:tc>
        <w:tc>
          <w:tcPr>
            <w:tcW w:w="4375" w:type="dxa"/>
            <w:vAlign w:val="top"/>
          </w:tcPr>
          <w:p w14:paraId="440247D0">
            <w:pPr>
              <w:pStyle w:val="6"/>
              <w:spacing w:before="46" w:line="205" w:lineRule="auto"/>
              <w:ind w:left="1441"/>
              <w:rPr>
                <w:sz w:val="21"/>
                <w:szCs w:val="21"/>
              </w:rPr>
            </w:pPr>
            <w:r>
              <w:rPr>
                <w:spacing w:val="1"/>
                <w:sz w:val="21"/>
                <w:szCs w:val="21"/>
              </w:rPr>
              <w:t>总等电位端子箱</w:t>
            </w:r>
          </w:p>
        </w:tc>
        <w:tc>
          <w:tcPr>
            <w:tcW w:w="1208" w:type="dxa"/>
            <w:vAlign w:val="top"/>
          </w:tcPr>
          <w:p w14:paraId="612BA0F8">
            <w:pPr>
              <w:pStyle w:val="6"/>
              <w:spacing w:before="46" w:line="205" w:lineRule="auto"/>
              <w:ind w:left="497"/>
              <w:rPr>
                <w:sz w:val="21"/>
                <w:szCs w:val="21"/>
              </w:rPr>
            </w:pPr>
            <w:r>
              <w:rPr>
                <w:sz w:val="21"/>
                <w:szCs w:val="21"/>
              </w:rPr>
              <w:t>套</w:t>
            </w:r>
          </w:p>
        </w:tc>
        <w:tc>
          <w:tcPr>
            <w:tcW w:w="989" w:type="dxa"/>
            <w:vAlign w:val="top"/>
          </w:tcPr>
          <w:p w14:paraId="0DFDF48C">
            <w:pPr>
              <w:pStyle w:val="6"/>
              <w:spacing w:before="67" w:line="187" w:lineRule="auto"/>
              <w:ind w:left="278"/>
              <w:rPr>
                <w:sz w:val="21"/>
                <w:szCs w:val="21"/>
              </w:rPr>
            </w:pPr>
            <w:r>
              <w:rPr>
                <w:spacing w:val="-5"/>
                <w:sz w:val="21"/>
                <w:szCs w:val="21"/>
              </w:rPr>
              <w:t>1.00</w:t>
            </w:r>
          </w:p>
        </w:tc>
        <w:tc>
          <w:tcPr>
            <w:tcW w:w="774" w:type="dxa"/>
            <w:vAlign w:val="top"/>
          </w:tcPr>
          <w:p w14:paraId="13253BEE">
            <w:pPr>
              <w:rPr>
                <w:rFonts w:ascii="Arial"/>
                <w:sz w:val="21"/>
              </w:rPr>
            </w:pPr>
          </w:p>
        </w:tc>
      </w:tr>
      <w:tr w14:paraId="3B500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143" w:type="dxa"/>
            <w:vAlign w:val="top"/>
          </w:tcPr>
          <w:p w14:paraId="1D8FACD9">
            <w:pPr>
              <w:pStyle w:val="6"/>
              <w:spacing w:before="87" w:line="195" w:lineRule="auto"/>
              <w:ind w:left="244"/>
              <w:rPr>
                <w:sz w:val="21"/>
                <w:szCs w:val="21"/>
              </w:rPr>
            </w:pPr>
            <w:r>
              <w:rPr>
                <w:spacing w:val="-2"/>
                <w:sz w:val="21"/>
                <w:szCs w:val="21"/>
              </w:rPr>
              <w:t>2.7.11</w:t>
            </w:r>
          </w:p>
        </w:tc>
        <w:tc>
          <w:tcPr>
            <w:tcW w:w="4375" w:type="dxa"/>
            <w:vAlign w:val="top"/>
          </w:tcPr>
          <w:p w14:paraId="7C537BA3">
            <w:pPr>
              <w:pStyle w:val="6"/>
              <w:spacing w:before="66" w:line="213" w:lineRule="auto"/>
              <w:ind w:left="1342"/>
              <w:rPr>
                <w:sz w:val="21"/>
                <w:szCs w:val="21"/>
              </w:rPr>
            </w:pPr>
            <w:r>
              <w:rPr>
                <w:spacing w:val="1"/>
                <w:sz w:val="21"/>
                <w:szCs w:val="21"/>
              </w:rPr>
              <w:t>局部等电位端子箱</w:t>
            </w:r>
          </w:p>
        </w:tc>
        <w:tc>
          <w:tcPr>
            <w:tcW w:w="1208" w:type="dxa"/>
            <w:vAlign w:val="top"/>
          </w:tcPr>
          <w:p w14:paraId="0F646E6D">
            <w:pPr>
              <w:pStyle w:val="6"/>
              <w:spacing w:before="67" w:line="212" w:lineRule="auto"/>
              <w:ind w:left="497"/>
              <w:rPr>
                <w:sz w:val="21"/>
                <w:szCs w:val="21"/>
              </w:rPr>
            </w:pPr>
            <w:r>
              <w:rPr>
                <w:sz w:val="21"/>
                <w:szCs w:val="21"/>
              </w:rPr>
              <w:t>套</w:t>
            </w:r>
          </w:p>
        </w:tc>
        <w:tc>
          <w:tcPr>
            <w:tcW w:w="989" w:type="dxa"/>
            <w:vAlign w:val="top"/>
          </w:tcPr>
          <w:p w14:paraId="39A6A241">
            <w:pPr>
              <w:pStyle w:val="6"/>
              <w:spacing w:before="87" w:line="195" w:lineRule="auto"/>
              <w:ind w:left="278"/>
              <w:rPr>
                <w:sz w:val="21"/>
                <w:szCs w:val="21"/>
              </w:rPr>
            </w:pPr>
            <w:r>
              <w:rPr>
                <w:spacing w:val="-3"/>
                <w:sz w:val="21"/>
                <w:szCs w:val="21"/>
              </w:rPr>
              <w:t>3.00</w:t>
            </w:r>
          </w:p>
        </w:tc>
        <w:tc>
          <w:tcPr>
            <w:tcW w:w="774" w:type="dxa"/>
            <w:vAlign w:val="top"/>
          </w:tcPr>
          <w:p w14:paraId="0F3F090E">
            <w:pPr>
              <w:rPr>
                <w:rFonts w:ascii="Arial"/>
                <w:sz w:val="21"/>
              </w:rPr>
            </w:pPr>
          </w:p>
        </w:tc>
      </w:tr>
      <w:tr w14:paraId="13C9D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43" w:type="dxa"/>
            <w:vAlign w:val="top"/>
          </w:tcPr>
          <w:p w14:paraId="4968F868">
            <w:pPr>
              <w:pStyle w:val="6"/>
              <w:spacing w:before="78" w:line="186" w:lineRule="auto"/>
              <w:ind w:left="244"/>
              <w:rPr>
                <w:sz w:val="21"/>
                <w:szCs w:val="21"/>
              </w:rPr>
            </w:pPr>
            <w:r>
              <w:rPr>
                <w:spacing w:val="-2"/>
                <w:sz w:val="21"/>
                <w:szCs w:val="21"/>
              </w:rPr>
              <w:t>2.7.12</w:t>
            </w:r>
          </w:p>
        </w:tc>
        <w:tc>
          <w:tcPr>
            <w:tcW w:w="4375" w:type="dxa"/>
            <w:vAlign w:val="top"/>
          </w:tcPr>
          <w:p w14:paraId="16B5FFC2">
            <w:pPr>
              <w:pStyle w:val="6"/>
              <w:spacing w:before="57" w:line="204" w:lineRule="auto"/>
              <w:ind w:left="1491"/>
              <w:rPr>
                <w:sz w:val="21"/>
                <w:szCs w:val="21"/>
              </w:rPr>
            </w:pPr>
            <w:r>
              <w:rPr>
                <w:spacing w:val="2"/>
                <w:sz w:val="21"/>
                <w:szCs w:val="21"/>
              </w:rPr>
              <w:t>铜缆</w:t>
            </w:r>
            <w:r>
              <w:rPr>
                <w:sz w:val="21"/>
                <w:szCs w:val="21"/>
              </w:rPr>
              <w:t>BV</w:t>
            </w:r>
            <w:r>
              <w:rPr>
                <w:spacing w:val="2"/>
                <w:sz w:val="21"/>
                <w:szCs w:val="21"/>
              </w:rPr>
              <w:t>-120</w:t>
            </w:r>
            <w:r>
              <w:rPr>
                <w:sz w:val="21"/>
                <w:szCs w:val="21"/>
              </w:rPr>
              <w:t>mm</w:t>
            </w:r>
            <w:r>
              <w:rPr>
                <w:spacing w:val="2"/>
                <w:sz w:val="21"/>
                <w:szCs w:val="21"/>
              </w:rPr>
              <w:t>2</w:t>
            </w:r>
          </w:p>
        </w:tc>
        <w:tc>
          <w:tcPr>
            <w:tcW w:w="1208" w:type="dxa"/>
            <w:vAlign w:val="top"/>
          </w:tcPr>
          <w:p w14:paraId="37B7CFAA">
            <w:pPr>
              <w:pStyle w:val="6"/>
              <w:spacing w:before="57" w:line="204" w:lineRule="auto"/>
              <w:ind w:left="497"/>
              <w:rPr>
                <w:sz w:val="21"/>
                <w:szCs w:val="21"/>
              </w:rPr>
            </w:pPr>
            <w:r>
              <w:rPr>
                <w:sz w:val="21"/>
                <w:szCs w:val="21"/>
              </w:rPr>
              <w:t>米</w:t>
            </w:r>
          </w:p>
        </w:tc>
        <w:tc>
          <w:tcPr>
            <w:tcW w:w="989" w:type="dxa"/>
            <w:vAlign w:val="top"/>
          </w:tcPr>
          <w:p w14:paraId="7862F663">
            <w:pPr>
              <w:pStyle w:val="6"/>
              <w:spacing w:before="78" w:line="186" w:lineRule="auto"/>
              <w:ind w:left="178"/>
              <w:rPr>
                <w:sz w:val="21"/>
                <w:szCs w:val="21"/>
              </w:rPr>
            </w:pPr>
            <w:r>
              <w:rPr>
                <w:spacing w:val="-2"/>
                <w:sz w:val="21"/>
                <w:szCs w:val="21"/>
              </w:rPr>
              <w:t>300.00</w:t>
            </w:r>
          </w:p>
        </w:tc>
        <w:tc>
          <w:tcPr>
            <w:tcW w:w="774" w:type="dxa"/>
            <w:vAlign w:val="top"/>
          </w:tcPr>
          <w:p w14:paraId="1709870C">
            <w:pPr>
              <w:rPr>
                <w:rFonts w:ascii="Arial"/>
                <w:sz w:val="21"/>
              </w:rPr>
            </w:pPr>
          </w:p>
        </w:tc>
      </w:tr>
      <w:tr w14:paraId="26682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5D0111E6">
            <w:pPr>
              <w:pStyle w:val="6"/>
              <w:spacing w:before="88" w:line="195" w:lineRule="auto"/>
              <w:ind w:left="244"/>
              <w:rPr>
                <w:sz w:val="21"/>
                <w:szCs w:val="21"/>
              </w:rPr>
            </w:pPr>
            <w:r>
              <w:rPr>
                <w:spacing w:val="-2"/>
                <w:sz w:val="21"/>
                <w:szCs w:val="21"/>
              </w:rPr>
              <w:t>2.7.13</w:t>
            </w:r>
          </w:p>
        </w:tc>
        <w:tc>
          <w:tcPr>
            <w:tcW w:w="4375" w:type="dxa"/>
            <w:vAlign w:val="top"/>
          </w:tcPr>
          <w:p w14:paraId="0B66DDE7">
            <w:pPr>
              <w:pStyle w:val="6"/>
              <w:spacing w:before="67" w:line="213" w:lineRule="auto"/>
              <w:ind w:left="1551"/>
              <w:rPr>
                <w:sz w:val="21"/>
                <w:szCs w:val="21"/>
              </w:rPr>
            </w:pPr>
            <w:r>
              <w:rPr>
                <w:spacing w:val="2"/>
                <w:sz w:val="21"/>
                <w:szCs w:val="21"/>
              </w:rPr>
              <w:t>铜缆</w:t>
            </w:r>
            <w:r>
              <w:rPr>
                <w:sz w:val="21"/>
                <w:szCs w:val="21"/>
              </w:rPr>
              <w:t>BV</w:t>
            </w:r>
            <w:r>
              <w:rPr>
                <w:spacing w:val="2"/>
                <w:sz w:val="21"/>
                <w:szCs w:val="21"/>
              </w:rPr>
              <w:t>-50</w:t>
            </w:r>
            <w:r>
              <w:rPr>
                <w:sz w:val="21"/>
                <w:szCs w:val="21"/>
              </w:rPr>
              <w:t>mm</w:t>
            </w:r>
            <w:r>
              <w:rPr>
                <w:spacing w:val="2"/>
                <w:sz w:val="21"/>
                <w:szCs w:val="21"/>
              </w:rPr>
              <w:t>2</w:t>
            </w:r>
          </w:p>
        </w:tc>
        <w:tc>
          <w:tcPr>
            <w:tcW w:w="1208" w:type="dxa"/>
            <w:vAlign w:val="top"/>
          </w:tcPr>
          <w:p w14:paraId="40372CBD">
            <w:pPr>
              <w:pStyle w:val="6"/>
              <w:spacing w:before="67" w:line="213" w:lineRule="auto"/>
              <w:ind w:left="497"/>
              <w:rPr>
                <w:sz w:val="21"/>
                <w:szCs w:val="21"/>
              </w:rPr>
            </w:pPr>
            <w:r>
              <w:rPr>
                <w:sz w:val="21"/>
                <w:szCs w:val="21"/>
              </w:rPr>
              <w:t>米</w:t>
            </w:r>
          </w:p>
        </w:tc>
        <w:tc>
          <w:tcPr>
            <w:tcW w:w="989" w:type="dxa"/>
            <w:vAlign w:val="top"/>
          </w:tcPr>
          <w:p w14:paraId="5ACD79AE">
            <w:pPr>
              <w:pStyle w:val="6"/>
              <w:spacing w:before="88" w:line="195" w:lineRule="auto"/>
              <w:ind w:left="178"/>
              <w:rPr>
                <w:sz w:val="21"/>
                <w:szCs w:val="21"/>
              </w:rPr>
            </w:pPr>
            <w:r>
              <w:rPr>
                <w:spacing w:val="-4"/>
                <w:sz w:val="21"/>
                <w:szCs w:val="21"/>
              </w:rPr>
              <w:t>100.00</w:t>
            </w:r>
          </w:p>
        </w:tc>
        <w:tc>
          <w:tcPr>
            <w:tcW w:w="774" w:type="dxa"/>
            <w:vAlign w:val="top"/>
          </w:tcPr>
          <w:p w14:paraId="46FB5A39">
            <w:pPr>
              <w:rPr>
                <w:rFonts w:ascii="Arial"/>
                <w:sz w:val="21"/>
              </w:rPr>
            </w:pPr>
          </w:p>
        </w:tc>
      </w:tr>
      <w:tr w14:paraId="71EC7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1FB11701">
            <w:pPr>
              <w:pStyle w:val="6"/>
              <w:spacing w:before="88" w:line="195" w:lineRule="auto"/>
              <w:ind w:left="244"/>
              <w:rPr>
                <w:sz w:val="21"/>
                <w:szCs w:val="21"/>
              </w:rPr>
            </w:pPr>
            <w:r>
              <w:rPr>
                <w:spacing w:val="-2"/>
                <w:sz w:val="21"/>
                <w:szCs w:val="21"/>
              </w:rPr>
              <w:t>2.7.14</w:t>
            </w:r>
          </w:p>
        </w:tc>
        <w:tc>
          <w:tcPr>
            <w:tcW w:w="4375" w:type="dxa"/>
            <w:vAlign w:val="top"/>
          </w:tcPr>
          <w:p w14:paraId="7DBE12EC">
            <w:pPr>
              <w:pStyle w:val="6"/>
              <w:spacing w:before="68" w:line="212" w:lineRule="auto"/>
              <w:ind w:left="1651"/>
              <w:rPr>
                <w:sz w:val="21"/>
                <w:szCs w:val="21"/>
              </w:rPr>
            </w:pPr>
            <w:r>
              <w:rPr>
                <w:spacing w:val="-2"/>
                <w:sz w:val="21"/>
                <w:szCs w:val="21"/>
              </w:rPr>
              <w:t>铜排-30×4</w:t>
            </w:r>
          </w:p>
        </w:tc>
        <w:tc>
          <w:tcPr>
            <w:tcW w:w="1208" w:type="dxa"/>
            <w:vAlign w:val="top"/>
          </w:tcPr>
          <w:p w14:paraId="4438776D">
            <w:pPr>
              <w:pStyle w:val="6"/>
              <w:spacing w:before="67" w:line="213" w:lineRule="auto"/>
              <w:ind w:left="497"/>
              <w:rPr>
                <w:sz w:val="21"/>
                <w:szCs w:val="21"/>
              </w:rPr>
            </w:pPr>
            <w:r>
              <w:rPr>
                <w:sz w:val="21"/>
                <w:szCs w:val="21"/>
              </w:rPr>
              <w:t>米</w:t>
            </w:r>
          </w:p>
        </w:tc>
        <w:tc>
          <w:tcPr>
            <w:tcW w:w="989" w:type="dxa"/>
            <w:vAlign w:val="top"/>
          </w:tcPr>
          <w:p w14:paraId="3FCC90A0">
            <w:pPr>
              <w:pStyle w:val="6"/>
              <w:spacing w:before="88" w:line="195" w:lineRule="auto"/>
              <w:ind w:left="178"/>
              <w:rPr>
                <w:sz w:val="21"/>
                <w:szCs w:val="21"/>
              </w:rPr>
            </w:pPr>
            <w:r>
              <w:rPr>
                <w:spacing w:val="-2"/>
                <w:sz w:val="21"/>
                <w:szCs w:val="21"/>
              </w:rPr>
              <w:t>300.00</w:t>
            </w:r>
          </w:p>
        </w:tc>
        <w:tc>
          <w:tcPr>
            <w:tcW w:w="774" w:type="dxa"/>
            <w:vAlign w:val="top"/>
          </w:tcPr>
          <w:p w14:paraId="74AD7684">
            <w:pPr>
              <w:rPr>
                <w:rFonts w:ascii="Arial"/>
                <w:sz w:val="21"/>
              </w:rPr>
            </w:pPr>
          </w:p>
        </w:tc>
      </w:tr>
      <w:tr w14:paraId="12A71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585D3461">
            <w:pPr>
              <w:pStyle w:val="6"/>
              <w:spacing w:before="88" w:line="195" w:lineRule="auto"/>
              <w:ind w:left="404"/>
              <w:rPr>
                <w:sz w:val="21"/>
                <w:szCs w:val="21"/>
              </w:rPr>
            </w:pPr>
            <w:r>
              <w:rPr>
                <w:spacing w:val="-3"/>
                <w:sz w:val="21"/>
                <w:szCs w:val="21"/>
              </w:rPr>
              <w:t>2.8</w:t>
            </w:r>
          </w:p>
        </w:tc>
        <w:tc>
          <w:tcPr>
            <w:tcW w:w="4375" w:type="dxa"/>
            <w:vAlign w:val="top"/>
          </w:tcPr>
          <w:p w14:paraId="79D754D4">
            <w:pPr>
              <w:pStyle w:val="6"/>
              <w:spacing w:before="67" w:line="213" w:lineRule="auto"/>
              <w:ind w:left="1651"/>
              <w:rPr>
                <w:sz w:val="21"/>
                <w:szCs w:val="21"/>
              </w:rPr>
            </w:pPr>
            <w:r>
              <w:rPr>
                <w:spacing w:val="4"/>
                <w:sz w:val="21"/>
                <w:szCs w:val="21"/>
              </w:rPr>
              <w:t>升压站照明</w:t>
            </w:r>
          </w:p>
        </w:tc>
        <w:tc>
          <w:tcPr>
            <w:tcW w:w="1208" w:type="dxa"/>
            <w:vAlign w:val="top"/>
          </w:tcPr>
          <w:p w14:paraId="58E17878">
            <w:pPr>
              <w:rPr>
                <w:rFonts w:ascii="Arial"/>
                <w:sz w:val="21"/>
              </w:rPr>
            </w:pPr>
          </w:p>
        </w:tc>
        <w:tc>
          <w:tcPr>
            <w:tcW w:w="989" w:type="dxa"/>
            <w:vAlign w:val="top"/>
          </w:tcPr>
          <w:p w14:paraId="4A643B63">
            <w:pPr>
              <w:rPr>
                <w:rFonts w:ascii="Arial"/>
                <w:sz w:val="21"/>
              </w:rPr>
            </w:pPr>
          </w:p>
        </w:tc>
        <w:tc>
          <w:tcPr>
            <w:tcW w:w="774" w:type="dxa"/>
            <w:vAlign w:val="top"/>
          </w:tcPr>
          <w:p w14:paraId="7EE75FF3">
            <w:pPr>
              <w:rPr>
                <w:rFonts w:ascii="Arial"/>
                <w:sz w:val="21"/>
              </w:rPr>
            </w:pPr>
          </w:p>
        </w:tc>
      </w:tr>
      <w:tr w14:paraId="39CF7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143" w:type="dxa"/>
            <w:vAlign w:val="top"/>
          </w:tcPr>
          <w:p w14:paraId="7882569C">
            <w:pPr>
              <w:pStyle w:val="6"/>
              <w:spacing w:before="88" w:line="194" w:lineRule="auto"/>
              <w:ind w:left="295"/>
              <w:rPr>
                <w:sz w:val="21"/>
                <w:szCs w:val="21"/>
              </w:rPr>
            </w:pPr>
            <w:r>
              <w:rPr>
                <w:spacing w:val="-2"/>
                <w:sz w:val="21"/>
                <w:szCs w:val="21"/>
              </w:rPr>
              <w:t>2.8.1</w:t>
            </w:r>
          </w:p>
        </w:tc>
        <w:tc>
          <w:tcPr>
            <w:tcW w:w="4375" w:type="dxa"/>
            <w:vAlign w:val="top"/>
          </w:tcPr>
          <w:p w14:paraId="12D630FB">
            <w:pPr>
              <w:pStyle w:val="6"/>
              <w:spacing w:before="67" w:line="212" w:lineRule="auto"/>
              <w:ind w:left="1441"/>
              <w:rPr>
                <w:sz w:val="21"/>
                <w:szCs w:val="21"/>
              </w:rPr>
            </w:pPr>
            <w:r>
              <w:rPr>
                <w:spacing w:val="1"/>
                <w:sz w:val="21"/>
                <w:szCs w:val="21"/>
              </w:rPr>
              <w:t>照明动力配电箱</w:t>
            </w:r>
          </w:p>
        </w:tc>
        <w:tc>
          <w:tcPr>
            <w:tcW w:w="1208" w:type="dxa"/>
            <w:vAlign w:val="top"/>
          </w:tcPr>
          <w:p w14:paraId="042C9D0D">
            <w:pPr>
              <w:pStyle w:val="6"/>
              <w:spacing w:before="70" w:line="210" w:lineRule="auto"/>
              <w:ind w:left="497"/>
              <w:rPr>
                <w:sz w:val="21"/>
                <w:szCs w:val="21"/>
              </w:rPr>
            </w:pPr>
            <w:r>
              <w:rPr>
                <w:sz w:val="21"/>
                <w:szCs w:val="21"/>
              </w:rPr>
              <w:t>台</w:t>
            </w:r>
          </w:p>
        </w:tc>
        <w:tc>
          <w:tcPr>
            <w:tcW w:w="989" w:type="dxa"/>
            <w:vAlign w:val="top"/>
          </w:tcPr>
          <w:p w14:paraId="50C239CF">
            <w:pPr>
              <w:pStyle w:val="6"/>
              <w:spacing w:before="88" w:line="194" w:lineRule="auto"/>
              <w:ind w:left="278"/>
              <w:rPr>
                <w:sz w:val="21"/>
                <w:szCs w:val="21"/>
              </w:rPr>
            </w:pPr>
            <w:r>
              <w:rPr>
                <w:spacing w:val="-3"/>
                <w:sz w:val="21"/>
                <w:szCs w:val="21"/>
              </w:rPr>
              <w:t>5.00</w:t>
            </w:r>
          </w:p>
        </w:tc>
        <w:tc>
          <w:tcPr>
            <w:tcW w:w="774" w:type="dxa"/>
            <w:vAlign w:val="top"/>
          </w:tcPr>
          <w:p w14:paraId="3D9BFE33">
            <w:pPr>
              <w:rPr>
                <w:rFonts w:ascii="Arial"/>
                <w:sz w:val="21"/>
              </w:rPr>
            </w:pPr>
          </w:p>
        </w:tc>
      </w:tr>
      <w:tr w14:paraId="1E18A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143" w:type="dxa"/>
            <w:vAlign w:val="top"/>
          </w:tcPr>
          <w:p w14:paraId="288226D6">
            <w:pPr>
              <w:pStyle w:val="6"/>
              <w:spacing w:before="69" w:line="185" w:lineRule="auto"/>
              <w:ind w:left="295"/>
              <w:rPr>
                <w:sz w:val="21"/>
                <w:szCs w:val="21"/>
              </w:rPr>
            </w:pPr>
            <w:r>
              <w:rPr>
                <w:spacing w:val="-2"/>
                <w:sz w:val="21"/>
                <w:szCs w:val="21"/>
              </w:rPr>
              <w:t>2.8.2</w:t>
            </w:r>
          </w:p>
        </w:tc>
        <w:tc>
          <w:tcPr>
            <w:tcW w:w="4375" w:type="dxa"/>
            <w:vAlign w:val="top"/>
          </w:tcPr>
          <w:p w14:paraId="2B8ACBEB">
            <w:pPr>
              <w:pStyle w:val="6"/>
              <w:spacing w:before="47" w:line="204" w:lineRule="auto"/>
              <w:ind w:left="1651"/>
              <w:rPr>
                <w:sz w:val="21"/>
                <w:szCs w:val="21"/>
              </w:rPr>
            </w:pPr>
            <w:r>
              <w:rPr>
                <w:spacing w:val="2"/>
                <w:sz w:val="21"/>
                <w:szCs w:val="21"/>
              </w:rPr>
              <w:t>检修电源箱</w:t>
            </w:r>
          </w:p>
        </w:tc>
        <w:tc>
          <w:tcPr>
            <w:tcW w:w="1208" w:type="dxa"/>
            <w:vAlign w:val="top"/>
          </w:tcPr>
          <w:p w14:paraId="4362DDB5">
            <w:pPr>
              <w:pStyle w:val="6"/>
              <w:spacing w:before="51" w:line="201" w:lineRule="auto"/>
              <w:ind w:left="497"/>
              <w:rPr>
                <w:sz w:val="21"/>
                <w:szCs w:val="21"/>
              </w:rPr>
            </w:pPr>
            <w:r>
              <w:rPr>
                <w:sz w:val="21"/>
                <w:szCs w:val="21"/>
              </w:rPr>
              <w:t>台</w:t>
            </w:r>
          </w:p>
        </w:tc>
        <w:tc>
          <w:tcPr>
            <w:tcW w:w="989" w:type="dxa"/>
            <w:vAlign w:val="top"/>
          </w:tcPr>
          <w:p w14:paraId="129B4EFC">
            <w:pPr>
              <w:pStyle w:val="6"/>
              <w:spacing w:before="69" w:line="185" w:lineRule="auto"/>
              <w:ind w:left="278"/>
              <w:rPr>
                <w:sz w:val="21"/>
                <w:szCs w:val="21"/>
              </w:rPr>
            </w:pPr>
            <w:r>
              <w:rPr>
                <w:spacing w:val="-2"/>
                <w:sz w:val="21"/>
                <w:szCs w:val="21"/>
              </w:rPr>
              <w:t>4.00</w:t>
            </w:r>
          </w:p>
        </w:tc>
        <w:tc>
          <w:tcPr>
            <w:tcW w:w="774" w:type="dxa"/>
            <w:vAlign w:val="top"/>
          </w:tcPr>
          <w:p w14:paraId="4286EECF">
            <w:pPr>
              <w:rPr>
                <w:rFonts w:ascii="Arial"/>
                <w:sz w:val="21"/>
              </w:rPr>
            </w:pPr>
          </w:p>
        </w:tc>
      </w:tr>
      <w:tr w14:paraId="33492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43" w:type="dxa"/>
            <w:vAlign w:val="top"/>
          </w:tcPr>
          <w:p w14:paraId="74D52D76">
            <w:pPr>
              <w:pStyle w:val="6"/>
              <w:spacing w:before="89" w:line="194" w:lineRule="auto"/>
              <w:ind w:left="295"/>
              <w:rPr>
                <w:sz w:val="21"/>
                <w:szCs w:val="21"/>
              </w:rPr>
            </w:pPr>
            <w:r>
              <w:rPr>
                <w:spacing w:val="-2"/>
                <w:sz w:val="21"/>
                <w:szCs w:val="21"/>
              </w:rPr>
              <w:t>2.8.3</w:t>
            </w:r>
          </w:p>
        </w:tc>
        <w:tc>
          <w:tcPr>
            <w:tcW w:w="4375" w:type="dxa"/>
            <w:vAlign w:val="top"/>
          </w:tcPr>
          <w:p w14:paraId="4C558262">
            <w:pPr>
              <w:pStyle w:val="6"/>
              <w:spacing w:before="68" w:line="212" w:lineRule="auto"/>
              <w:ind w:left="1441"/>
              <w:rPr>
                <w:sz w:val="21"/>
                <w:szCs w:val="21"/>
              </w:rPr>
            </w:pPr>
            <w:r>
              <w:rPr>
                <w:spacing w:val="1"/>
                <w:sz w:val="21"/>
                <w:szCs w:val="21"/>
              </w:rPr>
              <w:t>事故照明配电箱</w:t>
            </w:r>
          </w:p>
        </w:tc>
        <w:tc>
          <w:tcPr>
            <w:tcW w:w="1208" w:type="dxa"/>
            <w:vAlign w:val="top"/>
          </w:tcPr>
          <w:p w14:paraId="682EFACF">
            <w:pPr>
              <w:pStyle w:val="6"/>
              <w:spacing w:before="71" w:line="210" w:lineRule="auto"/>
              <w:ind w:left="497"/>
              <w:rPr>
                <w:sz w:val="21"/>
                <w:szCs w:val="21"/>
              </w:rPr>
            </w:pPr>
            <w:r>
              <w:rPr>
                <w:sz w:val="21"/>
                <w:szCs w:val="21"/>
              </w:rPr>
              <w:t>台</w:t>
            </w:r>
          </w:p>
        </w:tc>
        <w:tc>
          <w:tcPr>
            <w:tcW w:w="989" w:type="dxa"/>
            <w:vAlign w:val="top"/>
          </w:tcPr>
          <w:p w14:paraId="5E548FD9">
            <w:pPr>
              <w:pStyle w:val="6"/>
              <w:spacing w:before="89" w:line="194" w:lineRule="auto"/>
              <w:ind w:left="278"/>
              <w:rPr>
                <w:sz w:val="21"/>
                <w:szCs w:val="21"/>
              </w:rPr>
            </w:pPr>
            <w:r>
              <w:rPr>
                <w:spacing w:val="-5"/>
                <w:sz w:val="21"/>
                <w:szCs w:val="21"/>
              </w:rPr>
              <w:t>1.00</w:t>
            </w:r>
          </w:p>
        </w:tc>
        <w:tc>
          <w:tcPr>
            <w:tcW w:w="774" w:type="dxa"/>
            <w:vAlign w:val="top"/>
          </w:tcPr>
          <w:p w14:paraId="50AA5E2D">
            <w:pPr>
              <w:rPr>
                <w:rFonts w:ascii="Arial"/>
                <w:sz w:val="21"/>
              </w:rPr>
            </w:pPr>
          </w:p>
        </w:tc>
      </w:tr>
      <w:tr w14:paraId="036B9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143" w:type="dxa"/>
            <w:vAlign w:val="top"/>
          </w:tcPr>
          <w:p w14:paraId="0C0320AF">
            <w:pPr>
              <w:pStyle w:val="6"/>
              <w:spacing w:before="70" w:line="188" w:lineRule="auto"/>
              <w:ind w:left="295"/>
              <w:rPr>
                <w:sz w:val="21"/>
                <w:szCs w:val="21"/>
              </w:rPr>
            </w:pPr>
            <w:r>
              <w:rPr>
                <w:spacing w:val="-2"/>
                <w:sz w:val="21"/>
                <w:szCs w:val="21"/>
              </w:rPr>
              <w:t>2.8.4</w:t>
            </w:r>
          </w:p>
        </w:tc>
        <w:tc>
          <w:tcPr>
            <w:tcW w:w="4375" w:type="dxa"/>
            <w:vAlign w:val="top"/>
          </w:tcPr>
          <w:p w14:paraId="3FA2F5A0">
            <w:pPr>
              <w:pStyle w:val="6"/>
              <w:spacing w:before="48" w:line="207" w:lineRule="auto"/>
              <w:ind w:left="181"/>
              <w:rPr>
                <w:sz w:val="21"/>
                <w:szCs w:val="21"/>
              </w:rPr>
            </w:pPr>
            <w:r>
              <w:rPr>
                <w:spacing w:val="-1"/>
                <w:sz w:val="21"/>
                <w:szCs w:val="21"/>
              </w:rPr>
              <w:t>各种灯具栅格灯、管灯、路灯、壁灯等220V</w:t>
            </w:r>
          </w:p>
        </w:tc>
        <w:tc>
          <w:tcPr>
            <w:tcW w:w="1208" w:type="dxa"/>
            <w:vAlign w:val="top"/>
          </w:tcPr>
          <w:p w14:paraId="1C1528F7">
            <w:pPr>
              <w:pStyle w:val="6"/>
              <w:spacing w:before="49" w:line="206" w:lineRule="auto"/>
              <w:ind w:left="497"/>
              <w:rPr>
                <w:sz w:val="21"/>
                <w:szCs w:val="21"/>
              </w:rPr>
            </w:pPr>
            <w:r>
              <w:rPr>
                <w:sz w:val="21"/>
                <w:szCs w:val="21"/>
              </w:rPr>
              <w:t>套</w:t>
            </w:r>
          </w:p>
        </w:tc>
        <w:tc>
          <w:tcPr>
            <w:tcW w:w="989" w:type="dxa"/>
            <w:vAlign w:val="top"/>
          </w:tcPr>
          <w:p w14:paraId="5B6ACBB7">
            <w:pPr>
              <w:pStyle w:val="6"/>
              <w:spacing w:before="70" w:line="188" w:lineRule="auto"/>
              <w:ind w:left="228"/>
              <w:rPr>
                <w:sz w:val="21"/>
                <w:szCs w:val="21"/>
              </w:rPr>
            </w:pPr>
            <w:r>
              <w:rPr>
                <w:spacing w:val="-3"/>
                <w:sz w:val="21"/>
                <w:szCs w:val="21"/>
              </w:rPr>
              <w:t>75.00</w:t>
            </w:r>
          </w:p>
        </w:tc>
        <w:tc>
          <w:tcPr>
            <w:tcW w:w="774" w:type="dxa"/>
            <w:vAlign w:val="top"/>
          </w:tcPr>
          <w:p w14:paraId="7D47332D">
            <w:pPr>
              <w:rPr>
                <w:rFonts w:ascii="Arial"/>
                <w:sz w:val="21"/>
              </w:rPr>
            </w:pPr>
          </w:p>
        </w:tc>
      </w:tr>
    </w:tbl>
    <w:p w14:paraId="3006629C">
      <w:pPr>
        <w:pStyle w:val="2"/>
      </w:pPr>
    </w:p>
    <w:p w14:paraId="68BD56A1">
      <w:pPr>
        <w:sectPr>
          <w:footerReference r:id="rId232" w:type="default"/>
          <w:pgSz w:w="11910" w:h="16830"/>
          <w:pgMar w:top="400" w:right="1725" w:bottom="1156" w:left="1685" w:header="0" w:footer="967" w:gutter="0"/>
          <w:cols w:space="720" w:num="1"/>
        </w:sectPr>
      </w:pPr>
    </w:p>
    <w:p w14:paraId="7AD204CC">
      <w:pPr>
        <w:spacing w:before="15"/>
      </w:pPr>
    </w:p>
    <w:p w14:paraId="1A115FF6">
      <w:pPr>
        <w:spacing w:before="15"/>
      </w:pPr>
    </w:p>
    <w:p w14:paraId="7CE2C949">
      <w:pPr>
        <w:spacing w:before="15"/>
      </w:pPr>
    </w:p>
    <w:p w14:paraId="2F158B89">
      <w:pPr>
        <w:spacing w:before="14"/>
      </w:pPr>
    </w:p>
    <w:tbl>
      <w:tblPr>
        <w:tblStyle w:val="5"/>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3"/>
        <w:gridCol w:w="4375"/>
        <w:gridCol w:w="1198"/>
        <w:gridCol w:w="999"/>
        <w:gridCol w:w="784"/>
      </w:tblGrid>
      <w:tr w14:paraId="7092E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163" w:type="dxa"/>
            <w:vAlign w:val="top"/>
          </w:tcPr>
          <w:p w14:paraId="29CA0AC1">
            <w:pPr>
              <w:pStyle w:val="6"/>
              <w:spacing w:before="74" w:line="202" w:lineRule="auto"/>
              <w:ind w:left="305"/>
              <w:rPr>
                <w:sz w:val="21"/>
                <w:szCs w:val="21"/>
              </w:rPr>
            </w:pPr>
            <w:r>
              <w:rPr>
                <w:spacing w:val="-2"/>
                <w:sz w:val="21"/>
                <w:szCs w:val="21"/>
              </w:rPr>
              <w:t>2.8.5</w:t>
            </w:r>
          </w:p>
        </w:tc>
        <w:tc>
          <w:tcPr>
            <w:tcW w:w="4375" w:type="dxa"/>
            <w:vAlign w:val="top"/>
          </w:tcPr>
          <w:p w14:paraId="4BE78764">
            <w:pPr>
              <w:pStyle w:val="6"/>
              <w:spacing w:before="53" w:line="220" w:lineRule="auto"/>
              <w:ind w:left="551"/>
              <w:rPr>
                <w:sz w:val="21"/>
                <w:szCs w:val="21"/>
              </w:rPr>
            </w:pPr>
            <w:r>
              <w:rPr>
                <w:spacing w:val="-1"/>
                <w:sz w:val="21"/>
                <w:szCs w:val="21"/>
              </w:rPr>
              <w:t>灯具开关单联、双联、三联开关10A</w:t>
            </w:r>
          </w:p>
        </w:tc>
        <w:tc>
          <w:tcPr>
            <w:tcW w:w="1198" w:type="dxa"/>
            <w:vAlign w:val="top"/>
          </w:tcPr>
          <w:p w14:paraId="1100F5DF">
            <w:pPr>
              <w:pStyle w:val="6"/>
              <w:spacing w:before="53" w:line="219" w:lineRule="auto"/>
              <w:ind w:left="487"/>
              <w:rPr>
                <w:sz w:val="21"/>
                <w:szCs w:val="21"/>
              </w:rPr>
            </w:pPr>
            <w:r>
              <w:rPr>
                <w:sz w:val="21"/>
                <w:szCs w:val="21"/>
              </w:rPr>
              <w:t>个</w:t>
            </w:r>
          </w:p>
        </w:tc>
        <w:tc>
          <w:tcPr>
            <w:tcW w:w="999" w:type="dxa"/>
            <w:vAlign w:val="top"/>
          </w:tcPr>
          <w:p w14:paraId="744CC2EF">
            <w:pPr>
              <w:pStyle w:val="6"/>
              <w:spacing w:before="74" w:line="202" w:lineRule="auto"/>
              <w:ind w:left="228"/>
              <w:rPr>
                <w:sz w:val="21"/>
                <w:szCs w:val="21"/>
              </w:rPr>
            </w:pPr>
            <w:r>
              <w:rPr>
                <w:spacing w:val="-2"/>
                <w:sz w:val="21"/>
                <w:szCs w:val="21"/>
              </w:rPr>
              <w:t>30.00</w:t>
            </w:r>
          </w:p>
        </w:tc>
        <w:tc>
          <w:tcPr>
            <w:tcW w:w="784" w:type="dxa"/>
            <w:vAlign w:val="top"/>
          </w:tcPr>
          <w:p w14:paraId="08657CC1">
            <w:pPr>
              <w:rPr>
                <w:rFonts w:ascii="Arial"/>
                <w:sz w:val="21"/>
              </w:rPr>
            </w:pPr>
          </w:p>
        </w:tc>
      </w:tr>
      <w:tr w14:paraId="613E9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163" w:type="dxa"/>
            <w:vAlign w:val="top"/>
          </w:tcPr>
          <w:p w14:paraId="47FE2D29">
            <w:pPr>
              <w:pStyle w:val="6"/>
              <w:spacing w:before="80" w:line="201" w:lineRule="auto"/>
              <w:ind w:left="305"/>
              <w:rPr>
                <w:sz w:val="21"/>
                <w:szCs w:val="21"/>
              </w:rPr>
            </w:pPr>
            <w:r>
              <w:rPr>
                <w:spacing w:val="-2"/>
                <w:sz w:val="21"/>
                <w:szCs w:val="21"/>
              </w:rPr>
              <w:t>2.8.6</w:t>
            </w:r>
          </w:p>
        </w:tc>
        <w:tc>
          <w:tcPr>
            <w:tcW w:w="4375" w:type="dxa"/>
            <w:vAlign w:val="top"/>
          </w:tcPr>
          <w:p w14:paraId="1A7B8879">
            <w:pPr>
              <w:pStyle w:val="6"/>
              <w:spacing w:before="59" w:line="219" w:lineRule="auto"/>
              <w:ind w:left="1761"/>
              <w:rPr>
                <w:sz w:val="21"/>
                <w:szCs w:val="21"/>
              </w:rPr>
            </w:pPr>
            <w:r>
              <w:rPr>
                <w:spacing w:val="2"/>
                <w:sz w:val="21"/>
                <w:szCs w:val="21"/>
              </w:rPr>
              <w:t>消防灯具</w:t>
            </w:r>
          </w:p>
        </w:tc>
        <w:tc>
          <w:tcPr>
            <w:tcW w:w="1198" w:type="dxa"/>
            <w:vAlign w:val="top"/>
          </w:tcPr>
          <w:p w14:paraId="1B1C4FE2">
            <w:pPr>
              <w:pStyle w:val="6"/>
              <w:spacing w:before="59" w:line="219" w:lineRule="auto"/>
              <w:ind w:left="487"/>
              <w:rPr>
                <w:sz w:val="21"/>
                <w:szCs w:val="21"/>
              </w:rPr>
            </w:pPr>
            <w:r>
              <w:rPr>
                <w:sz w:val="21"/>
                <w:szCs w:val="21"/>
              </w:rPr>
              <w:t>个</w:t>
            </w:r>
          </w:p>
        </w:tc>
        <w:tc>
          <w:tcPr>
            <w:tcW w:w="999" w:type="dxa"/>
            <w:vAlign w:val="top"/>
          </w:tcPr>
          <w:p w14:paraId="2A11FFFA">
            <w:pPr>
              <w:pStyle w:val="6"/>
              <w:spacing w:before="80" w:line="201" w:lineRule="auto"/>
              <w:ind w:left="228"/>
              <w:rPr>
                <w:sz w:val="21"/>
                <w:szCs w:val="21"/>
              </w:rPr>
            </w:pPr>
            <w:r>
              <w:rPr>
                <w:spacing w:val="-2"/>
                <w:sz w:val="21"/>
                <w:szCs w:val="21"/>
              </w:rPr>
              <w:t>25.00</w:t>
            </w:r>
          </w:p>
        </w:tc>
        <w:tc>
          <w:tcPr>
            <w:tcW w:w="784" w:type="dxa"/>
            <w:vAlign w:val="top"/>
          </w:tcPr>
          <w:p w14:paraId="6BF131EB">
            <w:pPr>
              <w:rPr>
                <w:rFonts w:ascii="Arial"/>
                <w:sz w:val="21"/>
              </w:rPr>
            </w:pPr>
          </w:p>
        </w:tc>
      </w:tr>
      <w:tr w14:paraId="65155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163" w:type="dxa"/>
            <w:vAlign w:val="top"/>
          </w:tcPr>
          <w:p w14:paraId="1B6CC3BC">
            <w:pPr>
              <w:pStyle w:val="6"/>
              <w:spacing w:before="81" w:line="200" w:lineRule="auto"/>
              <w:ind w:left="305"/>
              <w:rPr>
                <w:sz w:val="21"/>
                <w:szCs w:val="21"/>
              </w:rPr>
            </w:pPr>
            <w:r>
              <w:rPr>
                <w:spacing w:val="-2"/>
                <w:sz w:val="21"/>
                <w:szCs w:val="21"/>
              </w:rPr>
              <w:t>2.8.7</w:t>
            </w:r>
          </w:p>
        </w:tc>
        <w:tc>
          <w:tcPr>
            <w:tcW w:w="4375" w:type="dxa"/>
            <w:vAlign w:val="top"/>
          </w:tcPr>
          <w:p w14:paraId="78D4350E">
            <w:pPr>
              <w:pStyle w:val="6"/>
              <w:spacing w:before="61" w:line="218" w:lineRule="auto"/>
              <w:ind w:left="1552"/>
              <w:rPr>
                <w:sz w:val="21"/>
                <w:szCs w:val="21"/>
              </w:rPr>
            </w:pPr>
            <w:r>
              <w:rPr>
                <w:spacing w:val="-3"/>
                <w:sz w:val="21"/>
                <w:szCs w:val="21"/>
              </w:rPr>
              <w:t>插座250V</w:t>
            </w:r>
            <w:r>
              <w:rPr>
                <w:spacing w:val="26"/>
                <w:sz w:val="21"/>
                <w:szCs w:val="21"/>
              </w:rPr>
              <w:t xml:space="preserve"> </w:t>
            </w:r>
            <w:r>
              <w:rPr>
                <w:spacing w:val="-3"/>
                <w:sz w:val="21"/>
                <w:szCs w:val="21"/>
              </w:rPr>
              <w:t>16A</w:t>
            </w:r>
          </w:p>
        </w:tc>
        <w:tc>
          <w:tcPr>
            <w:tcW w:w="1198" w:type="dxa"/>
            <w:vAlign w:val="top"/>
          </w:tcPr>
          <w:p w14:paraId="7A64B32F">
            <w:pPr>
              <w:pStyle w:val="6"/>
              <w:spacing w:before="59" w:line="219" w:lineRule="auto"/>
              <w:ind w:left="487"/>
              <w:rPr>
                <w:sz w:val="21"/>
                <w:szCs w:val="21"/>
              </w:rPr>
            </w:pPr>
            <w:r>
              <w:rPr>
                <w:sz w:val="21"/>
                <w:szCs w:val="21"/>
              </w:rPr>
              <w:t>个</w:t>
            </w:r>
          </w:p>
        </w:tc>
        <w:tc>
          <w:tcPr>
            <w:tcW w:w="999" w:type="dxa"/>
            <w:vAlign w:val="top"/>
          </w:tcPr>
          <w:p w14:paraId="782A55A2">
            <w:pPr>
              <w:pStyle w:val="6"/>
              <w:spacing w:before="81" w:line="200" w:lineRule="auto"/>
              <w:ind w:left="228"/>
              <w:rPr>
                <w:sz w:val="21"/>
                <w:szCs w:val="21"/>
              </w:rPr>
            </w:pPr>
            <w:r>
              <w:rPr>
                <w:spacing w:val="-2"/>
                <w:sz w:val="21"/>
                <w:szCs w:val="21"/>
              </w:rPr>
              <w:t>50.00</w:t>
            </w:r>
          </w:p>
        </w:tc>
        <w:tc>
          <w:tcPr>
            <w:tcW w:w="784" w:type="dxa"/>
            <w:vAlign w:val="top"/>
          </w:tcPr>
          <w:p w14:paraId="0C9D4AE5">
            <w:pPr>
              <w:rPr>
                <w:rFonts w:ascii="Arial"/>
                <w:sz w:val="21"/>
              </w:rPr>
            </w:pPr>
          </w:p>
        </w:tc>
      </w:tr>
      <w:tr w14:paraId="13A4E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63" w:type="dxa"/>
            <w:vAlign w:val="top"/>
          </w:tcPr>
          <w:p w14:paraId="353336F1">
            <w:pPr>
              <w:pStyle w:val="6"/>
              <w:spacing w:before="72" w:line="191" w:lineRule="auto"/>
              <w:ind w:left="305"/>
              <w:rPr>
                <w:sz w:val="21"/>
                <w:szCs w:val="21"/>
              </w:rPr>
            </w:pPr>
            <w:r>
              <w:rPr>
                <w:spacing w:val="-2"/>
                <w:sz w:val="21"/>
                <w:szCs w:val="21"/>
              </w:rPr>
              <w:t>2.8.8</w:t>
            </w:r>
          </w:p>
        </w:tc>
        <w:tc>
          <w:tcPr>
            <w:tcW w:w="4375" w:type="dxa"/>
            <w:vAlign w:val="top"/>
          </w:tcPr>
          <w:p w14:paraId="2F6BA939">
            <w:pPr>
              <w:pStyle w:val="6"/>
              <w:spacing w:before="52" w:line="209" w:lineRule="auto"/>
              <w:ind w:left="1342"/>
              <w:rPr>
                <w:sz w:val="21"/>
                <w:szCs w:val="21"/>
              </w:rPr>
            </w:pPr>
            <w:r>
              <w:rPr>
                <w:spacing w:val="1"/>
                <w:sz w:val="21"/>
                <w:szCs w:val="21"/>
              </w:rPr>
              <w:t>电线</w:t>
            </w:r>
            <w:r>
              <w:rPr>
                <w:sz w:val="21"/>
                <w:szCs w:val="21"/>
              </w:rPr>
              <w:t>ZR</w:t>
            </w:r>
            <w:r>
              <w:rPr>
                <w:spacing w:val="1"/>
                <w:sz w:val="21"/>
                <w:szCs w:val="21"/>
              </w:rPr>
              <w:t>-</w:t>
            </w:r>
            <w:r>
              <w:rPr>
                <w:sz w:val="21"/>
                <w:szCs w:val="21"/>
              </w:rPr>
              <w:t>BV</w:t>
            </w:r>
            <w:r>
              <w:rPr>
                <w:spacing w:val="1"/>
                <w:sz w:val="21"/>
                <w:szCs w:val="21"/>
              </w:rPr>
              <w:t>-2.5</w:t>
            </w:r>
            <w:r>
              <w:rPr>
                <w:sz w:val="21"/>
                <w:szCs w:val="21"/>
              </w:rPr>
              <w:t>mm</w:t>
            </w:r>
            <w:r>
              <w:rPr>
                <w:spacing w:val="1"/>
                <w:sz w:val="21"/>
                <w:szCs w:val="21"/>
              </w:rPr>
              <w:t>2</w:t>
            </w:r>
          </w:p>
        </w:tc>
        <w:tc>
          <w:tcPr>
            <w:tcW w:w="1198" w:type="dxa"/>
            <w:vAlign w:val="top"/>
          </w:tcPr>
          <w:p w14:paraId="7BAA0451">
            <w:pPr>
              <w:pStyle w:val="6"/>
              <w:spacing w:before="51" w:line="210" w:lineRule="auto"/>
              <w:ind w:left="487"/>
              <w:rPr>
                <w:sz w:val="21"/>
                <w:szCs w:val="21"/>
              </w:rPr>
            </w:pPr>
            <w:r>
              <w:rPr>
                <w:sz w:val="21"/>
                <w:szCs w:val="21"/>
              </w:rPr>
              <w:t>米</w:t>
            </w:r>
          </w:p>
        </w:tc>
        <w:tc>
          <w:tcPr>
            <w:tcW w:w="999" w:type="dxa"/>
            <w:vAlign w:val="top"/>
          </w:tcPr>
          <w:p w14:paraId="09B1F77C">
            <w:pPr>
              <w:pStyle w:val="6"/>
              <w:spacing w:before="72" w:line="191" w:lineRule="auto"/>
              <w:ind w:left="128"/>
              <w:rPr>
                <w:sz w:val="21"/>
                <w:szCs w:val="21"/>
              </w:rPr>
            </w:pPr>
            <w:r>
              <w:rPr>
                <w:spacing w:val="-2"/>
                <w:sz w:val="21"/>
                <w:szCs w:val="21"/>
              </w:rPr>
              <w:t>3000.00</w:t>
            </w:r>
          </w:p>
        </w:tc>
        <w:tc>
          <w:tcPr>
            <w:tcW w:w="784" w:type="dxa"/>
            <w:vAlign w:val="top"/>
          </w:tcPr>
          <w:p w14:paraId="7B8931B8">
            <w:pPr>
              <w:rPr>
                <w:rFonts w:ascii="Arial"/>
                <w:sz w:val="21"/>
              </w:rPr>
            </w:pPr>
          </w:p>
        </w:tc>
      </w:tr>
      <w:tr w14:paraId="02ED4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163" w:type="dxa"/>
            <w:vAlign w:val="top"/>
          </w:tcPr>
          <w:p w14:paraId="7464A7A5">
            <w:pPr>
              <w:pStyle w:val="6"/>
              <w:spacing w:before="72" w:line="199" w:lineRule="auto"/>
              <w:ind w:left="305"/>
              <w:rPr>
                <w:sz w:val="21"/>
                <w:szCs w:val="21"/>
              </w:rPr>
            </w:pPr>
            <w:r>
              <w:rPr>
                <w:spacing w:val="-2"/>
                <w:sz w:val="21"/>
                <w:szCs w:val="21"/>
              </w:rPr>
              <w:t>2.8.9</w:t>
            </w:r>
          </w:p>
        </w:tc>
        <w:tc>
          <w:tcPr>
            <w:tcW w:w="4375" w:type="dxa"/>
            <w:vAlign w:val="top"/>
          </w:tcPr>
          <w:p w14:paraId="0CD98EE1">
            <w:pPr>
              <w:pStyle w:val="6"/>
              <w:spacing w:before="52" w:line="217" w:lineRule="auto"/>
              <w:ind w:left="1302"/>
              <w:rPr>
                <w:sz w:val="21"/>
                <w:szCs w:val="21"/>
              </w:rPr>
            </w:pPr>
            <w:r>
              <w:rPr>
                <w:spacing w:val="25"/>
                <w:sz w:val="21"/>
                <w:szCs w:val="21"/>
              </w:rPr>
              <w:t>电线ZR-BV-4mm2</w:t>
            </w:r>
          </w:p>
        </w:tc>
        <w:tc>
          <w:tcPr>
            <w:tcW w:w="1198" w:type="dxa"/>
            <w:vAlign w:val="top"/>
          </w:tcPr>
          <w:p w14:paraId="014D289F">
            <w:pPr>
              <w:pStyle w:val="6"/>
              <w:spacing w:before="51" w:line="218" w:lineRule="auto"/>
              <w:ind w:left="487"/>
              <w:rPr>
                <w:sz w:val="21"/>
                <w:szCs w:val="21"/>
              </w:rPr>
            </w:pPr>
            <w:r>
              <w:rPr>
                <w:sz w:val="21"/>
                <w:szCs w:val="21"/>
              </w:rPr>
              <w:t>米</w:t>
            </w:r>
          </w:p>
        </w:tc>
        <w:tc>
          <w:tcPr>
            <w:tcW w:w="999" w:type="dxa"/>
            <w:vAlign w:val="top"/>
          </w:tcPr>
          <w:p w14:paraId="1F60B741">
            <w:pPr>
              <w:pStyle w:val="6"/>
              <w:spacing w:before="72" w:line="199" w:lineRule="auto"/>
              <w:ind w:left="128"/>
              <w:rPr>
                <w:sz w:val="21"/>
                <w:szCs w:val="21"/>
              </w:rPr>
            </w:pPr>
            <w:r>
              <w:rPr>
                <w:spacing w:val="-3"/>
                <w:sz w:val="21"/>
                <w:szCs w:val="21"/>
              </w:rPr>
              <w:t>1200.00</w:t>
            </w:r>
          </w:p>
        </w:tc>
        <w:tc>
          <w:tcPr>
            <w:tcW w:w="784" w:type="dxa"/>
            <w:vAlign w:val="top"/>
          </w:tcPr>
          <w:p w14:paraId="1B1B3FDA">
            <w:pPr>
              <w:rPr>
                <w:rFonts w:ascii="Arial"/>
                <w:sz w:val="21"/>
              </w:rPr>
            </w:pPr>
          </w:p>
        </w:tc>
      </w:tr>
      <w:tr w14:paraId="4C967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163" w:type="dxa"/>
            <w:vAlign w:val="top"/>
          </w:tcPr>
          <w:p w14:paraId="3B04E34F">
            <w:pPr>
              <w:pStyle w:val="6"/>
              <w:spacing w:before="83" w:line="198" w:lineRule="auto"/>
              <w:ind w:left="254"/>
              <w:rPr>
                <w:sz w:val="21"/>
                <w:szCs w:val="21"/>
              </w:rPr>
            </w:pPr>
            <w:r>
              <w:rPr>
                <w:spacing w:val="-2"/>
                <w:sz w:val="21"/>
                <w:szCs w:val="21"/>
              </w:rPr>
              <w:t>2.8.10</w:t>
            </w:r>
          </w:p>
        </w:tc>
        <w:tc>
          <w:tcPr>
            <w:tcW w:w="4375" w:type="dxa"/>
            <w:vAlign w:val="top"/>
          </w:tcPr>
          <w:p w14:paraId="26DCE20D">
            <w:pPr>
              <w:pStyle w:val="6"/>
              <w:spacing w:before="63" w:line="216" w:lineRule="auto"/>
              <w:ind w:left="1302"/>
              <w:rPr>
                <w:sz w:val="21"/>
                <w:szCs w:val="21"/>
              </w:rPr>
            </w:pPr>
            <w:r>
              <w:rPr>
                <w:spacing w:val="25"/>
                <w:sz w:val="21"/>
                <w:szCs w:val="21"/>
              </w:rPr>
              <w:t>电线ZR-BV-6mm2</w:t>
            </w:r>
          </w:p>
        </w:tc>
        <w:tc>
          <w:tcPr>
            <w:tcW w:w="1198" w:type="dxa"/>
            <w:vAlign w:val="top"/>
          </w:tcPr>
          <w:p w14:paraId="071BACF6">
            <w:pPr>
              <w:pStyle w:val="6"/>
              <w:spacing w:before="62" w:line="217" w:lineRule="auto"/>
              <w:ind w:left="487"/>
              <w:rPr>
                <w:sz w:val="21"/>
                <w:szCs w:val="21"/>
              </w:rPr>
            </w:pPr>
            <w:r>
              <w:rPr>
                <w:sz w:val="21"/>
                <w:szCs w:val="21"/>
              </w:rPr>
              <w:t>米</w:t>
            </w:r>
          </w:p>
        </w:tc>
        <w:tc>
          <w:tcPr>
            <w:tcW w:w="999" w:type="dxa"/>
            <w:vAlign w:val="top"/>
          </w:tcPr>
          <w:p w14:paraId="0C5F4929">
            <w:pPr>
              <w:pStyle w:val="6"/>
              <w:spacing w:before="83" w:line="198" w:lineRule="auto"/>
              <w:ind w:left="128"/>
              <w:rPr>
                <w:sz w:val="21"/>
                <w:szCs w:val="21"/>
              </w:rPr>
            </w:pPr>
            <w:r>
              <w:rPr>
                <w:spacing w:val="-2"/>
                <w:sz w:val="21"/>
                <w:szCs w:val="21"/>
              </w:rPr>
              <w:t>3500.00</w:t>
            </w:r>
          </w:p>
        </w:tc>
        <w:tc>
          <w:tcPr>
            <w:tcW w:w="784" w:type="dxa"/>
            <w:vAlign w:val="top"/>
          </w:tcPr>
          <w:p w14:paraId="323C4902">
            <w:pPr>
              <w:rPr>
                <w:rFonts w:ascii="Arial"/>
                <w:sz w:val="21"/>
              </w:rPr>
            </w:pPr>
          </w:p>
        </w:tc>
      </w:tr>
      <w:tr w14:paraId="1B21D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163" w:type="dxa"/>
            <w:vAlign w:val="top"/>
          </w:tcPr>
          <w:p w14:paraId="34768864">
            <w:pPr>
              <w:pStyle w:val="6"/>
              <w:spacing w:before="84" w:line="197" w:lineRule="auto"/>
              <w:ind w:left="254"/>
              <w:rPr>
                <w:sz w:val="21"/>
                <w:szCs w:val="21"/>
              </w:rPr>
            </w:pPr>
            <w:r>
              <w:rPr>
                <w:spacing w:val="-2"/>
                <w:sz w:val="21"/>
                <w:szCs w:val="21"/>
              </w:rPr>
              <w:t>2.8.11</w:t>
            </w:r>
          </w:p>
        </w:tc>
        <w:tc>
          <w:tcPr>
            <w:tcW w:w="4375" w:type="dxa"/>
            <w:vAlign w:val="top"/>
          </w:tcPr>
          <w:p w14:paraId="22E093B2">
            <w:pPr>
              <w:pStyle w:val="6"/>
              <w:spacing w:before="64" w:line="215" w:lineRule="auto"/>
              <w:ind w:left="1342"/>
              <w:rPr>
                <w:sz w:val="21"/>
                <w:szCs w:val="21"/>
              </w:rPr>
            </w:pPr>
            <w:r>
              <w:rPr>
                <w:spacing w:val="1"/>
                <w:sz w:val="21"/>
                <w:szCs w:val="21"/>
              </w:rPr>
              <w:t>电线</w:t>
            </w:r>
            <w:r>
              <w:rPr>
                <w:sz w:val="21"/>
                <w:szCs w:val="21"/>
              </w:rPr>
              <w:t>NH</w:t>
            </w:r>
            <w:r>
              <w:rPr>
                <w:spacing w:val="1"/>
                <w:sz w:val="21"/>
                <w:szCs w:val="21"/>
              </w:rPr>
              <w:t>-</w:t>
            </w:r>
            <w:r>
              <w:rPr>
                <w:sz w:val="21"/>
                <w:szCs w:val="21"/>
              </w:rPr>
              <w:t>BV</w:t>
            </w:r>
            <w:r>
              <w:rPr>
                <w:spacing w:val="1"/>
                <w:sz w:val="21"/>
                <w:szCs w:val="21"/>
              </w:rPr>
              <w:t>-2.5</w:t>
            </w:r>
            <w:r>
              <w:rPr>
                <w:sz w:val="21"/>
                <w:szCs w:val="21"/>
              </w:rPr>
              <w:t>mm</w:t>
            </w:r>
            <w:r>
              <w:rPr>
                <w:spacing w:val="1"/>
                <w:sz w:val="21"/>
                <w:szCs w:val="21"/>
              </w:rPr>
              <w:t>2</w:t>
            </w:r>
          </w:p>
        </w:tc>
        <w:tc>
          <w:tcPr>
            <w:tcW w:w="1198" w:type="dxa"/>
            <w:vAlign w:val="top"/>
          </w:tcPr>
          <w:p w14:paraId="54071A92">
            <w:pPr>
              <w:pStyle w:val="6"/>
              <w:spacing w:before="63" w:line="216" w:lineRule="auto"/>
              <w:ind w:left="487"/>
              <w:rPr>
                <w:sz w:val="21"/>
                <w:szCs w:val="21"/>
              </w:rPr>
            </w:pPr>
            <w:r>
              <w:rPr>
                <w:sz w:val="21"/>
                <w:szCs w:val="21"/>
              </w:rPr>
              <w:t>米</w:t>
            </w:r>
          </w:p>
        </w:tc>
        <w:tc>
          <w:tcPr>
            <w:tcW w:w="999" w:type="dxa"/>
            <w:vAlign w:val="top"/>
          </w:tcPr>
          <w:p w14:paraId="23671783">
            <w:pPr>
              <w:pStyle w:val="6"/>
              <w:spacing w:before="84" w:line="197" w:lineRule="auto"/>
              <w:ind w:left="178"/>
              <w:rPr>
                <w:sz w:val="21"/>
                <w:szCs w:val="21"/>
              </w:rPr>
            </w:pPr>
            <w:r>
              <w:rPr>
                <w:spacing w:val="-2"/>
                <w:sz w:val="21"/>
                <w:szCs w:val="21"/>
              </w:rPr>
              <w:t>900.00</w:t>
            </w:r>
          </w:p>
        </w:tc>
        <w:tc>
          <w:tcPr>
            <w:tcW w:w="784" w:type="dxa"/>
            <w:vAlign w:val="top"/>
          </w:tcPr>
          <w:p w14:paraId="085A3BF5">
            <w:pPr>
              <w:rPr>
                <w:rFonts w:ascii="Arial"/>
                <w:sz w:val="21"/>
              </w:rPr>
            </w:pPr>
          </w:p>
        </w:tc>
      </w:tr>
      <w:tr w14:paraId="31426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63" w:type="dxa"/>
            <w:vAlign w:val="top"/>
          </w:tcPr>
          <w:p w14:paraId="5BD11F15">
            <w:pPr>
              <w:pStyle w:val="6"/>
              <w:spacing w:before="75" w:line="189" w:lineRule="auto"/>
              <w:ind w:left="254"/>
              <w:rPr>
                <w:sz w:val="21"/>
                <w:szCs w:val="21"/>
              </w:rPr>
            </w:pPr>
            <w:r>
              <w:rPr>
                <w:spacing w:val="-2"/>
                <w:sz w:val="21"/>
                <w:szCs w:val="21"/>
              </w:rPr>
              <w:t>2.8.12</w:t>
            </w:r>
          </w:p>
        </w:tc>
        <w:tc>
          <w:tcPr>
            <w:tcW w:w="4375" w:type="dxa"/>
            <w:vAlign w:val="top"/>
          </w:tcPr>
          <w:p w14:paraId="1CA75763">
            <w:pPr>
              <w:pStyle w:val="6"/>
              <w:spacing w:before="53" w:line="208" w:lineRule="auto"/>
              <w:ind w:left="1491"/>
              <w:rPr>
                <w:sz w:val="21"/>
                <w:szCs w:val="21"/>
              </w:rPr>
            </w:pPr>
            <w:r>
              <w:rPr>
                <w:spacing w:val="2"/>
                <w:sz w:val="21"/>
                <w:szCs w:val="21"/>
              </w:rPr>
              <w:t>镀锌钢管</w:t>
            </w:r>
            <w:r>
              <w:rPr>
                <w:sz w:val="21"/>
                <w:szCs w:val="21"/>
              </w:rPr>
              <w:t>DN</w:t>
            </w:r>
            <w:r>
              <w:rPr>
                <w:spacing w:val="2"/>
                <w:sz w:val="21"/>
                <w:szCs w:val="21"/>
              </w:rPr>
              <w:t>150</w:t>
            </w:r>
          </w:p>
        </w:tc>
        <w:tc>
          <w:tcPr>
            <w:tcW w:w="1198" w:type="dxa"/>
            <w:vAlign w:val="top"/>
          </w:tcPr>
          <w:p w14:paraId="21F6D888">
            <w:pPr>
              <w:pStyle w:val="6"/>
              <w:spacing w:before="54" w:line="207" w:lineRule="auto"/>
              <w:ind w:left="487"/>
              <w:rPr>
                <w:sz w:val="21"/>
                <w:szCs w:val="21"/>
              </w:rPr>
            </w:pPr>
            <w:r>
              <w:rPr>
                <w:sz w:val="21"/>
                <w:szCs w:val="21"/>
              </w:rPr>
              <w:t>米</w:t>
            </w:r>
          </w:p>
        </w:tc>
        <w:tc>
          <w:tcPr>
            <w:tcW w:w="999" w:type="dxa"/>
            <w:vAlign w:val="top"/>
          </w:tcPr>
          <w:p w14:paraId="7B61E091">
            <w:pPr>
              <w:pStyle w:val="6"/>
              <w:spacing w:before="75" w:line="189" w:lineRule="auto"/>
              <w:ind w:left="178"/>
              <w:rPr>
                <w:sz w:val="21"/>
                <w:szCs w:val="21"/>
              </w:rPr>
            </w:pPr>
            <w:r>
              <w:rPr>
                <w:spacing w:val="-4"/>
                <w:sz w:val="21"/>
                <w:szCs w:val="21"/>
              </w:rPr>
              <w:t>100.00</w:t>
            </w:r>
          </w:p>
        </w:tc>
        <w:tc>
          <w:tcPr>
            <w:tcW w:w="784" w:type="dxa"/>
            <w:vAlign w:val="top"/>
          </w:tcPr>
          <w:p w14:paraId="7BE1E7B0">
            <w:pPr>
              <w:rPr>
                <w:rFonts w:ascii="Arial"/>
                <w:sz w:val="21"/>
              </w:rPr>
            </w:pPr>
          </w:p>
        </w:tc>
      </w:tr>
      <w:tr w14:paraId="5B661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163" w:type="dxa"/>
            <w:vAlign w:val="top"/>
          </w:tcPr>
          <w:p w14:paraId="75BAAC49">
            <w:pPr>
              <w:pStyle w:val="6"/>
              <w:spacing w:before="76" w:line="196" w:lineRule="auto"/>
              <w:ind w:left="254"/>
              <w:rPr>
                <w:sz w:val="21"/>
                <w:szCs w:val="21"/>
              </w:rPr>
            </w:pPr>
            <w:r>
              <w:rPr>
                <w:spacing w:val="-2"/>
                <w:sz w:val="21"/>
                <w:szCs w:val="21"/>
              </w:rPr>
              <w:t>2.8.13</w:t>
            </w:r>
          </w:p>
        </w:tc>
        <w:tc>
          <w:tcPr>
            <w:tcW w:w="4375" w:type="dxa"/>
            <w:vAlign w:val="top"/>
          </w:tcPr>
          <w:p w14:paraId="7ED8B5E6">
            <w:pPr>
              <w:pStyle w:val="6"/>
              <w:spacing w:before="53" w:line="216" w:lineRule="auto"/>
              <w:ind w:left="1491"/>
              <w:rPr>
                <w:sz w:val="21"/>
                <w:szCs w:val="21"/>
              </w:rPr>
            </w:pPr>
            <w:r>
              <w:rPr>
                <w:spacing w:val="2"/>
                <w:sz w:val="21"/>
                <w:szCs w:val="21"/>
              </w:rPr>
              <w:t>镀锌钢管</w:t>
            </w:r>
            <w:r>
              <w:rPr>
                <w:sz w:val="21"/>
                <w:szCs w:val="21"/>
              </w:rPr>
              <w:t>DN</w:t>
            </w:r>
            <w:r>
              <w:rPr>
                <w:spacing w:val="2"/>
                <w:sz w:val="21"/>
                <w:szCs w:val="21"/>
              </w:rPr>
              <w:t>100</w:t>
            </w:r>
          </w:p>
        </w:tc>
        <w:tc>
          <w:tcPr>
            <w:tcW w:w="1198" w:type="dxa"/>
            <w:vAlign w:val="top"/>
          </w:tcPr>
          <w:p w14:paraId="07792196">
            <w:pPr>
              <w:pStyle w:val="6"/>
              <w:spacing w:before="54" w:line="215" w:lineRule="auto"/>
              <w:ind w:left="487"/>
              <w:rPr>
                <w:sz w:val="21"/>
                <w:szCs w:val="21"/>
              </w:rPr>
            </w:pPr>
            <w:r>
              <w:rPr>
                <w:sz w:val="21"/>
                <w:szCs w:val="21"/>
              </w:rPr>
              <w:t>米</w:t>
            </w:r>
          </w:p>
        </w:tc>
        <w:tc>
          <w:tcPr>
            <w:tcW w:w="999" w:type="dxa"/>
            <w:vAlign w:val="top"/>
          </w:tcPr>
          <w:p w14:paraId="2CAFD3D6">
            <w:pPr>
              <w:pStyle w:val="6"/>
              <w:spacing w:before="76" w:line="196" w:lineRule="auto"/>
              <w:ind w:left="178"/>
              <w:rPr>
                <w:sz w:val="21"/>
                <w:szCs w:val="21"/>
              </w:rPr>
            </w:pPr>
            <w:r>
              <w:rPr>
                <w:spacing w:val="-4"/>
                <w:sz w:val="21"/>
                <w:szCs w:val="21"/>
              </w:rPr>
              <w:t>150.00</w:t>
            </w:r>
          </w:p>
        </w:tc>
        <w:tc>
          <w:tcPr>
            <w:tcW w:w="784" w:type="dxa"/>
            <w:vAlign w:val="top"/>
          </w:tcPr>
          <w:p w14:paraId="439250F0">
            <w:pPr>
              <w:rPr>
                <w:rFonts w:ascii="Arial"/>
                <w:sz w:val="21"/>
              </w:rPr>
            </w:pPr>
          </w:p>
        </w:tc>
      </w:tr>
      <w:tr w14:paraId="6342C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63" w:type="dxa"/>
            <w:vAlign w:val="top"/>
          </w:tcPr>
          <w:p w14:paraId="0061E734">
            <w:pPr>
              <w:pStyle w:val="6"/>
              <w:spacing w:before="76" w:line="188" w:lineRule="auto"/>
              <w:ind w:left="254"/>
              <w:rPr>
                <w:sz w:val="21"/>
                <w:szCs w:val="21"/>
              </w:rPr>
            </w:pPr>
            <w:r>
              <w:rPr>
                <w:spacing w:val="-2"/>
                <w:sz w:val="21"/>
                <w:szCs w:val="21"/>
              </w:rPr>
              <w:t>2.8.14</w:t>
            </w:r>
          </w:p>
        </w:tc>
        <w:tc>
          <w:tcPr>
            <w:tcW w:w="4375" w:type="dxa"/>
            <w:vAlign w:val="top"/>
          </w:tcPr>
          <w:p w14:paraId="48C5A015">
            <w:pPr>
              <w:pStyle w:val="6"/>
              <w:spacing w:before="110" w:line="158" w:lineRule="auto"/>
              <w:ind w:left="1862"/>
              <w:rPr>
                <w:sz w:val="21"/>
                <w:szCs w:val="21"/>
              </w:rPr>
            </w:pPr>
            <w:r>
              <w:rPr>
                <w:spacing w:val="-1"/>
                <w:sz w:val="21"/>
                <w:szCs w:val="21"/>
              </w:rPr>
              <w:t>UPVC25</w:t>
            </w:r>
          </w:p>
        </w:tc>
        <w:tc>
          <w:tcPr>
            <w:tcW w:w="1198" w:type="dxa"/>
            <w:vAlign w:val="top"/>
          </w:tcPr>
          <w:p w14:paraId="2AE172C1">
            <w:pPr>
              <w:pStyle w:val="6"/>
              <w:spacing w:before="55" w:line="206" w:lineRule="auto"/>
              <w:ind w:left="487"/>
              <w:rPr>
                <w:sz w:val="21"/>
                <w:szCs w:val="21"/>
              </w:rPr>
            </w:pPr>
            <w:r>
              <w:rPr>
                <w:sz w:val="21"/>
                <w:szCs w:val="21"/>
              </w:rPr>
              <w:t>米</w:t>
            </w:r>
          </w:p>
        </w:tc>
        <w:tc>
          <w:tcPr>
            <w:tcW w:w="999" w:type="dxa"/>
            <w:vAlign w:val="top"/>
          </w:tcPr>
          <w:p w14:paraId="1849ED96">
            <w:pPr>
              <w:pStyle w:val="6"/>
              <w:spacing w:before="76" w:line="188" w:lineRule="auto"/>
              <w:ind w:left="178"/>
              <w:rPr>
                <w:sz w:val="21"/>
                <w:szCs w:val="21"/>
              </w:rPr>
            </w:pPr>
            <w:r>
              <w:rPr>
                <w:spacing w:val="-2"/>
                <w:sz w:val="21"/>
                <w:szCs w:val="21"/>
              </w:rPr>
              <w:t>600.00</w:t>
            </w:r>
          </w:p>
        </w:tc>
        <w:tc>
          <w:tcPr>
            <w:tcW w:w="784" w:type="dxa"/>
            <w:vAlign w:val="top"/>
          </w:tcPr>
          <w:p w14:paraId="73A13D9D">
            <w:pPr>
              <w:rPr>
                <w:rFonts w:ascii="Arial"/>
                <w:sz w:val="21"/>
              </w:rPr>
            </w:pPr>
          </w:p>
        </w:tc>
      </w:tr>
      <w:tr w14:paraId="3D07A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63" w:type="dxa"/>
            <w:vAlign w:val="top"/>
          </w:tcPr>
          <w:p w14:paraId="204B4267">
            <w:pPr>
              <w:pStyle w:val="6"/>
              <w:spacing w:before="87" w:line="196" w:lineRule="auto"/>
              <w:ind w:left="254"/>
              <w:rPr>
                <w:sz w:val="21"/>
                <w:szCs w:val="21"/>
              </w:rPr>
            </w:pPr>
            <w:r>
              <w:rPr>
                <w:spacing w:val="-2"/>
                <w:sz w:val="21"/>
                <w:szCs w:val="21"/>
              </w:rPr>
              <w:t>2.8.15</w:t>
            </w:r>
          </w:p>
        </w:tc>
        <w:tc>
          <w:tcPr>
            <w:tcW w:w="4375" w:type="dxa"/>
            <w:vAlign w:val="top"/>
          </w:tcPr>
          <w:p w14:paraId="0A218724">
            <w:pPr>
              <w:pStyle w:val="6"/>
              <w:spacing w:before="64" w:line="216" w:lineRule="auto"/>
              <w:ind w:left="1552"/>
              <w:rPr>
                <w:sz w:val="21"/>
                <w:szCs w:val="21"/>
              </w:rPr>
            </w:pPr>
            <w:r>
              <w:rPr>
                <w:spacing w:val="2"/>
                <w:sz w:val="21"/>
                <w:szCs w:val="21"/>
              </w:rPr>
              <w:t>镀锌钢管</w:t>
            </w:r>
            <w:r>
              <w:rPr>
                <w:sz w:val="21"/>
                <w:szCs w:val="21"/>
              </w:rPr>
              <w:t>DN</w:t>
            </w:r>
            <w:r>
              <w:rPr>
                <w:spacing w:val="2"/>
                <w:sz w:val="21"/>
                <w:szCs w:val="21"/>
              </w:rPr>
              <w:t>25</w:t>
            </w:r>
          </w:p>
        </w:tc>
        <w:tc>
          <w:tcPr>
            <w:tcW w:w="1198" w:type="dxa"/>
            <w:vAlign w:val="top"/>
          </w:tcPr>
          <w:p w14:paraId="465F9526">
            <w:pPr>
              <w:pStyle w:val="6"/>
              <w:spacing w:before="65" w:line="215" w:lineRule="auto"/>
              <w:ind w:left="487"/>
              <w:rPr>
                <w:sz w:val="21"/>
                <w:szCs w:val="21"/>
              </w:rPr>
            </w:pPr>
            <w:r>
              <w:rPr>
                <w:sz w:val="21"/>
                <w:szCs w:val="21"/>
              </w:rPr>
              <w:t>米</w:t>
            </w:r>
          </w:p>
        </w:tc>
        <w:tc>
          <w:tcPr>
            <w:tcW w:w="999" w:type="dxa"/>
            <w:vAlign w:val="top"/>
          </w:tcPr>
          <w:p w14:paraId="6B7CA497">
            <w:pPr>
              <w:pStyle w:val="6"/>
              <w:spacing w:before="87" w:line="196" w:lineRule="auto"/>
              <w:ind w:left="178"/>
              <w:rPr>
                <w:sz w:val="21"/>
                <w:szCs w:val="21"/>
              </w:rPr>
            </w:pPr>
            <w:r>
              <w:rPr>
                <w:spacing w:val="-2"/>
                <w:sz w:val="21"/>
                <w:szCs w:val="21"/>
              </w:rPr>
              <w:t>300.00</w:t>
            </w:r>
          </w:p>
        </w:tc>
        <w:tc>
          <w:tcPr>
            <w:tcW w:w="784" w:type="dxa"/>
            <w:vAlign w:val="top"/>
          </w:tcPr>
          <w:p w14:paraId="7170D485">
            <w:pPr>
              <w:rPr>
                <w:rFonts w:ascii="Arial"/>
                <w:sz w:val="21"/>
              </w:rPr>
            </w:pPr>
          </w:p>
        </w:tc>
      </w:tr>
      <w:tr w14:paraId="54FD1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163" w:type="dxa"/>
            <w:vAlign w:val="top"/>
          </w:tcPr>
          <w:p w14:paraId="38392AEC">
            <w:pPr>
              <w:pStyle w:val="6"/>
              <w:spacing w:before="86" w:line="196" w:lineRule="auto"/>
              <w:ind w:left="514"/>
              <w:rPr>
                <w:sz w:val="21"/>
                <w:szCs w:val="21"/>
              </w:rPr>
            </w:pPr>
            <w:r>
              <w:rPr>
                <w:sz w:val="21"/>
                <w:szCs w:val="21"/>
              </w:rPr>
              <w:t>3</w:t>
            </w:r>
          </w:p>
        </w:tc>
        <w:tc>
          <w:tcPr>
            <w:tcW w:w="4375" w:type="dxa"/>
            <w:vAlign w:val="top"/>
          </w:tcPr>
          <w:p w14:paraId="6468186C">
            <w:pPr>
              <w:pStyle w:val="6"/>
              <w:spacing w:before="66" w:line="213" w:lineRule="auto"/>
              <w:ind w:left="1181"/>
              <w:rPr>
                <w:sz w:val="21"/>
                <w:szCs w:val="21"/>
              </w:rPr>
            </w:pPr>
            <w:r>
              <w:rPr>
                <w:spacing w:val="4"/>
                <w:sz w:val="21"/>
                <w:szCs w:val="21"/>
              </w:rPr>
              <w:t>储能系统(5</w:t>
            </w:r>
            <w:r>
              <w:rPr>
                <w:sz w:val="21"/>
                <w:szCs w:val="21"/>
              </w:rPr>
              <w:t>MW</w:t>
            </w:r>
            <w:r>
              <w:rPr>
                <w:spacing w:val="4"/>
                <w:sz w:val="21"/>
                <w:szCs w:val="21"/>
              </w:rPr>
              <w:t>/10</w:t>
            </w:r>
            <w:r>
              <w:rPr>
                <w:sz w:val="21"/>
                <w:szCs w:val="21"/>
              </w:rPr>
              <w:t>MWh</w:t>
            </w:r>
            <w:r>
              <w:rPr>
                <w:spacing w:val="4"/>
                <w:sz w:val="21"/>
                <w:szCs w:val="21"/>
              </w:rPr>
              <w:t>)</w:t>
            </w:r>
          </w:p>
        </w:tc>
        <w:tc>
          <w:tcPr>
            <w:tcW w:w="1198" w:type="dxa"/>
            <w:vAlign w:val="top"/>
          </w:tcPr>
          <w:p w14:paraId="763B178D">
            <w:pPr>
              <w:rPr>
                <w:rFonts w:ascii="Arial"/>
                <w:sz w:val="21"/>
              </w:rPr>
            </w:pPr>
          </w:p>
        </w:tc>
        <w:tc>
          <w:tcPr>
            <w:tcW w:w="999" w:type="dxa"/>
            <w:vAlign w:val="top"/>
          </w:tcPr>
          <w:p w14:paraId="27281DA2">
            <w:pPr>
              <w:rPr>
                <w:rFonts w:ascii="Arial"/>
                <w:sz w:val="21"/>
              </w:rPr>
            </w:pPr>
          </w:p>
        </w:tc>
        <w:tc>
          <w:tcPr>
            <w:tcW w:w="784" w:type="dxa"/>
            <w:vAlign w:val="top"/>
          </w:tcPr>
          <w:p w14:paraId="5EDFEB9A">
            <w:pPr>
              <w:rPr>
                <w:rFonts w:ascii="Arial"/>
                <w:sz w:val="21"/>
              </w:rPr>
            </w:pPr>
          </w:p>
        </w:tc>
      </w:tr>
      <w:tr w14:paraId="3BA5C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2" w:hRule="atLeast"/>
        </w:trPr>
        <w:tc>
          <w:tcPr>
            <w:tcW w:w="1163" w:type="dxa"/>
            <w:vAlign w:val="top"/>
          </w:tcPr>
          <w:p w14:paraId="52012077">
            <w:pPr>
              <w:spacing w:line="264" w:lineRule="auto"/>
              <w:rPr>
                <w:rFonts w:ascii="Arial"/>
                <w:sz w:val="21"/>
              </w:rPr>
            </w:pPr>
          </w:p>
          <w:p w14:paraId="43866E74">
            <w:pPr>
              <w:spacing w:line="265" w:lineRule="auto"/>
              <w:rPr>
                <w:rFonts w:ascii="Arial"/>
                <w:sz w:val="21"/>
              </w:rPr>
            </w:pPr>
          </w:p>
          <w:p w14:paraId="19BBDEB4">
            <w:pPr>
              <w:spacing w:line="265" w:lineRule="auto"/>
              <w:rPr>
                <w:rFonts w:ascii="Arial"/>
                <w:sz w:val="21"/>
              </w:rPr>
            </w:pPr>
          </w:p>
          <w:p w14:paraId="692D52B1">
            <w:pPr>
              <w:pStyle w:val="6"/>
              <w:spacing w:before="68" w:line="239" w:lineRule="auto"/>
              <w:ind w:left="414"/>
              <w:rPr>
                <w:sz w:val="21"/>
                <w:szCs w:val="21"/>
              </w:rPr>
            </w:pPr>
            <w:r>
              <w:rPr>
                <w:spacing w:val="-3"/>
                <w:sz w:val="21"/>
                <w:szCs w:val="21"/>
              </w:rPr>
              <w:t>3.1</w:t>
            </w:r>
          </w:p>
        </w:tc>
        <w:tc>
          <w:tcPr>
            <w:tcW w:w="4375" w:type="dxa"/>
            <w:vAlign w:val="top"/>
          </w:tcPr>
          <w:p w14:paraId="753E34E0">
            <w:pPr>
              <w:pStyle w:val="6"/>
              <w:spacing w:before="65" w:line="275" w:lineRule="auto"/>
              <w:ind w:left="131" w:right="376" w:hanging="20"/>
              <w:rPr>
                <w:sz w:val="21"/>
                <w:szCs w:val="21"/>
              </w:rPr>
            </w:pPr>
            <w:r>
              <w:rPr>
                <w:spacing w:val="-1"/>
                <w:sz w:val="21"/>
                <w:szCs w:val="21"/>
              </w:rPr>
              <w:t>额定容量2.5/5MWh(含35KV 2.5MW储能升压</w:t>
            </w:r>
            <w:r>
              <w:rPr>
                <w:spacing w:val="18"/>
                <w:sz w:val="21"/>
                <w:szCs w:val="21"/>
              </w:rPr>
              <w:t xml:space="preserve"> </w:t>
            </w:r>
            <w:r>
              <w:rPr>
                <w:sz w:val="21"/>
                <w:szCs w:val="21"/>
              </w:rPr>
              <w:t>一体机，5MWh电池集装箱。其中每套储能</w:t>
            </w:r>
            <w:r>
              <w:rPr>
                <w:spacing w:val="9"/>
                <w:sz w:val="21"/>
                <w:szCs w:val="21"/>
              </w:rPr>
              <w:t xml:space="preserve"> </w:t>
            </w:r>
            <w:r>
              <w:rPr>
                <w:spacing w:val="2"/>
                <w:sz w:val="21"/>
                <w:szCs w:val="21"/>
              </w:rPr>
              <w:t>升压一体机需配置2台1250</w:t>
            </w:r>
            <w:r>
              <w:rPr>
                <w:sz w:val="21"/>
                <w:szCs w:val="21"/>
              </w:rPr>
              <w:t>kW</w:t>
            </w:r>
            <w:r>
              <w:rPr>
                <w:spacing w:val="2"/>
                <w:sz w:val="21"/>
                <w:szCs w:val="21"/>
              </w:rPr>
              <w:t xml:space="preserve"> </w:t>
            </w:r>
            <w:r>
              <w:rPr>
                <w:sz w:val="21"/>
                <w:szCs w:val="21"/>
              </w:rPr>
              <w:t>PCS</w:t>
            </w:r>
            <w:r>
              <w:rPr>
                <w:spacing w:val="2"/>
                <w:sz w:val="21"/>
                <w:szCs w:val="21"/>
              </w:rPr>
              <w:t>、一台</w:t>
            </w:r>
            <w:r>
              <w:rPr>
                <w:sz w:val="21"/>
                <w:szCs w:val="21"/>
              </w:rPr>
              <w:t xml:space="preserve">  </w:t>
            </w:r>
            <w:r>
              <w:rPr>
                <w:spacing w:val="3"/>
                <w:sz w:val="21"/>
                <w:szCs w:val="21"/>
              </w:rPr>
              <w:t>35</w:t>
            </w:r>
            <w:r>
              <w:rPr>
                <w:sz w:val="21"/>
                <w:szCs w:val="21"/>
              </w:rPr>
              <w:t>KV</w:t>
            </w:r>
            <w:r>
              <w:rPr>
                <w:spacing w:val="3"/>
                <w:sz w:val="21"/>
                <w:szCs w:val="21"/>
              </w:rPr>
              <w:t xml:space="preserve"> 2500</w:t>
            </w:r>
            <w:r>
              <w:rPr>
                <w:sz w:val="21"/>
                <w:szCs w:val="21"/>
              </w:rPr>
              <w:t>kVA</w:t>
            </w:r>
            <w:r>
              <w:rPr>
                <w:spacing w:val="3"/>
                <w:sz w:val="21"/>
                <w:szCs w:val="21"/>
              </w:rPr>
              <w:t>双绕组干式变压器及配套的</w:t>
            </w:r>
          </w:p>
          <w:p w14:paraId="42B23687">
            <w:pPr>
              <w:pStyle w:val="6"/>
              <w:spacing w:line="219" w:lineRule="auto"/>
              <w:ind w:left="81"/>
              <w:rPr>
                <w:sz w:val="21"/>
                <w:szCs w:val="21"/>
              </w:rPr>
            </w:pPr>
            <w:r>
              <w:rPr>
                <w:sz w:val="21"/>
                <w:szCs w:val="21"/>
              </w:rPr>
              <w:t>高压环网柜、通讯动力柜、集装箱壳体、电缆</w:t>
            </w:r>
          </w:p>
          <w:p w14:paraId="7083EB5E">
            <w:pPr>
              <w:pStyle w:val="6"/>
              <w:spacing w:before="60" w:line="216" w:lineRule="auto"/>
              <w:ind w:left="1181"/>
              <w:rPr>
                <w:sz w:val="21"/>
                <w:szCs w:val="21"/>
              </w:rPr>
            </w:pPr>
            <w:r>
              <w:rPr>
                <w:spacing w:val="4"/>
                <w:sz w:val="21"/>
                <w:szCs w:val="21"/>
              </w:rPr>
              <w:t>及相关配套设备等。)</w:t>
            </w:r>
          </w:p>
        </w:tc>
        <w:tc>
          <w:tcPr>
            <w:tcW w:w="1198" w:type="dxa"/>
            <w:vAlign w:val="top"/>
          </w:tcPr>
          <w:p w14:paraId="4D522F1A">
            <w:pPr>
              <w:spacing w:line="258" w:lineRule="auto"/>
              <w:rPr>
                <w:rFonts w:ascii="Arial"/>
                <w:sz w:val="21"/>
              </w:rPr>
            </w:pPr>
          </w:p>
          <w:p w14:paraId="176CE8F5">
            <w:pPr>
              <w:spacing w:line="258" w:lineRule="auto"/>
              <w:rPr>
                <w:rFonts w:ascii="Arial"/>
                <w:sz w:val="21"/>
              </w:rPr>
            </w:pPr>
          </w:p>
          <w:p w14:paraId="537331C2">
            <w:pPr>
              <w:spacing w:line="258" w:lineRule="auto"/>
              <w:rPr>
                <w:rFonts w:ascii="Arial"/>
                <w:sz w:val="21"/>
              </w:rPr>
            </w:pPr>
          </w:p>
          <w:p w14:paraId="20F1DC8D">
            <w:pPr>
              <w:pStyle w:val="6"/>
              <w:spacing w:before="68" w:line="220" w:lineRule="auto"/>
              <w:ind w:left="487"/>
              <w:rPr>
                <w:sz w:val="21"/>
                <w:szCs w:val="21"/>
              </w:rPr>
            </w:pPr>
            <w:r>
              <w:rPr>
                <w:sz w:val="21"/>
                <w:szCs w:val="21"/>
              </w:rPr>
              <w:t>套</w:t>
            </w:r>
          </w:p>
        </w:tc>
        <w:tc>
          <w:tcPr>
            <w:tcW w:w="999" w:type="dxa"/>
            <w:vAlign w:val="top"/>
          </w:tcPr>
          <w:p w14:paraId="1D9E76B9">
            <w:pPr>
              <w:spacing w:line="264" w:lineRule="auto"/>
              <w:rPr>
                <w:rFonts w:ascii="Arial"/>
                <w:sz w:val="21"/>
              </w:rPr>
            </w:pPr>
          </w:p>
          <w:p w14:paraId="1A65A851">
            <w:pPr>
              <w:spacing w:line="265" w:lineRule="auto"/>
              <w:rPr>
                <w:rFonts w:ascii="Arial"/>
                <w:sz w:val="21"/>
              </w:rPr>
            </w:pPr>
          </w:p>
          <w:p w14:paraId="585B7138">
            <w:pPr>
              <w:spacing w:line="265" w:lineRule="auto"/>
              <w:rPr>
                <w:rFonts w:ascii="Arial"/>
                <w:sz w:val="21"/>
              </w:rPr>
            </w:pPr>
          </w:p>
          <w:p w14:paraId="54F953BB">
            <w:pPr>
              <w:pStyle w:val="6"/>
              <w:spacing w:before="68" w:line="239" w:lineRule="auto"/>
              <w:ind w:left="288"/>
              <w:rPr>
                <w:sz w:val="21"/>
                <w:szCs w:val="21"/>
              </w:rPr>
            </w:pPr>
            <w:r>
              <w:rPr>
                <w:spacing w:val="-3"/>
                <w:sz w:val="21"/>
                <w:szCs w:val="21"/>
              </w:rPr>
              <w:t>2.00</w:t>
            </w:r>
          </w:p>
        </w:tc>
        <w:tc>
          <w:tcPr>
            <w:tcW w:w="784" w:type="dxa"/>
            <w:vAlign w:val="top"/>
          </w:tcPr>
          <w:p w14:paraId="1689B4B4">
            <w:pPr>
              <w:rPr>
                <w:rFonts w:ascii="Arial"/>
                <w:sz w:val="21"/>
              </w:rPr>
            </w:pPr>
          </w:p>
        </w:tc>
      </w:tr>
    </w:tbl>
    <w:p w14:paraId="24E216AC">
      <w:pPr>
        <w:spacing w:before="163" w:line="220" w:lineRule="auto"/>
        <w:ind w:left="94"/>
        <w:rPr>
          <w:rFonts w:ascii="宋体" w:hAnsi="宋体" w:eastAsia="宋体" w:cs="宋体"/>
          <w:sz w:val="28"/>
          <w:szCs w:val="28"/>
        </w:rPr>
      </w:pPr>
      <w:r>
        <w:rPr>
          <w:rFonts w:ascii="宋体" w:hAnsi="宋体" w:eastAsia="宋体" w:cs="宋体"/>
          <w:spacing w:val="-4"/>
          <w:sz w:val="28"/>
          <w:szCs w:val="28"/>
        </w:rPr>
        <w:t>2.7</w:t>
      </w:r>
      <w:r>
        <w:rPr>
          <w:rFonts w:ascii="宋体" w:hAnsi="宋体" w:eastAsia="宋体" w:cs="宋体"/>
          <w:spacing w:val="-39"/>
          <w:sz w:val="28"/>
          <w:szCs w:val="28"/>
        </w:rPr>
        <w:t xml:space="preserve"> </w:t>
      </w:r>
      <w:r>
        <w:rPr>
          <w:rFonts w:ascii="宋体" w:hAnsi="宋体" w:eastAsia="宋体" w:cs="宋体"/>
          <w:b/>
          <w:bCs/>
          <w:spacing w:val="-4"/>
          <w:sz w:val="28"/>
          <w:szCs w:val="28"/>
        </w:rPr>
        <w:t>项目主要污染工序</w:t>
      </w:r>
    </w:p>
    <w:p w14:paraId="19F42A2E">
      <w:pPr>
        <w:spacing w:before="225" w:line="363" w:lineRule="auto"/>
        <w:ind w:left="94" w:right="114" w:firstLine="480"/>
        <w:jc w:val="both"/>
        <w:rPr>
          <w:rFonts w:ascii="宋体" w:hAnsi="宋体" w:eastAsia="宋体" w:cs="宋体"/>
          <w:sz w:val="24"/>
          <w:szCs w:val="24"/>
        </w:rPr>
      </w:pPr>
      <w:r>
        <w:rPr>
          <w:rFonts w:ascii="宋体" w:hAnsi="宋体" w:eastAsia="宋体" w:cs="宋体"/>
          <w:spacing w:val="-3"/>
          <w:sz w:val="24"/>
          <w:szCs w:val="24"/>
        </w:rPr>
        <w:t>变电站内的工频电场、工频磁场主要产生于配电装</w:t>
      </w:r>
      <w:r>
        <w:rPr>
          <w:rFonts w:ascii="宋体" w:hAnsi="宋体" w:eastAsia="宋体" w:cs="宋体"/>
          <w:spacing w:val="-4"/>
          <w:sz w:val="24"/>
          <w:szCs w:val="24"/>
        </w:rPr>
        <w:t>置的母线下以及电气设备</w:t>
      </w:r>
      <w:r>
        <w:rPr>
          <w:rFonts w:ascii="宋体" w:hAnsi="宋体" w:eastAsia="宋体" w:cs="宋体"/>
          <w:sz w:val="24"/>
          <w:szCs w:val="24"/>
        </w:rPr>
        <w:t xml:space="preserve"> </w:t>
      </w:r>
      <w:r>
        <w:rPr>
          <w:rFonts w:ascii="宋体" w:hAnsi="宋体" w:eastAsia="宋体" w:cs="宋体"/>
          <w:spacing w:val="-3"/>
          <w:sz w:val="24"/>
          <w:szCs w:val="24"/>
        </w:rPr>
        <w:t>附近。在交流变电站内各种带电电气设备包括变压器、高压电抗器、断路器</w:t>
      </w:r>
      <w:r>
        <w:rPr>
          <w:rFonts w:ascii="宋体" w:hAnsi="宋体" w:eastAsia="宋体" w:cs="宋体"/>
          <w:spacing w:val="-4"/>
          <w:sz w:val="24"/>
          <w:szCs w:val="24"/>
        </w:rPr>
        <w:t>、电</w:t>
      </w:r>
      <w:r>
        <w:rPr>
          <w:rFonts w:ascii="宋体" w:hAnsi="宋体" w:eastAsia="宋体" w:cs="宋体"/>
          <w:sz w:val="24"/>
          <w:szCs w:val="24"/>
        </w:rPr>
        <w:t xml:space="preserve"> </w:t>
      </w:r>
      <w:r>
        <w:rPr>
          <w:rFonts w:ascii="宋体" w:hAnsi="宋体" w:eastAsia="宋体" w:cs="宋体"/>
          <w:spacing w:val="-2"/>
          <w:sz w:val="24"/>
          <w:szCs w:val="24"/>
        </w:rPr>
        <w:t>流互感器、电压互感器等以及设备连接导线的周围空间</w:t>
      </w:r>
      <w:r>
        <w:rPr>
          <w:rFonts w:ascii="宋体" w:hAnsi="宋体" w:eastAsia="宋体" w:cs="宋体"/>
          <w:spacing w:val="-3"/>
          <w:sz w:val="24"/>
          <w:szCs w:val="24"/>
        </w:rPr>
        <w:t>形成了一个比较复杂的高</w:t>
      </w:r>
      <w:r>
        <w:rPr>
          <w:rFonts w:ascii="宋体" w:hAnsi="宋体" w:eastAsia="宋体" w:cs="宋体"/>
          <w:sz w:val="24"/>
          <w:szCs w:val="24"/>
        </w:rPr>
        <w:t xml:space="preserve"> </w:t>
      </w:r>
      <w:r>
        <w:rPr>
          <w:rFonts w:ascii="宋体" w:hAnsi="宋体" w:eastAsia="宋体" w:cs="宋体"/>
          <w:spacing w:val="-2"/>
          <w:sz w:val="24"/>
          <w:szCs w:val="24"/>
        </w:rPr>
        <w:t>电场，继而产生一定的电磁场，对周围环境产生一定的电磁影响。</w:t>
      </w:r>
    </w:p>
    <w:p w14:paraId="391E0D63">
      <w:pPr>
        <w:spacing w:line="363" w:lineRule="auto"/>
        <w:rPr>
          <w:rFonts w:ascii="宋体" w:hAnsi="宋体" w:eastAsia="宋体" w:cs="宋体"/>
          <w:sz w:val="24"/>
          <w:szCs w:val="24"/>
        </w:rPr>
        <w:sectPr>
          <w:footerReference r:id="rId233" w:type="default"/>
          <w:pgSz w:w="11910" w:h="16830"/>
          <w:pgMar w:top="400" w:right="1705" w:bottom="1190" w:left="1675" w:header="0" w:footer="916" w:gutter="0"/>
          <w:cols w:space="720" w:num="1"/>
        </w:sectPr>
      </w:pPr>
    </w:p>
    <w:p w14:paraId="3E3C24B4">
      <w:pPr>
        <w:pStyle w:val="2"/>
        <w:spacing w:line="269" w:lineRule="auto"/>
      </w:pPr>
    </w:p>
    <w:p w14:paraId="7A578B93">
      <w:pPr>
        <w:pStyle w:val="2"/>
        <w:spacing w:line="269" w:lineRule="auto"/>
      </w:pPr>
    </w:p>
    <w:p w14:paraId="5685695C">
      <w:pPr>
        <w:pStyle w:val="2"/>
        <w:spacing w:line="270" w:lineRule="auto"/>
      </w:pPr>
    </w:p>
    <w:p w14:paraId="2FE40E0F">
      <w:pPr>
        <w:pStyle w:val="2"/>
        <w:spacing w:line="270" w:lineRule="auto"/>
      </w:pPr>
    </w:p>
    <w:p w14:paraId="39BE1550">
      <w:pPr>
        <w:spacing w:before="100" w:line="218" w:lineRule="auto"/>
        <w:rPr>
          <w:rFonts w:ascii="宋体" w:hAnsi="宋体" w:eastAsia="宋体" w:cs="宋体"/>
          <w:sz w:val="31"/>
          <w:szCs w:val="31"/>
        </w:rPr>
      </w:pPr>
      <w:r>
        <w:rPr>
          <w:rFonts w:ascii="Times New Roman" w:hAnsi="Times New Roman" w:eastAsia="Times New Roman" w:cs="Times New Roman"/>
          <w:b/>
          <w:bCs/>
          <w:spacing w:val="-13"/>
          <w:sz w:val="31"/>
          <w:szCs w:val="31"/>
        </w:rPr>
        <w:t>3</w:t>
      </w:r>
      <w:r>
        <w:rPr>
          <w:rFonts w:ascii="Times New Roman" w:hAnsi="Times New Roman" w:eastAsia="Times New Roman" w:cs="Times New Roman"/>
          <w:b/>
          <w:bCs/>
          <w:spacing w:val="14"/>
          <w:sz w:val="31"/>
          <w:szCs w:val="31"/>
        </w:rPr>
        <w:t xml:space="preserve">  </w:t>
      </w:r>
      <w:r>
        <w:rPr>
          <w:rFonts w:ascii="宋体" w:hAnsi="宋体" w:eastAsia="宋体" w:cs="宋体"/>
          <w:b/>
          <w:bCs/>
          <w:spacing w:val="-13"/>
          <w:sz w:val="31"/>
          <w:szCs w:val="31"/>
        </w:rPr>
        <w:t>电磁环境影响预测与评价</w:t>
      </w:r>
    </w:p>
    <w:p w14:paraId="47928E5E">
      <w:pPr>
        <w:spacing w:before="266" w:line="219" w:lineRule="auto"/>
        <w:rPr>
          <w:rFonts w:ascii="宋体" w:hAnsi="宋体" w:eastAsia="宋体" w:cs="宋体"/>
          <w:sz w:val="28"/>
          <w:szCs w:val="28"/>
        </w:rPr>
      </w:pPr>
      <w:r>
        <w:rPr>
          <w:rFonts w:ascii="宋体" w:hAnsi="宋体" w:eastAsia="宋体" w:cs="宋体"/>
          <w:spacing w:val="-3"/>
          <w:sz w:val="28"/>
          <w:szCs w:val="28"/>
        </w:rPr>
        <w:t>3.1</w:t>
      </w:r>
      <w:r>
        <w:rPr>
          <w:rFonts w:ascii="宋体" w:hAnsi="宋体" w:eastAsia="宋体" w:cs="宋体"/>
          <w:spacing w:val="-43"/>
          <w:sz w:val="28"/>
          <w:szCs w:val="28"/>
        </w:rPr>
        <w:t xml:space="preserve"> </w:t>
      </w:r>
      <w:r>
        <w:rPr>
          <w:rFonts w:ascii="宋体" w:hAnsi="宋体" w:eastAsia="宋体" w:cs="宋体"/>
          <w:b/>
          <w:bCs/>
          <w:spacing w:val="-3"/>
          <w:sz w:val="28"/>
          <w:szCs w:val="28"/>
        </w:rPr>
        <w:t>项目区电磁环境现状</w:t>
      </w:r>
    </w:p>
    <w:p w14:paraId="79FB3E19">
      <w:pPr>
        <w:spacing w:before="240" w:line="356" w:lineRule="auto"/>
        <w:ind w:right="43" w:firstLine="480"/>
        <w:jc w:val="both"/>
        <w:rPr>
          <w:rFonts w:ascii="宋体" w:hAnsi="宋体" w:eastAsia="宋体" w:cs="宋体"/>
          <w:sz w:val="24"/>
          <w:szCs w:val="24"/>
        </w:rPr>
      </w:pPr>
      <w:r>
        <w:rPr>
          <w:rFonts w:ascii="宋体" w:hAnsi="宋体" w:eastAsia="宋体" w:cs="宋体"/>
          <w:spacing w:val="-3"/>
          <w:sz w:val="24"/>
          <w:szCs w:val="24"/>
        </w:rPr>
        <w:t>为了解项目所在地的工频电场、工频磁场现状，建设单位委托云南升环检测</w:t>
      </w:r>
      <w:r>
        <w:rPr>
          <w:rFonts w:ascii="宋体" w:hAnsi="宋体" w:eastAsia="宋体" w:cs="宋体"/>
          <w:spacing w:val="7"/>
          <w:sz w:val="24"/>
          <w:szCs w:val="24"/>
        </w:rPr>
        <w:t xml:space="preserve"> </w:t>
      </w:r>
      <w:r>
        <w:rPr>
          <w:rFonts w:ascii="宋体" w:hAnsi="宋体" w:eastAsia="宋体" w:cs="宋体"/>
          <w:spacing w:val="8"/>
          <w:sz w:val="24"/>
          <w:szCs w:val="24"/>
        </w:rPr>
        <w:t>技术有限公司于2024年09月7日对拟建</w:t>
      </w:r>
      <w:r>
        <w:rPr>
          <w:rFonts w:ascii="宋体" w:hAnsi="宋体" w:eastAsia="宋体" w:cs="宋体"/>
          <w:spacing w:val="7"/>
          <w:sz w:val="24"/>
          <w:szCs w:val="24"/>
        </w:rPr>
        <w:t>升压站场址工频电场强度、工频磁感应</w:t>
      </w:r>
      <w:r>
        <w:rPr>
          <w:rFonts w:ascii="宋体" w:hAnsi="宋体" w:eastAsia="宋体" w:cs="宋体"/>
          <w:sz w:val="24"/>
          <w:szCs w:val="24"/>
        </w:rPr>
        <w:t xml:space="preserve"> </w:t>
      </w:r>
      <w:r>
        <w:rPr>
          <w:rFonts w:ascii="宋体" w:hAnsi="宋体" w:eastAsia="宋体" w:cs="宋体"/>
          <w:spacing w:val="-5"/>
          <w:sz w:val="24"/>
          <w:szCs w:val="24"/>
        </w:rPr>
        <w:t>强度进行了现状测量。</w:t>
      </w:r>
    </w:p>
    <w:p w14:paraId="2BA94B22">
      <w:pPr>
        <w:spacing w:line="218" w:lineRule="auto"/>
        <w:ind w:left="480"/>
        <w:rPr>
          <w:rFonts w:ascii="宋体" w:hAnsi="宋体" w:eastAsia="宋体" w:cs="宋体"/>
          <w:sz w:val="24"/>
          <w:szCs w:val="24"/>
        </w:rPr>
      </w:pPr>
      <w:r>
        <w:rPr>
          <w:rFonts w:ascii="Times New Roman" w:hAnsi="Times New Roman" w:eastAsia="Times New Roman" w:cs="Times New Roman"/>
          <w:spacing w:val="-6"/>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6"/>
          <w:sz w:val="24"/>
          <w:szCs w:val="24"/>
        </w:rPr>
        <w:t>、监测布点</w:t>
      </w:r>
    </w:p>
    <w:p w14:paraId="119D3EA4">
      <w:pPr>
        <w:spacing w:before="179" w:line="357" w:lineRule="auto"/>
        <w:ind w:right="62" w:firstLine="480"/>
        <w:rPr>
          <w:rFonts w:ascii="宋体" w:hAnsi="宋体" w:eastAsia="宋体" w:cs="宋体"/>
          <w:sz w:val="24"/>
          <w:szCs w:val="24"/>
        </w:rPr>
      </w:pPr>
      <w:r>
        <w:rPr>
          <w:rFonts w:ascii="宋体" w:hAnsi="宋体" w:eastAsia="宋体" w:cs="宋体"/>
          <w:sz w:val="24"/>
          <w:szCs w:val="24"/>
        </w:rPr>
        <w:t>根据《环境影响评价技术导则—输变电》</w:t>
      </w:r>
      <w:r>
        <w:rPr>
          <w:rFonts w:ascii="宋体" w:hAnsi="宋体" w:eastAsia="宋体" w:cs="宋体"/>
          <w:spacing w:val="-46"/>
          <w:sz w:val="24"/>
          <w:szCs w:val="24"/>
        </w:rPr>
        <w:t xml:space="preserve"> </w:t>
      </w:r>
      <w:r>
        <w:rPr>
          <w:rFonts w:ascii="宋体" w:hAnsi="宋体" w:eastAsia="宋体" w:cs="宋体"/>
          <w:sz w:val="24"/>
          <w:szCs w:val="24"/>
        </w:rPr>
        <w:t>(</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HJ24-2020)</w:t>
      </w:r>
      <w:r>
        <w:rPr>
          <w:rFonts w:ascii="Times New Roman" w:hAnsi="Times New Roman" w:eastAsia="Times New Roman" w:cs="Times New Roman"/>
          <w:spacing w:val="23"/>
          <w:w w:val="101"/>
          <w:sz w:val="24"/>
          <w:szCs w:val="24"/>
        </w:rPr>
        <w:t xml:space="preserve">  </w:t>
      </w:r>
      <w:r>
        <w:rPr>
          <w:rFonts w:ascii="宋体" w:hAnsi="宋体" w:eastAsia="宋体" w:cs="宋体"/>
          <w:sz w:val="24"/>
          <w:szCs w:val="24"/>
        </w:rPr>
        <w:t xml:space="preserve">中的有关规定，本 </w:t>
      </w:r>
      <w:r>
        <w:rPr>
          <w:rFonts w:ascii="宋体" w:hAnsi="宋体" w:eastAsia="宋体" w:cs="宋体"/>
          <w:spacing w:val="5"/>
          <w:sz w:val="24"/>
          <w:szCs w:val="24"/>
        </w:rPr>
        <w:t>次共布设4个场界电磁环境监测点位，详见表3-1。</w:t>
      </w:r>
    </w:p>
    <w:p w14:paraId="50DDF045">
      <w:pPr>
        <w:spacing w:before="1" w:line="219" w:lineRule="auto"/>
        <w:ind w:left="1880"/>
        <w:rPr>
          <w:rFonts w:ascii="宋体" w:hAnsi="宋体" w:eastAsia="宋体" w:cs="宋体"/>
          <w:sz w:val="26"/>
          <w:szCs w:val="26"/>
        </w:rPr>
      </w:pPr>
      <w:r>
        <w:rPr>
          <w:rFonts w:ascii="宋体" w:hAnsi="宋体" w:eastAsia="宋体" w:cs="宋体"/>
          <w:spacing w:val="-14"/>
          <w:sz w:val="26"/>
          <w:szCs w:val="26"/>
        </w:rPr>
        <w:t>表3-1</w:t>
      </w:r>
      <w:r>
        <w:rPr>
          <w:rFonts w:ascii="宋体" w:hAnsi="宋体" w:eastAsia="宋体" w:cs="宋体"/>
          <w:spacing w:val="24"/>
          <w:sz w:val="26"/>
          <w:szCs w:val="26"/>
        </w:rPr>
        <w:t xml:space="preserve">  </w:t>
      </w:r>
      <w:r>
        <w:rPr>
          <w:rFonts w:ascii="宋体" w:hAnsi="宋体" w:eastAsia="宋体" w:cs="宋体"/>
          <w:spacing w:val="-14"/>
          <w:sz w:val="26"/>
          <w:szCs w:val="26"/>
        </w:rPr>
        <w:t>电磁环境质量现状监测点位一览表</w:t>
      </w:r>
    </w:p>
    <w:p w14:paraId="01A20FD0">
      <w:pPr>
        <w:spacing w:line="75" w:lineRule="exact"/>
      </w:pPr>
    </w:p>
    <w:tbl>
      <w:tblPr>
        <w:tblStyle w:val="5"/>
        <w:tblW w:w="7760" w:type="dxa"/>
        <w:tblInd w:w="3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4"/>
        <w:gridCol w:w="6746"/>
      </w:tblGrid>
      <w:tr w14:paraId="49F9B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14" w:type="dxa"/>
            <w:vAlign w:val="top"/>
          </w:tcPr>
          <w:p w14:paraId="31CB859F">
            <w:pPr>
              <w:pStyle w:val="6"/>
              <w:spacing w:before="55" w:line="216" w:lineRule="auto"/>
              <w:ind w:left="275"/>
            </w:pPr>
            <w:r>
              <w:rPr>
                <w:spacing w:val="6"/>
              </w:rPr>
              <w:t>序号</w:t>
            </w:r>
          </w:p>
        </w:tc>
        <w:tc>
          <w:tcPr>
            <w:tcW w:w="6746" w:type="dxa"/>
            <w:vAlign w:val="top"/>
          </w:tcPr>
          <w:p w14:paraId="3C7577B5">
            <w:pPr>
              <w:pStyle w:val="6"/>
              <w:spacing w:before="55" w:line="216" w:lineRule="auto"/>
              <w:ind w:left="3141"/>
            </w:pPr>
            <w:r>
              <w:rPr>
                <w:spacing w:val="-3"/>
              </w:rPr>
              <w:t>位置</w:t>
            </w:r>
          </w:p>
        </w:tc>
      </w:tr>
      <w:tr w14:paraId="37392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1014" w:type="dxa"/>
            <w:vAlign w:val="top"/>
          </w:tcPr>
          <w:p w14:paraId="42BA2939">
            <w:pPr>
              <w:pStyle w:val="6"/>
              <w:spacing w:before="62" w:line="189" w:lineRule="auto"/>
              <w:ind w:left="385"/>
            </w:pPr>
            <w:r>
              <w:rPr>
                <w:spacing w:val="-7"/>
              </w:rPr>
              <w:t>1#</w:t>
            </w:r>
          </w:p>
        </w:tc>
        <w:tc>
          <w:tcPr>
            <w:tcW w:w="6746" w:type="dxa"/>
            <w:vAlign w:val="top"/>
          </w:tcPr>
          <w:p w14:paraId="73ECE0C5">
            <w:pPr>
              <w:pStyle w:val="6"/>
              <w:spacing w:before="40" w:line="208" w:lineRule="auto"/>
              <w:ind w:left="1381"/>
            </w:pPr>
            <w:r>
              <w:rPr>
                <w:spacing w:val="-1"/>
              </w:rPr>
              <w:t>拟建升压站东侧场界外、且距离场界5m处</w:t>
            </w:r>
          </w:p>
        </w:tc>
      </w:tr>
      <w:tr w14:paraId="60E85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14" w:type="dxa"/>
            <w:vAlign w:val="top"/>
          </w:tcPr>
          <w:p w14:paraId="6DE041BE">
            <w:pPr>
              <w:pStyle w:val="6"/>
              <w:spacing w:before="74" w:line="195" w:lineRule="auto"/>
              <w:ind w:left="385"/>
            </w:pPr>
            <w:r>
              <w:rPr>
                <w:spacing w:val="-3"/>
              </w:rPr>
              <w:t>2#</w:t>
            </w:r>
          </w:p>
        </w:tc>
        <w:tc>
          <w:tcPr>
            <w:tcW w:w="6746" w:type="dxa"/>
            <w:vAlign w:val="top"/>
          </w:tcPr>
          <w:p w14:paraId="351ECF02">
            <w:pPr>
              <w:pStyle w:val="6"/>
              <w:spacing w:before="51" w:line="214" w:lineRule="auto"/>
              <w:ind w:left="1381"/>
            </w:pPr>
            <w:r>
              <w:rPr>
                <w:spacing w:val="-1"/>
              </w:rPr>
              <w:t>拟建升压站南侧场界外、且距离场界5m处</w:t>
            </w:r>
          </w:p>
        </w:tc>
      </w:tr>
      <w:tr w14:paraId="34C95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1014" w:type="dxa"/>
            <w:vAlign w:val="top"/>
          </w:tcPr>
          <w:p w14:paraId="597429F3">
            <w:pPr>
              <w:pStyle w:val="6"/>
              <w:spacing w:before="67" w:line="185" w:lineRule="auto"/>
              <w:ind w:left="385"/>
            </w:pPr>
            <w:r>
              <w:rPr>
                <w:spacing w:val="-4"/>
              </w:rPr>
              <w:t>3#</w:t>
            </w:r>
          </w:p>
        </w:tc>
        <w:tc>
          <w:tcPr>
            <w:tcW w:w="6746" w:type="dxa"/>
            <w:vAlign w:val="top"/>
          </w:tcPr>
          <w:p w14:paraId="4C757E9A">
            <w:pPr>
              <w:pStyle w:val="6"/>
              <w:spacing w:before="44" w:line="204" w:lineRule="auto"/>
              <w:ind w:left="1381"/>
            </w:pPr>
            <w:r>
              <w:rPr>
                <w:spacing w:val="-1"/>
              </w:rPr>
              <w:t>拟建升压站西侧场界外、且距离场界5m处</w:t>
            </w:r>
          </w:p>
        </w:tc>
      </w:tr>
      <w:tr w14:paraId="1B3DC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14" w:type="dxa"/>
            <w:vAlign w:val="top"/>
          </w:tcPr>
          <w:p w14:paraId="25588A14">
            <w:pPr>
              <w:pStyle w:val="6"/>
              <w:spacing w:before="80" w:line="195" w:lineRule="auto"/>
              <w:ind w:left="385"/>
            </w:pPr>
            <w:r>
              <w:rPr>
                <w:spacing w:val="-2"/>
              </w:rPr>
              <w:t>4#</w:t>
            </w:r>
          </w:p>
        </w:tc>
        <w:tc>
          <w:tcPr>
            <w:tcW w:w="6746" w:type="dxa"/>
            <w:vAlign w:val="top"/>
          </w:tcPr>
          <w:p w14:paraId="7DF9FD5E">
            <w:pPr>
              <w:pStyle w:val="6"/>
              <w:spacing w:before="56" w:line="215" w:lineRule="auto"/>
              <w:ind w:left="1381"/>
            </w:pPr>
            <w:r>
              <w:rPr>
                <w:spacing w:val="-1"/>
              </w:rPr>
              <w:t>拟建升压站北侧场界外、且距离场界5m处</w:t>
            </w:r>
          </w:p>
        </w:tc>
      </w:tr>
    </w:tbl>
    <w:p w14:paraId="4343AD70">
      <w:pPr>
        <w:spacing w:before="106" w:line="220" w:lineRule="auto"/>
        <w:ind w:left="480"/>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、监测指标</w:t>
      </w:r>
    </w:p>
    <w:p w14:paraId="1F2DB395">
      <w:pPr>
        <w:spacing w:before="190" w:line="217" w:lineRule="auto"/>
        <w:ind w:left="480"/>
        <w:rPr>
          <w:rFonts w:ascii="宋体" w:hAnsi="宋体" w:eastAsia="宋体" w:cs="宋体"/>
          <w:sz w:val="24"/>
          <w:szCs w:val="24"/>
        </w:rPr>
      </w:pPr>
      <w:r>
        <w:rPr>
          <w:rFonts w:ascii="宋体" w:hAnsi="宋体" w:eastAsia="宋体" w:cs="宋体"/>
          <w:spacing w:val="-1"/>
          <w:sz w:val="24"/>
          <w:szCs w:val="24"/>
        </w:rPr>
        <w:t>①工频电场：地面上方1.5</w:t>
      </w:r>
      <w:r>
        <w:rPr>
          <w:rFonts w:ascii="Times New Roman" w:hAnsi="Times New Roman" w:eastAsia="Times New Roman" w:cs="Times New Roman"/>
          <w:spacing w:val="-1"/>
          <w:sz w:val="24"/>
          <w:szCs w:val="24"/>
        </w:rPr>
        <w:t xml:space="preserve">m </w:t>
      </w:r>
      <w:r>
        <w:rPr>
          <w:rFonts w:ascii="宋体" w:hAnsi="宋体" w:eastAsia="宋体" w:cs="宋体"/>
          <w:spacing w:val="-1"/>
          <w:sz w:val="24"/>
          <w:szCs w:val="24"/>
        </w:rPr>
        <w:t>高度处的工频电场强度。</w:t>
      </w:r>
    </w:p>
    <w:p w14:paraId="5D307646">
      <w:pPr>
        <w:spacing w:before="178" w:line="217" w:lineRule="auto"/>
        <w:ind w:left="480"/>
        <w:rPr>
          <w:rFonts w:ascii="宋体" w:hAnsi="宋体" w:eastAsia="宋体" w:cs="宋体"/>
          <w:sz w:val="24"/>
          <w:szCs w:val="24"/>
        </w:rPr>
      </w:pPr>
      <w:r>
        <w:rPr>
          <w:rFonts w:ascii="宋体" w:hAnsi="宋体" w:eastAsia="宋体" w:cs="宋体"/>
          <w:spacing w:val="-1"/>
          <w:sz w:val="24"/>
          <w:szCs w:val="24"/>
        </w:rPr>
        <w:t>②工频磁场：地面上方1.5</w:t>
      </w:r>
      <w:r>
        <w:rPr>
          <w:rFonts w:ascii="Times New Roman" w:hAnsi="Times New Roman" w:eastAsia="Times New Roman" w:cs="Times New Roman"/>
          <w:spacing w:val="-1"/>
          <w:sz w:val="24"/>
          <w:szCs w:val="24"/>
        </w:rPr>
        <w:t xml:space="preserve">m </w:t>
      </w:r>
      <w:r>
        <w:rPr>
          <w:rFonts w:ascii="宋体" w:hAnsi="宋体" w:eastAsia="宋体" w:cs="宋体"/>
          <w:spacing w:val="-1"/>
          <w:sz w:val="24"/>
          <w:szCs w:val="24"/>
        </w:rPr>
        <w:t>高度处工频磁感应强度。</w:t>
      </w:r>
    </w:p>
    <w:p w14:paraId="0E9E10DE">
      <w:pPr>
        <w:spacing w:before="190" w:line="354" w:lineRule="auto"/>
        <w:ind w:right="63" w:firstLine="480"/>
        <w:rPr>
          <w:rFonts w:ascii="宋体" w:hAnsi="宋体" w:eastAsia="宋体" w:cs="宋体"/>
          <w:sz w:val="24"/>
          <w:szCs w:val="24"/>
        </w:rPr>
      </w:pPr>
      <w:r>
        <w:rPr>
          <w:rFonts w:ascii="宋体" w:hAnsi="宋体" w:eastAsia="宋体" w:cs="宋体"/>
          <w:spacing w:val="-3"/>
          <w:sz w:val="24"/>
          <w:szCs w:val="24"/>
        </w:rPr>
        <w:t>所有点位均应监测工频电场强度、工频磁感应强度，同步记录环境温度</w:t>
      </w:r>
      <w:r>
        <w:rPr>
          <w:rFonts w:ascii="宋体" w:hAnsi="宋体" w:eastAsia="宋体" w:cs="宋体"/>
          <w:spacing w:val="-4"/>
          <w:sz w:val="24"/>
          <w:szCs w:val="24"/>
        </w:rPr>
        <w:t>、湿</w:t>
      </w:r>
      <w:r>
        <w:rPr>
          <w:rFonts w:ascii="宋体" w:hAnsi="宋体" w:eastAsia="宋体" w:cs="宋体"/>
          <w:sz w:val="24"/>
          <w:szCs w:val="24"/>
        </w:rPr>
        <w:t xml:space="preserve"> </w:t>
      </w:r>
      <w:r>
        <w:rPr>
          <w:rFonts w:ascii="宋体" w:hAnsi="宋体" w:eastAsia="宋体" w:cs="宋体"/>
          <w:spacing w:val="-5"/>
          <w:sz w:val="24"/>
          <w:szCs w:val="24"/>
        </w:rPr>
        <w:t>度、天气状况等。</w:t>
      </w:r>
    </w:p>
    <w:p w14:paraId="792CA0C1">
      <w:pPr>
        <w:spacing w:before="1" w:line="219" w:lineRule="auto"/>
        <w:ind w:left="480"/>
        <w:rPr>
          <w:rFonts w:ascii="宋体" w:hAnsi="宋体" w:eastAsia="宋体" w:cs="宋体"/>
          <w:sz w:val="24"/>
          <w:szCs w:val="24"/>
        </w:rPr>
      </w:pPr>
      <w:r>
        <w:rPr>
          <w:rFonts w:ascii="Times New Roman" w:hAnsi="Times New Roman" w:eastAsia="Times New Roman" w:cs="Times New Roman"/>
          <w:sz w:val="24"/>
          <w:szCs w:val="24"/>
        </w:rPr>
        <w:t>3</w:t>
      </w:r>
      <w:r>
        <w:rPr>
          <w:rFonts w:ascii="宋体" w:hAnsi="宋体" w:eastAsia="宋体" w:cs="宋体"/>
          <w:sz w:val="24"/>
          <w:szCs w:val="24"/>
        </w:rPr>
        <w:t>、监测时间及频率</w:t>
      </w:r>
    </w:p>
    <w:p w14:paraId="1663256B">
      <w:pPr>
        <w:spacing w:before="205" w:line="219" w:lineRule="auto"/>
        <w:ind w:left="480"/>
        <w:rPr>
          <w:rFonts w:ascii="宋体" w:hAnsi="宋体" w:eastAsia="宋体" w:cs="宋体"/>
          <w:sz w:val="24"/>
          <w:szCs w:val="24"/>
        </w:rPr>
      </w:pPr>
      <w:r>
        <w:rPr>
          <w:rFonts w:ascii="宋体" w:hAnsi="宋体" w:eastAsia="宋体" w:cs="宋体"/>
          <w:spacing w:val="18"/>
          <w:sz w:val="24"/>
          <w:szCs w:val="24"/>
        </w:rPr>
        <w:t>监测1天，每天监测1次。</w:t>
      </w:r>
    </w:p>
    <w:p w14:paraId="23682B48">
      <w:pPr>
        <w:spacing w:before="175" w:line="361" w:lineRule="auto"/>
        <w:ind w:right="68" w:firstLine="480"/>
        <w:rPr>
          <w:rFonts w:ascii="宋体" w:hAnsi="宋体" w:eastAsia="宋体" w:cs="宋体"/>
          <w:sz w:val="24"/>
          <w:szCs w:val="24"/>
        </w:rPr>
      </w:pPr>
      <w:r>
        <w:rPr>
          <w:rFonts w:ascii="宋体" w:hAnsi="宋体" w:eastAsia="宋体" w:cs="宋体"/>
          <w:spacing w:val="8"/>
          <w:sz w:val="24"/>
          <w:szCs w:val="24"/>
        </w:rPr>
        <w:t>监测工作应在无雨、无雾、无雪的天气下进行。监测</w:t>
      </w:r>
      <w:r>
        <w:rPr>
          <w:rFonts w:ascii="宋体" w:hAnsi="宋体" w:eastAsia="宋体" w:cs="宋体"/>
          <w:spacing w:val="7"/>
          <w:sz w:val="24"/>
          <w:szCs w:val="24"/>
        </w:rPr>
        <w:t>时环境湿度应在80%</w:t>
      </w:r>
      <w:r>
        <w:rPr>
          <w:rFonts w:ascii="宋体" w:hAnsi="宋体" w:eastAsia="宋体" w:cs="宋体"/>
          <w:sz w:val="24"/>
          <w:szCs w:val="24"/>
        </w:rPr>
        <w:t xml:space="preserve"> </w:t>
      </w:r>
      <w:r>
        <w:rPr>
          <w:rFonts w:ascii="宋体" w:hAnsi="宋体" w:eastAsia="宋体" w:cs="宋体"/>
          <w:spacing w:val="-3"/>
          <w:sz w:val="24"/>
          <w:szCs w:val="24"/>
        </w:rPr>
        <w:t>以下，避免监测仪器支架泄漏电流等影响。</w:t>
      </w:r>
    </w:p>
    <w:p w14:paraId="7A9E3FEE">
      <w:pPr>
        <w:spacing w:before="1" w:line="217" w:lineRule="auto"/>
        <w:ind w:left="480"/>
        <w:rPr>
          <w:rFonts w:ascii="宋体" w:hAnsi="宋体" w:eastAsia="宋体" w:cs="宋体"/>
          <w:sz w:val="24"/>
          <w:szCs w:val="24"/>
        </w:rPr>
      </w:pPr>
      <w:r>
        <w:rPr>
          <w:rFonts w:ascii="Times New Roman" w:hAnsi="Times New Roman" w:eastAsia="Times New Roman" w:cs="Times New Roman"/>
          <w:spacing w:val="9"/>
          <w:sz w:val="24"/>
          <w:szCs w:val="24"/>
        </w:rPr>
        <w:t>4</w:t>
      </w:r>
      <w:r>
        <w:rPr>
          <w:rFonts w:ascii="Times New Roman" w:hAnsi="Times New Roman" w:eastAsia="Times New Roman" w:cs="Times New Roman"/>
          <w:spacing w:val="-23"/>
          <w:sz w:val="24"/>
          <w:szCs w:val="24"/>
        </w:rPr>
        <w:t xml:space="preserve"> </w:t>
      </w:r>
      <w:r>
        <w:rPr>
          <w:rFonts w:ascii="宋体" w:hAnsi="宋体" w:eastAsia="宋体" w:cs="宋体"/>
          <w:spacing w:val="9"/>
          <w:sz w:val="24"/>
          <w:szCs w:val="24"/>
        </w:rPr>
        <w:t>、监测仪器(详见监测报告附件)</w:t>
      </w:r>
    </w:p>
    <w:p w14:paraId="2C60C987">
      <w:pPr>
        <w:spacing w:before="161" w:line="362" w:lineRule="auto"/>
        <w:ind w:right="74" w:firstLine="480"/>
        <w:rPr>
          <w:rFonts w:ascii="宋体" w:hAnsi="宋体" w:eastAsia="宋体" w:cs="宋体"/>
          <w:sz w:val="24"/>
          <w:szCs w:val="24"/>
        </w:rPr>
      </w:pPr>
      <w:r>
        <w:rPr>
          <w:rFonts w:ascii="宋体" w:hAnsi="宋体" w:eastAsia="宋体" w:cs="宋体"/>
          <w:sz w:val="24"/>
          <w:szCs w:val="24"/>
        </w:rPr>
        <w:t>监测仪器：工频电磁场分析仪</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HI-3604(</w:t>
      </w:r>
      <w:r>
        <w:rPr>
          <w:rFonts w:ascii="宋体" w:hAnsi="宋体" w:eastAsia="宋体" w:cs="宋体"/>
          <w:sz w:val="24"/>
          <w:szCs w:val="24"/>
        </w:rPr>
        <w:t>编号：11965),高斯计</w:t>
      </w:r>
      <w:r>
        <w:rPr>
          <w:rFonts w:ascii="宋体" w:hAnsi="宋体" w:eastAsia="宋体" w:cs="宋体"/>
          <w:spacing w:val="-40"/>
          <w:sz w:val="24"/>
          <w:szCs w:val="24"/>
        </w:rPr>
        <w:t xml:space="preserve"> </w:t>
      </w:r>
      <w:r>
        <w:rPr>
          <w:rFonts w:ascii="Times New Roman" w:hAnsi="Times New Roman" w:eastAsia="Times New Roman" w:cs="Times New Roman"/>
          <w:sz w:val="24"/>
          <w:szCs w:val="24"/>
        </w:rPr>
        <w:t>TES-1393</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w:t>
      </w:r>
      <w:r>
        <w:rPr>
          <w:rFonts w:ascii="宋体" w:hAnsi="宋体" w:eastAsia="宋体" w:cs="宋体"/>
          <w:sz w:val="24"/>
          <w:szCs w:val="24"/>
        </w:rPr>
        <w:t xml:space="preserve">编 </w:t>
      </w:r>
      <w:r>
        <w:rPr>
          <w:rFonts w:ascii="宋体" w:hAnsi="宋体" w:eastAsia="宋体" w:cs="宋体"/>
          <w:spacing w:val="-6"/>
          <w:sz w:val="24"/>
          <w:szCs w:val="24"/>
        </w:rPr>
        <w:t>号：11968);</w:t>
      </w:r>
    </w:p>
    <w:p w14:paraId="6B21C2FB">
      <w:pPr>
        <w:spacing w:before="1" w:line="212" w:lineRule="auto"/>
        <w:ind w:left="480"/>
        <w:rPr>
          <w:rFonts w:ascii="宋体" w:hAnsi="宋体" w:eastAsia="宋体" w:cs="宋体"/>
          <w:sz w:val="24"/>
          <w:szCs w:val="24"/>
        </w:rPr>
      </w:pPr>
      <w:r>
        <w:rPr>
          <w:rFonts w:ascii="宋体" w:hAnsi="宋体" w:eastAsia="宋体" w:cs="宋体"/>
          <w:spacing w:val="-6"/>
          <w:sz w:val="24"/>
          <w:szCs w:val="24"/>
        </w:rPr>
        <w:t>检出限：工频电场强度：1.0</w:t>
      </w:r>
      <w:r>
        <w:rPr>
          <w:rFonts w:ascii="Times New Roman" w:hAnsi="Times New Roman" w:eastAsia="Times New Roman" w:cs="Times New Roman"/>
          <w:spacing w:val="-6"/>
          <w:sz w:val="24"/>
          <w:szCs w:val="24"/>
        </w:rPr>
        <w:t>V/m,</w:t>
      </w:r>
      <w:r>
        <w:rPr>
          <w:rFonts w:ascii="Times New Roman" w:hAnsi="Times New Roman" w:eastAsia="Times New Roman" w:cs="Times New Roman"/>
          <w:spacing w:val="23"/>
          <w:sz w:val="24"/>
          <w:szCs w:val="24"/>
        </w:rPr>
        <w:t xml:space="preserve">  </w:t>
      </w:r>
      <w:r>
        <w:rPr>
          <w:rFonts w:ascii="宋体" w:hAnsi="宋体" w:eastAsia="宋体" w:cs="宋体"/>
          <w:spacing w:val="-6"/>
          <w:sz w:val="24"/>
          <w:szCs w:val="24"/>
        </w:rPr>
        <w:t>工频磁</w:t>
      </w:r>
      <w:r>
        <w:rPr>
          <w:rFonts w:ascii="宋体" w:hAnsi="宋体" w:eastAsia="宋体" w:cs="宋体"/>
          <w:spacing w:val="-7"/>
          <w:sz w:val="24"/>
          <w:szCs w:val="24"/>
        </w:rPr>
        <w:t>感应强度：0.01</w:t>
      </w:r>
      <w:r>
        <w:rPr>
          <w:rFonts w:ascii="宋体" w:hAnsi="宋体" w:eastAsia="宋体" w:cs="宋体"/>
          <w:spacing w:val="-52"/>
          <w:sz w:val="24"/>
          <w:szCs w:val="24"/>
        </w:rPr>
        <w:t xml:space="preserve"> </w:t>
      </w:r>
      <w:r>
        <w:rPr>
          <w:rFonts w:ascii="宋体" w:hAnsi="宋体" w:eastAsia="宋体" w:cs="宋体"/>
          <w:spacing w:val="-7"/>
          <w:sz w:val="24"/>
          <w:szCs w:val="24"/>
        </w:rPr>
        <w:t>μ</w:t>
      </w:r>
      <w:r>
        <w:rPr>
          <w:rFonts w:ascii="Times New Roman" w:hAnsi="Times New Roman" w:eastAsia="Times New Roman" w:cs="Times New Roman"/>
          <w:spacing w:val="-7"/>
          <w:sz w:val="24"/>
          <w:szCs w:val="24"/>
        </w:rPr>
        <w:t>T</w:t>
      </w:r>
      <w:r>
        <w:rPr>
          <w:rFonts w:ascii="宋体" w:hAnsi="宋体" w:eastAsia="宋体" w:cs="宋体"/>
          <w:spacing w:val="-7"/>
          <w:sz w:val="24"/>
          <w:szCs w:val="24"/>
        </w:rPr>
        <w:t>。</w:t>
      </w:r>
    </w:p>
    <w:p w14:paraId="37FD4CEF">
      <w:pPr>
        <w:spacing w:before="200" w:line="220" w:lineRule="auto"/>
        <w:ind w:left="480"/>
        <w:rPr>
          <w:rFonts w:ascii="宋体" w:hAnsi="宋体" w:eastAsia="宋体" w:cs="宋体"/>
          <w:sz w:val="24"/>
          <w:szCs w:val="24"/>
        </w:rPr>
      </w:pPr>
      <w:r>
        <w:rPr>
          <w:rFonts w:ascii="Times New Roman" w:hAnsi="Times New Roman" w:eastAsia="Times New Roman" w:cs="Times New Roman"/>
          <w:spacing w:val="-4"/>
          <w:sz w:val="24"/>
          <w:szCs w:val="24"/>
        </w:rPr>
        <w:t>5</w:t>
      </w:r>
      <w:r>
        <w:rPr>
          <w:rFonts w:ascii="Times New Roman" w:hAnsi="Times New Roman" w:eastAsia="Times New Roman" w:cs="Times New Roman"/>
          <w:spacing w:val="-33"/>
          <w:sz w:val="24"/>
          <w:szCs w:val="24"/>
        </w:rPr>
        <w:t xml:space="preserve"> </w:t>
      </w:r>
      <w:r>
        <w:rPr>
          <w:rFonts w:ascii="宋体" w:hAnsi="宋体" w:eastAsia="宋体" w:cs="宋体"/>
          <w:spacing w:val="-4"/>
          <w:sz w:val="24"/>
          <w:szCs w:val="24"/>
        </w:rPr>
        <w:t>、监测结果</w:t>
      </w:r>
    </w:p>
    <w:p w14:paraId="485D2994">
      <w:pPr>
        <w:spacing w:before="194" w:line="219" w:lineRule="auto"/>
        <w:ind w:left="480"/>
        <w:rPr>
          <w:rFonts w:ascii="宋体" w:hAnsi="宋体" w:eastAsia="宋体" w:cs="宋体"/>
          <w:sz w:val="24"/>
          <w:szCs w:val="24"/>
        </w:rPr>
      </w:pPr>
      <w:r>
        <w:rPr>
          <w:rFonts w:ascii="宋体" w:hAnsi="宋体" w:eastAsia="宋体" w:cs="宋体"/>
          <w:sz w:val="24"/>
          <w:szCs w:val="24"/>
        </w:rPr>
        <w:t>监测结果见表3-2。</w:t>
      </w:r>
    </w:p>
    <w:p w14:paraId="2782E389">
      <w:pPr>
        <w:spacing w:before="183" w:line="219" w:lineRule="auto"/>
        <w:ind w:left="910"/>
        <w:rPr>
          <w:rFonts w:ascii="宋体" w:hAnsi="宋体" w:eastAsia="宋体" w:cs="宋体"/>
          <w:sz w:val="24"/>
          <w:szCs w:val="24"/>
        </w:rPr>
      </w:pPr>
      <w:r>
        <w:rPr>
          <w:rFonts w:ascii="宋体" w:hAnsi="宋体" w:eastAsia="宋体" w:cs="宋体"/>
          <w:color w:val="707070"/>
          <w:spacing w:val="1"/>
          <w:sz w:val="24"/>
          <w:szCs w:val="24"/>
        </w:rPr>
        <w:t xml:space="preserve">表3-2     </w:t>
      </w:r>
      <w:r>
        <w:rPr>
          <w:rFonts w:ascii="宋体" w:hAnsi="宋体" w:eastAsia="宋体" w:cs="宋体"/>
          <w:spacing w:val="1"/>
          <w:sz w:val="24"/>
          <w:szCs w:val="24"/>
        </w:rPr>
        <w:t>项目拟建升压站及关心点工频电磁场现状监测结果</w:t>
      </w:r>
    </w:p>
    <w:p w14:paraId="60E9ACCD">
      <w:pPr>
        <w:spacing w:line="219" w:lineRule="auto"/>
        <w:rPr>
          <w:rFonts w:ascii="宋体" w:hAnsi="宋体" w:eastAsia="宋体" w:cs="宋体"/>
          <w:sz w:val="24"/>
          <w:szCs w:val="24"/>
        </w:rPr>
        <w:sectPr>
          <w:footerReference r:id="rId234" w:type="default"/>
          <w:pgSz w:w="11910" w:h="16830"/>
          <w:pgMar w:top="400" w:right="1786" w:bottom="1198" w:left="1759" w:header="0" w:footer="913" w:gutter="0"/>
          <w:cols w:space="720" w:num="1"/>
        </w:sectPr>
      </w:pPr>
    </w:p>
    <w:p w14:paraId="7E0AAF91">
      <w:pPr>
        <w:spacing w:before="15"/>
      </w:pPr>
    </w:p>
    <w:p w14:paraId="75E67BFE">
      <w:pPr>
        <w:spacing w:before="15"/>
      </w:pPr>
    </w:p>
    <w:p w14:paraId="61CE575F">
      <w:pPr>
        <w:spacing w:before="15"/>
      </w:pPr>
    </w:p>
    <w:p w14:paraId="4D310433">
      <w:pPr>
        <w:spacing w:before="14"/>
      </w:pPr>
    </w:p>
    <w:tbl>
      <w:tblPr>
        <w:tblStyle w:val="5"/>
        <w:tblW w:w="84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3"/>
        <w:gridCol w:w="2147"/>
        <w:gridCol w:w="1029"/>
        <w:gridCol w:w="979"/>
        <w:gridCol w:w="679"/>
        <w:gridCol w:w="929"/>
        <w:gridCol w:w="839"/>
        <w:gridCol w:w="764"/>
      </w:tblGrid>
      <w:tr w14:paraId="58158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073" w:type="dxa"/>
            <w:vMerge w:val="restart"/>
            <w:tcBorders>
              <w:bottom w:val="nil"/>
            </w:tcBorders>
            <w:vAlign w:val="top"/>
          </w:tcPr>
          <w:p w14:paraId="36839BDA">
            <w:pPr>
              <w:spacing w:line="323" w:lineRule="auto"/>
              <w:rPr>
                <w:rFonts w:ascii="Arial"/>
                <w:sz w:val="21"/>
              </w:rPr>
            </w:pPr>
          </w:p>
          <w:p w14:paraId="77CA01D4">
            <w:pPr>
              <w:pStyle w:val="6"/>
              <w:spacing w:before="68" w:line="219" w:lineRule="auto"/>
              <w:ind w:left="104"/>
              <w:rPr>
                <w:sz w:val="21"/>
                <w:szCs w:val="21"/>
              </w:rPr>
            </w:pPr>
            <w:r>
              <w:rPr>
                <w:spacing w:val="5"/>
                <w:sz w:val="21"/>
                <w:szCs w:val="21"/>
              </w:rPr>
              <w:t>检测时间</w:t>
            </w:r>
          </w:p>
        </w:tc>
        <w:tc>
          <w:tcPr>
            <w:tcW w:w="2147" w:type="dxa"/>
            <w:vMerge w:val="restart"/>
            <w:tcBorders>
              <w:bottom w:val="nil"/>
            </w:tcBorders>
            <w:vAlign w:val="top"/>
          </w:tcPr>
          <w:p w14:paraId="16E41F50">
            <w:pPr>
              <w:spacing w:line="323" w:lineRule="auto"/>
              <w:rPr>
                <w:rFonts w:ascii="Arial"/>
                <w:sz w:val="21"/>
              </w:rPr>
            </w:pPr>
          </w:p>
          <w:p w14:paraId="35ED2041">
            <w:pPr>
              <w:pStyle w:val="6"/>
              <w:spacing w:before="68" w:line="219" w:lineRule="auto"/>
              <w:ind w:left="641"/>
              <w:rPr>
                <w:sz w:val="21"/>
                <w:szCs w:val="21"/>
              </w:rPr>
            </w:pPr>
            <w:r>
              <w:rPr>
                <w:spacing w:val="-2"/>
                <w:sz w:val="21"/>
                <w:szCs w:val="21"/>
              </w:rPr>
              <w:t>检测点位</w:t>
            </w:r>
          </w:p>
        </w:tc>
        <w:tc>
          <w:tcPr>
            <w:tcW w:w="2687" w:type="dxa"/>
            <w:gridSpan w:val="3"/>
            <w:vAlign w:val="top"/>
          </w:tcPr>
          <w:p w14:paraId="6FBB029E">
            <w:pPr>
              <w:pStyle w:val="6"/>
              <w:spacing w:before="74" w:line="220" w:lineRule="auto"/>
              <w:ind w:left="934"/>
              <w:rPr>
                <w:sz w:val="21"/>
                <w:szCs w:val="21"/>
              </w:rPr>
            </w:pPr>
            <w:r>
              <w:rPr>
                <w:spacing w:val="3"/>
                <w:sz w:val="21"/>
                <w:szCs w:val="21"/>
              </w:rPr>
              <w:t>工频电场</w:t>
            </w:r>
          </w:p>
        </w:tc>
        <w:tc>
          <w:tcPr>
            <w:tcW w:w="2532" w:type="dxa"/>
            <w:gridSpan w:val="3"/>
            <w:vAlign w:val="top"/>
          </w:tcPr>
          <w:p w14:paraId="55131EAE">
            <w:pPr>
              <w:pStyle w:val="6"/>
              <w:spacing w:before="74" w:line="220" w:lineRule="auto"/>
              <w:ind w:left="868"/>
              <w:rPr>
                <w:sz w:val="21"/>
                <w:szCs w:val="21"/>
              </w:rPr>
            </w:pPr>
            <w:r>
              <w:rPr>
                <w:spacing w:val="3"/>
                <w:sz w:val="21"/>
                <w:szCs w:val="21"/>
              </w:rPr>
              <w:t>工频磁场</w:t>
            </w:r>
          </w:p>
        </w:tc>
      </w:tr>
      <w:tr w14:paraId="7F6DA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73" w:type="dxa"/>
            <w:vMerge w:val="continue"/>
            <w:tcBorders>
              <w:top w:val="nil"/>
            </w:tcBorders>
            <w:vAlign w:val="top"/>
          </w:tcPr>
          <w:p w14:paraId="4FBF6D7C">
            <w:pPr>
              <w:rPr>
                <w:rFonts w:ascii="Arial"/>
                <w:sz w:val="21"/>
              </w:rPr>
            </w:pPr>
          </w:p>
        </w:tc>
        <w:tc>
          <w:tcPr>
            <w:tcW w:w="2147" w:type="dxa"/>
            <w:vMerge w:val="continue"/>
            <w:tcBorders>
              <w:top w:val="nil"/>
            </w:tcBorders>
            <w:vAlign w:val="top"/>
          </w:tcPr>
          <w:p w14:paraId="07AB4554">
            <w:pPr>
              <w:rPr>
                <w:rFonts w:ascii="Arial"/>
                <w:sz w:val="21"/>
              </w:rPr>
            </w:pPr>
          </w:p>
        </w:tc>
        <w:tc>
          <w:tcPr>
            <w:tcW w:w="1029" w:type="dxa"/>
            <w:vAlign w:val="top"/>
          </w:tcPr>
          <w:p w14:paraId="2F2776EB">
            <w:pPr>
              <w:pStyle w:val="6"/>
              <w:spacing w:before="40" w:line="220" w:lineRule="auto"/>
              <w:ind w:left="84"/>
              <w:rPr>
                <w:sz w:val="21"/>
                <w:szCs w:val="21"/>
              </w:rPr>
            </w:pPr>
            <w:r>
              <w:rPr>
                <w:spacing w:val="3"/>
                <w:sz w:val="21"/>
                <w:szCs w:val="21"/>
              </w:rPr>
              <w:t>监测结果</w:t>
            </w:r>
          </w:p>
          <w:p w14:paraId="16363FD2">
            <w:pPr>
              <w:pStyle w:val="6"/>
              <w:spacing w:before="81" w:line="216" w:lineRule="auto"/>
              <w:ind w:left="244"/>
              <w:rPr>
                <w:sz w:val="21"/>
                <w:szCs w:val="21"/>
              </w:rPr>
            </w:pPr>
            <w:r>
              <w:rPr>
                <w:spacing w:val="-8"/>
                <w:sz w:val="21"/>
                <w:szCs w:val="21"/>
              </w:rPr>
              <w:t>(V/m)</w:t>
            </w:r>
          </w:p>
        </w:tc>
        <w:tc>
          <w:tcPr>
            <w:tcW w:w="979" w:type="dxa"/>
            <w:vAlign w:val="top"/>
          </w:tcPr>
          <w:p w14:paraId="0D599556">
            <w:pPr>
              <w:pStyle w:val="6"/>
              <w:spacing w:before="39" w:line="219" w:lineRule="auto"/>
              <w:ind w:left="165"/>
              <w:rPr>
                <w:sz w:val="21"/>
                <w:szCs w:val="21"/>
              </w:rPr>
            </w:pPr>
            <w:r>
              <w:rPr>
                <w:spacing w:val="-3"/>
                <w:sz w:val="21"/>
                <w:szCs w:val="21"/>
              </w:rPr>
              <w:t>标准值</w:t>
            </w:r>
          </w:p>
          <w:p w14:paraId="06D4A4C1">
            <w:pPr>
              <w:pStyle w:val="6"/>
              <w:spacing w:before="83" w:line="216" w:lineRule="auto"/>
              <w:ind w:left="215"/>
              <w:rPr>
                <w:sz w:val="21"/>
                <w:szCs w:val="21"/>
              </w:rPr>
            </w:pPr>
            <w:r>
              <w:rPr>
                <w:spacing w:val="-8"/>
                <w:sz w:val="21"/>
                <w:szCs w:val="21"/>
              </w:rPr>
              <w:t>(V/m)</w:t>
            </w:r>
          </w:p>
        </w:tc>
        <w:tc>
          <w:tcPr>
            <w:tcW w:w="679" w:type="dxa"/>
            <w:vAlign w:val="top"/>
          </w:tcPr>
          <w:p w14:paraId="44002319">
            <w:pPr>
              <w:pStyle w:val="6"/>
              <w:spacing w:before="40" w:line="220" w:lineRule="auto"/>
              <w:ind w:left="126"/>
              <w:rPr>
                <w:sz w:val="21"/>
                <w:szCs w:val="21"/>
              </w:rPr>
            </w:pPr>
            <w:r>
              <w:rPr>
                <w:spacing w:val="-2"/>
                <w:sz w:val="21"/>
                <w:szCs w:val="21"/>
              </w:rPr>
              <w:t>达标</w:t>
            </w:r>
          </w:p>
          <w:p w14:paraId="0685BBC8">
            <w:pPr>
              <w:pStyle w:val="6"/>
              <w:spacing w:before="59" w:line="220" w:lineRule="auto"/>
              <w:ind w:left="126"/>
              <w:rPr>
                <w:sz w:val="21"/>
                <w:szCs w:val="21"/>
              </w:rPr>
            </w:pPr>
            <w:r>
              <w:rPr>
                <w:spacing w:val="-3"/>
                <w:sz w:val="21"/>
                <w:szCs w:val="21"/>
              </w:rPr>
              <w:t>情况</w:t>
            </w:r>
          </w:p>
        </w:tc>
        <w:tc>
          <w:tcPr>
            <w:tcW w:w="929" w:type="dxa"/>
            <w:vAlign w:val="top"/>
          </w:tcPr>
          <w:p w14:paraId="2AEB999E">
            <w:pPr>
              <w:pStyle w:val="6"/>
              <w:spacing w:before="40" w:line="254" w:lineRule="auto"/>
              <w:ind w:left="87" w:right="45" w:firstLine="60"/>
              <w:rPr>
                <w:sz w:val="21"/>
                <w:szCs w:val="21"/>
              </w:rPr>
            </w:pPr>
            <w:r>
              <w:rPr>
                <w:spacing w:val="4"/>
                <w:sz w:val="21"/>
                <w:szCs w:val="21"/>
              </w:rPr>
              <w:t>监测结</w:t>
            </w:r>
            <w:r>
              <w:rPr>
                <w:sz w:val="21"/>
                <w:szCs w:val="21"/>
              </w:rPr>
              <w:t xml:space="preserve"> </w:t>
            </w:r>
            <w:r>
              <w:rPr>
                <w:spacing w:val="10"/>
                <w:sz w:val="21"/>
                <w:szCs w:val="21"/>
              </w:rPr>
              <w:t>果(μT)</w:t>
            </w:r>
          </w:p>
        </w:tc>
        <w:tc>
          <w:tcPr>
            <w:tcW w:w="839" w:type="dxa"/>
            <w:vAlign w:val="top"/>
          </w:tcPr>
          <w:p w14:paraId="23CDBFC5">
            <w:pPr>
              <w:pStyle w:val="6"/>
              <w:spacing w:before="39" w:line="219" w:lineRule="auto"/>
              <w:ind w:left="98"/>
              <w:rPr>
                <w:sz w:val="21"/>
                <w:szCs w:val="21"/>
              </w:rPr>
            </w:pPr>
            <w:r>
              <w:rPr>
                <w:spacing w:val="-3"/>
                <w:sz w:val="21"/>
                <w:szCs w:val="21"/>
              </w:rPr>
              <w:t>标准值</w:t>
            </w:r>
          </w:p>
          <w:p w14:paraId="72F0F2F7">
            <w:pPr>
              <w:pStyle w:val="6"/>
              <w:spacing w:before="64" w:line="222" w:lineRule="auto"/>
              <w:ind w:left="148"/>
              <w:rPr>
                <w:sz w:val="21"/>
                <w:szCs w:val="21"/>
              </w:rPr>
            </w:pPr>
            <w:r>
              <w:rPr>
                <w:spacing w:val="-10"/>
                <w:sz w:val="21"/>
                <w:szCs w:val="21"/>
              </w:rPr>
              <w:t>(μT)</w:t>
            </w:r>
          </w:p>
        </w:tc>
        <w:tc>
          <w:tcPr>
            <w:tcW w:w="764" w:type="dxa"/>
            <w:vAlign w:val="top"/>
          </w:tcPr>
          <w:p w14:paraId="72482AD7">
            <w:pPr>
              <w:pStyle w:val="6"/>
              <w:spacing w:before="40" w:line="220" w:lineRule="auto"/>
              <w:ind w:left="169"/>
              <w:rPr>
                <w:sz w:val="21"/>
                <w:szCs w:val="21"/>
              </w:rPr>
            </w:pPr>
            <w:r>
              <w:rPr>
                <w:spacing w:val="-2"/>
                <w:sz w:val="21"/>
                <w:szCs w:val="21"/>
              </w:rPr>
              <w:t>达标</w:t>
            </w:r>
          </w:p>
          <w:p w14:paraId="687FEA30">
            <w:pPr>
              <w:pStyle w:val="6"/>
              <w:spacing w:before="69" w:line="220" w:lineRule="auto"/>
              <w:ind w:left="169"/>
              <w:rPr>
                <w:sz w:val="21"/>
                <w:szCs w:val="21"/>
              </w:rPr>
            </w:pPr>
            <w:r>
              <w:rPr>
                <w:spacing w:val="-3"/>
                <w:sz w:val="21"/>
                <w:szCs w:val="21"/>
              </w:rPr>
              <w:t>情况</w:t>
            </w:r>
          </w:p>
        </w:tc>
      </w:tr>
      <w:tr w14:paraId="606AE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073" w:type="dxa"/>
            <w:vMerge w:val="restart"/>
            <w:tcBorders>
              <w:bottom w:val="nil"/>
            </w:tcBorders>
            <w:vAlign w:val="top"/>
          </w:tcPr>
          <w:p w14:paraId="0F3DF013">
            <w:pPr>
              <w:spacing w:line="279" w:lineRule="auto"/>
              <w:rPr>
                <w:rFonts w:ascii="Arial"/>
                <w:sz w:val="21"/>
              </w:rPr>
            </w:pPr>
          </w:p>
          <w:p w14:paraId="1F3E2B58">
            <w:pPr>
              <w:spacing w:line="279" w:lineRule="auto"/>
              <w:rPr>
                <w:rFonts w:ascii="Arial"/>
                <w:sz w:val="21"/>
              </w:rPr>
            </w:pPr>
          </w:p>
          <w:p w14:paraId="326F4FC3">
            <w:pPr>
              <w:spacing w:line="279" w:lineRule="auto"/>
              <w:rPr>
                <w:rFonts w:ascii="Arial"/>
                <w:sz w:val="21"/>
              </w:rPr>
            </w:pPr>
          </w:p>
          <w:p w14:paraId="587833CA">
            <w:pPr>
              <w:spacing w:line="279" w:lineRule="auto"/>
              <w:rPr>
                <w:rFonts w:ascii="Arial"/>
                <w:sz w:val="21"/>
              </w:rPr>
            </w:pPr>
          </w:p>
          <w:p w14:paraId="6432D863">
            <w:pPr>
              <w:pStyle w:val="6"/>
              <w:spacing w:before="69"/>
              <w:ind w:left="54"/>
              <w:rPr>
                <w:sz w:val="21"/>
                <w:szCs w:val="21"/>
              </w:rPr>
            </w:pPr>
            <w:r>
              <w:rPr>
                <w:spacing w:val="-2"/>
                <w:sz w:val="21"/>
                <w:szCs w:val="21"/>
              </w:rPr>
              <w:t>2024-09-7</w:t>
            </w:r>
          </w:p>
        </w:tc>
        <w:tc>
          <w:tcPr>
            <w:tcW w:w="2147" w:type="dxa"/>
            <w:vAlign w:val="top"/>
          </w:tcPr>
          <w:p w14:paraId="45F167D1">
            <w:pPr>
              <w:pStyle w:val="6"/>
              <w:spacing w:before="59" w:line="241" w:lineRule="auto"/>
              <w:ind w:left="330" w:right="110" w:hanging="209"/>
              <w:rPr>
                <w:sz w:val="21"/>
                <w:szCs w:val="21"/>
              </w:rPr>
            </w:pPr>
            <w:r>
              <w:rPr>
                <w:spacing w:val="1"/>
                <w:sz w:val="21"/>
                <w:szCs w:val="21"/>
              </w:rPr>
              <w:t>升压站拟建场址东侧</w:t>
            </w:r>
            <w:r>
              <w:rPr>
                <w:spacing w:val="4"/>
                <w:sz w:val="21"/>
                <w:szCs w:val="21"/>
              </w:rPr>
              <w:t xml:space="preserve"> 场界外5m处(1#)</w:t>
            </w:r>
          </w:p>
        </w:tc>
        <w:tc>
          <w:tcPr>
            <w:tcW w:w="1029" w:type="dxa"/>
            <w:vAlign w:val="top"/>
          </w:tcPr>
          <w:p w14:paraId="3FE92FD1">
            <w:pPr>
              <w:pStyle w:val="6"/>
              <w:spacing w:before="232" w:line="239" w:lineRule="auto"/>
              <w:ind w:left="295"/>
              <w:rPr>
                <w:sz w:val="21"/>
                <w:szCs w:val="21"/>
              </w:rPr>
            </w:pPr>
            <w:r>
              <w:rPr>
                <w:spacing w:val="-3"/>
                <w:sz w:val="21"/>
                <w:szCs w:val="21"/>
              </w:rPr>
              <w:t>3.87</w:t>
            </w:r>
          </w:p>
        </w:tc>
        <w:tc>
          <w:tcPr>
            <w:tcW w:w="979" w:type="dxa"/>
            <w:vAlign w:val="top"/>
          </w:tcPr>
          <w:p w14:paraId="091B01AF">
            <w:pPr>
              <w:pStyle w:val="6"/>
              <w:spacing w:before="232"/>
              <w:ind w:left="275"/>
              <w:rPr>
                <w:sz w:val="21"/>
                <w:szCs w:val="21"/>
              </w:rPr>
            </w:pPr>
            <w:r>
              <w:rPr>
                <w:spacing w:val="-2"/>
                <w:sz w:val="21"/>
                <w:szCs w:val="21"/>
              </w:rPr>
              <w:t>4000</w:t>
            </w:r>
          </w:p>
        </w:tc>
        <w:tc>
          <w:tcPr>
            <w:tcW w:w="679" w:type="dxa"/>
            <w:vAlign w:val="top"/>
          </w:tcPr>
          <w:p w14:paraId="2AAD9A74">
            <w:pPr>
              <w:pStyle w:val="6"/>
              <w:spacing w:before="212" w:line="220" w:lineRule="auto"/>
              <w:ind w:left="126"/>
              <w:rPr>
                <w:sz w:val="21"/>
                <w:szCs w:val="21"/>
              </w:rPr>
            </w:pPr>
            <w:r>
              <w:rPr>
                <w:spacing w:val="-2"/>
                <w:sz w:val="21"/>
                <w:szCs w:val="21"/>
              </w:rPr>
              <w:t>达标</w:t>
            </w:r>
          </w:p>
        </w:tc>
        <w:tc>
          <w:tcPr>
            <w:tcW w:w="929" w:type="dxa"/>
            <w:vAlign w:val="top"/>
          </w:tcPr>
          <w:p w14:paraId="7E7B5EE4">
            <w:pPr>
              <w:pStyle w:val="6"/>
              <w:spacing w:before="232" w:line="239" w:lineRule="auto"/>
              <w:ind w:left="197"/>
              <w:rPr>
                <w:sz w:val="21"/>
                <w:szCs w:val="21"/>
              </w:rPr>
            </w:pPr>
            <w:r>
              <w:rPr>
                <w:spacing w:val="-2"/>
                <w:sz w:val="21"/>
                <w:szCs w:val="21"/>
              </w:rPr>
              <w:t>0.069</w:t>
            </w:r>
          </w:p>
        </w:tc>
        <w:tc>
          <w:tcPr>
            <w:tcW w:w="839" w:type="dxa"/>
            <w:vAlign w:val="top"/>
          </w:tcPr>
          <w:p w14:paraId="40800410">
            <w:pPr>
              <w:pStyle w:val="6"/>
              <w:spacing w:before="232"/>
              <w:ind w:left="258"/>
              <w:rPr>
                <w:sz w:val="21"/>
                <w:szCs w:val="21"/>
              </w:rPr>
            </w:pPr>
            <w:r>
              <w:rPr>
                <w:spacing w:val="-6"/>
                <w:sz w:val="21"/>
                <w:szCs w:val="21"/>
              </w:rPr>
              <w:t>100</w:t>
            </w:r>
          </w:p>
        </w:tc>
        <w:tc>
          <w:tcPr>
            <w:tcW w:w="764" w:type="dxa"/>
            <w:vAlign w:val="top"/>
          </w:tcPr>
          <w:p w14:paraId="57B3402A">
            <w:pPr>
              <w:pStyle w:val="6"/>
              <w:spacing w:before="212" w:line="220" w:lineRule="auto"/>
              <w:ind w:left="169"/>
              <w:rPr>
                <w:sz w:val="21"/>
                <w:szCs w:val="21"/>
              </w:rPr>
            </w:pPr>
            <w:r>
              <w:rPr>
                <w:spacing w:val="-2"/>
                <w:sz w:val="21"/>
                <w:szCs w:val="21"/>
              </w:rPr>
              <w:t>达标</w:t>
            </w:r>
          </w:p>
        </w:tc>
      </w:tr>
      <w:tr w14:paraId="11B7B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073" w:type="dxa"/>
            <w:vMerge w:val="continue"/>
            <w:tcBorders>
              <w:top w:val="nil"/>
              <w:bottom w:val="nil"/>
            </w:tcBorders>
            <w:vAlign w:val="top"/>
          </w:tcPr>
          <w:p w14:paraId="0B49B6C9">
            <w:pPr>
              <w:rPr>
                <w:rFonts w:ascii="Arial"/>
                <w:sz w:val="21"/>
              </w:rPr>
            </w:pPr>
          </w:p>
        </w:tc>
        <w:tc>
          <w:tcPr>
            <w:tcW w:w="2147" w:type="dxa"/>
            <w:vAlign w:val="top"/>
          </w:tcPr>
          <w:p w14:paraId="29C4ACAD">
            <w:pPr>
              <w:pStyle w:val="6"/>
              <w:spacing w:before="72" w:line="244" w:lineRule="auto"/>
              <w:ind w:left="330" w:right="110" w:hanging="209"/>
              <w:rPr>
                <w:sz w:val="21"/>
                <w:szCs w:val="21"/>
              </w:rPr>
            </w:pPr>
            <w:r>
              <w:rPr>
                <w:spacing w:val="1"/>
                <w:sz w:val="21"/>
                <w:szCs w:val="21"/>
              </w:rPr>
              <w:t>升压站拟建场址南侧</w:t>
            </w:r>
            <w:r>
              <w:rPr>
                <w:spacing w:val="4"/>
                <w:sz w:val="21"/>
                <w:szCs w:val="21"/>
              </w:rPr>
              <w:t xml:space="preserve"> 场界外5m处(2#)</w:t>
            </w:r>
          </w:p>
        </w:tc>
        <w:tc>
          <w:tcPr>
            <w:tcW w:w="1029" w:type="dxa"/>
            <w:vAlign w:val="top"/>
          </w:tcPr>
          <w:p w14:paraId="1DCD0DFB">
            <w:pPr>
              <w:pStyle w:val="6"/>
              <w:spacing w:before="244" w:line="239" w:lineRule="auto"/>
              <w:ind w:left="295"/>
              <w:rPr>
                <w:sz w:val="21"/>
                <w:szCs w:val="21"/>
              </w:rPr>
            </w:pPr>
            <w:r>
              <w:rPr>
                <w:spacing w:val="-2"/>
                <w:sz w:val="21"/>
                <w:szCs w:val="21"/>
              </w:rPr>
              <w:t>6.06</w:t>
            </w:r>
          </w:p>
        </w:tc>
        <w:tc>
          <w:tcPr>
            <w:tcW w:w="979" w:type="dxa"/>
            <w:vAlign w:val="top"/>
          </w:tcPr>
          <w:p w14:paraId="008F8A82">
            <w:pPr>
              <w:pStyle w:val="6"/>
              <w:spacing w:before="244"/>
              <w:ind w:left="275"/>
              <w:rPr>
                <w:sz w:val="21"/>
                <w:szCs w:val="21"/>
              </w:rPr>
            </w:pPr>
            <w:r>
              <w:rPr>
                <w:spacing w:val="-2"/>
                <w:sz w:val="21"/>
                <w:szCs w:val="21"/>
              </w:rPr>
              <w:t>4000</w:t>
            </w:r>
          </w:p>
        </w:tc>
        <w:tc>
          <w:tcPr>
            <w:tcW w:w="679" w:type="dxa"/>
            <w:vAlign w:val="top"/>
          </w:tcPr>
          <w:p w14:paraId="4C5C289D">
            <w:pPr>
              <w:pStyle w:val="6"/>
              <w:spacing w:before="224" w:line="220" w:lineRule="auto"/>
              <w:ind w:left="126"/>
              <w:rPr>
                <w:sz w:val="21"/>
                <w:szCs w:val="21"/>
              </w:rPr>
            </w:pPr>
            <w:r>
              <w:rPr>
                <w:spacing w:val="-2"/>
                <w:sz w:val="21"/>
                <w:szCs w:val="21"/>
              </w:rPr>
              <w:t>达标</w:t>
            </w:r>
          </w:p>
        </w:tc>
        <w:tc>
          <w:tcPr>
            <w:tcW w:w="929" w:type="dxa"/>
            <w:vAlign w:val="top"/>
          </w:tcPr>
          <w:p w14:paraId="3A7EB4BE">
            <w:pPr>
              <w:pStyle w:val="6"/>
              <w:spacing w:before="244" w:line="239" w:lineRule="auto"/>
              <w:ind w:left="197"/>
              <w:rPr>
                <w:sz w:val="21"/>
                <w:szCs w:val="21"/>
              </w:rPr>
            </w:pPr>
            <w:r>
              <w:rPr>
                <w:spacing w:val="-2"/>
                <w:sz w:val="21"/>
                <w:szCs w:val="21"/>
              </w:rPr>
              <w:t>0.065</w:t>
            </w:r>
          </w:p>
        </w:tc>
        <w:tc>
          <w:tcPr>
            <w:tcW w:w="839" w:type="dxa"/>
            <w:vAlign w:val="top"/>
          </w:tcPr>
          <w:p w14:paraId="450F180F">
            <w:pPr>
              <w:pStyle w:val="6"/>
              <w:spacing w:before="244"/>
              <w:ind w:left="258"/>
              <w:rPr>
                <w:sz w:val="21"/>
                <w:szCs w:val="21"/>
              </w:rPr>
            </w:pPr>
            <w:r>
              <w:rPr>
                <w:spacing w:val="-6"/>
                <w:sz w:val="21"/>
                <w:szCs w:val="21"/>
              </w:rPr>
              <w:t>100</w:t>
            </w:r>
          </w:p>
        </w:tc>
        <w:tc>
          <w:tcPr>
            <w:tcW w:w="764" w:type="dxa"/>
            <w:vAlign w:val="top"/>
          </w:tcPr>
          <w:p w14:paraId="5EA7B99A">
            <w:pPr>
              <w:pStyle w:val="6"/>
              <w:spacing w:before="224" w:line="220" w:lineRule="auto"/>
              <w:ind w:left="169"/>
              <w:rPr>
                <w:sz w:val="21"/>
                <w:szCs w:val="21"/>
              </w:rPr>
            </w:pPr>
            <w:r>
              <w:rPr>
                <w:spacing w:val="-2"/>
                <w:sz w:val="21"/>
                <w:szCs w:val="21"/>
              </w:rPr>
              <w:t>达标</w:t>
            </w:r>
          </w:p>
        </w:tc>
      </w:tr>
      <w:tr w14:paraId="4EA8E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073" w:type="dxa"/>
            <w:vMerge w:val="continue"/>
            <w:tcBorders>
              <w:top w:val="nil"/>
              <w:bottom w:val="nil"/>
            </w:tcBorders>
            <w:vAlign w:val="top"/>
          </w:tcPr>
          <w:p w14:paraId="565C9273">
            <w:pPr>
              <w:rPr>
                <w:rFonts w:ascii="Arial"/>
                <w:sz w:val="21"/>
              </w:rPr>
            </w:pPr>
          </w:p>
        </w:tc>
        <w:tc>
          <w:tcPr>
            <w:tcW w:w="2147" w:type="dxa"/>
            <w:vAlign w:val="top"/>
          </w:tcPr>
          <w:p w14:paraId="2C4656E0">
            <w:pPr>
              <w:pStyle w:val="6"/>
              <w:spacing w:before="64" w:line="239" w:lineRule="auto"/>
              <w:ind w:left="330" w:right="110" w:hanging="209"/>
              <w:rPr>
                <w:sz w:val="21"/>
                <w:szCs w:val="21"/>
              </w:rPr>
            </w:pPr>
            <w:r>
              <w:rPr>
                <w:spacing w:val="1"/>
                <w:sz w:val="21"/>
                <w:szCs w:val="21"/>
              </w:rPr>
              <w:t>升压站拟建场址西侧</w:t>
            </w:r>
            <w:r>
              <w:rPr>
                <w:spacing w:val="4"/>
                <w:sz w:val="21"/>
                <w:szCs w:val="21"/>
              </w:rPr>
              <w:t xml:space="preserve"> 场界外5m处(3#)</w:t>
            </w:r>
          </w:p>
        </w:tc>
        <w:tc>
          <w:tcPr>
            <w:tcW w:w="1029" w:type="dxa"/>
            <w:vAlign w:val="top"/>
          </w:tcPr>
          <w:p w14:paraId="3D736D08">
            <w:pPr>
              <w:pStyle w:val="6"/>
              <w:spacing w:before="236" w:line="239" w:lineRule="auto"/>
              <w:ind w:left="295"/>
              <w:rPr>
                <w:sz w:val="21"/>
                <w:szCs w:val="21"/>
              </w:rPr>
            </w:pPr>
            <w:r>
              <w:rPr>
                <w:spacing w:val="-3"/>
                <w:sz w:val="21"/>
                <w:szCs w:val="21"/>
              </w:rPr>
              <w:t>2.28</w:t>
            </w:r>
          </w:p>
        </w:tc>
        <w:tc>
          <w:tcPr>
            <w:tcW w:w="979" w:type="dxa"/>
            <w:vAlign w:val="top"/>
          </w:tcPr>
          <w:p w14:paraId="751330A5">
            <w:pPr>
              <w:pStyle w:val="6"/>
              <w:spacing w:before="236"/>
              <w:ind w:left="275"/>
              <w:rPr>
                <w:sz w:val="21"/>
                <w:szCs w:val="21"/>
              </w:rPr>
            </w:pPr>
            <w:r>
              <w:rPr>
                <w:spacing w:val="-2"/>
                <w:sz w:val="21"/>
                <w:szCs w:val="21"/>
              </w:rPr>
              <w:t>4000</w:t>
            </w:r>
          </w:p>
        </w:tc>
        <w:tc>
          <w:tcPr>
            <w:tcW w:w="679" w:type="dxa"/>
            <w:vAlign w:val="top"/>
          </w:tcPr>
          <w:p w14:paraId="60D8A446">
            <w:pPr>
              <w:pStyle w:val="6"/>
              <w:spacing w:before="216" w:line="220" w:lineRule="auto"/>
              <w:ind w:left="126"/>
              <w:rPr>
                <w:sz w:val="21"/>
                <w:szCs w:val="21"/>
              </w:rPr>
            </w:pPr>
            <w:r>
              <w:rPr>
                <w:spacing w:val="-2"/>
                <w:sz w:val="21"/>
                <w:szCs w:val="21"/>
              </w:rPr>
              <w:t>达标</w:t>
            </w:r>
          </w:p>
        </w:tc>
        <w:tc>
          <w:tcPr>
            <w:tcW w:w="929" w:type="dxa"/>
            <w:vAlign w:val="top"/>
          </w:tcPr>
          <w:p w14:paraId="715981BB">
            <w:pPr>
              <w:pStyle w:val="6"/>
              <w:spacing w:before="236" w:line="239" w:lineRule="auto"/>
              <w:ind w:left="257"/>
              <w:rPr>
                <w:sz w:val="21"/>
                <w:szCs w:val="21"/>
              </w:rPr>
            </w:pPr>
            <w:r>
              <w:rPr>
                <w:spacing w:val="-2"/>
                <w:sz w:val="21"/>
                <w:szCs w:val="21"/>
              </w:rPr>
              <w:t>0.064</w:t>
            </w:r>
          </w:p>
        </w:tc>
        <w:tc>
          <w:tcPr>
            <w:tcW w:w="839" w:type="dxa"/>
            <w:vAlign w:val="top"/>
          </w:tcPr>
          <w:p w14:paraId="197AB787">
            <w:pPr>
              <w:pStyle w:val="6"/>
              <w:spacing w:before="236"/>
              <w:ind w:left="258"/>
              <w:rPr>
                <w:sz w:val="21"/>
                <w:szCs w:val="21"/>
              </w:rPr>
            </w:pPr>
            <w:r>
              <w:rPr>
                <w:spacing w:val="-6"/>
                <w:sz w:val="21"/>
                <w:szCs w:val="21"/>
              </w:rPr>
              <w:t>100</w:t>
            </w:r>
          </w:p>
        </w:tc>
        <w:tc>
          <w:tcPr>
            <w:tcW w:w="764" w:type="dxa"/>
            <w:vAlign w:val="top"/>
          </w:tcPr>
          <w:p w14:paraId="0E0900A1">
            <w:pPr>
              <w:pStyle w:val="6"/>
              <w:spacing w:before="216" w:line="220" w:lineRule="auto"/>
              <w:ind w:left="169"/>
              <w:rPr>
                <w:sz w:val="21"/>
                <w:szCs w:val="21"/>
              </w:rPr>
            </w:pPr>
            <w:r>
              <w:rPr>
                <w:spacing w:val="-2"/>
                <w:sz w:val="21"/>
                <w:szCs w:val="21"/>
              </w:rPr>
              <w:t>达标</w:t>
            </w:r>
          </w:p>
        </w:tc>
      </w:tr>
      <w:tr w14:paraId="2F782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073" w:type="dxa"/>
            <w:vMerge w:val="continue"/>
            <w:tcBorders>
              <w:top w:val="nil"/>
            </w:tcBorders>
            <w:vAlign w:val="top"/>
          </w:tcPr>
          <w:p w14:paraId="44F9C45E">
            <w:pPr>
              <w:rPr>
                <w:rFonts w:ascii="Arial"/>
                <w:sz w:val="21"/>
              </w:rPr>
            </w:pPr>
          </w:p>
        </w:tc>
        <w:tc>
          <w:tcPr>
            <w:tcW w:w="2147" w:type="dxa"/>
            <w:vAlign w:val="top"/>
          </w:tcPr>
          <w:p w14:paraId="29EC9495">
            <w:pPr>
              <w:pStyle w:val="6"/>
              <w:spacing w:before="77"/>
              <w:ind w:left="330" w:right="110" w:hanging="209"/>
              <w:rPr>
                <w:sz w:val="21"/>
                <w:szCs w:val="21"/>
              </w:rPr>
            </w:pPr>
            <w:r>
              <w:rPr>
                <w:spacing w:val="1"/>
                <w:sz w:val="21"/>
                <w:szCs w:val="21"/>
              </w:rPr>
              <w:t>升压站拟建场址北侧</w:t>
            </w:r>
            <w:r>
              <w:rPr>
                <w:spacing w:val="4"/>
                <w:sz w:val="21"/>
                <w:szCs w:val="21"/>
              </w:rPr>
              <w:t xml:space="preserve"> 场界外5m处(4#)</w:t>
            </w:r>
          </w:p>
        </w:tc>
        <w:tc>
          <w:tcPr>
            <w:tcW w:w="1029" w:type="dxa"/>
            <w:vAlign w:val="top"/>
          </w:tcPr>
          <w:p w14:paraId="248B78C0">
            <w:pPr>
              <w:pStyle w:val="6"/>
              <w:spacing w:before="270" w:line="184" w:lineRule="auto"/>
              <w:ind w:left="404"/>
              <w:rPr>
                <w:sz w:val="21"/>
                <w:szCs w:val="21"/>
              </w:rPr>
            </w:pPr>
            <w:r>
              <w:rPr>
                <w:spacing w:val="-6"/>
                <w:sz w:val="21"/>
                <w:szCs w:val="21"/>
              </w:rPr>
              <w:t>1L</w:t>
            </w:r>
          </w:p>
        </w:tc>
        <w:tc>
          <w:tcPr>
            <w:tcW w:w="979" w:type="dxa"/>
            <w:vAlign w:val="top"/>
          </w:tcPr>
          <w:p w14:paraId="70FC8924">
            <w:pPr>
              <w:pStyle w:val="6"/>
              <w:spacing w:before="238"/>
              <w:ind w:left="275"/>
              <w:rPr>
                <w:sz w:val="21"/>
                <w:szCs w:val="21"/>
              </w:rPr>
            </w:pPr>
            <w:r>
              <w:rPr>
                <w:spacing w:val="-2"/>
                <w:sz w:val="21"/>
                <w:szCs w:val="21"/>
              </w:rPr>
              <w:t>4000</w:t>
            </w:r>
          </w:p>
        </w:tc>
        <w:tc>
          <w:tcPr>
            <w:tcW w:w="679" w:type="dxa"/>
            <w:vAlign w:val="top"/>
          </w:tcPr>
          <w:p w14:paraId="485D91BD">
            <w:pPr>
              <w:pStyle w:val="6"/>
              <w:spacing w:before="218" w:line="220" w:lineRule="auto"/>
              <w:ind w:left="126"/>
              <w:rPr>
                <w:sz w:val="21"/>
                <w:szCs w:val="21"/>
              </w:rPr>
            </w:pPr>
            <w:r>
              <w:rPr>
                <w:spacing w:val="-2"/>
                <w:sz w:val="21"/>
                <w:szCs w:val="21"/>
              </w:rPr>
              <w:t>达标</w:t>
            </w:r>
          </w:p>
        </w:tc>
        <w:tc>
          <w:tcPr>
            <w:tcW w:w="929" w:type="dxa"/>
            <w:vAlign w:val="top"/>
          </w:tcPr>
          <w:p w14:paraId="3A6F3CA4">
            <w:pPr>
              <w:pStyle w:val="6"/>
              <w:spacing w:before="238" w:line="239" w:lineRule="auto"/>
              <w:ind w:left="197"/>
              <w:rPr>
                <w:sz w:val="21"/>
                <w:szCs w:val="21"/>
              </w:rPr>
            </w:pPr>
            <w:r>
              <w:rPr>
                <w:spacing w:val="-2"/>
                <w:sz w:val="21"/>
                <w:szCs w:val="21"/>
              </w:rPr>
              <w:t>0.067</w:t>
            </w:r>
          </w:p>
        </w:tc>
        <w:tc>
          <w:tcPr>
            <w:tcW w:w="839" w:type="dxa"/>
            <w:vAlign w:val="top"/>
          </w:tcPr>
          <w:p w14:paraId="6B029890">
            <w:pPr>
              <w:pStyle w:val="6"/>
              <w:spacing w:before="238"/>
              <w:ind w:left="258"/>
              <w:rPr>
                <w:sz w:val="21"/>
                <w:szCs w:val="21"/>
              </w:rPr>
            </w:pPr>
            <w:r>
              <w:rPr>
                <w:spacing w:val="-6"/>
                <w:sz w:val="21"/>
                <w:szCs w:val="21"/>
              </w:rPr>
              <w:t>100</w:t>
            </w:r>
          </w:p>
        </w:tc>
        <w:tc>
          <w:tcPr>
            <w:tcW w:w="764" w:type="dxa"/>
            <w:vAlign w:val="top"/>
          </w:tcPr>
          <w:p w14:paraId="18711663">
            <w:pPr>
              <w:pStyle w:val="6"/>
              <w:spacing w:before="218" w:line="220" w:lineRule="auto"/>
              <w:ind w:left="169"/>
              <w:rPr>
                <w:sz w:val="21"/>
                <w:szCs w:val="21"/>
              </w:rPr>
            </w:pPr>
            <w:r>
              <w:rPr>
                <w:spacing w:val="-2"/>
                <w:sz w:val="21"/>
                <w:szCs w:val="21"/>
              </w:rPr>
              <w:t>达标</w:t>
            </w:r>
          </w:p>
        </w:tc>
      </w:tr>
    </w:tbl>
    <w:p w14:paraId="452C520E">
      <w:pPr>
        <w:spacing w:before="114" w:line="355" w:lineRule="auto"/>
        <w:ind w:left="44" w:right="80" w:firstLine="490"/>
        <w:jc w:val="both"/>
        <w:rPr>
          <w:rFonts w:ascii="宋体" w:hAnsi="宋体" w:eastAsia="宋体" w:cs="宋体"/>
          <w:sz w:val="24"/>
          <w:szCs w:val="24"/>
        </w:rPr>
      </w:pPr>
      <w:r>
        <w:rPr>
          <w:rFonts w:ascii="宋体" w:hAnsi="宋体" w:eastAsia="宋体" w:cs="宋体"/>
          <w:spacing w:val="-3"/>
          <w:sz w:val="24"/>
          <w:szCs w:val="24"/>
        </w:rPr>
        <w:t>根据监测结果，本项目各测量点的工频电场强度、工频磁感应强度现状测量</w:t>
      </w:r>
      <w:r>
        <w:rPr>
          <w:rFonts w:ascii="宋体" w:hAnsi="宋体" w:eastAsia="宋体" w:cs="宋体"/>
          <w:spacing w:val="17"/>
          <w:sz w:val="24"/>
          <w:szCs w:val="24"/>
        </w:rPr>
        <w:t xml:space="preserve"> </w:t>
      </w:r>
      <w:r>
        <w:rPr>
          <w:rFonts w:ascii="宋体" w:hAnsi="宋体" w:eastAsia="宋体" w:cs="宋体"/>
          <w:spacing w:val="-3"/>
          <w:sz w:val="24"/>
          <w:szCs w:val="24"/>
        </w:rPr>
        <w:t>最大值分别为6.06</w:t>
      </w:r>
      <w:r>
        <w:rPr>
          <w:rFonts w:ascii="Times New Roman" w:hAnsi="Times New Roman" w:eastAsia="Times New Roman" w:cs="Times New Roman"/>
          <w:spacing w:val="-3"/>
          <w:sz w:val="24"/>
          <w:szCs w:val="24"/>
        </w:rPr>
        <w:t>V/m</w:t>
      </w:r>
      <w:r>
        <w:rPr>
          <w:rFonts w:ascii="宋体" w:hAnsi="宋体" w:eastAsia="宋体" w:cs="宋体"/>
          <w:spacing w:val="-3"/>
          <w:sz w:val="24"/>
          <w:szCs w:val="24"/>
        </w:rPr>
        <w:t>和0.069</w:t>
      </w:r>
      <w:r>
        <w:rPr>
          <w:rFonts w:ascii="宋体" w:hAnsi="宋体" w:eastAsia="宋体" w:cs="宋体"/>
          <w:spacing w:val="-52"/>
          <w:sz w:val="24"/>
          <w:szCs w:val="24"/>
        </w:rPr>
        <w:t xml:space="preserve"> </w:t>
      </w:r>
      <w:r>
        <w:rPr>
          <w:rFonts w:ascii="宋体" w:hAnsi="宋体" w:eastAsia="宋体" w:cs="宋体"/>
          <w:spacing w:val="-3"/>
          <w:sz w:val="24"/>
          <w:szCs w:val="24"/>
        </w:rPr>
        <w:t>μ</w:t>
      </w:r>
      <w:r>
        <w:rPr>
          <w:rFonts w:ascii="Times New Roman" w:hAnsi="Times New Roman" w:eastAsia="Times New Roman" w:cs="Times New Roman"/>
          <w:spacing w:val="-3"/>
          <w:sz w:val="24"/>
          <w:szCs w:val="24"/>
        </w:rPr>
        <w:t>T</w:t>
      </w:r>
      <w:r>
        <w:rPr>
          <w:rFonts w:ascii="宋体" w:hAnsi="宋体" w:eastAsia="宋体" w:cs="宋体"/>
          <w:spacing w:val="-3"/>
          <w:sz w:val="24"/>
          <w:szCs w:val="24"/>
        </w:rPr>
        <w:t>。本项</w:t>
      </w:r>
      <w:r>
        <w:rPr>
          <w:rFonts w:ascii="宋体" w:hAnsi="宋体" w:eastAsia="宋体" w:cs="宋体"/>
          <w:spacing w:val="-4"/>
          <w:sz w:val="24"/>
          <w:szCs w:val="24"/>
        </w:rPr>
        <w:t>目相关测量点位处的工频电场强度及工</w:t>
      </w:r>
      <w:r>
        <w:rPr>
          <w:rFonts w:ascii="宋体" w:hAnsi="宋体" w:eastAsia="宋体" w:cs="宋体"/>
          <w:sz w:val="24"/>
          <w:szCs w:val="24"/>
        </w:rPr>
        <w:t xml:space="preserve"> 频磁感应强度现状测量结果均满足《电磁环境控制限值》</w:t>
      </w:r>
      <w:r>
        <w:rPr>
          <w:rFonts w:ascii="宋体" w:hAnsi="宋体" w:eastAsia="宋体" w:cs="宋体"/>
          <w:spacing w:val="-49"/>
          <w:sz w:val="24"/>
          <w:szCs w:val="24"/>
        </w:rPr>
        <w:t xml:space="preserve"> </w:t>
      </w:r>
      <w:r>
        <w:rPr>
          <w:rFonts w:ascii="宋体" w:hAnsi="宋体" w:eastAsia="宋体" w:cs="宋体"/>
          <w:sz w:val="24"/>
          <w:szCs w:val="24"/>
        </w:rPr>
        <w:t>(</w:t>
      </w:r>
      <w:r>
        <w:rPr>
          <w:rFonts w:ascii="Times New Roman" w:hAnsi="Times New Roman" w:eastAsia="Times New Roman" w:cs="Times New Roman"/>
          <w:sz w:val="24"/>
          <w:szCs w:val="24"/>
        </w:rPr>
        <w:t>GB8702-2014</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限值</w:t>
      </w:r>
      <w:r>
        <w:rPr>
          <w:rFonts w:ascii="宋体" w:hAnsi="宋体" w:eastAsia="宋体" w:cs="宋体"/>
          <w:sz w:val="24"/>
          <w:szCs w:val="24"/>
        </w:rPr>
        <w:t xml:space="preserve"> </w:t>
      </w:r>
      <w:r>
        <w:rPr>
          <w:rFonts w:ascii="宋体" w:hAnsi="宋体" w:eastAsia="宋体" w:cs="宋体"/>
          <w:spacing w:val="-1"/>
          <w:sz w:val="24"/>
          <w:szCs w:val="24"/>
        </w:rPr>
        <w:t>要求，表明本项目所在区域电磁环境质量现状良好。</w:t>
      </w:r>
    </w:p>
    <w:p w14:paraId="5F8F5CB5">
      <w:pPr>
        <w:spacing w:before="82" w:line="220" w:lineRule="auto"/>
        <w:ind w:left="44"/>
        <w:rPr>
          <w:rFonts w:ascii="宋体" w:hAnsi="宋体" w:eastAsia="宋体" w:cs="宋体"/>
          <w:sz w:val="28"/>
          <w:szCs w:val="28"/>
        </w:rPr>
      </w:pPr>
      <w:r>
        <w:rPr>
          <w:rFonts w:ascii="宋体" w:hAnsi="宋体" w:eastAsia="宋体" w:cs="宋体"/>
          <w:spacing w:val="-4"/>
          <w:sz w:val="28"/>
          <w:szCs w:val="28"/>
        </w:rPr>
        <w:t>3.2</w:t>
      </w:r>
      <w:r>
        <w:rPr>
          <w:rFonts w:ascii="宋体" w:hAnsi="宋体" w:eastAsia="宋体" w:cs="宋体"/>
          <w:spacing w:val="-30"/>
          <w:sz w:val="28"/>
          <w:szCs w:val="28"/>
        </w:rPr>
        <w:t xml:space="preserve"> </w:t>
      </w:r>
      <w:r>
        <w:rPr>
          <w:rFonts w:ascii="宋体" w:hAnsi="宋体" w:eastAsia="宋体" w:cs="宋体"/>
          <w:b/>
          <w:bCs/>
          <w:spacing w:val="-4"/>
          <w:sz w:val="28"/>
          <w:szCs w:val="28"/>
        </w:rPr>
        <w:t>运营期电磁环境影响分析</w:t>
      </w:r>
    </w:p>
    <w:p w14:paraId="4165F322">
      <w:pPr>
        <w:spacing w:before="247" w:line="352" w:lineRule="auto"/>
        <w:ind w:left="44" w:right="60" w:firstLine="490"/>
        <w:jc w:val="both"/>
        <w:rPr>
          <w:rFonts w:ascii="宋体" w:hAnsi="宋体" w:eastAsia="宋体" w:cs="宋体"/>
          <w:sz w:val="24"/>
          <w:szCs w:val="24"/>
        </w:rPr>
      </w:pPr>
      <w:r>
        <w:rPr>
          <w:rFonts w:ascii="宋体" w:hAnsi="宋体" w:eastAsia="宋体" w:cs="宋体"/>
          <w:spacing w:val="3"/>
          <w:sz w:val="24"/>
          <w:szCs w:val="24"/>
        </w:rPr>
        <w:t>项目110</w:t>
      </w:r>
      <w:r>
        <w:rPr>
          <w:rFonts w:ascii="Times New Roman" w:hAnsi="Times New Roman" w:eastAsia="Times New Roman" w:cs="Times New Roman"/>
          <w:sz w:val="24"/>
          <w:szCs w:val="24"/>
        </w:rPr>
        <w:t>kV</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升压站为110</w:t>
      </w:r>
      <w:r>
        <w:rPr>
          <w:rFonts w:ascii="Times New Roman" w:hAnsi="Times New Roman" w:eastAsia="Times New Roman" w:cs="Times New Roman"/>
          <w:sz w:val="24"/>
          <w:szCs w:val="24"/>
        </w:rPr>
        <w:t>kV</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户外升压站，电磁环境影响评价等级为二级，</w:t>
      </w:r>
      <w:r>
        <w:rPr>
          <w:rFonts w:ascii="宋体" w:hAnsi="宋体" w:eastAsia="宋体" w:cs="宋体"/>
          <w:spacing w:val="10"/>
          <w:sz w:val="24"/>
          <w:szCs w:val="24"/>
        </w:rPr>
        <w:t xml:space="preserve"> </w:t>
      </w:r>
      <w:r>
        <w:rPr>
          <w:rFonts w:ascii="宋体" w:hAnsi="宋体" w:eastAsia="宋体" w:cs="宋体"/>
          <w:spacing w:val="-1"/>
          <w:sz w:val="24"/>
          <w:szCs w:val="24"/>
        </w:rPr>
        <w:t>根据《环境影响评价技术导则输变电》</w:t>
      </w:r>
      <w:r>
        <w:rPr>
          <w:rFonts w:ascii="宋体" w:hAnsi="宋体" w:eastAsia="宋体" w:cs="宋体"/>
          <w:spacing w:val="70"/>
          <w:sz w:val="24"/>
          <w:szCs w:val="24"/>
        </w:rPr>
        <w:t xml:space="preserve"> </w:t>
      </w:r>
      <w:r>
        <w:rPr>
          <w:rFonts w:ascii="宋体" w:hAnsi="宋体" w:eastAsia="宋体" w:cs="宋体"/>
          <w:spacing w:val="-1"/>
          <w:sz w:val="24"/>
          <w:szCs w:val="24"/>
        </w:rPr>
        <w:t>(</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HJ2</w:t>
      </w:r>
      <w:r>
        <w:rPr>
          <w:rFonts w:ascii="Times New Roman" w:hAnsi="Times New Roman" w:eastAsia="Times New Roman" w:cs="Times New Roman"/>
          <w:spacing w:val="-2"/>
          <w:sz w:val="24"/>
          <w:szCs w:val="24"/>
        </w:rPr>
        <w:t>4-2020)</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中二级评价的基本要求，</w:t>
      </w:r>
      <w:r>
        <w:rPr>
          <w:rFonts w:ascii="宋体" w:hAnsi="宋体" w:eastAsia="宋体" w:cs="宋体"/>
          <w:sz w:val="24"/>
          <w:szCs w:val="24"/>
        </w:rPr>
        <w:t xml:space="preserve"> </w:t>
      </w:r>
      <w:r>
        <w:rPr>
          <w:rFonts w:ascii="宋体" w:hAnsi="宋体" w:eastAsia="宋体" w:cs="宋体"/>
          <w:spacing w:val="-3"/>
          <w:sz w:val="24"/>
          <w:szCs w:val="24"/>
        </w:rPr>
        <w:t>升压站电磁环境影响预测应采用类比监测的方式，因此本项目类比同类项目电磁</w:t>
      </w:r>
      <w:r>
        <w:rPr>
          <w:rFonts w:ascii="宋体" w:hAnsi="宋体" w:eastAsia="宋体" w:cs="宋体"/>
          <w:spacing w:val="4"/>
          <w:sz w:val="24"/>
          <w:szCs w:val="24"/>
        </w:rPr>
        <w:t xml:space="preserve"> </w:t>
      </w:r>
      <w:r>
        <w:rPr>
          <w:rFonts w:ascii="宋体" w:hAnsi="宋体" w:eastAsia="宋体" w:cs="宋体"/>
          <w:spacing w:val="-1"/>
          <w:sz w:val="24"/>
          <w:szCs w:val="24"/>
        </w:rPr>
        <w:t>辐射监测结果进行影响评价。</w:t>
      </w:r>
    </w:p>
    <w:p w14:paraId="0146D069">
      <w:pPr>
        <w:spacing w:before="40" w:line="219" w:lineRule="auto"/>
        <w:ind w:left="664"/>
        <w:rPr>
          <w:rFonts w:ascii="宋体" w:hAnsi="宋体" w:eastAsia="宋体" w:cs="宋体"/>
          <w:sz w:val="24"/>
          <w:szCs w:val="24"/>
        </w:rPr>
      </w:pPr>
      <w:r>
        <w:rPr>
          <w:rFonts w:ascii="宋体" w:hAnsi="宋体" w:eastAsia="宋体" w:cs="宋体"/>
          <w:spacing w:val="10"/>
          <w:sz w:val="24"/>
          <w:szCs w:val="24"/>
        </w:rPr>
        <w:t>(1)类比对象选取原则</w:t>
      </w:r>
    </w:p>
    <w:p w14:paraId="33D34959">
      <w:pPr>
        <w:spacing w:before="185" w:line="355" w:lineRule="auto"/>
        <w:ind w:left="44" w:firstLine="490"/>
        <w:rPr>
          <w:rFonts w:ascii="宋体" w:hAnsi="宋体" w:eastAsia="宋体" w:cs="宋体"/>
          <w:sz w:val="24"/>
          <w:szCs w:val="24"/>
        </w:rPr>
      </w:pPr>
      <w:r>
        <w:rPr>
          <w:rFonts w:ascii="宋体" w:hAnsi="宋体" w:eastAsia="宋体" w:cs="宋体"/>
          <w:spacing w:val="-7"/>
          <w:sz w:val="24"/>
          <w:szCs w:val="24"/>
        </w:rPr>
        <w:t>根据《电磁学》中关于电磁场相关理论，工频电场强度主要取决于电</w:t>
      </w:r>
      <w:r>
        <w:rPr>
          <w:rFonts w:ascii="宋体" w:hAnsi="宋体" w:eastAsia="宋体" w:cs="宋体"/>
          <w:spacing w:val="-8"/>
          <w:sz w:val="24"/>
          <w:szCs w:val="24"/>
        </w:rPr>
        <w:t>压等级，</w:t>
      </w:r>
      <w:r>
        <w:rPr>
          <w:rFonts w:ascii="宋体" w:hAnsi="宋体" w:eastAsia="宋体" w:cs="宋体"/>
          <w:sz w:val="24"/>
          <w:szCs w:val="24"/>
        </w:rPr>
        <w:t xml:space="preserve"> </w:t>
      </w:r>
      <w:r>
        <w:rPr>
          <w:rFonts w:ascii="宋体" w:hAnsi="宋体" w:eastAsia="宋体" w:cs="宋体"/>
          <w:spacing w:val="-3"/>
          <w:sz w:val="24"/>
          <w:szCs w:val="24"/>
        </w:rPr>
        <w:t>与周围环境、植被及地理地形因子等屏蔽条件密切相关；工频磁感应强度主要取</w:t>
      </w:r>
      <w:r>
        <w:rPr>
          <w:rFonts w:ascii="宋体" w:hAnsi="宋体" w:eastAsia="宋体" w:cs="宋体"/>
          <w:spacing w:val="2"/>
          <w:sz w:val="24"/>
          <w:szCs w:val="24"/>
        </w:rPr>
        <w:t xml:space="preserve">  </w:t>
      </w:r>
      <w:r>
        <w:rPr>
          <w:rFonts w:ascii="宋体" w:hAnsi="宋体" w:eastAsia="宋体" w:cs="宋体"/>
          <w:spacing w:val="-4"/>
          <w:sz w:val="24"/>
          <w:szCs w:val="24"/>
        </w:rPr>
        <w:t>决于电流强度。</w:t>
      </w:r>
    </w:p>
    <w:p w14:paraId="016B0A2F">
      <w:pPr>
        <w:spacing w:before="14" w:line="355" w:lineRule="auto"/>
        <w:ind w:left="44" w:right="98" w:firstLine="490"/>
        <w:jc w:val="both"/>
        <w:rPr>
          <w:rFonts w:ascii="宋体" w:hAnsi="宋体" w:eastAsia="宋体" w:cs="宋体"/>
          <w:sz w:val="24"/>
          <w:szCs w:val="24"/>
        </w:rPr>
      </w:pPr>
      <w:r>
        <w:rPr>
          <w:rFonts w:ascii="宋体" w:hAnsi="宋体" w:eastAsia="宋体" w:cs="宋体"/>
          <w:spacing w:val="-3"/>
          <w:sz w:val="24"/>
          <w:szCs w:val="24"/>
        </w:rPr>
        <w:t>对于变电站围墙外的工频电场，在最近的高压带电构架布置一致、电压相同</w:t>
      </w:r>
      <w:r>
        <w:rPr>
          <w:rFonts w:ascii="宋体" w:hAnsi="宋体" w:eastAsia="宋体" w:cs="宋体"/>
          <w:sz w:val="24"/>
          <w:szCs w:val="24"/>
        </w:rPr>
        <w:t xml:space="preserve"> </w:t>
      </w:r>
      <w:r>
        <w:rPr>
          <w:rFonts w:ascii="宋体" w:hAnsi="宋体" w:eastAsia="宋体" w:cs="宋体"/>
          <w:spacing w:val="-3"/>
          <w:sz w:val="24"/>
          <w:szCs w:val="24"/>
        </w:rPr>
        <w:t>的情况下，可以认为具有可比性；对于变电站围墙外的工频磁场，在最近的带电</w:t>
      </w:r>
      <w:r>
        <w:rPr>
          <w:rFonts w:ascii="宋体" w:hAnsi="宋体" w:eastAsia="宋体" w:cs="宋体"/>
          <w:spacing w:val="8"/>
          <w:sz w:val="24"/>
          <w:szCs w:val="24"/>
        </w:rPr>
        <w:t xml:space="preserve"> </w:t>
      </w:r>
      <w:r>
        <w:rPr>
          <w:rFonts w:ascii="宋体" w:hAnsi="宋体" w:eastAsia="宋体" w:cs="宋体"/>
          <w:spacing w:val="-3"/>
          <w:sz w:val="24"/>
          <w:szCs w:val="24"/>
        </w:rPr>
        <w:t>导体的布置和电流相同的情况下，可以认为具有可比性。但在实际情况中，工频</w:t>
      </w:r>
      <w:r>
        <w:rPr>
          <w:rFonts w:ascii="宋体" w:hAnsi="宋体" w:eastAsia="宋体" w:cs="宋体"/>
          <w:spacing w:val="3"/>
          <w:sz w:val="24"/>
          <w:szCs w:val="24"/>
        </w:rPr>
        <w:t xml:space="preserve"> </w:t>
      </w:r>
      <w:r>
        <w:rPr>
          <w:rFonts w:ascii="宋体" w:hAnsi="宋体" w:eastAsia="宋体" w:cs="宋体"/>
          <w:spacing w:val="-3"/>
          <w:sz w:val="24"/>
          <w:szCs w:val="24"/>
        </w:rPr>
        <w:t>电场的类比条件相对容易实现，因为变电站主设备和母线电压基本稳定，不会随</w:t>
      </w:r>
      <w:r>
        <w:rPr>
          <w:rFonts w:ascii="宋体" w:hAnsi="宋体" w:eastAsia="宋体" w:cs="宋体"/>
          <w:spacing w:val="7"/>
          <w:sz w:val="24"/>
          <w:szCs w:val="24"/>
        </w:rPr>
        <w:t xml:space="preserve"> </w:t>
      </w:r>
      <w:r>
        <w:rPr>
          <w:rFonts w:ascii="宋体" w:hAnsi="宋体" w:eastAsia="宋体" w:cs="宋体"/>
          <w:spacing w:val="-3"/>
          <w:sz w:val="24"/>
          <w:szCs w:val="24"/>
        </w:rPr>
        <w:t>时间和负荷的变化而产生大的变化；而产生工频磁场的电流却是随负荷变化而有</w:t>
      </w:r>
      <w:r>
        <w:rPr>
          <w:rFonts w:ascii="宋体" w:hAnsi="宋体" w:eastAsia="宋体" w:cs="宋体"/>
          <w:spacing w:val="6"/>
          <w:sz w:val="24"/>
          <w:szCs w:val="24"/>
        </w:rPr>
        <w:t xml:space="preserve"> </w:t>
      </w:r>
      <w:r>
        <w:rPr>
          <w:rFonts w:ascii="宋体" w:hAnsi="宋体" w:eastAsia="宋体" w:cs="宋体"/>
          <w:spacing w:val="-3"/>
          <w:sz w:val="24"/>
          <w:szCs w:val="24"/>
        </w:rPr>
        <w:t>较大的变化，因此工频磁场亦有相应的变化。</w:t>
      </w:r>
    </w:p>
    <w:p w14:paraId="5DF5E310">
      <w:pPr>
        <w:spacing w:before="42" w:line="354" w:lineRule="auto"/>
        <w:ind w:left="44" w:right="79" w:firstLine="490"/>
        <w:rPr>
          <w:rFonts w:ascii="宋体" w:hAnsi="宋体" w:eastAsia="宋体" w:cs="宋体"/>
          <w:sz w:val="24"/>
          <w:szCs w:val="24"/>
        </w:rPr>
      </w:pPr>
      <w:r>
        <w:rPr>
          <w:rFonts w:ascii="宋体" w:hAnsi="宋体" w:eastAsia="宋体" w:cs="宋体"/>
          <w:spacing w:val="5"/>
          <w:sz w:val="24"/>
          <w:szCs w:val="24"/>
        </w:rPr>
        <w:t>根据对多个110</w:t>
      </w:r>
      <w:r>
        <w:rPr>
          <w:rFonts w:ascii="Times New Roman" w:hAnsi="Times New Roman" w:eastAsia="Times New Roman" w:cs="Times New Roman"/>
          <w:sz w:val="24"/>
          <w:szCs w:val="24"/>
        </w:rPr>
        <w:t>kV</w:t>
      </w:r>
      <w:r>
        <w:rPr>
          <w:rFonts w:ascii="Times New Roman" w:hAnsi="Times New Roman" w:eastAsia="Times New Roman" w:cs="Times New Roman"/>
          <w:spacing w:val="5"/>
          <w:sz w:val="24"/>
          <w:szCs w:val="24"/>
        </w:rPr>
        <w:t xml:space="preserve"> </w:t>
      </w:r>
      <w:r>
        <w:rPr>
          <w:rFonts w:ascii="宋体" w:hAnsi="宋体" w:eastAsia="宋体" w:cs="宋体"/>
          <w:spacing w:val="5"/>
          <w:sz w:val="24"/>
          <w:szCs w:val="24"/>
        </w:rPr>
        <w:t>变电站的监测结果分析，站外电磁环境影响程度主要受</w:t>
      </w:r>
      <w:r>
        <w:rPr>
          <w:rFonts w:ascii="宋体" w:hAnsi="宋体" w:eastAsia="宋体" w:cs="宋体"/>
          <w:sz w:val="24"/>
          <w:szCs w:val="24"/>
        </w:rPr>
        <w:t xml:space="preserve"> </w:t>
      </w:r>
      <w:r>
        <w:rPr>
          <w:rFonts w:ascii="宋体" w:hAnsi="宋体" w:eastAsia="宋体" w:cs="宋体"/>
          <w:spacing w:val="-3"/>
          <w:sz w:val="24"/>
          <w:szCs w:val="24"/>
        </w:rPr>
        <w:t>高压进出线等因素影响。</w:t>
      </w:r>
    </w:p>
    <w:p w14:paraId="6A65AE21">
      <w:pPr>
        <w:spacing w:line="219" w:lineRule="auto"/>
        <w:ind w:left="674"/>
        <w:rPr>
          <w:rFonts w:ascii="宋体" w:hAnsi="宋体" w:eastAsia="宋体" w:cs="宋体"/>
          <w:sz w:val="24"/>
          <w:szCs w:val="24"/>
        </w:rPr>
      </w:pPr>
      <w:r>
        <w:rPr>
          <w:rFonts w:ascii="宋体" w:hAnsi="宋体" w:eastAsia="宋体" w:cs="宋体"/>
          <w:spacing w:val="11"/>
          <w:sz w:val="24"/>
          <w:szCs w:val="24"/>
        </w:rPr>
        <w:t>(2)类比对象的选择</w:t>
      </w:r>
    </w:p>
    <w:p w14:paraId="40D475C5">
      <w:pPr>
        <w:spacing w:line="219" w:lineRule="auto"/>
        <w:rPr>
          <w:rFonts w:ascii="宋体" w:hAnsi="宋体" w:eastAsia="宋体" w:cs="宋体"/>
          <w:sz w:val="24"/>
          <w:szCs w:val="24"/>
        </w:rPr>
        <w:sectPr>
          <w:footerReference r:id="rId235" w:type="default"/>
          <w:pgSz w:w="11910" w:h="16830"/>
          <w:pgMar w:top="400" w:right="1740" w:bottom="1198" w:left="1715" w:header="0" w:footer="913" w:gutter="0"/>
          <w:cols w:space="720" w:num="1"/>
        </w:sectPr>
      </w:pPr>
    </w:p>
    <w:p w14:paraId="7C064E78">
      <w:pPr>
        <w:pStyle w:val="2"/>
        <w:spacing w:line="260" w:lineRule="auto"/>
      </w:pPr>
    </w:p>
    <w:p w14:paraId="21B09067">
      <w:pPr>
        <w:pStyle w:val="2"/>
        <w:spacing w:line="260" w:lineRule="auto"/>
      </w:pPr>
    </w:p>
    <w:p w14:paraId="4690571F">
      <w:pPr>
        <w:pStyle w:val="2"/>
        <w:spacing w:line="260" w:lineRule="auto"/>
      </w:pPr>
    </w:p>
    <w:p w14:paraId="35C4B229">
      <w:pPr>
        <w:pStyle w:val="2"/>
        <w:spacing w:line="260" w:lineRule="auto"/>
      </w:pPr>
    </w:p>
    <w:p w14:paraId="0B0B2AE2">
      <w:pPr>
        <w:spacing w:before="78" w:line="367" w:lineRule="auto"/>
        <w:ind w:left="504" w:right="464" w:firstLine="470"/>
        <w:rPr>
          <w:rFonts w:ascii="宋体" w:hAnsi="宋体" w:eastAsia="宋体" w:cs="宋体"/>
          <w:sz w:val="24"/>
          <w:szCs w:val="24"/>
        </w:rPr>
      </w:pPr>
      <w:r>
        <w:rPr>
          <w:rFonts w:ascii="宋体" w:hAnsi="宋体" w:eastAsia="宋体" w:cs="宋体"/>
          <w:color w:val="FF0000"/>
          <w:spacing w:val="1"/>
          <w:sz w:val="24"/>
          <w:szCs w:val="24"/>
        </w:rPr>
        <w:t>本项目升压站为110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11"/>
          <w:sz w:val="24"/>
          <w:szCs w:val="24"/>
        </w:rPr>
        <w:t xml:space="preserve"> </w:t>
      </w:r>
      <w:r>
        <w:rPr>
          <w:rFonts w:ascii="宋体" w:hAnsi="宋体" w:eastAsia="宋体" w:cs="宋体"/>
          <w:color w:val="FF0000"/>
          <w:spacing w:val="1"/>
          <w:sz w:val="24"/>
          <w:szCs w:val="24"/>
        </w:rPr>
        <w:t>升压站，主变容量为1×50</w:t>
      </w:r>
      <w:r>
        <w:rPr>
          <w:rFonts w:ascii="Times New Roman" w:hAnsi="Times New Roman" w:eastAsia="Times New Roman" w:cs="Times New Roman"/>
          <w:color w:val="FF0000"/>
          <w:sz w:val="24"/>
          <w:szCs w:val="24"/>
        </w:rPr>
        <w:t>MVA</w:t>
      </w:r>
      <w:r>
        <w:rPr>
          <w:rFonts w:ascii="Times New Roman" w:hAnsi="Times New Roman" w:eastAsia="Times New Roman" w:cs="Times New Roman"/>
          <w:color w:val="FF0000"/>
          <w:spacing w:val="1"/>
          <w:sz w:val="24"/>
          <w:szCs w:val="24"/>
        </w:rPr>
        <w:t>,</w:t>
      </w:r>
      <w:r>
        <w:rPr>
          <w:rFonts w:ascii="Times New Roman" w:hAnsi="Times New Roman" w:eastAsia="Times New Roman" w:cs="Times New Roman"/>
          <w:color w:val="FF0000"/>
          <w:spacing w:val="44"/>
          <w:w w:val="101"/>
          <w:sz w:val="24"/>
          <w:szCs w:val="24"/>
        </w:rPr>
        <w:t xml:space="preserve"> </w:t>
      </w:r>
      <w:r>
        <w:rPr>
          <w:rFonts w:ascii="宋体" w:hAnsi="宋体" w:eastAsia="宋体" w:cs="宋体"/>
          <w:color w:val="FF0000"/>
          <w:spacing w:val="1"/>
          <w:sz w:val="24"/>
          <w:szCs w:val="24"/>
        </w:rPr>
        <w:t>本次环评类比选择</w:t>
      </w:r>
      <w:r>
        <w:rPr>
          <w:rFonts w:ascii="宋体" w:hAnsi="宋体" w:eastAsia="宋体" w:cs="宋体"/>
          <w:color w:val="FF0000"/>
          <w:sz w:val="24"/>
          <w:szCs w:val="24"/>
        </w:rPr>
        <w:t xml:space="preserve"> </w:t>
      </w:r>
      <w:r>
        <w:rPr>
          <w:rFonts w:ascii="宋体" w:hAnsi="宋体" w:eastAsia="宋体" w:cs="宋体"/>
          <w:color w:val="FF0000"/>
          <w:spacing w:val="7"/>
          <w:sz w:val="24"/>
          <w:szCs w:val="24"/>
        </w:rPr>
        <w:t>云南省槟榔江猴桥水电站110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22"/>
          <w:sz w:val="24"/>
          <w:szCs w:val="24"/>
        </w:rPr>
        <w:t xml:space="preserve"> </w:t>
      </w:r>
      <w:r>
        <w:rPr>
          <w:rFonts w:ascii="宋体" w:hAnsi="宋体" w:eastAsia="宋体" w:cs="宋体"/>
          <w:color w:val="FF0000"/>
          <w:spacing w:val="7"/>
          <w:sz w:val="24"/>
          <w:szCs w:val="24"/>
        </w:rPr>
        <w:t>升压站，该工程已于20</w:t>
      </w:r>
      <w:r>
        <w:rPr>
          <w:rFonts w:ascii="宋体" w:hAnsi="宋体" w:eastAsia="宋体" w:cs="宋体"/>
          <w:color w:val="FF0000"/>
          <w:spacing w:val="6"/>
          <w:sz w:val="24"/>
          <w:szCs w:val="24"/>
        </w:rPr>
        <w:t>05年12月投入运行。。</w:t>
      </w:r>
    </w:p>
    <w:p w14:paraId="44A187CD">
      <w:pPr>
        <w:spacing w:line="218" w:lineRule="auto"/>
        <w:ind w:left="975"/>
        <w:rPr>
          <w:rFonts w:ascii="宋体" w:hAnsi="宋体" w:eastAsia="宋体" w:cs="宋体"/>
          <w:sz w:val="24"/>
          <w:szCs w:val="24"/>
        </w:rPr>
      </w:pPr>
      <w:r>
        <w:rPr>
          <w:rFonts w:ascii="宋体" w:hAnsi="宋体" w:eastAsia="宋体" w:cs="宋体"/>
          <w:color w:val="FF0000"/>
          <w:sz w:val="24"/>
          <w:szCs w:val="24"/>
        </w:rPr>
        <w:t>本项目与类比工程的可行性分析见表3-3。</w:t>
      </w:r>
    </w:p>
    <w:p w14:paraId="7C5B4FCC">
      <w:pPr>
        <w:spacing w:before="103" w:line="205" w:lineRule="auto"/>
        <w:ind w:left="3098"/>
        <w:rPr>
          <w:rFonts w:ascii="宋体" w:hAnsi="宋体" w:eastAsia="宋体" w:cs="宋体"/>
          <w:sz w:val="26"/>
          <w:szCs w:val="26"/>
        </w:rPr>
      </w:pPr>
      <w:r>
        <w:rPr>
          <w:rFonts w:ascii="宋体" w:hAnsi="宋体" w:eastAsia="宋体" w:cs="宋体"/>
          <w:b/>
          <w:bCs/>
          <w:spacing w:val="-3"/>
          <w:sz w:val="26"/>
          <w:szCs w:val="26"/>
        </w:rPr>
        <w:t>表3-3</w:t>
      </w:r>
      <w:r>
        <w:rPr>
          <w:rFonts w:ascii="宋体" w:hAnsi="宋体" w:eastAsia="宋体" w:cs="宋体"/>
          <w:spacing w:val="-3"/>
          <w:sz w:val="26"/>
          <w:szCs w:val="26"/>
        </w:rPr>
        <w:t xml:space="preserve">   </w:t>
      </w:r>
      <w:r>
        <w:rPr>
          <w:rFonts w:ascii="宋体" w:hAnsi="宋体" w:eastAsia="宋体" w:cs="宋体"/>
          <w:b/>
          <w:bCs/>
          <w:spacing w:val="-3"/>
          <w:sz w:val="26"/>
          <w:szCs w:val="26"/>
        </w:rPr>
        <w:t>类比可行性一览表</w:t>
      </w:r>
    </w:p>
    <w:tbl>
      <w:tblPr>
        <w:tblStyle w:val="5"/>
        <w:tblW w:w="93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1538"/>
        <w:gridCol w:w="2887"/>
        <w:gridCol w:w="2577"/>
        <w:gridCol w:w="1494"/>
      </w:tblGrid>
      <w:tr w14:paraId="4EF57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382" w:type="dxa"/>
            <w:gridSpan w:val="2"/>
            <w:vAlign w:val="top"/>
          </w:tcPr>
          <w:p w14:paraId="325DFE60">
            <w:pPr>
              <w:pStyle w:val="6"/>
              <w:spacing w:before="204" w:line="221" w:lineRule="auto"/>
              <w:ind w:left="865"/>
              <w:rPr>
                <w:sz w:val="21"/>
                <w:szCs w:val="21"/>
              </w:rPr>
            </w:pPr>
            <w:r>
              <w:rPr>
                <w:color w:val="FF0000"/>
                <w:spacing w:val="-2"/>
                <w:sz w:val="21"/>
                <w:szCs w:val="21"/>
              </w:rPr>
              <w:t>变电站</w:t>
            </w:r>
          </w:p>
        </w:tc>
        <w:tc>
          <w:tcPr>
            <w:tcW w:w="2887" w:type="dxa"/>
            <w:vAlign w:val="top"/>
          </w:tcPr>
          <w:p w14:paraId="4E4A02FF">
            <w:pPr>
              <w:pStyle w:val="6"/>
              <w:spacing w:before="32" w:line="251" w:lineRule="auto"/>
              <w:ind w:left="22" w:right="64" w:firstLine="50"/>
              <w:rPr>
                <w:sz w:val="21"/>
                <w:szCs w:val="21"/>
              </w:rPr>
            </w:pPr>
            <w:r>
              <w:rPr>
                <w:color w:val="FF0000"/>
                <w:sz w:val="21"/>
                <w:szCs w:val="21"/>
              </w:rPr>
              <w:t>云南省槟榔江猴桥水电站升压</w:t>
            </w:r>
            <w:r>
              <w:rPr>
                <w:color w:val="FF0000"/>
                <w:spacing w:val="8"/>
                <w:sz w:val="21"/>
                <w:szCs w:val="21"/>
              </w:rPr>
              <w:t xml:space="preserve"> </w:t>
            </w:r>
            <w:r>
              <w:rPr>
                <w:color w:val="FF0000"/>
                <w:spacing w:val="7"/>
                <w:sz w:val="21"/>
                <w:szCs w:val="21"/>
              </w:rPr>
              <w:t>站(类比站)</w:t>
            </w:r>
          </w:p>
        </w:tc>
        <w:tc>
          <w:tcPr>
            <w:tcW w:w="2577" w:type="dxa"/>
            <w:vAlign w:val="top"/>
          </w:tcPr>
          <w:p w14:paraId="093E6EFC">
            <w:pPr>
              <w:pStyle w:val="6"/>
              <w:spacing w:before="202" w:line="219" w:lineRule="auto"/>
              <w:ind w:left="655"/>
              <w:rPr>
                <w:sz w:val="21"/>
                <w:szCs w:val="21"/>
              </w:rPr>
            </w:pPr>
            <w:r>
              <w:rPr>
                <w:color w:val="FF0000"/>
                <w:spacing w:val="1"/>
                <w:sz w:val="21"/>
                <w:szCs w:val="21"/>
              </w:rPr>
              <w:t>本工程升压站</w:t>
            </w:r>
          </w:p>
        </w:tc>
        <w:tc>
          <w:tcPr>
            <w:tcW w:w="1494" w:type="dxa"/>
            <w:vAlign w:val="top"/>
          </w:tcPr>
          <w:p w14:paraId="17C33C9D">
            <w:pPr>
              <w:pStyle w:val="6"/>
              <w:spacing w:before="203" w:line="219" w:lineRule="auto"/>
              <w:ind w:left="319"/>
              <w:rPr>
                <w:sz w:val="21"/>
                <w:szCs w:val="21"/>
              </w:rPr>
            </w:pPr>
            <w:r>
              <w:rPr>
                <w:color w:val="FF0010"/>
                <w:spacing w:val="-2"/>
                <w:sz w:val="21"/>
                <w:szCs w:val="21"/>
              </w:rPr>
              <w:t>类比分析</w:t>
            </w:r>
          </w:p>
        </w:tc>
      </w:tr>
      <w:tr w14:paraId="7FCB6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2382" w:type="dxa"/>
            <w:gridSpan w:val="2"/>
            <w:vAlign w:val="top"/>
          </w:tcPr>
          <w:p w14:paraId="67BBD430">
            <w:pPr>
              <w:pStyle w:val="6"/>
              <w:spacing w:before="210" w:line="221" w:lineRule="auto"/>
              <w:ind w:left="764"/>
              <w:rPr>
                <w:sz w:val="21"/>
                <w:szCs w:val="21"/>
              </w:rPr>
            </w:pPr>
            <w:r>
              <w:rPr>
                <w:color w:val="FF0000"/>
                <w:spacing w:val="-2"/>
                <w:sz w:val="21"/>
                <w:szCs w:val="21"/>
              </w:rPr>
              <w:t>地理位置</w:t>
            </w:r>
          </w:p>
        </w:tc>
        <w:tc>
          <w:tcPr>
            <w:tcW w:w="2887" w:type="dxa"/>
            <w:vAlign w:val="top"/>
          </w:tcPr>
          <w:p w14:paraId="4DA50575">
            <w:pPr>
              <w:pStyle w:val="6"/>
              <w:spacing w:before="68" w:line="242" w:lineRule="auto"/>
              <w:ind w:left="32" w:right="60" w:firstLine="40"/>
              <w:rPr>
                <w:sz w:val="21"/>
                <w:szCs w:val="21"/>
              </w:rPr>
            </w:pPr>
            <w:r>
              <w:rPr>
                <w:color w:val="FF0000"/>
                <w:spacing w:val="1"/>
                <w:sz w:val="21"/>
                <w:szCs w:val="21"/>
              </w:rPr>
              <w:t>云南省保山市腾冲猴桥镇槟榔</w:t>
            </w:r>
            <w:r>
              <w:rPr>
                <w:color w:val="FF0000"/>
                <w:sz w:val="21"/>
                <w:szCs w:val="21"/>
              </w:rPr>
              <w:t xml:space="preserve"> </w:t>
            </w:r>
            <w:r>
              <w:rPr>
                <w:color w:val="FF0000"/>
                <w:spacing w:val="4"/>
                <w:sz w:val="21"/>
                <w:szCs w:val="21"/>
              </w:rPr>
              <w:t>江猴桥水电站内</w:t>
            </w:r>
          </w:p>
        </w:tc>
        <w:tc>
          <w:tcPr>
            <w:tcW w:w="2577" w:type="dxa"/>
            <w:vAlign w:val="top"/>
          </w:tcPr>
          <w:p w14:paraId="40E46DAE">
            <w:pPr>
              <w:pStyle w:val="6"/>
              <w:spacing w:before="209" w:line="219" w:lineRule="auto"/>
              <w:ind w:left="546"/>
              <w:rPr>
                <w:sz w:val="21"/>
                <w:szCs w:val="21"/>
              </w:rPr>
            </w:pPr>
            <w:r>
              <w:rPr>
                <w:color w:val="FF0000"/>
                <w:spacing w:val="1"/>
                <w:sz w:val="21"/>
                <w:szCs w:val="21"/>
              </w:rPr>
              <w:t>陆良县大莫古镇</w:t>
            </w:r>
          </w:p>
        </w:tc>
        <w:tc>
          <w:tcPr>
            <w:tcW w:w="1494" w:type="dxa"/>
            <w:vAlign w:val="top"/>
          </w:tcPr>
          <w:p w14:paraId="6F78C2A6">
            <w:pPr>
              <w:pStyle w:val="6"/>
              <w:spacing w:before="230" w:line="241" w:lineRule="auto"/>
              <w:ind w:left="689"/>
              <w:rPr>
                <w:sz w:val="21"/>
                <w:szCs w:val="21"/>
              </w:rPr>
            </w:pPr>
            <w:r>
              <w:rPr>
                <w:color w:val="F03030"/>
                <w:sz w:val="21"/>
                <w:szCs w:val="21"/>
              </w:rPr>
              <w:t>1</w:t>
            </w:r>
          </w:p>
        </w:tc>
      </w:tr>
      <w:tr w14:paraId="2F7E7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2382" w:type="dxa"/>
            <w:gridSpan w:val="2"/>
            <w:vAlign w:val="top"/>
          </w:tcPr>
          <w:p w14:paraId="1D839C62">
            <w:pPr>
              <w:pStyle w:val="6"/>
              <w:spacing w:before="49" w:line="219" w:lineRule="auto"/>
              <w:ind w:left="764"/>
              <w:rPr>
                <w:sz w:val="21"/>
                <w:szCs w:val="21"/>
              </w:rPr>
            </w:pPr>
            <w:r>
              <w:rPr>
                <w:color w:val="FF0020"/>
                <w:spacing w:val="3"/>
                <w:sz w:val="21"/>
                <w:szCs w:val="21"/>
              </w:rPr>
              <w:t>电压等级</w:t>
            </w:r>
          </w:p>
        </w:tc>
        <w:tc>
          <w:tcPr>
            <w:tcW w:w="2887" w:type="dxa"/>
            <w:vAlign w:val="top"/>
          </w:tcPr>
          <w:p w14:paraId="73CAF0C1">
            <w:pPr>
              <w:pStyle w:val="6"/>
              <w:spacing w:before="103" w:line="172" w:lineRule="auto"/>
              <w:ind w:left="1173"/>
              <w:rPr>
                <w:sz w:val="21"/>
                <w:szCs w:val="21"/>
              </w:rPr>
            </w:pPr>
            <w:r>
              <w:rPr>
                <w:color w:val="FF0010"/>
                <w:spacing w:val="-4"/>
                <w:sz w:val="21"/>
                <w:szCs w:val="21"/>
              </w:rPr>
              <w:t>110KV</w:t>
            </w:r>
          </w:p>
        </w:tc>
        <w:tc>
          <w:tcPr>
            <w:tcW w:w="2577" w:type="dxa"/>
            <w:vAlign w:val="top"/>
          </w:tcPr>
          <w:p w14:paraId="501F1F33">
            <w:pPr>
              <w:pStyle w:val="6"/>
              <w:spacing w:before="103" w:line="172" w:lineRule="auto"/>
              <w:ind w:left="1016"/>
              <w:rPr>
                <w:sz w:val="21"/>
                <w:szCs w:val="21"/>
              </w:rPr>
            </w:pPr>
            <w:r>
              <w:rPr>
                <w:color w:val="FF0020"/>
                <w:spacing w:val="-4"/>
                <w:sz w:val="21"/>
                <w:szCs w:val="21"/>
              </w:rPr>
              <w:t>110KV</w:t>
            </w:r>
          </w:p>
        </w:tc>
        <w:tc>
          <w:tcPr>
            <w:tcW w:w="1494" w:type="dxa"/>
            <w:vAlign w:val="top"/>
          </w:tcPr>
          <w:p w14:paraId="237F49CA">
            <w:pPr>
              <w:pStyle w:val="6"/>
              <w:spacing w:before="53" w:line="216" w:lineRule="auto"/>
              <w:ind w:left="528"/>
              <w:rPr>
                <w:sz w:val="21"/>
                <w:szCs w:val="21"/>
              </w:rPr>
            </w:pPr>
            <w:r>
              <w:rPr>
                <w:color w:val="FF0020"/>
                <w:spacing w:val="9"/>
                <w:sz w:val="21"/>
                <w:szCs w:val="21"/>
              </w:rPr>
              <w:t>相同</w:t>
            </w:r>
          </w:p>
        </w:tc>
      </w:tr>
      <w:tr w14:paraId="6C4B3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2382" w:type="dxa"/>
            <w:gridSpan w:val="2"/>
            <w:vAlign w:val="top"/>
          </w:tcPr>
          <w:p w14:paraId="62E464C6">
            <w:pPr>
              <w:pStyle w:val="6"/>
              <w:spacing w:before="51" w:line="218" w:lineRule="auto"/>
              <w:ind w:left="445"/>
              <w:rPr>
                <w:sz w:val="21"/>
                <w:szCs w:val="21"/>
              </w:rPr>
            </w:pPr>
            <w:r>
              <w:rPr>
                <w:color w:val="FF0000"/>
                <w:spacing w:val="-2"/>
                <w:sz w:val="21"/>
                <w:szCs w:val="21"/>
              </w:rPr>
              <w:t>变电站布置形式</w:t>
            </w:r>
          </w:p>
        </w:tc>
        <w:tc>
          <w:tcPr>
            <w:tcW w:w="2887" w:type="dxa"/>
            <w:vAlign w:val="top"/>
          </w:tcPr>
          <w:p w14:paraId="714413BF">
            <w:pPr>
              <w:pStyle w:val="6"/>
              <w:spacing w:before="52" w:line="217" w:lineRule="auto"/>
              <w:ind w:left="1122"/>
              <w:rPr>
                <w:sz w:val="21"/>
                <w:szCs w:val="21"/>
              </w:rPr>
            </w:pPr>
            <w:r>
              <w:rPr>
                <w:color w:val="FF0020"/>
                <w:spacing w:val="4"/>
                <w:sz w:val="21"/>
                <w:szCs w:val="21"/>
              </w:rPr>
              <w:t>户外型</w:t>
            </w:r>
          </w:p>
        </w:tc>
        <w:tc>
          <w:tcPr>
            <w:tcW w:w="2577" w:type="dxa"/>
            <w:vAlign w:val="top"/>
          </w:tcPr>
          <w:p w14:paraId="187DB3C5">
            <w:pPr>
              <w:pStyle w:val="6"/>
              <w:spacing w:before="52" w:line="217" w:lineRule="auto"/>
              <w:ind w:left="966"/>
              <w:rPr>
                <w:sz w:val="21"/>
                <w:szCs w:val="21"/>
              </w:rPr>
            </w:pPr>
            <w:r>
              <w:rPr>
                <w:color w:val="FF0000"/>
                <w:spacing w:val="4"/>
                <w:sz w:val="21"/>
                <w:szCs w:val="21"/>
              </w:rPr>
              <w:t>户外型</w:t>
            </w:r>
          </w:p>
        </w:tc>
        <w:tc>
          <w:tcPr>
            <w:tcW w:w="1494" w:type="dxa"/>
            <w:vAlign w:val="top"/>
          </w:tcPr>
          <w:p w14:paraId="0FD8CEF7">
            <w:pPr>
              <w:pStyle w:val="6"/>
              <w:spacing w:before="54" w:line="215" w:lineRule="auto"/>
              <w:ind w:left="528"/>
              <w:rPr>
                <w:sz w:val="21"/>
                <w:szCs w:val="21"/>
              </w:rPr>
            </w:pPr>
            <w:r>
              <w:rPr>
                <w:color w:val="FF0020"/>
                <w:spacing w:val="9"/>
                <w:sz w:val="21"/>
                <w:szCs w:val="21"/>
              </w:rPr>
              <w:t>相同</w:t>
            </w:r>
          </w:p>
        </w:tc>
      </w:tr>
      <w:tr w14:paraId="7BEC8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844" w:type="dxa"/>
            <w:vMerge w:val="restart"/>
            <w:tcBorders>
              <w:bottom w:val="nil"/>
            </w:tcBorders>
            <w:vAlign w:val="top"/>
          </w:tcPr>
          <w:p w14:paraId="139AD0D6">
            <w:pPr>
              <w:pStyle w:val="6"/>
              <w:spacing w:before="203" w:line="221" w:lineRule="auto"/>
              <w:ind w:left="95"/>
              <w:rPr>
                <w:sz w:val="21"/>
                <w:szCs w:val="21"/>
              </w:rPr>
            </w:pPr>
            <w:r>
              <w:rPr>
                <w:color w:val="FF0020"/>
                <w:spacing w:val="-3"/>
                <w:sz w:val="21"/>
                <w:szCs w:val="21"/>
              </w:rPr>
              <w:t>主变压</w:t>
            </w:r>
          </w:p>
          <w:p w14:paraId="14C6322E">
            <w:pPr>
              <w:pStyle w:val="6"/>
              <w:spacing w:before="93" w:line="224" w:lineRule="auto"/>
              <w:ind w:left="305"/>
              <w:rPr>
                <w:sz w:val="21"/>
                <w:szCs w:val="21"/>
              </w:rPr>
            </w:pPr>
            <w:r>
              <w:rPr>
                <w:color w:val="FF0010"/>
                <w:sz w:val="21"/>
                <w:szCs w:val="21"/>
              </w:rPr>
              <w:t>器</w:t>
            </w:r>
          </w:p>
        </w:tc>
        <w:tc>
          <w:tcPr>
            <w:tcW w:w="1538" w:type="dxa"/>
            <w:vAlign w:val="top"/>
          </w:tcPr>
          <w:p w14:paraId="20739483">
            <w:pPr>
              <w:pStyle w:val="6"/>
              <w:spacing w:before="213" w:line="220" w:lineRule="auto"/>
              <w:ind w:left="551"/>
              <w:rPr>
                <w:sz w:val="21"/>
                <w:szCs w:val="21"/>
              </w:rPr>
            </w:pPr>
            <w:r>
              <w:rPr>
                <w:color w:val="FF0020"/>
                <w:spacing w:val="-3"/>
                <w:sz w:val="21"/>
                <w:szCs w:val="21"/>
              </w:rPr>
              <w:t>容量</w:t>
            </w:r>
          </w:p>
        </w:tc>
        <w:tc>
          <w:tcPr>
            <w:tcW w:w="2887" w:type="dxa"/>
            <w:vAlign w:val="top"/>
          </w:tcPr>
          <w:p w14:paraId="15A6EE1B">
            <w:pPr>
              <w:pStyle w:val="6"/>
              <w:spacing w:before="264" w:line="185" w:lineRule="auto"/>
              <w:ind w:left="1013"/>
              <w:rPr>
                <w:sz w:val="21"/>
                <w:szCs w:val="21"/>
              </w:rPr>
            </w:pPr>
            <w:r>
              <w:rPr>
                <w:color w:val="FF0010"/>
                <w:spacing w:val="-2"/>
                <w:sz w:val="21"/>
                <w:szCs w:val="21"/>
              </w:rPr>
              <w:t>2×60MVA</w:t>
            </w:r>
          </w:p>
        </w:tc>
        <w:tc>
          <w:tcPr>
            <w:tcW w:w="2577" w:type="dxa"/>
            <w:vAlign w:val="top"/>
          </w:tcPr>
          <w:p w14:paraId="2DA56E25">
            <w:pPr>
              <w:pStyle w:val="6"/>
              <w:spacing w:before="264" w:line="185" w:lineRule="auto"/>
              <w:ind w:left="866"/>
              <w:rPr>
                <w:sz w:val="21"/>
                <w:szCs w:val="21"/>
              </w:rPr>
            </w:pPr>
            <w:r>
              <w:rPr>
                <w:color w:val="FF0010"/>
                <w:spacing w:val="-4"/>
                <w:sz w:val="21"/>
                <w:szCs w:val="21"/>
              </w:rPr>
              <w:t>1×50MVA</w:t>
            </w:r>
          </w:p>
        </w:tc>
        <w:tc>
          <w:tcPr>
            <w:tcW w:w="1494" w:type="dxa"/>
            <w:vAlign w:val="top"/>
          </w:tcPr>
          <w:p w14:paraId="4BC7B832">
            <w:pPr>
              <w:pStyle w:val="6"/>
              <w:spacing w:before="63"/>
              <w:ind w:left="109" w:right="123"/>
              <w:rPr>
                <w:sz w:val="21"/>
                <w:szCs w:val="21"/>
              </w:rPr>
            </w:pPr>
            <w:r>
              <w:rPr>
                <w:color w:val="FF0000"/>
                <w:spacing w:val="-2"/>
                <w:sz w:val="21"/>
                <w:szCs w:val="21"/>
              </w:rPr>
              <w:t>类比变电站主</w:t>
            </w:r>
            <w:r>
              <w:rPr>
                <w:color w:val="FF0000"/>
                <w:spacing w:val="2"/>
                <w:sz w:val="21"/>
                <w:szCs w:val="21"/>
              </w:rPr>
              <w:t xml:space="preserve"> </w:t>
            </w:r>
            <w:r>
              <w:rPr>
                <w:color w:val="FF0000"/>
                <w:spacing w:val="-2"/>
                <w:sz w:val="21"/>
                <w:szCs w:val="21"/>
              </w:rPr>
              <w:t>变总容量更大</w:t>
            </w:r>
          </w:p>
        </w:tc>
      </w:tr>
      <w:tr w14:paraId="62272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44" w:type="dxa"/>
            <w:vMerge w:val="continue"/>
            <w:tcBorders>
              <w:top w:val="nil"/>
            </w:tcBorders>
            <w:vAlign w:val="top"/>
          </w:tcPr>
          <w:p w14:paraId="1EE545F9">
            <w:pPr>
              <w:rPr>
                <w:rFonts w:ascii="Arial"/>
                <w:sz w:val="21"/>
              </w:rPr>
            </w:pPr>
          </w:p>
        </w:tc>
        <w:tc>
          <w:tcPr>
            <w:tcW w:w="1538" w:type="dxa"/>
            <w:vAlign w:val="top"/>
          </w:tcPr>
          <w:p w14:paraId="4A11C83E">
            <w:pPr>
              <w:pStyle w:val="6"/>
              <w:spacing w:before="53" w:line="216" w:lineRule="auto"/>
              <w:ind w:left="551"/>
              <w:rPr>
                <w:sz w:val="21"/>
                <w:szCs w:val="21"/>
              </w:rPr>
            </w:pPr>
            <w:r>
              <w:rPr>
                <w:color w:val="FF0000"/>
                <w:spacing w:val="-3"/>
                <w:sz w:val="21"/>
                <w:szCs w:val="21"/>
              </w:rPr>
              <w:t>布置</w:t>
            </w:r>
          </w:p>
        </w:tc>
        <w:tc>
          <w:tcPr>
            <w:tcW w:w="2887" w:type="dxa"/>
            <w:vAlign w:val="top"/>
          </w:tcPr>
          <w:p w14:paraId="77C4C578">
            <w:pPr>
              <w:pStyle w:val="6"/>
              <w:spacing w:before="53" w:line="216" w:lineRule="auto"/>
              <w:ind w:left="1013"/>
              <w:rPr>
                <w:sz w:val="21"/>
                <w:szCs w:val="21"/>
              </w:rPr>
            </w:pPr>
            <w:r>
              <w:rPr>
                <w:color w:val="FF0000"/>
                <w:spacing w:val="-2"/>
                <w:sz w:val="21"/>
                <w:szCs w:val="21"/>
              </w:rPr>
              <w:t>户外布</w:t>
            </w:r>
            <w:r>
              <w:rPr>
                <w:color w:val="FF0010"/>
                <w:spacing w:val="-2"/>
                <w:sz w:val="21"/>
                <w:szCs w:val="21"/>
              </w:rPr>
              <w:t>置</w:t>
            </w:r>
          </w:p>
        </w:tc>
        <w:tc>
          <w:tcPr>
            <w:tcW w:w="2577" w:type="dxa"/>
            <w:vAlign w:val="top"/>
          </w:tcPr>
          <w:p w14:paraId="07A29FBA">
            <w:pPr>
              <w:pStyle w:val="6"/>
              <w:spacing w:before="53" w:line="216" w:lineRule="auto"/>
              <w:ind w:left="866"/>
              <w:rPr>
                <w:sz w:val="21"/>
                <w:szCs w:val="21"/>
              </w:rPr>
            </w:pPr>
            <w:r>
              <w:rPr>
                <w:color w:val="FF0000"/>
                <w:spacing w:val="-2"/>
                <w:sz w:val="21"/>
                <w:szCs w:val="21"/>
              </w:rPr>
              <w:t>户外布置</w:t>
            </w:r>
          </w:p>
        </w:tc>
        <w:tc>
          <w:tcPr>
            <w:tcW w:w="1494" w:type="dxa"/>
            <w:vAlign w:val="top"/>
          </w:tcPr>
          <w:p w14:paraId="53B1D0AD">
            <w:pPr>
              <w:pStyle w:val="6"/>
              <w:spacing w:before="55" w:line="214" w:lineRule="auto"/>
              <w:ind w:left="528"/>
              <w:rPr>
                <w:sz w:val="21"/>
                <w:szCs w:val="21"/>
              </w:rPr>
            </w:pPr>
            <w:r>
              <w:rPr>
                <w:color w:val="FF0020"/>
                <w:spacing w:val="9"/>
                <w:sz w:val="21"/>
                <w:szCs w:val="21"/>
              </w:rPr>
              <w:t>相同</w:t>
            </w:r>
          </w:p>
        </w:tc>
      </w:tr>
      <w:tr w14:paraId="65FE4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2382" w:type="dxa"/>
            <w:gridSpan w:val="2"/>
            <w:vAlign w:val="top"/>
          </w:tcPr>
          <w:p w14:paraId="39AC2A84">
            <w:pPr>
              <w:pStyle w:val="6"/>
              <w:spacing w:before="55" w:line="214" w:lineRule="auto"/>
              <w:ind w:left="705"/>
              <w:rPr>
                <w:sz w:val="21"/>
                <w:szCs w:val="21"/>
              </w:rPr>
            </w:pPr>
            <w:r>
              <w:rPr>
                <w:color w:val="FF0000"/>
                <w:spacing w:val="3"/>
                <w:sz w:val="21"/>
                <w:szCs w:val="21"/>
              </w:rPr>
              <w:t>110</w:t>
            </w:r>
            <w:r>
              <w:rPr>
                <w:color w:val="FF0000"/>
                <w:sz w:val="21"/>
                <w:szCs w:val="21"/>
              </w:rPr>
              <w:t>kV</w:t>
            </w:r>
            <w:r>
              <w:rPr>
                <w:color w:val="FF0000"/>
                <w:spacing w:val="3"/>
                <w:sz w:val="21"/>
                <w:szCs w:val="21"/>
              </w:rPr>
              <w:t>出线</w:t>
            </w:r>
          </w:p>
        </w:tc>
        <w:tc>
          <w:tcPr>
            <w:tcW w:w="2887" w:type="dxa"/>
            <w:vAlign w:val="top"/>
          </w:tcPr>
          <w:p w14:paraId="311116DC">
            <w:pPr>
              <w:pStyle w:val="6"/>
              <w:spacing w:before="58" w:line="211" w:lineRule="auto"/>
              <w:ind w:left="1273"/>
              <w:rPr>
                <w:sz w:val="21"/>
                <w:szCs w:val="21"/>
              </w:rPr>
            </w:pPr>
            <w:r>
              <w:rPr>
                <w:color w:val="FF0000"/>
                <w:spacing w:val="-12"/>
                <w:sz w:val="21"/>
                <w:szCs w:val="21"/>
              </w:rPr>
              <w:t>1</w:t>
            </w:r>
            <w:r>
              <w:rPr>
                <w:color w:val="FF0010"/>
                <w:spacing w:val="-12"/>
                <w:sz w:val="21"/>
                <w:szCs w:val="21"/>
              </w:rPr>
              <w:t>回</w:t>
            </w:r>
          </w:p>
        </w:tc>
        <w:tc>
          <w:tcPr>
            <w:tcW w:w="2577" w:type="dxa"/>
            <w:vAlign w:val="top"/>
          </w:tcPr>
          <w:p w14:paraId="25029DB9">
            <w:pPr>
              <w:pStyle w:val="6"/>
              <w:spacing w:before="58" w:line="211" w:lineRule="auto"/>
              <w:ind w:left="1126"/>
              <w:rPr>
                <w:sz w:val="21"/>
                <w:szCs w:val="21"/>
              </w:rPr>
            </w:pPr>
            <w:r>
              <w:rPr>
                <w:color w:val="FF0000"/>
                <w:spacing w:val="8"/>
                <w:sz w:val="21"/>
                <w:szCs w:val="21"/>
              </w:rPr>
              <w:t>1回</w:t>
            </w:r>
          </w:p>
        </w:tc>
        <w:tc>
          <w:tcPr>
            <w:tcW w:w="1494" w:type="dxa"/>
            <w:vAlign w:val="top"/>
          </w:tcPr>
          <w:p w14:paraId="25984629">
            <w:pPr>
              <w:pStyle w:val="6"/>
              <w:spacing w:before="56" w:line="213" w:lineRule="auto"/>
              <w:ind w:left="528"/>
              <w:rPr>
                <w:sz w:val="21"/>
                <w:szCs w:val="21"/>
              </w:rPr>
            </w:pPr>
            <w:r>
              <w:rPr>
                <w:color w:val="FF0000"/>
                <w:spacing w:val="9"/>
                <w:sz w:val="21"/>
                <w:szCs w:val="21"/>
              </w:rPr>
              <w:t>相同</w:t>
            </w:r>
          </w:p>
        </w:tc>
      </w:tr>
      <w:tr w14:paraId="1B239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2382" w:type="dxa"/>
            <w:gridSpan w:val="2"/>
            <w:vAlign w:val="top"/>
          </w:tcPr>
          <w:p w14:paraId="686EC968">
            <w:pPr>
              <w:pStyle w:val="6"/>
              <w:spacing w:before="66" w:line="220" w:lineRule="auto"/>
              <w:ind w:left="494"/>
              <w:rPr>
                <w:sz w:val="21"/>
                <w:szCs w:val="21"/>
              </w:rPr>
            </w:pPr>
            <w:r>
              <w:rPr>
                <w:color w:val="FF0000"/>
                <w:spacing w:val="1"/>
                <w:sz w:val="21"/>
                <w:szCs w:val="21"/>
              </w:rPr>
              <w:t>110</w:t>
            </w:r>
            <w:r>
              <w:rPr>
                <w:color w:val="FF0000"/>
                <w:sz w:val="21"/>
                <w:szCs w:val="21"/>
              </w:rPr>
              <w:t>kV</w:t>
            </w:r>
            <w:r>
              <w:rPr>
                <w:color w:val="FF0020"/>
                <w:spacing w:val="1"/>
                <w:sz w:val="21"/>
                <w:szCs w:val="21"/>
              </w:rPr>
              <w:t>配电装置</w:t>
            </w:r>
          </w:p>
        </w:tc>
        <w:tc>
          <w:tcPr>
            <w:tcW w:w="2887" w:type="dxa"/>
            <w:vAlign w:val="top"/>
          </w:tcPr>
          <w:p w14:paraId="3EFAF358">
            <w:pPr>
              <w:pStyle w:val="6"/>
              <w:spacing w:before="64" w:line="219" w:lineRule="auto"/>
              <w:ind w:left="852"/>
              <w:rPr>
                <w:sz w:val="21"/>
                <w:szCs w:val="21"/>
              </w:rPr>
            </w:pPr>
            <w:r>
              <w:rPr>
                <w:color w:val="FF0000"/>
                <w:spacing w:val="3"/>
                <w:sz w:val="21"/>
                <w:szCs w:val="21"/>
              </w:rPr>
              <w:t>户外</w:t>
            </w:r>
            <w:r>
              <w:rPr>
                <w:color w:val="FF0000"/>
                <w:sz w:val="21"/>
                <w:szCs w:val="21"/>
              </w:rPr>
              <w:t>GIS</w:t>
            </w:r>
            <w:r>
              <w:rPr>
                <w:color w:val="FF0000"/>
                <w:spacing w:val="3"/>
                <w:sz w:val="21"/>
                <w:szCs w:val="21"/>
              </w:rPr>
              <w:t>布置</w:t>
            </w:r>
          </w:p>
        </w:tc>
        <w:tc>
          <w:tcPr>
            <w:tcW w:w="2577" w:type="dxa"/>
            <w:vAlign w:val="top"/>
          </w:tcPr>
          <w:p w14:paraId="171EF8E4">
            <w:pPr>
              <w:pStyle w:val="6"/>
              <w:spacing w:before="64" w:line="219" w:lineRule="auto"/>
              <w:ind w:left="706"/>
              <w:rPr>
                <w:sz w:val="21"/>
                <w:szCs w:val="21"/>
              </w:rPr>
            </w:pPr>
            <w:r>
              <w:rPr>
                <w:color w:val="FF0000"/>
                <w:spacing w:val="-2"/>
                <w:sz w:val="21"/>
                <w:szCs w:val="21"/>
              </w:rPr>
              <w:t>户外GIS布置</w:t>
            </w:r>
          </w:p>
        </w:tc>
        <w:tc>
          <w:tcPr>
            <w:tcW w:w="1494" w:type="dxa"/>
            <w:vAlign w:val="top"/>
          </w:tcPr>
          <w:p w14:paraId="0FB4833F">
            <w:pPr>
              <w:pStyle w:val="6"/>
              <w:spacing w:before="67" w:line="221" w:lineRule="auto"/>
              <w:ind w:left="528"/>
              <w:rPr>
                <w:sz w:val="21"/>
                <w:szCs w:val="21"/>
              </w:rPr>
            </w:pPr>
            <w:r>
              <w:rPr>
                <w:color w:val="FF0010"/>
                <w:spacing w:val="9"/>
                <w:sz w:val="21"/>
                <w:szCs w:val="21"/>
              </w:rPr>
              <w:t>相同</w:t>
            </w:r>
          </w:p>
        </w:tc>
      </w:tr>
      <w:tr w14:paraId="45EA0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382" w:type="dxa"/>
            <w:gridSpan w:val="2"/>
            <w:vAlign w:val="top"/>
          </w:tcPr>
          <w:p w14:paraId="586C4F14">
            <w:pPr>
              <w:pStyle w:val="6"/>
              <w:spacing w:before="206" w:line="219" w:lineRule="auto"/>
              <w:ind w:left="445"/>
              <w:rPr>
                <w:sz w:val="21"/>
                <w:szCs w:val="21"/>
              </w:rPr>
            </w:pPr>
            <w:r>
              <w:rPr>
                <w:color w:val="FF0000"/>
                <w:spacing w:val="1"/>
                <w:sz w:val="21"/>
                <w:szCs w:val="21"/>
              </w:rPr>
              <w:t>围墙内占地面积</w:t>
            </w:r>
          </w:p>
        </w:tc>
        <w:tc>
          <w:tcPr>
            <w:tcW w:w="2887" w:type="dxa"/>
            <w:vAlign w:val="top"/>
          </w:tcPr>
          <w:p w14:paraId="638E217F">
            <w:pPr>
              <w:pStyle w:val="6"/>
              <w:spacing w:before="227"/>
              <w:ind w:left="1063"/>
              <w:rPr>
                <w:sz w:val="21"/>
                <w:szCs w:val="21"/>
              </w:rPr>
            </w:pPr>
            <w:r>
              <w:rPr>
                <w:color w:val="FF0000"/>
                <w:spacing w:val="-2"/>
                <w:sz w:val="21"/>
                <w:szCs w:val="21"/>
              </w:rPr>
              <w:t>3445m²</w:t>
            </w:r>
          </w:p>
        </w:tc>
        <w:tc>
          <w:tcPr>
            <w:tcW w:w="2577" w:type="dxa"/>
            <w:vAlign w:val="top"/>
          </w:tcPr>
          <w:p w14:paraId="3CA6E822">
            <w:pPr>
              <w:pStyle w:val="6"/>
              <w:spacing w:before="227"/>
              <w:ind w:left="915"/>
              <w:rPr>
                <w:sz w:val="21"/>
                <w:szCs w:val="21"/>
              </w:rPr>
            </w:pPr>
            <w:r>
              <w:rPr>
                <w:color w:val="FF0000"/>
                <w:spacing w:val="-2"/>
                <w:sz w:val="21"/>
                <w:szCs w:val="21"/>
              </w:rPr>
              <w:t>4264m²</w:t>
            </w:r>
          </w:p>
        </w:tc>
        <w:tc>
          <w:tcPr>
            <w:tcW w:w="1494" w:type="dxa"/>
            <w:vAlign w:val="top"/>
          </w:tcPr>
          <w:p w14:paraId="647AE922">
            <w:pPr>
              <w:pStyle w:val="6"/>
              <w:spacing w:before="37" w:line="247" w:lineRule="auto"/>
              <w:ind w:left="318" w:right="97" w:hanging="209"/>
              <w:rPr>
                <w:sz w:val="21"/>
                <w:szCs w:val="21"/>
              </w:rPr>
            </w:pPr>
            <w:r>
              <w:rPr>
                <w:color w:val="FF0000"/>
                <w:spacing w:val="2"/>
                <w:sz w:val="21"/>
                <w:szCs w:val="21"/>
              </w:rPr>
              <w:t>类比升压站小</w:t>
            </w:r>
            <w:r>
              <w:rPr>
                <w:color w:val="FF0000"/>
                <w:spacing w:val="4"/>
                <w:sz w:val="21"/>
                <w:szCs w:val="21"/>
              </w:rPr>
              <w:t xml:space="preserve"> </w:t>
            </w:r>
            <w:r>
              <w:rPr>
                <w:color w:val="FF0000"/>
                <w:spacing w:val="10"/>
                <w:sz w:val="21"/>
                <w:szCs w:val="21"/>
              </w:rPr>
              <w:t>于本项目</w:t>
            </w:r>
          </w:p>
        </w:tc>
      </w:tr>
      <w:tr w14:paraId="58BE4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2382" w:type="dxa"/>
            <w:gridSpan w:val="2"/>
            <w:vAlign w:val="top"/>
          </w:tcPr>
          <w:p w14:paraId="28F183E0">
            <w:pPr>
              <w:pStyle w:val="6"/>
              <w:spacing w:before="218" w:line="220" w:lineRule="auto"/>
              <w:ind w:left="445"/>
              <w:rPr>
                <w:sz w:val="21"/>
                <w:szCs w:val="21"/>
              </w:rPr>
            </w:pPr>
            <w:r>
              <w:rPr>
                <w:color w:val="FF0000"/>
                <w:spacing w:val="1"/>
                <w:sz w:val="21"/>
                <w:szCs w:val="21"/>
              </w:rPr>
              <w:t>主变与围墙距离</w:t>
            </w:r>
          </w:p>
        </w:tc>
        <w:tc>
          <w:tcPr>
            <w:tcW w:w="2887" w:type="dxa"/>
            <w:vAlign w:val="top"/>
          </w:tcPr>
          <w:p w14:paraId="2C2679A4">
            <w:pPr>
              <w:pStyle w:val="6"/>
              <w:spacing w:before="58" w:line="220" w:lineRule="auto"/>
              <w:ind w:left="22"/>
              <w:rPr>
                <w:sz w:val="21"/>
                <w:szCs w:val="21"/>
              </w:rPr>
            </w:pPr>
            <w:r>
              <w:rPr>
                <w:color w:val="FF0000"/>
                <w:spacing w:val="1"/>
                <w:sz w:val="21"/>
                <w:szCs w:val="21"/>
              </w:rPr>
              <w:t>主变与四周围墙距离约</w:t>
            </w:r>
          </w:p>
          <w:p w14:paraId="486084E1">
            <w:pPr>
              <w:pStyle w:val="6"/>
              <w:spacing w:before="110" w:line="176" w:lineRule="auto"/>
              <w:ind w:left="12"/>
              <w:rPr>
                <w:sz w:val="21"/>
                <w:szCs w:val="21"/>
              </w:rPr>
            </w:pPr>
            <w:r>
              <w:rPr>
                <w:color w:val="FF0010"/>
                <w:spacing w:val="-2"/>
                <w:sz w:val="21"/>
                <w:szCs w:val="21"/>
              </w:rPr>
              <w:t>25</w:t>
            </w:r>
            <w:r>
              <w:rPr>
                <w:color w:val="FF0020"/>
                <w:spacing w:val="-2"/>
                <w:sz w:val="21"/>
                <w:szCs w:val="21"/>
              </w:rPr>
              <w:t>~3</w:t>
            </w:r>
            <w:r>
              <w:rPr>
                <w:color w:val="FF1000"/>
                <w:spacing w:val="-2"/>
                <w:sz w:val="21"/>
                <w:szCs w:val="21"/>
              </w:rPr>
              <w:t>5m</w:t>
            </w:r>
          </w:p>
        </w:tc>
        <w:tc>
          <w:tcPr>
            <w:tcW w:w="2577" w:type="dxa"/>
            <w:vAlign w:val="top"/>
          </w:tcPr>
          <w:p w14:paraId="60252AFE">
            <w:pPr>
              <w:pStyle w:val="6"/>
              <w:spacing w:before="57" w:line="247" w:lineRule="auto"/>
              <w:ind w:left="16" w:right="411" w:firstLine="20"/>
              <w:rPr>
                <w:sz w:val="21"/>
                <w:szCs w:val="21"/>
              </w:rPr>
            </w:pPr>
            <w:r>
              <w:rPr>
                <w:color w:val="FF0000"/>
                <w:spacing w:val="1"/>
                <w:sz w:val="21"/>
                <w:szCs w:val="21"/>
              </w:rPr>
              <w:t>主变与四周围墙距离约</w:t>
            </w:r>
            <w:r>
              <w:rPr>
                <w:color w:val="FF0000"/>
                <w:spacing w:val="7"/>
                <w:sz w:val="21"/>
                <w:szCs w:val="21"/>
              </w:rPr>
              <w:t xml:space="preserve"> </w:t>
            </w:r>
            <w:r>
              <w:rPr>
                <w:color w:val="FF0010"/>
                <w:spacing w:val="-2"/>
                <w:sz w:val="21"/>
                <w:szCs w:val="21"/>
              </w:rPr>
              <w:t>21</w:t>
            </w:r>
            <w:r>
              <w:rPr>
                <w:color w:val="FF0000"/>
                <w:spacing w:val="-2"/>
                <w:sz w:val="21"/>
                <w:szCs w:val="21"/>
              </w:rPr>
              <w:t>-37m</w:t>
            </w:r>
          </w:p>
        </w:tc>
        <w:tc>
          <w:tcPr>
            <w:tcW w:w="1494" w:type="dxa"/>
            <w:vAlign w:val="top"/>
          </w:tcPr>
          <w:p w14:paraId="47B8F8F1">
            <w:pPr>
              <w:pStyle w:val="6"/>
              <w:spacing w:before="216" w:line="219" w:lineRule="auto"/>
              <w:ind w:left="319"/>
              <w:rPr>
                <w:sz w:val="21"/>
                <w:szCs w:val="21"/>
              </w:rPr>
            </w:pPr>
            <w:r>
              <w:rPr>
                <w:color w:val="FF0000"/>
                <w:spacing w:val="-2"/>
                <w:sz w:val="21"/>
                <w:szCs w:val="21"/>
              </w:rPr>
              <w:t>基本类似</w:t>
            </w:r>
          </w:p>
        </w:tc>
      </w:tr>
      <w:tr w14:paraId="33D16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2382" w:type="dxa"/>
            <w:gridSpan w:val="2"/>
            <w:vAlign w:val="top"/>
          </w:tcPr>
          <w:p w14:paraId="7073F2B4">
            <w:pPr>
              <w:pStyle w:val="6"/>
              <w:spacing w:before="58" w:line="212" w:lineRule="auto"/>
              <w:ind w:left="764"/>
              <w:rPr>
                <w:sz w:val="21"/>
                <w:szCs w:val="21"/>
              </w:rPr>
            </w:pPr>
            <w:r>
              <w:rPr>
                <w:color w:val="FF0000"/>
                <w:spacing w:val="-2"/>
                <w:sz w:val="21"/>
                <w:szCs w:val="21"/>
              </w:rPr>
              <w:t>周边环境</w:t>
            </w:r>
          </w:p>
        </w:tc>
        <w:tc>
          <w:tcPr>
            <w:tcW w:w="2887" w:type="dxa"/>
            <w:vAlign w:val="top"/>
          </w:tcPr>
          <w:p w14:paraId="7A4A5B68">
            <w:pPr>
              <w:pStyle w:val="6"/>
              <w:spacing w:before="57" w:line="213" w:lineRule="auto"/>
              <w:ind w:left="1013"/>
              <w:rPr>
                <w:sz w:val="21"/>
                <w:szCs w:val="21"/>
              </w:rPr>
            </w:pPr>
            <w:r>
              <w:rPr>
                <w:color w:val="FF0000"/>
                <w:spacing w:val="4"/>
                <w:sz w:val="21"/>
                <w:szCs w:val="21"/>
              </w:rPr>
              <w:t>农村地区</w:t>
            </w:r>
          </w:p>
        </w:tc>
        <w:tc>
          <w:tcPr>
            <w:tcW w:w="2577" w:type="dxa"/>
            <w:vAlign w:val="top"/>
          </w:tcPr>
          <w:p w14:paraId="3AB48FF8">
            <w:pPr>
              <w:pStyle w:val="6"/>
              <w:spacing w:before="57" w:line="213" w:lineRule="auto"/>
              <w:ind w:left="866"/>
              <w:rPr>
                <w:sz w:val="21"/>
                <w:szCs w:val="21"/>
              </w:rPr>
            </w:pPr>
            <w:r>
              <w:rPr>
                <w:color w:val="FF0000"/>
                <w:spacing w:val="4"/>
                <w:sz w:val="21"/>
                <w:szCs w:val="21"/>
              </w:rPr>
              <w:t>农村地区</w:t>
            </w:r>
          </w:p>
        </w:tc>
        <w:tc>
          <w:tcPr>
            <w:tcW w:w="1494" w:type="dxa"/>
            <w:vAlign w:val="top"/>
          </w:tcPr>
          <w:p w14:paraId="66CE93F9">
            <w:pPr>
              <w:pStyle w:val="6"/>
              <w:spacing w:before="61" w:line="210" w:lineRule="auto"/>
              <w:ind w:left="528"/>
              <w:rPr>
                <w:sz w:val="21"/>
                <w:szCs w:val="21"/>
              </w:rPr>
            </w:pPr>
            <w:r>
              <w:rPr>
                <w:color w:val="FF0010"/>
                <w:spacing w:val="9"/>
                <w:sz w:val="21"/>
                <w:szCs w:val="21"/>
              </w:rPr>
              <w:t>相同</w:t>
            </w:r>
          </w:p>
        </w:tc>
      </w:tr>
      <w:tr w14:paraId="4AFC1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2382" w:type="dxa"/>
            <w:gridSpan w:val="2"/>
            <w:vAlign w:val="top"/>
          </w:tcPr>
          <w:p w14:paraId="5B3741D4">
            <w:pPr>
              <w:pStyle w:val="6"/>
              <w:spacing w:before="218" w:line="219" w:lineRule="auto"/>
              <w:ind w:left="764"/>
              <w:rPr>
                <w:sz w:val="21"/>
                <w:szCs w:val="21"/>
              </w:rPr>
            </w:pPr>
            <w:r>
              <w:rPr>
                <w:color w:val="FF0000"/>
                <w:spacing w:val="-2"/>
                <w:sz w:val="21"/>
                <w:szCs w:val="21"/>
              </w:rPr>
              <w:t>数据来源</w:t>
            </w:r>
          </w:p>
        </w:tc>
        <w:tc>
          <w:tcPr>
            <w:tcW w:w="2887" w:type="dxa"/>
            <w:vAlign w:val="top"/>
          </w:tcPr>
          <w:p w14:paraId="4E3119D2">
            <w:pPr>
              <w:pStyle w:val="6"/>
              <w:spacing w:before="68" w:line="244" w:lineRule="auto"/>
              <w:ind w:left="22" w:right="147" w:hanging="4"/>
              <w:rPr>
                <w:sz w:val="21"/>
                <w:szCs w:val="21"/>
              </w:rPr>
            </w:pPr>
            <w:r>
              <w:rPr>
                <w:color w:val="FF0000"/>
                <w:spacing w:val="-2"/>
                <w:sz w:val="21"/>
                <w:szCs w:val="21"/>
              </w:rPr>
              <w:t>《德厚镇明湖光伏电站环境影</w:t>
            </w:r>
            <w:r>
              <w:rPr>
                <w:color w:val="FF0000"/>
                <w:spacing w:val="6"/>
                <w:sz w:val="21"/>
                <w:szCs w:val="21"/>
              </w:rPr>
              <w:t xml:space="preserve"> </w:t>
            </w:r>
            <w:r>
              <w:rPr>
                <w:color w:val="FF0000"/>
                <w:spacing w:val="1"/>
                <w:sz w:val="21"/>
                <w:szCs w:val="21"/>
              </w:rPr>
              <w:t>响评价报告》电磁辐射专章</w:t>
            </w:r>
          </w:p>
        </w:tc>
        <w:tc>
          <w:tcPr>
            <w:tcW w:w="2577" w:type="dxa"/>
            <w:vAlign w:val="top"/>
          </w:tcPr>
          <w:p w14:paraId="6DE004A5">
            <w:pPr>
              <w:pStyle w:val="6"/>
              <w:spacing w:before="224" w:line="224" w:lineRule="auto"/>
              <w:ind w:left="1226"/>
              <w:rPr>
                <w:sz w:val="21"/>
                <w:szCs w:val="21"/>
              </w:rPr>
            </w:pPr>
            <w:r>
              <w:rPr>
                <w:color w:val="FF0010"/>
                <w:sz w:val="21"/>
                <w:szCs w:val="21"/>
              </w:rPr>
              <w:t>/</w:t>
            </w:r>
          </w:p>
        </w:tc>
        <w:tc>
          <w:tcPr>
            <w:tcW w:w="1494" w:type="dxa"/>
            <w:vAlign w:val="top"/>
          </w:tcPr>
          <w:p w14:paraId="62D3851B">
            <w:pPr>
              <w:pStyle w:val="6"/>
              <w:spacing w:before="224" w:line="224" w:lineRule="auto"/>
              <w:ind w:left="689"/>
              <w:rPr>
                <w:sz w:val="21"/>
                <w:szCs w:val="21"/>
              </w:rPr>
            </w:pPr>
            <w:r>
              <w:rPr>
                <w:color w:val="F03030"/>
                <w:sz w:val="21"/>
                <w:szCs w:val="21"/>
              </w:rPr>
              <w:t>/</w:t>
            </w:r>
          </w:p>
        </w:tc>
      </w:tr>
    </w:tbl>
    <w:p w14:paraId="23AB55CC">
      <w:pPr>
        <w:spacing w:before="95" w:line="219" w:lineRule="auto"/>
        <w:ind w:left="1125"/>
        <w:rPr>
          <w:rFonts w:ascii="宋体" w:hAnsi="宋体" w:eastAsia="宋体" w:cs="宋体"/>
          <w:sz w:val="24"/>
          <w:szCs w:val="24"/>
        </w:rPr>
      </w:pPr>
      <w:r>
        <w:rPr>
          <w:rFonts w:ascii="宋体" w:hAnsi="宋体" w:eastAsia="宋体" w:cs="宋体"/>
          <w:color w:val="FF0000"/>
          <w:spacing w:val="11"/>
          <w:sz w:val="24"/>
          <w:szCs w:val="24"/>
        </w:rPr>
        <w:t>(3)类比可行性分析</w:t>
      </w:r>
    </w:p>
    <w:p w14:paraId="723E6D01">
      <w:pPr>
        <w:spacing w:before="197" w:line="356" w:lineRule="auto"/>
        <w:ind w:left="504" w:right="530" w:firstLine="470"/>
        <w:rPr>
          <w:rFonts w:ascii="宋体" w:hAnsi="宋体" w:eastAsia="宋体" w:cs="宋体"/>
          <w:sz w:val="24"/>
          <w:szCs w:val="24"/>
        </w:rPr>
      </w:pPr>
      <w:r>
        <w:rPr>
          <w:rFonts w:ascii="宋体" w:hAnsi="宋体" w:eastAsia="宋体" w:cs="宋体"/>
          <w:color w:val="FF0000"/>
          <w:spacing w:val="1"/>
          <w:sz w:val="24"/>
          <w:szCs w:val="24"/>
        </w:rPr>
        <w:t>根据表3-3分析，本项目拟建升压站与类比工</w:t>
      </w:r>
      <w:r>
        <w:rPr>
          <w:rFonts w:ascii="宋体" w:hAnsi="宋体" w:eastAsia="宋体" w:cs="宋体"/>
          <w:color w:val="FF0000"/>
          <w:sz w:val="24"/>
          <w:szCs w:val="24"/>
        </w:rPr>
        <w:t xml:space="preserve">程云南省槟榔江猴桥水电站升 </w:t>
      </w:r>
      <w:r>
        <w:rPr>
          <w:rFonts w:ascii="宋体" w:hAnsi="宋体" w:eastAsia="宋体" w:cs="宋体"/>
          <w:color w:val="FF0000"/>
          <w:spacing w:val="-1"/>
          <w:sz w:val="24"/>
          <w:szCs w:val="24"/>
        </w:rPr>
        <w:t>压站同属户外变电设施，升压站的电压等级相同，</w:t>
      </w:r>
      <w:r>
        <w:rPr>
          <w:rFonts w:ascii="宋体" w:hAnsi="宋体" w:eastAsia="宋体" w:cs="宋体"/>
          <w:color w:val="FF0000"/>
          <w:spacing w:val="-2"/>
          <w:sz w:val="24"/>
          <w:szCs w:val="24"/>
        </w:rPr>
        <w:t>周边环境相同，均为户外</w:t>
      </w:r>
      <w:r>
        <w:rPr>
          <w:rFonts w:ascii="Times New Roman" w:hAnsi="Times New Roman" w:eastAsia="Times New Roman" w:cs="Times New Roman"/>
          <w:color w:val="FF0000"/>
          <w:spacing w:val="-2"/>
          <w:sz w:val="24"/>
          <w:szCs w:val="24"/>
        </w:rPr>
        <w:t>GIS</w:t>
      </w:r>
      <w:r>
        <w:rPr>
          <w:rFonts w:ascii="Times New Roman" w:hAnsi="Times New Roman" w:eastAsia="Times New Roman" w:cs="Times New Roman"/>
          <w:color w:val="FF0000"/>
          <w:sz w:val="24"/>
          <w:szCs w:val="24"/>
        </w:rPr>
        <w:t xml:space="preserve">  </w:t>
      </w:r>
      <w:r>
        <w:rPr>
          <w:rFonts w:ascii="宋体" w:hAnsi="宋体" w:eastAsia="宋体" w:cs="宋体"/>
          <w:color w:val="FF0000"/>
          <w:spacing w:val="-3"/>
          <w:sz w:val="24"/>
          <w:szCs w:val="24"/>
        </w:rPr>
        <w:t>布置，占地面积略小于本项目，主变与围墙的距离与本项目类似，主变容量大于</w:t>
      </w:r>
      <w:r>
        <w:rPr>
          <w:rFonts w:ascii="宋体" w:hAnsi="宋体" w:eastAsia="宋体" w:cs="宋体"/>
          <w:color w:val="FF0000"/>
          <w:spacing w:val="18"/>
          <w:sz w:val="24"/>
          <w:szCs w:val="24"/>
        </w:rPr>
        <w:t xml:space="preserve"> </w:t>
      </w:r>
      <w:r>
        <w:rPr>
          <w:rFonts w:ascii="宋体" w:hAnsi="宋体" w:eastAsia="宋体" w:cs="宋体"/>
          <w:color w:val="FF0000"/>
          <w:spacing w:val="-3"/>
          <w:sz w:val="24"/>
          <w:szCs w:val="24"/>
        </w:rPr>
        <w:t>本项目，变容量越大电磁环境影响越大，综合分析，云南省槟榔江猴桥水电站升</w:t>
      </w:r>
      <w:r>
        <w:rPr>
          <w:rFonts w:ascii="宋体" w:hAnsi="宋体" w:eastAsia="宋体" w:cs="宋体"/>
          <w:color w:val="FF0000"/>
          <w:spacing w:val="16"/>
          <w:sz w:val="24"/>
          <w:szCs w:val="24"/>
        </w:rPr>
        <w:t xml:space="preserve"> </w:t>
      </w:r>
      <w:r>
        <w:rPr>
          <w:rFonts w:ascii="宋体" w:hAnsi="宋体" w:eastAsia="宋体" w:cs="宋体"/>
          <w:color w:val="FF0000"/>
          <w:spacing w:val="3"/>
          <w:sz w:val="24"/>
          <w:szCs w:val="24"/>
        </w:rPr>
        <w:t>压站监测值来类比本项目110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40"/>
          <w:sz w:val="24"/>
          <w:szCs w:val="24"/>
        </w:rPr>
        <w:t xml:space="preserve"> </w:t>
      </w:r>
      <w:r>
        <w:rPr>
          <w:rFonts w:ascii="宋体" w:hAnsi="宋体" w:eastAsia="宋体" w:cs="宋体"/>
          <w:color w:val="FF0000"/>
          <w:spacing w:val="3"/>
          <w:sz w:val="24"/>
          <w:szCs w:val="24"/>
        </w:rPr>
        <w:t>升压站对周围电磁环境的影响是合理的。</w:t>
      </w:r>
    </w:p>
    <w:p w14:paraId="35318C30">
      <w:pPr>
        <w:spacing w:before="14" w:line="219" w:lineRule="auto"/>
        <w:ind w:left="1115"/>
        <w:rPr>
          <w:rFonts w:ascii="宋体" w:hAnsi="宋体" w:eastAsia="宋体" w:cs="宋体"/>
          <w:sz w:val="24"/>
          <w:szCs w:val="24"/>
        </w:rPr>
      </w:pPr>
      <w:r>
        <w:rPr>
          <w:rFonts w:ascii="宋体" w:hAnsi="宋体" w:eastAsia="宋体" w:cs="宋体"/>
          <w:color w:val="FF0000"/>
          <w:spacing w:val="17"/>
          <w:sz w:val="24"/>
          <w:szCs w:val="24"/>
        </w:rPr>
        <w:t>(4)类比监测</w:t>
      </w:r>
    </w:p>
    <w:p w14:paraId="0BDD7699">
      <w:pPr>
        <w:spacing w:before="194" w:line="357" w:lineRule="auto"/>
        <w:ind w:left="504" w:right="518" w:firstLine="470"/>
        <w:rPr>
          <w:rFonts w:ascii="宋体" w:hAnsi="宋体" w:eastAsia="宋体" w:cs="宋体"/>
          <w:sz w:val="24"/>
          <w:szCs w:val="24"/>
        </w:rPr>
      </w:pPr>
      <w:r>
        <w:rPr>
          <w:rFonts w:ascii="宋体" w:hAnsi="宋体" w:eastAsia="宋体" w:cs="宋体"/>
          <w:color w:val="FF0000"/>
          <w:spacing w:val="12"/>
          <w:sz w:val="24"/>
          <w:szCs w:val="24"/>
        </w:rPr>
        <w:t>2023年8月云南保山槟榔江水电开发有限公司委托云南省核工业</w:t>
      </w:r>
      <w:r>
        <w:rPr>
          <w:rFonts w:ascii="宋体" w:hAnsi="宋体" w:eastAsia="宋体" w:cs="宋体"/>
          <w:color w:val="FF0000"/>
          <w:spacing w:val="11"/>
          <w:sz w:val="24"/>
          <w:szCs w:val="24"/>
        </w:rPr>
        <w:t>209地质</w:t>
      </w:r>
      <w:r>
        <w:rPr>
          <w:rFonts w:ascii="宋体" w:hAnsi="宋体" w:eastAsia="宋体" w:cs="宋体"/>
          <w:color w:val="FF0000"/>
          <w:sz w:val="24"/>
          <w:szCs w:val="24"/>
        </w:rPr>
        <w:t xml:space="preserve"> </w:t>
      </w:r>
      <w:r>
        <w:rPr>
          <w:rFonts w:ascii="宋体" w:hAnsi="宋体" w:eastAsia="宋体" w:cs="宋体"/>
          <w:color w:val="FF0000"/>
          <w:spacing w:val="5"/>
          <w:sz w:val="24"/>
          <w:szCs w:val="24"/>
        </w:rPr>
        <w:t>大队对其110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5"/>
          <w:sz w:val="24"/>
          <w:szCs w:val="24"/>
        </w:rPr>
        <w:t xml:space="preserve"> </w:t>
      </w:r>
      <w:r>
        <w:rPr>
          <w:rFonts w:ascii="宋体" w:hAnsi="宋体" w:eastAsia="宋体" w:cs="宋体"/>
          <w:color w:val="FF0000"/>
          <w:spacing w:val="5"/>
          <w:sz w:val="24"/>
          <w:szCs w:val="24"/>
        </w:rPr>
        <w:t>升压站场界工频电场强度和工频磁感应强度进行了检测，检测</w:t>
      </w:r>
      <w:r>
        <w:rPr>
          <w:rFonts w:ascii="宋体" w:hAnsi="宋体" w:eastAsia="宋体" w:cs="宋体"/>
          <w:color w:val="FF0000"/>
          <w:sz w:val="24"/>
          <w:szCs w:val="24"/>
        </w:rPr>
        <w:t xml:space="preserve"> </w:t>
      </w:r>
      <w:r>
        <w:rPr>
          <w:rFonts w:ascii="宋体" w:hAnsi="宋体" w:eastAsia="宋体" w:cs="宋体"/>
          <w:color w:val="FF0000"/>
          <w:spacing w:val="12"/>
          <w:sz w:val="24"/>
          <w:szCs w:val="24"/>
        </w:rPr>
        <w:t>结果见表3-5(完整检测报告见附件)。</w:t>
      </w:r>
    </w:p>
    <w:p w14:paraId="18FDAA6D">
      <w:pPr>
        <w:spacing w:before="1" w:line="220" w:lineRule="auto"/>
        <w:ind w:left="975"/>
        <w:rPr>
          <w:rFonts w:ascii="宋体" w:hAnsi="宋体" w:eastAsia="宋体" w:cs="宋体"/>
          <w:sz w:val="24"/>
          <w:szCs w:val="24"/>
        </w:rPr>
      </w:pPr>
      <w:r>
        <w:rPr>
          <w:rFonts w:ascii="宋体" w:hAnsi="宋体" w:eastAsia="宋体" w:cs="宋体"/>
          <w:color w:val="FF0000"/>
          <w:spacing w:val="-2"/>
          <w:sz w:val="24"/>
          <w:szCs w:val="24"/>
        </w:rPr>
        <w:t>1)</w:t>
      </w:r>
      <w:r>
        <w:rPr>
          <w:rFonts w:ascii="宋体" w:hAnsi="宋体" w:eastAsia="宋体" w:cs="宋体"/>
          <w:color w:val="FF0000"/>
          <w:spacing w:val="-10"/>
          <w:sz w:val="24"/>
          <w:szCs w:val="24"/>
        </w:rPr>
        <w:t xml:space="preserve"> </w:t>
      </w:r>
      <w:r>
        <w:rPr>
          <w:rFonts w:ascii="宋体" w:hAnsi="宋体" w:eastAsia="宋体" w:cs="宋体"/>
          <w:color w:val="FF0000"/>
          <w:spacing w:val="-2"/>
          <w:sz w:val="24"/>
          <w:szCs w:val="24"/>
        </w:rPr>
        <w:t>监测点位</w:t>
      </w:r>
    </w:p>
    <w:p w14:paraId="5193D2A6">
      <w:pPr>
        <w:spacing w:before="154" w:line="212" w:lineRule="auto"/>
        <w:ind w:left="975"/>
        <w:rPr>
          <w:rFonts w:ascii="宋体" w:hAnsi="宋体" w:eastAsia="宋体" w:cs="宋体"/>
          <w:sz w:val="24"/>
          <w:szCs w:val="24"/>
        </w:rPr>
      </w:pPr>
      <w:r>
        <w:rPr>
          <w:rFonts w:ascii="宋体" w:hAnsi="宋体" w:eastAsia="宋体" w:cs="宋体"/>
          <w:color w:val="FF0000"/>
          <w:spacing w:val="5"/>
          <w:sz w:val="24"/>
          <w:szCs w:val="24"/>
        </w:rPr>
        <w:t xml:space="preserve">站区四周：在围墙四周布点(测点距围墙 </w:t>
      </w:r>
      <w:r>
        <w:rPr>
          <w:rFonts w:ascii="Times New Roman" w:hAnsi="Times New Roman" w:eastAsia="Times New Roman" w:cs="Times New Roman"/>
          <w:color w:val="FF0000"/>
          <w:spacing w:val="5"/>
          <w:sz w:val="24"/>
          <w:szCs w:val="24"/>
        </w:rPr>
        <w:t>5m)</w:t>
      </w:r>
      <w:r>
        <w:rPr>
          <w:rFonts w:ascii="宋体" w:hAnsi="宋体" w:eastAsia="宋体" w:cs="宋体"/>
          <w:color w:val="FF0000"/>
          <w:spacing w:val="5"/>
          <w:sz w:val="24"/>
          <w:szCs w:val="24"/>
        </w:rPr>
        <w:t>。</w:t>
      </w:r>
    </w:p>
    <w:p w14:paraId="719B8F52">
      <w:pPr>
        <w:spacing w:before="230" w:line="364" w:lineRule="auto"/>
        <w:ind w:left="504" w:right="535" w:firstLine="470"/>
        <w:rPr>
          <w:rFonts w:ascii="宋体" w:hAnsi="宋体" w:eastAsia="宋体" w:cs="宋体"/>
          <w:sz w:val="24"/>
          <w:szCs w:val="24"/>
        </w:rPr>
      </w:pPr>
      <w:r>
        <w:rPr>
          <w:rFonts w:ascii="宋体" w:hAnsi="宋体" w:eastAsia="宋体" w:cs="宋体"/>
          <w:color w:val="FF0000"/>
          <w:spacing w:val="5"/>
          <w:sz w:val="24"/>
          <w:szCs w:val="24"/>
        </w:rPr>
        <w:t>衰减断面：在测量值较高点位(变电站出线侧除外)选择一</w:t>
      </w:r>
      <w:r>
        <w:rPr>
          <w:rFonts w:ascii="宋体" w:hAnsi="宋体" w:eastAsia="宋体" w:cs="宋体"/>
          <w:color w:val="FF0000"/>
          <w:spacing w:val="4"/>
          <w:sz w:val="24"/>
          <w:szCs w:val="24"/>
        </w:rPr>
        <w:t>条垂直于围墙方</w:t>
      </w:r>
      <w:r>
        <w:rPr>
          <w:rFonts w:ascii="宋体" w:hAnsi="宋体" w:eastAsia="宋体" w:cs="宋体"/>
          <w:color w:val="FF0000"/>
          <w:sz w:val="24"/>
          <w:szCs w:val="24"/>
        </w:rPr>
        <w:t xml:space="preserve"> 向的衰减断面，距离围墙5</w:t>
      </w:r>
      <w:r>
        <w:rPr>
          <w:rFonts w:ascii="Times New Roman" w:hAnsi="Times New Roman" w:eastAsia="Times New Roman" w:cs="Times New Roman"/>
          <w:color w:val="FF0000"/>
          <w:sz w:val="24"/>
          <w:szCs w:val="24"/>
        </w:rPr>
        <w:t>m</w:t>
      </w:r>
      <w:r>
        <w:rPr>
          <w:rFonts w:ascii="Times New Roman" w:hAnsi="Times New Roman" w:eastAsia="Times New Roman" w:cs="Times New Roman"/>
          <w:color w:val="FF0000"/>
          <w:spacing w:val="-34"/>
          <w:sz w:val="24"/>
          <w:szCs w:val="24"/>
        </w:rPr>
        <w:t xml:space="preserve"> </w:t>
      </w:r>
      <w:r>
        <w:rPr>
          <w:rFonts w:ascii="宋体" w:hAnsi="宋体" w:eastAsia="宋体" w:cs="宋体"/>
          <w:color w:val="FF0000"/>
          <w:sz w:val="24"/>
          <w:szCs w:val="24"/>
        </w:rPr>
        <w:t>、</w:t>
      </w:r>
      <w:r>
        <w:rPr>
          <w:rFonts w:ascii="Times New Roman" w:hAnsi="Times New Roman" w:eastAsia="Times New Roman" w:cs="Times New Roman"/>
          <w:color w:val="FF0000"/>
          <w:sz w:val="24"/>
          <w:szCs w:val="24"/>
        </w:rPr>
        <w:t>10m……50m</w:t>
      </w:r>
      <w:r>
        <w:rPr>
          <w:rFonts w:ascii="宋体" w:hAnsi="宋体" w:eastAsia="宋体" w:cs="宋体"/>
          <w:color w:val="FF0000"/>
          <w:sz w:val="24"/>
          <w:szCs w:val="24"/>
        </w:rPr>
        <w:t>。</w:t>
      </w:r>
    </w:p>
    <w:p w14:paraId="485A5B23">
      <w:pPr>
        <w:spacing w:line="364" w:lineRule="auto"/>
        <w:rPr>
          <w:rFonts w:ascii="宋体" w:hAnsi="宋体" w:eastAsia="宋体" w:cs="宋体"/>
          <w:sz w:val="24"/>
          <w:szCs w:val="24"/>
        </w:rPr>
        <w:sectPr>
          <w:footerReference r:id="rId236" w:type="default"/>
          <w:pgSz w:w="11910" w:h="16830"/>
          <w:pgMar w:top="400" w:right="1294" w:bottom="1198" w:left="1264" w:header="0" w:footer="913" w:gutter="0"/>
          <w:cols w:space="720" w:num="1"/>
        </w:sectPr>
      </w:pPr>
    </w:p>
    <w:p w14:paraId="3E2EBD60">
      <w:pPr>
        <w:pStyle w:val="2"/>
        <w:spacing w:line="263" w:lineRule="auto"/>
      </w:pPr>
    </w:p>
    <w:p w14:paraId="1485E9EA">
      <w:pPr>
        <w:pStyle w:val="2"/>
        <w:spacing w:line="264" w:lineRule="auto"/>
      </w:pPr>
    </w:p>
    <w:p w14:paraId="52F4FC8D">
      <w:pPr>
        <w:pStyle w:val="2"/>
        <w:spacing w:line="264" w:lineRule="auto"/>
      </w:pPr>
    </w:p>
    <w:p w14:paraId="6EA78653">
      <w:pPr>
        <w:pStyle w:val="2"/>
        <w:spacing w:line="264" w:lineRule="auto"/>
      </w:pPr>
    </w:p>
    <w:p w14:paraId="2B93B453">
      <w:pPr>
        <w:spacing w:before="78" w:line="219" w:lineRule="auto"/>
        <w:ind w:left="470"/>
        <w:rPr>
          <w:rFonts w:ascii="宋体" w:hAnsi="宋体" w:eastAsia="宋体" w:cs="宋体"/>
          <w:sz w:val="24"/>
          <w:szCs w:val="24"/>
        </w:rPr>
      </w:pPr>
      <w:r>
        <w:rPr>
          <w:rFonts w:ascii="宋体" w:hAnsi="宋体" w:eastAsia="宋体" w:cs="宋体"/>
          <w:spacing w:val="20"/>
          <w:sz w:val="24"/>
          <w:szCs w:val="24"/>
        </w:rPr>
        <w:t>2)监测仪器</w:t>
      </w:r>
    </w:p>
    <w:p w14:paraId="4B2598B4">
      <w:pPr>
        <w:spacing w:before="159" w:line="359" w:lineRule="auto"/>
        <w:ind w:right="63" w:firstLine="470"/>
        <w:jc w:val="both"/>
        <w:rPr>
          <w:rFonts w:ascii="宋体" w:hAnsi="宋体" w:eastAsia="宋体" w:cs="宋体"/>
          <w:sz w:val="24"/>
          <w:szCs w:val="24"/>
        </w:rPr>
      </w:pPr>
      <w:r>
        <w:rPr>
          <w:rFonts w:ascii="宋体" w:hAnsi="宋体" w:eastAsia="宋体" w:cs="宋体"/>
          <w:color w:val="FF0000"/>
          <w:spacing w:val="-3"/>
          <w:sz w:val="24"/>
          <w:szCs w:val="24"/>
        </w:rPr>
        <w:t>西班牙电磁辐射分析仪(电场)</w:t>
      </w:r>
      <w:r>
        <w:rPr>
          <w:rFonts w:ascii="Times New Roman" w:hAnsi="Times New Roman" w:eastAsia="Times New Roman" w:cs="Times New Roman"/>
          <w:color w:val="FF0000"/>
          <w:spacing w:val="-3"/>
          <w:sz w:val="24"/>
          <w:szCs w:val="24"/>
        </w:rPr>
        <w:t xml:space="preserve">SMP-560&amp;WP50,   </w:t>
      </w:r>
      <w:r>
        <w:rPr>
          <w:rFonts w:ascii="宋体" w:hAnsi="宋体" w:eastAsia="宋体" w:cs="宋体"/>
          <w:color w:val="FF0000"/>
          <w:spacing w:val="-3"/>
          <w:sz w:val="24"/>
          <w:szCs w:val="24"/>
        </w:rPr>
        <w:t>仪器编号</w:t>
      </w:r>
      <w:r>
        <w:rPr>
          <w:rFonts w:ascii="宋体" w:hAnsi="宋体" w:eastAsia="宋体" w:cs="宋体"/>
          <w:color w:val="FF0000"/>
          <w:spacing w:val="-4"/>
          <w:sz w:val="24"/>
          <w:szCs w:val="24"/>
        </w:rPr>
        <w:t>：</w:t>
      </w:r>
      <w:r>
        <w:rPr>
          <w:rFonts w:ascii="Times New Roman" w:hAnsi="Times New Roman" w:eastAsia="Times New Roman" w:cs="Times New Roman"/>
          <w:color w:val="FF0000"/>
          <w:spacing w:val="-4"/>
          <w:sz w:val="24"/>
          <w:szCs w:val="24"/>
        </w:rPr>
        <w:t xml:space="preserve">FS-J01,  </w:t>
      </w:r>
      <w:r>
        <w:rPr>
          <w:rFonts w:ascii="宋体" w:hAnsi="宋体" w:eastAsia="宋体" w:cs="宋体"/>
          <w:color w:val="FF0000"/>
          <w:spacing w:val="-4"/>
          <w:sz w:val="24"/>
          <w:szCs w:val="24"/>
        </w:rPr>
        <w:t>检/校有</w:t>
      </w:r>
      <w:r>
        <w:rPr>
          <w:rFonts w:ascii="宋体" w:hAnsi="宋体" w:eastAsia="宋体" w:cs="宋体"/>
          <w:color w:val="FF0000"/>
          <w:sz w:val="24"/>
          <w:szCs w:val="24"/>
        </w:rPr>
        <w:t xml:space="preserve"> </w:t>
      </w:r>
      <w:r>
        <w:rPr>
          <w:rFonts w:ascii="宋体" w:hAnsi="宋体" w:eastAsia="宋体" w:cs="宋体"/>
          <w:color w:val="FF0000"/>
          <w:spacing w:val="-5"/>
          <w:sz w:val="24"/>
          <w:szCs w:val="24"/>
        </w:rPr>
        <w:t>效期至：2024-06-11,证书编号：校准字第202306010187,检/校单位：中国测试技</w:t>
      </w:r>
      <w:r>
        <w:rPr>
          <w:rFonts w:ascii="宋体" w:hAnsi="宋体" w:eastAsia="宋体" w:cs="宋体"/>
          <w:color w:val="FF0000"/>
          <w:spacing w:val="9"/>
          <w:sz w:val="24"/>
          <w:szCs w:val="24"/>
        </w:rPr>
        <w:t xml:space="preserve"> </w:t>
      </w:r>
      <w:r>
        <w:rPr>
          <w:rFonts w:ascii="宋体" w:hAnsi="宋体" w:eastAsia="宋体" w:cs="宋体"/>
          <w:color w:val="FF0000"/>
          <w:spacing w:val="-3"/>
          <w:sz w:val="24"/>
          <w:szCs w:val="24"/>
        </w:rPr>
        <w:t>术研究院</w:t>
      </w:r>
    </w:p>
    <w:p w14:paraId="5A4CE0EA">
      <w:pPr>
        <w:spacing w:before="1" w:line="368" w:lineRule="auto"/>
        <w:ind w:right="37" w:firstLine="470"/>
        <w:jc w:val="both"/>
        <w:rPr>
          <w:rFonts w:ascii="Times New Roman" w:hAnsi="Times New Roman" w:eastAsia="Times New Roman" w:cs="Times New Roman"/>
          <w:sz w:val="24"/>
          <w:szCs w:val="24"/>
        </w:rPr>
      </w:pPr>
      <w:r>
        <w:rPr>
          <w:rFonts w:ascii="宋体" w:hAnsi="宋体" w:eastAsia="宋体" w:cs="宋体"/>
          <w:color w:val="FF0000"/>
          <w:spacing w:val="-3"/>
          <w:sz w:val="24"/>
          <w:szCs w:val="24"/>
        </w:rPr>
        <w:t>西班牙电磁辐射分析仪(磁场)</w:t>
      </w:r>
      <w:r>
        <w:rPr>
          <w:rFonts w:ascii="Times New Roman" w:hAnsi="Times New Roman" w:eastAsia="Times New Roman" w:cs="Times New Roman"/>
          <w:color w:val="FF0000"/>
          <w:spacing w:val="-3"/>
          <w:sz w:val="24"/>
          <w:szCs w:val="24"/>
        </w:rPr>
        <w:t xml:space="preserve">SMP-560&amp;WP50,   </w:t>
      </w:r>
      <w:r>
        <w:rPr>
          <w:rFonts w:ascii="宋体" w:hAnsi="宋体" w:eastAsia="宋体" w:cs="宋体"/>
          <w:color w:val="FF0000"/>
          <w:spacing w:val="-3"/>
          <w:sz w:val="24"/>
          <w:szCs w:val="24"/>
        </w:rPr>
        <w:t>仪器编号</w:t>
      </w:r>
      <w:r>
        <w:rPr>
          <w:rFonts w:ascii="宋体" w:hAnsi="宋体" w:eastAsia="宋体" w:cs="宋体"/>
          <w:color w:val="FF0000"/>
          <w:spacing w:val="-4"/>
          <w:sz w:val="24"/>
          <w:szCs w:val="24"/>
        </w:rPr>
        <w:t>：</w:t>
      </w:r>
      <w:r>
        <w:rPr>
          <w:rFonts w:ascii="Times New Roman" w:hAnsi="Times New Roman" w:eastAsia="Times New Roman" w:cs="Times New Roman"/>
          <w:color w:val="FF0000"/>
          <w:spacing w:val="-4"/>
          <w:sz w:val="24"/>
          <w:szCs w:val="24"/>
        </w:rPr>
        <w:t xml:space="preserve">FS-J01,  </w:t>
      </w:r>
      <w:r>
        <w:rPr>
          <w:rFonts w:ascii="宋体" w:hAnsi="宋体" w:eastAsia="宋体" w:cs="宋体"/>
          <w:color w:val="FF0000"/>
          <w:spacing w:val="-4"/>
          <w:sz w:val="24"/>
          <w:szCs w:val="24"/>
        </w:rPr>
        <w:t>检/校有</w:t>
      </w:r>
      <w:r>
        <w:rPr>
          <w:rFonts w:ascii="宋体" w:hAnsi="宋体" w:eastAsia="宋体" w:cs="宋体"/>
          <w:color w:val="FF0000"/>
          <w:sz w:val="24"/>
          <w:szCs w:val="24"/>
        </w:rPr>
        <w:t xml:space="preserve"> </w:t>
      </w:r>
      <w:r>
        <w:rPr>
          <w:rFonts w:ascii="宋体" w:hAnsi="宋体" w:eastAsia="宋体" w:cs="宋体"/>
          <w:color w:val="FF0000"/>
          <w:spacing w:val="4"/>
          <w:sz w:val="24"/>
          <w:szCs w:val="24"/>
        </w:rPr>
        <w:t>效期至：2024-07-06,检/校单位：中国测试技术研究院，证书编</w:t>
      </w:r>
      <w:r>
        <w:rPr>
          <w:rFonts w:ascii="宋体" w:hAnsi="宋体" w:eastAsia="宋体" w:cs="宋体"/>
          <w:color w:val="FF0000"/>
          <w:spacing w:val="3"/>
          <w:sz w:val="24"/>
          <w:szCs w:val="24"/>
        </w:rPr>
        <w:t>号：校准字第</w:t>
      </w:r>
      <w:r>
        <w:rPr>
          <w:rFonts w:ascii="宋体" w:hAnsi="宋体" w:eastAsia="宋体" w:cs="宋体"/>
          <w:color w:val="FF0000"/>
          <w:sz w:val="24"/>
          <w:szCs w:val="24"/>
        </w:rPr>
        <w:t xml:space="preserve"> </w:t>
      </w:r>
      <w:r>
        <w:rPr>
          <w:rFonts w:ascii="Times New Roman" w:hAnsi="Times New Roman" w:eastAsia="Times New Roman" w:cs="Times New Roman"/>
          <w:color w:val="FF0000"/>
          <w:spacing w:val="-1"/>
          <w:sz w:val="24"/>
          <w:szCs w:val="24"/>
        </w:rPr>
        <w:t>202307001374</w:t>
      </w:r>
    </w:p>
    <w:p w14:paraId="3B2C7314">
      <w:pPr>
        <w:spacing w:before="75" w:line="221" w:lineRule="auto"/>
        <w:ind w:left="470"/>
        <w:rPr>
          <w:rFonts w:ascii="宋体" w:hAnsi="宋体" w:eastAsia="宋体" w:cs="宋体"/>
          <w:sz w:val="24"/>
          <w:szCs w:val="24"/>
        </w:rPr>
      </w:pPr>
      <w:r>
        <w:rPr>
          <w:rFonts w:ascii="宋体" w:hAnsi="宋体" w:eastAsia="宋体" w:cs="宋体"/>
          <w:color w:val="FF0000"/>
          <w:spacing w:val="19"/>
          <w:sz w:val="24"/>
          <w:szCs w:val="24"/>
        </w:rPr>
        <w:t>3)测量方法</w:t>
      </w:r>
    </w:p>
    <w:p w14:paraId="0A7EBD05">
      <w:pPr>
        <w:spacing w:before="134" w:line="212" w:lineRule="auto"/>
        <w:ind w:left="480"/>
        <w:rPr>
          <w:rFonts w:ascii="宋体" w:hAnsi="宋体" w:eastAsia="宋体" w:cs="宋体"/>
          <w:sz w:val="24"/>
          <w:szCs w:val="24"/>
        </w:rPr>
      </w:pPr>
      <w:r>
        <w:rPr>
          <w:rFonts w:ascii="宋体" w:hAnsi="宋体" w:eastAsia="宋体" w:cs="宋体"/>
          <w:color w:val="FF0000"/>
          <w:spacing w:val="3"/>
          <w:sz w:val="24"/>
          <w:szCs w:val="24"/>
        </w:rPr>
        <w:t>《交流输变电工程电磁环境监测方法(试行)》</w:t>
      </w:r>
      <w:r>
        <w:rPr>
          <w:rFonts w:ascii="宋体" w:hAnsi="宋体" w:eastAsia="宋体" w:cs="宋体"/>
          <w:color w:val="FF0000"/>
          <w:spacing w:val="70"/>
          <w:sz w:val="24"/>
          <w:szCs w:val="24"/>
        </w:rPr>
        <w:t xml:space="preserve"> </w:t>
      </w:r>
      <w:r>
        <w:rPr>
          <w:rFonts w:ascii="宋体" w:hAnsi="宋体" w:eastAsia="宋体" w:cs="宋体"/>
          <w:color w:val="FF0000"/>
          <w:spacing w:val="3"/>
          <w:sz w:val="24"/>
          <w:szCs w:val="24"/>
        </w:rPr>
        <w:t>(</w:t>
      </w:r>
      <w:r>
        <w:rPr>
          <w:rFonts w:ascii="宋体" w:hAnsi="宋体" w:eastAsia="宋体" w:cs="宋体"/>
          <w:color w:val="FF0000"/>
          <w:spacing w:val="-59"/>
          <w:sz w:val="24"/>
          <w:szCs w:val="24"/>
        </w:rPr>
        <w:t xml:space="preserve"> </w:t>
      </w:r>
      <w:r>
        <w:rPr>
          <w:rFonts w:ascii="Times New Roman" w:hAnsi="Times New Roman" w:eastAsia="Times New Roman" w:cs="Times New Roman"/>
          <w:color w:val="FF0000"/>
          <w:sz w:val="24"/>
          <w:szCs w:val="24"/>
        </w:rPr>
        <w:t>HJ</w:t>
      </w:r>
      <w:r>
        <w:rPr>
          <w:rFonts w:ascii="Times New Roman" w:hAnsi="Times New Roman" w:eastAsia="Times New Roman" w:cs="Times New Roman"/>
          <w:color w:val="FF0000"/>
          <w:spacing w:val="3"/>
          <w:sz w:val="24"/>
          <w:szCs w:val="24"/>
        </w:rPr>
        <w:t>681-201</w:t>
      </w:r>
      <w:r>
        <w:rPr>
          <w:rFonts w:ascii="Times New Roman" w:hAnsi="Times New Roman" w:eastAsia="Times New Roman" w:cs="Times New Roman"/>
          <w:color w:val="FF0000"/>
          <w:spacing w:val="2"/>
          <w:sz w:val="24"/>
          <w:szCs w:val="24"/>
        </w:rPr>
        <w:t>3)</w:t>
      </w:r>
      <w:r>
        <w:rPr>
          <w:rFonts w:ascii="宋体" w:hAnsi="宋体" w:eastAsia="宋体" w:cs="宋体"/>
          <w:color w:val="FF0000"/>
          <w:spacing w:val="2"/>
          <w:sz w:val="24"/>
          <w:szCs w:val="24"/>
        </w:rPr>
        <w:t>。</w:t>
      </w:r>
    </w:p>
    <w:p w14:paraId="12D6DEFE">
      <w:pPr>
        <w:spacing w:before="231" w:line="219" w:lineRule="auto"/>
        <w:ind w:left="470"/>
        <w:rPr>
          <w:rFonts w:ascii="宋体" w:hAnsi="宋体" w:eastAsia="宋体" w:cs="宋体"/>
          <w:sz w:val="24"/>
          <w:szCs w:val="24"/>
        </w:rPr>
      </w:pPr>
      <w:r>
        <w:rPr>
          <w:rFonts w:ascii="宋体" w:hAnsi="宋体" w:eastAsia="宋体" w:cs="宋体"/>
          <w:color w:val="FF0000"/>
          <w:spacing w:val="13"/>
          <w:sz w:val="24"/>
          <w:szCs w:val="24"/>
        </w:rPr>
        <w:t>4)监测期间气象条件</w:t>
      </w:r>
    </w:p>
    <w:p w14:paraId="366E3EDE">
      <w:pPr>
        <w:spacing w:before="156" w:line="219" w:lineRule="auto"/>
        <w:ind w:left="470"/>
        <w:rPr>
          <w:rFonts w:ascii="宋体" w:hAnsi="宋体" w:eastAsia="宋体" w:cs="宋体"/>
          <w:sz w:val="24"/>
          <w:szCs w:val="24"/>
        </w:rPr>
      </w:pPr>
      <w:r>
        <w:rPr>
          <w:rFonts w:ascii="宋体" w:hAnsi="宋体" w:eastAsia="宋体" w:cs="宋体"/>
          <w:color w:val="FF0000"/>
          <w:spacing w:val="16"/>
          <w:sz w:val="24"/>
          <w:szCs w:val="24"/>
        </w:rPr>
        <w:t>监测时间：2023年8月3日；</w:t>
      </w:r>
    </w:p>
    <w:p w14:paraId="6EF7ECC4">
      <w:pPr>
        <w:spacing w:before="196" w:line="220" w:lineRule="auto"/>
        <w:ind w:left="470"/>
        <w:rPr>
          <w:rFonts w:ascii="宋体" w:hAnsi="宋体" w:eastAsia="宋体" w:cs="宋体"/>
          <w:sz w:val="24"/>
          <w:szCs w:val="24"/>
        </w:rPr>
      </w:pPr>
      <w:r>
        <w:rPr>
          <w:rFonts w:ascii="宋体" w:hAnsi="宋体" w:eastAsia="宋体" w:cs="宋体"/>
          <w:color w:val="FF0000"/>
          <w:spacing w:val="-1"/>
          <w:sz w:val="24"/>
          <w:szCs w:val="24"/>
        </w:rPr>
        <w:t>监测环境：多云、温度：21℃、相对湿度75%。</w:t>
      </w:r>
    </w:p>
    <w:p w14:paraId="2B353A83">
      <w:pPr>
        <w:spacing w:before="194" w:line="220" w:lineRule="auto"/>
        <w:ind w:left="470"/>
        <w:rPr>
          <w:rFonts w:ascii="宋体" w:hAnsi="宋体" w:eastAsia="宋体" w:cs="宋体"/>
          <w:sz w:val="24"/>
          <w:szCs w:val="24"/>
        </w:rPr>
      </w:pPr>
      <w:r>
        <w:rPr>
          <w:rFonts w:ascii="宋体" w:hAnsi="宋体" w:eastAsia="宋体" w:cs="宋体"/>
          <w:color w:val="FF0000"/>
          <w:spacing w:val="19"/>
          <w:sz w:val="24"/>
          <w:szCs w:val="24"/>
        </w:rPr>
        <w:t>5)监测单位</w:t>
      </w:r>
    </w:p>
    <w:p w14:paraId="7D6755E4">
      <w:pPr>
        <w:spacing w:before="153" w:line="219" w:lineRule="auto"/>
        <w:ind w:left="470"/>
        <w:rPr>
          <w:rFonts w:ascii="宋体" w:hAnsi="宋体" w:eastAsia="宋体" w:cs="宋体"/>
          <w:sz w:val="24"/>
          <w:szCs w:val="24"/>
        </w:rPr>
      </w:pPr>
      <w:r>
        <w:rPr>
          <w:rFonts w:ascii="宋体" w:hAnsi="宋体" w:eastAsia="宋体" w:cs="宋体"/>
          <w:color w:val="FF0000"/>
          <w:spacing w:val="8"/>
          <w:sz w:val="24"/>
          <w:szCs w:val="24"/>
        </w:rPr>
        <w:t>云南省核工业209地质大队</w:t>
      </w:r>
    </w:p>
    <w:p w14:paraId="28E19DC0">
      <w:pPr>
        <w:spacing w:before="186" w:line="220" w:lineRule="auto"/>
        <w:ind w:left="470"/>
        <w:rPr>
          <w:rFonts w:ascii="宋体" w:hAnsi="宋体" w:eastAsia="宋体" w:cs="宋体"/>
          <w:sz w:val="24"/>
          <w:szCs w:val="24"/>
        </w:rPr>
      </w:pPr>
      <w:r>
        <w:rPr>
          <w:rFonts w:ascii="宋体" w:hAnsi="宋体" w:eastAsia="宋体" w:cs="宋体"/>
          <w:color w:val="FF0000"/>
          <w:spacing w:val="17"/>
          <w:sz w:val="24"/>
          <w:szCs w:val="24"/>
        </w:rPr>
        <w:t>6)监测期间工况</w:t>
      </w:r>
    </w:p>
    <w:p w14:paraId="758709AE">
      <w:pPr>
        <w:spacing w:before="234" w:line="220" w:lineRule="auto"/>
        <w:ind w:left="3100"/>
        <w:rPr>
          <w:rFonts w:ascii="宋体" w:hAnsi="宋体" w:eastAsia="宋体" w:cs="宋体"/>
          <w:sz w:val="24"/>
          <w:szCs w:val="24"/>
        </w:rPr>
      </w:pPr>
      <w:r>
        <w:rPr>
          <w:rFonts w:ascii="宋体" w:hAnsi="宋体" w:eastAsia="宋体" w:cs="宋体"/>
          <w:color w:val="FF0000"/>
          <w:spacing w:val="10"/>
          <w:sz w:val="24"/>
          <w:szCs w:val="24"/>
        </w:rPr>
        <w:t>表3-4监测期间工况</w:t>
      </w:r>
    </w:p>
    <w:p w14:paraId="302F79B0">
      <w:pPr>
        <w:spacing w:before="38"/>
      </w:pPr>
    </w:p>
    <w:p w14:paraId="1528682B">
      <w:pPr>
        <w:spacing w:before="37"/>
      </w:pPr>
    </w:p>
    <w:tbl>
      <w:tblPr>
        <w:tblStyle w:val="5"/>
        <w:tblW w:w="7390" w:type="dxa"/>
        <w:tblInd w:w="6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1238"/>
        <w:gridCol w:w="1228"/>
        <w:gridCol w:w="1428"/>
        <w:gridCol w:w="1239"/>
        <w:gridCol w:w="1293"/>
      </w:tblGrid>
      <w:tr w14:paraId="41B83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964" w:type="dxa"/>
            <w:vAlign w:val="top"/>
          </w:tcPr>
          <w:p w14:paraId="7E21A5D2">
            <w:pPr>
              <w:pStyle w:val="6"/>
              <w:spacing w:before="104" w:line="220" w:lineRule="auto"/>
              <w:ind w:left="264"/>
              <w:rPr>
                <w:sz w:val="21"/>
                <w:szCs w:val="21"/>
              </w:rPr>
            </w:pPr>
            <w:r>
              <w:rPr>
                <w:spacing w:val="12"/>
                <w:sz w:val="21"/>
                <w:szCs w:val="21"/>
              </w:rPr>
              <w:t>日期</w:t>
            </w:r>
          </w:p>
        </w:tc>
        <w:tc>
          <w:tcPr>
            <w:tcW w:w="6426" w:type="dxa"/>
            <w:gridSpan w:val="5"/>
            <w:vAlign w:val="top"/>
          </w:tcPr>
          <w:p w14:paraId="77D2433F">
            <w:pPr>
              <w:pStyle w:val="6"/>
              <w:spacing w:before="100" w:line="219" w:lineRule="auto"/>
              <w:ind w:left="2384"/>
              <w:rPr>
                <w:sz w:val="21"/>
                <w:szCs w:val="21"/>
              </w:rPr>
            </w:pPr>
            <w:r>
              <w:rPr>
                <w:b/>
                <w:bCs/>
                <w:sz w:val="21"/>
                <w:szCs w:val="21"/>
              </w:rPr>
              <w:t>2023年08月03日</w:t>
            </w:r>
          </w:p>
        </w:tc>
      </w:tr>
      <w:tr w14:paraId="0B800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7" w:hRule="atLeast"/>
        </w:trPr>
        <w:tc>
          <w:tcPr>
            <w:tcW w:w="964" w:type="dxa"/>
            <w:vAlign w:val="top"/>
          </w:tcPr>
          <w:p w14:paraId="47C02BDA">
            <w:pPr>
              <w:pStyle w:val="6"/>
              <w:spacing w:before="150" w:line="219" w:lineRule="auto"/>
              <w:ind w:left="264"/>
              <w:rPr>
                <w:sz w:val="21"/>
                <w:szCs w:val="21"/>
              </w:rPr>
            </w:pPr>
            <w:r>
              <w:rPr>
                <w:spacing w:val="6"/>
                <w:sz w:val="21"/>
                <w:szCs w:val="21"/>
              </w:rPr>
              <w:t>类型</w:t>
            </w:r>
          </w:p>
        </w:tc>
        <w:tc>
          <w:tcPr>
            <w:tcW w:w="1238" w:type="dxa"/>
            <w:vAlign w:val="top"/>
          </w:tcPr>
          <w:p w14:paraId="3A3B564C">
            <w:pPr>
              <w:pStyle w:val="6"/>
              <w:spacing w:before="153" w:line="221" w:lineRule="auto"/>
              <w:ind w:left="401"/>
              <w:rPr>
                <w:sz w:val="21"/>
                <w:szCs w:val="21"/>
              </w:rPr>
            </w:pPr>
            <w:r>
              <w:rPr>
                <w:spacing w:val="5"/>
                <w:sz w:val="21"/>
                <w:szCs w:val="21"/>
              </w:rPr>
              <w:t>名称</w:t>
            </w:r>
          </w:p>
        </w:tc>
        <w:tc>
          <w:tcPr>
            <w:tcW w:w="1228" w:type="dxa"/>
            <w:vAlign w:val="top"/>
          </w:tcPr>
          <w:p w14:paraId="7FE988F0">
            <w:pPr>
              <w:pStyle w:val="6"/>
              <w:spacing w:before="147" w:line="219" w:lineRule="auto"/>
              <w:ind w:left="86"/>
              <w:rPr>
                <w:sz w:val="21"/>
                <w:szCs w:val="21"/>
              </w:rPr>
            </w:pPr>
            <w:r>
              <w:rPr>
                <w:b/>
                <w:bCs/>
                <w:spacing w:val="4"/>
                <w:sz w:val="21"/>
                <w:szCs w:val="21"/>
              </w:rPr>
              <w:t>电压值(</w:t>
            </w:r>
            <w:r>
              <w:rPr>
                <w:b/>
                <w:bCs/>
                <w:sz w:val="21"/>
                <w:szCs w:val="21"/>
              </w:rPr>
              <w:t>kV</w:t>
            </w:r>
            <w:r>
              <w:rPr>
                <w:b/>
                <w:bCs/>
                <w:spacing w:val="4"/>
                <w:sz w:val="21"/>
                <w:szCs w:val="21"/>
              </w:rPr>
              <w:t>)</w:t>
            </w:r>
          </w:p>
        </w:tc>
        <w:tc>
          <w:tcPr>
            <w:tcW w:w="1428" w:type="dxa"/>
            <w:vAlign w:val="top"/>
          </w:tcPr>
          <w:p w14:paraId="4BF1A2A5">
            <w:pPr>
              <w:pStyle w:val="6"/>
              <w:spacing w:before="147" w:line="219" w:lineRule="auto"/>
              <w:ind w:left="238"/>
              <w:rPr>
                <w:sz w:val="21"/>
                <w:szCs w:val="21"/>
              </w:rPr>
            </w:pPr>
            <w:r>
              <w:rPr>
                <w:b/>
                <w:bCs/>
                <w:spacing w:val="3"/>
                <w:sz w:val="21"/>
                <w:szCs w:val="21"/>
              </w:rPr>
              <w:t>电流值(A)</w:t>
            </w:r>
          </w:p>
        </w:tc>
        <w:tc>
          <w:tcPr>
            <w:tcW w:w="1239" w:type="dxa"/>
            <w:vAlign w:val="top"/>
          </w:tcPr>
          <w:p w14:paraId="284CA435">
            <w:pPr>
              <w:pStyle w:val="6"/>
              <w:spacing w:before="7" w:line="219" w:lineRule="auto"/>
              <w:ind w:left="199"/>
              <w:rPr>
                <w:sz w:val="21"/>
                <w:szCs w:val="21"/>
              </w:rPr>
            </w:pPr>
            <w:r>
              <w:rPr>
                <w:b/>
                <w:bCs/>
                <w:spacing w:val="-4"/>
                <w:sz w:val="21"/>
                <w:szCs w:val="21"/>
              </w:rPr>
              <w:t>有功功率</w:t>
            </w:r>
          </w:p>
          <w:p w14:paraId="51C148ED">
            <w:pPr>
              <w:pStyle w:val="6"/>
              <w:spacing w:before="13" w:line="199" w:lineRule="auto"/>
              <w:ind w:left="410"/>
              <w:rPr>
                <w:sz w:val="21"/>
                <w:szCs w:val="21"/>
              </w:rPr>
            </w:pPr>
            <w:r>
              <w:rPr>
                <w:b/>
                <w:bCs/>
                <w:spacing w:val="-11"/>
                <w:sz w:val="21"/>
                <w:szCs w:val="21"/>
              </w:rPr>
              <w:t>(MW)</w:t>
            </w:r>
          </w:p>
        </w:tc>
        <w:tc>
          <w:tcPr>
            <w:tcW w:w="1293" w:type="dxa"/>
            <w:vAlign w:val="top"/>
          </w:tcPr>
          <w:p w14:paraId="61CBE186">
            <w:pPr>
              <w:pStyle w:val="6"/>
              <w:spacing w:before="7" w:line="219" w:lineRule="auto"/>
              <w:ind w:left="221"/>
              <w:rPr>
                <w:sz w:val="21"/>
                <w:szCs w:val="21"/>
              </w:rPr>
            </w:pPr>
            <w:r>
              <w:rPr>
                <w:b/>
                <w:bCs/>
                <w:spacing w:val="-5"/>
                <w:sz w:val="21"/>
                <w:szCs w:val="21"/>
              </w:rPr>
              <w:t>无功功率</w:t>
            </w:r>
          </w:p>
          <w:p w14:paraId="38F69CAA">
            <w:pPr>
              <w:pStyle w:val="6"/>
              <w:spacing w:before="13" w:line="199" w:lineRule="auto"/>
              <w:ind w:left="330"/>
              <w:rPr>
                <w:sz w:val="21"/>
                <w:szCs w:val="21"/>
              </w:rPr>
            </w:pPr>
            <w:r>
              <w:rPr>
                <w:b/>
                <w:bCs/>
                <w:spacing w:val="-10"/>
                <w:sz w:val="21"/>
                <w:szCs w:val="21"/>
              </w:rPr>
              <w:t>(Mvar)</w:t>
            </w:r>
          </w:p>
        </w:tc>
      </w:tr>
      <w:tr w14:paraId="2A852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964" w:type="dxa"/>
            <w:vAlign w:val="top"/>
          </w:tcPr>
          <w:p w14:paraId="51688791">
            <w:pPr>
              <w:pStyle w:val="6"/>
              <w:spacing w:before="173" w:line="219" w:lineRule="auto"/>
              <w:ind w:left="155"/>
              <w:rPr>
                <w:sz w:val="21"/>
                <w:szCs w:val="21"/>
              </w:rPr>
            </w:pPr>
            <w:r>
              <w:rPr>
                <w:spacing w:val="3"/>
                <w:sz w:val="21"/>
                <w:szCs w:val="21"/>
              </w:rPr>
              <w:t>水电站</w:t>
            </w:r>
          </w:p>
        </w:tc>
        <w:tc>
          <w:tcPr>
            <w:tcW w:w="1238" w:type="dxa"/>
            <w:vAlign w:val="top"/>
          </w:tcPr>
          <w:p w14:paraId="79134028">
            <w:pPr>
              <w:pStyle w:val="6"/>
              <w:spacing w:before="174" w:line="221" w:lineRule="auto"/>
              <w:ind w:left="290"/>
              <w:rPr>
                <w:sz w:val="21"/>
                <w:szCs w:val="21"/>
              </w:rPr>
            </w:pPr>
            <w:r>
              <w:rPr>
                <w:spacing w:val="2"/>
                <w:sz w:val="21"/>
                <w:szCs w:val="21"/>
              </w:rPr>
              <w:t>1#主变</w:t>
            </w:r>
          </w:p>
        </w:tc>
        <w:tc>
          <w:tcPr>
            <w:tcW w:w="1228" w:type="dxa"/>
            <w:vAlign w:val="top"/>
          </w:tcPr>
          <w:p w14:paraId="4B763854">
            <w:pPr>
              <w:pStyle w:val="6"/>
              <w:spacing w:before="194" w:line="239" w:lineRule="auto"/>
              <w:ind w:left="293"/>
              <w:rPr>
                <w:sz w:val="21"/>
                <w:szCs w:val="21"/>
              </w:rPr>
            </w:pPr>
            <w:r>
              <w:rPr>
                <w:spacing w:val="-4"/>
                <w:sz w:val="21"/>
                <w:szCs w:val="21"/>
              </w:rPr>
              <w:t>113.85</w:t>
            </w:r>
          </w:p>
        </w:tc>
        <w:tc>
          <w:tcPr>
            <w:tcW w:w="1428" w:type="dxa"/>
            <w:vAlign w:val="top"/>
          </w:tcPr>
          <w:p w14:paraId="73199EEB">
            <w:pPr>
              <w:pStyle w:val="6"/>
              <w:spacing w:before="193"/>
              <w:ind w:left="604"/>
              <w:rPr>
                <w:sz w:val="21"/>
                <w:szCs w:val="21"/>
              </w:rPr>
            </w:pPr>
            <w:r>
              <w:rPr>
                <w:spacing w:val="-3"/>
                <w:sz w:val="21"/>
                <w:szCs w:val="21"/>
              </w:rPr>
              <w:t>64</w:t>
            </w:r>
          </w:p>
        </w:tc>
        <w:tc>
          <w:tcPr>
            <w:tcW w:w="1239" w:type="dxa"/>
            <w:vAlign w:val="top"/>
          </w:tcPr>
          <w:p w14:paraId="2B84379E">
            <w:pPr>
              <w:pStyle w:val="6"/>
              <w:spacing w:before="193"/>
              <w:ind w:left="506"/>
              <w:rPr>
                <w:sz w:val="21"/>
                <w:szCs w:val="21"/>
              </w:rPr>
            </w:pPr>
            <w:r>
              <w:rPr>
                <w:spacing w:val="-6"/>
                <w:sz w:val="21"/>
                <w:szCs w:val="21"/>
              </w:rPr>
              <w:t>10</w:t>
            </w:r>
          </w:p>
        </w:tc>
        <w:tc>
          <w:tcPr>
            <w:tcW w:w="1293" w:type="dxa"/>
            <w:vAlign w:val="top"/>
          </w:tcPr>
          <w:p w14:paraId="2887B57E">
            <w:pPr>
              <w:pStyle w:val="6"/>
              <w:spacing w:before="193"/>
              <w:ind w:left="538"/>
              <w:rPr>
                <w:sz w:val="21"/>
                <w:szCs w:val="21"/>
              </w:rPr>
            </w:pPr>
            <w:r>
              <w:rPr>
                <w:spacing w:val="-6"/>
                <w:sz w:val="21"/>
                <w:szCs w:val="21"/>
              </w:rPr>
              <w:t>10</w:t>
            </w:r>
          </w:p>
        </w:tc>
      </w:tr>
      <w:tr w14:paraId="5684B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964" w:type="dxa"/>
            <w:vAlign w:val="top"/>
          </w:tcPr>
          <w:p w14:paraId="036728DC">
            <w:pPr>
              <w:pStyle w:val="6"/>
              <w:spacing w:before="176" w:line="219" w:lineRule="auto"/>
              <w:ind w:left="155"/>
              <w:rPr>
                <w:sz w:val="21"/>
                <w:szCs w:val="21"/>
              </w:rPr>
            </w:pPr>
            <w:r>
              <w:rPr>
                <w:spacing w:val="3"/>
                <w:sz w:val="21"/>
                <w:szCs w:val="21"/>
              </w:rPr>
              <w:t>水电站</w:t>
            </w:r>
          </w:p>
        </w:tc>
        <w:tc>
          <w:tcPr>
            <w:tcW w:w="1238" w:type="dxa"/>
            <w:vAlign w:val="top"/>
          </w:tcPr>
          <w:p w14:paraId="7E2C65E7">
            <w:pPr>
              <w:pStyle w:val="6"/>
              <w:spacing w:before="177" w:line="221" w:lineRule="auto"/>
              <w:ind w:left="290"/>
              <w:rPr>
                <w:sz w:val="21"/>
                <w:szCs w:val="21"/>
              </w:rPr>
            </w:pPr>
            <w:r>
              <w:rPr>
                <w:spacing w:val="-2"/>
                <w:sz w:val="21"/>
                <w:szCs w:val="21"/>
              </w:rPr>
              <w:t>2#主变</w:t>
            </w:r>
          </w:p>
        </w:tc>
        <w:tc>
          <w:tcPr>
            <w:tcW w:w="1228" w:type="dxa"/>
            <w:vAlign w:val="top"/>
          </w:tcPr>
          <w:p w14:paraId="31321085">
            <w:pPr>
              <w:pStyle w:val="6"/>
              <w:spacing w:before="197" w:line="239" w:lineRule="auto"/>
              <w:ind w:left="293"/>
              <w:rPr>
                <w:sz w:val="21"/>
                <w:szCs w:val="21"/>
              </w:rPr>
            </w:pPr>
            <w:r>
              <w:rPr>
                <w:spacing w:val="-4"/>
                <w:sz w:val="21"/>
                <w:szCs w:val="21"/>
              </w:rPr>
              <w:t>113.85</w:t>
            </w:r>
          </w:p>
        </w:tc>
        <w:tc>
          <w:tcPr>
            <w:tcW w:w="1428" w:type="dxa"/>
            <w:vAlign w:val="top"/>
          </w:tcPr>
          <w:p w14:paraId="6DB9E454">
            <w:pPr>
              <w:pStyle w:val="6"/>
              <w:spacing w:before="197"/>
              <w:ind w:left="604"/>
              <w:rPr>
                <w:sz w:val="21"/>
                <w:szCs w:val="21"/>
              </w:rPr>
            </w:pPr>
            <w:r>
              <w:rPr>
                <w:spacing w:val="-4"/>
                <w:sz w:val="21"/>
                <w:szCs w:val="21"/>
              </w:rPr>
              <w:t>72</w:t>
            </w:r>
          </w:p>
        </w:tc>
        <w:tc>
          <w:tcPr>
            <w:tcW w:w="1239" w:type="dxa"/>
            <w:vAlign w:val="top"/>
          </w:tcPr>
          <w:p w14:paraId="280A86EC">
            <w:pPr>
              <w:pStyle w:val="6"/>
              <w:spacing w:before="197"/>
              <w:ind w:left="557"/>
              <w:rPr>
                <w:sz w:val="21"/>
                <w:szCs w:val="21"/>
              </w:rPr>
            </w:pPr>
            <w:r>
              <w:rPr>
                <w:sz w:val="21"/>
                <w:szCs w:val="21"/>
              </w:rPr>
              <w:t>8</w:t>
            </w:r>
          </w:p>
        </w:tc>
        <w:tc>
          <w:tcPr>
            <w:tcW w:w="1293" w:type="dxa"/>
            <w:vAlign w:val="top"/>
          </w:tcPr>
          <w:p w14:paraId="6495B997">
            <w:pPr>
              <w:pStyle w:val="6"/>
              <w:spacing w:before="197"/>
              <w:ind w:left="587"/>
              <w:rPr>
                <w:sz w:val="21"/>
                <w:szCs w:val="21"/>
              </w:rPr>
            </w:pPr>
            <w:r>
              <w:rPr>
                <w:sz w:val="21"/>
                <w:szCs w:val="21"/>
              </w:rPr>
              <w:t>8</w:t>
            </w:r>
          </w:p>
        </w:tc>
      </w:tr>
    </w:tbl>
    <w:p w14:paraId="0B436378">
      <w:pPr>
        <w:pStyle w:val="2"/>
      </w:pPr>
    </w:p>
    <w:p w14:paraId="7657AEAC">
      <w:pPr>
        <w:sectPr>
          <w:footerReference r:id="rId237" w:type="default"/>
          <w:pgSz w:w="11910" w:h="16830"/>
          <w:pgMar w:top="400" w:right="1786" w:bottom="1181" w:left="1769" w:header="0" w:footer="922" w:gutter="0"/>
          <w:cols w:space="720" w:num="1"/>
        </w:sectPr>
      </w:pPr>
    </w:p>
    <w:p w14:paraId="4C67B3C3">
      <w:pPr>
        <w:pStyle w:val="2"/>
        <w:spacing w:line="246" w:lineRule="auto"/>
      </w:pPr>
    </w:p>
    <w:p w14:paraId="37F2F723">
      <w:pPr>
        <w:pStyle w:val="2"/>
        <w:spacing w:line="246" w:lineRule="auto"/>
      </w:pPr>
    </w:p>
    <w:p w14:paraId="249B8EEE">
      <w:pPr>
        <w:pStyle w:val="2"/>
        <w:spacing w:line="246" w:lineRule="auto"/>
      </w:pPr>
    </w:p>
    <w:p w14:paraId="455765F5">
      <w:pPr>
        <w:pStyle w:val="2"/>
        <w:spacing w:line="247" w:lineRule="auto"/>
      </w:pPr>
    </w:p>
    <w:p w14:paraId="5A6D71D8">
      <w:pPr>
        <w:pStyle w:val="2"/>
        <w:spacing w:line="247" w:lineRule="auto"/>
      </w:pPr>
    </w:p>
    <w:p w14:paraId="31A3C840">
      <w:pPr>
        <w:spacing w:line="6220" w:lineRule="exact"/>
        <w:ind w:firstLine="103"/>
      </w:pPr>
      <w:r>
        <w:rPr>
          <w:position w:val="-124"/>
        </w:rPr>
        <w:drawing>
          <wp:inline distT="0" distB="0" distL="0" distR="0">
            <wp:extent cx="5136515" cy="3949065"/>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326"/>
                    <a:stretch>
                      <a:fillRect/>
                    </a:stretch>
                  </pic:blipFill>
                  <pic:spPr>
                    <a:xfrm>
                      <a:off x="0" y="0"/>
                      <a:ext cx="5137141" cy="3949613"/>
                    </a:xfrm>
                    <a:prstGeom prst="rect">
                      <a:avLst/>
                    </a:prstGeom>
                  </pic:spPr>
                </pic:pic>
              </a:graphicData>
            </a:graphic>
          </wp:inline>
        </w:drawing>
      </w:r>
    </w:p>
    <w:p w14:paraId="69334737">
      <w:pPr>
        <w:pStyle w:val="2"/>
        <w:spacing w:line="298" w:lineRule="auto"/>
      </w:pPr>
    </w:p>
    <w:p w14:paraId="4BD24980">
      <w:pPr>
        <w:spacing w:before="78" w:line="219" w:lineRule="auto"/>
        <w:ind w:left="1303"/>
        <w:rPr>
          <w:rFonts w:ascii="宋体" w:hAnsi="宋体" w:eastAsia="宋体" w:cs="宋体"/>
          <w:sz w:val="24"/>
          <w:szCs w:val="24"/>
        </w:rPr>
      </w:pPr>
      <w:r>
        <w:rPr>
          <w:rFonts w:ascii="宋体" w:hAnsi="宋体" w:eastAsia="宋体" w:cs="宋体"/>
          <w:color w:val="FF0000"/>
          <w:spacing w:val="3"/>
          <w:sz w:val="24"/>
          <w:szCs w:val="24"/>
        </w:rPr>
        <w:t>图3-1</w:t>
      </w:r>
      <w:r>
        <w:rPr>
          <w:rFonts w:ascii="宋体" w:hAnsi="宋体" w:eastAsia="宋体" w:cs="宋体"/>
          <w:color w:val="FF0000"/>
          <w:spacing w:val="30"/>
          <w:sz w:val="24"/>
          <w:szCs w:val="24"/>
        </w:rPr>
        <w:t xml:space="preserve">   </w:t>
      </w:r>
      <w:r>
        <w:rPr>
          <w:rFonts w:ascii="宋体" w:hAnsi="宋体" w:eastAsia="宋体" w:cs="宋体"/>
          <w:color w:val="FF0000"/>
          <w:spacing w:val="3"/>
          <w:sz w:val="24"/>
          <w:szCs w:val="24"/>
        </w:rPr>
        <w:t>云南省槟榔江猴桥水电站升压站监测布点图</w:t>
      </w:r>
    </w:p>
    <w:p w14:paraId="231C8157">
      <w:pPr>
        <w:spacing w:before="186" w:line="219" w:lineRule="auto"/>
        <w:ind w:left="473"/>
        <w:rPr>
          <w:rFonts w:ascii="宋体" w:hAnsi="宋体" w:eastAsia="宋体" w:cs="宋体"/>
          <w:sz w:val="24"/>
          <w:szCs w:val="24"/>
        </w:rPr>
      </w:pPr>
      <w:r>
        <w:rPr>
          <w:rFonts w:ascii="宋体" w:hAnsi="宋体" w:eastAsia="宋体" w:cs="宋体"/>
          <w:color w:val="FF0000"/>
          <w:spacing w:val="3"/>
          <w:sz w:val="24"/>
          <w:szCs w:val="24"/>
        </w:rPr>
        <w:t>7)监测因子：测量距地面1.5</w:t>
      </w:r>
      <w:r>
        <w:rPr>
          <w:rFonts w:ascii="Times New Roman" w:hAnsi="Times New Roman" w:eastAsia="Times New Roman" w:cs="Times New Roman"/>
          <w:color w:val="FF0000"/>
          <w:spacing w:val="3"/>
          <w:sz w:val="24"/>
          <w:szCs w:val="24"/>
        </w:rPr>
        <w:t xml:space="preserve">m </w:t>
      </w:r>
      <w:r>
        <w:rPr>
          <w:rFonts w:ascii="宋体" w:hAnsi="宋体" w:eastAsia="宋体" w:cs="宋体"/>
          <w:color w:val="FF0000"/>
          <w:spacing w:val="3"/>
          <w:sz w:val="24"/>
          <w:szCs w:val="24"/>
        </w:rPr>
        <w:t>高处的工频电场强度和工频磁感应强</w:t>
      </w:r>
      <w:r>
        <w:rPr>
          <w:rFonts w:ascii="宋体" w:hAnsi="宋体" w:eastAsia="宋体" w:cs="宋体"/>
          <w:color w:val="FF0000"/>
          <w:spacing w:val="2"/>
          <w:sz w:val="24"/>
          <w:szCs w:val="24"/>
        </w:rPr>
        <w:t>度。</w:t>
      </w:r>
    </w:p>
    <w:p w14:paraId="3FEA8BCC">
      <w:pPr>
        <w:spacing w:before="176" w:line="220" w:lineRule="auto"/>
        <w:ind w:left="463"/>
        <w:rPr>
          <w:rFonts w:ascii="宋体" w:hAnsi="宋体" w:eastAsia="宋体" w:cs="宋体"/>
          <w:sz w:val="24"/>
          <w:szCs w:val="24"/>
        </w:rPr>
      </w:pPr>
      <w:r>
        <w:rPr>
          <w:rFonts w:ascii="宋体" w:hAnsi="宋体" w:eastAsia="宋体" w:cs="宋体"/>
          <w:color w:val="FF0000"/>
          <w:spacing w:val="20"/>
          <w:sz w:val="24"/>
          <w:szCs w:val="24"/>
        </w:rPr>
        <w:t>8)监测结果</w:t>
      </w:r>
    </w:p>
    <w:p w14:paraId="0229B7A6">
      <w:pPr>
        <w:spacing w:before="94" w:line="220" w:lineRule="auto"/>
        <w:ind w:left="2863"/>
        <w:rPr>
          <w:rFonts w:ascii="宋体" w:hAnsi="宋体" w:eastAsia="宋体" w:cs="宋体"/>
          <w:sz w:val="25"/>
          <w:szCs w:val="25"/>
        </w:rPr>
      </w:pPr>
      <w:r>
        <w:rPr>
          <w:rFonts w:ascii="宋体" w:hAnsi="宋体" w:eastAsia="宋体" w:cs="宋体"/>
          <w:color w:val="FF0000"/>
          <w:sz w:val="25"/>
          <w:szCs w:val="25"/>
        </w:rPr>
        <w:t>表3-5</w:t>
      </w:r>
      <w:r>
        <w:rPr>
          <w:rFonts w:ascii="宋体" w:hAnsi="宋体" w:eastAsia="宋体" w:cs="宋体"/>
          <w:color w:val="FF0000"/>
          <w:spacing w:val="108"/>
          <w:sz w:val="25"/>
          <w:szCs w:val="25"/>
        </w:rPr>
        <w:t xml:space="preserve"> </w:t>
      </w:r>
      <w:r>
        <w:rPr>
          <w:rFonts w:ascii="宋体" w:hAnsi="宋体" w:eastAsia="宋体" w:cs="宋体"/>
          <w:color w:val="FF0000"/>
          <w:sz w:val="25"/>
          <w:szCs w:val="25"/>
        </w:rPr>
        <w:t>监测结果一览表</w:t>
      </w:r>
    </w:p>
    <w:p w14:paraId="26538965">
      <w:pPr>
        <w:spacing w:line="96" w:lineRule="exact"/>
      </w:pPr>
    </w:p>
    <w:tbl>
      <w:tblPr>
        <w:tblStyle w:val="5"/>
        <w:tblW w:w="7770" w:type="dxa"/>
        <w:tblInd w:w="5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4"/>
        <w:gridCol w:w="2417"/>
        <w:gridCol w:w="2147"/>
        <w:gridCol w:w="2162"/>
      </w:tblGrid>
      <w:tr w14:paraId="42C53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1044" w:type="dxa"/>
            <w:vAlign w:val="top"/>
          </w:tcPr>
          <w:p w14:paraId="0CBBC3BA">
            <w:pPr>
              <w:pStyle w:val="6"/>
              <w:spacing w:before="52" w:line="215" w:lineRule="auto"/>
              <w:ind w:left="135"/>
              <w:rPr>
                <w:sz w:val="19"/>
                <w:szCs w:val="19"/>
              </w:rPr>
            </w:pPr>
            <w:r>
              <w:rPr>
                <w:spacing w:val="-2"/>
                <w:sz w:val="19"/>
                <w:szCs w:val="19"/>
              </w:rPr>
              <w:t>测点编号</w:t>
            </w:r>
          </w:p>
        </w:tc>
        <w:tc>
          <w:tcPr>
            <w:tcW w:w="2417" w:type="dxa"/>
            <w:vAlign w:val="top"/>
          </w:tcPr>
          <w:p w14:paraId="05168BB3">
            <w:pPr>
              <w:pStyle w:val="6"/>
              <w:spacing w:before="52" w:line="215" w:lineRule="auto"/>
              <w:ind w:left="721"/>
              <w:rPr>
                <w:sz w:val="19"/>
                <w:szCs w:val="19"/>
              </w:rPr>
            </w:pPr>
            <w:r>
              <w:rPr>
                <w:spacing w:val="-2"/>
                <w:sz w:val="19"/>
                <w:szCs w:val="19"/>
              </w:rPr>
              <w:t>检测点位置</w:t>
            </w:r>
          </w:p>
        </w:tc>
        <w:tc>
          <w:tcPr>
            <w:tcW w:w="2147" w:type="dxa"/>
            <w:vAlign w:val="top"/>
          </w:tcPr>
          <w:p w14:paraId="449A4732">
            <w:pPr>
              <w:pStyle w:val="6"/>
              <w:spacing w:before="53" w:line="214" w:lineRule="auto"/>
              <w:ind w:left="254"/>
              <w:rPr>
                <w:sz w:val="19"/>
                <w:szCs w:val="19"/>
              </w:rPr>
            </w:pPr>
            <w:r>
              <w:rPr>
                <w:spacing w:val="4"/>
                <w:sz w:val="19"/>
                <w:szCs w:val="19"/>
              </w:rPr>
              <w:t>工频电场强度(V/m)</w:t>
            </w:r>
          </w:p>
        </w:tc>
        <w:tc>
          <w:tcPr>
            <w:tcW w:w="2162" w:type="dxa"/>
            <w:vAlign w:val="top"/>
          </w:tcPr>
          <w:p w14:paraId="26FA1506">
            <w:pPr>
              <w:pStyle w:val="6"/>
              <w:spacing w:before="53" w:line="214" w:lineRule="auto"/>
              <w:ind w:left="167"/>
              <w:rPr>
                <w:sz w:val="19"/>
                <w:szCs w:val="19"/>
              </w:rPr>
            </w:pPr>
            <w:r>
              <w:rPr>
                <w:spacing w:val="4"/>
                <w:sz w:val="19"/>
                <w:szCs w:val="19"/>
              </w:rPr>
              <w:t>工频磁感应强度(μT)</w:t>
            </w:r>
          </w:p>
        </w:tc>
      </w:tr>
      <w:tr w14:paraId="69C3D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44" w:type="dxa"/>
            <w:vAlign w:val="top"/>
          </w:tcPr>
          <w:p w14:paraId="584FF7A2">
            <w:pPr>
              <w:pStyle w:val="6"/>
              <w:spacing w:before="68" w:line="205" w:lineRule="auto"/>
              <w:ind w:left="465"/>
              <w:rPr>
                <w:sz w:val="19"/>
                <w:szCs w:val="19"/>
              </w:rPr>
            </w:pPr>
            <w:r>
              <w:rPr>
                <w:sz w:val="19"/>
                <w:szCs w:val="19"/>
              </w:rPr>
              <w:t>1</w:t>
            </w:r>
          </w:p>
        </w:tc>
        <w:tc>
          <w:tcPr>
            <w:tcW w:w="2417" w:type="dxa"/>
            <w:vAlign w:val="top"/>
          </w:tcPr>
          <w:p w14:paraId="27FF9520">
            <w:pPr>
              <w:pStyle w:val="6"/>
              <w:spacing w:before="49" w:line="220" w:lineRule="auto"/>
              <w:ind w:left="441"/>
              <w:rPr>
                <w:sz w:val="19"/>
                <w:szCs w:val="19"/>
              </w:rPr>
            </w:pPr>
            <w:r>
              <w:rPr>
                <w:spacing w:val="-1"/>
                <w:sz w:val="19"/>
                <w:szCs w:val="19"/>
              </w:rPr>
              <w:t>升压站北厂界外5m</w:t>
            </w:r>
          </w:p>
        </w:tc>
        <w:tc>
          <w:tcPr>
            <w:tcW w:w="2147" w:type="dxa"/>
            <w:vAlign w:val="top"/>
          </w:tcPr>
          <w:p w14:paraId="7083E086">
            <w:pPr>
              <w:pStyle w:val="6"/>
              <w:spacing w:before="64" w:line="208" w:lineRule="auto"/>
              <w:ind w:left="494"/>
              <w:rPr>
                <w:sz w:val="19"/>
                <w:szCs w:val="19"/>
              </w:rPr>
            </w:pPr>
            <w:r>
              <w:rPr>
                <w:spacing w:val="-1"/>
                <w:sz w:val="19"/>
                <w:szCs w:val="19"/>
              </w:rPr>
              <w:t>486.9±15.32</w:t>
            </w:r>
          </w:p>
        </w:tc>
        <w:tc>
          <w:tcPr>
            <w:tcW w:w="2162" w:type="dxa"/>
            <w:vAlign w:val="top"/>
          </w:tcPr>
          <w:p w14:paraId="1DCBE5B1">
            <w:pPr>
              <w:pStyle w:val="6"/>
              <w:spacing w:before="64" w:line="208" w:lineRule="auto"/>
              <w:ind w:left="507"/>
              <w:rPr>
                <w:sz w:val="19"/>
                <w:szCs w:val="19"/>
              </w:rPr>
            </w:pPr>
            <w:r>
              <w:rPr>
                <w:spacing w:val="-2"/>
                <w:sz w:val="19"/>
                <w:szCs w:val="19"/>
              </w:rPr>
              <w:t>1.780±0.497</w:t>
            </w:r>
          </w:p>
        </w:tc>
      </w:tr>
      <w:tr w14:paraId="27A0A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044" w:type="dxa"/>
            <w:vAlign w:val="top"/>
          </w:tcPr>
          <w:p w14:paraId="45839CC2">
            <w:pPr>
              <w:pStyle w:val="6"/>
              <w:spacing w:before="58" w:line="196" w:lineRule="auto"/>
              <w:ind w:left="465"/>
              <w:rPr>
                <w:sz w:val="19"/>
                <w:szCs w:val="19"/>
              </w:rPr>
            </w:pPr>
            <w:r>
              <w:rPr>
                <w:sz w:val="19"/>
                <w:szCs w:val="19"/>
              </w:rPr>
              <w:t>2</w:t>
            </w:r>
          </w:p>
        </w:tc>
        <w:tc>
          <w:tcPr>
            <w:tcW w:w="2417" w:type="dxa"/>
            <w:vAlign w:val="top"/>
          </w:tcPr>
          <w:p w14:paraId="25A2E375">
            <w:pPr>
              <w:pStyle w:val="6"/>
              <w:spacing w:before="40" w:line="213" w:lineRule="auto"/>
              <w:ind w:left="441"/>
              <w:rPr>
                <w:sz w:val="19"/>
                <w:szCs w:val="19"/>
              </w:rPr>
            </w:pPr>
            <w:r>
              <w:rPr>
                <w:spacing w:val="-1"/>
                <w:sz w:val="19"/>
                <w:szCs w:val="19"/>
              </w:rPr>
              <w:t>升压站西厂界外5m</w:t>
            </w:r>
          </w:p>
        </w:tc>
        <w:tc>
          <w:tcPr>
            <w:tcW w:w="2147" w:type="dxa"/>
            <w:vAlign w:val="top"/>
          </w:tcPr>
          <w:p w14:paraId="3135FBC6">
            <w:pPr>
              <w:pStyle w:val="6"/>
              <w:spacing w:before="56" w:line="198" w:lineRule="auto"/>
              <w:ind w:left="494"/>
              <w:rPr>
                <w:sz w:val="19"/>
                <w:szCs w:val="19"/>
              </w:rPr>
            </w:pPr>
            <w:r>
              <w:rPr>
                <w:spacing w:val="-2"/>
                <w:sz w:val="19"/>
                <w:szCs w:val="19"/>
              </w:rPr>
              <w:t>324.9±14.48</w:t>
            </w:r>
          </w:p>
        </w:tc>
        <w:tc>
          <w:tcPr>
            <w:tcW w:w="2162" w:type="dxa"/>
            <w:vAlign w:val="top"/>
          </w:tcPr>
          <w:p w14:paraId="1BF76577">
            <w:pPr>
              <w:pStyle w:val="6"/>
              <w:spacing w:before="56" w:line="198" w:lineRule="auto"/>
              <w:ind w:left="507"/>
              <w:rPr>
                <w:sz w:val="19"/>
                <w:szCs w:val="19"/>
              </w:rPr>
            </w:pPr>
            <w:r>
              <w:rPr>
                <w:spacing w:val="-2"/>
                <w:sz w:val="19"/>
                <w:szCs w:val="19"/>
              </w:rPr>
              <w:t>1.938±0.366</w:t>
            </w:r>
          </w:p>
        </w:tc>
      </w:tr>
      <w:tr w14:paraId="34C72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44" w:type="dxa"/>
            <w:vAlign w:val="top"/>
          </w:tcPr>
          <w:p w14:paraId="60B2C5EA">
            <w:pPr>
              <w:pStyle w:val="6"/>
              <w:spacing w:before="69" w:line="204" w:lineRule="auto"/>
              <w:ind w:left="465"/>
              <w:rPr>
                <w:sz w:val="19"/>
                <w:szCs w:val="19"/>
              </w:rPr>
            </w:pPr>
            <w:r>
              <w:rPr>
                <w:sz w:val="19"/>
                <w:szCs w:val="19"/>
              </w:rPr>
              <w:t>3</w:t>
            </w:r>
          </w:p>
        </w:tc>
        <w:tc>
          <w:tcPr>
            <w:tcW w:w="2417" w:type="dxa"/>
            <w:vAlign w:val="top"/>
          </w:tcPr>
          <w:p w14:paraId="01789177">
            <w:pPr>
              <w:pStyle w:val="6"/>
              <w:spacing w:before="50" w:line="220" w:lineRule="auto"/>
              <w:ind w:left="441"/>
              <w:rPr>
                <w:sz w:val="19"/>
                <w:szCs w:val="19"/>
              </w:rPr>
            </w:pPr>
            <w:r>
              <w:rPr>
                <w:spacing w:val="-1"/>
                <w:sz w:val="19"/>
                <w:szCs w:val="19"/>
              </w:rPr>
              <w:t>升压站南厂界外5m</w:t>
            </w:r>
          </w:p>
        </w:tc>
        <w:tc>
          <w:tcPr>
            <w:tcW w:w="2147" w:type="dxa"/>
            <w:vAlign w:val="top"/>
          </w:tcPr>
          <w:p w14:paraId="3AE702F7">
            <w:pPr>
              <w:pStyle w:val="6"/>
              <w:spacing w:before="65" w:line="207" w:lineRule="auto"/>
              <w:ind w:left="494"/>
              <w:rPr>
                <w:sz w:val="19"/>
                <w:szCs w:val="19"/>
              </w:rPr>
            </w:pPr>
            <w:r>
              <w:rPr>
                <w:spacing w:val="-2"/>
                <w:sz w:val="19"/>
                <w:szCs w:val="19"/>
              </w:rPr>
              <w:t>71.34±7.099</w:t>
            </w:r>
          </w:p>
        </w:tc>
        <w:tc>
          <w:tcPr>
            <w:tcW w:w="2162" w:type="dxa"/>
            <w:vAlign w:val="top"/>
          </w:tcPr>
          <w:p w14:paraId="6B70DAFA">
            <w:pPr>
              <w:pStyle w:val="6"/>
              <w:spacing w:before="65" w:line="207" w:lineRule="auto"/>
              <w:ind w:left="507"/>
              <w:rPr>
                <w:sz w:val="19"/>
                <w:szCs w:val="19"/>
              </w:rPr>
            </w:pPr>
            <w:r>
              <w:rPr>
                <w:spacing w:val="-2"/>
                <w:sz w:val="19"/>
                <w:szCs w:val="19"/>
              </w:rPr>
              <w:t>3.000±0.791</w:t>
            </w:r>
          </w:p>
        </w:tc>
      </w:tr>
      <w:tr w14:paraId="58A72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44" w:type="dxa"/>
            <w:vAlign w:val="top"/>
          </w:tcPr>
          <w:p w14:paraId="6183F8E5">
            <w:pPr>
              <w:pStyle w:val="6"/>
              <w:spacing w:before="70" w:line="203" w:lineRule="auto"/>
              <w:ind w:left="465"/>
              <w:rPr>
                <w:sz w:val="19"/>
                <w:szCs w:val="19"/>
              </w:rPr>
            </w:pPr>
            <w:r>
              <w:rPr>
                <w:sz w:val="19"/>
                <w:szCs w:val="19"/>
              </w:rPr>
              <w:t>4</w:t>
            </w:r>
          </w:p>
        </w:tc>
        <w:tc>
          <w:tcPr>
            <w:tcW w:w="2417" w:type="dxa"/>
            <w:vAlign w:val="top"/>
          </w:tcPr>
          <w:p w14:paraId="0146739D">
            <w:pPr>
              <w:pStyle w:val="6"/>
              <w:spacing w:before="50" w:line="219" w:lineRule="auto"/>
              <w:ind w:left="441"/>
              <w:rPr>
                <w:sz w:val="19"/>
                <w:szCs w:val="19"/>
              </w:rPr>
            </w:pPr>
            <w:r>
              <w:rPr>
                <w:spacing w:val="-1"/>
                <w:sz w:val="19"/>
                <w:szCs w:val="19"/>
              </w:rPr>
              <w:t>升压站东厂界外5m</w:t>
            </w:r>
          </w:p>
        </w:tc>
        <w:tc>
          <w:tcPr>
            <w:tcW w:w="2147" w:type="dxa"/>
            <w:vAlign w:val="top"/>
          </w:tcPr>
          <w:p w14:paraId="1729637C">
            <w:pPr>
              <w:pStyle w:val="6"/>
              <w:spacing w:before="66" w:line="206" w:lineRule="auto"/>
              <w:ind w:left="494"/>
              <w:rPr>
                <w:sz w:val="19"/>
                <w:szCs w:val="19"/>
              </w:rPr>
            </w:pPr>
            <w:r>
              <w:rPr>
                <w:spacing w:val="-1"/>
                <w:sz w:val="19"/>
                <w:szCs w:val="19"/>
              </w:rPr>
              <w:t>661.0±21.97</w:t>
            </w:r>
          </w:p>
        </w:tc>
        <w:tc>
          <w:tcPr>
            <w:tcW w:w="2162" w:type="dxa"/>
            <w:vAlign w:val="top"/>
          </w:tcPr>
          <w:p w14:paraId="1A71D483">
            <w:pPr>
              <w:pStyle w:val="6"/>
              <w:spacing w:before="66" w:line="206" w:lineRule="auto"/>
              <w:ind w:left="507"/>
              <w:rPr>
                <w:sz w:val="19"/>
                <w:szCs w:val="19"/>
              </w:rPr>
            </w:pPr>
            <w:r>
              <w:rPr>
                <w:spacing w:val="-1"/>
                <w:sz w:val="19"/>
                <w:szCs w:val="19"/>
              </w:rPr>
              <w:t>0.257±0.048</w:t>
            </w:r>
          </w:p>
        </w:tc>
      </w:tr>
      <w:tr w14:paraId="6C69B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44" w:type="dxa"/>
            <w:vAlign w:val="top"/>
          </w:tcPr>
          <w:p w14:paraId="7E420C1D">
            <w:pPr>
              <w:pStyle w:val="6"/>
              <w:spacing w:before="71" w:line="203" w:lineRule="auto"/>
              <w:ind w:left="465"/>
              <w:rPr>
                <w:sz w:val="19"/>
                <w:szCs w:val="19"/>
              </w:rPr>
            </w:pPr>
            <w:r>
              <w:rPr>
                <w:sz w:val="19"/>
                <w:szCs w:val="19"/>
              </w:rPr>
              <w:t>5</w:t>
            </w:r>
          </w:p>
        </w:tc>
        <w:tc>
          <w:tcPr>
            <w:tcW w:w="2417" w:type="dxa"/>
            <w:vAlign w:val="top"/>
          </w:tcPr>
          <w:p w14:paraId="2F274B46">
            <w:pPr>
              <w:pStyle w:val="6"/>
              <w:spacing w:before="51" w:line="219" w:lineRule="auto"/>
              <w:ind w:left="251"/>
              <w:rPr>
                <w:sz w:val="19"/>
                <w:szCs w:val="19"/>
              </w:rPr>
            </w:pPr>
            <w:r>
              <w:rPr>
                <w:spacing w:val="-1"/>
                <w:sz w:val="19"/>
                <w:szCs w:val="19"/>
              </w:rPr>
              <w:t>升压站围墙外东侧5m处</w:t>
            </w:r>
          </w:p>
        </w:tc>
        <w:tc>
          <w:tcPr>
            <w:tcW w:w="2147" w:type="dxa"/>
            <w:vAlign w:val="top"/>
          </w:tcPr>
          <w:p w14:paraId="5A2C273E">
            <w:pPr>
              <w:pStyle w:val="6"/>
              <w:spacing w:before="67" w:line="206" w:lineRule="auto"/>
              <w:ind w:left="494"/>
              <w:rPr>
                <w:sz w:val="19"/>
                <w:szCs w:val="19"/>
              </w:rPr>
            </w:pPr>
            <w:r>
              <w:rPr>
                <w:spacing w:val="-1"/>
                <w:sz w:val="19"/>
                <w:szCs w:val="19"/>
              </w:rPr>
              <w:t>67.41±0.902</w:t>
            </w:r>
          </w:p>
        </w:tc>
        <w:tc>
          <w:tcPr>
            <w:tcW w:w="2162" w:type="dxa"/>
            <w:vAlign w:val="top"/>
          </w:tcPr>
          <w:p w14:paraId="534CB230">
            <w:pPr>
              <w:pStyle w:val="6"/>
              <w:spacing w:before="67" w:line="206" w:lineRule="auto"/>
              <w:ind w:left="507"/>
              <w:rPr>
                <w:sz w:val="19"/>
                <w:szCs w:val="19"/>
              </w:rPr>
            </w:pPr>
            <w:r>
              <w:rPr>
                <w:spacing w:val="-1"/>
                <w:sz w:val="19"/>
                <w:szCs w:val="19"/>
              </w:rPr>
              <w:t>0.347±0.039</w:t>
            </w:r>
          </w:p>
        </w:tc>
      </w:tr>
      <w:tr w14:paraId="05554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044" w:type="dxa"/>
            <w:vAlign w:val="top"/>
          </w:tcPr>
          <w:p w14:paraId="7D29DC50">
            <w:pPr>
              <w:pStyle w:val="6"/>
              <w:spacing w:before="60" w:line="193" w:lineRule="auto"/>
              <w:ind w:left="465"/>
              <w:rPr>
                <w:sz w:val="19"/>
                <w:szCs w:val="19"/>
              </w:rPr>
            </w:pPr>
            <w:r>
              <w:rPr>
                <w:sz w:val="19"/>
                <w:szCs w:val="19"/>
              </w:rPr>
              <w:t>6</w:t>
            </w:r>
          </w:p>
        </w:tc>
        <w:tc>
          <w:tcPr>
            <w:tcW w:w="2417" w:type="dxa"/>
            <w:vAlign w:val="top"/>
          </w:tcPr>
          <w:p w14:paraId="0BE73C27">
            <w:pPr>
              <w:pStyle w:val="6"/>
              <w:spacing w:before="41" w:line="211" w:lineRule="auto"/>
              <w:ind w:left="201"/>
              <w:rPr>
                <w:sz w:val="19"/>
                <w:szCs w:val="19"/>
              </w:rPr>
            </w:pPr>
            <w:r>
              <w:rPr>
                <w:spacing w:val="-1"/>
                <w:sz w:val="19"/>
                <w:szCs w:val="19"/>
              </w:rPr>
              <w:t>升压站围墙外东侧10m处</w:t>
            </w:r>
          </w:p>
        </w:tc>
        <w:tc>
          <w:tcPr>
            <w:tcW w:w="2147" w:type="dxa"/>
            <w:vAlign w:val="top"/>
          </w:tcPr>
          <w:p w14:paraId="2B114CBF">
            <w:pPr>
              <w:pStyle w:val="6"/>
              <w:spacing w:before="58" w:line="195" w:lineRule="auto"/>
              <w:ind w:left="494"/>
              <w:rPr>
                <w:sz w:val="19"/>
                <w:szCs w:val="19"/>
              </w:rPr>
            </w:pPr>
            <w:r>
              <w:rPr>
                <w:spacing w:val="-1"/>
                <w:sz w:val="19"/>
                <w:szCs w:val="19"/>
              </w:rPr>
              <w:t>46.46±0.528</w:t>
            </w:r>
          </w:p>
        </w:tc>
        <w:tc>
          <w:tcPr>
            <w:tcW w:w="2162" w:type="dxa"/>
            <w:vAlign w:val="top"/>
          </w:tcPr>
          <w:p w14:paraId="6C151767">
            <w:pPr>
              <w:pStyle w:val="6"/>
              <w:spacing w:before="58" w:line="195" w:lineRule="auto"/>
              <w:ind w:left="507"/>
              <w:rPr>
                <w:sz w:val="19"/>
                <w:szCs w:val="19"/>
              </w:rPr>
            </w:pPr>
            <w:r>
              <w:rPr>
                <w:spacing w:val="-1"/>
                <w:sz w:val="19"/>
                <w:szCs w:val="19"/>
              </w:rPr>
              <w:t>0.501±0.018</w:t>
            </w:r>
          </w:p>
        </w:tc>
      </w:tr>
      <w:tr w14:paraId="483C8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44" w:type="dxa"/>
            <w:vAlign w:val="top"/>
          </w:tcPr>
          <w:p w14:paraId="5D5EA5B9">
            <w:pPr>
              <w:pStyle w:val="6"/>
              <w:spacing w:before="72" w:line="202" w:lineRule="auto"/>
              <w:ind w:left="465"/>
              <w:rPr>
                <w:sz w:val="19"/>
                <w:szCs w:val="19"/>
              </w:rPr>
            </w:pPr>
            <w:r>
              <w:rPr>
                <w:sz w:val="19"/>
                <w:szCs w:val="19"/>
              </w:rPr>
              <w:t>7</w:t>
            </w:r>
          </w:p>
        </w:tc>
        <w:tc>
          <w:tcPr>
            <w:tcW w:w="2417" w:type="dxa"/>
            <w:vAlign w:val="top"/>
          </w:tcPr>
          <w:p w14:paraId="72C2572F">
            <w:pPr>
              <w:pStyle w:val="6"/>
              <w:spacing w:before="52" w:line="219" w:lineRule="auto"/>
              <w:ind w:left="201"/>
              <w:rPr>
                <w:sz w:val="19"/>
                <w:szCs w:val="19"/>
              </w:rPr>
            </w:pPr>
            <w:r>
              <w:rPr>
                <w:spacing w:val="-1"/>
                <w:sz w:val="19"/>
                <w:szCs w:val="19"/>
              </w:rPr>
              <w:t>升压站围墙外东侧15m处</w:t>
            </w:r>
          </w:p>
        </w:tc>
        <w:tc>
          <w:tcPr>
            <w:tcW w:w="2147" w:type="dxa"/>
            <w:vAlign w:val="top"/>
          </w:tcPr>
          <w:p w14:paraId="02F9C00B">
            <w:pPr>
              <w:pStyle w:val="6"/>
              <w:spacing w:before="69" w:line="205" w:lineRule="auto"/>
              <w:ind w:left="494"/>
              <w:rPr>
                <w:sz w:val="19"/>
                <w:szCs w:val="19"/>
              </w:rPr>
            </w:pPr>
            <w:r>
              <w:rPr>
                <w:spacing w:val="-1"/>
                <w:sz w:val="19"/>
                <w:szCs w:val="19"/>
              </w:rPr>
              <w:t>40.33±0.835</w:t>
            </w:r>
          </w:p>
        </w:tc>
        <w:tc>
          <w:tcPr>
            <w:tcW w:w="2162" w:type="dxa"/>
            <w:vAlign w:val="top"/>
          </w:tcPr>
          <w:p w14:paraId="5E6842AA">
            <w:pPr>
              <w:pStyle w:val="6"/>
              <w:spacing w:before="69" w:line="205" w:lineRule="auto"/>
              <w:ind w:left="507"/>
              <w:rPr>
                <w:sz w:val="19"/>
                <w:szCs w:val="19"/>
              </w:rPr>
            </w:pPr>
            <w:r>
              <w:rPr>
                <w:spacing w:val="-1"/>
                <w:sz w:val="19"/>
                <w:szCs w:val="19"/>
              </w:rPr>
              <w:t>0.595±0.029</w:t>
            </w:r>
          </w:p>
        </w:tc>
      </w:tr>
      <w:tr w14:paraId="0C54C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44" w:type="dxa"/>
            <w:vAlign w:val="top"/>
          </w:tcPr>
          <w:p w14:paraId="3068766C">
            <w:pPr>
              <w:pStyle w:val="6"/>
              <w:spacing w:before="72" w:line="201" w:lineRule="auto"/>
              <w:ind w:left="465"/>
              <w:rPr>
                <w:sz w:val="19"/>
                <w:szCs w:val="19"/>
              </w:rPr>
            </w:pPr>
            <w:r>
              <w:rPr>
                <w:sz w:val="19"/>
                <w:szCs w:val="19"/>
              </w:rPr>
              <w:t>8</w:t>
            </w:r>
          </w:p>
        </w:tc>
        <w:tc>
          <w:tcPr>
            <w:tcW w:w="2417" w:type="dxa"/>
            <w:vAlign w:val="top"/>
          </w:tcPr>
          <w:p w14:paraId="0F60AA24">
            <w:pPr>
              <w:pStyle w:val="6"/>
              <w:spacing w:before="52" w:line="219" w:lineRule="auto"/>
              <w:ind w:left="201"/>
              <w:rPr>
                <w:sz w:val="19"/>
                <w:szCs w:val="19"/>
              </w:rPr>
            </w:pPr>
            <w:r>
              <w:rPr>
                <w:spacing w:val="-1"/>
                <w:sz w:val="19"/>
                <w:szCs w:val="19"/>
              </w:rPr>
              <w:t>升压站围墙外东侧20m处</w:t>
            </w:r>
          </w:p>
        </w:tc>
        <w:tc>
          <w:tcPr>
            <w:tcW w:w="2147" w:type="dxa"/>
            <w:vAlign w:val="top"/>
          </w:tcPr>
          <w:p w14:paraId="081C8C92">
            <w:pPr>
              <w:pStyle w:val="6"/>
              <w:spacing w:before="69" w:line="204" w:lineRule="auto"/>
              <w:ind w:left="494"/>
              <w:rPr>
                <w:sz w:val="19"/>
                <w:szCs w:val="19"/>
              </w:rPr>
            </w:pPr>
            <w:r>
              <w:rPr>
                <w:spacing w:val="-1"/>
                <w:sz w:val="19"/>
                <w:szCs w:val="19"/>
              </w:rPr>
              <w:t>22.61±0.149</w:t>
            </w:r>
          </w:p>
        </w:tc>
        <w:tc>
          <w:tcPr>
            <w:tcW w:w="2162" w:type="dxa"/>
            <w:vAlign w:val="top"/>
          </w:tcPr>
          <w:p w14:paraId="47F1533B">
            <w:pPr>
              <w:pStyle w:val="6"/>
              <w:spacing w:before="69" w:line="204" w:lineRule="auto"/>
              <w:ind w:left="507"/>
              <w:rPr>
                <w:sz w:val="19"/>
                <w:szCs w:val="19"/>
              </w:rPr>
            </w:pPr>
            <w:r>
              <w:rPr>
                <w:spacing w:val="-1"/>
                <w:sz w:val="19"/>
                <w:szCs w:val="19"/>
              </w:rPr>
              <w:t>0.729±0.023</w:t>
            </w:r>
          </w:p>
        </w:tc>
      </w:tr>
      <w:tr w14:paraId="53967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044" w:type="dxa"/>
            <w:vAlign w:val="top"/>
          </w:tcPr>
          <w:p w14:paraId="4778E758">
            <w:pPr>
              <w:pStyle w:val="6"/>
              <w:spacing w:before="62" w:line="192" w:lineRule="auto"/>
              <w:ind w:left="465"/>
              <w:rPr>
                <w:sz w:val="19"/>
                <w:szCs w:val="19"/>
              </w:rPr>
            </w:pPr>
            <w:r>
              <w:rPr>
                <w:sz w:val="19"/>
                <w:szCs w:val="19"/>
              </w:rPr>
              <w:t>9</w:t>
            </w:r>
          </w:p>
        </w:tc>
        <w:tc>
          <w:tcPr>
            <w:tcW w:w="2417" w:type="dxa"/>
            <w:vAlign w:val="top"/>
          </w:tcPr>
          <w:p w14:paraId="7351C6F1">
            <w:pPr>
              <w:pStyle w:val="6"/>
              <w:spacing w:before="43" w:line="210" w:lineRule="auto"/>
              <w:ind w:left="201"/>
              <w:rPr>
                <w:sz w:val="19"/>
                <w:szCs w:val="19"/>
              </w:rPr>
            </w:pPr>
            <w:r>
              <w:rPr>
                <w:spacing w:val="-1"/>
                <w:sz w:val="19"/>
                <w:szCs w:val="19"/>
              </w:rPr>
              <w:t>升压站围墙外东侧25m处</w:t>
            </w:r>
          </w:p>
        </w:tc>
        <w:tc>
          <w:tcPr>
            <w:tcW w:w="2147" w:type="dxa"/>
            <w:vAlign w:val="top"/>
          </w:tcPr>
          <w:p w14:paraId="3E4C1B7B">
            <w:pPr>
              <w:pStyle w:val="6"/>
              <w:spacing w:before="60" w:line="194" w:lineRule="auto"/>
              <w:ind w:left="494"/>
              <w:rPr>
                <w:sz w:val="19"/>
                <w:szCs w:val="19"/>
              </w:rPr>
            </w:pPr>
            <w:r>
              <w:rPr>
                <w:spacing w:val="-2"/>
                <w:sz w:val="19"/>
                <w:szCs w:val="19"/>
              </w:rPr>
              <w:t>15.11±0.257</w:t>
            </w:r>
          </w:p>
        </w:tc>
        <w:tc>
          <w:tcPr>
            <w:tcW w:w="2162" w:type="dxa"/>
            <w:vAlign w:val="top"/>
          </w:tcPr>
          <w:p w14:paraId="2A0341C4">
            <w:pPr>
              <w:pStyle w:val="6"/>
              <w:spacing w:before="60" w:line="194" w:lineRule="auto"/>
              <w:ind w:left="507"/>
              <w:rPr>
                <w:sz w:val="19"/>
                <w:szCs w:val="19"/>
              </w:rPr>
            </w:pPr>
            <w:r>
              <w:rPr>
                <w:spacing w:val="-1"/>
                <w:sz w:val="19"/>
                <w:szCs w:val="19"/>
              </w:rPr>
              <w:t>0.793±0.020</w:t>
            </w:r>
          </w:p>
        </w:tc>
      </w:tr>
      <w:tr w14:paraId="41768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44" w:type="dxa"/>
            <w:vAlign w:val="top"/>
          </w:tcPr>
          <w:p w14:paraId="173EEC87">
            <w:pPr>
              <w:pStyle w:val="6"/>
              <w:spacing w:before="73" w:line="200" w:lineRule="auto"/>
              <w:ind w:left="415"/>
              <w:rPr>
                <w:sz w:val="19"/>
                <w:szCs w:val="19"/>
              </w:rPr>
            </w:pPr>
            <w:r>
              <w:rPr>
                <w:spacing w:val="-6"/>
                <w:sz w:val="19"/>
                <w:szCs w:val="19"/>
              </w:rPr>
              <w:t>10</w:t>
            </w:r>
          </w:p>
        </w:tc>
        <w:tc>
          <w:tcPr>
            <w:tcW w:w="2417" w:type="dxa"/>
            <w:vAlign w:val="top"/>
          </w:tcPr>
          <w:p w14:paraId="54F7CB7E">
            <w:pPr>
              <w:pStyle w:val="6"/>
              <w:spacing w:before="53" w:line="219" w:lineRule="auto"/>
              <w:ind w:left="201"/>
              <w:rPr>
                <w:sz w:val="19"/>
                <w:szCs w:val="19"/>
              </w:rPr>
            </w:pPr>
            <w:r>
              <w:rPr>
                <w:spacing w:val="-1"/>
                <w:sz w:val="19"/>
                <w:szCs w:val="19"/>
              </w:rPr>
              <w:t>升压站围墙外东侧30m处</w:t>
            </w:r>
          </w:p>
        </w:tc>
        <w:tc>
          <w:tcPr>
            <w:tcW w:w="2147" w:type="dxa"/>
            <w:vAlign w:val="top"/>
          </w:tcPr>
          <w:p w14:paraId="61C5BABA">
            <w:pPr>
              <w:pStyle w:val="6"/>
              <w:spacing w:before="70" w:line="203" w:lineRule="auto"/>
              <w:ind w:left="494"/>
              <w:rPr>
                <w:sz w:val="19"/>
                <w:szCs w:val="19"/>
              </w:rPr>
            </w:pPr>
            <w:r>
              <w:rPr>
                <w:spacing w:val="-1"/>
                <w:sz w:val="19"/>
                <w:szCs w:val="19"/>
              </w:rPr>
              <w:t>8.388±0.782</w:t>
            </w:r>
          </w:p>
        </w:tc>
        <w:tc>
          <w:tcPr>
            <w:tcW w:w="2162" w:type="dxa"/>
            <w:vAlign w:val="top"/>
          </w:tcPr>
          <w:p w14:paraId="4252CFAB">
            <w:pPr>
              <w:pStyle w:val="6"/>
              <w:spacing w:before="70" w:line="203" w:lineRule="auto"/>
              <w:ind w:left="507"/>
              <w:rPr>
                <w:sz w:val="19"/>
                <w:szCs w:val="19"/>
              </w:rPr>
            </w:pPr>
            <w:r>
              <w:rPr>
                <w:spacing w:val="-2"/>
                <w:sz w:val="19"/>
                <w:szCs w:val="19"/>
              </w:rPr>
              <w:t>0.846±0.</w:t>
            </w:r>
            <w:r>
              <w:rPr>
                <w:color w:val="002030"/>
                <w:spacing w:val="-2"/>
                <w:sz w:val="19"/>
                <w:szCs w:val="19"/>
              </w:rPr>
              <w:t>0</w:t>
            </w:r>
            <w:r>
              <w:rPr>
                <w:spacing w:val="-2"/>
                <w:sz w:val="19"/>
                <w:szCs w:val="19"/>
              </w:rPr>
              <w:t>34</w:t>
            </w:r>
          </w:p>
        </w:tc>
      </w:tr>
      <w:tr w14:paraId="61810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44" w:type="dxa"/>
            <w:vAlign w:val="top"/>
          </w:tcPr>
          <w:p w14:paraId="49F87E63">
            <w:pPr>
              <w:pStyle w:val="6"/>
              <w:spacing w:before="74" w:line="199" w:lineRule="auto"/>
              <w:ind w:left="415"/>
              <w:rPr>
                <w:sz w:val="19"/>
                <w:szCs w:val="19"/>
              </w:rPr>
            </w:pPr>
            <w:r>
              <w:rPr>
                <w:color w:val="202070"/>
                <w:spacing w:val="-6"/>
                <w:sz w:val="19"/>
                <w:szCs w:val="19"/>
              </w:rPr>
              <w:t>11</w:t>
            </w:r>
          </w:p>
        </w:tc>
        <w:tc>
          <w:tcPr>
            <w:tcW w:w="2417" w:type="dxa"/>
            <w:vAlign w:val="top"/>
          </w:tcPr>
          <w:p w14:paraId="5019BA07">
            <w:pPr>
              <w:pStyle w:val="6"/>
              <w:spacing w:before="54" w:line="218" w:lineRule="auto"/>
              <w:ind w:left="201"/>
              <w:rPr>
                <w:sz w:val="19"/>
                <w:szCs w:val="19"/>
              </w:rPr>
            </w:pPr>
            <w:r>
              <w:rPr>
                <w:spacing w:val="-1"/>
                <w:sz w:val="19"/>
                <w:szCs w:val="19"/>
              </w:rPr>
              <w:t>升压站围墙外东侧35m处</w:t>
            </w:r>
          </w:p>
        </w:tc>
        <w:tc>
          <w:tcPr>
            <w:tcW w:w="2147" w:type="dxa"/>
            <w:vAlign w:val="top"/>
          </w:tcPr>
          <w:p w14:paraId="1FF4ABEF">
            <w:pPr>
              <w:pStyle w:val="6"/>
              <w:spacing w:before="71" w:line="202" w:lineRule="auto"/>
              <w:ind w:left="494"/>
              <w:rPr>
                <w:sz w:val="19"/>
                <w:szCs w:val="19"/>
              </w:rPr>
            </w:pPr>
            <w:r>
              <w:rPr>
                <w:spacing w:val="-1"/>
                <w:sz w:val="19"/>
                <w:szCs w:val="19"/>
              </w:rPr>
              <w:t>4.312±0.516</w:t>
            </w:r>
          </w:p>
        </w:tc>
        <w:tc>
          <w:tcPr>
            <w:tcW w:w="2162" w:type="dxa"/>
            <w:vAlign w:val="top"/>
          </w:tcPr>
          <w:p w14:paraId="13F6CFEE">
            <w:pPr>
              <w:pStyle w:val="6"/>
              <w:spacing w:before="71" w:line="202" w:lineRule="auto"/>
              <w:ind w:left="507"/>
              <w:rPr>
                <w:sz w:val="19"/>
                <w:szCs w:val="19"/>
              </w:rPr>
            </w:pPr>
            <w:r>
              <w:rPr>
                <w:spacing w:val="-1"/>
                <w:sz w:val="19"/>
                <w:szCs w:val="19"/>
              </w:rPr>
              <w:t>0.740±0.044</w:t>
            </w:r>
          </w:p>
        </w:tc>
      </w:tr>
      <w:tr w14:paraId="5CF66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44" w:type="dxa"/>
            <w:vAlign w:val="top"/>
          </w:tcPr>
          <w:p w14:paraId="2723D9D0">
            <w:pPr>
              <w:pStyle w:val="6"/>
              <w:spacing w:before="75" w:line="199" w:lineRule="auto"/>
              <w:ind w:left="415"/>
              <w:rPr>
                <w:sz w:val="19"/>
                <w:szCs w:val="19"/>
              </w:rPr>
            </w:pPr>
            <w:r>
              <w:rPr>
                <w:spacing w:val="-6"/>
                <w:sz w:val="19"/>
                <w:szCs w:val="19"/>
              </w:rPr>
              <w:t>12</w:t>
            </w:r>
          </w:p>
        </w:tc>
        <w:tc>
          <w:tcPr>
            <w:tcW w:w="2417" w:type="dxa"/>
            <w:vAlign w:val="top"/>
          </w:tcPr>
          <w:p w14:paraId="00B45261">
            <w:pPr>
              <w:pStyle w:val="6"/>
              <w:spacing w:before="55" w:line="218" w:lineRule="auto"/>
              <w:ind w:left="201"/>
              <w:rPr>
                <w:sz w:val="19"/>
                <w:szCs w:val="19"/>
              </w:rPr>
            </w:pPr>
            <w:r>
              <w:rPr>
                <w:spacing w:val="-1"/>
                <w:sz w:val="19"/>
                <w:szCs w:val="19"/>
              </w:rPr>
              <w:t>升压站围墙外东侧40m处</w:t>
            </w:r>
          </w:p>
        </w:tc>
        <w:tc>
          <w:tcPr>
            <w:tcW w:w="2147" w:type="dxa"/>
            <w:vAlign w:val="top"/>
          </w:tcPr>
          <w:p w14:paraId="733D8901">
            <w:pPr>
              <w:pStyle w:val="6"/>
              <w:spacing w:before="72" w:line="202" w:lineRule="auto"/>
              <w:ind w:left="494"/>
              <w:rPr>
                <w:sz w:val="19"/>
                <w:szCs w:val="19"/>
              </w:rPr>
            </w:pPr>
            <w:r>
              <w:rPr>
                <w:spacing w:val="-1"/>
                <w:sz w:val="19"/>
                <w:szCs w:val="19"/>
              </w:rPr>
              <w:t>2.862±0.328</w:t>
            </w:r>
          </w:p>
        </w:tc>
        <w:tc>
          <w:tcPr>
            <w:tcW w:w="2162" w:type="dxa"/>
            <w:vAlign w:val="top"/>
          </w:tcPr>
          <w:p w14:paraId="14252358">
            <w:pPr>
              <w:pStyle w:val="6"/>
              <w:spacing w:before="72" w:line="202" w:lineRule="auto"/>
              <w:ind w:left="507"/>
              <w:rPr>
                <w:sz w:val="19"/>
                <w:szCs w:val="19"/>
              </w:rPr>
            </w:pPr>
            <w:r>
              <w:rPr>
                <w:color w:val="101030"/>
                <w:spacing w:val="-2"/>
                <w:sz w:val="19"/>
                <w:szCs w:val="19"/>
              </w:rPr>
              <w:t>0.</w:t>
            </w:r>
            <w:r>
              <w:rPr>
                <w:spacing w:val="-2"/>
                <w:sz w:val="19"/>
                <w:szCs w:val="19"/>
              </w:rPr>
              <w:t>568±0.057</w:t>
            </w:r>
          </w:p>
        </w:tc>
      </w:tr>
      <w:tr w14:paraId="67CDD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044" w:type="dxa"/>
            <w:vAlign w:val="top"/>
          </w:tcPr>
          <w:p w14:paraId="77932433">
            <w:pPr>
              <w:pStyle w:val="6"/>
              <w:spacing w:before="64" w:line="189" w:lineRule="auto"/>
              <w:ind w:left="415"/>
              <w:rPr>
                <w:sz w:val="19"/>
                <w:szCs w:val="19"/>
              </w:rPr>
            </w:pPr>
            <w:r>
              <w:rPr>
                <w:spacing w:val="-6"/>
                <w:sz w:val="19"/>
                <w:szCs w:val="19"/>
              </w:rPr>
              <w:t>13</w:t>
            </w:r>
          </w:p>
        </w:tc>
        <w:tc>
          <w:tcPr>
            <w:tcW w:w="2417" w:type="dxa"/>
            <w:vAlign w:val="top"/>
          </w:tcPr>
          <w:p w14:paraId="3146FAEA">
            <w:pPr>
              <w:pStyle w:val="6"/>
              <w:spacing w:before="45" w:line="207" w:lineRule="auto"/>
              <w:ind w:left="201"/>
              <w:rPr>
                <w:sz w:val="19"/>
                <w:szCs w:val="19"/>
              </w:rPr>
            </w:pPr>
            <w:r>
              <w:rPr>
                <w:spacing w:val="-1"/>
                <w:sz w:val="19"/>
                <w:szCs w:val="19"/>
              </w:rPr>
              <w:t>升压站围墙外东侧45m处</w:t>
            </w:r>
          </w:p>
        </w:tc>
        <w:tc>
          <w:tcPr>
            <w:tcW w:w="2147" w:type="dxa"/>
            <w:vAlign w:val="top"/>
          </w:tcPr>
          <w:p w14:paraId="4707D0F2">
            <w:pPr>
              <w:pStyle w:val="6"/>
              <w:spacing w:before="61" w:line="192" w:lineRule="auto"/>
              <w:ind w:left="494"/>
              <w:rPr>
                <w:sz w:val="19"/>
                <w:szCs w:val="19"/>
              </w:rPr>
            </w:pPr>
            <w:r>
              <w:rPr>
                <w:spacing w:val="-2"/>
                <w:sz w:val="19"/>
                <w:szCs w:val="19"/>
              </w:rPr>
              <w:t>1.887±0.317</w:t>
            </w:r>
          </w:p>
        </w:tc>
        <w:tc>
          <w:tcPr>
            <w:tcW w:w="2162" w:type="dxa"/>
            <w:vAlign w:val="top"/>
          </w:tcPr>
          <w:p w14:paraId="0617867D">
            <w:pPr>
              <w:pStyle w:val="6"/>
              <w:spacing w:before="61" w:line="192" w:lineRule="auto"/>
              <w:ind w:left="507"/>
              <w:rPr>
                <w:sz w:val="19"/>
                <w:szCs w:val="19"/>
              </w:rPr>
            </w:pPr>
            <w:r>
              <w:rPr>
                <w:spacing w:val="-1"/>
                <w:sz w:val="19"/>
                <w:szCs w:val="19"/>
              </w:rPr>
              <w:t>0.560±0.057</w:t>
            </w:r>
          </w:p>
        </w:tc>
      </w:tr>
      <w:tr w14:paraId="21196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44" w:type="dxa"/>
            <w:vAlign w:val="top"/>
          </w:tcPr>
          <w:p w14:paraId="48136ACC">
            <w:pPr>
              <w:pStyle w:val="6"/>
              <w:spacing w:before="75" w:line="198" w:lineRule="auto"/>
              <w:ind w:left="415"/>
              <w:rPr>
                <w:sz w:val="19"/>
                <w:szCs w:val="19"/>
              </w:rPr>
            </w:pPr>
            <w:r>
              <w:rPr>
                <w:spacing w:val="-6"/>
                <w:sz w:val="19"/>
                <w:szCs w:val="19"/>
              </w:rPr>
              <w:t>14</w:t>
            </w:r>
          </w:p>
        </w:tc>
        <w:tc>
          <w:tcPr>
            <w:tcW w:w="2417" w:type="dxa"/>
            <w:vAlign w:val="top"/>
          </w:tcPr>
          <w:p w14:paraId="3AF3A6E5">
            <w:pPr>
              <w:pStyle w:val="6"/>
              <w:spacing w:before="56" w:line="216" w:lineRule="auto"/>
              <w:ind w:left="201"/>
              <w:rPr>
                <w:sz w:val="19"/>
                <w:szCs w:val="19"/>
              </w:rPr>
            </w:pPr>
            <w:r>
              <w:rPr>
                <w:spacing w:val="-1"/>
                <w:sz w:val="19"/>
                <w:szCs w:val="19"/>
              </w:rPr>
              <w:t>升压站围墙外东侧50m处</w:t>
            </w:r>
          </w:p>
        </w:tc>
        <w:tc>
          <w:tcPr>
            <w:tcW w:w="2147" w:type="dxa"/>
            <w:vAlign w:val="top"/>
          </w:tcPr>
          <w:p w14:paraId="0CD431B4">
            <w:pPr>
              <w:pStyle w:val="6"/>
              <w:spacing w:before="73" w:line="200" w:lineRule="auto"/>
              <w:ind w:left="494"/>
              <w:rPr>
                <w:sz w:val="19"/>
                <w:szCs w:val="19"/>
              </w:rPr>
            </w:pPr>
            <w:r>
              <w:rPr>
                <w:spacing w:val="-2"/>
                <w:sz w:val="19"/>
                <w:szCs w:val="19"/>
              </w:rPr>
              <w:t>1.886±0.317</w:t>
            </w:r>
          </w:p>
        </w:tc>
        <w:tc>
          <w:tcPr>
            <w:tcW w:w="2162" w:type="dxa"/>
            <w:vAlign w:val="top"/>
          </w:tcPr>
          <w:p w14:paraId="3A14073A">
            <w:pPr>
              <w:pStyle w:val="6"/>
              <w:spacing w:before="73" w:line="200" w:lineRule="auto"/>
              <w:ind w:left="507"/>
              <w:rPr>
                <w:sz w:val="19"/>
                <w:szCs w:val="19"/>
              </w:rPr>
            </w:pPr>
            <w:r>
              <w:rPr>
                <w:spacing w:val="-1"/>
                <w:sz w:val="19"/>
                <w:szCs w:val="19"/>
              </w:rPr>
              <w:t>0.394±0.037</w:t>
            </w:r>
          </w:p>
        </w:tc>
      </w:tr>
      <w:tr w14:paraId="2293F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3461" w:type="dxa"/>
            <w:gridSpan w:val="2"/>
            <w:vAlign w:val="top"/>
          </w:tcPr>
          <w:p w14:paraId="5CAEF6A2">
            <w:pPr>
              <w:pStyle w:val="6"/>
              <w:spacing w:before="57" w:line="215" w:lineRule="auto"/>
              <w:ind w:left="1344"/>
              <w:rPr>
                <w:sz w:val="19"/>
                <w:szCs w:val="19"/>
              </w:rPr>
            </w:pPr>
            <w:r>
              <w:rPr>
                <w:spacing w:val="-2"/>
                <w:sz w:val="19"/>
                <w:szCs w:val="19"/>
              </w:rPr>
              <w:t>执行标准</w:t>
            </w:r>
          </w:p>
        </w:tc>
        <w:tc>
          <w:tcPr>
            <w:tcW w:w="2147" w:type="dxa"/>
            <w:vAlign w:val="top"/>
          </w:tcPr>
          <w:p w14:paraId="6B063D98">
            <w:pPr>
              <w:pStyle w:val="6"/>
              <w:spacing w:before="76" w:line="197" w:lineRule="auto"/>
              <w:ind w:left="874"/>
              <w:rPr>
                <w:sz w:val="19"/>
                <w:szCs w:val="19"/>
              </w:rPr>
            </w:pPr>
            <w:r>
              <w:rPr>
                <w:spacing w:val="-2"/>
                <w:sz w:val="19"/>
                <w:szCs w:val="19"/>
              </w:rPr>
              <w:t>4000</w:t>
            </w:r>
          </w:p>
        </w:tc>
        <w:tc>
          <w:tcPr>
            <w:tcW w:w="2162" w:type="dxa"/>
            <w:vAlign w:val="top"/>
          </w:tcPr>
          <w:p w14:paraId="20D1FE69">
            <w:pPr>
              <w:pStyle w:val="6"/>
              <w:spacing w:before="76" w:line="197" w:lineRule="auto"/>
              <w:ind w:left="927"/>
              <w:rPr>
                <w:sz w:val="19"/>
                <w:szCs w:val="19"/>
              </w:rPr>
            </w:pPr>
            <w:r>
              <w:rPr>
                <w:spacing w:val="-5"/>
                <w:sz w:val="19"/>
                <w:szCs w:val="19"/>
              </w:rPr>
              <w:t>1</w:t>
            </w:r>
            <w:r>
              <w:rPr>
                <w:color w:val="202040"/>
                <w:spacing w:val="-5"/>
                <w:sz w:val="19"/>
                <w:szCs w:val="19"/>
              </w:rPr>
              <w:t>00</w:t>
            </w:r>
          </w:p>
        </w:tc>
      </w:tr>
      <w:tr w14:paraId="606D7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461" w:type="dxa"/>
            <w:gridSpan w:val="2"/>
            <w:vAlign w:val="top"/>
          </w:tcPr>
          <w:p w14:paraId="21A4ABA0">
            <w:pPr>
              <w:pStyle w:val="6"/>
              <w:spacing w:before="48" w:line="210" w:lineRule="auto"/>
              <w:ind w:left="1344"/>
              <w:rPr>
                <w:sz w:val="19"/>
                <w:szCs w:val="19"/>
              </w:rPr>
            </w:pPr>
            <w:r>
              <w:rPr>
                <w:color w:val="402030"/>
                <w:spacing w:val="-2"/>
                <w:sz w:val="19"/>
                <w:szCs w:val="19"/>
              </w:rPr>
              <w:t>达</w:t>
            </w:r>
            <w:r>
              <w:rPr>
                <w:spacing w:val="-2"/>
                <w:sz w:val="19"/>
                <w:szCs w:val="19"/>
              </w:rPr>
              <w:t>标情况</w:t>
            </w:r>
          </w:p>
        </w:tc>
        <w:tc>
          <w:tcPr>
            <w:tcW w:w="2147" w:type="dxa"/>
            <w:vAlign w:val="top"/>
          </w:tcPr>
          <w:p w14:paraId="7F37A489">
            <w:pPr>
              <w:pStyle w:val="6"/>
              <w:spacing w:before="48" w:line="210" w:lineRule="auto"/>
              <w:ind w:left="874"/>
              <w:rPr>
                <w:sz w:val="19"/>
                <w:szCs w:val="19"/>
              </w:rPr>
            </w:pPr>
            <w:r>
              <w:rPr>
                <w:spacing w:val="-2"/>
                <w:sz w:val="19"/>
                <w:szCs w:val="19"/>
              </w:rPr>
              <w:t>达标</w:t>
            </w:r>
          </w:p>
        </w:tc>
        <w:tc>
          <w:tcPr>
            <w:tcW w:w="2162" w:type="dxa"/>
            <w:vAlign w:val="top"/>
          </w:tcPr>
          <w:p w14:paraId="455BE5B2">
            <w:pPr>
              <w:pStyle w:val="6"/>
              <w:spacing w:before="48" w:line="210" w:lineRule="auto"/>
              <w:ind w:left="887"/>
              <w:rPr>
                <w:sz w:val="19"/>
                <w:szCs w:val="19"/>
              </w:rPr>
            </w:pPr>
            <w:r>
              <w:rPr>
                <w:spacing w:val="-2"/>
                <w:sz w:val="19"/>
                <w:szCs w:val="19"/>
              </w:rPr>
              <w:t>达标</w:t>
            </w:r>
          </w:p>
        </w:tc>
      </w:tr>
    </w:tbl>
    <w:p w14:paraId="6D6A2CF6">
      <w:pPr>
        <w:pStyle w:val="2"/>
      </w:pPr>
    </w:p>
    <w:p w14:paraId="1E6204B3">
      <w:pPr>
        <w:sectPr>
          <w:footerReference r:id="rId238" w:type="default"/>
          <w:pgSz w:w="11910" w:h="16830"/>
          <w:pgMar w:top="400" w:right="1786" w:bottom="1149" w:left="1786" w:header="0" w:footer="954" w:gutter="0"/>
          <w:cols w:space="720" w:num="1"/>
        </w:sectPr>
      </w:pPr>
    </w:p>
    <w:p w14:paraId="70243951">
      <w:pPr>
        <w:pStyle w:val="2"/>
        <w:spacing w:line="264" w:lineRule="auto"/>
      </w:pPr>
    </w:p>
    <w:p w14:paraId="67B72DFF">
      <w:pPr>
        <w:pStyle w:val="2"/>
        <w:spacing w:line="264" w:lineRule="auto"/>
      </w:pPr>
    </w:p>
    <w:p w14:paraId="78FA2506">
      <w:pPr>
        <w:pStyle w:val="2"/>
        <w:spacing w:line="264" w:lineRule="auto"/>
      </w:pPr>
    </w:p>
    <w:p w14:paraId="32F96F9E">
      <w:pPr>
        <w:pStyle w:val="2"/>
        <w:spacing w:line="264" w:lineRule="auto"/>
      </w:pPr>
    </w:p>
    <w:p w14:paraId="1AB141DF">
      <w:pPr>
        <w:spacing w:before="78" w:line="220" w:lineRule="auto"/>
        <w:ind w:left="907"/>
        <w:rPr>
          <w:rFonts w:ascii="宋体" w:hAnsi="宋体" w:eastAsia="宋体" w:cs="宋体"/>
          <w:sz w:val="24"/>
          <w:szCs w:val="24"/>
        </w:rPr>
      </w:pPr>
      <w:r>
        <w:rPr>
          <w:rFonts w:ascii="宋体" w:hAnsi="宋体" w:eastAsia="宋体" w:cs="宋体"/>
          <w:color w:val="FF0000"/>
          <w:spacing w:val="12"/>
          <w:sz w:val="24"/>
          <w:szCs w:val="24"/>
        </w:rPr>
        <w:t>(5)监测结果分析</w:t>
      </w:r>
    </w:p>
    <w:p w14:paraId="44005545">
      <w:pPr>
        <w:spacing w:before="186" w:line="353" w:lineRule="auto"/>
        <w:ind w:left="277" w:right="323" w:firstLine="510"/>
        <w:rPr>
          <w:rFonts w:ascii="宋体" w:hAnsi="宋体" w:eastAsia="宋体" w:cs="宋体"/>
          <w:sz w:val="24"/>
          <w:szCs w:val="24"/>
        </w:rPr>
      </w:pPr>
      <w:r>
        <w:rPr>
          <w:rFonts w:ascii="宋体" w:hAnsi="宋体" w:eastAsia="宋体" w:cs="宋体"/>
          <w:color w:val="FF0000"/>
          <w:spacing w:val="11"/>
          <w:sz w:val="24"/>
          <w:szCs w:val="24"/>
        </w:rPr>
        <w:t>云南省核工业二O 九地质大队于2023年8月</w:t>
      </w:r>
      <w:r>
        <w:rPr>
          <w:rFonts w:ascii="宋体" w:hAnsi="宋体" w:eastAsia="宋体" w:cs="宋体"/>
          <w:color w:val="FF0000"/>
          <w:spacing w:val="10"/>
          <w:sz w:val="24"/>
          <w:szCs w:val="24"/>
        </w:rPr>
        <w:t>3日对云南省槟榔江猴桥水电</w:t>
      </w:r>
      <w:r>
        <w:rPr>
          <w:rFonts w:ascii="宋体" w:hAnsi="宋体" w:eastAsia="宋体" w:cs="宋体"/>
          <w:color w:val="FF0000"/>
          <w:sz w:val="24"/>
          <w:szCs w:val="24"/>
        </w:rPr>
        <w:t xml:space="preserve"> </w:t>
      </w:r>
      <w:r>
        <w:rPr>
          <w:rFonts w:ascii="宋体" w:hAnsi="宋体" w:eastAsia="宋体" w:cs="宋体"/>
          <w:color w:val="FF0000"/>
          <w:spacing w:val="3"/>
          <w:sz w:val="24"/>
          <w:szCs w:val="24"/>
        </w:rPr>
        <w:t>站</w:t>
      </w:r>
      <w:r>
        <w:rPr>
          <w:rFonts w:ascii="宋体" w:hAnsi="宋体" w:eastAsia="宋体" w:cs="宋体"/>
          <w:color w:val="FF0000"/>
          <w:spacing w:val="-33"/>
          <w:sz w:val="24"/>
          <w:szCs w:val="24"/>
        </w:rPr>
        <w:t xml:space="preserve"> </w:t>
      </w:r>
      <w:r>
        <w:rPr>
          <w:rFonts w:ascii="Times New Roman" w:hAnsi="Times New Roman" w:eastAsia="Times New Roman" w:cs="Times New Roman"/>
          <w:color w:val="FF0000"/>
          <w:spacing w:val="3"/>
          <w:sz w:val="24"/>
          <w:szCs w:val="24"/>
        </w:rPr>
        <w:t>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21"/>
          <w:sz w:val="24"/>
          <w:szCs w:val="24"/>
        </w:rPr>
        <w:t xml:space="preserve"> </w:t>
      </w:r>
      <w:r>
        <w:rPr>
          <w:rFonts w:ascii="宋体" w:hAnsi="宋体" w:eastAsia="宋体" w:cs="宋体"/>
          <w:color w:val="FF0000"/>
          <w:spacing w:val="3"/>
          <w:sz w:val="24"/>
          <w:szCs w:val="24"/>
        </w:rPr>
        <w:t>升压站周围工频电场强度、工频磁感应强度以及升压站厂界西侧衰减</w:t>
      </w:r>
      <w:r>
        <w:rPr>
          <w:rFonts w:ascii="宋体" w:hAnsi="宋体" w:eastAsia="宋体" w:cs="宋体"/>
          <w:color w:val="FF0000"/>
          <w:sz w:val="24"/>
          <w:szCs w:val="24"/>
        </w:rPr>
        <w:t xml:space="preserve"> </w:t>
      </w:r>
      <w:r>
        <w:rPr>
          <w:rFonts w:ascii="宋体" w:hAnsi="宋体" w:eastAsia="宋体" w:cs="宋体"/>
          <w:color w:val="FF0000"/>
          <w:spacing w:val="5"/>
          <w:sz w:val="24"/>
          <w:szCs w:val="24"/>
        </w:rPr>
        <w:t>断面工频电场及工频磁感应强度进行了监测，类</w:t>
      </w:r>
      <w:r>
        <w:rPr>
          <w:rFonts w:ascii="宋体" w:hAnsi="宋体" w:eastAsia="宋体" w:cs="宋体"/>
          <w:color w:val="FF0000"/>
          <w:spacing w:val="4"/>
          <w:sz w:val="24"/>
          <w:szCs w:val="24"/>
        </w:rPr>
        <w:t>比电站110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11"/>
          <w:sz w:val="24"/>
          <w:szCs w:val="24"/>
        </w:rPr>
        <w:t xml:space="preserve"> </w:t>
      </w:r>
      <w:r>
        <w:rPr>
          <w:rFonts w:ascii="宋体" w:hAnsi="宋体" w:eastAsia="宋体" w:cs="宋体"/>
          <w:color w:val="FF0000"/>
          <w:spacing w:val="4"/>
          <w:sz w:val="24"/>
          <w:szCs w:val="24"/>
        </w:rPr>
        <w:t>升压站四周站界</w:t>
      </w:r>
      <w:r>
        <w:rPr>
          <w:rFonts w:ascii="宋体" w:hAnsi="宋体" w:eastAsia="宋体" w:cs="宋体"/>
          <w:color w:val="FF0000"/>
          <w:sz w:val="24"/>
          <w:szCs w:val="24"/>
        </w:rPr>
        <w:t xml:space="preserve"> </w:t>
      </w:r>
      <w:r>
        <w:rPr>
          <w:rFonts w:ascii="宋体" w:hAnsi="宋体" w:eastAsia="宋体" w:cs="宋体"/>
          <w:color w:val="FF0000"/>
          <w:spacing w:val="15"/>
          <w:sz w:val="24"/>
          <w:szCs w:val="24"/>
        </w:rPr>
        <w:t>处的工频电场强度监测值为71.34～661.0</w:t>
      </w:r>
      <w:r>
        <w:rPr>
          <w:rFonts w:ascii="Times New Roman" w:hAnsi="Times New Roman" w:eastAsia="Times New Roman" w:cs="Times New Roman"/>
          <w:color w:val="FF0000"/>
          <w:spacing w:val="15"/>
          <w:sz w:val="24"/>
          <w:szCs w:val="24"/>
        </w:rPr>
        <w:t xml:space="preserve">V/m,   </w:t>
      </w:r>
      <w:r>
        <w:rPr>
          <w:rFonts w:ascii="宋体" w:hAnsi="宋体" w:eastAsia="宋体" w:cs="宋体"/>
          <w:color w:val="FF0000"/>
          <w:spacing w:val="15"/>
          <w:sz w:val="24"/>
          <w:szCs w:val="24"/>
        </w:rPr>
        <w:t>工频磁感应强度为0.257~</w:t>
      </w:r>
      <w:r>
        <w:rPr>
          <w:rFonts w:ascii="宋体" w:hAnsi="宋体" w:eastAsia="宋体" w:cs="宋体"/>
          <w:color w:val="FF0000"/>
          <w:spacing w:val="2"/>
          <w:sz w:val="24"/>
          <w:szCs w:val="24"/>
        </w:rPr>
        <w:t xml:space="preserve"> </w:t>
      </w:r>
      <w:r>
        <w:rPr>
          <w:rFonts w:ascii="宋体" w:hAnsi="宋体" w:eastAsia="宋体" w:cs="宋体"/>
          <w:color w:val="FF0000"/>
          <w:spacing w:val="-9"/>
          <w:sz w:val="25"/>
          <w:szCs w:val="25"/>
        </w:rPr>
        <w:t>3.000μ</w:t>
      </w:r>
      <w:r>
        <w:rPr>
          <w:rFonts w:ascii="Times New Roman" w:hAnsi="Times New Roman" w:eastAsia="Times New Roman" w:cs="Times New Roman"/>
          <w:color w:val="FF0000"/>
          <w:spacing w:val="-9"/>
          <w:sz w:val="25"/>
          <w:szCs w:val="25"/>
        </w:rPr>
        <w:t>T</w:t>
      </w:r>
      <w:r>
        <w:rPr>
          <w:rFonts w:ascii="宋体" w:hAnsi="宋体" w:eastAsia="宋体" w:cs="宋体"/>
          <w:color w:val="FF0000"/>
          <w:spacing w:val="-9"/>
          <w:sz w:val="25"/>
          <w:szCs w:val="25"/>
        </w:rPr>
        <w:t>。升压站围墙外东侧5、10、15、20、25、30、35、40、45、5</w:t>
      </w:r>
      <w:r>
        <w:rPr>
          <w:rFonts w:ascii="仿宋" w:hAnsi="仿宋" w:eastAsia="仿宋" w:cs="仿宋"/>
          <w:color w:val="FF0000"/>
          <w:spacing w:val="-9"/>
          <w:sz w:val="25"/>
          <w:szCs w:val="25"/>
        </w:rPr>
        <w:t>0</w:t>
      </w:r>
      <w:r>
        <w:rPr>
          <w:rFonts w:ascii="Times New Roman" w:hAnsi="Times New Roman" w:eastAsia="Times New Roman" w:cs="Times New Roman"/>
          <w:color w:val="FF0000"/>
          <w:spacing w:val="-9"/>
          <w:sz w:val="25"/>
          <w:szCs w:val="25"/>
        </w:rPr>
        <w:t xml:space="preserve">m  </w:t>
      </w:r>
      <w:r>
        <w:rPr>
          <w:rFonts w:ascii="仿宋" w:hAnsi="仿宋" w:eastAsia="仿宋" w:cs="仿宋"/>
          <w:color w:val="FF0000"/>
          <w:spacing w:val="-9"/>
          <w:sz w:val="25"/>
          <w:szCs w:val="25"/>
        </w:rPr>
        <w:t>断面</w:t>
      </w:r>
      <w:r>
        <w:rPr>
          <w:rFonts w:ascii="仿宋" w:hAnsi="仿宋" w:eastAsia="仿宋" w:cs="仿宋"/>
          <w:color w:val="FF0000"/>
          <w:spacing w:val="12"/>
          <w:sz w:val="25"/>
          <w:szCs w:val="25"/>
        </w:rPr>
        <w:t xml:space="preserve"> </w:t>
      </w:r>
      <w:r>
        <w:rPr>
          <w:rFonts w:ascii="宋体" w:hAnsi="宋体" w:eastAsia="宋体" w:cs="宋体"/>
          <w:color w:val="FF0000"/>
          <w:spacing w:val="25"/>
          <w:sz w:val="25"/>
          <w:szCs w:val="25"/>
        </w:rPr>
        <w:t>处工频电场强度范围为1.886~67.41</w:t>
      </w:r>
      <w:r>
        <w:rPr>
          <w:rFonts w:ascii="Times New Roman" w:hAnsi="Times New Roman" w:eastAsia="Times New Roman" w:cs="Times New Roman"/>
          <w:color w:val="FF0000"/>
          <w:spacing w:val="25"/>
          <w:sz w:val="25"/>
          <w:szCs w:val="25"/>
        </w:rPr>
        <w:t xml:space="preserve">V/m,   </w:t>
      </w:r>
      <w:r>
        <w:rPr>
          <w:rFonts w:ascii="宋体" w:hAnsi="宋体" w:eastAsia="宋体" w:cs="宋体"/>
          <w:color w:val="FF0000"/>
          <w:spacing w:val="25"/>
          <w:sz w:val="25"/>
          <w:szCs w:val="25"/>
        </w:rPr>
        <w:t>工频磁场感应强度范围为</w:t>
      </w:r>
      <w:r>
        <w:rPr>
          <w:rFonts w:ascii="宋体" w:hAnsi="宋体" w:eastAsia="宋体" w:cs="宋体"/>
          <w:color w:val="FF0000"/>
          <w:spacing w:val="7"/>
          <w:sz w:val="25"/>
          <w:szCs w:val="25"/>
        </w:rPr>
        <w:t xml:space="preserve"> </w:t>
      </w:r>
      <w:r>
        <w:rPr>
          <w:rFonts w:ascii="宋体" w:hAnsi="宋体" w:eastAsia="宋体" w:cs="宋体"/>
          <w:color w:val="FF0000"/>
          <w:spacing w:val="-4"/>
          <w:sz w:val="24"/>
          <w:szCs w:val="24"/>
        </w:rPr>
        <w:t>0.347~0.846μ</w:t>
      </w:r>
      <w:r>
        <w:rPr>
          <w:rFonts w:ascii="Times New Roman" w:hAnsi="Times New Roman" w:eastAsia="Times New Roman" w:cs="Times New Roman"/>
          <w:color w:val="FF0000"/>
          <w:spacing w:val="-4"/>
          <w:sz w:val="24"/>
          <w:szCs w:val="24"/>
        </w:rPr>
        <w:t xml:space="preserve">T,  </w:t>
      </w:r>
      <w:r>
        <w:rPr>
          <w:rFonts w:ascii="宋体" w:hAnsi="宋体" w:eastAsia="宋体" w:cs="宋体"/>
          <w:color w:val="FF0000"/>
          <w:spacing w:val="-4"/>
          <w:sz w:val="24"/>
          <w:szCs w:val="24"/>
        </w:rPr>
        <w:t>均满足《电磁环境控制限值》</w:t>
      </w:r>
      <w:r>
        <w:rPr>
          <w:rFonts w:ascii="宋体" w:hAnsi="宋体" w:eastAsia="宋体" w:cs="宋体"/>
          <w:color w:val="FF0000"/>
          <w:spacing w:val="-40"/>
          <w:sz w:val="24"/>
          <w:szCs w:val="24"/>
        </w:rPr>
        <w:t xml:space="preserve"> </w:t>
      </w:r>
      <w:r>
        <w:rPr>
          <w:rFonts w:ascii="宋体" w:hAnsi="宋体" w:eastAsia="宋体" w:cs="宋体"/>
          <w:color w:val="FF0000"/>
          <w:spacing w:val="-4"/>
          <w:sz w:val="24"/>
          <w:szCs w:val="24"/>
        </w:rPr>
        <w:t>(</w:t>
      </w:r>
      <w:r>
        <w:rPr>
          <w:rFonts w:ascii="Times New Roman" w:hAnsi="Times New Roman" w:eastAsia="Times New Roman" w:cs="Times New Roman"/>
          <w:color w:val="FF0000"/>
          <w:spacing w:val="-4"/>
          <w:sz w:val="24"/>
          <w:szCs w:val="24"/>
        </w:rPr>
        <w:t xml:space="preserve">GB8702-2014)   </w:t>
      </w:r>
      <w:r>
        <w:rPr>
          <w:rFonts w:ascii="宋体" w:hAnsi="宋体" w:eastAsia="宋体" w:cs="宋体"/>
          <w:color w:val="FF0000"/>
          <w:spacing w:val="-4"/>
          <w:sz w:val="24"/>
          <w:szCs w:val="24"/>
        </w:rPr>
        <w:t>中公众曝</w:t>
      </w:r>
      <w:r>
        <w:rPr>
          <w:rFonts w:ascii="宋体" w:hAnsi="宋体" w:eastAsia="宋体" w:cs="宋体"/>
          <w:color w:val="FF0000"/>
          <w:spacing w:val="-5"/>
          <w:sz w:val="24"/>
          <w:szCs w:val="24"/>
        </w:rPr>
        <w:t>露控制</w:t>
      </w:r>
      <w:r>
        <w:rPr>
          <w:rFonts w:ascii="宋体" w:hAnsi="宋体" w:eastAsia="宋体" w:cs="宋体"/>
          <w:color w:val="FF0000"/>
          <w:sz w:val="24"/>
          <w:szCs w:val="24"/>
        </w:rPr>
        <w:t xml:space="preserve"> </w:t>
      </w:r>
      <w:r>
        <w:rPr>
          <w:rFonts w:ascii="宋体" w:hAnsi="宋体" w:eastAsia="宋体" w:cs="宋体"/>
          <w:color w:val="FF0000"/>
          <w:spacing w:val="1"/>
          <w:sz w:val="24"/>
          <w:szCs w:val="24"/>
        </w:rPr>
        <w:t>限值：50</w:t>
      </w:r>
      <w:r>
        <w:rPr>
          <w:rFonts w:ascii="Times New Roman" w:hAnsi="Times New Roman" w:eastAsia="Times New Roman" w:cs="Times New Roman"/>
          <w:color w:val="FF0000"/>
          <w:sz w:val="24"/>
          <w:szCs w:val="24"/>
        </w:rPr>
        <w:t>Hz</w:t>
      </w:r>
      <w:r>
        <w:rPr>
          <w:rFonts w:ascii="Times New Roman" w:hAnsi="Times New Roman" w:eastAsia="Times New Roman" w:cs="Times New Roman"/>
          <w:color w:val="FF0000"/>
          <w:spacing w:val="45"/>
          <w:sz w:val="24"/>
          <w:szCs w:val="24"/>
        </w:rPr>
        <w:t xml:space="preserve"> </w:t>
      </w:r>
      <w:r>
        <w:rPr>
          <w:rFonts w:ascii="宋体" w:hAnsi="宋体" w:eastAsia="宋体" w:cs="宋体"/>
          <w:color w:val="FF0000"/>
          <w:spacing w:val="1"/>
          <w:sz w:val="24"/>
          <w:szCs w:val="24"/>
        </w:rPr>
        <w:t>频率下，工频电场强度为4000</w:t>
      </w:r>
      <w:r>
        <w:rPr>
          <w:rFonts w:ascii="Times New Roman" w:hAnsi="Times New Roman" w:eastAsia="Times New Roman" w:cs="Times New Roman"/>
          <w:color w:val="FF0000"/>
          <w:spacing w:val="1"/>
          <w:sz w:val="24"/>
          <w:szCs w:val="24"/>
        </w:rPr>
        <w:t>V/m,</w:t>
      </w:r>
      <w:r>
        <w:rPr>
          <w:rFonts w:ascii="Times New Roman" w:hAnsi="Times New Roman" w:eastAsia="Times New Roman" w:cs="Times New Roman"/>
          <w:color w:val="FF0000"/>
          <w:spacing w:val="23"/>
          <w:sz w:val="24"/>
          <w:szCs w:val="24"/>
        </w:rPr>
        <w:t xml:space="preserve">  </w:t>
      </w:r>
      <w:r>
        <w:rPr>
          <w:rFonts w:ascii="宋体" w:hAnsi="宋体" w:eastAsia="宋体" w:cs="宋体"/>
          <w:color w:val="FF0000"/>
          <w:sz w:val="24"/>
          <w:szCs w:val="24"/>
        </w:rPr>
        <w:t>磁感应强度为100μ</w:t>
      </w:r>
      <w:r>
        <w:rPr>
          <w:rFonts w:ascii="Times New Roman" w:hAnsi="Times New Roman" w:eastAsia="Times New Roman" w:cs="Times New Roman"/>
          <w:color w:val="FF0000"/>
          <w:sz w:val="24"/>
          <w:szCs w:val="24"/>
        </w:rPr>
        <w:t>T</w:t>
      </w:r>
      <w:r>
        <w:rPr>
          <w:rFonts w:ascii="宋体" w:hAnsi="宋体" w:eastAsia="宋体" w:cs="宋体"/>
          <w:color w:val="FF0000"/>
          <w:sz w:val="24"/>
          <w:szCs w:val="24"/>
        </w:rPr>
        <w:t>。</w:t>
      </w:r>
    </w:p>
    <w:p w14:paraId="4A52C940">
      <w:pPr>
        <w:spacing w:before="3" w:line="356" w:lineRule="auto"/>
        <w:ind w:left="277" w:right="337" w:firstLine="510"/>
        <w:jc w:val="both"/>
        <w:rPr>
          <w:rFonts w:ascii="宋体" w:hAnsi="宋体" w:eastAsia="宋体" w:cs="宋体"/>
          <w:sz w:val="24"/>
          <w:szCs w:val="24"/>
        </w:rPr>
      </w:pPr>
      <w:r>
        <w:rPr>
          <w:rFonts w:ascii="宋体" w:hAnsi="宋体" w:eastAsia="宋体" w:cs="宋体"/>
          <w:color w:val="FF0000"/>
          <w:spacing w:val="6"/>
          <w:sz w:val="24"/>
          <w:szCs w:val="24"/>
        </w:rPr>
        <w:t>监测期间1#主变有功功率为10</w:t>
      </w:r>
      <w:r>
        <w:rPr>
          <w:rFonts w:ascii="Times New Roman" w:hAnsi="Times New Roman" w:eastAsia="Times New Roman" w:cs="Times New Roman"/>
          <w:color w:val="FF0000"/>
          <w:sz w:val="24"/>
          <w:szCs w:val="24"/>
        </w:rPr>
        <w:t>MW</w:t>
      </w:r>
      <w:r>
        <w:rPr>
          <w:rFonts w:ascii="Times New Roman" w:hAnsi="Times New Roman" w:eastAsia="Times New Roman" w:cs="Times New Roman"/>
          <w:color w:val="FF0000"/>
          <w:spacing w:val="6"/>
          <w:sz w:val="24"/>
          <w:szCs w:val="24"/>
        </w:rPr>
        <w:t>,</w:t>
      </w:r>
      <w:r>
        <w:rPr>
          <w:rFonts w:ascii="Times New Roman" w:hAnsi="Times New Roman" w:eastAsia="Times New Roman" w:cs="Times New Roman"/>
          <w:color w:val="FF0000"/>
          <w:spacing w:val="27"/>
          <w:w w:val="101"/>
          <w:sz w:val="24"/>
          <w:szCs w:val="24"/>
        </w:rPr>
        <w:t xml:space="preserve">  </w:t>
      </w:r>
      <w:r>
        <w:rPr>
          <w:rFonts w:ascii="宋体" w:hAnsi="宋体" w:eastAsia="宋体" w:cs="宋体"/>
          <w:color w:val="FF0000"/>
          <w:spacing w:val="6"/>
          <w:sz w:val="24"/>
          <w:szCs w:val="24"/>
        </w:rPr>
        <w:t>为额定功率</w:t>
      </w:r>
      <w:r>
        <w:rPr>
          <w:rFonts w:ascii="宋体" w:hAnsi="宋体" w:eastAsia="宋体" w:cs="宋体"/>
          <w:color w:val="FF0000"/>
          <w:spacing w:val="-42"/>
          <w:sz w:val="24"/>
          <w:szCs w:val="24"/>
        </w:rPr>
        <w:t xml:space="preserve"> </w:t>
      </w:r>
      <w:r>
        <w:rPr>
          <w:rFonts w:ascii="仿宋" w:hAnsi="仿宋" w:eastAsia="仿宋" w:cs="仿宋"/>
          <w:color w:val="FF0000"/>
          <w:spacing w:val="6"/>
          <w:sz w:val="24"/>
          <w:szCs w:val="24"/>
        </w:rPr>
        <w:t>(60</w:t>
      </w:r>
      <w:r>
        <w:rPr>
          <w:rFonts w:ascii="仿宋" w:hAnsi="仿宋" w:eastAsia="仿宋" w:cs="仿宋"/>
          <w:color w:val="FF0000"/>
          <w:spacing w:val="-49"/>
          <w:sz w:val="24"/>
          <w:szCs w:val="24"/>
        </w:rPr>
        <w:t xml:space="preserve"> </w:t>
      </w:r>
      <w:r>
        <w:rPr>
          <w:rFonts w:ascii="Times New Roman" w:hAnsi="Times New Roman" w:eastAsia="Times New Roman" w:cs="Times New Roman"/>
          <w:color w:val="FF0000"/>
          <w:sz w:val="24"/>
          <w:szCs w:val="24"/>
        </w:rPr>
        <w:t>MVA</w:t>
      </w:r>
      <w:r>
        <w:rPr>
          <w:rFonts w:ascii="Times New Roman" w:hAnsi="Times New Roman" w:eastAsia="Times New Roman" w:cs="Times New Roman"/>
          <w:color w:val="FF0000"/>
          <w:spacing w:val="6"/>
          <w:sz w:val="24"/>
          <w:szCs w:val="24"/>
        </w:rPr>
        <w:t>)</w:t>
      </w:r>
      <w:r>
        <w:rPr>
          <w:rFonts w:ascii="Times New Roman" w:hAnsi="Times New Roman" w:eastAsia="Times New Roman" w:cs="Times New Roman"/>
          <w:color w:val="FF0000"/>
          <w:spacing w:val="54"/>
          <w:w w:val="101"/>
          <w:sz w:val="24"/>
          <w:szCs w:val="24"/>
        </w:rPr>
        <w:t xml:space="preserve"> </w:t>
      </w:r>
      <w:r>
        <w:rPr>
          <w:rFonts w:ascii="仿宋" w:hAnsi="仿宋" w:eastAsia="仿宋" w:cs="仿宋"/>
          <w:color w:val="FF0000"/>
          <w:spacing w:val="5"/>
          <w:sz w:val="24"/>
          <w:szCs w:val="24"/>
        </w:rPr>
        <w:t>的0.167倍，</w:t>
      </w:r>
      <w:r>
        <w:rPr>
          <w:rFonts w:ascii="仿宋" w:hAnsi="仿宋" w:eastAsia="仿宋" w:cs="仿宋"/>
          <w:color w:val="FF0000"/>
          <w:sz w:val="24"/>
          <w:szCs w:val="24"/>
        </w:rPr>
        <w:t xml:space="preserve"> </w:t>
      </w:r>
      <w:r>
        <w:rPr>
          <w:rFonts w:ascii="宋体" w:hAnsi="宋体" w:eastAsia="宋体" w:cs="宋体"/>
          <w:color w:val="FF0000"/>
          <w:spacing w:val="7"/>
          <w:sz w:val="24"/>
          <w:szCs w:val="24"/>
        </w:rPr>
        <w:t>2#主变有功功率为8</w:t>
      </w:r>
      <w:r>
        <w:rPr>
          <w:rFonts w:ascii="Times New Roman" w:hAnsi="Times New Roman" w:eastAsia="Times New Roman" w:cs="Times New Roman"/>
          <w:color w:val="FF0000"/>
          <w:sz w:val="24"/>
          <w:szCs w:val="24"/>
        </w:rPr>
        <w:t>MW</w:t>
      </w:r>
      <w:r>
        <w:rPr>
          <w:rFonts w:ascii="Times New Roman" w:hAnsi="Times New Roman" w:eastAsia="Times New Roman" w:cs="Times New Roman"/>
          <w:color w:val="FF0000"/>
          <w:spacing w:val="7"/>
          <w:sz w:val="24"/>
          <w:szCs w:val="24"/>
        </w:rPr>
        <w:t>,</w:t>
      </w:r>
      <w:r>
        <w:rPr>
          <w:rFonts w:ascii="Times New Roman" w:hAnsi="Times New Roman" w:eastAsia="Times New Roman" w:cs="Times New Roman"/>
          <w:color w:val="FF0000"/>
          <w:spacing w:val="31"/>
          <w:w w:val="101"/>
          <w:sz w:val="24"/>
          <w:szCs w:val="24"/>
        </w:rPr>
        <w:t xml:space="preserve">  </w:t>
      </w:r>
      <w:r>
        <w:rPr>
          <w:rFonts w:ascii="宋体" w:hAnsi="宋体" w:eastAsia="宋体" w:cs="宋体"/>
          <w:color w:val="FF0000"/>
          <w:spacing w:val="7"/>
          <w:sz w:val="24"/>
          <w:szCs w:val="24"/>
        </w:rPr>
        <w:t>为额定功率(60</w:t>
      </w:r>
      <w:r>
        <w:rPr>
          <w:rFonts w:ascii="Times New Roman" w:hAnsi="Times New Roman" w:eastAsia="Times New Roman" w:cs="Times New Roman"/>
          <w:color w:val="FF0000"/>
          <w:sz w:val="24"/>
          <w:szCs w:val="24"/>
        </w:rPr>
        <w:t>MVA</w:t>
      </w:r>
      <w:r>
        <w:rPr>
          <w:rFonts w:ascii="Times New Roman" w:hAnsi="Times New Roman" w:eastAsia="Times New Roman" w:cs="Times New Roman"/>
          <w:color w:val="FF0000"/>
          <w:spacing w:val="7"/>
          <w:sz w:val="24"/>
          <w:szCs w:val="24"/>
        </w:rPr>
        <w:t xml:space="preserve">)  </w:t>
      </w:r>
      <w:r>
        <w:rPr>
          <w:rFonts w:ascii="宋体" w:hAnsi="宋体" w:eastAsia="宋体" w:cs="宋体"/>
          <w:color w:val="FF0000"/>
          <w:spacing w:val="7"/>
          <w:sz w:val="24"/>
          <w:szCs w:val="24"/>
        </w:rPr>
        <w:t>的0.133倍，本项目设计负荷</w:t>
      </w:r>
      <w:r>
        <w:rPr>
          <w:rFonts w:ascii="宋体" w:hAnsi="宋体" w:eastAsia="宋体" w:cs="宋体"/>
          <w:color w:val="FF0000"/>
          <w:sz w:val="24"/>
          <w:szCs w:val="24"/>
        </w:rPr>
        <w:t xml:space="preserve"> </w:t>
      </w:r>
      <w:r>
        <w:rPr>
          <w:rFonts w:ascii="宋体" w:hAnsi="宋体" w:eastAsia="宋体" w:cs="宋体"/>
          <w:color w:val="FF0000"/>
          <w:spacing w:val="4"/>
          <w:sz w:val="24"/>
          <w:szCs w:val="24"/>
        </w:rPr>
        <w:t>为120</w:t>
      </w:r>
      <w:r>
        <w:rPr>
          <w:rFonts w:ascii="Times New Roman" w:hAnsi="Times New Roman" w:eastAsia="Times New Roman" w:cs="Times New Roman"/>
          <w:color w:val="FF0000"/>
          <w:sz w:val="24"/>
          <w:szCs w:val="24"/>
        </w:rPr>
        <w:t>MW</w:t>
      </w:r>
      <w:r>
        <w:rPr>
          <w:rFonts w:ascii="Times New Roman" w:hAnsi="Times New Roman" w:eastAsia="Times New Roman" w:cs="Times New Roman"/>
          <w:color w:val="FF0000"/>
          <w:spacing w:val="4"/>
          <w:sz w:val="24"/>
          <w:szCs w:val="24"/>
        </w:rPr>
        <w:t>,</w:t>
      </w:r>
      <w:r>
        <w:rPr>
          <w:rFonts w:ascii="Times New Roman" w:hAnsi="Times New Roman" w:eastAsia="Times New Roman" w:cs="Times New Roman"/>
          <w:color w:val="FF0000"/>
          <w:spacing w:val="52"/>
          <w:w w:val="101"/>
          <w:sz w:val="24"/>
          <w:szCs w:val="24"/>
        </w:rPr>
        <w:t xml:space="preserve"> </w:t>
      </w:r>
      <w:r>
        <w:rPr>
          <w:rFonts w:ascii="宋体" w:hAnsi="宋体" w:eastAsia="宋体" w:cs="宋体"/>
          <w:color w:val="FF0000"/>
          <w:spacing w:val="4"/>
          <w:sz w:val="24"/>
          <w:szCs w:val="24"/>
        </w:rPr>
        <w:t>综合考虑其不利影响状态，本次评价对工频磁感应强度监测值按照</w:t>
      </w:r>
      <w:r>
        <w:rPr>
          <w:rFonts w:ascii="宋体" w:hAnsi="宋体" w:eastAsia="宋体" w:cs="宋体"/>
          <w:color w:val="FF0000"/>
          <w:sz w:val="24"/>
          <w:szCs w:val="24"/>
        </w:rPr>
        <w:t xml:space="preserve"> </w:t>
      </w:r>
      <w:r>
        <w:rPr>
          <w:rFonts w:ascii="宋体" w:hAnsi="宋体" w:eastAsia="宋体" w:cs="宋体"/>
          <w:color w:val="FF0000"/>
          <w:spacing w:val="6"/>
          <w:sz w:val="24"/>
          <w:szCs w:val="24"/>
        </w:rPr>
        <w:t>120/(10+8)=6.67系数对监测结果进行校核，即监测值乘以6.67倍，从而反映</w:t>
      </w:r>
      <w:r>
        <w:rPr>
          <w:rFonts w:ascii="宋体" w:hAnsi="宋体" w:eastAsia="宋体" w:cs="宋体"/>
          <w:color w:val="FF0000"/>
          <w:spacing w:val="1"/>
          <w:sz w:val="24"/>
          <w:szCs w:val="24"/>
        </w:rPr>
        <w:t xml:space="preserve"> </w:t>
      </w:r>
      <w:r>
        <w:rPr>
          <w:rFonts w:ascii="宋体" w:hAnsi="宋体" w:eastAsia="宋体" w:cs="宋体"/>
          <w:color w:val="FF0000"/>
          <w:spacing w:val="-2"/>
          <w:sz w:val="24"/>
          <w:szCs w:val="24"/>
        </w:rPr>
        <w:t>本项目主变满负荷运行产生的工频磁感应强度。校正结果详见下表。</w:t>
      </w:r>
    </w:p>
    <w:p w14:paraId="25C012FC">
      <w:pPr>
        <w:spacing w:line="219" w:lineRule="auto"/>
        <w:ind w:left="347"/>
        <w:rPr>
          <w:rFonts w:ascii="宋体" w:hAnsi="宋体" w:eastAsia="宋体" w:cs="宋体"/>
          <w:sz w:val="25"/>
          <w:szCs w:val="25"/>
        </w:rPr>
      </w:pPr>
      <w:r>
        <w:rPr>
          <w:rFonts w:ascii="宋体" w:hAnsi="宋体" w:eastAsia="宋体" w:cs="宋体"/>
          <w:color w:val="FF0000"/>
          <w:spacing w:val="-4"/>
          <w:sz w:val="25"/>
          <w:szCs w:val="25"/>
        </w:rPr>
        <w:t>表3-6云南省槟榔江猴桥水电站110</w:t>
      </w:r>
      <w:r>
        <w:rPr>
          <w:rFonts w:ascii="Times New Roman" w:hAnsi="Times New Roman" w:eastAsia="Times New Roman" w:cs="Times New Roman"/>
          <w:color w:val="FF0000"/>
          <w:spacing w:val="-4"/>
          <w:sz w:val="25"/>
          <w:szCs w:val="25"/>
        </w:rPr>
        <w:t>kV</w:t>
      </w:r>
      <w:r>
        <w:rPr>
          <w:rFonts w:ascii="Times New Roman" w:hAnsi="Times New Roman" w:eastAsia="Times New Roman" w:cs="Times New Roman"/>
          <w:color w:val="FF0000"/>
          <w:spacing w:val="-9"/>
          <w:sz w:val="25"/>
          <w:szCs w:val="25"/>
        </w:rPr>
        <w:t xml:space="preserve"> </w:t>
      </w:r>
      <w:r>
        <w:rPr>
          <w:rFonts w:ascii="宋体" w:hAnsi="宋体" w:eastAsia="宋体" w:cs="宋体"/>
          <w:color w:val="FF0000"/>
          <w:spacing w:val="-4"/>
          <w:sz w:val="25"/>
          <w:szCs w:val="25"/>
        </w:rPr>
        <w:t>升压站厂界工频电场、工频磁场监测结</w:t>
      </w:r>
    </w:p>
    <w:p w14:paraId="276F2324">
      <w:pPr>
        <w:spacing w:before="79" w:line="220" w:lineRule="auto"/>
        <w:ind w:left="3979"/>
        <w:rPr>
          <w:rFonts w:ascii="宋体" w:hAnsi="宋体" w:eastAsia="宋体" w:cs="宋体"/>
          <w:sz w:val="20"/>
          <w:szCs w:val="20"/>
        </w:rPr>
      </w:pPr>
      <w:r>
        <w:rPr>
          <w:rFonts w:ascii="宋体" w:hAnsi="宋体" w:eastAsia="宋体" w:cs="宋体"/>
          <w:b/>
          <w:bCs/>
          <w:spacing w:val="-11"/>
          <w:sz w:val="20"/>
          <w:szCs w:val="20"/>
        </w:rPr>
        <w:t>果</w:t>
      </w:r>
      <w:r>
        <w:rPr>
          <w:rFonts w:ascii="宋体" w:hAnsi="宋体" w:eastAsia="宋体" w:cs="宋体"/>
          <w:spacing w:val="-21"/>
          <w:sz w:val="20"/>
          <w:szCs w:val="20"/>
        </w:rPr>
        <w:t xml:space="preserve"> </w:t>
      </w:r>
      <w:r>
        <w:rPr>
          <w:rFonts w:ascii="宋体" w:hAnsi="宋体" w:eastAsia="宋体" w:cs="宋体"/>
          <w:b/>
          <w:bCs/>
          <w:spacing w:val="-11"/>
          <w:sz w:val="20"/>
          <w:szCs w:val="20"/>
        </w:rPr>
        <w:t>一</w:t>
      </w:r>
      <w:r>
        <w:rPr>
          <w:rFonts w:ascii="宋体" w:hAnsi="宋体" w:eastAsia="宋体" w:cs="宋体"/>
          <w:spacing w:val="-20"/>
          <w:sz w:val="20"/>
          <w:szCs w:val="20"/>
        </w:rPr>
        <w:t xml:space="preserve"> </w:t>
      </w:r>
      <w:r>
        <w:rPr>
          <w:rFonts w:ascii="宋体" w:hAnsi="宋体" w:eastAsia="宋体" w:cs="宋体"/>
          <w:b/>
          <w:bCs/>
          <w:spacing w:val="-11"/>
          <w:sz w:val="20"/>
          <w:szCs w:val="20"/>
        </w:rPr>
        <w:t>览</w:t>
      </w:r>
      <w:r>
        <w:rPr>
          <w:rFonts w:ascii="宋体" w:hAnsi="宋体" w:eastAsia="宋体" w:cs="宋体"/>
          <w:spacing w:val="-24"/>
          <w:sz w:val="20"/>
          <w:szCs w:val="20"/>
        </w:rPr>
        <w:t xml:space="preserve"> </w:t>
      </w:r>
      <w:r>
        <w:rPr>
          <w:rFonts w:ascii="宋体" w:hAnsi="宋体" w:eastAsia="宋体" w:cs="宋体"/>
          <w:b/>
          <w:bCs/>
          <w:spacing w:val="-11"/>
          <w:sz w:val="20"/>
          <w:szCs w:val="20"/>
        </w:rPr>
        <w:t>表</w:t>
      </w:r>
    </w:p>
    <w:p w14:paraId="6B0A9A2F">
      <w:pPr>
        <w:spacing w:line="61" w:lineRule="exact"/>
      </w:pPr>
    </w:p>
    <w:tbl>
      <w:tblPr>
        <w:tblStyle w:val="5"/>
        <w:tblW w:w="8027" w:type="dxa"/>
        <w:tblInd w:w="89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394"/>
        <w:gridCol w:w="2265"/>
        <w:gridCol w:w="1746"/>
        <w:gridCol w:w="1622"/>
      </w:tblGrid>
      <w:tr w14:paraId="624DA7D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5" w:hRule="atLeast"/>
        </w:trPr>
        <w:tc>
          <w:tcPr>
            <w:tcW w:w="2394" w:type="dxa"/>
            <w:vAlign w:val="top"/>
          </w:tcPr>
          <w:p w14:paraId="53E3A129">
            <w:pPr>
              <w:rPr>
                <w:rFonts w:ascii="Arial"/>
                <w:sz w:val="21"/>
              </w:rPr>
            </w:pPr>
          </w:p>
        </w:tc>
        <w:tc>
          <w:tcPr>
            <w:tcW w:w="2265" w:type="dxa"/>
            <w:vAlign w:val="top"/>
          </w:tcPr>
          <w:p w14:paraId="3F418928">
            <w:pPr>
              <w:rPr>
                <w:rFonts w:ascii="Arial"/>
                <w:sz w:val="21"/>
              </w:rPr>
            </w:pPr>
          </w:p>
        </w:tc>
        <w:tc>
          <w:tcPr>
            <w:tcW w:w="1746" w:type="dxa"/>
            <w:vAlign w:val="top"/>
          </w:tcPr>
          <w:p w14:paraId="1A223217">
            <w:pPr>
              <w:pStyle w:val="6"/>
              <w:spacing w:line="220" w:lineRule="auto"/>
              <w:ind w:left="403"/>
              <w:rPr>
                <w:sz w:val="20"/>
                <w:szCs w:val="20"/>
              </w:rPr>
            </w:pPr>
            <w:r>
              <w:rPr>
                <w:b/>
                <w:bCs/>
                <w:spacing w:val="11"/>
                <w:sz w:val="20"/>
                <w:szCs w:val="20"/>
              </w:rPr>
              <w:t>监测结果</w:t>
            </w:r>
          </w:p>
        </w:tc>
        <w:tc>
          <w:tcPr>
            <w:tcW w:w="1622" w:type="dxa"/>
            <w:vAlign w:val="top"/>
          </w:tcPr>
          <w:p w14:paraId="33B046D8">
            <w:pPr>
              <w:rPr>
                <w:rFonts w:ascii="Arial"/>
                <w:sz w:val="21"/>
              </w:rPr>
            </w:pPr>
          </w:p>
        </w:tc>
      </w:tr>
      <w:tr w14:paraId="071BC91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2394" w:type="dxa"/>
            <w:vAlign w:val="top"/>
          </w:tcPr>
          <w:p w14:paraId="0C498FEE">
            <w:pPr>
              <w:pStyle w:val="6"/>
              <w:spacing w:before="65" w:line="221" w:lineRule="auto"/>
              <w:ind w:left="492"/>
              <w:rPr>
                <w:sz w:val="20"/>
                <w:szCs w:val="20"/>
              </w:rPr>
            </w:pPr>
            <w:r>
              <w:rPr>
                <w:b/>
                <w:bCs/>
                <w:spacing w:val="15"/>
                <w:sz w:val="20"/>
                <w:szCs w:val="20"/>
              </w:rPr>
              <w:t>监测点位</w:t>
            </w:r>
          </w:p>
        </w:tc>
        <w:tc>
          <w:tcPr>
            <w:tcW w:w="2265" w:type="dxa"/>
            <w:vAlign w:val="top"/>
          </w:tcPr>
          <w:p w14:paraId="09822F31">
            <w:pPr>
              <w:pStyle w:val="6"/>
              <w:spacing w:before="65" w:line="220" w:lineRule="auto"/>
              <w:ind w:left="778"/>
              <w:rPr>
                <w:sz w:val="20"/>
                <w:szCs w:val="20"/>
              </w:rPr>
            </w:pPr>
            <w:r>
              <w:rPr>
                <w:b/>
                <w:bCs/>
                <w:spacing w:val="10"/>
                <w:sz w:val="20"/>
                <w:szCs w:val="20"/>
              </w:rPr>
              <w:t>工频电场强度</w:t>
            </w:r>
          </w:p>
        </w:tc>
        <w:tc>
          <w:tcPr>
            <w:tcW w:w="3368" w:type="dxa"/>
            <w:gridSpan w:val="2"/>
            <w:vAlign w:val="top"/>
          </w:tcPr>
          <w:p w14:paraId="312A144E">
            <w:pPr>
              <w:pStyle w:val="6"/>
              <w:spacing w:before="65" w:line="220" w:lineRule="auto"/>
              <w:ind w:left="713"/>
              <w:rPr>
                <w:sz w:val="20"/>
                <w:szCs w:val="20"/>
              </w:rPr>
            </w:pPr>
            <w:r>
              <w:rPr>
                <w:b/>
                <w:bCs/>
                <w:spacing w:val="16"/>
                <w:sz w:val="20"/>
                <w:szCs w:val="20"/>
              </w:rPr>
              <w:t>工频磁感应强度(μT)</w:t>
            </w:r>
          </w:p>
        </w:tc>
      </w:tr>
      <w:tr w14:paraId="6EB43C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1" w:hRule="atLeast"/>
        </w:trPr>
        <w:tc>
          <w:tcPr>
            <w:tcW w:w="2394" w:type="dxa"/>
            <w:vAlign w:val="top"/>
          </w:tcPr>
          <w:p w14:paraId="3BD3F22A">
            <w:pPr>
              <w:rPr>
                <w:rFonts w:ascii="Arial"/>
                <w:sz w:val="21"/>
              </w:rPr>
            </w:pPr>
          </w:p>
        </w:tc>
        <w:tc>
          <w:tcPr>
            <w:tcW w:w="2265" w:type="dxa"/>
            <w:vAlign w:val="top"/>
          </w:tcPr>
          <w:p w14:paraId="30B4D8D7">
            <w:pPr>
              <w:pStyle w:val="6"/>
              <w:spacing w:before="60" w:line="222" w:lineRule="auto"/>
              <w:ind w:left="1085"/>
              <w:rPr>
                <w:sz w:val="20"/>
                <w:szCs w:val="20"/>
              </w:rPr>
            </w:pPr>
            <w:r>
              <w:rPr>
                <w:spacing w:val="-7"/>
                <w:sz w:val="20"/>
                <w:szCs w:val="20"/>
              </w:rPr>
              <w:t>(V/m)</w:t>
            </w:r>
          </w:p>
        </w:tc>
        <w:tc>
          <w:tcPr>
            <w:tcW w:w="1746" w:type="dxa"/>
            <w:vAlign w:val="top"/>
          </w:tcPr>
          <w:p w14:paraId="00C8B50D">
            <w:pPr>
              <w:pStyle w:val="6"/>
              <w:spacing w:before="64" w:line="219" w:lineRule="auto"/>
              <w:ind w:left="713"/>
              <w:rPr>
                <w:sz w:val="20"/>
                <w:szCs w:val="20"/>
              </w:rPr>
            </w:pPr>
            <w:r>
              <w:rPr>
                <w:b/>
                <w:bCs/>
                <w:spacing w:val="15"/>
                <w:sz w:val="20"/>
                <w:szCs w:val="20"/>
              </w:rPr>
              <w:t>监测值</w:t>
            </w:r>
          </w:p>
        </w:tc>
        <w:tc>
          <w:tcPr>
            <w:tcW w:w="1622" w:type="dxa"/>
            <w:vAlign w:val="top"/>
          </w:tcPr>
          <w:p w14:paraId="381E1343">
            <w:pPr>
              <w:pStyle w:val="6"/>
              <w:spacing w:before="54" w:line="219" w:lineRule="auto"/>
              <w:ind w:left="637"/>
              <w:rPr>
                <w:sz w:val="20"/>
                <w:szCs w:val="20"/>
              </w:rPr>
            </w:pPr>
            <w:r>
              <w:rPr>
                <w:b/>
                <w:bCs/>
                <w:spacing w:val="18"/>
                <w:sz w:val="20"/>
                <w:szCs w:val="20"/>
              </w:rPr>
              <w:t>校核值</w:t>
            </w:r>
          </w:p>
        </w:tc>
      </w:tr>
      <w:tr w14:paraId="005101B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2394" w:type="dxa"/>
            <w:vAlign w:val="top"/>
          </w:tcPr>
          <w:p w14:paraId="7C29D3D7">
            <w:pPr>
              <w:pStyle w:val="6"/>
              <w:spacing w:before="56" w:line="220" w:lineRule="auto"/>
              <w:rPr>
                <w:sz w:val="20"/>
                <w:szCs w:val="20"/>
              </w:rPr>
            </w:pPr>
            <w:r>
              <w:rPr>
                <w:spacing w:val="29"/>
                <w:sz w:val="20"/>
                <w:szCs w:val="20"/>
              </w:rPr>
              <w:t>升压站场界北5m处</w:t>
            </w:r>
          </w:p>
        </w:tc>
        <w:tc>
          <w:tcPr>
            <w:tcW w:w="2265" w:type="dxa"/>
            <w:vAlign w:val="top"/>
          </w:tcPr>
          <w:p w14:paraId="36779F19">
            <w:pPr>
              <w:pStyle w:val="6"/>
              <w:spacing w:before="73" w:line="228" w:lineRule="auto"/>
              <w:ind w:left="525"/>
              <w:rPr>
                <w:sz w:val="20"/>
                <w:szCs w:val="20"/>
              </w:rPr>
            </w:pPr>
            <w:r>
              <w:rPr>
                <w:spacing w:val="-1"/>
                <w:sz w:val="20"/>
                <w:szCs w:val="20"/>
              </w:rPr>
              <w:t>486.9±15.32</w:t>
            </w:r>
          </w:p>
        </w:tc>
        <w:tc>
          <w:tcPr>
            <w:tcW w:w="1746" w:type="dxa"/>
            <w:vAlign w:val="top"/>
          </w:tcPr>
          <w:p w14:paraId="4B48CEA6">
            <w:pPr>
              <w:pStyle w:val="6"/>
              <w:spacing w:before="73" w:line="228" w:lineRule="auto"/>
              <w:ind w:left="221"/>
              <w:rPr>
                <w:sz w:val="20"/>
                <w:szCs w:val="20"/>
              </w:rPr>
            </w:pPr>
            <w:r>
              <w:rPr>
                <w:spacing w:val="-3"/>
                <w:sz w:val="20"/>
                <w:szCs w:val="20"/>
              </w:rPr>
              <w:t>1.780±0.497</w:t>
            </w:r>
          </w:p>
        </w:tc>
        <w:tc>
          <w:tcPr>
            <w:tcW w:w="1622" w:type="dxa"/>
            <w:vAlign w:val="top"/>
          </w:tcPr>
          <w:p w14:paraId="28CF3CB4">
            <w:pPr>
              <w:pStyle w:val="6"/>
              <w:spacing w:before="73" w:line="228" w:lineRule="auto"/>
              <w:jc w:val="right"/>
              <w:rPr>
                <w:sz w:val="20"/>
                <w:szCs w:val="20"/>
              </w:rPr>
            </w:pPr>
            <w:r>
              <w:rPr>
                <w:spacing w:val="-2"/>
                <w:sz w:val="20"/>
                <w:szCs w:val="20"/>
              </w:rPr>
              <w:t>11.873±0.497</w:t>
            </w:r>
          </w:p>
        </w:tc>
      </w:tr>
      <w:tr w14:paraId="65DEFE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2394" w:type="dxa"/>
            <w:vAlign w:val="top"/>
          </w:tcPr>
          <w:p w14:paraId="6B85323F">
            <w:pPr>
              <w:pStyle w:val="6"/>
              <w:spacing w:before="56" w:line="220" w:lineRule="auto"/>
              <w:rPr>
                <w:sz w:val="20"/>
                <w:szCs w:val="20"/>
              </w:rPr>
            </w:pPr>
            <w:r>
              <w:rPr>
                <w:spacing w:val="29"/>
                <w:sz w:val="20"/>
                <w:szCs w:val="20"/>
              </w:rPr>
              <w:t>升压站场界西5m处</w:t>
            </w:r>
          </w:p>
        </w:tc>
        <w:tc>
          <w:tcPr>
            <w:tcW w:w="2265" w:type="dxa"/>
            <w:vAlign w:val="top"/>
          </w:tcPr>
          <w:p w14:paraId="3DD1BC95">
            <w:pPr>
              <w:pStyle w:val="6"/>
              <w:spacing w:before="73" w:line="223" w:lineRule="auto"/>
              <w:ind w:left="525"/>
              <w:rPr>
                <w:sz w:val="20"/>
                <w:szCs w:val="20"/>
              </w:rPr>
            </w:pPr>
            <w:r>
              <w:rPr>
                <w:spacing w:val="-2"/>
                <w:sz w:val="20"/>
                <w:szCs w:val="20"/>
              </w:rPr>
              <w:t>324.9±14.48</w:t>
            </w:r>
          </w:p>
        </w:tc>
        <w:tc>
          <w:tcPr>
            <w:tcW w:w="1746" w:type="dxa"/>
            <w:vAlign w:val="top"/>
          </w:tcPr>
          <w:p w14:paraId="6FD2A180">
            <w:pPr>
              <w:pStyle w:val="6"/>
              <w:spacing w:before="73" w:line="223" w:lineRule="auto"/>
              <w:ind w:left="221"/>
              <w:rPr>
                <w:sz w:val="20"/>
                <w:szCs w:val="20"/>
              </w:rPr>
            </w:pPr>
            <w:r>
              <w:rPr>
                <w:spacing w:val="-3"/>
                <w:sz w:val="20"/>
                <w:szCs w:val="20"/>
              </w:rPr>
              <w:t>1.938±0.366</w:t>
            </w:r>
          </w:p>
        </w:tc>
        <w:tc>
          <w:tcPr>
            <w:tcW w:w="1622" w:type="dxa"/>
            <w:vAlign w:val="top"/>
          </w:tcPr>
          <w:p w14:paraId="555FAE43">
            <w:pPr>
              <w:pStyle w:val="6"/>
              <w:spacing w:before="73" w:line="223" w:lineRule="auto"/>
              <w:jc w:val="right"/>
              <w:rPr>
                <w:sz w:val="20"/>
                <w:szCs w:val="20"/>
              </w:rPr>
            </w:pPr>
            <w:r>
              <w:rPr>
                <w:spacing w:val="-2"/>
                <w:sz w:val="20"/>
                <w:szCs w:val="20"/>
              </w:rPr>
              <w:t>12.926±0.366</w:t>
            </w:r>
          </w:p>
        </w:tc>
      </w:tr>
      <w:tr w14:paraId="5D97B02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4" w:hRule="atLeast"/>
        </w:trPr>
        <w:tc>
          <w:tcPr>
            <w:tcW w:w="2394" w:type="dxa"/>
            <w:vAlign w:val="top"/>
          </w:tcPr>
          <w:p w14:paraId="583681CF">
            <w:pPr>
              <w:pStyle w:val="6"/>
              <w:spacing w:before="51" w:line="220" w:lineRule="auto"/>
              <w:rPr>
                <w:sz w:val="20"/>
                <w:szCs w:val="20"/>
              </w:rPr>
            </w:pPr>
            <w:r>
              <w:rPr>
                <w:spacing w:val="29"/>
                <w:sz w:val="20"/>
                <w:szCs w:val="20"/>
              </w:rPr>
              <w:t>升压站场界南5m处</w:t>
            </w:r>
          </w:p>
        </w:tc>
        <w:tc>
          <w:tcPr>
            <w:tcW w:w="2265" w:type="dxa"/>
            <w:vAlign w:val="top"/>
          </w:tcPr>
          <w:p w14:paraId="1D06383C">
            <w:pPr>
              <w:pStyle w:val="6"/>
              <w:spacing w:before="67" w:line="218" w:lineRule="auto"/>
              <w:ind w:left="525"/>
              <w:rPr>
                <w:sz w:val="20"/>
                <w:szCs w:val="20"/>
              </w:rPr>
            </w:pPr>
            <w:r>
              <w:rPr>
                <w:spacing w:val="-2"/>
                <w:sz w:val="20"/>
                <w:szCs w:val="20"/>
              </w:rPr>
              <w:t>71.34±7.099</w:t>
            </w:r>
          </w:p>
        </w:tc>
        <w:tc>
          <w:tcPr>
            <w:tcW w:w="1746" w:type="dxa"/>
            <w:vAlign w:val="top"/>
          </w:tcPr>
          <w:p w14:paraId="17138F2B">
            <w:pPr>
              <w:pStyle w:val="6"/>
              <w:spacing w:before="67" w:line="218" w:lineRule="auto"/>
              <w:ind w:left="211"/>
              <w:rPr>
                <w:sz w:val="20"/>
                <w:szCs w:val="20"/>
              </w:rPr>
            </w:pPr>
            <w:r>
              <w:rPr>
                <w:spacing w:val="-2"/>
                <w:sz w:val="20"/>
                <w:szCs w:val="20"/>
              </w:rPr>
              <w:t>3.000±0.791</w:t>
            </w:r>
          </w:p>
        </w:tc>
        <w:tc>
          <w:tcPr>
            <w:tcW w:w="1622" w:type="dxa"/>
            <w:vAlign w:val="top"/>
          </w:tcPr>
          <w:p w14:paraId="52AF5809">
            <w:pPr>
              <w:pStyle w:val="6"/>
              <w:spacing w:before="58" w:line="227" w:lineRule="auto"/>
              <w:ind w:left="375"/>
              <w:rPr>
                <w:sz w:val="20"/>
                <w:szCs w:val="20"/>
              </w:rPr>
            </w:pPr>
            <w:r>
              <w:rPr>
                <w:spacing w:val="-1"/>
                <w:sz w:val="20"/>
                <w:szCs w:val="20"/>
              </w:rPr>
              <w:t>20.01±0.791</w:t>
            </w:r>
          </w:p>
        </w:tc>
      </w:tr>
      <w:tr w14:paraId="3E51428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8" w:hRule="atLeast"/>
        </w:trPr>
        <w:tc>
          <w:tcPr>
            <w:tcW w:w="2394" w:type="dxa"/>
            <w:vAlign w:val="top"/>
          </w:tcPr>
          <w:p w14:paraId="2F34F1F1">
            <w:pPr>
              <w:pStyle w:val="6"/>
              <w:spacing w:before="47" w:line="219" w:lineRule="auto"/>
              <w:rPr>
                <w:sz w:val="20"/>
                <w:szCs w:val="20"/>
              </w:rPr>
            </w:pPr>
            <w:r>
              <w:rPr>
                <w:spacing w:val="29"/>
                <w:sz w:val="20"/>
                <w:szCs w:val="20"/>
              </w:rPr>
              <w:t>升压站场界东5m处</w:t>
            </w:r>
          </w:p>
        </w:tc>
        <w:tc>
          <w:tcPr>
            <w:tcW w:w="2265" w:type="dxa"/>
            <w:vAlign w:val="top"/>
          </w:tcPr>
          <w:p w14:paraId="196F28EA">
            <w:pPr>
              <w:pStyle w:val="6"/>
              <w:spacing w:before="74" w:line="225" w:lineRule="auto"/>
              <w:ind w:left="525"/>
              <w:rPr>
                <w:sz w:val="20"/>
                <w:szCs w:val="20"/>
              </w:rPr>
            </w:pPr>
            <w:r>
              <w:rPr>
                <w:spacing w:val="-1"/>
                <w:sz w:val="20"/>
                <w:szCs w:val="20"/>
              </w:rPr>
              <w:t>661.0±21.97</w:t>
            </w:r>
          </w:p>
        </w:tc>
        <w:tc>
          <w:tcPr>
            <w:tcW w:w="1746" w:type="dxa"/>
            <w:vAlign w:val="top"/>
          </w:tcPr>
          <w:p w14:paraId="4E21E676">
            <w:pPr>
              <w:pStyle w:val="6"/>
              <w:spacing w:before="64" w:line="234" w:lineRule="auto"/>
              <w:ind w:left="211"/>
              <w:rPr>
                <w:sz w:val="20"/>
                <w:szCs w:val="20"/>
              </w:rPr>
            </w:pPr>
            <w:r>
              <w:rPr>
                <w:spacing w:val="-1"/>
                <w:sz w:val="20"/>
                <w:szCs w:val="20"/>
              </w:rPr>
              <w:t>0.257±0.048</w:t>
            </w:r>
          </w:p>
        </w:tc>
        <w:tc>
          <w:tcPr>
            <w:tcW w:w="1622" w:type="dxa"/>
            <w:vAlign w:val="top"/>
          </w:tcPr>
          <w:p w14:paraId="459BC311">
            <w:pPr>
              <w:pStyle w:val="6"/>
              <w:spacing w:before="64" w:line="234" w:lineRule="auto"/>
              <w:ind w:left="385"/>
              <w:rPr>
                <w:sz w:val="20"/>
                <w:szCs w:val="20"/>
              </w:rPr>
            </w:pPr>
            <w:r>
              <w:rPr>
                <w:spacing w:val="-3"/>
                <w:sz w:val="20"/>
                <w:szCs w:val="20"/>
              </w:rPr>
              <w:t>1.714±0.048</w:t>
            </w:r>
          </w:p>
        </w:tc>
      </w:tr>
      <w:tr w14:paraId="28C23E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0" w:hRule="atLeast"/>
        </w:trPr>
        <w:tc>
          <w:tcPr>
            <w:tcW w:w="2394" w:type="dxa"/>
            <w:vAlign w:val="top"/>
          </w:tcPr>
          <w:p w14:paraId="0812BBBB">
            <w:pPr>
              <w:pStyle w:val="6"/>
              <w:spacing w:before="59" w:line="219" w:lineRule="auto"/>
              <w:ind w:left="600"/>
              <w:rPr>
                <w:sz w:val="20"/>
                <w:szCs w:val="20"/>
              </w:rPr>
            </w:pPr>
            <w:r>
              <w:rPr>
                <w:spacing w:val="19"/>
                <w:sz w:val="20"/>
                <w:szCs w:val="20"/>
              </w:rPr>
              <w:t>标准值</w:t>
            </w:r>
          </w:p>
        </w:tc>
        <w:tc>
          <w:tcPr>
            <w:tcW w:w="2265" w:type="dxa"/>
            <w:vAlign w:val="top"/>
          </w:tcPr>
          <w:p w14:paraId="007EDB2F">
            <w:pPr>
              <w:pStyle w:val="6"/>
              <w:spacing w:before="55" w:line="224" w:lineRule="auto"/>
              <w:ind w:left="986"/>
              <w:rPr>
                <w:sz w:val="20"/>
                <w:szCs w:val="20"/>
              </w:rPr>
            </w:pPr>
            <w:r>
              <w:rPr>
                <w:spacing w:val="-1"/>
                <w:sz w:val="20"/>
                <w:szCs w:val="20"/>
              </w:rPr>
              <w:t>4000V/m</w:t>
            </w:r>
          </w:p>
        </w:tc>
        <w:tc>
          <w:tcPr>
            <w:tcW w:w="1746" w:type="dxa"/>
            <w:vAlign w:val="top"/>
          </w:tcPr>
          <w:p w14:paraId="7E3479B5">
            <w:pPr>
              <w:pStyle w:val="6"/>
              <w:spacing w:before="118" w:line="168" w:lineRule="auto"/>
              <w:ind w:left="751"/>
              <w:rPr>
                <w:sz w:val="20"/>
                <w:szCs w:val="20"/>
              </w:rPr>
            </w:pPr>
            <w:r>
              <w:rPr>
                <w:spacing w:val="-4"/>
                <w:sz w:val="20"/>
                <w:szCs w:val="20"/>
              </w:rPr>
              <w:t>100μT</w:t>
            </w:r>
          </w:p>
        </w:tc>
        <w:tc>
          <w:tcPr>
            <w:tcW w:w="1622" w:type="dxa"/>
            <w:vAlign w:val="top"/>
          </w:tcPr>
          <w:p w14:paraId="2FC81511">
            <w:pPr>
              <w:pStyle w:val="6"/>
              <w:spacing w:before="118" w:line="168" w:lineRule="auto"/>
              <w:ind w:left="685"/>
              <w:rPr>
                <w:sz w:val="20"/>
                <w:szCs w:val="20"/>
              </w:rPr>
            </w:pPr>
            <w:r>
              <w:rPr>
                <w:spacing w:val="-4"/>
                <w:sz w:val="20"/>
                <w:szCs w:val="20"/>
              </w:rPr>
              <w:t>100μT</w:t>
            </w:r>
          </w:p>
        </w:tc>
      </w:tr>
      <w:tr w14:paraId="1B52203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9" w:hRule="atLeast"/>
        </w:trPr>
        <w:tc>
          <w:tcPr>
            <w:tcW w:w="2394" w:type="dxa"/>
            <w:vAlign w:val="top"/>
          </w:tcPr>
          <w:p w14:paraId="01E769B7">
            <w:pPr>
              <w:pStyle w:val="6"/>
              <w:spacing w:before="49" w:line="175" w:lineRule="auto"/>
              <w:ind w:left="499"/>
              <w:rPr>
                <w:sz w:val="20"/>
                <w:szCs w:val="20"/>
              </w:rPr>
            </w:pPr>
            <w:r>
              <w:rPr>
                <w:spacing w:val="14"/>
                <w:sz w:val="20"/>
                <w:szCs w:val="20"/>
              </w:rPr>
              <w:t>达标情况</w:t>
            </w:r>
          </w:p>
        </w:tc>
        <w:tc>
          <w:tcPr>
            <w:tcW w:w="2265" w:type="dxa"/>
            <w:vAlign w:val="top"/>
          </w:tcPr>
          <w:p w14:paraId="3754E688">
            <w:pPr>
              <w:pStyle w:val="6"/>
              <w:spacing w:before="49" w:line="175" w:lineRule="auto"/>
              <w:ind w:left="1166"/>
              <w:rPr>
                <w:sz w:val="20"/>
                <w:szCs w:val="20"/>
              </w:rPr>
            </w:pPr>
            <w:r>
              <w:rPr>
                <w:spacing w:val="-4"/>
                <w:sz w:val="20"/>
                <w:szCs w:val="20"/>
              </w:rPr>
              <w:t>达</w:t>
            </w:r>
            <w:r>
              <w:rPr>
                <w:spacing w:val="-17"/>
                <w:sz w:val="20"/>
                <w:szCs w:val="20"/>
              </w:rPr>
              <w:t xml:space="preserve"> </w:t>
            </w:r>
            <w:r>
              <w:rPr>
                <w:spacing w:val="-4"/>
                <w:sz w:val="20"/>
                <w:szCs w:val="20"/>
              </w:rPr>
              <w:t>标</w:t>
            </w:r>
          </w:p>
        </w:tc>
        <w:tc>
          <w:tcPr>
            <w:tcW w:w="1746" w:type="dxa"/>
            <w:vAlign w:val="top"/>
          </w:tcPr>
          <w:p w14:paraId="74573B43">
            <w:pPr>
              <w:pStyle w:val="6"/>
              <w:spacing w:before="49" w:line="175" w:lineRule="auto"/>
              <w:ind w:left="801"/>
              <w:rPr>
                <w:sz w:val="20"/>
                <w:szCs w:val="20"/>
              </w:rPr>
            </w:pPr>
            <w:r>
              <w:rPr>
                <w:spacing w:val="-4"/>
                <w:sz w:val="20"/>
                <w:szCs w:val="20"/>
              </w:rPr>
              <w:t>达</w:t>
            </w:r>
            <w:r>
              <w:rPr>
                <w:spacing w:val="-7"/>
                <w:sz w:val="20"/>
                <w:szCs w:val="20"/>
              </w:rPr>
              <w:t xml:space="preserve"> </w:t>
            </w:r>
            <w:r>
              <w:rPr>
                <w:spacing w:val="-4"/>
                <w:sz w:val="20"/>
                <w:szCs w:val="20"/>
              </w:rPr>
              <w:t>标</w:t>
            </w:r>
          </w:p>
        </w:tc>
        <w:tc>
          <w:tcPr>
            <w:tcW w:w="1622" w:type="dxa"/>
            <w:vAlign w:val="top"/>
          </w:tcPr>
          <w:p w14:paraId="2D1D4FA2">
            <w:pPr>
              <w:pStyle w:val="6"/>
              <w:spacing w:before="49" w:line="175" w:lineRule="auto"/>
              <w:ind w:left="735"/>
              <w:rPr>
                <w:sz w:val="20"/>
                <w:szCs w:val="20"/>
              </w:rPr>
            </w:pPr>
            <w:r>
              <w:rPr>
                <w:spacing w:val="-4"/>
                <w:sz w:val="20"/>
                <w:szCs w:val="20"/>
              </w:rPr>
              <w:t>达</w:t>
            </w:r>
            <w:r>
              <w:rPr>
                <w:spacing w:val="-17"/>
                <w:sz w:val="20"/>
                <w:szCs w:val="20"/>
              </w:rPr>
              <w:t xml:space="preserve"> </w:t>
            </w:r>
            <w:r>
              <w:rPr>
                <w:spacing w:val="-4"/>
                <w:sz w:val="20"/>
                <w:szCs w:val="20"/>
              </w:rPr>
              <w:t>标</w:t>
            </w:r>
          </w:p>
        </w:tc>
      </w:tr>
    </w:tbl>
    <w:p w14:paraId="6AABD433">
      <w:pPr>
        <w:spacing w:before="106" w:line="219" w:lineRule="auto"/>
        <w:ind w:left="359"/>
        <w:rPr>
          <w:rFonts w:ascii="宋体" w:hAnsi="宋体" w:eastAsia="宋体" w:cs="宋体"/>
          <w:sz w:val="20"/>
          <w:szCs w:val="20"/>
        </w:rPr>
      </w:pPr>
      <w:r>
        <w:rPr>
          <w:rFonts w:ascii="宋体" w:hAnsi="宋体" w:eastAsia="宋体" w:cs="宋体"/>
          <w:b/>
          <w:bCs/>
          <w:spacing w:val="41"/>
          <w:sz w:val="20"/>
          <w:szCs w:val="20"/>
        </w:rPr>
        <w:t>表3</w:t>
      </w:r>
      <w:r>
        <w:rPr>
          <w:rFonts w:ascii="宋体" w:hAnsi="宋体" w:eastAsia="宋体" w:cs="宋体"/>
          <w:spacing w:val="-36"/>
          <w:sz w:val="20"/>
          <w:szCs w:val="20"/>
        </w:rPr>
        <w:t xml:space="preserve"> </w:t>
      </w:r>
      <w:r>
        <w:rPr>
          <w:rFonts w:ascii="宋体" w:hAnsi="宋体" w:eastAsia="宋体" w:cs="宋体"/>
          <w:b/>
          <w:bCs/>
          <w:spacing w:val="41"/>
          <w:sz w:val="20"/>
          <w:szCs w:val="20"/>
        </w:rPr>
        <w:t>-</w:t>
      </w:r>
      <w:r>
        <w:rPr>
          <w:rFonts w:ascii="宋体" w:hAnsi="宋体" w:eastAsia="宋体" w:cs="宋体"/>
          <w:spacing w:val="-42"/>
          <w:sz w:val="20"/>
          <w:szCs w:val="20"/>
        </w:rPr>
        <w:t xml:space="preserve"> </w:t>
      </w:r>
      <w:r>
        <w:rPr>
          <w:rFonts w:ascii="宋体" w:hAnsi="宋体" w:eastAsia="宋体" w:cs="宋体"/>
          <w:b/>
          <w:bCs/>
          <w:spacing w:val="41"/>
          <w:sz w:val="20"/>
          <w:szCs w:val="20"/>
        </w:rPr>
        <w:t>7云南省槟榔江猴桥水电站110</w:t>
      </w:r>
      <w:r>
        <w:rPr>
          <w:rFonts w:ascii="宋体" w:hAnsi="宋体" w:eastAsia="宋体" w:cs="宋体"/>
          <w:b/>
          <w:bCs/>
          <w:sz w:val="20"/>
          <w:szCs w:val="20"/>
        </w:rPr>
        <w:t>kV</w:t>
      </w:r>
      <w:r>
        <w:rPr>
          <w:rFonts w:ascii="宋体" w:hAnsi="宋体" w:eastAsia="宋体" w:cs="宋体"/>
          <w:b/>
          <w:bCs/>
          <w:spacing w:val="41"/>
          <w:sz w:val="20"/>
          <w:szCs w:val="20"/>
        </w:rPr>
        <w:t>升压站工频电场、工频磁场断面监测结</w:t>
      </w:r>
    </w:p>
    <w:p w14:paraId="5D40F454">
      <w:pPr>
        <w:spacing w:line="84" w:lineRule="exact"/>
      </w:pPr>
    </w:p>
    <w:tbl>
      <w:tblPr>
        <w:tblStyle w:val="5"/>
        <w:tblW w:w="888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934"/>
        <w:gridCol w:w="2638"/>
        <w:gridCol w:w="2099"/>
        <w:gridCol w:w="1691"/>
        <w:gridCol w:w="1518"/>
      </w:tblGrid>
      <w:tr w14:paraId="469BA2E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0" w:hRule="atLeast"/>
        </w:trPr>
        <w:tc>
          <w:tcPr>
            <w:tcW w:w="934" w:type="dxa"/>
            <w:vAlign w:val="top"/>
          </w:tcPr>
          <w:p w14:paraId="08A58E54">
            <w:pPr>
              <w:spacing w:line="240" w:lineRule="exact"/>
              <w:rPr>
                <w:rFonts w:ascii="Arial"/>
                <w:sz w:val="20"/>
              </w:rPr>
            </w:pPr>
          </w:p>
        </w:tc>
        <w:tc>
          <w:tcPr>
            <w:tcW w:w="2638" w:type="dxa"/>
            <w:vAlign w:val="top"/>
          </w:tcPr>
          <w:p w14:paraId="31EFF18D">
            <w:pPr>
              <w:spacing w:line="240" w:lineRule="exact"/>
              <w:rPr>
                <w:rFonts w:ascii="Arial"/>
                <w:sz w:val="20"/>
              </w:rPr>
            </w:pPr>
          </w:p>
        </w:tc>
        <w:tc>
          <w:tcPr>
            <w:tcW w:w="2099" w:type="dxa"/>
            <w:vAlign w:val="top"/>
          </w:tcPr>
          <w:p w14:paraId="1F8A5791">
            <w:pPr>
              <w:pStyle w:val="6"/>
              <w:spacing w:line="220" w:lineRule="auto"/>
              <w:ind w:left="407"/>
              <w:rPr>
                <w:sz w:val="20"/>
                <w:szCs w:val="20"/>
              </w:rPr>
            </w:pPr>
            <w:r>
              <w:rPr>
                <w:b/>
                <w:bCs/>
                <w:spacing w:val="-11"/>
                <w:sz w:val="20"/>
                <w:szCs w:val="20"/>
              </w:rPr>
              <w:t>果</w:t>
            </w:r>
            <w:r>
              <w:rPr>
                <w:spacing w:val="-14"/>
                <w:sz w:val="20"/>
                <w:szCs w:val="20"/>
              </w:rPr>
              <w:t xml:space="preserve"> </w:t>
            </w:r>
            <w:r>
              <w:rPr>
                <w:b/>
                <w:bCs/>
                <w:spacing w:val="-11"/>
                <w:sz w:val="20"/>
                <w:szCs w:val="20"/>
              </w:rPr>
              <w:t>一</w:t>
            </w:r>
            <w:r>
              <w:rPr>
                <w:spacing w:val="-13"/>
                <w:sz w:val="20"/>
                <w:szCs w:val="20"/>
              </w:rPr>
              <w:t xml:space="preserve"> </w:t>
            </w:r>
            <w:r>
              <w:rPr>
                <w:b/>
                <w:bCs/>
                <w:spacing w:val="-11"/>
                <w:sz w:val="20"/>
                <w:szCs w:val="20"/>
              </w:rPr>
              <w:t>览</w:t>
            </w:r>
            <w:r>
              <w:rPr>
                <w:spacing w:val="-18"/>
                <w:sz w:val="20"/>
                <w:szCs w:val="20"/>
              </w:rPr>
              <w:t xml:space="preserve"> </w:t>
            </w:r>
            <w:r>
              <w:rPr>
                <w:b/>
                <w:bCs/>
                <w:spacing w:val="-11"/>
                <w:sz w:val="20"/>
                <w:szCs w:val="20"/>
              </w:rPr>
              <w:t>表</w:t>
            </w:r>
          </w:p>
        </w:tc>
        <w:tc>
          <w:tcPr>
            <w:tcW w:w="1691" w:type="dxa"/>
            <w:vAlign w:val="top"/>
          </w:tcPr>
          <w:p w14:paraId="6630EF1C">
            <w:pPr>
              <w:spacing w:line="240" w:lineRule="exact"/>
              <w:rPr>
                <w:rFonts w:ascii="Arial"/>
                <w:sz w:val="20"/>
              </w:rPr>
            </w:pPr>
          </w:p>
        </w:tc>
        <w:tc>
          <w:tcPr>
            <w:tcW w:w="1518" w:type="dxa"/>
            <w:vAlign w:val="top"/>
          </w:tcPr>
          <w:p w14:paraId="14CABDA3">
            <w:pPr>
              <w:spacing w:line="240" w:lineRule="exact"/>
              <w:rPr>
                <w:rFonts w:ascii="Arial"/>
                <w:sz w:val="20"/>
              </w:rPr>
            </w:pPr>
          </w:p>
        </w:tc>
      </w:tr>
      <w:tr w14:paraId="5B1D6F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0" w:hRule="atLeast"/>
        </w:trPr>
        <w:tc>
          <w:tcPr>
            <w:tcW w:w="934" w:type="dxa"/>
            <w:vAlign w:val="top"/>
          </w:tcPr>
          <w:p w14:paraId="6012395F">
            <w:pPr>
              <w:spacing w:line="230" w:lineRule="exact"/>
              <w:rPr>
                <w:rFonts w:ascii="Arial"/>
                <w:sz w:val="20"/>
              </w:rPr>
            </w:pPr>
          </w:p>
        </w:tc>
        <w:tc>
          <w:tcPr>
            <w:tcW w:w="2638" w:type="dxa"/>
            <w:vAlign w:val="top"/>
          </w:tcPr>
          <w:p w14:paraId="18FA127A">
            <w:pPr>
              <w:spacing w:line="230" w:lineRule="exact"/>
              <w:rPr>
                <w:rFonts w:ascii="Arial"/>
                <w:sz w:val="20"/>
              </w:rPr>
            </w:pPr>
          </w:p>
        </w:tc>
        <w:tc>
          <w:tcPr>
            <w:tcW w:w="2099" w:type="dxa"/>
            <w:vAlign w:val="top"/>
          </w:tcPr>
          <w:p w14:paraId="42A0C294">
            <w:pPr>
              <w:spacing w:line="230" w:lineRule="exact"/>
              <w:rPr>
                <w:rFonts w:ascii="Arial"/>
                <w:sz w:val="20"/>
              </w:rPr>
            </w:pPr>
          </w:p>
        </w:tc>
        <w:tc>
          <w:tcPr>
            <w:tcW w:w="1691" w:type="dxa"/>
            <w:vAlign w:val="top"/>
          </w:tcPr>
          <w:p w14:paraId="76AE2913">
            <w:pPr>
              <w:pStyle w:val="6"/>
              <w:spacing w:before="50" w:line="166" w:lineRule="auto"/>
              <w:ind w:left="408"/>
              <w:rPr>
                <w:sz w:val="20"/>
                <w:szCs w:val="20"/>
              </w:rPr>
            </w:pPr>
            <w:r>
              <w:rPr>
                <w:b/>
                <w:bCs/>
                <w:spacing w:val="14"/>
                <w:sz w:val="20"/>
                <w:szCs w:val="20"/>
              </w:rPr>
              <w:t>监测结果</w:t>
            </w:r>
          </w:p>
        </w:tc>
        <w:tc>
          <w:tcPr>
            <w:tcW w:w="1518" w:type="dxa"/>
            <w:vAlign w:val="top"/>
          </w:tcPr>
          <w:p w14:paraId="60D1D5A3">
            <w:pPr>
              <w:spacing w:line="230" w:lineRule="exact"/>
              <w:rPr>
                <w:rFonts w:ascii="Arial"/>
                <w:sz w:val="20"/>
              </w:rPr>
            </w:pPr>
          </w:p>
        </w:tc>
      </w:tr>
      <w:tr w14:paraId="28E2CFC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934" w:type="dxa"/>
            <w:vAlign w:val="top"/>
          </w:tcPr>
          <w:p w14:paraId="5613E02F">
            <w:pPr>
              <w:pStyle w:val="6"/>
              <w:spacing w:line="212" w:lineRule="auto"/>
              <w:ind w:left="19"/>
              <w:rPr>
                <w:sz w:val="20"/>
                <w:szCs w:val="20"/>
              </w:rPr>
            </w:pPr>
            <w:r>
              <w:rPr>
                <w:b/>
                <w:bCs/>
                <w:spacing w:val="-7"/>
                <w:sz w:val="20"/>
                <w:szCs w:val="20"/>
              </w:rPr>
              <w:t>测</w:t>
            </w:r>
            <w:r>
              <w:rPr>
                <w:spacing w:val="-21"/>
                <w:sz w:val="20"/>
                <w:szCs w:val="20"/>
              </w:rPr>
              <w:t xml:space="preserve"> </w:t>
            </w:r>
            <w:r>
              <w:rPr>
                <w:b/>
                <w:bCs/>
                <w:spacing w:val="-7"/>
                <w:sz w:val="20"/>
                <w:szCs w:val="20"/>
              </w:rPr>
              <w:t>点</w:t>
            </w:r>
          </w:p>
        </w:tc>
        <w:tc>
          <w:tcPr>
            <w:tcW w:w="2638" w:type="dxa"/>
            <w:vAlign w:val="top"/>
          </w:tcPr>
          <w:p w14:paraId="3E4D582C">
            <w:pPr>
              <w:pStyle w:val="6"/>
              <w:spacing w:before="140" w:line="170" w:lineRule="exact"/>
              <w:ind w:left="905"/>
              <w:rPr>
                <w:sz w:val="20"/>
                <w:szCs w:val="20"/>
              </w:rPr>
            </w:pPr>
            <w:r>
              <w:rPr>
                <w:b/>
                <w:bCs/>
                <w:spacing w:val="15"/>
                <w:position w:val="-2"/>
                <w:sz w:val="20"/>
                <w:szCs w:val="20"/>
              </w:rPr>
              <w:t>监测点位</w:t>
            </w:r>
          </w:p>
        </w:tc>
        <w:tc>
          <w:tcPr>
            <w:tcW w:w="2099" w:type="dxa"/>
            <w:vAlign w:val="top"/>
          </w:tcPr>
          <w:p w14:paraId="6AD2F000">
            <w:pPr>
              <w:pStyle w:val="6"/>
              <w:spacing w:before="139" w:line="157" w:lineRule="auto"/>
              <w:ind w:left="627"/>
              <w:rPr>
                <w:sz w:val="20"/>
                <w:szCs w:val="20"/>
              </w:rPr>
            </w:pPr>
            <w:r>
              <w:rPr>
                <w:b/>
                <w:bCs/>
                <w:spacing w:val="13"/>
                <w:sz w:val="20"/>
                <w:szCs w:val="20"/>
              </w:rPr>
              <w:t>工频电场强度</w:t>
            </w:r>
          </w:p>
        </w:tc>
        <w:tc>
          <w:tcPr>
            <w:tcW w:w="3209" w:type="dxa"/>
            <w:gridSpan w:val="2"/>
            <w:vAlign w:val="top"/>
          </w:tcPr>
          <w:p w14:paraId="7DA2AF6B">
            <w:pPr>
              <w:pStyle w:val="6"/>
              <w:spacing w:before="139" w:line="157" w:lineRule="auto"/>
              <w:ind w:left="688"/>
              <w:rPr>
                <w:sz w:val="20"/>
                <w:szCs w:val="20"/>
              </w:rPr>
            </w:pPr>
            <w:r>
              <w:rPr>
                <w:b/>
                <w:bCs/>
                <w:spacing w:val="14"/>
                <w:sz w:val="20"/>
                <w:szCs w:val="20"/>
              </w:rPr>
              <w:t>工频磁感应强度(μT)</w:t>
            </w:r>
          </w:p>
        </w:tc>
      </w:tr>
      <w:tr w14:paraId="1E7FADF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8" w:hRule="atLeast"/>
        </w:trPr>
        <w:tc>
          <w:tcPr>
            <w:tcW w:w="934" w:type="dxa"/>
            <w:vAlign w:val="top"/>
          </w:tcPr>
          <w:p w14:paraId="447ADD1F">
            <w:pPr>
              <w:pStyle w:val="6"/>
              <w:spacing w:line="203" w:lineRule="auto"/>
              <w:rPr>
                <w:sz w:val="20"/>
                <w:szCs w:val="20"/>
              </w:rPr>
            </w:pPr>
            <w:r>
              <w:rPr>
                <w:b/>
                <w:bCs/>
                <w:spacing w:val="-6"/>
                <w:sz w:val="20"/>
                <w:szCs w:val="20"/>
              </w:rPr>
              <w:t>序</w:t>
            </w:r>
            <w:r>
              <w:rPr>
                <w:spacing w:val="-14"/>
                <w:sz w:val="20"/>
                <w:szCs w:val="20"/>
              </w:rPr>
              <w:t xml:space="preserve"> </w:t>
            </w:r>
            <w:r>
              <w:rPr>
                <w:b/>
                <w:bCs/>
                <w:spacing w:val="-6"/>
                <w:sz w:val="20"/>
                <w:szCs w:val="20"/>
              </w:rPr>
              <w:t>号</w:t>
            </w:r>
          </w:p>
        </w:tc>
        <w:tc>
          <w:tcPr>
            <w:tcW w:w="2638" w:type="dxa"/>
            <w:vAlign w:val="top"/>
          </w:tcPr>
          <w:p w14:paraId="53B30427">
            <w:pPr>
              <w:rPr>
                <w:rFonts w:ascii="Arial"/>
                <w:sz w:val="21"/>
              </w:rPr>
            </w:pPr>
          </w:p>
        </w:tc>
        <w:tc>
          <w:tcPr>
            <w:tcW w:w="2099" w:type="dxa"/>
            <w:vAlign w:val="top"/>
          </w:tcPr>
          <w:p w14:paraId="710A4DD1">
            <w:pPr>
              <w:pStyle w:val="6"/>
              <w:spacing w:before="145" w:line="222" w:lineRule="auto"/>
              <w:ind w:left="935"/>
              <w:rPr>
                <w:sz w:val="20"/>
                <w:szCs w:val="20"/>
              </w:rPr>
            </w:pPr>
            <w:r>
              <w:rPr>
                <w:spacing w:val="-7"/>
                <w:sz w:val="20"/>
                <w:szCs w:val="20"/>
              </w:rPr>
              <w:t>(V/m)</w:t>
            </w:r>
          </w:p>
        </w:tc>
        <w:tc>
          <w:tcPr>
            <w:tcW w:w="1691" w:type="dxa"/>
            <w:vAlign w:val="top"/>
          </w:tcPr>
          <w:p w14:paraId="170FDFBD">
            <w:pPr>
              <w:pStyle w:val="6"/>
              <w:spacing w:before="139" w:line="219" w:lineRule="auto"/>
              <w:ind w:left="608"/>
              <w:rPr>
                <w:sz w:val="20"/>
                <w:szCs w:val="20"/>
              </w:rPr>
            </w:pPr>
            <w:r>
              <w:rPr>
                <w:b/>
                <w:bCs/>
                <w:spacing w:val="18"/>
                <w:sz w:val="20"/>
                <w:szCs w:val="20"/>
              </w:rPr>
              <w:t>监测值</w:t>
            </w:r>
          </w:p>
        </w:tc>
        <w:tc>
          <w:tcPr>
            <w:tcW w:w="1518" w:type="dxa"/>
            <w:vAlign w:val="top"/>
          </w:tcPr>
          <w:p w14:paraId="6014692D">
            <w:pPr>
              <w:pStyle w:val="6"/>
              <w:spacing w:before="139" w:line="219" w:lineRule="auto"/>
              <w:ind w:left="587"/>
              <w:rPr>
                <w:sz w:val="20"/>
                <w:szCs w:val="20"/>
              </w:rPr>
            </w:pPr>
            <w:r>
              <w:rPr>
                <w:b/>
                <w:bCs/>
                <w:spacing w:val="21"/>
                <w:sz w:val="20"/>
                <w:szCs w:val="20"/>
              </w:rPr>
              <w:t>校核值</w:t>
            </w:r>
          </w:p>
        </w:tc>
      </w:tr>
      <w:tr w14:paraId="0F409D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934" w:type="dxa"/>
            <w:vAlign w:val="top"/>
          </w:tcPr>
          <w:p w14:paraId="728E2DE9">
            <w:pPr>
              <w:pStyle w:val="6"/>
              <w:spacing w:before="84" w:line="221" w:lineRule="auto"/>
              <w:ind w:left="147"/>
              <w:rPr>
                <w:sz w:val="20"/>
                <w:szCs w:val="20"/>
              </w:rPr>
            </w:pPr>
            <w:r>
              <w:rPr>
                <w:sz w:val="20"/>
                <w:szCs w:val="20"/>
              </w:rPr>
              <w:t>1</w:t>
            </w:r>
          </w:p>
        </w:tc>
        <w:tc>
          <w:tcPr>
            <w:tcW w:w="2638" w:type="dxa"/>
            <w:vAlign w:val="top"/>
          </w:tcPr>
          <w:p w14:paraId="7742EF9D">
            <w:pPr>
              <w:pStyle w:val="6"/>
              <w:spacing w:before="54" w:line="219" w:lineRule="auto"/>
              <w:ind w:left="513"/>
              <w:rPr>
                <w:sz w:val="20"/>
                <w:szCs w:val="20"/>
              </w:rPr>
            </w:pPr>
            <w:r>
              <w:rPr>
                <w:spacing w:val="31"/>
                <w:sz w:val="20"/>
                <w:szCs w:val="20"/>
              </w:rPr>
              <w:t>距厂界西侧5m处</w:t>
            </w:r>
          </w:p>
        </w:tc>
        <w:tc>
          <w:tcPr>
            <w:tcW w:w="2099" w:type="dxa"/>
            <w:vAlign w:val="top"/>
          </w:tcPr>
          <w:p w14:paraId="238AE5C5">
            <w:pPr>
              <w:pStyle w:val="6"/>
              <w:spacing w:before="81" w:line="224" w:lineRule="auto"/>
              <w:ind w:left="445"/>
              <w:rPr>
                <w:sz w:val="20"/>
                <w:szCs w:val="20"/>
              </w:rPr>
            </w:pPr>
            <w:r>
              <w:rPr>
                <w:spacing w:val="-1"/>
                <w:sz w:val="20"/>
                <w:szCs w:val="20"/>
              </w:rPr>
              <w:t>67.41±0.902</w:t>
            </w:r>
          </w:p>
        </w:tc>
        <w:tc>
          <w:tcPr>
            <w:tcW w:w="1691" w:type="dxa"/>
            <w:vAlign w:val="top"/>
          </w:tcPr>
          <w:p w14:paraId="765B1126">
            <w:pPr>
              <w:pStyle w:val="6"/>
              <w:spacing w:before="71" w:line="233" w:lineRule="auto"/>
              <w:ind w:left="176"/>
              <w:rPr>
                <w:sz w:val="20"/>
                <w:szCs w:val="20"/>
              </w:rPr>
            </w:pPr>
            <w:r>
              <w:rPr>
                <w:spacing w:val="-1"/>
                <w:sz w:val="20"/>
                <w:szCs w:val="20"/>
              </w:rPr>
              <w:t>0.347±0.039</w:t>
            </w:r>
          </w:p>
        </w:tc>
        <w:tc>
          <w:tcPr>
            <w:tcW w:w="1518" w:type="dxa"/>
            <w:vAlign w:val="top"/>
          </w:tcPr>
          <w:p w14:paraId="31F31FE5">
            <w:pPr>
              <w:pStyle w:val="6"/>
              <w:spacing w:before="71" w:line="233" w:lineRule="auto"/>
              <w:ind w:right="3"/>
              <w:jc w:val="right"/>
              <w:rPr>
                <w:sz w:val="20"/>
                <w:szCs w:val="20"/>
              </w:rPr>
            </w:pPr>
            <w:r>
              <w:rPr>
                <w:spacing w:val="-1"/>
                <w:sz w:val="20"/>
                <w:szCs w:val="20"/>
              </w:rPr>
              <w:t>2.314±0.039</w:t>
            </w:r>
          </w:p>
        </w:tc>
      </w:tr>
      <w:tr w14:paraId="13B9F21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934" w:type="dxa"/>
            <w:vAlign w:val="top"/>
          </w:tcPr>
          <w:p w14:paraId="551EA402">
            <w:pPr>
              <w:pStyle w:val="6"/>
              <w:spacing w:before="79" w:line="217" w:lineRule="auto"/>
              <w:ind w:left="147"/>
              <w:rPr>
                <w:sz w:val="20"/>
                <w:szCs w:val="20"/>
              </w:rPr>
            </w:pPr>
            <w:r>
              <w:rPr>
                <w:sz w:val="20"/>
                <w:szCs w:val="20"/>
              </w:rPr>
              <w:t>2</w:t>
            </w:r>
          </w:p>
        </w:tc>
        <w:tc>
          <w:tcPr>
            <w:tcW w:w="2638" w:type="dxa"/>
            <w:vAlign w:val="top"/>
          </w:tcPr>
          <w:p w14:paraId="30C0D7C3">
            <w:pPr>
              <w:pStyle w:val="6"/>
              <w:spacing w:before="50" w:line="219" w:lineRule="auto"/>
              <w:ind w:left="463"/>
              <w:rPr>
                <w:sz w:val="20"/>
                <w:szCs w:val="20"/>
              </w:rPr>
            </w:pPr>
            <w:r>
              <w:rPr>
                <w:spacing w:val="27"/>
                <w:sz w:val="20"/>
                <w:szCs w:val="20"/>
              </w:rPr>
              <w:t>距厂界西侧10m处</w:t>
            </w:r>
          </w:p>
        </w:tc>
        <w:tc>
          <w:tcPr>
            <w:tcW w:w="2099" w:type="dxa"/>
            <w:vAlign w:val="top"/>
          </w:tcPr>
          <w:p w14:paraId="5D143E82">
            <w:pPr>
              <w:pStyle w:val="6"/>
              <w:spacing w:before="77" w:line="219" w:lineRule="auto"/>
              <w:ind w:left="445"/>
              <w:rPr>
                <w:sz w:val="20"/>
                <w:szCs w:val="20"/>
              </w:rPr>
            </w:pPr>
            <w:r>
              <w:rPr>
                <w:spacing w:val="-1"/>
                <w:sz w:val="20"/>
                <w:szCs w:val="20"/>
              </w:rPr>
              <w:t>67.41±0.902</w:t>
            </w:r>
          </w:p>
        </w:tc>
        <w:tc>
          <w:tcPr>
            <w:tcW w:w="1691" w:type="dxa"/>
            <w:vAlign w:val="top"/>
          </w:tcPr>
          <w:p w14:paraId="0C9EA324">
            <w:pPr>
              <w:pStyle w:val="6"/>
              <w:spacing w:before="77" w:line="219" w:lineRule="auto"/>
              <w:ind w:left="186"/>
              <w:rPr>
                <w:sz w:val="20"/>
                <w:szCs w:val="20"/>
              </w:rPr>
            </w:pPr>
            <w:r>
              <w:rPr>
                <w:spacing w:val="-1"/>
                <w:sz w:val="20"/>
                <w:szCs w:val="20"/>
              </w:rPr>
              <w:t>0.501±0.018</w:t>
            </w:r>
          </w:p>
        </w:tc>
        <w:tc>
          <w:tcPr>
            <w:tcW w:w="1518" w:type="dxa"/>
            <w:vAlign w:val="top"/>
          </w:tcPr>
          <w:p w14:paraId="3E02499F">
            <w:pPr>
              <w:pStyle w:val="6"/>
              <w:spacing w:before="66" w:line="229" w:lineRule="auto"/>
              <w:ind w:right="4"/>
              <w:jc w:val="right"/>
              <w:rPr>
                <w:sz w:val="20"/>
                <w:szCs w:val="20"/>
              </w:rPr>
            </w:pPr>
            <w:r>
              <w:rPr>
                <w:spacing w:val="-2"/>
                <w:sz w:val="20"/>
                <w:szCs w:val="20"/>
              </w:rPr>
              <w:t>3.342±0.018</w:t>
            </w:r>
          </w:p>
        </w:tc>
      </w:tr>
      <w:tr w14:paraId="5127046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934" w:type="dxa"/>
            <w:vAlign w:val="top"/>
          </w:tcPr>
          <w:p w14:paraId="1ADD9ED3">
            <w:pPr>
              <w:pStyle w:val="6"/>
              <w:spacing w:before="74" w:line="217" w:lineRule="auto"/>
              <w:ind w:left="147"/>
              <w:rPr>
                <w:sz w:val="20"/>
                <w:szCs w:val="20"/>
              </w:rPr>
            </w:pPr>
            <w:r>
              <w:rPr>
                <w:sz w:val="20"/>
                <w:szCs w:val="20"/>
              </w:rPr>
              <w:t>3</w:t>
            </w:r>
          </w:p>
        </w:tc>
        <w:tc>
          <w:tcPr>
            <w:tcW w:w="2638" w:type="dxa"/>
            <w:vAlign w:val="top"/>
          </w:tcPr>
          <w:p w14:paraId="425FA5F5">
            <w:pPr>
              <w:pStyle w:val="6"/>
              <w:spacing w:before="45" w:line="219" w:lineRule="auto"/>
              <w:ind w:left="463"/>
              <w:rPr>
                <w:sz w:val="20"/>
                <w:szCs w:val="20"/>
              </w:rPr>
            </w:pPr>
            <w:r>
              <w:rPr>
                <w:spacing w:val="27"/>
                <w:sz w:val="20"/>
                <w:szCs w:val="20"/>
              </w:rPr>
              <w:t>距厂界西侧15m处</w:t>
            </w:r>
          </w:p>
        </w:tc>
        <w:tc>
          <w:tcPr>
            <w:tcW w:w="2099" w:type="dxa"/>
            <w:vAlign w:val="top"/>
          </w:tcPr>
          <w:p w14:paraId="2702711C">
            <w:pPr>
              <w:pStyle w:val="6"/>
              <w:spacing w:before="72" w:line="219" w:lineRule="auto"/>
              <w:ind w:left="445"/>
              <w:rPr>
                <w:sz w:val="20"/>
                <w:szCs w:val="20"/>
              </w:rPr>
            </w:pPr>
            <w:r>
              <w:rPr>
                <w:spacing w:val="-1"/>
                <w:sz w:val="20"/>
                <w:szCs w:val="20"/>
              </w:rPr>
              <w:t>40.33±0.835</w:t>
            </w:r>
          </w:p>
        </w:tc>
        <w:tc>
          <w:tcPr>
            <w:tcW w:w="1691" w:type="dxa"/>
            <w:vAlign w:val="top"/>
          </w:tcPr>
          <w:p w14:paraId="5E22CB5D">
            <w:pPr>
              <w:pStyle w:val="6"/>
              <w:spacing w:before="72" w:line="219" w:lineRule="auto"/>
              <w:ind w:left="176"/>
              <w:rPr>
                <w:sz w:val="20"/>
                <w:szCs w:val="20"/>
              </w:rPr>
            </w:pPr>
            <w:r>
              <w:rPr>
                <w:spacing w:val="-1"/>
                <w:sz w:val="20"/>
                <w:szCs w:val="20"/>
              </w:rPr>
              <w:t>0.595±0.029</w:t>
            </w:r>
          </w:p>
        </w:tc>
        <w:tc>
          <w:tcPr>
            <w:tcW w:w="1518" w:type="dxa"/>
            <w:vAlign w:val="top"/>
          </w:tcPr>
          <w:p w14:paraId="236C0E84">
            <w:pPr>
              <w:pStyle w:val="6"/>
              <w:spacing w:before="61" w:line="229" w:lineRule="auto"/>
              <w:ind w:right="4"/>
              <w:jc w:val="right"/>
              <w:rPr>
                <w:sz w:val="20"/>
                <w:szCs w:val="20"/>
              </w:rPr>
            </w:pPr>
            <w:r>
              <w:rPr>
                <w:spacing w:val="-2"/>
                <w:sz w:val="20"/>
                <w:szCs w:val="20"/>
              </w:rPr>
              <w:t>3.969±0.029</w:t>
            </w:r>
          </w:p>
        </w:tc>
      </w:tr>
      <w:tr w14:paraId="7855AE3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8" w:hRule="atLeast"/>
        </w:trPr>
        <w:tc>
          <w:tcPr>
            <w:tcW w:w="934" w:type="dxa"/>
            <w:vAlign w:val="top"/>
          </w:tcPr>
          <w:p w14:paraId="7827B641">
            <w:pPr>
              <w:pStyle w:val="6"/>
              <w:spacing w:before="65" w:line="233" w:lineRule="auto"/>
              <w:ind w:left="137"/>
              <w:rPr>
                <w:sz w:val="20"/>
                <w:szCs w:val="20"/>
              </w:rPr>
            </w:pPr>
            <w:r>
              <w:rPr>
                <w:sz w:val="20"/>
                <w:szCs w:val="20"/>
              </w:rPr>
              <w:t>4</w:t>
            </w:r>
          </w:p>
        </w:tc>
        <w:tc>
          <w:tcPr>
            <w:tcW w:w="2638" w:type="dxa"/>
            <w:vAlign w:val="top"/>
          </w:tcPr>
          <w:p w14:paraId="32D5D993">
            <w:pPr>
              <w:pStyle w:val="6"/>
              <w:spacing w:before="45" w:line="219" w:lineRule="auto"/>
              <w:ind w:left="463"/>
              <w:rPr>
                <w:sz w:val="20"/>
                <w:szCs w:val="20"/>
              </w:rPr>
            </w:pPr>
            <w:r>
              <w:rPr>
                <w:spacing w:val="27"/>
                <w:sz w:val="20"/>
                <w:szCs w:val="20"/>
              </w:rPr>
              <w:t>距厂界西侧20m处</w:t>
            </w:r>
          </w:p>
        </w:tc>
        <w:tc>
          <w:tcPr>
            <w:tcW w:w="2099" w:type="dxa"/>
            <w:vAlign w:val="top"/>
          </w:tcPr>
          <w:p w14:paraId="2F01386B">
            <w:pPr>
              <w:pStyle w:val="6"/>
              <w:spacing w:before="81" w:line="218" w:lineRule="auto"/>
              <w:ind w:left="445"/>
              <w:rPr>
                <w:sz w:val="20"/>
                <w:szCs w:val="20"/>
              </w:rPr>
            </w:pPr>
            <w:r>
              <w:rPr>
                <w:spacing w:val="-1"/>
                <w:sz w:val="20"/>
                <w:szCs w:val="20"/>
              </w:rPr>
              <w:t>22.61±0.149</w:t>
            </w:r>
          </w:p>
        </w:tc>
        <w:tc>
          <w:tcPr>
            <w:tcW w:w="1691" w:type="dxa"/>
            <w:vAlign w:val="top"/>
          </w:tcPr>
          <w:p w14:paraId="4BD6D389">
            <w:pPr>
              <w:pStyle w:val="6"/>
              <w:spacing w:before="81" w:line="218" w:lineRule="auto"/>
              <w:ind w:left="176"/>
              <w:rPr>
                <w:sz w:val="20"/>
                <w:szCs w:val="20"/>
              </w:rPr>
            </w:pPr>
            <w:r>
              <w:rPr>
                <w:spacing w:val="-1"/>
                <w:sz w:val="20"/>
                <w:szCs w:val="20"/>
              </w:rPr>
              <w:t>0.729±0.023</w:t>
            </w:r>
          </w:p>
        </w:tc>
        <w:tc>
          <w:tcPr>
            <w:tcW w:w="1518" w:type="dxa"/>
            <w:vAlign w:val="top"/>
          </w:tcPr>
          <w:p w14:paraId="3BBD559E">
            <w:pPr>
              <w:pStyle w:val="6"/>
              <w:spacing w:before="62" w:line="235" w:lineRule="auto"/>
              <w:ind w:right="9"/>
              <w:jc w:val="right"/>
              <w:rPr>
                <w:sz w:val="20"/>
                <w:szCs w:val="20"/>
              </w:rPr>
            </w:pPr>
            <w:r>
              <w:rPr>
                <w:spacing w:val="-1"/>
                <w:sz w:val="20"/>
                <w:szCs w:val="20"/>
              </w:rPr>
              <w:t>4.862±0.023</w:t>
            </w:r>
          </w:p>
        </w:tc>
      </w:tr>
      <w:tr w14:paraId="466ACEB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2" w:hRule="atLeast"/>
        </w:trPr>
        <w:tc>
          <w:tcPr>
            <w:tcW w:w="934" w:type="dxa"/>
            <w:vAlign w:val="top"/>
          </w:tcPr>
          <w:p w14:paraId="3E09C605">
            <w:pPr>
              <w:pStyle w:val="6"/>
              <w:spacing w:before="76" w:line="217" w:lineRule="auto"/>
              <w:ind w:left="147"/>
              <w:rPr>
                <w:sz w:val="20"/>
                <w:szCs w:val="20"/>
              </w:rPr>
            </w:pPr>
            <w:r>
              <w:rPr>
                <w:sz w:val="20"/>
                <w:szCs w:val="20"/>
              </w:rPr>
              <w:t>5</w:t>
            </w:r>
          </w:p>
        </w:tc>
        <w:tc>
          <w:tcPr>
            <w:tcW w:w="2638" w:type="dxa"/>
            <w:vAlign w:val="top"/>
          </w:tcPr>
          <w:p w14:paraId="607C044F">
            <w:pPr>
              <w:pStyle w:val="6"/>
              <w:spacing w:before="47" w:line="219" w:lineRule="auto"/>
              <w:ind w:left="463"/>
              <w:rPr>
                <w:sz w:val="20"/>
                <w:szCs w:val="20"/>
              </w:rPr>
            </w:pPr>
            <w:r>
              <w:rPr>
                <w:spacing w:val="29"/>
                <w:sz w:val="20"/>
                <w:szCs w:val="20"/>
              </w:rPr>
              <w:t>距厂界西侧25m处</w:t>
            </w:r>
          </w:p>
        </w:tc>
        <w:tc>
          <w:tcPr>
            <w:tcW w:w="2099" w:type="dxa"/>
            <w:vAlign w:val="top"/>
          </w:tcPr>
          <w:p w14:paraId="28091F90">
            <w:pPr>
              <w:pStyle w:val="6"/>
              <w:spacing w:before="63" w:line="229" w:lineRule="auto"/>
              <w:ind w:left="445"/>
              <w:rPr>
                <w:sz w:val="20"/>
                <w:szCs w:val="20"/>
              </w:rPr>
            </w:pPr>
            <w:r>
              <w:rPr>
                <w:spacing w:val="-1"/>
                <w:sz w:val="20"/>
                <w:szCs w:val="20"/>
              </w:rPr>
              <w:t>22.61±0.149</w:t>
            </w:r>
          </w:p>
        </w:tc>
        <w:tc>
          <w:tcPr>
            <w:tcW w:w="1691" w:type="dxa"/>
            <w:vAlign w:val="top"/>
          </w:tcPr>
          <w:p w14:paraId="19BAE914">
            <w:pPr>
              <w:pStyle w:val="6"/>
              <w:spacing w:before="63" w:line="229" w:lineRule="auto"/>
              <w:ind w:left="176"/>
              <w:rPr>
                <w:sz w:val="20"/>
                <w:szCs w:val="20"/>
              </w:rPr>
            </w:pPr>
            <w:r>
              <w:rPr>
                <w:spacing w:val="-1"/>
                <w:sz w:val="20"/>
                <w:szCs w:val="20"/>
              </w:rPr>
              <w:t>0.793±0.020</w:t>
            </w:r>
          </w:p>
        </w:tc>
        <w:tc>
          <w:tcPr>
            <w:tcW w:w="1518" w:type="dxa"/>
            <w:vAlign w:val="top"/>
          </w:tcPr>
          <w:p w14:paraId="3A556784">
            <w:pPr>
              <w:pStyle w:val="6"/>
              <w:spacing w:before="63" w:line="229" w:lineRule="auto"/>
              <w:ind w:right="4"/>
              <w:jc w:val="right"/>
              <w:rPr>
                <w:sz w:val="20"/>
                <w:szCs w:val="20"/>
              </w:rPr>
            </w:pPr>
            <w:r>
              <w:rPr>
                <w:spacing w:val="-2"/>
                <w:sz w:val="20"/>
                <w:szCs w:val="20"/>
              </w:rPr>
              <w:t>5.289±0.020</w:t>
            </w:r>
          </w:p>
        </w:tc>
      </w:tr>
      <w:tr w14:paraId="1A0C4C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934" w:type="dxa"/>
            <w:vAlign w:val="top"/>
          </w:tcPr>
          <w:p w14:paraId="4616A56D">
            <w:pPr>
              <w:pStyle w:val="6"/>
              <w:spacing w:before="65" w:line="226" w:lineRule="auto"/>
              <w:ind w:left="167"/>
              <w:rPr>
                <w:sz w:val="20"/>
                <w:szCs w:val="20"/>
              </w:rPr>
            </w:pPr>
            <w:r>
              <w:rPr>
                <w:sz w:val="20"/>
                <w:szCs w:val="20"/>
              </w:rPr>
              <w:t>9</w:t>
            </w:r>
          </w:p>
        </w:tc>
        <w:tc>
          <w:tcPr>
            <w:tcW w:w="2638" w:type="dxa"/>
            <w:vAlign w:val="top"/>
          </w:tcPr>
          <w:p w14:paraId="6E0D1D3D">
            <w:pPr>
              <w:pStyle w:val="6"/>
              <w:spacing w:before="45" w:line="219" w:lineRule="auto"/>
              <w:ind w:left="463"/>
              <w:rPr>
                <w:sz w:val="20"/>
                <w:szCs w:val="20"/>
              </w:rPr>
            </w:pPr>
            <w:r>
              <w:rPr>
                <w:spacing w:val="29"/>
                <w:sz w:val="20"/>
                <w:szCs w:val="20"/>
              </w:rPr>
              <w:t>距厂界西侧30m处</w:t>
            </w:r>
          </w:p>
        </w:tc>
        <w:tc>
          <w:tcPr>
            <w:tcW w:w="2099" w:type="dxa"/>
            <w:vAlign w:val="top"/>
          </w:tcPr>
          <w:p w14:paraId="65F2F3D6">
            <w:pPr>
              <w:pStyle w:val="6"/>
              <w:spacing w:before="61" w:line="229" w:lineRule="auto"/>
              <w:ind w:left="445"/>
              <w:rPr>
                <w:sz w:val="20"/>
                <w:szCs w:val="20"/>
              </w:rPr>
            </w:pPr>
            <w:r>
              <w:rPr>
                <w:spacing w:val="-1"/>
                <w:sz w:val="20"/>
                <w:szCs w:val="20"/>
              </w:rPr>
              <w:t>8.388±0.782</w:t>
            </w:r>
          </w:p>
        </w:tc>
        <w:tc>
          <w:tcPr>
            <w:tcW w:w="1691" w:type="dxa"/>
            <w:vAlign w:val="top"/>
          </w:tcPr>
          <w:p w14:paraId="2B18813D">
            <w:pPr>
              <w:pStyle w:val="6"/>
              <w:spacing w:before="61" w:line="229" w:lineRule="auto"/>
              <w:ind w:left="186"/>
              <w:rPr>
                <w:sz w:val="20"/>
                <w:szCs w:val="20"/>
              </w:rPr>
            </w:pPr>
            <w:r>
              <w:rPr>
                <w:spacing w:val="-1"/>
                <w:sz w:val="20"/>
                <w:szCs w:val="20"/>
              </w:rPr>
              <w:t>0.846±0.034</w:t>
            </w:r>
          </w:p>
        </w:tc>
        <w:tc>
          <w:tcPr>
            <w:tcW w:w="1518" w:type="dxa"/>
            <w:vAlign w:val="top"/>
          </w:tcPr>
          <w:p w14:paraId="207BC6C4">
            <w:pPr>
              <w:pStyle w:val="6"/>
              <w:spacing w:before="61" w:line="229" w:lineRule="auto"/>
              <w:ind w:right="4"/>
              <w:jc w:val="right"/>
              <w:rPr>
                <w:sz w:val="20"/>
                <w:szCs w:val="20"/>
              </w:rPr>
            </w:pPr>
            <w:r>
              <w:rPr>
                <w:spacing w:val="-2"/>
                <w:sz w:val="20"/>
                <w:szCs w:val="20"/>
              </w:rPr>
              <w:t>5.543±0.034</w:t>
            </w:r>
          </w:p>
        </w:tc>
      </w:tr>
      <w:tr w14:paraId="2166D2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5" w:hRule="atLeast"/>
        </w:trPr>
        <w:tc>
          <w:tcPr>
            <w:tcW w:w="934" w:type="dxa"/>
            <w:vAlign w:val="top"/>
          </w:tcPr>
          <w:p w14:paraId="5DC2F180">
            <w:pPr>
              <w:pStyle w:val="6"/>
              <w:spacing w:before="85" w:line="175" w:lineRule="auto"/>
              <w:ind w:left="147"/>
              <w:rPr>
                <w:sz w:val="20"/>
                <w:szCs w:val="20"/>
              </w:rPr>
            </w:pPr>
            <w:r>
              <w:rPr>
                <w:sz w:val="20"/>
                <w:szCs w:val="20"/>
              </w:rPr>
              <w:t>7</w:t>
            </w:r>
          </w:p>
        </w:tc>
        <w:tc>
          <w:tcPr>
            <w:tcW w:w="2638" w:type="dxa"/>
            <w:vAlign w:val="top"/>
          </w:tcPr>
          <w:p w14:paraId="1A8E4185">
            <w:pPr>
              <w:pStyle w:val="6"/>
              <w:spacing w:before="55" w:line="203" w:lineRule="auto"/>
              <w:ind w:left="463"/>
              <w:rPr>
                <w:sz w:val="20"/>
                <w:szCs w:val="20"/>
              </w:rPr>
            </w:pPr>
            <w:r>
              <w:rPr>
                <w:spacing w:val="29"/>
                <w:sz w:val="20"/>
                <w:szCs w:val="20"/>
              </w:rPr>
              <w:t>距厂界西侧35m处</w:t>
            </w:r>
          </w:p>
        </w:tc>
        <w:tc>
          <w:tcPr>
            <w:tcW w:w="2099" w:type="dxa"/>
            <w:vAlign w:val="top"/>
          </w:tcPr>
          <w:p w14:paraId="5BF23ABE">
            <w:pPr>
              <w:pStyle w:val="6"/>
              <w:spacing w:before="72" w:line="187" w:lineRule="auto"/>
              <w:ind w:left="445"/>
              <w:rPr>
                <w:sz w:val="20"/>
                <w:szCs w:val="20"/>
              </w:rPr>
            </w:pPr>
            <w:r>
              <w:rPr>
                <w:spacing w:val="-1"/>
                <w:sz w:val="20"/>
                <w:szCs w:val="20"/>
              </w:rPr>
              <w:t>4.312±0.516</w:t>
            </w:r>
          </w:p>
        </w:tc>
        <w:tc>
          <w:tcPr>
            <w:tcW w:w="1691" w:type="dxa"/>
            <w:vAlign w:val="top"/>
          </w:tcPr>
          <w:p w14:paraId="03E5A48E">
            <w:pPr>
              <w:pStyle w:val="6"/>
              <w:spacing w:before="72" w:line="187" w:lineRule="auto"/>
              <w:ind w:left="176"/>
              <w:rPr>
                <w:sz w:val="20"/>
                <w:szCs w:val="20"/>
              </w:rPr>
            </w:pPr>
            <w:r>
              <w:rPr>
                <w:spacing w:val="-1"/>
                <w:sz w:val="20"/>
                <w:szCs w:val="20"/>
              </w:rPr>
              <w:t>0.740±0.044</w:t>
            </w:r>
          </w:p>
        </w:tc>
        <w:tc>
          <w:tcPr>
            <w:tcW w:w="1518" w:type="dxa"/>
            <w:vAlign w:val="top"/>
          </w:tcPr>
          <w:p w14:paraId="033B3E78">
            <w:pPr>
              <w:pStyle w:val="6"/>
              <w:spacing w:before="72" w:line="187" w:lineRule="auto"/>
              <w:jc w:val="right"/>
              <w:rPr>
                <w:sz w:val="20"/>
                <w:szCs w:val="20"/>
              </w:rPr>
            </w:pPr>
            <w:r>
              <w:rPr>
                <w:spacing w:val="-1"/>
                <w:sz w:val="20"/>
                <w:szCs w:val="20"/>
              </w:rPr>
              <w:t>4.936±0.044</w:t>
            </w:r>
          </w:p>
        </w:tc>
      </w:tr>
    </w:tbl>
    <w:p w14:paraId="61DEF7A4">
      <w:pPr>
        <w:pStyle w:val="2"/>
      </w:pPr>
    </w:p>
    <w:p w14:paraId="4DFF5A30">
      <w:pPr>
        <w:sectPr>
          <w:footerReference r:id="rId239" w:type="default"/>
          <w:pgSz w:w="11910" w:h="16830"/>
          <w:pgMar w:top="400" w:right="1502" w:bottom="1181" w:left="1482" w:header="0" w:footer="922" w:gutter="0"/>
          <w:cols w:space="720" w:num="1"/>
        </w:sectPr>
      </w:pPr>
    </w:p>
    <w:p w14:paraId="2D7DE22E">
      <w:pPr>
        <w:spacing w:before="18"/>
      </w:pPr>
    </w:p>
    <w:p w14:paraId="1CB89B72">
      <w:pPr>
        <w:spacing w:before="17"/>
      </w:pPr>
    </w:p>
    <w:p w14:paraId="4C6DB2FC">
      <w:pPr>
        <w:spacing w:before="17"/>
      </w:pPr>
    </w:p>
    <w:p w14:paraId="54E73C7A">
      <w:pPr>
        <w:spacing w:before="17"/>
      </w:pPr>
    </w:p>
    <w:tbl>
      <w:tblPr>
        <w:tblStyle w:val="5"/>
        <w:tblW w:w="9240" w:type="dxa"/>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297"/>
        <w:gridCol w:w="1858"/>
        <w:gridCol w:w="1688"/>
        <w:gridCol w:w="1643"/>
      </w:tblGrid>
      <w:tr w14:paraId="725D1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754" w:type="dxa"/>
            <w:vAlign w:val="top"/>
          </w:tcPr>
          <w:p w14:paraId="335A5E4B">
            <w:pPr>
              <w:pStyle w:val="6"/>
              <w:spacing w:before="74" w:line="192" w:lineRule="auto"/>
              <w:ind w:left="315"/>
              <w:rPr>
                <w:sz w:val="21"/>
                <w:szCs w:val="21"/>
              </w:rPr>
            </w:pPr>
            <w:r>
              <w:rPr>
                <w:color w:val="FF0030"/>
                <w:sz w:val="21"/>
                <w:szCs w:val="21"/>
              </w:rPr>
              <w:t>8</w:t>
            </w:r>
          </w:p>
        </w:tc>
        <w:tc>
          <w:tcPr>
            <w:tcW w:w="3297" w:type="dxa"/>
            <w:vAlign w:val="top"/>
          </w:tcPr>
          <w:p w14:paraId="481F38E3">
            <w:pPr>
              <w:pStyle w:val="6"/>
              <w:spacing w:before="52" w:line="211" w:lineRule="auto"/>
              <w:ind w:left="850"/>
              <w:rPr>
                <w:sz w:val="21"/>
                <w:szCs w:val="21"/>
              </w:rPr>
            </w:pPr>
            <w:r>
              <w:rPr>
                <w:color w:val="FF0000"/>
                <w:spacing w:val="-1"/>
                <w:sz w:val="21"/>
                <w:szCs w:val="21"/>
              </w:rPr>
              <w:t>距厂界西侧40m处</w:t>
            </w:r>
          </w:p>
        </w:tc>
        <w:tc>
          <w:tcPr>
            <w:tcW w:w="1858" w:type="dxa"/>
            <w:vAlign w:val="top"/>
          </w:tcPr>
          <w:p w14:paraId="63AAB0D6">
            <w:pPr>
              <w:pStyle w:val="6"/>
              <w:spacing w:before="71" w:line="195" w:lineRule="auto"/>
              <w:ind w:left="104"/>
              <w:rPr>
                <w:sz w:val="21"/>
                <w:szCs w:val="21"/>
              </w:rPr>
            </w:pPr>
            <w:r>
              <w:rPr>
                <w:color w:val="FF0010"/>
                <w:spacing w:val="-1"/>
                <w:sz w:val="21"/>
                <w:szCs w:val="21"/>
              </w:rPr>
              <w:t>2.862±0.328</w:t>
            </w:r>
          </w:p>
        </w:tc>
        <w:tc>
          <w:tcPr>
            <w:tcW w:w="1688" w:type="dxa"/>
            <w:vAlign w:val="top"/>
          </w:tcPr>
          <w:p w14:paraId="3FC831D3">
            <w:pPr>
              <w:pStyle w:val="6"/>
              <w:spacing w:before="71" w:line="195" w:lineRule="auto"/>
              <w:ind w:left="66"/>
              <w:rPr>
                <w:sz w:val="21"/>
                <w:szCs w:val="21"/>
              </w:rPr>
            </w:pPr>
            <w:r>
              <w:rPr>
                <w:color w:val="FF0000"/>
                <w:spacing w:val="-1"/>
                <w:sz w:val="21"/>
                <w:szCs w:val="21"/>
              </w:rPr>
              <w:t>0.568±0.057</w:t>
            </w:r>
          </w:p>
        </w:tc>
        <w:tc>
          <w:tcPr>
            <w:tcW w:w="1643" w:type="dxa"/>
            <w:vAlign w:val="top"/>
          </w:tcPr>
          <w:p w14:paraId="1254E483">
            <w:pPr>
              <w:pStyle w:val="6"/>
              <w:spacing w:before="71" w:line="195" w:lineRule="auto"/>
              <w:ind w:left="187"/>
              <w:rPr>
                <w:sz w:val="21"/>
                <w:szCs w:val="21"/>
              </w:rPr>
            </w:pPr>
            <w:r>
              <w:rPr>
                <w:color w:val="FF0010"/>
                <w:spacing w:val="-2"/>
                <w:sz w:val="21"/>
                <w:szCs w:val="21"/>
              </w:rPr>
              <w:t>3.789±0.</w:t>
            </w:r>
            <w:r>
              <w:rPr>
                <w:color w:val="FF0000"/>
                <w:spacing w:val="-2"/>
                <w:sz w:val="21"/>
                <w:szCs w:val="21"/>
              </w:rPr>
              <w:t>057</w:t>
            </w:r>
          </w:p>
        </w:tc>
      </w:tr>
      <w:tr w14:paraId="3B0DA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754" w:type="dxa"/>
            <w:vAlign w:val="top"/>
          </w:tcPr>
          <w:p w14:paraId="63B2FDCC">
            <w:pPr>
              <w:pStyle w:val="6"/>
              <w:spacing w:before="81" w:line="208" w:lineRule="auto"/>
              <w:ind w:left="315"/>
              <w:rPr>
                <w:sz w:val="21"/>
                <w:szCs w:val="21"/>
              </w:rPr>
            </w:pPr>
            <w:r>
              <w:rPr>
                <w:color w:val="FF0000"/>
                <w:sz w:val="21"/>
                <w:szCs w:val="21"/>
              </w:rPr>
              <w:t>9</w:t>
            </w:r>
          </w:p>
        </w:tc>
        <w:tc>
          <w:tcPr>
            <w:tcW w:w="3297" w:type="dxa"/>
            <w:vAlign w:val="top"/>
          </w:tcPr>
          <w:p w14:paraId="67F2F587">
            <w:pPr>
              <w:pStyle w:val="6"/>
              <w:spacing w:before="60" w:line="219" w:lineRule="auto"/>
              <w:ind w:left="850"/>
              <w:rPr>
                <w:sz w:val="21"/>
                <w:szCs w:val="21"/>
              </w:rPr>
            </w:pPr>
            <w:r>
              <w:rPr>
                <w:color w:val="FF0000"/>
                <w:spacing w:val="-1"/>
                <w:sz w:val="21"/>
                <w:szCs w:val="21"/>
              </w:rPr>
              <w:t>距厂界西侧45m处</w:t>
            </w:r>
          </w:p>
        </w:tc>
        <w:tc>
          <w:tcPr>
            <w:tcW w:w="1858" w:type="dxa"/>
            <w:vAlign w:val="top"/>
          </w:tcPr>
          <w:p w14:paraId="06DEF99C">
            <w:pPr>
              <w:pStyle w:val="6"/>
              <w:spacing w:before="77" w:line="211" w:lineRule="auto"/>
              <w:ind w:left="104"/>
              <w:rPr>
                <w:sz w:val="21"/>
                <w:szCs w:val="21"/>
              </w:rPr>
            </w:pPr>
            <w:r>
              <w:rPr>
                <w:color w:val="FF0000"/>
                <w:spacing w:val="-2"/>
                <w:sz w:val="21"/>
                <w:szCs w:val="21"/>
              </w:rPr>
              <w:t>1.887±</w:t>
            </w:r>
            <w:r>
              <w:rPr>
                <w:color w:val="FF0010"/>
                <w:spacing w:val="-2"/>
                <w:sz w:val="21"/>
                <w:szCs w:val="21"/>
              </w:rPr>
              <w:t>0.317</w:t>
            </w:r>
          </w:p>
        </w:tc>
        <w:tc>
          <w:tcPr>
            <w:tcW w:w="1688" w:type="dxa"/>
            <w:vAlign w:val="top"/>
          </w:tcPr>
          <w:p w14:paraId="12483E46">
            <w:pPr>
              <w:pStyle w:val="6"/>
              <w:spacing w:before="77" w:line="211" w:lineRule="auto"/>
              <w:ind w:left="66"/>
              <w:rPr>
                <w:sz w:val="21"/>
                <w:szCs w:val="21"/>
              </w:rPr>
            </w:pPr>
            <w:r>
              <w:rPr>
                <w:color w:val="FF0010"/>
                <w:spacing w:val="-1"/>
                <w:sz w:val="21"/>
                <w:szCs w:val="21"/>
              </w:rPr>
              <w:t>0.560±0.057</w:t>
            </w:r>
          </w:p>
        </w:tc>
        <w:tc>
          <w:tcPr>
            <w:tcW w:w="1643" w:type="dxa"/>
            <w:vAlign w:val="top"/>
          </w:tcPr>
          <w:p w14:paraId="75BA1CA9">
            <w:pPr>
              <w:pStyle w:val="6"/>
              <w:spacing w:before="77" w:line="211" w:lineRule="auto"/>
              <w:ind w:left="187"/>
              <w:rPr>
                <w:sz w:val="21"/>
                <w:szCs w:val="21"/>
              </w:rPr>
            </w:pPr>
            <w:r>
              <w:rPr>
                <w:color w:val="FF0020"/>
                <w:spacing w:val="-2"/>
                <w:sz w:val="21"/>
                <w:szCs w:val="21"/>
              </w:rPr>
              <w:t>3.735±</w:t>
            </w:r>
            <w:r>
              <w:rPr>
                <w:color w:val="FF0000"/>
                <w:spacing w:val="-2"/>
                <w:sz w:val="21"/>
                <w:szCs w:val="21"/>
              </w:rPr>
              <w:t>0.057</w:t>
            </w:r>
          </w:p>
        </w:tc>
      </w:tr>
      <w:tr w14:paraId="458B8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754" w:type="dxa"/>
            <w:vAlign w:val="top"/>
          </w:tcPr>
          <w:p w14:paraId="6C5A28D4">
            <w:pPr>
              <w:pStyle w:val="6"/>
              <w:spacing w:before="73" w:line="197" w:lineRule="auto"/>
              <w:ind w:left="264"/>
              <w:rPr>
                <w:sz w:val="21"/>
                <w:szCs w:val="21"/>
              </w:rPr>
            </w:pPr>
            <w:r>
              <w:rPr>
                <w:color w:val="FF0000"/>
                <w:spacing w:val="-6"/>
                <w:sz w:val="21"/>
                <w:szCs w:val="21"/>
              </w:rPr>
              <w:t>10</w:t>
            </w:r>
          </w:p>
        </w:tc>
        <w:tc>
          <w:tcPr>
            <w:tcW w:w="3297" w:type="dxa"/>
            <w:vAlign w:val="top"/>
          </w:tcPr>
          <w:p w14:paraId="04E556E1">
            <w:pPr>
              <w:pStyle w:val="6"/>
              <w:spacing w:before="52" w:line="216" w:lineRule="auto"/>
              <w:ind w:left="850"/>
              <w:rPr>
                <w:sz w:val="21"/>
                <w:szCs w:val="21"/>
              </w:rPr>
            </w:pPr>
            <w:r>
              <w:rPr>
                <w:color w:val="FF0000"/>
                <w:spacing w:val="-1"/>
                <w:sz w:val="21"/>
                <w:szCs w:val="21"/>
              </w:rPr>
              <w:t>距厂界西侧50m处</w:t>
            </w:r>
          </w:p>
        </w:tc>
        <w:tc>
          <w:tcPr>
            <w:tcW w:w="1858" w:type="dxa"/>
            <w:vAlign w:val="top"/>
          </w:tcPr>
          <w:p w14:paraId="54D5C933">
            <w:pPr>
              <w:pStyle w:val="6"/>
              <w:spacing w:before="70" w:line="200" w:lineRule="auto"/>
              <w:ind w:left="104"/>
              <w:rPr>
                <w:sz w:val="21"/>
                <w:szCs w:val="21"/>
              </w:rPr>
            </w:pPr>
            <w:r>
              <w:rPr>
                <w:color w:val="FF0000"/>
                <w:spacing w:val="-3"/>
                <w:sz w:val="21"/>
                <w:szCs w:val="21"/>
              </w:rPr>
              <w:t>1.886±0.317</w:t>
            </w:r>
          </w:p>
        </w:tc>
        <w:tc>
          <w:tcPr>
            <w:tcW w:w="1688" w:type="dxa"/>
            <w:vAlign w:val="top"/>
          </w:tcPr>
          <w:p w14:paraId="5240A6F8">
            <w:pPr>
              <w:pStyle w:val="6"/>
              <w:spacing w:before="70" w:line="200" w:lineRule="auto"/>
              <w:ind w:left="66"/>
              <w:rPr>
                <w:sz w:val="21"/>
                <w:szCs w:val="21"/>
              </w:rPr>
            </w:pPr>
            <w:r>
              <w:rPr>
                <w:color w:val="FF0000"/>
                <w:spacing w:val="-1"/>
                <w:sz w:val="21"/>
                <w:szCs w:val="21"/>
              </w:rPr>
              <w:t>0.394±0.037</w:t>
            </w:r>
          </w:p>
        </w:tc>
        <w:tc>
          <w:tcPr>
            <w:tcW w:w="1643" w:type="dxa"/>
            <w:vAlign w:val="top"/>
          </w:tcPr>
          <w:p w14:paraId="36AE657B">
            <w:pPr>
              <w:pStyle w:val="6"/>
              <w:spacing w:before="70" w:line="200" w:lineRule="auto"/>
              <w:ind w:left="187"/>
              <w:rPr>
                <w:sz w:val="21"/>
                <w:szCs w:val="21"/>
              </w:rPr>
            </w:pPr>
            <w:r>
              <w:rPr>
                <w:color w:val="FF0000"/>
                <w:spacing w:val="-1"/>
                <w:sz w:val="21"/>
                <w:szCs w:val="21"/>
              </w:rPr>
              <w:t>2.628±0.037</w:t>
            </w:r>
          </w:p>
        </w:tc>
      </w:tr>
      <w:tr w14:paraId="0D2F0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754" w:type="dxa"/>
            <w:vAlign w:val="top"/>
          </w:tcPr>
          <w:p w14:paraId="42AF623C">
            <w:pPr>
              <w:pStyle w:val="6"/>
              <w:spacing w:before="215" w:line="220" w:lineRule="auto"/>
              <w:ind w:left="154"/>
              <w:rPr>
                <w:sz w:val="21"/>
                <w:szCs w:val="21"/>
              </w:rPr>
            </w:pPr>
            <w:r>
              <w:rPr>
                <w:color w:val="FF0000"/>
                <w:spacing w:val="-3"/>
                <w:sz w:val="21"/>
                <w:szCs w:val="21"/>
              </w:rPr>
              <w:t>标准</w:t>
            </w:r>
          </w:p>
        </w:tc>
        <w:tc>
          <w:tcPr>
            <w:tcW w:w="3297" w:type="dxa"/>
            <w:vAlign w:val="top"/>
          </w:tcPr>
          <w:p w14:paraId="39C1A7D3">
            <w:pPr>
              <w:pStyle w:val="6"/>
              <w:spacing w:before="54" w:line="243" w:lineRule="auto"/>
              <w:ind w:left="741" w:right="618" w:hanging="155"/>
              <w:rPr>
                <w:sz w:val="21"/>
                <w:szCs w:val="21"/>
              </w:rPr>
            </w:pPr>
            <w:r>
              <w:rPr>
                <w:color w:val="FF0000"/>
                <w:spacing w:val="-2"/>
                <w:sz w:val="21"/>
                <w:szCs w:val="21"/>
              </w:rPr>
              <w:t>《电磁环境控制限值》</w:t>
            </w:r>
            <w:r>
              <w:rPr>
                <w:color w:val="FF0000"/>
                <w:spacing w:val="1"/>
                <w:sz w:val="21"/>
                <w:szCs w:val="21"/>
              </w:rPr>
              <w:t xml:space="preserve"> </w:t>
            </w:r>
            <w:r>
              <w:rPr>
                <w:color w:val="FF0000"/>
                <w:spacing w:val="-6"/>
                <w:sz w:val="21"/>
                <w:szCs w:val="21"/>
              </w:rPr>
              <w:t>(GB8702—2014)限值</w:t>
            </w:r>
          </w:p>
        </w:tc>
        <w:tc>
          <w:tcPr>
            <w:tcW w:w="1858" w:type="dxa"/>
            <w:vAlign w:val="top"/>
          </w:tcPr>
          <w:p w14:paraId="51D1A915">
            <w:pPr>
              <w:pStyle w:val="6"/>
              <w:spacing w:before="220" w:line="224" w:lineRule="auto"/>
              <w:ind w:left="503"/>
              <w:rPr>
                <w:sz w:val="21"/>
                <w:szCs w:val="21"/>
              </w:rPr>
            </w:pPr>
            <w:r>
              <w:rPr>
                <w:color w:val="FF0000"/>
                <w:spacing w:val="-2"/>
                <w:sz w:val="21"/>
                <w:szCs w:val="21"/>
              </w:rPr>
              <w:t>4000V/</w:t>
            </w:r>
            <w:r>
              <w:rPr>
                <w:color w:val="FF0020"/>
                <w:spacing w:val="-2"/>
                <w:sz w:val="21"/>
                <w:szCs w:val="21"/>
              </w:rPr>
              <w:t>m</w:t>
            </w:r>
          </w:p>
        </w:tc>
        <w:tc>
          <w:tcPr>
            <w:tcW w:w="1688" w:type="dxa"/>
            <w:vAlign w:val="top"/>
          </w:tcPr>
          <w:p w14:paraId="2723482E">
            <w:pPr>
              <w:pStyle w:val="6"/>
              <w:spacing w:before="265" w:line="184" w:lineRule="auto"/>
              <w:ind w:left="545"/>
              <w:rPr>
                <w:sz w:val="21"/>
                <w:szCs w:val="21"/>
              </w:rPr>
            </w:pPr>
            <w:r>
              <w:rPr>
                <w:color w:val="FF0000"/>
                <w:spacing w:val="-4"/>
                <w:sz w:val="21"/>
                <w:szCs w:val="21"/>
              </w:rPr>
              <w:t>100μT</w:t>
            </w:r>
          </w:p>
        </w:tc>
        <w:tc>
          <w:tcPr>
            <w:tcW w:w="1643" w:type="dxa"/>
            <w:vAlign w:val="top"/>
          </w:tcPr>
          <w:p w14:paraId="2DC79B78">
            <w:pPr>
              <w:pStyle w:val="6"/>
              <w:spacing w:before="265" w:line="184" w:lineRule="auto"/>
              <w:ind w:left="497"/>
              <w:rPr>
                <w:sz w:val="21"/>
                <w:szCs w:val="21"/>
              </w:rPr>
            </w:pPr>
            <w:r>
              <w:rPr>
                <w:color w:val="FF0000"/>
                <w:spacing w:val="-4"/>
                <w:sz w:val="21"/>
                <w:szCs w:val="21"/>
              </w:rPr>
              <w:t>100μT</w:t>
            </w:r>
          </w:p>
        </w:tc>
      </w:tr>
      <w:tr w14:paraId="53EC0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051" w:type="dxa"/>
            <w:gridSpan w:val="2"/>
            <w:vAlign w:val="top"/>
          </w:tcPr>
          <w:p w14:paraId="68C3C1D2">
            <w:pPr>
              <w:pStyle w:val="6"/>
              <w:spacing w:before="58" w:line="215" w:lineRule="auto"/>
              <w:ind w:left="1584"/>
              <w:rPr>
                <w:sz w:val="21"/>
                <w:szCs w:val="21"/>
              </w:rPr>
            </w:pPr>
            <w:r>
              <w:rPr>
                <w:color w:val="FF0000"/>
                <w:spacing w:val="-2"/>
                <w:sz w:val="21"/>
                <w:szCs w:val="21"/>
              </w:rPr>
              <w:t>达标情况</w:t>
            </w:r>
          </w:p>
        </w:tc>
        <w:tc>
          <w:tcPr>
            <w:tcW w:w="1858" w:type="dxa"/>
            <w:vAlign w:val="top"/>
          </w:tcPr>
          <w:p w14:paraId="31B51113">
            <w:pPr>
              <w:pStyle w:val="6"/>
              <w:spacing w:before="58" w:line="215" w:lineRule="auto"/>
              <w:ind w:left="684"/>
              <w:rPr>
                <w:sz w:val="21"/>
                <w:szCs w:val="21"/>
              </w:rPr>
            </w:pPr>
            <w:r>
              <w:rPr>
                <w:color w:val="FF0000"/>
                <w:spacing w:val="-2"/>
                <w:sz w:val="21"/>
                <w:szCs w:val="21"/>
              </w:rPr>
              <w:t>达标</w:t>
            </w:r>
          </w:p>
        </w:tc>
        <w:tc>
          <w:tcPr>
            <w:tcW w:w="1688" w:type="dxa"/>
            <w:vAlign w:val="top"/>
          </w:tcPr>
          <w:p w14:paraId="720B9548">
            <w:pPr>
              <w:pStyle w:val="6"/>
              <w:spacing w:before="58" w:line="215" w:lineRule="auto"/>
              <w:ind w:left="596"/>
              <w:rPr>
                <w:sz w:val="21"/>
                <w:szCs w:val="21"/>
              </w:rPr>
            </w:pPr>
            <w:r>
              <w:rPr>
                <w:color w:val="FF0000"/>
                <w:spacing w:val="-2"/>
                <w:sz w:val="21"/>
                <w:szCs w:val="21"/>
              </w:rPr>
              <w:t>达标</w:t>
            </w:r>
          </w:p>
        </w:tc>
        <w:tc>
          <w:tcPr>
            <w:tcW w:w="1643" w:type="dxa"/>
            <w:vAlign w:val="top"/>
          </w:tcPr>
          <w:p w14:paraId="7FF4345C">
            <w:pPr>
              <w:pStyle w:val="6"/>
              <w:spacing w:before="58" w:line="215" w:lineRule="auto"/>
              <w:ind w:left="608"/>
              <w:rPr>
                <w:sz w:val="21"/>
                <w:szCs w:val="21"/>
              </w:rPr>
            </w:pPr>
            <w:r>
              <w:rPr>
                <w:color w:val="FF0010"/>
                <w:spacing w:val="-2"/>
                <w:sz w:val="21"/>
                <w:szCs w:val="21"/>
              </w:rPr>
              <w:t>达标</w:t>
            </w:r>
          </w:p>
        </w:tc>
      </w:tr>
    </w:tbl>
    <w:p w14:paraId="73C31E6B">
      <w:pPr>
        <w:spacing w:before="102" w:line="218" w:lineRule="auto"/>
        <w:ind w:left="1125"/>
        <w:rPr>
          <w:rFonts w:ascii="宋体" w:hAnsi="宋体" w:eastAsia="宋体" w:cs="宋体"/>
          <w:sz w:val="24"/>
          <w:szCs w:val="24"/>
        </w:rPr>
      </w:pPr>
      <w:r>
        <w:rPr>
          <w:rFonts w:ascii="宋体" w:hAnsi="宋体" w:eastAsia="宋体" w:cs="宋体"/>
          <w:color w:val="FF0000"/>
          <w:spacing w:val="6"/>
          <w:sz w:val="24"/>
          <w:szCs w:val="24"/>
        </w:rPr>
        <w:t>(6)运行期升压站电磁环境影响预测评价</w:t>
      </w:r>
    </w:p>
    <w:p w14:paraId="50F8C9B6">
      <w:pPr>
        <w:spacing w:before="195" w:line="357" w:lineRule="auto"/>
        <w:ind w:left="504" w:right="465" w:firstLine="480"/>
        <w:rPr>
          <w:rFonts w:ascii="宋体" w:hAnsi="宋体" w:eastAsia="宋体" w:cs="宋体"/>
          <w:sz w:val="24"/>
          <w:szCs w:val="24"/>
        </w:rPr>
      </w:pPr>
      <w:r>
        <w:rPr>
          <w:rFonts w:ascii="宋体" w:hAnsi="宋体" w:eastAsia="宋体" w:cs="宋体"/>
          <w:color w:val="FF0000"/>
          <w:spacing w:val="-3"/>
          <w:sz w:val="24"/>
          <w:szCs w:val="24"/>
        </w:rPr>
        <w:t>根据本项目拟建升压站与类比工程的类比可行性分析，云南省槟榔江猴桥水</w:t>
      </w:r>
      <w:r>
        <w:rPr>
          <w:rFonts w:ascii="宋体" w:hAnsi="宋体" w:eastAsia="宋体" w:cs="宋体"/>
          <w:color w:val="FF0000"/>
          <w:sz w:val="24"/>
          <w:szCs w:val="24"/>
        </w:rPr>
        <w:t xml:space="preserve"> </w:t>
      </w:r>
      <w:r>
        <w:rPr>
          <w:rFonts w:ascii="宋体" w:hAnsi="宋体" w:eastAsia="宋体" w:cs="宋体"/>
          <w:color w:val="FF0000"/>
          <w:spacing w:val="5"/>
          <w:sz w:val="24"/>
          <w:szCs w:val="24"/>
        </w:rPr>
        <w:t>电站110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21"/>
          <w:sz w:val="24"/>
          <w:szCs w:val="24"/>
        </w:rPr>
        <w:t xml:space="preserve"> </w:t>
      </w:r>
      <w:r>
        <w:rPr>
          <w:rFonts w:ascii="宋体" w:hAnsi="宋体" w:eastAsia="宋体" w:cs="宋体"/>
          <w:color w:val="FF0000"/>
          <w:spacing w:val="5"/>
          <w:sz w:val="24"/>
          <w:szCs w:val="24"/>
        </w:rPr>
        <w:t>升压站电磁辐射监测结果能够代表本项目升压站运营后的电</w:t>
      </w:r>
      <w:r>
        <w:rPr>
          <w:rFonts w:ascii="宋体" w:hAnsi="宋体" w:eastAsia="宋体" w:cs="宋体"/>
          <w:color w:val="FF0000"/>
          <w:spacing w:val="4"/>
          <w:sz w:val="24"/>
          <w:szCs w:val="24"/>
        </w:rPr>
        <w:t>磁环境</w:t>
      </w:r>
      <w:r>
        <w:rPr>
          <w:rFonts w:ascii="宋体" w:hAnsi="宋体" w:eastAsia="宋体" w:cs="宋体"/>
          <w:color w:val="FF0000"/>
          <w:sz w:val="24"/>
          <w:szCs w:val="24"/>
        </w:rPr>
        <w:t xml:space="preserve"> </w:t>
      </w:r>
      <w:r>
        <w:rPr>
          <w:rFonts w:ascii="宋体" w:hAnsi="宋体" w:eastAsia="宋体" w:cs="宋体"/>
          <w:color w:val="FF0000"/>
          <w:spacing w:val="-7"/>
          <w:sz w:val="24"/>
          <w:szCs w:val="24"/>
        </w:rPr>
        <w:t>影响，根据上述类比监测结果，叠加项目拟建升压站各场址电磁辐射现状监测值，</w:t>
      </w:r>
      <w:r>
        <w:rPr>
          <w:rFonts w:ascii="宋体" w:hAnsi="宋体" w:eastAsia="宋体" w:cs="宋体"/>
          <w:color w:val="FF0000"/>
          <w:spacing w:val="1"/>
          <w:sz w:val="24"/>
          <w:szCs w:val="24"/>
        </w:rPr>
        <w:t xml:space="preserve"> </w:t>
      </w:r>
      <w:r>
        <w:rPr>
          <w:rFonts w:ascii="宋体" w:hAnsi="宋体" w:eastAsia="宋体" w:cs="宋体"/>
          <w:color w:val="FF0000"/>
          <w:sz w:val="24"/>
          <w:szCs w:val="24"/>
        </w:rPr>
        <w:t>可以得出项目拟建升压站建成运营后各场界的工频电场</w:t>
      </w:r>
      <w:r>
        <w:rPr>
          <w:rFonts w:ascii="宋体" w:hAnsi="宋体" w:eastAsia="宋体" w:cs="宋体"/>
          <w:color w:val="FF0000"/>
          <w:spacing w:val="-1"/>
          <w:sz w:val="24"/>
          <w:szCs w:val="24"/>
        </w:rPr>
        <w:t>强度、工频磁感应强度，</w:t>
      </w:r>
      <w:r>
        <w:rPr>
          <w:rFonts w:ascii="宋体" w:hAnsi="宋体" w:eastAsia="宋体" w:cs="宋体"/>
          <w:color w:val="FF0000"/>
          <w:sz w:val="24"/>
          <w:szCs w:val="24"/>
        </w:rPr>
        <w:t xml:space="preserve"> </w:t>
      </w:r>
      <w:r>
        <w:rPr>
          <w:rFonts w:ascii="宋体" w:hAnsi="宋体" w:eastAsia="宋体" w:cs="宋体"/>
          <w:color w:val="FF0000"/>
          <w:spacing w:val="3"/>
          <w:sz w:val="24"/>
          <w:szCs w:val="24"/>
        </w:rPr>
        <w:t>详见表3-8。</w:t>
      </w:r>
    </w:p>
    <w:p w14:paraId="5AB0035B">
      <w:pPr>
        <w:spacing w:before="63" w:line="224" w:lineRule="auto"/>
        <w:ind w:left="875"/>
        <w:rPr>
          <w:rFonts w:ascii="宋体" w:hAnsi="宋体" w:eastAsia="宋体" w:cs="宋体"/>
          <w:sz w:val="24"/>
          <w:szCs w:val="24"/>
        </w:rPr>
      </w:pPr>
      <w:r>
        <w:rPr>
          <w:rFonts w:ascii="仿宋" w:hAnsi="仿宋" w:eastAsia="仿宋" w:cs="仿宋"/>
          <w:color w:val="FF0000"/>
          <w:spacing w:val="3"/>
          <w:sz w:val="24"/>
          <w:szCs w:val="24"/>
        </w:rPr>
        <w:t>表</w:t>
      </w:r>
      <w:r>
        <w:rPr>
          <w:rFonts w:ascii="仿宋" w:hAnsi="仿宋" w:eastAsia="仿宋" w:cs="仿宋"/>
          <w:color w:val="FF0000"/>
          <w:spacing w:val="-62"/>
          <w:sz w:val="24"/>
          <w:szCs w:val="24"/>
        </w:rPr>
        <w:t xml:space="preserve"> </w:t>
      </w:r>
      <w:r>
        <w:rPr>
          <w:rFonts w:ascii="宋体" w:hAnsi="宋体" w:eastAsia="宋体" w:cs="宋体"/>
          <w:color w:val="FF0000"/>
          <w:spacing w:val="3"/>
          <w:sz w:val="24"/>
          <w:szCs w:val="24"/>
        </w:rPr>
        <w:t>3-8</w:t>
      </w:r>
      <w:r>
        <w:rPr>
          <w:rFonts w:ascii="宋体" w:hAnsi="宋体" w:eastAsia="宋体" w:cs="宋体"/>
          <w:color w:val="FF0000"/>
          <w:spacing w:val="57"/>
          <w:sz w:val="24"/>
          <w:szCs w:val="24"/>
        </w:rPr>
        <w:t xml:space="preserve">  </w:t>
      </w:r>
      <w:r>
        <w:rPr>
          <w:rFonts w:ascii="宋体" w:hAnsi="宋体" w:eastAsia="宋体" w:cs="宋体"/>
          <w:color w:val="FF0000"/>
          <w:spacing w:val="3"/>
          <w:sz w:val="24"/>
          <w:szCs w:val="24"/>
        </w:rPr>
        <w:t>项目110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21"/>
          <w:sz w:val="24"/>
          <w:szCs w:val="24"/>
        </w:rPr>
        <w:t xml:space="preserve"> </w:t>
      </w:r>
      <w:r>
        <w:rPr>
          <w:rFonts w:ascii="宋体" w:hAnsi="宋体" w:eastAsia="宋体" w:cs="宋体"/>
          <w:color w:val="FF0000"/>
          <w:spacing w:val="3"/>
          <w:sz w:val="24"/>
          <w:szCs w:val="24"/>
        </w:rPr>
        <w:t>升压站各场界工频电场、工频磁场</w:t>
      </w:r>
      <w:r>
        <w:rPr>
          <w:rFonts w:ascii="宋体" w:hAnsi="宋体" w:eastAsia="宋体" w:cs="宋体"/>
          <w:color w:val="FF0000"/>
          <w:spacing w:val="2"/>
          <w:sz w:val="24"/>
          <w:szCs w:val="24"/>
        </w:rPr>
        <w:t>预测结果一览表</w:t>
      </w:r>
    </w:p>
    <w:p w14:paraId="4E689F14">
      <w:pPr>
        <w:spacing w:line="23" w:lineRule="exact"/>
      </w:pPr>
    </w:p>
    <w:tbl>
      <w:tblPr>
        <w:tblStyle w:val="5"/>
        <w:tblW w:w="93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72"/>
        <w:gridCol w:w="1129"/>
        <w:gridCol w:w="1109"/>
        <w:gridCol w:w="1099"/>
        <w:gridCol w:w="1118"/>
        <w:gridCol w:w="949"/>
        <w:gridCol w:w="874"/>
      </w:tblGrid>
      <w:tr w14:paraId="71B2B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072" w:type="dxa"/>
            <w:vMerge w:val="restart"/>
            <w:tcBorders>
              <w:bottom w:val="nil"/>
            </w:tcBorders>
            <w:vAlign w:val="top"/>
          </w:tcPr>
          <w:p w14:paraId="5532C567">
            <w:pPr>
              <w:spacing w:line="460" w:lineRule="auto"/>
              <w:rPr>
                <w:rFonts w:ascii="Arial"/>
                <w:sz w:val="21"/>
              </w:rPr>
            </w:pPr>
          </w:p>
          <w:p w14:paraId="00124A1B">
            <w:pPr>
              <w:pStyle w:val="6"/>
              <w:spacing w:before="68" w:line="220" w:lineRule="auto"/>
              <w:ind w:left="1108"/>
              <w:rPr>
                <w:sz w:val="21"/>
                <w:szCs w:val="21"/>
              </w:rPr>
            </w:pPr>
            <w:r>
              <w:rPr>
                <w:b/>
                <w:bCs/>
                <w:color w:val="FF0000"/>
                <w:spacing w:val="-5"/>
                <w:sz w:val="21"/>
                <w:szCs w:val="21"/>
              </w:rPr>
              <w:t>预测点位</w:t>
            </w:r>
          </w:p>
        </w:tc>
        <w:tc>
          <w:tcPr>
            <w:tcW w:w="6278" w:type="dxa"/>
            <w:gridSpan w:val="6"/>
            <w:vAlign w:val="top"/>
          </w:tcPr>
          <w:p w14:paraId="299DB986">
            <w:pPr>
              <w:pStyle w:val="6"/>
              <w:spacing w:before="51" w:line="220" w:lineRule="auto"/>
              <w:ind w:left="2716"/>
              <w:rPr>
                <w:sz w:val="21"/>
                <w:szCs w:val="21"/>
              </w:rPr>
            </w:pPr>
            <w:r>
              <w:rPr>
                <w:b/>
                <w:bCs/>
                <w:color w:val="FF0000"/>
                <w:spacing w:val="-4"/>
                <w:sz w:val="21"/>
                <w:szCs w:val="21"/>
              </w:rPr>
              <w:t>监测结果</w:t>
            </w:r>
          </w:p>
        </w:tc>
      </w:tr>
      <w:tr w14:paraId="3A073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072" w:type="dxa"/>
            <w:vMerge w:val="continue"/>
            <w:tcBorders>
              <w:top w:val="nil"/>
              <w:bottom w:val="nil"/>
            </w:tcBorders>
            <w:vAlign w:val="top"/>
          </w:tcPr>
          <w:p w14:paraId="7E0C751D">
            <w:pPr>
              <w:rPr>
                <w:rFonts w:ascii="Arial"/>
                <w:sz w:val="21"/>
              </w:rPr>
            </w:pPr>
          </w:p>
        </w:tc>
        <w:tc>
          <w:tcPr>
            <w:tcW w:w="3337" w:type="dxa"/>
            <w:gridSpan w:val="3"/>
            <w:vAlign w:val="top"/>
          </w:tcPr>
          <w:p w14:paraId="502D1C72">
            <w:pPr>
              <w:pStyle w:val="6"/>
              <w:spacing w:before="47" w:line="220" w:lineRule="auto"/>
              <w:ind w:left="636"/>
              <w:rPr>
                <w:sz w:val="21"/>
                <w:szCs w:val="21"/>
              </w:rPr>
            </w:pPr>
            <w:r>
              <w:rPr>
                <w:b/>
                <w:bCs/>
                <w:color w:val="FF0000"/>
                <w:spacing w:val="-4"/>
                <w:sz w:val="21"/>
                <w:szCs w:val="21"/>
              </w:rPr>
              <w:t>工频电场强度(V/m</w:t>
            </w:r>
            <w:r>
              <w:rPr>
                <w:b/>
                <w:bCs/>
                <w:color w:val="FF0020"/>
                <w:spacing w:val="-4"/>
                <w:sz w:val="21"/>
                <w:szCs w:val="21"/>
              </w:rPr>
              <w:t>)</w:t>
            </w:r>
          </w:p>
        </w:tc>
        <w:tc>
          <w:tcPr>
            <w:tcW w:w="2941" w:type="dxa"/>
            <w:gridSpan w:val="3"/>
            <w:vAlign w:val="top"/>
          </w:tcPr>
          <w:p w14:paraId="35A8A0D3">
            <w:pPr>
              <w:pStyle w:val="6"/>
              <w:spacing w:before="47" w:line="220" w:lineRule="auto"/>
              <w:ind w:left="389"/>
              <w:rPr>
                <w:sz w:val="21"/>
                <w:szCs w:val="21"/>
              </w:rPr>
            </w:pPr>
            <w:r>
              <w:rPr>
                <w:b/>
                <w:bCs/>
                <w:color w:val="FF0000"/>
                <w:spacing w:val="-7"/>
                <w:sz w:val="21"/>
                <w:szCs w:val="21"/>
              </w:rPr>
              <w:t>工频磁感应强度(</w:t>
            </w:r>
            <w:r>
              <w:rPr>
                <w:b/>
                <w:bCs/>
                <w:color w:val="FF0010"/>
                <w:spacing w:val="-7"/>
                <w:sz w:val="21"/>
                <w:szCs w:val="21"/>
              </w:rPr>
              <w:t>μT)</w:t>
            </w:r>
          </w:p>
        </w:tc>
      </w:tr>
      <w:tr w14:paraId="14848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072" w:type="dxa"/>
            <w:vMerge w:val="continue"/>
            <w:tcBorders>
              <w:top w:val="nil"/>
            </w:tcBorders>
            <w:vAlign w:val="top"/>
          </w:tcPr>
          <w:p w14:paraId="70F3C045">
            <w:pPr>
              <w:rPr>
                <w:rFonts w:ascii="Arial"/>
                <w:sz w:val="21"/>
              </w:rPr>
            </w:pPr>
          </w:p>
        </w:tc>
        <w:tc>
          <w:tcPr>
            <w:tcW w:w="1129" w:type="dxa"/>
            <w:vAlign w:val="top"/>
          </w:tcPr>
          <w:p w14:paraId="576F45F3">
            <w:pPr>
              <w:pStyle w:val="6"/>
              <w:spacing w:before="57" w:line="219" w:lineRule="auto"/>
              <w:ind w:left="135"/>
              <w:rPr>
                <w:sz w:val="21"/>
                <w:szCs w:val="21"/>
              </w:rPr>
            </w:pPr>
            <w:r>
              <w:rPr>
                <w:b/>
                <w:bCs/>
                <w:color w:val="FF0000"/>
                <w:spacing w:val="-4"/>
                <w:sz w:val="21"/>
                <w:szCs w:val="21"/>
              </w:rPr>
              <w:t>类比结果</w:t>
            </w:r>
          </w:p>
          <w:p w14:paraId="5EC62409">
            <w:pPr>
              <w:pStyle w:val="6"/>
              <w:spacing w:before="60" w:line="219" w:lineRule="auto"/>
              <w:ind w:left="456"/>
              <w:rPr>
                <w:sz w:val="21"/>
                <w:szCs w:val="21"/>
              </w:rPr>
            </w:pPr>
            <w:r>
              <w:rPr>
                <w:b/>
                <w:bCs/>
                <w:color w:val="FF0000"/>
                <w:spacing w:val="-3"/>
                <w:sz w:val="21"/>
                <w:szCs w:val="21"/>
              </w:rPr>
              <w:t>值</w:t>
            </w:r>
          </w:p>
        </w:tc>
        <w:tc>
          <w:tcPr>
            <w:tcW w:w="1109" w:type="dxa"/>
            <w:vAlign w:val="top"/>
          </w:tcPr>
          <w:p w14:paraId="7A0843D9">
            <w:pPr>
              <w:pStyle w:val="6"/>
              <w:spacing w:before="207" w:line="219" w:lineRule="auto"/>
              <w:ind w:left="237"/>
              <w:rPr>
                <w:sz w:val="21"/>
                <w:szCs w:val="21"/>
              </w:rPr>
            </w:pPr>
            <w:r>
              <w:rPr>
                <w:b/>
                <w:bCs/>
                <w:color w:val="FF0000"/>
                <w:spacing w:val="-5"/>
                <w:sz w:val="21"/>
                <w:szCs w:val="21"/>
              </w:rPr>
              <w:t>背景值</w:t>
            </w:r>
          </w:p>
        </w:tc>
        <w:tc>
          <w:tcPr>
            <w:tcW w:w="1099" w:type="dxa"/>
            <w:vAlign w:val="top"/>
          </w:tcPr>
          <w:p w14:paraId="2382DAB2">
            <w:pPr>
              <w:pStyle w:val="6"/>
              <w:spacing w:before="207" w:line="219" w:lineRule="auto"/>
              <w:ind w:left="218"/>
              <w:rPr>
                <w:sz w:val="21"/>
                <w:szCs w:val="21"/>
              </w:rPr>
            </w:pPr>
            <w:r>
              <w:rPr>
                <w:b/>
                <w:bCs/>
                <w:color w:val="FF0000"/>
                <w:spacing w:val="-5"/>
                <w:sz w:val="21"/>
                <w:szCs w:val="21"/>
              </w:rPr>
              <w:t>预测值</w:t>
            </w:r>
          </w:p>
        </w:tc>
        <w:tc>
          <w:tcPr>
            <w:tcW w:w="1118" w:type="dxa"/>
            <w:vAlign w:val="top"/>
          </w:tcPr>
          <w:p w14:paraId="626F3407">
            <w:pPr>
              <w:pStyle w:val="6"/>
              <w:spacing w:before="66" w:line="242" w:lineRule="auto"/>
              <w:ind w:left="239" w:right="137" w:hanging="100"/>
              <w:rPr>
                <w:sz w:val="21"/>
                <w:szCs w:val="21"/>
              </w:rPr>
            </w:pPr>
            <w:r>
              <w:rPr>
                <w:b/>
                <w:bCs/>
                <w:color w:val="FF0000"/>
                <w:spacing w:val="-5"/>
                <w:sz w:val="21"/>
                <w:szCs w:val="21"/>
              </w:rPr>
              <w:t>类比结果</w:t>
            </w:r>
            <w:r>
              <w:rPr>
                <w:color w:val="FF0000"/>
                <w:spacing w:val="1"/>
                <w:sz w:val="21"/>
                <w:szCs w:val="21"/>
              </w:rPr>
              <w:t xml:space="preserve"> </w:t>
            </w:r>
            <w:r>
              <w:rPr>
                <w:b/>
                <w:bCs/>
                <w:color w:val="FF0000"/>
                <w:spacing w:val="-5"/>
                <w:sz w:val="21"/>
                <w:szCs w:val="21"/>
              </w:rPr>
              <w:t>校核值</w:t>
            </w:r>
          </w:p>
        </w:tc>
        <w:tc>
          <w:tcPr>
            <w:tcW w:w="949" w:type="dxa"/>
            <w:vAlign w:val="top"/>
          </w:tcPr>
          <w:p w14:paraId="31518198">
            <w:pPr>
              <w:pStyle w:val="6"/>
              <w:spacing w:before="207" w:line="219" w:lineRule="auto"/>
              <w:ind w:left="161"/>
              <w:rPr>
                <w:sz w:val="21"/>
                <w:szCs w:val="21"/>
              </w:rPr>
            </w:pPr>
            <w:r>
              <w:rPr>
                <w:b/>
                <w:bCs/>
                <w:color w:val="FF0000"/>
                <w:spacing w:val="-7"/>
                <w:sz w:val="21"/>
                <w:szCs w:val="21"/>
              </w:rPr>
              <w:t>背</w:t>
            </w:r>
            <w:r>
              <w:rPr>
                <w:b/>
                <w:bCs/>
                <w:color w:val="FF0020"/>
                <w:spacing w:val="-7"/>
                <w:sz w:val="21"/>
                <w:szCs w:val="21"/>
              </w:rPr>
              <w:t>景值</w:t>
            </w:r>
          </w:p>
        </w:tc>
        <w:tc>
          <w:tcPr>
            <w:tcW w:w="874" w:type="dxa"/>
            <w:vAlign w:val="top"/>
          </w:tcPr>
          <w:p w14:paraId="1C0EC994">
            <w:pPr>
              <w:pStyle w:val="6"/>
              <w:spacing w:before="207" w:line="219" w:lineRule="auto"/>
              <w:ind w:left="161"/>
              <w:rPr>
                <w:sz w:val="21"/>
                <w:szCs w:val="21"/>
              </w:rPr>
            </w:pPr>
            <w:r>
              <w:rPr>
                <w:b/>
                <w:bCs/>
                <w:color w:val="FF0000"/>
                <w:spacing w:val="-5"/>
                <w:sz w:val="21"/>
                <w:szCs w:val="21"/>
              </w:rPr>
              <w:t>预测值</w:t>
            </w:r>
          </w:p>
        </w:tc>
      </w:tr>
      <w:tr w14:paraId="6B117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072" w:type="dxa"/>
            <w:vAlign w:val="top"/>
          </w:tcPr>
          <w:p w14:paraId="2A1B8B2A">
            <w:pPr>
              <w:pStyle w:val="6"/>
              <w:spacing w:before="52" w:line="217" w:lineRule="auto"/>
              <w:ind w:left="214"/>
              <w:rPr>
                <w:sz w:val="21"/>
                <w:szCs w:val="21"/>
              </w:rPr>
            </w:pPr>
            <w:r>
              <w:rPr>
                <w:color w:val="FF0010"/>
                <w:sz w:val="21"/>
                <w:szCs w:val="21"/>
              </w:rPr>
              <w:t>拟建110kV升压站场界北</w:t>
            </w:r>
            <w:r>
              <w:rPr>
                <w:color w:val="FF0000"/>
                <w:sz w:val="21"/>
                <w:szCs w:val="21"/>
              </w:rPr>
              <w:t>5m处</w:t>
            </w:r>
          </w:p>
        </w:tc>
        <w:tc>
          <w:tcPr>
            <w:tcW w:w="1129" w:type="dxa"/>
            <w:vAlign w:val="top"/>
          </w:tcPr>
          <w:p w14:paraId="2612D170">
            <w:pPr>
              <w:pStyle w:val="6"/>
              <w:spacing w:before="74" w:line="197" w:lineRule="auto"/>
              <w:ind w:left="293"/>
              <w:rPr>
                <w:sz w:val="21"/>
                <w:szCs w:val="21"/>
              </w:rPr>
            </w:pPr>
            <w:r>
              <w:rPr>
                <w:color w:val="FF0020"/>
                <w:spacing w:val="-2"/>
                <w:sz w:val="21"/>
                <w:szCs w:val="21"/>
              </w:rPr>
              <w:t>486.9</w:t>
            </w:r>
          </w:p>
        </w:tc>
        <w:tc>
          <w:tcPr>
            <w:tcW w:w="1109" w:type="dxa"/>
            <w:vAlign w:val="top"/>
          </w:tcPr>
          <w:p w14:paraId="01C0F178">
            <w:pPr>
              <w:pStyle w:val="6"/>
              <w:spacing w:before="106" w:line="169" w:lineRule="auto"/>
              <w:ind w:left="444"/>
              <w:rPr>
                <w:sz w:val="21"/>
                <w:szCs w:val="21"/>
              </w:rPr>
            </w:pPr>
            <w:r>
              <w:rPr>
                <w:color w:val="FF0010"/>
                <w:spacing w:val="-6"/>
                <w:sz w:val="21"/>
                <w:szCs w:val="21"/>
              </w:rPr>
              <w:t>1L</w:t>
            </w:r>
          </w:p>
        </w:tc>
        <w:tc>
          <w:tcPr>
            <w:tcW w:w="1099" w:type="dxa"/>
            <w:vAlign w:val="top"/>
          </w:tcPr>
          <w:p w14:paraId="7D12B612">
            <w:pPr>
              <w:pStyle w:val="6"/>
              <w:spacing w:before="74" w:line="197" w:lineRule="auto"/>
              <w:ind w:left="495"/>
              <w:rPr>
                <w:sz w:val="21"/>
                <w:szCs w:val="21"/>
              </w:rPr>
            </w:pPr>
            <w:r>
              <w:rPr>
                <w:color w:val="FF0020"/>
                <w:spacing w:val="-2"/>
                <w:sz w:val="21"/>
                <w:szCs w:val="21"/>
              </w:rPr>
              <w:t>487.</w:t>
            </w:r>
            <w:r>
              <w:rPr>
                <w:color w:val="FF0000"/>
                <w:spacing w:val="-2"/>
                <w:sz w:val="21"/>
                <w:szCs w:val="21"/>
              </w:rPr>
              <w:t>9</w:t>
            </w:r>
          </w:p>
        </w:tc>
        <w:tc>
          <w:tcPr>
            <w:tcW w:w="1118" w:type="dxa"/>
            <w:vAlign w:val="top"/>
          </w:tcPr>
          <w:p w14:paraId="2F663521">
            <w:pPr>
              <w:pStyle w:val="6"/>
              <w:spacing w:before="74" w:line="197" w:lineRule="auto"/>
              <w:ind w:left="236"/>
              <w:rPr>
                <w:sz w:val="21"/>
                <w:szCs w:val="21"/>
              </w:rPr>
            </w:pPr>
            <w:r>
              <w:rPr>
                <w:color w:val="FF0000"/>
                <w:spacing w:val="-3"/>
                <w:sz w:val="21"/>
                <w:szCs w:val="21"/>
              </w:rPr>
              <w:t>11.</w:t>
            </w:r>
            <w:r>
              <w:rPr>
                <w:color w:val="FF0030"/>
                <w:spacing w:val="-3"/>
                <w:sz w:val="21"/>
                <w:szCs w:val="21"/>
              </w:rPr>
              <w:t>873</w:t>
            </w:r>
          </w:p>
        </w:tc>
        <w:tc>
          <w:tcPr>
            <w:tcW w:w="949" w:type="dxa"/>
            <w:vAlign w:val="top"/>
          </w:tcPr>
          <w:p w14:paraId="2568C7DE">
            <w:pPr>
              <w:pStyle w:val="6"/>
              <w:spacing w:before="74" w:line="197" w:lineRule="auto"/>
              <w:ind w:left="208"/>
              <w:rPr>
                <w:sz w:val="21"/>
                <w:szCs w:val="21"/>
              </w:rPr>
            </w:pPr>
            <w:r>
              <w:rPr>
                <w:color w:val="FF0000"/>
                <w:spacing w:val="-2"/>
                <w:sz w:val="21"/>
                <w:szCs w:val="21"/>
              </w:rPr>
              <w:t>0.067</w:t>
            </w:r>
          </w:p>
        </w:tc>
        <w:tc>
          <w:tcPr>
            <w:tcW w:w="874" w:type="dxa"/>
            <w:vAlign w:val="top"/>
          </w:tcPr>
          <w:p w14:paraId="541450C8">
            <w:pPr>
              <w:pStyle w:val="6"/>
              <w:spacing w:before="74" w:line="197" w:lineRule="auto"/>
              <w:ind w:left="269"/>
              <w:rPr>
                <w:sz w:val="21"/>
                <w:szCs w:val="21"/>
              </w:rPr>
            </w:pPr>
            <w:r>
              <w:rPr>
                <w:color w:val="FF0000"/>
                <w:spacing w:val="-3"/>
                <w:sz w:val="21"/>
                <w:szCs w:val="21"/>
              </w:rPr>
              <w:t>11.</w:t>
            </w:r>
            <w:r>
              <w:rPr>
                <w:color w:val="FF1000"/>
                <w:spacing w:val="-3"/>
                <w:sz w:val="21"/>
                <w:szCs w:val="21"/>
              </w:rPr>
              <w:t>94</w:t>
            </w:r>
          </w:p>
        </w:tc>
      </w:tr>
      <w:tr w14:paraId="38804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072" w:type="dxa"/>
            <w:vAlign w:val="top"/>
          </w:tcPr>
          <w:p w14:paraId="199581BE">
            <w:pPr>
              <w:pStyle w:val="6"/>
              <w:spacing w:before="53" w:line="216" w:lineRule="auto"/>
              <w:ind w:left="214"/>
              <w:rPr>
                <w:sz w:val="21"/>
                <w:szCs w:val="21"/>
              </w:rPr>
            </w:pPr>
            <w:r>
              <w:rPr>
                <w:color w:val="FF0000"/>
                <w:spacing w:val="-1"/>
                <w:sz w:val="21"/>
                <w:szCs w:val="21"/>
              </w:rPr>
              <w:t>拟建110kV升压站场界西5m处</w:t>
            </w:r>
          </w:p>
        </w:tc>
        <w:tc>
          <w:tcPr>
            <w:tcW w:w="1129" w:type="dxa"/>
            <w:vAlign w:val="top"/>
          </w:tcPr>
          <w:p w14:paraId="7A783707">
            <w:pPr>
              <w:pStyle w:val="6"/>
              <w:spacing w:before="76" w:line="196" w:lineRule="auto"/>
              <w:ind w:left="293"/>
              <w:rPr>
                <w:sz w:val="21"/>
                <w:szCs w:val="21"/>
              </w:rPr>
            </w:pPr>
            <w:r>
              <w:rPr>
                <w:color w:val="FF0020"/>
                <w:spacing w:val="-3"/>
                <w:sz w:val="21"/>
                <w:szCs w:val="21"/>
              </w:rPr>
              <w:t>324.</w:t>
            </w:r>
            <w:r>
              <w:rPr>
                <w:color w:val="FF0030"/>
                <w:spacing w:val="-3"/>
                <w:sz w:val="21"/>
                <w:szCs w:val="21"/>
              </w:rPr>
              <w:t>9</w:t>
            </w:r>
          </w:p>
        </w:tc>
        <w:tc>
          <w:tcPr>
            <w:tcW w:w="1109" w:type="dxa"/>
            <w:vAlign w:val="top"/>
          </w:tcPr>
          <w:p w14:paraId="1704F6DC">
            <w:pPr>
              <w:pStyle w:val="6"/>
              <w:spacing w:before="76" w:line="196" w:lineRule="auto"/>
              <w:ind w:left="334"/>
              <w:rPr>
                <w:sz w:val="21"/>
                <w:szCs w:val="21"/>
              </w:rPr>
            </w:pPr>
            <w:r>
              <w:rPr>
                <w:color w:val="FF0020"/>
                <w:spacing w:val="-3"/>
                <w:sz w:val="21"/>
                <w:szCs w:val="21"/>
              </w:rPr>
              <w:t>2.28</w:t>
            </w:r>
          </w:p>
        </w:tc>
        <w:tc>
          <w:tcPr>
            <w:tcW w:w="1099" w:type="dxa"/>
            <w:vAlign w:val="top"/>
          </w:tcPr>
          <w:p w14:paraId="6EF5F53C">
            <w:pPr>
              <w:pStyle w:val="6"/>
              <w:spacing w:before="76" w:line="196" w:lineRule="auto"/>
              <w:ind w:left="385"/>
              <w:rPr>
                <w:sz w:val="21"/>
                <w:szCs w:val="21"/>
              </w:rPr>
            </w:pPr>
            <w:r>
              <w:rPr>
                <w:color w:val="FF0010"/>
                <w:spacing w:val="-4"/>
                <w:sz w:val="21"/>
                <w:szCs w:val="21"/>
              </w:rPr>
              <w:t>327.</w:t>
            </w:r>
            <w:r>
              <w:rPr>
                <w:color w:val="FF0020"/>
                <w:spacing w:val="-4"/>
                <w:sz w:val="21"/>
                <w:szCs w:val="21"/>
              </w:rPr>
              <w:t>18</w:t>
            </w:r>
          </w:p>
        </w:tc>
        <w:tc>
          <w:tcPr>
            <w:tcW w:w="1118" w:type="dxa"/>
            <w:vAlign w:val="top"/>
          </w:tcPr>
          <w:p w14:paraId="09F2BA9C">
            <w:pPr>
              <w:pStyle w:val="6"/>
              <w:spacing w:before="76" w:line="196" w:lineRule="auto"/>
              <w:ind w:left="236"/>
              <w:rPr>
                <w:sz w:val="21"/>
                <w:szCs w:val="21"/>
              </w:rPr>
            </w:pPr>
            <w:r>
              <w:rPr>
                <w:color w:val="FF0010"/>
                <w:spacing w:val="-4"/>
                <w:sz w:val="21"/>
                <w:szCs w:val="21"/>
              </w:rPr>
              <w:t>12.926</w:t>
            </w:r>
          </w:p>
        </w:tc>
        <w:tc>
          <w:tcPr>
            <w:tcW w:w="949" w:type="dxa"/>
            <w:vAlign w:val="top"/>
          </w:tcPr>
          <w:p w14:paraId="2D26BED3">
            <w:pPr>
              <w:pStyle w:val="6"/>
              <w:spacing w:before="76" w:line="196" w:lineRule="auto"/>
              <w:ind w:left="208"/>
              <w:rPr>
                <w:sz w:val="21"/>
                <w:szCs w:val="21"/>
              </w:rPr>
            </w:pPr>
            <w:r>
              <w:rPr>
                <w:color w:val="FF0010"/>
                <w:spacing w:val="-2"/>
                <w:sz w:val="21"/>
                <w:szCs w:val="21"/>
              </w:rPr>
              <w:t>0.064</w:t>
            </w:r>
          </w:p>
        </w:tc>
        <w:tc>
          <w:tcPr>
            <w:tcW w:w="874" w:type="dxa"/>
            <w:vAlign w:val="top"/>
          </w:tcPr>
          <w:p w14:paraId="46F6FC1D">
            <w:pPr>
              <w:pStyle w:val="6"/>
              <w:spacing w:before="76" w:line="196" w:lineRule="auto"/>
              <w:ind w:left="269"/>
              <w:rPr>
                <w:sz w:val="21"/>
                <w:szCs w:val="21"/>
              </w:rPr>
            </w:pPr>
            <w:r>
              <w:rPr>
                <w:color w:val="FF0020"/>
                <w:spacing w:val="-5"/>
                <w:sz w:val="21"/>
                <w:szCs w:val="21"/>
              </w:rPr>
              <w:t>12</w:t>
            </w:r>
            <w:r>
              <w:rPr>
                <w:color w:val="FF0000"/>
                <w:spacing w:val="-5"/>
                <w:sz w:val="21"/>
                <w:szCs w:val="21"/>
              </w:rPr>
              <w:t>.99</w:t>
            </w:r>
          </w:p>
        </w:tc>
      </w:tr>
      <w:tr w14:paraId="7FBBE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072" w:type="dxa"/>
            <w:vAlign w:val="top"/>
          </w:tcPr>
          <w:p w14:paraId="4AE5E25B">
            <w:pPr>
              <w:pStyle w:val="6"/>
              <w:spacing w:before="54" w:line="215" w:lineRule="auto"/>
              <w:ind w:left="214"/>
              <w:rPr>
                <w:sz w:val="21"/>
                <w:szCs w:val="21"/>
              </w:rPr>
            </w:pPr>
            <w:r>
              <w:rPr>
                <w:color w:val="FF0000"/>
                <w:spacing w:val="-1"/>
                <w:sz w:val="21"/>
                <w:szCs w:val="21"/>
              </w:rPr>
              <w:t>拟建110kV升压站场界南5m</w:t>
            </w:r>
            <w:r>
              <w:rPr>
                <w:color w:val="FF0010"/>
                <w:spacing w:val="-1"/>
                <w:sz w:val="21"/>
                <w:szCs w:val="21"/>
              </w:rPr>
              <w:t>处</w:t>
            </w:r>
          </w:p>
        </w:tc>
        <w:tc>
          <w:tcPr>
            <w:tcW w:w="1129" w:type="dxa"/>
            <w:vAlign w:val="top"/>
          </w:tcPr>
          <w:p w14:paraId="061B02B4">
            <w:pPr>
              <w:pStyle w:val="6"/>
              <w:spacing w:before="76" w:line="196" w:lineRule="auto"/>
              <w:ind w:left="293"/>
              <w:rPr>
                <w:sz w:val="21"/>
                <w:szCs w:val="21"/>
              </w:rPr>
            </w:pPr>
            <w:r>
              <w:rPr>
                <w:color w:val="FF0030"/>
                <w:spacing w:val="-4"/>
                <w:sz w:val="21"/>
                <w:szCs w:val="21"/>
              </w:rPr>
              <w:t>71</w:t>
            </w:r>
            <w:r>
              <w:rPr>
                <w:color w:val="FF0010"/>
                <w:spacing w:val="-4"/>
                <w:sz w:val="21"/>
                <w:szCs w:val="21"/>
              </w:rPr>
              <w:t>.</w:t>
            </w:r>
            <w:r>
              <w:rPr>
                <w:color w:val="FF0020"/>
                <w:spacing w:val="-4"/>
                <w:sz w:val="21"/>
                <w:szCs w:val="21"/>
              </w:rPr>
              <w:t>34</w:t>
            </w:r>
          </w:p>
        </w:tc>
        <w:tc>
          <w:tcPr>
            <w:tcW w:w="1109" w:type="dxa"/>
            <w:vAlign w:val="top"/>
          </w:tcPr>
          <w:p w14:paraId="7E2F8C98">
            <w:pPr>
              <w:pStyle w:val="6"/>
              <w:spacing w:before="76" w:line="196" w:lineRule="auto"/>
              <w:ind w:left="334"/>
              <w:rPr>
                <w:sz w:val="21"/>
                <w:szCs w:val="21"/>
              </w:rPr>
            </w:pPr>
            <w:r>
              <w:rPr>
                <w:color w:val="FF0020"/>
                <w:spacing w:val="-3"/>
                <w:sz w:val="21"/>
                <w:szCs w:val="21"/>
              </w:rPr>
              <w:t>6.</w:t>
            </w:r>
            <w:r>
              <w:rPr>
                <w:color w:val="FF0030"/>
                <w:spacing w:val="-3"/>
                <w:sz w:val="21"/>
                <w:szCs w:val="21"/>
              </w:rPr>
              <w:t>06</w:t>
            </w:r>
          </w:p>
        </w:tc>
        <w:tc>
          <w:tcPr>
            <w:tcW w:w="1099" w:type="dxa"/>
            <w:vAlign w:val="top"/>
          </w:tcPr>
          <w:p w14:paraId="0B2AD637">
            <w:pPr>
              <w:pStyle w:val="6"/>
              <w:spacing w:before="76" w:line="196" w:lineRule="auto"/>
              <w:ind w:left="594"/>
              <w:rPr>
                <w:sz w:val="21"/>
                <w:szCs w:val="21"/>
              </w:rPr>
            </w:pPr>
            <w:r>
              <w:rPr>
                <w:color w:val="FF0020"/>
                <w:spacing w:val="-3"/>
                <w:sz w:val="21"/>
                <w:szCs w:val="21"/>
              </w:rPr>
              <w:t>77.4</w:t>
            </w:r>
          </w:p>
        </w:tc>
        <w:tc>
          <w:tcPr>
            <w:tcW w:w="1118" w:type="dxa"/>
            <w:vAlign w:val="top"/>
          </w:tcPr>
          <w:p w14:paraId="1DF5330A">
            <w:pPr>
              <w:pStyle w:val="6"/>
              <w:spacing w:before="76" w:line="196" w:lineRule="auto"/>
              <w:ind w:left="286"/>
              <w:rPr>
                <w:sz w:val="21"/>
                <w:szCs w:val="21"/>
              </w:rPr>
            </w:pPr>
            <w:r>
              <w:rPr>
                <w:color w:val="FF0030"/>
                <w:spacing w:val="-3"/>
                <w:sz w:val="21"/>
                <w:szCs w:val="21"/>
              </w:rPr>
              <w:t>20</w:t>
            </w:r>
            <w:r>
              <w:rPr>
                <w:color w:val="FF0040"/>
                <w:spacing w:val="-3"/>
                <w:sz w:val="21"/>
                <w:szCs w:val="21"/>
              </w:rPr>
              <w:t>.</w:t>
            </w:r>
            <w:r>
              <w:rPr>
                <w:color w:val="FF0010"/>
                <w:spacing w:val="-3"/>
                <w:sz w:val="21"/>
                <w:szCs w:val="21"/>
              </w:rPr>
              <w:t>0</w:t>
            </w:r>
            <w:r>
              <w:rPr>
                <w:color w:val="FF0000"/>
                <w:spacing w:val="-3"/>
                <w:sz w:val="21"/>
                <w:szCs w:val="21"/>
              </w:rPr>
              <w:t>1</w:t>
            </w:r>
          </w:p>
        </w:tc>
        <w:tc>
          <w:tcPr>
            <w:tcW w:w="949" w:type="dxa"/>
            <w:vAlign w:val="top"/>
          </w:tcPr>
          <w:p w14:paraId="637C95FC">
            <w:pPr>
              <w:pStyle w:val="6"/>
              <w:spacing w:before="76" w:line="196" w:lineRule="auto"/>
              <w:ind w:left="208"/>
              <w:rPr>
                <w:sz w:val="21"/>
                <w:szCs w:val="21"/>
              </w:rPr>
            </w:pPr>
            <w:r>
              <w:rPr>
                <w:color w:val="FF0010"/>
                <w:spacing w:val="-2"/>
                <w:sz w:val="21"/>
                <w:szCs w:val="21"/>
              </w:rPr>
              <w:t>0.065</w:t>
            </w:r>
          </w:p>
        </w:tc>
        <w:tc>
          <w:tcPr>
            <w:tcW w:w="874" w:type="dxa"/>
            <w:vAlign w:val="top"/>
          </w:tcPr>
          <w:p w14:paraId="6093A9E6">
            <w:pPr>
              <w:pStyle w:val="6"/>
              <w:spacing w:before="76" w:line="196" w:lineRule="auto"/>
              <w:ind w:left="158"/>
              <w:rPr>
                <w:sz w:val="21"/>
                <w:szCs w:val="21"/>
              </w:rPr>
            </w:pPr>
            <w:r>
              <w:rPr>
                <w:color w:val="FF0010"/>
                <w:spacing w:val="-2"/>
                <w:sz w:val="21"/>
                <w:szCs w:val="21"/>
              </w:rPr>
              <w:t>20.075</w:t>
            </w:r>
          </w:p>
        </w:tc>
      </w:tr>
      <w:tr w14:paraId="03CFD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072" w:type="dxa"/>
            <w:vAlign w:val="top"/>
          </w:tcPr>
          <w:p w14:paraId="18237899">
            <w:pPr>
              <w:pStyle w:val="6"/>
              <w:spacing w:before="55" w:line="214" w:lineRule="auto"/>
              <w:ind w:left="214"/>
              <w:rPr>
                <w:sz w:val="21"/>
                <w:szCs w:val="21"/>
              </w:rPr>
            </w:pPr>
            <w:r>
              <w:rPr>
                <w:color w:val="FF0000"/>
                <w:spacing w:val="-1"/>
                <w:sz w:val="21"/>
                <w:szCs w:val="21"/>
              </w:rPr>
              <w:t>拟建110kV升压站场界东5m处</w:t>
            </w:r>
          </w:p>
        </w:tc>
        <w:tc>
          <w:tcPr>
            <w:tcW w:w="1129" w:type="dxa"/>
            <w:vAlign w:val="top"/>
          </w:tcPr>
          <w:p w14:paraId="4A2099A3">
            <w:pPr>
              <w:pStyle w:val="6"/>
              <w:spacing w:before="77" w:line="195" w:lineRule="auto"/>
              <w:ind w:left="293"/>
              <w:rPr>
                <w:sz w:val="21"/>
                <w:szCs w:val="21"/>
              </w:rPr>
            </w:pPr>
            <w:r>
              <w:rPr>
                <w:color w:val="FF0010"/>
                <w:spacing w:val="-2"/>
                <w:sz w:val="21"/>
                <w:szCs w:val="21"/>
              </w:rPr>
              <w:t>661.</w:t>
            </w:r>
            <w:r>
              <w:rPr>
                <w:color w:val="FF0030"/>
                <w:spacing w:val="-2"/>
                <w:sz w:val="21"/>
                <w:szCs w:val="21"/>
              </w:rPr>
              <w:t>0</w:t>
            </w:r>
          </w:p>
        </w:tc>
        <w:tc>
          <w:tcPr>
            <w:tcW w:w="1109" w:type="dxa"/>
            <w:vAlign w:val="top"/>
          </w:tcPr>
          <w:p w14:paraId="1AC278DD">
            <w:pPr>
              <w:pStyle w:val="6"/>
              <w:spacing w:before="77" w:line="195" w:lineRule="auto"/>
              <w:ind w:left="334"/>
              <w:rPr>
                <w:sz w:val="21"/>
                <w:szCs w:val="21"/>
              </w:rPr>
            </w:pPr>
            <w:r>
              <w:rPr>
                <w:color w:val="FF0020"/>
                <w:spacing w:val="-3"/>
                <w:sz w:val="21"/>
                <w:szCs w:val="21"/>
              </w:rPr>
              <w:t>3.</w:t>
            </w:r>
            <w:r>
              <w:rPr>
                <w:color w:val="FF0030"/>
                <w:spacing w:val="-3"/>
                <w:sz w:val="21"/>
                <w:szCs w:val="21"/>
              </w:rPr>
              <w:t>87</w:t>
            </w:r>
          </w:p>
        </w:tc>
        <w:tc>
          <w:tcPr>
            <w:tcW w:w="1099" w:type="dxa"/>
            <w:vAlign w:val="top"/>
          </w:tcPr>
          <w:p w14:paraId="47114751">
            <w:pPr>
              <w:pStyle w:val="6"/>
              <w:spacing w:before="77" w:line="195" w:lineRule="auto"/>
              <w:ind w:left="385"/>
              <w:rPr>
                <w:sz w:val="21"/>
                <w:szCs w:val="21"/>
              </w:rPr>
            </w:pPr>
            <w:r>
              <w:rPr>
                <w:color w:val="FF0020"/>
                <w:spacing w:val="-2"/>
                <w:sz w:val="21"/>
                <w:szCs w:val="21"/>
              </w:rPr>
              <w:t>664.87</w:t>
            </w:r>
          </w:p>
        </w:tc>
        <w:tc>
          <w:tcPr>
            <w:tcW w:w="1118" w:type="dxa"/>
            <w:vAlign w:val="top"/>
          </w:tcPr>
          <w:p w14:paraId="65C0EF7F">
            <w:pPr>
              <w:pStyle w:val="6"/>
              <w:spacing w:before="77" w:line="195" w:lineRule="auto"/>
              <w:ind w:left="286"/>
              <w:rPr>
                <w:sz w:val="21"/>
                <w:szCs w:val="21"/>
              </w:rPr>
            </w:pPr>
            <w:r>
              <w:rPr>
                <w:color w:val="FF0020"/>
                <w:spacing w:val="-2"/>
                <w:sz w:val="21"/>
                <w:szCs w:val="21"/>
              </w:rPr>
              <w:t>1.</w:t>
            </w:r>
            <w:r>
              <w:rPr>
                <w:color w:val="FF0030"/>
                <w:spacing w:val="-2"/>
                <w:sz w:val="21"/>
                <w:szCs w:val="21"/>
              </w:rPr>
              <w:t>71</w:t>
            </w:r>
            <w:r>
              <w:rPr>
                <w:color w:val="FF0000"/>
                <w:spacing w:val="-2"/>
                <w:sz w:val="21"/>
                <w:szCs w:val="21"/>
              </w:rPr>
              <w:t>4</w:t>
            </w:r>
          </w:p>
        </w:tc>
        <w:tc>
          <w:tcPr>
            <w:tcW w:w="949" w:type="dxa"/>
            <w:vAlign w:val="top"/>
          </w:tcPr>
          <w:p w14:paraId="3BF79EFF">
            <w:pPr>
              <w:pStyle w:val="6"/>
              <w:spacing w:before="77" w:line="195" w:lineRule="auto"/>
              <w:ind w:left="208"/>
              <w:rPr>
                <w:sz w:val="21"/>
                <w:szCs w:val="21"/>
              </w:rPr>
            </w:pPr>
            <w:r>
              <w:rPr>
                <w:color w:val="FF0010"/>
                <w:spacing w:val="-2"/>
                <w:sz w:val="21"/>
                <w:szCs w:val="21"/>
              </w:rPr>
              <w:t>0.069</w:t>
            </w:r>
          </w:p>
        </w:tc>
        <w:tc>
          <w:tcPr>
            <w:tcW w:w="874" w:type="dxa"/>
            <w:vAlign w:val="top"/>
          </w:tcPr>
          <w:p w14:paraId="0B1D5ACE">
            <w:pPr>
              <w:pStyle w:val="6"/>
              <w:spacing w:before="77" w:line="195" w:lineRule="auto"/>
              <w:ind w:left="269"/>
              <w:rPr>
                <w:sz w:val="21"/>
                <w:szCs w:val="21"/>
              </w:rPr>
            </w:pPr>
            <w:r>
              <w:rPr>
                <w:color w:val="FF0010"/>
                <w:spacing w:val="-5"/>
                <w:sz w:val="21"/>
                <w:szCs w:val="21"/>
              </w:rPr>
              <w:t>1.</w:t>
            </w:r>
            <w:r>
              <w:rPr>
                <w:color w:val="FF0020"/>
                <w:spacing w:val="-5"/>
                <w:sz w:val="21"/>
                <w:szCs w:val="21"/>
              </w:rPr>
              <w:t>783</w:t>
            </w:r>
          </w:p>
        </w:tc>
      </w:tr>
      <w:tr w14:paraId="5E384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072" w:type="dxa"/>
            <w:vAlign w:val="top"/>
          </w:tcPr>
          <w:p w14:paraId="60D5626F">
            <w:pPr>
              <w:pStyle w:val="6"/>
              <w:spacing w:before="57" w:line="212" w:lineRule="auto"/>
              <w:ind w:left="1215"/>
              <w:rPr>
                <w:sz w:val="21"/>
                <w:szCs w:val="21"/>
              </w:rPr>
            </w:pPr>
            <w:r>
              <w:rPr>
                <w:color w:val="FF0020"/>
                <w:spacing w:val="-3"/>
                <w:sz w:val="21"/>
                <w:szCs w:val="21"/>
              </w:rPr>
              <w:t>标准值</w:t>
            </w:r>
          </w:p>
        </w:tc>
        <w:tc>
          <w:tcPr>
            <w:tcW w:w="1129" w:type="dxa"/>
            <w:vAlign w:val="top"/>
          </w:tcPr>
          <w:p w14:paraId="22503CB4">
            <w:pPr>
              <w:pStyle w:val="6"/>
              <w:spacing w:before="63" w:line="207" w:lineRule="auto"/>
              <w:ind w:left="183"/>
              <w:rPr>
                <w:sz w:val="21"/>
                <w:szCs w:val="21"/>
              </w:rPr>
            </w:pPr>
            <w:r>
              <w:rPr>
                <w:color w:val="FF0010"/>
                <w:spacing w:val="-1"/>
                <w:sz w:val="21"/>
                <w:szCs w:val="21"/>
              </w:rPr>
              <w:t>4000V/m</w:t>
            </w:r>
          </w:p>
        </w:tc>
        <w:tc>
          <w:tcPr>
            <w:tcW w:w="1109" w:type="dxa"/>
            <w:vAlign w:val="top"/>
          </w:tcPr>
          <w:p w14:paraId="67C6EE17">
            <w:pPr>
              <w:pStyle w:val="6"/>
              <w:spacing w:before="63" w:line="207" w:lineRule="auto"/>
              <w:ind w:left="174"/>
              <w:rPr>
                <w:sz w:val="21"/>
                <w:szCs w:val="21"/>
              </w:rPr>
            </w:pPr>
            <w:r>
              <w:rPr>
                <w:color w:val="FF0010"/>
                <w:spacing w:val="-1"/>
                <w:sz w:val="21"/>
                <w:szCs w:val="21"/>
              </w:rPr>
              <w:t>4000V/</w:t>
            </w:r>
            <w:r>
              <w:rPr>
                <w:color w:val="FF1000"/>
                <w:spacing w:val="-1"/>
                <w:sz w:val="21"/>
                <w:szCs w:val="21"/>
              </w:rPr>
              <w:t>m</w:t>
            </w:r>
          </w:p>
        </w:tc>
        <w:tc>
          <w:tcPr>
            <w:tcW w:w="1099" w:type="dxa"/>
            <w:vAlign w:val="top"/>
          </w:tcPr>
          <w:p w14:paraId="44DA3A3E">
            <w:pPr>
              <w:pStyle w:val="6"/>
              <w:spacing w:before="63" w:line="207" w:lineRule="auto"/>
              <w:ind w:left="135"/>
              <w:rPr>
                <w:sz w:val="21"/>
                <w:szCs w:val="21"/>
              </w:rPr>
            </w:pPr>
            <w:r>
              <w:rPr>
                <w:color w:val="FF0020"/>
                <w:spacing w:val="-2"/>
                <w:sz w:val="21"/>
                <w:szCs w:val="21"/>
              </w:rPr>
              <w:t>4000V/</w:t>
            </w:r>
            <w:r>
              <w:rPr>
                <w:color w:val="FF0000"/>
                <w:spacing w:val="-2"/>
                <w:sz w:val="21"/>
                <w:szCs w:val="21"/>
              </w:rPr>
              <w:t>m</w:t>
            </w:r>
          </w:p>
        </w:tc>
        <w:tc>
          <w:tcPr>
            <w:tcW w:w="1118" w:type="dxa"/>
            <w:vAlign w:val="top"/>
          </w:tcPr>
          <w:p w14:paraId="05D2D9F3">
            <w:pPr>
              <w:pStyle w:val="6"/>
              <w:spacing w:before="109" w:line="167" w:lineRule="auto"/>
              <w:ind w:left="236"/>
              <w:rPr>
                <w:sz w:val="21"/>
                <w:szCs w:val="21"/>
              </w:rPr>
            </w:pPr>
            <w:r>
              <w:rPr>
                <w:color w:val="FF0000"/>
                <w:spacing w:val="-4"/>
                <w:sz w:val="21"/>
                <w:szCs w:val="21"/>
              </w:rPr>
              <w:t>100μT</w:t>
            </w:r>
          </w:p>
        </w:tc>
        <w:tc>
          <w:tcPr>
            <w:tcW w:w="949" w:type="dxa"/>
            <w:vAlign w:val="top"/>
          </w:tcPr>
          <w:p w14:paraId="2D3A3054">
            <w:pPr>
              <w:pStyle w:val="6"/>
              <w:spacing w:before="76" w:line="196" w:lineRule="auto"/>
              <w:ind w:left="158"/>
              <w:rPr>
                <w:sz w:val="21"/>
                <w:szCs w:val="21"/>
              </w:rPr>
            </w:pPr>
            <w:r>
              <w:rPr>
                <w:color w:val="FF0010"/>
                <w:spacing w:val="-11"/>
                <w:sz w:val="21"/>
                <w:szCs w:val="21"/>
              </w:rPr>
              <w:t>100</w:t>
            </w:r>
            <w:r>
              <w:rPr>
                <w:color w:val="FF0000"/>
                <w:spacing w:val="-11"/>
                <w:sz w:val="21"/>
                <w:szCs w:val="21"/>
              </w:rPr>
              <w:t>μT</w:t>
            </w:r>
          </w:p>
        </w:tc>
        <w:tc>
          <w:tcPr>
            <w:tcW w:w="874" w:type="dxa"/>
            <w:vAlign w:val="top"/>
          </w:tcPr>
          <w:p w14:paraId="799E12A4">
            <w:pPr>
              <w:pStyle w:val="6"/>
              <w:spacing w:before="76" w:line="196" w:lineRule="auto"/>
              <w:ind w:left="158"/>
              <w:rPr>
                <w:sz w:val="21"/>
                <w:szCs w:val="21"/>
              </w:rPr>
            </w:pPr>
            <w:r>
              <w:rPr>
                <w:color w:val="FF0000"/>
                <w:spacing w:val="-2"/>
                <w:sz w:val="21"/>
                <w:szCs w:val="21"/>
              </w:rPr>
              <w:t>100μ</w:t>
            </w:r>
            <w:r>
              <w:rPr>
                <w:color w:val="FF1000"/>
                <w:spacing w:val="-2"/>
                <w:sz w:val="21"/>
                <w:szCs w:val="21"/>
              </w:rPr>
              <w:t>T</w:t>
            </w:r>
          </w:p>
        </w:tc>
      </w:tr>
      <w:tr w14:paraId="777F1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3072" w:type="dxa"/>
            <w:vAlign w:val="top"/>
          </w:tcPr>
          <w:p w14:paraId="06C5E10E">
            <w:pPr>
              <w:pStyle w:val="6"/>
              <w:spacing w:before="48" w:line="198" w:lineRule="auto"/>
              <w:ind w:left="1105"/>
              <w:rPr>
                <w:sz w:val="21"/>
                <w:szCs w:val="21"/>
              </w:rPr>
            </w:pPr>
            <w:r>
              <w:rPr>
                <w:color w:val="FF0010"/>
                <w:spacing w:val="-2"/>
                <w:sz w:val="21"/>
                <w:szCs w:val="21"/>
              </w:rPr>
              <w:t>达标情况</w:t>
            </w:r>
          </w:p>
        </w:tc>
        <w:tc>
          <w:tcPr>
            <w:tcW w:w="1129" w:type="dxa"/>
            <w:vAlign w:val="top"/>
          </w:tcPr>
          <w:p w14:paraId="7B8AF6A0">
            <w:pPr>
              <w:pStyle w:val="6"/>
              <w:spacing w:before="48" w:line="198" w:lineRule="auto"/>
              <w:ind w:left="343"/>
              <w:rPr>
                <w:sz w:val="21"/>
                <w:szCs w:val="21"/>
              </w:rPr>
            </w:pPr>
            <w:r>
              <w:rPr>
                <w:color w:val="FF0010"/>
                <w:spacing w:val="-2"/>
                <w:sz w:val="21"/>
                <w:szCs w:val="21"/>
              </w:rPr>
              <w:t>达标</w:t>
            </w:r>
          </w:p>
        </w:tc>
        <w:tc>
          <w:tcPr>
            <w:tcW w:w="1109" w:type="dxa"/>
            <w:vAlign w:val="top"/>
          </w:tcPr>
          <w:p w14:paraId="3B8DA4CA">
            <w:pPr>
              <w:pStyle w:val="6"/>
              <w:spacing w:before="48" w:line="198" w:lineRule="auto"/>
              <w:ind w:left="334"/>
              <w:rPr>
                <w:sz w:val="21"/>
                <w:szCs w:val="21"/>
              </w:rPr>
            </w:pPr>
            <w:r>
              <w:rPr>
                <w:color w:val="FF0030"/>
                <w:spacing w:val="-2"/>
                <w:sz w:val="21"/>
                <w:szCs w:val="21"/>
              </w:rPr>
              <w:t>达标</w:t>
            </w:r>
          </w:p>
        </w:tc>
        <w:tc>
          <w:tcPr>
            <w:tcW w:w="1099" w:type="dxa"/>
            <w:vAlign w:val="top"/>
          </w:tcPr>
          <w:p w14:paraId="04A401CF">
            <w:pPr>
              <w:pStyle w:val="6"/>
              <w:spacing w:before="48" w:line="198" w:lineRule="auto"/>
              <w:ind w:left="324"/>
              <w:rPr>
                <w:sz w:val="21"/>
                <w:szCs w:val="21"/>
              </w:rPr>
            </w:pPr>
            <w:r>
              <w:rPr>
                <w:color w:val="FF0020"/>
                <w:spacing w:val="-2"/>
                <w:sz w:val="21"/>
                <w:szCs w:val="21"/>
              </w:rPr>
              <w:t>达标</w:t>
            </w:r>
          </w:p>
        </w:tc>
        <w:tc>
          <w:tcPr>
            <w:tcW w:w="1118" w:type="dxa"/>
            <w:vAlign w:val="top"/>
          </w:tcPr>
          <w:p w14:paraId="58CBE77A">
            <w:pPr>
              <w:pStyle w:val="6"/>
              <w:spacing w:before="48" w:line="198" w:lineRule="auto"/>
              <w:ind w:left="345"/>
              <w:rPr>
                <w:sz w:val="21"/>
                <w:szCs w:val="21"/>
              </w:rPr>
            </w:pPr>
            <w:r>
              <w:rPr>
                <w:color w:val="FF0020"/>
                <w:spacing w:val="-2"/>
                <w:sz w:val="21"/>
                <w:szCs w:val="21"/>
              </w:rPr>
              <w:t>达标</w:t>
            </w:r>
          </w:p>
        </w:tc>
        <w:tc>
          <w:tcPr>
            <w:tcW w:w="949" w:type="dxa"/>
            <w:vAlign w:val="top"/>
          </w:tcPr>
          <w:p w14:paraId="0F9E5E4F">
            <w:pPr>
              <w:pStyle w:val="6"/>
              <w:spacing w:before="48" w:line="198" w:lineRule="auto"/>
              <w:ind w:left="258"/>
              <w:rPr>
                <w:sz w:val="21"/>
                <w:szCs w:val="21"/>
              </w:rPr>
            </w:pPr>
            <w:r>
              <w:rPr>
                <w:color w:val="FF0010"/>
                <w:spacing w:val="-2"/>
                <w:sz w:val="21"/>
                <w:szCs w:val="21"/>
              </w:rPr>
              <w:t>达标</w:t>
            </w:r>
          </w:p>
        </w:tc>
        <w:tc>
          <w:tcPr>
            <w:tcW w:w="874" w:type="dxa"/>
            <w:vAlign w:val="top"/>
          </w:tcPr>
          <w:p w14:paraId="5A9FE6E6">
            <w:pPr>
              <w:pStyle w:val="6"/>
              <w:spacing w:before="48" w:line="198" w:lineRule="auto"/>
              <w:ind w:left="209"/>
              <w:rPr>
                <w:sz w:val="21"/>
                <w:szCs w:val="21"/>
              </w:rPr>
            </w:pPr>
            <w:r>
              <w:rPr>
                <w:color w:val="FF0030"/>
                <w:spacing w:val="-2"/>
                <w:sz w:val="21"/>
                <w:szCs w:val="21"/>
              </w:rPr>
              <w:t>达标</w:t>
            </w:r>
          </w:p>
        </w:tc>
      </w:tr>
    </w:tbl>
    <w:p w14:paraId="0AD379A9">
      <w:pPr>
        <w:tabs>
          <w:tab w:val="left" w:pos="645"/>
        </w:tabs>
        <w:spacing w:before="114" w:line="360" w:lineRule="auto"/>
        <w:ind w:left="504" w:right="531" w:firstLine="480"/>
        <w:jc w:val="both"/>
        <w:rPr>
          <w:rFonts w:ascii="宋体" w:hAnsi="宋体" w:eastAsia="宋体" w:cs="宋体"/>
          <w:sz w:val="24"/>
          <w:szCs w:val="24"/>
        </w:rPr>
      </w:pPr>
      <w:r>
        <w:rPr>
          <w:rFonts w:ascii="宋体" w:hAnsi="宋体" w:eastAsia="宋体" w:cs="宋体"/>
          <w:color w:val="FF0000"/>
          <w:spacing w:val="2"/>
          <w:sz w:val="24"/>
          <w:szCs w:val="24"/>
        </w:rPr>
        <w:t>根据表3-8可以看出，本项目110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21"/>
          <w:sz w:val="24"/>
          <w:szCs w:val="24"/>
        </w:rPr>
        <w:t xml:space="preserve"> </w:t>
      </w:r>
      <w:r>
        <w:rPr>
          <w:rFonts w:ascii="宋体" w:hAnsi="宋体" w:eastAsia="宋体" w:cs="宋体"/>
          <w:color w:val="FF0000"/>
          <w:spacing w:val="2"/>
          <w:sz w:val="24"/>
          <w:szCs w:val="24"/>
        </w:rPr>
        <w:t>升压站运行</w:t>
      </w:r>
      <w:r>
        <w:rPr>
          <w:rFonts w:ascii="宋体" w:hAnsi="宋体" w:eastAsia="宋体" w:cs="宋体"/>
          <w:color w:val="FF0000"/>
          <w:spacing w:val="1"/>
          <w:sz w:val="24"/>
          <w:szCs w:val="24"/>
        </w:rPr>
        <w:t>期产生的工频电场强度预测</w:t>
      </w:r>
      <w:r>
        <w:rPr>
          <w:rFonts w:ascii="宋体" w:hAnsi="宋体" w:eastAsia="宋体" w:cs="宋体"/>
          <w:color w:val="FF0000"/>
          <w:sz w:val="24"/>
          <w:szCs w:val="24"/>
        </w:rPr>
        <w:t xml:space="preserve"> </w:t>
      </w:r>
      <w:r>
        <w:rPr>
          <w:rFonts w:ascii="仿宋" w:hAnsi="仿宋" w:eastAsia="仿宋" w:cs="仿宋"/>
          <w:color w:val="FF0000"/>
          <w:spacing w:val="21"/>
          <w:sz w:val="24"/>
          <w:szCs w:val="24"/>
        </w:rPr>
        <w:t>值在77.4~664.874</w:t>
      </w:r>
      <w:r>
        <w:rPr>
          <w:rFonts w:ascii="Times New Roman" w:hAnsi="Times New Roman" w:eastAsia="Times New Roman" w:cs="Times New Roman"/>
          <w:color w:val="FF0000"/>
          <w:spacing w:val="21"/>
          <w:sz w:val="24"/>
          <w:szCs w:val="24"/>
        </w:rPr>
        <w:t>V/m</w:t>
      </w:r>
      <w:r>
        <w:rPr>
          <w:rFonts w:ascii="Times New Roman" w:hAnsi="Times New Roman" w:eastAsia="Times New Roman" w:cs="Times New Roman"/>
          <w:color w:val="FF0000"/>
          <w:spacing w:val="54"/>
          <w:sz w:val="24"/>
          <w:szCs w:val="24"/>
        </w:rPr>
        <w:t xml:space="preserve"> </w:t>
      </w:r>
      <w:r>
        <w:rPr>
          <w:rFonts w:ascii="宋体" w:hAnsi="宋体" w:eastAsia="宋体" w:cs="宋体"/>
          <w:color w:val="FF0000"/>
          <w:spacing w:val="21"/>
          <w:sz w:val="24"/>
          <w:szCs w:val="24"/>
        </w:rPr>
        <w:t>之间，工频电场强度满足《电磁环境控制限值》</w:t>
      </w:r>
      <w:r>
        <w:rPr>
          <w:rFonts w:ascii="宋体" w:hAnsi="宋体" w:eastAsia="宋体" w:cs="宋体"/>
          <w:color w:val="FF0000"/>
          <w:sz w:val="24"/>
          <w:szCs w:val="24"/>
        </w:rPr>
        <w:t xml:space="preserve"> </w:t>
      </w:r>
      <w:r>
        <w:rPr>
          <w:rFonts w:ascii="宋体" w:hAnsi="宋体" w:eastAsia="宋体" w:cs="宋体"/>
          <w:color w:val="FF0000"/>
          <w:sz w:val="24"/>
          <w:szCs w:val="24"/>
        </w:rPr>
        <w:tab/>
      </w:r>
      <w:r>
        <w:rPr>
          <w:rFonts w:ascii="宋体" w:hAnsi="宋体" w:eastAsia="宋体" w:cs="宋体"/>
          <w:color w:val="FF0000"/>
          <w:spacing w:val="11"/>
          <w:sz w:val="24"/>
          <w:szCs w:val="24"/>
        </w:rPr>
        <w:t>(</w:t>
      </w:r>
      <w:r>
        <w:rPr>
          <w:rFonts w:ascii="Times New Roman" w:hAnsi="Times New Roman" w:eastAsia="Times New Roman" w:cs="Times New Roman"/>
          <w:color w:val="FF0000"/>
          <w:sz w:val="24"/>
          <w:szCs w:val="24"/>
        </w:rPr>
        <w:t>GB</w:t>
      </w:r>
      <w:r>
        <w:rPr>
          <w:rFonts w:ascii="Times New Roman" w:hAnsi="Times New Roman" w:eastAsia="Times New Roman" w:cs="Times New Roman"/>
          <w:color w:val="FF0000"/>
          <w:spacing w:val="11"/>
          <w:sz w:val="24"/>
          <w:szCs w:val="24"/>
        </w:rPr>
        <w:t xml:space="preserve">8702-2014)   </w:t>
      </w:r>
      <w:r>
        <w:rPr>
          <w:rFonts w:ascii="宋体" w:hAnsi="宋体" w:eastAsia="宋体" w:cs="宋体"/>
          <w:color w:val="FF0000"/>
          <w:spacing w:val="11"/>
          <w:sz w:val="24"/>
          <w:szCs w:val="24"/>
        </w:rPr>
        <w:t>中评价标准4</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11"/>
          <w:sz w:val="24"/>
          <w:szCs w:val="24"/>
        </w:rPr>
        <w:t>/m</w:t>
      </w:r>
      <w:r>
        <w:rPr>
          <w:rFonts w:ascii="Times New Roman" w:hAnsi="Times New Roman" w:eastAsia="Times New Roman" w:cs="Times New Roman"/>
          <w:color w:val="FF0000"/>
          <w:spacing w:val="10"/>
          <w:sz w:val="24"/>
          <w:szCs w:val="24"/>
        </w:rPr>
        <w:t xml:space="preserve"> </w:t>
      </w:r>
      <w:r>
        <w:rPr>
          <w:rFonts w:ascii="宋体" w:hAnsi="宋体" w:eastAsia="宋体" w:cs="宋体"/>
          <w:color w:val="FF0000"/>
          <w:spacing w:val="10"/>
          <w:sz w:val="24"/>
          <w:szCs w:val="24"/>
        </w:rPr>
        <w:t>的限值要求。工频磁感应强度预测值在</w:t>
      </w:r>
      <w:r>
        <w:rPr>
          <w:rFonts w:ascii="宋体" w:hAnsi="宋体" w:eastAsia="宋体" w:cs="宋体"/>
          <w:color w:val="FF0000"/>
          <w:sz w:val="24"/>
          <w:szCs w:val="24"/>
        </w:rPr>
        <w:t xml:space="preserve"> </w:t>
      </w:r>
      <w:r>
        <w:rPr>
          <w:rFonts w:ascii="宋体" w:hAnsi="宋体" w:eastAsia="宋体" w:cs="宋体"/>
          <w:color w:val="FF0000"/>
          <w:spacing w:val="-12"/>
          <w:sz w:val="24"/>
          <w:szCs w:val="24"/>
        </w:rPr>
        <w:t>1.783~20.075μ</w:t>
      </w:r>
      <w:r>
        <w:rPr>
          <w:rFonts w:ascii="Times New Roman" w:hAnsi="Times New Roman" w:eastAsia="Times New Roman" w:cs="Times New Roman"/>
          <w:color w:val="FF0000"/>
          <w:spacing w:val="-12"/>
          <w:sz w:val="24"/>
          <w:szCs w:val="24"/>
        </w:rPr>
        <w:t>T</w:t>
      </w:r>
      <w:r>
        <w:rPr>
          <w:rFonts w:ascii="Times New Roman" w:hAnsi="Times New Roman" w:eastAsia="Times New Roman" w:cs="Times New Roman"/>
          <w:color w:val="FF0000"/>
          <w:spacing w:val="11"/>
          <w:sz w:val="24"/>
          <w:szCs w:val="24"/>
        </w:rPr>
        <w:t xml:space="preserve"> </w:t>
      </w:r>
      <w:r>
        <w:rPr>
          <w:rFonts w:ascii="宋体" w:hAnsi="宋体" w:eastAsia="宋体" w:cs="宋体"/>
          <w:color w:val="FF0000"/>
          <w:spacing w:val="-12"/>
          <w:sz w:val="24"/>
          <w:szCs w:val="24"/>
        </w:rPr>
        <w:t>之间，工频磁感应强度满足《电磁环境控制限值》(</w:t>
      </w:r>
      <w:r>
        <w:rPr>
          <w:rFonts w:ascii="宋体" w:hAnsi="宋体" w:eastAsia="宋体" w:cs="宋体"/>
          <w:color w:val="FF0000"/>
          <w:spacing w:val="-59"/>
          <w:sz w:val="24"/>
          <w:szCs w:val="24"/>
        </w:rPr>
        <w:t xml:space="preserve"> </w:t>
      </w:r>
      <w:r>
        <w:rPr>
          <w:rFonts w:ascii="Times New Roman" w:hAnsi="Times New Roman" w:eastAsia="Times New Roman" w:cs="Times New Roman"/>
          <w:color w:val="FF0000"/>
          <w:spacing w:val="-12"/>
          <w:sz w:val="24"/>
          <w:szCs w:val="24"/>
        </w:rPr>
        <w:t>G</w:t>
      </w:r>
      <w:r>
        <w:rPr>
          <w:rFonts w:ascii="Times New Roman" w:hAnsi="Times New Roman" w:eastAsia="Times New Roman" w:cs="Times New Roman"/>
          <w:color w:val="FF0000"/>
          <w:spacing w:val="-13"/>
          <w:sz w:val="24"/>
          <w:szCs w:val="24"/>
        </w:rPr>
        <w:t>B8702-2014)</w:t>
      </w:r>
      <w:r>
        <w:rPr>
          <w:rFonts w:ascii="Times New Roman" w:hAnsi="Times New Roman" w:eastAsia="Times New Roman" w:cs="Times New Roman"/>
          <w:color w:val="FF0000"/>
          <w:sz w:val="24"/>
          <w:szCs w:val="24"/>
        </w:rPr>
        <w:t xml:space="preserve">   </w:t>
      </w:r>
      <w:r>
        <w:rPr>
          <w:rFonts w:ascii="宋体" w:hAnsi="宋体" w:eastAsia="宋体" w:cs="宋体"/>
          <w:color w:val="FF0000"/>
          <w:spacing w:val="-3"/>
          <w:sz w:val="24"/>
          <w:szCs w:val="24"/>
        </w:rPr>
        <w:t>中评价标准100μ</w:t>
      </w:r>
      <w:r>
        <w:rPr>
          <w:rFonts w:ascii="Times New Roman" w:hAnsi="Times New Roman" w:eastAsia="Times New Roman" w:cs="Times New Roman"/>
          <w:color w:val="FF0000"/>
          <w:spacing w:val="-3"/>
          <w:sz w:val="24"/>
          <w:szCs w:val="24"/>
        </w:rPr>
        <w:t>T</w:t>
      </w:r>
      <w:r>
        <w:rPr>
          <w:rFonts w:ascii="宋体" w:hAnsi="宋体" w:eastAsia="宋体" w:cs="宋体"/>
          <w:color w:val="FF0000"/>
          <w:spacing w:val="-3"/>
          <w:sz w:val="24"/>
          <w:szCs w:val="24"/>
        </w:rPr>
        <w:t>的限值要求。</w:t>
      </w:r>
    </w:p>
    <w:p w14:paraId="3C53E5D3">
      <w:pPr>
        <w:spacing w:before="1" w:line="356" w:lineRule="auto"/>
        <w:ind w:left="504" w:right="554" w:firstLine="480"/>
        <w:jc w:val="both"/>
        <w:rPr>
          <w:rFonts w:ascii="宋体" w:hAnsi="宋体" w:eastAsia="宋体" w:cs="宋体"/>
          <w:sz w:val="24"/>
          <w:szCs w:val="24"/>
        </w:rPr>
      </w:pPr>
      <w:r>
        <w:rPr>
          <w:rFonts w:ascii="宋体" w:hAnsi="宋体" w:eastAsia="宋体" w:cs="宋体"/>
          <w:color w:val="FF0000"/>
          <w:spacing w:val="5"/>
          <w:sz w:val="24"/>
          <w:szCs w:val="24"/>
        </w:rPr>
        <w:t>综上所述，项目110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11"/>
          <w:sz w:val="24"/>
          <w:szCs w:val="24"/>
        </w:rPr>
        <w:t xml:space="preserve"> </w:t>
      </w:r>
      <w:r>
        <w:rPr>
          <w:rFonts w:ascii="宋体" w:hAnsi="宋体" w:eastAsia="宋体" w:cs="宋体"/>
          <w:color w:val="FF0000"/>
          <w:spacing w:val="5"/>
          <w:sz w:val="24"/>
          <w:szCs w:val="24"/>
        </w:rPr>
        <w:t>升压站各预测点工频电场强度预测值、工频</w:t>
      </w:r>
      <w:r>
        <w:rPr>
          <w:rFonts w:ascii="宋体" w:hAnsi="宋体" w:eastAsia="宋体" w:cs="宋体"/>
          <w:color w:val="FF0000"/>
          <w:spacing w:val="4"/>
          <w:sz w:val="24"/>
          <w:szCs w:val="24"/>
        </w:rPr>
        <w:t>磁感应</w:t>
      </w:r>
      <w:r>
        <w:rPr>
          <w:rFonts w:ascii="宋体" w:hAnsi="宋体" w:eastAsia="宋体" w:cs="宋体"/>
          <w:color w:val="FF0000"/>
          <w:sz w:val="24"/>
          <w:szCs w:val="24"/>
        </w:rPr>
        <w:t xml:space="preserve"> </w:t>
      </w:r>
      <w:r>
        <w:rPr>
          <w:rFonts w:ascii="宋体" w:hAnsi="宋体" w:eastAsia="宋体" w:cs="宋体"/>
          <w:color w:val="FF0000"/>
          <w:spacing w:val="-2"/>
          <w:sz w:val="24"/>
          <w:szCs w:val="24"/>
        </w:rPr>
        <w:t>强度预测值均满足《电磁环境控制限值》</w:t>
      </w:r>
      <w:r>
        <w:rPr>
          <w:rFonts w:ascii="宋体" w:hAnsi="宋体" w:eastAsia="宋体" w:cs="宋体"/>
          <w:color w:val="FF0000"/>
          <w:spacing w:val="-31"/>
          <w:sz w:val="24"/>
          <w:szCs w:val="24"/>
        </w:rPr>
        <w:t xml:space="preserve"> </w:t>
      </w:r>
      <w:r>
        <w:rPr>
          <w:rFonts w:ascii="宋体" w:hAnsi="宋体" w:eastAsia="宋体" w:cs="宋体"/>
          <w:color w:val="FF0000"/>
          <w:spacing w:val="-2"/>
          <w:sz w:val="24"/>
          <w:szCs w:val="24"/>
        </w:rPr>
        <w:t>(</w:t>
      </w:r>
      <w:r>
        <w:rPr>
          <w:rFonts w:ascii="宋体" w:hAnsi="宋体" w:eastAsia="宋体" w:cs="宋体"/>
          <w:color w:val="FF0000"/>
          <w:spacing w:val="-59"/>
          <w:sz w:val="24"/>
          <w:szCs w:val="24"/>
        </w:rPr>
        <w:t xml:space="preserve"> </w:t>
      </w:r>
      <w:r>
        <w:rPr>
          <w:rFonts w:ascii="Times New Roman" w:hAnsi="Times New Roman" w:eastAsia="Times New Roman" w:cs="Times New Roman"/>
          <w:color w:val="FF0000"/>
          <w:spacing w:val="-2"/>
          <w:sz w:val="24"/>
          <w:szCs w:val="24"/>
        </w:rPr>
        <w:t>GB8702-2014)</w:t>
      </w:r>
      <w:r>
        <w:rPr>
          <w:rFonts w:ascii="Times New Roman" w:hAnsi="Times New Roman" w:eastAsia="Times New Roman" w:cs="Times New Roman"/>
          <w:color w:val="FF0000"/>
          <w:spacing w:val="28"/>
          <w:sz w:val="24"/>
          <w:szCs w:val="24"/>
        </w:rPr>
        <w:t xml:space="preserve">  </w:t>
      </w:r>
      <w:r>
        <w:rPr>
          <w:rFonts w:ascii="宋体" w:hAnsi="宋体" w:eastAsia="宋体" w:cs="宋体"/>
          <w:color w:val="FF0000"/>
          <w:spacing w:val="-2"/>
          <w:sz w:val="24"/>
          <w:szCs w:val="24"/>
        </w:rPr>
        <w:t>中控制限值要求，对</w:t>
      </w:r>
      <w:r>
        <w:rPr>
          <w:rFonts w:ascii="宋体" w:hAnsi="宋体" w:eastAsia="宋体" w:cs="宋体"/>
          <w:color w:val="FF0000"/>
          <w:sz w:val="24"/>
          <w:szCs w:val="24"/>
        </w:rPr>
        <w:t xml:space="preserve"> </w:t>
      </w:r>
      <w:r>
        <w:rPr>
          <w:rFonts w:ascii="宋体" w:hAnsi="宋体" w:eastAsia="宋体" w:cs="宋体"/>
          <w:color w:val="FF0000"/>
          <w:spacing w:val="-5"/>
          <w:sz w:val="24"/>
          <w:szCs w:val="24"/>
        </w:rPr>
        <w:t>周边环境影响可接受。</w:t>
      </w:r>
    </w:p>
    <w:p w14:paraId="6436AAB8">
      <w:pPr>
        <w:spacing w:before="3" w:line="363" w:lineRule="auto"/>
        <w:ind w:left="504" w:right="550" w:firstLine="480"/>
        <w:jc w:val="both"/>
        <w:rPr>
          <w:rFonts w:ascii="宋体" w:hAnsi="宋体" w:eastAsia="宋体" w:cs="宋体"/>
          <w:sz w:val="24"/>
          <w:szCs w:val="24"/>
        </w:rPr>
      </w:pPr>
      <w:r>
        <w:rPr>
          <w:rFonts w:ascii="宋体" w:hAnsi="宋体" w:eastAsia="宋体" w:cs="宋体"/>
          <w:color w:val="FF0000"/>
          <w:spacing w:val="2"/>
          <w:sz w:val="24"/>
          <w:szCs w:val="24"/>
        </w:rPr>
        <w:t>根据现场踏勘，本项目110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5"/>
          <w:sz w:val="24"/>
          <w:szCs w:val="24"/>
        </w:rPr>
        <w:t xml:space="preserve"> </w:t>
      </w:r>
      <w:r>
        <w:rPr>
          <w:rFonts w:ascii="宋体" w:hAnsi="宋体" w:eastAsia="宋体" w:cs="宋体"/>
          <w:color w:val="FF0000"/>
          <w:spacing w:val="2"/>
          <w:sz w:val="24"/>
          <w:szCs w:val="24"/>
        </w:rPr>
        <w:t>升压站距离最近居民点为升压站东南侧285</w:t>
      </w:r>
      <w:r>
        <w:rPr>
          <w:rFonts w:ascii="Times New Roman" w:hAnsi="Times New Roman" w:eastAsia="Times New Roman" w:cs="Times New Roman"/>
          <w:color w:val="FF0000"/>
          <w:spacing w:val="2"/>
          <w:sz w:val="24"/>
          <w:szCs w:val="24"/>
        </w:rPr>
        <w:t>m</w:t>
      </w:r>
      <w:r>
        <w:rPr>
          <w:rFonts w:ascii="Times New Roman" w:hAnsi="Times New Roman" w:eastAsia="Times New Roman" w:cs="Times New Roman"/>
          <w:color w:val="FF0000"/>
          <w:sz w:val="24"/>
          <w:szCs w:val="24"/>
        </w:rPr>
        <w:t xml:space="preserve"> </w:t>
      </w:r>
      <w:r>
        <w:rPr>
          <w:rFonts w:ascii="宋体" w:hAnsi="宋体" w:eastAsia="宋体" w:cs="宋体"/>
          <w:color w:val="FF0000"/>
          <w:spacing w:val="-3"/>
          <w:sz w:val="24"/>
          <w:szCs w:val="24"/>
        </w:rPr>
        <w:t>的栗树园，电场强度和磁感应强度均有随距离增加而减小的特征，因此升压站产</w:t>
      </w:r>
      <w:r>
        <w:rPr>
          <w:rFonts w:ascii="宋体" w:hAnsi="宋体" w:eastAsia="宋体" w:cs="宋体"/>
          <w:color w:val="FF0000"/>
          <w:spacing w:val="8"/>
          <w:sz w:val="24"/>
          <w:szCs w:val="24"/>
        </w:rPr>
        <w:t xml:space="preserve"> </w:t>
      </w:r>
      <w:r>
        <w:rPr>
          <w:rFonts w:ascii="宋体" w:hAnsi="宋体" w:eastAsia="宋体" w:cs="宋体"/>
          <w:color w:val="FF0000"/>
          <w:spacing w:val="-1"/>
          <w:sz w:val="24"/>
          <w:szCs w:val="24"/>
        </w:rPr>
        <w:t>生的工频电场和工频磁场对周围关心点的影响可接受。</w:t>
      </w:r>
    </w:p>
    <w:p w14:paraId="5E164A5F">
      <w:pPr>
        <w:spacing w:line="363" w:lineRule="auto"/>
        <w:rPr>
          <w:rFonts w:ascii="宋体" w:hAnsi="宋体" w:eastAsia="宋体" w:cs="宋体"/>
          <w:sz w:val="24"/>
          <w:szCs w:val="24"/>
        </w:rPr>
        <w:sectPr>
          <w:footerReference r:id="rId240" w:type="default"/>
          <w:pgSz w:w="11910" w:h="16830"/>
          <w:pgMar w:top="400" w:right="1284" w:bottom="1154" w:left="1264" w:header="0" w:footer="964" w:gutter="0"/>
          <w:cols w:space="720" w:num="1"/>
        </w:sectPr>
      </w:pPr>
    </w:p>
    <w:p w14:paraId="783C8C5A">
      <w:pPr>
        <w:pStyle w:val="2"/>
        <w:spacing w:line="272" w:lineRule="auto"/>
      </w:pPr>
    </w:p>
    <w:p w14:paraId="7ECE80C4">
      <w:pPr>
        <w:pStyle w:val="2"/>
        <w:spacing w:line="272" w:lineRule="auto"/>
      </w:pPr>
    </w:p>
    <w:p w14:paraId="2DF1EFC0">
      <w:pPr>
        <w:pStyle w:val="2"/>
        <w:spacing w:line="273" w:lineRule="auto"/>
      </w:pPr>
    </w:p>
    <w:p w14:paraId="34CAA5BA">
      <w:pPr>
        <w:pStyle w:val="2"/>
        <w:spacing w:line="273" w:lineRule="auto"/>
      </w:pPr>
    </w:p>
    <w:p w14:paraId="1CA58A46">
      <w:pPr>
        <w:spacing w:before="91" w:line="220" w:lineRule="auto"/>
        <w:rPr>
          <w:rFonts w:ascii="宋体" w:hAnsi="宋体" w:eastAsia="宋体" w:cs="宋体"/>
          <w:sz w:val="28"/>
          <w:szCs w:val="28"/>
        </w:rPr>
      </w:pPr>
      <w:r>
        <w:rPr>
          <w:rFonts w:ascii="Times New Roman" w:hAnsi="Times New Roman" w:eastAsia="Times New Roman" w:cs="Times New Roman"/>
          <w:b/>
          <w:bCs/>
          <w:spacing w:val="-2"/>
          <w:sz w:val="28"/>
          <w:szCs w:val="28"/>
        </w:rPr>
        <w:t xml:space="preserve">3.3  </w:t>
      </w:r>
      <w:r>
        <w:rPr>
          <w:rFonts w:ascii="宋体" w:hAnsi="宋体" w:eastAsia="宋体" w:cs="宋体"/>
          <w:b/>
          <w:bCs/>
          <w:spacing w:val="-2"/>
          <w:sz w:val="28"/>
          <w:szCs w:val="28"/>
        </w:rPr>
        <w:t>电磁环境达标控制要求</w:t>
      </w:r>
    </w:p>
    <w:p w14:paraId="0F9434B2">
      <w:pPr>
        <w:spacing w:before="246" w:line="355" w:lineRule="auto"/>
        <w:ind w:right="38" w:firstLine="480"/>
        <w:jc w:val="both"/>
        <w:rPr>
          <w:rFonts w:ascii="宋体" w:hAnsi="宋体" w:eastAsia="宋体" w:cs="宋体"/>
          <w:sz w:val="24"/>
          <w:szCs w:val="24"/>
        </w:rPr>
      </w:pPr>
      <w:r>
        <w:rPr>
          <w:rFonts w:ascii="宋体" w:hAnsi="宋体" w:eastAsia="宋体" w:cs="宋体"/>
          <w:sz w:val="24"/>
          <w:szCs w:val="24"/>
        </w:rPr>
        <w:t>根据《云南省电力设施保护条例》第十七条规定的变电站围</w:t>
      </w:r>
      <w:r>
        <w:rPr>
          <w:rFonts w:ascii="宋体" w:hAnsi="宋体" w:eastAsia="宋体" w:cs="宋体"/>
          <w:spacing w:val="-1"/>
          <w:sz w:val="24"/>
          <w:szCs w:val="24"/>
        </w:rPr>
        <w:t>墙外延伸3</w:t>
      </w:r>
      <w:r>
        <w:rPr>
          <w:rFonts w:ascii="Times New Roman" w:hAnsi="Times New Roman" w:eastAsia="Times New Roman" w:cs="Times New Roman"/>
          <w:spacing w:val="-1"/>
          <w:sz w:val="24"/>
          <w:szCs w:val="24"/>
        </w:rPr>
        <w:t xml:space="preserve">m </w:t>
      </w:r>
      <w:r>
        <w:rPr>
          <w:rFonts w:ascii="宋体" w:hAnsi="宋体" w:eastAsia="宋体" w:cs="宋体"/>
          <w:spacing w:val="-1"/>
          <w:sz w:val="24"/>
          <w:szCs w:val="24"/>
        </w:rPr>
        <w:t>所</w:t>
      </w:r>
      <w:r>
        <w:rPr>
          <w:rFonts w:ascii="宋体" w:hAnsi="宋体" w:eastAsia="宋体" w:cs="宋体"/>
          <w:sz w:val="24"/>
          <w:szCs w:val="24"/>
        </w:rPr>
        <w:t xml:space="preserve"> </w:t>
      </w:r>
      <w:r>
        <w:rPr>
          <w:rFonts w:ascii="宋体" w:hAnsi="宋体" w:eastAsia="宋体" w:cs="宋体"/>
          <w:spacing w:val="4"/>
          <w:sz w:val="24"/>
          <w:szCs w:val="24"/>
        </w:rPr>
        <w:t>形成的区域划分为其他电力设施保护区，经现场勘查，本项目110</w:t>
      </w:r>
      <w:r>
        <w:rPr>
          <w:rFonts w:ascii="Times New Roman" w:hAnsi="Times New Roman" w:eastAsia="Times New Roman" w:cs="Times New Roman"/>
          <w:sz w:val="24"/>
          <w:szCs w:val="24"/>
        </w:rPr>
        <w:t>kV</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升压站界</w:t>
      </w:r>
      <w:r>
        <w:rPr>
          <w:rFonts w:ascii="宋体" w:hAnsi="宋体" w:eastAsia="宋体" w:cs="宋体"/>
          <w:spacing w:val="16"/>
          <w:sz w:val="24"/>
          <w:szCs w:val="24"/>
        </w:rPr>
        <w:t xml:space="preserve"> </w:t>
      </w:r>
      <w:r>
        <w:rPr>
          <w:rFonts w:ascii="宋体" w:hAnsi="宋体" w:eastAsia="宋体" w:cs="宋体"/>
          <w:spacing w:val="-2"/>
          <w:sz w:val="24"/>
          <w:szCs w:val="24"/>
        </w:rPr>
        <w:t>外</w:t>
      </w:r>
      <w:r>
        <w:rPr>
          <w:rFonts w:ascii="宋体" w:hAnsi="宋体" w:eastAsia="宋体" w:cs="宋体"/>
          <w:spacing w:val="-21"/>
          <w:sz w:val="24"/>
          <w:szCs w:val="24"/>
        </w:rPr>
        <w:t xml:space="preserve"> </w:t>
      </w:r>
      <w:r>
        <w:rPr>
          <w:rFonts w:ascii="宋体" w:hAnsi="宋体" w:eastAsia="宋体" w:cs="宋体"/>
          <w:spacing w:val="-2"/>
          <w:sz w:val="24"/>
          <w:szCs w:val="24"/>
        </w:rPr>
        <w:t>3</w:t>
      </w:r>
      <w:r>
        <w:rPr>
          <w:rFonts w:ascii="Times New Roman" w:hAnsi="Times New Roman" w:eastAsia="Times New Roman" w:cs="Times New Roman"/>
          <w:spacing w:val="-2"/>
          <w:sz w:val="24"/>
          <w:szCs w:val="24"/>
        </w:rPr>
        <w:t xml:space="preserve">m </w:t>
      </w:r>
      <w:r>
        <w:rPr>
          <w:rFonts w:ascii="宋体" w:hAnsi="宋体" w:eastAsia="宋体" w:cs="宋体"/>
          <w:spacing w:val="-2"/>
          <w:sz w:val="24"/>
          <w:szCs w:val="24"/>
        </w:rPr>
        <w:t>范围内无住宅、学校、医院、办公楼、工厂等有公众居住、工作或学习的</w:t>
      </w:r>
      <w:r>
        <w:rPr>
          <w:rFonts w:ascii="宋体" w:hAnsi="宋体" w:eastAsia="宋体" w:cs="宋体"/>
          <w:sz w:val="24"/>
          <w:szCs w:val="24"/>
        </w:rPr>
        <w:t xml:space="preserve"> </w:t>
      </w:r>
      <w:r>
        <w:rPr>
          <w:rFonts w:ascii="宋体" w:hAnsi="宋体" w:eastAsia="宋体" w:cs="宋体"/>
          <w:spacing w:val="-2"/>
          <w:sz w:val="24"/>
          <w:szCs w:val="24"/>
        </w:rPr>
        <w:t>建筑物。满足《云南省电力设施保护条例》中的电力保护要求。</w:t>
      </w:r>
    </w:p>
    <w:p w14:paraId="55082ACC">
      <w:pPr>
        <w:spacing w:before="23" w:line="366" w:lineRule="auto"/>
        <w:ind w:right="39" w:firstLine="480"/>
        <w:jc w:val="both"/>
        <w:rPr>
          <w:rFonts w:ascii="宋体" w:hAnsi="宋体" w:eastAsia="宋体" w:cs="宋体"/>
          <w:sz w:val="24"/>
          <w:szCs w:val="24"/>
        </w:rPr>
      </w:pPr>
      <w:r>
        <w:rPr>
          <w:rFonts w:ascii="宋体" w:hAnsi="宋体" w:eastAsia="宋体" w:cs="宋体"/>
          <w:spacing w:val="5"/>
          <w:sz w:val="24"/>
          <w:szCs w:val="24"/>
        </w:rPr>
        <w:t>根据电磁环境影响预测分析结果，本项目110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rFonts w:ascii="宋体" w:hAnsi="宋体" w:eastAsia="宋体" w:cs="宋体"/>
          <w:spacing w:val="5"/>
          <w:sz w:val="24"/>
          <w:szCs w:val="24"/>
        </w:rPr>
        <w:t>变电站运行产生的工频电</w:t>
      </w:r>
      <w:r>
        <w:rPr>
          <w:rFonts w:ascii="宋体" w:hAnsi="宋体" w:eastAsia="宋体" w:cs="宋体"/>
          <w:sz w:val="24"/>
          <w:szCs w:val="24"/>
        </w:rPr>
        <w:t xml:space="preserve"> 场强度、工频磁感应强度均满足《电磁环境控制限值》(</w:t>
      </w:r>
      <w:r>
        <w:rPr>
          <w:rFonts w:ascii="Times New Roman" w:hAnsi="Times New Roman" w:eastAsia="Times New Roman" w:cs="Times New Roman"/>
          <w:sz w:val="24"/>
          <w:szCs w:val="24"/>
        </w:rPr>
        <w:t xml:space="preserve">GB   8702-2014) </w:t>
      </w:r>
      <w:r>
        <w:rPr>
          <w:rFonts w:ascii="宋体" w:hAnsi="宋体" w:eastAsia="宋体" w:cs="宋体"/>
          <w:sz w:val="24"/>
          <w:szCs w:val="24"/>
        </w:rPr>
        <w:t>中公众</w:t>
      </w:r>
      <w:r>
        <w:rPr>
          <w:rFonts w:ascii="宋体" w:hAnsi="宋体" w:eastAsia="宋体" w:cs="宋体"/>
          <w:spacing w:val="15"/>
          <w:sz w:val="24"/>
          <w:szCs w:val="24"/>
        </w:rPr>
        <w:t xml:space="preserve"> </w:t>
      </w:r>
      <w:r>
        <w:rPr>
          <w:rFonts w:ascii="宋体" w:hAnsi="宋体" w:eastAsia="宋体" w:cs="宋体"/>
          <w:spacing w:val="-2"/>
          <w:sz w:val="24"/>
          <w:szCs w:val="24"/>
        </w:rPr>
        <w:t>曝露控制限值4000</w:t>
      </w:r>
      <w:r>
        <w:rPr>
          <w:rFonts w:ascii="Times New Roman" w:hAnsi="Times New Roman" w:eastAsia="Times New Roman" w:cs="Times New Roman"/>
          <w:spacing w:val="-2"/>
          <w:sz w:val="24"/>
          <w:szCs w:val="24"/>
        </w:rPr>
        <w:t>V/m</w:t>
      </w:r>
      <w:r>
        <w:rPr>
          <w:rFonts w:ascii="Times New Roman" w:hAnsi="Times New Roman" w:eastAsia="Times New Roman" w:cs="Times New Roman"/>
          <w:spacing w:val="-14"/>
          <w:sz w:val="24"/>
          <w:szCs w:val="24"/>
        </w:rPr>
        <w:t xml:space="preserve"> </w:t>
      </w:r>
      <w:r>
        <w:rPr>
          <w:rFonts w:ascii="宋体" w:hAnsi="宋体" w:eastAsia="宋体" w:cs="宋体"/>
          <w:spacing w:val="-2"/>
          <w:sz w:val="24"/>
          <w:szCs w:val="24"/>
        </w:rPr>
        <w:t>和100</w:t>
      </w:r>
      <w:r>
        <w:rPr>
          <w:rFonts w:ascii="宋体" w:hAnsi="宋体" w:eastAsia="宋体" w:cs="宋体"/>
          <w:spacing w:val="-44"/>
          <w:sz w:val="24"/>
          <w:szCs w:val="24"/>
        </w:rPr>
        <w:t xml:space="preserve"> </w:t>
      </w:r>
      <w:r>
        <w:rPr>
          <w:rFonts w:ascii="宋体" w:hAnsi="宋体" w:eastAsia="宋体" w:cs="宋体"/>
          <w:spacing w:val="-2"/>
          <w:sz w:val="24"/>
          <w:szCs w:val="24"/>
        </w:rPr>
        <w:t>μ</w:t>
      </w:r>
      <w:r>
        <w:rPr>
          <w:rFonts w:ascii="Times New Roman" w:hAnsi="Times New Roman" w:eastAsia="Times New Roman" w:cs="Times New Roman"/>
          <w:spacing w:val="-2"/>
          <w:sz w:val="24"/>
          <w:szCs w:val="24"/>
        </w:rPr>
        <w:t xml:space="preserve">T </w:t>
      </w:r>
      <w:r>
        <w:rPr>
          <w:rFonts w:ascii="宋体" w:hAnsi="宋体" w:eastAsia="宋体" w:cs="宋体"/>
          <w:spacing w:val="-2"/>
          <w:sz w:val="24"/>
          <w:szCs w:val="24"/>
        </w:rPr>
        <w:t>的要求，本项目不</w:t>
      </w:r>
      <w:r>
        <w:rPr>
          <w:rFonts w:ascii="宋体" w:hAnsi="宋体" w:eastAsia="宋体" w:cs="宋体"/>
          <w:spacing w:val="-3"/>
          <w:sz w:val="24"/>
          <w:szCs w:val="24"/>
        </w:rPr>
        <w:t>设电磁环境防护距离。</w:t>
      </w:r>
    </w:p>
    <w:p w14:paraId="11AA69BD">
      <w:pPr>
        <w:spacing w:line="366" w:lineRule="auto"/>
        <w:rPr>
          <w:rFonts w:ascii="宋体" w:hAnsi="宋体" w:eastAsia="宋体" w:cs="宋体"/>
          <w:sz w:val="24"/>
          <w:szCs w:val="24"/>
        </w:rPr>
        <w:sectPr>
          <w:footerReference r:id="rId241" w:type="default"/>
          <w:pgSz w:w="11910" w:h="16830"/>
          <w:pgMar w:top="400" w:right="1786" w:bottom="1198" w:left="1769" w:header="0" w:footer="911" w:gutter="0"/>
          <w:cols w:space="720" w:num="1"/>
        </w:sectPr>
      </w:pPr>
    </w:p>
    <w:p w14:paraId="4AEA58D1">
      <w:pPr>
        <w:pStyle w:val="2"/>
        <w:spacing w:line="267" w:lineRule="auto"/>
      </w:pPr>
    </w:p>
    <w:p w14:paraId="3C63B5DE">
      <w:pPr>
        <w:pStyle w:val="2"/>
        <w:spacing w:line="268" w:lineRule="auto"/>
      </w:pPr>
    </w:p>
    <w:p w14:paraId="45CA7D77">
      <w:pPr>
        <w:pStyle w:val="2"/>
        <w:spacing w:line="268" w:lineRule="auto"/>
      </w:pPr>
    </w:p>
    <w:p w14:paraId="1EA12B20">
      <w:pPr>
        <w:pStyle w:val="2"/>
        <w:spacing w:line="268" w:lineRule="auto"/>
      </w:pPr>
    </w:p>
    <w:p w14:paraId="6D3B6913">
      <w:pPr>
        <w:spacing w:before="101" w:line="219" w:lineRule="auto"/>
        <w:rPr>
          <w:rFonts w:ascii="宋体" w:hAnsi="宋体" w:eastAsia="宋体" w:cs="宋体"/>
          <w:sz w:val="31"/>
          <w:szCs w:val="31"/>
        </w:rPr>
      </w:pPr>
      <w:r>
        <w:rPr>
          <w:rFonts w:ascii="Times New Roman" w:hAnsi="Times New Roman" w:eastAsia="Times New Roman" w:cs="Times New Roman"/>
          <w:b/>
          <w:bCs/>
          <w:spacing w:val="-10"/>
          <w:sz w:val="31"/>
          <w:szCs w:val="31"/>
        </w:rPr>
        <w:t xml:space="preserve">4  </w:t>
      </w:r>
      <w:r>
        <w:rPr>
          <w:rFonts w:ascii="宋体" w:hAnsi="宋体" w:eastAsia="宋体" w:cs="宋体"/>
          <w:b/>
          <w:bCs/>
          <w:spacing w:val="-10"/>
          <w:sz w:val="31"/>
          <w:szCs w:val="31"/>
        </w:rPr>
        <w:t>电磁辐射环境保护措施及监测计划</w:t>
      </w:r>
    </w:p>
    <w:p w14:paraId="5F0D0B71">
      <w:pPr>
        <w:spacing w:before="266" w:line="220" w:lineRule="auto"/>
        <w:ind w:left="4"/>
        <w:rPr>
          <w:rFonts w:ascii="宋体" w:hAnsi="宋体" w:eastAsia="宋体" w:cs="宋体"/>
          <w:sz w:val="28"/>
          <w:szCs w:val="28"/>
        </w:rPr>
      </w:pPr>
      <w:r>
        <w:rPr>
          <w:rFonts w:ascii="宋体" w:hAnsi="宋体" w:eastAsia="宋体" w:cs="宋体"/>
          <w:b/>
          <w:bCs/>
          <w:spacing w:val="-6"/>
          <w:sz w:val="28"/>
          <w:szCs w:val="28"/>
        </w:rPr>
        <w:t>4.</w:t>
      </w:r>
      <w:r>
        <w:rPr>
          <w:rFonts w:ascii="宋体" w:hAnsi="宋体" w:eastAsia="宋体" w:cs="宋体"/>
          <w:spacing w:val="-6"/>
          <w:sz w:val="28"/>
          <w:szCs w:val="28"/>
        </w:rPr>
        <w:t>1 环境保护措施</w:t>
      </w:r>
    </w:p>
    <w:p w14:paraId="7037CE92">
      <w:pPr>
        <w:spacing w:before="241" w:line="218" w:lineRule="auto"/>
        <w:ind w:left="480"/>
        <w:rPr>
          <w:rFonts w:ascii="宋体" w:hAnsi="宋体" w:eastAsia="宋体" w:cs="宋体"/>
          <w:sz w:val="24"/>
          <w:szCs w:val="24"/>
        </w:rPr>
      </w:pPr>
      <w:r>
        <w:rPr>
          <w:rFonts w:ascii="宋体" w:hAnsi="宋体" w:eastAsia="宋体" w:cs="宋体"/>
          <w:spacing w:val="-2"/>
          <w:sz w:val="24"/>
          <w:szCs w:val="24"/>
        </w:rPr>
        <w:t>为确保工程所在区域的电磁辐射安全，本评价提出以下环保措施：</w:t>
      </w:r>
    </w:p>
    <w:p w14:paraId="15B90D45">
      <w:pPr>
        <w:spacing w:before="188" w:line="309" w:lineRule="auto"/>
        <w:ind w:right="99" w:firstLine="610"/>
        <w:rPr>
          <w:rFonts w:ascii="宋体" w:hAnsi="宋体" w:eastAsia="宋体" w:cs="宋体"/>
          <w:sz w:val="24"/>
          <w:szCs w:val="24"/>
        </w:rPr>
      </w:pPr>
      <w:r>
        <w:rPr>
          <w:rFonts w:ascii="宋体" w:hAnsi="宋体" w:eastAsia="宋体" w:cs="宋体"/>
          <w:spacing w:val="3"/>
          <w:sz w:val="24"/>
          <w:szCs w:val="24"/>
        </w:rPr>
        <w:t>(1)按照《电力设施保护条例》和《云南省电力设</w:t>
      </w:r>
      <w:r>
        <w:rPr>
          <w:rFonts w:ascii="宋体" w:hAnsi="宋体" w:eastAsia="宋体" w:cs="宋体"/>
          <w:spacing w:val="2"/>
          <w:sz w:val="24"/>
          <w:szCs w:val="24"/>
        </w:rPr>
        <w:t>施保护条例》的要求，</w:t>
      </w:r>
      <w:r>
        <w:rPr>
          <w:rFonts w:ascii="宋体" w:hAnsi="宋体" w:eastAsia="宋体" w:cs="宋体"/>
          <w:sz w:val="24"/>
          <w:szCs w:val="24"/>
        </w:rPr>
        <w:t xml:space="preserve"> </w:t>
      </w:r>
      <w:r>
        <w:rPr>
          <w:rFonts w:ascii="宋体" w:hAnsi="宋体" w:eastAsia="宋体" w:cs="宋体"/>
          <w:spacing w:val="1"/>
          <w:sz w:val="24"/>
          <w:szCs w:val="24"/>
        </w:rPr>
        <w:t>变电站围墙外延伸3米所形成的区域为安全</w:t>
      </w:r>
      <w:r>
        <w:rPr>
          <w:rFonts w:ascii="宋体" w:hAnsi="宋体" w:eastAsia="宋体" w:cs="宋体"/>
          <w:sz w:val="24"/>
          <w:szCs w:val="24"/>
        </w:rPr>
        <w:t xml:space="preserve">防护距离，应严格按照《云南省电力 </w:t>
      </w:r>
      <w:r>
        <w:rPr>
          <w:rFonts w:ascii="宋体" w:hAnsi="宋体" w:eastAsia="宋体" w:cs="宋体"/>
          <w:spacing w:val="-3"/>
          <w:sz w:val="24"/>
          <w:szCs w:val="24"/>
        </w:rPr>
        <w:t>设施保护条例》的要求进行保护。</w:t>
      </w:r>
    </w:p>
    <w:p w14:paraId="23C8C3B5">
      <w:pPr>
        <w:spacing w:before="183" w:line="219" w:lineRule="auto"/>
        <w:ind w:left="610"/>
        <w:rPr>
          <w:rFonts w:ascii="宋体" w:hAnsi="宋体" w:eastAsia="宋体" w:cs="宋体"/>
          <w:sz w:val="24"/>
          <w:szCs w:val="24"/>
        </w:rPr>
      </w:pPr>
      <w:r>
        <w:rPr>
          <w:rFonts w:ascii="宋体" w:hAnsi="宋体" w:eastAsia="宋体" w:cs="宋体"/>
          <w:spacing w:val="6"/>
          <w:sz w:val="24"/>
          <w:szCs w:val="24"/>
        </w:rPr>
        <w:t>(2)合理设计并保证设备及配件加工精良</w:t>
      </w:r>
    </w:p>
    <w:p w14:paraId="5B9700C4">
      <w:pPr>
        <w:spacing w:before="199" w:line="355" w:lineRule="auto"/>
        <w:ind w:firstLine="480"/>
        <w:jc w:val="both"/>
        <w:rPr>
          <w:rFonts w:ascii="宋体" w:hAnsi="宋体" w:eastAsia="宋体" w:cs="宋体"/>
          <w:sz w:val="24"/>
          <w:szCs w:val="24"/>
        </w:rPr>
      </w:pPr>
      <w:r>
        <w:rPr>
          <w:rFonts w:ascii="宋体" w:hAnsi="宋体" w:eastAsia="宋体" w:cs="宋体"/>
          <w:spacing w:val="5"/>
          <w:sz w:val="24"/>
          <w:szCs w:val="24"/>
        </w:rPr>
        <w:t>本工程110</w:t>
      </w:r>
      <w:r>
        <w:rPr>
          <w:rFonts w:ascii="Times New Roman" w:hAnsi="Times New Roman" w:eastAsia="Times New Roman" w:cs="Times New Roman"/>
          <w:sz w:val="24"/>
          <w:szCs w:val="24"/>
        </w:rPr>
        <w:t>kV</w:t>
      </w:r>
      <w:r>
        <w:rPr>
          <w:rFonts w:ascii="Times New Roman" w:hAnsi="Times New Roman" w:eastAsia="Times New Roman" w:cs="Times New Roman"/>
          <w:spacing w:val="-7"/>
          <w:sz w:val="24"/>
          <w:szCs w:val="24"/>
        </w:rPr>
        <w:t xml:space="preserve"> </w:t>
      </w:r>
      <w:r>
        <w:rPr>
          <w:rFonts w:ascii="宋体" w:hAnsi="宋体" w:eastAsia="宋体" w:cs="宋体"/>
          <w:spacing w:val="5"/>
          <w:sz w:val="24"/>
          <w:szCs w:val="24"/>
        </w:rPr>
        <w:t>升压站为新建工程，因此，在设计中应将主变压器尽量布置</w:t>
      </w:r>
      <w:r>
        <w:rPr>
          <w:rFonts w:ascii="宋体" w:hAnsi="宋体" w:eastAsia="宋体" w:cs="宋体"/>
          <w:sz w:val="24"/>
          <w:szCs w:val="24"/>
        </w:rPr>
        <w:t xml:space="preserve"> </w:t>
      </w:r>
      <w:r>
        <w:rPr>
          <w:rFonts w:ascii="宋体" w:hAnsi="宋体" w:eastAsia="宋体" w:cs="宋体"/>
          <w:spacing w:val="-7"/>
          <w:sz w:val="24"/>
          <w:szCs w:val="24"/>
        </w:rPr>
        <w:t>在升压站的中间位置，尽量远离围墙。升压站设备的金属附件，如吊夹、保护环、</w:t>
      </w:r>
      <w:r>
        <w:rPr>
          <w:rFonts w:ascii="宋体" w:hAnsi="宋体" w:eastAsia="宋体" w:cs="宋体"/>
          <w:spacing w:val="11"/>
          <w:sz w:val="24"/>
          <w:szCs w:val="24"/>
        </w:rPr>
        <w:t xml:space="preserve"> </w:t>
      </w:r>
      <w:r>
        <w:rPr>
          <w:rFonts w:ascii="宋体" w:hAnsi="宋体" w:eastAsia="宋体" w:cs="宋体"/>
          <w:spacing w:val="-3"/>
          <w:sz w:val="24"/>
          <w:szCs w:val="24"/>
        </w:rPr>
        <w:t>保护角、垫片和接头等。设计时，应考虑确定合理的外形和尺寸，避免存在尖角</w:t>
      </w:r>
      <w:r>
        <w:rPr>
          <w:rFonts w:ascii="宋体" w:hAnsi="宋体" w:eastAsia="宋体" w:cs="宋体"/>
          <w:spacing w:val="13"/>
          <w:sz w:val="24"/>
          <w:szCs w:val="24"/>
        </w:rPr>
        <w:t xml:space="preserve"> </w:t>
      </w:r>
      <w:r>
        <w:rPr>
          <w:rFonts w:ascii="宋体" w:hAnsi="宋体" w:eastAsia="宋体" w:cs="宋体"/>
          <w:spacing w:val="-3"/>
          <w:sz w:val="24"/>
          <w:szCs w:val="24"/>
        </w:rPr>
        <w:t>和凸出物。升压站内电气设备应采取集中布置方式，采用逆相序排列，配电装置</w:t>
      </w:r>
      <w:r>
        <w:rPr>
          <w:rFonts w:ascii="宋体" w:hAnsi="宋体" w:eastAsia="宋体" w:cs="宋体"/>
          <w:spacing w:val="12"/>
          <w:sz w:val="24"/>
          <w:szCs w:val="24"/>
        </w:rPr>
        <w:t xml:space="preserve"> </w:t>
      </w:r>
      <w:r>
        <w:rPr>
          <w:rFonts w:ascii="宋体" w:hAnsi="宋体" w:eastAsia="宋体" w:cs="宋体"/>
          <w:sz w:val="24"/>
          <w:szCs w:val="24"/>
        </w:rPr>
        <w:t>采用</w:t>
      </w:r>
      <w:r>
        <w:rPr>
          <w:rFonts w:ascii="Times New Roman" w:hAnsi="Times New Roman" w:eastAsia="Times New Roman" w:cs="Times New Roman"/>
          <w:sz w:val="24"/>
          <w:szCs w:val="24"/>
        </w:rPr>
        <w:t>GIS;</w:t>
      </w:r>
      <w:r>
        <w:rPr>
          <w:rFonts w:ascii="Times New Roman" w:hAnsi="Times New Roman" w:eastAsia="Times New Roman" w:cs="Times New Roman"/>
          <w:spacing w:val="23"/>
          <w:w w:val="101"/>
          <w:sz w:val="24"/>
          <w:szCs w:val="24"/>
        </w:rPr>
        <w:t xml:space="preserve">  </w:t>
      </w:r>
      <w:r>
        <w:rPr>
          <w:rFonts w:ascii="宋体" w:hAnsi="宋体" w:eastAsia="宋体" w:cs="宋体"/>
          <w:sz w:val="24"/>
          <w:szCs w:val="24"/>
        </w:rPr>
        <w:t xml:space="preserve">在设计中应按有关规程采取系列的控制过电压、电磁感应场强水平的 </w:t>
      </w:r>
      <w:r>
        <w:rPr>
          <w:rFonts w:ascii="宋体" w:hAnsi="宋体" w:eastAsia="宋体" w:cs="宋体"/>
          <w:spacing w:val="-3"/>
          <w:sz w:val="24"/>
          <w:szCs w:val="24"/>
        </w:rPr>
        <w:t>措施，如保证导体和电气设备之间的电气安全距离，选用具有低辐射、抗干扰能</w:t>
      </w:r>
      <w:r>
        <w:rPr>
          <w:rFonts w:ascii="宋体" w:hAnsi="宋体" w:eastAsia="宋体" w:cs="宋体"/>
          <w:spacing w:val="16"/>
          <w:sz w:val="24"/>
          <w:szCs w:val="24"/>
        </w:rPr>
        <w:t xml:space="preserve"> </w:t>
      </w:r>
      <w:r>
        <w:rPr>
          <w:rFonts w:ascii="宋体" w:hAnsi="宋体" w:eastAsia="宋体" w:cs="宋体"/>
          <w:spacing w:val="-3"/>
          <w:sz w:val="24"/>
          <w:szCs w:val="24"/>
        </w:rPr>
        <w:t>力的设备，设置防雷接地保护装置，选用带屏蔽层的电缆、屏蔽层接地等，将可</w:t>
      </w:r>
      <w:r>
        <w:rPr>
          <w:rFonts w:ascii="宋体" w:hAnsi="宋体" w:eastAsia="宋体" w:cs="宋体"/>
          <w:spacing w:val="14"/>
          <w:sz w:val="24"/>
          <w:szCs w:val="24"/>
        </w:rPr>
        <w:t xml:space="preserve"> </w:t>
      </w:r>
      <w:r>
        <w:rPr>
          <w:rFonts w:ascii="宋体" w:hAnsi="宋体" w:eastAsia="宋体" w:cs="宋体"/>
          <w:spacing w:val="-5"/>
          <w:sz w:val="24"/>
          <w:szCs w:val="24"/>
        </w:rPr>
        <w:t>以有效的降低电磁环境影响；</w:t>
      </w:r>
    </w:p>
    <w:p w14:paraId="34C8324C">
      <w:pPr>
        <w:spacing w:before="36" w:line="220" w:lineRule="auto"/>
        <w:ind w:left="610"/>
        <w:rPr>
          <w:rFonts w:ascii="宋体" w:hAnsi="宋体" w:eastAsia="宋体" w:cs="宋体"/>
          <w:sz w:val="24"/>
          <w:szCs w:val="24"/>
        </w:rPr>
      </w:pPr>
      <w:r>
        <w:rPr>
          <w:rFonts w:ascii="宋体" w:hAnsi="宋体" w:eastAsia="宋体" w:cs="宋体"/>
          <w:spacing w:val="8"/>
          <w:sz w:val="24"/>
          <w:szCs w:val="24"/>
        </w:rPr>
        <w:t>(3)控制绝缘与表面放电</w:t>
      </w:r>
    </w:p>
    <w:p w14:paraId="193BA079">
      <w:pPr>
        <w:spacing w:before="191" w:line="357" w:lineRule="auto"/>
        <w:ind w:right="89" w:firstLine="480"/>
        <w:rPr>
          <w:rFonts w:ascii="宋体" w:hAnsi="宋体" w:eastAsia="宋体" w:cs="宋体"/>
          <w:sz w:val="24"/>
          <w:szCs w:val="24"/>
        </w:rPr>
      </w:pPr>
      <w:r>
        <w:rPr>
          <w:rFonts w:ascii="宋体" w:hAnsi="宋体" w:eastAsia="宋体" w:cs="宋体"/>
          <w:spacing w:val="8"/>
          <w:sz w:val="24"/>
          <w:szCs w:val="24"/>
        </w:rPr>
        <w:t>合理选用各种电气设备及金属配件(如保护环、垫片、接头等),以减少高</w:t>
      </w:r>
      <w:r>
        <w:rPr>
          <w:rFonts w:ascii="宋体" w:hAnsi="宋体" w:eastAsia="宋体" w:cs="宋体"/>
          <w:spacing w:val="5"/>
          <w:sz w:val="24"/>
          <w:szCs w:val="24"/>
        </w:rPr>
        <w:t xml:space="preserve"> </w:t>
      </w:r>
      <w:r>
        <w:rPr>
          <w:rFonts w:ascii="宋体" w:hAnsi="宋体" w:eastAsia="宋体" w:cs="宋体"/>
          <w:spacing w:val="-4"/>
          <w:sz w:val="24"/>
          <w:szCs w:val="24"/>
        </w:rPr>
        <w:t>电位梯度点引起的放电；使用合理、优良的绝缘子来减少绝缘子的表面放电，尽</w:t>
      </w:r>
      <w:r>
        <w:rPr>
          <w:rFonts w:ascii="宋体" w:hAnsi="宋体" w:eastAsia="宋体" w:cs="宋体"/>
          <w:spacing w:val="13"/>
          <w:sz w:val="24"/>
          <w:szCs w:val="24"/>
        </w:rPr>
        <w:t xml:space="preserve"> </w:t>
      </w:r>
      <w:r>
        <w:rPr>
          <w:rFonts w:ascii="宋体" w:hAnsi="宋体" w:eastAsia="宋体" w:cs="宋体"/>
          <w:spacing w:val="-3"/>
          <w:sz w:val="24"/>
          <w:szCs w:val="24"/>
        </w:rPr>
        <w:t>量使用能改善绝缘子表面或沿绝缘子串电压分布的保护装置；</w:t>
      </w:r>
    </w:p>
    <w:p w14:paraId="43FD7A60">
      <w:pPr>
        <w:spacing w:line="219" w:lineRule="auto"/>
        <w:ind w:left="610"/>
        <w:rPr>
          <w:rFonts w:ascii="宋体" w:hAnsi="宋体" w:eastAsia="宋体" w:cs="宋体"/>
          <w:sz w:val="24"/>
          <w:szCs w:val="24"/>
        </w:rPr>
      </w:pPr>
      <w:r>
        <w:rPr>
          <w:rFonts w:ascii="宋体" w:hAnsi="宋体" w:eastAsia="宋体" w:cs="宋体"/>
          <w:spacing w:val="5"/>
          <w:sz w:val="24"/>
          <w:szCs w:val="24"/>
        </w:rPr>
        <w:t>(4)减少因接触不良或表面锈蚀而产生的火花</w:t>
      </w:r>
      <w:r>
        <w:rPr>
          <w:rFonts w:ascii="宋体" w:hAnsi="宋体" w:eastAsia="宋体" w:cs="宋体"/>
          <w:spacing w:val="4"/>
          <w:sz w:val="24"/>
          <w:szCs w:val="24"/>
        </w:rPr>
        <w:t>放电</w:t>
      </w:r>
    </w:p>
    <w:p w14:paraId="30BA458E">
      <w:pPr>
        <w:spacing w:before="195" w:line="356" w:lineRule="auto"/>
        <w:ind w:right="89" w:firstLine="480"/>
        <w:rPr>
          <w:rFonts w:ascii="宋体" w:hAnsi="宋体" w:eastAsia="宋体" w:cs="宋体"/>
          <w:sz w:val="24"/>
          <w:szCs w:val="24"/>
        </w:rPr>
      </w:pPr>
      <w:r>
        <w:rPr>
          <w:rFonts w:ascii="宋体" w:hAnsi="宋体" w:eastAsia="宋体" w:cs="宋体"/>
          <w:spacing w:val="-3"/>
          <w:sz w:val="24"/>
          <w:szCs w:val="24"/>
        </w:rPr>
        <w:t>在安装高压设备时，保证所有的固定螺栓都加弹簧垫后，可靠拧紧，导电元</w:t>
      </w:r>
      <w:r>
        <w:rPr>
          <w:rFonts w:ascii="宋体" w:hAnsi="宋体" w:eastAsia="宋体" w:cs="宋体"/>
          <w:spacing w:val="8"/>
          <w:sz w:val="24"/>
          <w:szCs w:val="24"/>
        </w:rPr>
        <w:t xml:space="preserve"> </w:t>
      </w:r>
      <w:r>
        <w:rPr>
          <w:rFonts w:ascii="宋体" w:hAnsi="宋体" w:eastAsia="宋体" w:cs="宋体"/>
          <w:spacing w:val="-1"/>
          <w:sz w:val="24"/>
          <w:szCs w:val="24"/>
        </w:rPr>
        <w:t>件尽可能接地，以减少因接触不良引起火花放电。</w:t>
      </w:r>
    </w:p>
    <w:p w14:paraId="23400D2A">
      <w:pPr>
        <w:spacing w:before="13" w:line="219" w:lineRule="auto"/>
        <w:ind w:right="18"/>
        <w:jc w:val="right"/>
        <w:rPr>
          <w:rFonts w:ascii="宋体" w:hAnsi="宋体" w:eastAsia="宋体" w:cs="宋体"/>
          <w:sz w:val="24"/>
          <w:szCs w:val="24"/>
        </w:rPr>
      </w:pPr>
      <w:r>
        <w:rPr>
          <w:rFonts w:ascii="宋体" w:hAnsi="宋体" w:eastAsia="宋体" w:cs="宋体"/>
          <w:spacing w:val="-1"/>
          <w:sz w:val="24"/>
          <w:szCs w:val="24"/>
        </w:rPr>
        <w:t>(5)采用良好的屏蔽体对各种电气设备进行遮蔽，有效降低电磁环境影响；</w:t>
      </w:r>
    </w:p>
    <w:p w14:paraId="2EDFDD27">
      <w:pPr>
        <w:spacing w:before="185" w:line="291" w:lineRule="auto"/>
        <w:ind w:right="77" w:firstLine="610"/>
        <w:rPr>
          <w:rFonts w:ascii="宋体" w:hAnsi="宋体" w:eastAsia="宋体" w:cs="宋体"/>
          <w:sz w:val="24"/>
          <w:szCs w:val="24"/>
        </w:rPr>
      </w:pPr>
      <w:r>
        <w:rPr>
          <w:rFonts w:ascii="宋体" w:hAnsi="宋体" w:eastAsia="宋体" w:cs="宋体"/>
          <w:spacing w:val="5"/>
          <w:sz w:val="24"/>
          <w:szCs w:val="24"/>
        </w:rPr>
        <w:t>(6)升压站附近高压危险区域应设置相应</w:t>
      </w:r>
      <w:r>
        <w:rPr>
          <w:rFonts w:ascii="宋体" w:hAnsi="宋体" w:eastAsia="宋体" w:cs="宋体"/>
          <w:spacing w:val="4"/>
          <w:sz w:val="24"/>
          <w:szCs w:val="24"/>
        </w:rPr>
        <w:t>的警告牌。升压站四周应修建围</w:t>
      </w:r>
      <w:r>
        <w:rPr>
          <w:rFonts w:ascii="宋体" w:hAnsi="宋体" w:eastAsia="宋体" w:cs="宋体"/>
          <w:sz w:val="24"/>
          <w:szCs w:val="24"/>
        </w:rPr>
        <w:t xml:space="preserve"> </w:t>
      </w:r>
      <w:r>
        <w:rPr>
          <w:rFonts w:ascii="宋体" w:hAnsi="宋体" w:eastAsia="宋体" w:cs="宋体"/>
          <w:spacing w:val="-1"/>
          <w:sz w:val="24"/>
          <w:szCs w:val="24"/>
        </w:rPr>
        <w:t>墙，禁止在输变电设施防护区内建设、搭建民房。</w:t>
      </w:r>
    </w:p>
    <w:p w14:paraId="3D3F4FE6">
      <w:pPr>
        <w:spacing w:before="184" w:line="219" w:lineRule="auto"/>
        <w:ind w:left="610"/>
        <w:rPr>
          <w:rFonts w:ascii="宋体" w:hAnsi="宋体" w:eastAsia="宋体" w:cs="宋体"/>
          <w:sz w:val="24"/>
          <w:szCs w:val="24"/>
        </w:rPr>
      </w:pPr>
      <w:r>
        <w:rPr>
          <w:rFonts w:ascii="宋体" w:hAnsi="宋体" w:eastAsia="宋体" w:cs="宋体"/>
          <w:spacing w:val="3"/>
          <w:sz w:val="24"/>
          <w:szCs w:val="24"/>
        </w:rPr>
        <w:t>(7)优化施工图设计，合理规划升压站位置及进出线布</w:t>
      </w:r>
      <w:r>
        <w:rPr>
          <w:rFonts w:ascii="宋体" w:hAnsi="宋体" w:eastAsia="宋体" w:cs="宋体"/>
          <w:spacing w:val="2"/>
          <w:sz w:val="24"/>
          <w:szCs w:val="24"/>
        </w:rPr>
        <w:t>局。</w:t>
      </w:r>
    </w:p>
    <w:p w14:paraId="0F8DA349">
      <w:pPr>
        <w:spacing w:before="177" w:line="291" w:lineRule="auto"/>
        <w:ind w:right="89" w:firstLine="610"/>
        <w:rPr>
          <w:rFonts w:ascii="宋体" w:hAnsi="宋体" w:eastAsia="宋体" w:cs="宋体"/>
          <w:sz w:val="24"/>
          <w:szCs w:val="24"/>
        </w:rPr>
      </w:pPr>
      <w:r>
        <w:rPr>
          <w:rFonts w:ascii="宋体" w:hAnsi="宋体" w:eastAsia="宋体" w:cs="宋体"/>
          <w:color w:val="FF0000"/>
          <w:spacing w:val="4"/>
          <w:sz w:val="24"/>
          <w:szCs w:val="24"/>
        </w:rPr>
        <w:t>(8)运行期做好环境保护设施的维护和运行管理，加强巡查和检查，保障</w:t>
      </w:r>
      <w:r>
        <w:rPr>
          <w:rFonts w:ascii="宋体" w:hAnsi="宋体" w:eastAsia="宋体" w:cs="宋体"/>
          <w:color w:val="FF0000"/>
          <w:spacing w:val="7"/>
          <w:sz w:val="24"/>
          <w:szCs w:val="24"/>
        </w:rPr>
        <w:t xml:space="preserve"> </w:t>
      </w:r>
      <w:r>
        <w:rPr>
          <w:rFonts w:ascii="宋体" w:hAnsi="宋体" w:eastAsia="宋体" w:cs="宋体"/>
          <w:color w:val="FF0000"/>
          <w:spacing w:val="-5"/>
          <w:sz w:val="24"/>
          <w:szCs w:val="24"/>
        </w:rPr>
        <w:t>发挥环境保护作用。</w:t>
      </w:r>
    </w:p>
    <w:p w14:paraId="26302696">
      <w:pPr>
        <w:spacing w:before="303" w:line="219" w:lineRule="auto"/>
        <w:ind w:left="610"/>
        <w:rPr>
          <w:rFonts w:ascii="宋体" w:hAnsi="宋体" w:eastAsia="宋体" w:cs="宋体"/>
          <w:sz w:val="24"/>
          <w:szCs w:val="24"/>
        </w:rPr>
      </w:pPr>
      <w:r>
        <w:rPr>
          <w:rFonts w:ascii="宋体" w:hAnsi="宋体" w:eastAsia="宋体" w:cs="宋体"/>
          <w:color w:val="FF0000"/>
          <w:spacing w:val="2"/>
          <w:sz w:val="24"/>
          <w:szCs w:val="24"/>
        </w:rPr>
        <w:t>(9)定期开展环境监测，确保电磁排放符合</w:t>
      </w:r>
      <w:r>
        <w:rPr>
          <w:rFonts w:ascii="宋体" w:hAnsi="宋体" w:eastAsia="宋体" w:cs="宋体"/>
          <w:color w:val="FF0000"/>
          <w:spacing w:val="-20"/>
          <w:sz w:val="24"/>
          <w:szCs w:val="24"/>
        </w:rPr>
        <w:t xml:space="preserve"> </w:t>
      </w:r>
      <w:r>
        <w:rPr>
          <w:rFonts w:ascii="Times New Roman" w:hAnsi="Times New Roman" w:eastAsia="Times New Roman" w:cs="Times New Roman"/>
          <w:color w:val="FF0000"/>
          <w:sz w:val="24"/>
          <w:szCs w:val="24"/>
        </w:rPr>
        <w:t>GB</w:t>
      </w:r>
      <w:r>
        <w:rPr>
          <w:rFonts w:ascii="Times New Roman" w:hAnsi="Times New Roman" w:eastAsia="Times New Roman" w:cs="Times New Roman"/>
          <w:color w:val="FF0000"/>
          <w:spacing w:val="2"/>
          <w:sz w:val="24"/>
          <w:szCs w:val="24"/>
        </w:rPr>
        <w:t xml:space="preserve">  8702</w:t>
      </w:r>
      <w:r>
        <w:rPr>
          <w:rFonts w:ascii="宋体" w:hAnsi="宋体" w:eastAsia="宋体" w:cs="宋体"/>
          <w:color w:val="FF0000"/>
          <w:spacing w:val="2"/>
          <w:sz w:val="24"/>
          <w:szCs w:val="24"/>
        </w:rPr>
        <w:t>标准要求</w:t>
      </w:r>
      <w:r>
        <w:rPr>
          <w:rFonts w:ascii="宋体" w:hAnsi="宋体" w:eastAsia="宋体" w:cs="宋体"/>
          <w:color w:val="FF0000"/>
          <w:spacing w:val="1"/>
          <w:sz w:val="24"/>
          <w:szCs w:val="24"/>
        </w:rPr>
        <w:t>，并及时解</w:t>
      </w:r>
    </w:p>
    <w:p w14:paraId="7A34BD4D">
      <w:pPr>
        <w:spacing w:line="219" w:lineRule="auto"/>
        <w:rPr>
          <w:rFonts w:ascii="宋体" w:hAnsi="宋体" w:eastAsia="宋体" w:cs="宋体"/>
          <w:sz w:val="24"/>
          <w:szCs w:val="24"/>
        </w:rPr>
        <w:sectPr>
          <w:footerReference r:id="rId242" w:type="default"/>
          <w:pgSz w:w="11910" w:h="16830"/>
          <w:pgMar w:top="400" w:right="1740" w:bottom="1156" w:left="1769" w:header="0" w:footer="967" w:gutter="0"/>
          <w:cols w:space="720" w:num="1"/>
        </w:sectPr>
      </w:pPr>
    </w:p>
    <w:p w14:paraId="7C4E8FF0">
      <w:pPr>
        <w:pStyle w:val="2"/>
        <w:spacing w:line="263" w:lineRule="auto"/>
      </w:pPr>
    </w:p>
    <w:p w14:paraId="42990DD0">
      <w:pPr>
        <w:pStyle w:val="2"/>
        <w:spacing w:line="264" w:lineRule="auto"/>
      </w:pPr>
    </w:p>
    <w:p w14:paraId="5384DAD8">
      <w:pPr>
        <w:pStyle w:val="2"/>
        <w:spacing w:line="264" w:lineRule="auto"/>
      </w:pPr>
    </w:p>
    <w:p w14:paraId="1F8770C3">
      <w:pPr>
        <w:pStyle w:val="2"/>
        <w:spacing w:line="264" w:lineRule="auto"/>
      </w:pPr>
    </w:p>
    <w:p w14:paraId="11B1DB91">
      <w:pPr>
        <w:spacing w:before="78" w:line="219" w:lineRule="auto"/>
        <w:ind w:left="24"/>
        <w:rPr>
          <w:rFonts w:ascii="宋体" w:hAnsi="宋体" w:eastAsia="宋体" w:cs="宋体"/>
          <w:sz w:val="24"/>
          <w:szCs w:val="24"/>
        </w:rPr>
      </w:pPr>
      <w:r>
        <w:rPr>
          <w:rFonts w:ascii="宋体" w:hAnsi="宋体" w:eastAsia="宋体" w:cs="宋体"/>
          <w:color w:val="FF0000"/>
          <w:spacing w:val="-3"/>
          <w:sz w:val="24"/>
          <w:szCs w:val="24"/>
        </w:rPr>
        <w:t>决公众合理的环境保护诉求。</w:t>
      </w:r>
    </w:p>
    <w:p w14:paraId="1E13E62A">
      <w:pPr>
        <w:spacing w:before="334" w:line="220" w:lineRule="auto"/>
        <w:ind w:left="24"/>
        <w:rPr>
          <w:rFonts w:ascii="宋体" w:hAnsi="宋体" w:eastAsia="宋体" w:cs="宋体"/>
          <w:sz w:val="31"/>
          <w:szCs w:val="31"/>
        </w:rPr>
      </w:pPr>
      <w:r>
        <w:rPr>
          <w:rFonts w:ascii="Times New Roman" w:hAnsi="Times New Roman" w:eastAsia="Times New Roman" w:cs="Times New Roman"/>
          <w:b/>
          <w:bCs/>
          <w:spacing w:val="-22"/>
          <w:sz w:val="31"/>
          <w:szCs w:val="31"/>
        </w:rPr>
        <w:t>4.2</w:t>
      </w:r>
      <w:r>
        <w:rPr>
          <w:rFonts w:ascii="Times New Roman" w:hAnsi="Times New Roman" w:eastAsia="Times New Roman" w:cs="Times New Roman"/>
          <w:b/>
          <w:bCs/>
          <w:spacing w:val="46"/>
          <w:w w:val="101"/>
          <w:sz w:val="31"/>
          <w:szCs w:val="31"/>
        </w:rPr>
        <w:t xml:space="preserve"> </w:t>
      </w:r>
      <w:r>
        <w:rPr>
          <w:rFonts w:ascii="宋体" w:hAnsi="宋体" w:eastAsia="宋体" w:cs="宋体"/>
          <w:b/>
          <w:bCs/>
          <w:spacing w:val="-22"/>
          <w:sz w:val="31"/>
          <w:szCs w:val="31"/>
        </w:rPr>
        <w:t>电磁环境监测计划</w:t>
      </w:r>
    </w:p>
    <w:p w14:paraId="013BD312">
      <w:pPr>
        <w:spacing w:before="222" w:line="351" w:lineRule="auto"/>
        <w:ind w:left="24" w:right="55" w:firstLine="490"/>
        <w:jc w:val="both"/>
        <w:rPr>
          <w:rFonts w:ascii="宋体" w:hAnsi="宋体" w:eastAsia="宋体" w:cs="宋体"/>
          <w:sz w:val="24"/>
          <w:szCs w:val="24"/>
        </w:rPr>
      </w:pPr>
      <w:r>
        <w:rPr>
          <w:rFonts w:ascii="宋体" w:hAnsi="宋体" w:eastAsia="宋体" w:cs="宋体"/>
          <w:spacing w:val="-3"/>
          <w:sz w:val="24"/>
          <w:szCs w:val="24"/>
        </w:rPr>
        <w:t>根据项目的环境影响和环境管理要求，并结合《建设项目竣工环境保护验收</w:t>
      </w:r>
      <w:r>
        <w:rPr>
          <w:rFonts w:ascii="宋体" w:hAnsi="宋体" w:eastAsia="宋体" w:cs="宋体"/>
          <w:spacing w:val="17"/>
          <w:sz w:val="24"/>
          <w:szCs w:val="24"/>
        </w:rPr>
        <w:t xml:space="preserve"> </w:t>
      </w:r>
      <w:r>
        <w:rPr>
          <w:rFonts w:ascii="宋体" w:hAnsi="宋体" w:eastAsia="宋体" w:cs="宋体"/>
          <w:spacing w:val="-1"/>
          <w:sz w:val="24"/>
          <w:szCs w:val="24"/>
        </w:rPr>
        <w:t>技术规范输变电》</w:t>
      </w:r>
      <w:r>
        <w:rPr>
          <w:rFonts w:ascii="宋体" w:hAnsi="宋体" w:eastAsia="宋体" w:cs="宋体"/>
          <w:spacing w:val="60"/>
          <w:sz w:val="24"/>
          <w:szCs w:val="24"/>
        </w:rPr>
        <w:t xml:space="preserve"> </w:t>
      </w:r>
      <w:r>
        <w:rPr>
          <w:rFonts w:ascii="宋体" w:hAnsi="宋体" w:eastAsia="宋体" w:cs="宋体"/>
          <w:spacing w:val="-1"/>
          <w:sz w:val="24"/>
          <w:szCs w:val="24"/>
        </w:rPr>
        <w:t>(</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HJ     705-2020),</w:t>
      </w:r>
      <w:r>
        <w:rPr>
          <w:rFonts w:ascii="Times New Roman" w:hAnsi="Times New Roman" w:eastAsia="Times New Roman" w:cs="Times New Roman"/>
          <w:spacing w:val="38"/>
          <w:sz w:val="24"/>
          <w:szCs w:val="24"/>
        </w:rPr>
        <w:t xml:space="preserve"> </w:t>
      </w:r>
      <w:r>
        <w:rPr>
          <w:rFonts w:ascii="宋体" w:hAnsi="宋体" w:eastAsia="宋体" w:cs="宋体"/>
          <w:spacing w:val="-1"/>
          <w:sz w:val="24"/>
          <w:szCs w:val="24"/>
        </w:rPr>
        <w:t>制定环境监测计划，环境监测计</w:t>
      </w:r>
      <w:r>
        <w:rPr>
          <w:rFonts w:ascii="宋体" w:hAnsi="宋体" w:eastAsia="宋体" w:cs="宋体"/>
          <w:spacing w:val="-2"/>
          <w:sz w:val="24"/>
          <w:szCs w:val="24"/>
        </w:rPr>
        <w:t>划的职责</w:t>
      </w:r>
      <w:r>
        <w:rPr>
          <w:rFonts w:ascii="宋体" w:hAnsi="宋体" w:eastAsia="宋体" w:cs="宋体"/>
          <w:sz w:val="24"/>
          <w:szCs w:val="24"/>
        </w:rPr>
        <w:t xml:space="preserve"> </w:t>
      </w:r>
      <w:r>
        <w:rPr>
          <w:rFonts w:ascii="宋体" w:hAnsi="宋体" w:eastAsia="宋体" w:cs="宋体"/>
          <w:spacing w:val="-3"/>
          <w:sz w:val="24"/>
          <w:szCs w:val="24"/>
        </w:rPr>
        <w:t>主要是测试、收集环境状况基本资料，整理、统计分析监测结果，并建立环保档</w:t>
      </w:r>
      <w:r>
        <w:rPr>
          <w:rFonts w:ascii="宋体" w:hAnsi="宋体" w:eastAsia="宋体" w:cs="宋体"/>
          <w:spacing w:val="11"/>
          <w:sz w:val="24"/>
          <w:szCs w:val="24"/>
        </w:rPr>
        <w:t xml:space="preserve"> </w:t>
      </w:r>
      <w:r>
        <w:rPr>
          <w:rFonts w:ascii="宋体" w:hAnsi="宋体" w:eastAsia="宋体" w:cs="宋体"/>
          <w:spacing w:val="-3"/>
          <w:sz w:val="24"/>
          <w:szCs w:val="24"/>
        </w:rPr>
        <w:t>案。由建设单位委托有资质的环境监测单位进行监测，具体的环境监测计划见表</w:t>
      </w:r>
      <w:r>
        <w:rPr>
          <w:rFonts w:ascii="宋体" w:hAnsi="宋体" w:eastAsia="宋体" w:cs="宋体"/>
          <w:spacing w:val="5"/>
          <w:sz w:val="24"/>
          <w:szCs w:val="24"/>
        </w:rPr>
        <w:t xml:space="preserve"> </w:t>
      </w:r>
      <w:r>
        <w:rPr>
          <w:rFonts w:ascii="Times New Roman" w:hAnsi="Times New Roman" w:eastAsia="Times New Roman" w:cs="Times New Roman"/>
          <w:spacing w:val="-1"/>
          <w:sz w:val="24"/>
          <w:szCs w:val="24"/>
        </w:rPr>
        <w:t>4-1</w:t>
      </w:r>
      <w:r>
        <w:rPr>
          <w:rFonts w:ascii="宋体" w:hAnsi="宋体" w:eastAsia="宋体" w:cs="宋体"/>
          <w:spacing w:val="-1"/>
          <w:sz w:val="24"/>
          <w:szCs w:val="24"/>
        </w:rPr>
        <w:t>。</w:t>
      </w:r>
    </w:p>
    <w:p w14:paraId="3C1CF4AA">
      <w:pPr>
        <w:spacing w:before="47" w:line="219" w:lineRule="auto"/>
        <w:ind w:left="2175"/>
        <w:rPr>
          <w:rFonts w:ascii="宋体" w:hAnsi="宋体" w:eastAsia="宋体" w:cs="宋体"/>
          <w:sz w:val="26"/>
          <w:szCs w:val="26"/>
        </w:rPr>
      </w:pPr>
      <w:r>
        <w:rPr>
          <w:rFonts w:ascii="宋体" w:hAnsi="宋体" w:eastAsia="宋体" w:cs="宋体"/>
          <w:spacing w:val="-10"/>
          <w:sz w:val="26"/>
          <w:szCs w:val="26"/>
        </w:rPr>
        <w:t>表4-1</w:t>
      </w:r>
      <w:r>
        <w:rPr>
          <w:rFonts w:ascii="宋体" w:hAnsi="宋体" w:eastAsia="宋体" w:cs="宋体"/>
          <w:spacing w:val="54"/>
          <w:sz w:val="26"/>
          <w:szCs w:val="26"/>
        </w:rPr>
        <w:t xml:space="preserve"> </w:t>
      </w:r>
      <w:r>
        <w:rPr>
          <w:rFonts w:ascii="宋体" w:hAnsi="宋体" w:eastAsia="宋体" w:cs="宋体"/>
          <w:spacing w:val="-10"/>
          <w:sz w:val="26"/>
          <w:szCs w:val="26"/>
        </w:rPr>
        <w:t>电磁辐射监测计划及监测内容</w:t>
      </w:r>
    </w:p>
    <w:p w14:paraId="795B2426">
      <w:pPr>
        <w:spacing w:line="56" w:lineRule="exact"/>
      </w:pPr>
    </w:p>
    <w:tbl>
      <w:tblPr>
        <w:tblStyle w:val="5"/>
        <w:tblW w:w="84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4"/>
        <w:gridCol w:w="1199"/>
        <w:gridCol w:w="2856"/>
        <w:gridCol w:w="1718"/>
        <w:gridCol w:w="2033"/>
      </w:tblGrid>
      <w:tr w14:paraId="7A078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594" w:type="dxa"/>
            <w:vAlign w:val="top"/>
          </w:tcPr>
          <w:p w14:paraId="6C5F827C">
            <w:pPr>
              <w:pStyle w:val="6"/>
              <w:spacing w:before="74" w:line="220" w:lineRule="auto"/>
              <w:jc w:val="right"/>
              <w:rPr>
                <w:sz w:val="21"/>
                <w:szCs w:val="21"/>
              </w:rPr>
            </w:pPr>
            <w:r>
              <w:rPr>
                <w:spacing w:val="-6"/>
                <w:sz w:val="21"/>
                <w:szCs w:val="21"/>
              </w:rPr>
              <w:t>项 目</w:t>
            </w:r>
          </w:p>
        </w:tc>
        <w:tc>
          <w:tcPr>
            <w:tcW w:w="1199" w:type="dxa"/>
            <w:vAlign w:val="top"/>
          </w:tcPr>
          <w:p w14:paraId="17EDCB3B">
            <w:pPr>
              <w:pStyle w:val="6"/>
              <w:spacing w:before="74" w:line="220" w:lineRule="auto"/>
              <w:ind w:left="170"/>
              <w:rPr>
                <w:sz w:val="21"/>
                <w:szCs w:val="21"/>
              </w:rPr>
            </w:pPr>
            <w:r>
              <w:rPr>
                <w:spacing w:val="-2"/>
                <w:sz w:val="21"/>
                <w:szCs w:val="21"/>
              </w:rPr>
              <w:t>监测因子</w:t>
            </w:r>
          </w:p>
        </w:tc>
        <w:tc>
          <w:tcPr>
            <w:tcW w:w="2856" w:type="dxa"/>
            <w:vAlign w:val="top"/>
          </w:tcPr>
          <w:p w14:paraId="0234DF7B">
            <w:pPr>
              <w:pStyle w:val="6"/>
              <w:spacing w:before="73" w:line="219" w:lineRule="auto"/>
              <w:ind w:left="681"/>
              <w:rPr>
                <w:sz w:val="21"/>
                <w:szCs w:val="21"/>
              </w:rPr>
            </w:pPr>
            <w:r>
              <w:rPr>
                <w:spacing w:val="-2"/>
                <w:sz w:val="21"/>
                <w:szCs w:val="21"/>
              </w:rPr>
              <w:t>监测点位及数量</w:t>
            </w:r>
          </w:p>
        </w:tc>
        <w:tc>
          <w:tcPr>
            <w:tcW w:w="1718" w:type="dxa"/>
            <w:vAlign w:val="top"/>
          </w:tcPr>
          <w:p w14:paraId="54F6AE3D">
            <w:pPr>
              <w:pStyle w:val="6"/>
              <w:spacing w:before="74" w:line="221" w:lineRule="auto"/>
              <w:ind w:left="435"/>
              <w:rPr>
                <w:sz w:val="21"/>
                <w:szCs w:val="21"/>
              </w:rPr>
            </w:pPr>
            <w:r>
              <w:rPr>
                <w:spacing w:val="-2"/>
                <w:sz w:val="21"/>
                <w:szCs w:val="21"/>
              </w:rPr>
              <w:t>监测方法</w:t>
            </w:r>
          </w:p>
        </w:tc>
        <w:tc>
          <w:tcPr>
            <w:tcW w:w="2033" w:type="dxa"/>
            <w:vAlign w:val="top"/>
          </w:tcPr>
          <w:p w14:paraId="46E0BF16">
            <w:pPr>
              <w:pStyle w:val="6"/>
              <w:spacing w:before="73" w:line="219" w:lineRule="auto"/>
              <w:ind w:left="587"/>
              <w:rPr>
                <w:sz w:val="21"/>
                <w:szCs w:val="21"/>
              </w:rPr>
            </w:pPr>
            <w:r>
              <w:rPr>
                <w:spacing w:val="-2"/>
                <w:sz w:val="21"/>
                <w:szCs w:val="21"/>
              </w:rPr>
              <w:t>监测频次</w:t>
            </w:r>
          </w:p>
        </w:tc>
      </w:tr>
      <w:tr w14:paraId="3F72C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6" w:hRule="atLeast"/>
        </w:trPr>
        <w:tc>
          <w:tcPr>
            <w:tcW w:w="594" w:type="dxa"/>
            <w:vAlign w:val="top"/>
          </w:tcPr>
          <w:p w14:paraId="32C160E9">
            <w:pPr>
              <w:spacing w:line="443" w:lineRule="auto"/>
              <w:rPr>
                <w:rFonts w:ascii="Arial"/>
                <w:sz w:val="21"/>
              </w:rPr>
            </w:pPr>
          </w:p>
          <w:p w14:paraId="25CB8005">
            <w:pPr>
              <w:pStyle w:val="6"/>
              <w:spacing w:before="68" w:line="273" w:lineRule="auto"/>
              <w:ind w:left="74" w:right="75"/>
              <w:jc w:val="both"/>
              <w:rPr>
                <w:sz w:val="21"/>
                <w:szCs w:val="21"/>
              </w:rPr>
            </w:pPr>
            <w:r>
              <w:rPr>
                <w:spacing w:val="-6"/>
                <w:sz w:val="21"/>
                <w:szCs w:val="21"/>
              </w:rPr>
              <w:t>工频</w:t>
            </w:r>
            <w:r>
              <w:rPr>
                <w:sz w:val="21"/>
                <w:szCs w:val="21"/>
              </w:rPr>
              <w:t xml:space="preserve"> </w:t>
            </w:r>
            <w:r>
              <w:rPr>
                <w:spacing w:val="6"/>
                <w:sz w:val="21"/>
                <w:szCs w:val="21"/>
              </w:rPr>
              <w:t>电场</w:t>
            </w:r>
            <w:r>
              <w:rPr>
                <w:sz w:val="21"/>
                <w:szCs w:val="21"/>
              </w:rPr>
              <w:t xml:space="preserve"> </w:t>
            </w:r>
            <w:r>
              <w:rPr>
                <w:spacing w:val="-6"/>
                <w:sz w:val="21"/>
                <w:szCs w:val="21"/>
              </w:rPr>
              <w:t>工频</w:t>
            </w:r>
            <w:r>
              <w:rPr>
                <w:sz w:val="21"/>
                <w:szCs w:val="21"/>
              </w:rPr>
              <w:t xml:space="preserve"> </w:t>
            </w:r>
            <w:r>
              <w:rPr>
                <w:spacing w:val="6"/>
                <w:sz w:val="21"/>
                <w:szCs w:val="21"/>
              </w:rPr>
              <w:t>磁场</w:t>
            </w:r>
          </w:p>
        </w:tc>
        <w:tc>
          <w:tcPr>
            <w:tcW w:w="1199" w:type="dxa"/>
            <w:vAlign w:val="top"/>
          </w:tcPr>
          <w:p w14:paraId="518E1FED">
            <w:pPr>
              <w:spacing w:line="252" w:lineRule="auto"/>
              <w:rPr>
                <w:rFonts w:ascii="Arial"/>
                <w:sz w:val="21"/>
              </w:rPr>
            </w:pPr>
          </w:p>
          <w:p w14:paraId="34B8C334">
            <w:pPr>
              <w:spacing w:line="252" w:lineRule="auto"/>
              <w:rPr>
                <w:rFonts w:ascii="Arial"/>
                <w:sz w:val="21"/>
              </w:rPr>
            </w:pPr>
          </w:p>
          <w:p w14:paraId="4DD916C0">
            <w:pPr>
              <w:spacing w:line="253" w:lineRule="auto"/>
              <w:rPr>
                <w:rFonts w:ascii="Arial"/>
                <w:sz w:val="21"/>
              </w:rPr>
            </w:pPr>
          </w:p>
          <w:p w14:paraId="531DF208">
            <w:pPr>
              <w:pStyle w:val="6"/>
              <w:spacing w:before="68" w:line="284" w:lineRule="auto"/>
              <w:ind w:left="60" w:right="65" w:firstLine="110"/>
              <w:rPr>
                <w:sz w:val="21"/>
                <w:szCs w:val="21"/>
              </w:rPr>
            </w:pPr>
            <w:r>
              <w:rPr>
                <w:spacing w:val="3"/>
                <w:sz w:val="21"/>
                <w:szCs w:val="21"/>
              </w:rPr>
              <w:t>电场强度</w:t>
            </w:r>
            <w:r>
              <w:rPr>
                <w:sz w:val="21"/>
                <w:szCs w:val="21"/>
              </w:rPr>
              <w:t xml:space="preserve">  </w:t>
            </w:r>
            <w:r>
              <w:rPr>
                <w:spacing w:val="2"/>
                <w:sz w:val="21"/>
                <w:szCs w:val="21"/>
              </w:rPr>
              <w:t>磁感应强度</w:t>
            </w:r>
          </w:p>
        </w:tc>
        <w:tc>
          <w:tcPr>
            <w:tcW w:w="2856" w:type="dxa"/>
            <w:vAlign w:val="top"/>
          </w:tcPr>
          <w:p w14:paraId="7075AD12">
            <w:pPr>
              <w:spacing w:line="450" w:lineRule="auto"/>
              <w:rPr>
                <w:rFonts w:ascii="Arial"/>
                <w:sz w:val="21"/>
              </w:rPr>
            </w:pPr>
          </w:p>
          <w:p w14:paraId="7E959971">
            <w:pPr>
              <w:pStyle w:val="6"/>
              <w:spacing w:before="68" w:line="220" w:lineRule="auto"/>
              <w:ind w:left="211"/>
              <w:rPr>
                <w:sz w:val="21"/>
                <w:szCs w:val="21"/>
              </w:rPr>
            </w:pPr>
            <w:r>
              <w:rPr>
                <w:sz w:val="21"/>
                <w:szCs w:val="21"/>
              </w:rPr>
              <w:t>110kV升压站厂界四周5m外</w:t>
            </w:r>
          </w:p>
          <w:p w14:paraId="49584DA3">
            <w:pPr>
              <w:pStyle w:val="6"/>
              <w:spacing w:before="59" w:line="220" w:lineRule="auto"/>
              <w:ind w:left="681"/>
              <w:rPr>
                <w:sz w:val="21"/>
                <w:szCs w:val="21"/>
              </w:rPr>
            </w:pPr>
            <w:r>
              <w:rPr>
                <w:spacing w:val="-1"/>
                <w:sz w:val="21"/>
                <w:szCs w:val="21"/>
              </w:rPr>
              <w:t>各设1处监测点。</w:t>
            </w:r>
          </w:p>
          <w:p w14:paraId="134D8ACA">
            <w:pPr>
              <w:pStyle w:val="6"/>
              <w:spacing w:before="89" w:line="220" w:lineRule="auto"/>
              <w:ind w:left="102"/>
              <w:rPr>
                <w:sz w:val="21"/>
                <w:szCs w:val="21"/>
              </w:rPr>
            </w:pPr>
            <w:r>
              <w:rPr>
                <w:spacing w:val="1"/>
                <w:sz w:val="21"/>
                <w:szCs w:val="21"/>
              </w:rPr>
              <w:t>110</w:t>
            </w:r>
            <w:r>
              <w:rPr>
                <w:sz w:val="21"/>
                <w:szCs w:val="21"/>
              </w:rPr>
              <w:t>kV</w:t>
            </w:r>
            <w:r>
              <w:rPr>
                <w:spacing w:val="1"/>
                <w:sz w:val="21"/>
                <w:szCs w:val="21"/>
              </w:rPr>
              <w:t>升压站出线间隔厂界设</w:t>
            </w:r>
          </w:p>
          <w:p w14:paraId="53B8EF87">
            <w:pPr>
              <w:pStyle w:val="6"/>
              <w:spacing w:before="59" w:line="219" w:lineRule="auto"/>
              <w:ind w:left="421"/>
              <w:rPr>
                <w:sz w:val="21"/>
                <w:szCs w:val="21"/>
              </w:rPr>
            </w:pPr>
            <w:r>
              <w:rPr>
                <w:spacing w:val="-1"/>
                <w:sz w:val="21"/>
                <w:szCs w:val="21"/>
              </w:rPr>
              <w:t>一处衰减断面监测点。</w:t>
            </w:r>
          </w:p>
        </w:tc>
        <w:tc>
          <w:tcPr>
            <w:tcW w:w="1718" w:type="dxa"/>
            <w:vAlign w:val="top"/>
          </w:tcPr>
          <w:p w14:paraId="3B034887">
            <w:pPr>
              <w:spacing w:line="449" w:lineRule="auto"/>
              <w:rPr>
                <w:rFonts w:ascii="Arial"/>
                <w:sz w:val="21"/>
              </w:rPr>
            </w:pPr>
          </w:p>
          <w:p w14:paraId="101867FA">
            <w:pPr>
              <w:pStyle w:val="6"/>
              <w:spacing w:before="68" w:line="219" w:lineRule="auto"/>
              <w:ind w:left="60"/>
              <w:rPr>
                <w:sz w:val="21"/>
                <w:szCs w:val="21"/>
              </w:rPr>
            </w:pPr>
            <w:r>
              <w:rPr>
                <w:sz w:val="21"/>
                <w:szCs w:val="21"/>
              </w:rPr>
              <w:t>《交流输变电工</w:t>
            </w:r>
          </w:p>
          <w:p w14:paraId="4B290B29">
            <w:pPr>
              <w:pStyle w:val="6"/>
              <w:spacing w:before="61" w:line="220" w:lineRule="auto"/>
              <w:ind w:left="115"/>
              <w:rPr>
                <w:sz w:val="21"/>
                <w:szCs w:val="21"/>
              </w:rPr>
            </w:pPr>
            <w:r>
              <w:rPr>
                <w:spacing w:val="2"/>
                <w:sz w:val="21"/>
                <w:szCs w:val="21"/>
              </w:rPr>
              <w:t>程电磁环境监测</w:t>
            </w:r>
          </w:p>
          <w:p w14:paraId="3A66E69A">
            <w:pPr>
              <w:pStyle w:val="6"/>
              <w:spacing w:before="87" w:line="218" w:lineRule="auto"/>
              <w:ind w:left="65"/>
              <w:rPr>
                <w:sz w:val="21"/>
                <w:szCs w:val="21"/>
              </w:rPr>
            </w:pPr>
            <w:r>
              <w:rPr>
                <w:spacing w:val="-1"/>
                <w:sz w:val="21"/>
                <w:szCs w:val="21"/>
              </w:rPr>
              <w:t>方法(试行)》(HJ</w:t>
            </w:r>
          </w:p>
          <w:p w14:paraId="2CA81D4E">
            <w:pPr>
              <w:pStyle w:val="6"/>
              <w:spacing w:before="67" w:line="222" w:lineRule="auto"/>
              <w:ind w:left="375"/>
              <w:rPr>
                <w:sz w:val="21"/>
                <w:szCs w:val="21"/>
              </w:rPr>
            </w:pPr>
            <w:r>
              <w:rPr>
                <w:spacing w:val="-2"/>
                <w:sz w:val="21"/>
                <w:szCs w:val="21"/>
              </w:rPr>
              <w:t>681-2013)</w:t>
            </w:r>
          </w:p>
        </w:tc>
        <w:tc>
          <w:tcPr>
            <w:tcW w:w="2033" w:type="dxa"/>
            <w:vAlign w:val="top"/>
          </w:tcPr>
          <w:p w14:paraId="33A8DFED">
            <w:pPr>
              <w:pStyle w:val="6"/>
              <w:spacing w:before="57" w:line="266" w:lineRule="auto"/>
              <w:ind w:left="67" w:right="20"/>
              <w:rPr>
                <w:sz w:val="21"/>
                <w:szCs w:val="21"/>
              </w:rPr>
            </w:pPr>
            <w:r>
              <w:rPr>
                <w:spacing w:val="1"/>
                <w:sz w:val="21"/>
                <w:szCs w:val="21"/>
              </w:rPr>
              <w:t>工程正式投产运行后</w:t>
            </w:r>
            <w:r>
              <w:rPr>
                <w:spacing w:val="5"/>
                <w:sz w:val="21"/>
                <w:szCs w:val="21"/>
              </w:rPr>
              <w:t xml:space="preserve"> </w:t>
            </w:r>
            <w:r>
              <w:rPr>
                <w:spacing w:val="-1"/>
                <w:sz w:val="21"/>
                <w:szCs w:val="21"/>
              </w:rPr>
              <w:t>验收时监测一次，运</w:t>
            </w:r>
            <w:r>
              <w:rPr>
                <w:sz w:val="21"/>
                <w:szCs w:val="21"/>
              </w:rPr>
              <w:t xml:space="preserve"> 营期间针对工程变化</w:t>
            </w:r>
            <w:r>
              <w:rPr>
                <w:spacing w:val="7"/>
                <w:sz w:val="21"/>
                <w:szCs w:val="21"/>
              </w:rPr>
              <w:t xml:space="preserve"> </w:t>
            </w:r>
            <w:r>
              <w:rPr>
                <w:spacing w:val="11"/>
                <w:sz w:val="21"/>
                <w:szCs w:val="21"/>
              </w:rPr>
              <w:t>或投诉情况进行监</w:t>
            </w:r>
            <w:r>
              <w:rPr>
                <w:sz w:val="21"/>
                <w:szCs w:val="21"/>
              </w:rPr>
              <w:t xml:space="preserve">  </w:t>
            </w:r>
            <w:r>
              <w:rPr>
                <w:spacing w:val="-2"/>
                <w:sz w:val="21"/>
                <w:szCs w:val="21"/>
              </w:rPr>
              <w:t>测；例行环境监测计</w:t>
            </w:r>
            <w:r>
              <w:rPr>
                <w:spacing w:val="7"/>
                <w:sz w:val="21"/>
                <w:szCs w:val="21"/>
              </w:rPr>
              <w:t xml:space="preserve"> </w:t>
            </w:r>
            <w:r>
              <w:rPr>
                <w:spacing w:val="-1"/>
                <w:sz w:val="21"/>
                <w:szCs w:val="21"/>
              </w:rPr>
              <w:t>划或生态环境主管部</w:t>
            </w:r>
            <w:r>
              <w:rPr>
                <w:sz w:val="21"/>
                <w:szCs w:val="21"/>
              </w:rPr>
              <w:t xml:space="preserve"> </w:t>
            </w:r>
            <w:r>
              <w:rPr>
                <w:spacing w:val="4"/>
                <w:sz w:val="21"/>
                <w:szCs w:val="21"/>
              </w:rPr>
              <w:t>门要求时进行监测。</w:t>
            </w:r>
          </w:p>
        </w:tc>
      </w:tr>
    </w:tbl>
    <w:p w14:paraId="680030E0">
      <w:pPr>
        <w:pStyle w:val="2"/>
      </w:pPr>
    </w:p>
    <w:p w14:paraId="3787A6D3">
      <w:pPr>
        <w:sectPr>
          <w:footerReference r:id="rId243" w:type="default"/>
          <w:pgSz w:w="11910" w:h="16830"/>
          <w:pgMar w:top="400" w:right="1754" w:bottom="1181" w:left="1745" w:header="0" w:footer="920" w:gutter="0"/>
          <w:cols w:space="720" w:num="1"/>
        </w:sectPr>
      </w:pPr>
    </w:p>
    <w:p w14:paraId="05E99AB0">
      <w:pPr>
        <w:pStyle w:val="2"/>
        <w:spacing w:line="267" w:lineRule="auto"/>
      </w:pPr>
    </w:p>
    <w:p w14:paraId="313949E8">
      <w:pPr>
        <w:pStyle w:val="2"/>
        <w:spacing w:line="267" w:lineRule="auto"/>
      </w:pPr>
    </w:p>
    <w:p w14:paraId="1BF3977D">
      <w:pPr>
        <w:pStyle w:val="2"/>
        <w:spacing w:line="267" w:lineRule="auto"/>
      </w:pPr>
    </w:p>
    <w:p w14:paraId="387B4AC9">
      <w:pPr>
        <w:pStyle w:val="2"/>
        <w:spacing w:line="267" w:lineRule="auto"/>
      </w:pPr>
    </w:p>
    <w:p w14:paraId="77DF8EFE">
      <w:pPr>
        <w:spacing w:before="101" w:line="218" w:lineRule="auto"/>
        <w:rPr>
          <w:rFonts w:ascii="宋体" w:hAnsi="宋体" w:eastAsia="宋体" w:cs="宋体"/>
          <w:sz w:val="31"/>
          <w:szCs w:val="31"/>
        </w:rPr>
      </w:pPr>
      <w:r>
        <w:rPr>
          <w:rFonts w:ascii="Times New Roman" w:hAnsi="Times New Roman" w:eastAsia="Times New Roman" w:cs="Times New Roman"/>
          <w:b/>
          <w:bCs/>
          <w:spacing w:val="-10"/>
          <w:sz w:val="31"/>
          <w:szCs w:val="31"/>
        </w:rPr>
        <w:t xml:space="preserve">5  </w:t>
      </w:r>
      <w:r>
        <w:rPr>
          <w:rFonts w:ascii="宋体" w:hAnsi="宋体" w:eastAsia="宋体" w:cs="宋体"/>
          <w:b/>
          <w:bCs/>
          <w:spacing w:val="-10"/>
          <w:sz w:val="31"/>
          <w:szCs w:val="31"/>
        </w:rPr>
        <w:t>电磁辐射影响评价结论</w:t>
      </w:r>
    </w:p>
    <w:p w14:paraId="68A80CAF">
      <w:pPr>
        <w:spacing w:before="217" w:line="343" w:lineRule="auto"/>
        <w:ind w:right="39" w:firstLine="480"/>
        <w:jc w:val="both"/>
        <w:rPr>
          <w:rFonts w:ascii="宋体" w:hAnsi="宋体" w:eastAsia="宋体" w:cs="宋体"/>
          <w:sz w:val="24"/>
          <w:szCs w:val="24"/>
        </w:rPr>
      </w:pPr>
      <w:r>
        <w:rPr>
          <w:rFonts w:ascii="宋体" w:hAnsi="宋体" w:eastAsia="宋体" w:cs="宋体"/>
          <w:spacing w:val="5"/>
          <w:sz w:val="24"/>
          <w:szCs w:val="24"/>
        </w:rPr>
        <w:t>根据电磁现状监测，本项目拟建110</w:t>
      </w:r>
      <w:r>
        <w:rPr>
          <w:rFonts w:ascii="Times New Roman" w:hAnsi="Times New Roman" w:eastAsia="Times New Roman" w:cs="Times New Roman"/>
          <w:sz w:val="24"/>
          <w:szCs w:val="24"/>
        </w:rPr>
        <w:t>kV</w:t>
      </w:r>
      <w:r>
        <w:rPr>
          <w:rFonts w:ascii="Times New Roman" w:hAnsi="Times New Roman" w:eastAsia="Times New Roman" w:cs="Times New Roman"/>
          <w:spacing w:val="-6"/>
          <w:sz w:val="24"/>
          <w:szCs w:val="24"/>
        </w:rPr>
        <w:t xml:space="preserve"> </w:t>
      </w:r>
      <w:r>
        <w:rPr>
          <w:rFonts w:ascii="宋体" w:hAnsi="宋体" w:eastAsia="宋体" w:cs="宋体"/>
          <w:spacing w:val="5"/>
          <w:sz w:val="24"/>
          <w:szCs w:val="24"/>
        </w:rPr>
        <w:t>升压站各监测点的电场强度监测值</w:t>
      </w:r>
      <w:r>
        <w:rPr>
          <w:rFonts w:ascii="宋体" w:hAnsi="宋体" w:eastAsia="宋体" w:cs="宋体"/>
          <w:sz w:val="24"/>
          <w:szCs w:val="24"/>
        </w:rPr>
        <w:t xml:space="preserve"> </w:t>
      </w:r>
      <w:r>
        <w:rPr>
          <w:rFonts w:ascii="宋体" w:hAnsi="宋体" w:eastAsia="宋体" w:cs="宋体"/>
          <w:spacing w:val="5"/>
          <w:sz w:val="24"/>
          <w:szCs w:val="24"/>
        </w:rPr>
        <w:t>小于4</w:t>
      </w:r>
      <w:r>
        <w:rPr>
          <w:rFonts w:ascii="Times New Roman" w:hAnsi="Times New Roman" w:eastAsia="Times New Roman" w:cs="Times New Roman"/>
          <w:sz w:val="24"/>
          <w:szCs w:val="24"/>
        </w:rPr>
        <w:t>kV</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29"/>
          <w:w w:val="101"/>
          <w:sz w:val="24"/>
          <w:szCs w:val="24"/>
        </w:rPr>
        <w:t xml:space="preserve">  </w:t>
      </w:r>
      <w:r>
        <w:rPr>
          <w:rFonts w:ascii="宋体" w:hAnsi="宋体" w:eastAsia="宋体" w:cs="宋体"/>
          <w:spacing w:val="5"/>
          <w:sz w:val="24"/>
          <w:szCs w:val="24"/>
        </w:rPr>
        <w:t>磁感应强度监测值小于100μ</w:t>
      </w:r>
      <w:r>
        <w:rPr>
          <w:rFonts w:ascii="Times New Roman" w:hAnsi="Times New Roman" w:eastAsia="Times New Roman" w:cs="Times New Roman"/>
          <w:spacing w:val="5"/>
          <w:sz w:val="24"/>
          <w:szCs w:val="24"/>
        </w:rPr>
        <w:t>T,</w:t>
      </w:r>
      <w:r>
        <w:rPr>
          <w:rFonts w:ascii="Times New Roman" w:hAnsi="Times New Roman" w:eastAsia="Times New Roman" w:cs="Times New Roman"/>
          <w:sz w:val="24"/>
          <w:szCs w:val="24"/>
        </w:rPr>
        <w:t xml:space="preserve">   </w:t>
      </w:r>
      <w:r>
        <w:rPr>
          <w:rFonts w:ascii="宋体" w:hAnsi="宋体" w:eastAsia="宋体" w:cs="宋体"/>
          <w:spacing w:val="5"/>
          <w:sz w:val="24"/>
          <w:szCs w:val="24"/>
        </w:rPr>
        <w:t>工频电场和工频磁场均满足《电</w:t>
      </w:r>
      <w:r>
        <w:rPr>
          <w:rFonts w:ascii="宋体" w:hAnsi="宋体" w:eastAsia="宋体" w:cs="宋体"/>
          <w:sz w:val="24"/>
          <w:szCs w:val="24"/>
        </w:rPr>
        <w:t xml:space="preserve"> </w:t>
      </w:r>
      <w:r>
        <w:rPr>
          <w:rFonts w:ascii="宋体" w:hAnsi="宋体" w:eastAsia="宋体" w:cs="宋体"/>
          <w:spacing w:val="-3"/>
          <w:sz w:val="24"/>
          <w:szCs w:val="24"/>
        </w:rPr>
        <w:t>磁环境控制限值》</w:t>
      </w:r>
      <w:r>
        <w:rPr>
          <w:rFonts w:ascii="宋体" w:hAnsi="宋体" w:eastAsia="宋体" w:cs="宋体"/>
          <w:spacing w:val="-14"/>
          <w:sz w:val="24"/>
          <w:szCs w:val="24"/>
        </w:rPr>
        <w:t xml:space="preserve"> </w:t>
      </w:r>
      <w:r>
        <w:rPr>
          <w:rFonts w:ascii="宋体" w:hAnsi="宋体" w:eastAsia="宋体" w:cs="宋体"/>
          <w:spacing w:val="-3"/>
          <w:sz w:val="24"/>
          <w:szCs w:val="24"/>
        </w:rPr>
        <w:t>(</w:t>
      </w:r>
      <w:r>
        <w:rPr>
          <w:rFonts w:ascii="宋体" w:hAnsi="宋体" w:eastAsia="宋体" w:cs="宋体"/>
          <w:spacing w:val="-68"/>
          <w:sz w:val="24"/>
          <w:szCs w:val="24"/>
        </w:rPr>
        <w:t xml:space="preserve"> </w:t>
      </w:r>
      <w:r>
        <w:rPr>
          <w:rFonts w:ascii="Times New Roman" w:hAnsi="Times New Roman" w:eastAsia="Times New Roman" w:cs="Times New Roman"/>
          <w:spacing w:val="-3"/>
          <w:sz w:val="24"/>
          <w:szCs w:val="24"/>
        </w:rPr>
        <w:t>GB8702-2014)</w:t>
      </w:r>
      <w:r>
        <w:rPr>
          <w:rFonts w:ascii="Times New Roman" w:hAnsi="Times New Roman" w:eastAsia="Times New Roman" w:cs="Times New Roman"/>
          <w:spacing w:val="22"/>
          <w:w w:val="101"/>
          <w:sz w:val="24"/>
          <w:szCs w:val="24"/>
        </w:rPr>
        <w:t xml:space="preserve">  </w:t>
      </w:r>
      <w:r>
        <w:rPr>
          <w:rFonts w:ascii="宋体" w:hAnsi="宋体" w:eastAsia="宋体" w:cs="宋体"/>
          <w:spacing w:val="-3"/>
          <w:sz w:val="24"/>
          <w:szCs w:val="24"/>
        </w:rPr>
        <w:t>规定要求。</w:t>
      </w:r>
    </w:p>
    <w:p w14:paraId="676300A9">
      <w:pPr>
        <w:tabs>
          <w:tab w:val="left" w:pos="140"/>
        </w:tabs>
        <w:spacing w:before="71" w:line="357" w:lineRule="auto"/>
        <w:ind w:right="40" w:firstLine="480"/>
        <w:jc w:val="both"/>
        <w:rPr>
          <w:rFonts w:ascii="宋体" w:hAnsi="宋体" w:eastAsia="宋体" w:cs="宋体"/>
          <w:sz w:val="24"/>
          <w:szCs w:val="24"/>
        </w:rPr>
      </w:pPr>
      <w:r>
        <w:rPr>
          <w:rFonts w:ascii="宋体" w:hAnsi="宋体" w:eastAsia="宋体" w:cs="宋体"/>
          <w:color w:val="FF0000"/>
          <w:spacing w:val="5"/>
          <w:sz w:val="24"/>
          <w:szCs w:val="24"/>
        </w:rPr>
        <w:t>根据类比分析及预测，本项目110</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4"/>
          <w:sz w:val="24"/>
          <w:szCs w:val="24"/>
        </w:rPr>
        <w:t xml:space="preserve"> </w:t>
      </w:r>
      <w:r>
        <w:rPr>
          <w:rFonts w:ascii="宋体" w:hAnsi="宋体" w:eastAsia="宋体" w:cs="宋体"/>
          <w:color w:val="FF0000"/>
          <w:spacing w:val="5"/>
          <w:sz w:val="24"/>
          <w:szCs w:val="24"/>
        </w:rPr>
        <w:t>升压站运行期产生的工频电场强度预</w:t>
      </w:r>
      <w:r>
        <w:rPr>
          <w:rFonts w:ascii="宋体" w:hAnsi="宋体" w:eastAsia="宋体" w:cs="宋体"/>
          <w:color w:val="FF0000"/>
          <w:sz w:val="24"/>
          <w:szCs w:val="24"/>
        </w:rPr>
        <w:t xml:space="preserve"> </w:t>
      </w:r>
      <w:r>
        <w:rPr>
          <w:rFonts w:ascii="仿宋" w:hAnsi="仿宋" w:eastAsia="仿宋" w:cs="仿宋"/>
          <w:color w:val="FF0000"/>
          <w:spacing w:val="15"/>
          <w:sz w:val="24"/>
          <w:szCs w:val="24"/>
        </w:rPr>
        <w:t>测值在77.4~664.874</w:t>
      </w:r>
      <w:r>
        <w:rPr>
          <w:rFonts w:ascii="Times New Roman" w:hAnsi="Times New Roman" w:eastAsia="Times New Roman" w:cs="Times New Roman"/>
          <w:color w:val="FF0000"/>
          <w:spacing w:val="15"/>
          <w:sz w:val="24"/>
          <w:szCs w:val="24"/>
        </w:rPr>
        <w:t xml:space="preserve">V/m </w:t>
      </w:r>
      <w:r>
        <w:rPr>
          <w:rFonts w:ascii="仿宋" w:hAnsi="仿宋" w:eastAsia="仿宋" w:cs="仿宋"/>
          <w:color w:val="FF0000"/>
          <w:spacing w:val="15"/>
          <w:sz w:val="24"/>
          <w:szCs w:val="24"/>
        </w:rPr>
        <w:t>之间，工频电场强度满足《电磁环境控制限值》</w:t>
      </w:r>
      <w:r>
        <w:rPr>
          <w:rFonts w:ascii="仿宋" w:hAnsi="仿宋" w:eastAsia="仿宋" w:cs="仿宋"/>
          <w:color w:val="FF0000"/>
          <w:spacing w:val="12"/>
          <w:sz w:val="24"/>
          <w:szCs w:val="24"/>
        </w:rPr>
        <w:t xml:space="preserve"> </w:t>
      </w:r>
      <w:r>
        <w:rPr>
          <w:rFonts w:ascii="Times New Roman" w:hAnsi="Times New Roman" w:eastAsia="Times New Roman" w:cs="Times New Roman"/>
          <w:color w:val="FF0000"/>
          <w:sz w:val="24"/>
          <w:szCs w:val="24"/>
        </w:rPr>
        <w:tab/>
      </w:r>
      <w:r>
        <w:rPr>
          <w:rFonts w:ascii="Times New Roman" w:hAnsi="Times New Roman" w:eastAsia="Times New Roman" w:cs="Times New Roman"/>
          <w:color w:val="FF0000"/>
          <w:spacing w:val="11"/>
          <w:sz w:val="24"/>
          <w:szCs w:val="24"/>
        </w:rPr>
        <w:t>(</w:t>
      </w:r>
      <w:r>
        <w:rPr>
          <w:rFonts w:ascii="Times New Roman" w:hAnsi="Times New Roman" w:eastAsia="Times New Roman" w:cs="Times New Roman"/>
          <w:color w:val="FF0000"/>
          <w:sz w:val="24"/>
          <w:szCs w:val="24"/>
        </w:rPr>
        <w:t>GB</w:t>
      </w:r>
      <w:r>
        <w:rPr>
          <w:rFonts w:ascii="Times New Roman" w:hAnsi="Times New Roman" w:eastAsia="Times New Roman" w:cs="Times New Roman"/>
          <w:color w:val="FF0000"/>
          <w:spacing w:val="11"/>
          <w:sz w:val="24"/>
          <w:szCs w:val="24"/>
        </w:rPr>
        <w:t xml:space="preserve">8702-2014)   </w:t>
      </w:r>
      <w:r>
        <w:rPr>
          <w:rFonts w:ascii="宋体" w:hAnsi="宋体" w:eastAsia="宋体" w:cs="宋体"/>
          <w:color w:val="FF0000"/>
          <w:spacing w:val="11"/>
          <w:sz w:val="24"/>
          <w:szCs w:val="24"/>
        </w:rPr>
        <w:t>中评价标准4</w:t>
      </w:r>
      <w:r>
        <w:rPr>
          <w:rFonts w:ascii="Times New Roman" w:hAnsi="Times New Roman" w:eastAsia="Times New Roman" w:cs="Times New Roman"/>
          <w:color w:val="FF0000"/>
          <w:sz w:val="24"/>
          <w:szCs w:val="24"/>
        </w:rPr>
        <w:t>kV</w:t>
      </w:r>
      <w:r>
        <w:rPr>
          <w:rFonts w:ascii="Times New Roman" w:hAnsi="Times New Roman" w:eastAsia="Times New Roman" w:cs="Times New Roman"/>
          <w:color w:val="FF0000"/>
          <w:spacing w:val="11"/>
          <w:sz w:val="24"/>
          <w:szCs w:val="24"/>
        </w:rPr>
        <w:t xml:space="preserve">/m </w:t>
      </w:r>
      <w:r>
        <w:rPr>
          <w:rFonts w:ascii="宋体" w:hAnsi="宋体" w:eastAsia="宋体" w:cs="宋体"/>
          <w:color w:val="FF0000"/>
          <w:spacing w:val="11"/>
          <w:sz w:val="24"/>
          <w:szCs w:val="24"/>
        </w:rPr>
        <w:t>的限值要求。工频磁感应强度预测值在</w:t>
      </w:r>
      <w:r>
        <w:rPr>
          <w:rFonts w:ascii="宋体" w:hAnsi="宋体" w:eastAsia="宋体" w:cs="宋体"/>
          <w:color w:val="FF0000"/>
          <w:spacing w:val="12"/>
          <w:sz w:val="24"/>
          <w:szCs w:val="24"/>
        </w:rPr>
        <w:t xml:space="preserve"> </w:t>
      </w:r>
      <w:r>
        <w:rPr>
          <w:rFonts w:ascii="Times New Roman" w:hAnsi="Times New Roman" w:eastAsia="Times New Roman" w:cs="Times New Roman"/>
          <w:color w:val="FF0000"/>
          <w:spacing w:val="-8"/>
          <w:sz w:val="24"/>
          <w:szCs w:val="24"/>
        </w:rPr>
        <w:t>1.783~20.075μT</w:t>
      </w:r>
      <w:r>
        <w:rPr>
          <w:rFonts w:ascii="Times New Roman" w:hAnsi="Times New Roman" w:eastAsia="Times New Roman" w:cs="Times New Roman"/>
          <w:color w:val="FF0000"/>
          <w:spacing w:val="22"/>
          <w:sz w:val="24"/>
          <w:szCs w:val="24"/>
        </w:rPr>
        <w:t xml:space="preserve">  </w:t>
      </w:r>
      <w:r>
        <w:rPr>
          <w:rFonts w:ascii="宋体" w:hAnsi="宋体" w:eastAsia="宋体" w:cs="宋体"/>
          <w:color w:val="FF0000"/>
          <w:spacing w:val="-8"/>
          <w:sz w:val="24"/>
          <w:szCs w:val="24"/>
        </w:rPr>
        <w:t>之间，工频磁感应强度满足《电磁环境控制限值》(</w:t>
      </w:r>
      <w:r>
        <w:rPr>
          <w:rFonts w:ascii="Times New Roman" w:hAnsi="Times New Roman" w:eastAsia="Times New Roman" w:cs="Times New Roman"/>
          <w:color w:val="FF0000"/>
          <w:spacing w:val="-8"/>
          <w:sz w:val="24"/>
          <w:szCs w:val="24"/>
        </w:rPr>
        <w:t>GB870</w:t>
      </w:r>
      <w:r>
        <w:rPr>
          <w:rFonts w:ascii="Times New Roman" w:hAnsi="Times New Roman" w:eastAsia="Times New Roman" w:cs="Times New Roman"/>
          <w:color w:val="FF0000"/>
          <w:spacing w:val="-9"/>
          <w:sz w:val="24"/>
          <w:szCs w:val="24"/>
        </w:rPr>
        <w:t>2-2014)</w:t>
      </w:r>
      <w:r>
        <w:rPr>
          <w:rFonts w:ascii="Times New Roman" w:hAnsi="Times New Roman" w:eastAsia="Times New Roman" w:cs="Times New Roman"/>
          <w:color w:val="FF0000"/>
          <w:sz w:val="24"/>
          <w:szCs w:val="24"/>
        </w:rPr>
        <w:t xml:space="preserve">  </w:t>
      </w:r>
      <w:r>
        <w:rPr>
          <w:rFonts w:ascii="宋体" w:hAnsi="宋体" w:eastAsia="宋体" w:cs="宋体"/>
          <w:color w:val="FF0000"/>
          <w:sz w:val="24"/>
          <w:szCs w:val="24"/>
        </w:rPr>
        <w:t>中评价标准100μ</w:t>
      </w:r>
      <w:r>
        <w:rPr>
          <w:rFonts w:ascii="Times New Roman" w:hAnsi="Times New Roman" w:eastAsia="Times New Roman" w:cs="Times New Roman"/>
          <w:color w:val="FF0000"/>
          <w:sz w:val="24"/>
          <w:szCs w:val="24"/>
        </w:rPr>
        <w:t xml:space="preserve">T </w:t>
      </w:r>
      <w:r>
        <w:rPr>
          <w:rFonts w:ascii="宋体" w:hAnsi="宋体" w:eastAsia="宋体" w:cs="宋体"/>
          <w:color w:val="FF0000"/>
          <w:sz w:val="24"/>
          <w:szCs w:val="24"/>
        </w:rPr>
        <w:t>的限值要求。</w:t>
      </w:r>
    </w:p>
    <w:p w14:paraId="3AA5C5CF">
      <w:pPr>
        <w:spacing w:before="20" w:line="357" w:lineRule="auto"/>
        <w:ind w:right="41" w:firstLine="480"/>
        <w:jc w:val="both"/>
        <w:rPr>
          <w:rFonts w:ascii="仿宋" w:hAnsi="仿宋" w:eastAsia="仿宋" w:cs="仿宋"/>
          <w:sz w:val="24"/>
          <w:szCs w:val="24"/>
        </w:rPr>
      </w:pPr>
      <w:r>
        <w:rPr>
          <w:rFonts w:ascii="宋体" w:hAnsi="宋体" w:eastAsia="宋体" w:cs="宋体"/>
          <w:spacing w:val="5"/>
          <w:sz w:val="24"/>
          <w:szCs w:val="24"/>
        </w:rPr>
        <w:t>此外，根据现场踏勘，本项目110</w:t>
      </w:r>
      <w:r>
        <w:rPr>
          <w:rFonts w:ascii="Times New Roman" w:hAnsi="Times New Roman" w:eastAsia="Times New Roman" w:cs="Times New Roman"/>
          <w:sz w:val="24"/>
          <w:szCs w:val="24"/>
        </w:rPr>
        <w:t>kV</w:t>
      </w:r>
      <w:r>
        <w:rPr>
          <w:rFonts w:ascii="Times New Roman" w:hAnsi="Times New Roman" w:eastAsia="Times New Roman" w:cs="Times New Roman"/>
          <w:spacing w:val="-3"/>
          <w:sz w:val="24"/>
          <w:szCs w:val="24"/>
        </w:rPr>
        <w:t xml:space="preserve"> </w:t>
      </w:r>
      <w:r>
        <w:rPr>
          <w:rFonts w:ascii="宋体" w:hAnsi="宋体" w:eastAsia="宋体" w:cs="宋体"/>
          <w:spacing w:val="5"/>
          <w:sz w:val="24"/>
          <w:szCs w:val="24"/>
        </w:rPr>
        <w:t>升压站距离最近居民点为升压站东南</w:t>
      </w:r>
      <w:r>
        <w:rPr>
          <w:rFonts w:ascii="宋体" w:hAnsi="宋体" w:eastAsia="宋体" w:cs="宋体"/>
          <w:sz w:val="24"/>
          <w:szCs w:val="24"/>
        </w:rPr>
        <w:t xml:space="preserve"> 侧285</w:t>
      </w:r>
      <w:r>
        <w:rPr>
          <w:rFonts w:ascii="Times New Roman" w:hAnsi="Times New Roman" w:eastAsia="Times New Roman" w:cs="Times New Roman"/>
          <w:sz w:val="24"/>
          <w:szCs w:val="24"/>
        </w:rPr>
        <w:t xml:space="preserve">m </w:t>
      </w:r>
      <w:r>
        <w:rPr>
          <w:rFonts w:ascii="宋体" w:hAnsi="宋体" w:eastAsia="宋体" w:cs="宋体"/>
          <w:sz w:val="24"/>
          <w:szCs w:val="24"/>
        </w:rPr>
        <w:t>的栗树园，距离较远，电场强度和磁感应强度均有随距离增加而减小的</w:t>
      </w:r>
      <w:r>
        <w:rPr>
          <w:rFonts w:ascii="宋体" w:hAnsi="宋体" w:eastAsia="宋体" w:cs="宋体"/>
          <w:spacing w:val="13"/>
          <w:sz w:val="24"/>
          <w:szCs w:val="24"/>
        </w:rPr>
        <w:t xml:space="preserve"> </w:t>
      </w:r>
      <w:r>
        <w:rPr>
          <w:rFonts w:ascii="宋体" w:hAnsi="宋体" w:eastAsia="宋体" w:cs="宋体"/>
          <w:spacing w:val="-3"/>
          <w:sz w:val="24"/>
          <w:szCs w:val="24"/>
        </w:rPr>
        <w:t>特征，因此，本项目升压站产生的工频电场和工频磁场对周围关心点的影响可接</w:t>
      </w:r>
      <w:r>
        <w:rPr>
          <w:rFonts w:ascii="宋体" w:hAnsi="宋体" w:eastAsia="宋体" w:cs="宋体"/>
          <w:spacing w:val="13"/>
          <w:sz w:val="24"/>
          <w:szCs w:val="24"/>
        </w:rPr>
        <w:t xml:space="preserve"> </w:t>
      </w:r>
      <w:r>
        <w:rPr>
          <w:rFonts w:ascii="仿宋" w:hAnsi="仿宋" w:eastAsia="仿宋" w:cs="仿宋"/>
          <w:spacing w:val="-14"/>
          <w:sz w:val="24"/>
          <w:szCs w:val="24"/>
        </w:rPr>
        <w:t>受。</w:t>
      </w:r>
    </w:p>
    <w:sectPr>
      <w:footerReference r:id="rId244" w:type="default"/>
      <w:pgSz w:w="11910" w:h="16830"/>
      <w:pgMar w:top="400" w:right="1786" w:bottom="1198" w:left="1769" w:header="0" w:footer="91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39229">
    <w:pPr>
      <w:pStyle w:val="2"/>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4D3D8">
    <w:pPr>
      <w:pStyle w:val="2"/>
      <w:spacing w:line="180" w:lineRule="auto"/>
      <w:ind w:left="4375"/>
      <w:rPr>
        <w:sz w:val="15"/>
        <w:szCs w:val="15"/>
      </w:rPr>
    </w:pPr>
    <w:r>
      <w:rPr>
        <w:sz w:val="15"/>
        <w:szCs w:val="15"/>
      </w:rPr>
      <w:t>7</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FF397">
    <w:pPr>
      <w:spacing w:line="176" w:lineRule="auto"/>
      <w:ind w:left="484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97</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D95A6">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98</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A8BF6">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99</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6BCF4">
    <w:pPr>
      <w:spacing w:line="176" w:lineRule="auto"/>
      <w:ind w:left="490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373D9">
    <w:pPr>
      <w:spacing w:line="176" w:lineRule="auto"/>
      <w:ind w:left="48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101</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BA851">
    <w:pPr>
      <w:spacing w:line="176" w:lineRule="auto"/>
      <w:ind w:left="48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102</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C687E">
    <w:pPr>
      <w:spacing w:line="176" w:lineRule="auto"/>
      <w:ind w:left="4864"/>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103</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BF35B">
    <w:pPr>
      <w:spacing w:line="176" w:lineRule="auto"/>
      <w:ind w:left="4874"/>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104</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81B8D">
    <w:pPr>
      <w:spacing w:line="176" w:lineRule="auto"/>
      <w:ind w:left="48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105</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A0382">
    <w:pPr>
      <w:spacing w:line="176" w:lineRule="auto"/>
      <w:ind w:left="48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106</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E5123">
    <w:pPr>
      <w:pStyle w:val="2"/>
      <w:spacing w:line="194" w:lineRule="exact"/>
      <w:ind w:left="4375"/>
      <w:rPr>
        <w:sz w:val="15"/>
        <w:szCs w:val="15"/>
      </w:rPr>
    </w:pPr>
    <w:r>
      <w:rPr>
        <w:position w:val="1"/>
        <w:sz w:val="15"/>
        <w:szCs w:val="15"/>
      </w:rPr>
      <w:t>8</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B5DFA">
    <w:pPr>
      <w:spacing w:line="176" w:lineRule="auto"/>
      <w:ind w:left="48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107</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C78C9">
    <w:pPr>
      <w:spacing w:line="176" w:lineRule="auto"/>
      <w:ind w:left="48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108</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B51D">
    <w:pPr>
      <w:spacing w:line="176" w:lineRule="auto"/>
      <w:ind w:left="48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109</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1C227">
    <w:pPr>
      <w:spacing w:line="177" w:lineRule="auto"/>
      <w:ind w:left="489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110</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054">
    <w:pPr>
      <w:spacing w:line="177" w:lineRule="auto"/>
      <w:ind w:left="4890"/>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111</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6B0E6">
    <w:pPr>
      <w:spacing w:line="177" w:lineRule="auto"/>
      <w:ind w:left="482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112</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919B9">
    <w:pPr>
      <w:spacing w:line="177" w:lineRule="auto"/>
      <w:ind w:left="486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113</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582FE">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114</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5B4F6">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115</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A4B09">
    <w:pPr>
      <w:spacing w:line="177" w:lineRule="auto"/>
      <w:ind w:left="48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853EA">
    <w:pPr>
      <w:spacing w:line="174" w:lineRule="auto"/>
      <w:ind w:left="4375"/>
      <w:rPr>
        <w:rFonts w:ascii="Times New Roman" w:hAnsi="Times New Roman" w:eastAsia="Times New Roman" w:cs="Times New Roman"/>
        <w:sz w:val="15"/>
        <w:szCs w:val="15"/>
      </w:rPr>
    </w:pPr>
    <w:r>
      <w:rPr>
        <w:rFonts w:ascii="Times New Roman" w:hAnsi="Times New Roman" w:eastAsia="Times New Roman" w:cs="Times New Roman"/>
        <w:sz w:val="15"/>
        <w:szCs w:val="15"/>
      </w:rPr>
      <w:t>9</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4C03">
    <w:pPr>
      <w:spacing w:line="177" w:lineRule="auto"/>
      <w:ind w:left="482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117</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AEB25">
    <w:pPr>
      <w:spacing w:line="176" w:lineRule="auto"/>
      <w:ind w:left="482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118</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1C5C4">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119</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D114A">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120</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88578">
    <w:pPr>
      <w:spacing w:line="177" w:lineRule="auto"/>
      <w:ind w:left="484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121</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C7969">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122</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DCA27">
    <w:pPr>
      <w:spacing w:line="177" w:lineRule="auto"/>
      <w:ind w:left="485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123</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DC205">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124</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62566">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125</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18D4E">
    <w:pPr>
      <w:spacing w:before="1" w:line="231" w:lineRule="auto"/>
      <w:ind w:left="4869"/>
      <w:rPr>
        <w:rFonts w:ascii="宋体" w:hAnsi="宋体" w:eastAsia="宋体" w:cs="宋体"/>
        <w:sz w:val="24"/>
        <w:szCs w:val="24"/>
      </w:rPr>
    </w:pPr>
    <w:r>
      <w:rPr>
        <w:rFonts w:ascii="宋体" w:hAnsi="宋体" w:eastAsia="宋体" w:cs="宋体"/>
        <w:spacing w:val="-21"/>
        <w:sz w:val="24"/>
        <w:szCs w:val="24"/>
      </w:rPr>
      <w:t>126</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44547">
    <w:pPr>
      <w:spacing w:line="176" w:lineRule="auto"/>
      <w:ind w:left="439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50627">
    <w:pPr>
      <w:spacing w:line="177" w:lineRule="auto"/>
      <w:ind w:left="48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127</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8CB24">
    <w:pPr>
      <w:spacing w:line="176" w:lineRule="auto"/>
      <w:ind w:left="482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128</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EE1D9">
    <w:pPr>
      <w:spacing w:line="177" w:lineRule="auto"/>
      <w:ind w:left="484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129</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E57BA">
    <w:pPr>
      <w:spacing w:line="177" w:lineRule="auto"/>
      <w:ind w:left="48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130</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B601E">
    <w:pPr>
      <w:spacing w:line="177" w:lineRule="auto"/>
      <w:ind w:left="484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131</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AAA95">
    <w:pPr>
      <w:spacing w:line="177" w:lineRule="auto"/>
      <w:ind w:left="484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132</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049D0">
    <w:pPr>
      <w:spacing w:line="177" w:lineRule="auto"/>
      <w:ind w:left="481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133</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E30CE">
    <w:pPr>
      <w:spacing w:line="177" w:lineRule="auto"/>
      <w:ind w:left="484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134</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CCE9B">
    <w:pPr>
      <w:spacing w:line="177" w:lineRule="auto"/>
      <w:ind w:left="486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135</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1E9DA">
    <w:pPr>
      <w:spacing w:line="177" w:lineRule="auto"/>
      <w:ind w:left="484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136</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ACF64">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11</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FEADF">
    <w:pPr>
      <w:spacing w:line="177" w:lineRule="auto"/>
      <w:ind w:left="4835"/>
      <w:rPr>
        <w:rFonts w:ascii="Times New Roman" w:hAnsi="Times New Roman" w:eastAsia="Times New Roman" w:cs="Times New Roman"/>
        <w:sz w:val="19"/>
        <w:szCs w:val="19"/>
      </w:rPr>
    </w:pPr>
    <w:r>
      <w:rPr>
        <w:rFonts w:ascii="Times New Roman" w:hAnsi="Times New Roman" w:eastAsia="Times New Roman" w:cs="Times New Roman"/>
        <w:spacing w:val="-8"/>
        <w:sz w:val="19"/>
        <w:szCs w:val="19"/>
      </w:rPr>
      <w:t>137</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4E03D">
    <w:pPr>
      <w:spacing w:line="176" w:lineRule="auto"/>
      <w:ind w:left="482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138</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2EE48">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139</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CF184">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140</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5664D">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141</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FB75E">
    <w:pPr>
      <w:spacing w:line="177" w:lineRule="auto"/>
      <w:ind w:left="484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142</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7F5FB">
    <w:pPr>
      <w:spacing w:line="177" w:lineRule="auto"/>
      <w:ind w:left="48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143</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932D1">
    <w:pPr>
      <w:spacing w:line="176" w:lineRule="auto"/>
      <w:ind w:left="47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144</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CA93D">
    <w:pPr>
      <w:spacing w:line="176" w:lineRule="auto"/>
      <w:ind w:left="485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145</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FE2D8">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8B783">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12</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49D14">
    <w:pPr>
      <w:spacing w:line="177" w:lineRule="auto"/>
      <w:ind w:left="48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147</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880C8">
    <w:pPr>
      <w:spacing w:line="176" w:lineRule="auto"/>
      <w:ind w:left="47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148</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0D01D">
    <w:pPr>
      <w:spacing w:line="176" w:lineRule="auto"/>
      <w:ind w:left="478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149</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EFCBB">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150</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04B64">
    <w:pPr>
      <w:spacing w:line="177" w:lineRule="auto"/>
      <w:ind w:left="481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151</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CB17D">
    <w:pPr>
      <w:spacing w:line="177" w:lineRule="auto"/>
      <w:ind w:left="484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152</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D61DF">
    <w:pPr>
      <w:spacing w:line="177" w:lineRule="auto"/>
      <w:ind w:left="48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153</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D2EBA">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154</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A6A9D">
    <w:pPr>
      <w:spacing w:line="177" w:lineRule="auto"/>
      <w:ind w:left="48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155</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95E5C">
    <w:pPr>
      <w:spacing w:line="176" w:lineRule="auto"/>
      <w:ind w:left="429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156</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B4487">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13</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AA5A2">
    <w:pPr>
      <w:spacing w:line="177" w:lineRule="auto"/>
      <w:ind w:left="48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157</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93190">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158</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7265B">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159</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BC6AD">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160</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65216">
    <w:pPr>
      <w:spacing w:line="176" w:lineRule="auto"/>
      <w:ind w:left="48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161</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6DEDE">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162</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6A3ED">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163</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BB2DD">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164</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7AF3C">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165</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0EC65">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D6E52">
    <w:pPr>
      <w:spacing w:line="176" w:lineRule="auto"/>
      <w:ind w:left="440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14</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18878">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167</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2AD95">
    <w:pPr>
      <w:spacing w:line="176" w:lineRule="auto"/>
      <w:ind w:left="482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168</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011BB">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169</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DE91B">
    <w:pPr>
      <w:spacing w:line="177" w:lineRule="auto"/>
      <w:ind w:left="48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170</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F52BD">
    <w:pPr>
      <w:spacing w:line="177" w:lineRule="auto"/>
      <w:ind w:left="48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171</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D98FB">
    <w:pPr>
      <w:spacing w:line="177" w:lineRule="auto"/>
      <w:ind w:left="484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172</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A3C31">
    <w:pPr>
      <w:spacing w:line="178" w:lineRule="auto"/>
      <w:ind w:left="4835"/>
      <w:rPr>
        <w:rFonts w:ascii="Times New Roman" w:hAnsi="Times New Roman" w:eastAsia="Times New Roman" w:cs="Times New Roman"/>
        <w:sz w:val="22"/>
        <w:szCs w:val="22"/>
      </w:rPr>
    </w:pPr>
    <w:r>
      <w:rPr>
        <w:rFonts w:ascii="Times New Roman" w:hAnsi="Times New Roman" w:eastAsia="Times New Roman" w:cs="Times New Roman"/>
        <w:spacing w:val="-15"/>
        <w:sz w:val="22"/>
        <w:szCs w:val="22"/>
      </w:rPr>
      <w:t>173</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FDA54">
    <w:pPr>
      <w:spacing w:line="177" w:lineRule="auto"/>
      <w:ind w:left="484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174</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315D3">
    <w:pPr>
      <w:spacing w:line="177" w:lineRule="auto"/>
      <w:ind w:left="481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175</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D0D73">
    <w:pPr>
      <w:spacing w:line="177" w:lineRule="auto"/>
      <w:ind w:left="475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176</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78E33">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15</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B5819">
    <w:pPr>
      <w:pStyle w:val="2"/>
      <w:spacing w:line="185" w:lineRule="auto"/>
      <w:ind w:left="4745"/>
      <w:rPr>
        <w:sz w:val="19"/>
        <w:szCs w:val="19"/>
      </w:rPr>
    </w:pPr>
    <w:r>
      <w:rPr>
        <w:spacing w:val="-14"/>
        <w:sz w:val="19"/>
        <w:szCs w:val="19"/>
      </w:rPr>
      <w:t>177</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52D02">
    <w:pPr>
      <w:spacing w:line="176" w:lineRule="auto"/>
      <w:ind w:left="47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178</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3CEC">
    <w:pPr>
      <w:spacing w:line="177" w:lineRule="auto"/>
      <w:ind w:left="47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179</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E5913">
    <w:pPr>
      <w:spacing w:line="176" w:lineRule="auto"/>
      <w:ind w:left="47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180</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A6457">
    <w:pPr>
      <w:spacing w:line="176" w:lineRule="auto"/>
      <w:ind w:left="47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181</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447AD">
    <w:pPr>
      <w:spacing w:line="176" w:lineRule="auto"/>
      <w:ind w:left="47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182</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011A">
    <w:pPr>
      <w:spacing w:line="176" w:lineRule="auto"/>
      <w:ind w:left="47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183</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A601B">
    <w:pPr>
      <w:spacing w:line="174" w:lineRule="auto"/>
      <w:ind w:left="4755"/>
      <w:rPr>
        <w:rFonts w:ascii="Times New Roman" w:hAnsi="Times New Roman" w:eastAsia="Times New Roman" w:cs="Times New Roman"/>
        <w:sz w:val="15"/>
        <w:szCs w:val="15"/>
      </w:rPr>
    </w:pPr>
    <w:r>
      <w:rPr>
        <w:rFonts w:ascii="Times New Roman" w:hAnsi="Times New Roman" w:eastAsia="Times New Roman" w:cs="Times New Roman"/>
        <w:spacing w:val="-4"/>
        <w:sz w:val="15"/>
        <w:szCs w:val="15"/>
      </w:rPr>
      <w:t>184</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500B2">
    <w:pPr>
      <w:spacing w:line="176" w:lineRule="auto"/>
      <w:ind w:left="47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185</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E67E4">
    <w:pPr>
      <w:spacing w:line="176" w:lineRule="auto"/>
      <w:ind w:left="47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186</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7A4E1">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16</w: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889A5">
    <w:pPr>
      <w:spacing w:line="176" w:lineRule="auto"/>
      <w:ind w:left="47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187</w: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D4884">
    <w:pPr>
      <w:spacing w:line="176" w:lineRule="auto"/>
      <w:ind w:left="47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188</w: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D2EE6">
    <w:pPr>
      <w:spacing w:line="176" w:lineRule="auto"/>
      <w:ind w:left="47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189</w: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0D52E">
    <w:pPr>
      <w:spacing w:line="176" w:lineRule="auto"/>
      <w:ind w:left="47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190</w: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A42AF">
    <w:pPr>
      <w:spacing w:line="177" w:lineRule="auto"/>
      <w:ind w:left="429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191</w: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EF1C9">
    <w:pPr>
      <w:spacing w:line="177" w:lineRule="auto"/>
      <w:ind w:left="475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192</w: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E13EB">
    <w:pPr>
      <w:spacing w:line="177" w:lineRule="auto"/>
      <w:ind w:left="47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193</w: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F2A36">
    <w:pPr>
      <w:spacing w:line="176" w:lineRule="auto"/>
      <w:ind w:left="508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194</w: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46BA7">
    <w:pPr>
      <w:spacing w:line="176" w:lineRule="auto"/>
      <w:ind w:left="507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195</w: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A0621">
    <w:pPr>
      <w:spacing w:line="177" w:lineRule="auto"/>
      <w:ind w:left="50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196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94E77">
    <w:pPr>
      <w:spacing w:line="530" w:lineRule="exact"/>
      <w:ind w:firstLine="9169"/>
    </w:pPr>
    <w:r>
      <w:rPr>
        <w:position w:val="-10"/>
      </w:rPr>
      <w:drawing>
        <wp:inline distT="0" distB="0" distL="0" distR="0">
          <wp:extent cx="889000" cy="33655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889013" cy="336577"/>
                  </a:xfrm>
                  <a:prstGeom prst="rect">
                    <a:avLst/>
                  </a:prstGeom>
                </pic:spPr>
              </pic:pic>
            </a:graphicData>
          </a:graphic>
        </wp:inline>
      </w:drawing>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DDADA">
    <w:pPr>
      <w:spacing w:line="176" w:lineRule="auto"/>
      <w:ind w:left="440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17</w: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A8187">
    <w:pPr>
      <w:spacing w:line="177" w:lineRule="auto"/>
      <w:ind w:left="50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197</w: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001C7">
    <w:pPr>
      <w:spacing w:line="176" w:lineRule="auto"/>
      <w:ind w:left="478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198</w: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39229">
    <w:pPr>
      <w:pStyle w:val="2"/>
      <w:spacing w:line="14" w:lineRule="auto"/>
      <w:rPr>
        <w:sz w:val="2"/>
      </w:rPr>
    </w:pP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E4377">
    <w:pPr>
      <w:spacing w:line="231" w:lineRule="auto"/>
      <w:ind w:left="3980"/>
      <w:rPr>
        <w:rFonts w:ascii="宋体" w:hAnsi="宋体" w:eastAsia="宋体" w:cs="宋体"/>
        <w:sz w:val="19"/>
        <w:szCs w:val="19"/>
      </w:rPr>
    </w:pPr>
    <w:r>
      <w:rPr>
        <w:rFonts w:ascii="宋体" w:hAnsi="宋体" w:eastAsia="宋体" w:cs="宋体"/>
        <w:spacing w:val="-18"/>
        <w:w w:val="96"/>
        <w:sz w:val="19"/>
        <w:szCs w:val="19"/>
      </w:rPr>
      <w:t>—1—</w:t>
    </w: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BBF2B">
    <w:pPr>
      <w:spacing w:line="231" w:lineRule="auto"/>
      <w:ind w:left="3980"/>
      <w:rPr>
        <w:rFonts w:ascii="宋体" w:hAnsi="宋体" w:eastAsia="宋体" w:cs="宋体"/>
        <w:sz w:val="20"/>
        <w:szCs w:val="20"/>
      </w:rPr>
    </w:pPr>
    <w:r>
      <w:rPr>
        <w:rFonts w:ascii="宋体" w:hAnsi="宋体" w:eastAsia="宋体" w:cs="宋体"/>
        <w:spacing w:val="-12"/>
        <w:w w:val="90"/>
        <w:sz w:val="20"/>
        <w:szCs w:val="20"/>
      </w:rPr>
      <w:t>—2—</w: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86A60">
    <w:pPr>
      <w:spacing w:line="229" w:lineRule="auto"/>
      <w:ind w:left="3980"/>
      <w:rPr>
        <w:rFonts w:ascii="宋体" w:hAnsi="宋体" w:eastAsia="宋体" w:cs="宋体"/>
        <w:sz w:val="19"/>
        <w:szCs w:val="19"/>
      </w:rPr>
    </w:pPr>
    <w:r>
      <w:rPr>
        <w:rFonts w:ascii="宋体" w:hAnsi="宋体" w:eastAsia="宋体" w:cs="宋体"/>
        <w:spacing w:val="-13"/>
        <w:w w:val="93"/>
        <w:sz w:val="19"/>
        <w:szCs w:val="19"/>
      </w:rPr>
      <w:t>—3—</w: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9A8CD">
    <w:pPr>
      <w:spacing w:line="177" w:lineRule="auto"/>
      <w:ind w:left="4324"/>
      <w:rPr>
        <w:rFonts w:ascii="Times New Roman" w:hAnsi="Times New Roman" w:eastAsia="Times New Roman" w:cs="Times New Roman"/>
        <w:sz w:val="20"/>
        <w:szCs w:val="20"/>
      </w:rPr>
    </w:pPr>
    <w:r>
      <w:rPr>
        <w:rFonts w:ascii="Times New Roman" w:hAnsi="Times New Roman" w:eastAsia="Times New Roman" w:cs="Times New Roman"/>
        <w:spacing w:val="-26"/>
        <w:w w:val="52"/>
        <w:sz w:val="20"/>
        <w:szCs w:val="20"/>
      </w:rPr>
      <w:t>—</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2"/>
        <w:sz w:val="20"/>
        <w:szCs w:val="20"/>
      </w:rPr>
      <w:t>4</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pacing w:val="-2"/>
        <w:sz w:val="20"/>
        <w:szCs w:val="20"/>
      </w:rPr>
      <w:t>—</w: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5E3B6">
    <w:pPr>
      <w:spacing w:line="230" w:lineRule="auto"/>
      <w:ind w:left="3980"/>
      <w:rPr>
        <w:rFonts w:ascii="宋体" w:hAnsi="宋体" w:eastAsia="宋体" w:cs="宋体"/>
        <w:sz w:val="20"/>
        <w:szCs w:val="20"/>
      </w:rPr>
    </w:pPr>
    <w:r>
      <w:rPr>
        <w:rFonts w:ascii="宋体" w:hAnsi="宋体" w:eastAsia="宋体" w:cs="宋体"/>
        <w:spacing w:val="-8"/>
        <w:w w:val="73"/>
        <w:sz w:val="20"/>
        <w:szCs w:val="20"/>
      </w:rPr>
      <w:t>—</w:t>
    </w:r>
    <w:r>
      <w:rPr>
        <w:rFonts w:ascii="宋体" w:hAnsi="宋体" w:eastAsia="宋体" w:cs="宋体"/>
        <w:spacing w:val="-15"/>
        <w:sz w:val="20"/>
        <w:szCs w:val="20"/>
      </w:rPr>
      <w:t>5—</w: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E607E">
    <w:pPr>
      <w:spacing w:line="230" w:lineRule="auto"/>
      <w:ind w:left="3980"/>
      <w:rPr>
        <w:rFonts w:ascii="宋体" w:hAnsi="宋体" w:eastAsia="宋体" w:cs="宋体"/>
        <w:sz w:val="20"/>
        <w:szCs w:val="20"/>
      </w:rPr>
    </w:pPr>
    <w:r>
      <w:rPr>
        <w:rFonts w:ascii="宋体" w:hAnsi="宋体" w:eastAsia="宋体" w:cs="宋体"/>
        <w:spacing w:val="-11"/>
        <w:w w:val="89"/>
        <w:sz w:val="20"/>
        <w:szCs w:val="20"/>
      </w:rPr>
      <w:t>—6—</w: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5E7DB">
    <w:pPr>
      <w:spacing w:before="1" w:line="231" w:lineRule="auto"/>
      <w:ind w:left="4294"/>
      <w:rPr>
        <w:rFonts w:ascii="宋体" w:hAnsi="宋体" w:eastAsia="宋体" w:cs="宋体"/>
        <w:sz w:val="24"/>
        <w:szCs w:val="24"/>
      </w:rPr>
    </w:pPr>
    <w:r>
      <w:rPr>
        <w:rFonts w:ascii="宋体" w:hAnsi="宋体" w:eastAsia="宋体" w:cs="宋体"/>
        <w:spacing w:val="-7"/>
        <w:w w:val="60"/>
        <w:sz w:val="24"/>
        <w:szCs w:val="24"/>
      </w:rPr>
      <w:t>—</w:t>
    </w:r>
    <w:r>
      <w:rPr>
        <w:rFonts w:ascii="宋体" w:hAnsi="宋体" w:eastAsia="宋体" w:cs="宋体"/>
        <w:spacing w:val="-19"/>
        <w:w w:val="97"/>
        <w:sz w:val="24"/>
        <w:szCs w:val="24"/>
      </w:rPr>
      <w:t>7—</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8DEFE">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18</w: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2CC43">
    <w:pPr>
      <w:spacing w:line="230" w:lineRule="auto"/>
      <w:ind w:left="4470"/>
      <w:rPr>
        <w:rFonts w:ascii="宋体" w:hAnsi="宋体" w:eastAsia="宋体" w:cs="宋体"/>
        <w:sz w:val="21"/>
        <w:szCs w:val="21"/>
      </w:rPr>
    </w:pPr>
    <w:r>
      <w:rPr>
        <w:rFonts w:ascii="宋体" w:hAnsi="宋体" w:eastAsia="宋体" w:cs="宋体"/>
        <w:spacing w:val="-7"/>
        <w:w w:val="71"/>
        <w:sz w:val="21"/>
        <w:szCs w:val="21"/>
      </w:rPr>
      <w:t>—</w:t>
    </w:r>
    <w:r>
      <w:rPr>
        <w:rFonts w:ascii="宋体" w:hAnsi="宋体" w:eastAsia="宋体" w:cs="宋体"/>
        <w:spacing w:val="-13"/>
        <w:w w:val="98"/>
        <w:sz w:val="21"/>
        <w:szCs w:val="21"/>
      </w:rPr>
      <w:t>8—</w: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205B1">
    <w:pPr>
      <w:spacing w:line="230" w:lineRule="auto"/>
      <w:ind w:left="4470"/>
      <w:rPr>
        <w:rFonts w:ascii="宋体" w:hAnsi="宋体" w:eastAsia="宋体" w:cs="宋体"/>
        <w:sz w:val="20"/>
        <w:szCs w:val="20"/>
      </w:rPr>
    </w:pPr>
    <w:r>
      <w:rPr>
        <w:rFonts w:ascii="宋体" w:hAnsi="宋体" w:eastAsia="宋体" w:cs="宋体"/>
        <w:spacing w:val="-8"/>
        <w:w w:val="73"/>
        <w:sz w:val="20"/>
        <w:szCs w:val="20"/>
      </w:rPr>
      <w:t>—</w:t>
    </w:r>
    <w:r>
      <w:rPr>
        <w:rFonts w:ascii="宋体" w:hAnsi="宋体" w:eastAsia="宋体" w:cs="宋体"/>
        <w:spacing w:val="-14"/>
        <w:w w:val="99"/>
        <w:sz w:val="20"/>
        <w:szCs w:val="20"/>
      </w:rPr>
      <w:t>9—</w: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9432F">
    <w:pPr>
      <w:spacing w:line="230" w:lineRule="auto"/>
      <w:ind w:left="4014"/>
      <w:rPr>
        <w:rFonts w:ascii="宋体" w:hAnsi="宋体" w:eastAsia="宋体" w:cs="宋体"/>
        <w:sz w:val="20"/>
        <w:szCs w:val="20"/>
      </w:rPr>
    </w:pPr>
    <w:r>
      <w:rPr>
        <w:rFonts w:ascii="宋体" w:hAnsi="宋体" w:eastAsia="宋体" w:cs="宋体"/>
        <w:spacing w:val="-19"/>
        <w:w w:val="97"/>
        <w:sz w:val="20"/>
        <w:szCs w:val="20"/>
      </w:rPr>
      <w:t>—10—</w: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C5B3F">
    <w:pPr>
      <w:spacing w:line="231" w:lineRule="auto"/>
      <w:ind w:left="4024"/>
      <w:rPr>
        <w:rFonts w:ascii="宋体" w:hAnsi="宋体" w:eastAsia="宋体" w:cs="宋体"/>
        <w:sz w:val="20"/>
        <w:szCs w:val="20"/>
      </w:rPr>
    </w:pPr>
    <w:r>
      <w:rPr>
        <w:rFonts w:ascii="宋体" w:hAnsi="宋体" w:eastAsia="宋体" w:cs="宋体"/>
        <w:spacing w:val="-24"/>
        <w:sz w:val="20"/>
        <w:szCs w:val="20"/>
      </w:rPr>
      <w:t>—11—</w:t>
    </w: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90D4B">
    <w:pPr>
      <w:spacing w:line="232" w:lineRule="auto"/>
      <w:ind w:left="4014"/>
      <w:rPr>
        <w:rFonts w:ascii="宋体" w:hAnsi="宋体" w:eastAsia="宋体" w:cs="宋体"/>
        <w:sz w:val="22"/>
        <w:szCs w:val="22"/>
      </w:rPr>
    </w:pPr>
    <w:r>
      <w:rPr>
        <w:rFonts w:ascii="宋体" w:hAnsi="宋体" w:eastAsia="宋体" w:cs="宋体"/>
        <w:spacing w:val="-8"/>
        <w:w w:val="72"/>
        <w:sz w:val="22"/>
        <w:szCs w:val="22"/>
      </w:rPr>
      <w:t>—</w:t>
    </w:r>
    <w:r>
      <w:rPr>
        <w:rFonts w:ascii="宋体" w:hAnsi="宋体" w:eastAsia="宋体" w:cs="宋体"/>
        <w:spacing w:val="-22"/>
        <w:sz w:val="22"/>
        <w:szCs w:val="22"/>
      </w:rPr>
      <w:t>12—</w: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26072">
    <w:pPr>
      <w:spacing w:line="178" w:lineRule="auto"/>
      <w:ind w:left="4014"/>
      <w:rPr>
        <w:rFonts w:ascii="Times New Roman" w:hAnsi="Times New Roman" w:eastAsia="Times New Roman" w:cs="Times New Roman"/>
        <w:sz w:val="21"/>
        <w:szCs w:val="21"/>
      </w:rPr>
    </w:pPr>
    <w:r>
      <w:rPr>
        <w:rFonts w:ascii="Times New Roman" w:hAnsi="Times New Roman" w:eastAsia="Times New Roman" w:cs="Times New Roman"/>
        <w:spacing w:val="-29"/>
        <w:w w:val="56"/>
        <w:sz w:val="21"/>
        <w:szCs w:val="21"/>
      </w:rPr>
      <w:t>—</w:t>
    </w:r>
    <w:r>
      <w:rPr>
        <w:rFonts w:ascii="Times New Roman" w:hAnsi="Times New Roman" w:eastAsia="Times New Roman" w:cs="Times New Roman"/>
        <w:spacing w:val="-10"/>
        <w:sz w:val="21"/>
        <w:szCs w:val="21"/>
      </w:rPr>
      <w:t xml:space="preserve"> </w:t>
    </w:r>
    <w:r>
      <w:rPr>
        <w:rFonts w:ascii="Times New Roman" w:hAnsi="Times New Roman" w:eastAsia="Times New Roman" w:cs="Times New Roman"/>
        <w:spacing w:val="-9"/>
        <w:sz w:val="21"/>
        <w:szCs w:val="21"/>
      </w:rPr>
      <w:t>13</w:t>
    </w:r>
    <w:r>
      <w:rPr>
        <w:rFonts w:ascii="Times New Roman" w:hAnsi="Times New Roman" w:eastAsia="Times New Roman" w:cs="Times New Roman"/>
        <w:spacing w:val="2"/>
        <w:sz w:val="21"/>
        <w:szCs w:val="21"/>
      </w:rPr>
      <w:t xml:space="preserve"> </w:t>
    </w:r>
    <w:r>
      <w:rPr>
        <w:rFonts w:ascii="Times New Roman" w:hAnsi="Times New Roman" w:eastAsia="Times New Roman" w:cs="Times New Roman"/>
        <w:spacing w:val="-9"/>
        <w:sz w:val="21"/>
        <w:szCs w:val="21"/>
      </w:rPr>
      <w:t>—</w: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AF6A3">
    <w:pPr>
      <w:spacing w:line="232" w:lineRule="auto"/>
      <w:ind w:left="4024"/>
      <w:rPr>
        <w:rFonts w:ascii="宋体" w:hAnsi="宋体" w:eastAsia="宋体" w:cs="宋体"/>
        <w:sz w:val="21"/>
        <w:szCs w:val="21"/>
      </w:rPr>
    </w:pPr>
    <w:r>
      <w:rPr>
        <w:rFonts w:ascii="宋体" w:hAnsi="宋体" w:eastAsia="宋体" w:cs="宋体"/>
        <w:spacing w:val="-18"/>
        <w:w w:val="93"/>
        <w:sz w:val="21"/>
        <w:szCs w:val="21"/>
      </w:rPr>
      <w:t>—14—</w: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0AFA2">
    <w:pPr>
      <w:spacing w:line="231" w:lineRule="auto"/>
      <w:ind w:left="3940"/>
      <w:rPr>
        <w:rFonts w:ascii="宋体" w:hAnsi="宋体" w:eastAsia="宋体" w:cs="宋体"/>
        <w:sz w:val="22"/>
        <w:szCs w:val="22"/>
      </w:rPr>
    </w:pPr>
    <w:r>
      <w:rPr>
        <w:rFonts w:ascii="宋体" w:hAnsi="宋体" w:eastAsia="宋体" w:cs="宋体"/>
        <w:spacing w:val="-8"/>
        <w:w w:val="71"/>
        <w:sz w:val="22"/>
        <w:szCs w:val="22"/>
      </w:rPr>
      <w:t>—</w:t>
    </w:r>
    <w:r>
      <w:rPr>
        <w:rFonts w:ascii="宋体" w:hAnsi="宋体" w:eastAsia="宋体" w:cs="宋体"/>
        <w:spacing w:val="-23"/>
        <w:sz w:val="22"/>
        <w:szCs w:val="22"/>
      </w:rPr>
      <w:t>15—</w: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6223B">
    <w:pPr>
      <w:spacing w:line="231" w:lineRule="auto"/>
      <w:ind w:left="3984"/>
      <w:rPr>
        <w:rFonts w:ascii="宋体" w:hAnsi="宋体" w:eastAsia="宋体" w:cs="宋体"/>
        <w:sz w:val="22"/>
        <w:szCs w:val="22"/>
      </w:rPr>
    </w:pPr>
    <w:r>
      <w:rPr>
        <w:rFonts w:ascii="宋体" w:hAnsi="宋体" w:eastAsia="宋体" w:cs="宋体"/>
        <w:spacing w:val="-8"/>
        <w:w w:val="72"/>
        <w:sz w:val="22"/>
        <w:szCs w:val="22"/>
      </w:rPr>
      <w:t>—</w:t>
    </w:r>
    <w:r>
      <w:rPr>
        <w:rFonts w:ascii="宋体" w:hAnsi="宋体" w:eastAsia="宋体" w:cs="宋体"/>
        <w:spacing w:val="-22"/>
        <w:sz w:val="22"/>
        <w:szCs w:val="22"/>
      </w:rPr>
      <w:t>16—</w: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2CB1">
    <w:pPr>
      <w:spacing w:line="231" w:lineRule="auto"/>
      <w:ind w:left="4435"/>
      <w:rPr>
        <w:rFonts w:ascii="宋体" w:hAnsi="宋体" w:eastAsia="宋体" w:cs="宋体"/>
        <w:sz w:val="22"/>
        <w:szCs w:val="22"/>
      </w:rPr>
    </w:pPr>
    <w:r>
      <w:rPr>
        <w:rFonts w:ascii="宋体" w:hAnsi="宋体" w:eastAsia="宋体" w:cs="宋体"/>
        <w:spacing w:val="-8"/>
        <w:w w:val="72"/>
        <w:sz w:val="22"/>
        <w:szCs w:val="22"/>
      </w:rPr>
      <w:t>—</w:t>
    </w:r>
    <w:r>
      <w:rPr>
        <w:rFonts w:ascii="宋体" w:hAnsi="宋体" w:eastAsia="宋体" w:cs="宋体"/>
        <w:spacing w:val="-22"/>
        <w:sz w:val="22"/>
        <w:szCs w:val="22"/>
      </w:rPr>
      <w:t>17—</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40F00">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19</w:t>
    </w: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F046E">
    <w:pPr>
      <w:spacing w:line="230" w:lineRule="auto"/>
      <w:ind w:left="3930"/>
      <w:rPr>
        <w:rFonts w:ascii="宋体" w:hAnsi="宋体" w:eastAsia="宋体" w:cs="宋体"/>
        <w:sz w:val="20"/>
        <w:szCs w:val="20"/>
      </w:rPr>
    </w:pPr>
    <w:r>
      <w:rPr>
        <w:rFonts w:ascii="宋体" w:hAnsi="宋体" w:eastAsia="宋体" w:cs="宋体"/>
        <w:spacing w:val="-19"/>
        <w:w w:val="97"/>
        <w:sz w:val="20"/>
        <w:szCs w:val="20"/>
      </w:rPr>
      <w:t>—18—</w: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7A1ED">
    <w:pPr>
      <w:spacing w:before="1" w:line="170" w:lineRule="auto"/>
      <w:ind w:left="3913"/>
      <w:rPr>
        <w:rFonts w:ascii="Times New Roman" w:hAnsi="Times New Roman" w:eastAsia="Times New Roman" w:cs="Times New Roman"/>
        <w:sz w:val="20"/>
        <w:szCs w:val="20"/>
      </w:rPr>
    </w:pPr>
    <w:r>
      <w:rPr>
        <w:rFonts w:ascii="宋体" w:hAnsi="宋体" w:eastAsia="宋体" w:cs="宋体"/>
        <w:spacing w:val="-5"/>
        <w:w w:val="48"/>
        <w:sz w:val="20"/>
        <w:szCs w:val="20"/>
      </w:rPr>
      <w:t>—</w:t>
    </w:r>
    <w:r>
      <w:rPr>
        <w:rFonts w:ascii="宋体" w:hAnsi="宋体" w:eastAsia="宋体" w:cs="宋体"/>
        <w:spacing w:val="-62"/>
        <w:sz w:val="20"/>
        <w:szCs w:val="20"/>
      </w:rPr>
      <w:t xml:space="preserve"> </w:t>
    </w:r>
    <w:r>
      <w:rPr>
        <w:rFonts w:ascii="Times New Roman" w:hAnsi="Times New Roman" w:eastAsia="Times New Roman" w:cs="Times New Roman"/>
        <w:b/>
        <w:bCs/>
        <w:spacing w:val="-10"/>
        <w:w w:val="97"/>
        <w:sz w:val="20"/>
        <w:szCs w:val="20"/>
      </w:rPr>
      <w:t>19—</w: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CF629">
    <w:pPr>
      <w:spacing w:line="230" w:lineRule="auto"/>
      <w:ind w:left="4217"/>
      <w:rPr>
        <w:rFonts w:ascii="宋体" w:hAnsi="宋体" w:eastAsia="宋体" w:cs="宋体"/>
        <w:sz w:val="20"/>
        <w:szCs w:val="20"/>
      </w:rPr>
    </w:pPr>
    <w:r>
      <w:rPr>
        <w:rFonts w:ascii="宋体" w:hAnsi="宋体" w:eastAsia="宋体" w:cs="宋体"/>
        <w:spacing w:val="-14"/>
        <w:w w:val="93"/>
        <w:sz w:val="20"/>
        <w:szCs w:val="20"/>
      </w:rPr>
      <w:t>—20—</w:t>
    </w:r>
  </w:p>
</w:ftr>
</file>

<file path=word/footer2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3BC7C">
    <w:pPr>
      <w:spacing w:line="178" w:lineRule="auto"/>
      <w:ind w:left="4435"/>
      <w:rPr>
        <w:rFonts w:ascii="Times New Roman" w:hAnsi="Times New Roman" w:eastAsia="Times New Roman" w:cs="Times New Roman"/>
        <w:sz w:val="21"/>
        <w:szCs w:val="21"/>
      </w:rPr>
    </w:pPr>
    <w:r>
      <w:rPr>
        <w:rFonts w:ascii="Times New Roman" w:hAnsi="Times New Roman" w:eastAsia="Times New Roman" w:cs="Times New Roman"/>
        <w:spacing w:val="-29"/>
        <w:w w:val="56"/>
        <w:sz w:val="21"/>
        <w:szCs w:val="21"/>
      </w:rPr>
      <w:t>—</w:t>
    </w:r>
    <w:r>
      <w:rPr>
        <w:rFonts w:ascii="Times New Roman" w:hAnsi="Times New Roman" w:eastAsia="Times New Roman" w:cs="Times New Roman"/>
        <w:spacing w:val="-31"/>
        <w:sz w:val="21"/>
        <w:szCs w:val="21"/>
      </w:rPr>
      <w:t xml:space="preserve"> </w:t>
    </w:r>
    <w:r>
      <w:rPr>
        <w:rFonts w:ascii="Times New Roman" w:hAnsi="Times New Roman" w:eastAsia="Times New Roman" w:cs="Times New Roman"/>
        <w:spacing w:val="-1"/>
        <w:sz w:val="21"/>
        <w:szCs w:val="21"/>
      </w:rPr>
      <w:t>21 —</w:t>
    </w:r>
  </w:p>
</w:ftr>
</file>

<file path=word/footer2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B5AA">
    <w:pPr>
      <w:spacing w:line="232" w:lineRule="auto"/>
      <w:ind w:left="3930"/>
      <w:rPr>
        <w:rFonts w:ascii="宋体" w:hAnsi="宋体" w:eastAsia="宋体" w:cs="宋体"/>
        <w:sz w:val="22"/>
        <w:szCs w:val="22"/>
      </w:rPr>
    </w:pPr>
    <w:r>
      <w:rPr>
        <w:rFonts w:ascii="宋体" w:hAnsi="宋体" w:eastAsia="宋体" w:cs="宋体"/>
        <w:spacing w:val="-8"/>
        <w:w w:val="72"/>
        <w:sz w:val="22"/>
        <w:szCs w:val="22"/>
      </w:rPr>
      <w:t>—</w:t>
    </w:r>
    <w:r>
      <w:rPr>
        <w:rFonts w:ascii="宋体" w:hAnsi="宋体" w:eastAsia="宋体" w:cs="宋体"/>
        <w:spacing w:val="-18"/>
        <w:w w:val="97"/>
        <w:sz w:val="22"/>
        <w:szCs w:val="22"/>
      </w:rPr>
      <w:t>22—</w:t>
    </w:r>
  </w:p>
</w:ftr>
</file>

<file path=word/footer2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BACAB">
    <w:pPr>
      <w:spacing w:line="178" w:lineRule="auto"/>
      <w:ind w:left="3930"/>
      <w:rPr>
        <w:rFonts w:ascii="Times New Roman" w:hAnsi="Times New Roman" w:eastAsia="Times New Roman" w:cs="Times New Roman"/>
        <w:sz w:val="21"/>
        <w:szCs w:val="21"/>
      </w:rPr>
    </w:pPr>
    <w:r>
      <w:rPr>
        <w:rFonts w:ascii="Times New Roman" w:hAnsi="Times New Roman" w:eastAsia="Times New Roman" w:cs="Times New Roman"/>
        <w:spacing w:val="-22"/>
        <w:w w:val="43"/>
        <w:sz w:val="21"/>
        <w:szCs w:val="21"/>
      </w:rPr>
      <w:t>—</w:t>
    </w:r>
    <w:r>
      <w:rPr>
        <w:rFonts w:ascii="Times New Roman" w:hAnsi="Times New Roman" w:eastAsia="Times New Roman" w:cs="Times New Roman"/>
        <w:spacing w:val="-31"/>
        <w:sz w:val="21"/>
        <w:szCs w:val="21"/>
      </w:rPr>
      <w:t xml:space="preserve"> </w:t>
    </w:r>
    <w:r>
      <w:rPr>
        <w:rFonts w:ascii="Times New Roman" w:hAnsi="Times New Roman" w:eastAsia="Times New Roman" w:cs="Times New Roman"/>
        <w:spacing w:val="-2"/>
        <w:sz w:val="21"/>
        <w:szCs w:val="21"/>
      </w:rPr>
      <w:t>23</w:t>
    </w:r>
    <w:r>
      <w:rPr>
        <w:rFonts w:ascii="Times New Roman" w:hAnsi="Times New Roman" w:eastAsia="Times New Roman" w:cs="Times New Roman"/>
        <w:spacing w:val="12"/>
        <w:sz w:val="21"/>
        <w:szCs w:val="21"/>
      </w:rPr>
      <w:t xml:space="preserve"> </w:t>
    </w:r>
    <w:r>
      <w:rPr>
        <w:rFonts w:ascii="Times New Roman" w:hAnsi="Times New Roman" w:eastAsia="Times New Roman" w:cs="Times New Roman"/>
        <w:spacing w:val="-2"/>
        <w:sz w:val="21"/>
        <w:szCs w:val="21"/>
      </w:rPr>
      <w:t>—</w:t>
    </w:r>
  </w:p>
</w:ftr>
</file>

<file path=word/footer2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F0B1C">
    <w:pPr>
      <w:spacing w:line="231" w:lineRule="auto"/>
      <w:ind w:left="3954"/>
      <w:rPr>
        <w:rFonts w:ascii="宋体" w:hAnsi="宋体" w:eastAsia="宋体" w:cs="宋体"/>
        <w:sz w:val="20"/>
        <w:szCs w:val="20"/>
      </w:rPr>
    </w:pPr>
    <w:r>
      <w:rPr>
        <w:rFonts w:ascii="宋体" w:hAnsi="宋体" w:eastAsia="宋体" w:cs="宋体"/>
        <w:spacing w:val="-13"/>
        <w:w w:val="93"/>
        <w:sz w:val="20"/>
        <w:szCs w:val="20"/>
      </w:rPr>
      <w:t>—24—</w:t>
    </w:r>
  </w:p>
</w:ftr>
</file>

<file path=word/footer2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C6AE8">
    <w:pPr>
      <w:spacing w:line="231" w:lineRule="auto"/>
      <w:ind w:left="3930"/>
      <w:rPr>
        <w:rFonts w:ascii="宋体" w:hAnsi="宋体" w:eastAsia="宋体" w:cs="宋体"/>
        <w:sz w:val="22"/>
        <w:szCs w:val="22"/>
      </w:rPr>
    </w:pPr>
    <w:r>
      <w:rPr>
        <w:rFonts w:ascii="宋体" w:hAnsi="宋体" w:eastAsia="宋体" w:cs="宋体"/>
        <w:spacing w:val="-8"/>
        <w:w w:val="72"/>
        <w:sz w:val="22"/>
        <w:szCs w:val="22"/>
      </w:rPr>
      <w:t>—</w:t>
    </w:r>
    <w:r>
      <w:rPr>
        <w:rFonts w:ascii="宋体" w:hAnsi="宋体" w:eastAsia="宋体" w:cs="宋体"/>
        <w:spacing w:val="-19"/>
        <w:w w:val="98"/>
        <w:sz w:val="22"/>
        <w:szCs w:val="22"/>
      </w:rPr>
      <w:t>25—</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C1CE3">
    <w:pPr>
      <w:spacing w:line="176" w:lineRule="auto"/>
      <w:ind w:left="437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277BF">
    <w:pPr>
      <w:spacing w:line="177" w:lineRule="auto"/>
      <w:ind w:left="436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21</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9FCB9">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667A6">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36E04">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4E43F">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B2520">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39229">
    <w:pPr>
      <w:pStyle w:val="2"/>
      <w:spacing w:line="14" w:lineRule="auto"/>
      <w:rPr>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20567">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96B2C">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F1EA7">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29</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46D25">
    <w:pPr>
      <w:spacing w:line="177" w:lineRule="auto"/>
      <w:ind w:left="4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BAE73">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6B114">
    <w:pPr>
      <w:spacing w:line="177" w:lineRule="auto"/>
      <w:ind w:left="439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86989">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33</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126EA">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34</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24F22">
    <w:pPr>
      <w:spacing w:line="177" w:lineRule="auto"/>
      <w:ind w:left="4385"/>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35</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673B8">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73F30">
    <w:pPr>
      <w:spacing w:line="172" w:lineRule="auto"/>
      <w:ind w:left="4395"/>
      <w:rPr>
        <w:rFonts w:ascii="Times New Roman" w:hAnsi="Times New Roman" w:eastAsia="Times New Roman" w:cs="Times New Roman"/>
        <w:sz w:val="13"/>
        <w:szCs w:val="13"/>
      </w:rPr>
    </w:pPr>
    <w:r>
      <w:rPr>
        <w:rFonts w:ascii="Times New Roman" w:hAnsi="Times New Roman" w:eastAsia="Times New Roman" w:cs="Times New Roman"/>
        <w:sz w:val="13"/>
        <w:szCs w:val="13"/>
      </w:rPr>
      <w:t>1</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9F29D">
    <w:pPr>
      <w:spacing w:line="177" w:lineRule="auto"/>
      <w:ind w:left="4405"/>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37</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3BD64">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38</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FBCD">
    <w:pPr>
      <w:spacing w:line="177" w:lineRule="auto"/>
      <w:ind w:left="438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D18C1">
    <w:pPr>
      <w:spacing w:line="176" w:lineRule="auto"/>
      <w:ind w:left="433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AD935">
    <w:pPr>
      <w:pStyle w:val="2"/>
      <w:spacing w:line="184" w:lineRule="auto"/>
      <w:ind w:left="4365"/>
      <w:rPr>
        <w:sz w:val="17"/>
        <w:szCs w:val="17"/>
      </w:rPr>
    </w:pPr>
    <w:r>
      <w:rPr>
        <w:spacing w:val="-1"/>
        <w:sz w:val="17"/>
        <w:szCs w:val="17"/>
      </w:rPr>
      <w:t>41</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598CB">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42</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CEE10">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C666A">
    <w:pPr>
      <w:spacing w:line="176" w:lineRule="auto"/>
      <w:ind w:left="434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1F002">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B54AA">
    <w:pPr>
      <w:pStyle w:val="2"/>
      <w:spacing w:line="221" w:lineRule="exact"/>
      <w:ind w:left="4365"/>
      <w:rPr>
        <w:sz w:val="17"/>
        <w:szCs w:val="17"/>
      </w:rPr>
    </w:pPr>
    <w:r>
      <w:rPr>
        <w:spacing w:val="-1"/>
        <w:position w:val="1"/>
        <w:sz w:val="17"/>
        <w:szCs w:val="17"/>
      </w:rPr>
      <w:t>46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5F3DF">
    <w:pPr>
      <w:spacing w:line="176" w:lineRule="auto"/>
      <w:ind w:left="4375"/>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D0580">
    <w:pPr>
      <w:spacing w:line="177" w:lineRule="auto"/>
      <w:ind w:left="466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47</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8D667">
    <w:pPr>
      <w:spacing w:line="176" w:lineRule="auto"/>
      <w:ind w:left="466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5C5B2">
    <w:pPr>
      <w:spacing w:line="176" w:lineRule="auto"/>
      <w:ind w:left="465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18E35">
    <w:pPr>
      <w:spacing w:line="176" w:lineRule="auto"/>
      <w:ind w:left="468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50</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3836E">
    <w:pPr>
      <w:spacing w:line="176" w:lineRule="auto"/>
      <w:ind w:left="467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51</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00EEF">
    <w:pPr>
      <w:spacing w:line="176" w:lineRule="auto"/>
      <w:ind w:left="464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52</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4026B">
    <w:pPr>
      <w:spacing w:line="176" w:lineRule="auto"/>
      <w:ind w:left="468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53</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3A6B3">
    <w:pPr>
      <w:spacing w:line="174" w:lineRule="auto"/>
      <w:ind w:left="4675"/>
      <w:rPr>
        <w:rFonts w:ascii="Times New Roman" w:hAnsi="Times New Roman" w:eastAsia="Times New Roman" w:cs="Times New Roman"/>
        <w:sz w:val="15"/>
        <w:szCs w:val="15"/>
      </w:rPr>
    </w:pPr>
    <w:r>
      <w:rPr>
        <w:rFonts w:ascii="Times New Roman" w:hAnsi="Times New Roman" w:eastAsia="Times New Roman" w:cs="Times New Roman"/>
        <w:spacing w:val="-2"/>
        <w:sz w:val="15"/>
        <w:szCs w:val="15"/>
      </w:rPr>
      <w:t>54</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3BF16">
    <w:pPr>
      <w:spacing w:line="173" w:lineRule="auto"/>
      <w:ind w:left="467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55</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A4D29">
    <w:pPr>
      <w:spacing w:line="176" w:lineRule="auto"/>
      <w:ind w:left="467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764FF">
    <w:pPr>
      <w:spacing w:line="174" w:lineRule="auto"/>
      <w:ind w:left="4385"/>
      <w:rPr>
        <w:rFonts w:ascii="Times New Roman" w:hAnsi="Times New Roman" w:eastAsia="Times New Roman" w:cs="Times New Roman"/>
        <w:sz w:val="15"/>
        <w:szCs w:val="15"/>
      </w:rPr>
    </w:pPr>
    <w:r>
      <w:rPr>
        <w:rFonts w:ascii="Times New Roman" w:hAnsi="Times New Roman" w:eastAsia="Times New Roman" w:cs="Times New Roman"/>
        <w:sz w:val="15"/>
        <w:szCs w:val="15"/>
      </w:rPr>
      <w:t>3</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2981D">
    <w:pPr>
      <w:spacing w:line="173" w:lineRule="auto"/>
      <w:ind w:left="468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57</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9690C">
    <w:pPr>
      <w:spacing w:line="176" w:lineRule="auto"/>
      <w:ind w:left="468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58</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0594B">
    <w:pPr>
      <w:spacing w:line="176" w:lineRule="auto"/>
      <w:ind w:left="472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59</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E7C40">
    <w:pPr>
      <w:spacing w:line="176" w:lineRule="auto"/>
      <w:ind w:left="463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60</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10F5B">
    <w:pPr>
      <w:spacing w:line="176" w:lineRule="auto"/>
      <w:ind w:left="462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61</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3C46D">
    <w:pPr>
      <w:spacing w:line="177" w:lineRule="auto"/>
      <w:ind w:left="46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62</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3537E">
    <w:pPr>
      <w:spacing w:line="176" w:lineRule="auto"/>
      <w:ind w:left="46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63</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64A10">
    <w:pPr>
      <w:spacing w:line="174" w:lineRule="auto"/>
      <w:ind w:left="4665"/>
      <w:rPr>
        <w:rFonts w:ascii="Times New Roman" w:hAnsi="Times New Roman" w:eastAsia="Times New Roman" w:cs="Times New Roman"/>
        <w:sz w:val="15"/>
        <w:szCs w:val="15"/>
      </w:rPr>
    </w:pPr>
    <w:r>
      <w:rPr>
        <w:rFonts w:ascii="Times New Roman" w:hAnsi="Times New Roman" w:eastAsia="Times New Roman" w:cs="Times New Roman"/>
        <w:spacing w:val="-2"/>
        <w:sz w:val="15"/>
        <w:szCs w:val="15"/>
      </w:rPr>
      <w:t>64</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8D19A">
    <w:pPr>
      <w:spacing w:line="176" w:lineRule="auto"/>
      <w:ind w:left="467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65</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FD2DE">
    <w:pPr>
      <w:spacing w:line="176" w:lineRule="auto"/>
      <w:ind w:left="46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27A74">
    <w:pPr>
      <w:pStyle w:val="2"/>
      <w:spacing w:line="182" w:lineRule="auto"/>
      <w:ind w:left="4375"/>
      <w:rPr>
        <w:sz w:val="15"/>
        <w:szCs w:val="15"/>
      </w:rPr>
    </w:pPr>
    <w:r>
      <w:rPr>
        <w:sz w:val="15"/>
        <w:szCs w:val="15"/>
      </w:rPr>
      <w:t>4</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8966E">
    <w:pPr>
      <w:spacing w:line="176" w:lineRule="auto"/>
      <w:ind w:left="46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67</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C114">
    <w:pPr>
      <w:spacing w:line="176" w:lineRule="auto"/>
      <w:ind w:left="46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68</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E1744">
    <w:pPr>
      <w:spacing w:line="176" w:lineRule="auto"/>
      <w:ind w:left="46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69</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0FE4E">
    <w:pPr>
      <w:spacing w:line="177" w:lineRule="auto"/>
      <w:ind w:left="468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70</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C877B">
    <w:pPr>
      <w:spacing w:line="177" w:lineRule="auto"/>
      <w:ind w:left="468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71</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60076">
    <w:pPr>
      <w:spacing w:line="176" w:lineRule="auto"/>
      <w:ind w:left="46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72</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E1A83">
    <w:pPr>
      <w:spacing w:line="177" w:lineRule="auto"/>
      <w:ind w:left="46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73</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8FA83">
    <w:pPr>
      <w:pStyle w:val="2"/>
      <w:spacing w:line="183" w:lineRule="auto"/>
      <w:ind w:left="4740"/>
      <w:rPr>
        <w:sz w:val="17"/>
        <w:szCs w:val="17"/>
      </w:rPr>
    </w:pPr>
    <w:r>
      <w:rPr>
        <w:spacing w:val="-3"/>
        <w:sz w:val="17"/>
        <w:szCs w:val="17"/>
      </w:rPr>
      <w:t>74</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184A4">
    <w:pPr>
      <w:spacing w:line="173" w:lineRule="auto"/>
      <w:ind w:left="467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75</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B4017">
    <w:pPr>
      <w:spacing w:line="175" w:lineRule="auto"/>
      <w:ind w:left="4864"/>
      <w:rPr>
        <w:rFonts w:ascii="Times New Roman" w:hAnsi="Times New Roman" w:eastAsia="Times New Roman" w:cs="Times New Roman"/>
        <w:sz w:val="16"/>
        <w:szCs w:val="16"/>
      </w:rPr>
    </w:pPr>
    <w:r>
      <w:rPr>
        <w:rFonts w:ascii="Times New Roman" w:hAnsi="Times New Roman" w:eastAsia="Times New Roman" w:cs="Times New Roman"/>
        <w:spacing w:val="-2"/>
        <w:sz w:val="16"/>
        <w:szCs w:val="16"/>
      </w:rPr>
      <w:t>76</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4A80F">
    <w:pPr>
      <w:spacing w:line="171" w:lineRule="auto"/>
      <w:ind w:left="4385"/>
      <w:rPr>
        <w:rFonts w:ascii="Times New Roman" w:hAnsi="Times New Roman" w:eastAsia="Times New Roman" w:cs="Times New Roman"/>
        <w:sz w:val="15"/>
        <w:szCs w:val="15"/>
      </w:rPr>
    </w:pPr>
    <w:r>
      <w:rPr>
        <w:rFonts w:ascii="Times New Roman" w:hAnsi="Times New Roman" w:eastAsia="Times New Roman" w:cs="Times New Roman"/>
        <w:sz w:val="15"/>
        <w:szCs w:val="15"/>
      </w:rPr>
      <w:t>5</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A492E">
    <w:pPr>
      <w:spacing w:line="173"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77</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FF257">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78</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18AD">
    <w:pPr>
      <w:spacing w:line="176" w:lineRule="auto"/>
      <w:ind w:left="48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79</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1DBDB">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80</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107C5">
    <w:pPr>
      <w:spacing w:line="176" w:lineRule="auto"/>
      <w:ind w:left="482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81</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0CC20">
    <w:pPr>
      <w:spacing w:line="176" w:lineRule="auto"/>
      <w:ind w:left="482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82</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7DC9E">
    <w:pPr>
      <w:spacing w:line="176" w:lineRule="auto"/>
      <w:ind w:left="48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83</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12A63">
    <w:pPr>
      <w:spacing w:line="174" w:lineRule="auto"/>
      <w:ind w:left="4835"/>
      <w:rPr>
        <w:rFonts w:ascii="Times New Roman" w:hAnsi="Times New Roman" w:eastAsia="Times New Roman" w:cs="Times New Roman"/>
        <w:sz w:val="15"/>
        <w:szCs w:val="15"/>
      </w:rPr>
    </w:pPr>
    <w:r>
      <w:rPr>
        <w:rFonts w:ascii="Times New Roman" w:hAnsi="Times New Roman" w:eastAsia="Times New Roman" w:cs="Times New Roman"/>
        <w:spacing w:val="-3"/>
        <w:sz w:val="15"/>
        <w:szCs w:val="15"/>
      </w:rPr>
      <w:t>84</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FEFCB">
    <w:pPr>
      <w:spacing w:line="176" w:lineRule="auto"/>
      <w:ind w:left="488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85</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FF96E">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A2FF7">
    <w:pPr>
      <w:spacing w:line="176" w:lineRule="auto"/>
      <w:ind w:left="4375"/>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2555C">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87</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51215">
    <w:pPr>
      <w:spacing w:line="176" w:lineRule="auto"/>
      <w:ind w:left="484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88</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AECED">
    <w:pPr>
      <w:spacing w:line="176" w:lineRule="auto"/>
      <w:ind w:left="482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89</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74B4E">
    <w:pPr>
      <w:spacing w:line="176" w:lineRule="auto"/>
      <w:ind w:left="47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90</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59091">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91</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F2364">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92</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07B0A">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93</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9D491">
    <w:pPr>
      <w:spacing w:line="176" w:lineRule="auto"/>
      <w:ind w:left="483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94</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2CA1E">
    <w:pPr>
      <w:spacing w:line="176" w:lineRule="auto"/>
      <w:ind w:left="484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95</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EF84B">
    <w:pPr>
      <w:spacing w:line="176" w:lineRule="auto"/>
      <w:ind w:left="482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34330">
    <w:pPr>
      <w:pStyle w:val="2"/>
      <w:spacing w:line="14"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0656C">
    <w:pPr>
      <w:pStyle w:val="2"/>
      <w:spacing w:line="14" w:lineRule="auto"/>
      <w:rPr>
        <w:sz w:val="2"/>
      </w:rPr>
    </w:pPr>
    <w:r>
      <w:pict>
        <v:shape id="WordPictureWatermark148" o:spid="_x0000_s2049" o:spt="75" type="#_x0000_t75" style="position:absolute;left:0pt;margin-left:129.95pt;margin-top:310.45pt;height:306.5pt;width:373.55pt;mso-position-horizontal-relative:page;mso-position-vertical-relative:page;z-index:-251641856;mso-width-relative:page;mso-height-relative:page;" filled="f" stroked="f" coordsize="21600,21600" o:allowincell="f">
          <v:path/>
          <v:fill on="f" focussize="0,0"/>
          <v:stroke on="f"/>
          <v:imagedata r:id="rId1" o:title=""/>
          <o:lock v:ext="edit" aspectratio="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34330">
    <w:pPr>
      <w:pStyle w:val="2"/>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C626D">
    <w:pPr>
      <w:pStyle w:val="2"/>
      <w:spacing w:line="14" w:lineRule="auto"/>
      <w:rPr>
        <w:sz w:val="2"/>
      </w:rPr>
    </w:pPr>
    <w:r>
      <w:pict>
        <v:shape id="WordPictureWatermark150" o:spid="_x0000_s2050" o:spt="75" type="#_x0000_t75" style="position:absolute;left:0pt;margin-left:210.45pt;margin-top:396pt;height:292.05pt;width:209.05pt;mso-position-horizontal-relative:page;mso-position-vertical-relative:page;z-index:-251640832;mso-width-relative:page;mso-height-relative:page;" filled="f" stroked="f" coordsize="21600,21600" o:allowincell="f">
          <v:path/>
          <v:fill on="f" focussize="0,0"/>
          <v:stroke on="f"/>
          <v:imagedata r:id="rId1" o:title=""/>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34330">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49357">
    <w:pPr>
      <w:pStyle w:val="2"/>
      <w:spacing w:line="14" w:lineRule="auto"/>
      <w:rPr>
        <w:sz w:val="2"/>
      </w:rPr>
    </w:pPr>
    <w:r>
      <w:drawing>
        <wp:anchor distT="0" distB="0" distL="0" distR="0" simplePos="0" relativeHeight="251659264" behindDoc="0" locked="0" layoutInCell="0" allowOverlap="1">
          <wp:simplePos x="0" y="0"/>
          <wp:positionH relativeFrom="page">
            <wp:posOffset>856615</wp:posOffset>
          </wp:positionH>
          <wp:positionV relativeFrom="page">
            <wp:posOffset>901065</wp:posOffset>
          </wp:positionV>
          <wp:extent cx="5810250" cy="635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
                  <a:stretch>
                    <a:fillRect/>
                  </a:stretch>
                </pic:blipFill>
                <pic:spPr>
                  <a:xfrm>
                    <a:off x="0" y="0"/>
                    <a:ext cx="5810234" cy="6412"/>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34330">
    <w:pPr>
      <w:pStyle w:val="2"/>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5614F">
    <w:pPr>
      <w:pStyle w:val="2"/>
      <w:spacing w:line="14" w:lineRule="auto"/>
      <w:rPr>
        <w:sz w:val="2"/>
      </w:rPr>
    </w:pPr>
    <w:r>
      <w:drawing>
        <wp:anchor distT="0" distB="0" distL="0" distR="0" simplePos="0" relativeHeight="251672576" behindDoc="0" locked="0" layoutInCell="0" allowOverlap="1">
          <wp:simplePos x="0" y="0"/>
          <wp:positionH relativeFrom="page">
            <wp:posOffset>749300</wp:posOffset>
          </wp:positionH>
          <wp:positionV relativeFrom="page">
            <wp:posOffset>901065</wp:posOffset>
          </wp:positionV>
          <wp:extent cx="6026150" cy="635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
                  <a:stretch>
                    <a:fillRect/>
                  </a:stretch>
                </pic:blipFill>
                <pic:spPr>
                  <a:xfrm>
                    <a:off x="0" y="0"/>
                    <a:ext cx="6026155" cy="6412"/>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34330">
    <w:pPr>
      <w:pStyle w:val="2"/>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5614F">
    <w:pPr>
      <w:pStyle w:val="2"/>
      <w:spacing w:line="14" w:lineRule="auto"/>
      <w:rPr>
        <w:sz w:val="2"/>
      </w:rPr>
    </w:pPr>
    <w:r>
      <w:drawing>
        <wp:anchor distT="0" distB="0" distL="0" distR="0" simplePos="0" relativeHeight="251672576" behindDoc="0" locked="0" layoutInCell="0" allowOverlap="1">
          <wp:simplePos x="0" y="0"/>
          <wp:positionH relativeFrom="page">
            <wp:posOffset>749300</wp:posOffset>
          </wp:positionH>
          <wp:positionV relativeFrom="page">
            <wp:posOffset>901065</wp:posOffset>
          </wp:positionV>
          <wp:extent cx="6026150" cy="635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
                  <a:stretch>
                    <a:fillRect/>
                  </a:stretch>
                </pic:blipFill>
                <pic:spPr>
                  <a:xfrm>
                    <a:off x="0" y="0"/>
                    <a:ext cx="6026155" cy="6412"/>
                  </a:xfrm>
                  <a:prstGeom prst="rect">
                    <a:avLst/>
                  </a:prstGeom>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34330">
    <w:pPr>
      <w:pStyle w:val="2"/>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37E00">
    <w:pPr>
      <w:pStyle w:val="2"/>
      <w:spacing w:line="14" w:lineRule="auto"/>
      <w:rPr>
        <w:sz w:val="2"/>
      </w:rPr>
    </w:pPr>
    <w:r>
      <w:drawing>
        <wp:anchor distT="0" distB="0" distL="0" distR="0" simplePos="0" relativeHeight="251673600" behindDoc="0" locked="0" layoutInCell="0" allowOverlap="1">
          <wp:simplePos x="0" y="0"/>
          <wp:positionH relativeFrom="page">
            <wp:posOffset>768350</wp:posOffset>
          </wp:positionH>
          <wp:positionV relativeFrom="page">
            <wp:posOffset>901065</wp:posOffset>
          </wp:positionV>
          <wp:extent cx="5988050" cy="635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
                  <a:stretch>
                    <a:fillRect/>
                  </a:stretch>
                </pic:blipFill>
                <pic:spPr>
                  <a:xfrm>
                    <a:off x="0" y="0"/>
                    <a:ext cx="5988036" cy="6412"/>
                  </a:xfrm>
                  <a:prstGeom prst="rect">
                    <a:avLst/>
                  </a:prstGeom>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34330">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2DB17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2.xml"/><Relationship Id="rId98" Type="http://schemas.openxmlformats.org/officeDocument/2006/relationships/footer" Target="footer91.xml"/><Relationship Id="rId97" Type="http://schemas.openxmlformats.org/officeDocument/2006/relationships/footer" Target="footer90.xml"/><Relationship Id="rId96" Type="http://schemas.openxmlformats.org/officeDocument/2006/relationships/footer" Target="footer89.xml"/><Relationship Id="rId95" Type="http://schemas.openxmlformats.org/officeDocument/2006/relationships/footer" Target="footer88.xml"/><Relationship Id="rId94" Type="http://schemas.openxmlformats.org/officeDocument/2006/relationships/footer" Target="footer87.xml"/><Relationship Id="rId93" Type="http://schemas.openxmlformats.org/officeDocument/2006/relationships/footer" Target="footer86.xml"/><Relationship Id="rId92" Type="http://schemas.openxmlformats.org/officeDocument/2006/relationships/footer" Target="footer85.xml"/><Relationship Id="rId91" Type="http://schemas.openxmlformats.org/officeDocument/2006/relationships/footer" Target="footer84.xml"/><Relationship Id="rId90" Type="http://schemas.openxmlformats.org/officeDocument/2006/relationships/footer" Target="footer83.xml"/><Relationship Id="rId9" Type="http://schemas.openxmlformats.org/officeDocument/2006/relationships/footer" Target="footer4.xml"/><Relationship Id="rId89" Type="http://schemas.openxmlformats.org/officeDocument/2006/relationships/footer" Target="footer82.xml"/><Relationship Id="rId88" Type="http://schemas.openxmlformats.org/officeDocument/2006/relationships/footer" Target="footer81.xml"/><Relationship Id="rId87" Type="http://schemas.openxmlformats.org/officeDocument/2006/relationships/footer" Target="footer80.xml"/><Relationship Id="rId86" Type="http://schemas.openxmlformats.org/officeDocument/2006/relationships/footer" Target="footer79.xml"/><Relationship Id="rId85" Type="http://schemas.openxmlformats.org/officeDocument/2006/relationships/footer" Target="footer78.xml"/><Relationship Id="rId84" Type="http://schemas.openxmlformats.org/officeDocument/2006/relationships/footer" Target="footer77.xml"/><Relationship Id="rId83" Type="http://schemas.openxmlformats.org/officeDocument/2006/relationships/footer" Target="footer76.xml"/><Relationship Id="rId82" Type="http://schemas.openxmlformats.org/officeDocument/2006/relationships/footer" Target="footer75.xml"/><Relationship Id="rId81" Type="http://schemas.openxmlformats.org/officeDocument/2006/relationships/footer" Target="footer74.xml"/><Relationship Id="rId80" Type="http://schemas.openxmlformats.org/officeDocument/2006/relationships/footer" Target="footer73.xml"/><Relationship Id="rId8" Type="http://schemas.openxmlformats.org/officeDocument/2006/relationships/header" Target="header1.xml"/><Relationship Id="rId79" Type="http://schemas.openxmlformats.org/officeDocument/2006/relationships/footer" Target="footer72.xml"/><Relationship Id="rId78" Type="http://schemas.openxmlformats.org/officeDocument/2006/relationships/footer" Target="footer71.xml"/><Relationship Id="rId77" Type="http://schemas.openxmlformats.org/officeDocument/2006/relationships/footer" Target="footer70.xml"/><Relationship Id="rId76" Type="http://schemas.openxmlformats.org/officeDocument/2006/relationships/footer" Target="footer69.xml"/><Relationship Id="rId75" Type="http://schemas.openxmlformats.org/officeDocument/2006/relationships/footer" Target="footer68.xml"/><Relationship Id="rId74" Type="http://schemas.openxmlformats.org/officeDocument/2006/relationships/footer" Target="footer67.xml"/><Relationship Id="rId73" Type="http://schemas.openxmlformats.org/officeDocument/2006/relationships/footer" Target="footer66.xml"/><Relationship Id="rId72" Type="http://schemas.openxmlformats.org/officeDocument/2006/relationships/footer" Target="footer65.xml"/><Relationship Id="rId71" Type="http://schemas.openxmlformats.org/officeDocument/2006/relationships/footer" Target="footer64.xml"/><Relationship Id="rId70" Type="http://schemas.openxmlformats.org/officeDocument/2006/relationships/footer" Target="footer63.xml"/><Relationship Id="rId7" Type="http://schemas.openxmlformats.org/officeDocument/2006/relationships/footer" Target="footer3.xml"/><Relationship Id="rId69" Type="http://schemas.openxmlformats.org/officeDocument/2006/relationships/header" Target="header3.xml"/><Relationship Id="rId68" Type="http://schemas.openxmlformats.org/officeDocument/2006/relationships/footer" Target="footer62.xml"/><Relationship Id="rId67" Type="http://schemas.openxmlformats.org/officeDocument/2006/relationships/header" Target="header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2.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footer" Target="foot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9" Type="http://schemas.openxmlformats.org/officeDocument/2006/relationships/fontTable" Target="fontTable.xml"/><Relationship Id="rId328" Type="http://schemas.openxmlformats.org/officeDocument/2006/relationships/customXml" Target="../customXml/item2.xml"/><Relationship Id="rId327" Type="http://schemas.openxmlformats.org/officeDocument/2006/relationships/customXml" Target="../customXml/item1.xml"/><Relationship Id="rId326" Type="http://schemas.openxmlformats.org/officeDocument/2006/relationships/image" Target="media/image87.jpeg"/><Relationship Id="rId325" Type="http://schemas.openxmlformats.org/officeDocument/2006/relationships/image" Target="media/image86.png"/><Relationship Id="rId324" Type="http://schemas.openxmlformats.org/officeDocument/2006/relationships/image" Target="media/image85.png"/><Relationship Id="rId323" Type="http://schemas.openxmlformats.org/officeDocument/2006/relationships/image" Target="media/image84.jpeg"/><Relationship Id="rId322" Type="http://schemas.openxmlformats.org/officeDocument/2006/relationships/image" Target="media/image83.png"/><Relationship Id="rId321" Type="http://schemas.openxmlformats.org/officeDocument/2006/relationships/image" Target="media/image82.png"/><Relationship Id="rId320" Type="http://schemas.openxmlformats.org/officeDocument/2006/relationships/image" Target="media/image81.jpeg"/><Relationship Id="rId32" Type="http://schemas.openxmlformats.org/officeDocument/2006/relationships/footer" Target="footer27.xml"/><Relationship Id="rId319" Type="http://schemas.openxmlformats.org/officeDocument/2006/relationships/image" Target="media/image80.jpeg"/><Relationship Id="rId318" Type="http://schemas.openxmlformats.org/officeDocument/2006/relationships/image" Target="media/image79.jpeg"/><Relationship Id="rId317" Type="http://schemas.openxmlformats.org/officeDocument/2006/relationships/image" Target="media/image78.jpeg"/><Relationship Id="rId316" Type="http://schemas.openxmlformats.org/officeDocument/2006/relationships/image" Target="media/image77.jpeg"/><Relationship Id="rId315" Type="http://schemas.openxmlformats.org/officeDocument/2006/relationships/image" Target="media/image76.png"/><Relationship Id="rId314" Type="http://schemas.openxmlformats.org/officeDocument/2006/relationships/image" Target="media/image75.png"/><Relationship Id="rId313" Type="http://schemas.openxmlformats.org/officeDocument/2006/relationships/image" Target="media/image74.jpeg"/><Relationship Id="rId312" Type="http://schemas.openxmlformats.org/officeDocument/2006/relationships/image" Target="media/image73.jpeg"/><Relationship Id="rId311" Type="http://schemas.openxmlformats.org/officeDocument/2006/relationships/image" Target="media/image72.png"/><Relationship Id="rId310" Type="http://schemas.openxmlformats.org/officeDocument/2006/relationships/image" Target="media/image71.jpeg"/><Relationship Id="rId31" Type="http://schemas.openxmlformats.org/officeDocument/2006/relationships/footer" Target="footer26.xml"/><Relationship Id="rId309" Type="http://schemas.openxmlformats.org/officeDocument/2006/relationships/image" Target="media/image70.png"/><Relationship Id="rId308" Type="http://schemas.openxmlformats.org/officeDocument/2006/relationships/image" Target="media/image69.jpeg"/><Relationship Id="rId307" Type="http://schemas.openxmlformats.org/officeDocument/2006/relationships/image" Target="media/image68.png"/><Relationship Id="rId306" Type="http://schemas.openxmlformats.org/officeDocument/2006/relationships/image" Target="media/image67.png"/><Relationship Id="rId305" Type="http://schemas.openxmlformats.org/officeDocument/2006/relationships/image" Target="media/image66.png"/><Relationship Id="rId304" Type="http://schemas.openxmlformats.org/officeDocument/2006/relationships/image" Target="media/image65.png"/><Relationship Id="rId303" Type="http://schemas.openxmlformats.org/officeDocument/2006/relationships/image" Target="media/image64.png"/><Relationship Id="rId302" Type="http://schemas.openxmlformats.org/officeDocument/2006/relationships/image" Target="media/image63.png"/><Relationship Id="rId301" Type="http://schemas.openxmlformats.org/officeDocument/2006/relationships/image" Target="media/image62.png"/><Relationship Id="rId300" Type="http://schemas.openxmlformats.org/officeDocument/2006/relationships/image" Target="media/image61.png"/><Relationship Id="rId30" Type="http://schemas.openxmlformats.org/officeDocument/2006/relationships/footer" Target="footer25.xml"/><Relationship Id="rId3" Type="http://schemas.openxmlformats.org/officeDocument/2006/relationships/footnotes" Target="footnotes.xml"/><Relationship Id="rId299" Type="http://schemas.openxmlformats.org/officeDocument/2006/relationships/image" Target="media/image60.png"/><Relationship Id="rId298" Type="http://schemas.openxmlformats.org/officeDocument/2006/relationships/image" Target="media/image59.png"/><Relationship Id="rId297" Type="http://schemas.openxmlformats.org/officeDocument/2006/relationships/image" Target="media/image58.png"/><Relationship Id="rId296" Type="http://schemas.openxmlformats.org/officeDocument/2006/relationships/image" Target="media/image57.png"/><Relationship Id="rId295" Type="http://schemas.openxmlformats.org/officeDocument/2006/relationships/image" Target="media/image56.png"/><Relationship Id="rId294" Type="http://schemas.openxmlformats.org/officeDocument/2006/relationships/image" Target="media/image55.png"/><Relationship Id="rId293" Type="http://schemas.openxmlformats.org/officeDocument/2006/relationships/image" Target="media/image54.png"/><Relationship Id="rId292" Type="http://schemas.openxmlformats.org/officeDocument/2006/relationships/image" Target="media/image53.png"/><Relationship Id="rId291" Type="http://schemas.openxmlformats.org/officeDocument/2006/relationships/image" Target="media/image52.png"/><Relationship Id="rId290" Type="http://schemas.openxmlformats.org/officeDocument/2006/relationships/image" Target="media/image51.jpeg"/><Relationship Id="rId29" Type="http://schemas.openxmlformats.org/officeDocument/2006/relationships/footer" Target="footer24.xml"/><Relationship Id="rId289" Type="http://schemas.openxmlformats.org/officeDocument/2006/relationships/image" Target="media/image50.png"/><Relationship Id="rId288" Type="http://schemas.openxmlformats.org/officeDocument/2006/relationships/image" Target="media/image49.png"/><Relationship Id="rId287" Type="http://schemas.openxmlformats.org/officeDocument/2006/relationships/image" Target="media/image48.png"/><Relationship Id="rId286" Type="http://schemas.openxmlformats.org/officeDocument/2006/relationships/image" Target="media/image47.jpeg"/><Relationship Id="rId285" Type="http://schemas.openxmlformats.org/officeDocument/2006/relationships/image" Target="media/image46.png"/><Relationship Id="rId284" Type="http://schemas.openxmlformats.org/officeDocument/2006/relationships/image" Target="media/image45.png"/><Relationship Id="rId283" Type="http://schemas.openxmlformats.org/officeDocument/2006/relationships/image" Target="media/image44.jpeg"/><Relationship Id="rId282" Type="http://schemas.openxmlformats.org/officeDocument/2006/relationships/image" Target="media/image43.jpeg"/><Relationship Id="rId281" Type="http://schemas.openxmlformats.org/officeDocument/2006/relationships/image" Target="media/image42.png"/><Relationship Id="rId280" Type="http://schemas.openxmlformats.org/officeDocument/2006/relationships/image" Target="media/image41.png"/><Relationship Id="rId28" Type="http://schemas.openxmlformats.org/officeDocument/2006/relationships/footer" Target="footer23.xml"/><Relationship Id="rId279" Type="http://schemas.openxmlformats.org/officeDocument/2006/relationships/image" Target="media/image40.jpeg"/><Relationship Id="rId278" Type="http://schemas.openxmlformats.org/officeDocument/2006/relationships/image" Target="media/image39.jpeg"/><Relationship Id="rId277" Type="http://schemas.openxmlformats.org/officeDocument/2006/relationships/image" Target="media/image38.png"/><Relationship Id="rId276" Type="http://schemas.openxmlformats.org/officeDocument/2006/relationships/image" Target="media/image37.jpeg"/><Relationship Id="rId275" Type="http://schemas.openxmlformats.org/officeDocument/2006/relationships/image" Target="media/image36.png"/><Relationship Id="rId274" Type="http://schemas.openxmlformats.org/officeDocument/2006/relationships/image" Target="media/image35.jpeg"/><Relationship Id="rId273" Type="http://schemas.openxmlformats.org/officeDocument/2006/relationships/image" Target="media/image34.jpeg"/><Relationship Id="rId272" Type="http://schemas.openxmlformats.org/officeDocument/2006/relationships/image" Target="media/image33.png"/><Relationship Id="rId271" Type="http://schemas.openxmlformats.org/officeDocument/2006/relationships/image" Target="media/image32.png"/><Relationship Id="rId270" Type="http://schemas.openxmlformats.org/officeDocument/2006/relationships/image" Target="media/image31.jpeg"/><Relationship Id="rId27" Type="http://schemas.openxmlformats.org/officeDocument/2006/relationships/footer" Target="footer22.xml"/><Relationship Id="rId269" Type="http://schemas.openxmlformats.org/officeDocument/2006/relationships/image" Target="media/image30.png"/><Relationship Id="rId268" Type="http://schemas.openxmlformats.org/officeDocument/2006/relationships/image" Target="media/image29.png"/><Relationship Id="rId267" Type="http://schemas.openxmlformats.org/officeDocument/2006/relationships/image" Target="media/image28.png"/><Relationship Id="rId266" Type="http://schemas.openxmlformats.org/officeDocument/2006/relationships/image" Target="media/image27.jpeg"/><Relationship Id="rId265" Type="http://schemas.openxmlformats.org/officeDocument/2006/relationships/image" Target="media/image26.png"/><Relationship Id="rId264" Type="http://schemas.openxmlformats.org/officeDocument/2006/relationships/image" Target="media/image25.jpeg"/><Relationship Id="rId263" Type="http://schemas.openxmlformats.org/officeDocument/2006/relationships/image" Target="media/image24.png"/><Relationship Id="rId262" Type="http://schemas.openxmlformats.org/officeDocument/2006/relationships/image" Target="media/image23.png"/><Relationship Id="rId261" Type="http://schemas.openxmlformats.org/officeDocument/2006/relationships/image" Target="media/image22.png"/><Relationship Id="rId260" Type="http://schemas.openxmlformats.org/officeDocument/2006/relationships/image" Target="media/image21.png"/><Relationship Id="rId26" Type="http://schemas.openxmlformats.org/officeDocument/2006/relationships/footer" Target="footer21.xml"/><Relationship Id="rId259" Type="http://schemas.openxmlformats.org/officeDocument/2006/relationships/image" Target="media/image20.png"/><Relationship Id="rId258" Type="http://schemas.openxmlformats.org/officeDocument/2006/relationships/image" Target="media/image19.png"/><Relationship Id="rId257" Type="http://schemas.openxmlformats.org/officeDocument/2006/relationships/image" Target="media/image18.jpeg"/><Relationship Id="rId256" Type="http://schemas.openxmlformats.org/officeDocument/2006/relationships/image" Target="media/image17.png"/><Relationship Id="rId255" Type="http://schemas.openxmlformats.org/officeDocument/2006/relationships/image" Target="media/image16.png"/><Relationship Id="rId254" Type="http://schemas.openxmlformats.org/officeDocument/2006/relationships/image" Target="media/image15.png"/><Relationship Id="rId253" Type="http://schemas.openxmlformats.org/officeDocument/2006/relationships/image" Target="media/image14.png"/><Relationship Id="rId252" Type="http://schemas.openxmlformats.org/officeDocument/2006/relationships/image" Target="media/image13.png"/><Relationship Id="rId251" Type="http://schemas.openxmlformats.org/officeDocument/2006/relationships/image" Target="media/image12.png"/><Relationship Id="rId250" Type="http://schemas.openxmlformats.org/officeDocument/2006/relationships/image" Target="media/image11.png"/><Relationship Id="rId25" Type="http://schemas.openxmlformats.org/officeDocument/2006/relationships/footer" Target="footer20.xml"/><Relationship Id="rId249" Type="http://schemas.openxmlformats.org/officeDocument/2006/relationships/image" Target="media/image10.png"/><Relationship Id="rId248" Type="http://schemas.openxmlformats.org/officeDocument/2006/relationships/image" Target="media/image9.jpeg"/><Relationship Id="rId247" Type="http://schemas.openxmlformats.org/officeDocument/2006/relationships/image" Target="media/image8.png"/><Relationship Id="rId246" Type="http://schemas.openxmlformats.org/officeDocument/2006/relationships/image" Target="media/image7.png"/><Relationship Id="rId245" Type="http://schemas.openxmlformats.org/officeDocument/2006/relationships/theme" Target="theme/theme1.xml"/><Relationship Id="rId244" Type="http://schemas.openxmlformats.org/officeDocument/2006/relationships/footer" Target="footer227.xml"/><Relationship Id="rId243" Type="http://schemas.openxmlformats.org/officeDocument/2006/relationships/footer" Target="footer226.xml"/><Relationship Id="rId242" Type="http://schemas.openxmlformats.org/officeDocument/2006/relationships/footer" Target="footer225.xml"/><Relationship Id="rId241" Type="http://schemas.openxmlformats.org/officeDocument/2006/relationships/footer" Target="footer224.xml"/><Relationship Id="rId240" Type="http://schemas.openxmlformats.org/officeDocument/2006/relationships/footer" Target="footer223.xml"/><Relationship Id="rId24" Type="http://schemas.openxmlformats.org/officeDocument/2006/relationships/footer" Target="footer19.xml"/><Relationship Id="rId239" Type="http://schemas.openxmlformats.org/officeDocument/2006/relationships/footer" Target="footer222.xml"/><Relationship Id="rId238" Type="http://schemas.openxmlformats.org/officeDocument/2006/relationships/footer" Target="footer221.xml"/><Relationship Id="rId237" Type="http://schemas.openxmlformats.org/officeDocument/2006/relationships/footer" Target="footer220.xml"/><Relationship Id="rId236" Type="http://schemas.openxmlformats.org/officeDocument/2006/relationships/footer" Target="footer219.xml"/><Relationship Id="rId235" Type="http://schemas.openxmlformats.org/officeDocument/2006/relationships/footer" Target="footer218.xml"/><Relationship Id="rId234" Type="http://schemas.openxmlformats.org/officeDocument/2006/relationships/footer" Target="footer217.xml"/><Relationship Id="rId233" Type="http://schemas.openxmlformats.org/officeDocument/2006/relationships/footer" Target="footer216.xml"/><Relationship Id="rId232" Type="http://schemas.openxmlformats.org/officeDocument/2006/relationships/footer" Target="footer215.xml"/><Relationship Id="rId231" Type="http://schemas.openxmlformats.org/officeDocument/2006/relationships/footer" Target="footer214.xml"/><Relationship Id="rId230" Type="http://schemas.openxmlformats.org/officeDocument/2006/relationships/footer" Target="footer213.xml"/><Relationship Id="rId23" Type="http://schemas.openxmlformats.org/officeDocument/2006/relationships/footer" Target="footer18.xml"/><Relationship Id="rId229" Type="http://schemas.openxmlformats.org/officeDocument/2006/relationships/footer" Target="footer212.xml"/><Relationship Id="rId228" Type="http://schemas.openxmlformats.org/officeDocument/2006/relationships/footer" Target="footer211.xml"/><Relationship Id="rId227" Type="http://schemas.openxmlformats.org/officeDocument/2006/relationships/footer" Target="footer210.xml"/><Relationship Id="rId226" Type="http://schemas.openxmlformats.org/officeDocument/2006/relationships/footer" Target="footer209.xml"/><Relationship Id="rId225" Type="http://schemas.openxmlformats.org/officeDocument/2006/relationships/footer" Target="footer208.xml"/><Relationship Id="rId224" Type="http://schemas.openxmlformats.org/officeDocument/2006/relationships/footer" Target="footer207.xml"/><Relationship Id="rId223" Type="http://schemas.openxmlformats.org/officeDocument/2006/relationships/footer" Target="footer206.xml"/><Relationship Id="rId222" Type="http://schemas.openxmlformats.org/officeDocument/2006/relationships/footer" Target="footer205.xml"/><Relationship Id="rId221" Type="http://schemas.openxmlformats.org/officeDocument/2006/relationships/footer" Target="footer204.xml"/><Relationship Id="rId220" Type="http://schemas.openxmlformats.org/officeDocument/2006/relationships/footer" Target="footer203.xml"/><Relationship Id="rId22" Type="http://schemas.openxmlformats.org/officeDocument/2006/relationships/footer" Target="footer17.xml"/><Relationship Id="rId219" Type="http://schemas.openxmlformats.org/officeDocument/2006/relationships/footer" Target="footer202.xml"/><Relationship Id="rId218" Type="http://schemas.openxmlformats.org/officeDocument/2006/relationships/footer" Target="footer201.xml"/><Relationship Id="rId217" Type="http://schemas.openxmlformats.org/officeDocument/2006/relationships/footer" Target="footer200.xml"/><Relationship Id="rId216" Type="http://schemas.openxmlformats.org/officeDocument/2006/relationships/footer" Target="footer199.xml"/><Relationship Id="rId215" Type="http://schemas.openxmlformats.org/officeDocument/2006/relationships/footer" Target="footer198.xml"/><Relationship Id="rId214" Type="http://schemas.openxmlformats.org/officeDocument/2006/relationships/footer" Target="footer197.xml"/><Relationship Id="rId213" Type="http://schemas.openxmlformats.org/officeDocument/2006/relationships/footer" Target="footer196.xml"/><Relationship Id="rId212" Type="http://schemas.openxmlformats.org/officeDocument/2006/relationships/footer" Target="footer195.xml"/><Relationship Id="rId211" Type="http://schemas.openxmlformats.org/officeDocument/2006/relationships/footer" Target="footer194.xml"/><Relationship Id="rId210" Type="http://schemas.openxmlformats.org/officeDocument/2006/relationships/footer" Target="footer193.xml"/><Relationship Id="rId21" Type="http://schemas.openxmlformats.org/officeDocument/2006/relationships/footer" Target="footer16.xml"/><Relationship Id="rId209" Type="http://schemas.openxmlformats.org/officeDocument/2006/relationships/footer" Target="footer192.xml"/><Relationship Id="rId208" Type="http://schemas.openxmlformats.org/officeDocument/2006/relationships/footer" Target="footer191.xml"/><Relationship Id="rId207" Type="http://schemas.openxmlformats.org/officeDocument/2006/relationships/footer" Target="footer190.xml"/><Relationship Id="rId206" Type="http://schemas.openxmlformats.org/officeDocument/2006/relationships/footer" Target="footer189.xml"/><Relationship Id="rId205" Type="http://schemas.openxmlformats.org/officeDocument/2006/relationships/footer" Target="footer188.xml"/><Relationship Id="rId204" Type="http://schemas.openxmlformats.org/officeDocument/2006/relationships/footer" Target="footer187.xml"/><Relationship Id="rId203" Type="http://schemas.openxmlformats.org/officeDocument/2006/relationships/footer" Target="footer186.xml"/><Relationship Id="rId202" Type="http://schemas.openxmlformats.org/officeDocument/2006/relationships/footer" Target="footer185.xml"/><Relationship Id="rId201" Type="http://schemas.openxmlformats.org/officeDocument/2006/relationships/footer" Target="footer184.xml"/><Relationship Id="rId200" Type="http://schemas.openxmlformats.org/officeDocument/2006/relationships/footer" Target="footer183.xml"/><Relationship Id="rId20" Type="http://schemas.openxmlformats.org/officeDocument/2006/relationships/footer" Target="footer15.xml"/><Relationship Id="rId2" Type="http://schemas.openxmlformats.org/officeDocument/2006/relationships/settings" Target="settings.xml"/><Relationship Id="rId199" Type="http://schemas.openxmlformats.org/officeDocument/2006/relationships/footer" Target="footer182.xml"/><Relationship Id="rId198" Type="http://schemas.openxmlformats.org/officeDocument/2006/relationships/footer" Target="footer181.xml"/><Relationship Id="rId197" Type="http://schemas.openxmlformats.org/officeDocument/2006/relationships/footer" Target="footer180.xml"/><Relationship Id="rId196" Type="http://schemas.openxmlformats.org/officeDocument/2006/relationships/footer" Target="footer179.xml"/><Relationship Id="rId195" Type="http://schemas.openxmlformats.org/officeDocument/2006/relationships/footer" Target="footer178.xml"/><Relationship Id="rId194" Type="http://schemas.openxmlformats.org/officeDocument/2006/relationships/footer" Target="footer177.xml"/><Relationship Id="rId193" Type="http://schemas.openxmlformats.org/officeDocument/2006/relationships/footer" Target="footer176.xml"/><Relationship Id="rId192" Type="http://schemas.openxmlformats.org/officeDocument/2006/relationships/footer" Target="footer175.xml"/><Relationship Id="rId191" Type="http://schemas.openxmlformats.org/officeDocument/2006/relationships/footer" Target="footer174.xml"/><Relationship Id="rId190" Type="http://schemas.openxmlformats.org/officeDocument/2006/relationships/footer" Target="footer173.xml"/><Relationship Id="rId19" Type="http://schemas.openxmlformats.org/officeDocument/2006/relationships/footer" Target="footer14.xml"/><Relationship Id="rId189" Type="http://schemas.openxmlformats.org/officeDocument/2006/relationships/footer" Target="footer172.xml"/><Relationship Id="rId188" Type="http://schemas.openxmlformats.org/officeDocument/2006/relationships/footer" Target="footer171.xml"/><Relationship Id="rId187" Type="http://schemas.openxmlformats.org/officeDocument/2006/relationships/footer" Target="footer170.xml"/><Relationship Id="rId186" Type="http://schemas.openxmlformats.org/officeDocument/2006/relationships/footer" Target="footer169.xml"/><Relationship Id="rId185" Type="http://schemas.openxmlformats.org/officeDocument/2006/relationships/footer" Target="footer168.xml"/><Relationship Id="rId184" Type="http://schemas.openxmlformats.org/officeDocument/2006/relationships/footer" Target="footer167.xml"/><Relationship Id="rId183" Type="http://schemas.openxmlformats.org/officeDocument/2006/relationships/footer" Target="footer166.xml"/><Relationship Id="rId182" Type="http://schemas.openxmlformats.org/officeDocument/2006/relationships/footer" Target="footer165.xml"/><Relationship Id="rId181" Type="http://schemas.openxmlformats.org/officeDocument/2006/relationships/footer" Target="footer164.xml"/><Relationship Id="rId180" Type="http://schemas.openxmlformats.org/officeDocument/2006/relationships/footer" Target="footer163.xml"/><Relationship Id="rId18" Type="http://schemas.openxmlformats.org/officeDocument/2006/relationships/footer" Target="footer13.xml"/><Relationship Id="rId179" Type="http://schemas.openxmlformats.org/officeDocument/2006/relationships/footer" Target="footer162.xml"/><Relationship Id="rId178" Type="http://schemas.openxmlformats.org/officeDocument/2006/relationships/footer" Target="footer161.xml"/><Relationship Id="rId177" Type="http://schemas.openxmlformats.org/officeDocument/2006/relationships/footer" Target="footer160.xml"/><Relationship Id="rId176" Type="http://schemas.openxmlformats.org/officeDocument/2006/relationships/footer" Target="footer159.xml"/><Relationship Id="rId175" Type="http://schemas.openxmlformats.org/officeDocument/2006/relationships/footer" Target="footer158.xml"/><Relationship Id="rId174" Type="http://schemas.openxmlformats.org/officeDocument/2006/relationships/footer" Target="footer157.xml"/><Relationship Id="rId173" Type="http://schemas.openxmlformats.org/officeDocument/2006/relationships/footer" Target="footer156.xml"/><Relationship Id="rId172" Type="http://schemas.openxmlformats.org/officeDocument/2006/relationships/footer" Target="footer155.xml"/><Relationship Id="rId171" Type="http://schemas.openxmlformats.org/officeDocument/2006/relationships/footer" Target="footer154.xml"/><Relationship Id="rId170" Type="http://schemas.openxmlformats.org/officeDocument/2006/relationships/footer" Target="footer153.xml"/><Relationship Id="rId17" Type="http://schemas.openxmlformats.org/officeDocument/2006/relationships/footer" Target="footer12.xml"/><Relationship Id="rId169" Type="http://schemas.openxmlformats.org/officeDocument/2006/relationships/footer" Target="footer152.xml"/><Relationship Id="rId168" Type="http://schemas.openxmlformats.org/officeDocument/2006/relationships/footer" Target="footer151.xml"/><Relationship Id="rId167" Type="http://schemas.openxmlformats.org/officeDocument/2006/relationships/footer" Target="footer150.xml"/><Relationship Id="rId166" Type="http://schemas.openxmlformats.org/officeDocument/2006/relationships/footer" Target="footer149.xml"/><Relationship Id="rId165" Type="http://schemas.openxmlformats.org/officeDocument/2006/relationships/footer" Target="footer148.xml"/><Relationship Id="rId164" Type="http://schemas.openxmlformats.org/officeDocument/2006/relationships/footer" Target="footer147.xml"/><Relationship Id="rId163" Type="http://schemas.openxmlformats.org/officeDocument/2006/relationships/footer" Target="footer146.xml"/><Relationship Id="rId162" Type="http://schemas.openxmlformats.org/officeDocument/2006/relationships/footer" Target="footer145.xml"/><Relationship Id="rId161" Type="http://schemas.openxmlformats.org/officeDocument/2006/relationships/footer" Target="footer144.xml"/><Relationship Id="rId160" Type="http://schemas.openxmlformats.org/officeDocument/2006/relationships/footer" Target="footer143.xml"/><Relationship Id="rId16" Type="http://schemas.openxmlformats.org/officeDocument/2006/relationships/footer" Target="footer11.xml"/><Relationship Id="rId159" Type="http://schemas.openxmlformats.org/officeDocument/2006/relationships/footer" Target="footer142.xml"/><Relationship Id="rId158" Type="http://schemas.openxmlformats.org/officeDocument/2006/relationships/footer" Target="footer141.xml"/><Relationship Id="rId157" Type="http://schemas.openxmlformats.org/officeDocument/2006/relationships/footer" Target="footer140.xml"/><Relationship Id="rId156" Type="http://schemas.openxmlformats.org/officeDocument/2006/relationships/footer" Target="footer139.xml"/><Relationship Id="rId155" Type="http://schemas.openxmlformats.org/officeDocument/2006/relationships/footer" Target="footer138.xml"/><Relationship Id="rId154" Type="http://schemas.openxmlformats.org/officeDocument/2006/relationships/header" Target="header13.xml"/><Relationship Id="rId153" Type="http://schemas.openxmlformats.org/officeDocument/2006/relationships/footer" Target="footer137.xml"/><Relationship Id="rId152" Type="http://schemas.openxmlformats.org/officeDocument/2006/relationships/header" Target="header12.xml"/><Relationship Id="rId151" Type="http://schemas.openxmlformats.org/officeDocument/2006/relationships/footer" Target="footer136.xml"/><Relationship Id="rId150" Type="http://schemas.openxmlformats.org/officeDocument/2006/relationships/header" Target="header11.xml"/><Relationship Id="rId15" Type="http://schemas.openxmlformats.org/officeDocument/2006/relationships/footer" Target="footer10.xml"/><Relationship Id="rId149" Type="http://schemas.openxmlformats.org/officeDocument/2006/relationships/footer" Target="footer135.xml"/><Relationship Id="rId148" Type="http://schemas.openxmlformats.org/officeDocument/2006/relationships/header" Target="header10.xml"/><Relationship Id="rId147" Type="http://schemas.openxmlformats.org/officeDocument/2006/relationships/footer" Target="footer134.xml"/><Relationship Id="rId146" Type="http://schemas.openxmlformats.org/officeDocument/2006/relationships/footer" Target="footer133.xml"/><Relationship Id="rId145" Type="http://schemas.openxmlformats.org/officeDocument/2006/relationships/footer" Target="footer132.xml"/><Relationship Id="rId144" Type="http://schemas.openxmlformats.org/officeDocument/2006/relationships/footer" Target="footer131.xml"/><Relationship Id="rId143" Type="http://schemas.openxmlformats.org/officeDocument/2006/relationships/footer" Target="footer130.xml"/><Relationship Id="rId142" Type="http://schemas.openxmlformats.org/officeDocument/2006/relationships/header" Target="header9.xml"/><Relationship Id="rId141" Type="http://schemas.openxmlformats.org/officeDocument/2006/relationships/footer" Target="footer129.xml"/><Relationship Id="rId140" Type="http://schemas.openxmlformats.org/officeDocument/2006/relationships/header" Target="header8.xml"/><Relationship Id="rId14" Type="http://schemas.openxmlformats.org/officeDocument/2006/relationships/footer" Target="footer9.xml"/><Relationship Id="rId139" Type="http://schemas.openxmlformats.org/officeDocument/2006/relationships/footer" Target="footer128.xml"/><Relationship Id="rId138" Type="http://schemas.openxmlformats.org/officeDocument/2006/relationships/footer" Target="footer127.xml"/><Relationship Id="rId137" Type="http://schemas.openxmlformats.org/officeDocument/2006/relationships/footer" Target="footer126.xml"/><Relationship Id="rId136" Type="http://schemas.openxmlformats.org/officeDocument/2006/relationships/footer" Target="footer125.xml"/><Relationship Id="rId135" Type="http://schemas.openxmlformats.org/officeDocument/2006/relationships/footer" Target="footer124.xml"/><Relationship Id="rId134" Type="http://schemas.openxmlformats.org/officeDocument/2006/relationships/footer" Target="footer123.xml"/><Relationship Id="rId133" Type="http://schemas.openxmlformats.org/officeDocument/2006/relationships/footer" Target="footer122.xml"/><Relationship Id="rId132" Type="http://schemas.openxmlformats.org/officeDocument/2006/relationships/footer" Target="footer121.xml"/><Relationship Id="rId131" Type="http://schemas.openxmlformats.org/officeDocument/2006/relationships/footer" Target="footer120.xml"/><Relationship Id="rId130" Type="http://schemas.openxmlformats.org/officeDocument/2006/relationships/footer" Target="footer119.xml"/><Relationship Id="rId13" Type="http://schemas.openxmlformats.org/officeDocument/2006/relationships/footer" Target="footer8.xml"/><Relationship Id="rId129" Type="http://schemas.openxmlformats.org/officeDocument/2006/relationships/footer" Target="footer118.xml"/><Relationship Id="rId128" Type="http://schemas.openxmlformats.org/officeDocument/2006/relationships/footer" Target="footer117.xml"/><Relationship Id="rId127" Type="http://schemas.openxmlformats.org/officeDocument/2006/relationships/footer" Target="footer116.xml"/><Relationship Id="rId126" Type="http://schemas.openxmlformats.org/officeDocument/2006/relationships/footer" Target="footer115.xml"/><Relationship Id="rId125" Type="http://schemas.openxmlformats.org/officeDocument/2006/relationships/header" Target="header7.xml"/><Relationship Id="rId124" Type="http://schemas.openxmlformats.org/officeDocument/2006/relationships/footer" Target="footer114.xml"/><Relationship Id="rId123" Type="http://schemas.openxmlformats.org/officeDocument/2006/relationships/header" Target="header6.xml"/><Relationship Id="rId122" Type="http://schemas.openxmlformats.org/officeDocument/2006/relationships/footer" Target="footer113.xml"/><Relationship Id="rId121" Type="http://schemas.openxmlformats.org/officeDocument/2006/relationships/footer" Target="footer112.xml"/><Relationship Id="rId120" Type="http://schemas.openxmlformats.org/officeDocument/2006/relationships/footer" Target="footer111.xml"/><Relationship Id="rId12" Type="http://schemas.openxmlformats.org/officeDocument/2006/relationships/footer" Target="footer7.xml"/><Relationship Id="rId119" Type="http://schemas.openxmlformats.org/officeDocument/2006/relationships/footer" Target="footer110.xml"/><Relationship Id="rId118" Type="http://schemas.openxmlformats.org/officeDocument/2006/relationships/footer" Target="footer109.xml"/><Relationship Id="rId117" Type="http://schemas.openxmlformats.org/officeDocument/2006/relationships/footer" Target="footer108.xml"/><Relationship Id="rId116" Type="http://schemas.openxmlformats.org/officeDocument/2006/relationships/footer" Target="footer107.xml"/><Relationship Id="rId115" Type="http://schemas.openxmlformats.org/officeDocument/2006/relationships/footer" Target="footer106.xml"/><Relationship Id="rId114" Type="http://schemas.openxmlformats.org/officeDocument/2006/relationships/footer" Target="footer105.xml"/><Relationship Id="rId113" Type="http://schemas.openxmlformats.org/officeDocument/2006/relationships/footer" Target="footer104.xml"/><Relationship Id="rId112" Type="http://schemas.openxmlformats.org/officeDocument/2006/relationships/header" Target="header5.xml"/><Relationship Id="rId111" Type="http://schemas.openxmlformats.org/officeDocument/2006/relationships/footer" Target="footer103.xml"/><Relationship Id="rId110" Type="http://schemas.openxmlformats.org/officeDocument/2006/relationships/header" Target="header4.xml"/><Relationship Id="rId11" Type="http://schemas.openxmlformats.org/officeDocument/2006/relationships/footer" Target="footer6.xml"/><Relationship Id="rId109" Type="http://schemas.openxmlformats.org/officeDocument/2006/relationships/footer" Target="footer102.xml"/><Relationship Id="rId108" Type="http://schemas.openxmlformats.org/officeDocument/2006/relationships/footer" Target="footer101.xml"/><Relationship Id="rId107" Type="http://schemas.openxmlformats.org/officeDocument/2006/relationships/footer" Target="footer100.xml"/><Relationship Id="rId106" Type="http://schemas.openxmlformats.org/officeDocument/2006/relationships/footer" Target="footer99.xml"/><Relationship Id="rId105" Type="http://schemas.openxmlformats.org/officeDocument/2006/relationships/footer" Target="footer98.xml"/><Relationship Id="rId104" Type="http://schemas.openxmlformats.org/officeDocument/2006/relationships/footer" Target="footer97.xml"/><Relationship Id="rId103" Type="http://schemas.openxmlformats.org/officeDocument/2006/relationships/footer" Target="footer96.xml"/><Relationship Id="rId102" Type="http://schemas.openxmlformats.org/officeDocument/2006/relationships/footer" Target="footer95.xml"/><Relationship Id="rId101" Type="http://schemas.openxmlformats.org/officeDocument/2006/relationships/footer" Target="footer94.xml"/><Relationship Id="rId100" Type="http://schemas.openxmlformats.org/officeDocument/2006/relationships/footer" Target="footer93.xml"/><Relationship Id="rId10" Type="http://schemas.openxmlformats.org/officeDocument/2006/relationships/footer" Target="footer5.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6" textRotate="1"/>
    <customShpInfo spid="_x0000_s1027"/>
    <customShpInfo spid="_x0000_s1028"/>
    <customShpInfo spid="_x0000_s1030"/>
    <customShpInfo spid="_x0000_s1031"/>
    <customShpInfo spid="_x0000_s1029"/>
    <customShpInfo spid="_x0000_s1033"/>
    <customShpInfo spid="_x0000_s1034"/>
    <customShpInfo spid="_x0000_s1032"/>
    <customShpInfo spid="_x0000_s1036"/>
    <customShpInfo spid="_x0000_s1037"/>
    <customShpInfo spid="_x0000_s1035"/>
    <customShpInfo spid="_x0000_s1039"/>
    <customShpInfo spid="_x0000_s1040"/>
    <customShpInfo spid="_x0000_s1038"/>
    <customShpInfo spid="_x0000_s1042"/>
    <customShpInfo spid="_x0000_s1043"/>
    <customShpInfo spid="_x0000_s1041"/>
    <customShpInfo spid="_x0000_s1045"/>
    <customShpInfo spid="_x0000_s1046"/>
    <customShpInfo spid="_x0000_s1044"/>
    <customShpInfo spid="_x0000_s1048"/>
    <customShpInfo spid="_x0000_s1049"/>
    <customShpInfo spid="_x0000_s1050"/>
    <customShpInfo spid="_x0000_s1047"/>
    <customShpInfo spid="_x0000_s1051"/>
    <customShpInfo spid="_x0000_s1053"/>
    <customShpInfo spid="_x0000_s1054"/>
    <customShpInfo spid="_x0000_s1055"/>
    <customShpInfo spid="_x0000_s1052"/>
    <customShpInfo spid="_x0000_s1056"/>
    <customShpInfo spid="_x0000_s1057"/>
    <customShpInfo spid="_x0000_s1058"/>
    <customShpInfo spid="_x0000_s1060"/>
    <customShpInfo spid="_x0000_s1061"/>
    <customShpInfo spid="_x0000_s1062"/>
    <customShpInfo spid="_x0000_s1063"/>
    <customShpInfo spid="_x0000_s1059"/>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64"/>
    <customShpInfo spid="_x0000_s1076"/>
    <customShpInfo spid="_x0000_s1077"/>
    <customShpInfo spid="_x0000_s1075"/>
    <customShpInfo spid="_x0000_s1078"/>
    <customShpInfo spid="_x0000_s1079"/>
    <customShpInfo spid="_x0000_s1080"/>
    <customShpInfo spid="_x0000_s1081"/>
    <customShpInfo spid="_x0000_s1082"/>
    <customShpInfo spid="_x0000_s1083"/>
    <customShpInfo spid="_x0000_s1084"/>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85"/>
    <customShpInfo spid="_x0000_s1095"/>
    <customShpInfo spid="_x0000_s1096"/>
    <customShpInfo spid="_x0000_s1097"/>
    <customShpInfo spid="_x0000_s1098"/>
    <customShpInfo spid="_x0000_s1099"/>
    <customShpInfo spid="_x0000_s1101"/>
    <customShpInfo spid="_x0000_s1102"/>
    <customShpInfo spid="_x0000_s1100"/>
    <customShpInfo spid="_x0000_s1104"/>
    <customShpInfo spid="_x0000_s1105"/>
    <customShpInfo spid="_x0000_s1103"/>
    <customShpInfo spid="_x0000_s1106"/>
    <customShpInfo spid="_x0000_s1108"/>
    <customShpInfo spid="_x0000_s1109"/>
    <customShpInfo spid="_x0000_s1107"/>
    <customShpInfo spid="_x0000_s1111"/>
    <customShpInfo spid="_x0000_s1112"/>
    <customShpInfo spid="_x0000_s1113"/>
    <customShpInfo spid="_x0000_s1114"/>
    <customShpInfo spid="_x0000_s1115"/>
    <customShpInfo spid="_x0000_s1110"/>
    <customShpInfo spid="_x0000_s1117"/>
    <customShpInfo spid="_x0000_s1118"/>
    <customShpInfo spid="_x0000_s1119"/>
    <customShpInfo spid="_x0000_s1120"/>
    <customShpInfo spid="_x0000_s1116"/>
    <customShpInfo spid="_x0000_s1121"/>
    <customShpInfo spid="_x0000_s1122"/>
    <customShpInfo spid="_x0000_s1123"/>
    <customShpInfo spid="_x0000_s1125"/>
    <customShpInfo spid="_x0000_s1126"/>
    <customShpInfo spid="_x0000_s1124"/>
    <customShpInfo spid="_x0000_s1127"/>
    <customShpInfo spid="_x0000_s1129"/>
    <customShpInfo spid="_x0000_s1130"/>
    <customShpInfo spid="_x0000_s1128"/>
  </customShpExts>
</s:customData>
</file>

<file path=customXml/item2.xml><?xml version="1.0" encoding="utf-8"?>
<contractReview xmlns="http://schemas.wps.cn/vas-ai-hub/contract-review">
  <reviewItems>
    <reviewItem>
      <errorID>a1bb6d21-c402-4e53-a3c4-eced862094e6</errorID>
      <errorWord>(</errorWord>
      <group>L1_Format</group>
      <groupName>格式问题</groupName>
      <ability>L2_HalfPunc_CN</ability>
      <abilityName>全半角问题</abilityName>
      <candidateList>
        <item>（</item>
      </candidateList>
      <explain>文本全半角错误。</explain>
      <paraID>20104055</paraID>
      <start>0</start>
      <end>1</end>
      <status>unmodified</status>
      <modifiedWord/>
      <trackRevisions>false</trackRevisions>
    </reviewItem>
    <reviewItem>
      <errorID>4b6c079b-7a75-44ff-88f7-085c15d03d77</errorID>
      <errorWord>)</errorWord>
      <group>L1_Format</group>
      <groupName>格式问题</groupName>
      <ability>L2_HalfPunc_CN</ability>
      <abilityName>全半角问题</abilityName>
      <candidateList>
        <item>）</item>
      </candidateList>
      <explain>文本全半角错误。</explain>
      <paraID>20104055</paraID>
      <start>6</start>
      <end>7</end>
      <status>unmodified</status>
      <modifiedWord/>
      <trackRevisions>false</trackRevisions>
    </reviewItem>
    <reviewItem>
      <errorID>b7c41559-9c36-43ed-847c-de0e6e67a4ba</errorID>
      <errorWord>(</errorWord>
      <group>L1_Format</group>
      <groupName>格式问题</groupName>
      <ability>L2_HalfPunc_CN</ability>
      <abilityName>全半角问题</abilityName>
      <candidateList>
        <item>（</item>
      </candidateList>
      <explain>文本全半角错误。</explain>
      <paraID>70D73098</paraID>
      <start>0</start>
      <end>1</end>
      <status>unmodified</status>
      <modifiedWord/>
      <trackRevisions>false</trackRevisions>
    </reviewItem>
    <reviewItem>
      <errorID>82f6afc5-d405-45c9-89d7-b26d42e72b69</errorID>
      <errorWord>)</errorWord>
      <group>L1_Format</group>
      <groupName>格式问题</groupName>
      <ability>L2_HalfPunc_CN</ability>
      <abilityName>全半角问题</abilityName>
      <candidateList>
        <item>）</item>
      </candidateList>
      <explain>文本全半角错误。</explain>
      <paraID>70D73098</paraID>
      <start>5</start>
      <end>6</end>
      <status>unmodified</status>
      <modifiedWord/>
      <trackRevisions>false</trackRevisions>
    </reviewItem>
    <reviewItem>
      <errorID>7eab8bc1-9598-4441-9a33-c7f4cf8218db</errorID>
      <errorWord>(</errorWord>
      <group>L1_Format</group>
      <groupName>格式问题</groupName>
      <ability>L2_HalfPunc_CN</ability>
      <abilityName>全半角问题</abilityName>
      <candidateList>
        <item>（</item>
      </candidateList>
      <explain>文本全半角错误。</explain>
      <paraID>54B16A9D</paraID>
      <start>4</start>
      <end>5</end>
      <status>unmodified</status>
      <modifiedWord/>
      <trackRevisions>false</trackRevisions>
    </reviewItem>
    <reviewItem>
      <errorID>bd8a3972-250e-47e0-8e4e-7a08adc4f66b</errorID>
      <errorWord>):</errorWord>
      <group>L1_Format</group>
      <groupName>格式问题</groupName>
      <ability>L2_HalfPunc_CN</ability>
      <abilityName>全半角问题</abilityName>
      <candidateList>
        <item>）：</item>
      </candidateList>
      <explain>文本全半角错误。</explain>
      <paraID>54B16A9D</paraID>
      <start>7</start>
      <end>9</end>
      <status>unmodified</status>
      <modifiedWord/>
      <trackRevisions>false</trackRevisions>
    </reviewItem>
    <reviewItem>
      <errorID>6dab3078-248c-4aa0-8adc-121e6196a791</errorID>
      <errorWord>(</errorWord>
      <group>L1_Format</group>
      <groupName>格式问题</groupName>
      <ability>L2_HalfPunc_CN</ability>
      <abilityName>全半角问题</abilityName>
      <candidateList>
        <item>（</item>
      </candidateList>
      <explain>文本全半角错误。</explain>
      <paraID>424EAA5E</paraID>
      <start>4</start>
      <end>5</end>
      <status>unmodified</status>
      <modifiedWord/>
      <trackRevisions>false</trackRevisions>
    </reviewItem>
    <reviewItem>
      <errorID>59558fbb-8914-475b-b2eb-3d41a8e2af5d</errorID>
      <errorWord>)</errorWord>
      <group>L1_Format</group>
      <groupName>格式问题</groupName>
      <ability>L2_HalfPunc_CN</ability>
      <abilityName>全半角问题</abilityName>
      <candidateList>
        <item>）</item>
      </candidateList>
      <explain>文本全半角错误。</explain>
      <paraID>424EAA5E</paraID>
      <start>7</start>
      <end>8</end>
      <status>unmodified</status>
      <modifiedWord/>
      <trackRevisions>false</trackRevisions>
    </reviewItem>
    <reviewItem>
      <errorID>42a268f5-f94f-4f8e-a8e1-f97f45d6b31b</errorID>
      <errorWord>(</errorWord>
      <group>L1_Format</group>
      <groupName>格式问题</groupName>
      <ability>L2_HalfPunc_CN</ability>
      <abilityName>全半角问题</abilityName>
      <candidateList>
        <item>（</item>
      </candidateList>
      <explain>文本全半角错误。</explain>
      <paraID>7CE145FC</paraID>
      <start>5</start>
      <end>6</end>
      <status>unmodified</status>
      <modifiedWord/>
      <trackRevisions>false</trackRevisions>
    </reviewItem>
    <reviewItem>
      <errorID>8e891ef9-71d8-49b0-9a86-25340d0a69f4</errorID>
      <errorWord>)</errorWord>
      <group>L1_Format</group>
      <groupName>格式问题</groupName>
      <ability>L2_HalfPunc_CN</ability>
      <abilityName>全半角问题</abilityName>
      <candidateList>
        <item>）</item>
      </candidateList>
      <explain>文本全半角错误。</explain>
      <paraID>7CE145FC</paraID>
      <start>8</start>
      <end>9</end>
      <status>unmodified</status>
      <modifiedWord/>
      <trackRevisions>false</trackRevisions>
    </reviewItem>
    <reviewItem>
      <errorID>e4b84e94-7bea-4ada-9659-86bb234c29e8</errorID>
      <errorWord>(</errorWord>
      <group>L1_Format</group>
      <groupName>格式问题</groupName>
      <ability>L2_HalfPunc_CN</ability>
      <abilityName>全半角问题</abilityName>
      <candidateList>
        <item>（</item>
      </candidateList>
      <explain>文本全半角错误。</explain>
      <paraID>4CC8DDEA</paraID>
      <start>5</start>
      <end>6</end>
      <status>unmodified</status>
      <modifiedWord/>
      <trackRevisions>false</trackRevisions>
    </reviewItem>
    <reviewItem>
      <errorID>39f08637-6aaf-4e82-a964-9de42ddad299</errorID>
      <errorWord>)</errorWord>
      <group>L1_Format</group>
      <groupName>格式问题</groupName>
      <ability>L2_HalfPunc_CN</ability>
      <abilityName>全半角问题</abilityName>
      <candidateList>
        <item>）</item>
      </candidateList>
      <explain>文本全半角错误。</explain>
      <paraID>4CC8DDEA</paraID>
      <start>8</start>
      <end>9</end>
      <status>unmodified</status>
      <modifiedWord/>
      <trackRevisions>false</trackRevisions>
    </reviewItem>
    <reviewItem>
      <errorID>d1eb79d3-48e3-4abb-9a3a-5c4d6d2644e2</errorID>
      <errorWord>(</errorWord>
      <group>L1_Format</group>
      <groupName>格式问题</groupName>
      <ability>L2_HalfPunc_CN</ability>
      <abilityName>全半角问题</abilityName>
      <candidateList>
        <item>（</item>
      </candidateList>
      <explain>文本全半角错误。</explain>
      <paraID>54D79457</paraID>
      <start>9</start>
      <end>10</end>
      <status>unmodified</status>
      <modifiedWord/>
      <trackRevisions>false</trackRevisions>
    </reviewItem>
    <reviewItem>
      <errorID>5cdbfd5e-f4dd-42bf-9532-708eda2e03ef</errorID>
      <errorWord>)</errorWord>
      <group>L1_Format</group>
      <groupName>格式问题</groupName>
      <ability>L2_HalfPunc_CN</ability>
      <abilityName>全半角问题</abilityName>
      <candidateList>
        <item>）</item>
      </candidateList>
      <explain>文本全半角错误。</explain>
      <paraID>54D79457</paraID>
      <start>12</start>
      <end>13</end>
      <status>unmodified</status>
      <modifiedWord/>
      <trackRevisions>false</trackRevisions>
    </reviewItem>
    <reviewItem>
      <errorID>8fd5f643-e915-4caf-a83b-40195c27c4c2</errorID>
      <errorWord>(</errorWord>
      <group>L1_Format</group>
      <groupName>格式问题</groupName>
      <ability>L2_HalfPunc_CN</ability>
      <abilityName>全半角问题</abilityName>
      <candidateList>
        <item>（</item>
      </candidateList>
      <explain>文本全半角错误。</explain>
      <paraID>1E6BAD65</paraID>
      <start>4</start>
      <end>5</end>
      <status>unmodified</status>
      <modifiedWord/>
      <trackRevisions>false</trackRevisions>
    </reviewItem>
    <reviewItem>
      <errorID>ddee6472-f19e-4501-99a4-30a689e2cefe</errorID>
      <errorWord>)</errorWord>
      <group>L1_Format</group>
      <groupName>格式问题</groupName>
      <ability>L2_HalfPunc_CN</ability>
      <abilityName>全半角问题</abilityName>
      <candidateList>
        <item>）</item>
      </candidateList>
      <explain>文本全半角错误。</explain>
      <paraID>1E6BAD65</paraID>
      <start>7</start>
      <end>8</end>
      <status>unmodified</status>
      <modifiedWord/>
      <trackRevisions>false</trackRevisions>
    </reviewItem>
    <reviewItem>
      <errorID>052f1f16-917f-4711-9cc2-d39f50ed0747</errorID>
      <errorWord>```</errorWord>
      <group>L1_Punc</group>
      <groupName>标点问题</groupName>
      <ability>L2_Punc_CN</ability>
      <abilityName>标点符号问题</abilityName>
      <candidateList>
        <item>`</item>
      </candidateList>
      <explain/>
      <paraID>19797044</paraID>
      <start>28</start>
      <end>31</end>
      <status>unmodified</status>
      <modifiedWord/>
      <trackRevisions>false</trackRevisions>
    </reviewItem>
    <reviewItem>
      <errorID>4348b58d-981d-412f-a0ea-3d960c6882f9</errorID>
      <errorWord>```</errorWord>
      <group>L1_Punc</group>
      <groupName>标点问题</groupName>
      <ability>L2_Punc_CN</ability>
      <abilityName>标点符号问题</abilityName>
      <candidateList>
        <item>`</item>
      </candidateList>
      <explain/>
      <paraID>19797044</paraID>
      <start>41</start>
      <end>44</end>
      <status>unmodified</status>
      <modifiedWord/>
      <trackRevisions>false</trackRevisions>
    </reviewItem>
    <reviewItem>
      <errorID>7104f4b4-ba53-4b8d-a92a-8b1b731b376a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161A4E10</paraID>
      <start>0</start>
      <end>2</end>
      <status>unmodified</status>
      <modifiedWord/>
      <trackRevisions>false</trackRevisions>
    </reviewItem>
    <reviewItem>
      <errorID>9e5ec32e-1cc7-4abe-ae7a-c6d9abfbe8ae</errorID>
      <errorWord>内</errorWord>
      <group>L1_Word</group>
      <groupName>字词问题</groupName>
      <ability>L2_Typo</ability>
      <abilityName>字词错误</abilityName>
      <candidateList>
        <item>内容</item>
      </candidateList>
      <explain/>
      <paraID>161A4E10</paraID>
      <start>15</start>
      <end>16</end>
      <status>unmodified</status>
      <modifiedWord/>
      <trackRevisions>false</trackRevisions>
    </reviewItem>
    <reviewItem>
      <errorID>49f7d125-5572-4fd1-9fbb-1d66ea342cf3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37A4A77C</paraID>
      <start>0</start>
      <end>2</end>
      <status>unmodified</status>
      <modifiedWord/>
      <trackRevisions>false</trackRevisions>
    </reviewItem>
    <reviewItem>
      <errorID>856ffef5-9d81-46e3-ab4e-529db4556f95</errorID>
      <errorWord>踏勘照</errorWord>
      <group>L1_Grammar</group>
      <groupName>语法问题</groupName>
      <ability>L2_Order</ability>
      <abilityName>语序不当</abilityName>
      <candidateList>
        <item>照踏勘</item>
      </candidateList>
      <explain>句子可能没有遵循时空、逻辑顺序，或者介词、关联词等位置不当。</explain>
      <paraID>6B30E4D8</paraID>
      <start>7</start>
      <end>10</end>
      <status>unmodified</status>
      <modifiedWord/>
      <trackRevisions>false</trackRevisions>
    </reviewItem>
    <reviewItem>
      <errorID>22532fb2-03e3-4596-99c3-c9c68d27eb7e</errorID>
      <errorWord>.</errorWord>
      <group>L1_Format</group>
      <groupName>格式问题</groupName>
      <ability>L2_HalfPunc_CN</ability>
      <abilityName>全半角问题</abilityName>
      <candidateList>
        <item>。</item>
      </candidateList>
      <explain>文本全半角错误。</explain>
      <paraID>58F7068A</paraID>
      <start>19</start>
      <end>20</end>
      <status>unmodified</status>
      <modifiedWord/>
      <trackRevisions>false</trackRevisions>
    </reviewItem>
    <reviewItem>
      <errorID>58009c2c-d6be-433d-9afe-588710b7ca12</errorID>
      <errorWord>设置</errorWord>
      <group>L1_Word</group>
      <groupName>字词问题</groupName>
      <ability>L2_Typo</ability>
      <abilityName>字词错误</abilityName>
      <candidateList>
        <item>设施</item>
      </candidateList>
      <explain>存在发音相近字词的误用。</explain>
      <paraID> E7F12B3</paraID>
      <start>14</start>
      <end>16</end>
      <status>unmodified</status>
      <modifiedWord/>
      <trackRevisions>false</trackRevisions>
    </reviewItem>
    <reviewItem>
      <errorID>6e8a8dab-36fe-4350-a25f-70c0360259da</errorID>
      <errorWord>,</errorWord>
      <group>L1_Format</group>
      <groupName>格式问题</groupName>
      <ability>L2_HalfPunc_CN</ability>
      <abilityName>全半角问题</abilityName>
      <candidateList>
        <item>，</item>
      </candidateList>
      <explain>文本全半角错误。</explain>
      <paraID>49B5FEAF</paraID>
      <start>31</start>
      <end>32</end>
      <status>unmodified</status>
      <modifiedWord/>
      <trackRevisions>false</trackRevisions>
    </reviewItem>
    <reviewItem>
      <errorID>44e49a6a-d03a-4de0-beaf-b26c3c6d761b</errorID>
      <errorWord>(</errorWord>
      <group>L1_Format</group>
      <groupName>格式问题</groupName>
      <ability>L2_HalfPunc_CN</ability>
      <abilityName>全半角问题</abilityName>
      <candidateList>
        <item>（</item>
      </candidateList>
      <explain>文本全半角错误。</explain>
      <paraID>49B5FEAF</paraID>
      <start>60</start>
      <end>61</end>
      <status>unmodified</status>
      <modifiedWord/>
      <trackRevisions>false</trackRevisions>
    </reviewItem>
    <reviewItem>
      <errorID>a333bbd0-165d-458b-8659-68b4e6b84412</errorID>
      <errorWord>)</errorWord>
      <group>L1_Format</group>
      <groupName>格式问题</groupName>
      <ability>L2_HalfPunc_CN</ability>
      <abilityName>全半角问题</abilityName>
      <candidateList>
        <item>）</item>
      </candidateList>
      <explain>文本全半角错误。</explain>
      <paraID>49B5FEAF</paraID>
      <start>96</start>
      <end>97</end>
      <status>unmodified</status>
      <modifiedWord/>
      <trackRevisions>false</trackRevisions>
    </reviewItem>
    <reviewItem>
      <errorID>fa5d15f6-7b2f-47fd-819d-4f5b72bc5ffc</errorID>
      <errorWord>(</errorWord>
      <group>L1_Format</group>
      <groupName>格式问题</groupName>
      <ability>L2_HalfPunc_CN</ability>
      <abilityName>全半角问题</abilityName>
      <candidateList>
        <item>（</item>
      </candidateList>
      <explain>文本全半角错误。</explain>
      <paraID>55853B33</paraID>
      <start>4</start>
      <end>5</end>
      <status>unmodified</status>
      <modifiedWord/>
      <trackRevisions>false</trackRevisions>
    </reviewItem>
    <reviewItem>
      <errorID>4be8565c-90b6-417b-a9a3-6f6f7e660a3c</errorID>
      <errorWord>)</errorWord>
      <group>L1_Format</group>
      <groupName>格式问题</groupName>
      <ability>L2_HalfPunc_CN</ability>
      <abilityName>全半角问题</abilityName>
      <candidateList>
        <item>）</item>
      </candidateList>
      <explain>文本全半角错误。</explain>
      <paraID>5C651D1D</paraID>
      <start>1</start>
      <end>2</end>
      <status>unmodified</status>
      <modifiedWord/>
      <trackRevisions>false</trackRevisions>
    </reviewItem>
    <reviewItem>
      <errorID>a9fd74f0-3855-47ab-9cec-17abf2688798</errorID>
      <errorWord>(</errorWord>
      <group>L1_Format</group>
      <groupName>格式问题</groupName>
      <ability>L2_HalfPunc_CN</ability>
      <abilityName>全半角问题</abilityName>
      <candidateList>
        <item>（</item>
      </candidateList>
      <explain>文本全半角错误。</explain>
      <paraID>70332096</paraID>
      <start>0</start>
      <end>1</end>
      <status>unmodified</status>
      <modifiedWord/>
      <trackRevisions>false</trackRevisions>
    </reviewItem>
    <reviewItem>
      <errorID>8d505e95-8e06-49d1-86f7-59a166dc12c0</errorID>
      <errorWord>)</errorWord>
      <group>L1_Format</group>
      <groupName>格式问题</groupName>
      <ability>L2_HalfPunc_CN</ability>
      <abilityName>全半角问题</abilityName>
      <candidateList>
        <item>）</item>
      </candidateList>
      <explain>文本全半角错误。</explain>
      <paraID>70332096</paraID>
      <start>12</start>
      <end>13</end>
      <status>unmodified</status>
      <modifiedWord/>
      <trackRevisions>false</trackRevisions>
    </reviewItem>
    <reviewItem>
      <errorID>c09e3f35-582e-4701-a6d4-6554888eac9b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3524AE0</paraID>
      <start>2</start>
      <end>3</end>
      <status>unmodified</status>
      <modifiedWord/>
      <trackRevisions>false</trackRevisions>
    </reviewItem>
    <reviewItem>
      <errorID>0b1a4b2f-b92a-42a5-8e69-e89ec10bebbf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3524AE0</paraID>
      <start>3</start>
      <end>4</end>
      <status>unmodified</status>
      <modifiedWord/>
      <trackRevisions>false</trackRevisions>
    </reviewItem>
    <reviewItem>
      <errorID>4eb9553d-4b49-41a0-800a-adff8381e09f</errorID>
      <errorWord>;</errorWord>
      <group>L1_Format</group>
      <groupName>格式问题</groupName>
      <ability>L2_HalfPunc_CN</ability>
      <abilityName>全半角问题</abilityName>
      <candidateList>
        <item>；</item>
      </candidateList>
      <explain>文本全半角错误。</explain>
      <paraID> 3524AE0</paraID>
      <start>4</start>
      <end>5</end>
      <status>unmodified</status>
      <modifiedWord/>
      <trackRevisions>false</trackRevisions>
    </reviewItem>
    <reviewItem>
      <errorID>f7cbc7f1-ca7f-472e-9333-b6043da5e33f</errorID>
      <errorWord>(</errorWord>
      <group>L1_Format</group>
      <groupName>格式问题</groupName>
      <ability>L2_HalfPunc_CN</ability>
      <abilityName>全半角问题</abilityName>
      <candidateList>
        <item>（</item>
      </candidateList>
      <explain>文本全半角错误。</explain>
      <paraID> C5C2E0F</paraID>
      <start>7</start>
      <end>8</end>
      <status>unmodified</status>
      <modifiedWord/>
      <trackRevisions>false</trackRevisions>
    </reviewItem>
    <reviewItem>
      <errorID>b25e536e-d7bf-4c1f-b54e-900398150131</errorID>
      <errorWord>)</errorWord>
      <group>L1_Format</group>
      <groupName>格式问题</groupName>
      <ability>L2_HalfPunc_CN</ability>
      <abilityName>全半角问题</abilityName>
      <candidateList>
        <item>）</item>
      </candidateList>
      <explain>文本全半角错误。</explain>
      <paraID>4FCA3854</paraID>
      <start>4</start>
      <end>5</end>
      <status>unmodified</status>
      <modifiedWord/>
      <trackRevisions>false</trackRevisions>
    </reviewItem>
    <reviewItem>
      <errorID>726ac463-9129-4462-ac9a-017d182828f1</errorID>
      <errorWord>(</errorWord>
      <group>L1_Format</group>
      <groupName>格式问题</groupName>
      <ability>L2_HalfPunc_CN</ability>
      <abilityName>全半角问题</abilityName>
      <candidateList>
        <item>（</item>
      </candidateList>
      <explain>文本全半角错误。</explain>
      <paraID>1A415E2F</paraID>
      <start>2</start>
      <end>3</end>
      <status>unmodified</status>
      <modifiedWord/>
      <trackRevisions>false</trackRevisions>
    </reviewItem>
    <reviewItem>
      <errorID>0f932cd6-a4ca-4bb4-a303-1012a8bf3899</errorID>
      <errorWord>)</errorWord>
      <group>L1_Format</group>
      <groupName>格式问题</groupName>
      <ability>L2_HalfPunc_CN</ability>
      <abilityName>全半角问题</abilityName>
      <candidateList>
        <item>）</item>
      </candidateList>
      <explain>文本全半角错误。</explain>
      <paraID>1A415E2F</paraID>
      <start>5</start>
      <end>6</end>
      <status>unmodified</status>
      <modifiedWord/>
      <trackRevisions>false</trackRevisions>
    </reviewItem>
    <reviewItem>
      <errorID>65d3efc0-5d8f-42c1-bddf-9c479e0be040</errorID>
      <errorWord>(</errorWord>
      <group>L1_Format</group>
      <groupName>格式问题</groupName>
      <ability>L2_HalfPunc_CN</ability>
      <abilityName>全半角问题</abilityName>
      <candidateList>
        <item>（</item>
      </candidateList>
      <explain>文本全半角错误。</explain>
      <paraID>6AA4CAAB</paraID>
      <start>7</start>
      <end>8</end>
      <status>unmodified</status>
      <modifiedWord/>
      <trackRevisions>false</trackRevisions>
    </reviewItem>
    <reviewItem>
      <errorID>54eb1f03-d2cc-4a4b-b260-4421c36b4a91</errorID>
      <errorWord>)</errorWord>
      <group>L1_Format</group>
      <groupName>格式问题</groupName>
      <ability>L2_HalfPunc_CN</ability>
      <abilityName>全半角问题</abilityName>
      <candidateList>
        <item>）</item>
      </candidateList>
      <explain>文本全半角错误。</explain>
      <paraID>6AA4CAAB</paraID>
      <start>10</start>
      <end>11</end>
      <status>unmodified</status>
      <modifiedWord/>
      <trackRevisions>false</trackRevisions>
    </reviewItem>
    <reviewItem>
      <errorID>42dcb99f-0516-41e8-9f1e-610a97968387</errorID>
      <errorWord>(</errorWord>
      <group>L1_Format</group>
      <groupName>格式问题</groupName>
      <ability>L2_HalfPunc_CN</ability>
      <abilityName>全半角问题</abilityName>
      <candidateList>
        <item>（</item>
      </candidateList>
      <explain>文本全半角错误。</explain>
      <paraID>652325C8</paraID>
      <start>3</start>
      <end>4</end>
      <status>unmodified</status>
      <modifiedWord/>
      <trackRevisions>false</trackRevisions>
    </reviewItem>
    <reviewItem>
      <errorID>4cd7cd13-6aa0-4bef-800b-2157a0e42dea</errorID>
      <errorWord>)</errorWord>
      <group>L1_Format</group>
      <groupName>格式问题</groupName>
      <ability>L2_HalfPunc_CN</ability>
      <abilityName>全半角问题</abilityName>
      <candidateList>
        <item>）</item>
      </candidateList>
      <explain>文本全半角错误。</explain>
      <paraID>652325C8</paraID>
      <start>6</start>
      <end>7</end>
      <status>unmodified</status>
      <modifiedWord/>
      <trackRevisions>false</trackRevisions>
    </reviewItem>
    <reviewItem>
      <errorID>eafffe74-5b5f-4865-94bb-e8d78a7a4659</errorID>
      <errorWord>(</errorWord>
      <group>L1_Format</group>
      <groupName>格式问题</groupName>
      <ability>L2_HalfPunc_CN</ability>
      <abilityName>全半角问题</abilityName>
      <candidateList>
        <item>（</item>
      </candidateList>
      <explain>文本全半角错误。</explain>
      <paraID> B17F78A</paraID>
      <start>5</start>
      <end>6</end>
      <status>unmodified</status>
      <modifiedWord/>
      <trackRevisions>false</trackRevisions>
    </reviewItem>
    <reviewItem>
      <errorID>b3257e24-a086-408c-8204-8eb14cbb240f</errorID>
      <errorWord>)</errorWord>
      <group>L1_Format</group>
      <groupName>格式问题</groupName>
      <ability>L2_HalfPunc_CN</ability>
      <abilityName>全半角问题</abilityName>
      <candidateList>
        <item>）</item>
      </candidateList>
      <explain>文本全半角错误。</explain>
      <paraID> B17F78A</paraID>
      <start>12</start>
      <end>13</end>
      <status>unmodified</status>
      <modifiedWord/>
      <trackRevisions>false</trackRevisions>
    </reviewItem>
    <reviewItem>
      <errorID>c5b15bf6-0f37-425f-86c1-6baccb85a03c</errorID>
      <errorWord>(</errorWord>
      <group>L1_Format</group>
      <groupName>格式问题</groupName>
      <ability>L2_HalfPunc_CN</ability>
      <abilityName>全半角问题</abilityName>
      <candidateList>
        <item>（</item>
      </candidateList>
      <explain>文本全半角错误。</explain>
      <paraID> B17F78A</paraID>
      <start>17</start>
      <end>18</end>
      <status>unmodified</status>
      <modifiedWord/>
      <trackRevisions>false</trackRevisions>
    </reviewItem>
    <reviewItem>
      <errorID>63a28576-8c06-48df-a923-f812a4b105b7</errorID>
      <errorWord>)</errorWord>
      <group>L1_Format</group>
      <groupName>格式问题</groupName>
      <ability>L2_HalfPunc_CN</ability>
      <abilityName>全半角问题</abilityName>
      <candidateList>
        <item>）</item>
      </candidateList>
      <explain>文本全半角错误。</explain>
      <paraID> B17F78A</paraID>
      <start>20</start>
      <end>21</end>
      <status>unmodified</status>
      <modifiedWord/>
      <trackRevisions>false</trackRevisions>
    </reviewItem>
    <reviewItem>
      <errorID>89ba0c87-804f-4c72-846b-1aeaa0ff0d69</errorID>
      <errorWord>(</errorWord>
      <group>L1_Format</group>
      <groupName>格式问题</groupName>
      <ability>L2_HalfPunc_CN</ability>
      <abilityName>全半角问题</abilityName>
      <candidateList>
        <item>（</item>
      </candidateList>
      <explain>文本全半角错误。</explain>
      <paraID> 51E9864</paraID>
      <start>4</start>
      <end>5</end>
      <status>unmodified</status>
      <modifiedWord/>
      <trackRevisions>false</trackRevisions>
    </reviewItem>
    <reviewItem>
      <errorID>44ebe319-820d-4ff6-98a2-823dc6e304aa</errorID>
      <errorWord>)</errorWord>
      <group>L1_Format</group>
      <groupName>格式问题</groupName>
      <ability>L2_HalfPunc_CN</ability>
      <abilityName>全半角问题</abilityName>
      <candidateList>
        <item>）</item>
      </candidateList>
      <explain>文本全半角错误。</explain>
      <paraID> 51E9864</paraID>
      <start>11</start>
      <end>12</end>
      <status>unmodified</status>
      <modifiedWord/>
      <trackRevisions>false</trackRevisions>
    </reviewItem>
    <reviewItem>
      <errorID>249bcf15-6504-4fb6-b65a-0dc59cc9c7dd</errorID>
      <errorWord>(</errorWord>
      <group>L1_Format</group>
      <groupName>格式问题</groupName>
      <ability>L2_HalfPunc_CN</ability>
      <abilityName>全半角问题</abilityName>
      <candidateList>
        <item>（</item>
      </candidateList>
      <explain>文本全半角错误。</explain>
      <paraID> 51E9864</paraID>
      <start>14</start>
      <end>15</end>
      <status>unmodified</status>
      <modifiedWord/>
      <trackRevisions>false</trackRevisions>
    </reviewItem>
    <reviewItem>
      <errorID>f66cad9b-29f4-4d1d-8bf8-fd64ffc48d6d</errorID>
      <errorWord>)</errorWord>
      <group>L1_Format</group>
      <groupName>格式问题</groupName>
      <ability>L2_HalfPunc_CN</ability>
      <abilityName>全半角问题</abilityName>
      <candidateList>
        <item>）</item>
      </candidateList>
      <explain>文本全半角错误。</explain>
      <paraID> 51E9864</paraID>
      <start>17</start>
      <end>18</end>
      <status>unmodified</status>
      <modifiedWord/>
      <trackRevisions>false</trackRevisions>
    </reviewItem>
    <reviewItem>
      <errorID>bf337d2f-9c57-4483-b347-7331e31f4813</errorID>
      <errorWord>(</errorWord>
      <group>L1_Format</group>
      <groupName>格式问题</groupName>
      <ability>L2_HalfPunc_CN</ability>
      <abilityName>全半角问题</abilityName>
      <candidateList>
        <item>（</item>
      </candidateList>
      <explain>文本全半角错误。</explain>
      <paraID> 21778A7</paraID>
      <start>3</start>
      <end>4</end>
      <status>unmodified</status>
      <modifiedWord/>
      <trackRevisions>false</trackRevisions>
    </reviewItem>
    <reviewItem>
      <errorID>edf359d2-59fb-48b4-851a-8c4f3961b63c</errorID>
      <errorWord>)</errorWord>
      <group>L1_Format</group>
      <groupName>格式问题</groupName>
      <ability>L2_HalfPunc_CN</ability>
      <abilityName>全半角问题</abilityName>
      <candidateList>
        <item>）</item>
      </candidateList>
      <explain>文本全半角错误。</explain>
      <paraID>7C5FB0F5</paraID>
      <start>2</start>
      <end>3</end>
      <status>unmodified</status>
      <modifiedWord/>
      <trackRevisions>false</trackRevisions>
    </reviewItem>
    <reviewItem>
      <errorID>e7892ce4-ff9a-4b79-9ec3-7a1d9b890e08</errorID>
      <errorWord>(</errorWord>
      <group>L1_Format</group>
      <groupName>格式问题</groupName>
      <ability>L2_HalfPunc_CN</ability>
      <abilityName>全半角问题</abilityName>
      <candidateList>
        <item>（</item>
      </candidateList>
      <explain>文本全半角错误。</explain>
      <paraID>30B687F0</paraID>
      <start>4</start>
      <end>5</end>
      <status>unmodified</status>
      <modifiedWord/>
      <trackRevisions>false</trackRevisions>
    </reviewItem>
    <reviewItem>
      <errorID>127818ef-b571-4277-bb9d-5fa2aa4a78a3</errorID>
      <errorWord>)</errorWord>
      <group>L1_Format</group>
      <groupName>格式问题</groupName>
      <ability>L2_HalfPunc_CN</ability>
      <abilityName>全半角问题</abilityName>
      <candidateList>
        <item>）</item>
      </candidateList>
      <explain>文本全半角错误。</explain>
      <paraID>30B687F0</paraID>
      <start>7</start>
      <end>8</end>
      <status>unmodified</status>
      <modifiedWord/>
      <trackRevisions>false</trackRevisions>
    </reviewItem>
    <reviewItem>
      <errorID>b3955303-432e-407d-9c5b-985f3f0db572</errorID>
      <errorWord>(</errorWord>
      <group>L1_Format</group>
      <groupName>格式问题</groupName>
      <ability>L2_HalfPunc_CN</ability>
      <abilityName>全半角问题</abilityName>
      <candidateList>
        <item>（</item>
      </candidateList>
      <explain>文本全半角错误。</explain>
      <paraID>1E71F4BD</paraID>
      <start>7</start>
      <end>8</end>
      <status>unmodified</status>
      <modifiedWord/>
      <trackRevisions>false</trackRevisions>
    </reviewItem>
    <reviewItem>
      <errorID>9426e822-857d-469c-86a9-e53f4cf794ce</errorID>
      <errorWord>)</errorWord>
      <group>L1_Format</group>
      <groupName>格式问题</groupName>
      <ability>L2_HalfPunc_CN</ability>
      <abilityName>全半角问题</abilityName>
      <candidateList>
        <item>）</item>
      </candidateList>
      <explain>文本全半角错误。</explain>
      <paraID>1E71F4BD</paraID>
      <start>19</start>
      <end>20</end>
      <status>unmodified</status>
      <modifiedWord/>
      <trackRevisions>false</trackRevisions>
    </reviewItem>
    <reviewItem>
      <errorID>0691877d-be6f-4cfa-a02c-46852290ecf2</errorID>
      <errorWord>(</errorWord>
      <group>L1_Format</group>
      <groupName>格式问题</groupName>
      <ability>L2_HalfPunc_CN</ability>
      <abilityName>全半角问题</abilityName>
      <candidateList>
        <item>（</item>
      </candidateList>
      <explain>文本全半角错误。</explain>
      <paraID> 90838F4</paraID>
      <start>3</start>
      <end>4</end>
      <status>unmodified</status>
      <modifiedWord/>
      <trackRevisions>false</trackRevisions>
    </reviewItem>
    <reviewItem>
      <errorID>c47a32c3-c9b8-4d66-a75a-110ed0ec9e5d</errorID>
      <errorWord>)</errorWord>
      <group>L1_Format</group>
      <groupName>格式问题</groupName>
      <ability>L2_HalfPunc_CN</ability>
      <abilityName>全半角问题</abilityName>
      <candidateList>
        <item>）</item>
      </candidateList>
      <explain>文本全半角错误。</explain>
      <paraID> 90838F4</paraID>
      <start>8</start>
      <end>9</end>
      <status>unmodified</status>
      <modifiedWord/>
      <trackRevisions>false</trackRevisions>
    </reviewItem>
    <reviewItem>
      <errorID>f054d251-4b76-4576-a3be-5dada426e465</errorID>
      <errorWord>(</errorWord>
      <group>L1_Format</group>
      <groupName>格式问题</groupName>
      <ability>L2_HalfPunc_CN</ability>
      <abilityName>全半角问题</abilityName>
      <candidateList>
        <item>（</item>
      </candidateList>
      <explain>文本全半角错误。</explain>
      <paraID>42DDF6C4</paraID>
      <start>7</start>
      <end>8</end>
      <status>unmodified</status>
      <modifiedWord/>
      <trackRevisions>false</trackRevisions>
    </reviewItem>
    <reviewItem>
      <errorID>7cd114a4-1c21-428b-ae97-46cf93db4f99</errorID>
      <errorWord>)</errorWord>
      <group>L1_Format</group>
      <groupName>格式问题</groupName>
      <ability>L2_HalfPunc_CN</ability>
      <abilityName>全半角问题</abilityName>
      <candidateList>
        <item>）</item>
      </candidateList>
      <explain>文本全半角错误。</explain>
      <paraID> 2277548</paraID>
      <start>10</start>
      <end>11</end>
      <status>unmodified</status>
      <modifiedWord/>
      <trackRevisions>false</trackRevisions>
    </reviewItem>
    <reviewItem>
      <errorID>5d47858c-f8b0-401d-86b4-ede253fafcb3</errorID>
      <errorWord>(</errorWord>
      <group>L1_Format</group>
      <groupName>格式问题</groupName>
      <ability>L2_HalfPunc_CN</ability>
      <abilityName>全半角问题</abilityName>
      <candidateList>
        <item>（</item>
      </candidateList>
      <explain>文本全半角错误。</explain>
      <paraID>6E3E23F9</paraID>
      <start>7</start>
      <end>8</end>
      <status>unmodified</status>
      <modifiedWord/>
      <trackRevisions>false</trackRevisions>
    </reviewItem>
    <reviewItem>
      <errorID>e2875626-cf71-410f-9c2f-0c70968acafd</errorID>
      <errorWord>)</errorWord>
      <group>L1_Format</group>
      <groupName>格式问题</groupName>
      <ability>L2_HalfPunc_CN</ability>
      <abilityName>全半角问题</abilityName>
      <candidateList>
        <item>）</item>
      </candidateList>
      <explain>文本全半角错误。</explain>
      <paraID>6E3E23F9</paraID>
      <start>9</start>
      <end>10</end>
      <status>unmodified</status>
      <modifiedWord/>
      <trackRevisions>false</trackRevisions>
    </reviewItem>
    <reviewItem>
      <errorID>23aebb77-b99c-4ab0-ac60-720c6bdfc656</errorID>
      <errorWord>(</errorWord>
      <group>L1_Format</group>
      <groupName>格式问题</groupName>
      <ability>L2_HalfPunc_CN</ability>
      <abilityName>全半角问题</abilityName>
      <candidateList>
        <item>（</item>
      </candidateList>
      <explain>文本全半角错误。</explain>
      <paraID>  AD71F5</paraID>
      <start>2</start>
      <end>3</end>
      <status>unmodified</status>
      <modifiedWord/>
      <trackRevisions>false</trackRevisions>
    </reviewItem>
    <reviewItem>
      <errorID>32e58c29-14df-46ba-924e-d241637046e9</errorID>
      <errorWord>)</errorWord>
      <group>L1_Format</group>
      <groupName>格式问题</groupName>
      <ability>L2_HalfPunc_CN</ability>
      <abilityName>全半角问题</abilityName>
      <candidateList>
        <item>）</item>
      </candidateList>
      <explain>文本全半角错误。</explain>
      <paraID>  AD71F5</paraID>
      <start>4</start>
      <end>5</end>
      <status>unmodified</status>
      <modifiedWord/>
      <trackRevisions>false</trackRevisions>
    </reviewItem>
    <reviewItem>
      <errorID>1e296952-0d81-4ec8-9532-1937bcc60142</errorID>
      <errorWord>为</errorWord>
      <group>L1_Grammar</group>
      <groupName>语法问题</groupName>
      <ability>L2_Missing</ability>
      <abilityName>成分残缺</abilityName>
      <candidateList>
        <item>等为</item>
      </candidateList>
      <explain>句子中可能存在主谓宾、修饰语或者必要的词语残缺。</explain>
      <paraID>63595735</paraID>
      <start>12</start>
      <end>13</end>
      <status>unmodified</status>
      <modifiedWord/>
      <trackRevisions>false</trackRevisions>
    </reviewItem>
    <reviewItem>
      <errorID>1e500c4c-b1b0-4f87-aa66-82da676e0655</errorID>
      <errorWord>感区</errorWord>
      <group>L1_Word</group>
      <groupName>字词问题</groupName>
      <ability>L2_Typo</ability>
      <abilityName>字词错误</abilityName>
      <candidateList>
        <item>感悟</item>
      </candidateList>
      <explain>存在发音相近字词的误用。</explain>
      <paraID> C31C125</paraID>
      <start>0</start>
      <end>2</end>
      <status>unmodified</status>
      <modifiedWord/>
      <trackRevisions>false</trackRevisions>
    </reviewItem>
    <reviewItem>
      <errorID>11ba27cc-760c-4a69-8da4-f879f2832536</errorID>
      <errorWord>(</errorWord>
      <group>L1_Format</group>
      <groupName>格式问题</groupName>
      <ability>L2_HalfPunc_CN</ability>
      <abilityName>全半角问题</abilityName>
      <candidateList>
        <item>（</item>
      </candidateList>
      <explain>文本全半角错误。</explain>
      <paraID>7F4091BC</paraID>
      <start>3</start>
      <end>4</end>
      <status>unmodified</status>
      <modifiedWord/>
      <trackRevisions>false</trackRevisions>
    </reviewItem>
    <reviewItem>
      <errorID>e151a4a6-753f-4f79-8f78-42f52717dab3</errorID>
      <errorWord>)</errorWord>
      <group>L1_Format</group>
      <groupName>格式问题</groupName>
      <ability>L2_HalfPunc_CN</ability>
      <abilityName>全半角问题</abilityName>
      <candidateList>
        <item>）</item>
      </candidateList>
      <explain>文本全半角错误。</explain>
      <paraID>7F4091BC</paraID>
      <start>10</start>
      <end>11</end>
      <status>unmodified</status>
      <modifiedWord/>
      <trackRevisions>false</trackRevisions>
    </reviewItem>
    <reviewItem>
      <errorID>c091f20d-3a13-4688-a7d7-2d1dbe99eb86</errorID>
      <errorWord>(</errorWord>
      <group>L1_Format</group>
      <groupName>格式问题</groupName>
      <ability>L2_HalfPunc_CN</ability>
      <abilityName>全半角问题</abilityName>
      <candidateList>
        <item>（</item>
      </candidateList>
      <explain>文本全半角错误。</explain>
      <paraID>39899F4B</paraID>
      <start>22</start>
      <end>23</end>
      <status>unmodified</status>
      <modifiedWord/>
      <trackRevisions>false</trackRevisions>
    </reviewItem>
    <reviewItem>
      <errorID>bb76be93-9095-462a-9c9a-068a5794365c</errorID>
      <errorWord>)</errorWord>
      <group>L1_Format</group>
      <groupName>格式问题</groupName>
      <ability>L2_HalfPunc_CN</ability>
      <abilityName>全半角问题</abilityName>
      <candidateList>
        <item>）</item>
      </candidateList>
      <explain>文本全半角错误。</explain>
      <paraID>39899F4B</paraID>
      <start>55</start>
      <end>56</end>
      <status>unmodified</status>
      <modifiedWord/>
      <trackRevisions>false</trackRevisions>
    </reviewItem>
    <reviewItem>
      <errorID>294315dd-8c9e-4525-8ac7-0f6282130c11</errorID>
      <errorWord>(</errorWord>
      <group>L1_Format</group>
      <groupName>格式问题</groupName>
      <ability>L2_HalfPunc_CN</ability>
      <abilityName>全半角问题</abilityName>
      <candidateList>
        <item>（</item>
      </candidateList>
      <explain>文本全半角错误。</explain>
      <paraID>3FC243D9</paraID>
      <start>4</start>
      <end>5</end>
      <status>unmodified</status>
      <modifiedWord/>
      <trackRevisions>false</trackRevisions>
    </reviewItem>
    <reviewItem>
      <errorID>943a7743-5a84-47b5-a017-709ad0a57b86</errorID>
      <errorWord>):</errorWord>
      <group>L1_Format</group>
      <groupName>格式问题</groupName>
      <ability>L2_HalfPunc_CN</ability>
      <abilityName>全半角问题</abilityName>
      <candidateList>
        <item>）：</item>
      </candidateList>
      <explain>文本全半角错误。</explain>
      <paraID>3FC243D9</paraID>
      <start>25</start>
      <end>27</end>
      <status>unmodified</status>
      <modifiedWord/>
      <trackRevisions>false</trackRevisions>
    </reviewItem>
    <reviewItem>
      <errorID>ac3f8ef9-0cfa-4214-9ebb-74c3ced3cbea</errorID>
      <errorWord>(</errorWord>
      <group>L1_Format</group>
      <groupName>格式问题</groupName>
      <ability>L2_HalfPunc_CN</ability>
      <abilityName>全半角问题</abilityName>
      <candidateList>
        <item>（</item>
      </candidateList>
      <explain>文本全半角错误。</explain>
      <paraID>243C8084</paraID>
      <start>12</start>
      <end>13</end>
      <status>unmodified</status>
      <modifiedWord/>
      <trackRevisions>false</trackRevisions>
    </reviewItem>
    <reviewItem>
      <errorID>a822ed59-ea35-4781-ad60-c0df95395b4f</errorID>
      <errorWord>)</errorWord>
      <group>L1_Format</group>
      <groupName>格式问题</groupName>
      <ability>L2_HalfPunc_CN</ability>
      <abilityName>全半角问题</abilityName>
      <candidateList>
        <item>）</item>
      </candidateList>
      <explain>文本全半角错误。</explain>
      <paraID>243C8084</paraID>
      <start>31</start>
      <end>32</end>
      <status>unmodified</status>
      <modifiedWord/>
      <trackRevisions>false</trackRevisions>
    </reviewItem>
    <reviewItem>
      <errorID>b8e0c947-24fd-44e4-a461-93eb85b317f0</errorID>
      <errorWord>(</errorWord>
      <group>L1_Format</group>
      <groupName>格式问题</groupName>
      <ability>L2_HalfPunc_CN</ability>
      <abilityName>全半角问题</abilityName>
      <candidateList>
        <item>（</item>
      </candidateList>
      <explain>文本全半角错误。</explain>
      <paraID>243C8084</paraID>
      <start>43</start>
      <end>44</end>
      <status>unmodified</status>
      <modifiedWord/>
      <trackRevisions>false</trackRevisions>
    </reviewItem>
    <reviewItem>
      <errorID>67b18a9c-ec3e-48a4-a045-3d13d88710bc</errorID>
      <errorWord>):</errorWord>
      <group>L1_Format</group>
      <groupName>格式问题</groupName>
      <ability>L2_HalfPunc_CN</ability>
      <abilityName>全半角问题</abilityName>
      <candidateList>
        <item>）：</item>
      </candidateList>
      <explain>文本全半角错误。</explain>
      <paraID>243C8084</paraID>
      <start>54</start>
      <end>56</end>
      <status>unmodified</status>
      <modifiedWord/>
      <trackRevisions>false</trackRevisions>
    </reviewItem>
    <reviewItem>
      <errorID>b4d49117-d75a-4d32-a248-c5a19f8a27e1</errorID>
      <errorWord>(</errorWord>
      <group>L1_Format</group>
      <groupName>格式问题</groupName>
      <ability>L2_HalfPunc_CN</ability>
      <abilityName>全半角问题</abilityName>
      <candidateList>
        <item>（</item>
      </candidateList>
      <explain>文本全半角错误。</explain>
      <paraID>6F78C08A</paraID>
      <start>17</start>
      <end>18</end>
      <status>unmodified</status>
      <modifiedWord/>
      <trackRevisions>false</trackRevisions>
    </reviewItem>
    <reviewItem>
      <errorID>932026ce-eda2-4b3e-92bb-522a2f55727f</errorID>
      <errorWord>)</errorWord>
      <group>L1_Format</group>
      <groupName>格式问题</groupName>
      <ability>L2_HalfPunc_CN</ability>
      <abilityName>全半角问题</abilityName>
      <candidateList>
        <item>）</item>
      </candidateList>
      <explain>文本全半角错误。</explain>
      <paraID>6F78C08A</paraID>
      <start>27</start>
      <end>28</end>
      <status>unmodified</status>
      <modifiedWord/>
      <trackRevisions>false</trackRevisions>
    </reviewItem>
    <reviewItem>
      <errorID>10c1da3b-cf96-40d6-a784-18ecce4cc706</errorID>
      <errorWord>(</errorWord>
      <group>L1_Format</group>
      <groupName>格式问题</groupName>
      <ability>L2_HalfPunc_CN</ability>
      <abilityName>全半角问题</abilityName>
      <candidateList>
        <item>（</item>
      </candidateList>
      <explain>文本全半角错误。</explain>
      <paraID>41481558</paraID>
      <start>2</start>
      <end>3</end>
      <status>unmodified</status>
      <modifiedWord/>
      <trackRevisions>false</trackRevisions>
    </reviewItem>
    <reviewItem>
      <errorID>9f086257-8431-492b-b189-664da16caa57</errorID>
      <errorWord>,</errorWord>
      <group>L1_Format</group>
      <groupName>格式问题</groupName>
      <ability>L2_HalfPunc_CN</ability>
      <abilityName>全半角问题</abilityName>
      <candidateList>
        <item>，</item>
      </candidateList>
      <explain>文本全半角错误。</explain>
      <paraID>22AA766B</paraID>
      <start>6</start>
      <end>7</end>
      <status>unmodified</status>
      <modifiedWord/>
      <trackRevisions>false</trackRevisions>
    </reviewItem>
    <reviewItem>
      <errorID>28ab81a3-9ff7-419e-88ff-4379f78d7e5b</errorID>
      <errorWord>(</errorWord>
      <group>L1_Format</group>
      <groupName>格式问题</groupName>
      <ability>L2_HalfPunc_CN</ability>
      <abilityName>全半角问题</abilityName>
      <candidateList>
        <item>（</item>
      </candidateList>
      <explain>文本全半角错误。</explain>
      <paraID>22AA766B</paraID>
      <start>24</start>
      <end>25</end>
      <status>unmodified</status>
      <modifiedWord/>
      <trackRevisions>false</trackRevisions>
    </reviewItem>
    <reviewItem>
      <errorID>5e830fc5-eb28-4b24-9fcc-a6bdbcb0eef2</errorID>
      <errorWord>)</errorWord>
      <group>L1_Format</group>
      <groupName>格式问题</groupName>
      <ability>L2_HalfPunc_CN</ability>
      <abilityName>全半角问题</abilityName>
      <candidateList>
        <item>）</item>
      </candidateList>
      <explain>文本全半角错误。</explain>
      <paraID>22AA766B</paraID>
      <start>34</start>
      <end>35</end>
      <status>unmodified</status>
      <modifiedWord/>
      <trackRevisions>false</trackRevisions>
    </reviewItem>
    <reviewItem>
      <errorID>c4bcf1b3-7cd8-4970-9058-8eeca48c5dd9</errorID>
      <errorWord>,</errorWord>
      <group>L1_Format</group>
      <groupName>格式问题</groupName>
      <ability>L2_HalfPunc_CN</ability>
      <abilityName>全半角问题</abilityName>
      <candidateList>
        <item>，</item>
      </candidateList>
      <explain>文本全半角错误。</explain>
      <paraID>26D540B1</paraID>
      <start>22</start>
      <end>23</end>
      <status>unmodified</status>
      <modifiedWord/>
      <trackRevisions>false</trackRevisions>
    </reviewItem>
    <reviewItem>
      <errorID>c9426dde-8fd5-461e-8781-785e5d493202</errorID>
      <errorWord>(</errorWord>
      <group>L1_Format</group>
      <groupName>格式问题</groupName>
      <ability>L2_HalfPunc_CN</ability>
      <abilityName>全半角问题</abilityName>
      <candidateList>
        <item>（</item>
      </candidateList>
      <explain>文本全半角错误。</explain>
      <paraID>59441E0C</paraID>
      <start>21</start>
      <end>22</end>
      <status>unmodified</status>
      <modifiedWord/>
      <trackRevisions>false</trackRevisions>
    </reviewItem>
    <reviewItem>
      <errorID>8b85c032-4de3-48ca-be93-65f4c67d948c</errorID>
      <errorWord>)</errorWord>
      <group>L1_Format</group>
      <groupName>格式问题</groupName>
      <ability>L2_HalfPunc_CN</ability>
      <abilityName>全半角问题</abilityName>
      <candidateList>
        <item>）</item>
      </candidateList>
      <explain>文本全半角错误。</explain>
      <paraID>59441E0C</paraID>
      <start>23</start>
      <end>24</end>
      <status>unmodified</status>
      <modifiedWord/>
      <trackRevisions>false</trackRevisions>
    </reviewItem>
    <reviewItem>
      <errorID>f201253b-4766-4c33-a3fe-e2bb408ef160</errorID>
      <errorWord>(</errorWord>
      <group>L1_Format</group>
      <groupName>格式问题</groupName>
      <ability>L2_HalfPunc_CN</ability>
      <abilityName>全半角问题</abilityName>
      <candidateList>
        <item>（</item>
      </candidateList>
      <explain>文本全半角错误。</explain>
      <paraID>59441E0C</paraID>
      <start>25</start>
      <end>26</end>
      <status>unmodified</status>
      <modifiedWord/>
      <trackRevisions>false</trackRevisions>
    </reviewItem>
    <reviewItem>
      <errorID>bb5707ed-5cb7-4f43-a8fa-4213cfcbc6b2</errorID>
      <errorWord>)</errorWord>
      <group>L1_Format</group>
      <groupName>格式问题</groupName>
      <ability>L2_HalfPunc_CN</ability>
      <abilityName>全半角问题</abilityName>
      <candidateList>
        <item>）</item>
      </candidateList>
      <explain>文本全半角错误。</explain>
      <paraID>5E0632CD</paraID>
      <start>4</start>
      <end>5</end>
      <status>unmodified</status>
      <modifiedWord/>
      <trackRevisions>false</trackRevisions>
    </reviewItem>
    <reviewItem>
      <errorID>6e29445d-324c-4428-88c3-efd37f34dae1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1C8E3C4E</paraID>
      <start>0</start>
      <end>2</end>
      <status>unmodified</status>
      <modifiedWord/>
      <trackRevisions>false</trackRevisions>
    </reviewItem>
    <reviewItem>
      <errorID>116c69b5-ef69-4546-a7ea-cb0ddbf1777f</errorID>
      <errorWord>(</errorWord>
      <group>L1_Format</group>
      <groupName>格式问题</groupName>
      <ability>L2_HalfPunc_CN</ability>
      <abilityName>全半角问题</abilityName>
      <candidateList>
        <item>（</item>
      </candidateList>
      <explain>文本全半角错误。</explain>
      <paraID>1C8E3C4E</paraID>
      <start>47</start>
      <end>48</end>
      <status>unmodified</status>
      <modifiedWord/>
      <trackRevisions>false</trackRevisions>
    </reviewItem>
    <reviewItem>
      <errorID>f1852c41-8ff1-4441-af8d-4222e7df59f7</errorID>
      <errorWord>【2023】170号</errorWord>
      <group>L1_Knowledge</group>
      <groupName>知识性问题</groupName>
      <ability>L2_Knowledge</ability>
      <abilityName>其他知识</abilityName>
      <candidateList>
        <item>〔2023〕170号</item>
      </candidateList>
      <explain>发文字号格式错误。</explain>
      <paraID>1C8E3C4E</paraID>
      <start>53</start>
      <end>63</end>
      <status>unmodified</status>
      <modifiedWord/>
      <trackRevisions>false</trackRevisions>
    </reviewItem>
    <reviewItem>
      <errorID>9ac3cb56-9d44-4ba8-ab89-7ccab44b234f</errorID>
      <errorWord>)</errorWord>
      <group>L1_Format</group>
      <groupName>格式问题</groupName>
      <ability>L2_HalfPunc_CN</ability>
      <abilityName>全半角问题</abilityName>
      <candidateList>
        <item>）</item>
      </candidateList>
      <explain>文本全半角错误。</explain>
      <paraID>1C8E3C4E</paraID>
      <start>63</start>
      <end>64</end>
      <status>unmodified</status>
      <modifiedWord/>
      <trackRevisions>false</trackRevisions>
    </reviewItem>
    <reviewItem>
      <errorID>1e81e567-9d4b-4280-b05b-78429b1c6c5f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1AE79E93</paraID>
      <start>0</start>
      <end>2</end>
      <status>unmodified</status>
      <modifiedWord/>
      <trackRevisions>false</trackRevisions>
    </reviewItem>
    <reviewItem>
      <errorID>db0205f5-015c-4236-9b61-3d6161c7a6c8</errorID>
      <errorWord>(</errorWord>
      <group>L1_Format</group>
      <groupName>格式问题</groupName>
      <ability>L2_HalfPunc_CN</ability>
      <abilityName>全半角问题</abilityName>
      <candidateList>
        <item>（</item>
      </candidateList>
      <explain>文本全半角错误。</explain>
      <paraID>1AE79E93</paraID>
      <start>18</start>
      <end>19</end>
      <status>unmodified</status>
      <modifiedWord/>
      <trackRevisions>false</trackRevisions>
    </reviewItem>
    <reviewItem>
      <errorID>708b3fda-5c4a-45b4-bbb4-04ef6029fb8b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1AE79E93</paraID>
      <start>23</start>
      <end>24</end>
      <status>unmodified</status>
      <modifiedWord/>
      <trackRevisions>false</trackRevisions>
    </reviewItem>
    <reviewItem>
      <errorID>71397937-3ef4-4be9-881c-64c9bbb54959</errorID>
      <errorWord>)</errorWord>
      <group>L1_Format</group>
      <groupName>格式问题</groupName>
      <ability>L2_HalfPunc_CN</ability>
      <abilityName>全半角问题</abilityName>
      <candidateList>
        <item>）</item>
      </candidateList>
      <explain>文本全半角错误。</explain>
      <paraID>1AE79E93</paraID>
      <start>29</start>
      <end>30</end>
      <status>unmodified</status>
      <modifiedWord/>
      <trackRevisions>false</trackRevisions>
    </reviewItem>
    <reviewItem>
      <errorID>3fd5828e-4b1e-4a4c-bfae-e0ff5e3a4a09</errorID>
      <errorWord>(</errorWord>
      <group>L1_Format</group>
      <groupName>格式问题</groupName>
      <ability>L2_HalfPunc_CN</ability>
      <abilityName>全半角问题</abilityName>
      <candidateList>
        <item>（</item>
      </candidateList>
      <explain>文本全半角错误。</explain>
      <paraID>1AE79E93</paraID>
      <start>53</start>
      <end>54</end>
      <status>unmodified</status>
      <modifiedWord/>
      <trackRevisions>false</trackRevisions>
    </reviewItem>
    <reviewItem>
      <errorID>05927ef3-a957-4423-9d41-080b3d466b37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1AE79E93</paraID>
      <start>58</start>
      <end>59</end>
      <status>unmodified</status>
      <modifiedWord/>
      <trackRevisions>false</trackRevisions>
    </reviewItem>
    <reviewItem>
      <errorID>13d77f81-5b46-42d5-8f26-ba425eba2047</errorID>
      <errorWord>)</errorWord>
      <group>L1_Format</group>
      <groupName>格式问题</groupName>
      <ability>L2_HalfPunc_CN</ability>
      <abilityName>全半角问题</abilityName>
      <candidateList>
        <item>）</item>
      </candidateList>
      <explain>文本全半角错误。</explain>
      <paraID>1AE79E93</paraID>
      <start>64</start>
      <end>65</end>
      <status>unmodified</status>
      <modifiedWord/>
      <trackRevisions>false</trackRevisions>
    </reviewItem>
    <reviewItem>
      <errorID>024c746a-3411-49ac-bb3a-aabe5c1ec937</errorID>
      <errorWord>;</errorWord>
      <group>L1_Format</group>
      <groupName>格式问题</groupName>
      <ability>L2_HalfPunc_CN</ability>
      <abilityName>全半角问题</abilityName>
      <candidateList>
        <item>；</item>
      </candidateList>
      <explain>文本全半角错误。</explain>
      <paraID>1AE79E93</paraID>
      <start>69</start>
      <end>70</end>
      <status>unmodified</status>
      <modifiedWord/>
      <trackRevisions>false</trackRevisions>
    </reviewItem>
    <reviewItem>
      <errorID>950c290c-5ecb-4f53-92d1-f834d79e800a</errorID>
      <errorWord>(</errorWord>
      <group>L1_Format</group>
      <groupName>格式问题</groupName>
      <ability>L2_HalfPunc_CN</ability>
      <abilityName>全半角问题</abilityName>
      <candidateList>
        <item>（</item>
      </candidateList>
      <explain>文本全半角错误。</explain>
      <paraID>1D7A5D91</paraID>
      <start>24</start>
      <end>25</end>
      <status>unmodified</status>
      <modifiedWord/>
      <trackRevisions>false</trackRevisions>
    </reviewItem>
    <reviewItem>
      <errorID>40837d95-ac76-4199-bb2b-e7bc22a6da72</errorID>
      <errorWord>)</errorWord>
      <group>L1_Format</group>
      <groupName>格式问题</groupName>
      <ability>L2_HalfPunc_CN</ability>
      <abilityName>全半角问题</abilityName>
      <candidateList>
        <item>）</item>
      </candidateList>
      <explain>文本全半角错误。</explain>
      <paraID>1D7A5D91</paraID>
      <start>28</start>
      <end>29</end>
      <status>unmodified</status>
      <modifiedWord/>
      <trackRevisions>false</trackRevisions>
    </reviewItem>
    <reviewItem>
      <errorID>2a850e92-d515-49b6-9b21-b35b79a49d6c</errorID>
      <errorWord>(</errorWord>
      <group>L1_Format</group>
      <groupName>格式问题</groupName>
      <ability>L2_HalfPunc_CN</ability>
      <abilityName>全半角问题</abilityName>
      <candidateList>
        <item>（</item>
      </candidateList>
      <explain>文本全半角错误。</explain>
      <paraID>1D7A5D91</paraID>
      <start>90</start>
      <end>91</end>
      <status>unmodified</status>
      <modifiedWord/>
      <trackRevisions>false</trackRevisions>
    </reviewItem>
    <reviewItem>
      <errorID>547d0ce1-52a6-4017-93af-52c2d5170be1</errorID>
      <errorWord>〔2022) 99号</errorWord>
      <group>L1_Knowledge</group>
      <groupName>知识性问题</groupName>
      <ability>L2_Knowledge</ability>
      <abilityName>其他知识</abilityName>
      <candidateList>
        <item>〔2022〕99号</item>
      </candidateList>
      <explain>发文字号格式错误。</explain>
      <paraID>1D7A5D91</paraID>
      <start>95</start>
      <end>105</end>
      <status>unmodified</status>
      <modifiedWord/>
      <trackRevisions>false</trackRevisions>
    </reviewItem>
    <reviewItem>
      <errorID>de99c1b7-4c25-4deb-b29e-8f74e4367437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1D7A5D91</paraID>
      <start>105</start>
      <end>106</end>
      <status>unmodified</status>
      <modifiedWord/>
      <trackRevisions>false</trackRevisions>
    </reviewItem>
    <reviewItem>
      <errorID>48e434ec-0686-4373-965b-2d0586917703</errorID>
      <errorWord>合</errorWord>
      <group>L1_Word</group>
      <groupName>字词问题</groupName>
      <ability>L2_Typo</ability>
      <abilityName>字词错误</abilityName>
      <candidateList>
        <item>合理</item>
      </candidateList>
      <explain/>
      <paraID>2E7CD140</paraID>
      <start>0</start>
      <end>1</end>
      <status>unmodified</status>
      <modifiedWord/>
      <trackRevisions>false</trackRevisions>
    </reviewItem>
    <reviewItem>
      <errorID>50bdc625-b318-44e9-a987-6d278f83c463</errorID>
      <errorWord>(</errorWord>
      <group>L1_Format</group>
      <groupName>格式问题</groupName>
      <ability>L2_HalfPunc_CN</ability>
      <abilityName>全半角问题</abilityName>
      <candidateList>
        <item>（</item>
      </candidateList>
      <explain>文本全半角错误。</explain>
      <paraID>1DAA8CD1</paraID>
      <start>80</start>
      <end>81</end>
      <status>unmodified</status>
      <modifiedWord/>
      <trackRevisions>false</trackRevisions>
    </reviewItem>
    <reviewItem>
      <errorID>6b25bcc4-6fbd-4cbe-b5ca-cc1d0d274c84</errorID>
      <errorWord>【2023】170号</errorWord>
      <group>L1_Knowledge</group>
      <groupName>知识性问题</groupName>
      <ability>L2_Knowledge</ability>
      <abilityName>其他知识</abilityName>
      <candidateList>
        <item>〔2023〕170号</item>
      </candidateList>
      <explain>发文字号格式错误。</explain>
      <paraID>1DAA8CD1</paraID>
      <start>86</start>
      <end>96</end>
      <status>unmodified</status>
      <modifiedWord/>
      <trackRevisions>false</trackRevisions>
    </reviewItem>
    <reviewItem>
      <errorID>b21efc80-2ab1-4381-8345-e3503ca2121f</errorID>
      <errorWord>),</errorWord>
      <group>L1_Format</group>
      <groupName>格式问题</groupName>
      <ability>L2_HalfPunc_CN</ability>
      <abilityName>全半角问题</abilityName>
      <candidateList>
        <item>），</item>
      </candidateList>
      <explain>文本全半角错误。</explain>
      <paraID>1DAA8CD1</paraID>
      <start>96</start>
      <end>98</end>
      <status>unmodified</status>
      <modifiedWord/>
      <trackRevisions>false</trackRevisions>
    </reviewItem>
    <reviewItem>
      <errorID>b446f136-1f2a-4d17-8224-0f1f776aba7b</errorID>
      <errorWord>(</errorWord>
      <group>L1_Format</group>
      <groupName>格式问题</groupName>
      <ability>L2_HalfPunc_CN</ability>
      <abilityName>全半角问题</abilityName>
      <candidateList>
        <item>（</item>
      </candidateList>
      <explain>文本全半角错误。</explain>
      <paraID>75CAAC34</paraID>
      <start>21</start>
      <end>22</end>
      <status>unmodified</status>
      <modifiedWord/>
      <trackRevisions>false</trackRevisions>
    </reviewItem>
    <reviewItem>
      <errorID>39d0413f-d2eb-46fe-ad5b-9c02d8c4c754</errorID>
      <errorWord>)</errorWord>
      <group>L1_Format</group>
      <groupName>格式问题</groupName>
      <ability>L2_HalfPunc_CN</ability>
      <abilityName>全半角问题</abilityName>
      <candidateList>
        <item>）</item>
      </candidateList>
      <explain>文本全半角错误。</explain>
      <paraID>75CAAC34</paraID>
      <start>23</start>
      <end>24</end>
      <status>unmodified</status>
      <modifiedWord/>
      <trackRevisions>false</trackRevisions>
    </reviewItem>
    <reviewItem>
      <errorID>852dd3a9-aca8-4936-9337-ca31ee3c830e</errorID>
      <errorWord>;</errorWord>
      <group>L1_Format</group>
      <groupName>格式问题</groupName>
      <ability>L2_HalfPunc_CN</ability>
      <abilityName>全半角问题</abilityName>
      <candidateList>
        <item>；</item>
      </candidateList>
      <explain>文本全半角错误。</explain>
      <paraID>75CAAC34</paraID>
      <start>46</start>
      <end>47</end>
      <status>unmodified</status>
      <modifiedWord/>
      <trackRevisions>false</trackRevisions>
    </reviewItem>
    <reviewItem>
      <errorID>2d24ea94-1af6-4d50-8994-5b2cfa83a623</errorID>
      <errorWord>,</errorWord>
      <group>L1_Format</group>
      <groupName>格式问题</groupName>
      <ability>L2_HalfPunc_CN</ability>
      <abilityName>全半角问题</abilityName>
      <candidateList>
        <item>，</item>
      </candidateList>
      <explain>文本全半角错误。</explain>
      <paraID>75CAAC34</paraID>
      <start>64</start>
      <end>65</end>
      <status>unmodified</status>
      <modifiedWord/>
      <trackRevisions>false</trackRevisions>
    </reviewItem>
    <reviewItem>
      <errorID>6f1e1dba-2294-4cc2-aee6-3413df3b17e3</errorID>
      <errorWord>(</errorWord>
      <group>L1_Format</group>
      <groupName>格式问题</groupName>
      <ability>L2_HalfPunc_CN</ability>
      <abilityName>全半角问题</abilityName>
      <candidateList>
        <item>（</item>
      </candidateList>
      <explain>文本全半角错误。</explain>
      <paraID>6C87DD8D</paraID>
      <start>30</start>
      <end>31</end>
      <status>unmodified</status>
      <modifiedWord/>
      <trackRevisions>false</trackRevisions>
    </reviewItem>
    <reviewItem>
      <errorID>c50c30b8-1fac-49ef-b300-fccc7b4e3564</errorID>
      <errorWord>【2023】170号</errorWord>
      <group>L1_Knowledge</group>
      <groupName>知识性问题</groupName>
      <ability>L2_Knowledge</ability>
      <abilityName>其他知识</abilityName>
      <candidateList>
        <item>〔2023〕170号</item>
      </candidateList>
      <explain>发文字号格式错误。</explain>
      <paraID>6C87DD8D</paraID>
      <start>37</start>
      <end>47</end>
      <status>unmodified</status>
      <modifiedWord/>
      <trackRevisions>false</trackRevisions>
    </reviewItem>
    <reviewItem>
      <errorID>2cd6d6b9-8c55-4692-9ef8-0ea67ff47eef</errorID>
      <errorWord>)</errorWord>
      <group>L1_Format</group>
      <groupName>格式问题</groupName>
      <ability>L2_HalfPunc_CN</ability>
      <abilityName>全半角问题</abilityName>
      <candidateList>
        <item>）</item>
      </candidateList>
      <explain>文本全半角错误。</explain>
      <paraID>6C87DD8D</paraID>
      <start>47</start>
      <end>48</end>
      <status>unmodified</status>
      <modifiedWord/>
      <trackRevisions>false</trackRevisions>
    </reviewItem>
    <reviewItem>
      <errorID>13851f08-c70f-454c-b9e7-2a022abd8a76</errorID>
      <errorWord>的中</errorWord>
      <group>L1_Word</group>
      <groupName>字词问题</groupName>
      <ability>L2_Typo</ability>
      <abilityName>字词错误</abilityName>
      <candidateList>
        <item>的</item>
      </candidateList>
      <explain/>
      <paraID>6C87DD8D</paraID>
      <start>48</start>
      <end>50</end>
      <status>unmodified</status>
      <modifiedWord/>
      <trackRevisions>false</trackRevisions>
    </reviewItem>
    <reviewItem>
      <errorID>7b1cf60a-6749-4311-b9a3-41535c514776</errorID>
      <errorWord>【2023】170号</errorWord>
      <group>L1_Knowledge</group>
      <groupName>知识性问题</groupName>
      <ability>L2_Knowledge</ability>
      <abilityName>其他知识</abilityName>
      <candidateList>
        <item>〔2023〕170号</item>
      </candidateList>
      <explain>发文字号格式错误。</explain>
      <paraID>5EE0463C</paraID>
      <start>12</start>
      <end>22</end>
      <status>unmodified</status>
      <modifiedWord/>
      <trackRevisions>false</trackRevisions>
    </reviewItem>
    <reviewItem>
      <errorID>45b63560-5859-4bc4-8d35-6d05fc9b24b6</errorID>
      <errorWord>工</errorWord>
      <group>L1_Word</group>
      <groupName>字词问题</groupName>
      <ability>L2_Typo</ability>
      <abilityName>字词错误</abilityName>
      <candidateList>
        <item>工作</item>
      </candidateList>
      <explain/>
      <paraID>1335CAB6</paraID>
      <start>14</start>
      <end>15</end>
      <status>unmodified</status>
      <modifiedWord/>
      <trackRevisions>false</trackRevisions>
    </reviewItem>
    <reviewItem>
      <errorID>377577e8-eefe-4050-b72b-556d41418a59</errorID>
      <errorWord>生态保护红 线</errorWord>
      <group>L1_Political</group>
      <groupName>政治性问题</groupName>
      <ability>L2_Keyword</ability>
      <abilityName>固定表述</abilityName>
      <candidateList>
        <item>生态保护红线</item>
      </candidateList>
      <explain>词汇“生态保护红线”在特定场景下为固定表述形式，请确认此处的“生态保护红 线”是否存在不当。</explain>
      <paraID>1DA304F8</paraID>
      <start>99</start>
      <end>106</end>
      <status>unmodified</status>
      <modifiedWord/>
      <trackRevisions>false</trackRevisions>
    </reviewItem>
    <reviewItem>
      <errorID>d2932434-f31d-4f67-881f-cbe6e7d5082a</errorID>
      <errorWord>(</errorWord>
      <group>L1_Format</group>
      <groupName>格式问题</groupName>
      <ability>L2_HalfPunc_CN</ability>
      <abilityName>全半角问题</abilityName>
      <candidateList>
        <item>（</item>
      </candidateList>
      <explain>文本全半角错误。</explain>
      <paraID>64F51D43</paraID>
      <start>56</start>
      <end>57</end>
      <status>unmodified</status>
      <modifiedWord/>
      <trackRevisions>false</trackRevisions>
    </reviewItem>
    <reviewItem>
      <errorID>7a9e2bb2-0130-4f2b-be7d-0f1e02f4a724</errorID>
      <errorWord>【2023】170号</errorWord>
      <group>L1_Knowledge</group>
      <groupName>知识性问题</groupName>
      <ability>L2_Knowledge</ability>
      <abilityName>其他知识</abilityName>
      <candidateList>
        <item>〔2023〕170号</item>
      </candidateList>
      <explain>发文字号格式错误。</explain>
      <paraID>1E172EF4</paraID>
      <start>0</start>
      <end>10</end>
      <status>unmodified</status>
      <modifiedWord/>
      <trackRevisions>false</trackRevisions>
    </reviewItem>
    <reviewItem>
      <errorID>03528f93-d97a-4fcb-92d7-6336c0819b25</errorID>
      <errorWord>)</errorWord>
      <group>L1_Format</group>
      <groupName>格式问题</groupName>
      <ability>L2_HalfPunc_CN</ability>
      <abilityName>全半角问题</abilityName>
      <candidateList>
        <item>）</item>
      </candidateList>
      <explain>文本全半角错误。</explain>
      <paraID>1E172EF4</paraID>
      <start>10</start>
      <end>11</end>
      <status>unmodified</status>
      <modifiedWord/>
      <trackRevisions>false</trackRevisions>
    </reviewItem>
    <reviewItem>
      <errorID>786c3f04-7846-4522-98a3-6b71aae6270e</errorID>
      <errorWord>(</errorWord>
      <group>L1_Format</group>
      <groupName>格式问题</groupName>
      <ability>L2_HalfPunc_CN</ability>
      <abilityName>全半角问题</abilityName>
      <candidateList>
        <item>（</item>
      </candidateList>
      <explain>文本全半角错误。</explain>
      <paraID>42F2966D</paraID>
      <start>19</start>
      <end>20</end>
      <status>unmodified</status>
      <modifiedWord/>
      <trackRevisions>false</trackRevisions>
    </reviewItem>
    <reviewItem>
      <errorID>9b214c99-2e72-4971-88cd-ea9b0dde8bab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42F2966D</paraID>
      <start>24</start>
      <end>25</end>
      <status>unmodified</status>
      <modifiedWord/>
      <trackRevisions>false</trackRevisions>
    </reviewItem>
    <reviewItem>
      <errorID>592beac2-9eeb-4f99-8e97-5edcebd1d165</errorID>
      <errorWord>)</errorWord>
      <group>L1_Format</group>
      <groupName>格式问题</groupName>
      <ability>L2_HalfPunc_CN</ability>
      <abilityName>全半角问题</abilityName>
      <candidateList>
        <item>）</item>
      </candidateList>
      <explain>文本全半角错误。</explain>
      <paraID>42F2966D</paraID>
      <start>30</start>
      <end>31</end>
      <status>unmodified</status>
      <modifiedWord/>
      <trackRevisions>false</trackRevisions>
    </reviewItem>
    <reviewItem>
      <errorID>d0d29f36-7440-4a30-b594-e228eefe84bf</errorID>
      <errorWord>(</errorWord>
      <group>L1_Format</group>
      <groupName>格式问题</groupName>
      <ability>L2_HalfPunc_CN</ability>
      <abilityName>全半角问题</abilityName>
      <candidateList>
        <item>（</item>
      </candidateList>
      <explain>文本全半角错误。</explain>
      <paraID>7B5CE11D</paraID>
      <start>41</start>
      <end>42</end>
      <status>unmodified</status>
      <modifiedWord/>
      <trackRevisions>false</trackRevisions>
    </reviewItem>
    <reviewItem>
      <errorID>6c6f4da4-fd2d-448d-8c68-f5c25177359a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7B5CE11D</paraID>
      <start>46</start>
      <end>47</end>
      <status>unmodified</status>
      <modifiedWord/>
      <trackRevisions>false</trackRevisions>
    </reviewItem>
    <reviewItem>
      <errorID>007c88b2-a0f1-4a36-9214-0b3c156be8d9</errorID>
      <errorWord>)</errorWord>
      <group>L1_Format</group>
      <groupName>格式问题</groupName>
      <ability>L2_HalfPunc_CN</ability>
      <abilityName>全半角问题</abilityName>
      <candidateList>
        <item>）</item>
      </candidateList>
      <explain>文本全半角错误。</explain>
      <paraID>7B5CE11D</paraID>
      <start>52</start>
      <end>53</end>
      <status>unmodified</status>
      <modifiedWord/>
      <trackRevisions>false</trackRevisions>
    </reviewItem>
    <reviewItem>
      <errorID>64b17d66-b05b-4bd2-8050-2449ed868a2a</errorID>
      <errorWord>,</errorWord>
      <group>L1_Format</group>
      <groupName>格式问题</groupName>
      <ability>L2_HalfPunc_CN</ability>
      <abilityName>全半角问题</abilityName>
      <candidateList>
        <item>，</item>
      </candidateList>
      <explain>文本全半角错误。</explain>
      <paraID>7B5CE11D</paraID>
      <start>135</start>
      <end>136</end>
      <status>unmodified</status>
      <modifiedWord/>
      <trackRevisions>false</trackRevisions>
    </reviewItem>
    <reviewItem>
      <errorID>908d0655-4925-4eb6-81c2-6f1f7acb90b7</errorID>
      <errorWord>(</errorWord>
      <group>L1_Format</group>
      <groupName>格式问题</groupName>
      <ability>L2_HalfPunc_CN</ability>
      <abilityName>全半角问题</abilityName>
      <candidateList>
        <item>（</item>
      </candidateList>
      <explain>文本全半角错误。</explain>
      <paraID>692B1B87</paraID>
      <start>193</start>
      <end>194</end>
      <status>unmodified</status>
      <modifiedWord/>
      <trackRevisions>false</trackRevisions>
    </reviewItem>
    <reviewItem>
      <errorID>c4df059b-7db4-4a28-bcb1-8a6cfe0f1985</errorID>
      <errorWord>)</errorWord>
      <group>L1_Format</group>
      <groupName>格式问题</groupName>
      <ability>L2_HalfPunc_CN</ability>
      <abilityName>全半角问题</abilityName>
      <candidateList>
        <item>）</item>
      </candidateList>
      <explain>文本全半角错误。</explain>
      <paraID>692B1B87</paraID>
      <start>197</start>
      <end>198</end>
      <status>unmodified</status>
      <modifiedWord/>
      <trackRevisions>false</trackRevisions>
    </reviewItem>
    <reviewItem>
      <errorID>8d32c2da-f85e-4bac-a2b1-8038eaf592cd</errorID>
      <errorWord>,</errorWord>
      <group>L1_Format</group>
      <groupName>格式问题</groupName>
      <ability>L2_HalfPunc_CN</ability>
      <abilityName>全半角问题</abilityName>
      <candidateList>
        <item>，</item>
      </candidateList>
      <explain>文本全半角错误。</explain>
      <paraID>1431119B</paraID>
      <start>15</start>
      <end>16</end>
      <status>unmodified</status>
      <modifiedWord/>
      <trackRevisions>false</trackRevisions>
    </reviewItem>
    <reviewItem>
      <errorID>4816d624-5f01-4d7d-ae96-8d188291771d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1431119B</paraID>
      <start>100</start>
      <end>101</end>
      <status>unmodified</status>
      <modifiedWord/>
      <trackRevisions>false</trackRevisions>
    </reviewItem>
    <reviewItem>
      <errorID>6c7855d7-9d26-4ccd-a6ed-bef87782c851</errorID>
      <errorWord>)</errorWord>
      <group>L1_Format</group>
      <groupName>格式问题</groupName>
      <ability>L2_HalfPunc_CN</ability>
      <abilityName>全半角问题</abilityName>
      <candidateList>
        <item>）</item>
      </candidateList>
      <explain>文本全半角错误。</explain>
      <paraID>1431119B</paraID>
      <start>106</start>
      <end>107</end>
      <status>unmodified</status>
      <modifiedWord/>
      <trackRevisions>false</trackRevisions>
    </reviewItem>
    <reviewItem>
      <errorID>99ccb710-5f47-485b-9dd9-121139975c75</errorID>
      <errorWord>,</errorWord>
      <group>L1_Format</group>
      <groupName>格式问题</groupName>
      <ability>L2_HalfPunc_CN</ability>
      <abilityName>全半角问题</abilityName>
      <candidateList>
        <item>，</item>
      </candidateList>
      <explain>文本全半角错误。</explain>
      <paraID>3655009D</paraID>
      <start>60</start>
      <end>61</end>
      <status>unmodified</status>
      <modifiedWord/>
      <trackRevisions>false</trackRevisions>
    </reviewItem>
    <reviewItem>
      <errorID>cf685fb1-0848-483a-96d5-d484f088cbf5</errorID>
      <errorWord>生态红线</errorWord>
      <group>L1_Political</group>
      <groupName>政治性问题</groupName>
      <ability>L2_Unpolitical</ability>
      <abilityName>政治敏感错误</abilityName>
      <candidateList>
        <item>生态保护红线</item>
      </candidateList>
      <explain/>
      <paraID>292DEB07</paraID>
      <start>12</start>
      <end>16</end>
      <status>unmodified</status>
      <modifiedWord/>
      <trackRevisions>false</trackRevisions>
    </reviewItem>
    <reviewItem>
      <errorID>ae9b1379-0cd4-4444-ad2a-fc9f70212fcb</errorID>
      <errorWord>生态保护红 线</errorWord>
      <group>L1_Political</group>
      <groupName>政治性问题</groupName>
      <ability>L2_Keyword</ability>
      <abilityName>固定表述</abilityName>
      <candidateList>
        <item>生态保护红线</item>
      </candidateList>
      <explain>词汇“生态保护红线”在特定场景下为固定表述形式，请确认此处的“生态保护红 线”是否存在不当。</explain>
      <paraID>7F18C3EA</paraID>
      <start>20</start>
      <end>27</end>
      <status>unmodified</status>
      <modifiedWord/>
      <trackRevisions>false</trackRevisions>
    </reviewItem>
    <reviewItem>
      <errorID>ccfbae57-aa90-4cc7-b7e0-01c8b3f14f1d</errorID>
      <errorWord>范</errorWord>
      <group>L1_Word</group>
      <groupName>字词问题</groupName>
      <ability>L2_Typo</ability>
      <abilityName>字词错误</abilityName>
      <candidateList>
        <item>范围</item>
      </candidateList>
      <explain/>
      <paraID> 5AC7588</paraID>
      <start>20</start>
      <end>21</end>
      <status>unmodified</status>
      <modifiedWord/>
      <trackRevisions>false</trackRevisions>
    </reviewItem>
    <reviewItem>
      <errorID>c01ea14a-f3a0-4919-923f-d2c2e1549bcb</errorID>
      <errorWord>符合与</errorWord>
      <group>L1_Word</group>
      <groupName>字词问题</groupName>
      <ability>L2_Typo</ability>
      <abilityName>字词错误</abilityName>
      <candidateList>
        <item>符合</item>
      </candidateList>
      <explain/>
      <paraID>37D9CDDB</paraID>
      <start>7</start>
      <end>10</end>
      <status>unmodified</status>
      <modifiedWord/>
      <trackRevisions>false</trackRevisions>
    </reviewItem>
    <reviewItem>
      <errorID>a789f711-c1e0-46ac-ad4a-f4ebf289c4d4</errorID>
      <errorWord>日正式实施</errorWord>
      <group>L1_Word</group>
      <groupName>字词问题</groupName>
      <ability>L2_Typo</ability>
      <abilityName>字词错误</abilityName>
      <candidateList>
        <item>日起正式实施</item>
      </candidateList>
      <explain/>
      <paraID>6D1E01F2</paraID>
      <start>9</start>
      <end>14</end>
      <status>unmodified</status>
      <modifiedWord/>
      <trackRevisions>false</trackRevisions>
    </reviewItem>
    <reviewItem>
      <errorID>e146092d-68e1-4b5e-9ba7-8ae286a3c979</errorID>
      <errorWord>)</errorWord>
      <group>L1_Format</group>
      <groupName>格式问题</groupName>
      <ability>L2_HalfPunc_CN</ability>
      <abilityName>全半角问题</abilityName>
      <candidateList>
        <item>）</item>
      </candidateList>
      <explain>文本全半角错误。</explain>
      <paraID>6D1E01F2</paraID>
      <start>14</start>
      <end>15</end>
      <status>unmodified</status>
      <modifiedWord/>
      <trackRevisions>false</trackRevisions>
    </reviewItem>
    <reviewItem>
      <errorID>34d458ca-487e-4461-92ad-d794dac6991f</errorID>
      <errorWord>(</errorWord>
      <group>L1_Format</group>
      <groupName>格式问题</groupName>
      <ability>L2_HalfPunc_CN</ability>
      <abilityName>全半角问题</abilityName>
      <candidateList>
        <item>（</item>
      </candidateList>
      <explain>文本全半角错误。</explain>
      <paraID>3E9E51A2</paraID>
      <start>27</start>
      <end>28</end>
      <status>unmodified</status>
      <modifiedWord/>
      <trackRevisions>false</trackRevisions>
    </reviewItem>
    <reviewItem>
      <errorID>171cac9d-e505-4fa8-a563-9982f898c760</errorID>
      <errorWord>)</errorWord>
      <group>L1_Format</group>
      <groupName>格式问题</groupName>
      <ability>L2_HalfPunc_CN</ability>
      <abilityName>全半角问题</abilityName>
      <candidateList>
        <item>）</item>
      </candidateList>
      <explain>文本全半角错误。</explain>
      <paraID>3E9E51A2</paraID>
      <start>36</start>
      <end>37</end>
      <status>unmodified</status>
      <modifiedWord/>
      <trackRevisions>false</trackRevisions>
    </reviewItem>
    <reviewItem>
      <errorID>7312469f-c8cf-4bc2-a61c-2013710306ea</errorID>
      <errorWord>,</errorWord>
      <group>L1_Format</group>
      <groupName>格式问题</groupName>
      <ability>L2_HalfPunc_CN</ability>
      <abilityName>全半角问题</abilityName>
      <candidateList>
        <item>，</item>
      </candidateList>
      <explain>文本全半角错误。</explain>
      <paraID>3E9E51A2</paraID>
      <start>38</start>
      <end>39</end>
      <status>unmodified</status>
      <modifiedWord/>
      <trackRevisions>false</trackRevisions>
    </reviewItem>
    <reviewItem>
      <errorID>4525f4a6-2fe9-474e-a6b6-4ce0572e1be1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3E9E51A2</paraID>
      <start>54</start>
      <end>55</end>
      <status>unmodified</status>
      <modifiedWord/>
      <trackRevisions>false</trackRevisions>
    </reviewItem>
    <reviewItem>
      <errorID>c059a1fd-c7bb-4356-ac44-7c74f0174a38</errorID>
      <errorWord>(</errorWord>
      <group>L1_Format</group>
      <groupName>格式问题</groupName>
      <ability>L2_HalfPunc_CN</ability>
      <abilityName>全半角问题</abilityName>
      <candidateList>
        <item>（</item>
      </candidateList>
      <explain>文本全半角错误。</explain>
      <paraID>3E9E51A2</paraID>
      <start>179</start>
      <end>180</end>
      <status>unmodified</status>
      <modifiedWord/>
      <trackRevisions>false</trackRevisions>
    </reviewItem>
    <reviewItem>
      <errorID>e9e78adb-1332-4b08-af6d-e7edf232dfe4</errorID>
      <errorWord>)</errorWord>
      <group>L1_Format</group>
      <groupName>格式问题</groupName>
      <ability>L2_HalfPunc_CN</ability>
      <abilityName>全半角问题</abilityName>
      <candidateList>
        <item>）</item>
      </candidateList>
      <explain>文本全半角错误。</explain>
      <paraID>3E9E51A2</paraID>
      <start>209</start>
      <end>210</end>
      <status>unmodified</status>
      <modifiedWord/>
      <trackRevisions>false</trackRevisions>
    </reviewItem>
    <reviewItem>
      <errorID>adf45897-1d32-407a-9a1e-9dc4049d9142</errorID>
      <errorWord>(</errorWord>
      <group>L1_Format</group>
      <groupName>格式问题</groupName>
      <ability>L2_HalfPunc_CN</ability>
      <abilityName>全半角问题</abilityName>
      <candidateList>
        <item>（</item>
      </candidateList>
      <explain>文本全半角错误。</explain>
      <paraID>550E8486</paraID>
      <start>11</start>
      <end>12</end>
      <status>unmodified</status>
      <modifiedWord/>
      <trackRevisions>false</trackRevisions>
    </reviewItem>
    <reviewItem>
      <errorID>5a1be11d-9cae-4843-864f-63447ab9a91c</errorID>
      <errorWord>)</errorWord>
      <group>L1_Format</group>
      <groupName>格式问题</groupName>
      <ability>L2_HalfPunc_CN</ability>
      <abilityName>全半角问题</abilityName>
      <candidateList>
        <item>）</item>
      </candidateList>
      <explain>文本全半角错误。</explain>
      <paraID>550E8486</paraID>
      <start>18</start>
      <end>19</end>
      <status>unmodified</status>
      <modifiedWord/>
      <trackRevisions>false</trackRevisions>
    </reviewItem>
    <reviewItem>
      <errorID>29f52ec6-a2ed-415a-93c3-9e65bd789dd7</errorID>
      <errorWord>,</errorWord>
      <group>L1_Format</group>
      <groupName>格式问题</groupName>
      <ability>L2_HalfPunc_CN</ability>
      <abilityName>全半角问题</abilityName>
      <candidateList>
        <item>，</item>
      </candidateList>
      <explain>文本全半角错误。</explain>
      <paraID>550E8486</paraID>
      <start>20</start>
      <end>21</end>
      <status>unmodified</status>
      <modifiedWord/>
      <trackRevisions>false</trackRevisions>
    </reviewItem>
    <reviewItem>
      <errorID>a7f62078-df9a-4a51-8f2f-c29bddca1714</errorID>
      <errorWord>(</errorWord>
      <group>L1_Format</group>
      <groupName>格式问题</groupName>
      <ability>L2_HalfPunc_CN</ability>
      <abilityName>全半角问题</abilityName>
      <candidateList>
        <item>（</item>
      </candidateList>
      <explain>文本全半角错误。</explain>
      <paraID>5E6CFE9D</paraID>
      <start>172</start>
      <end>173</end>
      <status>unmodified</status>
      <modifiedWord/>
      <trackRevisions>false</trackRevisions>
    </reviewItem>
    <reviewItem>
      <errorID>163eef3a-951b-45be-8bd2-3b012f62b1ee</errorID>
      <errorWord>)</errorWord>
      <group>L1_Format</group>
      <groupName>格式问题</groupName>
      <ability>L2_HalfPunc_CN</ability>
      <abilityName>全半角问题</abilityName>
      <candidateList>
        <item>）</item>
      </candidateList>
      <explain>文本全半角错误。</explain>
      <paraID>5E6CFE9D</paraID>
      <start>179</start>
      <end>180</end>
      <status>unmodified</status>
      <modifiedWord/>
      <trackRevisions>false</trackRevisions>
    </reviewItem>
    <reviewItem>
      <errorID>f10dcf03-64c4-491e-983d-db3cb29a3ea9</errorID>
      <errorWord>(2016)15号</errorWord>
      <group>L1_Knowledge</group>
      <groupName>知识性问题</groupName>
      <ability>L2_Knowledge</ability>
      <abilityName>其他知识</abilityName>
      <candidateList>
        <item>〔2016〕15号</item>
      </candidateList>
      <explain>发文字号格式错误。</explain>
      <paraID>33B9EE33</paraID>
      <start>24</start>
      <end>33</end>
      <status>unmodified</status>
      <modifiedWord/>
      <trackRevisions>false</trackRevisions>
    </reviewItem>
    <reviewItem>
      <errorID>71f5202a-a2d6-4412-bc4f-0abf17c8c8a9</errorID>
      <errorWord>(</errorWord>
      <group>L1_Format</group>
      <groupName>格式问题</groupName>
      <ability>L2_HalfPunc_CN</ability>
      <abilityName>全半角问题</abilityName>
      <candidateList>
        <item>（</item>
      </candidateList>
      <explain>文本全半角错误。</explain>
      <paraID>60F4DFD1</paraID>
      <start>27</start>
      <end>28</end>
      <status>unmodified</status>
      <modifiedWord/>
      <trackRevisions>false</trackRevisions>
    </reviewItem>
    <reviewItem>
      <errorID>289cd789-dfcf-4adb-b609-fef681c59ef0</errorID>
      <errorWord>),</errorWord>
      <group>L1_Format</group>
      <groupName>格式问题</groupName>
      <ability>L2_HalfPunc_CN</ability>
      <abilityName>全半角问题</abilityName>
      <candidateList>
        <item>），</item>
      </candidateList>
      <explain>文本全半角错误。</explain>
      <paraID>60F4DFD1</paraID>
      <start>37</start>
      <end>39</end>
      <status>unmodified</status>
      <modifiedWord/>
      <trackRevisions>false</trackRevisions>
    </reviewItem>
    <reviewItem>
      <errorID>1c20386c-572e-4961-b0b6-1baf7cf4e476</errorID>
      <errorWord>(</errorWord>
      <group>L1_Format</group>
      <groupName>格式问题</groupName>
      <ability>L2_HalfPunc_CN</ability>
      <abilityName>全半角问题</abilityName>
      <candidateList>
        <item>（</item>
      </candidateList>
      <explain>文本全半角错误。</explain>
      <paraID>4034B105</paraID>
      <start>12</start>
      <end>13</end>
      <status>unmodified</status>
      <modifiedWord/>
      <trackRevisions>false</trackRevisions>
    </reviewItem>
    <reviewItem>
      <errorID>0c07e09d-9f64-4dbe-9526-e9a9b75793b1</errorID>
      <errorWord>)</errorWord>
      <group>L1_Format</group>
      <groupName>格式问题</groupName>
      <ability>L2_HalfPunc_CN</ability>
      <abilityName>全半角问题</abilityName>
      <candidateList>
        <item>）</item>
      </candidateList>
      <explain>文本全半角错误。</explain>
      <paraID>4034B105</paraID>
      <start>18</start>
      <end>19</end>
      <status>unmodified</status>
      <modifiedWord/>
      <trackRevisions>false</trackRevisions>
    </reviewItem>
    <reviewItem>
      <errorID>8e8bd0e4-3f53-4a69-8021-bd43f84ffc31</errorID>
      <errorWord>(</errorWord>
      <group>L1_Format</group>
      <groupName>格式问题</groupName>
      <ability>L2_HalfPunc_CN</ability>
      <abilityName>全半角问题</abilityName>
      <candidateList>
        <item>（</item>
      </candidateList>
      <explain>文本全半角错误。</explain>
      <paraID>4034B105</paraID>
      <start>30</start>
      <end>31</end>
      <status>unmodified</status>
      <modifiedWord/>
      <trackRevisions>false</trackRevisions>
    </reviewItem>
    <reviewItem>
      <errorID>e11b764c-ecbe-49e9-87a5-e0da7578b90d</errorID>
      <errorWord>),</errorWord>
      <group>L1_Format</group>
      <groupName>格式问题</groupName>
      <ability>L2_HalfPunc_CN</ability>
      <abilityName>全半角问题</abilityName>
      <candidateList>
        <item>），</item>
      </candidateList>
      <explain>文本全半角错误。</explain>
      <paraID>1810337C</paraID>
      <start>4</start>
      <end>6</end>
      <status>unmodified</status>
      <modifiedWord/>
      <trackRevisions>false</trackRevisions>
    </reviewItem>
    <reviewItem>
      <errorID>5c54cebd-93fb-4dbc-8667-7daf2538d790</errorID>
      <errorWord>(</errorWord>
      <group>L1_Format</group>
      <groupName>格式问题</groupName>
      <ability>L2_HalfPunc_CN</ability>
      <abilityName>全半角问题</abilityName>
      <candidateList>
        <item>（</item>
      </candidateList>
      <explain>文本全半角错误。</explain>
      <paraID>1810337C</paraID>
      <start>10</start>
      <end>11</end>
      <status>unmodified</status>
      <modifiedWord/>
      <trackRevisions>false</trackRevisions>
    </reviewItem>
    <reviewItem>
      <errorID>da876767-cdaa-4329-8655-478fa0b4e893</errorID>
      <errorWord>)</errorWord>
      <group>L1_Format</group>
      <groupName>格式问题</groupName>
      <ability>L2_HalfPunc_CN</ability>
      <abilityName>全半角问题</abilityName>
      <candidateList>
        <item>）</item>
      </candidateList>
      <explain>文本全半角错误。</explain>
      <paraID>1810337C</paraID>
      <start>18</start>
      <end>19</end>
      <status>unmodified</status>
      <modifiedWord/>
      <trackRevisions>false</trackRevisions>
    </reviewItem>
    <reviewItem>
      <errorID>849a4b33-0146-4b94-9854-e9ceb92280b8</errorID>
      <errorWord>(</errorWord>
      <group>L1_Format</group>
      <groupName>格式问题</groupName>
      <ability>L2_HalfPunc_CN</ability>
      <abilityName>全半角问题</abilityName>
      <candidateList>
        <item>（</item>
      </candidateList>
      <explain>文本全半角错误。</explain>
      <paraID>16716C0D</paraID>
      <start>37</start>
      <end>38</end>
      <status>unmodified</status>
      <modifiedWord/>
      <trackRevisions>false</trackRevisions>
    </reviewItem>
    <reviewItem>
      <errorID>f5926534-0a8f-4efc-92e3-fe3d1cbe2401</errorID>
      <errorWord>)</errorWord>
      <group>L1_Format</group>
      <groupName>格式问题</groupName>
      <ability>L2_HalfPunc_CN</ability>
      <abilityName>全半角问题</abilityName>
      <candidateList>
        <item>）</item>
      </candidateList>
      <explain>文本全半角错误。</explain>
      <paraID>16716C0D</paraID>
      <start>111</start>
      <end>112</end>
      <status>unmodified</status>
      <modifiedWord/>
      <trackRevisions>false</trackRevisions>
    </reviewItem>
    <reviewItem>
      <errorID>bd88a3f2-1557-409a-98cb-22330cfd58b7</errorID>
      <errorWord>,</errorWord>
      <group>L1_Format</group>
      <groupName>格式问题</groupName>
      <ability>L2_HalfPunc_CN</ability>
      <abilityName>全半角问题</abilityName>
      <candidateList>
        <item>，</item>
      </candidateList>
      <explain>文本全半角错误。</explain>
      <paraID>16716C0D</paraID>
      <start>148</start>
      <end>149</end>
      <status>unmodified</status>
      <modifiedWord/>
      <trackRevisions>false</trackRevisions>
    </reviewItem>
    <reviewItem>
      <errorID>a0c24824-a5c7-4b2c-84ee-b7a474296657</errorID>
      <errorWord>(</errorWord>
      <group>L1_Format</group>
      <groupName>格式问题</groupName>
      <ability>L2_HalfPunc_CN</ability>
      <abilityName>全半角问题</abilityName>
      <candidateList>
        <item>（</item>
      </candidateList>
      <explain>文本全半角错误。</explain>
      <paraID>7242F8CE</paraID>
      <start>7</start>
      <end>8</end>
      <status>unmodified</status>
      <modifiedWord/>
      <trackRevisions>false</trackRevisions>
    </reviewItem>
    <reviewItem>
      <errorID>2d334637-bdde-4589-aa21-85c6199189ad</errorID>
      <errorWord>)</errorWord>
      <group>L1_Format</group>
      <groupName>格式问题</groupName>
      <ability>L2_HalfPunc_CN</ability>
      <abilityName>全半角问题</abilityName>
      <candidateList>
        <item>）</item>
      </candidateList>
      <explain>文本全半角错误。</explain>
      <paraID>7242F8CE</paraID>
      <start>48</start>
      <end>49</end>
      <status>unmodified</status>
      <modifiedWord/>
      <trackRevisions>false</trackRevisions>
    </reviewItem>
    <reviewItem>
      <errorID>04b39a5a-74a1-4e27-ba45-5cc078bff6a5</errorID>
      <errorWord>(</errorWord>
      <group>L1_Format</group>
      <groupName>格式问题</groupName>
      <ability>L2_HalfPunc_CN</ability>
      <abilityName>全半角问题</abilityName>
      <candidateList>
        <item>（</item>
      </candidateList>
      <explain>文本全半角错误。</explain>
      <paraID>6F458254</paraID>
      <start>67</start>
      <end>68</end>
      <status>unmodified</status>
      <modifiedWord/>
      <trackRevisions>false</trackRevisions>
    </reviewItem>
    <reviewItem>
      <errorID>88c802f1-9f92-48f4-88cb-9ba7a2297eed</errorID>
      <errorWord>)</errorWord>
      <group>L1_Format</group>
      <groupName>格式问题</groupName>
      <ability>L2_HalfPunc_CN</ability>
      <abilityName>全半角问题</abilityName>
      <candidateList>
        <item>）</item>
      </candidateList>
      <explain>文本全半角错误。</explain>
      <paraID>6F458254</paraID>
      <start>72</start>
      <end>73</end>
      <status>unmodified</status>
      <modifiedWord/>
      <trackRevisions>false</trackRevisions>
    </reviewItem>
    <reviewItem>
      <errorID>776195f6-3973-4619-909d-fafffa71a02a</errorID>
      <errorWord>(</errorWord>
      <group>L1_Format</group>
      <groupName>格式问题</groupName>
      <ability>L2_HalfPunc_CN</ability>
      <abilityName>全半角问题</abilityName>
      <candidateList>
        <item>（</item>
      </candidateList>
      <explain>文本全半角错误。</explain>
      <paraID>6F458254</paraID>
      <start>78</start>
      <end>79</end>
      <status>unmodified</status>
      <modifiedWord/>
      <trackRevisions>false</trackRevisions>
    </reviewItem>
    <reviewItem>
      <errorID>8921158d-947d-4a30-93fe-940f9ea03f58</errorID>
      <errorWord>)</errorWord>
      <group>L1_Format</group>
      <groupName>格式问题</groupName>
      <ability>L2_HalfPunc_CN</ability>
      <abilityName>全半角问题</abilityName>
      <candidateList>
        <item>）</item>
      </candidateList>
      <explain>文本全半角错误。</explain>
      <paraID>6F458254</paraID>
      <start>82</start>
      <end>83</end>
      <status>unmodified</status>
      <modifiedWord/>
      <trackRevisions>false</trackRevisions>
    </reviewItem>
    <reviewItem>
      <errorID>568c3d26-a157-4baf-9c43-228466b34561</errorID>
      <errorWord>(</errorWord>
      <group>L1_Format</group>
      <groupName>格式问题</groupName>
      <ability>L2_HalfPunc_CN</ability>
      <abilityName>全半角问题</abilityName>
      <candidateList>
        <item>（</item>
      </candidateList>
      <explain>文本全半角错误。</explain>
      <paraID>1FD1D323</paraID>
      <start>97</start>
      <end>98</end>
      <status>unmodified</status>
      <modifiedWord/>
      <trackRevisions>false</trackRevisions>
    </reviewItem>
    <reviewItem>
      <errorID>ba1b6d44-413d-411c-b22f-b8462ff777a4</errorID>
      <errorWord>【2021】5号</errorWord>
      <group>L1_Knowledge</group>
      <groupName>知识性问题</groupName>
      <ability>L2_Knowledge</ability>
      <abilityName>其他知识</abilityName>
      <candidateList>
        <item>〔2021〕5号</item>
      </candidateList>
      <explain>发文字号格式错误。</explain>
      <paraID>360DC207</paraID>
      <start>0</start>
      <end>8</end>
      <status>unmodified</status>
      <modifiedWord/>
      <trackRevisions>false</trackRevisions>
    </reviewItem>
    <reviewItem>
      <errorID>0baec053-8aef-41d5-8559-ffe93a5617f6</errorID>
      <errorWord>),</errorWord>
      <group>L1_Format</group>
      <groupName>格式问题</groupName>
      <ability>L2_HalfPunc_CN</ability>
      <abilityName>全半角问题</abilityName>
      <candidateList>
        <item>），</item>
      </candidateList>
      <explain>文本全半角错误。</explain>
      <paraID>360DC207</paraID>
      <start>8</start>
      <end>10</end>
      <status>unmodified</status>
      <modifiedWord/>
      <trackRevisions>false</trackRevisions>
    </reviewItem>
    <reviewItem>
      <errorID>68204875-01db-45e5-85e8-136c914a6dba</errorID>
      <errorWord>(</errorWord>
      <group>L1_Format</group>
      <groupName>格式问题</groupName>
      <ability>L2_HalfPunc_CN</ability>
      <abilityName>全半角问题</abilityName>
      <candidateList>
        <item>（</item>
      </candidateList>
      <explain>文本全半角错误。</explain>
      <paraID>50895EAA</paraID>
      <start>10</start>
      <end>11</end>
      <status>unmodified</status>
      <modifiedWord/>
      <trackRevisions>false</trackRevisions>
    </reviewItem>
    <reviewItem>
      <errorID>a489d3bd-16fd-4029-9abf-19752bafdd99</errorID>
      <errorWord>)</errorWord>
      <group>L1_Format</group>
      <groupName>格式问题</groupName>
      <ability>L2_HalfPunc_CN</ability>
      <abilityName>全半角问题</abilityName>
      <candidateList>
        <item>）</item>
      </candidateList>
      <explain>文本全半角错误。</explain>
      <paraID>50895EAA</paraID>
      <start>54</start>
      <end>55</end>
      <status>unmodified</status>
      <modifiedWord/>
      <trackRevisions>false</trackRevisions>
    </reviewItem>
    <reviewItem>
      <errorID>c8bf2444-102c-455c-aa41-eeeec6cb23e9</errorID>
      <errorWord>(</errorWord>
      <group>L1_Format</group>
      <groupName>格式问题</groupName>
      <ability>L2_HalfPunc_CN</ability>
      <abilityName>全半角问题</abilityName>
      <candidateList>
        <item>（</item>
      </candidateList>
      <explain>文本全半角错误。</explain>
      <paraID>50895EAA</paraID>
      <start>59</start>
      <end>60</end>
      <status>unmodified</status>
      <modifiedWord/>
      <trackRevisions>false</trackRevisions>
    </reviewItem>
    <reviewItem>
      <errorID>1cb5ade8-0cdd-48a7-9dee-2faf4f5b5507</errorID>
      <errorWord>)</errorWord>
      <group>L1_Format</group>
      <groupName>格式问题</groupName>
      <ability>L2_HalfPunc_CN</ability>
      <abilityName>全半角问题</abilityName>
      <candidateList>
        <item>）</item>
      </candidateList>
      <explain>文本全半角错误。</explain>
      <paraID>50895EAA</paraID>
      <start>85</start>
      <end>86</end>
      <status>unmodified</status>
      <modifiedWord/>
      <trackRevisions>false</trackRevisions>
    </reviewItem>
    <reviewItem>
      <errorID>7535d001-a9d0-4b86-ae22-15e31f712834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423BD2BF</paraID>
      <start>0</start>
      <end>2</end>
      <status>unmodified</status>
      <modifiedWord/>
      <trackRevisions>false</trackRevisions>
    </reviewItem>
    <reviewItem>
      <errorID>c75a019d-b4e6-4cf6-8a1c-9009ea643e23</errorID>
      <errorWord>(</errorWord>
      <group>L1_Format</group>
      <groupName>格式问题</groupName>
      <ability>L2_HalfPunc_CN</ability>
      <abilityName>全半角问题</abilityName>
      <candidateList>
        <item>（</item>
      </candidateList>
      <explain>文本全半角错误。</explain>
      <paraID>423BD2BF</paraID>
      <start>8</start>
      <end>9</end>
      <status>unmodified</status>
      <modifiedWord/>
      <trackRevisions>false</trackRevisions>
    </reviewItem>
    <reviewItem>
      <errorID>e0e27ad0-0a89-4143-be9c-0f724680f5af</errorID>
      <errorWord>)</errorWord>
      <group>L1_Format</group>
      <groupName>格式问题</groupName>
      <ability>L2_HalfPunc_CN</ability>
      <abilityName>全半角问题</abilityName>
      <candidateList>
        <item>）</item>
      </candidateList>
      <explain>文本全半角错误。</explain>
      <paraID>423BD2BF</paraID>
      <start>50</start>
      <end>51</end>
      <status>unmodified</status>
      <modifiedWord/>
      <trackRevisions>false</trackRevisions>
    </reviewItem>
    <reviewItem>
      <errorID>1d9f4a41-72cb-44f2-b0ed-f0b437c5178a</errorID>
      <errorWord>拌合站</errorWord>
      <group>L1_Word</group>
      <groupName>字词问题</groupName>
      <ability>L2_Typo</ability>
      <abilityName>字词错误</abilityName>
      <candidateList>
        <item>拌和站</item>
      </candidateList>
      <explain/>
      <paraID>423BD2BF</paraID>
      <start>98</start>
      <end>101</end>
      <status>unmodified</status>
      <modifiedWord/>
      <trackRevisions>false</trackRevisions>
    </reviewItem>
    <reviewItem>
      <errorID>ff5c5227-01bc-4053-bbc0-0a5bdaff1622</errorID>
      <errorWord>拌合站</errorWord>
      <group>L1_Word</group>
      <groupName>字词问题</groupName>
      <ability>L2_Typo</ability>
      <abilityName>字词错误</abilityName>
      <candidateList>
        <item>拌和站</item>
      </candidateList>
      <explain/>
      <paraID>649FB64C</paraID>
      <start>3</start>
      <end>6</end>
      <status>unmodified</status>
      <modifiedWord/>
      <trackRevisions>false</trackRevisions>
    </reviewItem>
    <reviewItem>
      <errorID>5f138a26-216c-4aee-b49e-dce094a6007a</errorID>
      <errorWord>,</errorWord>
      <group>L1_Format</group>
      <groupName>格式问题</groupName>
      <ability>L2_HalfPunc_CN</ability>
      <abilityName>全半角问题</abilityName>
      <candidateList>
        <item>，</item>
      </candidateList>
      <explain>文本全半角错误。</explain>
      <paraID>3C5445AA</paraID>
      <start>14</start>
      <end>15</end>
      <status>unmodified</status>
      <modifiedWord/>
      <trackRevisions>false</trackRevisions>
    </reviewItem>
    <reviewItem>
      <errorID>451e6726-772a-48cf-90b7-1a3559fcfa71</errorID>
      <errorWord>(</errorWord>
      <group>L1_Format</group>
      <groupName>格式问题</groupName>
      <ability>L2_HalfPunc_CN</ability>
      <abilityName>全半角问题</abilityName>
      <candidateList>
        <item>（</item>
      </candidateList>
      <explain>文本全半角错误。</explain>
      <paraID>6575733C</paraID>
      <start>10</start>
      <end>11</end>
      <status>unmodified</status>
      <modifiedWord/>
      <trackRevisions>false</trackRevisions>
    </reviewItem>
    <reviewItem>
      <errorID>9a01aaa5-1dcd-4bd9-b249-7d4754449172</errorID>
      <errorWord>)</errorWord>
      <group>L1_Format</group>
      <groupName>格式问题</groupName>
      <ability>L2_HalfPunc_CN</ability>
      <abilityName>全半角问题</abilityName>
      <candidateList>
        <item>）</item>
      </candidateList>
      <explain>文本全半角错误。</explain>
      <paraID>1821C533</paraID>
      <start>10</start>
      <end>11</end>
      <status>unmodified</status>
      <modifiedWord/>
      <trackRevisions>false</trackRevisions>
    </reviewItem>
    <reviewItem>
      <errorID>7e8172a6-cd8a-4114-a788-2ea81b6a3f51</errorID>
      <errorWord>(</errorWord>
      <group>L1_Format</group>
      <groupName>格式问题</groupName>
      <ability>L2_HalfPunc_CN</ability>
      <abilityName>全半角问题</abilityName>
      <candidateList>
        <item>（</item>
      </candidateList>
      <explain>文本全半角错误。</explain>
      <paraID> 2233475</paraID>
      <start>2</start>
      <end>3</end>
      <status>unmodified</status>
      <modifiedWord/>
      <trackRevisions>false</trackRevisions>
    </reviewItem>
    <reviewItem>
      <errorID>20ed8b21-8a13-4781-87fc-0881ec42831a</errorID>
      <errorWord>)</errorWord>
      <group>L1_Format</group>
      <groupName>格式问题</groupName>
      <ability>L2_HalfPunc_CN</ability>
      <abilityName>全半角问题</abilityName>
      <candidateList>
        <item>）</item>
      </candidateList>
      <explain>文本全半角错误。</explain>
      <paraID> 2233475</paraID>
      <start>15</start>
      <end>16</end>
      <status>unmodified</status>
      <modifiedWord/>
      <trackRevisions>false</trackRevisions>
    </reviewItem>
    <reviewItem>
      <errorID>35d9bbfd-71d9-432c-b1ba-ca7fcc063403</errorID>
      <errorWord>(</errorWord>
      <group>L1_Format</group>
      <groupName>格式问题</groupName>
      <ability>L2_HalfPunc_CN</ability>
      <abilityName>全半角问题</abilityName>
      <candidateList>
        <item>（</item>
      </candidateList>
      <explain>文本全半角错误。</explain>
      <paraID>14AC9DDC</paraID>
      <start>7</start>
      <end>8</end>
      <status>unmodified</status>
      <modifiedWord/>
      <trackRevisions>false</trackRevisions>
    </reviewItem>
    <reviewItem>
      <errorID>edc7f479-d6cb-4988-bd05-977c106e091e</errorID>
      <errorWord>)</errorWord>
      <group>L1_Format</group>
      <groupName>格式问题</groupName>
      <ability>L2_HalfPunc_CN</ability>
      <abilityName>全半角问题</abilityName>
      <candidateList>
        <item>）</item>
      </candidateList>
      <explain>文本全半角错误。</explain>
      <paraID>14AC9DDC</paraID>
      <start>20</start>
      <end>21</end>
      <status>unmodified</status>
      <modifiedWord/>
      <trackRevisions>false</trackRevisions>
    </reviewItem>
    <reviewItem>
      <errorID>b91e1f42-48a2-4797-a9c4-42ed1a267d4c</errorID>
      <errorWord>(</errorWord>
      <group>L1_Format</group>
      <groupName>格式问题</groupName>
      <ability>L2_HalfPunc_CN</ability>
      <abilityName>全半角问题</abilityName>
      <candidateList>
        <item>（</item>
      </candidateList>
      <explain>文本全半角错误。</explain>
      <paraID>1CAB9954</paraID>
      <start>2</start>
      <end>3</end>
      <status>unmodified</status>
      <modifiedWord/>
      <trackRevisions>false</trackRevisions>
    </reviewItem>
    <reviewItem>
      <errorID>b3e6511c-1c24-4572-af59-41d84354723c</errorID>
      <errorWord>)</errorWord>
      <group>L1_Format</group>
      <groupName>格式问题</groupName>
      <ability>L2_HalfPunc_CN</ability>
      <abilityName>全半角问题</abilityName>
      <candidateList>
        <item>）</item>
      </candidateList>
      <explain>文本全半角错误。</explain>
      <paraID>1CAB9954</paraID>
      <start>17</start>
      <end>18</end>
      <status>unmodified</status>
      <modifiedWord/>
      <trackRevisions>false</trackRevisions>
    </reviewItem>
    <reviewItem>
      <errorID>3c45fed4-4c94-4df4-9936-d4dbdcfd0e47</errorID>
      <errorWord>(</errorWord>
      <group>L1_Format</group>
      <groupName>格式问题</groupName>
      <ability>L2_HalfPunc_CN</ability>
      <abilityName>全半角问题</abilityName>
      <candidateList>
        <item>（</item>
      </candidateList>
      <explain>文本全半角错误。</explain>
      <paraID>1F1E0E81</paraID>
      <start>30</start>
      <end>31</end>
      <status>unmodified</status>
      <modifiedWord/>
      <trackRevisions>false</trackRevisions>
    </reviewItem>
    <reviewItem>
      <errorID>d3114cda-0326-47fb-abc3-1971e1922d6a</errorID>
      <errorWord>)</errorWord>
      <group>L1_Format</group>
      <groupName>格式问题</groupName>
      <ability>L2_HalfPunc_CN</ability>
      <abilityName>全半角问题</abilityName>
      <candidateList>
        <item>）</item>
      </candidateList>
      <explain>文本全半角错误。</explain>
      <paraID>1F1E0E81</paraID>
      <start>46</start>
      <end>47</end>
      <status>unmodified</status>
      <modifiedWord/>
      <trackRevisions>false</trackRevisions>
    </reviewItem>
    <reviewItem>
      <errorID>3b0a1e82-4c00-410f-8227-72cfd6d79b6d</errorID>
      <errorWord>,</errorWord>
      <group>L1_Format</group>
      <groupName>格式问题</groupName>
      <ability>L2_HalfPunc_CN</ability>
      <abilityName>全半角问题</abilityName>
      <candidateList>
        <item>，</item>
      </candidateList>
      <explain>文本全半角错误。</explain>
      <paraID>12548049</paraID>
      <start>19</start>
      <end>20</end>
      <status>unmodified</status>
      <modifiedWord/>
      <trackRevisions>false</trackRevisions>
    </reviewItem>
    <reviewItem>
      <errorID>67685b20-97d4-4738-b659-44ebabac0628</errorID>
      <errorWord>,</errorWord>
      <group>L1_Format</group>
      <groupName>格式问题</groupName>
      <ability>L2_HalfPunc_CN</ability>
      <abilityName>全半角问题</abilityName>
      <candidateList>
        <item>，</item>
      </candidateList>
      <explain>文本全半角错误。</explain>
      <paraID>66F765D0</paraID>
      <start>7</start>
      <end>8</end>
      <status>unmodified</status>
      <modifiedWord/>
      <trackRevisions>false</trackRevisions>
    </reviewItem>
    <reviewItem>
      <errorID>db2bc18f-2432-4ed6-9c1b-df5d1860f19a</errorID>
      <errorWord>(</errorWord>
      <group>L1_Format</group>
      <groupName>格式问题</groupName>
      <ability>L2_HalfPunc_CN</ability>
      <abilityName>全半角问题</abilityName>
      <candidateList>
        <item>（</item>
      </candidateList>
      <explain>文本全半角错误。</explain>
      <paraID>43C7B00E</paraID>
      <start>4</start>
      <end>5</end>
      <status>unmodified</status>
      <modifiedWord/>
      <trackRevisions>false</trackRevisions>
    </reviewItem>
    <reviewItem>
      <errorID>d750b4f7-a021-488e-a9a2-175eda25fe44</errorID>
      <errorWord>)</errorWord>
      <group>L1_Format</group>
      <groupName>格式问题</groupName>
      <ability>L2_HalfPunc_CN</ability>
      <abilityName>全半角问题</abilityName>
      <candidateList>
        <item>）</item>
      </candidateList>
      <explain>文本全半角错误。</explain>
      <paraID>43C7B00E</paraID>
      <start>18</start>
      <end>19</end>
      <status>unmodified</status>
      <modifiedWord/>
      <trackRevisions>false</trackRevisions>
    </reviewItem>
    <reviewItem>
      <errorID>d48ce87d-ac27-41dd-b947-256ca40b6431</errorID>
      <errorWord>(</errorWord>
      <group>L1_Format</group>
      <groupName>格式问题</groupName>
      <ability>L2_HalfPunc_CN</ability>
      <abilityName>全半角问题</abilityName>
      <candidateList>
        <item>（</item>
      </candidateList>
      <explain>文本全半角错误。</explain>
      <paraID>74A12F64</paraID>
      <start>23</start>
      <end>24</end>
      <status>unmodified</status>
      <modifiedWord/>
      <trackRevisions>false</trackRevisions>
    </reviewItem>
    <reviewItem>
      <errorID>c14e3943-5e85-4a4a-bdee-440e21fce2b9</errorID>
      <errorWord>(</errorWord>
      <group>L1_Format</group>
      <groupName>格式问题</groupName>
      <ability>L2_HalfPunc_CN</ability>
      <abilityName>全半角问题</abilityName>
      <candidateList>
        <item>（</item>
      </candidateList>
      <explain>文本全半角错误。</explain>
      <paraID>74A12F64</paraID>
      <start>58</start>
      <end>59</end>
      <status>unmodified</status>
      <modifiedWord/>
      <trackRevisions>false</trackRevisions>
    </reviewItem>
    <reviewItem>
      <errorID>142a8993-f2a7-4750-b429-e24878352bd4</errorID>
      <errorWord>)</errorWord>
      <group>L1_Format</group>
      <groupName>格式问题</groupName>
      <ability>L2_HalfPunc_CN</ability>
      <abilityName>全半角问题</abilityName>
      <candidateList>
        <item>）</item>
      </candidateList>
      <explain>文本全半角错误。</explain>
      <paraID>74A12F64</paraID>
      <start>74</start>
      <end>75</end>
      <status>unmodified</status>
      <modifiedWord/>
      <trackRevisions>false</trackRevisions>
    </reviewItem>
    <reviewItem>
      <errorID>0a1d837b-ff88-420c-a06c-a4782cbcb31c</errorID>
      <errorWord>(</errorWord>
      <group>L1_Format</group>
      <groupName>格式问题</groupName>
      <ability>L2_HalfPunc_CN</ability>
      <abilityName>全半角问题</abilityName>
      <candidateList>
        <item>（</item>
      </candidateList>
      <explain>文本全半角错误。</explain>
      <paraID>4FA57394</paraID>
      <start>4</start>
      <end>5</end>
      <status>unmodified</status>
      <modifiedWord/>
      <trackRevisions>false</trackRevisions>
    </reviewItem>
    <reviewItem>
      <errorID>962fc77f-075a-4e1b-838c-f3cff9680314</errorID>
      <errorWord>)</errorWord>
      <group>L1_Format</group>
      <groupName>格式问题</groupName>
      <ability>L2_HalfPunc_CN</ability>
      <abilityName>全半角问题</abilityName>
      <candidateList>
        <item>）</item>
      </candidateList>
      <explain>文本全半角错误。</explain>
      <paraID>4FA57394</paraID>
      <start>22</start>
      <end>23</end>
      <status>unmodified</status>
      <modifiedWord/>
      <trackRevisions>false</trackRevisions>
    </reviewItem>
    <reviewItem>
      <errorID>8e759284-9931-4339-8c11-949fc48526e2</errorID>
      <errorWord>下方将</errorWord>
      <group>L1_Word</group>
      <groupName>字词问题</groupName>
      <ability>L2_Typo</ability>
      <abilityName>字词错误</abilityName>
      <candidateList>
        <item>下方</item>
      </candidateList>
      <explain/>
      <paraID>4FA57394</paraID>
      <start>67</start>
      <end>70</end>
      <status>unmodified</status>
      <modifiedWord/>
      <trackRevisions>false</trackRevisions>
    </reviewItem>
    <reviewItem>
      <errorID>d19163e7-0d10-4b75-bde4-0095848febc2</errorID>
      <errorWord>工</errorWord>
      <group>L1_Word</group>
      <groupName>字词问题</groupName>
      <ability>L2_Typo</ability>
      <abilityName>字词错误</abilityName>
      <candidateList>
        <item>工作</item>
      </candidateList>
      <explain/>
      <paraID>316D7EC0</paraID>
      <start>0</start>
      <end>1</end>
      <status>unmodified</status>
      <modifiedWord/>
      <trackRevisions>false</trackRevisions>
    </reviewItem>
    <reviewItem>
      <errorID>f961f0b2-b5fa-412b-9264-a5b339b79a75</errorID>
      <errorWord>复合</errorWord>
      <group>L1_Word</group>
      <groupName>字词问题</groupName>
      <ability>L2_Typo</ability>
      <abilityName>字词错误</abilityName>
      <candidateList>
        <item>符合</item>
      </candidateList>
      <explain/>
      <paraID>139C2D22</paraID>
      <start>0</start>
      <end>2</end>
      <status>unmodified</status>
      <modifiedWord/>
      <trackRevisions>false</trackRevisions>
    </reviewItem>
    <reviewItem>
      <errorID>4cd447e0-c299-417d-878a-4d471c3ed2e3</errorID>
      <errorWord>:</errorWord>
      <group>L1_Format</group>
      <groupName>格式问题</groupName>
      <ability>L2_HalfPunc_CN</ability>
      <abilityName>全半角问题</abilityName>
      <candidateList>
        <item>：</item>
      </candidateList>
      <explain>文本全半角错误。</explain>
      <paraID>5DF66D56</paraID>
      <start>44</start>
      <end>45</end>
      <status>unmodified</status>
      <modifiedWord/>
      <trackRevisions>false</trackRevisions>
    </reviewItem>
    <reviewItem>
      <errorID>9063f6cf-96a8-478e-b838-4befddf3c506</errorID>
      <errorWord>(</errorWord>
      <group>L1_Format</group>
      <groupName>格式问题</groupName>
      <ability>L2_HalfPunc_CN</ability>
      <abilityName>全半角问题</abilityName>
      <candidateList>
        <item>（</item>
      </candidateList>
      <explain>文本全半角错误。</explain>
      <paraID> 41D9780</paraID>
      <start>8</start>
      <end>9</end>
      <status>unmodified</status>
      <modifiedWord/>
      <trackRevisions>false</trackRevisions>
    </reviewItem>
    <reviewItem>
      <errorID>e0bff26a-5e2d-4f64-9a42-32993d4a5462</errorID>
      <errorWord>)</errorWord>
      <group>L1_Format</group>
      <groupName>格式问题</groupName>
      <ability>L2_HalfPunc_CN</ability>
      <abilityName>全半角问题</abilityName>
      <candidateList>
        <item>）</item>
      </candidateList>
      <explain>文本全半角错误。</explain>
      <paraID> 41D9780</paraID>
      <start>23</start>
      <end>24</end>
      <status>unmodified</status>
      <modifiedWord/>
      <trackRevisions>false</trackRevisions>
    </reviewItem>
    <reviewItem>
      <errorID>0ac8f4ce-ad96-47d7-b43b-a7c781c56fcd</errorID>
      <errorWord>(</errorWord>
      <group>L1_Format</group>
      <groupName>格式问题</groupName>
      <ability>L2_HalfPunc_CN</ability>
      <abilityName>全半角问题</abilityName>
      <candidateList>
        <item>（</item>
      </candidateList>
      <explain>文本全半角错误。</explain>
      <paraID>4A2E1D58</paraID>
      <start>136</start>
      <end>137</end>
      <status>unmodified</status>
      <modifiedWord/>
      <trackRevisions>false</trackRevisions>
    </reviewItem>
    <reviewItem>
      <errorID>d4db05cc-60ef-4499-8a9c-b90f81f18c43</errorID>
      <errorWord>)</errorWord>
      <group>L1_Format</group>
      <groupName>格式问题</groupName>
      <ability>L2_HalfPunc_CN</ability>
      <abilityName>全半角问题</abilityName>
      <candidateList>
        <item>）</item>
      </candidateList>
      <explain>文本全半角错误。</explain>
      <paraID>4A2E1D58</paraID>
      <start>151</start>
      <end>152</end>
      <status>unmodified</status>
      <modifiedWord/>
      <trackRevisions>false</trackRevisions>
    </reviewItem>
    <reviewItem>
      <errorID>81fc6a78-0d66-4dbc-90ef-ff5d536927ee</errorID>
      <errorWord>(</errorWord>
      <group>L1_Format</group>
      <groupName>格式问题</groupName>
      <ability>L2_HalfPunc_CN</ability>
      <abilityName>全半角问题</abilityName>
      <candidateList>
        <item>（</item>
      </candidateList>
      <explain>文本全半角错误。</explain>
      <paraID>1AEEAFF2</paraID>
      <start>56</start>
      <end>57</end>
      <status>unmodified</status>
      <modifiedWord/>
      <trackRevisions>false</trackRevisions>
    </reviewItem>
    <reviewItem>
      <errorID>2e92e012-e0e4-45e2-bbb5-167a14729f3c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1AEEAFF2</paraID>
      <start>60</start>
      <end>61</end>
      <status>unmodified</status>
      <modifiedWord/>
      <trackRevisions>false</trackRevisions>
    </reviewItem>
    <reviewItem>
      <errorID>bfe5145f-7f1a-4bde-b720-f6ec6a47c7c7</errorID>
      <errorWord>)</errorWord>
      <group>L1_Format</group>
      <groupName>格式问题</groupName>
      <ability>L2_HalfPunc_CN</ability>
      <abilityName>全半角问题</abilityName>
      <candidateList>
        <item>）</item>
      </candidateList>
      <explain>文本全半角错误。</explain>
      <paraID>1AEEAFF2</paraID>
      <start>65</start>
      <end>66</end>
      <status>unmodified</status>
      <modifiedWord/>
      <trackRevisions>false</trackRevisions>
    </reviewItem>
    <reviewItem>
      <errorID>8fba1f3a-0d18-4876-bf56-8a74469b4a73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30C74340</paraID>
      <start>2</start>
      <end>3</end>
      <status>unmodified</status>
      <modifiedWord/>
      <trackRevisions>false</trackRevisions>
    </reviewItem>
    <reviewItem>
      <errorID>aba1947b-ecd8-4524-8400-31e80cc01d26</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6AA2730D</paraID>
      <start>9</start>
      <end>12</end>
      <status>unmodified</status>
      <modifiedWord/>
      <trackRevisions>false</trackRevisions>
    </reviewItem>
    <reviewItem>
      <errorID>ea38464c-045c-42ab-be70-03a1b4661f53</errorID>
      <errorWord>(</errorWord>
      <group>L1_Format</group>
      <groupName>格式问题</groupName>
      <ability>L2_HalfPunc_CN</ability>
      <abilityName>全半角问题</abilityName>
      <candidateList>
        <item>（</item>
      </candidateList>
      <explain>文本全半角错误。</explain>
      <paraID>7F325A9A</paraID>
      <start>54</start>
      <end>55</end>
      <status>unmodified</status>
      <modifiedWord/>
      <trackRevisions>false</trackRevisions>
    </reviewItem>
    <reviewItem>
      <errorID>73b36103-fb1d-4a62-9b0a-eb8938381c5d</errorID>
      <errorWord>)</errorWord>
      <group>L1_Format</group>
      <groupName>格式问题</groupName>
      <ability>L2_HalfPunc_CN</ability>
      <abilityName>全半角问题</abilityName>
      <candidateList>
        <item>）</item>
      </candidateList>
      <explain>文本全半角错误。</explain>
      <paraID>2592FE68</paraID>
      <start>1</start>
      <end>2</end>
      <status>unmodified</status>
      <modifiedWord/>
      <trackRevisions>false</trackRevisions>
    </reviewItem>
    <reviewItem>
      <errorID>47644cd2-f6a5-4e26-a136-167eb0939c76</errorID>
      <errorWord>(</errorWord>
      <group>L1_Format</group>
      <groupName>格式问题</groupName>
      <ability>L2_HalfPunc_CN</ability>
      <abilityName>全半角问题</abilityName>
      <candidateList>
        <item>（</item>
      </candidateList>
      <explain>文本全半角错误。</explain>
      <paraID> 742CECA</paraID>
      <start>32</start>
      <end>33</end>
      <status>unmodified</status>
      <modifiedWord/>
      <trackRevisions>false</trackRevisions>
    </reviewItem>
    <reviewItem>
      <errorID>f88a4f3a-be36-4111-afe2-87f6e790e888</errorID>
      <errorWord>(2017)8号</errorWord>
      <group>L1_Knowledge</group>
      <groupName>知识性问题</groupName>
      <ability>L2_Knowledge</ability>
      <abilityName>其他知识</abilityName>
      <candidateList>
        <item>〔2017〕8号</item>
      </candidateList>
      <explain>发文字号格式错误。</explain>
      <paraID> 742CECA</paraID>
      <start>37</start>
      <end>45</end>
      <status>unmodified</status>
      <modifiedWord/>
      <trackRevisions>false</trackRevisions>
    </reviewItem>
    <reviewItem>
      <errorID>8b768657-14c5-40ab-8a5e-9d85c87d6ddf</errorID>
      <errorWord>)</errorWord>
      <group>L1_Format</group>
      <groupName>格式问题</groupName>
      <ability>L2_HalfPunc_CN</ability>
      <abilityName>全半角问题</abilityName>
      <candidateList>
        <item>）</item>
      </candidateList>
      <explain>文本全半角错误。</explain>
      <paraID> 742CECA</paraID>
      <start>45</start>
      <end>46</end>
      <status>unmodified</status>
      <modifiedWord/>
      <trackRevisions>false</trackRevisions>
    </reviewItem>
    <reviewItem>
      <errorID>ce42f6cf-14e8-4101-9345-704ca812b469</errorID>
      <errorWord>(</errorWord>
      <group>L1_Format</group>
      <groupName>格式问题</groupName>
      <ability>L2_HalfPunc_CN</ability>
      <abilityName>全半角问题</abilityName>
      <candidateList>
        <item>（</item>
      </candidateList>
      <explain>文本全半角错误。</explain>
      <paraID>762F4507</paraID>
      <start>84</start>
      <end>85</end>
      <status>unmodified</status>
      <modifiedWord/>
      <trackRevisions>false</trackRevisions>
    </reviewItem>
    <reviewItem>
      <errorID>dd68d2bf-f4f4-484d-9d74-797809c878ea</errorID>
      <errorWord>)</errorWord>
      <group>L1_Format</group>
      <groupName>格式问题</groupName>
      <ability>L2_HalfPunc_CN</ability>
      <abilityName>全半角问题</abilityName>
      <candidateList>
        <item>）</item>
      </candidateList>
      <explain>文本全半角错误。</explain>
      <paraID>762F4507</paraID>
      <start>94</start>
      <end>95</end>
      <status>unmodified</status>
      <modifiedWord/>
      <trackRevisions>false</trackRevisions>
    </reviewItem>
    <reviewItem>
      <errorID>4caf267e-e6e8-4303-aa74-66e4e15fdf91</errorID>
      <errorWord>永 久基本农田</errorWord>
      <group>L1_Political</group>
      <groupName>政治性问题</groupName>
      <ability>L2_Keyword</ability>
      <abilityName>固定表述</abilityName>
      <candidateList>
        <item>永久基本农田</item>
      </candidateList>
      <explain>词汇“永久基本农田”在特定场景下为固定表述形式，请确认此处的“永 久基本农田”是否存在不当。</explain>
      <paraID>367E913C</paraID>
      <start>31</start>
      <end>38</end>
      <status>unmodified</status>
      <modifiedWord/>
      <trackRevisions>false</trackRevisions>
    </reviewItem>
    <reviewItem>
      <errorID>af231cf1-6d7a-495e-bca8-f4ee53bd3ce6</errorID>
      <errorWord>三区三线</errorWord>
      <group>L1_Political</group>
      <groupName>政治性问题</groupName>
      <ability>L2_Keyword</ability>
      <abilityName>固定表述</abilityName>
      <candidateList>
        <item>“三区三线”</item>
      </candidateList>
      <explain>注意检查当前固定表述标点是否使用规范。</explain>
      <paraID>6CEFD0C0</paraID>
      <start>50</start>
      <end>54</end>
      <status>unmodified</status>
      <modifiedWord/>
      <trackRevisions>false</trackRevisions>
    </reviewItem>
    <reviewItem>
      <errorID>24a58dc6-a44c-4622-b908-f0f7eeb40edf</errorID>
      <errorWord>生态红线</errorWord>
      <group>L1_Political</group>
      <groupName>政治性问题</groupName>
      <ability>L2_Unpolitical</ability>
      <abilityName>政治敏感错误</abilityName>
      <candidateList>
        <item>生态保护红线</item>
      </candidateList>
      <explain/>
      <paraID>16838608</paraID>
      <start>47</start>
      <end>51</end>
      <status>unmodified</status>
      <modifiedWord/>
      <trackRevisions>false</trackRevisions>
    </reviewItem>
    <reviewItem>
      <errorID>6aff6aab-b85e-470e-a952-36814a0deba9</errorID>
      <errorWord>(</errorWord>
      <group>L1_Format</group>
      <groupName>格式问题</groupName>
      <ability>L2_HalfPunc_CN</ability>
      <abilityName>全半角问题</abilityName>
      <candidateList>
        <item>（</item>
      </candidateList>
      <explain>文本全半角错误。</explain>
      <paraID>16838608</paraID>
      <start>63</start>
      <end>64</end>
      <status>unmodified</status>
      <modifiedWord/>
      <trackRevisions>false</trackRevisions>
    </reviewItem>
    <reviewItem>
      <errorID>1548701e-a6a1-4902-a15d-d07ed898fceb</errorID>
      <errorWord>(</errorWord>
      <group>L1_Punc</group>
      <groupName>标点问题</groupName>
      <ability>L2_Punc_CN</ability>
      <abilityName>标点符号问题</abilityName>
      <candidateList/>
      <explain>同一形式括号套用。</explain>
      <paraID>16838608</paraID>
      <start>71</start>
      <end>72</end>
      <status>unmodified</status>
      <modifiedWord/>
      <trackRevisions>false</trackRevisions>
    </reviewItem>
    <reviewItem>
      <errorID>59d4f005-d78f-44b2-80ce-2ac8a37b5183</errorID>
      <errorWord>)</errorWord>
      <group>L1_Punc</group>
      <groupName>标点问题</groupName>
      <ability>L2_Punc_CN</ability>
      <abilityName>标点符号问题</abilityName>
      <candidateList/>
      <explain>同一形式括号套用。</explain>
      <paraID>16838608</paraID>
      <start>92</start>
      <end>93</end>
      <status>unmodified</status>
      <modifiedWord/>
      <trackRevisions>false</trackRevisions>
    </reviewItem>
    <reviewItem>
      <errorID>2393fd73-9984-4cfb-ba5f-dc1e265beef9</errorID>
      <errorWord>(</errorWord>
      <group>L1_Punc</group>
      <groupName>标点问题</groupName>
      <ability>L2_Punc_CN</ability>
      <abilityName>标点符号问题</abilityName>
      <candidateList/>
      <explain>同一形式括号套用。</explain>
      <paraID>16838608</paraID>
      <start>98</start>
      <end>99</end>
      <status>unmodified</status>
      <modifiedWord/>
      <trackRevisions>false</trackRevisions>
    </reviewItem>
    <reviewItem>
      <errorID>24d6c26b-9ec4-4951-970e-f3cf6ce88046</errorID>
      <errorWord>)</errorWord>
      <group>L1_Punc</group>
      <groupName>标点问题</groupName>
      <ability>L2_Punc_CN</ability>
      <abilityName>标点符号问题</abilityName>
      <candidateList/>
      <explain>同一形式括号套用。</explain>
      <paraID>16838608</paraID>
      <start>120</start>
      <end>121</end>
      <status>unmodified</status>
      <modifiedWord/>
      <trackRevisions>false</trackRevisions>
    </reviewItem>
    <reviewItem>
      <errorID>80788857-9ced-4cf7-b058-63ee2a35c2c9</errorID>
      <errorWord>)</errorWord>
      <group>L1_Format</group>
      <groupName>格式问题</groupName>
      <ability>L2_HalfPunc_CN</ability>
      <abilityName>全半角问题</abilityName>
      <candidateList>
        <item>）</item>
      </candidateList>
      <explain>文本全半角错误。</explain>
      <paraID>16838608</paraID>
      <start>121</start>
      <end>122</end>
      <status>unmodified</status>
      <modifiedWord/>
      <trackRevisions>false</trackRevisions>
    </reviewItem>
    <reviewItem>
      <errorID>3883d972-081d-4e2b-9041-8d4724ceb676</errorID>
      <errorWord>(</errorWord>
      <group>L1_Format</group>
      <groupName>格式问题</groupName>
      <ability>L2_HalfPunc_CN</ability>
      <abilityName>全半角问题</abilityName>
      <candidateList>
        <item>（</item>
      </candidateList>
      <explain>文本全半角错误。</explain>
      <paraID>5EA07944</paraID>
      <start>0</start>
      <end>1</end>
      <status>unmodified</status>
      <modifiedWord/>
      <trackRevisions>false</trackRevisions>
    </reviewItem>
    <reviewItem>
      <errorID>a2717b0b-fcb9-43a1-8268-627fd87dd9e0</errorID>
      <errorWord>)</errorWord>
      <group>L1_Format</group>
      <groupName>格式问题</groupName>
      <ability>L2_HalfPunc_CN</ability>
      <abilityName>全半角问题</abilityName>
      <candidateList>
        <item>）</item>
      </candidateList>
      <explain>文本全半角错误。</explain>
      <paraID>5EA07944</paraID>
      <start>8</start>
      <end>9</end>
      <status>unmodified</status>
      <modifiedWord/>
      <trackRevisions>false</trackRevisions>
    </reviewItem>
    <reviewItem>
      <errorID>930cdc1e-3583-4e94-9a26-8c1a0729a046</errorID>
      <errorWord>(</errorWord>
      <group>L1_Format</group>
      <groupName>格式问题</groupName>
      <ability>L2_HalfPunc_CN</ability>
      <abilityName>全半角问题</abilityName>
      <candidateList>
        <item>（</item>
      </candidateList>
      <explain>文本全半角错误。</explain>
      <paraID> 3F0E936</paraID>
      <start>7</start>
      <end>8</end>
      <status>unmodified</status>
      <modifiedWord/>
      <trackRevisions>false</trackRevisions>
    </reviewItem>
    <reviewItem>
      <errorID>67cd223c-99e8-40a2-8660-adb576656541</errorID>
      <errorWord>)</errorWord>
      <group>L1_Format</group>
      <groupName>格式问题</groupName>
      <ability>L2_HalfPunc_CN</ability>
      <abilityName>全半角问题</abilityName>
      <candidateList>
        <item>）</item>
      </candidateList>
      <explain>文本全半角错误。</explain>
      <paraID> 3F0E936</paraID>
      <start>13</start>
      <end>14</end>
      <status>unmodified</status>
      <modifiedWord/>
      <trackRevisions>false</trackRevisions>
    </reviewItem>
    <reviewItem>
      <errorID>92ea15e6-0076-40dd-97b8-69d7b42279f3</errorID>
      <errorWord>,</errorWord>
      <group>L1_Format</group>
      <groupName>格式问题</groupName>
      <ability>L2_HalfPunc_CN</ability>
      <abilityName>全半角问题</abilityName>
      <candidateList>
        <item>，</item>
      </candidateList>
      <explain>文本全半角错误。</explain>
      <paraID> EE8C697</paraID>
      <start>43</start>
      <end>44</end>
      <status>unmodified</status>
      <modifiedWord/>
      <trackRevisions>false</trackRevisions>
    </reviewItem>
    <reviewItem>
      <errorID>c9b0fa23-132d-4768-8848-a34e34da6fb0</errorID>
      <errorWord>;</errorWord>
      <group>L1_Format</group>
      <groupName>格式问题</groupName>
      <ability>L2_HalfPunc_CN</ability>
      <abilityName>全半角问题</abilityName>
      <candidateList>
        <item>；</item>
      </candidateList>
      <explain>文本全半角错误。</explain>
      <paraID> EE8C697</paraID>
      <start>65</start>
      <end>66</end>
      <status>unmodified</status>
      <modifiedWord/>
      <trackRevisions>false</trackRevisions>
    </reviewItem>
    <reviewItem>
      <errorID>5d18b522-4f3c-4148-be03-a98278c0a8ad</errorID>
      <errorWord>(</errorWord>
      <group>L1_Format</group>
      <groupName>格式问题</groupName>
      <ability>L2_HalfPunc_CN</ability>
      <abilityName>全半角问题</abilityName>
      <candidateList>
        <item>（</item>
      </candidateList>
      <explain>文本全半角错误。</explain>
      <paraID> A080D26</paraID>
      <start>168</start>
      <end>169</end>
      <status>unmodified</status>
      <modifiedWord/>
      <trackRevisions>false</trackRevisions>
    </reviewItem>
    <reviewItem>
      <errorID>6f426b70-78de-4e88-a6b1-85b7039ab84b</errorID>
      <errorWord>【2019】196号</errorWord>
      <group>L1_Knowledge</group>
      <groupName>知识性问题</groupName>
      <ability>L2_Knowledge</ability>
      <abilityName>其他知识</abilityName>
      <candidateList>
        <item>〔2019〕196号</item>
      </candidateList>
      <explain>发文字号格式错误。</explain>
      <paraID> A080D26</paraID>
      <start>173</start>
      <end>183</end>
      <status>unmodified</status>
      <modifiedWord/>
      <trackRevisions>false</trackRevisions>
    </reviewItem>
    <reviewItem>
      <errorID>244e4c04-5377-4bd1-a374-de76459bf528</errorID>
      <errorWord>)</errorWord>
      <group>L1_Format</group>
      <groupName>格式问题</groupName>
      <ability>L2_HalfPunc_CN</ability>
      <abilityName>全半角问题</abilityName>
      <candidateList>
        <item>）</item>
      </candidateList>
      <explain>文本全半角错误。</explain>
      <paraID> A080D26</paraID>
      <start>183</start>
      <end>184</end>
      <status>unmodified</status>
      <modifiedWord/>
      <trackRevisions>false</trackRevisions>
    </reviewItem>
    <reviewItem>
      <errorID>960e70fe-4f1c-44d5-8927-fd3efcbdb15f</errorID>
      <errorWord>(</errorWord>
      <group>L1_Format</group>
      <groupName>格式问题</groupName>
      <ability>L2_HalfPunc_CN</ability>
      <abilityName>全半角问题</abilityName>
      <candidateList>
        <item>（</item>
      </candidateList>
      <explain>文本全半角错误。</explain>
      <paraID> 473B839</paraID>
      <start>36</start>
      <end>37</end>
      <status>unmodified</status>
      <modifiedWord/>
      <trackRevisions>false</trackRevisions>
    </reviewItem>
    <reviewItem>
      <errorID>fd04676c-b98c-487e-9c4a-f3734f9d5313</errorID>
      <errorWord>【2019】196号</errorWord>
      <group>L1_Knowledge</group>
      <groupName>知识性问题</groupName>
      <ability>L2_Knowledge</ability>
      <abilityName>其他知识</abilityName>
      <candidateList>
        <item>〔2019〕196号</item>
      </candidateList>
      <explain>发文字号格式错误。</explain>
      <paraID> 473B839</paraID>
      <start>41</start>
      <end>51</end>
      <status>unmodified</status>
      <modifiedWord/>
      <trackRevisions>false</trackRevisions>
    </reviewItem>
    <reviewItem>
      <errorID>e2caac4e-7ccf-4244-b52b-0b81ff825dbc</errorID>
      <errorWord>),</errorWord>
      <group>L1_Format</group>
      <groupName>格式问题</groupName>
      <ability>L2_HalfPunc_CN</ability>
      <abilityName>全半角问题</abilityName>
      <candidateList>
        <item>），</item>
      </candidateList>
      <explain>文本全半角错误。</explain>
      <paraID> 473B839</paraID>
      <start>51</start>
      <end>53</end>
      <status>unmodified</status>
      <modifiedWord/>
      <trackRevisions>false</trackRevisions>
    </reviewItem>
    <reviewItem>
      <errorID>299c836c-ef8a-4b77-a483-f8f05093d418</errorID>
      <errorWord>(</errorWord>
      <group>L1_Format</group>
      <groupName>格式问题</groupName>
      <ability>L2_HalfPunc_CN</ability>
      <abilityName>全半角问题</abilityName>
      <candidateList>
        <item>（</item>
      </candidateList>
      <explain>文本全半角错误。</explain>
      <paraID>39AD8EAE</paraID>
      <start>18</start>
      <end>19</end>
      <status>unmodified</status>
      <modifiedWord/>
      <trackRevisions>false</trackRevisions>
    </reviewItem>
    <reviewItem>
      <errorID>4a8d8ded-9f87-45dd-ae1f-cd1356b207cc</errorID>
      <errorWord>)</errorWord>
      <group>L1_Format</group>
      <groupName>格式问题</groupName>
      <ability>L2_HalfPunc_CN</ability>
      <abilityName>全半角问题</abilityName>
      <candidateList>
        <item>）</item>
      </candidateList>
      <explain>文本全半角错误。</explain>
      <paraID>39AD8EAE</paraID>
      <start>29</start>
      <end>30</end>
      <status>unmodified</status>
      <modifiedWord/>
      <trackRevisions>false</trackRevisions>
    </reviewItem>
    <reviewItem>
      <errorID>b199fabd-24fe-4c11-9deb-821fe7517611</errorID>
      <errorWord>(</errorWord>
      <group>L1_Format</group>
      <groupName>格式问题</groupName>
      <ability>L2_HalfPunc_CN</ability>
      <abilityName>全半角问题</abilityName>
      <candidateList>
        <item>（</item>
      </candidateList>
      <explain>文本全半角错误。</explain>
      <paraID>6E4A3482</paraID>
      <start>76</start>
      <end>77</end>
      <status>unmodified</status>
      <modifiedWord/>
      <trackRevisions>false</trackRevisions>
    </reviewItem>
    <reviewItem>
      <errorID>e52f0f64-7734-46de-a1e3-7a237b6bcd27</errorID>
      <errorWord>)</errorWord>
      <group>L1_Format</group>
      <groupName>格式问题</groupName>
      <ability>L2_HalfPunc_CN</ability>
      <abilityName>全半角问题</abilityName>
      <candidateList>
        <item>）</item>
      </candidateList>
      <explain>文本全半角错误。</explain>
      <paraID>6E4A3482</paraID>
      <start>80</start>
      <end>81</end>
      <status>unmodified</status>
      <modifiedWord/>
      <trackRevisions>false</trackRevisions>
    </reviewItem>
    <reviewItem>
      <errorID>d09b8ec2-ba87-43ff-9d13-73796eeb0104</errorID>
      <errorWord>,</errorWord>
      <group>L1_Format</group>
      <groupName>格式问题</groupName>
      <ability>L2_HalfPunc_CN</ability>
      <abilityName>全半角问题</abilityName>
      <candidateList>
        <item>，</item>
      </candidateList>
      <explain>文本全半角错误。</explain>
      <paraID>4E910CA1</paraID>
      <start>58</start>
      <end>59</end>
      <status>unmodified</status>
      <modifiedWord/>
      <trackRevisions>false</trackRevisions>
    </reviewItem>
    <reviewItem>
      <errorID>e57963f0-9351-44ff-b7c4-bf78d56242f3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6C96D96B</paraID>
      <start>179</start>
      <end>180</end>
      <status>unmodified</status>
      <modifiedWord/>
      <trackRevisions>false</trackRevisions>
    </reviewItem>
    <reviewItem>
      <errorID>20e1485c-1c5f-46f1-b119-1959920c289d</errorID>
      <errorWord>项</errorWord>
      <group>L1_Word</group>
      <groupName>字词问题</groupName>
      <ability>L2_Typo</ability>
      <abilityName>字词错误</abilityName>
      <candidateList>
        <item>项目</item>
      </candidateList>
      <explain/>
      <paraID>3376E7F0</paraID>
      <start>1</start>
      <end>2</end>
      <status>unmodified</status>
      <modifiedWord/>
      <trackRevisions>false</trackRevisions>
    </reviewItem>
    <reviewItem>
      <errorID>8923a4b9-8d30-4746-9d51-9c744fb3807c</errorID>
      <errorWord>〔2015〕 11号</errorWord>
      <group>L1_Knowledge</group>
      <groupName>知识性问题</groupName>
      <ability>L2_Knowledge</ability>
      <abilityName>其他知识</abilityName>
      <candidateList>
        <item>〔2015〕11号</item>
      </candidateList>
      <explain>发文字号格式错误。</explain>
      <paraID>3376E7F0</paraID>
      <start>163</start>
      <end>173</end>
      <status>unmodified</status>
      <modifiedWord/>
      <trackRevisions>false</trackRevisions>
    </reviewItem>
    <reviewItem>
      <errorID>bea65112-0581-40c1-a73f-a2bf3f6e7cf9</errorID>
      <errorWord>,</errorWord>
      <group>L1_Format</group>
      <groupName>格式问题</groupName>
      <ability>L2_HalfPunc_CN</ability>
      <abilityName>全半角问题</abilityName>
      <candidateList>
        <item>，</item>
      </candidateList>
      <explain>文本全半角错误。</explain>
      <paraID>6C2D30CE</paraID>
      <start>13</start>
      <end>14</end>
      <status>unmodified</status>
      <modifiedWord/>
      <trackRevisions>false</trackRevisions>
    </reviewItem>
    <reviewItem>
      <errorID>2d5c0c5e-68b8-4d28-bbfd-b80216af6b64</errorID>
      <errorWord>，</errorWord>
      <group>L1_Word</group>
      <groupName>字词问题</groupName>
      <ability>L2_Typo</ability>
      <abilityName>字词错误</abilityName>
      <candidateList>
        <item>，对</item>
      </candidateList>
      <explain/>
      <paraID>6C2D30CE</paraID>
      <start>150</start>
      <end>151</end>
      <status>unmodified</status>
      <modifiedWord/>
      <trackRevisions>false</trackRevisions>
    </reviewItem>
    <reviewItem>
      <errorID>9e9c1e32-374c-4386-9243-7f99338f6b2f</errorID>
      <errorWord>(</errorWord>
      <group>L1_Format</group>
      <groupName>格式问题</groupName>
      <ability>L2_HalfPunc_CN</ability>
      <abilityName>全半角问题</abilityName>
      <candidateList>
        <item>（</item>
      </candidateList>
      <explain>文本全半角错误。</explain>
      <paraID>26996D1B</paraID>
      <start>52</start>
      <end>53</end>
      <status>unmodified</status>
      <modifiedWord/>
      <trackRevisions>false</trackRevisions>
    </reviewItem>
    <reviewItem>
      <errorID>ddd8b27a-7140-43a7-8f2f-54f25565afaf</errorID>
      <errorWord>)</errorWord>
      <group>L1_Format</group>
      <groupName>格式问题</groupName>
      <ability>L2_HalfPunc_CN</ability>
      <abilityName>全半角问题</abilityName>
      <candidateList>
        <item>）</item>
      </candidateList>
      <explain>文本全半角错误。</explain>
      <paraID>7E19E3CC</paraID>
      <start>1</start>
      <end>2</end>
      <status>unmodified</status>
      <modifiedWord/>
      <trackRevisions>false</trackRevisions>
    </reviewItem>
    <reviewItem>
      <errorID>0104c0b2-db17-42b5-9346-37aefdda8382</errorID>
      <errorWord>(</errorWord>
      <group>L1_Format</group>
      <groupName>格式问题</groupName>
      <ability>L2_HalfPunc_CN</ability>
      <abilityName>全半角问题</abilityName>
      <candidateList>
        <item>（</item>
      </candidateList>
      <explain>文本全半角错误。</explain>
      <paraID>5A763203</paraID>
      <start>18</start>
      <end>19</end>
      <status>unmodified</status>
      <modifiedWord/>
      <trackRevisions>false</trackRevisions>
    </reviewItem>
    <reviewItem>
      <errorID>665c9520-e691-4ccc-bd92-e7ff7c85a9cb</errorID>
      <errorWord>)</errorWord>
      <group>L1_Format</group>
      <groupName>格式问题</groupName>
      <ability>L2_HalfPunc_CN</ability>
      <abilityName>全半角问题</abilityName>
      <candidateList>
        <item>）</item>
      </candidateList>
      <explain>文本全半角错误。</explain>
      <paraID>5A763203</paraID>
      <start>25</start>
      <end>26</end>
      <status>unmodified</status>
      <modifiedWord/>
      <trackRevisions>false</trackRevisions>
    </reviewItem>
    <reviewItem>
      <errorID>ed137c7a-4d11-4585-910c-5225bb6418ba</errorID>
      <errorWord>(</errorWord>
      <group>L1_Format</group>
      <groupName>格式问题</groupName>
      <ability>L2_HalfPunc_CN</ability>
      <abilityName>全半角问题</abilityName>
      <candidateList>
        <item>（</item>
      </candidateList>
      <explain>文本全半角错误。</explain>
      <paraID>452FD2A0</paraID>
      <start>20</start>
      <end>21</end>
      <status>unmodified</status>
      <modifiedWord/>
      <trackRevisions>false</trackRevisions>
    </reviewItem>
    <reviewItem>
      <errorID>bab1593d-3783-4ade-840a-2cf34efac56d</errorID>
      <errorWord>)</errorWord>
      <group>L1_Format</group>
      <groupName>格式问题</groupName>
      <ability>L2_HalfPunc_CN</ability>
      <abilityName>全半角问题</abilityName>
      <candidateList>
        <item>）</item>
      </candidateList>
      <explain>文本全半角错误。</explain>
      <paraID>452FD2A0</paraID>
      <start>27</start>
      <end>28</end>
      <status>unmodified</status>
      <modifiedWord/>
      <trackRevisions>false</trackRevisions>
    </reviewItem>
    <reviewItem>
      <errorID>20d31206-9030-4b02-852d-53c8880f3f67</errorID>
      <errorWord>(</errorWord>
      <group>L1_Format</group>
      <groupName>格式问题</groupName>
      <ability>L2_HalfPunc_CN</ability>
      <abilityName>全半角问题</abilityName>
      <candidateList>
        <item>（</item>
      </candidateList>
      <explain>文本全半角错误。</explain>
      <paraID> BC147E9</paraID>
      <start>85</start>
      <end>86</end>
      <status>unmodified</status>
      <modifiedWord/>
      <trackRevisions>false</trackRevisions>
    </reviewItem>
    <reviewItem>
      <errorID>aed3fff1-7b6c-4f9a-b8b7-16aac52c8312</errorID>
      <errorWord>)</errorWord>
      <group>L1_Format</group>
      <groupName>格式问题</groupName>
      <ability>L2_HalfPunc_CN</ability>
      <abilityName>全半角问题</abilityName>
      <candidateList>
        <item>）</item>
      </candidateList>
      <explain>文本全半角错误。</explain>
      <paraID> BC147E9</paraID>
      <start>97</start>
      <end>98</end>
      <status>unmodified</status>
      <modifiedWord/>
      <trackRevisions>false</trackRevisions>
    </reviewItem>
    <reviewItem>
      <errorID>ff582222-c1e0-4d2e-a0aa-75626fc0a4f9</errorID>
      <errorWord>,</errorWord>
      <group>L1_Format</group>
      <groupName>格式问题</groupName>
      <ability>L2_HalfPunc_CN</ability>
      <abilityName>全半角问题</abilityName>
      <candidateList>
        <item>，</item>
      </candidateList>
      <explain>文本全半角错误。</explain>
      <paraID>3A867B23</paraID>
      <start>7</start>
      <end>8</end>
      <status>unmodified</status>
      <modifiedWord/>
      <trackRevisions>false</trackRevisions>
    </reviewItem>
    <reviewItem>
      <errorID>e04ffae3-f1c0-490b-a98f-7d48392d56e5</errorID>
      <errorWord>;</errorWord>
      <group>L1_Format</group>
      <groupName>格式问题</groupName>
      <ability>L2_HalfPunc_CN</ability>
      <abilityName>全半角问题</abilityName>
      <candidateList>
        <item>；</item>
      </candidateList>
      <explain>文本全半角错误。</explain>
      <paraID>242B3C61</paraID>
      <start>4</start>
      <end>5</end>
      <status>unmodified</status>
      <modifiedWord/>
      <trackRevisions>false</trackRevisions>
    </reviewItem>
    <reviewItem>
      <errorID>7b64b265-b329-451c-a350-dadf8af42bc7</errorID>
      <errorWord>(</errorWord>
      <group>L1_Format</group>
      <groupName>格式问题</groupName>
      <ability>L2_HalfPunc_CN</ability>
      <abilityName>全半角问题</abilityName>
      <candidateList>
        <item>（</item>
      </candidateList>
      <explain>文本全半角错误。</explain>
      <paraID>3C3D90D7</paraID>
      <start>11</start>
      <end>12</end>
      <status>unmodified</status>
      <modifiedWord/>
      <trackRevisions>false</trackRevisions>
    </reviewItem>
    <reviewItem>
      <errorID>bd4e7c0a-fcbd-43ea-99d4-cf9836f89b4c</errorID>
      <errorWord>)</errorWord>
      <group>L1_Format</group>
      <groupName>格式问题</groupName>
      <ability>L2_HalfPunc_CN</ability>
      <abilityName>全半角问题</abilityName>
      <candidateList>
        <item>）</item>
      </candidateList>
      <explain>文本全半角错误。</explain>
      <paraID>3C3D90D7</paraID>
      <start>15</start>
      <end>16</end>
      <status>unmodified</status>
      <modifiedWord/>
      <trackRevisions>false</trackRevisions>
    </reviewItem>
    <reviewItem>
      <errorID>36f5c1a4-7331-4848-b180-921f89b7122f</errorID>
      <errorWord>(</errorWord>
      <group>L1_Format</group>
      <groupName>格式问题</groupName>
      <ability>L2_HalfPunc_CN</ability>
      <abilityName>全半角问题</abilityName>
      <candidateList>
        <item>（</item>
      </candidateList>
      <explain>文本全半角错误。</explain>
      <paraID>29CD2C33</paraID>
      <start>14</start>
      <end>15</end>
      <status>unmodified</status>
      <modifiedWord/>
      <trackRevisions>false</trackRevisions>
    </reviewItem>
    <reviewItem>
      <errorID>aeb5f018-2a18-409d-8028-dbfbc321532b</errorID>
      <errorWord>)</errorWord>
      <group>L1_Format</group>
      <groupName>格式问题</groupName>
      <ability>L2_HalfPunc_CN</ability>
      <abilityName>全半角问题</abilityName>
      <candidateList>
        <item>）</item>
      </candidateList>
      <explain>文本全半角错误。</explain>
      <paraID>29CD2C33</paraID>
      <start>19</start>
      <end>20</end>
      <status>unmodified</status>
      <modifiedWord/>
      <trackRevisions>false</trackRevisions>
    </reviewItem>
    <reviewItem>
      <errorID>152e39ed-9777-40da-b61f-9f303da04d04</errorID>
      <errorWord>管</errorWord>
      <group>L1_Word</group>
      <groupName>字词问题</groupName>
      <ability>L2_Typo</ability>
      <abilityName>字词错误</abilityName>
      <candidateList>
        <item>管理</item>
      </candidateList>
      <explain/>
      <paraID>519F7DFD</paraID>
      <start>19</start>
      <end>20</end>
      <status>unmodified</status>
      <modifiedWord/>
      <trackRevisions>false</trackRevisions>
    </reviewItem>
    <reviewItem>
      <errorID>6d58a1bb-799f-4bb3-802f-9ab160edf6c7</errorID>
      <errorWord>捲</errorWord>
      <group>L1_Word</group>
      <groupName>字词问题</groupName>
      <ability>L2_Fanti</ability>
      <abilityName>繁转简</abilityName>
      <candidateList>
        <item>卷</item>
      </candidateList>
      <explain/>
      <paraID>33752509</paraID>
      <start>0</start>
      <end>1</end>
      <status>unmodified</status>
      <modifiedWord/>
      <trackRevisions>false</trackRevisions>
    </reviewItem>
    <reviewItem>
      <errorID>be5a3fb3-b2ee-4540-9353-b0cae67f2b18</errorID>
      <errorWord>(</errorWord>
      <group>L1_Format</group>
      <groupName>格式问题</groupName>
      <ability>L2_HalfPunc_CN</ability>
      <abilityName>全半角问题</abilityName>
      <candidateList>
        <item>（</item>
      </candidateList>
      <explain>文本全半角错误。</explain>
      <paraID>232D8494</paraID>
      <start>27</start>
      <end>28</end>
      <status>unmodified</status>
      <modifiedWord/>
      <trackRevisions>false</trackRevisions>
    </reviewItem>
    <reviewItem>
      <errorID>30cbf98b-4aa6-42ac-ae24-c84c4f90a083</errorID>
      <errorWord>)</errorWord>
      <group>L1_Format</group>
      <groupName>格式问题</groupName>
      <ability>L2_HalfPunc_CN</ability>
      <abilityName>全半角问题</abilityName>
      <candidateList>
        <item>）</item>
      </candidateList>
      <explain>文本全半角错误。</explain>
      <paraID>232D8494</paraID>
      <start>35</start>
      <end>36</end>
      <status>unmodified</status>
      <modifiedWord/>
      <trackRevisions>false</trackRevisions>
    </reviewItem>
    <reviewItem>
      <errorID>8a9be4c8-3761-40de-b09e-0d920fc8d4b2</errorID>
      <errorWord>(</errorWord>
      <group>L1_Format</group>
      <groupName>格式问题</groupName>
      <ability>L2_HalfPunc_CN</ability>
      <abilityName>全半角问题</abilityName>
      <candidateList>
        <item>（</item>
      </candidateList>
      <explain>文本全半角错误。</explain>
      <paraID>4CBA2094</paraID>
      <start>61</start>
      <end>62</end>
      <status>unmodified</status>
      <modifiedWord/>
      <trackRevisions>false</trackRevisions>
    </reviewItem>
    <reviewItem>
      <errorID>edcd7bc6-3c4a-431a-8d93-869ba565e9f3</errorID>
      <errorWord>[2023]12号</errorWord>
      <group>L1_Knowledge</group>
      <groupName>知识性问题</groupName>
      <ability>L2_Knowledge</ability>
      <abilityName>其他知识</abilityName>
      <candidateList>
        <item>〔2023〕12号</item>
      </candidateList>
      <explain>发文字号格式错误。</explain>
      <paraID>4CBA2094</paraID>
      <start>67</start>
      <end>76</end>
      <status>unmodified</status>
      <modifiedWord/>
      <trackRevisions>false</trackRevisions>
    </reviewItem>
    <reviewItem>
      <errorID>b14da439-3430-43db-8196-e57845d185a4</errorID>
      <errorWord>)</errorWord>
      <group>L1_Format</group>
      <groupName>格式问题</groupName>
      <ability>L2_HalfPunc_CN</ability>
      <abilityName>全半角问题</abilityName>
      <candidateList>
        <item>）</item>
      </candidateList>
      <explain>文本全半角错误。</explain>
      <paraID>4CBA2094</paraID>
      <start>76</start>
      <end>77</end>
      <status>unmodified</status>
      <modifiedWord/>
      <trackRevisions>false</trackRevisions>
    </reviewItem>
    <reviewItem>
      <errorID>7a1b2ea6-0545-4281-8919-70cc23cdc88c</errorID>
      <errorWord>(</errorWord>
      <group>L1_Format</group>
      <groupName>格式问题</groupName>
      <ability>L2_HalfPunc_CN</ability>
      <abilityName>全半角问题</abilityName>
      <candidateList>
        <item>（</item>
      </candidateList>
      <explain>文本全半角错误。</explain>
      <paraID>577DC461</paraID>
      <start>42</start>
      <end>43</end>
      <status>unmodified</status>
      <modifiedWord/>
      <trackRevisions>false</trackRevisions>
    </reviewItem>
    <reviewItem>
      <errorID>913950fe-cf30-4716-b969-45a7702889e3</errorID>
      <errorWord>[2022]12号</errorWord>
      <group>L1_Knowledge</group>
      <groupName>知识性问题</groupName>
      <ability>L2_Knowledge</ability>
      <abilityName>其他知识</abilityName>
      <candidateList>
        <item>〔2022〕12号</item>
      </candidateList>
      <explain>发文字号格式错误。</explain>
      <paraID>577DC461</paraID>
      <start>45</start>
      <end>54</end>
      <status>unmodified</status>
      <modifiedWord/>
      <trackRevisions>false</trackRevisions>
    </reviewItem>
    <reviewItem>
      <errorID>658c0fc7-e304-46c1-bb61-e260063d6a8f</errorID>
      <errorWord>)</errorWord>
      <group>L1_Format</group>
      <groupName>格式问题</groupName>
      <ability>L2_HalfPunc_CN</ability>
      <abilityName>全半角问题</abilityName>
      <candidateList>
        <item>）</item>
      </candidateList>
      <explain>文本全半角错误。</explain>
      <paraID>577DC461</paraID>
      <start>54</start>
      <end>55</end>
      <status>unmodified</status>
      <modifiedWord/>
      <trackRevisions>false</trackRevisions>
    </reviewItem>
    <reviewItem>
      <errorID>8abb055a-c3a4-47bd-ba51-8cbba3bde588</errorID>
      <errorWord>国家 林业和草原局</errorWord>
      <group>L1_Political</group>
      <groupName>政治性问题</groupName>
      <ability>L2_Keyword</ability>
      <abilityName>固定表述</abilityName>
      <candidateList>
        <item>国家林业和草原局</item>
      </candidateList>
      <explain>词汇“国家林业和草原局”在特定场景下为固定表述形式，请确认此处的“国家 林业和草原局”是否存在不当。</explain>
      <paraID>1A9ABA4A</paraID>
      <start>30</start>
      <end>39</end>
      <status>unmodified</status>
      <modifiedWord/>
      <trackRevisions>false</trackRevisions>
    </reviewItem>
    <reviewItem>
      <errorID>cabebb5e-4fd2-4f73-8156-086fdeee005b</errorID>
      <errorWord>(</errorWord>
      <group>L1_Format</group>
      <groupName>格式问题</groupName>
      <ability>L2_HalfPunc_CN</ability>
      <abilityName>全半角问题</abilityName>
      <candidateList>
        <item>（</item>
      </candidateList>
      <explain>文本全半角错误。</explain>
      <paraID>581AEB16</paraID>
      <start>31</start>
      <end>32</end>
      <status>unmodified</status>
      <modifiedWord/>
      <trackRevisions>false</trackRevisions>
    </reviewItem>
    <reviewItem>
      <errorID>59131b0f-7dc5-4ce3-944c-3eac69ab407d</errorID>
      <errorWord>[2023]12号</errorWord>
      <group>L1_Knowledge</group>
      <groupName>知识性问题</groupName>
      <ability>L2_Knowledge</ability>
      <abilityName>其他知识</abilityName>
      <candidateList>
        <item>〔2023〕12号</item>
      </candidateList>
      <explain>发文字号格式错误。</explain>
      <paraID>581AEB16</paraID>
      <start>36</start>
      <end>45</end>
      <status>unmodified</status>
      <modifiedWord/>
      <trackRevisions>false</trackRevisions>
    </reviewItem>
    <reviewItem>
      <errorID>61ac5449-19e6-4e2a-ac3c-8cc62e56f4c8</errorID>
      <errorWord>)</errorWord>
      <group>L1_Format</group>
      <groupName>格式问题</groupName>
      <ability>L2_HalfPunc_CN</ability>
      <abilityName>全半角问题</abilityName>
      <candidateList>
        <item>）</item>
      </candidateList>
      <explain>文本全半角错误。</explain>
      <paraID>581AEB16</paraID>
      <start>45</start>
      <end>46</end>
      <status>unmodified</status>
      <modifiedWord/>
      <trackRevisions>false</trackRevisions>
    </reviewItem>
    <reviewItem>
      <errorID>294dad31-d4cc-4aef-bbf7-722a4c60a403</errorID>
      <errorWord>(</errorWord>
      <group>L1_Format</group>
      <groupName>格式问题</groupName>
      <ability>L2_HalfPunc_CN</ability>
      <abilityName>全半角问题</abilityName>
      <candidateList>
        <item>（</item>
      </candidateList>
      <explain>文本全半角错误。</explain>
      <paraID>3917CCA7</paraID>
      <start>35</start>
      <end>36</end>
      <status>unmodified</status>
      <modifiedWord/>
      <trackRevisions>false</trackRevisions>
    </reviewItem>
    <reviewItem>
      <errorID>f07f781c-8ffd-4573-977c-d57eeb566c1c</errorID>
      <errorWord>[2023]12号</errorWord>
      <group>L1_Knowledge</group>
      <groupName>知识性问题</groupName>
      <ability>L2_Knowledge</ability>
      <abilityName>其他知识</abilityName>
      <candidateList>
        <item>〔2023〕12号</item>
      </candidateList>
      <explain>发文字号格式错误。</explain>
      <paraID>3917CCA7</paraID>
      <start>40</start>
      <end>49</end>
      <status>unmodified</status>
      <modifiedWord/>
      <trackRevisions>false</trackRevisions>
    </reviewItem>
    <reviewItem>
      <errorID>17af897f-3d9f-413a-bbde-1e88653fa957</errorID>
      <errorWord>)</errorWord>
      <group>L1_Format</group>
      <groupName>格式问题</groupName>
      <ability>L2_HalfPunc_CN</ability>
      <abilityName>全半角问题</abilityName>
      <candidateList>
        <item>）</item>
      </candidateList>
      <explain>文本全半角错误。</explain>
      <paraID>3917CCA7</paraID>
      <start>49</start>
      <end>50</end>
      <status>unmodified</status>
      <modifiedWord/>
      <trackRevisions>false</trackRevisions>
    </reviewItem>
    <reviewItem>
      <errorID>d4a0e734-dcbf-4886-bbca-9004b4eb3170</errorID>
      <errorWord>符</errorWord>
      <group>L1_Word</group>
      <groupName>字词问题</groupName>
      <ability>L2_Typo</ability>
      <abilityName>字词错误</abilityName>
      <candidateList>
        <item>符合</item>
      </candidateList>
      <explain/>
      <paraID>4D0E22F8</paraID>
      <start>3</start>
      <end>4</end>
      <status>unmodified</status>
      <modifiedWord/>
      <trackRevisions>false</trackRevisions>
    </reviewItem>
    <reviewItem>
      <errorID>b818fb41-8d2f-467f-81c7-97eaf3ad9234</errorID>
      <errorWord>(</errorWord>
      <group>L1_Format</group>
      <groupName>格式问题</groupName>
      <ability>L2_HalfPunc_CN</ability>
      <abilityName>全半角问题</abilityName>
      <candidateList>
        <item>（</item>
      </candidateList>
      <explain>文本全半角错误。</explain>
      <paraID>4491A875</paraID>
      <start>41</start>
      <end>42</end>
      <status>unmodified</status>
      <modifiedWord/>
      <trackRevisions>false</trackRevisions>
    </reviewItem>
    <reviewItem>
      <errorID>5aee95bb-191d-4b66-b1f2-24b0ff6930eb</errorID>
      <errorWord>[2023]12号</errorWord>
      <group>L1_Knowledge</group>
      <groupName>知识性问题</groupName>
      <ability>L2_Knowledge</ability>
      <abilityName>其他知识</abilityName>
      <candidateList>
        <item>〔2023〕12号</item>
      </candidateList>
      <explain>发文字号格式错误。</explain>
      <paraID>4491A875</paraID>
      <start>46</start>
      <end>55</end>
      <status>unmodified</status>
      <modifiedWord/>
      <trackRevisions>false</trackRevisions>
    </reviewItem>
    <reviewItem>
      <errorID>8ad326a3-8d17-49c2-8a2e-fabae5504145</errorID>
      <errorWord>)</errorWord>
      <group>L1_Format</group>
      <groupName>格式问题</groupName>
      <ability>L2_HalfPunc_CN</ability>
      <abilityName>全半角问题</abilityName>
      <candidateList>
        <item>）</item>
      </candidateList>
      <explain>文本全半角错误。</explain>
      <paraID>4491A875</paraID>
      <start>55</start>
      <end>56</end>
      <status>unmodified</status>
      <modifiedWord/>
      <trackRevisions>false</trackRevisions>
    </reviewItem>
    <reviewItem>
      <errorID>324156c3-ecfd-4fa3-9e48-77433ac1a573</errorID>
      <errorWord>(</errorWord>
      <group>L1_Format</group>
      <groupName>格式问题</groupName>
      <ability>L2_HalfPunc_CN</ability>
      <abilityName>全半角问题</abilityName>
      <candidateList>
        <item>（</item>
      </candidateList>
      <explain>文本全半角错误。</explain>
      <paraID>7A8F5E12</paraID>
      <start>20</start>
      <end>21</end>
      <status>unmodified</status>
      <modifiedWord/>
      <trackRevisions>false</trackRevisions>
    </reviewItem>
    <reviewItem>
      <errorID>6562221e-a4d2-4a3d-ba3e-47ec8e89d3f0</errorID>
      <errorWord>)</errorWord>
      <group>L1_Format</group>
      <groupName>格式问题</groupName>
      <ability>L2_HalfPunc_CN</ability>
      <abilityName>全半角问题</abilityName>
      <candidateList>
        <item>）</item>
      </candidateList>
      <explain>文本全半角错误。</explain>
      <paraID>7A8F5E12</paraID>
      <start>26</start>
      <end>27</end>
      <status>unmodified</status>
      <modifiedWord/>
      <trackRevisions>false</trackRevisions>
    </reviewItem>
    <reviewItem>
      <errorID>ae74651d-aa0b-4344-a0b1-792ee8f1fda0</errorID>
      <errorWord>(</errorWord>
      <group>L1_Format</group>
      <groupName>格式问题</groupName>
      <ability>L2_HalfPunc_CN</ability>
      <abilityName>全半角问题</abilityName>
      <candidateList>
        <item>（</item>
      </candidateList>
      <explain>文本全半角错误。</explain>
      <paraID>459AE83D</paraID>
      <start>2</start>
      <end>3</end>
      <status>unmodified</status>
      <modifiedWord/>
      <trackRevisions>false</trackRevisions>
    </reviewItem>
    <reviewItem>
      <errorID>962040b3-179b-43a6-a239-023a05389653</errorID>
      <errorWord>)</errorWord>
      <group>L1_Format</group>
      <groupName>格式问题</groupName>
      <ability>L2_HalfPunc_CN</ability>
      <abilityName>全半角问题</abilityName>
      <candidateList>
        <item>）</item>
      </candidateList>
      <explain>文本全半角错误。</explain>
      <paraID>459AE83D</paraID>
      <start>8</start>
      <end>9</end>
      <status>unmodified</status>
      <modifiedWord/>
      <trackRevisions>false</trackRevisions>
    </reviewItem>
    <reviewItem>
      <errorID>2b4865fb-d4e6-4a6b-9a6e-243b6ac34736</errorID>
      <errorWord>(</errorWord>
      <group>L1_Format</group>
      <groupName>格式问题</groupName>
      <ability>L2_HalfPunc_CN</ability>
      <abilityName>全半角问题</abilityName>
      <candidateList>
        <item>（</item>
      </candidateList>
      <explain>文本全半角错误。</explain>
      <paraID>459AE83D</paraID>
      <start>13</start>
      <end>14</end>
      <status>unmodified</status>
      <modifiedWord/>
      <trackRevisions>false</trackRevisions>
    </reviewItem>
    <reviewItem>
      <errorID>a10ad221-d8d8-40d3-8365-6cb7b2d684f8</errorID>
      <errorWord>):</errorWord>
      <group>L1_Format</group>
      <groupName>格式问题</groupName>
      <ability>L2_HalfPunc_CN</ability>
      <abilityName>全半角问题</abilityName>
      <candidateList>
        <item>）：</item>
      </candidateList>
      <explain>文本全半角错误。</explain>
      <paraID>459AE83D</paraID>
      <start>26</start>
      <end>28</end>
      <status>unmodified</status>
      <modifiedWord/>
      <trackRevisions>false</trackRevisions>
    </reviewItem>
    <reviewItem>
      <errorID>2104c097-ffa1-48e5-b283-e511bb7e9494</errorID>
      <errorWord>-</errorWord>
      <group>L1_Format</group>
      <groupName>格式问题</groupName>
      <ability>L2_HalfPunc_CN</ability>
      <abilityName>全半角问题</abilityName>
      <candidateList>
        <item>－</item>
      </candidateList>
      <explain>文本全半角错误。</explain>
      <paraID>5C87ABDA</paraID>
      <start>13</start>
      <end>14</end>
      <status>unmodified</status>
      <modifiedWord/>
      <trackRevisions>false</trackRevisions>
    </reviewItem>
    <reviewItem>
      <errorID>b76e74a3-40b5-44b6-909c-30e9f52d580d</errorID>
      <errorWord>-</errorWord>
      <group>L1_Format</group>
      <groupName>格式问题</groupName>
      <ability>L2_HalfPunc_CN</ability>
      <abilityName>全半角问题</abilityName>
      <candidateList>
        <item>－</item>
      </candidateList>
      <explain>文本全半角错误。</explain>
      <paraID>6D820020</paraID>
      <start>13</start>
      <end>14</end>
      <status>unmodified</status>
      <modifiedWord/>
      <trackRevisions>false</trackRevisions>
    </reviewItem>
    <reviewItem>
      <errorID>60623d2c-3959-4a38-b2a4-a2085b06c0bc</errorID>
      <errorWord>(</errorWord>
      <group>L1_Format</group>
      <groupName>格式问题</groupName>
      <ability>L2_HalfPunc_CN</ability>
      <abilityName>全半角问题</abilityName>
      <candidateList>
        <item>（</item>
      </candidateList>
      <explain>文本全半角错误。</explain>
      <paraID>5A33E560</paraID>
      <start>36</start>
      <end>37</end>
      <status>unmodified</status>
      <modifiedWord/>
      <trackRevisions>false</trackRevisions>
    </reviewItem>
    <reviewItem>
      <errorID>b4554810-7fcc-4bfc-897e-7381ead504a8</errorID>
      <errorWord>),</errorWord>
      <group>L1_Format</group>
      <groupName>格式问题</groupName>
      <ability>L2_HalfPunc_CN</ability>
      <abilityName>全半角问题</abilityName>
      <candidateList>
        <item>），</item>
      </candidateList>
      <explain>文本全半角错误。</explain>
      <paraID>5A33E560</paraID>
      <start>52</start>
      <end>54</end>
      <status>unmodified</status>
      <modifiedWord/>
      <trackRevisions>false</trackRevisions>
    </reviewItem>
    <reviewItem>
      <errorID>bcdc4167-c47d-45cf-b0cd-ab79955a2b89</errorID>
      <errorWord>,</errorWord>
      <group>L1_Format</group>
      <groupName>格式问题</groupName>
      <ability>L2_HalfPunc_CN</ability>
      <abilityName>全半角问题</abilityName>
      <candidateList>
        <item>，</item>
      </candidateList>
      <explain>文本全半角错误。</explain>
      <paraID>458B8FA6</paraID>
      <start>11</start>
      <end>12</end>
      <status>unmodified</status>
      <modifiedWord/>
      <trackRevisions>false</trackRevisions>
    </reviewItem>
    <reviewItem>
      <errorID>bd4aa131-72c7-4007-9f15-8eefe2ca6993</errorID>
      <errorWord>,</errorWord>
      <group>L1_Format</group>
      <groupName>格式问题</groupName>
      <ability>L2_HalfPunc_CN</ability>
      <abilityName>全半角问题</abilityName>
      <candidateList>
        <item>，</item>
      </candidateList>
      <explain>文本全半角错误。</explain>
      <paraID>458B8FA6</paraID>
      <start>66</start>
      <end>67</end>
      <status>unmodified</status>
      <modifiedWord/>
      <trackRevisions>false</trackRevisions>
    </reviewItem>
    <reviewItem>
      <errorID>e6e6186e-815c-474d-aa7a-84b20478d853</errorID>
      <errorWord>,</errorWord>
      <group>L1_Format</group>
      <groupName>格式问题</groupName>
      <ability>L2_HalfPunc_CN</ability>
      <abilityName>全半角问题</abilityName>
      <candidateList>
        <item>，</item>
      </candidateList>
      <explain>文本全半角错误。</explain>
      <paraID>458B8FA6</paraID>
      <start>133</start>
      <end>134</end>
      <status>unmodified</status>
      <modifiedWord/>
      <trackRevisions>false</trackRevisions>
    </reviewItem>
    <reviewItem>
      <errorID>18b47224-3bba-4f21-8532-f69961f272d2</errorID>
      <errorWord>:</errorWord>
      <group>L1_Format</group>
      <groupName>格式问题</groupName>
      <ability>L2_HalfPunc_CN</ability>
      <abilityName>全半角问题</abilityName>
      <candidateList>
        <item>：</item>
      </candidateList>
      <explain>文本全半角错误。</explain>
      <paraID>10CE62E4</paraID>
      <start>13</start>
      <end>14</end>
      <status>unmodified</status>
      <modifiedWord/>
      <trackRevisions>false</trackRevisions>
    </reviewItem>
    <reviewItem>
      <errorID>83e7c65d-002f-4c72-9644-1b4e10a50001</errorID>
      <errorWord>(</errorWord>
      <group>L1_Format</group>
      <groupName>格式问题</groupName>
      <ability>L2_HalfPunc_CN</ability>
      <abilityName>全半角问题</abilityName>
      <candidateList>
        <item>（</item>
      </candidateList>
      <explain>文本全半角错误。</explain>
      <paraID>6F6E14FF</paraID>
      <start>8</start>
      <end>9</end>
      <status>unmodified</status>
      <modifiedWord/>
      <trackRevisions>false</trackRevisions>
    </reviewItem>
    <reviewItem>
      <errorID>bc99e467-f02b-4384-a480-a00f96c26361</errorID>
      <errorWord>)</errorWord>
      <group>L1_Format</group>
      <groupName>格式问题</groupName>
      <ability>L2_HalfPunc_CN</ability>
      <abilityName>全半角问题</abilityName>
      <candidateList>
        <item>）</item>
      </candidateList>
      <explain>文本全半角错误。</explain>
      <paraID>6F6E14FF</paraID>
      <start>23</start>
      <end>24</end>
      <status>unmodified</status>
      <modifiedWord/>
      <trackRevisions>false</trackRevisions>
    </reviewItem>
    <reviewItem>
      <errorID>79263ef9-83a0-46b5-9282-166a5fa7be10</errorID>
      <errorWord>(</errorWord>
      <group>L1_Format</group>
      <groupName>格式问题</groupName>
      <ability>L2_HalfPunc_CN</ability>
      <abilityName>全半角问题</abilityName>
      <candidateList>
        <item>（</item>
      </candidateList>
      <explain>文本全半角错误。</explain>
      <paraID>535CBA74</paraID>
      <start>22</start>
      <end>23</end>
      <status>unmodified</status>
      <modifiedWord/>
      <trackRevisions>false</trackRevisions>
    </reviewItem>
    <reviewItem>
      <errorID>bb52b41c-4d8b-478e-a54a-4dd58e4188f3</errorID>
      <errorWord>)</errorWord>
      <group>L1_Format</group>
      <groupName>格式问题</groupName>
      <ability>L2_HalfPunc_CN</ability>
      <abilityName>全半角问题</abilityName>
      <candidateList>
        <item>）</item>
      </candidateList>
      <explain>文本全半角错误。</explain>
      <paraID>535CBA74</paraID>
      <start>32</start>
      <end>33</end>
      <status>unmodified</status>
      <modifiedWord/>
      <trackRevisions>false</trackRevisions>
    </reviewItem>
    <reviewItem>
      <errorID>11e01d8b-5419-4c0a-8079-d275a90254a6</errorID>
      <errorWord>(</errorWord>
      <group>L1_Format</group>
      <groupName>格式问题</groupName>
      <ability>L2_HalfPunc_CN</ability>
      <abilityName>全半角问题</abilityName>
      <candidateList>
        <item>（</item>
      </candidateList>
      <explain>文本全半角错误。</explain>
      <paraID>535CBA74</paraID>
      <start>58</start>
      <end>59</end>
      <status>unmodified</status>
      <modifiedWord/>
      <trackRevisions>false</trackRevisions>
    </reviewItem>
    <reviewItem>
      <errorID>91cab07c-54ab-4a86-8ec3-b852e46b169c</errorID>
      <errorWord>)</errorWord>
      <group>L1_Format</group>
      <groupName>格式问题</groupName>
      <ability>L2_HalfPunc_CN</ability>
      <abilityName>全半角问题</abilityName>
      <candidateList>
        <item>）</item>
      </candidateList>
      <explain>文本全半角错误。</explain>
      <paraID>535CBA74</paraID>
      <start>61</start>
      <end>62</end>
      <status>unmodified</status>
      <modifiedWord/>
      <trackRevisions>false</trackRevisions>
    </reviewItem>
    <reviewItem>
      <errorID>62c9fad9-fcd2-4e7d-9639-2483f68afde9</errorID>
      <errorWord>,</errorWord>
      <group>L1_Format</group>
      <groupName>格式问题</groupName>
      <ability>L2_HalfPunc_CN</ability>
      <abilityName>全半角问题</abilityName>
      <candidateList>
        <item>，</item>
      </candidateList>
      <explain>文本全半角错误。</explain>
      <paraID> FCF6E56</paraID>
      <start>141</start>
      <end>142</end>
      <status>unmodified</status>
      <modifiedWord/>
      <trackRevisions>false</trackRevisions>
    </reviewItem>
    <reviewItem>
      <errorID>6830666f-7505-4abb-b9e2-2d91a1b8e07d</errorID>
      <errorWord>(</errorWord>
      <group>L1_Format</group>
      <groupName>格式问题</groupName>
      <ability>L2_HalfPunc_CN</ability>
      <abilityName>全半角问题</abilityName>
      <candidateList>
        <item>（</item>
      </candidateList>
      <explain>文本全半角错误。</explain>
      <paraID> FCF6E56</paraID>
      <start>183</start>
      <end>184</end>
      <status>unmodified</status>
      <modifiedWord/>
      <trackRevisions>false</trackRevisions>
    </reviewItem>
    <reviewItem>
      <errorID>efb16555-7713-4810-bd78-b3341f078617</errorID>
      <errorWord>)</errorWord>
      <group>L1_Format</group>
      <groupName>格式问题</groupName>
      <ability>L2_HalfPunc_CN</ability>
      <abilityName>全半角问题</abilityName>
      <candidateList>
        <item>）</item>
      </candidateList>
      <explain>文本全半角错误。</explain>
      <paraID> FCF6E56</paraID>
      <start>187</start>
      <end>188</end>
      <status>unmodified</status>
      <modifiedWord/>
      <trackRevisions>false</trackRevisions>
    </reviewItem>
    <reviewItem>
      <errorID>9afbfe11-7a67-4085-a72c-92e4679d6a5f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4CEA80B1</paraID>
      <start>0</start>
      <end>2</end>
      <status>unmodified</status>
      <modifiedWord/>
      <trackRevisions>false</trackRevisions>
    </reviewItem>
    <reviewItem>
      <errorID>fd6394f5-b47b-4840-8bb6-eb2192641e13</errorID>
      <errorWord>(</errorWord>
      <group>L1_Format</group>
      <groupName>格式问题</groupName>
      <ability>L2_HalfPunc_CN</ability>
      <abilityName>全半角问题</abilityName>
      <candidateList>
        <item>（</item>
      </candidateList>
      <explain>文本全半角错误。</explain>
      <paraID>4CEA80B1</paraID>
      <start>28</start>
      <end>29</end>
      <status>unmodified</status>
      <modifiedWord/>
      <trackRevisions>false</trackRevisions>
    </reviewItem>
    <reviewItem>
      <errorID>ea265467-3790-4a48-b768-8840dc0ccca1</errorID>
      <errorWord>)</errorWord>
      <group>L1_Format</group>
      <groupName>格式问题</groupName>
      <ability>L2_HalfPunc_CN</ability>
      <abilityName>全半角问题</abilityName>
      <candidateList>
        <item>）</item>
      </candidateList>
      <explain>文本全半角错误。</explain>
      <paraID>4CEA80B1</paraID>
      <start>39</start>
      <end>40</end>
      <status>unmodified</status>
      <modifiedWord/>
      <trackRevisions>false</trackRevisions>
    </reviewItem>
    <reviewItem>
      <errorID>e5b0d96b-c79f-4c94-a9ea-b6ac68443e49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4CEA80B1</paraID>
      <start>40</start>
      <end>43</end>
      <status>unmodified</status>
      <modifiedWord/>
      <trackRevisions>false</trackRevisions>
    </reviewItem>
    <reviewItem>
      <errorID>83abf798-b119-478c-a8f3-e067413b8f51</errorID>
      <errorWord>云南省长</errorWord>
      <group>L1_Political</group>
      <groupName>政治性问题</groupName>
      <ability>L2_Unpolitical</ability>
      <abilityName>政治敏感错误</abilityName>
      <candidateList>
        <item>云南省省长</item>
      </candidateList>
      <explain/>
      <paraID>4CEA80B1</paraID>
      <start>43</start>
      <end>47</end>
      <status>unmodified</status>
      <modifiedWord/>
      <trackRevisions>false</trackRevisions>
    </reviewItem>
    <reviewItem>
      <errorID>825b8873-e039-4173-9dae-441f3a0a795f</errorID>
      <errorWord>(</errorWord>
      <group>L1_Format</group>
      <groupName>格式问题</groupName>
      <ability>L2_HalfPunc_CN</ability>
      <abilityName>全半角问题</abilityName>
      <candidateList>
        <item>（</item>
      </candidateList>
      <explain>文本全半角错误。</explain>
      <paraID>512416DC</paraID>
      <start>7</start>
      <end>8</end>
      <status>unmodified</status>
      <modifiedWord/>
      <trackRevisions>false</trackRevisions>
    </reviewItem>
    <reviewItem>
      <errorID>ad488512-11de-4975-938c-4e4a4605bcc5</errorID>
      <errorWord>)</errorWord>
      <group>L1_Format</group>
      <groupName>格式问题</groupName>
      <ability>L2_HalfPunc_CN</ability>
      <abilityName>全半角问题</abilityName>
      <candidateList>
        <item>）</item>
      </candidateList>
      <explain>文本全半角错误。</explain>
      <paraID>2D081BD3</paraID>
      <start>1</start>
      <end>2</end>
      <status>unmodified</status>
      <modifiedWord/>
      <trackRevisions>false</trackRevisions>
    </reviewItem>
    <reviewItem>
      <errorID>327825bd-1d58-4e34-856e-eb534ad575ec</errorID>
      <errorWord>(</errorWord>
      <group>L1_Format</group>
      <groupName>格式问题</groupName>
      <ability>L2_HalfPunc_CN</ability>
      <abilityName>全半角问题</abilityName>
      <candidateList>
        <item>（</item>
      </candidateList>
      <explain>文本全半角错误。</explain>
      <paraID>2D081BD3</paraID>
      <start>3</start>
      <end>4</end>
      <status>unmodified</status>
      <modifiedWord/>
      <trackRevisions>false</trackRevisions>
    </reviewItem>
    <reviewItem>
      <errorID>5589d6a4-9dfd-4fe6-943b-a8e2b110d056</errorID>
      <errorWord>)</errorWord>
      <group>L1_Format</group>
      <groupName>格式问题</groupName>
      <ability>L2_HalfPunc_CN</ability>
      <abilityName>全半角问题</abilityName>
      <candidateList>
        <item>）</item>
      </candidateList>
      <explain>文本全半角错误。</explain>
      <paraID>2FEC4C76</paraID>
      <start>10</start>
      <end>11</end>
      <status>unmodified</status>
      <modifiedWord/>
      <trackRevisions>false</trackRevisions>
    </reviewItem>
    <reviewItem>
      <errorID>5f98a1e1-53f5-4c3e-997b-faee3aaa6209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775CB6E6</paraID>
      <start>0</start>
      <end>2</end>
      <status>unmodified</status>
      <modifiedWord/>
      <trackRevisions>false</trackRevisions>
    </reviewItem>
    <reviewItem>
      <errorID>b1106d50-c6b1-4a90-be36-b5b4e6401011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16858F0F</paraID>
      <start>0</start>
      <end>2</end>
      <status>unmodified</status>
      <modifiedWord/>
      <trackRevisions>false</trackRevisions>
    </reviewItem>
    <reviewItem>
      <errorID>3654db9f-7e76-4a89-bfc8-1b0fc57b247e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6978F05</paraID>
      <start>0</start>
      <end>2</end>
      <status>unmodified</status>
      <modifiedWord/>
      <trackRevisions>false</trackRevisions>
    </reviewItem>
    <reviewItem>
      <errorID>edc4dd4d-1678-4f17-82e1-a352a00886b5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41339450</paraID>
      <start>0</start>
      <end>2</end>
      <status>unmodified</status>
      <modifiedWord/>
      <trackRevisions>false</trackRevisions>
    </reviewItem>
    <reviewItem>
      <errorID>6e1aa95e-5fe7-4ce7-8d86-2b3b05f23007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132EF8D0</paraID>
      <start>0</start>
      <end>2</end>
      <status>unmodified</status>
      <modifiedWord/>
      <trackRevisions>false</trackRevisions>
    </reviewItem>
    <reviewItem>
      <errorID>de7eec74-546d-47a9-bce9-79e142896562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358337FE</paraID>
      <start>0</start>
      <end>2</end>
      <status>unmodified</status>
      <modifiedWord/>
      <trackRevisions>false</trackRevisions>
    </reviewItem>
    <reviewItem>
      <errorID>cac9f1e8-1a36-4e39-8c6a-8b1ee901a425</errorID>
      <errorWord>,</errorWord>
      <group>L1_Format</group>
      <groupName>格式问题</groupName>
      <ability>L2_HalfPunc_CN</ability>
      <abilityName>全半角问题</abilityName>
      <candidateList>
        <item>，</item>
      </candidateList>
      <explain>文本全半角错误。</explain>
      <paraID>358337FE</paraID>
      <start>43</start>
      <end>44</end>
      <status>unmodified</status>
      <modifiedWord/>
      <trackRevisions>false</trackRevisions>
    </reviewItem>
    <reviewItem>
      <errorID>c05efdd7-f15e-4a99-ba50-9955f486658e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3354789B</paraID>
      <start>0</start>
      <end>2</end>
      <status>unmodified</status>
      <modifiedWord/>
      <trackRevisions>false</trackRevisions>
    </reviewItem>
    <reviewItem>
      <errorID>4894595b-7152-4621-9118-4815b69243a4</errorID>
      <errorWord>(</errorWord>
      <group>L1_Format</group>
      <groupName>格式问题</groupName>
      <ability>L2_HalfPunc_CN</ability>
      <abilityName>全半角问题</abilityName>
      <candidateList>
        <item>（</item>
      </candidateList>
      <explain>文本全半角错误。</explain>
      <paraID>69BC0215</paraID>
      <start>179</start>
      <end>180</end>
      <status>unmodified</status>
      <modifiedWord/>
      <trackRevisions>false</trackRevisions>
    </reviewItem>
    <reviewItem>
      <errorID>d267e37f-dc29-4d34-84b6-b64a52a495a3</errorID>
      <errorWord>)</errorWord>
      <group>L1_Format</group>
      <groupName>格式问题</groupName>
      <ability>L2_HalfPunc_CN</ability>
      <abilityName>全半角问题</abilityName>
      <candidateList>
        <item>）</item>
      </candidateList>
      <explain>文本全半角错误。</explain>
      <paraID>69BC0215</paraID>
      <start>185</start>
      <end>186</end>
      <status>unmodified</status>
      <modifiedWord/>
      <trackRevisions>false</trackRevisions>
    </reviewItem>
    <reviewItem>
      <errorID>210e1c11-a167-4978-ac37-ddb084392e16</errorID>
      <errorWord>(</errorWord>
      <group>L1_Format</group>
      <groupName>格式问题</groupName>
      <ability>L2_HalfPunc_CN</ability>
      <abilityName>全半角问题</abilityName>
      <candidateList>
        <item>（</item>
      </candidateList>
      <explain>文本全半角错误。</explain>
      <paraID>4603C386</paraID>
      <start>164</start>
      <end>165</end>
      <status>unmodified</status>
      <modifiedWord/>
      <trackRevisions>false</trackRevisions>
    </reviewItem>
    <reviewItem>
      <errorID>dac10945-1c3e-40cc-ac4e-2f2b95a57849</errorID>
      <errorWord>)</errorWord>
      <group>L1_Format</group>
      <groupName>格式问题</groupName>
      <ability>L2_HalfPunc_CN</ability>
      <abilityName>全半角问题</abilityName>
      <candidateList>
        <item>）</item>
      </candidateList>
      <explain>文本全半角错误。</explain>
      <paraID>4603C386</paraID>
      <start>169</start>
      <end>170</end>
      <status>unmodified</status>
      <modifiedWord/>
      <trackRevisions>false</trackRevisions>
    </reviewItem>
    <reviewItem>
      <errorID>84ab86a5-b3de-4bc7-8391-3d0e7d270d1c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2B357FFE</paraID>
      <start>0</start>
      <end>2</end>
      <status>unmodified</status>
      <modifiedWord/>
      <trackRevisions>false</trackRevisions>
    </reviewItem>
    <reviewItem>
      <errorID>5a9f4771-9cd4-4d14-ba41-4ca67002b010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6DCED16F</paraID>
      <start>0</start>
      <end>2</end>
      <status>unmodified</status>
      <modifiedWord/>
      <trackRevisions>false</trackRevisions>
    </reviewItem>
    <reviewItem>
      <errorID>b820b56f-e8b3-4ac6-a3aa-8b45d82af8d6</errorID>
      <errorWord>程</errorWord>
      <group>L1_Word</group>
      <groupName>字词问题</groupName>
      <ability>L2_Typo</ability>
      <abilityName>字词错误</abilityName>
      <candidateList>
        <item>程中</item>
      </candidateList>
      <explain/>
      <paraID>6DCED16F</paraID>
      <start>17</start>
      <end>18</end>
      <status>unmodified</status>
      <modifiedWord/>
      <trackRevisions>false</trackRevisions>
    </reviewItem>
    <reviewItem>
      <errorID>ecb9b7ea-b6f8-4230-8b19-752599e63414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36BD36EC</paraID>
      <start>0</start>
      <end>2</end>
      <status>unmodified</status>
      <modifiedWord/>
      <trackRevisions>false</trackRevisions>
    </reviewItem>
    <reviewItem>
      <errorID>5f981508-33f5-49d8-9745-8991849ef14c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81C981D</paraID>
      <start>0</start>
      <end>2</end>
      <status>unmodified</status>
      <modifiedWord/>
      <trackRevisions>false</trackRevisions>
    </reviewItem>
    <reviewItem>
      <errorID>b965573c-b770-4b76-9bd3-a7ca305094e7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7DDF61EC</paraID>
      <start>0</start>
      <end>2</end>
      <status>unmodified</status>
      <modifiedWord/>
      <trackRevisions>false</trackRevisions>
    </reviewItem>
    <reviewItem>
      <errorID>21d0dec3-1036-4660-9ff8-accf9871cbd7</errorID>
      <errorWord>,</errorWord>
      <group>L1_Format</group>
      <groupName>格式问题</groupName>
      <ability>L2_HalfPunc_CN</ability>
      <abilityName>全半角问题</abilityName>
      <candidateList>
        <item>，</item>
      </candidateList>
      <explain>文本全半角错误。</explain>
      <paraID>7DDF61EC</paraID>
      <start>43</start>
      <end>44</end>
      <status>unmodified</status>
      <modifiedWord/>
      <trackRevisions>false</trackRevisions>
    </reviewItem>
    <reviewItem>
      <errorID>aba0cfc9-0462-4aa0-8889-9f93d912e25d</errorID>
      <errorWord>重</errorWord>
      <group>L1_Word</group>
      <groupName>字词问题</groupName>
      <ability>L2_Typo</ability>
      <abilityName>字词错误</abilityName>
      <candidateList>
        <item>重合</item>
      </candidateList>
      <explain/>
      <paraID>7DDF61EC</paraID>
      <start>65</start>
      <end>66</end>
      <status>unmodified</status>
      <modifiedWord/>
      <trackRevisions>false</trackRevisions>
    </reviewItem>
    <reviewItem>
      <errorID>c1068627-7fa5-42b2-a9f1-3fb235b92ba5</errorID>
      <errorWord>保护 区</errorWord>
      <group>L1_Word</group>
      <groupName>字词问题</groupName>
      <ability>L2_Typo</ability>
      <abilityName>字词错误</abilityName>
      <candidateList>
        <item>保护区</item>
      </candidateList>
      <explain/>
      <paraID>48E40E70</paraID>
      <start>34</start>
      <end>38</end>
      <status>unmodified</status>
      <modifiedWord/>
      <trackRevisions>false</trackRevisions>
    </reviewItem>
    <reviewItem>
      <errorID>7920cc52-0aee-4266-b4d6-6301a7ab6949</errorID>
      <errorWord>民政府</errorWord>
      <group>L1_Political</group>
      <groupName>政治性问题</groupName>
      <ability>L2_Unpolitical</ability>
      <abilityName>政治敏感错误</abilityName>
      <candidateList>
        <item>人民政府</item>
      </candidateList>
      <explain/>
      <paraID>48E40E70</paraID>
      <start>48</start>
      <end>51</end>
      <status>unmodified</status>
      <modifiedWord/>
      <trackRevisions>false</trackRevisions>
    </reviewItem>
    <reviewItem>
      <errorID>e7b5e10e-0a02-469f-81e4-ac775589bf03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299A0EA1</paraID>
      <start>0</start>
      <end>2</end>
      <status>unmodified</status>
      <modifiedWord/>
      <trackRevisions>false</trackRevisions>
    </reviewItem>
    <reviewItem>
      <errorID>e5c9a6b9-76e7-4c71-bacf-5b34f36bec08</errorID>
      <errorWord>(</errorWord>
      <group>L1_Format</group>
      <groupName>格式问题</groupName>
      <ability>L2_HalfPunc_CN</ability>
      <abilityName>全半角问题</abilityName>
      <candidateList>
        <item>（</item>
      </candidateList>
      <explain>文本全半角错误。</explain>
      <paraID>12010C46</paraID>
      <start>17</start>
      <end>18</end>
      <status>unmodified</status>
      <modifiedWord/>
      <trackRevisions>false</trackRevisions>
    </reviewItem>
    <reviewItem>
      <errorID>eb60a05e-e4e4-4fc2-be81-f6eaddbe943b</errorID>
      <errorWord>)</errorWord>
      <group>L1_Format</group>
      <groupName>格式问题</groupName>
      <ability>L2_HalfPunc_CN</ability>
      <abilityName>全半角问题</abilityName>
      <candidateList>
        <item>）</item>
      </candidateList>
      <explain>文本全半角错误。</explain>
      <paraID>12010C46</paraID>
      <start>20</start>
      <end>21</end>
      <status>unmodified</status>
      <modifiedWord/>
      <trackRevisions>false</trackRevisions>
    </reviewItem>
    <reviewItem>
      <errorID>0dfbcca7-de28-4d37-b0b5-f429f75ffc5a</errorID>
      <errorWord>IV类</errorWord>
      <group>L1_Knowledge</group>
      <groupName>知识性问题</groupName>
      <ability>L2_Knowledge</ability>
      <abilityName>其他知识</abilityName>
      <candidateList>
        <item>Ⅳ类</item>
      </candidateList>
      <explain>中文环境下罗马数字格式错误。</explain>
      <paraID>12010C46</paraID>
      <start>166</start>
      <end>169</end>
      <status>unmodified</status>
      <modifiedWord/>
      <trackRevisions>false</trackRevisions>
    </reviewItem>
    <reviewItem>
      <errorID>caf69e6c-a32c-485a-b3f5-ff2b0848d195</errorID>
      <errorWord>(</errorWord>
      <group>L1_Format</group>
      <groupName>格式问题</groupName>
      <ability>L2_HalfPunc_CN</ability>
      <abilityName>全半角问题</abilityName>
      <candidateList>
        <item>（</item>
      </candidateList>
      <explain>文本全半角错误。</explain>
      <paraID>12010C46</paraID>
      <start>171</start>
      <end>172</end>
      <status>unmodified</status>
      <modifiedWord/>
      <trackRevisions>false</trackRevisions>
    </reviewItem>
    <reviewItem>
      <errorID>cfe95c0d-0554-4d55-848c-ddba83eea7c1</errorID>
      <errorWord>,</errorWord>
      <group>L1_Format</group>
      <groupName>格式问题</groupName>
      <ability>L2_HalfPunc_CN</ability>
      <abilityName>全半角问题</abilityName>
      <candidateList>
        <item>，</item>
      </candidateList>
      <explain>文本全半角错误。</explain>
      <paraID>12010C46</paraID>
      <start>183</start>
      <end>184</end>
      <status>unmodified</status>
      <modifiedWord/>
      <trackRevisions>false</trackRevisions>
    </reviewItem>
    <reviewItem>
      <errorID>7d9bdd14-fbeb-4769-98c0-67705c8da7a5</errorID>
      <errorWord>)</errorWord>
      <group>L1_Format</group>
      <groupName>格式问题</groupName>
      <ability>L2_HalfPunc_CN</ability>
      <abilityName>全半角问题</abilityName>
      <candidateList>
        <item>）</item>
      </candidateList>
      <explain>文本全半角错误。</explain>
      <paraID>3A969030</paraID>
      <start>12</start>
      <end>13</end>
      <status>unmodified</status>
      <modifiedWord/>
      <trackRevisions>false</trackRevisions>
    </reviewItem>
    <reviewItem>
      <errorID>75c9605e-e569-4276-989d-488c7dd295be</errorID>
      <errorWord>IV类</errorWord>
      <group>L1_Knowledge</group>
      <groupName>知识性问题</groupName>
      <ability>L2_Knowledge</ability>
      <abilityName>其他知识</abilityName>
      <candidateList>
        <item>Ⅳ类</item>
      </candidateList>
      <explain>中文环境下罗马数字格式错误。</explain>
      <paraID>3A969030</paraID>
      <start>53</start>
      <end>56</end>
      <status>unmodified</status>
      <modifiedWord/>
      <trackRevisions>false</trackRevisions>
    </reviewItem>
    <reviewItem>
      <errorID>b6e87768-888f-4007-b11d-04db45aad4c8</errorID>
      <errorWord>(</errorWord>
      <group>L1_Punc</group>
      <groupName>标点问题</groupName>
      <ability>L2_Punc_CN</ability>
      <abilityName>标点符号问题</abilityName>
      <candidateList/>
      <explain>同一形式括号套用。</explain>
      <paraID>3A969030</paraID>
      <start>59</start>
      <end>60</end>
      <status>unmodified</status>
      <modifiedWord/>
      <trackRevisions>false</trackRevisions>
    </reviewItem>
    <reviewItem>
      <errorID>e3450920-0864-41b4-b636-6ada4f6c3bc5</errorID>
      <errorWord>,</errorWord>
      <group>L1_Format</group>
      <groupName>格式问题</groupName>
      <ability>L2_HalfPunc_CN</ability>
      <abilityName>全半角问题</abilityName>
      <candidateList>
        <item>，</item>
      </candidateList>
      <explain>文本全半角错误。</explain>
      <paraID>3A969030</paraID>
      <start>72</start>
      <end>73</end>
      <status>unmodified</status>
      <modifiedWord/>
      <trackRevisions>false</trackRevisions>
    </reviewItem>
    <reviewItem>
      <errorID>00e5a31c-65c4-46f0-8d0d-f9a8cbd4cbf7</errorID>
      <errorWord>类大肠菌群</errorWord>
      <group>L1_Knowledge</group>
      <groupName>知识性问题</groupName>
      <ability>L2_Term</ability>
      <abilityName>专业术语</abilityName>
      <candidateList>
        <item>粪大肠菌群</item>
      </candidateList>
      <explain/>
      <paraID>3A969030</paraID>
      <start>73</start>
      <end>78</end>
      <status>unmodified</status>
      <modifiedWord/>
      <trackRevisions>false</trackRevisions>
    </reviewItem>
    <reviewItem>
      <errorID>5cc6981e-30ae-4826-9e8b-0a53cd4427f2</errorID>
      <errorWord>)</errorWord>
      <group>L1_Punc</group>
      <groupName>标点问题</groupName>
      <ability>L2_Punc_CN</ability>
      <abilityName>标点符号问题</abilityName>
      <candidateList/>
      <explain>同一形式括号套用。</explain>
      <paraID>3A969030</paraID>
      <start>86</start>
      <end>87</end>
      <status>unmodified</status>
      <modifiedWord/>
      <trackRevisions>false</trackRevisions>
    </reviewItem>
    <reviewItem>
      <errorID>025fb7cc-d60c-4e84-819e-b5839fa26e83</errorID>
      <errorWord>)</errorWord>
      <group>L1_Format</group>
      <groupName>格式问题</groupName>
      <ability>L2_HalfPunc_CN</ability>
      <abilityName>全半角问题</abilityName>
      <candidateList>
        <item>）</item>
      </candidateList>
      <explain>文本全半角错误。</explain>
      <paraID>3A969030</paraID>
      <start>87</start>
      <end>88</end>
      <status>unmodified</status>
      <modifiedWord/>
      <trackRevisions>false</trackRevisions>
    </reviewItem>
    <reviewItem>
      <errorID>7924d9e1-3fba-4640-9d04-63091870ff06</errorID>
      <errorWord>(</errorWord>
      <group>L1_Format</group>
      <groupName>格式问题</groupName>
      <ability>L2_HalfPunc_CN</ability>
      <abilityName>全半角问题</abilityName>
      <candidateList>
        <item>（</item>
      </candidateList>
      <explain>文本全半角错误。</explain>
      <paraID>703BA2C7</paraID>
      <start>3</start>
      <end>4</end>
      <status>unmodified</status>
      <modifiedWord/>
      <trackRevisions>false</trackRevisions>
    </reviewItem>
    <reviewItem>
      <errorID>40c641fd-5bc9-4ff7-bffb-731a308400cc</errorID>
      <errorWord>)</errorWord>
      <group>L1_Format</group>
      <groupName>格式问题</groupName>
      <ability>L2_HalfPunc_CN</ability>
      <abilityName>全半角问题</abilityName>
      <candidateList>
        <item>）</item>
      </candidateList>
      <explain>文本全半角错误。</explain>
      <paraID>703BA2C7</paraID>
      <start>7</start>
      <end>8</end>
      <status>unmodified</status>
      <modifiedWord/>
      <trackRevisions>false</trackRevisions>
    </reviewItem>
    <reviewItem>
      <errorID>27c9f95b-f207-46f2-8a77-40057f59a982</errorID>
      <errorWord>)</errorWord>
      <group>L1_Format</group>
      <groupName>格式问题</groupName>
      <ability>L2_HalfPunc_CN</ability>
      <abilityName>全半角问题</abilityName>
      <candidateList>
        <item>）</item>
      </candidateList>
      <explain>文本全半角错误。</explain>
      <paraID>59A20351</paraID>
      <start>12</start>
      <end>13</end>
      <status>unmodified</status>
      <modifiedWord/>
      <trackRevisions>false</trackRevisions>
    </reviewItem>
    <reviewItem>
      <errorID>51a0dd57-6bac-4e76-a449-023421f75200</errorID>
      <errorWord>;</errorWord>
      <group>L1_Format</group>
      <groupName>格式问题</groupName>
      <ability>L2_HalfPunc_CN</ability>
      <abilityName>全半角问题</abilityName>
      <candidateList>
        <item>；</item>
      </candidateList>
      <explain>文本全半角错误。</explain>
      <paraID>1EDA1B92</paraID>
      <start>110</start>
      <end>111</end>
      <status>unmodified</status>
      <modifiedWord/>
      <trackRevisions>false</trackRevisions>
    </reviewItem>
    <reviewItem>
      <errorID>c2db0dc8-edf5-4b8a-b250-ce243713d219</errorID>
      <errorWord>(</errorWord>
      <group>L1_Format</group>
      <groupName>格式问题</groupName>
      <ability>L2_HalfPunc_CN</ability>
      <abilityName>全半角问题</abilityName>
      <candidateList>
        <item>（</item>
      </candidateList>
      <explain>文本全半角错误。</explain>
      <paraID>1EDA1B92</paraID>
      <start>114</start>
      <end>115</end>
      <status>unmodified</status>
      <modifiedWord/>
      <trackRevisions>false</trackRevisions>
    </reviewItem>
    <reviewItem>
      <errorID>17adc911-3fb0-4e6c-a5cb-ddea59865354</errorID>
      <errorWord>)</errorWord>
      <group>L1_Format</group>
      <groupName>格式问题</groupName>
      <ability>L2_HalfPunc_CN</ability>
      <abilityName>全半角问题</abilityName>
      <candidateList>
        <item>）</item>
      </candidateList>
      <explain>文本全半角错误。</explain>
      <paraID>1EDA1B92</paraID>
      <start>118</start>
      <end>119</end>
      <status>unmodified</status>
      <modifiedWord/>
      <trackRevisions>false</trackRevisions>
    </reviewItem>
    <reviewItem>
      <errorID>fe475444-56c6-4ddb-b6f5-1b452957fb07</errorID>
      <errorWord>。</errorWord>
      <group>L1_Format</group>
      <groupName>格式问题</groupName>
      <ability>L2_HalfPunc_CN</ability>
      <abilityName>全半角问题</abilityName>
      <candidateList>
        <item>.</item>
      </candidateList>
      <explain>文本全半角错误。</explain>
      <paraID>13556D23</paraID>
      <start>2</start>
      <end>3</end>
      <status>unmodified</status>
      <modifiedWord/>
      <trackRevisions>false</trackRevisions>
    </reviewItem>
    <reviewItem>
      <errorID>aa9ffe88-03cd-48ac-9dc8-2dd295254ce2</errorID>
      <errorWord>(</errorWord>
      <group>L1_Format</group>
      <groupName>格式问题</groupName>
      <ability>L2_HalfPunc_CN</ability>
      <abilityName>全半角问题</abilityName>
      <candidateList>
        <item>（</item>
      </candidateList>
      <explain>文本全半角错误。</explain>
      <paraID> 8B98649</paraID>
      <start>17</start>
      <end>18</end>
      <status>unmodified</status>
      <modifiedWord/>
      <trackRevisions>false</trackRevisions>
    </reviewItem>
    <reviewItem>
      <errorID>a0d00c0d-e876-4140-b744-9bd5dde49fa7</errorID>
      <errorWord>);</errorWord>
      <group>L1_Format</group>
      <groupName>格式问题</groupName>
      <ability>L2_HalfPunc_CN</ability>
      <abilityName>全半角问题</abilityName>
      <candidateList>
        <item>）；</item>
      </candidateList>
      <explain>文本全半角错误。</explain>
      <paraID> 8B98649</paraID>
      <start>39</start>
      <end>41</end>
      <status>unmodified</status>
      <modifiedWord/>
      <trackRevisions>false</trackRevisions>
    </reviewItem>
    <reviewItem>
      <errorID>045f34d8-c5b2-4e0e-b174-ca84cef98cff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5B9F64</paraID>
      <start>0</start>
      <end>2</end>
      <status>unmodified</status>
      <modifiedWord/>
      <trackRevisions>false</trackRevisions>
    </reviewItem>
    <reviewItem>
      <errorID>e94146db-af74-48aa-be58-56cf62b6be10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3D90A3F9</paraID>
      <start>0</start>
      <end>2</end>
      <status>unmodified</status>
      <modifiedWord/>
      <trackRevisions>false</trackRevisions>
    </reviewItem>
    <reviewItem>
      <errorID>c948bb68-9ae8-4a6f-9bf2-1a4aacf792b8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58EC4F8E</paraID>
      <start>0</start>
      <end>2</end>
      <status>unmodified</status>
      <modifiedWord/>
      <trackRevisions>false</trackRevisions>
    </reviewItem>
    <reviewItem>
      <errorID>2ccee0e6-4e66-4993-ab5d-62e7a065c194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2C6442D3</paraID>
      <start>0</start>
      <end>3</end>
      <status>unmodified</status>
      <modifiedWord/>
      <trackRevisions>false</trackRevisions>
    </reviewItem>
    <reviewItem>
      <errorID>afda89fb-b9de-45d2-9433-84f18e764e01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50263E7D</paraID>
      <start>0</start>
      <end>3</end>
      <status>unmodified</status>
      <modifiedWord/>
      <trackRevisions>false</trackRevisions>
    </reviewItem>
    <reviewItem>
      <errorID>a4afe2a9-db8e-4707-a6dd-5a4786e29f34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321A9C77</paraID>
      <start>0</start>
      <end>3</end>
      <status>unmodified</status>
      <modifiedWord/>
      <trackRevisions>false</trackRevisions>
    </reviewItem>
    <reviewItem>
      <errorID>024ee335-a3be-491c-ae5c-20895d35b077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1C0C6703</paraID>
      <start>0</start>
      <end>3</end>
      <status>unmodified</status>
      <modifiedWord/>
      <trackRevisions>false</trackRevisions>
    </reviewItem>
    <reviewItem>
      <errorID>c7829bc8-3896-46b5-a997-5fe90b8a1106</errorID>
      <errorWord>(</errorWord>
      <group>L1_Format</group>
      <groupName>格式问题</groupName>
      <ability>L2_HalfPunc_CN</ability>
      <abilityName>全半角问题</abilityName>
      <candidateList>
        <item>（</item>
      </candidateList>
      <explain>文本全半角错误。</explain>
      <paraID>1C0C6703</paraID>
      <start>69</start>
      <end>70</end>
      <status>unmodified</status>
      <modifiedWord/>
      <trackRevisions>false</trackRevisions>
    </reviewItem>
    <reviewItem>
      <errorID>84e3a5ec-69fd-4d14-92ef-88a0c3b072ab</errorID>
      <errorWord>)</errorWord>
      <group>L1_Format</group>
      <groupName>格式问题</groupName>
      <ability>L2_HalfPunc_CN</ability>
      <abilityName>全半角问题</abilityName>
      <candidateList>
        <item>）</item>
      </candidateList>
      <explain>文本全半角错误。</explain>
      <paraID>1C0C6703</paraID>
      <start>93</start>
      <end>94</end>
      <status>unmodified</status>
      <modifiedWord/>
      <trackRevisions>false</trackRevisions>
    </reviewItem>
    <reviewItem>
      <errorID>0ace51b6-16fd-49bb-a036-4d0f3c1aa836</errorID>
      <errorWord>麒沾</errorWord>
      <group>L1_Word</group>
      <groupName>字词问题</groupName>
      <ability>L2_Typo</ability>
      <abilityName>字词错误</abilityName>
      <candidateList>
        <item>麒麟</item>
      </candidateList>
      <explain/>
      <paraID>608B6F0C</paraID>
      <start>57</start>
      <end>59</end>
      <status>unmodified</status>
      <modifiedWord/>
      <trackRevisions>false</trackRevisions>
    </reviewItem>
    <reviewItem>
      <errorID>af04b7da-0420-486b-a5db-89fdadd328d5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5B87F004</paraID>
      <start>0</start>
      <end>2</end>
      <status>unmodified</status>
      <modifiedWord/>
      <trackRevisions>false</trackRevisions>
    </reviewItem>
    <reviewItem>
      <errorID>2d806ee0-36d6-4de1-ab2a-ea3c594d85fe</errorID>
      <errorWord>(</errorWord>
      <group>L1_Format</group>
      <groupName>格式问题</groupName>
      <ability>L2_HalfPunc_CN</ability>
      <abilityName>全半角问题</abilityName>
      <candidateList>
        <item>（</item>
      </candidateList>
      <explain>文本全半角错误。</explain>
      <paraID>5B87F004</paraID>
      <start>16</start>
      <end>17</end>
      <status>unmodified</status>
      <modifiedWord/>
      <trackRevisions>false</trackRevisions>
    </reviewItem>
    <reviewItem>
      <errorID>aa7434ed-065a-44b2-8377-a0d7b2f35913</errorID>
      <errorWord>),</errorWord>
      <group>L1_Format</group>
      <groupName>格式问题</groupName>
      <ability>L2_HalfPunc_CN</ability>
      <abilityName>全半角问题</abilityName>
      <candidateList>
        <item>），</item>
      </candidateList>
      <explain>文本全半角错误。</explain>
      <paraID>5B87F004</paraID>
      <start>27</start>
      <end>29</end>
      <status>unmodified</status>
      <modifiedWord/>
      <trackRevisions>false</trackRevisions>
    </reviewItem>
    <reviewItem>
      <errorID>25f3237a-82ad-4205-8147-09de7a7a2295</errorID>
      <errorWord>(</errorWord>
      <group>L1_Format</group>
      <groupName>格式问题</groupName>
      <ability>L2_HalfPunc_CN</ability>
      <abilityName>全半角问题</abilityName>
      <candidateList>
        <item>（</item>
      </candidateList>
      <explain>文本全半角错误。</explain>
      <paraID>799B2D8B</paraID>
      <start>77</start>
      <end>78</end>
      <status>unmodified</status>
      <modifiedWord/>
      <trackRevisions>false</trackRevisions>
    </reviewItem>
    <reviewItem>
      <errorID>820f643e-cff8-4f57-8a68-293f6e085227</errorID>
      <errorWord>)</errorWord>
      <group>L1_Format</group>
      <groupName>格式问题</groupName>
      <ability>L2_HalfPunc_CN</ability>
      <abilityName>全半角问题</abilityName>
      <candidateList>
        <item>）</item>
      </candidateList>
      <explain>文本全半角错误。</explain>
      <paraID>799B2D8B</paraID>
      <start>79</start>
      <end>80</end>
      <status>unmodified</status>
      <modifiedWord/>
      <trackRevisions>false</trackRevisions>
    </reviewItem>
    <reviewItem>
      <errorID>dc2ce3a9-f5ea-4eaa-b4b0-ea21e6efac2f</errorID>
      <errorWord>(</errorWord>
      <group>L1_Format</group>
      <groupName>格式问题</groupName>
      <ability>L2_HalfPunc_CN</ability>
      <abilityName>全半角问题</abilityName>
      <candidateList>
        <item>（</item>
      </candidateList>
      <explain>文本全半角错误。</explain>
      <paraID>799B2D8B</paraID>
      <start>199</start>
      <end>200</end>
      <status>unmodified</status>
      <modifiedWord/>
      <trackRevisions>false</trackRevisions>
    </reviewItem>
    <reviewItem>
      <errorID>c0ff5221-533d-4aa1-b13f-83c89d8ba47a</errorID>
      <errorWord>)</errorWord>
      <group>L1_Format</group>
      <groupName>格式问题</groupName>
      <ability>L2_HalfPunc_CN</ability>
      <abilityName>全半角问题</abilityName>
      <candidateList>
        <item>）</item>
      </candidateList>
      <explain>文本全半角错误。</explain>
      <paraID>799B2D8B</paraID>
      <start>203</start>
      <end>204</end>
      <status>unmodified</status>
      <modifiedWord/>
      <trackRevisions>false</trackRevisions>
    </reviewItem>
    <reviewItem>
      <errorID>75e87f9d-9eea-48ba-939b-75a152bf0ff4</errorID>
      <errorWord>农产 品</errorWord>
      <group>L1_Word</group>
      <groupName>字词问题</groupName>
      <ability>L2_Typo</ability>
      <abilityName>字词错误</abilityName>
      <candidateList>
        <item>农产品</item>
      </candidateList>
      <explain/>
      <paraID>36C9F858</paraID>
      <start>99</start>
      <end>103</end>
      <status>unmodified</status>
      <modifiedWord/>
      <trackRevisions>false</trackRevisions>
    </reviewItem>
    <reviewItem>
      <errorID>573b3583-97bb-4a94-b38b-41d3f35d842d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63327E4D</paraID>
      <start>0</start>
      <end>2</end>
      <status>unmodified</status>
      <modifiedWord/>
      <trackRevisions>false</trackRevisions>
    </reviewItem>
    <reviewItem>
      <errorID>68144b97-cec4-47b4-923d-34aae8dc9772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27278453</paraID>
      <start>0</start>
      <end>2</end>
      <status>unmodified</status>
      <modifiedWord/>
      <trackRevisions>false</trackRevisions>
    </reviewItem>
    <reviewItem>
      <errorID>259c3703-474c-4801-b0d5-2a5f4c307c4d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74AD0AB2</paraID>
      <start>0</start>
      <end>2</end>
      <status>unmodified</status>
      <modifiedWord/>
      <trackRevisions>false</trackRevisions>
    </reviewItem>
    <reviewItem>
      <errorID>9b645257-6868-41f0-a971-2c73314a55ad</errorID>
      <errorWord>程</errorWord>
      <group>L1_Word</group>
      <groupName>字词问题</groupName>
      <ability>L2_Typo</ability>
      <abilityName>字词错误</abilityName>
      <candidateList>
        <item>程中</item>
      </candidateList>
      <explain/>
      <paraID>74AD0AB2</paraID>
      <start>15</start>
      <end>16</end>
      <status>unmodified</status>
      <modifiedWord/>
      <trackRevisions>false</trackRevisions>
    </reviewItem>
    <reviewItem>
      <errorID>4c64cd29-18bc-4dc0-9f84-7a60d8ab2c7e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366F7474</paraID>
      <start>0</start>
      <end>2</end>
      <status>unmodified</status>
      <modifiedWord/>
      <trackRevisions>false</trackRevisions>
    </reviewItem>
    <reviewItem>
      <errorID>63190b33-b865-4984-b4f7-39088e260942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4C4C9237</paraID>
      <start>0</start>
      <end>2</end>
      <status>unmodified</status>
      <modifiedWord/>
      <trackRevisions>false</trackRevisions>
    </reviewItem>
    <reviewItem>
      <errorID>67f1a0a4-c265-43d3-8aa1-e99f23dbfde5</errorID>
      <errorWord>(</errorWord>
      <group>L1_Format</group>
      <groupName>格式问题</groupName>
      <ability>L2_HalfPunc_CN</ability>
      <abilityName>全半角问题</abilityName>
      <candidateList>
        <item>（</item>
      </candidateList>
      <explain>文本全半角错误。</explain>
      <paraID>4C4C9237</paraID>
      <start>16</start>
      <end>17</end>
      <status>unmodified</status>
      <modifiedWord/>
      <trackRevisions>false</trackRevisions>
    </reviewItem>
    <reviewItem>
      <errorID>48ed6850-212b-4336-a60e-dd9717e9c5ca</errorID>
      <errorWord>),</errorWord>
      <group>L1_Format</group>
      <groupName>格式问题</groupName>
      <ability>L2_HalfPunc_CN</ability>
      <abilityName>全半角问题</abilityName>
      <candidateList>
        <item>），</item>
      </candidateList>
      <explain>文本全半角错误。</explain>
      <paraID>4C4C9237</paraID>
      <start>27</start>
      <end>29</end>
      <status>unmodified</status>
      <modifiedWord/>
      <trackRevisions>false</trackRevisions>
    </reviewItem>
    <reviewItem>
      <errorID>5490cf0c-1376-49a9-acea-4ec74b2c0bef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6BADDB1F</paraID>
      <start>0</start>
      <end>2</end>
      <status>unmodified</status>
      <modifiedWord/>
      <trackRevisions>false</trackRevisions>
    </reviewItem>
    <reviewItem>
      <errorID>5fbc6d0c-3897-40cf-a1f2-336e62a35e1b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4447005C</paraID>
      <start>0</start>
      <end>2</end>
      <status>unmodified</status>
      <modifiedWord/>
      <trackRevisions>false</trackRevisions>
    </reviewItem>
    <reviewItem>
      <errorID>c63ad78a-1aa2-42eb-809b-e3472e1d70ee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33308807</paraID>
      <start>0</start>
      <end>2</end>
      <status>unmodified</status>
      <modifiedWord/>
      <trackRevisions>false</trackRevisions>
    </reviewItem>
    <reviewItem>
      <errorID>6c11b9f0-bfdc-4570-999b-6537138027d1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41D6AB9F</paraID>
      <start>0</start>
      <end>2</end>
      <status>unmodified</status>
      <modifiedWord/>
      <trackRevisions>false</trackRevisions>
    </reviewItem>
    <reviewItem>
      <errorID>4ecd3909-2c9a-4790-bb1e-eb3b1bf66c5c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1D5C2F3D</paraID>
      <start>0</start>
      <end>2</end>
      <status>unmodified</status>
      <modifiedWord/>
      <trackRevisions>false</trackRevisions>
    </reviewItem>
    <reviewItem>
      <errorID>c2ad77b2-370e-472a-a51b-8c64eefc14a6</errorID>
      <errorWord>(</errorWord>
      <group>L1_Format</group>
      <groupName>格式问题</groupName>
      <ability>L2_HalfPunc_CN</ability>
      <abilityName>全半角问题</abilityName>
      <candidateList>
        <item>（</item>
      </candidateList>
      <explain>文本全半角错误。</explain>
      <paraID>1D5C2F3D</paraID>
      <start>92</start>
      <end>93</end>
      <status>unmodified</status>
      <modifiedWord/>
      <trackRevisions>false</trackRevisions>
    </reviewItem>
    <reviewItem>
      <errorID>5ddc2b1f-a0da-4d17-86c3-6f1d1fcdc122</errorID>
      <errorWord>);</errorWord>
      <group>L1_Format</group>
      <groupName>格式问题</groupName>
      <ability>L2_HalfPunc_CN</ability>
      <abilityName>全半角问题</abilityName>
      <candidateList>
        <item>）；</item>
      </candidateList>
      <explain>文本全半角错误。</explain>
      <paraID>1D5C2F3D</paraID>
      <start>114</start>
      <end>116</end>
      <status>unmodified</status>
      <modifiedWord/>
      <trackRevisions>false</trackRevisions>
    </reviewItem>
    <reviewItem>
      <errorID>979e5f96-6ba8-4470-bd70-5d8934dae81b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5D6CCD82</paraID>
      <start>0</start>
      <end>2</end>
      <status>unmodified</status>
      <modifiedWord/>
      <trackRevisions>false</trackRevisions>
    </reviewItem>
    <reviewItem>
      <errorID>3021f1b8-0984-47a3-a5b4-a4f64816b44a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4CDF5EA</paraID>
      <start>0</start>
      <end>2</end>
      <status>unmodified</status>
      <modifiedWord/>
      <trackRevisions>false</trackRevisions>
    </reviewItem>
    <reviewItem>
      <errorID>46ee2d27-47aa-4fe0-8e42-0014cf5956cf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13A734F4</paraID>
      <start>0</start>
      <end>2</end>
      <status>unmodified</status>
      <modifiedWord/>
      <trackRevisions>false</trackRevisions>
    </reviewItem>
    <reviewItem>
      <errorID>75d1d123-28d5-412c-aae4-d3ffc8fa3b31</errorID>
      <errorWord>耕</errorWord>
      <group>L1_Word</group>
      <groupName>字词问题</groupName>
      <ability>L2_Typo</ability>
      <abilityName>字词错误</abilityName>
      <candidateList>
        <item>耕地</item>
      </candidateList>
      <explain/>
      <paraID>13A734F4</paraID>
      <start>9</start>
      <end>10</end>
      <status>unmodified</status>
      <modifiedWord/>
      <trackRevisions>false</trackRevisions>
    </reviewItem>
    <reviewItem>
      <errorID>cb87c0ec-ec2d-457e-a624-ef962210e2fe</errorID>
      <errorWord>(</errorWord>
      <group>L1_Format</group>
      <groupName>格式问题</groupName>
      <ability>L2_HalfPunc_CN</ability>
      <abilityName>全半角问题</abilityName>
      <candidateList>
        <item>（</item>
      </candidateList>
      <explain>文本全半角错误。</explain>
      <paraID>604C9F3D</paraID>
      <start>49</start>
      <end>50</end>
      <status>unmodified</status>
      <modifiedWord/>
      <trackRevisions>false</trackRevisions>
    </reviewItem>
    <reviewItem>
      <errorID>55356a9f-db99-4858-9045-3e464200e5c9</errorID>
      <errorWord>)</errorWord>
      <group>L1_Format</group>
      <groupName>格式问题</groupName>
      <ability>L2_HalfPunc_CN</ability>
      <abilityName>全半角问题</abilityName>
      <candidateList>
        <item>）</item>
      </candidateList>
      <explain>文本全半角错误。</explain>
      <paraID>604C9F3D</paraID>
      <start>51</start>
      <end>52</end>
      <status>unmodified</status>
      <modifiedWord/>
      <trackRevisions>false</trackRevisions>
    </reviewItem>
    <reviewItem>
      <errorID>f89e4f73-d7b0-4420-bd73-2d477260b474</errorID>
      <errorWord>(</errorWord>
      <group>L1_Format</group>
      <groupName>格式问题</groupName>
      <ability>L2_HalfPunc_CN</ability>
      <abilityName>全半角问题</abilityName>
      <candidateList>
        <item>（</item>
      </candidateList>
      <explain>文本全半角错误。</explain>
      <paraID>6C3BF423</paraID>
      <start>6</start>
      <end>7</end>
      <status>unmodified</status>
      <modifiedWord/>
      <trackRevisions>false</trackRevisions>
    </reviewItem>
    <reviewItem>
      <errorID>139d7331-9617-4972-bc27-6750846ce115</errorID>
      <errorWord>)</errorWord>
      <group>L1_Format</group>
      <groupName>格式问题</groupName>
      <ability>L2_HalfPunc_CN</ability>
      <abilityName>全半角问题</abilityName>
      <candidateList>
        <item>）</item>
      </candidateList>
      <explain>文本全半角错误。</explain>
      <paraID>6C3BF423</paraID>
      <start>10</start>
      <end>11</end>
      <status>unmodified</status>
      <modifiedWord/>
      <trackRevisions>false</trackRevisions>
    </reviewItem>
    <reviewItem>
      <errorID>43fa70cb-00ff-4fe5-8132-43c8f0201f1e</errorID>
      <errorWord>,</errorWord>
      <group>L1_Format</group>
      <groupName>格式问题</groupName>
      <ability>L2_HalfPunc_CN</ability>
      <abilityName>全半角问题</abilityName>
      <candidateList>
        <item>，</item>
      </candidateList>
      <explain>文本全半角错误。</explain>
      <paraID>2D120C6C</paraID>
      <start>18</start>
      <end>19</end>
      <status>unmodified</status>
      <modifiedWord/>
      <trackRevisions>false</trackRevisions>
    </reviewItem>
    <reviewItem>
      <errorID>f461c998-9bc9-43c2-bda5-10364f530d26</errorID>
      <errorWord>规模化</errorWord>
      <group>L1_Word</group>
      <groupName>字词问题</groupName>
      <ability>L2_Typo</ability>
      <abilityName>字词错误</abilityName>
      <candidateList>
        <item>规模</item>
      </candidateList>
      <explain/>
      <paraID>7DAA3714</paraID>
      <start>203</start>
      <end>206</end>
      <status>unmodified</status>
      <modifiedWord/>
      <trackRevisions>false</trackRevisions>
    </reviewItem>
    <reviewItem>
      <errorID>7ffa0c71-0092-42e1-91f5-ff4f1060fd8a</errorID>
      <errorWord>,</errorWord>
      <group>L1_Format</group>
      <groupName>格式问题</groupName>
      <ability>L2_HalfPunc_CN</ability>
      <abilityName>全半角问题</abilityName>
      <candidateList>
        <item>，</item>
      </candidateList>
      <explain>文本全半角错误。</explain>
      <paraID>7DAA3714</paraID>
      <start>225</start>
      <end>226</end>
      <status>unmodified</status>
      <modifiedWord/>
      <trackRevisions>false</trackRevisions>
    </reviewItem>
    <reviewItem>
      <errorID>6ec72c42-a901-44a3-950e-9fd4bb956f54</errorID>
      <errorWord>,</errorWord>
      <group>L1_Format</group>
      <groupName>格式问题</groupName>
      <ability>L2_HalfPunc_CN</ability>
      <abilityName>全半角问题</abilityName>
      <candidateList>
        <item>，</item>
      </candidateList>
      <explain>文本全半角错误。</explain>
      <paraID>7AE97A3B</paraID>
      <start>5</start>
      <end>6</end>
      <status>unmodified</status>
      <modifiedWord/>
      <trackRevisions>false</trackRevisions>
    </reviewItem>
    <reviewItem>
      <errorID>9e7a7712-1727-4edf-bcd3-eb2e09bdfb0a</errorID>
      <errorWord>水</errorWord>
      <group>L1_Word</group>
      <groupName>字词问题</groupName>
      <ability>L2_Typo</ability>
      <abilityName>字词错误</abilityName>
      <candidateList>
        <item>水平</item>
      </candidateList>
      <explain/>
      <paraID>7AE97A3B</paraID>
      <start>18</start>
      <end>19</end>
      <status>unmodified</status>
      <modifiedWord/>
      <trackRevisions>false</trackRevisions>
    </reviewItem>
    <reviewItem>
      <errorID>8f149397-2fa3-4e10-9726-5f439b1d6480</errorID>
      <errorWord>(</errorWord>
      <group>L1_Format</group>
      <groupName>格式问题</groupName>
      <ability>L2_HalfPunc_CN</ability>
      <abilityName>全半角问题</abilityName>
      <candidateList>
        <item>（</item>
      </candidateList>
      <explain>文本全半角错误。</explain>
      <paraID>59F32351</paraID>
      <start>36</start>
      <end>37</end>
      <status>unmodified</status>
      <modifiedWord/>
      <trackRevisions>false</trackRevisions>
    </reviewItem>
    <reviewItem>
      <errorID>2ddfa66f-5a7e-45c1-87ca-e1d6356a28ec</errorID>
      <errorWord>)</errorWord>
      <group>L1_Format</group>
      <groupName>格式问题</groupName>
      <ability>L2_HalfPunc_CN</ability>
      <abilityName>全半角问题</abilityName>
      <candidateList>
        <item>）</item>
      </candidateList>
      <explain>文本全半角错误。</explain>
      <paraID>59F32351</paraID>
      <start>54</start>
      <end>55</end>
      <status>unmodified</status>
      <modifiedWord/>
      <trackRevisions>false</trackRevisions>
    </reviewItem>
    <reviewItem>
      <errorID>656adc23-8dbc-4799-bb29-4dd4ff22ccf3</errorID>
      <errorWord>(</errorWord>
      <group>L1_Format</group>
      <groupName>格式问题</groupName>
      <ability>L2_HalfPunc_CN</ability>
      <abilityName>全半角问题</abilityName>
      <candidateList>
        <item>（</item>
      </candidateList>
      <explain>文本全半角错误。</explain>
      <paraID>59F32351</paraID>
      <start>59</start>
      <end>60</end>
      <status>unmodified</status>
      <modifiedWord/>
      <trackRevisions>false</trackRevisions>
    </reviewItem>
    <reviewItem>
      <errorID>bebdaf77-ac12-4a09-be87-aa71a08b69d5</errorID>
      <errorWord>)</errorWord>
      <group>L1_Format</group>
      <groupName>格式问题</groupName>
      <ability>L2_HalfPunc_CN</ability>
      <abilityName>全半角问题</abilityName>
      <candidateList>
        <item>）</item>
      </candidateList>
      <explain>文本全半角错误。</explain>
      <paraID>59F32351</paraID>
      <start>73</start>
      <end>74</end>
      <status>unmodified</status>
      <modifiedWord/>
      <trackRevisions>false</trackRevisions>
    </reviewItem>
    <reviewItem>
      <errorID>f615025a-ec4d-4f81-bcf3-7dfde62ea042</errorID>
      <errorWord>(</errorWord>
      <group>L1_Format</group>
      <groupName>格式问题</groupName>
      <ability>L2_HalfPunc_CN</ability>
      <abilityName>全半角问题</abilityName>
      <candidateList>
        <item>（</item>
      </candidateList>
      <explain>文本全半角错误。</explain>
      <paraID>59F32351</paraID>
      <start>78</start>
      <end>79</end>
      <status>unmodified</status>
      <modifiedWord/>
      <trackRevisions>false</trackRevisions>
    </reviewItem>
    <reviewItem>
      <errorID>22357820-2f8a-404f-ac59-ee8f42fe3607</errorID>
      <errorWord>),</errorWord>
      <group>L1_Format</group>
      <groupName>格式问题</groupName>
      <ability>L2_HalfPunc_CN</ability>
      <abilityName>全半角问题</abilityName>
      <candidateList>
        <item>），</item>
      </candidateList>
      <explain>文本全半角错误。</explain>
      <paraID>59F32351</paraID>
      <start>88</start>
      <end>90</end>
      <status>unmodified</status>
      <modifiedWord/>
      <trackRevisions>false</trackRevisions>
    </reviewItem>
    <reviewItem>
      <errorID>78a83fac-7d83-4451-bdc0-158558fc47d0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52383D77</paraID>
      <start>76</start>
      <end>77</end>
      <status>unmodified</status>
      <modifiedWord/>
      <trackRevisions>false</trackRevisions>
    </reviewItem>
    <reviewItem>
      <errorID>fe8e77d1-18d6-44ac-ba30-dca49d98c8cf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52383D77</paraID>
      <start>94</start>
      <end>95</end>
      <status>unmodified</status>
      <modifiedWord/>
      <trackRevisions>false</trackRevisions>
    </reviewItem>
    <reviewItem>
      <errorID>ba0e2203-fb8e-403b-8597-2ea9463710ab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D8A7F81</paraID>
      <start>0</start>
      <end>2</end>
      <status>unmodified</status>
      <modifiedWord/>
      <trackRevisions>false</trackRevisions>
    </reviewItem>
    <reviewItem>
      <errorID>7c39750a-0aed-48b5-a3ca-49a72eecf318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23207DAA</paraID>
      <start>0</start>
      <end>2</end>
      <status>unmodified</status>
      <modifiedWord/>
      <trackRevisions>false</trackRevisions>
    </reviewItem>
    <reviewItem>
      <errorID>f10d4056-e03c-48ec-842c-1a547d8dcc54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44B65FB2</paraID>
      <start>0</start>
      <end>3</end>
      <status>unmodified</status>
      <modifiedWord/>
      <trackRevisions>false</trackRevisions>
    </reviewItem>
    <reviewItem>
      <errorID>8a80e830-bacd-4662-b97e-ce5b2c00e0d4</errorID>
      <errorWord>(</errorWord>
      <group>L1_Format</group>
      <groupName>格式问题</groupName>
      <ability>L2_HalfPunc_CN</ability>
      <abilityName>全半角问题</abilityName>
      <candidateList>
        <item>（</item>
      </candidateList>
      <explain>文本全半角错误。</explain>
      <paraID>44B65FB2</paraID>
      <start>17</start>
      <end>18</end>
      <status>unmodified</status>
      <modifiedWord/>
      <trackRevisions>false</trackRevisions>
    </reviewItem>
    <reviewItem>
      <errorID>c34128bf-7125-48d7-a0fa-d09672be8031</errorID>
      <errorWord>)</errorWord>
      <group>L1_Format</group>
      <groupName>格式问题</groupName>
      <ability>L2_HalfPunc_CN</ability>
      <abilityName>全半角问题</abilityName>
      <candidateList>
        <item>）</item>
      </candidateList>
      <explain>文本全半角错误。</explain>
      <paraID>44B65FB2</paraID>
      <start>20</start>
      <end>21</end>
      <status>unmodified</status>
      <modifiedWord/>
      <trackRevisions>false</trackRevisions>
    </reviewItem>
    <reviewItem>
      <errorID>f7391866-347c-426e-a5fd-f55127ae2458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590ECE36</paraID>
      <start>0</start>
      <end>3</end>
      <status>unmodified</status>
      <modifiedWord/>
      <trackRevisions>false</trackRevisions>
    </reviewItem>
    <reviewItem>
      <errorID>9a672cc6-9644-4cdf-a6f6-296b5c6e6530</errorID>
      <errorWord>中华人民共和国水污染防治 法</errorWord>
      <group>L1_Knowledge</group>
      <groupName>知识性问题</groupName>
      <ability>L2_Knowledge</ability>
      <abilityName>其他知识</abilityName>
      <candidateList/>
      <explain>当前法律法规未收录或尚未生效，注意核查是否正确。</explain>
      <paraID>3E207DDD</paraID>
      <start>5</start>
      <end>19</end>
      <status>unmodified</status>
      <modifiedWord/>
      <trackRevisions>false</trackRevisions>
    </reviewItem>
    <reviewItem>
      <errorID>b8bd5832-3d17-4d52-8dae-af2373532624</errorID>
      <errorWord>曲靖市集中式 饮用水水源地保护条例</errorWord>
      <group>L1_Knowledge</group>
      <groupName>知识性问题</groupName>
      <ability>L2_Knowledge</ability>
      <abilityName>其他知识</abilityName>
      <candidateList>
        <item>曲靖市集中式饮用水水源地保护条例</item>
      </candidateList>
      <explain>当前法律法规未收录或尚未生效，注意核查是否正确。</explain>
      <paraID>3E207DDD</paraID>
      <start>62</start>
      <end>79</end>
      <status>unmodified</status>
      <modifiedWord/>
      <trackRevisions>false</trackRevisions>
    </reviewItem>
    <reviewItem>
      <errorID>102add10-509b-4bf3-abce-15262cf432cd</errorID>
      <errorWord>云南省曲 靖独木水库保护条例</errorWord>
      <group>L1_Knowledge</group>
      <groupName>知识性问题</groupName>
      <ability>L2_Knowledge</ability>
      <abilityName>其他知识</abilityName>
      <candidateList>
        <item>云南省曲靖独木水库保护条例</item>
      </candidateList>
      <explain>当前法律法规未收录或尚未生效，注意核查是否正确。</explain>
      <paraID>3E207DDD</paraID>
      <start>81</start>
      <end>95</end>
      <status>unmodified</status>
      <modifiedWord/>
      <trackRevisions>false</trackRevisions>
    </reviewItem>
    <reviewItem>
      <errorID>b44cf4f0-b76a-41f5-af89-dcc5f3c269b3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1120FC71</paraID>
      <start>0</start>
      <end>2</end>
      <status>unmodified</status>
      <modifiedWord/>
      <trackRevisions>false</trackRevisions>
    </reviewItem>
    <reviewItem>
      <errorID>57ba3dcb-9e7e-42e6-bc83-3abee996b6ad</errorID>
      <errorWord>。</errorWord>
      <group>L1_Format</group>
      <groupName>格式问题</groupName>
      <ability>L2_HalfPunc_CN</ability>
      <abilityName>全半角问题</abilityName>
      <candidateList>
        <item>.</item>
      </candidateList>
      <explain>文本全半角错误。</explain>
      <paraID>35B074BF</paraID>
      <start>5</start>
      <end>6</end>
      <status>unmodified</status>
      <modifiedWord/>
      <trackRevisions>false</trackRevisions>
    </reviewItem>
    <reviewItem>
      <errorID>566689ff-b08e-447a-9328-7fa00d4aa770</errorID>
      <errorWord>(</errorWord>
      <group>L1_Format</group>
      <groupName>格式问题</groupName>
      <ability>L2_HalfPunc_CN</ability>
      <abilityName>全半角问题</abilityName>
      <candidateList>
        <item>（</item>
      </candidateList>
      <explain>文本全半角错误。</explain>
      <paraID>35B074BF</paraID>
      <start>13</start>
      <end>14</end>
      <status>unmodified</status>
      <modifiedWord/>
      <trackRevisions>false</trackRevisions>
    </reviewItem>
    <reviewItem>
      <errorID>be0b985d-612f-4baf-9e2c-c656b9f20706</errorID>
      <errorWord>)</errorWord>
      <group>L1_Format</group>
      <groupName>格式问题</groupName>
      <ability>L2_HalfPunc_CN</ability>
      <abilityName>全半角问题</abilityName>
      <candidateList>
        <item>）</item>
      </candidateList>
      <explain>文本全半角错误。</explain>
      <paraID>35B074BF</paraID>
      <start>16</start>
      <end>17</end>
      <status>unmodified</status>
      <modifiedWord/>
      <trackRevisions>false</trackRevisions>
    </reviewItem>
    <reviewItem>
      <errorID>ab6ccffd-e561-41b0-a187-f90ad750bbbe</errorID>
      <errorWord>。</errorWord>
      <group>L1_Format</group>
      <groupName>格式问题</groupName>
      <ability>L2_HalfPunc_CN</ability>
      <abilityName>全半角问题</abilityName>
      <candidateList>
        <item>.</item>
      </candidateList>
      <explain>文本全半角错误。</explain>
      <paraID>30071EB4</paraID>
      <start>4</start>
      <end>5</end>
      <status>unmodified</status>
      <modifiedWord/>
      <trackRevisions>false</trackRevisions>
    </reviewItem>
    <reviewItem>
      <errorID>dde10922-96ec-4caf-ab00-2db640e550fc</errorID>
      <errorWord>》</errorWord>
      <group>L1_Word</group>
      <groupName>字词问题</groupName>
      <ability>L2_Typo</ability>
      <abilityName>字词错误</abilityName>
      <candidateList>
        <item>》和</item>
      </candidateList>
      <explain/>
      <paraID>64C4F6F1</paraID>
      <start>12</start>
      <end>13</end>
      <status>unmodified</status>
      <modifiedWord/>
      <trackRevisions>false</trackRevisions>
    </reviewItem>
    <reviewItem>
      <errorID>0c876234-4b37-4f38-b4c8-d163bb06ae61</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41E8AE3C</paraID>
      <start>6</start>
      <end>11</end>
      <status>unmodified</status>
      <modifiedWord/>
      <trackRevisions>false</trackRevisions>
    </reviewItem>
    <reviewItem>
      <errorID>7dcac4d0-fea9-4c2b-8402-5070d974f850</errorID>
      <errorWord>(</errorWord>
      <group>L1_Format</group>
      <groupName>格式问题</groupName>
      <ability>L2_HalfPunc_CN</ability>
      <abilityName>全半角问题</abilityName>
      <candidateList>
        <item>（</item>
      </candidateList>
      <explain>文本全半角错误。</explain>
      <paraID>579553B1</paraID>
      <start>8</start>
      <end>9</end>
      <status>unmodified</status>
      <modifiedWord/>
      <trackRevisions>false</trackRevisions>
    </reviewItem>
    <reviewItem>
      <errorID>462f56a9-84b6-4995-b4c3-262474ef0e13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579553B1</paraID>
      <start>12</start>
      <end>13</end>
      <status>unmodified</status>
      <modifiedWord/>
      <trackRevisions>false</trackRevisions>
    </reviewItem>
    <reviewItem>
      <errorID>4136e8ba-b408-4467-a6d8-d8c1b7ce1738</errorID>
      <errorWord>)</errorWord>
      <group>L1_Format</group>
      <groupName>格式问题</groupName>
      <ability>L2_HalfPunc_CN</ability>
      <abilityName>全半角问题</abilityName>
      <candidateList>
        <item>）</item>
      </candidateList>
      <explain>文本全半角错误。</explain>
      <paraID>579553B1</paraID>
      <start>17</start>
      <end>18</end>
      <status>unmodified</status>
      <modifiedWord/>
      <trackRevisions>false</trackRevisions>
    </reviewItem>
    <reviewItem>
      <errorID>431c2a4b-8e4c-4c87-81f4-a273509f37b7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5663F0AA</paraID>
      <start>4</start>
      <end>5</end>
      <status>unmodified</status>
      <modifiedWord/>
      <trackRevisions>false</trackRevisions>
    </reviewItem>
    <reviewItem>
      <errorID>2989f675-7395-4026-8c83-5d6b6631f1f6</errorID>
      <errorWord>(</errorWord>
      <group>L1_Format</group>
      <groupName>格式问题</groupName>
      <ability>L2_HalfPunc_CN</ability>
      <abilityName>全半角问题</abilityName>
      <candidateList>
        <item>（</item>
      </candidateList>
      <explain>文本全半角错误。</explain>
      <paraID>3C8FFF5B</paraID>
      <start>8</start>
      <end>9</end>
      <status>unmodified</status>
      <modifiedWord/>
      <trackRevisions>false</trackRevisions>
    </reviewItem>
    <reviewItem>
      <errorID>ee15ba84-4d67-467f-a380-59e80306a2f7</errorID>
      <errorWord>)</errorWord>
      <group>L1_Format</group>
      <groupName>格式问题</groupName>
      <ability>L2_HalfPunc_CN</ability>
      <abilityName>全半角问题</abilityName>
      <candidateList>
        <item>）</item>
      </candidateList>
      <explain>文本全半角错误。</explain>
      <paraID> 1081308</paraID>
      <start>1</start>
      <end>2</end>
      <status>unmodified</status>
      <modifiedWord/>
      <trackRevisions>false</trackRevisions>
    </reviewItem>
    <reviewItem>
      <errorID>f531c719-08ec-4235-be21-0f0dad06802f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6E4B4E53</paraID>
      <start>0</start>
      <end>2</end>
      <status>unmodified</status>
      <modifiedWord/>
      <trackRevisions>false</trackRevisions>
    </reviewItem>
    <reviewItem>
      <errorID>c94c2532-e7c3-40b6-8543-44fdf9c8c725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330600DF</paraID>
      <start>0</start>
      <end>2</end>
      <status>unmodified</status>
      <modifiedWord/>
      <trackRevisions>false</trackRevisions>
    </reviewItem>
    <reviewItem>
      <errorID>778d424a-de22-43bf-852c-8bcd4f60f833</errorID>
      <errorWord>(</errorWord>
      <group>L1_Format</group>
      <groupName>格式问题</groupName>
      <ability>L2_HalfPunc_CN</ability>
      <abilityName>全半角问题</abilityName>
      <candidateList>
        <item>（</item>
      </candidateList>
      <explain>文本全半角错误。</explain>
      <paraID>7CD18857</paraID>
      <start>0</start>
      <end>1</end>
      <status>unmodified</status>
      <modifiedWord/>
      <trackRevisions>false</trackRevisions>
    </reviewItem>
    <reviewItem>
      <errorID>83b052b2-bfe1-4f09-a7d5-b300b5a805e5</errorID>
      <errorWord>)</errorWord>
      <group>L1_Format</group>
      <groupName>格式问题</groupName>
      <ability>L2_HalfPunc_CN</ability>
      <abilityName>全半角问题</abilityName>
      <candidateList>
        <item>）</item>
      </candidateList>
      <explain>文本全半角错误。</explain>
      <paraID>7CD18857</paraID>
      <start>14</start>
      <end>15</end>
      <status>unmodified</status>
      <modifiedWord/>
      <trackRevisions>false</trackRevisions>
    </reviewItem>
    <reviewItem>
      <errorID>e3990c12-e59c-46c9-9215-e397416c1faf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63C5951F</paraID>
      <start>3</start>
      <end>4</end>
      <status>unmodified</status>
      <modifiedWord/>
      <trackRevisions>false</trackRevisions>
    </reviewItem>
    <reviewItem>
      <errorID>4a4b2483-dbd2-45c6-87f3-1fbbf3647a3b</errorID>
      <errorWord>&gt;的通知》</errorWord>
      <group>L1_Punc</group>
      <groupName>标点问题</groupName>
      <ability>L2_Punc_CN</ability>
      <abilityName>标点符号问题</abilityName>
      <candidateList>
        <item>〉的通知》</item>
      </candidateList>
      <explain/>
      <paraID>4D6DA01E</paraID>
      <start>1</start>
      <end>6</end>
      <status>unmodified</status>
      <modifiedWord/>
      <trackRevisions>false</trackRevisions>
    </reviewItem>
    <reviewItem>
      <errorID>f49f26ff-3800-46d2-ad55-e4bc7dd6fe9b</errorID>
      <errorWord>(</errorWord>
      <group>L1_Format</group>
      <groupName>格式问题</groupName>
      <ability>L2_HalfPunc_CN</ability>
      <abilityName>全半角问题</abilityName>
      <candidateList>
        <item>（</item>
      </candidateList>
      <explain>文本全半角错误。</explain>
      <paraID>4D6DA01E</paraID>
      <start>6</start>
      <end>7</end>
      <status>unmodified</status>
      <modifiedWord/>
      <trackRevisions>false</trackRevisions>
    </reviewItem>
    <reviewItem>
      <errorID>3b93912a-5828-44d1-be69-924cc362505b</errorID>
      <errorWord>)</errorWord>
      <group>L1_Format</group>
      <groupName>格式问题</groupName>
      <ability>L2_HalfPunc_CN</ability>
      <abilityName>全半角问题</abilityName>
      <candidateList>
        <item>）</item>
      </candidateList>
      <explain>文本全半角错误。</explain>
      <paraID>29E9B336</paraID>
      <start>1</start>
      <end>2</end>
      <status>unmodified</status>
      <modifiedWord/>
      <trackRevisions>false</trackRevisions>
    </reviewItem>
    <reviewItem>
      <errorID>13283a28-f4db-4112-bf31-bb02eac29264</errorID>
      <errorWord>(</errorWord>
      <group>L1_Format</group>
      <groupName>格式问题</groupName>
      <ability>L2_HalfPunc_CN</ability>
      <abilityName>全半角问题</abilityName>
      <candidateList>
        <item>（</item>
      </candidateList>
      <explain>文本全半角错误。</explain>
      <paraID>1C0BEBDD</paraID>
      <start>4</start>
      <end>5</end>
      <status>unmodified</status>
      <modifiedWord/>
      <trackRevisions>false</trackRevisions>
    </reviewItem>
    <reviewItem>
      <errorID>5346dac8-ec48-4858-8da4-f47ecc06dbe1</errorID>
      <errorWord>),</errorWord>
      <group>L1_Format</group>
      <groupName>格式问题</groupName>
      <ability>L2_HalfPunc_CN</ability>
      <abilityName>全半角问题</abilityName>
      <candidateList>
        <item>），</item>
      </candidateList>
      <explain>文本全半角错误。</explain>
      <paraID>4510EA66</paraID>
      <start>1</start>
      <end>3</end>
      <status>unmodified</status>
      <modifiedWord/>
      <trackRevisions>false</trackRevisions>
    </reviewItem>
    <reviewItem>
      <errorID>7656bc48-8f51-4325-a9c2-31a5f579d8d3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34210A83</paraID>
      <start>0</start>
      <end>2</end>
      <status>unmodified</status>
      <modifiedWord/>
      <trackRevisions>false</trackRevisions>
    </reviewItem>
    <reviewItem>
      <errorID>d2c188e7-ab11-4d0f-8e47-8b48a82e9d31</errorID>
      <errorWord>;</errorWord>
      <group>L1_Format</group>
      <groupName>格式问题</groupName>
      <ability>L2_HalfPunc_CN</ability>
      <abilityName>全半角问题</abilityName>
      <candidateList>
        <item>；</item>
      </candidateList>
      <explain>文本全半角错误。</explain>
      <paraID>34210A83</paraID>
      <start>42</start>
      <end>43</end>
      <status>unmodified</status>
      <modifiedWord/>
      <trackRevisions>false</trackRevisions>
    </reviewItem>
    <reviewItem>
      <errorID>ee180555-9ab8-4d54-afcf-a9194488e957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6969E7BF</paraID>
      <start>0</start>
      <end>2</end>
      <status>unmodified</status>
      <modifiedWord/>
      <trackRevisions>false</trackRevisions>
    </reviewItem>
    <reviewItem>
      <errorID>72014d07-e0e6-4702-b1b9-7bb7c68e307d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4265344C</paraID>
      <start>0</start>
      <end>2</end>
      <status>unmodified</status>
      <modifiedWord/>
      <trackRevisions>false</trackRevisions>
    </reviewItem>
    <reviewItem>
      <errorID>333623e1-e3ec-4d5b-a6f8-77b48ca3ef5f</errorID>
      <errorWord>(</errorWord>
      <group>L1_Format</group>
      <groupName>格式问题</groupName>
      <ability>L2_HalfPunc_CN</ability>
      <abilityName>全半角问题</abilityName>
      <candidateList>
        <item>（</item>
      </candidateList>
      <explain>文本全半角错误。</explain>
      <paraID>6FAAC393</paraID>
      <start>8</start>
      <end>9</end>
      <status>unmodified</status>
      <modifiedWord/>
      <trackRevisions>false</trackRevisions>
    </reviewItem>
    <reviewItem>
      <errorID>71ee3832-810e-424d-8ea9-9ac245948948</errorID>
      <errorWord>)</errorWord>
      <group>L1_Format</group>
      <groupName>格式问题</groupName>
      <ability>L2_HalfPunc_CN</ability>
      <abilityName>全半角问题</abilityName>
      <candidateList>
        <item>）</item>
      </candidateList>
      <explain>文本全半角错误。</explain>
      <paraID>6FAAC393</paraID>
      <start>28</start>
      <end>29</end>
      <status>unmodified</status>
      <modifiedWord/>
      <trackRevisions>false</trackRevisions>
    </reviewItem>
    <reviewItem>
      <errorID>8c20681f-d980-41e5-b367-11d557dd9b87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55201612</paraID>
      <start>0</start>
      <end>2</end>
      <status>unmodified</status>
      <modifiedWord/>
      <trackRevisions>false</trackRevisions>
    </reviewItem>
    <reviewItem>
      <errorID>228776f9-64b2-4919-bf64-7aca9df74d01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6EB59AE3</paraID>
      <start>0</start>
      <end>2</end>
      <status>unmodified</status>
      <modifiedWord/>
      <trackRevisions>false</trackRevisions>
    </reviewItem>
    <reviewItem>
      <errorID>8a7d1d42-0056-4556-8435-6e0fd3307cdc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6A03623D</paraID>
      <start>0</start>
      <end>2</end>
      <status>unmodified</status>
      <modifiedWord/>
      <trackRevisions>false</trackRevisions>
    </reviewItem>
    <reviewItem>
      <errorID>60a08512-3676-439a-ae54-97666b2eb016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1ED72A88</paraID>
      <start>0</start>
      <end>2</end>
      <status>unmodified</status>
      <modifiedWord/>
      <trackRevisions>false</trackRevisions>
    </reviewItem>
    <reviewItem>
      <errorID>d04e2083-39d6-48c2-99e9-6175369061c6</errorID>
      <errorWord>(</errorWord>
      <group>L1_Format</group>
      <groupName>格式问题</groupName>
      <ability>L2_HalfPunc_CN</ability>
      <abilityName>全半角问题</abilityName>
      <candidateList>
        <item>（</item>
      </candidateList>
      <explain>文本全半角错误。</explain>
      <paraID>1ED72A88</paraID>
      <start>16</start>
      <end>17</end>
      <status>unmodified</status>
      <modifiedWord/>
      <trackRevisions>false</trackRevisions>
    </reviewItem>
    <reviewItem>
      <errorID>8a24e5d4-f8d3-484c-869f-c6e668c3e192</errorID>
      <errorWord>),</errorWord>
      <group>L1_Format</group>
      <groupName>格式问题</groupName>
      <ability>L2_HalfPunc_CN</ability>
      <abilityName>全半角问题</abilityName>
      <candidateList>
        <item>），</item>
      </candidateList>
      <explain>文本全半角错误。</explain>
      <paraID>1ED72A88</paraID>
      <start>26</start>
      <end>28</end>
      <status>unmodified</status>
      <modifiedWord/>
      <trackRevisions>false</trackRevisions>
    </reviewItem>
    <reviewItem>
      <errorID>0d7161df-a066-4aa1-8a6f-9db8ceaf9d1f</errorID>
      <errorWord>利</errorWord>
      <group>L1_Word</group>
      <groupName>字词问题</groupName>
      <ability>L2_Typo</ability>
      <abilityName>字词错误</abilityName>
      <candidateList>
        <item>利用</item>
      </candidateList>
      <explain/>
      <paraID>3B3FC4A2</paraID>
      <start>15</start>
      <end>16</end>
      <status>unmodified</status>
      <modifiedWord/>
      <trackRevisions>false</trackRevisions>
    </reviewItem>
    <reviewItem>
      <errorID>a7f46633-f9b1-4f03-a9cc-ec8771e7ee55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3D1288DD</paraID>
      <start>0</start>
      <end>2</end>
      <status>unmodified</status>
      <modifiedWord/>
      <trackRevisions>false</trackRevisions>
    </reviewItem>
    <reviewItem>
      <errorID>56e16ad7-169b-4299-bbf3-4b7f14b73ee9</errorID>
      <errorWord>项</errorWord>
      <group>L1_Word</group>
      <groupName>字词问题</groupName>
      <ability>L2_Typo</ability>
      <abilityName>字词错误</abilityName>
      <candidateList>
        <item>项目</item>
      </candidateList>
      <explain/>
      <paraID>3D1288DD</paraID>
      <start>13</start>
      <end>14</end>
      <status>unmodified</status>
      <modifiedWord/>
      <trackRevisions>false</trackRevisions>
    </reviewItem>
    <reviewItem>
      <errorID>efff16fe-2ff4-45a5-97ee-f0dfdf2af7e8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7BA322B5</paraID>
      <start>0</start>
      <end>2</end>
      <status>unmodified</status>
      <modifiedWord/>
      <trackRevisions>false</trackRevisions>
    </reviewItem>
    <reviewItem>
      <errorID>3e5f0cb4-6fdd-4bcb-83ff-65e460a90903</errorID>
      <errorWord>(</errorWord>
      <group>L1_Format</group>
      <groupName>格式问题</groupName>
      <ability>L2_HalfPunc_CN</ability>
      <abilityName>全半角问题</abilityName>
      <candidateList>
        <item>（</item>
      </candidateList>
      <explain>文本全半角错误。</explain>
      <paraID>78E0B1F9</paraID>
      <start>28</start>
      <end>29</end>
      <status>unmodified</status>
      <modifiedWord/>
      <trackRevisions>false</trackRevisions>
    </reviewItem>
    <reviewItem>
      <errorID>34c13100-e4b6-4765-879a-65f263743dcf</errorID>
      <errorWord>)</errorWord>
      <group>L1_Format</group>
      <groupName>格式问题</groupName>
      <ability>L2_HalfPunc_CN</ability>
      <abilityName>全半角问题</abilityName>
      <candidateList>
        <item>）</item>
      </candidateList>
      <explain>文本全半角错误。</explain>
      <paraID>78E0B1F9</paraID>
      <start>35</start>
      <end>36</end>
      <status>unmodified</status>
      <modifiedWord/>
      <trackRevisions>false</trackRevisions>
    </reviewItem>
    <reviewItem>
      <errorID>93ddaad2-63a1-4063-a7c4-0d98ab17cede</errorID>
      <errorWord>:</errorWord>
      <group>L1_Format</group>
      <groupName>格式问题</groupName>
      <ability>L2_HalfPunc_CN</ability>
      <abilityName>全半角问题</abilityName>
      <candidateList>
        <item>：</item>
      </candidateList>
      <explain>文本全半角错误。</explain>
      <paraID>36562109</paraID>
      <start>15</start>
      <end>16</end>
      <status>unmodified</status>
      <modifiedWord/>
      <trackRevisions>false</trackRevisions>
    </reviewItem>
    <reviewItem>
      <errorID>5481e5ec-2750-48c4-92a2-37aee6c3bca9</errorID>
      <errorWord>的</errorWord>
      <group>L1_Word</group>
      <groupName>字词问题</groupName>
      <ability>L2_DDD</ability>
      <abilityName>的地得用法</abilityName>
      <candidateList>
        <item>地</item>
      </candidateList>
      <explain/>
      <paraID>2BBB34FC</paraID>
      <start>167</start>
      <end>168</end>
      <status>unmodified</status>
      <modifiedWord/>
      <trackRevisions>false</trackRevisions>
    </reviewItem>
    <reviewItem>
      <errorID>a795abb5-51b5-413f-8962-70344e3ea4ce</errorID>
      <errorWord>(</errorWord>
      <group>L1_Format</group>
      <groupName>格式问题</groupName>
      <ability>L2_HalfPunc_CN</ability>
      <abilityName>全半角问题</abilityName>
      <candidateList>
        <item>（</item>
      </candidateList>
      <explain>文本全半角错误。</explain>
      <paraID>23F9DCF7</paraID>
      <start>22</start>
      <end>23</end>
      <status>unmodified</status>
      <modifiedWord/>
      <trackRevisions>false</trackRevisions>
    </reviewItem>
    <reviewItem>
      <errorID>df7c4aef-87e7-42c8-a29c-872ca406696b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23F9DCF7</paraID>
      <start>27</start>
      <end>28</end>
      <status>unmodified</status>
      <modifiedWord/>
      <trackRevisions>false</trackRevisions>
    </reviewItem>
    <reviewItem>
      <errorID>bed33c94-fd63-40f0-9a94-41fe804f847a</errorID>
      <errorWord>)</errorWord>
      <group>L1_Format</group>
      <groupName>格式问题</groupName>
      <ability>L2_HalfPunc_CN</ability>
      <abilityName>全半角问题</abilityName>
      <candidateList>
        <item>）</item>
      </candidateList>
      <explain>文本全半角错误。</explain>
      <paraID>23F9DCF7</paraID>
      <start>33</start>
      <end>34</end>
      <status>unmodified</status>
      <modifiedWord/>
      <trackRevisions>false</trackRevisions>
    </reviewItem>
    <reviewItem>
      <errorID>614c8511-c16c-431b-9980-18111b026c27</errorID>
      <errorWord>(</errorWord>
      <group>L1_Format</group>
      <groupName>格式问题</groupName>
      <ability>L2_HalfPunc_CN</ability>
      <abilityName>全半角问题</abilityName>
      <candidateList>
        <item>（</item>
      </candidateList>
      <explain>文本全半角错误。</explain>
      <paraID>  327C94</paraID>
      <start>20</start>
      <end>21</end>
      <status>unmodified</status>
      <modifiedWord/>
      <trackRevisions>false</trackRevisions>
    </reviewItem>
    <reviewItem>
      <errorID>9faa8ed7-38c1-4dc8-970e-f19e6078627c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327C94</paraID>
      <start>25</start>
      <end>26</end>
      <status>unmodified</status>
      <modifiedWord/>
      <trackRevisions>false</trackRevisions>
    </reviewItem>
    <reviewItem>
      <errorID>e78e5e98-e55c-4acc-b909-b744c5e1d257</errorID>
      <errorWord>)</errorWord>
      <group>L1_Format</group>
      <groupName>格式问题</groupName>
      <ability>L2_HalfPunc_CN</ability>
      <abilityName>全半角问题</abilityName>
      <candidateList>
        <item>）</item>
      </candidateList>
      <explain>文本全半角错误。</explain>
      <paraID>  327C94</paraID>
      <start>31</start>
      <end>32</end>
      <status>unmodified</status>
      <modifiedWord/>
      <trackRevisions>false</trackRevisions>
    </reviewItem>
    <reviewItem>
      <errorID>1652a57d-1cfc-4f63-8acc-8456e327c5ea</errorID>
      <errorWord>,</errorWord>
      <group>L1_Format</group>
      <groupName>格式问题</groupName>
      <ability>L2_HalfPunc_CN</ability>
      <abilityName>全半角问题</abilityName>
      <candidateList>
        <item>，</item>
      </candidateList>
      <explain>文本全半角错误。</explain>
      <paraID>  327C94</paraID>
      <start>33</start>
      <end>34</end>
      <status>unmodified</status>
      <modifiedWord/>
      <trackRevisions>false</trackRevisions>
    </reviewItem>
    <reviewItem>
      <errorID>0e56ea9e-7279-48be-9a51-747d706c67df</errorID>
      <errorWord>(</errorWord>
      <group>L1_Format</group>
      <groupName>格式问题</groupName>
      <ability>L2_HalfPunc_CN</ability>
      <abilityName>全半角问题</abilityName>
      <candidateList>
        <item>（</item>
      </candidateList>
      <explain>文本全半角错误。</explain>
      <paraID>28E58CCD</paraID>
      <start>231</start>
      <end>232</end>
      <status>unmodified</status>
      <modifiedWord/>
      <trackRevisions>false</trackRevisions>
    </reviewItem>
    <reviewItem>
      <errorID>c7efd946-2dc3-46b2-9c49-27fcf27ffde7</errorID>
      <errorWord>)</errorWord>
      <group>L1_Format</group>
      <groupName>格式问题</groupName>
      <ability>L2_HalfPunc_CN</ability>
      <abilityName>全半角问题</abilityName>
      <candidateList>
        <item>）</item>
      </candidateList>
      <explain>文本全半角错误。</explain>
      <paraID>28E58CCD</paraID>
      <start>233</start>
      <end>234</end>
      <status>unmodified</status>
      <modifiedWord/>
      <trackRevisions>false</trackRevisions>
    </reviewItem>
    <reviewItem>
      <errorID>b7571cd1-e5e8-4145-81af-a4553f01eae8</errorID>
      <errorWord>,</errorWord>
      <group>L1_Format</group>
      <groupName>格式问题</groupName>
      <ability>L2_HalfPunc_CN</ability>
      <abilityName>全半角问题</abilityName>
      <candidateList>
        <item>，</item>
      </candidateList>
      <explain>文本全半角错误。</explain>
      <paraID>28E58CCD</paraID>
      <start>247</start>
      <end>248</end>
      <status>unmodified</status>
      <modifiedWord/>
      <trackRevisions>false</trackRevisions>
    </reviewItem>
    <reviewItem>
      <errorID>eb5a96d4-d858-4575-b8d1-a6378f0309af</errorID>
      <errorWord>,</errorWord>
      <group>L1_Format</group>
      <groupName>格式问题</groupName>
      <ability>L2_HalfPunc_CN</ability>
      <abilityName>全半角问题</abilityName>
      <candidateList>
        <item>，</item>
      </candidateList>
      <explain>文本全半角错误。</explain>
      <paraID>28E58CCD</paraID>
      <start>262</start>
      <end>263</end>
      <status>unmodified</status>
      <modifiedWord/>
      <trackRevisions>false</trackRevisions>
    </reviewItem>
    <reviewItem>
      <errorID>47da4249-c1b1-485b-bfe3-1193a5fc1e6d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3093D2AC</paraID>
      <start>5</start>
      <end>6</end>
      <status>unmodified</status>
      <modifiedWord/>
      <trackRevisions>false</trackRevisions>
    </reviewItem>
    <reviewItem>
      <errorID>85055374-9d4d-4bdc-89f5-e22e27b5f2c3</errorID>
      <errorWord>)</errorWord>
      <group>L1_Format</group>
      <groupName>格式问题</groupName>
      <ability>L2_HalfPunc_CN</ability>
      <abilityName>全半角问题</abilityName>
      <candidateList>
        <item>）</item>
      </candidateList>
      <explain>文本全半角错误。</explain>
      <paraID>3093D2AC</paraID>
      <start>11</start>
      <end>12</end>
      <status>unmodified</status>
      <modifiedWord/>
      <trackRevisions>false</trackRevisions>
    </reviewItem>
    <reviewItem>
      <errorID>e5654e0e-957f-4bfa-a272-35f9bfa01b8f</errorID>
      <errorWord>)</errorWord>
      <group>L1_Format</group>
      <groupName>格式问题</groupName>
      <ability>L2_HalfPunc_CN</ability>
      <abilityName>全半角问题</abilityName>
      <candidateList>
        <item>）</item>
      </candidateList>
      <explain>文本全半角错误。</explain>
      <paraID>54ACAB2D</paraID>
      <start>10</start>
      <end>11</end>
      <status>unmodified</status>
      <modifiedWord/>
      <trackRevisions>false</trackRevisions>
    </reviewItem>
    <reviewItem>
      <errorID>abd56455-f339-46b2-878f-8c1944646bae</errorID>
      <errorWord>(</errorWord>
      <group>L1_Format</group>
      <groupName>格式问题</groupName>
      <ability>L2_HalfPunc_CN</ability>
      <abilityName>全半角问题</abilityName>
      <candidateList>
        <item>（</item>
      </candidateList>
      <explain>文本全半角错误。</explain>
      <paraID>54ACAB2D</paraID>
      <start>92</start>
      <end>93</end>
      <status>unmodified</status>
      <modifiedWord/>
      <trackRevisions>false</trackRevisions>
    </reviewItem>
    <reviewItem>
      <errorID>6160a785-37ec-4a17-854b-7dcb63afd519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54ACAB2D</paraID>
      <start>97</start>
      <end>98</end>
      <status>unmodified</status>
      <modifiedWord/>
      <trackRevisions>false</trackRevisions>
    </reviewItem>
    <reviewItem>
      <errorID>ec12bf22-6c1f-4a60-a1a8-a11e85cdd4be</errorID>
      <errorWord>)</errorWord>
      <group>L1_Format</group>
      <groupName>格式问题</groupName>
      <ability>L2_HalfPunc_CN</ability>
      <abilityName>全半角问题</abilityName>
      <candidateList>
        <item>）</item>
      </candidateList>
      <explain>文本全半角错误。</explain>
      <paraID>54ACAB2D</paraID>
      <start>103</start>
      <end>104</end>
      <status>unmodified</status>
      <modifiedWord/>
      <trackRevisions>false</trackRevisions>
    </reviewItem>
    <reviewItem>
      <errorID>1aee728a-f566-4d31-88c5-5d938a7c66cb</errorID>
      <errorWord>生 物多样性保护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 物多样性保护”是否存在不当。</explain>
      <paraID>54ACAB2D</paraID>
      <start>107</start>
      <end>115</end>
      <status>unmodified</status>
      <modifiedWord/>
      <trackRevisions>false</trackRevisions>
    </reviewItem>
    <reviewItem>
      <errorID>279b36ee-783e-4dc2-baa1-84f416431d53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2BDDB999</paraID>
      <start>43</start>
      <end>44</end>
      <status>unmodified</status>
      <modifiedWord/>
      <trackRevisions>false</trackRevisions>
    </reviewItem>
    <reviewItem>
      <errorID>26e6c537-3443-432e-83e7-7f1f30294783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2BDDB999</paraID>
      <start>61</start>
      <end>62</end>
      <status>unmodified</status>
      <modifiedWord/>
      <trackRevisions>false</trackRevisions>
    </reviewItem>
    <reviewItem>
      <errorID>c97145fd-5702-4adc-8e0d-39cf75ab893f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6628DDA2</paraID>
      <start>1</start>
      <end>2</end>
      <status>unmodified</status>
      <modifiedWord/>
      <trackRevisions>false</trackRevisions>
    </reviewItem>
    <reviewItem>
      <errorID>c0ae1c3c-bd99-46c5-936d-8b0bc43dec90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6628DDA2</paraID>
      <start>2</start>
      <end>3</end>
      <status>unmodified</status>
      <modifiedWord/>
      <trackRevisions>false</trackRevisions>
    </reviewItem>
    <reviewItem>
      <errorID>2ce60577-8432-4669-93bd-75be6cc53525</errorID>
      <errorWord>(</errorWord>
      <group>L1_Format</group>
      <groupName>格式问题</groupName>
      <ability>L2_HalfPunc_CN</ability>
      <abilityName>全半角问题</abilityName>
      <candidateList>
        <item>（</item>
      </candidateList>
      <explain>文本全半角错误。</explain>
      <paraID>6628DDA2</paraID>
      <start>27</start>
      <end>28</end>
      <status>unmodified</status>
      <modifiedWord/>
      <trackRevisions>false</trackRevisions>
    </reviewItem>
    <reviewItem>
      <errorID>69fea8da-71ce-488f-b984-17680b4db284</errorID>
      <errorWord>)</errorWord>
      <group>L1_Format</group>
      <groupName>格式问题</groupName>
      <ability>L2_HalfPunc_CN</ability>
      <abilityName>全半角问题</abilityName>
      <candidateList>
        <item>）</item>
      </candidateList>
      <explain>文本全半角错误。</explain>
      <paraID>6628DDA2</paraID>
      <start>39</start>
      <end>40</end>
      <status>unmodified</status>
      <modifiedWord/>
      <trackRevisions>false</trackRevisions>
    </reviewItem>
    <reviewItem>
      <errorID>ca118f5c-9e7e-457a-8c85-6a1e5f3a61fd</errorID>
      <errorWord>,</errorWord>
      <group>L1_Format</group>
      <groupName>格式问题</groupName>
      <ability>L2_HalfPunc_CN</ability>
      <abilityName>全半角问题</abilityName>
      <candidateList>
        <item>，</item>
      </candidateList>
      <explain>文本全半角错误。</explain>
      <paraID>6628DDA2</paraID>
      <start>41</start>
      <end>42</end>
      <status>unmodified</status>
      <modifiedWord/>
      <trackRevisions>false</trackRevisions>
    </reviewItem>
    <reviewItem>
      <errorID>ecb2c398-5d8c-4766-8fea-e7f9060003f2</errorID>
      <errorWord>;</errorWord>
      <group>L1_Format</group>
      <groupName>格式问题</groupName>
      <ability>L2_HalfPunc_CN</ability>
      <abilityName>全半角问题</abilityName>
      <candidateList>
        <item>；</item>
      </candidateList>
      <explain>文本全半角错误。</explain>
      <paraID>6628DDA2</paraID>
      <start>133</start>
      <end>134</end>
      <status>unmodified</status>
      <modifiedWord/>
      <trackRevisions>false</trackRevisions>
    </reviewItem>
    <reviewItem>
      <errorID>c2b32e89-441b-4cf0-9dc5-9bafae79d5bc</errorID>
      <errorWord>(</errorWord>
      <group>L1_Format</group>
      <groupName>格式问题</groupName>
      <ability>L2_HalfPunc_CN</ability>
      <abilityName>全半角问题</abilityName>
      <candidateList>
        <item>（</item>
      </candidateList>
      <explain>文本全半角错误。</explain>
      <paraID>6628DDA2</paraID>
      <start>198</start>
      <end>199</end>
      <status>unmodified</status>
      <modifiedWord/>
      <trackRevisions>false</trackRevisions>
    </reviewItem>
    <reviewItem>
      <errorID>4c9e1654-181c-4d0f-a98c-eaf49cec10e6</errorID>
      <errorWord>)</errorWord>
      <group>L1_Format</group>
      <groupName>格式问题</groupName>
      <ability>L2_HalfPunc_CN</ability>
      <abilityName>全半角问题</abilityName>
      <candidateList>
        <item>）</item>
      </candidateList>
      <explain>文本全半角错误。</explain>
      <paraID>6628DDA2</paraID>
      <start>210</start>
      <end>211</end>
      <status>unmodified</status>
      <modifiedWord/>
      <trackRevisions>false</trackRevisions>
    </reviewItem>
    <reviewItem>
      <errorID>62bdf307-d00b-4d05-8503-f27ba516e76a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35D87CF3</paraID>
      <start>33</start>
      <end>34</end>
      <status>unmodified</status>
      <modifiedWord/>
      <trackRevisions>false</trackRevisions>
    </reviewItem>
    <reviewItem>
      <errorID>0a6086e4-f2ee-4179-b1c4-b1936d61e90f</errorID>
      <errorWord>)</errorWord>
      <group>L1_Format</group>
      <groupName>格式问题</groupName>
      <ability>L2_HalfPunc_CN</ability>
      <abilityName>全半角问题</abilityName>
      <candidateList>
        <item>）</item>
      </candidateList>
      <explain>文本全半角错误。</explain>
      <paraID>35D87CF3</paraID>
      <start>39</start>
      <end>40</end>
      <status>unmodified</status>
      <modifiedWord/>
      <trackRevisions>false</trackRevisions>
    </reviewItem>
    <reviewItem>
      <errorID>db4534d0-185b-490b-8188-f3205c12977f</errorID>
      <errorWord>(</errorWord>
      <group>L1_Format</group>
      <groupName>格式问题</groupName>
      <ability>L2_HalfPunc_CN</ability>
      <abilityName>全半角问题</abilityName>
      <candidateList>
        <item>（</item>
      </candidateList>
      <explain>文本全半角错误。</explain>
      <paraID> C680EFB</paraID>
      <start>23</start>
      <end>24</end>
      <status>unmodified</status>
      <modifiedWord/>
      <trackRevisions>false</trackRevisions>
    </reviewItem>
    <reviewItem>
      <errorID>b7d2dfed-597d-4c93-95f1-c25da575db7c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C680EFB</paraID>
      <start>28</start>
      <end>29</end>
      <status>unmodified</status>
      <modifiedWord/>
      <trackRevisions>false</trackRevisions>
    </reviewItem>
    <reviewItem>
      <errorID>2a03218d-02ac-40e3-b8d8-719bf9e88956</errorID>
      <errorWord>)</errorWord>
      <group>L1_Format</group>
      <groupName>格式问题</groupName>
      <ability>L2_HalfPunc_CN</ability>
      <abilityName>全半角问题</abilityName>
      <candidateList>
        <item>）</item>
      </candidateList>
      <explain>文本全半角错误。</explain>
      <paraID> C680EFB</paraID>
      <start>34</start>
      <end>35</end>
      <status>unmodified</status>
      <modifiedWord/>
      <trackRevisions>false</trackRevisions>
    </reviewItem>
    <reviewItem>
      <errorID>d4693461-4b23-49e3-8091-ccc8a49117ce</errorID>
      <errorWord>(</errorWord>
      <group>L1_Format</group>
      <groupName>格式问题</groupName>
      <ability>L2_HalfPunc_CN</ability>
      <abilityName>全半角问题</abilityName>
      <candidateList>
        <item>（</item>
      </candidateList>
      <explain>文本全半角错误。</explain>
      <paraID>43739E56</paraID>
      <start>22</start>
      <end>23</end>
      <status>unmodified</status>
      <modifiedWord/>
      <trackRevisions>false</trackRevisions>
    </reviewItem>
    <reviewItem>
      <errorID>7ae12c55-7ba8-4a1d-a5d0-05161d3e1cd3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43739E56</paraID>
      <start>27</start>
      <end>28</end>
      <status>unmodified</status>
      <modifiedWord/>
      <trackRevisions>false</trackRevisions>
    </reviewItem>
    <reviewItem>
      <errorID>1ea0f686-f5f4-4921-b39d-e0dfd71ff55a</errorID>
      <errorWord>)</errorWord>
      <group>L1_Format</group>
      <groupName>格式问题</groupName>
      <ability>L2_HalfPunc_CN</ability>
      <abilityName>全半角问题</abilityName>
      <candidateList>
        <item>）</item>
      </candidateList>
      <explain>文本全半角错误。</explain>
      <paraID>43739E56</paraID>
      <start>33</start>
      <end>34</end>
      <status>unmodified</status>
      <modifiedWord/>
      <trackRevisions>false</trackRevisions>
    </reviewItem>
    <reviewItem>
      <errorID>04ff62ae-ec45-4446-aa5a-072202ec3923</errorID>
      <errorWord>生物多样 性保护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 性保护”是否存在不当。</explain>
      <paraID>4994F1C9</paraID>
      <start>28</start>
      <end>36</end>
      <status>unmodified</status>
      <modifiedWord/>
      <trackRevisions>false</trackRevisions>
    </reviewItem>
    <reviewItem>
      <errorID>f2fb6a15-8b0e-4c4c-96cf-62de0342e08d</errorID>
      <errorWord>,</errorWord>
      <group>L1_Format</group>
      <groupName>格式问题</groupName>
      <ability>L2_HalfPunc_CN</ability>
      <abilityName>全半角问题</abilityName>
      <candidateList>
        <item>，</item>
      </candidateList>
      <explain>文本全半角错误。</explain>
      <paraID>772A76BB</paraID>
      <start>17</start>
      <end>18</end>
      <status>unmodified</status>
      <modifiedWord/>
      <trackRevisions>false</trackRevisions>
    </reviewItem>
    <reviewItem>
      <errorID>67682310-8f22-47dc-840b-9b979653394c</errorID>
      <errorWord>(</errorWord>
      <group>L1_Format</group>
      <groupName>格式问题</groupName>
      <ability>L2_HalfPunc_CN</ability>
      <abilityName>全半角问题</abilityName>
      <candidateList>
        <item>（</item>
      </candidateList>
      <explain>文本全半角错误。</explain>
      <paraID>772A76BB</paraID>
      <start>24</start>
      <end>25</end>
      <status>unmodified</status>
      <modifiedWord/>
      <trackRevisions>false</trackRevisions>
    </reviewItem>
    <reviewItem>
      <errorID>6c22c6c1-40de-4c90-9718-059cf640d885</errorID>
      <errorWord>)</errorWord>
      <group>L1_Format</group>
      <groupName>格式问题</groupName>
      <ability>L2_HalfPunc_CN</ability>
      <abilityName>全半角问题</abilityName>
      <candidateList>
        <item>）</item>
      </candidateList>
      <explain>文本全半角错误。</explain>
      <paraID>772A76BB</paraID>
      <start>26</start>
      <end>27</end>
      <status>unmodified</status>
      <modifiedWord/>
      <trackRevisions>false</trackRevisions>
    </reviewItem>
    <reviewItem>
      <errorID>0f88197a-27f2-4421-8efa-e1a4d9d64e12</errorID>
      <errorWord>(</errorWord>
      <group>L1_Format</group>
      <groupName>格式问题</groupName>
      <ability>L2_HalfPunc_CN</ability>
      <abilityName>全半角问题</abilityName>
      <candidateList>
        <item>（</item>
      </candidateList>
      <explain>文本全半角错误。</explain>
      <paraID>772A76BB</paraID>
      <start>32</start>
      <end>33</end>
      <status>unmodified</status>
      <modifiedWord/>
      <trackRevisions>false</trackRevisions>
    </reviewItem>
    <reviewItem>
      <errorID>20eb1a79-3d41-4e72-9d81-3ef745ea118c</errorID>
      <errorWord>)</errorWord>
      <group>L1_Format</group>
      <groupName>格式问题</groupName>
      <ability>L2_HalfPunc_CN</ability>
      <abilityName>全半角问题</abilityName>
      <candidateList>
        <item>）</item>
      </candidateList>
      <explain>文本全半角错误。</explain>
      <paraID>772A76BB</paraID>
      <start>36</start>
      <end>37</end>
      <status>unmodified</status>
      <modifiedWord/>
      <trackRevisions>false</trackRevisions>
    </reviewItem>
    <reviewItem>
      <errorID>8bd4d8da-84e1-4fbf-b88b-e042e050298d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6B1F6F13</paraID>
      <start>0</start>
      <end>3</end>
      <status>unmodified</status>
      <modifiedWord/>
      <trackRevisions>false</trackRevisions>
    </reviewItem>
    <reviewItem>
      <errorID>9d72e1ec-64c5-46a8-a7f9-7b2b0bd984d3</errorID>
      <errorWord>(</errorWord>
      <group>L1_Format</group>
      <groupName>格式问题</groupName>
      <ability>L2_HalfPunc_CN</ability>
      <abilityName>全半角问题</abilityName>
      <candidateList>
        <item>（</item>
      </candidateList>
      <explain>文本全半角错误。</explain>
      <paraID>6B1F6F13</paraID>
      <start>17</start>
      <end>18</end>
      <status>unmodified</status>
      <modifiedWord/>
      <trackRevisions>false</trackRevisions>
    </reviewItem>
    <reviewItem>
      <errorID>11ef3bec-bd8e-4245-8abf-52960ea58aa0</errorID>
      <errorWord>)</errorWord>
      <group>L1_Format</group>
      <groupName>格式问题</groupName>
      <ability>L2_HalfPunc_CN</ability>
      <abilityName>全半角问题</abilityName>
      <candidateList>
        <item>）</item>
      </candidateList>
      <explain>文本全半角错误。</explain>
      <paraID>6B1F6F13</paraID>
      <start>29</start>
      <end>30</end>
      <status>unmodified</status>
      <modifiedWord/>
      <trackRevisions>false</trackRevisions>
    </reviewItem>
    <reviewItem>
      <errorID>810de4a7-7c6d-48e9-87ab-cae5268634ac</errorID>
      <errorWord>(</errorWord>
      <group>L1_Format</group>
      <groupName>格式问题</groupName>
      <ability>L2_HalfPunc_CN</ability>
      <abilityName>全半角问题</abilityName>
      <candidateList>
        <item>（</item>
      </candidateList>
      <explain>文本全半角错误。</explain>
      <paraID>6B1F6F13</paraID>
      <start>54</start>
      <end>55</end>
      <status>unmodified</status>
      <modifiedWord/>
      <trackRevisions>false</trackRevisions>
    </reviewItem>
    <reviewItem>
      <errorID>3c539aa5-68b6-4a3a-b2cc-e75c35e1a2ef</errorID>
      <errorWord>)</errorWord>
      <group>L1_Format</group>
      <groupName>格式问题</groupName>
      <ability>L2_HalfPunc_CN</ability>
      <abilityName>全半角问题</abilityName>
      <candidateList>
        <item>）</item>
      </candidateList>
      <explain>文本全半角错误。</explain>
      <paraID>6B1F6F13</paraID>
      <start>56</start>
      <end>57</end>
      <status>unmodified</status>
      <modifiedWord/>
      <trackRevisions>false</trackRevisions>
    </reviewItem>
    <reviewItem>
      <errorID>a037f62c-7fc1-4c3a-9cf1-0ce0d099a706</errorID>
      <errorWord>(</errorWord>
      <group>L1_Format</group>
      <groupName>格式问题</groupName>
      <ability>L2_HalfPunc_CN</ability>
      <abilityName>全半角问题</abilityName>
      <candidateList>
        <item>（</item>
      </candidateList>
      <explain>文本全半角错误。</explain>
      <paraID>6B1F6F13</paraID>
      <start>62</start>
      <end>63</end>
      <status>unmodified</status>
      <modifiedWord/>
      <trackRevisions>false</trackRevisions>
    </reviewItem>
    <reviewItem>
      <errorID>e02a9233-8dd1-42ad-ba79-f7ade03782b3</errorID>
      <errorWord>),</errorWord>
      <group>L1_Format</group>
      <groupName>格式问题</groupName>
      <ability>L2_HalfPunc_CN</ability>
      <abilityName>全半角问题</abilityName>
      <candidateList>
        <item>），</item>
      </candidateList>
      <explain>文本全半角错误。</explain>
      <paraID>6B1F6F13</paraID>
      <start>67</start>
      <end>69</end>
      <status>unmodified</status>
      <modifiedWord/>
      <trackRevisions>false</trackRevisions>
    </reviewItem>
    <reviewItem>
      <errorID>56dd470b-3a46-48b5-b6e3-ad3aeeccaa7a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4D30D006</paraID>
      <start>0</start>
      <end>3</end>
      <status>unmodified</status>
      <modifiedWord/>
      <trackRevisions>false</trackRevisions>
    </reviewItem>
    <reviewItem>
      <errorID>94039c29-0d92-4a7e-9701-3e83667f0161</errorID>
      <errorWord>(</errorWord>
      <group>L1_Format</group>
      <groupName>格式问题</groupName>
      <ability>L2_HalfPunc_CN</ability>
      <abilityName>全半角问题</abilityName>
      <candidateList>
        <item>（</item>
      </candidateList>
      <explain>文本全半角错误。</explain>
      <paraID>4D30D006</paraID>
      <start>18</start>
      <end>19</end>
      <status>unmodified</status>
      <modifiedWord/>
      <trackRevisions>false</trackRevisions>
    </reviewItem>
    <reviewItem>
      <errorID>caca6f41-52af-46ff-86d7-da596f129768</errorID>
      <errorWord>),</errorWord>
      <group>L1_Format</group>
      <groupName>格式问题</groupName>
      <ability>L2_HalfPunc_CN</ability>
      <abilityName>全半角问题</abilityName>
      <candidateList>
        <item>），</item>
      </candidateList>
      <explain>文本全半角错误。</explain>
      <paraID>4D30D006</paraID>
      <start>32</start>
      <end>34</end>
      <status>unmodified</status>
      <modifiedWord/>
      <trackRevisions>false</trackRevisions>
    </reviewItem>
    <reviewItem>
      <errorID>ebd4159a-68bc-4f50-b591-c8daf7d23da2</errorID>
      <errorWord>(</errorWord>
      <group>L1_Format</group>
      <groupName>格式问题</groupName>
      <ability>L2_HalfPunc_CN</ability>
      <abilityName>全半角问题</abilityName>
      <candidateList>
        <item>（</item>
      </candidateList>
      <explain>文本全半角错误。</explain>
      <paraID>4D30D006</paraID>
      <start>69</start>
      <end>70</end>
      <status>unmodified</status>
      <modifiedWord/>
      <trackRevisions>false</trackRevisions>
    </reviewItem>
    <reviewItem>
      <errorID>395dccf6-3ec0-424d-8711-1ad4599c9d13</errorID>
      <errorWord>)</errorWord>
      <group>L1_Format</group>
      <groupName>格式问题</groupName>
      <ability>L2_HalfPunc_CN</ability>
      <abilityName>全半角问题</abilityName>
      <candidateList>
        <item>）</item>
      </candidateList>
      <explain>文本全半角错误。</explain>
      <paraID>4D30D006</paraID>
      <start>71</start>
      <end>72</end>
      <status>unmodified</status>
      <modifiedWord/>
      <trackRevisions>false</trackRevisions>
    </reviewItem>
    <reviewItem>
      <errorID>47896636-82cc-4282-88a1-574b5be55f67</errorID>
      <errorWord>(</errorWord>
      <group>L1_Format</group>
      <groupName>格式问题</groupName>
      <ability>L2_HalfPunc_CN</ability>
      <abilityName>全半角问题</abilityName>
      <candidateList>
        <item>（</item>
      </candidateList>
      <explain>文本全半角错误。</explain>
      <paraID>4D30D006</paraID>
      <start>77</start>
      <end>78</end>
      <status>unmodified</status>
      <modifiedWord/>
      <trackRevisions>false</trackRevisions>
    </reviewItem>
    <reviewItem>
      <errorID>ded8a012-7e2e-4653-9786-9c8ece626b9b</errorID>
      <errorWord>),</errorWord>
      <group>L1_Format</group>
      <groupName>格式问题</groupName>
      <ability>L2_HalfPunc_CN</ability>
      <abilityName>全半角问题</abilityName>
      <candidateList>
        <item>），</item>
      </candidateList>
      <explain>文本全半角错误。</explain>
      <paraID>4D30D006</paraID>
      <start>81</start>
      <end>83</end>
      <status>unmodified</status>
      <modifiedWord/>
      <trackRevisions>false</trackRevisions>
    </reviewItem>
    <reviewItem>
      <errorID>71ccb02a-89ef-4931-bdbc-c8e3b9b96fd1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29C2C76E</paraID>
      <start>0</start>
      <end>3</end>
      <status>unmodified</status>
      <modifiedWord/>
      <trackRevisions>false</trackRevisions>
    </reviewItem>
    <reviewItem>
      <errorID>9a18a62d-d92e-4d9f-ad8e-3a6f15546eb3</errorID>
      <errorWord>(</errorWord>
      <group>L1_Format</group>
      <groupName>格式问题</groupName>
      <ability>L2_HalfPunc_CN</ability>
      <abilityName>全半角问题</abilityName>
      <candidateList>
        <item>（</item>
      </candidateList>
      <explain>文本全半角错误。</explain>
      <paraID>29C2C76E</paraID>
      <start>20</start>
      <end>21</end>
      <status>unmodified</status>
      <modifiedWord/>
      <trackRevisions>false</trackRevisions>
    </reviewItem>
    <reviewItem>
      <errorID>d4d06c9d-4044-483b-a741-b1117d2e9905</errorID>
      <errorWord>),</errorWord>
      <group>L1_Format</group>
      <groupName>格式问题</groupName>
      <ability>L2_HalfPunc_CN</ability>
      <abilityName>全半角问题</abilityName>
      <candidateList>
        <item>），</item>
      </candidateList>
      <explain>文本全半角错误。</explain>
      <paraID>29C2C76E</paraID>
      <start>36</start>
      <end>38</end>
      <status>unmodified</status>
      <modifiedWord/>
      <trackRevisions>false</trackRevisions>
    </reviewItem>
    <reviewItem>
      <errorID>dc073b85-1da6-4a16-b60f-bb637f52478c</errorID>
      <errorWord>(</errorWord>
      <group>L1_Format</group>
      <groupName>格式问题</groupName>
      <ability>L2_HalfPunc_CN</ability>
      <abilityName>全半角问题</abilityName>
      <candidateList>
        <item>（</item>
      </candidateList>
      <explain>文本全半角错误。</explain>
      <paraID>29C2C76E</paraID>
      <start>47</start>
      <end>48</end>
      <status>unmodified</status>
      <modifiedWord/>
      <trackRevisions>false</trackRevisions>
    </reviewItem>
    <reviewItem>
      <errorID>90dfb879-6c4e-43ca-a002-a33295200b18</errorID>
      <errorWord>)</errorWord>
      <group>L1_Format</group>
      <groupName>格式问题</groupName>
      <ability>L2_HalfPunc_CN</ability>
      <abilityName>全半角问题</abilityName>
      <candidateList>
        <item>）</item>
      </candidateList>
      <explain>文本全半角错误。</explain>
      <paraID>29C2C76E</paraID>
      <start>49</start>
      <end>50</end>
      <status>unmodified</status>
      <modifiedWord/>
      <trackRevisions>false</trackRevisions>
    </reviewItem>
    <reviewItem>
      <errorID>3134b029-6b65-4033-8ca9-44cc7c641bc5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4EF6DE4A</paraID>
      <start>0</start>
      <end>3</end>
      <status>unmodified</status>
      <modifiedWord/>
      <trackRevisions>false</trackRevisions>
    </reviewItem>
    <reviewItem>
      <errorID>e57f8c3d-a1fd-470a-a37d-cf2ecf857bc1</errorID>
      <errorWord>(</errorWord>
      <group>L1_Format</group>
      <groupName>格式问题</groupName>
      <ability>L2_HalfPunc_CN</ability>
      <abilityName>全半角问题</abilityName>
      <candidateList>
        <item>（</item>
      </candidateList>
      <explain>文本全半角错误。</explain>
      <paraID>4EF6DE4A</paraID>
      <start>18</start>
      <end>19</end>
      <status>unmodified</status>
      <modifiedWord/>
      <trackRevisions>false</trackRevisions>
    </reviewItem>
    <reviewItem>
      <errorID>23b151d1-eb30-4d4b-999f-781323f36c01</errorID>
      <errorWord>),</errorWord>
      <group>L1_Format</group>
      <groupName>格式问题</groupName>
      <ability>L2_HalfPunc_CN</ability>
      <abilityName>全半角问题</abilityName>
      <candidateList>
        <item>），</item>
      </candidateList>
      <explain>文本全半角错误。</explain>
      <paraID>4EF6DE4A</paraID>
      <start>32</start>
      <end>34</end>
      <status>unmodified</status>
      <modifiedWord/>
      <trackRevisions>false</trackRevisions>
    </reviewItem>
    <reviewItem>
      <errorID>a4102866-aa8e-477c-8412-1f1a8713f97a</errorID>
      <errorWord>(</errorWord>
      <group>L1_Format</group>
      <groupName>格式问题</groupName>
      <ability>L2_HalfPunc_CN</ability>
      <abilityName>全半角问题</abilityName>
      <candidateList>
        <item>（</item>
      </candidateList>
      <explain>文本全半角错误。</explain>
      <paraID>3944956F</paraID>
      <start>106</start>
      <end>107</end>
      <status>unmodified</status>
      <modifiedWord/>
      <trackRevisions>false</trackRevisions>
    </reviewItem>
    <reviewItem>
      <errorID>42ed53a0-235e-40dd-9e91-c7e81c132038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3944956F</paraID>
      <start>111</start>
      <end>112</end>
      <status>unmodified</status>
      <modifiedWord/>
      <trackRevisions>false</trackRevisions>
    </reviewItem>
    <reviewItem>
      <errorID>c6b89a1e-d90a-4356-8afa-d2109abfc437</errorID>
      <errorWord>)</errorWord>
      <group>L1_Format</group>
      <groupName>格式问题</groupName>
      <ability>L2_HalfPunc_CN</ability>
      <abilityName>全半角问题</abilityName>
      <candidateList>
        <item>）</item>
      </candidateList>
      <explain>文本全半角错误。</explain>
      <paraID>3944956F</paraID>
      <start>117</start>
      <end>118</end>
      <status>unmodified</status>
      <modifiedWord/>
      <trackRevisions>false</trackRevisions>
    </reviewItem>
    <reviewItem>
      <errorID>c21fee19-1a9e-4b60-a0fe-3c4032d694c4</errorID>
      <errorWord>生物多 样性保护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 样性保护”是否存在不当。</explain>
      <paraID> 6A5C37C</paraID>
      <start>192</start>
      <end>200</end>
      <status>unmodified</status>
      <modifiedWord/>
      <trackRevisions>false</trackRevisions>
    </reviewItem>
    <reviewItem>
      <errorID>91fb9f53-497d-488c-8299-53fd51da4eb5</errorID>
      <errorWord>(</errorWord>
      <group>L1_Format</group>
      <groupName>格式问题</groupName>
      <ability>L2_HalfPunc_CN</ability>
      <abilityName>全半角问题</abilityName>
      <candidateList>
        <item>（</item>
      </candidateList>
      <explain>文本全半角错误。</explain>
      <paraID> 993AEEB</paraID>
      <start>17</start>
      <end>18</end>
      <status>unmodified</status>
      <modifiedWord/>
      <trackRevisions>false</trackRevisions>
    </reviewItem>
    <reviewItem>
      <errorID>94f586db-c2cd-4beb-8f0d-fd11f9200ebf</errorID>
      <errorWord>)</errorWord>
      <group>L1_Format</group>
      <groupName>格式问题</groupName>
      <ability>L2_HalfPunc_CN</ability>
      <abilityName>全半角问题</abilityName>
      <candidateList>
        <item>）</item>
      </candidateList>
      <explain>文本全半角错误。</explain>
      <paraID> 993AEEB</paraID>
      <start>27</start>
      <end>28</end>
      <status>unmodified</status>
      <modifiedWord/>
      <trackRevisions>false</trackRevisions>
    </reviewItem>
    <reviewItem>
      <errorID>106fb46c-4803-43b0-b82c-47d47c93e309</errorID>
      <errorWord>(</errorWord>
      <group>L1_Format</group>
      <groupName>格式问题</groupName>
      <ability>L2_HalfPunc_CN</ability>
      <abilityName>全半角问题</abilityName>
      <candidateList>
        <item>（</item>
      </candidateList>
      <explain>文本全半角错误。</explain>
      <paraID> 4117937</paraID>
      <start>18</start>
      <end>19</end>
      <status>unmodified</status>
      <modifiedWord/>
      <trackRevisions>false</trackRevisions>
    </reviewItem>
    <reviewItem>
      <errorID>ea353a06-e9b8-460b-a256-2400b1b20610</errorID>
      <errorWord>)</errorWord>
      <group>L1_Format</group>
      <groupName>格式问题</groupName>
      <ability>L2_HalfPunc_CN</ability>
      <abilityName>全半角问题</abilityName>
      <candidateList>
        <item>）</item>
      </candidateList>
      <explain>文本全半角错误。</explain>
      <paraID> 4117937</paraID>
      <start>28</start>
      <end>29</end>
      <status>unmodified</status>
      <modifiedWord/>
      <trackRevisions>false</trackRevisions>
    </reviewItem>
    <reviewItem>
      <errorID>d637dc5a-bad6-4f65-a9f2-ce66c5bb1be8</errorID>
      <errorWord>人民政府的</errorWord>
      <group>L1_Word</group>
      <groupName>字词问题</groupName>
      <ability>L2_Typo</ability>
      <abilityName>字词错误</abilityName>
      <candidateList>
        <item>人民政府</item>
      </candidateList>
      <explain/>
      <paraID>19BC238D</paraID>
      <start>0</start>
      <end>5</end>
      <status>unmodified</status>
      <modifiedWord/>
      <trackRevisions>false</trackRevisions>
    </reviewItem>
    <reviewItem>
      <errorID>58e28d90-ec87-4972-b280-0e23d35b1ca6</errorID>
      <errorWord>项</errorWord>
      <group>L1_Word</group>
      <groupName>字词问题</groupName>
      <ability>L2_Typo</ability>
      <abilityName>字词错误</abilityName>
      <candidateList>
        <item>项目</item>
      </candidateList>
      <explain/>
      <paraID>7EC4431C</paraID>
      <start>21</start>
      <end>22</end>
      <status>unmodified</status>
      <modifiedWord/>
      <trackRevisions>false</trackRevisions>
    </reviewItem>
    <reviewItem>
      <errorID>309f0cf3-82f0-4504-ae19-223d17c0c0e3</errorID>
      <errorWord>(</errorWord>
      <group>L1_Format</group>
      <groupName>格式问题</groupName>
      <ability>L2_HalfPunc_CN</ability>
      <abilityName>全半角问题</abilityName>
      <candidateList>
        <item>（</item>
      </candidateList>
      <explain>文本全半角错误。</explain>
      <paraID>35FF0D14</paraID>
      <start>18</start>
      <end>19</end>
      <status>unmodified</status>
      <modifiedWord/>
      <trackRevisions>false</trackRevisions>
    </reviewItem>
    <reviewItem>
      <errorID>6fa070a8-9f3e-40ad-834c-cd87fd8a285f</errorID>
      <errorWord>)</errorWord>
      <group>L1_Format</group>
      <groupName>格式问题</groupName>
      <ability>L2_HalfPunc_CN</ability>
      <abilityName>全半角问题</abilityName>
      <candidateList>
        <item>）</item>
      </candidateList>
      <explain>文本全半角错误。</explain>
      <paraID>35FF0D14</paraID>
      <start>25</start>
      <end>26</end>
      <status>unmodified</status>
      <modifiedWord/>
      <trackRevisions>false</trackRevisions>
    </reviewItem>
    <reviewItem>
      <errorID>d200a58b-ef7b-4369-abd7-6acb88709cef</errorID>
      <errorWord>(</errorWord>
      <group>L1_Format</group>
      <groupName>格式问题</groupName>
      <ability>L2_HalfPunc_CN</ability>
      <abilityName>全半角问题</abilityName>
      <candidateList>
        <item>（</item>
      </candidateList>
      <explain>文本全半角错误。</explain>
      <paraID>2B40B3A4</paraID>
      <start>24</start>
      <end>25</end>
      <status>unmodified</status>
      <modifiedWord/>
      <trackRevisions>false</trackRevisions>
    </reviewItem>
    <reviewItem>
      <errorID>b3473b7d-f443-49a5-bd1a-c403a66971be</errorID>
      <errorWord>)</errorWord>
      <group>L1_Format</group>
      <groupName>格式问题</groupName>
      <ability>L2_HalfPunc_CN</ability>
      <abilityName>全半角问题</abilityName>
      <candidateList>
        <item>）</item>
      </candidateList>
      <explain>文本全半角错误。</explain>
      <paraID>2B40B3A4</paraID>
      <start>35</start>
      <end>36</end>
      <status>unmodified</status>
      <modifiedWord/>
      <trackRevisions>false</trackRevisions>
    </reviewItem>
    <reviewItem>
      <errorID>4766103a-bcd9-4a61-83b3-4f271eff4df9</errorID>
      <errorWord>》</errorWord>
      <group>L1_Word</group>
      <groupName>字词问题</groupName>
      <ability>L2_Typo</ability>
      <abilityName>字词错误</abilityName>
      <candidateList>
        <item>》中</item>
      </candidateList>
      <explain/>
      <paraID>2B40B3A4</paraID>
      <start>36</start>
      <end>37</end>
      <status>unmodified</status>
      <modifiedWord/>
      <trackRevisions>false</trackRevisions>
    </reviewItem>
    <reviewItem>
      <errorID>2f57d178-ab4b-49ab-9307-35c4e8dd71cb</errorID>
      <errorWord>(</errorWord>
      <group>L1_Format</group>
      <groupName>格式问题</groupName>
      <ability>L2_HalfPunc_CN</ability>
      <abilityName>全半角问题</abilityName>
      <candidateList>
        <item>（</item>
      </candidateList>
      <explain>文本全半角错误。</explain>
      <paraID>2B40B3A4</paraID>
      <start>70</start>
      <end>71</end>
      <status>unmodified</status>
      <modifiedWord/>
      <trackRevisions>false</trackRevisions>
    </reviewItem>
    <reviewItem>
      <errorID>5fdced7d-6ad8-4ed4-aa6f-233d391b9e60</errorID>
      <errorWord>)</errorWord>
      <group>L1_Format</group>
      <groupName>格式问题</groupName>
      <ability>L2_HalfPunc_CN</ability>
      <abilityName>全半角问题</abilityName>
      <candidateList>
        <item>）</item>
      </candidateList>
      <explain>文本全半角错误。</explain>
      <paraID>2B40B3A4</paraID>
      <start>80</start>
      <end>81</end>
      <status>unmodified</status>
      <modifiedWord/>
      <trackRevisions>false</trackRevisions>
    </reviewItem>
    <reviewItem>
      <errorID>0ce46b22-1649-4331-8008-31a65761c284</errorID>
      <errorWord>(</errorWord>
      <group>L1_Format</group>
      <groupName>格式问题</groupName>
      <ability>L2_HalfPunc_CN</ability>
      <abilityName>全半角问题</abilityName>
      <candidateList>
        <item>（</item>
      </candidateList>
      <explain>文本全半角错误。</explain>
      <paraID>75914AE0</paraID>
      <start>24</start>
      <end>25</end>
      <status>unmodified</status>
      <modifiedWord/>
      <trackRevisions>false</trackRevisions>
    </reviewItem>
    <reviewItem>
      <errorID>aa4a1cae-8508-43e2-a4f7-c5b6950e243b</errorID>
      <errorWord>)</errorWord>
      <group>L1_Format</group>
      <groupName>格式问题</groupName>
      <ability>L2_HalfPunc_CN</ability>
      <abilityName>全半角问题</abilityName>
      <candidateList>
        <item>）</item>
      </candidateList>
      <explain>文本全半角错误。</explain>
      <paraID>75914AE0</paraID>
      <start>27</start>
      <end>28</end>
      <status>unmodified</status>
      <modifiedWord/>
      <trackRevisions>false</trackRevisions>
    </reviewItem>
    <reviewItem>
      <errorID>7b40e197-0a21-4eff-b14b-aabd9cf48aca</errorID>
      <errorWord>长江经济带带发展</errorWord>
      <group>L1_Political</group>
      <groupName>政治性问题</groupName>
      <ability>L2_Keyword</ability>
      <abilityName>固定表述</abilityName>
      <candidateList>
        <item>长江经济带发展</item>
      </candidateList>
      <explain>词汇“长江经济带发展”在特定场景下为固定表述形式，请确认此处的“长江经济带带发展”是否存在不当。</explain>
      <paraID>2A996216</paraID>
      <start>5</start>
      <end>13</end>
      <status>unmodified</status>
      <modifiedWord/>
      <trackRevisions>false</trackRevisions>
    </reviewItem>
    <reviewItem>
      <errorID>98ff4524-6c9e-4bed-b174-f3d886fb9be9</errorID>
      <errorWord>(</errorWord>
      <group>L1_Format</group>
      <groupName>格式问题</groupName>
      <ability>L2_HalfPunc_CN</ability>
      <abilityName>全半角问题</abilityName>
      <candidateList>
        <item>（</item>
      </candidateList>
      <explain>文本全半角错误。</explain>
      <paraID>69D1E19F</paraID>
      <start>24</start>
      <end>25</end>
      <status>unmodified</status>
      <modifiedWord/>
      <trackRevisions>false</trackRevisions>
    </reviewItem>
    <reviewItem>
      <errorID>5000352f-1da0-4067-bf97-18eb80101f3f</errorID>
      <errorWord>)</errorWord>
      <group>L1_Format</group>
      <groupName>格式问题</groupName>
      <ability>L2_HalfPunc_CN</ability>
      <abilityName>全半角问题</abilityName>
      <candidateList>
        <item>）</item>
      </candidateList>
      <explain>文本全半角错误。</explain>
      <paraID>69D1E19F</paraID>
      <start>34</start>
      <end>35</end>
      <status>unmodified</status>
      <modifiedWord/>
      <trackRevisions>false</trackRevisions>
    </reviewItem>
    <reviewItem>
      <errorID>09ee04bf-479c-4adb-9b91-5d61d87fc0e5</errorID>
      <errorWord>(</errorWord>
      <group>L1_Format</group>
      <groupName>格式问题</groupName>
      <ability>L2_HalfPunc_CN</ability>
      <abilityName>全半角问题</abilityName>
      <candidateList>
        <item>（</item>
      </candidateList>
      <explain>文本全半角错误。</explain>
      <paraID>69D1E19F</paraID>
      <start>40</start>
      <end>41</end>
      <status>unmodified</status>
      <modifiedWord/>
      <trackRevisions>false</trackRevisions>
    </reviewItem>
    <reviewItem>
      <errorID>77780f71-fcba-406e-b067-d794ee9d41c9</errorID>
      <errorWord>),</errorWord>
      <group>L1_Format</group>
      <groupName>格式问题</groupName>
      <ability>L2_HalfPunc_CN</ability>
      <abilityName>全半角问题</abilityName>
      <candidateList>
        <item>），</item>
      </candidateList>
      <explain>文本全半角错误。</explain>
      <paraID>69D1E19F</paraID>
      <start>56</start>
      <end>58</end>
      <status>unmodified</status>
      <modifiedWord/>
      <trackRevisions>false</trackRevisions>
    </reviewItem>
    <reviewItem>
      <errorID>3d504898-ab6e-4f4c-88d7-0bed8b05ce29</errorID>
      <errorWord>(</errorWord>
      <group>L1_Format</group>
      <groupName>格式问题</groupName>
      <ability>L2_HalfPunc_CN</ability>
      <abilityName>全半角问题</abilityName>
      <candidateList>
        <item>（</item>
      </candidateList>
      <explain>文本全半角错误。</explain>
      <paraID>3D0DFCBB</paraID>
      <start>25</start>
      <end>26</end>
      <status>unmodified</status>
      <modifiedWord/>
      <trackRevisions>false</trackRevisions>
    </reviewItem>
    <reviewItem>
      <errorID>f7c649f6-41a2-4744-9295-1d5144a28ad0</errorID>
      <errorWord>)</errorWord>
      <group>L1_Format</group>
      <groupName>格式问题</groupName>
      <ability>L2_HalfPunc_CN</ability>
      <abilityName>全半角问题</abilityName>
      <candidateList>
        <item>）</item>
      </candidateList>
      <explain>文本全半角错误。</explain>
      <paraID>3D0DFCBB</paraID>
      <start>36</start>
      <end>37</end>
      <status>unmodified</status>
      <modifiedWord/>
      <trackRevisions>false</trackRevisions>
    </reviewItem>
    <reviewItem>
      <errorID>815ffb4a-7b6b-4a03-93ef-0346ae454082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2BA85AC3</paraID>
      <start>0</start>
      <end>3</end>
      <status>unmodified</status>
      <modifiedWord/>
      <trackRevisions>false</trackRevisions>
    </reviewItem>
    <reviewItem>
      <errorID>6bf1abcc-3ccf-45ab-b378-7a7081b67685</errorID>
      <errorWord>(</errorWord>
      <group>L1_Format</group>
      <groupName>格式问题</groupName>
      <ability>L2_HalfPunc_CN</ability>
      <abilityName>全半角问题</abilityName>
      <candidateList>
        <item>（</item>
      </candidateList>
      <explain>文本全半角错误。</explain>
      <paraID>1162DAB7</paraID>
      <start>9</start>
      <end>10</end>
      <status>unmodified</status>
      <modifiedWord/>
      <trackRevisions>false</trackRevisions>
    </reviewItem>
    <reviewItem>
      <errorID>b818e26a-64ad-47e0-b7ee-a50f7e5dabbf</errorID>
      <errorWord>)</errorWord>
      <group>L1_Format</group>
      <groupName>格式问题</groupName>
      <ability>L2_HalfPunc_CN</ability>
      <abilityName>全半角问题</abilityName>
      <candidateList>
        <item>）</item>
      </candidateList>
      <explain>文本全半角错误。</explain>
      <paraID>7E6A3EFF</paraID>
      <start>1</start>
      <end>2</end>
      <status>unmodified</status>
      <modifiedWord/>
      <trackRevisions>false</trackRevisions>
    </reviewItem>
    <reviewItem>
      <errorID>010afab1-4699-4e6a-8388-d45523b8ba38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7E6A3EFF</paraID>
      <start>2</start>
      <end>5</end>
      <status>unmodified</status>
      <modifiedWord/>
      <trackRevisions>false</trackRevisions>
    </reviewItem>
    <reviewItem>
      <errorID>65fb02a8-0345-4aff-975e-ba3a9da421d4</errorID>
      <errorWord>(</errorWord>
      <group>L1_Format</group>
      <groupName>格式问题</groupName>
      <ability>L2_HalfPunc_CN</ability>
      <abilityName>全半角问题</abilityName>
      <candidateList>
        <item>（</item>
      </candidateList>
      <explain>文本全半角错误。</explain>
      <paraID>7E6A3EFF</paraID>
      <start>12</start>
      <end>13</end>
      <status>unmodified</status>
      <modifiedWord/>
      <trackRevisions>false</trackRevisions>
    </reviewItem>
    <reviewItem>
      <errorID>b8c62254-8905-4629-886f-1a2545ff99c8</errorID>
      <errorWord>)</errorWord>
      <group>L1_Format</group>
      <groupName>格式问题</groupName>
      <ability>L2_HalfPunc_CN</ability>
      <abilityName>全半角问题</abilityName>
      <candidateList>
        <item>）</item>
      </candidateList>
      <explain>文本全半角错误。</explain>
      <paraID>7E6A3EFF</paraID>
      <start>23</start>
      <end>24</end>
      <status>unmodified</status>
      <modifiedWord/>
      <trackRevisions>false</trackRevisions>
    </reviewItem>
    <reviewItem>
      <errorID>6daba060-5a9b-44c7-a4de-92c976576057</errorID>
      <errorWord>(</errorWord>
      <group>L1_Format</group>
      <groupName>格式问题</groupName>
      <ability>L2_HalfPunc_CN</ability>
      <abilityName>全半角问题</abilityName>
      <candidateList>
        <item>（</item>
      </candidateList>
      <explain>文本全半角错误。</explain>
      <paraID>6646152A</paraID>
      <start>2</start>
      <end>3</end>
      <status>unmodified</status>
      <modifiedWord/>
      <trackRevisions>false</trackRevisions>
    </reviewItem>
    <reviewItem>
      <errorID>f3653c7e-846e-4c89-9400-d19ce57938e5</errorID>
      <errorWord>)</errorWord>
      <group>L1_Format</group>
      <groupName>格式问题</groupName>
      <ability>L2_HalfPunc_CN</ability>
      <abilityName>全半角问题</abilityName>
      <candidateList>
        <item>）</item>
      </candidateList>
      <explain>文本全半角错误。</explain>
      <paraID>6646152A</paraID>
      <start>4</start>
      <end>5</end>
      <status>unmodified</status>
      <modifiedWord/>
      <trackRevisions>false</trackRevisions>
    </reviewItem>
    <reviewItem>
      <errorID>7925a50c-d7b7-4eaa-bb19-34f5e8c19869</errorID>
      <errorWord>规</errorWord>
      <group>L1_Word</group>
      <groupName>字词问题</groupName>
      <ability>L2_Typo</ability>
      <abilityName>字词错误</abilityName>
      <candidateList>
        <item>规划</item>
      </candidateList>
      <explain/>
      <paraID>6646152A</paraID>
      <start>20</start>
      <end>21</end>
      <status>unmodified</status>
      <modifiedWord/>
      <trackRevisions>false</trackRevisions>
    </reviewItem>
    <reviewItem>
      <errorID>72a28028-b7fb-46c7-a2f1-90484949a073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295E53CF</paraID>
      <start>0</start>
      <end>3</end>
      <status>unmodified</status>
      <modifiedWord/>
      <trackRevisions>false</trackRevisions>
    </reviewItem>
    <reviewItem>
      <errorID>fb6bdeeb-997e-4812-a089-f1c65d183ca6</errorID>
      <errorWord>项</errorWord>
      <group>L1_Word</group>
      <groupName>字词问题</groupName>
      <ability>L2_Typo</ability>
      <abilityName>字词错误</abilityName>
      <candidateList>
        <item>项目</item>
      </candidateList>
      <explain/>
      <paraID>4767D932</paraID>
      <start>19</start>
      <end>20</end>
      <status>unmodified</status>
      <modifiedWord/>
      <trackRevisions>false</trackRevisions>
    </reviewItem>
    <reviewItem>
      <errorID>cc466640-736e-4e93-89f4-2c4a6d1fb555</errorID>
      <errorWord>沙</errorWord>
      <group>L1_Word</group>
      <groupName>字词问题</groupName>
      <ability>L2_Typo</ability>
      <abilityName>字词错误</abilityName>
      <candidateList>
        <item>砂</item>
      </candidateList>
      <explain>存在发音相同字词的误用。</explain>
      <paraID>492E5DBE</paraID>
      <start>20</start>
      <end>21</end>
      <status>unmodified</status>
      <modifiedWord/>
      <trackRevisions>false</trackRevisions>
    </reviewItem>
    <reviewItem>
      <errorID>f26f7a16-e00f-4d62-9b02-341ef653d594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62217A4B</paraID>
      <start>0</start>
      <end>3</end>
      <status>unmodified</status>
      <modifiedWord/>
      <trackRevisions>false</trackRevisions>
    </reviewItem>
    <reviewItem>
      <errorID>261349a3-3242-426e-a162-cfdefef320cd</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152F97A3</paraID>
      <start>0</start>
      <end>3</end>
      <status>unmodified</status>
      <modifiedWord/>
      <trackRevisions>false</trackRevisions>
    </reviewItem>
    <reviewItem>
      <errorID>3cdfe97d-c40f-40ae-a3d4-da01b3eda97f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5900F4EA</paraID>
      <start>0</start>
      <end>3</end>
      <status>unmodified</status>
      <modifiedWord/>
      <trackRevisions>false</trackRevisions>
    </reviewItem>
    <reviewItem>
      <errorID>c3a416e2-ed8a-4bf0-9420-fe0e3b026a2e</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3EAACB93</paraID>
      <start>0</start>
      <end>3</end>
      <status>unmodified</status>
      <modifiedWord/>
      <trackRevisions>false</trackRevisions>
    </reviewItem>
    <reviewItem>
      <errorID>589a360b-306e-4ab6-9f65-ec5c3fcf21e0</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18ED5D56</paraID>
      <start>0</start>
      <end>3</end>
      <status>unmodified</status>
      <modifiedWord/>
      <trackRevisions>false</trackRevisions>
    </reviewItem>
    <reviewItem>
      <errorID>4837127e-55bc-4350-8b36-2da99bb1c34b</errorID>
      <errorWord>国家投资主管部门</errorWord>
      <group>L1_Political</group>
      <groupName>政治性问题</groupName>
      <ability>L2_Keyword</ability>
      <abilityName>固定表述</abilityName>
      <candidateList>
        <item>国务院投资主管部门</item>
      </candidateList>
      <explain>词汇“国务院投资主管部门”在特定场景下为固定表述形式，请确认此处的“国家投资主管部门”是否存在不当。</explain>
      <paraID>32F5F8BA</paraID>
      <start>8</start>
      <end>16</end>
      <status>unmodified</status>
      <modifiedWord/>
      <trackRevisions>false</trackRevisions>
    </reviewItem>
    <reviewItem>
      <errorID>61b781f6-05dd-4b27-8959-6c1ec4c56151</errorID>
      <errorWord>项</errorWord>
      <group>L1_Word</group>
      <groupName>字词问题</groupName>
      <ability>L2_Typo</ability>
      <abilityName>字词错误</abilityName>
      <candidateList>
        <item>项目</item>
      </candidateList>
      <explain/>
      <paraID>   A0C22</paraID>
      <start>9</start>
      <end>10</end>
      <status>unmodified</status>
      <modifiedWord/>
      <trackRevisions>false</trackRevisions>
    </reviewItem>
    <reviewItem>
      <errorID>c2e606ca-320f-4996-a467-d6fdd30a776d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63418E25</paraID>
      <start>0</start>
      <end>3</end>
      <status>unmodified</status>
      <modifiedWord/>
      <trackRevisions>false</trackRevisions>
    </reviewItem>
    <reviewItem>
      <errorID>7f50720a-b4a5-4daa-b96b-73b5498a3747</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5C8581C6</paraID>
      <start>0</start>
      <end>3</end>
      <status>unmodified</status>
      <modifiedWord/>
      <trackRevisions>false</trackRevisions>
    </reviewItem>
    <reviewItem>
      <errorID>44e062c9-5352-4e95-a635-92c9ae7e3c69</errorID>
      <errorWord>目</errorWord>
      <group>L1_Word</group>
      <groupName>字词问题</groupName>
      <ability>L2_Typo</ability>
      <abilityName>字词错误</abilityName>
      <candidateList>
        <item>目现</item>
      </candidateList>
      <explain/>
      <paraID>121D1A41</paraID>
      <start>9</start>
      <end>10</end>
      <status>unmodified</status>
      <modifiedWord/>
      <trackRevisions>false</trackRevisions>
    </reviewItem>
    <reviewItem>
      <errorID>df5ed3e4-2183-4517-8062-b2bdfa41fa73</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7C03FEF2</paraID>
      <start>0</start>
      <end>3</end>
      <status>unmodified</status>
      <modifiedWord/>
      <trackRevisions>false</trackRevisions>
    </reviewItem>
    <reviewItem>
      <errorID>48d4fe30-343c-4d6a-82c3-8e106080335d</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611223A2</paraID>
      <start>0</start>
      <end>4</end>
      <status>unmodified</status>
      <modifiedWord/>
      <trackRevisions>false</trackRevisions>
    </reviewItem>
    <reviewItem>
      <errorID>900ce30d-7160-4343-859e-83edfe9ed62d</errorID>
      <errorWord>改</errorWord>
      <group>L1_Word</group>
      <groupName>字词问题</groupName>
      <ability>L2_Typo</ability>
      <abilityName>字词错误</abilityName>
      <candidateList>
        <item>改造</item>
      </candidateList>
      <explain/>
      <paraID>7F956010</paraID>
      <start>19</start>
      <end>20</end>
      <status>unmodified</status>
      <modifiedWord/>
      <trackRevisions>false</trackRevisions>
    </reviewItem>
    <reviewItem>
      <errorID>5ddd6f88-99f4-4775-8a53-b0f5e4ee709d</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55912E9</paraID>
      <start>0</start>
      <end>4</end>
      <status>unmodified</status>
      <modifiedWord/>
      <trackRevisions>false</trackRevisions>
    </reviewItem>
    <reviewItem>
      <errorID>4f7aa85b-c391-476b-ad43-354910b0e378</errorID>
      <errorWord>(</errorWord>
      <group>L1_Format</group>
      <groupName>格式问题</groupName>
      <ability>L2_HalfPunc_CN</ability>
      <abilityName>全半角问题</abilityName>
      <candidateList>
        <item>（</item>
      </candidateList>
      <explain>文本全半角错误。</explain>
      <paraID>3423EC6C</paraID>
      <start>1</start>
      <end>2</end>
      <status>unmodified</status>
      <modifiedWord/>
      <trackRevisions>false</trackRevisions>
    </reviewItem>
    <reviewItem>
      <errorID>86ceb14f-8aab-40dd-a00d-028787c05e00</errorID>
      <errorWord>)</errorWord>
      <group>L1_Format</group>
      <groupName>格式问题</groupName>
      <ability>L2_HalfPunc_CN</ability>
      <abilityName>全半角问题</abilityName>
      <candidateList>
        <item>）</item>
      </candidateList>
      <explain>文本全半角错误。</explain>
      <paraID>3423EC6C</paraID>
      <start>11</start>
      <end>12</end>
      <status>unmodified</status>
      <modifiedWord/>
      <trackRevisions>false</trackRevisions>
    </reviewItem>
    <reviewItem>
      <errorID>154507e7-7b89-46c0-a2f1-e035b756a6f8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3423EC6C</paraID>
      <start>29</start>
      <end>30</end>
      <status>unmodified</status>
      <modifiedWord/>
      <trackRevisions>false</trackRevisions>
    </reviewItem>
    <reviewItem>
      <errorID>cb8c6939-9379-4150-a6a9-b363ec6d90c5</errorID>
      <errorWord>云南省长</errorWord>
      <group>L1_Political</group>
      <groupName>政治性问题</groupName>
      <ability>L2_Unpolitical</ability>
      <abilityName>政治敏感错误</abilityName>
      <candidateList>
        <item>云南省省长</item>
      </candidateList>
      <explain/>
      <paraID>3423EC6C</paraID>
      <start>30</start>
      <end>34</end>
      <status>unmodified</status>
      <modifiedWord/>
      <trackRevisions>false</trackRevisions>
    </reviewItem>
    <reviewItem>
      <errorID>e915923a-7e92-43b2-a122-a3d36fc5bf90</errorID>
      <errorWord>(</errorWord>
      <group>L1_Format</group>
      <groupName>格式问题</groupName>
      <ability>L2_HalfPunc_CN</ability>
      <abilityName>全半角问题</abilityName>
      <candidateList>
        <item>（</item>
      </candidateList>
      <explain>文本全半角错误。</explain>
      <paraID> 602C87D</paraID>
      <start>16</start>
      <end>17</end>
      <status>unmodified</status>
      <modifiedWord/>
      <trackRevisions>false</trackRevisions>
    </reviewItem>
    <reviewItem>
      <errorID>6043fbad-f55a-446b-a64c-cfe0e9f38e5e</errorID>
      <errorWord>)</errorWord>
      <group>L1_Format</group>
      <groupName>格式问题</groupName>
      <ability>L2_HalfPunc_CN</ability>
      <abilityName>全半角问题</abilityName>
      <candidateList>
        <item>）</item>
      </candidateList>
      <explain>文本全半角错误。</explain>
      <paraID> 602C87D</paraID>
      <start>26</start>
      <end>27</end>
      <status>unmodified</status>
      <modifiedWord/>
      <trackRevisions>false</trackRevisions>
    </reviewItem>
    <reviewItem>
      <errorID>848338dc-8f98-4b56-8b05-f44f721ef2ee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602C87D</paraID>
      <start>27</start>
      <end>28</end>
      <status>unmodified</status>
      <modifiedWord/>
      <trackRevisions>false</trackRevisions>
    </reviewItem>
    <reviewItem>
      <errorID>69068e5e-57f9-40a5-adf0-c87a2122a49b</errorID>
      <errorWord>(</errorWord>
      <group>L1_Format</group>
      <groupName>格式问题</groupName>
      <ability>L2_HalfPunc_CN</ability>
      <abilityName>全半角问题</abilityName>
      <candidateList>
        <item>（</item>
      </candidateList>
      <explain>文本全半角错误。</explain>
      <paraID>7481D7B0</paraID>
      <start>24</start>
      <end>25</end>
      <status>unmodified</status>
      <modifiedWord/>
      <trackRevisions>false</trackRevisions>
    </reviewItem>
    <reviewItem>
      <errorID>3ecf0e09-9025-40ce-b9df-ee916735e3f9</errorID>
      <errorWord>风</errorWord>
      <group>L1_Word</group>
      <groupName>字词问题</groupName>
      <ability>L2_Typo</ability>
      <abilityName>字词错误</abilityName>
      <candidateList>
        <item>风险</item>
      </candidateList>
      <explain/>
      <paraID>1E5842FC</paraID>
      <start>17</start>
      <end>18</end>
      <status>unmodified</status>
      <modifiedWord/>
      <trackRevisions>false</trackRevisions>
    </reviewItem>
    <reviewItem>
      <errorID>1a4ad15f-1c58-4606-94c3-4eed5cbcefb0</errorID>
      <errorWord>公</errorWord>
      <group>L1_Word</group>
      <groupName>字词问题</groupName>
      <ability>L2_Typo</ability>
      <abilityName>字词错误</abilityName>
      <candidateList>
        <item>公开</item>
      </candidateList>
      <explain/>
      <paraID>7D6AB69F</paraID>
      <start>13</start>
      <end>14</end>
      <status>unmodified</status>
      <modifiedWord/>
      <trackRevisions>false</trackRevisions>
    </reviewItem>
    <reviewItem>
      <errorID>83bf906d-1724-4273-bfdf-2cd3dcea0e20</errorID>
      <errorWord>行</errorWord>
      <group>L1_Word</group>
      <groupName>字词问题</groupName>
      <ability>L2_Typo</ability>
      <abilityName>字词错误</abilityName>
      <candidateList>
        <item>行检</item>
      </candidateList>
      <explain/>
      <paraID>3FF50FFE</paraID>
      <start>16</start>
      <end>17</end>
      <status>unmodified</status>
      <modifiedWord/>
      <trackRevisions>false</trackRevisions>
    </reviewItem>
    <reviewItem>
      <errorID>6df61457-19c5-499d-8c3d-0ffe38e7830a</errorID>
      <errorWord>(</errorWord>
      <group>L1_Format</group>
      <groupName>格式问题</groupName>
      <ability>L2_HalfPunc_CN</ability>
      <abilityName>全半角问题</abilityName>
      <candidateList>
        <item>（</item>
      </candidateList>
      <explain>文本全半角错误。</explain>
      <paraID> A9A02BB</paraID>
      <start>7</start>
      <end>8</end>
      <status>unmodified</status>
      <modifiedWord/>
      <trackRevisions>false</trackRevisions>
    </reviewItem>
    <reviewItem>
      <errorID>ff250e77-46b2-429e-bdb6-04e84d203365</errorID>
      <errorWord>)</errorWord>
      <group>L1_Format</group>
      <groupName>格式问题</groupName>
      <ability>L2_HalfPunc_CN</ability>
      <abilityName>全半角问题</abilityName>
      <candidateList>
        <item>）</item>
      </candidateList>
      <explain>文本全半角错误。</explain>
      <paraID> A9A02BB</paraID>
      <start>9</start>
      <end>10</end>
      <status>unmodified</status>
      <modifiedWord/>
      <trackRevisions>false</trackRevisions>
    </reviewItem>
    <reviewItem>
      <errorID>fddb7e65-a1f4-4a18-8fd1-fb780aef159c</errorID>
      <errorWord>(</errorWord>
      <group>L1_Format</group>
      <groupName>格式问题</groupName>
      <ability>L2_HalfPunc_CN</ability>
      <abilityName>全半角问题</abilityName>
      <candidateList>
        <item>（</item>
      </candidateList>
      <explain>文本全半角错误。</explain>
      <paraID>21A690B2</paraID>
      <start>0</start>
      <end>1</end>
      <status>unmodified</status>
      <modifiedWord/>
      <trackRevisions>false</trackRevisions>
    </reviewItem>
    <reviewItem>
      <errorID>c5fec7f7-c651-453b-9b6e-36e152840bd5</errorID>
      <errorWord>),</errorWord>
      <group>L1_Format</group>
      <groupName>格式问题</groupName>
      <ability>L2_HalfPunc_CN</ability>
      <abilityName>全半角问题</abilityName>
      <candidateList>
        <item>），</item>
      </candidateList>
      <explain>文本全半角错误。</explain>
      <paraID>23E1331D</paraID>
      <start>6</start>
      <end>8</end>
      <status>unmodified</status>
      <modifiedWord/>
      <trackRevisions>false</trackRevisions>
    </reviewItem>
    <reviewItem>
      <errorID>88eaba4a-cfd1-4cdb-89ce-5425e2f4cc1a</errorID>
      <errorWord>管</errorWord>
      <group>L1_Word</group>
      <groupName>字词问题</groupName>
      <ability>L2_Typo</ability>
      <abilityName>字词错误</abilityName>
      <candidateList>
        <item>管理</item>
      </candidateList>
      <explain/>
      <paraID>3980313F</paraID>
      <start>17</start>
      <end>18</end>
      <status>unmodified</status>
      <modifiedWord/>
      <trackRevisions>false</trackRevisions>
    </reviewItem>
    <reviewItem>
      <errorID>bafb3b3a-03d9-4ee1-b988-2fb596b3b872</errorID>
      <errorWord>)</errorWord>
      <group>L1_Format</group>
      <groupName>格式问题</groupName>
      <ability>L2_HalfPunc_CN</ability>
      <abilityName>全半角问题</abilityName>
      <candidateList>
        <item>）</item>
      </candidateList>
      <explain>文本全半角错误。</explain>
      <paraID>351B8B7D</paraID>
      <start>44</start>
      <end>45</end>
      <status>unmodified</status>
      <modifiedWord/>
      <trackRevisions>false</trackRevisions>
    </reviewItem>
    <reviewItem>
      <errorID>11697385-3853-41ca-865e-1a44da828e6b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78F7E6B0</paraID>
      <start>0</start>
      <end>3</end>
      <status>unmodified</status>
      <modifiedWord/>
      <trackRevisions>false</trackRevisions>
    </reviewItem>
    <reviewItem>
      <errorID>c86bd6d6-69f8-4770-b14c-956ed5ccc86e</errorID>
      <errorWord>(</errorWord>
      <group>L1_Format</group>
      <groupName>格式问题</groupName>
      <ability>L2_HalfPunc_CN</ability>
      <abilityName>全半角问题</abilityName>
      <candidateList>
        <item>（</item>
      </candidateList>
      <explain>文本全半角错误。</explain>
      <paraID>78F7E6B0</paraID>
      <start>37</start>
      <end>38</end>
      <status>unmodified</status>
      <modifiedWord/>
      <trackRevisions>false</trackRevisions>
    </reviewItem>
    <reviewItem>
      <errorID>49febf80-b32c-419a-8d3d-23ff1f80020c</errorID>
      <errorWord>)</errorWord>
      <group>L1_Format</group>
      <groupName>格式问题</groupName>
      <ability>L2_HalfPunc_CN</ability>
      <abilityName>全半角问题</abilityName>
      <candidateList>
        <item>）</item>
      </candidateList>
      <explain>文本全半角错误。</explain>
      <paraID>78F7E6B0</paraID>
      <start>53</start>
      <end>54</end>
      <status>unmodified</status>
      <modifiedWord/>
      <trackRevisions>false</trackRevisions>
    </reviewItem>
    <reviewItem>
      <errorID>6254dfb4-3991-4a69-817a-d0881f24760a</errorID>
      <errorWord>(</errorWord>
      <group>L1_Format</group>
      <groupName>格式问题</groupName>
      <ability>L2_HalfPunc_CN</ability>
      <abilityName>全半角问题</abilityName>
      <candidateList>
        <item>（</item>
      </candidateList>
      <explain>文本全半角错误。</explain>
      <paraID>626BA135</paraID>
      <start>80</start>
      <end>81</end>
      <status>unmodified</status>
      <modifiedWord/>
      <trackRevisions>false</trackRevisions>
    </reviewItem>
    <reviewItem>
      <errorID>88770d01-68fd-4b55-bc40-7ea79759f053</errorID>
      <errorWord>)</errorWord>
      <group>L1_Format</group>
      <groupName>格式问题</groupName>
      <ability>L2_HalfPunc_CN</ability>
      <abilityName>全半角问题</abilityName>
      <candidateList>
        <item>）</item>
      </candidateList>
      <explain>文本全半角错误。</explain>
      <paraID>626BA135</paraID>
      <start>96</start>
      <end>97</end>
      <status>unmodified</status>
      <modifiedWord/>
      <trackRevisions>false</trackRevisions>
    </reviewItem>
    <reviewItem>
      <errorID>c1a519db-6a10-4d81-b2f6-5391715aea97</errorID>
      <errorWord>(</errorWord>
      <group>L1_Format</group>
      <groupName>格式问题</groupName>
      <ability>L2_HalfPunc_CN</ability>
      <abilityName>全半角问题</abilityName>
      <candidateList>
        <item>（</item>
      </candidateList>
      <explain>文本全半角错误。</explain>
      <paraID>6140BDEE</paraID>
      <start>37</start>
      <end>38</end>
      <status>unmodified</status>
      <modifiedWord/>
      <trackRevisions>false</trackRevisions>
    </reviewItem>
    <reviewItem>
      <errorID>7f0bfe2d-9cff-4785-9c16-2f3d35dbe643</errorID>
      <errorWord>)</errorWord>
      <group>L1_Format</group>
      <groupName>格式问题</groupName>
      <ability>L2_HalfPunc_CN</ability>
      <abilityName>全半角问题</abilityName>
      <candidateList>
        <item>）</item>
      </candidateList>
      <explain>文本全半角错误。</explain>
      <paraID>6140BDEE</paraID>
      <start>53</start>
      <end>54</end>
      <status>unmodified</status>
      <modifiedWord/>
      <trackRevisions>false</trackRevisions>
    </reviewItem>
    <reviewItem>
      <errorID>9251bd50-dca9-4f96-923a-58b4b7e81971</errorID>
      <errorWord>(</errorWord>
      <group>L1_Format</group>
      <groupName>格式问题</groupName>
      <ability>L2_HalfPunc_CN</ability>
      <abilityName>全半角问题</abilityName>
      <candidateList>
        <item>（</item>
      </candidateList>
      <explain>文本全半角错误。</explain>
      <paraID>3DDB80ED</paraID>
      <start>41</start>
      <end>42</end>
      <status>unmodified</status>
      <modifiedWord/>
      <trackRevisions>false</trackRevisions>
    </reviewItem>
    <reviewItem>
      <errorID>fba1881f-93b9-4371-9538-7de6409a095b</errorID>
      <errorWord>)</errorWord>
      <group>L1_Format</group>
      <groupName>格式问题</groupName>
      <ability>L2_HalfPunc_CN</ability>
      <abilityName>全半角问题</abilityName>
      <candidateList>
        <item>）</item>
      </candidateList>
      <explain>文本全半角错误。</explain>
      <paraID>3DDB80ED</paraID>
      <start>57</start>
      <end>58</end>
      <status>unmodified</status>
      <modifiedWord/>
      <trackRevisions>false</trackRevisions>
    </reviewItem>
    <reviewItem>
      <errorID>a4148cc1-704d-41c5-ad70-cd090e0cf129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682CA426</paraID>
      <start>0</start>
      <end>2</end>
      <status>unmodified</status>
      <modifiedWord/>
      <trackRevisions>false</trackRevisions>
    </reviewItem>
    <reviewItem>
      <errorID>29f9ecbe-d6ce-4bd3-a558-985fe5d91af0</errorID>
      <errorWord>(</errorWord>
      <group>L1_Format</group>
      <groupName>格式问题</groupName>
      <ability>L2_HalfPunc_CN</ability>
      <abilityName>全半角问题</abilityName>
      <candidateList>
        <item>（</item>
      </candidateList>
      <explain>文本全半角错误。</explain>
      <paraID>682CA426</paraID>
      <start>46</start>
      <end>47</end>
      <status>unmodified</status>
      <modifiedWord/>
      <trackRevisions>false</trackRevisions>
    </reviewItem>
    <reviewItem>
      <errorID>f7e3264f-1868-45b5-b09d-54ce78608c9b</errorID>
      <errorWord>)</errorWord>
      <group>L1_Format</group>
      <groupName>格式问题</groupName>
      <ability>L2_HalfPunc_CN</ability>
      <abilityName>全半角问题</abilityName>
      <candidateList>
        <item>）</item>
      </candidateList>
      <explain>文本全半角错误。</explain>
      <paraID>682CA426</paraID>
      <start>54</start>
      <end>55</end>
      <status>unmodified</status>
      <modifiedWord/>
      <trackRevisions>false</trackRevisions>
    </reviewItem>
    <reviewItem>
      <errorID>dd43ba57-061d-415b-be7d-c2ee0137e0cf</errorID>
      <errorWord>永 久基本农田</errorWord>
      <group>L1_Political</group>
      <groupName>政治性问题</groupName>
      <ability>L2_Keyword</ability>
      <abilityName>固定表述</abilityName>
      <candidateList>
        <item>永久基本农田</item>
      </candidateList>
      <explain>词汇“永久基本农田”在特定场景下为固定表述形式，请确认此处的“永 久基本农田”是否存在不当。</explain>
      <paraID>7A96D6AA</paraID>
      <start>19</start>
      <end>26</end>
      <status>unmodified</status>
      <modifiedWord/>
      <trackRevisions>false</trackRevisions>
    </reviewItem>
    <reviewItem>
      <errorID>e1c75b9b-9dbe-4aa3-ad68-2d9b49012335</errorID>
      <errorWord>,</errorWord>
      <group>L1_Format</group>
      <groupName>格式问题</groupName>
      <ability>L2_HalfPunc_CN</ability>
      <abilityName>全半角问题</abilityName>
      <candidateList>
        <item>，</item>
      </candidateList>
      <explain>文本全半角错误。</explain>
      <paraID>5B735FC6</paraID>
      <start>14</start>
      <end>15</end>
      <status>unmodified</status>
      <modifiedWord/>
      <trackRevisions>false</trackRevisions>
    </reviewItem>
    <reviewItem>
      <errorID>0238a2a0-ba30-4943-80d5-09efc4d83dfa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1CB46498</paraID>
      <start>0</start>
      <end>2</end>
      <status>unmodified</status>
      <modifiedWord/>
      <trackRevisions>false</trackRevisions>
    </reviewItem>
    <reviewItem>
      <errorID>19465dbc-4a62-45b4-85c5-c4cd3b503c92</errorID>
      <errorWord>工</errorWord>
      <group>L1_Word</group>
      <groupName>字词问题</groupName>
      <ability>L2_Typo</ability>
      <abilityName>字词错误</abilityName>
      <candidateList>
        <item>工作</item>
      </candidateList>
      <explain/>
      <paraID>766E12D1</paraID>
      <start>18</start>
      <end>19</end>
      <status>unmodified</status>
      <modifiedWord/>
      <trackRevisions>false</trackRevisions>
    </reviewItem>
    <reviewItem>
      <errorID>62e63ea2-48f6-48df-852c-70120e152d10</errorID>
      <errorWord>(</errorWord>
      <group>L1_Format</group>
      <groupName>格式问题</groupName>
      <ability>L2_HalfPunc_CN</ability>
      <abilityName>全半角问题</abilityName>
      <candidateList>
        <item>（</item>
      </candidateList>
      <explain>文本全半角错误。</explain>
      <paraID>6756B9CB</paraID>
      <start>39</start>
      <end>40</end>
      <status>unmodified</status>
      <modifiedWord/>
      <trackRevisions>false</trackRevisions>
    </reviewItem>
    <reviewItem>
      <errorID>a2fb55d1-a693-4db7-a36d-ead9e9166c7b</errorID>
      <errorWord>)</errorWord>
      <group>L1_Format</group>
      <groupName>格式问题</groupName>
      <ability>L2_HalfPunc_CN</ability>
      <abilityName>全半角问题</abilityName>
      <candidateList>
        <item>）</item>
      </candidateList>
      <explain>文本全半角错误。</explain>
      <paraID>6756B9CB</paraID>
      <start>55</start>
      <end>56</end>
      <status>unmodified</status>
      <modifiedWord/>
      <trackRevisions>false</trackRevisions>
    </reviewItem>
    <reviewItem>
      <errorID>b3278db4-fd7d-4c3c-9f48-a10cb7aaf941</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7E692589</paraID>
      <start>0</start>
      <end>3</end>
      <status>unmodified</status>
      <modifiedWord/>
      <trackRevisions>false</trackRevisions>
    </reviewItem>
    <reviewItem>
      <errorID>9d4900e8-3264-46da-9bc7-23e1512e625c</errorID>
      <errorWord>(</errorWord>
      <group>L1_Format</group>
      <groupName>格式问题</groupName>
      <ability>L2_HalfPunc_CN</ability>
      <abilityName>全半角问题</abilityName>
      <candidateList>
        <item>（</item>
      </candidateList>
      <explain>文本全半角错误。</explain>
      <paraID>7E692589</paraID>
      <start>40</start>
      <end>41</end>
      <status>unmodified</status>
      <modifiedWord/>
      <trackRevisions>false</trackRevisions>
    </reviewItem>
    <reviewItem>
      <errorID>5a61523d-20f8-4845-ab59-bcda38b90534</errorID>
      <errorWord>)</errorWord>
      <group>L1_Format</group>
      <groupName>格式问题</groupName>
      <ability>L2_HalfPunc_CN</ability>
      <abilityName>全半角问题</abilityName>
      <candidateList>
        <item>）</item>
      </candidateList>
      <explain>文本全半角错误。</explain>
      <paraID>7E692589</paraID>
      <start>54</start>
      <end>55</end>
      <status>unmodified</status>
      <modifiedWord/>
      <trackRevisions>false</trackRevisions>
    </reviewItem>
    <reviewItem>
      <errorID>7b203f86-5f5c-4287-bc9b-dde89516e005</errorID>
      <errorWord>(</errorWord>
      <group>L1_Format</group>
      <groupName>格式问题</groupName>
      <ability>L2_HalfPunc_CN</ability>
      <abilityName>全半角问题</abilityName>
      <candidateList>
        <item>（</item>
      </candidateList>
      <explain>文本全半角错误。</explain>
      <paraID>5A821E44</paraID>
      <start>36</start>
      <end>37</end>
      <status>unmodified</status>
      <modifiedWord/>
      <trackRevisions>false</trackRevisions>
    </reviewItem>
    <reviewItem>
      <errorID>edf720bd-30fa-4458-b0d4-20b4ab8108af</errorID>
      <errorWord>)</errorWord>
      <group>L1_Format</group>
      <groupName>格式问题</groupName>
      <ability>L2_HalfPunc_CN</ability>
      <abilityName>全半角问题</abilityName>
      <candidateList>
        <item>）</item>
      </candidateList>
      <explain>文本全半角错误。</explain>
      <paraID>5A821E44</paraID>
      <start>50</start>
      <end>51</end>
      <status>unmodified</status>
      <modifiedWord/>
      <trackRevisions>false</trackRevisions>
    </reviewItem>
    <reviewItem>
      <errorID>24b53c6e-c67f-42bc-8264-d6c1c7583f68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1F10AE09</paraID>
      <start>0</start>
      <end>3</end>
      <status>unmodified</status>
      <modifiedWord/>
      <trackRevisions>false</trackRevisions>
    </reviewItem>
    <reviewItem>
      <errorID>5ff9ba44-5a07-44b1-a0cc-9a2b91cb0b6d</errorID>
      <errorWord>，</errorWord>
      <group>L1_Word</group>
      <groupName>字词问题</groupName>
      <ability>L2_Typo</ability>
      <abilityName>字词错误</abilityName>
      <candidateList>
        <item>，有</item>
      </candidateList>
      <explain/>
      <paraID>10E7044C</paraID>
      <start>69</start>
      <end>70</end>
      <status>unmodified</status>
      <modifiedWord/>
      <trackRevisions>false</trackRevisions>
    </reviewItem>
    <reviewItem>
      <errorID>6bdb55b6-3da2-4466-acb8-9d371ad1d484</errorID>
      <errorWord>(</errorWord>
      <group>L1_Format</group>
      <groupName>格式问题</groupName>
      <ability>L2_HalfPunc_CN</ability>
      <abilityName>全半角问题</abilityName>
      <candidateList>
        <item>（</item>
      </candidateList>
      <explain>文本全半角错误。</explain>
      <paraID>66170EE8</paraID>
      <start>42</start>
      <end>43</end>
      <status>unmodified</status>
      <modifiedWord/>
      <trackRevisions>false</trackRevisions>
    </reviewItem>
    <reviewItem>
      <errorID>19d06b07-fe54-42c4-8fa7-8e43ef578d45</errorID>
      <errorWord>)</errorWord>
      <group>L1_Format</group>
      <groupName>格式问题</groupName>
      <ability>L2_HalfPunc_CN</ability>
      <abilityName>全半角问题</abilityName>
      <candidateList>
        <item>）</item>
      </candidateList>
      <explain>文本全半角错误。</explain>
      <paraID>66170EE8</paraID>
      <start>56</start>
      <end>57</end>
      <status>unmodified</status>
      <modifiedWord/>
      <trackRevisions>false</trackRevisions>
    </reviewItem>
    <reviewItem>
      <errorID>80420768-62b0-48ef-9837-9b40490d48df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33EFD693</paraID>
      <start>0</start>
      <end>3</end>
      <status>unmodified</status>
      <modifiedWord/>
      <trackRevisions>false</trackRevisions>
    </reviewItem>
    <reviewItem>
      <errorID>d55152b7-4686-4573-b6ba-8462c55485e1</errorID>
      <errorWord>二O三五</errorWord>
      <group>L1_Knowledge</group>
      <groupName>知识性问题</groupName>
      <ability>L2_Knowledge</ability>
      <abilityName>其他知识</abilityName>
      <candidateList>
        <item>二〇三五</item>
      </candidateList>
      <explain>中文数字应使用“〇”，而非形似的字符，如“O”。该字符在不同字体下外观可能相似，但含义和编码不同，请注意区分。</explain>
      <paraID>33EFD693</paraID>
      <start>26</start>
      <end>30</end>
      <status>unmodified</status>
      <modifiedWord/>
      <trackRevisions>false</trackRevisions>
    </reviewItem>
    <reviewItem>
      <errorID>8e21624f-60ea-4ee7-a2f5-a99a37d3ccac</errorID>
      <errorWord>二O三五</errorWord>
      <group>L1_Knowledge</group>
      <groupName>知识性问题</groupName>
      <ability>L2_Knowledge</ability>
      <abilityName>其他知识</abilityName>
      <candidateList>
        <item>二〇三五</item>
      </candidateList>
      <explain>中文数字应使用“〇”，而非形似的字符，如“O”。该字符在不同字体下外观可能相似，但含义和编码不同，请注意区分。</explain>
      <paraID>26E67D99</paraID>
      <start>22</start>
      <end>26</end>
      <status>unmodified</status>
      <modifiedWord/>
      <trackRevisions>false</trackRevisions>
    </reviewItem>
    <reviewItem>
      <errorID>852d3a90-9263-462f-8b74-d36e4ad0df29</errorID>
      <errorWord>二O三五</errorWord>
      <group>L1_Knowledge</group>
      <groupName>知识性问题</groupName>
      <ability>L2_Knowledge</ability>
      <abilityName>其他知识</abilityName>
      <candidateList>
        <item>二〇三五</item>
      </candidateList>
      <explain>中文数字应使用“〇”，而非形似的字符，如“O”。该字符在不同字体下外观可能相似，但含义和编码不同，请注意区分。</explain>
      <paraID>162D90D2</paraID>
      <start>163</start>
      <end>167</end>
      <status>unmodified</status>
      <modifiedWord/>
      <trackRevisions>false</trackRevisions>
    </reviewItem>
    <reviewItem>
      <errorID>85610a8f-6543-421b-bf8d-de2d015f233b</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28945777</paraID>
      <start>0</start>
      <end>3</end>
      <status>unmodified</status>
      <modifiedWord/>
      <trackRevisions>false</trackRevisions>
    </reviewItem>
    <reviewItem>
      <errorID>a65494b5-391d-48c0-bb5d-b1339ebeea4f</errorID>
      <errorWord>二O三五</errorWord>
      <group>L1_Knowledge</group>
      <groupName>知识性问题</groupName>
      <ability>L2_Knowledge</ability>
      <abilityName>其他知识</abilityName>
      <candidateList>
        <item>二〇三五</item>
      </candidateList>
      <explain>中文数字应使用“〇”，而非形似的字符，如“O”。该字符在不同字体下外观可能相似，但含义和编码不同，请注意区分。</explain>
      <paraID>28945777</paraID>
      <start>26</start>
      <end>30</end>
      <status>unmodified</status>
      <modifiedWord/>
      <trackRevisions>false</trackRevisions>
    </reviewItem>
    <reviewItem>
      <errorID>3fd70fbe-3a15-4e76-91cd-65968a5f0149</errorID>
      <errorWord>二O三五</errorWord>
      <group>L1_Knowledge</group>
      <groupName>知识性问题</groupName>
      <ability>L2_Knowledge</ability>
      <abilityName>其他知识</abilityName>
      <candidateList>
        <item>二〇三五</item>
      </candidateList>
      <explain>中文数字应使用“〇”，而非形似的字符，如“O”。该字符在不同字体下外观可能相似，但含义和编码不同，请注意区分。</explain>
      <paraID> 5F7868C</paraID>
      <start>22</start>
      <end>26</end>
      <status>unmodified</status>
      <modifiedWord/>
      <trackRevisions>false</trackRevisions>
    </reviewItem>
    <reviewItem>
      <errorID>7a2747e0-e64a-4eb6-9654-b60f79ff9621</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19032377</paraID>
      <start>0</start>
      <end>3</end>
      <status>unmodified</status>
      <modifiedWord/>
      <trackRevisions>false</trackRevisions>
    </reviewItem>
    <reviewItem>
      <errorID>560d19f3-8265-4d97-b3da-db25d0263e30</errorID>
      <errorWord>(</errorWord>
      <group>L1_Format</group>
      <groupName>格式问题</groupName>
      <ability>L2_HalfPunc_CN</ability>
      <abilityName>全半角问题</abilityName>
      <candidateList>
        <item>（</item>
      </candidateList>
      <explain>文本全半角错误。</explain>
      <paraID>13729346</paraID>
      <start>26</start>
      <end>27</end>
      <status>unmodified</status>
      <modifiedWord/>
      <trackRevisions>false</trackRevisions>
    </reviewItem>
    <reviewItem>
      <errorID>267c005c-9a57-48b2-a8e5-bd951db9834b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13729346</paraID>
      <start>31</start>
      <end>32</end>
      <status>unmodified</status>
      <modifiedWord/>
      <trackRevisions>false</trackRevisions>
    </reviewItem>
    <reviewItem>
      <errorID>c94620f7-4c66-49ec-9a9f-c873695401ec</errorID>
      <errorWord>)</errorWord>
      <group>L1_Format</group>
      <groupName>格式问题</groupName>
      <ability>L2_HalfPunc_CN</ability>
      <abilityName>全半角问题</abilityName>
      <candidateList>
        <item>）</item>
      </candidateList>
      <explain>文本全半角错误。</explain>
      <paraID>13729346</paraID>
      <start>36</start>
      <end>37</end>
      <status>unmodified</status>
      <modifiedWord/>
      <trackRevisions>false</trackRevisions>
    </reviewItem>
    <reviewItem>
      <errorID>1c2f97c8-236e-43e1-b231-b97e713ee45a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303E843F</paraID>
      <start>3</start>
      <end>4</end>
      <status>unmodified</status>
      <modifiedWord/>
      <trackRevisions>false</trackRevisions>
    </reviewItem>
    <reviewItem>
      <errorID>6fb5dfa3-fe43-4b14-afd8-1d0817a59dad</errorID>
      <errorWord>问</errorWord>
      <group>L1_Word</group>
      <groupName>字词问题</groupName>
      <ability>L2_Typo</ability>
      <abilityName>字词错误</abilityName>
      <candidateList>
        <item>问题</item>
      </candidateList>
      <explain/>
      <paraID>24998BC8</paraID>
      <start>15</start>
      <end>16</end>
      <status>unmodified</status>
      <modifiedWord/>
      <trackRevisions>false</trackRevisions>
    </reviewItem>
    <reviewItem>
      <errorID>97d4a965-0666-4fca-b4cd-c0d6f2b2b3eb</errorID>
      <errorWord>生态环境质 量</errorWord>
      <group>L1_Political</group>
      <groupName>政治性问题</groupName>
      <ability>L2_Keyword</ability>
      <abilityName>固定表述</abilityName>
      <candidateList>
        <item>生态环境质量</item>
      </candidateList>
      <explain>词汇“生态环境质量”在特定场景下为固定表述形式，请确认此处的“生态环境质 量”是否存在不当。</explain>
      <paraID> F63FEBA</paraID>
      <start>0</start>
      <end>7</end>
      <status>unmodified</status>
      <modifiedWord/>
      <trackRevisions>false</trackRevisions>
    </reviewItem>
    <reviewItem>
      <errorID>216482fe-68ba-4efb-9d3f-734315e98f0e</errorID>
      <errorWord>,</errorWord>
      <group>L1_Format</group>
      <groupName>格式问题</groupName>
      <ability>L2_HalfPunc_CN</ability>
      <abilityName>全半角问题</abilityName>
      <candidateList>
        <item>，</item>
      </candidateList>
      <explain>文本全半角错误。</explain>
      <paraID>614DA433</paraID>
      <start>34</start>
      <end>35</end>
      <status>unmodified</status>
      <modifiedWord/>
      <trackRevisions>false</trackRevisions>
    </reviewItem>
    <reviewItem>
      <errorID>b2d143bb-71f7-4504-9305-b25d9f494b58</errorID>
      <errorWord>(</errorWord>
      <group>L1_Format</group>
      <groupName>格式问题</groupName>
      <ability>L2_HalfPunc_CN</ability>
      <abilityName>全半角问题</abilityName>
      <candidateList>
        <item>（</item>
      </candidateList>
      <explain>文本全半角错误。</explain>
      <paraID>692751AE</paraID>
      <start>6</start>
      <end>7</end>
      <status>unmodified</status>
      <modifiedWord/>
      <trackRevisions>false</trackRevisions>
    </reviewItem>
    <reviewItem>
      <errorID>682b82d3-7478-4932-b461-ed951a8aff1d</errorID>
      <errorWord>)</errorWord>
      <group>L1_Format</group>
      <groupName>格式问题</groupName>
      <ability>L2_HalfPunc_CN</ability>
      <abilityName>全半角问题</abilityName>
      <candidateList>
        <item>）</item>
      </candidateList>
      <explain>文本全半角错误。</explain>
      <paraID>692751AE</paraID>
      <start>12</start>
      <end>13</end>
      <status>unmodified</status>
      <modifiedWord/>
      <trackRevisions>false</trackRevisions>
    </reviewItem>
    <reviewItem>
      <errorID>ef7bc534-1209-4b25-9abe-9c79a7aba84f</errorID>
      <errorWord>处</errorWord>
      <group>L1_Word</group>
      <groupName>字词问题</groupName>
      <ability>L2_Typo</ability>
      <abilityName>字词错误</abilityName>
      <candidateList>
        <item>处理</item>
      </candidateList>
      <explain/>
      <paraID>692751AE</paraID>
      <start>15</start>
      <end>16</end>
      <status>unmodified</status>
      <modifiedWord/>
      <trackRevisions>false</trackRevisions>
    </reviewItem>
    <reviewItem>
      <errorID>b745f119-e88f-4adc-9518-4cd36f6af4fe</errorID>
      <errorWord>害</errorWord>
      <group>L1_Word</group>
      <groupName>字词问题</groupName>
      <ability>L2_Typo</ability>
      <abilityName>字词错误</abilityName>
      <candidateList>
        <item>害化</item>
      </candidateList>
      <explain/>
      <paraID>57CEA98F</paraID>
      <start>15</start>
      <end>16</end>
      <status>unmodified</status>
      <modifiedWord/>
      <trackRevisions>false</trackRevisions>
    </reviewItem>
    <reviewItem>
      <errorID>1a6d24d2-2c57-41b9-a8af-ff63b08b6daa</errorID>
      <errorWord>太阳光</errorWord>
      <group>L1_Word</group>
      <groupName>字词问题</groupName>
      <ability>L2_Typo</ability>
      <abilityName>字词错误</abilityName>
      <candidateList>
        <item>太阳</item>
      </candidateList>
      <explain/>
      <paraID>12CCF2D9</paraID>
      <start>7</start>
      <end>10</end>
      <status>unmodified</status>
      <modifiedWord/>
      <trackRevisions>false</trackRevisions>
    </reviewItem>
    <reviewItem>
      <errorID>3d042c4b-cb93-4dc7-a57b-646f97c24535</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5823AD78</paraID>
      <start>0</start>
      <end>3</end>
      <status>unmodified</status>
      <modifiedWord/>
      <trackRevisions>false</trackRevisions>
    </reviewItem>
    <reviewItem>
      <errorID>cd9bb840-6d7f-4a8b-85de-fec545f64c54</errorID>
      <errorWord>民政府</errorWord>
      <group>L1_Political</group>
      <groupName>政治性问题</groupName>
      <ability>L2_Unpolitical</ability>
      <abilityName>政治敏感错误</abilityName>
      <candidateList>
        <item>人民政府</item>
      </candidateList>
      <explain/>
      <paraID>79723C7E</paraID>
      <start>99</start>
      <end>102</end>
      <status>unmodified</status>
      <modifiedWord/>
      <trackRevisions>false</trackRevisions>
    </reviewItem>
    <reviewItem>
      <errorID>1d257d33-0dd0-4713-bfe4-8adeadb42dbe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3941B9E9</paraID>
      <start>0</start>
      <end>3</end>
      <status>unmodified</status>
      <modifiedWord/>
      <trackRevisions>false</trackRevisions>
    </reviewItem>
    <reviewItem>
      <errorID>5f41ba87-60b8-4f0e-b513-6b086f1e212a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3B58BE6E</paraID>
      <start>0</start>
      <end>3</end>
      <status>unmodified</status>
      <modifiedWord/>
      <trackRevisions>false</trackRevisions>
    </reviewItem>
    <reviewItem>
      <errorID>f4ae8afe-14f9-46d0-bd80-8ed540e89b46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1CA157CF</paraID>
      <start>0</start>
      <end>3</end>
      <status>unmodified</status>
      <modifiedWord/>
      <trackRevisions>false</trackRevisions>
    </reviewItem>
    <reviewItem>
      <errorID>a5c23fd8-2d40-4129-b259-815267570e70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6874BAE2</paraID>
      <start>0</start>
      <end>3</end>
      <status>unmodified</status>
      <modifiedWord/>
      <trackRevisions>false</trackRevisions>
    </reviewItem>
    <reviewItem>
      <errorID>dcde08d0-0d25-4382-853b-755dd5a30113</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55347FBC</paraID>
      <start>0</start>
      <end>3</end>
      <status>unmodified</status>
      <modifiedWord/>
      <trackRevisions>false</trackRevisions>
    </reviewItem>
    <reviewItem>
      <errorID>6205b1fd-14ae-488d-b8cc-3d694ce1d997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2E93F305</paraID>
      <start>0</start>
      <end>3</end>
      <status>unmodified</status>
      <modifiedWord/>
      <trackRevisions>false</trackRevisions>
    </reviewItem>
    <reviewItem>
      <errorID>204c8bb9-abd8-4e6b-9307-e143822cd8a2</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37621775</paraID>
      <start>0</start>
      <end>3</end>
      <status>unmodified</status>
      <modifiedWord/>
      <trackRevisions>false</trackRevisions>
    </reviewItem>
    <reviewItem>
      <errorID>24688201-53e0-479c-8103-2cf391a48c9e</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4A0CDA60</paraID>
      <start>0</start>
      <end>3</end>
      <status>unmodified</status>
      <modifiedWord/>
      <trackRevisions>false</trackRevisions>
    </reviewItem>
    <reviewItem>
      <errorID>be8cf547-6e3e-4a74-8eef-3fdb5d260e32</errorID>
      <errorWord>学</errorWord>
      <group>L1_Word</group>
      <groupName>字词问题</groupName>
      <ability>L2_Typo</ability>
      <abilityName>字词错误</abilityName>
      <candidateList>
        <item>学品</item>
      </candidateList>
      <explain/>
      <paraID>4A0CDA60</paraID>
      <start>11</start>
      <end>12</end>
      <status>unmodified</status>
      <modifiedWord/>
      <trackRevisions>false</trackRevisions>
    </reviewItem>
    <reviewItem>
      <errorID>b874a142-d87e-40e0-b0f8-0446582ffcf3</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4AA4853B</paraID>
      <start>0</start>
      <end>3</end>
      <status>unmodified</status>
      <modifiedWord/>
      <trackRevisions>false</trackRevisions>
    </reviewItem>
    <reviewItem>
      <errorID>aed669d4-4b7a-45b5-9d83-2ae166982e5c</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1476563F</paraID>
      <start>0</start>
      <end>3</end>
      <status>unmodified</status>
      <modifiedWord/>
      <trackRevisions>false</trackRevisions>
    </reviewItem>
    <reviewItem>
      <errorID>93aff0d1-6e40-44fd-b060-cfad0d02d7a9</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7C77370F</paraID>
      <start>0</start>
      <end>4</end>
      <status>unmodified</status>
      <modifiedWord/>
      <trackRevisions>false</trackRevisions>
    </reviewItem>
    <reviewItem>
      <errorID>312b8160-3b5d-4188-a01a-3423374baa37</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19838EE9</paraID>
      <start>0</start>
      <end>4</end>
      <status>unmodified</status>
      <modifiedWord/>
      <trackRevisions>false</trackRevisions>
    </reviewItem>
    <reviewItem>
      <errorID>87044607-6b87-4474-b4dd-367e60601419</errorID>
      <errorWord>法律、法规</errorWord>
      <group>L1_Word</group>
      <groupName>字词问题</groupName>
      <ability>L2_Typo</ability>
      <abilityName>字词错误</abilityName>
      <candidateList>
        <item>法律法规</item>
      </candidateList>
      <explain/>
      <paraID>19838EE9</paraID>
      <start>4</start>
      <end>9</end>
      <status>unmodified</status>
      <modifiedWord/>
      <trackRevisions>false</trackRevisions>
    </reviewItem>
    <reviewItem>
      <errorID>de16c7a8-9d85-48ab-80d2-7bd3b67c6792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17EFEA28</paraID>
      <start>0</start>
      <end>3</end>
      <status>unmodified</status>
      <modifiedWord/>
      <trackRevisions>false</trackRevisions>
    </reviewItem>
    <reviewItem>
      <errorID>76bc878c-4835-49ec-87df-f1b928f14283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56527DA5</paraID>
      <start>0</start>
      <end>3</end>
      <status>unmodified</status>
      <modifiedWord/>
      <trackRevisions>false</trackRevisions>
    </reviewItem>
    <reviewItem>
      <errorID>5041f5ee-15d8-4198-8d44-36aab783966f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52FF8D8F</paraID>
      <start>0</start>
      <end>3</end>
      <status>unmodified</status>
      <modifiedWord/>
      <trackRevisions>false</trackRevisions>
    </reviewItem>
    <reviewItem>
      <errorID>e2df0100-6839-4284-a799-e388ff3b6d99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317CBBA</paraID>
      <start>0</start>
      <end>3</end>
      <status>unmodified</status>
      <modifiedWord/>
      <trackRevisions>false</trackRevisions>
    </reviewItem>
    <reviewItem>
      <errorID>0a083b22-c83c-4576-ba15-2be335f46b46</errorID>
      <errorWord>法律、法规</errorWord>
      <group>L1_Word</group>
      <groupName>字词问题</groupName>
      <ability>L2_Typo</ability>
      <abilityName>字词错误</abilityName>
      <candidateList>
        <item>法律法规</item>
      </candidateList>
      <explain/>
      <paraID> 317CBBA</paraID>
      <start>3</start>
      <end>8</end>
      <status>unmodified</status>
      <modifiedWord/>
      <trackRevisions>false</trackRevisions>
    </reviewItem>
    <reviewItem>
      <errorID>ac207553-9ccc-4de2-b4ce-12b98d963935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674A00ED</paraID>
      <start>0</start>
      <end>3</end>
      <status>unmodified</status>
      <modifiedWord/>
      <trackRevisions>false</trackRevisions>
    </reviewItem>
    <reviewItem>
      <errorID>04560867-1a47-44e5-a9ce-606e9599217a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6F37CC30</paraID>
      <start>0</start>
      <end>3</end>
      <status>unmodified</status>
      <modifiedWord/>
      <trackRevisions>false</trackRevisions>
    </reviewItem>
    <reviewItem>
      <errorID>210edfb2-4476-41a9-8f22-1cbc51f7b589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A6F14AB</paraID>
      <start>0</start>
      <end>3</end>
      <status>unmodified</status>
      <modifiedWord/>
      <trackRevisions>false</trackRevisions>
    </reviewItem>
    <reviewItem>
      <errorID>3f0f30bf-5fd7-4f9c-b3b3-f9359072ff80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23209C42</paraID>
      <start>0</start>
      <end>3</end>
      <status>unmodified</status>
      <modifiedWord/>
      <trackRevisions>false</trackRevisions>
    </reviewItem>
    <reviewItem>
      <errorID>4694e6d1-826d-4130-be97-a0cf95c02952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43EF17EA</paraID>
      <start>0</start>
      <end>3</end>
      <status>unmodified</status>
      <modifiedWord/>
      <trackRevisions>false</trackRevisions>
    </reviewItem>
    <reviewItem>
      <errorID>b0211866-c3d7-4dc6-bdef-308868abeaeb</errorID>
      <errorWord>法律、法规</errorWord>
      <group>L1_Word</group>
      <groupName>字词问题</groupName>
      <ability>L2_Typo</ability>
      <abilityName>字词错误</abilityName>
      <candidateList>
        <item>法律法规</item>
      </candidateList>
      <explain/>
      <paraID>43EF17EA</paraID>
      <start>3</start>
      <end>8</end>
      <status>unmodified</status>
      <modifiedWord/>
      <trackRevisions>false</trackRevisions>
    </reviewItem>
    <reviewItem>
      <errorID>a14eafaf-3692-4dc9-a669-ff2c2cace3ca</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240BDA5</paraID>
      <start>0</start>
      <end>3</end>
      <status>unmodified</status>
      <modifiedWord/>
      <trackRevisions>false</trackRevisions>
    </reviewItem>
    <reviewItem>
      <errorID>d1fdafbe-5c8f-4796-8620-32830445a28f</errorID>
      <errorWord>(</errorWord>
      <group>L1_Format</group>
      <groupName>格式问题</groupName>
      <ability>L2_HalfPunc_CN</ability>
      <abilityName>全半角问题</abilityName>
      <candidateList>
        <item>（</item>
      </candidateList>
      <explain>文本全半角错误。</explain>
      <paraID> 240BDA5</paraID>
      <start>16</start>
      <end>17</end>
      <status>unmodified</status>
      <modifiedWord/>
      <trackRevisions>false</trackRevisions>
    </reviewItem>
    <reviewItem>
      <errorID>74e7d58a-b573-4ce3-85fc-bf0e049232af</errorID>
      <errorWord>)</errorWord>
      <group>L1_Format</group>
      <groupName>格式问题</groupName>
      <ability>L2_HalfPunc_CN</ability>
      <abilityName>全半角问题</abilityName>
      <candidateList>
        <item>）</item>
      </candidateList>
      <explain>文本全半角错误。</explain>
      <paraID> 240BDA5</paraID>
      <start>29</start>
      <end>30</end>
      <status>unmodified</status>
      <modifiedWord/>
      <trackRevisions>false</trackRevisions>
    </reviewItem>
    <reviewItem>
      <errorID>65d0cea7-bfaa-415a-b440-898881ac2254</errorID>
      <errorWord>(</errorWord>
      <group>L1_Format</group>
      <groupName>格式问题</groupName>
      <ability>L2_HalfPunc_CN</ability>
      <abilityName>全半角问题</abilityName>
      <candidateList>
        <item>（</item>
      </candidateList>
      <explain>文本全半角错误。</explain>
      <paraID>4408373B</paraID>
      <start>15</start>
      <end>16</end>
      <status>unmodified</status>
      <modifiedWord/>
      <trackRevisions>false</trackRevisions>
    </reviewItem>
    <reviewItem>
      <errorID>89ad7a76-b2d2-4ca1-8df1-22f3652ea4ff</errorID>
      <errorWord>)</errorWord>
      <group>L1_Format</group>
      <groupName>格式问题</groupName>
      <ability>L2_HalfPunc_CN</ability>
      <abilityName>全半角问题</abilityName>
      <candidateList>
        <item>）</item>
      </candidateList>
      <explain>文本全半角错误。</explain>
      <paraID>4408373B</paraID>
      <start>28</start>
      <end>29</end>
      <status>unmodified</status>
      <modifiedWord/>
      <trackRevisions>false</trackRevisions>
    </reviewItem>
    <reviewItem>
      <errorID>001192ee-589e-43dc-8770-2163ba533414</errorID>
      <errorWord>国士空间</errorWord>
      <group>L1_Knowledge</group>
      <groupName>知识性问题</groupName>
      <ability>L2_Knowledge</ability>
      <abilityName>其他知识</abilityName>
      <candidateList>
        <item>国土空间</item>
      </candidateList>
      <explain/>
      <paraID>60C85820</paraID>
      <start>12</start>
      <end>16</end>
      <status>unmodified</status>
      <modifiedWord/>
      <trackRevisions>false</trackRevisions>
    </reviewItem>
    <reviewItem>
      <errorID>1a523619-1238-440d-95e1-f290c9e07d25</errorID>
      <errorWord>(</errorWord>
      <group>L1_Format</group>
      <groupName>格式问题</groupName>
      <ability>L2_HalfPunc_CN</ability>
      <abilityName>全半角问题</abilityName>
      <candidateList>
        <item>（</item>
      </candidateList>
      <explain>文本全半角错误。</explain>
      <paraID>60C85820</paraID>
      <start>20</start>
      <end>21</end>
      <status>unmodified</status>
      <modifiedWord/>
      <trackRevisions>false</trackRevisions>
    </reviewItem>
    <reviewItem>
      <errorID>da586ab2-e0fe-430c-8329-91217bcfd814</errorID>
      <errorWord>)</errorWord>
      <group>L1_Format</group>
      <groupName>格式问题</groupName>
      <ability>L2_HalfPunc_CN</ability>
      <abilityName>全半角问题</abilityName>
      <candidateList>
        <item>）</item>
      </candidateList>
      <explain>文本全半角错误。</explain>
      <paraID>60C85820</paraID>
      <start>31</start>
      <end>32</end>
      <status>unmodified</status>
      <modifiedWord/>
      <trackRevisions>false</trackRevisions>
    </reviewItem>
    <reviewItem>
      <errorID>9847965b-053b-4dfc-9009-87fdd57eb10f</errorID>
      <errorWord>(</errorWord>
      <group>L1_Format</group>
      <groupName>格式问题</groupName>
      <ability>L2_HalfPunc_CN</ability>
      <abilityName>全半角问题</abilityName>
      <candidateList>
        <item>（</item>
      </candidateList>
      <explain>文本全半角错误。</explain>
      <paraID>3C3394D2</paraID>
      <start>12</start>
      <end>13</end>
      <status>unmodified</status>
      <modifiedWord/>
      <trackRevisions>false</trackRevisions>
    </reviewItem>
    <reviewItem>
      <errorID>f075846d-3987-4bb4-9ce0-8dfaa0f3ea2d</errorID>
      <errorWord>)</errorWord>
      <group>L1_Format</group>
      <groupName>格式问题</groupName>
      <ability>L2_HalfPunc_CN</ability>
      <abilityName>全半角问题</abilityName>
      <candidateList>
        <item>）</item>
      </candidateList>
      <explain>文本全半角错误。</explain>
      <paraID>3C3394D2</paraID>
      <start>23</start>
      <end>24</end>
      <status>unmodified</status>
      <modifiedWord/>
      <trackRevisions>false</trackRevisions>
    </reviewItem>
    <reviewItem>
      <errorID>beadbfc6-57e5-443a-8c59-f30c36c33e30</errorID>
      <errorWord>生态保护 红线</errorWord>
      <group>L1_Political</group>
      <groupName>政治性问题</groupName>
      <ability>L2_Keyword</ability>
      <abilityName>固定表述</abilityName>
      <candidateList>
        <item>生态保护红线</item>
      </candidateList>
      <explain>词汇“生态保护红线”在特定场景下为固定表述形式，请确认此处的“生态保护 红线”是否存在不当。</explain>
      <paraID>1BB694E8</paraID>
      <start>20</start>
      <end>27</end>
      <status>unmodified</status>
      <modifiedWord/>
      <trackRevisions>false</trackRevisions>
    </reviewItem>
    <reviewItem>
      <errorID>2b41e733-17a4-4827-aad8-381ee6f974a5</errorID>
      <errorWord>矿山等生态修复</errorWord>
      <group>L1_Political</group>
      <groupName>政治性问题</groupName>
      <ability>L2_Keyword</ability>
      <abilityName>固定表述</abilityName>
      <candidateList>
        <item>矿山生态修复</item>
      </candidateList>
      <explain>词汇“矿山生态修复”在特定场景下为固定表述形式，请确认此处的“矿山等生态修复”是否存在不当。</explain>
      <paraID>4E96737F</paraID>
      <start>2</start>
      <end>9</end>
      <status>unmodified</status>
      <modifiedWord/>
      <trackRevisions>false</trackRevisions>
    </reviewItem>
    <reviewItem>
      <errorID>8b59f731-ce08-43f9-b3de-7dd283d1cebf</errorID>
      <errorWord>布</errorWord>
      <group>L1_Word</group>
      <groupName>字词问题</groupName>
      <ability>L2_Typo</ability>
      <abilityName>字词错误</abilityName>
      <candidateList>
        <item>布局</item>
      </candidateList>
      <explain/>
      <paraID>7C296A14</paraID>
      <start>20</start>
      <end>21</end>
      <status>unmodified</status>
      <modifiedWord/>
      <trackRevisions>false</trackRevisions>
    </reviewItem>
    <reviewItem>
      <errorID>d7196b40-a65b-4203-bc00-72017bac3af6</errorID>
      <errorWord>线管</errorWord>
      <group>L1_Word</group>
      <groupName>字词问题</groupName>
      <ability>L2_Typo</ability>
      <abilityName>字词错误</abilityName>
      <candidateList>
        <item>管线</item>
      </candidateList>
      <explain/>
      <paraID> B1C0D9E</paraID>
      <start>18</start>
      <end>20</end>
      <status>unmodified</status>
      <modifiedWord/>
      <trackRevisions>false</trackRevisions>
    </reviewItem>
    <reviewItem>
      <errorID>a017051b-1b94-40c6-bf6c-a37756ea8374</errorID>
      <errorWord>利</errorWord>
      <group>L1_Word</group>
      <groupName>字词问题</groupName>
      <ability>L2_Typo</ability>
      <abilityName>字词错误</abilityName>
      <candidateList>
        <item>利用</item>
      </candidateList>
      <explain/>
      <paraID>2DD6B173</paraID>
      <start>19</start>
      <end>20</end>
      <status>unmodified</status>
      <modifiedWord/>
      <trackRevisions>false</trackRevisions>
    </reviewItem>
    <reviewItem>
      <errorID>a8698c54-22a9-40f2-b0e6-69d6cfc60a8e</errorID>
      <errorWord>历史文化保护线管理</errorWord>
      <group>L1_Political</group>
      <groupName>政治性问题</groupName>
      <ability>L2_Unpolitical</ability>
      <abilityName>政治敏感错误</abilityName>
      <candidateList>
        <item>历史文化保护线</item>
      </candidateList>
      <explain/>
      <paraID>7DB3BD80</paraID>
      <start>7</start>
      <end>16</end>
      <status>unmodified</status>
      <modifiedWord/>
      <trackRevisions>false</trackRevisions>
    </reviewItem>
    <reviewItem>
      <errorID>1c99c152-f2ee-45ec-85ef-a5e74a644b60</errorID>
      <errorWord>(</errorWord>
      <group>L1_Format</group>
      <groupName>格式问题</groupName>
      <ability>L2_HalfPunc_CN</ability>
      <abilityName>全半角问题</abilityName>
      <candidateList>
        <item>（</item>
      </candidateList>
      <explain>文本全半角错误。</explain>
      <paraID>2F3CE846</paraID>
      <start>26</start>
      <end>27</end>
      <status>unmodified</status>
      <modifiedWord/>
      <trackRevisions>false</trackRevisions>
    </reviewItem>
    <reviewItem>
      <errorID>fb133e2b-34f5-43df-a3bf-be527e323abf</errorID>
      <errorWord>)</errorWord>
      <group>L1_Format</group>
      <groupName>格式问题</groupName>
      <ability>L2_HalfPunc_CN</ability>
      <abilityName>全半角问题</abilityName>
      <candidateList>
        <item>）</item>
      </candidateList>
      <explain>文本全半角错误。</explain>
      <paraID>7519BC5A</paraID>
      <start>2</start>
      <end>3</end>
      <status>unmodified</status>
      <modifiedWord/>
      <trackRevisions>false</trackRevisions>
    </reviewItem>
    <reviewItem>
      <errorID>e0b01639-378c-4a55-8f63-044f556c0374</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609B96E</paraID>
      <start>0</start>
      <end>3</end>
      <status>unmodified</status>
      <modifiedWord/>
      <trackRevisions>false</trackRevisions>
    </reviewItem>
    <reviewItem>
      <errorID>000a7877-6f50-45fd-b652-2241c3f98f50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609B96E</paraID>
      <start>4</start>
      <end>5</end>
      <status>unmodified</status>
      <modifiedWord/>
      <trackRevisions>false</trackRevisions>
    </reviewItem>
    <reviewItem>
      <errorID>3dc58561-b224-4ce1-a58b-65bbcfe19deb</errorID>
      <errorWord>(</errorWord>
      <group>L1_Format</group>
      <groupName>格式问题</groupName>
      <ability>L2_HalfPunc_CN</ability>
      <abilityName>全半角问题</abilityName>
      <candidateList>
        <item>（</item>
      </candidateList>
      <explain>文本全半角错误。</explain>
      <paraID> F19885F</paraID>
      <start>3</start>
      <end>4</end>
      <status>unmodified</status>
      <modifiedWord/>
      <trackRevisions>false</trackRevisions>
    </reviewItem>
    <reviewItem>
      <errorID>786c31dc-358e-4ddd-b11e-a5c735a664c9</errorID>
      <errorWord>)</errorWord>
      <group>L1_Format</group>
      <groupName>格式问题</groupName>
      <ability>L2_HalfPunc_CN</ability>
      <abilityName>全半角问题</abilityName>
      <candidateList>
        <item>）</item>
      </candidateList>
      <explain>文本全半角错误。</explain>
      <paraID> F19885F</paraID>
      <start>27</start>
      <end>28</end>
      <status>unmodified</status>
      <modifiedWord/>
      <trackRevisions>false</trackRevisions>
    </reviewItem>
    <reviewItem>
      <errorID>a3d8841e-8b10-45a2-b16a-d346a8a41ecf</errorID>
      <errorWord>(</errorWord>
      <group>L1_Format</group>
      <groupName>格式问题</groupName>
      <ability>L2_HalfPunc_CN</ability>
      <abilityName>全半角问题</abilityName>
      <candidateList>
        <item>（</item>
      </candidateList>
      <explain>文本全半角错误。</explain>
      <paraID>75A1E687</paraID>
      <start>25</start>
      <end>26</end>
      <status>unmodified</status>
      <modifiedWord/>
      <trackRevisions>false</trackRevisions>
    </reviewItem>
    <reviewItem>
      <errorID>95a28b7b-941a-41c3-8781-960be8dfe155</errorID>
      <errorWord>【2023】170号</errorWord>
      <group>L1_Knowledge</group>
      <groupName>知识性问题</groupName>
      <ability>L2_Knowledge</ability>
      <abilityName>其他知识</abilityName>
      <candidateList>
        <item>〔2023〕170号</item>
      </candidateList>
      <explain>发文字号格式错误。</explain>
      <paraID>75A1E687</paraID>
      <start>32</start>
      <end>42</end>
      <status>unmodified</status>
      <modifiedWord/>
      <trackRevisions>false</trackRevisions>
    </reviewItem>
    <reviewItem>
      <errorID>c5a3380e-e0bf-4340-b58f-394764140a61</errorID>
      <errorWord>)</errorWord>
      <group>L1_Format</group>
      <groupName>格式问题</groupName>
      <ability>L2_HalfPunc_CN</ability>
      <abilityName>全半角问题</abilityName>
      <candidateList>
        <item>）</item>
      </candidateList>
      <explain>文本全半角错误。</explain>
      <paraID>75A1E687</paraID>
      <start>42</start>
      <end>43</end>
      <status>unmodified</status>
      <modifiedWord/>
      <trackRevisions>false</trackRevisions>
    </reviewItem>
    <reviewItem>
      <errorID>1c4e4c3b-b3f3-4679-9495-e9580060607d</errorID>
      <errorWord>(</errorWord>
      <group>L1_Format</group>
      <groupName>格式问题</groupName>
      <ability>L2_HalfPunc_CN</ability>
      <abilityName>全半角问题</abilityName>
      <candidateList>
        <item>（</item>
      </candidateList>
      <explain>文本全半角错误。</explain>
      <paraID>75A1E687</paraID>
      <start>74</start>
      <end>75</end>
      <status>unmodified</status>
      <modifiedWord/>
      <trackRevisions>false</trackRevisions>
    </reviewItem>
    <reviewItem>
      <errorID>13188cac-e85c-40ce-9497-7ebe4a3dd1c7</errorID>
      <errorWord>)</errorWord>
      <group>L1_Format</group>
      <groupName>格式问题</groupName>
      <ability>L2_HalfPunc_CN</ability>
      <abilityName>全半角问题</abilityName>
      <candidateList>
        <item>）</item>
      </candidateList>
      <explain>文本全半角错误。</explain>
      <paraID>75A1E687</paraID>
      <start>76</start>
      <end>77</end>
      <status>unmodified</status>
      <modifiedWord/>
      <trackRevisions>false</trackRevisions>
    </reviewItem>
    <reviewItem>
      <errorID>8da6bd18-9a7e-4f4f-b695-361bc5bd09ae</errorID>
      <errorWord>相关相关</errorWord>
      <group>L1_Word</group>
      <groupName>字词问题</groupName>
      <ability>L2_Typo</ability>
      <abilityName>字词错误</abilityName>
      <candidateList>
        <item>相关</item>
      </candidateList>
      <explain/>
      <paraID> 2A444DC</paraID>
      <start>1</start>
      <end>5</end>
      <status>unmodified</status>
      <modifiedWord/>
      <trackRevisions>false</trackRevisions>
    </reviewItem>
    <reviewItem>
      <errorID>c9f67dd2-8b28-4817-8f69-f6d1bbdec4a5</errorID>
      <errorWord>(</errorWord>
      <group>L1_Format</group>
      <groupName>格式问题</groupName>
      <ability>L2_HalfPunc_CN</ability>
      <abilityName>全半角问题</abilityName>
      <candidateList>
        <item>（</item>
      </candidateList>
      <explain>文本全半角错误。</explain>
      <paraID>6A6C6006</paraID>
      <start>47</start>
      <end>48</end>
      <status>unmodified</status>
      <modifiedWord/>
      <trackRevisions>false</trackRevisions>
    </reviewItem>
    <reviewItem>
      <errorID>66d1a213-847e-467a-9c20-c275d50a68a9</errorID>
      <errorWord>)</errorWord>
      <group>L1_Format</group>
      <groupName>格式问题</groupName>
      <ability>L2_HalfPunc_CN</ability>
      <abilityName>全半角问题</abilityName>
      <candidateList>
        <item>）</item>
      </candidateList>
      <explain>文本全半角错误。</explain>
      <paraID>6A6C6006</paraID>
      <start>52</start>
      <end>53</end>
      <status>unmodified</status>
      <modifiedWord/>
      <trackRevisions>false</trackRevisions>
    </reviewItem>
    <reviewItem>
      <errorID>b579d8bd-8791-428b-9d33-c396b846e25c</errorID>
      <errorWord>线路在</errorWord>
      <group>L1_Word</group>
      <groupName>字词问题</groupName>
      <ability>L2_Typo</ability>
      <abilityName>字词错误</abilityName>
      <candidateList>
        <item>线路</item>
      </candidateList>
      <explain/>
      <paraID>1C9DD705</paraID>
      <start>17</start>
      <end>20</end>
      <status>unmodified</status>
      <modifiedWord/>
      <trackRevisions>false</trackRevisions>
    </reviewItem>
    <reviewItem>
      <errorID>28a5497b-50b1-4042-8c99-ac6c89f3d9d5</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77BCCDF4</paraID>
      <start>0</start>
      <end>3</end>
      <status>unmodified</status>
      <modifiedWord/>
      <trackRevisions>false</trackRevisions>
    </reviewItem>
    <reviewItem>
      <errorID>c28f0397-c23a-480e-8212-0f75042e13d8</errorID>
      <errorWord>(</errorWord>
      <group>L1_Format</group>
      <groupName>格式问题</groupName>
      <ability>L2_HalfPunc_CN</ability>
      <abilityName>全半角问题</abilityName>
      <candidateList>
        <item>（</item>
      </candidateList>
      <explain>文本全半角错误。</explain>
      <paraID>221960CF</paraID>
      <start>0</start>
      <end>1</end>
      <status>unmodified</status>
      <modifiedWord/>
      <trackRevisions>false</trackRevisions>
    </reviewItem>
    <reviewItem>
      <errorID>f0113530-423e-4c5c-9c42-dbb940b79202</errorID>
      <errorWord>[2020]153号</errorWord>
      <group>L1_Knowledge</group>
      <groupName>知识性问题</groupName>
      <ability>L2_Knowledge</ability>
      <abilityName>其他知识</abilityName>
      <candidateList>
        <item>〔2020〕153号</item>
      </candidateList>
      <explain>发文字号格式错误。</explain>
      <paraID>221960CF</paraID>
      <start>6</start>
      <end>16</end>
      <status>unmodified</status>
      <modifiedWord/>
      <trackRevisions>false</trackRevisions>
    </reviewItem>
    <reviewItem>
      <errorID>a7144ce2-9f6a-454a-b1e3-36832ba3c7c3</errorID>
      <errorWord>),</errorWord>
      <group>L1_Format</group>
      <groupName>格式问题</groupName>
      <ability>L2_HalfPunc_CN</ability>
      <abilityName>全半角问题</abilityName>
      <candidateList>
        <item>），</item>
      </candidateList>
      <explain>文本全半角错误。</explain>
      <paraID>221960CF</paraID>
      <start>16</start>
      <end>18</end>
      <status>unmodified</status>
      <modifiedWord/>
      <trackRevisions>false</trackRevisions>
    </reviewItem>
    <reviewItem>
      <errorID>431c573d-42c0-49ba-a1a9-bfc12f7fb686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221960CF</paraID>
      <start>44</start>
      <end>47</end>
      <status>unmodified</status>
      <modifiedWord/>
      <trackRevisions>false</trackRevisions>
    </reviewItem>
    <reviewItem>
      <errorID>29219a42-fc0a-4ec1-b899-0abd332c05c7</errorID>
      <errorWord>(</errorWord>
      <group>L1_Format</group>
      <groupName>格式问题</groupName>
      <ability>L2_HalfPunc_CN</ability>
      <abilityName>全半角问题</abilityName>
      <candidateList>
        <item>（</item>
      </candidateList>
      <explain>文本全半角错误。</explain>
      <paraID>43F08749</paraID>
      <start>51</start>
      <end>52</end>
      <status>unmodified</status>
      <modifiedWord/>
      <trackRevisions>false</trackRevisions>
    </reviewItem>
    <reviewItem>
      <errorID>9bcb14df-77cb-47dc-914a-b71b75c44709</errorID>
      <errorWord>)</errorWord>
      <group>L1_Format</group>
      <groupName>格式问题</groupName>
      <ability>L2_HalfPunc_CN</ability>
      <abilityName>全半角问题</abilityName>
      <candidateList>
        <item>）</item>
      </candidateList>
      <explain>文本全半角错误。</explain>
      <paraID>43F08749</paraID>
      <start>53</start>
      <end>54</end>
      <status>unmodified</status>
      <modifiedWord/>
      <trackRevisions>false</trackRevisions>
    </reviewItem>
    <reviewItem>
      <errorID>2c8a2b33-0d59-47a2-99a1-42b8459597c3</errorID>
      <errorWord>(</errorWord>
      <group>L1_Format</group>
      <groupName>格式问题</groupName>
      <ability>L2_HalfPunc_CN</ability>
      <abilityName>全半角问题</abilityName>
      <candidateList>
        <item>（</item>
      </candidateList>
      <explain>文本全半角错误。</explain>
      <paraID>68A1A1DE</paraID>
      <start>72</start>
      <end>73</end>
      <status>unmodified</status>
      <modifiedWord/>
      <trackRevisions>false</trackRevisions>
    </reviewItem>
    <reviewItem>
      <errorID>6795d918-63e6-460c-b340-bf8f194f3b90</errorID>
      <errorWord>【2023】170号</errorWord>
      <group>L1_Knowledge</group>
      <groupName>知识性问题</groupName>
      <ability>L2_Knowledge</ability>
      <abilityName>其他知识</abilityName>
      <candidateList>
        <item>〔2023〕170号</item>
      </candidateList>
      <explain>发文字号格式错误。</explain>
      <paraID>68A1A1DE</paraID>
      <start>79</start>
      <end>89</end>
      <status>unmodified</status>
      <modifiedWord/>
      <trackRevisions>false</trackRevisions>
    </reviewItem>
    <reviewItem>
      <errorID>06075733-001f-4f32-bc0b-4180300a7265</errorID>
      <errorWord>),</errorWord>
      <group>L1_Format</group>
      <groupName>格式问题</groupName>
      <ability>L2_HalfPunc_CN</ability>
      <abilityName>全半角问题</abilityName>
      <candidateList>
        <item>），</item>
      </candidateList>
      <explain>文本全半角错误。</explain>
      <paraID>68A1A1DE</paraID>
      <start>89</start>
      <end>91</end>
      <status>unmodified</status>
      <modifiedWord/>
      <trackRevisions>false</trackRevisions>
    </reviewItem>
    <reviewItem>
      <errorID>dc63fe62-e19e-4a41-92d3-54a2b0d6e7a1</errorID>
      <errorWord>(</errorWord>
      <group>L1_Format</group>
      <groupName>格式问题</groupName>
      <ability>L2_HalfPunc_CN</ability>
      <abilityName>全半角问题</abilityName>
      <candidateList>
        <item>（</item>
      </candidateList>
      <explain>文本全半角错误。</explain>
      <paraID>72981A11</paraID>
      <start>26</start>
      <end>27</end>
      <status>unmodified</status>
      <modifiedWord/>
      <trackRevisions>false</trackRevisions>
    </reviewItem>
    <reviewItem>
      <errorID>f2d5c475-c702-4373-9c23-139d0ef111ad</errorID>
      <errorWord>)</errorWord>
      <group>L1_Format</group>
      <groupName>格式问题</groupName>
      <ability>L2_HalfPunc_CN</ability>
      <abilityName>全半角问题</abilityName>
      <candidateList>
        <item>）</item>
      </candidateList>
      <explain>文本全半角错误。</explain>
      <paraID>72981A11</paraID>
      <start>28</start>
      <end>29</end>
      <status>unmodified</status>
      <modifiedWord/>
      <trackRevisions>false</trackRevisions>
    </reviewItem>
    <reviewItem>
      <errorID>607c7813-16c2-40fa-80d2-d9de1a72abc9</errorID>
      <errorWord>生物多样 性保护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 性保护”是否存在不当。</explain>
      <paraID>102B2CBF</paraID>
      <start>40</start>
      <end>48</end>
      <status>unmodified</status>
      <modifiedWord/>
      <trackRevisions>false</trackRevisions>
    </reviewItem>
    <reviewItem>
      <errorID>e73606b1-e10d-4548-85dd-f2968909b921</errorID>
      <errorWord>(</errorWord>
      <group>L1_Format</group>
      <groupName>格式问题</groupName>
      <ability>L2_HalfPunc_CN</ability>
      <abilityName>全半角问题</abilityName>
      <candidateList>
        <item>（</item>
      </candidateList>
      <explain>文本全半角错误。</explain>
      <paraID>354C8FBB</paraID>
      <start>10</start>
      <end>11</end>
      <status>unmodified</status>
      <modifiedWord/>
      <trackRevisions>false</trackRevisions>
    </reviewItem>
    <reviewItem>
      <errorID>cafb12f7-40e1-493d-8e7b-0d97a1dde9a7</errorID>
      <errorWord>)</errorWord>
      <group>L1_Format</group>
      <groupName>格式问题</groupName>
      <ability>L2_HalfPunc_CN</ability>
      <abilityName>全半角问题</abilityName>
      <candidateList>
        <item>）</item>
      </candidateList>
      <explain>文本全半角错误。</explain>
      <paraID>354C8FBB</paraID>
      <start>16</start>
      <end>17</end>
      <status>unmodified</status>
      <modifiedWord/>
      <trackRevisions>false</trackRevisions>
    </reviewItem>
    <reviewItem>
      <errorID>42cd2237-95d6-4628-8ea8-ff82f4797872</errorID>
      <errorWord>雨</errorWord>
      <group>L1_Word</group>
      <groupName>字词问题</groupName>
      <ability>L2_Typo</ability>
      <abilityName>字词错误</abilityName>
      <candidateList>
        <item>雨量</item>
      </candidateList>
      <explain/>
      <paraID>554C1FB1</paraID>
      <start>79</start>
      <end>80</end>
      <status>unmodified</status>
      <modifiedWord/>
      <trackRevisions>false</trackRevisions>
    </reviewItem>
    <reviewItem>
      <errorID>d94b9abe-1cfd-41cb-80ce-207a8794e853</errorID>
      <errorWord>涉</errorWord>
      <group>L1_Word</group>
      <groupName>字词问题</groupName>
      <ability>L2_Typo</ability>
      <abilityName>字词错误</abilityName>
      <candidateList>
        <item>涉及</item>
      </candidateList>
      <explain/>
      <paraID>55988D1A</paraID>
      <start>4</start>
      <end>5</end>
      <status>unmodified</status>
      <modifiedWord/>
      <trackRevisions>false</trackRevisions>
    </reviewItem>
    <reviewItem>
      <errorID>7386b44e-e890-4479-8b33-927f197421fa</errorID>
      <errorWord>措</errorWord>
      <group>L1_Word</group>
      <groupName>字词问题</groupName>
      <ability>L2_Typo</ability>
      <abilityName>字词错误</abilityName>
      <candidateList>
        <item>措施</item>
      </candidateList>
      <explain/>
      <paraID>294A65AB</paraID>
      <start>13</start>
      <end>14</end>
      <status>unmodified</status>
      <modifiedWord/>
      <trackRevisions>false</trackRevisions>
    </reviewItem>
    <reviewItem>
      <errorID>acd5d045-6be1-431b-b661-73336cec100c</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250BC7AF</paraID>
      <start>0</start>
      <end>3</end>
      <status>unmodified</status>
      <modifiedWord/>
      <trackRevisions>false</trackRevisions>
    </reviewItem>
    <reviewItem>
      <errorID>7e20a9c5-ec24-42b0-b716-e4fc6389a63f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DEE84EA</paraID>
      <start>0</start>
      <end>3</end>
      <status>unmodified</status>
      <modifiedWord/>
      <trackRevisions>false</trackRevisions>
    </reviewItem>
    <reviewItem>
      <errorID>d527f598-675a-48a5-8a37-08daa20e95a3</errorID>
      <errorWord>(</errorWord>
      <group>L1_Format</group>
      <groupName>格式问题</groupName>
      <ability>L2_HalfPunc_CN</ability>
      <abilityName>全半角问题</abilityName>
      <candidateList>
        <item>（</item>
      </candidateList>
      <explain>文本全半角错误。</explain>
      <paraID>241ABDDB</paraID>
      <start>35</start>
      <end>36</end>
      <status>unmodified</status>
      <modifiedWord/>
      <trackRevisions>false</trackRevisions>
    </reviewItem>
    <reviewItem>
      <errorID>71b97f77-d236-4aef-bf13-928eacd9f8dd</errorID>
      <errorWord>)</errorWord>
      <group>L1_Format</group>
      <groupName>格式问题</groupName>
      <ability>L2_HalfPunc_CN</ability>
      <abilityName>全半角问题</abilityName>
      <candidateList>
        <item>）</item>
      </candidateList>
      <explain>文本全半角错误。</explain>
      <paraID>241ABDDB</paraID>
      <start>84</start>
      <end>85</end>
      <status>unmodified</status>
      <modifiedWord/>
      <trackRevisions>false</trackRevisions>
    </reviewItem>
    <reviewItem>
      <errorID>7ecec55e-a6e6-43d6-8193-34b34c83dd71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71A3F70B</paraID>
      <start>0</start>
      <end>3</end>
      <status>unmodified</status>
      <modifiedWord/>
      <trackRevisions>false</trackRevisions>
    </reviewItem>
    <reviewItem>
      <errorID>b1021460-77e4-46d7-962f-1db0c4fb599b</errorID>
      <errorWord>(</errorWord>
      <group>L1_Format</group>
      <groupName>格式问题</groupName>
      <ability>L2_HalfPunc_CN</ability>
      <abilityName>全半角问题</abilityName>
      <candidateList>
        <item>（</item>
      </candidateList>
      <explain>文本全半角错误。</explain>
      <paraID>51DCABFE</paraID>
      <start>56</start>
      <end>57</end>
      <status>unmodified</status>
      <modifiedWord/>
      <trackRevisions>false</trackRevisions>
    </reviewItem>
    <reviewItem>
      <errorID>3677b2df-7e31-4b08-a3d3-9197dcfa7c1f</errorID>
      <errorWord>)</errorWord>
      <group>L1_Format</group>
      <groupName>格式问题</groupName>
      <ability>L2_HalfPunc_CN</ability>
      <abilityName>全半角问题</abilityName>
      <candidateList>
        <item>）</item>
      </candidateList>
      <explain>文本全半角错误。</explain>
      <paraID>51DCABFE</paraID>
      <start>59</start>
      <end>60</end>
      <status>unmodified</status>
      <modifiedWord/>
      <trackRevisions>false</trackRevisions>
    </reviewItem>
    <reviewItem>
      <errorID>4e7c421e-b5ea-4f11-bfd4-d5aed2026d69</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7B6977FE</paraID>
      <start>0</start>
      <end>3</end>
      <status>unmodified</status>
      <modifiedWord/>
      <trackRevisions>false</trackRevisions>
    </reviewItem>
    <reviewItem>
      <errorID>e37d7b58-d2f7-4bcd-bda7-3bdb675ebe60</errorID>
      <errorWord>(</errorWord>
      <group>L1_Format</group>
      <groupName>格式问题</groupName>
      <ability>L2_HalfPunc_CN</ability>
      <abilityName>全半角问题</abilityName>
      <candidateList>
        <item>（</item>
      </candidateList>
      <explain>文本全半角错误。</explain>
      <paraID>34401DA9</paraID>
      <start>12</start>
      <end>13</end>
      <status>unmodified</status>
      <modifiedWord/>
      <trackRevisions>false</trackRevisions>
    </reviewItem>
    <reviewItem>
      <errorID>cf66743a-19b9-434a-95f3-fb3327d1f2c5</errorID>
      <errorWord>)</errorWord>
      <group>L1_Format</group>
      <groupName>格式问题</groupName>
      <ability>L2_HalfPunc_CN</ability>
      <abilityName>全半角问题</abilityName>
      <candidateList>
        <item>）</item>
      </candidateList>
      <explain>文本全半角错误。</explain>
      <paraID>34401DA9</paraID>
      <start>28</start>
      <end>29</end>
      <status>unmodified</status>
      <modifiedWord/>
      <trackRevisions>false</trackRevisions>
    </reviewItem>
    <reviewItem>
      <errorID>392ce909-8a25-4319-a63c-f3b128971290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3FA84BEB</paraID>
      <start>10</start>
      <end>13</end>
      <status>unmodified</status>
      <modifiedWord/>
      <trackRevisions>false</trackRevisions>
    </reviewItem>
    <reviewItem>
      <errorID>188dbef5-705d-4ea9-aa71-86a80eccef65</errorID>
      <errorWord>(</errorWord>
      <group>L1_Format</group>
      <groupName>格式问题</groupName>
      <ability>L2_HalfPunc_CN</ability>
      <abilityName>全半角问题</abilityName>
      <candidateList>
        <item>（</item>
      </candidateList>
      <explain>文本全半角错误。</explain>
      <paraID>3FA84BEB</paraID>
      <start>20</start>
      <end>21</end>
      <status>unmodified</status>
      <modifiedWord/>
      <trackRevisions>false</trackRevisions>
    </reviewItem>
    <reviewItem>
      <errorID>dc6b02d6-8809-4538-b5a1-23f03fb06727</errorID>
      <errorWord>)</errorWord>
      <group>L1_Format</group>
      <groupName>格式问题</groupName>
      <ability>L2_HalfPunc_CN</ability>
      <abilityName>全半角问题</abilityName>
      <candidateList>
        <item>）</item>
      </candidateList>
      <explain>文本全半角错误。</explain>
      <paraID>3FA84BEB</paraID>
      <start>22</start>
      <end>23</end>
      <status>unmodified</status>
      <modifiedWord/>
      <trackRevisions>false</trackRevisions>
    </reviewItem>
    <reviewItem>
      <errorID>acfcf81b-26c3-4c5a-adef-45014ff9190f</errorID>
      <errorWord>(</errorWord>
      <group>L1_Format</group>
      <groupName>格式问题</groupName>
      <ability>L2_HalfPunc_CN</ability>
      <abilityName>全半角问题</abilityName>
      <candidateList>
        <item>（</item>
      </candidateList>
      <explain>文本全半角错误。</explain>
      <paraID>36DCD027</paraID>
      <start>2</start>
      <end>3</end>
      <status>unmodified</status>
      <modifiedWord/>
      <trackRevisions>false</trackRevisions>
    </reviewItem>
    <reviewItem>
      <errorID>0a92a79d-36de-4e18-bedd-828ce41c0aa3</errorID>
      <errorWord>)</errorWord>
      <group>L1_Format</group>
      <groupName>格式问题</groupName>
      <ability>L2_HalfPunc_CN</ability>
      <abilityName>全半角问题</abilityName>
      <candidateList>
        <item>）</item>
      </candidateList>
      <explain>文本全半角错误。</explain>
      <paraID>36DCD027</paraID>
      <start>4</start>
      <end>5</end>
      <status>unmodified</status>
      <modifiedWord/>
      <trackRevisions>false</trackRevisions>
    </reviewItem>
    <reviewItem>
      <errorID>ed424717-676b-4cf2-adc0-4673387a2359</errorID>
      <errorWord>(</errorWord>
      <group>L1_Format</group>
      <groupName>格式问题</groupName>
      <ability>L2_HalfPunc_CN</ability>
      <abilityName>全半角问题</abilityName>
      <candidateList>
        <item>（</item>
      </candidateList>
      <explain>文本全半角错误。</explain>
      <paraID>3E75E1A3</paraID>
      <start>6</start>
      <end>7</end>
      <status>unmodified</status>
      <modifiedWord/>
      <trackRevisions>false</trackRevisions>
    </reviewItem>
    <reviewItem>
      <errorID>7b6a07f7-0c17-4c0c-8637-3a4303d573a8</errorID>
      <errorWord>)</errorWord>
      <group>L1_Format</group>
      <groupName>格式问题</groupName>
      <ability>L2_HalfPunc_CN</ability>
      <abilityName>全半角问题</abilityName>
      <candidateList>
        <item>）</item>
      </candidateList>
      <explain>文本全半角错误。</explain>
      <paraID>3E75E1A3</paraID>
      <start>8</start>
      <end>9</end>
      <status>unmodified</status>
      <modifiedWord/>
      <trackRevisions>false</trackRevisions>
    </reviewItem>
    <reviewItem>
      <errorID>5e9a2120-85e1-42c8-b24c-2948ea877cf6</errorID>
      <errorWord>(</errorWord>
      <group>L1_Format</group>
      <groupName>格式问题</groupName>
      <ability>L2_HalfPunc_CN</ability>
      <abilityName>全半角问题</abilityName>
      <candidateList>
        <item>（</item>
      </candidateList>
      <explain>文本全半角错误。</explain>
      <paraID>358C28B3</paraID>
      <start>0</start>
      <end>1</end>
      <status>unmodified</status>
      <modifiedWord/>
      <trackRevisions>false</trackRevisions>
    </reviewItem>
    <reviewItem>
      <errorID>57b21012-6acf-4c26-912d-ce5426b31362</errorID>
      <errorWord>)</errorWord>
      <group>L1_Format</group>
      <groupName>格式问题</groupName>
      <ability>L2_HalfPunc_CN</ability>
      <abilityName>全半角问题</abilityName>
      <candidateList>
        <item>）</item>
      </candidateList>
      <explain>文本全半角错误。</explain>
      <paraID>358C28B3</paraID>
      <start>2</start>
      <end>3</end>
      <status>unmodified</status>
      <modifiedWord/>
      <trackRevisions>false</trackRevisions>
    </reviewItem>
    <reviewItem>
      <errorID>0302f453-4852-4bc5-8508-f6e4c3ba0152</errorID>
      <errorWord>委员 会</errorWord>
      <group>L1_Word</group>
      <groupName>字词问题</groupName>
      <ability>L2_Typo</ability>
      <abilityName>字词错误</abilityName>
      <candidateList>
        <item>委员会</item>
      </candidateList>
      <explain/>
      <paraID> 3D7FBA7</paraID>
      <start>8</start>
      <end>12</end>
      <status>unmodified</status>
      <modifiedWord/>
      <trackRevisions>false</trackRevisions>
    </reviewItem>
    <reviewItem>
      <errorID>b059f306-e8e1-4528-b1f0-af56406c04dd</errorID>
      <errorWord>(</errorWord>
      <group>L1_Format</group>
      <groupName>格式问题</groupName>
      <ability>L2_HalfPunc_CN</ability>
      <abilityName>全半角问题</abilityName>
      <candidateList>
        <item>（</item>
      </candidateList>
      <explain>文本全半角错误。</explain>
      <paraID>13CEB013</paraID>
      <start>29</start>
      <end>30</end>
      <status>unmodified</status>
      <modifiedWord/>
      <trackRevisions>false</trackRevisions>
    </reviewItem>
    <reviewItem>
      <errorID>4d473399-0d1c-49a5-91d6-27008ad1bb92</errorID>
      <errorWord>【2023】170号</errorWord>
      <group>L1_Knowledge</group>
      <groupName>知识性问题</groupName>
      <ability>L2_Knowledge</ability>
      <abilityName>其他知识</abilityName>
      <candidateList>
        <item>〔2023〕170号</item>
      </candidateList>
      <explain>发文字号格式错误。</explain>
      <paraID>13CEB013</paraID>
      <start>36</start>
      <end>46</end>
      <status>unmodified</status>
      <modifiedWord/>
      <trackRevisions>false</trackRevisions>
    </reviewItem>
    <reviewItem>
      <errorID>8b761813-06fd-4995-b3ae-716f2ed6d5c0</errorID>
      <errorWord>),</errorWord>
      <group>L1_Format</group>
      <groupName>格式问题</groupName>
      <ability>L2_HalfPunc_CN</ability>
      <abilityName>全半角问题</abilityName>
      <candidateList>
        <item>），</item>
      </candidateList>
      <explain>文本全半角错误。</explain>
      <paraID>13CEB013</paraID>
      <start>46</start>
      <end>48</end>
      <status>unmodified</status>
      <modifiedWord/>
      <trackRevisions>false</trackRevisions>
    </reviewItem>
    <reviewItem>
      <errorID>d99eb809-f665-4c8d-a4fd-e0456f2c9938</errorID>
      <errorWord>(</errorWord>
      <group>L1_Format</group>
      <groupName>格式问题</groupName>
      <ability>L2_HalfPunc_CN</ability>
      <abilityName>全半角问题</abilityName>
      <candidateList>
        <item>（</item>
      </candidateList>
      <explain>文本全半角错误。</explain>
      <paraID>13CEB013</paraID>
      <start>77</start>
      <end>78</end>
      <status>unmodified</status>
      <modifiedWord/>
      <trackRevisions>false</trackRevisions>
    </reviewItem>
    <reviewItem>
      <errorID>c9400d89-26fa-4f6d-92cc-4dd9cfca81a0</errorID>
      <errorWord>)</errorWord>
      <group>L1_Format</group>
      <groupName>格式问题</groupName>
      <ability>L2_HalfPunc_CN</ability>
      <abilityName>全半角问题</abilityName>
      <candidateList>
        <item>）</item>
      </candidateList>
      <explain>文本全半角错误。</explain>
      <paraID>13CEB013</paraID>
      <start>79</start>
      <end>80</end>
      <status>unmodified</status>
      <modifiedWord/>
      <trackRevisions>false</trackRevisions>
    </reviewItem>
    <reviewItem>
      <errorID>a086129c-2181-4246-a8ab-9b14455aa3a9</errorID>
      <errorWord>省发展 改革委</errorWord>
      <group>L1_Political</group>
      <groupName>政治性问题</groupName>
      <ability>L2_Keyword</ability>
      <abilityName>固定表述</abilityName>
      <candidateList>
        <item>省发展改革委</item>
      </candidateList>
      <explain>词汇“省发展改革委”在特定场景下为固定表述形式，请确认此处的“省发展 改革委”是否存在不当。</explain>
      <paraID>59F91174</paraID>
      <start>82</start>
      <end>89</end>
      <status>unmodified</status>
      <modifiedWord/>
      <trackRevisions>false</trackRevisions>
    </reviewItem>
    <reviewItem>
      <errorID>5f98e3df-f9c3-4482-a14e-9b4e15abd743</errorID>
      <errorWord>(</errorWord>
      <group>L1_Format</group>
      <groupName>格式问题</groupName>
      <ability>L2_HalfPunc_CN</ability>
      <abilityName>全半角问题</abilityName>
      <candidateList>
        <item>（</item>
      </candidateList>
      <explain>文本全半角错误。</explain>
      <paraID>59F91174</paraID>
      <start>155</start>
      <end>156</end>
      <status>unmodified</status>
      <modifiedWord/>
      <trackRevisions>false</trackRevisions>
    </reviewItem>
    <reviewItem>
      <errorID>ebb36242-60ec-48ed-9d11-df8cc6e6d0a7</errorID>
      <errorWord>)</errorWord>
      <group>L1_Format</group>
      <groupName>格式问题</groupName>
      <ability>L2_HalfPunc_CN</ability>
      <abilityName>全半角问题</abilityName>
      <candidateList>
        <item>）</item>
      </candidateList>
      <explain>文本全半角错误。</explain>
      <paraID>59F91174</paraID>
      <start>159</start>
      <end>160</end>
      <status>unmodified</status>
      <modifiedWord/>
      <trackRevisions>false</trackRevisions>
    </reviewItem>
    <reviewItem>
      <errorID>6f29dd9a-0dff-4680-9ecd-3f049b0a3a37</errorID>
      <errorWord>(</errorWord>
      <group>L1_Format</group>
      <groupName>格式问题</groupName>
      <ability>L2_HalfPunc_CN</ability>
      <abilityName>全半角问题</abilityName>
      <candidateList>
        <item>（</item>
      </candidateList>
      <explain>文本全半角错误。</explain>
      <paraID>1E5F8233</paraID>
      <start>12</start>
      <end>13</end>
      <status>unmodified</status>
      <modifiedWord/>
      <trackRevisions>false</trackRevisions>
    </reviewItem>
    <reviewItem>
      <errorID>64712529-64e1-496c-9169-749d077094dc</errorID>
      <errorWord>)</errorWord>
      <group>L1_Format</group>
      <groupName>格式问题</groupName>
      <ability>L2_HalfPunc_CN</ability>
      <abilityName>全半角问题</abilityName>
      <candidateList>
        <item>）</item>
      </candidateList>
      <explain>文本全半角错误。</explain>
      <paraID>1E5F8233</paraID>
      <start>14</start>
      <end>15</end>
      <status>unmodified</status>
      <modifiedWord/>
      <trackRevisions>false</trackRevisions>
    </reviewItem>
    <reviewItem>
      <errorID>7d4ad825-53a7-44bd-8847-c6ac00309277</errorID>
      <errorWord>(</errorWord>
      <group>L1_Format</group>
      <groupName>格式问题</groupName>
      <ability>L2_HalfPunc_CN</ability>
      <abilityName>全半角问题</abilityName>
      <candidateList>
        <item>（</item>
      </candidateList>
      <explain>文本全半角错误。</explain>
      <paraID>414699DC</paraID>
      <start>10</start>
      <end>11</end>
      <status>unmodified</status>
      <modifiedWord/>
      <trackRevisions>false</trackRevisions>
    </reviewItem>
    <reviewItem>
      <errorID>811163de-3392-4bd9-9932-c3a43b486771</errorID>
      <errorWord>)</errorWord>
      <group>L1_Format</group>
      <groupName>格式问题</groupName>
      <ability>L2_HalfPunc_CN</ability>
      <abilityName>全半角问题</abilityName>
      <candidateList>
        <item>）</item>
      </candidateList>
      <explain>文本全半角错误。</explain>
      <paraID>414699DC</paraID>
      <start>12</start>
      <end>13</end>
      <status>unmodified</status>
      <modifiedWord/>
      <trackRevisions>false</trackRevisions>
    </reviewItem>
    <reviewItem>
      <errorID>3f69f139-a91e-48a4-a682-33d68181acad</errorID>
      <errorWord>(</errorWord>
      <group>L1_Format</group>
      <groupName>格式问题</groupName>
      <ability>L2_HalfPunc_CN</ability>
      <abilityName>全半角问题</abilityName>
      <candidateList>
        <item>（</item>
      </candidateList>
      <explain>文本全半角错误。</explain>
      <paraID>5C8329A0</paraID>
      <start>1</start>
      <end>2</end>
      <status>unmodified</status>
      <modifiedWord/>
      <trackRevisions>false</trackRevisions>
    </reviewItem>
    <reviewItem>
      <errorID>1a1d44e5-3f03-4947-b5e8-7d234fc41dba</errorID>
      <errorWord>),</errorWord>
      <group>L1_Format</group>
      <groupName>格式问题</groupName>
      <ability>L2_HalfPunc_CN</ability>
      <abilityName>全半角问题</abilityName>
      <candidateList>
        <item>），</item>
      </candidateList>
      <explain>文本全半角错误。</explain>
      <paraID>63A07ACA</paraID>
      <start>3</start>
      <end>5</end>
      <status>unmodified</status>
      <modifiedWord/>
      <trackRevisions>false</trackRevisions>
    </reviewItem>
    <reviewItem>
      <errorID>1a360328-6f26-48ce-925d-165e2b733e11</errorID>
      <errorWord>(</errorWord>
      <group>L1_Format</group>
      <groupName>格式问题</groupName>
      <ability>L2_HalfPunc_CN</ability>
      <abilityName>全半角问题</abilityName>
      <candidateList>
        <item>（</item>
      </candidateList>
      <explain>文本全半角错误。</explain>
      <paraID>60F88004</paraID>
      <start>19</start>
      <end>20</end>
      <status>unmodified</status>
      <modifiedWord/>
      <trackRevisions>false</trackRevisions>
    </reviewItem>
    <reviewItem>
      <errorID>2a4105ae-0268-47f0-9183-01d7102e4500</errorID>
      <errorWord>)</errorWord>
      <group>L1_Format</group>
      <groupName>格式问题</groupName>
      <ability>L2_HalfPunc_CN</ability>
      <abilityName>全半角问题</abilityName>
      <candidateList>
        <item>）</item>
      </candidateList>
      <explain>文本全半角错误。</explain>
      <paraID>60F88004</paraID>
      <start>21</start>
      <end>22</end>
      <status>unmodified</status>
      <modifiedWord/>
      <trackRevisions>false</trackRevisions>
    </reviewItem>
    <reviewItem>
      <errorID>97d55bd8-c051-4f61-a8a3-b476fd3b2f33</errorID>
      <errorWord>(</errorWord>
      <group>L1_Format</group>
      <groupName>格式问题</groupName>
      <ability>L2_HalfPunc_CN</ability>
      <abilityName>全半角问题</abilityName>
      <candidateList>
        <item>（</item>
      </candidateList>
      <explain>文本全半角错误。</explain>
      <paraID>3141B93A</paraID>
      <start>5</start>
      <end>6</end>
      <status>unmodified</status>
      <modifiedWord/>
      <trackRevisions>false</trackRevisions>
    </reviewItem>
    <reviewItem>
      <errorID>2bca3ff0-40c1-4518-983f-a026891b1e05</errorID>
      <errorWord>)</errorWord>
      <group>L1_Format</group>
      <groupName>格式问题</groupName>
      <ability>L2_HalfPunc_CN</ability>
      <abilityName>全半角问题</abilityName>
      <candidateList>
        <item>）</item>
      </candidateList>
      <explain>文本全半角错误。</explain>
      <paraID>3141B93A</paraID>
      <start>7</start>
      <end>8</end>
      <status>unmodified</status>
      <modifiedWord/>
      <trackRevisions>false</trackRevisions>
    </reviewItem>
    <reviewItem>
      <errorID>80b1547d-29b8-4a15-8d3b-326395f2a463</errorID>
      <errorWord>投</errorWord>
      <group>L1_Word</group>
      <groupName>字词问题</groupName>
      <ability>L2_Typo</ability>
      <abilityName>字词错误</abilityName>
      <candidateList>
        <item>投资</item>
      </candidateList>
      <explain/>
      <paraID>48C73B4D</paraID>
      <start>12</start>
      <end>13</end>
      <status>unmodified</status>
      <modifiedWord/>
      <trackRevisions>false</trackRevisions>
    </reviewItem>
    <reviewItem>
      <errorID>6a8c63e6-3388-4021-8995-2c9d126faa86</errorID>
      <errorWord>(</errorWord>
      <group>L1_Format</group>
      <groupName>格式问题</groupName>
      <ability>L2_HalfPunc_CN</ability>
      <abilityName>全半角问题</abilityName>
      <candidateList>
        <item>（</item>
      </candidateList>
      <explain>文本全半角错误。</explain>
      <paraID>48621FDA</paraID>
      <start>38</start>
      <end>39</end>
      <status>unmodified</status>
      <modifiedWord/>
      <trackRevisions>false</trackRevisions>
    </reviewItem>
    <reviewItem>
      <errorID>82f1bd9c-b732-45d8-a388-fbbd8c0820e3</errorID>
      <errorWord>),</errorWord>
      <group>L1_Format</group>
      <groupName>格式问题</groupName>
      <ability>L2_HalfPunc_CN</ability>
      <abilityName>全半角问题</abilityName>
      <candidateList>
        <item>），</item>
      </candidateList>
      <explain>文本全半角错误。</explain>
      <paraID>48621FDA</paraID>
      <start>87</start>
      <end>89</end>
      <status>unmodified</status>
      <modifiedWord/>
      <trackRevisions>false</trackRevisions>
    </reviewItem>
    <reviewItem>
      <errorID>2b5e9180-1175-4c8a-aa61-c88b755e4011</errorID>
      <errorWord>,</errorWord>
      <group>L1_Format</group>
      <groupName>格式问题</groupName>
      <ability>L2_HalfPunc_CN</ability>
      <abilityName>全半角问题</abilityName>
      <candidateList>
        <item>，</item>
      </candidateList>
      <explain>文本全半角错误。</explain>
      <paraID>2FF68648</paraID>
      <start>92</start>
      <end>93</end>
      <status>unmodified</status>
      <modifiedWord/>
      <trackRevisions>false</trackRevisions>
    </reviewItem>
    <reviewItem>
      <errorID>26b3cbd6-639b-496d-a324-a7e9e0d0a031</errorID>
      <errorWord>"</errorWord>
      <group>L1_Format</group>
      <groupName>格式问题</groupName>
      <ability>L2_HalfPunc_CN</ability>
      <abilityName>全半角问题</abilityName>
      <candidateList>
        <item>”</item>
      </candidateList>
      <explain>文本全半角错误。</explain>
      <paraID>2FF68648</paraID>
      <start>113</start>
      <end>114</end>
      <status>unmodified</status>
      <modifiedWord/>
      <trackRevisions>false</trackRevisions>
    </reviewItem>
    <reviewItem>
      <errorID>20b88d4b-2ed9-4348-ac42-3ce22faf517a</errorID>
      <errorWord>,</errorWord>
      <group>L1_Format</group>
      <groupName>格式问题</groupName>
      <ability>L2_HalfPunc_CN</ability>
      <abilityName>全半角问题</abilityName>
      <candidateList>
        <item>，</item>
      </candidateList>
      <explain>文本全半角错误。</explain>
      <paraID> A652891</paraID>
      <start>21</start>
      <end>22</end>
      <status>unmodified</status>
      <modifiedWord/>
      <trackRevisions>false</trackRevisions>
    </reviewItem>
    <reviewItem>
      <errorID>5cbaa852-1188-4359-9e35-966fb5ac540e</errorID>
      <errorWord>,</errorWord>
      <group>L1_Format</group>
      <groupName>格式问题</groupName>
      <ability>L2_HalfPunc_CN</ability>
      <abilityName>全半角问题</abilityName>
      <candidateList>
        <item>，</item>
      </candidateList>
      <explain>文本全半角错误。</explain>
      <paraID> A652891</paraID>
      <start>46</start>
      <end>47</end>
      <status>unmodified</status>
      <modifiedWord/>
      <trackRevisions>false</trackRevisions>
    </reviewItem>
    <reviewItem>
      <errorID>65176a62-3fc5-488c-b073-d7d6c605f902</errorID>
      <errorWord>,</errorWord>
      <group>L1_Format</group>
      <groupName>格式问题</groupName>
      <ability>L2_HalfPunc_CN</ability>
      <abilityName>全半角问题</abilityName>
      <candidateList>
        <item>，</item>
      </candidateList>
      <explain>文本全半角错误。</explain>
      <paraID>60FDFBAA</paraID>
      <start>64</start>
      <end>65</end>
      <status>unmodified</status>
      <modifiedWord/>
      <trackRevisions>false</trackRevisions>
    </reviewItem>
    <reviewItem>
      <errorID>4f049bca-5fa9-46a5-bde1-dbe67df0ef47</errorID>
      <errorWord>,</errorWord>
      <group>L1_Format</group>
      <groupName>格式问题</groupName>
      <ability>L2_HalfPunc_CN</ability>
      <abilityName>全半角问题</abilityName>
      <candidateList>
        <item>，</item>
      </candidateList>
      <explain>文本全半角错误。</explain>
      <paraID> 3679C59</paraID>
      <start>51</start>
      <end>52</end>
      <status>unmodified</status>
      <modifiedWord/>
      <trackRevisions>false</trackRevisions>
    </reviewItem>
    <reviewItem>
      <errorID>57bc11f1-d4ff-49e9-a513-102220ac77ef</errorID>
      <errorWord>,</errorWord>
      <group>L1_Format</group>
      <groupName>格式问题</groupName>
      <ability>L2_HalfPunc_CN</ability>
      <abilityName>全半角问题</abilityName>
      <candidateList>
        <item>，</item>
      </candidateList>
      <explain>文本全半角错误。</explain>
      <paraID> 3679C59</paraID>
      <start>180</start>
      <end>181</end>
      <status>unmodified</status>
      <modifiedWord/>
      <trackRevisions>false</trackRevisions>
    </reviewItem>
    <reviewItem>
      <errorID>d8c34502-e51a-42f2-b504-d06f51a32ea6</errorID>
      <errorWord>,</errorWord>
      <group>L1_Format</group>
      <groupName>格式问题</groupName>
      <ability>L2_HalfPunc_CN</ability>
      <abilityName>全半角问题</abilityName>
      <candidateList>
        <item>，</item>
      </candidateList>
      <explain>文本全半角错误。</explain>
      <paraID>2F8435D9</paraID>
      <start>41</start>
      <end>42</end>
      <status>unmodified</status>
      <modifiedWord/>
      <trackRevisions>false</trackRevisions>
    </reviewItem>
    <reviewItem>
      <errorID>8fefa10a-9e94-46fb-9a7b-4feddd5ec095</errorID>
      <errorWord>(</errorWord>
      <group>L1_Format</group>
      <groupName>格式问题</groupName>
      <ability>L2_HalfPunc_CN</ability>
      <abilityName>全半角问题</abilityName>
      <candidateList>
        <item>（</item>
      </candidateList>
      <explain>文本全半角错误。</explain>
      <paraID>7FDC3F8C</paraID>
      <start>128</start>
      <end>129</end>
      <status>unmodified</status>
      <modifiedWord/>
      <trackRevisions>false</trackRevisions>
    </reviewItem>
    <reviewItem>
      <errorID>23b69417-c3c4-4ee4-869d-b19cad0aab26</errorID>
      <errorWord>)</errorWord>
      <group>L1_Format</group>
      <groupName>格式问题</groupName>
      <ability>L2_HalfPunc_CN</ability>
      <abilityName>全半角问题</abilityName>
      <candidateList>
        <item>）</item>
      </candidateList>
      <explain>文本全半角错误。</explain>
      <paraID>7FDC3F8C</paraID>
      <start>142</start>
      <end>143</end>
      <status>unmodified</status>
      <modifiedWord/>
      <trackRevisions>false</trackRevisions>
    </reviewItem>
    <reviewItem>
      <errorID>bba5f247-db9a-46b6-bda7-9895f186a29c</errorID>
      <errorWord>,</errorWord>
      <group>L1_Format</group>
      <groupName>格式问题</groupName>
      <ability>L2_HalfPunc_CN</ability>
      <abilityName>全半角问题</abilityName>
      <candidateList>
        <item>，</item>
      </candidateList>
      <explain>文本全半角错误。</explain>
      <paraID>6F5E17EC</paraID>
      <start>16</start>
      <end>17</end>
      <status>unmodified</status>
      <modifiedWord/>
      <trackRevisions>false</trackRevisions>
    </reviewItem>
    <reviewItem>
      <errorID>5352477f-ba35-4fd6-a906-7f799c0bd977</errorID>
      <errorWord>;</errorWord>
      <group>L1_Format</group>
      <groupName>格式问题</groupName>
      <ability>L2_HalfPunc_CN</ability>
      <abilityName>全半角问题</abilityName>
      <candidateList>
        <item>；</item>
      </candidateList>
      <explain>文本全半角错误。</explain>
      <paraID>6F5E17EC</paraID>
      <start>28</start>
      <end>29</end>
      <status>unmodified</status>
      <modifiedWord/>
      <trackRevisions>false</trackRevisions>
    </reviewItem>
    <reviewItem>
      <errorID>81f15d5b-0e3b-4e43-b84c-9119987a0981</errorID>
      <errorWord>,</errorWord>
      <group>L1_Format</group>
      <groupName>格式问题</groupName>
      <ability>L2_HalfPunc_CN</ability>
      <abilityName>全半角问题</abilityName>
      <candidateList>
        <item>，</item>
      </candidateList>
      <explain>文本全半角错误。</explain>
      <paraID>6F5E17EC</paraID>
      <start>104</start>
      <end>105</end>
      <status>unmodified</status>
      <modifiedWord/>
      <trackRevisions>false</trackRevisions>
    </reviewItem>
    <reviewItem>
      <errorID>5f3bb89c-d66e-45ac-8d50-51e3ddc098e0</errorID>
      <errorWord>,</errorWord>
      <group>L1_Format</group>
      <groupName>格式问题</groupName>
      <ability>L2_HalfPunc_CN</ability>
      <abilityName>全半角问题</abilityName>
      <candidateList>
        <item>，</item>
      </candidateList>
      <explain>文本全半角错误。</explain>
      <paraID> 80B68A3</paraID>
      <start>12</start>
      <end>13</end>
      <status>unmodified</status>
      <modifiedWord/>
      <trackRevisions>false</trackRevisions>
    </reviewItem>
    <reviewItem>
      <errorID>ae0a09d6-8fe3-4af4-b740-27422cc61783</errorID>
      <errorWord>(</errorWord>
      <group>L1_Format</group>
      <groupName>格式问题</groupName>
      <ability>L2_HalfPunc_CN</ability>
      <abilityName>全半角问题</abilityName>
      <candidateList>
        <item>（</item>
      </candidateList>
      <explain>文本全半角错误。</explain>
      <paraID>303B485C</paraID>
      <start>15</start>
      <end>16</end>
      <status>unmodified</status>
      <modifiedWord/>
      <trackRevisions>false</trackRevisions>
    </reviewItem>
    <reviewItem>
      <errorID>b3b146df-a013-4b8d-9291-e14c9abd263b</errorID>
      <errorWord>)</errorWord>
      <group>L1_Format</group>
      <groupName>格式问题</groupName>
      <ability>L2_HalfPunc_CN</ability>
      <abilityName>全半角问题</abilityName>
      <candidateList>
        <item>）</item>
      </candidateList>
      <explain>文本全半角错误。</explain>
      <paraID>303B485C</paraID>
      <start>44</start>
      <end>45</end>
      <status>unmodified</status>
      <modifiedWord/>
      <trackRevisions>false</trackRevisions>
    </reviewItem>
    <reviewItem>
      <errorID>cf87334c-4ecf-4118-a880-438a2333c470</errorID>
      <errorWord>,</errorWord>
      <group>L1_Format</group>
      <groupName>格式问题</groupName>
      <ability>L2_HalfPunc_CN</ability>
      <abilityName>全半角问题</abilityName>
      <candidateList>
        <item>，</item>
      </candidateList>
      <explain>文本全半角错误。</explain>
      <paraID>14960468</paraID>
      <start>20</start>
      <end>21</end>
      <status>unmodified</status>
      <modifiedWord/>
      <trackRevisions>false</trackRevisions>
    </reviewItem>
    <reviewItem>
      <errorID>85352eb9-ec75-4cdc-a6f6-5026a5e969be</errorID>
      <errorWord>(</errorWord>
      <group>L1_Format</group>
      <groupName>格式问题</groupName>
      <ability>L2_HalfPunc_CN</ability>
      <abilityName>全半角问题</abilityName>
      <candidateList>
        <item>（</item>
      </candidateList>
      <explain>文本全半角错误。</explain>
      <paraID>14960468</paraID>
      <start>167</start>
      <end>168</end>
      <status>unmodified</status>
      <modifiedWord/>
      <trackRevisions>false</trackRevisions>
    </reviewItem>
    <reviewItem>
      <errorID>650c133d-b05e-4cfd-a1af-a40f7b6fd3b5</errorID>
      <errorWord>)</errorWord>
      <group>L1_Format</group>
      <groupName>格式问题</groupName>
      <ability>L2_HalfPunc_CN</ability>
      <abilityName>全半角问题</abilityName>
      <candidateList>
        <item>）</item>
      </candidateList>
      <explain>文本全半角错误。</explain>
      <paraID>14960468</paraID>
      <start>179</start>
      <end>180</end>
      <status>unmodified</status>
      <modifiedWord/>
      <trackRevisions>false</trackRevisions>
    </reviewItem>
    <reviewItem>
      <errorID>23002058-8c01-407f-b649-e2c214a25292</errorID>
      <errorWord>,</errorWord>
      <group>L1_Format</group>
      <groupName>格式问题</groupName>
      <ability>L2_HalfPunc_CN</ability>
      <abilityName>全半角问题</abilityName>
      <candidateList>
        <item>，</item>
      </candidateList>
      <explain>文本全半角错误。</explain>
      <paraID>1BB7ED34</paraID>
      <start>24</start>
      <end>25</end>
      <status>unmodified</status>
      <modifiedWord/>
      <trackRevisions>false</trackRevisions>
    </reviewItem>
    <reviewItem>
      <errorID>def9c271-ff7f-426a-a93c-2648a3689e05</errorID>
      <errorWord>,</errorWord>
      <group>L1_Format</group>
      <groupName>格式问题</groupName>
      <ability>L2_HalfPunc_CN</ability>
      <abilityName>全半角问题</abilityName>
      <candidateList>
        <item>，</item>
      </candidateList>
      <explain>文本全半角错误。</explain>
      <paraID>1BB7ED34</paraID>
      <start>29</start>
      <end>30</end>
      <status>unmodified</status>
      <modifiedWord/>
      <trackRevisions>false</trackRevisions>
    </reviewItem>
    <reviewItem>
      <errorID>5031613f-8cc0-424e-8551-636ae281dfe1</errorID>
      <errorWord>场区</errorWord>
      <group>L1_Word</group>
      <groupName>字词问题</groupName>
      <ability>L2_Typo</ability>
      <abilityName>字词错误</abilityName>
      <candidateList>
        <item>厂区</item>
      </candidateList>
      <explain>存在发音相同字词的误用。</explain>
      <paraID> A5FE74B</paraID>
      <start>50</start>
      <end>52</end>
      <status>unmodified</status>
      <modifiedWord/>
      <trackRevisions>false</trackRevisions>
    </reviewItem>
    <reviewItem>
      <errorID>27ecec45-ce31-457f-a2b0-e2460956edce</errorID>
      <errorWord>(</errorWord>
      <group>L1_Format</group>
      <groupName>格式问题</groupName>
      <ability>L2_HalfPunc_CN</ability>
      <abilityName>全半角问题</abilityName>
      <candidateList>
        <item>（</item>
      </candidateList>
      <explain>文本全半角错误。</explain>
      <paraID> A5FE74B</paraID>
      <start>109</start>
      <end>110</end>
      <status>unmodified</status>
      <modifiedWord/>
      <trackRevisions>false</trackRevisions>
    </reviewItem>
    <reviewItem>
      <errorID>7f7a984b-bb3f-4577-bd23-e2df73c750bf</errorID>
      <errorWord>)</errorWord>
      <group>L1_Format</group>
      <groupName>格式问题</groupName>
      <ability>L2_HalfPunc_CN</ability>
      <abilityName>全半角问题</abilityName>
      <candidateList>
        <item>）</item>
      </candidateList>
      <explain>文本全半角错误。</explain>
      <paraID> A5FE74B</paraID>
      <start>111</start>
      <end>112</end>
      <status>unmodified</status>
      <modifiedWord/>
      <trackRevisions>false</trackRevisions>
    </reviewItem>
    <reviewItem>
      <errorID>114864cd-7f86-44f3-a634-205afc85a8f1</errorID>
      <errorWord>,</errorWord>
      <group>L1_Format</group>
      <groupName>格式问题</groupName>
      <ability>L2_HalfPunc_CN</ability>
      <abilityName>全半角问题</abilityName>
      <candidateList>
        <item>，</item>
      </candidateList>
      <explain>文本全半角错误。</explain>
      <paraID> A5FE74B</paraID>
      <start>136</start>
      <end>137</end>
      <status>unmodified</status>
      <modifiedWord/>
      <trackRevisions>false</trackRevisions>
    </reviewItem>
    <reviewItem>
      <errorID>d496ad38-f9af-43fc-bbcb-fcf8b36f9f69</errorID>
      <errorWord>,</errorWord>
      <group>L1_Format</group>
      <groupName>格式问题</groupName>
      <ability>L2_HalfPunc_CN</ability>
      <abilityName>全半角问题</abilityName>
      <candidateList>
        <item>，</item>
      </candidateList>
      <explain>文本全半角错误。</explain>
      <paraID> A5FE74B</paraID>
      <start>144</start>
      <end>145</end>
      <status>unmodified</status>
      <modifiedWord/>
      <trackRevisions>false</trackRevisions>
    </reviewItem>
    <reviewItem>
      <errorID>c41d0b2a-5385-4021-8d82-1b479a9ed52a</errorID>
      <errorWord>,</errorWord>
      <group>L1_Format</group>
      <groupName>格式问题</groupName>
      <ability>L2_HalfPunc_CN</ability>
      <abilityName>全半角问题</abilityName>
      <candidateList>
        <item>，</item>
      </candidateList>
      <explain>文本全半角错误。</explain>
      <paraID>31A179B3</paraID>
      <start>19</start>
      <end>20</end>
      <status>unmodified</status>
      <modifiedWord/>
      <trackRevisions>false</trackRevisions>
    </reviewItem>
    <reviewItem>
      <errorID>ee374a74-ad7a-4bf4-a56e-c988f91823ab</errorID>
      <errorWord>,</errorWord>
      <group>L1_Format</group>
      <groupName>格式问题</groupName>
      <ability>L2_HalfPunc_CN</ability>
      <abilityName>全半角问题</abilityName>
      <candidateList>
        <item>，</item>
      </candidateList>
      <explain>文本全半角错误。</explain>
      <paraID>31A179B3</paraID>
      <start>28</start>
      <end>29</end>
      <status>unmodified</status>
      <modifiedWord/>
      <trackRevisions>false</trackRevisions>
    </reviewItem>
    <reviewItem>
      <errorID>ba0597d6-a894-4ac6-8285-a4ffd9d10982</errorID>
      <errorWord>,</errorWord>
      <group>L1_Format</group>
      <groupName>格式问题</groupName>
      <ability>L2_HalfPunc_CN</ability>
      <abilityName>全半角问题</abilityName>
      <candidateList>
        <item>，</item>
      </candidateList>
      <explain>文本全半角错误。</explain>
      <paraID>31A179B3</paraID>
      <start>68</start>
      <end>69</end>
      <status>unmodified</status>
      <modifiedWord/>
      <trackRevisions>false</trackRevisions>
    </reviewItem>
    <reviewItem>
      <errorID>b0f95173-ca81-49b0-8c6e-5631a3b89ba2</errorID>
      <errorWord>,</errorWord>
      <group>L1_Format</group>
      <groupName>格式问题</groupName>
      <ability>L2_HalfPunc_CN</ability>
      <abilityName>全半角问题</abilityName>
      <candidateList>
        <item>，</item>
      </candidateList>
      <explain>文本全半角错误。</explain>
      <paraID>31A179B3</paraID>
      <start>92</start>
      <end>93</end>
      <status>unmodified</status>
      <modifiedWord/>
      <trackRevisions>false</trackRevisions>
    </reviewItem>
    <reviewItem>
      <errorID>e26fd8ab-64c9-419f-8fde-66dc5f0c9379</errorID>
      <errorWord>,</errorWord>
      <group>L1_Format</group>
      <groupName>格式问题</groupName>
      <ability>L2_HalfPunc_CN</ability>
      <abilityName>全半角问题</abilityName>
      <candidateList>
        <item>，</item>
      </candidateList>
      <explain>文本全半角错误。</explain>
      <paraID>31A179B3</paraID>
      <start>104</start>
      <end>105</end>
      <status>unmodified</status>
      <modifiedWord/>
      <trackRevisions>false</trackRevisions>
    </reviewItem>
    <reviewItem>
      <errorID>f192e935-296b-4107-856d-1c1c028014ae</errorID>
      <errorWord>,</errorWord>
      <group>L1_Format</group>
      <groupName>格式问题</groupName>
      <ability>L2_HalfPunc_CN</ability>
      <abilityName>全半角问题</abilityName>
      <candidateList>
        <item>，</item>
      </candidateList>
      <explain>文本全半角错误。</explain>
      <paraID>577C90B1</paraID>
      <start>26</start>
      <end>27</end>
      <status>unmodified</status>
      <modifiedWord/>
      <trackRevisions>false</trackRevisions>
    </reviewItem>
    <reviewItem>
      <errorID>89d49a5d-cf27-4976-8d51-951a9f8b8a37</errorID>
      <errorWord>(</errorWord>
      <group>L1_Format</group>
      <groupName>格式问题</groupName>
      <ability>L2_HalfPunc_CN</ability>
      <abilityName>全半角问题</abilityName>
      <candidateList>
        <item>（</item>
      </candidateList>
      <explain>文本全半角错误。</explain>
      <paraID>577C90B1</paraID>
      <start>83</start>
      <end>84</end>
      <status>unmodified</status>
      <modifiedWord/>
      <trackRevisions>false</trackRevisions>
    </reviewItem>
    <reviewItem>
      <errorID>27485627-edbd-42d7-8f46-25f187869d9f</errorID>
      <errorWord>),</errorWord>
      <group>L1_Format</group>
      <groupName>格式问题</groupName>
      <ability>L2_HalfPunc_CN</ability>
      <abilityName>全半角问题</abilityName>
      <candidateList>
        <item>），</item>
      </candidateList>
      <explain>文本全半角错误。</explain>
      <paraID> 38D8948</paraID>
      <start>1</start>
      <end>3</end>
      <status>unmodified</status>
      <modifiedWord/>
      <trackRevisions>false</trackRevisions>
    </reviewItem>
    <reviewItem>
      <errorID>b8ab8f5d-4d6b-48a7-9501-9394bcfe10dc</errorID>
      <errorWord>(</errorWord>
      <group>L1_Format</group>
      <groupName>格式问题</groupName>
      <ability>L2_HalfPunc_CN</ability>
      <abilityName>全半角问题</abilityName>
      <candidateList>
        <item>（</item>
      </candidateList>
      <explain>文本全半角错误。</explain>
      <paraID> 38D8948</paraID>
      <start>9</start>
      <end>10</end>
      <status>unmodified</status>
      <modifiedWord/>
      <trackRevisions>false</trackRevisions>
    </reviewItem>
    <reviewItem>
      <errorID>ff933a82-87d1-4a76-b2b1-d87f9cbcd909</errorID>
      <errorWord>)</errorWord>
      <group>L1_Format</group>
      <groupName>格式问题</groupName>
      <ability>L2_HalfPunc_CN</ability>
      <abilityName>全半角问题</abilityName>
      <candidateList>
        <item>）</item>
      </candidateList>
      <explain>文本全半角错误。</explain>
      <paraID> 38D8948</paraID>
      <start>30</start>
      <end>31</end>
      <status>unmodified</status>
      <modifiedWord/>
      <trackRevisions>false</trackRevisions>
    </reviewItem>
    <reviewItem>
      <errorID>61d5804e-4770-4cec-8c4d-33b65e901256</errorID>
      <errorWord>路路路</errorWord>
      <group>L1_Word</group>
      <groupName>字词问题</groupName>
      <ability>L2_Typo</ability>
      <abilityName>字词错误</abilityName>
      <candidateList>
        <item>路路</item>
      </candidateList>
      <explain/>
      <paraID>2531087E</paraID>
      <start>3</start>
      <end>6</end>
      <status>unmodified</status>
      <modifiedWord/>
      <trackRevisions>false</trackRevisions>
    </reviewItem>
    <reviewItem>
      <errorID>7ec901e0-6b81-4855-9a1c-a6ad43fb9fe8</errorID>
      <errorWord>(</errorWord>
      <group>L1_Format</group>
      <groupName>格式问题</groupName>
      <ability>L2_HalfPunc_CN</ability>
      <abilityName>全半角问题</abilityName>
      <candidateList>
        <item>（</item>
      </candidateList>
      <explain>文本全半角错误。</explain>
      <paraID>2531087E</paraID>
      <start>17</start>
      <end>18</end>
      <status>unmodified</status>
      <modifiedWord/>
      <trackRevisions>false</trackRevisions>
    </reviewItem>
    <reviewItem>
      <errorID>f621f195-5e7a-4688-97fa-1339fe85db2f</errorID>
      <errorWord>)</errorWord>
      <group>L1_Format</group>
      <groupName>格式问题</groupName>
      <ability>L2_HalfPunc_CN</ability>
      <abilityName>全半角问题</abilityName>
      <candidateList>
        <item>）</item>
      </candidateList>
      <explain>文本全半角错误。</explain>
      <paraID>2531087E</paraID>
      <start>36</start>
      <end>37</end>
      <status>unmodified</status>
      <modifiedWord/>
      <trackRevisions>false</trackRevisions>
    </reviewItem>
    <reviewItem>
      <errorID>61d45b37-7356-4a4d-85b6-2012cf1c1d98</errorID>
      <errorWord>。</errorWord>
      <group>L1_Format</group>
      <groupName>格式问题</groupName>
      <ability>L2_HalfPunc_CN</ability>
      <abilityName>全半角问题</abilityName>
      <candidateList>
        <item>.</item>
      </candidateList>
      <explain>文本全半角错误。</explain>
      <paraID>626D4E18</paraID>
      <start>8</start>
      <end>9</end>
      <status>unmodified</status>
      <modifiedWord/>
      <trackRevisions>false</trackRevisions>
    </reviewItem>
    <reviewItem>
      <errorID>0f189602-b59f-4a1f-938f-3effaf0153a8</errorID>
      <errorWord>(</errorWord>
      <group>L1_Format</group>
      <groupName>格式问题</groupName>
      <ability>L2_HalfPunc_CN</ability>
      <abilityName>全半角问题</abilityName>
      <candidateList>
        <item>（</item>
      </candidateList>
      <explain>文本全半角错误。</explain>
      <paraID>20C54362</paraID>
      <start>10</start>
      <end>11</end>
      <status>unmodified</status>
      <modifiedWord/>
      <trackRevisions>false</trackRevisions>
    </reviewItem>
    <reviewItem>
      <errorID>2a267730-fa5a-44cf-a3a4-4df7c48d338b</errorID>
      <errorWord>)</errorWord>
      <group>L1_Format</group>
      <groupName>格式问题</groupName>
      <ability>L2_HalfPunc_CN</ability>
      <abilityName>全半角问题</abilityName>
      <candidateList>
        <item>）</item>
      </candidateList>
      <explain>文本全半角错误。</explain>
      <paraID>20C54362</paraID>
      <start>14</start>
      <end>15</end>
      <status>unmodified</status>
      <modifiedWord/>
      <trackRevisions>false</trackRevisions>
    </reviewItem>
    <reviewItem>
      <errorID>678a83f0-5c8d-463f-94bc-2ecf9094e2bd</errorID>
      <errorWord>,</errorWord>
      <group>L1_Format</group>
      <groupName>格式问题</groupName>
      <ability>L2_HalfPunc_CN</ability>
      <abilityName>全半角问题</abilityName>
      <candidateList>
        <item>，</item>
      </candidateList>
      <explain>文本全半角错误。</explain>
      <paraID>20C54362</paraID>
      <start>21</start>
      <end>22</end>
      <status>unmodified</status>
      <modifiedWord/>
      <trackRevisions>false</trackRevisions>
    </reviewItem>
    <reviewItem>
      <errorID>84c27acb-9047-4ee0-b630-383c3038b7c6</errorID>
      <errorWord>站站</errorWord>
      <group>L1_Word</group>
      <groupName>字词问题</groupName>
      <ability>L2_Typo</ability>
      <abilityName>字词错误</abilityName>
      <candidateList>
        <item>站</item>
      </candidateList>
      <explain/>
      <paraID>20C54362</paraID>
      <start>97</start>
      <end>99</end>
      <status>unmodified</status>
      <modifiedWord/>
      <trackRevisions>false</trackRevisions>
    </reviewItem>
    <reviewItem>
      <errorID>278d3840-e84e-4de8-9cf1-00614e8d277a</errorID>
      <errorWord>,</errorWord>
      <group>L1_Format</group>
      <groupName>格式问题</groupName>
      <ability>L2_HalfPunc_CN</ability>
      <abilityName>全半角问题</abilityName>
      <candidateList>
        <item>，</item>
      </candidateList>
      <explain>文本全半角错误。</explain>
      <paraID>20C54362</paraID>
      <start>123</start>
      <end>124</end>
      <status>unmodified</status>
      <modifiedWord/>
      <trackRevisions>false</trackRevisions>
    </reviewItem>
    <reviewItem>
      <errorID>167b4696-2b62-448f-bfca-3f84450b7e08</errorID>
      <errorWord>,</errorWord>
      <group>L1_Format</group>
      <groupName>格式问题</groupName>
      <ability>L2_HalfPunc_CN</ability>
      <abilityName>全半角问题</abilityName>
      <candidateList>
        <item>，</item>
      </candidateList>
      <explain>文本全半角错误。</explain>
      <paraID>20C54362</paraID>
      <start>131</start>
      <end>132</end>
      <status>unmodified</status>
      <modifiedWord/>
      <trackRevisions>false</trackRevisions>
    </reviewItem>
    <reviewItem>
      <errorID>a0042263-b019-48d3-bd75-8104605149a4</errorID>
      <errorWord>堆场堆</errorWord>
      <group>L1_Word</group>
      <groupName>字词问题</groupName>
      <ability>L2_Typo</ability>
      <abilityName>字词错误</abilityName>
      <candidateList>
        <item>堆场</item>
      </candidateList>
      <explain/>
      <paraID>4828F787</paraID>
      <start>37</start>
      <end>40</end>
      <status>unmodified</status>
      <modifiedWord/>
      <trackRevisions>false</trackRevisions>
    </reviewItem>
    <reviewItem>
      <errorID>943f41a4-effc-47d4-8001-a81a039260a6</errorID>
      <errorWord>,</errorWord>
      <group>L1_Format</group>
      <groupName>格式问题</groupName>
      <ability>L2_HalfPunc_CN</ability>
      <abilityName>全半角问题</abilityName>
      <candidateList>
        <item>，</item>
      </candidateList>
      <explain>文本全半角错误。</explain>
      <paraID>4828F787</paraID>
      <start>49</start>
      <end>50</end>
      <status>unmodified</status>
      <modifiedWord/>
      <trackRevisions>false</trackRevisions>
    </reviewItem>
    <reviewItem>
      <errorID>352ae97f-2cca-4256-85bb-ea91b6deb7a8</errorID>
      <errorWord>,</errorWord>
      <group>L1_Format</group>
      <groupName>格式问题</groupName>
      <ability>L2_HalfPunc_CN</ability>
      <abilityName>全半角问题</abilityName>
      <candidateList>
        <item>，</item>
      </candidateList>
      <explain>文本全半角错误。</explain>
      <paraID>4828F787</paraID>
      <start>62</start>
      <end>63</end>
      <status>unmodified</status>
      <modifiedWord/>
      <trackRevisions>false</trackRevisions>
    </reviewItem>
    <reviewItem>
      <errorID>44feb58f-5eef-4c39-9073-d509add58873</errorID>
      <errorWord>(</errorWord>
      <group>L1_Format</group>
      <groupName>格式问题</groupName>
      <ability>L2_HalfPunc_CN</ability>
      <abilityName>全半角问题</abilityName>
      <candidateList>
        <item>（</item>
      </candidateList>
      <explain>文本全半角错误。</explain>
      <paraID>2F04D51D</paraID>
      <start>8</start>
      <end>9</end>
      <status>unmodified</status>
      <modifiedWord/>
      <trackRevisions>false</trackRevisions>
    </reviewItem>
    <reviewItem>
      <errorID>cde1713f-a6b3-4689-b621-f710043dff3f</errorID>
      <errorWord>),</errorWord>
      <group>L1_Format</group>
      <groupName>格式问题</groupName>
      <ability>L2_HalfPunc_CN</ability>
      <abilityName>全半角问题</abilityName>
      <candidateList>
        <item>），</item>
      </candidateList>
      <explain>文本全半角错误。</explain>
      <paraID>2F04D51D</paraID>
      <start>12</start>
      <end>14</end>
      <status>unmodified</status>
      <modifiedWord/>
      <trackRevisions>false</trackRevisions>
    </reviewItem>
    <reviewItem>
      <errorID>08444a0a-4a01-4012-acef-73ff4c1ce60c</errorID>
      <errorWord>拌合站</errorWord>
      <group>L1_Word</group>
      <groupName>字词问题</groupName>
      <ability>L2_Typo</ability>
      <abilityName>字词错误</abilityName>
      <candidateList>
        <item>拌和站</item>
      </candidateList>
      <explain>存在发音相同字词的误用。</explain>
      <paraID>1A9F60A7</paraID>
      <start>16</start>
      <end>19</end>
      <status>unmodified</status>
      <modifiedWord/>
      <trackRevisions>false</trackRevisions>
    </reviewItem>
    <reviewItem>
      <errorID>3402fa5f-50f4-4785-b20c-a7be4cff5544</errorID>
      <errorWord>,</errorWord>
      <group>L1_Format</group>
      <groupName>格式问题</groupName>
      <ability>L2_HalfPunc_CN</ability>
      <abilityName>全半角问题</abilityName>
      <candidateList>
        <item>，</item>
      </candidateList>
      <explain>文本全半角错误。</explain>
      <paraID>1F188813</paraID>
      <start>50</start>
      <end>51</end>
      <status>unmodified</status>
      <modifiedWord/>
      <trackRevisions>false</trackRevisions>
    </reviewItem>
    <reviewItem>
      <errorID>9d04d7bd-f4c4-4bda-9a43-9b3263b5674b</errorID>
      <errorWord>(</errorWord>
      <group>L1_Format</group>
      <groupName>格式问题</groupName>
      <ability>L2_HalfPunc_CN</ability>
      <abilityName>全半角问题</abilityName>
      <candidateList>
        <item>（</item>
      </candidateList>
      <explain>文本全半角错误。</explain>
      <paraID>4F055E06</paraID>
      <start>22</start>
      <end>23</end>
      <status>unmodified</status>
      <modifiedWord/>
      <trackRevisions>false</trackRevisions>
    </reviewItem>
    <reviewItem>
      <errorID>8234e44d-f751-4804-9cdd-978f4bfc761b</errorID>
      <errorWord>)</errorWord>
      <group>L1_Format</group>
      <groupName>格式问题</groupName>
      <ability>L2_HalfPunc_CN</ability>
      <abilityName>全半角问题</abilityName>
      <candidateList>
        <item>）</item>
      </candidateList>
      <explain>文本全半角错误。</explain>
      <paraID>4F055E06</paraID>
      <start>41</start>
      <end>42</end>
      <status>unmodified</status>
      <modifiedWord/>
      <trackRevisions>false</trackRevisions>
    </reviewItem>
    <reviewItem>
      <errorID>f7333e64-31f1-4f76-be5f-3ed0d95bf4fc</errorID>
      <errorWord>,</errorWord>
      <group>L1_Format</group>
      <groupName>格式问题</groupName>
      <ability>L2_HalfPunc_CN</ability>
      <abilityName>全半角问题</abilityName>
      <candidateList>
        <item>，</item>
      </candidateList>
      <explain>文本全半角错误。</explain>
      <paraID> 969C48C</paraID>
      <start>13</start>
      <end>14</end>
      <status>unmodified</status>
      <modifiedWord/>
      <trackRevisions>false</trackRevisions>
    </reviewItem>
    <reviewItem>
      <errorID>c25dd1e6-e69a-4d35-ac4b-77b1c104ec99</errorID>
      <errorWord>容积为</errorWord>
      <group>L1_Word</group>
      <groupName>字词问题</groupName>
      <ability>L2_Typo</ability>
      <abilityName>字词错误</abilityName>
      <candidateList>
        <item>容积</item>
      </candidateList>
      <explain/>
      <paraID>13641A59</paraID>
      <start>3</start>
      <end>6</end>
      <status>unmodified</status>
      <modifiedWord/>
      <trackRevisions>false</trackRevisions>
    </reviewItem>
    <reviewItem>
      <errorID>540b1cc2-a142-4ba0-8a5c-8b356ce0a9a6</errorID>
      <errorWord>,</errorWord>
      <group>L1_Format</group>
      <groupName>格式问题</groupName>
      <ability>L2_HalfPunc_CN</ability>
      <abilityName>全半角问题</abilityName>
      <candidateList>
        <item>，</item>
      </candidateList>
      <explain>文本全半角错误。</explain>
      <paraID>13641A59</paraID>
      <start>14</start>
      <end>15</end>
      <status>unmodified</status>
      <modifiedWord/>
      <trackRevisions>false</trackRevisions>
    </reviewItem>
    <reviewItem>
      <errorID>c15f062f-607f-451f-95bc-3e7466760f3e</errorID>
      <errorWord>,</errorWord>
      <group>L1_Format</group>
      <groupName>格式问题</groupName>
      <ability>L2_HalfPunc_CN</ability>
      <abilityName>全半角问题</abilityName>
      <candidateList>
        <item>，</item>
      </candidateList>
      <explain>文本全半角错误。</explain>
      <paraID>719D3C2B</paraID>
      <start>13</start>
      <end>14</end>
      <status>unmodified</status>
      <modifiedWord/>
      <trackRevisions>false</trackRevisions>
    </reviewItem>
    <reviewItem>
      <errorID>4505d30e-0bba-48cd-a5fd-416df7734cea</errorID>
      <errorWord>,</errorWord>
      <group>L1_Format</group>
      <groupName>格式问题</groupName>
      <ability>L2_HalfPunc_CN</ability>
      <abilityName>全半角问题</abilityName>
      <candidateList>
        <item>，</item>
      </candidateList>
      <explain>文本全半角错误。</explain>
      <paraID>1AB1C79C</paraID>
      <start>9</start>
      <end>10</end>
      <status>unmodified</status>
      <modifiedWord/>
      <trackRevisions>false</trackRevisions>
    </reviewItem>
    <reviewItem>
      <errorID>d604011c-1e7d-4cdc-9326-1f02a956c3aa</errorID>
      <errorWord>,</errorWord>
      <group>L1_Format</group>
      <groupName>格式问题</groupName>
      <ability>L2_HalfPunc_CN</ability>
      <abilityName>全半角问题</abilityName>
      <candidateList>
        <item>，</item>
      </candidateList>
      <explain>文本全半角错误。</explain>
      <paraID>6B72C78D</paraID>
      <start>24</start>
      <end>25</end>
      <status>unmodified</status>
      <modifiedWord/>
      <trackRevisions>false</trackRevisions>
    </reviewItem>
    <reviewItem>
      <errorID>84da2ef9-0988-4e44-a64d-9938d7192d5a</errorID>
      <errorWord>(</errorWord>
      <group>L1_Format</group>
      <groupName>格式问题</groupName>
      <ability>L2_HalfPunc_CN</ability>
      <abilityName>全半角问题</abilityName>
      <candidateList>
        <item>（</item>
      </candidateList>
      <explain>文本全半角错误。</explain>
      <paraID>31DE487D</paraID>
      <start>9</start>
      <end>10</end>
      <status>unmodified</status>
      <modifiedWord/>
      <trackRevisions>false</trackRevisions>
    </reviewItem>
    <reviewItem>
      <errorID>a13470fa-5301-4970-8313-cfa3d3b0c2db</errorID>
      <errorWord>)</errorWord>
      <group>L1_Format</group>
      <groupName>格式问题</groupName>
      <ability>L2_HalfPunc_CN</ability>
      <abilityName>全半角问题</abilityName>
      <candidateList>
        <item>）</item>
      </candidateList>
      <explain>文本全半角错误。</explain>
      <paraID>31DE487D</paraID>
      <start>19</start>
      <end>20</end>
      <status>unmodified</status>
      <modifiedWord/>
      <trackRevisions>false</trackRevisions>
    </reviewItem>
    <reviewItem>
      <errorID>aed72339-45c1-468a-aba4-19fbc918664b</errorID>
      <errorWord>~</errorWord>
      <group>L1_Format</group>
      <groupName>格式问题</groupName>
      <ability>L2_HalfPunc_CN</ability>
      <abilityName>全半角问题</abilityName>
      <candidateList>
        <item>～</item>
      </candidateList>
      <explain>文本全半角错误。</explain>
      <paraID>3826DABD</paraID>
      <start>8</start>
      <end>9</end>
      <status>unmodified</status>
      <modifiedWord/>
      <trackRevisions>false</trackRevisions>
    </reviewItem>
    <reviewItem>
      <errorID>5397d0f9-7cc3-4767-ad2b-c6e4dba61ac2</errorID>
      <errorWord>,</errorWord>
      <group>L1_Format</group>
      <groupName>格式问题</groupName>
      <ability>L2_HalfPunc_CN</ability>
      <abilityName>全半角问题</abilityName>
      <candidateList>
        <item>，</item>
      </candidateList>
      <explain>文本全半角错误。</explain>
      <paraID> 94EFE4D</paraID>
      <start>28</start>
      <end>29</end>
      <status>unmodified</status>
      <modifiedWord/>
      <trackRevisions>false</trackRevisions>
    </reviewItem>
    <reviewItem>
      <errorID>98b3b866-0774-401e-a1b8-90d4d3c0378a</errorID>
      <errorWord>(</errorWord>
      <group>L1_Format</group>
      <groupName>格式问题</groupName>
      <ability>L2_HalfPunc_CN</ability>
      <abilityName>全半角问题</abilityName>
      <candidateList>
        <item>（</item>
      </candidateList>
      <explain>文本全半角错误。</explain>
      <paraID>46D575A9</paraID>
      <start>23</start>
      <end>24</end>
      <status>unmodified</status>
      <modifiedWord/>
      <trackRevisions>false</trackRevisions>
    </reviewItem>
    <reviewItem>
      <errorID>ece93c91-1f75-4775-a218-955ac905bdb1</errorID>
      <errorWord>危险度物</errorWord>
      <group>L1_Knowledge</group>
      <groupName>知识性问题</groupName>
      <ability>L2_Term</ability>
      <abilityName>专业术语</abilityName>
      <candidateList>
        <item>危险货物</item>
      </candidateList>
      <explain/>
      <paraID>46D575A9</paraID>
      <start>52</start>
      <end>56</end>
      <status>unmodified</status>
      <modifiedWord/>
      <trackRevisions>false</trackRevisions>
    </reviewItem>
    <reviewItem>
      <errorID>e680f3f5-fb68-4214-9ff8-b41a3241ed5c</errorID>
      <errorWord>(</errorWord>
      <group>L1_Format</group>
      <groupName>格式问题</groupName>
      <ability>L2_HalfPunc_CN</ability>
      <abilityName>全半角问题</abilityName>
      <candidateList>
        <item>（</item>
      </candidateList>
      <explain>文本全半角错误。</explain>
      <paraID>46D575A9</paraID>
      <start>98</start>
      <end>99</end>
      <status>unmodified</status>
      <modifiedWord/>
      <trackRevisions>false</trackRevisions>
    </reviewItem>
    <reviewItem>
      <errorID>1cc89b54-1025-4d3e-9500-da379f417f6a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7A05F267</paraID>
      <start>3</start>
      <end>4</end>
      <status>unmodified</status>
      <modifiedWord/>
      <trackRevisions>false</trackRevisions>
    </reviewItem>
    <reviewItem>
      <errorID>17aad342-3b22-4b7f-b7cc-83499eef2f95</errorID>
      <errorWord>)</errorWord>
      <group>L1_Format</group>
      <groupName>格式问题</groupName>
      <ability>L2_HalfPunc_CN</ability>
      <abilityName>全半角问题</abilityName>
      <candidateList>
        <item>）</item>
      </candidateList>
      <explain>文本全半角错误。</explain>
      <paraID>7A05F267</paraID>
      <start>9</start>
      <end>10</end>
      <status>unmodified</status>
      <modifiedWord/>
      <trackRevisions>false</trackRevisions>
    </reviewItem>
    <reviewItem>
      <errorID>6dadacc4-1fea-43b5-9f07-6bd6a8464d32</errorID>
      <errorWord>,</errorWord>
      <group>L1_Format</group>
      <groupName>格式问题</groupName>
      <ability>L2_HalfPunc_CN</ability>
      <abilityName>全半角问题</abilityName>
      <candidateList>
        <item>，</item>
      </candidateList>
      <explain>文本全半角错误。</explain>
      <paraID>7A05F267</paraID>
      <start>10</start>
      <end>11</end>
      <status>unmodified</status>
      <modifiedWord/>
      <trackRevisions>false</trackRevisions>
    </reviewItem>
    <reviewItem>
      <errorID>deb09fbe-0a04-4a29-8b3d-e705eb775fbc</errorID>
      <errorWord>(</errorWord>
      <group>L1_Format</group>
      <groupName>格式问题</groupName>
      <ability>L2_HalfPunc_CN</ability>
      <abilityName>全半角问题</abilityName>
      <candidateList>
        <item>（</item>
      </candidateList>
      <explain>文本全半角错误。</explain>
      <paraID>7A05F267</paraID>
      <start>32</start>
      <end>33</end>
      <status>unmodified</status>
      <modifiedWord/>
      <trackRevisions>false</trackRevisions>
    </reviewItem>
    <reviewItem>
      <errorID>a1ee244d-076a-401b-a268-f78d81dfa815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7A5852D2</paraID>
      <start>7</start>
      <end>8</end>
      <status>unmodified</status>
      <modifiedWord/>
      <trackRevisions>false</trackRevisions>
    </reviewItem>
    <reviewItem>
      <errorID>6ee9d7cc-c9a4-4f28-b19b-03936be7fb02</errorID>
      <errorWord>)</errorWord>
      <group>L1_Format</group>
      <groupName>格式问题</groupName>
      <ability>L2_HalfPunc_CN</ability>
      <abilityName>全半角问题</abilityName>
      <candidateList>
        <item>）</item>
      </candidateList>
      <explain>文本全半角错误。</explain>
      <paraID>7A5852D2</paraID>
      <start>14</start>
      <end>15</end>
      <status>unmodified</status>
      <modifiedWord/>
      <trackRevisions>false</trackRevisions>
    </reviewItem>
    <reviewItem>
      <errorID>8a90a63f-c2d4-48de-97db-c772b0917900</errorID>
      <errorWord>(</errorWord>
      <group>L1_Format</group>
      <groupName>格式问题</groupName>
      <ability>L2_HalfPunc_CN</ability>
      <abilityName>全半角问题</abilityName>
      <candidateList>
        <item>（</item>
      </candidateList>
      <explain>文本全半角错误。</explain>
      <paraID>7A5852D2</paraID>
      <start>54</start>
      <end>55</end>
      <status>unmodified</status>
      <modifiedWord/>
      <trackRevisions>false</trackRevisions>
    </reviewItem>
    <reviewItem>
      <errorID>9424f0db-a124-44fd-b213-19030cfeae66</errorID>
      <errorWord>)</errorWord>
      <group>L1_Format</group>
      <groupName>格式问题</groupName>
      <ability>L2_HalfPunc_CN</ability>
      <abilityName>全半角问题</abilityName>
      <candidateList>
        <item>）</item>
      </candidateList>
      <explain>文本全半角错误。</explain>
      <paraID>7A5852D2</paraID>
      <start>66</start>
      <end>67</end>
      <status>unmodified</status>
      <modifiedWord/>
      <trackRevisions>false</trackRevisions>
    </reviewItem>
    <reviewItem>
      <errorID>90ae4024-718e-42d0-8406-9473af1f3e98</errorID>
      <errorWord>;</errorWord>
      <group>L1_Format</group>
      <groupName>格式问题</groupName>
      <ability>L2_HalfPunc_CN</ability>
      <abilityName>全半角问题</abilityName>
      <candidateList>
        <item>；</item>
      </candidateList>
      <explain>文本全半角错误。</explain>
      <paraID>2B28328F</paraID>
      <start>62</start>
      <end>63</end>
      <status>unmodified</status>
      <modifiedWord/>
      <trackRevisions>false</trackRevisions>
    </reviewItem>
    <reviewItem>
      <errorID>d603c7c5-a170-4b79-9242-5a2b58edb4a3</errorID>
      <errorWord>(</errorWord>
      <group>L1_Format</group>
      <groupName>格式问题</groupName>
      <ability>L2_HalfPunc_CN</ability>
      <abilityName>全半角问题</abilityName>
      <candidateList>
        <item>（</item>
      </candidateList>
      <explain>文本全半角错误。</explain>
      <paraID>23E65E07</paraID>
      <start>7</start>
      <end>8</end>
      <status>unmodified</status>
      <modifiedWord/>
      <trackRevisions>false</trackRevisions>
    </reviewItem>
    <reviewItem>
      <errorID>7b0f8caa-9062-4fbe-9d95-0cd715561966</errorID>
      <errorWord>)</errorWord>
      <group>L1_Format</group>
      <groupName>格式问题</groupName>
      <ability>L2_HalfPunc_CN</ability>
      <abilityName>全半角问题</abilityName>
      <candidateList>
        <item>）</item>
      </candidateList>
      <explain>文本全半角错误。</explain>
      <paraID>23E65E07</paraID>
      <start>18</start>
      <end>19</end>
      <status>unmodified</status>
      <modifiedWord/>
      <trackRevisions>false</trackRevisions>
    </reviewItem>
    <reviewItem>
      <errorID>5ec911dd-65e9-4f76-acb2-f3c9b707dcf5</errorID>
      <errorWord>(</errorWord>
      <group>L1_Format</group>
      <groupName>格式问题</groupName>
      <ability>L2_HalfPunc_CN</ability>
      <abilityName>全半角问题</abilityName>
      <candidateList>
        <item>（</item>
      </candidateList>
      <explain>文本全半角错误。</explain>
      <paraID>571231F7</paraID>
      <start>6</start>
      <end>7</end>
      <status>unmodified</status>
      <modifiedWord/>
      <trackRevisions>false</trackRevisions>
    </reviewItem>
    <reviewItem>
      <errorID>a0e3192a-0f11-4616-9ccf-77e3eafd38d7</errorID>
      <errorWord>)</errorWord>
      <group>L1_Format</group>
      <groupName>格式问题</groupName>
      <ability>L2_HalfPunc_CN</ability>
      <abilityName>全半角问题</abilityName>
      <candidateList>
        <item>）</item>
      </candidateList>
      <explain>文本全半角错误。</explain>
      <paraID>571231F7</paraID>
      <start>8</start>
      <end>9</end>
      <status>unmodified</status>
      <modifiedWord/>
      <trackRevisions>false</trackRevisions>
    </reviewItem>
    <reviewItem>
      <errorID>37f09467-2e10-44f3-8ced-7fc8965bb57a</errorID>
      <errorWord>(</errorWord>
      <group>L1_Format</group>
      <groupName>格式问题</groupName>
      <ability>L2_HalfPunc_CN</ability>
      <abilityName>全半角问题</abilityName>
      <candidateList>
        <item>（</item>
      </candidateList>
      <explain>文本全半角错误。</explain>
      <paraID>571231F7</paraID>
      <start>14</start>
      <end>15</end>
      <status>unmodified</status>
      <modifiedWord/>
      <trackRevisions>false</trackRevisions>
    </reviewItem>
    <reviewItem>
      <errorID>a6c91ba7-99ca-4c85-ad51-407744dc5371</errorID>
      <errorWord>)</errorWord>
      <group>L1_Format</group>
      <groupName>格式问题</groupName>
      <ability>L2_HalfPunc_CN</ability>
      <abilityName>全半角问题</abilityName>
      <candidateList>
        <item>）</item>
      </candidateList>
      <explain>文本全半角错误。</explain>
      <paraID>571231F7</paraID>
      <start>16</start>
      <end>17</end>
      <status>unmodified</status>
      <modifiedWord/>
      <trackRevisions>false</trackRevisions>
    </reviewItem>
    <reviewItem>
      <errorID>4d6e24b5-5a09-4166-950f-62d2190aebbc</errorID>
      <errorWord>(</errorWord>
      <group>L1_Format</group>
      <groupName>格式问题</groupName>
      <ability>L2_HalfPunc_CN</ability>
      <abilityName>全半角问题</abilityName>
      <candidateList>
        <item>（</item>
      </candidateList>
      <explain>文本全半角错误。</explain>
      <paraID>571231F7</paraID>
      <start>22</start>
      <end>23</end>
      <status>unmodified</status>
      <modifiedWord/>
      <trackRevisions>false</trackRevisions>
    </reviewItem>
    <reviewItem>
      <errorID>29fbc21f-4276-4d39-84ca-9f1d45bea8ea</errorID>
      <errorWord>)</errorWord>
      <group>L1_Format</group>
      <groupName>格式问题</groupName>
      <ability>L2_HalfPunc_CN</ability>
      <abilityName>全半角问题</abilityName>
      <candidateList>
        <item>）</item>
      </candidateList>
      <explain>文本全半角错误。</explain>
      <paraID>571231F7</paraID>
      <start>24</start>
      <end>25</end>
      <status>unmodified</status>
      <modifiedWord/>
      <trackRevisions>false</trackRevisions>
    </reviewItem>
    <reviewItem>
      <errorID>63017999-aed5-4a45-ac73-7c5fcde68682</errorID>
      <errorWord>(</errorWord>
      <group>L1_Format</group>
      <groupName>格式问题</groupName>
      <ability>L2_HalfPunc_CN</ability>
      <abilityName>全半角问题</abilityName>
      <candidateList>
        <item>（</item>
      </candidateList>
      <explain>文本全半角错误。</explain>
      <paraID>68B536F5</paraID>
      <start>4</start>
      <end>5</end>
      <status>unmodified</status>
      <modifiedWord/>
      <trackRevisions>false</trackRevisions>
    </reviewItem>
    <reviewItem>
      <errorID>40cdba95-a764-47fe-9994-01c5cbb244e0</errorID>
      <errorWord>)</errorWord>
      <group>L1_Format</group>
      <groupName>格式问题</groupName>
      <ability>L2_HalfPunc_CN</ability>
      <abilityName>全半角问题</abilityName>
      <candidateList>
        <item>）</item>
      </candidateList>
      <explain>文本全半角错误。</explain>
      <paraID>68B536F5</paraID>
      <start>11</start>
      <end>12</end>
      <status>unmodified</status>
      <modifiedWord/>
      <trackRevisions>false</trackRevisions>
    </reviewItem>
    <reviewItem>
      <errorID>b8dffcde-0ffb-44d8-9b20-e370487ade82</errorID>
      <errorWord>(</errorWord>
      <group>L1_Format</group>
      <groupName>格式问题</groupName>
      <ability>L2_HalfPunc_CN</ability>
      <abilityName>全半角问题</abilityName>
      <candidateList>
        <item>（</item>
      </candidateList>
      <explain>文本全半角错误。</explain>
      <paraID>64685CD4</paraID>
      <start>0</start>
      <end>1</end>
      <status>unmodified</status>
      <modifiedWord/>
      <trackRevisions>false</trackRevisions>
    </reviewItem>
    <reviewItem>
      <errorID>04033137-0258-42c1-9f98-8b2a841793c8</errorID>
      <errorWord>)</errorWord>
      <group>L1_Format</group>
      <groupName>格式问题</groupName>
      <ability>L2_HalfPunc_CN</ability>
      <abilityName>全半角问题</abilityName>
      <candidateList>
        <item>）</item>
      </candidateList>
      <explain>文本全半角错误。</explain>
      <paraID>64685CD4</paraID>
      <start>13</start>
      <end>14</end>
      <status>unmodified</status>
      <modifiedWord/>
      <trackRevisions>false</trackRevisions>
    </reviewItem>
    <reviewItem>
      <errorID>eae29108-c773-4c22-ad21-65f60ea361fe</errorID>
      <errorWord>,</errorWord>
      <group>L1_Format</group>
      <groupName>格式问题</groupName>
      <ability>L2_HalfPunc_CN</ability>
      <abilityName>全半角问题</abilityName>
      <candidateList>
        <item>，</item>
      </candidateList>
      <explain>文本全半角错误。</explain>
      <paraID>7AAF93B0</paraID>
      <start>15</start>
      <end>16</end>
      <status>unmodified</status>
      <modifiedWord/>
      <trackRevisions>false</trackRevisions>
    </reviewItem>
    <reviewItem>
      <errorID>1171e9a2-284f-469b-af8c-17ff8778c945</errorID>
      <errorWord>,</errorWord>
      <group>L1_Format</group>
      <groupName>格式问题</groupName>
      <ability>L2_HalfPunc_CN</ability>
      <abilityName>全半角问题</abilityName>
      <candidateList>
        <item>，</item>
      </candidateList>
      <explain>文本全半角错误。</explain>
      <paraID>418ADAA8</paraID>
      <start>4</start>
      <end>5</end>
      <status>unmodified</status>
      <modifiedWord/>
      <trackRevisions>false</trackRevisions>
    </reviewItem>
    <reviewItem>
      <errorID>b69de542-34ef-46fa-94e5-9437906dc988</errorID>
      <errorWord>(</errorWord>
      <group>L1_Format</group>
      <groupName>格式问题</groupName>
      <ability>L2_HalfPunc_CN</ability>
      <abilityName>全半角问题</abilityName>
      <candidateList>
        <item>（</item>
      </candidateList>
      <explain>文本全半角错误。</explain>
      <paraID>6336AA4F</paraID>
      <start>2</start>
      <end>3</end>
      <status>unmodified</status>
      <modifiedWord/>
      <trackRevisions>false</trackRevisions>
    </reviewItem>
    <reviewItem>
      <errorID>68da980a-924c-4210-ac8c-775ea867356a</errorID>
      <errorWord>)</errorWord>
      <group>L1_Format</group>
      <groupName>格式问题</groupName>
      <ability>L2_HalfPunc_CN</ability>
      <abilityName>全半角问题</abilityName>
      <candidateList>
        <item>）</item>
      </candidateList>
      <explain>文本全半角错误。</explain>
      <paraID>6336AA4F</paraID>
      <start>5</start>
      <end>6</end>
      <status>unmodified</status>
      <modifiedWord/>
      <trackRevisions>false</trackRevisions>
    </reviewItem>
    <reviewItem>
      <errorID>69bb0a87-6356-40d7-902e-bdee2138ef89</errorID>
      <errorWord>(</errorWord>
      <group>L1_Format</group>
      <groupName>格式问题</groupName>
      <ability>L2_HalfPunc_CN</ability>
      <abilityName>全半角问题</abilityName>
      <candidateList>
        <item>（</item>
      </candidateList>
      <explain>文本全半角错误。</explain>
      <paraID>777FA4FD</paraID>
      <start>13</start>
      <end>14</end>
      <status>unmodified</status>
      <modifiedWord/>
      <trackRevisions>false</trackRevisions>
    </reviewItem>
    <reviewItem>
      <errorID>2e059f51-0eec-43d6-8d79-6497131f8a7a</errorID>
      <errorWord>-</errorWord>
      <group>L1_Format</group>
      <groupName>格式问题</groupName>
      <ability>L2_HalfPunc_CN</ability>
      <abilityName>全半角问题</abilityName>
      <candidateList>
        <item>－</item>
      </candidateList>
      <explain>文本全半角错误。</explain>
      <paraID>777FA4FD</paraID>
      <start>19</start>
      <end>20</end>
      <status>unmodified</status>
      <modifiedWord/>
      <trackRevisions>false</trackRevisions>
    </reviewItem>
    <reviewItem>
      <errorID>32c165d7-6a56-4451-9af2-c18c9705a4f2</errorID>
      <errorWord>-</errorWord>
      <group>L1_Format</group>
      <groupName>格式问题</groupName>
      <ability>L2_HalfPunc_CN</ability>
      <abilityName>全半角问题</abilityName>
      <candidateList>
        <item>－</item>
      </candidateList>
      <explain>文本全半角错误。</explain>
      <paraID>777FA4FD</paraID>
      <start>22</start>
      <end>23</end>
      <status>unmodified</status>
      <modifiedWord/>
      <trackRevisions>false</trackRevisions>
    </reviewItem>
    <reviewItem>
      <errorID>3a97e70d-f69b-4a98-951b-54698e5bf1c5</errorID>
      <errorWord>)</errorWord>
      <group>L1_Format</group>
      <groupName>格式问题</groupName>
      <ability>L2_HalfPunc_CN</ability>
      <abilityName>全半角问题</abilityName>
      <candidateList>
        <item>）</item>
      </candidateList>
      <explain>文本全半角错误。</explain>
      <paraID>777FA4FD</paraID>
      <start>25</start>
      <end>26</end>
      <status>unmodified</status>
      <modifiedWord/>
      <trackRevisions>false</trackRevisions>
    </reviewItem>
    <reviewItem>
      <errorID>09e7c439-7dd9-44f2-b1c2-9991d0b18686</errorID>
      <errorWord>(</errorWord>
      <group>L1_Format</group>
      <groupName>格式问题</groupName>
      <ability>L2_HalfPunc_CN</ability>
      <abilityName>全半角问题</abilityName>
      <candidateList>
        <item>（</item>
      </candidateList>
      <explain>文本全半角错误。</explain>
      <paraID>3B646E14</paraID>
      <start>19</start>
      <end>20</end>
      <status>unmodified</status>
      <modifiedWord/>
      <trackRevisions>false</trackRevisions>
    </reviewItem>
    <reviewItem>
      <errorID>cee6ec47-1050-46af-aa35-f95d64986e5d</errorID>
      <errorWord>)</errorWord>
      <group>L1_Format</group>
      <groupName>格式问题</groupName>
      <ability>L2_HalfPunc_CN</ability>
      <abilityName>全半角问题</abilityName>
      <candidateList>
        <item>）</item>
      </candidateList>
      <explain>文本全半角错误。</explain>
      <paraID>3B646E14</paraID>
      <start>24</start>
      <end>25</end>
      <status>unmodified</status>
      <modifiedWord/>
      <trackRevisions>false</trackRevisions>
    </reviewItem>
    <reviewItem>
      <errorID>56278c67-48f6-41ba-b52f-9fb78bcd2583</errorID>
      <errorWord>(</errorWord>
      <group>L1_Format</group>
      <groupName>格式问题</groupName>
      <ability>L2_HalfPunc_CN</ability>
      <abilityName>全半角问题</abilityName>
      <candidateList>
        <item>（</item>
      </candidateList>
      <explain>文本全半角错误。</explain>
      <paraID>76365D8C</paraID>
      <start>6</start>
      <end>7</end>
      <status>unmodified</status>
      <modifiedWord/>
      <trackRevisions>false</trackRevisions>
    </reviewItem>
    <reviewItem>
      <errorID>c9318f9c-68a8-4156-919f-0a1f646a084a</errorID>
      <errorWord>)</errorWord>
      <group>L1_Format</group>
      <groupName>格式问题</groupName>
      <ability>L2_HalfPunc_CN</ability>
      <abilityName>全半角问题</abilityName>
      <candidateList>
        <item>）</item>
      </candidateList>
      <explain>文本全半角错误。</explain>
      <paraID>76365D8C</paraID>
      <start>14</start>
      <end>15</end>
      <status>unmodified</status>
      <modifiedWord/>
      <trackRevisions>false</trackRevisions>
    </reviewItem>
    <reviewItem>
      <errorID>ede2c906-68dd-4d77-ab14-4d44ddedbb46</errorID>
      <errorWord>(</errorWord>
      <group>L1_Format</group>
      <groupName>格式问题</groupName>
      <ability>L2_HalfPunc_CN</ability>
      <abilityName>全半角问题</abilityName>
      <candidateList>
        <item>（</item>
      </candidateList>
      <explain>文本全半角错误。</explain>
      <paraID>3DC98DA5</paraID>
      <start>32</start>
      <end>33</end>
      <status>unmodified</status>
      <modifiedWord/>
      <trackRevisions>false</trackRevisions>
    </reviewItem>
    <reviewItem>
      <errorID>bef09e10-3834-42ef-bd56-6ea484877057</errorID>
      <errorWord>)</errorWord>
      <group>L1_Format</group>
      <groupName>格式问题</groupName>
      <ability>L2_HalfPunc_CN</ability>
      <abilityName>全半角问题</abilityName>
      <candidateList>
        <item>）</item>
      </candidateList>
      <explain>文本全半角错误。</explain>
      <paraID>3DC98DA5</paraID>
      <start>34</start>
      <end>35</end>
      <status>unmodified</status>
      <modifiedWord/>
      <trackRevisions>false</trackRevisions>
    </reviewItem>
    <reviewItem>
      <errorID>0aa193de-0b16-4a5f-bf41-cc9cf4acea58</errorID>
      <errorWord>(</errorWord>
      <group>L1_Format</group>
      <groupName>格式问题</groupName>
      <ability>L2_HalfPunc_CN</ability>
      <abilityName>全半角问题</abilityName>
      <candidateList>
        <item>（</item>
      </candidateList>
      <explain>文本全半角错误。</explain>
      <paraID>635DE134</paraID>
      <start>3</start>
      <end>4</end>
      <status>unmodified</status>
      <modifiedWord/>
      <trackRevisions>false</trackRevisions>
    </reviewItem>
    <reviewItem>
      <errorID>ffb19a92-22ac-4a46-8226-fc87923162f2</errorID>
      <errorWord>)</errorWord>
      <group>L1_Format</group>
      <groupName>格式问题</groupName>
      <ability>L2_HalfPunc_CN</ability>
      <abilityName>全半角问题</abilityName>
      <candidateList>
        <item>）</item>
      </candidateList>
      <explain>文本全半角错误。</explain>
      <paraID>635DE134</paraID>
      <start>5</start>
      <end>6</end>
      <status>unmodified</status>
      <modifiedWord/>
      <trackRevisions>false</trackRevisions>
    </reviewItem>
    <reviewItem>
      <errorID>d5adff05-bd27-4b5e-b64c-d6f60415a11a</errorID>
      <errorWord>,</errorWord>
      <group>L1_Format</group>
      <groupName>格式问题</groupName>
      <ability>L2_HalfPunc_CN</ability>
      <abilityName>全半角问题</abilityName>
      <candidateList>
        <item>，</item>
      </candidateList>
      <explain>文本全半角错误。</explain>
      <paraID>635DE134</paraID>
      <start>28</start>
      <end>29</end>
      <status>unmodified</status>
      <modifiedWord/>
      <trackRevisions>false</trackRevisions>
    </reviewItem>
    <reviewItem>
      <errorID>05a8a53c-421d-4c75-818f-7aa46625d1e2</errorID>
      <errorWord>,</errorWord>
      <group>L1_Format</group>
      <groupName>格式问题</groupName>
      <ability>L2_HalfPunc_CN</ability>
      <abilityName>全半角问题</abilityName>
      <candidateList>
        <item>，</item>
      </candidateList>
      <explain>文本全半角错误。</explain>
      <paraID>635DE134</paraID>
      <start>47</start>
      <end>48</end>
      <status>unmodified</status>
      <modifiedWord/>
      <trackRevisions>false</trackRevisions>
    </reviewItem>
    <reviewItem>
      <errorID>ca917235-c789-429b-852e-f313ba6e7dc8</errorID>
      <errorWord>,</errorWord>
      <group>L1_Format</group>
      <groupName>格式问题</groupName>
      <ability>L2_HalfPunc_CN</ability>
      <abilityName>全半角问题</abilityName>
      <candidateList>
        <item>，</item>
      </candidateList>
      <explain>文本全半角错误。</explain>
      <paraID>43F2F19F</paraID>
      <start>137</start>
      <end>138</end>
      <status>unmodified</status>
      <modifiedWord/>
      <trackRevisions>false</trackRevisions>
    </reviewItem>
    <reviewItem>
      <errorID>10c451f8-a8f8-4ba5-8460-1c50dc91ee5e</errorID>
      <errorWord>钢材钢材</errorWord>
      <group>L1_Word</group>
      <groupName>字词问题</groupName>
      <ability>L2_Typo</ability>
      <abilityName>字词错误</abilityName>
      <candidateList>
        <item>钢材</item>
      </candidateList>
      <explain/>
      <paraID>43F2F19F</paraID>
      <start>213</start>
      <end>217</end>
      <status>unmodified</status>
      <modifiedWord/>
      <trackRevisions>false</trackRevisions>
    </reviewItem>
    <reviewItem>
      <errorID>fd881740-9b05-4e7a-a771-c990819df1e0</errorID>
      <errorWord>,</errorWord>
      <group>L1_Format</group>
      <groupName>格式问题</groupName>
      <ability>L2_HalfPunc_CN</ability>
      <abilityName>全半角问题</abilityName>
      <candidateList>
        <item>，</item>
      </candidateList>
      <explain>文本全半角错误。</explain>
      <paraID>1DD50B30</paraID>
      <start>16</start>
      <end>17</end>
      <status>unmodified</status>
      <modifiedWord/>
      <trackRevisions>false</trackRevisions>
    </reviewItem>
    <reviewItem>
      <errorID>f5918083-0494-4922-905e-b06b3a1b1fed</errorID>
      <errorWord>(</errorWord>
      <group>L1_Format</group>
      <groupName>格式问题</groupName>
      <ability>L2_HalfPunc_CN</ability>
      <abilityName>全半角问题</abilityName>
      <candidateList>
        <item>（</item>
      </candidateList>
      <explain>文本全半角错误。</explain>
      <paraID>70B7D130</paraID>
      <start>22</start>
      <end>23</end>
      <status>unmodified</status>
      <modifiedWord/>
      <trackRevisions>false</trackRevisions>
    </reviewItem>
    <reviewItem>
      <errorID>d134810c-7a1b-416c-be8c-59759be27616</errorID>
      <errorWord>)</errorWord>
      <group>L1_Format</group>
      <groupName>格式问题</groupName>
      <ability>L2_HalfPunc_CN</ability>
      <abilityName>全半角问题</abilityName>
      <candidateList>
        <item>）</item>
      </candidateList>
      <explain>文本全半角错误。</explain>
      <paraID>70B7D130</paraID>
      <start>27</start>
      <end>28</end>
      <status>unmodified</status>
      <modifiedWord/>
      <trackRevisions>false</trackRevisions>
    </reviewItem>
    <reviewItem>
      <errorID>6bafc58b-c93b-4bd8-96b5-0feef81d05d1</errorID>
      <errorWord>(</errorWord>
      <group>L1_Format</group>
      <groupName>格式问题</groupName>
      <ability>L2_HalfPunc_CN</ability>
      <abilityName>全半角问题</abilityName>
      <candidateList>
        <item>（</item>
      </candidateList>
      <explain>文本全半角错误。</explain>
      <paraID>25989CFA</paraID>
      <start>20</start>
      <end>21</end>
      <status>unmodified</status>
      <modifiedWord/>
      <trackRevisions>false</trackRevisions>
    </reviewItem>
    <reviewItem>
      <errorID>6b5be1aa-97b2-4910-b1b2-6c82d65b5b79</errorID>
      <errorWord>)</errorWord>
      <group>L1_Format</group>
      <groupName>格式问题</groupName>
      <ability>L2_HalfPunc_CN</ability>
      <abilityName>全半角问题</abilityName>
      <candidateList>
        <item>）</item>
      </candidateList>
      <explain>文本全半角错误。</explain>
      <paraID>25989CFA</paraID>
      <start>25</start>
      <end>26</end>
      <status>unmodified</status>
      <modifiedWord/>
      <trackRevisions>false</trackRevisions>
    </reviewItem>
    <reviewItem>
      <errorID>a6bcc731-6a03-40bc-8cd0-ab9b4c841254</errorID>
      <errorWord>,</errorWord>
      <group>L1_Format</group>
      <groupName>格式问题</groupName>
      <ability>L2_HalfPunc_CN</ability>
      <abilityName>全半角问题</abilityName>
      <candidateList>
        <item>，</item>
      </candidateList>
      <explain>文本全半角错误。</explain>
      <paraID>1BFAA9E4</paraID>
      <start>17</start>
      <end>18</end>
      <status>unmodified</status>
      <modifiedWord/>
      <trackRevisions>false</trackRevisions>
    </reviewItem>
    <reviewItem>
      <errorID>98437849-18db-4f3c-8893-813baa899ce0</errorID>
      <errorWord>,</errorWord>
      <group>L1_Format</group>
      <groupName>格式问题</groupName>
      <ability>L2_HalfPunc_CN</ability>
      <abilityName>全半角问题</abilityName>
      <candidateList>
        <item>，</item>
      </candidateList>
      <explain>文本全半角错误。</explain>
      <paraID>207D4B63</paraID>
      <start>15</start>
      <end>16</end>
      <status>unmodified</status>
      <modifiedWord/>
      <trackRevisions>false</trackRevisions>
    </reviewItem>
    <reviewItem>
      <errorID>31edbe92-6111-4dbf-9361-f4d7891cce91</errorID>
      <errorWord>～</errorWord>
      <group>L1_Format</group>
      <groupName>格式问题</groupName>
      <ability>L2_HalfPunc_CN</ability>
      <abilityName>全半角问题</abilityName>
      <candidateList>
        <item>~</item>
      </candidateList>
      <explain>文本全半角错误。</explain>
      <paraID>4176EA42</paraID>
      <start>3</start>
      <end>4</end>
      <status>unmodified</status>
      <modifiedWord/>
      <trackRevisions>false</trackRevisions>
    </reviewItem>
    <reviewItem>
      <errorID>24f9e5ab-0479-4b91-8d59-c40931ddbb31</errorID>
      <errorWord>～</errorWord>
      <group>L1_Format</group>
      <groupName>格式问题</groupName>
      <ability>L2_HalfPunc_CN</ability>
      <abilityName>全半角问题</abilityName>
      <candidateList>
        <item>~</item>
      </candidateList>
      <explain>文本全半角错误。</explain>
      <paraID>77BA98C0</paraID>
      <start>3</start>
      <end>4</end>
      <status>unmodified</status>
      <modifiedWord/>
      <trackRevisions>false</trackRevisions>
    </reviewItem>
    <reviewItem>
      <errorID>1358fb7e-c3b6-4620-b877-83c8624e829f</errorID>
      <errorWord>～</errorWord>
      <group>L1_Format</group>
      <groupName>格式问题</groupName>
      <ability>L2_HalfPunc_CN</ability>
      <abilityName>全半角问题</abilityName>
      <candidateList>
        <item>~</item>
      </candidateList>
      <explain>文本全半角错误。</explain>
      <paraID>5B361B58</paraID>
      <start>3</start>
      <end>4</end>
      <status>unmodified</status>
      <modifiedWord/>
      <trackRevisions>false</trackRevisions>
    </reviewItem>
    <reviewItem>
      <errorID>072b6274-debf-4165-bf30-43967c0d89d5</errorID>
      <errorWord>(</errorWord>
      <group>L1_Format</group>
      <groupName>格式问题</groupName>
      <ability>L2_HalfPunc_CN</ability>
      <abilityName>全半角问题</abilityName>
      <candidateList>
        <item>（</item>
      </candidateList>
      <explain>文本全半角错误。</explain>
      <paraID> 751FC60</paraID>
      <start>14</start>
      <end>15</end>
      <status>unmodified</status>
      <modifiedWord/>
      <trackRevisions>false</trackRevisions>
    </reviewItem>
    <reviewItem>
      <errorID>b6cd8a54-153a-4b10-8f6a-719031cae2c6</errorID>
      <errorWord>)</errorWord>
      <group>L1_Format</group>
      <groupName>格式问题</groupName>
      <ability>L2_HalfPunc_CN</ability>
      <abilityName>全半角问题</abilityName>
      <candidateList>
        <item>）</item>
      </candidateList>
      <explain>文本全半角错误。</explain>
      <paraID> 751FC60</paraID>
      <start>18</start>
      <end>19</end>
      <status>unmodified</status>
      <modifiedWord/>
      <trackRevisions>false</trackRevisions>
    </reviewItem>
    <reviewItem>
      <errorID>b2296014-47db-4cbf-a56f-94a3d2efd50e</errorID>
      <errorWord>(</errorWord>
      <group>L1_Format</group>
      <groupName>格式问题</groupName>
      <ability>L2_HalfPunc_CN</ability>
      <abilityName>全半角问题</abilityName>
      <candidateList>
        <item>（</item>
      </candidateList>
      <explain>文本全半角错误。</explain>
      <paraID>332A4216</paraID>
      <start>1</start>
      <end>2</end>
      <status>unmodified</status>
      <modifiedWord/>
      <trackRevisions>false</trackRevisions>
    </reviewItem>
    <reviewItem>
      <errorID>8bc5c397-dbd8-4d74-80d3-622a34c0e735</errorID>
      <errorWord>)</errorWord>
      <group>L1_Format</group>
      <groupName>格式问题</groupName>
      <ability>L2_HalfPunc_CN</ability>
      <abilityName>全半角问题</abilityName>
      <candidateList>
        <item>）</item>
      </candidateList>
      <explain>文本全半角错误。</explain>
      <paraID>332A4216</paraID>
      <start>4</start>
      <end>5</end>
      <status>unmodified</status>
      <modifiedWord/>
      <trackRevisions>false</trackRevisions>
    </reviewItem>
    <reviewItem>
      <errorID>1fc986f5-3c29-4b80-95f1-f14a2f75b783</errorID>
      <errorWord>(</errorWord>
      <group>L1_Format</group>
      <groupName>格式问题</groupName>
      <ability>L2_HalfPunc_CN</ability>
      <abilityName>全半角问题</abilityName>
      <candidateList>
        <item>（</item>
      </candidateList>
      <explain>文本全半角错误。</explain>
      <paraID>3677E446</paraID>
      <start>3</start>
      <end>4</end>
      <status>unmodified</status>
      <modifiedWord/>
      <trackRevisions>false</trackRevisions>
    </reviewItem>
    <reviewItem>
      <errorID>10d27bcb-1dd6-4f78-9ff9-a6110daead81</errorID>
      <errorWord>)</errorWord>
      <group>L1_Format</group>
      <groupName>格式问题</groupName>
      <ability>L2_HalfPunc_CN</ability>
      <abilityName>全半角问题</abilityName>
      <candidateList>
        <item>）</item>
      </candidateList>
      <explain>文本全半角错误。</explain>
      <paraID>3677E446</paraID>
      <start>6</start>
      <end>7</end>
      <status>unmodified</status>
      <modifiedWord/>
      <trackRevisions>false</trackRevisions>
    </reviewItem>
    <reviewItem>
      <errorID>db680340-18cc-4207-ae66-e8b18d2ea8fb</errorID>
      <errorWord>(</errorWord>
      <group>L1_Format</group>
      <groupName>格式问题</groupName>
      <ability>L2_HalfPunc_CN</ability>
      <abilityName>全半角问题</abilityName>
      <candidateList>
        <item>（</item>
      </candidateList>
      <explain>文本全半角错误。</explain>
      <paraID>3677E446</paraID>
      <start>11</start>
      <end>12</end>
      <status>unmodified</status>
      <modifiedWord/>
      <trackRevisions>false</trackRevisions>
    </reviewItem>
    <reviewItem>
      <errorID>689963d4-a9fe-46ae-9ac6-36f7990c29e8</errorID>
      <errorWord>)</errorWord>
      <group>L1_Format</group>
      <groupName>格式问题</groupName>
      <ability>L2_HalfPunc_CN</ability>
      <abilityName>全半角问题</abilityName>
      <candidateList>
        <item>）</item>
      </candidateList>
      <explain>文本全半角错误。</explain>
      <paraID>6440AFBF</paraID>
      <start>2</start>
      <end>3</end>
      <status>unmodified</status>
      <modifiedWord/>
      <trackRevisions>false</trackRevisions>
    </reviewItem>
    <reviewItem>
      <errorID>96a9717f-e58f-467c-b8d5-0a76271d828d</errorID>
      <errorWord>(</errorWord>
      <group>L1_Format</group>
      <groupName>格式问题</groupName>
      <ability>L2_HalfPunc_CN</ability>
      <abilityName>全半角问题</abilityName>
      <candidateList>
        <item>（</item>
      </candidateList>
      <explain>文本全半角错误。</explain>
      <paraID>18873D8F</paraID>
      <start>3</start>
      <end>4</end>
      <status>unmodified</status>
      <modifiedWord/>
      <trackRevisions>false</trackRevisions>
    </reviewItem>
    <reviewItem>
      <errorID>d5e3afda-59b8-4261-a02e-53bc1dcdf763</errorID>
      <errorWord>)</errorWord>
      <group>L1_Format</group>
      <groupName>格式问题</groupName>
      <ability>L2_HalfPunc_CN</ability>
      <abilityName>全半角问题</abilityName>
      <candidateList>
        <item>）</item>
      </candidateList>
      <explain>文本全半角错误。</explain>
      <paraID>18873D8F</paraID>
      <start>6</start>
      <end>7</end>
      <status>unmodified</status>
      <modifiedWord/>
      <trackRevisions>false</trackRevisions>
    </reviewItem>
    <reviewItem>
      <errorID>d8eb830f-2065-4647-9325-fa0bcdc926c9</errorID>
      <errorWord>(</errorWord>
      <group>L1_Format</group>
      <groupName>格式问题</groupName>
      <ability>L2_HalfPunc_CN</ability>
      <abilityName>全半角问题</abilityName>
      <candidateList>
        <item>（</item>
      </candidateList>
      <explain>文本全半角错误。</explain>
      <paraID>18873D8F</paraID>
      <start>11</start>
      <end>12</end>
      <status>unmodified</status>
      <modifiedWord/>
      <trackRevisions>false</trackRevisions>
    </reviewItem>
    <reviewItem>
      <errorID>66a6ae3b-a296-4a57-b8d6-289b2e07a65c</errorID>
      <errorWord>)</errorWord>
      <group>L1_Format</group>
      <groupName>格式问题</groupName>
      <ability>L2_HalfPunc_CN</ability>
      <abilityName>全半角问题</abilityName>
      <candidateList>
        <item>）</item>
      </candidateList>
      <explain>文本全半角错误。</explain>
      <paraID>25DC0873</paraID>
      <start>2</start>
      <end>3</end>
      <status>unmodified</status>
      <modifiedWord/>
      <trackRevisions>false</trackRevisions>
    </reviewItem>
    <reviewItem>
      <errorID>b19fb292-bdda-4459-82d4-ac2e307269bc</errorID>
      <errorWord>(</errorWord>
      <group>L1_Format</group>
      <groupName>格式问题</groupName>
      <ability>L2_HalfPunc_CN</ability>
      <abilityName>全半角问题</abilityName>
      <candidateList>
        <item>（</item>
      </candidateList>
      <explain>文本全半角错误。</explain>
      <paraID>4F1DB84D</paraID>
      <start>3</start>
      <end>4</end>
      <status>unmodified</status>
      <modifiedWord/>
      <trackRevisions>false</trackRevisions>
    </reviewItem>
    <reviewItem>
      <errorID>537c3fa1-58a7-4892-9489-86be0efd056e</errorID>
      <errorWord>)</errorWord>
      <group>L1_Format</group>
      <groupName>格式问题</groupName>
      <ability>L2_HalfPunc_CN</ability>
      <abilityName>全半角问题</abilityName>
      <candidateList>
        <item>）</item>
      </candidateList>
      <explain>文本全半角错误。</explain>
      <paraID>4F1DB84D</paraID>
      <start>6</start>
      <end>7</end>
      <status>unmodified</status>
      <modifiedWord/>
      <trackRevisions>false</trackRevisions>
    </reviewItem>
    <reviewItem>
      <errorID>fc97addf-4a3b-42da-b558-20cb8bc32d72</errorID>
      <errorWord>(</errorWord>
      <group>L1_Format</group>
      <groupName>格式问题</groupName>
      <ability>L2_HalfPunc_CN</ability>
      <abilityName>全半角问题</abilityName>
      <candidateList>
        <item>（</item>
      </candidateList>
      <explain>文本全半角错误。</explain>
      <paraID>4F1DB84D</paraID>
      <start>11</start>
      <end>12</end>
      <status>unmodified</status>
      <modifiedWord/>
      <trackRevisions>false</trackRevisions>
    </reviewItem>
    <reviewItem>
      <errorID>b92ffc23-0371-4b81-bd7f-299237cfc67e</errorID>
      <errorWord>)</errorWord>
      <group>L1_Format</group>
      <groupName>格式问题</groupName>
      <ability>L2_HalfPunc_CN</ability>
      <abilityName>全半角问题</abilityName>
      <candidateList>
        <item>）</item>
      </candidateList>
      <explain>文本全半角错误。</explain>
      <paraID>38F38A3D</paraID>
      <start>2</start>
      <end>3</end>
      <status>unmodified</status>
      <modifiedWord/>
      <trackRevisions>false</trackRevisions>
    </reviewItem>
    <reviewItem>
      <errorID>5075a69e-0919-4e7e-be91-c1d35eea5738</errorID>
      <errorWord>(</errorWord>
      <group>L1_Format</group>
      <groupName>格式问题</groupName>
      <ability>L2_HalfPunc_CN</ability>
      <abilityName>全半角问题</abilityName>
      <candidateList>
        <item>（</item>
      </candidateList>
      <explain>文本全半角错误。</explain>
      <paraID>7479D190</paraID>
      <start>4</start>
      <end>5</end>
      <status>unmodified</status>
      <modifiedWord/>
      <trackRevisions>false</trackRevisions>
    </reviewItem>
    <reviewItem>
      <errorID>85fcdaad-d64a-4571-b986-578dae0a07cc</errorID>
      <errorWord>)</errorWord>
      <group>L1_Format</group>
      <groupName>格式问题</groupName>
      <ability>L2_HalfPunc_CN</ability>
      <abilityName>全半角问题</abilityName>
      <candidateList>
        <item>）</item>
      </candidateList>
      <explain>文本全半角错误。</explain>
      <paraID>7479D190</paraID>
      <start>6</start>
      <end>7</end>
      <status>unmodified</status>
      <modifiedWord/>
      <trackRevisions>false</trackRevisions>
    </reviewItem>
    <reviewItem>
      <errorID>e9b8d49e-0fe1-47ef-b2b1-fdecd84ab015</errorID>
      <errorWord>(</errorWord>
      <group>L1_Format</group>
      <groupName>格式问题</groupName>
      <ability>L2_HalfPunc_CN</ability>
      <abilityName>全半角问题</abilityName>
      <candidateList>
        <item>（</item>
      </candidateList>
      <explain>文本全半角错误。</explain>
      <paraID>2B8AA257</paraID>
      <start>4</start>
      <end>5</end>
      <status>unmodified</status>
      <modifiedWord/>
      <trackRevisions>false</trackRevisions>
    </reviewItem>
    <reviewItem>
      <errorID>db85bbec-b94d-41ae-8cc9-eb01e2572747</errorID>
      <errorWord>)</errorWord>
      <group>L1_Format</group>
      <groupName>格式问题</groupName>
      <ability>L2_HalfPunc_CN</ability>
      <abilityName>全半角问题</abilityName>
      <candidateList>
        <item>）</item>
      </candidateList>
      <explain>文本全半角错误。</explain>
      <paraID>2B8AA257</paraID>
      <start>6</start>
      <end>7</end>
      <status>unmodified</status>
      <modifiedWord/>
      <trackRevisions>false</trackRevisions>
    </reviewItem>
    <reviewItem>
      <errorID>634526a0-134a-4746-8349-bc7292c0df20</errorID>
      <errorWord>～</errorWord>
      <group>L1_Format</group>
      <groupName>格式问题</groupName>
      <ability>L2_HalfPunc_CN</ability>
      <abilityName>全半角问题</abilityName>
      <candidateList>
        <item>~</item>
      </candidateList>
      <explain>文本全半角错误。</explain>
      <paraID>51C2D2C9</paraID>
      <start>3</start>
      <end>4</end>
      <status>unmodified</status>
      <modifiedWord/>
      <trackRevisions>false</trackRevisions>
    </reviewItem>
    <reviewItem>
      <errorID>5cf6d3bd-8f41-445f-8d94-73e67c1314c7</errorID>
      <errorWord>～</errorWord>
      <group>L1_Format</group>
      <groupName>格式问题</groupName>
      <ability>L2_HalfPunc_CN</ability>
      <abilityName>全半角问题</abilityName>
      <candidateList>
        <item>~</item>
      </candidateList>
      <explain>文本全半角错误。</explain>
      <paraID>5FA9D6DE</paraID>
      <start>3</start>
      <end>4</end>
      <status>unmodified</status>
      <modifiedWord/>
      <trackRevisions>false</trackRevisions>
    </reviewItem>
    <reviewItem>
      <errorID>a87cc6d3-96c8-4fde-9002-256df3072e10</errorID>
      <errorWord>～</errorWord>
      <group>L1_Format</group>
      <groupName>格式问题</groupName>
      <ability>L2_HalfPunc_CN</ability>
      <abilityName>全半角问题</abilityName>
      <candidateList>
        <item>~</item>
      </candidateList>
      <explain>文本全半角错误。</explain>
      <paraID>435EEE56</paraID>
      <start>3</start>
      <end>4</end>
      <status>unmodified</status>
      <modifiedWord/>
      <trackRevisions>false</trackRevisions>
    </reviewItem>
    <reviewItem>
      <errorID>5f98e071-ffdd-40cb-af78-2886505ce4df</errorID>
      <errorWord>(</errorWord>
      <group>L1_Format</group>
      <groupName>格式问题</groupName>
      <ability>L2_HalfPunc_CN</ability>
      <abilityName>全半角问题</abilityName>
      <candidateList>
        <item>（</item>
      </candidateList>
      <explain>文本全半角错误。</explain>
      <paraID>3668035B</paraID>
      <start>4</start>
      <end>5</end>
      <status>unmodified</status>
      <modifiedWord/>
      <trackRevisions>false</trackRevisions>
    </reviewItem>
    <reviewItem>
      <errorID>32e5545b-3498-47c6-ac8a-4273ae55e748</errorID>
      <errorWord>)</errorWord>
      <group>L1_Format</group>
      <groupName>格式问题</groupName>
      <ability>L2_HalfPunc_CN</ability>
      <abilityName>全半角问题</abilityName>
      <candidateList>
        <item>）</item>
      </candidateList>
      <explain>文本全半角错误。</explain>
      <paraID>3668035B</paraID>
      <start>6</start>
      <end>7</end>
      <status>unmodified</status>
      <modifiedWord/>
      <trackRevisions>false</trackRevisions>
    </reviewItem>
    <reviewItem>
      <errorID>2b373c43-2974-41d0-bb70-c0782a3621d8</errorID>
      <errorWord>～</errorWord>
      <group>L1_Format</group>
      <groupName>格式问题</groupName>
      <ability>L2_HalfPunc_CN</ability>
      <abilityName>全半角问题</abilityName>
      <candidateList>
        <item>~</item>
      </candidateList>
      <explain>文本全半角错误。</explain>
      <paraID>4CB9FED8</paraID>
      <start>2</start>
      <end>3</end>
      <status>unmodified</status>
      <modifiedWord/>
      <trackRevisions>false</trackRevisions>
    </reviewItem>
    <reviewItem>
      <errorID>03bc5f13-ec5f-49c7-8810-f94f4ad4e37a</errorID>
      <errorWord>～</errorWord>
      <group>L1_Format</group>
      <groupName>格式问题</groupName>
      <ability>L2_HalfPunc_CN</ability>
      <abilityName>全半角问题</abilityName>
      <candidateList>
        <item>~</item>
      </candidateList>
      <explain>文本全半角错误。</explain>
      <paraID>79BA071B</paraID>
      <start>2</start>
      <end>3</end>
      <status>unmodified</status>
      <modifiedWord/>
      <trackRevisions>false</trackRevisions>
    </reviewItem>
    <reviewItem>
      <errorID>7b39b634-7026-4ba6-89c1-ffea672a6937</errorID>
      <errorWord>～</errorWord>
      <group>L1_Format</group>
      <groupName>格式问题</groupName>
      <ability>L2_HalfPunc_CN</ability>
      <abilityName>全半角问题</abilityName>
      <candidateList>
        <item>~</item>
      </candidateList>
      <explain>文本全半角错误。</explain>
      <paraID>2F3A9150</paraID>
      <start>2</start>
      <end>3</end>
      <status>unmodified</status>
      <modifiedWord/>
      <trackRevisions>false</trackRevisions>
    </reviewItem>
    <reviewItem>
      <errorID>29b60bdb-bed9-458c-aecb-c6da4aeb18e9</errorID>
      <errorWord>(&gt;</errorWord>
      <group>L1_Punc</group>
      <groupName>标点问题</groupName>
      <ability>L2_Punc_CN</ability>
      <abilityName>标点符号问题</abilityName>
      <candidateList>
        <item>(</item>
      </candidateList>
      <explain/>
      <paraID>3E458C3E</paraID>
      <start>8</start>
      <end>10</end>
      <status>unmodified</status>
      <modifiedWord/>
      <trackRevisions>false</trackRevisions>
    </reviewItem>
    <reviewItem>
      <errorID>3557ecf6-6dc1-4492-b935-7b938280c174</errorID>
      <errorWord>)</errorWord>
      <group>L1_Format</group>
      <groupName>格式问题</groupName>
      <ability>L2_HalfPunc_CN</ability>
      <abilityName>全半角问题</abilityName>
      <candidateList>
        <item>）</item>
      </candidateList>
      <explain>文本全半角错误。</explain>
      <paraID>1A196B80</paraID>
      <start>2</start>
      <end>3</end>
      <status>unmodified</status>
      <modifiedWord/>
      <trackRevisions>false</trackRevisions>
    </reviewItem>
    <reviewItem>
      <errorID>227ae730-ecbd-46ac-b32c-cce0aaba4fa2</errorID>
      <errorWord>(&gt;</errorWord>
      <group>L1_Punc</group>
      <groupName>标点问题</groupName>
      <ability>L2_Punc_CN</ability>
      <abilityName>标点符号问题</abilityName>
      <candidateList>
        <item>(</item>
      </candidateList>
      <explain/>
      <paraID> A96C88E</paraID>
      <start>8</start>
      <end>10</end>
      <status>unmodified</status>
      <modifiedWord/>
      <trackRevisions>false</trackRevisions>
    </reviewItem>
    <reviewItem>
      <errorID>10122998-5978-4566-b094-bf31c17ecb8d</errorID>
      <errorWord>)</errorWord>
      <group>L1_Format</group>
      <groupName>格式问题</groupName>
      <ability>L2_HalfPunc_CN</ability>
      <abilityName>全半角问题</abilityName>
      <candidateList>
        <item>）</item>
      </candidateList>
      <explain>文本全半角错误。</explain>
      <paraID>799C4FCF</paraID>
      <start>2</start>
      <end>3</end>
      <status>unmodified</status>
      <modifiedWord/>
      <trackRevisions>false</trackRevisions>
    </reviewItem>
    <reviewItem>
      <errorID>a95440c7-7e02-4d7a-a926-dba60cebfc9e</errorID>
      <errorWord>(&gt;</errorWord>
      <group>L1_Punc</group>
      <groupName>标点问题</groupName>
      <ability>L2_Punc_CN</ability>
      <abilityName>标点符号问题</abilityName>
      <candidateList>
        <item>(</item>
      </candidateList>
      <explain/>
      <paraID> 8C3CEBC</paraID>
      <start>9</start>
      <end>11</end>
      <status>unmodified</status>
      <modifiedWord/>
      <trackRevisions>false</trackRevisions>
    </reviewItem>
    <reviewItem>
      <errorID>4ef535e7-ac0d-479b-b417-28cb11ac26ab</errorID>
      <errorWord>(</errorWord>
      <group>L1_Format</group>
      <groupName>格式问题</groupName>
      <ability>L2_HalfPunc_CN</ability>
      <abilityName>全半角问题</abilityName>
      <candidateList>
        <item>（</item>
      </candidateList>
      <explain>文本全半角错误。</explain>
      <paraID>77BA21CA</paraID>
      <start>5</start>
      <end>6</end>
      <status>unmodified</status>
      <modifiedWord/>
      <trackRevisions>false</trackRevisions>
    </reviewItem>
    <reviewItem>
      <errorID>a748da38-6ba6-4edf-b43a-59e1d831c834</errorID>
      <errorWord>)</errorWord>
      <group>L1_Format</group>
      <groupName>格式问题</groupName>
      <ability>L2_HalfPunc_CN</ability>
      <abilityName>全半角问题</abilityName>
      <candidateList>
        <item>）</item>
      </candidateList>
      <explain>文本全半角错误。</explain>
      <paraID>77BA21CA</paraID>
      <start>8</start>
      <end>9</end>
      <status>unmodified</status>
      <modifiedWord/>
      <trackRevisions>false</trackRevisions>
    </reviewItem>
    <reviewItem>
      <errorID>8211a0e5-88f0-493b-8ed8-dc29fa3c449d</errorID>
      <errorWord>(</errorWord>
      <group>L1_Format</group>
      <groupName>格式问题</groupName>
      <ability>L2_HalfPunc_CN</ability>
      <abilityName>全半角问题</abilityName>
      <candidateList>
        <item>（</item>
      </candidateList>
      <explain>文本全半角错误。</explain>
      <paraID>786533DF</paraID>
      <start>2</start>
      <end>3</end>
      <status>unmodified</status>
      <modifiedWord/>
      <trackRevisions>false</trackRevisions>
    </reviewItem>
    <reviewItem>
      <errorID>696907d9-e564-47a6-a578-a9703d838cd7</errorID>
      <errorWord>)</errorWord>
      <group>L1_Format</group>
      <groupName>格式问题</groupName>
      <ability>L2_HalfPunc_CN</ability>
      <abilityName>全半角问题</abilityName>
      <candidateList>
        <item>）</item>
      </candidateList>
      <explain>文本全半角错误。</explain>
      <paraID>786533DF</paraID>
      <start>10</start>
      <end>11</end>
      <status>unmodified</status>
      <modifiedWord/>
      <trackRevisions>false</trackRevisions>
    </reviewItem>
    <reviewItem>
      <errorID>ffcdb573-c974-489b-bc62-6a2ec86e2819</errorID>
      <errorWord>,</errorWord>
      <group>L1_Format</group>
      <groupName>格式问题</groupName>
      <ability>L2_HalfPunc_CN</ability>
      <abilityName>全半角问题</abilityName>
      <candidateList>
        <item>，</item>
      </candidateList>
      <explain>文本全半角错误。</explain>
      <paraID>67E18189</paraID>
      <start>16</start>
      <end>17</end>
      <status>unmodified</status>
      <modifiedWord/>
      <trackRevisions>false</trackRevisions>
    </reviewItem>
    <reviewItem>
      <errorID>91be3704-8eff-431b-9720-b8431dbed2a7</errorID>
      <errorWord>,</errorWord>
      <group>L1_Format</group>
      <groupName>格式问题</groupName>
      <ability>L2_HalfPunc_CN</ability>
      <abilityName>全半角问题</abilityName>
      <candidateList>
        <item>，</item>
      </candidateList>
      <explain>文本全半角错误。</explain>
      <paraID>67E18189</paraID>
      <start>30</start>
      <end>31</end>
      <status>unmodified</status>
      <modifiedWord/>
      <trackRevisions>false</trackRevisions>
    </reviewItem>
    <reviewItem>
      <errorID>a3d9ffbe-eed2-4244-8c02-9676f1d683be</errorID>
      <errorWord>,</errorWord>
      <group>L1_Format</group>
      <groupName>格式问题</groupName>
      <ability>L2_HalfPunc_CN</ability>
      <abilityName>全半角问题</abilityName>
      <candidateList>
        <item>，</item>
      </candidateList>
      <explain>文本全半角错误。</explain>
      <paraID>1AABB3F2</paraID>
      <start>26</start>
      <end>27</end>
      <status>unmodified</status>
      <modifiedWord/>
      <trackRevisions>false</trackRevisions>
    </reviewItem>
    <reviewItem>
      <errorID>20c02044-a9b8-4521-9b20-0601e03fedb6</errorID>
      <errorWord>(</errorWord>
      <group>L1_Format</group>
      <groupName>格式问题</groupName>
      <ability>L2_HalfPunc_CN</ability>
      <abilityName>全半角问题</abilityName>
      <candidateList>
        <item>（</item>
      </candidateList>
      <explain>文本全半角错误。</explain>
      <paraID>1AABB3F2</paraID>
      <start>82</start>
      <end>83</end>
      <status>unmodified</status>
      <modifiedWord/>
      <trackRevisions>false</trackRevisions>
    </reviewItem>
    <reviewItem>
      <errorID>fcdb1ff9-524c-4b4c-bcd0-85672e08789c</errorID>
      <errorWord>),</errorWord>
      <group>L1_Format</group>
      <groupName>格式问题</groupName>
      <ability>L2_HalfPunc_CN</ability>
      <abilityName>全半角问题</abilityName>
      <candidateList>
        <item>），</item>
      </candidateList>
      <explain>文本全半角错误。</explain>
      <paraID>1AABB3F2</paraID>
      <start>101</start>
      <end>103</end>
      <status>unmodified</status>
      <modifiedWord/>
      <trackRevisions>false</trackRevisions>
    </reviewItem>
    <reviewItem>
      <errorID>71eda418-9a60-4e16-9cf8-45360df487b6</errorID>
      <errorWord>(</errorWord>
      <group>L1_Format</group>
      <groupName>格式问题</groupName>
      <ability>L2_HalfPunc_CN</ability>
      <abilityName>全半角问题</abilityName>
      <candidateList>
        <item>（</item>
      </candidateList>
      <explain>文本全半角错误。</explain>
      <paraID>1AABB3F2</paraID>
      <start>109</start>
      <end>110</end>
      <status>unmodified</status>
      <modifiedWord/>
      <trackRevisions>false</trackRevisions>
    </reviewItem>
    <reviewItem>
      <errorID>df1a5762-6391-4596-9094-8cec0a650816</errorID>
      <errorWord>);</errorWord>
      <group>L1_Format</group>
      <groupName>格式问题</groupName>
      <ability>L2_HalfPunc_CN</ability>
      <abilityName>全半角问题</abilityName>
      <candidateList>
        <item>）；</item>
      </candidateList>
      <explain>文本全半角错误。</explain>
      <paraID>3550314F</paraID>
      <start>16</start>
      <end>18</end>
      <status>unmodified</status>
      <modifiedWord/>
      <trackRevisions>false</trackRevisions>
    </reviewItem>
    <reviewItem>
      <errorID>bee1a6a2-3a43-4b2d-b72a-4e3081e67c7f</errorID>
      <errorWord>路路路</errorWord>
      <group>L1_Word</group>
      <groupName>字词问题</groupName>
      <ability>L2_Typo</ability>
      <abilityName>字词错误</abilityName>
      <candidateList>
        <item>路路</item>
      </candidateList>
      <explain/>
      <paraID>3550314F</paraID>
      <start>21</start>
      <end>24</end>
      <status>unmodified</status>
      <modifiedWord/>
      <trackRevisions>false</trackRevisions>
    </reviewItem>
    <reviewItem>
      <errorID>a73c265d-653f-4afa-aa61-0328420beb6d</errorID>
      <errorWord>(</errorWord>
      <group>L1_Format</group>
      <groupName>格式问题</groupName>
      <ability>L2_HalfPunc_CN</ability>
      <abilityName>全半角问题</abilityName>
      <candidateList>
        <item>（</item>
      </candidateList>
      <explain>文本全半角错误。</explain>
      <paraID>3550314F</paraID>
      <start>35</start>
      <end>36</end>
      <status>unmodified</status>
      <modifiedWord/>
      <trackRevisions>false</trackRevisions>
    </reviewItem>
    <reviewItem>
      <errorID>ec03159d-09a0-4875-817d-a73ffdc96e90</errorID>
      <errorWord>)</errorWord>
      <group>L1_Format</group>
      <groupName>格式问题</groupName>
      <ability>L2_HalfPunc_CN</ability>
      <abilityName>全半角问题</abilityName>
      <candidateList>
        <item>）</item>
      </candidateList>
      <explain>文本全半角错误。</explain>
      <paraID>4CFBAB18</paraID>
      <start>15</start>
      <end>16</end>
      <status>unmodified</status>
      <modifiedWord/>
      <trackRevisions>false</trackRevisions>
    </reviewItem>
    <reviewItem>
      <errorID>01528762-6e3a-4410-a664-7a1c22f43f28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1997B6EF</paraID>
      <start>0</start>
      <end>3</end>
      <status>unmodified</status>
      <modifiedWord/>
      <trackRevisions>false</trackRevisions>
    </reviewItem>
    <reviewItem>
      <errorID>beac4da5-5393-4579-b13d-1a587074a7a1</errorID>
      <errorWord>(</errorWord>
      <group>L1_Format</group>
      <groupName>格式问题</groupName>
      <ability>L2_HalfPunc_CN</ability>
      <abilityName>全半角问题</abilityName>
      <candidateList>
        <item>（</item>
      </candidateList>
      <explain>文本全半角错误。</explain>
      <paraID>7B17A3FD</paraID>
      <start>17</start>
      <end>18</end>
      <status>unmodified</status>
      <modifiedWord/>
      <trackRevisions>false</trackRevisions>
    </reviewItem>
    <reviewItem>
      <errorID>02af5fbe-f73f-498e-b460-4fe1b9841305</errorID>
      <errorWord>)</errorWord>
      <group>L1_Format</group>
      <groupName>格式问题</groupName>
      <ability>L2_HalfPunc_CN</ability>
      <abilityName>全半角问题</abilityName>
      <candidateList>
        <item>）</item>
      </candidateList>
      <explain>文本全半角错误。</explain>
      <paraID>7B17A3FD</paraID>
      <start>24</start>
      <end>25</end>
      <status>unmodified</status>
      <modifiedWord/>
      <trackRevisions>false</trackRevisions>
    </reviewItem>
    <reviewItem>
      <errorID>ee0d9ec9-bf3f-4426-b2b7-dda8ec9b9984</errorID>
      <errorWord>(</errorWord>
      <group>L1_Format</group>
      <groupName>格式问题</groupName>
      <ability>L2_HalfPunc_CN</ability>
      <abilityName>全半角问题</abilityName>
      <candidateList>
        <item>（</item>
      </candidateList>
      <explain>文本全半角错误。</explain>
      <paraID>5CE0E10B</paraID>
      <start>17</start>
      <end>18</end>
      <status>unmodified</status>
      <modifiedWord/>
      <trackRevisions>false</trackRevisions>
    </reviewItem>
    <reviewItem>
      <errorID>58c2580b-427b-4be4-80d3-8c5c236d0c12</errorID>
      <errorWord>)</errorWord>
      <group>L1_Format</group>
      <groupName>格式问题</groupName>
      <ability>L2_HalfPunc_CN</ability>
      <abilityName>全半角问题</abilityName>
      <candidateList>
        <item>）</item>
      </candidateList>
      <explain>文本全半角错误。</explain>
      <paraID>5CE0E10B</paraID>
      <start>24</start>
      <end>25</end>
      <status>unmodified</status>
      <modifiedWord/>
      <trackRevisions>false</trackRevisions>
    </reviewItem>
    <reviewItem>
      <errorID>982ef4f1-2f7b-4f54-a2f2-fbfbc9bd50ba</errorID>
      <errorWord>(</errorWord>
      <group>L1_Format</group>
      <groupName>格式问题</groupName>
      <ability>L2_HalfPunc_CN</ability>
      <abilityName>全半角问题</abilityName>
      <candidateList>
        <item>（</item>
      </candidateList>
      <explain>文本全半角错误。</explain>
      <paraID>1D848A3D</paraID>
      <start>17</start>
      <end>18</end>
      <status>unmodified</status>
      <modifiedWord/>
      <trackRevisions>false</trackRevisions>
    </reviewItem>
    <reviewItem>
      <errorID>d7ae9864-8988-4008-b7bb-55ed647a17cc</errorID>
      <errorWord>)</errorWord>
      <group>L1_Format</group>
      <groupName>格式问题</groupName>
      <ability>L2_HalfPunc_CN</ability>
      <abilityName>全半角问题</abilityName>
      <candidateList>
        <item>）</item>
      </candidateList>
      <explain>文本全半角错误。</explain>
      <paraID>1D848A3D</paraID>
      <start>24</start>
      <end>25</end>
      <status>unmodified</status>
      <modifiedWord/>
      <trackRevisions>false</trackRevisions>
    </reviewItem>
    <reviewItem>
      <errorID>1c5e533e-0ea8-424f-baf8-468730da39f9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5DD9D02F</paraID>
      <start>0</start>
      <end>3</end>
      <status>unmodified</status>
      <modifiedWord/>
      <trackRevisions>false</trackRevisions>
    </reviewItem>
    <reviewItem>
      <errorID>913d4d94-604a-4c79-b0b7-d51df74c3997</errorID>
      <errorWord>其它</errorWord>
      <group>L1_Word</group>
      <groupName>字词问题</groupName>
      <ability>L2_Alias</ability>
      <abilityName>也作/曾用词</abilityName>
      <candidateList>
        <item>其他</item>
      </candidateList>
      <explain>词汇[其它]为不规范表述或旧称，其规范书面表述为[其他]。</explain>
      <paraID>4A459AF7</paraID>
      <start>26</start>
      <end>28</end>
      <status>unmodified</status>
      <modifiedWord/>
      <trackRevisions>false</trackRevisions>
    </reviewItem>
    <reviewItem>
      <errorID>4170f86f-5ef6-49df-9f94-43d11fd5bafd</errorID>
      <errorWord>,</errorWord>
      <group>L1_Format</group>
      <groupName>格式问题</groupName>
      <ability>L2_HalfPunc_CN</ability>
      <abilityName>全半角问题</abilityName>
      <candidateList>
        <item>，</item>
      </candidateList>
      <explain>文本全半角错误。</explain>
      <paraID>75750FC6</paraID>
      <start>20</start>
      <end>21</end>
      <status>unmodified</status>
      <modifiedWord/>
      <trackRevisions>false</trackRevisions>
    </reviewItem>
    <reviewItem>
      <errorID>407b1e1d-5174-43c4-bbda-1eb638cdd968</errorID>
      <errorWord>(</errorWord>
      <group>L1_Format</group>
      <groupName>格式问题</groupName>
      <ability>L2_HalfPunc_CN</ability>
      <abilityName>全半角问题</abilityName>
      <candidateList>
        <item>（</item>
      </candidateList>
      <explain>文本全半角错误。</explain>
      <paraID>6271B701</paraID>
      <start>16</start>
      <end>17</end>
      <status>unmodified</status>
      <modifiedWord/>
      <trackRevisions>false</trackRevisions>
    </reviewItem>
    <reviewItem>
      <errorID>1128424d-718e-4cb9-9ad2-7cdbb7b3943c</errorID>
      <errorWord>)</errorWord>
      <group>L1_Format</group>
      <groupName>格式问题</groupName>
      <ability>L2_HalfPunc_CN</ability>
      <abilityName>全半角问题</abilityName>
      <candidateList>
        <item>）</item>
      </candidateList>
      <explain>文本全半角错误。</explain>
      <paraID>6271B701</paraID>
      <start>27</start>
      <end>28</end>
      <status>unmodified</status>
      <modifiedWord/>
      <trackRevisions>false</trackRevisions>
    </reviewItem>
    <reviewItem>
      <errorID>e0480010-9377-49fb-9203-136d686e1ac8</errorID>
      <errorWord>其它道路</errorWord>
      <group>L1_Word</group>
      <groupName>字词问题</groupName>
      <ability>L2_Alias</ability>
      <abilityName>也作/曾用词</abilityName>
      <candidateList>
        <item>其他道路</item>
      </candidateList>
      <explain>词汇[其它道路]为不规范表述或旧称，其规范书面表述为[其他道路]。</explain>
      <paraID>4FBFC02A</paraID>
      <start>43</start>
      <end>47</end>
      <status>unmodified</status>
      <modifiedWord/>
      <trackRevisions>false</trackRevisions>
    </reviewItem>
    <reviewItem>
      <errorID>857d2873-e986-4daa-8d21-b0f73edeb20d</errorID>
      <errorWord>作</errorWord>
      <group>L1_Word</group>
      <groupName>字词问题</groupName>
      <ability>L2_Typo</ability>
      <abilityName>字词错误</abilityName>
      <candidateList>
        <item>做</item>
      </candidateList>
      <explain>存在发音相同字词的误用。</explain>
      <paraID>41F3D522</paraID>
      <start>8</start>
      <end>9</end>
      <status>unmodified</status>
      <modifiedWord/>
      <trackRevisions>false</trackRevisions>
    </reviewItem>
    <reviewItem>
      <errorID>6079216f-5ec8-45ad-bff4-604fa79d1c41</errorID>
      <errorWord>,</errorWord>
      <group>L1_Format</group>
      <groupName>格式问题</groupName>
      <ability>L2_HalfPunc_CN</ability>
      <abilityName>全半角问题</abilityName>
      <candidateList>
        <item>，</item>
      </candidateList>
      <explain>文本全半角错误。</explain>
      <paraID>41F3D522</paraID>
      <start>31</start>
      <end>32</end>
      <status>unmodified</status>
      <modifiedWord/>
      <trackRevisions>false</trackRevisions>
    </reviewItem>
    <reviewItem>
      <errorID>a99241a0-d781-4e3c-97d3-466b4d57a37f</errorID>
      <errorWord>,</errorWord>
      <group>L1_Format</group>
      <groupName>格式问题</groupName>
      <ability>L2_HalfPunc_CN</ability>
      <abilityName>全半角问题</abilityName>
      <candidateList>
        <item>，</item>
      </candidateList>
      <explain>文本全半角错误。</explain>
      <paraID>41F3D522</paraID>
      <start>43</start>
      <end>44</end>
      <status>unmodified</status>
      <modifiedWord/>
      <trackRevisions>false</trackRevisions>
    </reviewItem>
    <reviewItem>
      <errorID>48568926-863b-41d4-acd9-ffeac0bc156b</errorID>
      <errorWord>(</errorWord>
      <group>L1_Format</group>
      <groupName>格式问题</groupName>
      <ability>L2_HalfPunc_CN</ability>
      <abilityName>全半角问题</abilityName>
      <candidateList>
        <item>（</item>
      </candidateList>
      <explain>文本全半角错误。</explain>
      <paraID>506C6CE7</paraID>
      <start>7</start>
      <end>8</end>
      <status>unmodified</status>
      <modifiedWord/>
      <trackRevisions>false</trackRevisions>
    </reviewItem>
    <reviewItem>
      <errorID>347238aa-08f2-40e4-8b5a-b36001c080f2</errorID>
      <errorWord>)</errorWord>
      <group>L1_Format</group>
      <groupName>格式问题</groupName>
      <ability>L2_HalfPunc_CN</ability>
      <abilityName>全半角问题</abilityName>
      <candidateList>
        <item>）</item>
      </candidateList>
      <explain>文本全半角错误。</explain>
      <paraID>506C6CE7</paraID>
      <start>11</start>
      <end>12</end>
      <status>unmodified</status>
      <modifiedWord/>
      <trackRevisions>false</trackRevisions>
    </reviewItem>
    <reviewItem>
      <errorID>13c506ab-15ea-421e-aa20-353e7b6b6e5d</errorID>
      <errorWord>站站</errorWord>
      <group>L1_Word</group>
      <groupName>字词问题</groupName>
      <ability>L2_Typo</ability>
      <abilityName>字词错误</abilityName>
      <candidateList>
        <item>站</item>
      </candidateList>
      <explain/>
      <paraID>506C6CE7</paraID>
      <start>105</start>
      <end>107</end>
      <status>unmodified</status>
      <modifiedWord/>
      <trackRevisions>false</trackRevisions>
    </reviewItem>
    <reviewItem>
      <errorID>773c9513-27a6-4636-a8ee-07b23c13e6dc</errorID>
      <errorWord>(</errorWord>
      <group>L1_Format</group>
      <groupName>格式问题</groupName>
      <ability>L2_HalfPunc_CN</ability>
      <abilityName>全半角问题</abilityName>
      <candidateList>
        <item>（</item>
      </candidateList>
      <explain>文本全半角错误。</explain>
      <paraID>4DA2822E</paraID>
      <start>106</start>
      <end>107</end>
      <status>unmodified</status>
      <modifiedWord/>
      <trackRevisions>false</trackRevisions>
    </reviewItem>
    <reviewItem>
      <errorID>38fb9222-f42b-4a3f-b63e-c32cc986dc61</errorID>
      <errorWord>)</errorWord>
      <group>L1_Format</group>
      <groupName>格式问题</groupName>
      <ability>L2_HalfPunc_CN</ability>
      <abilityName>全半角问题</abilityName>
      <candidateList>
        <item>）</item>
      </candidateList>
      <explain>文本全半角错误。</explain>
      <paraID>4DA2822E</paraID>
      <start>116</start>
      <end>117</end>
      <status>unmodified</status>
      <modifiedWord/>
      <trackRevisions>false</trackRevisions>
    </reviewItem>
    <reviewItem>
      <errorID>5e8107f2-16ad-425c-b38f-bf8005a10347</errorID>
      <errorWord>(</errorWord>
      <group>L1_Format</group>
      <groupName>格式问题</groupName>
      <ability>L2_HalfPunc_CN</ability>
      <abilityName>全半角问题</abilityName>
      <candidateList>
        <item>（</item>
      </candidateList>
      <explain>文本全半角错误。</explain>
      <paraID>4E3EC9E0</paraID>
      <start>5</start>
      <end>6</end>
      <status>unmodified</status>
      <modifiedWord/>
      <trackRevisions>false</trackRevisions>
    </reviewItem>
    <reviewItem>
      <errorID>4d99ca94-608e-4d95-8ebc-4d1b8c06e1eb</errorID>
      <errorWord>)</errorWord>
      <group>L1_Format</group>
      <groupName>格式问题</groupName>
      <ability>L2_HalfPunc_CN</ability>
      <abilityName>全半角问题</abilityName>
      <candidateList>
        <item>）</item>
      </candidateList>
      <explain>文本全半角错误。</explain>
      <paraID>4E3EC9E0</paraID>
      <start>23</start>
      <end>24</end>
      <status>unmodified</status>
      <modifiedWord/>
      <trackRevisions>false</trackRevisions>
    </reviewItem>
    <reviewItem>
      <errorID>48612ea5-826d-48ab-8f29-451a992e1059</errorID>
      <errorWord>kw</errorWord>
      <group>L1_Word</group>
      <groupName>字词问题</groupName>
      <ability>L2_Typo</ability>
      <abilityName>字词错误</abilityName>
      <candidateList>
        <item>kW</item>
      </candidateList>
      <explain/>
      <paraID>1B9EF368</paraID>
      <start>5</start>
      <end>7</end>
      <status>unmodified</status>
      <modifiedWord/>
      <trackRevisions>false</trackRevisions>
    </reviewItem>
    <reviewItem>
      <errorID>751fb01f-2818-4465-8d31-526ce96d29d9</errorID>
      <errorWord>kw</errorWord>
      <group>L1_Word</group>
      <groupName>字词问题</groupName>
      <ability>L2_Typo</ability>
      <abilityName>字词错误</abilityName>
      <candidateList>
        <item>kW</item>
      </candidateList>
      <explain/>
      <paraID>12EB79DC</paraID>
      <start>6</start>
      <end>8</end>
      <status>unmodified</status>
      <modifiedWord/>
      <trackRevisions>false</trackRevisions>
    </reviewItem>
    <reviewItem>
      <errorID>9dc86821-8de9-4685-a204-2156d9fd7702</errorID>
      <errorWord>kw</errorWord>
      <group>L1_Word</group>
      <groupName>字词问题</groupName>
      <ability>L2_Typo</ability>
      <abilityName>字词错误</abilityName>
      <candidateList>
        <item>kW</item>
      </candidateList>
      <explain/>
      <paraID> BD860DC</paraID>
      <start>6</start>
      <end>8</end>
      <status>unmodified</status>
      <modifiedWord/>
      <trackRevisions>false</trackRevisions>
    </reviewItem>
    <reviewItem>
      <errorID>1bfb9834-6501-4974-8d8a-f186ef83d80d</errorID>
      <errorWord>kw</errorWord>
      <group>L1_Word</group>
      <groupName>字词问题</groupName>
      <ability>L2_Typo</ability>
      <abilityName>字词错误</abilityName>
      <candidateList>
        <item>kW</item>
      </candidateList>
      <explain/>
      <paraID>1BDABE7F</paraID>
      <start>6</start>
      <end>8</end>
      <status>unmodified</status>
      <modifiedWord/>
      <trackRevisions>false</trackRevisions>
    </reviewItem>
    <reviewItem>
      <errorID>fa6a2a4e-8807-48b7-be6d-7d8f5a8ab4de</errorID>
      <errorWord>kw</errorWord>
      <group>L1_Word</group>
      <groupName>字词问题</groupName>
      <ability>L2_Typo</ability>
      <abilityName>字词错误</abilityName>
      <candidateList>
        <item>kW</item>
      </candidateList>
      <explain/>
      <paraID>581BC873</paraID>
      <start>6</start>
      <end>8</end>
      <status>unmodified</status>
      <modifiedWord/>
      <trackRevisions>false</trackRevisions>
    </reviewItem>
    <reviewItem>
      <errorID>d95fed0c-cce7-4745-802c-4cfbe458ed4b</errorID>
      <errorWord>kw</errorWord>
      <group>L1_Word</group>
      <groupName>字词问题</groupName>
      <ability>L2_Typo</ability>
      <abilityName>字词错误</abilityName>
      <candidateList>
        <item>kW</item>
      </candidateList>
      <explain/>
      <paraID>5805B40C</paraID>
      <start>6</start>
      <end>8</end>
      <status>unmodified</status>
      <modifiedWord/>
      <trackRevisions>false</trackRevisions>
    </reviewItem>
    <reviewItem>
      <errorID>87872502-c0b9-4994-b015-fd4b6ae8b426</errorID>
      <errorWord>kw</errorWord>
      <group>L1_Word</group>
      <groupName>字词问题</groupName>
      <ability>L2_Typo</ability>
      <abilityName>字词错误</abilityName>
      <candidateList>
        <item>kW</item>
      </candidateList>
      <explain/>
      <paraID>7CD9797F</paraID>
      <start>6</start>
      <end>8</end>
      <status>unmodified</status>
      <modifiedWord/>
      <trackRevisions>false</trackRevisions>
    </reviewItem>
    <reviewItem>
      <errorID>20ca68a5-4715-4f9d-bbf6-82a4123f4396</errorID>
      <errorWord>kw</errorWord>
      <group>L1_Word</group>
      <groupName>字词问题</groupName>
      <ability>L2_Typo</ability>
      <abilityName>字词错误</abilityName>
      <candidateList>
        <item>kW</item>
      </candidateList>
      <explain/>
      <paraID>69AB55F5</paraID>
      <start>6</start>
      <end>8</end>
      <status>unmodified</status>
      <modifiedWord/>
      <trackRevisions>false</trackRevisions>
    </reviewItem>
    <reviewItem>
      <errorID>97270c28-4886-4bc2-8d46-de1444a6b9de</errorID>
      <errorWord>kw</errorWord>
      <group>L1_Word</group>
      <groupName>字词问题</groupName>
      <ability>L2_Typo</ability>
      <abilityName>字词错误</abilityName>
      <candidateList>
        <item>kW</item>
      </candidateList>
      <explain/>
      <paraID> 5053DCA</paraID>
      <start>6</start>
      <end>8</end>
      <status>unmodified</status>
      <modifiedWord/>
      <trackRevisions>false</trackRevisions>
    </reviewItem>
    <reviewItem>
      <errorID>03c14287-ed37-408f-ae59-ba774e97a909</errorID>
      <errorWord>kw</errorWord>
      <group>L1_Word</group>
      <groupName>字词问题</groupName>
      <ability>L2_Typo</ability>
      <abilityName>字词错误</abilityName>
      <candidateList>
        <item>kW</item>
      </candidateList>
      <explain/>
      <paraID>660A2F89</paraID>
      <start>6</start>
      <end>8</end>
      <status>unmodified</status>
      <modifiedWord/>
      <trackRevisions>false</trackRevisions>
    </reviewItem>
    <reviewItem>
      <errorID>4312e70f-ce5b-4f92-a974-209a6f249ee1</errorID>
      <errorWord>kw</errorWord>
      <group>L1_Word</group>
      <groupName>字词问题</groupName>
      <ability>L2_Typo</ability>
      <abilityName>字词错误</abilityName>
      <candidateList>
        <item>kW</item>
      </candidateList>
      <explain/>
      <paraID>4C7FADC9</paraID>
      <start>6</start>
      <end>8</end>
      <status>unmodified</status>
      <modifiedWord/>
      <trackRevisions>false</trackRevisions>
    </reviewItem>
    <reviewItem>
      <errorID>79a8bd83-b06c-430a-ba46-ed212bb097fb</errorID>
      <errorWord>kw</errorWord>
      <group>L1_Word</group>
      <groupName>字词问题</groupName>
      <ability>L2_Typo</ability>
      <abilityName>字词错误</abilityName>
      <candidateList>
        <item>kW</item>
      </candidateList>
      <explain/>
      <paraID>57BF7800</paraID>
      <start>6</start>
      <end>8</end>
      <status>unmodified</status>
      <modifiedWord/>
      <trackRevisions>false</trackRevisions>
    </reviewItem>
    <reviewItem>
      <errorID>4ecf5b1d-9cab-4e97-a30c-bd12ab4b534e</errorID>
      <errorWord>KW</errorWord>
      <group>L1_Word</group>
      <groupName>字词问题</groupName>
      <ability>L2_Typo</ability>
      <abilityName>字词错误</abilityName>
      <candidateList>
        <item>kW</item>
      </candidateList>
      <explain/>
      <paraID>53A5141D</paraID>
      <start>3</start>
      <end>5</end>
      <status>unmodified</status>
      <modifiedWord/>
      <trackRevisions>false</trackRevisions>
    </reviewItem>
    <reviewItem>
      <errorID>84b2e6e4-0a99-43a6-9ea6-8741b06965e8</errorID>
      <errorWord>KW</errorWord>
      <group>L1_Word</group>
      <groupName>字词问题</groupName>
      <ability>L2_Typo</ability>
      <abilityName>字词错误</abilityName>
      <candidateList>
        <item>kW</item>
      </candidateList>
      <explain/>
      <paraID>4D5BD5FA</paraID>
      <start>3</start>
      <end>5</end>
      <status>unmodified</status>
      <modifiedWord/>
      <trackRevisions>false</trackRevisions>
    </reviewItem>
    <reviewItem>
      <errorID>6015f9c7-b9bf-4848-b2c4-23c67aaf0b4c</errorID>
      <errorWord>KW</errorWord>
      <group>L1_Word</group>
      <groupName>字词问题</groupName>
      <ability>L2_Typo</ability>
      <abilityName>字词错误</abilityName>
      <candidateList>
        <item>kW</item>
      </candidateList>
      <explain/>
      <paraID>1909C7C5</paraID>
      <start>3</start>
      <end>5</end>
      <status>unmodified</status>
      <modifiedWord/>
      <trackRevisions>false</trackRevisions>
    </reviewItem>
    <reviewItem>
      <errorID>473d7cd4-fd72-401d-a62a-82339c34d347</errorID>
      <errorWord>(</errorWord>
      <group>L1_Format</group>
      <groupName>格式问题</groupName>
      <ability>L2_HalfPunc_CN</ability>
      <abilityName>全半角问题</abilityName>
      <candidateList>
        <item>（</item>
      </candidateList>
      <explain>文本全半角错误。</explain>
      <paraID>7DB3CF8B</paraID>
      <start>4</start>
      <end>5</end>
      <status>unmodified</status>
      <modifiedWord/>
      <trackRevisions>false</trackRevisions>
    </reviewItem>
    <reviewItem>
      <errorID>a4ae0393-f457-4040-a04a-c55b142d4632</errorID>
      <errorWord>)</errorWord>
      <group>L1_Format</group>
      <groupName>格式问题</groupName>
      <ability>L2_HalfPunc_CN</ability>
      <abilityName>全半角问题</abilityName>
      <candidateList>
        <item>）</item>
      </candidateList>
      <explain>文本全半角错误。</explain>
      <paraID>7DB3CF8B</paraID>
      <start>28</start>
      <end>29</end>
      <status>unmodified</status>
      <modifiedWord/>
      <trackRevisions>false</trackRevisions>
    </reviewItem>
    <reviewItem>
      <errorID>f37f2d33-4577-43c7-ac6d-76640cc38f47</errorID>
      <errorWord>(</errorWord>
      <group>L1_Format</group>
      <groupName>格式问题</groupName>
      <ability>L2_HalfPunc_CN</ability>
      <abilityName>全半角问题</abilityName>
      <candidateList>
        <item>（</item>
      </candidateList>
      <explain>文本全半角错误。</explain>
      <paraID>44DF9BD0</paraID>
      <start>4</start>
      <end>5</end>
      <status>unmodified</status>
      <modifiedWord/>
      <trackRevisions>false</trackRevisions>
    </reviewItem>
    <reviewItem>
      <errorID>57b9ffb0-9516-4ee8-b711-7c29cc7059e5</errorID>
      <errorWord>)</errorWord>
      <group>L1_Format</group>
      <groupName>格式问题</groupName>
      <ability>L2_HalfPunc_CN</ability>
      <abilityName>全半角问题</abilityName>
      <candidateList>
        <item>）</item>
      </candidateList>
      <explain>文本全半角错误。</explain>
      <paraID>44DF9BD0</paraID>
      <start>29</start>
      <end>30</end>
      <status>unmodified</status>
      <modifiedWord/>
      <trackRevisions>false</trackRevisions>
    </reviewItem>
    <reviewItem>
      <errorID>6f555f7e-979c-470a-817c-e9f80d119086</errorID>
      <errorWord>(</errorWord>
      <group>L1_Format</group>
      <groupName>格式问题</groupName>
      <ability>L2_HalfPunc_CN</ability>
      <abilityName>全半角问题</abilityName>
      <candidateList>
        <item>（</item>
      </candidateList>
      <explain>文本全半角错误。</explain>
      <paraID>1A379891</paraID>
      <start>4</start>
      <end>5</end>
      <status>unmodified</status>
      <modifiedWord/>
      <trackRevisions>false</trackRevisions>
    </reviewItem>
    <reviewItem>
      <errorID>56729dfb-8da2-4528-bef3-efc0bc6fc721</errorID>
      <errorWord>)</errorWord>
      <group>L1_Format</group>
      <groupName>格式问题</groupName>
      <ability>L2_HalfPunc_CN</ability>
      <abilityName>全半角问题</abilityName>
      <candidateList>
        <item>）</item>
      </candidateList>
      <explain>文本全半角错误。</explain>
      <paraID>1A379891</paraID>
      <start>29</start>
      <end>30</end>
      <status>unmodified</status>
      <modifiedWord/>
      <trackRevisions>false</trackRevisions>
    </reviewItem>
    <reviewItem>
      <errorID>19b395ef-2c87-4e12-abf5-be6ed9f0fc32</errorID>
      <errorWord>(</errorWord>
      <group>L1_Format</group>
      <groupName>格式问题</groupName>
      <ability>L2_HalfPunc_CN</ability>
      <abilityName>全半角问题</abilityName>
      <candidateList>
        <item>（</item>
      </candidateList>
      <explain>文本全半角错误。</explain>
      <paraID>5D88DA4F</paraID>
      <start>4</start>
      <end>5</end>
      <status>unmodified</status>
      <modifiedWord/>
      <trackRevisions>false</trackRevisions>
    </reviewItem>
    <reviewItem>
      <errorID>356aff9e-e3d1-4d06-8bd3-cde9f1f3fd5c</errorID>
      <errorWord>)</errorWord>
      <group>L1_Format</group>
      <groupName>格式问题</groupName>
      <ability>L2_HalfPunc_CN</ability>
      <abilityName>全半角问题</abilityName>
      <candidateList>
        <item>）</item>
      </candidateList>
      <explain>文本全半角错误。</explain>
      <paraID>5D88DA4F</paraID>
      <start>29</start>
      <end>30</end>
      <status>unmodified</status>
      <modifiedWord/>
      <trackRevisions>false</trackRevisions>
    </reviewItem>
    <reviewItem>
      <errorID>6c0714fe-9cda-42bd-a900-0478ca96e4de</errorID>
      <errorWord>(</errorWord>
      <group>L1_Format</group>
      <groupName>格式问题</groupName>
      <ability>L2_HalfPunc_CN</ability>
      <abilityName>全半角问题</abilityName>
      <candidateList>
        <item>（</item>
      </candidateList>
      <explain>文本全半角错误。</explain>
      <paraID>69E8FA66</paraID>
      <start>2</start>
      <end>3</end>
      <status>unmodified</status>
      <modifiedWord/>
      <trackRevisions>false</trackRevisions>
    </reviewItem>
    <reviewItem>
      <errorID>877681a0-e466-40c7-b56d-013a896715b7</errorID>
      <errorWord>)</errorWord>
      <group>L1_Format</group>
      <groupName>格式问题</groupName>
      <ability>L2_HalfPunc_CN</ability>
      <abilityName>全半角问题</abilityName>
      <candidateList>
        <item>）</item>
      </candidateList>
      <explain>文本全半角错误。</explain>
      <paraID>69E8FA66</paraID>
      <start>9</start>
      <end>10</end>
      <status>unmodified</status>
      <modifiedWord/>
      <trackRevisions>false</trackRevisions>
    </reviewItem>
    <reviewItem>
      <errorID>16baa16a-343c-4691-8f3f-b7dc1df330e3</errorID>
      <errorWord>(</errorWord>
      <group>L1_Format</group>
      <groupName>格式问题</groupName>
      <ability>L2_HalfPunc_CN</ability>
      <abilityName>全半角问题</abilityName>
      <candidateList>
        <item>（</item>
      </candidateList>
      <explain>文本全半角错误。</explain>
      <paraID>1CDC0112</paraID>
      <start>2</start>
      <end>3</end>
      <status>unmodified</status>
      <modifiedWord/>
      <trackRevisions>false</trackRevisions>
    </reviewItem>
    <reviewItem>
      <errorID>93b0accd-a175-42f3-9c36-ea49d80e53ca</errorID>
      <errorWord>)</errorWord>
      <group>L1_Format</group>
      <groupName>格式问题</groupName>
      <ability>L2_HalfPunc_CN</ability>
      <abilityName>全半角问题</abilityName>
      <candidateList>
        <item>）</item>
      </candidateList>
      <explain>文本全半角错误。</explain>
      <paraID>1CDC0112</paraID>
      <start>10</start>
      <end>11</end>
      <status>unmodified</status>
      <modifiedWord/>
      <trackRevisions>false</trackRevisions>
    </reviewItem>
    <reviewItem>
      <errorID>1d8722d7-f6bc-419e-b80f-92d163acd079</errorID>
      <errorWord>过度</errorWord>
      <group>L1_Word</group>
      <groupName>字词问题</groupName>
      <ability>L2_Typo</ability>
      <abilityName>字词错误</abilityName>
      <candidateList>
        <item>过渡</item>
      </candidateList>
      <explain>存在发音相同字词的误用。</explain>
      <paraID>49B4B930</paraID>
      <start>2</start>
      <end>4</end>
      <status>unmodified</status>
      <modifiedWord/>
      <trackRevisions>false</trackRevisions>
    </reviewItem>
    <reviewItem>
      <errorID>f4dbf3db-27ec-44c7-b714-5eb38316b18c</errorID>
      <errorWord>(</errorWord>
      <group>L1_Format</group>
      <groupName>格式问题</groupName>
      <ability>L2_HalfPunc_CN</ability>
      <abilityName>全半角问题</abilityName>
      <candidateList>
        <item>（</item>
      </candidateList>
      <explain>文本全半角错误。</explain>
      <paraID>4CC38E59</paraID>
      <start>13</start>
      <end>14</end>
      <status>unmodified</status>
      <modifiedWord/>
      <trackRevisions>false</trackRevisions>
    </reviewItem>
    <reviewItem>
      <errorID>bfb82d2e-465e-4cb2-b5bc-d869e16a0a11</errorID>
      <errorWord>-</errorWord>
      <group>L1_Format</group>
      <groupName>格式问题</groupName>
      <ability>L2_HalfPunc_CN</ability>
      <abilityName>全半角问题</abilityName>
      <candidateList>
        <item>－</item>
      </candidateList>
      <explain>文本全半角错误。</explain>
      <paraID>4CC38E59</paraID>
      <start>19</start>
      <end>20</end>
      <status>unmodified</status>
      <modifiedWord/>
      <trackRevisions>false</trackRevisions>
    </reviewItem>
    <reviewItem>
      <errorID>ec5f75f7-ce46-4fc5-8dec-63d5d3ea937b</errorID>
      <errorWord>-</errorWord>
      <group>L1_Format</group>
      <groupName>格式问题</groupName>
      <ability>L2_HalfPunc_CN</ability>
      <abilityName>全半角问题</abilityName>
      <candidateList>
        <item>－</item>
      </candidateList>
      <explain>文本全半角错误。</explain>
      <paraID>4CC38E59</paraID>
      <start>22</start>
      <end>23</end>
      <status>unmodified</status>
      <modifiedWord/>
      <trackRevisions>false</trackRevisions>
    </reviewItem>
    <reviewItem>
      <errorID>a9cecaed-1f59-45dd-9317-bbdf34ca9379</errorID>
      <errorWord>)</errorWord>
      <group>L1_Format</group>
      <groupName>格式问题</groupName>
      <ability>L2_HalfPunc_CN</ability>
      <abilityName>全半角问题</abilityName>
      <candidateList>
        <item>）</item>
      </candidateList>
      <explain>文本全半角错误。</explain>
      <paraID>4CC38E59</paraID>
      <start>25</start>
      <end>26</end>
      <status>unmodified</status>
      <modifiedWord/>
      <trackRevisions>false</trackRevisions>
    </reviewItem>
    <reviewItem>
      <errorID>096a0466-3d01-4969-a0f2-24d6938f35b6</errorID>
      <errorWord>(</errorWord>
      <group>L1_Format</group>
      <groupName>格式问题</groupName>
      <ability>L2_HalfPunc_CN</ability>
      <abilityName>全半角问题</abilityName>
      <candidateList>
        <item>（</item>
      </candidateList>
      <explain>文本全半角错误。</explain>
      <paraID>518604A5</paraID>
      <start>7</start>
      <end>8</end>
      <status>unmodified</status>
      <modifiedWord/>
      <trackRevisions>false</trackRevisions>
    </reviewItem>
    <reviewItem>
      <errorID>098465d7-dd5b-454b-ad04-086e16ead1d6</errorID>
      <errorWord>)</errorWord>
      <group>L1_Format</group>
      <groupName>格式问题</groupName>
      <ability>L2_HalfPunc_CN</ability>
      <abilityName>全半角问题</abilityName>
      <candidateList>
        <item>）</item>
      </candidateList>
      <explain>文本全半角错误。</explain>
      <paraID>518604A5</paraID>
      <start>18</start>
      <end>19</end>
      <status>unmodified</status>
      <modifiedWord/>
      <trackRevisions>false</trackRevisions>
    </reviewItem>
    <reviewItem>
      <errorID>cabcd50b-3cd8-4b32-bb43-3524feda3d57</errorID>
      <errorWord>(</errorWord>
      <group>L1_Format</group>
      <groupName>格式问题</groupName>
      <ability>L2_HalfPunc_CN</ability>
      <abilityName>全半角问题</abilityName>
      <candidateList>
        <item>（</item>
      </candidateList>
      <explain>文本全半角错误。</explain>
      <paraID>3A2CB740</paraID>
      <start>7</start>
      <end>8</end>
      <status>unmodified</status>
      <modifiedWord/>
      <trackRevisions>false</trackRevisions>
    </reviewItem>
    <reviewItem>
      <errorID>cc32642c-340f-4d8b-a2aa-e34606f62348</errorID>
      <errorWord>)</errorWord>
      <group>L1_Format</group>
      <groupName>格式问题</groupName>
      <ability>L2_HalfPunc_CN</ability>
      <abilityName>全半角问题</abilityName>
      <candidateList>
        <item>）</item>
      </candidateList>
      <explain>文本全半角错误。</explain>
      <paraID>3A2CB740</paraID>
      <start>18</start>
      <end>19</end>
      <status>unmodified</status>
      <modifiedWord/>
      <trackRevisions>false</trackRevisions>
    </reviewItem>
    <reviewItem>
      <errorID>d5ca3b82-fff5-40e4-b2e0-5b902d58830e</errorID>
      <errorWord>(</errorWord>
      <group>L1_Format</group>
      <groupName>格式问题</groupName>
      <ability>L2_HalfPunc_CN</ability>
      <abilityName>全半角问题</abilityName>
      <candidateList>
        <item>（</item>
      </candidateList>
      <explain>文本全半角错误。</explain>
      <paraID>5208B1B0</paraID>
      <start>7</start>
      <end>8</end>
      <status>unmodified</status>
      <modifiedWord/>
      <trackRevisions>false</trackRevisions>
    </reviewItem>
    <reviewItem>
      <errorID>c034860e-b0d5-4940-8590-93bd9ac510fc</errorID>
      <errorWord>)</errorWord>
      <group>L1_Format</group>
      <groupName>格式问题</groupName>
      <ability>L2_HalfPunc_CN</ability>
      <abilityName>全半角问题</abilityName>
      <candidateList>
        <item>）</item>
      </candidateList>
      <explain>文本全半角错误。</explain>
      <paraID>5208B1B0</paraID>
      <start>18</start>
      <end>19</end>
      <status>unmodified</status>
      <modifiedWord/>
      <trackRevisions>false</trackRevisions>
    </reviewItem>
    <reviewItem>
      <errorID>7f28a14b-f5df-4f49-8912-fdf08e1083a6</errorID>
      <errorWord>(</errorWord>
      <group>L1_Format</group>
      <groupName>格式问题</groupName>
      <ability>L2_HalfPunc_CN</ability>
      <abilityName>全半角问题</abilityName>
      <candidateList>
        <item>（</item>
      </candidateList>
      <explain>文本全半角错误。</explain>
      <paraID>3776A55B</paraID>
      <start>7</start>
      <end>8</end>
      <status>unmodified</status>
      <modifiedWord/>
      <trackRevisions>false</trackRevisions>
    </reviewItem>
    <reviewItem>
      <errorID>f7f6a768-c851-43a8-a2f2-3f4b77e3c804</errorID>
      <errorWord>)</errorWord>
      <group>L1_Format</group>
      <groupName>格式问题</groupName>
      <ability>L2_HalfPunc_CN</ability>
      <abilityName>全半角问题</abilityName>
      <candidateList>
        <item>）</item>
      </candidateList>
      <explain>文本全半角错误。</explain>
      <paraID>3776A55B</paraID>
      <start>19</start>
      <end>20</end>
      <status>unmodified</status>
      <modifiedWord/>
      <trackRevisions>false</trackRevisions>
    </reviewItem>
    <reviewItem>
      <errorID>bd3c2c90-a1fc-40fb-b098-29435f59746e</errorID>
      <errorWord>(</errorWord>
      <group>L1_Format</group>
      <groupName>格式问题</groupName>
      <ability>L2_HalfPunc_CN</ability>
      <abilityName>全半角问题</abilityName>
      <candidateList>
        <item>（</item>
      </candidateList>
      <explain>文本全半角错误。</explain>
      <paraID>17D4A71A</paraID>
      <start>7</start>
      <end>8</end>
      <status>unmodified</status>
      <modifiedWord/>
      <trackRevisions>false</trackRevisions>
    </reviewItem>
    <reviewItem>
      <errorID>2b69a407-8770-4abf-913f-6338d8fcab8a</errorID>
      <errorWord>)</errorWord>
      <group>L1_Format</group>
      <groupName>格式问题</groupName>
      <ability>L2_HalfPunc_CN</ability>
      <abilityName>全半角问题</abilityName>
      <candidateList>
        <item>）</item>
      </candidateList>
      <explain>文本全半角错误。</explain>
      <paraID>17D4A71A</paraID>
      <start>16</start>
      <end>17</end>
      <status>unmodified</status>
      <modifiedWord/>
      <trackRevisions>false</trackRevisions>
    </reviewItem>
    <reviewItem>
      <errorID>4520f357-4b73-49c0-9b1b-91fbad73e273</errorID>
      <errorWord>(</errorWord>
      <group>L1_Format</group>
      <groupName>格式问题</groupName>
      <ability>L2_HalfPunc_CN</ability>
      <abilityName>全半角问题</abilityName>
      <candidateList>
        <item>（</item>
      </candidateList>
      <explain>文本全半角错误。</explain>
      <paraID>160930A7</paraID>
      <start>7</start>
      <end>8</end>
      <status>unmodified</status>
      <modifiedWord/>
      <trackRevisions>false</trackRevisions>
    </reviewItem>
    <reviewItem>
      <errorID>e70863fe-d77a-4f91-9fb2-3de57b3e08e1</errorID>
      <errorWord>)</errorWord>
      <group>L1_Format</group>
      <groupName>格式问题</groupName>
      <ability>L2_HalfPunc_CN</ability>
      <abilityName>全半角问题</abilityName>
      <candidateList>
        <item>）</item>
      </candidateList>
      <explain>文本全半角错误。</explain>
      <paraID>160930A7</paraID>
      <start>11</start>
      <end>12</end>
      <status>unmodified</status>
      <modifiedWord/>
      <trackRevisions>false</trackRevisions>
    </reviewItem>
    <reviewItem>
      <errorID>83b7fd8a-e21b-447a-b355-be2a0878673f</errorID>
      <errorWord>(</errorWord>
      <group>L1_Format</group>
      <groupName>格式问题</groupName>
      <ability>L2_HalfPunc_CN</ability>
      <abilityName>全半角问题</abilityName>
      <candidateList>
        <item>（</item>
      </candidateList>
      <explain>文本全半角错误。</explain>
      <paraID>6611012A</paraID>
      <start>11</start>
      <end>12</end>
      <status>unmodified</status>
      <modifiedWord/>
      <trackRevisions>false</trackRevisions>
    </reviewItem>
    <reviewItem>
      <errorID>3f935043-6f81-44ea-9d34-50ad73aea227</errorID>
      <errorWord>)</errorWord>
      <group>L1_Format</group>
      <groupName>格式问题</groupName>
      <ability>L2_HalfPunc_CN</ability>
      <abilityName>全半角问题</abilityName>
      <candidateList>
        <item>）</item>
      </candidateList>
      <explain>文本全半角错误。</explain>
      <paraID>6611012A</paraID>
      <start>29</start>
      <end>30</end>
      <status>unmodified</status>
      <modifiedWord/>
      <trackRevisions>false</trackRevisions>
    </reviewItem>
    <reviewItem>
      <errorID>b70ff0eb-f883-4e19-981e-2c59821dbb4d</errorID>
      <errorWord>(</errorWord>
      <group>L1_Format</group>
      <groupName>格式问题</groupName>
      <ability>L2_HalfPunc_CN</ability>
      <abilityName>全半角问题</abilityName>
      <candidateList>
        <item>（</item>
      </candidateList>
      <explain>文本全半角错误。</explain>
      <paraID>52FE461D</paraID>
      <start>7</start>
      <end>8</end>
      <status>unmodified</status>
      <modifiedWord/>
      <trackRevisions>false</trackRevisions>
    </reviewItem>
    <reviewItem>
      <errorID>45fab145-ac2d-4d0c-9dcc-369b70026988</errorID>
      <errorWord>)</errorWord>
      <group>L1_Format</group>
      <groupName>格式问题</groupName>
      <ability>L2_HalfPunc_CN</ability>
      <abilityName>全半角问题</abilityName>
      <candidateList>
        <item>）</item>
      </candidateList>
      <explain>文本全半角错误。</explain>
      <paraID>52FE461D</paraID>
      <start>18</start>
      <end>19</end>
      <status>unmodified</status>
      <modifiedWord/>
      <trackRevisions>false</trackRevisions>
    </reviewItem>
    <reviewItem>
      <errorID>501e1f76-7d35-4bbd-aaee-c6ddb116251a</errorID>
      <errorWord>(</errorWord>
      <group>L1_Format</group>
      <groupName>格式问题</groupName>
      <ability>L2_HalfPunc_CN</ability>
      <abilityName>全半角问题</abilityName>
      <candidateList>
        <item>（</item>
      </candidateList>
      <explain>文本全半角错误。</explain>
      <paraID>4B33F034</paraID>
      <start>19</start>
      <end>20</end>
      <status>unmodified</status>
      <modifiedWord/>
      <trackRevisions>false</trackRevisions>
    </reviewItem>
    <reviewItem>
      <errorID>2630930f-6b73-496b-a55e-ffc8c8f6d140</errorID>
      <errorWord>)</errorWord>
      <group>L1_Format</group>
      <groupName>格式问题</groupName>
      <ability>L2_HalfPunc_CN</ability>
      <abilityName>全半角问题</abilityName>
      <candidateList>
        <item>）</item>
      </candidateList>
      <explain>文本全半角错误。</explain>
      <paraID>4B33F034</paraID>
      <start>24</start>
      <end>25</end>
      <status>unmodified</status>
      <modifiedWord/>
      <trackRevisions>false</trackRevisions>
    </reviewItem>
    <reviewItem>
      <errorID>60ce6989-1fe3-41d4-a6f8-94e7344125fe</errorID>
      <errorWord>;</errorWord>
      <group>L1_Format</group>
      <groupName>格式问题</groupName>
      <ability>L2_HalfPunc_CN</ability>
      <abilityName>全半角问题</abilityName>
      <candidateList>
        <item>；</item>
      </candidateList>
      <explain>文本全半角错误。</explain>
      <paraID>453B4B38</paraID>
      <start>69</start>
      <end>70</end>
      <status>unmodified</status>
      <modifiedWord/>
      <trackRevisions>false</trackRevisions>
    </reviewItem>
    <reviewItem>
      <errorID>7aea515f-a143-4b97-bcf4-e5ff882f119a</errorID>
      <errorWord>,</errorWord>
      <group>L1_Format</group>
      <groupName>格式问题</groupName>
      <ability>L2_HalfPunc_CN</ability>
      <abilityName>全半角问题</abilityName>
      <candidateList>
        <item>，</item>
      </candidateList>
      <explain>文本全半角错误。</explain>
      <paraID> 9B8505A</paraID>
      <start>20</start>
      <end>21</end>
      <status>unmodified</status>
      <modifiedWord/>
      <trackRevisions>false</trackRevisions>
    </reviewItem>
    <reviewItem>
      <errorID>0bb9909d-f2ce-4dd5-8906-a18cbe58ae20</errorID>
      <errorWord>(</errorWord>
      <group>L1_Format</group>
      <groupName>格式问题</groupName>
      <ability>L2_HalfPunc_CN</ability>
      <abilityName>全半角问题</abilityName>
      <candidateList>
        <item>（</item>
      </candidateList>
      <explain>文本全半角错误。</explain>
      <paraID>59295785</paraID>
      <start>4</start>
      <end>5</end>
      <status>unmodified</status>
      <modifiedWord/>
      <trackRevisions>false</trackRevisions>
    </reviewItem>
    <reviewItem>
      <errorID>c0f3f739-46ff-41ac-becf-ce04e4cf451e</errorID>
      <errorWord>)</errorWord>
      <group>L1_Format</group>
      <groupName>格式问题</groupName>
      <ability>L2_HalfPunc_CN</ability>
      <abilityName>全半角问题</abilityName>
      <candidateList>
        <item>）</item>
      </candidateList>
      <explain>文本全半角错误。</explain>
      <paraID>59295785</paraID>
      <start>14</start>
      <end>15</end>
      <status>unmodified</status>
      <modifiedWord/>
      <trackRevisions>false</trackRevisions>
    </reviewItem>
    <reviewItem>
      <errorID>3e2fb07f-9f21-45d5-be6f-1f4187ce8aa6</errorID>
      <errorWord>(</errorWord>
      <group>L1_Format</group>
      <groupName>格式问题</groupName>
      <ability>L2_HalfPunc_CN</ability>
      <abilityName>全半角问题</abilityName>
      <candidateList>
        <item>（</item>
      </candidateList>
      <explain>文本全半角错误。</explain>
      <paraID>7EB3E7BA</paraID>
      <start>12</start>
      <end>13</end>
      <status>unmodified</status>
      <modifiedWord/>
      <trackRevisions>false</trackRevisions>
    </reviewItem>
    <reviewItem>
      <errorID>6400476f-db67-48cd-867c-bd5cd0fa7ac8</errorID>
      <errorWord>)</errorWord>
      <group>L1_Format</group>
      <groupName>格式问题</groupName>
      <ability>L2_HalfPunc_CN</ability>
      <abilityName>全半角问题</abilityName>
      <candidateList>
        <item>）</item>
      </candidateList>
      <explain>文本全半角错误。</explain>
      <paraID>25FE7B90</paraID>
      <start>42</start>
      <end>43</end>
      <status>unmodified</status>
      <modifiedWord/>
      <trackRevisions>false</trackRevisions>
    </reviewItem>
    <reviewItem>
      <errorID>44b4d4dd-5004-44f3-92f9-b669b8e6c22d</errorID>
      <errorWord>(</errorWord>
      <group>L1_Format</group>
      <groupName>格式问题</groupName>
      <ability>L2_HalfPunc_CN</ability>
      <abilityName>全半角问题</abilityName>
      <candidateList>
        <item>（</item>
      </candidateList>
      <explain>文本全半角错误。</explain>
      <paraID>54B6CD99</paraID>
      <start>34</start>
      <end>35</end>
      <status>unmodified</status>
      <modifiedWord/>
      <trackRevisions>false</trackRevisions>
    </reviewItem>
    <reviewItem>
      <errorID>2e10267f-5785-41f3-9ff2-e924a02fcb75</errorID>
      <errorWord>)</errorWord>
      <group>L1_Format</group>
      <groupName>格式问题</groupName>
      <ability>L2_HalfPunc_CN</ability>
      <abilityName>全半角问题</abilityName>
      <candidateList>
        <item>）</item>
      </candidateList>
      <explain>文本全半角错误。</explain>
      <paraID>54B6CD99</paraID>
      <start>36</start>
      <end>37</end>
      <status>unmodified</status>
      <modifiedWord/>
      <trackRevisions>false</trackRevisions>
    </reviewItem>
    <reviewItem>
      <errorID>be0cd2ca-4fb7-4cfc-8619-f3b5242a8bf7</errorID>
      <errorWord>;</errorWord>
      <group>L1_Format</group>
      <groupName>格式问题</groupName>
      <ability>L2_HalfPunc_CN</ability>
      <abilityName>全半角问题</abilityName>
      <candidateList>
        <item>；</item>
      </candidateList>
      <explain>文本全半角错误。</explain>
      <paraID>6385E339</paraID>
      <start>7</start>
      <end>8</end>
      <status>unmodified</status>
      <modifiedWord/>
      <trackRevisions>false</trackRevisions>
    </reviewItem>
    <reviewItem>
      <errorID>ece52165-5fbd-417e-9a12-7a15186025f2</errorID>
      <errorWord>,</errorWord>
      <group>L1_Format</group>
      <groupName>格式问题</groupName>
      <ability>L2_HalfPunc_CN</ability>
      <abilityName>全半角问题</abilityName>
      <candidateList>
        <item>，</item>
      </candidateList>
      <explain>文本全半角错误。</explain>
      <paraID> 4EABE17</paraID>
      <start>12</start>
      <end>13</end>
      <status>unmodified</status>
      <modifiedWord/>
      <trackRevisions>false</trackRevisions>
    </reviewItem>
    <reviewItem>
      <errorID>601fb980-a465-47eb-b606-03abb661fada</errorID>
      <errorWord>场区</errorWord>
      <group>L1_Word</group>
      <groupName>字词问题</groupName>
      <ability>L2_Typo</ability>
      <abilityName>字词错误</abilityName>
      <candidateList>
        <item>厂区</item>
      </candidateList>
      <explain>存在发音相同字词的误用。</explain>
      <paraID>753262E7</paraID>
      <start>2</start>
      <end>4</end>
      <status>unmodified</status>
      <modifiedWord/>
      <trackRevisions>false</trackRevisions>
    </reviewItem>
    <reviewItem>
      <errorID>ab57a25c-0070-4257-98db-638f571dee11</errorID>
      <errorWord>(</errorWord>
      <group>L1_Format</group>
      <groupName>格式问题</groupName>
      <ability>L2_HalfPunc_CN</ability>
      <abilityName>全半角问题</abilityName>
      <candidateList>
        <item>（</item>
      </candidateList>
      <explain>文本全半角错误。</explain>
      <paraID>753262E7</paraID>
      <start>59</start>
      <end>60</end>
      <status>unmodified</status>
      <modifiedWord/>
      <trackRevisions>false</trackRevisions>
    </reviewItem>
    <reviewItem>
      <errorID>fabe0c7b-12b6-4f0b-b626-608f526a95a1</errorID>
      <errorWord>)</errorWord>
      <group>L1_Format</group>
      <groupName>格式问题</groupName>
      <ability>L2_HalfPunc_CN</ability>
      <abilityName>全半角问题</abilityName>
      <candidateList>
        <item>）</item>
      </candidateList>
      <explain>文本全半角错误。</explain>
      <paraID>753262E7</paraID>
      <start>61</start>
      <end>62</end>
      <status>unmodified</status>
      <modifiedWord/>
      <trackRevisions>false</trackRevisions>
    </reviewItem>
    <reviewItem>
      <errorID>fef47aed-571f-4dc1-b746-c512791d06d0</errorID>
      <errorWord>,</errorWord>
      <group>L1_Format</group>
      <groupName>格式问题</groupName>
      <ability>L2_HalfPunc_CN</ability>
      <abilityName>全半角问题</abilityName>
      <candidateList>
        <item>，</item>
      </candidateList>
      <explain>文本全半角错误。</explain>
      <paraID>753262E7</paraID>
      <start>86</start>
      <end>87</end>
      <status>unmodified</status>
      <modifiedWord/>
      <trackRevisions>false</trackRevisions>
    </reviewItem>
    <reviewItem>
      <errorID>5e9af953-f9f8-4ca7-b964-355152bc294d</errorID>
      <errorWord>,</errorWord>
      <group>L1_Format</group>
      <groupName>格式问题</groupName>
      <ability>L2_HalfPunc_CN</ability>
      <abilityName>全半角问题</abilityName>
      <candidateList>
        <item>，</item>
      </candidateList>
      <explain>文本全半角错误。</explain>
      <paraID>753262E7</paraID>
      <start>94</start>
      <end>95</end>
      <status>unmodified</status>
      <modifiedWord/>
      <trackRevisions>false</trackRevisions>
    </reviewItem>
    <reviewItem>
      <errorID>275a6285-a871-455a-8e54-f088b2108e94</errorID>
      <errorWord>口</errorWord>
      <group>L1_Word</group>
      <groupName>字词问题</groupName>
      <ability>L2_Typo</ability>
      <abilityName>字词错误</abilityName>
      <candidateList>
        <item>口与</item>
      </candidateList>
      <explain/>
      <paraID>442220C6</paraID>
      <start>45</start>
      <end>46</end>
      <status>unmodified</status>
      <modifiedWord/>
      <trackRevisions>false</trackRevisions>
    </reviewItem>
    <reviewItem>
      <errorID>54474fc2-d31d-4883-8ca4-47aa4e483b53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381B2C3F</paraID>
      <start>0</start>
      <end>3</end>
      <status>unmodified</status>
      <modifiedWord/>
      <trackRevisions>false</trackRevisions>
    </reviewItem>
    <reviewItem>
      <errorID>c9719303-375b-49ce-bdb4-7d8a22d424ed</errorID>
      <errorWord>(</errorWord>
      <group>L1_Format</group>
      <groupName>格式问题</groupName>
      <ability>L2_HalfPunc_CN</ability>
      <abilityName>全半角问题</abilityName>
      <candidateList>
        <item>（</item>
      </candidateList>
      <explain>文本全半角错误。</explain>
      <paraID> 6911BB4</paraID>
      <start>15</start>
      <end>16</end>
      <status>unmodified</status>
      <modifiedWord/>
      <trackRevisions>false</trackRevisions>
    </reviewItem>
    <reviewItem>
      <errorID>7e25d20a-4453-4557-8d6e-aafe06953a87</errorID>
      <errorWord>)</errorWord>
      <group>L1_Format</group>
      <groupName>格式问题</groupName>
      <ability>L2_HalfPunc_CN</ability>
      <abilityName>全半角问题</abilityName>
      <candidateList>
        <item>）</item>
      </candidateList>
      <explain>文本全半角错误。</explain>
      <paraID> 6911BB4</paraID>
      <start>18</start>
      <end>19</end>
      <status>unmodified</status>
      <modifiedWord/>
      <trackRevisions>false</trackRevisions>
    </reviewItem>
    <reviewItem>
      <errorID>4336de55-2137-4723-877f-df5b7525ebcf</errorID>
      <errorWord>(</errorWord>
      <group>L1_Format</group>
      <groupName>格式问题</groupName>
      <ability>L2_HalfPunc_CN</ability>
      <abilityName>全半角问题</abilityName>
      <candidateList>
        <item>（</item>
      </candidateList>
      <explain>文本全半角错误。</explain>
      <paraID> 6911BB4</paraID>
      <start>24</start>
      <end>25</end>
      <status>unmodified</status>
      <modifiedWord/>
      <trackRevisions>false</trackRevisions>
    </reviewItem>
    <reviewItem>
      <errorID>e07db86b-9a5b-4a88-a686-a49661b5015b</errorID>
      <errorWord>)</errorWord>
      <group>L1_Format</group>
      <groupName>格式问题</groupName>
      <ability>L2_HalfPunc_CN</ability>
      <abilityName>全半角问题</abilityName>
      <candidateList>
        <item>）</item>
      </candidateList>
      <explain>文本全半角错误。</explain>
      <paraID> 6911BB4</paraID>
      <start>28</start>
      <end>29</end>
      <status>unmodified</status>
      <modifiedWord/>
      <trackRevisions>false</trackRevisions>
    </reviewItem>
    <reviewItem>
      <errorID>3d597631-8ec0-4eff-b1e5-7af116e86362</errorID>
      <errorWord>(</errorWord>
      <group>L1_Format</group>
      <groupName>格式问题</groupName>
      <ability>L2_HalfPunc_CN</ability>
      <abilityName>全半角问题</abilityName>
      <candidateList>
        <item>（</item>
      </candidateList>
      <explain>文本全半角错误。</explain>
      <paraID> 6911BB4</paraID>
      <start>35</start>
      <end>36</end>
      <status>unmodified</status>
      <modifiedWord/>
      <trackRevisions>false</trackRevisions>
    </reviewItem>
    <reviewItem>
      <errorID>db2c574f-bec2-42f7-a017-e7dc7f74a1d6</errorID>
      <errorWord>)</errorWord>
      <group>L1_Format</group>
      <groupName>格式问题</groupName>
      <ability>L2_HalfPunc_CN</ability>
      <abilityName>全半角问题</abilityName>
      <candidateList>
        <item>）</item>
      </candidateList>
      <explain>文本全半角错误。</explain>
      <paraID> 6911BB4</paraID>
      <start>38</start>
      <end>39</end>
      <status>unmodified</status>
      <modifiedWord/>
      <trackRevisions>false</trackRevisions>
    </reviewItem>
    <reviewItem>
      <errorID>0a9a7af6-f998-4029-9413-7c951a1846af</errorID>
      <errorWord>(</errorWord>
      <group>L1_Format</group>
      <groupName>格式问题</groupName>
      <ability>L2_HalfPunc_CN</ability>
      <abilityName>全半角问题</abilityName>
      <candidateList>
        <item>（</item>
      </candidateList>
      <explain>文本全半角错误。</explain>
      <paraID> 6911BB4</paraID>
      <start>56</start>
      <end>57</end>
      <status>unmodified</status>
      <modifiedWord/>
      <trackRevisions>false</trackRevisions>
    </reviewItem>
    <reviewItem>
      <errorID>dacac92c-2e1e-469d-983a-880161b9074b</errorID>
      <errorWord>)</errorWord>
      <group>L1_Format</group>
      <groupName>格式问题</groupName>
      <ability>L2_HalfPunc_CN</ability>
      <abilityName>全半角问题</abilityName>
      <candidateList>
        <item>）</item>
      </candidateList>
      <explain>文本全半角错误。</explain>
      <paraID> 6911BB4</paraID>
      <start>59</start>
      <end>60</end>
      <status>unmodified</status>
      <modifiedWord/>
      <trackRevisions>false</trackRevisions>
    </reviewItem>
    <reviewItem>
      <errorID>a2358bed-061a-4b93-ac56-6f2065d482a5</errorID>
      <errorWord>(</errorWord>
      <group>L1_Format</group>
      <groupName>格式问题</groupName>
      <ability>L2_HalfPunc_CN</ability>
      <abilityName>全半角问题</abilityName>
      <candidateList>
        <item>（</item>
      </candidateList>
      <explain>文本全半角错误。</explain>
      <paraID> 6911BB4</paraID>
      <start>65</start>
      <end>66</end>
      <status>unmodified</status>
      <modifiedWord/>
      <trackRevisions>false</trackRevisions>
    </reviewItem>
    <reviewItem>
      <errorID>85ddf64b-ed6c-43cb-a3fa-a80fb1b4e181</errorID>
      <errorWord>)</errorWord>
      <group>L1_Format</group>
      <groupName>格式问题</groupName>
      <ability>L2_HalfPunc_CN</ability>
      <abilityName>全半角问题</abilityName>
      <candidateList>
        <item>）</item>
      </candidateList>
      <explain>文本全半角错误。</explain>
      <paraID> 6911BB4</paraID>
      <start>69</start>
      <end>70</end>
      <status>unmodified</status>
      <modifiedWord/>
      <trackRevisions>false</trackRevisions>
    </reviewItem>
    <reviewItem>
      <errorID>d843dd56-1145-483e-95b3-880e35eac6db</errorID>
      <errorWord>(</errorWord>
      <group>L1_Format</group>
      <groupName>格式问题</groupName>
      <ability>L2_HalfPunc_CN</ability>
      <abilityName>全半角问题</abilityName>
      <candidateList>
        <item>（</item>
      </candidateList>
      <explain>文本全半角错误。</explain>
      <paraID> 6911BB4</paraID>
      <start>76</start>
      <end>77</end>
      <status>unmodified</status>
      <modifiedWord/>
      <trackRevisions>false</trackRevisions>
    </reviewItem>
    <reviewItem>
      <errorID>9e773788-2d1e-488f-8432-3f5ce6561340</errorID>
      <errorWord>);</errorWord>
      <group>L1_Format</group>
      <groupName>格式问题</groupName>
      <ability>L2_HalfPunc_CN</ability>
      <abilityName>全半角问题</abilityName>
      <candidateList>
        <item>）；</item>
      </candidateList>
      <explain>文本全半角错误。</explain>
      <paraID> 6911BB4</paraID>
      <start>79</start>
      <end>81</end>
      <status>unmodified</status>
      <modifiedWord/>
      <trackRevisions>false</trackRevisions>
    </reviewItem>
    <reviewItem>
      <errorID>3b959a6a-2534-4e12-8425-ef16b9720b08</errorID>
      <errorWord>;</errorWord>
      <group>L1_Format</group>
      <groupName>格式问题</groupName>
      <ability>L2_HalfPunc_CN</ability>
      <abilityName>全半角问题</abilityName>
      <candidateList>
        <item>；</item>
      </candidateList>
      <explain>文本全半角错误。</explain>
      <paraID>4C6E4A9E</paraID>
      <start>20</start>
      <end>21</end>
      <status>unmodified</status>
      <modifiedWord/>
      <trackRevisions>false</trackRevisions>
    </reviewItem>
    <reviewItem>
      <errorID>f5602b2d-f480-4413-bc69-65b3892f5414</errorID>
      <errorWord>;</errorWord>
      <group>L1_Format</group>
      <groupName>格式问题</groupName>
      <ability>L2_HalfPunc_CN</ability>
      <abilityName>全半角问题</abilityName>
      <candidateList>
        <item>；</item>
      </candidateList>
      <explain>文本全半角错误。</explain>
      <paraID>4C6E4A9E</paraID>
      <start>30</start>
      <end>31</end>
      <status>unmodified</status>
      <modifiedWord/>
      <trackRevisions>false</trackRevisions>
    </reviewItem>
    <reviewItem>
      <errorID>fa530e24-b44d-414c-8bc6-e79069bb2f21</errorID>
      <errorWord>;</errorWord>
      <group>L1_Format</group>
      <groupName>格式问题</groupName>
      <ability>L2_HalfPunc_CN</ability>
      <abilityName>全半角问题</abilityName>
      <candidateList>
        <item>；</item>
      </candidateList>
      <explain>文本全半角错误。</explain>
      <paraID>49648328</paraID>
      <start>8</start>
      <end>9</end>
      <status>unmodified</status>
      <modifiedWord/>
      <trackRevisions>false</trackRevisions>
    </reviewItem>
    <reviewItem>
      <errorID>a56cd008-fefa-4dc0-867c-f082924d27c1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317F32FD</paraID>
      <start>0</start>
      <end>3</end>
      <status>unmodified</status>
      <modifiedWord/>
      <trackRevisions>false</trackRevisions>
    </reviewItem>
    <reviewItem>
      <errorID>6265f920-b468-4324-ac81-5c3ff024efd1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559644F6</paraID>
      <start>0</start>
      <end>3</end>
      <status>unmodified</status>
      <modifiedWord/>
      <trackRevisions>false</trackRevisions>
    </reviewItem>
    <reviewItem>
      <errorID>247b482f-5357-42fa-ab1c-6363cc6d15ff</errorID>
      <errorWord>,</errorWord>
      <group>L1_Format</group>
      <groupName>格式问题</groupName>
      <ability>L2_HalfPunc_CN</ability>
      <abilityName>全半角问题</abilityName>
      <candidateList>
        <item>，</item>
      </candidateList>
      <explain>文本全半角错误。</explain>
      <paraID>46B96A54</paraID>
      <start>53</start>
      <end>54</end>
      <status>unmodified</status>
      <modifiedWord/>
      <trackRevisions>false</trackRevisions>
    </reviewItem>
    <reviewItem>
      <errorID>c65efe5f-adf0-4e06-bea9-57131be8590a</errorID>
      <errorWord>,</errorWord>
      <group>L1_Format</group>
      <groupName>格式问题</groupName>
      <ability>L2_HalfPunc_CN</ability>
      <abilityName>全半角问题</abilityName>
      <candidateList>
        <item>，</item>
      </candidateList>
      <explain>文本全半角错误。</explain>
      <paraID>46B96A54</paraID>
      <start>59</start>
      <end>60</end>
      <status>unmodified</status>
      <modifiedWord/>
      <trackRevisions>false</trackRevisions>
    </reviewItem>
    <reviewItem>
      <errorID>4fe428f6-b304-4709-8de3-95ae129663ec</errorID>
      <errorWord>,</errorWord>
      <group>L1_Format</group>
      <groupName>格式问题</groupName>
      <ability>L2_HalfPunc_CN</ability>
      <abilityName>全半角问题</abilityName>
      <candidateList>
        <item>，</item>
      </candidateList>
      <explain>文本全半角错误。</explain>
      <paraID>46B96A54</paraID>
      <start>66</start>
      <end>67</end>
      <status>unmodified</status>
      <modifiedWord/>
      <trackRevisions>false</trackRevisions>
    </reviewItem>
    <reviewItem>
      <errorID>93443ba9-9594-42b5-bae2-2908dd882304</errorID>
      <errorWord>,</errorWord>
      <group>L1_Format</group>
      <groupName>格式问题</groupName>
      <ability>L2_HalfPunc_CN</ability>
      <abilityName>全半角问题</abilityName>
      <candidateList>
        <item>，</item>
      </candidateList>
      <explain>文本全半角错误。</explain>
      <paraID>46B96A54</paraID>
      <start>72</start>
      <end>73</end>
      <status>unmodified</status>
      <modifiedWord/>
      <trackRevisions>false</trackRevisions>
    </reviewItem>
    <reviewItem>
      <errorID>2a5e7754-e715-451f-a434-1bf2cb72cb98</errorID>
      <errorWord>其它</errorWord>
      <group>L1_Word</group>
      <groupName>字词问题</groupName>
      <ability>L2_Alias</ability>
      <abilityName>也作/曾用词</abilityName>
      <candidateList>
        <item>其他</item>
      </candidateList>
      <explain>词汇[其它]为不规范表述或旧称，其规范书面表述为[其他]。</explain>
      <paraID>  2690E2</paraID>
      <start>30</start>
      <end>32</end>
      <status>unmodified</status>
      <modifiedWord/>
      <trackRevisions>false</trackRevisions>
    </reviewItem>
    <reviewItem>
      <errorID>b0f224a8-1c09-4450-bd6a-939d5fd552c2</errorID>
      <errorWord>,</errorWord>
      <group>L1_Format</group>
      <groupName>格式问题</groupName>
      <ability>L2_HalfPunc_CN</ability>
      <abilityName>全半角问题</abilityName>
      <candidateList>
        <item>，</item>
      </candidateList>
      <explain>文本全半角错误。</explain>
      <paraID>7D17C36D</paraID>
      <start>20</start>
      <end>21</end>
      <status>unmodified</status>
      <modifiedWord/>
      <trackRevisions>false</trackRevisions>
    </reviewItem>
    <reviewItem>
      <errorID>d4a9d266-f473-4465-8ee2-3cf5fdafdac8</errorID>
      <errorWord>,</errorWord>
      <group>L1_Format</group>
      <groupName>格式问题</groupName>
      <ability>L2_HalfPunc_CN</ability>
      <abilityName>全半角问题</abilityName>
      <candidateList>
        <item>，</item>
      </candidateList>
      <explain>文本全半角错误。</explain>
      <paraID>7D17C36D</paraID>
      <start>31</start>
      <end>32</end>
      <status>unmodified</status>
      <modifiedWord/>
      <trackRevisions>false</trackRevisions>
    </reviewItem>
    <reviewItem>
      <errorID>c1b6e33d-9b9f-48ac-a657-f2e64f5b0989</errorID>
      <errorWord>,</errorWord>
      <group>L1_Format</group>
      <groupName>格式问题</groupName>
      <ability>L2_HalfPunc_CN</ability>
      <abilityName>全半角问题</abilityName>
      <candidateList>
        <item>，</item>
      </candidateList>
      <explain>文本全半角错误。</explain>
      <paraID>7D17C36D</paraID>
      <start>45</start>
      <end>46</end>
      <status>unmodified</status>
      <modifiedWord/>
      <trackRevisions>false</trackRevisions>
    </reviewItem>
    <reviewItem>
      <errorID>47e5da0c-e6b3-460d-9370-11f843fa4bf6</errorID>
      <errorWord>,</errorWord>
      <group>L1_Format</group>
      <groupName>格式问题</groupName>
      <ability>L2_HalfPunc_CN</ability>
      <abilityName>全半角问题</abilityName>
      <candidateList>
        <item>，</item>
      </candidateList>
      <explain>文本全半角错误。</explain>
      <paraID>7D17C36D</paraID>
      <start>55</start>
      <end>56</end>
      <status>unmodified</status>
      <modifiedWord/>
      <trackRevisions>false</trackRevisions>
    </reviewItem>
    <reviewItem>
      <errorID>eca1bbb6-6aac-4d88-9c62-2564a7a1eae1</errorID>
      <errorWord>,</errorWord>
      <group>L1_Format</group>
      <groupName>格式问题</groupName>
      <ability>L2_HalfPunc_CN</ability>
      <abilityName>全半角问题</abilityName>
      <candidateList>
        <item>，</item>
      </candidateList>
      <explain>文本全半角错误。</explain>
      <paraID>7D17C36D</paraID>
      <start>64</start>
      <end>65</end>
      <status>unmodified</status>
      <modifiedWord/>
      <trackRevisions>false</trackRevisions>
    </reviewItem>
    <reviewItem>
      <errorID>2bfea25c-1b12-4fbf-9c0a-68af168c7d2f</errorID>
      <errorWord>,</errorWord>
      <group>L1_Format</group>
      <groupName>格式问题</groupName>
      <ability>L2_HalfPunc_CN</ability>
      <abilityName>全半角问题</abilityName>
      <candidateList>
        <item>，</item>
      </candidateList>
      <explain>文本全半角错误。</explain>
      <paraID>7D17C36D</paraID>
      <start>96</start>
      <end>97</end>
      <status>unmodified</status>
      <modifiedWord/>
      <trackRevisions>false</trackRevisions>
    </reviewItem>
    <reviewItem>
      <errorID>26c33435-d78f-4dd8-ad85-209b1e803d3e</errorID>
      <errorWord>,</errorWord>
      <group>L1_Format</group>
      <groupName>格式问题</groupName>
      <ability>L2_HalfPunc_CN</ability>
      <abilityName>全半角问题</abilityName>
      <candidateList>
        <item>，</item>
      </candidateList>
      <explain>文本全半角错误。</explain>
      <paraID>7D17C36D</paraID>
      <start>105</start>
      <end>106</end>
      <status>unmodified</status>
      <modifiedWord/>
      <trackRevisions>false</trackRevisions>
    </reviewItem>
    <reviewItem>
      <errorID>c53d6234-49b4-42c8-a7b9-0235c532ebdd</errorID>
      <errorWord>(</errorWord>
      <group>L1_Format</group>
      <groupName>格式问题</groupName>
      <ability>L2_HalfPunc_CN</ability>
      <abilityName>全半角问题</abilityName>
      <candidateList>
        <item>（</item>
      </candidateList>
      <explain>文本全半角错误。</explain>
      <paraID>7B6698E9</paraID>
      <start>7</start>
      <end>8</end>
      <status>unmodified</status>
      <modifiedWord/>
      <trackRevisions>false</trackRevisions>
    </reviewItem>
    <reviewItem>
      <errorID>a34ffe68-c22e-405f-a5e6-8ed46f72179b</errorID>
      <errorWord>)</errorWord>
      <group>L1_Format</group>
      <groupName>格式问题</groupName>
      <ability>L2_HalfPunc_CN</ability>
      <abilityName>全半角问题</abilityName>
      <candidateList>
        <item>）</item>
      </candidateList>
      <explain>文本全半角错误。</explain>
      <paraID>7B6698E9</paraID>
      <start>11</start>
      <end>12</end>
      <status>unmodified</status>
      <modifiedWord/>
      <trackRevisions>false</trackRevisions>
    </reviewItem>
    <reviewItem>
      <errorID>fce97fbd-667f-4356-a1fa-904e77f96a81</errorID>
      <errorWord>,</errorWord>
      <group>L1_Format</group>
      <groupName>格式问题</groupName>
      <ability>L2_HalfPunc_CN</ability>
      <abilityName>全半角问题</abilityName>
      <candidateList>
        <item>，</item>
      </candidateList>
      <explain>文本全半角错误。</explain>
      <paraID>7B6698E9</paraID>
      <start>18</start>
      <end>19</end>
      <status>unmodified</status>
      <modifiedWord/>
      <trackRevisions>false</trackRevisions>
    </reviewItem>
    <reviewItem>
      <errorID>2ea69daa-c3ca-4ff8-9dfe-1e0c9e5ea47f</errorID>
      <errorWord>,</errorWord>
      <group>L1_Format</group>
      <groupName>格式问题</groupName>
      <ability>L2_HalfPunc_CN</ability>
      <abilityName>全半角问题</abilityName>
      <candidateList>
        <item>，</item>
      </candidateList>
      <explain>文本全半角错误。</explain>
      <paraID>7B6698E9</paraID>
      <start>34</start>
      <end>35</end>
      <status>unmodified</status>
      <modifiedWord/>
      <trackRevisions>false</trackRevisions>
    </reviewItem>
    <reviewItem>
      <errorID>1b33adc0-70bf-4d5b-b9c8-19c2b8beacd5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5C5EA2E3</paraID>
      <start>0</start>
      <end>3</end>
      <status>unmodified</status>
      <modifiedWord/>
      <trackRevisions>false</trackRevisions>
    </reviewItem>
    <reviewItem>
      <errorID>f92763b8-2d34-4c6b-9232-dc5ca1db63b6</errorID>
      <errorWord>(</errorWord>
      <group>L1_Format</group>
      <groupName>格式问题</groupName>
      <ability>L2_HalfPunc_CN</ability>
      <abilityName>全半角问题</abilityName>
      <candidateList>
        <item>（</item>
      </candidateList>
      <explain>文本全半角错误。</explain>
      <paraID>14F3146F</paraID>
      <start>4</start>
      <end>5</end>
      <status>unmodified</status>
      <modifiedWord/>
      <trackRevisions>false</trackRevisions>
    </reviewItem>
    <reviewItem>
      <errorID>99fc392a-ad2c-4e98-abe0-4d103a8d5588</errorID>
      <errorWord>)</errorWord>
      <group>L1_Format</group>
      <groupName>格式问题</groupName>
      <ability>L2_HalfPunc_CN</ability>
      <abilityName>全半角问题</abilityName>
      <candidateList>
        <item>）</item>
      </candidateList>
      <explain>文本全半角错误。</explain>
      <paraID>14F3146F</paraID>
      <start>6</start>
      <end>7</end>
      <status>unmodified</status>
      <modifiedWord/>
      <trackRevisions>false</trackRevisions>
    </reviewItem>
    <reviewItem>
      <errorID>19c4fb64-772f-48e6-98b2-93d4aea83dd3</errorID>
      <errorWord>(</errorWord>
      <group>L1_Format</group>
      <groupName>格式问题</groupName>
      <ability>L2_HalfPunc_CN</ability>
      <abilityName>全半角问题</abilityName>
      <candidateList>
        <item>（</item>
      </candidateList>
      <explain>文本全半角错误。</explain>
      <paraID>72823C66</paraID>
      <start>44</start>
      <end>45</end>
      <status>unmodified</status>
      <modifiedWord/>
      <trackRevisions>false</trackRevisions>
    </reviewItem>
    <reviewItem>
      <errorID>3489ad7d-4001-4eb4-81f8-a102702c976b</errorID>
      <errorWord>)</errorWord>
      <group>L1_Format</group>
      <groupName>格式问题</groupName>
      <ability>L2_HalfPunc_CN</ability>
      <abilityName>全半角问题</abilityName>
      <candidateList>
        <item>）</item>
      </candidateList>
      <explain>文本全半角错误。</explain>
      <paraID>72823C66</paraID>
      <start>46</start>
      <end>47</end>
      <status>unmodified</status>
      <modifiedWord/>
      <trackRevisions>false</trackRevisions>
    </reviewItem>
    <reviewItem>
      <errorID>9c3dd746-7885-42f7-a8df-466e9c2afbd3</errorID>
      <errorWord>(</errorWord>
      <group>L1_Format</group>
      <groupName>格式问题</groupName>
      <ability>L2_HalfPunc_CN</ability>
      <abilityName>全半角问题</abilityName>
      <candidateList>
        <item>（</item>
      </candidateList>
      <explain>文本全半角错误。</explain>
      <paraID>72823C66</paraID>
      <start>51</start>
      <end>52</end>
      <status>unmodified</status>
      <modifiedWord/>
      <trackRevisions>false</trackRevisions>
    </reviewItem>
    <reviewItem>
      <errorID>55702d24-37e3-4b04-86c1-640dd86cfc69</errorID>
      <errorWord>)</errorWord>
      <group>L1_Format</group>
      <groupName>格式问题</groupName>
      <ability>L2_HalfPunc_CN</ability>
      <abilityName>全半角问题</abilityName>
      <candidateList>
        <item>）</item>
      </candidateList>
      <explain>文本全半角错误。</explain>
      <paraID>72823C66</paraID>
      <start>53</start>
      <end>54</end>
      <status>unmodified</status>
      <modifiedWord/>
      <trackRevisions>false</trackRevisions>
    </reviewItem>
    <reviewItem>
      <errorID>e30bec0f-f6ef-4142-928d-4f29c270c97d</errorID>
      <errorWord>(</errorWord>
      <group>L1_Format</group>
      <groupName>格式问题</groupName>
      <ability>L2_HalfPunc_CN</ability>
      <abilityName>全半角问题</abilityName>
      <candidateList>
        <item>（</item>
      </candidateList>
      <explain>文本全半角错误。</explain>
      <paraID>72823C66</paraID>
      <start>58</start>
      <end>59</end>
      <status>unmodified</status>
      <modifiedWord/>
      <trackRevisions>false</trackRevisions>
    </reviewItem>
    <reviewItem>
      <errorID>73045416-c74d-47fa-88ab-4980d08870a3</errorID>
      <errorWord>)</errorWord>
      <group>L1_Format</group>
      <groupName>格式问题</groupName>
      <ability>L2_HalfPunc_CN</ability>
      <abilityName>全半角问题</abilityName>
      <candidateList>
        <item>）</item>
      </candidateList>
      <explain>文本全半角错误。</explain>
      <paraID>72823C66</paraID>
      <start>60</start>
      <end>61</end>
      <status>unmodified</status>
      <modifiedWord/>
      <trackRevisions>false</trackRevisions>
    </reviewItem>
    <reviewItem>
      <errorID>9a320cd2-3d82-465e-b2a6-4313fecf9229</errorID>
      <errorWord>(</errorWord>
      <group>L1_Format</group>
      <groupName>格式问题</groupName>
      <ability>L2_HalfPunc_CN</ability>
      <abilityName>全半角问题</abilityName>
      <candidateList>
        <item>（</item>
      </candidateList>
      <explain>文本全半角错误。</explain>
      <paraID>7BB4F941</paraID>
      <start>1</start>
      <end>2</end>
      <status>unmodified</status>
      <modifiedWord/>
      <trackRevisions>false</trackRevisions>
    </reviewItem>
    <reviewItem>
      <errorID>12a99e48-be4f-47d8-9758-cb2387ee19b0</errorID>
      <errorWord>)</errorWord>
      <group>L1_Format</group>
      <groupName>格式问题</groupName>
      <ability>L2_HalfPunc_CN</ability>
      <abilityName>全半角问题</abilityName>
      <candidateList>
        <item>）</item>
      </candidateList>
      <explain>文本全半角错误。</explain>
      <paraID>7BB4F941</paraID>
      <start>5</start>
      <end>6</end>
      <status>unmodified</status>
      <modifiedWord/>
      <trackRevisions>false</trackRevisions>
    </reviewItem>
    <reviewItem>
      <errorID>298618b5-4caa-4d2e-b8ff-d9b52bcc24ea</errorID>
      <errorWord>,</errorWord>
      <group>L1_Format</group>
      <groupName>格式问题</groupName>
      <ability>L2_HalfPunc_CN</ability>
      <abilityName>全半角问题</abilityName>
      <candidateList>
        <item>，</item>
      </candidateList>
      <explain>文本全半角错误。</explain>
      <paraID>7BB4F941</paraID>
      <start>55</start>
      <end>56</end>
      <status>unmodified</status>
      <modifiedWord/>
      <trackRevisions>false</trackRevisions>
    </reviewItem>
    <reviewItem>
      <errorID>9a503e9d-34bb-4d96-8460-2b97c0d0675f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6EA1463E</paraID>
      <start>0</start>
      <end>3</end>
      <status>unmodified</status>
      <modifiedWord/>
      <trackRevisions>false</trackRevisions>
    </reviewItem>
    <reviewItem>
      <errorID>24a88ec4-ad03-48b2-8214-514042ab5449</errorID>
      <errorWord>约为</errorWord>
      <group>L1_Word</group>
      <groupName>字词问题</groupName>
      <ability>L2_Typo</ability>
      <abilityName>字词错误</abilityName>
      <candidateList>
        <item>约</item>
      </candidateList>
      <explain/>
      <paraID>61502A85</paraID>
      <start>47</start>
      <end>49</end>
      <status>unmodified</status>
      <modifiedWord/>
      <trackRevisions>false</trackRevisions>
    </reviewItem>
    <reviewItem>
      <errorID>fc2f70e8-1e91-44d7-a3c9-3ed785e72b36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132133D2</paraID>
      <start>0</start>
      <end>3</end>
      <status>unmodified</status>
      <modifiedWord/>
      <trackRevisions>false</trackRevisions>
    </reviewItem>
    <reviewItem>
      <errorID>3ab9df44-64b9-49ac-9bd5-948a55ac043f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1D552940</paraID>
      <start>0</start>
      <end>2</end>
      <status>unmodified</status>
      <modifiedWord/>
      <trackRevisions>false</trackRevisions>
    </reviewItem>
    <reviewItem>
      <errorID>f638b420-6438-4607-bd9b-845840215bd5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41D798B7</paraID>
      <start>0</start>
      <end>2</end>
      <status>unmodified</status>
      <modifiedWord/>
      <trackRevisions>false</trackRevisions>
    </reviewItem>
    <reviewItem>
      <errorID>52d6f76e-0078-4eb8-86e6-ad193867b028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1F98AEAE</paraID>
      <start>0</start>
      <end>2</end>
      <status>unmodified</status>
      <modifiedWord/>
      <trackRevisions>false</trackRevisions>
    </reviewItem>
    <reviewItem>
      <errorID>77c72a0a-3295-46ef-a38e-f5b8775c241e</errorID>
      <errorWord>,</errorWord>
      <group>L1_Format</group>
      <groupName>格式问题</groupName>
      <ability>L2_HalfPunc_CN</ability>
      <abilityName>全半角问题</abilityName>
      <candidateList>
        <item>，</item>
      </candidateList>
      <explain>文本全半角错误。</explain>
      <paraID>5A393788</paraID>
      <start>43</start>
      <end>44</end>
      <status>unmodified</status>
      <modifiedWord/>
      <trackRevisions>false</trackRevisions>
    </reviewItem>
    <reviewItem>
      <errorID>77d77c51-d537-4708-bd3d-1ec667e328d1</errorID>
      <errorWord>(</errorWord>
      <group>L1_Format</group>
      <groupName>格式问题</groupName>
      <ability>L2_HalfPunc_CN</ability>
      <abilityName>全半角问题</abilityName>
      <candidateList>
        <item>（</item>
      </candidateList>
      <explain>文本全半角错误。</explain>
      <paraID>68EE9F91</paraID>
      <start>4</start>
      <end>5</end>
      <status>unmodified</status>
      <modifiedWord/>
      <trackRevisions>false</trackRevisions>
    </reviewItem>
    <reviewItem>
      <errorID>e2a5d1a3-c307-4892-85fa-7d2962b3847f</errorID>
      <errorWord>)</errorWord>
      <group>L1_Format</group>
      <groupName>格式问题</groupName>
      <ability>L2_HalfPunc_CN</ability>
      <abilityName>全半角问题</abilityName>
      <candidateList>
        <item>）</item>
      </candidateList>
      <explain>文本全半角错误。</explain>
      <paraID>68EE9F91</paraID>
      <start>7</start>
      <end>8</end>
      <status>unmodified</status>
      <modifiedWord/>
      <trackRevisions>false</trackRevisions>
    </reviewItem>
    <reviewItem>
      <errorID>28cb2bb7-2199-4ebd-b15b-d330e482699f</errorID>
      <errorWord>(</errorWord>
      <group>L1_Format</group>
      <groupName>格式问题</groupName>
      <ability>L2_HalfPunc_CN</ability>
      <abilityName>全半角问题</abilityName>
      <candidateList>
        <item>（</item>
      </candidateList>
      <explain>文本全半角错误。</explain>
      <paraID>737F5524</paraID>
      <start>4</start>
      <end>5</end>
      <status>unmodified</status>
      <modifiedWord/>
      <trackRevisions>false</trackRevisions>
    </reviewItem>
    <reviewItem>
      <errorID>c41b7ddb-abec-449c-b919-09227dcfb824</errorID>
      <errorWord>)</errorWord>
      <group>L1_Format</group>
      <groupName>格式问题</groupName>
      <ability>L2_HalfPunc_CN</ability>
      <abilityName>全半角问题</abilityName>
      <candidateList>
        <item>）</item>
      </candidateList>
      <explain>文本全半角错误。</explain>
      <paraID>737F5524</paraID>
      <start>7</start>
      <end>8</end>
      <status>unmodified</status>
      <modifiedWord/>
      <trackRevisions>false</trackRevisions>
    </reviewItem>
    <reviewItem>
      <errorID>c37bd98c-cf90-40c1-81a0-f823e9cf3564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63C238D4</paraID>
      <start>0</start>
      <end>3</end>
      <status>unmodified</status>
      <modifiedWord/>
      <trackRevisions>false</trackRevisions>
    </reviewItem>
    <reviewItem>
      <errorID>68a3a329-1681-4ca1-a67e-6bdba68aebc6</errorID>
      <errorWord>(</errorWord>
      <group>L1_Format</group>
      <groupName>格式问题</groupName>
      <ability>L2_HalfPunc_CN</ability>
      <abilityName>全半角问题</abilityName>
      <candidateList>
        <item>（</item>
      </candidateList>
      <explain>文本全半角错误。</explain>
      <paraID> C32D573</paraID>
      <start>22</start>
      <end>23</end>
      <status>unmodified</status>
      <modifiedWord/>
      <trackRevisions>false</trackRevisions>
    </reviewItem>
    <reviewItem>
      <errorID>38cf3d59-d6de-49b4-96be-53bb0ea0dfab</errorID>
      <errorWord>,</errorWord>
      <group>L1_Format</group>
      <groupName>格式问题</groupName>
      <ability>L2_HalfPunc_CN</ability>
      <abilityName>全半角问题</abilityName>
      <candidateList>
        <item>，</item>
      </candidateList>
      <explain>文本全半角错误。</explain>
      <paraID> C32D573</paraID>
      <start>34</start>
      <end>35</end>
      <status>unmodified</status>
      <modifiedWord/>
      <trackRevisions>false</trackRevisions>
    </reviewItem>
    <reviewItem>
      <errorID>88b64109-dcce-4a1e-bc5d-f22c60699c5d</errorID>
      <errorWord>)</errorWord>
      <group>L1_Format</group>
      <groupName>格式问题</groupName>
      <ability>L2_HalfPunc_CN</ability>
      <abilityName>全半角问题</abilityName>
      <candidateList>
        <item>）</item>
      </candidateList>
      <explain>文本全半角错误。</explain>
      <paraID> C32D573</paraID>
      <start>48</start>
      <end>49</end>
      <status>unmodified</status>
      <modifiedWord/>
      <trackRevisions>false</trackRevisions>
    </reviewItem>
    <reviewItem>
      <errorID>5f709dc9-bd3e-40a8-97e6-253abfa38f3f</errorID>
      <errorWord>,</errorWord>
      <group>L1_Format</group>
      <groupName>格式问题</groupName>
      <ability>L2_HalfPunc_CN</ability>
      <abilityName>全半角问题</abilityName>
      <candidateList>
        <item>，</item>
      </candidateList>
      <explain>文本全半角错误。</explain>
      <paraID> C32D573</paraID>
      <start>49</start>
      <end>50</end>
      <status>unmodified</status>
      <modifiedWord/>
      <trackRevisions>false</trackRevisions>
    </reviewItem>
    <reviewItem>
      <errorID>6c47d7d9-161a-4c07-87ea-cdd1933a51e3</errorID>
      <errorWord>(</errorWord>
      <group>L1_Format</group>
      <groupName>格式问题</groupName>
      <ability>L2_HalfPunc_CN</ability>
      <abilityName>全半角问题</abilityName>
      <candidateList>
        <item>（</item>
      </candidateList>
      <explain>文本全半角错误。</explain>
      <paraID> C32D573</paraID>
      <start>64</start>
      <end>65</end>
      <status>unmodified</status>
      <modifiedWord/>
      <trackRevisions>false</trackRevisions>
    </reviewItem>
    <reviewItem>
      <errorID>f8f348cd-eed0-4541-8b66-4b3473cc3c8e</errorID>
      <errorWord>,</errorWord>
      <group>L1_Format</group>
      <groupName>格式问题</groupName>
      <ability>L2_HalfPunc_CN</ability>
      <abilityName>全半角问题</abilityName>
      <candidateList>
        <item>，</item>
      </candidateList>
      <explain>文本全半角错误。</explain>
      <paraID> C32D573</paraID>
      <start>76</start>
      <end>77</end>
      <status>unmodified</status>
      <modifiedWord/>
      <trackRevisions>false</trackRevisions>
    </reviewItem>
    <reviewItem>
      <errorID>b53c22e0-867b-41b0-887e-802cb0d1fd96</errorID>
      <errorWord>)</errorWord>
      <group>L1_Format</group>
      <groupName>格式问题</groupName>
      <ability>L2_HalfPunc_CN</ability>
      <abilityName>全半角问题</abilityName>
      <candidateList>
        <item>）</item>
      </candidateList>
      <explain>文本全半角错误。</explain>
      <paraID>69FC5FB3</paraID>
      <start>10</start>
      <end>11</end>
      <status>unmodified</status>
      <modifiedWord/>
      <trackRevisions>false</trackRevisions>
    </reviewItem>
    <reviewItem>
      <errorID>a7b2a80b-88f9-4c14-b4a8-307dde24b432</errorID>
      <errorWord>,</errorWord>
      <group>L1_Format</group>
      <groupName>格式问题</groupName>
      <ability>L2_HalfPunc_CN</ability>
      <abilityName>全半角问题</abilityName>
      <candidateList>
        <item>，</item>
      </candidateList>
      <explain>文本全半角错误。</explain>
      <paraID>69FC5FB3</paraID>
      <start>11</start>
      <end>12</end>
      <status>unmodified</status>
      <modifiedWord/>
      <trackRevisions>false</trackRevisions>
    </reviewItem>
    <reviewItem>
      <errorID>f9850009-1bc0-492e-af4d-4ff1994152f7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7C6C04E7</paraID>
      <start>0</start>
      <end>3</end>
      <status>unmodified</status>
      <modifiedWord/>
      <trackRevisions>false</trackRevisions>
    </reviewItem>
    <reviewItem>
      <errorID>38e4f6dc-53c9-4ccd-9eeb-dbfa6f4b6de1</errorID>
      <errorWord>,</errorWord>
      <group>L1_Format</group>
      <groupName>格式问题</groupName>
      <ability>L2_HalfPunc_CN</ability>
      <abilityName>全半角问题</abilityName>
      <candidateList>
        <item>，</item>
      </candidateList>
      <explain>文本全半角错误。</explain>
      <paraID>33783817</paraID>
      <start>24</start>
      <end>25</end>
      <status>unmodified</status>
      <modifiedWord/>
      <trackRevisions>false</trackRevisions>
    </reviewItem>
    <reviewItem>
      <errorID>651a10f9-f607-44ff-9d70-05c449ea3d40</errorID>
      <errorWord>,</errorWord>
      <group>L1_Format</group>
      <groupName>格式问题</groupName>
      <ability>L2_HalfPunc_CN</ability>
      <abilityName>全半角问题</abilityName>
      <candidateList>
        <item>，</item>
      </candidateList>
      <explain>文本全半角错误。</explain>
      <paraID>33783817</paraID>
      <start>84</start>
      <end>85</end>
      <status>unmodified</status>
      <modifiedWord/>
      <trackRevisions>false</trackRevisions>
    </reviewItem>
    <reviewItem>
      <errorID>110927c1-a526-4834-a0bf-e2dd7ff43ac2</errorID>
      <errorWord>堆场堆</errorWord>
      <group>L1_Word</group>
      <groupName>字词问题</groupName>
      <ability>L2_Typo</ability>
      <abilityName>字词错误</abilityName>
      <candidateList>
        <item>堆场</item>
      </candidateList>
      <explain/>
      <paraID>33783817</paraID>
      <start>114</start>
      <end>117</end>
      <status>unmodified</status>
      <modifiedWord/>
      <trackRevisions>false</trackRevisions>
    </reviewItem>
    <reviewItem>
      <errorID>c7f675ef-e02c-4aed-89a7-7226f6db6478</errorID>
      <errorWord>,</errorWord>
      <group>L1_Format</group>
      <groupName>格式问题</groupName>
      <ability>L2_HalfPunc_CN</ability>
      <abilityName>全半角问题</abilityName>
      <candidateList>
        <item>，</item>
      </candidateList>
      <explain>文本全半角错误。</explain>
      <paraID>33783817</paraID>
      <start>126</start>
      <end>127</end>
      <status>unmodified</status>
      <modifiedWord/>
      <trackRevisions>false</trackRevisions>
    </reviewItem>
    <reviewItem>
      <errorID>ac768bba-570a-4e6e-ae15-73ccbb6c39ea</errorID>
      <errorWord>,</errorWord>
      <group>L1_Format</group>
      <groupName>格式问题</groupName>
      <ability>L2_HalfPunc_CN</ability>
      <abilityName>全半角问题</abilityName>
      <candidateList>
        <item>，</item>
      </candidateList>
      <explain>文本全半角错误。</explain>
      <paraID>33783817</paraID>
      <start>139</start>
      <end>140</end>
      <status>unmodified</status>
      <modifiedWord/>
      <trackRevisions>false</trackRevisions>
    </reviewItem>
    <reviewItem>
      <errorID>769a0c05-5729-45a0-89cc-f439a542bc44</errorID>
      <errorWord>(</errorWord>
      <group>L1_Format</group>
      <groupName>格式问题</groupName>
      <ability>L2_HalfPunc_CN</ability>
      <abilityName>全半角问题</abilityName>
      <candidateList>
        <item>（</item>
      </candidateList>
      <explain>文本全半角错误。</explain>
      <paraID>5A36BB03</paraID>
      <start>3</start>
      <end>4</end>
      <status>unmodified</status>
      <modifiedWord/>
      <trackRevisions>false</trackRevisions>
    </reviewItem>
    <reviewItem>
      <errorID>e8b43be0-a127-417a-9cd4-1d92f55cca75</errorID>
      <errorWord>),</errorWord>
      <group>L1_Format</group>
      <groupName>格式问题</groupName>
      <ability>L2_HalfPunc_CN</ability>
      <abilityName>全半角问题</abilityName>
      <candidateList>
        <item>），</item>
      </candidateList>
      <explain>文本全半角错误。</explain>
      <paraID>5A36BB03</paraID>
      <start>7</start>
      <end>9</end>
      <status>unmodified</status>
      <modifiedWord/>
      <trackRevisions>false</trackRevisions>
    </reviewItem>
    <reviewItem>
      <errorID>b31b0cb2-8b16-4f18-9387-c2086e3dd8c1</errorID>
      <errorWord>(</errorWord>
      <group>L1_Format</group>
      <groupName>格式问题</groupName>
      <ability>L2_HalfPunc_CN</ability>
      <abilityName>全半角问题</abilityName>
      <candidateList>
        <item>（</item>
      </candidateList>
      <explain>文本全半角错误。</explain>
      <paraID>384BAF9D</paraID>
      <start>5</start>
      <end>6</end>
      <status>unmodified</status>
      <modifiedWord/>
      <trackRevisions>false</trackRevisions>
    </reviewItem>
    <reviewItem>
      <errorID>19d604b3-3405-45a3-bb76-38e2f101b855</errorID>
      <errorWord>)</errorWord>
      <group>L1_Format</group>
      <groupName>格式问题</groupName>
      <ability>L2_HalfPunc_CN</ability>
      <abilityName>全半角问题</abilityName>
      <candidateList>
        <item>）</item>
      </candidateList>
      <explain>文本全半角错误。</explain>
      <paraID>384BAF9D</paraID>
      <start>9</start>
      <end>10</end>
      <status>unmodified</status>
      <modifiedWord/>
      <trackRevisions>false</trackRevisions>
    </reviewItem>
    <reviewItem>
      <errorID>c2ab376b-b065-4bfd-8836-850c6243429e</errorID>
      <errorWord>主要以土石方开挖为主</errorWord>
      <group>L1_Grammar</group>
      <groupName>语法问题</groupName>
      <ability>L2_Grammar</ability>
      <abilityName>语法错误</abilityName>
      <candidateList>
        <item>以土石方开挖为主</item>
      </candidateList>
      <explain>该表达中的“主要以土石方开挖为主”存在语义重复。</explain>
      <paraID>2E50A5BD</paraID>
      <start>7</start>
      <end>17</end>
      <status>unmodified</status>
      <modifiedWord/>
      <trackRevisions>false</trackRevisions>
    </reviewItem>
    <reviewItem>
      <errorID>703ebda7-96a8-418e-9d4b-aed61d422ccd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56E4C8B1</paraID>
      <start>0</start>
      <end>2</end>
      <status>unmodified</status>
      <modifiedWord/>
      <trackRevisions>false</trackRevisions>
    </reviewItem>
    <reviewItem>
      <errorID>cfd28bcf-b354-47fb-89a6-b3fdd0fa5c97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2BD06FA2</paraID>
      <start>0</start>
      <end>2</end>
      <status>unmodified</status>
      <modifiedWord/>
      <trackRevisions>false</trackRevisions>
    </reviewItem>
    <reviewItem>
      <errorID>1ddf93ab-c0e1-4c02-9907-b7dfe3b7770e</errorID>
      <errorWord>后方可进行下</errorWord>
      <group>L1_Word</group>
      <groupName>字词问题</groupName>
      <ability>L2_Typo</ability>
      <abilityName>字词错误</abilityName>
      <candidateList>
        <item>后方可进行下一</item>
      </candidateList>
      <explain/>
      <paraID>47EDA767</paraID>
      <start>18</start>
      <end>24</end>
      <status>unmodified</status>
      <modifiedWord/>
      <trackRevisions>false</trackRevisions>
    </reviewItem>
    <reviewItem>
      <errorID>6a6c4fb0-b6a7-430e-8258-fc9f0f3f1f3e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68079E55</paraID>
      <start>0</start>
      <end>2</end>
      <status>unmodified</status>
      <modifiedWord/>
      <trackRevisions>false</trackRevisions>
    </reviewItem>
    <reviewItem>
      <errorID>e56766b3-ba5c-4844-ac8d-7621f830c12f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122DDDB7</paraID>
      <start>0</start>
      <end>2</end>
      <status>unmodified</status>
      <modifiedWord/>
      <trackRevisions>false</trackRevisions>
    </reviewItem>
    <reviewItem>
      <errorID>e45998f1-73d4-40d1-9916-9a333bb232aa</errorID>
      <errorWord>串连</errorWord>
      <group>L1_Word</group>
      <groupName>字词问题</groupName>
      <ability>L2_Alias</ability>
      <abilityName>也作/曾用词</abilityName>
      <candidateList>
        <item>串联</item>
      </candidateList>
      <explain>词汇[串连]为不规范表述或旧称，其规范书面表述为[串联]。</explain>
      <paraID>1C9C2674</paraID>
      <start>45</start>
      <end>47</end>
      <status>unmodified</status>
      <modifiedWord/>
      <trackRevisions>false</trackRevisions>
    </reviewItem>
    <reviewItem>
      <errorID>99ed654b-1910-4ca7-9d87-b100df07d857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D1D9DE1</paraID>
      <start>0</start>
      <end>2</end>
      <status>unmodified</status>
      <modifiedWord/>
      <trackRevisions>false</trackRevisions>
    </reviewItem>
    <reviewItem>
      <errorID>fcd92143-0f2f-4a18-b095-50ffd7d5ceda</errorID>
      <errorWord>,</errorWord>
      <group>L1_Format</group>
      <groupName>格式问题</groupName>
      <ability>L2_HalfPunc_CN</ability>
      <abilityName>全半角问题</abilityName>
      <candidateList>
        <item>，</item>
      </candidateList>
      <explain>文本全半角错误。</explain>
      <paraID>48BA1C99</paraID>
      <start>61</start>
      <end>62</end>
      <status>unmodified</status>
      <modifiedWord/>
      <trackRevisions>false</trackRevisions>
    </reviewItem>
    <reviewItem>
      <errorID>1e49fbac-7ff7-4731-b219-e8a63e6b453d</errorID>
      <errorWord>~</errorWord>
      <group>L1_Format</group>
      <groupName>格式问题</groupName>
      <ability>L2_HalfPunc_CN</ability>
      <abilityName>全半角问题</abilityName>
      <candidateList>
        <item>～</item>
      </candidateList>
      <explain>文本全半角错误。</explain>
      <paraID>53BDCFAC</paraID>
      <start>20</start>
      <end>21</end>
      <status>unmodified</status>
      <modifiedWord/>
      <trackRevisions>false</trackRevisions>
    </reviewItem>
    <reviewItem>
      <errorID>4aa5025c-88a0-491d-8610-313db0469cb0</errorID>
      <errorWord>,</errorWord>
      <group>L1_Format</group>
      <groupName>格式问题</groupName>
      <ability>L2_HalfPunc_CN</ability>
      <abilityName>全半角问题</abilityName>
      <candidateList>
        <item>，</item>
      </candidateList>
      <explain>文本全半角错误。</explain>
      <paraID>11DAED8C</paraID>
      <start>14</start>
      <end>15</end>
      <status>unmodified</status>
      <modifiedWord/>
      <trackRevisions>false</trackRevisions>
    </reviewItem>
    <reviewItem>
      <errorID>48b1cfe1-73d4-447d-bc62-0292da882007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7609F7A4</paraID>
      <start>0</start>
      <end>2</end>
      <status>unmodified</status>
      <modifiedWord/>
      <trackRevisions>false</trackRevisions>
    </reviewItem>
    <reviewItem>
      <errorID>3b297f0c-d7a8-423f-8219-643b9f9f4d73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70E5F136</paraID>
      <start>0</start>
      <end>3</end>
      <status>unmodified</status>
      <modifiedWord/>
      <trackRevisions>false</trackRevisions>
    </reviewItem>
    <reviewItem>
      <errorID>7b1b9b36-0984-4e0e-9327-be8c10f807ff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74E13B29</paraID>
      <start>0</start>
      <end>2</end>
      <status>unmodified</status>
      <modifiedWord/>
      <trackRevisions>false</trackRevisions>
    </reviewItem>
    <reviewItem>
      <errorID>e184a232-c5cc-4242-a216-e9991ce11d94</errorID>
      <errorWord>档</errorWord>
      <group>L1_Word</group>
      <groupName>字词问题</groupName>
      <ability>L2_Typo</ability>
      <abilityName>字词错误</abilityName>
      <candidateList>
        <item>挡</item>
      </candidateList>
      <explain>存在发音相同字词的误用。</explain>
      <paraID> 638A631</paraID>
      <start>72</start>
      <end>73</end>
      <status>unmodified</status>
      <modifiedWord/>
      <trackRevisions>false</trackRevisions>
    </reviewItem>
    <reviewItem>
      <errorID>40dd375a-5580-4db9-8581-57458cc6a66c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2A2BB6F4</paraID>
      <start>0</start>
      <end>2</end>
      <status>unmodified</status>
      <modifiedWord/>
      <trackRevisions>false</trackRevisions>
    </reviewItem>
    <reviewItem>
      <errorID>934e8ac3-4029-45a4-9c16-1cdb93409542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4C9C201C</paraID>
      <start>0</start>
      <end>3</end>
      <status>unmodified</status>
      <modifiedWord/>
      <trackRevisions>false</trackRevisions>
    </reviewItem>
    <reviewItem>
      <errorID>986ca98a-6771-4c2d-94f6-1664ba6364ec</errorID>
      <errorWord>作好</errorWord>
      <group>L1_Word</group>
      <groupName>字词问题</groupName>
      <ability>L2_Typo</ability>
      <abilityName>字词错误</abilityName>
      <candidateList>
        <item>做好</item>
      </candidateList>
      <explain>存在发音相同字词的误用。</explain>
      <paraID>230273D6</paraID>
      <start>80</start>
      <end>82</end>
      <status>unmodified</status>
      <modifiedWord/>
      <trackRevisions>false</trackRevisions>
    </reviewItem>
    <reviewItem>
      <errorID>0d5c746e-b1c2-432e-97cf-a683a716321f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4AE967EC</paraID>
      <start>0</start>
      <end>3</end>
      <status>unmodified</status>
      <modifiedWord/>
      <trackRevisions>false</trackRevisions>
    </reviewItem>
    <reviewItem>
      <errorID>f1e29e37-863f-401a-ab99-072e0ae81b4c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1F9334B2</paraID>
      <start>0</start>
      <end>2</end>
      <status>unmodified</status>
      <modifiedWord/>
      <trackRevisions>false</trackRevisions>
    </reviewItem>
    <reviewItem>
      <errorID>72202055-e6ca-4ec7-8fed-8ef4a5459f26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7A428300</paraID>
      <start>0</start>
      <end>2</end>
      <status>unmodified</status>
      <modifiedWord/>
      <trackRevisions>false</trackRevisions>
    </reviewItem>
    <reviewItem>
      <errorID>cce68ed8-39a9-430d-a9f5-8e749ef74a71</errorID>
      <errorWord>,</errorWord>
      <group>L1_Format</group>
      <groupName>格式问题</groupName>
      <ability>L2_HalfPunc_CN</ability>
      <abilityName>全半角问题</abilityName>
      <candidateList>
        <item>，</item>
      </candidateList>
      <explain>文本全半角错误。</explain>
      <paraID>1552AC42</paraID>
      <start>47</start>
      <end>48</end>
      <status>unmodified</status>
      <modifiedWord/>
      <trackRevisions>false</trackRevisions>
    </reviewItem>
    <reviewItem>
      <errorID>bb068724-2a82-451e-97db-5aad8b7c8871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512201E4</paraID>
      <start>0</start>
      <end>3</end>
      <status>unmodified</status>
      <modifiedWord/>
      <trackRevisions>false</trackRevisions>
    </reviewItem>
    <reviewItem>
      <errorID>eb9b6c0f-955b-40cf-80f2-64285709871a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41DA5BEF</paraID>
      <start>0</start>
      <end>2</end>
      <status>unmodified</status>
      <modifiedWord/>
      <trackRevisions>false</trackRevisions>
    </reviewItem>
    <reviewItem>
      <errorID>cc47d39b-0878-4858-a5c3-00e11f4aa9dc</errorID>
      <errorWord>拌合站</errorWord>
      <group>L1_Word</group>
      <groupName>字词问题</groupName>
      <ability>L2_Typo</ability>
      <abilityName>字词错误</abilityName>
      <candidateList>
        <item>拌和站</item>
      </candidateList>
      <explain>存在发音相同字词的误用。</explain>
      <paraID>17746C8C</paraID>
      <start>72</start>
      <end>75</end>
      <status>unmodified</status>
      <modifiedWord/>
      <trackRevisions>false</trackRevisions>
    </reviewItem>
    <reviewItem>
      <errorID>51ccb176-004e-4083-aced-4b14470c945b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10D57815</paraID>
      <start>0</start>
      <end>2</end>
      <status>unmodified</status>
      <modifiedWord/>
      <trackRevisions>false</trackRevisions>
    </reviewItem>
    <reviewItem>
      <errorID>b743cd26-bae5-444f-8bee-416ce838db90</errorID>
      <errorWord>(</errorWord>
      <group>L1_Format</group>
      <groupName>格式问题</groupName>
      <ability>L2_HalfPunc_CN</ability>
      <abilityName>全半角问题</abilityName>
      <candidateList>
        <item>（</item>
      </candidateList>
      <explain>文本全半角错误。</explain>
      <paraID>57FBBAD6</paraID>
      <start>80</start>
      <end>81</end>
      <status>unmodified</status>
      <modifiedWord/>
      <trackRevisions>false</trackRevisions>
    </reviewItem>
    <reviewItem>
      <errorID>c3b455d8-05f8-45b6-ac6b-dc3801c1dbe0</errorID>
      <errorWord>)</errorWord>
      <group>L1_Format</group>
      <groupName>格式问题</groupName>
      <ability>L2_HalfPunc_CN</ability>
      <abilityName>全半角问题</abilityName>
      <candidateList>
        <item>）</item>
      </candidateList>
      <explain>文本全半角错误。</explain>
      <paraID>57FBBAD6</paraID>
      <start>92</start>
      <end>93</end>
      <status>unmodified</status>
      <modifiedWord/>
      <trackRevisions>false</trackRevisions>
    </reviewItem>
    <reviewItem>
      <errorID>17a51a61-73ca-4141-adb7-d19a7caaca71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4E6B8313</paraID>
      <start>0</start>
      <end>2</end>
      <status>unmodified</status>
      <modifiedWord/>
      <trackRevisions>false</trackRevisions>
    </reviewItem>
    <reviewItem>
      <errorID>67ba0f4a-9701-42be-8131-911422c8a698</errorID>
      <errorWord>(</errorWord>
      <group>L1_Format</group>
      <groupName>格式问题</groupName>
      <ability>L2_HalfPunc_CN</ability>
      <abilityName>全半角问题</abilityName>
      <candidateList>
        <item>（</item>
      </candidateList>
      <explain>文本全半角错误。</explain>
      <paraID>2D3F0C49</paraID>
      <start>39</start>
      <end>40</end>
      <status>unmodified</status>
      <modifiedWord/>
      <trackRevisions>false</trackRevisions>
    </reviewItem>
    <reviewItem>
      <errorID>8dee48b0-9c3b-4f42-a00b-aa5028f59211</errorID>
      <errorWord>)</errorWord>
      <group>L1_Format</group>
      <groupName>格式问题</groupName>
      <ability>L2_HalfPunc_CN</ability>
      <abilityName>全半角问题</abilityName>
      <candidateList>
        <item>）</item>
      </candidateList>
      <explain>文本全半角错误。</explain>
      <paraID>2D3F0C49</paraID>
      <start>44</start>
      <end>45</end>
      <status>unmodified</status>
      <modifiedWord/>
      <trackRevisions>false</trackRevisions>
    </reviewItem>
    <reviewItem>
      <errorID>2d5b61f5-dfb3-49ca-bede-b038e9db0a67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2483CEF9</paraID>
      <start>0</start>
      <end>2</end>
      <status>unmodified</status>
      <modifiedWord/>
      <trackRevisions>false</trackRevisions>
    </reviewItem>
    <reviewItem>
      <errorID>09edc553-1a18-44e0-b759-e826a629297f</errorID>
      <errorWord>相连接</errorWord>
      <group>L1_Word</group>
      <groupName>字词问题</groupName>
      <ability>L2_Typo</ability>
      <abilityName>字词错误</abilityName>
      <candidateList>
        <item>连接</item>
      </candidateList>
      <explain/>
      <paraID>19DBF5CE</paraID>
      <start>242</start>
      <end>245</end>
      <status>unmodified</status>
      <modifiedWord/>
      <trackRevisions>false</trackRevisions>
    </reviewItem>
    <reviewItem>
      <errorID>bdeb2760-b67d-4eab-94f8-364e4c751355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7B30064E</paraID>
      <start>0</start>
      <end>2</end>
      <status>unmodified</status>
      <modifiedWord/>
      <trackRevisions>false</trackRevisions>
    </reviewItem>
    <reviewItem>
      <errorID>fcf9060d-2a6c-42e9-a009-b54adc513fde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5B5FE5FF</paraID>
      <start>0</start>
      <end>4</end>
      <status>unmodified</status>
      <modifiedWord/>
      <trackRevisions>false</trackRevisions>
    </reviewItem>
    <reviewItem>
      <errorID>06825b8e-c23c-4066-ac8f-0e1061950629</errorID>
      <errorWord>作好</errorWord>
      <group>L1_Grammar</group>
      <groupName>语法问题</groupName>
      <ability>L2_Grammar</ability>
      <abilityName>语法错误</abilityName>
      <candidateList>
        <item>做好</item>
      </candidateList>
      <explain>“作好～工作”搭配不当，建议修改为“做好～工作”。</explain>
      <paraID> 8B0E2E1</paraID>
      <start>19</start>
      <end>21</end>
      <status>unmodified</status>
      <modifiedWord/>
      <trackRevisions>false</trackRevisions>
    </reviewItem>
    <reviewItem>
      <errorID>a5e35235-542e-4d02-81f4-482a50b20b51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2EF2F2A9</paraID>
      <start>0</start>
      <end>2</end>
      <status>unmodified</status>
      <modifiedWord/>
      <trackRevisions>false</trackRevisions>
    </reviewItem>
    <reviewItem>
      <errorID>68c35a3c-b2c1-4a9c-8bc1-d606fa7e49c3</errorID>
      <errorWord>否则</errorWord>
      <group>L1_Word</group>
      <groupName>字词问题</groupName>
      <ability>L2_Typo</ability>
      <abilityName>字词错误</abilityName>
      <candidateList>
        <item>否</item>
      </candidateList>
      <explain/>
      <paraID>2EF2F2A9</paraID>
      <start>26</start>
      <end>28</end>
      <status>unmodified</status>
      <modifiedWord/>
      <trackRevisions>false</trackRevisions>
    </reviewItem>
    <reviewItem>
      <errorID>2995f61b-8ce7-4d1a-81f5-43e13f5c4ae0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1CC022F7</paraID>
      <start>0</start>
      <end>2</end>
      <status>unmodified</status>
      <modifiedWord/>
      <trackRevisions>false</trackRevisions>
    </reviewItem>
    <reviewItem>
      <errorID>d01c6993-d895-41bf-a918-d36b40c9db65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6FB472D4</paraID>
      <start>0</start>
      <end>4</end>
      <status>unmodified</status>
      <modifiedWord/>
      <trackRevisions>false</trackRevisions>
    </reviewItem>
    <reviewItem>
      <errorID>81b8d559-5622-486d-b2c4-adf3688c7540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2301638A</paraID>
      <start>0</start>
      <end>2</end>
      <status>unmodified</status>
      <modifiedWord/>
      <trackRevisions>false</trackRevisions>
    </reviewItem>
    <reviewItem>
      <errorID>33d39106-2f42-40e5-94a9-762403a750f2</errorID>
      <errorWord>,</errorWord>
      <group>L1_Format</group>
      <groupName>格式问题</groupName>
      <ability>L2_HalfPunc_CN</ability>
      <abilityName>全半角问题</abilityName>
      <candidateList>
        <item>，</item>
      </candidateList>
      <explain>文本全半角错误。</explain>
      <paraID>294CFA79</paraID>
      <start>18</start>
      <end>19</end>
      <status>unmodified</status>
      <modifiedWord/>
      <trackRevisions>false</trackRevisions>
    </reviewItem>
    <reviewItem>
      <errorID>b6fb551d-9b70-4c3c-9db4-24f6cdafff1d</errorID>
      <errorWord>;</errorWord>
      <group>L1_Format</group>
      <groupName>格式问题</groupName>
      <ability>L2_HalfPunc_CN</ability>
      <abilityName>全半角问题</abilityName>
      <candidateList>
        <item>；</item>
      </candidateList>
      <explain>文本全半角错误。</explain>
      <paraID>294CFA79</paraID>
      <start>24</start>
      <end>25</end>
      <status>unmodified</status>
      <modifiedWord/>
      <trackRevisions>false</trackRevisions>
    </reviewItem>
    <reviewItem>
      <errorID>4854c07a-a530-4490-8444-ec450ec49a0f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6019D884</paraID>
      <start>0</start>
      <end>2</end>
      <status>unmodified</status>
      <modifiedWord/>
      <trackRevisions>false</trackRevisions>
    </reviewItem>
    <reviewItem>
      <errorID>604cf484-93d0-4e89-b04c-f1ebf8addd63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552FFED</paraID>
      <start>0</start>
      <end>2</end>
      <status>unmodified</status>
      <modifiedWord/>
      <trackRevisions>false</trackRevisions>
    </reviewItem>
    <reviewItem>
      <errorID>6f0f660a-f9b4-4149-b72f-1e0d1283864c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26952811</paraID>
      <start>0</start>
      <end>2</end>
      <status>unmodified</status>
      <modifiedWord/>
      <trackRevisions>false</trackRevisions>
    </reviewItem>
    <reviewItem>
      <errorID>1a901899-b6d4-40a5-bfe4-4c35b12e3a36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58B68690</paraID>
      <start>0</start>
      <end>2</end>
      <status>unmodified</status>
      <modifiedWord/>
      <trackRevisions>false</trackRevisions>
    </reviewItem>
    <reviewItem>
      <errorID>bae96c64-679d-44ab-9ee4-ef17c7327646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4D01CAB2</paraID>
      <start>0</start>
      <end>2</end>
      <status>unmodified</status>
      <modifiedWord/>
      <trackRevisions>false</trackRevisions>
    </reviewItem>
    <reviewItem>
      <errorID>efd60e02-1c48-4616-91c2-cbfad5e8339e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28527F24</paraID>
      <start>0</start>
      <end>2</end>
      <status>unmodified</status>
      <modifiedWord/>
      <trackRevisions>false</trackRevisions>
    </reviewItem>
    <reviewItem>
      <errorID>9410a43a-b389-44a1-a529-9eb9f42ff6f1</errorID>
      <errorWord>肝塔</errorWord>
      <group>L1_Word</group>
      <groupName>字词问题</groupName>
      <ability>L2_Typo</ability>
      <abilityName>字词错误</abilityName>
      <candidateList>
        <item>钢塔</item>
      </candidateList>
      <explain>存在发音相近字词的误用。</explain>
      <paraID>22F7E9D2</paraID>
      <start>7</start>
      <end>9</end>
      <status>unmodified</status>
      <modifiedWord/>
      <trackRevisions>false</trackRevisions>
    </reviewItem>
    <reviewItem>
      <errorID>b3d1aba9-7879-4342-9014-ff768945998e</errorID>
      <errorWord>(</errorWord>
      <group>L1_Format</group>
      <groupName>格式问题</groupName>
      <ability>L2_HalfPunc_CN</ability>
      <abilityName>全半角问题</abilityName>
      <candidateList>
        <item>（</item>
      </candidateList>
      <explain>文本全半角错误。</explain>
      <paraID>228235A8</paraID>
      <start>9</start>
      <end>10</end>
      <status>unmodified</status>
      <modifiedWord/>
      <trackRevisions>false</trackRevisions>
    </reviewItem>
    <reviewItem>
      <errorID>e4b38335-2c90-48d2-a89f-acad9c4f11a6</errorID>
      <errorWord>)</errorWord>
      <group>L1_Format</group>
      <groupName>格式问题</groupName>
      <ability>L2_HalfPunc_CN</ability>
      <abilityName>全半角问题</abilityName>
      <candidateList>
        <item>）</item>
      </candidateList>
      <explain>文本全半角错误。</explain>
      <paraID>228235A8</paraID>
      <start>18</start>
      <end>19</end>
      <status>unmodified</status>
      <modifiedWord/>
      <trackRevisions>false</trackRevisions>
    </reviewItem>
    <reviewItem>
      <errorID>f4066bc7-3f21-4e0a-8e30-c925147bcd86</errorID>
      <errorWord>(</errorWord>
      <group>L1_Format</group>
      <groupName>格式问题</groupName>
      <ability>L2_HalfPunc_CN</ability>
      <abilityName>全半角问题</abilityName>
      <candidateList>
        <item>（</item>
      </candidateList>
      <explain>文本全半角错误。</explain>
      <paraID> 63BF3FF</paraID>
      <start>10</start>
      <end>11</end>
      <status>unmodified</status>
      <modifiedWord/>
      <trackRevisions>false</trackRevisions>
    </reviewItem>
    <reviewItem>
      <errorID>4199ed55-802a-41a6-991b-beaaa829b368</errorID>
      <errorWord>)</errorWord>
      <group>L1_Format</group>
      <groupName>格式问题</groupName>
      <ability>L2_HalfPunc_CN</ability>
      <abilityName>全半角问题</abilityName>
      <candidateList>
        <item>）</item>
      </candidateList>
      <explain>文本全半角错误。</explain>
      <paraID>56E8CAC8</paraID>
      <start>5</start>
      <end>6</end>
      <status>unmodified</status>
      <modifiedWord/>
      <trackRevisions>false</trackRevisions>
    </reviewItem>
    <reviewItem>
      <errorID>1d19878b-0373-4926-b1ad-335235e8fb92</errorID>
      <errorWord>(</errorWord>
      <group>L1_Format</group>
      <groupName>格式问题</groupName>
      <ability>L2_HalfPunc_CN</ability>
      <abilityName>全半角问题</abilityName>
      <candidateList>
        <item>（</item>
      </candidateList>
      <explain>文本全半角错误。</explain>
      <paraID> B28CE87</paraID>
      <start>9</start>
      <end>10</end>
      <status>unmodified</status>
      <modifiedWord/>
      <trackRevisions>false</trackRevisions>
    </reviewItem>
    <reviewItem>
      <errorID>fc824cc9-cc23-41e4-9f27-0ae77dafb43b</errorID>
      <errorWord>)</errorWord>
      <group>L1_Format</group>
      <groupName>格式问题</groupName>
      <ability>L2_HalfPunc_CN</ability>
      <abilityName>全半角问题</abilityName>
      <candidateList>
        <item>）</item>
      </candidateList>
      <explain>文本全半角错误。</explain>
      <paraID> B28CE87</paraID>
      <start>16</start>
      <end>17</end>
      <status>unmodified</status>
      <modifiedWord/>
      <trackRevisions>false</trackRevisions>
    </reviewItem>
    <reviewItem>
      <errorID>632aecd3-685e-4917-8a4d-7e9fccb8d5f6</errorID>
      <errorWord>震动</errorWord>
      <group>L1_Word</group>
      <groupName>字词问题</groupName>
      <ability>L2_Typo</ability>
      <abilityName>字词错误</abilityName>
      <candidateList>
        <item>振动</item>
      </candidateList>
      <explain>存在发音相同字词的误用。</explain>
      <paraID>4FC8D907</paraID>
      <start>7</start>
      <end>9</end>
      <status>unmodified</status>
      <modifiedWord/>
      <trackRevisions>false</trackRevisions>
    </reviewItem>
    <reviewItem>
      <errorID>15877fe5-0ec3-445b-b6d8-28419a241395</errorID>
      <errorWord>(</errorWord>
      <group>L1_Format</group>
      <groupName>格式问题</groupName>
      <ability>L2_HalfPunc_CN</ability>
      <abilityName>全半角问题</abilityName>
      <candidateList>
        <item>（</item>
      </candidateList>
      <explain>文本全半角错误。</explain>
      <paraID> 53248A8</paraID>
      <start>7</start>
      <end>8</end>
      <status>unmodified</status>
      <modifiedWord/>
      <trackRevisions>false</trackRevisions>
    </reviewItem>
    <reviewItem>
      <errorID>45e397cc-61af-4f73-ad00-87378e8067cb</errorID>
      <errorWord>)</errorWord>
      <group>L1_Format</group>
      <groupName>格式问题</groupName>
      <ability>L2_HalfPunc_CN</ability>
      <abilityName>全半角问题</abilityName>
      <candidateList>
        <item>）</item>
      </candidateList>
      <explain>文本全半角错误。</explain>
      <paraID> 53248A8</paraID>
      <start>14</start>
      <end>15</end>
      <status>unmodified</status>
      <modifiedWord/>
      <trackRevisions>false</trackRevisions>
    </reviewItem>
    <reviewItem>
      <errorID>f2ae3599-c96d-4697-b19c-ce2348a53984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2C4DB659</paraID>
      <start>0</start>
      <end>2</end>
      <status>unmodified</status>
      <modifiedWord/>
      <trackRevisions>false</trackRevisions>
    </reviewItem>
    <reviewItem>
      <errorID>4af7cbff-986a-46b6-900e-6ca213e48548</errorID>
      <errorWord>,</errorWord>
      <group>L1_Format</group>
      <groupName>格式问题</groupName>
      <ability>L2_HalfPunc_CN</ability>
      <abilityName>全半角问题</abilityName>
      <candidateList>
        <item>，</item>
      </candidateList>
      <explain>文本全半角错误。</explain>
      <paraID>1490D9E4</paraID>
      <start>36</start>
      <end>37</end>
      <status>unmodified</status>
      <modifiedWord/>
      <trackRevisions>false</trackRevisions>
    </reviewItem>
    <reviewItem>
      <errorID>a867795b-817f-48af-ad9c-7808ab772992</errorID>
      <errorWord>,</errorWord>
      <group>L1_Format</group>
      <groupName>格式问题</groupName>
      <ability>L2_HalfPunc_CN</ability>
      <abilityName>全半角问题</abilityName>
      <candidateList>
        <item>，</item>
      </candidateList>
      <explain>文本全半角错误。</explain>
      <paraID>1490D9E4</paraID>
      <start>84</start>
      <end>85</end>
      <status>unmodified</status>
      <modifiedWord/>
      <trackRevisions>false</trackRevisions>
    </reviewItem>
    <reviewItem>
      <errorID>0ba53a45-4506-4199-9076-1c7b2e53fceb</errorID>
      <errorWord>(</errorWord>
      <group>L1_Format</group>
      <groupName>格式问题</groupName>
      <ability>L2_HalfPunc_CN</ability>
      <abilityName>全半角问题</abilityName>
      <candidateList>
        <item>（</item>
      </candidateList>
      <explain>文本全半角错误。</explain>
      <paraID>6274F4B9</paraID>
      <start>7</start>
      <end>8</end>
      <status>unmodified</status>
      <modifiedWord/>
      <trackRevisions>false</trackRevisions>
    </reviewItem>
    <reviewItem>
      <errorID>0f189bd9-b60a-4096-8927-4383936cc06b</errorID>
      <errorWord>)</errorWord>
      <group>L1_Format</group>
      <groupName>格式问题</groupName>
      <ability>L2_HalfPunc_CN</ability>
      <abilityName>全半角问题</abilityName>
      <candidateList>
        <item>）</item>
      </candidateList>
      <explain>文本全半角错误。</explain>
      <paraID>6274F4B9</paraID>
      <start>10</start>
      <end>11</end>
      <status>unmodified</status>
      <modifiedWord/>
      <trackRevisions>false</trackRevisions>
    </reviewItem>
    <reviewItem>
      <errorID>e7098f43-f87d-4a8c-aaa8-7f4e9041e592</errorID>
      <errorWord>。</errorWord>
      <group>L1_Format</group>
      <groupName>格式问题</groupName>
      <ability>L2_HalfPunc_CN</ability>
      <abilityName>全半角问题</abilityName>
      <candidateList>
        <item>.</item>
      </candidateList>
      <explain>文本全半角错误。</explain>
      <paraID>60552D0C</paraID>
      <start>4</start>
      <end>5</end>
      <status>unmodified</status>
      <modifiedWord/>
      <trackRevisions>false</trackRevisions>
    </reviewItem>
    <reviewItem>
      <errorID>4deb4bfa-a4de-4e37-bc63-95e70be8426b</errorID>
      <errorWord>投资近</errorWord>
      <group>L1_Word</group>
      <groupName>字词问题</groupName>
      <ability>L2_Typo</ability>
      <abilityName>字词错误</abilityName>
      <candidateList>
        <item>投资</item>
      </candidateList>
      <explain/>
      <paraID>5C7B8B08</paraID>
      <start>5</start>
      <end>8</end>
      <status>unmodified</status>
      <modifiedWord/>
      <trackRevisions>false</trackRevisions>
    </reviewItem>
    <reviewItem>
      <errorID>1f7cef0a-f788-4913-8981-653059a5b433</errorID>
      <errorWord>收交</errorWord>
      <group>L1_Word</group>
      <groupName>字词问题</groupName>
      <ability>L2_Typo</ability>
      <abilityName>字词错误</abilityName>
      <candidateList>
        <item>收缴</item>
      </candidateList>
      <explain/>
      <paraID>7728EE2F</paraID>
      <start>32</start>
      <end>34</end>
      <status>unmodified</status>
      <modifiedWord/>
      <trackRevisions>false</trackRevisions>
    </reviewItem>
    <reviewItem>
      <errorID>63c3420a-68a4-46e1-8ce5-c0309725d4df</errorID>
      <errorWord>(</errorWord>
      <group>L1_Format</group>
      <groupName>格式问题</groupName>
      <ability>L2_HalfPunc_CN</ability>
      <abilityName>全半角问题</abilityName>
      <candidateList>
        <item>（</item>
      </candidateList>
      <explain>文本全半角错误。</explain>
      <paraID>7728EE2F</paraID>
      <start>96</start>
      <end>97</end>
      <status>unmodified</status>
      <modifiedWord/>
      <trackRevisions>false</trackRevisions>
    </reviewItem>
    <reviewItem>
      <errorID>d9914bd1-22d9-467c-bdb8-22652b7842f0</errorID>
      <errorWord>)</errorWord>
      <group>L1_Format</group>
      <groupName>格式问题</groupName>
      <ability>L2_HalfPunc_CN</ability>
      <abilityName>全半角问题</abilityName>
      <candidateList>
        <item>）</item>
      </candidateList>
      <explain>文本全半角错误。</explain>
      <paraID>7728EE2F</paraID>
      <start>99</start>
      <end>100</end>
      <status>unmodified</status>
      <modifiedWord/>
      <trackRevisions>false</trackRevisions>
    </reviewItem>
    <reviewItem>
      <errorID>51c2496b-4f49-48dd-886b-60118ce748cb</errorID>
      <errorWord>,</errorWord>
      <group>L1_Format</group>
      <groupName>格式问题</groupName>
      <ability>L2_HalfPunc_CN</ability>
      <abilityName>全半角问题</abilityName>
      <candidateList>
        <item>，</item>
      </candidateList>
      <explain>文本全半角错误。</explain>
      <paraID>76534E04</paraID>
      <start>16</start>
      <end>17</end>
      <status>unmodified</status>
      <modifiedWord/>
      <trackRevisions>false</trackRevisions>
    </reviewItem>
    <reviewItem>
      <errorID>7a032732-e9e6-43ca-aa19-7f0f1e2afca0</errorID>
      <errorWord>,</errorWord>
      <group>L1_Format</group>
      <groupName>格式问题</groupName>
      <ability>L2_HalfPunc_CN</ability>
      <abilityName>全半角问题</abilityName>
      <candidateList>
        <item>，</item>
      </candidateList>
      <explain>文本全半角错误。</explain>
      <paraID>26AC8440</paraID>
      <start>16</start>
      <end>17</end>
      <status>unmodified</status>
      <modifiedWord/>
      <trackRevisions>false</trackRevisions>
    </reviewItem>
    <reviewItem>
      <errorID>9c5b08d1-5510-453b-98fc-d3178bb09f5b</errorID>
      <errorWord>以为</errorWord>
      <group>L1_Word</group>
      <groupName>字词问题</groupName>
      <ability>L2_Typo</ability>
      <abilityName>字词错误</abilityName>
      <candidateList>
        <item>以</item>
      </candidateList>
      <explain/>
      <paraID>26AC8440</paraID>
      <start>22</start>
      <end>24</end>
      <status>unmodified</status>
      <modifiedWord/>
      <trackRevisions>false</trackRevisions>
    </reviewItem>
    <reviewItem>
      <errorID>9fb9d324-9fee-4861-b78f-7983c963a8eb</errorID>
      <errorWord>,</errorWord>
      <group>L1_Format</group>
      <groupName>格式问题</groupName>
      <ability>L2_HalfPunc_CN</ability>
      <abilityName>全半角问题</abilityName>
      <candidateList>
        <item>，</item>
      </candidateList>
      <explain>文本全半角错误。</explain>
      <paraID>3412CF25</paraID>
      <start>15</start>
      <end>16</end>
      <status>unmodified</status>
      <modifiedWord/>
      <trackRevisions>false</trackRevisions>
    </reviewItem>
    <reviewItem>
      <errorID>ae5d032d-5fa2-456f-b748-41ac6060c482</errorID>
      <errorWord>,</errorWord>
      <group>L1_Format</group>
      <groupName>格式问题</groupName>
      <ability>L2_HalfPunc_CN</ability>
      <abilityName>全半角问题</abilityName>
      <candidateList>
        <item>，</item>
      </candidateList>
      <explain>文本全半角错误。</explain>
      <paraID> F2B5A39</paraID>
      <start>42</start>
      <end>43</end>
      <status>unmodified</status>
      <modifiedWord/>
      <trackRevisions>false</trackRevisions>
    </reviewItem>
    <reviewItem>
      <errorID>5a556968-f38c-4819-b104-ff4d5f89514c</errorID>
      <errorWord>,</errorWord>
      <group>L1_Format</group>
      <groupName>格式问题</groupName>
      <ability>L2_HalfPunc_CN</ability>
      <abilityName>全半角问题</abilityName>
      <candidateList>
        <item>，</item>
      </candidateList>
      <explain>文本全半角错误。</explain>
      <paraID>1C3BEC84</paraID>
      <start>12</start>
      <end>13</end>
      <status>unmodified</status>
      <modifiedWord/>
      <trackRevisions>false</trackRevisions>
    </reviewItem>
    <reviewItem>
      <errorID>2ec6ef10-a204-4785-a610-8d5ddb003404</errorID>
      <errorWord>,</errorWord>
      <group>L1_Format</group>
      <groupName>格式问题</groupName>
      <ability>L2_HalfPunc_CN</ability>
      <abilityName>全半角问题</abilityName>
      <candidateList>
        <item>，</item>
      </candidateList>
      <explain>文本全半角错误。</explain>
      <paraID>410CBEFD</paraID>
      <start>137</start>
      <end>138</end>
      <status>unmodified</status>
      <modifiedWord/>
      <trackRevisions>false</trackRevisions>
    </reviewItem>
    <reviewItem>
      <errorID>53db844d-4bd1-4dcc-87aa-bdc4a93a9fea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4881AB18</paraID>
      <start>0</start>
      <end>2</end>
      <status>unmodified</status>
      <modifiedWord/>
      <trackRevisions>false</trackRevisions>
    </reviewItem>
    <reviewItem>
      <errorID>f8e78903-245e-4248-9f14-24d02d8e6836</errorID>
      <errorWord>,</errorWord>
      <group>L1_Format</group>
      <groupName>格式问题</groupName>
      <ability>L2_HalfPunc_CN</ability>
      <abilityName>全半角问题</abilityName>
      <candidateList>
        <item>，</item>
      </candidateList>
      <explain>文本全半角错误。</explain>
      <paraID>60FC9120</paraID>
      <start>34</start>
      <end>35</end>
      <status>unmodified</status>
      <modifiedWord/>
      <trackRevisions>false</trackRevisions>
    </reviewItem>
    <reviewItem>
      <errorID>dc9cdda9-1758-48f3-9f1e-17faa3cf2b63</errorID>
      <errorWord>请</errorWord>
      <group>L1_Word</group>
      <groupName>字词问题</groupName>
      <ability>L2_Typo</ability>
      <abilityName>字词错误</abilityName>
      <candidateList>
        <item>清</item>
      </candidateList>
      <explain>存在发音相同字词的误用。</explain>
      <paraID>73963499</paraID>
      <start>1</start>
      <end>2</end>
      <status>unmodified</status>
      <modifiedWord/>
      <trackRevisions>false</trackRevisions>
    </reviewItem>
    <reviewItem>
      <errorID>c5f1b698-2030-4ee0-a4b0-fca9df8653ef</errorID>
      <errorWord>期</errorWord>
      <group>L1_Word</group>
      <groupName>字词问题</groupName>
      <ability>L2_Typo</ability>
      <abilityName>字词错误</abilityName>
      <candidateList>
        <item>期间</item>
      </candidateList>
      <explain/>
      <paraID>42F1786D</paraID>
      <start>16</start>
      <end>17</end>
      <status>unmodified</status>
      <modifiedWord/>
      <trackRevisions>false</trackRevisions>
    </reviewItem>
    <reviewItem>
      <errorID>602f9c7a-5bf4-4844-9c62-8817d51ea89a</errorID>
      <errorWord>(</errorWord>
      <group>L1_Format</group>
      <groupName>格式问题</groupName>
      <ability>L2_HalfPunc_CN</ability>
      <abilityName>全半角问题</abilityName>
      <candidateList>
        <item>（</item>
      </candidateList>
      <explain>文本全半角错误。</explain>
      <paraID>22631099</paraID>
      <start>32</start>
      <end>33</end>
      <status>unmodified</status>
      <modifiedWord/>
      <trackRevisions>false</trackRevisions>
    </reviewItem>
    <reviewItem>
      <errorID>0e41a5f4-3aef-4c90-9507-5d485241639b</errorID>
      <errorWord>),</errorWord>
      <group>L1_Format</group>
      <groupName>格式问题</groupName>
      <ability>L2_HalfPunc_CN</ability>
      <abilityName>全半角问题</abilityName>
      <candidateList>
        <item>），</item>
      </candidateList>
      <explain>文本全半角错误。</explain>
      <paraID>700C0DAE</paraID>
      <start>9</start>
      <end>11</end>
      <status>unmodified</status>
      <modifiedWord/>
      <trackRevisions>false</trackRevisions>
    </reviewItem>
    <reviewItem>
      <errorID>b34af65d-111a-4c88-83ce-b5ae56a8b77c</errorID>
      <errorWord>,</errorWord>
      <group>L1_Format</group>
      <groupName>格式问题</groupName>
      <ability>L2_HalfPunc_CN</ability>
      <abilityName>全半角问题</abilityName>
      <candidateList>
        <item>，</item>
      </candidateList>
      <explain>文本全半角错误。</explain>
      <paraID>7DFF7766</paraID>
      <start>37</start>
      <end>38</end>
      <status>unmodified</status>
      <modifiedWord/>
      <trackRevisions>false</trackRevisions>
    </reviewItem>
    <reviewItem>
      <errorID>0bce3c1d-2ac2-4179-a02a-00900146c598</errorID>
      <errorWord>社会主</errorWord>
      <group>L1_Word</group>
      <groupName>字词问题</groupName>
      <ability>L2_Typo</ability>
      <abilityName>字词错误</abilityName>
      <candidateList>
        <item>社会主义</item>
      </candidateList>
      <explain/>
      <paraID>2B92B638</paraID>
      <start>33</start>
      <end>36</end>
      <status>unmodified</status>
      <modifiedWord/>
      <trackRevisions>false</trackRevisions>
    </reviewItem>
    <reviewItem>
      <errorID>b1525ceb-4a4b-45d2-9cd3-da3321a7750a</errorID>
      <errorWord>(</errorWord>
      <group>L1_Format</group>
      <groupName>格式问题</groupName>
      <ability>L2_HalfPunc_CN</ability>
      <abilityName>全半角问题</abilityName>
      <candidateList>
        <item>（</item>
      </candidateList>
      <explain>文本全半角错误。</explain>
      <paraID> 1CB1DFF</paraID>
      <start>19</start>
      <end>20</end>
      <status>unmodified</status>
      <modifiedWord/>
      <trackRevisions>false</trackRevisions>
    </reviewItem>
    <reviewItem>
      <errorID>4e75cff6-d8b2-4117-8d94-c1f1644657a7</errorID>
      <errorWord>)</errorWord>
      <group>L1_Format</group>
      <groupName>格式问题</groupName>
      <ability>L2_HalfPunc_CN</ability>
      <abilityName>全半角问题</abilityName>
      <candidateList>
        <item>）</item>
      </candidateList>
      <explain>文本全半角错误。</explain>
      <paraID> 1CB1DFF</paraID>
      <start>29</start>
      <end>30</end>
      <status>unmodified</status>
      <modifiedWord/>
      <trackRevisions>false</trackRevisions>
    </reviewItem>
    <reviewItem>
      <errorID>4f238e30-3a99-4491-bc5b-15836d25f0ca</errorID>
      <errorWord>(</errorWord>
      <group>L1_Format</group>
      <groupName>格式问题</groupName>
      <ability>L2_HalfPunc_CN</ability>
      <abilityName>全半角问题</abilityName>
      <candidateList>
        <item>（</item>
      </candidateList>
      <explain>文本全半角错误。</explain>
      <paraID> 1CB1DFF</paraID>
      <start>48</start>
      <end>49</end>
      <status>unmodified</status>
      <modifiedWord/>
      <trackRevisions>false</trackRevisions>
    </reviewItem>
    <reviewItem>
      <errorID>6bb7717f-357e-41ba-8b77-b394f4a86077</errorID>
      <errorWord>)</errorWord>
      <group>L1_Format</group>
      <groupName>格式问题</groupName>
      <ability>L2_HalfPunc_CN</ability>
      <abilityName>全半角问题</abilityName>
      <candidateList>
        <item>）</item>
      </candidateList>
      <explain>文本全半角错误。</explain>
      <paraID> 1CB1DFF</paraID>
      <start>58</start>
      <end>59</end>
      <status>unmodified</status>
      <modifiedWord/>
      <trackRevisions>false</trackRevisions>
    </reviewItem>
    <reviewItem>
      <errorID>621d650d-8540-42f9-a174-5b2c14cef2a7</errorID>
      <errorWord>线路线路</errorWord>
      <group>L1_Word</group>
      <groupName>字词问题</groupName>
      <ability>L2_Typo</ability>
      <abilityName>字词错误</abilityName>
      <candidateList>
        <item>线路</item>
      </candidateList>
      <explain/>
      <paraID>7D3634B6</paraID>
      <start>21</start>
      <end>25</end>
      <status>unmodified</status>
      <modifiedWord/>
      <trackRevisions>false</trackRevisions>
    </reviewItem>
    <reviewItem>
      <errorID>142278f9-237f-4dac-a460-0cfd4f622528</errorID>
      <errorWord>~</errorWord>
      <group>L1_Format</group>
      <groupName>格式问题</groupName>
      <ability>L2_HalfPunc_CN</ability>
      <abilityName>全半角问题</abilityName>
      <candidateList>
        <item>～</item>
      </candidateList>
      <explain>文本全半角错误。</explain>
      <paraID>7D3634B6</paraID>
      <start>101</start>
      <end>102</end>
      <status>unmodified</status>
      <modifiedWord/>
      <trackRevisions>false</trackRevisions>
    </reviewItem>
    <reviewItem>
      <errorID>939b4d09-60cd-4dd0-ba65-3b3e8464aba3</errorID>
      <errorWord>(</errorWord>
      <group>L1_Format</group>
      <groupName>格式问题</groupName>
      <ability>L2_HalfPunc_CN</ability>
      <abilityName>全半角问题</abilityName>
      <candidateList>
        <item>（</item>
      </candidateList>
      <explain>文本全半角错误。</explain>
      <paraID>254C8679</paraID>
      <start>4</start>
      <end>5</end>
      <status>unmodified</status>
      <modifiedWord/>
      <trackRevisions>false</trackRevisions>
    </reviewItem>
    <reviewItem>
      <errorID>68c95d46-26e8-4b73-ab01-77f8138e45f8</errorID>
      <errorWord>)</errorWord>
      <group>L1_Format</group>
      <groupName>格式问题</groupName>
      <ability>L2_HalfPunc_CN</ability>
      <abilityName>全半角问题</abilityName>
      <candidateList>
        <item>）</item>
      </candidateList>
      <explain>文本全半角错误。</explain>
      <paraID>254C8679</paraID>
      <start>6</start>
      <end>7</end>
      <status>unmodified</status>
      <modifiedWord/>
      <trackRevisions>false</trackRevisions>
    </reviewItem>
    <reviewItem>
      <errorID>aa5228c6-394c-4d21-b856-07ca6519ed7f</errorID>
      <errorWord>,</errorWord>
      <group>L1_Format</group>
      <groupName>格式问题</groupName>
      <ability>L2_HalfPunc_CN</ability>
      <abilityName>全半角问题</abilityName>
      <candidateList>
        <item>，</item>
      </candidateList>
      <explain>文本全半角错误。</explain>
      <paraID>254C8679</paraID>
      <start>7</start>
      <end>8</end>
      <status>unmodified</status>
      <modifiedWord/>
      <trackRevisions>false</trackRevisions>
    </reviewItem>
    <reviewItem>
      <errorID>4ef544e5-5620-4d3d-809f-b303d7e4213d</errorID>
      <errorWord>(</errorWord>
      <group>L1_Format</group>
      <groupName>格式问题</groupName>
      <ability>L2_HalfPunc_CN</ability>
      <abilityName>全半角问题</abilityName>
      <candidateList>
        <item>（</item>
      </candidateList>
      <explain>文本全半角错误。</explain>
      <paraID>254C8679</paraID>
      <start>10</start>
      <end>11</end>
      <status>unmodified</status>
      <modifiedWord/>
      <trackRevisions>false</trackRevisions>
    </reviewItem>
    <reviewItem>
      <errorID>e5741d9b-51ca-4069-b523-2a238b4ecddd</errorID>
      <errorWord>)</errorWord>
      <group>L1_Format</group>
      <groupName>格式问题</groupName>
      <ability>L2_HalfPunc_CN</ability>
      <abilityName>全半角问题</abilityName>
      <candidateList>
        <item>）</item>
      </candidateList>
      <explain>文本全半角错误。</explain>
      <paraID>254C8679</paraID>
      <start>19</start>
      <end>20</end>
      <status>unmodified</status>
      <modifiedWord/>
      <trackRevisions>false</trackRevisions>
    </reviewItem>
    <reviewItem>
      <errorID>8a81dd5d-ed64-435a-83b2-4507e28f3e05</errorID>
      <errorWord>(</errorWord>
      <group>L1_Format</group>
      <groupName>格式问题</groupName>
      <ability>L2_HalfPunc_CN</ability>
      <abilityName>全半角问题</abilityName>
      <candidateList>
        <item>（</item>
      </candidateList>
      <explain>文本全半角错误。</explain>
      <paraID>254C8679</paraID>
      <start>23</start>
      <end>24</end>
      <status>unmodified</status>
      <modifiedWord/>
      <trackRevisions>false</trackRevisions>
    </reviewItem>
    <reviewItem>
      <errorID>9b5c6b49-9f04-4a07-a9c5-a21e4994eae8</errorID>
      <errorWord>)</errorWord>
      <group>L1_Format</group>
      <groupName>格式问题</groupName>
      <ability>L2_HalfPunc_CN</ability>
      <abilityName>全半角问题</abilityName>
      <candidateList>
        <item>）</item>
      </candidateList>
      <explain>文本全半角错误。</explain>
      <paraID>254C8679</paraID>
      <start>27</start>
      <end>28</end>
      <status>unmodified</status>
      <modifiedWord/>
      <trackRevisions>false</trackRevisions>
    </reviewItem>
    <reviewItem>
      <errorID>9124c67a-3bf0-4cf0-829b-c87591b5e67b</errorID>
      <errorWord>,</errorWord>
      <group>L1_Format</group>
      <groupName>格式问题</groupName>
      <ability>L2_HalfPunc_CN</ability>
      <abilityName>全半角问题</abilityName>
      <candidateList>
        <item>，</item>
      </candidateList>
      <explain>文本全半角错误。</explain>
      <paraID>254C8679</paraID>
      <start>28</start>
      <end>29</end>
      <status>unmodified</status>
      <modifiedWord/>
      <trackRevisions>false</trackRevisions>
    </reviewItem>
    <reviewItem>
      <errorID>cf39b939-5757-4710-bb65-4f75c6076363</errorID>
      <errorWord>(</errorWord>
      <group>L1_Format</group>
      <groupName>格式问题</groupName>
      <ability>L2_HalfPunc_CN</ability>
      <abilityName>全半角问题</abilityName>
      <candidateList>
        <item>（</item>
      </candidateList>
      <explain>文本全半角错误。</explain>
      <paraID>186C73E9</paraID>
      <start>5</start>
      <end>6</end>
      <status>unmodified</status>
      <modifiedWord/>
      <trackRevisions>false</trackRevisions>
    </reviewItem>
    <reviewItem>
      <errorID>1c7d807c-33eb-459d-bbb1-a8fb117cf257</errorID>
      <errorWord>)</errorWord>
      <group>L1_Format</group>
      <groupName>格式问题</groupName>
      <ability>L2_HalfPunc_CN</ability>
      <abilityName>全半角问题</abilityName>
      <candidateList>
        <item>）</item>
      </candidateList>
      <explain>文本全半角错误。</explain>
      <paraID>186C73E9</paraID>
      <start>11</start>
      <end>12</end>
      <status>unmodified</status>
      <modifiedWord/>
      <trackRevisions>false</trackRevisions>
    </reviewItem>
    <reviewItem>
      <errorID>56540a70-427a-4208-bca8-f1bc3136d972</errorID>
      <errorWord>,</errorWord>
      <group>L1_Format</group>
      <groupName>格式问题</groupName>
      <ability>L2_HalfPunc_CN</ability>
      <abilityName>全半角问题</abilityName>
      <candidateList>
        <item>，</item>
      </candidateList>
      <explain>文本全半角错误。</explain>
      <paraID>186C73E9</paraID>
      <start>12</start>
      <end>13</end>
      <status>unmodified</status>
      <modifiedWord/>
      <trackRevisions>false</trackRevisions>
    </reviewItem>
    <reviewItem>
      <errorID>8f705c87-e7a8-4ab0-b9e0-202769074495</errorID>
      <errorWord>(</errorWord>
      <group>L1_Format</group>
      <groupName>格式问题</groupName>
      <ability>L2_HalfPunc_CN</ability>
      <abilityName>全半角问题</abilityName>
      <candidateList>
        <item>（</item>
      </candidateList>
      <explain>文本全半角错误。</explain>
      <paraID>186C73E9</paraID>
      <start>34</start>
      <end>35</end>
      <status>unmodified</status>
      <modifiedWord/>
      <trackRevisions>false</trackRevisions>
    </reviewItem>
    <reviewItem>
      <errorID>db0ce792-2f11-449b-a0ad-2bdc26082074</errorID>
      <errorWord>)</errorWord>
      <group>L1_Format</group>
      <groupName>格式问题</groupName>
      <ability>L2_HalfPunc_CN</ability>
      <abilityName>全半角问题</abilityName>
      <candidateList>
        <item>）</item>
      </candidateList>
      <explain>文本全半角错误。</explain>
      <paraID>186C73E9</paraID>
      <start>40</start>
      <end>41</end>
      <status>unmodified</status>
      <modifiedWord/>
      <trackRevisions>false</trackRevisions>
    </reviewItem>
    <reviewItem>
      <errorID>91dbf124-f1d8-4f7d-bd7b-991d73b8b923</errorID>
      <errorWord>(</errorWord>
      <group>L1_Format</group>
      <groupName>格式问题</groupName>
      <ability>L2_HalfPunc_CN</ability>
      <abilityName>全半角问题</abilityName>
      <candidateList>
        <item>（</item>
      </candidateList>
      <explain>文本全半角错误。</explain>
      <paraID>186C73E9</paraID>
      <start>64</start>
      <end>65</end>
      <status>unmodified</status>
      <modifiedWord/>
      <trackRevisions>false</trackRevisions>
    </reviewItem>
    <reviewItem>
      <errorID>abeb0715-239e-4c35-bd6d-2a9bfa3b8ebe</errorID>
      <errorWord>)</errorWord>
      <group>L1_Format</group>
      <groupName>格式问题</groupName>
      <ability>L2_HalfPunc_CN</ability>
      <abilityName>全半角问题</abilityName>
      <candidateList>
        <item>）</item>
      </candidateList>
      <explain>文本全半角错误。</explain>
      <paraID>186C73E9</paraID>
      <start>73</start>
      <end>74</end>
      <status>unmodified</status>
      <modifiedWord/>
      <trackRevisions>false</trackRevisions>
    </reviewItem>
    <reviewItem>
      <errorID>7782205c-66aa-41d2-b691-4d6de50772bb</errorID>
      <errorWord>、和</errorWord>
      <group>L1_Word</group>
      <groupName>字词问题</groupName>
      <ability>L2_Typo</ability>
      <abilityName>字词错误</abilityName>
      <candidateList>
        <item>、</item>
      </candidateList>
      <explain/>
      <paraID>27EC56DF</paraID>
      <start>135</start>
      <end>137</end>
      <status>unmodified</status>
      <modifiedWord/>
      <trackRevisions>false</trackRevisions>
    </reviewItem>
    <reviewItem>
      <errorID>32e2c202-edf9-4713-96ad-f4dc437a9620</errorID>
      <errorWord>(</errorWord>
      <group>L1_Format</group>
      <groupName>格式问题</groupName>
      <ability>L2_HalfPunc_CN</ability>
      <abilityName>全半角问题</abilityName>
      <candidateList>
        <item>（</item>
      </candidateList>
      <explain>文本全半角错误。</explain>
      <paraID>75D9415D</paraID>
      <start>45</start>
      <end>46</end>
      <status>unmodified</status>
      <modifiedWord/>
      <trackRevisions>false</trackRevisions>
    </reviewItem>
    <reviewItem>
      <errorID>105c4edc-129f-429f-945f-e0d34fd94ee4</errorID>
      <errorWord>)</errorWord>
      <group>L1_Format</group>
      <groupName>格式问题</groupName>
      <ability>L2_HalfPunc_CN</ability>
      <abilityName>全半角问题</abilityName>
      <candidateList>
        <item>）</item>
      </candidateList>
      <explain>文本全半角错误。</explain>
      <paraID>75D9415D</paraID>
      <start>59</start>
      <end>60</end>
      <status>unmodified</status>
      <modifiedWord/>
      <trackRevisions>false</trackRevisions>
    </reviewItem>
    <reviewItem>
      <errorID>32f785c4-ca80-48b9-9ae0-f801c50f1c67</errorID>
      <errorWord>(</errorWord>
      <group>L1_Format</group>
      <groupName>格式问题</groupName>
      <ability>L2_HalfPunc_CN</ability>
      <abilityName>全半角问题</abilityName>
      <candidateList>
        <item>（</item>
      </candidateList>
      <explain>文本全半角错误。</explain>
      <paraID>45362A0D</paraID>
      <start>0</start>
      <end>1</end>
      <status>unmodified</status>
      <modifiedWord/>
      <trackRevisions>false</trackRevisions>
    </reviewItem>
    <reviewItem>
      <errorID>e176460a-a67b-4cb5-8946-d5464bc44d15</errorID>
      <errorWord>)</errorWord>
      <group>L1_Format</group>
      <groupName>格式问题</groupName>
      <ability>L2_HalfPunc_CN</ability>
      <abilityName>全半角问题</abilityName>
      <candidateList>
        <item>）</item>
      </candidateList>
      <explain>文本全半角错误。</explain>
      <paraID>45362A0D</paraID>
      <start>2</start>
      <end>3</end>
      <status>unmodified</status>
      <modifiedWord/>
      <trackRevisions>false</trackRevisions>
    </reviewItem>
    <reviewItem>
      <errorID>73d6c9b4-446c-4e9d-a700-3b72fbe23128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22E0C2E9</paraID>
      <start>0</start>
      <end>2</end>
      <status>unmodified</status>
      <modifiedWord/>
      <trackRevisions>false</trackRevisions>
    </reviewItem>
    <reviewItem>
      <errorID>c17e1e09-6437-4640-89f2-7dbef0f1287e</errorID>
      <errorWord>紫荆泽兰</errorWord>
      <group>L1_Word</group>
      <groupName>字词问题</groupName>
      <ability>L2_Typo</ability>
      <abilityName>字词错误</abilityName>
      <candidateList>
        <item>紫茎泽兰</item>
      </candidateList>
      <explain/>
      <paraID>22E0C2E9</paraID>
      <start>10</start>
      <end>14</end>
      <status>unmodified</status>
      <modifiedWord/>
      <trackRevisions>false</trackRevisions>
    </reviewItem>
    <reviewItem>
      <errorID>76b96c13-c0de-4174-81c1-e934f4aaf899</errorID>
      <errorWord>(</errorWord>
      <group>L1_Format</group>
      <groupName>格式问题</groupName>
      <ability>L2_HalfPunc_CN</ability>
      <abilityName>全半角问题</abilityName>
      <candidateList>
        <item>（</item>
      </candidateList>
      <explain>文本全半角错误。</explain>
      <paraID>4607A15D</paraID>
      <start>0</start>
      <end>1</end>
      <status>unmodified</status>
      <modifiedWord/>
      <trackRevisions>false</trackRevisions>
    </reviewItem>
    <reviewItem>
      <errorID>a1a6feae-2185-4b64-a466-01ef1ebfb75b</errorID>
      <errorWord>)</errorWord>
      <group>L1_Format</group>
      <groupName>格式问题</groupName>
      <ability>L2_HalfPunc_CN</ability>
      <abilityName>全半角问题</abilityName>
      <candidateList>
        <item>）</item>
      </candidateList>
      <explain>文本全半角错误。</explain>
      <paraID>4607A15D</paraID>
      <start>3</start>
      <end>4</end>
      <status>unmodified</status>
      <modifiedWord/>
      <trackRevisions>false</trackRevisions>
    </reviewItem>
    <reviewItem>
      <errorID>a9f372a4-fd2b-430d-a23d-f57f7e389c5d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19593021</paraID>
      <start>0</start>
      <end>2</end>
      <status>unmodified</status>
      <modifiedWord/>
      <trackRevisions>false</trackRevisions>
    </reviewItem>
    <reviewItem>
      <errorID>9a6ee7ab-dcac-4f48-a225-8b050ff88637</errorID>
      <errorWord>III</errorWord>
      <group>L1_Word</group>
      <groupName>字词问题</groupName>
      <ability>L2_Typo</ability>
      <abilityName>字词错误</abilityName>
      <candidateList>
        <item>Ⅲ</item>
      </candidateList>
      <explain/>
      <paraID> 38B7445</paraID>
      <start>0</start>
      <end>3</end>
      <status>unmodified</status>
      <modifiedWord/>
      <trackRevisions>false</trackRevisions>
    </reviewItem>
    <reviewItem>
      <errorID>8502fac1-a7ac-4337-9417-0f536faabdf6</errorID>
      <errorWord>(</errorWord>
      <group>L1_Format</group>
      <groupName>格式问题</groupName>
      <ability>L2_HalfPunc_CN</ability>
      <abilityName>全半角问题</abilityName>
      <candidateList>
        <item>（</item>
      </candidateList>
      <explain>文本全半角错误。</explain>
      <paraID>703DD639</paraID>
      <start>0</start>
      <end>1</end>
      <status>unmodified</status>
      <modifiedWord/>
      <trackRevisions>false</trackRevisions>
    </reviewItem>
    <reviewItem>
      <errorID>0cdc5056-1261-4ba0-8737-7133ab0a1958</errorID>
      <errorWord>III</errorWord>
      <group>L1_Word</group>
      <groupName>字词问题</groupName>
      <ability>L2_Typo</ability>
      <abilityName>字词错误</abilityName>
      <candidateList>
        <item>Ⅲ</item>
      </candidateList>
      <explain/>
      <paraID>703DD639</paraID>
      <start>1</start>
      <end>4</end>
      <status>unmodified</status>
      <modifiedWord/>
      <trackRevisions>false</trackRevisions>
    </reviewItem>
    <reviewItem>
      <errorID>00850f32-98f6-40ce-bdf6-6034f9ddc026</errorID>
      <errorWord>)</errorWord>
      <group>L1_Format</group>
      <groupName>格式问题</groupName>
      <ability>L2_HalfPunc_CN</ability>
      <abilityName>全半角问题</abilityName>
      <candidateList>
        <item>）</item>
      </candidateList>
      <explain>文本全半角错误。</explain>
      <paraID>703DD639</paraID>
      <start>4</start>
      <end>5</end>
      <status>unmodified</status>
      <modifiedWord/>
      <trackRevisions>false</trackRevisions>
    </reviewItem>
    <reviewItem>
      <errorID>b901ca74-ed2a-4222-8575-f14ac0d9b475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5A1A6EE2</paraID>
      <start>0</start>
      <end>2</end>
      <status>unmodified</status>
      <modifiedWord/>
      <trackRevisions>false</trackRevisions>
    </reviewItem>
    <reviewItem>
      <errorID>fc64e36e-9d71-45b5-a125-73c06db39932</errorID>
      <errorWord>(</errorWord>
      <group>L1_Format</group>
      <groupName>格式问题</groupName>
      <ability>L2_HalfPunc_CN</ability>
      <abilityName>全半角问题</abilityName>
      <candidateList>
        <item>（</item>
      </candidateList>
      <explain>文本全半角错误。</explain>
      <paraID>3E810433</paraID>
      <start>6</start>
      <end>7</end>
      <status>unmodified</status>
      <modifiedWord/>
      <trackRevisions>false</trackRevisions>
    </reviewItem>
    <reviewItem>
      <errorID>e135c61e-2df0-4135-9893-7b6224a03728</errorID>
      <errorWord>)</errorWord>
      <group>L1_Format</group>
      <groupName>格式问题</groupName>
      <ability>L2_HalfPunc_CN</ability>
      <abilityName>全半角问题</abilityName>
      <candidateList>
        <item>）</item>
      </candidateList>
      <explain>文本全半角错误。</explain>
      <paraID>3E810433</paraID>
      <start>39</start>
      <end>40</end>
      <status>unmodified</status>
      <modifiedWord/>
      <trackRevisions>false</trackRevisions>
    </reviewItem>
    <reviewItem>
      <errorID>5e48d927-e3e4-4047-8258-29aa858073ab</errorID>
      <errorWord>.</errorWord>
      <group>L1_Format</group>
      <groupName>格式问题</groupName>
      <ability>L2_HalfPunc_CN</ability>
      <abilityName>全半角问题</abilityName>
      <candidateList>
        <item>。</item>
      </candidateList>
      <explain>文本全半角错误。</explain>
      <paraID>745894E2</paraID>
      <start>8</start>
      <end>9</end>
      <status>unmodified</status>
      <modifiedWord/>
      <trackRevisions>false</trackRevisions>
    </reviewItem>
    <reviewItem>
      <errorID>c6a477a0-cd47-40b5-82bc-1ee22dbdbd6a</errorID>
      <errorWord>(1)、</errorWord>
      <group>L1_Punc</group>
      <groupName>标点问题</groupName>
      <ability>L2_Punc_CN</ability>
      <abilityName>标点符号问题</abilityName>
      <candidateList>
        <item>(1)</item>
      </candidateList>
      <explain>根据国标GB/T 15834-2011《标点符号用法》中的4.5.3.3节，带括号的汉字数字或阿拉伯数字表次序时，后面通常不加顿号。如“（一）指导思想”“（二）行动指南”。</explain>
      <paraID>745894E2</paraID>
      <start>13</start>
      <end>17</end>
      <status>unmodified</status>
      <modifiedWord/>
      <trackRevisions>false</trackRevisions>
    </reviewItem>
    <reviewItem>
      <errorID>a8460e5d-70ff-4ed4-a371-b4569986f3be</errorID>
      <errorWord>(</errorWord>
      <group>L1_Format</group>
      <groupName>格式问题</groupName>
      <ability>L2_HalfPunc_CN</ability>
      <abilityName>全半角问题</abilityName>
      <candidateList>
        <item>（</item>
      </candidateList>
      <explain>文本全半角错误。</explain>
      <paraID>745894E2</paraID>
      <start>17</start>
      <end>18</end>
      <status>unmodified</status>
      <modifiedWord/>
      <trackRevisions>false</trackRevisions>
    </reviewItem>
    <reviewItem>
      <errorID>2f2c15f4-92ee-43a8-ae9a-63b074f77d1b</errorID>
      <errorWord>)</errorWord>
      <group>L1_Format</group>
      <groupName>格式问题</groupName>
      <ability>L2_HalfPunc_CN</ability>
      <abilityName>全半角问题</abilityName>
      <candidateList>
        <item>）</item>
      </candidateList>
      <explain>文本全半角错误。</explain>
      <paraID>745894E2</paraID>
      <start>20</start>
      <end>21</end>
      <status>unmodified</status>
      <modifiedWord/>
      <trackRevisions>false</trackRevisions>
    </reviewItem>
    <reviewItem>
      <errorID>4757d6c6-2cde-4f35-ab9a-5eb91767ecf0</errorID>
      <errorWord>(</errorWord>
      <group>L1_Format</group>
      <groupName>格式问题</groupName>
      <ability>L2_HalfPunc_CN</ability>
      <abilityName>全半角问题</abilityName>
      <candidateList>
        <item>（</item>
      </candidateList>
      <explain>文本全半角错误。</explain>
      <paraID>745894E2</paraID>
      <start>22</start>
      <end>23</end>
      <status>unmodified</status>
      <modifiedWord/>
      <trackRevisions>false</trackRevisions>
    </reviewItem>
    <reviewItem>
      <errorID>8c77a669-c8d3-490c-8eab-05441d5fa43b</errorID>
      <errorWord>(一)、</errorWord>
      <group>L1_Punc</group>
      <groupName>标点问题</groupName>
      <ability>L2_Punc_CN</ability>
      <abilityName>标点符号问题</abilityName>
      <candidateList>
        <item>(一)</item>
      </candidateList>
      <explain>根据国标GB/T 15834-2011《标点符号用法》中的4.5.3.3节，带括号的汉字数字或阿拉伯数字表次序时，后面通常不加顿号。如“（一）指导思想”“（二）行动指南”。</explain>
      <paraID>745894E2</paraID>
      <start>33</start>
      <end>37</end>
      <status>unmodified</status>
      <modifiedWord/>
      <trackRevisions>false</trackRevisions>
    </reviewItem>
    <reviewItem>
      <errorID>3f4bf0ae-c327-4584-8b35-5d50e61f3e87</errorID>
      <errorWord>(二)、</errorWord>
      <group>L1_Punc</group>
      <groupName>标点问题</groupName>
      <ability>L2_Punc_CN</ability>
      <abilityName>标点符号问题</abilityName>
      <candidateList>
        <item>(二)</item>
      </candidateList>
      <explain>根据国标GB/T 15834-2011《标点符号用法》中的4.5.3.3节，带括号的汉字数字或阿拉伯数字表次序时，后面通常不加顿号。如“（一）指导思想”“（二）行动指南”。</explain>
      <paraID>745894E2</paraID>
      <start>37</start>
      <end>41</end>
      <status>unmodified</status>
      <modifiedWord/>
      <trackRevisions>false</trackRevisions>
    </reviewItem>
    <reviewItem>
      <errorID>0e634169-0b3f-4800-a73f-b78236a7610b</errorID>
      <errorWord>(</errorWord>
      <group>L1_Format</group>
      <groupName>格式问题</groupName>
      <ability>L2_HalfPunc_CN</ability>
      <abilityName>全半角问题</abilityName>
      <candidateList>
        <item>（</item>
      </candidateList>
      <explain>文本全半角错误。</explain>
      <paraID>745894E2</paraID>
      <start>41</start>
      <end>42</end>
      <status>unmodified</status>
      <modifiedWord/>
      <trackRevisions>false</trackRevisions>
    </reviewItem>
    <reviewItem>
      <errorID>05b05b89-82c2-4651-a13e-3dd51ec64ac0</errorID>
      <errorWord>)</errorWord>
      <group>L1_Format</group>
      <groupName>格式问题</groupName>
      <ability>L2_HalfPunc_CN</ability>
      <abilityName>全半角问题</abilityName>
      <candidateList>
        <item>）</item>
      </candidateList>
      <explain>文本全半角错误。</explain>
      <paraID>745894E2</paraID>
      <start>43</start>
      <end>44</end>
      <status>unmodified</status>
      <modifiedWord/>
      <trackRevisions>false</trackRevisions>
    </reviewItem>
    <reviewItem>
      <errorID>961cc11a-841e-4b9d-b536-04d7ef381fc6</errorID>
      <errorWord>(1)、</errorWord>
      <group>L1_Punc</group>
      <groupName>标点问题</groupName>
      <ability>L2_Punc_CN</ability>
      <abilityName>标点符号问题</abilityName>
      <candidateList>
        <item>(1)</item>
      </candidateList>
      <explain>根据国标GB/T 15834-2011《标点符号用法》中的4.5.3.3节，带括号的汉字数字或阿拉伯数字表次序时，后面通常不加顿号。如“（一）指导思想”“（二）行动指南”。</explain>
      <paraID>745894E2</paraID>
      <start>48</start>
      <end>52</end>
      <status>unmodified</status>
      <modifiedWord/>
      <trackRevisions>false</trackRevisions>
    </reviewItem>
    <reviewItem>
      <errorID>cec99939-60a6-484d-acfa-79db9644bdcb</errorID>
      <errorWord>(2)、</errorWord>
      <group>L1_Punc</group>
      <groupName>标点问题</groupName>
      <ability>L2_Punc_CN</ability>
      <abilityName>标点符号问题</abilityName>
      <candidateList>
        <item>(2)</item>
      </candidateList>
      <explain>根据国标GB/T 15834-2011《标点符号用法》中的4.5.3.3节，带括号的汉字数字或阿拉伯数字表次序时，后面通常不加顿号。如“（一）指导思想”“（二）行动指南”。</explain>
      <paraID>4E74441D</paraID>
      <start>0</start>
      <end>4</end>
      <status>unmodified</status>
      <modifiedWord/>
      <trackRevisions>false</trackRevisions>
    </reviewItem>
    <reviewItem>
      <errorID>34814f85-222f-4c5d-9b4a-0940fb06066c</errorID>
      <errorWord>(</errorWord>
      <group>L1_Format</group>
      <groupName>格式问题</groupName>
      <ability>L2_HalfPunc_CN</ability>
      <abilityName>全半角问题</abilityName>
      <candidateList>
        <item>（</item>
      </candidateList>
      <explain>文本全半角错误。</explain>
      <paraID>4E74441D</paraID>
      <start>4</start>
      <end>5</end>
      <status>unmodified</status>
      <modifiedWord/>
      <trackRevisions>false</trackRevisions>
    </reviewItem>
    <reviewItem>
      <errorID>fc0c25c5-1864-4785-8db5-e1f66f62f9ff</errorID>
      <errorWord>.….</errorWord>
      <group>L1_Punc</group>
      <groupName>标点问题</groupName>
      <ability>L2_Punc_CN</ability>
      <abilityName>标点符号问题</abilityName>
      <candidateList>
        <item>.</item>
      </candidateList>
      <explain/>
      <paraID>4E74441D</paraID>
      <start>7</start>
      <end>10</end>
      <status>unmodified</status>
      <modifiedWord/>
      <trackRevisions>false</trackRevisions>
    </reviewItem>
    <reviewItem>
      <errorID>38743276-fd2d-4be4-824b-4a787a6cc1bb</errorID>
      <errorWord>，</errorWord>
      <group>L1_Word</group>
      <groupName>字词问题</groupName>
      <ability>L2_Typo</ability>
      <abilityName>字词错误</abilityName>
      <candidateList>
        <item>，形</item>
      </candidateList>
      <explain/>
      <paraID>6262AA63</paraID>
      <start>107</start>
      <end>108</end>
      <status>unmodified</status>
      <modifiedWord/>
      <trackRevisions>false</trackRevisions>
    </reviewItem>
    <reviewItem>
      <errorID>ceb71c3c-fc57-4586-bb80-612bb6a39838</errorID>
      <errorWord>成</errorWord>
      <group>L1_Word</group>
      <groupName>字词问题</groupName>
      <ability>L2_Typo</ability>
      <abilityName>字词错误</abilityName>
      <candidateList>
        <item>呈</item>
      </candidateList>
      <explain/>
      <paraID>6262AA63</paraID>
      <start>108</start>
      <end>109</end>
      <status>unmodified</status>
      <modifiedWord/>
      <trackRevisions>false</trackRevisions>
    </reviewItem>
    <reviewItem>
      <errorID>23beed14-3ee8-46d9-83df-fba49ad976e4</errorID>
      <errorWord>~</errorWord>
      <group>L1_Format</group>
      <groupName>格式问题</groupName>
      <ability>L2_HalfPunc_CN</ability>
      <abilityName>全半角问题</abilityName>
      <candidateList>
        <item>～</item>
      </candidateList>
      <explain>文本全半角错误。</explain>
      <paraID>7E62741F</paraID>
      <start>19</start>
      <end>20</end>
      <status>unmodified</status>
      <modifiedWord/>
      <trackRevisions>false</trackRevisions>
    </reviewItem>
    <reviewItem>
      <errorID>bbaf53a9-7d7a-4061-a544-1a62dfa2f827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19BB46AD</paraID>
      <start>0</start>
      <end>4</end>
      <status>unmodified</status>
      <modifiedWord/>
      <trackRevisions>false</trackRevisions>
    </reviewItem>
    <reviewItem>
      <errorID>bdf71cc8-1d94-4698-b3eb-380ccd5bee16</errorID>
      <errorWord>~</errorWord>
      <group>L1_Format</group>
      <groupName>格式问题</groupName>
      <ability>L2_HalfPunc_CN</ability>
      <abilityName>全半角问题</abilityName>
      <candidateList>
        <item>～</item>
      </candidateList>
      <explain>文本全半角错误。</explain>
      <paraID>53817ABF</paraID>
      <start>28</start>
      <end>29</end>
      <status>unmodified</status>
      <modifiedWord/>
      <trackRevisions>false</trackRevisions>
    </reviewItem>
    <reviewItem>
      <errorID>2bf82cfa-97ed-4d21-bc70-8630217d6adf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78DD678B</paraID>
      <start>0</start>
      <end>2</end>
      <status>unmodified</status>
      <modifiedWord/>
      <trackRevisions>false</trackRevisions>
    </reviewItem>
    <reviewItem>
      <errorID>2e57c110-27bf-432c-ada1-ff7ff503a502</errorID>
      <errorWord>紫荆泽兰</errorWord>
      <group>L1_Word</group>
      <groupName>字词问题</groupName>
      <ability>L2_Typo</ability>
      <abilityName>字词错误</abilityName>
      <candidateList>
        <item>紫茎泽兰</item>
      </candidateList>
      <explain/>
      <paraID>78DD678B</paraID>
      <start>10</start>
      <end>14</end>
      <status>unmodified</status>
      <modifiedWord/>
      <trackRevisions>false</trackRevisions>
    </reviewItem>
    <reviewItem>
      <errorID>87ca6cc0-e970-47cd-bc10-b9fb01279f27</errorID>
      <errorWord>,</errorWord>
      <group>L1_Format</group>
      <groupName>格式问题</groupName>
      <ability>L2_HalfPunc_CN</ability>
      <abilityName>全半角问题</abilityName>
      <candidateList>
        <item>，</item>
      </candidateList>
      <explain>文本全半角错误。</explain>
      <paraID> 656887F</paraID>
      <start>7</start>
      <end>8</end>
      <status>unmodified</status>
      <modifiedWord/>
      <trackRevisions>false</trackRevisions>
    </reviewItem>
    <reviewItem>
      <errorID>57668320-bfbc-4e3e-86f5-4fd20f17f0e6</errorID>
      <errorWord>,</errorWord>
      <group>L1_Format</group>
      <groupName>格式问题</groupName>
      <ability>L2_HalfPunc_CN</ability>
      <abilityName>全半角问题</abilityName>
      <candidateList>
        <item>，</item>
      </candidateList>
      <explain>文本全半角错误。</explain>
      <paraID>2C375CB5</paraID>
      <start>15</start>
      <end>16</end>
      <status>unmodified</status>
      <modifiedWord/>
      <trackRevisions>false</trackRevisions>
    </reviewItem>
    <reviewItem>
      <errorID>ad287b56-dbfe-45c2-a1cc-93e898b36190</errorID>
      <errorWord>,</errorWord>
      <group>L1_Format</group>
      <groupName>格式问题</groupName>
      <ability>L2_HalfPunc_CN</ability>
      <abilityName>全半角问题</abilityName>
      <candidateList>
        <item>，</item>
      </candidateList>
      <explain>文本全半角错误。</explain>
      <paraID>2C375CB5</paraID>
      <start>23</start>
      <end>24</end>
      <status>unmodified</status>
      <modifiedWord/>
      <trackRevisions>false</trackRevisions>
    </reviewItem>
    <reviewItem>
      <errorID>47f8ffeb-4ee6-4c54-b1c0-9944d8bb37fa</errorID>
      <errorWord>,</errorWord>
      <group>L1_Format</group>
      <groupName>格式问题</groupName>
      <ability>L2_HalfPunc_CN</ability>
      <abilityName>全半角问题</abilityName>
      <candidateList>
        <item>，</item>
      </candidateList>
      <explain>文本全半角错误。</explain>
      <paraID>2C375CB5</paraID>
      <start>30</start>
      <end>31</end>
      <status>unmodified</status>
      <modifiedWord/>
      <trackRevisions>false</trackRevisions>
    </reviewItem>
    <reviewItem>
      <errorID>e8b5f775-01ce-4a0a-88ac-11a397b053be</errorID>
      <errorWord>,</errorWord>
      <group>L1_Format</group>
      <groupName>格式问题</groupName>
      <ability>L2_HalfPunc_CN</ability>
      <abilityName>全半角问题</abilityName>
      <candidateList>
        <item>，</item>
      </candidateList>
      <explain>文本全半角错误。</explain>
      <paraID>7E2C4F99</paraID>
      <start>19</start>
      <end>20</end>
      <status>unmodified</status>
      <modifiedWord/>
      <trackRevisions>false</trackRevisions>
    </reviewItem>
    <reviewItem>
      <errorID>a2077fae-f756-4aba-8a39-bb1a82e83e03</errorID>
      <errorWord>,</errorWord>
      <group>L1_Format</group>
      <groupName>格式问题</groupName>
      <ability>L2_HalfPunc_CN</ability>
      <abilityName>全半角问题</abilityName>
      <candidateList>
        <item>，</item>
      </candidateList>
      <explain>文本全半角错误。</explain>
      <paraID>67953E57</paraID>
      <start>49</start>
      <end>50</end>
      <status>unmodified</status>
      <modifiedWord/>
      <trackRevisions>false</trackRevisions>
    </reviewItem>
    <reviewItem>
      <errorID>85bdfc6d-d617-47d4-9bcc-ecef0e865558</errorID>
      <errorWord>~</errorWord>
      <group>L1_Format</group>
      <groupName>格式问题</groupName>
      <ability>L2_HalfPunc_CN</ability>
      <abilityName>全半角问题</abilityName>
      <candidateList>
        <item>～</item>
      </candidateList>
      <explain>文本全半角错误。</explain>
      <paraID>67953E57</paraID>
      <start>82</start>
      <end>83</end>
      <status>unmodified</status>
      <modifiedWord/>
      <trackRevisions>false</trackRevisions>
    </reviewItem>
    <reviewItem>
      <errorID>5b6fcf16-8866-406c-86c7-bff4da7009e7</errorID>
      <errorWord>,</errorWord>
      <group>L1_Format</group>
      <groupName>格式问题</groupName>
      <ability>L2_HalfPunc_CN</ability>
      <abilityName>全半角问题</abilityName>
      <candidateList>
        <item>，</item>
      </candidateList>
      <explain>文本全半角错误。</explain>
      <paraID>67953E57</paraID>
      <start>87</start>
      <end>88</end>
      <status>unmodified</status>
      <modifiedWord/>
      <trackRevisions>false</trackRevisions>
    </reviewItem>
    <reviewItem>
      <errorID>987103d4-0378-4f3c-b9ec-dd1d5bb2d8e3</errorID>
      <errorWord>,</errorWord>
      <group>L1_Format</group>
      <groupName>格式问题</groupName>
      <ability>L2_HalfPunc_CN</ability>
      <abilityName>全半角问题</abilityName>
      <candidateList>
        <item>，</item>
      </candidateList>
      <explain>文本全半角错误。</explain>
      <paraID>532186DA</paraID>
      <start>19</start>
      <end>20</end>
      <status>unmodified</status>
      <modifiedWord/>
      <trackRevisions>false</trackRevisions>
    </reviewItem>
    <reviewItem>
      <errorID>1d02debe-ee7c-4d9f-aa68-4f1b9bb32077</errorID>
      <errorWord>,</errorWord>
      <group>L1_Format</group>
      <groupName>格式问题</groupName>
      <ability>L2_HalfPunc_CN</ability>
      <abilityName>全半角问题</abilityName>
      <candidateList>
        <item>，</item>
      </candidateList>
      <explain>文本全半角错误。</explain>
      <paraID>532186DA</paraID>
      <start>26</start>
      <end>27</end>
      <status>unmodified</status>
      <modifiedWord/>
      <trackRevisions>false</trackRevisions>
    </reviewItem>
    <reviewItem>
      <errorID>2ef06957-2715-4ecb-828a-cd7513179245</errorID>
      <errorWord>萎陵菜</errorWord>
      <group>L1_Word</group>
      <groupName>字词问题</groupName>
      <ability>L2_Typo</ability>
      <abilityName>字词错误</abilityName>
      <candidateList>
        <item>委陵菜</item>
      </candidateList>
      <explain/>
      <paraID>63EB8384</paraID>
      <start>169</start>
      <end>172</end>
      <status>unmodified</status>
      <modifiedWord/>
      <trackRevisions>false</trackRevisions>
    </reviewItem>
    <reviewItem>
      <errorID>4e62a7d5-1ffb-43be-9eb0-052aa2c98f9f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2BED643F</paraID>
      <start>0</start>
      <end>4</end>
      <status>unmodified</status>
      <modifiedWord/>
      <trackRevisions>false</trackRevisions>
    </reviewItem>
    <reviewItem>
      <errorID>589347c5-7428-463b-a131-8ecd635575b2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47B85C0C</paraID>
      <start>0</start>
      <end>2</end>
      <status>unmodified</status>
      <modifiedWord/>
      <trackRevisions>false</trackRevisions>
    </reviewItem>
    <reviewItem>
      <errorID>442384fe-c3bb-4a66-b75e-8519bf8e6737</errorID>
      <errorWord>,</errorWord>
      <group>L1_Format</group>
      <groupName>格式问题</groupName>
      <ability>L2_HalfPunc_CN</ability>
      <abilityName>全半角问题</abilityName>
      <candidateList>
        <item>，</item>
      </candidateList>
      <explain>文本全半角错误。</explain>
      <paraID>3B28AA20</paraID>
      <start>22</start>
      <end>23</end>
      <status>unmodified</status>
      <modifiedWord/>
      <trackRevisions>false</trackRevisions>
    </reviewItem>
    <reviewItem>
      <errorID>2edb38c7-78fa-4099-ab2d-0b8443ead058</errorID>
      <errorWord>,</errorWord>
      <group>L1_Format</group>
      <groupName>格式问题</groupName>
      <ability>L2_HalfPunc_CN</ability>
      <abilityName>全半角问题</abilityName>
      <candidateList>
        <item>，</item>
      </candidateList>
      <explain>文本全半角错误。</explain>
      <paraID>3B28AA20</paraID>
      <start>37</start>
      <end>38</end>
      <status>unmodified</status>
      <modifiedWord/>
      <trackRevisions>false</trackRevisions>
    </reviewItem>
    <reviewItem>
      <errorID>5bed99e8-a2a1-456b-8fd4-f9dae8ac0afe</errorID>
      <errorWord>,</errorWord>
      <group>L1_Format</group>
      <groupName>格式问题</groupName>
      <ability>L2_HalfPunc_CN</ability>
      <abilityName>全半角问题</abilityName>
      <candidateList>
        <item>，</item>
      </candidateList>
      <explain>文本全半角错误。</explain>
      <paraID>3D313567</paraID>
      <start>50</start>
      <end>51</end>
      <status>unmodified</status>
      <modifiedWord/>
      <trackRevisions>false</trackRevisions>
    </reviewItem>
    <reviewItem>
      <errorID>19f5afed-0651-450c-bbfc-c6f18b001470</errorID>
      <errorWord>,</errorWord>
      <group>L1_Format</group>
      <groupName>格式问题</groupName>
      <ability>L2_HalfPunc_CN</ability>
      <abilityName>全半角问题</abilityName>
      <candidateList>
        <item>，</item>
      </candidateList>
      <explain>文本全半角错误。</explain>
      <paraID>3D313567</paraID>
      <start>58</start>
      <end>59</end>
      <status>unmodified</status>
      <modifiedWord/>
      <trackRevisions>false</trackRevisions>
    </reviewItem>
    <reviewItem>
      <errorID>a817fa9d-dec2-4d8c-9550-13597620d80b</errorID>
      <errorWord>,</errorWord>
      <group>L1_Format</group>
      <groupName>格式问题</groupName>
      <ability>L2_HalfPunc_CN</ability>
      <abilityName>全半角问题</abilityName>
      <candidateList>
        <item>，</item>
      </candidateList>
      <explain>文本全半角错误。</explain>
      <paraID>3D313567</paraID>
      <start>67</start>
      <end>68</end>
      <status>unmodified</status>
      <modifiedWord/>
      <trackRevisions>false</trackRevisions>
    </reviewItem>
    <reviewItem>
      <errorID>614cb74c-0da9-4795-a609-6185c87e326d</errorID>
      <errorWord>,</errorWord>
      <group>L1_Format</group>
      <groupName>格式问题</groupName>
      <ability>L2_HalfPunc_CN</ability>
      <abilityName>全半角问题</abilityName>
      <candidateList>
        <item>，</item>
      </candidateList>
      <explain>文本全半角错误。</explain>
      <paraID>1A526B2D</paraID>
      <start>11</start>
      <end>12</end>
      <status>unmodified</status>
      <modifiedWord/>
      <trackRevisions>false</trackRevisions>
    </reviewItem>
    <reviewItem>
      <errorID>f4e06577-1eb6-42a9-9b65-af135b5b12a2</errorID>
      <errorWord>~</errorWord>
      <group>L1_Format</group>
      <groupName>格式问题</groupName>
      <ability>L2_HalfPunc_CN</ability>
      <abilityName>全半角问题</abilityName>
      <candidateList>
        <item>～</item>
      </candidateList>
      <explain>文本全半角错误。</explain>
      <paraID>1A526B2D</paraID>
      <start>17</start>
      <end>18</end>
      <status>unmodified</status>
      <modifiedWord/>
      <trackRevisions>false</trackRevisions>
    </reviewItem>
    <reviewItem>
      <errorID>40c22b65-a89c-4cea-bc6a-46f5270b997e</errorID>
      <errorWord>,</errorWord>
      <group>L1_Format</group>
      <groupName>格式问题</groupName>
      <ability>L2_HalfPunc_CN</ability>
      <abilityName>全半角问题</abilityName>
      <candidateList>
        <item>，</item>
      </candidateList>
      <explain>文本全半角错误。</explain>
      <paraID>1A526B2D</paraID>
      <start>22</start>
      <end>23</end>
      <status>unmodified</status>
      <modifiedWord/>
      <trackRevisions>false</trackRevisions>
    </reviewItem>
    <reviewItem>
      <errorID>53e06562-aa2a-49bd-bd26-556cfe9b5f40</errorID>
      <errorWord>,</errorWord>
      <group>L1_Format</group>
      <groupName>格式问题</groupName>
      <ability>L2_HalfPunc_CN</ability>
      <abilityName>全半角问题</abilityName>
      <candidateList>
        <item>，</item>
      </candidateList>
      <explain>文本全半角错误。</explain>
      <paraID>1A526B2D</paraID>
      <start>29</start>
      <end>30</end>
      <status>unmodified</status>
      <modifiedWord/>
      <trackRevisions>false</trackRevisions>
    </reviewItem>
    <reviewItem>
      <errorID>1b3a249d-9576-4017-bb27-01e130a4191d</errorID>
      <errorWord>~</errorWord>
      <group>L1_Format</group>
      <groupName>格式问题</groupName>
      <ability>L2_HalfPunc_CN</ability>
      <abilityName>全半角问题</abilityName>
      <candidateList>
        <item>～</item>
      </candidateList>
      <explain>文本全半角错误。</explain>
      <paraID>1B9061D4</paraID>
      <start>10</start>
      <end>11</end>
      <status>unmodified</status>
      <modifiedWord/>
      <trackRevisions>false</trackRevisions>
    </reviewItem>
    <reviewItem>
      <errorID>78456a7b-0ac1-461e-97a9-278ffd8cef37</errorID>
      <errorWord>,</errorWord>
      <group>L1_Format</group>
      <groupName>格式问题</groupName>
      <ability>L2_HalfPunc_CN</ability>
      <abilityName>全半角问题</abilityName>
      <candidateList>
        <item>，</item>
      </candidateList>
      <explain>文本全半角错误。</explain>
      <paraID>1B9061D4</paraID>
      <start>13</start>
      <end>14</end>
      <status>unmodified</status>
      <modifiedWord/>
      <trackRevisions>false</trackRevisions>
    </reviewItem>
    <reviewItem>
      <errorID>ff9733ee-65e3-4c30-a186-52e693b2a957</errorID>
      <errorWord>,</errorWord>
      <group>L1_Format</group>
      <groupName>格式问题</groupName>
      <ability>L2_HalfPunc_CN</ability>
      <abilityName>全半角问题</abilityName>
      <candidateList>
        <item>，</item>
      </candidateList>
      <explain>文本全半角错误。</explain>
      <paraID>1B9061D4</paraID>
      <start>20</start>
      <end>21</end>
      <status>unmodified</status>
      <modifiedWord/>
      <trackRevisions>false</trackRevisions>
    </reviewItem>
    <reviewItem>
      <errorID>2ccd8df7-3ead-4108-86df-97773213fa8f</errorID>
      <errorWord>萎陵菜</errorWord>
      <group>L1_Word</group>
      <groupName>字词问题</groupName>
      <ability>L2_Typo</ability>
      <abilityName>字词错误</abilityName>
      <candidateList>
        <item>委陵菜</item>
      </candidateList>
      <explain/>
      <paraID>1B9061D4</paraID>
      <start>120</start>
      <end>123</end>
      <status>unmodified</status>
      <modifiedWord/>
      <trackRevisions>false</trackRevisions>
    </reviewItem>
    <reviewItem>
      <errorID>cf8bd521-c6d3-4e2f-a559-85fb9450c077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6906E6DD</paraID>
      <start>0</start>
      <end>4</end>
      <status>unmodified</status>
      <modifiedWord/>
      <trackRevisions>false</trackRevisions>
    </reviewItem>
    <reviewItem>
      <errorID>b9c9f9a1-0dd3-4b61-9495-c6fd9867d1a4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1711783C</paraID>
      <start>0</start>
      <end>2</end>
      <status>unmodified</status>
      <modifiedWord/>
      <trackRevisions>false</trackRevisions>
    </reviewItem>
    <reviewItem>
      <errorID>e702c898-8390-40b2-9193-ec431eb49817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1BEC8C25</paraID>
      <start>16</start>
      <end>17</end>
      <status>unmodified</status>
      <modifiedWord/>
      <trackRevisions>false</trackRevisions>
    </reviewItem>
    <reviewItem>
      <errorID>20719c68-0386-4f7f-b87c-39070a7a8f8d</errorID>
      <errorWord>,</errorWord>
      <group>L1_Format</group>
      <groupName>格式问题</groupName>
      <ability>L2_HalfPunc_CN</ability>
      <abilityName>全半角问题</abilityName>
      <candidateList>
        <item>，</item>
      </candidateList>
      <explain>文本全半角错误。</explain>
      <paraID>36F07575</paraID>
      <start>10</start>
      <end>11</end>
      <status>unmodified</status>
      <modifiedWord/>
      <trackRevisions>false</trackRevisions>
    </reviewItem>
    <reviewItem>
      <errorID>faeb5aa9-21e7-4312-9aeb-97b1df16765f</errorID>
      <errorWord>,</errorWord>
      <group>L1_Format</group>
      <groupName>格式问题</groupName>
      <ability>L2_HalfPunc_CN</ability>
      <abilityName>全半角问题</abilityName>
      <candidateList>
        <item>，</item>
      </candidateList>
      <explain>文本全半角错误。</explain>
      <paraID> AB94B76</paraID>
      <start>11</start>
      <end>12</end>
      <status>unmodified</status>
      <modifiedWord/>
      <trackRevisions>false</trackRevisions>
    </reviewItem>
    <reviewItem>
      <errorID>283c1095-b10e-4110-8cbe-02d60bde1382</errorID>
      <errorWord>,</errorWord>
      <group>L1_Format</group>
      <groupName>格式问题</groupName>
      <ability>L2_HalfPunc_CN</ability>
      <abilityName>全半角问题</abilityName>
      <candidateList>
        <item>，</item>
      </candidateList>
      <explain>文本全半角错误。</explain>
      <paraID> AB94B76</paraID>
      <start>20</start>
      <end>21</end>
      <status>unmodified</status>
      <modifiedWord/>
      <trackRevisions>false</trackRevisions>
    </reviewItem>
    <reviewItem>
      <errorID>4776971c-bfb2-4e62-96c3-7055f9aee672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66F94FC0</paraID>
      <start>0</start>
      <end>2</end>
      <status>unmodified</status>
      <modifiedWord/>
      <trackRevisions>false</trackRevisions>
    </reviewItem>
    <reviewItem>
      <errorID>ba7b0572-f82a-4e23-a244-ef07437a309d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2E07E7D5</paraID>
      <start>0</start>
      <end>2</end>
      <status>unmodified</status>
      <modifiedWord/>
      <trackRevisions>false</trackRevisions>
    </reviewItem>
    <reviewItem>
      <errorID>a64e63c1-2bf7-441b-a70c-4677701702b4</errorID>
      <errorWord>(</errorWord>
      <group>L1_Format</group>
      <groupName>格式问题</groupName>
      <ability>L2_HalfPunc_CN</ability>
      <abilityName>全半角问题</abilityName>
      <candidateList>
        <item>（</item>
      </candidateList>
      <explain>文本全半角错误。</explain>
      <paraID> 50461D6</paraID>
      <start>2</start>
      <end>3</end>
      <status>unmodified</status>
      <modifiedWord/>
      <trackRevisions>false</trackRevisions>
    </reviewItem>
    <reviewItem>
      <errorID>c0f89eee-b376-4d62-86ff-a83155045352</errorID>
      <errorWord>)</errorWord>
      <group>L1_Format</group>
      <groupName>格式问题</groupName>
      <ability>L2_HalfPunc_CN</ability>
      <abilityName>全半角问题</abilityName>
      <candidateList>
        <item>）</item>
      </candidateList>
      <explain>文本全半角错误。</explain>
      <paraID> 50461D6</paraID>
      <start>6</start>
      <end>7</end>
      <status>unmodified</status>
      <modifiedWord/>
      <trackRevisions>false</trackRevisions>
    </reviewItem>
    <reviewItem>
      <errorID>52fdbe05-c8d9-4ce6-8497-d15b877252eb</errorID>
      <errorWord>(</errorWord>
      <group>L1_Format</group>
      <groupName>格式问题</groupName>
      <ability>L2_HalfPunc_CN</ability>
      <abilityName>全半角问题</abilityName>
      <candidateList>
        <item>（</item>
      </candidateList>
      <explain>文本全半角错误。</explain>
      <paraID>30A9589B</paraID>
      <start>12</start>
      <end>13</end>
      <status>unmodified</status>
      <modifiedWord/>
      <trackRevisions>false</trackRevisions>
    </reviewItem>
    <reviewItem>
      <errorID>a765b692-69ce-49ce-8b4c-aad2a03ef8d9</errorID>
      <errorWord>)</errorWord>
      <group>L1_Format</group>
      <groupName>格式问题</groupName>
      <ability>L2_HalfPunc_CN</ability>
      <abilityName>全半角问题</abilityName>
      <candidateList>
        <item>）</item>
      </candidateList>
      <explain>文本全半角错误。</explain>
      <paraID>30A9589B</paraID>
      <start>14</start>
      <end>15</end>
      <status>unmodified</status>
      <modifiedWord/>
      <trackRevisions>false</trackRevisions>
    </reviewItem>
    <reviewItem>
      <errorID>090d462c-84b5-44b6-a37b-945fd43be834</errorID>
      <errorWord>灌从</errorWord>
      <group>L1_Word</group>
      <groupName>字词问题</groupName>
      <ability>L2_Typo</ability>
      <abilityName>字词错误</abilityName>
      <candidateList>
        <item>灌丛</item>
      </candidateList>
      <explain/>
      <paraID>789252E2</paraID>
      <start>3</start>
      <end>5</end>
      <status>unmodified</status>
      <modifiedWord/>
      <trackRevisions>false</trackRevisions>
    </reviewItem>
    <reviewItem>
      <errorID>28639a72-3a64-4ef1-8974-edca272dd250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58C90800</paraID>
      <start>0</start>
      <end>2</end>
      <status>unmodified</status>
      <modifiedWord/>
      <trackRevisions>false</trackRevisions>
    </reviewItem>
    <reviewItem>
      <errorID>767c151c-076d-4543-bf5f-a5a45fbdf2c5</errorID>
      <errorWord>(</errorWord>
      <group>L1_Format</group>
      <groupName>格式问题</groupName>
      <ability>L2_HalfPunc_CN</ability>
      <abilityName>全半角问题</abilityName>
      <candidateList>
        <item>（</item>
      </candidateList>
      <explain>文本全半角错误。</explain>
      <paraID>2E6653CE</paraID>
      <start>1</start>
      <end>2</end>
      <status>unmodified</status>
      <modifiedWord/>
      <trackRevisions>false</trackRevisions>
    </reviewItem>
    <reviewItem>
      <errorID>69ccc7ec-d926-4918-bb6d-0dfedbe8375f</errorID>
      <errorWord>),</errorWord>
      <group>L1_Format</group>
      <groupName>格式问题</groupName>
      <ability>L2_HalfPunc_CN</ability>
      <abilityName>全半角问题</abilityName>
      <candidateList>
        <item>），</item>
      </candidateList>
      <explain>文本全半角错误。</explain>
      <paraID>2E6653CE</paraID>
      <start>8</start>
      <end>10</end>
      <status>unmodified</status>
      <modifiedWord/>
      <trackRevisions>false</trackRevisions>
    </reviewItem>
    <reviewItem>
      <errorID>8e8cb467-f0bf-4479-bfd0-b5e615325b32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1097FECB</paraID>
      <start>0</start>
      <end>2</end>
      <status>unmodified</status>
      <modifiedWord/>
      <trackRevisions>false</trackRevisions>
    </reviewItem>
    <reviewItem>
      <errorID>e7d4c2ac-ce36-4e30-bfa8-80099094b174</errorID>
      <errorWord>)</errorWord>
      <group>L1_Format</group>
      <groupName>格式问题</groupName>
      <ability>L2_HalfPunc_CN</ability>
      <abilityName>全半角问题</abilityName>
      <candidateList>
        <item>）</item>
      </candidateList>
      <explain>文本全半角错误。</explain>
      <paraID>5151ADE1</paraID>
      <start>43</start>
      <end>44</end>
      <status>unmodified</status>
      <modifiedWord/>
      <trackRevisions>false</trackRevisions>
    </reviewItem>
    <reviewItem>
      <errorID>6c1d5e2a-59e7-4a74-a84c-9e287ceabe85</errorID>
      <errorWord>(</errorWord>
      <group>L1_Format</group>
      <groupName>格式问题</groupName>
      <ability>L2_HalfPunc_CN</ability>
      <abilityName>全半角问题</abilityName>
      <candidateList>
        <item>（</item>
      </candidateList>
      <explain>文本全半角错误。</explain>
      <paraID>5151ADE1</paraID>
      <start>70</start>
      <end>71</end>
      <status>unmodified</status>
      <modifiedWord/>
      <trackRevisions>false</trackRevisions>
    </reviewItem>
    <reviewItem>
      <errorID>33d9b79d-e7a2-4fb6-afdd-c8bf84763165</errorID>
      <errorWord>)</errorWord>
      <group>L1_Format</group>
      <groupName>格式问题</groupName>
      <ability>L2_HalfPunc_CN</ability>
      <abilityName>全半角问题</abilityName>
      <candidateList>
        <item>）</item>
      </candidateList>
      <explain>文本全半角错误。</explain>
      <paraID>5151ADE1</paraID>
      <start>82</start>
      <end>83</end>
      <status>unmodified</status>
      <modifiedWord/>
      <trackRevisions>false</trackRevisions>
    </reviewItem>
    <reviewItem>
      <errorID>e22bb078-1bd5-4609-8f4b-9116689851c0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6AD800B3</paraID>
      <start>0</start>
      <end>2</end>
      <status>unmodified</status>
      <modifiedWord/>
      <trackRevisions>false</trackRevisions>
    </reviewItem>
    <reviewItem>
      <errorID>aedcfd14-4292-498d-8f16-d158df09eab0</errorID>
      <errorWord>(1996)第65号</errorWord>
      <group>L1_Knowledge</group>
      <groupName>知识性问题</groupName>
      <ability>L2_Knowledge</ability>
      <abilityName>其他知识</abilityName>
      <candidateList>
        <item>〔1996〕65号</item>
      </candidateList>
      <explain>发文字号格式错误。</explain>
      <paraID>6B88883D</paraID>
      <start>14</start>
      <end>24</end>
      <status>unmodified</status>
      <modifiedWord/>
      <trackRevisions>false</trackRevisions>
    </reviewItem>
    <reviewItem>
      <errorID>5591d070-bcf1-45d8-9aa7-708dbe5837df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42D01D0E</paraID>
      <start>0</start>
      <end>2</end>
      <status>unmodified</status>
      <modifiedWord/>
      <trackRevisions>false</trackRevisions>
    </reviewItem>
    <reviewItem>
      <errorID>60917e36-3e32-4798-af02-270ffe9adf8d</errorID>
      <errorWord>淀粉植物淀粉植物</errorWord>
      <group>L1_Word</group>
      <groupName>字词问题</groupName>
      <ability>L2_Typo</ability>
      <abilityName>字词错误</abilityName>
      <candidateList>
        <item>淀粉植物</item>
      </candidateList>
      <explain/>
      <paraID>5E0D70FB</paraID>
      <start>1</start>
      <end>9</end>
      <status>unmodified</status>
      <modifiedWord/>
      <trackRevisions>false</trackRevisions>
    </reviewItem>
    <reviewItem>
      <errorID>5dfddf52-70cc-40fb-ab03-9f24e09290af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346C034D</paraID>
      <start>0</start>
      <end>2</end>
      <status>unmodified</status>
      <modifiedWord/>
      <trackRevisions>false</trackRevisions>
    </reviewItem>
    <reviewItem>
      <errorID>e2e80157-d83f-4ad3-8f60-56234a216776</errorID>
      <errorWord>(</errorWord>
      <group>L1_Format</group>
      <groupName>格式问题</groupName>
      <ability>L2_HalfPunc_CN</ability>
      <abilityName>全半角问题</abilityName>
      <candidateList>
        <item>（</item>
      </candidateList>
      <explain>文本全半角错误。</explain>
      <paraID>6280ADDB</paraID>
      <start>21</start>
      <end>22</end>
      <status>unmodified</status>
      <modifiedWord/>
      <trackRevisions>false</trackRevisions>
    </reviewItem>
    <reviewItem>
      <errorID>ff901923-59ff-4c4a-8517-d400ceb3a8e7</errorID>
      <errorWord>)</errorWord>
      <group>L1_Format</group>
      <groupName>格式问题</groupName>
      <ability>L2_HalfPunc_CN</ability>
      <abilityName>全半角问题</abilityName>
      <candidateList>
        <item>）</item>
      </candidateList>
      <explain>文本全半角错误。</explain>
      <paraID>6280ADDB</paraID>
      <start>26</start>
      <end>27</end>
      <status>unmodified</status>
      <modifiedWord/>
      <trackRevisions>false</trackRevisions>
    </reviewItem>
    <reviewItem>
      <errorID>49762846-3d56-4dce-a407-b9b980cc4873</errorID>
      <errorWord>(</errorWord>
      <group>L1_Format</group>
      <groupName>格式问题</groupName>
      <ability>L2_HalfPunc_CN</ability>
      <abilityName>全半角问题</abilityName>
      <candidateList>
        <item>（</item>
      </candidateList>
      <explain>文本全半角错误。</explain>
      <paraID>6280ADDB</paraID>
      <start>31</start>
      <end>32</end>
      <status>unmodified</status>
      <modifiedWord/>
      <trackRevisions>false</trackRevisions>
    </reviewItem>
    <reviewItem>
      <errorID>28de1bb8-4e1c-455e-9bbd-38452bddbc1f</errorID>
      <errorWord>)</errorWord>
      <group>L1_Format</group>
      <groupName>格式问题</groupName>
      <ability>L2_HalfPunc_CN</ability>
      <abilityName>全半角问题</abilityName>
      <candidateList>
        <item>）</item>
      </candidateList>
      <explain>文本全半角错误。</explain>
      <paraID>6280ADDB</paraID>
      <start>36</start>
      <end>37</end>
      <status>unmodified</status>
      <modifiedWord/>
      <trackRevisions>false</trackRevisions>
    </reviewItem>
    <reviewItem>
      <errorID>7e5e054c-cf25-400f-b0b3-8615c2c5bd5c</errorID>
      <errorWord>(</errorWord>
      <group>L1_Format</group>
      <groupName>格式问题</groupName>
      <ability>L2_HalfPunc_CN</ability>
      <abilityName>全半角问题</abilityName>
      <candidateList>
        <item>（</item>
      </candidateList>
      <explain>文本全半角错误。</explain>
      <paraID>179E48D4</paraID>
      <start>0</start>
      <end>1</end>
      <status>unmodified</status>
      <modifiedWord/>
      <trackRevisions>false</trackRevisions>
    </reviewItem>
    <reviewItem>
      <errorID>06c7e191-24e8-46fa-83f0-062f7fc42a1c</errorID>
      <errorWord>)</errorWord>
      <group>L1_Format</group>
      <groupName>格式问题</groupName>
      <ability>L2_HalfPunc_CN</ability>
      <abilityName>全半角问题</abilityName>
      <candidateList>
        <item>）</item>
      </candidateList>
      <explain>文本全半角错误。</explain>
      <paraID>179E48D4</paraID>
      <start>2</start>
      <end>3</end>
      <status>unmodified</status>
      <modifiedWord/>
      <trackRevisions>false</trackRevisions>
    </reviewItem>
    <reviewItem>
      <errorID>717ae1fd-1cef-4947-9f28-9d96ebfeca06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E8AF2F1</paraID>
      <start>0</start>
      <end>4</end>
      <status>unmodified</status>
      <modifiedWord/>
      <trackRevisions>false</trackRevisions>
    </reviewItem>
    <reviewItem>
      <errorID>9dd66a57-a9b3-437d-87c6-5b8e436e9ae6</errorID>
      <errorWord>II</errorWord>
      <group>L1_Knowledge</group>
      <groupName>知识性问题</groupName>
      <ability>L2_Knowledge</ability>
      <abilityName>其他知识</abilityName>
      <candidateList>
        <item>Ⅱ</item>
      </candidateList>
      <explain>中文环境下罗马数字格式错误。</explain>
      <paraID> D67E7E5</paraID>
      <start>0</start>
      <end>2</end>
      <status>unmodified</status>
      <modifiedWord/>
      <trackRevisions>false</trackRevisions>
    </reviewItem>
    <reviewItem>
      <errorID>bfad9c92-6f23-431b-bd98-e40a9c4d2b94</errorID>
      <errorWord>(</errorWord>
      <group>L1_Format</group>
      <groupName>格式问题</groupName>
      <ability>L2_HalfPunc_CN</ability>
      <abilityName>全半角问题</abilityName>
      <candidateList>
        <item>（</item>
      </candidateList>
      <explain>文本全半角错误。</explain>
      <paraID>79800D9C</paraID>
      <start>0</start>
      <end>1</end>
      <status>unmodified</status>
      <modifiedWord/>
      <trackRevisions>false</trackRevisions>
    </reviewItem>
    <reviewItem>
      <errorID>81653558-6775-4231-b837-b4eb2ea2e41c</errorID>
      <errorWord>)</errorWord>
      <group>L1_Format</group>
      <groupName>格式问题</groupName>
      <ability>L2_HalfPunc_CN</ability>
      <abilityName>全半角问题</abilityName>
      <candidateList>
        <item>）</item>
      </candidateList>
      <explain>文本全半角错误。</explain>
      <paraID>79800D9C</paraID>
      <start>3</start>
      <end>4</end>
      <status>unmodified</status>
      <modifiedWord/>
      <trackRevisions>false</trackRevisions>
    </reviewItem>
    <reviewItem>
      <errorID>d2177d53-9061-4e39-8f6b-1b0d1f9ae3f0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76E6D770</paraID>
      <start>0</start>
      <end>4</end>
      <status>unmodified</status>
      <modifiedWord/>
      <trackRevisions>false</trackRevisions>
    </reviewItem>
    <reviewItem>
      <errorID>d9d2d2ac-565e-45f0-9a4a-c56de864da5c</errorID>
      <errorWord>(</errorWord>
      <group>L1_Format</group>
      <groupName>格式问题</groupName>
      <ability>L2_HalfPunc_CN</ability>
      <abilityName>全半角问题</abilityName>
      <candidateList>
        <item>（</item>
      </candidateList>
      <explain>文本全半角错误。</explain>
      <paraID> F3580FF</paraID>
      <start>0</start>
      <end>1</end>
      <status>unmodified</status>
      <modifiedWord/>
      <trackRevisions>false</trackRevisions>
    </reviewItem>
    <reviewItem>
      <errorID>da329f9f-6098-4fe8-acd1-313318988958</errorID>
      <errorWord>)</errorWord>
      <group>L1_Format</group>
      <groupName>格式问题</groupName>
      <ability>L2_HalfPunc_CN</ability>
      <abilityName>全半角问题</abilityName>
      <candidateList>
        <item>）</item>
      </candidateList>
      <explain>文本全半角错误。</explain>
      <paraID> F3580FF</paraID>
      <start>2</start>
      <end>3</end>
      <status>unmodified</status>
      <modifiedWord/>
      <trackRevisions>false</trackRevisions>
    </reviewItem>
    <reviewItem>
      <errorID>8a09b7c1-bdcb-4c8c-8328-000bbad357fe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3E4AF8B</paraID>
      <start>0</start>
      <end>3</end>
      <status>unmodified</status>
      <modifiedWord/>
      <trackRevisions>false</trackRevisions>
    </reviewItem>
    <reviewItem>
      <errorID>43817b6c-4cf1-46f7-98db-e221952b9be1</errorID>
      <errorWord>工</errorWord>
      <group>L1_Word</group>
      <groupName>字词问题</groupName>
      <ability>L2_Typo</ability>
      <abilityName>字词错误</abilityName>
      <candidateList>
        <item>工种</item>
      </candidateList>
      <explain/>
      <paraID>60BC7552</paraID>
      <start>3</start>
      <end>4</end>
      <status>unmodified</status>
      <modifiedWord/>
      <trackRevisions>false</trackRevisions>
    </reviewItem>
    <reviewItem>
      <errorID>c2814777-9dc3-4b2b-ac39-988ca6b7e2cc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11CBF5D1</paraID>
      <start>0</start>
      <end>3</end>
      <status>unmodified</status>
      <modifiedWord/>
      <trackRevisions>false</trackRevisions>
    </reviewItem>
    <reviewItem>
      <errorID>205af05b-ff6f-46ad-b1d7-343997a1e53e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1C72F36C</paraID>
      <start>0</start>
      <end>3</end>
      <status>unmodified</status>
      <modifiedWord/>
      <trackRevisions>false</trackRevisions>
    </reviewItem>
    <reviewItem>
      <errorID>46362555-e2b7-4b69-86b0-f11bfd0e08f6</errorID>
      <errorWord>线路线路</errorWord>
      <group>L1_Word</group>
      <groupName>字词问题</groupName>
      <ability>L2_Typo</ability>
      <abilityName>字词错误</abilityName>
      <candidateList>
        <item>线路</item>
      </candidateList>
      <explain/>
      <paraID>69BEC5FC</paraID>
      <start>21</start>
      <end>25</end>
      <status>unmodified</status>
      <modifiedWord/>
      <trackRevisions>false</trackRevisions>
    </reviewItem>
    <reviewItem>
      <errorID>1f85d9d3-a363-4f74-b47a-84f7ba843c5e</errorID>
      <errorWord>~</errorWord>
      <group>L1_Format</group>
      <groupName>格式问题</groupName>
      <ability>L2_HalfPunc_CN</ability>
      <abilityName>全半角问题</abilityName>
      <candidateList>
        <item>～</item>
      </candidateList>
      <explain>文本全半角错误。</explain>
      <paraID>17FC4FC7</paraID>
      <start>29</start>
      <end>30</end>
      <status>unmodified</status>
      <modifiedWord/>
      <trackRevisions>false</trackRevisions>
    </reviewItem>
    <reviewItem>
      <errorID>fb3bbd7d-5694-433f-a13e-29ecc7cb8f88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130A6F0D</paraID>
      <start>0</start>
      <end>3</end>
      <status>unmodified</status>
      <modifiedWord/>
      <trackRevisions>false</trackRevisions>
    </reviewItem>
    <reviewItem>
      <errorID>e17a2dc1-2c76-4a87-94aa-deced80a949b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3B897A88</paraID>
      <start>0</start>
      <end>3</end>
      <status>unmodified</status>
      <modifiedWord/>
      <trackRevisions>false</trackRevisions>
    </reviewItem>
    <reviewItem>
      <errorID>311684b8-78e5-4a1c-b0f8-0e8814b6c036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102F6FAA</paraID>
      <start>0</start>
      <end>3</end>
      <status>unmodified</status>
      <modifiedWord/>
      <trackRevisions>false</trackRevisions>
    </reviewItem>
    <reviewItem>
      <errorID>0b0fa93b-7f15-4841-8753-b778966b5a95</errorID>
      <errorWord>(</errorWord>
      <group>L1_Format</group>
      <groupName>格式问题</groupName>
      <ability>L2_HalfPunc_CN</ability>
      <abilityName>全半角问题</abilityName>
      <candidateList>
        <item>（</item>
      </candidateList>
      <explain>文本全半角错误。</explain>
      <paraID>21F2EDE5</paraID>
      <start>21</start>
      <end>22</end>
      <status>unmodified</status>
      <modifiedWord/>
      <trackRevisions>false</trackRevisions>
    </reviewItem>
    <reviewItem>
      <errorID>64e63f0b-6d99-450d-b308-73ee3b0aa2da</errorID>
      <errorWord>)</errorWord>
      <group>L1_Format</group>
      <groupName>格式问题</groupName>
      <ability>L2_HalfPunc_CN</ability>
      <abilityName>全半角问题</abilityName>
      <candidateList>
        <item>）</item>
      </candidateList>
      <explain>文本全半角错误。</explain>
      <paraID>21F2EDE5</paraID>
      <start>23</start>
      <end>24</end>
      <status>unmodified</status>
      <modifiedWord/>
      <trackRevisions>false</trackRevisions>
    </reviewItem>
    <reviewItem>
      <errorID>fe455672-22f3-4b7b-80f9-0580191ef3b4</errorID>
      <errorWord>(</errorWord>
      <group>L1_Format</group>
      <groupName>格式问题</groupName>
      <ability>L2_HalfPunc_CN</ability>
      <abilityName>全半角问题</abilityName>
      <candidateList>
        <item>（</item>
      </candidateList>
      <explain>文本全半角错误。</explain>
      <paraID>21F2EDE5</paraID>
      <start>55</start>
      <end>56</end>
      <status>unmodified</status>
      <modifiedWord/>
      <trackRevisions>false</trackRevisions>
    </reviewItem>
    <reviewItem>
      <errorID>8cdf3c6b-738c-4faf-bf9a-65b6bc6f10d5</errorID>
      <errorWord>)</errorWord>
      <group>L1_Format</group>
      <groupName>格式问题</groupName>
      <ability>L2_HalfPunc_CN</ability>
      <abilityName>全半角问题</abilityName>
      <candidateList>
        <item>）</item>
      </candidateList>
      <explain>文本全半角错误。</explain>
      <paraID>21F2EDE5</paraID>
      <start>57</start>
      <end>58</end>
      <status>unmodified</status>
      <modifiedWord/>
      <trackRevisions>false</trackRevisions>
    </reviewItem>
    <reviewItem>
      <errorID>39e8316a-a44c-4684-af67-484ee8926071</errorID>
      <errorWord>;</errorWord>
      <group>L1_Format</group>
      <groupName>格式问题</groupName>
      <ability>L2_HalfPunc_CN</ability>
      <abilityName>全半角问题</abilityName>
      <candidateList>
        <item>；</item>
      </candidateList>
      <explain>文本全半角错误。</explain>
      <paraID>21F2EDE5</paraID>
      <start>89</start>
      <end>90</end>
      <status>unmodified</status>
      <modifiedWord/>
      <trackRevisions>false</trackRevisions>
    </reviewItem>
    <reviewItem>
      <errorID>bbacb4a3-342c-4bbe-9873-c8778fe1c337</errorID>
      <errorWord>;</errorWord>
      <group>L1_Format</group>
      <groupName>格式问题</groupName>
      <ability>L2_HalfPunc_CN</ability>
      <abilityName>全半角问题</abilityName>
      <candidateList>
        <item>；</item>
      </candidateList>
      <explain>文本全半角错误。</explain>
      <paraID>7266BACA</paraID>
      <start>4</start>
      <end>5</end>
      <status>unmodified</status>
      <modifiedWord/>
      <trackRevisions>false</trackRevisions>
    </reviewItem>
    <reviewItem>
      <errorID>52b60c4e-aa1d-4bec-8a32-6f720b5a325b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360F5D14</paraID>
      <start>0</start>
      <end>3</end>
      <status>unmodified</status>
      <modifiedWord/>
      <trackRevisions>false</trackRevisions>
    </reviewItem>
    <reviewItem>
      <errorID>84e9f0dc-daa6-4133-9a68-685cc5fdd97b</errorID>
      <errorWord>(</errorWord>
      <group>L1_Format</group>
      <groupName>格式问题</groupName>
      <ability>L2_HalfPunc_CN</ability>
      <abilityName>全半角问题</abilityName>
      <candidateList>
        <item>（</item>
      </candidateList>
      <explain>文本全半角错误。</explain>
      <paraID>458BC7A5</paraID>
      <start>30</start>
      <end>31</end>
      <status>unmodified</status>
      <modifiedWord/>
      <trackRevisions>false</trackRevisions>
    </reviewItem>
    <reviewItem>
      <errorID>558774c0-c443-45c8-b3eb-a91a93fa3a94</errorID>
      <errorWord>)</errorWord>
      <group>L1_Format</group>
      <groupName>格式问题</groupName>
      <ability>L2_HalfPunc_CN</ability>
      <abilityName>全半角问题</abilityName>
      <candidateList>
        <item>）</item>
      </candidateList>
      <explain>文本全半角错误。</explain>
      <paraID>458BC7A5</paraID>
      <start>32</start>
      <end>33</end>
      <status>unmodified</status>
      <modifiedWord/>
      <trackRevisions>false</trackRevisions>
    </reviewItem>
    <reviewItem>
      <errorID>c4720e5d-a5fe-4de8-a0fa-dbfa239ed899</errorID>
      <errorWord>(</errorWord>
      <group>L1_Format</group>
      <groupName>格式问题</groupName>
      <ability>L2_HalfPunc_CN</ability>
      <abilityName>全半角问题</abilityName>
      <candidateList>
        <item>（</item>
      </candidateList>
      <explain>文本全半角错误。</explain>
      <paraID> 4F6130A</paraID>
      <start>33</start>
      <end>34</end>
      <status>unmodified</status>
      <modifiedWord/>
      <trackRevisions>false</trackRevisions>
    </reviewItem>
    <reviewItem>
      <errorID>6d2fe1e3-ac89-4b76-b8c9-9e0e5c9f38ac</errorID>
      <errorWord>)</errorWord>
      <group>L1_Format</group>
      <groupName>格式问题</groupName>
      <ability>L2_HalfPunc_CN</ability>
      <abilityName>全半角问题</abilityName>
      <candidateList>
        <item>）</item>
      </candidateList>
      <explain>文本全半角错误。</explain>
      <paraID> 4F6130A</paraID>
      <start>35</start>
      <end>36</end>
      <status>unmodified</status>
      <modifiedWord/>
      <trackRevisions>false</trackRevisions>
    </reviewItem>
    <reviewItem>
      <errorID>108db615-3670-47c4-aa11-4fbd0752e713</errorID>
      <errorWord>;</errorWord>
      <group>L1_Format</group>
      <groupName>格式问题</groupName>
      <ability>L2_HalfPunc_CN</ability>
      <abilityName>全半角问题</abilityName>
      <candidateList>
        <item>；</item>
      </candidateList>
      <explain>文本全半角错误。</explain>
      <paraID>78033149</paraID>
      <start>44</start>
      <end>45</end>
      <status>unmodified</status>
      <modifiedWord/>
      <trackRevisions>false</trackRevisions>
    </reviewItem>
    <reviewItem>
      <errorID>7d32bb65-d077-4d65-a534-0df9f1aa3e77</errorID>
      <errorWord>;</errorWord>
      <group>L1_Format</group>
      <groupName>格式问题</groupName>
      <ability>L2_HalfPunc_CN</ability>
      <abilityName>全半角问题</abilityName>
      <candidateList>
        <item>；</item>
      </candidateList>
      <explain>文本全半角错误。</explain>
      <paraID>78033149</paraID>
      <start>71</start>
      <end>72</end>
      <status>unmodified</status>
      <modifiedWord/>
      <trackRevisions>false</trackRevisions>
    </reviewItem>
    <reviewItem>
      <errorID>95b4ecbf-bca5-4d7a-961a-f9f3b56e73e2</errorID>
      <errorWord>;</errorWord>
      <group>L1_Format</group>
      <groupName>格式问题</groupName>
      <ability>L2_HalfPunc_CN</ability>
      <abilityName>全半角问题</abilityName>
      <candidateList>
        <item>；</item>
      </candidateList>
      <explain>文本全半角错误。</explain>
      <paraID> 62F045F</paraID>
      <start>22</start>
      <end>23</end>
      <status>unmodified</status>
      <modifiedWord/>
      <trackRevisions>false</trackRevisions>
    </reviewItem>
    <reviewItem>
      <errorID>48f3dd17-b495-4ae3-930b-ca6e05469520</errorID>
      <errorWord>Gekkondiae</errorWord>
      <group>L1_English</group>
      <groupName>英文问题</groupName>
      <ability>L2_Spell</ability>
      <abilityName>拼写问题</abilityName>
      <candidateList>
        <item>Gekkonidae</item>
      </candidateList>
      <explain>疑似单词拼写有误，建议将Gekkondiae修改为Gekkonidae</explain>
      <paraID>67DAB36C</paraID>
      <start>3</start>
      <end>13</end>
      <status>unmodified</status>
      <modifiedWord/>
      <trackRevisions>false</trackRevisions>
    </reviewItem>
    <reviewItem>
      <errorID>f8bf7e23-e696-4517-b5ab-fff13ac3384e</errorID>
      <errorWord>(</errorWord>
      <group>L1_Format</group>
      <groupName>格式问题</groupName>
      <ability>L2_HalfPunc_CN</ability>
      <abilityName>全半角问题</abilityName>
      <candidateList>
        <item>（</item>
      </candidateList>
      <explain>文本全半角错误。</explain>
      <paraID>4C1D9015</paraID>
      <start>32</start>
      <end>33</end>
      <status>unmodified</status>
      <modifiedWord/>
      <trackRevisions>false</trackRevisions>
    </reviewItem>
    <reviewItem>
      <errorID>6485391a-7283-4bf5-9802-622190ad9174</errorID>
      <errorWord>),</errorWord>
      <group>L1_Format</group>
      <groupName>格式问题</groupName>
      <ability>L2_HalfPunc_CN</ability>
      <abilityName>全半角问题</abilityName>
      <candidateList>
        <item>），</item>
      </candidateList>
      <explain>文本全半角错误。</explain>
      <paraID>4C1D9015</paraID>
      <start>43</start>
      <end>45</end>
      <status>unmodified</status>
      <modifiedWord/>
      <trackRevisions>false</trackRevisions>
    </reviewItem>
    <reviewItem>
      <errorID>777a52f4-b7cc-47ea-9cff-2ad7bd88e4d2</errorID>
      <errorWord>受到</errorWord>
      <group>L1_Word</group>
      <groupName>字词问题</groupName>
      <ability>L2_Typo</ability>
      <abilityName>字词错误</abilityName>
      <candidateList>
        <item>受</item>
      </candidateList>
      <explain/>
      <paraID>4C1D9015</paraID>
      <start>55</start>
      <end>57</end>
      <status>unmodified</status>
      <modifiedWord/>
      <trackRevisions>false</trackRevisions>
    </reviewItem>
    <reviewItem>
      <errorID>1fa1c7e2-ddce-4535-9ab4-ea193ce650da</errorID>
      <errorWord>Pycnontidae</errorWord>
      <group>L1_English</group>
      <groupName>英文问题</groupName>
      <ability>L2_Spell</ability>
      <abilityName>拼写问题</abilityName>
      <candidateList>
        <item>Pycnontdae</item>
      </candidateList>
      <explain>疑似单词拼写有误，建议将Pycnontidae修改为Pycnontdae</explain>
      <paraID>22F08EBD</paraID>
      <start>2</start>
      <end>13</end>
      <status>unmodified</status>
      <modifiedWord/>
      <trackRevisions>false</trackRevisions>
    </reviewItem>
    <reviewItem>
      <errorID>da9b81e3-a7b3-4234-84aa-36cdcf61d6dd</errorID>
      <errorWord>,</errorWord>
      <group>L1_Format</group>
      <groupName>格式问题</groupName>
      <ability>L2_HalfPunc_CN</ability>
      <abilityName>全半角问题</abilityName>
      <candidateList>
        <item>，</item>
      </candidateList>
      <explain>文本全半角错误。</explain>
      <paraID>5EEB9A88</paraID>
      <start>50</start>
      <end>51</end>
      <status>unmodified</status>
      <modifiedWord/>
      <trackRevisions>false</trackRevisions>
    </reviewItem>
    <reviewItem>
      <errorID>cf1fe759-d738-419a-9c42-3190d1728c87</errorID>
      <errorWord>(</errorWord>
      <group>L1_Format</group>
      <groupName>格式问题</groupName>
      <ability>L2_HalfPunc_CN</ability>
      <abilityName>全半角问题</abilityName>
      <candidateList>
        <item>（</item>
      </candidateList>
      <explain>文本全半角错误。</explain>
      <paraID>186D532A</paraID>
      <start>3</start>
      <end>4</end>
      <status>unmodified</status>
      <modifiedWord/>
      <trackRevisions>false</trackRevisions>
    </reviewItem>
    <reviewItem>
      <errorID>0eeab89c-57de-4748-bde7-a61bdc9f598a</errorID>
      <errorWord>)</errorWord>
      <group>L1_Format</group>
      <groupName>格式问题</groupName>
      <ability>L2_HalfPunc_CN</ability>
      <abilityName>全半角问题</abilityName>
      <candidateList>
        <item>）</item>
      </candidateList>
      <explain>文本全半角错误。</explain>
      <paraID>186D532A</paraID>
      <start>6</start>
      <end>7</end>
      <status>unmodified</status>
      <modifiedWord/>
      <trackRevisions>false</trackRevisions>
    </reviewItem>
    <reviewItem>
      <errorID>d01ba193-aaf4-45c6-a0c2-1479f505abd9</errorID>
      <errorWord>;</errorWord>
      <group>L1_Format</group>
      <groupName>格式问题</groupName>
      <ability>L2_HalfPunc_CN</ability>
      <abilityName>全半角问题</abilityName>
      <candidateList>
        <item>；</item>
      </candidateList>
      <explain>文本全半角错误。</explain>
      <paraID>255CA654</paraID>
      <start>7</start>
      <end>8</end>
      <status>unmodified</status>
      <modifiedWord/>
      <trackRevisions>false</trackRevisions>
    </reviewItem>
    <reviewItem>
      <errorID>7d645214-d99e-4b33-a7bb-fa1b968c404a</errorID>
      <errorWord>;</errorWord>
      <group>L1_Format</group>
      <groupName>格式问题</groupName>
      <ability>L2_HalfPunc_CN</ability>
      <abilityName>全半角问题</abilityName>
      <candidateList>
        <item>；</item>
      </candidateList>
      <explain>文本全半角错误。</explain>
      <paraID>255CA654</paraID>
      <start>26</start>
      <end>27</end>
      <status>unmodified</status>
      <modifiedWord/>
      <trackRevisions>false</trackRevisions>
    </reviewItem>
    <reviewItem>
      <errorID>a74ba164-bde2-4ece-89bc-ee5a6ea539ea</errorID>
      <errorWord>,</errorWord>
      <group>L1_Format</group>
      <groupName>格式问题</groupName>
      <ability>L2_HalfPunc_CN</ability>
      <abilityName>全半角问题</abilityName>
      <candidateList>
        <item>，</item>
      </candidateList>
      <explain>文本全半角错误。</explain>
      <paraID>255CA654</paraID>
      <start>48</start>
      <end>49</end>
      <status>unmodified</status>
      <modifiedWord/>
      <trackRevisions>false</trackRevisions>
    </reviewItem>
    <reviewItem>
      <errorID>ccf2bbaa-c4c4-4336-9abe-a3650cf3ff28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6957D031</paraID>
      <start>0</start>
      <end>3</end>
      <status>unmodified</status>
      <modifiedWord/>
      <trackRevisions>false</trackRevisions>
    </reviewItem>
    <reviewItem>
      <errorID>fccdee7a-b083-4d5c-b811-c9fbd62646b0</errorID>
      <errorWord>;</errorWord>
      <group>L1_Format</group>
      <groupName>格式问题</groupName>
      <ability>L2_HalfPunc_CN</ability>
      <abilityName>全半角问题</abilityName>
      <candidateList>
        <item>；</item>
      </candidateList>
      <explain>文本全半角错误。</explain>
      <paraID>63BB91B1</paraID>
      <start>60</start>
      <end>61</end>
      <status>unmodified</status>
      <modifiedWord/>
      <trackRevisions>false</trackRevisions>
    </reviewItem>
    <reviewItem>
      <errorID>3fee45d5-b935-4de6-8a87-bfaec745ea79</errorID>
      <errorWord>;</errorWord>
      <group>L1_Format</group>
      <groupName>格式问题</groupName>
      <ability>L2_HalfPunc_CN</ability>
      <abilityName>全半角问题</abilityName>
      <candidateList>
        <item>；</item>
      </candidateList>
      <explain>文本全半角错误。</explain>
      <paraID>63BB91B1</paraID>
      <start>83</start>
      <end>84</end>
      <status>unmodified</status>
      <modifiedWord/>
      <trackRevisions>false</trackRevisions>
    </reviewItem>
    <reviewItem>
      <errorID>cb320eba-96ce-4478-a92d-c7e91cf2039a</errorID>
      <errorWord>;</errorWord>
      <group>L1_Format</group>
      <groupName>格式问题</groupName>
      <ability>L2_HalfPunc_CN</ability>
      <abilityName>全半角问题</abilityName>
      <candidateList>
        <item>；</item>
      </candidateList>
      <explain>文本全半角错误。</explain>
      <paraID>3A11CE56</paraID>
      <start>6</start>
      <end>7</end>
      <status>unmodified</status>
      <modifiedWord/>
      <trackRevisions>false</trackRevisions>
    </reviewItem>
    <reviewItem>
      <errorID>beed3e9c-e0f9-4d60-880c-2a2f479fefb0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405BE456</paraID>
      <start>0</start>
      <end>2</end>
      <status>unmodified</status>
      <modifiedWord/>
      <trackRevisions>false</trackRevisions>
    </reviewItem>
    <reviewItem>
      <errorID>7c3c72bf-41b9-416a-b21f-88e5a8eb1a9b</errorID>
      <errorWord>鷲</errorWord>
      <group>L1_Word</group>
      <groupName>字词问题</groupName>
      <ability>L2_Fanti</ability>
      <abilityName>繁转简</abilityName>
      <candidateList>
        <item>鹫</item>
      </candidateList>
      <explain/>
      <paraID>1E3DE65E</paraID>
      <start>2</start>
      <end>3</end>
      <status>unmodified</status>
      <modifiedWord/>
      <trackRevisions>false</trackRevisions>
    </reviewItem>
    <reviewItem>
      <errorID>21a4c8d3-c860-44fc-a287-e8eb3b06a61f</errorID>
      <errorWord>,</errorWord>
      <group>L1_Punc</group>
      <groupName>标点问题</groupName>
      <ability>L2_Punc_CN</ability>
      <abilityName>标点符号问题</abilityName>
      <candidateList/>
      <explain/>
      <paraID> BF50CBE</paraID>
      <start>0</start>
      <end>1</end>
      <status>unmodified</status>
      <modifiedWord/>
      <trackRevisions>false</trackRevisions>
    </reviewItem>
    <reviewItem>
      <errorID>25d3108a-fc52-4516-86f9-9c802a8eeb9d</errorID>
      <errorWord>;</errorWord>
      <group>L1_Format</group>
      <groupName>格式问题</groupName>
      <ability>L2_HalfPunc_CN</ability>
      <abilityName>全半角问题</abilityName>
      <candidateList>
        <item>；</item>
      </candidateList>
      <explain>文本全半角错误。</explain>
      <paraID>32C38E03</paraID>
      <start>10</start>
      <end>11</end>
      <status>unmodified</status>
      <modifiedWord/>
      <trackRevisions>false</trackRevisions>
    </reviewItem>
    <reviewItem>
      <errorID>aff2a820-b9e7-4821-b61a-c3335169f826</errorID>
      <errorWord>蔫</errorWord>
      <group>L1_Word</group>
      <groupName>字词问题</groupName>
      <ability>L2_Typo</ability>
      <abilityName>字词错误</abilityName>
      <candidateList>
        <item>隼</item>
      </candidateList>
      <explain/>
      <paraID>32C38E03</paraID>
      <start>20</start>
      <end>21</end>
      <status>unmodified</status>
      <modifiedWord/>
      <trackRevisions>false</trackRevisions>
    </reviewItem>
    <reviewItem>
      <errorID>450dd1ad-c8bd-490a-8a66-6fc62230c98b</errorID>
      <errorWord>,</errorWord>
      <group>L1_Format</group>
      <groupName>格式问题</groupName>
      <ability>L2_HalfPunc_CN</ability>
      <abilityName>全半角问题</abilityName>
      <candidateList>
        <item>，</item>
      </candidateList>
      <explain>文本全半角错误。</explain>
      <paraID>488A6034</paraID>
      <start>21</start>
      <end>22</end>
      <status>unmodified</status>
      <modifiedWord/>
      <trackRevisions>false</trackRevisions>
    </reviewItem>
    <reviewItem>
      <errorID>cfedf33a-7fa5-419b-84c1-56fb86044e9c</errorID>
      <errorWord>下体</errorWord>
      <group>L1_Sensitive</group>
      <groupName>敏感问题</groupName>
      <ability>L2_Yellow</ability>
      <abilityName>涉黄内容</abilityName>
      <candidateList/>
      <explain>【涉黄词条】句中包含涉黄敏感词条，请注意甄别。</explain>
      <paraID>488A6034</paraID>
      <start>50</start>
      <end>52</end>
      <status>unmodified</status>
      <modifiedWord/>
      <trackRevisions>false</trackRevisions>
    </reviewItem>
    <reviewItem>
      <errorID>86af7d8e-4349-4444-b020-1fa9e5cf0f12</errorID>
      <errorWord>下体</errorWord>
      <group>L1_Sensitive</group>
      <groupName>敏感问题</groupName>
      <ability>L2_Yellow</ability>
      <abilityName>涉黄内容</abilityName>
      <candidateList/>
      <explain>【涉黄词条】句中包含涉黄敏感词条，请注意甄别。</explain>
      <paraID>488A6034</paraID>
      <start>95</start>
      <end>97</end>
      <status>unmodified</status>
      <modifiedWord/>
      <trackRevisions>false</trackRevisions>
    </reviewItem>
    <reviewItem>
      <errorID>62b041a3-5761-4d2c-944e-7c9a392890a9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488A6034</paraID>
      <start>201</start>
      <end>202</end>
      <status>unmodified</status>
      <modifiedWord/>
      <trackRevisions>false</trackRevisions>
    </reviewItem>
    <reviewItem>
      <errorID>fea27b51-f05e-48ae-a272-829ab91937e5</errorID>
      <errorWord>,</errorWord>
      <group>L1_Format</group>
      <groupName>格式问题</groupName>
      <ability>L2_HalfPunc_CN</ability>
      <abilityName>全半角问题</abilityName>
      <candidateList>
        <item>，</item>
      </candidateList>
      <explain>文本全半角错误。</explain>
      <paraID>3BB473E2</paraID>
      <start>19</start>
      <end>20</end>
      <status>unmodified</status>
      <modifiedWord/>
      <trackRevisions>false</trackRevisions>
    </reviewItem>
    <reviewItem>
      <errorID>3f0f80b2-96be-4475-aa4e-920331e294c8</errorID>
      <errorWord>,</errorWord>
      <group>L1_Format</group>
      <groupName>格式问题</groupName>
      <ability>L2_HalfPunc_CN</ability>
      <abilityName>全半角问题</abilityName>
      <candidateList>
        <item>，</item>
      </candidateList>
      <explain>文本全半角错误。</explain>
      <paraID>3BB473E2</paraID>
      <start>107</start>
      <end>108</end>
      <status>unmodified</status>
      <modifiedWord/>
      <trackRevisions>false</trackRevisions>
    </reviewItem>
    <reviewItem>
      <errorID>1738cee7-d667-4215-90c3-b55a59a653ff</errorID>
      <errorWord>(</errorWord>
      <group>L1_Format</group>
      <groupName>格式问题</groupName>
      <ability>L2_HalfPunc_CN</ability>
      <abilityName>全半角问题</abilityName>
      <candidateList>
        <item>（</item>
      </candidateList>
      <explain>文本全半角错误。</explain>
      <paraID>3BB473E2</paraID>
      <start>149</start>
      <end>150</end>
      <status>unmodified</status>
      <modifiedWord/>
      <trackRevisions>false</trackRevisions>
    </reviewItem>
    <reviewItem>
      <errorID>7f2f1361-dcf6-4a1f-bbab-c647480c16c5</errorID>
      <errorWord>)</errorWord>
      <group>L1_Format</group>
      <groupName>格式问题</groupName>
      <ability>L2_HalfPunc_CN</ability>
      <abilityName>全半角问题</abilityName>
      <candidateList>
        <item>）</item>
      </candidateList>
      <explain>文本全半角错误。</explain>
      <paraID>3BB473E2</paraID>
      <start>157</start>
      <end>158</end>
      <status>unmodified</status>
      <modifiedWord/>
      <trackRevisions>false</trackRevisions>
    </reviewItem>
    <reviewItem>
      <errorID>bc549d86-a58b-4329-8cae-ae953ae6bb9f</errorID>
      <errorWord>,</errorWord>
      <group>L1_Format</group>
      <groupName>格式问题</groupName>
      <ability>L2_HalfPunc_CN</ability>
      <abilityName>全半角问题</abilityName>
      <candidateList>
        <item>，</item>
      </candidateList>
      <explain>文本全半角错误。</explain>
      <paraID>3BB473E2</paraID>
      <start>158</start>
      <end>159</end>
      <status>unmodified</status>
      <modifiedWord/>
      <trackRevisions>false</trackRevisions>
    </reviewItem>
    <reviewItem>
      <errorID>eba69c98-50c5-4d85-92c3-fc9574b679d6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3BB473E2</paraID>
      <start>190</start>
      <end>191</end>
      <status>unmodified</status>
      <modifiedWord/>
      <trackRevisions>false</trackRevisions>
    </reviewItem>
    <reviewItem>
      <errorID>a1c4ea47-1c2e-498f-882b-227ed474fa62</errorID>
      <errorWord>鷲</errorWord>
      <group>L1_Word</group>
      <groupName>字词问题</groupName>
      <ability>L2_Fanti</ability>
      <abilityName>繁转简</abilityName>
      <candidateList>
        <item>鹫</item>
      </candidateList>
      <explain/>
      <paraID>2BB343D5</paraID>
      <start>2</start>
      <end>3</end>
      <status>unmodified</status>
      <modifiedWord/>
      <trackRevisions>false</trackRevisions>
    </reviewItem>
    <reviewItem>
      <errorID>5a7adb6d-a51f-4605-8bf5-f9035d70acb0</errorID>
      <errorWord>,</errorWord>
      <group>L1_Format</group>
      <groupName>格式问题</groupName>
      <ability>L2_HalfPunc_CN</ability>
      <abilityName>全半角问题</abilityName>
      <candidateList>
        <item>，</item>
      </candidateList>
      <explain>文本全半角错误。</explain>
      <paraID>2BB343D5</paraID>
      <start>19</start>
      <end>20</end>
      <status>unmodified</status>
      <modifiedWord/>
      <trackRevisions>false</trackRevisions>
    </reviewItem>
    <reviewItem>
      <errorID>9aa4d20d-488e-419b-8ba0-59b21fcedcf0</errorID>
      <errorWord>;</errorWord>
      <group>L1_Format</group>
      <groupName>格式问题</groupName>
      <ability>L2_HalfPunc_CN</ability>
      <abilityName>全半角问题</abilityName>
      <candidateList>
        <item>；</item>
      </candidateList>
      <explain>文本全半角错误。</explain>
      <paraID>2BB343D5</paraID>
      <start>57</start>
      <end>58</end>
      <status>unmodified</status>
      <modifiedWord/>
      <trackRevisions>false</trackRevisions>
    </reviewItem>
    <reviewItem>
      <errorID>103753fb-ba06-4bd6-8e02-60922fbe06de</errorID>
      <errorWord>下体</errorWord>
      <group>L1_Sensitive</group>
      <groupName>敏感问题</groupName>
      <ability>L2_Yellow</ability>
      <abilityName>涉黄内容</abilityName>
      <candidateList/>
      <explain>【涉黄词条】句中包含涉黄敏感词条，请注意甄别。</explain>
      <paraID>2BB343D5</paraID>
      <start>58</start>
      <end>60</end>
      <status>unmodified</status>
      <modifiedWord/>
      <trackRevisions>false</trackRevisions>
    </reviewItem>
    <reviewItem>
      <errorID>d9b06fc4-3e64-43f2-89f0-f6675a2300ab</errorID>
      <errorWord>(</errorWord>
      <group>L1_Format</group>
      <groupName>格式问题</groupName>
      <ability>L2_HalfPunc_CN</ability>
      <abilityName>全半角问题</abilityName>
      <candidateList>
        <item>（</item>
      </candidateList>
      <explain>文本全半角错误。</explain>
      <paraID>2BB343D5</paraID>
      <start>144</start>
      <end>145</end>
      <status>unmodified</status>
      <modifiedWord/>
      <trackRevisions>false</trackRevisions>
    </reviewItem>
    <reviewItem>
      <errorID>235eb500-7b7b-4c49-8f0e-bbcf5dde1d0c</errorID>
      <errorWord>)</errorWord>
      <group>L1_Format</group>
      <groupName>格式问题</groupName>
      <ability>L2_HalfPunc_CN</ability>
      <abilityName>全半角问题</abilityName>
      <candidateList>
        <item>）</item>
      </candidateList>
      <explain>文本全半角错误。</explain>
      <paraID>2BB343D5</paraID>
      <start>148</start>
      <end>149</end>
      <status>unmodified</status>
      <modifiedWord/>
      <trackRevisions>false</trackRevisions>
    </reviewItem>
    <reviewItem>
      <errorID>9c666d2d-1f96-47d8-b2e2-3860a0c38dba</errorID>
      <errorWord>(</errorWord>
      <group>L1_Format</group>
      <groupName>格式问题</groupName>
      <ability>L2_HalfPunc_CN</ability>
      <abilityName>全半角问题</abilityName>
      <candidateList>
        <item>（</item>
      </candidateList>
      <explain>文本全半角错误。</explain>
      <paraID>2BB343D5</paraID>
      <start>156</start>
      <end>157</end>
      <status>unmodified</status>
      <modifiedWord/>
      <trackRevisions>false</trackRevisions>
    </reviewItem>
    <reviewItem>
      <errorID>1fabef83-23f4-4066-8e8a-7abce16fc6ff</errorID>
      <errorWord>),</errorWord>
      <group>L1_Format</group>
      <groupName>格式问题</groupName>
      <ability>L2_HalfPunc_CN</ability>
      <abilityName>全半角问题</abilityName>
      <candidateList>
        <item>），</item>
      </candidateList>
      <explain>文本全半角错误。</explain>
      <paraID>2BB343D5</paraID>
      <start>161</start>
      <end>163</end>
      <status>unmodified</status>
      <modifiedWord/>
      <trackRevisions>false</trackRevisions>
    </reviewItem>
    <reviewItem>
      <errorID>981228d6-d9fb-4e10-afa1-95ae65a5c2e5</errorID>
      <errorWord>"</errorWord>
      <group>L1_Format</group>
      <groupName>格式问题</groupName>
      <ability>L2_HalfPunc_CN</ability>
      <abilityName>全半角问题</abilityName>
      <candidateList>
        <item>“</item>
      </candidateList>
      <explain>文本全半角错误。</explain>
      <paraID>2BB343D5</paraID>
      <start>181</start>
      <end>182</end>
      <status>unmodified</status>
      <modifiedWord/>
      <trackRevisions>false</trackRevisions>
    </reviewItem>
    <reviewItem>
      <errorID>3bb8673f-b4bb-4da1-a44d-0bd7cdc71e52</errorID>
      <errorWord>"</errorWord>
      <group>L1_Format</group>
      <groupName>格式问题</groupName>
      <ability>L2_HalfPunc_CN</ability>
      <abilityName>全半角问题</abilityName>
      <candidateList>
        <item>”</item>
      </candidateList>
      <explain>文本全半角错误。</explain>
      <paraID>2BB343D5</paraID>
      <start>183</start>
      <end>184</end>
      <status>unmodified</status>
      <modifiedWord/>
      <trackRevisions>false</trackRevisions>
    </reviewItem>
    <reviewItem>
      <errorID>7798e74e-f14a-4d5e-9782-0f2a29b26fbf</errorID>
      <errorWord>(</errorWord>
      <group>L1_Format</group>
      <groupName>格式问题</groupName>
      <ability>L2_HalfPunc_CN</ability>
      <abilityName>全半角问题</abilityName>
      <candidateList>
        <item>（</item>
      </candidateList>
      <explain>文本全半角错误。</explain>
      <paraID>2BB343D5</paraID>
      <start>367</start>
      <end>368</end>
      <status>unmodified</status>
      <modifiedWord/>
      <trackRevisions>false</trackRevisions>
    </reviewItem>
    <reviewItem>
      <errorID>9cb4ac41-94ab-4e89-80c6-81216cfb4f3a</errorID>
      <errorWord>)</errorWord>
      <group>L1_Format</group>
      <groupName>格式问题</groupName>
      <ability>L2_HalfPunc_CN</ability>
      <abilityName>全半角问题</abilityName>
      <candidateList>
        <item>）</item>
      </candidateList>
      <explain>文本全半角错误。</explain>
      <paraID>2BB343D5</paraID>
      <start>375</start>
      <end>376</end>
      <status>unmodified</status>
      <modifiedWord/>
      <trackRevisions>false</trackRevisions>
    </reviewItem>
    <reviewItem>
      <errorID>e1c0565e-c51e-4122-b253-b0b25e381276</errorID>
      <errorWord>,</errorWord>
      <group>L1_Format</group>
      <groupName>格式问题</groupName>
      <ability>L2_HalfPunc_CN</ability>
      <abilityName>全半角问题</abilityName>
      <candidateList>
        <item>，</item>
      </candidateList>
      <explain>文本全半角错误。</explain>
      <paraID>2BB343D5</paraID>
      <start>376</start>
      <end>377</end>
      <status>unmodified</status>
      <modifiedWord/>
      <trackRevisions>false</trackRevisions>
    </reviewItem>
    <reviewItem>
      <errorID>5a268a41-fdbb-4dfc-8f8d-b2cc7defaaef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2BB343D5</paraID>
      <start>407</start>
      <end>408</end>
      <status>unmodified</status>
      <modifiedWord/>
      <trackRevisions>false</trackRevisions>
    </reviewItem>
    <reviewItem>
      <errorID>b16ecf41-8af7-4b06-8633-dcb899aa1c68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7F34642B</paraID>
      <start>0</start>
      <end>2</end>
      <status>unmodified</status>
      <modifiedWord/>
      <trackRevisions>false</trackRevisions>
    </reviewItem>
    <reviewItem>
      <errorID>2fc0a8cb-eb41-4ee1-a826-af572b0f0caa</errorID>
      <errorWord>,</errorWord>
      <group>L1_Format</group>
      <groupName>格式问题</groupName>
      <ability>L2_HalfPunc_CN</ability>
      <abilityName>全半角问题</abilityName>
      <candidateList>
        <item>，</item>
      </candidateList>
      <explain>文本全半角错误。</explain>
      <paraID> 1EB3209</paraID>
      <start>11</start>
      <end>12</end>
      <status>unmodified</status>
      <modifiedWord/>
      <trackRevisions>false</trackRevisions>
    </reviewItem>
    <reviewItem>
      <errorID>c1afb8cb-dce9-42f1-91d0-33f2ace9e641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173CBC34</paraID>
      <start>26</start>
      <end>27</end>
      <status>unmodified</status>
      <modifiedWord/>
      <trackRevisions>false</trackRevisions>
    </reviewItem>
    <reviewItem>
      <errorID>61224672-ae1b-4a22-8920-24c758db5715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1D9834FD</paraID>
      <start>0</start>
      <end>2</end>
      <status>unmodified</status>
      <modifiedWord/>
      <trackRevisions>false</trackRevisions>
    </reviewItem>
    <reviewItem>
      <errorID>1f7d2294-678a-4ccf-82e7-47a6bbabd304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1B4980D4</paraID>
      <start>0</start>
      <end>2</end>
      <status>unmodified</status>
      <modifiedWord/>
      <trackRevisions>false</trackRevisions>
    </reviewItem>
    <reviewItem>
      <errorID>195de454-274f-4fb4-87a8-b77370502625</errorID>
      <errorWord>,</errorWord>
      <group>L1_Format</group>
      <groupName>格式问题</groupName>
      <ability>L2_HalfPunc_CN</ability>
      <abilityName>全半角问题</abilityName>
      <candidateList>
        <item>，</item>
      </candidateList>
      <explain>文本全半角错误。</explain>
      <paraID>73D40BD5</paraID>
      <start>25</start>
      <end>26</end>
      <status>unmodified</status>
      <modifiedWord/>
      <trackRevisions>false</trackRevisions>
    </reviewItem>
    <reviewItem>
      <errorID>3965e16e-ac7b-4be2-88da-942758c80518</errorID>
      <errorWord>主要生境主要以农耕景观为主</errorWord>
      <group>L1_Grammar</group>
      <groupName>语法问题</groupName>
      <ability>L2_Grammar</ability>
      <abilityName>语法错误</abilityName>
      <candidateList>
        <item>生境主要以农耕景观为主</item>
      </candidateList>
      <explain>该表达中的“主要生境主要以农耕景观为主”存在语义重复。</explain>
      <paraID>6EA83990</paraID>
      <start>41</start>
      <end>54</end>
      <status>unmodified</status>
      <modifiedWord/>
      <trackRevisions>false</trackRevisions>
    </reviewItem>
    <reviewItem>
      <errorID>fa03e1a4-ab5a-44a6-b337-fcbe14efd411</errorID>
      <errorWord>(</errorWord>
      <group>L1_Format</group>
      <groupName>格式问题</groupName>
      <ability>L2_HalfPunc_CN</ability>
      <abilityName>全半角问题</abilityName>
      <candidateList>
        <item>（</item>
      </candidateList>
      <explain>文本全半角错误。</explain>
      <paraID>7BE017EA</paraID>
      <start>41</start>
      <end>42</end>
      <status>unmodified</status>
      <modifiedWord/>
      <trackRevisions>false</trackRevisions>
    </reviewItem>
    <reviewItem>
      <errorID>3d501259-95b4-435c-8333-68a1b91c1f9a</errorID>
      <errorWord>)</errorWord>
      <group>L1_Format</group>
      <groupName>格式问题</groupName>
      <ability>L2_HalfPunc_CN</ability>
      <abilityName>全半角问题</abilityName>
      <candidateList>
        <item>）</item>
      </candidateList>
      <explain>文本全半角错误。</explain>
      <paraID>7BE017EA</paraID>
      <start>50</start>
      <end>51</end>
      <status>unmodified</status>
      <modifiedWord/>
      <trackRevisions>false</trackRevisions>
    </reviewItem>
    <reviewItem>
      <errorID>801d6025-f07c-42df-84d8-57835db3714c</errorID>
      <errorWord>(</errorWord>
      <group>L1_Format</group>
      <groupName>格式问题</groupName>
      <ability>L2_HalfPunc_CN</ability>
      <abilityName>全半角问题</abilityName>
      <candidateList>
        <item>（</item>
      </candidateList>
      <explain>文本全半角错误。</explain>
      <paraID>7BE017EA</paraID>
      <start>255</start>
      <end>256</end>
      <status>unmodified</status>
      <modifiedWord/>
      <trackRevisions>false</trackRevisions>
    </reviewItem>
    <reviewItem>
      <errorID>75bd7a73-8b07-474d-93c3-203d16b5dcf8</errorID>
      <errorWord>)</errorWord>
      <group>L1_Format</group>
      <groupName>格式问题</groupName>
      <ability>L2_HalfPunc_CN</ability>
      <abilityName>全半角问题</abilityName>
      <candidateList>
        <item>）</item>
      </candidateList>
      <explain>文本全半角错误。</explain>
      <paraID>7BE017EA</paraID>
      <start>267</start>
      <end>268</end>
      <status>unmodified</status>
      <modifiedWord/>
      <trackRevisions>false</trackRevisions>
    </reviewItem>
    <reviewItem>
      <errorID>5ce9b0e5-395f-42b4-94ab-be82ef670994</errorID>
      <errorWord>着</errorWord>
      <group>L1_Word</group>
      <groupName>字词问题</groupName>
      <ability>L2_Typo</ability>
      <abilityName>字词错误</abilityName>
      <candidateList>
        <item>这</item>
      </candidateList>
      <explain>存在发音相同字词的误用。</explain>
      <paraID>587F1936</paraID>
      <start>13</start>
      <end>14</end>
      <status>unmodified</status>
      <modifiedWord/>
      <trackRevisions>false</trackRevisions>
    </reviewItem>
    <reviewItem>
      <errorID>889869b3-b8bb-40af-9421-35611f2a6a4e</errorID>
      <errorWord>,</errorWord>
      <group>L1_Format</group>
      <groupName>格式问题</groupName>
      <ability>L2_HalfPunc_CN</ability>
      <abilityName>全半角问题</abilityName>
      <candidateList>
        <item>，</item>
      </candidateList>
      <explain>文本全半角错误。</explain>
      <paraID>25B9F770</paraID>
      <start>46</start>
      <end>47</end>
      <status>unmodified</status>
      <modifiedWord/>
      <trackRevisions>false</trackRevisions>
    </reviewItem>
    <reviewItem>
      <errorID>439b9a41-a166-4734-b3e9-7a01cabec11b</errorID>
      <errorWord>(</errorWord>
      <group>L1_Format</group>
      <groupName>格式问题</groupName>
      <ability>L2_HalfPunc_CN</ability>
      <abilityName>全半角问题</abilityName>
      <candidateList>
        <item>（</item>
      </candidateList>
      <explain>文本全半角错误。</explain>
      <paraID>730E3459</paraID>
      <start>21</start>
      <end>22</end>
      <status>unmodified</status>
      <modifiedWord/>
      <trackRevisions>false</trackRevisions>
    </reviewItem>
    <reviewItem>
      <errorID>b3cfc9e8-f44c-4a80-be6e-bf93194dd8f6</errorID>
      <errorWord>)</errorWord>
      <group>L1_Format</group>
      <groupName>格式问题</groupName>
      <ability>L2_HalfPunc_CN</ability>
      <abilityName>全半角问题</abilityName>
      <candidateList>
        <item>）</item>
      </candidateList>
      <explain>文本全半角错误。</explain>
      <paraID>730E3459</paraID>
      <start>25</start>
      <end>26</end>
      <status>unmodified</status>
      <modifiedWord/>
      <trackRevisions>false</trackRevisions>
    </reviewItem>
    <reviewItem>
      <errorID>d7ac268d-6c1a-49f4-b430-52cb7c88f2aa</errorID>
      <errorWord>(</errorWord>
      <group>L1_Format</group>
      <groupName>格式问题</groupName>
      <ability>L2_HalfPunc_CN</ability>
      <abilityName>全半角问题</abilityName>
      <candidateList>
        <item>（</item>
      </candidateList>
      <explain>文本全半角错误。</explain>
      <paraID> 93676F2</paraID>
      <start>9</start>
      <end>10</end>
      <status>unmodified</status>
      <modifiedWord/>
      <trackRevisions>false</trackRevisions>
    </reviewItem>
    <reviewItem>
      <errorID>b2f06c68-9743-422e-8c3c-dffdd5d15540</errorID>
      <errorWord>)</errorWord>
      <group>L1_Format</group>
      <groupName>格式问题</groupName>
      <ability>L2_HalfPunc_CN</ability>
      <abilityName>全半角问题</abilityName>
      <candidateList>
        <item>）</item>
      </candidateList>
      <explain>文本全半角错误。</explain>
      <paraID> 93676F2</paraID>
      <start>11</start>
      <end>12</end>
      <status>unmodified</status>
      <modifiedWord/>
      <trackRevisions>false</trackRevisions>
    </reviewItem>
    <reviewItem>
      <errorID>3caf7360-4ec1-4352-b2f6-ff7281607c2f</errorID>
      <errorWord>鷲</errorWord>
      <group>L1_Word</group>
      <groupName>字词问题</groupName>
      <ability>L2_Fanti</ability>
      <abilityName>繁转简</abilityName>
      <candidateList>
        <item>鹫</item>
      </candidateList>
      <explain/>
      <paraID>41DC1533</paraID>
      <start>2</start>
      <end>3</end>
      <status>unmodified</status>
      <modifiedWord/>
      <trackRevisions>false</trackRevisions>
    </reviewItem>
    <reviewItem>
      <errorID>22ba7a62-5005-4794-b125-b3cd1dcf9e47</errorID>
      <errorWord>1</errorWord>
      <group>L1_Word</group>
      <groupName>字词问题</groupName>
      <ability>L2_Typo</ability>
      <abilityName>字词错误</abilityName>
      <candidateList>
        <item/>
      </candidateList>
      <explain/>
      <paraID>2117142B</paraID>
      <start>62</start>
      <end>63</end>
      <status>unmodified</status>
      <modifiedWord/>
      <trackRevisions>false</trackRevisions>
    </reviewItem>
    <reviewItem>
      <errorID>18feafae-4252-4496-a362-0a2d92e9bc7c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78D022FA</paraID>
      <start>17</start>
      <end>18</end>
      <status>unmodified</status>
      <modifiedWord/>
      <trackRevisions>false</trackRevisions>
    </reviewItem>
    <reviewItem>
      <errorID>f249a6a0-1b0e-4947-9f82-691c19cf1111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2023DA0</paraID>
      <start>21</start>
      <end>22</end>
      <status>unmodified</status>
      <modifiedWord/>
      <trackRevisions>false</trackRevisions>
    </reviewItem>
    <reviewItem>
      <errorID>2dd0a6ce-7b65-4ab0-8975-69b0c22ae92f</errorID>
      <errorWord>鷲</errorWord>
      <group>L1_Word</group>
      <groupName>字词问题</groupName>
      <ability>L2_Fanti</ability>
      <abilityName>繁转简</abilityName>
      <candidateList>
        <item>鹫</item>
      </candidateList>
      <explain/>
      <paraID>23BAA28A</paraID>
      <start>2</start>
      <end>3</end>
      <status>unmodified</status>
      <modifiedWord/>
      <trackRevisions>false</trackRevisions>
    </reviewItem>
    <reviewItem>
      <errorID>990f6b2f-3c59-4361-b32c-ce914f068028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48C856EB</paraID>
      <start>24</start>
      <end>25</end>
      <status>unmodified</status>
      <modifiedWord/>
      <trackRevisions>false</trackRevisions>
    </reviewItem>
    <reviewItem>
      <errorID>57ea3fd0-6b1d-4629-9678-f653e95fd811</errorID>
      <errorWord>,</errorWord>
      <group>L1_Format</group>
      <groupName>格式问题</groupName>
      <ability>L2_HalfPunc_CN</ability>
      <abilityName>全半角问题</abilityName>
      <candidateList>
        <item>，</item>
      </candidateList>
      <explain>文本全半角错误。</explain>
      <paraID> B7CA889</paraID>
      <start>17</start>
      <end>18</end>
      <status>unmodified</status>
      <modifiedWord/>
      <trackRevisions>false</trackRevisions>
    </reviewItem>
    <reviewItem>
      <errorID>36806828-52f9-490f-b6ca-dc1aaf7155f6</errorID>
      <errorWord>(</errorWord>
      <group>L1_Format</group>
      <groupName>格式问题</groupName>
      <ability>L2_HalfPunc_CN</ability>
      <abilityName>全半角问题</abilityName>
      <candidateList>
        <item>（</item>
      </candidateList>
      <explain>文本全半角错误。</explain>
      <paraID> BF50C1E</paraID>
      <start>2</start>
      <end>3</end>
      <status>unmodified</status>
      <modifiedWord/>
      <trackRevisions>false</trackRevisions>
    </reviewItem>
    <reviewItem>
      <errorID>76b403eb-1f49-4dea-a736-d8ba5acc5ae1</errorID>
      <errorWord>)</errorWord>
      <group>L1_Format</group>
      <groupName>格式问题</groupName>
      <ability>L2_HalfPunc_CN</ability>
      <abilityName>全半角问题</abilityName>
      <candidateList>
        <item>）</item>
      </candidateList>
      <explain>文本全半角错误。</explain>
      <paraID> BF50C1E</paraID>
      <start>6</start>
      <end>7</end>
      <status>unmodified</status>
      <modifiedWord/>
      <trackRevisions>false</trackRevisions>
    </reviewItem>
    <reviewItem>
      <errorID>e7303d08-9d58-48d5-aa05-23f4e785e53b</errorID>
      <errorWord>(</errorWord>
      <group>L1_Format</group>
      <groupName>格式问题</groupName>
      <ability>L2_HalfPunc_CN</ability>
      <abilityName>全半角问题</abilityName>
      <candidateList>
        <item>（</item>
      </candidateList>
      <explain>文本全半角错误。</explain>
      <paraID>2C957D1D</paraID>
      <start>3</start>
      <end>4</end>
      <status>unmodified</status>
      <modifiedWord/>
      <trackRevisions>false</trackRevisions>
    </reviewItem>
    <reviewItem>
      <errorID>5fc2722a-49fc-45e8-9de2-145d67a62edb</errorID>
      <errorWord>)</errorWord>
      <group>L1_Format</group>
      <groupName>格式问题</groupName>
      <ability>L2_HalfPunc_CN</ability>
      <abilityName>全半角问题</abilityName>
      <candidateList>
        <item>）</item>
      </candidateList>
      <explain>文本全半角错误。</explain>
      <paraID>2C957D1D</paraID>
      <start>5</start>
      <end>6</end>
      <status>unmodified</status>
      <modifiedWord/>
      <trackRevisions>false</trackRevisions>
    </reviewItem>
    <reviewItem>
      <errorID>23e38b1f-c0fe-474b-9590-bec906eb3bb4</errorID>
      <errorWord>,</errorWord>
      <group>L1_Word</group>
      <groupName>字词问题</groupName>
      <ability>L2_Typo</ability>
      <abilityName>字词错误</abilityName>
      <candidateList>
        <item>,根</item>
      </candidateList>
      <explain/>
      <paraID>7C231FED</paraID>
      <start>36</start>
      <end>37</end>
      <status>unmodified</status>
      <modifiedWord/>
      <trackRevisions>false</trackRevisions>
    </reviewItem>
    <reviewItem>
      <errorID>d568b48d-fcc4-4051-9c9e-a73b7be6e322</errorID>
      <errorWord>(</errorWord>
      <group>L1_Format</group>
      <groupName>格式问题</groupName>
      <ability>L2_HalfPunc_CN</ability>
      <abilityName>全半角问题</abilityName>
      <candidateList>
        <item>（</item>
      </candidateList>
      <explain>文本全半角错误。</explain>
      <paraID>7C231FED</paraID>
      <start>48</start>
      <end>49</end>
      <status>unmodified</status>
      <modifiedWord/>
      <trackRevisions>false</trackRevisions>
    </reviewItem>
    <reviewItem>
      <errorID>ce0e67d5-3fb7-48f7-b55f-1c56a489fe69</errorID>
      <errorWord>)</errorWord>
      <group>L1_Format</group>
      <groupName>格式问题</groupName>
      <ability>L2_HalfPunc_CN</ability>
      <abilityName>全半角问题</abilityName>
      <candidateList>
        <item>）</item>
      </candidateList>
      <explain>文本全半角错误。</explain>
      <paraID>7C231FED</paraID>
      <start>54</start>
      <end>55</end>
      <status>unmodified</status>
      <modifiedWord/>
      <trackRevisions>false</trackRevisions>
    </reviewItem>
    <reviewItem>
      <errorID>6ac1f40b-c48b-4c9d-842b-61b61bdd6a04</errorID>
      <errorWord>,</errorWord>
      <group>L1_Format</group>
      <groupName>格式问题</groupName>
      <ability>L2_HalfPunc_CN</ability>
      <abilityName>全半角问题</abilityName>
      <candidateList>
        <item>，</item>
      </candidateList>
      <explain>文本全半角错误。</explain>
      <paraID>7C231FED</paraID>
      <start>56</start>
      <end>57</end>
      <status>unmodified</status>
      <modifiedWord/>
      <trackRevisions>false</trackRevisions>
    </reviewItem>
    <reviewItem>
      <errorID>c85b402c-4ccf-4a54-ae16-7d6034a790f4</errorID>
      <errorWord>,</errorWord>
      <group>L1_Format</group>
      <groupName>格式问题</groupName>
      <ability>L2_HalfPunc_CN</ability>
      <abilityName>全半角问题</abilityName>
      <candidateList>
        <item>，</item>
      </candidateList>
      <explain>文本全半角错误。</explain>
      <paraID>7C231FED</paraID>
      <start>71</start>
      <end>72</end>
      <status>unmodified</status>
      <modifiedWord/>
      <trackRevisions>false</trackRevisions>
    </reviewItem>
    <reviewItem>
      <errorID>b5ccc4cf-f34c-4543-a83d-00323c5e8476</errorID>
      <errorWord>,</errorWord>
      <group>L1_Format</group>
      <groupName>格式问题</groupName>
      <ability>L2_HalfPunc_CN</ability>
      <abilityName>全半角问题</abilityName>
      <candidateList>
        <item>，</item>
      </candidateList>
      <explain>文本全半角错误。</explain>
      <paraID>2538E4A8</paraID>
      <start>28</start>
      <end>29</end>
      <status>unmodified</status>
      <modifiedWord/>
      <trackRevisions>false</trackRevisions>
    </reviewItem>
    <reviewItem>
      <errorID>c420dd85-87fe-42c8-bb55-1c1acf5f2702</errorID>
      <errorWord>,</errorWord>
      <group>L1_Format</group>
      <groupName>格式问题</groupName>
      <ability>L2_HalfPunc_CN</ability>
      <abilityName>全半角问题</abilityName>
      <candidateList>
        <item>，</item>
      </candidateList>
      <explain>文本全半角错误。</explain>
      <paraID>2538E4A8</paraID>
      <start>59</start>
      <end>60</end>
      <status>unmodified</status>
      <modifiedWord/>
      <trackRevisions>false</trackRevisions>
    </reviewItem>
    <reviewItem>
      <errorID>7fff5338-9878-4b72-b658-0b2ecfae9062</errorID>
      <errorWord>,</errorWord>
      <group>L1_Format</group>
      <groupName>格式问题</groupName>
      <ability>L2_HalfPunc_CN</ability>
      <abilityName>全半角问题</abilityName>
      <candidateList>
        <item>，</item>
      </candidateList>
      <explain>文本全半角错误。</explain>
      <paraID>2538E4A8</paraID>
      <start>90</start>
      <end>91</end>
      <status>unmodified</status>
      <modifiedWord/>
      <trackRevisions>false</trackRevisions>
    </reviewItem>
    <reviewItem>
      <errorID>16979978-215a-442c-aecb-fa0b9f114bfd</errorID>
      <errorWord>,</errorWord>
      <group>L1_Format</group>
      <groupName>格式问题</groupName>
      <ability>L2_HalfPunc_CN</ability>
      <abilityName>全半角问题</abilityName>
      <candidateList>
        <item>，</item>
      </candidateList>
      <explain>文本全半角错误。</explain>
      <paraID> E618E0F</paraID>
      <start>27</start>
      <end>28</end>
      <status>unmodified</status>
      <modifiedWord/>
      <trackRevisions>false</trackRevisions>
    </reviewItem>
    <reviewItem>
      <errorID>ac31b030-d1c8-4cc2-9db0-a65d0ce1c7dc</errorID>
      <errorWord>,</errorWord>
      <group>L1_Format</group>
      <groupName>格式问题</groupName>
      <ability>L2_HalfPunc_CN</ability>
      <abilityName>全半角问题</abilityName>
      <candidateList>
        <item>，</item>
      </candidateList>
      <explain>文本全半角错误。</explain>
      <paraID> E618E0F</paraID>
      <start>58</start>
      <end>59</end>
      <status>unmodified</status>
      <modifiedWord/>
      <trackRevisions>false</trackRevisions>
    </reviewItem>
    <reviewItem>
      <errorID>52aa9f1d-b347-4002-90bf-289b58550aac</errorID>
      <errorWord>,</errorWord>
      <group>L1_Format</group>
      <groupName>格式问题</groupName>
      <ability>L2_HalfPunc_CN</ability>
      <abilityName>全半角问题</abilityName>
      <candidateList>
        <item>，</item>
      </candidateList>
      <explain>文本全半角错误。</explain>
      <paraID> E618E0F</paraID>
      <start>89</start>
      <end>90</end>
      <status>unmodified</status>
      <modifiedWord/>
      <trackRevisions>false</trackRevisions>
    </reviewItem>
    <reviewItem>
      <errorID>b5587312-f316-4d1d-b0f4-ad2588223439</errorID>
      <errorWord>,</errorWord>
      <group>L1_Format</group>
      <groupName>格式问题</groupName>
      <ability>L2_HalfPunc_CN</ability>
      <abilityName>全半角问题</abilityName>
      <candidateList>
        <item>，</item>
      </candidateList>
      <explain>文本全半角错误。</explain>
      <paraID>18C888B8</paraID>
      <start>49</start>
      <end>50</end>
      <status>unmodified</status>
      <modifiedWord/>
      <trackRevisions>false</trackRevisions>
    </reviewItem>
    <reviewItem>
      <errorID>f1c73644-a1fa-4205-9930-0f3033fd0dbb</errorID>
      <errorWord>系统系统</errorWord>
      <group>L1_Word</group>
      <groupName>字词问题</groupName>
      <ability>L2_Typo</ability>
      <abilityName>字词错误</abilityName>
      <candidateList>
        <item>系统</item>
      </candidateList>
      <explain/>
      <paraID> 56D60B8</paraID>
      <start>11</start>
      <end>15</end>
      <status>unmodified</status>
      <modifiedWord/>
      <trackRevisions>false</trackRevisions>
    </reviewItem>
    <reviewItem>
      <errorID>29545954-5c89-4b30-a853-f6edfa4bb767</errorID>
      <errorWord>生物生物</errorWord>
      <group>L1_Word</group>
      <groupName>字词问题</groupName>
      <ability>L2_Typo</ability>
      <abilityName>字词错误</abilityName>
      <candidateList>
        <item>生物</item>
      </candidateList>
      <explain/>
      <paraID> 56D60B8</paraID>
      <start>242</start>
      <end>246</end>
      <status>unmodified</status>
      <modifiedWord/>
      <trackRevisions>false</trackRevisions>
    </reviewItem>
    <reviewItem>
      <errorID>5d68ff75-7aa7-4b18-9e07-a341efc4381d</errorID>
      <errorWord>生物生物</errorWord>
      <group>L1_Word</group>
      <groupName>字词问题</groupName>
      <ability>L2_Typo</ability>
      <abilityName>字词错误</abilityName>
      <candidateList>
        <item>生物</item>
      </candidateList>
      <explain/>
      <paraID> 56D60B8</paraID>
      <start>295</start>
      <end>299</end>
      <status>unmodified</status>
      <modifiedWord/>
      <trackRevisions>false</trackRevisions>
    </reviewItem>
    <reviewItem>
      <errorID>d4e9f138-02d2-4cec-9005-e68ad85d85f4</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 56D60B8</paraID>
      <start>331</start>
      <end>335</end>
      <status>unmodified</status>
      <modifiedWord/>
      <trackRevisions>false</trackRevisions>
    </reviewItem>
    <reviewItem>
      <errorID>754b0f7b-6606-4972-a078-7c0e0a85a215</errorID>
      <errorWord>(</errorWord>
      <group>L1_Format</group>
      <groupName>格式问题</groupName>
      <ability>L2_HalfPunc_CN</ability>
      <abilityName>全半角问题</abilityName>
      <candidateList>
        <item>（</item>
      </candidateList>
      <explain>文本全半角错误。</explain>
      <paraID>5A4C43BD</paraID>
      <start>23</start>
      <end>24</end>
      <status>unmodified</status>
      <modifiedWord/>
      <trackRevisions>false</trackRevisions>
    </reviewItem>
    <reviewItem>
      <errorID>c3120d6c-42bb-4a8b-9960-8c93828c23b3</errorID>
      <errorWord>)</errorWord>
      <group>L1_Format</group>
      <groupName>格式问题</groupName>
      <ability>L2_HalfPunc_CN</ability>
      <abilityName>全半角问题</abilityName>
      <candidateList>
        <item>）</item>
      </candidateList>
      <explain>文本全半角错误。</explain>
      <paraID>5A4C43BD</paraID>
      <start>28</start>
      <end>29</end>
      <status>unmodified</status>
      <modifiedWord/>
      <trackRevisions>false</trackRevisions>
    </reviewItem>
    <reviewItem>
      <errorID>764cb6cf-a1d0-4c2a-b1c2-8e7ed768b3bb</errorID>
      <errorWord>(</errorWord>
      <group>L1_Format</group>
      <groupName>格式问题</groupName>
      <ability>L2_HalfPunc_CN</ability>
      <abilityName>全半角问题</abilityName>
      <candidateList>
        <item>（</item>
      </candidateList>
      <explain>文本全半角错误。</explain>
      <paraID>5A4C43BD</paraID>
      <start>33</start>
      <end>34</end>
      <status>unmodified</status>
      <modifiedWord/>
      <trackRevisions>false</trackRevisions>
    </reviewItem>
    <reviewItem>
      <errorID>480564e2-a02d-4718-ae96-a7416ed4dd57</errorID>
      <errorWord>)</errorWord>
      <group>L1_Format</group>
      <groupName>格式问题</groupName>
      <ability>L2_HalfPunc_CN</ability>
      <abilityName>全半角问题</abilityName>
      <candidateList>
        <item>）</item>
      </candidateList>
      <explain>文本全半角错误。</explain>
      <paraID>5A4C43BD</paraID>
      <start>38</start>
      <end>39</end>
      <status>unmodified</status>
      <modifiedWord/>
      <trackRevisions>false</trackRevisions>
    </reviewItem>
    <reviewItem>
      <errorID>6d470c6c-900f-48d4-bf64-e3b46b2a7a06</errorID>
      <errorWord>,</errorWord>
      <group>L1_Format</group>
      <groupName>格式问题</groupName>
      <ability>L2_HalfPunc_CN</ability>
      <abilityName>全半角问题</abilityName>
      <candidateList>
        <item>，</item>
      </candidateList>
      <explain>文本全半角错误。</explain>
      <paraID>4E86F803</paraID>
      <start>15</start>
      <end>16</end>
      <status>unmodified</status>
      <modifiedWord/>
      <trackRevisions>false</trackRevisions>
    </reviewItem>
    <reviewItem>
      <errorID>c6fdd758-67d4-4ea5-887c-bdd4ed91e9d8</errorID>
      <errorWord>感</errorWord>
      <group>L1_Word</group>
      <groupName>字词问题</groupName>
      <ability>L2_Typo</ability>
      <abilityName>字词错误</abilityName>
      <candidateList>
        <item>感区</item>
      </candidateList>
      <explain/>
      <paraID>4E86F803</paraID>
      <start>29</start>
      <end>30</end>
      <status>unmodified</status>
      <modifiedWord/>
      <trackRevisions>false</trackRevisions>
    </reviewItem>
    <reviewItem>
      <errorID>39eaa673-bf3c-481b-b8ed-0584a83d4d53</errorID>
      <errorWord>(</errorWord>
      <group>L1_Format</group>
      <groupName>格式问题</groupName>
      <ability>L2_HalfPunc_CN</ability>
      <abilityName>全半角问题</abilityName>
      <candidateList>
        <item>（</item>
      </candidateList>
      <explain>文本全半角错误。</explain>
      <paraID>1274A55A</paraID>
      <start>22</start>
      <end>23</end>
      <status>unmodified</status>
      <modifiedWord/>
      <trackRevisions>false</trackRevisions>
    </reviewItem>
    <reviewItem>
      <errorID>a9c3c943-9913-47f9-b709-536893fa715b</errorID>
      <errorWord>)</errorWord>
      <group>L1_Format</group>
      <groupName>格式问题</groupName>
      <ability>L2_HalfPunc_CN</ability>
      <abilityName>全半角问题</abilityName>
      <candidateList>
        <item>）</item>
      </candidateList>
      <explain>文本全半角错误。</explain>
      <paraID>1274A55A</paraID>
      <start>28</start>
      <end>29</end>
      <status>unmodified</status>
      <modifiedWord/>
      <trackRevisions>false</trackRevisions>
    </reviewItem>
    <reviewItem>
      <errorID>5a7f20e3-fcd8-456c-acd9-7a25f9b1f879</errorID>
      <errorWord>(</errorWord>
      <group>L1_Format</group>
      <groupName>格式问题</groupName>
      <ability>L2_HalfPunc_CN</ability>
      <abilityName>全半角问题</abilityName>
      <candidateList>
        <item>（</item>
      </candidateList>
      <explain>文本全半角错误。</explain>
      <paraID>1274A55A</paraID>
      <start>30</start>
      <end>31</end>
      <status>unmodified</status>
      <modifiedWord/>
      <trackRevisions>false</trackRevisions>
    </reviewItem>
    <reviewItem>
      <errorID>1de0c123-4d24-4be4-9256-ce618fbd438b</errorID>
      <errorWord>)</errorWord>
      <group>L1_Format</group>
      <groupName>格式问题</groupName>
      <ability>L2_HalfPunc_CN</ability>
      <abilityName>全半角问题</abilityName>
      <candidateList>
        <item>）</item>
      </candidateList>
      <explain>文本全半角错误。</explain>
      <paraID>1274A55A</paraID>
      <start>33</start>
      <end>34</end>
      <status>unmodified</status>
      <modifiedWord/>
      <trackRevisions>false</trackRevisions>
    </reviewItem>
    <reviewItem>
      <errorID>892f04dc-8ca3-47cf-841f-4e3515c985a0</errorID>
      <errorWord>)</errorWord>
      <group>L1_Format</group>
      <groupName>格式问题</groupName>
      <ability>L2_HalfPunc_CN</ability>
      <abilityName>全半角问题</abilityName>
      <candidateList>
        <item>）</item>
      </candidateList>
      <explain>文本全半角错误。</explain>
      <paraID> 2707C00</paraID>
      <start>40</start>
      <end>41</end>
      <status>unmodified</status>
      <modifiedWord/>
      <trackRevisions>false</trackRevisions>
    </reviewItem>
    <reviewItem>
      <errorID>72461249-cd5c-4124-9045-63f3d91856f2</errorID>
      <errorWord>,</errorWord>
      <group>L1_Format</group>
      <groupName>格式问题</groupName>
      <ability>L2_HalfPunc_CN</ability>
      <abilityName>全半角问题</abilityName>
      <candidateList>
        <item>，</item>
      </candidateList>
      <explain>文本全半角错误。</explain>
      <paraID>530BB985</paraID>
      <start>35</start>
      <end>36</end>
      <status>unmodified</status>
      <modifiedWord/>
      <trackRevisions>false</trackRevisions>
    </reviewItem>
    <reviewItem>
      <errorID>819ea894-99d2-46c4-b63f-f9b06964bb8b</errorID>
      <errorWord>,</errorWord>
      <group>L1_Format</group>
      <groupName>格式问题</groupName>
      <ability>L2_HalfPunc_CN</ability>
      <abilityName>全半角问题</abilityName>
      <candidateList>
        <item>，</item>
      </candidateList>
      <explain>文本全半角错误。</explain>
      <paraID>184EB3FB</paraID>
      <start>4</start>
      <end>5</end>
      <status>unmodified</status>
      <modifiedWord/>
      <trackRevisions>false</trackRevisions>
    </reviewItem>
    <reviewItem>
      <errorID>67bf2da0-4a63-4b9b-8693-73d0d99ed8ee</errorID>
      <errorWord>,</errorWord>
      <group>L1_Format</group>
      <groupName>格式问题</groupName>
      <ability>L2_HalfPunc_CN</ability>
      <abilityName>全半角问题</abilityName>
      <candidateList>
        <item>，</item>
      </candidateList>
      <explain>文本全半角错误。</explain>
      <paraID>481DA20B</paraID>
      <start>9</start>
      <end>10</end>
      <status>unmodified</status>
      <modifiedWord/>
      <trackRevisions>false</trackRevisions>
    </reviewItem>
    <reviewItem>
      <errorID>573286cd-8923-4ed4-9f35-7b2e38e2dca6</errorID>
      <errorWord>,</errorWord>
      <group>L1_Format</group>
      <groupName>格式问题</groupName>
      <ability>L2_HalfPunc_CN</ability>
      <abilityName>全半角问题</abilityName>
      <candidateList>
        <item>，</item>
      </candidateList>
      <explain>文本全半角错误。</explain>
      <paraID>481DA20B</paraID>
      <start>18</start>
      <end>19</end>
      <status>unmodified</status>
      <modifiedWord/>
      <trackRevisions>false</trackRevisions>
    </reviewItem>
    <reviewItem>
      <errorID>145b8591-50a1-4417-8289-abca9d252493</errorID>
      <errorWord>)</errorWord>
      <group>L1_Format</group>
      <groupName>格式问题</groupName>
      <ability>L2_HalfPunc_CN</ability>
      <abilityName>全半角问题</abilityName>
      <candidateList>
        <item>）</item>
      </candidateList>
      <explain>文本全半角错误。</explain>
      <paraID>5D9242DF</paraID>
      <start>12</start>
      <end>13</end>
      <status>unmodified</status>
      <modifiedWord/>
      <trackRevisions>false</trackRevisions>
    </reviewItem>
    <reviewItem>
      <errorID>43a82bbd-9a6e-4318-aadf-bf8509c68b82</errorID>
      <errorWord>,</errorWord>
      <group>L1_Format</group>
      <groupName>格式问题</groupName>
      <ability>L2_HalfPunc_CN</ability>
      <abilityName>全半角问题</abilityName>
      <candidateList>
        <item>，</item>
      </candidateList>
      <explain>文本全半角错误。</explain>
      <paraID>68C767FB</paraID>
      <start>6</start>
      <end>7</end>
      <status>unmodified</status>
      <modifiedWord/>
      <trackRevisions>false</trackRevisions>
    </reviewItem>
    <reviewItem>
      <errorID>09bb55f6-8375-486d-a3e8-484ee94f0777</errorID>
      <errorWord>(</errorWord>
      <group>L1_Format</group>
      <groupName>格式问题</groupName>
      <ability>L2_HalfPunc_CN</ability>
      <abilityName>全半角问题</abilityName>
      <candidateList>
        <item>（</item>
      </candidateList>
      <explain>文本全半角错误。</explain>
      <paraID>68C767FB</paraID>
      <start>47</start>
      <end>48</end>
      <status>unmodified</status>
      <modifiedWord/>
      <trackRevisions>false</trackRevisions>
    </reviewItem>
    <reviewItem>
      <errorID>959eadff-6e84-4252-866e-c828642e20a2</errorID>
      <errorWord>)</errorWord>
      <group>L1_Format</group>
      <groupName>格式问题</groupName>
      <ability>L2_HalfPunc_CN</ability>
      <abilityName>全半角问题</abilityName>
      <candidateList>
        <item>）</item>
      </candidateList>
      <explain>文本全半角错误。</explain>
      <paraID>68C767FB</paraID>
      <start>61</start>
      <end>62</end>
      <status>unmodified</status>
      <modifiedWord/>
      <trackRevisions>false</trackRevisions>
    </reviewItem>
    <reviewItem>
      <errorID>b6a9b290-2a2e-4c6f-935e-85c311fd5ba3</errorID>
      <errorWord>(</errorWord>
      <group>L1_Format</group>
      <groupName>格式问题</groupName>
      <ability>L2_HalfPunc_CN</ability>
      <abilityName>全半角问题</abilityName>
      <candidateList>
        <item>（</item>
      </candidateList>
      <explain>文本全半角错误。</explain>
      <paraID>6749ED1D</paraID>
      <start>4</start>
      <end>5</end>
      <status>unmodified</status>
      <modifiedWord/>
      <trackRevisions>false</trackRevisions>
    </reviewItem>
    <reviewItem>
      <errorID>d240c642-0c40-46af-8635-b892a7277eda</errorID>
      <errorWord>)</errorWord>
      <group>L1_Format</group>
      <groupName>格式问题</groupName>
      <ability>L2_HalfPunc_CN</ability>
      <abilityName>全半角问题</abilityName>
      <candidateList>
        <item>）</item>
      </candidateList>
      <explain>文本全半角错误。</explain>
      <paraID>6749ED1D</paraID>
      <start>10</start>
      <end>11</end>
      <status>unmodified</status>
      <modifiedWord/>
      <trackRevisions>false</trackRevisions>
    </reviewItem>
    <reviewItem>
      <errorID>759a3841-67b5-4177-879f-b57e8222aacf</errorID>
      <errorWord>(</errorWord>
      <group>L1_Format</group>
      <groupName>格式问题</groupName>
      <ability>L2_HalfPunc_CN</ability>
      <abilityName>全半角问题</abilityName>
      <candidateList>
        <item>（</item>
      </candidateList>
      <explain>文本全半角错误。</explain>
      <paraID>6749ED1D</paraID>
      <start>23</start>
      <end>24</end>
      <status>unmodified</status>
      <modifiedWord/>
      <trackRevisions>false</trackRevisions>
    </reviewItem>
    <reviewItem>
      <errorID>e9cdd6dc-9473-4c79-99a3-b0af88e36f0f</errorID>
      <errorWord>)</errorWord>
      <group>L1_Format</group>
      <groupName>格式问题</groupName>
      <ability>L2_HalfPunc_CN</ability>
      <abilityName>全半角问题</abilityName>
      <candidateList>
        <item>）</item>
      </candidateList>
      <explain>文本全半角错误。</explain>
      <paraID>6749ED1D</paraID>
      <start>29</start>
      <end>30</end>
      <status>unmodified</status>
      <modifiedWord/>
      <trackRevisions>false</trackRevisions>
    </reviewItem>
    <reviewItem>
      <errorID>80c207f2-ce6a-4b13-9d9c-185bbfdd1244</errorID>
      <errorWord>,</errorWord>
      <group>L1_Format</group>
      <groupName>格式问题</groupName>
      <ability>L2_HalfPunc_CN</ability>
      <abilityName>全半角问题</abilityName>
      <candidateList>
        <item>，</item>
      </candidateList>
      <explain>文本全半角错误。</explain>
      <paraID>6749ED1D</paraID>
      <start>68</start>
      <end>69</end>
      <status>unmodified</status>
      <modifiedWord/>
      <trackRevisions>false</trackRevisions>
    </reviewItem>
    <reviewItem>
      <errorID>75e95600-7cff-40e4-be38-9c07d2ea8669</errorID>
      <errorWord>,</errorWord>
      <group>L1_Format</group>
      <groupName>格式问题</groupName>
      <ability>L2_HalfPunc_CN</ability>
      <abilityName>全半角问题</abilityName>
      <candidateList>
        <item>，</item>
      </candidateList>
      <explain>文本全半角错误。</explain>
      <paraID>6749ED1D</paraID>
      <start>77</start>
      <end>78</end>
      <status>unmodified</status>
      <modifiedWord/>
      <trackRevisions>false</trackRevisions>
    </reviewItem>
    <reviewItem>
      <errorID>f045ad76-01d6-4c42-92f1-22cf8e4cf78c</errorID>
      <errorWord>(</errorWord>
      <group>L1_Format</group>
      <groupName>格式问题</groupName>
      <ability>L2_HalfPunc_CN</ability>
      <abilityName>全半角问题</abilityName>
      <candidateList>
        <item>（</item>
      </candidateList>
      <explain>文本全半角错误。</explain>
      <paraID> 5156993</paraID>
      <start>42</start>
      <end>43</end>
      <status>unmodified</status>
      <modifiedWord/>
      <trackRevisions>false</trackRevisions>
    </reviewItem>
    <reviewItem>
      <errorID>53f92e65-026b-4dcf-9182-d105bf000ed6</errorID>
      <errorWord>)</errorWord>
      <group>L1_Format</group>
      <groupName>格式问题</groupName>
      <ability>L2_HalfPunc_CN</ability>
      <abilityName>全半角问题</abilityName>
      <candidateList>
        <item>）</item>
      </candidateList>
      <explain>文本全半角错误。</explain>
      <paraID> 5156993</paraID>
      <start>46</start>
      <end>47</end>
      <status>unmodified</status>
      <modifiedWord/>
      <trackRevisions>false</trackRevisions>
    </reviewItem>
    <reviewItem>
      <errorID>f8f76252-47cb-4055-a08c-f6062a9c94b1</errorID>
      <errorWord>(</errorWord>
      <group>L1_Format</group>
      <groupName>格式问题</groupName>
      <ability>L2_HalfPunc_CN</ability>
      <abilityName>全半角问题</abilityName>
      <candidateList>
        <item>（</item>
      </candidateList>
      <explain>文本全半角错误。</explain>
      <paraID> 5156993</paraID>
      <start>52</start>
      <end>53</end>
      <status>unmodified</status>
      <modifiedWord/>
      <trackRevisions>false</trackRevisions>
    </reviewItem>
    <reviewItem>
      <errorID>297cb880-e1d8-4b6f-be53-e1ced8f9547e</errorID>
      <errorWord>)</errorWord>
      <group>L1_Format</group>
      <groupName>格式问题</groupName>
      <ability>L2_HalfPunc_CN</ability>
      <abilityName>全半角问题</abilityName>
      <candidateList>
        <item>）</item>
      </candidateList>
      <explain>文本全半角错误。</explain>
      <paraID> 5156993</paraID>
      <start>56</start>
      <end>57</end>
      <status>unmodified</status>
      <modifiedWord/>
      <trackRevisions>false</trackRevisions>
    </reviewItem>
    <reviewItem>
      <errorID>b1e83373-6194-46a4-8f7e-8fc2065b5204</errorID>
      <errorWord>(</errorWord>
      <group>L1_Format</group>
      <groupName>格式问题</groupName>
      <ability>L2_HalfPunc_CN</ability>
      <abilityName>全半角问题</abilityName>
      <candidateList>
        <item>（</item>
      </candidateList>
      <explain>文本全半角错误。</explain>
      <paraID> 5156993</paraID>
      <start>64</start>
      <end>65</end>
      <status>unmodified</status>
      <modifiedWord/>
      <trackRevisions>false</trackRevisions>
    </reviewItem>
    <reviewItem>
      <errorID>30bb7263-cc22-4de4-90d3-a5c4a53475cd</errorID>
      <errorWord>)</errorWord>
      <group>L1_Format</group>
      <groupName>格式问题</groupName>
      <ability>L2_HalfPunc_CN</ability>
      <abilityName>全半角问题</abilityName>
      <candidateList>
        <item>）</item>
      </candidateList>
      <explain>文本全半角错误。</explain>
      <paraID> 5156993</paraID>
      <start>69</start>
      <end>70</end>
      <status>unmodified</status>
      <modifiedWord/>
      <trackRevisions>false</trackRevisions>
    </reviewItem>
    <reviewItem>
      <errorID>1be5b2e1-a187-4a03-b133-6cc70dfd0d4f</errorID>
      <errorWord>(</errorWord>
      <group>L1_Format</group>
      <groupName>格式问题</groupName>
      <ability>L2_HalfPunc_CN</ability>
      <abilityName>全半角问题</abilityName>
      <candidateList>
        <item>（</item>
      </candidateList>
      <explain>文本全半角错误。</explain>
      <paraID> 5156993</paraID>
      <start>75</start>
      <end>76</end>
      <status>unmodified</status>
      <modifiedWord/>
      <trackRevisions>false</trackRevisions>
    </reviewItem>
    <reviewItem>
      <errorID>596e75cb-ebe5-452e-822f-0937e4b9ecfb</errorID>
      <errorWord>)</errorWord>
      <group>L1_Format</group>
      <groupName>格式问题</groupName>
      <ability>L2_HalfPunc_CN</ability>
      <abilityName>全半角问题</abilityName>
      <candidateList>
        <item>）</item>
      </candidateList>
      <explain>文本全半角错误。</explain>
      <paraID> 5156993</paraID>
      <start>81</start>
      <end>82</end>
      <status>unmodified</status>
      <modifiedWord/>
      <trackRevisions>false</trackRevisions>
    </reviewItem>
    <reviewItem>
      <errorID>3a1473a4-595e-4b36-9192-4e4ca98804b5</errorID>
      <errorWord>,</errorWord>
      <group>L1_Format</group>
      <groupName>格式问题</groupName>
      <ability>L2_HalfPunc_CN</ability>
      <abilityName>全半角问题</abilityName>
      <candidateList>
        <item>，</item>
      </candidateList>
      <explain>文本全半角错误。</explain>
      <paraID>407767AC</paraID>
      <start>36</start>
      <end>37</end>
      <status>unmodified</status>
      <modifiedWord/>
      <trackRevisions>false</trackRevisions>
    </reviewItem>
    <reviewItem>
      <errorID>d36b6090-e3be-4909-bb29-b6b1dd719102</errorID>
      <errorWord>(</errorWord>
      <group>L1_Format</group>
      <groupName>格式问题</groupName>
      <ability>L2_HalfPunc_CN</ability>
      <abilityName>全半角问题</abilityName>
      <candidateList>
        <item>（</item>
      </candidateList>
      <explain>文本全半角错误。</explain>
      <paraID>407767AC</paraID>
      <start>41</start>
      <end>42</end>
      <status>unmodified</status>
      <modifiedWord/>
      <trackRevisions>false</trackRevisions>
    </reviewItem>
    <reviewItem>
      <errorID>43c22d2a-cc4b-421e-89be-30832da9f64c</errorID>
      <errorWord>)</errorWord>
      <group>L1_Format</group>
      <groupName>格式问题</groupName>
      <ability>L2_HalfPunc_CN</ability>
      <abilityName>全半角问题</abilityName>
      <candidateList>
        <item>）</item>
      </candidateList>
      <explain>文本全半角错误。</explain>
      <paraID>407767AC</paraID>
      <start>44</start>
      <end>45</end>
      <status>unmodified</status>
      <modifiedWord/>
      <trackRevisions>false</trackRevisions>
    </reviewItem>
    <reviewItem>
      <errorID>8e5448aa-26c3-47c9-8ae1-5143745dba54</errorID>
      <errorWord>。</errorWord>
      <group>L1_Format</group>
      <groupName>格式问题</groupName>
      <ability>L2_HalfPunc_CN</ability>
      <abilityName>全半角问题</abilityName>
      <candidateList>
        <item>.</item>
      </candidateList>
      <explain>文本全半角错误。</explain>
      <paraID> 240D421</paraID>
      <start>8</start>
      <end>9</end>
      <status>unmodified</status>
      <modifiedWord/>
      <trackRevisions>false</trackRevisions>
    </reviewItem>
    <reviewItem>
      <errorID>192ea449-d4af-4a7e-8e4a-c9afed5099dd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240D421</paraID>
      <start>16</start>
      <end>17</end>
      <status>unmodified</status>
      <modifiedWord/>
      <trackRevisions>false</trackRevisions>
    </reviewItem>
    <reviewItem>
      <errorID>39659efc-12a9-47cf-ac53-cac58a15cefc</errorID>
      <errorWord>(</errorWord>
      <group>L1_Format</group>
      <groupName>格式问题</groupName>
      <ability>L2_HalfPunc_CN</ability>
      <abilityName>全半角问题</abilityName>
      <candidateList>
        <item>（</item>
      </candidateList>
      <explain>文本全半角错误。</explain>
      <paraID> 240D421</paraID>
      <start>28</start>
      <end>29</end>
      <status>unmodified</status>
      <modifiedWord/>
      <trackRevisions>false</trackRevisions>
    </reviewItem>
    <reviewItem>
      <errorID>c4d9652f-5759-4f9c-aaf0-3533957bc574</errorID>
      <errorWord>5)、</errorWord>
      <group>L1_Punc</group>
      <groupName>标点问题</groupName>
      <ability>L2_Punc_CN</ability>
      <abilityName>标点符号问题</abilityName>
      <candidateList>
        <item>5)</item>
      </candidateList>
      <explain>根据国标GB/T 15834-2011《标点符号用法》中的4.5.3.3节，带括号的汉字数字或阿拉伯数字表次序时，后面通常不加顿号。如“（一）指导思想”“（二）行动指南”。</explain>
      <paraID> 240D421</paraID>
      <start>33</start>
      <end>36</end>
      <status>unmodified</status>
      <modifiedWord/>
      <trackRevisions>false</trackRevisions>
    </reviewItem>
    <reviewItem>
      <errorID>df9506f1-39f0-4f97-81e6-0e7bee8c139d</errorID>
      <errorWord>90百</errorWord>
      <group>L1_Knowledge</group>
      <groupName>知识性问题</groupName>
      <ability>L2_Knowledge</ability>
      <abilityName>其他知识</abilityName>
      <candidateList>
        <item>9000</item>
      </candidateList>
      <explain>根据GB/T 15835-2011规定，只有“万”、“亿可以与阿拉伯数字混用，例如：“4万”、“4亿”、“4万亿”等。其他情况应统一使用阿拉伯数字。</explain>
      <paraID>5C5E4CA5</paraID>
      <start>36</start>
      <end>39</end>
      <status>unmodified</status>
      <modifiedWord/>
      <trackRevisions>false</trackRevisions>
    </reviewItem>
    <reviewItem>
      <errorID>063f3239-6324-4b2d-bcd9-1e5c4a94c788</errorID>
      <errorWord>(</errorWord>
      <group>L1_Format</group>
      <groupName>格式问题</groupName>
      <ability>L2_HalfPunc_CN</ability>
      <abilityName>全半角问题</abilityName>
      <candidateList>
        <item>（</item>
      </candidateList>
      <explain>文本全半角错误。</explain>
      <paraID>5C5E4CA5</paraID>
      <start>75</start>
      <end>76</end>
      <status>unmodified</status>
      <modifiedWord/>
      <trackRevisions>false</trackRevisions>
    </reviewItem>
    <reviewItem>
      <errorID>dc7f8da4-95bd-4d8e-90c2-fe70b9d388bc</errorID>
      <errorWord>)</errorWord>
      <group>L1_Format</group>
      <groupName>格式问题</groupName>
      <ability>L2_HalfPunc_CN</ability>
      <abilityName>全半角问题</abilityName>
      <candidateList>
        <item>）</item>
      </candidateList>
      <explain>文本全半角错误。</explain>
      <paraID>5C5E4CA5</paraID>
      <start>78</start>
      <end>79</end>
      <status>unmodified</status>
      <modifiedWord/>
      <trackRevisions>false</trackRevisions>
    </reviewItem>
    <reviewItem>
      <errorID>35d1f49a-7dcb-46c2-83dc-92f89812d563</errorID>
      <errorWord>陆良县为</errorWord>
      <group>L1_Word</group>
      <groupName>字词问题</groupName>
      <ability>L2_Typo</ability>
      <abilityName>字词错误</abilityName>
      <candidateList>
        <item>陆良县</item>
      </candidateList>
      <explain/>
      <paraID>5C5E4CA5</paraID>
      <start>103</start>
      <end>107</end>
      <status>unmodified</status>
      <modifiedWord/>
      <trackRevisions>false</trackRevisions>
    </reviewItem>
    <reviewItem>
      <errorID>43ffc347-5a13-4f40-bc65-8c0a8ad273bf</errorID>
      <errorWord>2024年09月07日</errorWord>
      <group>L1_Knowledge</group>
      <groupName>知识性问题</groupName>
      <ability>L2_Time</ability>
      <abilityName>日期时间</abilityName>
      <candidateList>
        <item>2024年9月7日</item>
      </candidateList>
      <explain>根据日常书写习惯，月份和日期一般会省略前导零。</explain>
      <paraID>40FC2B1F</paraID>
      <start>0</start>
      <end>11</end>
      <status>unmodified</status>
      <modifiedWord/>
      <trackRevisions>false</trackRevisions>
    </reviewItem>
    <reviewItem>
      <errorID>f88ab058-299d-4c66-be7b-6655cd184a15</errorID>
      <errorWord>09月09日</errorWord>
      <group>L1_Knowledge</group>
      <groupName>知识性问题</groupName>
      <ability>L2_Time</ability>
      <abilityName>日期时间</abilityName>
      <candidateList>
        <item>9月9日</item>
      </candidateList>
      <explain>根据日常书写习惯，月份和日期一般会省略前导零。</explain>
      <paraID>40FC2B1F</paraID>
      <start>12</start>
      <end>18</end>
      <status>unmodified</status>
      <modifiedWord/>
      <trackRevisions>false</trackRevisions>
    </reviewItem>
    <reviewItem>
      <errorID>c641a0c6-f988-4183-8394-a78d3f3ed5cc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73F3BDBD</paraID>
      <start>0</start>
      <end>3</end>
      <status>unmodified</status>
      <modifiedWord/>
      <trackRevisions>false</trackRevisions>
    </reviewItem>
    <reviewItem>
      <errorID>810a51a3-2358-46f7-8aa5-6f601ded66d9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52D5DDAE</paraID>
      <start>0</start>
      <end>3</end>
      <status>unmodified</status>
      <modifiedWord/>
      <trackRevisions>false</trackRevisions>
    </reviewItem>
    <reviewItem>
      <errorID>ad71ee78-8947-4021-9c12-35f1510cdd97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317AB505</paraID>
      <start>0</start>
      <end>3</end>
      <status>unmodified</status>
      <modifiedWord/>
      <trackRevisions>false</trackRevisions>
    </reviewItem>
    <reviewItem>
      <errorID>d5745139-c463-4f2d-b7d9-915518ef3848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54F12115</paraID>
      <start>0</start>
      <end>3</end>
      <status>unmodified</status>
      <modifiedWord/>
      <trackRevisions>false</trackRevisions>
    </reviewItem>
    <reviewItem>
      <errorID>b9c8bd70-0f8d-443d-8088-1a1be6982921</errorID>
      <errorWord>情</errorWord>
      <group>L1_Word</group>
      <groupName>字词问题</groupName>
      <ability>L2_Typo</ability>
      <abilityName>字词错误</abilityName>
      <candidateList>
        <item>情况</item>
      </candidateList>
      <explain/>
      <paraID>662C1200</paraID>
      <start>2</start>
      <end>3</end>
      <status>unmodified</status>
      <modifiedWord/>
      <trackRevisions>false</trackRevisions>
    </reviewItem>
    <reviewItem>
      <errorID>8f0c4135-df36-4819-8089-fef429b855a1</errorID>
      <errorWord>(</errorWord>
      <group>L1_Format</group>
      <groupName>格式问题</groupName>
      <ability>L2_HalfPunc_CN</ability>
      <abilityName>全半角问题</abilityName>
      <candidateList>
        <item>（</item>
      </candidateList>
      <explain>文本全半角错误。</explain>
      <paraID>7AA7FC9C</paraID>
      <start>18</start>
      <end>19</end>
      <status>unmodified</status>
      <modifiedWord/>
      <trackRevisions>false</trackRevisions>
    </reviewItem>
    <reviewItem>
      <errorID>ddbca04d-0896-4cd2-a4d6-e199446a2649</errorID>
      <errorWord>)</errorWord>
      <group>L1_Format</group>
      <groupName>格式问题</groupName>
      <ability>L2_HalfPunc_CN</ability>
      <abilityName>全半角问题</abilityName>
      <candidateList>
        <item>）</item>
      </candidateList>
      <explain>文本全半角错误。</explain>
      <paraID>7AA7FC9C</paraID>
      <start>31</start>
      <end>32</end>
      <status>unmodified</status>
      <modifiedWord/>
      <trackRevisions>false</trackRevisions>
    </reviewItem>
    <reviewItem>
      <errorID>c8d9699e-a216-4c7a-b445-95f4c483fa4b</errorID>
      <errorWord>)</errorWord>
      <group>L1_Format</group>
      <groupName>格式问题</groupName>
      <ability>L2_HalfPunc_CN</ability>
      <abilityName>全半角问题</abilityName>
      <candidateList>
        <item>）</item>
      </candidateList>
      <explain>文本全半角错误。</explain>
      <paraID>6714C99E</paraID>
      <start>47</start>
      <end>48</end>
      <status>unmodified</status>
      <modifiedWord/>
      <trackRevisions>false</trackRevisions>
    </reviewItem>
    <reviewItem>
      <errorID>c3c255ee-a68c-4858-9ef3-14b4ca771c6a</errorID>
      <errorWord>,</errorWord>
      <group>L1_Format</group>
      <groupName>格式问题</groupName>
      <ability>L2_HalfPunc_CN</ability>
      <abilityName>全半角问题</abilityName>
      <candidateList>
        <item>，</item>
      </candidateList>
      <explain>文本全半角错误。</explain>
      <paraID>16020ABF</paraID>
      <start>6</start>
      <end>7</end>
      <status>unmodified</status>
      <modifiedWord/>
      <trackRevisions>false</trackRevisions>
    </reviewItem>
    <reviewItem>
      <errorID>6f1f04f8-ecda-488c-b2e7-6e17e8d89cca</errorID>
      <errorWord>,</errorWord>
      <group>L1_Format</group>
      <groupName>格式问题</groupName>
      <ability>L2_HalfPunc_CN</ability>
      <abilityName>全半角问题</abilityName>
      <candidateList>
        <item>，</item>
      </candidateList>
      <explain>文本全半角错误。</explain>
      <paraID>16020ABF</paraID>
      <start>36</start>
      <end>37</end>
      <status>unmodified</status>
      <modifiedWord/>
      <trackRevisions>false</trackRevisions>
    </reviewItem>
    <reviewItem>
      <errorID>5058e551-887b-45eb-b6ae-3159900b6ef2</errorID>
      <errorWord>(</errorWord>
      <group>L1_Format</group>
      <groupName>格式问题</groupName>
      <ability>L2_HalfPunc_CN</ability>
      <abilityName>全半角问题</abilityName>
      <candidateList>
        <item>（</item>
      </candidateList>
      <explain>文本全半角错误。</explain>
      <paraID>76039EBF</paraID>
      <start>14</start>
      <end>15</end>
      <status>unmodified</status>
      <modifiedWord/>
      <trackRevisions>false</trackRevisions>
    </reviewItem>
    <reviewItem>
      <errorID>30df12b3-c565-405d-ab03-bdd391663450</errorID>
      <errorWord>),</errorWord>
      <group>L1_Format</group>
      <groupName>格式问题</groupName>
      <ability>L2_HalfPunc_CN</ability>
      <abilityName>全半角问题</abilityName>
      <candidateList>
        <item>），</item>
      </candidateList>
      <explain>文本全半角错误。</explain>
      <paraID>76039EBF</paraID>
      <start>22</start>
      <end>24</end>
      <status>unmodified</status>
      <modifiedWord/>
      <trackRevisions>false</trackRevisions>
    </reviewItem>
    <reviewItem>
      <errorID>cdc94a5a-04e4-4afc-ba74-2ee8f27aa712</errorID>
      <errorWord>-</errorWord>
      <group>L1_Format</group>
      <groupName>格式问题</groupName>
      <ability>L2_HalfPunc_CN</ability>
      <abilityName>全半角问题</abilityName>
      <candidateList>
        <item>－</item>
      </candidateList>
      <explain>文本全半角错误。</explain>
      <paraID> 163C2A8</paraID>
      <start>29</start>
      <end>30</end>
      <status>unmodified</status>
      <modifiedWord/>
      <trackRevisions>false</trackRevisions>
    </reviewItem>
    <reviewItem>
      <errorID>34bca2df-f53b-49f1-941e-8b09361ded32</errorID>
      <errorWord>)</errorWord>
      <group>L1_Format</group>
      <groupName>格式问题</groupName>
      <ability>L2_HalfPunc_CN</ability>
      <abilityName>全半角问题</abilityName>
      <candidateList>
        <item>）</item>
      </candidateList>
      <explain>文本全半角错误。</explain>
      <paraID>2B2C39FD</paraID>
      <start>14</start>
      <end>15</end>
      <status>unmodified</status>
      <modifiedWord/>
      <trackRevisions>false</trackRevisions>
    </reviewItem>
    <reviewItem>
      <errorID>c8d1e5aa-36bf-4565-b2db-60be5dd983b3</errorID>
      <errorWord>(</errorWord>
      <group>L1_Format</group>
      <groupName>格式问题</groupName>
      <ability>L2_HalfPunc_CN</ability>
      <abilityName>全半角问题</abilityName>
      <candidateList>
        <item>（</item>
      </candidateList>
      <explain>文本全半角错误。</explain>
      <paraID>2B2C39FD</paraID>
      <start>55</start>
      <end>56</end>
      <status>unmodified</status>
      <modifiedWord/>
      <trackRevisions>false</trackRevisions>
    </reviewItem>
    <reviewItem>
      <errorID>15a4cb55-7f15-47db-abf8-511a62e0dd2d</errorID>
      <errorWord>)</errorWord>
      <group>L1_Format</group>
      <groupName>格式问题</groupName>
      <ability>L2_HalfPunc_CN</ability>
      <abilityName>全半角问题</abilityName>
      <candidateList>
        <item>）</item>
      </candidateList>
      <explain>文本全半角错误。</explain>
      <paraID>2B2C39FD</paraID>
      <start>66</start>
      <end>67</end>
      <status>unmodified</status>
      <modifiedWord/>
      <trackRevisions>false</trackRevisions>
    </reviewItem>
    <reviewItem>
      <errorID>87890ef7-faa5-42f3-837e-de9c03ddf7d2</errorID>
      <errorWord>;</errorWord>
      <group>L1_Format</group>
      <groupName>格式问题</groupName>
      <ability>L2_HalfPunc_CN</ability>
      <abilityName>全半角问题</abilityName>
      <candidateList>
        <item>；</item>
      </candidateList>
      <explain>文本全半角错误。</explain>
      <paraID>1904C70C</paraID>
      <start>26</start>
      <end>27</end>
      <status>unmodified</status>
      <modifiedWord/>
      <trackRevisions>false</trackRevisions>
    </reviewItem>
    <reviewItem>
      <errorID>4348bab2-d6ea-4427-b450-ac400bc5208a</errorID>
      <errorWord>IV类</errorWord>
      <group>L1_Knowledge</group>
      <groupName>知识性问题</groupName>
      <ability>L2_Knowledge</ability>
      <abilityName>其他知识</abilityName>
      <candidateList>
        <item>Ⅳ类</item>
      </candidateList>
      <explain>中文环境下罗马数字格式错误。</explain>
      <paraID>1904C70C</paraID>
      <start>28</start>
      <end>31</end>
      <status>unmodified</status>
      <modifiedWord/>
      <trackRevisions>false</trackRevisions>
    </reviewItem>
    <reviewItem>
      <errorID>bcb17332-44c0-412c-b7a5-83f636f5b0a2</errorID>
      <errorWord>;</errorWord>
      <group>L1_Format</group>
      <groupName>格式问题</groupName>
      <ability>L2_HalfPunc_CN</ability>
      <abilityName>全半角问题</abilityName>
      <candidateList>
        <item>；</item>
      </candidateList>
      <explain>文本全半角错误。</explain>
      <paraID>3E93AA8C</paraID>
      <start>5</start>
      <end>6</end>
      <status>unmodified</status>
      <modifiedWord/>
      <trackRevisions>false</trackRevisions>
    </reviewItem>
    <reviewItem>
      <errorID>f3a72077-0631-478b-a0cf-47ec4eb931ea</errorID>
      <errorWord>(</errorWord>
      <group>L1_Format</group>
      <groupName>格式问题</groupName>
      <ability>L2_HalfPunc_CN</ability>
      <abilityName>全半角问题</abilityName>
      <candidateList>
        <item>（</item>
      </candidateList>
      <explain>文本全半角错误。</explain>
      <paraID>3E93AA8C</paraID>
      <start>17</start>
      <end>18</end>
      <status>unmodified</status>
      <modifiedWord/>
      <trackRevisions>false</trackRevisions>
    </reviewItem>
    <reviewItem>
      <errorID>fe902f7d-9bcd-4f6a-935d-14e3396e97d2</errorID>
      <errorWord>)</errorWord>
      <group>L1_Format</group>
      <groupName>格式问题</groupName>
      <ability>L2_HalfPunc_CN</ability>
      <abilityName>全半角问题</abilityName>
      <candidateList>
        <item>）</item>
      </candidateList>
      <explain>文本全半角错误。</explain>
      <paraID>3E93AA8C</paraID>
      <start>22</start>
      <end>23</end>
      <status>unmodified</status>
      <modifiedWord/>
      <trackRevisions>false</trackRevisions>
    </reviewItem>
    <reviewItem>
      <errorID>d944a3c8-3e07-44f5-9833-aed957be17db</errorID>
      <errorWord>(</errorWord>
      <group>L1_Format</group>
      <groupName>格式问题</groupName>
      <ability>L2_HalfPunc_CN</ability>
      <abilityName>全半角问题</abilityName>
      <candidateList>
        <item>（</item>
      </candidateList>
      <explain>文本全半角错误。</explain>
      <paraID>4BEEF34B</paraID>
      <start>11</start>
      <end>12</end>
      <status>unmodified</status>
      <modifiedWord/>
      <trackRevisions>false</trackRevisions>
    </reviewItem>
    <reviewItem>
      <errorID>eb63f230-52f7-4b75-8711-e7d06db0ac26</errorID>
      <errorWord>)</errorWord>
      <group>L1_Format</group>
      <groupName>格式问题</groupName>
      <ability>L2_HalfPunc_CN</ability>
      <abilityName>全半角问题</abilityName>
      <candidateList>
        <item>）</item>
      </candidateList>
      <explain>文本全半角错误。</explain>
      <paraID>4BEEF34B</paraID>
      <start>23</start>
      <end>24</end>
      <status>unmodified</status>
      <modifiedWord/>
      <trackRevisions>false</trackRevisions>
    </reviewItem>
    <reviewItem>
      <errorID>7d5e304a-0af3-4f66-bdd9-3fba9f84cbf8</errorID>
      <errorWord>(</errorWord>
      <group>L1_Format</group>
      <groupName>格式问题</groupName>
      <ability>L2_HalfPunc_CN</ability>
      <abilityName>全半角问题</abilityName>
      <candidateList>
        <item>（</item>
      </candidateList>
      <explain>文本全半角错误。</explain>
      <paraID>2B91DA11</paraID>
      <start>82</start>
      <end>83</end>
      <status>unmodified</status>
      <modifiedWord/>
      <trackRevisions>false</trackRevisions>
    </reviewItem>
    <reviewItem>
      <errorID>d6587f8d-b632-485a-9026-3cae452f95c3</errorID>
      <errorWord>(</errorWord>
      <group>L1_Format</group>
      <groupName>格式问题</groupName>
      <ability>L2_HalfPunc_CN</ability>
      <abilityName>全半角问题</abilityName>
      <candidateList>
        <item>（</item>
      </candidateList>
      <explain>文本全半角错误。</explain>
      <paraID>2B91DA11</paraID>
      <start>109</start>
      <end>110</end>
      <status>unmodified</status>
      <modifiedWord/>
      <trackRevisions>false</trackRevisions>
    </reviewItem>
    <reviewItem>
      <errorID>1455f812-c1b5-4e3d-9863-7151aa733ada</errorID>
      <errorWord>)</errorWord>
      <group>L1_Format</group>
      <groupName>格式问题</groupName>
      <ability>L2_HalfPunc_CN</ability>
      <abilityName>全半角问题</abilityName>
      <candidateList>
        <item>）</item>
      </candidateList>
      <explain>文本全半角错误。</explain>
      <paraID>2B91DA11</paraID>
      <start>116</start>
      <end>117</end>
      <status>unmodified</status>
      <modifiedWord/>
      <trackRevisions>false</trackRevisions>
    </reviewItem>
    <reviewItem>
      <errorID>e0922035-05ac-41c2-a1c5-042268a3e560</errorID>
      <errorWord>(</errorWord>
      <group>L1_Format</group>
      <groupName>格式问题</groupName>
      <ability>L2_HalfPunc_CN</ability>
      <abilityName>全半角问题</abilityName>
      <candidateList>
        <item>（</item>
      </candidateList>
      <explain>文本全半角错误。</explain>
      <paraID> F7D1385</paraID>
      <start>7</start>
      <end>8</end>
      <status>unmodified</status>
      <modifiedWord/>
      <trackRevisions>false</trackRevisions>
    </reviewItem>
    <reviewItem>
      <errorID>13dc7731-61ac-4e55-9c83-bf1e2af3ab3f</errorID>
      <errorWord>)</errorWord>
      <group>L1_Format</group>
      <groupName>格式问题</groupName>
      <ability>L2_HalfPunc_CN</ability>
      <abilityName>全半角问题</abilityName>
      <candidateList>
        <item>）</item>
      </candidateList>
      <explain>文本全半角错误。</explain>
      <paraID> F7D1385</paraID>
      <start>14</start>
      <end>15</end>
      <status>unmodified</status>
      <modifiedWord/>
      <trackRevisions>false</trackRevisions>
    </reviewItem>
    <reviewItem>
      <errorID>b76573cd-a573-48bb-acd5-4615e3538a6d</errorID>
      <errorWord>2024年09月07日</errorWord>
      <group>L1_Knowledge</group>
      <groupName>知识性问题</groupName>
      <ability>L2_Time</ability>
      <abilityName>日期时间</abilityName>
      <candidateList>
        <item>2024年9月7日</item>
      </candidateList>
      <explain>根据日常书写习惯，月份和日期一般会省略前导零。</explain>
      <paraID> 8BCD35A</paraID>
      <start>36</start>
      <end>47</end>
      <status>unmodified</status>
      <modifiedWord/>
      <trackRevisions>false</trackRevisions>
    </reviewItem>
    <reviewItem>
      <errorID>3857b0a9-fe06-4a98-96eb-b8e22ce66509</errorID>
      <errorWord>09月08日</errorWord>
      <group>L1_Knowledge</group>
      <groupName>知识性问题</groupName>
      <ability>L2_Time</ability>
      <abilityName>日期时间</abilityName>
      <candidateList>
        <item>9月8日</item>
      </candidateList>
      <explain>根据日常书写习惯，月份和日期一般会省略前导零。</explain>
      <paraID> 8BCD35A</paraID>
      <start>48</start>
      <end>54</end>
      <status>unmodified</status>
      <modifiedWord/>
      <trackRevisions>false</trackRevisions>
    </reviewItem>
    <reviewItem>
      <errorID>82e53923-5f9d-4e5a-b751-5fe2166a01c2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1CC60CDC</paraID>
      <start>0</start>
      <end>3</end>
      <status>unmodified</status>
      <modifiedWord/>
      <trackRevisions>false</trackRevisions>
    </reviewItem>
    <reviewItem>
      <errorID>08753fef-4d15-43b0-a8d8-9e052367c74a</errorID>
      <errorWord>(</errorWord>
      <group>L1_Format</group>
      <groupName>格式问题</groupName>
      <ability>L2_HalfPunc_CN</ability>
      <abilityName>全半角问题</abilityName>
      <candidateList>
        <item>（</item>
      </candidateList>
      <explain>文本全半角错误。</explain>
      <paraID>5C8C749F</paraID>
      <start>0</start>
      <end>1</end>
      <status>unmodified</status>
      <modifiedWord/>
      <trackRevisions>false</trackRevisions>
    </reviewItem>
    <reviewItem>
      <errorID>813e47c4-a2ee-43bf-8f4d-8a22c5a87b1b</errorID>
      <errorWord>)</errorWord>
      <group>L1_Format</group>
      <groupName>格式问题</groupName>
      <ability>L2_HalfPunc_CN</ability>
      <abilityName>全半角问题</abilityName>
      <candidateList>
        <item>）</item>
      </candidateList>
      <explain>文本全半角错误。</explain>
      <paraID>5C8C749F</paraID>
      <start>2</start>
      <end>3</end>
      <status>unmodified</status>
      <modifiedWord/>
      <trackRevisions>false</trackRevisions>
    </reviewItem>
    <reviewItem>
      <errorID>313b243d-8a33-4dd0-856c-ca3380ff3145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4CA1747C</paraID>
      <start>0</start>
      <end>3</end>
      <status>unmodified</status>
      <modifiedWord/>
      <trackRevisions>false</trackRevisions>
    </reviewItem>
    <reviewItem>
      <errorID>5912754a-0c02-41f2-b5c9-d74c32231719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537418B3</paraID>
      <start>0</start>
      <end>3</end>
      <status>unmodified</status>
      <modifiedWord/>
      <trackRevisions>false</trackRevisions>
    </reviewItem>
    <reviewItem>
      <errorID>ce12cb1a-5d7b-49d8-82ec-5a2ef0f34c69</errorID>
      <errorWord>(</errorWord>
      <group>L1_Punc</group>
      <groupName>标点问题</groupName>
      <ability>L2_Punc_CN</ability>
      <abilityName>标点符号问题</abilityName>
      <candidateList/>
      <explain>同一形式括号套用。</explain>
      <paraID>738B0149</paraID>
      <start>6</start>
      <end>7</end>
      <status>unmodified</status>
      <modifiedWord/>
      <trackRevisions>false</trackRevisions>
    </reviewItem>
    <reviewItem>
      <errorID>8499f759-9b4c-4fb3-b2b8-da87e62aea8b</errorID>
      <errorWord>)</errorWord>
      <group>L1_Punc</group>
      <groupName>标点问题</groupName>
      <ability>L2_Punc_CN</ability>
      <abilityName>标点符号问题</abilityName>
      <candidateList/>
      <explain>同一形式括号套用。</explain>
      <paraID>738B0149</paraID>
      <start>8</start>
      <end>9</end>
      <status>unmodified</status>
      <modifiedWord/>
      <trackRevisions>false</trackRevisions>
    </reviewItem>
    <reviewItem>
      <errorID>cddcbf6d-3450-4037-b479-ffaec4a84983</errorID>
      <errorWord>-</errorWord>
      <group>L1_Format</group>
      <groupName>格式问题</groupName>
      <ability>L2_HalfPunc_CN</ability>
      <abilityName>全半角问题</abilityName>
      <candidateList>
        <item>－</item>
      </candidateList>
      <explain>文本全半角错误。</explain>
      <paraID>71D2746C</paraID>
      <start>5</start>
      <end>6</end>
      <status>unmodified</status>
      <modifiedWord/>
      <trackRevisions>false</trackRevisions>
    </reviewItem>
    <reviewItem>
      <errorID>101744d4-3763-4fc2-8445-6f759ff721c2</errorID>
      <errorWord>(</errorWord>
      <group>L1_Format</group>
      <groupName>格式问题</groupName>
      <ability>L2_HalfPunc_CN</ability>
      <abilityName>全半角问题</abilityName>
      <candidateList>
        <item>（</item>
      </candidateList>
      <explain>文本全半角错误。</explain>
      <paraID>68080DB5</paraID>
      <start>59</start>
      <end>60</end>
      <status>unmodified</status>
      <modifiedWord/>
      <trackRevisions>false</trackRevisions>
    </reviewItem>
    <reviewItem>
      <errorID>c3b41230-c30d-471b-a91f-22cac47ce012</errorID>
      <errorWord>(</errorWord>
      <group>L1_Punc</group>
      <groupName>标点问题</groupName>
      <ability>L2_Punc_CN</ability>
      <abilityName>标点符号问题</abilityName>
      <candidateList/>
      <explain>同一形式括号套用。</explain>
      <paraID>3F48A8AB</paraID>
      <start>6</start>
      <end>7</end>
      <status>unmodified</status>
      <modifiedWord/>
      <trackRevisions>false</trackRevisions>
    </reviewItem>
    <reviewItem>
      <errorID>14a60221-055a-41f5-a566-22f16e85a395</errorID>
      <errorWord>)</errorWord>
      <group>L1_Punc</group>
      <groupName>标点问题</groupName>
      <ability>L2_Punc_CN</ability>
      <abilityName>标点符号问题</abilityName>
      <candidateList/>
      <explain>同一形式括号套用。</explain>
      <paraID>3F48A8AB</paraID>
      <start>8</start>
      <end>9</end>
      <status>unmodified</status>
      <modifiedWord/>
      <trackRevisions>false</trackRevisions>
    </reviewItem>
    <reviewItem>
      <errorID>380d93a1-0cff-4429-8749-9811876eed7e</errorID>
      <errorWord>(</errorWord>
      <group>L1_Format</group>
      <groupName>格式问题</groupName>
      <ability>L2_HalfPunc_CN</ability>
      <abilityName>全半角问题</abilityName>
      <candidateList>
        <item>（</item>
      </candidateList>
      <explain>文本全半角错误。</explain>
      <paraID>  BF8625</paraID>
      <start>37</start>
      <end>38</end>
      <status>unmodified</status>
      <modifiedWord/>
      <trackRevisions>false</trackRevisions>
    </reviewItem>
    <reviewItem>
      <errorID>ad5fb1a0-7205-41ee-9e85-2b0596a9f9d5</errorID>
      <errorWord>2024年09月27日</errorWord>
      <group>L1_Knowledge</group>
      <groupName>知识性问题</groupName>
      <ability>L2_Time</ability>
      <abilityName>日期时间</abilityName>
      <candidateList>
        <item>2024年9月27日</item>
      </candidateList>
      <explain>根据日常书写习惯，月份一般会省略前导零。</explain>
      <paraID>5128DA62</paraID>
      <start>41</start>
      <end>52</end>
      <status>unmodified</status>
      <modifiedWord/>
      <trackRevisions>false</trackRevisions>
    </reviewItem>
    <reviewItem>
      <errorID>9d9a83d8-e25c-4aec-a0d4-b1c63df37646</errorID>
      <errorWord>(</errorWord>
      <group>L1_Format</group>
      <groupName>格式问题</groupName>
      <ability>L2_HalfPunc_CN</ability>
      <abilityName>全半角问题</abilityName>
      <candidateList>
        <item>（</item>
      </candidateList>
      <explain>文本全半角错误。</explain>
      <paraID>73C9F874</paraID>
      <start>4</start>
      <end>5</end>
      <status>unmodified</status>
      <modifiedWord/>
      <trackRevisions>false</trackRevisions>
    </reviewItem>
    <reviewItem>
      <errorID>118a9454-08bd-4d97-8d83-553f0689dd80</errorID>
      <errorWord>)</errorWord>
      <group>L1_Format</group>
      <groupName>格式问题</groupName>
      <ability>L2_HalfPunc_CN</ability>
      <abilityName>全半角问题</abilityName>
      <candidateList>
        <item>）</item>
      </candidateList>
      <explain>文本全半角错误。</explain>
      <paraID>73C9F874</paraID>
      <start>8</start>
      <end>9</end>
      <status>unmodified</status>
      <modifiedWord/>
      <trackRevisions>false</trackRevisions>
    </reviewItem>
    <reviewItem>
      <errorID>854c5db9-2f87-4b70-9853-32bd3f358cf2</errorID>
      <errorWord>(</errorWord>
      <group>L1_Format</group>
      <groupName>格式问题</groupName>
      <ability>L2_HalfPunc_CN</ability>
      <abilityName>全半角问题</abilityName>
      <candidateList>
        <item>（</item>
      </candidateList>
      <explain>文本全半角错误。</explain>
      <paraID>5BD26D12</paraID>
      <start>4</start>
      <end>5</end>
      <status>unmodified</status>
      <modifiedWord/>
      <trackRevisions>false</trackRevisions>
    </reviewItem>
    <reviewItem>
      <errorID>559c3089-e23d-4e79-9ea0-2092b20588ab</errorID>
      <errorWord>)</errorWord>
      <group>L1_Format</group>
      <groupName>格式问题</groupName>
      <ability>L2_HalfPunc_CN</ability>
      <abilityName>全半角问题</abilityName>
      <candidateList>
        <item>）</item>
      </candidateList>
      <explain>文本全半角错误。</explain>
      <paraID>5BD26D12</paraID>
      <start>7</start>
      <end>8</end>
      <status>unmodified</status>
      <modifiedWord/>
      <trackRevisions>false</trackRevisions>
    </reviewItem>
    <reviewItem>
      <errorID>818515f3-af9f-40bb-8c66-44f159d25c93</errorID>
      <errorWord>情</errorWord>
      <group>L1_Word</group>
      <groupName>字词问题</groupName>
      <ability>L2_Typo</ability>
      <abilityName>字词错误</abilityName>
      <candidateList>
        <item>情况</item>
      </candidateList>
      <explain/>
      <paraID>50CD95F2</paraID>
      <start>2</start>
      <end>3</end>
      <status>unmodified</status>
      <modifiedWord/>
      <trackRevisions>false</trackRevisions>
    </reviewItem>
    <reviewItem>
      <errorID>c2ba6738-a062-4e84-8178-15f7f170bb21</errorID>
      <errorWord>(</errorWord>
      <group>L1_Format</group>
      <groupName>格式问题</groupName>
      <ability>L2_HalfPunc_CN</ability>
      <abilityName>全半角问题</abilityName>
      <candidateList>
        <item>（</item>
      </candidateList>
      <explain>文本全半角错误。</explain>
      <paraID>1C8A4752</paraID>
      <start>17</start>
      <end>18</end>
      <status>unmodified</status>
      <modifiedWord/>
      <trackRevisions>false</trackRevisions>
    </reviewItem>
    <reviewItem>
      <errorID>306e32dc-1469-486f-b7b3-51868960751c</errorID>
      <errorWord>)</errorWord>
      <group>L1_Format</group>
      <groupName>格式问题</groupName>
      <ability>L2_HalfPunc_CN</ability>
      <abilityName>全半角问题</abilityName>
      <candidateList>
        <item>）</item>
      </candidateList>
      <explain>文本全半角错误。</explain>
      <paraID>1C8A4752</paraID>
      <start>20</start>
      <end>21</end>
      <status>unmodified</status>
      <modifiedWord/>
      <trackRevisions>false</trackRevisions>
    </reviewItem>
    <reviewItem>
      <errorID>9a1a0450-38a5-4d38-818d-9e228f26aca8</errorID>
      <errorWord>(</errorWord>
      <group>L1_Format</group>
      <groupName>格式问题</groupName>
      <ability>L2_HalfPunc_CN</ability>
      <abilityName>全半角问题</abilityName>
      <candidateList>
        <item>（</item>
      </candidateList>
      <explain>文本全半角错误。</explain>
      <paraID>70D01A11</paraID>
      <start>17</start>
      <end>18</end>
      <status>unmodified</status>
      <modifiedWord/>
      <trackRevisions>false</trackRevisions>
    </reviewItem>
    <reviewItem>
      <errorID>43212327-2373-48e4-9c96-49882759b43d</errorID>
      <errorWord>)</errorWord>
      <group>L1_Format</group>
      <groupName>格式问题</groupName>
      <ability>L2_HalfPunc_CN</ability>
      <abilityName>全半角问题</abilityName>
      <candidateList>
        <item>）</item>
      </candidateList>
      <explain>文本全半角错误。</explain>
      <paraID>70D01A11</paraID>
      <start>20</start>
      <end>21</end>
      <status>unmodified</status>
      <modifiedWord/>
      <trackRevisions>false</trackRevisions>
    </reviewItem>
    <reviewItem>
      <errorID>c23ac848-6c82-4d17-96e0-93f61dd55f51</errorID>
      <errorWord>(</errorWord>
      <group>L1_Format</group>
      <groupName>格式问题</groupName>
      <ability>L2_HalfPunc_CN</ability>
      <abilityName>全半角问题</abilityName>
      <candidateList>
        <item>（</item>
      </candidateList>
      <explain>文本全半角错误。</explain>
      <paraID>1883AC02</paraID>
      <start>17</start>
      <end>18</end>
      <status>unmodified</status>
      <modifiedWord/>
      <trackRevisions>false</trackRevisions>
    </reviewItem>
    <reviewItem>
      <errorID>1d04a835-36e2-4334-b173-f3198099bc39</errorID>
      <errorWord>)</errorWord>
      <group>L1_Format</group>
      <groupName>格式问题</groupName>
      <ability>L2_HalfPunc_CN</ability>
      <abilityName>全半角问题</abilityName>
      <candidateList>
        <item>）</item>
      </candidateList>
      <explain>文本全半角错误。</explain>
      <paraID>1883AC02</paraID>
      <start>20</start>
      <end>21</end>
      <status>unmodified</status>
      <modifiedWord/>
      <trackRevisions>false</trackRevisions>
    </reviewItem>
    <reviewItem>
      <errorID>76c11ddb-f31c-4603-8bd3-a8601600ebd2</errorID>
      <errorWord>(</errorWord>
      <group>L1_Format</group>
      <groupName>格式问题</groupName>
      <ability>L2_HalfPunc_CN</ability>
      <abilityName>全半角问题</abilityName>
      <candidateList>
        <item>（</item>
      </candidateList>
      <explain>文本全半角错误。</explain>
      <paraID>79533CDD</paraID>
      <start>17</start>
      <end>18</end>
      <status>unmodified</status>
      <modifiedWord/>
      <trackRevisions>false</trackRevisions>
    </reviewItem>
    <reviewItem>
      <errorID>e781a0d6-a698-452b-99c9-0bbf45024197</errorID>
      <errorWord>)</errorWord>
      <group>L1_Format</group>
      <groupName>格式问题</groupName>
      <ability>L2_HalfPunc_CN</ability>
      <abilityName>全半角问题</abilityName>
      <candidateList>
        <item>）</item>
      </candidateList>
      <explain>文本全半角错误。</explain>
      <paraID>79533CDD</paraID>
      <start>20</start>
      <end>21</end>
      <status>unmodified</status>
      <modifiedWord/>
      <trackRevisions>false</trackRevisions>
    </reviewItem>
    <reviewItem>
      <errorID>0da69ab5-696a-4e32-b51a-3be5d9022ec4</errorID>
      <errorWord>,</errorWord>
      <group>L1_Format</group>
      <groupName>格式问题</groupName>
      <ability>L2_HalfPunc_CN</ability>
      <abilityName>全半角问题</abilityName>
      <candidateList>
        <item>，</item>
      </candidateList>
      <explain>文本全半角错误。</explain>
      <paraID>27902B7F</paraID>
      <start>20</start>
      <end>21</end>
      <status>unmodified</status>
      <modifiedWord/>
      <trackRevisions>false</trackRevisions>
    </reviewItem>
    <reviewItem>
      <errorID>8671ffbd-e4e6-40a4-8b2f-12e892ba967d</errorID>
      <errorWord>(</errorWord>
      <group>L1_Format</group>
      <groupName>格式问题</groupName>
      <ability>L2_HalfPunc_CN</ability>
      <abilityName>全半角问题</abilityName>
      <candidateList>
        <item>（</item>
      </candidateList>
      <explain>文本全半角错误。</explain>
      <paraID>3F69CCB7</paraID>
      <start>102</start>
      <end>103</end>
      <status>unmodified</status>
      <modifiedWord/>
      <trackRevisions>false</trackRevisions>
    </reviewItem>
    <reviewItem>
      <errorID>93cec3fc-bb3d-406a-83ee-c7c0bef07a01</errorID>
      <errorWord>)</errorWord>
      <group>L1_Format</group>
      <groupName>格式问题</groupName>
      <ability>L2_HalfPunc_CN</ability>
      <abilityName>全半角问题</abilityName>
      <candidateList>
        <item>）</item>
      </candidateList>
      <explain>文本全半角错误。</explain>
      <paraID>3F69CCB7</paraID>
      <start>114</start>
      <end>115</end>
      <status>unmodified</status>
      <modifiedWord/>
      <trackRevisions>false</trackRevisions>
    </reviewItem>
    <reviewItem>
      <errorID>7480a1d4-1f90-4add-ac64-3cbbc386379a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3FB60628</paraID>
      <start>0</start>
      <end>3</end>
      <status>unmodified</status>
      <modifiedWord/>
      <trackRevisions>false</trackRevisions>
    </reviewItem>
    <reviewItem>
      <errorID>23574318-03fa-4068-a7ff-467be3885e25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5FD4FF5</paraID>
      <start>0</start>
      <end>3</end>
      <status>unmodified</status>
      <modifiedWord/>
      <trackRevisions>false</trackRevisions>
    </reviewItem>
    <reviewItem>
      <errorID>3198e016-f78f-4a47-8a8f-bdca846b25b7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320DC198</paraID>
      <start>0</start>
      <end>3</end>
      <status>unmodified</status>
      <modifiedWord/>
      <trackRevisions>false</trackRevisions>
    </reviewItem>
    <reviewItem>
      <errorID>1e0636b5-4096-43dc-9b18-736768517877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66DE7914</paraID>
      <start>16</start>
      <end>17</end>
      <status>unmodified</status>
      <modifiedWord/>
      <trackRevisions>false</trackRevisions>
    </reviewItem>
    <reviewItem>
      <errorID>b99dd478-a61f-4fcb-a904-650145768d11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66DE7914</paraID>
      <start>33</start>
      <end>34</end>
      <status>unmodified</status>
      <modifiedWord/>
      <trackRevisions>false</trackRevisions>
    </reviewItem>
    <reviewItem>
      <errorID>606bfc2d-98da-455f-a3df-109a9a15a309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12EFE2E2</paraID>
      <start>16</start>
      <end>17</end>
      <status>unmodified</status>
      <modifiedWord/>
      <trackRevisions>false</trackRevisions>
    </reviewItem>
    <reviewItem>
      <errorID>453307e9-2862-4a83-a3a9-1dbcf5f1701f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12EFE2E2</paraID>
      <start>33</start>
      <end>34</end>
      <status>unmodified</status>
      <modifiedWord/>
      <trackRevisions>false</trackRevisions>
    </reviewItem>
    <reviewItem>
      <errorID>23b970ed-225b-44a7-8e7e-37e81efe5a48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2011B75D</paraID>
      <start>34</start>
      <end>35</end>
      <status>unmodified</status>
      <modifiedWord/>
      <trackRevisions>false</trackRevisions>
    </reviewItem>
    <reviewItem>
      <errorID>a7eff581-4830-4941-947a-efbdf4db0203</errorID>
      <errorWord>”</errorWord>
      <group>L1_Punc</group>
      <groupName>标点问题</groupName>
      <ability>L2_Punc_CN</ability>
      <abilityName>标点符号问题</abilityName>
      <candidateList>
        <item>“</item>
      </candidateList>
      <explain>注意检查双引号的方向是否正确。</explain>
      <paraID>7F9590D9</paraID>
      <start>16</start>
      <end>17</end>
      <status>unmodified</status>
      <modifiedWord/>
      <trackRevisions>false</trackRevisions>
    </reviewItem>
    <reviewItem>
      <errorID>dc148a32-2975-4608-83da-3520d1c36e35</errorID>
      <errorWord>(</errorWord>
      <group>L1_Format</group>
      <groupName>格式问题</groupName>
      <ability>L2_HalfPunc_CN</ability>
      <abilityName>全半角问题</abilityName>
      <candidateList>
        <item>（</item>
      </candidateList>
      <explain>文本全半角错误。</explain>
      <paraID>382BA463</paraID>
      <start>8</start>
      <end>9</end>
      <status>unmodified</status>
      <modifiedWord/>
      <trackRevisions>false</trackRevisions>
    </reviewItem>
    <reviewItem>
      <errorID>a0e8c696-89c8-482e-9675-57af866a9b78</errorID>
      <errorWord>)</errorWord>
      <group>L1_Format</group>
      <groupName>格式问题</groupName>
      <ability>L2_HalfPunc_CN</ability>
      <abilityName>全半角问题</abilityName>
      <candidateList>
        <item>）</item>
      </candidateList>
      <explain>文本全半角错误。</explain>
      <paraID> F576066</paraID>
      <start>2</start>
      <end>3</end>
      <status>unmodified</status>
      <modifiedWord/>
      <trackRevisions>false</trackRevisions>
    </reviewItem>
    <reviewItem>
      <errorID>598c9617-b5fc-4ff6-a0ff-a51e41185c28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67DE3EE4</paraID>
      <start>33</start>
      <end>34</end>
      <status>unmodified</status>
      <modifiedWord/>
      <trackRevisions>false</trackRevisions>
    </reviewItem>
    <reviewItem>
      <errorID>2a1b9dc8-77e8-425f-a4bb-d587d15b4c7c</errorID>
      <errorWord>(</errorWord>
      <group>L1_Format</group>
      <groupName>格式问题</groupName>
      <ability>L2_HalfPunc_CN</ability>
      <abilityName>全半角问题</abilityName>
      <candidateList>
        <item>（</item>
      </candidateList>
      <explain>文本全半角错误。</explain>
      <paraID>7AD3BACE</paraID>
      <start>8</start>
      <end>9</end>
      <status>unmodified</status>
      <modifiedWord/>
      <trackRevisions>false</trackRevisions>
    </reviewItem>
    <reviewItem>
      <errorID>38c28aed-e97e-4baa-a761-98200ecf2669</errorID>
      <errorWord>)</errorWord>
      <group>L1_Format</group>
      <groupName>格式问题</groupName>
      <ability>L2_HalfPunc_CN</ability>
      <abilityName>全半角问题</abilityName>
      <candidateList>
        <item>）</item>
      </candidateList>
      <explain>文本全半角错误。</explain>
      <paraID>30DAD90C</paraID>
      <start>2</start>
      <end>3</end>
      <status>unmodified</status>
      <modifiedWord/>
      <trackRevisions>false</trackRevisions>
    </reviewItem>
    <reviewItem>
      <errorID>4c82d562-69af-4688-8bba-827887597553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7F2763E5</paraID>
      <start>16</start>
      <end>17</end>
      <status>unmodified</status>
      <modifiedWord/>
      <trackRevisions>false</trackRevisions>
    </reviewItem>
    <reviewItem>
      <errorID>6ebf9f50-d1dc-4afa-a531-4e76498af6ec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3D33BF50</paraID>
      <start>16</start>
      <end>17</end>
      <status>unmodified</status>
      <modifiedWord/>
      <trackRevisions>false</trackRevisions>
    </reviewItem>
    <reviewItem>
      <errorID>7c68c1c2-1bb7-4326-ae32-621fdf6f9f99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3D33BF50</paraID>
      <start>33</start>
      <end>34</end>
      <status>unmodified</status>
      <modifiedWord/>
      <trackRevisions>false</trackRevisions>
    </reviewItem>
    <reviewItem>
      <errorID>3da92cb1-76ac-4239-bb56-9ad697c892bb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159C7650</paraID>
      <start>34</start>
      <end>35</end>
      <status>unmodified</status>
      <modifiedWord/>
      <trackRevisions>false</trackRevisions>
    </reviewItem>
    <reviewItem>
      <errorID>5ba0b674-444d-417f-bd08-0cd3e5e70455</errorID>
      <errorWord>”</errorWord>
      <group>L1_Punc</group>
      <groupName>标点问题</groupName>
      <ability>L2_Punc_CN</ability>
      <abilityName>标点符号问题</abilityName>
      <candidateList>
        <item>“</item>
      </candidateList>
      <explain>注意检查双引号的方向是否正确。</explain>
      <paraID> A1D5629</paraID>
      <start>16</start>
      <end>17</end>
      <status>unmodified</status>
      <modifiedWord/>
      <trackRevisions>false</trackRevisions>
    </reviewItem>
    <reviewItem>
      <errorID>b615b14c-a946-431a-a043-92d76b0456ad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60734691</paraID>
      <start>16</start>
      <end>17</end>
      <status>unmodified</status>
      <modifiedWord/>
      <trackRevisions>false</trackRevisions>
    </reviewItem>
    <reviewItem>
      <errorID>0d87b343-9a60-4bf5-9b5d-f91a41292cca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60734691</paraID>
      <start>33</start>
      <end>34</end>
      <status>unmodified</status>
      <modifiedWord/>
      <trackRevisions>false</trackRevisions>
    </reviewItem>
    <reviewItem>
      <errorID>c88d1d84-25e9-4404-9fea-b6b8bb98ad52</errorID>
      <errorWord>”</errorWord>
      <group>L1_Punc</group>
      <groupName>标点问题</groupName>
      <ability>L2_Punc_CN</ability>
      <abilityName>标点符号问题</abilityName>
      <candidateList>
        <item>“</item>
      </candidateList>
      <explain>注意检查双引号的方向是否正确。</explain>
      <paraID>19BA7458</paraID>
      <start>15</start>
      <end>16</end>
      <status>unmodified</status>
      <modifiedWord/>
      <trackRevisions>false</trackRevisions>
    </reviewItem>
    <reviewItem>
      <errorID>d0cd8eed-3bdb-422b-9faf-41672ad1d749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7B09393E</paraID>
      <start>16</start>
      <end>17</end>
      <status>unmodified</status>
      <modifiedWord/>
      <trackRevisions>false</trackRevisions>
    </reviewItem>
    <reviewItem>
      <errorID>45e43823-a94c-4003-9df0-a6ec7b826051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7B09393E</paraID>
      <start>33</start>
      <end>34</end>
      <status>unmodified</status>
      <modifiedWord/>
      <trackRevisions>false</trackRevisions>
    </reviewItem>
    <reviewItem>
      <errorID>21d26d08-995b-492f-9b49-1352e5eefafb</errorID>
      <errorWord>(</errorWord>
      <group>L1_Format</group>
      <groupName>格式问题</groupName>
      <ability>L2_HalfPunc_CN</ability>
      <abilityName>全半角问题</abilityName>
      <candidateList>
        <item>（</item>
      </candidateList>
      <explain>文本全半角错误。</explain>
      <paraID> DE2E509</paraID>
      <start>1</start>
      <end>2</end>
      <status>unmodified</status>
      <modifiedWord/>
      <trackRevisions>false</trackRevisions>
    </reviewItem>
    <reviewItem>
      <errorID>871d4280-2cd4-461d-b427-57b812571350</errorID>
      <errorWord>)</errorWord>
      <group>L1_Format</group>
      <groupName>格式问题</groupName>
      <ability>L2_HalfPunc_CN</ability>
      <abilityName>全半角问题</abilityName>
      <candidateList>
        <item>）</item>
      </candidateList>
      <explain>文本全半角错误。</explain>
      <paraID>5D46162F</paraID>
      <start>6</start>
      <end>7</end>
      <status>unmodified</status>
      <modifiedWord/>
      <trackRevisions>false</trackRevisions>
    </reviewItem>
    <reviewItem>
      <errorID>48146343-fbae-4759-ad82-b24590cb1166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2B4FE66F</paraID>
      <start>16</start>
      <end>17</end>
      <status>unmodified</status>
      <modifiedWord/>
      <trackRevisions>false</trackRevisions>
    </reviewItem>
    <reviewItem>
      <errorID>893dd3b4-7004-472c-9acc-f58bd590416d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2B4FE66F</paraID>
      <start>33</start>
      <end>34</end>
      <status>unmodified</status>
      <modifiedWord/>
      <trackRevisions>false</trackRevisions>
    </reviewItem>
    <reviewItem>
      <errorID>5593ebe5-149b-462e-bbb7-38e5fc0c1e0d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A9FDDA9</paraID>
      <start>16</start>
      <end>17</end>
      <status>unmodified</status>
      <modifiedWord/>
      <trackRevisions>false</trackRevisions>
    </reviewItem>
    <reviewItem>
      <errorID>ccb6d342-7473-4c41-8344-eb787aa86979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42BBCDBF</paraID>
      <start>16</start>
      <end>17</end>
      <status>unmodified</status>
      <modifiedWord/>
      <trackRevisions>false</trackRevisions>
    </reviewItem>
    <reviewItem>
      <errorID>7c33c4ef-731b-4ad5-8a57-56068f5153c1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42BBCDBF</paraID>
      <start>33</start>
      <end>34</end>
      <status>unmodified</status>
      <modifiedWord/>
      <trackRevisions>false</trackRevisions>
    </reviewItem>
    <reviewItem>
      <errorID>fcb16119-61de-4edd-bbae-4e4851a054db</errorID>
      <errorWord>(</errorWord>
      <group>L1_Format</group>
      <groupName>格式问题</groupName>
      <ability>L2_HalfPunc_CN</ability>
      <abilityName>全半角问题</abilityName>
      <candidateList>
        <item>（</item>
      </candidateList>
      <explain>文本全半角错误。</explain>
      <paraID>70BA588A</paraID>
      <start>7</start>
      <end>8</end>
      <status>unmodified</status>
      <modifiedWord/>
      <trackRevisions>false</trackRevisions>
    </reviewItem>
    <reviewItem>
      <errorID>54127c20-81f6-488c-93d2-8fdbf59d569d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5E9B89E7</paraID>
      <start>16</start>
      <end>17</end>
      <status>unmodified</status>
      <modifiedWord/>
      <trackRevisions>false</trackRevisions>
    </reviewItem>
    <reviewItem>
      <errorID>92658161-ded7-47b9-a060-9393c70451ff</errorID>
      <errorWord>)</errorWord>
      <group>L1_Format</group>
      <groupName>格式问题</groupName>
      <ability>L2_HalfPunc_CN</ability>
      <abilityName>全半角问题</abilityName>
      <candidateList>
        <item>）</item>
      </candidateList>
      <explain>文本全半角错误。</explain>
      <paraID> 518EF49</paraID>
      <start>2</start>
      <end>3</end>
      <status>unmodified</status>
      <modifiedWord/>
      <trackRevisions>false</trackRevisions>
    </reviewItem>
    <reviewItem>
      <errorID>2ab16a6e-111d-494e-a2e9-ec94f1ab5c09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4D1B598D</paraID>
      <start>16</start>
      <end>17</end>
      <status>unmodified</status>
      <modifiedWord/>
      <trackRevisions>false</trackRevisions>
    </reviewItem>
    <reviewItem>
      <errorID>2f0e2121-9bf6-4986-b07e-2d2085ad061e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5FB724CB</paraID>
      <start>34</start>
      <end>35</end>
      <status>unmodified</status>
      <modifiedWord/>
      <trackRevisions>false</trackRevisions>
    </reviewItem>
    <reviewItem>
      <errorID>daeb9894-1bf6-464c-977c-0db6133b7d01</errorID>
      <errorWord>(</errorWord>
      <group>L1_Format</group>
      <groupName>格式问题</groupName>
      <ability>L2_HalfPunc_CN</ability>
      <abilityName>全半角问题</abilityName>
      <candidateList>
        <item>（</item>
      </candidateList>
      <explain>文本全半角错误。</explain>
      <paraID>41ABC09C</paraID>
      <start>2</start>
      <end>3</end>
      <status>unmodified</status>
      <modifiedWord/>
      <trackRevisions>false</trackRevisions>
    </reviewItem>
    <reviewItem>
      <errorID>77c6fee9-4d4b-4c83-879b-397abe6021ab</errorID>
      <errorWord>)</errorWord>
      <group>L1_Format</group>
      <groupName>格式问题</groupName>
      <ability>L2_HalfPunc_CN</ability>
      <abilityName>全半角问题</abilityName>
      <candidateList>
        <item>）</item>
      </candidateList>
      <explain>文本全半角错误。</explain>
      <paraID>41ABC09C</paraID>
      <start>13</start>
      <end>14</end>
      <status>unmodified</status>
      <modifiedWord/>
      <trackRevisions>false</trackRevisions>
    </reviewItem>
    <reviewItem>
      <errorID>f8986236-e0bd-41e0-8a67-9207183d8276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69FE5418</paraID>
      <start>16</start>
      <end>17</end>
      <status>unmodified</status>
      <modifiedWord/>
      <trackRevisions>false</trackRevisions>
    </reviewItem>
    <reviewItem>
      <errorID>f6ab972a-c464-4cfb-9f5d-b045f1d18c7e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69FE5418</paraID>
      <start>33</start>
      <end>34</end>
      <status>unmodified</status>
      <modifiedWord/>
      <trackRevisions>false</trackRevisions>
    </reviewItem>
    <reviewItem>
      <errorID>422999b9-6f2d-4065-8295-19e26ab95bc2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361A4126</paraID>
      <start>16</start>
      <end>17</end>
      <status>unmodified</status>
      <modifiedWord/>
      <trackRevisions>false</trackRevisions>
    </reviewItem>
    <reviewItem>
      <errorID>df1a9699-1af8-40f8-b4ff-4c58c99702b9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361A4126</paraID>
      <start>33</start>
      <end>34</end>
      <status>unmodified</status>
      <modifiedWord/>
      <trackRevisions>false</trackRevisions>
    </reviewItem>
    <reviewItem>
      <errorID>8fb82265-7d25-48f6-8dbd-667b700d4a7c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1FF56F17</paraID>
      <start>16</start>
      <end>17</end>
      <status>unmodified</status>
      <modifiedWord/>
      <trackRevisions>false</trackRevisions>
    </reviewItem>
    <reviewItem>
      <errorID>39440d83-c2b5-46dd-8452-d2e13762eeb0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1FF56F17</paraID>
      <start>33</start>
      <end>34</end>
      <status>unmodified</status>
      <modifiedWord/>
      <trackRevisions>false</trackRevisions>
    </reviewItem>
    <reviewItem>
      <errorID>72c764c7-336b-4207-8912-08c111e11b8b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4CC31403</paraID>
      <start>16</start>
      <end>17</end>
      <status>unmodified</status>
      <modifiedWord/>
      <trackRevisions>false</trackRevisions>
    </reviewItem>
    <reviewItem>
      <errorID>4e69cb33-a121-4b28-81c6-675b9c8148e1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4CC31403</paraID>
      <start>33</start>
      <end>34</end>
      <status>unmodified</status>
      <modifiedWord/>
      <trackRevisions>false</trackRevisions>
    </reviewItem>
    <reviewItem>
      <errorID>714e4cc8-565c-4845-bce1-3ed40fc2c201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B7A5739</paraID>
      <start>16</start>
      <end>17</end>
      <status>unmodified</status>
      <modifiedWord/>
      <trackRevisions>false</trackRevisions>
    </reviewItem>
    <reviewItem>
      <errorID>63343e92-51ff-40f8-99f3-8685a9fcde7e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B7A5739</paraID>
      <start>33</start>
      <end>34</end>
      <status>unmodified</status>
      <modifiedWord/>
      <trackRevisions>false</trackRevisions>
    </reviewItem>
    <reviewItem>
      <errorID>650f1d59-b45a-4731-ab35-cd04d26bb937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2379DD58</paraID>
      <start>34</start>
      <end>35</end>
      <status>unmodified</status>
      <modifiedWord/>
      <trackRevisions>false</trackRevisions>
    </reviewItem>
    <reviewItem>
      <errorID>89caa700-286d-4c85-b196-f2cc2225de04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51399CD5</paraID>
      <start>16</start>
      <end>17</end>
      <status>unmodified</status>
      <modifiedWord/>
      <trackRevisions>false</trackRevisions>
    </reviewItem>
    <reviewItem>
      <errorID>0b70b06d-684e-463c-9cee-0c93c260ed73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781522FA</paraID>
      <start>34</start>
      <end>35</end>
      <status>unmodified</status>
      <modifiedWord/>
      <trackRevisions>false</trackRevisions>
    </reviewItem>
    <reviewItem>
      <errorID>5dc75126-471f-4cfb-a5f4-2ed46343ff1d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303F4AB9</paraID>
      <start>16</start>
      <end>17</end>
      <status>unmodified</status>
      <modifiedWord/>
      <trackRevisions>false</trackRevisions>
    </reviewItem>
    <reviewItem>
      <errorID>99cd7261-d7f6-44f3-9470-8e6378c32c5a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5C961BAE</paraID>
      <start>16</start>
      <end>17</end>
      <status>unmodified</status>
      <modifiedWord/>
      <trackRevisions>false</trackRevisions>
    </reviewItem>
    <reviewItem>
      <errorID>e1b843fd-dddd-4576-814e-46403d5b9e59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5C961BAE</paraID>
      <start>32</start>
      <end>33</end>
      <status>unmodified</status>
      <modifiedWord/>
      <trackRevisions>false</trackRevisions>
    </reviewItem>
    <reviewItem>
      <errorID>3e6fc167-92d9-42f6-b4c6-7af47ede8dd2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3DEFFFBB</paraID>
      <start>16</start>
      <end>17</end>
      <status>unmodified</status>
      <modifiedWord/>
      <trackRevisions>false</trackRevisions>
    </reviewItem>
    <reviewItem>
      <errorID>7fb2ff76-8a74-4169-88f8-cc42aa6c9a12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3DEFFFBB</paraID>
      <start>32</start>
      <end>33</end>
      <status>unmodified</status>
      <modifiedWord/>
      <trackRevisions>false</trackRevisions>
    </reviewItem>
    <reviewItem>
      <errorID>67fc7235-927b-4349-9ac3-e1df3fba4700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24797DDE</paraID>
      <start>16</start>
      <end>17</end>
      <status>unmodified</status>
      <modifiedWord/>
      <trackRevisions>false</trackRevisions>
    </reviewItem>
    <reviewItem>
      <errorID>9e41bf3e-d0b1-4f26-8907-eea1cde96435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24797DDE</paraID>
      <start>33</start>
      <end>34</end>
      <status>unmodified</status>
      <modifiedWord/>
      <trackRevisions>false</trackRevisions>
    </reviewItem>
    <reviewItem>
      <errorID>d7bd8f56-3d5d-4d6a-beab-42d90a3ee699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2FB78C51</paraID>
      <start>33</start>
      <end>34</end>
      <status>unmodified</status>
      <modifiedWord/>
      <trackRevisions>false</trackRevisions>
    </reviewItem>
    <reviewItem>
      <errorID>91d2bf4a-2fae-484d-9b20-11340906a224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4DBAE495</paraID>
      <start>16</start>
      <end>17</end>
      <status>unmodified</status>
      <modifiedWord/>
      <trackRevisions>false</trackRevisions>
    </reviewItem>
    <reviewItem>
      <errorID>07fe5b5a-c880-44b0-8830-2b49da2a2e86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4DBAE495</paraID>
      <start>33</start>
      <end>34</end>
      <status>unmodified</status>
      <modifiedWord/>
      <trackRevisions>false</trackRevisions>
    </reviewItem>
    <reviewItem>
      <errorID>67ae9e92-0648-45cb-abbd-ff93b2e971be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FAE7885</paraID>
      <start>16</start>
      <end>17</end>
      <status>unmodified</status>
      <modifiedWord/>
      <trackRevisions>false</trackRevisions>
    </reviewItem>
    <reviewItem>
      <errorID>6c1a0597-4618-4ab0-a977-7f512b6d02e5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78C14A1</paraID>
      <start>16</start>
      <end>17</end>
      <status>unmodified</status>
      <modifiedWord/>
      <trackRevisions>false</trackRevisions>
    </reviewItem>
    <reviewItem>
      <errorID>984c760c-fdc0-4100-8c30-629bfc232b69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175E3A83</paraID>
      <start>16</start>
      <end>17</end>
      <status>unmodified</status>
      <modifiedWord/>
      <trackRevisions>false</trackRevisions>
    </reviewItem>
    <reviewItem>
      <errorID>10b7c2b8-4618-4fa4-9e87-2a4857c128af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175E3A83</paraID>
      <start>33</start>
      <end>34</end>
      <status>unmodified</status>
      <modifiedWord/>
      <trackRevisions>false</trackRevisions>
    </reviewItem>
    <reviewItem>
      <errorID>97d61cf4-612c-416b-9217-009c974dddac</errorID>
      <errorWord>,</errorWord>
      <group>L1_Format</group>
      <groupName>格式问题</groupName>
      <ability>L2_HalfPunc_CN</ability>
      <abilityName>全半角问题</abilityName>
      <candidateList>
        <item>，</item>
      </candidateList>
      <explain>文本全半角错误。</explain>
      <paraID>68E93515</paraID>
      <start>3</start>
      <end>4</end>
      <status>unmodified</status>
      <modifiedWord/>
      <trackRevisions>false</trackRevisions>
    </reviewItem>
    <reviewItem>
      <errorID>35821cb6-68c7-4afc-80e1-bba8e835fbe4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2759649E</paraID>
      <start>16</start>
      <end>17</end>
      <status>unmodified</status>
      <modifiedWord/>
      <trackRevisions>false</trackRevisions>
    </reviewItem>
    <reviewItem>
      <errorID>ed8d301f-0f68-40aa-9998-cf341641b111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2759649E</paraID>
      <start>33</start>
      <end>34</end>
      <status>unmodified</status>
      <modifiedWord/>
      <trackRevisions>false</trackRevisions>
    </reviewItem>
    <reviewItem>
      <errorID>d4adc0d5-bf7a-482e-8c18-4ac5dace6dac</errorID>
      <errorWord>(</errorWord>
      <group>L1_Format</group>
      <groupName>格式问题</groupName>
      <ability>L2_HalfPunc_CN</ability>
      <abilityName>全半角问题</abilityName>
      <candidateList>
        <item>（</item>
      </candidateList>
      <explain>文本全半角错误。</explain>
      <paraID>682134F2</paraID>
      <start>6</start>
      <end>7</end>
      <status>unmodified</status>
      <modifiedWord/>
      <trackRevisions>false</trackRevisions>
    </reviewItem>
    <reviewItem>
      <errorID>a0a51dbe-ca79-4a9b-b7d0-c5937f3a1399</errorID>
      <errorWord>)</errorWord>
      <group>L1_Format</group>
      <groupName>格式问题</groupName>
      <ability>L2_HalfPunc_CN</ability>
      <abilityName>全半角问题</abilityName>
      <candidateList>
        <item>）</item>
      </candidateList>
      <explain>文本全半角错误。</explain>
      <paraID>682134F2</paraID>
      <start>19</start>
      <end>20</end>
      <status>unmodified</status>
      <modifiedWord/>
      <trackRevisions>false</trackRevisions>
    </reviewItem>
    <reviewItem>
      <errorID>8d80020e-a374-4b2f-9e6c-11186e392da3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32070B27</paraID>
      <start>15</start>
      <end>16</end>
      <status>unmodified</status>
      <modifiedWord/>
      <trackRevisions>false</trackRevisions>
    </reviewItem>
    <reviewItem>
      <errorID>2baf91d2-da39-4745-9c49-5cf0b0777b45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32070B27</paraID>
      <start>31</start>
      <end>32</end>
      <status>unmodified</status>
      <modifiedWord/>
      <trackRevisions>false</trackRevisions>
    </reviewItem>
    <reviewItem>
      <errorID>f50a5beb-bc79-4cdc-87e4-370666c92683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4D25F3CA</paraID>
      <start>16</start>
      <end>17</end>
      <status>unmodified</status>
      <modifiedWord/>
      <trackRevisions>false</trackRevisions>
    </reviewItem>
    <reviewItem>
      <errorID>dffd3407-3b00-4e6c-9a8f-63857c54ca11</errorID>
      <errorWord>-</errorWord>
      <group>L1_Format</group>
      <groupName>格式问题</groupName>
      <ability>L2_HalfPunc_CN</ability>
      <abilityName>全半角问题</abilityName>
      <candidateList>
        <item>－</item>
      </candidateList>
      <explain>文本全半角错误。</explain>
      <paraID> 6AD5B88</paraID>
      <start>6</start>
      <end>7</end>
      <status>unmodified</status>
      <modifiedWord/>
      <trackRevisions>false</trackRevisions>
    </reviewItem>
    <reviewItem>
      <errorID>63ca2556-2c4f-40d6-9f5d-939d18338e78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3B30B626</paraID>
      <start>16</start>
      <end>17</end>
      <status>unmodified</status>
      <modifiedWord/>
      <trackRevisions>false</trackRevisions>
    </reviewItem>
    <reviewItem>
      <errorID>0d077c6c-3619-4123-9316-b0013db5d1e7</errorID>
      <errorWord>(</errorWord>
      <group>L1_Format</group>
      <groupName>格式问题</groupName>
      <ability>L2_HalfPunc_CN</ability>
      <abilityName>全半角问题</abilityName>
      <candidateList>
        <item>（</item>
      </candidateList>
      <explain>文本全半角错误。</explain>
      <paraID>71003D0E</paraID>
      <start>0</start>
      <end>1</end>
      <status>unmodified</status>
      <modifiedWord/>
      <trackRevisions>false</trackRevisions>
    </reviewItem>
    <reviewItem>
      <errorID>f02f8f3d-a33c-469f-8cb9-67d0333c8524</errorID>
      <errorWord>)</errorWord>
      <group>L1_Format</group>
      <groupName>格式问题</groupName>
      <ability>L2_HalfPunc_CN</ability>
      <abilityName>全半角问题</abilityName>
      <candidateList>
        <item>）</item>
      </candidateList>
      <explain>文本全半角错误。</explain>
      <paraID>483CDDEA</paraID>
      <start>1</start>
      <end>2</end>
      <status>unmodified</status>
      <modifiedWord/>
      <trackRevisions>false</trackRevisions>
    </reviewItem>
    <reviewItem>
      <errorID>a3f62b75-4e6d-4d03-a0f3-86a7e7f4f49b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6B3B2899</paraID>
      <start>16</start>
      <end>17</end>
      <status>unmodified</status>
      <modifiedWord/>
      <trackRevisions>false</trackRevisions>
    </reviewItem>
    <reviewItem>
      <errorID>b9697d7b-9941-4b73-987e-31e74d812a37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6B3B2899</paraID>
      <start>33</start>
      <end>34</end>
      <status>unmodified</status>
      <modifiedWord/>
      <trackRevisions>false</trackRevisions>
    </reviewItem>
    <reviewItem>
      <errorID>225a7a8d-3a8d-4cdb-9966-e4a7c8673f9e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241A2DC6</paraID>
      <start>16</start>
      <end>17</end>
      <status>unmodified</status>
      <modifiedWord/>
      <trackRevisions>false</trackRevisions>
    </reviewItem>
    <reviewItem>
      <errorID>0aef444d-e666-47e9-9584-9337a793801b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498136DE</paraID>
      <start>0</start>
      <end>2</end>
      <status>unmodified</status>
      <modifiedWord/>
      <trackRevisions>false</trackRevisions>
    </reviewItem>
    <reviewItem>
      <errorID>b64a8e06-ab48-4fc8-a4a2-bb1ce2f52663</errorID>
      <errorWord>(</errorWord>
      <group>L1_Format</group>
      <groupName>格式问题</groupName>
      <ability>L2_HalfPunc_CN</ability>
      <abilityName>全半角问题</abilityName>
      <candidateList>
        <item>（</item>
      </candidateList>
      <explain>文本全半角错误。</explain>
      <paraID>25E6B0DE</paraID>
      <start>0</start>
      <end>1</end>
      <status>unmodified</status>
      <modifiedWord/>
      <trackRevisions>false</trackRevisions>
    </reviewItem>
    <reviewItem>
      <errorID>f5d79fa0-f212-4cc1-b255-34e54d901481</errorID>
      <errorWord>)</errorWord>
      <group>L1_Format</group>
      <groupName>格式问题</groupName>
      <ability>L2_HalfPunc_CN</ability>
      <abilityName>全半角问题</abilityName>
      <candidateList>
        <item>）</item>
      </candidateList>
      <explain>文本全半角错误。</explain>
      <paraID>6705503C</paraID>
      <start>5</start>
      <end>6</end>
      <status>unmodified</status>
      <modifiedWord/>
      <trackRevisions>false</trackRevisions>
    </reviewItem>
    <reviewItem>
      <errorID>49d5c2bb-4908-444d-a200-bd3eaed2c310</errorID>
      <errorWord>(</errorWord>
      <group>L1_Format</group>
      <groupName>格式问题</groupName>
      <ability>L2_HalfPunc_CN</ability>
      <abilityName>全半角问题</abilityName>
      <candidateList>
        <item>（</item>
      </candidateList>
      <explain>文本全半角错误。</explain>
      <paraID>511B29CA</paraID>
      <start>8</start>
      <end>9</end>
      <status>unmodified</status>
      <modifiedWord/>
      <trackRevisions>false</trackRevisions>
    </reviewItem>
    <reviewItem>
      <errorID>1167b60a-378c-41fd-bfb6-0ad6b5f77dc3</errorID>
      <errorWord>)</errorWord>
      <group>L1_Format</group>
      <groupName>格式问题</groupName>
      <ability>L2_HalfPunc_CN</ability>
      <abilityName>全半角问题</abilityName>
      <candidateList>
        <item>）</item>
      </candidateList>
      <explain>文本全半角错误。</explain>
      <paraID>775998B3</paraID>
      <start>2</start>
      <end>3</end>
      <status>unmodified</status>
      <modifiedWord/>
      <trackRevisions>false</trackRevisions>
    </reviewItem>
    <reviewItem>
      <errorID>8711536f-4621-41ce-bd60-8d3b68683c0e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45FFA998</paraID>
      <start>16</start>
      <end>17</end>
      <status>unmodified</status>
      <modifiedWord/>
      <trackRevisions>false</trackRevisions>
    </reviewItem>
    <reviewItem>
      <errorID>ff4c7b5d-6a43-4c3b-9cc0-f7b34b10159e</errorID>
      <errorWord>(</errorWord>
      <group>L1_Format</group>
      <groupName>格式问题</groupName>
      <ability>L2_HalfPunc_CN</ability>
      <abilityName>全半角问题</abilityName>
      <candidateList>
        <item>（</item>
      </candidateList>
      <explain>文本全半角错误。</explain>
      <paraID>2445FC5F</paraID>
      <start>8</start>
      <end>9</end>
      <status>unmodified</status>
      <modifiedWord/>
      <trackRevisions>false</trackRevisions>
    </reviewItem>
    <reviewItem>
      <errorID>ed945ccf-5f40-4de0-bc8d-ade4ae27793a</errorID>
      <errorWord>)</errorWord>
      <group>L1_Format</group>
      <groupName>格式问题</groupName>
      <ability>L2_HalfPunc_CN</ability>
      <abilityName>全半角问题</abilityName>
      <candidateList>
        <item>）</item>
      </candidateList>
      <explain>文本全半角错误。</explain>
      <paraID>48828002</paraID>
      <start>2</start>
      <end>3</end>
      <status>unmodified</status>
      <modifiedWord/>
      <trackRevisions>false</trackRevisions>
    </reviewItem>
    <reviewItem>
      <errorID>cb474468-7b97-46eb-834e-f73c06374090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92CE483</paraID>
      <start>16</start>
      <end>17</end>
      <status>unmodified</status>
      <modifiedWord/>
      <trackRevisions>false</trackRevisions>
    </reviewItem>
    <reviewItem>
      <errorID>06927193-e670-4ba7-95dd-80a5fcd3453a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7A3EE7E2</paraID>
      <start>34</start>
      <end>35</end>
      <status>unmodified</status>
      <modifiedWord/>
      <trackRevisions>false</trackRevisions>
    </reviewItem>
    <reviewItem>
      <errorID>675e2790-2c61-48a2-91ba-0deb614cbe10</errorID>
      <errorWord>”</errorWord>
      <group>L1_Punc</group>
      <groupName>标点问题</groupName>
      <ability>L2_Punc_CN</ability>
      <abilityName>标点符号问题</abilityName>
      <candidateList>
        <item>“</item>
      </candidateList>
      <explain>注意检查双引号的方向是否正确。</explain>
      <paraID>302434E5</paraID>
      <start>16</start>
      <end>17</end>
      <status>unmodified</status>
      <modifiedWord/>
      <trackRevisions>false</trackRevisions>
    </reviewItem>
    <reviewItem>
      <errorID>7f83a5dc-4775-48cf-bb41-45cfe60fa57b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A96E441</paraID>
      <start>15</start>
      <end>16</end>
      <status>unmodified</status>
      <modifiedWord/>
      <trackRevisions>false</trackRevisions>
    </reviewItem>
    <reviewItem>
      <errorID>37241835-3140-4140-a1df-75d432c08e6f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A96E441</paraID>
      <start>32</start>
      <end>33</end>
      <status>unmodified</status>
      <modifiedWord/>
      <trackRevisions>false</trackRevisions>
    </reviewItem>
    <reviewItem>
      <errorID>51aac56b-777d-491a-8ba0-5a5d3c7015f1</errorID>
      <errorWord>(</errorWord>
      <group>L1_Format</group>
      <groupName>格式问题</groupName>
      <ability>L2_HalfPunc_CN</ability>
      <abilityName>全半角问题</abilityName>
      <candidateList>
        <item>（</item>
      </candidateList>
      <explain>文本全半角错误。</explain>
      <paraID>15ACB1B9</paraID>
      <start>1</start>
      <end>2</end>
      <status>unmodified</status>
      <modifiedWord/>
      <trackRevisions>false</trackRevisions>
    </reviewItem>
    <reviewItem>
      <errorID>935cc4c4-39bf-4041-9f39-e52e36dbe045</errorID>
      <errorWord>)</errorWord>
      <group>L1_Format</group>
      <groupName>格式问题</groupName>
      <ability>L2_HalfPunc_CN</ability>
      <abilityName>全半角问题</abilityName>
      <candidateList>
        <item>）</item>
      </candidateList>
      <explain>文本全半角错误。</explain>
      <paraID>77C000A2</paraID>
      <start>2</start>
      <end>3</end>
      <status>unmodified</status>
      <modifiedWord/>
      <trackRevisions>false</trackRevisions>
    </reviewItem>
    <reviewItem>
      <errorID>33b54126-8f9e-49c4-a430-88e5c55d7772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5774A206</paraID>
      <start>16</start>
      <end>17</end>
      <status>unmodified</status>
      <modifiedWord/>
      <trackRevisions>false</trackRevisions>
    </reviewItem>
    <reviewItem>
      <errorID>143508b8-783e-4fbb-b15c-703caff8f3ff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4210CF5B</paraID>
      <start>16</start>
      <end>17</end>
      <status>unmodified</status>
      <modifiedWord/>
      <trackRevisions>false</trackRevisions>
    </reviewItem>
    <reviewItem>
      <errorID>fc5b9416-5f59-4e2b-a274-96c2689dc878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68B57C75</paraID>
      <start>16</start>
      <end>17</end>
      <status>unmodified</status>
      <modifiedWord/>
      <trackRevisions>false</trackRevisions>
    </reviewItem>
    <reviewItem>
      <errorID>d02888bb-5781-4cd8-b7d2-a334eaf4bd01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68B57C75</paraID>
      <start>32</start>
      <end>33</end>
      <status>unmodified</status>
      <modifiedWord/>
      <trackRevisions>false</trackRevisions>
    </reviewItem>
    <reviewItem>
      <errorID>d4b97391-67f6-4aee-98da-6fee6459ac4d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325C7A4A</paraID>
      <start>16</start>
      <end>17</end>
      <status>unmodified</status>
      <modifiedWord/>
      <trackRevisions>false</trackRevisions>
    </reviewItem>
    <reviewItem>
      <errorID>3c7596ac-636c-42fb-9fd1-f3c22ea7e402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325C7A4A</paraID>
      <start>33</start>
      <end>34</end>
      <status>unmodified</status>
      <modifiedWord/>
      <trackRevisions>false</trackRevisions>
    </reviewItem>
    <reviewItem>
      <errorID>53cea154-81ad-45cb-b2c9-3a7023260951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30FCBAB2</paraID>
      <start>16</start>
      <end>17</end>
      <status>unmodified</status>
      <modifiedWord/>
      <trackRevisions>false</trackRevisions>
    </reviewItem>
    <reviewItem>
      <errorID>1ca8fe17-3d38-4df3-a913-543ef795362d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30FCBAB2</paraID>
      <start>33</start>
      <end>34</end>
      <status>unmodified</status>
      <modifiedWord/>
      <trackRevisions>false</trackRevisions>
    </reviewItem>
    <reviewItem>
      <errorID>d9caff26-4d2c-403b-948b-12c5ddaa0505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4C3F2BE0</paraID>
      <start>16</start>
      <end>17</end>
      <status>unmodified</status>
      <modifiedWord/>
      <trackRevisions>false</trackRevisions>
    </reviewItem>
    <reviewItem>
      <errorID>6ff22fa0-7609-4a9e-b37f-5e25d31cc71c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4C3F2BE0</paraID>
      <start>32</start>
      <end>33</end>
      <status>unmodified</status>
      <modifiedWord/>
      <trackRevisions>false</trackRevisions>
    </reviewItem>
    <reviewItem>
      <errorID>55badf0c-fe90-4fb7-962e-d7c7c4a60363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3F635B9E</paraID>
      <start>16</start>
      <end>17</end>
      <status>unmodified</status>
      <modifiedWord/>
      <trackRevisions>false</trackRevisions>
    </reviewItem>
    <reviewItem>
      <errorID>542d6348-6b72-4970-9081-43f27a37388f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3F635B9E</paraID>
      <start>32</start>
      <end>33</end>
      <status>unmodified</status>
      <modifiedWord/>
      <trackRevisions>false</trackRevisions>
    </reviewItem>
    <reviewItem>
      <errorID>48813bd1-9134-43d6-b3bd-2b6a443bafd0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51EA075B</paraID>
      <start>16</start>
      <end>17</end>
      <status>unmodified</status>
      <modifiedWord/>
      <trackRevisions>false</trackRevisions>
    </reviewItem>
    <reviewItem>
      <errorID>ea444f97-e6a4-4514-a58f-3a8d75400b10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51EA075B</paraID>
      <start>32</start>
      <end>33</end>
      <status>unmodified</status>
      <modifiedWord/>
      <trackRevisions>false</trackRevisions>
    </reviewItem>
    <reviewItem>
      <errorID>da4099f1-b867-41a8-b763-b53c5c75a4a3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2352974E</paraID>
      <start>16</start>
      <end>17</end>
      <status>unmodified</status>
      <modifiedWord/>
      <trackRevisions>false</trackRevisions>
    </reviewItem>
    <reviewItem>
      <errorID>060d1ff7-0a3d-49e9-964a-1667fe31ab5e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7D5DAAB0</paraID>
      <start>33</start>
      <end>34</end>
      <status>unmodified</status>
      <modifiedWord/>
      <trackRevisions>false</trackRevisions>
    </reviewItem>
    <reviewItem>
      <errorID>53c12a0d-62fe-44e1-91d0-ee4ef0cebd15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27DD1DDA</paraID>
      <start>16</start>
      <end>17</end>
      <status>unmodified</status>
      <modifiedWord/>
      <trackRevisions>false</trackRevisions>
    </reviewItem>
    <reviewItem>
      <errorID>9788e7ea-651d-4590-a31f-bc155119686d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27DD1DDA</paraID>
      <start>32</start>
      <end>33</end>
      <status>unmodified</status>
      <modifiedWord/>
      <trackRevisions>false</trackRevisions>
    </reviewItem>
    <reviewItem>
      <errorID>a988cb44-1205-4050-a125-ede559b5c745</errorID>
      <errorWord>(</errorWord>
      <group>L1_Format</group>
      <groupName>格式问题</groupName>
      <ability>L2_HalfPunc_CN</ability>
      <abilityName>全半角问题</abilityName>
      <candidateList>
        <item>（</item>
      </candidateList>
      <explain>文本全半角错误。</explain>
      <paraID>369173C5</paraID>
      <start>2</start>
      <end>3</end>
      <status>unmodified</status>
      <modifiedWord/>
      <trackRevisions>false</trackRevisions>
    </reviewItem>
    <reviewItem>
      <errorID>5a5865ec-114a-4526-8f8c-67b2f2af4bca</errorID>
      <errorWord>)</errorWord>
      <group>L1_Format</group>
      <groupName>格式问题</groupName>
      <ability>L2_HalfPunc_CN</ability>
      <abilityName>全半角问题</abilityName>
      <candidateList>
        <item>）</item>
      </candidateList>
      <explain>文本全半角错误。</explain>
      <paraID>369173C5</paraID>
      <start>13</start>
      <end>14</end>
      <status>unmodified</status>
      <modifiedWord/>
      <trackRevisions>false</trackRevisions>
    </reviewItem>
    <reviewItem>
      <errorID>f77abfd5-ee7d-4feb-b7c4-bf9682672c5c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7DA273F8</paraID>
      <start>16</start>
      <end>17</end>
      <status>unmodified</status>
      <modifiedWord/>
      <trackRevisions>false</trackRevisions>
    </reviewItem>
    <reviewItem>
      <errorID>f24ac3f9-69b7-4d89-a0e1-c3942dc1b6a6</errorID>
      <errorWord>,</errorWord>
      <group>L1_Format</group>
      <groupName>格式问题</groupName>
      <ability>L2_HalfPunc_CN</ability>
      <abilityName>全半角问题</abilityName>
      <candidateList>
        <item>，</item>
      </candidateList>
      <explain>文本全半角错误。</explain>
      <paraID>2158D25A</paraID>
      <start>3</start>
      <end>4</end>
      <status>unmodified</status>
      <modifiedWord/>
      <trackRevisions>false</trackRevisions>
    </reviewItem>
    <reviewItem>
      <errorID>b4df878d-cbf2-45fa-a6ff-feffd1d4986d</errorID>
      <errorWord>(</errorWord>
      <group>L1_Format</group>
      <groupName>格式问题</groupName>
      <ability>L2_HalfPunc_CN</ability>
      <abilityName>全半角问题</abilityName>
      <candidateList>
        <item>（</item>
      </candidateList>
      <explain>文本全半角错误。</explain>
      <paraID>1759D289</paraID>
      <start>7</start>
      <end>8</end>
      <status>unmodified</status>
      <modifiedWord/>
      <trackRevisions>false</trackRevisions>
    </reviewItem>
    <reviewItem>
      <errorID>4bcd6892-3654-43ba-b90c-aead9ab860c1</errorID>
      <errorWord>)</errorWord>
      <group>L1_Format</group>
      <groupName>格式问题</groupName>
      <ability>L2_HalfPunc_CN</ability>
      <abilityName>全半角问题</abilityName>
      <candidateList>
        <item>）</item>
      </candidateList>
      <explain>文本全半角错误。</explain>
      <paraID>1759D289</paraID>
      <start>18</start>
      <end>19</end>
      <status>unmodified</status>
      <modifiedWord/>
      <trackRevisions>false</trackRevisions>
    </reviewItem>
    <reviewItem>
      <errorID>eda2c055-aeb0-4669-85b3-bbf276375d24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296E0043</paraID>
      <start>16</start>
      <end>17</end>
      <status>unmodified</status>
      <modifiedWord/>
      <trackRevisions>false</trackRevisions>
    </reviewItem>
    <reviewItem>
      <errorID>2fd02747-0c3d-404a-8f54-5cfdb8fd5120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296E0043</paraID>
      <start>33</start>
      <end>34</end>
      <status>unmodified</status>
      <modifiedWord/>
      <trackRevisions>false</trackRevisions>
    </reviewItem>
    <reviewItem>
      <errorID>a267d838-6eb4-47b2-8b28-b2388155decd</errorID>
      <errorWord>(</errorWord>
      <group>L1_Format</group>
      <groupName>格式问题</groupName>
      <ability>L2_HalfPunc_CN</ability>
      <abilityName>全半角问题</abilityName>
      <candidateList>
        <item>（</item>
      </candidateList>
      <explain>文本全半角错误。</explain>
      <paraID>629E5337</paraID>
      <start>30</start>
      <end>31</end>
      <status>unmodified</status>
      <modifiedWord/>
      <trackRevisions>false</trackRevisions>
    </reviewItem>
    <reviewItem>
      <errorID>9bfe104c-d995-445d-9abe-7c8c4d0a6cc8</errorID>
      <errorWord>)</errorWord>
      <group>L1_Format</group>
      <groupName>格式问题</groupName>
      <ability>L2_HalfPunc_CN</ability>
      <abilityName>全半角问题</abilityName>
      <candidateList>
        <item>）</item>
      </candidateList>
      <explain>文本全半角错误。</explain>
      <paraID>629E5337</paraID>
      <start>36</start>
      <end>37</end>
      <status>unmodified</status>
      <modifiedWord/>
      <trackRevisions>false</trackRevisions>
    </reviewItem>
    <reviewItem>
      <errorID>1554dc19-6a8c-431f-9e02-4cf807f2c501</errorID>
      <errorWord>(</errorWord>
      <group>L1_Format</group>
      <groupName>格式问题</groupName>
      <ability>L2_HalfPunc_CN</ability>
      <abilityName>全半角问题</abilityName>
      <candidateList>
        <item>（</item>
      </candidateList>
      <explain>文本全半角错误。</explain>
      <paraID>198181B3</paraID>
      <start>6</start>
      <end>7</end>
      <status>unmodified</status>
      <modifiedWord/>
      <trackRevisions>false</trackRevisions>
    </reviewItem>
    <reviewItem>
      <errorID>e4a9fc02-ca16-452d-9ad4-9bc95704cacd</errorID>
      <errorWord>)</errorWord>
      <group>L1_Format</group>
      <groupName>格式问题</groupName>
      <ability>L2_HalfPunc_CN</ability>
      <abilityName>全半角问题</abilityName>
      <candidateList>
        <item>）</item>
      </candidateList>
      <explain>文本全半角错误。</explain>
      <paraID>198181B3</paraID>
      <start>11</start>
      <end>12</end>
      <status>unmodified</status>
      <modifiedWord/>
      <trackRevisions>false</trackRevisions>
    </reviewItem>
    <reviewItem>
      <errorID>e6e677c0-4e91-45fa-b5ca-939626d2fb0e</errorID>
      <errorWord>大</errorWord>
      <group>L1_Word</group>
      <groupName>字词问题</groupName>
      <ability>L2_Typo</ability>
      <abilityName>字词错误</abilityName>
      <candidateList>
        <item>的</item>
      </candidateList>
      <explain/>
      <paraID>622EDE58</paraID>
      <start>0</start>
      <end>1</end>
      <status>unmodified</status>
      <modifiedWord/>
      <trackRevisions>false</trackRevisions>
    </reviewItem>
    <reviewItem>
      <errorID>c1f51869-8ce4-4c41-b7d9-618e49919b03</errorID>
      <errorWord>:</errorWord>
      <group>L1_Format</group>
      <groupName>格式问题</groupName>
      <ability>L2_HalfPunc_CN</ability>
      <abilityName>全半角问题</abilityName>
      <candidateList>
        <item>：</item>
      </candidateList>
      <explain>文本全半角错误。</explain>
      <paraID>1CDF5B20</paraID>
      <start>8</start>
      <end>9</end>
      <status>unmodified</status>
      <modifiedWord/>
      <trackRevisions>false</trackRevisions>
    </reviewItem>
    <reviewItem>
      <errorID>b8ae2b65-f7f6-49ae-bff7-d3a6d1288003</errorID>
      <errorWord>站站</errorWord>
      <group>L1_Word</group>
      <groupName>字词问题</groupName>
      <ability>L2_Typo</ability>
      <abilityName>字词错误</abilityName>
      <candidateList>
        <item>站</item>
      </candidateList>
      <explain/>
      <paraID>1CB53E16</paraID>
      <start>14</start>
      <end>16</end>
      <status>unmodified</status>
      <modifiedWord/>
      <trackRevisions>false</trackRevisions>
    </reviewItem>
    <reviewItem>
      <errorID>337de1e7-99b0-4df5-b567-73387e0253bb</errorID>
      <errorWord>,</errorWord>
      <group>L1_Format</group>
      <groupName>格式问题</groupName>
      <ability>L2_HalfPunc_CN</ability>
      <abilityName>全半角问题</abilityName>
      <candidateList>
        <item>，</item>
      </candidateList>
      <explain>文本全半角错误。</explain>
      <paraID>1CB53E16</paraID>
      <start>20</start>
      <end>21</end>
      <status>unmodified</status>
      <modifiedWord/>
      <trackRevisions>false</trackRevisions>
    </reviewItem>
    <reviewItem>
      <errorID>2583a5a9-a3f1-454a-a097-aea49a10eb50</errorID>
      <errorWord>(</errorWord>
      <group>L1_Format</group>
      <groupName>格式问题</groupName>
      <ability>L2_HalfPunc_CN</ability>
      <abilityName>全半角问题</abilityName>
      <candidateList>
        <item>（</item>
      </candidateList>
      <explain>文本全半角错误。</explain>
      <paraID>1CB53E16</paraID>
      <start>63</start>
      <end>64</end>
      <status>unmodified</status>
      <modifiedWord/>
      <trackRevisions>false</trackRevisions>
    </reviewItem>
    <reviewItem>
      <errorID>74756eda-61c4-48e9-b3b0-80a0445f64c0</errorID>
      <errorWord>)</errorWord>
      <group>L1_Format</group>
      <groupName>格式问题</groupName>
      <ability>L2_HalfPunc_CN</ability>
      <abilityName>全半角问题</abilityName>
      <candidateList>
        <item>）</item>
      </candidateList>
      <explain>文本全半角错误。</explain>
      <paraID>1CB53E16</paraID>
      <start>70</start>
      <end>71</end>
      <status>unmodified</status>
      <modifiedWord/>
      <trackRevisions>false</trackRevisions>
    </reviewItem>
    <reviewItem>
      <errorID>689155bd-b04c-4942-b6d3-ccfc82dbf2d5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7E91D784</paraID>
      <start>0</start>
      <end>3</end>
      <status>unmodified</status>
      <modifiedWord/>
      <trackRevisions>false</trackRevisions>
    </reviewItem>
    <reviewItem>
      <errorID>3373626f-308c-4332-86f6-492be98cdfcf</errorID>
      <errorWord>(</errorWord>
      <group>L1_Format</group>
      <groupName>格式问题</groupName>
      <ability>L2_HalfPunc_CN</ability>
      <abilityName>全半角问题</abilityName>
      <candidateList>
        <item>（</item>
      </candidateList>
      <explain>文本全半角错误。</explain>
      <paraID>22B0AFB1</paraID>
      <start>126</start>
      <end>127</end>
      <status>unmodified</status>
      <modifiedWord/>
      <trackRevisions>false</trackRevisions>
    </reviewItem>
    <reviewItem>
      <errorID>5fd27e82-b683-4d1a-8df9-82817c255d4f</errorID>
      <errorWord>)</errorWord>
      <group>L1_Format</group>
      <groupName>格式问题</groupName>
      <ability>L2_HalfPunc_CN</ability>
      <abilityName>全半角问题</abilityName>
      <candidateList>
        <item>）</item>
      </candidateList>
      <explain>文本全半角错误。</explain>
      <paraID>22B0AFB1</paraID>
      <start>138</start>
      <end>139</end>
      <status>unmodified</status>
      <modifiedWord/>
      <trackRevisions>false</trackRevisions>
    </reviewItem>
    <reviewItem>
      <errorID>cdf589d7-e6a3-411a-bd20-a87393ac0eaf</errorID>
      <errorWord>)</errorWord>
      <group>L1_Format</group>
      <groupName>格式问题</groupName>
      <ability>L2_HalfPunc_CN</ability>
      <abilityName>全半角问题</abilityName>
      <candidateList>
        <item>）</item>
      </candidateList>
      <explain>文本全半角错误。</explain>
      <paraID>1B6D52AE</paraID>
      <start>23</start>
      <end>24</end>
      <status>unmodified</status>
      <modifiedWord/>
      <trackRevisions>false</trackRevisions>
    </reviewItem>
    <reviewItem>
      <errorID>3e46786c-c06b-48f1-8d3f-191b14eb5bb8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78B1BB1A</paraID>
      <start>0</start>
      <end>3</end>
      <status>unmodified</status>
      <modifiedWord/>
      <trackRevisions>false</trackRevisions>
    </reviewItem>
    <reviewItem>
      <errorID>1a144146-0dea-4e58-8fcb-3098e8d91990</errorID>
      <errorWord>(</errorWord>
      <group>L1_Format</group>
      <groupName>格式问题</groupName>
      <ability>L2_HalfPunc_CN</ability>
      <abilityName>全半角问题</abilityName>
      <candidateList>
        <item>（</item>
      </candidateList>
      <explain>文本全半角错误。</explain>
      <paraID>55FE4F25</paraID>
      <start>14</start>
      <end>15</end>
      <status>unmodified</status>
      <modifiedWord/>
      <trackRevisions>false</trackRevisions>
    </reviewItem>
    <reviewItem>
      <errorID>5689df95-4469-4ff8-a00b-38b2021827f1</errorID>
      <errorWord>),</errorWord>
      <group>L1_Format</group>
      <groupName>格式问题</groupName>
      <ability>L2_HalfPunc_CN</ability>
      <abilityName>全半角问题</abilityName>
      <candidateList>
        <item>），</item>
      </candidateList>
      <explain>文本全半角错误。</explain>
      <paraID>55FE4F25</paraID>
      <start>22</start>
      <end>24</end>
      <status>unmodified</status>
      <modifiedWord/>
      <trackRevisions>false</trackRevisions>
    </reviewItem>
    <reviewItem>
      <errorID>bfe61f66-483b-4dbb-a42e-0d897fe864f9</errorID>
      <errorWord>～</errorWord>
      <group>L1_Format</group>
      <groupName>格式问题</groupName>
      <ability>L2_HalfPunc_CN</ability>
      <abilityName>全半角问题</abilityName>
      <candidateList>
        <item>~</item>
      </candidateList>
      <explain>文本全半角错误。</explain>
      <paraID>3D40D740</paraID>
      <start>1</start>
      <end>2</end>
      <status>unmodified</status>
      <modifiedWord/>
      <trackRevisions>false</trackRevisions>
    </reviewItem>
    <reviewItem>
      <errorID>ba1cfc20-ac4f-44bc-9e17-312a68a4b8aa</errorID>
      <errorWord>)</errorWord>
      <group>L1_Format</group>
      <groupName>格式问题</groupName>
      <ability>L2_HalfPunc_CN</ability>
      <abilityName>全半角问题</abilityName>
      <candidateList>
        <item>）</item>
      </candidateList>
      <explain>文本全半角错误。</explain>
      <paraID>6A995B7D</paraID>
      <start>12</start>
      <end>13</end>
      <status>unmodified</status>
      <modifiedWord/>
      <trackRevisions>false</trackRevisions>
    </reviewItem>
    <reviewItem>
      <errorID>10d386c6-c868-486b-9764-197be0777fe6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1E057B34</paraID>
      <start>0</start>
      <end>3</end>
      <status>unmodified</status>
      <modifiedWord/>
      <trackRevisions>false</trackRevisions>
    </reviewItem>
    <reviewItem>
      <errorID>76374379-dbc6-494c-bd33-8eadf8268add</errorID>
      <errorWord>(</errorWord>
      <group>L1_Format</group>
      <groupName>格式问题</groupName>
      <ability>L2_HalfPunc_CN</ability>
      <abilityName>全半角问题</abilityName>
      <candidateList>
        <item>（</item>
      </candidateList>
      <explain>文本全半角错误。</explain>
      <paraID>5C941C4A</paraID>
      <start>80</start>
      <end>81</end>
      <status>unmodified</status>
      <modifiedWord/>
      <trackRevisions>false</trackRevisions>
    </reviewItem>
    <reviewItem>
      <errorID>dbbc2e07-fd02-4cfe-b219-2e6e554e24c8</errorID>
      <errorWord>(</errorWord>
      <group>L1_Format</group>
      <groupName>格式问题</groupName>
      <ability>L2_HalfPunc_CN</ability>
      <abilityName>全半角问题</abilityName>
      <candidateList>
        <item>（</item>
      </candidateList>
      <explain>文本全半角错误。</explain>
      <paraID>5C941C4A</paraID>
      <start>107</start>
      <end>108</end>
      <status>unmodified</status>
      <modifiedWord/>
      <trackRevisions>false</trackRevisions>
    </reviewItem>
    <reviewItem>
      <errorID>74a5615c-375b-40be-927b-2cf7e43f156a</errorID>
      <errorWord>)</errorWord>
      <group>L1_Format</group>
      <groupName>格式问题</groupName>
      <ability>L2_HalfPunc_CN</ability>
      <abilityName>全半角问题</abilityName>
      <candidateList>
        <item>）</item>
      </candidateList>
      <explain>文本全半角错误。</explain>
      <paraID>5C941C4A</paraID>
      <start>114</start>
      <end>115</end>
      <status>unmodified</status>
      <modifiedWord/>
      <trackRevisions>false</trackRevisions>
    </reviewItem>
    <reviewItem>
      <errorID>b94f1629-2ba8-47a8-ac85-6f967b9a782d</errorID>
      <errorWord>(</errorWord>
      <group>L1_Format</group>
      <groupName>格式问题</groupName>
      <ability>L2_HalfPunc_CN</ability>
      <abilityName>全半角问题</abilityName>
      <candidateList>
        <item>（</item>
      </candidateList>
      <explain>文本全半角错误。</explain>
      <paraID>74826D4E</paraID>
      <start>7</start>
      <end>8</end>
      <status>unmodified</status>
      <modifiedWord/>
      <trackRevisions>false</trackRevisions>
    </reviewItem>
    <reviewItem>
      <errorID>64132426-64d2-4a09-bd0e-a9bcfe67681a</errorID>
      <errorWord>)</errorWord>
      <group>L1_Format</group>
      <groupName>格式问题</groupName>
      <ability>L2_HalfPunc_CN</ability>
      <abilityName>全半角问题</abilityName>
      <candidateList>
        <item>）</item>
      </candidateList>
      <explain>文本全半角错误。</explain>
      <paraID>74826D4E</paraID>
      <start>14</start>
      <end>15</end>
      <status>unmodified</status>
      <modifiedWord/>
      <trackRevisions>false</trackRevisions>
    </reviewItem>
    <reviewItem>
      <errorID>ec22fa51-13f8-47d2-847e-af23f6715e20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75E0E452</paraID>
      <start>0</start>
      <end>3</end>
      <status>unmodified</status>
      <modifiedWord/>
      <trackRevisions>false</trackRevisions>
    </reviewItem>
    <reviewItem>
      <errorID>898ea14d-7786-4d08-9c2d-500b997ca4c7</errorID>
      <errorWord>(</errorWord>
      <group>L1_Format</group>
      <groupName>格式问题</groupName>
      <ability>L2_HalfPunc_CN</ability>
      <abilityName>全半角问题</abilityName>
      <candidateList>
        <item>（</item>
      </candidateList>
      <explain>文本全半角错误。</explain>
      <paraID>68F56B26</paraID>
      <start>12</start>
      <end>13</end>
      <status>unmodified</status>
      <modifiedWord/>
      <trackRevisions>false</trackRevisions>
    </reviewItem>
    <reviewItem>
      <errorID>68791619-1509-4dd3-974a-f312a6b84905</errorID>
      <errorWord>)</errorWord>
      <group>L1_Format</group>
      <groupName>格式问题</groupName>
      <ability>L2_HalfPunc_CN</ability>
      <abilityName>全半角问题</abilityName>
      <candidateList>
        <item>）</item>
      </candidateList>
      <explain>文本全半角错误。</explain>
      <paraID>68F56B26</paraID>
      <start>24</start>
      <end>25</end>
      <status>unmodified</status>
      <modifiedWord/>
      <trackRevisions>false</trackRevisions>
    </reviewItem>
    <reviewItem>
      <errorID>f07f9247-70c9-4741-a617-89b5cf1e5852</errorID>
      <errorWord>(</errorWord>
      <group>L1_Format</group>
      <groupName>格式问题</groupName>
      <ability>L2_HalfPunc_CN</ability>
      <abilityName>全半角问题</abilityName>
      <candidateList>
        <item>（</item>
      </candidateList>
      <explain>文本全半角错误。</explain>
      <paraID>68F56B26</paraID>
      <start>95</start>
      <end>96</end>
      <status>unmodified</status>
      <modifiedWord/>
      <trackRevisions>false</trackRevisions>
    </reviewItem>
    <reviewItem>
      <errorID>802e7b13-4d7b-4560-b157-c52938a5cda0</errorID>
      <errorWord>,</errorWord>
      <group>L1_Format</group>
      <groupName>格式问题</groupName>
      <ability>L2_HalfPunc_CN</ability>
      <abilityName>全半角问题</abilityName>
      <candidateList>
        <item>，</item>
      </candidateList>
      <explain>文本全半角错误。</explain>
      <paraID>68F56B26</paraID>
      <start>108</start>
      <end>109</end>
      <status>unmodified</status>
      <modifiedWord/>
      <trackRevisions>false</trackRevisions>
    </reviewItem>
    <reviewItem>
      <errorID>35302cf4-2cdf-4bc0-86ad-c22c3a32a6b2</errorID>
      <errorWord>(</errorWord>
      <group>L1_Format</group>
      <groupName>格式问题</groupName>
      <ability>L2_HalfPunc_CN</ability>
      <abilityName>全半角问题</abilityName>
      <candidateList>
        <item>（</item>
      </candidateList>
      <explain>文本全半角错误。</explain>
      <paraID>6A93C680</paraID>
      <start>4</start>
      <end>5</end>
      <status>unmodified</status>
      <modifiedWord/>
      <trackRevisions>false</trackRevisions>
    </reviewItem>
    <reviewItem>
      <errorID>cbdc97e5-7f09-4d9a-b2f8-2f3b1259c274</errorID>
      <errorWord>)</errorWord>
      <group>L1_Format</group>
      <groupName>格式问题</groupName>
      <ability>L2_HalfPunc_CN</ability>
      <abilityName>全半角问题</abilityName>
      <candidateList>
        <item>）</item>
      </candidateList>
      <explain>文本全半角错误。</explain>
      <paraID>6A93C680</paraID>
      <start>8</start>
      <end>9</end>
      <status>unmodified</status>
      <modifiedWord/>
      <trackRevisions>false</trackRevisions>
    </reviewItem>
    <reviewItem>
      <errorID>7f5735b7-c3ec-4ed6-bcc3-4e2c85f1e821</errorID>
      <errorWord>(</errorWord>
      <group>L1_Format</group>
      <groupName>格式问题</groupName>
      <ability>L2_HalfPunc_CN</ability>
      <abilityName>全半角问题</abilityName>
      <candidateList>
        <item>（</item>
      </candidateList>
      <explain>文本全半角错误。</explain>
      <paraID>7EE84B6E</paraID>
      <start>5</start>
      <end>6</end>
      <status>unmodified</status>
      <modifiedWord/>
      <trackRevisions>false</trackRevisions>
    </reviewItem>
    <reviewItem>
      <errorID>432c74e3-091c-45e0-aaa4-35592f9dc2df</errorID>
      <errorWord>)</errorWord>
      <group>L1_Format</group>
      <groupName>格式问题</groupName>
      <ability>L2_HalfPunc_CN</ability>
      <abilityName>全半角问题</abilityName>
      <candidateList>
        <item>）</item>
      </candidateList>
      <explain>文本全半角错误。</explain>
      <paraID>7EE84B6E</paraID>
      <start>8</start>
      <end>9</end>
      <status>unmodified</status>
      <modifiedWord/>
      <trackRevisions>false</trackRevisions>
    </reviewItem>
    <reviewItem>
      <errorID>25c5f70d-ca2c-4dcf-9476-73fd0fe7dc38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6B2F2FA7</paraID>
      <start>0</start>
      <end>3</end>
      <status>unmodified</status>
      <modifiedWord/>
      <trackRevisions>false</trackRevisions>
    </reviewItem>
    <reviewItem>
      <errorID>2c0653ab-4a51-4d79-bf01-d235a2a955ab</errorID>
      <errorWord>(</errorWord>
      <group>L1_Format</group>
      <groupName>格式问题</groupName>
      <ability>L2_HalfPunc_CN</ability>
      <abilityName>全半角问题</abilityName>
      <candidateList>
        <item>（</item>
      </candidateList>
      <explain>文本全半角错误。</explain>
      <paraID>1FC2BD72</paraID>
      <start>27</start>
      <end>28</end>
      <status>unmodified</status>
      <modifiedWord/>
      <trackRevisions>false</trackRevisions>
    </reviewItem>
    <reviewItem>
      <errorID>ea65d595-eb4c-495b-9e2e-3ab32b45d532</errorID>
      <errorWord>(</errorWord>
      <group>L1_Format</group>
      <groupName>格式问题</groupName>
      <ability>L2_HalfPunc_CN</ability>
      <abilityName>全半角问题</abilityName>
      <candidateList>
        <item>（</item>
      </candidateList>
      <explain>文本全半角错误。</explain>
      <paraID>5C7C73BB</paraID>
      <start>26</start>
      <end>27</end>
      <status>unmodified</status>
      <modifiedWord/>
      <trackRevisions>false</trackRevisions>
    </reviewItem>
    <reviewItem>
      <errorID>6dd59d87-545b-4133-9cf2-1c3dc2e561da</errorID>
      <errorWord>)</errorWord>
      <group>L1_Format</group>
      <groupName>格式问题</groupName>
      <ability>L2_HalfPunc_CN</ability>
      <abilityName>全半角问题</abilityName>
      <candidateList>
        <item>）</item>
      </candidateList>
      <explain>文本全半角错误。</explain>
      <paraID>5C7C73BB</paraID>
      <start>32</start>
      <end>33</end>
      <status>unmodified</status>
      <modifiedWord/>
      <trackRevisions>false</trackRevisions>
    </reviewItem>
    <reviewItem>
      <errorID>5535583a-0e8f-4ac3-9df7-29a03c3f5e81</errorID>
      <errorWord>(</errorWord>
      <group>L1_Format</group>
      <groupName>格式问题</groupName>
      <ability>L2_HalfPunc_CN</ability>
      <abilityName>全半角问题</abilityName>
      <candidateList>
        <item>（</item>
      </candidateList>
      <explain>文本全半角错误。</explain>
      <paraID> 7C5F1B7</paraID>
      <start>62</start>
      <end>63</end>
      <status>unmodified</status>
      <modifiedWord/>
      <trackRevisions>false</trackRevisions>
    </reviewItem>
    <reviewItem>
      <errorID>0c625371-2607-4a28-b5a1-8cd13a707add</errorID>
      <errorWord>)</errorWord>
      <group>L1_Format</group>
      <groupName>格式问题</groupName>
      <ability>L2_HalfPunc_CN</ability>
      <abilityName>全半角问题</abilityName>
      <candidateList>
        <item>）</item>
      </candidateList>
      <explain>文本全半角错误。</explain>
      <paraID> 7C5F1B7</paraID>
      <start>75</start>
      <end>76</end>
      <status>unmodified</status>
      <modifiedWord/>
      <trackRevisions>false</trackRevisions>
    </reviewItem>
    <reviewItem>
      <errorID>b25d5324-5159-4273-81b1-8c4a4fd59db7</errorID>
      <errorWord>(</errorWord>
      <group>L1_Format</group>
      <groupName>格式问题</groupName>
      <ability>L2_HalfPunc_CN</ability>
      <abilityName>全半角问题</abilityName>
      <candidateList>
        <item>（</item>
      </candidateList>
      <explain>文本全半角错误。</explain>
      <paraID>38EDF9EA</paraID>
      <start>8</start>
      <end>9</end>
      <status>unmodified</status>
      <modifiedWord/>
      <trackRevisions>false</trackRevisions>
    </reviewItem>
    <reviewItem>
      <errorID>2a66ae3d-442f-417c-9b11-ec9ae9f6ccdc</errorID>
      <errorWord>)</errorWord>
      <group>L1_Format</group>
      <groupName>格式问题</groupName>
      <ability>L2_HalfPunc_CN</ability>
      <abilityName>全半角问题</abilityName>
      <candidateList>
        <item>）</item>
      </candidateList>
      <explain>文本全半角错误。</explain>
      <paraID>38EDF9EA</paraID>
      <start>14</start>
      <end>15</end>
      <status>unmodified</status>
      <modifiedWord/>
      <trackRevisions>false</trackRevisions>
    </reviewItem>
    <reviewItem>
      <errorID>3f88b405-a299-49a7-bd7d-569773740653</errorID>
      <errorWord>(</errorWord>
      <group>L1_Format</group>
      <groupName>格式问题</groupName>
      <ability>L2_HalfPunc_CN</ability>
      <abilityName>全半角问题</abilityName>
      <candidateList>
        <item>（</item>
      </candidateList>
      <explain>文本全半角错误。</explain>
      <paraID>140E051D</paraID>
      <start>9</start>
      <end>10</end>
      <status>unmodified</status>
      <modifiedWord/>
      <trackRevisions>false</trackRevisions>
    </reviewItem>
    <reviewItem>
      <errorID>628a4dbc-761c-4876-80a7-309b9f66b1b8</errorID>
      <errorWord>)</errorWord>
      <group>L1_Format</group>
      <groupName>格式问题</groupName>
      <ability>L2_HalfPunc_CN</ability>
      <abilityName>全半角问题</abilityName>
      <candidateList>
        <item>）</item>
      </candidateList>
      <explain>文本全半角错误。</explain>
      <paraID>140E051D</paraID>
      <start>11</start>
      <end>12</end>
      <status>unmodified</status>
      <modifiedWord/>
      <trackRevisions>false</trackRevisions>
    </reviewItem>
    <reviewItem>
      <errorID>a8080300-41b0-4a34-8ced-f2be02d56b74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21846B79</paraID>
      <start>0</start>
      <end>3</end>
      <status>unmodified</status>
      <modifiedWord/>
      <trackRevisions>false</trackRevisions>
    </reviewItem>
    <reviewItem>
      <errorID>007ef11c-8f79-4945-ac87-8dd887250ab3</errorID>
      <errorWord>～</errorWord>
      <group>L1_Format</group>
      <groupName>格式问题</groupName>
      <ability>L2_HalfPunc_CN</ability>
      <abilityName>全半角问题</abilityName>
      <candidateList>
        <item>~</item>
      </candidateList>
      <explain>文本全半角错误。</explain>
      <paraID>17B56561</paraID>
      <start>3</start>
      <end>4</end>
      <status>unmodified</status>
      <modifiedWord/>
      <trackRevisions>false</trackRevisions>
    </reviewItem>
    <reviewItem>
      <errorID>08c059f8-8b38-44ab-aec8-5cd3fa1a236c</errorID>
      <errorWord>(</errorWord>
      <group>L1_Format</group>
      <groupName>格式问题</groupName>
      <ability>L2_HalfPunc_CN</ability>
      <abilityName>全半角问题</abilityName>
      <candidateList>
        <item>（</item>
      </candidateList>
      <explain>文本全半角错误。</explain>
      <paraID>6906D7E4</paraID>
      <start>1</start>
      <end>2</end>
      <status>unmodified</status>
      <modifiedWord/>
      <trackRevisions>false</trackRevisions>
    </reviewItem>
    <reviewItem>
      <errorID>8b0867fb-c5d6-4c24-b683-ce032d6c78f0</errorID>
      <errorWord>)</errorWord>
      <group>L1_Format</group>
      <groupName>格式问题</groupName>
      <ability>L2_HalfPunc_CN</ability>
      <abilityName>全半角问题</abilityName>
      <candidateList>
        <item>）</item>
      </candidateList>
      <explain>文本全半角错误。</explain>
      <paraID>6906D7E4</paraID>
      <start>3</start>
      <end>4</end>
      <status>unmodified</status>
      <modifiedWord/>
      <trackRevisions>false</trackRevisions>
    </reviewItem>
    <reviewItem>
      <errorID>4b8ddb68-f905-4042-b8af-2c5121458524</errorID>
      <errorWord>无不</errorWord>
      <group>L1_Word</group>
      <groupName>字词问题</groupName>
      <ability>L2_Typo</ability>
      <abilityName>字词错误</abilityName>
      <candidateList>
        <item>无比</item>
      </candidateList>
      <explain>存在发音相近字词的误用。</explain>
      <paraID>2C074DE7</paraID>
      <start>0</start>
      <end>2</end>
      <status>unmodified</status>
      <modifiedWord/>
      <trackRevisions>false</trackRevisions>
    </reviewItem>
    <reviewItem>
      <errorID>fe1b7c44-bde7-499b-8e02-5089758dbdbe</errorID>
      <errorWord>(</errorWord>
      <group>L1_Format</group>
      <groupName>格式问题</groupName>
      <ability>L2_HalfPunc_CN</ability>
      <abilityName>全半角问题</abilityName>
      <candidateList>
        <item>（</item>
      </candidateList>
      <explain>文本全半角错误。</explain>
      <paraID>5E7292A5</paraID>
      <start>2</start>
      <end>3</end>
      <status>unmodified</status>
      <modifiedWord/>
      <trackRevisions>false</trackRevisions>
    </reviewItem>
    <reviewItem>
      <errorID>241d0d66-4fbb-4739-bf58-f5232aa9c224</errorID>
      <errorWord>)</errorWord>
      <group>L1_Format</group>
      <groupName>格式问题</groupName>
      <ability>L2_HalfPunc_CN</ability>
      <abilityName>全半角问题</abilityName>
      <candidateList>
        <item>）</item>
      </candidateList>
      <explain>文本全半角错误。</explain>
      <paraID>5E7292A5</paraID>
      <start>6</start>
      <end>7</end>
      <status>unmodified</status>
      <modifiedWord/>
      <trackRevisions>false</trackRevisions>
    </reviewItem>
    <reviewItem>
      <errorID>dfc88793-e978-4b22-8f1d-e8819a034365</errorID>
      <errorWord>(</errorWord>
      <group>L1_Format</group>
      <groupName>格式问题</groupName>
      <ability>L2_HalfPunc_CN</ability>
      <abilityName>全半角问题</abilityName>
      <candidateList>
        <item>（</item>
      </candidateList>
      <explain>文本全半角错误。</explain>
      <paraID> 8E7C97D</paraID>
      <start>2</start>
      <end>3</end>
      <status>unmodified</status>
      <modifiedWord/>
      <trackRevisions>false</trackRevisions>
    </reviewItem>
    <reviewItem>
      <errorID>382e4d11-f124-4722-b62d-af0904b66ab9</errorID>
      <errorWord>)</errorWord>
      <group>L1_Format</group>
      <groupName>格式问题</groupName>
      <ability>L2_HalfPunc_CN</ability>
      <abilityName>全半角问题</abilityName>
      <candidateList>
        <item>）</item>
      </candidateList>
      <explain>文本全半角错误。</explain>
      <paraID> 8E7C97D</paraID>
      <start>7</start>
      <end>8</end>
      <status>unmodified</status>
      <modifiedWord/>
      <trackRevisions>false</trackRevisions>
    </reviewItem>
    <reviewItem>
      <errorID>75a24351-e55c-4ea1-8ed6-b42bd621e1ed</errorID>
      <errorWord>(</errorWord>
      <group>L1_Format</group>
      <groupName>格式问题</groupName>
      <ability>L2_HalfPunc_CN</ability>
      <abilityName>全半角问题</abilityName>
      <candidateList>
        <item>（</item>
      </candidateList>
      <explain>文本全半角错误。</explain>
      <paraID>3036CA2F</paraID>
      <start>7</start>
      <end>8</end>
      <status>unmodified</status>
      <modifiedWord/>
      <trackRevisions>false</trackRevisions>
    </reviewItem>
    <reviewItem>
      <errorID>009f7c22-9cc0-4ba5-a0bd-915f746407b0</errorID>
      <errorWord>)</errorWord>
      <group>L1_Format</group>
      <groupName>格式问题</groupName>
      <ability>L2_HalfPunc_CN</ability>
      <abilityName>全半角问题</abilityName>
      <candidateList>
        <item>）</item>
      </candidateList>
      <explain>文本全半角错误。</explain>
      <paraID>3036CA2F</paraID>
      <start>12</start>
      <end>13</end>
      <status>unmodified</status>
      <modifiedWord/>
      <trackRevisions>false</trackRevisions>
    </reviewItem>
    <reviewItem>
      <errorID>0f07ebd9-1a3a-4a1d-8458-120fd478722e</errorID>
      <errorWord>(</errorWord>
      <group>L1_Format</group>
      <groupName>格式问题</groupName>
      <ability>L2_HalfPunc_CN</ability>
      <abilityName>全半角问题</abilityName>
      <candidateList>
        <item>（</item>
      </candidateList>
      <explain>文本全半角错误。</explain>
      <paraID>6291822D</paraID>
      <start>1</start>
      <end>2</end>
      <status>unmodified</status>
      <modifiedWord/>
      <trackRevisions>false</trackRevisions>
    </reviewItem>
    <reviewItem>
      <errorID>9691c5e1-2eda-405c-b981-a6e693861962</errorID>
      <errorWord>)</errorWord>
      <group>L1_Format</group>
      <groupName>格式问题</groupName>
      <ability>L2_HalfPunc_CN</ability>
      <abilityName>全半角问题</abilityName>
      <candidateList>
        <item>）</item>
      </candidateList>
      <explain>文本全半角错误。</explain>
      <paraID>6291822D</paraID>
      <start>6</start>
      <end>7</end>
      <status>unmodified</status>
      <modifiedWord/>
      <trackRevisions>false</trackRevisions>
    </reviewItem>
    <reviewItem>
      <errorID>489d37e8-55e0-474b-b971-b0dee2b441d3</errorID>
      <errorWord>(</errorWord>
      <group>L1_Format</group>
      <groupName>格式问题</groupName>
      <ability>L2_HalfPunc_CN</ability>
      <abilityName>全半角问题</abilityName>
      <candidateList>
        <item>（</item>
      </candidateList>
      <explain>文本全半角错误。</explain>
      <paraID>5A0B316B</paraID>
      <start>1</start>
      <end>2</end>
      <status>unmodified</status>
      <modifiedWord/>
      <trackRevisions>false</trackRevisions>
    </reviewItem>
    <reviewItem>
      <errorID>3a569225-2245-4a89-b088-66322a01b51d</errorID>
      <errorWord>)</errorWord>
      <group>L1_Format</group>
      <groupName>格式问题</groupName>
      <ability>L2_HalfPunc_CN</ability>
      <abilityName>全半角问题</abilityName>
      <candidateList>
        <item>）</item>
      </candidateList>
      <explain>文本全半角错误。</explain>
      <paraID>5A0B316B</paraID>
      <start>6</start>
      <end>7</end>
      <status>unmodified</status>
      <modifiedWord/>
      <trackRevisions>false</trackRevisions>
    </reviewItem>
    <reviewItem>
      <errorID>d2acc16b-cc13-42c4-86dd-99141ac18650</errorID>
      <errorWord>(</errorWord>
      <group>L1_Format</group>
      <groupName>格式问题</groupName>
      <ability>L2_HalfPunc_CN</ability>
      <abilityName>全半角问题</abilityName>
      <candidateList>
        <item>（</item>
      </candidateList>
      <explain>文本全半角错误。</explain>
      <paraID>7A73F497</paraID>
      <start>6</start>
      <end>7</end>
      <status>unmodified</status>
      <modifiedWord/>
      <trackRevisions>false</trackRevisions>
    </reviewItem>
    <reviewItem>
      <errorID>f02145d0-791c-4dcd-83e1-34c97e18f228</errorID>
      <errorWord>)</errorWord>
      <group>L1_Format</group>
      <groupName>格式问题</groupName>
      <ability>L2_HalfPunc_CN</ability>
      <abilityName>全半角问题</abilityName>
      <candidateList>
        <item>）</item>
      </candidateList>
      <explain>文本全半角错误。</explain>
      <paraID>7A73F497</paraID>
      <start>11</start>
      <end>12</end>
      <status>unmodified</status>
      <modifiedWord/>
      <trackRevisions>false</trackRevisions>
    </reviewItem>
    <reviewItem>
      <errorID>397a8771-7760-430f-80b0-4c7128365a9b</errorID>
      <errorWord>(</errorWord>
      <group>L1_Format</group>
      <groupName>格式问题</groupName>
      <ability>L2_HalfPunc_CN</ability>
      <abilityName>全半角问题</abilityName>
      <candidateList>
        <item>（</item>
      </candidateList>
      <explain>文本全半角错误。</explain>
      <paraID>12DC95E7</paraID>
      <start>3</start>
      <end>4</end>
      <status>unmodified</status>
      <modifiedWord/>
      <trackRevisions>false</trackRevisions>
    </reviewItem>
    <reviewItem>
      <errorID>f42f625f-e66c-4863-9dbc-dbd78ea4f298</errorID>
      <errorWord>)</errorWord>
      <group>L1_Format</group>
      <groupName>格式问题</groupName>
      <ability>L2_HalfPunc_CN</ability>
      <abilityName>全半角问题</abilityName>
      <candidateList>
        <item>）</item>
      </candidateList>
      <explain>文本全半角错误。</explain>
      <paraID>12DC95E7</paraID>
      <start>8</start>
      <end>9</end>
      <status>unmodified</status>
      <modifiedWord/>
      <trackRevisions>false</trackRevisions>
    </reviewItem>
    <reviewItem>
      <errorID>2808d79e-4e31-4581-83e6-b70a8d4f9bcb</errorID>
      <errorWord>(</errorWord>
      <group>L1_Format</group>
      <groupName>格式问题</groupName>
      <ability>L2_HalfPunc_CN</ability>
      <abilityName>全半角问题</abilityName>
      <candidateList>
        <item>（</item>
      </candidateList>
      <explain>文本全半角错误。</explain>
      <paraID>62C1819B</paraID>
      <start>3</start>
      <end>4</end>
      <status>unmodified</status>
      <modifiedWord/>
      <trackRevisions>false</trackRevisions>
    </reviewItem>
    <reviewItem>
      <errorID>b0e59323-1748-424d-bbc4-a119418dc2a8</errorID>
      <errorWord>)</errorWord>
      <group>L1_Format</group>
      <groupName>格式问题</groupName>
      <ability>L2_HalfPunc_CN</ability>
      <abilityName>全半角问题</abilityName>
      <candidateList>
        <item>）</item>
      </candidateList>
      <explain>文本全半角错误。</explain>
      <paraID>62C1819B</paraID>
      <start>8</start>
      <end>9</end>
      <status>unmodified</status>
      <modifiedWord/>
      <trackRevisions>false</trackRevisions>
    </reviewItem>
    <reviewItem>
      <errorID>d74ec105-b49b-4ca6-a985-0adf08031f36</errorID>
      <errorWord>(</errorWord>
      <group>L1_Format</group>
      <groupName>格式问题</groupName>
      <ability>L2_HalfPunc_CN</ability>
      <abilityName>全半角问题</abilityName>
      <candidateList>
        <item>（</item>
      </candidateList>
      <explain>文本全半角错误。</explain>
      <paraID>78048F40</paraID>
      <start>3</start>
      <end>4</end>
      <status>unmodified</status>
      <modifiedWord/>
      <trackRevisions>false</trackRevisions>
    </reviewItem>
    <reviewItem>
      <errorID>c39b3e64-e239-4aa5-afde-6548becc4275</errorID>
      <errorWord>)</errorWord>
      <group>L1_Format</group>
      <groupName>格式问题</groupName>
      <ability>L2_HalfPunc_CN</ability>
      <abilityName>全半角问题</abilityName>
      <candidateList>
        <item>）</item>
      </candidateList>
      <explain>文本全半角错误。</explain>
      <paraID>78048F40</paraID>
      <start>6</start>
      <end>7</end>
      <status>unmodified</status>
      <modifiedWord/>
      <trackRevisions>false</trackRevisions>
    </reviewItem>
    <reviewItem>
      <errorID>0c75235d-d2a6-4350-8ab7-ccd4584e1026</errorID>
      <errorWord>(</errorWord>
      <group>L1_Format</group>
      <groupName>格式问题</groupName>
      <ability>L2_HalfPunc_CN</ability>
      <abilityName>全半角问题</abilityName>
      <candidateList>
        <item>（</item>
      </candidateList>
      <explain>文本全半角错误。</explain>
      <paraID>78048F40</paraID>
      <start>11</start>
      <end>12</end>
      <status>unmodified</status>
      <modifiedWord/>
      <trackRevisions>false</trackRevisions>
    </reviewItem>
    <reviewItem>
      <errorID>04039c55-474a-460b-989c-c768de8ae02d</errorID>
      <errorWord>),</errorWord>
      <group>L1_Format</group>
      <groupName>格式问题</groupName>
      <ability>L2_HalfPunc_CN</ability>
      <abilityName>全半角问题</abilityName>
      <candidateList>
        <item>），</item>
      </candidateList>
      <explain>文本全半角错误。</explain>
      <paraID>78048F40</paraID>
      <start>16</start>
      <end>18</end>
      <status>unmodified</status>
      <modifiedWord/>
      <trackRevisions>false</trackRevisions>
    </reviewItem>
    <reviewItem>
      <errorID>3442a718-ec4d-4e2b-9c09-a65a454de8dc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67F3A453</paraID>
      <start>0</start>
      <end>3</end>
      <status>unmodified</status>
      <modifiedWord/>
      <trackRevisions>false</trackRevisions>
    </reviewItem>
    <reviewItem>
      <errorID>1b7c67de-905d-4bde-9bcc-24d972fd6fad</errorID>
      <errorWord>(</errorWord>
      <group>L1_Format</group>
      <groupName>格式问题</groupName>
      <ability>L2_HalfPunc_CN</ability>
      <abilityName>全半角问题</abilityName>
      <candidateList>
        <item>（</item>
      </candidateList>
      <explain>文本全半角错误。</explain>
      <paraID>3411E7BC</paraID>
      <start>16</start>
      <end>17</end>
      <status>unmodified</status>
      <modifiedWord/>
      <trackRevisions>false</trackRevisions>
    </reviewItem>
    <reviewItem>
      <errorID>9fab1370-82b7-42a6-932b-70be96662613</errorID>
      <errorWord>(</errorWord>
      <group>L1_Format</group>
      <groupName>格式问题</groupName>
      <ability>L2_HalfPunc_CN</ability>
      <abilityName>全半角问题</abilityName>
      <candidateList>
        <item>（</item>
      </candidateList>
      <explain>文本全半角错误。</explain>
      <paraID> 2B0467E</paraID>
      <start>16</start>
      <end>17</end>
      <status>unmodified</status>
      <modifiedWord/>
      <trackRevisions>false</trackRevisions>
    </reviewItem>
    <reviewItem>
      <errorID>782ff48c-f45e-40d2-a0c1-90bc7d284758</errorID>
      <errorWord>(</errorWord>
      <group>L1_Format</group>
      <groupName>格式问题</groupName>
      <ability>L2_HalfPunc_CN</ability>
      <abilityName>全半角问题</abilityName>
      <candidateList>
        <item>（</item>
      </candidateList>
      <explain>文本全半角错误。</explain>
      <paraID>20F7A4A2</paraID>
      <start>16</start>
      <end>17</end>
      <status>unmodified</status>
      <modifiedWord/>
      <trackRevisions>false</trackRevisions>
    </reviewItem>
    <reviewItem>
      <errorID>6664a36b-6af3-4996-b7a9-cd419c9e568a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7425553B</paraID>
      <start>0</start>
      <end>3</end>
      <status>unmodified</status>
      <modifiedWord/>
      <trackRevisions>false</trackRevisions>
    </reviewItem>
    <reviewItem>
      <errorID>c9d89965-7146-45b8-b42a-f20d2e91d980</errorID>
      <errorWord>)</errorWord>
      <group>L1_Format</group>
      <groupName>格式问题</groupName>
      <ability>L2_HalfPunc_CN</ability>
      <abilityName>全半角问题</abilityName>
      <candidateList>
        <item>）</item>
      </candidateList>
      <explain>文本全半角错误。</explain>
      <paraID>707E1B74</paraID>
      <start>48</start>
      <end>49</end>
      <status>unmodified</status>
      <modifiedWord/>
      <trackRevisions>false</trackRevisions>
    </reviewItem>
    <reviewItem>
      <errorID>92231fea-37fb-4deb-9a44-19a4b01fb40b</errorID>
      <errorWord>(</errorWord>
      <group>L1_Format</group>
      <groupName>格式问题</groupName>
      <ability>L2_HalfPunc_CN</ability>
      <abilityName>全半角问题</abilityName>
      <candidateList>
        <item>（</item>
      </candidateList>
      <explain>文本全半角错误。</explain>
      <paraID>2915368B</paraID>
      <start>13</start>
      <end>14</end>
      <status>unmodified</status>
      <modifiedWord/>
      <trackRevisions>false</trackRevisions>
    </reviewItem>
    <reviewItem>
      <errorID>dad6cc90-0a8a-414c-b578-4d1f92b362fd</errorID>
      <errorWord>)</errorWord>
      <group>L1_Format</group>
      <groupName>格式问题</groupName>
      <ability>L2_HalfPunc_CN</ability>
      <abilityName>全半角问题</abilityName>
      <candidateList>
        <item>）</item>
      </candidateList>
      <explain>文本全半角错误。</explain>
      <paraID>2915368B</paraID>
      <start>23</start>
      <end>24</end>
      <status>unmodified</status>
      <modifiedWord/>
      <trackRevisions>false</trackRevisions>
    </reviewItem>
    <reviewItem>
      <errorID>43483156-f793-4edf-ad14-5f2a0627fff8</errorID>
      <errorWord>)</errorWord>
      <group>L1_Format</group>
      <groupName>格式问题</groupName>
      <ability>L2_HalfPunc_CN</ability>
      <abilityName>全半角问题</abilityName>
      <candidateList>
        <item>）</item>
      </candidateList>
      <explain>文本全半角错误。</explain>
      <paraID>6C4506D5</paraID>
      <start>21</start>
      <end>22</end>
      <status>unmodified</status>
      <modifiedWord/>
      <trackRevisions>false</trackRevisions>
    </reviewItem>
    <reviewItem>
      <errorID>813bae3c-372a-4b17-8f2c-e294bf1653cf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3586C208</paraID>
      <start>0</start>
      <end>3</end>
      <status>unmodified</status>
      <modifiedWord/>
      <trackRevisions>false</trackRevisions>
    </reviewItem>
    <reviewItem>
      <errorID>a9f8c8e3-72f9-4e64-9a97-117dca0f8fad</errorID>
      <errorWord>(</errorWord>
      <group>L1_Format</group>
      <groupName>格式问题</groupName>
      <ability>L2_HalfPunc_CN</ability>
      <abilityName>全半角问题</abilityName>
      <candidateList>
        <item>（</item>
      </candidateList>
      <explain>文本全半角错误。</explain>
      <paraID> DA4D476</paraID>
      <start>12</start>
      <end>13</end>
      <status>unmodified</status>
      <modifiedWord/>
      <trackRevisions>false</trackRevisions>
    </reviewItem>
    <reviewItem>
      <errorID>2fcbd4b1-f167-4372-808a-32173977712a</errorID>
      <errorWord>)</errorWord>
      <group>L1_Format</group>
      <groupName>格式问题</groupName>
      <ability>L2_HalfPunc_CN</ability>
      <abilityName>全半角问题</abilityName>
      <candidateList>
        <item>）</item>
      </candidateList>
      <explain>文本全半角错误。</explain>
      <paraID> DA4D476</paraID>
      <start>27</start>
      <end>28</end>
      <status>unmodified</status>
      <modifiedWord/>
      <trackRevisions>false</trackRevisions>
    </reviewItem>
    <reviewItem>
      <errorID>cb561ae0-c59f-4e5e-984c-02253a87008a</errorID>
      <errorWord>曝露</errorWord>
      <group>L1_Word</group>
      <groupName>字词问题</groupName>
      <ability>L2_Typo</ability>
      <abilityName>字词错误</abilityName>
      <candidateList>
        <item>暴露</item>
      </candidateList>
      <explain/>
      <paraID> DA4D476</paraID>
      <start>50</start>
      <end>52</end>
      <status>unmodified</status>
      <modifiedWord/>
      <trackRevisions>false</trackRevisions>
    </reviewItem>
    <reviewItem>
      <errorID>3b352660-de7b-4c5a-bff3-07db88e4ef1e</errorID>
      <errorWord>(</errorWord>
      <group>L1_Format</group>
      <groupName>格式问题</groupName>
      <ability>L2_HalfPunc_CN</ability>
      <abilityName>全半角问题</abilityName>
      <candidateList>
        <item>（</item>
      </candidateList>
      <explain>文本全半角错误。</explain>
      <paraID>766C470D</paraID>
      <start>7</start>
      <end>8</end>
      <status>unmodified</status>
      <modifiedWord/>
      <trackRevisions>false</trackRevisions>
    </reviewItem>
    <reviewItem>
      <errorID>1853784a-e712-4f55-b3ce-82679b44b808</errorID>
      <errorWord>)</errorWord>
      <group>L1_Format</group>
      <groupName>格式问题</groupName>
      <ability>L2_HalfPunc_CN</ability>
      <abilityName>全半角问题</abilityName>
      <candidateList>
        <item>）</item>
      </candidateList>
      <explain>文本全半角错误。</explain>
      <paraID>766C470D</paraID>
      <start>15</start>
      <end>16</end>
      <status>unmodified</status>
      <modifiedWord/>
      <trackRevisions>false</trackRevisions>
    </reviewItem>
    <reviewItem>
      <errorID>907d4742-2fda-47e9-8ce2-3abf8119b3ae</errorID>
      <errorWord>(</errorWord>
      <group>L1_Format</group>
      <groupName>格式问题</groupName>
      <ability>L2_HalfPunc_CN</ability>
      <abilityName>全半角问题</abilityName>
      <candidateList>
        <item>（</item>
      </candidateList>
      <explain>文本全半角错误。</explain>
      <paraID>7B560768</paraID>
      <start>20</start>
      <end>21</end>
      <status>unmodified</status>
      <modifiedWord/>
      <trackRevisions>false</trackRevisions>
    </reviewItem>
    <reviewItem>
      <errorID>a15f2310-48eb-4f71-86c8-38065c478402</errorID>
      <errorWord>)</errorWord>
      <group>L1_Format</group>
      <groupName>格式问题</groupName>
      <ability>L2_HalfPunc_CN</ability>
      <abilityName>全半角问题</abilityName>
      <candidateList>
        <item>）</item>
      </candidateList>
      <explain>文本全半角错误。</explain>
      <paraID>7B560768</paraID>
      <start>24</start>
      <end>25</end>
      <status>unmodified</status>
      <modifiedWord/>
      <trackRevisions>false</trackRevisions>
    </reviewItem>
    <reviewItem>
      <errorID>9fb6411e-6eaa-4281-ae10-2a0ef01c9f98</errorID>
      <errorWord>(</errorWord>
      <group>L1_Format</group>
      <groupName>格式问题</groupName>
      <ability>L2_HalfPunc_CN</ability>
      <abilityName>全半角问题</abilityName>
      <candidateList>
        <item>（</item>
      </candidateList>
      <explain>文本全半角错误。</explain>
      <paraID> 55C6F98</paraID>
      <start>8</start>
      <end>9</end>
      <status>unmodified</status>
      <modifiedWord/>
      <trackRevisions>false</trackRevisions>
    </reviewItem>
    <reviewItem>
      <errorID>d61e1cac-6836-450e-98ad-12edef74a06f</errorID>
      <errorWord>)</errorWord>
      <group>L1_Format</group>
      <groupName>格式问题</groupName>
      <ability>L2_HalfPunc_CN</ability>
      <abilityName>全半角问题</abilityName>
      <candidateList>
        <item>）</item>
      </candidateList>
      <explain>文本全半角错误。</explain>
      <paraID> 55C6F98</paraID>
      <start>10</start>
      <end>11</end>
      <status>unmodified</status>
      <modifiedWord/>
      <trackRevisions>false</trackRevisions>
    </reviewItem>
    <reviewItem>
      <errorID>5abf7a8a-484c-4884-b186-b7efdde85b79</errorID>
      <errorWord>,</errorWord>
      <group>L1_Format</group>
      <groupName>格式问题</groupName>
      <ability>L2_HalfPunc_CN</ability>
      <abilityName>全半角问题</abilityName>
      <candidateList>
        <item>，</item>
      </candidateList>
      <explain>文本全半角错误。</explain>
      <paraID>6E25BFCA</paraID>
      <start>17</start>
      <end>18</end>
      <status>unmodified</status>
      <modifiedWord/>
      <trackRevisions>false</trackRevisions>
    </reviewItem>
    <reviewItem>
      <errorID>7782585d-5361-4f87-9582-4b5ba770d92c</errorID>
      <errorWord>,</errorWord>
      <group>L1_Format</group>
      <groupName>格式问题</groupName>
      <ability>L2_HalfPunc_CN</ability>
      <abilityName>全半角问题</abilityName>
      <candidateList>
        <item>，</item>
      </candidateList>
      <explain>文本全半角错误。</explain>
      <paraID>6E25BFCA</paraID>
      <start>56</start>
      <end>57</end>
      <status>unmodified</status>
      <modifiedWord/>
      <trackRevisions>false</trackRevisions>
    </reviewItem>
    <reviewItem>
      <errorID>440b2418-0ab2-4153-bbf5-dc32dde5fa48</errorID>
      <errorWord>,</errorWord>
      <group>L1_Format</group>
      <groupName>格式问题</groupName>
      <ability>L2_HalfPunc_CN</ability>
      <abilityName>全半角问题</abilityName>
      <candidateList>
        <item>，</item>
      </candidateList>
      <explain>文本全半角错误。</explain>
      <paraID>2E07266C</paraID>
      <start>19</start>
      <end>20</end>
      <status>unmodified</status>
      <modifiedWord/>
      <trackRevisions>false</trackRevisions>
    </reviewItem>
    <reviewItem>
      <errorID>b07e252f-99d6-41a4-8af4-bc95ed03876c</errorID>
      <errorWord>;</errorWord>
      <group>L1_Format</group>
      <groupName>格式问题</groupName>
      <ability>L2_HalfPunc_CN</ability>
      <abilityName>全半角问题</abilityName>
      <candidateList>
        <item>；</item>
      </candidateList>
      <explain>文本全半角错误。</explain>
      <paraID>2E07266C</paraID>
      <start>40</start>
      <end>41</end>
      <status>unmodified</status>
      <modifiedWord/>
      <trackRevisions>false</trackRevisions>
    </reviewItem>
    <reviewItem>
      <errorID>7dddcbdb-bd79-4a02-ae8e-007f1c8f6d8f</errorID>
      <errorWord>,</errorWord>
      <group>L1_Format</group>
      <groupName>格式问题</groupName>
      <ability>L2_HalfPunc_CN</ability>
      <abilityName>全半角问题</abilityName>
      <candidateList>
        <item>，</item>
      </candidateList>
      <explain>文本全半角错误。</explain>
      <paraID>2E07266C</paraID>
      <start>61</start>
      <end>62</end>
      <status>unmodified</status>
      <modifiedWord/>
      <trackRevisions>false</trackRevisions>
    </reviewItem>
    <reviewItem>
      <errorID>d75cf1a2-4f8b-486f-bc81-8b094ac17bfc</errorID>
      <errorWord>;</errorWord>
      <group>L1_Format</group>
      <groupName>格式问题</groupName>
      <ability>L2_HalfPunc_CN</ability>
      <abilityName>全半角问题</abilityName>
      <candidateList>
        <item>；</item>
      </candidateList>
      <explain>文本全半角错误。</explain>
      <paraID>2E07266C</paraID>
      <start>82</start>
      <end>83</end>
      <status>unmodified</status>
      <modifiedWord/>
      <trackRevisions>false</trackRevisions>
    </reviewItem>
    <reviewItem>
      <errorID>afdf7575-d6c3-4280-b2c8-3aa43e655acf</errorID>
      <errorWord>,</errorWord>
      <group>L1_Format</group>
      <groupName>格式问题</groupName>
      <ability>L2_HalfPunc_CN</ability>
      <abilityName>全半角问题</abilityName>
      <candidateList>
        <item>，</item>
      </candidateList>
      <explain>文本全半角错误。</explain>
      <paraID>2E07266C</paraID>
      <start>101</start>
      <end>102</end>
      <status>unmodified</status>
      <modifiedWord/>
      <trackRevisions>false</trackRevisions>
    </reviewItem>
    <reviewItem>
      <errorID>ed4fa67d-d279-4edc-b891-a6bfddb686e0</errorID>
      <errorWord>;</errorWord>
      <group>L1_Format</group>
      <groupName>格式问题</groupName>
      <ability>L2_HalfPunc_CN</ability>
      <abilityName>全半角问题</abilityName>
      <candidateList>
        <item>；</item>
      </candidateList>
      <explain>文本全半角错误。</explain>
      <paraID>2E07266C</paraID>
      <start>121</start>
      <end>122</end>
      <status>unmodified</status>
      <modifiedWord/>
      <trackRevisions>false</trackRevisions>
    </reviewItem>
    <reviewItem>
      <errorID>1285c2f4-1c83-4755-8437-85f8773dcfe8</errorID>
      <errorWord>(</errorWord>
      <group>L1_Format</group>
      <groupName>格式问题</groupName>
      <ability>L2_HalfPunc_CN</ability>
      <abilityName>全半角问题</abilityName>
      <candidateList>
        <item>（</item>
      </candidateList>
      <explain>文本全半角错误。</explain>
      <paraID>2E07266C</paraID>
      <start>136</start>
      <end>137</end>
      <status>unmodified</status>
      <modifiedWord/>
      <trackRevisions>false</trackRevisions>
    </reviewItem>
    <reviewItem>
      <errorID>41aa0e47-02cb-4545-8bd8-477fc41d9a70</errorID>
      <errorWord>)</errorWord>
      <group>L1_Format</group>
      <groupName>格式问题</groupName>
      <ability>L2_HalfPunc_CN</ability>
      <abilityName>全半角问题</abilityName>
      <candidateList>
        <item>）</item>
      </candidateList>
      <explain>文本全半角错误。</explain>
      <paraID>2E07266C</paraID>
      <start>145</start>
      <end>146</end>
      <status>unmodified</status>
      <modifiedWord/>
      <trackRevisions>false</trackRevisions>
    </reviewItem>
    <reviewItem>
      <errorID>fbafd0b5-b69e-4d3f-ae20-5e2efcf7354d</errorID>
      <errorWord>,</errorWord>
      <group>L1_Format</group>
      <groupName>格式问题</groupName>
      <ability>L2_HalfPunc_CN</ability>
      <abilityName>全半角问题</abilityName>
      <candidateList>
        <item>，</item>
      </candidateList>
      <explain>文本全半角错误。</explain>
      <paraID>2E07266C</paraID>
      <start>155</start>
      <end>156</end>
      <status>unmodified</status>
      <modifiedWord/>
      <trackRevisions>false</trackRevisions>
    </reviewItem>
    <reviewItem>
      <errorID>0682658d-b9d2-47e9-8a72-5faca9bade1d</errorID>
      <errorWord>;</errorWord>
      <group>L1_Format</group>
      <groupName>格式问题</groupName>
      <ability>L2_HalfPunc_CN</ability>
      <abilityName>全半角问题</abilityName>
      <candidateList>
        <item>；</item>
      </candidateList>
      <explain>文本全半角错误。</explain>
      <paraID>2E07266C</paraID>
      <start>178</start>
      <end>179</end>
      <status>unmodified</status>
      <modifiedWord/>
      <trackRevisions>false</trackRevisions>
    </reviewItem>
    <reviewItem>
      <errorID>af7e344d-07ca-42ac-834d-146d42b82df2</errorID>
      <errorWord>,</errorWord>
      <group>L1_Format</group>
      <groupName>格式问题</groupName>
      <ability>L2_HalfPunc_CN</ability>
      <abilityName>全半角问题</abilityName>
      <candidateList>
        <item>，</item>
      </candidateList>
      <explain>文本全半角错误。</explain>
      <paraID>2E07266C</paraID>
      <start>200</start>
      <end>201</end>
      <status>unmodified</status>
      <modifiedWord/>
      <trackRevisions>false</trackRevisions>
    </reviewItem>
    <reviewItem>
      <errorID>cc2e9851-f4f3-4f20-913f-77f9bd1ca111</errorID>
      <errorWord>;</errorWord>
      <group>L1_Format</group>
      <groupName>格式问题</groupName>
      <ability>L2_HalfPunc_CN</ability>
      <abilityName>全半角问题</abilityName>
      <candidateList>
        <item>；</item>
      </candidateList>
      <explain>文本全半角错误。</explain>
      <paraID>2E07266C</paraID>
      <start>222</start>
      <end>223</end>
      <status>unmodified</status>
      <modifiedWord/>
      <trackRevisions>false</trackRevisions>
    </reviewItem>
    <reviewItem>
      <errorID>8af6e788-5dc7-4128-9fbc-06a1b71b0e20</errorID>
      <errorWord>,</errorWord>
      <group>L1_Format</group>
      <groupName>格式问题</groupName>
      <ability>L2_HalfPunc_CN</ability>
      <abilityName>全半角问题</abilityName>
      <candidateList>
        <item>，</item>
      </candidateList>
      <explain>文本全半角错误。</explain>
      <paraID>4B3B3570</paraID>
      <start>49</start>
      <end>50</end>
      <status>unmodified</status>
      <modifiedWord/>
      <trackRevisions>false</trackRevisions>
    </reviewItem>
    <reviewItem>
      <errorID>017370fa-3cf2-426f-9dc2-e1066387414d</errorID>
      <errorWord>;</errorWord>
      <group>L1_Format</group>
      <groupName>格式问题</groupName>
      <ability>L2_HalfPunc_CN</ability>
      <abilityName>全半角问题</abilityName>
      <candidateList>
        <item>；</item>
      </candidateList>
      <explain>文本全半角错误。</explain>
      <paraID>4B3B3570</paraID>
      <start>71</start>
      <end>72</end>
      <status>unmodified</status>
      <modifiedWord/>
      <trackRevisions>false</trackRevisions>
    </reviewItem>
    <reviewItem>
      <errorID>c5c66492-618a-4c67-a9a7-b5fe3298cd46</errorID>
      <errorWord>,</errorWord>
      <group>L1_Format</group>
      <groupName>格式问题</groupName>
      <ability>L2_HalfPunc_CN</ability>
      <abilityName>全半角问题</abilityName>
      <candidateList>
        <item>，</item>
      </candidateList>
      <explain>文本全半角错误。</explain>
      <paraID>4B3B3570</paraID>
      <start>90</start>
      <end>91</end>
      <status>unmodified</status>
      <modifiedWord/>
      <trackRevisions>false</trackRevisions>
    </reviewItem>
    <reviewItem>
      <errorID>2d37fa73-bd19-4ba5-9aaa-14149d1e0808</errorID>
      <errorWord>;</errorWord>
      <group>L1_Format</group>
      <groupName>格式问题</groupName>
      <ability>L2_HalfPunc_CN</ability>
      <abilityName>全半角问题</abilityName>
      <candidateList>
        <item>；</item>
      </candidateList>
      <explain>文本全半角错误。</explain>
      <paraID>4B3B3570</paraID>
      <start>112</start>
      <end>113</end>
      <status>unmodified</status>
      <modifiedWord/>
      <trackRevisions>false</trackRevisions>
    </reviewItem>
    <reviewItem>
      <errorID>2b4f1e13-9c25-41d8-85fc-6e0330fda8cd</errorID>
      <errorWord>,</errorWord>
      <group>L1_Format</group>
      <groupName>格式问题</groupName>
      <ability>L2_HalfPunc_CN</ability>
      <abilityName>全半角问题</abilityName>
      <candidateList>
        <item>，</item>
      </candidateList>
      <explain>文本全半角错误。</explain>
      <paraID>4B3B3570</paraID>
      <start>132</start>
      <end>133</end>
      <status>unmodified</status>
      <modifiedWord/>
      <trackRevisions>false</trackRevisions>
    </reviewItem>
    <reviewItem>
      <errorID>a5471d82-78d4-4f3a-8bc9-9c0f19a1affd</errorID>
      <errorWord>(</errorWord>
      <group>L1_Format</group>
      <groupName>格式问题</groupName>
      <ability>L2_HalfPunc_CN</ability>
      <abilityName>全半角问题</abilityName>
      <candidateList>
        <item>（</item>
      </candidateList>
      <explain>文本全半角错误。</explain>
      <paraID>48634326</paraID>
      <start>66</start>
      <end>67</end>
      <status>unmodified</status>
      <modifiedWord/>
      <trackRevisions>false</trackRevisions>
    </reviewItem>
    <reviewItem>
      <errorID>8396f08c-9f42-4bb5-a038-bc6111afd6cd</errorID>
      <errorWord>)</errorWord>
      <group>L1_Format</group>
      <groupName>格式问题</groupName>
      <ability>L2_HalfPunc_CN</ability>
      <abilityName>全半角问题</abilityName>
      <candidateList>
        <item>）</item>
      </candidateList>
      <explain>文本全半角错误。</explain>
      <paraID>48634326</paraID>
      <start>76</start>
      <end>77</end>
      <status>unmodified</status>
      <modifiedWord/>
      <trackRevisions>false</trackRevisions>
    </reviewItem>
    <reviewItem>
      <errorID>bb54a1c7-4501-43af-9878-3be6117b07fd</errorID>
      <errorWord>(</errorWord>
      <group>L1_Format</group>
      <groupName>格式问题</groupName>
      <ability>L2_HalfPunc_CN</ability>
      <abilityName>全半角问题</abilityName>
      <candidateList>
        <item>（</item>
      </candidateList>
      <explain>文本全半角错误。</explain>
      <paraID>54E522C0</paraID>
      <start>7</start>
      <end>8</end>
      <status>unmodified</status>
      <modifiedWord/>
      <trackRevisions>false</trackRevisions>
    </reviewItem>
    <reviewItem>
      <errorID>cf8970ed-021b-44fd-9b25-386dacea160e</errorID>
      <errorWord>)</errorWord>
      <group>L1_Format</group>
      <groupName>格式问题</groupName>
      <ability>L2_HalfPunc_CN</ability>
      <abilityName>全半角问题</abilityName>
      <candidateList>
        <item>）</item>
      </candidateList>
      <explain>文本全半角错误。</explain>
      <paraID>54E522C0</paraID>
      <start>9</start>
      <end>10</end>
      <status>unmodified</status>
      <modifiedWord/>
      <trackRevisions>false</trackRevisions>
    </reviewItem>
    <reviewItem>
      <errorID>8faddf7f-6ae0-4b93-9549-388efc57226d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2848C07F</paraID>
      <start>0</start>
      <end>3</end>
      <status>unmodified</status>
      <modifiedWord/>
      <trackRevisions>false</trackRevisions>
    </reviewItem>
    <reviewItem>
      <errorID>5c64e137-0ae7-4ac1-a03a-73b0edb6a9a0</errorID>
      <errorWord>(</errorWord>
      <group>L1_Format</group>
      <groupName>格式问题</groupName>
      <ability>L2_HalfPunc_CN</ability>
      <abilityName>全半角问题</abilityName>
      <candidateList>
        <item>（</item>
      </candidateList>
      <explain>文本全半角错误。</explain>
      <paraID>2848C07F</paraID>
      <start>7</start>
      <end>8</end>
      <status>unmodified</status>
      <modifiedWord/>
      <trackRevisions>false</trackRevisions>
    </reviewItem>
    <reviewItem>
      <errorID>bd059b1a-f2ee-4841-9130-f672f049ff96</errorID>
      <errorWord>)</errorWord>
      <group>L1_Format</group>
      <groupName>格式问题</groupName>
      <ability>L2_HalfPunc_CN</ability>
      <abilityName>全半角问题</abilityName>
      <candidateList>
        <item>）</item>
      </candidateList>
      <explain>文本全半角错误。</explain>
      <paraID>2848C07F</paraID>
      <start>14</start>
      <end>15</end>
      <status>unmodified</status>
      <modifiedWord/>
      <trackRevisions>false</trackRevisions>
    </reviewItem>
    <reviewItem>
      <errorID>f7db1d6c-930c-4854-9a3c-2b6e4d0d3dc8</errorID>
      <errorWord>项目共</errorWord>
      <group>L1_Word</group>
      <groupName>字词问题</groupName>
      <ability>L2_Typo</ability>
      <abilityName>字词错误</abilityName>
      <candidateList>
        <item>项目</item>
      </candidateList>
      <explain/>
      <paraID>56FE0041</paraID>
      <start>62</start>
      <end>65</end>
      <status>unmodified</status>
      <modifiedWord/>
      <trackRevisions>false</trackRevisions>
    </reviewItem>
    <reviewItem>
      <errorID>ee87363c-0b1b-4674-817d-8d8c39f6d9aa</errorID>
      <errorWord>(</errorWord>
      <group>L1_Format</group>
      <groupName>格式问题</groupName>
      <ability>L2_HalfPunc_CN</ability>
      <abilityName>全半角问题</abilityName>
      <candidateList>
        <item>（</item>
      </candidateList>
      <explain>文本全半角错误。</explain>
      <paraID>7DBB5067</paraID>
      <start>43</start>
      <end>44</end>
      <status>unmodified</status>
      <modifiedWord/>
      <trackRevisions>false</trackRevisions>
    </reviewItem>
    <reviewItem>
      <errorID>ce41f117-daef-4ce1-bb01-c4d8a9534fea</errorID>
      <errorWord>)</errorWord>
      <group>L1_Format</group>
      <groupName>格式问题</groupName>
      <ability>L2_HalfPunc_CN</ability>
      <abilityName>全半角问题</abilityName>
      <candidateList>
        <item>）</item>
      </candidateList>
      <explain>文本全半角错误。</explain>
      <paraID>7DBB5067</paraID>
      <start>50</start>
      <end>51</end>
      <status>unmodified</status>
      <modifiedWord/>
      <trackRevisions>false</trackRevisions>
    </reviewItem>
    <reviewItem>
      <errorID>013b5c63-43e7-4925-b570-1051c878503f</errorID>
      <errorWord>;</errorWord>
      <group>L1_Format</group>
      <groupName>格式问题</groupName>
      <ability>L2_HalfPunc_CN</ability>
      <abilityName>全半角问题</abilityName>
      <candidateList>
        <item>；</item>
      </candidateList>
      <explain>文本全半角错误。</explain>
      <paraID>7DBB5067</paraID>
      <start>149</start>
      <end>150</end>
      <status>unmodified</status>
      <modifiedWord/>
      <trackRevisions>false</trackRevisions>
    </reviewItem>
    <reviewItem>
      <errorID>741a0dd3-a84f-4058-8991-0d68443e4aa8</errorID>
      <errorWord>;</errorWord>
      <group>L1_Format</group>
      <groupName>格式问题</groupName>
      <ability>L2_HalfPunc_CN</ability>
      <abilityName>全半角问题</abilityName>
      <candidateList>
        <item>；</item>
      </candidateList>
      <explain>文本全半角错误。</explain>
      <paraID>7DBB5067</paraID>
      <start>191</start>
      <end>192</end>
      <status>unmodified</status>
      <modifiedWord/>
      <trackRevisions>false</trackRevisions>
    </reviewItem>
    <reviewItem>
      <errorID>83aab8c2-6f93-4fdb-9218-1249798f1416</errorID>
      <errorWord>;</errorWord>
      <group>L1_Format</group>
      <groupName>格式问题</groupName>
      <ability>L2_HalfPunc_CN</ability>
      <abilityName>全半角问题</abilityName>
      <candidateList>
        <item>；</item>
      </candidateList>
      <explain>文本全半角错误。</explain>
      <paraID>7DBB5067</paraID>
      <start>233</start>
      <end>234</end>
      <status>unmodified</status>
      <modifiedWord/>
      <trackRevisions>false</trackRevisions>
    </reviewItem>
    <reviewItem>
      <errorID>6b416ce4-3404-4a73-bbe2-7006acca5486</errorID>
      <errorWord>。</errorWord>
      <group>L1_Format</group>
      <groupName>格式问题</groupName>
      <ability>L2_HalfPunc_CN</ability>
      <abilityName>全半角问题</abilityName>
      <candidateList>
        <item>.</item>
      </candidateList>
      <explain>文本全半角错误。</explain>
      <paraID>546990AB</paraID>
      <start>7</start>
      <end>8</end>
      <status>unmodified</status>
      <modifiedWord/>
      <trackRevisions>false</trackRevisions>
    </reviewItem>
    <reviewItem>
      <errorID>0f373966-c05f-442e-b8be-913018477903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7D365DC8</paraID>
      <start>0</start>
      <end>3</end>
      <status>unmodified</status>
      <modifiedWord/>
      <trackRevisions>false</trackRevisions>
    </reviewItem>
    <reviewItem>
      <errorID>4d41f876-9dab-42e0-bcac-5fef7440cc67</errorID>
      <errorWord>,</errorWord>
      <group>L1_Format</group>
      <groupName>格式问题</groupName>
      <ability>L2_HalfPunc_CN</ability>
      <abilityName>全半角问题</abilityName>
      <candidateList>
        <item>，</item>
      </candidateList>
      <explain>文本全半角错误。</explain>
      <paraID>56CBF2BE</paraID>
      <start>53</start>
      <end>54</end>
      <status>unmodified</status>
      <modifiedWord/>
      <trackRevisions>false</trackRevisions>
    </reviewItem>
    <reviewItem>
      <errorID>1ba1b4ed-ac83-46cc-846a-442d1c64d4ac</errorID>
      <errorWord>,</errorWord>
      <group>L1_Format</group>
      <groupName>格式问题</groupName>
      <ability>L2_HalfPunc_CN</ability>
      <abilityName>全半角问题</abilityName>
      <candidateList>
        <item>，</item>
      </candidateList>
      <explain>文本全半角错误。</explain>
      <paraID>56CBF2BE</paraID>
      <start>99</start>
      <end>100</end>
      <status>unmodified</status>
      <modifiedWord/>
      <trackRevisions>false</trackRevisions>
    </reviewItem>
    <reviewItem>
      <errorID>0b452215-3b07-4dd1-8450-672794c753cf</errorID>
      <errorWord>;</errorWord>
      <group>L1_Format</group>
      <groupName>格式问题</groupName>
      <ability>L2_HalfPunc_CN</ability>
      <abilityName>全半角问题</abilityName>
      <candidateList>
        <item>；</item>
      </candidateList>
      <explain>文本全半角错误。</explain>
      <paraID> D2E8558</paraID>
      <start>6</start>
      <end>7</end>
      <status>unmodified</status>
      <modifiedWord/>
      <trackRevisions>false</trackRevisions>
    </reviewItem>
    <reviewItem>
      <errorID>c452331a-9935-4250-b137-5235669a8981</errorID>
      <errorWord>,</errorWord>
      <group>L1_Format</group>
      <groupName>格式问题</groupName>
      <ability>L2_HalfPunc_CN</ability>
      <abilityName>全半角问题</abilityName>
      <candidateList>
        <item>，</item>
      </candidateList>
      <explain>文本全半角错误。</explain>
      <paraID> D2E8558</paraID>
      <start>23</start>
      <end>24</end>
      <status>unmodified</status>
      <modifiedWord/>
      <trackRevisions>false</trackRevisions>
    </reviewItem>
    <reviewItem>
      <errorID>81f25522-0e67-4a0d-9268-5f042e7439f4</errorID>
      <errorWord>分布分布</errorWord>
      <group>L1_Word</group>
      <groupName>字词问题</groupName>
      <ability>L2_Typo</ability>
      <abilityName>字词错误</abilityName>
      <candidateList>
        <item>分布</item>
      </candidateList>
      <explain/>
      <paraID>110AAFED</paraID>
      <start>40</start>
      <end>44</end>
      <status>unmodified</status>
      <modifiedWord/>
      <trackRevisions>false</trackRevisions>
    </reviewItem>
    <reviewItem>
      <errorID>300d988a-8c20-41ae-8d05-1be3ea9d2b17</errorID>
      <errorWord>，</errorWord>
      <group>L1_Word</group>
      <groupName>字词问题</groupName>
      <ability>L2_Typo</ability>
      <abilityName>字词错误</abilityName>
      <candidateList>
        <item>，强</item>
      </candidateList>
      <explain/>
      <paraID>110AAFED</paraID>
      <start>67</start>
      <end>68</end>
      <status>unmodified</status>
      <modifiedWord/>
      <trackRevisions>false</trackRevisions>
    </reviewItem>
    <reviewItem>
      <errorID>f9d7d7e6-1972-495b-8ce3-ca69ca381061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17CAD736</paraID>
      <start>0</start>
      <end>3</end>
      <status>unmodified</status>
      <modifiedWord/>
      <trackRevisions>false</trackRevisions>
    </reviewItem>
    <reviewItem>
      <errorID>9e549087-e43a-4dd1-820b-746f75f2fd57</errorID>
      <errorWord>(</errorWord>
      <group>L1_Format</group>
      <groupName>格式问题</groupName>
      <ability>L2_HalfPunc_CN</ability>
      <abilityName>全半角问题</abilityName>
      <candidateList>
        <item>（</item>
      </candidateList>
      <explain>文本全半角错误。</explain>
      <paraID>3C8B2908</paraID>
      <start>204</start>
      <end>205</end>
      <status>unmodified</status>
      <modifiedWord/>
      <trackRevisions>false</trackRevisions>
    </reviewItem>
    <reviewItem>
      <errorID>220b5f29-c636-4f59-b5e6-47f8d9e3c208</errorID>
      <errorWord>)</errorWord>
      <group>L1_Format</group>
      <groupName>格式问题</groupName>
      <ability>L2_HalfPunc_CN</ability>
      <abilityName>全半角问题</abilityName>
      <candidateList>
        <item>）</item>
      </candidateList>
      <explain>文本全半角错误。</explain>
      <paraID>3C8B2908</paraID>
      <start>213</start>
      <end>214</end>
      <status>unmodified</status>
      <modifiedWord/>
      <trackRevisions>false</trackRevisions>
    </reviewItem>
    <reviewItem>
      <errorID>66ba4ac6-7f72-4451-9595-d60a8c179dee</errorID>
      <errorWord>干扰能</errorWord>
      <group>L1_Knowledge</group>
      <groupName>知识性问题</groupName>
      <ability>L2_Term</ability>
      <abilityName>专业术语</abilityName>
      <candidateList>
        <item>干扰素</item>
      </candidateList>
      <explain>医学名词[干扰能]为不规范表述或旧称，其规范书面表述为[干扰素]。</explain>
      <paraID>3A8EEDC4</paraID>
      <start>202</start>
      <end>205</end>
      <status>unmodified</status>
      <modifiedWord/>
      <trackRevisions>false</trackRevisions>
    </reviewItem>
    <reviewItem>
      <errorID>cf5fca50-669e-43fb-b947-1cb47e115eaf</errorID>
      <errorWord>(</errorWord>
      <group>L1_Format</group>
      <groupName>格式问题</groupName>
      <ability>L2_HalfPunc_CN</ability>
      <abilityName>全半角问题</abilityName>
      <candidateList>
        <item>（</item>
      </candidateList>
      <explain>文本全半角错误。</explain>
      <paraID>3A8EEDC4</paraID>
      <start>423</start>
      <end>424</end>
      <status>unmodified</status>
      <modifiedWord/>
      <trackRevisions>false</trackRevisions>
    </reviewItem>
    <reviewItem>
      <errorID>0e16fc86-d0ff-4c7e-8591-9f610691519f</errorID>
      <errorWord>)</errorWord>
      <group>L1_Format</group>
      <groupName>格式问题</groupName>
      <ability>L2_HalfPunc_CN</ability>
      <abilityName>全半角问题</abilityName>
      <candidateList>
        <item>）</item>
      </candidateList>
      <explain>文本全半角错误。</explain>
      <paraID>3A8EEDC4</paraID>
      <start>427</start>
      <end>428</end>
      <status>unmodified</status>
      <modifiedWord/>
      <trackRevisions>false</trackRevisions>
    </reviewItem>
    <reviewItem>
      <errorID>8125cbfc-bcfc-4b46-9824-189cece7910c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70004AA6</paraID>
      <start>0</start>
      <end>3</end>
      <status>unmodified</status>
      <modifiedWord/>
      <trackRevisions>false</trackRevisions>
    </reviewItem>
    <reviewItem>
      <errorID>4a639f71-46e2-4025-b599-b710cc153782</errorID>
      <errorWord>鷲</errorWord>
      <group>L1_Word</group>
      <groupName>字词问题</groupName>
      <ability>L2_Fanti</ability>
      <abilityName>繁转简</abilityName>
      <candidateList>
        <item>鹫</item>
      </candidateList>
      <explain/>
      <paraID> CA3B0A8</paraID>
      <start>25</start>
      <end>26</end>
      <status>unmodified</status>
      <modifiedWord/>
      <trackRevisions>false</trackRevisions>
    </reviewItem>
    <reviewItem>
      <errorID>8c5123a0-3e16-4cfe-a8e6-f77aea967da6</errorID>
      <errorWord>提高</errorWord>
      <group>L1_Grammar</group>
      <groupName>语法问题</groupName>
      <ability>L2_Grammar</ability>
      <abilityName>语法错误</abilityName>
      <candidateList>
        <item>增强</item>
      </candidateList>
      <explain>“提高～意识”搭配不当，建议修改为“增强～意识”。</explain>
      <paraID>1BAAC6D6</paraID>
      <start>18</start>
      <end>20</end>
      <status>unmodified</status>
      <modifiedWord/>
      <trackRevisions>false</trackRevisions>
    </reviewItem>
    <reviewItem>
      <errorID>9036f40a-e06c-48e7-899c-1115955c54e0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32DD57C3</paraID>
      <start>0</start>
      <end>3</end>
      <status>unmodified</status>
      <modifiedWord/>
      <trackRevisions>false</trackRevisions>
    </reviewItem>
    <reviewItem>
      <errorID>47668ee1-f011-4e05-90ba-b720bfee6c11</errorID>
      <errorWord>,</errorWord>
      <group>L1_Format</group>
      <groupName>格式问题</groupName>
      <ability>L2_HalfPunc_CN</ability>
      <abilityName>全半角问题</abilityName>
      <candidateList>
        <item>，</item>
      </candidateList>
      <explain>文本全半角错误。</explain>
      <paraID>7F3C1FF3</paraID>
      <start>52</start>
      <end>53</end>
      <status>unmodified</status>
      <modifiedWord/>
      <trackRevisions>false</trackRevisions>
    </reviewItem>
    <reviewItem>
      <errorID>c65879e4-88b5-4716-b6c5-1abd5834f772</errorID>
      <errorWord>;</errorWord>
      <group>L1_Format</group>
      <groupName>格式问题</groupName>
      <ability>L2_HalfPunc_CN</ability>
      <abilityName>全半角问题</abilityName>
      <candidateList>
        <item>；</item>
      </candidateList>
      <explain>文本全半角错误。</explain>
      <paraID>7F3C1FF3</paraID>
      <start>70</start>
      <end>71</end>
      <status>unmodified</status>
      <modifiedWord/>
      <trackRevisions>false</trackRevisions>
    </reviewItem>
    <reviewItem>
      <errorID>f1ed45bc-dd5f-4b7d-a8f3-8dc9ac378616</errorID>
      <errorWord>(</errorWord>
      <group>L1_Format</group>
      <groupName>格式问题</groupName>
      <ability>L2_HalfPunc_CN</ability>
      <abilityName>全半角问题</abilityName>
      <candidateList>
        <item>（</item>
      </candidateList>
      <explain>文本全半角错误。</explain>
      <paraID>7F3C1FF3</paraID>
      <start>82</start>
      <end>83</end>
      <status>unmodified</status>
      <modifiedWord/>
      <trackRevisions>false</trackRevisions>
    </reviewItem>
    <reviewItem>
      <errorID>0765f853-b14e-4233-92a7-c38eb6de013f</errorID>
      <errorWord>)</errorWord>
      <group>L1_Format</group>
      <groupName>格式问题</groupName>
      <ability>L2_HalfPunc_CN</ability>
      <abilityName>全半角问题</abilityName>
      <candidateList>
        <item>）</item>
      </candidateList>
      <explain>文本全半角错误。</explain>
      <paraID>7F3C1FF3</paraID>
      <start>89</start>
      <end>90</end>
      <status>unmodified</status>
      <modifiedWord/>
      <trackRevisions>false</trackRevisions>
    </reviewItem>
    <reviewItem>
      <errorID>90badcaa-1602-4d2b-88a0-36547a27c53b</errorID>
      <errorWord>;</errorWord>
      <group>L1_Format</group>
      <groupName>格式问题</groupName>
      <ability>L2_HalfPunc_CN</ability>
      <abilityName>全半角问题</abilityName>
      <candidateList>
        <item>；</item>
      </candidateList>
      <explain>文本全半角错误。</explain>
      <paraID>7F3C1FF3</paraID>
      <start>100</start>
      <end>101</end>
      <status>unmodified</status>
      <modifiedWord/>
      <trackRevisions>false</trackRevisions>
    </reviewItem>
    <reviewItem>
      <errorID>52d7f34c-85ae-49ff-88fa-42471f11249b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1EB81F93</paraID>
      <start>0</start>
      <end>3</end>
      <status>unmodified</status>
      <modifiedWord/>
      <trackRevisions>false</trackRevisions>
    </reviewItem>
    <reviewItem>
      <errorID>306bcdbe-8b30-4329-8a1e-c0964eebdc76</errorID>
      <errorWord>主要以鸟类为主</errorWord>
      <group>L1_Grammar</group>
      <groupName>语法问题</groupName>
      <ability>L2_Grammar</ability>
      <abilityName>语法错误</abilityName>
      <candidateList>
        <item>以鸟类为主</item>
      </candidateList>
      <explain>该表达中的“主要以鸟类为主”存在语义重复。</explain>
      <paraID>7742CBC3</paraID>
      <start>11</start>
      <end>18</end>
      <status>unmodified</status>
      <modifiedWord/>
      <trackRevisions>false</trackRevisions>
    </reviewItem>
    <reviewItem>
      <errorID>606014a1-0146-4cdd-9883-3255a33fa27b</errorID>
      <errorWord>期</errorWord>
      <group>L1_Word</group>
      <groupName>字词问题</groupName>
      <ability>L2_Typo</ability>
      <abilityName>字词错误</abilityName>
      <candidateList>
        <item>期间</item>
      </candidateList>
      <explain/>
      <paraID>7742CBC3</paraID>
      <start>82</start>
      <end>83</end>
      <status>unmodified</status>
      <modifiedWord/>
      <trackRevisions>false</trackRevisions>
    </reviewItem>
    <reviewItem>
      <errorID>133436d6-5bf4-4e67-be06-a35daf01d3b5</errorID>
      <errorWord>植物种类植物种类</errorWord>
      <group>L1_Word</group>
      <groupName>字词问题</groupName>
      <ability>L2_Typo</ability>
      <abilityName>字词错误</abilityName>
      <candidateList>
        <item>植物种类</item>
      </candidateList>
      <explain/>
      <paraID>3EDDB200</paraID>
      <start>124</start>
      <end>132</end>
      <status>unmodified</status>
      <modifiedWord/>
      <trackRevisions>false</trackRevisions>
    </reviewItem>
    <reviewItem>
      <errorID>992b60ba-0528-4fc0-b9a0-800d88725227</errorID>
      <errorWord>(</errorWord>
      <group>L1_Format</group>
      <groupName>格式问题</groupName>
      <ability>L2_HalfPunc_CN</ability>
      <abilityName>全半角问题</abilityName>
      <candidateList>
        <item>（</item>
      </candidateList>
      <explain>文本全半角错误。</explain>
      <paraID>6A065EA3</paraID>
      <start>4</start>
      <end>5</end>
      <status>unmodified</status>
      <modifiedWord/>
      <trackRevisions>false</trackRevisions>
    </reviewItem>
    <reviewItem>
      <errorID>20469909-a6c8-4447-a730-862307fe6a1e</errorID>
      <errorWord>)</errorWord>
      <group>L1_Format</group>
      <groupName>格式问题</groupName>
      <ability>L2_HalfPunc_CN</ability>
      <abilityName>全半角问题</abilityName>
      <candidateList>
        <item>）</item>
      </candidateList>
      <explain>文本全半角错误。</explain>
      <paraID>6A065EA3</paraID>
      <start>18</start>
      <end>19</end>
      <status>unmodified</status>
      <modifiedWord/>
      <trackRevisions>false</trackRevisions>
    </reviewItem>
    <reviewItem>
      <errorID>e23f99fd-6f54-4117-b53a-fc4091cae5e2</errorID>
      <errorWord>,</errorWord>
      <group>L1_Format</group>
      <groupName>格式问题</groupName>
      <ability>L2_HalfPunc_CN</ability>
      <abilityName>全半角问题</abilityName>
      <candidateList>
        <item>，</item>
      </candidateList>
      <explain>文本全半角错误。</explain>
      <paraID>3AB3683C</paraID>
      <start>65</start>
      <end>66</end>
      <status>unmodified</status>
      <modifiedWord/>
      <trackRevisions>false</trackRevisions>
    </reviewItem>
    <reviewItem>
      <errorID>f2e180d8-7e0a-4d76-b939-5ee84646a630</errorID>
      <errorWord>,</errorWord>
      <group>L1_Format</group>
      <groupName>格式问题</groupName>
      <ability>L2_HalfPunc_CN</ability>
      <abilityName>全半角问题</abilityName>
      <candidateList>
        <item>，</item>
      </candidateList>
      <explain>文本全半角错误。</explain>
      <paraID>3AB3683C</paraID>
      <start>84</start>
      <end>85</end>
      <status>unmodified</status>
      <modifiedWord/>
      <trackRevisions>false</trackRevisions>
    </reviewItem>
    <reviewItem>
      <errorID>cdee4046-5efe-4715-997b-0555a80cdd61</errorID>
      <errorWord>,</errorWord>
      <group>L1_Format</group>
      <groupName>格式问题</groupName>
      <ability>L2_HalfPunc_CN</ability>
      <abilityName>全半角问题</abilityName>
      <candidateList>
        <item>，</item>
      </candidateList>
      <explain>文本全半角错误。</explain>
      <paraID>3AB3683C</paraID>
      <start>174</start>
      <end>175</end>
      <status>unmodified</status>
      <modifiedWord/>
      <trackRevisions>false</trackRevisions>
    </reviewItem>
    <reviewItem>
      <errorID>879926f3-b30a-4ffd-bab4-51df20e975c7</errorID>
      <errorWord>(</errorWord>
      <group>L1_Format</group>
      <groupName>格式问题</groupName>
      <ability>L2_HalfPunc_CN</ability>
      <abilityName>全半角问题</abilityName>
      <candidateList>
        <item>（</item>
      </candidateList>
      <explain>文本全半角错误。</explain>
      <paraID>36F7BF33</paraID>
      <start>46</start>
      <end>47</end>
      <status>unmodified</status>
      <modifiedWord/>
      <trackRevisions>false</trackRevisions>
    </reviewItem>
    <reviewItem>
      <errorID>23233dda-1a69-4f35-8cd5-569e42ba852b</errorID>
      <errorWord>)</errorWord>
      <group>L1_Format</group>
      <groupName>格式问题</groupName>
      <ability>L2_HalfPunc_CN</ability>
      <abilityName>全半角问题</abilityName>
      <candidateList>
        <item>）</item>
      </candidateList>
      <explain>文本全半角错误。</explain>
      <paraID>36F7BF33</paraID>
      <start>79</start>
      <end>80</end>
      <status>unmodified</status>
      <modifiedWord/>
      <trackRevisions>false</trackRevisions>
    </reviewItem>
    <reviewItem>
      <errorID>d81f0b42-7a52-42b7-90f7-750fa2529873</errorID>
      <errorWord>地区域</errorWord>
      <group>L1_Word</group>
      <groupName>字词问题</groupName>
      <ability>L2_Typo</ability>
      <abilityName>字词错误</abilityName>
      <candidateList>
        <item>区域</item>
      </candidateList>
      <explain/>
      <paraID>2496DB30</paraID>
      <start>0</start>
      <end>3</end>
      <status>unmodified</status>
      <modifiedWord/>
      <trackRevisions>false</trackRevisions>
    </reviewItem>
    <reviewItem>
      <errorID>4628865a-ad5e-444d-84af-1b5ab40cf132</errorID>
      <errorWord>,</errorWord>
      <group>L1_Format</group>
      <groupName>格式问题</groupName>
      <ability>L2_HalfPunc_CN</ability>
      <abilityName>全半角问题</abilityName>
      <candidateList>
        <item>，</item>
      </candidateList>
      <explain>文本全半角错误。</explain>
      <paraID>2496DB30</paraID>
      <start>16</start>
      <end>17</end>
      <status>unmodified</status>
      <modifiedWord/>
      <trackRevisions>false</trackRevisions>
    </reviewItem>
    <reviewItem>
      <errorID>2991f658-da8a-48fb-aece-bf57ac0fd610</errorID>
      <errorWord>,</errorWord>
      <group>L1_Format</group>
      <groupName>格式问题</groupName>
      <ability>L2_HalfPunc_CN</ability>
      <abilityName>全半角问题</abilityName>
      <candidateList>
        <item>，</item>
      </candidateList>
      <explain>文本全半角错误。</explain>
      <paraID>2496DB30</paraID>
      <start>29</start>
      <end>30</end>
      <status>unmodified</status>
      <modifiedWord/>
      <trackRevisions>false</trackRevisions>
    </reviewItem>
    <reviewItem>
      <errorID>39e06cdf-1343-46f7-9336-0e94acc4f40c</errorID>
      <errorWord>,</errorWord>
      <group>L1_Format</group>
      <groupName>格式问题</groupName>
      <ability>L2_HalfPunc_CN</ability>
      <abilityName>全半角问题</abilityName>
      <candidateList>
        <item>，</item>
      </candidateList>
      <explain>文本全半角错误。</explain>
      <paraID>2496DB30</paraID>
      <start>41</start>
      <end>42</end>
      <status>unmodified</status>
      <modifiedWord/>
      <trackRevisions>false</trackRevisions>
    </reviewItem>
    <reviewItem>
      <errorID>8f548050-e25a-46d6-97cc-2ba1c996095c</errorID>
      <errorWord>,</errorWord>
      <group>L1_Format</group>
      <groupName>格式问题</groupName>
      <ability>L2_HalfPunc_CN</ability>
      <abilityName>全半角问题</abilityName>
      <candidateList>
        <item>，</item>
      </candidateList>
      <explain>文本全半角错误。</explain>
      <paraID>2496DB30</paraID>
      <start>53</start>
      <end>54</end>
      <status>unmodified</status>
      <modifiedWord/>
      <trackRevisions>false</trackRevisions>
    </reviewItem>
    <reviewItem>
      <errorID>6e6da16c-a27f-4aa1-8798-0ebb0525b28a</errorID>
      <errorWord>,</errorWord>
      <group>L1_Format</group>
      <groupName>格式问题</groupName>
      <ability>L2_HalfPunc_CN</ability>
      <abilityName>全半角问题</abilityName>
      <candidateList>
        <item>，</item>
      </candidateList>
      <explain>文本全半角错误。</explain>
      <paraID>2496DB30</paraID>
      <start>64</start>
      <end>65</end>
      <status>unmodified</status>
      <modifiedWord/>
      <trackRevisions>false</trackRevisions>
    </reviewItem>
    <reviewItem>
      <errorID>e9e56ef2-08e4-459a-9a32-fe3033a6ec3a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3789B1BA</paraID>
      <start>0</start>
      <end>3</end>
      <status>unmodified</status>
      <modifiedWord/>
      <trackRevisions>false</trackRevisions>
    </reviewItem>
    <reviewItem>
      <errorID>e74f880a-bb9a-4cd1-8d88-35d5627655b3</errorID>
      <errorWord>期</errorWord>
      <group>L1_Word</group>
      <groupName>字词问题</groupName>
      <ability>L2_Typo</ability>
      <abilityName>字词错误</abilityName>
      <candidateList>
        <item>期间</item>
      </candidateList>
      <explain/>
      <paraID>3C81F34D</paraID>
      <start>4</start>
      <end>5</end>
      <status>unmodified</status>
      <modifiedWord/>
      <trackRevisions>false</trackRevisions>
    </reviewItem>
    <reviewItem>
      <errorID>7c3c406b-dc12-456f-bae9-a92fe1640839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606EE08F</paraID>
      <start>0</start>
      <end>3</end>
      <status>unmodified</status>
      <modifiedWord/>
      <trackRevisions>false</trackRevisions>
    </reviewItem>
    <reviewItem>
      <errorID>2dc96414-8c08-4c52-9036-743d5030238a</errorID>
      <errorWord>~</errorWord>
      <group>L1_Format</group>
      <groupName>格式问题</groupName>
      <ability>L2_HalfPunc_CN</ability>
      <abilityName>全半角问题</abilityName>
      <candidateList>
        <item>～</item>
      </candidateList>
      <explain>文本全半角错误。</explain>
      <paraID>2BB8D9F8</paraID>
      <start>93</start>
      <end>94</end>
      <status>unmodified</status>
      <modifiedWord/>
      <trackRevisions>false</trackRevisions>
    </reviewItem>
    <reviewItem>
      <errorID>1a8386ea-bddb-45f4-ba42-cc8553a7a31a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D71A8BA</paraID>
      <start>0</start>
      <end>3</end>
      <status>unmodified</status>
      <modifiedWord/>
      <trackRevisions>false</trackRevisions>
    </reviewItem>
    <reviewItem>
      <errorID>ac275b15-a60d-4151-b893-80257c4ddbb2</errorID>
      <errorWord>尽量减小</errorWord>
      <group>L1_Word</group>
      <groupName>字词问题</groupName>
      <ability>L2_Typo</ability>
      <abilityName>字词错误</abilityName>
      <candidateList>
        <item>尽量减少</item>
      </candidateList>
      <explain>存在字形相近字词的误用。</explain>
      <paraID>135DB007</paraID>
      <start>59</start>
      <end>63</end>
      <status>unmodified</status>
      <modifiedWord/>
      <trackRevisions>false</trackRevisions>
    </reviewItem>
    <reviewItem>
      <errorID>c56ee9ed-99a2-4678-930d-f4da0de73e4c</errorID>
      <errorWord>(</errorWord>
      <group>L1_Format</group>
      <groupName>格式问题</groupName>
      <ability>L2_HalfPunc_CN</ability>
      <abilityName>全半角问题</abilityName>
      <candidateList>
        <item>（</item>
      </candidateList>
      <explain>文本全半角错误。</explain>
      <paraID>3D1C80AE</paraID>
      <start>241</start>
      <end>242</end>
      <status>unmodified</status>
      <modifiedWord/>
      <trackRevisions>false</trackRevisions>
    </reviewItem>
    <reviewItem>
      <errorID>ed307783-6bd5-4735-84a5-7a88e556a73d</errorID>
      <errorWord>)</errorWord>
      <group>L1_Format</group>
      <groupName>格式问题</groupName>
      <ability>L2_HalfPunc_CN</ability>
      <abilityName>全半角问题</abilityName>
      <candidateList>
        <item>）</item>
      </candidateList>
      <explain>文本全半角错误。</explain>
      <paraID>3D1C80AE</paraID>
      <start>244</start>
      <end>245</end>
      <status>unmodified</status>
      <modifiedWord/>
      <trackRevisions>false</trackRevisions>
    </reviewItem>
    <reviewItem>
      <errorID>3c9382cd-523d-45e4-ac0e-4f85a27b57d6</errorID>
      <errorWord>(</errorWord>
      <group>L1_Format</group>
      <groupName>格式问题</groupName>
      <ability>L2_HalfPunc_CN</ability>
      <abilityName>全半角问题</abilityName>
      <candidateList>
        <item>（</item>
      </candidateList>
      <explain>文本全半角错误。</explain>
      <paraID>3D1C80AE</paraID>
      <start>302</start>
      <end>303</end>
      <status>unmodified</status>
      <modifiedWord/>
      <trackRevisions>false</trackRevisions>
    </reviewItem>
    <reviewItem>
      <errorID>1bec082c-77f6-4eba-b867-a82b8acdba43</errorID>
      <errorWord>)</errorWord>
      <group>L1_Format</group>
      <groupName>格式问题</groupName>
      <ability>L2_HalfPunc_CN</ability>
      <abilityName>全半角问题</abilityName>
      <candidateList>
        <item>）</item>
      </candidateList>
      <explain>文本全半角错误。</explain>
      <paraID>3D1C80AE</paraID>
      <start>305</start>
      <end>306</end>
      <status>unmodified</status>
      <modifiedWord/>
      <trackRevisions>false</trackRevisions>
    </reviewItem>
    <reviewItem>
      <errorID>b80febe3-e1ef-4a79-a6b8-c5b8f01fdabe</errorID>
      <errorWord>程</errorWord>
      <group>L1_Word</group>
      <groupName>字词问题</groupName>
      <ability>L2_Typo</ability>
      <abilityName>字词错误</abilityName>
      <candidateList>
        <item>程中</item>
      </candidateList>
      <explain/>
      <paraID>54330E19</paraID>
      <start>75</start>
      <end>76</end>
      <status>unmodified</status>
      <modifiedWord/>
      <trackRevisions>false</trackRevisions>
    </reviewItem>
    <reviewItem>
      <errorID>0af2dcd7-5654-43d3-87e8-4343468767b1</errorID>
      <errorWord>其它</errorWord>
      <group>L1_Word</group>
      <groupName>字词问题</groupName>
      <ability>L2_Alias</ability>
      <abilityName>也作/曾用词</abilityName>
      <candidateList>
        <item>其他</item>
      </candidateList>
      <explain>词汇[其它]为不规范表述或旧称，其规范书面表述为[其他]。</explain>
      <paraID>54330E19</paraID>
      <start>97</start>
      <end>99</end>
      <status>unmodified</status>
      <modifiedWord/>
      <trackRevisions>false</trackRevisions>
    </reviewItem>
    <reviewItem>
      <errorID>84c23765-5222-4aff-b8aa-0b371de4579e</errorID>
      <errorWord>达</errorWord>
      <group>L1_Word</group>
      <groupName>字词问题</groupName>
      <ability>L2_Typo</ability>
      <abilityName>字词错误</abilityName>
      <candidateList>
        <item>达到</item>
      </candidateList>
      <explain/>
      <paraID>54330E19</paraID>
      <start>138</start>
      <end>139</end>
      <status>unmodified</status>
      <modifiedWord/>
      <trackRevisions>false</trackRevisions>
    </reviewItem>
    <reviewItem>
      <errorID>90435166-ea45-4187-a058-51a21cc45c66</errorID>
      <errorWord>,</errorWord>
      <group>L1_Format</group>
      <groupName>格式问题</groupName>
      <ability>L2_HalfPunc_CN</ability>
      <abilityName>全半角问题</abilityName>
      <candidateList>
        <item>，</item>
      </candidateList>
      <explain>文本全半角错误。</explain>
      <paraID>30BCDEC3</paraID>
      <start>9</start>
      <end>10</end>
      <status>unmodified</status>
      <modifiedWord/>
      <trackRevisions>false</trackRevisions>
    </reviewItem>
    <reviewItem>
      <errorID>4a3e3fc3-3545-4a21-99b9-024d0e090ce3</errorID>
      <errorWord>,</errorWord>
      <group>L1_Format</group>
      <groupName>格式问题</groupName>
      <ability>L2_HalfPunc_CN</ability>
      <abilityName>全半角问题</abilityName>
      <candidateList>
        <item>，</item>
      </candidateList>
      <explain>文本全半角错误。</explain>
      <paraID>30BCDEC3</paraID>
      <start>27</start>
      <end>28</end>
      <status>unmodified</status>
      <modifiedWord/>
      <trackRevisions>false</trackRevisions>
    </reviewItem>
    <reviewItem>
      <errorID>52f7e9d9-53f5-418f-943e-bea8193f8cde</errorID>
      <errorWord>(</errorWord>
      <group>L1_Format</group>
      <groupName>格式问题</groupName>
      <ability>L2_HalfPunc_CN</ability>
      <abilityName>全半角问题</abilityName>
      <candidateList>
        <item>（</item>
      </candidateList>
      <explain>文本全半角错误。</explain>
      <paraID>376D70F6</paraID>
      <start>54</start>
      <end>55</end>
      <status>unmodified</status>
      <modifiedWord/>
      <trackRevisions>false</trackRevisions>
    </reviewItem>
    <reviewItem>
      <errorID>8d6832c8-f588-42fc-83b8-afad358d681b</errorID>
      <errorWord>)</errorWord>
      <group>L1_Format</group>
      <groupName>格式问题</groupName>
      <ability>L2_HalfPunc_CN</ability>
      <abilityName>全半角问题</abilityName>
      <candidateList>
        <item>）</item>
      </candidateList>
      <explain>文本全半角错误。</explain>
      <paraID>376D70F6</paraID>
      <start>61</start>
      <end>62</end>
      <status>unmodified</status>
      <modifiedWord/>
      <trackRevisions>false</trackRevisions>
    </reviewItem>
    <reviewItem>
      <errorID>c69b1669-3cb4-42fb-9f8f-d97277251c9a</errorID>
      <errorWord>(</errorWord>
      <group>L1_Format</group>
      <groupName>格式问题</groupName>
      <ability>L2_HalfPunc_CN</ability>
      <abilityName>全半角问题</abilityName>
      <candidateList>
        <item>（</item>
      </candidateList>
      <explain>文本全半角错误。</explain>
      <paraID>376D70F6</paraID>
      <start>73</start>
      <end>74</end>
      <status>unmodified</status>
      <modifiedWord/>
      <trackRevisions>false</trackRevisions>
    </reviewItem>
    <reviewItem>
      <errorID>e88c22b9-9cb8-43c4-b803-8fd86a720851</errorID>
      <errorWord>)</errorWord>
      <group>L1_Format</group>
      <groupName>格式问题</groupName>
      <ability>L2_HalfPunc_CN</ability>
      <abilityName>全半角问题</abilityName>
      <candidateList>
        <item>）</item>
      </candidateList>
      <explain>文本全半角错误。</explain>
      <paraID>376D70F6</paraID>
      <start>80</start>
      <end>81</end>
      <status>unmodified</status>
      <modifiedWord/>
      <trackRevisions>false</trackRevisions>
    </reviewItem>
    <reviewItem>
      <errorID>3ad36a1b-b988-40e7-b77f-153015a54778</errorID>
      <errorWord>(</errorWord>
      <group>L1_Format</group>
      <groupName>格式问题</groupName>
      <ability>L2_HalfPunc_CN</ability>
      <abilityName>全半角问题</abilityName>
      <candidateList>
        <item>（</item>
      </candidateList>
      <explain>文本全半角错误。</explain>
      <paraID>376D70F6</paraID>
      <start>118</start>
      <end>119</end>
      <status>unmodified</status>
      <modifiedWord/>
      <trackRevisions>false</trackRevisions>
    </reviewItem>
    <reviewItem>
      <errorID>461c92b4-ef14-402c-9f12-780240ebab44</errorID>
      <errorWord>)</errorWord>
      <group>L1_Format</group>
      <groupName>格式问题</groupName>
      <ability>L2_HalfPunc_CN</ability>
      <abilityName>全半角问题</abilityName>
      <candidateList>
        <item>）</item>
      </candidateList>
      <explain>文本全半角错误。</explain>
      <paraID>376D70F6</paraID>
      <start>141</start>
      <end>142</end>
      <status>unmodified</status>
      <modifiedWord/>
      <trackRevisions>false</trackRevisions>
    </reviewItem>
    <reviewItem>
      <errorID>eca737dd-afba-4379-ac86-0549725aa70e</errorID>
      <errorWord>(</errorWord>
      <group>L1_Format</group>
      <groupName>格式问题</groupName>
      <ability>L2_HalfPunc_CN</ability>
      <abilityName>全半角问题</abilityName>
      <candidateList>
        <item>（</item>
      </candidateList>
      <explain>文本全半角错误。</explain>
      <paraID>376D70F6</paraID>
      <start>150</start>
      <end>151</end>
      <status>unmodified</status>
      <modifiedWord/>
      <trackRevisions>false</trackRevisions>
    </reviewItem>
    <reviewItem>
      <errorID>97cea23d-bca8-4078-bb4f-f164ca381fb2</errorID>
      <errorWord>)</errorWord>
      <group>L1_Format</group>
      <groupName>格式问题</groupName>
      <ability>L2_HalfPunc_CN</ability>
      <abilityName>全半角问题</abilityName>
      <candidateList>
        <item>）</item>
      </candidateList>
      <explain>文本全半角错误。</explain>
      <paraID>376D70F6</paraID>
      <start>157</start>
      <end>158</end>
      <status>unmodified</status>
      <modifiedWord/>
      <trackRevisions>false</trackRevisions>
    </reviewItem>
    <reviewItem>
      <errorID>c764f803-e50a-40c0-873b-705901f72711</errorID>
      <errorWord>(</errorWord>
      <group>L1_Format</group>
      <groupName>格式问题</groupName>
      <ability>L2_HalfPunc_CN</ability>
      <abilityName>全半角问题</abilityName>
      <candidateList>
        <item>（</item>
      </candidateList>
      <explain>文本全半角错误。</explain>
      <paraID>376D70F6</paraID>
      <start>165</start>
      <end>166</end>
      <status>unmodified</status>
      <modifiedWord/>
      <trackRevisions>false</trackRevisions>
    </reviewItem>
    <reviewItem>
      <errorID>940cc1ae-ee24-4c25-8703-5249705b10dd</errorID>
      <errorWord>)</errorWord>
      <group>L1_Format</group>
      <groupName>格式问题</groupName>
      <ability>L2_HalfPunc_CN</ability>
      <abilityName>全半角问题</abilityName>
      <candidateList>
        <item>）</item>
      </candidateList>
      <explain>文本全半角错误。</explain>
      <paraID>376D70F6</paraID>
      <start>172</start>
      <end>173</end>
      <status>unmodified</status>
      <modifiedWord/>
      <trackRevisions>false</trackRevisions>
    </reviewItem>
    <reviewItem>
      <errorID>e7d19214-d231-4a6d-b90a-d88e0130cabb</errorID>
      <errorWord>(</errorWord>
      <group>L1_Format</group>
      <groupName>格式问题</groupName>
      <ability>L2_HalfPunc_CN</ability>
      <abilityName>全半角问题</abilityName>
      <candidateList>
        <item>（</item>
      </candidateList>
      <explain>文本全半角错误。</explain>
      <paraID>1F2FF7A2</paraID>
      <start>0</start>
      <end>1</end>
      <status>unmodified</status>
      <modifiedWord/>
      <trackRevisions>false</trackRevisions>
    </reviewItem>
    <reviewItem>
      <errorID>8b3c1fb2-7269-4e58-abce-92e02febdba9</errorID>
      <errorWord>)</errorWord>
      <group>L1_Format</group>
      <groupName>格式问题</groupName>
      <ability>L2_HalfPunc_CN</ability>
      <abilityName>全半角问题</abilityName>
      <candidateList>
        <item>）</item>
      </candidateList>
      <explain>文本全半角错误。</explain>
      <paraID>1F2FF7A2</paraID>
      <start>7</start>
      <end>8</end>
      <status>unmodified</status>
      <modifiedWord/>
      <trackRevisions>false</trackRevisions>
    </reviewItem>
    <reviewItem>
      <errorID>bdf6550d-9c67-4774-8fae-8b6551e00ec4</errorID>
      <errorWord>(</errorWord>
      <group>L1_Format</group>
      <groupName>格式问题</groupName>
      <ability>L2_HalfPunc_CN</ability>
      <abilityName>全半角问题</abilityName>
      <candidateList>
        <item>（</item>
      </candidateList>
      <explain>文本全半角错误。</explain>
      <paraID>1F2FF7A2</paraID>
      <start>15</start>
      <end>16</end>
      <status>unmodified</status>
      <modifiedWord/>
      <trackRevisions>false</trackRevisions>
    </reviewItem>
    <reviewItem>
      <errorID>5c35e13a-f253-42e3-a482-0e6917157aac</errorID>
      <errorWord>)</errorWord>
      <group>L1_Format</group>
      <groupName>格式问题</groupName>
      <ability>L2_HalfPunc_CN</ability>
      <abilityName>全半角问题</abilityName>
      <candidateList>
        <item>）</item>
      </candidateList>
      <explain>文本全半角错误。</explain>
      <paraID>1F2FF7A2</paraID>
      <start>22</start>
      <end>23</end>
      <status>unmodified</status>
      <modifiedWord/>
      <trackRevisions>false</trackRevisions>
    </reviewItem>
    <reviewItem>
      <errorID>49000653-0990-4114-b358-1a193cffeafe</errorID>
      <errorWord>(</errorWord>
      <group>L1_Format</group>
      <groupName>格式问题</groupName>
      <ability>L2_HalfPunc_CN</ability>
      <abilityName>全半角问题</abilityName>
      <candidateList>
        <item>（</item>
      </candidateList>
      <explain>文本全半角错误。</explain>
      <paraID>1F2FF7A2</paraID>
      <start>29</start>
      <end>30</end>
      <status>unmodified</status>
      <modifiedWord/>
      <trackRevisions>false</trackRevisions>
    </reviewItem>
    <reviewItem>
      <errorID>f81154dd-32df-46b7-ae2a-a41b28e566f7</errorID>
      <errorWord>)</errorWord>
      <group>L1_Format</group>
      <groupName>格式问题</groupName>
      <ability>L2_HalfPunc_CN</ability>
      <abilityName>全半角问题</abilityName>
      <candidateList>
        <item>）</item>
      </candidateList>
      <explain>文本全半角错误。</explain>
      <paraID>1F2FF7A2</paraID>
      <start>37</start>
      <end>38</end>
      <status>unmodified</status>
      <modifiedWord/>
      <trackRevisions>false</trackRevisions>
    </reviewItem>
    <reviewItem>
      <errorID>3600cb0c-ac35-46bb-890e-ee5432c918d8</errorID>
      <errorWord>(</errorWord>
      <group>L1_Format</group>
      <groupName>格式问题</groupName>
      <ability>L2_HalfPunc_CN</ability>
      <abilityName>全半角问题</abilityName>
      <candidateList>
        <item>（</item>
      </candidateList>
      <explain>文本全半角错误。</explain>
      <paraID>1F2FF7A2</paraID>
      <start>41</start>
      <end>42</end>
      <status>unmodified</status>
      <modifiedWord/>
      <trackRevisions>false</trackRevisions>
    </reviewItem>
    <reviewItem>
      <errorID>801376b4-d81c-47c0-85b7-d70c1b26cc40</errorID>
      <errorWord>)</errorWord>
      <group>L1_Format</group>
      <groupName>格式问题</groupName>
      <ability>L2_HalfPunc_CN</ability>
      <abilityName>全半角问题</abilityName>
      <candidateList>
        <item>）</item>
      </candidateList>
      <explain>文本全半角错误。</explain>
      <paraID>1F2FF7A2</paraID>
      <start>50</start>
      <end>51</end>
      <status>unmodified</status>
      <modifiedWord/>
      <trackRevisions>false</trackRevisions>
    </reviewItem>
    <reviewItem>
      <errorID>1b1595f7-dc02-4606-b2da-93ec16bce716</errorID>
      <errorWord>(</errorWord>
      <group>L1_Format</group>
      <groupName>格式问题</groupName>
      <ability>L2_HalfPunc_CN</ability>
      <abilityName>全半角问题</abilityName>
      <candidateList>
        <item>（</item>
      </candidateList>
      <explain>文本全半角错误。</explain>
      <paraID>1F2FF7A2</paraID>
      <start>58</start>
      <end>59</end>
      <status>unmodified</status>
      <modifiedWord/>
      <trackRevisions>false</trackRevisions>
    </reviewItem>
    <reviewItem>
      <errorID>2e0f9160-6689-4128-84d4-2d500e1f4fd8</errorID>
      <errorWord>)</errorWord>
      <group>L1_Format</group>
      <groupName>格式问题</groupName>
      <ability>L2_HalfPunc_CN</ability>
      <abilityName>全半角问题</abilityName>
      <candidateList>
        <item>）</item>
      </candidateList>
      <explain>文本全半角错误。</explain>
      <paraID>1F2FF7A2</paraID>
      <start>65</start>
      <end>66</end>
      <status>unmodified</status>
      <modifiedWord/>
      <trackRevisions>false</trackRevisions>
    </reviewItem>
    <reviewItem>
      <errorID>ebc7cfb0-9747-4d80-81e5-fce1164aa12e</errorID>
      <errorWord>(</errorWord>
      <group>L1_Format</group>
      <groupName>格式问题</groupName>
      <ability>L2_HalfPunc_CN</ability>
      <abilityName>全半角问题</abilityName>
      <candidateList>
        <item>（</item>
      </candidateList>
      <explain>文本全半角错误。</explain>
      <paraID>37337929</paraID>
      <start>5</start>
      <end>6</end>
      <status>unmodified</status>
      <modifiedWord/>
      <trackRevisions>false</trackRevisions>
    </reviewItem>
    <reviewItem>
      <errorID>14265bf4-8916-4eb7-bcd8-8e26ec957ad3</errorID>
      <errorWord>)</errorWord>
      <group>L1_Format</group>
      <groupName>格式问题</groupName>
      <ability>L2_HalfPunc_CN</ability>
      <abilityName>全半角问题</abilityName>
      <candidateList>
        <item>）</item>
      </candidateList>
      <explain>文本全半角错误。</explain>
      <paraID>37337929</paraID>
      <start>12</start>
      <end>13</end>
      <status>unmodified</status>
      <modifiedWord/>
      <trackRevisions>false</trackRevisions>
    </reviewItem>
    <reviewItem>
      <errorID>1515b520-2bc7-4346-b246-e01a1baa5f39</errorID>
      <errorWord>(</errorWord>
      <group>L1_Format</group>
      <groupName>格式问题</groupName>
      <ability>L2_HalfPunc_CN</ability>
      <abilityName>全半角问题</abilityName>
      <candidateList>
        <item>（</item>
      </candidateList>
      <explain>文本全半角错误。</explain>
      <paraID>37337929</paraID>
      <start>20</start>
      <end>21</end>
      <status>unmodified</status>
      <modifiedWord/>
      <trackRevisions>false</trackRevisions>
    </reviewItem>
    <reviewItem>
      <errorID>4b7a79d0-a923-474e-8501-47b7ecee279c</errorID>
      <errorWord>)</errorWord>
      <group>L1_Format</group>
      <groupName>格式问题</groupName>
      <ability>L2_HalfPunc_CN</ability>
      <abilityName>全半角问题</abilityName>
      <candidateList>
        <item>）</item>
      </candidateList>
      <explain>文本全半角错误。</explain>
      <paraID>37337929</paraID>
      <start>27</start>
      <end>28</end>
      <status>unmodified</status>
      <modifiedWord/>
      <trackRevisions>false</trackRevisions>
    </reviewItem>
    <reviewItem>
      <errorID>f139bc2b-ebb3-4783-9d86-f9fc1abfa3d6</errorID>
      <errorWord>(</errorWord>
      <group>L1_Format</group>
      <groupName>格式问题</groupName>
      <ability>L2_HalfPunc_CN</ability>
      <abilityName>全半角问题</abilityName>
      <candidateList>
        <item>（</item>
      </candidateList>
      <explain>文本全半角错误。</explain>
      <paraID>37337929</paraID>
      <start>47</start>
      <end>48</end>
      <status>unmodified</status>
      <modifiedWord/>
      <trackRevisions>false</trackRevisions>
    </reviewItem>
    <reviewItem>
      <errorID>c6c63e99-acf2-4232-832d-aea44b400f46</errorID>
      <errorWord>)</errorWord>
      <group>L1_Format</group>
      <groupName>格式问题</groupName>
      <ability>L2_HalfPunc_CN</ability>
      <abilityName>全半角问题</abilityName>
      <candidateList>
        <item>）</item>
      </candidateList>
      <explain>文本全半角错误。</explain>
      <paraID>37337929</paraID>
      <start>54</start>
      <end>55</end>
      <status>unmodified</status>
      <modifiedWord/>
      <trackRevisions>false</trackRevisions>
    </reviewItem>
    <reviewItem>
      <errorID>bdef60c1-7288-436a-8f6f-336b50546752</errorID>
      <errorWord>(</errorWord>
      <group>L1_Format</group>
      <groupName>格式问题</groupName>
      <ability>L2_HalfPunc_CN</ability>
      <abilityName>全半角问题</abilityName>
      <candidateList>
        <item>（</item>
      </candidateList>
      <explain>文本全半角错误。</explain>
      <paraID>37337929</paraID>
      <start>62</start>
      <end>63</end>
      <status>unmodified</status>
      <modifiedWord/>
      <trackRevisions>false</trackRevisions>
    </reviewItem>
    <reviewItem>
      <errorID>52e486b1-5182-4f20-9ccc-4de79f16ddc0</errorID>
      <errorWord>)</errorWord>
      <group>L1_Format</group>
      <groupName>格式问题</groupName>
      <ability>L2_HalfPunc_CN</ability>
      <abilityName>全半角问题</abilityName>
      <candidateList>
        <item>）</item>
      </candidateList>
      <explain>文本全半角错误。</explain>
      <paraID>37337929</paraID>
      <start>69</start>
      <end>70</end>
      <status>unmodified</status>
      <modifiedWord/>
      <trackRevisions>false</trackRevisions>
    </reviewItem>
    <reviewItem>
      <errorID>a69619b0-2b42-4adf-b498-5a3f1ecef215</errorID>
      <errorWord>(</errorWord>
      <group>L1_Format</group>
      <groupName>格式问题</groupName>
      <ability>L2_HalfPunc_CN</ability>
      <abilityName>全半角问题</abilityName>
      <candidateList>
        <item>（</item>
      </candidateList>
      <explain>文本全半角错误。</explain>
      <paraID>1A0D0127</paraID>
      <start>10</start>
      <end>11</end>
      <status>unmodified</status>
      <modifiedWord/>
      <trackRevisions>false</trackRevisions>
    </reviewItem>
    <reviewItem>
      <errorID>daa9e45e-9f3e-46ec-96b5-962696af6bc9</errorID>
      <errorWord>)</errorWord>
      <group>L1_Format</group>
      <groupName>格式问题</groupName>
      <ability>L2_HalfPunc_CN</ability>
      <abilityName>全半角问题</abilityName>
      <candidateList>
        <item>）</item>
      </candidateList>
      <explain>文本全半角错误。</explain>
      <paraID>1A0D0127</paraID>
      <start>17</start>
      <end>18</end>
      <status>unmodified</status>
      <modifiedWord/>
      <trackRevisions>false</trackRevisions>
    </reviewItem>
    <reviewItem>
      <errorID>72ed608a-677f-4a6f-8f92-1ff183f26f40</errorID>
      <errorWord>(</errorWord>
      <group>L1_Format</group>
      <groupName>格式问题</groupName>
      <ability>L2_HalfPunc_CN</ability>
      <abilityName>全半角问题</abilityName>
      <candidateList>
        <item>（</item>
      </candidateList>
      <explain>文本全半角错误。</explain>
      <paraID>1A0D0127</paraID>
      <start>25</start>
      <end>26</end>
      <status>unmodified</status>
      <modifiedWord/>
      <trackRevisions>false</trackRevisions>
    </reviewItem>
    <reviewItem>
      <errorID>552d43e3-1cba-41f4-96a1-d3dbbc627ba5</errorID>
      <errorWord>)</errorWord>
      <group>L1_Format</group>
      <groupName>格式问题</groupName>
      <ability>L2_HalfPunc_CN</ability>
      <abilityName>全半角问题</abilityName>
      <candidateList>
        <item>）</item>
      </candidateList>
      <explain>文本全半角错误。</explain>
      <paraID>1A0D0127</paraID>
      <start>32</start>
      <end>33</end>
      <status>unmodified</status>
      <modifiedWord/>
      <trackRevisions>false</trackRevisions>
    </reviewItem>
    <reviewItem>
      <errorID>d5993d75-fb62-45d2-9a60-c685aae70880</errorID>
      <errorWord>(</errorWord>
      <group>L1_Format</group>
      <groupName>格式问题</groupName>
      <ability>L2_HalfPunc_CN</ability>
      <abilityName>全半角问题</abilityName>
      <candidateList>
        <item>（</item>
      </candidateList>
      <explain>文本全半角错误。</explain>
      <paraID>2DADCAC0</paraID>
      <start>5</start>
      <end>6</end>
      <status>unmodified</status>
      <modifiedWord/>
      <trackRevisions>false</trackRevisions>
    </reviewItem>
    <reviewItem>
      <errorID>e0f081f9-127f-4aa1-b8c3-25598cafdb27</errorID>
      <errorWord>)</errorWord>
      <group>L1_Format</group>
      <groupName>格式问题</groupName>
      <ability>L2_HalfPunc_CN</ability>
      <abilityName>全半角问题</abilityName>
      <candidateList>
        <item>）</item>
      </candidateList>
      <explain>文本全半角错误。</explain>
      <paraID>2DADCAC0</paraID>
      <start>12</start>
      <end>13</end>
      <status>unmodified</status>
      <modifiedWord/>
      <trackRevisions>false</trackRevisions>
    </reviewItem>
    <reviewItem>
      <errorID>7aca8ad1-9bbe-413d-ad23-52ee04c2b4e7</errorID>
      <errorWord>(</errorWord>
      <group>L1_Format</group>
      <groupName>格式问题</groupName>
      <ability>L2_HalfPunc_CN</ability>
      <abilityName>全半角问题</abilityName>
      <candidateList>
        <item>（</item>
      </candidateList>
      <explain>文本全半角错误。</explain>
      <paraID>2DADCAC0</paraID>
      <start>23</start>
      <end>24</end>
      <status>unmodified</status>
      <modifiedWord/>
      <trackRevisions>false</trackRevisions>
    </reviewItem>
    <reviewItem>
      <errorID>b7750e93-026d-4a5b-b505-591a14b42a5c</errorID>
      <errorWord>)</errorWord>
      <group>L1_Format</group>
      <groupName>格式问题</groupName>
      <ability>L2_HalfPunc_CN</ability>
      <abilityName>全半角问题</abilityName>
      <candidateList>
        <item>）</item>
      </candidateList>
      <explain>文本全半角错误。</explain>
      <paraID>2DADCAC0</paraID>
      <start>30</start>
      <end>31</end>
      <status>unmodified</status>
      <modifiedWord/>
      <trackRevisions>false</trackRevisions>
    </reviewItem>
    <reviewItem>
      <errorID>8e7f2bf1-ebd5-496a-85ec-23b39929e1b6</errorID>
      <errorWord>(</errorWord>
      <group>L1_Format</group>
      <groupName>格式问题</groupName>
      <ability>L2_HalfPunc_CN</ability>
      <abilityName>全半角问题</abilityName>
      <candidateList>
        <item>（</item>
      </candidateList>
      <explain>文本全半角错误。</explain>
      <paraID>6267F198</paraID>
      <start>10</start>
      <end>11</end>
      <status>unmodified</status>
      <modifiedWord/>
      <trackRevisions>false</trackRevisions>
    </reviewItem>
    <reviewItem>
      <errorID>2655a0c0-20fd-4aa9-bd12-71f12af2f0d4</errorID>
      <errorWord>)</errorWord>
      <group>L1_Format</group>
      <groupName>格式问题</groupName>
      <ability>L2_HalfPunc_CN</ability>
      <abilityName>全半角问题</abilityName>
      <candidateList>
        <item>）</item>
      </candidateList>
      <explain>文本全半角错误。</explain>
      <paraID>6267F198</paraID>
      <start>17</start>
      <end>18</end>
      <status>unmodified</status>
      <modifiedWord/>
      <trackRevisions>false</trackRevisions>
    </reviewItem>
    <reviewItem>
      <errorID>05c1c2b1-7cdb-43f8-857e-17f16c276bc1</errorID>
      <errorWord>(</errorWord>
      <group>L1_Format</group>
      <groupName>格式问题</groupName>
      <ability>L2_HalfPunc_CN</ability>
      <abilityName>全半角问题</abilityName>
      <candidateList>
        <item>（</item>
      </candidateList>
      <explain>文本全半角错误。</explain>
      <paraID>6267F198</paraID>
      <start>41</start>
      <end>42</end>
      <status>unmodified</status>
      <modifiedWord/>
      <trackRevisions>false</trackRevisions>
    </reviewItem>
    <reviewItem>
      <errorID>bdd965c5-42f7-427d-820b-9e448a03f1c8</errorID>
      <errorWord>)</errorWord>
      <group>L1_Format</group>
      <groupName>格式问题</groupName>
      <ability>L2_HalfPunc_CN</ability>
      <abilityName>全半角问题</abilityName>
      <candidateList>
        <item>）</item>
      </candidateList>
      <explain>文本全半角错误。</explain>
      <paraID>6267F198</paraID>
      <start>48</start>
      <end>49</end>
      <status>unmodified</status>
      <modifiedWord/>
      <trackRevisions>false</trackRevisions>
    </reviewItem>
    <reviewItem>
      <errorID>2918d02f-7462-46a1-a79b-75a7a6ff6706</errorID>
      <errorWord>(</errorWord>
      <group>L1_Format</group>
      <groupName>格式问题</groupName>
      <ability>L2_HalfPunc_CN</ability>
      <abilityName>全半角问题</abilityName>
      <candidateList>
        <item>（</item>
      </candidateList>
      <explain>文本全半角错误。</explain>
      <paraID>6267F198</paraID>
      <start>53</start>
      <end>54</end>
      <status>unmodified</status>
      <modifiedWord/>
      <trackRevisions>false</trackRevisions>
    </reviewItem>
    <reviewItem>
      <errorID>0136af1c-2712-498c-a42e-13aaea92d451</errorID>
      <errorWord>),</errorWord>
      <group>L1_Format</group>
      <groupName>格式问题</groupName>
      <ability>L2_HalfPunc_CN</ability>
      <abilityName>全半角问题</abilityName>
      <candidateList>
        <item>），</item>
      </candidateList>
      <explain>文本全半角错误。</explain>
      <paraID>6267F198</paraID>
      <start>61</start>
      <end>63</end>
      <status>unmodified</status>
      <modifiedWord/>
      <trackRevisions>false</trackRevisions>
    </reviewItem>
    <reviewItem>
      <errorID>9f7ae3a6-5345-4664-a8db-30065829c34d</errorID>
      <errorWord>,</errorWord>
      <group>L1_Format</group>
      <groupName>格式问题</groupName>
      <ability>L2_HalfPunc_CN</ability>
      <abilityName>全半角问题</abilityName>
      <candidateList>
        <item>，</item>
      </candidateList>
      <explain>文本全半角错误。</explain>
      <paraID> E7F76A5</paraID>
      <start>23</start>
      <end>24</end>
      <status>unmodified</status>
      <modifiedWord/>
      <trackRevisions>false</trackRevisions>
    </reviewItem>
    <reviewItem>
      <errorID>79badf49-c069-4514-9979-b9f141214e84</errorID>
      <errorWord>设</errorWord>
      <group>L1_Word</group>
      <groupName>字词问题</groupName>
      <ability>L2_Typo</ability>
      <abilityName>字词错误</abilityName>
      <candidateList>
        <item>设置</item>
      </candidateList>
      <explain/>
      <paraID>6BDAB2CC</paraID>
      <start>32</start>
      <end>33</end>
      <status>unmodified</status>
      <modifiedWord/>
      <trackRevisions>false</trackRevisions>
    </reviewItem>
    <reviewItem>
      <errorID>fbb9c1e1-0dac-41f1-b19d-0a8a11902ffd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465013C3</paraID>
      <start>68</start>
      <end>69</end>
      <status>unmodified</status>
      <modifiedWord/>
      <trackRevisions>false</trackRevisions>
    </reviewItem>
    <reviewItem>
      <errorID>bfe520ac-6d0d-4d48-b581-06126bc8b8d2</errorID>
      <errorWord>(</errorWord>
      <group>L1_Format</group>
      <groupName>格式问题</groupName>
      <ability>L2_HalfPunc_CN</ability>
      <abilityName>全半角问题</abilityName>
      <candidateList>
        <item>（</item>
      </candidateList>
      <explain>文本全半角错误。</explain>
      <paraID>5E2FB40F</paraID>
      <start>96</start>
      <end>97</end>
      <status>unmodified</status>
      <modifiedWord/>
      <trackRevisions>false</trackRevisions>
    </reviewItem>
    <reviewItem>
      <errorID>f01f5031-8b7d-4e2a-9cd3-8f4979095940</errorID>
      <errorWord>)</errorWord>
      <group>L1_Format</group>
      <groupName>格式问题</groupName>
      <ability>L2_HalfPunc_CN</ability>
      <abilityName>全半角问题</abilityName>
      <candidateList>
        <item>）</item>
      </candidateList>
      <explain>文本全半角错误。</explain>
      <paraID>5E2FB40F</paraID>
      <start>103</start>
      <end>104</end>
      <status>unmodified</status>
      <modifiedWord/>
      <trackRevisions>false</trackRevisions>
    </reviewItem>
    <reviewItem>
      <errorID>cfbea89b-eb26-4368-9bf6-4aebe9566a4b</errorID>
      <errorWord>(</errorWord>
      <group>L1_Format</group>
      <groupName>格式问题</groupName>
      <ability>L2_HalfPunc_CN</ability>
      <abilityName>全半角问题</abilityName>
      <candidateList>
        <item>（</item>
      </candidateList>
      <explain>文本全半角错误。</explain>
      <paraID>5E2FB40F</paraID>
      <start>154</start>
      <end>155</end>
      <status>unmodified</status>
      <modifiedWord/>
      <trackRevisions>false</trackRevisions>
    </reviewItem>
    <reviewItem>
      <errorID>7f8a6996-180b-43e5-994d-84235b589b41</errorID>
      <errorWord>)</errorWord>
      <group>L1_Format</group>
      <groupName>格式问题</groupName>
      <ability>L2_HalfPunc_CN</ability>
      <abilityName>全半角问题</abilityName>
      <candidateList>
        <item>）</item>
      </candidateList>
      <explain>文本全半角错误。</explain>
      <paraID>5E2FB40F</paraID>
      <start>161</start>
      <end>162</end>
      <status>unmodified</status>
      <modifiedWord/>
      <trackRevisions>false</trackRevisions>
    </reviewItem>
    <reviewItem>
      <errorID>53a24fef-81b8-4732-99ee-35320aadf604</errorID>
      <errorWord>(</errorWord>
      <group>L1_Format</group>
      <groupName>格式问题</groupName>
      <ability>L2_HalfPunc_CN</ability>
      <abilityName>全半角问题</abilityName>
      <candidateList>
        <item>（</item>
      </candidateList>
      <explain>文本全半角错误。</explain>
      <paraID>5E2FB40F</paraID>
      <start>217</start>
      <end>218</end>
      <status>unmodified</status>
      <modifiedWord/>
      <trackRevisions>false</trackRevisions>
    </reviewItem>
    <reviewItem>
      <errorID>0ddfcd46-78b1-4c3a-a2ff-38c9a3b57161</errorID>
      <errorWord>)</errorWord>
      <group>L1_Format</group>
      <groupName>格式问题</groupName>
      <ability>L2_HalfPunc_CN</ability>
      <abilityName>全半角问题</abilityName>
      <candidateList>
        <item>）</item>
      </candidateList>
      <explain>文本全半角错误。</explain>
      <paraID>5E2FB40F</paraID>
      <start>226</start>
      <end>227</end>
      <status>unmodified</status>
      <modifiedWord/>
      <trackRevisions>false</trackRevisions>
    </reviewItem>
    <reviewItem>
      <errorID>7b795f13-23b8-4d1c-af44-6ee9fbad2579</errorID>
      <errorWord>(</errorWord>
      <group>L1_Format</group>
      <groupName>格式问题</groupName>
      <ability>L2_HalfPunc_CN</ability>
      <abilityName>全半角问题</abilityName>
      <candidateList>
        <item>（</item>
      </candidateList>
      <explain>文本全半角错误。</explain>
      <paraID>5E2FB40F</paraID>
      <start>239</start>
      <end>240</end>
      <status>unmodified</status>
      <modifiedWord/>
      <trackRevisions>false</trackRevisions>
    </reviewItem>
    <reviewItem>
      <errorID>da411b9b-47c4-467f-a1f0-51a7137f21fe</errorID>
      <errorWord>)</errorWord>
      <group>L1_Format</group>
      <groupName>格式问题</groupName>
      <ability>L2_HalfPunc_CN</ability>
      <abilityName>全半角问题</abilityName>
      <candidateList>
        <item>）</item>
      </candidateList>
      <explain>文本全半角错误。</explain>
      <paraID>5E2FB40F</paraID>
      <start>246</start>
      <end>247</end>
      <status>unmodified</status>
      <modifiedWord/>
      <trackRevisions>false</trackRevisions>
    </reviewItem>
    <reviewItem>
      <errorID>b37a63c0-cc1a-4683-9bd3-e5f0ec648a0b</errorID>
      <errorWord>(</errorWord>
      <group>L1_Format</group>
      <groupName>格式问题</groupName>
      <ability>L2_HalfPunc_CN</ability>
      <abilityName>全半角问题</abilityName>
      <candidateList>
        <item>（</item>
      </candidateList>
      <explain>文本全半角错误。</explain>
      <paraID>2A2C7355</paraID>
      <start>33</start>
      <end>34</end>
      <status>unmodified</status>
      <modifiedWord/>
      <trackRevisions>false</trackRevisions>
    </reviewItem>
    <reviewItem>
      <errorID>4aa31a1a-f50d-4fe5-b1fd-69c779a48ade</errorID>
      <errorWord>)</errorWord>
      <group>L1_Format</group>
      <groupName>格式问题</groupName>
      <ability>L2_HalfPunc_CN</ability>
      <abilityName>全半角问题</abilityName>
      <candidateList>
        <item>）</item>
      </candidateList>
      <explain>文本全半角错误。</explain>
      <paraID>2A2C7355</paraID>
      <start>42</start>
      <end>43</end>
      <status>unmodified</status>
      <modifiedWord/>
      <trackRevisions>false</trackRevisions>
    </reviewItem>
    <reviewItem>
      <errorID>d2fad214-e156-4e14-8839-83ef228ea268</errorID>
      <errorWord>(</errorWord>
      <group>L1_Format</group>
      <groupName>格式问题</groupName>
      <ability>L2_HalfPunc_CN</ability>
      <abilityName>全半角问题</abilityName>
      <candidateList>
        <item>（</item>
      </candidateList>
      <explain>文本全半角错误。</explain>
      <paraID>2A2C7355</paraID>
      <start>96</start>
      <end>97</end>
      <status>unmodified</status>
      <modifiedWord/>
      <trackRevisions>false</trackRevisions>
    </reviewItem>
    <reviewItem>
      <errorID>69ed5caf-5f63-4ed4-be5b-5fec6208a2d6</errorID>
      <errorWord>)</errorWord>
      <group>L1_Format</group>
      <groupName>格式问题</groupName>
      <ability>L2_HalfPunc_CN</ability>
      <abilityName>全半角问题</abilityName>
      <candidateList>
        <item>）</item>
      </candidateList>
      <explain>文本全半角错误。</explain>
      <paraID>2A2C7355</paraID>
      <start>103</start>
      <end>104</end>
      <status>unmodified</status>
      <modifiedWord/>
      <trackRevisions>false</trackRevisions>
    </reviewItem>
    <reviewItem>
      <errorID>d14020b3-9f94-40b2-bc29-e00fde7d8b4b</errorID>
      <errorWord>(</errorWord>
      <group>L1_Format</group>
      <groupName>格式问题</groupName>
      <ability>L2_HalfPunc_CN</ability>
      <abilityName>全半角问题</abilityName>
      <candidateList>
        <item>（</item>
      </candidateList>
      <explain>文本全半角错误。</explain>
      <paraID>2A2C7355</paraID>
      <start>117</start>
      <end>118</end>
      <status>unmodified</status>
      <modifiedWord/>
      <trackRevisions>false</trackRevisions>
    </reviewItem>
    <reviewItem>
      <errorID>9a790751-bffe-4977-b9e7-c421ca0dc67a</errorID>
      <errorWord>)</errorWord>
      <group>L1_Format</group>
      <groupName>格式问题</groupName>
      <ability>L2_HalfPunc_CN</ability>
      <abilityName>全半角问题</abilityName>
      <candidateList>
        <item>）</item>
      </candidateList>
      <explain>文本全半角错误。</explain>
      <paraID>2A2C7355</paraID>
      <start>124</start>
      <end>125</end>
      <status>unmodified</status>
      <modifiedWord/>
      <trackRevisions>false</trackRevisions>
    </reviewItem>
    <reviewItem>
      <errorID>9d5380d8-9f1b-48ac-acf0-1da4e9ca50e7</errorID>
      <errorWord>(</errorWord>
      <group>L1_Format</group>
      <groupName>格式问题</groupName>
      <ability>L2_HalfPunc_CN</ability>
      <abilityName>全半角问题</abilityName>
      <candidateList>
        <item>（</item>
      </candidateList>
      <explain>文本全半角错误。</explain>
      <paraID>2B521266</paraID>
      <start>9</start>
      <end>10</end>
      <status>unmodified</status>
      <modifiedWord/>
      <trackRevisions>false</trackRevisions>
    </reviewItem>
    <reviewItem>
      <errorID>885f0c5b-0acf-43b0-8dcc-8d2dcf4cd489</errorID>
      <errorWord>)</errorWord>
      <group>L1_Format</group>
      <groupName>格式问题</groupName>
      <ability>L2_HalfPunc_CN</ability>
      <abilityName>全半角问题</abilityName>
      <candidateList>
        <item>）</item>
      </candidateList>
      <explain>文本全半角错误。</explain>
      <paraID>2B521266</paraID>
      <start>16</start>
      <end>17</end>
      <status>unmodified</status>
      <modifiedWord/>
      <trackRevisions>false</trackRevisions>
    </reviewItem>
    <reviewItem>
      <errorID>76a6328f-4936-41e7-9374-0ecc427dbef8</errorID>
      <errorWord>拌合站</errorWord>
      <group>L1_Word</group>
      <groupName>字词问题</groupName>
      <ability>L2_Typo</ability>
      <abilityName>字词错误</abilityName>
      <candidateList>
        <item>拌和站</item>
      </candidateList>
      <explain>存在发音相同字词的误用。</explain>
      <paraID> F4DA74B</paraID>
      <start>12</start>
      <end>15</end>
      <status>unmodified</status>
      <modifiedWord/>
      <trackRevisions>false</trackRevisions>
    </reviewItem>
    <reviewItem>
      <errorID>8830b648-febf-4939-90b7-bb9f413a0e9a</errorID>
      <errorWord>与</errorWord>
      <group>L1_Word</group>
      <groupName>字词问题</groupName>
      <ability>L2_Typo</ability>
      <abilityName>字词错误</abilityName>
      <candidateList>
        <item/>
      </candidateList>
      <explain/>
      <paraID> F4DA74B</paraID>
      <start>34</start>
      <end>35</end>
      <status>unmodified</status>
      <modifiedWord/>
      <trackRevisions>false</trackRevisions>
    </reviewItem>
    <reviewItem>
      <errorID>77895f6d-d35b-4018-a3d5-b4cc3985519a</errorID>
      <errorWord>拌合站</errorWord>
      <group>L1_Word</group>
      <groupName>字词问题</groupName>
      <ability>L2_Typo</ability>
      <abilityName>字词错误</abilityName>
      <candidateList>
        <item>拌和站</item>
      </candidateList>
      <explain>存在发音相同字词的误用。</explain>
      <paraID> F4DA74B</paraID>
      <start>56</start>
      <end>59</end>
      <status>unmodified</status>
      <modifiedWord/>
      <trackRevisions>false</trackRevisions>
    </reviewItem>
    <reviewItem>
      <errorID>b49ec891-c214-484c-8b65-1f8c8f71a2a3</errorID>
      <errorWord>如</errorWord>
      <group>L1_Word</group>
      <groupName>字词问题</groupName>
      <ability>L2_Typo</ability>
      <abilityName>字词错误</abilityName>
      <candidateList>
        <item>如下</item>
      </candidateList>
      <explain/>
      <paraID>37B42970</paraID>
      <start>36</start>
      <end>37</end>
      <status>unmodified</status>
      <modifiedWord/>
      <trackRevisions>false</trackRevisions>
    </reviewItem>
    <reviewItem>
      <errorID>3e6ed07a-3788-4849-95c2-cd87d9bbcb92</errorID>
      <errorWord>(</errorWord>
      <group>L1_Format</group>
      <groupName>格式问题</groupName>
      <ability>L2_HalfPunc_CN</ability>
      <abilityName>全半角问题</abilityName>
      <candidateList>
        <item>（</item>
      </candidateList>
      <explain>文本全半角错误。</explain>
      <paraID> 6709BD3</paraID>
      <start>11</start>
      <end>12</end>
      <status>unmodified</status>
      <modifiedWord/>
      <trackRevisions>false</trackRevisions>
    </reviewItem>
    <reviewItem>
      <errorID>41d6ba02-91cc-417d-8667-33c4b0d32824</errorID>
      <errorWord>)</errorWord>
      <group>L1_Format</group>
      <groupName>格式问题</groupName>
      <ability>L2_HalfPunc_CN</ability>
      <abilityName>全半角问题</abilityName>
      <candidateList>
        <item>）</item>
      </candidateList>
      <explain>文本全半角错误。</explain>
      <paraID> 6709BD3</paraID>
      <start>16</start>
      <end>17</end>
      <status>unmodified</status>
      <modifiedWord/>
      <trackRevisions>false</trackRevisions>
    </reviewItem>
    <reviewItem>
      <errorID>082d81a9-da62-40e9-ae27-97f2f4a5942b</errorID>
      <errorWord>(</errorWord>
      <group>L1_Format</group>
      <groupName>格式问题</groupName>
      <ability>L2_HalfPunc_CN</ability>
      <abilityName>全半角问题</abilityName>
      <candidateList>
        <item>（</item>
      </candidateList>
      <explain>文本全半角错误。</explain>
      <paraID>292B4E6C</paraID>
      <start>23</start>
      <end>24</end>
      <status>unmodified</status>
      <modifiedWord/>
      <trackRevisions>false</trackRevisions>
    </reviewItem>
    <reviewItem>
      <errorID>ac1fb161-b62b-42ee-a095-8382b8a6f35f</errorID>
      <errorWord>)</errorWord>
      <group>L1_Format</group>
      <groupName>格式问题</groupName>
      <ability>L2_HalfPunc_CN</ability>
      <abilityName>全半角问题</abilityName>
      <candidateList>
        <item>）</item>
      </candidateList>
      <explain>文本全半角错误。</explain>
      <paraID>292B4E6C</paraID>
      <start>97</start>
      <end>98</end>
      <status>unmodified</status>
      <modifiedWord/>
      <trackRevisions>false</trackRevisions>
    </reviewItem>
    <reviewItem>
      <errorID>e55f9ab4-e2a6-4124-94d3-f0f49a8df04c</errorID>
      <errorWord>减小</errorWord>
      <group>L1_Word</group>
      <groupName>字词问题</groupName>
      <ability>L2_Typo</ability>
      <abilityName>字词错误</abilityName>
      <candidateList>
        <item>减少</item>
      </candidateList>
      <explain/>
      <paraID>292B4E6C</paraID>
      <start>173</start>
      <end>175</end>
      <status>unmodified</status>
      <modifiedWord/>
      <trackRevisions>false</trackRevisions>
    </reviewItem>
    <reviewItem>
      <errorID>32fa42b1-93c4-4bfe-a7df-fc0cb5cad70b</errorID>
      <errorWord>~</errorWord>
      <group>L1_Format</group>
      <groupName>格式问题</groupName>
      <ability>L2_HalfPunc_CN</ability>
      <abilityName>全半角问题</abilityName>
      <candidateList>
        <item>～</item>
      </candidateList>
      <explain>文本全半角错误。</explain>
      <paraID>39B4BA96</paraID>
      <start>27</start>
      <end>28</end>
      <status>unmodified</status>
      <modifiedWord/>
      <trackRevisions>false</trackRevisions>
    </reviewItem>
    <reviewItem>
      <errorID>2aadabb3-88d3-4e9c-9b43-a026c5404a0b</errorID>
      <errorWord>(</errorWord>
      <group>L1_Format</group>
      <groupName>格式问题</groupName>
      <ability>L2_HalfPunc_CN</ability>
      <abilityName>全半角问题</abilityName>
      <candidateList>
        <item>（</item>
      </candidateList>
      <explain>文本全半角错误。</explain>
      <paraID>343F4FCA</paraID>
      <start>5</start>
      <end>6</end>
      <status>unmodified</status>
      <modifiedWord/>
      <trackRevisions>false</trackRevisions>
    </reviewItem>
    <reviewItem>
      <errorID>fc4d0ccd-04e5-4865-b5f6-c4a5665c26bd</errorID>
      <errorWord>)</errorWord>
      <group>L1_Format</group>
      <groupName>格式问题</groupName>
      <ability>L2_HalfPunc_CN</ability>
      <abilityName>全半角问题</abilityName>
      <candidateList>
        <item>）</item>
      </candidateList>
      <explain>文本全半角错误。</explain>
      <paraID>343F4FCA</paraID>
      <start>7</start>
      <end>8</end>
      <status>unmodified</status>
      <modifiedWord/>
      <trackRevisions>false</trackRevisions>
    </reviewItem>
    <reviewItem>
      <errorID>3f57e6e1-ee3b-4523-bb30-b433959db8ba</errorID>
      <errorWord>~</errorWord>
      <group>L1_Format</group>
      <groupName>格式问题</groupName>
      <ability>L2_HalfPunc_CN</ability>
      <abilityName>全半角问题</abilityName>
      <candidateList>
        <item>～</item>
      </candidateList>
      <explain>文本全半角错误。</explain>
      <paraID>3396377C</paraID>
      <start>10</start>
      <end>11</end>
      <status>unmodified</status>
      <modifiedWord/>
      <trackRevisions>false</trackRevisions>
    </reviewItem>
    <reviewItem>
      <errorID>0396cab3-2e67-4718-8c7f-ee571ab93b32</errorID>
      <errorWord>(</errorWord>
      <group>L1_Format</group>
      <groupName>格式问题</groupName>
      <ability>L2_HalfPunc_CN</ability>
      <abilityName>全半角问题</abilityName>
      <candidateList>
        <item>（</item>
      </candidateList>
      <explain>文本全半角错误。</explain>
      <paraID>4370AC30</paraID>
      <start>59</start>
      <end>60</end>
      <status>unmodified</status>
      <modifiedWord/>
      <trackRevisions>false</trackRevisions>
    </reviewItem>
    <reviewItem>
      <errorID>f6320eaa-c440-446c-ab7f-1c8f1eafced3</errorID>
      <errorWord>(</errorWord>
      <group>L1_Format</group>
      <groupName>格式问题</groupName>
      <ability>L2_HalfPunc_CN</ability>
      <abilityName>全半角问题</abilityName>
      <candidateList>
        <item>（</item>
      </candidateList>
      <explain>文本全半角错误。</explain>
      <paraID>4370AC30</paraID>
      <start>82</start>
      <end>83</end>
      <status>unmodified</status>
      <modifiedWord/>
      <trackRevisions>false</trackRevisions>
    </reviewItem>
    <reviewItem>
      <errorID>6f540be3-138f-4712-a71c-6d45fa3537e8</errorID>
      <errorWord>)</errorWord>
      <group>L1_Format</group>
      <groupName>格式问题</groupName>
      <ability>L2_HalfPunc_CN</ability>
      <abilityName>全半角问题</abilityName>
      <candidateList>
        <item>）</item>
      </candidateList>
      <explain>文本全半角错误。</explain>
      <paraID>4370AC30</paraID>
      <start>89</start>
      <end>90</end>
      <status>unmodified</status>
      <modifiedWord/>
      <trackRevisions>false</trackRevisions>
    </reviewItem>
    <reviewItem>
      <errorID>0ae2d868-dbbc-48e8-b74f-cbe908a4c607</errorID>
      <errorWord>)</errorWord>
      <group>L1_Format</group>
      <groupName>格式问题</groupName>
      <ability>L2_HalfPunc_CN</ability>
      <abilityName>全半角问题</abilityName>
      <candidateList>
        <item>）</item>
      </candidateList>
      <explain>文本全半角错误。</explain>
      <paraID>4370AC30</paraID>
      <start>92</start>
      <end>93</end>
      <status>unmodified</status>
      <modifiedWord/>
      <trackRevisions>false</trackRevisions>
    </reviewItem>
    <reviewItem>
      <errorID>273df6e0-0bc1-434e-bdfc-b09299dbb478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6C2EC889</paraID>
      <start>58</start>
      <end>61</end>
      <status>unmodified</status>
      <modifiedWord/>
      <trackRevisions>false</trackRevisions>
    </reviewItem>
    <reviewItem>
      <errorID>87ccb743-f4b2-45fd-a2ec-86cc9180a099</errorID>
      <errorWord>云南省大气污染防治条 例</errorWord>
      <group>L1_Knowledge</group>
      <groupName>知识性问题</groupName>
      <ability>L2_Knowledge</ability>
      <abilityName>其他知识</abilityName>
      <candidateList>
        <item>云南省大气污染防治条例</item>
      </candidateList>
      <explain>当前法律法规未收录或尚未生效，注意核查是否正确。</explain>
      <paraID>6C2EC889</paraID>
      <start>61</start>
      <end>73</end>
      <status>unmodified</status>
      <modifiedWord/>
      <trackRevisions>false</trackRevisions>
    </reviewItem>
    <reviewItem>
      <errorID>107d66c1-3a2c-4c8d-b86b-ee2dbe365b91</errorID>
      <errorWord>其中属</errorWord>
      <group>L1_Word</group>
      <groupName>字词问题</groupName>
      <ability>L2_Typo</ability>
      <abilityName>字词错误</abilityName>
      <candidateList>
        <item>其中</item>
      </candidateList>
      <explain/>
      <paraID>6C2EF0E0</paraID>
      <start>88</start>
      <end>91</end>
      <status>unmodified</status>
      <modifiedWord/>
      <trackRevisions>false</trackRevisions>
    </reviewItem>
    <reviewItem>
      <errorID>7a1f2282-4b7d-4b75-ae42-87b8dc22b484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71763411</paraID>
      <start>0</start>
      <end>3</end>
      <status>unmodified</status>
      <modifiedWord/>
      <trackRevisions>false</trackRevisions>
    </reviewItem>
    <reviewItem>
      <errorID>a09cef37-6418-4b54-876b-208e8c38635f</errorID>
      <errorWord>(</errorWord>
      <group>L1_Format</group>
      <groupName>格式问题</groupName>
      <ability>L2_HalfPunc_CN</ability>
      <abilityName>全半角问题</abilityName>
      <candidateList>
        <item>（</item>
      </candidateList>
      <explain>文本全半角错误。</explain>
      <paraID>1A2FD298</paraID>
      <start>2</start>
      <end>3</end>
      <status>unmodified</status>
      <modifiedWord/>
      <trackRevisions>false</trackRevisions>
    </reviewItem>
    <reviewItem>
      <errorID>20336832-d360-47da-8067-53d3968b21cb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46F69703</paraID>
      <start>0</start>
      <end>3</end>
      <status>unmodified</status>
      <modifiedWord/>
      <trackRevisions>false</trackRevisions>
    </reviewItem>
    <reviewItem>
      <errorID>7ff08146-6fc2-4443-975d-c331744bc9c1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6F06D0FC</paraID>
      <start>3</start>
      <end>4</end>
      <status>unmodified</status>
      <modifiedWord/>
      <trackRevisions>false</trackRevisions>
    </reviewItem>
    <reviewItem>
      <errorID>360ff548-ba83-4b71-93ea-77e3bb5a57d2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1CF2F030</paraID>
      <start>0</start>
      <end>3</end>
      <status>unmodified</status>
      <modifiedWord/>
      <trackRevisions>false</trackRevisions>
    </reviewItem>
    <reviewItem>
      <errorID>3f11f6e6-7251-4237-b3bd-959671a0c4bd</errorID>
      <errorWord>(</errorWord>
      <group>L1_Format</group>
      <groupName>格式问题</groupName>
      <ability>L2_HalfPunc_CN</ability>
      <abilityName>全半角问题</abilityName>
      <candidateList>
        <item>（</item>
      </candidateList>
      <explain>文本全半角错误。</explain>
      <paraID>45365DE0</paraID>
      <start>7</start>
      <end>8</end>
      <status>unmodified</status>
      <modifiedWord/>
      <trackRevisions>false</trackRevisions>
    </reviewItem>
    <reviewItem>
      <errorID>fbf46d11-180b-4d2a-a831-fb7e8c792446</errorID>
      <errorWord>)</errorWord>
      <group>L1_Format</group>
      <groupName>格式问题</groupName>
      <ability>L2_HalfPunc_CN</ability>
      <abilityName>全半角问题</abilityName>
      <candidateList>
        <item>）</item>
      </candidateList>
      <explain>文本全半角错误。</explain>
      <paraID>45365DE0</paraID>
      <start>15</start>
      <end>16</end>
      <status>unmodified</status>
      <modifiedWord/>
      <trackRevisions>false</trackRevisions>
    </reviewItem>
    <reviewItem>
      <errorID>7bcb4d4e-8bc1-4caf-bca8-3c2788f22bf9</errorID>
      <errorWord>(</errorWord>
      <group>L1_Format</group>
      <groupName>格式问题</groupName>
      <ability>L2_HalfPunc_CN</ability>
      <abilityName>全半角问题</abilityName>
      <candidateList>
        <item>（</item>
      </candidateList>
      <explain>文本全半角错误。</explain>
      <paraID>328C6249</paraID>
      <start>4</start>
      <end>5</end>
      <status>unmodified</status>
      <modifiedWord/>
      <trackRevisions>false</trackRevisions>
    </reviewItem>
    <reviewItem>
      <errorID>0ec12a59-071d-4c1f-a31b-7ff15316c7f5</errorID>
      <errorWord>)</errorWord>
      <group>L1_Format</group>
      <groupName>格式问题</groupName>
      <ability>L2_HalfPunc_CN</ability>
      <abilityName>全半角问题</abilityName>
      <candidateList>
        <item>）</item>
      </candidateList>
      <explain>文本全半角错误。</explain>
      <paraID>5303F20D</paraID>
      <start>2</start>
      <end>3</end>
      <status>unmodified</status>
      <modifiedWord/>
      <trackRevisions>false</trackRevisions>
    </reviewItem>
    <reviewItem>
      <errorID>55bdfb83-8f27-4242-b8bc-161d885439c1</errorID>
      <errorWord>(</errorWord>
      <group>L1_Format</group>
      <groupName>格式问题</groupName>
      <ability>L2_HalfPunc_CN</ability>
      <abilityName>全半角问题</abilityName>
      <candidateList>
        <item>（</item>
      </candidateList>
      <explain>文本全半角错误。</explain>
      <paraID>47FE0CEE</paraID>
      <start>8</start>
      <end>9</end>
      <status>unmodified</status>
      <modifiedWord/>
      <trackRevisions>false</trackRevisions>
    </reviewItem>
    <reviewItem>
      <errorID>c4d0096b-4163-4361-8bf4-259a9ce88dd4</errorID>
      <errorWord>)(</errorWord>
      <group>L1_Format</group>
      <groupName>格式问题</groupName>
      <ability>L2_HalfPunc_CN</ability>
      <abilityName>全半角问题</abilityName>
      <candidateList>
        <item>）（</item>
      </candidateList>
      <explain>文本全半角错误。</explain>
      <paraID>47FE0CEE</paraID>
      <start>16</start>
      <end>18</end>
      <status>unmodified</status>
      <modifiedWord/>
      <trackRevisions>false</trackRevisions>
    </reviewItem>
    <reviewItem>
      <errorID>d34272a3-0b23-4810-9ba9-1b4c2bd2a399</errorID>
      <errorWord>)</errorWord>
      <group>L1_Format</group>
      <groupName>格式问题</groupName>
      <ability>L2_HalfPunc_CN</ability>
      <abilityName>全半角问题</abilityName>
      <candidateList>
        <item>）</item>
      </candidateList>
      <explain>文本全半角错误。</explain>
      <paraID>47FE0CEE</paraID>
      <start>35</start>
      <end>36</end>
      <status>unmodified</status>
      <modifiedWord/>
      <trackRevisions>false</trackRevisions>
    </reviewItem>
    <reviewItem>
      <errorID>3a1e5c80-64cb-49ac-9812-485fa4d2620d</errorID>
      <errorWord>(</errorWord>
      <group>L1_Format</group>
      <groupName>格式问题</groupName>
      <ability>L2_HalfPunc_CN</ability>
      <abilityName>全半角问题</abilityName>
      <candidateList>
        <item>（</item>
      </candidateList>
      <explain>文本全半角错误。</explain>
      <paraID>3A424052</paraID>
      <start>8</start>
      <end>9</end>
      <status>unmodified</status>
      <modifiedWord/>
      <trackRevisions>false</trackRevisions>
    </reviewItem>
    <reviewItem>
      <errorID>ed4f2655-f2fd-47ff-ab88-d68ef9275d6c</errorID>
      <errorWord>)(</errorWord>
      <group>L1_Format</group>
      <groupName>格式问题</groupName>
      <ability>L2_HalfPunc_CN</ability>
      <abilityName>全半角问题</abilityName>
      <candidateList>
        <item>）（</item>
      </candidateList>
      <explain>文本全半角错误。</explain>
      <paraID>3A424052</paraID>
      <start>16</start>
      <end>18</end>
      <status>unmodified</status>
      <modifiedWord/>
      <trackRevisions>false</trackRevisions>
    </reviewItem>
    <reviewItem>
      <errorID>fa3414b8-374d-44c9-a904-afca662f9034</errorID>
      <errorWord>)</errorWord>
      <group>L1_Format</group>
      <groupName>格式问题</groupName>
      <ability>L2_HalfPunc_CN</ability>
      <abilityName>全半角问题</abilityName>
      <candidateList>
        <item>）</item>
      </candidateList>
      <explain>文本全半角错误。</explain>
      <paraID>3A424052</paraID>
      <start>35</start>
      <end>36</end>
      <status>unmodified</status>
      <modifiedWord/>
      <trackRevisions>false</trackRevisions>
    </reviewItem>
    <reviewItem>
      <errorID>f874c393-3ea7-4ff1-a04d-c9b855b152ae</errorID>
      <errorWord>(</errorWord>
      <group>L1_Format</group>
      <groupName>格式问题</groupName>
      <ability>L2_HalfPunc_CN</ability>
      <abilityName>全半角问题</abilityName>
      <candidateList>
        <item>（</item>
      </candidateList>
      <explain>文本全半角错误。</explain>
      <paraID> E2CCBDF</paraID>
      <start>6</start>
      <end>7</end>
      <status>unmodified</status>
      <modifiedWord/>
      <trackRevisions>false</trackRevisions>
    </reviewItem>
    <reviewItem>
      <errorID>368b608f-f037-484f-8375-f0008a123476</errorID>
      <errorWord>)</errorWord>
      <group>L1_Format</group>
      <groupName>格式问题</groupName>
      <ability>L2_HalfPunc_CN</ability>
      <abilityName>全半角问题</abilityName>
      <candidateList>
        <item>）</item>
      </candidateList>
      <explain>文本全半角错误。</explain>
      <paraID>788E8288</paraID>
      <start>11</start>
      <end>12</end>
      <status>unmodified</status>
      <modifiedWord/>
      <trackRevisions>false</trackRevisions>
    </reviewItem>
    <reviewItem>
      <errorID>4173169d-9517-4611-908c-a804ea643dcf</errorID>
      <errorWord>(</errorWord>
      <group>L1_Format</group>
      <groupName>格式问题</groupName>
      <ability>L2_HalfPunc_CN</ability>
      <abilityName>全半角问题</abilityName>
      <candidateList>
        <item>（</item>
      </candidateList>
      <explain>文本全半角错误。</explain>
      <paraID> E38B099</paraID>
      <start>0</start>
      <end>1</end>
      <status>unmodified</status>
      <modifiedWord/>
      <trackRevisions>false</trackRevisions>
    </reviewItem>
    <reviewItem>
      <errorID>72725503-34e9-44c7-9096-1eb668d54133</errorID>
      <errorWord>)</errorWord>
      <group>L1_Format</group>
      <groupName>格式问题</groupName>
      <ability>L2_HalfPunc_CN</ability>
      <abilityName>全半角问题</abilityName>
      <candidateList>
        <item>）</item>
      </candidateList>
      <explain>文本全半角错误。</explain>
      <paraID> 40517F0</paraID>
      <start>2</start>
      <end>3</end>
      <status>unmodified</status>
      <modifiedWord/>
      <trackRevisions>false</trackRevisions>
    </reviewItem>
    <reviewItem>
      <errorID>931ec291-b16b-4ede-b005-127b332d16b9</errorID>
      <errorWord>(</errorWord>
      <group>L1_Format</group>
      <groupName>格式问题</groupName>
      <ability>L2_HalfPunc_CN</ability>
      <abilityName>全半角问题</abilityName>
      <candidateList>
        <item>（</item>
      </candidateList>
      <explain>文本全半角错误。</explain>
      <paraID>20C9B265</paraID>
      <start>0</start>
      <end>1</end>
      <status>unmodified</status>
      <modifiedWord/>
      <trackRevisions>false</trackRevisions>
    </reviewItem>
    <reviewItem>
      <errorID>1bbfb2f2-c961-4b10-98e0-38617ab338e6</errorID>
      <errorWord>)</errorWord>
      <group>L1_Format</group>
      <groupName>格式问题</groupName>
      <ability>L2_HalfPunc_CN</ability>
      <abilityName>全半角问题</abilityName>
      <candidateList>
        <item>）</item>
      </candidateList>
      <explain>文本全半角错误。</explain>
      <paraID>6F431AB3</paraID>
      <start>2</start>
      <end>3</end>
      <status>unmodified</status>
      <modifiedWord/>
      <trackRevisions>false</trackRevisions>
    </reviewItem>
    <reviewItem>
      <errorID>a11121b8-38d9-464c-9b74-06e7ff1ad240</errorID>
      <errorWord>(</errorWord>
      <group>L1_Format</group>
      <groupName>格式问题</groupName>
      <ability>L2_HalfPunc_CN</ability>
      <abilityName>全半角问题</abilityName>
      <candidateList>
        <item>（</item>
      </candidateList>
      <explain>文本全半角错误。</explain>
      <paraID>2438CD08</paraID>
      <start>6</start>
      <end>7</end>
      <status>unmodified</status>
      <modifiedWord/>
      <trackRevisions>false</trackRevisions>
    </reviewItem>
    <reviewItem>
      <errorID>456bc1c5-7a4d-483e-890e-d57fe8467dde</errorID>
      <errorWord>)</errorWord>
      <group>L1_Format</group>
      <groupName>格式问题</groupName>
      <ability>L2_HalfPunc_CN</ability>
      <abilityName>全半角问题</abilityName>
      <candidateList>
        <item>）</item>
      </candidateList>
      <explain>文本全半角错误。</explain>
      <paraID>2438CD08</paraID>
      <start>15</start>
      <end>16</end>
      <status>unmodified</status>
      <modifiedWord/>
      <trackRevisions>false</trackRevisions>
    </reviewItem>
    <reviewItem>
      <errorID>18491dcc-74a6-40b7-9e72-b7da518c5062</errorID>
      <errorWord>(</errorWord>
      <group>L1_Format</group>
      <groupName>格式问题</groupName>
      <ability>L2_HalfPunc_CN</ability>
      <abilityName>全半角问题</abilityName>
      <candidateList>
        <item>（</item>
      </candidateList>
      <explain>文本全半角错误。</explain>
      <paraID>366C5D63</paraID>
      <start>0</start>
      <end>1</end>
      <status>unmodified</status>
      <modifiedWord/>
      <trackRevisions>false</trackRevisions>
    </reviewItem>
    <reviewItem>
      <errorID>7e05a3fa-a2e1-4188-b535-4dafa6f3b534</errorID>
      <errorWord>)</errorWord>
      <group>L1_Format</group>
      <groupName>格式问题</groupName>
      <ability>L2_HalfPunc_CN</ability>
      <abilityName>全半角问题</abilityName>
      <candidateList>
        <item>）</item>
      </candidateList>
      <explain>文本全半角错误。</explain>
      <paraID>366C5D63</paraID>
      <start>9</start>
      <end>10</end>
      <status>unmodified</status>
      <modifiedWord/>
      <trackRevisions>false</trackRevisions>
    </reviewItem>
    <reviewItem>
      <errorID>e6c42312-7f01-4fd2-82ad-751c7f01f414</errorID>
      <errorWord>(</errorWord>
      <group>L1_Format</group>
      <groupName>格式问题</groupName>
      <ability>L2_HalfPunc_CN</ability>
      <abilityName>全半角问题</abilityName>
      <candidateList>
        <item>（</item>
      </candidateList>
      <explain>文本全半角错误。</explain>
      <paraID>42E52AD9</paraID>
      <start>0</start>
      <end>1</end>
      <status>unmodified</status>
      <modifiedWord/>
      <trackRevisions>false</trackRevisions>
    </reviewItem>
    <reviewItem>
      <errorID>27e35b8d-f6f7-4a5e-8cbd-f45536fef689</errorID>
      <errorWord>)</errorWord>
      <group>L1_Format</group>
      <groupName>格式问题</groupName>
      <ability>L2_HalfPunc_CN</ability>
      <abilityName>全半角问题</abilityName>
      <candidateList>
        <item>）</item>
      </candidateList>
      <explain>文本全半角错误。</explain>
      <paraID>42E52AD9</paraID>
      <start>9</start>
      <end>10</end>
      <status>unmodified</status>
      <modifiedWord/>
      <trackRevisions>false</trackRevisions>
    </reviewItem>
    <reviewItem>
      <errorID>5b86840b-023e-413b-a514-9d95d0fcfa89</errorID>
      <errorWord>(</errorWord>
      <group>L1_Format</group>
      <groupName>格式问题</groupName>
      <ability>L2_HalfPunc_CN</ability>
      <abilityName>全半角问题</abilityName>
      <candidateList>
        <item>（</item>
      </candidateList>
      <explain>文本全半角错误。</explain>
      <paraID>1DBF03C1</paraID>
      <start>0</start>
      <end>1</end>
      <status>unmodified</status>
      <modifiedWord/>
      <trackRevisions>false</trackRevisions>
    </reviewItem>
    <reviewItem>
      <errorID>107d6efa-b9f7-41ff-8c0d-17655cf465da</errorID>
      <errorWord>)</errorWord>
      <group>L1_Format</group>
      <groupName>格式问题</groupName>
      <ability>L2_HalfPunc_CN</ability>
      <abilityName>全半角问题</abilityName>
      <candidateList>
        <item>）</item>
      </candidateList>
      <explain>文本全半角错误。</explain>
      <paraID>1DBF03C1</paraID>
      <start>9</start>
      <end>10</end>
      <status>unmodified</status>
      <modifiedWord/>
      <trackRevisions>false</trackRevisions>
    </reviewItem>
    <reviewItem>
      <errorID>8c7f845e-c84e-4b42-bdd6-3d2702a951ef</errorID>
      <errorWord>(</errorWord>
      <group>L1_Format</group>
      <groupName>格式问题</groupName>
      <ability>L2_HalfPunc_CN</ability>
      <abilityName>全半角问题</abilityName>
      <candidateList>
        <item>（</item>
      </candidateList>
      <explain>文本全半角错误。</explain>
      <paraID>6A635215</paraID>
      <start>0</start>
      <end>1</end>
      <status>unmodified</status>
      <modifiedWord/>
      <trackRevisions>false</trackRevisions>
    </reviewItem>
    <reviewItem>
      <errorID>385f5a0f-97e7-4846-bff6-b1cf14efdd1c</errorID>
      <errorWord>)</errorWord>
      <group>L1_Format</group>
      <groupName>格式问题</groupName>
      <ability>L2_HalfPunc_CN</ability>
      <abilityName>全半角问题</abilityName>
      <candidateList>
        <item>）</item>
      </candidateList>
      <explain>文本全半角错误。</explain>
      <paraID>6A635215</paraID>
      <start>9</start>
      <end>10</end>
      <status>unmodified</status>
      <modifiedWord/>
      <trackRevisions>false</trackRevisions>
    </reviewItem>
    <reviewItem>
      <errorID>fe8c4438-c11e-400b-a0c9-f9705d07b4d6</errorID>
      <errorWord>(</errorWord>
      <group>L1_Format</group>
      <groupName>格式问题</groupName>
      <ability>L2_HalfPunc_CN</ability>
      <abilityName>全半角问题</abilityName>
      <candidateList>
        <item>（</item>
      </candidateList>
      <explain>文本全半角错误。</explain>
      <paraID>7E6F152E</paraID>
      <start>0</start>
      <end>1</end>
      <status>unmodified</status>
      <modifiedWord/>
      <trackRevisions>false</trackRevisions>
    </reviewItem>
    <reviewItem>
      <errorID>fe0e86e2-96f8-4431-9708-0f9984507876</errorID>
      <errorWord>)</errorWord>
      <group>L1_Format</group>
      <groupName>格式问题</groupName>
      <ability>L2_HalfPunc_CN</ability>
      <abilityName>全半角问题</abilityName>
      <candidateList>
        <item>）</item>
      </candidateList>
      <explain>文本全半角错误。</explain>
      <paraID>7E6F152E</paraID>
      <start>9</start>
      <end>10</end>
      <status>unmodified</status>
      <modifiedWord/>
      <trackRevisions>false</trackRevisions>
    </reviewItem>
    <reviewItem>
      <errorID>199d4d5f-8ed5-4f5a-ac7f-59e57c96fbf6</errorID>
      <errorWord>，</errorWord>
      <group>L1_Word</group>
      <groupName>字词问题</groupName>
      <ability>L2_Typo</ability>
      <abilityName>字词错误</abilityName>
      <candidateList>
        <item>，在</item>
      </candidateList>
      <explain/>
      <paraID>70FE7B5E</paraID>
      <start>56</start>
      <end>57</end>
      <status>unmodified</status>
      <modifiedWord/>
      <trackRevisions>false</trackRevisions>
    </reviewItem>
    <reviewItem>
      <errorID>2b52f262-4653-4975-a994-cfd8b03cdd19</errorID>
      <errorWord>(</errorWord>
      <group>L1_Format</group>
      <groupName>格式问题</groupName>
      <ability>L2_HalfPunc_CN</ability>
      <abilityName>全半角问题</abilityName>
      <candidateList>
        <item>（</item>
      </candidateList>
      <explain>文本全半角错误。</explain>
      <paraID> 8DF821A</paraID>
      <start>7</start>
      <end>8</end>
      <status>unmodified</status>
      <modifiedWord/>
      <trackRevisions>false</trackRevisions>
    </reviewItem>
    <reviewItem>
      <errorID>79a74d66-b6b7-4187-938d-de464c5f6502</errorID>
      <errorWord>)</errorWord>
      <group>L1_Format</group>
      <groupName>格式问题</groupName>
      <ability>L2_HalfPunc_CN</ability>
      <abilityName>全半角问题</abilityName>
      <candidateList>
        <item>）</item>
      </candidateList>
      <explain>文本全半角错误。</explain>
      <paraID> 8DF821A</paraID>
      <start>14</start>
      <end>15</end>
      <status>unmodified</status>
      <modifiedWord/>
      <trackRevisions>false</trackRevisions>
    </reviewItem>
    <reviewItem>
      <errorID>b33f6093-9344-489d-be51-5685bb5fdee6</errorID>
      <errorWord>(</errorWord>
      <group>L1_Format</group>
      <groupName>格式问题</groupName>
      <ability>L2_HalfPunc_CN</ability>
      <abilityName>全半角问题</abilityName>
      <candidateList>
        <item>（</item>
      </candidateList>
      <explain>文本全半角错误。</explain>
      <paraID> 8DF821A</paraID>
      <start>23</start>
      <end>24</end>
      <status>unmodified</status>
      <modifiedWord/>
      <trackRevisions>false</trackRevisions>
    </reviewItem>
    <reviewItem>
      <errorID>f170be21-675a-4a02-a869-e0d196e4aed7</errorID>
      <errorWord>)</errorWord>
      <group>L1_Format</group>
      <groupName>格式问题</groupName>
      <ability>L2_HalfPunc_CN</ability>
      <abilityName>全半角问题</abilityName>
      <candidateList>
        <item>）</item>
      </candidateList>
      <explain>文本全半角错误。</explain>
      <paraID> 8DF821A</paraID>
      <start>30</start>
      <end>31</end>
      <status>unmodified</status>
      <modifiedWord/>
      <trackRevisions>false</trackRevisions>
    </reviewItem>
    <reviewItem>
      <errorID>c3442dae-7241-456e-b70f-af11fe4a6190</errorID>
      <errorWord>(</errorWord>
      <group>L1_Format</group>
      <groupName>格式问题</groupName>
      <ability>L2_HalfPunc_CN</ability>
      <abilityName>全半角问题</abilityName>
      <candidateList>
        <item>（</item>
      </candidateList>
      <explain>文本全半角错误。</explain>
      <paraID>7D94D3D0</paraID>
      <start>15</start>
      <end>16</end>
      <status>unmodified</status>
      <modifiedWord/>
      <trackRevisions>false</trackRevisions>
    </reviewItem>
    <reviewItem>
      <errorID>bc5276a8-f4a7-43de-b847-f3b50ddd0c1e</errorID>
      <errorWord>)</errorWord>
      <group>L1_Format</group>
      <groupName>格式问题</groupName>
      <ability>L2_HalfPunc_CN</ability>
      <abilityName>全半角问题</abilityName>
      <candidateList>
        <item>）</item>
      </candidateList>
      <explain>文本全半角错误。</explain>
      <paraID>7D94D3D0</paraID>
      <start>39</start>
      <end>40</end>
      <status>unmodified</status>
      <modifiedWord/>
      <trackRevisions>false</trackRevisions>
    </reviewItem>
    <reviewItem>
      <errorID>e1e1edc0-9391-47ab-b500-3f76b6b4e05c</errorID>
      <errorWord>(</errorWord>
      <group>L1_Format</group>
      <groupName>格式问题</groupName>
      <ability>L2_HalfPunc_CN</ability>
      <abilityName>全半角问题</abilityName>
      <candidateList>
        <item>（</item>
      </candidateList>
      <explain>文本全半角错误。</explain>
      <paraID>7D94D3D0</paraID>
      <start>47</start>
      <end>48</end>
      <status>unmodified</status>
      <modifiedWord/>
      <trackRevisions>false</trackRevisions>
    </reviewItem>
    <reviewItem>
      <errorID>8b6da83a-44e4-4b51-ad85-05b0df1236d0</errorID>
      <errorWord>)</errorWord>
      <group>L1_Format</group>
      <groupName>格式问题</groupName>
      <ability>L2_HalfPunc_CN</ability>
      <abilityName>全半角问题</abilityName>
      <candidateList>
        <item>）</item>
      </candidateList>
      <explain>文本全半角错误。</explain>
      <paraID>7D94D3D0</paraID>
      <start>54</start>
      <end>55</end>
      <status>unmodified</status>
      <modifiedWord/>
      <trackRevisions>false</trackRevisions>
    </reviewItem>
    <reviewItem>
      <errorID>d184e33c-33d8-44aa-ad2e-4a8328802597</errorID>
      <errorWord>(</errorWord>
      <group>L1_Format</group>
      <groupName>格式问题</groupName>
      <ability>L2_HalfPunc_CN</ability>
      <abilityName>全半角问题</abilityName>
      <candidateList>
        <item>（</item>
      </candidateList>
      <explain>文本全半角错误。</explain>
      <paraID>7D94D3D0</paraID>
      <start>69</start>
      <end>70</end>
      <status>unmodified</status>
      <modifiedWord/>
      <trackRevisions>false</trackRevisions>
    </reviewItem>
    <reviewItem>
      <errorID>4d588908-0df5-44a5-8378-5faa91e4c724</errorID>
      <errorWord>)</errorWord>
      <group>L1_Format</group>
      <groupName>格式问题</groupName>
      <ability>L2_HalfPunc_CN</ability>
      <abilityName>全半角问题</abilityName>
      <candidateList>
        <item>）</item>
      </candidateList>
      <explain>文本全半角错误。</explain>
      <paraID>3F172220</paraID>
      <start>5</start>
      <end>6</end>
      <status>unmodified</status>
      <modifiedWord/>
      <trackRevisions>false</trackRevisions>
    </reviewItem>
    <reviewItem>
      <errorID>85b54868-6c20-4aa4-ba15-e3e9d2d3f958</errorID>
      <errorWord>(</errorWord>
      <group>L1_Format</group>
      <groupName>格式问题</groupName>
      <ability>L2_HalfPunc_CN</ability>
      <abilityName>全半角问题</abilityName>
      <candidateList>
        <item>（</item>
      </candidateList>
      <explain>文本全半角错误。</explain>
      <paraID>3F172220</paraID>
      <start>13</start>
      <end>14</end>
      <status>unmodified</status>
      <modifiedWord/>
      <trackRevisions>false</trackRevisions>
    </reviewItem>
    <reviewItem>
      <errorID>f7991aa2-a35d-4b8f-96e7-bae5b66c8b74</errorID>
      <errorWord>)</errorWord>
      <group>L1_Format</group>
      <groupName>格式问题</groupName>
      <ability>L2_HalfPunc_CN</ability>
      <abilityName>全半角问题</abilityName>
      <candidateList>
        <item>）</item>
      </candidateList>
      <explain>文本全半角错误。</explain>
      <paraID>3F172220</paraID>
      <start>20</start>
      <end>21</end>
      <status>unmodified</status>
      <modifiedWord/>
      <trackRevisions>false</trackRevisions>
    </reviewItem>
    <reviewItem>
      <errorID>4bfdf984-1b82-473c-90c4-07272ae44921</errorID>
      <errorWord>(</errorWord>
      <group>L1_Format</group>
      <groupName>格式问题</groupName>
      <ability>L2_HalfPunc_CN</ability>
      <abilityName>全半角问题</abilityName>
      <candidateList>
        <item>（</item>
      </candidateList>
      <explain>文本全半角错误。</explain>
      <paraID>3F172220</paraID>
      <start>28</start>
      <end>29</end>
      <status>unmodified</status>
      <modifiedWord/>
      <trackRevisions>false</trackRevisions>
    </reviewItem>
    <reviewItem>
      <errorID>c5cf3b72-4a6d-433b-a64f-789f5fa5f2d5</errorID>
      <errorWord>)</errorWord>
      <group>L1_Format</group>
      <groupName>格式问题</groupName>
      <ability>L2_HalfPunc_CN</ability>
      <abilityName>全半角问题</abilityName>
      <candidateList>
        <item>）</item>
      </candidateList>
      <explain>文本全半角错误。</explain>
      <paraID>3F172220</paraID>
      <start>35</start>
      <end>36</end>
      <status>unmodified</status>
      <modifiedWord/>
      <trackRevisions>false</trackRevisions>
    </reviewItem>
    <reviewItem>
      <errorID>3378c679-8bea-4725-8972-12fa2587a145</errorID>
      <errorWord>(</errorWord>
      <group>L1_Format</group>
      <groupName>格式问题</groupName>
      <ability>L2_HalfPunc_CN</ability>
      <abilityName>全半角问题</abilityName>
      <candidateList>
        <item>（</item>
      </candidateList>
      <explain>文本全半角错误。</explain>
      <paraID>3F172220</paraID>
      <start>44</start>
      <end>45</end>
      <status>unmodified</status>
      <modifiedWord/>
      <trackRevisions>false</trackRevisions>
    </reviewItem>
    <reviewItem>
      <errorID>925beb7e-0b94-4d8c-a21e-b0b2307cdafe</errorID>
      <errorWord>)</errorWord>
      <group>L1_Format</group>
      <groupName>格式问题</groupName>
      <ability>L2_HalfPunc_CN</ability>
      <abilityName>全半角问题</abilityName>
      <candidateList>
        <item>）</item>
      </candidateList>
      <explain>文本全半角错误。</explain>
      <paraID>3F172220</paraID>
      <start>51</start>
      <end>52</end>
      <status>unmodified</status>
      <modifiedWord/>
      <trackRevisions>false</trackRevisions>
    </reviewItem>
    <reviewItem>
      <errorID>3abfcbe1-9286-4f05-9592-54dc65b49b33</errorID>
      <errorWord>(</errorWord>
      <group>L1_Format</group>
      <groupName>格式问题</groupName>
      <ability>L2_HalfPunc_CN</ability>
      <abilityName>全半角问题</abilityName>
      <candidateList>
        <item>（</item>
      </candidateList>
      <explain>文本全半角错误。</explain>
      <paraID>3F172220</paraID>
      <start>59</start>
      <end>60</end>
      <status>unmodified</status>
      <modifiedWord/>
      <trackRevisions>false</trackRevisions>
    </reviewItem>
    <reviewItem>
      <errorID>d07ee7a2-405b-485a-948e-9f6eb4ae1770</errorID>
      <errorWord>)</errorWord>
      <group>L1_Format</group>
      <groupName>格式问题</groupName>
      <ability>L2_HalfPunc_CN</ability>
      <abilityName>全半角问题</abilityName>
      <candidateList>
        <item>）</item>
      </candidateList>
      <explain>文本全半角错误。</explain>
      <paraID>3F172220</paraID>
      <start>66</start>
      <end>67</end>
      <status>unmodified</status>
      <modifiedWord/>
      <trackRevisions>false</trackRevisions>
    </reviewItem>
    <reviewItem>
      <errorID>6e40bd00-24d2-476b-a03e-ef0bc3ad69d7</errorID>
      <errorWord>(</errorWord>
      <group>L1_Format</group>
      <groupName>格式问题</groupName>
      <ability>L2_HalfPunc_CN</ability>
      <abilityName>全半角问题</abilityName>
      <candidateList>
        <item>（</item>
      </candidateList>
      <explain>文本全半角错误。</explain>
      <paraID>5845267B</paraID>
      <start>12</start>
      <end>13</end>
      <status>unmodified</status>
      <modifiedWord/>
      <trackRevisions>false</trackRevisions>
    </reviewItem>
    <reviewItem>
      <errorID>2405b91f-4704-4b3b-adc3-4c0b5df2974e</errorID>
      <errorWord>)</errorWord>
      <group>L1_Format</group>
      <groupName>格式问题</groupName>
      <ability>L2_HalfPunc_CN</ability>
      <abilityName>全半角问题</abilityName>
      <candidateList>
        <item>）</item>
      </candidateList>
      <explain>文本全半角错误。</explain>
      <paraID>5845267B</paraID>
      <start>19</start>
      <end>20</end>
      <status>unmodified</status>
      <modifiedWord/>
      <trackRevisions>false</trackRevisions>
    </reviewItem>
    <reviewItem>
      <errorID>48def133-4df2-4f7f-bfef-c91d9443c8ea</errorID>
      <errorWord>(</errorWord>
      <group>L1_Format</group>
      <groupName>格式问题</groupName>
      <ability>L2_HalfPunc_CN</ability>
      <abilityName>全半角问题</abilityName>
      <candidateList>
        <item>（</item>
      </candidateList>
      <explain>文本全半角错误。</explain>
      <paraID>1DD96FE3</paraID>
      <start>4</start>
      <end>5</end>
      <status>unmodified</status>
      <modifiedWord/>
      <trackRevisions>false</trackRevisions>
    </reviewItem>
    <reviewItem>
      <errorID>84ab8cfd-638b-44b9-ba13-99565d1e54d0</errorID>
      <errorWord>。</errorWord>
      <group>L1_Format</group>
      <groupName>格式问题</groupName>
      <ability>L2_HalfPunc_CN</ability>
      <abilityName>全半角问题</abilityName>
      <candidateList>
        <item>.</item>
      </candidateList>
      <explain>文本全半角错误。</explain>
      <paraID>3305D877</paraID>
      <start>10</start>
      <end>11</end>
      <status>unmodified</status>
      <modifiedWord/>
      <trackRevisions>false</trackRevisions>
    </reviewItem>
    <reviewItem>
      <errorID>95092982-3f18-4eb1-bd6e-85dddcf735d7</errorID>
      <errorWord>,</errorWord>
      <group>L1_Format</group>
      <groupName>格式问题</groupName>
      <ability>L2_HalfPunc_CN</ability>
      <abilityName>全半角问题</abilityName>
      <candidateList>
        <item>，</item>
      </candidateList>
      <explain>文本全半角错误。</explain>
      <paraID>1F5B9A65</paraID>
      <start>16</start>
      <end>17</end>
      <status>unmodified</status>
      <modifiedWord/>
      <trackRevisions>false</trackRevisions>
    </reviewItem>
    <reviewItem>
      <errorID>d191fdf1-ab23-49e6-a13c-7cdb432dd254</errorID>
      <errorWord>)</errorWord>
      <group>L1_Format</group>
      <groupName>格式问题</groupName>
      <ability>L2_HalfPunc_CN</ability>
      <abilityName>全半角问题</abilityName>
      <candidateList>
        <item>）</item>
      </candidateList>
      <explain>文本全半角错误。</explain>
      <paraID>1F5B9A65</paraID>
      <start>35</start>
      <end>36</end>
      <status>unmodified</status>
      <modifiedWord/>
      <trackRevisions>false</trackRevisions>
    </reviewItem>
    <reviewItem>
      <errorID>e20f1f09-3510-4db4-b320-74eae0abea2e</errorID>
      <errorWord>(</errorWord>
      <group>L1_Format</group>
      <groupName>格式问题</groupName>
      <ability>L2_HalfPunc_CN</ability>
      <abilityName>全半角问题</abilityName>
      <candidateList>
        <item>（</item>
      </candidateList>
      <explain>文本全半角错误。</explain>
      <paraID>1E7B9F0F</paraID>
      <start>20</start>
      <end>21</end>
      <status>unmodified</status>
      <modifiedWord/>
      <trackRevisions>false</trackRevisions>
    </reviewItem>
    <reviewItem>
      <errorID>e7edb716-b1eb-4955-9e9b-4fab5806d8b7</errorID>
      <errorWord>)</errorWord>
      <group>L1_Format</group>
      <groupName>格式问题</groupName>
      <ability>L2_HalfPunc_CN</ability>
      <abilityName>全半角问题</abilityName>
      <candidateList>
        <item>）</item>
      </candidateList>
      <explain>文本全半角错误。</explain>
      <paraID>1E7B9F0F</paraID>
      <start>38</start>
      <end>39</end>
      <status>unmodified</status>
      <modifiedWord/>
      <trackRevisions>false</trackRevisions>
    </reviewItem>
    <reviewItem>
      <errorID>5a40d881-fa72-4ab4-9165-37ec5d39244c</errorID>
      <errorWord>(</errorWord>
      <group>L1_Format</group>
      <groupName>格式问题</groupName>
      <ability>L2_HalfPunc_CN</ability>
      <abilityName>全半角问题</abilityName>
      <candidateList>
        <item>（</item>
      </candidateList>
      <explain>文本全半角错误。</explain>
      <paraID>3916E6E3</paraID>
      <start>12</start>
      <end>13</end>
      <status>unmodified</status>
      <modifiedWord/>
      <trackRevisions>false</trackRevisions>
    </reviewItem>
    <reviewItem>
      <errorID>5754f2cf-27b4-4988-be16-176936db55b8</errorID>
      <errorWord>)</errorWord>
      <group>L1_Format</group>
      <groupName>格式问题</groupName>
      <ability>L2_HalfPunc_CN</ability>
      <abilityName>全半角问题</abilityName>
      <candidateList>
        <item>）</item>
      </candidateList>
      <explain>文本全半角错误。</explain>
      <paraID>3916E6E3</paraID>
      <start>18</start>
      <end>19</end>
      <status>unmodified</status>
      <modifiedWord/>
      <trackRevisions>false</trackRevisions>
    </reviewItem>
    <reviewItem>
      <errorID>674fc04d-f0a9-41c7-b395-9fb14b43d660</errorID>
      <errorWord>)</errorWord>
      <group>L1_Punc</group>
      <groupName>标点问题</groupName>
      <ability>L2_Punc_CN</ability>
      <abilityName>标点符号问题</abilityName>
      <candidateList/>
      <explain/>
      <paraID>3C551275</paraID>
      <start>0</start>
      <end>1</end>
      <status>unmodified</status>
      <modifiedWord/>
      <trackRevisions>false</trackRevisions>
    </reviewItem>
    <reviewItem>
      <errorID>ae481410-3394-4bbb-bc8d-f8675cfe3f41</errorID>
      <errorWord>(</errorWord>
      <group>L1_Format</group>
      <groupName>格式问题</groupName>
      <ability>L2_HalfPunc_CN</ability>
      <abilityName>全半角问题</abilityName>
      <candidateList>
        <item>（</item>
      </candidateList>
      <explain>文本全半角错误。</explain>
      <paraID>1F1AAC82</paraID>
      <start>2</start>
      <end>3</end>
      <status>unmodified</status>
      <modifiedWord/>
      <trackRevisions>false</trackRevisions>
    </reviewItem>
    <reviewItem>
      <errorID>0759f3ab-7d8c-4f70-b017-340d6a25e883</errorID>
      <errorWord>)</errorWord>
      <group>L1_Format</group>
      <groupName>格式问题</groupName>
      <ability>L2_HalfPunc_CN</ability>
      <abilityName>全半角问题</abilityName>
      <candidateList>
        <item>）</item>
      </candidateList>
      <explain>文本全半角错误。</explain>
      <paraID>43B06B28</paraID>
      <start>3</start>
      <end>4</end>
      <status>unmodified</status>
      <modifiedWord/>
      <trackRevisions>false</trackRevisions>
    </reviewItem>
    <reviewItem>
      <errorID>b7199b3f-49d2-4830-a631-821623dc4cfe</errorID>
      <errorWord>(</errorWord>
      <group>L1_Format</group>
      <groupName>格式问题</groupName>
      <ability>L2_HalfPunc_CN</ability>
      <abilityName>全半角问题</abilityName>
      <candidateList>
        <item>（</item>
      </candidateList>
      <explain>文本全半角错误。</explain>
      <paraID>41B047C9</paraID>
      <start>8</start>
      <end>9</end>
      <status>unmodified</status>
      <modifiedWord/>
      <trackRevisions>false</trackRevisions>
    </reviewItem>
    <reviewItem>
      <errorID>c8cdc266-7890-42e4-84bc-4a248d16b7c7</errorID>
      <errorWord>)</errorWord>
      <group>L1_Format</group>
      <groupName>格式问题</groupName>
      <ability>L2_HalfPunc_CN</ability>
      <abilityName>全半角问题</abilityName>
      <candidateList>
        <item>）</item>
      </candidateList>
      <explain>文本全半角错误。</explain>
      <paraID>41B047C9</paraID>
      <start>16</start>
      <end>17</end>
      <status>unmodified</status>
      <modifiedWord/>
      <trackRevisions>false</trackRevisions>
    </reviewItem>
    <reviewItem>
      <errorID>c1089a0a-7eba-49a5-a6ff-122af0e6ea1c</errorID>
      <errorWord>(</errorWord>
      <group>L1_Format</group>
      <groupName>格式问题</groupName>
      <ability>L2_HalfPunc_CN</ability>
      <abilityName>全半角问题</abilityName>
      <candidateList>
        <item>（</item>
      </candidateList>
      <explain>文本全半角错误。</explain>
      <paraID>6D274C5E</paraID>
      <start>1</start>
      <end>2</end>
      <status>unmodified</status>
      <modifiedWord/>
      <trackRevisions>false</trackRevisions>
    </reviewItem>
    <reviewItem>
      <errorID>38191eae-1e4c-4d94-b3c6-1bc6eaca0bd0</errorID>
      <errorWord>)</errorWord>
      <group>L1_Format</group>
      <groupName>格式问题</groupName>
      <ability>L2_HalfPunc_CN</ability>
      <abilityName>全半角问题</abilityName>
      <candidateList>
        <item>）</item>
      </candidateList>
      <explain>文本全半角错误。</explain>
      <paraID>6D274C5E</paraID>
      <start>9</start>
      <end>10</end>
      <status>unmodified</status>
      <modifiedWord/>
      <trackRevisions>false</trackRevisions>
    </reviewItem>
    <reviewItem>
      <errorID>c96a8472-fc6d-432c-9709-161d991fa4ca</errorID>
      <errorWord>(</errorWord>
      <group>L1_Format</group>
      <groupName>格式问题</groupName>
      <ability>L2_HalfPunc_CN</ability>
      <abilityName>全半角问题</abilityName>
      <candidateList>
        <item>（</item>
      </candidateList>
      <explain>文本全半角错误。</explain>
      <paraID>1F7E9A02</paraID>
      <start>7</start>
      <end>8</end>
      <status>unmodified</status>
      <modifiedWord/>
      <trackRevisions>false</trackRevisions>
    </reviewItem>
    <reviewItem>
      <errorID>d5f906ac-518c-4ff8-a483-0a8411774d33</errorID>
      <errorWord>)</errorWord>
      <group>L1_Format</group>
      <groupName>格式问题</groupName>
      <ability>L2_HalfPunc_CN</ability>
      <abilityName>全半角问题</abilityName>
      <candidateList>
        <item>）</item>
      </candidateList>
      <explain>文本全半角错误。</explain>
      <paraID>4681EE35</paraID>
      <start>2</start>
      <end>3</end>
      <status>unmodified</status>
      <modifiedWord/>
      <trackRevisions>false</trackRevisions>
    </reviewItem>
    <reviewItem>
      <errorID>d0d4e3a8-d5c1-4a6e-8b77-ed40bf5fa9a6</errorID>
      <errorWord>(</errorWord>
      <group>L1_Format</group>
      <groupName>格式问题</groupName>
      <ability>L2_HalfPunc_CN</ability>
      <abilityName>全半角问题</abilityName>
      <candidateList>
        <item>（</item>
      </candidateList>
      <explain>文本全半角错误。</explain>
      <paraID>208FEBB4</paraID>
      <start>1</start>
      <end>2</end>
      <status>unmodified</status>
      <modifiedWord/>
      <trackRevisions>false</trackRevisions>
    </reviewItem>
    <reviewItem>
      <errorID>46ad0012-1d64-4b72-997b-c05a543ee832</errorID>
      <errorWord>)</errorWord>
      <group>L1_Format</group>
      <groupName>格式问题</groupName>
      <ability>L2_HalfPunc_CN</ability>
      <abilityName>全半角问题</abilityName>
      <candidateList>
        <item>）</item>
      </candidateList>
      <explain>文本全半角错误。</explain>
      <paraID>208FEBB4</paraID>
      <start>9</start>
      <end>10</end>
      <status>unmodified</status>
      <modifiedWord/>
      <trackRevisions>false</trackRevisions>
    </reviewItem>
    <reviewItem>
      <errorID>3347415e-9727-4be1-9297-77d8585b0fb3</errorID>
      <errorWord>(</errorWord>
      <group>L1_Format</group>
      <groupName>格式问题</groupName>
      <ability>L2_HalfPunc_CN</ability>
      <abilityName>全半角问题</abilityName>
      <candidateList>
        <item>（</item>
      </candidateList>
      <explain>文本全半角错误。</explain>
      <paraID>3B028CD5</paraID>
      <start>1</start>
      <end>2</end>
      <status>unmodified</status>
      <modifiedWord/>
      <trackRevisions>false</trackRevisions>
    </reviewItem>
    <reviewItem>
      <errorID>0ac7dc31-3e59-43a9-bb26-bd89064b83d8</errorID>
      <errorWord>)</errorWord>
      <group>L1_Format</group>
      <groupName>格式问题</groupName>
      <ability>L2_HalfPunc_CN</ability>
      <abilityName>全半角问题</abilityName>
      <candidateList>
        <item>）</item>
      </candidateList>
      <explain>文本全半角错误。</explain>
      <paraID>3B028CD5</paraID>
      <start>9</start>
      <end>10</end>
      <status>unmodified</status>
      <modifiedWord/>
      <trackRevisions>false</trackRevisions>
    </reviewItem>
    <reviewItem>
      <errorID>b3e01a43-61f7-4db0-b6aa-d3dde7b20d6d</errorID>
      <errorWord>(</errorWord>
      <group>L1_Format</group>
      <groupName>格式问题</groupName>
      <ability>L2_HalfPunc_CN</ability>
      <abilityName>全半角问题</abilityName>
      <candidateList>
        <item>（</item>
      </candidateList>
      <explain>文本全半角错误。</explain>
      <paraID>6CF6D483</paraID>
      <start>1</start>
      <end>2</end>
      <status>unmodified</status>
      <modifiedWord/>
      <trackRevisions>false</trackRevisions>
    </reviewItem>
    <reviewItem>
      <errorID>76597e06-8c8f-49ae-9684-f7b108dcb1a9</errorID>
      <errorWord>)</errorWord>
      <group>L1_Format</group>
      <groupName>格式问题</groupName>
      <ability>L2_HalfPunc_CN</ability>
      <abilityName>全半角问题</abilityName>
      <candidateList>
        <item>）</item>
      </candidateList>
      <explain>文本全半角错误。</explain>
      <paraID>6CF6D483</paraID>
      <start>9</start>
      <end>10</end>
      <status>unmodified</status>
      <modifiedWord/>
      <trackRevisions>false</trackRevisions>
    </reviewItem>
    <reviewItem>
      <errorID>2b631ca7-7a3e-46ad-9872-a555c4842504</errorID>
      <errorWord>(</errorWord>
      <group>L1_Format</group>
      <groupName>格式问题</groupName>
      <ability>L2_HalfPunc_CN</ability>
      <abilityName>全半角问题</abilityName>
      <candidateList>
        <item>（</item>
      </candidateList>
      <explain>文本全半角错误。</explain>
      <paraID>7D2E1D51</paraID>
      <start>1</start>
      <end>2</end>
      <status>unmodified</status>
      <modifiedWord/>
      <trackRevisions>false</trackRevisions>
    </reviewItem>
    <reviewItem>
      <errorID>e84b6ecf-63c7-444f-bd64-46343fc355be</errorID>
      <errorWord>)</errorWord>
      <group>L1_Format</group>
      <groupName>格式问题</groupName>
      <ability>L2_HalfPunc_CN</ability>
      <abilityName>全半角问题</abilityName>
      <candidateList>
        <item>）</item>
      </candidateList>
      <explain>文本全半角错误。</explain>
      <paraID>7D2E1D51</paraID>
      <start>9</start>
      <end>10</end>
      <status>unmodified</status>
      <modifiedWord/>
      <trackRevisions>false</trackRevisions>
    </reviewItem>
    <reviewItem>
      <errorID>4ff696c4-33e6-44fa-9e8c-b4bb4b0c8fca</errorID>
      <errorWord>(</errorWord>
      <group>L1_Format</group>
      <groupName>格式问题</groupName>
      <ability>L2_HalfPunc_CN</ability>
      <abilityName>全半角问题</abilityName>
      <candidateList>
        <item>（</item>
      </candidateList>
      <explain>文本全半角错误。</explain>
      <paraID>5B35ACBE</paraID>
      <start>1</start>
      <end>2</end>
      <status>unmodified</status>
      <modifiedWord/>
      <trackRevisions>false</trackRevisions>
    </reviewItem>
    <reviewItem>
      <errorID>9eb1a641-031f-4d07-96d0-4f1b4ef333e4</errorID>
      <errorWord>)</errorWord>
      <group>L1_Format</group>
      <groupName>格式问题</groupName>
      <ability>L2_HalfPunc_CN</ability>
      <abilityName>全半角问题</abilityName>
      <candidateList>
        <item>）</item>
      </candidateList>
      <explain>文本全半角错误。</explain>
      <paraID>5B35ACBE</paraID>
      <start>9</start>
      <end>10</end>
      <status>unmodified</status>
      <modifiedWord/>
      <trackRevisions>false</trackRevisions>
    </reviewItem>
    <reviewItem>
      <errorID>7e7a038e-ac31-46eb-961c-33f8b1b1d5e0</errorID>
      <errorWord>根据上述预测结果表明</errorWord>
      <group>L1_Grammar</group>
      <groupName>语法问题</groupName>
      <ability>L2_Grammar</ability>
      <abilityName>语法错误</abilityName>
      <candidateList>
        <item>根据上述预测</item>
      </candidateList>
      <explain>该表达中的“根据上述预测结果表明”存在语义重复。</explain>
      <paraID>610DAE67</paraID>
      <start>0</start>
      <end>10</end>
      <status>unmodified</status>
      <modifiedWord/>
      <trackRevisions>false</trackRevisions>
    </reviewItem>
    <reviewItem>
      <errorID>0b67a115-fa59-43d9-a01a-387d67705b65</errorID>
      <errorWord>侧</errorWord>
      <group>L1_Word</group>
      <groupName>字词问题</groupName>
      <ability>L2_Typo</ability>
      <abilityName>字词错误</abilityName>
      <candidateList>
        <item>侧设</item>
      </candidateList>
      <explain/>
      <paraID>220C5CB9</paraID>
      <start>26</start>
      <end>27</end>
      <status>unmodified</status>
      <modifiedWord/>
      <trackRevisions>false</trackRevisions>
    </reviewItem>
    <reviewItem>
      <errorID>039cd61e-9a61-4633-8bc6-250c9cce3106</errorID>
      <errorWord>项目在</errorWord>
      <group>L1_Word</group>
      <groupName>字词问题</groupName>
      <ability>L2_Typo</ability>
      <abilityName>字词错误</abilityName>
      <candidateList>
        <item>项目</item>
      </candidateList>
      <explain/>
      <paraID>16E52EFF</paraID>
      <start>5</start>
      <end>8</end>
      <status>unmodified</status>
      <modifiedWord/>
      <trackRevisions>false</trackRevisions>
    </reviewItem>
    <reviewItem>
      <errorID>ffe2a648-5869-42fd-98df-51322cb5e6dc</errorID>
      <errorWord>(</errorWord>
      <group>L1_Format</group>
      <groupName>格式问题</groupName>
      <ability>L2_HalfPunc_CN</ability>
      <abilityName>全半角问题</abilityName>
      <candidateList>
        <item>（</item>
      </candidateList>
      <explain>文本全半角错误。</explain>
      <paraID>3FDB32BA</paraID>
      <start>26</start>
      <end>27</end>
      <status>unmodified</status>
      <modifiedWord/>
      <trackRevisions>false</trackRevisions>
    </reviewItem>
    <reviewItem>
      <errorID>bf2ebea1-9630-4aec-918a-137015659b65</errorID>
      <errorWord>(</errorWord>
      <group>L1_Format</group>
      <groupName>格式问题</groupName>
      <ability>L2_HalfPunc_CN</ability>
      <abilityName>全半角问题</abilityName>
      <candidateList>
        <item>（</item>
      </candidateList>
      <explain>文本全半角错误。</explain>
      <paraID>22709E8B</paraID>
      <start>23</start>
      <end>24</end>
      <status>unmodified</status>
      <modifiedWord/>
      <trackRevisions>false</trackRevisions>
    </reviewItem>
    <reviewItem>
      <errorID>b8c48bd6-0a3f-49e7-9827-1288872d694e</errorID>
      <errorWord>),</errorWord>
      <group>L1_Format</group>
      <groupName>格式问题</groupName>
      <ability>L2_HalfPunc_CN</ability>
      <abilityName>全半角问题</abilityName>
      <candidateList>
        <item>），</item>
      </candidateList>
      <explain>文本全半角错误。</explain>
      <paraID>22709E8B</paraID>
      <start>27</start>
      <end>29</end>
      <status>unmodified</status>
      <modifiedWord/>
      <trackRevisions>false</trackRevisions>
    </reviewItem>
    <reviewItem>
      <errorID>102148da-8a92-425a-aaf8-d3b2b9ac29c6</errorID>
      <errorWord>惨杂</errorWord>
      <group>L1_Word</group>
      <groupName>字词问题</groupName>
      <ability>L2_Typo</ability>
      <abilityName>字词错误</abilityName>
      <candidateList>
        <item>掺杂</item>
      </candidateList>
      <explain>存在发音相同字词的误用。</explain>
      <paraID>284D0E9E</paraID>
      <start>51</start>
      <end>53</end>
      <status>unmodified</status>
      <modifiedWord/>
      <trackRevisions>false</trackRevisions>
    </reviewItem>
    <reviewItem>
      <errorID>35117dbb-60e2-465b-90e2-687fc68fdf33</errorID>
      <errorWord>~</errorWord>
      <group>L1_Format</group>
      <groupName>格式问题</groupName>
      <ability>L2_HalfPunc_CN</ability>
      <abilityName>全半角问题</abilityName>
      <candidateList>
        <item>～</item>
      </candidateList>
      <explain>文本全半角错误。</explain>
      <paraID>284D0E9E</paraID>
      <start>64</start>
      <end>65</end>
      <status>unmodified</status>
      <modifiedWord/>
      <trackRevisions>false</trackRevisions>
    </reviewItem>
    <reviewItem>
      <errorID>badc6498-c68f-4eec-a977-54a3d688454c</errorID>
      <errorWord>,</errorWord>
      <group>L1_Format</group>
      <groupName>格式问题</groupName>
      <ability>L2_HalfPunc_CN</ability>
      <abilityName>全半角问题</abilityName>
      <candidateList>
        <item>，</item>
      </candidateList>
      <explain>文本全半角错误。</explain>
      <paraID>284D0E9E</paraID>
      <start>69</start>
      <end>70</end>
      <status>unmodified</status>
      <modifiedWord/>
      <trackRevisions>false</trackRevisions>
    </reviewItem>
    <reviewItem>
      <errorID>4b3333f2-3224-4c47-9e44-d8909f947d43</errorID>
      <errorWord>(</errorWord>
      <group>L1_Format</group>
      <groupName>格式问题</groupName>
      <ability>L2_HalfPunc_CN</ability>
      <abilityName>全半角问题</abilityName>
      <candidateList>
        <item>（</item>
      </candidateList>
      <explain>文本全半角错误。</explain>
      <paraID>537A5F46</paraID>
      <start>5</start>
      <end>6</end>
      <status>unmodified</status>
      <modifiedWord/>
      <trackRevisions>false</trackRevisions>
    </reviewItem>
    <reviewItem>
      <errorID>61d3eb98-9f22-4e87-b63f-49e28ab05ef5</errorID>
      <errorWord>)</errorWord>
      <group>L1_Format</group>
      <groupName>格式问题</groupName>
      <ability>L2_HalfPunc_CN</ability>
      <abilityName>全半角问题</abilityName>
      <candidateList>
        <item>）</item>
      </candidateList>
      <explain>文本全半角错误。</explain>
      <paraID>537A5F46</paraID>
      <start>7</start>
      <end>8</end>
      <status>unmodified</status>
      <modifiedWord/>
      <trackRevisions>false</trackRevisions>
    </reviewItem>
    <reviewItem>
      <errorID>90ce0819-fa2b-4818-a2d6-187a52ee3d5d</errorID>
      <errorWord>,</errorWord>
      <group>L1_Format</group>
      <groupName>格式问题</groupName>
      <ability>L2_HalfPunc_CN</ability>
      <abilityName>全半角问题</abilityName>
      <candidateList>
        <item>，</item>
      </candidateList>
      <explain>文本全半角错误。</explain>
      <paraID>25573A0C</paraID>
      <start>133</start>
      <end>134</end>
      <status>unmodified</status>
      <modifiedWord/>
      <trackRevisions>false</trackRevisions>
    </reviewItem>
    <reviewItem>
      <errorID>e8185b15-e2f6-4cf8-8b80-f480567098d3</errorID>
      <errorWord>~</errorWord>
      <group>L1_Format</group>
      <groupName>格式问题</groupName>
      <ability>L2_HalfPunc_CN</ability>
      <abilityName>全半角问题</abilityName>
      <candidateList>
        <item>～</item>
      </candidateList>
      <explain>文本全半角错误。</explain>
      <paraID> 5D1841E</paraID>
      <start>3</start>
      <end>4</end>
      <status>unmodified</status>
      <modifiedWord/>
      <trackRevisions>false</trackRevisions>
    </reviewItem>
    <reviewItem>
      <errorID>0959f026-9a87-4cfe-b1ff-342968ce5e5e</errorID>
      <errorWord>,</errorWord>
      <group>L1_Format</group>
      <groupName>格式问题</groupName>
      <ability>L2_HalfPunc_CN</ability>
      <abilityName>全半角问题</abilityName>
      <candidateList>
        <item>，</item>
      </candidateList>
      <explain>文本全半角错误。</explain>
      <paraID>54EAC0E8</paraID>
      <start>15</start>
      <end>16</end>
      <status>unmodified</status>
      <modifiedWord/>
      <trackRevisions>false</trackRevisions>
    </reviewItem>
    <reviewItem>
      <errorID>47795a2f-69e1-4ff0-ba3d-74c5ede4a31d</errorID>
      <errorWord>,</errorWord>
      <group>L1_Format</group>
      <groupName>格式问题</groupName>
      <ability>L2_HalfPunc_CN</ability>
      <abilityName>全半角问题</abilityName>
      <candidateList>
        <item>，</item>
      </candidateList>
      <explain>文本全半角错误。</explain>
      <paraID>37A78472</paraID>
      <start>5</start>
      <end>6</end>
      <status>unmodified</status>
      <modifiedWord/>
      <trackRevisions>false</trackRevisions>
    </reviewItem>
    <reviewItem>
      <errorID>d18277af-d188-4ee0-9c6d-7bf3ea6056ef</errorID>
      <errorWord>,</errorWord>
      <group>L1_Format</group>
      <groupName>格式问题</groupName>
      <ability>L2_HalfPunc_CN</ability>
      <abilityName>全半角问题</abilityName>
      <candidateList>
        <item>，</item>
      </candidateList>
      <explain>文本全半角错误。</explain>
      <paraID>37A78472</paraID>
      <start>18</start>
      <end>19</end>
      <status>unmodified</status>
      <modifiedWord/>
      <trackRevisions>false</trackRevisions>
    </reviewItem>
    <reviewItem>
      <errorID>03680690-55b8-4526-a61e-525b4d9de3e5</errorID>
      <errorWord>(</errorWord>
      <group>L1_Format</group>
      <groupName>格式问题</groupName>
      <ability>L2_HalfPunc_CN</ability>
      <abilityName>全半角问题</abilityName>
      <candidateList>
        <item>（</item>
      </candidateList>
      <explain>文本全半角错误。</explain>
      <paraID>37A78472</paraID>
      <start>30</start>
      <end>31</end>
      <status>unmodified</status>
      <modifiedWord/>
      <trackRevisions>false</trackRevisions>
    </reviewItem>
    <reviewItem>
      <errorID>e1be1eba-5967-4fe6-989f-335b9b802384</errorID>
      <errorWord>),</errorWord>
      <group>L1_Format</group>
      <groupName>格式问题</groupName>
      <ability>L2_HalfPunc_CN</ability>
      <abilityName>全半角问题</abilityName>
      <candidateList>
        <item>），</item>
      </candidateList>
      <explain>文本全半角错误。</explain>
      <paraID>37A78472</paraID>
      <start>34</start>
      <end>36</end>
      <status>unmodified</status>
      <modifiedWord/>
      <trackRevisions>false</trackRevisions>
    </reviewItem>
    <reviewItem>
      <errorID>62911fcb-3461-4766-be61-ceed2bc77d5a</errorID>
      <errorWord>(</errorWord>
      <group>L1_Format</group>
      <groupName>格式问题</groupName>
      <ability>L2_HalfPunc_CN</ability>
      <abilityName>全半角问题</abilityName>
      <candidateList>
        <item>（</item>
      </candidateList>
      <explain>文本全半角错误。</explain>
      <paraID> BFCFCBD</paraID>
      <start>5</start>
      <end>6</end>
      <status>unmodified</status>
      <modifiedWord/>
      <trackRevisions>false</trackRevisions>
    </reviewItem>
    <reviewItem>
      <errorID>efc4215f-d597-4113-bc19-3c1fe42ba797</errorID>
      <errorWord>)</errorWord>
      <group>L1_Format</group>
      <groupName>格式问题</groupName>
      <ability>L2_HalfPunc_CN</ability>
      <abilityName>全半角问题</abilityName>
      <candidateList>
        <item>）</item>
      </candidateList>
      <explain>文本全半角错误。</explain>
      <paraID> BFCFCBD</paraID>
      <start>9</start>
      <end>10</end>
      <status>unmodified</status>
      <modifiedWord/>
      <trackRevisions>false</trackRevisions>
    </reviewItem>
    <reviewItem>
      <errorID>bdc291cd-bb53-4040-97ae-fc0d73cab454</errorID>
      <errorWord>(</errorWord>
      <group>L1_Format</group>
      <groupName>格式问题</groupName>
      <ability>L2_HalfPunc_CN</ability>
      <abilityName>全半角问题</abilityName>
      <candidateList>
        <item>（</item>
      </candidateList>
      <explain>文本全半角错误。</explain>
      <paraID> F5DA2D2</paraID>
      <start>22</start>
      <end>23</end>
      <status>unmodified</status>
      <modifiedWord/>
      <trackRevisions>false</trackRevisions>
    </reviewItem>
    <reviewItem>
      <errorID>496369ec-ba71-40e8-8687-d42d870fe86f</errorID>
      <errorWord>,</errorWord>
      <group>L1_Format</group>
      <groupName>格式问题</groupName>
      <ability>L2_HalfPunc_CN</ability>
      <abilityName>全半角问题</abilityName>
      <candidateList>
        <item>，</item>
      </candidateList>
      <explain>文本全半角错误。</explain>
      <paraID> F5DA2D2</paraID>
      <start>34</start>
      <end>35</end>
      <status>unmodified</status>
      <modifiedWord/>
      <trackRevisions>false</trackRevisions>
    </reviewItem>
    <reviewItem>
      <errorID>c25dbc2c-a6a3-433d-b630-9f81f609421e</errorID>
      <errorWord>)</errorWord>
      <group>L1_Format</group>
      <groupName>格式问题</groupName>
      <ability>L2_HalfPunc_CN</ability>
      <abilityName>全半角问题</abilityName>
      <candidateList>
        <item>）</item>
      </candidateList>
      <explain>文本全半角错误。</explain>
      <paraID> F5DA2D2</paraID>
      <start>48</start>
      <end>49</end>
      <status>unmodified</status>
      <modifiedWord/>
      <trackRevisions>false</trackRevisions>
    </reviewItem>
    <reviewItem>
      <errorID>9e5d2950-a642-4d43-9880-024affba4e7b</errorID>
      <errorWord>,</errorWord>
      <group>L1_Format</group>
      <groupName>格式问题</groupName>
      <ability>L2_HalfPunc_CN</ability>
      <abilityName>全半角问题</abilityName>
      <candidateList>
        <item>，</item>
      </candidateList>
      <explain>文本全半角错误。</explain>
      <paraID> F5DA2D2</paraID>
      <start>49</start>
      <end>50</end>
      <status>unmodified</status>
      <modifiedWord/>
      <trackRevisions>false</trackRevisions>
    </reviewItem>
    <reviewItem>
      <errorID>d9f7f69b-5c20-429b-8930-6fb8a7eee12a</errorID>
      <errorWord>(</errorWord>
      <group>L1_Format</group>
      <groupName>格式问题</groupName>
      <ability>L2_HalfPunc_CN</ability>
      <abilityName>全半角问题</abilityName>
      <candidateList>
        <item>（</item>
      </candidateList>
      <explain>文本全半角错误。</explain>
      <paraID> F5DA2D2</paraID>
      <start>64</start>
      <end>65</end>
      <status>unmodified</status>
      <modifiedWord/>
      <trackRevisions>false</trackRevisions>
    </reviewItem>
    <reviewItem>
      <errorID>08e65057-47d3-43c4-8689-44c13f6588e2</errorID>
      <errorWord>,</errorWord>
      <group>L1_Format</group>
      <groupName>格式问题</groupName>
      <ability>L2_HalfPunc_CN</ability>
      <abilityName>全半角问题</abilityName>
      <candidateList>
        <item>，</item>
      </candidateList>
      <explain>文本全半角错误。</explain>
      <paraID> F5DA2D2</paraID>
      <start>76</start>
      <end>77</end>
      <status>unmodified</status>
      <modifiedWord/>
      <trackRevisions>false</trackRevisions>
    </reviewItem>
    <reviewItem>
      <errorID>b515a8ed-ae5a-4d76-8638-5faa666f656d</errorID>
      <errorWord>)</errorWord>
      <group>L1_Format</group>
      <groupName>格式问题</groupName>
      <ability>L2_HalfPunc_CN</ability>
      <abilityName>全半角问题</abilityName>
      <candidateList>
        <item>）</item>
      </candidateList>
      <explain>文本全半角错误。</explain>
      <paraID> F5DA2D2</paraID>
      <start>90</start>
      <end>91</end>
      <status>unmodified</status>
      <modifiedWord/>
      <trackRevisions>false</trackRevisions>
    </reviewItem>
    <reviewItem>
      <errorID>1fb6f536-0ede-4d60-97f6-39b7e3c87d3b</errorID>
      <errorWord>,</errorWord>
      <group>L1_Format</group>
      <groupName>格式问题</groupName>
      <ability>L2_HalfPunc_CN</ability>
      <abilityName>全半角问题</abilityName>
      <candidateList>
        <item>，</item>
      </candidateList>
      <explain>文本全半角错误。</explain>
      <paraID> F5DA2D2</paraID>
      <start>91</start>
      <end>92</end>
      <status>unmodified</status>
      <modifiedWord/>
      <trackRevisions>false</trackRevisions>
    </reviewItem>
    <reviewItem>
      <errorID>264b8a7f-2c22-41d4-b88c-3aa4d0025b41</errorID>
      <errorWord>施在</errorWord>
      <group>L1_Word</group>
      <groupName>字词问题</groupName>
      <ability>L2_Typo</ability>
      <abilityName>字词错误</abilityName>
      <candidateList>
        <item>施工</item>
      </candidateList>
      <explain/>
      <paraID>14EDC5F2</paraID>
      <start>34</start>
      <end>36</end>
      <status>unmodified</status>
      <modifiedWord/>
      <trackRevisions>false</trackRevisions>
    </reviewItem>
    <reviewItem>
      <errorID>f7dde903-5444-49ea-bcd7-aaa62a455507</errorID>
      <errorWord>阳</errorWord>
      <group>L1_Word</group>
      <groupName>字词问题</groupName>
      <ability>L2_Typo</ability>
      <abilityName>字词错误</abilityName>
      <candidateList>
        <item>阳能</item>
      </candidateList>
      <explain/>
      <paraID> 577BDAF</paraID>
      <start>85</start>
      <end>86</end>
      <status>unmodified</status>
      <modifiedWord/>
      <trackRevisions>false</trackRevisions>
    </reviewItem>
    <reviewItem>
      <errorID>4a64e3b3-d03d-44e8-b6e0-e904ef599418</errorID>
      <errorWord>-</errorWord>
      <group>L1_Format</group>
      <groupName>格式问题</groupName>
      <ability>L2_HalfPunc_CN</ability>
      <abilityName>全半角问题</abilityName>
      <candidateList>
        <item>－</item>
      </candidateList>
      <explain>文本全半角错误。</explain>
      <paraID> 577BDAF</paraID>
      <start>135</start>
      <end>136</end>
      <status>unmodified</status>
      <modifiedWord/>
      <trackRevisions>false</trackRevisions>
    </reviewItem>
    <reviewItem>
      <errorID>97904b21-7d45-473a-8c5a-7c73c3ea98cd</errorID>
      <errorWord>-种</errorWord>
      <group>L1_Word</group>
      <groupName>字词问题</groupName>
      <ability>L2_Typo</ability>
      <abilityName>字词错误</abilityName>
      <candidateList>
        <item>一种</item>
      </candidateList>
      <explain/>
      <paraID> 4B206EA</paraID>
      <start>149</start>
      <end>151</end>
      <status>unmodified</status>
      <modifiedWord/>
      <trackRevisions>false</trackRevisions>
    </reviewItem>
    <reviewItem>
      <errorID>58cad52d-6953-4cf5-ab19-d737eed4d8c1</errorID>
      <errorWord>,</errorWord>
      <group>L1_Format</group>
      <groupName>格式问题</groupName>
      <ability>L2_HalfPunc_CN</ability>
      <abilityName>全半角问题</abilityName>
      <candidateList>
        <item>，</item>
      </candidateList>
      <explain>文本全半角错误。</explain>
      <paraID>32048BDD</paraID>
      <start>61</start>
      <end>62</end>
      <status>unmodified</status>
      <modifiedWord/>
      <trackRevisions>false</trackRevisions>
    </reviewItem>
    <reviewItem>
      <errorID>bb23a031-98ff-4fde-842d-78ece68cd1f2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7D14A530</paraID>
      <start>0</start>
      <end>3</end>
      <status>unmodified</status>
      <modifiedWord/>
      <trackRevisions>false</trackRevisions>
    </reviewItem>
    <reviewItem>
      <errorID>bf59c502-e605-441b-aa37-0e940fdba0db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20E1A2BA</paraID>
      <start>0</start>
      <end>3</end>
      <status>unmodified</status>
      <modifiedWord/>
      <trackRevisions>false</trackRevisions>
    </reviewItem>
    <reviewItem>
      <errorID>a31b1cca-b50b-4af6-a2af-a3a6d47555b4</errorID>
      <errorWord>遮荫</errorWord>
      <group>L1_Word</group>
      <groupName>字词问题</groupName>
      <ability>L2_Typo</ability>
      <abilityName>字词错误</abilityName>
      <candidateList>
        <item>遮阴</item>
      </candidateList>
      <explain>存在发音相同字词的误用。</explain>
      <paraID>65C39915</paraID>
      <start>31</start>
      <end>33</end>
      <status>unmodified</status>
      <modifiedWord/>
      <trackRevisions>false</trackRevisions>
    </reviewItem>
    <reviewItem>
      <errorID>af5ac322-9dfd-4f47-a9bc-abd8406b031f</errorID>
      <errorWord>(</errorWord>
      <group>L1_Format</group>
      <groupName>格式问题</groupName>
      <ability>L2_HalfPunc_CN</ability>
      <abilityName>全半角问题</abilityName>
      <candidateList>
        <item>（</item>
      </candidateList>
      <explain>文本全半角错误。</explain>
      <paraID>14239B0D</paraID>
      <start>202</start>
      <end>203</end>
      <status>unmodified</status>
      <modifiedWord/>
      <trackRevisions>false</trackRevisions>
    </reviewItem>
    <reviewItem>
      <errorID>dd334c5a-44e7-4004-9014-255c65216fd1</errorID>
      <errorWord>)</errorWord>
      <group>L1_Format</group>
      <groupName>格式问题</groupName>
      <ability>L2_HalfPunc_CN</ability>
      <abilityName>全半角问题</abilityName>
      <candidateList>
        <item>）</item>
      </candidateList>
      <explain>文本全半角错误。</explain>
      <paraID>14239B0D</paraID>
      <start>210</start>
      <end>211</end>
      <status>unmodified</status>
      <modifiedWord/>
      <trackRevisions>false</trackRevisions>
    </reviewItem>
    <reviewItem>
      <errorID>b4a2e529-adc5-448a-b276-c3afa1697074</errorID>
      <errorWord>(</errorWord>
      <group>L1_Format</group>
      <groupName>格式问题</groupName>
      <ability>L2_HalfPunc_CN</ability>
      <abilityName>全半角问题</abilityName>
      <candidateList>
        <item>（</item>
      </candidateList>
      <explain>文本全半角错误。</explain>
      <paraID>14239B0D</paraID>
      <start>262</start>
      <end>263</end>
      <status>unmodified</status>
      <modifiedWord/>
      <trackRevisions>false</trackRevisions>
    </reviewItem>
    <reviewItem>
      <errorID>da72034d-417a-420f-8e2b-296b57ed2e98</errorID>
      <errorWord>)</errorWord>
      <group>L1_Format</group>
      <groupName>格式问题</groupName>
      <ability>L2_HalfPunc_CN</ability>
      <abilityName>全半角问题</abilityName>
      <candidateList>
        <item>）</item>
      </candidateList>
      <explain>文本全半角错误。</explain>
      <paraID>14239B0D</paraID>
      <start>270</start>
      <end>271</end>
      <status>unmodified</status>
      <modifiedWord/>
      <trackRevisions>false</trackRevisions>
    </reviewItem>
    <reviewItem>
      <errorID>72cc6545-3ff8-465f-a96a-b4bba0e06a07</errorID>
      <errorWord>反射反射</errorWord>
      <group>L1_Word</group>
      <groupName>字词问题</groupName>
      <ability>L2_Typo</ability>
      <abilityName>字词错误</abilityName>
      <candidateList>
        <item>反射</item>
      </candidateList>
      <explain/>
      <paraID>63A1278B</paraID>
      <start>275</start>
      <end>279</end>
      <status>unmodified</status>
      <modifiedWord/>
      <trackRevisions>false</trackRevisions>
    </reviewItem>
    <reviewItem>
      <errorID>682fc997-38e0-4e5a-aff0-c343da2bc31e</errorID>
      <errorWord>利</errorWord>
      <group>L1_Word</group>
      <groupName>字词问题</groupName>
      <ability>L2_Typo</ability>
      <abilityName>字词错误</abilityName>
      <candidateList>
        <item>利用</item>
      </candidateList>
      <explain/>
      <paraID>2ACC77C3</paraID>
      <start>37</start>
      <end>38</end>
      <status>unmodified</status>
      <modifiedWord/>
      <trackRevisions>false</trackRevisions>
    </reviewItem>
    <reviewItem>
      <errorID>5f0f1c5a-3757-428a-b193-08e17f9a7614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72F3E3BB</paraID>
      <start>0</start>
      <end>3</end>
      <status>unmodified</status>
      <modifiedWord/>
      <trackRevisions>false</trackRevisions>
    </reviewItem>
    <reviewItem>
      <errorID>ad63cea8-523e-46a9-929b-f7a35b97588b</errorID>
      <errorWord>使用用</errorWord>
      <group>L1_Word</group>
      <groupName>字词问题</groupName>
      <ability>L2_Typo</ability>
      <abilityName>字词错误</abilityName>
      <candidateList>
        <item>使用</item>
      </candidateList>
      <explain/>
      <paraID>108F686E</paraID>
      <start>42</start>
      <end>45</end>
      <status>unmodified</status>
      <modifiedWord/>
      <trackRevisions>false</trackRevisions>
    </reviewItem>
    <reviewItem>
      <errorID>75effd24-71ac-4e83-8a0f-16d3b863b717</errorID>
      <errorWord>,</errorWord>
      <group>L1_Format</group>
      <groupName>格式问题</groupName>
      <ability>L2_HalfPunc_CN</ability>
      <abilityName>全半角问题</abilityName>
      <candidateList>
        <item>，</item>
      </candidateList>
      <explain>文本全半角错误。</explain>
      <paraID>108F686E</paraID>
      <start>122</start>
      <end>123</end>
      <status>unmodified</status>
      <modifiedWord/>
      <trackRevisions>false</trackRevisions>
    </reviewItem>
    <reviewItem>
      <errorID>db833a45-01b8-4340-bb49-459eb3210921</errorID>
      <errorWord>,</errorWord>
      <group>L1_Format</group>
      <groupName>格式问题</groupName>
      <ability>L2_HalfPunc_CN</ability>
      <abilityName>全半角问题</abilityName>
      <candidateList>
        <item>，</item>
      </candidateList>
      <explain>文本全半角错误。</explain>
      <paraID>2AFC6127</paraID>
      <start>18</start>
      <end>19</end>
      <status>unmodified</status>
      <modifiedWord/>
      <trackRevisions>false</trackRevisions>
    </reviewItem>
    <reviewItem>
      <errorID>91e24f12-d171-48bd-81a7-861adbfecce4</errorID>
      <errorWord>,</errorWord>
      <group>L1_Format</group>
      <groupName>格式问题</groupName>
      <ability>L2_HalfPunc_CN</ability>
      <abilityName>全半角问题</abilityName>
      <candidateList>
        <item>，</item>
      </candidateList>
      <explain>文本全半角错误。</explain>
      <paraID>2AFC6127</paraID>
      <start>36</start>
      <end>37</end>
      <status>unmodified</status>
      <modifiedWord/>
      <trackRevisions>false</trackRevisions>
    </reviewItem>
    <reviewItem>
      <errorID>3ae6d0bd-7cec-48b2-be87-82709664f4d3</errorID>
      <errorWord>,</errorWord>
      <group>L1_Format</group>
      <groupName>格式问题</groupName>
      <ability>L2_HalfPunc_CN</ability>
      <abilityName>全半角问题</abilityName>
      <candidateList>
        <item>，</item>
      </candidateList>
      <explain>文本全半角错误。</explain>
      <paraID>47E0773B</paraID>
      <start>10</start>
      <end>11</end>
      <status>unmodified</status>
      <modifiedWord/>
      <trackRevisions>false</trackRevisions>
    </reviewItem>
    <reviewItem>
      <errorID>040ee414-dec3-4b92-9299-30308eb1192e</errorID>
      <errorWord>,</errorWord>
      <group>L1_Format</group>
      <groupName>格式问题</groupName>
      <ability>L2_HalfPunc_CN</ability>
      <abilityName>全半角问题</abilityName>
      <candidateList>
        <item>，</item>
      </candidateList>
      <explain>文本全半角错误。</explain>
      <paraID>47E0773B</paraID>
      <start>81</start>
      <end>82</end>
      <status>unmodified</status>
      <modifiedWord/>
      <trackRevisions>false</trackRevisions>
    </reviewItem>
    <reviewItem>
      <errorID>d15eaa7d-daf3-4286-9f04-4bddeb9b0e2e</errorID>
      <errorWord>,</errorWord>
      <group>L1_Format</group>
      <groupName>格式问题</groupName>
      <ability>L2_HalfPunc_CN</ability>
      <abilityName>全半角问题</abilityName>
      <candidateList>
        <item>，</item>
      </candidateList>
      <explain>文本全半角错误。</explain>
      <paraID>47E0773B</paraID>
      <start>127</start>
      <end>128</end>
      <status>unmodified</status>
      <modifiedWord/>
      <trackRevisions>false</trackRevisions>
    </reviewItem>
    <reviewItem>
      <errorID>c10c648b-6d8d-4710-ac2b-88c311f72739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10B44D15</paraID>
      <start>0</start>
      <end>3</end>
      <status>unmodified</status>
      <modifiedWord/>
      <trackRevisions>false</trackRevisions>
    </reviewItem>
    <reviewItem>
      <errorID>eb7500f1-d704-42b1-a552-c6b76349df9f</errorID>
      <errorWord>,</errorWord>
      <group>L1_Format</group>
      <groupName>格式问题</groupName>
      <ability>L2_HalfPunc_CN</ability>
      <abilityName>全半角问题</abilityName>
      <candidateList>
        <item>，</item>
      </candidateList>
      <explain>文本全半角错误。</explain>
      <paraID>2CD6EDE0</paraID>
      <start>17</start>
      <end>18</end>
      <status>unmodified</status>
      <modifiedWord/>
      <trackRevisions>false</trackRevisions>
    </reviewItem>
    <reviewItem>
      <errorID>0fdb8f82-2e96-4cce-9eb9-275c27aa572b</errorID>
      <errorWord>,</errorWord>
      <group>L1_Format</group>
      <groupName>格式问题</groupName>
      <ability>L2_HalfPunc_CN</ability>
      <abilityName>全半角问题</abilityName>
      <candidateList>
        <item>，</item>
      </candidateList>
      <explain>文本全半角错误。</explain>
      <paraID>2CD6EDE0</paraID>
      <start>34</start>
      <end>35</end>
      <status>unmodified</status>
      <modifiedWord/>
      <trackRevisions>false</trackRevisions>
    </reviewItem>
    <reviewItem>
      <errorID>528193fa-8fc7-47dd-8d89-830dfe8f62a6</errorID>
      <errorWord>,</errorWord>
      <group>L1_Format</group>
      <groupName>格式问题</groupName>
      <ability>L2_HalfPunc_CN</ability>
      <abilityName>全半角问题</abilityName>
      <candidateList>
        <item>，</item>
      </candidateList>
      <explain>文本全半角错误。</explain>
      <paraID>7EAD62DB</paraID>
      <start>18</start>
      <end>19</end>
      <status>unmodified</status>
      <modifiedWord/>
      <trackRevisions>false</trackRevisions>
    </reviewItem>
    <reviewItem>
      <errorID>4bee53c1-585d-4f2a-8334-4a4abb790511</errorID>
      <errorWord>其它</errorWord>
      <group>L1_Word</group>
      <groupName>字词问题</groupName>
      <ability>L2_Alias</ability>
      <abilityName>也作/曾用词</abilityName>
      <candidateList>
        <item>其他</item>
      </candidateList>
      <explain>词汇[其它]为不规范表述或旧称，其规范书面表述为[其他]。</explain>
      <paraID>7EAD62DB</paraID>
      <start>42</start>
      <end>44</end>
      <status>unmodified</status>
      <modifiedWord/>
      <trackRevisions>false</trackRevisions>
    </reviewItem>
    <reviewItem>
      <errorID>e5777066-fadc-4302-919e-62f1a80ccdc2</errorID>
      <errorWord>(</errorWord>
      <group>L1_Format</group>
      <groupName>格式问题</groupName>
      <ability>L2_HalfPunc_CN</ability>
      <abilityName>全半角问题</abilityName>
      <candidateList>
        <item>（</item>
      </candidateList>
      <explain>文本全半角错误。</explain>
      <paraID>73FCE232</paraID>
      <start>17</start>
      <end>18</end>
      <status>unmodified</status>
      <modifiedWord/>
      <trackRevisions>false</trackRevisions>
    </reviewItem>
    <reviewItem>
      <errorID>680ca7a6-9962-4699-9268-2d6fd996b3ae</errorID>
      <errorWord>)</errorWord>
      <group>L1_Format</group>
      <groupName>格式问题</groupName>
      <ability>L2_HalfPunc_CN</ability>
      <abilityName>全半角问题</abilityName>
      <candidateList>
        <item>）</item>
      </candidateList>
      <explain>文本全半角错误。</explain>
      <paraID>73FCE232</paraID>
      <start>23</start>
      <end>24</end>
      <status>unmodified</status>
      <modifiedWord/>
      <trackRevisions>false</trackRevisions>
    </reviewItem>
    <reviewItem>
      <errorID>f2bfd16c-94e2-45c8-9f94-52c49c7cb631</errorID>
      <errorWord>,</errorWord>
      <group>L1_Format</group>
      <groupName>格式问题</groupName>
      <ability>L2_HalfPunc_CN</ability>
      <abilityName>全半角问题</abilityName>
      <candidateList>
        <item>，</item>
      </candidateList>
      <explain>文本全半角错误。</explain>
      <paraID>3DCA9F25</paraID>
      <start>8</start>
      <end>9</end>
      <status>unmodified</status>
      <modifiedWord/>
      <trackRevisions>false</trackRevisions>
    </reviewItem>
    <reviewItem>
      <errorID>354492b1-84c0-4dfd-856e-eea954853a7d</errorID>
      <errorWord>(</errorWord>
      <group>L1_Format</group>
      <groupName>格式问题</groupName>
      <ability>L2_HalfPunc_CN</ability>
      <abilityName>全半角问题</abilityName>
      <candidateList>
        <item>（</item>
      </candidateList>
      <explain>文本全半角错误。</explain>
      <paraID>7DA81DA2</paraID>
      <start>32</start>
      <end>33</end>
      <status>unmodified</status>
      <modifiedWord/>
      <trackRevisions>false</trackRevisions>
    </reviewItem>
    <reviewItem>
      <errorID>8e40fb2e-9251-4f98-918c-8e0cf1f0f547</errorID>
      <errorWord>)</errorWord>
      <group>L1_Format</group>
      <groupName>格式问题</groupName>
      <ability>L2_HalfPunc_CN</ability>
      <abilityName>全半角问题</abilityName>
      <candidateList>
        <item>）</item>
      </candidateList>
      <explain>文本全半角错误。</explain>
      <paraID>7DA81DA2</paraID>
      <start>37</start>
      <end>38</end>
      <status>unmodified</status>
      <modifiedWord/>
      <trackRevisions>false</trackRevisions>
    </reviewItem>
    <reviewItem>
      <errorID>4d38e9a4-610a-4676-9181-9b22bdd0d1c9</errorID>
      <errorWord>计</errorWord>
      <group>L1_Word</group>
      <groupName>字词问题</groupName>
      <ability>L2_Typo</ability>
      <abilityName>字词错误</abilityName>
      <candidateList>
        <item>计算</item>
      </candidateList>
      <explain/>
      <paraID>7DA81DA2</paraID>
      <start>39</start>
      <end>40</end>
      <status>unmodified</status>
      <modifiedWord/>
      <trackRevisions>false</trackRevisions>
    </reviewItem>
    <reviewItem>
      <errorID>6cfd8595-0b29-4a85-a6b7-188578ad550f</errorID>
      <errorWord>,</errorWord>
      <group>L1_Format</group>
      <groupName>格式问题</groupName>
      <ability>L2_HalfPunc_CN</ability>
      <abilityName>全半角问题</abilityName>
      <candidateList>
        <item>，</item>
      </candidateList>
      <explain>文本全半角错误。</explain>
      <paraID>7DA81DA2</paraID>
      <start>70</start>
      <end>71</end>
      <status>unmodified</status>
      <modifiedWord/>
      <trackRevisions>false</trackRevisions>
    </reviewItem>
    <reviewItem>
      <errorID>0766b47c-011b-4b25-8ba0-afe72fe123b6</errorID>
      <errorWord>其它生活</errorWord>
      <group>L1_Word</group>
      <groupName>字词问题</groupName>
      <ability>L2_Alias</ability>
      <abilityName>也作/曾用词</abilityName>
      <candidateList>
        <item>其他生活</item>
      </candidateList>
      <explain>词汇[其它生活]为不规范表述或旧称，其规范书面表述为[其他生活]。</explain>
      <paraID>7DA81DA2</paraID>
      <start>110</start>
      <end>114</end>
      <status>unmodified</status>
      <modifiedWord/>
      <trackRevisions>false</trackRevisions>
    </reviewItem>
    <reviewItem>
      <errorID>2fdcede1-be3b-4da7-b214-a24f7fb02e87</errorID>
      <errorWord>(</errorWord>
      <group>L1_Format</group>
      <groupName>格式问题</groupName>
      <ability>L2_HalfPunc_CN</ability>
      <abilityName>全半角问题</abilityName>
      <candidateList>
        <item>（</item>
      </candidateList>
      <explain>文本全半角错误。</explain>
      <paraID>2DFD0C0C</paraID>
      <start>2</start>
      <end>3</end>
      <status>unmodified</status>
      <modifiedWord/>
      <trackRevisions>false</trackRevisions>
    </reviewItem>
    <reviewItem>
      <errorID>401d0ef9-8290-489f-a8f8-4cccaba56a6c</errorID>
      <errorWord>)</errorWord>
      <group>L1_Format</group>
      <groupName>格式问题</groupName>
      <ability>L2_HalfPunc_CN</ability>
      <abilityName>全半角问题</abilityName>
      <candidateList>
        <item>）</item>
      </candidateList>
      <explain>文本全半角错误。</explain>
      <paraID>2DFD0C0C</paraID>
      <start>7</start>
      <end>8</end>
      <status>unmodified</status>
      <modifiedWord/>
      <trackRevisions>false</trackRevisions>
    </reviewItem>
    <reviewItem>
      <errorID>0638a598-f90c-4583-abb4-17e7a545aefa</errorID>
      <errorWord>(</errorWord>
      <group>L1_Format</group>
      <groupName>格式问题</groupName>
      <ability>L2_HalfPunc_CN</ability>
      <abilityName>全半角问题</abilityName>
      <candidateList>
        <item>（</item>
      </candidateList>
      <explain>文本全半角错误。</explain>
      <paraID>1EA33D48</paraID>
      <start>50</start>
      <end>51</end>
      <status>unmodified</status>
      <modifiedWord/>
      <trackRevisions>false</trackRevisions>
    </reviewItem>
    <reviewItem>
      <errorID>80df2fb8-619d-479a-9dff-7c898632a981</errorID>
      <errorWord>)</errorWord>
      <group>L1_Format</group>
      <groupName>格式问题</groupName>
      <ability>L2_HalfPunc_CN</ability>
      <abilityName>全半角问题</abilityName>
      <candidateList>
        <item>）</item>
      </candidateList>
      <explain>文本全半角错误。</explain>
      <paraID>1EA33D48</paraID>
      <start>65</start>
      <end>66</end>
      <status>unmodified</status>
      <modifiedWord/>
      <trackRevisions>false</trackRevisions>
    </reviewItem>
    <reviewItem>
      <errorID>3cbe0100-7633-427f-b64a-ce89d6545ad2</errorID>
      <errorWord>,</errorWord>
      <group>L1_Format</group>
      <groupName>格式问题</groupName>
      <ability>L2_HalfPunc_CN</ability>
      <abilityName>全半角问题</abilityName>
      <candidateList>
        <item>，</item>
      </candidateList>
      <explain>文本全半角错误。</explain>
      <paraID>1EA33D48</paraID>
      <start>66</start>
      <end>67</end>
      <status>unmodified</status>
      <modifiedWord/>
      <trackRevisions>false</trackRevisions>
    </reviewItem>
    <reviewItem>
      <errorID>cc01496f-6621-42fc-a421-caddc1fce099</errorID>
      <errorWord>(</errorWord>
      <group>L1_Format</group>
      <groupName>格式问题</groupName>
      <ability>L2_HalfPunc_CN</ability>
      <abilityName>全半角问题</abilityName>
      <candidateList>
        <item>（</item>
      </candidateList>
      <explain>文本全半角错误。</explain>
      <paraID>67C3C7EC</paraID>
      <start>21</start>
      <end>22</end>
      <status>unmodified</status>
      <modifiedWord/>
      <trackRevisions>false</trackRevisions>
    </reviewItem>
    <reviewItem>
      <errorID>d0c8cf07-2ed0-47d4-afa8-cda59bf7de19</errorID>
      <errorWord>)</errorWord>
      <group>L1_Format</group>
      <groupName>格式问题</groupName>
      <ability>L2_HalfPunc_CN</ability>
      <abilityName>全半角问题</abilityName>
      <candidateList>
        <item>）</item>
      </candidateList>
      <explain>文本全半角错误。</explain>
      <paraID>67C3C7EC</paraID>
      <start>36</start>
      <end>37</end>
      <status>unmodified</status>
      <modifiedWord/>
      <trackRevisions>false</trackRevisions>
    </reviewItem>
    <reviewItem>
      <errorID>f615cb8e-aa47-46c1-8d54-bdc98a1e131d</errorID>
      <errorWord>(</errorWord>
      <group>L1_Format</group>
      <groupName>格式问题</groupName>
      <ability>L2_HalfPunc_CN</ability>
      <abilityName>全半角问题</abilityName>
      <candidateList>
        <item>（</item>
      </candidateList>
      <explain>文本全半角错误。</explain>
      <paraID>6F2493C3</paraID>
      <start>19</start>
      <end>20</end>
      <status>unmodified</status>
      <modifiedWord/>
      <trackRevisions>false</trackRevisions>
    </reviewItem>
    <reviewItem>
      <errorID>09b9a43c-57ae-4147-9ac7-873b74f74aa0</errorID>
      <errorWord>规模边</errorWord>
      <group>L1_Word</group>
      <groupName>字词问题</groupName>
      <ability>L2_Typo</ability>
      <abilityName>字词错误</abilityName>
      <candidateList>
        <item>规模</item>
      </candidateList>
      <explain/>
      <paraID>6F2493C3</paraID>
      <start>22</start>
      <end>25</end>
      <status>unmodified</status>
      <modifiedWord/>
      <trackRevisions>false</trackRevisions>
    </reviewItem>
    <reviewItem>
      <errorID>6da5b5fa-3dd0-4c18-92ef-fde8c678e06f</errorID>
      <errorWord>)</errorWord>
      <group>L1_Format</group>
      <groupName>格式问题</groupName>
      <ability>L2_HalfPunc_CN</ability>
      <abilityName>全半角问题</abilityName>
      <candidateList>
        <item>）</item>
      </candidateList>
      <explain>文本全半角错误。</explain>
      <paraID>6F2493C3</paraID>
      <start>35</start>
      <end>36</end>
      <status>unmodified</status>
      <modifiedWord/>
      <trackRevisions>false</trackRevisions>
    </reviewItem>
    <reviewItem>
      <errorID>fabb4b29-0552-40ca-b051-f0ffcabb6416</errorID>
      <errorWord>(</errorWord>
      <group>L1_Format</group>
      <groupName>格式问题</groupName>
      <ability>L2_HalfPunc_CN</ability>
      <abilityName>全半角问题</abilityName>
      <candidateList>
        <item>（</item>
      </candidateList>
      <explain>文本全半角错误。</explain>
      <paraID>6F2493C3</paraID>
      <start>63</start>
      <end>64</end>
      <status>unmodified</status>
      <modifiedWord/>
      <trackRevisions>false</trackRevisions>
    </reviewItem>
    <reviewItem>
      <errorID>b6b780ef-687f-44a3-b580-6b38be402ecc</errorID>
      <errorWord>)</errorWord>
      <group>L1_Format</group>
      <groupName>格式问题</groupName>
      <ability>L2_HalfPunc_CN</ability>
      <abilityName>全半角问题</abilityName>
      <candidateList>
        <item>）</item>
      </candidateList>
      <explain>文本全半角错误。</explain>
      <paraID>6F2493C3</paraID>
      <start>78</start>
      <end>79</end>
      <status>unmodified</status>
      <modifiedWord/>
      <trackRevisions>false</trackRevisions>
    </reviewItem>
    <reviewItem>
      <errorID>5c90e059-7bc0-4201-845c-c2a74982847e</errorID>
      <errorWord>(</errorWord>
      <group>L1_Format</group>
      <groupName>格式问题</groupName>
      <ability>L2_HalfPunc_CN</ability>
      <abilityName>全半角问题</abilityName>
      <candidateList>
        <item>（</item>
      </candidateList>
      <explain>文本全半角错误。</explain>
      <paraID>1DE5027C</paraID>
      <start>23</start>
      <end>24</end>
      <status>unmodified</status>
      <modifiedWord/>
      <trackRevisions>false</trackRevisions>
    </reviewItem>
    <reviewItem>
      <errorID>2deac60e-bfa4-4f4f-b492-c8cf37b6b0b7</errorID>
      <errorWord>)</errorWord>
      <group>L1_Format</group>
      <groupName>格式问题</groupName>
      <ability>L2_HalfPunc_CN</ability>
      <abilityName>全半角问题</abilityName>
      <candidateList>
        <item>）</item>
      </candidateList>
      <explain>文本全半角错误。</explain>
      <paraID>1DE5027C</paraID>
      <start>36</start>
      <end>37</end>
      <status>unmodified</status>
      <modifiedWord/>
      <trackRevisions>false</trackRevisions>
    </reviewItem>
    <reviewItem>
      <errorID>298ea0ee-592f-496d-8a53-de500eca9182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6EEAD9CF</paraID>
      <start>0</start>
      <end>3</end>
      <status>unmodified</status>
      <modifiedWord/>
      <trackRevisions>false</trackRevisions>
    </reviewItem>
    <reviewItem>
      <errorID>8ad5813b-9a06-4089-923d-c367eeefa25c</errorID>
      <errorWord>,</errorWord>
      <group>L1_Format</group>
      <groupName>格式问题</groupName>
      <ability>L2_HalfPunc_CN</ability>
      <abilityName>全半角问题</abilityName>
      <candidateList>
        <item>，</item>
      </candidateList>
      <explain>文本全半角错误。</explain>
      <paraID>26AC8C96</paraID>
      <start>23</start>
      <end>24</end>
      <status>unmodified</status>
      <modifiedWord/>
      <trackRevisions>false</trackRevisions>
    </reviewItem>
    <reviewItem>
      <errorID>64c3e439-114e-475e-99be-9dcc1b642d0b</errorID>
      <errorWord>(</errorWord>
      <group>L1_Format</group>
      <groupName>格式问题</groupName>
      <ability>L2_HalfPunc_CN</ability>
      <abilityName>全半角问题</abilityName>
      <candidateList>
        <item>（</item>
      </candidateList>
      <explain>文本全半角错误。</explain>
      <paraID>26AC8C96</paraID>
      <start>44</start>
      <end>45</end>
      <status>unmodified</status>
      <modifiedWord/>
      <trackRevisions>false</trackRevisions>
    </reviewItem>
    <reviewItem>
      <errorID>81c4276d-6872-4229-b035-c6909f1a752e</errorID>
      <errorWord>)</errorWord>
      <group>L1_Format</group>
      <groupName>格式问题</groupName>
      <ability>L2_HalfPunc_CN</ability>
      <abilityName>全半角问题</abilityName>
      <candidateList>
        <item>）</item>
      </candidateList>
      <explain>文本全半角错误。</explain>
      <paraID>26AC8C96</paraID>
      <start>60</start>
      <end>61</end>
      <status>unmodified</status>
      <modifiedWord/>
      <trackRevisions>false</trackRevisions>
    </reviewItem>
    <reviewItem>
      <errorID>a61432e8-1fe6-4d1a-a4d0-5758027024e1</errorID>
      <errorWord>,</errorWord>
      <group>L1_Format</group>
      <groupName>格式问题</groupName>
      <ability>L2_HalfPunc_CN</ability>
      <abilityName>全半角问题</abilityName>
      <candidateList>
        <item>，</item>
      </candidateList>
      <explain>文本全半角错误。</explain>
      <paraID>4E58FB48</paraID>
      <start>17</start>
      <end>18</end>
      <status>unmodified</status>
      <modifiedWord/>
      <trackRevisions>false</trackRevisions>
    </reviewItem>
    <reviewItem>
      <errorID>99811182-1cff-48c6-8296-8d057b7ea448</errorID>
      <errorWord>(</errorWord>
      <group>L1_Format</group>
      <groupName>格式问题</groupName>
      <ability>L2_HalfPunc_CN</ability>
      <abilityName>全半角问题</abilityName>
      <candidateList>
        <item>（</item>
      </candidateList>
      <explain>文本全半角错误。</explain>
      <paraID>4E58FB48</paraID>
      <start>39</start>
      <end>40</end>
      <status>unmodified</status>
      <modifiedWord/>
      <trackRevisions>false</trackRevisions>
    </reviewItem>
    <reviewItem>
      <errorID>45ea5aeb-85b5-4556-87fe-38e341c25c92</errorID>
      <errorWord>)</errorWord>
      <group>L1_Format</group>
      <groupName>格式问题</groupName>
      <ability>L2_HalfPunc_CN</ability>
      <abilityName>全半角问题</abilityName>
      <candidateList>
        <item>）</item>
      </candidateList>
      <explain>文本全半角错误。</explain>
      <paraID>4E58FB48</paraID>
      <start>54</start>
      <end>55</end>
      <status>unmodified</status>
      <modifiedWord/>
      <trackRevisions>false</trackRevisions>
    </reviewItem>
    <reviewItem>
      <errorID>07fc359f-e08c-4097-898f-7c30dc80ab47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F583A14</paraID>
      <start>0</start>
      <end>3</end>
      <status>unmodified</status>
      <modifiedWord/>
      <trackRevisions>false</trackRevisions>
    </reviewItem>
    <reviewItem>
      <errorID>06900d83-dbd2-4c5d-ab17-78ab5c8c70ed</errorID>
      <errorWord>,</errorWord>
      <group>L1_Format</group>
      <groupName>格式问题</groupName>
      <ability>L2_HalfPunc_CN</ability>
      <abilityName>全半角问题</abilityName>
      <candidateList>
        <item>，</item>
      </candidateList>
      <explain>文本全半角错误。</explain>
      <paraID> D2A6D62</paraID>
      <start>44</start>
      <end>45</end>
      <status>unmodified</status>
      <modifiedWord/>
      <trackRevisions>false</trackRevisions>
    </reviewItem>
    <reviewItem>
      <errorID>0bee3cde-8de4-4165-8fab-7421556fc3b2</errorID>
      <errorWord>(</errorWord>
      <group>L1_Format</group>
      <groupName>格式问题</groupName>
      <ability>L2_HalfPunc_CN</ability>
      <abilityName>全半角问题</abilityName>
      <candidateList>
        <item>（</item>
      </candidateList>
      <explain>文本全半角错误。</explain>
      <paraID> 60EF900</paraID>
      <start>166</start>
      <end>167</end>
      <status>unmodified</status>
      <modifiedWord/>
      <trackRevisions>false</trackRevisions>
    </reviewItem>
    <reviewItem>
      <errorID>97d8818f-14ab-4d51-b96b-0f0caba4b82a</errorID>
      <errorWord>),</errorWord>
      <group>L1_Format</group>
      <groupName>格式问题</groupName>
      <ability>L2_HalfPunc_CN</ability>
      <abilityName>全半角问题</abilityName>
      <candidateList>
        <item>），</item>
      </candidateList>
      <explain>文本全半角错误。</explain>
      <paraID> 60EF900</paraID>
      <start>186</start>
      <end>188</end>
      <status>unmodified</status>
      <modifiedWord/>
      <trackRevisions>false</trackRevisions>
    </reviewItem>
    <reviewItem>
      <errorID>18b53c45-a50f-4719-b996-9887dc1dc08e</errorID>
      <errorWord>生</errorWord>
      <group>L1_Word</group>
      <groupName>字词问题</groupName>
      <ability>L2_Typo</ability>
      <abilityName>字词错误</abilityName>
      <candidateList>
        <item>生的</item>
      </candidateList>
      <explain/>
      <paraID>26A76DA1</paraID>
      <start>48</start>
      <end>49</end>
      <status>unmodified</status>
      <modifiedWord/>
      <trackRevisions>false</trackRevisions>
    </reviewItem>
    <reviewItem>
      <errorID>3988d182-e2b1-49fe-a6fa-6e8f4108da72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6CBA78BA</paraID>
      <start>0</start>
      <end>3</end>
      <status>unmodified</status>
      <modifiedWord/>
      <trackRevisions>false</trackRevisions>
    </reviewItem>
    <reviewItem>
      <errorID>ec3d7f5a-b8ff-4cb7-b868-8d251ac82d06</errorID>
      <errorWord>,</errorWord>
      <group>L1_Format</group>
      <groupName>格式问题</groupName>
      <ability>L2_HalfPunc_CN</ability>
      <abilityName>全半角问题</abilityName>
      <candidateList>
        <item>，</item>
      </candidateList>
      <explain>文本全半角错误。</explain>
      <paraID>6722FBAF</paraID>
      <start>40</start>
      <end>41</end>
      <status>unmodified</status>
      <modifiedWord/>
      <trackRevisions>false</trackRevisions>
    </reviewItem>
    <reviewItem>
      <errorID>0a115ef3-75cc-4acf-ac9a-7d341e2bbb11</errorID>
      <errorWord>;</errorWord>
      <group>L1_Format</group>
      <groupName>格式问题</groupName>
      <ability>L2_HalfPunc_CN</ability>
      <abilityName>全半角问题</abilityName>
      <candidateList>
        <item>；</item>
      </candidateList>
      <explain>文本全半角错误。</explain>
      <paraID>4BD766F3</paraID>
      <start>18</start>
      <end>19</end>
      <status>unmodified</status>
      <modifiedWord/>
      <trackRevisions>false</trackRevisions>
    </reviewItem>
    <reviewItem>
      <errorID>a9df64cd-defd-43d6-ae1a-d427c2c69a4e</errorID>
      <errorWord>;</errorWord>
      <group>L1_Format</group>
      <groupName>格式问题</groupName>
      <ability>L2_HalfPunc_CN</ability>
      <abilityName>全半角问题</abilityName>
      <candidateList>
        <item>；</item>
      </candidateList>
      <explain>文本全半角错误。</explain>
      <paraID>4BD766F3</paraID>
      <start>37</start>
      <end>38</end>
      <status>unmodified</status>
      <modifiedWord/>
      <trackRevisions>false</trackRevisions>
    </reviewItem>
    <reviewItem>
      <errorID>a93db7b7-bcbc-4b22-aa21-98fd75766fef</errorID>
      <errorWord>,</errorWord>
      <group>L1_Format</group>
      <groupName>格式问题</groupName>
      <ability>L2_HalfPunc_CN</ability>
      <abilityName>全半角问题</abilityName>
      <candidateList>
        <item>，</item>
      </candidateList>
      <explain>文本全半角错误。</explain>
      <paraID>35589617</paraID>
      <start>39</start>
      <end>40</end>
      <status>unmodified</status>
      <modifiedWord/>
      <trackRevisions>false</trackRevisions>
    </reviewItem>
    <reviewItem>
      <errorID>3326e459-0c18-4530-ade4-4317ba9dfa08</errorID>
      <errorWord>,</errorWord>
      <group>L1_Format</group>
      <groupName>格式问题</groupName>
      <ability>L2_HalfPunc_CN</ability>
      <abilityName>全半角问题</abilityName>
      <candidateList>
        <item>，</item>
      </candidateList>
      <explain>文本全半角错误。</explain>
      <paraID>4BD27F07</paraID>
      <start>28</start>
      <end>29</end>
      <status>unmodified</status>
      <modifiedWord/>
      <trackRevisions>false</trackRevisions>
    </reviewItem>
    <reviewItem>
      <errorID>c6c02c6a-27f2-439e-b4b0-a5da40d9365e</errorID>
      <errorWord>,</errorWord>
      <group>L1_Format</group>
      <groupName>格式问题</groupName>
      <ability>L2_HalfPunc_CN</ability>
      <abilityName>全半角问题</abilityName>
      <candidateList>
        <item>，</item>
      </candidateList>
      <explain>文本全半角错误。</explain>
      <paraID>4BD27F07</paraID>
      <start>52</start>
      <end>53</end>
      <status>unmodified</status>
      <modifiedWord/>
      <trackRevisions>false</trackRevisions>
    </reviewItem>
    <reviewItem>
      <errorID>e6a60da4-87c9-4941-b576-8144e8a0659f</errorID>
      <errorWord>。</errorWord>
      <group>L1_Format</group>
      <groupName>格式问题</groupName>
      <ability>L2_HalfPunc_CN</ability>
      <abilityName>全半角问题</abilityName>
      <candidateList>
        <item>.</item>
      </candidateList>
      <explain>文本全半角错误。</explain>
      <paraID>1761D9BF</paraID>
      <start>7</start>
      <end>8</end>
      <status>unmodified</status>
      <modifiedWord/>
      <trackRevisions>false</trackRevisions>
    </reviewItem>
    <reviewItem>
      <errorID>6cded0eb-0677-46b0-940c-9566dfbb8655</errorID>
      <errorWord>(</errorWord>
      <group>L1_Format</group>
      <groupName>格式问题</groupName>
      <ability>L2_HalfPunc_CN</ability>
      <abilityName>全半角问题</abilityName>
      <candidateList>
        <item>（</item>
      </candidateList>
      <explain>文本全半角错误。</explain>
      <paraID>1761D9BF</paraID>
      <start>63</start>
      <end>64</end>
      <status>unmodified</status>
      <modifiedWord/>
      <trackRevisions>false</trackRevisions>
    </reviewItem>
    <reviewItem>
      <errorID>a8d94103-90fc-48b4-b444-bbcc452f502c</errorID>
      <errorWord>)</errorWord>
      <group>L1_Format</group>
      <groupName>格式问题</groupName>
      <ability>L2_HalfPunc_CN</ability>
      <abilityName>全半角问题</abilityName>
      <candidateList>
        <item>）</item>
      </candidateList>
      <explain>文本全半角错误。</explain>
      <paraID>1761D9BF</paraID>
      <start>74</start>
      <end>75</end>
      <status>unmodified</status>
      <modifiedWord/>
      <trackRevisions>false</trackRevisions>
    </reviewItem>
    <reviewItem>
      <errorID>6bfb39ff-7966-44f5-876b-50e39bd410ae</errorID>
      <errorWord>,</errorWord>
      <group>L1_Format</group>
      <groupName>格式问题</groupName>
      <ability>L2_HalfPunc_CN</ability>
      <abilityName>全半角问题</abilityName>
      <candidateList>
        <item>，</item>
      </candidateList>
      <explain>文本全半角错误。</explain>
      <paraID>1761D9BF</paraID>
      <start>99</start>
      <end>100</end>
      <status>unmodified</status>
      <modifiedWord/>
      <trackRevisions>false</trackRevisions>
    </reviewItem>
    <reviewItem>
      <errorID>783c82a4-6206-4b78-a9b0-3fbd96ee4858</errorID>
      <errorWord>,</errorWord>
      <group>L1_Format</group>
      <groupName>格式问题</groupName>
      <ability>L2_HalfPunc_CN</ability>
      <abilityName>全半角问题</abilityName>
      <candidateList>
        <item>，</item>
      </candidateList>
      <explain>文本全半角错误。</explain>
      <paraID>1124DDCD</paraID>
      <start>29</start>
      <end>30</end>
      <status>unmodified</status>
      <modifiedWord/>
      <trackRevisions>false</trackRevisions>
    </reviewItem>
    <reviewItem>
      <errorID>7da9a158-5e6b-4cc1-8e70-98d8b3648c9a</errorID>
      <errorWord>,</errorWord>
      <group>L1_Format</group>
      <groupName>格式问题</groupName>
      <ability>L2_HalfPunc_CN</ability>
      <abilityName>全半角问题</abilityName>
      <candidateList>
        <item>，</item>
      </candidateList>
      <explain>文本全半角错误。</explain>
      <paraID>1124DDCD</paraID>
      <start>45</start>
      <end>46</end>
      <status>unmodified</status>
      <modifiedWord/>
      <trackRevisions>false</trackRevisions>
    </reviewItem>
    <reviewItem>
      <errorID>5b6b78be-17fd-497b-8741-6cb0027dfd66</errorID>
      <errorWord>)</errorWord>
      <group>L1_Format</group>
      <groupName>格式问题</groupName>
      <ability>L2_HalfPunc_CN</ability>
      <abilityName>全半角问题</abilityName>
      <candidateList>
        <item>）</item>
      </candidateList>
      <explain>文本全半角错误。</explain>
      <paraID>5ADFAE8F</paraID>
      <start>13</start>
      <end>14</end>
      <status>unmodified</status>
      <modifiedWord/>
      <trackRevisions>false</trackRevisions>
    </reviewItem>
    <reviewItem>
      <errorID>b8acc092-a6df-4992-9b8d-877a832a38fa</errorID>
      <errorWord>(</errorWord>
      <group>L1_Format</group>
      <groupName>格式问题</groupName>
      <ability>L2_HalfPunc_CN</ability>
      <abilityName>全半角问题</abilityName>
      <candidateList>
        <item>（</item>
      </candidateList>
      <explain>文本全半角错误。</explain>
      <paraID>53767C22</paraID>
      <start>7</start>
      <end>8</end>
      <status>unmodified</status>
      <modifiedWord/>
      <trackRevisions>false</trackRevisions>
    </reviewItem>
    <reviewItem>
      <errorID>ecfb84fe-316d-4142-a54c-d0187dae526a</errorID>
      <errorWord>)</errorWord>
      <group>L1_Format</group>
      <groupName>格式问题</groupName>
      <ability>L2_HalfPunc_CN</ability>
      <abilityName>全半角问题</abilityName>
      <candidateList>
        <item>）</item>
      </candidateList>
      <explain>文本全半角错误。</explain>
      <paraID>53767C22</paraID>
      <start>35</start>
      <end>36</end>
      <status>unmodified</status>
      <modifiedWord/>
      <trackRevisions>false</trackRevisions>
    </reviewItem>
    <reviewItem>
      <errorID>653da58b-d14f-4820-9537-6e759ec449f2</errorID>
      <errorWord>(</errorWord>
      <group>L1_Format</group>
      <groupName>格式问题</groupName>
      <ability>L2_HalfPunc_CN</ability>
      <abilityName>全半角问题</abilityName>
      <candidateList>
        <item>（</item>
      </candidateList>
      <explain>文本全半角错误。</explain>
      <paraID>2A37DDBD</paraID>
      <start>39</start>
      <end>40</end>
      <status>unmodified</status>
      <modifiedWord/>
      <trackRevisions>false</trackRevisions>
    </reviewItem>
    <reviewItem>
      <errorID>e5d80fca-b3c9-409a-adb5-d245d735ab37</errorID>
      <errorWord>)</errorWord>
      <group>L1_Format</group>
      <groupName>格式问题</groupName>
      <ability>L2_HalfPunc_CN</ability>
      <abilityName>全半角问题</abilityName>
      <candidateList>
        <item>）</item>
      </candidateList>
      <explain>文本全半角错误。</explain>
      <paraID>2A37DDBD</paraID>
      <start>43</start>
      <end>44</end>
      <status>unmodified</status>
      <modifiedWord/>
      <trackRevisions>false</trackRevisions>
    </reviewItem>
    <reviewItem>
      <errorID>9aba6dac-eef0-4948-bf71-dd9a988205da</errorID>
      <errorWord>(</errorWord>
      <group>L1_Format</group>
      <groupName>格式问题</groupName>
      <ability>L2_HalfPunc_CN</ability>
      <abilityName>全半角问题</abilityName>
      <candidateList>
        <item>（</item>
      </candidateList>
      <explain>文本全半角错误。</explain>
      <paraID>2A37DDBD</paraID>
      <start>51</start>
      <end>52</end>
      <status>unmodified</status>
      <modifiedWord/>
      <trackRevisions>false</trackRevisions>
    </reviewItem>
    <reviewItem>
      <errorID>dcd9153f-f3be-4bd4-88d0-7ee644cbb7b1</errorID>
      <errorWord>)</errorWord>
      <group>L1_Format</group>
      <groupName>格式问题</groupName>
      <ability>L2_HalfPunc_CN</ability>
      <abilityName>全半角问题</abilityName>
      <candidateList>
        <item>）</item>
      </candidateList>
      <explain>文本全半角错误。</explain>
      <paraID>2A37DDBD</paraID>
      <start>55</start>
      <end>56</end>
      <status>unmodified</status>
      <modifiedWord/>
      <trackRevisions>false</trackRevisions>
    </reviewItem>
    <reviewItem>
      <errorID>703ea3b5-224c-42df-b830-32cf502f63d2</errorID>
      <errorWord>,</errorWord>
      <group>L1_Format</group>
      <groupName>格式问题</groupName>
      <ability>L2_HalfPunc_CN</ability>
      <abilityName>全半角问题</abilityName>
      <candidateList>
        <item>，</item>
      </candidateList>
      <explain>文本全半角错误。</explain>
      <paraID>233BF21C</paraID>
      <start>26</start>
      <end>27</end>
      <status>unmodified</status>
      <modifiedWord/>
      <trackRevisions>false</trackRevisions>
    </reviewItem>
    <reviewItem>
      <errorID>c16fa1ca-313b-4c1d-835c-24b81c434285</errorID>
      <errorWord>,</errorWord>
      <group>L1_Format</group>
      <groupName>格式问题</groupName>
      <ability>L2_HalfPunc_CN</ability>
      <abilityName>全半角问题</abilityName>
      <candidateList>
        <item>，</item>
      </candidateList>
      <explain>文本全半角错误。</explain>
      <paraID>4777C283</paraID>
      <start>27</start>
      <end>28</end>
      <status>unmodified</status>
      <modifiedWord/>
      <trackRevisions>false</trackRevisions>
    </reviewItem>
    <reviewItem>
      <errorID>47aed342-dfe5-49c8-8ae0-3b767e15331b</errorID>
      <errorWord>(</errorWord>
      <group>L1_Format</group>
      <groupName>格式问题</groupName>
      <ability>L2_HalfPunc_CN</ability>
      <abilityName>全半角问题</abilityName>
      <candidateList>
        <item>（</item>
      </candidateList>
      <explain>文本全半角错误。</explain>
      <paraID> 440D868</paraID>
      <start>38</start>
      <end>39</end>
      <status>unmodified</status>
      <modifiedWord/>
      <trackRevisions>false</trackRevisions>
    </reviewItem>
    <reviewItem>
      <errorID>a68ca2aa-4533-4596-85c6-684e258682b5</errorID>
      <errorWord>)</errorWord>
      <group>L1_Format</group>
      <groupName>格式问题</groupName>
      <ability>L2_HalfPunc_CN</ability>
      <abilityName>全半角问题</abilityName>
      <candidateList>
        <item>）</item>
      </candidateList>
      <explain>文本全半角错误。</explain>
      <paraID> 440D868</paraID>
      <start>53</start>
      <end>54</end>
      <status>unmodified</status>
      <modifiedWord/>
      <trackRevisions>false</trackRevisions>
    </reviewItem>
    <reviewItem>
      <errorID>a7c98898-eab9-4dcf-9e3e-9d51f5c8a431</errorID>
      <errorWord>(</errorWord>
      <group>L1_Format</group>
      <groupName>格式问题</groupName>
      <ability>L2_HalfPunc_CN</ability>
      <abilityName>全半角问题</abilityName>
      <candidateList>
        <item>（</item>
      </candidateList>
      <explain>文本全半角错误。</explain>
      <paraID> 96FF733</paraID>
      <start>56</start>
      <end>57</end>
      <status>unmodified</status>
      <modifiedWord/>
      <trackRevisions>false</trackRevisions>
    </reviewItem>
    <reviewItem>
      <errorID>195de913-b958-495c-ab81-9ecf913a2aa5</errorID>
      <errorWord>)</errorWord>
      <group>L1_Format</group>
      <groupName>格式问题</groupName>
      <ability>L2_HalfPunc_CN</ability>
      <abilityName>全半角问题</abilityName>
      <candidateList>
        <item>）</item>
      </candidateList>
      <explain>文本全半角错误。</explain>
      <paraID> 96FF733</paraID>
      <start>71</start>
      <end>72</end>
      <status>unmodified</status>
      <modifiedWord/>
      <trackRevisions>false</trackRevisions>
    </reviewItem>
    <reviewItem>
      <errorID>6d63c921-3422-4bda-8780-584b1f35b22f</errorID>
      <errorWord>,</errorWord>
      <group>L1_Format</group>
      <groupName>格式问题</groupName>
      <ability>L2_HalfPunc_CN</ability>
      <abilityName>全半角问题</abilityName>
      <candidateList>
        <item>，</item>
      </candidateList>
      <explain>文本全半角错误。</explain>
      <paraID>5EAE96ED</paraID>
      <start>30</start>
      <end>31</end>
      <status>unmodified</status>
      <modifiedWord/>
      <trackRevisions>false</trackRevisions>
    </reviewItem>
    <reviewItem>
      <errorID>d535dd7b-58fe-4b4e-8249-8ae79a08cf32</errorID>
      <errorWord>,</errorWord>
      <group>L1_Format</group>
      <groupName>格式问题</groupName>
      <ability>L2_HalfPunc_CN</ability>
      <abilityName>全半角问题</abilityName>
      <candidateList>
        <item>，</item>
      </candidateList>
      <explain>文本全半角错误。</explain>
      <paraID>1D33D1C8</paraID>
      <start>19</start>
      <end>20</end>
      <status>unmodified</status>
      <modifiedWord/>
      <trackRevisions>false</trackRevisions>
    </reviewItem>
    <reviewItem>
      <errorID>dff2b1a5-207d-4cf1-8830-fed2b72c03ea</errorID>
      <errorWord>理</errorWord>
      <group>L1_Word</group>
      <groupName>字词问题</groupName>
      <ability>L2_Typo</ability>
      <abilityName>字词错误</abilityName>
      <candidateList>
        <item>雨</item>
      </candidateList>
      <explain/>
      <paraID>3E470D68</paraID>
      <start>0</start>
      <end>1</end>
      <status>unmodified</status>
      <modifiedWord/>
      <trackRevisions>false</trackRevisions>
    </reviewItem>
    <reviewItem>
      <errorID>7fb06f48-f786-4e7a-9eee-fe7ec255f492</errorID>
      <errorWord>根据曲靖市气象资料显示</errorWord>
      <group>L1_Grammar</group>
      <groupName>语法问题</groupName>
      <ability>L2_Grammar</ability>
      <abilityName>语法错误</abilityName>
      <candidateList>
        <item>根据曲靖市气象资料</item>
      </candidateList>
      <explain>该表达中的“根据曲靖市气象资料显示”存在语义重复。</explain>
      <paraID>6558F459</paraID>
      <start>0</start>
      <end>11</end>
      <status>unmodified</status>
      <modifiedWord/>
      <trackRevisions>false</trackRevisions>
    </reviewItem>
    <reviewItem>
      <errorID>8643c2a9-5f87-4396-90fd-51a24fd7406d</errorID>
      <errorWord>最大降雨天数一般在5天左右</errorWord>
      <group>L1_Grammar</group>
      <groupName>语法问题</groupName>
      <ability>L2_Grammar</ability>
      <abilityName>语法错误</abilityName>
      <candidateList>
        <item>最大降雨天数一般在5天</item>
      </candidateList>
      <explain>该表达中的“最大降雨天数一般在5天左右”存在语义重复。</explain>
      <paraID>6558F459</paraID>
      <start>14</start>
      <end>27</end>
      <status>unmodified</status>
      <modifiedWord/>
      <trackRevisions>false</trackRevisions>
    </reviewItem>
    <reviewItem>
      <errorID>2bad0761-7c07-4e26-97c3-1bcd565a5820</errorID>
      <errorWord>,</errorWord>
      <group>L1_Format</group>
      <groupName>格式问题</groupName>
      <ability>L2_HalfPunc_CN</ability>
      <abilityName>全半角问题</abilityName>
      <candidateList>
        <item>，</item>
      </candidateList>
      <explain>文本全半角错误。</explain>
      <paraID> B8B03D5</paraID>
      <start>80</start>
      <end>81</end>
      <status>unmodified</status>
      <modifiedWord/>
      <trackRevisions>false</trackRevisions>
    </reviewItem>
    <reviewItem>
      <errorID>da332905-83e7-480e-998d-10c651ba5f21</errorID>
      <errorWord>(</errorWord>
      <group>L1_Format</group>
      <groupName>格式问题</groupName>
      <ability>L2_HalfPunc_CN</ability>
      <abilityName>全半角问题</abilityName>
      <candidateList>
        <item>（</item>
      </candidateList>
      <explain>文本全半角错误。</explain>
      <paraID> BE1AC07</paraID>
      <start>33</start>
      <end>34</end>
      <status>unmodified</status>
      <modifiedWord/>
      <trackRevisions>false</trackRevisions>
    </reviewItem>
    <reviewItem>
      <errorID>acaaf32c-a2a1-4502-8930-8d08519e0596</errorID>
      <errorWord>)</errorWord>
      <group>L1_Format</group>
      <groupName>格式问题</groupName>
      <ability>L2_HalfPunc_CN</ability>
      <abilityName>全半角问题</abilityName>
      <candidateList>
        <item>）</item>
      </candidateList>
      <explain>文本全半角错误。</explain>
      <paraID> BE1AC07</paraID>
      <start>50</start>
      <end>51</end>
      <status>unmodified</status>
      <modifiedWord/>
      <trackRevisions>false</trackRevisions>
    </reviewItem>
    <reviewItem>
      <errorID>86b657c4-0fc4-4237-b377-160d4124ea66</errorID>
      <errorWord>,</errorWord>
      <group>L1_Format</group>
      <groupName>格式问题</groupName>
      <ability>L2_HalfPunc_CN</ability>
      <abilityName>全半角问题</abilityName>
      <candidateList>
        <item>，</item>
      </candidateList>
      <explain>文本全半角错误。</explain>
      <paraID> BE1AC07</paraID>
      <start>51</start>
      <end>52</end>
      <status>unmodified</status>
      <modifiedWord/>
      <trackRevisions>false</trackRevisions>
    </reviewItem>
    <reviewItem>
      <errorID>e15d2da2-0ef7-4f92-a9e2-1a9cda3feaf4</errorID>
      <errorWord>(</errorWord>
      <group>L1_Format</group>
      <groupName>格式问题</groupName>
      <ability>L2_HalfPunc_CN</ability>
      <abilityName>全半角问题</abilityName>
      <candidateList>
        <item>（</item>
      </candidateList>
      <explain>文本全半角错误。</explain>
      <paraID> BE1AC07</paraID>
      <start>79</start>
      <end>80</end>
      <status>unmodified</status>
      <modifiedWord/>
      <trackRevisions>false</trackRevisions>
    </reviewItem>
    <reviewItem>
      <errorID>29a55916-acaf-47b5-b26b-ed30e25454f7</errorID>
      <errorWord>)</errorWord>
      <group>L1_Format</group>
      <groupName>格式问题</groupName>
      <ability>L2_HalfPunc_CN</ability>
      <abilityName>全半角问题</abilityName>
      <candidateList>
        <item>）</item>
      </candidateList>
      <explain>文本全半角错误。</explain>
      <paraID> BE1AC07</paraID>
      <start>94</start>
      <end>95</end>
      <status>unmodified</status>
      <modifiedWord/>
      <trackRevisions>false</trackRevisions>
    </reviewItem>
    <reviewItem>
      <errorID>418ab524-cacd-4df1-959f-3e4fb8f1c3c0</errorID>
      <errorWord>(</errorWord>
      <group>L1_Format</group>
      <groupName>格式问题</groupName>
      <ability>L2_HalfPunc_CN</ability>
      <abilityName>全半角问题</abilityName>
      <candidateList>
        <item>（</item>
      </candidateList>
      <explain>文本全半角错误。</explain>
      <paraID> BE1AC07</paraID>
      <start>116</start>
      <end>117</end>
      <status>unmodified</status>
      <modifiedWord/>
      <trackRevisions>false</trackRevisions>
    </reviewItem>
    <reviewItem>
      <errorID>bc4d55ab-32fd-419e-bb1b-95c7e27bc294</errorID>
      <errorWord>)</errorWord>
      <group>L1_Format</group>
      <groupName>格式问题</groupName>
      <ability>L2_HalfPunc_CN</ability>
      <abilityName>全半角问题</abilityName>
      <candidateList>
        <item>）</item>
      </candidateList>
      <explain>文本全半角错误。</explain>
      <paraID> BE1AC07</paraID>
      <start>131</start>
      <end>132</end>
      <status>unmodified</status>
      <modifiedWord/>
      <trackRevisions>false</trackRevisions>
    </reviewItem>
    <reviewItem>
      <errorID>1cbaecb9-dfda-47d6-bb85-d940eb6f36cb</errorID>
      <errorWord>(</errorWord>
      <group>L1_Format</group>
      <groupName>格式问题</groupName>
      <ability>L2_HalfPunc_CN</ability>
      <abilityName>全半角问题</abilityName>
      <candidateList>
        <item>（</item>
      </candidateList>
      <explain>文本全半角错误。</explain>
      <paraID> BE1AC07</paraID>
      <start>160</start>
      <end>161</end>
      <status>unmodified</status>
      <modifiedWord/>
      <trackRevisions>false</trackRevisions>
    </reviewItem>
    <reviewItem>
      <errorID>6ba638d7-be61-4130-946c-0a264f2f1559</errorID>
      <errorWord>)</errorWord>
      <group>L1_Format</group>
      <groupName>格式问题</groupName>
      <ability>L2_HalfPunc_CN</ability>
      <abilityName>全半角问题</abilityName>
      <candidateList>
        <item>）</item>
      </candidateList>
      <explain>文本全半角错误。</explain>
      <paraID> BE1AC07</paraID>
      <start>175</start>
      <end>176</end>
      <status>unmodified</status>
      <modifiedWord/>
      <trackRevisions>false</trackRevisions>
    </reviewItem>
    <reviewItem>
      <errorID>a284f64d-a26c-4a61-901e-0e1c857af435</errorID>
      <errorWord>(</errorWord>
      <group>L1_Format</group>
      <groupName>格式问题</groupName>
      <ability>L2_HalfPunc_CN</ability>
      <abilityName>全半角问题</abilityName>
      <candidateList>
        <item>（</item>
      </candidateList>
      <explain>文本全半角错误。</explain>
      <paraID> BE1AC07</paraID>
      <start>201</start>
      <end>202</end>
      <status>unmodified</status>
      <modifiedWord/>
      <trackRevisions>false</trackRevisions>
    </reviewItem>
    <reviewItem>
      <errorID>bdee3f0f-7643-42f8-a188-fd97a9071d34</errorID>
      <errorWord>)</errorWord>
      <group>L1_Format</group>
      <groupName>格式问题</groupName>
      <ability>L2_HalfPunc_CN</ability>
      <abilityName>全半角问题</abilityName>
      <candidateList>
        <item>）</item>
      </candidateList>
      <explain>文本全半角错误。</explain>
      <paraID> BE1AC07</paraID>
      <start>211</start>
      <end>212</end>
      <status>unmodified</status>
      <modifiedWord/>
      <trackRevisions>false</trackRevisions>
    </reviewItem>
    <reviewItem>
      <errorID>306a35a2-7c92-49fb-8043-13de6bd7bfe9</errorID>
      <errorWord>仅</errorWord>
      <group>L1_Word</group>
      <groupName>字词问题</groupName>
      <ability>L2_Typo</ability>
      <abilityName>字词错误</abilityName>
      <candidateList>
        <item>除</item>
      </candidateList>
      <explain/>
      <paraID>1E0A54C6</paraID>
      <start>10</start>
      <end>11</end>
      <status>unmodified</status>
      <modifiedWord/>
      <trackRevisions>false</trackRevisions>
    </reviewItem>
    <reviewItem>
      <errorID>82dd7dd5-3f92-44cd-a763-a4ec7410dcb9</errorID>
      <errorWord>与水蒸汽</errorWord>
      <group>L1_Word</group>
      <groupName>字词问题</groupName>
      <ability>L2_Typo</ability>
      <abilityName>字词错误</abilityName>
      <candidateList>
        <item>与水蒸气</item>
      </candidateList>
      <explain/>
      <paraID>1E0A54C6</paraID>
      <start>134</start>
      <end>138</end>
      <status>unmodified</status>
      <modifiedWord/>
      <trackRevisions>false</trackRevisions>
    </reviewItem>
    <reviewItem>
      <errorID>a35e97a7-2326-41a1-96ee-b882947a14c1</errorID>
      <errorWord>(</errorWord>
      <group>L1_Format</group>
      <groupName>格式问题</groupName>
      <ability>L2_HalfPunc_CN</ability>
      <abilityName>全半角问题</abilityName>
      <candidateList>
        <item>（</item>
      </candidateList>
      <explain>文本全半角错误。</explain>
      <paraID>3B8877E4</paraID>
      <start>52</start>
      <end>53</end>
      <status>unmodified</status>
      <modifiedWord/>
      <trackRevisions>false</trackRevisions>
    </reviewItem>
    <reviewItem>
      <errorID>815e955d-ed56-4ed1-a5c7-3d964e1a551b</errorID>
      <errorWord>,</errorWord>
      <group>L1_Format</group>
      <groupName>格式问题</groupName>
      <ability>L2_HalfPunc_CN</ability>
      <abilityName>全半角问题</abilityName>
      <candidateList>
        <item>，</item>
      </candidateList>
      <explain>文本全半角错误。</explain>
      <paraID>3B8877E4</paraID>
      <start>66</start>
      <end>67</end>
      <status>unmodified</status>
      <modifiedWord/>
      <trackRevisions>false</trackRevisions>
    </reviewItem>
    <reviewItem>
      <errorID>c09c36b0-0d55-48cd-ae6d-848933e17a70</errorID>
      <errorWord>根据类比调查和有关资料显示</errorWord>
      <group>L1_Grammar</group>
      <groupName>语法问题</groupName>
      <ability>L2_Grammar</ability>
      <abilityName>语法错误</abilityName>
      <candidateList>
        <item>根据类比调查和有关资料</item>
      </candidateList>
      <explain>该表达中的“根据类比调查和有关资料显示”存在语义重复。</explain>
      <paraID>5571DA0F</paraID>
      <start>0</start>
      <end>13</end>
      <status>unmodified</status>
      <modifiedWord/>
      <trackRevisions>false</trackRevisions>
    </reviewItem>
    <reviewItem>
      <errorID>19f8e74a-5a71-4337-bb15-0e658a73a80c</errorID>
      <errorWord>,</errorWord>
      <group>L1_Format</group>
      <groupName>格式问题</groupName>
      <ability>L2_HalfPunc_CN</ability>
      <abilityName>全半角问题</abilityName>
      <candidateList>
        <item>，</item>
      </candidateList>
      <explain>文本全半角错误。</explain>
      <paraID>5571DA0F</paraID>
      <start>28</start>
      <end>29</end>
      <status>unmodified</status>
      <modifiedWord/>
      <trackRevisions>false</trackRevisions>
    </reviewItem>
    <reviewItem>
      <errorID>2cde7e5a-26f1-4872-9167-72c5dc229ba1</errorID>
      <errorWord>,</errorWord>
      <group>L1_Format</group>
      <groupName>格式问题</groupName>
      <ability>L2_HalfPunc_CN</ability>
      <abilityName>全半角问题</abilityName>
      <candidateList>
        <item>，</item>
      </candidateList>
      <explain>文本全半角错误。</explain>
      <paraID>5571DA0F</paraID>
      <start>56</start>
      <end>57</end>
      <status>unmodified</status>
      <modifiedWord/>
      <trackRevisions>false</trackRevisions>
    </reviewItem>
    <reviewItem>
      <errorID>19921899-6444-4691-90b0-ca4987887475</errorID>
      <errorWord>,</errorWord>
      <group>L1_Format</group>
      <groupName>格式问题</groupName>
      <ability>L2_HalfPunc_CN</ability>
      <abilityName>全半角问题</abilityName>
      <candidateList>
        <item>，</item>
      </candidateList>
      <explain>文本全半角错误。</explain>
      <paraID>6A307D72</paraID>
      <start>15</start>
      <end>16</end>
      <status>unmodified</status>
      <modifiedWord/>
      <trackRevisions>false</trackRevisions>
    </reviewItem>
    <reviewItem>
      <errorID>0a0a88e1-9c25-42f6-a3ca-268ebd24cd77</errorID>
      <errorWord>,</errorWord>
      <group>L1_Format</group>
      <groupName>格式问题</groupName>
      <ability>L2_HalfPunc_CN</ability>
      <abilityName>全半角问题</abilityName>
      <candidateList>
        <item>，</item>
      </candidateList>
      <explain>文本全半角错误。</explain>
      <paraID>6A307D72</paraID>
      <start>30</start>
      <end>31</end>
      <status>unmodified</status>
      <modifiedWord/>
      <trackRevisions>false</trackRevisions>
    </reviewItem>
    <reviewItem>
      <errorID>42797a6c-5271-40ff-81e0-e50a4185c4c5</errorID>
      <errorWord>,</errorWord>
      <group>L1_Format</group>
      <groupName>格式问题</groupName>
      <ability>L2_HalfPunc_CN</ability>
      <abilityName>全半角问题</abilityName>
      <candidateList>
        <item>，</item>
      </candidateList>
      <explain>文本全半角错误。</explain>
      <paraID>35F97EC5</paraID>
      <start>10</start>
      <end>11</end>
      <status>unmodified</status>
      <modifiedWord/>
      <trackRevisions>false</trackRevisions>
    </reviewItem>
    <reviewItem>
      <errorID>8abce514-6b7d-47b0-8601-c94ac823f25e</errorID>
      <errorWord>;</errorWord>
      <group>L1_Format</group>
      <groupName>格式问题</groupName>
      <ability>L2_HalfPunc_CN</ability>
      <abilityName>全半角问题</abilityName>
      <candidateList>
        <item>；</item>
      </candidateList>
      <explain>文本全半角错误。</explain>
      <paraID>35F97EC5</paraID>
      <start>25</start>
      <end>26</end>
      <status>unmodified</status>
      <modifiedWord/>
      <trackRevisions>false</trackRevisions>
    </reviewItem>
    <reviewItem>
      <errorID>7dd3a910-f705-4ad3-bfcc-59669eaf8b60</errorID>
      <errorWord>(</errorWord>
      <group>L1_Format</group>
      <groupName>格式问题</groupName>
      <ability>L2_HalfPunc_CN</ability>
      <abilityName>全半角问题</abilityName>
      <candidateList>
        <item>（</item>
      </candidateList>
      <explain>文本全半角错误。</explain>
      <paraID>35F97EC5</paraID>
      <start>45</start>
      <end>46</end>
      <status>unmodified</status>
      <modifiedWord/>
      <trackRevisions>false</trackRevisions>
    </reviewItem>
    <reviewItem>
      <errorID>6c21a0df-8b52-4842-ab03-a0554aba307d</errorID>
      <errorWord>)</errorWord>
      <group>L1_Format</group>
      <groupName>格式问题</groupName>
      <ability>L2_HalfPunc_CN</ability>
      <abilityName>全半角问题</abilityName>
      <candidateList>
        <item>）</item>
      </candidateList>
      <explain>文本全半角错误。</explain>
      <paraID>35F97EC5</paraID>
      <start>58</start>
      <end>59</end>
      <status>unmodified</status>
      <modifiedWord/>
      <trackRevisions>false</trackRevisions>
    </reviewItem>
    <reviewItem>
      <errorID>ba1e94a3-8e71-43d6-8cd1-9f64a43a2588</errorID>
      <errorWord>噪音</errorWord>
      <group>L1_Word</group>
      <groupName>字词问题</groupName>
      <ability>L2_Alias</ability>
      <abilityName>也作/曾用词</abilityName>
      <candidateList>
        <item>噪声</item>
      </candidateList>
      <explain>词汇[噪音]为不规范表述或旧称，其规范书面表述为[噪声]。</explain>
      <paraID>653BA5D2</paraID>
      <start>6</start>
      <end>8</end>
      <status>unmodified</status>
      <modifiedWord/>
      <trackRevisions>false</trackRevisions>
    </reviewItem>
    <reviewItem>
      <errorID>b5224f41-4415-40de-a79f-81cb29a138de</errorID>
      <errorWord>)</errorWord>
      <group>L1_Format</group>
      <groupName>格式问题</groupName>
      <ability>L2_HalfPunc_CN</ability>
      <abilityName>全半角问题</abilityName>
      <candidateList>
        <item>）</item>
      </candidateList>
      <explain>文本全半角错误。</explain>
      <paraID>653BA5D2</paraID>
      <start>65</start>
      <end>66</end>
      <status>unmodified</status>
      <modifiedWord/>
      <trackRevisions>false</trackRevisions>
    </reviewItem>
    <reviewItem>
      <errorID>471824e3-6e59-4401-830e-41148e7955cd</errorID>
      <errorWord>)</errorWord>
      <group>L1_Format</group>
      <groupName>格式问题</groupName>
      <ability>L2_HalfPunc_CN</ability>
      <abilityName>全半角问题</abilityName>
      <candidateList>
        <item>）</item>
      </candidateList>
      <explain>文本全半角错误。</explain>
      <paraID>74AEC12A</paraID>
      <start>12</start>
      <end>13</end>
      <status>unmodified</status>
      <modifiedWord/>
      <trackRevisions>false</trackRevisions>
    </reviewItem>
    <reviewItem>
      <errorID>e81af0fb-6cc1-4648-bda0-02999afd2766</errorID>
      <errorWord>)</errorWord>
      <group>L1_Format</group>
      <groupName>格式问题</groupName>
      <ability>L2_HalfPunc_CN</ability>
      <abilityName>全半角问题</abilityName>
      <candidateList>
        <item>）</item>
      </candidateList>
      <explain>文本全半角错误。</explain>
      <paraID>74AEC12A</paraID>
      <start>63</start>
      <end>64</end>
      <status>unmodified</status>
      <modifiedWord/>
      <trackRevisions>false</trackRevisions>
    </reviewItem>
    <reviewItem>
      <errorID>3fbae8d8-a51d-451c-b7ba-2b55273f7cc1</errorID>
      <errorWord>(</errorWord>
      <group>L1_Format</group>
      <groupName>格式问题</groupName>
      <ability>L2_HalfPunc_CN</ability>
      <abilityName>全半角问题</abilityName>
      <candidateList>
        <item>（</item>
      </candidateList>
      <explain>文本全半角错误。</explain>
      <paraID>3EEF1EFC</paraID>
      <start>26</start>
      <end>27</end>
      <status>unmodified</status>
      <modifiedWord/>
      <trackRevisions>false</trackRevisions>
    </reviewItem>
    <reviewItem>
      <errorID>450a4319-baa6-4acd-bf5f-c9c66772f033</errorID>
      <errorWord>)</errorWord>
      <group>L1_Format</group>
      <groupName>格式问题</groupName>
      <ability>L2_HalfPunc_CN</ability>
      <abilityName>全半角问题</abilityName>
      <candidateList>
        <item>）</item>
      </candidateList>
      <explain>文本全半角错误。</explain>
      <paraID>3EEF1EFC</paraID>
      <start>31</start>
      <end>32</end>
      <status>unmodified</status>
      <modifiedWord/>
      <trackRevisions>false</trackRevisions>
    </reviewItem>
    <reviewItem>
      <errorID>2621f9fc-b124-4d0a-ab0b-1a2b44756fc3</errorID>
      <errorWord>(</errorWord>
      <group>L1_Format</group>
      <groupName>格式问题</groupName>
      <ability>L2_HalfPunc_CN</ability>
      <abilityName>全半角问题</abilityName>
      <candidateList>
        <item>（</item>
      </candidateList>
      <explain>文本全半角错误。</explain>
      <paraID>3009B7D5</paraID>
      <start>4</start>
      <end>5</end>
      <status>unmodified</status>
      <modifiedWord/>
      <trackRevisions>false</trackRevisions>
    </reviewItem>
    <reviewItem>
      <errorID>b24da680-73d9-4348-bd2a-1592e5692edf</errorID>
      <errorWord>)</errorWord>
      <group>L1_Format</group>
      <groupName>格式问题</groupName>
      <ability>L2_HalfPunc_CN</ability>
      <abilityName>全半角问题</abilityName>
      <candidateList>
        <item>）</item>
      </candidateList>
      <explain>文本全半角错误。</explain>
      <paraID>3009B7D5</paraID>
      <start>15</start>
      <end>16</end>
      <status>unmodified</status>
      <modifiedWord/>
      <trackRevisions>false</trackRevisions>
    </reviewItem>
    <reviewItem>
      <errorID>6441698e-469b-4637-be90-3850edb34eb4</errorID>
      <errorWord>(</errorWord>
      <group>L1_Format</group>
      <groupName>格式问题</groupName>
      <ability>L2_HalfPunc_CN</ability>
      <abilityName>全半角问题</abilityName>
      <candidateList>
        <item>（</item>
      </candidateList>
      <explain>文本全半角错误。</explain>
      <paraID>26CC54DD</paraID>
      <start>0</start>
      <end>1</end>
      <status>unmodified</status>
      <modifiedWord/>
      <trackRevisions>false</trackRevisions>
    </reviewItem>
    <reviewItem>
      <errorID>277d08d7-1bcd-49a8-ae5b-1682b90c86a5</errorID>
      <errorWord>)</errorWord>
      <group>L1_Format</group>
      <groupName>格式问题</groupName>
      <ability>L2_HalfPunc_CN</ability>
      <abilityName>全半角问题</abilityName>
      <candidateList>
        <item>）</item>
      </candidateList>
      <explain>文本全半角错误。</explain>
      <paraID>26CC54DD</paraID>
      <start>12</start>
      <end>13</end>
      <status>unmodified</status>
      <modifiedWord/>
      <trackRevisions>false</trackRevisions>
    </reviewItem>
    <reviewItem>
      <errorID>24804640-3bce-4a5c-8e15-a64192d9143c</errorID>
      <errorWord>(</errorWord>
      <group>L1_Punc</group>
      <groupName>标点问题</groupName>
      <ability>L2_Punc_CN</ability>
      <abilityName>标点符号问题</abilityName>
      <candidateList/>
      <explain>同一形式括号套用。</explain>
      <paraID>26CC54DD</paraID>
      <start>17</start>
      <end>18</end>
      <status>unmodified</status>
      <modifiedWord/>
      <trackRevisions>false</trackRevisions>
    </reviewItem>
    <reviewItem>
      <errorID>06888e27-764e-495e-8d08-4386047a643d</errorID>
      <errorWord>)</errorWord>
      <group>L1_Punc</group>
      <groupName>标点问题</groupName>
      <ability>L2_Punc_CN</ability>
      <abilityName>标点符号问题</abilityName>
      <candidateList/>
      <explain>同一形式括号套用。</explain>
      <paraID>26CC54DD</paraID>
      <start>19</start>
      <end>20</end>
      <status>unmodified</status>
      <modifiedWord/>
      <trackRevisions>false</trackRevisions>
    </reviewItem>
    <reviewItem>
      <errorID>fa74188a-a31f-4511-8288-5d9e4c558e14</errorID>
      <errorWord>(</errorWord>
      <group>L1_Format</group>
      <groupName>格式问题</groupName>
      <ability>L2_HalfPunc_CN</ability>
      <abilityName>全半角问题</abilityName>
      <candidateList>
        <item>（</item>
      </candidateList>
      <explain>文本全半角错误。</explain>
      <paraID>3874A942</paraID>
      <start>3</start>
      <end>4</end>
      <status>unmodified</status>
      <modifiedWord/>
      <trackRevisions>false</trackRevisions>
    </reviewItem>
    <reviewItem>
      <errorID>e7d281f0-3bc9-4075-a17b-5842091a1f5f</errorID>
      <errorWord>)</errorWord>
      <group>L1_Format</group>
      <groupName>格式问题</groupName>
      <ability>L2_HalfPunc_CN</ability>
      <abilityName>全半角问题</abilityName>
      <candidateList>
        <item>）</item>
      </candidateList>
      <explain>文本全半角错误。</explain>
      <paraID>754A4749</paraID>
      <start>2</start>
      <end>3</end>
      <status>unmodified</status>
      <modifiedWord/>
      <trackRevisions>false</trackRevisions>
    </reviewItem>
    <reviewItem>
      <errorID>92b7bbe2-8539-4e2f-8be6-cec2b115fe2f</errorID>
      <errorWord>主要还</errorWord>
      <group>L1_Word</group>
      <groupName>字词问题</groupName>
      <ability>L2_Typo</ability>
      <abilityName>字词错误</abilityName>
      <candidateList>
        <item>主要</item>
      </candidateList>
      <explain/>
      <paraID>3042FD99</paraID>
      <start>7</start>
      <end>10</end>
      <status>unmodified</status>
      <modifiedWord/>
      <trackRevisions>false</trackRevisions>
    </reviewItem>
    <reviewItem>
      <errorID>4f6c0b2e-bb05-4bf2-87c7-7b45ea1c1255</errorID>
      <errorWord>(</errorWord>
      <group>L1_Format</group>
      <groupName>格式问题</groupName>
      <ability>L2_HalfPunc_CN</ability>
      <abilityName>全半角问题</abilityName>
      <candidateList>
        <item>（</item>
      </candidateList>
      <explain>文本全半角错误。</explain>
      <paraID>3127ECE8</paraID>
      <start>6</start>
      <end>7</end>
      <status>unmodified</status>
      <modifiedWord/>
      <trackRevisions>false</trackRevisions>
    </reviewItem>
    <reviewItem>
      <errorID>5b464ba8-2ad5-4285-8298-44e476a01b1e</errorID>
      <errorWord>)</errorWord>
      <group>L1_Format</group>
      <groupName>格式问题</groupName>
      <ability>L2_HalfPunc_CN</ability>
      <abilityName>全半角问题</abilityName>
      <candidateList>
        <item>）</item>
      </candidateList>
      <explain>文本全半角错误。</explain>
      <paraID>3127ECE8</paraID>
      <start>10</start>
      <end>11</end>
      <status>unmodified</status>
      <modifiedWord/>
      <trackRevisions>false</trackRevisions>
    </reviewItem>
    <reviewItem>
      <errorID>82bd8403-1122-4f33-84cb-4d72b6d78b83</errorID>
      <errorWord>,</errorWord>
      <group>L1_Format</group>
      <groupName>格式问题</groupName>
      <ability>L2_HalfPunc_CN</ability>
      <abilityName>全半角问题</abilityName>
      <candidateList>
        <item>，</item>
      </candidateList>
      <explain>文本全半角错误。</explain>
      <paraID>3127ECE8</paraID>
      <start>30</start>
      <end>31</end>
      <status>unmodified</status>
      <modifiedWord/>
      <trackRevisions>false</trackRevisions>
    </reviewItem>
    <reviewItem>
      <errorID>fbc1363f-8e8a-4f16-8caf-11dba1eec07d</errorID>
      <errorWord>)</errorWord>
      <group>L1_Format</group>
      <groupName>格式问题</groupName>
      <ability>L2_HalfPunc_CN</ability>
      <abilityName>全半角问题</abilityName>
      <candidateList>
        <item>）</item>
      </candidateList>
      <explain>文本全半角错误。</explain>
      <paraID>3127ECE8</paraID>
      <start>56</start>
      <end>57</end>
      <status>unmodified</status>
      <modifiedWord/>
      <trackRevisions>false</trackRevisions>
    </reviewItem>
    <reviewItem>
      <errorID>a5368820-a845-40a4-83d0-cfdb98a3b228</errorID>
      <errorWord>～</errorWord>
      <group>L1_Format</group>
      <groupName>格式问题</groupName>
      <ability>L2_HalfPunc_CN</ability>
      <abilityName>全半角问题</abilityName>
      <candidateList>
        <item>~</item>
      </candidateList>
      <explain>文本全半角错误。</explain>
      <paraID>19C58891</paraID>
      <start>2</start>
      <end>3</end>
      <status>unmodified</status>
      <modifiedWord/>
      <trackRevisions>false</trackRevisions>
    </reviewItem>
    <reviewItem>
      <errorID>d816bb01-67e5-47a0-b1d4-0455190b338e</errorID>
      <errorWord>～</errorWord>
      <group>L1_Format</group>
      <groupName>格式问题</groupName>
      <ability>L2_HalfPunc_CN</ability>
      <abilityName>全半角问题</abilityName>
      <candidateList>
        <item>~</item>
      </candidateList>
      <explain>文本全半角错误。</explain>
      <paraID>67F502B3</paraID>
      <start>2</start>
      <end>3</end>
      <status>unmodified</status>
      <modifiedWord/>
      <trackRevisions>false</trackRevisions>
    </reviewItem>
    <reviewItem>
      <errorID>87a769ff-0df9-4294-964d-bc108190ca9f</errorID>
      <errorWord>～</errorWord>
      <group>L1_Format</group>
      <groupName>格式问题</groupName>
      <ability>L2_HalfPunc_CN</ability>
      <abilityName>全半角问题</abilityName>
      <candidateList>
        <item>~</item>
      </candidateList>
      <explain>文本全半角错误。</explain>
      <paraID>3A99CFB2</paraID>
      <start>2</start>
      <end>3</end>
      <status>unmodified</status>
      <modifiedWord/>
      <trackRevisions>false</trackRevisions>
    </reviewItem>
    <reviewItem>
      <errorID>7ca13693-aa67-4f8a-b55d-fd73b21c31ae</errorID>
      <errorWord>～</errorWord>
      <group>L1_Format</group>
      <groupName>格式问题</groupName>
      <ability>L2_HalfPunc_CN</ability>
      <abilityName>全半角问题</abilityName>
      <candidateList>
        <item>~</item>
      </candidateList>
      <explain>文本全半角错误。</explain>
      <paraID>382C8F4C</paraID>
      <start>2</start>
      <end>3</end>
      <status>unmodified</status>
      <modifiedWord/>
      <trackRevisions>false</trackRevisions>
    </reviewItem>
    <reviewItem>
      <errorID>ab6c8530-312b-41b6-a01c-a804661a09a7</errorID>
      <errorWord>(</errorWord>
      <group>L1_Format</group>
      <groupName>格式问题</groupName>
      <ability>L2_HalfPunc_CN</ability>
      <abilityName>全半角问题</abilityName>
      <candidateList>
        <item>（</item>
      </candidateList>
      <explain>文本全半角错误。</explain>
      <paraID>47269730</paraID>
      <start>24</start>
      <end>25</end>
      <status>unmodified</status>
      <modifiedWord/>
      <trackRevisions>false</trackRevisions>
    </reviewItem>
    <reviewItem>
      <errorID>2defbfd5-d553-447e-be90-99c178a20c52</errorID>
      <errorWord>)</errorWord>
      <group>L1_Format</group>
      <groupName>格式问题</groupName>
      <ability>L2_HalfPunc_CN</ability>
      <abilityName>全半角问题</abilityName>
      <candidateList>
        <item>）</item>
      </candidateList>
      <explain>文本全半角错误。</explain>
      <paraID>47269730</paraID>
      <start>29</start>
      <end>30</end>
      <status>unmodified</status>
      <modifiedWord/>
      <trackRevisions>false</trackRevisions>
    </reviewItem>
    <reviewItem>
      <errorID>3242f659-c942-482b-9f47-cc51067341b3</errorID>
      <errorWord>(</errorWord>
      <group>L1_Format</group>
      <groupName>格式问题</groupName>
      <ability>L2_HalfPunc_CN</ability>
      <abilityName>全半角问题</abilityName>
      <candidateList>
        <item>（</item>
      </candidateList>
      <explain>文本全半角错误。</explain>
      <paraID>2FC9720A</paraID>
      <start>4</start>
      <end>5</end>
      <status>unmodified</status>
      <modifiedWord/>
      <trackRevisions>false</trackRevisions>
    </reviewItem>
    <reviewItem>
      <errorID>bf24f69e-099a-42e0-8750-2a009e020382</errorID>
      <errorWord>)</errorWord>
      <group>L1_Format</group>
      <groupName>格式问题</groupName>
      <ability>L2_HalfPunc_CN</ability>
      <abilityName>全半角问题</abilityName>
      <candidateList>
        <item>）</item>
      </candidateList>
      <explain>文本全半角错误。</explain>
      <paraID>2FC9720A</paraID>
      <start>15</start>
      <end>16</end>
      <status>unmodified</status>
      <modifiedWord/>
      <trackRevisions>false</trackRevisions>
    </reviewItem>
    <reviewItem>
      <errorID>55489ae1-6212-4b06-863e-17c6b73264ed</errorID>
      <errorWord>(</errorWord>
      <group>L1_Format</group>
      <groupName>格式问题</groupName>
      <ability>L2_HalfPunc_CN</ability>
      <abilityName>全半角问题</abilityName>
      <candidateList>
        <item>（</item>
      </candidateList>
      <explain>文本全半角错误。</explain>
      <paraID>442860C1</paraID>
      <start>0</start>
      <end>1</end>
      <status>unmodified</status>
      <modifiedWord/>
      <trackRevisions>false</trackRevisions>
    </reviewItem>
    <reviewItem>
      <errorID>3ee0f4c9-64db-4842-aa83-35a42d6956c4</errorID>
      <errorWord>)</errorWord>
      <group>L1_Format</group>
      <groupName>格式问题</groupName>
      <ability>L2_HalfPunc_CN</ability>
      <abilityName>全半角问题</abilityName>
      <candidateList>
        <item>）</item>
      </candidateList>
      <explain>文本全半角错误。</explain>
      <paraID>442860C1</paraID>
      <start>12</start>
      <end>13</end>
      <status>unmodified</status>
      <modifiedWord/>
      <trackRevisions>false</trackRevisions>
    </reviewItem>
    <reviewItem>
      <errorID>7044049d-1712-4887-884b-d1435153b990</errorID>
      <errorWord>(</errorWord>
      <group>L1_Punc</group>
      <groupName>标点问题</groupName>
      <ability>L2_Punc_CN</ability>
      <abilityName>标点符号问题</abilityName>
      <candidateList/>
      <explain>同一形式括号套用。</explain>
      <paraID>442860C1</paraID>
      <start>17</start>
      <end>18</end>
      <status>unmodified</status>
      <modifiedWord/>
      <trackRevisions>false</trackRevisions>
    </reviewItem>
    <reviewItem>
      <errorID>a1f61b53-addc-4409-8078-cdd0b34d244c</errorID>
      <errorWord>)</errorWord>
      <group>L1_Punc</group>
      <groupName>标点问题</groupName>
      <ability>L2_Punc_CN</ability>
      <abilityName>标点符号问题</abilityName>
      <candidateList/>
      <explain>同一形式括号套用。</explain>
      <paraID>442860C1</paraID>
      <start>19</start>
      <end>20</end>
      <status>unmodified</status>
      <modifiedWord/>
      <trackRevisions>false</trackRevisions>
    </reviewItem>
    <reviewItem>
      <errorID>37ae1d21-080d-41fd-b6f1-833befa3d438</errorID>
      <errorWord>(</errorWord>
      <group>L1_Format</group>
      <groupName>格式问题</groupName>
      <ability>L2_HalfPunc_CN</ability>
      <abilityName>全半角问题</abilityName>
      <candidateList>
        <item>（</item>
      </candidateList>
      <explain>文本全半角错误。</explain>
      <paraID> 7A16D9D</paraID>
      <start>27</start>
      <end>28</end>
      <status>unmodified</status>
      <modifiedWord/>
      <trackRevisions>false</trackRevisions>
    </reviewItem>
    <reviewItem>
      <errorID>4b9e6518-56b5-4729-b550-41f161bb8a56</errorID>
      <errorWord>(</errorWord>
      <group>L1_Punc</group>
      <groupName>标点问题</groupName>
      <ability>L2_Punc_CN</ability>
      <abilityName>标点符号问题</abilityName>
      <candidateList/>
      <explain>同一形式括号套用。</explain>
      <paraID> 7A16D9D</paraID>
      <start>34</start>
      <end>35</end>
      <status>unmodified</status>
      <modifiedWord/>
      <trackRevisions>false</trackRevisions>
    </reviewItem>
    <reviewItem>
      <errorID>8d161922-e211-4bea-a851-8b4546ef55c7</errorID>
      <errorWord>)</errorWord>
      <group>L1_Punc</group>
      <groupName>标点问题</groupName>
      <ability>L2_Punc_CN</ability>
      <abilityName>标点符号问题</abilityName>
      <candidateList/>
      <explain>同一形式括号套用。</explain>
      <paraID> 7A16D9D</paraID>
      <start>36</start>
      <end>37</end>
      <status>unmodified</status>
      <modifiedWord/>
      <trackRevisions>false</trackRevisions>
    </reviewItem>
    <reviewItem>
      <errorID>fae90fc2-54b3-4a4e-93f2-3712d6c34cbb</errorID>
      <errorWord>(</errorWord>
      <group>L1_Format</group>
      <groupName>格式问题</groupName>
      <ability>L2_HalfPunc_CN</ability>
      <abilityName>全半角问题</abilityName>
      <candidateList>
        <item>（</item>
      </candidateList>
      <explain>文本全半角错误。</explain>
      <paraID>5D21B7A9</paraID>
      <start>3</start>
      <end>4</end>
      <status>unmodified</status>
      <modifiedWord/>
      <trackRevisions>false</trackRevisions>
    </reviewItem>
    <reviewItem>
      <errorID>57ff361d-35f2-440a-aab6-beeb8d1a3b4e</errorID>
      <errorWord>)</errorWord>
      <group>L1_Format</group>
      <groupName>格式问题</groupName>
      <ability>L2_HalfPunc_CN</ability>
      <abilityName>全半角问题</abilityName>
      <candidateList>
        <item>）</item>
      </candidateList>
      <explain>文本全半角错误。</explain>
      <paraID>5D21B7A9</paraID>
      <start>5</start>
      <end>6</end>
      <status>unmodified</status>
      <modifiedWord/>
      <trackRevisions>false</trackRevisions>
    </reviewItem>
    <reviewItem>
      <errorID>df8d6f1e-780e-48f9-a624-ffa83c6eaaeb</errorID>
      <errorWord>,</errorWord>
      <group>L1_Format</group>
      <groupName>格式问题</groupName>
      <ability>L2_HalfPunc_CN</ability>
      <abilityName>全半角问题</abilityName>
      <candidateList>
        <item>，</item>
      </candidateList>
      <explain>文本全半角错误。</explain>
      <paraID>76B54017</paraID>
      <start>7</start>
      <end>8</end>
      <status>unmodified</status>
      <modifiedWord/>
      <trackRevisions>false</trackRevisions>
    </reviewItem>
    <reviewItem>
      <errorID>21677a6e-94dc-4c8e-a25c-473d8be42ebb</errorID>
      <errorWord>(</errorWord>
      <group>L1_Format</group>
      <groupName>格式问题</groupName>
      <ability>L2_HalfPunc_CN</ability>
      <abilityName>全半角问题</abilityName>
      <candidateList>
        <item>（</item>
      </candidateList>
      <explain>文本全半角错误。</explain>
      <paraID>10A165BE</paraID>
      <start>2</start>
      <end>3</end>
      <status>unmodified</status>
      <modifiedWord/>
      <trackRevisions>false</trackRevisions>
    </reviewItem>
    <reviewItem>
      <errorID>ddc203b6-cac3-49fe-9937-fac97a472334</errorID>
      <errorWord>)</errorWord>
      <group>L1_Format</group>
      <groupName>格式问题</groupName>
      <ability>L2_HalfPunc_CN</ability>
      <abilityName>全半角问题</abilityName>
      <candidateList>
        <item>）</item>
      </candidateList>
      <explain>文本全半角错误。</explain>
      <paraID> 5D0BE6B</paraID>
      <start>3</start>
      <end>4</end>
      <status>unmodified</status>
      <modifiedWord/>
      <trackRevisions>false</trackRevisions>
    </reviewItem>
    <reviewItem>
      <errorID>aaf504e0-84a7-4a90-846e-289f6dc0d87b</errorID>
      <errorWord>(</errorWord>
      <group>L1_Format</group>
      <groupName>格式问题</groupName>
      <ability>L2_HalfPunc_CN</ability>
      <abilityName>全半角问题</abilityName>
      <candidateList>
        <item>（</item>
      </candidateList>
      <explain>文本全半角错误。</explain>
      <paraID>7C4A3B1D</paraID>
      <start>10</start>
      <end>11</end>
      <status>unmodified</status>
      <modifiedWord/>
      <trackRevisions>false</trackRevisions>
    </reviewItem>
    <reviewItem>
      <errorID>cecf31ce-f9e3-4e0d-b0a9-061e4bbd3deb</errorID>
      <errorWord>)</errorWord>
      <group>L1_Format</group>
      <groupName>格式问题</groupName>
      <ability>L2_HalfPunc_CN</ability>
      <abilityName>全半角问题</abilityName>
      <candidateList>
        <item>）</item>
      </candidateList>
      <explain>文本全半角错误。</explain>
      <paraID>7C4A3B1D</paraID>
      <start>18</start>
      <end>19</end>
      <status>unmodified</status>
      <modifiedWord/>
      <trackRevisions>false</trackRevisions>
    </reviewItem>
    <reviewItem>
      <errorID>d7886897-2f5a-4d48-ab15-2074de19ff06</errorID>
      <errorWord>(</errorWord>
      <group>L1_Format</group>
      <groupName>格式问题</groupName>
      <ability>L2_HalfPunc_CN</ability>
      <abilityName>全半角问题</abilityName>
      <candidateList>
        <item>（</item>
      </candidateList>
      <explain>文本全半角错误。</explain>
      <paraID>579E111E</paraID>
      <start>10</start>
      <end>11</end>
      <status>unmodified</status>
      <modifiedWord/>
      <trackRevisions>false</trackRevisions>
    </reviewItem>
    <reviewItem>
      <errorID>a10cd330-d1d7-4b3e-80b3-0e7d06467e12</errorID>
      <errorWord>)</errorWord>
      <group>L1_Format</group>
      <groupName>格式问题</groupName>
      <ability>L2_HalfPunc_CN</ability>
      <abilityName>全半角问题</abilityName>
      <candidateList>
        <item>）</item>
      </candidateList>
      <explain>文本全半角错误。</explain>
      <paraID>579E111E</paraID>
      <start>18</start>
      <end>19</end>
      <status>unmodified</status>
      <modifiedWord/>
      <trackRevisions>false</trackRevisions>
    </reviewItem>
    <reviewItem>
      <errorID>cd497559-4535-46c0-ba17-2c0e974c29fa</errorID>
      <errorWord>(</errorWord>
      <group>L1_Format</group>
      <groupName>格式问题</groupName>
      <ability>L2_HalfPunc_CN</ability>
      <abilityName>全半角问题</abilityName>
      <candidateList>
        <item>（</item>
      </candidateList>
      <explain>文本全半角错误。</explain>
      <paraID> 9E72A3E</paraID>
      <start>11</start>
      <end>12</end>
      <status>unmodified</status>
      <modifiedWord/>
      <trackRevisions>false</trackRevisions>
    </reviewItem>
    <reviewItem>
      <errorID>629989da-5c9c-4437-9706-ca8fc9898b9a</errorID>
      <errorWord>)</errorWord>
      <group>L1_Format</group>
      <groupName>格式问题</groupName>
      <ability>L2_HalfPunc_CN</ability>
      <abilityName>全半角问题</abilityName>
      <candidateList>
        <item>）</item>
      </candidateList>
      <explain>文本全半角错误。</explain>
      <paraID> 9E72A3E</paraID>
      <start>19</start>
      <end>20</end>
      <status>unmodified</status>
      <modifiedWord/>
      <trackRevisions>false</trackRevisions>
    </reviewItem>
    <reviewItem>
      <errorID>72b53234-2db4-41f9-89ae-1613234812ef</errorID>
      <errorWord>(</errorWord>
      <group>L1_Format</group>
      <groupName>格式问题</groupName>
      <ability>L2_HalfPunc_CN</ability>
      <abilityName>全半角问题</abilityName>
      <candidateList>
        <item>（</item>
      </candidateList>
      <explain>文本全半角错误。</explain>
      <paraID> 4759F7D</paraID>
      <start>11</start>
      <end>12</end>
      <status>unmodified</status>
      <modifiedWord/>
      <trackRevisions>false</trackRevisions>
    </reviewItem>
    <reviewItem>
      <errorID>9889a04e-be97-4877-b203-395bde5e37a6</errorID>
      <errorWord>)</errorWord>
      <group>L1_Format</group>
      <groupName>格式问题</groupName>
      <ability>L2_HalfPunc_CN</ability>
      <abilityName>全半角问题</abilityName>
      <candidateList>
        <item>）</item>
      </candidateList>
      <explain>文本全半角错误。</explain>
      <paraID> 4759F7D</paraID>
      <start>19</start>
      <end>20</end>
      <status>unmodified</status>
      <modifiedWord/>
      <trackRevisions>false</trackRevisions>
    </reviewItem>
    <reviewItem>
      <errorID>a7a2f09f-e3b0-4ce1-8546-ba880f9bb993</errorID>
      <errorWord>(</errorWord>
      <group>L1_Format</group>
      <groupName>格式问题</groupName>
      <ability>L2_HalfPunc_CN</ability>
      <abilityName>全半角问题</abilityName>
      <candidateList>
        <item>（</item>
      </candidateList>
      <explain>文本全半角错误。</explain>
      <paraID>5581F8D4</paraID>
      <start>10</start>
      <end>11</end>
      <status>unmodified</status>
      <modifiedWord/>
      <trackRevisions>false</trackRevisions>
    </reviewItem>
    <reviewItem>
      <errorID>bbcb9ec7-76e4-4bec-9a6a-fdb60cc829f4</errorID>
      <errorWord>)</errorWord>
      <group>L1_Format</group>
      <groupName>格式问题</groupName>
      <ability>L2_HalfPunc_CN</ability>
      <abilityName>全半角问题</abilityName>
      <candidateList>
        <item>）</item>
      </candidateList>
      <explain>文本全半角错误。</explain>
      <paraID>5581F8D4</paraID>
      <start>18</start>
      <end>19</end>
      <status>unmodified</status>
      <modifiedWord/>
      <trackRevisions>false</trackRevisions>
    </reviewItem>
    <reviewItem>
      <errorID>58e2ffad-b4e7-4590-adc3-396539f18d46</errorID>
      <errorWord>(</errorWord>
      <group>L1_Format</group>
      <groupName>格式问题</groupName>
      <ability>L2_HalfPunc_CN</ability>
      <abilityName>全半角问题</abilityName>
      <candidateList>
        <item>（</item>
      </candidateList>
      <explain>文本全半角错误。</explain>
      <paraID>2D5B23E0</paraID>
      <start>3</start>
      <end>4</end>
      <status>unmodified</status>
      <modifiedWord/>
      <trackRevisions>false</trackRevisions>
    </reviewItem>
    <reviewItem>
      <errorID>4fdcade4-fa74-4233-bf89-64b1b03880d4</errorID>
      <errorWord>)</errorWord>
      <group>L1_Format</group>
      <groupName>格式问题</groupName>
      <ability>L2_HalfPunc_CN</ability>
      <abilityName>全半角问题</abilityName>
      <candidateList>
        <item>）</item>
      </candidateList>
      <explain>文本全半角错误。</explain>
      <paraID>2D5B23E0</paraID>
      <start>11</start>
      <end>12</end>
      <status>unmodified</status>
      <modifiedWord/>
      <trackRevisions>false</trackRevisions>
    </reviewItem>
    <reviewItem>
      <errorID>d2e8f177-dbfb-415f-ac20-9b9e50726e74</errorID>
      <errorWord>(</errorWord>
      <group>L1_Format</group>
      <groupName>格式问题</groupName>
      <ability>L2_HalfPunc_CN</ability>
      <abilityName>全半角问题</abilityName>
      <candidateList>
        <item>（</item>
      </candidateList>
      <explain>文本全半角错误。</explain>
      <paraID>3A487DCD</paraID>
      <start>2</start>
      <end>3</end>
      <status>unmodified</status>
      <modifiedWord/>
      <trackRevisions>false</trackRevisions>
    </reviewItem>
    <reviewItem>
      <errorID>33a8e68b-a7a4-4efe-af86-4455599470ef</errorID>
      <errorWord>)</errorWord>
      <group>L1_Format</group>
      <groupName>格式问题</groupName>
      <ability>L2_HalfPunc_CN</ability>
      <abilityName>全半角问题</abilityName>
      <candidateList>
        <item>）</item>
      </candidateList>
      <explain>文本全半角错误。</explain>
      <paraID> 2D1B6CA</paraID>
      <start>3</start>
      <end>4</end>
      <status>unmodified</status>
      <modifiedWord/>
      <trackRevisions>false</trackRevisions>
    </reviewItem>
    <reviewItem>
      <errorID>9717ac84-ef6f-49be-af7a-1503e1089602</errorID>
      <errorWord>(</errorWord>
      <group>L1_Format</group>
      <groupName>格式问题</groupName>
      <ability>L2_HalfPunc_CN</ability>
      <abilityName>全半角问题</abilityName>
      <candidateList>
        <item>（</item>
      </candidateList>
      <explain>文本全半角错误。</explain>
      <paraID>477669D8</paraID>
      <start>10</start>
      <end>11</end>
      <status>unmodified</status>
      <modifiedWord/>
      <trackRevisions>false</trackRevisions>
    </reviewItem>
    <reviewItem>
      <errorID>758dc93a-1a23-4d7c-b2c6-b3f4bd932c11</errorID>
      <errorWord>)</errorWord>
      <group>L1_Format</group>
      <groupName>格式问题</groupName>
      <ability>L2_HalfPunc_CN</ability>
      <abilityName>全半角问题</abilityName>
      <candidateList>
        <item>）</item>
      </candidateList>
      <explain>文本全半角错误。</explain>
      <paraID>477669D8</paraID>
      <start>18</start>
      <end>19</end>
      <status>unmodified</status>
      <modifiedWord/>
      <trackRevisions>false</trackRevisions>
    </reviewItem>
    <reviewItem>
      <errorID>79882bb9-e4e5-4d93-9a44-740999dbffb2</errorID>
      <errorWord>(</errorWord>
      <group>L1_Format</group>
      <groupName>格式问题</groupName>
      <ability>L2_HalfPunc_CN</ability>
      <abilityName>全半角问题</abilityName>
      <candidateList>
        <item>（</item>
      </candidateList>
      <explain>文本全半角错误。</explain>
      <paraID>58E46A00</paraID>
      <start>10</start>
      <end>11</end>
      <status>unmodified</status>
      <modifiedWord/>
      <trackRevisions>false</trackRevisions>
    </reviewItem>
    <reviewItem>
      <errorID>bfcb70a5-e34a-4025-bcd8-d7c2f5a9ae36</errorID>
      <errorWord>)</errorWord>
      <group>L1_Format</group>
      <groupName>格式问题</groupName>
      <ability>L2_HalfPunc_CN</ability>
      <abilityName>全半角问题</abilityName>
      <candidateList>
        <item>）</item>
      </candidateList>
      <explain>文本全半角错误。</explain>
      <paraID>58E46A00</paraID>
      <start>18</start>
      <end>19</end>
      <status>unmodified</status>
      <modifiedWord/>
      <trackRevisions>false</trackRevisions>
    </reviewItem>
    <reviewItem>
      <errorID>7b2f9a66-1a18-46c1-9a8f-8ee537dd372c</errorID>
      <errorWord>(</errorWord>
      <group>L1_Format</group>
      <groupName>格式问题</groupName>
      <ability>L2_HalfPunc_CN</ability>
      <abilityName>全半角问题</abilityName>
      <candidateList>
        <item>（</item>
      </candidateList>
      <explain>文本全半角错误。</explain>
      <paraID>3A65CD88</paraID>
      <start>10</start>
      <end>11</end>
      <status>unmodified</status>
      <modifiedWord/>
      <trackRevisions>false</trackRevisions>
    </reviewItem>
    <reviewItem>
      <errorID>f3555e0d-ced6-4e4c-8ca3-21322b7062c2</errorID>
      <errorWord>)</errorWord>
      <group>L1_Format</group>
      <groupName>格式问题</groupName>
      <ability>L2_HalfPunc_CN</ability>
      <abilityName>全半角问题</abilityName>
      <candidateList>
        <item>）</item>
      </candidateList>
      <explain>文本全半角错误。</explain>
      <paraID>3A65CD88</paraID>
      <start>18</start>
      <end>19</end>
      <status>unmodified</status>
      <modifiedWord/>
      <trackRevisions>false</trackRevisions>
    </reviewItem>
    <reviewItem>
      <errorID>c179ab62-b034-4767-9189-74eb5037d491</errorID>
      <errorWord>(</errorWord>
      <group>L1_Format</group>
      <groupName>格式问题</groupName>
      <ability>L2_HalfPunc_CN</ability>
      <abilityName>全半角问题</abilityName>
      <candidateList>
        <item>（</item>
      </candidateList>
      <explain>文本全半角错误。</explain>
      <paraID>2886F10C</paraID>
      <start>3</start>
      <end>4</end>
      <status>unmodified</status>
      <modifiedWord/>
      <trackRevisions>false</trackRevisions>
    </reviewItem>
    <reviewItem>
      <errorID>27fcd76a-31fa-4cec-bb95-8cfea3f27dd3</errorID>
      <errorWord>)</errorWord>
      <group>L1_Format</group>
      <groupName>格式问题</groupName>
      <ability>L2_HalfPunc_CN</ability>
      <abilityName>全半角问题</abilityName>
      <candidateList>
        <item>）</item>
      </candidateList>
      <explain>文本全半角错误。</explain>
      <paraID>2886F10C</paraID>
      <start>11</start>
      <end>12</end>
      <status>unmodified</status>
      <modifiedWord/>
      <trackRevisions>false</trackRevisions>
    </reviewItem>
    <reviewItem>
      <errorID>e5f8c498-b337-447e-ab59-7ab6a26fff43</errorID>
      <errorWord>(</errorWord>
      <group>L1_Format</group>
      <groupName>格式问题</groupName>
      <ability>L2_HalfPunc_CN</ability>
      <abilityName>全半角问题</abilityName>
      <candidateList>
        <item>（</item>
      </candidateList>
      <explain>文本全半角错误。</explain>
      <paraID>2682961A</paraID>
      <start>3</start>
      <end>4</end>
      <status>unmodified</status>
      <modifiedWord/>
      <trackRevisions>false</trackRevisions>
    </reviewItem>
    <reviewItem>
      <errorID>d28bb7fa-03a5-4bb6-9279-975d2b3f0b53</errorID>
      <errorWord>)</errorWord>
      <group>L1_Format</group>
      <groupName>格式问题</groupName>
      <ability>L2_HalfPunc_CN</ability>
      <abilityName>全半角问题</abilityName>
      <candidateList>
        <item>）</item>
      </candidateList>
      <explain>文本全半角错误。</explain>
      <paraID>2682961A</paraID>
      <start>11</start>
      <end>12</end>
      <status>unmodified</status>
      <modifiedWord/>
      <trackRevisions>false</trackRevisions>
    </reviewItem>
    <reviewItem>
      <errorID>aa9fe10b-6e5d-4c8c-921a-9dfcaf44153c</errorID>
      <errorWord>(</errorWord>
      <group>L1_Format</group>
      <groupName>格式问题</groupName>
      <ability>L2_HalfPunc_CN</ability>
      <abilityName>全半角问题</abilityName>
      <candidateList>
        <item>（</item>
      </candidateList>
      <explain>文本全半角错误。</explain>
      <paraID>6DBBE2A1</paraID>
      <start>3</start>
      <end>4</end>
      <status>unmodified</status>
      <modifiedWord/>
      <trackRevisions>false</trackRevisions>
    </reviewItem>
    <reviewItem>
      <errorID>ba9c24c1-5249-4e8c-91d8-001342ca6837</errorID>
      <errorWord>)</errorWord>
      <group>L1_Format</group>
      <groupName>格式问题</groupName>
      <ability>L2_HalfPunc_CN</ability>
      <abilityName>全半角问题</abilityName>
      <candidateList>
        <item>）</item>
      </candidateList>
      <explain>文本全半角错误。</explain>
      <paraID>6DBBE2A1</paraID>
      <start>11</start>
      <end>12</end>
      <status>unmodified</status>
      <modifiedWord/>
      <trackRevisions>false</trackRevisions>
    </reviewItem>
    <reviewItem>
      <errorID>3da51fe7-1d80-4aea-85fa-413cecd5caef</errorID>
      <errorWord>(</errorWord>
      <group>L1_Format</group>
      <groupName>格式问题</groupName>
      <ability>L2_HalfPunc_CN</ability>
      <abilityName>全半角问题</abilityName>
      <candidateList>
        <item>（</item>
      </candidateList>
      <explain>文本全半角错误。</explain>
      <paraID> 7C2F889</paraID>
      <start>27</start>
      <end>28</end>
      <status>unmodified</status>
      <modifiedWord/>
      <trackRevisions>false</trackRevisions>
    </reviewItem>
    <reviewItem>
      <errorID>c5ccf5a9-6ce8-4760-9906-efb06e1162e4</errorID>
      <errorWord>)</errorWord>
      <group>L1_Format</group>
      <groupName>格式问题</groupName>
      <ability>L2_HalfPunc_CN</ability>
      <abilityName>全半角问题</abilityName>
      <candidateList>
        <item>）</item>
      </candidateList>
      <explain>文本全半角错误。</explain>
      <paraID> 7C2F889</paraID>
      <start>34</start>
      <end>35</end>
      <status>unmodified</status>
      <modifiedWord/>
      <trackRevisions>false</trackRevisions>
    </reviewItem>
    <reviewItem>
      <errorID>e3e91254-daf9-4bb0-b559-0e78c3177aa5</errorID>
      <errorWord>(</errorWord>
      <group>L1_Format</group>
      <groupName>格式问题</groupName>
      <ability>L2_HalfPunc_CN</ability>
      <abilityName>全半角问题</abilityName>
      <candidateList>
        <item>（</item>
      </candidateList>
      <explain>文本全半角错误。</explain>
      <paraID> 7C2F889</paraID>
      <start>46</start>
      <end>47</end>
      <status>unmodified</status>
      <modifiedWord/>
      <trackRevisions>false</trackRevisions>
    </reviewItem>
    <reviewItem>
      <errorID>7ab43f2a-de71-4da7-9d80-f9dcf621049f</errorID>
      <errorWord>)</errorWord>
      <group>L1_Format</group>
      <groupName>格式问题</groupName>
      <ability>L2_HalfPunc_CN</ability>
      <abilityName>全半角问题</abilityName>
      <candidateList>
        <item>）</item>
      </candidateList>
      <explain>文本全半角错误。</explain>
      <paraID> 7C2F889</paraID>
      <start>53</start>
      <end>54</end>
      <status>unmodified</status>
      <modifiedWord/>
      <trackRevisions>false</trackRevisions>
    </reviewItem>
    <reviewItem>
      <errorID>787b555f-2938-49d4-85b9-bfc7d518784e</errorID>
      <errorWord>(</errorWord>
      <group>L1_Format</group>
      <groupName>格式问题</groupName>
      <ability>L2_HalfPunc_CN</ability>
      <abilityName>全半角问题</abilityName>
      <candidateList>
        <item>（</item>
      </candidateList>
      <explain>文本全半角错误。</explain>
      <paraID> 7C2F889</paraID>
      <start>74</start>
      <end>75</end>
      <status>unmodified</status>
      <modifiedWord/>
      <trackRevisions>false</trackRevisions>
    </reviewItem>
    <reviewItem>
      <errorID>4076fb1d-e180-483a-a1d3-8c060b0b6f4d</errorID>
      <errorWord>)</errorWord>
      <group>L1_Format</group>
      <groupName>格式问题</groupName>
      <ability>L2_HalfPunc_CN</ability>
      <abilityName>全半角问题</abilityName>
      <candidateList>
        <item>）</item>
      </candidateList>
      <explain>文本全半角错误。</explain>
      <paraID> 6E6BC08</paraID>
      <start>4</start>
      <end>5</end>
      <status>unmodified</status>
      <modifiedWord/>
      <trackRevisions>false</trackRevisions>
    </reviewItem>
    <reviewItem>
      <errorID>62a40d95-d121-4805-a9b2-b8271fcef429</errorID>
      <errorWord>(</errorWord>
      <group>L1_Format</group>
      <groupName>格式问题</groupName>
      <ability>L2_HalfPunc_CN</ability>
      <abilityName>全半角问题</abilityName>
      <candidateList>
        <item>（</item>
      </candidateList>
      <explain>文本全半角错误。</explain>
      <paraID> 6E6BC08</paraID>
      <start>15</start>
      <end>16</end>
      <status>unmodified</status>
      <modifiedWord/>
      <trackRevisions>false</trackRevisions>
    </reviewItem>
    <reviewItem>
      <errorID>e0a54777-e2b1-45d9-bb3d-09202204c04c</errorID>
      <errorWord>)</errorWord>
      <group>L1_Format</group>
      <groupName>格式问题</groupName>
      <ability>L2_HalfPunc_CN</ability>
      <abilityName>全半角问题</abilityName>
      <candidateList>
        <item>）</item>
      </candidateList>
      <explain>文本全半角错误。</explain>
      <paraID> 6E6BC08</paraID>
      <start>22</start>
      <end>23</end>
      <status>unmodified</status>
      <modifiedWord/>
      <trackRevisions>false</trackRevisions>
    </reviewItem>
    <reviewItem>
      <errorID>4814cfca-6241-44db-84ca-6de164ccbb2c</errorID>
      <errorWord>(</errorWord>
      <group>L1_Format</group>
      <groupName>格式问题</groupName>
      <ability>L2_HalfPunc_CN</ability>
      <abilityName>全半角问题</abilityName>
      <candidateList>
        <item>（</item>
      </candidateList>
      <explain>文本全半角错误。</explain>
      <paraID> 6E6BC08</paraID>
      <start>33</start>
      <end>34</end>
      <status>unmodified</status>
      <modifiedWord/>
      <trackRevisions>false</trackRevisions>
    </reviewItem>
    <reviewItem>
      <errorID>fe2efb21-e14f-4e47-af67-92f658679b9a</errorID>
      <errorWord>)</errorWord>
      <group>L1_Format</group>
      <groupName>格式问题</groupName>
      <ability>L2_HalfPunc_CN</ability>
      <abilityName>全半角问题</abilityName>
      <candidateList>
        <item>）</item>
      </candidateList>
      <explain>文本全半角错误。</explain>
      <paraID> 6E6BC08</paraID>
      <start>42</start>
      <end>43</end>
      <status>unmodified</status>
      <modifiedWord/>
      <trackRevisions>false</trackRevisions>
    </reviewItem>
    <reviewItem>
      <errorID>f0074c3d-6f68-48c0-a5f0-9ee67b65c2db</errorID>
      <errorWord>(</errorWord>
      <group>L1_Format</group>
      <groupName>格式问题</groupName>
      <ability>L2_HalfPunc_CN</ability>
      <abilityName>全半角问题</abilityName>
      <candidateList>
        <item>（</item>
      </candidateList>
      <explain>文本全半角错误。</explain>
      <paraID> 6E6BC08</paraID>
      <start>60</start>
      <end>61</end>
      <status>unmodified</status>
      <modifiedWord/>
      <trackRevisions>false</trackRevisions>
    </reviewItem>
    <reviewItem>
      <errorID>11c1b19b-2e48-4f09-b2f2-88654ff279ba</errorID>
      <errorWord>)</errorWord>
      <group>L1_Format</group>
      <groupName>格式问题</groupName>
      <ability>L2_HalfPunc_CN</ability>
      <abilityName>全半角问题</abilityName>
      <candidateList>
        <item>）</item>
      </candidateList>
      <explain>文本全半角错误。</explain>
      <paraID> 6E6BC08</paraID>
      <start>67</start>
      <end>68</end>
      <status>unmodified</status>
      <modifiedWord/>
      <trackRevisions>false</trackRevisions>
    </reviewItem>
    <reviewItem>
      <errorID>8dd047ce-fd0d-4bf8-b4f4-6b17b36f1867</errorID>
      <errorWord>(</errorWord>
      <group>L1_Format</group>
      <groupName>格式问题</groupName>
      <ability>L2_HalfPunc_CN</ability>
      <abilityName>全半角问题</abilityName>
      <candidateList>
        <item>（</item>
      </candidateList>
      <explain>文本全半角错误。</explain>
      <paraID> 6E6BC08</paraID>
      <start>105</start>
      <end>106</end>
      <status>unmodified</status>
      <modifiedWord/>
      <trackRevisions>false</trackRevisions>
    </reviewItem>
    <reviewItem>
      <errorID>a6d2cfbc-c591-49ed-95b9-dd78fadd34c0</errorID>
      <errorWord>(</errorWord>
      <group>L1_Format</group>
      <groupName>格式问题</groupName>
      <ability>L2_HalfPunc_CN</ability>
      <abilityName>全半角问题</abilityName>
      <candidateList>
        <item>（</item>
      </candidateList>
      <explain>文本全半角错误。</explain>
      <paraID> 8CC2EC8</paraID>
      <start>20</start>
      <end>21</end>
      <status>unmodified</status>
      <modifiedWord/>
      <trackRevisions>false</trackRevisions>
    </reviewItem>
    <reviewItem>
      <errorID>c0cb5f4c-8ce0-4a56-ac53-93f6bb31d28f</errorID>
      <errorWord>)</errorWord>
      <group>L1_Format</group>
      <groupName>格式问题</groupName>
      <ability>L2_HalfPunc_CN</ability>
      <abilityName>全半角问题</abilityName>
      <candidateList>
        <item>）</item>
      </candidateList>
      <explain>文本全半角错误。</explain>
      <paraID> 8CC2EC8</paraID>
      <start>27</start>
      <end>28</end>
      <status>unmodified</status>
      <modifiedWord/>
      <trackRevisions>false</trackRevisions>
    </reviewItem>
    <reviewItem>
      <errorID>65a6fac8-2077-41be-afa0-5d1af5351108</errorID>
      <errorWord>(</errorWord>
      <group>L1_Format</group>
      <groupName>格式问题</groupName>
      <ability>L2_HalfPunc_CN</ability>
      <abilityName>全半角问题</abilityName>
      <candidateList>
        <item>（</item>
      </candidateList>
      <explain>文本全半角错误。</explain>
      <paraID> 8CC2EC8</paraID>
      <start>39</start>
      <end>40</end>
      <status>unmodified</status>
      <modifiedWord/>
      <trackRevisions>false</trackRevisions>
    </reviewItem>
    <reviewItem>
      <errorID>96585ca4-e40a-4e85-ab85-4b747aaffdb2</errorID>
      <errorWord>)</errorWord>
      <group>L1_Format</group>
      <groupName>格式问题</groupName>
      <ability>L2_HalfPunc_CN</ability>
      <abilityName>全半角问题</abilityName>
      <candidateList>
        <item>）</item>
      </candidateList>
      <explain>文本全半角错误。</explain>
      <paraID> 8CC2EC8</paraID>
      <start>46</start>
      <end>47</end>
      <status>unmodified</status>
      <modifiedWord/>
      <trackRevisions>false</trackRevisions>
    </reviewItem>
    <reviewItem>
      <errorID>35c7c20b-366a-4766-89c0-64fd33ff0957</errorID>
      <errorWord>(</errorWord>
      <group>L1_Format</group>
      <groupName>格式问题</groupName>
      <ability>L2_HalfPunc_CN</ability>
      <abilityName>全半角问题</abilityName>
      <candidateList>
        <item>（</item>
      </candidateList>
      <explain>文本全半角错误。</explain>
      <paraID> 8CC2EC8</paraID>
      <start>57</start>
      <end>58</end>
      <status>unmodified</status>
      <modifiedWord/>
      <trackRevisions>false</trackRevisions>
    </reviewItem>
    <reviewItem>
      <errorID>a825f7cd-a7a1-490a-9aa0-5fa0cf6e738e</errorID>
      <errorWord>)</errorWord>
      <group>L1_Format</group>
      <groupName>格式问题</groupName>
      <ability>L2_HalfPunc_CN</ability>
      <abilityName>全半角问题</abilityName>
      <candidateList>
        <item>）</item>
      </candidateList>
      <explain>文本全半角错误。</explain>
      <paraID> 8CC2EC8</paraID>
      <start>64</start>
      <end>65</end>
      <status>unmodified</status>
      <modifiedWord/>
      <trackRevisions>false</trackRevisions>
    </reviewItem>
    <reviewItem>
      <errorID>beb3186c-0f35-4dc0-a257-3fe6af525349</errorID>
      <errorWord>(</errorWord>
      <group>L1_Format</group>
      <groupName>格式问题</groupName>
      <ability>L2_HalfPunc_CN</ability>
      <abilityName>全半角问题</abilityName>
      <candidateList>
        <item>（</item>
      </candidateList>
      <explain>文本全半角错误。</explain>
      <paraID> 8CC2EC8</paraID>
      <start>93</start>
      <end>94</end>
      <status>unmodified</status>
      <modifiedWord/>
      <trackRevisions>false</trackRevisions>
    </reviewItem>
    <reviewItem>
      <errorID>5f0375b9-6348-4903-b224-67d1a9c1a90f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7C461670</paraID>
      <start>31</start>
      <end>32</end>
      <status>unmodified</status>
      <modifiedWord/>
      <trackRevisions>false</trackRevisions>
    </reviewItem>
    <reviewItem>
      <errorID>255cfff4-361f-4360-b690-307a6e2a9054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4FE498B3</paraID>
      <start>1</start>
      <end>2</end>
      <status>unmodified</status>
      <modifiedWord/>
      <trackRevisions>false</trackRevisions>
    </reviewItem>
    <reviewItem>
      <errorID>5563ef74-5edf-4cf9-8916-bc846dcfe9f1</errorID>
      <errorWord>(</errorWord>
      <group>L1_Format</group>
      <groupName>格式问题</groupName>
      <ability>L2_HalfPunc_CN</ability>
      <abilityName>全半角问题</abilityName>
      <candidateList>
        <item>（</item>
      </candidateList>
      <explain>文本全半角错误。</explain>
      <paraID>4FE498B3</paraID>
      <start>47</start>
      <end>48</end>
      <status>unmodified</status>
      <modifiedWord/>
      <trackRevisions>false</trackRevisions>
    </reviewItem>
    <reviewItem>
      <errorID>20b18b42-2d81-42e2-a8e1-a81c4ab6281f</errorID>
      <errorWord>(</errorWord>
      <group>L1_Format</group>
      <groupName>格式问题</groupName>
      <ability>L2_HalfPunc_CN</ability>
      <abilityName>全半角问题</abilityName>
      <candidateList>
        <item>（</item>
      </candidateList>
      <explain>文本全半角错误。</explain>
      <paraID>73622C59</paraID>
      <start>11</start>
      <end>12</end>
      <status>unmodified</status>
      <modifiedWord/>
      <trackRevisions>false</trackRevisions>
    </reviewItem>
    <reviewItem>
      <errorID>a33f745d-3cf2-4625-83fb-2a256b682e50</errorID>
      <errorWord>)</errorWord>
      <group>L1_Format</group>
      <groupName>格式问题</groupName>
      <ability>L2_HalfPunc_CN</ability>
      <abilityName>全半角问题</abilityName>
      <candidateList>
        <item>）</item>
      </candidateList>
      <explain>文本全半角错误。</explain>
      <paraID>73622C59</paraID>
      <start>18</start>
      <end>19</end>
      <status>unmodified</status>
      <modifiedWord/>
      <trackRevisions>false</trackRevisions>
    </reviewItem>
    <reviewItem>
      <errorID>df03aa22-05f2-413b-b1c1-3508c6906ee0</errorID>
      <errorWord>(</errorWord>
      <group>L1_Format</group>
      <groupName>格式问题</groupName>
      <ability>L2_HalfPunc_CN</ability>
      <abilityName>全半角问题</abilityName>
      <candidateList>
        <item>（</item>
      </candidateList>
      <explain>文本全半角错误。</explain>
      <paraID>73622C59</paraID>
      <start>29</start>
      <end>30</end>
      <status>unmodified</status>
      <modifiedWord/>
      <trackRevisions>false</trackRevisions>
    </reviewItem>
    <reviewItem>
      <errorID>17b8935e-1cb7-408a-8e05-dc3b00450bb2</errorID>
      <errorWord>)</errorWord>
      <group>L1_Format</group>
      <groupName>格式问题</groupName>
      <ability>L2_HalfPunc_CN</ability>
      <abilityName>全半角问题</abilityName>
      <candidateList>
        <item>）</item>
      </candidateList>
      <explain>文本全半角错误。</explain>
      <paraID>73622C59</paraID>
      <start>36</start>
      <end>37</end>
      <status>unmodified</status>
      <modifiedWord/>
      <trackRevisions>false</trackRevisions>
    </reviewItem>
    <reviewItem>
      <errorID>59c75752-256c-4055-9780-8c45b880ba1b</errorID>
      <errorWord>(</errorWord>
      <group>L1_Format</group>
      <groupName>格式问题</groupName>
      <ability>L2_HalfPunc_CN</ability>
      <abilityName>全半角问题</abilityName>
      <candidateList>
        <item>（</item>
      </candidateList>
      <explain>文本全半角错误。</explain>
      <paraID>73622C59</paraID>
      <start>48</start>
      <end>49</end>
      <status>unmodified</status>
      <modifiedWord/>
      <trackRevisions>false</trackRevisions>
    </reviewItem>
    <reviewItem>
      <errorID>0635d29e-15b8-47bf-9855-90c0fbe037a3</errorID>
      <errorWord>)</errorWord>
      <group>L1_Format</group>
      <groupName>格式问题</groupName>
      <ability>L2_HalfPunc_CN</ability>
      <abilityName>全半角问题</abilityName>
      <candidateList>
        <item>）</item>
      </candidateList>
      <explain>文本全半角错误。</explain>
      <paraID>73622C59</paraID>
      <start>55</start>
      <end>56</end>
      <status>unmodified</status>
      <modifiedWord/>
      <trackRevisions>false</trackRevisions>
    </reviewItem>
    <reviewItem>
      <errorID>1f02b595-927c-4839-9410-5da7de28ca56</errorID>
      <errorWord>(</errorWord>
      <group>L1_Format</group>
      <groupName>格式问题</groupName>
      <ability>L2_HalfPunc_CN</ability>
      <abilityName>全半角问题</abilityName>
      <candidateList>
        <item>（</item>
      </candidateList>
      <explain>文本全半角错误。</explain>
      <paraID>73622C59</paraID>
      <start>75</start>
      <end>76</end>
      <status>unmodified</status>
      <modifiedWord/>
      <trackRevisions>false</trackRevisions>
    </reviewItem>
    <reviewItem>
      <errorID>3dcfcd78-1660-4146-b930-6774f48d555c</errorID>
      <errorWord>)</errorWord>
      <group>L1_Format</group>
      <groupName>格式问题</groupName>
      <ability>L2_HalfPunc_CN</ability>
      <abilityName>全半角问题</abilityName>
      <candidateList>
        <item>）</item>
      </candidateList>
      <explain>文本全半角错误。</explain>
      <paraID>112E0CA1</paraID>
      <start>4</start>
      <end>5</end>
      <status>unmodified</status>
      <modifiedWord/>
      <trackRevisions>false</trackRevisions>
    </reviewItem>
    <reviewItem>
      <errorID>0875ed6d-8bad-43f0-9512-8cdf322667e5</errorID>
      <errorWord>(</errorWord>
      <group>L1_Format</group>
      <groupName>格式问题</groupName>
      <ability>L2_HalfPunc_CN</ability>
      <abilityName>全半角问题</abilityName>
      <candidateList>
        <item>（</item>
      </candidateList>
      <explain>文本全半角错误。</explain>
      <paraID>112E0CA1</paraID>
      <start>24</start>
      <end>25</end>
      <status>unmodified</status>
      <modifiedWord/>
      <trackRevisions>false</trackRevisions>
    </reviewItem>
    <reviewItem>
      <errorID>f21513ab-827d-44b6-a02e-894579a8310b</errorID>
      <errorWord>)</errorWord>
      <group>L1_Format</group>
      <groupName>格式问题</groupName>
      <ability>L2_HalfPunc_CN</ability>
      <abilityName>全半角问题</abilityName>
      <candidateList>
        <item>）</item>
      </candidateList>
      <explain>文本全半角错误。</explain>
      <paraID>112E0CA1</paraID>
      <start>31</start>
      <end>32</end>
      <status>unmodified</status>
      <modifiedWord/>
      <trackRevisions>false</trackRevisions>
    </reviewItem>
    <reviewItem>
      <errorID>380531c2-3d56-40dd-a0da-1127b6fcd374</errorID>
      <errorWord>(</errorWord>
      <group>L1_Format</group>
      <groupName>格式问题</groupName>
      <ability>L2_HalfPunc_CN</ability>
      <abilityName>全半角问题</abilityName>
      <candidateList>
        <item>（</item>
      </candidateList>
      <explain>文本全半角错误。</explain>
      <paraID>1B108C7E</paraID>
      <start>4</start>
      <end>5</end>
      <status>unmodified</status>
      <modifiedWord/>
      <trackRevisions>false</trackRevisions>
    </reviewItem>
    <reviewItem>
      <errorID>972e5ab9-4895-40c5-99c8-689fc6ada2a8</errorID>
      <errorWord>)</errorWord>
      <group>L1_Format</group>
      <groupName>格式问题</groupName>
      <ability>L2_HalfPunc_CN</ability>
      <abilityName>全半角问题</abilityName>
      <candidateList>
        <item>）</item>
      </candidateList>
      <explain>文本全半角错误。</explain>
      <paraID>1B108C7E</paraID>
      <start>11</start>
      <end>12</end>
      <status>unmodified</status>
      <modifiedWord/>
      <trackRevisions>false</trackRevisions>
    </reviewItem>
    <reviewItem>
      <errorID>f220c26a-002f-435b-ba1a-1bad2e9006bc</errorID>
      <errorWord>)</errorWord>
      <group>L1_Format</group>
      <groupName>格式问题</groupName>
      <ability>L2_HalfPunc_CN</ability>
      <abilityName>全半角问题</abilityName>
      <candidateList>
        <item>）</item>
      </candidateList>
      <explain>文本全半角错误。</explain>
      <paraID>70CEB1DE</paraID>
      <start>12</start>
      <end>13</end>
      <status>unmodified</status>
      <modifiedWord/>
      <trackRevisions>false</trackRevisions>
    </reviewItem>
    <reviewItem>
      <errorID>3bc0b2e6-8343-4843-aca5-42fdc44af502</errorID>
      <errorWord>(</errorWord>
      <group>L1_Format</group>
      <groupName>格式问题</groupName>
      <ability>L2_HalfPunc_CN</ability>
      <abilityName>全半角问题</abilityName>
      <candidateList>
        <item>（</item>
      </candidateList>
      <explain>文本全半角错误。</explain>
      <paraID>3C2031D1</paraID>
      <start>10</start>
      <end>11</end>
      <status>unmodified</status>
      <modifiedWord/>
      <trackRevisions>false</trackRevisions>
    </reviewItem>
    <reviewItem>
      <errorID>8f9d82a2-7493-4426-a434-01d351f21ac8</errorID>
      <errorWord>)</errorWord>
      <group>L1_Format</group>
      <groupName>格式问题</groupName>
      <ability>L2_HalfPunc_CN</ability>
      <abilityName>全半角问题</abilityName>
      <candidateList>
        <item>）</item>
      </candidateList>
      <explain>文本全半角错误。</explain>
      <paraID>3C2031D1</paraID>
      <start>18</start>
      <end>19</end>
      <status>unmodified</status>
      <modifiedWord/>
      <trackRevisions>false</trackRevisions>
    </reviewItem>
    <reviewItem>
      <errorID>09e4afe2-ce44-4948-b652-521a1640c24e</errorID>
      <errorWord>(</errorWord>
      <group>L1_Format</group>
      <groupName>格式问题</groupName>
      <ability>L2_HalfPunc_CN</ability>
      <abilityName>全半角问题</abilityName>
      <candidateList>
        <item>（</item>
      </candidateList>
      <explain>文本全半角错误。</explain>
      <paraID>58C96895</paraID>
      <start>10</start>
      <end>11</end>
      <status>unmodified</status>
      <modifiedWord/>
      <trackRevisions>false</trackRevisions>
    </reviewItem>
    <reviewItem>
      <errorID>47dc7fbb-1a99-43f5-b537-f67e474ef652</errorID>
      <errorWord>)</errorWord>
      <group>L1_Format</group>
      <groupName>格式问题</groupName>
      <ability>L2_HalfPunc_CN</ability>
      <abilityName>全半角问题</abilityName>
      <candidateList>
        <item>）</item>
      </candidateList>
      <explain>文本全半角错误。</explain>
      <paraID>58C96895</paraID>
      <start>18</start>
      <end>19</end>
      <status>unmodified</status>
      <modifiedWord/>
      <trackRevisions>false</trackRevisions>
    </reviewItem>
    <reviewItem>
      <errorID>d5ce98e0-8c79-4630-b91b-42b99ca4dfe6</errorID>
      <errorWord>(</errorWord>
      <group>L1_Format</group>
      <groupName>格式问题</groupName>
      <ability>L2_HalfPunc_CN</ability>
      <abilityName>全半角问题</abilityName>
      <candidateList>
        <item>（</item>
      </candidateList>
      <explain>文本全半角错误。</explain>
      <paraID>6FFBA366</paraID>
      <start>9</start>
      <end>10</end>
      <status>unmodified</status>
      <modifiedWord/>
      <trackRevisions>false</trackRevisions>
    </reviewItem>
    <reviewItem>
      <errorID>e8f7a9f8-8a00-4f7a-a815-6a7d7e774765</errorID>
      <errorWord>)</errorWord>
      <group>L1_Format</group>
      <groupName>格式问题</groupName>
      <ability>L2_HalfPunc_CN</ability>
      <abilityName>全半角问题</abilityName>
      <candidateList>
        <item>）</item>
      </candidateList>
      <explain>文本全半角错误。</explain>
      <paraID>6FFBA366</paraID>
      <start>17</start>
      <end>18</end>
      <status>unmodified</status>
      <modifiedWord/>
      <trackRevisions>false</trackRevisions>
    </reviewItem>
    <reviewItem>
      <errorID>32cceebe-c892-450e-9962-526cd4381180</errorID>
      <errorWord>(</errorWord>
      <group>L1_Format</group>
      <groupName>格式问题</groupName>
      <ability>L2_HalfPunc_CN</ability>
      <abilityName>全半角问题</abilityName>
      <candidateList>
        <item>（</item>
      </candidateList>
      <explain>文本全半角错误。</explain>
      <paraID>615CBA8D</paraID>
      <start>10</start>
      <end>11</end>
      <status>unmodified</status>
      <modifiedWord/>
      <trackRevisions>false</trackRevisions>
    </reviewItem>
    <reviewItem>
      <errorID>6f62e9bb-2b47-477c-bb22-414e5c1ecbaa</errorID>
      <errorWord>)</errorWord>
      <group>L1_Format</group>
      <groupName>格式问题</groupName>
      <ability>L2_HalfPunc_CN</ability>
      <abilityName>全半角问题</abilityName>
      <candidateList>
        <item>）</item>
      </candidateList>
      <explain>文本全半角错误。</explain>
      <paraID>615CBA8D</paraID>
      <start>18</start>
      <end>19</end>
      <status>unmodified</status>
      <modifiedWord/>
      <trackRevisions>false</trackRevisions>
    </reviewItem>
    <reviewItem>
      <errorID>79755be8-1cd2-4600-96f8-2ba2baccf6ba</errorID>
      <errorWord>(</errorWord>
      <group>L1_Format</group>
      <groupName>格式问题</groupName>
      <ability>L2_HalfPunc_CN</ability>
      <abilityName>全半角问题</abilityName>
      <candidateList>
        <item>（</item>
      </candidateList>
      <explain>文本全半角错误。</explain>
      <paraID>59D47746</paraID>
      <start>10</start>
      <end>11</end>
      <status>unmodified</status>
      <modifiedWord/>
      <trackRevisions>false</trackRevisions>
    </reviewItem>
    <reviewItem>
      <errorID>e615480b-0b64-4b40-b921-ee73e61752b4</errorID>
      <errorWord>)</errorWord>
      <group>L1_Format</group>
      <groupName>格式问题</groupName>
      <ability>L2_HalfPunc_CN</ability>
      <abilityName>全半角问题</abilityName>
      <candidateList>
        <item>）</item>
      </candidateList>
      <explain>文本全半角错误。</explain>
      <paraID>59D47746</paraID>
      <start>18</start>
      <end>19</end>
      <status>unmodified</status>
      <modifiedWord/>
      <trackRevisions>false</trackRevisions>
    </reviewItem>
    <reviewItem>
      <errorID>d17c1143-4954-4031-be86-4b02fe12c95b</errorID>
      <errorWord>(</errorWord>
      <group>L1_Format</group>
      <groupName>格式问题</groupName>
      <ability>L2_HalfPunc_CN</ability>
      <abilityName>全半角问题</abilityName>
      <candidateList>
        <item>（</item>
      </candidateList>
      <explain>文本全半角错误。</explain>
      <paraID>68FB1FF0</paraID>
      <start>3</start>
      <end>4</end>
      <status>unmodified</status>
      <modifiedWord/>
      <trackRevisions>false</trackRevisions>
    </reviewItem>
    <reviewItem>
      <errorID>4e2fdd09-da92-4b79-b369-fadf35e36001</errorID>
      <errorWord>)</errorWord>
      <group>L1_Format</group>
      <groupName>格式问题</groupName>
      <ability>L2_HalfPunc_CN</ability>
      <abilityName>全半角问题</abilityName>
      <candidateList>
        <item>）</item>
      </candidateList>
      <explain>文本全半角错误。</explain>
      <paraID>68FB1FF0</paraID>
      <start>11</start>
      <end>12</end>
      <status>unmodified</status>
      <modifiedWord/>
      <trackRevisions>false</trackRevisions>
    </reviewItem>
    <reviewItem>
      <errorID>d1d457d3-e32c-4670-ae85-fbb7b4fe417b</errorID>
      <errorWord>(</errorWord>
      <group>L1_Format</group>
      <groupName>格式问题</groupName>
      <ability>L2_HalfPunc_CN</ability>
      <abilityName>全半角问题</abilityName>
      <candidateList>
        <item>（</item>
      </candidateList>
      <explain>文本全半角错误。</explain>
      <paraID> A027F9C</paraID>
      <start>3</start>
      <end>4</end>
      <status>unmodified</status>
      <modifiedWord/>
      <trackRevisions>false</trackRevisions>
    </reviewItem>
    <reviewItem>
      <errorID>532d81e7-acfb-4ffb-be10-b228227ca739</errorID>
      <errorWord>)</errorWord>
      <group>L1_Format</group>
      <groupName>格式问题</groupName>
      <ability>L2_HalfPunc_CN</ability>
      <abilityName>全半角问题</abilityName>
      <candidateList>
        <item>）</item>
      </candidateList>
      <explain>文本全半角错误。</explain>
      <paraID> A027F9C</paraID>
      <start>11</start>
      <end>12</end>
      <status>unmodified</status>
      <modifiedWord/>
      <trackRevisions>false</trackRevisions>
    </reviewItem>
    <reviewItem>
      <errorID>aec510a4-014e-47f4-927b-0899338e562f</errorID>
      <errorWord>(</errorWord>
      <group>L1_Format</group>
      <groupName>格式问题</groupName>
      <ability>L2_HalfPunc_CN</ability>
      <abilityName>全半角问题</abilityName>
      <candidateList>
        <item>（</item>
      </candidateList>
      <explain>文本全半角错误。</explain>
      <paraID>7EB5DC56</paraID>
      <start>3</start>
      <end>4</end>
      <status>unmodified</status>
      <modifiedWord/>
      <trackRevisions>false</trackRevisions>
    </reviewItem>
    <reviewItem>
      <errorID>ac5a1225-afa2-4133-901e-ef8faa019767</errorID>
      <errorWord>)</errorWord>
      <group>L1_Format</group>
      <groupName>格式问题</groupName>
      <ability>L2_HalfPunc_CN</ability>
      <abilityName>全半角问题</abilityName>
      <candidateList>
        <item>）</item>
      </candidateList>
      <explain>文本全半角错误。</explain>
      <paraID>7EB5DC56</paraID>
      <start>11</start>
      <end>12</end>
      <status>unmodified</status>
      <modifiedWord/>
      <trackRevisions>false</trackRevisions>
    </reviewItem>
    <reviewItem>
      <errorID>6fb2d49d-b3d0-422d-b508-2664c32f8da3</errorID>
      <errorWord>平</errorWord>
      <group>L1_Word</group>
      <groupName>字词问题</groupName>
      <ability>L2_Typo</ability>
      <abilityName>字词错误</abilityName>
      <candidateList>
        <item>平面</item>
      </candidateList>
      <explain/>
      <paraID>7406C2E2</paraID>
      <start>3</start>
      <end>4</end>
      <status>unmodified</status>
      <modifiedWord/>
      <trackRevisions>false</trackRevisions>
    </reviewItem>
    <reviewItem>
      <errorID>78f9b2db-94be-4698-bfcd-12ed3141cc44</errorID>
      <errorWord>(</errorWord>
      <group>L1_Format</group>
      <groupName>格式问题</groupName>
      <ability>L2_HalfPunc_CN</ability>
      <abilityName>全半角问题</abilityName>
      <candidateList>
        <item>（</item>
      </candidateList>
      <explain>文本全半角错误。</explain>
      <paraID> 9181037</paraID>
      <start>10</start>
      <end>11</end>
      <status>unmodified</status>
      <modifiedWord/>
      <trackRevisions>false</trackRevisions>
    </reviewItem>
    <reviewItem>
      <errorID>cadc60de-2b0a-41ed-985d-ed41835d6cea</errorID>
      <errorWord>)</errorWord>
      <group>L1_Format</group>
      <groupName>格式问题</groupName>
      <ability>L2_HalfPunc_CN</ability>
      <abilityName>全半角问题</abilityName>
      <candidateList>
        <item>）</item>
      </candidateList>
      <explain>文本全半角错误。</explain>
      <paraID> 9181037</paraID>
      <start>18</start>
      <end>19</end>
      <status>unmodified</status>
      <modifiedWord/>
      <trackRevisions>false</trackRevisions>
    </reviewItem>
    <reviewItem>
      <errorID>5a2ff178-ee66-4314-af81-017aa4ad28dd</errorID>
      <errorWord>(</errorWord>
      <group>L1_Format</group>
      <groupName>格式问题</groupName>
      <ability>L2_HalfPunc_CN</ability>
      <abilityName>全半角问题</abilityName>
      <candidateList>
        <item>（</item>
      </candidateList>
      <explain>文本全半角错误。</explain>
      <paraID> EE1FBBE</paraID>
      <start>10</start>
      <end>11</end>
      <status>unmodified</status>
      <modifiedWord/>
      <trackRevisions>false</trackRevisions>
    </reviewItem>
    <reviewItem>
      <errorID>7c2b8b6f-ba70-45ff-91d7-4b22de820a07</errorID>
      <errorWord>)</errorWord>
      <group>L1_Format</group>
      <groupName>格式问题</groupName>
      <ability>L2_HalfPunc_CN</ability>
      <abilityName>全半角问题</abilityName>
      <candidateList>
        <item>）</item>
      </candidateList>
      <explain>文本全半角错误。</explain>
      <paraID> EE1FBBE</paraID>
      <start>18</start>
      <end>19</end>
      <status>unmodified</status>
      <modifiedWord/>
      <trackRevisions>false</trackRevisions>
    </reviewItem>
    <reviewItem>
      <errorID>e501f792-df0b-453a-9ea3-2329b266afdc</errorID>
      <errorWord>(</errorWord>
      <group>L1_Format</group>
      <groupName>格式问题</groupName>
      <ability>L2_HalfPunc_CN</ability>
      <abilityName>全半角问题</abilityName>
      <candidateList>
        <item>（</item>
      </candidateList>
      <explain>文本全半角错误。</explain>
      <paraID> B8F3018</paraID>
      <start>10</start>
      <end>11</end>
      <status>unmodified</status>
      <modifiedWord/>
      <trackRevisions>false</trackRevisions>
    </reviewItem>
    <reviewItem>
      <errorID>1420cc76-f4c1-4a09-a7ba-0911496fe423</errorID>
      <errorWord>)</errorWord>
      <group>L1_Format</group>
      <groupName>格式问题</groupName>
      <ability>L2_HalfPunc_CN</ability>
      <abilityName>全半角问题</abilityName>
      <candidateList>
        <item>）</item>
      </candidateList>
      <explain>文本全半角错误。</explain>
      <paraID> B8F3018</paraID>
      <start>18</start>
      <end>19</end>
      <status>unmodified</status>
      <modifiedWord/>
      <trackRevisions>false</trackRevisions>
    </reviewItem>
    <reviewItem>
      <errorID>cc78179a-1c7a-4f2f-a7d6-95e478ead9eb</errorID>
      <errorWord>(</errorWord>
      <group>L1_Format</group>
      <groupName>格式问题</groupName>
      <ability>L2_HalfPunc_CN</ability>
      <abilityName>全半角问题</abilityName>
      <candidateList>
        <item>（</item>
      </candidateList>
      <explain>文本全半角错误。</explain>
      <paraID>6BD6B079</paraID>
      <start>10</start>
      <end>11</end>
      <status>unmodified</status>
      <modifiedWord/>
      <trackRevisions>false</trackRevisions>
    </reviewItem>
    <reviewItem>
      <errorID>4824f7e8-0faf-45e3-b7ac-254981b2cb06</errorID>
      <errorWord>)</errorWord>
      <group>L1_Format</group>
      <groupName>格式问题</groupName>
      <ability>L2_HalfPunc_CN</ability>
      <abilityName>全半角问题</abilityName>
      <candidateList>
        <item>）</item>
      </candidateList>
      <explain>文本全半角错误。</explain>
      <paraID>6BD6B079</paraID>
      <start>18</start>
      <end>19</end>
      <status>unmodified</status>
      <modifiedWord/>
      <trackRevisions>false</trackRevisions>
    </reviewItem>
    <reviewItem>
      <errorID>a09f8a0c-d08f-4503-b7e4-2bcf78e8751e</errorID>
      <errorWord>(</errorWord>
      <group>L1_Format</group>
      <groupName>格式问题</groupName>
      <ability>L2_HalfPunc_CN</ability>
      <abilityName>全半角问题</abilityName>
      <candidateList>
        <item>（</item>
      </candidateList>
      <explain>文本全半角错误。</explain>
      <paraID>2CC461B9</paraID>
      <start>19</start>
      <end>20</end>
      <status>unmodified</status>
      <modifiedWord/>
      <trackRevisions>false</trackRevisions>
    </reviewItem>
    <reviewItem>
      <errorID>79bb6e42-f360-4f0f-803d-496d0dcc8767</errorID>
      <errorWord>)</errorWord>
      <group>L1_Format</group>
      <groupName>格式问题</groupName>
      <ability>L2_HalfPunc_CN</ability>
      <abilityName>全半角问题</abilityName>
      <candidateList>
        <item>）</item>
      </candidateList>
      <explain>文本全半角错误。</explain>
      <paraID>2CC461B9</paraID>
      <start>26</start>
      <end>27</end>
      <status>unmodified</status>
      <modifiedWord/>
      <trackRevisions>false</trackRevisions>
    </reviewItem>
    <reviewItem>
      <errorID>d2ad10d7-75f2-4d8e-bc68-b688f7fb4b58</errorID>
      <errorWord>(</errorWord>
      <group>L1_Format</group>
      <groupName>格式问题</groupName>
      <ability>L2_HalfPunc_CN</ability>
      <abilityName>全半角问题</abilityName>
      <candidateList>
        <item>（</item>
      </candidateList>
      <explain>文本全半角错误。</explain>
      <paraID>2CC461B9</paraID>
      <start>47</start>
      <end>48</end>
      <status>unmodified</status>
      <modifiedWord/>
      <trackRevisions>false</trackRevisions>
    </reviewItem>
    <reviewItem>
      <errorID>2444987d-ed3e-4fb4-9dd4-2d149ce066e0</errorID>
      <errorWord>)</errorWord>
      <group>L1_Format</group>
      <groupName>格式问题</groupName>
      <ability>L2_HalfPunc_CN</ability>
      <abilityName>全半角问题</abilityName>
      <candidateList>
        <item>）</item>
      </candidateList>
      <explain>文本全半角错误。</explain>
      <paraID>2CC461B9</paraID>
      <start>54</start>
      <end>55</end>
      <status>unmodified</status>
      <modifiedWord/>
      <trackRevisions>false</trackRevisions>
    </reviewItem>
    <reviewItem>
      <errorID>ff1475e9-0d56-4c44-8d26-f7e8e9a435d2</errorID>
      <errorWord>(</errorWord>
      <group>L1_Format</group>
      <groupName>格式问题</groupName>
      <ability>L2_HalfPunc_CN</ability>
      <abilityName>全半角问题</abilityName>
      <candidateList>
        <item>（</item>
      </candidateList>
      <explain>文本全半角错误。</explain>
      <paraID>2CC461B9</paraID>
      <start>66</start>
      <end>67</end>
      <status>unmodified</status>
      <modifiedWord/>
      <trackRevisions>false</trackRevisions>
    </reviewItem>
    <reviewItem>
      <errorID>1ce41453-c410-4ec2-abad-78d549a63330</errorID>
      <errorWord>)</errorWord>
      <group>L1_Format</group>
      <groupName>格式问题</groupName>
      <ability>L2_HalfPunc_CN</ability>
      <abilityName>全半角问题</abilityName>
      <candidateList>
        <item>）</item>
      </candidateList>
      <explain>文本全半角错误。</explain>
      <paraID>2CC461B9</paraID>
      <start>68</start>
      <end>69</end>
      <status>unmodified</status>
      <modifiedWord/>
      <trackRevisions>false</trackRevisions>
    </reviewItem>
    <reviewItem>
      <errorID>20e63c59-34b2-45a7-b77a-bbeca5d8b1e9</errorID>
      <errorWord>(</errorWord>
      <group>L1_Format</group>
      <groupName>格式问题</groupName>
      <ability>L2_HalfPunc_CN</ability>
      <abilityName>全半角问题</abilityName>
      <candidateList>
        <item>（</item>
      </candidateList>
      <explain>文本全半角错误。</explain>
      <paraID>6752C018</paraID>
      <start>18</start>
      <end>19</end>
      <status>unmodified</status>
      <modifiedWord/>
      <trackRevisions>false</trackRevisions>
    </reviewItem>
    <reviewItem>
      <errorID>4d702db8-444f-4c4e-ba3b-93ad4172c21a</errorID>
      <errorWord>(</errorWord>
      <group>L1_Format</group>
      <groupName>格式问题</groupName>
      <ability>L2_HalfPunc_CN</ability>
      <abilityName>全半角问题</abilityName>
      <candidateList>
        <item>（</item>
      </candidateList>
      <explain>文本全半角错误。</explain>
      <paraID> 6F7F628</paraID>
      <start>72</start>
      <end>73</end>
      <status>unmodified</status>
      <modifiedWord/>
      <trackRevisions>false</trackRevisions>
    </reviewItem>
    <reviewItem>
      <errorID>f353f784-a9a1-4b08-bbf3-6922472648a0</errorID>
      <errorWord>(</errorWord>
      <group>L1_Format</group>
      <groupName>格式问题</groupName>
      <ability>L2_HalfPunc_CN</ability>
      <abilityName>全半角问题</abilityName>
      <candidateList>
        <item>（</item>
      </candidateList>
      <explain>文本全半角错误。</explain>
      <paraID>50917DFD</paraID>
      <start>41</start>
      <end>42</end>
      <status>unmodified</status>
      <modifiedWord/>
      <trackRevisions>false</trackRevisions>
    </reviewItem>
    <reviewItem>
      <errorID>12d55829-2f38-4e1c-9cd8-2dd5c24a90c7</errorID>
      <errorWord>)</errorWord>
      <group>L1_Format</group>
      <groupName>格式问题</groupName>
      <ability>L2_HalfPunc_CN</ability>
      <abilityName>全半角问题</abilityName>
      <candidateList>
        <item>）</item>
      </candidateList>
      <explain>文本全半角错误。</explain>
      <paraID>50917DFD</paraID>
      <start>52</start>
      <end>53</end>
      <status>unmodified</status>
      <modifiedWord/>
      <trackRevisions>false</trackRevisions>
    </reviewItem>
    <reviewItem>
      <errorID>00d0759f-5e82-4ccc-b537-465ae4b63917</errorID>
      <errorWord>(</errorWord>
      <group>L1_Format</group>
      <groupName>格式问题</groupName>
      <ability>L2_HalfPunc_CN</ability>
      <abilityName>全半角问题</abilityName>
      <candidateList>
        <item>（</item>
      </candidateList>
      <explain>文本全半角错误。</explain>
      <paraID>602F87EA</paraID>
      <start>12</start>
      <end>13</end>
      <status>unmodified</status>
      <modifiedWord/>
      <trackRevisions>false</trackRevisions>
    </reviewItem>
    <reviewItem>
      <errorID>da15f7bd-eca9-4664-9b5b-56148f14d11f</errorID>
      <errorWord>)</errorWord>
      <group>L1_Format</group>
      <groupName>格式问题</groupName>
      <ability>L2_HalfPunc_CN</ability>
      <abilityName>全半角问题</abilityName>
      <candidateList>
        <item>）</item>
      </candidateList>
      <explain>文本全半角错误。</explain>
      <paraID>602F87EA</paraID>
      <start>23</start>
      <end>24</end>
      <status>unmodified</status>
      <modifiedWord/>
      <trackRevisions>false</trackRevisions>
    </reviewItem>
    <reviewItem>
      <errorID>7f6379ba-5d06-4835-8979-adb1b3aa984e</errorID>
      <errorWord>(</errorWord>
      <group>L1_Format</group>
      <groupName>格式问题</groupName>
      <ability>L2_HalfPunc_CN</ability>
      <abilityName>全半角问题</abilityName>
      <candidateList>
        <item>（</item>
      </candidateList>
      <explain>文本全半角错误。</explain>
      <paraID>602F87EA</paraID>
      <start>27</start>
      <end>28</end>
      <status>unmodified</status>
      <modifiedWord/>
      <trackRevisions>false</trackRevisions>
    </reviewItem>
    <reviewItem>
      <errorID>86670653-625c-41d6-863a-df58944bf8a1</errorID>
      <errorWord>)</errorWord>
      <group>L1_Format</group>
      <groupName>格式问题</groupName>
      <ability>L2_HalfPunc_CN</ability>
      <abilityName>全半角问题</abilityName>
      <candidateList>
        <item>）</item>
      </candidateList>
      <explain>文本全半角错误。</explain>
      <paraID>602F87EA</paraID>
      <start>33</start>
      <end>34</end>
      <status>unmodified</status>
      <modifiedWord/>
      <trackRevisions>false</trackRevisions>
    </reviewItem>
    <reviewItem>
      <errorID>8dd3842d-3a40-4d24-8a9b-5c3fc3f4dd61</errorID>
      <errorWord>(</errorWord>
      <group>L1_Format</group>
      <groupName>格式问题</groupName>
      <ability>L2_HalfPunc_CN</ability>
      <abilityName>全半角问题</abilityName>
      <candidateList>
        <item>（</item>
      </candidateList>
      <explain>文本全半角错误。</explain>
      <paraID>5F24FE72</paraID>
      <start>7</start>
      <end>8</end>
      <status>unmodified</status>
      <modifiedWord/>
      <trackRevisions>false</trackRevisions>
    </reviewItem>
    <reviewItem>
      <errorID>46a1b317-1227-4fb5-8235-5a7f21210faa</errorID>
      <errorWord>)</errorWord>
      <group>L1_Format</group>
      <groupName>格式问题</groupName>
      <ability>L2_HalfPunc_CN</ability>
      <abilityName>全半角问题</abilityName>
      <candidateList>
        <item>）</item>
      </candidateList>
      <explain>文本全半角错误。</explain>
      <paraID>5F24FE72</paraID>
      <start>13</start>
      <end>14</end>
      <status>unmodified</status>
      <modifiedWord/>
      <trackRevisions>false</trackRevisions>
    </reviewItem>
    <reviewItem>
      <errorID>90846a71-270b-46a0-a7ae-81092575f9a5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28717A96</paraID>
      <start>0</start>
      <end>3</end>
      <status>unmodified</status>
      <modifiedWord/>
      <trackRevisions>false</trackRevisions>
    </reviewItem>
    <reviewItem>
      <errorID>087412fc-9369-40d6-a662-7f75b39e5141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5F634357</paraID>
      <start>0</start>
      <end>3</end>
      <status>unmodified</status>
      <modifiedWord/>
      <trackRevisions>false</trackRevisions>
    </reviewItem>
    <reviewItem>
      <errorID>fac8fd38-8028-4ce7-a6c3-cf8e0c816e3b</errorID>
      <errorWord>(</errorWord>
      <group>L1_Format</group>
      <groupName>格式问题</groupName>
      <ability>L2_HalfPunc_CN</ability>
      <abilityName>全半角问题</abilityName>
      <candidateList>
        <item>（</item>
      </candidateList>
      <explain>文本全半角错误。</explain>
      <paraID>50C9D984</paraID>
      <start>28</start>
      <end>29</end>
      <status>unmodified</status>
      <modifiedWord/>
      <trackRevisions>false</trackRevisions>
    </reviewItem>
    <reviewItem>
      <errorID>97d0d04d-5d92-405d-82d2-ea2eddcccd2c</errorID>
      <errorWord>)</errorWord>
      <group>L1_Format</group>
      <groupName>格式问题</groupName>
      <ability>L2_HalfPunc_CN</ability>
      <abilityName>全半角问题</abilityName>
      <candidateList>
        <item>）</item>
      </candidateList>
      <explain>文本全半角错误。</explain>
      <paraID>50C9D984</paraID>
      <start>39</start>
      <end>40</end>
      <status>unmodified</status>
      <modifiedWord/>
      <trackRevisions>false</trackRevisions>
    </reviewItem>
    <reviewItem>
      <errorID>cbe3914a-b8c9-45f7-b75d-83d65a49e20f</errorID>
      <errorWord>(</errorWord>
      <group>L1_Format</group>
      <groupName>格式问题</groupName>
      <ability>L2_HalfPunc_CN</ability>
      <abilityName>全半角问题</abilityName>
      <candidateList>
        <item>（</item>
      </candidateList>
      <explain>文本全半角错误。</explain>
      <paraID>50C9D984</paraID>
      <start>135</start>
      <end>136</end>
      <status>unmodified</status>
      <modifiedWord/>
      <trackRevisions>false</trackRevisions>
    </reviewItem>
    <reviewItem>
      <errorID>bfad1211-f47a-4c71-855c-ce1d7410d1a5</errorID>
      <errorWord>)</errorWord>
      <group>L1_Format</group>
      <groupName>格式问题</groupName>
      <ability>L2_HalfPunc_CN</ability>
      <abilityName>全半角问题</abilityName>
      <candidateList>
        <item>）</item>
      </candidateList>
      <explain>文本全半角错误。</explain>
      <paraID>50C9D984</paraID>
      <start>141</start>
      <end>142</end>
      <status>unmodified</status>
      <modifiedWord/>
      <trackRevisions>false</trackRevisions>
    </reviewItem>
    <reviewItem>
      <errorID>9afaf470-67c9-4b58-8db4-3826400bd507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25B9AAD7</paraID>
      <start>0</start>
      <end>3</end>
      <status>unmodified</status>
      <modifiedWord/>
      <trackRevisions>false</trackRevisions>
    </reviewItem>
    <reviewItem>
      <errorID>ef880d31-fcc9-46ba-9949-96ff9e7fa041</errorID>
      <errorWord>(</errorWord>
      <group>L1_Format</group>
      <groupName>格式问题</groupName>
      <ability>L2_HalfPunc_CN</ability>
      <abilityName>全半角问题</abilityName>
      <candidateList>
        <item>（</item>
      </candidateList>
      <explain>文本全半角错误。</explain>
      <paraID>5AAFA733</paraID>
      <start>7</start>
      <end>8</end>
      <status>unmodified</status>
      <modifiedWord/>
      <trackRevisions>false</trackRevisions>
    </reviewItem>
    <reviewItem>
      <errorID>8fed2bdd-0bd9-4875-a6cb-e9b5b8d82f5a</errorID>
      <errorWord>),</errorWord>
      <group>L1_Format</group>
      <groupName>格式问题</groupName>
      <ability>L2_HalfPunc_CN</ability>
      <abilityName>全半角问题</abilityName>
      <candidateList>
        <item>），</item>
      </candidateList>
      <explain>文本全半角错误。</explain>
      <paraID>5AAFA733</paraID>
      <start>23</start>
      <end>25</end>
      <status>unmodified</status>
      <modifiedWord/>
      <trackRevisions>false</trackRevisions>
    </reviewItem>
    <reviewItem>
      <errorID>08070847-62ef-49dc-ae1a-32d270f47457</errorID>
      <errorWord>(</errorWord>
      <group>L1_Format</group>
      <groupName>格式问题</groupName>
      <ability>L2_HalfPunc_CN</ability>
      <abilityName>全半角问题</abilityName>
      <candidateList>
        <item>（</item>
      </candidateList>
      <explain>文本全半角错误。</explain>
      <paraID>78E78570</paraID>
      <start>18</start>
      <end>19</end>
      <status>unmodified</status>
      <modifiedWord/>
      <trackRevisions>false</trackRevisions>
    </reviewItem>
    <reviewItem>
      <errorID>76592626-5181-42de-a742-10576954fe6b</errorID>
      <errorWord>)</errorWord>
      <group>L1_Format</group>
      <groupName>格式问题</groupName>
      <ability>L2_HalfPunc_CN</ability>
      <abilityName>全半角问题</abilityName>
      <candidateList>
        <item>）</item>
      </candidateList>
      <explain>文本全半角错误。</explain>
      <paraID>78E78570</paraID>
      <start>42</start>
      <end>43</end>
      <status>unmodified</status>
      <modifiedWord/>
      <trackRevisions>false</trackRevisions>
    </reviewItem>
    <reviewItem>
      <errorID>e37d6ad9-5660-4609-94c7-e8ee29208a62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2EDE0873</paraID>
      <start>0</start>
      <end>3</end>
      <status>unmodified</status>
      <modifiedWord/>
      <trackRevisions>false</trackRevisions>
    </reviewItem>
    <reviewItem>
      <errorID>5856ed5b-3282-4afb-a1d9-179352021a5e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33C58DAE</paraID>
      <start>0</start>
      <end>3</end>
      <status>unmodified</status>
      <modifiedWord/>
      <trackRevisions>false</trackRevisions>
    </reviewItem>
    <reviewItem>
      <errorID>bbf9381e-b20f-49e4-bcb6-2b585674f79f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6612AC44</paraID>
      <start>0</start>
      <end>3</end>
      <status>unmodified</status>
      <modifiedWord/>
      <trackRevisions>false</trackRevisions>
    </reviewItem>
    <reviewItem>
      <errorID>5edc6e58-bb49-48b0-8230-5b1bc1432ff9</errorID>
      <errorWord>(</errorWord>
      <group>L1_Format</group>
      <groupName>格式问题</groupName>
      <ability>L2_HalfPunc_CN</ability>
      <abilityName>全半角问题</abilityName>
      <candidateList>
        <item>（</item>
      </candidateList>
      <explain>文本全半角错误。</explain>
      <paraID>209AFD68</paraID>
      <start>44</start>
      <end>45</end>
      <status>unmodified</status>
      <modifiedWord/>
      <trackRevisions>false</trackRevisions>
    </reviewItem>
    <reviewItem>
      <errorID>d8efe1ae-cd60-4de0-ab4f-74c7e3ee4938</errorID>
      <errorWord>)</errorWord>
      <group>L1_Format</group>
      <groupName>格式问题</groupName>
      <ability>L2_HalfPunc_CN</ability>
      <abilityName>全半角问题</abilityName>
      <candidateList>
        <item>）</item>
      </candidateList>
      <explain>文本全半角错误。</explain>
      <paraID>209AFD68</paraID>
      <start>61</start>
      <end>62</end>
      <status>unmodified</status>
      <modifiedWord/>
      <trackRevisions>false</trackRevisions>
    </reviewItem>
    <reviewItem>
      <errorID>f10fe315-d46b-4a61-8baf-cd02fe5db82f</errorID>
      <errorWord>,</errorWord>
      <group>L1_Format</group>
      <groupName>格式问题</groupName>
      <ability>L2_HalfPunc_CN</ability>
      <abilityName>全半角问题</abilityName>
      <candidateList>
        <item>，</item>
      </candidateList>
      <explain>文本全半角错误。</explain>
      <paraID>209AFD68</paraID>
      <start>62</start>
      <end>63</end>
      <status>unmodified</status>
      <modifiedWord/>
      <trackRevisions>false</trackRevisions>
    </reviewItem>
    <reviewItem>
      <errorID>95b429cf-3845-44a8-af83-56cf78373cde</errorID>
      <errorWord>,</errorWord>
      <group>L1_Format</group>
      <groupName>格式问题</groupName>
      <ability>L2_HalfPunc_CN</ability>
      <abilityName>全半角问题</abilityName>
      <candidateList>
        <item>，</item>
      </candidateList>
      <explain>文本全半角错误。</explain>
      <paraID> DB7BFD9</paraID>
      <start>12</start>
      <end>13</end>
      <status>unmodified</status>
      <modifiedWord/>
      <trackRevisions>false</trackRevisions>
    </reviewItem>
    <reviewItem>
      <errorID>0a536c33-2195-415c-a702-b5454c878ebe</errorID>
      <errorWord>,</errorWord>
      <group>L1_Format</group>
      <groupName>格式问题</groupName>
      <ability>L2_HalfPunc_CN</ability>
      <abilityName>全半角问题</abilityName>
      <candidateList>
        <item>，</item>
      </candidateList>
      <explain>文本全半角错误。</explain>
      <paraID>38051B06</paraID>
      <start>34</start>
      <end>35</end>
      <status>unmodified</status>
      <modifiedWord/>
      <trackRevisions>false</trackRevisions>
    </reviewItem>
    <reviewItem>
      <errorID>b2cf88fa-f563-413e-9e47-11714ce47185</errorID>
      <errorWord>)</errorWord>
      <group>L1_Format</group>
      <groupName>格式问题</groupName>
      <ability>L2_HalfPunc_CN</ability>
      <abilityName>全半角问题</abilityName>
      <candidateList>
        <item>）</item>
      </candidateList>
      <explain>文本全半角错误。</explain>
      <paraID>38051B06</paraID>
      <start>53</start>
      <end>54</end>
      <status>unmodified</status>
      <modifiedWord/>
      <trackRevisions>false</trackRevisions>
    </reviewItem>
    <reviewItem>
      <errorID>1157dbaa-ea75-4fec-b61b-01d2503e4b0e</errorID>
      <errorWord>属</errorWord>
      <group>L1_Word</group>
      <groupName>字词问题</groupName>
      <ability>L2_Typo</ability>
      <abilityName>字词错误</abilityName>
      <candidateList>
        <item>属于</item>
      </candidateList>
      <explain/>
      <paraID>45587A44</paraID>
      <start>68</start>
      <end>69</end>
      <status>unmodified</status>
      <modifiedWord/>
      <trackRevisions>false</trackRevisions>
    </reviewItem>
    <reviewItem>
      <errorID>69f2a37d-bdff-4450-9dc4-c5935d68ae52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7286EC06</paraID>
      <start>0</start>
      <end>3</end>
      <status>unmodified</status>
      <modifiedWord/>
      <trackRevisions>false</trackRevisions>
    </reviewItem>
    <reviewItem>
      <errorID>ec03437c-d10e-439b-9675-9a6ea5580a7e</errorID>
      <errorWord>泄露</errorWord>
      <group>L1_Word</group>
      <groupName>字词问题</groupName>
      <ability>L2_Typo</ability>
      <abilityName>字词错误</abilityName>
      <candidateList>
        <item>泄漏</item>
      </candidateList>
      <explain>存在发音相同字词的误用。</explain>
      <paraID>1AB1C080</paraID>
      <start>43</start>
      <end>45</end>
      <status>unmodified</status>
      <modifiedWord/>
      <trackRevisions>false</trackRevisions>
    </reviewItem>
    <reviewItem>
      <errorID>35fd77e6-e93f-461e-b9ca-7a9305dcd6a8</errorID>
      <errorWord>(</errorWord>
      <group>L1_Format</group>
      <groupName>格式问题</groupName>
      <ability>L2_HalfPunc_CN</ability>
      <abilityName>全半角问题</abilityName>
      <candidateList>
        <item>（</item>
      </candidateList>
      <explain>文本全半角错误。</explain>
      <paraID>1AB1C080</paraID>
      <start>102</start>
      <end>103</end>
      <status>unmodified</status>
      <modifiedWord/>
      <trackRevisions>false</trackRevisions>
    </reviewItem>
    <reviewItem>
      <errorID>bb425307-9919-4f43-b5f7-637c6425e5a2</errorID>
      <errorWord>(</errorWord>
      <group>L1_Punc</group>
      <groupName>标点问题</groupName>
      <ability>L2_Punc_CN</ability>
      <abilityName>标点符号问题</abilityName>
      <candidateList/>
      <explain>同一形式括号套用。</explain>
      <paraID>19EDFD30</paraID>
      <start>16</start>
      <end>17</end>
      <status>unmodified</status>
      <modifiedWord/>
      <trackRevisions>false</trackRevisions>
    </reviewItem>
    <reviewItem>
      <errorID>5493ffa9-96bd-4d88-a39f-dc845553ef55</errorID>
      <errorWord>)</errorWord>
      <group>L1_Punc</group>
      <groupName>标点问题</groupName>
      <ability>L2_Punc_CN</ability>
      <abilityName>标点符号问题</abilityName>
      <candidateList/>
      <explain>同一形式括号套用。</explain>
      <paraID>19EDFD30</paraID>
      <start>26</start>
      <end>27</end>
      <status>unmodified</status>
      <modifiedWord/>
      <trackRevisions>false</trackRevisions>
    </reviewItem>
    <reviewItem>
      <errorID>0ad119a6-5c25-4991-9014-126e9eb20c9c</errorID>
      <errorWord>,</errorWord>
      <group>L1_Format</group>
      <groupName>格式问题</groupName>
      <ability>L2_HalfPunc_CN</ability>
      <abilityName>全半角问题</abilityName>
      <candidateList>
        <item>，</item>
      </candidateList>
      <explain>文本全半角错误。</explain>
      <paraID>19EDFD30</paraID>
      <start>37</start>
      <end>38</end>
      <status>unmodified</status>
      <modifiedWord/>
      <trackRevisions>false</trackRevisions>
    </reviewItem>
    <reviewItem>
      <errorID>194fd1b9-d20c-414d-acda-daa9fcaac85c</errorID>
      <errorWord>)</errorWord>
      <group>L1_Format</group>
      <groupName>格式问题</groupName>
      <ability>L2_HalfPunc_CN</ability>
      <abilityName>全半角问题</abilityName>
      <candidateList>
        <item>）</item>
      </candidateList>
      <explain>文本全半角错误。</explain>
      <paraID>19EDFD30</paraID>
      <start>70</start>
      <end>71</end>
      <status>unmodified</status>
      <modifiedWord/>
      <trackRevisions>false</trackRevisions>
    </reviewItem>
    <reviewItem>
      <errorID>9f417ce1-2bf2-4614-ade8-2e62adb8a83c</errorID>
      <errorWord>(</errorWord>
      <group>L1_Format</group>
      <groupName>格式问题</groupName>
      <ability>L2_HalfPunc_CN</ability>
      <abilityName>全半角问题</abilityName>
      <candidateList>
        <item>（</item>
      </candidateList>
      <explain>文本全半角错误。</explain>
      <paraID>34A5F62B</paraID>
      <start>68</start>
      <end>69</end>
      <status>unmodified</status>
      <modifiedWord/>
      <trackRevisions>false</trackRevisions>
    </reviewItem>
    <reviewItem>
      <errorID>da8d0ac9-b379-4d6e-99f4-0cb8dbc4442b</errorID>
      <errorWord>,</errorWord>
      <group>L1_Format</group>
      <groupName>格式问题</groupName>
      <ability>L2_HalfPunc_CN</ability>
      <abilityName>全半角问题</abilityName>
      <candidateList>
        <item>，</item>
      </candidateList>
      <explain>文本全半角错误。</explain>
      <paraID>34A5F62B</paraID>
      <start>79</start>
      <end>80</end>
      <status>unmodified</status>
      <modifiedWord/>
      <trackRevisions>false</trackRevisions>
    </reviewItem>
    <reviewItem>
      <errorID>39db9aca-9f62-4544-aab8-0fadd22e7983</errorID>
      <errorWord>,</errorWord>
      <group>L1_Format</group>
      <groupName>格式问题</groupName>
      <ability>L2_HalfPunc_CN</ability>
      <abilityName>全半角问题</abilityName>
      <candidateList>
        <item>，</item>
      </candidateList>
      <explain>文本全半角错误。</explain>
      <paraID>34A5F62B</paraID>
      <start>96</start>
      <end>97</end>
      <status>unmodified</status>
      <modifiedWord/>
      <trackRevisions>false</trackRevisions>
    </reviewItem>
    <reviewItem>
      <errorID>88e3ec5f-1796-416a-8508-cc08ec7d35f4</errorID>
      <errorWord>)</errorWord>
      <group>L1_Format</group>
      <groupName>格式问题</groupName>
      <ability>L2_HalfPunc_CN</ability>
      <abilityName>全半角问题</abilityName>
      <candidateList>
        <item>）</item>
      </candidateList>
      <explain>文本全半角错误。</explain>
      <paraID>34A5F62B</paraID>
      <start>112</start>
      <end>113</end>
      <status>unmodified</status>
      <modifiedWord/>
      <trackRevisions>false</trackRevisions>
    </reviewItem>
    <reviewItem>
      <errorID>1a5dca92-a3e7-4ba2-9779-486ff4949865</errorID>
      <errorWord>(</errorWord>
      <group>L1_Format</group>
      <groupName>格式问题</groupName>
      <ability>L2_HalfPunc_CN</ability>
      <abilityName>全半角问题</abilityName>
      <candidateList>
        <item>（</item>
      </candidateList>
      <explain>文本全半角错误。</explain>
      <paraID>34A5F62B</paraID>
      <start>113</start>
      <end>114</end>
      <status>unmodified</status>
      <modifiedWord/>
      <trackRevisions>false</trackRevisions>
    </reviewItem>
    <reviewItem>
      <errorID>18906cc3-e8ac-4fee-838a-941aac8f891b</errorID>
      <errorWord>目</errorWord>
      <group>L1_Word</group>
      <groupName>字词问题</groupName>
      <ability>L2_Typo</ability>
      <abilityName>字词错误</abilityName>
      <candidateList>
        <item>目前</item>
      </candidateList>
      <explain/>
      <paraID>734B6F9D</paraID>
      <start>0</start>
      <end>1</end>
      <status>unmodified</status>
      <modifiedWord/>
      <trackRevisions>false</trackRevisions>
    </reviewItem>
    <reviewItem>
      <errorID>af43c547-eca7-41d9-b768-c4ad9167791a</errorID>
      <errorWord>)</errorWord>
      <group>L1_Format</group>
      <groupName>格式问题</groupName>
      <ability>L2_HalfPunc_CN</ability>
      <abilityName>全半角问题</abilityName>
      <candidateList>
        <item>）</item>
      </candidateList>
      <explain>文本全半角错误。</explain>
      <paraID>734B6F9D</paraID>
      <start>25</start>
      <end>26</end>
      <status>unmodified</status>
      <modifiedWord/>
      <trackRevisions>false</trackRevisions>
    </reviewItem>
    <reviewItem>
      <errorID>1c1274f3-0917-4d80-b485-61a4450ae1ae</errorID>
      <errorWord>(</errorWord>
      <group>L1_Format</group>
      <groupName>格式问题</groupName>
      <ability>L2_HalfPunc_CN</ability>
      <abilityName>全半角问题</abilityName>
      <candidateList>
        <item>（</item>
      </candidateList>
      <explain>文本全半角错误。</explain>
      <paraID>4361FE18</paraID>
      <start>65</start>
      <end>66</end>
      <status>unmodified</status>
      <modifiedWord/>
      <trackRevisions>false</trackRevisions>
    </reviewItem>
    <reviewItem>
      <errorID>73a961c9-6180-47e8-b63d-b745609534ef</errorID>
      <errorWord>)</errorWord>
      <group>L1_Format</group>
      <groupName>格式问题</groupName>
      <ability>L2_HalfPunc_CN</ability>
      <abilityName>全半角问题</abilityName>
      <candidateList>
        <item>）</item>
      </candidateList>
      <explain>文本全半角错误。</explain>
      <paraID>4361FE18</paraID>
      <start>76</start>
      <end>77</end>
      <status>unmodified</status>
      <modifiedWord/>
      <trackRevisions>false</trackRevisions>
    </reviewItem>
    <reviewItem>
      <errorID>9254fed3-a4b3-4298-a125-425d72b16724</errorID>
      <errorWord>(</errorWord>
      <group>L1_Format</group>
      <groupName>格式问题</groupName>
      <ability>L2_HalfPunc_CN</ability>
      <abilityName>全半角问题</abilityName>
      <candidateList>
        <item>（</item>
      </candidateList>
      <explain>文本全半角错误。</explain>
      <paraID>4361FE18</paraID>
      <start>82</start>
      <end>83</end>
      <status>unmodified</status>
      <modifiedWord/>
      <trackRevisions>false</trackRevisions>
    </reviewItem>
    <reviewItem>
      <errorID>742e34e2-2d03-4d83-ad14-fc505928645f</errorID>
      <errorWord>,</errorWord>
      <group>L1_Format</group>
      <groupName>格式问题</groupName>
      <ability>L2_HalfPunc_CN</ability>
      <abilityName>全半角问题</abilityName>
      <candidateList>
        <item>，</item>
      </candidateList>
      <explain>文本全半角错误。</explain>
      <paraID>4361FE18</paraID>
      <start>96</start>
      <end>97</end>
      <status>unmodified</status>
      <modifiedWord/>
      <trackRevisions>false</trackRevisions>
    </reviewItem>
    <reviewItem>
      <errorID>4ce38084-df38-468a-834e-bb2eca79ffa6</errorID>
      <errorWord>,</errorWord>
      <group>L1_Format</group>
      <groupName>格式问题</groupName>
      <ability>L2_HalfPunc_CN</ability>
      <abilityName>全半角问题</abilityName>
      <candidateList>
        <item>，</item>
      </candidateList>
      <explain>文本全半角错误。</explain>
      <paraID>4361FE18</paraID>
      <start>109</start>
      <end>110</end>
      <status>unmodified</status>
      <modifiedWord/>
      <trackRevisions>false</trackRevisions>
    </reviewItem>
    <reviewItem>
      <errorID>21e18dcf-1e2f-41a8-951e-6c90ebfee31d</errorID>
      <errorWord>)</errorWord>
      <group>L1_Format</group>
      <groupName>格式问题</groupName>
      <ability>L2_HalfPunc_CN</ability>
      <abilityName>全半角问题</abilityName>
      <candidateList>
        <item>）</item>
      </candidateList>
      <explain>文本全半角错误。</explain>
      <paraID>5CB71043</paraID>
      <start>15</start>
      <end>16</end>
      <status>unmodified</status>
      <modifiedWord/>
      <trackRevisions>false</trackRevisions>
    </reviewItem>
    <reviewItem>
      <errorID>b8db8953-d962-49f6-aa74-eb96076a0f05</errorID>
      <errorWord>,</errorWord>
      <group>L1_Format</group>
      <groupName>格式问题</groupName>
      <ability>L2_HalfPunc_CN</ability>
      <abilityName>全半角问题</abilityName>
      <candidateList>
        <item>，</item>
      </candidateList>
      <explain>文本全半角错误。</explain>
      <paraID>5CB71043</paraID>
      <start>16</start>
      <end>17</end>
      <status>unmodified</status>
      <modifiedWord/>
      <trackRevisions>false</trackRevisions>
    </reviewItem>
    <reviewItem>
      <errorID>e67dc7d2-f6d6-42f9-a58e-e0c0cd0f3a88</errorID>
      <errorWord>(</errorWord>
      <group>L1_Format</group>
      <groupName>格式问题</groupName>
      <ability>L2_HalfPunc_CN</ability>
      <abilityName>全半角问题</abilityName>
      <candidateList>
        <item>（</item>
      </candidateList>
      <explain>文本全半角错误。</explain>
      <paraID> 7913698</paraID>
      <start>11</start>
      <end>12</end>
      <status>unmodified</status>
      <modifiedWord/>
      <trackRevisions>false</trackRevisions>
    </reviewItem>
    <reviewItem>
      <errorID>5ac33dbc-d9e2-4312-aeb1-a7735b6ce34a</errorID>
      <errorWord>)</errorWord>
      <group>L1_Format</group>
      <groupName>格式问题</groupName>
      <ability>L2_HalfPunc_CN</ability>
      <abilityName>全半角问题</abilityName>
      <candidateList>
        <item>）</item>
      </candidateList>
      <explain>文本全半角错误。</explain>
      <paraID> 7913698</paraID>
      <start>18</start>
      <end>19</end>
      <status>unmodified</status>
      <modifiedWord/>
      <trackRevisions>false</trackRevisions>
    </reviewItem>
    <reviewItem>
      <errorID>c4f08989-58b2-482b-b6fb-d66b16038434</errorID>
      <errorWord>,</errorWord>
      <group>L1_Format</group>
      <groupName>格式问题</groupName>
      <ability>L2_HalfPunc_CN</ability>
      <abilityName>全半角问题</abilityName>
      <candidateList>
        <item>，</item>
      </candidateList>
      <explain>文本全半角错误。</explain>
      <paraID> 7913698</paraID>
      <start>20</start>
      <end>21</end>
      <status>unmodified</status>
      <modifiedWord/>
      <trackRevisions>false</trackRevisions>
    </reviewItem>
    <reviewItem>
      <errorID>a83aa634-360e-4fe9-b9d2-3c9751f52120</errorID>
      <errorWord>,</errorWord>
      <group>L1_Format</group>
      <groupName>格式问题</groupName>
      <ability>L2_HalfPunc_CN</ability>
      <abilityName>全半角问题</abilityName>
      <candidateList>
        <item>，</item>
      </candidateList>
      <explain>文本全半角错误。</explain>
      <paraID>75FCCF20</paraID>
      <start>35</start>
      <end>36</end>
      <status>unmodified</status>
      <modifiedWord/>
      <trackRevisions>false</trackRevisions>
    </reviewItem>
    <reviewItem>
      <errorID>1f515092-901f-4a39-95d3-b2cb18ae5be5</errorID>
      <errorWord>(</errorWord>
      <group>L1_Format</group>
      <groupName>格式问题</groupName>
      <ability>L2_HalfPunc_CN</ability>
      <abilityName>全半角问题</abilityName>
      <candidateList>
        <item>（</item>
      </candidateList>
      <explain>文本全半角错误。</explain>
      <paraID>1BA1F281</paraID>
      <start>63</start>
      <end>64</end>
      <status>unmodified</status>
      <modifiedWord/>
      <trackRevisions>false</trackRevisions>
    </reviewItem>
    <reviewItem>
      <errorID>84f6bdb1-4e68-4b70-b9c3-f6ed69fef065</errorID>
      <errorWord>)</errorWord>
      <group>L1_Format</group>
      <groupName>格式问题</groupName>
      <ability>L2_HalfPunc_CN</ability>
      <abilityName>全半角问题</abilityName>
      <candidateList>
        <item>）</item>
      </candidateList>
      <explain>文本全半角错误。</explain>
      <paraID>53F12727</paraID>
      <start>13</start>
      <end>14</end>
      <status>unmodified</status>
      <modifiedWord/>
      <trackRevisions>false</trackRevisions>
    </reviewItem>
    <reviewItem>
      <errorID>c47b09b5-34a6-4c32-b7cb-8d50e8d1628b</errorID>
      <errorWord>,</errorWord>
      <group>L1_Format</group>
      <groupName>格式问题</groupName>
      <ability>L2_HalfPunc_CN</ability>
      <abilityName>全半角问题</abilityName>
      <candidateList>
        <item>，</item>
      </candidateList>
      <explain>文本全半角错误。</explain>
      <paraID>1A4D6798</paraID>
      <start>5</start>
      <end>6</end>
      <status>unmodified</status>
      <modifiedWord/>
      <trackRevisions>false</trackRevisions>
    </reviewItem>
    <reviewItem>
      <errorID>6087bb44-961a-45b6-ad42-4c2cf5f7f35c</errorID>
      <errorWord>,</errorWord>
      <group>L1_Format</group>
      <groupName>格式问题</groupName>
      <ability>L2_HalfPunc_CN</ability>
      <abilityName>全半角问题</abilityName>
      <candidateList>
        <item>，</item>
      </candidateList>
      <explain>文本全半角错误。</explain>
      <paraID>427A7E63</paraID>
      <start>7</start>
      <end>8</end>
      <status>unmodified</status>
      <modifiedWord/>
      <trackRevisions>false</trackRevisions>
    </reviewItem>
    <reviewItem>
      <errorID>b604a6f3-5137-4548-9707-313d69a7e47a</errorID>
      <errorWord>,</errorWord>
      <group>L1_Format</group>
      <groupName>格式问题</groupName>
      <ability>L2_HalfPunc_CN</ability>
      <abilityName>全半角问题</abilityName>
      <candidateList>
        <item>，</item>
      </candidateList>
      <explain>文本全半角错误。</explain>
      <paraID>6A40429B</paraID>
      <start>25</start>
      <end>26</end>
      <status>unmodified</status>
      <modifiedWord/>
      <trackRevisions>false</trackRevisions>
    </reviewItem>
    <reviewItem>
      <errorID>88acbcaa-0b20-47f3-b2b9-0809417bb70f</errorID>
      <errorWord>~</errorWord>
      <group>L1_Format</group>
      <groupName>格式问题</groupName>
      <ability>L2_HalfPunc_CN</ability>
      <abilityName>全半角问题</abilityName>
      <candidateList>
        <item>～</item>
      </candidateList>
      <explain>文本全半角错误。</explain>
      <paraID>6A40429B</paraID>
      <start>36</start>
      <end>37</end>
      <status>unmodified</status>
      <modifiedWord/>
      <trackRevisions>false</trackRevisions>
    </reviewItem>
    <reviewItem>
      <errorID>d41d29a1-a178-44f6-baab-394ec341b26f</errorID>
      <errorWord>,</errorWord>
      <group>L1_Format</group>
      <groupName>格式问题</groupName>
      <ability>L2_HalfPunc_CN</ability>
      <abilityName>全半角问题</abilityName>
      <candidateList>
        <item>，</item>
      </candidateList>
      <explain>文本全半角错误。</explain>
      <paraID>4045F4A5</paraID>
      <start>23</start>
      <end>24</end>
      <status>unmodified</status>
      <modifiedWord/>
      <trackRevisions>false</trackRevisions>
    </reviewItem>
    <reviewItem>
      <errorID>0b6cec9b-5bc4-4875-98be-42e9f82eb9f5</errorID>
      <errorWord>~</errorWord>
      <group>L1_Format</group>
      <groupName>格式问题</groupName>
      <ability>L2_HalfPunc_CN</ability>
      <abilityName>全半角问题</abilityName>
      <candidateList>
        <item>～</item>
      </candidateList>
      <explain>文本全半角错误。</explain>
      <paraID>4045F4A5</paraID>
      <start>33</start>
      <end>34</end>
      <status>unmodified</status>
      <modifiedWord/>
      <trackRevisions>false</trackRevisions>
    </reviewItem>
    <reviewItem>
      <errorID>f940b9cd-aea9-45b7-96a2-38ba0c4dd89c</errorID>
      <errorWord>(</errorWord>
      <group>L1_Format</group>
      <groupName>格式问题</groupName>
      <ability>L2_HalfPunc_CN</ability>
      <abilityName>全半角问题</abilityName>
      <candidateList>
        <item>（</item>
      </candidateList>
      <explain>文本全半角错误。</explain>
      <paraID>10644EB9</paraID>
      <start>10</start>
      <end>11</end>
      <status>unmodified</status>
      <modifiedWord/>
      <trackRevisions>false</trackRevisions>
    </reviewItem>
    <reviewItem>
      <errorID>60887d3e-2e64-4875-b0d8-5f7bfe6da53d</errorID>
      <errorWord>)</errorWord>
      <group>L1_Format</group>
      <groupName>格式问题</groupName>
      <ability>L2_HalfPunc_CN</ability>
      <abilityName>全半角问题</abilityName>
      <candidateList>
        <item>）</item>
      </candidateList>
      <explain>文本全半角错误。</explain>
      <paraID>10644EB9</paraID>
      <start>23</start>
      <end>24</end>
      <status>unmodified</status>
      <modifiedWord/>
      <trackRevisions>false</trackRevisions>
    </reviewItem>
    <reviewItem>
      <errorID>dbf57576-3c6a-4467-b609-1e7bdd2115f2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77A51BF</paraID>
      <start>0</start>
      <end>3</end>
      <status>unmodified</status>
      <modifiedWord/>
      <trackRevisions>false</trackRevisions>
    </reviewItem>
    <reviewItem>
      <errorID>4cd02f0b-5327-48cc-ac15-316df147672b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4BF265AF</paraID>
      <start>27</start>
      <end>28</end>
      <status>unmodified</status>
      <modifiedWord/>
      <trackRevisions>false</trackRevisions>
    </reviewItem>
    <reviewItem>
      <errorID>e951397d-8b8c-4979-bc9b-e3cc44c87b9b</errorID>
      <errorWord>,</errorWord>
      <group>L1_Format</group>
      <groupName>格式问题</groupName>
      <ability>L2_HalfPunc_CN</ability>
      <abilityName>全半角问题</abilityName>
      <candidateList>
        <item>，</item>
      </candidateList>
      <explain>文本全半角错误。</explain>
      <paraID> AC59836</paraID>
      <start>14</start>
      <end>15</end>
      <status>unmodified</status>
      <modifiedWord/>
      <trackRevisions>false</trackRevisions>
    </reviewItem>
    <reviewItem>
      <errorID>f0cccb8c-b79e-497e-bb63-13175235d82f</errorID>
      <errorWord>(</errorWord>
      <group>L1_Format</group>
      <groupName>格式问题</groupName>
      <ability>L2_HalfPunc_CN</ability>
      <abilityName>全半角问题</abilityName>
      <candidateList>
        <item>（</item>
      </candidateList>
      <explain>文本全半角错误。</explain>
      <paraID>53EF2B5C</paraID>
      <start>20</start>
      <end>21</end>
      <status>unmodified</status>
      <modifiedWord/>
      <trackRevisions>false</trackRevisions>
    </reviewItem>
    <reviewItem>
      <errorID>54bc750f-f5fe-4100-a3e7-1bbe08759363</errorID>
      <errorWord>)</errorWord>
      <group>L1_Format</group>
      <groupName>格式问题</groupName>
      <ability>L2_HalfPunc_CN</ability>
      <abilityName>全半角问题</abilityName>
      <candidateList>
        <item>）</item>
      </candidateList>
      <explain>文本全半角错误。</explain>
      <paraID>53EF2B5C</paraID>
      <start>33</start>
      <end>34</end>
      <status>unmodified</status>
      <modifiedWord/>
      <trackRevisions>false</trackRevisions>
    </reviewItem>
    <reviewItem>
      <errorID>ad0bff32-bb3d-435a-9bab-0fba8758aa5a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32357B1A</paraID>
      <start>0</start>
      <end>3</end>
      <status>unmodified</status>
      <modifiedWord/>
      <trackRevisions>false</trackRevisions>
    </reviewItem>
    <reviewItem>
      <errorID>a80fcbd7-9a19-4e6f-af19-b0b40392457d</errorID>
      <errorWord>(</errorWord>
      <group>L1_Format</group>
      <groupName>格式问题</groupName>
      <ability>L2_HalfPunc_CN</ability>
      <abilityName>全半角问题</abilityName>
      <candidateList>
        <item>（</item>
      </candidateList>
      <explain>文本全半角错误。</explain>
      <paraID> 6338F01</paraID>
      <start>17</start>
      <end>18</end>
      <status>unmodified</status>
      <modifiedWord/>
      <trackRevisions>false</trackRevisions>
    </reviewItem>
    <reviewItem>
      <errorID>1eef2d9c-8230-471c-ad09-b1a638ba38e1</errorID>
      <errorWord>),</errorWord>
      <group>L1_Format</group>
      <groupName>格式问题</groupName>
      <ability>L2_HalfPunc_CN</ability>
      <abilityName>全半角问题</abilityName>
      <candidateList>
        <item>），</item>
      </candidateList>
      <explain>文本全半角错误。</explain>
      <paraID> 6338F01</paraID>
      <start>45</start>
      <end>47</end>
      <status>unmodified</status>
      <modifiedWord/>
      <trackRevisions>false</trackRevisions>
    </reviewItem>
    <reviewItem>
      <errorID>1a67241c-3853-4070-a80d-1142110dd85d</errorID>
      <errorWord>(</errorWord>
      <group>L1_Format</group>
      <groupName>格式问题</groupName>
      <ability>L2_HalfPunc_CN</ability>
      <abilityName>全半角问题</abilityName>
      <candidateList>
        <item>（</item>
      </candidateList>
      <explain>文本全半角错误。</explain>
      <paraID> 6338F01</paraID>
      <start>59</start>
      <end>60</end>
      <status>unmodified</status>
      <modifiedWord/>
      <trackRevisions>false</trackRevisions>
    </reviewItem>
    <reviewItem>
      <errorID>d958f0f5-7a64-4442-9d19-85bbe57f7e82</errorID>
      <errorWord>),</errorWord>
      <group>L1_Format</group>
      <groupName>格式问题</groupName>
      <ability>L2_HalfPunc_CN</ability>
      <abilityName>全半角问题</abilityName>
      <candidateList>
        <item>），</item>
      </candidateList>
      <explain>文本全半角错误。</explain>
      <paraID> 6338F01</paraID>
      <start>65</start>
      <end>67</end>
      <status>unmodified</status>
      <modifiedWord/>
      <trackRevisions>false</trackRevisions>
    </reviewItem>
    <reviewItem>
      <errorID>b75df590-6ae9-4536-ab30-e2aafb328bee</errorID>
      <errorWord>(</errorWord>
      <group>L1_Format</group>
      <groupName>格式问题</groupName>
      <ability>L2_HalfPunc_CN</ability>
      <abilityName>全半角问题</abilityName>
      <candidateList>
        <item>（</item>
      </candidateList>
      <explain>文本全半角错误。</explain>
      <paraID>39DF7AE0</paraID>
      <start>11</start>
      <end>12</end>
      <status>unmodified</status>
      <modifiedWord/>
      <trackRevisions>false</trackRevisions>
    </reviewItem>
    <reviewItem>
      <errorID>fdd4d767-0604-4042-9498-ffa8225e17d9</errorID>
      <errorWord>)</errorWord>
      <group>L1_Format</group>
      <groupName>格式问题</groupName>
      <ability>L2_HalfPunc_CN</ability>
      <abilityName>全半角问题</abilityName>
      <candidateList>
        <item>）</item>
      </candidateList>
      <explain>文本全半角错误。</explain>
      <paraID>39DF7AE0</paraID>
      <start>26</start>
      <end>27</end>
      <status>unmodified</status>
      <modifiedWord/>
      <trackRevisions>false</trackRevisions>
    </reviewItem>
    <reviewItem>
      <errorID>a0efb8e2-ea1b-4b5e-9625-bd8bc1f636e1</errorID>
      <errorWord>,</errorWord>
      <group>L1_Format</group>
      <groupName>格式问题</groupName>
      <ability>L2_HalfPunc_CN</ability>
      <abilityName>全半角问题</abilityName>
      <candidateList>
        <item>，</item>
      </candidateList>
      <explain>文本全半角错误。</explain>
      <paraID>39DF7AE0</paraID>
      <start>27</start>
      <end>28</end>
      <status>unmodified</status>
      <modifiedWord/>
      <trackRevisions>false</trackRevisions>
    </reviewItem>
    <reviewItem>
      <errorID>f45e17a6-b9fe-487a-b7f0-d1fd86e208d9</errorID>
      <errorWord>(</errorWord>
      <group>L1_Format</group>
      <groupName>格式问题</groupName>
      <ability>L2_HalfPunc_CN</ability>
      <abilityName>全半角问题</abilityName>
      <candidateList>
        <item>（</item>
      </candidateList>
      <explain>文本全半角错误。</explain>
      <paraID>5765C49B</paraID>
      <start>15</start>
      <end>16</end>
      <status>unmodified</status>
      <modifiedWord/>
      <trackRevisions>false</trackRevisions>
    </reviewItem>
    <reviewItem>
      <errorID>aed634dc-006f-4680-abe2-59e02fe3d546</errorID>
      <errorWord>其它</errorWord>
      <group>L1_Word</group>
      <groupName>字词问题</groupName>
      <ability>L2_Alias</ability>
      <abilityName>也作/曾用词</abilityName>
      <candidateList>
        <item>其他</item>
      </candidateList>
      <explain>词汇[其它]为不规范表述或旧称，其规范书面表述为[其他]。</explain>
      <paraID>5765C49B</paraID>
      <start>17</start>
      <end>19</end>
      <status>unmodified</status>
      <modifiedWord/>
      <trackRevisions>false</trackRevisions>
    </reviewItem>
    <reviewItem>
      <errorID>852b9821-2129-4b79-bd85-9fa6dbcb47cd</errorID>
      <errorWord>),</errorWord>
      <group>L1_Format</group>
      <groupName>格式问题</groupName>
      <ability>L2_HalfPunc_CN</ability>
      <abilityName>全半角问题</abilityName>
      <candidateList>
        <item>），</item>
      </candidateList>
      <explain>文本全半角错误。</explain>
      <paraID>5765C49B</paraID>
      <start>25</start>
      <end>27</end>
      <status>unmodified</status>
      <modifiedWord/>
      <trackRevisions>false</trackRevisions>
    </reviewItem>
    <reviewItem>
      <errorID>e62cabc9-917a-4efc-b9cd-cef4594bb4c2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3C9537D6</paraID>
      <start>0</start>
      <end>3</end>
      <status>unmodified</status>
      <modifiedWord/>
      <trackRevisions>false</trackRevisions>
    </reviewItem>
    <reviewItem>
      <errorID>9f347332-57d1-4793-a603-35bbb7743cf5</errorID>
      <errorWord>~</errorWord>
      <group>L1_Format</group>
      <groupName>格式问题</groupName>
      <ability>L2_HalfPunc_CN</ability>
      <abilityName>全半角问题</abilityName>
      <candidateList>
        <item>～</item>
      </candidateList>
      <explain>文本全半角错误。</explain>
      <paraID>12CC83FE</paraID>
      <start>64</start>
      <end>65</end>
      <status>unmodified</status>
      <modifiedWord/>
      <trackRevisions>false</trackRevisions>
    </reviewItem>
    <reviewItem>
      <errorID>c54e845d-2f73-458d-aa9d-585507bb643f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4E8A677</paraID>
      <start>0</start>
      <end>3</end>
      <status>unmodified</status>
      <modifiedWord/>
      <trackRevisions>false</trackRevisions>
    </reviewItem>
    <reviewItem>
      <errorID>4969fe0d-3751-49f3-a508-5d455ff6e205</errorID>
      <errorWord>,</errorWord>
      <group>L1_Format</group>
      <groupName>格式问题</groupName>
      <ability>L2_HalfPunc_CN</ability>
      <abilityName>全半角问题</abilityName>
      <candidateList>
        <item>，</item>
      </candidateList>
      <explain>文本全半角错误。</explain>
      <paraID>13FAA74E</paraID>
      <start>60</start>
      <end>61</end>
      <status>unmodified</status>
      <modifiedWord/>
      <trackRevisions>false</trackRevisions>
    </reviewItem>
    <reviewItem>
      <errorID>b301f10f-b279-44b5-a148-7b9b9b4c8f49</errorID>
      <errorWord>,</errorWord>
      <group>L1_Format</group>
      <groupName>格式问题</groupName>
      <ability>L2_HalfPunc_CN</ability>
      <abilityName>全半角问题</abilityName>
      <candidateList>
        <item>，</item>
      </candidateList>
      <explain>文本全半角错误。</explain>
      <paraID>13FAA74E</paraID>
      <start>73</start>
      <end>74</end>
      <status>unmodified</status>
      <modifiedWord/>
      <trackRevisions>false</trackRevisions>
    </reviewItem>
    <reviewItem>
      <errorID>ff9063cc-afc5-4993-a515-48c4a8810b96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4DDF0A04</paraID>
      <start>0</start>
      <end>3</end>
      <status>unmodified</status>
      <modifiedWord/>
      <trackRevisions>false</trackRevisions>
    </reviewItem>
    <reviewItem>
      <errorID>d3b58a93-0b36-4cfd-8d14-68bbfd12eabf</errorID>
      <errorWord>,</errorWord>
      <group>L1_Format</group>
      <groupName>格式问题</groupName>
      <ability>L2_HalfPunc_CN</ability>
      <abilityName>全半角问题</abilityName>
      <candidateList>
        <item>，</item>
      </candidateList>
      <explain>文本全半角错误。</explain>
      <paraID>75C8FB12</paraID>
      <start>32</start>
      <end>33</end>
      <status>unmodified</status>
      <modifiedWord/>
      <trackRevisions>false</trackRevisions>
    </reviewItem>
    <reviewItem>
      <errorID>be5f2228-2002-4b79-941e-a7e79f33a7a6</errorID>
      <errorWord>,</errorWord>
      <group>L1_Format</group>
      <groupName>格式问题</groupName>
      <ability>L2_HalfPunc_CN</ability>
      <abilityName>全半角问题</abilityName>
      <candidateList>
        <item>，</item>
      </candidateList>
      <explain>文本全半角错误。</explain>
      <paraID>75C8FB12</paraID>
      <start>70</start>
      <end>71</end>
      <status>unmodified</status>
      <modifiedWord/>
      <trackRevisions>false</trackRevisions>
    </reviewItem>
    <reviewItem>
      <errorID>8e9cd836-02b8-45ff-8f83-33beddf7a122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3BF4BB2D</paraID>
      <start>0</start>
      <end>3</end>
      <status>unmodified</status>
      <modifiedWord/>
      <trackRevisions>false</trackRevisions>
    </reviewItem>
    <reviewItem>
      <errorID>e7967118-d9a5-4458-b857-10cf47bbaee0</errorID>
      <errorWord>根据水平衡显示</errorWord>
      <group>L1_Grammar</group>
      <groupName>语法问题</groupName>
      <ability>L2_Grammar</ability>
      <abilityName>语法错误</abilityName>
      <candidateList>
        <item>根据水平衡</item>
      </candidateList>
      <explain>该表达中的“根据水平衡显示”存在语义重复。</explain>
      <paraID>6BD73EC7</paraID>
      <start>54</start>
      <end>61</end>
      <status>unmodified</status>
      <modifiedWord/>
      <trackRevisions>false</trackRevisions>
    </reviewItem>
    <reviewItem>
      <errorID>d5f80d38-6d7a-4b74-8c57-5d2a17be39ed</errorID>
      <errorWord>,</errorWord>
      <group>L1_Format</group>
      <groupName>格式问题</groupName>
      <ability>L2_HalfPunc_CN</ability>
      <abilityName>全半角问题</abilityName>
      <candidateList>
        <item>，</item>
      </candidateList>
      <explain>文本全半角错误。</explain>
      <paraID>6BD73EC7</paraID>
      <start>90</start>
      <end>91</end>
      <status>unmodified</status>
      <modifiedWord/>
      <trackRevisions>false</trackRevisions>
    </reviewItem>
    <reviewItem>
      <errorID>8fad1c9c-8bc5-4ea4-9698-297ee3e1efb9</errorID>
      <errorWord>,</errorWord>
      <group>L1_Format</group>
      <groupName>格式问题</groupName>
      <ability>L2_HalfPunc_CN</ability>
      <abilityName>全半角问题</abilityName>
      <candidateList>
        <item>，</item>
      </candidateList>
      <explain>文本全半角错误。</explain>
      <paraID>6BD73EC7</paraID>
      <start>132</start>
      <end>133</end>
      <status>unmodified</status>
      <modifiedWord/>
      <trackRevisions>false</trackRevisions>
    </reviewItem>
    <reviewItem>
      <errorID>8a3ec8be-1cce-4671-a9ec-4145b1267787</errorID>
      <errorWord>卫</errorWord>
      <group>L1_Word</group>
      <groupName>字词问题</groupName>
      <ability>L2_Typo</ability>
      <abilityName>字词错误</abilityName>
      <candidateList>
        <item>卫生</item>
      </candidateList>
      <explain/>
      <paraID> 9552370</paraID>
      <start>0</start>
      <end>1</end>
      <status>unmodified</status>
      <modifiedWord/>
      <trackRevisions>false</trackRevisions>
    </reviewItem>
    <reviewItem>
      <errorID>09670b90-5a49-4260-b4d7-0408e1d4ff3b</errorID>
      <errorWord>(</errorWord>
      <group>L1_Format</group>
      <groupName>格式问题</groupName>
      <ability>L2_HalfPunc_CN</ability>
      <abilityName>全半角问题</abilityName>
      <candidateList>
        <item>（</item>
      </candidateList>
      <explain>文本全半角错误。</explain>
      <paraID> 99477A8</paraID>
      <start>3</start>
      <end>4</end>
      <status>unmodified</status>
      <modifiedWord/>
      <trackRevisions>false</trackRevisions>
    </reviewItem>
    <reviewItem>
      <errorID>a8651d80-2e50-408a-861d-2b8323a47809</errorID>
      <errorWord>)</errorWord>
      <group>L1_Format</group>
      <groupName>格式问题</groupName>
      <ability>L2_HalfPunc_CN</ability>
      <abilityName>全半角问题</abilityName>
      <candidateList>
        <item>）</item>
      </candidateList>
      <explain>文本全半角错误。</explain>
      <paraID> 99477A8</paraID>
      <start>7</start>
      <end>8</end>
      <status>unmodified</status>
      <modifiedWord/>
      <trackRevisions>false</trackRevisions>
    </reviewItem>
    <reviewItem>
      <errorID>edd63aa4-c995-45b6-86c2-a95f86f4e198</errorID>
      <errorWord>(</errorWord>
      <group>L1_Format</group>
      <groupName>格式问题</groupName>
      <ability>L2_HalfPunc_CN</ability>
      <abilityName>全半角问题</abilityName>
      <candidateList>
        <item>（</item>
      </candidateList>
      <explain>文本全半角错误。</explain>
      <paraID>62D8BB04</paraID>
      <start>5</start>
      <end>6</end>
      <status>unmodified</status>
      <modifiedWord/>
      <trackRevisions>false</trackRevisions>
    </reviewItem>
    <reviewItem>
      <errorID>328d0f45-2141-4aa1-a665-497873da7c51</errorID>
      <errorWord>(</errorWord>
      <group>L1_Punc</group>
      <groupName>标点问题</groupName>
      <ability>L2_Punc_CN</ability>
      <abilityName>标点符号问题</abilityName>
      <candidateList/>
      <explain>同一形式括号套用。</explain>
      <paraID>1F9CD50D</paraID>
      <start>15</start>
      <end>16</end>
      <status>unmodified</status>
      <modifiedWord/>
      <trackRevisions>false</trackRevisions>
    </reviewItem>
    <reviewItem>
      <errorID>9c58d38b-ac4f-43ba-805f-cf39f9c86fd7</errorID>
      <errorWord>)</errorWord>
      <group>L1_Punc</group>
      <groupName>标点问题</groupName>
      <ability>L2_Punc_CN</ability>
      <abilityName>标点符号问题</abilityName>
      <candidateList/>
      <explain>同一形式括号套用。</explain>
      <paraID>1F9CD50D</paraID>
      <start>49</start>
      <end>50</end>
      <status>unmodified</status>
      <modifiedWord/>
      <trackRevisions>false</trackRevisions>
    </reviewItem>
    <reviewItem>
      <errorID>4ae848d5-5e3f-4763-a527-0ab2e6430226</errorID>
      <errorWord>(</errorWord>
      <group>L1_Format</group>
      <groupName>格式问题</groupName>
      <ability>L2_HalfPunc_CN</ability>
      <abilityName>全半角问题</abilityName>
      <candidateList>
        <item>（</item>
      </candidateList>
      <explain>文本全半角错误。</explain>
      <paraID> 67D2225</paraID>
      <start>3</start>
      <end>4</end>
      <status>unmodified</status>
      <modifiedWord/>
      <trackRevisions>false</trackRevisions>
    </reviewItem>
    <reviewItem>
      <errorID>2da8fc1e-a075-450d-8ba0-579df155039c</errorID>
      <errorWord>)</errorWord>
      <group>L1_Format</group>
      <groupName>格式问题</groupName>
      <ability>L2_HalfPunc_CN</ability>
      <abilityName>全半角问题</abilityName>
      <candidateList>
        <item>）</item>
      </candidateList>
      <explain>文本全半角错误。</explain>
      <paraID> 67D2225</paraID>
      <start>7</start>
      <end>8</end>
      <status>unmodified</status>
      <modifiedWord/>
      <trackRevisions>false</trackRevisions>
    </reviewItem>
    <reviewItem>
      <errorID>00913e04-be62-42a3-a9af-af812cc61adc</errorID>
      <errorWord>(</errorWord>
      <group>L1_Format</group>
      <groupName>格式问题</groupName>
      <ability>L2_HalfPunc_CN</ability>
      <abilityName>全半角问题</abilityName>
      <candidateList>
        <item>（</item>
      </candidateList>
      <explain>文本全半角错误。</explain>
      <paraID>7570B47E</paraID>
      <start>3</start>
      <end>4</end>
      <status>unmodified</status>
      <modifiedWord/>
      <trackRevisions>false</trackRevisions>
    </reviewItem>
    <reviewItem>
      <errorID>2ec6ae27-e148-4ff7-9b10-593468827850</errorID>
      <errorWord>)</errorWord>
      <group>L1_Format</group>
      <groupName>格式问题</groupName>
      <ability>L2_HalfPunc_CN</ability>
      <abilityName>全半角问题</abilityName>
      <candidateList>
        <item>）</item>
      </candidateList>
      <explain>文本全半角错误。</explain>
      <paraID>7570B47E</paraID>
      <start>7</start>
      <end>8</end>
      <status>unmodified</status>
      <modifiedWord/>
      <trackRevisions>false</trackRevisions>
    </reviewItem>
    <reviewItem>
      <errorID>52c5ae41-0989-459a-984e-0df1a6f074dd</errorID>
      <errorWord>产生</errorWord>
      <group>L1_Word</group>
      <groupName>字词问题</groupName>
      <ability>L2_Typo</ability>
      <abilityName>字词错误</abilityName>
      <candidateList>
        <item>生产</item>
      </candidateList>
      <explain/>
      <paraID>63E2993A</paraID>
      <start>0</start>
      <end>2</end>
      <status>unmodified</status>
      <modifiedWord/>
      <trackRevisions>false</trackRevisions>
    </reviewItem>
    <reviewItem>
      <errorID>288f99e6-d645-44b2-bedc-74abe978adb8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B034939</paraID>
      <start>0</start>
      <end>3</end>
      <status>unmodified</status>
      <modifiedWord/>
      <trackRevisions>false</trackRevisions>
    </reviewItem>
    <reviewItem>
      <errorID>05620f91-7246-47d9-8f31-ad6386c354b6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248CC5F6</paraID>
      <start>0</start>
      <end>3</end>
      <status>unmodified</status>
      <modifiedWord/>
      <trackRevisions>false</trackRevisions>
    </reviewItem>
    <reviewItem>
      <errorID>4adcc777-ad37-4895-94d6-73879a411f79</errorID>
      <errorWord>,</errorWord>
      <group>L1_Format</group>
      <groupName>格式问题</groupName>
      <ability>L2_HalfPunc_CN</ability>
      <abilityName>全半角问题</abilityName>
      <candidateList>
        <item>，</item>
      </candidateList>
      <explain>文本全半角错误。</explain>
      <paraID>248CC5F6</paraID>
      <start>33</start>
      <end>34</end>
      <status>unmodified</status>
      <modifiedWord/>
      <trackRevisions>false</trackRevisions>
    </reviewItem>
    <reviewItem>
      <errorID>627d7a39-cc65-4301-b97c-f99b66255423</errorID>
      <errorWord>的</errorWord>
      <group>L1_Word</group>
      <groupName>字词问题</groupName>
      <ability>L2_DDD</ability>
      <abilityName>的地得用法</abilityName>
      <candidateList>
        <item>地</item>
      </candidateList>
      <explain/>
      <paraID>3005A0DD</paraID>
      <start>25</start>
      <end>26</end>
      <status>unmodified</status>
      <modifiedWord/>
      <trackRevisions>false</trackRevisions>
    </reviewItem>
    <reviewItem>
      <errorID>a852e7d0-2c96-4252-a053-584ee78697cc</errorID>
      <errorWord>光</errorWord>
      <group>L1_Word</group>
      <groupName>字词问题</groupName>
      <ability>L2_Typo</ability>
      <abilityName>字词错误</abilityName>
      <candidateList>
        <item>光的</item>
      </candidateList>
      <explain/>
      <paraID>3005A0DD</paraID>
      <start>79</start>
      <end>80</end>
      <status>unmodified</status>
      <modifiedWord/>
      <trackRevisions>false</trackRevisions>
    </reviewItem>
    <reviewItem>
      <errorID>3446d023-6fdf-4118-8264-28907c337032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46FFE271</paraID>
      <start>0</start>
      <end>3</end>
      <status>unmodified</status>
      <modifiedWord/>
      <trackRevisions>false</trackRevisions>
    </reviewItem>
    <reviewItem>
      <errorID>6db8ac12-e682-4760-b4d4-5e2ab81d65e4</errorID>
      <errorWord>(</errorWord>
      <group>L1_Format</group>
      <groupName>格式问题</groupName>
      <ability>L2_HalfPunc_CN</ability>
      <abilityName>全半角问题</abilityName>
      <candidateList>
        <item>（</item>
      </candidateList>
      <explain>文本全半角错误。</explain>
      <paraID>46FFE271</paraID>
      <start>22</start>
      <end>23</end>
      <status>unmodified</status>
      <modifiedWord/>
      <trackRevisions>false</trackRevisions>
    </reviewItem>
    <reviewItem>
      <errorID>5b458923-c435-4433-a596-fe48ed9150ad</errorID>
      <errorWord>)</errorWord>
      <group>L1_Format</group>
      <groupName>格式问题</groupName>
      <ability>L2_HalfPunc_CN</ability>
      <abilityName>全半角问题</abilityName>
      <candidateList>
        <item>）</item>
      </candidateList>
      <explain>文本全半角错误。</explain>
      <paraID>46FFE271</paraID>
      <start>36</start>
      <end>37</end>
      <status>unmodified</status>
      <modifiedWord/>
      <trackRevisions>false</trackRevisions>
    </reviewItem>
    <reviewItem>
      <errorID>d4635abe-990a-4c4d-8c87-1014b0aa6875</errorID>
      <errorWord>(</errorWord>
      <group>L1_Format</group>
      <groupName>格式问题</groupName>
      <ability>L2_HalfPunc_CN</ability>
      <abilityName>全半角问题</abilityName>
      <candidateList>
        <item>（</item>
      </candidateList>
      <explain>文本全半角错误。</explain>
      <paraID>  961446</paraID>
      <start>28</start>
      <end>29</end>
      <status>unmodified</status>
      <modifiedWord/>
      <trackRevisions>false</trackRevisions>
    </reviewItem>
    <reviewItem>
      <errorID>face8403-d423-492a-afc7-5408314bf601</errorID>
      <errorWord>)</errorWord>
      <group>L1_Format</group>
      <groupName>格式问题</groupName>
      <ability>L2_HalfPunc_CN</ability>
      <abilityName>全半角问题</abilityName>
      <candidateList>
        <item>）</item>
      </candidateList>
      <explain>文本全半角错误。</explain>
      <paraID>  961446</paraID>
      <start>38</start>
      <end>39</end>
      <status>unmodified</status>
      <modifiedWord/>
      <trackRevisions>false</trackRevisions>
    </reviewItem>
    <reviewItem>
      <errorID>1df5b758-4d11-4f3c-acfe-88985bc582b9</errorID>
      <errorWord>成为</errorWord>
      <group>L1_Word</group>
      <groupName>字词问题</groupName>
      <ability>L2_Typo</ability>
      <abilityName>字词错误</abilityName>
      <candidateList>
        <item>称为</item>
      </candidateList>
      <explain>存在发音相同字词的误用。</explain>
      <paraID> 8D78AA4</paraID>
      <start>18</start>
      <end>20</end>
      <status>unmodified</status>
      <modifiedWord/>
      <trackRevisions>false</trackRevisions>
    </reviewItem>
    <reviewItem>
      <errorID>362d5237-80ff-44f3-8abd-f6bb50acbc3f</errorID>
      <errorWord>,</errorWord>
      <group>L1_Format</group>
      <groupName>格式问题</groupName>
      <ability>L2_HalfPunc_CN</ability>
      <abilityName>全半角问题</abilityName>
      <candidateList>
        <item>，</item>
      </candidateList>
      <explain>文本全半角错误。</explain>
      <paraID>1BFC2E95</paraID>
      <start>28</start>
      <end>29</end>
      <status>unmodified</status>
      <modifiedWord/>
      <trackRevisions>false</trackRevisions>
    </reviewItem>
    <reviewItem>
      <errorID>02d0899c-5425-4311-a3a6-b21516f3193b</errorID>
      <errorWord>(</errorWord>
      <group>L1_Format</group>
      <groupName>格式问题</groupName>
      <ability>L2_HalfPunc_CN</ability>
      <abilityName>全半角问题</abilityName>
      <candidateList>
        <item>（</item>
      </candidateList>
      <explain>文本全半角错误。</explain>
      <paraID>20412632</paraID>
      <start>71</start>
      <end>72</end>
      <status>unmodified</status>
      <modifiedWord/>
      <trackRevisions>false</trackRevisions>
    </reviewItem>
    <reviewItem>
      <errorID>2f4827c2-1bed-4643-b4ad-859e4c534a23</errorID>
      <errorWord>),</errorWord>
      <group>L1_Format</group>
      <groupName>格式问题</groupName>
      <ability>L2_HalfPunc_CN</ability>
      <abilityName>全半角问题</abilityName>
      <candidateList>
        <item>），</item>
      </candidateList>
      <explain>文本全半角错误。</explain>
      <paraID>20412632</paraID>
      <start>74</start>
      <end>76</end>
      <status>unmodified</status>
      <modifiedWord/>
      <trackRevisions>false</trackRevisions>
    </reviewItem>
    <reviewItem>
      <errorID>0343c68b-0df6-4991-b3e9-46a7f866c0de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1139C0C6</paraID>
      <start>4</start>
      <end>5</end>
      <status>unmodified</status>
      <modifiedWord/>
      <trackRevisions>false</trackRevisions>
    </reviewItem>
    <reviewItem>
      <errorID>c968eb7c-4562-492f-94db-89c4d49f416c</errorID>
      <errorWord>(</errorWord>
      <group>L1_Format</group>
      <groupName>格式问题</groupName>
      <ability>L2_HalfPunc_CN</ability>
      <abilityName>全半角问题</abilityName>
      <candidateList>
        <item>（</item>
      </candidateList>
      <explain>文本全半角错误。</explain>
      <paraID>4E72E4B8</paraID>
      <start>75</start>
      <end>76</end>
      <status>unmodified</status>
      <modifiedWord/>
      <trackRevisions>false</trackRevisions>
    </reviewItem>
    <reviewItem>
      <errorID>eb68d9f3-bf7a-4cef-8e0f-2e462ed699f5</errorID>
      <errorWord>),</errorWord>
      <group>L1_Format</group>
      <groupName>格式问题</groupName>
      <ability>L2_HalfPunc_CN</ability>
      <abilityName>全半角问题</abilityName>
      <candidateList>
        <item>），</item>
      </candidateList>
      <explain>文本全半角错误。</explain>
      <paraID>4E72E4B8</paraID>
      <start>78</start>
      <end>80</end>
      <status>unmodified</status>
      <modifiedWord/>
      <trackRevisions>false</trackRevisions>
    </reviewItem>
    <reviewItem>
      <errorID>cfa2fb73-47a6-452e-86cf-8b62763c6b7b</errorID>
      <errorWord>(</errorWord>
      <group>L1_Format</group>
      <groupName>格式问题</groupName>
      <ability>L2_HalfPunc_CN</ability>
      <abilityName>全半角问题</abilityName>
      <candidateList>
        <item>（</item>
      </candidateList>
      <explain>文本全半角错误。</explain>
      <paraID> BA76246</paraID>
      <start>48</start>
      <end>49</end>
      <status>unmodified</status>
      <modifiedWord/>
      <trackRevisions>false</trackRevisions>
    </reviewItem>
    <reviewItem>
      <errorID>39ed1372-470e-45c7-84b5-b84ba7bcb4b0</errorID>
      <errorWord>)</errorWord>
      <group>L1_Format</group>
      <groupName>格式问题</groupName>
      <ability>L2_HalfPunc_CN</ability>
      <abilityName>全半角问题</abilityName>
      <candidateList>
        <item>）</item>
      </candidateList>
      <explain>文本全半角错误。</explain>
      <paraID> BA76246</paraID>
      <start>60</start>
      <end>61</end>
      <status>unmodified</status>
      <modifiedWord/>
      <trackRevisions>false</trackRevisions>
    </reviewItem>
    <reviewItem>
      <errorID>a98f889a-e516-470d-9d10-4160c2f17a49</errorID>
      <errorWord>~</errorWord>
      <group>L1_Format</group>
      <groupName>格式问题</groupName>
      <ability>L2_HalfPunc_CN</ability>
      <abilityName>全半角问题</abilityName>
      <candidateList>
        <item>～</item>
      </candidateList>
      <explain>文本全半角错误。</explain>
      <paraID>56095A13</paraID>
      <start>42</start>
      <end>43</end>
      <status>unmodified</status>
      <modifiedWord/>
      <trackRevisions>false</trackRevisions>
    </reviewItem>
    <reviewItem>
      <errorID>3b4ef578-edd2-489b-b3a1-2dace92e0f32</errorID>
      <errorWord>)</errorWord>
      <group>L1_Format</group>
      <groupName>格式问题</groupName>
      <ability>L2_HalfPunc_CN</ability>
      <abilityName>全半角问题</abilityName>
      <candidateList>
        <item>）</item>
      </candidateList>
      <explain>文本全半角错误。</explain>
      <paraID>629DC13C</paraID>
      <start>12</start>
      <end>13</end>
      <status>unmodified</status>
      <modifiedWord/>
      <trackRevisions>false</trackRevisions>
    </reviewItem>
    <reviewItem>
      <errorID>03a5c055-13d3-49d6-a2db-b88a5e28abee</errorID>
      <errorWord>(</errorWord>
      <group>L1_Format</group>
      <groupName>格式问题</groupName>
      <ability>L2_HalfPunc_CN</ability>
      <abilityName>全半角问题</abilityName>
      <candidateList>
        <item>（</item>
      </candidateList>
      <explain>文本全半角错误。</explain>
      <paraID>7DFCD9C9</paraID>
      <start>36</start>
      <end>37</end>
      <status>unmodified</status>
      <modifiedWord/>
      <trackRevisions>false</trackRevisions>
    </reviewItem>
    <reviewItem>
      <errorID>2b6ddab3-1b8c-4bc4-80b9-ddb6e99e1630</errorID>
      <errorWord>,</errorWord>
      <group>L1_Format</group>
      <groupName>格式问题</groupName>
      <ability>L2_HalfPunc_CN</ability>
      <abilityName>全半角问题</abilityName>
      <candidateList>
        <item>，</item>
      </candidateList>
      <explain>文本全半角错误。</explain>
      <paraID>7A94C26E</paraID>
      <start>60</start>
      <end>61</end>
      <status>unmodified</status>
      <modifiedWord/>
      <trackRevisions>false</trackRevisions>
    </reviewItem>
    <reviewItem>
      <errorID>28e7c772-5bb2-415f-a70b-e900fdbe53b1</errorID>
      <errorWord>,</errorWord>
      <group>L1_Format</group>
      <groupName>格式问题</groupName>
      <ability>L2_HalfPunc_CN</ability>
      <abilityName>全半角问题</abilityName>
      <candidateList>
        <item>，</item>
      </candidateList>
      <explain>文本全半角错误。</explain>
      <paraID>7A94C26E</paraID>
      <start>92</start>
      <end>93</end>
      <status>unmodified</status>
      <modifiedWord/>
      <trackRevisions>false</trackRevisions>
    </reviewItem>
    <reviewItem>
      <errorID>789e2eaf-32d7-4363-9c47-9e239acf665d</errorID>
      <errorWord>(</errorWord>
      <group>L1_Format</group>
      <groupName>格式问题</groupName>
      <ability>L2_HalfPunc_CN</ability>
      <abilityName>全半角问题</abilityName>
      <candidateList>
        <item>（</item>
      </candidateList>
      <explain>文本全半角错误。</explain>
      <paraID>7A94C26E</paraID>
      <start>124</start>
      <end>125</end>
      <status>unmodified</status>
      <modifiedWord/>
      <trackRevisions>false</trackRevisions>
    </reviewItem>
    <reviewItem>
      <errorID>548727a9-452c-4718-9cd9-7f3bc8a25fab</errorID>
      <errorWord>)</errorWord>
      <group>L1_Format</group>
      <groupName>格式问题</groupName>
      <ability>L2_HalfPunc_CN</ability>
      <abilityName>全半角问题</abilityName>
      <candidateList>
        <item>）</item>
      </candidateList>
      <explain>文本全半角错误。</explain>
      <paraID>7A94C26E</paraID>
      <start>131</start>
      <end>132</end>
      <status>unmodified</status>
      <modifiedWord/>
      <trackRevisions>false</trackRevisions>
    </reviewItem>
    <reviewItem>
      <errorID>3bb4dc1c-d33f-472d-a65a-b65aaf292346</errorID>
      <errorWord>,</errorWord>
      <group>L1_Format</group>
      <groupName>格式问题</groupName>
      <ability>L2_HalfPunc_CN</ability>
      <abilityName>全半角问题</abilityName>
      <candidateList>
        <item>，</item>
      </candidateList>
      <explain>文本全半角错误。</explain>
      <paraID>7A94C26E</paraID>
      <start>133</start>
      <end>134</end>
      <status>unmodified</status>
      <modifiedWord/>
      <trackRevisions>false</trackRevisions>
    </reviewItem>
    <reviewItem>
      <errorID>d6231795-9deb-42dd-b9e4-8e6b1999da55</errorID>
      <errorWord>,</errorWord>
      <group>L1_Format</group>
      <groupName>格式问题</groupName>
      <ability>L2_HalfPunc_CN</ability>
      <abilityName>全半角问题</abilityName>
      <candidateList>
        <item>，</item>
      </candidateList>
      <explain>文本全半角错误。</explain>
      <paraID>6121AE71</paraID>
      <start>14</start>
      <end>15</end>
      <status>unmodified</status>
      <modifiedWord/>
      <trackRevisions>false</trackRevisions>
    </reviewItem>
    <reviewItem>
      <errorID>f65db39a-bd17-40d2-8ffc-65d238eb2897</errorID>
      <errorWord>,</errorWord>
      <group>L1_Format</group>
      <groupName>格式问题</groupName>
      <ability>L2_HalfPunc_CN</ability>
      <abilityName>全半角问题</abilityName>
      <candidateList>
        <item>，</item>
      </candidateList>
      <explain>文本全半角错误。</explain>
      <paraID>4F48F6E6</paraID>
      <start>15</start>
      <end>16</end>
      <status>unmodified</status>
      <modifiedWord/>
      <trackRevisions>false</trackRevisions>
    </reviewItem>
    <reviewItem>
      <errorID>61d6fcae-a5c5-4003-a20b-108ddfcfc2a7</errorID>
      <errorWord>,</errorWord>
      <group>L1_Format</group>
      <groupName>格式问题</groupName>
      <ability>L2_HalfPunc_CN</ability>
      <abilityName>全半角问题</abilityName>
      <candidateList>
        <item>，</item>
      </candidateList>
      <explain>文本全半角错误。</explain>
      <paraID>4F48F6E6</paraID>
      <start>56</start>
      <end>57</end>
      <status>unmodified</status>
      <modifiedWord/>
      <trackRevisions>false</trackRevisions>
    </reviewItem>
    <reviewItem>
      <errorID>f6c2518b-903f-43f8-9d3a-adca6e57bc33</errorID>
      <errorWord>;</errorWord>
      <group>L1_Format</group>
      <groupName>格式问题</groupName>
      <ability>L2_HalfPunc_CN</ability>
      <abilityName>全半角问题</abilityName>
      <candidateList>
        <item>；</item>
      </candidateList>
      <explain>文本全半角错误。</explain>
      <paraID>4382D919</paraID>
      <start>16</start>
      <end>17</end>
      <status>unmodified</status>
      <modifiedWord/>
      <trackRevisions>false</trackRevisions>
    </reviewItem>
    <reviewItem>
      <errorID>ceea5b5b-701b-4206-951f-3a196a16c80d</errorID>
      <errorWord>(</errorWord>
      <group>L1_Format</group>
      <groupName>格式问题</groupName>
      <ability>L2_HalfPunc_CN</ability>
      <abilityName>全半角问题</abilityName>
      <candidateList>
        <item>（</item>
      </candidateList>
      <explain>文本全半角错误。</explain>
      <paraID>4382D919</paraID>
      <start>46</start>
      <end>47</end>
      <status>unmodified</status>
      <modifiedWord/>
      <trackRevisions>false</trackRevisions>
    </reviewItem>
    <reviewItem>
      <errorID>5cbed20e-2402-4c51-ace7-b4787242d5e4</errorID>
      <errorWord>)</errorWord>
      <group>L1_Format</group>
      <groupName>格式问题</groupName>
      <ability>L2_HalfPunc_CN</ability>
      <abilityName>全半角问题</abilityName>
      <candidateList>
        <item>）</item>
      </candidateList>
      <explain>文本全半角错误。</explain>
      <paraID>4382D919</paraID>
      <start>48</start>
      <end>49</end>
      <status>unmodified</status>
      <modifiedWord/>
      <trackRevisions>false</trackRevisions>
    </reviewItem>
    <reviewItem>
      <errorID>edb0ddee-9a05-4fd7-8d6e-81206ce9e39d</errorID>
      <errorWord>..</errorWord>
      <group>L1_Punc</group>
      <groupName>标点问题</groupName>
      <ability>L2_Punc_CN</ability>
      <abilityName>标点符号问题</abilityName>
      <candidateList>
        <item>.</item>
      </candidateList>
      <explain/>
      <paraID>67F3A974</paraID>
      <start>14</start>
      <end>16</end>
      <status>unmodified</status>
      <modifiedWord/>
      <trackRevisions>false</trackRevisions>
    </reviewItem>
    <reviewItem>
      <errorID>fb205c83-cd63-46dc-972f-d33d45d8268d</errorID>
      <errorWord>,…,</errorWord>
      <group>L1_Punc</group>
      <groupName>标点问题</groupName>
      <ability>L2_Punc_CN</ability>
      <abilityName>标点符号问题</abilityName>
      <candidateList>
        <item>,</item>
      </candidateList>
      <explain/>
      <paraID>4BF08907</paraID>
      <start>8</start>
      <end>11</end>
      <status>unmodified</status>
      <modifiedWord/>
      <trackRevisions>false</trackRevisions>
    </reviewItem>
    <reviewItem>
      <errorID>020a95b3-1810-4a35-9a12-0238c58e6dbf</errorID>
      <errorWord>(</errorWord>
      <group>L1_Format</group>
      <groupName>格式问题</groupName>
      <ability>L2_HalfPunc_CN</ability>
      <abilityName>全半角问题</abilityName>
      <candidateList>
        <item>（</item>
      </candidateList>
      <explain>文本全半角错误。</explain>
      <paraID>4BF08907</paraID>
      <start>33</start>
      <end>34</end>
      <status>unmodified</status>
      <modifiedWord/>
      <trackRevisions>false</trackRevisions>
    </reviewItem>
    <reviewItem>
      <errorID>39401422-8a6f-4aac-a89e-9fc5836809f8</errorID>
      <errorWord>)</errorWord>
      <group>L1_Format</group>
      <groupName>格式问题</groupName>
      <ability>L2_HalfPunc_CN</ability>
      <abilityName>全半角问题</abilityName>
      <candidateList>
        <item>）</item>
      </candidateList>
      <explain>文本全半角错误。</explain>
      <paraID>4BF08907</paraID>
      <start>35</start>
      <end>36</end>
      <status>unmodified</status>
      <modifiedWord/>
      <trackRevisions>false</trackRevisions>
    </reviewItem>
    <reviewItem>
      <errorID>74ef3934-93f7-47ea-8baf-3e663994f0a3</errorID>
      <errorWord>,…,</errorWord>
      <group>L1_Punc</group>
      <groupName>标点问题</groupName>
      <ability>L2_Punc_CN</ability>
      <abilityName>标点符号问题</abilityName>
      <candidateList>
        <item>,</item>
      </candidateList>
      <explain/>
      <paraID>7A462209</paraID>
      <start>5</start>
      <end>8</end>
      <status>unmodified</status>
      <modifiedWord/>
      <trackRevisions>false</trackRevisions>
    </reviewItem>
    <reviewItem>
      <errorID>f640d8f1-632f-4130-a50c-f628ac6733c8</errorID>
      <errorWord>(</errorWord>
      <group>L1_Format</group>
      <groupName>格式问题</groupName>
      <ability>L2_HalfPunc_CN</ability>
      <abilityName>全半角问题</abilityName>
      <candidateList>
        <item>（</item>
      </candidateList>
      <explain>文本全半角错误。</explain>
      <paraID>7A462209</paraID>
      <start>30</start>
      <end>31</end>
      <status>unmodified</status>
      <modifiedWord/>
      <trackRevisions>false</trackRevisions>
    </reviewItem>
    <reviewItem>
      <errorID>16d7b401-1f11-4baf-992c-fc50567e5170</errorID>
      <errorWord>)</errorWord>
      <group>L1_Format</group>
      <groupName>格式问题</groupName>
      <ability>L2_HalfPunc_CN</ability>
      <abilityName>全半角问题</abilityName>
      <candidateList>
        <item>）</item>
      </candidateList>
      <explain>文本全半角错误。</explain>
      <paraID>7A462209</paraID>
      <start>32</start>
      <end>33</end>
      <status>unmodified</status>
      <modifiedWord/>
      <trackRevisions>false</trackRevisions>
    </reviewItem>
    <reviewItem>
      <errorID>eebf8813-a291-4706-9cb9-dbb9a492810b</errorID>
      <errorWord>(</errorWord>
      <group>L1_Format</group>
      <groupName>格式问题</groupName>
      <ability>L2_HalfPunc_CN</ability>
      <abilityName>全半角问题</abilityName>
      <candidateList>
        <item>（</item>
      </candidateList>
      <explain>文本全半角错误。</explain>
      <paraID>6088F651</paraID>
      <start>18</start>
      <end>19</end>
      <status>unmodified</status>
      <modifiedWord/>
      <trackRevisions>false</trackRevisions>
    </reviewItem>
    <reviewItem>
      <errorID>75b5b301-64d6-427a-8e0c-05de9e990017</errorID>
      <errorWord>)</errorWord>
      <group>L1_Format</group>
      <groupName>格式问题</groupName>
      <ability>L2_HalfPunc_CN</ability>
      <abilityName>全半角问题</abilityName>
      <candidateList>
        <item>）</item>
      </candidateList>
      <explain>文本全半角错误。</explain>
      <paraID>6088F651</paraID>
      <start>29</start>
      <end>30</end>
      <status>unmodified</status>
      <modifiedWord/>
      <trackRevisions>false</trackRevisions>
    </reviewItem>
    <reviewItem>
      <errorID>c23582cf-457a-4f3c-831c-2ad16f299db8</errorID>
      <errorWord>,</errorWord>
      <group>L1_Format</group>
      <groupName>格式问题</groupName>
      <ability>L2_HalfPunc_CN</ability>
      <abilityName>全半角问题</abilityName>
      <candidateList>
        <item>，</item>
      </candidateList>
      <explain>文本全半角错误。</explain>
      <paraID>6088F651</paraID>
      <start>40</start>
      <end>41</end>
      <status>unmodified</status>
      <modifiedWord/>
      <trackRevisions>false</trackRevisions>
    </reviewItem>
    <reviewItem>
      <errorID>bacdcc26-950b-4e2e-994d-2f1b6a35afc8</errorID>
      <errorWord>(</errorWord>
      <group>L1_Format</group>
      <groupName>格式问题</groupName>
      <ability>L2_HalfPunc_CN</ability>
      <abilityName>全半角问题</abilityName>
      <candidateList>
        <item>（</item>
      </candidateList>
      <explain>文本全半角错误。</explain>
      <paraID>4D4CF9E4</paraID>
      <start>4</start>
      <end>5</end>
      <status>unmodified</status>
      <modifiedWord/>
      <trackRevisions>false</trackRevisions>
    </reviewItem>
    <reviewItem>
      <errorID>280b9674-d7d7-47f3-afd7-2c1e5ee50d01</errorID>
      <errorWord>)</errorWord>
      <group>L1_Format</group>
      <groupName>格式问题</groupName>
      <ability>L2_HalfPunc_CN</ability>
      <abilityName>全半角问题</abilityName>
      <candidateList>
        <item>）</item>
      </candidateList>
      <explain>文本全半角错误。</explain>
      <paraID>4D4CF9E4</paraID>
      <start>9</start>
      <end>10</end>
      <status>unmodified</status>
      <modifiedWord/>
      <trackRevisions>false</trackRevisions>
    </reviewItem>
    <reviewItem>
      <errorID>d4d3fdbb-a897-4a64-94e3-9ba6c36223e8</errorID>
      <errorWord>(</errorWord>
      <group>L1_Format</group>
      <groupName>格式问题</groupName>
      <ability>L2_HalfPunc_CN</ability>
      <abilityName>全半角问题</abilityName>
      <candidateList>
        <item>（</item>
      </candidateList>
      <explain>文本全半角错误。</explain>
      <paraID>165FADBA</paraID>
      <start>4</start>
      <end>5</end>
      <status>unmodified</status>
      <modifiedWord/>
      <trackRevisions>false</trackRevisions>
    </reviewItem>
    <reviewItem>
      <errorID>059936d8-2243-4489-8b23-c104dae2994d</errorID>
      <errorWord>)</errorWord>
      <group>L1_Format</group>
      <groupName>格式问题</groupName>
      <ability>L2_HalfPunc_CN</ability>
      <abilityName>全半角问题</abilityName>
      <candidateList>
        <item>）</item>
      </candidateList>
      <explain>文本全半角错误。</explain>
      <paraID>165FADBA</paraID>
      <start>10</start>
      <end>11</end>
      <status>unmodified</status>
      <modifiedWord/>
      <trackRevisions>false</trackRevisions>
    </reviewItem>
    <reviewItem>
      <errorID>fb48c87a-b8f2-4960-b4ed-a68a7488f225</errorID>
      <errorWord>(</errorWord>
      <group>L1_Format</group>
      <groupName>格式问题</groupName>
      <ability>L2_HalfPunc_CN</ability>
      <abilityName>全半角问题</abilityName>
      <candidateList>
        <item>（</item>
      </candidateList>
      <explain>文本全半角错误。</explain>
      <paraID> C7AD8E8</paraID>
      <start>4</start>
      <end>5</end>
      <status>unmodified</status>
      <modifiedWord/>
      <trackRevisions>false</trackRevisions>
    </reviewItem>
    <reviewItem>
      <errorID>3000a090-a954-40f8-be35-5830e5d01489</errorID>
      <errorWord>)</errorWord>
      <group>L1_Format</group>
      <groupName>格式问题</groupName>
      <ability>L2_HalfPunc_CN</ability>
      <abilityName>全半角问题</abilityName>
      <candidateList>
        <item>）</item>
      </candidateList>
      <explain>文本全半角错误。</explain>
      <paraID> C7AD8E8</paraID>
      <start>9</start>
      <end>10</end>
      <status>unmodified</status>
      <modifiedWord/>
      <trackRevisions>false</trackRevisions>
    </reviewItem>
    <reviewItem>
      <errorID>e514e93f-40b5-45c8-9914-e9861bef611a</errorID>
      <errorWord>(</errorWord>
      <group>L1_Format</group>
      <groupName>格式问题</groupName>
      <ability>L2_HalfPunc_CN</ability>
      <abilityName>全半角问题</abilityName>
      <candidateList>
        <item>（</item>
      </candidateList>
      <explain>文本全半角错误。</explain>
      <paraID>430E82CE</paraID>
      <start>2</start>
      <end>3</end>
      <status>unmodified</status>
      <modifiedWord/>
      <trackRevisions>false</trackRevisions>
    </reviewItem>
    <reviewItem>
      <errorID>80f6c2d4-1d4d-41d4-8efc-ecee2cac8570</errorID>
      <errorWord>)(</errorWord>
      <group>L1_Format</group>
      <groupName>格式问题</groupName>
      <ability>L2_HalfPunc_CN</ability>
      <abilityName>全半角问题</abilityName>
      <candidateList>
        <item>）（</item>
      </candidateList>
      <explain>文本全半角错误。</explain>
      <paraID>430E82CE</paraID>
      <start>8</start>
      <end>10</end>
      <status>unmodified</status>
      <modifiedWord/>
      <trackRevisions>false</trackRevisions>
    </reviewItem>
    <reviewItem>
      <errorID>b35d0148-cb63-4c58-bf44-2c00ae6082a8</errorID>
      <errorWord>)</errorWord>
      <group>L1_Format</group>
      <groupName>格式问题</groupName>
      <ability>L2_HalfPunc_CN</ability>
      <abilityName>全半角问题</abilityName>
      <candidateList>
        <item>）</item>
      </candidateList>
      <explain>文本全半角错误。</explain>
      <paraID>472D78D2</paraID>
      <start>3</start>
      <end>4</end>
      <status>unmodified</status>
      <modifiedWord/>
      <trackRevisions>false</trackRevisions>
    </reviewItem>
    <reviewItem>
      <errorID>c3e15b63-81b4-431d-a833-a1726cd43512</errorID>
      <errorWord>,</errorWord>
      <group>L1_Format</group>
      <groupName>格式问题</groupName>
      <ability>L2_HalfPunc_CN</ability>
      <abilityName>全半角问题</abilityName>
      <candidateList>
        <item>，</item>
      </candidateList>
      <explain>文本全半角错误。</explain>
      <paraID>2B599C34</paraID>
      <start>6</start>
      <end>7</end>
      <status>unmodified</status>
      <modifiedWord/>
      <trackRevisions>false</trackRevisions>
    </reviewItem>
    <reviewItem>
      <errorID>357c474f-b364-43cd-b302-e7886d3df40a</errorID>
      <errorWord>,</errorWord>
      <group>L1_Format</group>
      <groupName>格式问题</groupName>
      <ability>L2_HalfPunc_CN</ability>
      <abilityName>全半角问题</abilityName>
      <candidateList>
        <item>，</item>
      </candidateList>
      <explain>文本全半角错误。</explain>
      <paraID>2B599C34</paraID>
      <start>17</start>
      <end>18</end>
      <status>unmodified</status>
      <modifiedWord/>
      <trackRevisions>false</trackRevisions>
    </reviewItem>
    <reviewItem>
      <errorID>3613ae6f-c03a-4cda-b5da-fdccd84ea07a</errorID>
      <errorWord>(</errorWord>
      <group>L1_Format</group>
      <groupName>格式问题</groupName>
      <ability>L2_HalfPunc_CN</ability>
      <abilityName>全半角问题</abilityName>
      <candidateList>
        <item>（</item>
      </candidateList>
      <explain>文本全半角错误。</explain>
      <paraID>2B599C34</paraID>
      <start>37</start>
      <end>38</end>
      <status>unmodified</status>
      <modifiedWord/>
      <trackRevisions>false</trackRevisions>
    </reviewItem>
    <reviewItem>
      <errorID>f4cd8a8a-570c-41e4-931e-5c1ea6c8f806</errorID>
      <errorWord>,</errorWord>
      <group>L1_Word</group>
      <groupName>字词问题</groupName>
      <ability>L2_Typo</ability>
      <abilityName>字词错误</abilityName>
      <candidateList>
        <item>,对</item>
      </candidateList>
      <explain/>
      <paraID>2B599C34</paraID>
      <start>49</start>
      <end>50</end>
      <status>unmodified</status>
      <modifiedWord/>
      <trackRevisions>false</trackRevisions>
    </reviewItem>
    <reviewItem>
      <errorID>f96fd3c7-b0c4-4aa1-8b60-ecc617c0c1a1</errorID>
      <errorWord>(</errorWord>
      <group>L1_Format</group>
      <groupName>格式问题</groupName>
      <ability>L2_HalfPunc_CN</ability>
      <abilityName>全半角问题</abilityName>
      <candidateList>
        <item>（</item>
      </candidateList>
      <explain>文本全半角错误。</explain>
      <paraID>159F7621</paraID>
      <start>19</start>
      <end>20</end>
      <status>unmodified</status>
      <modifiedWord/>
      <trackRevisions>false</trackRevisions>
    </reviewItem>
    <reviewItem>
      <errorID>454c2bd1-5556-4532-a853-c295caa18420</errorID>
      <errorWord>)</errorWord>
      <group>L1_Format</group>
      <groupName>格式问题</groupName>
      <ability>L2_HalfPunc_CN</ability>
      <abilityName>全半角问题</abilityName>
      <candidateList>
        <item>）</item>
      </candidateList>
      <explain>文本全半角错误。</explain>
      <paraID>159F7621</paraID>
      <start>24</start>
      <end>25</end>
      <status>unmodified</status>
      <modifiedWord/>
      <trackRevisions>false</trackRevisions>
    </reviewItem>
    <reviewItem>
      <errorID>aa0dc0a8-a91a-4a01-9ab2-9f9573445492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1994FB6B</paraID>
      <start>0</start>
      <end>3</end>
      <status>unmodified</status>
      <modifiedWord/>
      <trackRevisions>false</trackRevisions>
    </reviewItem>
    <reviewItem>
      <errorID>c3c5c625-9886-4e90-8263-e17486cbf95d</errorID>
      <errorWord>粘稠</errorWord>
      <group>L1_Word</group>
      <groupName>字词问题</groupName>
      <ability>L2_Typo</ability>
      <abilityName>字词错误</abilityName>
      <candidateList>
        <item>黏稠</item>
      </candidateList>
      <explain>存在发音相同字词的误用。</explain>
      <paraID> 2002CC3</paraID>
      <start>8</start>
      <end>10</end>
      <status>unmodified</status>
      <modifiedWord/>
      <trackRevisions>false</trackRevisions>
    </reviewItem>
    <reviewItem>
      <errorID>8e568cd3-99fc-4c21-aa94-456fa3ea45c2</errorID>
      <errorWord>(</errorWord>
      <group>L1_Format</group>
      <groupName>格式问题</groupName>
      <ability>L2_HalfPunc_CN</ability>
      <abilityName>全半角问题</abilityName>
      <candidateList>
        <item>（</item>
      </candidateList>
      <explain>文本全半角错误。</explain>
      <paraID>41F38809</paraID>
      <start>4</start>
      <end>5</end>
      <status>unmodified</status>
      <modifiedWord/>
      <trackRevisions>false</trackRevisions>
    </reviewItem>
    <reviewItem>
      <errorID>ac4afc55-d70e-404e-ba77-95bc8c95898a</errorID>
      <errorWord>(</errorWord>
      <group>L1_Format</group>
      <groupName>格式问题</groupName>
      <ability>L2_HalfPunc_CN</ability>
      <abilityName>全半角问题</abilityName>
      <candidateList>
        <item>（</item>
      </candidateList>
      <explain>文本全半角错误。</explain>
      <paraID>20EF345E</paraID>
      <start>6</start>
      <end>7</end>
      <status>unmodified</status>
      <modifiedWord/>
      <trackRevisions>false</trackRevisions>
    </reviewItem>
    <reviewItem>
      <errorID>7fddd693-dcaf-41ed-a49f-7bbf38c5be7d</errorID>
      <errorWord>(</errorWord>
      <group>L1_Format</group>
      <groupName>格式问题</groupName>
      <ability>L2_HalfPunc_CN</ability>
      <abilityName>全半角问题</abilityName>
      <candidateList>
        <item>（</item>
      </candidateList>
      <explain>文本全半角错误。</explain>
      <paraID>20EF345E</paraID>
      <start>19</start>
      <end>20</end>
      <status>unmodified</status>
      <modifiedWord/>
      <trackRevisions>false</trackRevisions>
    </reviewItem>
    <reviewItem>
      <errorID>66c000e9-91cd-4ef5-8677-f70d01d5cec7</errorID>
      <errorWord>);</errorWord>
      <group>L1_Format</group>
      <groupName>格式问题</groupName>
      <ability>L2_HalfPunc_CN</ability>
      <abilityName>全半角问题</abilityName>
      <candidateList>
        <item>）；</item>
      </candidateList>
      <explain>文本全半角错误。</explain>
      <paraID>7A8CA308</paraID>
      <start>28</start>
      <end>30</end>
      <status>unmodified</status>
      <modifiedWord/>
      <trackRevisions>false</trackRevisions>
    </reviewItem>
    <reviewItem>
      <errorID>fa8cc0cd-2628-40cc-a3f0-1ddff34122cc</errorID>
      <errorWord>)</errorWord>
      <group>L1_Format</group>
      <groupName>格式问题</groupName>
      <ability>L2_HalfPunc_CN</ability>
      <abilityName>全半角问题</abilityName>
      <candidateList>
        <item>）</item>
      </candidateList>
      <explain>文本全半角错误。</explain>
      <paraID>39CD2138</paraID>
      <start>18</start>
      <end>19</end>
      <status>unmodified</status>
      <modifiedWord/>
      <trackRevisions>false</trackRevisions>
    </reviewItem>
    <reviewItem>
      <errorID>c5348e9a-fdf6-4c7a-bae1-ddff410485a9</errorID>
      <errorWord>(</errorWord>
      <group>L1_Format</group>
      <groupName>格式问题</groupName>
      <ability>L2_HalfPunc_CN</ability>
      <abilityName>全半角问题</abilityName>
      <candidateList>
        <item>（</item>
      </candidateList>
      <explain>文本全半角错误。</explain>
      <paraID>11E9EE02</paraID>
      <start>1</start>
      <end>2</end>
      <status>unmodified</status>
      <modifiedWord/>
      <trackRevisions>false</trackRevisions>
    </reviewItem>
    <reviewItem>
      <errorID>71840637-3707-477a-977d-f4e051d14b15</errorID>
      <errorWord>)</errorWord>
      <group>L1_Format</group>
      <groupName>格式问题</groupName>
      <ability>L2_HalfPunc_CN</ability>
      <abilityName>全半角问题</abilityName>
      <candidateList>
        <item>）</item>
      </candidateList>
      <explain>文本全半角错误。</explain>
      <paraID>11E9EE02</paraID>
      <start>4</start>
      <end>5</end>
      <status>unmodified</status>
      <modifiedWord/>
      <trackRevisions>false</trackRevisions>
    </reviewItem>
    <reviewItem>
      <errorID>ac0d0554-05b4-4c06-86f0-9ad4453b328c</errorID>
      <errorWord>(</errorWord>
      <group>L1_Format</group>
      <groupName>格式问题</groupName>
      <ability>L2_HalfPunc_CN</ability>
      <abilityName>全半角问题</abilityName>
      <candidateList>
        <item>（</item>
      </candidateList>
      <explain>文本全半角错误。</explain>
      <paraID>11E9EE02</paraID>
      <start>7</start>
      <end>8</end>
      <status>unmodified</status>
      <modifiedWord/>
      <trackRevisions>false</trackRevisions>
    </reviewItem>
    <reviewItem>
      <errorID>4ca94717-6d25-4034-93c0-2615c3d5552a</errorID>
      <errorWord>)</errorWord>
      <group>L1_Format</group>
      <groupName>格式问题</groupName>
      <ability>L2_HalfPunc_CN</ability>
      <abilityName>全半角问题</abilityName>
      <candidateList>
        <item>）</item>
      </candidateList>
      <explain>文本全半角错误。</explain>
      <paraID>11E9EE02</paraID>
      <start>11</start>
      <end>12</end>
      <status>unmodified</status>
      <modifiedWord/>
      <trackRevisions>false</trackRevisions>
    </reviewItem>
    <reviewItem>
      <errorID>0d025fb2-ce51-4f00-a6fb-b19fe0641761</errorID>
      <errorWord>(</errorWord>
      <group>L1_Format</group>
      <groupName>格式问题</groupName>
      <ability>L2_HalfPunc_CN</ability>
      <abilityName>全半角问题</abilityName>
      <candidateList>
        <item>（</item>
      </candidateList>
      <explain>文本全半角错误。</explain>
      <paraID>5596D242</paraID>
      <start>1</start>
      <end>2</end>
      <status>unmodified</status>
      <modifiedWord/>
      <trackRevisions>false</trackRevisions>
    </reviewItem>
    <reviewItem>
      <errorID>965dc5a1-d048-4a58-98a2-5cc93ee8271c</errorID>
      <errorWord>)</errorWord>
      <group>L1_Format</group>
      <groupName>格式问题</groupName>
      <ability>L2_HalfPunc_CN</ability>
      <abilityName>全半角问题</abilityName>
      <candidateList>
        <item>）</item>
      </candidateList>
      <explain>文本全半角错误。</explain>
      <paraID>5596D242</paraID>
      <start>4</start>
      <end>5</end>
      <status>unmodified</status>
      <modifiedWord/>
      <trackRevisions>false</trackRevisions>
    </reviewItem>
    <reviewItem>
      <errorID>db4fb341-b1a8-4516-91e0-baee95c3e770</errorID>
      <errorWord>(</errorWord>
      <group>L1_Format</group>
      <groupName>格式问题</groupName>
      <ability>L2_HalfPunc_CN</ability>
      <abilityName>全半角问题</abilityName>
      <candidateList>
        <item>（</item>
      </candidateList>
      <explain>文本全半角错误。</explain>
      <paraID>5596D242</paraID>
      <start>7</start>
      <end>8</end>
      <status>unmodified</status>
      <modifiedWord/>
      <trackRevisions>false</trackRevisions>
    </reviewItem>
    <reviewItem>
      <errorID>9c351cee-ec38-4b3e-8dd2-68578e847e57</errorID>
      <errorWord>)</errorWord>
      <group>L1_Format</group>
      <groupName>格式问题</groupName>
      <ability>L2_HalfPunc_CN</ability>
      <abilityName>全半角问题</abilityName>
      <candidateList>
        <item>）</item>
      </candidateList>
      <explain>文本全半角错误。</explain>
      <paraID>5596D242</paraID>
      <start>11</start>
      <end>12</end>
      <status>unmodified</status>
      <modifiedWord/>
      <trackRevisions>false</trackRevisions>
    </reviewItem>
    <reviewItem>
      <errorID>fddc39ec-6bcc-4dde-b993-3ee968519896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164A8FCC</paraID>
      <start>0</start>
      <end>3</end>
      <status>unmodified</status>
      <modifiedWord/>
      <trackRevisions>false</trackRevisions>
    </reviewItem>
    <reviewItem>
      <errorID>ed5856ab-5022-4225-b31f-324ea3ecfacc</errorID>
      <errorWord>(</errorWord>
      <group>L1_Format</group>
      <groupName>格式问题</groupName>
      <ability>L2_HalfPunc_CN</ability>
      <abilityName>全半角问题</abilityName>
      <candidateList>
        <item>（</item>
      </candidateList>
      <explain>文本全半角错误。</explain>
      <paraID>6AF01432</paraID>
      <start>91</start>
      <end>92</end>
      <status>unmodified</status>
      <modifiedWord/>
      <trackRevisions>false</trackRevisions>
    </reviewItem>
    <reviewItem>
      <errorID>e2a35843-5535-4d16-a744-d42fd10810c7</errorID>
      <errorWord>)</errorWord>
      <group>L1_Format</group>
      <groupName>格式问题</groupName>
      <ability>L2_HalfPunc_CN</ability>
      <abilityName>全半角问题</abilityName>
      <candidateList>
        <item>）</item>
      </candidateList>
      <explain>文本全半角错误。</explain>
      <paraID>6AF01432</paraID>
      <start>96</start>
      <end>97</end>
      <status>unmodified</status>
      <modifiedWord/>
      <trackRevisions>false</trackRevisions>
    </reviewItem>
    <reviewItem>
      <errorID>95fb9e4d-3ec2-4c00-9691-b44730df7232</errorID>
      <errorWord>液</errorWord>
      <group>L1_Word</group>
      <groupName>字词问题</groupName>
      <ability>L2_Typo</ability>
      <abilityName>字词错误</abilityName>
      <candidateList>
        <item>液泄</item>
      </candidateList>
      <explain/>
      <paraID>  88A527</paraID>
      <start>33</start>
      <end>34</end>
      <status>unmodified</status>
      <modifiedWord/>
      <trackRevisions>false</trackRevisions>
    </reviewItem>
    <reviewItem>
      <errorID>21c94a8c-5c04-40a6-bdd0-0c623350ba57</errorID>
      <errorWord>(</errorWord>
      <group>L1_Format</group>
      <groupName>格式问题</groupName>
      <ability>L2_HalfPunc_CN</ability>
      <abilityName>全半角问题</abilityName>
      <candidateList>
        <item>（</item>
      </candidateList>
      <explain>文本全半角错误。</explain>
      <paraID> 4654945</paraID>
      <start>3</start>
      <end>4</end>
      <status>unmodified</status>
      <modifiedWord/>
      <trackRevisions>false</trackRevisions>
    </reviewItem>
    <reviewItem>
      <errorID>a6aa93e1-b2b1-4ff0-a117-edc7495087b8</errorID>
      <errorWord>)</errorWord>
      <group>L1_Format</group>
      <groupName>格式问题</groupName>
      <ability>L2_HalfPunc_CN</ability>
      <abilityName>全半角问题</abilityName>
      <candidateList>
        <item>）</item>
      </candidateList>
      <explain>文本全半角错误。</explain>
      <paraID>39B31548</paraID>
      <start>2</start>
      <end>3</end>
      <status>unmodified</status>
      <modifiedWord/>
      <trackRevisions>false</trackRevisions>
    </reviewItem>
    <reviewItem>
      <errorID>fb12ea9c-5c6c-4691-99c7-90784471a8d3</errorID>
      <errorWord>、</errorWord>
      <group>L1_Punc</group>
      <groupName>标点问题</groupName>
      <ability>L2_Punc_CN</ability>
      <abilityName>标点符号问题</abilityName>
      <candidateList>
        <item>.</item>
      </candidateList>
      <explain/>
      <paraID>735A0BAC</paraID>
      <start>1</start>
      <end>2</end>
      <status>unmodified</status>
      <modifiedWord/>
      <trackRevisions>false</trackRevisions>
    </reviewItem>
    <reviewItem>
      <errorID>b612bade-99a6-4a01-a3e2-a90970715473</errorID>
      <errorWord>润滑油馏份</errorWord>
      <group>L1_Knowledge</group>
      <groupName>知识性问题</groupName>
      <ability>L2_Term</ability>
      <abilityName>专业术语</abilityName>
      <candidateList>
        <item>润滑油馏分</item>
      </candidateList>
      <explain/>
      <paraID>6A76661F</paraID>
      <start>79</start>
      <end>84</end>
      <status>unmodified</status>
      <modifiedWord/>
      <trackRevisions>false</trackRevisions>
    </reviewItem>
    <reviewItem>
      <errorID>5e90e25d-422f-4208-a86e-e713890c6dd5</errorID>
      <errorWord>粘度</errorWord>
      <group>L1_Word</group>
      <groupName>字词问题</groupName>
      <ability>L2_Alias</ability>
      <abilityName>也作/曾用词</abilityName>
      <candidateList>
        <item>黏度</item>
      </candidateList>
      <explain>词汇[粘度]为不规范表述或旧称，其规范书面表述为[黏度]。</explain>
      <paraID>6A76661F</paraID>
      <start>98</start>
      <end>100</end>
      <status>unmodified</status>
      <modifiedWord/>
      <trackRevisions>false</trackRevisions>
    </reviewItem>
    <reviewItem>
      <errorID>a996345c-c2a4-4b8b-8581-88ccb91bebe3</errorID>
      <errorWord>&lt;</errorWord>
      <group>L1_Format</group>
      <groupName>格式问题</groupName>
      <ability>L2_HalfPunc_CN</ability>
      <abilityName>全半角问题</abilityName>
      <candidateList>
        <item>〈</item>
      </candidateList>
      <explain>文本全半角错误。</explain>
      <paraID>6A76661F</paraID>
      <start>155</start>
      <end>156</end>
      <status>unmodified</status>
      <modifiedWord/>
      <trackRevisions>false</trackRevisions>
    </reviewItem>
    <reviewItem>
      <errorID>2c19aaad-eab1-4bae-ba94-fce886a78ac4</errorID>
      <errorWord>(</errorWord>
      <group>L1_Format</group>
      <groupName>格式问题</groupName>
      <ability>L2_HalfPunc_CN</ability>
      <abilityName>全半角问题</abilityName>
      <candidateList>
        <item>（</item>
      </candidateList>
      <explain>文本全半角错误。</explain>
      <paraID>6A76661F</paraID>
      <start>179</start>
      <end>180</end>
      <status>unmodified</status>
      <modifiedWord/>
      <trackRevisions>false</trackRevisions>
    </reviewItem>
    <reviewItem>
      <errorID>d6e4fdc1-9dc4-4b1d-9040-5ac095f829da</errorID>
      <errorWord>)</errorWord>
      <group>L1_Format</group>
      <groupName>格式问题</groupName>
      <ability>L2_HalfPunc_CN</ability>
      <abilityName>全半角问题</abilityName>
      <candidateList>
        <item>）</item>
      </candidateList>
      <explain>文本全半角错误。</explain>
      <paraID>3B8C94FF</paraID>
      <start>3</start>
      <end>4</end>
      <status>unmodified</status>
      <modifiedWord/>
      <trackRevisions>false</trackRevisions>
    </reviewItem>
    <reviewItem>
      <errorID>7b73437f-d6b9-4b13-af9f-2d7ba6840359</errorID>
      <errorWord>,</errorWord>
      <group>L1_Format</group>
      <groupName>格式问题</groupName>
      <ability>L2_HalfPunc_CN</ability>
      <abilityName>全半角问题</abilityName>
      <candidateList>
        <item>，</item>
      </candidateList>
      <explain>文本全半角错误。</explain>
      <paraID>3B8C94FF</paraID>
      <start>4</start>
      <end>5</end>
      <status>unmodified</status>
      <modifiedWord/>
      <trackRevisions>false</trackRevisions>
    </reviewItem>
    <reviewItem>
      <errorID>d0a5405b-1544-4520-a810-28dd6fe276c5</errorID>
      <errorWord>其它的为</errorWord>
      <group>L1_Word</group>
      <groupName>字词问题</groupName>
      <ability>L2_Alias</ability>
      <abilityName>也作/曾用词</abilityName>
      <candidateList>
        <item>其他的为</item>
      </candidateList>
      <explain>词汇[其它的为]为不规范表述或旧称，其规范书面表述为[其他的为]。</explain>
      <paraID>3B8C94FF</paraID>
      <start>5</start>
      <end>9</end>
      <status>unmodified</status>
      <modifiedWord/>
      <trackRevisions>false</trackRevisions>
    </reviewItem>
    <reviewItem>
      <errorID>5e5ed9b6-5c7c-4c99-8e0c-5a0f25babf8d</errorID>
      <errorWord>(</errorWord>
      <group>L1_Format</group>
      <groupName>格式问题</groupName>
      <ability>L2_HalfPunc_CN</ability>
      <abilityName>全半角问题</abilityName>
      <candidateList>
        <item>（</item>
      </candidateList>
      <explain>文本全半角错误。</explain>
      <paraID>5520664A</paraID>
      <start>2</start>
      <end>3</end>
      <status>unmodified</status>
      <modifiedWord/>
      <trackRevisions>false</trackRevisions>
    </reviewItem>
    <reviewItem>
      <errorID>82bb0f71-72df-4ff4-914b-e22d2c9dc1e8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E175357</paraID>
      <start>11</start>
      <end>12</end>
      <status>unmodified</status>
      <modifiedWord/>
      <trackRevisions>false</trackRevisions>
    </reviewItem>
    <reviewItem>
      <errorID>df1a73db-1d96-484b-921a-4f19178d282a</errorID>
      <errorWord>(</errorWord>
      <group>L1_Format</group>
      <groupName>格式问题</groupName>
      <ability>L2_HalfPunc_CN</ability>
      <abilityName>全半角问题</abilityName>
      <candidateList>
        <item>（</item>
      </candidateList>
      <explain>文本全半角错误。</explain>
      <paraID> E175357</paraID>
      <start>12</start>
      <end>13</end>
      <status>unmodified</status>
      <modifiedWord/>
      <trackRevisions>false</trackRevisions>
    </reviewItem>
    <reviewItem>
      <errorID>9d23263a-9a68-44da-a9f6-91da312dca02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7CC0482E</paraID>
      <start>11</start>
      <end>12</end>
      <status>unmodified</status>
      <modifiedWord/>
      <trackRevisions>false</trackRevisions>
    </reviewItem>
    <reviewItem>
      <errorID>72aa75ba-8a4f-46cf-9d50-f4cb04a514ac</errorID>
      <errorWord>,</errorWord>
      <group>L1_Format</group>
      <groupName>格式问题</groupName>
      <ability>L2_HalfPunc_CN</ability>
      <abilityName>全半角问题</abilityName>
      <candidateList>
        <item>，</item>
      </candidateList>
      <explain>文本全半角错误。</explain>
      <paraID>7CC0482E</paraID>
      <start>18</start>
      <end>19</end>
      <status>unmodified</status>
      <modifiedWord/>
      <trackRevisions>false</trackRevisions>
    </reviewItem>
    <reviewItem>
      <errorID>cf9ea383-de8e-4f64-8b41-11ad16599353</errorID>
      <errorWord>,</errorWord>
      <group>L1_Format</group>
      <groupName>格式问题</groupName>
      <ability>L2_HalfPunc_CN</ability>
      <abilityName>全半角问题</abilityName>
      <candidateList>
        <item>，</item>
      </candidateList>
      <explain>文本全半角错误。</explain>
      <paraID>36CAB5CE</paraID>
      <start>128</start>
      <end>129</end>
      <status>unmodified</status>
      <modifiedWord/>
      <trackRevisions>false</trackRevisions>
    </reviewItem>
    <reviewItem>
      <errorID>7947b8fc-4169-433a-a6fe-7b8d5a82642a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36CAB5CE</paraID>
      <start>144</start>
      <end>145</end>
      <status>unmodified</status>
      <modifiedWord/>
      <trackRevisions>false</trackRevisions>
    </reviewItem>
    <reviewItem>
      <errorID>17bd2ca9-e30b-41aa-8cfa-af0793d51182</errorID>
      <errorWord>)</errorWord>
      <group>L1_Format</group>
      <groupName>格式问题</groupName>
      <ability>L2_HalfPunc_CN</ability>
      <abilityName>全半角问题</abilityName>
      <candidateList>
        <item>）</item>
      </candidateList>
      <explain>文本全半角错误。</explain>
      <paraID>36706A33</paraID>
      <start>10</start>
      <end>11</end>
      <status>unmodified</status>
      <modifiedWord/>
      <trackRevisions>false</trackRevisions>
    </reviewItem>
    <reviewItem>
      <errorID>561e59c2-29cf-4afa-a93b-c40ec194e8e8</errorID>
      <errorWord>压器</errorWord>
      <group>L1_Word</group>
      <groupName>字词问题</groupName>
      <ability>L2_Typo</ability>
      <abilityName>字词错误</abilityName>
      <candidateList>
        <item>压气</item>
      </candidateList>
      <explain>存在发音相同字词的误用。</explain>
      <paraID>54D6E975</paraID>
      <start>0</start>
      <end>2</end>
      <status>unmodified</status>
      <modifiedWord/>
      <trackRevisions>false</trackRevisions>
    </reviewItem>
    <reviewItem>
      <errorID>b64b1aa6-3774-4edc-af93-01b1d38d73e6</errorID>
      <errorWord>(</errorWord>
      <group>L1_Format</group>
      <groupName>格式问题</groupName>
      <ability>L2_HalfPunc_CN</ability>
      <abilityName>全半角问题</abilityName>
      <candidateList>
        <item>（</item>
      </candidateList>
      <explain>文本全半角错误。</explain>
      <paraID>364F51B9</paraID>
      <start>23</start>
      <end>24</end>
      <status>unmodified</status>
      <modifiedWord/>
      <trackRevisions>false</trackRevisions>
    </reviewItem>
    <reviewItem>
      <errorID>0139229a-7322-404a-8878-27b2bfc5bfea</errorID>
      <errorWord>)</errorWord>
      <group>L1_Format</group>
      <groupName>格式问题</groupName>
      <ability>L2_HalfPunc_CN</ability>
      <abilityName>全半角问题</abilityName>
      <candidateList>
        <item>）</item>
      </candidateList>
      <explain>文本全半角错误。</explain>
      <paraID>364F51B9</paraID>
      <start>25</start>
      <end>26</end>
      <status>unmodified</status>
      <modifiedWord/>
      <trackRevisions>false</trackRevisions>
    </reviewItem>
    <reviewItem>
      <errorID>59912ddc-ff4f-4158-b88e-5129a9a6d44a</errorID>
      <errorWord>、</errorWord>
      <group>L1_Punc</group>
      <groupName>标点问题</groupName>
      <ability>L2_Punc_CN</ability>
      <abilityName>标点符号问题</abilityName>
      <candidateList>
        <item>.</item>
      </candidateList>
      <explain/>
      <paraID>65B82C9E</paraID>
      <start>1</start>
      <end>2</end>
      <status>unmodified</status>
      <modifiedWord/>
      <trackRevisions>false</trackRevisions>
    </reviewItem>
    <reviewItem>
      <errorID>65061141-7308-4db3-8aba-c9bd6640028f</errorID>
      <errorWord>(</errorWord>
      <group>L1_Format</group>
      <groupName>格式问题</groupName>
      <ability>L2_HalfPunc_CN</ability>
      <abilityName>全半角问题</abilityName>
      <candidateList>
        <item>（</item>
      </candidateList>
      <explain>文本全半角错误。</explain>
      <paraID>36A7B94C</paraID>
      <start>17</start>
      <end>18</end>
      <status>unmodified</status>
      <modifiedWord/>
      <trackRevisions>false</trackRevisions>
    </reviewItem>
    <reviewItem>
      <errorID>40926d9e-ca14-4a25-924c-9cc64e8a2a30</errorID>
      <errorWord>)</errorWord>
      <group>L1_Format</group>
      <groupName>格式问题</groupName>
      <ability>L2_HalfPunc_CN</ability>
      <abilityName>全半角问题</abilityName>
      <candidateList>
        <item>）</item>
      </candidateList>
      <explain>文本全半角错误。</explain>
      <paraID>36A7B94C</paraID>
      <start>23</start>
      <end>24</end>
      <status>unmodified</status>
      <modifiedWord/>
      <trackRevisions>false</trackRevisions>
    </reviewItem>
    <reviewItem>
      <errorID>20918ed4-41d1-434e-aecd-765173eab60a</errorID>
      <errorWord>(</errorWord>
      <group>L1_Format</group>
      <groupName>格式问题</groupName>
      <ability>L2_HalfPunc_CN</ability>
      <abilityName>全半角问题</abilityName>
      <candidateList>
        <item>（</item>
      </candidateList>
      <explain>文本全半角错误。</explain>
      <paraID>36A7B94C</paraID>
      <start>225</start>
      <end>226</end>
      <status>unmodified</status>
      <modifiedWord/>
      <trackRevisions>false</trackRevisions>
    </reviewItem>
    <reviewItem>
      <errorID>2ec89d04-0c5b-4525-88ae-75fa8627f5cd</errorID>
      <errorWord>)</errorWord>
      <group>L1_Format</group>
      <groupName>格式问题</groupName>
      <ability>L2_HalfPunc_CN</ability>
      <abilityName>全半角问题</abilityName>
      <candidateList>
        <item>）</item>
      </candidateList>
      <explain>文本全半角错误。</explain>
      <paraID>36A7B94C</paraID>
      <start>231</start>
      <end>232</end>
      <status>unmodified</status>
      <modifiedWord/>
      <trackRevisions>false</trackRevisions>
    </reviewItem>
    <reviewItem>
      <errorID>f12b051a-7e89-42f6-83f2-56217d05de1f</errorID>
      <errorWord>、</errorWord>
      <group>L1_Punc</group>
      <groupName>标点问题</groupName>
      <ability>L2_Punc_CN</ability>
      <abilityName>标点符号问题</abilityName>
      <candidateList>
        <item>.</item>
      </candidateList>
      <explain/>
      <paraID>41AE9ECF</paraID>
      <start>1</start>
      <end>2</end>
      <status>unmodified</status>
      <modifiedWord/>
      <trackRevisions>false</trackRevisions>
    </reviewItem>
    <reviewItem>
      <errorID>793bcba3-36a3-420d-b0ad-b1f2700fd9c3</errorID>
      <errorWord>(</errorWord>
      <group>L1_Format</group>
      <groupName>格式问题</groupName>
      <ability>L2_HalfPunc_CN</ability>
      <abilityName>全半角问题</abilityName>
      <candidateList>
        <item>（</item>
      </candidateList>
      <explain>文本全半角错误。</explain>
      <paraID>69C2AAC0</paraID>
      <start>27</start>
      <end>28</end>
      <status>unmodified</status>
      <modifiedWord/>
      <trackRevisions>false</trackRevisions>
    </reviewItem>
    <reviewItem>
      <errorID>691ec498-1b09-4609-9279-8d6303970bc4</errorID>
      <errorWord>)</errorWord>
      <group>L1_Format</group>
      <groupName>格式问题</groupName>
      <ability>L2_HalfPunc_CN</ability>
      <abilityName>全半角问题</abilityName>
      <candidateList>
        <item>）</item>
      </candidateList>
      <explain>文本全半角错误。</explain>
      <paraID>69C2AAC0</paraID>
      <start>33</start>
      <end>34</end>
      <status>unmodified</status>
      <modifiedWord/>
      <trackRevisions>false</trackRevisions>
    </reviewItem>
    <reviewItem>
      <errorID>63044897-bd88-44ca-b459-cfb35b5150c1</errorID>
      <errorWord>(</errorWord>
      <group>L1_Format</group>
      <groupName>格式问题</groupName>
      <ability>L2_HalfPunc_CN</ability>
      <abilityName>全半角问题</abilityName>
      <candidateList>
        <item>（</item>
      </candidateList>
      <explain>文本全半角错误。</explain>
      <paraID>2F0F092A</paraID>
      <start>20</start>
      <end>21</end>
      <status>unmodified</status>
      <modifiedWord/>
      <trackRevisions>false</trackRevisions>
    </reviewItem>
    <reviewItem>
      <errorID>bd46829d-5b3a-498b-bc40-7d982905548f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2F0F092A</paraID>
      <start>30</start>
      <end>31</end>
      <status>unmodified</status>
      <modifiedWord/>
      <trackRevisions>false</trackRevisions>
    </reviewItem>
    <reviewItem>
      <errorID>f0cafb1c-cd07-42ce-8520-bc628806dc73</errorID>
      <errorWord>)</errorWord>
      <group>L1_Format</group>
      <groupName>格式问题</groupName>
      <ability>L2_HalfPunc_CN</ability>
      <abilityName>全半角问题</abilityName>
      <candidateList>
        <item>）</item>
      </candidateList>
      <explain>文本全半角错误。</explain>
      <paraID>2F0F092A</paraID>
      <start>36</start>
      <end>37</end>
      <status>unmodified</status>
      <modifiedWord/>
      <trackRevisions>false</trackRevisions>
    </reviewItem>
    <reviewItem>
      <errorID>03c575b1-069c-44c6-8a6b-e2dbe2203f0d</errorID>
      <errorWord>(</errorWord>
      <group>L1_Format</group>
      <groupName>格式问题</groupName>
      <ability>L2_HalfPunc_CN</ability>
      <abilityName>全半角问题</abilityName>
      <candidateList>
        <item>（</item>
      </candidateList>
      <explain>文本全半角错误。</explain>
      <paraID>6D3EF0D2</paraID>
      <start>21</start>
      <end>22</end>
      <status>unmodified</status>
      <modifiedWord/>
      <trackRevisions>false</trackRevisions>
    </reviewItem>
    <reviewItem>
      <errorID>fee8dc6d-0a1a-44fd-bd9d-880684d23d02</errorID>
      <errorWord>)</errorWord>
      <group>L1_Format</group>
      <groupName>格式问题</groupName>
      <ability>L2_HalfPunc_CN</ability>
      <abilityName>全半角问题</abilityName>
      <candidateList>
        <item>）</item>
      </candidateList>
      <explain>文本全半角错误。</explain>
      <paraID>6D3EF0D2</paraID>
      <start>38</start>
      <end>39</end>
      <status>unmodified</status>
      <modifiedWord/>
      <trackRevisions>false</trackRevisions>
    </reviewItem>
    <reviewItem>
      <errorID>c9eb3b0f-8734-4ddd-851d-c012e9fc4331</errorID>
      <errorWord>，</errorWord>
      <group>L1_Word</group>
      <groupName>字词问题</groupName>
      <ability>L2_Typo</ability>
      <abilityName>字词错误</abilityName>
      <candidateList>
        <item>，在</item>
      </candidateList>
      <explain/>
      <paraID>259A1130</paraID>
      <start>52</start>
      <end>53</end>
      <status>unmodified</status>
      <modifiedWord/>
      <trackRevisions>false</trackRevisions>
    </reviewItem>
    <reviewItem>
      <errorID>efc8f81a-2bfc-4e33-b048-9d968f26493b</errorID>
      <errorWord>,</errorWord>
      <group>L1_Format</group>
      <groupName>格式问题</groupName>
      <ability>L2_HalfPunc_CN</ability>
      <abilityName>全半角问题</abilityName>
      <candidateList>
        <item>，</item>
      </candidateList>
      <explain>文本全半角错误。</explain>
      <paraID>567780FC</paraID>
      <start>103</start>
      <end>104</end>
      <status>unmodified</status>
      <modifiedWord/>
      <trackRevisions>false</trackRevisions>
    </reviewItem>
    <reviewItem>
      <errorID>767366a6-6dcf-441a-9aff-faa47d56a52f</errorID>
      <errorWord>;</errorWord>
      <group>L1_Format</group>
      <groupName>格式问题</groupName>
      <ability>L2_HalfPunc_CN</ability>
      <abilityName>全半角问题</abilityName>
      <candidateList>
        <item>；</item>
      </candidateList>
      <explain>文本全半角错误。</explain>
      <paraID>408E3B16</paraID>
      <start>8</start>
      <end>9</end>
      <status>unmodified</status>
      <modifiedWord/>
      <trackRevisions>false</trackRevisions>
    </reviewItem>
    <reviewItem>
      <errorID>29f809b5-4b53-442e-a182-b42dc1959523</errorID>
      <errorWord>(</errorWord>
      <group>L1_Format</group>
      <groupName>格式问题</groupName>
      <ability>L2_HalfPunc_CN</ability>
      <abilityName>全半角问题</abilityName>
      <candidateList>
        <item>（</item>
      </candidateList>
      <explain>文本全半角错误。</explain>
      <paraID>408E3B16</paraID>
      <start>28</start>
      <end>29</end>
      <status>unmodified</status>
      <modifiedWord/>
      <trackRevisions>false</trackRevisions>
    </reviewItem>
    <reviewItem>
      <errorID>fafb7c49-de7f-470d-868b-1d3b1197f7a9</errorID>
      <errorWord>(</errorWord>
      <group>L1_Format</group>
      <groupName>格式问题</groupName>
      <ability>L2_HalfPunc_CN</ability>
      <abilityName>全半角问题</abilityName>
      <candidateList>
        <item>（</item>
      </candidateList>
      <explain>文本全半角错误。</explain>
      <paraID>317A98E7</paraID>
      <start>15</start>
      <end>16</end>
      <status>unmodified</status>
      <modifiedWord/>
      <trackRevisions>false</trackRevisions>
    </reviewItem>
    <reviewItem>
      <errorID>b5d6e9f3-9767-4ed6-93e6-df880f9f8828</errorID>
      <errorWord>)</errorWord>
      <group>L1_Format</group>
      <groupName>格式问题</groupName>
      <ability>L2_HalfPunc_CN</ability>
      <abilityName>全半角问题</abilityName>
      <candidateList>
        <item>）</item>
      </candidateList>
      <explain>文本全半角错误。</explain>
      <paraID>317A98E7</paraID>
      <start>40</start>
      <end>41</end>
      <status>unmodified</status>
      <modifiedWord/>
      <trackRevisions>false</trackRevisions>
    </reviewItem>
    <reviewItem>
      <errorID>e7e684fd-27f1-4a5d-9548-c1d29b0e43ee</errorID>
      <errorWord>,</errorWord>
      <group>L1_Format</group>
      <groupName>格式问题</groupName>
      <ability>L2_HalfPunc_CN</ability>
      <abilityName>全半角问题</abilityName>
      <candidateList>
        <item>，</item>
      </candidateList>
      <explain>文本全半角错误。</explain>
      <paraID>317A98E7</paraID>
      <start>41</start>
      <end>42</end>
      <status>unmodified</status>
      <modifiedWord/>
      <trackRevisions>false</trackRevisions>
    </reviewItem>
    <reviewItem>
      <errorID>246c74f8-d66e-485d-a342-d1b93ca8522b</errorID>
      <errorWord>(</errorWord>
      <group>L1_Format</group>
      <groupName>格式问题</groupName>
      <ability>L2_HalfPunc_CN</ability>
      <abilityName>全半角问题</abilityName>
      <candidateList>
        <item>（</item>
      </candidateList>
      <explain>文本全半角错误。</explain>
      <paraID> FA8A68F</paraID>
      <start>188</start>
      <end>189</end>
      <status>unmodified</status>
      <modifiedWord/>
      <trackRevisions>false</trackRevisions>
    </reviewItem>
    <reviewItem>
      <errorID>e448d206-8594-4b89-8f3d-782bbbcd8c31</errorID>
      <errorWord>)</errorWord>
      <group>L1_Format</group>
      <groupName>格式问题</groupName>
      <ability>L2_HalfPunc_CN</ability>
      <abilityName>全半角问题</abilityName>
      <candidateList>
        <item>）</item>
      </candidateList>
      <explain>文本全半角错误。</explain>
      <paraID> FA8A68F</paraID>
      <start>200</start>
      <end>201</end>
      <status>unmodified</status>
      <modifiedWord/>
      <trackRevisions>false</trackRevisions>
    </reviewItem>
    <reviewItem>
      <errorID>d5c6391c-5256-4347-abbc-9ad878edcc4b</errorID>
      <errorWord>,</errorWord>
      <group>L1_Format</group>
      <groupName>格式问题</groupName>
      <ability>L2_HalfPunc_CN</ability>
      <abilityName>全半角问题</abilityName>
      <candidateList>
        <item>，</item>
      </candidateList>
      <explain>文本全半角错误。</explain>
      <paraID> FA8A68F</paraID>
      <start>220</start>
      <end>221</end>
      <status>unmodified</status>
      <modifiedWord/>
      <trackRevisions>false</trackRevisions>
    </reviewItem>
    <reviewItem>
      <errorID>7288e663-4e66-4dce-8cec-76474ad717af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5326F4F0</paraID>
      <start>7</start>
      <end>8</end>
      <status>unmodified</status>
      <modifiedWord/>
      <trackRevisions>false</trackRevisions>
    </reviewItem>
    <reviewItem>
      <errorID>99a7b063-4d63-449a-be98-4d4ac1c2b3f9</errorID>
      <errorWord>、</errorWord>
      <group>L1_Punc</group>
      <groupName>标点问题</groupName>
      <ability>L2_Punc_CN</ability>
      <abilityName>标点符号问题</abilityName>
      <candidateList>
        <item>.</item>
      </candidateList>
      <explain/>
      <paraID>4520E161</paraID>
      <start>1</start>
      <end>2</end>
      <status>unmodified</status>
      <modifiedWord/>
      <trackRevisions>false</trackRevisions>
    </reviewItem>
    <reviewItem>
      <errorID>45c391b9-6343-479f-a031-df0b7c88e3d0</errorID>
      <errorWord>村名</errorWord>
      <group>L1_Word</group>
      <groupName>字词问题</groupName>
      <ability>L2_Typo</ability>
      <abilityName>字词错误</abilityName>
      <candidateList>
        <item>村民</item>
      </candidateList>
      <explain/>
      <paraID>60CB88CF</paraID>
      <start>61</start>
      <end>63</end>
      <status>unmodified</status>
      <modifiedWord/>
      <trackRevisions>false</trackRevisions>
    </reviewItem>
    <reviewItem>
      <errorID>95e8e910-b4f1-46b1-a4a1-aec4ec0a5ac1</errorID>
      <errorWord>、</errorWord>
      <group>L1_Punc</group>
      <groupName>标点问题</groupName>
      <ability>L2_Punc_CN</ability>
      <abilityName>标点符号问题</abilityName>
      <candidateList>
        <item>.</item>
      </candidateList>
      <explain/>
      <paraID>78102CA0</paraID>
      <start>1</start>
      <end>2</end>
      <status>unmodified</status>
      <modifiedWord/>
      <trackRevisions>false</trackRevisions>
    </reviewItem>
    <reviewItem>
      <errorID>0816c40e-7125-434c-9137-64ce529dda84</errorID>
      <errorWord>~</errorWord>
      <group>L1_Format</group>
      <groupName>格式问题</groupName>
      <ability>L2_HalfPunc_CN</ability>
      <abilityName>全半角问题</abilityName>
      <candidateList>
        <item>～</item>
      </candidateList>
      <explain>文本全半角错误。</explain>
      <paraID>51E0A81D</paraID>
      <start>22</start>
      <end>23</end>
      <status>unmodified</status>
      <modifiedWord/>
      <trackRevisions>false</trackRevisions>
    </reviewItem>
    <reviewItem>
      <errorID>ffa66d35-1e08-4ab9-8f74-0af143e0bbee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41B8594F</paraID>
      <start>7</start>
      <end>10</end>
      <status>unmodified</status>
      <modifiedWord/>
      <trackRevisions>false</trackRevisions>
    </reviewItem>
    <reviewItem>
      <errorID>d9a41dbe-fc97-4544-ab25-711a5f41ee18</errorID>
      <errorWord>(</errorWord>
      <group>L1_Format</group>
      <groupName>格式问题</groupName>
      <ability>L2_HalfPunc_CN</ability>
      <abilityName>全半角问题</abilityName>
      <candidateList>
        <item>（</item>
      </candidateList>
      <explain>文本全半角错误。</explain>
      <paraID>41B8594F</paraID>
      <start>23</start>
      <end>24</end>
      <status>unmodified</status>
      <modifiedWord/>
      <trackRevisions>false</trackRevisions>
    </reviewItem>
    <reviewItem>
      <errorID>c2ab7dda-8d8b-454e-93eb-bb7837ad9400</errorID>
      <errorWord>)</errorWord>
      <group>L1_Format</group>
      <groupName>格式问题</groupName>
      <ability>L2_HalfPunc_CN</ability>
      <abilityName>全半角问题</abilityName>
      <candidateList>
        <item>）</item>
      </candidateList>
      <explain>文本全半角错误。</explain>
      <paraID>41B8594F</paraID>
      <start>36</start>
      <end>37</end>
      <status>unmodified</status>
      <modifiedWord/>
      <trackRevisions>false</trackRevisions>
    </reviewItem>
    <reviewItem>
      <errorID>407c07ac-db88-482a-bdee-c9741bb9b39d</errorID>
      <errorWord>,</errorWord>
      <group>L1_Format</group>
      <groupName>格式问题</groupName>
      <ability>L2_HalfPunc_CN</ability>
      <abilityName>全半角问题</abilityName>
      <candidateList>
        <item>，</item>
      </candidateList>
      <explain>文本全半角错误。</explain>
      <paraID>4F65D85A</paraID>
      <start>31</start>
      <end>32</end>
      <status>unmodified</status>
      <modifiedWord/>
      <trackRevisions>false</trackRevisions>
    </reviewItem>
    <reviewItem>
      <errorID>45e176e9-bfdc-4c9d-904d-84c10279316e</errorID>
      <errorWord>,</errorWord>
      <group>L1_Format</group>
      <groupName>格式问题</groupName>
      <ability>L2_HalfPunc_CN</ability>
      <abilityName>全半角问题</abilityName>
      <candidateList>
        <item>，</item>
      </candidateList>
      <explain>文本全半角错误。</explain>
      <paraID>4F65D85A</paraID>
      <start>45</start>
      <end>46</end>
      <status>unmodified</status>
      <modifiedWord/>
      <trackRevisions>false</trackRevisions>
    </reviewItem>
    <reviewItem>
      <errorID>9cc897ae-d475-497e-890a-c7983cb3591f</errorID>
      <errorWord>产生的</errorWord>
      <group>L1_Word</group>
      <groupName>字词问题</groupName>
      <ability>L2_Typo</ability>
      <abilityName>字词错误</abilityName>
      <candidateList>
        <item>产生</item>
      </candidateList>
      <explain/>
      <paraID>3880FDBF</paraID>
      <start>115</start>
      <end>118</end>
      <status>unmodified</status>
      <modifiedWord/>
      <trackRevisions>false</trackRevisions>
    </reviewItem>
    <reviewItem>
      <errorID>3b9b5173-8c6d-42ac-82d1-867199b80806</errorID>
      <errorWord>(</errorWord>
      <group>L1_Format</group>
      <groupName>格式问题</groupName>
      <ability>L2_HalfPunc_CN</ability>
      <abilityName>全半角问题</abilityName>
      <candidateList>
        <item>（</item>
      </candidateList>
      <explain>文本全半角错误。</explain>
      <paraID>3880FDBF</paraID>
      <start>138</start>
      <end>139</end>
      <status>unmodified</status>
      <modifiedWord/>
      <trackRevisions>false</trackRevisions>
    </reviewItem>
    <reviewItem>
      <errorID>bf37a339-db45-4227-9c43-3de85e0d5c61</errorID>
      <errorWord>,</errorWord>
      <group>L1_Format</group>
      <groupName>格式问题</groupName>
      <ability>L2_HalfPunc_CN</ability>
      <abilityName>全半角问题</abilityName>
      <candidateList>
        <item>，</item>
      </candidateList>
      <explain>文本全半角错误。</explain>
      <paraID>3880FDBF</paraID>
      <start>172</start>
      <end>173</end>
      <status>unmodified</status>
      <modifiedWord/>
      <trackRevisions>false</trackRevisions>
    </reviewItem>
    <reviewItem>
      <errorID>c1f93d14-8c46-4733-b29f-50fd2d226326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3880FDBF</paraID>
      <start>182</start>
      <end>183</end>
      <status>unmodified</status>
      <modifiedWord/>
      <trackRevisions>false</trackRevisions>
    </reviewItem>
    <reviewItem>
      <errorID>930cd865-fb88-45d7-9fef-92e3fba2f701</errorID>
      <errorWord>),</errorWord>
      <group>L1_Format</group>
      <groupName>格式问题</groupName>
      <ability>L2_HalfPunc_CN</ability>
      <abilityName>全半角问题</abilityName>
      <candidateList>
        <item>），</item>
      </candidateList>
      <explain>文本全半角错误。</explain>
      <paraID>3880FDBF</paraID>
      <start>196</start>
      <end>198</end>
      <status>unmodified</status>
      <modifiedWord/>
      <trackRevisions>false</trackRevisions>
    </reviewItem>
    <reviewItem>
      <errorID>11e64db3-7865-412e-b94e-17262e42577d</errorID>
      <errorWord>(</errorWord>
      <group>L1_Format</group>
      <groupName>格式问题</groupName>
      <ability>L2_HalfPunc_CN</ability>
      <abilityName>全半角问题</abilityName>
      <candidateList>
        <item>（</item>
      </candidateList>
      <explain>文本全半角错误。</explain>
      <paraID>25DC2E5A</paraID>
      <start>24</start>
      <end>25</end>
      <status>unmodified</status>
      <modifiedWord/>
      <trackRevisions>false</trackRevisions>
    </reviewItem>
    <reviewItem>
      <errorID>c085ad31-3878-4f9b-a29e-b6ced9843b81</errorID>
      <errorWord>)</errorWord>
      <group>L1_Format</group>
      <groupName>格式问题</groupName>
      <ability>L2_HalfPunc_CN</ability>
      <abilityName>全半角问题</abilityName>
      <candidateList>
        <item>）</item>
      </candidateList>
      <explain>文本全半角错误。</explain>
      <paraID>25DC2E5A</paraID>
      <start>37</start>
      <end>38</end>
      <status>unmodified</status>
      <modifiedWord/>
      <trackRevisions>false</trackRevisions>
    </reviewItem>
    <reviewItem>
      <errorID>468ab11f-43f5-49e8-9763-2495f9c83141</errorID>
      <errorWord>危险度物</errorWord>
      <group>L1_Knowledge</group>
      <groupName>知识性问题</groupName>
      <ability>L2_Term</ability>
      <abilityName>专业术语</abilityName>
      <candidateList>
        <item>危险货物</item>
      </candidateList>
      <explain/>
      <paraID>25DC2E5A</paraID>
      <start>53</start>
      <end>57</end>
      <status>unmodified</status>
      <modifiedWord/>
      <trackRevisions>false</trackRevisions>
    </reviewItem>
    <reviewItem>
      <errorID>589f00b2-5253-4ade-8a44-07762962f584</errorID>
      <errorWord>(</errorWord>
      <group>L1_Format</group>
      <groupName>格式问题</groupName>
      <ability>L2_HalfPunc_CN</ability>
      <abilityName>全半角问题</abilityName>
      <candidateList>
        <item>（</item>
      </candidateList>
      <explain>文本全半角错误。</explain>
      <paraID>25DC2E5A</paraID>
      <start>100</start>
      <end>101</end>
      <status>unmodified</status>
      <modifiedWord/>
      <trackRevisions>false</trackRevisions>
    </reviewItem>
    <reviewItem>
      <errorID>81ca3a68-ceeb-4407-970e-05407c9994e3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25DC2E5A</paraID>
      <start>110</start>
      <end>111</end>
      <status>unmodified</status>
      <modifiedWord/>
      <trackRevisions>false</trackRevisions>
    </reviewItem>
    <reviewItem>
      <errorID>cf061de1-79cf-4d7f-808d-5fda77bf9521</errorID>
      <errorWord>)</errorWord>
      <group>L1_Format</group>
      <groupName>格式问题</groupName>
      <ability>L2_HalfPunc_CN</ability>
      <abilityName>全半角问题</abilityName>
      <candidateList>
        <item>）</item>
      </candidateList>
      <explain>文本全半角错误。</explain>
      <paraID>25DC2E5A</paraID>
      <start>116</start>
      <end>117</end>
      <status>unmodified</status>
      <modifiedWord/>
      <trackRevisions>false</trackRevisions>
    </reviewItem>
    <reviewItem>
      <errorID>91207132-d45c-4f34-bfb2-94ef78b922d2</errorID>
      <errorWord>,</errorWord>
      <group>L1_Format</group>
      <groupName>格式问题</groupName>
      <ability>L2_HalfPunc_CN</ability>
      <abilityName>全半角问题</abilityName>
      <candidateList>
        <item>，</item>
      </candidateList>
      <explain>文本全半角错误。</explain>
      <paraID>25DC2E5A</paraID>
      <start>117</start>
      <end>118</end>
      <status>unmodified</status>
      <modifiedWord/>
      <trackRevisions>false</trackRevisions>
    </reviewItem>
    <reviewItem>
      <errorID>c7248edc-60fe-4e3d-9d4f-b64f8c31ee66</errorID>
      <errorWord>(</errorWord>
      <group>L1_Format</group>
      <groupName>格式问题</groupName>
      <ability>L2_HalfPunc_CN</ability>
      <abilityName>全半角问题</abilityName>
      <candidateList>
        <item>（</item>
      </candidateList>
      <explain>文本全半角错误。</explain>
      <paraID>67DA1EB2</paraID>
      <start>15</start>
      <end>16</end>
      <status>unmodified</status>
      <modifiedWord/>
      <trackRevisions>false</trackRevisions>
    </reviewItem>
    <reviewItem>
      <errorID>f418b9ec-e731-4866-936b-09b5c215a5a0</errorID>
      <errorWord>)</errorWord>
      <group>L1_Format</group>
      <groupName>格式问题</groupName>
      <ability>L2_HalfPunc_CN</ability>
      <abilityName>全半角问题</abilityName>
      <candidateList>
        <item>）</item>
      </candidateList>
      <explain>文本全半角错误。</explain>
      <paraID>67DA1EB2</paraID>
      <start>32</start>
      <end>33</end>
      <status>unmodified</status>
      <modifiedWord/>
      <trackRevisions>false</trackRevisions>
    </reviewItem>
    <reviewItem>
      <errorID>2293fa2c-2b1e-47db-bc57-7e6c6ac957a1</errorID>
      <errorWord>)</errorWord>
      <group>L1_Format</group>
      <groupName>格式问题</groupName>
      <ability>L2_HalfPunc_CN</ability>
      <abilityName>全半角问题</abilityName>
      <candidateList>
        <item>）</item>
      </candidateList>
      <explain>文本全半角错误。</explain>
      <paraID>67DA1EB2</paraID>
      <start>86</start>
      <end>87</end>
      <status>unmodified</status>
      <modifiedWord/>
      <trackRevisions>false</trackRevisions>
    </reviewItem>
    <reviewItem>
      <errorID>8d427578-11c4-401b-b4f1-fe3d7c994913</errorID>
      <errorWord>,</errorWord>
      <group>L1_Format</group>
      <groupName>格式问题</groupName>
      <ability>L2_HalfPunc_CN</ability>
      <abilityName>全半角问题</abilityName>
      <candidateList>
        <item>，</item>
      </candidateList>
      <explain>文本全半角错误。</explain>
      <paraID>67DA1EB2</paraID>
      <start>106</start>
      <end>107</end>
      <status>unmodified</status>
      <modifiedWord/>
      <trackRevisions>false</trackRevisions>
    </reviewItem>
    <reviewItem>
      <errorID>b5c46dbb-dde6-434c-b151-12b1368eadda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67DA1EB2</paraID>
      <start>116</start>
      <end>117</end>
      <status>unmodified</status>
      <modifiedWord/>
      <trackRevisions>false</trackRevisions>
    </reviewItem>
    <reviewItem>
      <errorID>cd2c293b-8823-4805-a81e-480a0e6d7125</errorID>
      <errorWord>(</errorWord>
      <group>L1_Format</group>
      <groupName>格式问题</groupName>
      <ability>L2_HalfPunc_CN</ability>
      <abilityName>全半角问题</abilityName>
      <candidateList>
        <item>（</item>
      </candidateList>
      <explain>文本全半角错误。</explain>
      <paraID>510A1362</paraID>
      <start>24</start>
      <end>25</end>
      <status>unmodified</status>
      <modifiedWord/>
      <trackRevisions>false</trackRevisions>
    </reviewItem>
    <reviewItem>
      <errorID>8a42242f-b681-48ef-8fc3-3b128fe9897e</errorID>
      <errorWord>泄露</errorWord>
      <group>L1_Word</group>
      <groupName>字词问题</groupName>
      <ability>L2_Typo</ability>
      <abilityName>字词错误</abilityName>
      <candidateList>
        <item>泄漏</item>
      </candidateList>
      <explain>存在发音相同字词的误用。</explain>
      <paraID>  BA5A96</paraID>
      <start>30</start>
      <end>32</end>
      <status>unmodified</status>
      <modifiedWord/>
      <trackRevisions>false</trackRevisions>
    </reviewItem>
    <reviewItem>
      <errorID>991e5c2c-6c63-4c62-a7bc-d437d09ee4a5</errorID>
      <errorWord>、</errorWord>
      <group>L1_Punc</group>
      <groupName>标点问题</groupName>
      <ability>L2_Punc_CN</ability>
      <abilityName>标点符号问题</abilityName>
      <candidateList>
        <item>.</item>
      </candidateList>
      <explain/>
      <paraID>677EE8D4</paraID>
      <start>1</start>
      <end>2</end>
      <status>unmodified</status>
      <modifiedWord/>
      <trackRevisions>false</trackRevisions>
    </reviewItem>
    <reviewItem>
      <errorID>55723664-8eb1-46bc-a499-d1563f56083b</errorID>
      <errorWord>、</errorWord>
      <group>L1_Punc</group>
      <groupName>标点问题</groupName>
      <ability>L2_Punc_CN</ability>
      <abilityName>标点符号问题</abilityName>
      <candidateList>
        <item>.</item>
      </candidateList>
      <explain/>
      <paraID>521A9476</paraID>
      <start>1</start>
      <end>2</end>
      <status>unmodified</status>
      <modifiedWord/>
      <trackRevisions>false</trackRevisions>
    </reviewItem>
    <reviewItem>
      <errorID>3691b9ed-086d-465e-9e8e-94489825ef28</errorID>
      <errorWord>委员 会</errorWord>
      <group>L1_Word</group>
      <groupName>字词问题</groupName>
      <ability>L2_Typo</ability>
      <abilityName>字词错误</abilityName>
      <candidateList>
        <item>委员会</item>
      </candidateList>
      <explain/>
      <paraID>332B94A6</paraID>
      <start>23</start>
      <end>27</end>
      <status>unmodified</status>
      <modifiedWord/>
      <trackRevisions>false</trackRevisions>
    </reviewItem>
    <reviewItem>
      <errorID>38c8664d-f4ef-4b22-912d-87be0386ad35</errorID>
      <errorWord>委 员会</errorWord>
      <group>L1_Word</group>
      <groupName>字词问题</groupName>
      <ability>L2_Typo</ability>
      <abilityName>字词错误</abilityName>
      <candidateList>
        <item>委员会</item>
      </candidateList>
      <explain/>
      <paraID>332B94A6</paraID>
      <start>50</start>
      <end>54</end>
      <status>unmodified</status>
      <modifiedWord/>
      <trackRevisions>false</trackRevisions>
    </reviewItem>
    <reviewItem>
      <errorID>50213125-5c8f-47e7-8d22-b0339877355a</errorID>
      <errorWord>(</errorWord>
      <group>L1_Format</group>
      <groupName>格式问题</groupName>
      <ability>L2_HalfPunc_CN</ability>
      <abilityName>全半角问题</abilityName>
      <candidateList>
        <item>（</item>
      </candidateList>
      <explain>文本全半角错误。</explain>
      <paraID>476FE3E2</paraID>
      <start>0</start>
      <end>1</end>
      <status>unmodified</status>
      <modifiedWord/>
      <trackRevisions>false</trackRevisions>
    </reviewItem>
    <reviewItem>
      <errorID>af9d7c4e-913d-4ec1-b304-dc55d1749b9a</errorID>
      <errorWord>)</errorWord>
      <group>L1_Format</group>
      <groupName>格式问题</groupName>
      <ability>L2_HalfPunc_CN</ability>
      <abilityName>全半角问题</abilityName>
      <candidateList>
        <item>）</item>
      </candidateList>
      <explain>文本全半角错误。</explain>
      <paraID>476FE3E2</paraID>
      <start>12</start>
      <end>13</end>
      <status>unmodified</status>
      <modifiedWord/>
      <trackRevisions>false</trackRevisions>
    </reviewItem>
    <reviewItem>
      <errorID>0892ebc0-dc3b-4bbc-ae2a-1c0287cb5ad3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4D93BA04</paraID>
      <start>0</start>
      <end>3</end>
      <status>unmodified</status>
      <modifiedWord/>
      <trackRevisions>false</trackRevisions>
    </reviewItem>
    <reviewItem>
      <errorID>535ba6a9-b300-48a6-9325-5b63893854b8</errorID>
      <errorWord>(</errorWord>
      <group>L1_Format</group>
      <groupName>格式问题</groupName>
      <ability>L2_HalfPunc_CN</ability>
      <abilityName>全半角问题</abilityName>
      <candidateList>
        <item>（</item>
      </candidateList>
      <explain>文本全半角错误。</explain>
      <paraID>4D93BA04</paraID>
      <start>46</start>
      <end>47</end>
      <status>unmodified</status>
      <modifiedWord/>
      <trackRevisions>false</trackRevisions>
    </reviewItem>
    <reviewItem>
      <errorID>d3542ab8-4abe-4947-878b-bcbc90ed2888</errorID>
      <errorWord>设置设置</errorWord>
      <group>L1_Word</group>
      <groupName>字词问题</groupName>
      <ability>L2_Typo</ability>
      <abilityName>字词错误</abilityName>
      <candidateList>
        <item>设置</item>
      </candidateList>
      <explain/>
      <paraID>1BD700B7</paraID>
      <start>1</start>
      <end>5</end>
      <status>unmodified</status>
      <modifiedWord/>
      <trackRevisions>false</trackRevisions>
    </reviewItem>
    <reviewItem>
      <errorID>7f6e0c83-46ea-4a62-9e24-ad2764733409</errorID>
      <errorWord>)</errorWord>
      <group>L1_Format</group>
      <groupName>格式问题</groupName>
      <ability>L2_HalfPunc_CN</ability>
      <abilityName>全半角问题</abilityName>
      <candidateList>
        <item>）</item>
      </candidateList>
      <explain>文本全半角错误。</explain>
      <paraID>1BD700B7</paraID>
      <start>25</start>
      <end>26</end>
      <status>unmodified</status>
      <modifiedWord/>
      <trackRevisions>false</trackRevisions>
    </reviewItem>
    <reviewItem>
      <errorID>67a68f96-868c-4f54-b547-963012cb9162</errorID>
      <errorWord>;</errorWord>
      <group>L1_Format</group>
      <groupName>格式问题</groupName>
      <ability>L2_HalfPunc_CN</ability>
      <abilityName>全半角问题</abilityName>
      <candidateList>
        <item>；</item>
      </candidateList>
      <explain>文本全半角错误。</explain>
      <paraID>1BD700B7</paraID>
      <start>26</start>
      <end>27</end>
      <status>unmodified</status>
      <modifiedWord/>
      <trackRevisions>false</trackRevisions>
    </reviewItem>
    <reviewItem>
      <errorID>e291678b-2f85-403d-8a25-8a86ec6507f1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33C66AFD</paraID>
      <start>0</start>
      <end>3</end>
      <status>unmodified</status>
      <modifiedWord/>
      <trackRevisions>false</trackRevisions>
    </reviewItem>
    <reviewItem>
      <errorID>cc806647-9c0e-4b50-9cb5-3f1706b0befb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481ED034</paraID>
      <start>0</start>
      <end>3</end>
      <status>unmodified</status>
      <modifiedWord/>
      <trackRevisions>false</trackRevisions>
    </reviewItem>
    <reviewItem>
      <errorID>b614a601-f222-4e28-a3d8-a2d6de3bff7b</errorID>
      <errorWord>)</errorWord>
      <group>L1_Format</group>
      <groupName>格式问题</groupName>
      <ability>L2_HalfPunc_CN</ability>
      <abilityName>全半角问题</abilityName>
      <candidateList>
        <item>）</item>
      </candidateList>
      <explain>文本全半角错误。</explain>
      <paraID>481ED034</paraID>
      <start>40</start>
      <end>41</end>
      <status>unmodified</status>
      <modifiedWord/>
      <trackRevisions>false</trackRevisions>
    </reviewItem>
    <reviewItem>
      <errorID>96370729-4a85-42c7-9d22-7acd85ed3939</errorID>
      <errorWord>危险度物</errorWord>
      <group>L1_Knowledge</group>
      <groupName>知识性问题</groupName>
      <ability>L2_Term</ability>
      <abilityName>专业术语</abilityName>
      <candidateList>
        <item>危险货物</item>
      </candidateList>
      <explain/>
      <paraID>481ED034</paraID>
      <start>55</start>
      <end>59</end>
      <status>unmodified</status>
      <modifiedWord/>
      <trackRevisions>false</trackRevisions>
    </reviewItem>
    <reviewItem>
      <errorID>bdf42889-ad2d-4e35-8814-aa92cb0c9649</errorID>
      <errorWord>(</errorWord>
      <group>L1_Format</group>
      <groupName>格式问题</groupName>
      <ability>L2_HalfPunc_CN</ability>
      <abilityName>全半角问题</abilityName>
      <candidateList>
        <item>（</item>
      </candidateList>
      <explain>文本全半角错误。</explain>
      <paraID>481ED034</paraID>
      <start>104</start>
      <end>105</end>
      <status>unmodified</status>
      <modifiedWord/>
      <trackRevisions>false</trackRevisions>
    </reviewItem>
    <reviewItem>
      <errorID>fc0ba667-3fb0-44ca-a1fc-f7f0d40c0edf</errorID>
      <errorWord>)</errorWord>
      <group>L1_Format</group>
      <groupName>格式问题</groupName>
      <ability>L2_HalfPunc_CN</ability>
      <abilityName>全半角问题</abilityName>
      <candidateList>
        <item>）</item>
      </candidateList>
      <explain>文本全半角错误。</explain>
      <paraID>481ED034</paraID>
      <start>120</start>
      <end>121</end>
      <status>unmodified</status>
      <modifiedWord/>
      <trackRevisions>false</trackRevisions>
    </reviewItem>
    <reviewItem>
      <errorID>111ec4f7-7d31-4306-9a5a-29c837cd58aa</errorID>
      <errorWord>,</errorWord>
      <group>L1_Format</group>
      <groupName>格式问题</groupName>
      <ability>L2_HalfPunc_CN</ability>
      <abilityName>全半角问题</abilityName>
      <candidateList>
        <item>，</item>
      </candidateList>
      <explain>文本全半角错误。</explain>
      <paraID>481ED034</paraID>
      <start>121</start>
      <end>122</end>
      <status>unmodified</status>
      <modifiedWord/>
      <trackRevisions>false</trackRevisions>
    </reviewItem>
    <reviewItem>
      <errorID>3b63181b-6e6e-4dd3-8795-44ef9fd7608b</errorID>
      <errorWord>(</errorWord>
      <group>L1_Format</group>
      <groupName>格式问题</groupName>
      <ability>L2_HalfPunc_CN</ability>
      <abilityName>全半角问题</abilityName>
      <candidateList>
        <item>（</item>
      </candidateList>
      <explain>文本全半角错误。</explain>
      <paraID>17CDB4BB</paraID>
      <start>20</start>
      <end>21</end>
      <status>unmodified</status>
      <modifiedWord/>
      <trackRevisions>false</trackRevisions>
    </reviewItem>
    <reviewItem>
      <errorID>447bc59a-cde3-4174-a06b-8700ee4c3f59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17CDB4BB</paraID>
      <start>32</start>
      <end>33</end>
      <status>unmodified</status>
      <modifiedWord/>
      <trackRevisions>false</trackRevisions>
    </reviewItem>
    <reviewItem>
      <errorID>281f59dd-74bf-4ca3-81aa-ffd62ab5d7af</errorID>
      <errorWord>)</errorWord>
      <group>L1_Format</group>
      <groupName>格式问题</groupName>
      <ability>L2_HalfPunc_CN</ability>
      <abilityName>全半角问题</abilityName>
      <candidateList>
        <item>）</item>
      </candidateList>
      <explain>文本全半角错误。</explain>
      <paraID>17CDB4BB</paraID>
      <start>39</start>
      <end>40</end>
      <status>unmodified</status>
      <modifiedWord/>
      <trackRevisions>false</trackRevisions>
    </reviewItem>
    <reviewItem>
      <errorID>0eb4aa63-2efe-4879-9ead-e5c245fcf15c</errorID>
      <errorWord>)</errorWord>
      <group>L1_Format</group>
      <groupName>格式问题</groupName>
      <ability>L2_HalfPunc_CN</ability>
      <abilityName>全半角问题</abilityName>
      <candidateList>
        <item>）</item>
      </candidateList>
      <explain>文本全半角错误。</explain>
      <paraID>4602300E</paraID>
      <start>12</start>
      <end>13</end>
      <status>unmodified</status>
      <modifiedWord/>
      <trackRevisions>false</trackRevisions>
    </reviewItem>
    <reviewItem>
      <errorID>0cd1fef4-658d-4428-bd1b-ec72f12840c0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4602300E</paraID>
      <start>43</start>
      <end>44</end>
      <status>unmodified</status>
      <modifiedWord/>
      <trackRevisions>false</trackRevisions>
    </reviewItem>
    <reviewItem>
      <errorID>42d508e2-7038-4bd8-82c1-134c3289105c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657A70</paraID>
      <start>0</start>
      <end>3</end>
      <status>unmodified</status>
      <modifiedWord/>
      <trackRevisions>false</trackRevisions>
    </reviewItem>
    <reviewItem>
      <errorID>363a503b-ee9a-4a7e-a5fc-b348d2976f53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44516D28</paraID>
      <start>0</start>
      <end>3</end>
      <status>unmodified</status>
      <modifiedWord/>
      <trackRevisions>false</trackRevisions>
    </reviewItem>
    <reviewItem>
      <errorID>75aebdee-fa6d-4f80-8b21-299c51612147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46050510</paraID>
      <start>0</start>
      <end>3</end>
      <status>unmodified</status>
      <modifiedWord/>
      <trackRevisions>false</trackRevisions>
    </reviewItem>
    <reviewItem>
      <errorID>06c25cc4-e9fb-48a9-92fa-311b0d3016f7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32F3194B</paraID>
      <start>0</start>
      <end>3</end>
      <status>unmodified</status>
      <modifiedWord/>
      <trackRevisions>false</trackRevisions>
    </reviewItem>
    <reviewItem>
      <errorID>7fc661e6-eaf6-4fbb-82be-1893195b5f70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3D1F5891</paraID>
      <start>0</start>
      <end>3</end>
      <status>unmodified</status>
      <modifiedWord/>
      <trackRevisions>false</trackRevisions>
    </reviewItem>
    <reviewItem>
      <errorID>a34aea06-9ed8-40df-b750-d6fd8f31db99</errorID>
      <errorWord>指定</errorWord>
      <group>L1_Word</group>
      <groupName>字词问题</groupName>
      <ability>L2_Typo</ability>
      <abilityName>字词错误</abilityName>
      <candidateList>
        <item>制定</item>
      </candidateList>
      <explain/>
      <paraID>3D1F5891</paraID>
      <start>3</start>
      <end>5</end>
      <status>unmodified</status>
      <modifiedWord/>
      <trackRevisions>false</trackRevisions>
    </reviewItem>
    <reviewItem>
      <errorID>2c393f89-52a2-4e5a-a072-5f4778f94c17</errorID>
      <errorWord>(</errorWord>
      <group>L1_Format</group>
      <groupName>格式问题</groupName>
      <ability>L2_HalfPunc_CN</ability>
      <abilityName>全半角问题</abilityName>
      <candidateList>
        <item>（</item>
      </candidateList>
      <explain>文本全半角错误。</explain>
      <paraID>434AA066</paraID>
      <start>4</start>
      <end>5</end>
      <status>unmodified</status>
      <modifiedWord/>
      <trackRevisions>false</trackRevisions>
    </reviewItem>
    <reviewItem>
      <errorID>a4acae59-fe02-4fe7-8cf6-a0d1ef4998ee</errorID>
      <errorWord>)</errorWord>
      <group>L1_Format</group>
      <groupName>格式问题</groupName>
      <ability>L2_HalfPunc_CN</ability>
      <abilityName>全半角问题</abilityName>
      <candidateList>
        <item>）</item>
      </candidateList>
      <explain>文本全半角错误。</explain>
      <paraID>434AA066</paraID>
      <start>18</start>
      <end>19</end>
      <status>unmodified</status>
      <modifiedWord/>
      <trackRevisions>false</trackRevisions>
    </reviewItem>
    <reviewItem>
      <errorID>7f8a9fc5-a127-41df-886e-0eeb3f067037</errorID>
      <errorWord>,</errorWord>
      <group>L1_Format</group>
      <groupName>格式问题</groupName>
      <ability>L2_HalfPunc_CN</ability>
      <abilityName>全半角问题</abilityName>
      <candidateList>
        <item>，</item>
      </candidateList>
      <explain>文本全半角错误。</explain>
      <paraID>6A8F3D0E</paraID>
      <start>109</start>
      <end>110</end>
      <status>unmodified</status>
      <modifiedWord/>
      <trackRevisions>false</trackRevisions>
    </reviewItem>
    <reviewItem>
      <errorID>33bfeaf1-9b6e-4072-95ab-e449a2c602e4</errorID>
      <errorWord>,</errorWord>
      <group>L1_Format</group>
      <groupName>格式问题</groupName>
      <ability>L2_HalfPunc_CN</ability>
      <abilityName>全半角问题</abilityName>
      <candidateList>
        <item>，</item>
      </candidateList>
      <explain>文本全半角错误。</explain>
      <paraID>6A8F3D0E</paraID>
      <start>120</start>
      <end>121</end>
      <status>unmodified</status>
      <modifiedWord/>
      <trackRevisions>false</trackRevisions>
    </reviewItem>
    <reviewItem>
      <errorID>81e11eb5-66ca-459d-a3db-b9e4e5054da8</errorID>
      <errorWord>(</errorWord>
      <group>L1_Format</group>
      <groupName>格式问题</groupName>
      <ability>L2_HalfPunc_CN</ability>
      <abilityName>全半角问题</abilityName>
      <candidateList>
        <item>（</item>
      </candidateList>
      <explain>文本全半角错误。</explain>
      <paraID>28A71A8E</paraID>
      <start>74</start>
      <end>75</end>
      <status>unmodified</status>
      <modifiedWord/>
      <trackRevisions>false</trackRevisions>
    </reviewItem>
    <reviewItem>
      <errorID>9e4d3282-cadf-4e6e-94f6-14f46da91073</errorID>
      <errorWord>)</errorWord>
      <group>L1_Format</group>
      <groupName>格式问题</groupName>
      <ability>L2_HalfPunc_CN</ability>
      <abilityName>全半角问题</abilityName>
      <candidateList>
        <item>）</item>
      </candidateList>
      <explain>文本全半角错误。</explain>
      <paraID>28A71A8E</paraID>
      <start>76</start>
      <end>77</end>
      <status>unmodified</status>
      <modifiedWord/>
      <trackRevisions>false</trackRevisions>
    </reviewItem>
    <reviewItem>
      <errorID>b4980046-cadb-456c-9cdd-909dc31758e3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2176F91B</paraID>
      <start>0</start>
      <end>2</end>
      <status>unmodified</status>
      <modifiedWord/>
      <trackRevisions>false</trackRevisions>
    </reviewItem>
    <reviewItem>
      <errorID>d2bfc53c-e90e-4591-babd-74514192e2e6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6492268C</paraID>
      <start>0</start>
      <end>2</end>
      <status>unmodified</status>
      <modifiedWord/>
      <trackRevisions>false</trackRevisions>
    </reviewItem>
    <reviewItem>
      <errorID>78910b1b-04a8-44c1-866e-7d4b348ca175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551990BE</paraID>
      <start>0</start>
      <end>2</end>
      <status>unmodified</status>
      <modifiedWord/>
      <trackRevisions>false</trackRevisions>
    </reviewItem>
    <reviewItem>
      <errorID>91aede35-413e-42c8-ad85-845943848429</errorID>
      <errorWord>(</errorWord>
      <group>L1_Format</group>
      <groupName>格式问题</groupName>
      <ability>L2_HalfPunc_CN</ability>
      <abilityName>全半角问题</abilityName>
      <candidateList>
        <item>（</item>
      </candidateList>
      <explain>文本全半角错误。</explain>
      <paraID>551990BE</paraID>
      <start>3</start>
      <end>4</end>
      <status>unmodified</status>
      <modifiedWord/>
      <trackRevisions>false</trackRevisions>
    </reviewItem>
    <reviewItem>
      <errorID>8f71e3b8-badb-4da2-a716-4ec346e25370</errorID>
      <errorWord>)</errorWord>
      <group>L1_Format</group>
      <groupName>格式问题</groupName>
      <ability>L2_HalfPunc_CN</ability>
      <abilityName>全半角问题</abilityName>
      <candidateList>
        <item>）</item>
      </candidateList>
      <explain>文本全半角错误。</explain>
      <paraID>551990BE</paraID>
      <start>5</start>
      <end>6</end>
      <status>unmodified</status>
      <modifiedWord/>
      <trackRevisions>false</trackRevisions>
    </reviewItem>
    <reviewItem>
      <errorID>a7a16b47-bcd1-464d-837b-c05433397cdb</errorID>
      <errorWord>(</errorWord>
      <group>L1_Format</group>
      <groupName>格式问题</groupName>
      <ability>L2_HalfPunc_CN</ability>
      <abilityName>全半角问题</abilityName>
      <candidateList>
        <item>（</item>
      </candidateList>
      <explain>文本全半角错误。</explain>
      <paraID>6AD7E383</paraID>
      <start>18</start>
      <end>19</end>
      <status>unmodified</status>
      <modifiedWord/>
      <trackRevisions>false</trackRevisions>
    </reviewItem>
    <reviewItem>
      <errorID>35a254d1-0ef6-467b-b9e8-70c904c9cac1</errorID>
      <errorWord>)</errorWord>
      <group>L1_Format</group>
      <groupName>格式问题</groupName>
      <ability>L2_HalfPunc_CN</ability>
      <abilityName>全半角问题</abilityName>
      <candidateList>
        <item>）</item>
      </candidateList>
      <explain>文本全半角错误。</explain>
      <paraID>6AD7E383</paraID>
      <start>20</start>
      <end>21</end>
      <status>unmodified</status>
      <modifiedWord/>
      <trackRevisions>false</trackRevisions>
    </reviewItem>
    <reviewItem>
      <errorID>21537d13-2b8d-44c2-928b-d65b81a82341</errorID>
      <errorWord>(</errorWord>
      <group>L1_Format</group>
      <groupName>格式问题</groupName>
      <ability>L2_HalfPunc_CN</ability>
      <abilityName>全半角问题</abilityName>
      <candidateList>
        <item>（</item>
      </candidateList>
      <explain>文本全半角错误。</explain>
      <paraID>6AD7E383</paraID>
      <start>30</start>
      <end>31</end>
      <status>unmodified</status>
      <modifiedWord/>
      <trackRevisions>false</trackRevisions>
    </reviewItem>
    <reviewItem>
      <errorID>1f396371-031b-4a82-a182-e6461df74b1b</errorID>
      <errorWord>)</errorWord>
      <group>L1_Format</group>
      <groupName>格式问题</groupName>
      <ability>L2_HalfPunc_CN</ability>
      <abilityName>全半角问题</abilityName>
      <candidateList>
        <item>）</item>
      </candidateList>
      <explain>文本全半角错误。</explain>
      <paraID>6AD7E383</paraID>
      <start>32</start>
      <end>33</end>
      <status>unmodified</status>
      <modifiedWord/>
      <trackRevisions>false</trackRevisions>
    </reviewItem>
    <reviewItem>
      <errorID>85f587de-6c8f-4755-8dd3-f9f436ba0456</errorID>
      <errorWord>(</errorWord>
      <group>L1_Format</group>
      <groupName>格式问题</groupName>
      <ability>L2_HalfPunc_CN</ability>
      <abilityName>全半角问题</abilityName>
      <candidateList>
        <item>（</item>
      </candidateList>
      <explain>文本全半角错误。</explain>
      <paraID>6CEA18FA</paraID>
      <start>116</start>
      <end>117</end>
      <status>unmodified</status>
      <modifiedWord/>
      <trackRevisions>false</trackRevisions>
    </reviewItem>
    <reviewItem>
      <errorID>f2244dce-f306-4c73-a311-c5510ae0a5d7</errorID>
      <errorWord>)</errorWord>
      <group>L1_Format</group>
      <groupName>格式问题</groupName>
      <ability>L2_HalfPunc_CN</ability>
      <abilityName>全半角问题</abilityName>
      <candidateList>
        <item>）</item>
      </candidateList>
      <explain>文本全半角错误。</explain>
      <paraID>6CEA18FA</paraID>
      <start>119</start>
      <end>120</end>
      <status>unmodified</status>
      <modifiedWord/>
      <trackRevisions>false</trackRevisions>
    </reviewItem>
    <reviewItem>
      <errorID>7256f14a-876b-4c4e-9c87-c2ce5591e957</errorID>
      <errorWord>(</errorWord>
      <group>L1_Format</group>
      <groupName>格式问题</groupName>
      <ability>L2_HalfPunc_CN</ability>
      <abilityName>全半角问题</abilityName>
      <candidateList>
        <item>（</item>
      </candidateList>
      <explain>文本全半角错误。</explain>
      <paraID>33379961</paraID>
      <start>45</start>
      <end>46</end>
      <status>unmodified</status>
      <modifiedWord/>
      <trackRevisions>false</trackRevisions>
    </reviewItem>
    <reviewItem>
      <errorID>57fdf2de-5178-4e05-bad7-3d5874e6b2d6</errorID>
      <errorWord>)</errorWord>
      <group>L1_Format</group>
      <groupName>格式问题</groupName>
      <ability>L2_HalfPunc_CN</ability>
      <abilityName>全半角问题</abilityName>
      <candidateList>
        <item>）</item>
      </candidateList>
      <explain>文本全半角错误。</explain>
      <paraID>33379961</paraID>
      <start>47</start>
      <end>48</end>
      <status>unmodified</status>
      <modifiedWord/>
      <trackRevisions>false</trackRevisions>
    </reviewItem>
    <reviewItem>
      <errorID>38fe7d2e-ae53-48f0-ad52-643c649d0403</errorID>
      <errorWord>(</errorWord>
      <group>L1_Format</group>
      <groupName>格式问题</groupName>
      <ability>L2_HalfPunc_CN</ability>
      <abilityName>全半角问题</abilityName>
      <candidateList>
        <item>（</item>
      </candidateList>
      <explain>文本全半角错误。</explain>
      <paraID>25E0D925</paraID>
      <start>88</start>
      <end>89</end>
      <status>unmodified</status>
      <modifiedWord/>
      <trackRevisions>false</trackRevisions>
    </reviewItem>
    <reviewItem>
      <errorID>4d40ca93-a1ba-48d0-b656-48aef5de0615</errorID>
      <errorWord>)</errorWord>
      <group>L1_Format</group>
      <groupName>格式问题</groupName>
      <ability>L2_HalfPunc_CN</ability>
      <abilityName>全半角问题</abilityName>
      <candidateList>
        <item>）</item>
      </candidateList>
      <explain>文本全半角错误。</explain>
      <paraID>25E0D925</paraID>
      <start>91</start>
      <end>92</end>
      <status>unmodified</status>
      <modifiedWord/>
      <trackRevisions>false</trackRevisions>
    </reviewItem>
    <reviewItem>
      <errorID>87d6959f-2a8b-48f6-bc9c-bd434674461e</errorID>
      <errorWord>三区三线</errorWord>
      <group>L1_Political</group>
      <groupName>政治性问题</groupName>
      <ability>L2_Keyword</ability>
      <abilityName>固定表述</abilityName>
      <candidateList>
        <item>“三区三线”</item>
      </candidateList>
      <explain>注意检查当前固定表述标点是否使用规范。</explain>
      <paraID> 94801E5</paraID>
      <start>264</start>
      <end>268</end>
      <status>unmodified</status>
      <modifiedWord/>
      <trackRevisions>false</trackRevisions>
    </reviewItem>
    <reviewItem>
      <errorID>e230565a-2e2d-4883-901a-a6e233e61aa5</errorID>
      <errorWord>(</errorWord>
      <group>L1_Format</group>
      <groupName>格式问题</groupName>
      <ability>L2_HalfPunc_CN</ability>
      <abilityName>全半角问题</abilityName>
      <candidateList>
        <item>（</item>
      </candidateList>
      <explain>文本全半角错误。</explain>
      <paraID>4F241403</paraID>
      <start>20</start>
      <end>21</end>
      <status>unmodified</status>
      <modifiedWord/>
      <trackRevisions>false</trackRevisions>
    </reviewItem>
    <reviewItem>
      <errorID>e69f5cff-c4eb-49a3-8997-222c2125b046</errorID>
      <errorWord>)</errorWord>
      <group>L1_Format</group>
      <groupName>格式问题</groupName>
      <ability>L2_HalfPunc_CN</ability>
      <abilityName>全半角问题</abilityName>
      <candidateList>
        <item>）</item>
      </candidateList>
      <explain>文本全半角错误。</explain>
      <paraID>4F241403</paraID>
      <start>23</start>
      <end>24</end>
      <status>unmodified</status>
      <modifiedWord/>
      <trackRevisions>false</trackRevisions>
    </reviewItem>
    <reviewItem>
      <errorID>18f01765-38dd-4a1f-b6ff-f4a220953d5a</errorID>
      <errorWord>。</errorWord>
      <group>L1_Format</group>
      <groupName>格式问题</groupName>
      <ability>L2_HalfPunc_CN</ability>
      <abilityName>全半角问题</abilityName>
      <candidateList>
        <item>.</item>
      </candidateList>
      <explain>文本全半角错误。</explain>
      <paraID>58C6AA8F</paraID>
      <start>4</start>
      <end>5</end>
      <status>unmodified</status>
      <modifiedWord/>
      <trackRevisions>false</trackRevisions>
    </reviewItem>
    <reviewItem>
      <errorID>fef8dae4-c9b0-457f-8b20-9c264e610027</errorID>
      <errorWord>(</errorWord>
      <group>L1_Format</group>
      <groupName>格式问题</groupName>
      <ability>L2_HalfPunc_CN</ability>
      <abilityName>全半角问题</abilityName>
      <candidateList>
        <item>（</item>
      </candidateList>
      <explain>文本全半角错误。</explain>
      <paraID>4AEFB82C</paraID>
      <start>59</start>
      <end>60</end>
      <status>unmodified</status>
      <modifiedWord/>
      <trackRevisions>false</trackRevisions>
    </reviewItem>
    <reviewItem>
      <errorID>0043a737-a926-4a9f-a599-205eaca72639</errorID>
      <errorWord>)</errorWord>
      <group>L1_Format</group>
      <groupName>格式问题</groupName>
      <ability>L2_HalfPunc_CN</ability>
      <abilityName>全半角问题</abilityName>
      <candidateList>
        <item>）</item>
      </candidateList>
      <explain>文本全半角错误。</explain>
      <paraID>4AEFB82C</paraID>
      <start>65</start>
      <end>66</end>
      <status>unmodified</status>
      <modifiedWord/>
      <trackRevisions>false</trackRevisions>
    </reviewItem>
    <reviewItem>
      <errorID>36d5d9a6-3a6a-48fb-ac26-2cb44716eeee</errorID>
      <errorWord>,</errorWord>
      <group>L1_Format</group>
      <groupName>格式问题</groupName>
      <ability>L2_HalfPunc_CN</ability>
      <abilityName>全半角问题</abilityName>
      <candidateList>
        <item>，</item>
      </candidateList>
      <explain>文本全半角错误。</explain>
      <paraID> 3A07ABD</paraID>
      <start>66</start>
      <end>67</end>
      <status>unmodified</status>
      <modifiedWord/>
      <trackRevisions>false</trackRevisions>
    </reviewItem>
    <reviewItem>
      <errorID>e4f1e937-5209-43f3-bd86-7c8fd7ee6b2a</errorID>
      <errorWord>(</errorWord>
      <group>L1_Format</group>
      <groupName>格式问题</groupName>
      <ability>L2_HalfPunc_CN</ability>
      <abilityName>全半角问题</abilityName>
      <candidateList>
        <item>（</item>
      </candidateList>
      <explain>文本全半角错误。</explain>
      <paraID> 3A07ABD</paraID>
      <start>81</start>
      <end>82</end>
      <status>unmodified</status>
      <modifiedWord/>
      <trackRevisions>false</trackRevisions>
    </reviewItem>
    <reviewItem>
      <errorID>98f47792-c068-495b-ab4b-126e6ae9e96a</errorID>
      <errorWord>)</errorWord>
      <group>L1_Format</group>
      <groupName>格式问题</groupName>
      <ability>L2_HalfPunc_CN</ability>
      <abilityName>全半角问题</abilityName>
      <candidateList>
        <item>）</item>
      </candidateList>
      <explain>文本全半角错误。</explain>
      <paraID> 3A07ABD</paraID>
      <start>96</start>
      <end>97</end>
      <status>unmodified</status>
      <modifiedWord/>
      <trackRevisions>false</trackRevisions>
    </reviewItem>
    <reviewItem>
      <errorID>fee99f7c-b7c5-40aa-8f92-212b9a4d601b</errorID>
      <errorWord>(</errorWord>
      <group>L1_Format</group>
      <groupName>格式问题</groupName>
      <ability>L2_HalfPunc_CN</ability>
      <abilityName>全半角问题</abilityName>
      <candidateList>
        <item>（</item>
      </candidateList>
      <explain>文本全半角错误。</explain>
      <paraID>664CA334</paraID>
      <start>24</start>
      <end>25</end>
      <status>unmodified</status>
      <modifiedWord/>
      <trackRevisions>false</trackRevisions>
    </reviewItem>
    <reviewItem>
      <errorID>a0b5bb18-9f16-4145-8c76-67b75a24f4bf</errorID>
      <errorWord>)</errorWord>
      <group>L1_Format</group>
      <groupName>格式问题</groupName>
      <ability>L2_HalfPunc_CN</ability>
      <abilityName>全半角问题</abilityName>
      <candidateList>
        <item>）</item>
      </candidateList>
      <explain>文本全半角错误。</explain>
      <paraID>664CA334</paraID>
      <start>42</start>
      <end>43</end>
      <status>unmodified</status>
      <modifiedWord/>
      <trackRevisions>false</trackRevisions>
    </reviewItem>
    <reviewItem>
      <errorID>bf5021ab-9d18-4d51-b673-3a581a077482</errorID>
      <errorWord>、</errorWord>
      <group>L1_Punc</group>
      <groupName>标点问题</groupName>
      <ability>L2_Punc_CN</ability>
      <abilityName>标点符号问题</abilityName>
      <candidateList>
        <item>.</item>
      </candidateList>
      <explain/>
      <paraID>1D973F34</paraID>
      <start>1</start>
      <end>2</end>
      <status>unmodified</status>
      <modifiedWord/>
      <trackRevisions>false</trackRevisions>
    </reviewItem>
    <reviewItem>
      <errorID>33746eb2-b19b-491c-bcdf-0bfba352a249</errorID>
      <errorWord>、</errorWord>
      <group>L1_Punc</group>
      <groupName>标点问题</groupName>
      <ability>L2_Punc_CN</ability>
      <abilityName>标点符号问题</abilityName>
      <candidateList>
        <item>.</item>
      </candidateList>
      <explain/>
      <paraID>42D6B301</paraID>
      <start>1</start>
      <end>2</end>
      <status>unmodified</status>
      <modifiedWord/>
      <trackRevisions>false</trackRevisions>
    </reviewItem>
    <reviewItem>
      <errorID>b7da959f-e5ab-4f8d-bdfd-ece9af853a94</errorID>
      <errorWord>废弃方</errorWord>
      <group>L1_Word</group>
      <groupName>字词问题</groupName>
      <ability>L2_Typo</ability>
      <abilityName>字词错误</abilityName>
      <candidateList>
        <item>废弃物</item>
      </candidateList>
      <explain/>
      <paraID> 4E8D928</paraID>
      <start>9</start>
      <end>12</end>
      <status>unmodified</status>
      <modifiedWord/>
      <trackRevisions>false</trackRevisions>
    </reviewItem>
    <reviewItem>
      <errorID>85d18c42-95ef-4d6b-a028-fe7a661ea289</errorID>
      <errorWord>、</errorWord>
      <group>L1_Punc</group>
      <groupName>标点问题</groupName>
      <ability>L2_Punc_CN</ability>
      <abilityName>标点符号问题</abilityName>
      <candidateList>
        <item>.</item>
      </candidateList>
      <explain/>
      <paraID> BC84F46</paraID>
      <start>1</start>
      <end>2</end>
      <status>unmodified</status>
      <modifiedWord/>
      <trackRevisions>false</trackRevisions>
    </reviewItem>
    <reviewItem>
      <errorID>bfd876e9-febc-4954-8359-65c03854f62a</errorID>
      <errorWord>(</errorWord>
      <group>L1_Format</group>
      <groupName>格式问题</groupName>
      <ability>L2_HalfPunc_CN</ability>
      <abilityName>全半角问题</abilityName>
      <candidateList>
        <item>（</item>
      </candidateList>
      <explain>文本全半角错误。</explain>
      <paraID>4121909A</paraID>
      <start>38</start>
      <end>39</end>
      <status>unmodified</status>
      <modifiedWord/>
      <trackRevisions>false</trackRevisions>
    </reviewItem>
    <reviewItem>
      <errorID>a350556f-6a54-4e98-9805-d4b2cdcb8f49</errorID>
      <errorWord>)</errorWord>
      <group>L1_Format</group>
      <groupName>格式问题</groupName>
      <ability>L2_HalfPunc_CN</ability>
      <abilityName>全半角问题</abilityName>
      <candidateList>
        <item>）</item>
      </candidateList>
      <explain>文本全半角错误。</explain>
      <paraID>4121909A</paraID>
      <start>47</start>
      <end>48</end>
      <status>unmodified</status>
      <modifiedWord/>
      <trackRevisions>false</trackRevisions>
    </reviewItem>
    <reviewItem>
      <errorID>05730070-f6e2-4f14-835d-158f089bb7f4</errorID>
      <errorWord>减小</errorWord>
      <group>L1_Word</group>
      <groupName>字词问题</groupName>
      <ability>L2_Typo</ability>
      <abilityName>字词错误</abilityName>
      <candidateList>
        <item>减少</item>
      </candidateList>
      <explain/>
      <paraID>4121909A</paraID>
      <start>174</start>
      <end>176</end>
      <status>unmodified</status>
      <modifiedWord/>
      <trackRevisions>false</trackRevisions>
    </reviewItem>
    <reviewItem>
      <errorID>a4ab8590-52e1-4faf-a225-06677ad3dbbb</errorID>
      <errorWord>拌合站</errorWord>
      <group>L1_Word</group>
      <groupName>字词问题</groupName>
      <ability>L2_Typo</ability>
      <abilityName>字词错误</abilityName>
      <candidateList>
        <item>拌和站</item>
      </candidateList>
      <explain>存在发音相同字词的误用。</explain>
      <paraID>4121909A</paraID>
      <start>232</start>
      <end>235</end>
      <status>unmodified</status>
      <modifiedWord/>
      <trackRevisions>false</trackRevisions>
    </reviewItem>
    <reviewItem>
      <errorID>d0c2f7ed-d379-4b7d-abb7-c790701e6f7f</errorID>
      <errorWord>减小</errorWord>
      <group>L1_Word</group>
      <groupName>字词问题</groupName>
      <ability>L2_Typo</ability>
      <abilityName>字词错误</abilityName>
      <candidateList>
        <item>减少</item>
      </candidateList>
      <explain>存在字形相近字词的误用。</explain>
      <paraID>7620630F</paraID>
      <start>34</start>
      <end>36</end>
      <status>unmodified</status>
      <modifiedWord/>
      <trackRevisions>false</trackRevisions>
    </reviewItem>
    <reviewItem>
      <errorID>2e989681-db90-4f79-877e-1071e380347d</errorID>
      <errorWord>(</errorWord>
      <group>L1_Format</group>
      <groupName>格式问题</groupName>
      <ability>L2_HalfPunc_CN</ability>
      <abilityName>全半角问题</abilityName>
      <candidateList>
        <item>（</item>
      </candidateList>
      <explain>文本全半角错误。</explain>
      <paraID>5ECDF20B</paraID>
      <start>64</start>
      <end>65</end>
      <status>unmodified</status>
      <modifiedWord/>
      <trackRevisions>false</trackRevisions>
    </reviewItem>
    <reviewItem>
      <errorID>781939b8-9b35-4f1b-b6d8-924db2d4ca1c</errorID>
      <errorWord>水准保护区</errorWord>
      <group>L1_Knowledge</group>
      <groupName>知识性问题</groupName>
      <ability>L2_Term</ability>
      <abilityName>专业术语</abilityName>
      <candidateList>
        <item>水源保护区</item>
      </candidateList>
      <explain/>
      <paraID>5ECDF20B</paraID>
      <start>85</start>
      <end>90</end>
      <status>unmodified</status>
      <modifiedWord/>
      <trackRevisions>false</trackRevisions>
    </reviewItem>
    <reviewItem>
      <errorID>fddbef64-d0f4-43f6-9cd6-0e29cb4f791d</errorID>
      <errorWord>)</errorWord>
      <group>L1_Format</group>
      <groupName>格式问题</groupName>
      <ability>L2_HalfPunc_CN</ability>
      <abilityName>全半角问题</abilityName>
      <candidateList>
        <item>）</item>
      </candidateList>
      <explain>文本全半角错误。</explain>
      <paraID>5ECDF20B</paraID>
      <start>91</start>
      <end>92</end>
      <status>unmodified</status>
      <modifiedWord/>
      <trackRevisions>false</trackRevisions>
    </reviewItem>
    <reviewItem>
      <errorID>17b38b6d-9308-4a06-8b49-e1534690d6bd</errorID>
      <errorWord>(</errorWord>
      <group>L1_Format</group>
      <groupName>格式问题</groupName>
      <ability>L2_HalfPunc_CN</ability>
      <abilityName>全半角问题</abilityName>
      <candidateList>
        <item>（</item>
      </candidateList>
      <explain>文本全半角错误。</explain>
      <paraID>24DC615C</paraID>
      <start>7</start>
      <end>8</end>
      <status>unmodified</status>
      <modifiedWord/>
      <trackRevisions>false</trackRevisions>
    </reviewItem>
    <reviewItem>
      <errorID>a554a6c4-d470-4a0c-bb4a-e0512a508e55</errorID>
      <errorWord>)</errorWord>
      <group>L1_Format</group>
      <groupName>格式问题</groupName>
      <ability>L2_HalfPunc_CN</ability>
      <abilityName>全半角问题</abilityName>
      <candidateList>
        <item>）</item>
      </candidateList>
      <explain>文本全半角错误。</explain>
      <paraID>24DC615C</paraID>
      <start>11</start>
      <end>12</end>
      <status>unmodified</status>
      <modifiedWord/>
      <trackRevisions>false</trackRevisions>
    </reviewItem>
    <reviewItem>
      <errorID>5ced3c75-6c29-42de-a1c4-5ab3ff371539</errorID>
      <errorWord>,</errorWord>
      <group>L1_Format</group>
      <groupName>格式问题</groupName>
      <ability>L2_HalfPunc_CN</ability>
      <abilityName>全半角问题</abilityName>
      <candidateList>
        <item>，</item>
      </candidateList>
      <explain>文本全半角错误。</explain>
      <paraID>24DC615C</paraID>
      <start>18</start>
      <end>19</end>
      <status>unmodified</status>
      <modifiedWord/>
      <trackRevisions>false</trackRevisions>
    </reviewItem>
    <reviewItem>
      <errorID>43be570b-ec6b-4e4c-9c90-48f2bd041e68</errorID>
      <errorWord>,</errorWord>
      <group>L1_Format</group>
      <groupName>格式问题</groupName>
      <ability>L2_HalfPunc_CN</ability>
      <abilityName>全半角问题</abilityName>
      <candidateList>
        <item>，</item>
      </candidateList>
      <explain>文本全半角错误。</explain>
      <paraID>24DC615C</paraID>
      <start>34</start>
      <end>35</end>
      <status>unmodified</status>
      <modifiedWord/>
      <trackRevisions>false</trackRevisions>
    </reviewItem>
    <reviewItem>
      <errorID>4131979a-3e6f-4cdf-801c-4ea835602be7</errorID>
      <errorWord>它</errorWord>
      <group>L1_Word</group>
      <groupName>字词问题</groupName>
      <ability>L2_Typo</ability>
      <abilityName>字词错误</abilityName>
      <candidateList>
        <item>他</item>
      </candidateList>
      <explain/>
      <paraID>6380759A</paraID>
      <start>70</start>
      <end>71</end>
      <status>unmodified</status>
      <modifiedWord/>
      <trackRevisions>false</trackRevisions>
    </reviewItem>
    <reviewItem>
      <errorID>b8678cdc-dab6-4dba-be63-8e622dd3af84</errorID>
      <errorWord>的在</errorWord>
      <group>L1_Word</group>
      <groupName>字词问题</groupName>
      <ability>L2_Typo</ability>
      <abilityName>字词错误</abilityName>
      <candidateList>
        <item>的</item>
      </candidateList>
      <explain/>
      <paraID>6380759A</paraID>
      <start>147</start>
      <end>149</end>
      <status>unmodified</status>
      <modifiedWord/>
      <trackRevisions>false</trackRevisions>
    </reviewItem>
    <reviewItem>
      <errorID>ba41f37e-785e-4a5f-8e62-edff061b9787</errorID>
      <errorWord>的</errorWord>
      <group>L1_Word</group>
      <groupName>字词问题</groupName>
      <ability>L2_DDD</ability>
      <abilityName>的地得用法</abilityName>
      <candidateList>
        <item>地</item>
      </candidateList>
      <explain/>
      <paraID>5E048B01</paraID>
      <start>89</start>
      <end>90</end>
      <status>unmodified</status>
      <modifiedWord/>
      <trackRevisions>false</trackRevisions>
    </reviewItem>
    <reviewItem>
      <errorID>46d00718-16fc-4cd4-b8ec-ab7d2acc0d13</errorID>
      <errorWord>度</errorWord>
      <group>L1_Word</group>
      <groupName>字词问题</groupName>
      <ability>L2_Typo</ability>
      <abilityName>字词错误</abilityName>
      <candidateList>
        <item>度地</item>
      </candidateList>
      <explain/>
      <paraID>72637003</paraID>
      <start>44</start>
      <end>45</end>
      <status>unmodified</status>
      <modifiedWord/>
      <trackRevisions>false</trackRevisions>
    </reviewItem>
    <reviewItem>
      <errorID>e12abfa0-8998-49b1-b40c-1befa0435896</errorID>
      <errorWord>(</errorWord>
      <group>L1_Format</group>
      <groupName>格式问题</groupName>
      <ability>L2_HalfPunc_CN</ability>
      <abilityName>全半角问题</abilityName>
      <candidateList>
        <item>（</item>
      </candidateList>
      <explain>文本全半角错误。</explain>
      <paraID>72637003</paraID>
      <start>113</start>
      <end>114</end>
      <status>unmodified</status>
      <modifiedWord/>
      <trackRevisions>false</trackRevisions>
    </reviewItem>
    <reviewItem>
      <errorID>70707182-1320-43b2-a2e4-6f241ed9d373</errorID>
      <errorWord>)</errorWord>
      <group>L1_Format</group>
      <groupName>格式问题</groupName>
      <ability>L2_HalfPunc_CN</ability>
      <abilityName>全半角问题</abilityName>
      <candidateList>
        <item>）</item>
      </candidateList>
      <explain>文本全半角错误。</explain>
      <paraID>72637003</paraID>
      <start>117</start>
      <end>118</end>
      <status>unmodified</status>
      <modifiedWord/>
      <trackRevisions>false</trackRevisions>
    </reviewItem>
    <reviewItem>
      <errorID>b6ad62c5-8d9e-45fb-92b9-4f09fbc5a062</errorID>
      <errorWord>(</errorWord>
      <group>L1_Format</group>
      <groupName>格式问题</groupName>
      <ability>L2_HalfPunc_CN</ability>
      <abilityName>全半角问题</abilityName>
      <candidateList>
        <item>（</item>
      </candidateList>
      <explain>文本全半角错误。</explain>
      <paraID>7D5AD94F</paraID>
      <start>9</start>
      <end>10</end>
      <status>unmodified</status>
      <modifiedWord/>
      <trackRevisions>false</trackRevisions>
    </reviewItem>
    <reviewItem>
      <errorID>0c94ed67-d263-44ea-9d37-55fac5ef5f22</errorID>
      <errorWord>)</errorWord>
      <group>L1_Format</group>
      <groupName>格式问题</groupName>
      <ability>L2_HalfPunc_CN</ability>
      <abilityName>全半角问题</abilityName>
      <candidateList>
        <item>）</item>
      </candidateList>
      <explain>文本全半角错误。</explain>
      <paraID>7D5AD94F</paraID>
      <start>15</start>
      <end>16</end>
      <status>unmodified</status>
      <modifiedWord/>
      <trackRevisions>false</trackRevisions>
    </reviewItem>
    <reviewItem>
      <errorID>27eb4b1a-02eb-4e17-af57-4c8d65ced43f</errorID>
      <errorWord>(</errorWord>
      <group>L1_Format</group>
      <groupName>格式问题</groupName>
      <ability>L2_HalfPunc_CN</ability>
      <abilityName>全半角问题</abilityName>
      <candidateList>
        <item>（</item>
      </candidateList>
      <explain>文本全半角错误。</explain>
      <paraID>7D5AD94F</paraID>
      <start>19</start>
      <end>20</end>
      <status>unmodified</status>
      <modifiedWord/>
      <trackRevisions>false</trackRevisions>
    </reviewItem>
    <reviewItem>
      <errorID>ba306b4e-d2b7-4b0c-a483-93223fe85b47</errorID>
      <errorWord>)</errorWord>
      <group>L1_Format</group>
      <groupName>格式问题</groupName>
      <ability>L2_HalfPunc_CN</ability>
      <abilityName>全半角问题</abilityName>
      <candidateList>
        <item>）</item>
      </candidateList>
      <explain>文本全半角错误。</explain>
      <paraID>7D5AD94F</paraID>
      <start>25</start>
      <end>26</end>
      <status>unmodified</status>
      <modifiedWord/>
      <trackRevisions>false</trackRevisions>
    </reviewItem>
    <reviewItem>
      <errorID>69594374-0df7-4890-842a-83cf55a1870e</errorID>
      <errorWord>,</errorWord>
      <group>L1_Format</group>
      <groupName>格式问题</groupName>
      <ability>L2_HalfPunc_CN</ability>
      <abilityName>全半角问题</abilityName>
      <candidateList>
        <item>，</item>
      </candidateList>
      <explain>文本全半角错误。</explain>
      <paraID>1A1A119C</paraID>
      <start>18</start>
      <end>19</end>
      <status>unmodified</status>
      <modifiedWord/>
      <trackRevisions>false</trackRevisions>
    </reviewItem>
    <reviewItem>
      <errorID>8df0c298-74a0-4ee7-a5e4-649fba002bbc</errorID>
      <errorWord>(</errorWord>
      <group>L1_Format</group>
      <groupName>格式问题</groupName>
      <ability>L2_HalfPunc_CN</ability>
      <abilityName>全半角问题</abilityName>
      <candidateList>
        <item>（</item>
      </candidateList>
      <explain>文本全半角错误。</explain>
      <paraID>1A1A119C</paraID>
      <start>54</start>
      <end>55</end>
      <status>unmodified</status>
      <modifiedWord/>
      <trackRevisions>false</trackRevisions>
    </reviewItem>
    <reviewItem>
      <errorID>5c712da3-d0da-4e5a-af6b-938d8ecabbc3</errorID>
      <errorWord>);</errorWord>
      <group>L1_Format</group>
      <groupName>格式问题</groupName>
      <ability>L2_HalfPunc_CN</ability>
      <abilityName>全半角问题</abilityName>
      <candidateList>
        <item>）；</item>
      </candidateList>
      <explain>文本全半角错误。</explain>
      <paraID>1A1A119C</paraID>
      <start>70</start>
      <end>72</end>
      <status>unmodified</status>
      <modifiedWord/>
      <trackRevisions>false</trackRevisions>
    </reviewItem>
    <reviewItem>
      <errorID>a6767820-7155-4826-912f-6e60a0e59cde</errorID>
      <errorWord>)</errorWord>
      <group>L1_Format</group>
      <groupName>格式问题</groupName>
      <ability>L2_HalfPunc_CN</ability>
      <abilityName>全半角问题</abilityName>
      <candidateList>
        <item>）</item>
      </candidateList>
      <explain>文本全半角错误。</explain>
      <paraID>401B2477</paraID>
      <start>27</start>
      <end>28</end>
      <status>unmodified</status>
      <modifiedWord/>
      <trackRevisions>false</trackRevisions>
    </reviewItem>
    <reviewItem>
      <errorID>d04fb2a8-9770-49e7-bccf-0cafc7b01f41</errorID>
      <errorWord>减小</errorWord>
      <group>L1_Word</group>
      <groupName>字词问题</groupName>
      <ability>L2_Typo</ability>
      <abilityName>字词错误</abilityName>
      <candidateList>
        <item>减少</item>
      </candidateList>
      <explain>存在字形相近字词的误用。</explain>
      <paraID>401B2477</paraID>
      <start>162</start>
      <end>164</end>
      <status>unmodified</status>
      <modifiedWord/>
      <trackRevisions>false</trackRevisions>
    </reviewItem>
    <reviewItem>
      <errorID>cbb84490-b644-4678-ab90-ab5f5d0d6d8a</errorID>
      <errorWord>)</errorWord>
      <group>L1_Format</group>
      <groupName>格式问题</groupName>
      <ability>L2_HalfPunc_CN</ability>
      <abilityName>全半角问题</abilityName>
      <candidateList>
        <item>）</item>
      </candidateList>
      <explain>文本全半角错误。</explain>
      <paraID>401B2477</paraID>
      <start>273</start>
      <end>274</end>
      <status>unmodified</status>
      <modifiedWord/>
      <trackRevisions>false</trackRevisions>
    </reviewItem>
    <reviewItem>
      <errorID>9cf463fa-ae62-412d-83fe-519ba14e5d8d</errorID>
      <errorWord>环境保护区</errorWord>
      <group>L1_Word</group>
      <groupName>字词问题</groupName>
      <ability>L2_Typo</ability>
      <abilityName>字词错误</abilityName>
      <candidateList>
        <item>环境保护</item>
      </candidateList>
      <explain/>
      <paraID>401B2477</paraID>
      <start>380</start>
      <end>385</end>
      <status>unmodified</status>
      <modifiedWord/>
      <trackRevisions>false</trackRevisions>
    </reviewItem>
    <reviewItem>
      <errorID>1f51d79a-22c3-4e4b-ad00-733afa57e419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26F21830</paraID>
      <start>0</start>
      <end>2</end>
      <status>unmodified</status>
      <modifiedWord/>
      <trackRevisions>false</trackRevisions>
    </reviewItem>
    <reviewItem>
      <errorID>d885806c-07f0-4370-9836-ec9adfdd5175</errorID>
      <errorWord>(</errorWord>
      <group>L1_Format</group>
      <groupName>格式问题</groupName>
      <ability>L2_HalfPunc_CN</ability>
      <abilityName>全半角问题</abilityName>
      <candidateList>
        <item>（</item>
      </candidateList>
      <explain>文本全半角错误。</explain>
      <paraID>4BCB09E0</paraID>
      <start>58</start>
      <end>59</end>
      <status>unmodified</status>
      <modifiedWord/>
      <trackRevisions>false</trackRevisions>
    </reviewItem>
    <reviewItem>
      <errorID>7b654909-d0de-471f-859c-a0c89c37ff4a</errorID>
      <errorWord>)</errorWord>
      <group>L1_Format</group>
      <groupName>格式问题</groupName>
      <ability>L2_HalfPunc_CN</ability>
      <abilityName>全半角问题</abilityName>
      <candidateList>
        <item>）</item>
      </candidateList>
      <explain>文本全半角错误。</explain>
      <paraID>4BCB09E0</paraID>
      <start>71</start>
      <end>72</end>
      <status>unmodified</status>
      <modifiedWord/>
      <trackRevisions>false</trackRevisions>
    </reviewItem>
    <reviewItem>
      <errorID>eac6420b-58d4-41ad-aa67-61e34d869490</errorID>
      <errorWord>前期</errorWord>
      <group>L1_Word</group>
      <groupName>字词问题</groupName>
      <ability>L2_Typo</ability>
      <abilityName>字词错误</abilityName>
      <candidateList>
        <item>前提</item>
      </candidateList>
      <explain/>
      <paraID>4BCB09E0</paraID>
      <start>140</start>
      <end>142</end>
      <status>unmodified</status>
      <modifiedWord/>
      <trackRevisions>false</trackRevisions>
    </reviewItem>
    <reviewItem>
      <errorID>047b39f1-2150-4382-ba90-d8a81e95370a</errorID>
      <errorWord>;</errorWord>
      <group>L1_Format</group>
      <groupName>格式问题</groupName>
      <ability>L2_HalfPunc_CN</ability>
      <abilityName>全半角问题</abilityName>
      <candidateList>
        <item>；</item>
      </candidateList>
      <explain>文本全半角错误。</explain>
      <paraID>4BCB09E0</paraID>
      <start>168</start>
      <end>169</end>
      <status>unmodified</status>
      <modifiedWord/>
      <trackRevisions>false</trackRevisions>
    </reviewItem>
    <reviewItem>
      <errorID>e22bac60-5b7b-456e-a3d0-7317fb0a84af</errorID>
      <errorWord>)</errorWord>
      <group>L1_Format</group>
      <groupName>格式问题</groupName>
      <ability>L2_HalfPunc_CN</ability>
      <abilityName>全半角问题</abilityName>
      <candidateList>
        <item>）</item>
      </candidateList>
      <explain>文本全半角错误。</explain>
      <paraID>436A092A</paraID>
      <start>12</start>
      <end>13</end>
      <status>unmodified</status>
      <modifiedWord/>
      <trackRevisions>false</trackRevisions>
    </reviewItem>
    <reviewItem>
      <errorID>cbbbfb01-779a-4afa-9965-89d4c91423fd</errorID>
      <errorWord>;</errorWord>
      <group>L1_Format</group>
      <groupName>格式问题</groupName>
      <ability>L2_HalfPunc_CN</ability>
      <abilityName>全半角问题</abilityName>
      <candidateList>
        <item>；</item>
      </candidateList>
      <explain>文本全半角错误。</explain>
      <paraID>436A092A</paraID>
      <start>51</start>
      <end>52</end>
      <status>unmodified</status>
      <modifiedWord/>
      <trackRevisions>false</trackRevisions>
    </reviewItem>
    <reviewItem>
      <errorID>a104cc8f-81ac-40d7-be27-5cdcdabee1ab</errorID>
      <errorWord>(</errorWord>
      <group>L1_Format</group>
      <groupName>格式问题</groupName>
      <ability>L2_HalfPunc_CN</ability>
      <abilityName>全半角问题</abilityName>
      <candidateList>
        <item>（</item>
      </candidateList>
      <explain>文本全半角错误。</explain>
      <paraID>382DAAB6</paraID>
      <start>17</start>
      <end>18</end>
      <status>unmodified</status>
      <modifiedWord/>
      <trackRevisions>false</trackRevisions>
    </reviewItem>
    <reviewItem>
      <errorID>20b4dbfe-6de3-43d4-a0d6-d23da1d9d3d3</errorID>
      <errorWord>1)、</errorWord>
      <group>L1_Punc</group>
      <groupName>标点问题</groupName>
      <ability>L2_Punc_CN</ability>
      <abilityName>标点符号问题</abilityName>
      <candidateList>
        <item>1)</item>
      </candidateList>
      <explain>根据国标GB/T 15834-2011《标点符号用法》中的4.5.3.3节，带括号的汉字数字或阿拉伯数字表次序时，后面通常不加顿号。如“（一）指导思想”“（二）行动指南”。</explain>
      <paraID>382DAAB6</paraID>
      <start>49</start>
      <end>52</end>
      <status>unmodified</status>
      <modifiedWord/>
      <trackRevisions>false</trackRevisions>
    </reviewItem>
    <reviewItem>
      <errorID>e9a27743-a717-4935-8ffa-efb16fde0696</errorID>
      <errorWord>(</errorWord>
      <group>L1_Format</group>
      <groupName>格式问题</groupName>
      <ability>L2_HalfPunc_CN</ability>
      <abilityName>全半角问题</abilityName>
      <candidateList>
        <item>（</item>
      </candidateList>
      <explain>文本全半角错误。</explain>
      <paraID>382DAAB6</paraID>
      <start>77</start>
      <end>78</end>
      <status>unmodified</status>
      <modifiedWord/>
      <trackRevisions>false</trackRevisions>
    </reviewItem>
    <reviewItem>
      <errorID>68510f43-f683-4a7d-b59b-ec424fa5822e</errorID>
      <errorWord>)</errorWord>
      <group>L1_Format</group>
      <groupName>格式问题</groupName>
      <ability>L2_HalfPunc_CN</ability>
      <abilityName>全半角问题</abilityName>
      <candidateList>
        <item>）</item>
      </candidateList>
      <explain>文本全半角错误。</explain>
      <paraID>382DAAB6</paraID>
      <start>88</start>
      <end>89</end>
      <status>unmodified</status>
      <modifiedWord/>
      <trackRevisions>false</trackRevisions>
    </reviewItem>
    <reviewItem>
      <errorID>63697b21-87fa-423a-b68c-454a6dd63976</errorID>
      <errorWord>(</errorWord>
      <group>L1_Format</group>
      <groupName>格式问题</groupName>
      <ability>L2_HalfPunc_CN</ability>
      <abilityName>全半角问题</abilityName>
      <candidateList>
        <item>（</item>
      </candidateList>
      <explain>文本全半角错误。</explain>
      <paraID>382DAAB6</paraID>
      <start>108</start>
      <end>109</end>
      <status>unmodified</status>
      <modifiedWord/>
      <trackRevisions>false</trackRevisions>
    </reviewItem>
    <reviewItem>
      <errorID>d1f53b32-2a7d-4fcc-8c13-a1abf2e490cc</errorID>
      <errorWord>)</errorWord>
      <group>L1_Format</group>
      <groupName>格式问题</groupName>
      <ability>L2_HalfPunc_CN</ability>
      <abilityName>全半角问题</abilityName>
      <candidateList>
        <item>）</item>
      </candidateList>
      <explain>文本全半角错误。</explain>
      <paraID>294EF5E0</paraID>
      <start>16</start>
      <end>17</end>
      <status>unmodified</status>
      <modifiedWord/>
      <trackRevisions>false</trackRevisions>
    </reviewItem>
    <reviewItem>
      <errorID>39ce4a2d-dafa-4059-a4ef-61959740668e</errorID>
      <errorWord>,</errorWord>
      <group>L1_Format</group>
      <groupName>格式问题</groupName>
      <ability>L2_HalfPunc_CN</ability>
      <abilityName>全半角问题</abilityName>
      <candidateList>
        <item>，</item>
      </candidateList>
      <explain>文本全半角错误。</explain>
      <paraID>294EF5E0</paraID>
      <start>36</start>
      <end>37</end>
      <status>unmodified</status>
      <modifiedWord/>
      <trackRevisions>false</trackRevisions>
    </reviewItem>
    <reviewItem>
      <errorID>941b1f14-8dca-43e9-b2b9-f095f36f09de</errorID>
      <errorWord>远离了</errorWord>
      <group>L1_Word</group>
      <groupName>字词问题</groupName>
      <ability>L2_Typo</ability>
      <abilityName>字词错误</abilityName>
      <candidateList>
        <item>远离</item>
      </candidateList>
      <explain/>
      <paraID>4149F7F5</paraID>
      <start>8</start>
      <end>11</end>
      <status>unmodified</status>
      <modifiedWord/>
      <trackRevisions>false</trackRevisions>
    </reviewItem>
    <reviewItem>
      <errorID>ff7cce34-d857-41f9-8373-6db55e7181c7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6D362156</paraID>
      <start>0</start>
      <end>3</end>
      <status>unmodified</status>
      <modifiedWord/>
      <trackRevisions>false</trackRevisions>
    </reviewItem>
    <reviewItem>
      <errorID>1d29cab7-292b-4bc2-b81a-46e35d7b363a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7ABAACB3</paraID>
      <start>0</start>
      <end>3</end>
      <status>unmodified</status>
      <modifiedWord/>
      <trackRevisions>false</trackRevisions>
    </reviewItem>
    <reviewItem>
      <errorID>5b56396b-f07f-4455-9614-71fafb988435</errorID>
      <errorWord>法律、法规</errorWord>
      <group>L1_Word</group>
      <groupName>字词问题</groupName>
      <ability>L2_Typo</ability>
      <abilityName>字词错误</abilityName>
      <candidateList>
        <item>法律法规</item>
      </candidateList>
      <explain/>
      <paraID>20EA6EEA</paraID>
      <start>24</start>
      <end>29</end>
      <status>unmodified</status>
      <modifiedWord/>
      <trackRevisions>false</trackRevisions>
    </reviewItem>
    <reviewItem>
      <errorID>2d19b811-10e9-4d11-a2ca-0d57027e1f54</errorID>
      <errorWord>提高</errorWord>
      <group>L1_Grammar</group>
      <groupName>语法问题</groupName>
      <ability>L2_Grammar</ability>
      <abilityName>语法错误</abilityName>
      <candidateList>
        <item>增强</item>
      </candidateList>
      <explain>“提高～意识”搭配不当，建议修改为“增强～意识”。</explain>
      <paraID>34381D7A</paraID>
      <start>84</start>
      <end>86</end>
      <status>unmodified</status>
      <modifiedWord/>
      <trackRevisions>false</trackRevisions>
    </reviewItem>
    <reviewItem>
      <errorID>ac83d29e-3bdf-48ab-9ac7-418f6f6ab56a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464B9344</paraID>
      <start>0</start>
      <end>3</end>
      <status>unmodified</status>
      <modifiedWord/>
      <trackRevisions>false</trackRevisions>
    </reviewItem>
    <reviewItem>
      <errorID>4aebbaf0-26c1-4227-ac6a-f4501e15c103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19CB5883</paraID>
      <start>0</start>
      <end>3</end>
      <status>unmodified</status>
      <modifiedWord/>
      <trackRevisions>false</trackRevisions>
    </reviewItem>
    <reviewItem>
      <errorID>acbab163-1d40-4f72-be1d-c2ae96ce08ca</errorID>
      <errorWord>提高</errorWord>
      <group>L1_Grammar</group>
      <groupName>语法问题</groupName>
      <ability>L2_Grammar</ability>
      <abilityName>语法错误</abilityName>
      <candidateList>
        <item>增强</item>
      </candidateList>
      <explain>“提高～意识”搭配不当，建议修改为“增强～意识”。</explain>
      <paraID>19CB5883</paraID>
      <start>15</start>
      <end>17</end>
      <status>unmodified</status>
      <modifiedWord/>
      <trackRevisions>false</trackRevisions>
    </reviewItem>
    <reviewItem>
      <errorID>a54a45d4-3e1e-445d-87f1-fc62ec83b29c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2C20D317</paraID>
      <start>0</start>
      <end>3</end>
      <status>unmodified</status>
      <modifiedWord/>
      <trackRevisions>false</trackRevisions>
    </reviewItem>
    <reviewItem>
      <errorID>21870841-66ce-414d-b9bb-71f7ab3891a2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7FD1A3C1</paraID>
      <start>0</start>
      <end>3</end>
      <status>unmodified</status>
      <modifiedWord/>
      <trackRevisions>false</trackRevisions>
    </reviewItem>
    <reviewItem>
      <errorID>8541b76c-372c-45f6-8277-5bea8596d5c9</errorID>
      <errorWord>事宜</errorWord>
      <group>L1_Word</group>
      <groupName>字词问题</groupName>
      <ability>L2_Typo</ability>
      <abilityName>字词错误</abilityName>
      <candidateList>
        <item>适宜</item>
      </candidateList>
      <explain/>
      <paraID>7FD1A3C1</paraID>
      <start>272</start>
      <end>274</end>
      <status>unmodified</status>
      <modifiedWord/>
      <trackRevisions>false</trackRevisions>
    </reviewItem>
    <reviewItem>
      <errorID>027b6eed-40c1-495a-ac53-a5cbf7b04f16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2133D91F</paraID>
      <start>0</start>
      <end>3</end>
      <status>unmodified</status>
      <modifiedWord/>
      <trackRevisions>false</trackRevisions>
    </reviewItem>
    <reviewItem>
      <errorID>bd4eef20-5c74-4cb2-8c9d-68a8bd28ac7f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5397702F</paraID>
      <start>0</start>
      <end>3</end>
      <status>unmodified</status>
      <modifiedWord/>
      <trackRevisions>false</trackRevisions>
    </reviewItem>
    <reviewItem>
      <errorID>dace3b4a-a5b9-44b5-8aec-4915bd045143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EA826B4</paraID>
      <start>0</start>
      <end>3</end>
      <status>unmodified</status>
      <modifiedWord/>
      <trackRevisions>false</trackRevisions>
    </reviewItem>
    <reviewItem>
      <errorID>a750d4df-c9cb-4e8b-8f14-bc80be6721b6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37BD66C5</paraID>
      <start>0</start>
      <end>2</end>
      <status>unmodified</status>
      <modifiedWord/>
      <trackRevisions>false</trackRevisions>
    </reviewItem>
    <reviewItem>
      <errorID>f8f45e73-5e4e-4fa7-9195-896932424834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1B0C0803</paraID>
      <start>0</start>
      <end>2</end>
      <status>unmodified</status>
      <modifiedWord/>
      <trackRevisions>false</trackRevisions>
    </reviewItem>
    <reviewItem>
      <errorID>a62f25f0-db76-47d1-be98-8bdf969954be</errorID>
      <errorWord>须</errorWord>
      <group>L1_Word</group>
      <groupName>字词问题</groupName>
      <ability>L2_Typo</ability>
      <abilityName>字词错误</abilityName>
      <candidateList>
        <item>需</item>
      </candidateList>
      <explain>存在发音相同字词的误用。</explain>
      <paraID>12CCCDD4</paraID>
      <start>156</start>
      <end>157</end>
      <status>unmodified</status>
      <modifiedWord/>
      <trackRevisions>false</trackRevisions>
    </reviewItem>
    <reviewItem>
      <errorID>6c31e7aa-0084-48e1-b22d-d520eaf5e46d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4B47E7AB</paraID>
      <start>0</start>
      <end>2</end>
      <status>unmodified</status>
      <modifiedWord/>
      <trackRevisions>false</trackRevisions>
    </reviewItem>
    <reviewItem>
      <errorID>75c67dfc-1333-4f77-b8e8-ab3d45e651f8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2634083D</paraID>
      <start>0</start>
      <end>3</end>
      <status>unmodified</status>
      <modifiedWord/>
      <trackRevisions>false</trackRevisions>
    </reviewItem>
    <reviewItem>
      <errorID>a05cf257-017f-4b76-9e5b-704b5a5814d3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20DFEBA5</paraID>
      <start>0</start>
      <end>3</end>
      <status>unmodified</status>
      <modifiedWord/>
      <trackRevisions>false</trackRevisions>
    </reviewItem>
    <reviewItem>
      <errorID>4f21efe8-6973-4264-a88d-d10bc1a6545b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1499F260</paraID>
      <start>0</start>
      <end>3</end>
      <status>unmodified</status>
      <modifiedWord/>
      <trackRevisions>false</trackRevisions>
    </reviewItem>
    <reviewItem>
      <errorID>a91d5515-0acc-451a-9aee-e4114c7f2f3b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5072BEA</paraID>
      <start>0</start>
      <end>3</end>
      <status>unmodified</status>
      <modifiedWord/>
      <trackRevisions>false</trackRevisions>
    </reviewItem>
    <reviewItem>
      <errorID>5fa2b965-b759-4002-b7ed-6846e3908430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5EA8D3A7</paraID>
      <start>0</start>
      <end>3</end>
      <status>unmodified</status>
      <modifiedWord/>
      <trackRevisions>false</trackRevisions>
    </reviewItem>
    <reviewItem>
      <errorID>43553c05-3e96-41a3-8f9a-5d784a7f04f6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3A3CD928</paraID>
      <start>0</start>
      <end>3</end>
      <status>unmodified</status>
      <modifiedWord/>
      <trackRevisions>false</trackRevisions>
    </reviewItem>
    <reviewItem>
      <errorID>f919b070-0b6d-4831-b443-51befa0de81e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26272DDE</paraID>
      <start>0</start>
      <end>3</end>
      <status>unmodified</status>
      <modifiedWord/>
      <trackRevisions>false</trackRevisions>
    </reviewItem>
    <reviewItem>
      <errorID>9eb0b935-5b48-4511-8162-db9010635c19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17CC7D81</paraID>
      <start>0</start>
      <end>3</end>
      <status>unmodified</status>
      <modifiedWord/>
      <trackRevisions>false</trackRevisions>
    </reviewItem>
    <reviewItem>
      <errorID>13c2620a-f927-4e93-b376-c6c65bbd0540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301BBB89</paraID>
      <start>0</start>
      <end>3</end>
      <status>unmodified</status>
      <modifiedWord/>
      <trackRevisions>false</trackRevisions>
    </reviewItem>
    <reviewItem>
      <errorID>adc89115-b932-4870-a6e0-50b06f908a31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5A93666F</paraID>
      <start>0</start>
      <end>3</end>
      <status>unmodified</status>
      <modifiedWord/>
      <trackRevisions>false</trackRevisions>
    </reviewItem>
    <reviewItem>
      <errorID>1bcda3db-36c0-458e-a63f-882919227431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42392905</paraID>
      <start>0</start>
      <end>3</end>
      <status>unmodified</status>
      <modifiedWord/>
      <trackRevisions>false</trackRevisions>
    </reviewItem>
    <reviewItem>
      <errorID>d642056d-e7e4-4bb6-9940-1c15682cdca3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564668C5</paraID>
      <start>0</start>
      <end>3</end>
      <status>unmodified</status>
      <modifiedWord/>
      <trackRevisions>false</trackRevisions>
    </reviewItem>
    <reviewItem>
      <errorID>0119a0dc-7aba-4d9a-8032-5f456b803d82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20FA1797</paraID>
      <start>0</start>
      <end>3</end>
      <status>unmodified</status>
      <modifiedWord/>
      <trackRevisions>false</trackRevisions>
    </reviewItem>
    <reviewItem>
      <errorID>28f36789-5a51-41b5-9573-ea8ff1cdccd2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59490F63</paraID>
      <start>0</start>
      <end>3</end>
      <status>unmodified</status>
      <modifiedWord/>
      <trackRevisions>false</trackRevisions>
    </reviewItem>
    <reviewItem>
      <errorID>fe8b35d7-6956-4854-8973-2f7ad2fab07e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41B806E0</paraID>
      <start>0</start>
      <end>3</end>
      <status>unmodified</status>
      <modifiedWord/>
      <trackRevisions>false</trackRevisions>
    </reviewItem>
    <reviewItem>
      <errorID>d0352091-4205-44d7-a0c0-5687bd86f037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310B6D1E</paraID>
      <start>0</start>
      <end>3</end>
      <status>unmodified</status>
      <modifiedWord/>
      <trackRevisions>false</trackRevisions>
    </reviewItem>
    <reviewItem>
      <errorID>ce48ffa2-2630-4015-9bc6-6687478d41aa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3916494F</paraID>
      <start>0</start>
      <end>3</end>
      <status>unmodified</status>
      <modifiedWord/>
      <trackRevisions>false</trackRevisions>
    </reviewItem>
    <reviewItem>
      <errorID>5a05ac05-2deb-4535-865f-fe7029dd5008</errorID>
      <errorWord>尽量减小</errorWord>
      <group>L1_Word</group>
      <groupName>字词问题</groupName>
      <ability>L2_Typo</ability>
      <abilityName>字词错误</abilityName>
      <candidateList>
        <item>尽量减少</item>
      </candidateList>
      <explain>存在字形相近字词的误用。</explain>
      <paraID>3916494F</paraID>
      <start>53</start>
      <end>57</end>
      <status>unmodified</status>
      <modifiedWord/>
      <trackRevisions>false</trackRevisions>
    </reviewItem>
    <reviewItem>
      <errorID>37da7d37-6376-4aa8-8b11-972f6faaf261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4B24D317</paraID>
      <start>0</start>
      <end>2</end>
      <status>unmodified</status>
      <modifiedWord/>
      <trackRevisions>false</trackRevisions>
    </reviewItem>
    <reviewItem>
      <errorID>82252b0a-3c20-44f6-b393-4e37766d11af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3B24FF7C</paraID>
      <start>0</start>
      <end>2</end>
      <status>unmodified</status>
      <modifiedWord/>
      <trackRevisions>false</trackRevisions>
    </reviewItem>
    <reviewItem>
      <errorID>7eb4e901-e49b-4add-9ef9-a4e7d04e6738</errorID>
      <errorWord>其它</errorWord>
      <group>L1_Word</group>
      <groupName>字词问题</groupName>
      <ability>L2_Alias</ability>
      <abilityName>也作/曾用词</abilityName>
      <candidateList>
        <item>其他</item>
      </candidateList>
      <explain>词汇[其它]为不规范表述或旧称，其规范书面表述为[其他]。</explain>
      <paraID>3B24FF7C</paraID>
      <start>26</start>
      <end>28</end>
      <status>unmodified</status>
      <modifiedWord/>
      <trackRevisions>false</trackRevisions>
    </reviewItem>
    <reviewItem>
      <errorID>d4f9fc6b-b6a3-4393-aa7f-3f21f7fe8687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62520655</paraID>
      <start>0</start>
      <end>2</end>
      <status>unmodified</status>
      <modifiedWord/>
      <trackRevisions>false</trackRevisions>
    </reviewItem>
    <reviewItem>
      <errorID>a987f65c-7f08-4f93-b657-47d819042aae</errorID>
      <errorWord>存</errorWord>
      <group>L1_Word</group>
      <groupName>字词问题</groupName>
      <ability>L2_Typo</ability>
      <abilityName>字词错误</abilityName>
      <candidateList>
        <item>存在</item>
      </candidateList>
      <explain/>
      <paraID>62520655</paraID>
      <start>54</start>
      <end>55</end>
      <status>unmodified</status>
      <modifiedWord/>
      <trackRevisions>false</trackRevisions>
    </reviewItem>
    <reviewItem>
      <errorID>b916dddf-32bb-483a-a9c8-39b59ecc649c</errorID>
      <errorWord>,</errorWord>
      <group>L1_Format</group>
      <groupName>格式问题</groupName>
      <ability>L2_HalfPunc_CN</ability>
      <abilityName>全半角问题</abilityName>
      <candidateList>
        <item>，</item>
      </candidateList>
      <explain>文本全半角错误。</explain>
      <paraID>62520655</paraID>
      <start>82</start>
      <end>83</end>
      <status>unmodified</status>
      <modifiedWord/>
      <trackRevisions>false</trackRevisions>
    </reviewItem>
    <reviewItem>
      <errorID>cc949b82-ac69-4279-8317-a2b26dbf5b65</errorID>
      <errorWord>炙存</errorWord>
      <group>L1_Word</group>
      <groupName>字词问题</groupName>
      <ability>L2_Typo</ability>
      <abilityName>字词错误</abilityName>
      <candidateList>
        <item>堆存</item>
      </candidateList>
      <explain/>
      <paraID>62520655</paraID>
      <start>95</start>
      <end>97</end>
      <status>unmodified</status>
      <modifiedWord/>
      <trackRevisions>false</trackRevisions>
    </reviewItem>
    <reviewItem>
      <errorID>903560c4-b08c-4bd9-9da8-9ddd8493f689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67D07BF6</paraID>
      <start>0</start>
      <end>2</end>
      <status>unmodified</status>
      <modifiedWord/>
      <trackRevisions>false</trackRevisions>
    </reviewItem>
    <reviewItem>
      <errorID>2296b576-39aa-4674-8212-0bff338d93c8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17BCD198</paraID>
      <start>0</start>
      <end>2</end>
      <status>unmodified</status>
      <modifiedWord/>
      <trackRevisions>false</trackRevisions>
    </reviewItem>
    <reviewItem>
      <errorID>eaac6dd6-c7a8-45aa-b457-0fa70aec0891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300B8A2A</paraID>
      <start>0</start>
      <end>2</end>
      <status>unmodified</status>
      <modifiedWord/>
      <trackRevisions>false</trackRevisions>
    </reviewItem>
    <reviewItem>
      <errorID>1dcd10e8-40a3-4a46-8a9e-e6b484d30c35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300B8A2A</paraID>
      <start>27</start>
      <end>30</end>
      <status>unmodified</status>
      <modifiedWord/>
      <trackRevisions>false</trackRevisions>
    </reviewItem>
    <reviewItem>
      <errorID>63747d81-510f-49d1-a327-5000ff3e9ffb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1BDDEDF3</paraID>
      <start>0</start>
      <end>2</end>
      <status>unmodified</status>
      <modifiedWord/>
      <trackRevisions>false</trackRevisions>
    </reviewItem>
    <reviewItem>
      <errorID>d92af8c8-1c6d-47ef-9462-eab9d891895a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1B833152</paraID>
      <start>0</start>
      <end>3</end>
      <status>unmodified</status>
      <modifiedWord/>
      <trackRevisions>false</trackRevisions>
    </reviewItem>
    <reviewItem>
      <errorID>bd4366eb-3909-4531-a91f-d180ae0972e2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1D445DD0</paraID>
      <start>0</start>
      <end>3</end>
      <status>unmodified</status>
      <modifiedWord/>
      <trackRevisions>false</trackRevisions>
    </reviewItem>
    <reviewItem>
      <errorID>f51a9aea-e54e-4b30-ad52-2a0cb18edd86</errorID>
      <errorWord>~</errorWord>
      <group>L1_Format</group>
      <groupName>格式问题</groupName>
      <ability>L2_HalfPunc_CN</ability>
      <abilityName>全半角问题</abilityName>
      <candidateList>
        <item>～</item>
      </candidateList>
      <explain>文本全半角错误。</explain>
      <paraID>1D445DD0</paraID>
      <start>31</start>
      <end>32</end>
      <status>unmodified</status>
      <modifiedWord/>
      <trackRevisions>false</trackRevisions>
    </reviewItem>
    <reviewItem>
      <errorID>b0f8ff90-3632-4758-929b-cb093702abbe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35990306</paraID>
      <start>0</start>
      <end>3</end>
      <status>unmodified</status>
      <modifiedWord/>
      <trackRevisions>false</trackRevisions>
    </reviewItem>
    <reviewItem>
      <errorID>d696565d-56f5-4b1e-8360-99e3403fdf87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46B24E2D</paraID>
      <start>0</start>
      <end>3</end>
      <status>unmodified</status>
      <modifiedWord/>
      <trackRevisions>false</trackRevisions>
    </reviewItem>
    <reviewItem>
      <errorID>715c44d4-cd8b-42fb-8aca-f7105fa21525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7F10CCD1</paraID>
      <start>0</start>
      <end>3</end>
      <status>unmodified</status>
      <modifiedWord/>
      <trackRevisions>false</trackRevisions>
    </reviewItem>
    <reviewItem>
      <errorID>8ecc7579-b49b-4700-999a-e630bd0c3911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43BBC48</paraID>
      <start>0</start>
      <end>3</end>
      <status>unmodified</status>
      <modifiedWord/>
      <trackRevisions>false</trackRevisions>
    </reviewItem>
    <reviewItem>
      <errorID>e94303c8-3583-42e6-8580-ce5c8e1cf66f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76A78BB8</paraID>
      <start>0</start>
      <end>3</end>
      <status>unmodified</status>
      <modifiedWord/>
      <trackRevisions>false</trackRevisions>
    </reviewItem>
    <reviewItem>
      <errorID>986d347a-43f0-4201-8880-ad223737b1bd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36BA23F7</paraID>
      <start>0</start>
      <end>3</end>
      <status>unmodified</status>
      <modifiedWord/>
      <trackRevisions>false</trackRevisions>
    </reviewItem>
    <reviewItem>
      <errorID>841ed64d-99c9-407f-906a-b3c2c0c070b5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363E69CB</paraID>
      <start>0</start>
      <end>3</end>
      <status>unmodified</status>
      <modifiedWord/>
      <trackRevisions>false</trackRevisions>
    </reviewItem>
    <reviewItem>
      <errorID>af813a7f-3f6c-4f07-86b8-f86689f18a94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32930045</paraID>
      <start>0</start>
      <end>4</end>
      <status>unmodified</status>
      <modifiedWord/>
      <trackRevisions>false</trackRevisions>
    </reviewItem>
    <reviewItem>
      <errorID>37b30daa-dfbf-4972-9005-b253d97091ca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72745663</paraID>
      <start>0</start>
      <end>4</end>
      <status>unmodified</status>
      <modifiedWord/>
      <trackRevisions>false</trackRevisions>
    </reviewItem>
    <reviewItem>
      <errorID>0cfe88b3-5f42-4281-9fdc-516029ee3c8d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7B9AAC7A</paraID>
      <start>0</start>
      <end>4</end>
      <status>unmodified</status>
      <modifiedWord/>
      <trackRevisions>false</trackRevisions>
    </reviewItem>
    <reviewItem>
      <errorID>73f5bc12-b6ed-45b2-b6e1-fbd0a48832e1</errorID>
      <errorWord>(</errorWord>
      <group>L1_Format</group>
      <groupName>格式问题</groupName>
      <ability>L2_HalfPunc_CN</ability>
      <abilityName>全半角问题</abilityName>
      <candidateList>
        <item>（</item>
      </candidateList>
      <explain>文本全半角错误。</explain>
      <paraID> 6C8FF50</paraID>
      <start>67</start>
      <end>68</end>
      <status>unmodified</status>
      <modifiedWord/>
      <trackRevisions>false</trackRevisions>
    </reviewItem>
    <reviewItem>
      <errorID>a0b7ac8e-b4db-460b-9255-571a064d6b34</errorID>
      <errorWord>)</errorWord>
      <group>L1_Format</group>
      <groupName>格式问题</groupName>
      <ability>L2_HalfPunc_CN</ability>
      <abilityName>全半角问题</abilityName>
      <candidateList>
        <item>）</item>
      </candidateList>
      <explain>文本全半角错误。</explain>
      <paraID> 6C8FF50</paraID>
      <start>77</start>
      <end>78</end>
      <status>unmodified</status>
      <modifiedWord/>
      <trackRevisions>false</trackRevisions>
    </reviewItem>
    <reviewItem>
      <errorID>acd3708a-35ec-461e-979c-ef368696d030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2234A8C2</paraID>
      <start>0</start>
      <end>3</end>
      <status>unmodified</status>
      <modifiedWord/>
      <trackRevisions>false</trackRevisions>
    </reviewItem>
    <reviewItem>
      <errorID>661c29bf-9cd8-4198-905f-793492734e9e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47CEE497</paraID>
      <start>0</start>
      <end>3</end>
      <status>unmodified</status>
      <modifiedWord/>
      <trackRevisions>false</trackRevisions>
    </reviewItem>
    <reviewItem>
      <errorID>9457bc9a-f757-4f0b-ac5d-40face4b5ff3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24B87C78</paraID>
      <start>0</start>
      <end>3</end>
      <status>unmodified</status>
      <modifiedWord/>
      <trackRevisions>false</trackRevisions>
    </reviewItem>
    <reviewItem>
      <errorID>d96affe5-1d1e-47dd-822d-1d29a0f331ac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47C5DF9D</paraID>
      <start>0</start>
      <end>3</end>
      <status>unmodified</status>
      <modifiedWord/>
      <trackRevisions>false</trackRevisions>
    </reviewItem>
    <reviewItem>
      <errorID>989feb6e-f911-4971-a3ec-29a2236c062b</errorID>
      <errorWord>期</errorWord>
      <group>L1_Word</group>
      <groupName>字词问题</groupName>
      <ability>L2_Typo</ability>
      <abilityName>字词错误</abilityName>
      <candidateList>
        <item>期间</item>
      </candidateList>
      <explain/>
      <paraID>47C5DF9D</paraID>
      <start>7</start>
      <end>8</end>
      <status>unmodified</status>
      <modifiedWord/>
      <trackRevisions>false</trackRevisions>
    </reviewItem>
    <reviewItem>
      <errorID>1c0381da-a477-4c64-9c1e-3cdccd18cb3e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7EABD4F7</paraID>
      <start>0</start>
      <end>3</end>
      <status>unmodified</status>
      <modifiedWord/>
      <trackRevisions>false</trackRevisions>
    </reviewItem>
    <reviewItem>
      <errorID>a11ca9d7-7de9-4503-a858-a85f203352aa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40837254</paraID>
      <start>0</start>
      <end>3</end>
      <status>unmodified</status>
      <modifiedWord/>
      <trackRevisions>false</trackRevisions>
    </reviewItem>
    <reviewItem>
      <errorID>3ba5fa7e-c1d7-4d91-bb2e-c7fb6db9f33c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3F37DFF7</paraID>
      <start>0</start>
      <end>3</end>
      <status>unmodified</status>
      <modifiedWord/>
      <trackRevisions>false</trackRevisions>
    </reviewItem>
    <reviewItem>
      <errorID>b1bca1a5-e320-440d-9f09-68a5819871eb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B14BE44</paraID>
      <start>0</start>
      <end>3</end>
      <status>unmodified</status>
      <modifiedWord/>
      <trackRevisions>false</trackRevisions>
    </reviewItem>
    <reviewItem>
      <errorID>8ac9891c-1cf6-4eca-9f72-ac3f79d5b8d0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C08BA46</paraID>
      <start>0</start>
      <end>3</end>
      <status>unmodified</status>
      <modifiedWord/>
      <trackRevisions>false</trackRevisions>
    </reviewItem>
    <reviewItem>
      <errorID>385cd4e7-b2a5-4c8d-a68a-453fab25fc85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4705F699</paraID>
      <start>0</start>
      <end>3</end>
      <status>unmodified</status>
      <modifiedWord/>
      <trackRevisions>false</trackRevisions>
    </reviewItem>
    <reviewItem>
      <errorID>bab52ec2-ac66-4183-9c90-d02502a871be</errorID>
      <errorWord>,</errorWord>
      <group>L1_Format</group>
      <groupName>格式问题</groupName>
      <ability>L2_HalfPunc_CN</ability>
      <abilityName>全半角问题</abilityName>
      <candidateList>
        <item>，</item>
      </candidateList>
      <explain>文本全半角错误。</explain>
      <paraID>4705F699</paraID>
      <start>58</start>
      <end>59</end>
      <status>unmodified</status>
      <modifiedWord/>
      <trackRevisions>false</trackRevisions>
    </reviewItem>
    <reviewItem>
      <errorID>2614691b-6f7d-4035-994c-9b9cea13212e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509B5E72</paraID>
      <start>0</start>
      <end>3</end>
      <status>unmodified</status>
      <modifiedWord/>
      <trackRevisions>false</trackRevisions>
    </reviewItem>
    <reviewItem>
      <errorID>eaa6ec17-3548-4832-9e35-ec56ca8c6411</errorID>
      <errorWord>(</errorWord>
      <group>L1_Format</group>
      <groupName>格式问题</groupName>
      <ability>L2_HalfPunc_CN</ability>
      <abilityName>全半角问题</abilityName>
      <candidateList>
        <item>（</item>
      </candidateList>
      <explain>文本全半角错误。</explain>
      <paraID>509B5E72</paraID>
      <start>49</start>
      <end>50</end>
      <status>unmodified</status>
      <modifiedWord/>
      <trackRevisions>false</trackRevisions>
    </reviewItem>
    <reviewItem>
      <errorID>c2f1658b-3046-48e3-8a25-6ad52ca4187e</errorID>
      <errorWord>)</errorWord>
      <group>L1_Format</group>
      <groupName>格式问题</groupName>
      <ability>L2_HalfPunc_CN</ability>
      <abilityName>全半角问题</abilityName>
      <candidateList>
        <item>）</item>
      </candidateList>
      <explain>文本全半角错误。</explain>
      <paraID>509B5E72</paraID>
      <start>62</start>
      <end>63</end>
      <status>unmodified</status>
      <modifiedWord/>
      <trackRevisions>false</trackRevisions>
    </reviewItem>
    <reviewItem>
      <errorID>267c4c45-c7eb-4fb4-adcc-61c46ed1c404</errorID>
      <errorWord>(</errorWord>
      <group>L1_Format</group>
      <groupName>格式问题</groupName>
      <ability>L2_HalfPunc_CN</ability>
      <abilityName>全半角问题</abilityName>
      <candidateList>
        <item>（</item>
      </candidateList>
      <explain>文本全半角错误。</explain>
      <paraID>72FAEF51</paraID>
      <start>17</start>
      <end>18</end>
      <status>unmodified</status>
      <modifiedWord/>
      <trackRevisions>false</trackRevisions>
    </reviewItem>
    <reviewItem>
      <errorID>0a3ef54f-fa98-43e1-9c17-18e80cc416ef</errorID>
      <errorWord>)</errorWord>
      <group>L1_Format</group>
      <groupName>格式问题</groupName>
      <ability>L2_HalfPunc_CN</ability>
      <abilityName>全半角问题</abilityName>
      <candidateList>
        <item>）</item>
      </candidateList>
      <explain>文本全半角错误。</explain>
      <paraID>72FAEF51</paraID>
      <start>32</start>
      <end>33</end>
      <status>unmodified</status>
      <modifiedWord/>
      <trackRevisions>false</trackRevisions>
    </reviewItem>
    <reviewItem>
      <errorID>abf4f170-613b-41e8-a844-49e76d7f38fc</errorID>
      <errorWord>(</errorWord>
      <group>L1_Format</group>
      <groupName>格式问题</groupName>
      <ability>L2_HalfPunc_CN</ability>
      <abilityName>全半角问题</abilityName>
      <candidateList>
        <item>（</item>
      </candidateList>
      <explain>文本全半角错误。</explain>
      <paraID>1916CB84</paraID>
      <start>16</start>
      <end>17</end>
      <status>unmodified</status>
      <modifiedWord/>
      <trackRevisions>false</trackRevisions>
    </reviewItem>
    <reviewItem>
      <errorID>822c8455-1b09-4bd7-b862-f8868d7bc30f</errorID>
      <errorWord>)</errorWord>
      <group>L1_Format</group>
      <groupName>格式问题</groupName>
      <ability>L2_HalfPunc_CN</ability>
      <abilityName>全半角问题</abilityName>
      <candidateList>
        <item>）</item>
      </candidateList>
      <explain>文本全半角错误。</explain>
      <paraID>1916CB84</paraID>
      <start>26</start>
      <end>27</end>
      <status>unmodified</status>
      <modifiedWord/>
      <trackRevisions>false</trackRevisions>
    </reviewItem>
    <reviewItem>
      <errorID>780dc0ad-3c3c-4ecd-963a-8423a8c1dd0a</errorID>
      <errorWord>;</errorWord>
      <group>L1_Format</group>
      <groupName>格式问题</groupName>
      <ability>L2_HalfPunc_CN</ability>
      <abilityName>全半角问题</abilityName>
      <candidateList>
        <item>；</item>
      </candidateList>
      <explain>文本全半角错误。</explain>
      <paraID>20670C11</paraID>
      <start>34</start>
      <end>35</end>
      <status>unmodified</status>
      <modifiedWord/>
      <trackRevisions>false</trackRevisions>
    </reviewItem>
    <reviewItem>
      <errorID>b8de0cff-0654-44a0-b908-133101d30730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555CD516</paraID>
      <start>0</start>
      <end>3</end>
      <status>unmodified</status>
      <modifiedWord/>
      <trackRevisions>false</trackRevisions>
    </reviewItem>
    <reviewItem>
      <errorID>3b401b8a-458a-43ce-83af-9f10525fac62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2EB18C87</paraID>
      <start>0</start>
      <end>3</end>
      <status>unmodified</status>
      <modifiedWord/>
      <trackRevisions>false</trackRevisions>
    </reviewItem>
    <reviewItem>
      <errorID>6e1bec53-8483-40d6-9a02-d17ece250fd4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50DCA057</paraID>
      <start>0</start>
      <end>3</end>
      <status>unmodified</status>
      <modifiedWord/>
      <trackRevisions>false</trackRevisions>
    </reviewItem>
    <reviewItem>
      <errorID>32ec4228-f95d-42dc-8b55-07439f73f126</errorID>
      <errorWord>(</errorWord>
      <group>L1_Format</group>
      <groupName>格式问题</groupName>
      <ability>L2_HalfPunc_CN</ability>
      <abilityName>全半角问题</abilityName>
      <candidateList>
        <item>（</item>
      </candidateList>
      <explain>文本全半角错误。</explain>
      <paraID>385868A1</paraID>
      <start>48</start>
      <end>49</end>
      <status>unmodified</status>
      <modifiedWord/>
      <trackRevisions>false</trackRevisions>
    </reviewItem>
    <reviewItem>
      <errorID>45baa4cf-7bbe-448a-9516-c6766a5a7abf</errorID>
      <errorWord>)</errorWord>
      <group>L1_Format</group>
      <groupName>格式问题</groupName>
      <ability>L2_HalfPunc_CN</ability>
      <abilityName>全半角问题</abilityName>
      <candidateList>
        <item>）</item>
      </candidateList>
      <explain>文本全半角错误。</explain>
      <paraID>385868A1</paraID>
      <start>58</start>
      <end>59</end>
      <status>unmodified</status>
      <modifiedWord/>
      <trackRevisions>false</trackRevisions>
    </reviewItem>
    <reviewItem>
      <errorID>41fbcaf3-7e87-44e5-9805-4033c8d90e36</errorID>
      <errorWord>,</errorWord>
      <group>L1_Format</group>
      <groupName>格式问题</groupName>
      <ability>L2_HalfPunc_CN</ability>
      <abilityName>全半角问题</abilityName>
      <candidateList>
        <item>，</item>
      </candidateList>
      <explain>文本全半角错误。</explain>
      <paraID>385868A1</paraID>
      <start>59</start>
      <end>60</end>
      <status>unmodified</status>
      <modifiedWord/>
      <trackRevisions>false</trackRevisions>
    </reviewItem>
    <reviewItem>
      <errorID>6d1c6a81-f503-4535-9f67-d80660beb40f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913EE9A</paraID>
      <start>0</start>
      <end>3</end>
      <status>unmodified</status>
      <modifiedWord/>
      <trackRevisions>false</trackRevisions>
    </reviewItem>
    <reviewItem>
      <errorID>12cc55bb-96a8-43d4-a9dc-4b1507895b37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6AFBF022</paraID>
      <start>0</start>
      <end>3</end>
      <status>unmodified</status>
      <modifiedWord/>
      <trackRevisions>false</trackRevisions>
    </reviewItem>
    <reviewItem>
      <errorID>7a00a7bd-2ab9-4aa1-bd23-69e646336101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49C90B25</paraID>
      <start>0</start>
      <end>3</end>
      <status>unmodified</status>
      <modifiedWord/>
      <trackRevisions>false</trackRevisions>
    </reviewItem>
    <reviewItem>
      <errorID>d48432f6-455d-4d33-819d-a4d6235ce966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2A6B7D3</paraID>
      <start>0</start>
      <end>3</end>
      <status>unmodified</status>
      <modifiedWord/>
      <trackRevisions>false</trackRevisions>
    </reviewItem>
    <reviewItem>
      <errorID>34a0f098-e55f-480c-a7df-3d53b3bd6d47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483C3252</paraID>
      <start>0</start>
      <end>3</end>
      <status>unmodified</status>
      <modifiedWord/>
      <trackRevisions>false</trackRevisions>
    </reviewItem>
    <reviewItem>
      <errorID>57081a28-cb5a-4209-9e53-78d3087c6c3a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729372F8</paraID>
      <start>0</start>
      <end>3</end>
      <status>unmodified</status>
      <modifiedWord/>
      <trackRevisions>false</trackRevisions>
    </reviewItem>
    <reviewItem>
      <errorID>a9ffe7a0-e6f5-42eb-8b4e-23f2729184bb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90075B5</paraID>
      <start>0</start>
      <end>3</end>
      <status>unmodified</status>
      <modifiedWord/>
      <trackRevisions>false</trackRevisions>
    </reviewItem>
    <reviewItem>
      <errorID>3f2acc90-d716-4538-98d2-ab9dbdf70d55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3224D97C</paraID>
      <start>0</start>
      <end>3</end>
      <status>unmodified</status>
      <modifiedWord/>
      <trackRevisions>false</trackRevisions>
    </reviewItem>
    <reviewItem>
      <errorID>430d83b3-2691-497d-b368-13dc70fb743c</errorID>
      <errorWord>(</errorWord>
      <group>L1_Format</group>
      <groupName>格式问题</groupName>
      <ability>L2_HalfPunc_CN</ability>
      <abilityName>全半角问题</abilityName>
      <candidateList>
        <item>（</item>
      </candidateList>
      <explain>文本全半角错误。</explain>
      <paraID>3224D97C</paraID>
      <start>68</start>
      <end>69</end>
      <status>unmodified</status>
      <modifiedWord/>
      <trackRevisions>false</trackRevisions>
    </reviewItem>
    <reviewItem>
      <errorID>76af601d-0070-4140-828f-441fabf38edf</errorID>
      <errorWord>(</errorWord>
      <group>L1_Format</group>
      <groupName>格式问题</groupName>
      <ability>L2_HalfPunc_CN</ability>
      <abilityName>全半角问题</abilityName>
      <candidateList>
        <item>（</item>
      </candidateList>
      <explain>文本全半角错误。</explain>
      <paraID>2C6A575D</paraID>
      <start>16</start>
      <end>17</end>
      <status>unmodified</status>
      <modifiedWord/>
      <trackRevisions>false</trackRevisions>
    </reviewItem>
    <reviewItem>
      <errorID>6267311d-ca28-4cc8-a8bc-0d63f79b87b5</errorID>
      <errorWord>(</errorWord>
      <group>L1_Format</group>
      <groupName>格式问题</groupName>
      <ability>L2_HalfPunc_CN</ability>
      <abilityName>全半角问题</abilityName>
      <candidateList>
        <item>（</item>
      </candidateList>
      <explain>文本全半角错误。</explain>
      <paraID>33156E12</paraID>
      <start>16</start>
      <end>17</end>
      <status>unmodified</status>
      <modifiedWord/>
      <trackRevisions>false</trackRevisions>
    </reviewItem>
    <reviewItem>
      <errorID>407abdc0-3415-4bde-94cb-3d9c8d852427</errorID>
      <errorWord>(</errorWord>
      <group>L1_Format</group>
      <groupName>格式问题</groupName>
      <ability>L2_HalfPunc_CN</ability>
      <abilityName>全半角问题</abilityName>
      <candidateList>
        <item>（</item>
      </candidateList>
      <explain>文本全半角错误。</explain>
      <paraID>44837721</paraID>
      <start>45</start>
      <end>46</end>
      <status>unmodified</status>
      <modifiedWord/>
      <trackRevisions>false</trackRevisions>
    </reviewItem>
    <reviewItem>
      <errorID>4e229098-1829-4c3d-8480-d39e9b0ba4f7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BA72981</paraID>
      <start>0</start>
      <end>3</end>
      <status>unmodified</status>
      <modifiedWord/>
      <trackRevisions>false</trackRevisions>
    </reviewItem>
    <reviewItem>
      <errorID>1101e6f5-7a33-4415-91f2-954ee5d86341</errorID>
      <errorWord>(</errorWord>
      <group>L1_Format</group>
      <groupName>格式问题</groupName>
      <ability>L2_HalfPunc_CN</ability>
      <abilityName>全半角问题</abilityName>
      <candidateList>
        <item>（</item>
      </candidateList>
      <explain>文本全半角错误。</explain>
      <paraID> BA72981</paraID>
      <start>69</start>
      <end>70</end>
      <status>unmodified</status>
      <modifiedWord/>
      <trackRevisions>false</trackRevisions>
    </reviewItem>
    <reviewItem>
      <errorID>44f6f445-20e3-4c59-8e6c-54984e9a08ff</errorID>
      <errorWord>)</errorWord>
      <group>L1_Format</group>
      <groupName>格式问题</groupName>
      <ability>L2_HalfPunc_CN</ability>
      <abilityName>全半角问题</abilityName>
      <candidateList>
        <item>）</item>
      </candidateList>
      <explain>文本全半角错误。</explain>
      <paraID> BA72981</paraID>
      <start>86</start>
      <end>87</end>
      <status>unmodified</status>
      <modifiedWord/>
      <trackRevisions>false</trackRevisions>
    </reviewItem>
    <reviewItem>
      <errorID>817ce263-6c40-4f1d-8713-5da300cda96c</errorID>
      <errorWord>,</errorWord>
      <group>L1_Format</group>
      <groupName>格式问题</groupName>
      <ability>L2_HalfPunc_CN</ability>
      <abilityName>全半角问题</abilityName>
      <candidateList>
        <item>，</item>
      </candidateList>
      <explain>文本全半角错误。</explain>
      <paraID> BA72981</paraID>
      <start>87</start>
      <end>88</end>
      <status>unmodified</status>
      <modifiedWord/>
      <trackRevisions>false</trackRevisions>
    </reviewItem>
    <reviewItem>
      <errorID>6c3bb49d-3f72-4267-a4e3-189093afd1d6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590B6321</paraID>
      <start>0</start>
      <end>3</end>
      <status>unmodified</status>
      <modifiedWord/>
      <trackRevisions>false</trackRevisions>
    </reviewItem>
    <reviewItem>
      <errorID>053416b0-b7a3-4d61-ade6-d5d46182f653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1D319B35</paraID>
      <start>0</start>
      <end>3</end>
      <status>unmodified</status>
      <modifiedWord/>
      <trackRevisions>false</trackRevisions>
    </reviewItem>
    <reviewItem>
      <errorID>faea6fab-c4be-4789-9c5b-f0c35a7310aa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10D5340C</paraID>
      <start>0</start>
      <end>3</end>
      <status>unmodified</status>
      <modifiedWord/>
      <trackRevisions>false</trackRevisions>
    </reviewItem>
    <reviewItem>
      <errorID>5ab5b35f-3a3e-4f22-9eee-2834df0c997d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60FE982D</paraID>
      <start>0</start>
      <end>3</end>
      <status>unmodified</status>
      <modifiedWord/>
      <trackRevisions>false</trackRevisions>
    </reviewItem>
    <reviewItem>
      <errorID>a28fc5b2-cddd-46d0-a22b-818d2467ff71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4DB9F80C</paraID>
      <start>0</start>
      <end>3</end>
      <status>unmodified</status>
      <modifiedWord/>
      <trackRevisions>false</trackRevisions>
    </reviewItem>
    <reviewItem>
      <errorID>ba9ed0d5-f36f-43f2-97dc-466368c32f07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6ACB30AC</paraID>
      <start>0</start>
      <end>3</end>
      <status>unmodified</status>
      <modifiedWord/>
      <trackRevisions>false</trackRevisions>
    </reviewItem>
    <reviewItem>
      <errorID>65273a07-b4a8-4367-93bd-e499023abcca</errorID>
      <errorWord>(</errorWord>
      <group>L1_Format</group>
      <groupName>格式问题</groupName>
      <ability>L2_HalfPunc_CN</ability>
      <abilityName>全半角问题</abilityName>
      <candidateList>
        <item>（</item>
      </candidateList>
      <explain>文本全半角错误。</explain>
      <paraID>6ACB30AC</paraID>
      <start>46</start>
      <end>47</end>
      <status>unmodified</status>
      <modifiedWord/>
      <trackRevisions>false</trackRevisions>
    </reviewItem>
    <reviewItem>
      <errorID>855c3dc5-a808-40a9-a8a9-24411c17dc2e</errorID>
      <errorWord>)</errorWord>
      <group>L1_Format</group>
      <groupName>格式问题</groupName>
      <ability>L2_HalfPunc_CN</ability>
      <abilityName>全半角问题</abilityName>
      <candidateList>
        <item>）</item>
      </candidateList>
      <explain>文本全半角错误。</explain>
      <paraID>6ACB30AC</paraID>
      <start>69</start>
      <end>70</end>
      <status>unmodified</status>
      <modifiedWord/>
      <trackRevisions>false</trackRevisions>
    </reviewItem>
    <reviewItem>
      <errorID>1fb9c3f9-c36c-4387-ac57-664829e43f24</errorID>
      <errorWord>;</errorWord>
      <group>L1_Format</group>
      <groupName>格式问题</groupName>
      <ability>L2_HalfPunc_CN</ability>
      <abilityName>全半角问题</abilityName>
      <candidateList>
        <item>；</item>
      </candidateList>
      <explain>文本全半角错误。</explain>
      <paraID>6ACB30AC</paraID>
      <start>70</start>
      <end>71</end>
      <status>unmodified</status>
      <modifiedWord/>
      <trackRevisions>false</trackRevisions>
    </reviewItem>
    <reviewItem>
      <errorID>c87a94fb-15ab-49ae-84bb-88b71164197c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2E7B7217</paraID>
      <start>0</start>
      <end>3</end>
      <status>unmodified</status>
      <modifiedWord/>
      <trackRevisions>false</trackRevisions>
    </reviewItem>
    <reviewItem>
      <errorID>db2fd0e8-678f-4c51-a8bc-1943a4fdc594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214DD28B</paraID>
      <start>0</start>
      <end>3</end>
      <status>unmodified</status>
      <modifiedWord/>
      <trackRevisions>false</trackRevisions>
    </reviewItem>
    <reviewItem>
      <errorID>858b6894-13bf-4fcc-b61b-70c53a619240</errorID>
      <errorWord>危险度</errorWord>
      <group>L1_Word</group>
      <groupName>字词问题</groupName>
      <ability>L2_Typo</ability>
      <abilityName>字词错误</abilityName>
      <candidateList>
        <item>危险</item>
      </candidateList>
      <explain/>
      <paraID>214DD28B</paraID>
      <start>19</start>
      <end>22</end>
      <status>unmodified</status>
      <modifiedWord/>
      <trackRevisions>false</trackRevisions>
    </reviewItem>
    <reviewItem>
      <errorID>0aac4a8b-004b-4d90-b801-2f0c6529fd7f</errorID>
      <errorWord>)</errorWord>
      <group>L1_Format</group>
      <groupName>格式问题</groupName>
      <ability>L2_HalfPunc_CN</ability>
      <abilityName>全半角问题</abilityName>
      <candidateList>
        <item>）</item>
      </candidateList>
      <explain>文本全半角错误。</explain>
      <paraID>21E27954</paraID>
      <start>13</start>
      <end>14</end>
      <status>unmodified</status>
      <modifiedWord/>
      <trackRevisions>false</trackRevisions>
    </reviewItem>
    <reviewItem>
      <errorID>3b34d191-f328-4796-969c-61370d718fc9</errorID>
      <errorWord>危险度物</errorWord>
      <group>L1_Knowledge</group>
      <groupName>知识性问题</groupName>
      <ability>L2_Term</ability>
      <abilityName>专业术语</abilityName>
      <candidateList>
        <item>危险货物</item>
      </candidateList>
      <explain/>
      <paraID>21E27954</paraID>
      <start>28</start>
      <end>32</end>
      <status>unmodified</status>
      <modifiedWord/>
      <trackRevisions>false</trackRevisions>
    </reviewItem>
    <reviewItem>
      <errorID>6612bf5f-8545-499c-a8d2-f05676128ff3</errorID>
      <errorWord>(</errorWord>
      <group>L1_Format</group>
      <groupName>格式问题</groupName>
      <ability>L2_HalfPunc_CN</ability>
      <abilityName>全半角问题</abilityName>
      <candidateList>
        <item>（</item>
      </candidateList>
      <explain>文本全半角错误。</explain>
      <paraID>21E27954</paraID>
      <start>74</start>
      <end>75</end>
      <status>unmodified</status>
      <modifiedWord/>
      <trackRevisions>false</trackRevisions>
    </reviewItem>
    <reviewItem>
      <errorID>156f6e2f-5045-4a12-bb87-50e63be3a469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6D47B279</paraID>
      <start>2</start>
      <end>3</end>
      <status>unmodified</status>
      <modifiedWord/>
      <trackRevisions>false</trackRevisions>
    </reviewItem>
    <reviewItem>
      <errorID>ffb8915e-1a11-49cf-963e-cfc750ed79f2</errorID>
      <errorWord>)</errorWord>
      <group>L1_Format</group>
      <groupName>格式问题</groupName>
      <ability>L2_HalfPunc_CN</ability>
      <abilityName>全半角问题</abilityName>
      <candidateList>
        <item>）</item>
      </candidateList>
      <explain>文本全半角错误。</explain>
      <paraID>6D47B279</paraID>
      <start>8</start>
      <end>9</end>
      <status>unmodified</status>
      <modifiedWord/>
      <trackRevisions>false</trackRevisions>
    </reviewItem>
    <reviewItem>
      <errorID>c2ef454a-3fd0-49fa-a315-c41ac332e910</errorID>
      <errorWord>,</errorWord>
      <group>L1_Format</group>
      <groupName>格式问题</groupName>
      <ability>L2_HalfPunc_CN</ability>
      <abilityName>全半角问题</abilityName>
      <candidateList>
        <item>，</item>
      </candidateList>
      <explain>文本全半角错误。</explain>
      <paraID>6D47B279</paraID>
      <start>9</start>
      <end>10</end>
      <status>unmodified</status>
      <modifiedWord/>
      <trackRevisions>false</trackRevisions>
    </reviewItem>
    <reviewItem>
      <errorID>a29d4709-46c3-401e-9ac1-9860b10898a1</errorID>
      <errorWord>(</errorWord>
      <group>L1_Format</group>
      <groupName>格式问题</groupName>
      <ability>L2_HalfPunc_CN</ability>
      <abilityName>全半角问题</abilityName>
      <candidateList>
        <item>（</item>
      </candidateList>
      <explain>文本全半角错误。</explain>
      <paraID>6D47B279</paraID>
      <start>31</start>
      <end>32</end>
      <status>unmodified</status>
      <modifiedWord/>
      <trackRevisions>false</trackRevisions>
    </reviewItem>
    <reviewItem>
      <errorID>27b97dfe-d131-4f38-90fd-a7d9abbe7ed1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638B1F6</paraID>
      <start>2</start>
      <end>3</end>
      <status>unmodified</status>
      <modifiedWord/>
      <trackRevisions>false</trackRevisions>
    </reviewItem>
    <reviewItem>
      <errorID>96736b6f-b6fa-4d15-a1b7-7666a9148bcb</errorID>
      <errorWord>)</errorWord>
      <group>L1_Format</group>
      <groupName>格式问题</groupName>
      <ability>L2_HalfPunc_CN</ability>
      <abilityName>全半角问题</abilityName>
      <candidateList>
        <item>）</item>
      </candidateList>
      <explain>文本全半角错误。</explain>
      <paraID> 638B1F6</paraID>
      <start>9</start>
      <end>10</end>
      <status>unmodified</status>
      <modifiedWord/>
      <trackRevisions>false</trackRevisions>
    </reviewItem>
    <reviewItem>
      <errorID>bd55baa0-f9a9-4a24-aadf-711a3407d730</errorID>
      <errorWord>。</errorWord>
      <group>L1_Format</group>
      <groupName>格式问题</groupName>
      <ability>L2_HalfPunc_CN</ability>
      <abilityName>全半角问题</abilityName>
      <candidateList>
        <item>.</item>
      </candidateList>
      <explain>文本全半角错误。</explain>
      <paraID> 638B1F6</paraID>
      <start>10</start>
      <end>11</end>
      <status>unmodified</status>
      <modifiedWord/>
      <trackRevisions>false</trackRevisions>
    </reviewItem>
    <reviewItem>
      <errorID>dde4bbeb-bd6a-496f-bfee-85c1faaecbf1</errorID>
      <errorWord>(</errorWord>
      <group>L1_Format</group>
      <groupName>格式问题</groupName>
      <ability>L2_HalfPunc_CN</ability>
      <abilityName>全半角问题</abilityName>
      <candidateList>
        <item>（</item>
      </candidateList>
      <explain>文本全半角错误。</explain>
      <paraID> 638B1F6</paraID>
      <start>49</start>
      <end>50</end>
      <status>unmodified</status>
      <modifiedWord/>
      <trackRevisions>false</trackRevisions>
    </reviewItem>
    <reviewItem>
      <errorID>9a93f5c7-1b91-4f9c-8f26-7eca310778dc</errorID>
      <errorWord>)</errorWord>
      <group>L1_Format</group>
      <groupName>格式问题</groupName>
      <ability>L2_HalfPunc_CN</ability>
      <abilityName>全半角问题</abilityName>
      <candidateList>
        <item>）</item>
      </candidateList>
      <explain>文本全半角错误。</explain>
      <paraID> 638B1F6</paraID>
      <start>61</start>
      <end>62</end>
      <status>unmodified</status>
      <modifiedWord/>
      <trackRevisions>false</trackRevisions>
    </reviewItem>
    <reviewItem>
      <errorID>a837524e-ad74-448e-b4f3-1a1b42ebf5a5</errorID>
      <errorWord>,</errorWord>
      <group>L1_Format</group>
      <groupName>格式问题</groupName>
      <ability>L2_HalfPunc_CN</ability>
      <abilityName>全半角问题</abilityName>
      <candidateList>
        <item>，</item>
      </candidateList>
      <explain>文本全半角错误。</explain>
      <paraID> 638B1F6</paraID>
      <start>81</start>
      <end>82</end>
      <status>unmodified</status>
      <modifiedWord/>
      <trackRevisions>false</trackRevisions>
    </reviewItem>
    <reviewItem>
      <errorID>de80983f-c116-4ffe-a43f-d1b3341e5300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665CD75B</paraID>
      <start>8</start>
      <end>9</end>
      <status>unmodified</status>
      <modifiedWord/>
      <trackRevisions>false</trackRevisions>
    </reviewItem>
    <reviewItem>
      <errorID>867fa6c5-6053-432e-a346-3c5ca5866caa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27DE0496</paraID>
      <start>0</start>
      <end>2</end>
      <status>unmodified</status>
      <modifiedWord/>
      <trackRevisions>false</trackRevisions>
    </reviewItem>
    <reviewItem>
      <errorID>0645d777-0d10-412f-bb59-f3c93c2c922d</errorID>
      <errorWord>必须要</errorWord>
      <group>L1_Word</group>
      <groupName>字词问题</groupName>
      <ability>L2_Typo</ability>
      <abilityName>字词错误</abilityName>
      <candidateList>
        <item>必须</item>
      </candidateList>
      <explain/>
      <paraID>27DE0496</paraID>
      <start>7</start>
      <end>10</end>
      <status>unmodified</status>
      <modifiedWord/>
      <trackRevisions>false</trackRevisions>
    </reviewItem>
    <reviewItem>
      <errorID>5bebc4d7-27ae-425d-b61e-9c1ca0ffb874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6D904CD2</paraID>
      <start>0</start>
      <end>2</end>
      <status>unmodified</status>
      <modifiedWord/>
      <trackRevisions>false</trackRevisions>
    </reviewItem>
    <reviewItem>
      <errorID>f253dfa8-55e9-4467-b1da-5b1a335060f6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13AAA807</paraID>
      <start>0</start>
      <end>2</end>
      <status>unmodified</status>
      <modifiedWord/>
      <trackRevisions>false</trackRevisions>
    </reviewItem>
    <reviewItem>
      <errorID>fb10646f-75c0-42a5-b018-ac6b5ee69a08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5E9AFA27</paraID>
      <start>0</start>
      <end>2</end>
      <status>unmodified</status>
      <modifiedWord/>
      <trackRevisions>false</trackRevisions>
    </reviewItem>
    <reviewItem>
      <errorID>ea864b0c-7d1a-4f23-b9cf-7967f01c33f7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F993C0A</paraID>
      <start>0</start>
      <end>2</end>
      <status>unmodified</status>
      <modifiedWord/>
      <trackRevisions>false</trackRevisions>
    </reviewItem>
    <reviewItem>
      <errorID>4c19061d-36cd-402f-9e80-36d96f27185b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779082A5</paraID>
      <start>0</start>
      <end>2</end>
      <status>unmodified</status>
      <modifiedWord/>
      <trackRevisions>false</trackRevisions>
    </reviewItem>
    <reviewItem>
      <errorID>34ace88d-4853-46f7-99a7-0f57ad378582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192A94D1</paraID>
      <start>0</start>
      <end>2</end>
      <status>unmodified</status>
      <modifiedWord/>
      <trackRevisions>false</trackRevisions>
    </reviewItem>
    <reviewItem>
      <errorID>8d5a85db-a136-4601-bde8-9cb53ae565a4</errorID>
      <errorWord>进厂</errorWord>
      <group>L1_Word</group>
      <groupName>字词问题</groupName>
      <ability>L2_Typo</ability>
      <abilityName>字词错误</abilityName>
      <candidateList>
        <item>进场</item>
      </candidateList>
      <explain/>
      <paraID>192A94D1</paraID>
      <start>24</start>
      <end>26</end>
      <status>unmodified</status>
      <modifiedWord/>
      <trackRevisions>false</trackRevisions>
    </reviewItem>
    <reviewItem>
      <errorID>726f36b8-1fe2-4875-931f-7febbfc339fc</errorID>
      <errorWord>其它人</errorWord>
      <group>L1_Word</group>
      <groupName>字词问题</groupName>
      <ability>L2_Alias</ability>
      <abilityName>也作/曾用词</abilityName>
      <candidateList>
        <item>其他人</item>
      </candidateList>
      <explain>词汇[其它人]为不规范表述或旧称，其规范书面表述为[其他人]。</explain>
      <paraID>192A94D1</paraID>
      <start>52</start>
      <end>55</end>
      <status>unmodified</status>
      <modifiedWord/>
      <trackRevisions>false</trackRevisions>
    </reviewItem>
    <reviewItem>
      <errorID>67bb0bca-4834-42d9-88f3-3cae8fd6b6c9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4B98B62D</paraID>
      <start>0</start>
      <end>2</end>
      <status>unmodified</status>
      <modifiedWord/>
      <trackRevisions>false</trackRevisions>
    </reviewItem>
    <reviewItem>
      <errorID>d58effb8-89c7-4010-a79b-f8897332b5ea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57C926CF</paraID>
      <start>0</start>
      <end>2</end>
      <status>unmodified</status>
      <modifiedWord/>
      <trackRevisions>false</trackRevisions>
    </reviewItem>
    <reviewItem>
      <errorID>447d015e-42f9-4461-9f66-869f1ea1a907</errorID>
      <errorWord>台帐并</errorWord>
      <group>L1_Word</group>
      <groupName>字词问题</groupName>
      <ability>L2_Alias</ability>
      <abilityName>也作/曾用词</abilityName>
      <candidateList>
        <item>台账并</item>
      </candidateList>
      <explain>词汇[台帐并]为不规范表述或旧称，其规范书面表述为[台账并]。</explain>
      <paraID>57C926CF</paraID>
      <start>4</start>
      <end>7</end>
      <status>unmodified</status>
      <modifiedWord/>
      <trackRevisions>false</trackRevisions>
    </reviewItem>
    <reviewItem>
      <errorID>ec4a508a-e255-4f35-a847-7d5a7c8f477a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1CF4CEC</paraID>
      <start>0</start>
      <end>3</end>
      <status>unmodified</status>
      <modifiedWord/>
      <trackRevisions>false</trackRevisions>
    </reviewItem>
    <reviewItem>
      <errorID>cd510d93-adca-4815-bc28-92c2faced611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7B887E7C</paraID>
      <start>0</start>
      <end>3</end>
      <status>unmodified</status>
      <modifiedWord/>
      <trackRevisions>false</trackRevisions>
    </reviewItem>
    <reviewItem>
      <errorID>9be68818-b681-441d-98ae-7553527fec8f</errorID>
      <errorWord>放设</errorWord>
      <group>L1_Word</group>
      <groupName>字词问题</groupName>
      <ability>L2_Typo</ability>
      <abilityName>字词错误</abilityName>
      <candidateList>
        <item>放射</item>
      </candidateList>
      <explain/>
      <paraID>7B887E7C</paraID>
      <start>37</start>
      <end>39</end>
      <status>unmodified</status>
      <modifiedWord/>
      <trackRevisions>false</trackRevisions>
    </reviewItem>
    <reviewItem>
      <errorID>dcdeeb17-2929-483b-a911-c0b9848786b7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FDF3FFC</paraID>
      <start>0</start>
      <end>3</end>
      <status>unmodified</status>
      <modifiedWord/>
      <trackRevisions>false</trackRevisions>
    </reviewItem>
    <reviewItem>
      <errorID>92512f06-b67b-40af-b1d0-a830f9ef1803</errorID>
      <errorWord>云南省电 力设施保护条例</errorWord>
      <group>L1_Knowledge</group>
      <groupName>知识性问题</groupName>
      <ability>L2_Knowledge</ability>
      <abilityName>其他知识</abilityName>
      <candidateList>
        <item>云南省电力设施保护条例</item>
      </candidateList>
      <explain>当前法律法规未收录或尚未生效，注意核查是否正确。</explain>
      <paraID> FDF3FFC</paraID>
      <start>64</start>
      <end>76</end>
      <status>unmodified</status>
      <modifiedWord/>
      <trackRevisions>false</trackRevisions>
    </reviewItem>
    <reviewItem>
      <errorID>8fd1272d-58dc-4349-8bd3-1e2d644784e3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7247AD79</paraID>
      <start>0</start>
      <end>3</end>
      <status>unmodified</status>
      <modifiedWord/>
      <trackRevisions>false</trackRevisions>
    </reviewItem>
    <reviewItem>
      <errorID>f6033c0c-2582-48b1-b5ce-ab18bd7f62cd</errorID>
      <errorWord>;</errorWord>
      <group>L1_Format</group>
      <groupName>格式问题</groupName>
      <ability>L2_HalfPunc_CN</ability>
      <abilityName>全半角问题</abilityName>
      <candidateList>
        <item>；</item>
      </candidateList>
      <explain>文本全半角错误。</explain>
      <paraID>7278C832</paraID>
      <start>150</start>
      <end>151</end>
      <status>unmodified</status>
      <modifiedWord/>
      <trackRevisions>false</trackRevisions>
    </reviewItem>
    <reviewItem>
      <errorID>eda3966c-80c0-4401-b1c4-5814fb3839e0</errorID>
      <errorWord>取</errorWord>
      <group>L1_Word</group>
      <groupName>字词问题</groupName>
      <ability>L2_Typo</ability>
      <abilityName>字词错误</abilityName>
      <candidateList>
        <item>取一</item>
      </candidateList>
      <explain/>
      <paraID>7278C832</paraID>
      <start>162</start>
      <end>163</end>
      <status>unmodified</status>
      <modifiedWord/>
      <trackRevisions>false</trackRevisions>
    </reviewItem>
    <reviewItem>
      <errorID>f6107a1d-d426-405d-a7f9-21635beafe9e</errorID>
      <errorWord>的</errorWord>
      <group>L1_Word</group>
      <groupName>字词问题</groupName>
      <ability>L2_DDD</ability>
      <abilityName>的地得用法</abilityName>
      <candidateList>
        <item>地</item>
      </candidateList>
      <explain/>
      <paraID>16D50DC4</paraID>
      <start>80</start>
      <end>81</end>
      <status>unmodified</status>
      <modifiedWord/>
      <trackRevisions>false</trackRevisions>
    </reviewItem>
    <reviewItem>
      <errorID>07a2e8de-15dc-46a8-878e-a4f26c6f85bb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2FDBCFAC</paraID>
      <start>0</start>
      <end>3</end>
      <status>unmodified</status>
      <modifiedWord/>
      <trackRevisions>false</trackRevisions>
    </reviewItem>
    <reviewItem>
      <errorID>fb0770f3-c571-4adf-88e1-733f42fcf919</errorID>
      <errorWord>(</errorWord>
      <group>L1_Format</group>
      <groupName>格式问题</groupName>
      <ability>L2_HalfPunc_CN</ability>
      <abilityName>全半角问题</abilityName>
      <candidateList>
        <item>（</item>
      </candidateList>
      <explain>文本全半角错误。</explain>
      <paraID>1A665DE0</paraID>
      <start>15</start>
      <end>16</end>
      <status>unmodified</status>
      <modifiedWord/>
      <trackRevisions>false</trackRevisions>
    </reviewItem>
    <reviewItem>
      <errorID>3b3571d9-d9bd-49a9-908e-e3bbca25e544</errorID>
      <errorWord>),</errorWord>
      <group>L1_Format</group>
      <groupName>格式问题</groupName>
      <ability>L2_HalfPunc_CN</ability>
      <abilityName>全半角问题</abilityName>
      <candidateList>
        <item>），</item>
      </candidateList>
      <explain>文本全半角错误。</explain>
      <paraID>1A665DE0</paraID>
      <start>27</start>
      <end>29</end>
      <status>unmodified</status>
      <modifiedWord/>
      <trackRevisions>false</trackRevisions>
    </reviewItem>
    <reviewItem>
      <errorID>efc6e823-285a-4c96-b02f-226c996a231c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54BCD5A8</paraID>
      <start>0</start>
      <end>3</end>
      <status>unmodified</status>
      <modifiedWord/>
      <trackRevisions>false</trackRevisions>
    </reviewItem>
    <reviewItem>
      <errorID>5034e0cf-f123-4c32-b025-498e42d56135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27ED2DDD</paraID>
      <start>0</start>
      <end>3</end>
      <status>unmodified</status>
      <modifiedWord/>
      <trackRevisions>false</trackRevisions>
    </reviewItem>
    <reviewItem>
      <errorID>af0f154a-3f50-4962-bc34-e6892e646957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23653F48</paraID>
      <start>0</start>
      <end>3</end>
      <status>unmodified</status>
      <modifiedWord/>
      <trackRevisions>false</trackRevisions>
    </reviewItem>
    <reviewItem>
      <errorID>98f708b7-8efe-415c-8b0a-9de4d8aab4a4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513BB8F4</paraID>
      <start>0</start>
      <end>3</end>
      <status>unmodified</status>
      <modifiedWord/>
      <trackRevisions>false</trackRevisions>
    </reviewItem>
    <reviewItem>
      <errorID>b1d63ee9-53a0-41be-ab2b-f30c6a3087f8</errorID>
      <errorWord>(</errorWord>
      <group>L1_Format</group>
      <groupName>格式问题</groupName>
      <ability>L2_HalfPunc_CN</ability>
      <abilityName>全半角问题</abilityName>
      <candidateList>
        <item>（</item>
      </candidateList>
      <explain>文本全半角错误。</explain>
      <paraID>3E3A940F</paraID>
      <start>9</start>
      <end>10</end>
      <status>unmodified</status>
      <modifiedWord/>
      <trackRevisions>false</trackRevisions>
    </reviewItem>
    <reviewItem>
      <errorID>215c2450-a570-4cb3-a688-25ec3ae523f7</errorID>
      <errorWord>)</errorWord>
      <group>L1_Format</group>
      <groupName>格式问题</groupName>
      <ability>L2_HalfPunc_CN</ability>
      <abilityName>全半角问题</abilityName>
      <candidateList>
        <item>）</item>
      </candidateList>
      <explain>文本全半角错误。</explain>
      <paraID>3E3A940F</paraID>
      <start>17</start>
      <end>18</end>
      <status>unmodified</status>
      <modifiedWord/>
      <trackRevisions>false</trackRevisions>
    </reviewItem>
    <reviewItem>
      <errorID>af43f9c1-3fe6-4adb-ac4e-51d9271f8809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628B1C17</paraID>
      <start>7</start>
      <end>10</end>
      <status>unmodified</status>
      <modifiedWord/>
      <trackRevisions>false</trackRevisions>
    </reviewItem>
    <reviewItem>
      <errorID>629c3d11-2966-4a6a-901e-b132c0a44421</errorID>
      <errorWord>(</errorWord>
      <group>L1_Format</group>
      <groupName>格式问题</groupName>
      <ability>L2_HalfPunc_CN</ability>
      <abilityName>全半角问题</abilityName>
      <candidateList>
        <item>（</item>
      </candidateList>
      <explain>文本全半角错误。</explain>
      <paraID>628B1C17</paraID>
      <start>23</start>
      <end>24</end>
      <status>unmodified</status>
      <modifiedWord/>
      <trackRevisions>false</trackRevisions>
    </reviewItem>
    <reviewItem>
      <errorID>f1768540-4bbf-4afd-bee9-984291cec65e</errorID>
      <errorWord>(2001)199号</errorWord>
      <group>L1_Knowledge</group>
      <groupName>知识性问题</groupName>
      <ability>L2_Knowledge</ability>
      <abilityName>其他知识</abilityName>
      <candidateList>
        <item>〔2001〕199号</item>
      </candidateList>
      <explain>发文字号格式错误。</explain>
      <paraID>628B1C17</paraID>
      <start>26</start>
      <end>36</end>
      <status>unmodified</status>
      <modifiedWord/>
      <trackRevisions>false</trackRevisions>
    </reviewItem>
    <reviewItem>
      <errorID>5d6c80bf-c29b-4cc2-a15d-4646608e0bab</errorID>
      <errorWord>)</errorWord>
      <group>L1_Format</group>
      <groupName>格式问题</groupName>
      <ability>L2_HalfPunc_CN</ability>
      <abilityName>全半角问题</abilityName>
      <candidateList>
        <item>）</item>
      </candidateList>
      <explain>文本全半角错误。</explain>
      <paraID>628B1C17</paraID>
      <start>36</start>
      <end>37</end>
      <status>unmodified</status>
      <modifiedWord/>
      <trackRevisions>false</trackRevisions>
    </reviewItem>
    <reviewItem>
      <errorID>3cc773f7-ec24-4182-9f50-1958adc99661</errorID>
      <errorWord>,</errorWord>
      <group>L1_Format</group>
      <groupName>格式问题</groupName>
      <ability>L2_HalfPunc_CN</ability>
      <abilityName>全半角问题</abilityName>
      <candidateList>
        <item>，</item>
      </candidateList>
      <explain>文本全半角错误。</explain>
      <paraID>563C9622</paraID>
      <start>18</start>
      <end>19</end>
      <status>unmodified</status>
      <modifiedWord/>
      <trackRevisions>false</trackRevisions>
    </reviewItem>
    <reviewItem>
      <errorID>9fd5bf32-a86c-4863-bcaa-7779379fea47</errorID>
      <errorWord>,</errorWord>
      <group>L1_Format</group>
      <groupName>格式问题</groupName>
      <ability>L2_HalfPunc_CN</ability>
      <abilityName>全半角问题</abilityName>
      <candidateList>
        <item>，</item>
      </candidateList>
      <explain>文本全半角错误。</explain>
      <paraID>563C9622</paraID>
      <start>31</start>
      <end>32</end>
      <status>unmodified</status>
      <modifiedWord/>
      <trackRevisions>false</trackRevisions>
    </reviewItem>
    <reviewItem>
      <errorID>0120afb2-e2c4-47ae-bd3f-5bf946b200eb</errorID>
      <errorWord>产生的</errorWord>
      <group>L1_Word</group>
      <groupName>字词问题</groupName>
      <ability>L2_Typo</ability>
      <abilityName>字词错误</abilityName>
      <candidateList>
        <item>产生</item>
      </candidateList>
      <explain/>
      <paraID>4F1DFBF5</paraID>
      <start>100</start>
      <end>103</end>
      <status>unmodified</status>
      <modifiedWord/>
      <trackRevisions>false</trackRevisions>
    </reviewItem>
    <reviewItem>
      <errorID>0e9a1c2f-c082-46bd-8286-2f2c8f65fc39</errorID>
      <errorWord>(</errorWord>
      <group>L1_Format</group>
      <groupName>格式问题</groupName>
      <ability>L2_HalfPunc_CN</ability>
      <abilityName>全半角问题</abilityName>
      <candidateList>
        <item>（</item>
      </candidateList>
      <explain>文本全半角错误。</explain>
      <paraID>4F1DFBF5</paraID>
      <start>123</start>
      <end>124</end>
      <status>unmodified</status>
      <modifiedWord/>
      <trackRevisions>false</trackRevisions>
    </reviewItem>
    <reviewItem>
      <errorID>bb048ad7-0fac-47ac-a179-6caa940114ed</errorID>
      <errorWord>(</errorWord>
      <group>L1_Punc</group>
      <groupName>标点问题</groupName>
      <ability>L2_Punc_CN</ability>
      <abilityName>标点符号问题</abilityName>
      <candidateList/>
      <explain>同一形式括号套用。</explain>
      <paraID>4F1DFBF5</paraID>
      <start>162</start>
      <end>163</end>
      <status>unmodified</status>
      <modifiedWord/>
      <trackRevisions>false</trackRevisions>
    </reviewItem>
    <reviewItem>
      <errorID>165bb948-dc79-4492-a75a-f972a9af52fb</errorID>
      <errorWord>)</errorWord>
      <group>L1_Punc</group>
      <groupName>标点问题</groupName>
      <ability>L2_Punc_CN</ability>
      <abilityName>标点符号问题</abilityName>
      <candidateList/>
      <explain>同一形式括号套用。</explain>
      <paraID>4F1DFBF5</paraID>
      <start>174</start>
      <end>175</end>
      <status>unmodified</status>
      <modifiedWord/>
      <trackRevisions>false</trackRevisions>
    </reviewItem>
    <reviewItem>
      <errorID>bf4c3bac-975a-4041-9f43-632f26b30acb</errorID>
      <errorWord>,</errorWord>
      <group>L1_Format</group>
      <groupName>格式问题</groupName>
      <ability>L2_HalfPunc_CN</ability>
      <abilityName>全半角问题</abilityName>
      <candidateList>
        <item>，</item>
      </candidateList>
      <explain>文本全半角错误。</explain>
      <paraID>4F1DFBF5</paraID>
      <start>195</start>
      <end>196</end>
      <status>unmodified</status>
      <modifiedWord/>
      <trackRevisions>false</trackRevisions>
    </reviewItem>
    <reviewItem>
      <errorID>c3589692-ed06-475b-a051-4e0b5133b5a6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4F1DFBF5</paraID>
      <start>205</start>
      <end>206</end>
      <status>unmodified</status>
      <modifiedWord/>
      <trackRevisions>false</trackRevisions>
    </reviewItem>
    <reviewItem>
      <errorID>07e8de2f-7f42-4856-b04c-41863f30e5d4</errorID>
      <errorWord>),</errorWord>
      <group>L1_Format</group>
      <groupName>格式问题</groupName>
      <ability>L2_HalfPunc_CN</ability>
      <abilityName>全半角问题</abilityName>
      <candidateList>
        <item>），</item>
      </candidateList>
      <explain>文本全半角错误。</explain>
      <paraID>4F1DFBF5</paraID>
      <start>216</start>
      <end>218</end>
      <status>unmodified</status>
      <modifiedWord/>
      <trackRevisions>false</trackRevisions>
    </reviewItem>
    <reviewItem>
      <errorID>cfdad295-71e3-4ac3-afff-82b043d65346</errorID>
      <errorWord>(</errorWord>
      <group>L1_Format</group>
      <groupName>格式问题</groupName>
      <ability>L2_HalfPunc_CN</ability>
      <abilityName>全半角问题</abilityName>
      <candidateList>
        <item>（</item>
      </candidateList>
      <explain>文本全半角错误。</explain>
      <paraID> 2DF204B</paraID>
      <start>24</start>
      <end>25</end>
      <status>unmodified</status>
      <modifiedWord/>
      <trackRevisions>false</trackRevisions>
    </reviewItem>
    <reviewItem>
      <errorID>06e1e636-745f-4312-ba14-d2044c108a68</errorID>
      <errorWord>)</errorWord>
      <group>L1_Format</group>
      <groupName>格式问题</groupName>
      <ability>L2_HalfPunc_CN</ability>
      <abilityName>全半角问题</abilityName>
      <candidateList>
        <item>）</item>
      </candidateList>
      <explain>文本全半角错误。</explain>
      <paraID> 2DF204B</paraID>
      <start>37</start>
      <end>38</end>
      <status>unmodified</status>
      <modifiedWord/>
      <trackRevisions>false</trackRevisions>
    </reviewItem>
    <reviewItem>
      <errorID>3ab1f968-52f2-41fe-8485-470db8ef8259</errorID>
      <errorWord>计</errorWord>
      <group>L1_Word</group>
      <groupName>字词问题</groupName>
      <ability>L2_Typo</ability>
      <abilityName>字词错误</abilityName>
      <candidateList>
        <item>计划</item>
      </candidateList>
      <explain/>
      <paraID> 19CD60C</paraID>
      <start>0</start>
      <end>1</end>
      <status>unmodified</status>
      <modifiedWord/>
      <trackRevisions>false</trackRevisions>
    </reviewItem>
    <reviewItem>
      <errorID>b411e54b-a5e7-46b8-beae-6d865b6b56bc</errorID>
      <errorWord>危险度物</errorWord>
      <group>L1_Knowledge</group>
      <groupName>知识性问题</groupName>
      <ability>L2_Term</ability>
      <abilityName>专业术语</abilityName>
      <candidateList>
        <item>危险货物</item>
      </candidateList>
      <explain/>
      <paraID> 19CD60C</paraID>
      <start>13</start>
      <end>17</end>
      <status>unmodified</status>
      <modifiedWord/>
      <trackRevisions>false</trackRevisions>
    </reviewItem>
    <reviewItem>
      <errorID>d5b2df59-a074-412b-8fc4-0490f725b434</errorID>
      <errorWord>(</errorWord>
      <group>L1_Format</group>
      <groupName>格式问题</groupName>
      <ability>L2_HalfPunc_CN</ability>
      <abilityName>全半角问题</abilityName>
      <candidateList>
        <item>（</item>
      </candidateList>
      <explain>文本全半角错误。</explain>
      <paraID> 19CD60C</paraID>
      <start>60</start>
      <end>61</end>
      <status>unmodified</status>
      <modifiedWord/>
      <trackRevisions>false</trackRevisions>
    </reviewItem>
    <reviewItem>
      <errorID>07d04ebc-5590-4340-b1de-dc6121e9194f</errorID>
      <errorWord>)</errorWord>
      <group>L1_Format</group>
      <groupName>格式问题</groupName>
      <ability>L2_HalfPunc_CN</ability>
      <abilityName>全半角问题</abilityName>
      <candidateList>
        <item>）</item>
      </candidateList>
      <explain>文本全半角错误。</explain>
      <paraID> 19CD60C</paraID>
      <start>76</start>
      <end>77</end>
      <status>unmodified</status>
      <modifiedWord/>
      <trackRevisions>false</trackRevisions>
    </reviewItem>
    <reviewItem>
      <errorID>b806f939-8edd-4094-926f-ac8b8e3c1213</errorID>
      <errorWord>(</errorWord>
      <group>L1_Format</group>
      <groupName>格式问题</groupName>
      <ability>L2_HalfPunc_CN</ability>
      <abilityName>全半角问题</abilityName>
      <candidateList>
        <item>（</item>
      </candidateList>
      <explain>文本全半角错误。</explain>
      <paraID> 19CD60C</paraID>
      <start>100</start>
      <end>101</end>
      <status>unmodified</status>
      <modifiedWord/>
      <trackRevisions>false</trackRevisions>
    </reviewItem>
    <reviewItem>
      <errorID>a7ab92b5-2394-4f19-bf0a-8ebeeea8a154</errorID>
      <errorWord>)</errorWord>
      <group>L1_Format</group>
      <groupName>格式问题</groupName>
      <ability>L2_HalfPunc_CN</ability>
      <abilityName>全半角问题</abilityName>
      <candidateList>
        <item>）</item>
      </candidateList>
      <explain>文本全半角错误。</explain>
      <paraID> 19CD60C</paraID>
      <start>117</start>
      <end>118</end>
      <status>unmodified</status>
      <modifiedWord/>
      <trackRevisions>false</trackRevisions>
    </reviewItem>
    <reviewItem>
      <errorID>f1528403-1b3a-4e73-835d-5e0a256cd352</errorID>
      <errorWord>(</errorWord>
      <group>L1_Format</group>
      <groupName>格式问题</groupName>
      <ability>L2_HalfPunc_CN</ability>
      <abilityName>全半角问题</abilityName>
      <candidateList>
        <item>（</item>
      </candidateList>
      <explain>文本全半角错误。</explain>
      <paraID>3666C3C3</paraID>
      <start>38</start>
      <end>39</end>
      <status>unmodified</status>
      <modifiedWord/>
      <trackRevisions>false</trackRevisions>
    </reviewItem>
    <reviewItem>
      <errorID>99ee0c00-bef9-490b-926a-f3d243f48161</errorID>
      <errorWord>)</errorWord>
      <group>L1_Format</group>
      <groupName>格式问题</groupName>
      <ability>L2_HalfPunc_CN</ability>
      <abilityName>全半角问题</abilityName>
      <candidateList>
        <item>）</item>
      </candidateList>
      <explain>文本全半角错误。</explain>
      <paraID>3666C3C3</paraID>
      <start>50</start>
      <end>51</end>
      <status>unmodified</status>
      <modifiedWord/>
      <trackRevisions>false</trackRevisions>
    </reviewItem>
    <reviewItem>
      <errorID>aa55d37b-3d41-4c0c-9a4b-03f337904005</errorID>
      <errorWord>,</errorWord>
      <group>L1_Format</group>
      <groupName>格式问题</groupName>
      <ability>L2_HalfPunc_CN</ability>
      <abilityName>全半角问题</abilityName>
      <candidateList>
        <item>，</item>
      </candidateList>
      <explain>文本全半角错误。</explain>
      <paraID>3666C3C3</paraID>
      <start>70</start>
      <end>71</end>
      <status>unmodified</status>
      <modifiedWord/>
      <trackRevisions>false</trackRevisions>
    </reviewItem>
    <reviewItem>
      <errorID>fb3aa4ba-5b99-4424-94ba-b8998066e589</errorID>
      <errorWord>(</errorWord>
      <group>L1_Format</group>
      <groupName>格式问题</groupName>
      <ability>L2_HalfPunc_CN</ability>
      <abilityName>全半角问题</abilityName>
      <candidateList>
        <item>（</item>
      </candidateList>
      <explain>文本全半角错误。</explain>
      <paraID>230C24CB</paraID>
      <start>24</start>
      <end>25</end>
      <status>unmodified</status>
      <modifiedWord/>
      <trackRevisions>false</trackRevisions>
    </reviewItem>
    <reviewItem>
      <errorID>fd90abc7-2957-408f-a796-1471f999b0a8</errorID>
      <errorWord>泄露</errorWord>
      <group>L1_Word</group>
      <groupName>字词问题</groupName>
      <ability>L2_Typo</ability>
      <abilityName>字词错误</abilityName>
      <candidateList>
        <item>泄漏</item>
      </candidateList>
      <explain>存在发音相同字词的误用。</explain>
      <paraID>282D9221</paraID>
      <start>30</start>
      <end>32</end>
      <status>unmodified</status>
      <modifiedWord/>
      <trackRevisions>false</trackRevisions>
    </reviewItem>
    <reviewItem>
      <errorID>1ec88ed7-1f22-4bbb-8a25-5636a1def362</errorID>
      <errorWord>制</errorWord>
      <group>L1_Word</group>
      <groupName>字词问题</groupName>
      <ability>L2_Typo</ability>
      <abilityName>字词错误</abilityName>
      <candidateList>
        <item>制度</item>
      </candidateList>
      <explain/>
      <paraID>68B8C201</paraID>
      <start>31</start>
      <end>32</end>
      <status>unmodified</status>
      <modifiedWord/>
      <trackRevisions>false</trackRevisions>
    </reviewItem>
    <reviewItem>
      <errorID>874bffb2-c271-46c0-a30b-9abe9fbd1123</errorID>
      <errorWord>、</errorWord>
      <group>L1_Punc</group>
      <groupName>标点问题</groupName>
      <ability>L2_Punc_CN</ability>
      <abilityName>标点符号问题</abilityName>
      <candidateList>
        <item>.</item>
      </candidateList>
      <explain/>
      <paraID>579BE197</paraID>
      <start>1</start>
      <end>2</end>
      <status>unmodified</status>
      <modifiedWord/>
      <trackRevisions>false</trackRevisions>
    </reviewItem>
    <reviewItem>
      <errorID>5b4485bc-bb30-40f3-8bef-6315221f167c</errorID>
      <errorWord>、</errorWord>
      <group>L1_Punc</group>
      <groupName>标点问题</groupName>
      <ability>L2_Punc_CN</ability>
      <abilityName>标点符号问题</abilityName>
      <candidateList>
        <item>.</item>
      </candidateList>
      <explain/>
      <paraID>7142E9E1</paraID>
      <start>1</start>
      <end>2</end>
      <status>unmodified</status>
      <modifiedWord/>
      <trackRevisions>false</trackRevisions>
    </reviewItem>
    <reviewItem>
      <errorID>c7a1c3bf-8acf-4fc4-b079-31e777faf2fb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2177B724</paraID>
      <start>0</start>
      <end>2</end>
      <status>unmodified</status>
      <modifiedWord/>
      <trackRevisions>false</trackRevisions>
    </reviewItem>
    <reviewItem>
      <errorID>92773ac4-ad84-45a9-89cb-2b84e52ee9bd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299480F4</paraID>
      <start>0</start>
      <end>3</end>
      <status>unmodified</status>
      <modifiedWord/>
      <trackRevisions>false</trackRevisions>
    </reviewItem>
    <reviewItem>
      <errorID>3246cb48-228b-4122-80d0-9f1fb5080a5a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78683037</paraID>
      <start>0</start>
      <end>2</end>
      <status>unmodified</status>
      <modifiedWord/>
      <trackRevisions>false</trackRevisions>
    </reviewItem>
    <reviewItem>
      <errorID>adc70418-6cf4-41cb-89da-f7eed40d7b87</errorID>
      <errorWord>等中</errorWord>
      <group>L1_Word</group>
      <groupName>字词问题</groupName>
      <ability>L2_Typo</ability>
      <abilityName>字词错误</abilityName>
      <candidateList>
        <item>等</item>
      </candidateList>
      <explain/>
      <paraID>6ECA9E68</paraID>
      <start>72</start>
      <end>74</end>
      <status>unmodified</status>
      <modifiedWord/>
      <trackRevisions>false</trackRevisions>
    </reviewItem>
    <reviewItem>
      <errorID>71c55e7a-2a9d-469e-afd4-4ab189051b9d</errorID>
      <errorWord>作好</errorWord>
      <group>L1_Grammar</group>
      <groupName>语法问题</groupName>
      <ability>L2_Grammar</ability>
      <abilityName>语法错误</abilityName>
      <candidateList>
        <item>做好</item>
      </candidateList>
      <explain>“作好～工作”搭配不当，建议修改为“做好～工作”。</explain>
      <paraID>504D4A8F</paraID>
      <start>4</start>
      <end>6</end>
      <status>unmodified</status>
      <modifiedWord/>
      <trackRevisions>false</trackRevisions>
    </reviewItem>
    <reviewItem>
      <errorID>984ab209-8590-4664-9c6d-db419b8842df</errorID>
      <errorWord>危</errorWord>
      <group>L1_Word</group>
      <groupName>字词问题</groupName>
      <ability>L2_Typo</ability>
      <abilityName>字词错误</abilityName>
      <candidateList>
        <item>危险</item>
      </candidateList>
      <explain/>
      <paraID>1568870B</paraID>
      <start>17</start>
      <end>18</end>
      <status>unmodified</status>
      <modifiedWord/>
      <trackRevisions>false</trackRevisions>
    </reviewItem>
    <reviewItem>
      <errorID>f5d53e8b-01fe-4667-8694-7d91da72c0c8</errorID>
      <errorWord>(</errorWord>
      <group>L1_Format</group>
      <groupName>格式问题</groupName>
      <ability>L2_HalfPunc_CN</ability>
      <abilityName>全半角问题</abilityName>
      <candidateList>
        <item>（</item>
      </candidateList>
      <explain>文本全半角错误。</explain>
      <paraID>1568870B</paraID>
      <start>41</start>
      <end>42</end>
      <status>unmodified</status>
      <modifiedWord/>
      <trackRevisions>false</trackRevisions>
    </reviewItem>
    <reviewItem>
      <errorID>207771ba-7351-420e-ab59-17f16cfddaf0</errorID>
      <errorWord>)</errorWord>
      <group>L1_Format</group>
      <groupName>格式问题</groupName>
      <ability>L2_HalfPunc_CN</ability>
      <abilityName>全半角问题</abilityName>
      <candidateList>
        <item>）</item>
      </candidateList>
      <explain>文本全半角错误。</explain>
      <paraID>1568870B</paraID>
      <start>54</start>
      <end>55</end>
      <status>unmodified</status>
      <modifiedWord/>
      <trackRevisions>false</trackRevisions>
    </reviewItem>
    <reviewItem>
      <errorID>7b419262-c0cb-4984-bf76-03e460d0009a</errorID>
      <errorWord>(</errorWord>
      <group>L1_Format</group>
      <groupName>格式问题</groupName>
      <ability>L2_HalfPunc_CN</ability>
      <abilityName>全半角问题</abilityName>
      <candidateList>
        <item>（</item>
      </candidateList>
      <explain>文本全半角错误。</explain>
      <paraID>1568870B</paraID>
      <start>116</start>
      <end>117</end>
      <status>unmodified</status>
      <modifiedWord/>
      <trackRevisions>false</trackRevisions>
    </reviewItem>
    <reviewItem>
      <errorID>586febe0-478a-4f41-b399-81949be17a98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1568870B</paraID>
      <start>126</start>
      <end>127</end>
      <status>unmodified</status>
      <modifiedWord/>
      <trackRevisions>false</trackRevisions>
    </reviewItem>
    <reviewItem>
      <errorID>010cb47c-72ec-4514-9506-6f126ba98b74</errorID>
      <errorWord>)</errorWord>
      <group>L1_Format</group>
      <groupName>格式问题</groupName>
      <ability>L2_HalfPunc_CN</ability>
      <abilityName>全半角问题</abilityName>
      <candidateList>
        <item>）</item>
      </candidateList>
      <explain>文本全半角错误。</explain>
      <paraID>1568870B</paraID>
      <start>132</start>
      <end>133</end>
      <status>unmodified</status>
      <modifiedWord/>
      <trackRevisions>false</trackRevisions>
    </reviewItem>
    <reviewItem>
      <errorID>f3f19455-4025-4ad3-9c7e-0a200471427d</errorID>
      <errorWord>,</errorWord>
      <group>L1_Format</group>
      <groupName>格式问题</groupName>
      <ability>L2_HalfPunc_CN</ability>
      <abilityName>全半角问题</abilityName>
      <candidateList>
        <item>，</item>
      </candidateList>
      <explain>文本全半角错误。</explain>
      <paraID>1568870B</paraID>
      <start>133</start>
      <end>134</end>
      <status>unmodified</status>
      <modifiedWord/>
      <trackRevisions>false</trackRevisions>
    </reviewItem>
    <reviewItem>
      <errorID>dc43e2b1-f643-402e-8ae1-3318e9bc88bd</errorID>
      <errorWord>(</errorWord>
      <group>L1_Format</group>
      <groupName>格式问题</groupName>
      <ability>L2_HalfPunc_CN</ability>
      <abilityName>全半角问题</abilityName>
      <candidateList>
        <item>（</item>
      </candidateList>
      <explain>文本全半角错误。</explain>
      <paraID>1568870B</paraID>
      <start>157</start>
      <end>158</end>
      <status>unmodified</status>
      <modifiedWord/>
      <trackRevisions>false</trackRevisions>
    </reviewItem>
    <reviewItem>
      <errorID>14822793-416e-4774-9a06-90b2eae2c215</errorID>
      <errorWord>)</errorWord>
      <group>L1_Format</group>
      <groupName>格式问题</groupName>
      <ability>L2_HalfPunc_CN</ability>
      <abilityName>全半角问题</abilityName>
      <candidateList>
        <item>）</item>
      </candidateList>
      <explain>文本全半角错误。</explain>
      <paraID>1568870B</paraID>
      <start>174</start>
      <end>175</end>
      <status>unmodified</status>
      <modifiedWord/>
      <trackRevisions>false</trackRevisions>
    </reviewItem>
    <reviewItem>
      <errorID>91966e88-578a-4e56-9f52-d4dabadd724f</errorID>
      <errorWord>(</errorWord>
      <group>L1_Format</group>
      <groupName>格式问题</groupName>
      <ability>L2_HalfPunc_CN</ability>
      <abilityName>全半角问题</abilityName>
      <candidateList>
        <item>（</item>
      </candidateList>
      <explain>文本全半角错误。</explain>
      <paraID>7AA93508</paraID>
      <start>19</start>
      <end>20</end>
      <status>unmodified</status>
      <modifiedWord/>
      <trackRevisions>false</trackRevisions>
    </reviewItem>
    <reviewItem>
      <errorID>b6683b52-9f17-4493-8dfd-bb4019b64df6</errorID>
      <errorWord>)</errorWord>
      <group>L1_Format</group>
      <groupName>格式问题</groupName>
      <ability>L2_HalfPunc_CN</ability>
      <abilityName>全半角问题</abilityName>
      <candidateList>
        <item>）</item>
      </candidateList>
      <explain>文本全半角错误。</explain>
      <paraID>7AA93508</paraID>
      <start>31</start>
      <end>32</end>
      <status>unmodified</status>
      <modifiedWord/>
      <trackRevisions>false</trackRevisions>
    </reviewItem>
    <reviewItem>
      <errorID>5446f8ac-7a60-44c1-91d0-f576d26d4914</errorID>
      <errorWord>,</errorWord>
      <group>L1_Format</group>
      <groupName>格式问题</groupName>
      <ability>L2_HalfPunc_CN</ability>
      <abilityName>全半角问题</abilityName>
      <candidateList>
        <item>，</item>
      </candidateList>
      <explain>文本全半角错误。</explain>
      <paraID>2D901CDB</paraID>
      <start>11</start>
      <end>12</end>
      <status>unmodified</status>
      <modifiedWord/>
      <trackRevisions>false</trackRevisions>
    </reviewItem>
    <reviewItem>
      <errorID>c5fe4be3-8658-4d57-a6e0-15b098f4fa14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2D901CDB</paraID>
      <start>21</start>
      <end>22</end>
      <status>unmodified</status>
      <modifiedWord/>
      <trackRevisions>false</trackRevisions>
    </reviewItem>
    <reviewItem>
      <errorID>b652b611-f1e6-4ca3-be51-59532df8729d</errorID>
      <errorWord>的</errorWord>
      <group>L1_Word</group>
      <groupName>字词问题</groupName>
      <ability>L2_Typo</ability>
      <abilityName>字词错误</abilityName>
      <candidateList>
        <item>的材</item>
      </candidateList>
      <explain/>
      <paraID>6B0C72F0</paraID>
      <start>31</start>
      <end>32</end>
      <status>unmodified</status>
      <modifiedWord/>
      <trackRevisions>false</trackRevisions>
    </reviewItem>
    <reviewItem>
      <errorID>08c4d1ad-7d4b-42cd-85c6-c29f2c91f138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22392563</paraID>
      <start>0</start>
      <end>2</end>
      <status>unmodified</status>
      <modifiedWord/>
      <trackRevisions>false</trackRevisions>
    </reviewItem>
    <reviewItem>
      <errorID>f7659947-ec4d-4e7a-bab8-c5b4b127cb17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6423B3F0</paraID>
      <start>0</start>
      <end>3</end>
      <status>unmodified</status>
      <modifiedWord/>
      <trackRevisions>false</trackRevisions>
    </reviewItem>
    <reviewItem>
      <errorID>1f6e7250-9593-42cd-9699-754f03fdaf59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75A09C8E</paraID>
      <start>0</start>
      <end>3</end>
      <status>unmodified</status>
      <modifiedWord/>
      <trackRevisions>false</trackRevisions>
    </reviewItem>
    <reviewItem>
      <errorID>92f23c9f-942c-4adb-a557-3adfbc09c8eb</errorID>
      <errorWord>(</errorWord>
      <group>L1_Format</group>
      <groupName>格式问题</groupName>
      <ability>L2_HalfPunc_CN</ability>
      <abilityName>全半角问题</abilityName>
      <candidateList>
        <item>（</item>
      </candidateList>
      <explain>文本全半角错误。</explain>
      <paraID>58BA1127</paraID>
      <start>46</start>
      <end>47</end>
      <status>unmodified</status>
      <modifiedWord/>
      <trackRevisions>false</trackRevisions>
    </reviewItem>
    <reviewItem>
      <errorID>cf6434a8-7750-4f42-947e-ecbacc29106f</errorID>
      <errorWord>)</errorWord>
      <group>L1_Format</group>
      <groupName>格式问题</groupName>
      <ability>L2_HalfPunc_CN</ability>
      <abilityName>全半角问题</abilityName>
      <candidateList>
        <item>）</item>
      </candidateList>
      <explain>文本全半角错误。</explain>
      <paraID>58BA1127</paraID>
      <start>58</start>
      <end>59</end>
      <status>unmodified</status>
      <modifiedWord/>
      <trackRevisions>false</trackRevisions>
    </reviewItem>
    <reviewItem>
      <errorID>da037e93-a3d8-4bd7-bff4-914fcd82e3eb</errorID>
      <errorWord>(</errorWord>
      <group>L1_Format</group>
      <groupName>格式问题</groupName>
      <ability>L2_HalfPunc_CN</ability>
      <abilityName>全半角问题</abilityName>
      <candidateList>
        <item>（</item>
      </candidateList>
      <explain>文本全半角错误。</explain>
      <paraID>58BA1127</paraID>
      <start>78</start>
      <end>79</end>
      <status>unmodified</status>
      <modifiedWord/>
      <trackRevisions>false</trackRevisions>
    </reviewItem>
    <reviewItem>
      <errorID>ae3c1cb9-2d86-42b5-9f22-434e7c0c9c25</errorID>
      <errorWord>)</errorWord>
      <group>L1_Format</group>
      <groupName>格式问题</groupName>
      <ability>L2_HalfPunc_CN</ability>
      <abilityName>全半角问题</abilityName>
      <candidateList>
        <item>）</item>
      </candidateList>
      <explain>文本全半角错误。</explain>
      <paraID>58BA1127</paraID>
      <start>89</start>
      <end>90</end>
      <status>unmodified</status>
      <modifiedWord/>
      <trackRevisions>false</trackRevisions>
    </reviewItem>
    <reviewItem>
      <errorID>907b8a91-e90e-43fc-b227-08f5eec6024f</errorID>
      <errorWord>(</errorWord>
      <group>L1_Format</group>
      <groupName>格式问题</groupName>
      <ability>L2_HalfPunc_CN</ability>
      <abilityName>全半角问题</abilityName>
      <candidateList>
        <item>（</item>
      </candidateList>
      <explain>文本全半角错误。</explain>
      <paraID>504DFF6A</paraID>
      <start>55</start>
      <end>56</end>
      <status>unmodified</status>
      <modifiedWord/>
      <trackRevisions>false</trackRevisions>
    </reviewItem>
    <reviewItem>
      <errorID>259f73e9-bad2-4c6e-9932-35ef8daf8129</errorID>
      <errorWord>)</errorWord>
      <group>L1_Format</group>
      <groupName>格式问题</groupName>
      <ability>L2_HalfPunc_CN</ability>
      <abilityName>全半角问题</abilityName>
      <candidateList>
        <item>）</item>
      </candidateList>
      <explain>文本全半角错误。</explain>
      <paraID>504DFF6A</paraID>
      <start>70</start>
      <end>71</end>
      <status>unmodified</status>
      <modifiedWord/>
      <trackRevisions>false</trackRevisions>
    </reviewItem>
    <reviewItem>
      <errorID>226af222-e260-4d3a-9eb5-714651957ef3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504DFF6A</paraID>
      <start>72</start>
      <end>73</end>
      <status>unmodified</status>
      <modifiedWord/>
      <trackRevisions>false</trackRevisions>
    </reviewItem>
    <reviewItem>
      <errorID>65ec299a-081d-4698-91d0-f83f478e93f6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605953</paraID>
      <start>8</start>
      <end>9</end>
      <status>unmodified</status>
      <modifiedWord/>
      <trackRevisions>false</trackRevisions>
    </reviewItem>
    <reviewItem>
      <errorID>1a7b6d89-145f-4c76-9407-0d16fd9dc119</errorID>
      <errorWord>(</errorWord>
      <group>L1_Format</group>
      <groupName>格式问题</groupName>
      <ability>L2_HalfPunc_CN</ability>
      <abilityName>全半角问题</abilityName>
      <candidateList>
        <item>（</item>
      </candidateList>
      <explain>文本全半角错误。</explain>
      <paraID>7009F5F9</paraID>
      <start>28</start>
      <end>29</end>
      <status>unmodified</status>
      <modifiedWord/>
      <trackRevisions>false</trackRevisions>
    </reviewItem>
    <reviewItem>
      <errorID>3f021233-f04c-4e07-905e-5bfcb35a3b63</errorID>
      <errorWord>)</errorWord>
      <group>L1_Format</group>
      <groupName>格式问题</groupName>
      <ability>L2_HalfPunc_CN</ability>
      <abilityName>全半角问题</abilityName>
      <candidateList>
        <item>）</item>
      </candidateList>
      <explain>文本全半角错误。</explain>
      <paraID>54227DC7</paraID>
      <start>15</start>
      <end>16</end>
      <status>unmodified</status>
      <modifiedWord/>
      <trackRevisions>false</trackRevisions>
    </reviewItem>
    <reviewItem>
      <errorID>1f9bd6bd-35af-42de-bb9c-34dc58b6ff2c</errorID>
      <errorWord>(</errorWord>
      <group>L1_Format</group>
      <groupName>格式问题</groupName>
      <ability>L2_HalfPunc_CN</ability>
      <abilityName>全半角问题</abilityName>
      <candidateList>
        <item>（</item>
      </candidateList>
      <explain>文本全半角错误。</explain>
      <paraID>78693606</paraID>
      <start>42</start>
      <end>43</end>
      <status>unmodified</status>
      <modifiedWord/>
      <trackRevisions>false</trackRevisions>
    </reviewItem>
    <reviewItem>
      <errorID>41fe4f87-108c-4757-a10a-7a44c815ccf8</errorID>
      <errorWord>,</errorWord>
      <group>L1_Format</group>
      <groupName>格式问题</groupName>
      <ability>L2_HalfPunc_CN</ability>
      <abilityName>全半角问题</abilityName>
      <candidateList>
        <item>，</item>
      </candidateList>
      <explain>文本全半角错误。</explain>
      <paraID>78693606</paraID>
      <start>55</start>
      <end>56</end>
      <status>unmodified</status>
      <modifiedWord/>
      <trackRevisions>false</trackRevisions>
    </reviewItem>
    <reviewItem>
      <errorID>d20ff96c-1560-4d89-96c1-e7e47e8252f8</errorID>
      <errorWord>(</errorWord>
      <group>L1_Format</group>
      <groupName>格式问题</groupName>
      <ability>L2_HalfPunc_CN</ability>
      <abilityName>全半角问题</abilityName>
      <candidateList>
        <item>（</item>
      </candidateList>
      <explain>文本全半角错误。</explain>
      <paraID>64C82084</paraID>
      <start>2</start>
      <end>3</end>
      <status>unmodified</status>
      <modifiedWord/>
      <trackRevisions>false</trackRevisions>
    </reviewItem>
    <reviewItem>
      <errorID>60df7997-ed21-46da-b0d9-ef29167fde4a</errorID>
      <errorWord>)</errorWord>
      <group>L1_Format</group>
      <groupName>格式问题</groupName>
      <ability>L2_HalfPunc_CN</ability>
      <abilityName>全半角问题</abilityName>
      <candidateList>
        <item>）</item>
      </candidateList>
      <explain>文本全半角错误。</explain>
      <paraID>64C82084</paraID>
      <start>5</start>
      <end>6</end>
      <status>unmodified</status>
      <modifiedWord/>
      <trackRevisions>false</trackRevisions>
    </reviewItem>
    <reviewItem>
      <errorID>bb5086b3-170e-49ab-b0d2-e6960fec8560</errorID>
      <errorWord>(</errorWord>
      <group>L1_Format</group>
      <groupName>格式问题</groupName>
      <ability>L2_HalfPunc_CN</ability>
      <abilityName>全半角问题</abilityName>
      <candidateList>
        <item>（</item>
      </candidateList>
      <explain>文本全半角错误。</explain>
      <paraID>64C82084</paraID>
      <start>7</start>
      <end>8</end>
      <status>unmodified</status>
      <modifiedWord/>
      <trackRevisions>false</trackRevisions>
    </reviewItem>
    <reviewItem>
      <errorID>d3462051-3e83-4729-984a-bfb63627b6cf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77B059E6</paraID>
      <start>0</start>
      <end>3</end>
      <status>unmodified</status>
      <modifiedWord/>
      <trackRevisions>false</trackRevisions>
    </reviewItem>
    <reviewItem>
      <errorID>61ae15f0-37d7-4cb7-9b66-8bdcc4fb995f</errorID>
      <errorWord>本</errorWord>
      <group>L1_Word</group>
      <groupName>字词问题</groupName>
      <ability>L2_Typo</ability>
      <abilityName>字词错误</abilityName>
      <candidateList>
        <item>本次</item>
      </candidateList>
      <explain/>
      <paraID>2B05C13F</paraID>
      <start>17</start>
      <end>18</end>
      <status>unmodified</status>
      <modifiedWord/>
      <trackRevisions>false</trackRevisions>
    </reviewItem>
    <reviewItem>
      <errorID>d7303607-404e-4ec3-8d3f-2205dc3c0164</errorID>
      <errorWord>(</errorWord>
      <group>L1_Format</group>
      <groupName>格式问题</groupName>
      <ability>L2_HalfPunc_CN</ability>
      <abilityName>全半角问题</abilityName>
      <candidateList>
        <item>（</item>
      </candidateList>
      <explain>文本全半角错误。</explain>
      <paraID> C676046</paraID>
      <start>0</start>
      <end>1</end>
      <status>unmodified</status>
      <modifiedWord/>
      <trackRevisions>false</trackRevisions>
    </reviewItem>
    <reviewItem>
      <errorID>c28fa8f1-67ea-4140-b243-47a054205df6</errorID>
      <errorWord>)</errorWord>
      <group>L1_Format</group>
      <groupName>格式问题</groupName>
      <ability>L2_HalfPunc_CN</ability>
      <abilityName>全半角问题</abilityName>
      <candidateList>
        <item>）</item>
      </candidateList>
      <explain>文本全半角错误。</explain>
      <paraID> C676046</paraID>
      <start>3</start>
      <end>4</end>
      <status>unmodified</status>
      <modifiedWord/>
      <trackRevisions>false</trackRevisions>
    </reviewItem>
    <reviewItem>
      <errorID>2ca3af21-302e-407a-822a-314314a23e06</errorID>
      <errorWord>设</errorWord>
      <group>L1_Word</group>
      <groupName>字词问题</groupName>
      <ability>L2_Typo</ability>
      <abilityName>字词错误</abilityName>
      <candidateList>
        <item>设置</item>
      </candidateList>
      <explain/>
      <paraID> 2595A38</paraID>
      <start>3</start>
      <end>4</end>
      <status>unmodified</status>
      <modifiedWord/>
      <trackRevisions>false</trackRevisions>
    </reviewItem>
    <reviewItem>
      <errorID>5d1aa156-b583-4a0d-b081-ba8a70ceb471</errorID>
      <errorWord>~</errorWord>
      <group>L1_Format</group>
      <groupName>格式问题</groupName>
      <ability>L2_HalfPunc_CN</ability>
      <abilityName>全半角问题</abilityName>
      <candidateList>
        <item>～</item>
      </candidateList>
      <explain>文本全半角错误。</explain>
      <paraID>4604687B</paraID>
      <start>1</start>
      <end>2</end>
      <status>unmodified</status>
      <modifiedWord/>
      <trackRevisions>false</trackRevisions>
    </reviewItem>
    <reviewItem>
      <errorID>9d17696d-7069-47f9-add2-717586cfc28c</errorID>
      <errorWord>箱变变压器</errorWord>
      <group>L1_Knowledge</group>
      <groupName>知识性问题</groupName>
      <ability>L2_Term</ability>
      <abilityName>专业术语</abilityName>
      <candidateList>
        <item>箱式变压器</item>
      </candidateList>
      <explain/>
      <paraID>60A60221</paraID>
      <start>0</start>
      <end>5</end>
      <status>unmodified</status>
      <modifiedWord/>
      <trackRevisions>false</trackRevisions>
    </reviewItem>
    <reviewItem>
      <errorID>c10c71af-8c2e-4000-af70-3dfd4844e0cf</errorID>
      <errorWord>(</errorWord>
      <group>L1_Format</group>
      <groupName>格式问题</groupName>
      <ability>L2_HalfPunc_CN</ability>
      <abilityName>全半角问题</abilityName>
      <candidateList>
        <item>（</item>
      </candidateList>
      <explain>文本全半角错误。</explain>
      <paraID>785A81C8</paraID>
      <start>15</start>
      <end>16</end>
      <status>unmodified</status>
      <modifiedWord/>
      <trackRevisions>false</trackRevisions>
    </reviewItem>
    <reviewItem>
      <errorID>fb3f3c90-31e0-4446-a2a7-0953875beec9</errorID>
      <errorWord>)</errorWord>
      <group>L1_Format</group>
      <groupName>格式问题</groupName>
      <ability>L2_HalfPunc_CN</ability>
      <abilityName>全半角问题</abilityName>
      <candidateList>
        <item>）</item>
      </candidateList>
      <explain>文本全半角错误。</explain>
      <paraID>785A81C8</paraID>
      <start>25</start>
      <end>26</end>
      <status>unmodified</status>
      <modifiedWord/>
      <trackRevisions>false</trackRevisions>
    </reviewItem>
    <reviewItem>
      <errorID>2b26da08-5d2a-45b0-8802-725d46520ed9</errorID>
      <errorWord>生态红线</errorWord>
      <group>L1_Political</group>
      <groupName>政治性问题</groupName>
      <ability>L2_Unpolitical</ability>
      <abilityName>政治敏感错误</abilityName>
      <candidateList>
        <item>生态保护红线</item>
      </candidateList>
      <explain/>
      <paraID>519CFCC5</paraID>
      <start>4</start>
      <end>8</end>
      <status>unmodified</status>
      <modifiedWord/>
      <trackRevisions>false</trackRevisions>
    </reviewItem>
    <reviewItem>
      <errorID>adc6eb02-9b04-454b-958b-96d0c3411bd3</errorID>
      <errorWord>措</errorWord>
      <group>L1_Word</group>
      <groupName>字词问题</groupName>
      <ability>L2_Typo</ability>
      <abilityName>字词错误</abilityName>
      <candidateList>
        <item>措施</item>
      </candidateList>
      <explain/>
      <paraID>47C3A9AF</paraID>
      <start>12</start>
      <end>13</end>
      <status>unmodified</status>
      <modifiedWord/>
      <trackRevisions>false</trackRevisions>
    </reviewItem>
    <reviewItem>
      <errorID>0aee270a-2d68-4fe2-af15-3383ced2fee7</errorID>
      <errorWord>禁</errorWord>
      <group>L1_Word</group>
      <groupName>字词问题</groupName>
      <ability>L2_Typo</ability>
      <abilityName>字词错误</abilityName>
      <candidateList>
        <item>禁止</item>
      </candidateList>
      <explain/>
      <paraID>69129937</paraID>
      <start>0</start>
      <end>1</end>
      <status>unmodified</status>
      <modifiedWord/>
      <trackRevisions>false</trackRevisions>
    </reviewItem>
    <reviewItem>
      <errorID>91a802f3-4333-4187-a4ff-7ebb70fd68ab</errorID>
      <errorWord>资</errorWord>
      <group>L1_Word</group>
      <groupName>字词问题</groupName>
      <ability>L2_Typo</ability>
      <abilityName>字词错误</abilityName>
      <candidateList>
        <item>资料</item>
      </candidateList>
      <explain/>
      <paraID>  C0AAE7</paraID>
      <start>5</start>
      <end>6</end>
      <status>unmodified</status>
      <modifiedWord/>
      <trackRevisions>false</trackRevisions>
    </reviewItem>
    <reviewItem>
      <errorID>56222795-febb-48e4-9be5-da6afd118370</errorID>
      <errorWord>(</errorWord>
      <group>L1_Format</group>
      <groupName>格式问题</groupName>
      <ability>L2_HalfPunc_CN</ability>
      <abilityName>全半角问题</abilityName>
      <candidateList>
        <item>（</item>
      </candidateList>
      <explain>文本全半角错误。</explain>
      <paraID>2053E4C0</paraID>
      <start>20</start>
      <end>21</end>
      <status>unmodified</status>
      <modifiedWord/>
      <trackRevisions>false</trackRevisions>
    </reviewItem>
    <reviewItem>
      <errorID>9e584149-c302-4407-a0f2-e40bb374b1be</errorID>
      <errorWord>)</errorWord>
      <group>L1_Format</group>
      <groupName>格式问题</groupName>
      <ability>L2_HalfPunc_CN</ability>
      <abilityName>全半角问题</abilityName>
      <candidateList>
        <item>）</item>
      </candidateList>
      <explain>文本全半角错误。</explain>
      <paraID> A071F51</paraID>
      <start>5</start>
      <end>6</end>
      <status>unmodified</status>
      <modifiedWord/>
      <trackRevisions>false</trackRevisions>
    </reviewItem>
    <reviewItem>
      <errorID>d22f7298-4df3-4bd1-a96c-06635b8dbfe2</errorID>
      <errorWord>,</errorWord>
      <group>L1_Format</group>
      <groupName>格式问题</groupName>
      <ability>L2_HalfPunc_CN</ability>
      <abilityName>全半角问题</abilityName>
      <candidateList>
        <item>，</item>
      </candidateList>
      <explain>文本全半角错误。</explain>
      <paraID> A071F51</paraID>
      <start>6</start>
      <end>7</end>
      <status>unmodified</status>
      <modifiedWord/>
      <trackRevisions>false</trackRevisions>
    </reviewItem>
    <reviewItem>
      <errorID>d1fdb5a5-4f1b-4080-a408-e2aa9a9bce3d</errorID>
      <errorWord>(</errorWord>
      <group>L1_Format</group>
      <groupName>格式问题</groupName>
      <ability>L2_HalfPunc_CN</ability>
      <abilityName>全半角问题</abilityName>
      <candidateList>
        <item>（</item>
      </candidateList>
      <explain>文本全半角错误。</explain>
      <paraID> A071F51</paraID>
      <start>34</start>
      <end>35</end>
      <status>unmodified</status>
      <modifiedWord/>
      <trackRevisions>false</trackRevisions>
    </reviewItem>
    <reviewItem>
      <errorID>4db401d1-b14a-4bb5-937c-9504f5b3fa02</errorID>
      <errorWord>)</errorWord>
      <group>L1_Format</group>
      <groupName>格式问题</groupName>
      <ability>L2_HalfPunc_CN</ability>
      <abilityName>全半角问题</abilityName>
      <candidateList>
        <item>）</item>
      </candidateList>
      <explain>文本全半角错误。</explain>
      <paraID> A071F51</paraID>
      <start>46</start>
      <end>47</end>
      <status>unmodified</status>
      <modifiedWord/>
      <trackRevisions>false</trackRevisions>
    </reviewItem>
    <reviewItem>
      <errorID>fa06f849-d31f-46ce-8c5e-1cf7c893486f</errorID>
      <errorWord>(</errorWord>
      <group>L1_Format</group>
      <groupName>格式问题</groupName>
      <ability>L2_HalfPunc_CN</ability>
      <abilityName>全半角问题</abilityName>
      <candidateList>
        <item>（</item>
      </candidateList>
      <explain>文本全半角错误。</explain>
      <paraID> A071F51</paraID>
      <start>69</start>
      <end>70</end>
      <status>unmodified</status>
      <modifiedWord/>
      <trackRevisions>false</trackRevisions>
    </reviewItem>
    <reviewItem>
      <errorID>643bcb27-612a-4687-95bf-3fa57e6a2479</errorID>
      <errorWord>)</errorWord>
      <group>L1_Format</group>
      <groupName>格式问题</groupName>
      <ability>L2_HalfPunc_CN</ability>
      <abilityName>全半角问题</abilityName>
      <candidateList>
        <item>）</item>
      </candidateList>
      <explain>文本全半角错误。</explain>
      <paraID> 6F34E08</paraID>
      <start>7</start>
      <end>8</end>
      <status>unmodified</status>
      <modifiedWord/>
      <trackRevisions>false</trackRevisions>
    </reviewItem>
    <reviewItem>
      <errorID>d2507f6e-8c64-4bc8-8a11-f73ffdd90f1e</errorID>
      <errorWord>(</errorWord>
      <group>L1_Format</group>
      <groupName>格式问题</groupName>
      <ability>L2_HalfPunc_CN</ability>
      <abilityName>全半角问题</abilityName>
      <candidateList>
        <item>（</item>
      </candidateList>
      <explain>文本全半角错误。</explain>
      <paraID>2D3E957C</paraID>
      <start>5</start>
      <end>6</end>
      <status>unmodified</status>
      <modifiedWord/>
      <trackRevisions>false</trackRevisions>
    </reviewItem>
    <reviewItem>
      <errorID>84275881-4d71-42a0-8ecb-bb8f2def44ec</errorID>
      <errorWord>(</errorWord>
      <group>L1_Format</group>
      <groupName>格式问题</groupName>
      <ability>L2_HalfPunc_CN</ability>
      <abilityName>全半角问题</abilityName>
      <candidateList>
        <item>（</item>
      </candidateList>
      <explain>文本全半角错误。</explain>
      <paraID>2D3E957C</paraID>
      <start>47</start>
      <end>48</end>
      <status>unmodified</status>
      <modifiedWord/>
      <trackRevisions>false</trackRevisions>
    </reviewItem>
    <reviewItem>
      <errorID>4cf4a695-6b0a-4448-b1d9-f14b75c52882</errorID>
      <errorWord>)</errorWord>
      <group>L1_Format</group>
      <groupName>格式问题</groupName>
      <ability>L2_HalfPunc_CN</ability>
      <abilityName>全半角问题</abilityName>
      <candidateList>
        <item>）</item>
      </candidateList>
      <explain>文本全半角错误。</explain>
      <paraID>2D3E957C</paraID>
      <start>59</start>
      <end>60</end>
      <status>unmodified</status>
      <modifiedWord/>
      <trackRevisions>false</trackRevisions>
    </reviewItem>
    <reviewItem>
      <errorID>6260832b-a7b2-46e4-aef1-c2abee4355b1</errorID>
      <errorWord>危险度</errorWord>
      <group>L1_Word</group>
      <groupName>字词问题</groupName>
      <ability>L2_Typo</ability>
      <abilityName>字词错误</abilityName>
      <candidateList>
        <item>危险</item>
      </candidateList>
      <explain/>
      <paraID>25001005</paraID>
      <start>10</start>
      <end>13</end>
      <status>unmodified</status>
      <modifiedWord/>
      <trackRevisions>false</trackRevisions>
    </reviewItem>
    <reviewItem>
      <errorID>e345f1bf-de71-4401-b761-a9f8335af1e3</errorID>
      <errorWord>(</errorWord>
      <group>L1_Format</group>
      <groupName>格式问题</groupName>
      <ability>L2_HalfPunc_CN</ability>
      <abilityName>全半角问题</abilityName>
      <candidateList>
        <item>（</item>
      </candidateList>
      <explain>文本全半角错误。</explain>
      <paraID>25001005</paraID>
      <start>23</start>
      <end>24</end>
      <status>unmodified</status>
      <modifiedWord/>
      <trackRevisions>false</trackRevisions>
    </reviewItem>
    <reviewItem>
      <errorID>02b26332-2c56-4578-b595-e7f4f174bc27</errorID>
      <errorWord>)</errorWord>
      <group>L1_Format</group>
      <groupName>格式问题</groupName>
      <ability>L2_HalfPunc_CN</ability>
      <abilityName>全半角问题</abilityName>
      <candidateList>
        <item>）</item>
      </candidateList>
      <explain>文本全半角错误。</explain>
      <paraID>25001005</paraID>
      <start>36</start>
      <end>37</end>
      <status>unmodified</status>
      <modifiedWord/>
      <trackRevisions>false</trackRevisions>
    </reviewItem>
    <reviewItem>
      <errorID>7ab48aa5-01a4-4b00-8742-4f5769d9db9d</errorID>
      <errorWord>危险度物</errorWord>
      <group>L1_Knowledge</group>
      <groupName>知识性问题</groupName>
      <ability>L2_Term</ability>
      <abilityName>专业术语</abilityName>
      <candidateList>
        <item>危险货物</item>
      </candidateList>
      <explain/>
      <paraID>3D4895B0</paraID>
      <start>5</start>
      <end>9</end>
      <status>unmodified</status>
      <modifiedWord/>
      <trackRevisions>false</trackRevisions>
    </reviewItem>
    <reviewItem>
      <errorID>6be2854a-6ac1-4d5a-9630-42e43bc85aaf</errorID>
      <errorWord>(</errorWord>
      <group>L1_Format</group>
      <groupName>格式问题</groupName>
      <ability>L2_HalfPunc_CN</ability>
      <abilityName>全半角问题</abilityName>
      <candidateList>
        <item>（</item>
      </candidateList>
      <explain>文本全半角错误。</explain>
      <paraID>74194593</paraID>
      <start>6</start>
      <end>7</end>
      <status>unmodified</status>
      <modifiedWord/>
      <trackRevisions>false</trackRevisions>
    </reviewItem>
    <reviewItem>
      <errorID>def9d812-1f8a-44cd-be09-081e83108be3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74194593</paraID>
      <start>16</start>
      <end>17</end>
      <status>unmodified</status>
      <modifiedWord/>
      <trackRevisions>false</trackRevisions>
    </reviewItem>
    <reviewItem>
      <errorID>9ee09597-6dfa-4aa5-9eca-3bf0764d669f</errorID>
      <errorWord>)</errorWord>
      <group>L1_Format</group>
      <groupName>格式问题</groupName>
      <ability>L2_HalfPunc_CN</ability>
      <abilityName>全半角问题</abilityName>
      <candidateList>
        <item>）</item>
      </candidateList>
      <explain>文本全半角错误。</explain>
      <paraID>74194593</paraID>
      <start>22</start>
      <end>23</end>
      <status>unmodified</status>
      <modifiedWord/>
      <trackRevisions>false</trackRevisions>
    </reviewItem>
    <reviewItem>
      <errorID>51501a9a-cb1f-4d05-8c0e-f8f7805c63be</errorID>
      <errorWord>,</errorWord>
      <group>L1_Format</group>
      <groupName>格式问题</groupName>
      <ability>L2_HalfPunc_CN</ability>
      <abilityName>全半角问题</abilityName>
      <candidateList>
        <item>，</item>
      </candidateList>
      <explain>文本全半角错误。</explain>
      <paraID>74194593</paraID>
      <start>23</start>
      <end>24</end>
      <status>unmodified</status>
      <modifiedWord/>
      <trackRevisions>false</trackRevisions>
    </reviewItem>
    <reviewItem>
      <errorID>1fbe9bb9-1aa4-413f-8652-6e6cc09a30f3</errorID>
      <errorWord>(</errorWord>
      <group>L1_Format</group>
      <groupName>格式问题</groupName>
      <ability>L2_HalfPunc_CN</ability>
      <abilityName>全半角问题</abilityName>
      <candidateList>
        <item>（</item>
      </candidateList>
      <explain>文本全半角错误。</explain>
      <paraID>582258B2</paraID>
      <start>1</start>
      <end>2</end>
      <status>unmodified</status>
      <modifiedWord/>
      <trackRevisions>false</trackRevisions>
    </reviewItem>
    <reviewItem>
      <errorID>129c70c8-b125-4676-9ba0-f478f6e6e468</errorID>
      <errorWord>)</errorWord>
      <group>L1_Format</group>
      <groupName>格式问题</groupName>
      <ability>L2_HalfPunc_CN</ability>
      <abilityName>全半角问题</abilityName>
      <candidateList>
        <item>）</item>
      </candidateList>
      <explain>文本全半角错误。</explain>
      <paraID>582258B2</paraID>
      <start>18</start>
      <end>19</end>
      <status>unmodified</status>
      <modifiedWord/>
      <trackRevisions>false</trackRevisions>
    </reviewItem>
    <reviewItem>
      <errorID>801a3bf8-d016-4e65-b6c7-f161dd315b99</errorID>
      <errorWord>境影响</errorWord>
      <group>L1_Word</group>
      <groupName>字词问题</groupName>
      <ability>L2_Typo</ability>
      <abilityName>字词错误</abilityName>
      <candidateList>
        <item>环境影响</item>
      </candidateList>
      <explain/>
      <paraID>561AFBF5</paraID>
      <start>0</start>
      <end>3</end>
      <status>unmodified</status>
      <modifiedWord/>
      <trackRevisions>false</trackRevisions>
    </reviewItem>
    <reviewItem>
      <errorID>f4326be7-2fe0-44e7-aa85-90d70ff85093</errorID>
      <errorWord>(</errorWord>
      <group>L1_Format</group>
      <groupName>格式问题</groupName>
      <ability>L2_HalfPunc_CN</ability>
      <abilityName>全半角问题</abilityName>
      <candidateList>
        <item>（</item>
      </candidateList>
      <explain>文本全半角错误。</explain>
      <paraID>561AFBF5</paraID>
      <start>13</start>
      <end>14</end>
      <status>unmodified</status>
      <modifiedWord/>
      <trackRevisions>false</trackRevisions>
    </reviewItem>
    <reviewItem>
      <errorID>ee95fe02-9326-4fa8-a0ee-93070688c5d2</errorID>
      <errorWord>)</errorWord>
      <group>L1_Format</group>
      <groupName>格式问题</groupName>
      <ability>L2_HalfPunc_CN</ability>
      <abilityName>全半角问题</abilityName>
      <candidateList>
        <item>）</item>
      </candidateList>
      <explain>文本全半角错误。</explain>
      <paraID>561AFBF5</paraID>
      <start>25</start>
      <end>26</end>
      <status>unmodified</status>
      <modifiedWord/>
      <trackRevisions>false</trackRevisions>
    </reviewItem>
    <reviewItem>
      <errorID>60834c6e-2696-4f48-8c58-d7e6ca05d432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26253616</paraID>
      <start>8</start>
      <end>9</end>
      <status>unmodified</status>
      <modifiedWord/>
      <trackRevisions>false</trackRevisions>
    </reviewItem>
    <reviewItem>
      <errorID>81aaacfe-cbb9-4f75-b868-614c0a697a2a</errorID>
      <errorWord>侧</errorWord>
      <group>L1_Word</group>
      <groupName>字词问题</groupName>
      <ability>L2_Typo</ability>
      <abilityName>字词错误</abilityName>
      <candidateList>
        <item>侧设</item>
      </candidateList>
      <explain/>
      <paraID>54418C75</paraID>
      <start>2</start>
      <end>3</end>
      <status>unmodified</status>
      <modifiedWord/>
      <trackRevisions>false</trackRevisions>
    </reviewItem>
    <reviewItem>
      <errorID>1e487ed4-0488-459b-b883-1d5ce8ff08bf</errorID>
      <errorWord>器</errorWord>
      <group>L1_Word</group>
      <groupName>字词问题</groupName>
      <ability>L2_Typo</ability>
      <abilityName>字词错误</abilityName>
      <candidateList>
        <item>其</item>
      </candidateList>
      <explain>存在发音相同字词的误用。</explain>
      <paraID>25911296</paraID>
      <start>0</start>
      <end>1</end>
      <status>unmodified</status>
      <modifiedWord/>
      <trackRevisions>false</trackRevisions>
    </reviewItem>
    <reviewItem>
      <errorID>de84bcb1-7e1b-4c51-b8cc-14cc5414a314</errorID>
      <errorWord>设</errorWord>
      <group>L1_Word</group>
      <groupName>字词问题</groupName>
      <ability>L2_Typo</ability>
      <abilityName>字词错误</abilityName>
      <candidateList>
        <item>设置</item>
      </candidateList>
      <explain/>
      <paraID>4C0C8DC7</paraID>
      <start>68</start>
      <end>69</end>
      <status>unmodified</status>
      <modifiedWord/>
      <trackRevisions>false</trackRevisions>
    </reviewItem>
    <reviewItem>
      <errorID>f361276b-38a8-42ea-8735-68d07240afeb</errorID>
      <errorWord>资</errorWord>
      <group>L1_Word</group>
      <groupName>字词问题</groupName>
      <ability>L2_Typo</ability>
      <abilityName>字词错误</abilityName>
      <candidateList>
        <item>资料</item>
      </candidateList>
      <explain/>
      <paraID>27414954</paraID>
      <start>5</start>
      <end>6</end>
      <status>unmodified</status>
      <modifiedWord/>
      <trackRevisions>false</trackRevisions>
    </reviewItem>
    <reviewItem>
      <errorID>72ed2b7c-d8be-4171-a569-eba36c7b3be1</errorID>
      <errorWord>96)</errorWord>
      <group>L1_Format</group>
      <groupName>格式问题</groupName>
      <ability>L2_Ordinal</ability>
      <abilityName>序号格式</abilityName>
      <candidateList>
        <item>96）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47B81F8D</paraID>
      <start>0</start>
      <end>3</end>
      <status>unmodified</status>
      <modifiedWord/>
      <trackRevisions>false</trackRevisions>
    </reviewItem>
    <reviewItem>
      <errorID>0e91ccbd-8112-4cc5-b103-2f08ba34ea3c</errorID>
      <errorWord>(</errorWord>
      <group>L1_Format</group>
      <groupName>格式问题</groupName>
      <ability>L2_HalfPunc_CN</ability>
      <abilityName>全半角问题</abilityName>
      <candidateList>
        <item>（</item>
      </candidateList>
      <explain>文本全半角错误。</explain>
      <paraID>4D69F781</paraID>
      <start>4</start>
      <end>5</end>
      <status>unmodified</status>
      <modifiedWord/>
      <trackRevisions>false</trackRevisions>
    </reviewItem>
    <reviewItem>
      <errorID>a99f1833-9973-455e-8837-309099a72d8c</errorID>
      <errorWord>)</errorWord>
      <group>L1_Format</group>
      <groupName>格式问题</groupName>
      <ability>L2_HalfPunc_CN</ability>
      <abilityName>全半角问题</abilityName>
      <candidateList>
        <item>）</item>
      </candidateList>
      <explain>文本全半角错误。</explain>
      <paraID>4D69F781</paraID>
      <start>14</start>
      <end>15</end>
      <status>unmodified</status>
      <modifiedWord/>
      <trackRevisions>false</trackRevisions>
    </reviewItem>
    <reviewItem>
      <errorID>7ff30d61-ba88-4fb7-9ecd-59de502433cb</errorID>
      <errorWord>)</errorWord>
      <group>L1_Format</group>
      <groupName>格式问题</groupName>
      <ability>L2_HalfPunc_CN</ability>
      <abilityName>全半角问题</abilityName>
      <candidateList>
        <item>）</item>
      </candidateList>
      <explain>文本全半角错误。</explain>
      <paraID>1582F487</paraID>
      <start>14</start>
      <end>15</end>
      <status>unmodified</status>
      <modifiedWord/>
      <trackRevisions>false</trackRevisions>
    </reviewItem>
    <reviewItem>
      <errorID>b1a565d3-5eed-4a44-bed6-5f57f636c7ea</errorID>
      <errorWord>措</errorWord>
      <group>L1_Word</group>
      <groupName>字词问题</groupName>
      <ability>L2_Typo</ability>
      <abilityName>字词错误</abilityName>
      <candidateList>
        <item>措施</item>
      </candidateList>
      <explain/>
      <paraID>28948F39</paraID>
      <start>9</start>
      <end>10</end>
      <status>unmodified</status>
      <modifiedWord/>
      <trackRevisions>false</trackRevisions>
    </reviewItem>
    <reviewItem>
      <errorID>0eac2217-632b-4838-97be-020e2885b418</errorID>
      <errorWord>资</errorWord>
      <group>L1_Word</group>
      <groupName>字词问题</groupName>
      <ability>L2_Typo</ability>
      <abilityName>字词错误</abilityName>
      <candidateList>
        <item>资料</item>
      </candidateList>
      <explain/>
      <paraID>361B628A</paraID>
      <start>5</start>
      <end>6</end>
      <status>unmodified</status>
      <modifiedWord/>
      <trackRevisions>false</trackRevisions>
    </reviewItem>
    <reviewItem>
      <errorID>f96ede14-857d-4271-a537-c8fb1d452f53</errorID>
      <errorWord>。</errorWord>
      <group>L1_Format</group>
      <groupName>格式问题</groupName>
      <ability>L2_HalfPunc_CN</ability>
      <abilityName>全半角问题</abilityName>
      <candidateList>
        <item>.</item>
      </candidateList>
      <explain>文本全半角错误。</explain>
      <paraID>3E6108B2</paraID>
      <start>4</start>
      <end>5</end>
      <status>unmodified</status>
      <modifiedWord/>
      <trackRevisions>false</trackRevisions>
    </reviewItem>
    <reviewItem>
      <errorID>20758257-c018-4751-8d7f-c252f8d7fca0</errorID>
      <errorWord>(</errorWord>
      <group>L1_Format</group>
      <groupName>格式问题</groupName>
      <ability>L2_HalfPunc_CN</ability>
      <abilityName>全半角问题</abilityName>
      <candidateList>
        <item>（</item>
      </candidateList>
      <explain>文本全半角错误。</explain>
      <paraID>2FC357A1</paraID>
      <start>43</start>
      <end>44</end>
      <status>unmodified</status>
      <modifiedWord/>
      <trackRevisions>false</trackRevisions>
    </reviewItem>
    <reviewItem>
      <errorID>fadb47be-eac5-4d5c-a7ac-0730c2c3cecf</errorID>
      <errorWord>),</errorWord>
      <group>L1_Format</group>
      <groupName>格式问题</groupName>
      <ability>L2_HalfPunc_CN</ability>
      <abilityName>全半角问题</abilityName>
      <candidateList>
        <item>），</item>
      </candidateList>
      <explain>文本全半角错误。</explain>
      <paraID>2FC357A1</paraID>
      <start>50</start>
      <end>52</end>
      <status>unmodified</status>
      <modifiedWord/>
      <trackRevisions>false</trackRevisions>
    </reviewItem>
    <reviewItem>
      <errorID>83404efe-8c61-4006-9f69-ba8c2d97aa51</errorID>
      <errorWord>(</errorWord>
      <group>L1_Format</group>
      <groupName>格式问题</groupName>
      <ability>L2_HalfPunc_CN</ability>
      <abilityName>全半角问题</abilityName>
      <candidateList>
        <item>（</item>
      </candidateList>
      <explain>文本全半角错误。</explain>
      <paraID>74750B52</paraID>
      <start>33</start>
      <end>34</end>
      <status>unmodified</status>
      <modifiedWord/>
      <trackRevisions>false</trackRevisions>
    </reviewItem>
    <reviewItem>
      <errorID>92460b8c-72fb-4c28-b5e4-73db52d4f608</errorID>
      <errorWord>)</errorWord>
      <group>L1_Format</group>
      <groupName>格式问题</groupName>
      <ability>L2_HalfPunc_CN</ability>
      <abilityName>全半角问题</abilityName>
      <candidateList>
        <item>）</item>
      </candidateList>
      <explain>文本全半角错误。</explain>
      <paraID>74750B52</paraID>
      <start>46</start>
      <end>47</end>
      <status>unmodified</status>
      <modifiedWord/>
      <trackRevisions>false</trackRevisions>
    </reviewItem>
    <reviewItem>
      <errorID>a31db2ca-ce33-44c9-a771-2aa01e75c5f0</errorID>
      <errorWord>制</errorWord>
      <group>L1_Word</group>
      <groupName>字词问题</groupName>
      <ability>L2_Typo</ability>
      <abilityName>字词错误</abilityName>
      <candidateList>
        <item>制度</item>
      </candidateList>
      <explain/>
      <paraID>59C6558A</paraID>
      <start>8</start>
      <end>9</end>
      <status>unmodified</status>
      <modifiedWord/>
      <trackRevisions>false</trackRevisions>
    </reviewItem>
    <reviewItem>
      <errorID>4f22715a-f64d-4911-99ae-efbb74b75b7f</errorID>
      <errorWord>资</errorWord>
      <group>L1_Word</group>
      <groupName>字词问题</groupName>
      <ability>L2_Typo</ability>
      <abilityName>字词错误</abilityName>
      <candidateList>
        <item>资料</item>
      </candidateList>
      <explain/>
      <paraID>7F5638F6</paraID>
      <start>5</start>
      <end>6</end>
      <status>unmodified</status>
      <modifiedWord/>
      <trackRevisions>false</trackRevisions>
    </reviewItem>
    <reviewItem>
      <errorID>477d44b5-c59a-4f9a-be5d-a94949d64d96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726206DD</paraID>
      <start>0</start>
      <end>2</end>
      <status>unmodified</status>
      <modifiedWord/>
      <trackRevisions>false</trackRevisions>
    </reviewItem>
    <reviewItem>
      <errorID>19d70539-99a5-4726-ab6d-2f6c1be0fc33</errorID>
      <errorWord>)</errorWord>
      <group>L1_Punc</group>
      <groupName>标点问题</groupName>
      <ability>L2_Punc_CN</ability>
      <abilityName>标点符号问题</abilityName>
      <candidateList/>
      <explain/>
      <paraID>35A62DAC</paraID>
      <start>0</start>
      <end>1</end>
      <status>unmodified</status>
      <modifiedWord/>
      <trackRevisions>false</trackRevisions>
    </reviewItem>
    <reviewItem>
      <errorID>55d96fe1-21e3-414f-b63b-61016e01e5f0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719AF7B5</paraID>
      <start>0</start>
      <end>2</end>
      <status>unmodified</status>
      <modifiedWord/>
      <trackRevisions>false</trackRevisions>
    </reviewItem>
    <reviewItem>
      <errorID>4dfe3ac1-1dde-4a3c-8a5d-874929882281</errorID>
      <errorWord>;</errorWord>
      <group>L1_Format</group>
      <groupName>格式问题</groupName>
      <ability>L2_HalfPunc_CN</ability>
      <abilityName>全半角问题</abilityName>
      <candidateList>
        <item>；</item>
      </candidateList>
      <explain>文本全半角错误。</explain>
      <paraID>719AF7B5</paraID>
      <start>2</start>
      <end>3</end>
      <status>unmodified</status>
      <modifiedWord/>
      <trackRevisions>false</trackRevisions>
    </reviewItem>
    <reviewItem>
      <errorID>0d57d240-5b5a-438d-85b5-c0c2689b6e32</errorID>
      <errorWord>。</errorWord>
      <group>L1_Format</group>
      <groupName>格式问题</groupName>
      <ability>L2_HalfPunc_CN</ability>
      <abilityName>全半角问题</abilityName>
      <candidateList>
        <item>.</item>
      </candidateList>
      <explain>文本全半角错误。</explain>
      <paraID>18DBA14F</paraID>
      <start>3</start>
      <end>4</end>
      <status>unmodified</status>
      <modifiedWord/>
      <trackRevisions>false</trackRevisions>
    </reviewItem>
    <reviewItem>
      <errorID>f92cc40b-176b-41f8-b998-1b8f53da9aaa</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472FE791</paraID>
      <start>0</start>
      <end>3</end>
      <status>unmodified</status>
      <modifiedWord/>
      <trackRevisions>false</trackRevisions>
    </reviewItem>
    <reviewItem>
      <errorID>393eb078-3449-4594-a710-320fe1253683</errorID>
      <errorWord>》</errorWord>
      <group>L1_Word</group>
      <groupName>字词问题</groupName>
      <ability>L2_Typo</ability>
      <abilityName>字词错误</abilityName>
      <candidateList>
        <item>》等</item>
      </candidateList>
      <explain/>
      <paraID>64D2BF44</paraID>
      <start>39</start>
      <end>40</end>
      <status>unmodified</status>
      <modifiedWord/>
      <trackRevisions>false</trackRevisions>
    </reviewItem>
    <reviewItem>
      <errorID>dd04eb6f-f7e8-471f-b64d-25c8171cc09f</errorID>
      <errorWord>列阵</errorWord>
      <group>L1_Word</group>
      <groupName>字词问题</groupName>
      <ability>L2_Typo</ability>
      <abilityName>字词错误</abilityName>
      <candidateList>
        <item>阵列</item>
      </candidateList>
      <explain/>
      <paraID>64D2BF44</paraID>
      <start>75</start>
      <end>77</end>
      <status>unmodified</status>
      <modifiedWord/>
      <trackRevisions>false</trackRevisions>
    </reviewItem>
    <reviewItem>
      <errorID>de292216-c0ff-49f6-9107-4001f555f514</errorID>
      <errorWord>委 员会</errorWord>
      <group>L1_Word</group>
      <groupName>字词问题</groupName>
      <ability>L2_Typo</ability>
      <abilityName>字词错误</abilityName>
      <candidateList>
        <item>委员会</item>
      </candidateList>
      <explain/>
      <paraID>794AAD24</paraID>
      <start>35</start>
      <end>39</end>
      <status>unmodified</status>
      <modifiedWord/>
      <trackRevisions>false</trackRevisions>
    </reviewItem>
    <reviewItem>
      <errorID>d593ff7c-f9a6-4143-9976-ee150333be09</errorID>
      <errorWord>,</errorWord>
      <group>L1_Format</group>
      <groupName>格式问题</groupName>
      <ability>L2_HalfPunc_CN</ability>
      <abilityName>全半角问题</abilityName>
      <candidateList>
        <item>，</item>
      </candidateList>
      <explain>文本全半角错误。</explain>
      <paraID>794AAD24</paraID>
      <start>91</start>
      <end>92</end>
      <status>unmodified</status>
      <modifiedWord/>
      <trackRevisions>false</trackRevisions>
    </reviewItem>
    <reviewItem>
      <errorID>6ad9b37d-9a23-4671-bf95-78e8028e9249</errorID>
      <errorWord>,</errorWord>
      <group>L1_Format</group>
      <groupName>格式问题</groupName>
      <ability>L2_HalfPunc_CN</ability>
      <abilityName>全半角问题</abilityName>
      <candidateList>
        <item>，</item>
      </candidateList>
      <explain>文本全半角错误。</explain>
      <paraID>794AAD24</paraID>
      <start>103</start>
      <end>104</end>
      <status>unmodified</status>
      <modifiedWord/>
      <trackRevisions>false</trackRevisions>
    </reviewItem>
    <reviewItem>
      <errorID>a4b64748-ab9f-456e-886b-a1d0ed9fd579</errorID>
      <errorWord>法律、法规及相关</errorWord>
      <group>L1_Word</group>
      <groupName>字词问题</groupName>
      <ability>L2_Typo</ability>
      <abilityName>字词错误</abilityName>
      <candidateList>
        <item>法律法规及相关</item>
      </candidateList>
      <explain/>
      <paraID>558D4016</paraID>
      <start>9</start>
      <end>17</end>
      <status>unmodified</status>
      <modifiedWord/>
      <trackRevisions>false</trackRevisions>
    </reviewItem>
    <reviewItem>
      <errorID>47cd37ee-3b5d-4c3d-a8cd-133ad2a73372</errorID>
      <errorWord>(</errorWord>
      <group>L1_Format</group>
      <groupName>格式问题</groupName>
      <ability>L2_HalfPunc_CN</ability>
      <abilityName>全半角问题</abilityName>
      <candidateList>
        <item>（</item>
      </candidateList>
      <explain>文本全半角错误。</explain>
      <paraID>11660A05</paraID>
      <start>72</start>
      <end>73</end>
      <status>unmodified</status>
      <modifiedWord/>
      <trackRevisions>false</trackRevisions>
    </reviewItem>
    <reviewItem>
      <errorID>64b6f66d-61b8-481b-b056-f39dfbee3d23</errorID>
      <errorWord>)</errorWord>
      <group>L1_Format</group>
      <groupName>格式问题</groupName>
      <ability>L2_HalfPunc_CN</ability>
      <abilityName>全半角问题</abilityName>
      <candidateList>
        <item>）</item>
      </candidateList>
      <explain>文本全半角错误。</explain>
      <paraID>11660A05</paraID>
      <start>78</start>
      <end>79</end>
      <status>unmodified</status>
      <modifiedWord/>
      <trackRevisions>false</trackRevisions>
    </reviewItem>
    <reviewItem>
      <errorID>d1112391-fd28-419b-982d-682f7498b21e</errorID>
      <errorWord>,</errorWord>
      <group>L1_Format</group>
      <groupName>格式问题</groupName>
      <ability>L2_HalfPunc_CN</ability>
      <abilityName>全半角问题</abilityName>
      <candidateList>
        <item>，</item>
      </candidateList>
      <explain>文本全半角错误。</explain>
      <paraID>11660A05</paraID>
      <start>80</start>
      <end>81</end>
      <status>unmodified</status>
      <modifiedWord/>
      <trackRevisions>false</trackRevisions>
    </reviewItem>
    <reviewItem>
      <errorID>3a99661e-019e-4cb7-8d48-b8ac62b9a7ac</errorID>
      <errorWord>(</errorWord>
      <group>L1_Format</group>
      <groupName>格式问题</groupName>
      <ability>L2_HalfPunc_CN</ability>
      <abilityName>全半角问题</abilityName>
      <candidateList>
        <item>（</item>
      </candidateList>
      <explain>文本全半角错误。</explain>
      <paraID>11660A05</paraID>
      <start>157</start>
      <end>158</end>
      <status>unmodified</status>
      <modifiedWord/>
      <trackRevisions>false</trackRevisions>
    </reviewItem>
    <reviewItem>
      <errorID>010b64b0-3f86-469a-b24e-849230af5ba3</errorID>
      <errorWord>),</errorWord>
      <group>L1_Format</group>
      <groupName>格式问题</groupName>
      <ability>L2_HalfPunc_CN</ability>
      <abilityName>全半角问题</abilityName>
      <candidateList>
        <item>），</item>
      </candidateList>
      <explain>文本全半角错误。</explain>
      <paraID>11660A05</paraID>
      <start>162</start>
      <end>164</end>
      <status>unmodified</status>
      <modifiedWord/>
      <trackRevisions>false</trackRevisions>
    </reviewItem>
    <reviewItem>
      <errorID>1730c3f3-ac77-4cde-95fd-bba2d13924e8</errorID>
      <errorWord>(</errorWord>
      <group>L1_Format</group>
      <groupName>格式问题</groupName>
      <ability>L2_HalfPunc_CN</ability>
      <abilityName>全半角问题</abilityName>
      <candidateList>
        <item>（</item>
      </candidateList>
      <explain>文本全半角错误。</explain>
      <paraID>11660A05</paraID>
      <start>183</start>
      <end>184</end>
      <status>unmodified</status>
      <modifiedWord/>
      <trackRevisions>false</trackRevisions>
    </reviewItem>
    <reviewItem>
      <errorID>ab4a59b2-c5bf-4c6b-836b-99d00dba4b46</errorID>
      <errorWord>)</errorWord>
      <group>L1_Format</group>
      <groupName>格式问题</groupName>
      <ability>L2_HalfPunc_CN</ability>
      <abilityName>全半角问题</abilityName>
      <candidateList>
        <item>）</item>
      </candidateList>
      <explain>文本全半角错误。</explain>
      <paraID>11660A05</paraID>
      <start>213</start>
      <end>214</end>
      <status>unmodified</status>
      <modifiedWord/>
      <trackRevisions>false</trackRevisions>
    </reviewItem>
    <reviewItem>
      <errorID>836945e1-aac8-4896-91af-c0107d5374d6</errorID>
      <errorWord>,</errorWord>
      <group>L1_Format</group>
      <groupName>格式问题</groupName>
      <ability>L2_HalfPunc_CN</ability>
      <abilityName>全半角问题</abilityName>
      <candidateList>
        <item>，</item>
      </candidateList>
      <explain>文本全半角错误。</explain>
      <paraID>1DFBBAB8</paraID>
      <start>91</start>
      <end>92</end>
      <status>unmodified</status>
      <modifiedWord/>
      <trackRevisions>false</trackRevisions>
    </reviewItem>
    <reviewItem>
      <errorID>51926a2b-dfb2-44c2-95a4-f7c3c6799447</errorID>
      <errorWord>"</errorWord>
      <group>L1_Format</group>
      <groupName>格式问题</groupName>
      <ability>L2_HalfPunc_CN</ability>
      <abilityName>全半角问题</abilityName>
      <candidateList>
        <item>”</item>
      </candidateList>
      <explain>文本全半角错误。</explain>
      <paraID>1DFBBAB8</paraID>
      <start>112</start>
      <end>113</end>
      <status>unmodified</status>
      <modifiedWord/>
      <trackRevisions>false</trackRevisions>
    </reviewItem>
    <reviewItem>
      <errorID>755a6cb7-be0d-4b4c-96da-ac1076afa731</errorID>
      <errorWord>,</errorWord>
      <group>L1_Format</group>
      <groupName>格式问题</groupName>
      <ability>L2_HalfPunc_CN</ability>
      <abilityName>全半角问题</abilityName>
      <candidateList>
        <item>，</item>
      </candidateList>
      <explain>文本全半角错误。</explain>
      <paraID>227ACB51</paraID>
      <start>105</start>
      <end>106</end>
      <status>unmodified</status>
      <modifiedWord/>
      <trackRevisions>false</trackRevisions>
    </reviewItem>
    <reviewItem>
      <errorID>09e68821-cf03-403c-8810-f797e0aaefe5</errorID>
      <errorWord>(</errorWord>
      <group>L1_Format</group>
      <groupName>格式问题</groupName>
      <ability>L2_HalfPunc_CN</ability>
      <abilityName>全半角问题</abilityName>
      <candidateList>
        <item>（</item>
      </candidateList>
      <explain>文本全半角错误。</explain>
      <paraID>1B635B9E</paraID>
      <start>19</start>
      <end>20</end>
      <status>unmodified</status>
      <modifiedWord/>
      <trackRevisions>false</trackRevisions>
    </reviewItem>
    <reviewItem>
      <errorID>417f34b3-4461-4b07-9f17-f430ac3d547e</errorID>
      <errorWord>)</errorWord>
      <group>L1_Format</group>
      <groupName>格式问题</groupName>
      <ability>L2_HalfPunc_CN</ability>
      <abilityName>全半角问题</abilityName>
      <candidateList>
        <item>）</item>
      </candidateList>
      <explain>文本全半角错误。</explain>
      <paraID>1B635B9E</paraID>
      <start>25</start>
      <end>26</end>
      <status>unmodified</status>
      <modifiedWord/>
      <trackRevisions>false</trackRevisions>
    </reviewItem>
    <reviewItem>
      <errorID>493586b6-8ba3-47a1-ae0e-cb3fa861c326</errorID>
      <errorWord>,</errorWord>
      <group>L1_Format</group>
      <groupName>格式问题</groupName>
      <ability>L2_HalfPunc_CN</ability>
      <abilityName>全半角问题</abilityName>
      <candidateList>
        <item>，</item>
      </candidateList>
      <explain>文本全半角错误。</explain>
      <paraID>1B635B9E</paraID>
      <start>27</start>
      <end>28</end>
      <status>unmodified</status>
      <modifiedWord/>
      <trackRevisions>false</trackRevisions>
    </reviewItem>
    <reviewItem>
      <errorID>0d4cbd6d-c24c-4ea5-8b8c-b32bf3e4e9de</errorID>
      <errorWord>(</errorWord>
      <group>L1_Format</group>
      <groupName>格式问题</groupName>
      <ability>L2_HalfPunc_CN</ability>
      <abilityName>全半角问题</abilityName>
      <candidateList>
        <item>（</item>
      </candidateList>
      <explain>文本全半角错误。</explain>
      <paraID>1B635B9E</paraID>
      <start>101</start>
      <end>102</end>
      <status>unmodified</status>
      <modifiedWord/>
      <trackRevisions>false</trackRevisions>
    </reviewItem>
    <reviewItem>
      <errorID>52e58ced-70cd-4b71-8833-d78e43dca649</errorID>
      <errorWord>)</errorWord>
      <group>L1_Format</group>
      <groupName>格式问题</groupName>
      <ability>L2_HalfPunc_CN</ability>
      <abilityName>全半角问题</abilityName>
      <candidateList>
        <item>）</item>
      </candidateList>
      <explain>文本全半角错误。</explain>
      <paraID>1B635B9E</paraID>
      <start>106</start>
      <end>107</end>
      <status>unmodified</status>
      <modifiedWord/>
      <trackRevisions>false</trackRevisions>
    </reviewItem>
    <reviewItem>
      <errorID>ba7d1281-cd25-4a1c-8a4e-c2baf460cf19</errorID>
      <errorWord>,</errorWord>
      <group>L1_Format</group>
      <groupName>格式问题</groupName>
      <ability>L2_HalfPunc_CN</ability>
      <abilityName>全半角问题</abilityName>
      <candidateList>
        <item>，</item>
      </candidateList>
      <explain>文本全半角错误。</explain>
      <paraID>53B664DE</paraID>
      <start>20</start>
      <end>21</end>
      <status>unmodified</status>
      <modifiedWord/>
      <trackRevisions>false</trackRevisions>
    </reviewItem>
    <reviewItem>
      <errorID>59edb7b8-4762-47dd-bb77-882ee0c3554d</errorID>
      <errorWord>(</errorWord>
      <group>L1_Format</group>
      <groupName>格式问题</groupName>
      <ability>L2_HalfPunc_CN</ability>
      <abilityName>全半角问题</abilityName>
      <candidateList>
        <item>（</item>
      </candidateList>
      <explain>文本全半角错误。</explain>
      <paraID>53B664DE</paraID>
      <start>78</start>
      <end>79</end>
      <status>unmodified</status>
      <modifiedWord/>
      <trackRevisions>false</trackRevisions>
    </reviewItem>
    <reviewItem>
      <errorID>76a1675d-5440-4680-9b10-b1118441522a</errorID>
      <errorWord>);</errorWord>
      <group>L1_Format</group>
      <groupName>格式问题</groupName>
      <ability>L2_HalfPunc_CN</ability>
      <abilityName>全半角问题</abilityName>
      <candidateList>
        <item>）；</item>
      </candidateList>
      <explain>文本全半角错误。</explain>
      <paraID>53B664DE</paraID>
      <start>105</start>
      <end>107</end>
      <status>unmodified</status>
      <modifiedWord/>
      <trackRevisions>false</trackRevisions>
    </reviewItem>
    <reviewItem>
      <errorID>00cf4e31-a7ca-49bd-a8a6-500ed1addbc1</errorID>
      <errorWord>,</errorWord>
      <group>L1_Format</group>
      <groupName>格式问题</groupName>
      <ability>L2_HalfPunc_CN</ability>
      <abilityName>全半角问题</abilityName>
      <candidateList>
        <item>，</item>
      </candidateList>
      <explain>文本全半角错误。</explain>
      <paraID>53B664DE</paraID>
      <start>173</start>
      <end>174</end>
      <status>unmodified</status>
      <modifiedWord/>
      <trackRevisions>false</trackRevisions>
    </reviewItem>
    <reviewItem>
      <errorID>a2fbea2b-0e6a-4dc3-ba86-84b665547b2a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5BC6437</paraID>
      <start>15</start>
      <end>18</end>
      <status>unmodified</status>
      <modifiedWord/>
      <trackRevisions>false</trackRevisions>
    </reviewItem>
    <reviewItem>
      <errorID>a34f62af-5fe0-4ea7-9ec9-e8ba6d850c95</errorID>
      <errorWord>(</errorWord>
      <group>L1_Format</group>
      <groupName>格式问题</groupName>
      <ability>L2_HalfPunc_CN</ability>
      <abilityName>全半角问题</abilityName>
      <candidateList>
        <item>（</item>
      </candidateList>
      <explain>文本全半角错误。</explain>
      <paraID> 5BC6437</paraID>
      <start>49</start>
      <end>50</end>
      <status>unmodified</status>
      <modifiedWord/>
      <trackRevisions>false</trackRevisions>
    </reviewItem>
    <reviewItem>
      <errorID>a564e278-3c51-4baa-9c0d-3e4920698942</errorID>
      <errorWord>)</errorWord>
      <group>L1_Format</group>
      <groupName>格式问题</groupName>
      <ability>L2_HalfPunc_CN</ability>
      <abilityName>全半角问题</abilityName>
      <candidateList>
        <item>）</item>
      </candidateList>
      <explain>文本全半角错误。</explain>
      <paraID> 5BC6437</paraID>
      <start>59</start>
      <end>60</end>
      <status>unmodified</status>
      <modifiedWord/>
      <trackRevisions>false</trackRevisions>
    </reviewItem>
    <reviewItem>
      <errorID>56d7f98c-6455-4841-a1c5-82a4eb9af165</errorID>
      <errorWord>法律、法规及相关</errorWord>
      <group>L1_Word</group>
      <groupName>字词问题</groupName>
      <ability>L2_Typo</ability>
      <abilityName>字词错误</abilityName>
      <candidateList>
        <item>法律法规及相关</item>
      </candidateList>
      <explain/>
      <paraID> BD751B8</paraID>
      <start>9</start>
      <end>17</end>
      <status>unmodified</status>
      <modifiedWord/>
      <trackRevisions>false</trackRevisions>
    </reviewItem>
    <reviewItem>
      <errorID>093ab321-d0fc-493a-aa6d-91052dc2f079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125D8D1E</paraID>
      <start>0</start>
      <end>3</end>
      <status>unmodified</status>
      <modifiedWord/>
      <trackRevisions>false</trackRevisions>
    </reviewItem>
    <reviewItem>
      <errorID>7df50a19-297d-403a-861b-a2812dd4ec7f</errorID>
      <errorWord>,</errorWord>
      <group>L1_Format</group>
      <groupName>格式问题</groupName>
      <ability>L2_HalfPunc_CN</ability>
      <abilityName>全半角问题</abilityName>
      <candidateList>
        <item>，</item>
      </candidateList>
      <explain>文本全半角错误。</explain>
      <paraID>125D8D1E</paraID>
      <start>17</start>
      <end>18</end>
      <status>unmodified</status>
      <modifiedWord/>
      <trackRevisions>false</trackRevisions>
    </reviewItem>
    <reviewItem>
      <errorID>ea3e45c1-a167-4940-bcf0-bc76141e4826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17A8C320</paraID>
      <start>0</start>
      <end>3</end>
      <status>unmodified</status>
      <modifiedWord/>
      <trackRevisions>false</trackRevisions>
    </reviewItem>
    <reviewItem>
      <errorID>4b28507d-9035-4c72-bb03-e6ff7662814f</errorID>
      <errorWord>,</errorWord>
      <group>L1_Format</group>
      <groupName>格式问题</groupName>
      <ability>L2_HalfPunc_CN</ability>
      <abilityName>全半角问题</abilityName>
      <candidateList>
        <item>，</item>
      </candidateList>
      <explain>文本全半角错误。</explain>
      <paraID>17A8C320</paraID>
      <start>19</start>
      <end>20</end>
      <status>unmodified</status>
      <modifiedWord/>
      <trackRevisions>false</trackRevisions>
    </reviewItem>
    <reviewItem>
      <errorID>fab1022b-7d57-48e0-838c-594fb7f76150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142F423</paraID>
      <start>0</start>
      <end>3</end>
      <status>unmodified</status>
      <modifiedWord/>
      <trackRevisions>false</trackRevisions>
    </reviewItem>
    <reviewItem>
      <errorID>844ab836-ccdc-4913-94d2-461840fca931</errorID>
      <errorWord>,</errorWord>
      <group>L1_Format</group>
      <groupName>格式问题</groupName>
      <ability>L2_HalfPunc_CN</ability>
      <abilityName>全半角问题</abilityName>
      <candidateList>
        <item>，</item>
      </candidateList>
      <explain>文本全半角错误。</explain>
      <paraID> 142F423</paraID>
      <start>15</start>
      <end>16</end>
      <status>unmodified</status>
      <modifiedWord/>
      <trackRevisions>false</trackRevisions>
    </reviewItem>
    <reviewItem>
      <errorID>e3b2bfb6-6e4b-470e-9fc3-8284c1c13cbc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2DA9499E</paraID>
      <start>0</start>
      <end>3</end>
      <status>unmodified</status>
      <modifiedWord/>
      <trackRevisions>false</trackRevisions>
    </reviewItem>
    <reviewItem>
      <errorID>4d35b98e-6426-4099-9d7f-60d1436c473d</errorID>
      <errorWord>,</errorWord>
      <group>L1_Format</group>
      <groupName>格式问题</groupName>
      <ability>L2_HalfPunc_CN</ability>
      <abilityName>全半角问题</abilityName>
      <candidateList>
        <item>，</item>
      </candidateList>
      <explain>文本全半角错误。</explain>
      <paraID>2DA9499E</paraID>
      <start>17</start>
      <end>18</end>
      <status>unmodified</status>
      <modifiedWord/>
      <trackRevisions>false</trackRevisions>
    </reviewItem>
    <reviewItem>
      <errorID>6a649026-4402-4937-b80b-8e7b93d0895a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5DD736D1</paraID>
      <start>0</start>
      <end>3</end>
      <status>unmodified</status>
      <modifiedWord/>
      <trackRevisions>false</trackRevisions>
    </reviewItem>
    <reviewItem>
      <errorID>a70a2a3b-cda5-472f-b8c4-74df4b24454e</errorID>
      <errorWord>,</errorWord>
      <group>L1_Format</group>
      <groupName>格式问题</groupName>
      <ability>L2_HalfPunc_CN</ability>
      <abilityName>全半角问题</abilityName>
      <candidateList>
        <item>，</item>
      </candidateList>
      <explain>文本全半角错误。</explain>
      <paraID>5DD736D1</paraID>
      <start>13</start>
      <end>14</end>
      <status>unmodified</status>
      <modifiedWord/>
      <trackRevisions>false</trackRevisions>
    </reviewItem>
    <reviewItem>
      <errorID>30969b21-9624-4e10-bd27-c4663caeba3b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69A6858D</paraID>
      <start>0</start>
      <end>3</end>
      <status>unmodified</status>
      <modifiedWord/>
      <trackRevisions>false</trackRevisions>
    </reviewItem>
    <reviewItem>
      <errorID>23711699-aa1f-43d5-9f86-954849a88654</errorID>
      <errorWord>,</errorWord>
      <group>L1_Format</group>
      <groupName>格式问题</groupName>
      <ability>L2_HalfPunc_CN</ability>
      <abilityName>全半角问题</abilityName>
      <candidateList>
        <item>，</item>
      </candidateList>
      <explain>文本全半角错误。</explain>
      <paraID>69A6858D</paraID>
      <start>13</start>
      <end>14</end>
      <status>unmodified</status>
      <modifiedWord/>
      <trackRevisions>false</trackRevisions>
    </reviewItem>
    <reviewItem>
      <errorID>01af0892-d73e-447a-a51c-5535a2fdbe08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600DA47C</paraID>
      <start>0</start>
      <end>3</end>
      <status>unmodified</status>
      <modifiedWord/>
      <trackRevisions>false</trackRevisions>
    </reviewItem>
    <reviewItem>
      <errorID>e847b3a3-1a6f-438d-8eed-3b8983471f07</errorID>
      <errorWord>(</errorWord>
      <group>L1_Format</group>
      <groupName>格式问题</groupName>
      <ability>L2_HalfPunc_CN</ability>
      <abilityName>全半角问题</abilityName>
      <candidateList>
        <item>（</item>
      </candidateList>
      <explain>文本全半角错误。</explain>
      <paraID>600DA47C</paraID>
      <start>18</start>
      <end>19</end>
      <status>unmodified</status>
      <modifiedWord/>
      <trackRevisions>false</trackRevisions>
    </reviewItem>
    <reviewItem>
      <errorID>23a3f829-e509-42ff-876d-8d489fb88128</errorID>
      <errorWord>)</errorWord>
      <group>L1_Format</group>
      <groupName>格式问题</groupName>
      <ability>L2_HalfPunc_CN</ability>
      <abilityName>全半角问题</abilityName>
      <candidateList>
        <item>）</item>
      </candidateList>
      <explain>文本全半角错误。</explain>
      <paraID>600DA47C</paraID>
      <start>25</start>
      <end>26</end>
      <status>unmodified</status>
      <modifiedWord/>
      <trackRevisions>false</trackRevisions>
    </reviewItem>
    <reviewItem>
      <errorID>327ab324-6d74-45ea-909a-d53aa012958a</errorID>
      <errorWord>,</errorWord>
      <group>L1_Format</group>
      <groupName>格式问题</groupName>
      <ability>L2_HalfPunc_CN</ability>
      <abilityName>全半角问题</abilityName>
      <candidateList>
        <item>，</item>
      </candidateList>
      <explain>文本全半角错误。</explain>
      <paraID>600DA47C</paraID>
      <start>27</start>
      <end>28</end>
      <status>unmodified</status>
      <modifiedWord/>
      <trackRevisions>false</trackRevisions>
    </reviewItem>
    <reviewItem>
      <errorID>54b715d7-d596-490d-bc2b-793fb9190a9e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57DDB222</paraID>
      <start>0</start>
      <end>3</end>
      <status>unmodified</status>
      <modifiedWord/>
      <trackRevisions>false</trackRevisions>
    </reviewItem>
    <reviewItem>
      <errorID>959e4e87-9298-43d6-896c-c0709add4b6f</errorID>
      <errorWord>(</errorWord>
      <group>L1_Format</group>
      <groupName>格式问题</groupName>
      <ability>L2_HalfPunc_CN</ability>
      <abilityName>全半角问题</abilityName>
      <candidateList>
        <item>（</item>
      </candidateList>
      <explain>文本全半角错误。</explain>
      <paraID>57DDB222</paraID>
      <start>13</start>
      <end>14</end>
      <status>unmodified</status>
      <modifiedWord/>
      <trackRevisions>false</trackRevisions>
    </reviewItem>
    <reviewItem>
      <errorID>af888276-2fe5-462e-b7ae-24f5579b7833</errorID>
      <errorWord>)</errorWord>
      <group>L1_Format</group>
      <groupName>格式问题</groupName>
      <ability>L2_HalfPunc_CN</ability>
      <abilityName>全半角问题</abilityName>
      <candidateList>
        <item>）</item>
      </candidateList>
      <explain>文本全半角错误。</explain>
      <paraID>57DDB222</paraID>
      <start>20</start>
      <end>21</end>
      <status>unmodified</status>
      <modifiedWord/>
      <trackRevisions>false</trackRevisions>
    </reviewItem>
    <reviewItem>
      <errorID>b43d85b0-ea28-489c-a26d-9b843582fd50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7A4848B5</paraID>
      <start>0</start>
      <end>3</end>
      <status>unmodified</status>
      <modifiedWord/>
      <trackRevisions>false</trackRevisions>
    </reviewItem>
    <reviewItem>
      <errorID>0eadab2d-ee55-44a3-9d5e-1c542d3a17c3</errorID>
      <errorWord>,</errorWord>
      <group>L1_Format</group>
      <groupName>格式问题</groupName>
      <ability>L2_HalfPunc_CN</ability>
      <abilityName>全半角问题</abilityName>
      <candidateList>
        <item>，</item>
      </candidateList>
      <explain>文本全半角错误。</explain>
      <paraID>7A4848B5</paraID>
      <start>22</start>
      <end>23</end>
      <status>unmodified</status>
      <modifiedWord/>
      <trackRevisions>false</trackRevisions>
    </reviewItem>
    <reviewItem>
      <errorID>26d6995e-fa67-4c76-89db-9ff509b19451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3C3D5EDB</paraID>
      <start>0</start>
      <end>3</end>
      <status>unmodified</status>
      <modifiedWord/>
      <trackRevisions>false</trackRevisions>
    </reviewItem>
    <reviewItem>
      <errorID>3671d4b7-4290-42a1-b482-38f7478350b2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60E69997</paraID>
      <start>0</start>
      <end>3</end>
      <status>unmodified</status>
      <modifiedWord/>
      <trackRevisions>false</trackRevisions>
    </reviewItem>
    <reviewItem>
      <errorID>730fe250-625d-4037-8bb9-3a0833309c50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60E69997</paraID>
      <start>3</start>
      <end>4</end>
      <status>unmodified</status>
      <modifiedWord/>
      <trackRevisions>false</trackRevisions>
    </reviewItem>
    <reviewItem>
      <errorID>6f47d5ef-2181-4a8b-975e-65e8d54cda40</errorID>
      <errorWord>(</errorWord>
      <group>L1_Format</group>
      <groupName>格式问题</groupName>
      <ability>L2_HalfPunc_CN</ability>
      <abilityName>全半角问题</abilityName>
      <candidateList>
        <item>（</item>
      </candidateList>
      <explain>文本全半角错误。</explain>
      <paraID>60E69997</paraID>
      <start>19</start>
      <end>20</end>
      <status>unmodified</status>
      <modifiedWord/>
      <trackRevisions>false</trackRevisions>
    </reviewItem>
    <reviewItem>
      <errorID>7e3a59ad-196f-414e-93aa-1ad3c31c8460</errorID>
      <errorWord>)</errorWord>
      <group>L1_Format</group>
      <groupName>格式问题</groupName>
      <ability>L2_HalfPunc_CN</ability>
      <abilityName>全半角问题</abilityName>
      <candidateList>
        <item>）</item>
      </candidateList>
      <explain>文本全半角错误。</explain>
      <paraID>60E69997</paraID>
      <start>22</start>
      <end>23</end>
      <status>unmodified</status>
      <modifiedWord/>
      <trackRevisions>false</trackRevisions>
    </reviewItem>
    <reviewItem>
      <errorID>ecb5b7f3-94c6-4559-b179-fb08f192ca56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4F76491A</paraID>
      <start>0</start>
      <end>3</end>
      <status>unmodified</status>
      <modifiedWord/>
      <trackRevisions>false</trackRevisions>
    </reviewItem>
    <reviewItem>
      <errorID>9fe4c926-eeb0-4b40-9c96-72a58cbc7cc9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4759B6C8</paraID>
      <start>0</start>
      <end>3</end>
      <status>unmodified</status>
      <modifiedWord/>
      <trackRevisions>false</trackRevisions>
    </reviewItem>
    <reviewItem>
      <errorID>37703f68-a048-4eee-b759-57c6aebef3ee</errorID>
      <errorWord>)</errorWord>
      <group>L1_Format</group>
      <groupName>格式问题</groupName>
      <ability>L2_HalfPunc_CN</ability>
      <abilityName>全半角问题</abilityName>
      <candidateList>
        <item>）</item>
      </candidateList>
      <explain>文本全半角错误。</explain>
      <paraID>4759B6C8</paraID>
      <start>34</start>
      <end>35</end>
      <status>unmodified</status>
      <modifiedWord/>
      <trackRevisions>false</trackRevisions>
    </reviewItem>
    <reviewItem>
      <errorID>3249de56-e694-4e43-a9b0-a3df52b5b647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F39E5FE</paraID>
      <start>0</start>
      <end>3</end>
      <status>unmodified</status>
      <modifiedWord/>
      <trackRevisions>false</trackRevisions>
    </reviewItem>
    <reviewItem>
      <errorID>99bfc8bd-e22f-4f99-b835-4081365ec80c</errorID>
      <errorWord>(</errorWord>
      <group>L1_Format</group>
      <groupName>格式问题</groupName>
      <ability>L2_HalfPunc_CN</ability>
      <abilityName>全半角问题</abilityName>
      <candidateList>
        <item>（</item>
      </candidateList>
      <explain>文本全半角错误。</explain>
      <paraID> F39E5FE</paraID>
      <start>22</start>
      <end>23</end>
      <status>unmodified</status>
      <modifiedWord/>
      <trackRevisions>false</trackRevisions>
    </reviewItem>
    <reviewItem>
      <errorID>130d18fc-afcb-4025-a733-9447c201e135</errorID>
      <errorWord>)</errorWord>
      <group>L1_Format</group>
      <groupName>格式问题</groupName>
      <ability>L2_HalfPunc_CN</ability>
      <abilityName>全半角问题</abilityName>
      <candidateList>
        <item>）</item>
      </candidateList>
      <explain>文本全半角错误。</explain>
      <paraID> F39E5FE</paraID>
      <start>31</start>
      <end>32</end>
      <status>unmodified</status>
      <modifiedWord/>
      <trackRevisions>false</trackRevisions>
    </reviewItem>
    <reviewItem>
      <errorID>08ae61c2-ab7b-4db8-be51-2ddd6629932e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783DC289</paraID>
      <start>0</start>
      <end>3</end>
      <status>unmodified</status>
      <modifiedWord/>
      <trackRevisions>false</trackRevisions>
    </reviewItem>
    <reviewItem>
      <errorID>b577b1fc-551b-4c68-a417-1315df8e275f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2BF698E1</paraID>
      <start>0</start>
      <end>3</end>
      <status>unmodified</status>
      <modifiedWord/>
      <trackRevisions>false</trackRevisions>
    </reviewItem>
    <reviewItem>
      <errorID>42a35c1a-1e2c-4d4c-880f-537711db8fb0</errorID>
      <errorWord>(</errorWord>
      <group>L1_Format</group>
      <groupName>格式问题</groupName>
      <ability>L2_HalfPunc_CN</ability>
      <abilityName>全半角问题</abilityName>
      <candidateList>
        <item>（</item>
      </candidateList>
      <explain>文本全半角错误。</explain>
      <paraID>2BF698E1</paraID>
      <start>44</start>
      <end>45</end>
      <status>unmodified</status>
      <modifiedWord/>
      <trackRevisions>false</trackRevisions>
    </reviewItem>
    <reviewItem>
      <errorID>52e71703-c895-4ce1-b11c-84a431d04ddd</errorID>
      <errorWord>)</errorWord>
      <group>L1_Format</group>
      <groupName>格式问题</groupName>
      <ability>L2_HalfPunc_CN</ability>
      <abilityName>全半角问题</abilityName>
      <candidateList>
        <item>）</item>
      </candidateList>
      <explain>文本全半角错误。</explain>
      <paraID>2BF698E1</paraID>
      <start>65</start>
      <end>66</end>
      <status>unmodified</status>
      <modifiedWord/>
      <trackRevisions>false</trackRevisions>
    </reviewItem>
    <reviewItem>
      <errorID>fc9f4295-0fcc-4866-9440-13f13810c95f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346C9271</paraID>
      <start>0</start>
      <end>3</end>
      <status>unmodified</status>
      <modifiedWord/>
      <trackRevisions>false</trackRevisions>
    </reviewItem>
    <reviewItem>
      <errorID>d28d8aba-8b55-4629-8978-248c5713e82d</errorID>
      <errorWord>,</errorWord>
      <group>L1_Format</group>
      <groupName>格式问题</groupName>
      <ability>L2_HalfPunc_CN</ability>
      <abilityName>全半角问题</abilityName>
      <candidateList>
        <item>，</item>
      </candidateList>
      <explain>文本全半角错误。</explain>
      <paraID>47BBB02A</paraID>
      <start>31</start>
      <end>32</end>
      <status>unmodified</status>
      <modifiedWord/>
      <trackRevisions>false</trackRevisions>
    </reviewItem>
    <reviewItem>
      <errorID>aab9b15b-8a4d-4b58-8ccd-4f5c6c4e9516</errorID>
      <errorWord>(</errorWord>
      <group>L1_Format</group>
      <groupName>格式问题</groupName>
      <ability>L2_HalfPunc_CN</ability>
      <abilityName>全半角问题</abilityName>
      <candidateList>
        <item>（</item>
      </candidateList>
      <explain>文本全半角错误。</explain>
      <paraID>49AA2126</paraID>
      <start>4</start>
      <end>5</end>
      <status>unmodified</status>
      <modifiedWord/>
      <trackRevisions>false</trackRevisions>
    </reviewItem>
    <reviewItem>
      <errorID>fec356eb-4104-46fc-85a8-62e87f5e49c0</errorID>
      <errorWord>)</errorWord>
      <group>L1_Format</group>
      <groupName>格式问题</groupName>
      <ability>L2_HalfPunc_CN</ability>
      <abilityName>全半角问题</abilityName>
      <candidateList>
        <item>）</item>
      </candidateList>
      <explain>文本全半角错误。</explain>
      <paraID>49AA2126</paraID>
      <start>9</start>
      <end>10</end>
      <status>unmodified</status>
      <modifiedWord/>
      <trackRevisions>false</trackRevisions>
    </reviewItem>
    <reviewItem>
      <errorID>1845116b-24e5-45bc-8d4a-7dbd121d5ea1</errorID>
      <errorWord>(</errorWord>
      <group>L1_Format</group>
      <groupName>格式问题</groupName>
      <ability>L2_HalfPunc_CN</ability>
      <abilityName>全半角问题</abilityName>
      <candidateList>
        <item>（</item>
      </candidateList>
      <explain>文本全半角错误。</explain>
      <paraID>49AA2126</paraID>
      <start>15</start>
      <end>16</end>
      <status>unmodified</status>
      <modifiedWord/>
      <trackRevisions>false</trackRevisions>
    </reviewItem>
    <reviewItem>
      <errorID>8c2ddfa6-1b22-4ef9-9367-87f8e82a3d28</errorID>
      <errorWord>)</errorWord>
      <group>L1_Format</group>
      <groupName>格式问题</groupName>
      <ability>L2_HalfPunc_CN</ability>
      <abilityName>全半角问题</abilityName>
      <candidateList>
        <item>）</item>
      </candidateList>
      <explain>文本全半角错误。</explain>
      <paraID>49AA2126</paraID>
      <start>18</start>
      <end>19</end>
      <status>unmodified</status>
      <modifiedWord/>
      <trackRevisions>false</trackRevisions>
    </reviewItem>
    <reviewItem>
      <errorID>64d1d2eb-0684-4e4c-a1fa-f6d30e78b348</errorID>
      <errorWord>站站</errorWord>
      <group>L1_Word</group>
      <groupName>字词问题</groupName>
      <ability>L2_Typo</ability>
      <abilityName>字词错误</abilityName>
      <candidateList>
        <item>站</item>
      </candidateList>
      <explain/>
      <paraID>54516DAE</paraID>
      <start>2</start>
      <end>4</end>
      <status>unmodified</status>
      <modifiedWord/>
      <trackRevisions>false</trackRevisions>
    </reviewItem>
    <reviewItem>
      <errorID>cb832aca-f04c-49de-a482-4a87a2cdea91</errorID>
      <errorWord>(</errorWord>
      <group>L1_Format</group>
      <groupName>格式问题</groupName>
      <ability>L2_HalfPunc_CN</ability>
      <abilityName>全半角问题</abilityName>
      <candidateList>
        <item>（</item>
      </candidateList>
      <explain>文本全半角错误。</explain>
      <paraID>4F211354</paraID>
      <start>30</start>
      <end>31</end>
      <status>unmodified</status>
      <modifiedWord/>
      <trackRevisions>false</trackRevisions>
    </reviewItem>
    <reviewItem>
      <errorID>72af2ed8-2faf-4a82-bd4c-8b5e8ee3ffde</errorID>
      <errorWord>～</errorWord>
      <group>L1_Format</group>
      <groupName>格式问题</groupName>
      <ability>L2_HalfPunc_CN</ability>
      <abilityName>全半角问题</abilityName>
      <candidateList>
        <item>~</item>
      </candidateList>
      <explain>文本全半角错误。</explain>
      <paraID>56E576EA</paraID>
      <start>8</start>
      <end>9</end>
      <status>unmodified</status>
      <modifiedWord/>
      <trackRevisions>false</trackRevisions>
    </reviewItem>
    <reviewItem>
      <errorID>3751353e-6a1a-4551-8618-a4e7f809e32c</errorID>
      <errorWord>站站</errorWord>
      <group>L1_Word</group>
      <groupName>字词问题</groupName>
      <ability>L2_Typo</ability>
      <abilityName>字词错误</abilityName>
      <candidateList>
        <item>站</item>
      </candidateList>
      <explain/>
      <paraID>48FAA77C</paraID>
      <start>14</start>
      <end>16</end>
      <status>unmodified</status>
      <modifiedWord/>
      <trackRevisions>false</trackRevisions>
    </reviewItem>
    <reviewItem>
      <errorID>9f85af8b-91a5-4fc3-ab0a-92534e5b8835</errorID>
      <errorWord>(</errorWord>
      <group>L1_Format</group>
      <groupName>格式问题</groupName>
      <ability>L2_HalfPunc_CN</ability>
      <abilityName>全半角问题</abilityName>
      <candidateList>
        <item>（</item>
      </candidateList>
      <explain>文本全半角错误。</explain>
      <paraID>48FAA77C</paraID>
      <start>63</start>
      <end>64</end>
      <status>unmodified</status>
      <modifiedWord/>
      <trackRevisions>false</trackRevisions>
    </reviewItem>
    <reviewItem>
      <errorID>4ff0e2f9-b96c-460b-977e-53844fa04761</errorID>
      <errorWord>)</errorWord>
      <group>L1_Format</group>
      <groupName>格式问题</groupName>
      <ability>L2_HalfPunc_CN</ability>
      <abilityName>全半角问题</abilityName>
      <candidateList>
        <item>）</item>
      </candidateList>
      <explain>文本全半角错误。</explain>
      <paraID>48FAA77C</paraID>
      <start>70</start>
      <end>71</end>
      <status>unmodified</status>
      <modifiedWord/>
      <trackRevisions>false</trackRevisions>
    </reviewItem>
    <reviewItem>
      <errorID>918806dd-6115-4995-ab25-65c07b9ddd76</errorID>
      <errorWord>,</errorWord>
      <group>L1_Format</group>
      <groupName>格式问题</groupName>
      <ability>L2_HalfPunc_CN</ability>
      <abilityName>全半角问题</abilityName>
      <candidateList>
        <item>，</item>
      </candidateList>
      <explain>文本全半角错误。</explain>
      <paraID>2652B021</paraID>
      <start>21</start>
      <end>22</end>
      <status>unmodified</status>
      <modifiedWord/>
      <trackRevisions>false</trackRevisions>
    </reviewItem>
    <reviewItem>
      <errorID>150800c7-6059-434f-a0b8-a1839a6c1cd4</errorID>
      <errorWord>,</errorWord>
      <group>L1_Format</group>
      <groupName>格式问题</groupName>
      <ability>L2_HalfPunc_CN</ability>
      <abilityName>全半角问题</abilityName>
      <candidateList>
        <item>，</item>
      </candidateList>
      <explain>文本全半角错误。</explain>
      <paraID>2652B021</paraID>
      <start>127</start>
      <end>128</end>
      <status>unmodified</status>
      <modifiedWord/>
      <trackRevisions>false</trackRevisions>
    </reviewItem>
    <reviewItem>
      <errorID>8a65c326-8704-416a-946b-b7b4582073bc</errorID>
      <errorWord>(</errorWord>
      <group>L1_Format</group>
      <groupName>格式问题</groupName>
      <ability>L2_HalfPunc_CN</ability>
      <abilityName>全半角问题</abilityName>
      <candidateList>
        <item>（</item>
      </candidateList>
      <explain>文本全半角错误。</explain>
      <paraID>16918185</paraID>
      <start>123</start>
      <end>124</end>
      <status>unmodified</status>
      <modifiedWord/>
      <trackRevisions>false</trackRevisions>
    </reviewItem>
    <reviewItem>
      <errorID>4a105bdc-b61a-41b7-bffc-0c4530a65703</errorID>
      <errorWord>),</errorWord>
      <group>L1_Format</group>
      <groupName>格式问题</groupName>
      <ability>L2_HalfPunc_CN</ability>
      <abilityName>全半角问题</abilityName>
      <candidateList>
        <item>），</item>
      </candidateList>
      <explain>文本全半角错误。</explain>
      <paraID>16918185</paraID>
      <start>143</start>
      <end>145</end>
      <status>unmodified</status>
      <modifiedWord/>
      <trackRevisions>false</trackRevisions>
    </reviewItem>
    <reviewItem>
      <errorID>e4bf1ed5-81ea-472c-945c-434afe61def5</errorID>
      <errorWord>(</errorWord>
      <group>L1_Format</group>
      <groupName>格式问题</groupName>
      <ability>L2_HalfPunc_CN</ability>
      <abilityName>全半角问题</abilityName>
      <candidateList>
        <item>（</item>
      </candidateList>
      <explain>文本全半角错误。</explain>
      <paraID>16918185</paraID>
      <start>151</start>
      <end>152</end>
      <status>unmodified</status>
      <modifiedWord/>
      <trackRevisions>false</trackRevisions>
    </reviewItem>
    <reviewItem>
      <errorID>43590c72-d9d7-4b4f-a50e-34ffc5295465</errorID>
      <errorWord>);</errorWord>
      <group>L1_Format</group>
      <groupName>格式问题</groupName>
      <ability>L2_HalfPunc_CN</ability>
      <abilityName>全半角问题</abilityName>
      <candidateList>
        <item>）；</item>
      </candidateList>
      <explain>文本全半角错误。</explain>
      <paraID>16918185</paraID>
      <start>175</start>
      <end>177</end>
      <status>unmodified</status>
      <modifiedWord/>
      <trackRevisions>false</trackRevisions>
    </reviewItem>
    <reviewItem>
      <errorID>7613ab60-f034-4be5-bb70-1d30cdc4828f</errorID>
      <errorWord>路路路</errorWord>
      <group>L1_Word</group>
      <groupName>字词问题</groupName>
      <ability>L2_Typo</ability>
      <abilityName>字词错误</abilityName>
      <candidateList>
        <item>路路</item>
      </candidateList>
      <explain/>
      <paraID>16918185</paraID>
      <start>180</start>
      <end>183</end>
      <status>unmodified</status>
      <modifiedWord/>
      <trackRevisions>false</trackRevisions>
    </reviewItem>
    <reviewItem>
      <errorID>9feab27d-a6a8-4fe3-ba92-179e79d02186</errorID>
      <errorWord>)</errorWord>
      <group>L1_Format</group>
      <groupName>格式问题</groupName>
      <ability>L2_HalfPunc_CN</ability>
      <abilityName>全半角问题</abilityName>
      <candidateList>
        <item>）</item>
      </candidateList>
      <explain>文本全半角错误。</explain>
      <paraID>16918185</paraID>
      <start>217</start>
      <end>218</end>
      <status>unmodified</status>
      <modifiedWord/>
      <trackRevisions>false</trackRevisions>
    </reviewItem>
    <reviewItem>
      <errorID>027fffad-3326-4e63-a5a2-ba94ba439723</errorID>
      <errorWord>(</errorWord>
      <group>L1_Format</group>
      <groupName>格式问题</groupName>
      <ability>L2_HalfPunc_CN</ability>
      <abilityName>全半角问题</abilityName>
      <candidateList>
        <item>（</item>
      </candidateList>
      <explain>文本全半角错误。</explain>
      <paraID>12F3119E</paraID>
      <start>89</start>
      <end>90</end>
      <status>unmodified</status>
      <modifiedWord/>
      <trackRevisions>false</trackRevisions>
    </reviewItem>
    <reviewItem>
      <errorID>3bbda18f-607b-46c4-8821-849ff77b1be6</errorID>
      <errorWord>-</errorWord>
      <group>L1_Format</group>
      <groupName>格式问题</groupName>
      <ability>L2_HalfPunc_CN</ability>
      <abilityName>全半角问题</abilityName>
      <candidateList>
        <item>－</item>
      </candidateList>
      <explain>文本全半角错误。</explain>
      <paraID>12F3119E</paraID>
      <start>95</start>
      <end>96</end>
      <status>unmodified</status>
      <modifiedWord/>
      <trackRevisions>false</trackRevisions>
    </reviewItem>
    <reviewItem>
      <errorID>fbb84747-f360-4c1d-83c7-10094b99113b</errorID>
      <errorWord>-</errorWord>
      <group>L1_Format</group>
      <groupName>格式问题</groupName>
      <ability>L2_HalfPunc_CN</ability>
      <abilityName>全半角问题</abilityName>
      <candidateList>
        <item>－</item>
      </candidateList>
      <explain>文本全半角错误。</explain>
      <paraID>12F3119E</paraID>
      <start>98</start>
      <end>99</end>
      <status>unmodified</status>
      <modifiedWord/>
      <trackRevisions>false</trackRevisions>
    </reviewItem>
    <reviewItem>
      <errorID>24cef089-49c8-49cc-b493-34724efed919</errorID>
      <errorWord>)</errorWord>
      <group>L1_Format</group>
      <groupName>格式问题</groupName>
      <ability>L2_HalfPunc_CN</ability>
      <abilityName>全半角问题</abilityName>
      <candidateList>
        <item>）</item>
      </candidateList>
      <explain>文本全半角错误。</explain>
      <paraID>12F3119E</paraID>
      <start>101</start>
      <end>102</end>
      <status>unmodified</status>
      <modifiedWord/>
      <trackRevisions>false</trackRevisions>
    </reviewItem>
    <reviewItem>
      <errorID>6f2450a1-57fe-4d4c-85d2-5b775f9c50db</errorID>
      <errorWord>(</errorWord>
      <group>L1_Format</group>
      <groupName>格式问题</groupName>
      <ability>L2_HalfPunc_CN</ability>
      <abilityName>全半角问题</abilityName>
      <candidateList>
        <item>（</item>
      </candidateList>
      <explain>文本全半角错误。</explain>
      <paraID>1E0E559D</paraID>
      <start>59</start>
      <end>60</end>
      <status>unmodified</status>
      <modifiedWord/>
      <trackRevisions>false</trackRevisions>
    </reviewItem>
    <reviewItem>
      <errorID>d1207941-19ee-4211-910e-9efb18413b65</errorID>
      <errorWord>)</errorWord>
      <group>L1_Format</group>
      <groupName>格式问题</groupName>
      <ability>L2_HalfPunc_CN</ability>
      <abilityName>全半角问题</abilityName>
      <candidateList>
        <item>）</item>
      </candidateList>
      <explain>文本全半角错误。</explain>
      <paraID>1E0E559D</paraID>
      <start>70</start>
      <end>71</end>
      <status>unmodified</status>
      <modifiedWord/>
      <trackRevisions>false</trackRevisions>
    </reviewItem>
    <reviewItem>
      <errorID>0914b442-9e2a-4cf5-a838-f806e8c7f930</errorID>
      <errorWord>),</errorWord>
      <group>L1_Format</group>
      <groupName>格式问题</groupName>
      <ability>L2_HalfPunc_CN</ability>
      <abilityName>全半角问题</abilityName>
      <candidateList>
        <item>），</item>
      </candidateList>
      <explain>文本全半角错误。</explain>
      <paraID>22F33212</paraID>
      <start>61</start>
      <end>63</end>
      <status>unmodified</status>
      <modifiedWord/>
      <trackRevisions>false</trackRevisions>
    </reviewItem>
    <reviewItem>
      <errorID>189523e7-df3f-4375-96be-104b5900b519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676666FD</paraID>
      <start>0</start>
      <end>3</end>
      <status>unmodified</status>
      <modifiedWord/>
      <trackRevisions>false</trackRevisions>
    </reviewItem>
    <reviewItem>
      <errorID>3552dd3f-686e-43aa-9305-99cfae662a42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62CF1BED</paraID>
      <start>0</start>
      <end>3</end>
      <status>unmodified</status>
      <modifiedWord/>
      <trackRevisions>false</trackRevisions>
    </reviewItem>
    <reviewItem>
      <errorID>cfe2e169-9d3b-4df7-b87e-80961116aa40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1D0D69AB</paraID>
      <start>0</start>
      <end>3</end>
      <status>unmodified</status>
      <modifiedWord/>
      <trackRevisions>false</trackRevisions>
    </reviewItem>
    <reviewItem>
      <errorID>eba8c036-52d9-4393-839e-1d82c9e494d3</errorID>
      <errorWord>(</errorWord>
      <group>L1_Format</group>
      <groupName>格式问题</groupName>
      <ability>L2_HalfPunc_CN</ability>
      <abilityName>全半角问题</abilityName>
      <candidateList>
        <item>（</item>
      </candidateList>
      <explain>文本全半角错误。</explain>
      <paraID>1FA74C60</paraID>
      <start>12</start>
      <end>13</end>
      <status>unmodified</status>
      <modifiedWord/>
      <trackRevisions>false</trackRevisions>
    </reviewItem>
    <reviewItem>
      <errorID>97f01fd2-3df3-4bbc-94b9-4ae61dc4647b</errorID>
      <errorWord>)</errorWord>
      <group>L1_Format</group>
      <groupName>格式问题</groupName>
      <ability>L2_HalfPunc_CN</ability>
      <abilityName>全半角问题</abilityName>
      <candidateList>
        <item>）</item>
      </candidateList>
      <explain>文本全半角错误。</explain>
      <paraID>1FA74C60</paraID>
      <start>16</start>
      <end>17</end>
      <status>unmodified</status>
      <modifiedWord/>
      <trackRevisions>false</trackRevisions>
    </reviewItem>
    <reviewItem>
      <errorID>ea1bd0fa-ba67-4586-8f87-4b1688ed80c5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7E819775</paraID>
      <start>0</start>
      <end>3</end>
      <status>unmodified</status>
      <modifiedWord/>
      <trackRevisions>false</trackRevisions>
    </reviewItem>
    <reviewItem>
      <errorID>34c82871-b535-4ddf-b7f2-ce7d4615f473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56E85C6A</paraID>
      <start>0</start>
      <end>3</end>
      <status>unmodified</status>
      <modifiedWord/>
      <trackRevisions>false</trackRevisions>
    </reviewItem>
    <reviewItem>
      <errorID>ac5e1bf3-a53b-48b2-be6d-d13387edcfb8</errorID>
      <errorWord>(</errorWord>
      <group>L1_Format</group>
      <groupName>格式问题</groupName>
      <ability>L2_HalfPunc_CN</ability>
      <abilityName>全半角问题</abilityName>
      <candidateList>
        <item>（</item>
      </candidateList>
      <explain>文本全半角错误。</explain>
      <paraID> 9C16DF7</paraID>
      <start>13</start>
      <end>14</end>
      <status>unmodified</status>
      <modifiedWord/>
      <trackRevisions>false</trackRevisions>
    </reviewItem>
    <reviewItem>
      <errorID>19e006f1-4c37-44a8-98f8-323584251f4f</errorID>
      <errorWord>-</errorWord>
      <group>L1_Format</group>
      <groupName>格式问题</groupName>
      <ability>L2_HalfPunc_CN</ability>
      <abilityName>全半角问题</abilityName>
      <candidateList>
        <item>－</item>
      </candidateList>
      <explain>文本全半角错误。</explain>
      <paraID> 9C16DF7</paraID>
      <start>19</start>
      <end>20</end>
      <status>unmodified</status>
      <modifiedWord/>
      <trackRevisions>false</trackRevisions>
    </reviewItem>
    <reviewItem>
      <errorID>86b361ab-53d1-4792-aa87-b2cc87852b8e</errorID>
      <errorWord>-</errorWord>
      <group>L1_Format</group>
      <groupName>格式问题</groupName>
      <ability>L2_HalfPunc_CN</ability>
      <abilityName>全半角问题</abilityName>
      <candidateList>
        <item>－</item>
      </candidateList>
      <explain>文本全半角错误。</explain>
      <paraID> 9C16DF7</paraID>
      <start>22</start>
      <end>23</end>
      <status>unmodified</status>
      <modifiedWord/>
      <trackRevisions>false</trackRevisions>
    </reviewItem>
    <reviewItem>
      <errorID>ece4053f-0852-4c10-bd29-2e9f0a105813</errorID>
      <errorWord>)</errorWord>
      <group>L1_Format</group>
      <groupName>格式问题</groupName>
      <ability>L2_HalfPunc_CN</ability>
      <abilityName>全半角问题</abilityName>
      <candidateList>
        <item>）</item>
      </candidateList>
      <explain>文本全半角错误。</explain>
      <paraID> 9C16DF7</paraID>
      <start>25</start>
      <end>26</end>
      <status>unmodified</status>
      <modifiedWord/>
      <trackRevisions>false</trackRevisions>
    </reviewItem>
    <reviewItem>
      <errorID>4b10a9d1-940e-4f97-aaff-159d531e9098</errorID>
      <errorWord>;</errorWord>
      <group>L1_Format</group>
      <groupName>格式问题</groupName>
      <ability>L2_HalfPunc_CN</ability>
      <abilityName>全半角问题</abilityName>
      <candidateList>
        <item>；</item>
      </candidateList>
      <explain>文本全半角错误。</explain>
      <paraID>5478474E</paraID>
      <start>15</start>
      <end>16</end>
      <status>unmodified</status>
      <modifiedWord/>
      <trackRevisions>false</trackRevisions>
    </reviewItem>
    <reviewItem>
      <errorID>b6a55679-ee21-4274-ae0e-190a1566bf2a</errorID>
      <errorWord>(</errorWord>
      <group>L1_Format</group>
      <groupName>格式问题</groupName>
      <ability>L2_HalfPunc_CN</ability>
      <abilityName>全半角问题</abilityName>
      <candidateList>
        <item>（</item>
      </candidateList>
      <explain>文本全半角错误。</explain>
      <paraID> 83CDF11</paraID>
      <start>7</start>
      <end>8</end>
      <status>unmodified</status>
      <modifiedWord/>
      <trackRevisions>false</trackRevisions>
    </reviewItem>
    <reviewItem>
      <errorID>2e69927d-8271-4eb4-b3b2-efdae8a90a4a</errorID>
      <errorWord>)</errorWord>
      <group>L1_Format</group>
      <groupName>格式问题</groupName>
      <ability>L2_HalfPunc_CN</ability>
      <abilityName>全半角问题</abilityName>
      <candidateList>
        <item>）</item>
      </candidateList>
      <explain>文本全半角错误。</explain>
      <paraID> 83CDF11</paraID>
      <start>18</start>
      <end>19</end>
      <status>unmodified</status>
      <modifiedWord/>
      <trackRevisions>false</trackRevisions>
    </reviewItem>
    <reviewItem>
      <errorID>59fd057e-4b72-4e57-b0e5-ce8d427a7cbb</errorID>
      <errorWord>(</errorWord>
      <group>L1_Format</group>
      <groupName>格式问题</groupName>
      <ability>L2_HalfPunc_CN</ability>
      <abilityName>全半角问题</abilityName>
      <candidateList>
        <item>（</item>
      </candidateList>
      <explain>文本全半角错误。</explain>
      <paraID>178AAC4B</paraID>
      <start>6</start>
      <end>7</end>
      <status>unmodified</status>
      <modifiedWord/>
      <trackRevisions>false</trackRevisions>
    </reviewItem>
    <reviewItem>
      <errorID>83b10199-6608-462c-bb85-b7660b976ad8</errorID>
      <errorWord>)</errorWord>
      <group>L1_Format</group>
      <groupName>格式问题</groupName>
      <ability>L2_HalfPunc_CN</ability>
      <abilityName>全半角问题</abilityName>
      <candidateList>
        <item>）</item>
      </candidateList>
      <explain>文本全半角错误。</explain>
      <paraID>178AAC4B</paraID>
      <start>8</start>
      <end>9</end>
      <status>unmodified</status>
      <modifiedWord/>
      <trackRevisions>false</trackRevisions>
    </reviewItem>
    <reviewItem>
      <errorID>f17463ed-7f2f-4942-b9f6-9539ae34cfbf</errorID>
      <errorWord>(</errorWord>
      <group>L1_Format</group>
      <groupName>格式问题</groupName>
      <ability>L2_HalfPunc_CN</ability>
      <abilityName>全半角问题</abilityName>
      <candidateList>
        <item>（</item>
      </candidateList>
      <explain>文本全半角错误。</explain>
      <paraID>178AAC4B</paraID>
      <start>14</start>
      <end>15</end>
      <status>unmodified</status>
      <modifiedWord/>
      <trackRevisions>false</trackRevisions>
    </reviewItem>
    <reviewItem>
      <errorID>10d863ac-8629-46f1-ab59-59b114f3c3ec</errorID>
      <errorWord>)</errorWord>
      <group>L1_Format</group>
      <groupName>格式问题</groupName>
      <ability>L2_HalfPunc_CN</ability>
      <abilityName>全半角问题</abilityName>
      <candidateList>
        <item>）</item>
      </candidateList>
      <explain>文本全半角错误。</explain>
      <paraID>178AAC4B</paraID>
      <start>16</start>
      <end>17</end>
      <status>unmodified</status>
      <modifiedWord/>
      <trackRevisions>false</trackRevisions>
    </reviewItem>
    <reviewItem>
      <errorID>4758d1df-bb1f-4d55-ad3b-7aecd2497bbd</errorID>
      <errorWord>(</errorWord>
      <group>L1_Format</group>
      <groupName>格式问题</groupName>
      <ability>L2_HalfPunc_CN</ability>
      <abilityName>全半角问题</abilityName>
      <candidateList>
        <item>（</item>
      </candidateList>
      <explain>文本全半角错误。</explain>
      <paraID>178AAC4B</paraID>
      <start>22</start>
      <end>23</end>
      <status>unmodified</status>
      <modifiedWord/>
      <trackRevisions>false</trackRevisions>
    </reviewItem>
    <reviewItem>
      <errorID>9e1a917c-6c29-4916-9193-0811cf2a88a8</errorID>
      <errorWord>)</errorWord>
      <group>L1_Format</group>
      <groupName>格式问题</groupName>
      <ability>L2_HalfPunc_CN</ability>
      <abilityName>全半角问题</abilityName>
      <candidateList>
        <item>）</item>
      </candidateList>
      <explain>文本全半角错误。</explain>
      <paraID>178AAC4B</paraID>
      <start>24</start>
      <end>25</end>
      <status>unmodified</status>
      <modifiedWord/>
      <trackRevisions>false</trackRevisions>
    </reviewItem>
    <reviewItem>
      <errorID>20462d3f-fa9e-40c4-9361-d535da9f043e</errorID>
      <errorWord>(</errorWord>
      <group>L1_Format</group>
      <groupName>格式问题</groupName>
      <ability>L2_HalfPunc_CN</ability>
      <abilityName>全半角问题</abilityName>
      <candidateList>
        <item>（</item>
      </candidateList>
      <explain>文本全半角错误。</explain>
      <paraID>4F4A32EF</paraID>
      <start>4</start>
      <end>5</end>
      <status>unmodified</status>
      <modifiedWord/>
      <trackRevisions>false</trackRevisions>
    </reviewItem>
    <reviewItem>
      <errorID>f65c66d3-d871-4c97-9ca8-083355ef4638</errorID>
      <errorWord>)</errorWord>
      <group>L1_Format</group>
      <groupName>格式问题</groupName>
      <ability>L2_HalfPunc_CN</ability>
      <abilityName>全半角问题</abilityName>
      <candidateList>
        <item>）</item>
      </candidateList>
      <explain>文本全半角错误。</explain>
      <paraID>4F4A32EF</paraID>
      <start>11</start>
      <end>12</end>
      <status>unmodified</status>
      <modifiedWord/>
      <trackRevisions>false</trackRevisions>
    </reviewItem>
    <reviewItem>
      <errorID>b98ec1fd-32ce-4dcb-85f6-32d2d9891f7c</errorID>
      <errorWord>(</errorWord>
      <group>L1_Format</group>
      <groupName>格式问题</groupName>
      <ability>L2_HalfPunc_CN</ability>
      <abilityName>全半角问题</abilityName>
      <candidateList>
        <item>（</item>
      </candidateList>
      <explain>文本全半角错误。</explain>
      <paraID>3A3E1185</paraID>
      <start>0</start>
      <end>1</end>
      <status>unmodified</status>
      <modifiedWord/>
      <trackRevisions>false</trackRevisions>
    </reviewItem>
    <reviewItem>
      <errorID>ffd905c0-94d9-4065-9dad-a91a4795daf9</errorID>
      <errorWord>)</errorWord>
      <group>L1_Format</group>
      <groupName>格式问题</groupName>
      <ability>L2_HalfPunc_CN</ability>
      <abilityName>全半角问题</abilityName>
      <candidateList>
        <item>）</item>
      </candidateList>
      <explain>文本全半角错误。</explain>
      <paraID>3A3E1185</paraID>
      <start>13</start>
      <end>14</end>
      <status>unmodified</status>
      <modifiedWord/>
      <trackRevisions>false</trackRevisions>
    </reviewItem>
    <reviewItem>
      <errorID>593b7143-77fe-4cf2-8123-d9bd900a77c1</errorID>
      <errorWord>站</errorWord>
      <group>L1_Word</group>
      <groupName>字词问题</groupName>
      <ability>L2_Typo</ability>
      <abilityName>字词错误</abilityName>
      <candidateList>
        <item>站工</item>
      </candidateList>
      <explain/>
      <paraID>14D0685F</paraID>
      <start>2</start>
      <end>3</end>
      <status>unmodified</status>
      <modifiedWord/>
      <trackRevisions>false</trackRevisions>
    </reviewItem>
    <reviewItem>
      <errorID>d5ebcbda-ca3b-4268-aa41-a28117442052</errorID>
      <errorWord>;</errorWord>
      <group>L1_Format</group>
      <groupName>格式问题</groupName>
      <ability>L2_HalfPunc_CN</ability>
      <abilityName>全半角问题</abilityName>
      <candidateList>
        <item>；</item>
      </candidateList>
      <explain>文本全半角错误。</explain>
      <paraID>60B2317A</paraID>
      <start>16</start>
      <end>17</end>
      <status>unmodified</status>
      <modifiedWord/>
      <trackRevisions>false</trackRevisions>
    </reviewItem>
    <reviewItem>
      <errorID>3a8e8a2f-4a38-461b-8145-a825aac30f88</errorID>
      <errorWord>;</errorWord>
      <group>L1_Format</group>
      <groupName>格式问题</groupName>
      <ability>L2_HalfPunc_CN</ability>
      <abilityName>全半角问题</abilityName>
      <candidateList>
        <item>；</item>
      </candidateList>
      <explain>文本全半角错误。</explain>
      <paraID>6EB06750</paraID>
      <start>26</start>
      <end>27</end>
      <status>unmodified</status>
      <modifiedWord/>
      <trackRevisions>false</trackRevisions>
    </reviewItem>
    <reviewItem>
      <errorID>ff3ab890-6af0-4615-ab4e-766f32002859</errorID>
      <errorWord>;</errorWord>
      <group>L1_Format</group>
      <groupName>格式问题</groupName>
      <ability>L2_HalfPunc_CN</ability>
      <abilityName>全半角问题</abilityName>
      <candidateList>
        <item>；</item>
      </candidateList>
      <explain>文本全半角错误。</explain>
      <paraID>667EA57D</paraID>
      <start>14</start>
      <end>15</end>
      <status>unmodified</status>
      <modifiedWord/>
      <trackRevisions>false</trackRevisions>
    </reviewItem>
    <reviewItem>
      <errorID>9f65ac49-bcf8-40fb-bb4b-c72122e4171d</errorID>
      <errorWord>减震</errorWord>
      <group>L1_Word</group>
      <groupName>字词问题</groupName>
      <ability>L2_Typo</ability>
      <abilityName>字词错误</abilityName>
      <candidateList>
        <item>减振</item>
      </candidateList>
      <explain>存在发音相同字词的误用。</explain>
      <paraID>6FC4DB77</paraID>
      <start>12</start>
      <end>14</end>
      <status>unmodified</status>
      <modifiedWord/>
      <trackRevisions>false</trackRevisions>
    </reviewItem>
    <reviewItem>
      <errorID>4a79d297-aa03-4d5c-9aaa-5a5787a62c7b</errorID>
      <errorWord>)</errorWord>
      <group>L1_Format</group>
      <groupName>格式问题</groupName>
      <ability>L2_HalfPunc_CN</ability>
      <abilityName>全半角问题</abilityName>
      <candidateList>
        <item>）</item>
      </candidateList>
      <explain>文本全半角错误。</explain>
      <paraID> 8E551FD</paraID>
      <start>13</start>
      <end>14</end>
      <status>unmodified</status>
      <modifiedWord/>
      <trackRevisions>false</trackRevisions>
    </reviewItem>
    <reviewItem>
      <errorID>6bc40be2-c500-4c11-b8ec-b6f412e6f3f4</errorID>
      <errorWord>(</errorWord>
      <group>L1_Format</group>
      <groupName>格式问题</groupName>
      <ability>L2_HalfPunc_CN</ability>
      <abilityName>全半角问题</abilityName>
      <candidateList>
        <item>（</item>
      </candidateList>
      <explain>文本全半角错误。</explain>
      <paraID>60F786DC</paraID>
      <start>17</start>
      <end>18</end>
      <status>unmodified</status>
      <modifiedWord/>
      <trackRevisions>false</trackRevisions>
    </reviewItem>
    <reviewItem>
      <errorID>d5da54b3-7b5f-45b9-8c24-e5a40a3dd764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7C19E3D1</paraID>
      <start>2</start>
      <end>3</end>
      <status>unmodified</status>
      <modifiedWord/>
      <trackRevisions>false</trackRevisions>
    </reviewItem>
    <reviewItem>
      <errorID>052205a3-f084-4330-adaf-3544d49e9604</errorID>
      <errorWord>)</errorWord>
      <group>L1_Format</group>
      <groupName>格式问题</groupName>
      <ability>L2_HalfPunc_CN</ability>
      <abilityName>全半角问题</abilityName>
      <candidateList>
        <item>）</item>
      </candidateList>
      <explain>文本全半角错误。</explain>
      <paraID>7C19E3D1</paraID>
      <start>8</start>
      <end>9</end>
      <status>unmodified</status>
      <modifiedWord/>
      <trackRevisions>false</trackRevisions>
    </reviewItem>
    <reviewItem>
      <errorID>d4a0afc8-13a4-4337-8c22-ceb9b536087b</errorID>
      <errorWord>,</errorWord>
      <group>L1_Format</group>
      <groupName>格式问题</groupName>
      <ability>L2_HalfPunc_CN</ability>
      <abilityName>全半角问题</abilityName>
      <candidateList>
        <item>，</item>
      </candidateList>
      <explain>文本全半角错误。</explain>
      <paraID>7C19E3D1</paraID>
      <start>9</start>
      <end>10</end>
      <status>unmodified</status>
      <modifiedWord/>
      <trackRevisions>false</trackRevisions>
    </reviewItem>
    <reviewItem>
      <errorID>a3761efd-bec9-456f-9268-6d12ddd2284e</errorID>
      <errorWord>(</errorWord>
      <group>L1_Format</group>
      <groupName>格式问题</groupName>
      <ability>L2_HalfPunc_CN</ability>
      <abilityName>全半角问题</abilityName>
      <candidateList>
        <item>（</item>
      </candidateList>
      <explain>文本全半角错误。</explain>
      <paraID>7C19E3D1</paraID>
      <start>31</start>
      <end>32</end>
      <status>unmodified</status>
      <modifiedWord/>
      <trackRevisions>false</trackRevisions>
    </reviewItem>
    <reviewItem>
      <errorID>98461ce3-2db9-4671-94b0-22ca3468275f</errorID>
      <errorWord>)</errorWord>
      <group>L1_Format</group>
      <groupName>格式问题</groupName>
      <ability>L2_HalfPunc_CN</ability>
      <abilityName>全半角问题</abilityName>
      <candidateList>
        <item>）</item>
      </candidateList>
      <explain>文本全半角错误。</explain>
      <paraID>5C4DD2F0</paraID>
      <start>15</start>
      <end>16</end>
      <status>unmodified</status>
      <modifiedWord/>
      <trackRevisions>false</trackRevisions>
    </reviewItem>
    <reviewItem>
      <errorID>14ba7771-baf7-424b-b634-824137ea13a0</errorID>
      <errorWord>,</errorWord>
      <group>L1_Format</group>
      <groupName>格式问题</groupName>
      <ability>L2_HalfPunc_CN</ability>
      <abilityName>全半角问题</abilityName>
      <candidateList>
        <item>，</item>
      </candidateList>
      <explain>文本全半角错误。</explain>
      <paraID>5C4DD2F0</paraID>
      <start>16</start>
      <end>17</end>
      <status>unmodified</status>
      <modifiedWord/>
      <trackRevisions>false</trackRevisions>
    </reviewItem>
    <reviewItem>
      <errorID>b7af79a9-6e25-413a-aa49-8de1a30bf832</errorID>
      <errorWord>,</errorWord>
      <group>L1_Format</group>
      <groupName>格式问题</groupName>
      <ability>L2_HalfPunc_CN</ability>
      <abilityName>全半角问题</abilityName>
      <candidateList>
        <item>，</item>
      </candidateList>
      <explain>文本全半角错误。</explain>
      <paraID> 5760480</paraID>
      <start>37</start>
      <end>38</end>
      <status>unmodified</status>
      <modifiedWord/>
      <trackRevisions>false</trackRevisions>
    </reviewItem>
    <reviewItem>
      <errorID>8de70da8-4b9a-42a3-87b4-62654ad13cf2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7161DE5F</paraID>
      <start>0</start>
      <end>3</end>
      <status>unmodified</status>
      <modifiedWord/>
      <trackRevisions>false</trackRevisions>
    </reviewItem>
    <reviewItem>
      <errorID>9d24189b-fe33-4dc7-9e98-94fb234c09b9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6667D790</paraID>
      <start>0</start>
      <end>3</end>
      <status>unmodified</status>
      <modifiedWord/>
      <trackRevisions>false</trackRevisions>
    </reviewItem>
    <reviewItem>
      <errorID>e7d046b1-ccae-4285-bda9-95b0a54c5340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58C4F933</paraID>
      <start>0</start>
      <end>3</end>
      <status>unmodified</status>
      <modifiedWord/>
      <trackRevisions>false</trackRevisions>
    </reviewItem>
    <reviewItem>
      <errorID>e69c6621-7e86-4126-b0fd-7dbb53c0c4e5</errorID>
      <errorWord>;</errorWord>
      <group>L1_Format</group>
      <groupName>格式问题</groupName>
      <ability>L2_HalfPunc_CN</ability>
      <abilityName>全半角问题</abilityName>
      <candidateList>
        <item>；</item>
      </candidateList>
      <explain>文本全半角错误。</explain>
      <paraID>40ECC14F</paraID>
      <start>14</start>
      <end>15</end>
      <status>unmodified</status>
      <modifiedWord/>
      <trackRevisions>false</trackRevisions>
    </reviewItem>
    <reviewItem>
      <errorID>dd3ccf54-5633-4f84-8c16-a22c028277fa</errorID>
      <errorWord>(</errorWord>
      <group>L1_Format</group>
      <groupName>格式问题</groupName>
      <ability>L2_HalfPunc_CN</ability>
      <abilityName>全半角问题</abilityName>
      <candidateList>
        <item>（</item>
      </candidateList>
      <explain>文本全半角错误。</explain>
      <paraID>3B9656F6</paraID>
      <start>7</start>
      <end>8</end>
      <status>unmodified</status>
      <modifiedWord/>
      <trackRevisions>false</trackRevisions>
    </reviewItem>
    <reviewItem>
      <errorID>b7eeaf02-3d55-4fa2-90cb-70529a1fa851</errorID>
      <errorWord>)</errorWord>
      <group>L1_Format</group>
      <groupName>格式问题</groupName>
      <ability>L2_HalfPunc_CN</ability>
      <abilityName>全半角问题</abilityName>
      <candidateList>
        <item>）</item>
      </candidateList>
      <explain>文本全半角错误。</explain>
      <paraID>3B9656F6</paraID>
      <start>18</start>
      <end>19</end>
      <status>unmodified</status>
      <modifiedWord/>
      <trackRevisions>false</trackRevisions>
    </reviewItem>
    <reviewItem>
      <errorID>ffdd1f5b-5ead-4273-8f29-55bacf1d8a7b</errorID>
      <errorWord>(</errorWord>
      <group>L1_Format</group>
      <groupName>格式问题</groupName>
      <ability>L2_HalfPunc_CN</ability>
      <abilityName>全半角问题</abilityName>
      <candidateList>
        <item>（</item>
      </candidateList>
      <explain>文本全半角错误。</explain>
      <paraID>274BDD92</paraID>
      <start>5</start>
      <end>6</end>
      <status>unmodified</status>
      <modifiedWord/>
      <trackRevisions>false</trackRevisions>
    </reviewItem>
    <reviewItem>
      <errorID>330ac511-c655-45ae-812e-4d079ca72fc4</errorID>
      <errorWord>)</errorWord>
      <group>L1_Format</group>
      <groupName>格式问题</groupName>
      <ability>L2_HalfPunc_CN</ability>
      <abilityName>全半角问题</abilityName>
      <candidateList>
        <item>）</item>
      </candidateList>
      <explain>文本全半角错误。</explain>
      <paraID>274BDD92</paraID>
      <start>7</start>
      <end>8</end>
      <status>unmodified</status>
      <modifiedWord/>
      <trackRevisions>false</trackRevisions>
    </reviewItem>
    <reviewItem>
      <errorID>6a78b5ed-ada3-4b40-b73c-404b5f11637c</errorID>
      <errorWord>(</errorWord>
      <group>L1_Format</group>
      <groupName>格式问题</groupName>
      <ability>L2_HalfPunc_CN</ability>
      <abilityName>全半角问题</abilityName>
      <candidateList>
        <item>（</item>
      </candidateList>
      <explain>文本全半角错误。</explain>
      <paraID>274BDD92</paraID>
      <start>13</start>
      <end>14</end>
      <status>unmodified</status>
      <modifiedWord/>
      <trackRevisions>false</trackRevisions>
    </reviewItem>
    <reviewItem>
      <errorID>8c44ef85-41fb-4aea-80b4-d1837cee4e75</errorID>
      <errorWord>)</errorWord>
      <group>L1_Format</group>
      <groupName>格式问题</groupName>
      <ability>L2_HalfPunc_CN</ability>
      <abilityName>全半角问题</abilityName>
      <candidateList>
        <item>）</item>
      </candidateList>
      <explain>文本全半角错误。</explain>
      <paraID>274BDD92</paraID>
      <start>15</start>
      <end>16</end>
      <status>unmodified</status>
      <modifiedWord/>
      <trackRevisions>false</trackRevisions>
    </reviewItem>
    <reviewItem>
      <errorID>c6cae94c-9b42-4ab6-92b0-a82738c2db4d</errorID>
      <errorWord>(</errorWord>
      <group>L1_Format</group>
      <groupName>格式问题</groupName>
      <ability>L2_HalfPunc_CN</ability>
      <abilityName>全半角问题</abilityName>
      <candidateList>
        <item>（</item>
      </candidateList>
      <explain>文本全半角错误。</explain>
      <paraID>274BDD92</paraID>
      <start>21</start>
      <end>22</end>
      <status>unmodified</status>
      <modifiedWord/>
      <trackRevisions>false</trackRevisions>
    </reviewItem>
    <reviewItem>
      <errorID>b3e88596-421e-4ab6-b912-5fd49fc9752d</errorID>
      <errorWord>)</errorWord>
      <group>L1_Format</group>
      <groupName>格式问题</groupName>
      <ability>L2_HalfPunc_CN</ability>
      <abilityName>全半角问题</abilityName>
      <candidateList>
        <item>）</item>
      </candidateList>
      <explain>文本全半角错误。</explain>
      <paraID>274BDD92</paraID>
      <start>23</start>
      <end>24</end>
      <status>unmodified</status>
      <modifiedWord/>
      <trackRevisions>false</trackRevisions>
    </reviewItem>
    <reviewItem>
      <errorID>f7275698-5afa-4b8c-876b-d6df67bc35e9</errorID>
      <errorWord>(</errorWord>
      <group>L1_Format</group>
      <groupName>格式问题</groupName>
      <ability>L2_HalfPunc_CN</ability>
      <abilityName>全半角问题</abilityName>
      <candidateList>
        <item>（</item>
      </candidateList>
      <explain>文本全半角错误。</explain>
      <paraID>5364729F</paraID>
      <start>3</start>
      <end>4</end>
      <status>unmodified</status>
      <modifiedWord/>
      <trackRevisions>false</trackRevisions>
    </reviewItem>
    <reviewItem>
      <errorID>fe1e8c9f-08f1-49d9-8d77-5fa0b62033dd</errorID>
      <errorWord>)</errorWord>
      <group>L1_Format</group>
      <groupName>格式问题</groupName>
      <ability>L2_HalfPunc_CN</ability>
      <abilityName>全半角问题</abilityName>
      <candidateList>
        <item>）</item>
      </candidateList>
      <explain>文本全半角错误。</explain>
      <paraID>5364729F</paraID>
      <start>10</start>
      <end>11</end>
      <status>unmodified</status>
      <modifiedWord/>
      <trackRevisions>false</trackRevisions>
    </reviewItem>
    <reviewItem>
      <errorID>d60fd724-6722-47f4-bf90-7cc64644355a</errorID>
      <errorWord>(</errorWord>
      <group>L1_Format</group>
      <groupName>格式问题</groupName>
      <ability>L2_HalfPunc_CN</ability>
      <abilityName>全半角问题</abilityName>
      <candidateList>
        <item>（</item>
      </candidateList>
      <explain>文本全半角错误。</explain>
      <paraID>5364729F</paraID>
      <start>20</start>
      <end>21</end>
      <status>unmodified</status>
      <modifiedWord/>
      <trackRevisions>false</trackRevisions>
    </reviewItem>
    <reviewItem>
      <errorID>ae730503-6384-4cc8-9473-2707261a2021</errorID>
      <errorWord>)</errorWord>
      <group>L1_Format</group>
      <groupName>格式问题</groupName>
      <ability>L2_HalfPunc_CN</ability>
      <abilityName>全半角问题</abilityName>
      <candidateList>
        <item>）</item>
      </candidateList>
      <explain>文本全半角错误。</explain>
      <paraID>54B4544F</paraID>
      <start>11</start>
      <end>12</end>
      <status>unmodified</status>
      <modifiedWord/>
      <trackRevisions>false</trackRevisions>
    </reviewItem>
    <reviewItem>
      <errorID>abb4c0e3-df29-4a4a-ac24-a0685fe7744a</errorID>
      <errorWord>,</errorWord>
      <group>L1_Format</group>
      <groupName>格式问题</groupName>
      <ability>L2_HalfPunc_CN</ability>
      <abilityName>全半角问题</abilityName>
      <candidateList>
        <item>，</item>
      </candidateList>
      <explain>文本全半角错误。</explain>
      <paraID>725DC6AB</paraID>
      <start>15</start>
      <end>16</end>
      <status>unmodified</status>
      <modifiedWord/>
      <trackRevisions>false</trackRevisions>
    </reviewItem>
    <reviewItem>
      <errorID>bcb24188-b0cf-4494-b30e-460d233e6ab8</errorID>
      <errorWord>,</errorWord>
      <group>L1_Format</group>
      <groupName>格式问题</groupName>
      <ability>L2_HalfPunc_CN</ability>
      <abilityName>全半角问题</abilityName>
      <candidateList>
        <item>，</item>
      </candidateList>
      <explain>文本全半角错误。</explain>
      <paraID>22F23DEB</paraID>
      <start>4</start>
      <end>5</end>
      <status>unmodified</status>
      <modifiedWord/>
      <trackRevisions>false</trackRevisions>
    </reviewItem>
    <reviewItem>
      <errorID>a51effba-430d-4a3c-a980-5129e71d10df</errorID>
      <errorWord>(</errorWord>
      <group>L1_Format</group>
      <groupName>格式问题</groupName>
      <ability>L2_HalfPunc_CN</ability>
      <abilityName>全半角问题</abilityName>
      <candidateList>
        <item>（</item>
      </candidateList>
      <explain>文本全半角错误。</explain>
      <paraID>6D470384</paraID>
      <start>2</start>
      <end>3</end>
      <status>unmodified</status>
      <modifiedWord/>
      <trackRevisions>false</trackRevisions>
    </reviewItem>
    <reviewItem>
      <errorID>6ec381af-0f56-4489-b201-37bf0584dd23</errorID>
      <errorWord>)</errorWord>
      <group>L1_Format</group>
      <groupName>格式问题</groupName>
      <ability>L2_HalfPunc_CN</ability>
      <abilityName>全半角问题</abilityName>
      <candidateList>
        <item>）</item>
      </candidateList>
      <explain>文本全半角错误。</explain>
      <paraID>6D470384</paraID>
      <start>5</start>
      <end>6</end>
      <status>unmodified</status>
      <modifiedWord/>
      <trackRevisions>false</trackRevisions>
    </reviewItem>
    <reviewItem>
      <errorID>340355d9-583f-480c-8e36-cfdf7f8e80f6</errorID>
      <errorWord>(</errorWord>
      <group>L1_Format</group>
      <groupName>格式问题</groupName>
      <ability>L2_HalfPunc_CN</ability>
      <abilityName>全半角问题</abilityName>
      <candidateList>
        <item>（</item>
      </candidateList>
      <explain>文本全半角错误。</explain>
      <paraID>7AF272DE</paraID>
      <start>13</start>
      <end>14</end>
      <status>unmodified</status>
      <modifiedWord/>
      <trackRevisions>false</trackRevisions>
    </reviewItem>
    <reviewItem>
      <errorID>f44c9f7f-172e-4fda-b6a3-467cf0d23dc3</errorID>
      <errorWord>-</errorWord>
      <group>L1_Format</group>
      <groupName>格式问题</groupName>
      <ability>L2_HalfPunc_CN</ability>
      <abilityName>全半角问题</abilityName>
      <candidateList>
        <item>－</item>
      </candidateList>
      <explain>文本全半角错误。</explain>
      <paraID>7AF272DE</paraID>
      <start>19</start>
      <end>20</end>
      <status>unmodified</status>
      <modifiedWord/>
      <trackRevisions>false</trackRevisions>
    </reviewItem>
    <reviewItem>
      <errorID>cb3698bc-21f0-4f4d-8e8b-b147f95ef66e</errorID>
      <errorWord>-</errorWord>
      <group>L1_Format</group>
      <groupName>格式问题</groupName>
      <ability>L2_HalfPunc_CN</ability>
      <abilityName>全半角问题</abilityName>
      <candidateList>
        <item>－</item>
      </candidateList>
      <explain>文本全半角错误。</explain>
      <paraID>7AF272DE</paraID>
      <start>22</start>
      <end>23</end>
      <status>unmodified</status>
      <modifiedWord/>
      <trackRevisions>false</trackRevisions>
    </reviewItem>
    <reviewItem>
      <errorID>a7a8360d-b244-49be-ab3e-7aeb3def76e7</errorID>
      <errorWord>)</errorWord>
      <group>L1_Format</group>
      <groupName>格式问题</groupName>
      <ability>L2_HalfPunc_CN</ability>
      <abilityName>全半角问题</abilityName>
      <candidateList>
        <item>）</item>
      </candidateList>
      <explain>文本全半角错误。</explain>
      <paraID>7AF272DE</paraID>
      <start>25</start>
      <end>26</end>
      <status>unmodified</status>
      <modifiedWord/>
      <trackRevisions>false</trackRevisions>
    </reviewItem>
    <reviewItem>
      <errorID>cf158cf0-4f32-4acb-9aca-2759ff94ae5a</errorID>
      <errorWord>(</errorWord>
      <group>L1_Format</group>
      <groupName>格式问题</groupName>
      <ability>L2_HalfPunc_CN</ability>
      <abilityName>全半角问题</abilityName>
      <candidateList>
        <item>（</item>
      </candidateList>
      <explain>文本全半角错误。</explain>
      <paraID>  E74101</paraID>
      <start>19</start>
      <end>20</end>
      <status>unmodified</status>
      <modifiedWord/>
      <trackRevisions>false</trackRevisions>
    </reviewItem>
    <reviewItem>
      <errorID>d7a0a914-90ff-4f77-b4bc-8daa4a574470</errorID>
      <errorWord>)</errorWord>
      <group>L1_Format</group>
      <groupName>格式问题</groupName>
      <ability>L2_HalfPunc_CN</ability>
      <abilityName>全半角问题</abilityName>
      <candidateList>
        <item>）</item>
      </candidateList>
      <explain>文本全半角错误。</explain>
      <paraID>  E74101</paraID>
      <start>24</start>
      <end>25</end>
      <status>unmodified</status>
      <modifiedWord/>
      <trackRevisions>false</trackRevisions>
    </reviewItem>
    <reviewItem>
      <errorID>6c220f2c-91b2-485a-837a-169d37f997c2</errorID>
      <errorWord>-</errorWord>
      <group>L1_Format</group>
      <groupName>格式问题</groupName>
      <ability>L2_HalfPunc_CN</ability>
      <abilityName>全半角问题</abilityName>
      <candidateList>
        <item>－</item>
      </candidateList>
      <explain>文本全半角错误。</explain>
      <paraID> 1B321E1</paraID>
      <start>10</start>
      <end>11</end>
      <status>unmodified</status>
      <modifiedWord/>
      <trackRevisions>false</trackRevisions>
    </reviewItem>
    <reviewItem>
      <errorID>76d1ed9b-940e-4b02-98cf-5b79edcbed5f</errorID>
      <errorWord>过度</errorWord>
      <group>L1_Word</group>
      <groupName>字词问题</groupName>
      <ability>L2_Typo</ability>
      <abilityName>字词错误</abilityName>
      <candidateList>
        <item>过渡</item>
      </candidateList>
      <explain>存在发音相同字词的误用。</explain>
      <paraID>31DF00F5</paraID>
      <start>2</start>
      <end>4</end>
      <status>unmodified</status>
      <modifiedWord/>
      <trackRevisions>false</trackRevisions>
    </reviewItem>
    <reviewItem>
      <errorID>34494fe9-0510-47c3-b658-c427a1ee1ea5</errorID>
      <errorWord>(</errorWord>
      <group>L1_Format</group>
      <groupName>格式问题</groupName>
      <ability>L2_HalfPunc_CN</ability>
      <abilityName>全半角问题</abilityName>
      <candidateList>
        <item>（</item>
      </candidateList>
      <explain>文本全半角错误。</explain>
      <paraID>10495508</paraID>
      <start>13</start>
      <end>14</end>
      <status>unmodified</status>
      <modifiedWord/>
      <trackRevisions>false</trackRevisions>
    </reviewItem>
    <reviewItem>
      <errorID>7e5a91e2-fb28-40e5-bd62-9e8ebbdcc6fb</errorID>
      <errorWord>-</errorWord>
      <group>L1_Format</group>
      <groupName>格式问题</groupName>
      <ability>L2_HalfPunc_CN</ability>
      <abilityName>全半角问题</abilityName>
      <candidateList>
        <item>－</item>
      </candidateList>
      <explain>文本全半角错误。</explain>
      <paraID>10495508</paraID>
      <start>19</start>
      <end>20</end>
      <status>unmodified</status>
      <modifiedWord/>
      <trackRevisions>false</trackRevisions>
    </reviewItem>
    <reviewItem>
      <errorID>02d76ec4-33ec-454c-8998-0352f1a943be</errorID>
      <errorWord>-</errorWord>
      <group>L1_Format</group>
      <groupName>格式问题</groupName>
      <ability>L2_HalfPunc_CN</ability>
      <abilityName>全半角问题</abilityName>
      <candidateList>
        <item>－</item>
      </candidateList>
      <explain>文本全半角错误。</explain>
      <paraID>10495508</paraID>
      <start>22</start>
      <end>23</end>
      <status>unmodified</status>
      <modifiedWord/>
      <trackRevisions>false</trackRevisions>
    </reviewItem>
    <reviewItem>
      <errorID>cf19a1a2-ded3-4638-8715-4abb601bc96a</errorID>
      <errorWord>)</errorWord>
      <group>L1_Format</group>
      <groupName>格式问题</groupName>
      <ability>L2_HalfPunc_CN</ability>
      <abilityName>全半角问题</abilityName>
      <candidateList>
        <item>）</item>
      </candidateList>
      <explain>文本全半角错误。</explain>
      <paraID>10495508</paraID>
      <start>25</start>
      <end>26</end>
      <status>unmodified</status>
      <modifiedWord/>
      <trackRevisions>false</trackRevisions>
    </reviewItem>
    <reviewItem>
      <errorID>77a7812b-fe76-42fb-8eb9-d127b152810e</errorID>
      <errorWord>(</errorWord>
      <group>L1_Format</group>
      <groupName>格式问题</groupName>
      <ability>L2_HalfPunc_CN</ability>
      <abilityName>全半角问题</abilityName>
      <candidateList>
        <item>（</item>
      </candidateList>
      <explain>文本全半角错误。</explain>
      <paraID>2DE43322</paraID>
      <start>7</start>
      <end>8</end>
      <status>unmodified</status>
      <modifiedWord/>
      <trackRevisions>false</trackRevisions>
    </reviewItem>
    <reviewItem>
      <errorID>0cdeac30-ddca-4d79-9747-d1cab9eb031c</errorID>
      <errorWord>)</errorWord>
      <group>L1_Format</group>
      <groupName>格式问题</groupName>
      <ability>L2_HalfPunc_CN</ability>
      <abilityName>全半角问题</abilityName>
      <candidateList>
        <item>）</item>
      </candidateList>
      <explain>文本全半角错误。</explain>
      <paraID>2DE43322</paraID>
      <start>18</start>
      <end>19</end>
      <status>unmodified</status>
      <modifiedWord/>
      <trackRevisions>false</trackRevisions>
    </reviewItem>
    <reviewItem>
      <errorID>b293fb05-64d2-476c-ad46-65384f21148a</errorID>
      <errorWord>(</errorWord>
      <group>L1_Format</group>
      <groupName>格式问题</groupName>
      <ability>L2_HalfPunc_CN</ability>
      <abilityName>全半角问题</abilityName>
      <candidateList>
        <item>（</item>
      </candidateList>
      <explain>文本全半角错误。</explain>
      <paraID> BDDB4CC</paraID>
      <start>7</start>
      <end>8</end>
      <status>unmodified</status>
      <modifiedWord/>
      <trackRevisions>false</trackRevisions>
    </reviewItem>
    <reviewItem>
      <errorID>d5e103d0-358f-48f2-a6c9-6e1e6f53bb70</errorID>
      <errorWord>)</errorWord>
      <group>L1_Format</group>
      <groupName>格式问题</groupName>
      <ability>L2_HalfPunc_CN</ability>
      <abilityName>全半角问题</abilityName>
      <candidateList>
        <item>）</item>
      </candidateList>
      <explain>文本全半角错误。</explain>
      <paraID> BDDB4CC</paraID>
      <start>18</start>
      <end>19</end>
      <status>unmodified</status>
      <modifiedWord/>
      <trackRevisions>false</trackRevisions>
    </reviewItem>
    <reviewItem>
      <errorID>020986d7-f6ee-4bf6-904f-fc5116d2beb3</errorID>
      <errorWord>(</errorWord>
      <group>L1_Format</group>
      <groupName>格式问题</groupName>
      <ability>L2_HalfPunc_CN</ability>
      <abilityName>全半角问题</abilityName>
      <candidateList>
        <item>（</item>
      </candidateList>
      <explain>文本全半角错误。</explain>
      <paraID>4C4571CD</paraID>
      <start>7</start>
      <end>8</end>
      <status>unmodified</status>
      <modifiedWord/>
      <trackRevisions>false</trackRevisions>
    </reviewItem>
    <reviewItem>
      <errorID>34bc4569-2969-43da-b9ea-bd70b2065e55</errorID>
      <errorWord>)</errorWord>
      <group>L1_Format</group>
      <groupName>格式问题</groupName>
      <ability>L2_HalfPunc_CN</ability>
      <abilityName>全半角问题</abilityName>
      <candidateList>
        <item>）</item>
      </candidateList>
      <explain>文本全半角错误。</explain>
      <paraID>4C4571CD</paraID>
      <start>18</start>
      <end>19</end>
      <status>unmodified</status>
      <modifiedWord/>
      <trackRevisions>false</trackRevisions>
    </reviewItem>
    <reviewItem>
      <errorID>fd5919d2-b58f-4e96-9844-a139fb32e82a</errorID>
      <errorWord>(</errorWord>
      <group>L1_Format</group>
      <groupName>格式问题</groupName>
      <ability>L2_HalfPunc_CN</ability>
      <abilityName>全半角问题</abilityName>
      <candidateList>
        <item>（</item>
      </candidateList>
      <explain>文本全半角错误。</explain>
      <paraID>64D07833</paraID>
      <start>7</start>
      <end>8</end>
      <status>unmodified</status>
      <modifiedWord/>
      <trackRevisions>false</trackRevisions>
    </reviewItem>
    <reviewItem>
      <errorID>0ada0943-dc74-41ce-bc9a-1251fcaca932</errorID>
      <errorWord>)</errorWord>
      <group>L1_Format</group>
      <groupName>格式问题</groupName>
      <ability>L2_HalfPunc_CN</ability>
      <abilityName>全半角问题</abilityName>
      <candidateList>
        <item>）</item>
      </candidateList>
      <explain>文本全半角错误。</explain>
      <paraID>64D07833</paraID>
      <start>19</start>
      <end>20</end>
      <status>unmodified</status>
      <modifiedWord/>
      <trackRevisions>false</trackRevisions>
    </reviewItem>
    <reviewItem>
      <errorID>17b60d2e-a950-45e9-8bd9-d99a594004c3</errorID>
      <errorWord>(</errorWord>
      <group>L1_Format</group>
      <groupName>格式问题</groupName>
      <ability>L2_HalfPunc_CN</ability>
      <abilityName>全半角问题</abilityName>
      <candidateList>
        <item>（</item>
      </candidateList>
      <explain>文本全半角错误。</explain>
      <paraID> C11615C</paraID>
      <start>7</start>
      <end>8</end>
      <status>unmodified</status>
      <modifiedWord/>
      <trackRevisions>false</trackRevisions>
    </reviewItem>
    <reviewItem>
      <errorID>091ea700-1fc0-4a2d-af4b-77601d7d5ccf</errorID>
      <errorWord>)</errorWord>
      <group>L1_Format</group>
      <groupName>格式问题</groupName>
      <ability>L2_HalfPunc_CN</ability>
      <abilityName>全半角问题</abilityName>
      <candidateList>
        <item>）</item>
      </candidateList>
      <explain>文本全半角错误。</explain>
      <paraID> C11615C</paraID>
      <start>16</start>
      <end>17</end>
      <status>unmodified</status>
      <modifiedWord/>
      <trackRevisions>false</trackRevisions>
    </reviewItem>
    <reviewItem>
      <errorID>67c36b0c-3df3-41cd-a209-9e8b589d4d40</errorID>
      <errorWord>(</errorWord>
      <group>L1_Format</group>
      <groupName>格式问题</groupName>
      <ability>L2_HalfPunc_CN</ability>
      <abilityName>全半角问题</abilityName>
      <candidateList>
        <item>（</item>
      </candidateList>
      <explain>文本全半角错误。</explain>
      <paraID>3A3B354A</paraID>
      <start>7</start>
      <end>8</end>
      <status>unmodified</status>
      <modifiedWord/>
      <trackRevisions>false</trackRevisions>
    </reviewItem>
    <reviewItem>
      <errorID>bb924394-5522-4060-9bb8-09be13847e67</errorID>
      <errorWord>)</errorWord>
      <group>L1_Format</group>
      <groupName>格式问题</groupName>
      <ability>L2_HalfPunc_CN</ability>
      <abilityName>全半角问题</abilityName>
      <candidateList>
        <item>）</item>
      </candidateList>
      <explain>文本全半角错误。</explain>
      <paraID>3A3B354A</paraID>
      <start>11</start>
      <end>12</end>
      <status>unmodified</status>
      <modifiedWord/>
      <trackRevisions>false</trackRevisions>
    </reviewItem>
    <reviewItem>
      <errorID>afc672af-ba5a-4e58-8af2-5a37fddb063c</errorID>
      <errorWord>(</errorWord>
      <group>L1_Format</group>
      <groupName>格式问题</groupName>
      <ability>L2_HalfPunc_CN</ability>
      <abilityName>全半角问题</abilityName>
      <candidateList>
        <item>（</item>
      </candidateList>
      <explain>文本全半角错误。</explain>
      <paraID> 1D4BCDC</paraID>
      <start>11</start>
      <end>12</end>
      <status>unmodified</status>
      <modifiedWord/>
      <trackRevisions>false</trackRevisions>
    </reviewItem>
    <reviewItem>
      <errorID>432ded82-93ad-402a-a9fc-1eb2e437b131</errorID>
      <errorWord>)</errorWord>
      <group>L1_Format</group>
      <groupName>格式问题</groupName>
      <ability>L2_HalfPunc_CN</ability>
      <abilityName>全半角问题</abilityName>
      <candidateList>
        <item>）</item>
      </candidateList>
      <explain>文本全半角错误。</explain>
      <paraID>72FFAA65</paraID>
      <start>5</start>
      <end>6</end>
      <status>unmodified</status>
      <modifiedWord/>
      <trackRevisions>false</trackRevisions>
    </reviewItem>
    <reviewItem>
      <errorID>b582eafa-4821-4133-82a2-6f41c1fa1943</errorID>
      <errorWord>(</errorWord>
      <group>L1_Format</group>
      <groupName>格式问题</groupName>
      <ability>L2_HalfPunc_CN</ability>
      <abilityName>全半角问题</abilityName>
      <candidateList>
        <item>（</item>
      </candidateList>
      <explain>文本全半角错误。</explain>
      <paraID> A86F1DF</paraID>
      <start>7</start>
      <end>8</end>
      <status>unmodified</status>
      <modifiedWord/>
      <trackRevisions>false</trackRevisions>
    </reviewItem>
    <reviewItem>
      <errorID>ad8aa523-9ffb-437a-a993-410cc695bc5c</errorID>
      <errorWord>)</errorWord>
      <group>L1_Format</group>
      <groupName>格式问题</groupName>
      <ability>L2_HalfPunc_CN</ability>
      <abilityName>全半角问题</abilityName>
      <candidateList>
        <item>）</item>
      </candidateList>
      <explain>文本全半角错误。</explain>
      <paraID> A86F1DF</paraID>
      <start>18</start>
      <end>19</end>
      <status>unmodified</status>
      <modifiedWord/>
      <trackRevisions>false</trackRevisions>
    </reviewItem>
    <reviewItem>
      <errorID>fd0c99d3-980a-404c-a3b7-a8583c28921d</errorID>
      <errorWord>(</errorWord>
      <group>L1_Format</group>
      <groupName>格式问题</groupName>
      <ability>L2_HalfPunc_CN</ability>
      <abilityName>全半角问题</abilityName>
      <candidateList>
        <item>（</item>
      </candidateList>
      <explain>文本全半角错误。</explain>
      <paraID>1AF79D76</paraID>
      <start>19</start>
      <end>20</end>
      <status>unmodified</status>
      <modifiedWord/>
      <trackRevisions>false</trackRevisions>
    </reviewItem>
    <reviewItem>
      <errorID>778c96c9-36bd-4317-897b-6382d74ef694</errorID>
      <errorWord>)</errorWord>
      <group>L1_Format</group>
      <groupName>格式问题</groupName>
      <ability>L2_HalfPunc_CN</ability>
      <abilityName>全半角问题</abilityName>
      <candidateList>
        <item>）</item>
      </candidateList>
      <explain>文本全半角错误。</explain>
      <paraID>1AF79D76</paraID>
      <start>25</start>
      <end>26</end>
      <status>unmodified</status>
      <modifiedWord/>
      <trackRevisions>false</trackRevisions>
    </reviewItem>
    <reviewItem>
      <errorID>3823c97c-9742-4369-a445-068829b2568b</errorID>
      <errorWord>,</errorWord>
      <group>L1_Format</group>
      <groupName>格式问题</groupName>
      <ability>L2_HalfPunc_CN</ability>
      <abilityName>全半角问题</abilityName>
      <candidateList>
        <item>，</item>
      </candidateList>
      <explain>文本全半角错误。</explain>
      <paraID>7CC8FE50</paraID>
      <start>20</start>
      <end>21</end>
      <status>unmodified</status>
      <modifiedWord/>
      <trackRevisions>false</trackRevisions>
    </reviewItem>
    <reviewItem>
      <errorID>b49b8e5b-7ca9-4d2c-b09f-109902420d44</errorID>
      <errorWord>(</errorWord>
      <group>L1_Format</group>
      <groupName>格式问题</groupName>
      <ability>L2_HalfPunc_CN</ability>
      <abilityName>全半角问题</abilityName>
      <candidateList>
        <item>（</item>
      </candidateList>
      <explain>文本全半角错误。</explain>
      <paraID>19BDE463</paraID>
      <start>5</start>
      <end>6</end>
      <status>unmodified</status>
      <modifiedWord/>
      <trackRevisions>false</trackRevisions>
    </reviewItem>
    <reviewItem>
      <errorID>87e2d513-e032-44a6-a226-21eca2ef4009</errorID>
      <errorWord>)</errorWord>
      <group>L1_Format</group>
      <groupName>格式问题</groupName>
      <ability>L2_HalfPunc_CN</ability>
      <abilityName>全半角问题</abilityName>
      <candidateList>
        <item>）</item>
      </candidateList>
      <explain>文本全半角错误。</explain>
      <paraID>19BDE463</paraID>
      <start>15</start>
      <end>16</end>
      <status>unmodified</status>
      <modifiedWord/>
      <trackRevisions>false</trackRevisions>
    </reviewItem>
    <reviewItem>
      <errorID>d35bb457-11cd-42f9-822a-ab13a7141f5f</errorID>
      <errorWord>,</errorWord>
      <group>L1_Format</group>
      <groupName>格式问题</groupName>
      <ability>L2_HalfPunc_CN</ability>
      <abilityName>全半角问题</abilityName>
      <candidateList>
        <item>，</item>
      </candidateList>
      <explain>文本全半角错误。</explain>
      <paraID>38DD0D4D</paraID>
      <start>8</start>
      <end>9</end>
      <status>unmodified</status>
      <modifiedWord/>
      <trackRevisions>false</trackRevisions>
    </reviewItem>
    <reviewItem>
      <errorID>3b02718b-7003-41e5-bd50-ebdb96446309</errorID>
      <errorWord>,</errorWord>
      <group>L1_Format</group>
      <groupName>格式问题</groupName>
      <ability>L2_HalfPunc_CN</ability>
      <abilityName>全半角问题</abilityName>
      <candidateList>
        <item>，</item>
      </candidateList>
      <explain>文本全半角错误。</explain>
      <paraID>34EA32AA</paraID>
      <start>8</start>
      <end>9</end>
      <status>unmodified</status>
      <modifiedWord/>
      <trackRevisions>false</trackRevisions>
    </reviewItem>
    <reviewItem>
      <errorID>02e993a2-8a8a-4ac2-93f4-576227798f07</errorID>
      <errorWord>(</errorWord>
      <group>L1_Format</group>
      <groupName>格式问题</groupName>
      <ability>L2_HalfPunc_CN</ability>
      <abilityName>全半角问题</abilityName>
      <candidateList>
        <item>（</item>
      </candidateList>
      <explain>文本全半角错误。</explain>
      <paraID>6468186C</paraID>
      <start>4</start>
      <end>5</end>
      <status>unmodified</status>
      <modifiedWord/>
      <trackRevisions>false</trackRevisions>
    </reviewItem>
    <reviewItem>
      <errorID>63e31ff1-e7fe-4541-8dee-e498d0471258</errorID>
      <errorWord>)</errorWord>
      <group>L1_Format</group>
      <groupName>格式问题</groupName>
      <ability>L2_HalfPunc_CN</ability>
      <abilityName>全半角问题</abilityName>
      <candidateList>
        <item>）</item>
      </candidateList>
      <explain>文本全半角错误。</explain>
      <paraID>6468186C</paraID>
      <start>14</start>
      <end>15</end>
      <status>unmodified</status>
      <modifiedWord/>
      <trackRevisions>false</trackRevisions>
    </reviewItem>
    <reviewItem>
      <errorID>0d615548-e9b4-4632-863f-361cf3a3dca6</errorID>
      <errorWord>(</errorWord>
      <group>L1_Format</group>
      <groupName>格式问题</groupName>
      <ability>L2_HalfPunc_CN</ability>
      <abilityName>全半角问题</abilityName>
      <candidateList>
        <item>（</item>
      </candidateList>
      <explain>文本全半角错误。</explain>
      <paraID>753E34E0</paraID>
      <start>12</start>
      <end>13</end>
      <status>unmodified</status>
      <modifiedWord/>
      <trackRevisions>false</trackRevisions>
    </reviewItem>
    <reviewItem>
      <errorID>807ccc87-9409-4c71-9e85-9614fc37166d</errorID>
      <errorWord>)</errorWord>
      <group>L1_Format</group>
      <groupName>格式问题</groupName>
      <ability>L2_HalfPunc_CN</ability>
      <abilityName>全半角问题</abilityName>
      <candidateList>
        <item>）</item>
      </candidateList>
      <explain>文本全半角错误。</explain>
      <paraID>7083EB5E</paraID>
      <start>9</start>
      <end>10</end>
      <status>unmodified</status>
      <modifiedWord/>
      <trackRevisions>false</trackRevisions>
    </reviewItem>
    <reviewItem>
      <errorID>563d34fe-c0ae-4c42-b16f-68404ecf85f5</errorID>
      <errorWord>2024年09月7日</errorWord>
      <group>L1_Knowledge</group>
      <groupName>知识性问题</groupName>
      <ability>L2_Time</ability>
      <abilityName>日期时间</abilityName>
      <candidateList>
        <item>2024年9月7日</item>
      </candidateList>
      <explain>根据日常书写习惯，月份一般会省略前导零。</explain>
      <paraID>79FB3E19</paraID>
      <start>41</start>
      <end>51</end>
      <status>unmodified</status>
      <modifiedWord/>
      <trackRevisions>false</trackRevisions>
    </reviewItem>
    <reviewItem>
      <errorID>b663b90c-3d15-4c6f-85ce-988c63aa4cbf</errorID>
      <errorWord>、且</errorWord>
      <group>L1_Word</group>
      <groupName>字词问题</groupName>
      <ability>L2_Typo</ability>
      <abilityName>字词错误</abilityName>
      <candidateList>
        <item>且</item>
      </candidateList>
      <explain/>
      <paraID>73ECE0C5</paraID>
      <start>10</start>
      <end>12</end>
      <status>unmodified</status>
      <modifiedWord/>
      <trackRevisions>false</trackRevisions>
    </reviewItem>
    <reviewItem>
      <errorID>84c9cabc-1095-4d03-bcc4-cb86f9f3bf5a</errorID>
      <errorWord>、且</errorWord>
      <group>L1_Word</group>
      <groupName>字词问题</groupName>
      <ability>L2_Typo</ability>
      <abilityName>字词错误</abilityName>
      <candidateList>
        <item>且</item>
      </candidateList>
      <explain/>
      <paraID>351ECF02</paraID>
      <start>10</start>
      <end>12</end>
      <status>unmodified</status>
      <modifiedWord/>
      <trackRevisions>false</trackRevisions>
    </reviewItem>
    <reviewItem>
      <errorID>6e6d64b4-1822-4a35-810b-25b193633124</errorID>
      <errorWord>、且</errorWord>
      <group>L1_Word</group>
      <groupName>字词问题</groupName>
      <ability>L2_Typo</ability>
      <abilityName>字词错误</abilityName>
      <candidateList>
        <item>且</item>
      </candidateList>
      <explain/>
      <paraID>4C757E9A</paraID>
      <start>10</start>
      <end>12</end>
      <status>unmodified</status>
      <modifiedWord/>
      <trackRevisions>false</trackRevisions>
    </reviewItem>
    <reviewItem>
      <errorID>66ec5088-b241-4da0-bb67-139a307bbb19</errorID>
      <errorWord>、且</errorWord>
      <group>L1_Word</group>
      <groupName>字词问题</groupName>
      <ability>L2_Typo</ability>
      <abilityName>字词错误</abilityName>
      <candidateList>
        <item>且</item>
      </candidateList>
      <explain/>
      <paraID>7DF9FD5E</paraID>
      <start>10</start>
      <end>12</end>
      <status>unmodified</status>
      <modifiedWord/>
      <trackRevisions>false</trackRevisions>
    </reviewItem>
    <reviewItem>
      <errorID>4eada533-ae78-4d8e-9b0f-9cb6d9336e56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4343AD70</paraID>
      <start>0</start>
      <end>2</end>
      <status>unmodified</status>
      <modifiedWord/>
      <trackRevisions>false</trackRevisions>
    </reviewItem>
    <reviewItem>
      <errorID>3aa0aa00-3e54-46ec-912e-77c45011a7b9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792CA0C1</paraID>
      <start>0</start>
      <end>2</end>
      <status>unmodified</status>
      <modifiedWord/>
      <trackRevisions>false</trackRevisions>
    </reviewItem>
    <reviewItem>
      <errorID>8676e081-1dd8-40db-b86a-a24298b0e76e</errorID>
      <errorWord>(</errorWord>
      <group>L1_Format</group>
      <groupName>格式问题</groupName>
      <ability>L2_HalfPunc_CN</ability>
      <abilityName>全半角问题</abilityName>
      <candidateList>
        <item>（</item>
      </candidateList>
      <explain>文本全半角错误。</explain>
      <paraID>7A9E3FEE</paraID>
      <start>7</start>
      <end>8</end>
      <status>unmodified</status>
      <modifiedWord/>
      <trackRevisions>false</trackRevisions>
    </reviewItem>
    <reviewItem>
      <errorID>dd96cba9-1c22-4b68-966e-02d195271e6f</errorID>
      <errorWord>)</errorWord>
      <group>L1_Format</group>
      <groupName>格式问题</groupName>
      <ability>L2_HalfPunc_CN</ability>
      <abilityName>全半角问题</abilityName>
      <candidateList>
        <item>）</item>
      </candidateList>
      <explain>文本全半角错误。</explain>
      <paraID>7A9E3FEE</paraID>
      <start>16</start>
      <end>17</end>
      <status>unmodified</status>
      <modifiedWord/>
      <trackRevisions>false</trackRevisions>
    </reviewItem>
    <reviewItem>
      <errorID>b12f9d54-2666-4417-998c-bd7b426df479</errorID>
      <errorWord>(</errorWord>
      <group>L1_Format</group>
      <groupName>格式问题</groupName>
      <ability>L2_HalfPunc_CN</ability>
      <abilityName>全半角问题</abilityName>
      <candidateList>
        <item>（</item>
      </candidateList>
      <explain>文本全半角错误。</explain>
      <paraID>2C60C987</paraID>
      <start>21</start>
      <end>22</end>
      <status>unmodified</status>
      <modifiedWord/>
      <trackRevisions>false</trackRevisions>
    </reviewItem>
    <reviewItem>
      <errorID>b080a902-aa8d-4299-89d2-ab108ed4268f</errorID>
      <errorWord>)</errorWord>
      <group>L1_Format</group>
      <groupName>格式问题</groupName>
      <ability>L2_HalfPunc_CN</ability>
      <abilityName>全半角问题</abilityName>
      <candidateList>
        <item>）</item>
      </candidateList>
      <explain>文本全半角错误。</explain>
      <paraID>2C60C987</paraID>
      <start>30</start>
      <end>31</end>
      <status>unmodified</status>
      <modifiedWord/>
      <trackRevisions>false</trackRevisions>
    </reviewItem>
    <reviewItem>
      <errorID>fc9f25f9-8c56-4dee-afcf-f6b499270925</errorID>
      <errorWord>,</errorWord>
      <group>L1_Format</group>
      <groupName>格式问题</groupName>
      <ability>L2_HalfPunc_CN</ability>
      <abilityName>全半角问题</abilityName>
      <candidateList>
        <item>，</item>
      </candidateList>
      <explain>文本全半角错误。</explain>
      <paraID>2C60C987</paraID>
      <start>31</start>
      <end>32</end>
      <status>unmodified</status>
      <modifiedWord/>
      <trackRevisions>false</trackRevisions>
    </reviewItem>
    <reviewItem>
      <errorID>5fca8782-a5bd-4b4d-9f6b-00ea352708d6</errorID>
      <errorWord>(</errorWord>
      <group>L1_Format</group>
      <groupName>格式问题</groupName>
      <ability>L2_HalfPunc_CN</ability>
      <abilityName>全半角问题</abilityName>
      <candidateList>
        <item>（</item>
      </candidateList>
      <explain>文本全半角错误。</explain>
      <paraID>2C60C987</paraID>
      <start>45</start>
      <end>46</end>
      <status>unmodified</status>
      <modifiedWord/>
      <trackRevisions>false</trackRevisions>
    </reviewItem>
    <reviewItem>
      <errorID>e65b283e-05ac-4d59-80e0-24b25b5fdc54</errorID>
      <errorWord>)</errorWord>
      <group>L1_Format</group>
      <groupName>格式问题</groupName>
      <ability>L2_HalfPunc_CN</ability>
      <abilityName>全半角问题</abilityName>
      <candidateList>
        <item>）</item>
      </candidateList>
      <explain>文本全半角错误。</explain>
      <paraID>2C60C987</paraID>
      <start>55</start>
      <end>56</end>
      <status>unmodified</status>
      <modifiedWord/>
      <trackRevisions>false</trackRevisions>
    </reviewItem>
    <reviewItem>
      <errorID>5046330f-c684-4845-a9a6-27d7185f2d39</errorID>
      <errorWord>(</errorWord>
      <group>L1_Format</group>
      <groupName>格式问题</groupName>
      <ability>L2_HalfPunc_CN</ability>
      <abilityName>全半角问题</abilityName>
      <candidateList>
        <item>（</item>
      </candidateList>
      <explain>文本全半角错误。</explain>
      <paraID>2AEB999E</paraID>
      <start>5</start>
      <end>6</end>
      <status>unmodified</status>
      <modifiedWord/>
      <trackRevisions>false</trackRevisions>
    </reviewItem>
    <reviewItem>
      <errorID>d0caef8b-7e2c-4ed8-a51f-b5944a5d0d28</errorID>
      <errorWord>)</errorWord>
      <group>L1_Format</group>
      <groupName>格式问题</groupName>
      <ability>L2_HalfPunc_CN</ability>
      <abilityName>全半角问题</abilityName>
      <candidateList>
        <item>）</item>
      </candidateList>
      <explain>文本全半角错误。</explain>
      <paraID>2AEB999E</paraID>
      <start>8</start>
      <end>9</end>
      <status>unmodified</status>
      <modifiedWord/>
      <trackRevisions>false</trackRevisions>
    </reviewItem>
    <reviewItem>
      <errorID>899fd30b-3036-4292-9e86-f869dc45bb37</errorID>
      <errorWord>场</errorWord>
      <group>L1_Word</group>
      <groupName>字词问题</groupName>
      <ability>L2_Typo</ability>
      <abilityName>字词错误</abilityName>
      <candidateList>
        <item>厂</item>
      </candidateList>
      <explain/>
      <paraID>45F167D1</paraID>
      <start>10</start>
      <end>11</end>
      <status>unmodified</status>
      <modifiedWord/>
      <trackRevisions>false</trackRevisions>
    </reviewItem>
    <reviewItem>
      <errorID>b1f57af9-e6af-4688-824b-e751ae0e8895</errorID>
      <errorWord>(</errorWord>
      <group>L1_Format</group>
      <groupName>格式问题</groupName>
      <ability>L2_HalfPunc_CN</ability>
      <abilityName>全半角问题</abilityName>
      <candidateList>
        <item>（</item>
      </candidateList>
      <explain>文本全半角错误。</explain>
      <paraID>45F167D1</paraID>
      <start>16</start>
      <end>17</end>
      <status>unmodified</status>
      <modifiedWord/>
      <trackRevisions>false</trackRevisions>
    </reviewItem>
    <reviewItem>
      <errorID>8e6e8661-25f8-40d1-b6cf-e2cd9fd9f3bf</errorID>
      <errorWord>)</errorWord>
      <group>L1_Format</group>
      <groupName>格式问题</groupName>
      <ability>L2_HalfPunc_CN</ability>
      <abilityName>全半角问题</abilityName>
      <candidateList>
        <item>）</item>
      </candidateList>
      <explain>文本全半角错误。</explain>
      <paraID>45F167D1</paraID>
      <start>19</start>
      <end>20</end>
      <status>unmodified</status>
      <modifiedWord/>
      <trackRevisions>false</trackRevisions>
    </reviewItem>
    <reviewItem>
      <errorID>f0f1a7a3-2dc2-433b-9c97-08501d3bbfc1</errorID>
      <errorWord>场</errorWord>
      <group>L1_Word</group>
      <groupName>字词问题</groupName>
      <ability>L2_Typo</ability>
      <abilityName>字词错误</abilityName>
      <candidateList>
        <item>厂</item>
      </candidateList>
      <explain/>
      <paraID>29C4ACAD</paraID>
      <start>10</start>
      <end>11</end>
      <status>unmodified</status>
      <modifiedWord/>
      <trackRevisions>false</trackRevisions>
    </reviewItem>
    <reviewItem>
      <errorID>9152eea6-e3ef-4bb0-a38b-7efc68b6da1c</errorID>
      <errorWord>(</errorWord>
      <group>L1_Format</group>
      <groupName>格式问题</groupName>
      <ability>L2_HalfPunc_CN</ability>
      <abilityName>全半角问题</abilityName>
      <candidateList>
        <item>（</item>
      </candidateList>
      <explain>文本全半角错误。</explain>
      <paraID>29C4ACAD</paraID>
      <start>16</start>
      <end>17</end>
      <status>unmodified</status>
      <modifiedWord/>
      <trackRevisions>false</trackRevisions>
    </reviewItem>
    <reviewItem>
      <errorID>75bc54ed-0a35-4266-9ab3-eb2e999c8eca</errorID>
      <errorWord>)</errorWord>
      <group>L1_Format</group>
      <groupName>格式问题</groupName>
      <ability>L2_HalfPunc_CN</ability>
      <abilityName>全半角问题</abilityName>
      <candidateList>
        <item>）</item>
      </candidateList>
      <explain>文本全半角错误。</explain>
      <paraID>29C4ACAD</paraID>
      <start>19</start>
      <end>20</end>
      <status>unmodified</status>
      <modifiedWord/>
      <trackRevisions>false</trackRevisions>
    </reviewItem>
    <reviewItem>
      <errorID>fa9ef869-3431-4821-a80b-85d55d207f63</errorID>
      <errorWord>场</errorWord>
      <group>L1_Word</group>
      <groupName>字词问题</groupName>
      <ability>L2_Typo</ability>
      <abilityName>字词错误</abilityName>
      <candidateList>
        <item>厂</item>
      </candidateList>
      <explain/>
      <paraID>2C4656E0</paraID>
      <start>10</start>
      <end>11</end>
      <status>unmodified</status>
      <modifiedWord/>
      <trackRevisions>false</trackRevisions>
    </reviewItem>
    <reviewItem>
      <errorID>207fb4c9-c1f0-4699-94c9-02d04f778570</errorID>
      <errorWord>(</errorWord>
      <group>L1_Format</group>
      <groupName>格式问题</groupName>
      <ability>L2_HalfPunc_CN</ability>
      <abilityName>全半角问题</abilityName>
      <candidateList>
        <item>（</item>
      </candidateList>
      <explain>文本全半角错误。</explain>
      <paraID>2C4656E0</paraID>
      <start>16</start>
      <end>17</end>
      <status>unmodified</status>
      <modifiedWord/>
      <trackRevisions>false</trackRevisions>
    </reviewItem>
    <reviewItem>
      <errorID>43e67aa2-7804-442b-a27d-0d664b7c34a5</errorID>
      <errorWord>)</errorWord>
      <group>L1_Format</group>
      <groupName>格式问题</groupName>
      <ability>L2_HalfPunc_CN</ability>
      <abilityName>全半角问题</abilityName>
      <candidateList>
        <item>）</item>
      </candidateList>
      <explain>文本全半角错误。</explain>
      <paraID>2C4656E0</paraID>
      <start>19</start>
      <end>20</end>
      <status>unmodified</status>
      <modifiedWord/>
      <trackRevisions>false</trackRevisions>
    </reviewItem>
    <reviewItem>
      <errorID>3f0de374-4f13-4f96-8730-1af61d3ccc38</errorID>
      <errorWord>场</errorWord>
      <group>L1_Word</group>
      <groupName>字词问题</groupName>
      <ability>L2_Typo</ability>
      <abilityName>字词错误</abilityName>
      <candidateList>
        <item>厂</item>
      </candidateList>
      <explain/>
      <paraID>29EC9495</paraID>
      <start>10</start>
      <end>11</end>
      <status>unmodified</status>
      <modifiedWord/>
      <trackRevisions>false</trackRevisions>
    </reviewItem>
    <reviewItem>
      <errorID>6f0dad53-b4de-46d8-b80d-ba962f96b37d</errorID>
      <errorWord>(</errorWord>
      <group>L1_Format</group>
      <groupName>格式问题</groupName>
      <ability>L2_HalfPunc_CN</ability>
      <abilityName>全半角问题</abilityName>
      <candidateList>
        <item>（</item>
      </candidateList>
      <explain>文本全半角错误。</explain>
      <paraID>29EC9495</paraID>
      <start>16</start>
      <end>17</end>
      <status>unmodified</status>
      <modifiedWord/>
      <trackRevisions>false</trackRevisions>
    </reviewItem>
    <reviewItem>
      <errorID>10aa3067-fce0-4f15-8f15-0c96c4542499</errorID>
      <errorWord>)</errorWord>
      <group>L1_Format</group>
      <groupName>格式问题</groupName>
      <ability>L2_HalfPunc_CN</ability>
      <abilityName>全半角问题</abilityName>
      <candidateList>
        <item>）</item>
      </candidateList>
      <explain>文本全半角错误。</explain>
      <paraID>29EC9495</paraID>
      <start>19</start>
      <end>20</end>
      <status>unmodified</status>
      <modifiedWord/>
      <trackRevisions>false</trackRevisions>
    </reviewItem>
    <reviewItem>
      <errorID>0cc9ba17-3116-48ad-848c-0f7e15628760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146D069</paraID>
      <start>0</start>
      <end>3</end>
      <status>unmodified</status>
      <modifiedWord/>
      <trackRevisions>false</trackRevisions>
    </reviewItem>
    <reviewItem>
      <errorID>2bb39734-7df7-43d6-bb39-42cc17399bf4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6A65AE21</paraID>
      <start>0</start>
      <end>3</end>
      <status>unmodified</status>
      <modifiedWord/>
      <trackRevisions>false</trackRevisions>
    </reviewItem>
    <reviewItem>
      <errorID>855bb0a3-9eb8-4c1a-8ccd-24c65bae19e6</errorID>
      <errorWord>。。</errorWord>
      <group>L1_Punc</group>
      <groupName>标点问题</groupName>
      <ability>L2_Punc_CN</ability>
      <abilityName>标点符号问题</abilityName>
      <candidateList>
        <item>。</item>
      </candidateList>
      <explain/>
      <paraID> B0B2AE2</paraID>
      <start>78</start>
      <end>80</end>
      <status>unmodified</status>
      <modifiedWord/>
      <trackRevisions>false</trackRevisions>
    </reviewItem>
    <reviewItem>
      <errorID>0da48ea4-8fe3-4fbd-9d68-db860a949115</errorID>
      <errorWord>(</errorWord>
      <group>L1_Format</group>
      <groupName>格式问题</groupName>
      <ability>L2_HalfPunc_CN</ability>
      <abilityName>全半角问题</abilityName>
      <candidateList>
        <item>（</item>
      </candidateList>
      <explain>文本全半角错误。</explain>
      <paraID>4E4A02FF</paraID>
      <start>15</start>
      <end>16</end>
      <status>unmodified</status>
      <modifiedWord/>
      <trackRevisions>false</trackRevisions>
    </reviewItem>
    <reviewItem>
      <errorID>12a6aab1-56e7-4b4f-a84b-fde8f50e0b6d</errorID>
      <errorWord>)</errorWord>
      <group>L1_Format</group>
      <groupName>格式问题</groupName>
      <ability>L2_HalfPunc_CN</ability>
      <abilityName>全半角问题</abilityName>
      <candidateList>
        <item>）</item>
      </candidateList>
      <explain>文本全半角错误。</explain>
      <paraID>4E4A02FF</paraID>
      <start>19</start>
      <end>20</end>
      <status>unmodified</status>
      <modifiedWord/>
      <trackRevisions>false</trackRevisions>
    </reviewItem>
    <reviewItem>
      <errorID>188e211c-1a70-4a4c-b371-c77b7bee387d</errorID>
      <errorWord>~</errorWord>
      <group>L1_Format</group>
      <groupName>格式问题</groupName>
      <ability>L2_HalfPunc_CN</ability>
      <abilityName>全半角问题</abilityName>
      <candidateList>
        <item>～</item>
      </candidateList>
      <explain>文本全半角错误。</explain>
      <paraID>486084E1</paraID>
      <start>2</start>
      <end>3</end>
      <status>unmodified</status>
      <modifiedWord/>
      <trackRevisions>false</trackRevisions>
    </reviewItem>
    <reviewItem>
      <errorID>794e40a2-881e-4166-9c47-d61812f049e5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60252AFE</paraID>
      <start>13</start>
      <end>14</end>
      <status>unmodified</status>
      <modifiedWord/>
      <trackRevisions>false</trackRevisions>
    </reviewItem>
    <reviewItem>
      <errorID>02320768-2ba0-4655-be5a-83f3eae4c571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23AB55CC</paraID>
      <start>0</start>
      <end>3</end>
      <status>unmodified</status>
      <modifiedWord/>
      <trackRevisions>false</trackRevisions>
    </reviewItem>
    <reviewItem>
      <errorID>daf20e41-aea6-44fd-933e-e721be6bbdfe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35318C30</paraID>
      <start>0</start>
      <end>3</end>
      <status>unmodified</status>
      <modifiedWord/>
      <trackRevisions>false</trackRevisions>
    </reviewItem>
    <reviewItem>
      <errorID>6e561ceb-f44b-4ecd-95de-db94b92e62db</errorID>
      <errorWord>(</errorWord>
      <group>L1_Format</group>
      <groupName>格式问题</groupName>
      <ability>L2_HalfPunc_CN</ability>
      <abilityName>全半角问题</abilityName>
      <candidateList>
        <item>（</item>
      </candidateList>
      <explain>文本全半角错误。</explain>
      <paraID> BDD7699</paraID>
      <start>81</start>
      <end>82</end>
      <status>unmodified</status>
      <modifiedWord/>
      <trackRevisions>false</trackRevisions>
    </reviewItem>
    <reviewItem>
      <errorID>4759e964-1505-4494-8875-2c73159bc74a</errorID>
      <errorWord>)</errorWord>
      <group>L1_Format</group>
      <groupName>格式问题</groupName>
      <ability>L2_HalfPunc_CN</ability>
      <abilityName>全半角问题</abilityName>
      <candidateList>
        <item>）</item>
      </candidateList>
      <explain>文本全半角错误。</explain>
      <paraID> BDD7699</paraID>
      <start>91</start>
      <end>92</end>
      <status>unmodified</status>
      <modifiedWord/>
      <trackRevisions>false</trackRevisions>
    </reviewItem>
    <reviewItem>
      <errorID>0db65c51-d91f-4445-ab39-f251f424396d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18FDAA6D</paraID>
      <start>0</start>
      <end>2</end>
      <status>unmodified</status>
      <modifiedWord/>
      <trackRevisions>false</trackRevisions>
    </reviewItem>
    <reviewItem>
      <errorID>2bce5914-b07f-4aa9-8e01-90f01e9dfefd</errorID>
      <errorWord>(</errorWord>
      <group>L1_Format</group>
      <groupName>格式问题</groupName>
      <ability>L2_HalfPunc_CN</ability>
      <abilityName>全半角问题</abilityName>
      <candidateList>
        <item>（</item>
      </candidateList>
      <explain>文本全半角错误。</explain>
      <paraID>5193D2A6</paraID>
      <start>12</start>
      <end>13</end>
      <status>unmodified</status>
      <modifiedWord/>
      <trackRevisions>false</trackRevisions>
    </reviewItem>
    <reviewItem>
      <errorID>585908be-0bbc-4e39-aac4-813c9fca347d</errorID>
      <errorWord>)</errorWord>
      <group>L1_Format</group>
      <groupName>格式问题</groupName>
      <ability>L2_HalfPunc_CN</ability>
      <abilityName>全半角问题</abilityName>
      <candidateList>
        <item>）</item>
      </candidateList>
      <explain>文本全半角错误。</explain>
      <paraID>5193D2A6</paraID>
      <start>21</start>
      <end>22</end>
      <status>unmodified</status>
      <modifiedWord/>
      <trackRevisions>false</trackRevisions>
    </reviewItem>
    <reviewItem>
      <errorID>5eb94f8f-e298-4411-88b3-90ebae080e66</errorID>
      <errorWord>(</errorWord>
      <group>L1_Format</group>
      <groupName>格式问题</groupName>
      <ability>L2_HalfPunc_CN</ability>
      <abilityName>全半角问题</abilityName>
      <candidateList>
        <item>（</item>
      </candidateList>
      <explain>文本全半角错误。</explain>
      <paraID>719B8F52</paraID>
      <start>13</start>
      <end>14</end>
      <status>unmodified</status>
      <modifiedWord/>
      <trackRevisions>false</trackRevisions>
    </reviewItem>
    <reviewItem>
      <errorID>185d8aed-fa99-4ab7-a420-7279263a6f59</errorID>
      <errorWord>)</errorWord>
      <group>L1_Format</group>
      <groupName>格式问题</groupName>
      <ability>L2_HalfPunc_CN</ability>
      <abilityName>全半角问题</abilityName>
      <candidateList>
        <item>）</item>
      </candidateList>
      <explain>文本全半角错误。</explain>
      <paraID>719B8F52</paraID>
      <start>22</start>
      <end>23</end>
      <status>unmodified</status>
      <modifiedWord/>
      <trackRevisions>false</trackRevisions>
    </reviewItem>
    <reviewItem>
      <errorID>0fe42202-3a1d-4a63-9a8a-a3b9c50680fa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2B93B453</paraID>
      <start>0</start>
      <end>2</end>
      <status>unmodified</status>
      <modifiedWord/>
      <trackRevisions>false</trackRevisions>
    </reviewItem>
    <reviewItem>
      <errorID>f4b09277-4423-4715-abf3-5414608bb8d4</errorID>
      <errorWord>(</errorWord>
      <group>L1_Format</group>
      <groupName>格式问题</groupName>
      <ability>L2_HalfPunc_CN</ability>
      <abilityName>全半角问题</abilityName>
      <candidateList>
        <item>（</item>
      </candidateList>
      <explain>文本全半角错误。</explain>
      <paraID>4B2598B4</paraID>
      <start>10</start>
      <end>11</end>
      <status>unmodified</status>
      <modifiedWord/>
      <trackRevisions>false</trackRevisions>
    </reviewItem>
    <reviewItem>
      <errorID>671d1d6e-8df6-4a32-a471-5b0b2ab9cc49</errorID>
      <errorWord>)</errorWord>
      <group>L1_Format</group>
      <groupName>格式问题</groupName>
      <ability>L2_HalfPunc_CN</ability>
      <abilityName>全半角问题</abilityName>
      <candidateList>
        <item>）</item>
      </candidateList>
      <explain>文本全半角错误。</explain>
      <paraID>4B2598B4</paraID>
      <start>13</start>
      <end>14</end>
      <status>unmodified</status>
      <modifiedWord/>
      <trackRevisions>false</trackRevisions>
    </reviewItem>
    <reviewItem>
      <errorID>72c76a8e-9bf2-4097-97b9-d022c4c77fd5</errorID>
      <errorWord>,</errorWord>
      <group>L1_Format</group>
      <groupName>格式问题</groupName>
      <ability>L2_HalfPunc_CN</ability>
      <abilityName>全半角问题</abilityName>
      <candidateList>
        <item>，</item>
      </candidateList>
      <explain>文本全半角错误。</explain>
      <paraID>4B2598B4</paraID>
      <start>63</start>
      <end>64</end>
      <status>unmodified</status>
      <modifiedWord/>
      <trackRevisions>false</trackRevisions>
    </reviewItem>
    <reviewItem>
      <errorID>528105f8-8be7-4d74-816a-b4fad20ef394</errorID>
      <errorWord>,</errorWord>
      <group>L1_Format</group>
      <groupName>格式问题</groupName>
      <ability>L2_HalfPunc_CN</ability>
      <abilityName>全半角问题</abilityName>
      <candidateList>
        <item>，</item>
      </candidateList>
      <explain>文本全半角错误。</explain>
      <paraID>4B2598B4</paraID>
      <start>85</start>
      <end>86</end>
      <status>unmodified</status>
      <modifiedWord/>
      <trackRevisions>false</trackRevisions>
    </reviewItem>
    <reviewItem>
      <errorID>208e9376-1f91-4085-a9d6-0b4e97d842c2</errorID>
      <errorWord>(</errorWord>
      <group>L1_Format</group>
      <groupName>格式问题</groupName>
      <ability>L2_HalfPunc_CN</ability>
      <abilityName>全半角问题</abilityName>
      <candidateList>
        <item>（</item>
      </candidateList>
      <explain>文本全半角错误。</explain>
      <paraID>5A4CE0EA</paraID>
      <start>10</start>
      <end>11</end>
      <status>unmodified</status>
      <modifiedWord/>
      <trackRevisions>false</trackRevisions>
    </reviewItem>
    <reviewItem>
      <errorID>4b70de5a-c3d4-4ad9-a599-e38f0bbd4d78</errorID>
      <errorWord>)</errorWord>
      <group>L1_Format</group>
      <groupName>格式问题</groupName>
      <ability>L2_HalfPunc_CN</ability>
      <abilityName>全半角问题</abilityName>
      <candidateList>
        <item>）</item>
      </candidateList>
      <explain>文本全半角错误。</explain>
      <paraID>5A4CE0EA</paraID>
      <start>13</start>
      <end>14</end>
      <status>unmodified</status>
      <modifiedWord/>
      <trackRevisions>false</trackRevisions>
    </reviewItem>
    <reviewItem>
      <errorID>fc0e79ce-f39f-4bdd-af25-a0040f425b6c</errorID>
      <errorWord>,</errorWord>
      <group>L1_Format</group>
      <groupName>格式问题</groupName>
      <ability>L2_HalfPunc_CN</ability>
      <abilityName>全半角问题</abilityName>
      <candidateList>
        <item>，</item>
      </candidateList>
      <explain>文本全半角错误。</explain>
      <paraID>5A4CE0EA</paraID>
      <start>63</start>
      <end>64</end>
      <status>unmodified</status>
      <modifiedWord/>
      <trackRevisions>false</trackRevisions>
    </reviewItem>
    <reviewItem>
      <errorID>b824d6d7-ae17-4064-847b-9090899b8b9a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3B2C7314</paraID>
      <start>0</start>
      <end>2</end>
      <status>unmodified</status>
      <modifiedWord/>
      <trackRevisions>false</trackRevisions>
    </reviewItem>
    <reviewItem>
      <errorID>6279c56c-501e-4a16-83da-abd7cc56b3e0</errorID>
      <errorWord>(</errorWord>
      <group>L1_Format</group>
      <groupName>格式问题</groupName>
      <ability>L2_HalfPunc_CN</ability>
      <abilityName>全半角问题</abilityName>
      <candidateList>
        <item>（</item>
      </candidateList>
      <explain>文本全半角错误。</explain>
      <paraID> A7EBD05</paraID>
      <start>16</start>
      <end>17</end>
      <status>unmodified</status>
      <modifiedWord/>
      <trackRevisions>false</trackRevisions>
    </reviewItem>
    <reviewItem>
      <errorID>7511416d-9528-4dd7-8531-27e158f44986</errorID>
      <errorWord>)</errorWord>
      <group>L1_Format</group>
      <groupName>格式问题</groupName>
      <ability>L2_HalfPunc_CN</ability>
      <abilityName>全半角问题</abilityName>
      <candidateList>
        <item>）</item>
      </candidateList>
      <explain>文本全半角错误。</explain>
      <paraID> A7EBD05</paraID>
      <start>19</start>
      <end>20</end>
      <status>unmodified</status>
      <modifiedWord/>
      <trackRevisions>false</trackRevisions>
    </reviewItem>
    <reviewItem>
      <errorID>e7c8844b-5ef4-416f-8b68-610c8516e62b</errorID>
      <errorWord>)</errorWord>
      <group>L1_Format</group>
      <groupName>格式问题</groupName>
      <ability>L2_HalfPunc_CN</ability>
      <abilityName>全半角问题</abilityName>
      <candidateList>
        <item>）</item>
      </candidateList>
      <explain>文本全半角错误。</explain>
      <paraID> A7EBD05</paraID>
      <start>34</start>
      <end>35</end>
      <status>unmodified</status>
      <modifiedWord/>
      <trackRevisions>false</trackRevisions>
    </reviewItem>
    <reviewItem>
      <errorID>a47f119f-867c-49a2-a719-780a80527543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12D6DEFE</paraID>
      <start>0</start>
      <end>2</end>
      <status>unmodified</status>
      <modifiedWord/>
      <trackRevisions>false</trackRevisions>
    </reviewItem>
    <reviewItem>
      <errorID>4fcbd9cd-7c01-4634-b25e-db6cc2986658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2B353A83</paraID>
      <start>0</start>
      <end>2</end>
      <status>unmodified</status>
      <modifiedWord/>
      <trackRevisions>false</trackRevisions>
    </reviewItem>
    <reviewItem>
      <errorID>b4370726-a9e6-45e3-ba76-0b45978358c0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28E19DC0</paraID>
      <start>0</start>
      <end>2</end>
      <status>unmodified</status>
      <modifiedWord/>
      <trackRevisions>false</trackRevisions>
    </reviewItem>
    <reviewItem>
      <errorID>7c158422-04fc-49a4-9869-fad21934c536</errorID>
      <errorWord>2023年08月03日</errorWord>
      <group>L1_Knowledge</group>
      <groupName>知识性问题</groupName>
      <ability>L2_Time</ability>
      <abilityName>日期时间</abilityName>
      <candidateList>
        <item>2023年8月3日</item>
      </candidateList>
      <explain>根据日常书写习惯，月份和日期一般会省略前导零。</explain>
      <paraID>77D2433F</paraID>
      <start>0</start>
      <end>11</end>
      <status>unmodified</status>
      <modifiedWord/>
      <trackRevisions>false</trackRevisions>
    </reviewItem>
    <reviewItem>
      <errorID>a36b7ff4-093b-48e6-ace2-c3cfc7f0266c</errorID>
      <errorWord>(</errorWord>
      <group>L1_Format</group>
      <groupName>格式问题</groupName>
      <ability>L2_HalfPunc_CN</ability>
      <abilityName>全半角问题</abilityName>
      <candidateList>
        <item>（</item>
      </candidateList>
      <explain>文本全半角错误。</explain>
      <paraID>7FE988F0</paraID>
      <start>3</start>
      <end>4</end>
      <status>unmodified</status>
      <modifiedWord/>
      <trackRevisions>false</trackRevisions>
    </reviewItem>
    <reviewItem>
      <errorID>15a1b803-ca9d-4b0d-b6b1-caeb03c0c751</errorID>
      <errorWord>)</errorWord>
      <group>L1_Format</group>
      <groupName>格式问题</groupName>
      <ability>L2_HalfPunc_CN</ability>
      <abilityName>全半角问题</abilityName>
      <candidateList>
        <item>）</item>
      </candidateList>
      <explain>文本全半角错误。</explain>
      <paraID>7FE988F0</paraID>
      <start>6</start>
      <end>7</end>
      <status>unmodified</status>
      <modifiedWord/>
      <trackRevisions>false</trackRevisions>
    </reviewItem>
    <reviewItem>
      <errorID>60c58373-86d8-4653-aab7-dba422154886</errorID>
      <errorWord>(</errorWord>
      <group>L1_Format</group>
      <groupName>格式问题</groupName>
      <ability>L2_HalfPunc_CN</ability>
      <abilityName>全半角问题</abilityName>
      <candidateList>
        <item>（</item>
      </candidateList>
      <explain>文本全半角错误。</explain>
      <paraID>4BF1A2A5</paraID>
      <start>3</start>
      <end>4</end>
      <status>unmodified</status>
      <modifiedWord/>
      <trackRevisions>false</trackRevisions>
    </reviewItem>
    <reviewItem>
      <errorID>27b3d89b-87f8-46bf-be96-352c917822d3</errorID>
      <errorWord>)</errorWord>
      <group>L1_Format</group>
      <groupName>格式问题</groupName>
      <ability>L2_HalfPunc_CN</ability>
      <abilityName>全半角问题</abilityName>
      <candidateList>
        <item>）</item>
      </candidateList>
      <explain>文本全半角错误。</explain>
      <paraID>4BF1A2A5</paraID>
      <start>5</start>
      <end>6</end>
      <status>unmodified</status>
      <modifiedWord/>
      <trackRevisions>false</trackRevisions>
    </reviewItem>
    <reviewItem>
      <errorID>9e289f83-6f2b-411e-a932-f3ff78060ee5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231C8157</paraID>
      <start>0</start>
      <end>2</end>
      <status>unmodified</status>
      <modifiedWord/>
      <trackRevisions>false</trackRevisions>
    </reviewItem>
    <reviewItem>
      <errorID>df9644dc-af05-4ea8-a976-264fb97c6096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3FEA8BCC</paraID>
      <start>0</start>
      <end>2</end>
      <status>unmodified</status>
      <modifiedWord/>
      <trackRevisions>false</trackRevisions>
    </reviewItem>
    <reviewItem>
      <errorID>d81f4c45-796f-49bd-b592-7bee80086b45</errorID>
      <errorWord>(</errorWord>
      <group>L1_Format</group>
      <groupName>格式问题</groupName>
      <ability>L2_HalfPunc_CN</ability>
      <abilityName>全半角问题</abilityName>
      <candidateList>
        <item>（</item>
      </candidateList>
      <explain>文本全半角错误。</explain>
      <paraID>449A4732</paraID>
      <start>6</start>
      <end>7</end>
      <status>unmodified</status>
      <modifiedWord/>
      <trackRevisions>false</trackRevisions>
    </reviewItem>
    <reviewItem>
      <errorID>872d513f-bbb1-43be-b116-32892e73e522</errorID>
      <errorWord>)</errorWord>
      <group>L1_Format</group>
      <groupName>格式问题</groupName>
      <ability>L2_HalfPunc_CN</ability>
      <abilityName>全半角问题</abilityName>
      <candidateList>
        <item>）</item>
      </candidateList>
      <explain>文本全半角错误。</explain>
      <paraID>449A4732</paraID>
      <start>10</start>
      <end>11</end>
      <status>unmodified</status>
      <modifiedWord/>
      <trackRevisions>false</trackRevisions>
    </reviewItem>
    <reviewItem>
      <errorID>c2835c15-5586-483e-a79f-fe5fa7ecd240</errorID>
      <errorWord>(</errorWord>
      <group>L1_Format</group>
      <groupName>格式问题</groupName>
      <ability>L2_HalfPunc_CN</ability>
      <abilityName>全半角问题</abilityName>
      <candidateList>
        <item>（</item>
      </candidateList>
      <explain>文本全半角错误。</explain>
      <paraID>26FA1506</paraID>
      <start>7</start>
      <end>8</end>
      <status>unmodified</status>
      <modifiedWord/>
      <trackRevisions>false</trackRevisions>
    </reviewItem>
    <reviewItem>
      <errorID>1e59ae63-7a45-4538-ac2b-e23521c9e5bf</errorID>
      <errorWord>)</errorWord>
      <group>L1_Format</group>
      <groupName>格式问题</groupName>
      <ability>L2_HalfPunc_CN</ability>
      <abilityName>全半角问题</abilityName>
      <candidateList>
        <item>）</item>
      </candidateList>
      <explain>文本全半角错误。</explain>
      <paraID>26FA1506</paraID>
      <start>10</start>
      <end>11</end>
      <status>unmodified</status>
      <modifiedWord/>
      <trackRevisions>false</trackRevisions>
    </reviewItem>
    <reviewItem>
      <errorID>7b2bd8b5-4a94-46c3-aab4-0f20fdbecc0b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1AB141DF</paraID>
      <start>0</start>
      <end>3</end>
      <status>unmodified</status>
      <modifiedWord/>
      <trackRevisions>false</trackRevisions>
    </reviewItem>
    <reviewItem>
      <errorID>6781b32b-6c91-439e-b410-c9eeba03a9ed</errorID>
      <errorWord>二O</errorWord>
      <group>L1_Knowledge</group>
      <groupName>知识性问题</groupName>
      <ability>L2_Knowledge</ability>
      <abilityName>其他知识</abilityName>
      <candidateList>
        <item>二〇</item>
      </candidateList>
      <explain>中文数字应使用“〇”，而非形似的字符，如“O”。该字符在不同字体下外观可能相似，但含义和编码不同，请注意区分。</explain>
      <paraID>44005545</paraID>
      <start>6</start>
      <end>8</end>
      <status>unmodified</status>
      <modifiedWord/>
      <trackRevisions>false</trackRevisions>
    </reviewItem>
    <reviewItem>
      <errorID>d0381782-781f-4881-872e-e97efdf94689</errorID>
      <errorWord>~</errorWord>
      <group>L1_Format</group>
      <groupName>格式问题</groupName>
      <ability>L2_HalfPunc_CN</ability>
      <abilityName>全半角问题</abilityName>
      <candidateList>
        <item>～</item>
      </candidateList>
      <explain>文本全半角错误。</explain>
      <paraID>44005545</paraID>
      <start>223</start>
      <end>224</end>
      <status>unmodified</status>
      <modifiedWord/>
      <trackRevisions>false</trackRevisions>
    </reviewItem>
    <reviewItem>
      <errorID>df1eba96-728e-44b6-a5ba-9a108f75fb3e</errorID>
      <errorWord>(</errorWord>
      <group>L1_Format</group>
      <groupName>格式问题</groupName>
      <ability>L2_HalfPunc_CN</ability>
      <abilityName>全半角问题</abilityName>
      <candidateList>
        <item>（</item>
      </candidateList>
      <explain>文本全半角错误。</explain>
      <paraID>4A52C940</paraID>
      <start>64</start>
      <end>65</end>
      <status>unmodified</status>
      <modifiedWord/>
      <trackRevisions>false</trackRevisions>
    </reviewItem>
    <reviewItem>
      <errorID>1ce7e55a-6b92-4c0d-b5ee-d5a9ea2cfc57</errorID>
      <errorWord>(</errorWord>
      <group>L1_Format</group>
      <groupName>格式问题</groupName>
      <ability>L2_HalfPunc_CN</ability>
      <abilityName>全半角问题</abilityName>
      <candidateList>
        <item>（</item>
      </candidateList>
      <explain>文本全半角错误。</explain>
      <paraID>312A144E</paraID>
      <start>7</start>
      <end>8</end>
      <status>unmodified</status>
      <modifiedWord/>
      <trackRevisions>false</trackRevisions>
    </reviewItem>
    <reviewItem>
      <errorID>9a36a54d-f0c4-49cc-9b1f-a3b9c4949ef0</errorID>
      <errorWord>)</errorWord>
      <group>L1_Format</group>
      <groupName>格式问题</groupName>
      <ability>L2_HalfPunc_CN</ability>
      <abilityName>全半角问题</abilityName>
      <candidateList>
        <item>）</item>
      </candidateList>
      <explain>文本全半角错误。</explain>
      <paraID>312A144E</paraID>
      <start>10</start>
      <end>11</end>
      <status>unmodified</status>
      <modifiedWord/>
      <trackRevisions>false</trackRevisions>
    </reviewItem>
    <reviewItem>
      <errorID>8e2776bb-503a-47bc-90ee-0a0ef56de2c9</errorID>
      <errorWord>结</errorWord>
      <group>L1_Word</group>
      <groupName>字词问题</groupName>
      <ability>L2_Typo</ability>
      <abilityName>字词错误</abilityName>
      <candidateList>
        <item>结果</item>
      </candidateList>
      <explain/>
      <paraID>6AABD433</paraID>
      <start>38</start>
      <end>39</end>
      <status>unmodified</status>
      <modifiedWord/>
      <trackRevisions>false</trackRevisions>
    </reviewItem>
    <reviewItem>
      <errorID>9d655148-5322-41c4-80bb-00f7ce231a4a</errorID>
      <errorWord>(</errorWord>
      <group>L1_Format</group>
      <groupName>格式问题</groupName>
      <ability>L2_HalfPunc_CN</ability>
      <abilityName>全半角问题</abilityName>
      <candidateList>
        <item>（</item>
      </candidateList>
      <explain>文本全半角错误。</explain>
      <paraID>7DA2AF6B</paraID>
      <start>7</start>
      <end>8</end>
      <status>unmodified</status>
      <modifiedWord/>
      <trackRevisions>false</trackRevisions>
    </reviewItem>
    <reviewItem>
      <errorID>e2d1930b-ff50-4df7-afb8-dd75bba2be3d</errorID>
      <errorWord>)</errorWord>
      <group>L1_Format</group>
      <groupName>格式问题</groupName>
      <ability>L2_HalfPunc_CN</ability>
      <abilityName>全半角问题</abilityName>
      <candidateList>
        <item>）</item>
      </candidateList>
      <explain>文本全半角错误。</explain>
      <paraID>7DA2AF6B</paraID>
      <start>10</start>
      <end>11</end>
      <status>unmodified</status>
      <modifiedWord/>
      <trackRevisions>false</trackRevisions>
    </reviewItem>
    <reviewItem>
      <errorID>57c654eb-fc3b-4f82-90f6-2719b388930f</errorID>
      <errorWord>)</errorWord>
      <group>L1_Format</group>
      <groupName>格式问题</groupName>
      <ability>L2_HalfPunc_CN</ability>
      <abilityName>全半角问题</abilityName>
      <candidateList>
        <item>）</item>
      </candidateList>
      <explain>文本全半角错误。</explain>
      <paraID>39C1A7D3</paraID>
      <start>23</start>
      <end>24</end>
      <status>unmodified</status>
      <modifiedWord/>
      <trackRevisions>false</trackRevisions>
    </reviewItem>
    <reviewItem>
      <errorID>43c39f0a-69e0-4216-bbb1-8d890fb74467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73C31E6B</paraID>
      <start>0</start>
      <end>3</end>
      <status>unmodified</status>
      <modifiedWord/>
      <trackRevisions>false</trackRevisions>
    </reviewItem>
    <reviewItem>
      <errorID>04775cdf-990e-4118-bb19-1d12214bd62e</errorID>
      <errorWord>(</errorWord>
      <group>L1_Format</group>
      <groupName>格式问题</groupName>
      <ability>L2_HalfPunc_CN</ability>
      <abilityName>全半角问题</abilityName>
      <candidateList>
        <item>（</item>
      </candidateList>
      <explain>文本全半角错误。</explain>
      <paraID>502D1C72</paraID>
      <start>6</start>
      <end>7</end>
      <status>unmodified</status>
      <modifiedWord/>
      <trackRevisions>false</trackRevisions>
    </reviewItem>
    <reviewItem>
      <errorID>1c7b74a7-6e38-42c8-aaa6-ec9fdf432a5a</errorID>
      <errorWord>)</errorWord>
      <group>L1_Format</group>
      <groupName>格式问题</groupName>
      <ability>L2_HalfPunc_CN</ability>
      <abilityName>全半角问题</abilityName>
      <candidateList>
        <item>）</item>
      </candidateList>
      <explain>文本全半角错误。</explain>
      <paraID>502D1C72</paraID>
      <start>10</start>
      <end>11</end>
      <status>unmodified</status>
      <modifiedWord/>
      <trackRevisions>false</trackRevisions>
    </reviewItem>
    <reviewItem>
      <errorID>70f35aae-f48f-4c21-a440-184718ebe3e5</errorID>
      <errorWord>(</errorWord>
      <group>L1_Format</group>
      <groupName>格式问题</groupName>
      <ability>L2_HalfPunc_CN</ability>
      <abilityName>全半角问题</abilityName>
      <candidateList>
        <item>（</item>
      </candidateList>
      <explain>文本全半角错误。</explain>
      <paraID>35A8A0D3</paraID>
      <start>7</start>
      <end>8</end>
      <status>unmodified</status>
      <modifiedWord/>
      <trackRevisions>false</trackRevisions>
    </reviewItem>
    <reviewItem>
      <errorID>447b83ed-620e-4b1e-bba0-73f9315ef222</errorID>
      <errorWord>)</errorWord>
      <group>L1_Format</group>
      <groupName>格式问题</groupName>
      <ability>L2_HalfPunc_CN</ability>
      <abilityName>全半角问题</abilityName>
      <candidateList>
        <item>）</item>
      </candidateList>
      <explain>文本全半角错误。</explain>
      <paraID>35A8A0D3</paraID>
      <start>10</start>
      <end>11</end>
      <status>unmodified</status>
      <modifiedWord/>
      <trackRevisions>false</trackRevisions>
    </reviewItem>
    <reviewItem>
      <errorID>2934edeb-1dc5-4db1-a559-52cc3eb3a9c4</errorID>
      <errorWord>~</errorWord>
      <group>L1_Format</group>
      <groupName>格式问题</groupName>
      <ability>L2_HalfPunc_CN</ability>
      <abilityName>全半角问题</abilityName>
      <candidateList>
        <item>～</item>
      </candidateList>
      <explain>文本全半角错误。</explain>
      <paraID> AD379A9</paraID>
      <start>44</start>
      <end>45</end>
      <status>unmodified</status>
      <modifiedWord/>
      <trackRevisions>false</trackRevisions>
    </reviewItem>
    <reviewItem>
      <errorID>12b259fb-4c79-4965-acf1-d73a03852eb6</errorID>
      <errorWord>(</errorWord>
      <group>L1_Format</group>
      <groupName>格式问题</groupName>
      <ability>L2_HalfPunc_CN</ability>
      <abilityName>全半角问题</abilityName>
      <candidateList>
        <item>（</item>
      </candidateList>
      <explain>文本全半角错误。</explain>
      <paraID> AD379A9</paraID>
      <start>161</start>
      <end>162</end>
      <status>unmodified</status>
      <modifiedWord/>
      <trackRevisions>false</trackRevisions>
    </reviewItem>
    <reviewItem>
      <errorID>0e1c4a4d-a12a-46bb-b671-dc4d1370225d</errorID>
      <errorWord>(</errorWord>
      <group>L1_Format</group>
      <groupName>格式问题</groupName>
      <ability>L2_HalfPunc_CN</ability>
      <abilityName>全半角问题</abilityName>
      <candidateList>
        <item>（</item>
      </candidateList>
      <explain>文本全半角错误。</explain>
      <paraID>55082ACC</paraID>
      <start>60</start>
      <end>61</end>
      <status>unmodified</status>
      <modifiedWord/>
      <trackRevisions>false</trackRevisions>
    </reviewItem>
    <reviewItem>
      <errorID>6f689f32-faac-4049-b6ed-bafdba7a3cad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15B90D45</paraID>
      <start>0</start>
      <end>3</end>
      <status>unmodified</status>
      <modifiedWord/>
      <trackRevisions>false</trackRevisions>
    </reviewItem>
    <reviewItem>
      <errorID>a8bb2efc-edfe-47de-a805-770435100f12</errorID>
      <errorWord>云南省电力 设施保护条例</errorWord>
      <group>L1_Knowledge</group>
      <groupName>知识性问题</groupName>
      <ability>L2_Knowledge</ability>
      <abilityName>其他知识</abilityName>
      <candidateList>
        <item>云南省电力设施保护条例</item>
      </candidateList>
      <explain>当前法律法规未收录或尚未生效，注意核查是否正确。</explain>
      <paraID>15B90D45</paraID>
      <start>64</start>
      <end>76</end>
      <status>unmodified</status>
      <modifiedWord/>
      <trackRevisions>false</trackRevisions>
    </reviewItem>
    <reviewItem>
      <errorID>26b7d1bc-03f7-4c11-9588-e4ad5bc9f6ed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23C8C3B5</paraID>
      <start>0</start>
      <end>3</end>
      <status>unmodified</status>
      <modifiedWord/>
      <trackRevisions>false</trackRevisions>
    </reviewItem>
    <reviewItem>
      <errorID>73306a2e-0d6c-4029-af99-87ab62fb1e3b</errorID>
      <errorWord>取</errorWord>
      <group>L1_Word</group>
      <groupName>字词问题</groupName>
      <ability>L2_Typo</ability>
      <abilityName>字词错误</abilityName>
      <candidateList>
        <item>取一</item>
      </candidateList>
      <explain/>
      <paraID>5B9700C4</paraID>
      <start>164</start>
      <end>165</end>
      <status>unmodified</status>
      <modifiedWord/>
      <trackRevisions>false</trackRevisions>
    </reviewItem>
    <reviewItem>
      <errorID>7e53be0a-2e90-4adf-b0ba-9e8bb80406ca</errorID>
      <errorWord>的</errorWord>
      <group>L1_Word</group>
      <groupName>字词问题</groupName>
      <ability>L2_DDD</ability>
      <abilityName>的地得用法</abilityName>
      <candidateList>
        <item>地</item>
      </candidateList>
      <explain/>
      <paraID>5B9700C4</paraID>
      <start>259</start>
      <end>260</end>
      <status>unmodified</status>
      <modifiedWord/>
      <trackRevisions>false</trackRevisions>
    </reviewItem>
    <reviewItem>
      <errorID>6826ed54-9a5d-4299-b70b-c9fc580270fe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34C8324C</paraID>
      <start>0</start>
      <end>3</end>
      <status>unmodified</status>
      <modifiedWord/>
      <trackRevisions>false</trackRevisions>
    </reviewItem>
    <reviewItem>
      <errorID>53933f79-e024-44a1-a642-0f425d63bfd6</errorID>
      <errorWord>(</errorWord>
      <group>L1_Format</group>
      <groupName>格式问题</groupName>
      <ability>L2_HalfPunc_CN</ability>
      <abilityName>全半角问题</abilityName>
      <candidateList>
        <item>（</item>
      </candidateList>
      <explain>文本全半角错误。</explain>
      <paraID>193BA079</paraID>
      <start>15</start>
      <end>16</end>
      <status>unmodified</status>
      <modifiedWord/>
      <trackRevisions>false</trackRevisions>
    </reviewItem>
    <reviewItem>
      <errorID>aeb07531-8a57-4c58-b99d-a823bafcf5eb</errorID>
      <errorWord>),</errorWord>
      <group>L1_Format</group>
      <groupName>格式问题</groupName>
      <ability>L2_HalfPunc_CN</ability>
      <abilityName>全半角问题</abilityName>
      <candidateList>
        <item>），</item>
      </candidateList>
      <explain>文本全半角错误。</explain>
      <paraID>193BA079</paraID>
      <start>27</start>
      <end>29</end>
      <status>unmodified</status>
      <modifiedWord/>
      <trackRevisions>false</trackRevisions>
    </reviewItem>
    <reviewItem>
      <errorID>e1af5dda-2c8d-49bd-bc36-230197d7cda7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43FD7A60</paraID>
      <start>0</start>
      <end>3</end>
      <status>unmodified</status>
      <modifiedWord/>
      <trackRevisions>false</trackRevisions>
    </reviewItem>
    <reviewItem>
      <errorID>26dade6d-335d-4ffc-b5ed-899df7784567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23400D2A</paraID>
      <start>0</start>
      <end>3</end>
      <status>unmodified</status>
      <modifiedWord/>
      <trackRevisions>false</trackRevisions>
    </reviewItem>
    <reviewItem>
      <errorID>35f65516-3a71-4631-a092-0762c85a1a5f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2EDFDD27</paraID>
      <start>0</start>
      <end>3</end>
      <status>unmodified</status>
      <modifiedWord/>
      <trackRevisions>false</trackRevisions>
    </reviewItem>
    <reviewItem>
      <errorID>a0237889-9b15-4611-bb51-3db06e292665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3D3F4FE6</paraID>
      <start>0</start>
      <end>3</end>
      <status>unmodified</status>
      <modifiedWord/>
      <trackRevisions>false</trackRevisions>
    </reviewItem>
    <reviewItem>
      <errorID>c934cf40-afe2-4b4c-9710-3ca373542de1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F8DA349</paraID>
      <start>0</start>
      <end>3</end>
      <status>unmodified</status>
      <modifiedWord/>
      <trackRevisions>false</trackRevisions>
    </reviewItem>
    <reviewItem>
      <errorID>4d657c9d-241f-40e0-8db6-bec2ca18ec68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26302696</paraID>
      <start>0</start>
      <end>3</end>
      <status>unmodified</status>
      <modifiedWord/>
      <trackRevisions>false</trackRevisions>
    </reviewItem>
    <reviewItem>
      <errorID>4343f1c5-66f3-48f3-b716-df6983ee6c33</errorID>
      <errorWord>(</errorWord>
      <group>L1_Format</group>
      <groupName>格式问题</groupName>
      <ability>L2_HalfPunc_CN</ability>
      <abilityName>全半角问题</abilityName>
      <candidateList>
        <item>（</item>
      </candidateList>
      <explain>文本全半角错误。</explain>
      <paraID>3A66E69A</paraID>
      <start>2</start>
      <end>3</end>
      <status>unmodified</status>
      <modifiedWord/>
      <trackRevisions>false</trackRevisions>
    </reviewItem>
    <reviewItem>
      <errorID>80dd26e2-7cec-44f9-ae18-c634bfe32a12</errorID>
      <errorWord>)</errorWord>
      <group>L1_Format</group>
      <groupName>格式问题</groupName>
      <ability>L2_HalfPunc_CN</ability>
      <abilityName>全半角问题</abilityName>
      <candidateList>
        <item>）</item>
      </candidateList>
      <explain>文本全半角错误。</explain>
      <paraID>3A66E69A</paraID>
      <start>5</start>
      <end>6</end>
      <status>unmodified</status>
      <modifiedWord/>
      <trackRevisions>false</trackRevisions>
    </reviewItem>
    <reviewItem>
      <errorID>3cea5686-3d93-4200-b9cb-17214f5690e7</errorID>
      <errorWord>(</errorWord>
      <group>L1_Format</group>
      <groupName>格式问题</groupName>
      <ability>L2_HalfPunc_CN</ability>
      <abilityName>全半角问题</abilityName>
      <candidateList>
        <item>（</item>
      </candidateList>
      <explain>文本全半角错误。</explain>
      <paraID>3A66E69A</paraID>
      <start>7</start>
      <end>8</end>
      <status>unmodified</status>
      <modifiedWord/>
      <trackRevisions>false</trackRevisions>
    </reviewItem>
    <reviewItem>
      <errorID>fd197984-87bd-495e-ad0b-babade5c309a</errorID>
      <errorWord>~</errorWord>
      <group>L1_Format</group>
      <groupName>格式问题</groupName>
      <ability>L2_HalfPunc_CN</ability>
      <abilityName>全半角问题</abilityName>
      <candidateList>
        <item>～</item>
      </candidateList>
      <explain>文本全半角错误。</explain>
      <paraID>676300A9</paraID>
      <start>43</start>
      <end>44</end>
      <status>unmodified</status>
      <modifiedWord/>
      <trackRevisions>false</trackRevisions>
    </reviewItem>
    <reviewItem>
      <errorID>981cd4b6-cd46-4674-9089-d50d18ce8745</errorID>
      <errorWord>(</errorWord>
      <group>L1_Format</group>
      <groupName>格式问题</groupName>
      <ability>L2_HalfPunc_CN</ability>
      <abilityName>全半角问题</abilityName>
      <candidateList>
        <item>（</item>
      </candidateList>
      <explain>文本全半角错误。</explain>
      <paraID>676300A9</paraID>
      <start>161</start>
      <end>162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84d725-8e3e-49e3-9531-c65eb3f26689}">
  <ds:schemaRefs/>
</ds:datastoreItem>
</file>

<file path=docProps/app.xml><?xml version="1.0" encoding="utf-8"?>
<Properties xmlns="http://schemas.openxmlformats.org/officeDocument/2006/extended-properties" xmlns:vt="http://schemas.openxmlformats.org/officeDocument/2006/docPropsVTypes">
  <Pages>235</Pages>
  <Words>3532</Words>
  <Characters>4023</Characters>
  <TotalTime>11</TotalTime>
  <ScaleCrop>false</ScaleCrop>
  <LinksUpToDate>false</LinksUpToDate>
  <CharactersWithSpaces>4181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2026-08-05T09:04:00Z</dcterms:created>
  <dc:creator>QJ</dc:creator>
  <cp:lastModifiedBy>郭丽娜</cp:lastModifiedBy>
  <dcterms:modified xsi:type="dcterms:W3CDTF">2026-08-05T01:17:49Z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2026-08-05T09:05:32Z</vt:filetime>
  </property>
  <property fmtid="{D5CDD505-2E9C-101B-9397-08002B2CF9AE}" pid="4" name="UsrData">
    <vt:lpwstr>6a728c1adb9e38001f55aa5bwl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2052-12.1.0.28043</vt:lpwstr>
  </property>
  <property fmtid="{D5CDD505-2E9C-101B-9397-08002B2CF9AE}" pid="7" name="ICV">
    <vt:lpwstr>34C12DE007BD476D934D77DED99AD6C2_13</vt:lpwstr>
  </property>
</Properties>
</file>